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9511C" w14:textId="552FD940" w:rsidR="00515916" w:rsidRPr="00515916" w:rsidRDefault="00795F6B" w:rsidP="00A8714D">
      <w:pPr>
        <w:rPr>
          <w:noProof/>
        </w:rPr>
      </w:pPr>
      <w:r>
        <w:rPr>
          <w:noProof/>
        </w:rPr>
        <w:drawing>
          <wp:anchor distT="0" distB="0" distL="114300" distR="114300" simplePos="0" relativeHeight="251658240" behindDoc="1" locked="0" layoutInCell="1" allowOverlap="1" wp14:anchorId="59649BE6" wp14:editId="57E09B21">
            <wp:simplePos x="0" y="0"/>
            <wp:positionH relativeFrom="column">
              <wp:posOffset>-897890</wp:posOffset>
            </wp:positionH>
            <wp:positionV relativeFrom="paragraph">
              <wp:posOffset>-1167765</wp:posOffset>
            </wp:positionV>
            <wp:extent cx="7555484" cy="10687355"/>
            <wp:effectExtent l="0" t="0" r="7620" b="0"/>
            <wp:wrapNone/>
            <wp:docPr id="1878146261" name="Picture 3" descr="Australian Government, The Treas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46261" name="Picture 3" descr="Australian Government, The Treasury"/>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5484" cy="10687355"/>
                    </a:xfrm>
                    <a:prstGeom prst="rect">
                      <a:avLst/>
                    </a:prstGeom>
                  </pic:spPr>
                </pic:pic>
              </a:graphicData>
            </a:graphic>
            <wp14:sizeRelH relativeFrom="page">
              <wp14:pctWidth>0</wp14:pctWidth>
            </wp14:sizeRelH>
            <wp14:sizeRelV relativeFrom="page">
              <wp14:pctHeight>0</wp14:pctHeight>
            </wp14:sizeRelV>
          </wp:anchor>
        </w:drawing>
      </w:r>
    </w:p>
    <w:sdt>
      <w:sdtPr>
        <w:rPr>
          <w:rFonts w:eastAsia="Times New Roman" w:cs="Times New Roman"/>
          <w:b w:val="0"/>
          <w:color w:val="90B6F0"/>
          <w:spacing w:val="0"/>
          <w:kern w:val="0"/>
          <w:sz w:val="32"/>
          <w:szCs w:val="20"/>
        </w:rPr>
        <w:id w:val="-1442289537"/>
        <w:docPartObj>
          <w:docPartGallery w:val="Cover Pages"/>
          <w:docPartUnique/>
        </w:docPartObj>
      </w:sdtPr>
      <w:sdtEndPr>
        <w:rPr>
          <w:color w:val="90B6F0" w:themeColor="accent5"/>
          <w:szCs w:val="32"/>
        </w:rPr>
      </w:sdtEndPr>
      <w:sdtContent>
        <w:p w14:paraId="11736E14" w14:textId="6AA15934" w:rsidR="00365F37" w:rsidRDefault="002D7E7D" w:rsidP="00A8714D">
          <w:pPr>
            <w:pStyle w:val="Title"/>
            <w:spacing w:before="1080"/>
          </w:pPr>
          <w:r w:rsidRPr="00556C14">
            <w:t>Climate</w:t>
          </w:r>
          <w:r w:rsidR="00E972FA">
            <w:t>-</w:t>
          </w:r>
          <w:r>
            <w:t xml:space="preserve">related </w:t>
          </w:r>
          <w:r w:rsidR="00795F6B">
            <w:t>t</w:t>
          </w:r>
          <w:r>
            <w:t>ransition</w:t>
          </w:r>
          <w:r w:rsidR="00891CE5">
            <w:t> </w:t>
          </w:r>
          <w:r w:rsidR="00795F6B">
            <w:t>p</w:t>
          </w:r>
          <w:r>
            <w:t>lanning</w:t>
          </w:r>
        </w:p>
        <w:p w14:paraId="01166356" w14:textId="2FD820EA" w:rsidR="00A97160" w:rsidRPr="00125C36" w:rsidRDefault="00365F37" w:rsidP="00556C14">
          <w:pPr>
            <w:pStyle w:val="Subtitle"/>
          </w:pPr>
          <w:r w:rsidRPr="00125C36">
            <w:t xml:space="preserve">Voluntary </w:t>
          </w:r>
          <w:r w:rsidR="002D7E7D" w:rsidRPr="00125C36">
            <w:t>Guidance</w:t>
          </w:r>
        </w:p>
        <w:p w14:paraId="30400CA7" w14:textId="079156EB" w:rsidR="006148CE" w:rsidRDefault="003531BD" w:rsidP="006148CE">
          <w:pPr>
            <w:pStyle w:val="ReportDate"/>
          </w:pPr>
          <w:r>
            <w:rPr>
              <w:rStyle w:val="ReportDateChar"/>
            </w:rPr>
            <w:t>August</w:t>
          </w:r>
          <w:r w:rsidRPr="006148CE">
            <w:rPr>
              <w:rStyle w:val="ReportDateChar"/>
            </w:rPr>
            <w:t xml:space="preserve"> </w:t>
          </w:r>
          <w:r w:rsidR="009C56F5" w:rsidRPr="006148CE">
            <w:rPr>
              <w:rStyle w:val="ReportDateChar"/>
            </w:rPr>
            <w:t>2026</w:t>
          </w:r>
        </w:p>
      </w:sdtContent>
    </w:sdt>
    <w:p w14:paraId="587FE0F2" w14:textId="77777777" w:rsidR="006148CE" w:rsidRDefault="006148CE" w:rsidP="006148CE">
      <w:pPr>
        <w:spacing w:before="0" w:after="160" w:line="259" w:lineRule="auto"/>
        <w:sectPr w:rsidR="006148CE" w:rsidSect="00700AC5">
          <w:footerReference w:type="even" r:id="rId9"/>
          <w:endnotePr>
            <w:numFmt w:val="decimal"/>
          </w:endnotePr>
          <w:pgSz w:w="11906" w:h="16838" w:code="9"/>
          <w:pgMar w:top="1843" w:right="1418" w:bottom="1418" w:left="1418" w:header="709" w:footer="709" w:gutter="0"/>
          <w:cols w:space="708"/>
          <w:titlePg/>
          <w:docGrid w:linePitch="360"/>
        </w:sectPr>
      </w:pPr>
    </w:p>
    <w:p w14:paraId="560192AD" w14:textId="4D04908A" w:rsidR="006148CE" w:rsidRDefault="006148CE" w:rsidP="007057A5">
      <w:r w:rsidRPr="00661BF0">
        <w:lastRenderedPageBreak/>
        <w:t xml:space="preserve">© Commonwealth of </w:t>
      </w:r>
      <w:r w:rsidRPr="006148CE">
        <w:t>Australia 2026</w:t>
      </w:r>
    </w:p>
    <w:p w14:paraId="054F2F84" w14:textId="7CF4DE7A" w:rsidR="006469CC" w:rsidRPr="00444CDB" w:rsidRDefault="006469CC" w:rsidP="005877AC">
      <w:pPr>
        <w:spacing w:before="0" w:after="160" w:line="259" w:lineRule="auto"/>
        <w:rPr>
          <w:noProof/>
        </w:rPr>
      </w:pPr>
      <w:r>
        <w:t xml:space="preserve">ISBN: </w:t>
      </w:r>
      <w:r w:rsidR="00C61F56" w:rsidRPr="00C61F56">
        <w:t>978</w:t>
      </w:r>
      <w:r w:rsidR="00963E59">
        <w:noBreakHyphen/>
      </w:r>
      <w:r w:rsidR="00C61F56" w:rsidRPr="00C61F56">
        <w:t>1</w:t>
      </w:r>
      <w:r w:rsidR="00963E59">
        <w:noBreakHyphen/>
      </w:r>
      <w:r w:rsidR="00C61F56" w:rsidRPr="00C61F56">
        <w:t>923278</w:t>
      </w:r>
      <w:r w:rsidR="00963E59">
        <w:noBreakHyphen/>
      </w:r>
      <w:r w:rsidR="00C61F56" w:rsidRPr="00C61F56">
        <w:t>38</w:t>
      </w:r>
      <w:r w:rsidR="00963E59">
        <w:noBreakHyphen/>
      </w:r>
      <w:r w:rsidR="00C61F56" w:rsidRPr="00C61F56">
        <w:t>7</w:t>
      </w:r>
    </w:p>
    <w:p w14:paraId="49DE9A6B" w14:textId="77777777" w:rsidR="000E0B74" w:rsidRPr="00086F82" w:rsidRDefault="000E0B74" w:rsidP="007057A5">
      <w:pPr>
        <w:rPr>
          <w:rFonts w:cstheme="minorBidi"/>
          <w:sz w:val="24"/>
          <w:szCs w:val="24"/>
        </w:rPr>
      </w:pPr>
      <w:r w:rsidRPr="002F1BC2">
        <w:t>This publication is available for your use under a</w:t>
      </w:r>
      <w:r w:rsidRPr="00476F09">
        <w:rPr>
          <w:rFonts w:cstheme="minorHAnsi"/>
          <w:sz w:val="24"/>
          <w:szCs w:val="24"/>
        </w:rPr>
        <w:t xml:space="preserve"> </w:t>
      </w:r>
      <w:hyperlink r:id="rId10" w:history="1">
        <w:r w:rsidR="00444CDB">
          <w:rPr>
            <w:rStyle w:val="Hyperlink"/>
          </w:rPr>
          <w:t>Creative Commons Attribution 4.0 International</w:t>
        </w:r>
      </w:hyperlink>
      <w:r w:rsidRPr="00476F09">
        <w:rPr>
          <w:rFonts w:cstheme="minorHAnsi"/>
          <w:sz w:val="24"/>
          <w:szCs w:val="24"/>
        </w:rPr>
        <w:t xml:space="preserve"> </w:t>
      </w:r>
      <w:r w:rsidRPr="002F1BC2">
        <w:t>licence, with the exception of the Commonwealth Coat of Arms, the Treasury logo</w:t>
      </w:r>
      <w:r>
        <w:t xml:space="preserve">, photographs, images, </w:t>
      </w:r>
      <w:r w:rsidR="00444CDB" w:rsidRPr="004F5ACF">
        <w:t>third party materials, materials protected by a trademark,</w:t>
      </w:r>
      <w:r w:rsidR="00444CDB">
        <w:t xml:space="preserve"> </w:t>
      </w:r>
      <w:r>
        <w:t xml:space="preserve">signatures </w:t>
      </w:r>
      <w:r w:rsidRPr="002F1BC2">
        <w:t>and where otherwise stated</w:t>
      </w:r>
      <w:r w:rsidR="00444CDB">
        <w:t xml:space="preserve">. </w:t>
      </w:r>
      <w:r w:rsidRPr="002F1BC2">
        <w:t>The full licence terms are available from</w:t>
      </w:r>
      <w:r w:rsidRPr="00476F09">
        <w:rPr>
          <w:rFonts w:cstheme="minorHAnsi"/>
          <w:sz w:val="24"/>
          <w:szCs w:val="24"/>
        </w:rPr>
        <w:t xml:space="preserve"> </w:t>
      </w:r>
      <w:hyperlink r:id="rId11" w:history="1">
        <w:r w:rsidR="00444CDB">
          <w:rPr>
            <w:rStyle w:val="Hyperlink"/>
          </w:rPr>
          <w:t>creativecommons.org/licenses/by/4.0/legalcode</w:t>
        </w:r>
      </w:hyperlink>
      <w:r w:rsidRPr="00444CDB">
        <w:t>.</w:t>
      </w:r>
      <w:r w:rsidRPr="00D06A21">
        <w:rPr>
          <w:sz w:val="24"/>
          <w:szCs w:val="24"/>
        </w:rPr>
        <w:t xml:space="preserve"> </w:t>
      </w:r>
    </w:p>
    <w:p w14:paraId="7BD6CEF0" w14:textId="77777777" w:rsidR="000E0B74" w:rsidRDefault="000E0B74" w:rsidP="00C1336A">
      <w:r w:rsidRPr="00E56DFB">
        <w:rPr>
          <w:noProof/>
        </w:rPr>
        <w:drawing>
          <wp:inline distT="0" distB="0" distL="0" distR="0" wp14:anchorId="03CC9E21" wp14:editId="24F9CA70">
            <wp:extent cx="809625" cy="285750"/>
            <wp:effectExtent l="0" t="0" r="9525" b="0"/>
            <wp:docPr id="3" name="Picture 1" descr="Creative Commons BY lic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reative Commons BY licence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w="9525">
                      <a:noFill/>
                      <a:miter lim="800000"/>
                      <a:headEnd/>
                      <a:tailEnd/>
                    </a:ln>
                  </pic:spPr>
                </pic:pic>
              </a:graphicData>
            </a:graphic>
          </wp:inline>
        </w:drawing>
      </w:r>
    </w:p>
    <w:p w14:paraId="7ACDC5BE" w14:textId="77777777" w:rsidR="000E0B74" w:rsidRPr="006627B4" w:rsidRDefault="000E0B74" w:rsidP="007057A5">
      <w:r w:rsidRPr="006627B4">
        <w:t>Use of Treasury material under a</w:t>
      </w:r>
      <w:r w:rsidRPr="00476F09">
        <w:rPr>
          <w:rFonts w:cstheme="minorHAnsi"/>
          <w:sz w:val="24"/>
          <w:szCs w:val="24"/>
        </w:rPr>
        <w:t xml:space="preserve"> </w:t>
      </w:r>
      <w:hyperlink r:id="rId13" w:history="1">
        <w:r w:rsidR="00444CDB">
          <w:rPr>
            <w:rStyle w:val="Hyperlink"/>
          </w:rPr>
          <w:t>Creative Commons Attribution 4.0 International</w:t>
        </w:r>
      </w:hyperlink>
      <w:r w:rsidR="00A155F0">
        <w:t xml:space="preserve"> l</w:t>
      </w:r>
      <w:r w:rsidRPr="006627B4">
        <w:t>icence requires you to attribute the work (but not in any way that suggests that the Treasury endorse</w:t>
      </w:r>
      <w:r>
        <w:t>s you or your use of the work).</w:t>
      </w:r>
    </w:p>
    <w:p w14:paraId="43281444" w14:textId="32F1A015" w:rsidR="000E0B74" w:rsidRPr="00444CDB" w:rsidRDefault="000E0B74" w:rsidP="007057A5">
      <w:pPr>
        <w:rPr>
          <w:rStyle w:val="Strong"/>
        </w:rPr>
      </w:pPr>
      <w:r w:rsidRPr="00444CDB">
        <w:rPr>
          <w:rStyle w:val="Strong"/>
        </w:rPr>
        <w:t xml:space="preserve">Treasury material used </w:t>
      </w:r>
      <w:r w:rsidR="00963E59">
        <w:rPr>
          <w:rStyle w:val="Strong"/>
        </w:rPr>
        <w:t>‘</w:t>
      </w:r>
      <w:r w:rsidRPr="00444CDB">
        <w:rPr>
          <w:rStyle w:val="Strong"/>
        </w:rPr>
        <w:t>as supplied</w:t>
      </w:r>
      <w:r w:rsidR="00963E59">
        <w:rPr>
          <w:rStyle w:val="Strong"/>
        </w:rPr>
        <w:t>’</w:t>
      </w:r>
    </w:p>
    <w:p w14:paraId="739E537C" w14:textId="77777777" w:rsidR="000E0B74" w:rsidRPr="00476F09" w:rsidRDefault="000E0B74" w:rsidP="007057A5">
      <w:r w:rsidRPr="00476F09">
        <w:t>Provided you have not modified or transformed Treasury material in any way including, for example, by</w:t>
      </w:r>
      <w:r>
        <w:t xml:space="preserve"> </w:t>
      </w:r>
      <w:r w:rsidRPr="0096692D">
        <w:t>changing the Treasury text; calculating percentage changes; graphing or charting data</w:t>
      </w:r>
      <w:r>
        <w:t>;</w:t>
      </w:r>
      <w:r w:rsidRPr="0096692D">
        <w:t xml:space="preserve"> or deriving new statistics from published Treasury statistics</w:t>
      </w:r>
      <w:r>
        <w:t xml:space="preserve"> </w:t>
      </w:r>
      <w:r w:rsidR="00444CDB">
        <w:rPr>
          <w:rFonts w:cs="Calibri Light"/>
        </w:rPr>
        <w:t>–</w:t>
      </w:r>
      <w:r>
        <w:t xml:space="preserve"> then Treasury prefers t</w:t>
      </w:r>
      <w:r w:rsidRPr="00476F09">
        <w:t xml:space="preserve">he following attribution: </w:t>
      </w:r>
    </w:p>
    <w:p w14:paraId="1BF5B3A3" w14:textId="77777777" w:rsidR="00444CDB" w:rsidRPr="00A13A11" w:rsidRDefault="00444CDB" w:rsidP="00444CDB">
      <w:pPr>
        <w:ind w:firstLine="720"/>
      </w:pPr>
      <w:r w:rsidRPr="00E17231">
        <w:rPr>
          <w:iCs/>
        </w:rPr>
        <w:t>Source:</w:t>
      </w:r>
      <w:r w:rsidRPr="002F1BC2">
        <w:rPr>
          <w:i/>
        </w:rPr>
        <w:t xml:space="preserve"> </w:t>
      </w:r>
      <w:r w:rsidRPr="00AC2B70">
        <w:rPr>
          <w:rStyle w:val="Emphasis"/>
        </w:rPr>
        <w:t>The Commonwealth of Australia.</w:t>
      </w:r>
    </w:p>
    <w:p w14:paraId="3BF923CB" w14:textId="77777777" w:rsidR="000E0B74" w:rsidRPr="00444CDB" w:rsidRDefault="000E0B74" w:rsidP="007057A5">
      <w:pPr>
        <w:rPr>
          <w:rStyle w:val="Strong"/>
        </w:rPr>
      </w:pPr>
      <w:r w:rsidRPr="00444CDB">
        <w:rPr>
          <w:rStyle w:val="Strong"/>
        </w:rPr>
        <w:t>Derivative material</w:t>
      </w:r>
    </w:p>
    <w:p w14:paraId="5FDF09B2" w14:textId="77777777" w:rsidR="000E0B74" w:rsidRPr="006627B4" w:rsidRDefault="000E0B74" w:rsidP="007057A5">
      <w:r w:rsidRPr="006627B4">
        <w:t xml:space="preserve">If you have modified or transformed Treasury material, or derived new material from those of the Treasury in any way, then Treasury prefers the following attribution: </w:t>
      </w:r>
    </w:p>
    <w:p w14:paraId="0A83E189" w14:textId="77777777" w:rsidR="00444CDB" w:rsidRPr="00AC2B70" w:rsidRDefault="00444CDB" w:rsidP="007057A5">
      <w:pPr>
        <w:rPr>
          <w:rStyle w:val="Emphasis"/>
        </w:rPr>
      </w:pPr>
      <w:r w:rsidRPr="00AC2B70">
        <w:rPr>
          <w:rStyle w:val="Emphasis"/>
        </w:rPr>
        <w:t>Based on Commonwealth of Australia</w:t>
      </w:r>
      <w:r w:rsidRPr="00AC2B70" w:rsidDel="002A3368">
        <w:rPr>
          <w:rStyle w:val="Emphasis"/>
        </w:rPr>
        <w:t xml:space="preserve"> </w:t>
      </w:r>
      <w:r w:rsidRPr="00AC2B70">
        <w:rPr>
          <w:rStyle w:val="Emphasis"/>
        </w:rPr>
        <w:t>data</w:t>
      </w:r>
      <w:r w:rsidRPr="00E17231">
        <w:rPr>
          <w:rStyle w:val="Emphasis"/>
        </w:rPr>
        <w:t>.</w:t>
      </w:r>
    </w:p>
    <w:p w14:paraId="006FFF84" w14:textId="77777777" w:rsidR="000E0B74" w:rsidRPr="00444CDB" w:rsidRDefault="000E0B74" w:rsidP="007057A5">
      <w:pPr>
        <w:rPr>
          <w:rStyle w:val="Strong"/>
        </w:rPr>
      </w:pPr>
      <w:r w:rsidRPr="00444CDB">
        <w:rPr>
          <w:rStyle w:val="Strong"/>
        </w:rPr>
        <w:t>Use of the Coat of Arms</w:t>
      </w:r>
    </w:p>
    <w:p w14:paraId="63AA2E03" w14:textId="55470B03" w:rsidR="005C503A" w:rsidRPr="005C503A" w:rsidRDefault="005C503A" w:rsidP="007057A5">
      <w:r w:rsidRPr="005C503A">
        <w:t xml:space="preserve">The terms under which the Coat of Arms can be used are set out on the Department of the Prime Minister and Cabinet website (see </w:t>
      </w:r>
      <w:hyperlink r:id="rId14" w:history="1">
        <w:r w:rsidR="00444CDB">
          <w:rPr>
            <w:rStyle w:val="Hyperlink"/>
          </w:rPr>
          <w:t>www.pmc.gov.au/government/commonwealth</w:t>
        </w:r>
        <w:r w:rsidR="00963E59">
          <w:rPr>
            <w:rStyle w:val="Hyperlink"/>
          </w:rPr>
          <w:noBreakHyphen/>
        </w:r>
        <w:r w:rsidR="00444CDB">
          <w:rPr>
            <w:rStyle w:val="Hyperlink"/>
          </w:rPr>
          <w:t>coat</w:t>
        </w:r>
        <w:r w:rsidR="00963E59">
          <w:rPr>
            <w:rStyle w:val="Hyperlink"/>
          </w:rPr>
          <w:noBreakHyphen/>
        </w:r>
        <w:r w:rsidR="00444CDB">
          <w:rPr>
            <w:rStyle w:val="Hyperlink"/>
          </w:rPr>
          <w:t>arms</w:t>
        </w:r>
      </w:hyperlink>
      <w:r w:rsidRPr="005C503A">
        <w:t>).</w:t>
      </w:r>
    </w:p>
    <w:p w14:paraId="12B418BD" w14:textId="77777777" w:rsidR="000E0B74" w:rsidRPr="00444CDB" w:rsidRDefault="000E0B74" w:rsidP="007057A5">
      <w:pPr>
        <w:rPr>
          <w:rStyle w:val="Strong"/>
        </w:rPr>
      </w:pPr>
      <w:r w:rsidRPr="00444CDB">
        <w:rPr>
          <w:rStyle w:val="Strong"/>
        </w:rPr>
        <w:t>Other uses</w:t>
      </w:r>
    </w:p>
    <w:p w14:paraId="2225BBF7" w14:textId="77777777" w:rsidR="000E0B74" w:rsidRPr="006627B4" w:rsidRDefault="000E0B74" w:rsidP="007057A5">
      <w:r>
        <w:t>E</w:t>
      </w:r>
      <w:r w:rsidRPr="006627B4">
        <w:t>nquiries regarding this licence and any other use of this document are welcome at:</w:t>
      </w:r>
    </w:p>
    <w:p w14:paraId="1CA8BA24" w14:textId="489FBFA3" w:rsidR="00DF7CBD" w:rsidRPr="007057A5" w:rsidRDefault="007057A5" w:rsidP="007057A5">
      <w:pPr>
        <w:ind w:left="720"/>
        <w:rPr>
          <w:rStyle w:val="Hyperlink"/>
          <w:color w:val="auto"/>
        </w:rPr>
      </w:pPr>
      <w:r w:rsidRPr="007057A5">
        <w:t>Manager</w:t>
      </w:r>
      <w:r w:rsidRPr="007057A5">
        <w:br/>
        <w:t>Media Unit</w:t>
      </w:r>
      <w:r w:rsidRPr="007057A5">
        <w:br/>
        <w:t>The Treasury</w:t>
      </w:r>
      <w:r w:rsidRPr="007057A5">
        <w:br/>
        <w:t xml:space="preserve">Langton Crescent </w:t>
      </w:r>
      <w:r w:rsidRPr="007057A5">
        <w:br/>
        <w:t>Parkes  ACT  2600</w:t>
      </w:r>
      <w:r w:rsidRPr="007057A5">
        <w:br/>
      </w:r>
      <w:r w:rsidR="000E0B74" w:rsidRPr="007057A5">
        <w:t xml:space="preserve">Email: </w:t>
      </w:r>
      <w:hyperlink r:id="rId15" w:history="1">
        <w:r w:rsidR="00386297">
          <w:rPr>
            <w:rStyle w:val="Hyperlink"/>
          </w:rPr>
          <w:t>media@treasury.gov.au</w:t>
        </w:r>
      </w:hyperlink>
    </w:p>
    <w:p w14:paraId="7957A20B" w14:textId="14DFF00A" w:rsidR="00B053DE" w:rsidRDefault="003F3035" w:rsidP="007057A5">
      <w:pPr>
        <w:rPr>
          <w:sz w:val="20"/>
        </w:rPr>
      </w:pPr>
      <w:r w:rsidRPr="003F3035">
        <w:rPr>
          <w:b/>
          <w:bCs/>
        </w:rPr>
        <w:t xml:space="preserve">Acknowledgements </w:t>
      </w:r>
      <w:r w:rsidRPr="003F3035">
        <w:t xml:space="preserve">In addition to the stakeholders </w:t>
      </w:r>
      <w:r w:rsidR="005200F1">
        <w:t>that</w:t>
      </w:r>
      <w:r w:rsidR="005200F1" w:rsidRPr="003F3035">
        <w:t xml:space="preserve"> </w:t>
      </w:r>
      <w:r w:rsidRPr="003F3035">
        <w:t xml:space="preserve">provided valuable submissions through the public consultation process, Treasury acknowledges the </w:t>
      </w:r>
      <w:r w:rsidR="00FB5485">
        <w:t xml:space="preserve">Climateworks </w:t>
      </w:r>
      <w:r w:rsidR="00166F73">
        <w:t>and Energy Efficiency Council</w:t>
      </w:r>
      <w:r w:rsidR="00FB5485">
        <w:t xml:space="preserve"> convened </w:t>
      </w:r>
      <w:r w:rsidRPr="003F3035">
        <w:t xml:space="preserve">Transition Plan Working Group for </w:t>
      </w:r>
      <w:r w:rsidR="005200F1">
        <w:t>its</w:t>
      </w:r>
      <w:r w:rsidR="005200F1" w:rsidRPr="003F3035">
        <w:t xml:space="preserve"> </w:t>
      </w:r>
      <w:r w:rsidRPr="003F3035">
        <w:t>contributions in informing this guidance</w:t>
      </w:r>
      <w:r w:rsidR="005200F1">
        <w:t xml:space="preserve">: </w:t>
      </w:r>
      <w:r w:rsidR="006B5BB2">
        <w:t>including Australian Council of Superannuation Investors, Australian Institute of Company Directors,</w:t>
      </w:r>
      <w:r w:rsidR="00105849">
        <w:t xml:space="preserve"> Australian</w:t>
      </w:r>
      <w:r w:rsidR="00B428FF">
        <w:t> </w:t>
      </w:r>
      <w:r w:rsidR="00105849">
        <w:t>Sustainable Finance Institute,</w:t>
      </w:r>
      <w:r w:rsidR="006B5BB2">
        <w:t xml:space="preserve"> Business Council for Sustainable Development Australia, Carbon Market Institute</w:t>
      </w:r>
      <w:r w:rsidR="00F5480E">
        <w:t>, Chartered Accountants ANZ, Climateworks Centre, Energy Efficiency Council, Investor Group on Climate Change,</w:t>
      </w:r>
      <w:r w:rsidR="00105849">
        <w:t xml:space="preserve"> Principles for Responsible Investment and Responsible Investment Association </w:t>
      </w:r>
      <w:r w:rsidR="00C503BA" w:rsidRPr="00C503BA">
        <w:t>Australasia</w:t>
      </w:r>
      <w:r w:rsidR="004B764A">
        <w:t>.</w:t>
      </w:r>
    </w:p>
    <w:p w14:paraId="31F06BD2" w14:textId="77777777" w:rsidR="00B053DE" w:rsidRPr="003F1597" w:rsidRDefault="00B053DE" w:rsidP="00B053DE">
      <w:pPr>
        <w:rPr>
          <w:rStyle w:val="Emphasis"/>
        </w:rPr>
      </w:pPr>
      <w:r w:rsidRPr="003F1597">
        <w:rPr>
          <w:rStyle w:val="Emphasis"/>
        </w:rPr>
        <w:t>In the spirit of reconciliation, the Treasury acknowledges the Traditional Custodians of country throughout Australia and their connections to land, sea and community. We pay our respect to their Elders past and present and extend that respect to all Aboriginal and Torres Strait Islander peoples.</w:t>
      </w:r>
    </w:p>
    <w:p w14:paraId="17AE49D6" w14:textId="77777777" w:rsidR="00B053DE" w:rsidRDefault="00B053DE" w:rsidP="00F910DB">
      <w:pPr>
        <w:rPr>
          <w:sz w:val="20"/>
        </w:rPr>
        <w:sectPr w:rsidR="00B053DE" w:rsidSect="00700AC5">
          <w:footerReference w:type="even" r:id="rId16"/>
          <w:footerReference w:type="default" r:id="rId17"/>
          <w:endnotePr>
            <w:numFmt w:val="decimal"/>
          </w:endnotePr>
          <w:pgSz w:w="11906" w:h="16838" w:code="9"/>
          <w:pgMar w:top="1843" w:right="1418" w:bottom="1418" w:left="1418" w:header="709" w:footer="709" w:gutter="0"/>
          <w:cols w:space="708"/>
          <w:titlePg/>
          <w:docGrid w:linePitch="360"/>
        </w:sectPr>
      </w:pPr>
    </w:p>
    <w:p w14:paraId="512B6F0E" w14:textId="34605990" w:rsidR="00F910DB" w:rsidRPr="003F3035" w:rsidRDefault="00C5657C" w:rsidP="00C5657C">
      <w:pPr>
        <w:pStyle w:val="Heading1"/>
        <w:spacing w:before="0"/>
      </w:pPr>
      <w:bookmarkStart w:id="0" w:name="_Toc224906860"/>
      <w:bookmarkStart w:id="1" w:name="_Toc224916492"/>
      <w:bookmarkStart w:id="2" w:name="_Toc225158099"/>
      <w:bookmarkStart w:id="3" w:name="_Toc225348145"/>
      <w:bookmarkStart w:id="4" w:name="_Toc232776334"/>
      <w:r>
        <w:lastRenderedPageBreak/>
        <w:t>Contents</w:t>
      </w:r>
      <w:bookmarkEnd w:id="0"/>
      <w:bookmarkEnd w:id="1"/>
      <w:bookmarkEnd w:id="2"/>
      <w:bookmarkEnd w:id="3"/>
      <w:bookmarkEnd w:id="4"/>
    </w:p>
    <w:bookmarkStart w:id="5" w:name="_Toc111026801"/>
    <w:bookmarkStart w:id="6" w:name="_Toc215764017"/>
    <w:p w14:paraId="54B015B6" w14:textId="1341B41F" w:rsidR="00006B2F" w:rsidRDefault="00DA7820">
      <w:pPr>
        <w:pStyle w:val="TOC1"/>
        <w:rPr>
          <w:rFonts w:asciiTheme="minorHAnsi" w:eastAsiaTheme="minorEastAsia" w:hAnsiTheme="minorHAnsi" w:cstheme="minorBidi"/>
          <w:b w:val="0"/>
          <w:color w:val="auto"/>
          <w:kern w:val="2"/>
          <w:sz w:val="24"/>
          <w:szCs w:val="24"/>
          <w14:ligatures w14:val="standardContextual"/>
        </w:rPr>
      </w:pPr>
      <w:r>
        <w:rPr>
          <w:bCs/>
          <w:color w:val="5D779D" w:themeColor="accent3"/>
          <w:sz w:val="44"/>
        </w:rPr>
        <w:fldChar w:fldCharType="begin"/>
      </w:r>
      <w:r>
        <w:rPr>
          <w:bCs/>
          <w:color w:val="5D779D" w:themeColor="accent3"/>
          <w:sz w:val="44"/>
        </w:rPr>
        <w:instrText xml:space="preserve"> TOC \o "1-2" \h \z \u </w:instrText>
      </w:r>
      <w:r>
        <w:rPr>
          <w:bCs/>
          <w:color w:val="5D779D" w:themeColor="accent3"/>
          <w:sz w:val="44"/>
        </w:rPr>
        <w:fldChar w:fldCharType="separate"/>
      </w:r>
      <w:hyperlink w:anchor="_Toc232776337" w:history="1">
        <w:r w:rsidR="00006B2F" w:rsidRPr="00DB1639">
          <w:rPr>
            <w:rStyle w:val="Hyperlink"/>
          </w:rPr>
          <w:t>Executive summary</w:t>
        </w:r>
        <w:r w:rsidR="00006B2F">
          <w:rPr>
            <w:webHidden/>
          </w:rPr>
          <w:tab/>
        </w:r>
        <w:r w:rsidR="00006B2F">
          <w:rPr>
            <w:webHidden/>
          </w:rPr>
          <w:fldChar w:fldCharType="begin"/>
        </w:r>
        <w:r w:rsidR="00006B2F">
          <w:rPr>
            <w:webHidden/>
          </w:rPr>
          <w:instrText xml:space="preserve"> PAGEREF _Toc232776337 \h </w:instrText>
        </w:r>
        <w:r w:rsidR="00006B2F">
          <w:rPr>
            <w:webHidden/>
          </w:rPr>
        </w:r>
        <w:r w:rsidR="00006B2F">
          <w:rPr>
            <w:webHidden/>
          </w:rPr>
          <w:fldChar w:fldCharType="separate"/>
        </w:r>
        <w:r w:rsidR="00AB5FC6">
          <w:rPr>
            <w:webHidden/>
          </w:rPr>
          <w:t>1</w:t>
        </w:r>
        <w:r w:rsidR="00006B2F">
          <w:rPr>
            <w:webHidden/>
          </w:rPr>
          <w:fldChar w:fldCharType="end"/>
        </w:r>
      </w:hyperlink>
    </w:p>
    <w:p w14:paraId="023DC083" w14:textId="6AB23818" w:rsidR="00006B2F" w:rsidRDefault="00006B2F">
      <w:pPr>
        <w:pStyle w:val="TOC1"/>
        <w:rPr>
          <w:rFonts w:asciiTheme="minorHAnsi" w:eastAsiaTheme="minorEastAsia" w:hAnsiTheme="minorHAnsi" w:cstheme="minorBidi"/>
          <w:b w:val="0"/>
          <w:color w:val="auto"/>
          <w:kern w:val="2"/>
          <w:sz w:val="24"/>
          <w:szCs w:val="24"/>
          <w14:ligatures w14:val="standardContextual"/>
        </w:rPr>
      </w:pPr>
      <w:hyperlink w:anchor="_Toc232776338" w:history="1">
        <w:r w:rsidRPr="00DB1639">
          <w:rPr>
            <w:rStyle w:val="Hyperlink"/>
          </w:rPr>
          <w:t>Purpose and audience</w:t>
        </w:r>
        <w:r>
          <w:rPr>
            <w:webHidden/>
          </w:rPr>
          <w:tab/>
        </w:r>
        <w:r>
          <w:rPr>
            <w:webHidden/>
          </w:rPr>
          <w:fldChar w:fldCharType="begin"/>
        </w:r>
        <w:r>
          <w:rPr>
            <w:webHidden/>
          </w:rPr>
          <w:instrText xml:space="preserve"> PAGEREF _Toc232776338 \h </w:instrText>
        </w:r>
        <w:r>
          <w:rPr>
            <w:webHidden/>
          </w:rPr>
        </w:r>
        <w:r>
          <w:rPr>
            <w:webHidden/>
          </w:rPr>
          <w:fldChar w:fldCharType="separate"/>
        </w:r>
        <w:r w:rsidR="00AB5FC6">
          <w:rPr>
            <w:webHidden/>
          </w:rPr>
          <w:t>4</w:t>
        </w:r>
        <w:r>
          <w:rPr>
            <w:webHidden/>
          </w:rPr>
          <w:fldChar w:fldCharType="end"/>
        </w:r>
      </w:hyperlink>
    </w:p>
    <w:p w14:paraId="160F0974" w14:textId="3B97C819" w:rsidR="00006B2F" w:rsidRDefault="00006B2F">
      <w:pPr>
        <w:pStyle w:val="TOC2"/>
        <w:rPr>
          <w:rFonts w:asciiTheme="minorHAnsi" w:eastAsiaTheme="minorEastAsia" w:hAnsiTheme="minorHAnsi" w:cstheme="minorBidi"/>
          <w:color w:val="auto"/>
          <w:kern w:val="2"/>
          <w:sz w:val="24"/>
          <w:szCs w:val="24"/>
          <w14:ligatures w14:val="standardContextual"/>
        </w:rPr>
      </w:pPr>
      <w:hyperlink w:anchor="_Toc232776339" w:history="1">
        <w:r w:rsidRPr="00DB1639">
          <w:rPr>
            <w:rStyle w:val="Hyperlink"/>
          </w:rPr>
          <w:t>Interactions with other guidance and supporting materials</w:t>
        </w:r>
        <w:r>
          <w:rPr>
            <w:webHidden/>
          </w:rPr>
          <w:tab/>
        </w:r>
        <w:r>
          <w:rPr>
            <w:webHidden/>
          </w:rPr>
          <w:fldChar w:fldCharType="begin"/>
        </w:r>
        <w:r>
          <w:rPr>
            <w:webHidden/>
          </w:rPr>
          <w:instrText xml:space="preserve"> PAGEREF _Toc232776339 \h </w:instrText>
        </w:r>
        <w:r>
          <w:rPr>
            <w:webHidden/>
          </w:rPr>
        </w:r>
        <w:r>
          <w:rPr>
            <w:webHidden/>
          </w:rPr>
          <w:fldChar w:fldCharType="separate"/>
        </w:r>
        <w:r w:rsidR="00AB5FC6">
          <w:rPr>
            <w:webHidden/>
          </w:rPr>
          <w:t>4</w:t>
        </w:r>
        <w:r>
          <w:rPr>
            <w:webHidden/>
          </w:rPr>
          <w:fldChar w:fldCharType="end"/>
        </w:r>
      </w:hyperlink>
    </w:p>
    <w:p w14:paraId="59EA72E5" w14:textId="2A5FBFEB" w:rsidR="00006B2F" w:rsidRDefault="00006B2F">
      <w:pPr>
        <w:pStyle w:val="TOC2"/>
        <w:rPr>
          <w:rFonts w:asciiTheme="minorHAnsi" w:eastAsiaTheme="minorEastAsia" w:hAnsiTheme="minorHAnsi" w:cstheme="minorBidi"/>
          <w:color w:val="auto"/>
          <w:kern w:val="2"/>
          <w:sz w:val="24"/>
          <w:szCs w:val="24"/>
          <w14:ligatures w14:val="standardContextual"/>
        </w:rPr>
      </w:pPr>
      <w:hyperlink w:anchor="_Toc232776340" w:history="1">
        <w:r w:rsidRPr="00DB1639">
          <w:rPr>
            <w:rStyle w:val="Hyperlink"/>
          </w:rPr>
          <w:t>Interaction with climate</w:t>
        </w:r>
        <w:r w:rsidR="00963E59">
          <w:rPr>
            <w:rStyle w:val="Hyperlink"/>
          </w:rPr>
          <w:noBreakHyphen/>
        </w:r>
        <w:r w:rsidRPr="00DB1639">
          <w:rPr>
            <w:rStyle w:val="Hyperlink"/>
          </w:rPr>
          <w:t>related financial disclosure under AASB S2</w:t>
        </w:r>
        <w:r>
          <w:rPr>
            <w:webHidden/>
          </w:rPr>
          <w:tab/>
        </w:r>
        <w:r>
          <w:rPr>
            <w:webHidden/>
          </w:rPr>
          <w:fldChar w:fldCharType="begin"/>
        </w:r>
        <w:r>
          <w:rPr>
            <w:webHidden/>
          </w:rPr>
          <w:instrText xml:space="preserve"> PAGEREF _Toc232776340 \h </w:instrText>
        </w:r>
        <w:r>
          <w:rPr>
            <w:webHidden/>
          </w:rPr>
        </w:r>
        <w:r>
          <w:rPr>
            <w:webHidden/>
          </w:rPr>
          <w:fldChar w:fldCharType="separate"/>
        </w:r>
        <w:r w:rsidR="00AB5FC6">
          <w:rPr>
            <w:webHidden/>
          </w:rPr>
          <w:t>5</w:t>
        </w:r>
        <w:r>
          <w:rPr>
            <w:webHidden/>
          </w:rPr>
          <w:fldChar w:fldCharType="end"/>
        </w:r>
      </w:hyperlink>
    </w:p>
    <w:p w14:paraId="12469E2D" w14:textId="4AE08C23" w:rsidR="00006B2F" w:rsidRDefault="00006B2F">
      <w:pPr>
        <w:pStyle w:val="TOC1"/>
        <w:rPr>
          <w:rFonts w:asciiTheme="minorHAnsi" w:eastAsiaTheme="minorEastAsia" w:hAnsiTheme="minorHAnsi" w:cstheme="minorBidi"/>
          <w:b w:val="0"/>
          <w:color w:val="auto"/>
          <w:kern w:val="2"/>
          <w:sz w:val="24"/>
          <w:szCs w:val="24"/>
          <w14:ligatures w14:val="standardContextual"/>
        </w:rPr>
      </w:pPr>
      <w:hyperlink w:anchor="_Toc232776341" w:history="1">
        <w:r w:rsidRPr="00DB1639">
          <w:rPr>
            <w:rStyle w:val="Hyperlink"/>
          </w:rPr>
          <w:t>Overview of climate</w:t>
        </w:r>
        <w:r w:rsidR="00963E59">
          <w:rPr>
            <w:rStyle w:val="Hyperlink"/>
          </w:rPr>
          <w:noBreakHyphen/>
        </w:r>
        <w:r w:rsidRPr="00DB1639">
          <w:rPr>
            <w:rStyle w:val="Hyperlink"/>
          </w:rPr>
          <w:t>related transition planning</w:t>
        </w:r>
        <w:r>
          <w:rPr>
            <w:webHidden/>
          </w:rPr>
          <w:tab/>
        </w:r>
        <w:r>
          <w:rPr>
            <w:webHidden/>
          </w:rPr>
          <w:fldChar w:fldCharType="begin"/>
        </w:r>
        <w:r>
          <w:rPr>
            <w:webHidden/>
          </w:rPr>
          <w:instrText xml:space="preserve"> PAGEREF _Toc232776341 \h </w:instrText>
        </w:r>
        <w:r>
          <w:rPr>
            <w:webHidden/>
          </w:rPr>
        </w:r>
        <w:r>
          <w:rPr>
            <w:webHidden/>
          </w:rPr>
          <w:fldChar w:fldCharType="separate"/>
        </w:r>
        <w:r w:rsidR="00AB5FC6">
          <w:rPr>
            <w:webHidden/>
          </w:rPr>
          <w:t>7</w:t>
        </w:r>
        <w:r>
          <w:rPr>
            <w:webHidden/>
          </w:rPr>
          <w:fldChar w:fldCharType="end"/>
        </w:r>
      </w:hyperlink>
    </w:p>
    <w:p w14:paraId="3A2ED5CD" w14:textId="10B46CC1" w:rsidR="00006B2F" w:rsidRDefault="00006B2F">
      <w:pPr>
        <w:pStyle w:val="TOC2"/>
        <w:rPr>
          <w:rFonts w:asciiTheme="minorHAnsi" w:eastAsiaTheme="minorEastAsia" w:hAnsiTheme="minorHAnsi" w:cstheme="minorBidi"/>
          <w:color w:val="auto"/>
          <w:kern w:val="2"/>
          <w:sz w:val="24"/>
          <w:szCs w:val="24"/>
          <w14:ligatures w14:val="standardContextual"/>
        </w:rPr>
      </w:pPr>
      <w:hyperlink w:anchor="_Toc232776342" w:history="1">
        <w:r w:rsidRPr="00DB1639">
          <w:rPr>
            <w:rStyle w:val="Hyperlink"/>
          </w:rPr>
          <w:t>About climate</w:t>
        </w:r>
        <w:r w:rsidR="00963E59">
          <w:rPr>
            <w:rStyle w:val="Hyperlink"/>
          </w:rPr>
          <w:noBreakHyphen/>
        </w:r>
        <w:r w:rsidRPr="00DB1639">
          <w:rPr>
            <w:rStyle w:val="Hyperlink"/>
          </w:rPr>
          <w:t>related transition planning</w:t>
        </w:r>
        <w:r>
          <w:rPr>
            <w:webHidden/>
          </w:rPr>
          <w:tab/>
        </w:r>
        <w:r>
          <w:rPr>
            <w:webHidden/>
          </w:rPr>
          <w:fldChar w:fldCharType="begin"/>
        </w:r>
        <w:r>
          <w:rPr>
            <w:webHidden/>
          </w:rPr>
          <w:instrText xml:space="preserve"> PAGEREF _Toc232776342 \h </w:instrText>
        </w:r>
        <w:r>
          <w:rPr>
            <w:webHidden/>
          </w:rPr>
        </w:r>
        <w:r>
          <w:rPr>
            <w:webHidden/>
          </w:rPr>
          <w:fldChar w:fldCharType="separate"/>
        </w:r>
        <w:r w:rsidR="00AB5FC6">
          <w:rPr>
            <w:webHidden/>
          </w:rPr>
          <w:t>7</w:t>
        </w:r>
        <w:r>
          <w:rPr>
            <w:webHidden/>
          </w:rPr>
          <w:fldChar w:fldCharType="end"/>
        </w:r>
      </w:hyperlink>
    </w:p>
    <w:p w14:paraId="31CCEED1" w14:textId="2E271BDB" w:rsidR="00006B2F" w:rsidRDefault="00006B2F">
      <w:pPr>
        <w:pStyle w:val="TOC2"/>
        <w:rPr>
          <w:rFonts w:asciiTheme="minorHAnsi" w:eastAsiaTheme="minorEastAsia" w:hAnsiTheme="minorHAnsi" w:cstheme="minorBidi"/>
          <w:color w:val="auto"/>
          <w:kern w:val="2"/>
          <w:sz w:val="24"/>
          <w:szCs w:val="24"/>
          <w14:ligatures w14:val="standardContextual"/>
        </w:rPr>
      </w:pPr>
      <w:hyperlink w:anchor="_Toc232776343" w:history="1">
        <w:r w:rsidRPr="00DB1639">
          <w:rPr>
            <w:rStyle w:val="Hyperlink"/>
          </w:rPr>
          <w:t>Approaches to transition planning</w:t>
        </w:r>
        <w:r>
          <w:rPr>
            <w:webHidden/>
          </w:rPr>
          <w:tab/>
        </w:r>
        <w:r>
          <w:rPr>
            <w:webHidden/>
          </w:rPr>
          <w:fldChar w:fldCharType="begin"/>
        </w:r>
        <w:r>
          <w:rPr>
            <w:webHidden/>
          </w:rPr>
          <w:instrText xml:space="preserve"> PAGEREF _Toc232776343 \h </w:instrText>
        </w:r>
        <w:r>
          <w:rPr>
            <w:webHidden/>
          </w:rPr>
        </w:r>
        <w:r>
          <w:rPr>
            <w:webHidden/>
          </w:rPr>
          <w:fldChar w:fldCharType="separate"/>
        </w:r>
        <w:r w:rsidR="00AB5FC6">
          <w:rPr>
            <w:webHidden/>
          </w:rPr>
          <w:t>9</w:t>
        </w:r>
        <w:r>
          <w:rPr>
            <w:webHidden/>
          </w:rPr>
          <w:fldChar w:fldCharType="end"/>
        </w:r>
      </w:hyperlink>
    </w:p>
    <w:p w14:paraId="1DF29D7F" w14:textId="3C4C4758" w:rsidR="00006B2F" w:rsidRDefault="00006B2F">
      <w:pPr>
        <w:pStyle w:val="TOC1"/>
        <w:rPr>
          <w:rFonts w:asciiTheme="minorHAnsi" w:eastAsiaTheme="minorEastAsia" w:hAnsiTheme="minorHAnsi" w:cstheme="minorBidi"/>
          <w:b w:val="0"/>
          <w:color w:val="auto"/>
          <w:kern w:val="2"/>
          <w:sz w:val="24"/>
          <w:szCs w:val="24"/>
          <w14:ligatures w14:val="standardContextual"/>
        </w:rPr>
      </w:pPr>
      <w:hyperlink w:anchor="_Toc232776344" w:history="1">
        <w:r w:rsidRPr="00DB1639">
          <w:rPr>
            <w:rStyle w:val="Hyperlink"/>
          </w:rPr>
          <w:t>Stage 1: Assess or re</w:t>
        </w:r>
        <w:r w:rsidR="00963E59">
          <w:rPr>
            <w:rStyle w:val="Hyperlink"/>
          </w:rPr>
          <w:noBreakHyphen/>
        </w:r>
        <w:r w:rsidRPr="00DB1639">
          <w:rPr>
            <w:rStyle w:val="Hyperlink"/>
          </w:rPr>
          <w:t>assess organisational position</w:t>
        </w:r>
        <w:r>
          <w:rPr>
            <w:webHidden/>
          </w:rPr>
          <w:tab/>
        </w:r>
        <w:r>
          <w:rPr>
            <w:webHidden/>
          </w:rPr>
          <w:fldChar w:fldCharType="begin"/>
        </w:r>
        <w:r>
          <w:rPr>
            <w:webHidden/>
          </w:rPr>
          <w:instrText xml:space="preserve"> PAGEREF _Toc232776344 \h </w:instrText>
        </w:r>
        <w:r>
          <w:rPr>
            <w:webHidden/>
          </w:rPr>
        </w:r>
        <w:r>
          <w:rPr>
            <w:webHidden/>
          </w:rPr>
          <w:fldChar w:fldCharType="separate"/>
        </w:r>
        <w:r w:rsidR="00AB5FC6">
          <w:rPr>
            <w:webHidden/>
          </w:rPr>
          <w:t>12</w:t>
        </w:r>
        <w:r>
          <w:rPr>
            <w:webHidden/>
          </w:rPr>
          <w:fldChar w:fldCharType="end"/>
        </w:r>
      </w:hyperlink>
    </w:p>
    <w:p w14:paraId="7F90D53E" w14:textId="5559D1F6"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45" w:history="1">
        <w:r w:rsidRPr="00DB1639">
          <w:rPr>
            <w:rStyle w:val="Hyperlink"/>
          </w:rPr>
          <w:t>1.1</w:t>
        </w:r>
        <w:r>
          <w:rPr>
            <w:rFonts w:asciiTheme="minorHAnsi" w:eastAsiaTheme="minorEastAsia" w:hAnsiTheme="minorHAnsi" w:cstheme="minorBidi"/>
            <w:color w:val="auto"/>
            <w:kern w:val="2"/>
            <w:sz w:val="24"/>
            <w:szCs w:val="24"/>
            <w14:ligatures w14:val="standardContextual"/>
          </w:rPr>
          <w:tab/>
        </w:r>
        <w:r w:rsidRPr="00DB1639">
          <w:rPr>
            <w:rStyle w:val="Hyperlink"/>
          </w:rPr>
          <w:t>Board approval and cross</w:t>
        </w:r>
        <w:r w:rsidR="00963E59">
          <w:rPr>
            <w:rStyle w:val="Hyperlink"/>
          </w:rPr>
          <w:noBreakHyphen/>
        </w:r>
        <w:r w:rsidRPr="00DB1639">
          <w:rPr>
            <w:rStyle w:val="Hyperlink"/>
          </w:rPr>
          <w:t>organisation ownership</w:t>
        </w:r>
        <w:r>
          <w:rPr>
            <w:webHidden/>
          </w:rPr>
          <w:tab/>
        </w:r>
        <w:r>
          <w:rPr>
            <w:webHidden/>
          </w:rPr>
          <w:fldChar w:fldCharType="begin"/>
        </w:r>
        <w:r>
          <w:rPr>
            <w:webHidden/>
          </w:rPr>
          <w:instrText xml:space="preserve"> PAGEREF _Toc232776345 \h </w:instrText>
        </w:r>
        <w:r>
          <w:rPr>
            <w:webHidden/>
          </w:rPr>
        </w:r>
        <w:r>
          <w:rPr>
            <w:webHidden/>
          </w:rPr>
          <w:fldChar w:fldCharType="separate"/>
        </w:r>
        <w:r w:rsidR="00AB5FC6">
          <w:rPr>
            <w:webHidden/>
          </w:rPr>
          <w:t>12</w:t>
        </w:r>
        <w:r>
          <w:rPr>
            <w:webHidden/>
          </w:rPr>
          <w:fldChar w:fldCharType="end"/>
        </w:r>
      </w:hyperlink>
    </w:p>
    <w:p w14:paraId="7251AFFE" w14:textId="71D89FC8"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46" w:history="1">
        <w:r w:rsidRPr="00DB1639">
          <w:rPr>
            <w:rStyle w:val="Hyperlink"/>
          </w:rPr>
          <w:t>1.2</w:t>
        </w:r>
        <w:r>
          <w:rPr>
            <w:rFonts w:asciiTheme="minorHAnsi" w:eastAsiaTheme="minorEastAsia" w:hAnsiTheme="minorHAnsi" w:cstheme="minorBidi"/>
            <w:color w:val="auto"/>
            <w:kern w:val="2"/>
            <w:sz w:val="24"/>
            <w:szCs w:val="24"/>
            <w14:ligatures w14:val="standardContextual"/>
          </w:rPr>
          <w:tab/>
        </w:r>
        <w:r w:rsidRPr="00DB1639">
          <w:rPr>
            <w:rStyle w:val="Hyperlink"/>
          </w:rPr>
          <w:t>Determine the scope of transition planning</w:t>
        </w:r>
        <w:r>
          <w:rPr>
            <w:webHidden/>
          </w:rPr>
          <w:tab/>
        </w:r>
        <w:r>
          <w:rPr>
            <w:webHidden/>
          </w:rPr>
          <w:fldChar w:fldCharType="begin"/>
        </w:r>
        <w:r>
          <w:rPr>
            <w:webHidden/>
          </w:rPr>
          <w:instrText xml:space="preserve"> PAGEREF _Toc232776346 \h </w:instrText>
        </w:r>
        <w:r>
          <w:rPr>
            <w:webHidden/>
          </w:rPr>
        </w:r>
        <w:r>
          <w:rPr>
            <w:webHidden/>
          </w:rPr>
          <w:fldChar w:fldCharType="separate"/>
        </w:r>
        <w:r w:rsidR="00AB5FC6">
          <w:rPr>
            <w:webHidden/>
          </w:rPr>
          <w:t>16</w:t>
        </w:r>
        <w:r>
          <w:rPr>
            <w:webHidden/>
          </w:rPr>
          <w:fldChar w:fldCharType="end"/>
        </w:r>
      </w:hyperlink>
    </w:p>
    <w:p w14:paraId="42D9A8DF" w14:textId="1E76BE8F"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47" w:history="1">
        <w:r w:rsidRPr="00DB1639">
          <w:rPr>
            <w:rStyle w:val="Hyperlink"/>
          </w:rPr>
          <w:t>1.3</w:t>
        </w:r>
        <w:r>
          <w:rPr>
            <w:rFonts w:asciiTheme="minorHAnsi" w:eastAsiaTheme="minorEastAsia" w:hAnsiTheme="minorHAnsi" w:cstheme="minorBidi"/>
            <w:color w:val="auto"/>
            <w:kern w:val="2"/>
            <w:sz w:val="24"/>
            <w:szCs w:val="24"/>
            <w14:ligatures w14:val="standardContextual"/>
          </w:rPr>
          <w:tab/>
        </w:r>
        <w:r w:rsidRPr="00DB1639">
          <w:rPr>
            <w:rStyle w:val="Hyperlink"/>
          </w:rPr>
          <w:t>Map key stakeholders</w:t>
        </w:r>
        <w:r>
          <w:rPr>
            <w:webHidden/>
          </w:rPr>
          <w:tab/>
        </w:r>
        <w:r>
          <w:rPr>
            <w:webHidden/>
          </w:rPr>
          <w:fldChar w:fldCharType="begin"/>
        </w:r>
        <w:r>
          <w:rPr>
            <w:webHidden/>
          </w:rPr>
          <w:instrText xml:space="preserve"> PAGEREF _Toc232776347 \h </w:instrText>
        </w:r>
        <w:r>
          <w:rPr>
            <w:webHidden/>
          </w:rPr>
        </w:r>
        <w:r>
          <w:rPr>
            <w:webHidden/>
          </w:rPr>
          <w:fldChar w:fldCharType="separate"/>
        </w:r>
        <w:r w:rsidR="00AB5FC6">
          <w:rPr>
            <w:webHidden/>
          </w:rPr>
          <w:t>16</w:t>
        </w:r>
        <w:r>
          <w:rPr>
            <w:webHidden/>
          </w:rPr>
          <w:fldChar w:fldCharType="end"/>
        </w:r>
      </w:hyperlink>
    </w:p>
    <w:p w14:paraId="333047C2" w14:textId="4C793403"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48" w:history="1">
        <w:r w:rsidRPr="00DB1639">
          <w:rPr>
            <w:rStyle w:val="Hyperlink"/>
          </w:rPr>
          <w:t>1.4</w:t>
        </w:r>
        <w:r>
          <w:rPr>
            <w:rFonts w:asciiTheme="minorHAnsi" w:eastAsiaTheme="minorEastAsia" w:hAnsiTheme="minorHAnsi" w:cstheme="minorBidi"/>
            <w:color w:val="auto"/>
            <w:kern w:val="2"/>
            <w:sz w:val="24"/>
            <w:szCs w:val="24"/>
            <w14:ligatures w14:val="standardContextual"/>
          </w:rPr>
          <w:tab/>
        </w:r>
        <w:r w:rsidRPr="00DB1639">
          <w:rPr>
            <w:rStyle w:val="Hyperlink"/>
          </w:rPr>
          <w:t>Assess climate</w:t>
        </w:r>
        <w:r w:rsidR="00963E59">
          <w:rPr>
            <w:rStyle w:val="Hyperlink"/>
          </w:rPr>
          <w:noBreakHyphen/>
        </w:r>
        <w:r w:rsidRPr="00DB1639">
          <w:rPr>
            <w:rStyle w:val="Hyperlink"/>
          </w:rPr>
          <w:t>related risks and opportunities</w:t>
        </w:r>
        <w:r>
          <w:rPr>
            <w:webHidden/>
          </w:rPr>
          <w:tab/>
        </w:r>
        <w:r>
          <w:rPr>
            <w:webHidden/>
          </w:rPr>
          <w:fldChar w:fldCharType="begin"/>
        </w:r>
        <w:r>
          <w:rPr>
            <w:webHidden/>
          </w:rPr>
          <w:instrText xml:space="preserve"> PAGEREF _Toc232776348 \h </w:instrText>
        </w:r>
        <w:r>
          <w:rPr>
            <w:webHidden/>
          </w:rPr>
        </w:r>
        <w:r>
          <w:rPr>
            <w:webHidden/>
          </w:rPr>
          <w:fldChar w:fldCharType="separate"/>
        </w:r>
        <w:r w:rsidR="00AB5FC6">
          <w:rPr>
            <w:webHidden/>
          </w:rPr>
          <w:t>17</w:t>
        </w:r>
        <w:r>
          <w:rPr>
            <w:webHidden/>
          </w:rPr>
          <w:fldChar w:fldCharType="end"/>
        </w:r>
      </w:hyperlink>
    </w:p>
    <w:p w14:paraId="5E3DA1A9" w14:textId="60CD3C8B"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49" w:history="1">
        <w:r w:rsidRPr="00DB1639">
          <w:rPr>
            <w:rStyle w:val="Hyperlink"/>
          </w:rPr>
          <w:t>1.5</w:t>
        </w:r>
        <w:r>
          <w:rPr>
            <w:rFonts w:asciiTheme="minorHAnsi" w:eastAsiaTheme="minorEastAsia" w:hAnsiTheme="minorHAnsi" w:cstheme="minorBidi"/>
            <w:color w:val="auto"/>
            <w:kern w:val="2"/>
            <w:sz w:val="24"/>
            <w:szCs w:val="24"/>
            <w14:ligatures w14:val="standardContextual"/>
          </w:rPr>
          <w:tab/>
        </w:r>
        <w:r w:rsidRPr="00DB1639">
          <w:rPr>
            <w:rStyle w:val="Hyperlink"/>
          </w:rPr>
          <w:t>Measure emissions footprint</w:t>
        </w:r>
        <w:r>
          <w:rPr>
            <w:webHidden/>
          </w:rPr>
          <w:tab/>
        </w:r>
        <w:r>
          <w:rPr>
            <w:webHidden/>
          </w:rPr>
          <w:fldChar w:fldCharType="begin"/>
        </w:r>
        <w:r>
          <w:rPr>
            <w:webHidden/>
          </w:rPr>
          <w:instrText xml:space="preserve"> PAGEREF _Toc232776349 \h </w:instrText>
        </w:r>
        <w:r>
          <w:rPr>
            <w:webHidden/>
          </w:rPr>
        </w:r>
        <w:r>
          <w:rPr>
            <w:webHidden/>
          </w:rPr>
          <w:fldChar w:fldCharType="separate"/>
        </w:r>
        <w:r w:rsidR="00AB5FC6">
          <w:rPr>
            <w:webHidden/>
          </w:rPr>
          <w:t>22</w:t>
        </w:r>
        <w:r>
          <w:rPr>
            <w:webHidden/>
          </w:rPr>
          <w:fldChar w:fldCharType="end"/>
        </w:r>
      </w:hyperlink>
    </w:p>
    <w:p w14:paraId="7D6FB578" w14:textId="3C987816"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50" w:history="1">
        <w:r w:rsidRPr="00DB1639">
          <w:rPr>
            <w:rStyle w:val="Hyperlink"/>
          </w:rPr>
          <w:t>1.6</w:t>
        </w:r>
        <w:r>
          <w:rPr>
            <w:rFonts w:asciiTheme="minorHAnsi" w:eastAsiaTheme="minorEastAsia" w:hAnsiTheme="minorHAnsi" w:cstheme="minorBidi"/>
            <w:color w:val="auto"/>
            <w:kern w:val="2"/>
            <w:sz w:val="24"/>
            <w:szCs w:val="24"/>
            <w14:ligatures w14:val="standardContextual"/>
          </w:rPr>
          <w:tab/>
        </w:r>
        <w:r w:rsidRPr="00DB1639">
          <w:rPr>
            <w:rStyle w:val="Hyperlink"/>
          </w:rPr>
          <w:t>Identify transition and adaptation levers</w:t>
        </w:r>
        <w:r>
          <w:rPr>
            <w:webHidden/>
          </w:rPr>
          <w:tab/>
        </w:r>
        <w:r>
          <w:rPr>
            <w:webHidden/>
          </w:rPr>
          <w:fldChar w:fldCharType="begin"/>
        </w:r>
        <w:r>
          <w:rPr>
            <w:webHidden/>
          </w:rPr>
          <w:instrText xml:space="preserve"> PAGEREF _Toc232776350 \h </w:instrText>
        </w:r>
        <w:r>
          <w:rPr>
            <w:webHidden/>
          </w:rPr>
        </w:r>
        <w:r>
          <w:rPr>
            <w:webHidden/>
          </w:rPr>
          <w:fldChar w:fldCharType="separate"/>
        </w:r>
        <w:r w:rsidR="00AB5FC6">
          <w:rPr>
            <w:webHidden/>
          </w:rPr>
          <w:t>24</w:t>
        </w:r>
        <w:r>
          <w:rPr>
            <w:webHidden/>
          </w:rPr>
          <w:fldChar w:fldCharType="end"/>
        </w:r>
      </w:hyperlink>
    </w:p>
    <w:p w14:paraId="4191BE12" w14:textId="4043CACB"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51" w:history="1">
        <w:r w:rsidRPr="00DB1639">
          <w:rPr>
            <w:rStyle w:val="Hyperlink"/>
          </w:rPr>
          <w:t>1.7</w:t>
        </w:r>
        <w:r>
          <w:rPr>
            <w:rFonts w:asciiTheme="minorHAnsi" w:eastAsiaTheme="minorEastAsia" w:hAnsiTheme="minorHAnsi" w:cstheme="minorBidi"/>
            <w:color w:val="auto"/>
            <w:kern w:val="2"/>
            <w:sz w:val="24"/>
            <w:szCs w:val="24"/>
            <w14:ligatures w14:val="standardContextual"/>
          </w:rPr>
          <w:tab/>
        </w:r>
        <w:r w:rsidRPr="00DB1639">
          <w:rPr>
            <w:rStyle w:val="Hyperlink"/>
          </w:rPr>
          <w:t>Assess impacts and dependencies</w:t>
        </w:r>
        <w:r>
          <w:rPr>
            <w:webHidden/>
          </w:rPr>
          <w:tab/>
        </w:r>
        <w:r>
          <w:rPr>
            <w:webHidden/>
          </w:rPr>
          <w:fldChar w:fldCharType="begin"/>
        </w:r>
        <w:r>
          <w:rPr>
            <w:webHidden/>
          </w:rPr>
          <w:instrText xml:space="preserve"> PAGEREF _Toc232776351 \h </w:instrText>
        </w:r>
        <w:r>
          <w:rPr>
            <w:webHidden/>
          </w:rPr>
        </w:r>
        <w:r>
          <w:rPr>
            <w:webHidden/>
          </w:rPr>
          <w:fldChar w:fldCharType="separate"/>
        </w:r>
        <w:r w:rsidR="00AB5FC6">
          <w:rPr>
            <w:webHidden/>
          </w:rPr>
          <w:t>29</w:t>
        </w:r>
        <w:r>
          <w:rPr>
            <w:webHidden/>
          </w:rPr>
          <w:fldChar w:fldCharType="end"/>
        </w:r>
      </w:hyperlink>
    </w:p>
    <w:p w14:paraId="0F358D96" w14:textId="03C7AFAE" w:rsidR="00006B2F" w:rsidRDefault="00006B2F">
      <w:pPr>
        <w:pStyle w:val="TOC1"/>
        <w:rPr>
          <w:rFonts w:asciiTheme="minorHAnsi" w:eastAsiaTheme="minorEastAsia" w:hAnsiTheme="minorHAnsi" w:cstheme="minorBidi"/>
          <w:b w:val="0"/>
          <w:color w:val="auto"/>
          <w:kern w:val="2"/>
          <w:sz w:val="24"/>
          <w:szCs w:val="24"/>
          <w14:ligatures w14:val="standardContextual"/>
        </w:rPr>
      </w:pPr>
      <w:hyperlink w:anchor="_Toc232776352" w:history="1">
        <w:r w:rsidRPr="00DB1639">
          <w:rPr>
            <w:rStyle w:val="Hyperlink"/>
          </w:rPr>
          <w:t>Stage 2: Set strategic ambitions</w:t>
        </w:r>
        <w:r>
          <w:rPr>
            <w:webHidden/>
          </w:rPr>
          <w:tab/>
        </w:r>
        <w:r>
          <w:rPr>
            <w:webHidden/>
          </w:rPr>
          <w:fldChar w:fldCharType="begin"/>
        </w:r>
        <w:r>
          <w:rPr>
            <w:webHidden/>
          </w:rPr>
          <w:instrText xml:space="preserve"> PAGEREF _Toc232776352 \h </w:instrText>
        </w:r>
        <w:r>
          <w:rPr>
            <w:webHidden/>
          </w:rPr>
        </w:r>
        <w:r>
          <w:rPr>
            <w:webHidden/>
          </w:rPr>
          <w:fldChar w:fldCharType="separate"/>
        </w:r>
        <w:r w:rsidR="00AB5FC6">
          <w:rPr>
            <w:webHidden/>
          </w:rPr>
          <w:t>30</w:t>
        </w:r>
        <w:r>
          <w:rPr>
            <w:webHidden/>
          </w:rPr>
          <w:fldChar w:fldCharType="end"/>
        </w:r>
      </w:hyperlink>
    </w:p>
    <w:p w14:paraId="14856D31" w14:textId="1EAB6933"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54" w:history="1">
        <w:r w:rsidRPr="00DB1639">
          <w:rPr>
            <w:rStyle w:val="Hyperlink"/>
          </w:rPr>
          <w:t>2.1</w:t>
        </w:r>
        <w:r>
          <w:rPr>
            <w:rFonts w:asciiTheme="minorHAnsi" w:eastAsiaTheme="minorEastAsia" w:hAnsiTheme="minorHAnsi" w:cstheme="minorBidi"/>
            <w:color w:val="auto"/>
            <w:kern w:val="2"/>
            <w:sz w:val="24"/>
            <w:szCs w:val="24"/>
            <w14:ligatures w14:val="standardContextual"/>
          </w:rPr>
          <w:tab/>
        </w:r>
        <w:r w:rsidRPr="00DB1639">
          <w:rPr>
            <w:rStyle w:val="Hyperlink"/>
          </w:rPr>
          <w:t>Define objectives and priorities</w:t>
        </w:r>
        <w:r>
          <w:rPr>
            <w:webHidden/>
          </w:rPr>
          <w:tab/>
        </w:r>
        <w:r>
          <w:rPr>
            <w:webHidden/>
          </w:rPr>
          <w:fldChar w:fldCharType="begin"/>
        </w:r>
        <w:r>
          <w:rPr>
            <w:webHidden/>
          </w:rPr>
          <w:instrText xml:space="preserve"> PAGEREF _Toc232776354 \h </w:instrText>
        </w:r>
        <w:r>
          <w:rPr>
            <w:webHidden/>
          </w:rPr>
        </w:r>
        <w:r>
          <w:rPr>
            <w:webHidden/>
          </w:rPr>
          <w:fldChar w:fldCharType="separate"/>
        </w:r>
        <w:r w:rsidR="00AB5FC6">
          <w:rPr>
            <w:webHidden/>
          </w:rPr>
          <w:t>30</w:t>
        </w:r>
        <w:r>
          <w:rPr>
            <w:webHidden/>
          </w:rPr>
          <w:fldChar w:fldCharType="end"/>
        </w:r>
      </w:hyperlink>
    </w:p>
    <w:p w14:paraId="5DBA9F08" w14:textId="159C3427"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55" w:history="1">
        <w:r w:rsidRPr="00DB1639">
          <w:rPr>
            <w:rStyle w:val="Hyperlink"/>
          </w:rPr>
          <w:t>2.2</w:t>
        </w:r>
        <w:r>
          <w:rPr>
            <w:rFonts w:asciiTheme="minorHAnsi" w:eastAsiaTheme="minorEastAsia" w:hAnsiTheme="minorHAnsi" w:cstheme="minorBidi"/>
            <w:color w:val="auto"/>
            <w:kern w:val="2"/>
            <w:sz w:val="24"/>
            <w:szCs w:val="24"/>
            <w14:ligatures w14:val="standardContextual"/>
          </w:rPr>
          <w:tab/>
        </w:r>
        <w:r w:rsidRPr="00DB1639">
          <w:rPr>
            <w:rStyle w:val="Hyperlink"/>
          </w:rPr>
          <w:t>Identify key assumptions and external factors</w:t>
        </w:r>
        <w:r>
          <w:rPr>
            <w:webHidden/>
          </w:rPr>
          <w:tab/>
        </w:r>
        <w:r>
          <w:rPr>
            <w:webHidden/>
          </w:rPr>
          <w:fldChar w:fldCharType="begin"/>
        </w:r>
        <w:r>
          <w:rPr>
            <w:webHidden/>
          </w:rPr>
          <w:instrText xml:space="preserve"> PAGEREF _Toc232776355 \h </w:instrText>
        </w:r>
        <w:r>
          <w:rPr>
            <w:webHidden/>
          </w:rPr>
        </w:r>
        <w:r>
          <w:rPr>
            <w:webHidden/>
          </w:rPr>
          <w:fldChar w:fldCharType="separate"/>
        </w:r>
        <w:r w:rsidR="00AB5FC6">
          <w:rPr>
            <w:webHidden/>
          </w:rPr>
          <w:t>35</w:t>
        </w:r>
        <w:r>
          <w:rPr>
            <w:webHidden/>
          </w:rPr>
          <w:fldChar w:fldCharType="end"/>
        </w:r>
      </w:hyperlink>
    </w:p>
    <w:p w14:paraId="5B73D284" w14:textId="137A02F4"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56" w:history="1">
        <w:r w:rsidRPr="00DB1639">
          <w:rPr>
            <w:rStyle w:val="Hyperlink"/>
          </w:rPr>
          <w:t>2.3</w:t>
        </w:r>
        <w:r>
          <w:rPr>
            <w:rFonts w:asciiTheme="minorHAnsi" w:eastAsiaTheme="minorEastAsia" w:hAnsiTheme="minorHAnsi" w:cstheme="minorBidi"/>
            <w:color w:val="auto"/>
            <w:kern w:val="2"/>
            <w:sz w:val="24"/>
            <w:szCs w:val="24"/>
            <w14:ligatures w14:val="standardContextual"/>
          </w:rPr>
          <w:tab/>
        </w:r>
        <w:r w:rsidRPr="00DB1639">
          <w:rPr>
            <w:rStyle w:val="Hyperlink"/>
          </w:rPr>
          <w:t>Identify strategic changes to business model and value chain</w:t>
        </w:r>
        <w:r>
          <w:rPr>
            <w:webHidden/>
          </w:rPr>
          <w:tab/>
        </w:r>
        <w:r>
          <w:rPr>
            <w:webHidden/>
          </w:rPr>
          <w:fldChar w:fldCharType="begin"/>
        </w:r>
        <w:r>
          <w:rPr>
            <w:webHidden/>
          </w:rPr>
          <w:instrText xml:space="preserve"> PAGEREF _Toc232776356 \h </w:instrText>
        </w:r>
        <w:r>
          <w:rPr>
            <w:webHidden/>
          </w:rPr>
        </w:r>
        <w:r>
          <w:rPr>
            <w:webHidden/>
          </w:rPr>
          <w:fldChar w:fldCharType="separate"/>
        </w:r>
        <w:r w:rsidR="00AB5FC6">
          <w:rPr>
            <w:webHidden/>
          </w:rPr>
          <w:t>35</w:t>
        </w:r>
        <w:r>
          <w:rPr>
            <w:webHidden/>
          </w:rPr>
          <w:fldChar w:fldCharType="end"/>
        </w:r>
      </w:hyperlink>
    </w:p>
    <w:p w14:paraId="055FFF47" w14:textId="73D28A89" w:rsidR="00006B2F" w:rsidRDefault="00006B2F">
      <w:pPr>
        <w:pStyle w:val="TOC1"/>
        <w:rPr>
          <w:rFonts w:asciiTheme="minorHAnsi" w:eastAsiaTheme="minorEastAsia" w:hAnsiTheme="minorHAnsi" w:cstheme="minorBidi"/>
          <w:b w:val="0"/>
          <w:color w:val="auto"/>
          <w:kern w:val="2"/>
          <w:sz w:val="24"/>
          <w:szCs w:val="24"/>
          <w14:ligatures w14:val="standardContextual"/>
        </w:rPr>
      </w:pPr>
      <w:hyperlink w:anchor="_Toc232776357" w:history="1">
        <w:r w:rsidRPr="00DB1639">
          <w:rPr>
            <w:rStyle w:val="Hyperlink"/>
          </w:rPr>
          <w:t>Stage 3: Plan actions</w:t>
        </w:r>
        <w:r>
          <w:rPr>
            <w:webHidden/>
          </w:rPr>
          <w:tab/>
        </w:r>
        <w:r>
          <w:rPr>
            <w:webHidden/>
          </w:rPr>
          <w:fldChar w:fldCharType="begin"/>
        </w:r>
        <w:r>
          <w:rPr>
            <w:webHidden/>
          </w:rPr>
          <w:instrText xml:space="preserve"> PAGEREF _Toc232776357 \h </w:instrText>
        </w:r>
        <w:r>
          <w:rPr>
            <w:webHidden/>
          </w:rPr>
        </w:r>
        <w:r>
          <w:rPr>
            <w:webHidden/>
          </w:rPr>
          <w:fldChar w:fldCharType="separate"/>
        </w:r>
        <w:r w:rsidR="00AB5FC6">
          <w:rPr>
            <w:webHidden/>
          </w:rPr>
          <w:t>37</w:t>
        </w:r>
        <w:r>
          <w:rPr>
            <w:webHidden/>
          </w:rPr>
          <w:fldChar w:fldCharType="end"/>
        </w:r>
      </w:hyperlink>
    </w:p>
    <w:p w14:paraId="4ED0FACB" w14:textId="3ABA3026"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59" w:history="1">
        <w:r w:rsidRPr="00DB1639">
          <w:rPr>
            <w:rStyle w:val="Hyperlink"/>
          </w:rPr>
          <w:t>3.1</w:t>
        </w:r>
        <w:r>
          <w:rPr>
            <w:rFonts w:asciiTheme="minorHAnsi" w:eastAsiaTheme="minorEastAsia" w:hAnsiTheme="minorHAnsi" w:cstheme="minorBidi"/>
            <w:color w:val="auto"/>
            <w:kern w:val="2"/>
            <w:sz w:val="24"/>
            <w:szCs w:val="24"/>
            <w14:ligatures w14:val="standardContextual"/>
          </w:rPr>
          <w:tab/>
        </w:r>
        <w:r w:rsidRPr="00DB1639">
          <w:rPr>
            <w:rStyle w:val="Hyperlink"/>
          </w:rPr>
          <w:t>Develop actions</w:t>
        </w:r>
        <w:r>
          <w:rPr>
            <w:webHidden/>
          </w:rPr>
          <w:tab/>
        </w:r>
        <w:r>
          <w:rPr>
            <w:webHidden/>
          </w:rPr>
          <w:fldChar w:fldCharType="begin"/>
        </w:r>
        <w:r>
          <w:rPr>
            <w:webHidden/>
          </w:rPr>
          <w:instrText xml:space="preserve"> PAGEREF _Toc232776359 \h </w:instrText>
        </w:r>
        <w:r>
          <w:rPr>
            <w:webHidden/>
          </w:rPr>
        </w:r>
        <w:r>
          <w:rPr>
            <w:webHidden/>
          </w:rPr>
          <w:fldChar w:fldCharType="separate"/>
        </w:r>
        <w:r w:rsidR="00AB5FC6">
          <w:rPr>
            <w:webHidden/>
          </w:rPr>
          <w:t>37</w:t>
        </w:r>
        <w:r>
          <w:rPr>
            <w:webHidden/>
          </w:rPr>
          <w:fldChar w:fldCharType="end"/>
        </w:r>
      </w:hyperlink>
    </w:p>
    <w:p w14:paraId="423219D5" w14:textId="299888E2"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60" w:history="1">
        <w:r w:rsidRPr="00DB1639">
          <w:rPr>
            <w:rStyle w:val="Hyperlink"/>
          </w:rPr>
          <w:t>3.2</w:t>
        </w:r>
        <w:r>
          <w:rPr>
            <w:rFonts w:asciiTheme="minorHAnsi" w:eastAsiaTheme="minorEastAsia" w:hAnsiTheme="minorHAnsi" w:cstheme="minorBidi"/>
            <w:color w:val="auto"/>
            <w:kern w:val="2"/>
            <w:sz w:val="24"/>
            <w:szCs w:val="24"/>
            <w14:ligatures w14:val="standardContextual"/>
          </w:rPr>
          <w:tab/>
        </w:r>
        <w:r w:rsidRPr="00DB1639">
          <w:rPr>
            <w:rStyle w:val="Hyperlink"/>
          </w:rPr>
          <w:t>Revisit organisational policies and conditions</w:t>
        </w:r>
        <w:r>
          <w:rPr>
            <w:webHidden/>
          </w:rPr>
          <w:tab/>
        </w:r>
        <w:r>
          <w:rPr>
            <w:webHidden/>
          </w:rPr>
          <w:fldChar w:fldCharType="begin"/>
        </w:r>
        <w:r>
          <w:rPr>
            <w:webHidden/>
          </w:rPr>
          <w:instrText xml:space="preserve"> PAGEREF _Toc232776360 \h </w:instrText>
        </w:r>
        <w:r>
          <w:rPr>
            <w:webHidden/>
          </w:rPr>
        </w:r>
        <w:r>
          <w:rPr>
            <w:webHidden/>
          </w:rPr>
          <w:fldChar w:fldCharType="separate"/>
        </w:r>
        <w:r w:rsidR="00AB5FC6">
          <w:rPr>
            <w:webHidden/>
          </w:rPr>
          <w:t>47</w:t>
        </w:r>
        <w:r>
          <w:rPr>
            <w:webHidden/>
          </w:rPr>
          <w:fldChar w:fldCharType="end"/>
        </w:r>
      </w:hyperlink>
    </w:p>
    <w:p w14:paraId="1715E349" w14:textId="11D41317"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61" w:history="1">
        <w:r w:rsidRPr="00DB1639">
          <w:rPr>
            <w:rStyle w:val="Hyperlink"/>
          </w:rPr>
          <w:t>3.3</w:t>
        </w:r>
        <w:r>
          <w:rPr>
            <w:rFonts w:asciiTheme="minorHAnsi" w:eastAsiaTheme="minorEastAsia" w:hAnsiTheme="minorHAnsi" w:cstheme="minorBidi"/>
            <w:color w:val="auto"/>
            <w:kern w:val="2"/>
            <w:sz w:val="24"/>
            <w:szCs w:val="24"/>
            <w14:ligatures w14:val="standardContextual"/>
          </w:rPr>
          <w:tab/>
        </w:r>
        <w:r w:rsidRPr="00DB1639">
          <w:rPr>
            <w:rStyle w:val="Hyperlink"/>
          </w:rPr>
          <w:t>Assess resilience of actions</w:t>
        </w:r>
        <w:r>
          <w:rPr>
            <w:webHidden/>
          </w:rPr>
          <w:tab/>
        </w:r>
        <w:r>
          <w:rPr>
            <w:webHidden/>
          </w:rPr>
          <w:fldChar w:fldCharType="begin"/>
        </w:r>
        <w:r>
          <w:rPr>
            <w:webHidden/>
          </w:rPr>
          <w:instrText xml:space="preserve"> PAGEREF _Toc232776361 \h </w:instrText>
        </w:r>
        <w:r>
          <w:rPr>
            <w:webHidden/>
          </w:rPr>
        </w:r>
        <w:r>
          <w:rPr>
            <w:webHidden/>
          </w:rPr>
          <w:fldChar w:fldCharType="separate"/>
        </w:r>
        <w:r w:rsidR="00AB5FC6">
          <w:rPr>
            <w:webHidden/>
          </w:rPr>
          <w:t>47</w:t>
        </w:r>
        <w:r>
          <w:rPr>
            <w:webHidden/>
          </w:rPr>
          <w:fldChar w:fldCharType="end"/>
        </w:r>
      </w:hyperlink>
    </w:p>
    <w:p w14:paraId="3DBD385E" w14:textId="3FD02154"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62" w:history="1">
        <w:r w:rsidRPr="00DB1639">
          <w:rPr>
            <w:rStyle w:val="Hyperlink"/>
          </w:rPr>
          <w:t>3.4</w:t>
        </w:r>
        <w:r>
          <w:rPr>
            <w:rFonts w:asciiTheme="minorHAnsi" w:eastAsiaTheme="minorEastAsia" w:hAnsiTheme="minorHAnsi" w:cstheme="minorBidi"/>
            <w:color w:val="auto"/>
            <w:kern w:val="2"/>
            <w:sz w:val="24"/>
            <w:szCs w:val="24"/>
            <w14:ligatures w14:val="standardContextual"/>
          </w:rPr>
          <w:tab/>
        </w:r>
        <w:r w:rsidRPr="00DB1639">
          <w:rPr>
            <w:rStyle w:val="Hyperlink"/>
          </w:rPr>
          <w:t>Review governance structures and people strategies</w:t>
        </w:r>
        <w:r>
          <w:rPr>
            <w:webHidden/>
          </w:rPr>
          <w:tab/>
        </w:r>
        <w:r>
          <w:rPr>
            <w:webHidden/>
          </w:rPr>
          <w:fldChar w:fldCharType="begin"/>
        </w:r>
        <w:r>
          <w:rPr>
            <w:webHidden/>
          </w:rPr>
          <w:instrText xml:space="preserve"> PAGEREF _Toc232776362 \h </w:instrText>
        </w:r>
        <w:r>
          <w:rPr>
            <w:webHidden/>
          </w:rPr>
        </w:r>
        <w:r>
          <w:rPr>
            <w:webHidden/>
          </w:rPr>
          <w:fldChar w:fldCharType="separate"/>
        </w:r>
        <w:r w:rsidR="00AB5FC6">
          <w:rPr>
            <w:webHidden/>
          </w:rPr>
          <w:t>47</w:t>
        </w:r>
        <w:r>
          <w:rPr>
            <w:webHidden/>
          </w:rPr>
          <w:fldChar w:fldCharType="end"/>
        </w:r>
      </w:hyperlink>
    </w:p>
    <w:p w14:paraId="1F28479D" w14:textId="521BDACD"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63" w:history="1">
        <w:r w:rsidRPr="00DB1639">
          <w:rPr>
            <w:rStyle w:val="Hyperlink"/>
          </w:rPr>
          <w:t>3.5</w:t>
        </w:r>
        <w:r>
          <w:rPr>
            <w:rFonts w:asciiTheme="minorHAnsi" w:eastAsiaTheme="minorEastAsia" w:hAnsiTheme="minorHAnsi" w:cstheme="minorBidi"/>
            <w:color w:val="auto"/>
            <w:kern w:val="2"/>
            <w:sz w:val="24"/>
            <w:szCs w:val="24"/>
            <w14:ligatures w14:val="standardContextual"/>
          </w:rPr>
          <w:tab/>
        </w:r>
        <w:r w:rsidRPr="00DB1639">
          <w:rPr>
            <w:rStyle w:val="Hyperlink"/>
          </w:rPr>
          <w:t>Develop engagement strategy</w:t>
        </w:r>
        <w:r>
          <w:rPr>
            <w:webHidden/>
          </w:rPr>
          <w:tab/>
        </w:r>
        <w:r>
          <w:rPr>
            <w:webHidden/>
          </w:rPr>
          <w:fldChar w:fldCharType="begin"/>
        </w:r>
        <w:r>
          <w:rPr>
            <w:webHidden/>
          </w:rPr>
          <w:instrText xml:space="preserve"> PAGEREF _Toc232776363 \h </w:instrText>
        </w:r>
        <w:r>
          <w:rPr>
            <w:webHidden/>
          </w:rPr>
        </w:r>
        <w:r>
          <w:rPr>
            <w:webHidden/>
          </w:rPr>
          <w:fldChar w:fldCharType="separate"/>
        </w:r>
        <w:r w:rsidR="00AB5FC6">
          <w:rPr>
            <w:webHidden/>
          </w:rPr>
          <w:t>48</w:t>
        </w:r>
        <w:r>
          <w:rPr>
            <w:webHidden/>
          </w:rPr>
          <w:fldChar w:fldCharType="end"/>
        </w:r>
      </w:hyperlink>
    </w:p>
    <w:p w14:paraId="6750273A" w14:textId="4AD013D9"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64" w:history="1">
        <w:r w:rsidRPr="00DB1639">
          <w:rPr>
            <w:rStyle w:val="Hyperlink"/>
          </w:rPr>
          <w:t>3.6</w:t>
        </w:r>
        <w:r>
          <w:rPr>
            <w:rFonts w:asciiTheme="minorHAnsi" w:eastAsiaTheme="minorEastAsia" w:hAnsiTheme="minorHAnsi" w:cstheme="minorBidi"/>
            <w:color w:val="auto"/>
            <w:kern w:val="2"/>
            <w:sz w:val="24"/>
            <w:szCs w:val="24"/>
            <w14:ligatures w14:val="standardContextual"/>
          </w:rPr>
          <w:tab/>
        </w:r>
        <w:r w:rsidRPr="00DB1639">
          <w:rPr>
            <w:rStyle w:val="Hyperlink"/>
          </w:rPr>
          <w:t>Integrate strategic ambitions and actions into business strategy and financial plans</w:t>
        </w:r>
        <w:r>
          <w:rPr>
            <w:webHidden/>
          </w:rPr>
          <w:tab/>
        </w:r>
        <w:r>
          <w:rPr>
            <w:webHidden/>
          </w:rPr>
          <w:fldChar w:fldCharType="begin"/>
        </w:r>
        <w:r>
          <w:rPr>
            <w:webHidden/>
          </w:rPr>
          <w:instrText xml:space="preserve"> PAGEREF _Toc232776364 \h </w:instrText>
        </w:r>
        <w:r>
          <w:rPr>
            <w:webHidden/>
          </w:rPr>
        </w:r>
        <w:r>
          <w:rPr>
            <w:webHidden/>
          </w:rPr>
          <w:fldChar w:fldCharType="separate"/>
        </w:r>
        <w:r w:rsidR="00AB5FC6">
          <w:rPr>
            <w:webHidden/>
          </w:rPr>
          <w:t>53</w:t>
        </w:r>
        <w:r>
          <w:rPr>
            <w:webHidden/>
          </w:rPr>
          <w:fldChar w:fldCharType="end"/>
        </w:r>
      </w:hyperlink>
    </w:p>
    <w:p w14:paraId="08FDCA12" w14:textId="03D03F1A" w:rsidR="00006B2F" w:rsidRDefault="00006B2F">
      <w:pPr>
        <w:pStyle w:val="TOC2"/>
        <w:tabs>
          <w:tab w:val="left" w:pos="720"/>
        </w:tabs>
        <w:rPr>
          <w:rFonts w:asciiTheme="minorHAnsi" w:eastAsiaTheme="minorEastAsia" w:hAnsiTheme="minorHAnsi" w:cstheme="minorBidi"/>
          <w:color w:val="auto"/>
          <w:kern w:val="2"/>
          <w:sz w:val="24"/>
          <w:szCs w:val="24"/>
          <w14:ligatures w14:val="standardContextual"/>
        </w:rPr>
      </w:pPr>
      <w:hyperlink w:anchor="_Toc232776365" w:history="1">
        <w:r w:rsidRPr="00DB1639">
          <w:rPr>
            <w:rStyle w:val="Hyperlink"/>
          </w:rPr>
          <w:t>3.7</w:t>
        </w:r>
        <w:r>
          <w:rPr>
            <w:rFonts w:asciiTheme="minorHAnsi" w:eastAsiaTheme="minorEastAsia" w:hAnsiTheme="minorHAnsi" w:cstheme="minorBidi"/>
            <w:color w:val="auto"/>
            <w:kern w:val="2"/>
            <w:sz w:val="24"/>
            <w:szCs w:val="24"/>
            <w14:ligatures w14:val="standardContextual"/>
          </w:rPr>
          <w:tab/>
        </w:r>
        <w:r w:rsidRPr="00DB1639">
          <w:rPr>
            <w:rStyle w:val="Hyperlink"/>
          </w:rPr>
          <w:t>Set metrics and targets to track progress</w:t>
        </w:r>
        <w:r>
          <w:rPr>
            <w:webHidden/>
          </w:rPr>
          <w:tab/>
        </w:r>
        <w:r>
          <w:rPr>
            <w:webHidden/>
          </w:rPr>
          <w:fldChar w:fldCharType="begin"/>
        </w:r>
        <w:r>
          <w:rPr>
            <w:webHidden/>
          </w:rPr>
          <w:instrText xml:space="preserve"> PAGEREF _Toc232776365 \h </w:instrText>
        </w:r>
        <w:r>
          <w:rPr>
            <w:webHidden/>
          </w:rPr>
        </w:r>
        <w:r>
          <w:rPr>
            <w:webHidden/>
          </w:rPr>
          <w:fldChar w:fldCharType="separate"/>
        </w:r>
        <w:r w:rsidR="00AB5FC6">
          <w:rPr>
            <w:webHidden/>
          </w:rPr>
          <w:t>56</w:t>
        </w:r>
        <w:r>
          <w:rPr>
            <w:webHidden/>
          </w:rPr>
          <w:fldChar w:fldCharType="end"/>
        </w:r>
      </w:hyperlink>
    </w:p>
    <w:p w14:paraId="0B3DBA88" w14:textId="3217B7C3" w:rsidR="00006B2F" w:rsidRDefault="00006B2F">
      <w:pPr>
        <w:pStyle w:val="TOC1"/>
        <w:rPr>
          <w:rFonts w:asciiTheme="minorHAnsi" w:eastAsiaTheme="minorEastAsia" w:hAnsiTheme="minorHAnsi" w:cstheme="minorBidi"/>
          <w:b w:val="0"/>
          <w:color w:val="auto"/>
          <w:kern w:val="2"/>
          <w:sz w:val="24"/>
          <w:szCs w:val="24"/>
          <w14:ligatures w14:val="standardContextual"/>
        </w:rPr>
      </w:pPr>
      <w:hyperlink w:anchor="_Toc232776366" w:history="1">
        <w:r w:rsidRPr="00DB1639">
          <w:rPr>
            <w:rStyle w:val="Hyperlink"/>
          </w:rPr>
          <w:t>Stage 4: Implement or re</w:t>
        </w:r>
        <w:r w:rsidR="00963E59">
          <w:rPr>
            <w:rStyle w:val="Hyperlink"/>
          </w:rPr>
          <w:noBreakHyphen/>
        </w:r>
        <w:r w:rsidRPr="00DB1639">
          <w:rPr>
            <w:rStyle w:val="Hyperlink"/>
          </w:rPr>
          <w:t>implement strategic ambitions and actions</w:t>
        </w:r>
        <w:r>
          <w:rPr>
            <w:webHidden/>
          </w:rPr>
          <w:tab/>
        </w:r>
        <w:r>
          <w:rPr>
            <w:webHidden/>
          </w:rPr>
          <w:fldChar w:fldCharType="begin"/>
        </w:r>
        <w:r>
          <w:rPr>
            <w:webHidden/>
          </w:rPr>
          <w:instrText xml:space="preserve"> PAGEREF _Toc232776366 \h </w:instrText>
        </w:r>
        <w:r>
          <w:rPr>
            <w:webHidden/>
          </w:rPr>
        </w:r>
        <w:r>
          <w:rPr>
            <w:webHidden/>
          </w:rPr>
          <w:fldChar w:fldCharType="separate"/>
        </w:r>
        <w:r w:rsidR="00AB5FC6">
          <w:rPr>
            <w:webHidden/>
          </w:rPr>
          <w:t>65</w:t>
        </w:r>
        <w:r>
          <w:rPr>
            <w:webHidden/>
          </w:rPr>
          <w:fldChar w:fldCharType="end"/>
        </w:r>
      </w:hyperlink>
    </w:p>
    <w:p w14:paraId="5A29AA67" w14:textId="5FE1BC2A" w:rsidR="00006B2F" w:rsidRDefault="00006B2F">
      <w:pPr>
        <w:pStyle w:val="TOC1"/>
        <w:rPr>
          <w:rFonts w:asciiTheme="minorHAnsi" w:eastAsiaTheme="minorEastAsia" w:hAnsiTheme="minorHAnsi" w:cstheme="minorBidi"/>
          <w:b w:val="0"/>
          <w:color w:val="auto"/>
          <w:kern w:val="2"/>
          <w:sz w:val="24"/>
          <w:szCs w:val="24"/>
          <w14:ligatures w14:val="standardContextual"/>
        </w:rPr>
      </w:pPr>
      <w:hyperlink w:anchor="_Toc232776367" w:history="1">
        <w:r w:rsidRPr="00DB1639">
          <w:rPr>
            <w:rStyle w:val="Hyperlink"/>
          </w:rPr>
          <w:t>Glossary</w:t>
        </w:r>
        <w:r>
          <w:rPr>
            <w:webHidden/>
          </w:rPr>
          <w:tab/>
        </w:r>
        <w:r>
          <w:rPr>
            <w:webHidden/>
          </w:rPr>
          <w:fldChar w:fldCharType="begin"/>
        </w:r>
        <w:r>
          <w:rPr>
            <w:webHidden/>
          </w:rPr>
          <w:instrText xml:space="preserve"> PAGEREF _Toc232776367 \h </w:instrText>
        </w:r>
        <w:r>
          <w:rPr>
            <w:webHidden/>
          </w:rPr>
        </w:r>
        <w:r>
          <w:rPr>
            <w:webHidden/>
          </w:rPr>
          <w:fldChar w:fldCharType="separate"/>
        </w:r>
        <w:r w:rsidR="00AB5FC6">
          <w:rPr>
            <w:webHidden/>
          </w:rPr>
          <w:t>66</w:t>
        </w:r>
        <w:r>
          <w:rPr>
            <w:webHidden/>
          </w:rPr>
          <w:fldChar w:fldCharType="end"/>
        </w:r>
      </w:hyperlink>
    </w:p>
    <w:p w14:paraId="0B7B17B3" w14:textId="7F2BC5E1" w:rsidR="00006B2F" w:rsidRDefault="00006B2F">
      <w:pPr>
        <w:pStyle w:val="TOC1"/>
        <w:rPr>
          <w:rFonts w:asciiTheme="minorHAnsi" w:eastAsiaTheme="minorEastAsia" w:hAnsiTheme="minorHAnsi" w:cstheme="minorBidi"/>
          <w:b w:val="0"/>
          <w:color w:val="auto"/>
          <w:kern w:val="2"/>
          <w:sz w:val="24"/>
          <w:szCs w:val="24"/>
          <w14:ligatures w14:val="standardContextual"/>
        </w:rPr>
      </w:pPr>
      <w:hyperlink w:anchor="_Toc232776368" w:history="1">
        <w:r w:rsidRPr="00DB1639">
          <w:rPr>
            <w:rStyle w:val="Hyperlink"/>
          </w:rPr>
          <w:t>Endnotes</w:t>
        </w:r>
        <w:r>
          <w:rPr>
            <w:webHidden/>
          </w:rPr>
          <w:tab/>
        </w:r>
        <w:r>
          <w:rPr>
            <w:webHidden/>
          </w:rPr>
          <w:fldChar w:fldCharType="begin"/>
        </w:r>
        <w:r>
          <w:rPr>
            <w:webHidden/>
          </w:rPr>
          <w:instrText xml:space="preserve"> PAGEREF _Toc232776368 \h </w:instrText>
        </w:r>
        <w:r>
          <w:rPr>
            <w:webHidden/>
          </w:rPr>
        </w:r>
        <w:r>
          <w:rPr>
            <w:webHidden/>
          </w:rPr>
          <w:fldChar w:fldCharType="separate"/>
        </w:r>
        <w:r w:rsidR="00AB5FC6">
          <w:rPr>
            <w:webHidden/>
          </w:rPr>
          <w:t>68</w:t>
        </w:r>
        <w:r>
          <w:rPr>
            <w:webHidden/>
          </w:rPr>
          <w:fldChar w:fldCharType="end"/>
        </w:r>
      </w:hyperlink>
    </w:p>
    <w:p w14:paraId="11C67E2A" w14:textId="0C48DF2F" w:rsidR="00D73DD0" w:rsidRDefault="00DA7820" w:rsidP="007A1920">
      <w:pPr>
        <w:sectPr w:rsidR="00D73DD0" w:rsidSect="00700AC5">
          <w:footerReference w:type="first" r:id="rId18"/>
          <w:endnotePr>
            <w:numFmt w:val="decimal"/>
          </w:endnotePr>
          <w:pgSz w:w="11906" w:h="16838" w:code="9"/>
          <w:pgMar w:top="1843" w:right="1418" w:bottom="1418" w:left="1418" w:header="709" w:footer="709" w:gutter="0"/>
          <w:cols w:space="708"/>
          <w:titlePg/>
          <w:docGrid w:linePitch="360"/>
        </w:sectPr>
      </w:pPr>
      <w:r>
        <w:rPr>
          <w:bCs/>
          <w:color w:val="5D779D" w:themeColor="accent3"/>
          <w:sz w:val="44"/>
        </w:rPr>
        <w:fldChar w:fldCharType="end"/>
      </w:r>
      <w:bookmarkStart w:id="7" w:name="_Toc432067103"/>
      <w:bookmarkStart w:id="8" w:name="_Toc452635030"/>
      <w:bookmarkEnd w:id="5"/>
      <w:bookmarkEnd w:id="6"/>
    </w:p>
    <w:p w14:paraId="18517766" w14:textId="27FF6571" w:rsidR="0096366B" w:rsidRDefault="004F7F6F" w:rsidP="004F7F6F">
      <w:pPr>
        <w:pStyle w:val="Heading2"/>
      </w:pPr>
      <w:bookmarkStart w:id="9" w:name="_Toc225348146"/>
      <w:bookmarkStart w:id="10" w:name="_Toc232776335"/>
      <w:bookmarkStart w:id="11" w:name="_Toc224906861"/>
      <w:bookmarkStart w:id="12" w:name="_Toc224916493"/>
      <w:bookmarkEnd w:id="7"/>
      <w:bookmarkEnd w:id="8"/>
      <w:r>
        <w:lastRenderedPageBreak/>
        <w:t>Boxes</w:t>
      </w:r>
      <w:bookmarkEnd w:id="9"/>
      <w:bookmarkEnd w:id="10"/>
    </w:p>
    <w:bookmarkStart w:id="13" w:name="_Toc225348147"/>
    <w:bookmarkStart w:id="14" w:name="_Toc232776336"/>
    <w:p w14:paraId="43DC6F61" w14:textId="1F53F625" w:rsidR="00745B67" w:rsidRPr="00C01787" w:rsidRDefault="00B46436" w:rsidP="00C01787">
      <w:pPr>
        <w:pStyle w:val="TOC1"/>
        <w:spacing w:before="12" w:afterLines="60" w:after="144"/>
        <w:rPr>
          <w:rFonts w:eastAsiaTheme="minorEastAsia" w:cs="Calibri Light"/>
          <w:b w:val="0"/>
          <w:bCs/>
          <w:kern w:val="2"/>
          <w14:ligatures w14:val="standardContextual"/>
        </w:rPr>
      </w:pPr>
      <w:r w:rsidRPr="00AB5FC6">
        <w:rPr>
          <w:b w:val="0"/>
          <w:iCs/>
        </w:rPr>
        <w:fldChar w:fldCharType="begin"/>
      </w:r>
      <w:r w:rsidRPr="00AB5FC6">
        <w:rPr>
          <w:b w:val="0"/>
          <w:iCs/>
        </w:rPr>
        <w:instrText xml:space="preserve"> TOC \h \z \t "Box heading,1" </w:instrText>
      </w:r>
      <w:r w:rsidRPr="00AB5FC6">
        <w:rPr>
          <w:b w:val="0"/>
          <w:iCs/>
        </w:rPr>
        <w:fldChar w:fldCharType="separate"/>
      </w:r>
      <w:hyperlink w:anchor="_Toc237351131" w:history="1">
        <w:r w:rsidR="00745B67" w:rsidRPr="00C01787">
          <w:rPr>
            <w:rStyle w:val="Hyperlink"/>
            <w:rFonts w:cs="Calibri Light"/>
            <w:b w:val="0"/>
            <w:bCs/>
            <w:color w:val="2C384A" w:themeColor="accent1"/>
          </w:rPr>
          <w:t>Box 1. Guidance snapshot</w:t>
        </w:r>
        <w:r w:rsidR="00745B67" w:rsidRPr="00C01787">
          <w:rPr>
            <w:rFonts w:cs="Calibri Light"/>
            <w:b w:val="0"/>
            <w:bCs/>
            <w:webHidden/>
          </w:rPr>
          <w:tab/>
        </w:r>
        <w:r w:rsidR="00745B67" w:rsidRPr="00C01787">
          <w:rPr>
            <w:rFonts w:cs="Calibri Light"/>
            <w:b w:val="0"/>
            <w:bCs/>
            <w:webHidden/>
          </w:rPr>
          <w:fldChar w:fldCharType="begin"/>
        </w:r>
        <w:r w:rsidR="00745B67" w:rsidRPr="00C01787">
          <w:rPr>
            <w:rFonts w:cs="Calibri Light"/>
            <w:b w:val="0"/>
            <w:bCs/>
            <w:webHidden/>
          </w:rPr>
          <w:instrText xml:space="preserve"> PAGEREF _Toc237351131 \h </w:instrText>
        </w:r>
        <w:r w:rsidR="00745B67" w:rsidRPr="00C01787">
          <w:rPr>
            <w:rFonts w:cs="Calibri Light"/>
            <w:b w:val="0"/>
            <w:bCs/>
            <w:webHidden/>
          </w:rPr>
        </w:r>
        <w:r w:rsidR="00745B67" w:rsidRPr="00C01787">
          <w:rPr>
            <w:rFonts w:cs="Calibri Light"/>
            <w:b w:val="0"/>
            <w:bCs/>
            <w:webHidden/>
          </w:rPr>
          <w:fldChar w:fldCharType="separate"/>
        </w:r>
        <w:r w:rsidR="00745B67" w:rsidRPr="00C01787">
          <w:rPr>
            <w:rFonts w:cs="Calibri Light"/>
            <w:b w:val="0"/>
            <w:bCs/>
            <w:webHidden/>
          </w:rPr>
          <w:t>3</w:t>
        </w:r>
        <w:r w:rsidR="00745B67" w:rsidRPr="00C01787">
          <w:rPr>
            <w:rFonts w:cs="Calibri Light"/>
            <w:b w:val="0"/>
            <w:bCs/>
            <w:webHidden/>
          </w:rPr>
          <w:fldChar w:fldCharType="end"/>
        </w:r>
      </w:hyperlink>
    </w:p>
    <w:p w14:paraId="7AA9C73C" w14:textId="6B6E9EF7"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32" w:history="1">
        <w:r w:rsidRPr="00C01787">
          <w:rPr>
            <w:rStyle w:val="Hyperlink"/>
            <w:rFonts w:cs="Calibri Light"/>
            <w:b w:val="0"/>
            <w:bCs/>
            <w:color w:val="2C384A" w:themeColor="accent1"/>
          </w:rPr>
          <w:t>Box 2. Supporting resources for an overview of transition planning</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_Toc237351132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5</w:t>
        </w:r>
        <w:r w:rsidRPr="00C01787">
          <w:rPr>
            <w:rFonts w:cs="Calibri Light"/>
            <w:b w:val="0"/>
            <w:bCs/>
            <w:webHidden/>
          </w:rPr>
          <w:fldChar w:fldCharType="end"/>
        </w:r>
      </w:hyperlink>
    </w:p>
    <w:p w14:paraId="5E4D3152" w14:textId="4E2FC467"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33" w:history="1">
        <w:r w:rsidRPr="00C01787">
          <w:rPr>
            <w:rStyle w:val="Hyperlink"/>
            <w:rFonts w:cs="Calibri Light"/>
            <w:b w:val="0"/>
            <w:bCs/>
            <w:color w:val="2C384A" w:themeColor="accent1"/>
          </w:rPr>
          <w:t>Box 3. Supporting resources and relevant regulatory bodies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_Toc237351133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6</w:t>
        </w:r>
        <w:r w:rsidRPr="00C01787">
          <w:rPr>
            <w:rFonts w:cs="Calibri Light"/>
            <w:b w:val="0"/>
            <w:bCs/>
            <w:webHidden/>
          </w:rPr>
          <w:fldChar w:fldCharType="end"/>
        </w:r>
      </w:hyperlink>
    </w:p>
    <w:p w14:paraId="5269FF9D" w14:textId="09120E0B"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34" w:history="1">
        <w:r w:rsidRPr="00C01787">
          <w:rPr>
            <w:rStyle w:val="Hyperlink"/>
            <w:rFonts w:cs="Calibri Light"/>
            <w:b w:val="0"/>
            <w:bCs/>
            <w:color w:val="2C384A" w:themeColor="accent1"/>
          </w:rPr>
          <w:t>Box 4. Why transition planning matters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_Toc237351134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7</w:t>
        </w:r>
        <w:r w:rsidRPr="00C01787">
          <w:rPr>
            <w:rFonts w:cs="Calibri Light"/>
            <w:b w:val="0"/>
            <w:bCs/>
            <w:webHidden/>
          </w:rPr>
          <w:fldChar w:fldCharType="end"/>
        </w:r>
      </w:hyperlink>
    </w:p>
    <w:p w14:paraId="4780084B" w14:textId="74BDF5C2"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35" w:history="1">
        <w:r w:rsidRPr="00C01787">
          <w:rPr>
            <w:rStyle w:val="Hyperlink"/>
            <w:rFonts w:cs="Calibri Light"/>
            <w:b w:val="0"/>
            <w:bCs/>
            <w:color w:val="2C384A" w:themeColor="accent1"/>
          </w:rPr>
          <w:t>Box 5. Illustrative examples of different approaches to transition planning</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_Toc237351135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11</w:t>
        </w:r>
        <w:r w:rsidRPr="00C01787">
          <w:rPr>
            <w:rFonts w:cs="Calibri Light"/>
            <w:b w:val="0"/>
            <w:bCs/>
            <w:webHidden/>
          </w:rPr>
          <w:fldChar w:fldCharType="end"/>
        </w:r>
      </w:hyperlink>
    </w:p>
    <w:p w14:paraId="15CB126B" w14:textId="6795493D"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36" w:history="1">
        <w:r w:rsidRPr="00C01787">
          <w:rPr>
            <w:rStyle w:val="Hyperlink"/>
            <w:rFonts w:cs="Calibri Light"/>
            <w:b w:val="0"/>
            <w:bCs/>
            <w:color w:val="2C384A" w:themeColor="accent1"/>
          </w:rPr>
          <w:t>Box 6. The role of the Board and executive decision-makers in embedding transition planning within an organisation</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_Toc237351136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13</w:t>
        </w:r>
        <w:r w:rsidRPr="00C01787">
          <w:rPr>
            <w:rFonts w:cs="Calibri Light"/>
            <w:b w:val="0"/>
            <w:bCs/>
            <w:webHidden/>
          </w:rPr>
          <w:fldChar w:fldCharType="end"/>
        </w:r>
      </w:hyperlink>
    </w:p>
    <w:p w14:paraId="2A8E5F4D" w14:textId="39FE6FF9"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37" w:history="1">
        <w:r w:rsidRPr="00C01787">
          <w:rPr>
            <w:rStyle w:val="Hyperlink"/>
            <w:rFonts w:cs="Calibri Light"/>
            <w:b w:val="0"/>
            <w:bCs/>
            <w:color w:val="2C384A" w:themeColor="accent1"/>
          </w:rPr>
          <w:t>Box 7. Illustrative example on getting started with transition planning</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_Toc237351137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14</w:t>
        </w:r>
        <w:r w:rsidRPr="00C01787">
          <w:rPr>
            <w:rFonts w:cs="Calibri Light"/>
            <w:b w:val="0"/>
            <w:bCs/>
            <w:webHidden/>
          </w:rPr>
          <w:fldChar w:fldCharType="end"/>
        </w:r>
      </w:hyperlink>
    </w:p>
    <w:p w14:paraId="32EACAF1" w14:textId="1D3AA155"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38" w:history="1">
        <w:r w:rsidRPr="00C01787">
          <w:rPr>
            <w:rStyle w:val="Hyperlink"/>
            <w:rFonts w:cs="Calibri Light"/>
            <w:b w:val="0"/>
            <w:bCs/>
            <w:color w:val="2C384A" w:themeColor="accent1"/>
          </w:rPr>
          <w:t>Box 8. Illustrative example on climate strategy governance</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_Toc237351138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15</w:t>
        </w:r>
        <w:r w:rsidRPr="00C01787">
          <w:rPr>
            <w:rFonts w:cs="Calibri Light"/>
            <w:b w:val="0"/>
            <w:bCs/>
            <w:webHidden/>
          </w:rPr>
          <w:fldChar w:fldCharType="end"/>
        </w:r>
      </w:hyperlink>
    </w:p>
    <w:p w14:paraId="74783B57" w14:textId="15730702"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39" w:history="1">
        <w:r w:rsidRPr="00C01787">
          <w:rPr>
            <w:rStyle w:val="Hyperlink"/>
            <w:rFonts w:cs="Calibri Light"/>
            <w:b w:val="0"/>
            <w:bCs/>
            <w:color w:val="2C384A" w:themeColor="accent1"/>
          </w:rPr>
          <w:t>Box 9. Illustrative example on using the NCRA to assess climate-related physical risks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_Toc237351139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19</w:t>
        </w:r>
        <w:r w:rsidRPr="00C01787">
          <w:rPr>
            <w:rFonts w:cs="Calibri Light"/>
            <w:b w:val="0"/>
            <w:bCs/>
            <w:webHidden/>
          </w:rPr>
          <w:fldChar w:fldCharType="end"/>
        </w:r>
      </w:hyperlink>
    </w:p>
    <w:p w14:paraId="438976DC" w14:textId="5B9F00A9"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40" w:history="1">
        <w:r w:rsidRPr="00C01787">
          <w:rPr>
            <w:rStyle w:val="Hyperlink"/>
            <w:rFonts w:cs="Calibri Light"/>
            <w:b w:val="0"/>
            <w:bCs/>
            <w:color w:val="2C384A" w:themeColor="accent1"/>
          </w:rPr>
          <w:t>Box 10. Overview of the scenario analysis process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_Toc237351140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21</w:t>
        </w:r>
        <w:r w:rsidRPr="00C01787">
          <w:rPr>
            <w:rFonts w:cs="Calibri Light"/>
            <w:b w:val="0"/>
            <w:bCs/>
            <w:webHidden/>
          </w:rPr>
          <w:fldChar w:fldCharType="end"/>
        </w:r>
      </w:hyperlink>
    </w:p>
    <w:p w14:paraId="0BA1B250" w14:textId="79337D88"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41" w:history="1">
        <w:r w:rsidRPr="00C01787">
          <w:rPr>
            <w:rStyle w:val="Hyperlink"/>
            <w:rFonts w:cs="Calibri Light"/>
            <w:b w:val="0"/>
            <w:bCs/>
            <w:color w:val="2C384A" w:themeColor="accent1"/>
          </w:rPr>
          <w:t>Box 11. Supporting resources for scenario analysis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_Toc237351141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21</w:t>
        </w:r>
        <w:r w:rsidRPr="00C01787">
          <w:rPr>
            <w:rFonts w:cs="Calibri Light"/>
            <w:b w:val="0"/>
            <w:bCs/>
            <w:webHidden/>
          </w:rPr>
          <w:fldChar w:fldCharType="end"/>
        </w:r>
      </w:hyperlink>
    </w:p>
    <w:p w14:paraId="5542591D" w14:textId="5683C0E8"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42" w:history="1">
        <w:r w:rsidRPr="00C01787">
          <w:rPr>
            <w:rStyle w:val="Hyperlink"/>
            <w:rFonts w:cs="Calibri Light"/>
            <w:b w:val="0"/>
            <w:bCs/>
            <w:color w:val="2C384A" w:themeColor="accent1"/>
          </w:rPr>
          <w:t>Box 12. Principles for conducting a baseline GHG emissions assessment</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_Toc237351142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23</w:t>
        </w:r>
        <w:r w:rsidRPr="00C01787">
          <w:rPr>
            <w:rFonts w:cs="Calibri Light"/>
            <w:b w:val="0"/>
            <w:bCs/>
            <w:webHidden/>
          </w:rPr>
          <w:fldChar w:fldCharType="end"/>
        </w:r>
      </w:hyperlink>
    </w:p>
    <w:p w14:paraId="6D619442" w14:textId="7FB8B4C8"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43" w:history="1">
        <w:r w:rsidRPr="00C01787">
          <w:rPr>
            <w:rStyle w:val="Hyperlink"/>
            <w:rFonts w:cs="Calibri Light"/>
            <w:b w:val="0"/>
            <w:bCs/>
            <w:color w:val="2C384A" w:themeColor="accent1"/>
          </w:rPr>
          <w:t>Box 13. Supporting resources for measuring emissions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_Toc237351143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24</w:t>
        </w:r>
        <w:r w:rsidRPr="00C01787">
          <w:rPr>
            <w:rFonts w:cs="Calibri Light"/>
            <w:b w:val="0"/>
            <w:bCs/>
            <w:webHidden/>
          </w:rPr>
          <w:fldChar w:fldCharType="end"/>
        </w:r>
      </w:hyperlink>
    </w:p>
    <w:p w14:paraId="5381A94D" w14:textId="4CC806FB"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44" w:history="1">
        <w:r w:rsidRPr="00C01787">
          <w:rPr>
            <w:rStyle w:val="Hyperlink"/>
            <w:rFonts w:cs="Calibri Light"/>
            <w:b w:val="0"/>
            <w:bCs/>
            <w:color w:val="2C384A" w:themeColor="accent1"/>
          </w:rPr>
          <w:t>Box 14. Supporting resources for assessing transition levers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_Toc237351144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25</w:t>
        </w:r>
        <w:r w:rsidRPr="00C01787">
          <w:rPr>
            <w:rFonts w:cs="Calibri Light"/>
            <w:b w:val="0"/>
            <w:bCs/>
            <w:webHidden/>
          </w:rPr>
          <w:fldChar w:fldCharType="end"/>
        </w:r>
      </w:hyperlink>
    </w:p>
    <w:p w14:paraId="3048DC98" w14:textId="68AD32AE"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45" w:history="1">
        <w:r w:rsidRPr="00C01787">
          <w:rPr>
            <w:rStyle w:val="Hyperlink"/>
            <w:rFonts w:cs="Calibri Light"/>
            <w:b w:val="0"/>
            <w:bCs/>
            <w:color w:val="2C384A" w:themeColor="accent1"/>
          </w:rPr>
          <w:t>Box 15. Illustrative example on using the Sustainable Finance Taxonomy to identify transition levers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_Toc237351145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28</w:t>
        </w:r>
        <w:r w:rsidRPr="00C01787">
          <w:rPr>
            <w:rFonts w:cs="Calibri Light"/>
            <w:b w:val="0"/>
            <w:bCs/>
            <w:webHidden/>
          </w:rPr>
          <w:fldChar w:fldCharType="end"/>
        </w:r>
      </w:hyperlink>
    </w:p>
    <w:p w14:paraId="76438317" w14:textId="1C27554F"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46" w:history="1">
        <w:r w:rsidRPr="00C01787">
          <w:rPr>
            <w:rStyle w:val="Hyperlink"/>
            <w:rFonts w:cs="Calibri Light"/>
            <w:b w:val="0"/>
            <w:bCs/>
            <w:color w:val="2C384A" w:themeColor="accent1"/>
          </w:rPr>
          <w:t>Box 16. Decarbonisation policies, plans and targets across Australian governments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_Toc237351146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32</w:t>
        </w:r>
        <w:r w:rsidRPr="00C01787">
          <w:rPr>
            <w:rFonts w:cs="Calibri Light"/>
            <w:b w:val="0"/>
            <w:bCs/>
            <w:webHidden/>
          </w:rPr>
          <w:fldChar w:fldCharType="end"/>
        </w:r>
      </w:hyperlink>
    </w:p>
    <w:p w14:paraId="1708FB53" w14:textId="2A9D46AC"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47" w:history="1">
        <w:r w:rsidRPr="00C01787">
          <w:rPr>
            <w:rStyle w:val="Hyperlink"/>
            <w:rFonts w:cs="Calibri Light"/>
            <w:b w:val="0"/>
            <w:bCs/>
            <w:color w:val="2C384A" w:themeColor="accent1"/>
          </w:rPr>
          <w:t>Box 17. Integrating adaptation and resilience in transition planning</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_Toc237351147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33</w:t>
        </w:r>
        <w:r w:rsidRPr="00C01787">
          <w:rPr>
            <w:rFonts w:cs="Calibri Light"/>
            <w:b w:val="0"/>
            <w:bCs/>
            <w:webHidden/>
          </w:rPr>
          <w:fldChar w:fldCharType="end"/>
        </w:r>
      </w:hyperlink>
    </w:p>
    <w:p w14:paraId="4E9E5D44" w14:textId="7D033ABD"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48" w:history="1">
        <w:r w:rsidRPr="00C01787">
          <w:rPr>
            <w:rStyle w:val="Hyperlink"/>
            <w:rFonts w:cs="Calibri Light"/>
            <w:b w:val="0"/>
            <w:bCs/>
            <w:color w:val="2C384A" w:themeColor="accent1"/>
          </w:rPr>
          <w:t>Box 18. Illustrative example on setting an adaptation ambition</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_Toc237351148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34</w:t>
        </w:r>
        <w:r w:rsidRPr="00C01787">
          <w:rPr>
            <w:rFonts w:cs="Calibri Light"/>
            <w:b w:val="0"/>
            <w:bCs/>
            <w:webHidden/>
          </w:rPr>
          <w:fldChar w:fldCharType="end"/>
        </w:r>
      </w:hyperlink>
    </w:p>
    <w:p w14:paraId="2C6CE9CC" w14:textId="6AABC48C"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49" w:history="1">
        <w:r w:rsidRPr="00C01787">
          <w:rPr>
            <w:rStyle w:val="Hyperlink"/>
            <w:rFonts w:cs="Calibri Light"/>
            <w:b w:val="0"/>
            <w:bCs/>
            <w:color w:val="2C384A" w:themeColor="accent1"/>
          </w:rPr>
          <w:t>Box 19. Supporting resources for identifying assumptions and external factors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_Toc237351149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35</w:t>
        </w:r>
        <w:r w:rsidRPr="00C01787">
          <w:rPr>
            <w:rFonts w:cs="Calibri Light"/>
            <w:b w:val="0"/>
            <w:bCs/>
            <w:webHidden/>
          </w:rPr>
          <w:fldChar w:fldCharType="end"/>
        </w:r>
      </w:hyperlink>
    </w:p>
    <w:p w14:paraId="695206C2" w14:textId="4BEFE4DE"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50" w:history="1">
        <w:r w:rsidRPr="00C01787">
          <w:rPr>
            <w:rStyle w:val="Hyperlink"/>
            <w:rFonts w:cs="Calibri Light"/>
            <w:b w:val="0"/>
            <w:bCs/>
            <w:color w:val="2C384A" w:themeColor="accent1"/>
          </w:rPr>
          <w:t>Box 20. Illustrative example on prioritising and sequencing actions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_Toc237351150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38</w:t>
        </w:r>
        <w:r w:rsidRPr="00C01787">
          <w:rPr>
            <w:rFonts w:cs="Calibri Light"/>
            <w:b w:val="0"/>
            <w:bCs/>
            <w:webHidden/>
          </w:rPr>
          <w:fldChar w:fldCharType="end"/>
        </w:r>
      </w:hyperlink>
    </w:p>
    <w:p w14:paraId="0ADA1D8B" w14:textId="2972BD8D"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51" w:history="1">
        <w:r w:rsidRPr="00C01787">
          <w:rPr>
            <w:rStyle w:val="Hyperlink"/>
            <w:rFonts w:cs="Calibri Light"/>
            <w:b w:val="0"/>
            <w:bCs/>
            <w:color w:val="2C384A" w:themeColor="accent1"/>
          </w:rPr>
          <w:t>Box 21. Example on mitigating climate impacts from government operations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_Toc237351151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39</w:t>
        </w:r>
        <w:r w:rsidRPr="00C01787">
          <w:rPr>
            <w:rFonts w:cs="Calibri Light"/>
            <w:b w:val="0"/>
            <w:bCs/>
            <w:webHidden/>
          </w:rPr>
          <w:fldChar w:fldCharType="end"/>
        </w:r>
      </w:hyperlink>
    </w:p>
    <w:p w14:paraId="6CAC0189" w14:textId="4199F5E7"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52" w:history="1">
        <w:r w:rsidRPr="00C01787">
          <w:rPr>
            <w:rStyle w:val="Hyperlink"/>
            <w:rFonts w:cs="Calibri Light"/>
            <w:b w:val="0"/>
            <w:bCs/>
            <w:color w:val="2C384A" w:themeColor="accent1"/>
          </w:rPr>
          <w:t>Box 22. I</w:t>
        </w:r>
        <w:r w:rsidRPr="00C01787">
          <w:rPr>
            <w:rStyle w:val="Hyperlink"/>
            <w:rFonts w:cs="Calibri Light"/>
            <w:b w:val="0"/>
            <w:bCs/>
            <w:color w:val="2C384A" w:themeColor="accent1"/>
            <w:lang w:eastAsia="en-US"/>
          </w:rPr>
          <w:t>nformation on other sustainability-related ambitions and actions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_Toc237351152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41</w:t>
        </w:r>
        <w:r w:rsidRPr="00C01787">
          <w:rPr>
            <w:rFonts w:cs="Calibri Light"/>
            <w:b w:val="0"/>
            <w:bCs/>
            <w:webHidden/>
          </w:rPr>
          <w:fldChar w:fldCharType="end"/>
        </w:r>
      </w:hyperlink>
    </w:p>
    <w:p w14:paraId="31D50B1F" w14:textId="7A3D1C20"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56" w:history="1">
        <w:r w:rsidRPr="00C01787">
          <w:rPr>
            <w:rStyle w:val="Hyperlink"/>
            <w:rFonts w:cs="Calibri Light"/>
            <w:b w:val="0"/>
            <w:bCs/>
            <w:color w:val="2C384A" w:themeColor="accent1"/>
          </w:rPr>
          <w:t>Box 23. Illustrative example on nature actions that support adaptation and mitigation</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_Toc237351156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45</w:t>
        </w:r>
        <w:r w:rsidRPr="00C01787">
          <w:rPr>
            <w:rFonts w:cs="Calibri Light"/>
            <w:b w:val="0"/>
            <w:bCs/>
            <w:webHidden/>
          </w:rPr>
          <w:fldChar w:fldCharType="end"/>
        </w:r>
      </w:hyperlink>
    </w:p>
    <w:p w14:paraId="5518708A" w14:textId="0D58B533"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57" w:history="1">
        <w:r w:rsidRPr="00C01787">
          <w:rPr>
            <w:rStyle w:val="Hyperlink"/>
            <w:rFonts w:cs="Calibri Light"/>
            <w:b w:val="0"/>
            <w:bCs/>
            <w:color w:val="2C384A" w:themeColor="accent1"/>
          </w:rPr>
          <w:t>Box 24. Illustrative example on circular economy actions that support mitigation, adaptation and sustainability-related ambitions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_Toc237351157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46</w:t>
        </w:r>
        <w:r w:rsidRPr="00C01787">
          <w:rPr>
            <w:rFonts w:cs="Calibri Light"/>
            <w:b w:val="0"/>
            <w:bCs/>
            <w:webHidden/>
          </w:rPr>
          <w:fldChar w:fldCharType="end"/>
        </w:r>
      </w:hyperlink>
    </w:p>
    <w:p w14:paraId="25A23487" w14:textId="7D404512"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58" w:history="1">
        <w:r w:rsidRPr="00C01787">
          <w:rPr>
            <w:rStyle w:val="Hyperlink"/>
            <w:rFonts w:cs="Calibri Light"/>
            <w:b w:val="0"/>
            <w:bCs/>
            <w:color w:val="2C384A" w:themeColor="accent1"/>
          </w:rPr>
          <w:t>Box 25. Supporting resources for engaging local communities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_Toc237351158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51</w:t>
        </w:r>
        <w:r w:rsidRPr="00C01787">
          <w:rPr>
            <w:rFonts w:cs="Calibri Light"/>
            <w:b w:val="0"/>
            <w:bCs/>
            <w:webHidden/>
          </w:rPr>
          <w:fldChar w:fldCharType="end"/>
        </w:r>
      </w:hyperlink>
    </w:p>
    <w:p w14:paraId="5AC5E314" w14:textId="08824F6E"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59" w:history="1">
        <w:r w:rsidRPr="00C01787">
          <w:rPr>
            <w:rStyle w:val="Hyperlink"/>
            <w:rFonts w:cs="Calibri Light"/>
            <w:b w:val="0"/>
            <w:bCs/>
            <w:color w:val="2C384A" w:themeColor="accent1"/>
          </w:rPr>
          <w:t>Box 26. Supporting resources for First Nations engagement and partnership</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_Toc237351159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52</w:t>
        </w:r>
        <w:r w:rsidRPr="00C01787">
          <w:rPr>
            <w:rFonts w:cs="Calibri Light"/>
            <w:b w:val="0"/>
            <w:bCs/>
            <w:webHidden/>
          </w:rPr>
          <w:fldChar w:fldCharType="end"/>
        </w:r>
      </w:hyperlink>
    </w:p>
    <w:p w14:paraId="74A54D68" w14:textId="1B356CCE"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60" w:history="1">
        <w:r w:rsidRPr="00C01787">
          <w:rPr>
            <w:rStyle w:val="Hyperlink"/>
            <w:rFonts w:cs="Calibri Light"/>
            <w:b w:val="0"/>
            <w:bCs/>
            <w:color w:val="2C384A" w:themeColor="accent1"/>
          </w:rPr>
          <w:t>Box 27. The role of financial decision makers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_Toc237351160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54</w:t>
        </w:r>
        <w:r w:rsidRPr="00C01787">
          <w:rPr>
            <w:rFonts w:cs="Calibri Light"/>
            <w:b w:val="0"/>
            <w:bCs/>
            <w:webHidden/>
          </w:rPr>
          <w:fldChar w:fldCharType="end"/>
        </w:r>
      </w:hyperlink>
    </w:p>
    <w:p w14:paraId="04977224" w14:textId="54F2F177"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61" w:history="1">
        <w:r w:rsidRPr="00C01787">
          <w:rPr>
            <w:rStyle w:val="Hyperlink"/>
            <w:rFonts w:cs="Calibri Light"/>
            <w:b w:val="0"/>
            <w:bCs/>
            <w:color w:val="2C384A" w:themeColor="accent1"/>
          </w:rPr>
          <w:t>Box 28. Illustrative example on integrating transition planning into financial planning</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_Toc237351161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55</w:t>
        </w:r>
        <w:r w:rsidRPr="00C01787">
          <w:rPr>
            <w:rFonts w:cs="Calibri Light"/>
            <w:b w:val="0"/>
            <w:bCs/>
            <w:webHidden/>
          </w:rPr>
          <w:fldChar w:fldCharType="end"/>
        </w:r>
      </w:hyperlink>
    </w:p>
    <w:p w14:paraId="41027D29" w14:textId="60C4513E"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62" w:history="1">
        <w:r w:rsidRPr="00C01787">
          <w:rPr>
            <w:rStyle w:val="Hyperlink"/>
            <w:rFonts w:cs="Calibri Light"/>
            <w:b w:val="0"/>
            <w:bCs/>
            <w:color w:val="2C384A" w:themeColor="accent1"/>
          </w:rPr>
          <w:t>Box 29. Supporting resource for integrating transition planning into financial planning</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_Toc237351162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55</w:t>
        </w:r>
        <w:r w:rsidRPr="00C01787">
          <w:rPr>
            <w:rFonts w:cs="Calibri Light"/>
            <w:b w:val="0"/>
            <w:bCs/>
            <w:webHidden/>
          </w:rPr>
          <w:fldChar w:fldCharType="end"/>
        </w:r>
      </w:hyperlink>
    </w:p>
    <w:p w14:paraId="17885C92" w14:textId="194DF655"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63" w:history="1">
        <w:r w:rsidRPr="00C01787">
          <w:rPr>
            <w:rStyle w:val="Hyperlink"/>
            <w:rFonts w:cs="Calibri Light"/>
            <w:b w:val="0"/>
            <w:bCs/>
            <w:color w:val="2C384A" w:themeColor="accent1"/>
          </w:rPr>
          <w:t>Box 30. GHG target setting considerations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_Toc237351163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58</w:t>
        </w:r>
        <w:r w:rsidRPr="00C01787">
          <w:rPr>
            <w:rFonts w:cs="Calibri Light"/>
            <w:b w:val="0"/>
            <w:bCs/>
            <w:webHidden/>
          </w:rPr>
          <w:fldChar w:fldCharType="end"/>
        </w:r>
      </w:hyperlink>
    </w:p>
    <w:p w14:paraId="65541C3C" w14:textId="32E8B26B"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64" w:history="1">
        <w:r w:rsidRPr="00C01787">
          <w:rPr>
            <w:rStyle w:val="Hyperlink"/>
            <w:rFonts w:cs="Calibri Light"/>
            <w:b w:val="0"/>
            <w:bCs/>
            <w:color w:val="2C384A" w:themeColor="accent1"/>
          </w:rPr>
          <w:t>Box 31. Supporting resources for setting mitigation metrics and targets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_Toc237351164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59</w:t>
        </w:r>
        <w:r w:rsidRPr="00C01787">
          <w:rPr>
            <w:rFonts w:cs="Calibri Light"/>
            <w:b w:val="0"/>
            <w:bCs/>
            <w:webHidden/>
          </w:rPr>
          <w:fldChar w:fldCharType="end"/>
        </w:r>
      </w:hyperlink>
    </w:p>
    <w:p w14:paraId="66CC29C6" w14:textId="4F1F417F"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65" w:history="1">
        <w:r w:rsidRPr="00C01787">
          <w:rPr>
            <w:rStyle w:val="Hyperlink"/>
            <w:rFonts w:cs="Calibri Light"/>
            <w:b w:val="0"/>
            <w:bCs/>
            <w:color w:val="2C384A" w:themeColor="accent1"/>
          </w:rPr>
          <w:t>Box 32. Illustrative example on setting a financial target using the Australian Sustainable Finance Taxonomy</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_Toc237351165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61</w:t>
        </w:r>
        <w:r w:rsidRPr="00C01787">
          <w:rPr>
            <w:rFonts w:cs="Calibri Light"/>
            <w:b w:val="0"/>
            <w:bCs/>
            <w:webHidden/>
          </w:rPr>
          <w:fldChar w:fldCharType="end"/>
        </w:r>
      </w:hyperlink>
    </w:p>
    <w:p w14:paraId="416B740F" w14:textId="64DBF5A9"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66" w:history="1">
        <w:r w:rsidRPr="00C01787">
          <w:rPr>
            <w:rStyle w:val="Hyperlink"/>
            <w:rFonts w:cs="Calibri Light"/>
            <w:b w:val="0"/>
            <w:bCs/>
            <w:color w:val="2C384A" w:themeColor="accent1"/>
          </w:rPr>
          <w:t>Box 33. Factors to consider when identifying high-quality carbon credits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_Toc237351166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62</w:t>
        </w:r>
        <w:r w:rsidRPr="00C01787">
          <w:rPr>
            <w:rFonts w:cs="Calibri Light"/>
            <w:b w:val="0"/>
            <w:bCs/>
            <w:webHidden/>
          </w:rPr>
          <w:fldChar w:fldCharType="end"/>
        </w:r>
      </w:hyperlink>
    </w:p>
    <w:p w14:paraId="52504933" w14:textId="0452ED29" w:rsidR="00745B67" w:rsidRPr="00C01787" w:rsidRDefault="00745B67" w:rsidP="00C01787">
      <w:pPr>
        <w:pStyle w:val="TOC1"/>
        <w:spacing w:before="12" w:afterLines="60" w:after="144"/>
        <w:rPr>
          <w:rFonts w:eastAsiaTheme="minorEastAsia" w:cs="Calibri Light"/>
          <w:b w:val="0"/>
          <w:bCs/>
          <w:kern w:val="2"/>
          <w14:ligatures w14:val="standardContextual"/>
        </w:rPr>
      </w:pPr>
      <w:hyperlink w:anchor="_Toc237351167" w:history="1">
        <w:r w:rsidRPr="00C01787">
          <w:rPr>
            <w:rStyle w:val="Hyperlink"/>
            <w:rFonts w:cs="Calibri Light"/>
            <w:b w:val="0"/>
            <w:bCs/>
            <w:color w:val="2C384A" w:themeColor="accent1"/>
          </w:rPr>
          <w:t>Box 34. Different ways organisations use carbon credits</w:t>
        </w:r>
        <w:r w:rsidRPr="00C01787">
          <w:rPr>
            <w:rFonts w:cs="Calibri Light"/>
            <w:b w:val="0"/>
            <w:bCs/>
            <w:webHidden/>
          </w:rPr>
          <w:tab/>
        </w:r>
        <w:r w:rsidRPr="00C01787">
          <w:rPr>
            <w:rFonts w:cs="Calibri Light"/>
            <w:b w:val="0"/>
            <w:bCs/>
            <w:webHidden/>
          </w:rPr>
          <w:fldChar w:fldCharType="begin"/>
        </w:r>
        <w:r w:rsidRPr="00C01787">
          <w:rPr>
            <w:rFonts w:cs="Calibri Light"/>
            <w:b w:val="0"/>
            <w:bCs/>
            <w:webHidden/>
          </w:rPr>
          <w:instrText xml:space="preserve"> PAGEREF _Toc237351167 \h </w:instrText>
        </w:r>
        <w:r w:rsidRPr="00C01787">
          <w:rPr>
            <w:rFonts w:cs="Calibri Light"/>
            <w:b w:val="0"/>
            <w:bCs/>
            <w:webHidden/>
          </w:rPr>
        </w:r>
        <w:r w:rsidRPr="00C01787">
          <w:rPr>
            <w:rFonts w:cs="Calibri Light"/>
            <w:b w:val="0"/>
            <w:bCs/>
            <w:webHidden/>
          </w:rPr>
          <w:fldChar w:fldCharType="separate"/>
        </w:r>
        <w:r w:rsidRPr="00C01787">
          <w:rPr>
            <w:rFonts w:cs="Calibri Light"/>
            <w:b w:val="0"/>
            <w:bCs/>
            <w:webHidden/>
          </w:rPr>
          <w:t>63</w:t>
        </w:r>
        <w:r w:rsidRPr="00C01787">
          <w:rPr>
            <w:rFonts w:cs="Calibri Light"/>
            <w:b w:val="0"/>
            <w:bCs/>
            <w:webHidden/>
          </w:rPr>
          <w:fldChar w:fldCharType="end"/>
        </w:r>
      </w:hyperlink>
    </w:p>
    <w:p w14:paraId="2AE4D212" w14:textId="0FF179C6" w:rsidR="008E42E2" w:rsidRDefault="00B46436" w:rsidP="00C97265">
      <w:pPr>
        <w:pStyle w:val="Heading2"/>
        <w:spacing w:before="12" w:afterLines="60" w:after="144" w:line="240" w:lineRule="auto"/>
      </w:pPr>
      <w:r w:rsidRPr="00AB5FC6">
        <w:rPr>
          <w:rFonts w:ascii="Calibri Light" w:hAnsi="Calibri Light" w:cs="Times New Roman"/>
          <w:iCs w:val="0"/>
          <w:noProof/>
          <w:kern w:val="0"/>
          <w:sz w:val="22"/>
          <w:szCs w:val="22"/>
        </w:rPr>
        <w:fldChar w:fldCharType="end"/>
      </w:r>
      <w:r w:rsidR="004F7F6F">
        <w:t>Figures</w:t>
      </w:r>
      <w:bookmarkEnd w:id="13"/>
      <w:bookmarkEnd w:id="14"/>
    </w:p>
    <w:p w14:paraId="5B5A9EFD" w14:textId="063CC547" w:rsidR="00862A40" w:rsidRPr="00C463B9" w:rsidRDefault="00862A40" w:rsidP="00B46436">
      <w:pPr>
        <w:pStyle w:val="TOC1"/>
        <w:spacing w:beforeLines="60" w:before="144" w:after="60"/>
        <w:rPr>
          <w:rFonts w:asciiTheme="minorHAnsi" w:eastAsiaTheme="minorEastAsia" w:hAnsiTheme="minorHAnsi" w:cstheme="minorBidi"/>
          <w:b w:val="0"/>
          <w:color w:val="auto"/>
          <w:kern w:val="2"/>
          <w:sz w:val="24"/>
          <w:szCs w:val="24"/>
          <w14:ligatures w14:val="standardContextual"/>
        </w:rPr>
      </w:pPr>
      <w:r w:rsidRPr="00C463B9">
        <w:rPr>
          <w:b w:val="0"/>
        </w:rPr>
        <w:fldChar w:fldCharType="begin"/>
      </w:r>
      <w:r w:rsidRPr="00C463B9">
        <w:rPr>
          <w:b w:val="0"/>
        </w:rPr>
        <w:instrText xml:space="preserve"> TOC \h \z \t "Chart Main Heading,1" </w:instrText>
      </w:r>
      <w:r w:rsidRPr="00C463B9">
        <w:rPr>
          <w:b w:val="0"/>
        </w:rPr>
        <w:fldChar w:fldCharType="separate"/>
      </w:r>
      <w:hyperlink w:anchor="_Toc225347728" w:history="1">
        <w:r w:rsidRPr="00C463B9">
          <w:rPr>
            <w:rStyle w:val="Hyperlink"/>
            <w:b w:val="0"/>
          </w:rPr>
          <w:t>Figure 1: The government</w:t>
        </w:r>
        <w:r w:rsidR="00963E59">
          <w:rPr>
            <w:rStyle w:val="Hyperlink"/>
            <w:b w:val="0"/>
          </w:rPr>
          <w:t>’</w:t>
        </w:r>
        <w:r w:rsidRPr="00C463B9">
          <w:rPr>
            <w:rStyle w:val="Hyperlink"/>
            <w:b w:val="0"/>
          </w:rPr>
          <w:t>s voluntary climate</w:t>
        </w:r>
        <w:r w:rsidR="00963E59">
          <w:rPr>
            <w:rStyle w:val="Hyperlink"/>
            <w:b w:val="0"/>
          </w:rPr>
          <w:noBreakHyphen/>
        </w:r>
        <w:r w:rsidRPr="00C463B9">
          <w:rPr>
            <w:rStyle w:val="Hyperlink"/>
            <w:b w:val="0"/>
          </w:rPr>
          <w:t>related transition planning guidance</w:t>
        </w:r>
        <w:r w:rsidRPr="00C463B9">
          <w:rPr>
            <w:b w:val="0"/>
            <w:webHidden/>
          </w:rPr>
          <w:tab/>
        </w:r>
        <w:r w:rsidRPr="00C463B9">
          <w:rPr>
            <w:b w:val="0"/>
            <w:webHidden/>
          </w:rPr>
          <w:fldChar w:fldCharType="begin"/>
        </w:r>
        <w:r w:rsidRPr="00C463B9">
          <w:rPr>
            <w:b w:val="0"/>
            <w:webHidden/>
          </w:rPr>
          <w:instrText xml:space="preserve"> PAGEREF _Toc225347728 \h </w:instrText>
        </w:r>
        <w:r w:rsidRPr="00C463B9">
          <w:rPr>
            <w:b w:val="0"/>
            <w:webHidden/>
          </w:rPr>
        </w:r>
        <w:r w:rsidRPr="00C463B9">
          <w:rPr>
            <w:b w:val="0"/>
            <w:webHidden/>
          </w:rPr>
          <w:fldChar w:fldCharType="separate"/>
        </w:r>
        <w:r w:rsidR="00AB5FC6">
          <w:rPr>
            <w:b w:val="0"/>
            <w:webHidden/>
          </w:rPr>
          <w:t>2</w:t>
        </w:r>
        <w:r w:rsidRPr="00C463B9">
          <w:rPr>
            <w:b w:val="0"/>
            <w:webHidden/>
          </w:rPr>
          <w:fldChar w:fldCharType="end"/>
        </w:r>
      </w:hyperlink>
    </w:p>
    <w:p w14:paraId="3E9238BC" w14:textId="703B26BB" w:rsidR="00862A40" w:rsidRPr="00C463B9" w:rsidRDefault="00862A40" w:rsidP="00B46436">
      <w:pPr>
        <w:pStyle w:val="TOC1"/>
        <w:spacing w:beforeLines="60" w:before="144" w:after="60"/>
        <w:rPr>
          <w:rFonts w:asciiTheme="minorHAnsi" w:eastAsiaTheme="minorEastAsia" w:hAnsiTheme="minorHAnsi" w:cstheme="minorBidi"/>
          <w:b w:val="0"/>
          <w:color w:val="auto"/>
          <w:kern w:val="2"/>
          <w:sz w:val="24"/>
          <w:szCs w:val="24"/>
          <w14:ligatures w14:val="standardContextual"/>
        </w:rPr>
      </w:pPr>
      <w:r w:rsidRPr="00963E59">
        <w:rPr>
          <w:b w:val="0"/>
        </w:rPr>
        <w:t>Figure 2: Different approaches to transition planning</w:t>
      </w:r>
      <w:r w:rsidRPr="00C463B9">
        <w:rPr>
          <w:b w:val="0"/>
          <w:webHidden/>
        </w:rPr>
        <w:tab/>
      </w:r>
      <w:r w:rsidRPr="00C463B9">
        <w:rPr>
          <w:b w:val="0"/>
          <w:webHidden/>
        </w:rPr>
        <w:fldChar w:fldCharType="begin"/>
      </w:r>
      <w:r w:rsidRPr="00C463B9">
        <w:rPr>
          <w:b w:val="0"/>
          <w:webHidden/>
        </w:rPr>
        <w:instrText xml:space="preserve"> PAGEREF _Toc225347729 \h </w:instrText>
      </w:r>
      <w:r w:rsidRPr="00C463B9">
        <w:rPr>
          <w:b w:val="0"/>
          <w:webHidden/>
        </w:rPr>
      </w:r>
      <w:r w:rsidRPr="00C463B9">
        <w:rPr>
          <w:b w:val="0"/>
          <w:webHidden/>
        </w:rPr>
        <w:fldChar w:fldCharType="separate"/>
      </w:r>
      <w:r w:rsidR="00AB5FC6">
        <w:rPr>
          <w:b w:val="0"/>
          <w:webHidden/>
        </w:rPr>
        <w:t>9</w:t>
      </w:r>
      <w:r w:rsidRPr="00C463B9">
        <w:rPr>
          <w:b w:val="0"/>
          <w:webHidden/>
        </w:rPr>
        <w:fldChar w:fldCharType="end"/>
      </w:r>
    </w:p>
    <w:p w14:paraId="0A97628F" w14:textId="5C28727C" w:rsidR="00862A40" w:rsidRPr="00C463B9" w:rsidRDefault="00862A40" w:rsidP="00B46436">
      <w:pPr>
        <w:pStyle w:val="TOC1"/>
        <w:spacing w:beforeLines="60" w:before="144" w:after="60"/>
        <w:rPr>
          <w:rFonts w:asciiTheme="minorHAnsi" w:eastAsiaTheme="minorEastAsia" w:hAnsiTheme="minorHAnsi" w:cstheme="minorBidi"/>
          <w:b w:val="0"/>
          <w:color w:val="auto"/>
          <w:kern w:val="2"/>
          <w:sz w:val="24"/>
          <w:szCs w:val="24"/>
          <w14:ligatures w14:val="standardContextual"/>
        </w:rPr>
      </w:pPr>
      <w:hyperlink w:anchor="_Toc225347730" w:history="1">
        <w:r w:rsidRPr="00C463B9">
          <w:rPr>
            <w:rStyle w:val="Hyperlink"/>
            <w:b w:val="0"/>
          </w:rPr>
          <w:t>Figure 3: Illustrative climate governance framework</w:t>
        </w:r>
        <w:r w:rsidRPr="00C463B9">
          <w:rPr>
            <w:b w:val="0"/>
            <w:webHidden/>
          </w:rPr>
          <w:tab/>
        </w:r>
        <w:r w:rsidRPr="00C463B9">
          <w:rPr>
            <w:b w:val="0"/>
            <w:webHidden/>
          </w:rPr>
          <w:fldChar w:fldCharType="begin"/>
        </w:r>
        <w:r w:rsidRPr="00C463B9">
          <w:rPr>
            <w:b w:val="0"/>
            <w:webHidden/>
          </w:rPr>
          <w:instrText xml:space="preserve"> PAGEREF _Toc225347730 \h </w:instrText>
        </w:r>
        <w:r w:rsidRPr="00C463B9">
          <w:rPr>
            <w:b w:val="0"/>
            <w:webHidden/>
          </w:rPr>
        </w:r>
        <w:r w:rsidRPr="00C463B9">
          <w:rPr>
            <w:b w:val="0"/>
            <w:webHidden/>
          </w:rPr>
          <w:fldChar w:fldCharType="separate"/>
        </w:r>
        <w:r w:rsidR="00AB5FC6">
          <w:rPr>
            <w:b w:val="0"/>
            <w:webHidden/>
          </w:rPr>
          <w:t>15</w:t>
        </w:r>
        <w:r w:rsidRPr="00C463B9">
          <w:rPr>
            <w:b w:val="0"/>
            <w:webHidden/>
          </w:rPr>
          <w:fldChar w:fldCharType="end"/>
        </w:r>
      </w:hyperlink>
    </w:p>
    <w:p w14:paraId="6CACCEC1" w14:textId="16BCDE0F" w:rsidR="00862A40" w:rsidRPr="00C463B9" w:rsidRDefault="00862A40" w:rsidP="00B46436">
      <w:pPr>
        <w:pStyle w:val="TOC1"/>
        <w:spacing w:beforeLines="60" w:before="144" w:after="60"/>
        <w:rPr>
          <w:rFonts w:asciiTheme="minorHAnsi" w:eastAsiaTheme="minorEastAsia" w:hAnsiTheme="minorHAnsi" w:cstheme="minorBidi"/>
          <w:b w:val="0"/>
          <w:color w:val="auto"/>
          <w:kern w:val="2"/>
          <w:sz w:val="24"/>
          <w:szCs w:val="24"/>
          <w14:ligatures w14:val="standardContextual"/>
        </w:rPr>
      </w:pPr>
      <w:r w:rsidRPr="00963E59">
        <w:rPr>
          <w:b w:val="0"/>
        </w:rPr>
        <w:t>Figure 4: Network for Greening the Financial System maturity model</w:t>
      </w:r>
      <w:r w:rsidRPr="00963E59">
        <w:rPr>
          <w:b w:val="0"/>
        </w:rPr>
        <w:br/>
        <w:t>for setting metrics and targets</w:t>
      </w:r>
      <w:r w:rsidRPr="00C463B9">
        <w:rPr>
          <w:b w:val="0"/>
          <w:webHidden/>
        </w:rPr>
        <w:tab/>
      </w:r>
      <w:r w:rsidRPr="00C463B9">
        <w:rPr>
          <w:b w:val="0"/>
          <w:webHidden/>
        </w:rPr>
        <w:fldChar w:fldCharType="begin"/>
      </w:r>
      <w:r w:rsidRPr="00C463B9">
        <w:rPr>
          <w:b w:val="0"/>
          <w:webHidden/>
        </w:rPr>
        <w:instrText xml:space="preserve"> PAGEREF _Toc225347731 \h </w:instrText>
      </w:r>
      <w:r w:rsidRPr="00C463B9">
        <w:rPr>
          <w:b w:val="0"/>
          <w:webHidden/>
        </w:rPr>
      </w:r>
      <w:r w:rsidRPr="00C463B9">
        <w:rPr>
          <w:b w:val="0"/>
          <w:webHidden/>
        </w:rPr>
        <w:fldChar w:fldCharType="separate"/>
      </w:r>
      <w:r w:rsidR="00AB5FC6">
        <w:rPr>
          <w:b w:val="0"/>
          <w:webHidden/>
        </w:rPr>
        <w:t>59</w:t>
      </w:r>
      <w:r w:rsidRPr="00C463B9">
        <w:rPr>
          <w:b w:val="0"/>
          <w:webHidden/>
        </w:rPr>
        <w:fldChar w:fldCharType="end"/>
      </w:r>
    </w:p>
    <w:p w14:paraId="3C84B4E7" w14:textId="669FA536" w:rsidR="00862A40" w:rsidRPr="00C463B9" w:rsidRDefault="00862A40" w:rsidP="00B46436">
      <w:pPr>
        <w:pStyle w:val="TOC1"/>
        <w:spacing w:beforeLines="60" w:before="144" w:after="60"/>
        <w:rPr>
          <w:rFonts w:asciiTheme="minorHAnsi" w:eastAsiaTheme="minorEastAsia" w:hAnsiTheme="minorHAnsi" w:cstheme="minorBidi"/>
          <w:b w:val="0"/>
          <w:color w:val="auto"/>
          <w:kern w:val="2"/>
          <w:sz w:val="24"/>
          <w:szCs w:val="24"/>
          <w14:ligatures w14:val="standardContextual"/>
        </w:rPr>
      </w:pPr>
      <w:hyperlink w:anchor="_Toc225347732" w:history="1">
        <w:r w:rsidRPr="00C463B9">
          <w:rPr>
            <w:rStyle w:val="Hyperlink"/>
            <w:b w:val="0"/>
          </w:rPr>
          <w:t>Figure 5: Iterative transition planning cycle</w:t>
        </w:r>
        <w:r w:rsidRPr="00C463B9">
          <w:rPr>
            <w:b w:val="0"/>
            <w:webHidden/>
          </w:rPr>
          <w:tab/>
        </w:r>
        <w:r w:rsidRPr="00C463B9">
          <w:rPr>
            <w:b w:val="0"/>
            <w:webHidden/>
          </w:rPr>
          <w:fldChar w:fldCharType="begin"/>
        </w:r>
        <w:r w:rsidRPr="00C463B9">
          <w:rPr>
            <w:b w:val="0"/>
            <w:webHidden/>
          </w:rPr>
          <w:instrText xml:space="preserve"> PAGEREF _Toc225347732 \h </w:instrText>
        </w:r>
        <w:r w:rsidRPr="00C463B9">
          <w:rPr>
            <w:b w:val="0"/>
            <w:webHidden/>
          </w:rPr>
        </w:r>
        <w:r w:rsidRPr="00C463B9">
          <w:rPr>
            <w:b w:val="0"/>
            <w:webHidden/>
          </w:rPr>
          <w:fldChar w:fldCharType="separate"/>
        </w:r>
        <w:r w:rsidR="00AB5FC6">
          <w:rPr>
            <w:b w:val="0"/>
            <w:webHidden/>
          </w:rPr>
          <w:t>64</w:t>
        </w:r>
        <w:r w:rsidRPr="00C463B9">
          <w:rPr>
            <w:b w:val="0"/>
            <w:webHidden/>
          </w:rPr>
          <w:fldChar w:fldCharType="end"/>
        </w:r>
      </w:hyperlink>
    </w:p>
    <w:p w14:paraId="0BD3B052" w14:textId="4A1CE63F" w:rsidR="007057A5" w:rsidRDefault="00862A40" w:rsidP="00B46436">
      <w:pPr>
        <w:spacing w:beforeLines="60" w:before="144" w:after="60"/>
        <w:sectPr w:rsidR="007057A5" w:rsidSect="00700AC5">
          <w:footerReference w:type="default" r:id="rId19"/>
          <w:footerReference w:type="first" r:id="rId20"/>
          <w:endnotePr>
            <w:numFmt w:val="decimal"/>
          </w:endnotePr>
          <w:pgSz w:w="11906" w:h="16838" w:code="9"/>
          <w:pgMar w:top="1843" w:right="1418" w:bottom="1418" w:left="1418" w:header="709" w:footer="709" w:gutter="0"/>
          <w:cols w:space="708"/>
          <w:titlePg/>
          <w:docGrid w:linePitch="360"/>
        </w:sectPr>
      </w:pPr>
      <w:r w:rsidRPr="00C463B9">
        <w:rPr>
          <w:noProof/>
          <w:color w:val="2C384A" w:themeColor="accent1"/>
          <w:szCs w:val="22"/>
        </w:rPr>
        <w:fldChar w:fldCharType="end"/>
      </w:r>
    </w:p>
    <w:p w14:paraId="57773C39" w14:textId="48D4E869" w:rsidR="00C32D5E" w:rsidRDefault="00061E13" w:rsidP="00D73DD0">
      <w:pPr>
        <w:pStyle w:val="Heading1"/>
        <w:spacing w:before="0"/>
      </w:pPr>
      <w:bookmarkStart w:id="15" w:name="_Toc232776337"/>
      <w:r>
        <w:lastRenderedPageBreak/>
        <w:t xml:space="preserve">Executive </w:t>
      </w:r>
      <w:r w:rsidR="007E20E9">
        <w:t>s</w:t>
      </w:r>
      <w:r>
        <w:t>ummary</w:t>
      </w:r>
      <w:bookmarkEnd w:id="11"/>
      <w:bookmarkEnd w:id="12"/>
      <w:bookmarkEnd w:id="15"/>
    </w:p>
    <w:p w14:paraId="0C378759" w14:textId="7EABF850" w:rsidR="00F977DF" w:rsidRDefault="00D54C7E" w:rsidP="00C32D5E">
      <w:r>
        <w:t xml:space="preserve">Global and domestic </w:t>
      </w:r>
      <w:r w:rsidR="00C32D5E" w:rsidDel="009F764E">
        <w:t>markets</w:t>
      </w:r>
      <w:r w:rsidR="00C32D5E">
        <w:t xml:space="preserve"> are changing</w:t>
      </w:r>
      <w:r w:rsidR="00F977DF">
        <w:t>. O</w:t>
      </w:r>
      <w:r w:rsidR="00C32D5E">
        <w:t xml:space="preserve">rganisations increasingly </w:t>
      </w:r>
      <w:r w:rsidR="00C33C78">
        <w:t>recognis</w:t>
      </w:r>
      <w:r w:rsidR="00F977DF">
        <w:t>e</w:t>
      </w:r>
      <w:r w:rsidR="00C33C78">
        <w:t xml:space="preserve"> the need to </w:t>
      </w:r>
      <w:r w:rsidR="003A77A4">
        <w:t xml:space="preserve">respond to </w:t>
      </w:r>
      <w:r w:rsidR="00B4514A">
        <w:t>the</w:t>
      </w:r>
      <w:r w:rsidR="00B25897">
        <w:t xml:space="preserve"> growing</w:t>
      </w:r>
      <w:r w:rsidR="003A77A4">
        <w:t xml:space="preserve"> physical effects of climate change and Australia</w:t>
      </w:r>
      <w:r w:rsidR="00963E59">
        <w:t>’</w:t>
      </w:r>
      <w:r w:rsidR="003A77A4">
        <w:t xml:space="preserve">s </w:t>
      </w:r>
      <w:r w:rsidR="00D05A87">
        <w:t>transition to net</w:t>
      </w:r>
      <w:r w:rsidR="00EF10AF">
        <w:t> </w:t>
      </w:r>
      <w:r w:rsidR="00D05A87">
        <w:t>zero</w:t>
      </w:r>
      <w:r w:rsidR="00E8437C">
        <w:t xml:space="preserve"> by 2050</w:t>
      </w:r>
      <w:r w:rsidR="003A77A4">
        <w:t xml:space="preserve">. </w:t>
      </w:r>
    </w:p>
    <w:p w14:paraId="47AE6424" w14:textId="1E21D1AE" w:rsidR="00FC5E45" w:rsidRDefault="0014517D" w:rsidP="00C32D5E">
      <w:r>
        <w:t>Many</w:t>
      </w:r>
      <w:r w:rsidR="007A0147">
        <w:t xml:space="preserve"> organisations are choosing to set their own net</w:t>
      </w:r>
      <w:r w:rsidR="00EB3431">
        <w:t xml:space="preserve"> </w:t>
      </w:r>
      <w:r w:rsidR="007A0147">
        <w:t>zero emissions targets</w:t>
      </w:r>
      <w:r w:rsidR="003F24C0">
        <w:t>. Eighty</w:t>
      </w:r>
      <w:r w:rsidR="007E20E9">
        <w:t xml:space="preserve"> per cent</w:t>
      </w:r>
      <w:r w:rsidR="007A0147">
        <w:t xml:space="preserve"> of the market capitalisation</w:t>
      </w:r>
      <w:r w:rsidR="00200777">
        <w:t xml:space="preserve"> of ASX200 companies</w:t>
      </w:r>
      <w:r w:rsidR="00DE75EF">
        <w:t xml:space="preserve"> have set targets to </w:t>
      </w:r>
      <w:r w:rsidR="00D851E4">
        <w:t>net zero emissions</w:t>
      </w:r>
      <w:r w:rsidR="006A3AA9">
        <w:t>.</w:t>
      </w:r>
      <w:r w:rsidR="009B6A09" w:rsidRPr="008305B0">
        <w:rPr>
          <w:rStyle w:val="FootnoteReference"/>
        </w:rPr>
        <w:endnoteReference w:id="2"/>
      </w:r>
      <w:r w:rsidR="007A0147">
        <w:t xml:space="preserve"> </w:t>
      </w:r>
      <w:r w:rsidR="006A3AA9">
        <w:t>O</w:t>
      </w:r>
      <w:r w:rsidR="00FC5E45">
        <w:t>rganisations</w:t>
      </w:r>
      <w:r w:rsidR="0077001C">
        <w:t xml:space="preserve"> are </w:t>
      </w:r>
      <w:r w:rsidR="006A3AA9">
        <w:t>also</w:t>
      </w:r>
      <w:r w:rsidR="0077001C">
        <w:t xml:space="preserve"> facing growing market expectation</w:t>
      </w:r>
      <w:r w:rsidR="00736D10">
        <w:t>s</w:t>
      </w:r>
      <w:r w:rsidR="005C06C2">
        <w:t xml:space="preserve"> </w:t>
      </w:r>
      <w:r w:rsidR="0077001C">
        <w:t xml:space="preserve">to demonstrate how they </w:t>
      </w:r>
      <w:r w:rsidR="00263989">
        <w:t xml:space="preserve">plan </w:t>
      </w:r>
      <w:r w:rsidR="007B1524">
        <w:t xml:space="preserve">to </w:t>
      </w:r>
      <w:r w:rsidR="00263989">
        <w:t>respond</w:t>
      </w:r>
      <w:r w:rsidR="0077001C">
        <w:t xml:space="preserve"> to </w:t>
      </w:r>
      <w:r w:rsidR="00A26AD8">
        <w:t xml:space="preserve">the transition and </w:t>
      </w:r>
      <w:r w:rsidR="000A77D6">
        <w:t>changing climate</w:t>
      </w:r>
      <w:r w:rsidR="0077001C">
        <w:t>.</w:t>
      </w:r>
    </w:p>
    <w:p w14:paraId="6EB3786A" w14:textId="76BE44C4" w:rsidR="0091166C" w:rsidRDefault="00914134" w:rsidP="0091166C">
      <w:r>
        <w:t>Climate</w:t>
      </w:r>
      <w:r w:rsidR="00963E59">
        <w:noBreakHyphen/>
      </w:r>
      <w:r>
        <w:t>related transition planning</w:t>
      </w:r>
      <w:r w:rsidR="002A716B">
        <w:t xml:space="preserve"> (</w:t>
      </w:r>
      <w:r w:rsidR="00963E59">
        <w:t>‘</w:t>
      </w:r>
      <w:r w:rsidR="002A716B">
        <w:t>transition planning</w:t>
      </w:r>
      <w:r w:rsidR="00963E59">
        <w:t>’</w:t>
      </w:r>
      <w:r w:rsidR="002A716B">
        <w:t>)</w:t>
      </w:r>
      <w:r>
        <w:t xml:space="preserve"> </w:t>
      </w:r>
      <w:r w:rsidR="00082905">
        <w:t>helps organisations better prepare for the future by managing climate</w:t>
      </w:r>
      <w:r w:rsidR="00963E59">
        <w:noBreakHyphen/>
      </w:r>
      <w:r w:rsidR="00082905">
        <w:t>related risks and harnessing opportunities</w:t>
      </w:r>
      <w:r w:rsidR="005E418C">
        <w:t xml:space="preserve"> (</w:t>
      </w:r>
      <w:hyperlink w:anchor="Figure1" w:history="1">
        <w:r w:rsidR="005E418C" w:rsidRPr="00EF1931">
          <w:rPr>
            <w:rStyle w:val="Hyperlink"/>
          </w:rPr>
          <w:t>Figure 1</w:t>
        </w:r>
      </w:hyperlink>
      <w:r w:rsidR="005E418C">
        <w:t>)</w:t>
      </w:r>
      <w:r w:rsidR="00440636">
        <w:t>.</w:t>
      </w:r>
      <w:r w:rsidR="00373D3F">
        <w:t xml:space="preserve"> </w:t>
      </w:r>
      <w:r w:rsidR="007B6E9B">
        <w:t>Access to</w:t>
      </w:r>
      <w:r w:rsidR="003A36C8">
        <w:t xml:space="preserve"> quality </w:t>
      </w:r>
      <w:r w:rsidR="0091166C">
        <w:t xml:space="preserve">guidance </w:t>
      </w:r>
      <w:r w:rsidR="003A36C8">
        <w:t>makes it easier for</w:t>
      </w:r>
      <w:r w:rsidR="00693D7B">
        <w:t xml:space="preserve"> </w:t>
      </w:r>
      <w:r w:rsidR="0091166C">
        <w:t xml:space="preserve">organisations </w:t>
      </w:r>
      <w:r w:rsidR="003A36C8">
        <w:t xml:space="preserve">to </w:t>
      </w:r>
      <w:r w:rsidR="0091166C">
        <w:t xml:space="preserve">undertake </w:t>
      </w:r>
      <w:r w:rsidR="00945DBA">
        <w:t>robust and consistent</w:t>
      </w:r>
      <w:r w:rsidR="0091166C">
        <w:t xml:space="preserve"> </w:t>
      </w:r>
      <w:r w:rsidR="006F25E7">
        <w:t>transition planning</w:t>
      </w:r>
      <w:r w:rsidR="0091166C">
        <w:t>.</w:t>
      </w:r>
    </w:p>
    <w:p w14:paraId="76660364" w14:textId="410A6454" w:rsidR="001929E7" w:rsidRDefault="00487145" w:rsidP="0065152F">
      <w:r>
        <w:t>The Government is committed to making it easier for organisations to manage climate</w:t>
      </w:r>
      <w:r w:rsidR="00963E59">
        <w:noBreakHyphen/>
      </w:r>
      <w:r>
        <w:t xml:space="preserve">related risks through the actions identified in the </w:t>
      </w:r>
      <w:hyperlink r:id="rId21">
        <w:r w:rsidRPr="1F14DEA5">
          <w:rPr>
            <w:rStyle w:val="Hyperlink"/>
          </w:rPr>
          <w:t>Sustainable Finance Roadmap</w:t>
        </w:r>
      </w:hyperlink>
      <w:r>
        <w:rPr>
          <w:rStyle w:val="EndnoteReference"/>
        </w:rPr>
        <w:endnoteReference w:id="3"/>
      </w:r>
      <w:r w:rsidR="000C73FD">
        <w:t xml:space="preserve">. </w:t>
      </w:r>
      <w:r w:rsidR="001453E2">
        <w:t xml:space="preserve">This voluntary good practice guidance for transition planning is part of this </w:t>
      </w:r>
      <w:r w:rsidR="00471EA2">
        <w:t>Roadmap and</w:t>
      </w:r>
      <w:r w:rsidR="001453E2">
        <w:t xml:space="preserve"> will help organisations to navigate the impacts of the net zero transition and changing climate on their operation</w:t>
      </w:r>
      <w:r w:rsidR="0065152F">
        <w:t>s</w:t>
      </w:r>
      <w:r w:rsidR="00E80F0C">
        <w:t xml:space="preserve"> (</w:t>
      </w:r>
      <w:hyperlink w:anchor="Box1" w:history="1">
        <w:r w:rsidR="00441E1C" w:rsidRPr="00EF1931">
          <w:rPr>
            <w:rStyle w:val="Hyperlink"/>
          </w:rPr>
          <w:t>Box 1</w:t>
        </w:r>
      </w:hyperlink>
      <w:r w:rsidR="003A6C44">
        <w:fldChar w:fldCharType="begin"/>
      </w:r>
      <w:r w:rsidR="003A6C44">
        <w:instrText xml:space="preserve"> REF Box1 \h </w:instrText>
      </w:r>
      <w:r w:rsidR="003A6C44">
        <w:fldChar w:fldCharType="end"/>
      </w:r>
      <w:r w:rsidR="003A6C44">
        <w:fldChar w:fldCharType="begin"/>
      </w:r>
      <w:r w:rsidR="003A6C44">
        <w:instrText xml:space="preserve"> REF Box1 \h </w:instrText>
      </w:r>
      <w:r w:rsidR="003A6C44">
        <w:fldChar w:fldCharType="end"/>
      </w:r>
      <w:r w:rsidR="00E80F0C">
        <w:t>)</w:t>
      </w:r>
      <w:r w:rsidR="0065152F">
        <w:t xml:space="preserve">. </w:t>
      </w:r>
    </w:p>
    <w:p w14:paraId="3065CB5A" w14:textId="3E2BB4AC" w:rsidR="0065152F" w:rsidRDefault="0065152F" w:rsidP="0065152F">
      <w:r>
        <w:t xml:space="preserve">Requirements </w:t>
      </w:r>
      <w:r w:rsidRPr="00734DF1">
        <w:t>for disclosing</w:t>
      </w:r>
      <w:r>
        <w:t xml:space="preserve"> information on an entity</w:t>
      </w:r>
      <w:r w:rsidR="00963E59">
        <w:t>’</w:t>
      </w:r>
      <w:r>
        <w:t>s climate</w:t>
      </w:r>
      <w:r w:rsidR="00963E59">
        <w:noBreakHyphen/>
      </w:r>
      <w:r>
        <w:t>related transition plan under the mandatory climate</w:t>
      </w:r>
      <w:r w:rsidR="00963E59">
        <w:noBreakHyphen/>
      </w:r>
      <w:r>
        <w:t xml:space="preserve">related financial </w:t>
      </w:r>
      <w:r w:rsidRPr="00734DF1">
        <w:t xml:space="preserve">disclosure </w:t>
      </w:r>
      <w:r>
        <w:t xml:space="preserve">regime </w:t>
      </w:r>
      <w:r w:rsidRPr="00734DF1">
        <w:t xml:space="preserve">are </w:t>
      </w:r>
      <w:r w:rsidRPr="002664BD">
        <w:t>not addressed in</w:t>
      </w:r>
      <w:r>
        <w:t xml:space="preserve"> this guidance</w:t>
      </w:r>
      <w:r w:rsidRPr="00734DF1">
        <w:t>. Organisations seeking information on</w:t>
      </w:r>
      <w:r>
        <w:t xml:space="preserve"> disclosure obligations </w:t>
      </w:r>
      <w:r w:rsidRPr="0093431E">
        <w:t xml:space="preserve">should refer </w:t>
      </w:r>
      <w:r>
        <w:t xml:space="preserve">to the </w:t>
      </w:r>
      <w:r w:rsidRPr="00734DF1">
        <w:t>relevant disclosure</w:t>
      </w:r>
      <w:r w:rsidR="00963E59">
        <w:noBreakHyphen/>
      </w:r>
      <w:r w:rsidRPr="00734DF1">
        <w:t>specific</w:t>
      </w:r>
      <w:r>
        <w:t xml:space="preserve"> resources available to reporting entities (see </w:t>
      </w:r>
      <w:hyperlink w:anchor="_Purpose_and_audience" w:history="1">
        <w:r w:rsidRPr="00265E0A">
          <w:rPr>
            <w:rStyle w:val="Hyperlink"/>
          </w:rPr>
          <w:t>Purpose and audience</w:t>
        </w:r>
      </w:hyperlink>
      <w:r>
        <w:t xml:space="preserve">). </w:t>
      </w:r>
    </w:p>
    <w:p w14:paraId="1A007400" w14:textId="77777777" w:rsidR="004861AC" w:rsidRDefault="004861AC" w:rsidP="004861AC">
      <w:pPr>
        <w:pStyle w:val="SingleParagraph"/>
      </w:pPr>
    </w:p>
    <w:p w14:paraId="2B8684D8" w14:textId="77777777" w:rsidR="000338E7" w:rsidRPr="000338E7" w:rsidRDefault="000338E7" w:rsidP="00836265">
      <w:pPr>
        <w:sectPr w:rsidR="000338E7" w:rsidRPr="000338E7" w:rsidSect="00700AC5">
          <w:footerReference w:type="first" r:id="rId22"/>
          <w:endnotePr>
            <w:numFmt w:val="decimal"/>
          </w:endnotePr>
          <w:pgSz w:w="11906" w:h="16838" w:code="9"/>
          <w:pgMar w:top="1843" w:right="1418" w:bottom="1418" w:left="1418" w:header="709" w:footer="709" w:gutter="0"/>
          <w:pgNumType w:start="1"/>
          <w:cols w:space="708"/>
          <w:titlePg/>
          <w:docGrid w:linePitch="360"/>
        </w:sectPr>
      </w:pPr>
    </w:p>
    <w:p w14:paraId="36DE19FC" w14:textId="60521BFA" w:rsidR="00660952" w:rsidRDefault="00660952" w:rsidP="008305B0">
      <w:pPr>
        <w:pStyle w:val="ChartMainHeading"/>
        <w:rPr>
          <w:noProof/>
        </w:rPr>
      </w:pPr>
      <w:bookmarkStart w:id="16" w:name="_Toc225347728"/>
      <w:bookmarkStart w:id="17" w:name="Figure1"/>
      <w:r w:rsidRPr="007E2B85">
        <w:lastRenderedPageBreak/>
        <w:t xml:space="preserve">Figure </w:t>
      </w:r>
      <w:r>
        <w:t>1</w:t>
      </w:r>
      <w:r w:rsidRPr="007E2B85">
        <w:t xml:space="preserve">: </w:t>
      </w:r>
      <w:r>
        <w:t xml:space="preserve">The </w:t>
      </w:r>
      <w:r w:rsidR="002E2CB5">
        <w:t>g</w:t>
      </w:r>
      <w:r>
        <w:t>overnment</w:t>
      </w:r>
      <w:r w:rsidR="00963E59">
        <w:t>’</w:t>
      </w:r>
      <w:r>
        <w:t xml:space="preserve">s </w:t>
      </w:r>
      <w:r w:rsidR="002E2CB5">
        <w:t>v</w:t>
      </w:r>
      <w:r>
        <w:t xml:space="preserve">oluntary </w:t>
      </w:r>
      <w:r w:rsidR="002E2CB5">
        <w:t>c</w:t>
      </w:r>
      <w:r>
        <w:t>limate</w:t>
      </w:r>
      <w:r w:rsidR="00503971">
        <w:t>-</w:t>
      </w:r>
      <w:r>
        <w:t xml:space="preserve">related </w:t>
      </w:r>
      <w:r w:rsidR="002E2CB5">
        <w:t>t</w:t>
      </w:r>
      <w:r>
        <w:t xml:space="preserve">ransition </w:t>
      </w:r>
      <w:r w:rsidR="002E2CB5">
        <w:t>p</w:t>
      </w:r>
      <w:r>
        <w:t xml:space="preserve">lanning </w:t>
      </w:r>
      <w:r w:rsidR="002E2CB5">
        <w:t>g</w:t>
      </w:r>
      <w:r>
        <w:t>uidance</w:t>
      </w:r>
      <w:bookmarkEnd w:id="16"/>
    </w:p>
    <w:bookmarkEnd w:id="17"/>
    <w:p w14:paraId="624D401E" w14:textId="5F40CBE3" w:rsidR="004861AC" w:rsidRPr="004861AC" w:rsidRDefault="004861AC" w:rsidP="009D4278">
      <w:pPr>
        <w:pStyle w:val="ChartGraphic"/>
      </w:pPr>
      <w:r w:rsidRPr="009D4278">
        <w:rPr>
          <w:noProof/>
        </w:rPr>
        <w:drawing>
          <wp:inline distT="0" distB="0" distL="0" distR="0" wp14:anchorId="777EBC66" wp14:editId="5FCF1C4E">
            <wp:extent cx="7557139" cy="5343160"/>
            <wp:effectExtent l="0" t="0" r="5715" b="0"/>
            <wp:docPr id="177048374" name="drawing" descr="This figure is a snapshot of the voluntary Climate-related Transition Planning Guidance which delivers on a key priority under the Australian Government's Sustainable Finance Roadmap &#10;&#10;Transition planning enables organisations to&#10;- respond to climate-related risks and opportunities&#10;- deliver on climate ambitions&#10;- integrate climate considerations into ongoing business strategy&#10;&#10;Factors influencing organisational  relevance of transition planning&#10;- size and complexity&#10;- sector and value chains&#10;- climate-related risks and opportunities&#10;&#10;Stages of transition planning&#10;1. Assess or re-assess organisational  position&#10;2. Set strategic ambitions&#10;3. Plan actions&#10;4. Implement or re-implement strategic ambitions and actions&#10;&#10;The voluntary guidance:&#10;-  aligns with the Transition Plan Taskforce's Transition Planning Cycle&#10;- providers information on the Australian context&#10;- Signposts key resources and tools&#10;- Includes illustrative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8374" name="drawing" descr="This figure is a snapshot of the voluntary Climate-related Transition Planning Guidance which delivers on a key priority under the Australian Government's Sustainable Finance Roadmap &#10;&#10;Transition planning enables organisations to&#10;- respond to climate-related risks and opportunities&#10;- deliver on climate ambitions&#10;- integrate climate considerations into ongoing business strategy&#10;&#10;Factors influencing organisational  relevance of transition planning&#10;- size and complexity&#10;- sector and value chains&#10;- climate-related risks and opportunities&#10;&#10;Stages of transition planning&#10;1. Assess or re-assess organisational  position&#10;2. Set strategic ambitions&#10;3. Plan actions&#10;4. Implement or re-implement strategic ambitions and actions&#10;&#10;The voluntary guidance:&#10;-  aligns with the Transition Plan Taskforce's Transition Planning Cycle&#10;- providers information on the Australian context&#10;- Signposts key resources and tools&#10;- Includes illustrative example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67903" cy="5350770"/>
                    </a:xfrm>
                    <a:prstGeom prst="rect">
                      <a:avLst/>
                    </a:prstGeom>
                  </pic:spPr>
                </pic:pic>
              </a:graphicData>
            </a:graphic>
          </wp:inline>
        </w:drawing>
      </w:r>
    </w:p>
    <w:p w14:paraId="4FF9A6F4" w14:textId="77777777" w:rsidR="00EB7594" w:rsidRPr="00EB7594" w:rsidRDefault="00EB7594" w:rsidP="00E63C26">
      <w:pPr>
        <w:pStyle w:val="SingleParagraph"/>
      </w:pPr>
    </w:p>
    <w:p w14:paraId="48A1A7B9" w14:textId="77777777" w:rsidR="004861AC" w:rsidRDefault="004861AC" w:rsidP="004861AC">
      <w:pPr>
        <w:sectPr w:rsidR="004861AC" w:rsidSect="00700AC5">
          <w:footerReference w:type="even" r:id="rId24"/>
          <w:footerReference w:type="default" r:id="rId25"/>
          <w:endnotePr>
            <w:numFmt w:val="decimal"/>
          </w:endnotePr>
          <w:pgSz w:w="16838" w:h="11906" w:orient="landscape" w:code="9"/>
          <w:pgMar w:top="1418" w:right="1843" w:bottom="1418" w:left="1418" w:header="709" w:footer="709" w:gutter="0"/>
          <w:cols w:space="708"/>
          <w:docGrid w:linePitch="360"/>
        </w:sectPr>
      </w:pPr>
    </w:p>
    <w:tbl>
      <w:tblPr>
        <w:tblW w:w="5000" w:type="pct"/>
        <w:shd w:val="clear" w:color="auto" w:fill="E3EDE8"/>
        <w:tblCellMar>
          <w:top w:w="227" w:type="dxa"/>
          <w:left w:w="227" w:type="dxa"/>
          <w:bottom w:w="227" w:type="dxa"/>
          <w:right w:w="227" w:type="dxa"/>
        </w:tblCellMar>
        <w:tblLook w:val="0620" w:firstRow="1" w:lastRow="0" w:firstColumn="0" w:lastColumn="0" w:noHBand="1" w:noVBand="1"/>
      </w:tblPr>
      <w:tblGrid>
        <w:gridCol w:w="9070"/>
      </w:tblGrid>
      <w:tr w:rsidR="00D73DD0" w:rsidRPr="00963E59" w14:paraId="2098AA73" w14:textId="77777777" w:rsidTr="00A8714D">
        <w:tc>
          <w:tcPr>
            <w:tcW w:w="5000" w:type="pct"/>
            <w:shd w:val="clear" w:color="auto" w:fill="E3EDE8"/>
            <w:hideMark/>
          </w:tcPr>
          <w:p w14:paraId="3EF74255" w14:textId="48432ED9" w:rsidR="00D73DD0" w:rsidRPr="00963E59" w:rsidRDefault="00D73DD0" w:rsidP="00B26BB2">
            <w:pPr>
              <w:pStyle w:val="BoxHeading"/>
            </w:pPr>
            <w:bookmarkStart w:id="18" w:name="_Toc237351131"/>
            <w:bookmarkStart w:id="19" w:name="_Toc233287097"/>
            <w:r w:rsidRPr="00963E59">
              <w:lastRenderedPageBreak/>
              <w:t>Box 1</w:t>
            </w:r>
            <w:r w:rsidR="00993C3C" w:rsidRPr="00963E59">
              <w:t>.</w:t>
            </w:r>
            <w:r w:rsidRPr="00963E59">
              <w:t xml:space="preserve"> </w:t>
            </w:r>
            <w:bookmarkStart w:id="20" w:name="Box1"/>
            <w:bookmarkEnd w:id="20"/>
            <w:r w:rsidRPr="00963E59">
              <w:t xml:space="preserve">Guidance </w:t>
            </w:r>
            <w:r w:rsidR="007D7357" w:rsidRPr="00963E59">
              <w:t>s</w:t>
            </w:r>
            <w:r w:rsidRPr="00963E59">
              <w:t>napshot</w:t>
            </w:r>
            <w:bookmarkEnd w:id="18"/>
            <w:bookmarkEnd w:id="19"/>
          </w:p>
          <w:p w14:paraId="202D2977" w14:textId="20FAFAE8" w:rsidR="00953CE1" w:rsidRPr="00963E59" w:rsidRDefault="00D73DD0" w:rsidP="00D73DD0">
            <w:pPr>
              <w:pStyle w:val="BoxText"/>
            </w:pPr>
            <w:r w:rsidRPr="00963E59">
              <w:t xml:space="preserve">The purpose of this guidance is to support organisations undertake good practice and internationally aligned transition planning in Australia. This guidance </w:t>
            </w:r>
            <w:r w:rsidR="008F0903" w:rsidRPr="00963E59">
              <w:t>contains</w:t>
            </w:r>
            <w:r w:rsidR="00953CE1" w:rsidRPr="00963E59">
              <w:t>:</w:t>
            </w:r>
          </w:p>
          <w:p w14:paraId="2EAC84C5" w14:textId="2804FDC8" w:rsidR="00953CE1" w:rsidRPr="00963E59" w:rsidRDefault="00D73DD0" w:rsidP="00DB6514">
            <w:pPr>
              <w:pStyle w:val="Boxbullet"/>
            </w:pPr>
            <w:r w:rsidRPr="00963E59">
              <w:t>an overview of the stages of transition planning</w:t>
            </w:r>
          </w:p>
          <w:p w14:paraId="3923F300" w14:textId="7BE6AC90" w:rsidR="00953CE1" w:rsidRPr="00963E59" w:rsidRDefault="00D73DD0" w:rsidP="00DB6514">
            <w:pPr>
              <w:pStyle w:val="Boxbullet"/>
            </w:pPr>
            <w:r w:rsidRPr="00963E59">
              <w:t>practical advice</w:t>
            </w:r>
          </w:p>
          <w:p w14:paraId="070EC831" w14:textId="6BFD69C6" w:rsidR="00D73DD0" w:rsidRPr="00963E59" w:rsidRDefault="00D73DD0" w:rsidP="00DB6514">
            <w:pPr>
              <w:pStyle w:val="Boxbullet"/>
            </w:pPr>
            <w:r w:rsidRPr="00963E59">
              <w:t>relevant domestic and international resources</w:t>
            </w:r>
            <w:r w:rsidR="00953CE1" w:rsidRPr="00963E59">
              <w:t>,</w:t>
            </w:r>
            <w:r w:rsidRPr="00963E59">
              <w:t xml:space="preserve"> and </w:t>
            </w:r>
            <w:r w:rsidR="000D0F4A" w:rsidRPr="00963E59">
              <w:t>where to find</w:t>
            </w:r>
            <w:r w:rsidRPr="00963E59">
              <w:t xml:space="preserve"> </w:t>
            </w:r>
            <w:r w:rsidR="000D0F4A" w:rsidRPr="00963E59">
              <w:t xml:space="preserve">more </w:t>
            </w:r>
            <w:r w:rsidRPr="00963E59">
              <w:t xml:space="preserve">information. </w:t>
            </w:r>
          </w:p>
          <w:p w14:paraId="5D22C3C2" w14:textId="5B5945E5" w:rsidR="00D73DD0" w:rsidRPr="00963E59" w:rsidRDefault="00D73DD0" w:rsidP="00D73DD0">
            <w:pPr>
              <w:pStyle w:val="BoxText"/>
            </w:pPr>
            <w:r w:rsidRPr="00963E59">
              <w:t xml:space="preserve">This guidance is divided into </w:t>
            </w:r>
            <w:r w:rsidR="007754BC" w:rsidRPr="00963E59">
              <w:t xml:space="preserve">four </w:t>
            </w:r>
            <w:r w:rsidRPr="00963E59">
              <w:t>parts</w:t>
            </w:r>
            <w:r w:rsidR="000D0F4A" w:rsidRPr="00963E59">
              <w:t xml:space="preserve">. It </w:t>
            </w:r>
            <w:r w:rsidR="008E6308" w:rsidRPr="00963E59">
              <w:t xml:space="preserve">is </w:t>
            </w:r>
            <w:r w:rsidRPr="00963E59">
              <w:t>intended to align with</w:t>
            </w:r>
            <w:r w:rsidR="008E6308" w:rsidRPr="00963E59">
              <w:t xml:space="preserve">, </w:t>
            </w:r>
            <w:r w:rsidRPr="00963E59">
              <w:t xml:space="preserve">and </w:t>
            </w:r>
            <w:r w:rsidR="00AA0700">
              <w:t>build on</w:t>
            </w:r>
            <w:r w:rsidR="008E6308" w:rsidRPr="00963E59">
              <w:t>,</w:t>
            </w:r>
            <w:r w:rsidRPr="00963E59">
              <w:t xml:space="preserve"> the</w:t>
            </w:r>
            <w:r w:rsidR="0090380D" w:rsidRPr="00963E59">
              <w:t xml:space="preserve"> Transition</w:t>
            </w:r>
            <w:r w:rsidR="005662AE">
              <w:t> </w:t>
            </w:r>
            <w:r w:rsidR="0090380D" w:rsidRPr="00963E59">
              <w:t>Plan Taskforce</w:t>
            </w:r>
            <w:r w:rsidRPr="00963E59">
              <w:t xml:space="preserve"> </w:t>
            </w:r>
            <w:r w:rsidR="0090380D" w:rsidRPr="00963E59">
              <w:t>(</w:t>
            </w:r>
            <w:r w:rsidRPr="00963E59">
              <w:t>TPT</w:t>
            </w:r>
            <w:r w:rsidR="0090380D" w:rsidRPr="00963E59">
              <w:t>)</w:t>
            </w:r>
            <w:r w:rsidRPr="00963E59">
              <w:t xml:space="preserve"> </w:t>
            </w:r>
            <w:hyperlink r:id="rId26" w:history="1">
              <w:r w:rsidRPr="00963E59">
                <w:rPr>
                  <w:rStyle w:val="Hyperlink"/>
                </w:rPr>
                <w:t>Transition Planning Cycle</w:t>
              </w:r>
            </w:hyperlink>
            <w:r w:rsidR="008E6308" w:rsidRPr="00963E59">
              <w:t>.</w:t>
            </w:r>
            <w:r w:rsidR="00BB5A60" w:rsidRPr="00963E59">
              <w:rPr>
                <w:rStyle w:val="FootnoteReference"/>
              </w:rPr>
              <w:endnoteReference w:id="4"/>
            </w:r>
            <w:r w:rsidRPr="00963E59">
              <w:rPr>
                <w:rStyle w:val="FootnoteReference"/>
              </w:rPr>
              <w:t xml:space="preserve"> </w:t>
            </w:r>
            <w:r w:rsidRPr="00963E59">
              <w:t xml:space="preserve"> </w:t>
            </w:r>
            <w:r w:rsidR="008E6308" w:rsidRPr="00963E59">
              <w:t>It includes</w:t>
            </w:r>
            <w:r w:rsidRPr="00963E59">
              <w:t xml:space="preserve"> additional Australian domestic context and illustrative examples.</w:t>
            </w:r>
            <w:r w:rsidRPr="00963E59" w:rsidDel="00EB36BB">
              <w:t xml:space="preserve"> </w:t>
            </w:r>
            <w:r w:rsidR="008E6308" w:rsidRPr="00963E59">
              <w:t>T</w:t>
            </w:r>
            <w:r w:rsidRPr="00963E59">
              <w:t>ransition planning is not a linear process</w:t>
            </w:r>
            <w:r w:rsidR="3303CE8E" w:rsidRPr="00963E59">
              <w:t xml:space="preserve">; </w:t>
            </w:r>
            <w:r w:rsidRPr="00963E59">
              <w:t xml:space="preserve">many of the steps may be done simultaneously. </w:t>
            </w:r>
          </w:p>
          <w:p w14:paraId="19BCE004" w14:textId="5C9C87A1" w:rsidR="00D73DD0" w:rsidRPr="00963E59" w:rsidRDefault="00C05D59" w:rsidP="00D73DD0">
            <w:pPr>
              <w:pStyle w:val="BoxText"/>
              <w:rPr>
                <w:rStyle w:val="Hyperlink"/>
                <w:b/>
                <w:bCs/>
              </w:rPr>
            </w:pPr>
            <w:r w:rsidRPr="00963E59">
              <w:rPr>
                <w:b/>
                <w:bCs/>
              </w:rPr>
              <w:fldChar w:fldCharType="begin"/>
            </w:r>
            <w:r w:rsidRPr="00963E59">
              <w:rPr>
                <w:b/>
                <w:bCs/>
              </w:rPr>
              <w:instrText>HYPERLINK  \l "Stage1"</w:instrText>
            </w:r>
            <w:r w:rsidRPr="00963E59">
              <w:rPr>
                <w:b/>
                <w:bCs/>
              </w:rPr>
            </w:r>
            <w:r w:rsidRPr="00963E59">
              <w:rPr>
                <w:b/>
                <w:bCs/>
              </w:rPr>
              <w:fldChar w:fldCharType="separate"/>
            </w:r>
            <w:r w:rsidR="00D73DD0" w:rsidRPr="00963E59">
              <w:rPr>
                <w:rStyle w:val="Hyperlink"/>
                <w:b/>
                <w:bCs/>
              </w:rPr>
              <w:t>Stage 1: Assess or re-assess organisational position</w:t>
            </w:r>
          </w:p>
          <w:p w14:paraId="7DEABA90" w14:textId="6F0BE11F" w:rsidR="00D73DD0" w:rsidRPr="00963E59" w:rsidRDefault="00C05D59" w:rsidP="00DB6514">
            <w:pPr>
              <w:pStyle w:val="Boxbullet"/>
            </w:pPr>
            <w:r w:rsidRPr="00963E59">
              <w:rPr>
                <w:b/>
                <w:bCs/>
                <w:color w:val="auto"/>
              </w:rPr>
              <w:fldChar w:fldCharType="end"/>
            </w:r>
            <w:r w:rsidR="00D73DD0" w:rsidRPr="00963E59">
              <w:t>Board engagement and cross-company ownership</w:t>
            </w:r>
            <w:r w:rsidR="008F0903" w:rsidRPr="00963E59">
              <w:t>.</w:t>
            </w:r>
          </w:p>
          <w:p w14:paraId="31042099" w14:textId="3D3E5919" w:rsidR="00D73DD0" w:rsidRPr="00963E59" w:rsidRDefault="00D73DD0" w:rsidP="00DB6514">
            <w:pPr>
              <w:pStyle w:val="Boxbullet"/>
            </w:pPr>
            <w:r w:rsidRPr="00963E59">
              <w:t>Map key stakeholders</w:t>
            </w:r>
            <w:r w:rsidR="008F0903" w:rsidRPr="00963E59">
              <w:t>.</w:t>
            </w:r>
          </w:p>
          <w:p w14:paraId="066351D8" w14:textId="1FC7BB26" w:rsidR="00D73DD0" w:rsidRPr="00963E59" w:rsidRDefault="00D73DD0" w:rsidP="00DB6514">
            <w:pPr>
              <w:pStyle w:val="Boxbullet"/>
            </w:pPr>
            <w:r w:rsidRPr="00963E59">
              <w:t xml:space="preserve">Understand organisational position </w:t>
            </w:r>
            <w:r w:rsidR="00BE7477" w:rsidRPr="00963E59">
              <w:t>by</w:t>
            </w:r>
            <w:r w:rsidR="008F0903" w:rsidRPr="00963E59">
              <w:t>:</w:t>
            </w:r>
          </w:p>
          <w:p w14:paraId="2B479127" w14:textId="139D0932" w:rsidR="00D73DD0" w:rsidRPr="00963E59" w:rsidRDefault="00D73DD0" w:rsidP="00D73DD0">
            <w:pPr>
              <w:pStyle w:val="Boxdash"/>
            </w:pPr>
            <w:r w:rsidRPr="00963E59">
              <w:t xml:space="preserve">assessing climate-related risks and opportunities </w:t>
            </w:r>
          </w:p>
          <w:p w14:paraId="73985C28" w14:textId="0E9A1816" w:rsidR="00D73DD0" w:rsidRPr="00963E59" w:rsidRDefault="00D73DD0" w:rsidP="00D73DD0">
            <w:pPr>
              <w:pStyle w:val="Boxdash"/>
            </w:pPr>
            <w:r w:rsidRPr="00963E59">
              <w:t xml:space="preserve">measuring emissions footprint </w:t>
            </w:r>
          </w:p>
          <w:p w14:paraId="37146650" w14:textId="77777777" w:rsidR="00D73DD0" w:rsidRPr="00963E59" w:rsidRDefault="00D73DD0" w:rsidP="00D73DD0">
            <w:pPr>
              <w:pStyle w:val="Boxdash"/>
            </w:pPr>
            <w:r w:rsidRPr="00963E59">
              <w:t>identifying transition and adaptation levers</w:t>
            </w:r>
          </w:p>
          <w:p w14:paraId="24A5E79A" w14:textId="70E97E64" w:rsidR="00D73DD0" w:rsidRPr="00963E59" w:rsidRDefault="00D73DD0" w:rsidP="00D73DD0">
            <w:pPr>
              <w:pStyle w:val="Boxdash"/>
            </w:pPr>
            <w:r w:rsidRPr="00963E59">
              <w:t>assessing impacts and dependencies</w:t>
            </w:r>
            <w:r w:rsidR="008F0903" w:rsidRPr="00963E59">
              <w:t>.</w:t>
            </w:r>
          </w:p>
          <w:p w14:paraId="0BB2BEF0" w14:textId="4F8732E4" w:rsidR="00D73DD0" w:rsidRPr="00963E59" w:rsidRDefault="00C05D59" w:rsidP="00D73DD0">
            <w:pPr>
              <w:pStyle w:val="BoxText"/>
              <w:rPr>
                <w:rStyle w:val="Hyperlink"/>
                <w:b/>
                <w:bCs/>
              </w:rPr>
            </w:pPr>
            <w:r w:rsidRPr="00963E59">
              <w:rPr>
                <w:b/>
                <w:bCs/>
              </w:rPr>
              <w:fldChar w:fldCharType="begin"/>
            </w:r>
            <w:r w:rsidRPr="00963E59">
              <w:rPr>
                <w:b/>
                <w:bCs/>
              </w:rPr>
              <w:instrText>HYPERLINK  \l "Stage2"</w:instrText>
            </w:r>
            <w:r w:rsidRPr="00963E59">
              <w:rPr>
                <w:b/>
                <w:bCs/>
              </w:rPr>
            </w:r>
            <w:r w:rsidRPr="00963E59">
              <w:rPr>
                <w:b/>
                <w:bCs/>
              </w:rPr>
              <w:fldChar w:fldCharType="separate"/>
            </w:r>
            <w:r w:rsidR="00D73DD0" w:rsidRPr="00963E59">
              <w:rPr>
                <w:rStyle w:val="Hyperlink"/>
                <w:b/>
                <w:bCs/>
              </w:rPr>
              <w:t>Stage 2: Set strategic ambitions</w:t>
            </w:r>
          </w:p>
          <w:p w14:paraId="6353B54F" w14:textId="22EC5CA5" w:rsidR="00D73DD0" w:rsidRPr="00963E59" w:rsidRDefault="00C05D59" w:rsidP="00DB6514">
            <w:pPr>
              <w:pStyle w:val="Boxbullet"/>
            </w:pPr>
            <w:r w:rsidRPr="00963E59">
              <w:rPr>
                <w:b/>
                <w:bCs/>
                <w:color w:val="auto"/>
              </w:rPr>
              <w:fldChar w:fldCharType="end"/>
            </w:r>
            <w:r w:rsidR="00D73DD0" w:rsidRPr="00963E59">
              <w:t>Define objectives and priorities</w:t>
            </w:r>
            <w:r w:rsidR="00BE7477" w:rsidRPr="00963E59">
              <w:t>.</w:t>
            </w:r>
          </w:p>
          <w:p w14:paraId="1D5F736A" w14:textId="59F1DEA7" w:rsidR="00D73DD0" w:rsidRPr="00963E59" w:rsidRDefault="00D73DD0" w:rsidP="00DB6514">
            <w:pPr>
              <w:pStyle w:val="Boxbullet"/>
            </w:pPr>
            <w:r w:rsidRPr="00963E59">
              <w:t>Identify key assumptions and external factors</w:t>
            </w:r>
            <w:r w:rsidR="00BE7477" w:rsidRPr="00963E59">
              <w:t>.</w:t>
            </w:r>
          </w:p>
          <w:p w14:paraId="71DB6992" w14:textId="7167CA72" w:rsidR="00D73DD0" w:rsidRPr="00963E59" w:rsidRDefault="00D73DD0" w:rsidP="00DB6514">
            <w:pPr>
              <w:pStyle w:val="Boxbullet"/>
            </w:pPr>
            <w:r w:rsidRPr="00963E59">
              <w:t>Identify strategic changes to business model and value chain</w:t>
            </w:r>
            <w:r w:rsidR="00BE7477" w:rsidRPr="00963E59">
              <w:t>.</w:t>
            </w:r>
          </w:p>
          <w:p w14:paraId="096DEB7F" w14:textId="7AAAFCAD" w:rsidR="00D73DD0" w:rsidRPr="00963E59" w:rsidRDefault="00C05D59" w:rsidP="00D73DD0">
            <w:pPr>
              <w:pStyle w:val="BoxText"/>
              <w:rPr>
                <w:rStyle w:val="Hyperlink"/>
                <w:b/>
                <w:bCs/>
              </w:rPr>
            </w:pPr>
            <w:r w:rsidRPr="00963E59">
              <w:rPr>
                <w:b/>
                <w:bCs/>
              </w:rPr>
              <w:fldChar w:fldCharType="begin"/>
            </w:r>
            <w:r w:rsidRPr="00963E59">
              <w:rPr>
                <w:b/>
                <w:bCs/>
              </w:rPr>
              <w:instrText>HYPERLINK  \l "Stage3"</w:instrText>
            </w:r>
            <w:r w:rsidRPr="00963E59">
              <w:rPr>
                <w:b/>
                <w:bCs/>
              </w:rPr>
            </w:r>
            <w:r w:rsidRPr="00963E59">
              <w:rPr>
                <w:b/>
                <w:bCs/>
              </w:rPr>
              <w:fldChar w:fldCharType="separate"/>
            </w:r>
            <w:r w:rsidR="00D73DD0" w:rsidRPr="00963E59">
              <w:rPr>
                <w:rStyle w:val="Hyperlink"/>
                <w:b/>
                <w:bCs/>
              </w:rPr>
              <w:t>Stage 3: Plan actions</w:t>
            </w:r>
          </w:p>
          <w:p w14:paraId="58F01883" w14:textId="076D92A2" w:rsidR="00D73DD0" w:rsidRPr="00963E59" w:rsidRDefault="00C05D59" w:rsidP="00DB6514">
            <w:pPr>
              <w:pStyle w:val="Boxbullet"/>
            </w:pPr>
            <w:r w:rsidRPr="00963E59">
              <w:rPr>
                <w:b/>
                <w:bCs/>
                <w:color w:val="auto"/>
              </w:rPr>
              <w:fldChar w:fldCharType="end"/>
            </w:r>
            <w:r w:rsidR="00D73DD0" w:rsidRPr="00963E59">
              <w:t>Develop mitigation and adaptation actions</w:t>
            </w:r>
            <w:r w:rsidR="00BE7477" w:rsidRPr="00963E59">
              <w:t>.</w:t>
            </w:r>
          </w:p>
          <w:p w14:paraId="0DE94E55" w14:textId="747FDF88" w:rsidR="00D73DD0" w:rsidRPr="00963E59" w:rsidRDefault="00D73DD0" w:rsidP="00DB6514">
            <w:pPr>
              <w:pStyle w:val="Boxbullet"/>
            </w:pPr>
            <w:r w:rsidRPr="00963E59">
              <w:t>Revisit policies and conditions</w:t>
            </w:r>
            <w:r w:rsidR="00496084" w:rsidRPr="00963E59">
              <w:t>.</w:t>
            </w:r>
          </w:p>
          <w:p w14:paraId="4A6EC634" w14:textId="053402ED" w:rsidR="00D73DD0" w:rsidRPr="00963E59" w:rsidRDefault="00D73DD0" w:rsidP="00DB6514">
            <w:pPr>
              <w:pStyle w:val="Boxbullet"/>
            </w:pPr>
            <w:r w:rsidRPr="00963E59">
              <w:t>Assess resilience of actions</w:t>
            </w:r>
            <w:r w:rsidR="00496084" w:rsidRPr="00963E59">
              <w:t>.</w:t>
            </w:r>
          </w:p>
          <w:p w14:paraId="16B6A2FE" w14:textId="1F071D7B" w:rsidR="00D73DD0" w:rsidRPr="00963E59" w:rsidRDefault="00D73DD0" w:rsidP="00DB6514">
            <w:pPr>
              <w:pStyle w:val="Boxbullet"/>
            </w:pPr>
            <w:r w:rsidRPr="00963E59">
              <w:t>Review governance structures and people strategy</w:t>
            </w:r>
            <w:r w:rsidR="00496084" w:rsidRPr="00963E59">
              <w:t>.</w:t>
            </w:r>
            <w:r w:rsidRPr="00963E59">
              <w:t xml:space="preserve"> </w:t>
            </w:r>
          </w:p>
          <w:p w14:paraId="7797A58A" w14:textId="2536046F" w:rsidR="00D73DD0" w:rsidRPr="00963E59" w:rsidRDefault="00D73DD0" w:rsidP="00DB6514">
            <w:pPr>
              <w:pStyle w:val="Boxbullet"/>
            </w:pPr>
            <w:r w:rsidRPr="00963E59">
              <w:t>Develop an engagement strategy</w:t>
            </w:r>
            <w:r w:rsidR="00496084" w:rsidRPr="00963E59">
              <w:t>.</w:t>
            </w:r>
          </w:p>
          <w:p w14:paraId="0FB692FA" w14:textId="4E6FC5C1" w:rsidR="00D73DD0" w:rsidRPr="00963E59" w:rsidRDefault="00D73DD0" w:rsidP="00DB6514">
            <w:pPr>
              <w:pStyle w:val="Boxbullet"/>
            </w:pPr>
            <w:r w:rsidRPr="00963E59">
              <w:t>Integrate strategic ambitions and actions into financial plan</w:t>
            </w:r>
            <w:r w:rsidR="00752F3E" w:rsidRPr="00963E59">
              <w:t>ning</w:t>
            </w:r>
            <w:r w:rsidR="00496084" w:rsidRPr="00963E59">
              <w:t>.</w:t>
            </w:r>
          </w:p>
          <w:p w14:paraId="6A312D67" w14:textId="681A8154" w:rsidR="00D73DD0" w:rsidRPr="00963E59" w:rsidRDefault="00D73DD0" w:rsidP="00DB6514">
            <w:pPr>
              <w:pStyle w:val="Boxbullet"/>
            </w:pPr>
            <w:r w:rsidRPr="00963E59">
              <w:t>Set metrics and targets</w:t>
            </w:r>
            <w:r w:rsidR="00496084" w:rsidRPr="00963E59">
              <w:t>.</w:t>
            </w:r>
          </w:p>
          <w:p w14:paraId="7BA7A52D" w14:textId="22CD83F6" w:rsidR="00D73DD0" w:rsidRPr="00963E59" w:rsidRDefault="00D73DD0" w:rsidP="00D73DD0">
            <w:pPr>
              <w:pStyle w:val="BoxText"/>
              <w:rPr>
                <w:b/>
                <w:szCs w:val="22"/>
              </w:rPr>
            </w:pPr>
            <w:hyperlink w:anchor="Stage4" w:history="1">
              <w:r w:rsidRPr="00963E59">
                <w:rPr>
                  <w:rStyle w:val="Hyperlink"/>
                  <w:b/>
                  <w:szCs w:val="22"/>
                </w:rPr>
                <w:t>Stage 4: Implement or re-implement strategic ambitions and actions</w:t>
              </w:r>
            </w:hyperlink>
          </w:p>
          <w:p w14:paraId="0A0C7128" w14:textId="4CA1FE77" w:rsidR="00D73DD0" w:rsidRPr="00963E59" w:rsidRDefault="00D73DD0" w:rsidP="00DB6514">
            <w:pPr>
              <w:pStyle w:val="Bullet"/>
            </w:pPr>
            <w:r w:rsidRPr="00963E59">
              <w:t>Implement ambitions and action</w:t>
            </w:r>
            <w:r w:rsidR="00C43D9B" w:rsidRPr="00963E59">
              <w:t>s</w:t>
            </w:r>
            <w:r w:rsidR="00496084" w:rsidRPr="00963E59">
              <w:t>.</w:t>
            </w:r>
          </w:p>
          <w:p w14:paraId="66C7F897" w14:textId="226EA474" w:rsidR="00D73DD0" w:rsidRPr="00963E59" w:rsidRDefault="00D73DD0" w:rsidP="00DB6514">
            <w:pPr>
              <w:pStyle w:val="Bullet"/>
            </w:pPr>
            <w:r w:rsidRPr="00963E59">
              <w:t>Monitor, review and reflect on the process</w:t>
            </w:r>
            <w:r w:rsidR="00496084" w:rsidRPr="00963E59">
              <w:t>.</w:t>
            </w:r>
          </w:p>
        </w:tc>
      </w:tr>
    </w:tbl>
    <w:p w14:paraId="1840B16C" w14:textId="77777777" w:rsidR="00DB6514" w:rsidRDefault="00DB6514" w:rsidP="00DB6514">
      <w:pPr>
        <w:pStyle w:val="SingleParagraph"/>
      </w:pPr>
      <w:bookmarkStart w:id="21" w:name="_Purpose_and_audience"/>
      <w:bookmarkStart w:id="22" w:name="_Toc224906862"/>
      <w:bookmarkStart w:id="23" w:name="_Toc224916494"/>
      <w:bookmarkStart w:id="24" w:name="_Toc232776338"/>
      <w:bookmarkEnd w:id="21"/>
    </w:p>
    <w:p w14:paraId="4BE529C2" w14:textId="01904F59" w:rsidR="00C32D5E" w:rsidRDefault="00061E13" w:rsidP="006148CE">
      <w:pPr>
        <w:pStyle w:val="Heading1"/>
        <w:spacing w:before="0"/>
      </w:pPr>
      <w:r w:rsidRPr="006148CE">
        <w:lastRenderedPageBreak/>
        <w:t>P</w:t>
      </w:r>
      <w:r w:rsidR="00704C63" w:rsidRPr="006148CE">
        <w:t>urpose</w:t>
      </w:r>
      <w:r w:rsidR="00704C63">
        <w:t xml:space="preserve"> and audience</w:t>
      </w:r>
      <w:bookmarkEnd w:id="22"/>
      <w:bookmarkEnd w:id="23"/>
      <w:bookmarkEnd w:id="24"/>
    </w:p>
    <w:p w14:paraId="2B14DB92" w14:textId="2F78E2DB" w:rsidR="003F2D3D" w:rsidRDefault="00C9780E" w:rsidP="00861259">
      <w:r w:rsidRPr="0050750F">
        <w:t>The</w:t>
      </w:r>
      <w:r w:rsidR="00BE22CE" w:rsidRPr="005720C5">
        <w:t xml:space="preserve"> </w:t>
      </w:r>
      <w:r w:rsidRPr="005720C5">
        <w:t xml:space="preserve">purpose of this </w:t>
      </w:r>
      <w:r w:rsidR="00EF5C42">
        <w:t xml:space="preserve">voluntary </w:t>
      </w:r>
      <w:r w:rsidRPr="005720C5">
        <w:t>guidance is</w:t>
      </w:r>
      <w:r w:rsidR="00A4311D" w:rsidRPr="005720C5">
        <w:t xml:space="preserve"> </w:t>
      </w:r>
      <w:r w:rsidR="00621D54" w:rsidRPr="005720C5">
        <w:t>to highlight good practices</w:t>
      </w:r>
      <w:r w:rsidR="00BB6D63" w:rsidRPr="0050750F">
        <w:t xml:space="preserve"> for transition planning</w:t>
      </w:r>
      <w:r w:rsidR="00621D54" w:rsidRPr="005720C5">
        <w:t xml:space="preserve"> that can be adapted to </w:t>
      </w:r>
      <w:r w:rsidR="002E0CB9">
        <w:t xml:space="preserve">an </w:t>
      </w:r>
      <w:r w:rsidR="00621D54" w:rsidRPr="005720C5">
        <w:t xml:space="preserve">individual </w:t>
      </w:r>
      <w:r w:rsidR="00A4311D" w:rsidRPr="005720C5">
        <w:t>organisation</w:t>
      </w:r>
      <w:r w:rsidR="00963E59">
        <w:t>’</w:t>
      </w:r>
      <w:r w:rsidR="00A4311D" w:rsidRPr="005720C5">
        <w:t xml:space="preserve">s </w:t>
      </w:r>
      <w:r w:rsidR="00621D54" w:rsidRPr="005720C5">
        <w:t>circumstances</w:t>
      </w:r>
      <w:r w:rsidR="007A6DBE" w:rsidRPr="005720C5">
        <w:t>.</w:t>
      </w:r>
      <w:r w:rsidR="009906E8" w:rsidRPr="005720C5">
        <w:t xml:space="preserve"> </w:t>
      </w:r>
      <w:r w:rsidR="00F933B0">
        <w:t>It</w:t>
      </w:r>
      <w:r w:rsidR="004B01D2">
        <w:t xml:space="preserve"> is designed for organisations </w:t>
      </w:r>
      <w:r w:rsidR="00C95592">
        <w:t xml:space="preserve">seeking to undertake transition planning as an internal strategic </w:t>
      </w:r>
      <w:r w:rsidR="0027231E">
        <w:t>activity, in order to improve their organisational risk management</w:t>
      </w:r>
      <w:r w:rsidR="00E211DC">
        <w:t xml:space="preserve"> and build long</w:t>
      </w:r>
      <w:r w:rsidR="00963E59">
        <w:noBreakHyphen/>
      </w:r>
      <w:r w:rsidR="00E211DC">
        <w:t xml:space="preserve">term business resilience. </w:t>
      </w:r>
    </w:p>
    <w:p w14:paraId="155D9074" w14:textId="77777777" w:rsidR="00191AED" w:rsidRDefault="00191AED" w:rsidP="00191AED">
      <w:r>
        <w:t xml:space="preserve">The guidance provides practical advice and examples, including: </w:t>
      </w:r>
    </w:p>
    <w:p w14:paraId="417B7C52" w14:textId="77777777" w:rsidR="00191AED" w:rsidRDefault="00191AED" w:rsidP="00DB6514">
      <w:pPr>
        <w:pStyle w:val="Bullet"/>
      </w:pPr>
      <w:r>
        <w:t>illustrative examples of different transition planning approaches (blue boxes)</w:t>
      </w:r>
    </w:p>
    <w:p w14:paraId="395D28E3" w14:textId="77777777" w:rsidR="00191AED" w:rsidRDefault="00191AED" w:rsidP="00DB6514">
      <w:pPr>
        <w:pStyle w:val="Bullet"/>
      </w:pPr>
      <w:r>
        <w:t>points and principles for transition planning (green boxes)</w:t>
      </w:r>
    </w:p>
    <w:p w14:paraId="4488C9AC" w14:textId="77777777" w:rsidR="00253985" w:rsidRDefault="00191AED" w:rsidP="00DB6514">
      <w:pPr>
        <w:pStyle w:val="Bullet"/>
      </w:pPr>
      <w:r>
        <w:t>supporting resources for transition planning (grey boxes)</w:t>
      </w:r>
    </w:p>
    <w:p w14:paraId="538F5264" w14:textId="0CDC735D" w:rsidR="00191AED" w:rsidRDefault="00191AED" w:rsidP="00DB6514">
      <w:pPr>
        <w:pStyle w:val="Bullet"/>
      </w:pPr>
      <w:r>
        <w:t>information on other sustainability</w:t>
      </w:r>
      <w:r w:rsidR="00963E59">
        <w:noBreakHyphen/>
      </w:r>
      <w:r>
        <w:t>related ambitions and actions (orange box)</w:t>
      </w:r>
    </w:p>
    <w:p w14:paraId="6257B2A1" w14:textId="77777777" w:rsidR="0010124A" w:rsidRDefault="001525B3" w:rsidP="0010124A">
      <w:r>
        <w:t>Th</w:t>
      </w:r>
      <w:r w:rsidR="00A37B91">
        <w:t>e</w:t>
      </w:r>
      <w:r w:rsidR="002F6C73">
        <w:t xml:space="preserve"> </w:t>
      </w:r>
      <w:r w:rsidR="00BC7179">
        <w:t xml:space="preserve">guidance </w:t>
      </w:r>
      <w:r w:rsidR="00880676">
        <w:t>is targeted to</w:t>
      </w:r>
      <w:r w:rsidR="00ED64A1">
        <w:t>ward</w:t>
      </w:r>
      <w:r w:rsidR="00880676">
        <w:t xml:space="preserve"> </w:t>
      </w:r>
      <w:r w:rsidR="00BC7179">
        <w:t>provid</w:t>
      </w:r>
      <w:r w:rsidR="00ED64A1">
        <w:t>ing</w:t>
      </w:r>
      <w:r w:rsidR="00880676">
        <w:t xml:space="preserve"> </w:t>
      </w:r>
      <w:r w:rsidR="00BC7179">
        <w:t>general advice</w:t>
      </w:r>
      <w:r>
        <w:t xml:space="preserve"> because all organisations are different</w:t>
      </w:r>
      <w:r w:rsidR="00EA6100">
        <w:t>.</w:t>
      </w:r>
      <w:r w:rsidRPr="00B428FF">
        <w:rPr>
          <w:rStyle w:val="FootnoteReference"/>
        </w:rPr>
        <w:footnoteReference w:id="2"/>
      </w:r>
      <w:r w:rsidR="0010124A">
        <w:t xml:space="preserve"> To promote global consistency in approaches and improve clarity, this guidance is intended to build on the TPT </w:t>
      </w:r>
      <w:r w:rsidR="0010124A" w:rsidRPr="00B92C65">
        <w:t>Transition Planning Cycle</w:t>
      </w:r>
      <w:r w:rsidR="0010124A">
        <w:t xml:space="preserve"> and can be referred to in whole or in part.</w:t>
      </w:r>
    </w:p>
    <w:p w14:paraId="254E264B" w14:textId="3A2AF2A9" w:rsidR="00D808BE" w:rsidRDefault="00AB24C6" w:rsidP="005B3652">
      <w:r>
        <w:t xml:space="preserve">Providing voluntary guidance for transition planning is one of the </w:t>
      </w:r>
      <w:r w:rsidR="00A619FB">
        <w:t>ten</w:t>
      </w:r>
      <w:r>
        <w:t xml:space="preserve"> priority</w:t>
      </w:r>
      <w:r w:rsidRPr="0070210E">
        <w:t xml:space="preserve"> initiatives </w:t>
      </w:r>
      <w:r>
        <w:t>identified as part of the Government</w:t>
      </w:r>
      <w:r w:rsidR="00963E59">
        <w:t>’</w:t>
      </w:r>
      <w:r>
        <w:t xml:space="preserve">s </w:t>
      </w:r>
      <w:r w:rsidRPr="00963E59">
        <w:t>Sustainable Finance Roadmap</w:t>
      </w:r>
      <w:r w:rsidRPr="0070210E">
        <w:t xml:space="preserve"> to</w:t>
      </w:r>
      <w:r>
        <w:t xml:space="preserve"> help</w:t>
      </w:r>
      <w:r w:rsidRPr="0070210E">
        <w:t xml:space="preserve"> build the market structures and frameworks </w:t>
      </w:r>
      <w:r>
        <w:t>for</w:t>
      </w:r>
      <w:r w:rsidRPr="0070210E">
        <w:t xml:space="preserve"> organisations, investors and the broader community </w:t>
      </w:r>
      <w:r>
        <w:t xml:space="preserve">to </w:t>
      </w:r>
      <w:r w:rsidRPr="0070210E">
        <w:t>prepare for and leverage the benefits of the net zero transformation.</w:t>
      </w:r>
    </w:p>
    <w:p w14:paraId="2AC4E211" w14:textId="4E898DC0" w:rsidR="00D17299" w:rsidRPr="000E645F" w:rsidRDefault="00D17299" w:rsidP="00D17299">
      <w:r w:rsidRPr="0070210E">
        <w:t>Transition planning guidance (Priority 3) complement</w:t>
      </w:r>
      <w:r>
        <w:t>s</w:t>
      </w:r>
      <w:r w:rsidRPr="0070210E">
        <w:t xml:space="preserve"> other sustainable finance initiatives </w:t>
      </w:r>
      <w:r>
        <w:t>by assisting</w:t>
      </w:r>
      <w:r w:rsidR="00A8714D">
        <w:t> </w:t>
      </w:r>
      <w:r>
        <w:t>reporting entities undertake effective transition plans that may be disclosed as part of their</w:t>
      </w:r>
      <w:r w:rsidR="00A8714D">
        <w:t> </w:t>
      </w:r>
      <w:r w:rsidRPr="0070210E">
        <w:t>climate</w:t>
      </w:r>
      <w:r w:rsidR="00963E59">
        <w:noBreakHyphen/>
      </w:r>
      <w:r w:rsidRPr="0070210E">
        <w:t xml:space="preserve">related financial disclosures (Priority 1) and </w:t>
      </w:r>
      <w:r>
        <w:t xml:space="preserve">leveraging </w:t>
      </w:r>
      <w:r w:rsidRPr="0070210E">
        <w:t>the</w:t>
      </w:r>
      <w:r>
        <w:t xml:space="preserve"> </w:t>
      </w:r>
      <w:hyperlink r:id="rId27" w:history="1">
        <w:r w:rsidRPr="00FB1DA8">
          <w:rPr>
            <w:rStyle w:val="Hyperlink"/>
          </w:rPr>
          <w:t>Australian Sustainable Finance</w:t>
        </w:r>
        <w:r w:rsidR="00A8714D">
          <w:rPr>
            <w:rStyle w:val="Hyperlink"/>
          </w:rPr>
          <w:t> </w:t>
        </w:r>
        <w:r w:rsidRPr="00FB1DA8">
          <w:rPr>
            <w:rStyle w:val="Hyperlink"/>
          </w:rPr>
          <w:t>Taxonomy</w:t>
        </w:r>
      </w:hyperlink>
      <w:r>
        <w:t xml:space="preserve"> </w:t>
      </w:r>
      <w:r w:rsidRPr="0070210E">
        <w:t>(Priority</w:t>
      </w:r>
      <w:r>
        <w:t> </w:t>
      </w:r>
      <w:r w:rsidRPr="0070210E">
        <w:t>2)</w:t>
      </w:r>
      <w:r>
        <w:t xml:space="preserve"> as a voluntary tool</w:t>
      </w:r>
      <w:r w:rsidRPr="0070210E">
        <w:t>.</w:t>
      </w:r>
      <w:r>
        <w:rPr>
          <w:rStyle w:val="EndnoteReference"/>
        </w:rPr>
        <w:endnoteReference w:id="5"/>
      </w:r>
      <w:r w:rsidRPr="0070210E">
        <w:t xml:space="preserve"> </w:t>
      </w:r>
    </w:p>
    <w:p w14:paraId="37D255B9" w14:textId="0470FD46" w:rsidR="00335B14" w:rsidRDefault="00335B14" w:rsidP="005974DF">
      <w:pPr>
        <w:pStyle w:val="Heading2"/>
      </w:pPr>
      <w:bookmarkStart w:id="25" w:name="_Toc224135298"/>
      <w:bookmarkStart w:id="26" w:name="_Toc224906864"/>
      <w:bookmarkStart w:id="27" w:name="_Toc224916496"/>
      <w:bookmarkStart w:id="28" w:name="_Toc232776339"/>
      <w:r>
        <w:t>Interaction</w:t>
      </w:r>
      <w:r w:rsidR="009175C3">
        <w:t>s</w:t>
      </w:r>
      <w:r>
        <w:t xml:space="preserve"> with other </w:t>
      </w:r>
      <w:r w:rsidR="004312C2">
        <w:t xml:space="preserve">guidance and </w:t>
      </w:r>
      <w:r w:rsidR="009175C3">
        <w:t>supporting materials</w:t>
      </w:r>
      <w:bookmarkEnd w:id="25"/>
      <w:bookmarkEnd w:id="26"/>
      <w:bookmarkEnd w:id="27"/>
      <w:bookmarkEnd w:id="28"/>
      <w:r w:rsidR="004312C2">
        <w:t xml:space="preserve"> </w:t>
      </w:r>
    </w:p>
    <w:p w14:paraId="0814DDCA" w14:textId="13A91A58" w:rsidR="00191F9D" w:rsidRDefault="00B75652" w:rsidP="00335B14">
      <w:r>
        <w:t xml:space="preserve">The Australian Government Transition Planning Guidance aligns </w:t>
      </w:r>
      <w:r w:rsidR="00C4450B">
        <w:t>with</w:t>
      </w:r>
      <w:r>
        <w:t xml:space="preserve"> the International Transition Plan Network</w:t>
      </w:r>
      <w:r w:rsidR="00963E59">
        <w:t>’</w:t>
      </w:r>
      <w:r>
        <w:t xml:space="preserve">s framework, the </w:t>
      </w:r>
      <w:r w:rsidRPr="00D73745">
        <w:rPr>
          <w:i/>
          <w:iCs/>
        </w:rPr>
        <w:t>TPT Transition Planning Cycle</w:t>
      </w:r>
      <w:r w:rsidR="00191F9D">
        <w:t xml:space="preserve">, which defines international </w:t>
      </w:r>
      <w:r w:rsidR="00200B66">
        <w:t xml:space="preserve">standards for transition planning. </w:t>
      </w:r>
      <w:r w:rsidR="001618EC">
        <w:rPr>
          <w:szCs w:val="22"/>
        </w:rPr>
        <w:t>It provides further guidance for Australian entities by providing references that are useful in an Australian context</w:t>
      </w:r>
      <w:r w:rsidR="00963E59">
        <w:rPr>
          <w:szCs w:val="22"/>
        </w:rPr>
        <w:t xml:space="preserve">. </w:t>
      </w:r>
      <w:r w:rsidR="001618EC">
        <w:rPr>
          <w:szCs w:val="22"/>
        </w:rPr>
        <w:t xml:space="preserve">This includes clarifying how organisations should consider key Government publications including the </w:t>
      </w:r>
      <w:hyperlink r:id="rId28" w:history="1">
        <w:r w:rsidR="001618EC" w:rsidRPr="00EF1931">
          <w:rPr>
            <w:rStyle w:val="Hyperlink"/>
          </w:rPr>
          <w:t>Net Zero Plan</w:t>
        </w:r>
      </w:hyperlink>
      <w:r w:rsidR="001618EC">
        <w:rPr>
          <w:rStyle w:val="EndnoteReference"/>
        </w:rPr>
        <w:endnoteReference w:id="6"/>
      </w:r>
      <w:r w:rsidR="001618EC">
        <w:t xml:space="preserve"> and </w:t>
      </w:r>
      <w:hyperlink r:id="rId29" w:anchor="toc_2">
        <w:r w:rsidR="001618EC" w:rsidRPr="242C6014">
          <w:rPr>
            <w:rStyle w:val="Hyperlink"/>
          </w:rPr>
          <w:t>sector emissions reduction plans</w:t>
        </w:r>
      </w:hyperlink>
      <w:r w:rsidR="001618EC">
        <w:t>,</w:t>
      </w:r>
      <w:r w:rsidR="001618EC">
        <w:rPr>
          <w:rStyle w:val="EndnoteReference"/>
        </w:rPr>
        <w:endnoteReference w:id="7"/>
      </w:r>
      <w:r w:rsidR="001618EC">
        <w:t xml:space="preserve"> and the </w:t>
      </w:r>
      <w:hyperlink r:id="rId30" w:history="1">
        <w:r w:rsidR="001618EC" w:rsidRPr="00EF1931">
          <w:rPr>
            <w:rStyle w:val="Hyperlink"/>
          </w:rPr>
          <w:t>National Climate Risk Assessment</w:t>
        </w:r>
      </w:hyperlink>
      <w:r w:rsidR="001618EC">
        <w:rPr>
          <w:rStyle w:val="EndnoteReference"/>
        </w:rPr>
        <w:endnoteReference w:id="8"/>
      </w:r>
      <w:r w:rsidR="001618EC">
        <w:t xml:space="preserve"> and navigating interactions with other Government guidance such as the </w:t>
      </w:r>
      <w:hyperlink r:id="rId31" w:history="1">
        <w:r w:rsidR="001618EC" w:rsidRPr="0057124F">
          <w:rPr>
            <w:rStyle w:val="Hyperlink"/>
          </w:rPr>
          <w:t>National Climate Scenario Guidance</w:t>
        </w:r>
      </w:hyperlink>
      <w:r w:rsidR="001618EC">
        <w:t>.</w:t>
      </w:r>
      <w:r w:rsidR="002C0A36">
        <w:rPr>
          <w:rStyle w:val="EndnoteReference"/>
        </w:rPr>
        <w:endnoteReference w:id="9"/>
      </w:r>
    </w:p>
    <w:p w14:paraId="7AD79DA4" w14:textId="5D0C3588" w:rsidR="000964AB" w:rsidRDefault="000964AB" w:rsidP="000964AB">
      <w:pPr>
        <w:rPr>
          <w:szCs w:val="22"/>
        </w:rPr>
      </w:pPr>
      <w:r>
        <w:rPr>
          <w:szCs w:val="22"/>
        </w:rPr>
        <w:t xml:space="preserve">Further voluntary guidance and supporting materials for the Australian context is expected to become available over time. </w:t>
      </w:r>
    </w:p>
    <w:p w14:paraId="59CF2A10" w14:textId="77260BF9" w:rsidR="0042170F" w:rsidRDefault="0042170F" w:rsidP="000964AB">
      <w:pPr>
        <w:rPr>
          <w:szCs w:val="22"/>
        </w:rPr>
      </w:pPr>
      <w:hyperlink w:anchor="BOX2" w:history="1">
        <w:r w:rsidRPr="003901C7">
          <w:rPr>
            <w:rStyle w:val="Hyperlink"/>
            <w:szCs w:val="22"/>
          </w:rPr>
          <w:t xml:space="preserve">Box </w:t>
        </w:r>
        <w:r w:rsidR="00DF4C62" w:rsidRPr="003901C7">
          <w:rPr>
            <w:rStyle w:val="Hyperlink"/>
            <w:szCs w:val="22"/>
          </w:rPr>
          <w:t>2</w:t>
        </w:r>
      </w:hyperlink>
      <w:r>
        <w:rPr>
          <w:szCs w:val="22"/>
        </w:rPr>
        <w:t xml:space="preserve"> includes key resources that can help organisations</w:t>
      </w:r>
      <w:r w:rsidR="00D818BB">
        <w:rPr>
          <w:szCs w:val="22"/>
        </w:rPr>
        <w:t xml:space="preserve"> undertaking transition planning. These resources include relevant information which can be drawn on throughout the different transition planning stages outlined in this </w:t>
      </w:r>
      <w:r w:rsidR="003328C0">
        <w:rPr>
          <w:szCs w:val="22"/>
        </w:rPr>
        <w:t xml:space="preserve">guidance. </w:t>
      </w:r>
    </w:p>
    <w:tbl>
      <w:tblPr>
        <w:tblW w:w="5000" w:type="pct"/>
        <w:shd w:val="clear" w:color="auto" w:fill="F2F2F2"/>
        <w:tblCellMar>
          <w:top w:w="227" w:type="dxa"/>
          <w:left w:w="227" w:type="dxa"/>
          <w:bottom w:w="227" w:type="dxa"/>
          <w:right w:w="227" w:type="dxa"/>
        </w:tblCellMar>
        <w:tblLook w:val="0620" w:firstRow="1" w:lastRow="0" w:firstColumn="0" w:lastColumn="0" w:noHBand="1" w:noVBand="1"/>
      </w:tblPr>
      <w:tblGrid>
        <w:gridCol w:w="9070"/>
      </w:tblGrid>
      <w:tr w:rsidR="00B051AD" w:rsidRPr="00963E59" w14:paraId="4B3AF1B8" w14:textId="77777777" w:rsidTr="00460C3E">
        <w:tc>
          <w:tcPr>
            <w:tcW w:w="5000" w:type="pct"/>
            <w:shd w:val="clear" w:color="auto" w:fill="F2F2F2"/>
            <w:hideMark/>
          </w:tcPr>
          <w:p w14:paraId="5F150EB0" w14:textId="1B5DFA39" w:rsidR="00B051AD" w:rsidRPr="00963E59" w:rsidRDefault="00B051AD" w:rsidP="003A5C16">
            <w:pPr>
              <w:pStyle w:val="BoxHeading"/>
            </w:pPr>
            <w:bookmarkStart w:id="29" w:name="BOX2"/>
            <w:bookmarkStart w:id="30" w:name="_Toc237351132"/>
            <w:bookmarkStart w:id="31" w:name="_Toc233287098"/>
            <w:bookmarkEnd w:id="29"/>
            <w:r w:rsidRPr="00963E59">
              <w:lastRenderedPageBreak/>
              <w:t xml:space="preserve">Box </w:t>
            </w:r>
            <w:r w:rsidR="00786BF8" w:rsidRPr="00963E59">
              <w:t>2</w:t>
            </w:r>
            <w:r w:rsidRPr="00963E59">
              <w:t>. Supporting resources for an overview of transition planning</w:t>
            </w:r>
            <w:bookmarkEnd w:id="30"/>
            <w:bookmarkEnd w:id="31"/>
          </w:p>
          <w:p w14:paraId="45E15ADE" w14:textId="199F3153" w:rsidR="00B051AD" w:rsidRPr="00963E59" w:rsidRDefault="00B051AD" w:rsidP="00DB6514">
            <w:pPr>
              <w:pStyle w:val="Boxbullet"/>
            </w:pPr>
            <w:r w:rsidRPr="00DB6514">
              <w:rPr>
                <w:b/>
                <w:bCs/>
              </w:rPr>
              <w:t xml:space="preserve">TPT </w:t>
            </w:r>
            <w:hyperlink r:id="rId32" w:history="1">
              <w:r w:rsidRPr="00DB6514">
                <w:rPr>
                  <w:rStyle w:val="Hyperlink"/>
                  <w:b/>
                </w:rPr>
                <w:t>Transition Planning Cycle</w:t>
              </w:r>
            </w:hyperlink>
            <w:r w:rsidRPr="00DB6514">
              <w:rPr>
                <w:b/>
              </w:rPr>
              <w:t>:</w:t>
            </w:r>
            <w:r w:rsidRPr="00963E59">
              <w:t xml:space="preserve"> Treasury’s climate-related transition planning guidance is designed to be read alongside this resource. The TPT was launched by the UK Government in April 2024 to develop a gold standard for transition plans for finance and the real economy.</w:t>
            </w:r>
          </w:p>
          <w:p w14:paraId="7167C3D2" w14:textId="71AD764A" w:rsidR="00B051AD" w:rsidRPr="00963E59" w:rsidRDefault="00B051AD" w:rsidP="00DB6514">
            <w:pPr>
              <w:pStyle w:val="Boxbullet"/>
              <w:numPr>
                <w:ilvl w:val="0"/>
                <w:numId w:val="0"/>
              </w:numPr>
              <w:ind w:left="284"/>
            </w:pPr>
            <w:r w:rsidRPr="00963E59">
              <w:t xml:space="preserve">The TPT Transition Planning Cycle is available through the International Transition Plan Network website. The International Financial Reporting Standards (IFRS) Foundation is now responsible for the TPT’s disclosure-related TPT materials, which can be found on the </w:t>
            </w:r>
            <w:hyperlink r:id="rId33" w:history="1">
              <w:r w:rsidRPr="00963E59">
                <w:rPr>
                  <w:rStyle w:val="Hyperlink"/>
                  <w:szCs w:val="22"/>
                </w:rPr>
                <w:t>IFRS</w:t>
              </w:r>
              <w:r w:rsidR="00402AB6">
                <w:rPr>
                  <w:rStyle w:val="Hyperlink"/>
                  <w:szCs w:val="22"/>
                </w:rPr>
                <w:t> </w:t>
              </w:r>
              <w:r w:rsidRPr="00963E59">
                <w:rPr>
                  <w:rStyle w:val="Hyperlink"/>
                  <w:szCs w:val="22"/>
                </w:rPr>
                <w:t>Knowledge Hub</w:t>
              </w:r>
            </w:hyperlink>
            <w:r w:rsidRPr="00963E59">
              <w:t>.</w:t>
            </w:r>
            <w:r w:rsidR="0078526A" w:rsidRPr="00E63C26">
              <w:rPr>
                <w:rStyle w:val="FootnoteReference"/>
              </w:rPr>
              <w:endnoteReference w:id="10"/>
            </w:r>
            <w:r w:rsidRPr="00963E59">
              <w:t xml:space="preserve"> The IFRS’s </w:t>
            </w:r>
            <w:hyperlink r:id="rId34" w:history="1">
              <w:r w:rsidRPr="00963E59">
                <w:rPr>
                  <w:rStyle w:val="Hyperlink"/>
                </w:rPr>
                <w:t>guidance on disclosures about transition plans</w:t>
              </w:r>
            </w:hyperlink>
            <w:r w:rsidR="00BD1AE2" w:rsidRPr="00A8714D">
              <w:rPr>
                <w:rStyle w:val="FootnoteReference"/>
              </w:rPr>
              <w:endnoteReference w:id="11"/>
            </w:r>
            <w:r w:rsidR="001A7EF4" w:rsidRPr="00963E59">
              <w:t xml:space="preserve"> </w:t>
            </w:r>
            <w:r w:rsidRPr="00963E59">
              <w:t>is also based on the TPT materials.</w:t>
            </w:r>
          </w:p>
          <w:p w14:paraId="34D052F0" w14:textId="77777777" w:rsidR="00B051AD" w:rsidRPr="00963E59" w:rsidRDefault="00B051AD" w:rsidP="00DB6514">
            <w:pPr>
              <w:pStyle w:val="Boxbullet"/>
            </w:pPr>
            <w:r w:rsidRPr="00DB6514">
              <w:rPr>
                <w:b/>
                <w:bCs/>
              </w:rPr>
              <w:t xml:space="preserve">Accounting for Sustainability </w:t>
            </w:r>
            <w:hyperlink r:id="rId35" w:history="1">
              <w:r w:rsidRPr="00DB6514">
                <w:rPr>
                  <w:rStyle w:val="Hyperlink"/>
                  <w:b/>
                  <w:bCs/>
                  <w:szCs w:val="22"/>
                </w:rPr>
                <w:t>Essential Guides</w:t>
              </w:r>
            </w:hyperlink>
            <w:r w:rsidRPr="00DB6514">
              <w:rPr>
                <w:b/>
                <w:bCs/>
              </w:rPr>
              <w:t>:</w:t>
            </w:r>
            <w:r w:rsidR="00D17C8D" w:rsidRPr="00E63C26">
              <w:rPr>
                <w:rStyle w:val="FootnoteReference"/>
              </w:rPr>
              <w:endnoteReference w:id="12"/>
            </w:r>
            <w:r w:rsidRPr="00963E59">
              <w:t xml:space="preserve"> offer practical guidance on strategic planning, budgeting and forecasting, managing future uncertainty and engaging the Board and executive management.</w:t>
            </w:r>
          </w:p>
          <w:p w14:paraId="370AA092" w14:textId="77777777" w:rsidR="00B051AD" w:rsidRPr="00963E59" w:rsidRDefault="00B051AD" w:rsidP="00DB6514">
            <w:pPr>
              <w:pStyle w:val="Boxbullet"/>
            </w:pPr>
            <w:r w:rsidRPr="00DB6514">
              <w:rPr>
                <w:b/>
                <w:bCs/>
              </w:rPr>
              <w:t xml:space="preserve">New Zealand External Reporting Board </w:t>
            </w:r>
            <w:hyperlink r:id="rId36" w:history="1">
              <w:r w:rsidRPr="00DB6514">
                <w:rPr>
                  <w:rStyle w:val="Hyperlink"/>
                  <w:b/>
                  <w:bCs/>
                  <w:szCs w:val="22"/>
                </w:rPr>
                <w:t>Transition Planning Guides</w:t>
              </w:r>
            </w:hyperlink>
            <w:r w:rsidR="00746304" w:rsidRPr="00E63C26">
              <w:rPr>
                <w:rStyle w:val="FootnoteReference"/>
              </w:rPr>
              <w:endnoteReference w:id="13"/>
            </w:r>
            <w:r w:rsidRPr="00963E59">
              <w:t xml:space="preserve"> breaks down transition planning guidance for staff, executive and directors. It also includes an end-to-end case study that illustrates a suggested approach for underlying processes relevant to transition planning that businesses can adjust to their own circumstances. </w:t>
            </w:r>
          </w:p>
          <w:p w14:paraId="2DBEE3A5" w14:textId="77777777" w:rsidR="00B051AD" w:rsidRPr="00DB6514" w:rsidRDefault="00B051AD" w:rsidP="00DB6514">
            <w:pPr>
              <w:pStyle w:val="Boxbullet"/>
              <w:rPr>
                <w:rFonts w:asciiTheme="minorHAnsi" w:hAnsiTheme="minorHAnsi" w:cstheme="minorHAnsi"/>
              </w:rPr>
            </w:pPr>
            <w:r w:rsidRPr="00DB6514">
              <w:rPr>
                <w:b/>
                <w:bCs/>
              </w:rPr>
              <w:t xml:space="preserve">New South Wales Government </w:t>
            </w:r>
            <w:hyperlink r:id="rId37" w:history="1">
              <w:r w:rsidRPr="00DB6514">
                <w:rPr>
                  <w:rStyle w:val="Hyperlink"/>
                  <w:b/>
                  <w:bCs/>
                  <w:szCs w:val="22"/>
                </w:rPr>
                <w:t>Net Zero Business Guide</w:t>
              </w:r>
            </w:hyperlink>
            <w:r w:rsidRPr="00963E59">
              <w:t>:</w:t>
            </w:r>
            <w:r w:rsidR="00561966" w:rsidRPr="00E63C26">
              <w:rPr>
                <w:rStyle w:val="FootnoteReference"/>
              </w:rPr>
              <w:endnoteReference w:id="14"/>
            </w:r>
            <w:r w:rsidRPr="00963E59">
              <w:t xml:space="preserve"> offers step-by-step guidance to help strategically plan for and implement actions to achieve net zero emissions. </w:t>
            </w:r>
          </w:p>
          <w:p w14:paraId="0F300C48" w14:textId="4AB82577" w:rsidR="00B051AD" w:rsidRPr="00DB6514" w:rsidRDefault="00B051AD" w:rsidP="00DB6514">
            <w:pPr>
              <w:pStyle w:val="Boxbullet"/>
              <w:rPr>
                <w:u w:val="single"/>
              </w:rPr>
            </w:pPr>
            <w:r w:rsidRPr="00DB6514">
              <w:rPr>
                <w:b/>
                <w:bCs/>
              </w:rPr>
              <w:t xml:space="preserve">TPT’s </w:t>
            </w:r>
            <w:hyperlink r:id="rId38">
              <w:r w:rsidRPr="00DB6514">
                <w:rPr>
                  <w:rStyle w:val="Hyperlink"/>
                  <w:b/>
                  <w:bCs/>
                  <w:szCs w:val="22"/>
                </w:rPr>
                <w:t>Asset Owner Sector Guidance</w:t>
              </w:r>
            </w:hyperlink>
            <w:r w:rsidR="00AB3C01" w:rsidRPr="00A8714D">
              <w:rPr>
                <w:rStyle w:val="FootnoteReference"/>
              </w:rPr>
              <w:endnoteReference w:id="15"/>
            </w:r>
            <w:r w:rsidRPr="00963E59">
              <w:t xml:space="preserve"> </w:t>
            </w:r>
            <w:r w:rsidRPr="0034305C">
              <w:t>and</w:t>
            </w:r>
            <w:r w:rsidRPr="00DB6514">
              <w:rPr>
                <w:b/>
                <w:bCs/>
              </w:rPr>
              <w:t xml:space="preserve"> </w:t>
            </w:r>
            <w:hyperlink r:id="rId39">
              <w:r w:rsidRPr="00DB6514">
                <w:rPr>
                  <w:rStyle w:val="Hyperlink"/>
                  <w:b/>
                  <w:bCs/>
                  <w:szCs w:val="22"/>
                </w:rPr>
                <w:t>Asset Managers Sector Guidance</w:t>
              </w:r>
            </w:hyperlink>
            <w:r w:rsidRPr="00DB6514">
              <w:rPr>
                <w:b/>
                <w:bCs/>
              </w:rPr>
              <w:t>:</w:t>
            </w:r>
            <w:r w:rsidR="004B6E11" w:rsidRPr="00E63C26">
              <w:rPr>
                <w:rStyle w:val="FootnoteReference"/>
              </w:rPr>
              <w:endnoteReference w:id="16"/>
            </w:r>
            <w:r w:rsidRPr="00E63C26">
              <w:rPr>
                <w:rStyle w:val="FootnoteReference"/>
              </w:rPr>
              <w:t xml:space="preserve"> </w:t>
            </w:r>
            <w:r w:rsidRPr="00963E59">
              <w:t xml:space="preserve"> investor-</w:t>
            </w:r>
            <w:r w:rsidR="00CD21E7">
              <w:t>‍</w:t>
            </w:r>
            <w:r w:rsidRPr="00963E59">
              <w:t>specific guidance on transition planning.</w:t>
            </w:r>
          </w:p>
          <w:p w14:paraId="575BA87D" w14:textId="462475B0" w:rsidR="000D64ED" w:rsidRPr="00963E59" w:rsidRDefault="00B051AD" w:rsidP="00DB6514">
            <w:pPr>
              <w:pStyle w:val="Boxbullet"/>
            </w:pPr>
            <w:r w:rsidRPr="00DB6514">
              <w:rPr>
                <w:b/>
                <w:bCs/>
              </w:rPr>
              <w:t xml:space="preserve">Climateworks Guide to </w:t>
            </w:r>
            <w:hyperlink r:id="rId40" w:history="1">
              <w:r w:rsidRPr="00DB6514">
                <w:rPr>
                  <w:rStyle w:val="Hyperlink"/>
                  <w:b/>
                  <w:bCs/>
                  <w:szCs w:val="22"/>
                </w:rPr>
                <w:t>credibility for corporate climate transition plans</w:t>
              </w:r>
            </w:hyperlink>
            <w:r w:rsidRPr="00963E59">
              <w:t>:</w:t>
            </w:r>
            <w:r w:rsidR="009F23F3" w:rsidRPr="00E63C26">
              <w:rPr>
                <w:rStyle w:val="FootnoteReference"/>
              </w:rPr>
              <w:endnoteReference w:id="17"/>
            </w:r>
            <w:r w:rsidRPr="00963E59">
              <w:t xml:space="preserve"> helps understanding of how investors may assess the credibility of transition planning.</w:t>
            </w:r>
          </w:p>
          <w:p w14:paraId="13FC2F17" w14:textId="71376206" w:rsidR="005A49AD" w:rsidRPr="00963E59" w:rsidRDefault="00A5499B" w:rsidP="00DB6514">
            <w:pPr>
              <w:pStyle w:val="Boxbullet"/>
            </w:pPr>
            <w:r w:rsidRPr="0034305C">
              <w:rPr>
                <w:b/>
                <w:bCs/>
              </w:rPr>
              <w:t>Australian Institute of Company Directors</w:t>
            </w:r>
            <w:r w:rsidRPr="00963E59">
              <w:t xml:space="preserve"> and </w:t>
            </w:r>
            <w:r w:rsidRPr="0034305C">
              <w:rPr>
                <w:b/>
                <w:bCs/>
              </w:rPr>
              <w:t>Australian Council of Superannuation Investors</w:t>
            </w:r>
            <w:r w:rsidRPr="00963E59">
              <w:t xml:space="preserve"> </w:t>
            </w:r>
            <w:hyperlink r:id="rId41" w:history="1">
              <w:r w:rsidR="000D64ED" w:rsidRPr="00DB6514">
                <w:rPr>
                  <w:rStyle w:val="Hyperlink"/>
                  <w:b/>
                  <w:bCs/>
                  <w:szCs w:val="22"/>
                </w:rPr>
                <w:t>Governing for net zero: The board’s role in organisational transition planning</w:t>
              </w:r>
            </w:hyperlink>
            <w:r w:rsidR="000D64ED" w:rsidRPr="00DB6514">
              <w:rPr>
                <w:i/>
              </w:rPr>
              <w:t>:</w:t>
            </w:r>
            <w:r w:rsidR="00497E2C" w:rsidRPr="00E63C26">
              <w:rPr>
                <w:rStyle w:val="FootnoteReference"/>
              </w:rPr>
              <w:endnoteReference w:id="18"/>
            </w:r>
            <w:r w:rsidR="00FC45D0" w:rsidRPr="00963E59">
              <w:rPr>
                <w:lang w:eastAsia="en-US"/>
              </w:rPr>
              <w:t xml:space="preserve"> </w:t>
            </w:r>
            <w:r w:rsidR="000D64ED" w:rsidRPr="00DB6514">
              <w:rPr>
                <w:iCs/>
              </w:rPr>
              <w:t>guidance for the Board’s role in the development and implementation of credible transition planning.</w:t>
            </w:r>
          </w:p>
          <w:p w14:paraId="4153E9BE" w14:textId="33AA4170" w:rsidR="000D64ED" w:rsidRPr="00963E59" w:rsidRDefault="00137FE6" w:rsidP="00DB6514">
            <w:pPr>
              <w:pStyle w:val="Boxbullet"/>
            </w:pPr>
            <w:r w:rsidRPr="00DB6514">
              <w:rPr>
                <w:b/>
                <w:bCs/>
              </w:rPr>
              <w:t xml:space="preserve">Australian </w:t>
            </w:r>
            <w:r w:rsidR="005A49AD" w:rsidRPr="00DB6514">
              <w:rPr>
                <w:b/>
                <w:bCs/>
              </w:rPr>
              <w:t xml:space="preserve">Climate Leaders Coalition </w:t>
            </w:r>
            <w:hyperlink r:id="rId42" w:history="1">
              <w:r w:rsidR="005A49AD" w:rsidRPr="00DB6514">
                <w:rPr>
                  <w:rStyle w:val="Hyperlink"/>
                  <w:b/>
                  <w:bCs/>
                  <w:szCs w:val="22"/>
                </w:rPr>
                <w:t>Credible Transition to Net Zero</w:t>
              </w:r>
            </w:hyperlink>
            <w:r w:rsidR="005A49AD" w:rsidRPr="00963E59">
              <w:t>:</w:t>
            </w:r>
            <w:r w:rsidR="005A49AD" w:rsidRPr="00963E59">
              <w:rPr>
                <w:rStyle w:val="FootnoteReference"/>
              </w:rPr>
              <w:endnoteReference w:id="19"/>
            </w:r>
            <w:r w:rsidR="005A49AD" w:rsidRPr="00963E59">
              <w:t xml:space="preserve"> guidance for CEOs to consider how to credibly transition the organisations they lead to net zero.</w:t>
            </w:r>
          </w:p>
        </w:tc>
      </w:tr>
    </w:tbl>
    <w:p w14:paraId="68CA077D" w14:textId="701C12DD" w:rsidR="00F86ECD" w:rsidRDefault="00F86ECD" w:rsidP="005974DF">
      <w:pPr>
        <w:pStyle w:val="Heading2"/>
      </w:pPr>
      <w:bookmarkStart w:id="32" w:name="_Toc224135301"/>
      <w:bookmarkStart w:id="33" w:name="_Toc224906867"/>
      <w:bookmarkStart w:id="34" w:name="_Toc224916499"/>
      <w:bookmarkStart w:id="35" w:name="_Toc232776340"/>
      <w:r>
        <w:t>Interaction with climate</w:t>
      </w:r>
      <w:r w:rsidR="00E972FA">
        <w:t>-</w:t>
      </w:r>
      <w:r>
        <w:t xml:space="preserve">related financial disclosure </w:t>
      </w:r>
      <w:r w:rsidR="00084D8E">
        <w:t xml:space="preserve">under </w:t>
      </w:r>
      <w:r>
        <w:t>AASB</w:t>
      </w:r>
      <w:r w:rsidR="00D92E97">
        <w:t> </w:t>
      </w:r>
      <w:r>
        <w:t>S2</w:t>
      </w:r>
      <w:bookmarkEnd w:id="32"/>
      <w:bookmarkEnd w:id="33"/>
      <w:bookmarkEnd w:id="34"/>
      <w:bookmarkEnd w:id="35"/>
    </w:p>
    <w:p w14:paraId="298E2AAA" w14:textId="77B7D9C5" w:rsidR="00F86ECD" w:rsidRDefault="00F86ECD" w:rsidP="00F86ECD">
      <w:r>
        <w:t>Th</w:t>
      </w:r>
      <w:r w:rsidR="00525D8B">
        <w:t>e</w:t>
      </w:r>
      <w:r>
        <w:t xml:space="preserve"> guidance is designed to be relevant to diverse organisations across the economy.</w:t>
      </w:r>
    </w:p>
    <w:p w14:paraId="2C9E2837" w14:textId="0F64DE31" w:rsidR="00E9313F" w:rsidRPr="00A63577" w:rsidRDefault="00E9313F" w:rsidP="00F86ECD">
      <w:r>
        <w:t>Organisations that are required to complete mandatory climate</w:t>
      </w:r>
      <w:r w:rsidR="00963E59">
        <w:noBreakHyphen/>
      </w:r>
      <w:r>
        <w:t xml:space="preserve">related financial disclosures under Chapter 2M of the </w:t>
      </w:r>
      <w:r w:rsidR="00A63577" w:rsidRPr="00D73745">
        <w:rPr>
          <w:i/>
          <w:iCs/>
        </w:rPr>
        <w:t>Corporations Act 2001</w:t>
      </w:r>
      <w:r w:rsidR="00A63577">
        <w:rPr>
          <w:i/>
          <w:iCs/>
        </w:rPr>
        <w:t xml:space="preserve"> </w:t>
      </w:r>
      <w:r w:rsidR="00AF25A6">
        <w:t>(Corporations Act) are not required to prep</w:t>
      </w:r>
      <w:r w:rsidR="0048162C">
        <w:t>are transition plans. However, they may be required to disclose certain information about their transition plan if they have already developed one. There is no obligation for transition plans to align with this voluntary</w:t>
      </w:r>
      <w:r w:rsidR="00B9446B">
        <w:t> </w:t>
      </w:r>
      <w:r w:rsidR="0048162C">
        <w:t>guidance.</w:t>
      </w:r>
    </w:p>
    <w:p w14:paraId="14369DEE" w14:textId="0CD21094" w:rsidR="00F86ECD" w:rsidRPr="0039733A" w:rsidRDefault="712ED114" w:rsidP="0E44BF0C">
      <w:r>
        <w:t>Th</w:t>
      </w:r>
      <w:r w:rsidR="74B14DE5">
        <w:t>e</w:t>
      </w:r>
      <w:r>
        <w:t xml:space="preserve"> guidance has not been developed to inform disclosures required under Chapter 2M of the Corporations Act or any other aspect of sustainability reporting under the Corporations Act. </w:t>
      </w:r>
      <w:r w:rsidR="0276332D">
        <w:t>Organisations</w:t>
      </w:r>
      <w:r w:rsidR="646C1182">
        <w:t xml:space="preserve"> </w:t>
      </w:r>
      <w:r w:rsidR="0276332D">
        <w:t xml:space="preserve">can refer to </w:t>
      </w:r>
      <w:r w:rsidR="00363D0F">
        <w:t xml:space="preserve">the </w:t>
      </w:r>
      <w:r w:rsidR="00363D0F" w:rsidRPr="0039733A">
        <w:t>A</w:t>
      </w:r>
      <w:r w:rsidR="00363D0F">
        <w:t>ustralian Accounting Standards Board’s</w:t>
      </w:r>
      <w:r w:rsidR="0276332D">
        <w:t xml:space="preserve"> </w:t>
      </w:r>
      <w:r w:rsidR="00363D0F">
        <w:t>(</w:t>
      </w:r>
      <w:r w:rsidR="0276332D">
        <w:t>AASB</w:t>
      </w:r>
      <w:r w:rsidR="00363D0F">
        <w:t>)</w:t>
      </w:r>
      <w:r w:rsidR="0276332D">
        <w:t xml:space="preserve"> </w:t>
      </w:r>
      <w:hyperlink r:id="rId43" w:history="1">
        <w:r w:rsidR="00294016" w:rsidRPr="00914ACA">
          <w:rPr>
            <w:rStyle w:val="Hyperlink"/>
          </w:rPr>
          <w:t>educational material</w:t>
        </w:r>
      </w:hyperlink>
      <w:r w:rsidR="00294016">
        <w:t xml:space="preserve"> on disclosing information about an entity’s climate-related transition in accordance with AASB S2</w:t>
      </w:r>
      <w:r w:rsidR="00B5568C">
        <w:t>.</w:t>
      </w:r>
      <w:r w:rsidR="00914ACA" w:rsidRPr="00A8714D">
        <w:rPr>
          <w:rStyle w:val="FootnoteReference"/>
        </w:rPr>
        <w:endnoteReference w:id="20"/>
      </w:r>
      <w:r w:rsidR="00B5568C" w:rsidRPr="00A8714D">
        <w:rPr>
          <w:rStyle w:val="FootnoteReference"/>
        </w:rPr>
        <w:t xml:space="preserve"> </w:t>
      </w:r>
      <w:r>
        <w:lastRenderedPageBreak/>
        <w:t>The</w:t>
      </w:r>
      <w:r w:rsidR="00A8714D">
        <w:t> </w:t>
      </w:r>
      <w:r>
        <w:t>Australian Securities and Investment</w:t>
      </w:r>
      <w:r w:rsidR="3E2C208F">
        <w:t>s</w:t>
      </w:r>
      <w:r>
        <w:t xml:space="preserve"> Commission (ASIC) and the AASB have issued </w:t>
      </w:r>
      <w:r w:rsidR="74F45EF6">
        <w:t xml:space="preserve">further </w:t>
      </w:r>
      <w:r>
        <w:t>materials to assist entities in meeting their sustainability reporting obligations under the Corporations Act</w:t>
      </w:r>
      <w:r w:rsidR="5A5127D3">
        <w:t xml:space="preserve"> </w:t>
      </w:r>
      <w:r w:rsidR="562DEF54">
        <w:t>(</w:t>
      </w:r>
      <w:hyperlink w:anchor="BOX3" w:history="1">
        <w:r w:rsidR="00D3687F" w:rsidRPr="001B1B06">
          <w:rPr>
            <w:rStyle w:val="Hyperlink"/>
          </w:rPr>
          <w:t>Box 3</w:t>
        </w:r>
      </w:hyperlink>
      <w:r w:rsidR="00F86ECD">
        <w:fldChar w:fldCharType="begin"/>
      </w:r>
      <w:r w:rsidR="00F86ECD">
        <w:fldChar w:fldCharType="separate"/>
      </w:r>
      <w:r w:rsidR="00F86ECD" w:rsidRPr="7EBA2797" w:rsidDel="00F86ECD">
        <w:rPr>
          <w:rStyle w:val="Hyperlink"/>
        </w:rPr>
        <w:t>Box 3</w:t>
      </w:r>
      <w:r w:rsidR="00F86ECD">
        <w:fldChar w:fldCharType="end"/>
      </w:r>
      <w:r w:rsidR="562DEF54">
        <w:t>).</w:t>
      </w:r>
    </w:p>
    <w:tbl>
      <w:tblPr>
        <w:tblW w:w="5000" w:type="pct"/>
        <w:shd w:val="clear" w:color="auto" w:fill="F2F2F2"/>
        <w:tblCellMar>
          <w:top w:w="227" w:type="dxa"/>
          <w:left w:w="227" w:type="dxa"/>
          <w:bottom w:w="227" w:type="dxa"/>
          <w:right w:w="227" w:type="dxa"/>
        </w:tblCellMar>
        <w:tblLook w:val="0620" w:firstRow="1" w:lastRow="0" w:firstColumn="0" w:lastColumn="0" w:noHBand="1" w:noVBand="1"/>
      </w:tblPr>
      <w:tblGrid>
        <w:gridCol w:w="9070"/>
      </w:tblGrid>
      <w:tr w:rsidR="005974DF" w:rsidRPr="00963E59" w14:paraId="467C9B15" w14:textId="77777777" w:rsidTr="00460C3E">
        <w:tc>
          <w:tcPr>
            <w:tcW w:w="5000" w:type="pct"/>
            <w:shd w:val="clear" w:color="auto" w:fill="F2F2F2" w:themeFill="background1" w:themeFillShade="F2"/>
            <w:hideMark/>
          </w:tcPr>
          <w:p w14:paraId="1C4F5221" w14:textId="1270EC8E" w:rsidR="005974DF" w:rsidRPr="00963E59" w:rsidRDefault="00993C3C" w:rsidP="00E964D5">
            <w:pPr>
              <w:pStyle w:val="BoxHeading"/>
            </w:pPr>
            <w:bookmarkStart w:id="36" w:name="BOX3"/>
            <w:bookmarkStart w:id="37" w:name="_Toc237351133"/>
            <w:bookmarkStart w:id="38" w:name="_Toc233287099"/>
            <w:bookmarkEnd w:id="36"/>
            <w:r w:rsidRPr="00963E59">
              <w:t xml:space="preserve">Box </w:t>
            </w:r>
            <w:r w:rsidR="00786BF8" w:rsidRPr="00963E59">
              <w:t>3</w:t>
            </w:r>
            <w:r w:rsidRPr="00963E59">
              <w:t xml:space="preserve">. </w:t>
            </w:r>
            <w:r w:rsidR="005974DF" w:rsidRPr="00963E59">
              <w:t>Supporting resources and relevant regulatory bodies</w:t>
            </w:r>
            <w:bookmarkEnd w:id="37"/>
            <w:bookmarkEnd w:id="38"/>
          </w:p>
          <w:p w14:paraId="164638DF" w14:textId="4032105D" w:rsidR="005974DF" w:rsidRPr="00963E59" w:rsidRDefault="00DB6D54" w:rsidP="001E1AC6">
            <w:pPr>
              <w:pStyle w:val="BoxText"/>
            </w:pPr>
            <w:r w:rsidRPr="00963E59">
              <w:t>O</w:t>
            </w:r>
            <w:r w:rsidR="005974DF" w:rsidRPr="00963E59">
              <w:t xml:space="preserve">rganisations considering their </w:t>
            </w:r>
            <w:r w:rsidR="00CE2E03" w:rsidRPr="00963E59">
              <w:t xml:space="preserve">obligations under </w:t>
            </w:r>
            <w:r w:rsidR="00B87CE8" w:rsidRPr="00963E59">
              <w:t>the</w:t>
            </w:r>
            <w:r w:rsidR="00CE2E03" w:rsidRPr="00963E59">
              <w:t xml:space="preserve"> mandatory climate-related financial disclosure regime</w:t>
            </w:r>
            <w:r w:rsidRPr="00963E59">
              <w:t xml:space="preserve"> should consult these </w:t>
            </w:r>
            <w:r w:rsidR="005974DF" w:rsidRPr="00963E59">
              <w:t>resources</w:t>
            </w:r>
            <w:r w:rsidRPr="00963E59">
              <w:t>.</w:t>
            </w:r>
          </w:p>
          <w:p w14:paraId="7D192490" w14:textId="77777777" w:rsidR="00B82F98" w:rsidRPr="00CD21E7" w:rsidRDefault="00B82F98" w:rsidP="00CD21E7">
            <w:pPr>
              <w:pStyle w:val="BoxText"/>
              <w:rPr>
                <w:b/>
                <w:bCs/>
                <w:i/>
                <w:iCs/>
              </w:rPr>
            </w:pPr>
            <w:r w:rsidRPr="00CD21E7">
              <w:rPr>
                <w:b/>
                <w:bCs/>
                <w:i/>
                <w:iCs/>
              </w:rPr>
              <w:t xml:space="preserve">Australian Securities and Investments Commission </w:t>
            </w:r>
          </w:p>
          <w:p w14:paraId="489C92DC" w14:textId="77777777" w:rsidR="00B82F98" w:rsidRPr="00963E59" w:rsidRDefault="00B82F98" w:rsidP="00DB6514">
            <w:pPr>
              <w:pStyle w:val="Boxbullet"/>
            </w:pPr>
            <w:r w:rsidRPr="00963E59">
              <w:t xml:space="preserve">ASIC administers climate-related financial disclosure requirements (also called ‘sustainability reports’) under the Corporations Act and is responsible for compliance and enforcement. </w:t>
            </w:r>
          </w:p>
          <w:p w14:paraId="39BAE727" w14:textId="77777777" w:rsidR="00B82F98" w:rsidRPr="00963E59" w:rsidRDefault="00B82F98" w:rsidP="00DB6514">
            <w:pPr>
              <w:pStyle w:val="Boxbullet"/>
            </w:pPr>
            <w:r w:rsidRPr="00963E59">
              <w:t xml:space="preserve">ASIC’s </w:t>
            </w:r>
            <w:hyperlink r:id="rId44">
              <w:r w:rsidRPr="00963E59">
                <w:rPr>
                  <w:rStyle w:val="Hyperlink"/>
                </w:rPr>
                <w:t>Sustainability Reporting</w:t>
              </w:r>
            </w:hyperlink>
            <w:r w:rsidRPr="00E63C26">
              <w:rPr>
                <w:rStyle w:val="FootnoteReference"/>
              </w:rPr>
              <w:endnoteReference w:id="21"/>
            </w:r>
            <w:r w:rsidRPr="00963E59">
              <w:t xml:space="preserve"> webpage contains information on sustainability reporting requirements. This includes </w:t>
            </w:r>
            <w:hyperlink r:id="rId45" w:history="1">
              <w:r w:rsidRPr="00963E59">
                <w:rPr>
                  <w:rStyle w:val="Hyperlink"/>
                </w:rPr>
                <w:t>Regulatory Guide 280 – Sustainability Reporting</w:t>
              </w:r>
            </w:hyperlink>
            <w:r w:rsidRPr="00963E59">
              <w:t>.</w:t>
            </w:r>
            <w:r w:rsidRPr="00E63C26">
              <w:rPr>
                <w:rStyle w:val="FootnoteReference"/>
              </w:rPr>
              <w:endnoteReference w:id="22"/>
            </w:r>
            <w:r w:rsidRPr="00963E59">
              <w:t xml:space="preserve"> The website also includes educational modules developed with the AASB to help users understand and apply foundational concepts that underpin sustainability reporting requirements. </w:t>
            </w:r>
          </w:p>
          <w:p w14:paraId="524285DA" w14:textId="1A609774" w:rsidR="00B82F98" w:rsidRPr="00963E59" w:rsidRDefault="00B82F98" w:rsidP="00DB6514">
            <w:pPr>
              <w:pStyle w:val="Boxbullet"/>
            </w:pPr>
            <w:r w:rsidRPr="00963E59">
              <w:t xml:space="preserve">ASIC is responsible for overseeing market conduct and greenwashing concerns relating to investments. ASIC </w:t>
            </w:r>
            <w:hyperlink r:id="rId46" w:history="1">
              <w:r w:rsidRPr="00DB6514">
                <w:rPr>
                  <w:rStyle w:val="Hyperlink"/>
                  <w:szCs w:val="22"/>
                </w:rPr>
                <w:t>Information sheet – 271 How to avoid greenwashing when offering or promoting sustainability-related products</w:t>
              </w:r>
            </w:hyperlink>
            <w:r w:rsidRPr="00E63C26" w:rsidDel="00AC6F8E">
              <w:rPr>
                <w:rStyle w:val="FootnoteReference"/>
              </w:rPr>
              <w:endnoteReference w:id="23"/>
            </w:r>
            <w:r w:rsidRPr="00963E59" w:rsidDel="00BE5EF9">
              <w:t xml:space="preserve"> </w:t>
            </w:r>
            <w:r w:rsidRPr="00963E59">
              <w:t>is for entities that offer or promote sustainability-</w:t>
            </w:r>
            <w:r w:rsidR="00503971">
              <w:t>‍</w:t>
            </w:r>
            <w:r w:rsidRPr="00963E59">
              <w:t>related financial products.</w:t>
            </w:r>
          </w:p>
          <w:p w14:paraId="5D15EF5C" w14:textId="77777777" w:rsidR="00B82F98" w:rsidRPr="00CD21E7" w:rsidRDefault="00B82F98" w:rsidP="00CD21E7">
            <w:pPr>
              <w:pStyle w:val="BoxText"/>
              <w:rPr>
                <w:b/>
                <w:bCs/>
                <w:i/>
                <w:iCs/>
              </w:rPr>
            </w:pPr>
            <w:r w:rsidRPr="00CD21E7">
              <w:rPr>
                <w:b/>
                <w:bCs/>
                <w:i/>
                <w:iCs/>
              </w:rPr>
              <w:t>Australian Accounting Standards Board</w:t>
            </w:r>
          </w:p>
          <w:p w14:paraId="2D8C7D3B" w14:textId="7E4A44E9" w:rsidR="00B82F98" w:rsidRPr="00963E59" w:rsidRDefault="00B82F98" w:rsidP="00DB6514">
            <w:pPr>
              <w:pStyle w:val="Boxbullet"/>
            </w:pPr>
            <w:r>
              <w:t xml:space="preserve">AASB is responsible for developing, issuing and maintaining Sustainability Reporting Standards for disclosure of climate-related financial information. </w:t>
            </w:r>
            <w:hyperlink r:id="rId47">
              <w:r w:rsidRPr="08F4CDCE">
                <w:rPr>
                  <w:rStyle w:val="Hyperlink"/>
                </w:rPr>
                <w:t xml:space="preserve">AASB S2 </w:t>
              </w:r>
              <w:r w:rsidRPr="00DB6514">
                <w:rPr>
                  <w:rStyle w:val="Hyperlink"/>
                  <w:i/>
                  <w:iCs/>
                </w:rPr>
                <w:t>Climate-related Disclosures</w:t>
              </w:r>
            </w:hyperlink>
            <w:r w:rsidRPr="0624362C">
              <w:rPr>
                <w:rStyle w:val="FootnoteReference"/>
              </w:rPr>
              <w:endnoteReference w:id="24"/>
            </w:r>
            <w:r>
              <w:t xml:space="preserve"> was issued in September 2024 and details the disclosure requirements for entities captured under the climate-related financial disclosures regime. The </w:t>
            </w:r>
            <w:hyperlink r:id="rId48">
              <w:r w:rsidRPr="08F4CDCE">
                <w:rPr>
                  <w:rStyle w:val="Hyperlink"/>
                </w:rPr>
                <w:t>AASB S2 Knowledge Hub</w:t>
              </w:r>
            </w:hyperlink>
            <w:r>
              <w:t xml:space="preserve"> contains information to help organisations prepare climate-related financial disclosures</w:t>
            </w:r>
            <w:r w:rsidR="16F1FFCE">
              <w:t xml:space="preserve">, including </w:t>
            </w:r>
            <w:r w:rsidR="66730BDF">
              <w:t xml:space="preserve">on disclosing information </w:t>
            </w:r>
            <w:r w:rsidR="001D2A7C" w:rsidRPr="001D2A7C">
              <w:t>about transition plans</w:t>
            </w:r>
            <w:r>
              <w:t>.</w:t>
            </w:r>
          </w:p>
          <w:p w14:paraId="01AD0DFD" w14:textId="77777777" w:rsidR="00B82F98" w:rsidRPr="008D653A" w:rsidRDefault="00B82F98" w:rsidP="008D653A">
            <w:pPr>
              <w:pStyle w:val="BoxText"/>
              <w:rPr>
                <w:b/>
                <w:bCs/>
                <w:i/>
                <w:iCs/>
              </w:rPr>
            </w:pPr>
            <w:r w:rsidRPr="008D653A">
              <w:rPr>
                <w:b/>
                <w:bCs/>
                <w:i/>
                <w:iCs/>
              </w:rPr>
              <w:t xml:space="preserve">Auditing and Assurance Standards Board </w:t>
            </w:r>
          </w:p>
          <w:p w14:paraId="66FE564F" w14:textId="77777777" w:rsidR="00B82F98" w:rsidRPr="00963E59" w:rsidRDefault="00B82F98" w:rsidP="00DB6514">
            <w:pPr>
              <w:pStyle w:val="Boxbullet"/>
              <w:rPr>
                <w:lang w:eastAsia="en-US"/>
              </w:rPr>
            </w:pPr>
            <w:r w:rsidRPr="00963E59">
              <w:t xml:space="preserve">The Auditing and Assurance Standards Board (AUASB) has developed audit and assurance standards for climate-related financial disclosures. AUASB has produced Sustainability Assurance Education Materials and FAQs that are designed to help auditors and preparers of sustainability reports, which can be accessed at </w:t>
            </w:r>
            <w:hyperlink r:id="rId49" w:history="1">
              <w:r w:rsidRPr="00DB6514">
                <w:rPr>
                  <w:rStyle w:val="Hyperlink"/>
                  <w:szCs w:val="22"/>
                </w:rPr>
                <w:t>Sustainability Assurance</w:t>
              </w:r>
            </w:hyperlink>
            <w:r w:rsidRPr="00DB6514">
              <w:rPr>
                <w:b/>
              </w:rPr>
              <w:t>.</w:t>
            </w:r>
            <w:r w:rsidRPr="00E63C26" w:rsidDel="00A25D64">
              <w:rPr>
                <w:rStyle w:val="FootnoteReference"/>
              </w:rPr>
              <w:endnoteReference w:id="25"/>
            </w:r>
            <w:r w:rsidRPr="00DB6514" w:rsidDel="00A25D64">
              <w:rPr>
                <w:bCs/>
              </w:rPr>
              <w:t xml:space="preserve"> </w:t>
            </w:r>
          </w:p>
          <w:p w14:paraId="464205C5" w14:textId="77777777" w:rsidR="00B82F98" w:rsidRPr="008D653A" w:rsidRDefault="00B82F98" w:rsidP="008D653A">
            <w:pPr>
              <w:pStyle w:val="BoxText"/>
              <w:rPr>
                <w:b/>
                <w:bCs/>
                <w:i/>
                <w:iCs/>
              </w:rPr>
            </w:pPr>
            <w:r w:rsidRPr="008D653A" w:rsidDel="00C76FDF">
              <w:rPr>
                <w:b/>
                <w:bCs/>
                <w:i/>
                <w:iCs/>
              </w:rPr>
              <w:t xml:space="preserve">Australian Competition </w:t>
            </w:r>
            <w:r w:rsidRPr="008D653A">
              <w:rPr>
                <w:b/>
                <w:bCs/>
                <w:i/>
                <w:iCs/>
              </w:rPr>
              <w:t>&amp;</w:t>
            </w:r>
            <w:r w:rsidRPr="008D653A" w:rsidDel="00C76FDF">
              <w:rPr>
                <w:b/>
                <w:bCs/>
                <w:i/>
                <w:iCs/>
              </w:rPr>
              <w:t xml:space="preserve"> Consumer Commission</w:t>
            </w:r>
          </w:p>
          <w:p w14:paraId="6EAF4D92" w14:textId="298C4483" w:rsidR="005974DF" w:rsidRDefault="00B82F98" w:rsidP="00DB6514">
            <w:pPr>
              <w:pStyle w:val="Boxbullet"/>
              <w:rPr>
                <w:lang w:eastAsia="en-US"/>
              </w:rPr>
            </w:pPr>
            <w:r w:rsidRPr="00963E59">
              <w:t xml:space="preserve">The Australian Competition &amp; Consumer Commission (ACCC) is responsible for </w:t>
            </w:r>
            <w:r w:rsidRPr="00963E59" w:rsidDel="00C76FDF">
              <w:t>consumer</w:t>
            </w:r>
            <w:r w:rsidRPr="00963E59">
              <w:t>-</w:t>
            </w:r>
            <w:r w:rsidR="00503971">
              <w:t>‍</w:t>
            </w:r>
            <w:r w:rsidRPr="00963E59" w:rsidDel="00C76FDF">
              <w:t xml:space="preserve">facing claims. </w:t>
            </w:r>
            <w:r w:rsidRPr="00963E59">
              <w:t xml:space="preserve">Please </w:t>
            </w:r>
            <w:r w:rsidRPr="00963E59" w:rsidDel="00C76FDF">
              <w:t xml:space="preserve">refer to the ACCC’s </w:t>
            </w:r>
            <w:hyperlink r:id="rId50" w:history="1">
              <w:r w:rsidRPr="00DB6514">
                <w:rPr>
                  <w:rStyle w:val="Hyperlink"/>
                  <w:szCs w:val="22"/>
                </w:rPr>
                <w:t xml:space="preserve">guide </w:t>
              </w:r>
              <w:r w:rsidR="006F3D57" w:rsidRPr="00DB6514">
                <w:rPr>
                  <w:rStyle w:val="Hyperlink"/>
                  <w:szCs w:val="22"/>
                </w:rPr>
                <w:t xml:space="preserve">to </w:t>
              </w:r>
              <w:r w:rsidRPr="00DB6514">
                <w:rPr>
                  <w:rStyle w:val="Hyperlink"/>
                  <w:szCs w:val="22"/>
                </w:rPr>
                <w:t>making environmental claims</w:t>
              </w:r>
            </w:hyperlink>
            <w:r w:rsidRPr="00963E59">
              <w:t>.</w:t>
            </w:r>
            <w:r w:rsidRPr="00E63C26" w:rsidDel="00A25D64">
              <w:rPr>
                <w:rStyle w:val="FootnoteReference"/>
              </w:rPr>
              <w:endnoteReference w:id="26"/>
            </w:r>
          </w:p>
          <w:p w14:paraId="3707EF85" w14:textId="321B1E88" w:rsidR="00F2010D" w:rsidRPr="00963E59" w:rsidRDefault="00F2010D" w:rsidP="00F2010D">
            <w:pPr>
              <w:pStyle w:val="ChartorTableNote"/>
            </w:pPr>
            <w:r w:rsidRPr="00963E59">
              <w:rPr>
                <w:b/>
              </w:rPr>
              <w:t>Note:</w:t>
            </w:r>
            <w:r w:rsidRPr="00963E59">
              <w:tab/>
              <w:t xml:space="preserve">The Australian Government will combine the standard setting functions and powers of the AASB, AUASB and </w:t>
            </w:r>
            <w:r>
              <w:tab/>
            </w:r>
            <w:r w:rsidRPr="00963E59">
              <w:t xml:space="preserve">the Financial Reporting Council into a single entity, External Reporting Australia. </w:t>
            </w:r>
            <w:r w:rsidR="00F26C33">
              <w:t>The merger will</w:t>
            </w:r>
            <w:r w:rsidR="009A69A2">
              <w:t xml:space="preserve"> officially </w:t>
            </w:r>
            <w:r w:rsidR="00782E76">
              <w:tab/>
            </w:r>
            <w:r w:rsidR="009A69A2">
              <w:t xml:space="preserve">take effect on </w:t>
            </w:r>
            <w:r w:rsidR="00F838BF">
              <w:t>1 December</w:t>
            </w:r>
            <w:r w:rsidR="009A69A2">
              <w:t xml:space="preserve"> 2026</w:t>
            </w:r>
            <w:r w:rsidRPr="00963E59">
              <w:t>.</w:t>
            </w:r>
          </w:p>
        </w:tc>
      </w:tr>
    </w:tbl>
    <w:p w14:paraId="79F221F6" w14:textId="71D90D59" w:rsidR="00E374F6" w:rsidRDefault="00E374F6">
      <w:pPr>
        <w:spacing w:before="0" w:after="160" w:line="259" w:lineRule="auto"/>
      </w:pPr>
      <w:r>
        <w:br w:type="page"/>
      </w:r>
    </w:p>
    <w:p w14:paraId="65FAF66C" w14:textId="0F9E6106" w:rsidR="00363123" w:rsidRDefault="00D466E8" w:rsidP="005974DF">
      <w:pPr>
        <w:pStyle w:val="Heading1"/>
      </w:pPr>
      <w:bookmarkStart w:id="39" w:name="_Toc224906868"/>
      <w:bookmarkStart w:id="40" w:name="_Toc224916500"/>
      <w:bookmarkStart w:id="41" w:name="_Toc232776341"/>
      <w:r>
        <w:lastRenderedPageBreak/>
        <w:t xml:space="preserve">Overview of </w:t>
      </w:r>
      <w:r w:rsidR="00761662">
        <w:t>climate</w:t>
      </w:r>
      <w:r w:rsidR="00782E76">
        <w:t>-</w:t>
      </w:r>
      <w:r w:rsidR="00761662">
        <w:t xml:space="preserve">related </w:t>
      </w:r>
      <w:r>
        <w:t>transition planning</w:t>
      </w:r>
      <w:bookmarkEnd w:id="39"/>
      <w:bookmarkEnd w:id="40"/>
      <w:bookmarkEnd w:id="41"/>
    </w:p>
    <w:p w14:paraId="77D86EEC" w14:textId="2E955F63" w:rsidR="00791794" w:rsidRDefault="0080785D" w:rsidP="005974DF">
      <w:pPr>
        <w:pStyle w:val="Heading2"/>
      </w:pPr>
      <w:bookmarkStart w:id="42" w:name="_Toc224906869"/>
      <w:bookmarkStart w:id="43" w:name="_Toc224916501"/>
      <w:bookmarkStart w:id="44" w:name="_Toc232776342"/>
      <w:r>
        <w:t>About</w:t>
      </w:r>
      <w:r w:rsidR="00791794">
        <w:t xml:space="preserve"> </w:t>
      </w:r>
      <w:r w:rsidR="00074D1F">
        <w:t>climate</w:t>
      </w:r>
      <w:r w:rsidR="00782E76">
        <w:t>-</w:t>
      </w:r>
      <w:r w:rsidR="00074D1F">
        <w:t xml:space="preserve">related </w:t>
      </w:r>
      <w:r w:rsidR="00791794">
        <w:t>transition planning</w:t>
      </w:r>
      <w:bookmarkEnd w:id="42"/>
      <w:bookmarkEnd w:id="43"/>
      <w:bookmarkEnd w:id="44"/>
    </w:p>
    <w:p w14:paraId="2EEC971A" w14:textId="0FD3AA50" w:rsidR="00D90BA9" w:rsidRDefault="2868F193" w:rsidP="004E6D96">
      <w:pPr>
        <w:spacing w:after="240"/>
      </w:pPr>
      <w:r>
        <w:t>Climate</w:t>
      </w:r>
      <w:r w:rsidR="00963E59">
        <w:noBreakHyphen/>
      </w:r>
      <w:r>
        <w:t>related t</w:t>
      </w:r>
      <w:r w:rsidR="002E45D6">
        <w:t>ransition</w:t>
      </w:r>
      <w:r w:rsidR="002E45D6" w:rsidRPr="002E45D6">
        <w:t xml:space="preserve"> planning is the ongoing, internal strategic process through which organisations identify, assess and respond to climate</w:t>
      </w:r>
      <w:r w:rsidR="00963E59">
        <w:noBreakHyphen/>
      </w:r>
      <w:r w:rsidR="002E45D6" w:rsidRPr="002E45D6">
        <w:t>related risks and opportunities and deliver on</w:t>
      </w:r>
      <w:r w:rsidR="001E395A">
        <w:t> </w:t>
      </w:r>
      <w:r w:rsidR="002E45D6" w:rsidRPr="002E45D6">
        <w:t>any climate ambitions</w:t>
      </w:r>
      <w:r w:rsidR="0044371B">
        <w:t xml:space="preserve">. </w:t>
      </w:r>
      <w:r w:rsidR="001F3A7F">
        <w:t xml:space="preserve">It occurs </w:t>
      </w:r>
      <w:r w:rsidR="00543449">
        <w:t>with</w:t>
      </w:r>
      <w:r w:rsidR="001F3A7F">
        <w:t>in</w:t>
      </w:r>
      <w:r w:rsidR="002E45D6" w:rsidRPr="002E45D6">
        <w:t xml:space="preserve"> the context of the economy</w:t>
      </w:r>
      <w:r w:rsidR="00963E59">
        <w:noBreakHyphen/>
      </w:r>
      <w:r w:rsidR="002E45D6" w:rsidRPr="002E45D6">
        <w:t>wide transition to net</w:t>
      </w:r>
      <w:r w:rsidR="001E395A">
        <w:t> </w:t>
      </w:r>
      <w:r w:rsidR="002E45D6" w:rsidRPr="002E45D6">
        <w:t>zero</w:t>
      </w:r>
      <w:r w:rsidR="001E395A">
        <w:t> </w:t>
      </w:r>
      <w:r w:rsidR="00AD6EB9">
        <w:t>emissions</w:t>
      </w:r>
      <w:r w:rsidR="002E45D6" w:rsidRPr="002E45D6">
        <w:t xml:space="preserve"> and</w:t>
      </w:r>
      <w:r w:rsidR="002E45D6">
        <w:t xml:space="preserve"> the</w:t>
      </w:r>
      <w:r w:rsidR="002E45D6" w:rsidRPr="002E45D6">
        <w:t xml:space="preserve"> increasing impacts from climate change</w:t>
      </w:r>
      <w:r w:rsidR="00791794">
        <w:t>.</w:t>
      </w:r>
    </w:p>
    <w:p w14:paraId="23716672" w14:textId="40E8A8DE" w:rsidR="007915AC" w:rsidRDefault="00791794" w:rsidP="004E6D96">
      <w:pPr>
        <w:spacing w:after="240"/>
      </w:pPr>
      <w:r>
        <w:t>C</w:t>
      </w:r>
      <w:r w:rsidRPr="00B766BE">
        <w:t>limate</w:t>
      </w:r>
      <w:r w:rsidR="00963E59">
        <w:noBreakHyphen/>
      </w:r>
      <w:r w:rsidRPr="00B766BE">
        <w:t>related transition plan</w:t>
      </w:r>
      <w:r>
        <w:t xml:space="preserve">ning </w:t>
      </w:r>
      <w:r w:rsidRPr="00B766BE">
        <w:t xml:space="preserve">focuses </w:t>
      </w:r>
      <w:r w:rsidR="008B24A2">
        <w:t>primaril</w:t>
      </w:r>
      <w:r w:rsidR="00DB1809">
        <w:t>y</w:t>
      </w:r>
      <w:r w:rsidRPr="00B766BE">
        <w:t xml:space="preserve"> on </w:t>
      </w:r>
      <w:r w:rsidR="000E03A1">
        <w:t xml:space="preserve">the organisational response and </w:t>
      </w:r>
      <w:r>
        <w:t>planning to</w:t>
      </w:r>
      <w:r w:rsidRPr="00B766BE">
        <w:t xml:space="preserve"> adjust </w:t>
      </w:r>
      <w:r>
        <w:t>their</w:t>
      </w:r>
      <w:r w:rsidRPr="00B766BE">
        <w:t xml:space="preserve"> strategy, business model, targets and resources. </w:t>
      </w:r>
      <w:hyperlink w:anchor="BOX4" w:history="1">
        <w:r w:rsidR="007E6A04" w:rsidRPr="00EF1931">
          <w:rPr>
            <w:rStyle w:val="Hyperlink"/>
          </w:rPr>
          <w:t>Box 4</w:t>
        </w:r>
      </w:hyperlink>
      <w:r w:rsidR="00183D06">
        <w:t xml:space="preserve"> </w:t>
      </w:r>
      <w:r w:rsidR="00AE7C1F">
        <w:t>explains</w:t>
      </w:r>
      <w:r w:rsidR="004839D6">
        <w:t xml:space="preserve"> why transition planning matters</w:t>
      </w:r>
      <w:r w:rsidR="00183D06">
        <w:t>.</w:t>
      </w:r>
    </w:p>
    <w:tbl>
      <w:tblPr>
        <w:tblW w:w="5000" w:type="pct"/>
        <w:shd w:val="clear" w:color="auto" w:fill="E3EDE8"/>
        <w:tblCellMar>
          <w:top w:w="227" w:type="dxa"/>
          <w:left w:w="227" w:type="dxa"/>
          <w:bottom w:w="227" w:type="dxa"/>
          <w:right w:w="227" w:type="dxa"/>
        </w:tblCellMar>
        <w:tblLook w:val="0620" w:firstRow="1" w:lastRow="0" w:firstColumn="0" w:lastColumn="0" w:noHBand="1" w:noVBand="1"/>
      </w:tblPr>
      <w:tblGrid>
        <w:gridCol w:w="9070"/>
      </w:tblGrid>
      <w:tr w:rsidR="005974DF" w:rsidRPr="00963E59" w14:paraId="3DCD1FD8" w14:textId="77777777" w:rsidTr="00460C3E">
        <w:tc>
          <w:tcPr>
            <w:tcW w:w="5000" w:type="pct"/>
            <w:shd w:val="clear" w:color="auto" w:fill="E3EDE8"/>
            <w:hideMark/>
          </w:tcPr>
          <w:p w14:paraId="5327DBD4" w14:textId="79035434" w:rsidR="005974DF" w:rsidRPr="00963E59" w:rsidRDefault="005974DF" w:rsidP="00E964D5">
            <w:pPr>
              <w:pStyle w:val="BoxHeading"/>
            </w:pPr>
            <w:bookmarkStart w:id="45" w:name="BOX4"/>
            <w:bookmarkStart w:id="46" w:name="_Toc237351134"/>
            <w:bookmarkStart w:id="47" w:name="_Toc233287100"/>
            <w:bookmarkEnd w:id="45"/>
            <w:r w:rsidRPr="00963E59">
              <w:t xml:space="preserve">Box </w:t>
            </w:r>
            <w:r w:rsidR="00786BF8" w:rsidRPr="00963E59">
              <w:t>4</w:t>
            </w:r>
            <w:r w:rsidR="00837760" w:rsidRPr="00963E59">
              <w:t>.</w:t>
            </w:r>
            <w:r w:rsidRPr="00963E59">
              <w:t xml:space="preserve"> Why transition planning matters</w:t>
            </w:r>
            <w:bookmarkEnd w:id="46"/>
            <w:bookmarkEnd w:id="47"/>
          </w:p>
          <w:p w14:paraId="18DDD441" w14:textId="220FAA07" w:rsidR="005974DF" w:rsidRPr="00963E59" w:rsidRDefault="00051EA1" w:rsidP="005974DF">
            <w:pPr>
              <w:pStyle w:val="BoxText"/>
              <w:spacing w:before="0"/>
              <w:rPr>
                <w:szCs w:val="22"/>
              </w:rPr>
            </w:pPr>
            <w:r w:rsidRPr="00963E59">
              <w:rPr>
                <w:szCs w:val="22"/>
              </w:rPr>
              <w:t>T</w:t>
            </w:r>
            <w:r w:rsidR="005974DF" w:rsidRPr="00963E59">
              <w:rPr>
                <w:szCs w:val="22"/>
              </w:rPr>
              <w:t>ransition planning is a voluntary process in Australia</w:t>
            </w:r>
            <w:r w:rsidRPr="00963E59">
              <w:rPr>
                <w:szCs w:val="22"/>
              </w:rPr>
              <w:t xml:space="preserve"> but</w:t>
            </w:r>
            <w:r w:rsidR="005974DF" w:rsidRPr="00963E59">
              <w:rPr>
                <w:szCs w:val="22"/>
              </w:rPr>
              <w:t xml:space="preserve"> </w:t>
            </w:r>
            <w:r w:rsidRPr="00963E59">
              <w:rPr>
                <w:szCs w:val="22"/>
              </w:rPr>
              <w:t>there are</w:t>
            </w:r>
            <w:r w:rsidR="005974DF" w:rsidRPr="00963E59">
              <w:rPr>
                <w:szCs w:val="22"/>
              </w:rPr>
              <w:t xml:space="preserve"> strong reasons to undertake it</w:t>
            </w:r>
            <w:r w:rsidRPr="00963E59">
              <w:rPr>
                <w:szCs w:val="22"/>
              </w:rPr>
              <w:t>, such as</w:t>
            </w:r>
            <w:r w:rsidR="005974DF" w:rsidRPr="00963E59">
              <w:rPr>
                <w:szCs w:val="22"/>
              </w:rPr>
              <w:t>:</w:t>
            </w:r>
          </w:p>
          <w:p w14:paraId="11247C83" w14:textId="0C469A76" w:rsidR="005974DF" w:rsidRPr="00963E59" w:rsidRDefault="002C3758" w:rsidP="00DB6514">
            <w:pPr>
              <w:pStyle w:val="Boxbullet"/>
            </w:pPr>
            <w:r w:rsidRPr="00963E59">
              <w:t>r</w:t>
            </w:r>
            <w:r w:rsidR="005974DF" w:rsidRPr="00963E59">
              <w:t>esponding to climate-related risks and opportunities</w:t>
            </w:r>
          </w:p>
          <w:p w14:paraId="3FC95839" w14:textId="73D41DF3" w:rsidR="005974DF" w:rsidRPr="00963E59" w:rsidRDefault="002C3758" w:rsidP="00DB6514">
            <w:pPr>
              <w:pStyle w:val="Boxbullet"/>
            </w:pPr>
            <w:r w:rsidRPr="00963E59">
              <w:t>s</w:t>
            </w:r>
            <w:r w:rsidR="005974DF" w:rsidRPr="00963E59">
              <w:t>upporting long-term profitability, value creation and finance</w:t>
            </w:r>
            <w:r w:rsidR="00AE12F9" w:rsidRPr="00963E59">
              <w:t xml:space="preserve"> attraction</w:t>
            </w:r>
          </w:p>
          <w:p w14:paraId="2A4A6A1C" w14:textId="489E0FBE" w:rsidR="005974DF" w:rsidRPr="00963E59" w:rsidRDefault="002C3758" w:rsidP="00DB6514">
            <w:pPr>
              <w:pStyle w:val="Boxbullet"/>
            </w:pPr>
            <w:r w:rsidRPr="00963E59">
              <w:t>r</w:t>
            </w:r>
            <w:r w:rsidR="005974DF" w:rsidRPr="00963E59">
              <w:t xml:space="preserve">ealising climate-related goals and commitments </w:t>
            </w:r>
          </w:p>
          <w:p w14:paraId="03D58121" w14:textId="1BFFCD37" w:rsidR="005974DF" w:rsidRPr="00963E59" w:rsidRDefault="002C3758" w:rsidP="00DB6514">
            <w:pPr>
              <w:pStyle w:val="Boxbullet"/>
            </w:pPr>
            <w:r w:rsidRPr="00963E59">
              <w:t>m</w:t>
            </w:r>
            <w:r w:rsidR="005974DF" w:rsidRPr="00963E59">
              <w:t xml:space="preserve">eeting expectations or requests from external stakeholders, such as investors or lenders </w:t>
            </w:r>
          </w:p>
          <w:p w14:paraId="30C77102" w14:textId="31D79157" w:rsidR="005974DF" w:rsidRPr="00963E59" w:rsidRDefault="002C3758" w:rsidP="00DB6514">
            <w:pPr>
              <w:pStyle w:val="Boxbullet"/>
            </w:pPr>
            <w:r w:rsidRPr="00963E59">
              <w:t>a</w:t>
            </w:r>
            <w:r w:rsidR="005974DF" w:rsidRPr="00963E59">
              <w:t>rticulating how the business model is being orientated towards a net zero economy.</w:t>
            </w:r>
          </w:p>
          <w:p w14:paraId="6E471F08" w14:textId="77777777" w:rsidR="005974DF" w:rsidRPr="00963E59" w:rsidRDefault="005974DF" w:rsidP="00AF357A">
            <w:pPr>
              <w:pStyle w:val="BoxText"/>
              <w:spacing w:before="240"/>
              <w:rPr>
                <w:b/>
                <w:bCs/>
                <w:color w:val="2C384A" w:themeColor="accent1"/>
              </w:rPr>
            </w:pPr>
            <w:r w:rsidRPr="00963E59">
              <w:rPr>
                <w:b/>
                <w:bCs/>
              </w:rPr>
              <w:t>What are climate-related risks and opportunities?</w:t>
            </w:r>
          </w:p>
          <w:p w14:paraId="159CDFB8" w14:textId="77777777" w:rsidR="001C5268" w:rsidRPr="00963E59" w:rsidRDefault="00DF17BD" w:rsidP="00DB6514">
            <w:pPr>
              <w:pStyle w:val="Boxbullet"/>
            </w:pPr>
            <w:r w:rsidRPr="00DB6514">
              <w:rPr>
                <w:b/>
                <w:bCs/>
              </w:rPr>
              <w:t>Climate-related risks</w:t>
            </w:r>
            <w:r w:rsidRPr="00963E59">
              <w:t xml:space="preserve"> refer to the potential negative effects of climate change on an entity. </w:t>
            </w:r>
          </w:p>
          <w:p w14:paraId="4FE3AD2C" w14:textId="77777777" w:rsidR="00DD30E8" w:rsidRPr="00963E59" w:rsidRDefault="005974DF" w:rsidP="00AF357A">
            <w:pPr>
              <w:pStyle w:val="Boxdash"/>
              <w:tabs>
                <w:tab w:val="clear" w:pos="1040"/>
                <w:tab w:val="num" w:pos="567"/>
              </w:tabs>
              <w:spacing w:after="120" w:line="240" w:lineRule="auto"/>
            </w:pPr>
            <w:r w:rsidRPr="00963E59">
              <w:rPr>
                <w:b/>
              </w:rPr>
              <w:t xml:space="preserve">Transition risks </w:t>
            </w:r>
            <w:r w:rsidRPr="00963E59">
              <w:t xml:space="preserve">arise from efforts to transition to a lower-carbon economy including policy, legal, technological, market and reputational risks. </w:t>
            </w:r>
          </w:p>
          <w:p w14:paraId="397E76C9" w14:textId="35FE15A5" w:rsidR="005974DF" w:rsidRPr="00963E59" w:rsidRDefault="005974DF" w:rsidP="00AF357A">
            <w:pPr>
              <w:pStyle w:val="Boxdash"/>
              <w:tabs>
                <w:tab w:val="clear" w:pos="1040"/>
                <w:tab w:val="num" w:pos="567"/>
              </w:tabs>
              <w:spacing w:after="120" w:line="240" w:lineRule="auto"/>
            </w:pPr>
            <w:r w:rsidRPr="00963E59">
              <w:rPr>
                <w:b/>
              </w:rPr>
              <w:t>Physical risks</w:t>
            </w:r>
            <w:r w:rsidRPr="00963E59">
              <w:t xml:space="preserve"> result from climate change that can be event-driven (acute) or from longer-</w:t>
            </w:r>
            <w:r w:rsidR="00782E76">
              <w:t>‍</w:t>
            </w:r>
            <w:r w:rsidRPr="00963E59">
              <w:t xml:space="preserve">term shifts in climatic patterns (chronic). </w:t>
            </w:r>
          </w:p>
          <w:p w14:paraId="24FA9FB1" w14:textId="31116FAF" w:rsidR="005974DF" w:rsidRPr="00963E59" w:rsidRDefault="005974DF" w:rsidP="00DB6514">
            <w:pPr>
              <w:pStyle w:val="Boxbullet"/>
              <w:rPr>
                <w:lang w:eastAsia="en-US"/>
              </w:rPr>
            </w:pPr>
            <w:r w:rsidRPr="00963E59">
              <w:t xml:space="preserve">Climate-related </w:t>
            </w:r>
            <w:r w:rsidRPr="00DB6514">
              <w:rPr>
                <w:b/>
              </w:rPr>
              <w:t>opportunities</w:t>
            </w:r>
            <w:r w:rsidRPr="00963E59">
              <w:t xml:space="preserve"> refer to the potential positive effects arising from the transition to a lower-emissions and climate-resilient economy, including resource efficiency and cost savings, changes in markets and customer demand, access to new markets, and the development of new products, services or business models.</w:t>
            </w:r>
            <w:r w:rsidR="00BF752A" w:rsidRPr="00963E59">
              <w:t xml:space="preserve"> For example, </w:t>
            </w:r>
            <w:r w:rsidR="0070779B" w:rsidRPr="00963E59">
              <w:t xml:space="preserve">a </w:t>
            </w:r>
            <w:r w:rsidR="007066A0" w:rsidRPr="00963E59">
              <w:t>facility</w:t>
            </w:r>
            <w:r w:rsidR="00D77E8D" w:rsidRPr="00963E59">
              <w:t xml:space="preserve"> </w:t>
            </w:r>
            <w:r w:rsidR="78682BDC" w:rsidRPr="00963E59">
              <w:t xml:space="preserve">might </w:t>
            </w:r>
            <w:r w:rsidR="00AE4A51" w:rsidRPr="00963E59">
              <w:t>identif</w:t>
            </w:r>
            <w:r w:rsidR="048F9C74" w:rsidRPr="00963E59">
              <w:t>y</w:t>
            </w:r>
            <w:r w:rsidR="00AE4A51" w:rsidRPr="00963E59">
              <w:t xml:space="preserve"> potential for reduced </w:t>
            </w:r>
            <w:r w:rsidR="0070779B" w:rsidRPr="00963E59">
              <w:t xml:space="preserve">energy </w:t>
            </w:r>
            <w:r w:rsidR="00BF752A" w:rsidRPr="00963E59">
              <w:t xml:space="preserve">costs </w:t>
            </w:r>
            <w:r w:rsidR="0021102F" w:rsidRPr="00963E59">
              <w:t xml:space="preserve">and </w:t>
            </w:r>
            <w:r w:rsidR="00AE4A51" w:rsidRPr="00963E59">
              <w:t xml:space="preserve">greater </w:t>
            </w:r>
            <w:r w:rsidR="0041782B" w:rsidRPr="00963E59">
              <w:t xml:space="preserve">operational </w:t>
            </w:r>
            <w:r w:rsidR="00106477" w:rsidRPr="00963E59">
              <w:t xml:space="preserve">resilience </w:t>
            </w:r>
            <w:r w:rsidR="00D77E8D" w:rsidRPr="00963E59">
              <w:t xml:space="preserve">through </w:t>
            </w:r>
            <w:r w:rsidR="00A024F3" w:rsidRPr="00963E59">
              <w:t xml:space="preserve">energy efficiency and demand-flexibility upgrades, </w:t>
            </w:r>
            <w:r w:rsidR="007B7A43" w:rsidRPr="00963E59">
              <w:t>together with</w:t>
            </w:r>
            <w:r w:rsidR="00A024F3" w:rsidRPr="00963E59">
              <w:t xml:space="preserve"> </w:t>
            </w:r>
            <w:r w:rsidR="00AA5777" w:rsidRPr="00963E59">
              <w:t>installing</w:t>
            </w:r>
            <w:r w:rsidR="00DF712C" w:rsidRPr="00963E59">
              <w:t xml:space="preserve"> </w:t>
            </w:r>
            <w:r w:rsidR="00701DC4" w:rsidRPr="00963E59">
              <w:t>onsite</w:t>
            </w:r>
            <w:r w:rsidR="00BF752A" w:rsidRPr="00963E59">
              <w:t xml:space="preserve"> solar</w:t>
            </w:r>
            <w:r w:rsidR="0070779B" w:rsidRPr="00963E59">
              <w:t>.</w:t>
            </w:r>
          </w:p>
        </w:tc>
      </w:tr>
    </w:tbl>
    <w:p w14:paraId="014B7372" w14:textId="77777777" w:rsidR="005974DF" w:rsidRPr="005974DF" w:rsidRDefault="005974DF" w:rsidP="005974DF">
      <w:pPr>
        <w:pStyle w:val="SingleParagraph"/>
      </w:pPr>
    </w:p>
    <w:p w14:paraId="578929D4" w14:textId="583A0C84" w:rsidR="00BD5D25" w:rsidRDefault="00791794" w:rsidP="005974DF">
      <w:r>
        <w:t>E</w:t>
      </w:r>
      <w:r w:rsidR="00B766BE" w:rsidRPr="00B766BE">
        <w:t>ffective</w:t>
      </w:r>
      <w:r w:rsidR="00FA49EE">
        <w:t xml:space="preserve"> transition planning</w:t>
      </w:r>
      <w:r w:rsidR="00B766BE" w:rsidRPr="00B766BE">
        <w:t xml:space="preserve"> </w:t>
      </w:r>
      <w:r w:rsidR="00236657">
        <w:t>benefits</w:t>
      </w:r>
      <w:r w:rsidR="00B766BE" w:rsidRPr="00B766BE">
        <w:t xml:space="preserve"> </w:t>
      </w:r>
      <w:r w:rsidR="00F55B76">
        <w:t xml:space="preserve">from </w:t>
      </w:r>
      <w:r w:rsidR="00B766BE" w:rsidRPr="00B766BE">
        <w:t>consider</w:t>
      </w:r>
      <w:r w:rsidR="00E15591">
        <w:t>ing</w:t>
      </w:r>
      <w:r w:rsidR="00B766BE" w:rsidRPr="00B766BE">
        <w:t xml:space="preserve"> </w:t>
      </w:r>
      <w:r w:rsidR="00023695">
        <w:t xml:space="preserve">responses to </w:t>
      </w:r>
      <w:r w:rsidR="00B766BE" w:rsidRPr="00B07344">
        <w:t>physical climate risks</w:t>
      </w:r>
      <w:r w:rsidR="00B6017E">
        <w:t xml:space="preserve"> </w:t>
      </w:r>
      <w:r w:rsidR="00C26FB0">
        <w:t xml:space="preserve">through adaptation actions, </w:t>
      </w:r>
      <w:r w:rsidR="00B6017E">
        <w:t xml:space="preserve">alongside </w:t>
      </w:r>
      <w:r w:rsidR="00D41836">
        <w:t xml:space="preserve">responses to </w:t>
      </w:r>
      <w:r w:rsidR="00B766BE" w:rsidRPr="00B766BE">
        <w:t xml:space="preserve">transition </w:t>
      </w:r>
      <w:r w:rsidR="00D41836">
        <w:t>risks</w:t>
      </w:r>
      <w:r w:rsidR="00C26FB0">
        <w:t xml:space="preserve"> through mitigation actions</w:t>
      </w:r>
      <w:r w:rsidR="00B766BE" w:rsidRPr="00B766BE">
        <w:t>.</w:t>
      </w:r>
      <w:r w:rsidR="00183083">
        <w:t xml:space="preserve"> This is recognised </w:t>
      </w:r>
      <w:r w:rsidR="00E651EB">
        <w:t xml:space="preserve">in international resources such as </w:t>
      </w:r>
      <w:r w:rsidR="00183083">
        <w:t xml:space="preserve">the Network for Greening the Financial System </w:t>
      </w:r>
      <w:hyperlink r:id="rId51" w:history="1">
        <w:r w:rsidR="00183083" w:rsidRPr="005D583B">
          <w:rPr>
            <w:rStyle w:val="Hyperlink"/>
          </w:rPr>
          <w:t>report</w:t>
        </w:r>
      </w:hyperlink>
      <w:r w:rsidR="00183083">
        <w:t xml:space="preserve"> on </w:t>
      </w:r>
      <w:r w:rsidR="00183083" w:rsidRPr="00D73DD0">
        <w:t>Integrating adaptation and resilience into transition plans</w:t>
      </w:r>
      <w:r w:rsidR="00183D06">
        <w:t>.</w:t>
      </w:r>
      <w:r w:rsidR="00F5788E" w:rsidRPr="00E63C26">
        <w:rPr>
          <w:rStyle w:val="FootnoteReference"/>
        </w:rPr>
        <w:endnoteReference w:id="27"/>
      </w:r>
    </w:p>
    <w:p w14:paraId="59A0EEDB" w14:textId="4B27E4A9" w:rsidR="00B766BE" w:rsidRDefault="008D0432" w:rsidP="00F74B81">
      <w:pPr>
        <w:keepNext/>
        <w:keepLines/>
      </w:pPr>
      <w:r>
        <w:lastRenderedPageBreak/>
        <w:t xml:space="preserve">The </w:t>
      </w:r>
      <w:hyperlink r:id="rId52" w:history="1">
        <w:r w:rsidR="001A3D48" w:rsidRPr="00EF1931">
          <w:rPr>
            <w:rStyle w:val="Hyperlink"/>
          </w:rPr>
          <w:t>National Climate Risk Assessment</w:t>
        </w:r>
      </w:hyperlink>
      <w:r w:rsidDel="004D4EF6">
        <w:t xml:space="preserve"> </w:t>
      </w:r>
      <w:r>
        <w:t xml:space="preserve">highlights </w:t>
      </w:r>
      <w:r w:rsidR="00BF6297">
        <w:t xml:space="preserve">climate change </w:t>
      </w:r>
      <w:r w:rsidR="00B00D21">
        <w:t>a</w:t>
      </w:r>
      <w:r w:rsidR="00BF6297">
        <w:t xml:space="preserve">s posing risks to </w:t>
      </w:r>
      <w:r w:rsidR="009C5FF5">
        <w:t>Australia</w:t>
      </w:r>
      <w:r w:rsidR="00963E59">
        <w:t>’</w:t>
      </w:r>
      <w:r w:rsidR="009C5FF5">
        <w:t>s key</w:t>
      </w:r>
      <w:r w:rsidR="00B9446B">
        <w:t> </w:t>
      </w:r>
      <w:r w:rsidR="009C5FF5">
        <w:t>systems</w:t>
      </w:r>
      <w:r w:rsidR="00F5508E">
        <w:t>, so considering physical risks will be relevant to many organisations</w:t>
      </w:r>
      <w:r w:rsidR="009C5FF5">
        <w:t>.</w:t>
      </w:r>
      <w:r w:rsidR="00B766BE" w:rsidRPr="00B766BE">
        <w:t xml:space="preserve"> Physical risks can materially affect the feasibility, timing and effectiveness of transition actions. </w:t>
      </w:r>
      <w:r w:rsidR="00CB2530">
        <w:t>Not considering</w:t>
      </w:r>
      <w:r w:rsidR="00B766BE" w:rsidRPr="00B766BE">
        <w:t xml:space="preserve"> physical risks when develop</w:t>
      </w:r>
      <w:r w:rsidR="00B766BE">
        <w:t>ing</w:t>
      </w:r>
      <w:r w:rsidR="00B766BE" w:rsidRPr="00B766BE">
        <w:t xml:space="preserve"> transition pathways could result in strategies that </w:t>
      </w:r>
      <w:r w:rsidR="7FA8B656">
        <w:t>may be</w:t>
      </w:r>
      <w:r w:rsidR="00B766BE" w:rsidRPr="00B766BE">
        <w:t xml:space="preserve"> aligned with decarbonisation objectives but </w:t>
      </w:r>
      <w:r w:rsidR="009C53B5">
        <w:t xml:space="preserve">are </w:t>
      </w:r>
      <w:r w:rsidR="00B766BE" w:rsidRPr="00B766BE">
        <w:t xml:space="preserve">unrealistic or unachievable under </w:t>
      </w:r>
      <w:r w:rsidR="00D65927">
        <w:t xml:space="preserve">current and </w:t>
      </w:r>
      <w:r w:rsidR="00B766BE" w:rsidRPr="00B766BE">
        <w:t>future climate conditions</w:t>
      </w:r>
      <w:r w:rsidR="00D73DD0">
        <w:t xml:space="preserve">. </w:t>
      </w:r>
    </w:p>
    <w:p w14:paraId="70DB22DC" w14:textId="1925C056" w:rsidR="006C2301" w:rsidRPr="00B766BE" w:rsidRDefault="006C2301" w:rsidP="005974DF">
      <w:r>
        <w:t xml:space="preserve">Transition planning can be challenging due to uncertainties such as data gaps, reliance on future technologies, and policy developments. </w:t>
      </w:r>
      <w:r w:rsidR="009B645E">
        <w:t xml:space="preserve">Progress can be supported by weighing the impacts of action and inaction, taking an iterative approach, and focusing on </w:t>
      </w:r>
      <w:r w:rsidR="00963E59">
        <w:t>‘</w:t>
      </w:r>
      <w:r w:rsidR="009B645E">
        <w:t>no</w:t>
      </w:r>
      <w:r w:rsidR="00963E59">
        <w:noBreakHyphen/>
      </w:r>
      <w:r w:rsidR="009B645E">
        <w:t>regrets</w:t>
      </w:r>
      <w:r w:rsidR="00963E59">
        <w:t>’</w:t>
      </w:r>
      <w:r w:rsidR="009B645E">
        <w:t xml:space="preserve"> actions.</w:t>
      </w:r>
    </w:p>
    <w:p w14:paraId="0DF81BB5" w14:textId="1CDF453C" w:rsidR="00B766BE" w:rsidRDefault="009B645E" w:rsidP="005974DF">
      <w:r>
        <w:t xml:space="preserve">For this </w:t>
      </w:r>
      <w:r w:rsidR="00D73745">
        <w:t>reason, it</w:t>
      </w:r>
      <w:r>
        <w:t xml:space="preserve"> </w:t>
      </w:r>
      <w:r w:rsidR="00B766BE" w:rsidRPr="00B766BE">
        <w:t>is</w:t>
      </w:r>
      <w:r w:rsidR="00812854">
        <w:t xml:space="preserve"> most effective when it</w:t>
      </w:r>
      <w:r w:rsidR="00B766BE" w:rsidRPr="00B766BE">
        <w:t xml:space="preserve"> is an ongoing, iterative process embedded within an</w:t>
      </w:r>
      <w:r w:rsidR="00F807C9">
        <w:t> </w:t>
      </w:r>
      <w:r w:rsidR="00B766BE" w:rsidRPr="00B766BE">
        <w:t>organisation</w:t>
      </w:r>
      <w:r w:rsidR="00963E59">
        <w:t>’</w:t>
      </w:r>
      <w:r w:rsidR="00B766BE" w:rsidRPr="00B766BE">
        <w:t xml:space="preserve">s broader business strategy and risk management framework. </w:t>
      </w:r>
    </w:p>
    <w:p w14:paraId="2337469D" w14:textId="619EBDD1" w:rsidR="00EA28D7" w:rsidRDefault="00EA28D7" w:rsidP="005974DF">
      <w:pPr>
        <w:rPr>
          <w:szCs w:val="22"/>
        </w:rPr>
      </w:pPr>
      <w:r w:rsidRPr="00D73DD0">
        <w:t>Organisations can consider the</w:t>
      </w:r>
      <w:r>
        <w:t xml:space="preserve">se </w:t>
      </w:r>
      <w:r w:rsidR="004F2499">
        <w:t>three</w:t>
      </w:r>
      <w:r>
        <w:t xml:space="preserve"> </w:t>
      </w:r>
      <w:r w:rsidRPr="00D73DD0">
        <w:t xml:space="preserve">principles to start transition </w:t>
      </w:r>
      <w:r w:rsidRPr="0044078F">
        <w:rPr>
          <w:szCs w:val="22"/>
        </w:rPr>
        <w:t>planning</w:t>
      </w:r>
      <w:r>
        <w:rPr>
          <w:szCs w:val="22"/>
        </w:rPr>
        <w:t>. These principles have</w:t>
      </w:r>
      <w:r w:rsidR="00F74B81">
        <w:rPr>
          <w:szCs w:val="22"/>
        </w:rPr>
        <w:t> </w:t>
      </w:r>
      <w:r>
        <w:rPr>
          <w:szCs w:val="22"/>
        </w:rPr>
        <w:t>been</w:t>
      </w:r>
      <w:r w:rsidRPr="0044078F">
        <w:rPr>
          <w:szCs w:val="22"/>
        </w:rPr>
        <w:t xml:space="preserve"> a</w:t>
      </w:r>
      <w:r w:rsidRPr="003B016D">
        <w:rPr>
          <w:szCs w:val="22"/>
        </w:rPr>
        <w:t xml:space="preserve">dapted from Australian Institute of Company Directors and Australian Council of Superannuation Investors, </w:t>
      </w:r>
      <w:hyperlink r:id="rId53" w:history="1">
        <w:r w:rsidRPr="003B016D">
          <w:rPr>
            <w:rStyle w:val="Hyperlink"/>
            <w:szCs w:val="22"/>
          </w:rPr>
          <w:t>Governing for Net Zero: The board</w:t>
        </w:r>
        <w:r w:rsidR="00963E59">
          <w:rPr>
            <w:rStyle w:val="Hyperlink"/>
            <w:szCs w:val="22"/>
          </w:rPr>
          <w:t>’</w:t>
        </w:r>
        <w:r w:rsidRPr="003B016D">
          <w:rPr>
            <w:rStyle w:val="Hyperlink"/>
            <w:szCs w:val="22"/>
          </w:rPr>
          <w:t>s role in organisational transition</w:t>
        </w:r>
        <w:r w:rsidR="00F74B81">
          <w:rPr>
            <w:rStyle w:val="Hyperlink"/>
            <w:szCs w:val="22"/>
          </w:rPr>
          <w:t> </w:t>
        </w:r>
        <w:r w:rsidRPr="003B016D">
          <w:rPr>
            <w:rStyle w:val="Hyperlink"/>
            <w:szCs w:val="22"/>
          </w:rPr>
          <w:t>planning</w:t>
        </w:r>
      </w:hyperlink>
      <w:r w:rsidRPr="003B016D">
        <w:rPr>
          <w:szCs w:val="22"/>
        </w:rPr>
        <w:t>.</w:t>
      </w:r>
    </w:p>
    <w:p w14:paraId="54E14D88" w14:textId="74568ECD" w:rsidR="00A02AD1" w:rsidRPr="00CE19ED" w:rsidRDefault="00A02AD1" w:rsidP="00CE19ED">
      <w:pPr>
        <w:pStyle w:val="OutlineNumbered1"/>
        <w:ind w:left="397" w:hanging="397"/>
        <w:rPr>
          <w:b/>
          <w:bCs/>
        </w:rPr>
      </w:pPr>
      <w:r w:rsidRPr="00CE19ED">
        <w:rPr>
          <w:b/>
          <w:bCs/>
        </w:rPr>
        <w:t>Embed transition planning in core business strategy</w:t>
      </w:r>
      <w:r w:rsidR="00CE19ED">
        <w:rPr>
          <w:b/>
          <w:bCs/>
        </w:rPr>
        <w:br/>
      </w:r>
      <w:r w:rsidRPr="00A02AD1">
        <w:t>Transition planning that is embedded into core business strategy, clearly aligned with the organisation</w:t>
      </w:r>
      <w:r w:rsidR="00963E59">
        <w:t>’</w:t>
      </w:r>
      <w:r w:rsidRPr="00A02AD1">
        <w:t>s goals, and reflected in budgets and operations, can help ensure ambitions and actions are achievable. Transition planning embedded in strategic decision</w:t>
      </w:r>
      <w:r w:rsidR="00963E59">
        <w:noBreakHyphen/>
      </w:r>
      <w:r w:rsidRPr="00A02AD1">
        <w:t>making and involving oversight from financial decision makers can support success.</w:t>
      </w:r>
    </w:p>
    <w:p w14:paraId="513C16FB" w14:textId="5E74F180" w:rsidR="00A02AD1" w:rsidRPr="00CE19ED" w:rsidRDefault="00A02AD1" w:rsidP="00CE19ED">
      <w:pPr>
        <w:pStyle w:val="OutlineNumbered1"/>
        <w:ind w:left="397" w:hanging="397"/>
        <w:rPr>
          <w:b/>
          <w:bCs/>
        </w:rPr>
      </w:pPr>
      <w:r w:rsidRPr="00A02AD1">
        <w:rPr>
          <w:b/>
          <w:bCs/>
        </w:rPr>
        <w:t>Balance ambition with reality</w:t>
      </w:r>
      <w:r w:rsidR="00CE19ED">
        <w:rPr>
          <w:b/>
          <w:bCs/>
        </w:rPr>
        <w:br/>
      </w:r>
      <w:r w:rsidRPr="00A02AD1">
        <w:t>Transition planning ambitions can be balanced with what is realistic given the organisation</w:t>
      </w:r>
      <w:r w:rsidR="00963E59">
        <w:t>’</w:t>
      </w:r>
      <w:r w:rsidRPr="00A02AD1">
        <w:t>s financial capital, technology readiness, operational resources and broader policy and economic environment. Overly ambitious but impractical goals can undermine how achievable and credible they are. Less experienced organisations can still take initial steps to assess their current position and develop simpler ambitions, actions and targets. Over time, they can improve on the level of detail and ambition of their strategic ambitions and actions as their internal capabilities grow.</w:t>
      </w:r>
    </w:p>
    <w:p w14:paraId="6DB904E0" w14:textId="65CB90C6" w:rsidR="00A02AD1" w:rsidRPr="00CE19ED" w:rsidRDefault="00A02AD1" w:rsidP="00CE19ED">
      <w:pPr>
        <w:pStyle w:val="OutlineNumbered1"/>
        <w:ind w:left="397" w:hanging="397"/>
        <w:rPr>
          <w:b/>
          <w:bCs/>
        </w:rPr>
      </w:pPr>
      <w:r>
        <w:rPr>
          <w:b/>
          <w:bCs/>
        </w:rPr>
        <w:t>Keep return on investment as central</w:t>
      </w:r>
      <w:r w:rsidR="00CE19ED">
        <w:rPr>
          <w:b/>
          <w:bCs/>
        </w:rPr>
        <w:br/>
      </w:r>
      <w:r w:rsidR="00DC4910" w:rsidRPr="00CE19ED">
        <w:rPr>
          <w:bCs/>
        </w:rPr>
        <w:t>F</w:t>
      </w:r>
      <w:r w:rsidR="00DC4910" w:rsidRPr="00A02AD1">
        <w:t xml:space="preserve">or organisations </w:t>
      </w:r>
      <w:r w:rsidR="007A3001">
        <w:t>with</w:t>
      </w:r>
      <w:r w:rsidR="007A3001" w:rsidRPr="00A02AD1">
        <w:t xml:space="preserve"> </w:t>
      </w:r>
      <w:r w:rsidR="00DC4910" w:rsidRPr="00A02AD1">
        <w:t>investors, strategic ambitions will likely need to deliver financial outcomes aligned with investor expectations</w:t>
      </w:r>
      <w:r w:rsidR="00DC4910" w:rsidRPr="00A02AD1">
        <w:rPr>
          <w:lang w:eastAsia="en-US"/>
        </w:rPr>
        <w:t>. Decision</w:t>
      </w:r>
      <w:r w:rsidR="00963E59">
        <w:noBreakHyphen/>
      </w:r>
      <w:r w:rsidR="00DC4910" w:rsidRPr="00A02AD1">
        <w:t xml:space="preserve">makers have a role in articulating the </w:t>
      </w:r>
      <w:r w:rsidR="00DC4910" w:rsidRPr="00A02AD1">
        <w:rPr>
          <w:lang w:eastAsia="en-US"/>
        </w:rPr>
        <w:t xml:space="preserve">commercial </w:t>
      </w:r>
      <w:r w:rsidR="00DC4910" w:rsidRPr="00A02AD1">
        <w:t xml:space="preserve">rationale for </w:t>
      </w:r>
      <w:r w:rsidR="00DC4910" w:rsidRPr="00A02AD1">
        <w:rPr>
          <w:lang w:eastAsia="en-US"/>
        </w:rPr>
        <w:t>transition</w:t>
      </w:r>
      <w:r w:rsidR="00963E59">
        <w:noBreakHyphen/>
      </w:r>
      <w:r w:rsidR="00DC4910" w:rsidRPr="00A02AD1">
        <w:t>related investments and how they support the organisation</w:t>
      </w:r>
      <w:r w:rsidR="00963E59">
        <w:t>’</w:t>
      </w:r>
      <w:r w:rsidR="00DC4910" w:rsidRPr="00A02AD1">
        <w:t>s long</w:t>
      </w:r>
      <w:r w:rsidR="00963E59">
        <w:noBreakHyphen/>
      </w:r>
      <w:r w:rsidR="00DC4910" w:rsidRPr="00A02AD1">
        <w:t>term resilience, competitiveness and growth.</w:t>
      </w:r>
    </w:p>
    <w:p w14:paraId="5BDF1084" w14:textId="77777777" w:rsidR="005974DF" w:rsidRDefault="005974DF">
      <w:pPr>
        <w:spacing w:before="0" w:after="160" w:line="259" w:lineRule="auto"/>
      </w:pPr>
      <w:r>
        <w:br w:type="page"/>
      </w:r>
    </w:p>
    <w:p w14:paraId="043AF62A" w14:textId="1BAD2131" w:rsidR="00FA49EE" w:rsidRPr="005974DF" w:rsidRDefault="00FA49EE" w:rsidP="005974DF">
      <w:pPr>
        <w:pStyle w:val="Heading2"/>
      </w:pPr>
      <w:bookmarkStart w:id="48" w:name="_Toc224135304"/>
      <w:bookmarkStart w:id="49" w:name="_Toc224906870"/>
      <w:bookmarkStart w:id="50" w:name="_Toc224916502"/>
      <w:bookmarkStart w:id="51" w:name="_Toc232776343"/>
      <w:r>
        <w:lastRenderedPageBreak/>
        <w:t>Approaches to transition planning</w:t>
      </w:r>
      <w:bookmarkEnd w:id="48"/>
      <w:bookmarkEnd w:id="49"/>
      <w:bookmarkEnd w:id="50"/>
      <w:bookmarkEnd w:id="51"/>
    </w:p>
    <w:p w14:paraId="024BA18F" w14:textId="19CD506C" w:rsidR="00B766BE" w:rsidRPr="00B766BE" w:rsidRDefault="00B766BE" w:rsidP="005974DF">
      <w:r w:rsidRPr="00B766BE">
        <w:t xml:space="preserve">The most appropriate approach </w:t>
      </w:r>
      <w:r w:rsidR="00ED38CD">
        <w:t>to transition planning</w:t>
      </w:r>
      <w:r w:rsidR="001C5B99">
        <w:t>, includ</w:t>
      </w:r>
      <w:r w:rsidR="002C32B8">
        <w:t>ing</w:t>
      </w:r>
      <w:r w:rsidR="001C5B99">
        <w:t xml:space="preserve"> whether and when to undertake </w:t>
      </w:r>
      <w:r w:rsidR="001A7818">
        <w:t>transition planning</w:t>
      </w:r>
      <w:r w:rsidR="001C5B99">
        <w:t>,</w:t>
      </w:r>
      <w:r w:rsidR="00ED38CD">
        <w:t xml:space="preserve"> </w:t>
      </w:r>
      <w:r w:rsidRPr="00B766BE">
        <w:t xml:space="preserve">will </w:t>
      </w:r>
      <w:r w:rsidR="00483977">
        <w:t xml:space="preserve">vary across </w:t>
      </w:r>
      <w:r w:rsidRPr="00B766BE">
        <w:t>organisation</w:t>
      </w:r>
      <w:r w:rsidR="00E32889">
        <w:t>s</w:t>
      </w:r>
      <w:r w:rsidRPr="00B766BE">
        <w:t xml:space="preserve">. Developed by </w:t>
      </w:r>
      <w:r w:rsidR="008E67C0">
        <w:t>Edge Impact</w:t>
      </w:r>
      <w:r w:rsidRPr="00B766BE">
        <w:t xml:space="preserve">, </w:t>
      </w:r>
      <w:hyperlink w:anchor="Figure2" w:history="1">
        <w:r w:rsidRPr="00EF1931">
          <w:rPr>
            <w:rStyle w:val="Hyperlink"/>
          </w:rPr>
          <w:t xml:space="preserve">Figure </w:t>
        </w:r>
        <w:r w:rsidR="00C52F0B" w:rsidRPr="00EF1931">
          <w:rPr>
            <w:rStyle w:val="Hyperlink"/>
          </w:rPr>
          <w:t>2</w:t>
        </w:r>
      </w:hyperlink>
      <w:r w:rsidRPr="00B766BE">
        <w:t xml:space="preserve"> outlines </w:t>
      </w:r>
      <w:r w:rsidR="00BC50A9">
        <w:t>three</w:t>
      </w:r>
      <w:r w:rsidRPr="00B766BE">
        <w:t xml:space="preserve"> approaches organisations may adopt</w:t>
      </w:r>
      <w:r w:rsidR="00365D89">
        <w:t xml:space="preserve"> depending on their climate </w:t>
      </w:r>
      <w:r w:rsidR="009D30E0">
        <w:t xml:space="preserve">risk </w:t>
      </w:r>
      <w:r w:rsidR="00365D89">
        <w:t>exposure</w:t>
      </w:r>
      <w:r w:rsidR="00241A57">
        <w:t>,</w:t>
      </w:r>
      <w:r w:rsidR="00365D89">
        <w:t xml:space="preserve"> and </w:t>
      </w:r>
      <w:r w:rsidR="00365D89" w:rsidDel="001C71CB">
        <w:t xml:space="preserve">value </w:t>
      </w:r>
      <w:r w:rsidR="001C71CB">
        <w:t xml:space="preserve">chain </w:t>
      </w:r>
      <w:r w:rsidR="004155DE">
        <w:t>and/or sector</w:t>
      </w:r>
      <w:r w:rsidR="001C71CB">
        <w:t xml:space="preserve"> complexity</w:t>
      </w:r>
      <w:r w:rsidR="00D81DE7">
        <w:t>.</w:t>
      </w:r>
    </w:p>
    <w:p w14:paraId="2A81A445" w14:textId="223DF32D" w:rsidR="00B766BE" w:rsidRPr="00B766BE" w:rsidRDefault="00491ED1" w:rsidP="00DB6514">
      <w:pPr>
        <w:pStyle w:val="Bullet"/>
      </w:pPr>
      <w:r>
        <w:rPr>
          <w:b/>
          <w:bCs/>
        </w:rPr>
        <w:t>Focus on</w:t>
      </w:r>
      <w:r w:rsidR="00B766BE" w:rsidRPr="00B766BE">
        <w:rPr>
          <w:b/>
          <w:bCs/>
        </w:rPr>
        <w:t xml:space="preserve"> fundamentals</w:t>
      </w:r>
      <w:r w:rsidR="005F0C45">
        <w:rPr>
          <w:b/>
          <w:bCs/>
        </w:rPr>
        <w:t xml:space="preserve"> </w:t>
      </w:r>
      <w:r w:rsidR="005F0C45" w:rsidRPr="00AF357A">
        <w:t>(</w:t>
      </w:r>
      <w:r w:rsidR="005F0C45" w:rsidRPr="00F051E7">
        <w:t xml:space="preserve">Low </w:t>
      </w:r>
      <w:r w:rsidR="00E94C68" w:rsidRPr="00F051E7">
        <w:t xml:space="preserve">climate risk </w:t>
      </w:r>
      <w:r w:rsidR="005F0C45" w:rsidRPr="00F051E7">
        <w:t>exposure | Low complexity)</w:t>
      </w:r>
      <w:r w:rsidR="00B766BE" w:rsidRPr="00B766BE">
        <w:rPr>
          <w:b/>
          <w:bCs/>
        </w:rPr>
        <w:t>:</w:t>
      </w:r>
      <w:r w:rsidR="00B766BE" w:rsidRPr="00B766BE">
        <w:t xml:space="preserve"> a credible, principles</w:t>
      </w:r>
      <w:r w:rsidR="00963E59">
        <w:noBreakHyphen/>
      </w:r>
      <w:r w:rsidR="00B766BE" w:rsidRPr="00B766BE">
        <w:t>aligned climate narrative that articulates ambition and clearly signals intent for action.</w:t>
      </w:r>
      <w:r w:rsidR="008148C8">
        <w:t xml:space="preserve"> </w:t>
      </w:r>
    </w:p>
    <w:p w14:paraId="4A87C32F" w14:textId="0FE63AE0" w:rsidR="00B766BE" w:rsidRPr="00B766BE" w:rsidRDefault="005B105A" w:rsidP="00DB6514">
      <w:pPr>
        <w:pStyle w:val="Bullet"/>
      </w:pPr>
      <w:r>
        <w:rPr>
          <w:b/>
          <w:bCs/>
        </w:rPr>
        <w:t>Fully b</w:t>
      </w:r>
      <w:r w:rsidR="00B766BE" w:rsidRPr="00B766BE">
        <w:rPr>
          <w:b/>
          <w:bCs/>
        </w:rPr>
        <w:t>usiness</w:t>
      </w:r>
      <w:r w:rsidR="000133D8">
        <w:rPr>
          <w:b/>
          <w:bCs/>
        </w:rPr>
        <w:t xml:space="preserve"> </w:t>
      </w:r>
      <w:r w:rsidR="00B766BE" w:rsidRPr="00B766BE">
        <w:rPr>
          <w:b/>
          <w:bCs/>
        </w:rPr>
        <w:t>integrated</w:t>
      </w:r>
      <w:r w:rsidR="005F0C45">
        <w:rPr>
          <w:b/>
          <w:bCs/>
        </w:rPr>
        <w:t xml:space="preserve"> </w:t>
      </w:r>
      <w:r w:rsidR="005F0C45" w:rsidRPr="00AF357A">
        <w:t>(</w:t>
      </w:r>
      <w:r w:rsidR="005F0C45" w:rsidRPr="00F051E7">
        <w:t xml:space="preserve">Medium </w:t>
      </w:r>
      <w:r w:rsidR="00E94C68" w:rsidRPr="00F051E7">
        <w:t xml:space="preserve">climate risk </w:t>
      </w:r>
      <w:r w:rsidR="005F0C45" w:rsidRPr="00F051E7">
        <w:t>exposure | Medium complexity</w:t>
      </w:r>
      <w:r w:rsidR="00981EAC" w:rsidRPr="00F051E7">
        <w:t>)</w:t>
      </w:r>
      <w:r w:rsidR="00B766BE" w:rsidRPr="00B766BE">
        <w:rPr>
          <w:b/>
          <w:bCs/>
        </w:rPr>
        <w:t>:</w:t>
      </w:r>
      <w:r w:rsidR="00B766BE" w:rsidRPr="00B766BE">
        <w:t xml:space="preserve"> transition planning </w:t>
      </w:r>
      <w:r w:rsidR="00C74E05">
        <w:t xml:space="preserve">fully </w:t>
      </w:r>
      <w:r w:rsidR="00B766BE" w:rsidRPr="00B766BE">
        <w:t>embedded within business strategy, governance and risk management processes.</w:t>
      </w:r>
    </w:p>
    <w:p w14:paraId="5557C3EE" w14:textId="44E71075" w:rsidR="00B766BE" w:rsidRPr="00B766BE" w:rsidRDefault="00B766BE" w:rsidP="00DB6514">
      <w:pPr>
        <w:pStyle w:val="Bullet"/>
      </w:pPr>
      <w:r w:rsidRPr="00B766BE">
        <w:rPr>
          <w:b/>
          <w:bCs/>
        </w:rPr>
        <w:t>Technical and target</w:t>
      </w:r>
      <w:r w:rsidR="000133D8">
        <w:rPr>
          <w:b/>
          <w:bCs/>
        </w:rPr>
        <w:t xml:space="preserve"> </w:t>
      </w:r>
      <w:r w:rsidRPr="00B766BE">
        <w:rPr>
          <w:b/>
          <w:bCs/>
        </w:rPr>
        <w:t>aligned</w:t>
      </w:r>
      <w:r w:rsidR="00981EAC">
        <w:rPr>
          <w:b/>
          <w:bCs/>
        </w:rPr>
        <w:t xml:space="preserve"> </w:t>
      </w:r>
      <w:r w:rsidR="00981EAC" w:rsidRPr="00652C23">
        <w:t>(</w:t>
      </w:r>
      <w:r w:rsidR="00981EAC" w:rsidRPr="00F051E7">
        <w:t xml:space="preserve">High </w:t>
      </w:r>
      <w:r w:rsidR="00E94C68" w:rsidRPr="00F051E7">
        <w:t xml:space="preserve">climate risk </w:t>
      </w:r>
      <w:r w:rsidR="00981EAC" w:rsidRPr="00F051E7">
        <w:t>exposure | High complexity)</w:t>
      </w:r>
      <w:r w:rsidRPr="00B766BE">
        <w:rPr>
          <w:b/>
          <w:bCs/>
        </w:rPr>
        <w:t>:</w:t>
      </w:r>
      <w:r w:rsidRPr="00B766BE">
        <w:t xml:space="preserve"> rigorous, and investment</w:t>
      </w:r>
      <w:r w:rsidR="00963E59">
        <w:noBreakHyphen/>
      </w:r>
      <w:r w:rsidRPr="00B766BE">
        <w:t xml:space="preserve">grade strategic ambitions </w:t>
      </w:r>
      <w:r w:rsidR="004749F7">
        <w:t>based on scientific evidence</w:t>
      </w:r>
      <w:r w:rsidRPr="00B766BE">
        <w:t xml:space="preserve"> supported by detailed analysis and targets.</w:t>
      </w:r>
    </w:p>
    <w:p w14:paraId="112FD0AB" w14:textId="347FB6D4" w:rsidR="00BE0198" w:rsidRPr="00B766BE" w:rsidRDefault="00BE0198" w:rsidP="00DB6514">
      <w:pPr>
        <w:pStyle w:val="Bullet"/>
        <w:numPr>
          <w:ilvl w:val="0"/>
          <w:numId w:val="0"/>
        </w:numPr>
        <w:ind w:left="284"/>
      </w:pPr>
      <w:r>
        <w:t xml:space="preserve">See </w:t>
      </w:r>
      <w:hyperlink w:anchor="Box5" w:history="1">
        <w:r w:rsidR="00F63C92" w:rsidRPr="00D060B0">
          <w:rPr>
            <w:rStyle w:val="Hyperlink"/>
          </w:rPr>
          <w:t>Box 5</w:t>
        </w:r>
      </w:hyperlink>
      <w:r>
        <w:t xml:space="preserve"> for a more detailed example.</w:t>
      </w:r>
    </w:p>
    <w:p w14:paraId="4334F11E" w14:textId="0EBD8F4A" w:rsidR="009E271E" w:rsidRDefault="00B57850" w:rsidP="00AC5C9C">
      <w:pPr>
        <w:pStyle w:val="ChartMainHeading"/>
        <w:rPr>
          <w:noProof/>
        </w:rPr>
      </w:pPr>
      <w:bookmarkStart w:id="52" w:name="Figure2"/>
      <w:bookmarkStart w:id="53" w:name="_Toc225347729"/>
      <w:bookmarkEnd w:id="52"/>
      <w:r w:rsidRPr="007E2B85">
        <w:t xml:space="preserve">Figure </w:t>
      </w:r>
      <w:r w:rsidR="00C52F0B">
        <w:t>2</w:t>
      </w:r>
      <w:r w:rsidRPr="007E2B85">
        <w:t>: Different approaches to transition planning</w:t>
      </w:r>
      <w:bookmarkEnd w:id="53"/>
    </w:p>
    <w:p w14:paraId="54747E37" w14:textId="2CD590AC" w:rsidR="009E271E" w:rsidRDefault="00A46F2D" w:rsidP="005974DF">
      <w:pPr>
        <w:pStyle w:val="ChartGraphic"/>
        <w:rPr>
          <w:noProof/>
        </w:rPr>
      </w:pPr>
      <w:r>
        <w:rPr>
          <w:noProof/>
        </w:rPr>
        <w:drawing>
          <wp:inline distT="0" distB="0" distL="0" distR="0" wp14:anchorId="181BE2FD" wp14:editId="316F6448">
            <wp:extent cx="5034337" cy="2326126"/>
            <wp:effectExtent l="0" t="0" r="0" b="0"/>
            <wp:docPr id="1455666952" name="Graphic 1" descr="This figure outlines different approaches to transition planning&#10;&#10;Focus on fundamentals: low climate risk exposure and complexity of sector/value chain &#10;Fully business integrated: medium climate risk exposure and complexity of sector/value chain&#10;Technical and target aligned: high climate risk exposure and complexity of sector/value cha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66952" name="Graphic 1" descr="This figure outlines different approaches to transition planning&#10;&#10;Focus on fundamentals: low climate risk exposure and complexity of sector/value chain &#10;Fully business integrated: medium climate risk exposure and complexity of sector/value chain&#10;Technical and target aligned: high climate risk exposure and complexity of sector/value chain&#10;"/>
                    <pic:cNvPicPr/>
                  </pic:nvPicPr>
                  <pic:blipFill rotWithShape="1">
                    <a:blip r:embed="rId54" cstate="print">
                      <a:extLst>
                        <a:ext uri="{28A0092B-C50C-407E-A947-70E740481C1C}">
                          <a14:useLocalDpi xmlns:a14="http://schemas.microsoft.com/office/drawing/2010/main" val="0"/>
                        </a:ext>
                      </a:extLst>
                    </a:blip>
                    <a:srcRect/>
                    <a:stretch>
                      <a:fillRect/>
                    </a:stretch>
                  </pic:blipFill>
                  <pic:spPr bwMode="auto">
                    <a:xfrm>
                      <a:off x="0" y="0"/>
                      <a:ext cx="5048455" cy="2332649"/>
                    </a:xfrm>
                    <a:prstGeom prst="rect">
                      <a:avLst/>
                    </a:prstGeom>
                    <a:ln>
                      <a:noFill/>
                    </a:ln>
                    <a:extLst>
                      <a:ext uri="{53640926-AAD7-44D8-BBD7-CCE9431645EC}">
                        <a14:shadowObscured xmlns:a14="http://schemas.microsoft.com/office/drawing/2010/main"/>
                      </a:ext>
                    </a:extLst>
                  </pic:spPr>
                </pic:pic>
              </a:graphicData>
            </a:graphic>
          </wp:inline>
        </w:drawing>
      </w:r>
    </w:p>
    <w:p w14:paraId="5A5429CE" w14:textId="095B5181" w:rsidR="0096451B" w:rsidRPr="0096451B" w:rsidRDefault="003B66E3" w:rsidP="00B428FF">
      <w:pPr>
        <w:pStyle w:val="ChartorTableNote"/>
        <w:spacing w:before="40"/>
        <w:rPr>
          <w:szCs w:val="18"/>
        </w:rPr>
      </w:pPr>
      <w:r w:rsidRPr="00B428FF">
        <w:rPr>
          <w:b/>
          <w:bCs/>
        </w:rPr>
        <w:t>Source:</w:t>
      </w:r>
      <w:r w:rsidR="00060A00">
        <w:tab/>
      </w:r>
      <w:r>
        <w:t xml:space="preserve"> </w:t>
      </w:r>
      <w:r w:rsidR="00325F9A">
        <w:t xml:space="preserve">Adapted from </w:t>
      </w:r>
      <w:hyperlink r:id="rId55" w:history="1">
        <w:r w:rsidR="0096451B" w:rsidRPr="00EF1931">
          <w:rPr>
            <w:rStyle w:val="Hyperlink"/>
            <w:szCs w:val="18"/>
          </w:rPr>
          <w:t>Edge Impact</w:t>
        </w:r>
      </w:hyperlink>
      <w:r w:rsidR="0096451B" w:rsidRPr="0096451B">
        <w:rPr>
          <w:szCs w:val="18"/>
        </w:rPr>
        <w:t xml:space="preserve"> –</w:t>
      </w:r>
      <w:r w:rsidR="0096451B" w:rsidRPr="0096451B">
        <w:rPr>
          <w:rFonts w:ascii="Segoe UI" w:hAnsi="Segoe UI" w:cs="Segoe UI"/>
          <w:szCs w:val="18"/>
          <w:shd w:val="clear" w:color="auto" w:fill="FFFFFF"/>
        </w:rPr>
        <w:t xml:space="preserve"> </w:t>
      </w:r>
      <w:r w:rsidR="0096451B" w:rsidRPr="0096451B">
        <w:rPr>
          <w:szCs w:val="18"/>
        </w:rPr>
        <w:t>Workshop 2: Transition Plans materials.</w:t>
      </w:r>
    </w:p>
    <w:p w14:paraId="4BF99EC6" w14:textId="3B5D7F28" w:rsidR="000A5C5D" w:rsidRDefault="00D86354" w:rsidP="002036C0">
      <w:r>
        <w:t xml:space="preserve">For some sectors, transition planning will require more complex or different approaches </w:t>
      </w:r>
      <w:r w:rsidR="00994842">
        <w:t>not covered in th</w:t>
      </w:r>
      <w:r w:rsidR="00050B20">
        <w:t>e</w:t>
      </w:r>
      <w:r w:rsidR="00994842">
        <w:t xml:space="preserve"> guidance</w:t>
      </w:r>
      <w:r w:rsidR="000A5C5D">
        <w:t>.</w:t>
      </w:r>
    </w:p>
    <w:p w14:paraId="5BC59EA9" w14:textId="3A9A427F" w:rsidR="00C776AC" w:rsidRDefault="00BE66E5" w:rsidP="002036C0">
      <w:r>
        <w:t>H</w:t>
      </w:r>
      <w:r w:rsidR="000A5C5D">
        <w:t>ard</w:t>
      </w:r>
      <w:r w:rsidR="00963E59">
        <w:noBreakHyphen/>
      </w:r>
      <w:r w:rsidR="000A5C5D">
        <w:t>to</w:t>
      </w:r>
      <w:r w:rsidR="00963E59">
        <w:noBreakHyphen/>
      </w:r>
      <w:r w:rsidR="000A5C5D">
        <w:t xml:space="preserve">abate sectors, </w:t>
      </w:r>
      <w:r w:rsidR="00071A47">
        <w:t>such as</w:t>
      </w:r>
      <w:r w:rsidR="000A5C5D">
        <w:t xml:space="preserve"> those requiring high</w:t>
      </w:r>
      <w:r w:rsidR="00963E59">
        <w:noBreakHyphen/>
      </w:r>
      <w:r w:rsidR="004B71F4">
        <w:t>temperature</w:t>
      </w:r>
      <w:r w:rsidR="000A5C5D">
        <w:t xml:space="preserve"> heat </w:t>
      </w:r>
      <w:r w:rsidR="00685C74">
        <w:t xml:space="preserve">and </w:t>
      </w:r>
      <w:r w:rsidR="000A5C5D">
        <w:t xml:space="preserve">chemical </w:t>
      </w:r>
      <w:r w:rsidR="00B935CC">
        <w:t>reactions</w:t>
      </w:r>
      <w:r w:rsidR="000A5C5D">
        <w:t xml:space="preserve">, </w:t>
      </w:r>
      <w:r w:rsidR="0090700C">
        <w:t xml:space="preserve">can </w:t>
      </w:r>
      <w:r w:rsidR="000A5C5D">
        <w:t>face</w:t>
      </w:r>
      <w:r w:rsidR="0090700C">
        <w:t xml:space="preserve"> more</w:t>
      </w:r>
      <w:r w:rsidR="000A5C5D">
        <w:t xml:space="preserve"> complex transition challenges</w:t>
      </w:r>
      <w:r w:rsidR="00643F35">
        <w:t xml:space="preserve">, </w:t>
      </w:r>
      <w:r w:rsidR="002C1934" w:rsidRPr="002C1934">
        <w:t xml:space="preserve">particularly </w:t>
      </w:r>
      <w:r w:rsidR="00643F35">
        <w:t>where</w:t>
      </w:r>
      <w:r w:rsidR="00643F35" w:rsidRPr="00643F35">
        <w:t xml:space="preserve"> </w:t>
      </w:r>
      <w:r w:rsidR="00643F35">
        <w:t xml:space="preserve">abatement technologies </w:t>
      </w:r>
      <w:r w:rsidR="002C1934" w:rsidRPr="002C1934">
        <w:t>are not yet commercially viable or are still in development</w:t>
      </w:r>
      <w:r w:rsidR="0090700C">
        <w:t>.</w:t>
      </w:r>
      <w:r w:rsidR="000717B1" w:rsidRPr="00F10DDC">
        <w:rPr>
          <w:rStyle w:val="FootnoteReference"/>
        </w:rPr>
        <w:endnoteReference w:id="28"/>
      </w:r>
      <w:r w:rsidR="0090700C" w:rsidDel="00325476">
        <w:t xml:space="preserve"> </w:t>
      </w:r>
      <w:r w:rsidR="0049398C" w:rsidRPr="0049398C">
        <w:t>Electrification, energy efficiency improvements and fuel switching can support emissions reductions in some applications</w:t>
      </w:r>
      <w:r w:rsidR="000A749E">
        <w:t>. However, the</w:t>
      </w:r>
      <w:r w:rsidR="00C776AC">
        <w:t xml:space="preserve">se options </w:t>
      </w:r>
      <w:r w:rsidR="0049398C" w:rsidRPr="0049398C">
        <w:t>are</w:t>
      </w:r>
      <w:r w:rsidR="0049398C" w:rsidRPr="0049398C" w:rsidDel="00C776AC">
        <w:t xml:space="preserve"> </w:t>
      </w:r>
      <w:r w:rsidR="00C776AC">
        <w:t>usually</w:t>
      </w:r>
      <w:r w:rsidR="00C776AC" w:rsidRPr="0049398C">
        <w:t xml:space="preserve"> </w:t>
      </w:r>
      <w:r w:rsidR="0049398C" w:rsidRPr="0049398C">
        <w:t xml:space="preserve">only able to partially address emissions in </w:t>
      </w:r>
      <w:r w:rsidR="00D343E2">
        <w:t xml:space="preserve">some </w:t>
      </w:r>
      <w:r w:rsidR="0049398C" w:rsidRPr="0049398C">
        <w:t>sectors.</w:t>
      </w:r>
      <w:r w:rsidR="000A5C5D">
        <w:t xml:space="preserve"> </w:t>
      </w:r>
    </w:p>
    <w:p w14:paraId="2FE5D53F" w14:textId="581CA82C" w:rsidR="00A23CA4" w:rsidRDefault="000722C2" w:rsidP="002036C0">
      <w:r>
        <w:t>In many cases, the transition will require structural changes, including the retirement or re</w:t>
      </w:r>
      <w:r w:rsidR="00963E59">
        <w:noBreakHyphen/>
      </w:r>
      <w:r>
        <w:t>purposing of long</w:t>
      </w:r>
      <w:r w:rsidR="00963E59">
        <w:noBreakHyphen/>
      </w:r>
      <w:r>
        <w:t>lived capital assets, which can involve significant costs.</w:t>
      </w:r>
      <w:r w:rsidRPr="00F10DDC">
        <w:rPr>
          <w:rStyle w:val="FootnoteReference"/>
        </w:rPr>
        <w:endnoteReference w:id="29"/>
      </w:r>
      <w:r>
        <w:t xml:space="preserve"> </w:t>
      </w:r>
      <w:r w:rsidR="00DD0823" w:rsidRPr="00DD0823">
        <w:t>Given the capital</w:t>
      </w:r>
      <w:r w:rsidR="00963E59">
        <w:noBreakHyphen/>
      </w:r>
      <w:r w:rsidR="00DD0823" w:rsidRPr="00DD0823">
        <w:t>intensive nature of these activities</w:t>
      </w:r>
      <w:r w:rsidR="00DD0823">
        <w:t xml:space="preserve">, </w:t>
      </w:r>
      <w:r w:rsidR="00DD0823" w:rsidRPr="00DD0823">
        <w:t xml:space="preserve">the long lifetimes of industrial assets </w:t>
      </w:r>
      <w:r w:rsidR="00DD0823">
        <w:t>and high exposure to climate risks</w:t>
      </w:r>
      <w:r w:rsidR="0034405C">
        <w:t>, many</w:t>
      </w:r>
      <w:r w:rsidR="00966553">
        <w:t xml:space="preserve"> of these</w:t>
      </w:r>
      <w:r w:rsidR="00A92AD0">
        <w:t xml:space="preserve"> organisations have been </w:t>
      </w:r>
      <w:r w:rsidR="00444ACB">
        <w:t xml:space="preserve">undertaking </w:t>
      </w:r>
      <w:r w:rsidR="00A92AD0">
        <w:t>transition planning for some time</w:t>
      </w:r>
      <w:r w:rsidR="00444ACB">
        <w:t xml:space="preserve">. </w:t>
      </w:r>
    </w:p>
    <w:p w14:paraId="6020EAC4" w14:textId="05A98160" w:rsidR="00444ACB" w:rsidRDefault="00F6642D" w:rsidP="002036C0">
      <w:r>
        <w:t xml:space="preserve">For financial institutions and investors, </w:t>
      </w:r>
      <w:r w:rsidR="00EF1A68">
        <w:t>climate change and the transition present material financial risks that may result in</w:t>
      </w:r>
      <w:r w:rsidR="00F125D0">
        <w:t xml:space="preserve"> negative impacts such as</w:t>
      </w:r>
      <w:r w:rsidR="00EF1A68">
        <w:t xml:space="preserve"> unexpected credit losses </w:t>
      </w:r>
      <w:r w:rsidR="00A26E0B">
        <w:t>and stranded assets.</w:t>
      </w:r>
      <w:r w:rsidR="0025506B" w:rsidRPr="00F10DDC">
        <w:rPr>
          <w:rStyle w:val="FootnoteReference"/>
        </w:rPr>
        <w:endnoteReference w:id="30"/>
      </w:r>
      <w:r w:rsidR="00A26E0B">
        <w:t xml:space="preserve"> </w:t>
      </w:r>
      <w:r w:rsidR="00311868">
        <w:t>As</w:t>
      </w:r>
      <w:r w:rsidR="00A76088">
        <w:t> </w:t>
      </w:r>
      <w:r w:rsidR="00473D75">
        <w:t>financial institutions and investors</w:t>
      </w:r>
      <w:r w:rsidR="00311868">
        <w:t xml:space="preserve"> are not directly producing goods or emissions</w:t>
      </w:r>
      <w:r w:rsidR="00963E59">
        <w:noBreakHyphen/>
      </w:r>
      <w:r w:rsidR="00311868">
        <w:t xml:space="preserve">intensive materials, </w:t>
      </w:r>
      <w:r w:rsidR="00D17BF0">
        <w:t xml:space="preserve">transition planning </w:t>
      </w:r>
      <w:r w:rsidR="00A12EAC">
        <w:t xml:space="preserve">considerations </w:t>
      </w:r>
      <w:r w:rsidR="00D17BF0">
        <w:t xml:space="preserve">often </w:t>
      </w:r>
      <w:r w:rsidR="003835F7">
        <w:t xml:space="preserve">focus on capital allocation and </w:t>
      </w:r>
      <w:r w:rsidR="00906045">
        <w:t>prioritis</w:t>
      </w:r>
      <w:r w:rsidR="00B90E65">
        <w:t>ing</w:t>
      </w:r>
      <w:r w:rsidR="00906045">
        <w:t xml:space="preserve"> financed emissions</w:t>
      </w:r>
      <w:r w:rsidR="07848257">
        <w:t>,</w:t>
      </w:r>
      <w:r w:rsidR="00906045">
        <w:t xml:space="preserve"> </w:t>
      </w:r>
      <w:r w:rsidR="07848257">
        <w:t>as</w:t>
      </w:r>
      <w:r w:rsidR="00906045">
        <w:t xml:space="preserve"> opposed to </w:t>
      </w:r>
      <w:r w:rsidR="00066CDA">
        <w:t>addressing</w:t>
      </w:r>
      <w:r w:rsidR="00906045">
        <w:t xml:space="preserve"> direct emissions or physical </w:t>
      </w:r>
      <w:r w:rsidR="00066CDA">
        <w:t>risk exposure</w:t>
      </w:r>
      <w:r w:rsidR="00906045">
        <w:t>.</w:t>
      </w:r>
      <w:r w:rsidR="00EC154D">
        <w:t xml:space="preserve"> </w:t>
      </w:r>
    </w:p>
    <w:tbl>
      <w:tblPr>
        <w:tblW w:w="5000" w:type="pct"/>
        <w:shd w:val="clear" w:color="auto" w:fill="F2F9FC"/>
        <w:tblCellMar>
          <w:top w:w="227" w:type="dxa"/>
          <w:left w:w="227" w:type="dxa"/>
          <w:bottom w:w="227" w:type="dxa"/>
          <w:right w:w="227" w:type="dxa"/>
        </w:tblCellMar>
        <w:tblLook w:val="0620" w:firstRow="1" w:lastRow="0" w:firstColumn="0" w:lastColumn="0" w:noHBand="1" w:noVBand="1"/>
      </w:tblPr>
      <w:tblGrid>
        <w:gridCol w:w="9070"/>
      </w:tblGrid>
      <w:tr w:rsidR="002036C0" w:rsidRPr="00963E59" w14:paraId="6763177B" w14:textId="77777777" w:rsidTr="00460C3E">
        <w:tc>
          <w:tcPr>
            <w:tcW w:w="5000" w:type="pct"/>
            <w:shd w:val="clear" w:color="auto" w:fill="F2F9FC"/>
            <w:hideMark/>
          </w:tcPr>
          <w:p w14:paraId="1BFC3705" w14:textId="42A085EB" w:rsidR="002036C0" w:rsidRPr="00963E59" w:rsidRDefault="00D70742" w:rsidP="00E964D5">
            <w:pPr>
              <w:pStyle w:val="BoxHeading"/>
            </w:pPr>
            <w:bookmarkStart w:id="54" w:name="Box5"/>
            <w:bookmarkStart w:id="55" w:name="_Toc237351135"/>
            <w:bookmarkStart w:id="56" w:name="_Toc233287101"/>
            <w:bookmarkEnd w:id="54"/>
            <w:r w:rsidRPr="00963E59">
              <w:lastRenderedPageBreak/>
              <w:t xml:space="preserve">Box 5. </w:t>
            </w:r>
            <w:r w:rsidR="002036C0" w:rsidRPr="00963E59">
              <w:t>Illustrative example</w:t>
            </w:r>
            <w:r w:rsidR="484B8718" w:rsidRPr="00963E59">
              <w:t>s</w:t>
            </w:r>
            <w:r w:rsidRPr="00963E59">
              <w:t xml:space="preserve"> o</w:t>
            </w:r>
            <w:r w:rsidR="379CF1DD" w:rsidRPr="00963E59">
              <w:t>f</w:t>
            </w:r>
            <w:r w:rsidR="002036C0" w:rsidRPr="00963E59" w:rsidDel="00D70742">
              <w:t xml:space="preserve"> </w:t>
            </w:r>
            <w:r w:rsidR="00F63C92" w:rsidRPr="00963E59">
              <w:t>d</w:t>
            </w:r>
            <w:r w:rsidR="002036C0" w:rsidRPr="00963E59">
              <w:t>ifferent approaches to transition planning</w:t>
            </w:r>
            <w:bookmarkEnd w:id="55"/>
            <w:bookmarkEnd w:id="56"/>
          </w:p>
          <w:p w14:paraId="35D78B4A" w14:textId="33726C54" w:rsidR="002036C0" w:rsidRPr="00963E59" w:rsidRDefault="002036C0" w:rsidP="002036C0">
            <w:pPr>
              <w:pStyle w:val="BoxText"/>
            </w:pPr>
            <w:r w:rsidRPr="00963E59">
              <w:t xml:space="preserve">The level of depth of an organisation’s transition planning </w:t>
            </w:r>
            <w:r w:rsidR="00B96C29" w:rsidRPr="00963E59">
              <w:t>may be based on</w:t>
            </w:r>
            <w:r w:rsidRPr="00963E59">
              <w:t xml:space="preserve"> an organisation’s level of climate </w:t>
            </w:r>
            <w:r w:rsidR="005F0C45" w:rsidRPr="00963E59">
              <w:t xml:space="preserve">risk </w:t>
            </w:r>
            <w:r w:rsidRPr="00963E59">
              <w:t>exposure and the complexity of its business and value chain</w:t>
            </w:r>
            <w:r w:rsidR="00B338CB" w:rsidRPr="00963E59">
              <w:t>.</w:t>
            </w:r>
          </w:p>
          <w:p w14:paraId="290772DF" w14:textId="6EFA273E" w:rsidR="002036C0" w:rsidRPr="00963E59" w:rsidRDefault="002036C0" w:rsidP="002036C0">
            <w:pPr>
              <w:pStyle w:val="BoxText"/>
            </w:pPr>
            <w:r w:rsidRPr="00963E59">
              <w:rPr>
                <w:b/>
                <w:bCs/>
              </w:rPr>
              <w:t xml:space="preserve">Focus on fundamentals: </w:t>
            </w:r>
            <w:r w:rsidRPr="00963E59">
              <w:t xml:space="preserve">Low climate </w:t>
            </w:r>
            <w:r w:rsidR="00B96C29" w:rsidRPr="00963E59">
              <w:t>risk</w:t>
            </w:r>
            <w:r w:rsidRPr="00963E59">
              <w:t xml:space="preserve"> exposure | Low complexity</w:t>
            </w:r>
          </w:p>
          <w:p w14:paraId="1DCE9873" w14:textId="1FEC7AE1" w:rsidR="002036C0" w:rsidRPr="00963E59" w:rsidRDefault="002036C0" w:rsidP="002036C0">
            <w:pPr>
              <w:pStyle w:val="BoxText"/>
            </w:pPr>
            <w:r w:rsidRPr="00963E59">
              <w:t>An organisation operating primarily in a service-oriented sector, with low direct (scope 1) and</w:t>
            </w:r>
            <w:r w:rsidR="00B72415" w:rsidRPr="00963E59">
              <w:t> </w:t>
            </w:r>
            <w:r w:rsidRPr="00963E59">
              <w:t>indirect (scope 2) emissions</w:t>
            </w:r>
            <w:r w:rsidR="00DD4AAE" w:rsidRPr="00963E59">
              <w:t>,</w:t>
            </w:r>
            <w:r w:rsidRPr="00963E59">
              <w:t xml:space="preserve"> focuses on the fundamentals when transition planning. The organisation establishes clear climate ambitions and commits to net zero scope 1 and 2 emissions by a nominated date. </w:t>
            </w:r>
          </w:p>
          <w:p w14:paraId="19BB398A" w14:textId="15F66ACB" w:rsidR="002036C0" w:rsidRPr="00963E59" w:rsidRDefault="002036C0" w:rsidP="002036C0">
            <w:pPr>
              <w:pStyle w:val="BoxText"/>
            </w:pPr>
            <w:r w:rsidRPr="00963E59">
              <w:t xml:space="preserve">The organisation puts in place appropriate governance arrangements to oversee transition planning and light-touch integration of transition planning into its business strategy. Rather than relying on detailed modelling or complex scenario analysis, </w:t>
            </w:r>
            <w:r w:rsidR="00B150B1" w:rsidRPr="00963E59">
              <w:t xml:space="preserve">it </w:t>
            </w:r>
            <w:r w:rsidRPr="00963E59">
              <w:t>use</w:t>
            </w:r>
            <w:r w:rsidR="00B150B1" w:rsidRPr="00963E59">
              <w:t>s</w:t>
            </w:r>
            <w:r w:rsidRPr="00963E59">
              <w:t xml:space="preserve"> high-level judgement to describe its key climate-related risks and opportunities. </w:t>
            </w:r>
            <w:r w:rsidR="00B96C29" w:rsidRPr="00963E59">
              <w:t>It</w:t>
            </w:r>
            <w:r w:rsidRPr="00963E59">
              <w:t xml:space="preserve"> identif</w:t>
            </w:r>
            <w:r w:rsidR="008104E5" w:rsidRPr="00963E59">
              <w:t>ies</w:t>
            </w:r>
            <w:r w:rsidRPr="00963E59">
              <w:t xml:space="preserve"> a small number of practical early actions, such as implementing energy efficiency measures in </w:t>
            </w:r>
            <w:r w:rsidR="00031443" w:rsidRPr="00963E59">
              <w:t xml:space="preserve">its </w:t>
            </w:r>
            <w:r w:rsidRPr="00963E59">
              <w:t>offices and procuring renewable electricity</w:t>
            </w:r>
            <w:r w:rsidR="00552469" w:rsidRPr="00963E59">
              <w:t>.</w:t>
            </w:r>
            <w:r w:rsidRPr="00963E59">
              <w:t xml:space="preserve"> </w:t>
            </w:r>
            <w:r w:rsidR="00552469" w:rsidRPr="00963E59">
              <w:t xml:space="preserve">It also </w:t>
            </w:r>
            <w:r w:rsidRPr="00963E59">
              <w:t>undertakes proportionate engagement with stakeholders. The</w:t>
            </w:r>
            <w:r w:rsidR="00DB33DB" w:rsidRPr="00963E59">
              <w:t xml:space="preserve"> organisation</w:t>
            </w:r>
            <w:r w:rsidRPr="00963E59">
              <w:t xml:space="preserve"> also plan</w:t>
            </w:r>
            <w:r w:rsidR="00DB33DB" w:rsidRPr="00963E59">
              <w:t>s</w:t>
            </w:r>
            <w:r w:rsidRPr="00963E59">
              <w:t xml:space="preserve"> to assess and address their scope 3 emissions in the coming years.</w:t>
            </w:r>
          </w:p>
          <w:p w14:paraId="3E9B1ABB" w14:textId="3A690ABB" w:rsidR="002036C0" w:rsidRPr="00963E59" w:rsidRDefault="002036C0" w:rsidP="002036C0">
            <w:pPr>
              <w:pStyle w:val="BoxText"/>
            </w:pPr>
            <w:r w:rsidRPr="00963E59">
              <w:rPr>
                <w:b/>
                <w:bCs/>
              </w:rPr>
              <w:t xml:space="preserve">Fully business-integrated: </w:t>
            </w:r>
            <w:r w:rsidRPr="00963E59">
              <w:t xml:space="preserve">Medium climate </w:t>
            </w:r>
            <w:r w:rsidR="00774D41" w:rsidRPr="00963E59">
              <w:t xml:space="preserve">risk </w:t>
            </w:r>
            <w:r w:rsidRPr="00963E59">
              <w:t>exposure | Medium complexity</w:t>
            </w:r>
          </w:p>
          <w:p w14:paraId="5F5D493B" w14:textId="5CD4EBDC" w:rsidR="002036C0" w:rsidRPr="00963E59" w:rsidRDefault="002036C0" w:rsidP="002036C0">
            <w:pPr>
              <w:pStyle w:val="BoxText"/>
            </w:pPr>
            <w:r w:rsidRPr="00963E59">
              <w:t xml:space="preserve">An organisation with moderate exposure to climate-related risks and a diversified value chain decides to adopt a fully business-integrated approach to transition planning. The organisation uses qualitative scenario analysis as an input into assessing its climate-related risks and opportunities. These are considered alongside other strategic and financial risks and are incorporated into existing decision-making processes. The organisation sets clear climate ambitions and actions to manage these risks and opportunities. </w:t>
            </w:r>
          </w:p>
          <w:p w14:paraId="18CF3959" w14:textId="4E62D714" w:rsidR="002036C0" w:rsidRPr="00963E59" w:rsidRDefault="002036C0" w:rsidP="002036C0">
            <w:pPr>
              <w:pStyle w:val="BoxText"/>
            </w:pPr>
            <w:r w:rsidRPr="00963E59">
              <w:t>Transition planning is fully embedded in business unit plans and investment decisions, ensuring climate considerations influence day-to-day operations and longer-term strategy. Governance arrangements clearly define roles at board and executive levels. The organisation develops coherent plan</w:t>
            </w:r>
            <w:r w:rsidR="00FF22F0" w:rsidRPr="00963E59">
              <w:t>ning</w:t>
            </w:r>
            <w:r w:rsidRPr="00963E59">
              <w:t xml:space="preserve"> showing how its ambitions translate into coordinated action across the business.</w:t>
            </w:r>
          </w:p>
          <w:p w14:paraId="60D7C7CC" w14:textId="5919B8C6" w:rsidR="002036C0" w:rsidRPr="00963E59" w:rsidRDefault="002036C0" w:rsidP="002036C0">
            <w:pPr>
              <w:pStyle w:val="BoxText"/>
            </w:pPr>
            <w:r w:rsidRPr="00963E59">
              <w:rPr>
                <w:b/>
                <w:bCs/>
              </w:rPr>
              <w:t xml:space="preserve">Technical and target-aligned: </w:t>
            </w:r>
            <w:r w:rsidRPr="00963E59">
              <w:t xml:space="preserve">High climate </w:t>
            </w:r>
            <w:r w:rsidR="00103E9B" w:rsidRPr="00963E59">
              <w:t>risk</w:t>
            </w:r>
            <w:r w:rsidRPr="00963E59">
              <w:t xml:space="preserve"> exposure | High complexity</w:t>
            </w:r>
          </w:p>
          <w:p w14:paraId="5118CD5A" w14:textId="77777777" w:rsidR="002036C0" w:rsidRPr="00963E59" w:rsidRDefault="002036C0" w:rsidP="002036C0">
            <w:pPr>
              <w:pStyle w:val="BoxText"/>
            </w:pPr>
            <w:r w:rsidRPr="00963E59">
              <w:t>An asset-intensive organisation operating in a sector with high exposure to climate-related risks and a complex value chain decides to adopt a rigorous approach to transition planning. The organisation conducts a detailed inventory of its emissions sources, technology options and climate-related risks and opportunities, as well as a comprehensive scenario analysis. The organisation uses the outputs of this process to clearly define interim and long-term targets aligned with relevant science-aligned pathways.</w:t>
            </w:r>
          </w:p>
          <w:p w14:paraId="204732FA" w14:textId="24AAC44C" w:rsidR="00926C7F" w:rsidRPr="00963E59" w:rsidRDefault="002036C0" w:rsidP="002036C0">
            <w:pPr>
              <w:pStyle w:val="BoxText"/>
            </w:pPr>
            <w:r w:rsidRPr="00963E59">
              <w:t xml:space="preserve">Capital allocation, asset management and financing strategies are directly linked to climate objectives, and these are integrated into business strategy and core financial and risk processes. Transition planning addresses supplier, counterparty and value-chain exposure and is supported by regular monitoring, strong governance and </w:t>
            </w:r>
            <w:r w:rsidR="000B6334" w:rsidRPr="00963E59">
              <w:t xml:space="preserve">comprehensive </w:t>
            </w:r>
            <w:r w:rsidRPr="00963E59">
              <w:t xml:space="preserve">engagement allowing its ambitions and actions to withstand external scrutiny and support investment-grade decision-making. </w:t>
            </w:r>
          </w:p>
          <w:p w14:paraId="5BE1255C" w14:textId="2FA6056C" w:rsidR="002036C0" w:rsidRPr="00963E59" w:rsidRDefault="002036C0" w:rsidP="00060A00">
            <w:pPr>
              <w:pStyle w:val="ChartorTableNote"/>
              <w:rPr>
                <w:lang w:eastAsia="en-US"/>
              </w:rPr>
            </w:pPr>
            <w:r w:rsidRPr="00963E59">
              <w:rPr>
                <w:b/>
              </w:rPr>
              <w:t>Source</w:t>
            </w:r>
            <w:r w:rsidRPr="00963E59">
              <w:t>:</w:t>
            </w:r>
            <w:r w:rsidR="00060A00" w:rsidRPr="00963E59">
              <w:tab/>
            </w:r>
            <w:r w:rsidRPr="00963E59">
              <w:t>Adapted from Edge Impact</w:t>
            </w:r>
            <w:r w:rsidR="0096451B" w:rsidRPr="00963E59">
              <w:t xml:space="preserve"> </w:t>
            </w:r>
            <w:r w:rsidR="00CE19ED">
              <w:t>–</w:t>
            </w:r>
            <w:r w:rsidRPr="00963E59" w:rsidDel="00365736">
              <w:t xml:space="preserve"> </w:t>
            </w:r>
            <w:r w:rsidRPr="00963E59">
              <w:t>Workshop 2: Transition Plans materials</w:t>
            </w:r>
            <w:r w:rsidR="00926C7F" w:rsidRPr="00963E59">
              <w:t>.</w:t>
            </w:r>
          </w:p>
        </w:tc>
      </w:tr>
    </w:tbl>
    <w:p w14:paraId="00D88B57" w14:textId="77777777" w:rsidR="00C7376C" w:rsidRPr="00BB7193" w:rsidRDefault="00C7376C" w:rsidP="00776015">
      <w:bookmarkStart w:id="57" w:name="_Toc215764025"/>
      <w:r>
        <w:br w:type="page"/>
      </w:r>
    </w:p>
    <w:p w14:paraId="0E187816" w14:textId="25E14080" w:rsidR="00D306E5" w:rsidRDefault="00D822AC" w:rsidP="002D6C24">
      <w:pPr>
        <w:pStyle w:val="Heading1"/>
      </w:pPr>
      <w:bookmarkStart w:id="58" w:name="Stage1"/>
      <w:bookmarkStart w:id="59" w:name="_Toc224906871"/>
      <w:bookmarkStart w:id="60" w:name="_Toc224916503"/>
      <w:bookmarkStart w:id="61" w:name="_Toc232776344"/>
      <w:bookmarkEnd w:id="58"/>
      <w:r>
        <w:lastRenderedPageBreak/>
        <w:t xml:space="preserve">Stage 1: </w:t>
      </w:r>
      <w:r w:rsidR="00D306E5" w:rsidRPr="007125FD">
        <w:t>Assess</w:t>
      </w:r>
      <w:r w:rsidR="00D306E5">
        <w:t xml:space="preserve"> or </w:t>
      </w:r>
      <w:r w:rsidR="00314C3A">
        <w:t>r</w:t>
      </w:r>
      <w:r w:rsidR="00D306E5">
        <w:t>e</w:t>
      </w:r>
      <w:r w:rsidR="00CE19ED">
        <w:t>-</w:t>
      </w:r>
      <w:r w:rsidR="00D95C85">
        <w:t>ass</w:t>
      </w:r>
      <w:r w:rsidR="00184890">
        <w:t>ess</w:t>
      </w:r>
      <w:r w:rsidR="00B9446B">
        <w:t xml:space="preserve"> </w:t>
      </w:r>
      <w:r w:rsidR="00D95C85">
        <w:t>organisational</w:t>
      </w:r>
      <w:r w:rsidR="00B9446B">
        <w:t xml:space="preserve"> </w:t>
      </w:r>
      <w:r w:rsidR="00D95C85">
        <w:t>position</w:t>
      </w:r>
      <w:bookmarkEnd w:id="59"/>
      <w:bookmarkEnd w:id="60"/>
      <w:bookmarkEnd w:id="61"/>
    </w:p>
    <w:p w14:paraId="66056878" w14:textId="49F41169" w:rsidR="003A2D10" w:rsidRDefault="00A83883" w:rsidP="002036C0">
      <w:r>
        <w:t>Board</w:t>
      </w:r>
      <w:r w:rsidR="002000E3">
        <w:t>,</w:t>
      </w:r>
      <w:r>
        <w:t xml:space="preserve"> or equivalent decision</w:t>
      </w:r>
      <w:r w:rsidR="00963E59">
        <w:noBreakHyphen/>
      </w:r>
      <w:r>
        <w:t>maker,</w:t>
      </w:r>
      <w:r w:rsidR="00FC53F8" w:rsidDel="00F6417D">
        <w:t xml:space="preserve"> approval and cross</w:t>
      </w:r>
      <w:r w:rsidR="00963E59">
        <w:noBreakHyphen/>
      </w:r>
      <w:r w:rsidR="00FC53F8" w:rsidDel="00F6417D">
        <w:t xml:space="preserve">organisational </w:t>
      </w:r>
      <w:r w:rsidR="009600F8">
        <w:t>involvement in</w:t>
      </w:r>
      <w:r w:rsidR="00746A5C" w:rsidRPr="00FA1D77">
        <w:t xml:space="preserve"> the transition planning </w:t>
      </w:r>
      <w:r w:rsidR="00914552">
        <w:t xml:space="preserve">process </w:t>
      </w:r>
      <w:r w:rsidR="00035ACC">
        <w:t xml:space="preserve">is </w:t>
      </w:r>
      <w:r w:rsidR="00CF748B">
        <w:t xml:space="preserve">typically established prior to commencing more </w:t>
      </w:r>
      <w:r w:rsidR="001D004F">
        <w:t>detailed</w:t>
      </w:r>
      <w:r w:rsidR="00746A5C">
        <w:t xml:space="preserve"> </w:t>
      </w:r>
      <w:r w:rsidR="00FC53F8" w:rsidDel="00F6417D">
        <w:t>planning</w:t>
      </w:r>
      <w:r w:rsidR="002925C5">
        <w:t>. Board approval</w:t>
      </w:r>
      <w:r w:rsidR="00AA14A9">
        <w:t xml:space="preserve"> supports</w:t>
      </w:r>
      <w:r w:rsidR="001D004F">
        <w:t xml:space="preserve"> </w:t>
      </w:r>
      <w:r w:rsidR="00746A5C">
        <w:t xml:space="preserve">alignment </w:t>
      </w:r>
      <w:r w:rsidR="002925C5">
        <w:t xml:space="preserve">of transition planning </w:t>
      </w:r>
      <w:r w:rsidR="00645C27" w:rsidDel="00F6417D">
        <w:t>with business strategy</w:t>
      </w:r>
      <w:r w:rsidR="00DD33E2" w:rsidDel="00F6417D">
        <w:t>.</w:t>
      </w:r>
    </w:p>
    <w:p w14:paraId="044CDBD4" w14:textId="25B28EC3" w:rsidR="009D32AB" w:rsidRDefault="000D7913" w:rsidP="002036C0">
      <w:r>
        <w:t>Once</w:t>
      </w:r>
      <w:r w:rsidR="00DB3CCB">
        <w:t xml:space="preserve"> </w:t>
      </w:r>
      <w:r w:rsidR="00306DAD">
        <w:t>in place</w:t>
      </w:r>
      <w:r>
        <w:t>, the</w:t>
      </w:r>
      <w:r w:rsidR="008329CE">
        <w:t xml:space="preserve"> first stage of transition planning is to assess organisational position</w:t>
      </w:r>
      <w:r w:rsidR="000149FD">
        <w:t>. This</w:t>
      </w:r>
      <w:r w:rsidR="008329CE">
        <w:t xml:space="preserve"> can be done </w:t>
      </w:r>
      <w:r w:rsidR="003A2D10">
        <w:t xml:space="preserve">by </w:t>
      </w:r>
      <w:r w:rsidR="00184890">
        <w:t>mapping key stakeholders, assessing climate</w:t>
      </w:r>
      <w:r w:rsidR="00963E59">
        <w:noBreakHyphen/>
      </w:r>
      <w:r w:rsidR="00184890">
        <w:t>related risks and opportunities, measuring</w:t>
      </w:r>
      <w:r w:rsidR="007C71B2">
        <w:t xml:space="preserve"> </w:t>
      </w:r>
      <w:r w:rsidR="004A6C25" w:rsidRPr="00450126">
        <w:t xml:space="preserve">greenhouse gas </w:t>
      </w:r>
      <w:r w:rsidR="004A6C25">
        <w:t>(GHG)</w:t>
      </w:r>
      <w:r w:rsidR="004A6C25" w:rsidRPr="00450126">
        <w:t xml:space="preserve"> emissions</w:t>
      </w:r>
      <w:r w:rsidR="00184890" w:rsidDel="004A6C25">
        <w:t xml:space="preserve"> </w:t>
      </w:r>
      <w:r w:rsidR="00184890">
        <w:t>footprint</w:t>
      </w:r>
      <w:r w:rsidR="00504032">
        <w:t>s</w:t>
      </w:r>
      <w:r w:rsidR="00184890">
        <w:t xml:space="preserve">, identifying </w:t>
      </w:r>
      <w:r w:rsidR="007B082D">
        <w:t>transition levers</w:t>
      </w:r>
      <w:r w:rsidR="00184890">
        <w:t xml:space="preserve"> and assessing impacts and dependencies.</w:t>
      </w:r>
    </w:p>
    <w:p w14:paraId="0CE014E0" w14:textId="7B93A2E4" w:rsidR="00285A99" w:rsidRDefault="00285A99" w:rsidP="002036C0">
      <w:r>
        <w:t xml:space="preserve">This section </w:t>
      </w:r>
      <w:r w:rsidR="00600B51">
        <w:t>(Stage 1)</w:t>
      </w:r>
      <w:r>
        <w:t xml:space="preserve"> can be considered alongside </w:t>
      </w:r>
      <w:r w:rsidR="00885202">
        <w:t>pages 6</w:t>
      </w:r>
      <w:r w:rsidR="00F74B81">
        <w:t>–</w:t>
      </w:r>
      <w:r w:rsidR="00885202">
        <w:t>1</w:t>
      </w:r>
      <w:r w:rsidR="004D696B">
        <w:t>7</w:t>
      </w:r>
      <w:r w:rsidR="00885202">
        <w:t xml:space="preserve"> in the </w:t>
      </w:r>
      <w:r w:rsidR="00885202" w:rsidRPr="00D73DD0">
        <w:t>T</w:t>
      </w:r>
      <w:r w:rsidR="007B590A">
        <w:t>ransition Plan Taskforce</w:t>
      </w:r>
      <w:r w:rsidR="00B72415">
        <w:t> </w:t>
      </w:r>
      <w:r w:rsidR="007B590A">
        <w:t>(</w:t>
      </w:r>
      <w:r w:rsidR="00885202" w:rsidRPr="00D73DD0">
        <w:t>TPT</w:t>
      </w:r>
      <w:r w:rsidR="007B590A">
        <w:t>)</w:t>
      </w:r>
      <w:r w:rsidR="00885202" w:rsidRPr="00D73DD0">
        <w:t xml:space="preserve"> </w:t>
      </w:r>
      <w:hyperlink r:id="rId56" w:history="1">
        <w:r w:rsidR="00885202" w:rsidRPr="00D060B0">
          <w:rPr>
            <w:rStyle w:val="Hyperlink"/>
          </w:rPr>
          <w:t>Transition Planning Cycle</w:t>
        </w:r>
      </w:hyperlink>
      <w:r w:rsidR="00885202">
        <w:t>.</w:t>
      </w:r>
    </w:p>
    <w:p w14:paraId="2739A014" w14:textId="3AA764F0" w:rsidR="002D6C24" w:rsidRPr="00D95C85" w:rsidRDefault="002D6C24" w:rsidP="002D6C24">
      <w:pPr>
        <w:pStyle w:val="Heading2Numbered"/>
      </w:pPr>
      <w:bookmarkStart w:id="62" w:name="Stage1dot1"/>
      <w:bookmarkStart w:id="63" w:name="_Toc224906872"/>
      <w:bookmarkStart w:id="64" w:name="_Toc224916504"/>
      <w:bookmarkStart w:id="65" w:name="_Toc225158111"/>
      <w:bookmarkStart w:id="66" w:name="_Toc232776345"/>
      <w:bookmarkEnd w:id="57"/>
      <w:bookmarkEnd w:id="62"/>
      <w:r w:rsidRPr="002036C0">
        <w:t>Board</w:t>
      </w:r>
      <w:r>
        <w:t xml:space="preserve"> approval and cross</w:t>
      </w:r>
      <w:r w:rsidR="00E972FA">
        <w:t>-</w:t>
      </w:r>
      <w:r>
        <w:t>organisation ownership</w:t>
      </w:r>
      <w:bookmarkEnd w:id="63"/>
      <w:bookmarkEnd w:id="64"/>
      <w:bookmarkEnd w:id="65"/>
      <w:bookmarkEnd w:id="66"/>
    </w:p>
    <w:p w14:paraId="239DBFA3" w14:textId="26D45B20" w:rsidR="00593D10" w:rsidRDefault="007F21AB" w:rsidP="002036C0">
      <w:r>
        <w:t>The B</w:t>
      </w:r>
      <w:r w:rsidR="0041461D">
        <w:t>oard is</w:t>
      </w:r>
      <w:r w:rsidR="00D04627">
        <w:t xml:space="preserve"> typically</w:t>
      </w:r>
      <w:r w:rsidR="0041461D">
        <w:t xml:space="preserve"> </w:t>
      </w:r>
      <w:r w:rsidR="00B85BC5" w:rsidRPr="00B6212C">
        <w:t xml:space="preserve">responsible for setting </w:t>
      </w:r>
      <w:r>
        <w:t>an</w:t>
      </w:r>
      <w:r w:rsidRPr="00B6212C">
        <w:t xml:space="preserve"> </w:t>
      </w:r>
      <w:r w:rsidR="00B85BC5" w:rsidRPr="00B6212C">
        <w:t>organisation</w:t>
      </w:r>
      <w:r w:rsidR="00963E59">
        <w:t>’</w:t>
      </w:r>
      <w:r w:rsidR="00B85BC5" w:rsidRPr="00B6212C">
        <w:t>s overall direction</w:t>
      </w:r>
      <w:r>
        <w:t>. Boards may</w:t>
      </w:r>
      <w:r w:rsidR="00B85BC5" w:rsidRPr="00B6212C" w:rsidDel="007F21AB">
        <w:t xml:space="preserve"> </w:t>
      </w:r>
      <w:r>
        <w:t>also provide</w:t>
      </w:r>
      <w:r w:rsidR="00B17C58">
        <w:t xml:space="preserve"> </w:t>
      </w:r>
      <w:r w:rsidR="00B85BC5" w:rsidRPr="00B6212C">
        <w:t xml:space="preserve">oversight of </w:t>
      </w:r>
      <w:r w:rsidR="00E1503C">
        <w:t>transition planning</w:t>
      </w:r>
      <w:r>
        <w:t>. This may</w:t>
      </w:r>
      <w:r w:rsidR="00B85BC5" w:rsidRPr="00B6212C">
        <w:t xml:space="preserve"> includ</w:t>
      </w:r>
      <w:r>
        <w:t>e</w:t>
      </w:r>
      <w:r w:rsidR="00593D10">
        <w:t>:</w:t>
      </w:r>
    </w:p>
    <w:p w14:paraId="6F8C798F" w14:textId="1C281FD1" w:rsidR="00593D10" w:rsidRDefault="00B85BC5" w:rsidP="00DB6514">
      <w:pPr>
        <w:pStyle w:val="Bullet"/>
      </w:pPr>
      <w:r w:rsidRPr="00B6212C">
        <w:t>approving strategic ambition</w:t>
      </w:r>
      <w:r w:rsidR="00E1503C">
        <w:t>s and actions</w:t>
      </w:r>
    </w:p>
    <w:p w14:paraId="71FBFDDB" w14:textId="4F242B2D" w:rsidR="00593D10" w:rsidRDefault="00B85BC5" w:rsidP="00DB6514">
      <w:pPr>
        <w:pStyle w:val="Bullet"/>
      </w:pPr>
      <w:r w:rsidRPr="00B6212C">
        <w:t>establishing governance arrangements</w:t>
      </w:r>
    </w:p>
    <w:p w14:paraId="2DEA3910" w14:textId="6D1F0153" w:rsidR="007F21AB" w:rsidRDefault="00B85BC5" w:rsidP="00DB6514">
      <w:pPr>
        <w:pStyle w:val="Bullet"/>
      </w:pPr>
      <w:r w:rsidRPr="00B6212C">
        <w:t>monitoring progress and accountability.</w:t>
      </w:r>
    </w:p>
    <w:p w14:paraId="04EAAB4E" w14:textId="2F17DB20" w:rsidR="00B85BC5" w:rsidRDefault="00B85BC5" w:rsidP="002036C0">
      <w:r w:rsidRPr="00571F9B">
        <w:t xml:space="preserve">In </w:t>
      </w:r>
      <w:r w:rsidR="00225E7E">
        <w:t>some</w:t>
      </w:r>
      <w:r w:rsidRPr="00571F9B">
        <w:t xml:space="preserve"> organisations</w:t>
      </w:r>
      <w:r w:rsidR="00225E7E">
        <w:t xml:space="preserve">, </w:t>
      </w:r>
      <w:r w:rsidRPr="00571F9B">
        <w:t xml:space="preserve">strategic and oversight responsibilities may sit with a </w:t>
      </w:r>
      <w:r w:rsidR="0010040C">
        <w:t>m</w:t>
      </w:r>
      <w:r w:rsidRPr="00571F9B">
        <w:t xml:space="preserve">anaging </w:t>
      </w:r>
      <w:r w:rsidR="0010040C">
        <w:t>d</w:t>
      </w:r>
      <w:r w:rsidRPr="00571F9B">
        <w:t xml:space="preserve">irector, </w:t>
      </w:r>
      <w:r w:rsidR="00010BAF">
        <w:t>C</w:t>
      </w:r>
      <w:r w:rsidR="007069BF">
        <w:t>hief</w:t>
      </w:r>
      <w:r w:rsidR="00015751">
        <w:t> </w:t>
      </w:r>
      <w:r w:rsidR="00010BAF">
        <w:t>E</w:t>
      </w:r>
      <w:r w:rsidR="007069BF">
        <w:t xml:space="preserve">xecutive </w:t>
      </w:r>
      <w:r w:rsidR="00010BAF">
        <w:t>O</w:t>
      </w:r>
      <w:r w:rsidR="007069BF">
        <w:t>fficer</w:t>
      </w:r>
      <w:r w:rsidR="007B590A">
        <w:t xml:space="preserve"> (CEO)</w:t>
      </w:r>
      <w:r w:rsidRPr="00571F9B">
        <w:t>, owner</w:t>
      </w:r>
      <w:r w:rsidR="00963E59">
        <w:noBreakHyphen/>
      </w:r>
      <w:r w:rsidRPr="00571F9B">
        <w:t xml:space="preserve">manager or a small leadership group. In this guidance, references to </w:t>
      </w:r>
      <w:r w:rsidR="00963E59">
        <w:t>‘</w:t>
      </w:r>
      <w:r w:rsidRPr="00571F9B">
        <w:t xml:space="preserve">the </w:t>
      </w:r>
      <w:r w:rsidR="00FB3423">
        <w:t>B</w:t>
      </w:r>
      <w:r w:rsidRPr="00571F9B">
        <w:t>oard</w:t>
      </w:r>
      <w:r w:rsidR="00963E59">
        <w:t>’</w:t>
      </w:r>
      <w:r w:rsidRPr="00571F9B">
        <w:t xml:space="preserve"> are intended to describe the highest level of governance or decision</w:t>
      </w:r>
      <w:r w:rsidR="00963E59">
        <w:noBreakHyphen/>
      </w:r>
      <w:r w:rsidRPr="00571F9B">
        <w:t xml:space="preserve">making authority </w:t>
      </w:r>
      <w:r w:rsidR="00FB3423">
        <w:t>in</w:t>
      </w:r>
      <w:r w:rsidR="00FB3423" w:rsidRPr="00571F9B">
        <w:t xml:space="preserve"> </w:t>
      </w:r>
      <w:r w:rsidRPr="00571F9B">
        <w:t>an organisation.</w:t>
      </w:r>
    </w:p>
    <w:p w14:paraId="2837AA36" w14:textId="16D0F5F5" w:rsidR="007213E9" w:rsidRDefault="00AA14A9" w:rsidP="00B03120">
      <w:hyperlink w:anchor="BOX6" w:history="1">
        <w:r w:rsidRPr="00226155">
          <w:rPr>
            <w:rStyle w:val="Hyperlink"/>
          </w:rPr>
          <w:t>Box</w:t>
        </w:r>
        <w:r w:rsidR="00001D84" w:rsidRPr="00226155">
          <w:rPr>
            <w:rStyle w:val="Hyperlink"/>
          </w:rPr>
          <w:t xml:space="preserve"> </w:t>
        </w:r>
        <w:r w:rsidR="00C16618" w:rsidRPr="00226155">
          <w:rPr>
            <w:rStyle w:val="Hyperlink"/>
          </w:rPr>
          <w:t>6</w:t>
        </w:r>
      </w:hyperlink>
      <w:r w:rsidR="00E35CFC">
        <w:t xml:space="preserve"> </w:t>
      </w:r>
      <w:r w:rsidR="00CC60DC" w:rsidRPr="00F63C92">
        <w:t>outline</w:t>
      </w:r>
      <w:r w:rsidR="00E35CFC">
        <w:t>s</w:t>
      </w:r>
      <w:r w:rsidR="00CC60DC">
        <w:t xml:space="preserve"> possible </w:t>
      </w:r>
      <w:r w:rsidR="00F62F90">
        <w:t xml:space="preserve">approaches, </w:t>
      </w:r>
      <w:r w:rsidR="00F425AB">
        <w:t>considerations and</w:t>
      </w:r>
      <w:r w:rsidR="00CC60DC">
        <w:t xml:space="preserve"> questions </w:t>
      </w:r>
      <w:r w:rsidR="00FB3423">
        <w:t>B</w:t>
      </w:r>
      <w:r w:rsidR="00CC60DC">
        <w:t>oards</w:t>
      </w:r>
      <w:r w:rsidR="00FE2931">
        <w:t xml:space="preserve"> (</w:t>
      </w:r>
      <w:r w:rsidR="00CC60DC">
        <w:t>or equivalent decision</w:t>
      </w:r>
      <w:r w:rsidR="00963E59">
        <w:noBreakHyphen/>
      </w:r>
      <w:r w:rsidR="00CC60DC">
        <w:t>makers</w:t>
      </w:r>
      <w:r w:rsidR="00FE2931">
        <w:t xml:space="preserve">) </w:t>
      </w:r>
      <w:r w:rsidR="00CC60DC">
        <w:t>may consider</w:t>
      </w:r>
      <w:r w:rsidR="00F425AB">
        <w:t xml:space="preserve"> when</w:t>
      </w:r>
      <w:r w:rsidR="00F62F90">
        <w:t xml:space="preserve"> </w:t>
      </w:r>
      <w:r w:rsidR="00402CAC">
        <w:t>giving approval for the organisation to</w:t>
      </w:r>
      <w:r w:rsidR="00F62F90">
        <w:t xml:space="preserve"> undertak</w:t>
      </w:r>
      <w:r w:rsidR="00402CAC">
        <w:t>e</w:t>
      </w:r>
      <w:r w:rsidR="00F62F90">
        <w:t xml:space="preserve"> transition planning</w:t>
      </w:r>
      <w:r w:rsidR="00FE2931">
        <w:t>,</w:t>
      </w:r>
      <w:r w:rsidR="007213E9">
        <w:t xml:space="preserve"> and </w:t>
      </w:r>
      <w:r w:rsidR="00626FCD">
        <w:t>to facilitate</w:t>
      </w:r>
      <w:r w:rsidR="007213E9">
        <w:t xml:space="preserve"> cross</w:t>
      </w:r>
      <w:r w:rsidR="00963E59">
        <w:noBreakHyphen/>
      </w:r>
      <w:r w:rsidR="007213E9">
        <w:t>organisation ownership.</w:t>
      </w:r>
    </w:p>
    <w:p w14:paraId="20A8F65D" w14:textId="7AAD4E98" w:rsidR="008B5352" w:rsidRDefault="008B5352" w:rsidP="00B03120">
      <w:r>
        <w:t>T</w:t>
      </w:r>
      <w:r w:rsidRPr="00DC3879">
        <w:t>he</w:t>
      </w:r>
      <w:r w:rsidRPr="00DC3879">
        <w:rPr>
          <w:rStyle w:val="CommentReference"/>
          <w:sz w:val="22"/>
          <w:szCs w:val="20"/>
        </w:rPr>
        <w:t xml:space="preserve"> Accounting for Sustainability </w:t>
      </w:r>
      <w:hyperlink r:id="rId57" w:history="1">
        <w:r w:rsidRPr="00DC3879">
          <w:rPr>
            <w:rStyle w:val="Hyperlink"/>
          </w:rPr>
          <w:t>Board Engagement Tool</w:t>
        </w:r>
      </w:hyperlink>
      <w:r>
        <w:t xml:space="preserve"> provides guidance on strategies for engaging the board effectively in this strategic planning process</w:t>
      </w:r>
      <w:r w:rsidR="004553BC">
        <w:t>.</w:t>
      </w:r>
      <w:r w:rsidRPr="00E63C26">
        <w:rPr>
          <w:rStyle w:val="FootnoteReference"/>
        </w:rPr>
        <w:endnoteReference w:id="31"/>
      </w:r>
      <w:r w:rsidRPr="00DC3879">
        <w:rPr>
          <w:rStyle w:val="CommentReference"/>
          <w:sz w:val="22"/>
          <w:szCs w:val="20"/>
        </w:rPr>
        <w:t xml:space="preserve"> </w:t>
      </w:r>
    </w:p>
    <w:p w14:paraId="2A3A7D9A" w14:textId="069B5702" w:rsidR="00DC3879" w:rsidRDefault="007213E9" w:rsidP="00DC3879">
      <w:pPr>
        <w:spacing w:after="240"/>
      </w:pPr>
      <w:r w:rsidRPr="00B20628">
        <w:t xml:space="preserve">When designing governance </w:t>
      </w:r>
      <w:r>
        <w:t>frameworks</w:t>
      </w:r>
      <w:r w:rsidRPr="00B20628">
        <w:t xml:space="preserve">, organisations should also consider existing obligations under the </w:t>
      </w:r>
      <w:r w:rsidRPr="00774F01">
        <w:t>Corporations Act</w:t>
      </w:r>
      <w:r w:rsidRPr="00B20628">
        <w:t xml:space="preserve"> and directors</w:t>
      </w:r>
      <w:r w:rsidR="00963E59">
        <w:t>’</w:t>
      </w:r>
      <w:r w:rsidRPr="00B20628">
        <w:t xml:space="preserve"> duties to ensure consistency with broader legal and organisational requirements</w:t>
      </w:r>
      <w:r>
        <w:t xml:space="preserve">. </w:t>
      </w:r>
    </w:p>
    <w:tbl>
      <w:tblPr>
        <w:tblW w:w="5000" w:type="pct"/>
        <w:shd w:val="clear" w:color="auto" w:fill="E3EDE8"/>
        <w:tblCellMar>
          <w:top w:w="227" w:type="dxa"/>
          <w:left w:w="227" w:type="dxa"/>
          <w:bottom w:w="227" w:type="dxa"/>
          <w:right w:w="227" w:type="dxa"/>
        </w:tblCellMar>
        <w:tblLook w:val="0620" w:firstRow="1" w:lastRow="0" w:firstColumn="0" w:lastColumn="0" w:noHBand="1" w:noVBand="1"/>
      </w:tblPr>
      <w:tblGrid>
        <w:gridCol w:w="9070"/>
      </w:tblGrid>
      <w:tr w:rsidR="00DC3879" w:rsidRPr="00963E59" w14:paraId="060AD64E" w14:textId="77777777" w:rsidTr="00460C3E">
        <w:tc>
          <w:tcPr>
            <w:tcW w:w="5000" w:type="pct"/>
            <w:shd w:val="clear" w:color="auto" w:fill="E3EDE8"/>
            <w:hideMark/>
          </w:tcPr>
          <w:p w14:paraId="2D57AC3B" w14:textId="0A0CEC18" w:rsidR="00DC3879" w:rsidRPr="00963E59" w:rsidRDefault="00DC3879" w:rsidP="00E964D5">
            <w:pPr>
              <w:pStyle w:val="BoxHeading"/>
            </w:pPr>
            <w:bookmarkStart w:id="67" w:name="Box7"/>
            <w:bookmarkStart w:id="68" w:name="Box8"/>
            <w:bookmarkStart w:id="69" w:name="BOX6"/>
            <w:bookmarkStart w:id="70" w:name="_Toc237351136"/>
            <w:bookmarkStart w:id="71" w:name="_Toc233287102"/>
            <w:bookmarkEnd w:id="67"/>
            <w:bookmarkEnd w:id="68"/>
            <w:bookmarkEnd w:id="69"/>
            <w:r w:rsidRPr="00963E59">
              <w:lastRenderedPageBreak/>
              <w:t xml:space="preserve">Box </w:t>
            </w:r>
            <w:r w:rsidR="00786BF8" w:rsidRPr="00963E59">
              <w:t>6</w:t>
            </w:r>
            <w:r w:rsidR="007069BF" w:rsidRPr="00963E59">
              <w:t>.</w:t>
            </w:r>
            <w:r w:rsidRPr="00963E59">
              <w:t xml:space="preserve"> The role of </w:t>
            </w:r>
            <w:r w:rsidR="009C50DD" w:rsidRPr="00963E59">
              <w:t>the B</w:t>
            </w:r>
            <w:r w:rsidRPr="00963E59">
              <w:t>oard and executive decision-makers in embedding transition planning within an organisation</w:t>
            </w:r>
            <w:bookmarkEnd w:id="70"/>
            <w:bookmarkEnd w:id="71"/>
          </w:p>
          <w:p w14:paraId="67F59522" w14:textId="15FCE340" w:rsidR="00DC3879" w:rsidRPr="00963E59" w:rsidRDefault="00DC3879" w:rsidP="00DC3879">
            <w:pPr>
              <w:pStyle w:val="BoxText"/>
              <w:rPr>
                <w:lang w:eastAsia="en-US"/>
              </w:rPr>
            </w:pPr>
            <w:r w:rsidRPr="00963E59">
              <w:rPr>
                <w:lang w:eastAsia="en-US"/>
              </w:rPr>
              <w:t xml:space="preserve">The </w:t>
            </w:r>
            <w:r w:rsidR="009C50DD" w:rsidRPr="00963E59">
              <w:rPr>
                <w:lang w:eastAsia="en-US"/>
              </w:rPr>
              <w:t>B</w:t>
            </w:r>
            <w:r w:rsidRPr="00963E59">
              <w:rPr>
                <w:lang w:eastAsia="en-US"/>
              </w:rPr>
              <w:t xml:space="preserve">oard may take </w:t>
            </w:r>
            <w:r w:rsidR="009C50DD" w:rsidRPr="00963E59">
              <w:rPr>
                <w:lang w:eastAsia="en-US"/>
              </w:rPr>
              <w:t xml:space="preserve">these steps </w:t>
            </w:r>
            <w:r w:rsidR="00453B28" w:rsidRPr="00963E59">
              <w:rPr>
                <w:lang w:eastAsia="en-US"/>
              </w:rPr>
              <w:t>to</w:t>
            </w:r>
            <w:r w:rsidRPr="00963E59">
              <w:rPr>
                <w:lang w:eastAsia="en-US"/>
              </w:rPr>
              <w:t xml:space="preserve"> </w:t>
            </w:r>
            <w:r w:rsidR="00453B28" w:rsidRPr="00963E59">
              <w:rPr>
                <w:lang w:eastAsia="en-US"/>
              </w:rPr>
              <w:t xml:space="preserve">embed </w:t>
            </w:r>
            <w:r w:rsidRPr="00963E59">
              <w:rPr>
                <w:lang w:eastAsia="en-US"/>
              </w:rPr>
              <w:t>transition planning in</w:t>
            </w:r>
            <w:r w:rsidRPr="00963E59" w:rsidDel="008B4F67">
              <w:rPr>
                <w:lang w:eastAsia="en-US"/>
              </w:rPr>
              <w:t xml:space="preserve"> </w:t>
            </w:r>
            <w:r w:rsidR="009C50DD" w:rsidRPr="00963E59">
              <w:rPr>
                <w:lang w:eastAsia="en-US"/>
              </w:rPr>
              <w:t>its</w:t>
            </w:r>
            <w:r w:rsidR="009C50DD" w:rsidRPr="00963E59" w:rsidDel="008B4F67">
              <w:rPr>
                <w:lang w:eastAsia="en-US"/>
              </w:rPr>
              <w:t xml:space="preserve"> </w:t>
            </w:r>
            <w:r w:rsidRPr="00963E59">
              <w:rPr>
                <w:lang w:eastAsia="en-US"/>
              </w:rPr>
              <w:t>organisation.</w:t>
            </w:r>
            <w:r w:rsidR="004F4B4B" w:rsidRPr="00963E59">
              <w:rPr>
                <w:lang w:eastAsia="en-US"/>
              </w:rPr>
              <w:t xml:space="preserve"> </w:t>
            </w:r>
          </w:p>
          <w:p w14:paraId="53672E77" w14:textId="77777777" w:rsidR="00DC3879" w:rsidRPr="00963E59" w:rsidRDefault="00DC3879" w:rsidP="00DB6514">
            <w:pPr>
              <w:pStyle w:val="Boxbullet"/>
              <w:rPr>
                <w:lang w:eastAsia="en-US"/>
              </w:rPr>
            </w:pPr>
            <w:r w:rsidRPr="00DB6514">
              <w:rPr>
                <w:b/>
                <w:bCs/>
                <w:lang w:eastAsia="en-US"/>
              </w:rPr>
              <w:t>Approving capital allocation and budget commitments</w:t>
            </w:r>
            <w:r w:rsidRPr="00963E59">
              <w:rPr>
                <w:lang w:eastAsia="en-US"/>
              </w:rPr>
              <w:t xml:space="preserve">: approving the commencement of transition planning can help board-level oversight and executive accountability and ensure transition planning is adequately resourced. This includes investment in people, systems and capabilities, such as upskilling staff. </w:t>
            </w:r>
          </w:p>
          <w:p w14:paraId="386E6166" w14:textId="3D999CD9" w:rsidR="00DC3879" w:rsidRPr="00963E59" w:rsidRDefault="00DC3879" w:rsidP="00DB6514">
            <w:pPr>
              <w:pStyle w:val="Boxbullet"/>
              <w:rPr>
                <w:lang w:eastAsia="en-US"/>
              </w:rPr>
            </w:pPr>
            <w:r w:rsidRPr="00DB6514">
              <w:rPr>
                <w:b/>
                <w:bCs/>
                <w:lang w:eastAsia="en-US"/>
              </w:rPr>
              <w:t>Embedding transition planning into governance and reporting structures</w:t>
            </w:r>
            <w:r w:rsidRPr="00963E59">
              <w:rPr>
                <w:lang w:eastAsia="en-US"/>
              </w:rPr>
              <w:t xml:space="preserve">: </w:t>
            </w:r>
            <w:r w:rsidR="009C50DD" w:rsidRPr="00963E59">
              <w:rPr>
                <w:lang w:eastAsia="en-US"/>
              </w:rPr>
              <w:t>by</w:t>
            </w:r>
            <w:r w:rsidRPr="00963E59">
              <w:rPr>
                <w:lang w:eastAsia="en-US"/>
              </w:rPr>
              <w:t xml:space="preserve"> assigning responsibilities for transition planning to senior executive roles such as the Chief Financial Officer</w:t>
            </w:r>
            <w:r w:rsidR="009C50DD" w:rsidRPr="00963E59">
              <w:rPr>
                <w:lang w:eastAsia="en-US"/>
              </w:rPr>
              <w:t>, the Board</w:t>
            </w:r>
            <w:r w:rsidRPr="00963E59">
              <w:rPr>
                <w:lang w:eastAsia="en-US"/>
              </w:rPr>
              <w:t xml:space="preserve"> can help ensure these positions are accountable for transition planning outcomes. Governance, </w:t>
            </w:r>
            <w:r w:rsidR="00FB3423" w:rsidRPr="00963E59">
              <w:rPr>
                <w:lang w:eastAsia="en-US"/>
              </w:rPr>
              <w:t>B</w:t>
            </w:r>
            <w:r w:rsidRPr="00963E59">
              <w:rPr>
                <w:lang w:eastAsia="en-US"/>
              </w:rPr>
              <w:t xml:space="preserve">oard oversight arrangements, decision-making and strategic frameworks can be updated to incorporate transition planning. </w:t>
            </w:r>
          </w:p>
          <w:p w14:paraId="7D9B5B8B" w14:textId="15B9AFC0" w:rsidR="00DC3879" w:rsidRPr="00963E59" w:rsidRDefault="00DC3879" w:rsidP="00DB6514">
            <w:pPr>
              <w:pStyle w:val="Boxbullet"/>
              <w:rPr>
                <w:lang w:eastAsia="en-US"/>
              </w:rPr>
            </w:pPr>
            <w:r w:rsidRPr="00DB6514">
              <w:rPr>
                <w:b/>
                <w:bCs/>
                <w:lang w:eastAsia="en-US"/>
              </w:rPr>
              <w:t>Aligning incentives with transition planning objectives</w:t>
            </w:r>
            <w:r w:rsidRPr="00963E59">
              <w:rPr>
                <w:lang w:eastAsia="en-US"/>
              </w:rPr>
              <w:t xml:space="preserve">: the </w:t>
            </w:r>
            <w:r w:rsidR="00893950" w:rsidRPr="00963E59">
              <w:rPr>
                <w:lang w:eastAsia="en-US"/>
              </w:rPr>
              <w:t>B</w:t>
            </w:r>
            <w:r w:rsidRPr="00963E59">
              <w:rPr>
                <w:lang w:eastAsia="en-US"/>
              </w:rPr>
              <w:t>oard, supported by management, could review executive and organisational incentive structures. Where strategy changes but key performance indicators do not, delivery risk increases. Relevant performance indicators and milestones tied to transition planning can reinforce accountability and drive performance.</w:t>
            </w:r>
          </w:p>
          <w:p w14:paraId="4C13ED5D" w14:textId="1B39AB1C" w:rsidR="00DC3879" w:rsidRPr="00963E59" w:rsidRDefault="00DC3879" w:rsidP="00DB6514">
            <w:pPr>
              <w:pStyle w:val="Boxbullet"/>
              <w:rPr>
                <w:lang w:eastAsia="en-US"/>
              </w:rPr>
            </w:pPr>
            <w:r w:rsidRPr="00DB6514">
              <w:rPr>
                <w:b/>
                <w:bCs/>
                <w:lang w:eastAsia="en-US"/>
              </w:rPr>
              <w:t>Communicating transition planning across the organisation</w:t>
            </w:r>
            <w:r w:rsidRPr="00963E59">
              <w:rPr>
                <w:lang w:eastAsia="en-US"/>
              </w:rPr>
              <w:t xml:space="preserve">: transition planning cannot succeed if employees are unaware of it or unsure of its relevance to their role. The </w:t>
            </w:r>
            <w:r w:rsidR="00BC5F7F" w:rsidRPr="00963E59">
              <w:rPr>
                <w:lang w:eastAsia="en-US"/>
              </w:rPr>
              <w:t>B</w:t>
            </w:r>
            <w:r w:rsidRPr="00963E59">
              <w:rPr>
                <w:lang w:eastAsia="en-US"/>
              </w:rPr>
              <w:t>oard can set expectations, while senior executive management confirms there is a clear plan in place to embed transition planning across business units. Wide consultation will foster buy-in and reduce implementation risk.</w:t>
            </w:r>
          </w:p>
          <w:p w14:paraId="495A27E1" w14:textId="0E5BF25C" w:rsidR="009C1B1B" w:rsidRPr="00963E59" w:rsidRDefault="009C1B1B" w:rsidP="009C1B1B">
            <w:pPr>
              <w:pStyle w:val="BoxText"/>
              <w:rPr>
                <w:lang w:eastAsia="en-US"/>
              </w:rPr>
            </w:pPr>
            <w:r w:rsidRPr="00963E59">
              <w:rPr>
                <w:lang w:eastAsia="en-US"/>
              </w:rPr>
              <w:t>Potential questions for the Board at the outset of transition planning include:</w:t>
            </w:r>
          </w:p>
          <w:p w14:paraId="22B8BEC1" w14:textId="77777777" w:rsidR="009C1B1B" w:rsidRPr="00963E59" w:rsidRDefault="009C1B1B" w:rsidP="00DB6514">
            <w:pPr>
              <w:pStyle w:val="Boxbullet"/>
            </w:pPr>
            <w:r w:rsidRPr="00963E59">
              <w:t>Does the Board have the capability and confidence to critically assess climate-related advice and assumptions from management or advisers?</w:t>
            </w:r>
          </w:p>
          <w:p w14:paraId="247AA7B0" w14:textId="77777777" w:rsidR="009C1B1B" w:rsidRPr="00963E59" w:rsidRDefault="009C1B1B" w:rsidP="00DB6514">
            <w:pPr>
              <w:pStyle w:val="Boxbullet"/>
            </w:pPr>
            <w:r w:rsidRPr="00963E59">
              <w:t>Is climate governance capability appropriately reflected in education, succession planning and skills at the executive level?</w:t>
            </w:r>
          </w:p>
          <w:p w14:paraId="107FDFE9" w14:textId="77777777" w:rsidR="009C1B1B" w:rsidRPr="00963E59" w:rsidRDefault="009C1B1B" w:rsidP="00DB6514">
            <w:pPr>
              <w:pStyle w:val="Boxbullet"/>
            </w:pPr>
            <w:r w:rsidRPr="00963E59">
              <w:t>Are governance structures, decision-making processes, and reporting lines appropriate to support delivery of transition planning?</w:t>
            </w:r>
          </w:p>
          <w:p w14:paraId="78986624" w14:textId="7A75396B" w:rsidR="009C1B1B" w:rsidRPr="00963E59" w:rsidRDefault="009C1B1B" w:rsidP="00DB6514">
            <w:pPr>
              <w:pStyle w:val="Boxbullet"/>
            </w:pPr>
            <w:r w:rsidRPr="00963E59">
              <w:t>Are there defined processes in place to monitor progress, review transition planning and respond to material developments or emerging risks?</w:t>
            </w:r>
          </w:p>
          <w:p w14:paraId="548178F9" w14:textId="322639F1" w:rsidR="00A41E34" w:rsidRPr="00963E59" w:rsidRDefault="00A41E34" w:rsidP="00CE19ED">
            <w:pPr>
              <w:pStyle w:val="ChartorTableNote"/>
              <w:rPr>
                <w:lang w:eastAsia="en-US"/>
              </w:rPr>
            </w:pPr>
            <w:r w:rsidRPr="00963E59">
              <w:rPr>
                <w:b/>
              </w:rPr>
              <w:t>Source</w:t>
            </w:r>
            <w:r w:rsidRPr="00963E59">
              <w:t>:</w:t>
            </w:r>
            <w:r w:rsidR="00CE19ED">
              <w:tab/>
            </w:r>
            <w:r w:rsidRPr="00963E59">
              <w:t xml:space="preserve">Adapted from Australian Institute of Company Director (AICD) and Australian Council of Superannuation </w:t>
            </w:r>
            <w:r w:rsidR="00CE19ED">
              <w:tab/>
            </w:r>
            <w:r w:rsidRPr="00963E59">
              <w:t xml:space="preserve">Investors (ACSI), </w:t>
            </w:r>
            <w:hyperlink r:id="rId58" w:history="1">
              <w:r w:rsidRPr="00963E59">
                <w:rPr>
                  <w:rStyle w:val="Hyperlink"/>
                  <w:szCs w:val="18"/>
                </w:rPr>
                <w:t>Governing for Net Zero: The board’s role in organisational transition planning</w:t>
              </w:r>
            </w:hyperlink>
            <w:r w:rsidRPr="00963E59">
              <w:t xml:space="preserve"> (2025)</w:t>
            </w:r>
          </w:p>
        </w:tc>
      </w:tr>
    </w:tbl>
    <w:p w14:paraId="0502F83F" w14:textId="77777777" w:rsidR="00DC3879" w:rsidRDefault="00DC3879" w:rsidP="00D64CEC">
      <w:pPr>
        <w:pStyle w:val="SingleParagraph"/>
      </w:pPr>
    </w:p>
    <w:tbl>
      <w:tblPr>
        <w:tblW w:w="5000" w:type="pct"/>
        <w:shd w:val="clear" w:color="auto" w:fill="F2F9FC"/>
        <w:tblCellMar>
          <w:top w:w="227" w:type="dxa"/>
          <w:left w:w="227" w:type="dxa"/>
          <w:bottom w:w="227" w:type="dxa"/>
          <w:right w:w="227" w:type="dxa"/>
        </w:tblCellMar>
        <w:tblLook w:val="0620" w:firstRow="1" w:lastRow="0" w:firstColumn="0" w:lastColumn="0" w:noHBand="1" w:noVBand="1"/>
      </w:tblPr>
      <w:tblGrid>
        <w:gridCol w:w="9070"/>
      </w:tblGrid>
      <w:tr w:rsidR="00E964D5" w:rsidRPr="00963E59" w14:paraId="539ACF79" w14:textId="77777777" w:rsidTr="0058480E">
        <w:tc>
          <w:tcPr>
            <w:tcW w:w="5000" w:type="pct"/>
            <w:shd w:val="clear" w:color="auto" w:fill="F2F9FC"/>
            <w:hideMark/>
          </w:tcPr>
          <w:p w14:paraId="3749A216" w14:textId="25DFA644" w:rsidR="00E964D5" w:rsidRPr="00963E59" w:rsidRDefault="00E964D5">
            <w:pPr>
              <w:pStyle w:val="BoxHeading"/>
            </w:pPr>
            <w:bookmarkStart w:id="72" w:name="_Toc237351137"/>
            <w:bookmarkStart w:id="73" w:name="_Toc233287103"/>
            <w:r w:rsidRPr="00963E59">
              <w:lastRenderedPageBreak/>
              <w:t xml:space="preserve">Box </w:t>
            </w:r>
            <w:r w:rsidR="00786BF8" w:rsidRPr="00963E59">
              <w:t>7</w:t>
            </w:r>
            <w:r w:rsidRPr="00963E59">
              <w:t>. Illustrative example on getting started with transition planning</w:t>
            </w:r>
            <w:bookmarkEnd w:id="72"/>
            <w:bookmarkEnd w:id="73"/>
          </w:p>
          <w:p w14:paraId="1EDBEB9A" w14:textId="185F67A3" w:rsidR="00E964D5" w:rsidRPr="00963E59" w:rsidRDefault="00E964D5">
            <w:pPr>
              <w:pStyle w:val="BoxText"/>
            </w:pPr>
            <w:r w:rsidRPr="00963E59">
              <w:rPr>
                <w:lang w:eastAsia="en-US"/>
              </w:rPr>
              <w:t xml:space="preserve">A </w:t>
            </w:r>
            <w:r w:rsidR="00EF2CAD">
              <w:rPr>
                <w:lang w:eastAsia="en-US"/>
              </w:rPr>
              <w:t>manufacturing</w:t>
            </w:r>
            <w:r w:rsidRPr="00963E59" w:rsidDel="00196DD4">
              <w:rPr>
                <w:lang w:eastAsia="en-US"/>
              </w:rPr>
              <w:t xml:space="preserve"> </w:t>
            </w:r>
            <w:r w:rsidRPr="00963E59">
              <w:rPr>
                <w:lang w:eastAsia="en-US"/>
              </w:rPr>
              <w:t xml:space="preserve">company hires a Sustainability Officer to coordinate and implement the company’s sustainability strategy, including progressing its transition planning. </w:t>
            </w:r>
            <w:r w:rsidRPr="00963E59">
              <w:t xml:space="preserve">The </w:t>
            </w:r>
            <w:r w:rsidRPr="00963E59">
              <w:rPr>
                <w:lang w:eastAsia="en-US"/>
              </w:rPr>
              <w:t>Sustainability</w:t>
            </w:r>
            <w:r w:rsidR="001C0E65">
              <w:rPr>
                <w:lang w:eastAsia="en-US"/>
              </w:rPr>
              <w:t> </w:t>
            </w:r>
            <w:r w:rsidRPr="00963E59">
              <w:rPr>
                <w:lang w:eastAsia="en-US"/>
              </w:rPr>
              <w:t>Officer</w:t>
            </w:r>
            <w:r w:rsidRPr="00963E59">
              <w:t xml:space="preserve"> starts by reviewing the inputs required for transition planning and identifies</w:t>
            </w:r>
            <w:r w:rsidR="001C0E65">
              <w:t> </w:t>
            </w:r>
            <w:r w:rsidR="00B95ADE" w:rsidRPr="00963E59">
              <w:t>three</w:t>
            </w:r>
            <w:r w:rsidRPr="00963E59">
              <w:t xml:space="preserve"> critical gaps. The</w:t>
            </w:r>
            <w:r w:rsidR="00916307" w:rsidRPr="00963E59">
              <w:t>y find that the</w:t>
            </w:r>
            <w:r w:rsidRPr="00963E59">
              <w:t xml:space="preserve"> company has not</w:t>
            </w:r>
            <w:r w:rsidR="00916307" w:rsidRPr="00963E59">
              <w:t xml:space="preserve"> yet</w:t>
            </w:r>
            <w:r w:rsidRPr="00963E59">
              <w:t>:</w:t>
            </w:r>
          </w:p>
          <w:p w14:paraId="75EA42F7" w14:textId="77777777" w:rsidR="00E964D5" w:rsidRPr="00963E59" w:rsidRDefault="00E964D5" w:rsidP="00DB6514">
            <w:pPr>
              <w:pStyle w:val="Boxbullet"/>
            </w:pPr>
            <w:r w:rsidRPr="00963E59">
              <w:t>conducted a climate risk and opportunity assessment</w:t>
            </w:r>
          </w:p>
          <w:p w14:paraId="3717FDA2" w14:textId="77777777" w:rsidR="00E964D5" w:rsidRPr="00963E59" w:rsidRDefault="00E964D5" w:rsidP="00DB6514">
            <w:pPr>
              <w:pStyle w:val="Boxbullet"/>
            </w:pPr>
            <w:r w:rsidRPr="00963E59">
              <w:t>developed a GHG emissions inventory</w:t>
            </w:r>
          </w:p>
          <w:p w14:paraId="2E6A0C17" w14:textId="77777777" w:rsidR="00E964D5" w:rsidRPr="00963E59" w:rsidRDefault="00E964D5" w:rsidP="00DB6514">
            <w:pPr>
              <w:pStyle w:val="Boxbullet"/>
            </w:pPr>
            <w:r w:rsidRPr="00963E59">
              <w:t>engaged the Board on transition planning.</w:t>
            </w:r>
          </w:p>
          <w:p w14:paraId="483EBA8C" w14:textId="77777777" w:rsidR="00E964D5" w:rsidRPr="00963E59" w:rsidRDefault="00E964D5">
            <w:pPr>
              <w:pStyle w:val="BoxText"/>
            </w:pPr>
            <w:r w:rsidRPr="00963E59">
              <w:t xml:space="preserve">They conduct a high-level review of their core business functions. Using resources such as sectoral emissions reduction pathways from the relevant sector plans and Australian Industry Energy Transitions Initiative </w:t>
            </w:r>
            <w:hyperlink r:id="rId59" w:history="1">
              <w:r w:rsidRPr="00963E59">
                <w:rPr>
                  <w:rStyle w:val="Hyperlink"/>
                </w:rPr>
                <w:t>Pathways to industrial decarbonisation</w:t>
              </w:r>
            </w:hyperlink>
            <w:r w:rsidRPr="00963E59">
              <w:t>,</w:t>
            </w:r>
            <w:r w:rsidRPr="00963E59">
              <w:rPr>
                <w:rStyle w:val="FootnoteReference"/>
              </w:rPr>
              <w:endnoteReference w:id="32"/>
            </w:r>
            <w:r w:rsidRPr="00963E59">
              <w:t xml:space="preserve"> the </w:t>
            </w:r>
            <w:r w:rsidRPr="00963E59">
              <w:rPr>
                <w:lang w:eastAsia="en-US"/>
              </w:rPr>
              <w:t xml:space="preserve">Sustainability Officer </w:t>
            </w:r>
            <w:r w:rsidRPr="00963E59">
              <w:t xml:space="preserve">researches how these activities may change over time. In parallel, using the </w:t>
            </w:r>
            <w:hyperlink r:id="rId60" w:history="1">
              <w:r w:rsidRPr="00963E59">
                <w:rPr>
                  <w:rStyle w:val="Hyperlink"/>
                </w:rPr>
                <w:t>National Climate Risk Assessment</w:t>
              </w:r>
            </w:hyperlink>
            <w:r w:rsidRPr="00963E59">
              <w:t xml:space="preserve"> (NCRA), they do an initial scan of the potential physical risks, such as fires, floods and droughts, on</w:t>
            </w:r>
            <w:r w:rsidRPr="00963E59" w:rsidDel="000234A8">
              <w:t xml:space="preserve"> </w:t>
            </w:r>
            <w:r w:rsidRPr="00963E59">
              <w:t xml:space="preserve">the company’s most material operating assets and value chains. </w:t>
            </w:r>
          </w:p>
          <w:p w14:paraId="29875B03" w14:textId="2966626A" w:rsidR="00E964D5" w:rsidRPr="00963E59" w:rsidRDefault="00E964D5">
            <w:pPr>
              <w:pStyle w:val="BoxText"/>
            </w:pPr>
            <w:r w:rsidRPr="00963E59">
              <w:t xml:space="preserve">They inform their assessment of transition risks using a range of resources, including the Intergovernmental Panel on Climate Change’s (IPCC) </w:t>
            </w:r>
            <w:hyperlink r:id="rId61" w:history="1">
              <w:r w:rsidRPr="00963E59">
                <w:rPr>
                  <w:rStyle w:val="Hyperlink"/>
                </w:rPr>
                <w:t>Sixth Assessment Report</w:t>
              </w:r>
            </w:hyperlink>
            <w:r w:rsidRPr="00963E59">
              <w:t>.</w:t>
            </w:r>
            <w:r w:rsidRPr="00963E59">
              <w:rPr>
                <w:rStyle w:val="FootnoteReference"/>
              </w:rPr>
              <w:endnoteReference w:id="33"/>
            </w:r>
            <w:r w:rsidRPr="00963E59">
              <w:t xml:space="preserve"> The </w:t>
            </w:r>
            <w:r w:rsidRPr="00963E59">
              <w:rPr>
                <w:lang w:eastAsia="en-US"/>
              </w:rPr>
              <w:t>Sustainability Officer</w:t>
            </w:r>
            <w:r w:rsidRPr="00963E59">
              <w:t xml:space="preserve"> conducts a peer analysis and a high-level review of the material issues that matter to</w:t>
            </w:r>
            <w:r w:rsidR="004553BC" w:rsidRPr="00963E59">
              <w:t xml:space="preserve"> the</w:t>
            </w:r>
            <w:r w:rsidRPr="00963E59">
              <w:t xml:space="preserve"> company</w:t>
            </w:r>
            <w:r w:rsidR="004553BC" w:rsidRPr="00963E59">
              <w:t>’s</w:t>
            </w:r>
            <w:r w:rsidRPr="00963E59">
              <w:t xml:space="preserve"> stakeholders. In doing this, they highlight the potential financial and social implications of these issues to the company. </w:t>
            </w:r>
          </w:p>
          <w:p w14:paraId="48BB46E0" w14:textId="26D465E3" w:rsidR="00E964D5" w:rsidRPr="00963E59" w:rsidRDefault="00E964D5" w:rsidP="00D73745">
            <w:pPr>
              <w:rPr>
                <w:lang w:eastAsia="en-US"/>
              </w:rPr>
            </w:pPr>
            <w:r w:rsidRPr="00963E59">
              <w:t xml:space="preserve">The output of this preliminary analysis is a high-level business case that identifies potential risks and opportunities, and their respective costs and benefits. This supports the </w:t>
            </w:r>
            <w:r w:rsidRPr="00963E59">
              <w:rPr>
                <w:lang w:eastAsia="en-US"/>
              </w:rPr>
              <w:t xml:space="preserve">Sustainability Officer </w:t>
            </w:r>
            <w:r w:rsidRPr="00963E59">
              <w:t>in building the case for change among leadership and other business units and obtaining Board approval and cross-organisational buy-in to undertake transition planning.</w:t>
            </w:r>
            <w:r w:rsidR="004553BC" w:rsidRPr="00963E59">
              <w:t xml:space="preserve"> </w:t>
            </w:r>
          </w:p>
        </w:tc>
      </w:tr>
      <w:tr w:rsidR="00E964D5" w:rsidRPr="00963E59" w14:paraId="46AD3092" w14:textId="77777777" w:rsidTr="0058480E">
        <w:tc>
          <w:tcPr>
            <w:tcW w:w="5000" w:type="pct"/>
            <w:shd w:val="clear" w:color="auto" w:fill="F2F9FC"/>
            <w:hideMark/>
          </w:tcPr>
          <w:p w14:paraId="75163576" w14:textId="3D556C03" w:rsidR="00E964D5" w:rsidRPr="00963E59" w:rsidRDefault="00E964D5">
            <w:pPr>
              <w:pStyle w:val="BoxHeading"/>
            </w:pPr>
            <w:bookmarkStart w:id="74" w:name="_Toc237351138"/>
            <w:bookmarkStart w:id="75" w:name="_Toc233287104"/>
            <w:r w:rsidRPr="00963E59">
              <w:lastRenderedPageBreak/>
              <w:t xml:space="preserve">Box </w:t>
            </w:r>
            <w:r w:rsidR="00786BF8" w:rsidRPr="00963E59">
              <w:t>8</w:t>
            </w:r>
            <w:r w:rsidRPr="00963E59">
              <w:t>. Illustrative example on climate strategy governance</w:t>
            </w:r>
            <w:bookmarkEnd w:id="74"/>
            <w:bookmarkEnd w:id="75"/>
          </w:p>
          <w:p w14:paraId="700DEE45" w14:textId="77777777" w:rsidR="00E964D5" w:rsidRPr="00963E59" w:rsidRDefault="00E964D5">
            <w:pPr>
              <w:pStyle w:val="BoxText"/>
            </w:pPr>
            <w:r w:rsidRPr="00963E59">
              <w:t>The climate strategy of a large organisation includes oversight from the organisation’s Board supported by the Sustainability Committee. The climate strategy, including transition planning, is informed by a periodic assessment of climate-related risks and opportunities, which is integrated in the organisation’s enterprise risk management processes.</w:t>
            </w:r>
          </w:p>
          <w:p w14:paraId="617AB763" w14:textId="77777777" w:rsidR="00E964D5" w:rsidRPr="00963E59" w:rsidRDefault="00E964D5">
            <w:pPr>
              <w:pStyle w:val="BoxText"/>
            </w:pPr>
            <w:r w:rsidRPr="00963E59">
              <w:t>The Board is also responsible for the organisation’s overall risk appetite and setting risk appetite levels covering business and financial risks, which includes consideration of climate risks and opportunities. Climate-related risks are captured in the organisation’s corporate risk register and are reviewed alongside other principal corporate risks on a regular basis.</w:t>
            </w:r>
          </w:p>
          <w:p w14:paraId="3BDA4794" w14:textId="77777777" w:rsidR="00E964D5" w:rsidRPr="00963E59" w:rsidRDefault="00E964D5">
            <w:pPr>
              <w:pStyle w:val="BoxText"/>
            </w:pPr>
            <w:r w:rsidRPr="00963E59">
              <w:t xml:space="preserve">As a result, consideration of the climate-related risks and opportunities is embedded in the organisation’s wider corporate governance framework and processes. Climate-related responsibilities are allocated to the Sustainability Committee and Working Group. Their respective terms of reference formalise and document climate-related responsibilities. This clarifies who is responsible for progressing strategic ambitions day-to-day and for monitoring and escalating climate-related risks and opportunities. </w:t>
            </w:r>
          </w:p>
          <w:p w14:paraId="3FF8C0D9" w14:textId="77777777" w:rsidR="00E964D5" w:rsidRPr="00963E59" w:rsidRDefault="00E964D5">
            <w:pPr>
              <w:pStyle w:val="BoxText"/>
            </w:pPr>
            <w:r w:rsidRPr="00963E59">
              <w:t>The Board meets regularly throughout the year to consider its transition planning strategy, including education sessions and updates from the Executive Sustainability Committee and Sustainability Working Group. Board and Executive members with oversight of climate-related matters have relevant skills and experience, and are supported by ongoing training and external expertise, to enable informed decision-making relating to transition planning.</w:t>
            </w:r>
          </w:p>
          <w:p w14:paraId="450B14A1" w14:textId="77777777" w:rsidR="00E964D5" w:rsidRPr="00963E59" w:rsidRDefault="00E964D5" w:rsidP="00E550CE">
            <w:pPr>
              <w:pStyle w:val="ChartMainHeading"/>
              <w:rPr>
                <w:lang w:eastAsia="en-US"/>
              </w:rPr>
            </w:pPr>
            <w:bookmarkStart w:id="76" w:name="Figure3"/>
            <w:bookmarkStart w:id="77" w:name="_Toc225347730"/>
            <w:bookmarkEnd w:id="76"/>
            <w:r w:rsidRPr="00963E59">
              <w:rPr>
                <w:noProof/>
              </w:rPr>
              <w:t xml:space="preserve">Figure 3: </w:t>
            </w:r>
            <w:r w:rsidRPr="00E550CE">
              <w:t>Illustrative</w:t>
            </w:r>
            <w:r w:rsidRPr="00963E59">
              <w:rPr>
                <w:noProof/>
              </w:rPr>
              <w:t xml:space="preserve"> climate governance framework</w:t>
            </w:r>
            <w:bookmarkEnd w:id="77"/>
          </w:p>
          <w:p w14:paraId="55234F7C" w14:textId="77777777" w:rsidR="00E964D5" w:rsidRPr="00E550CE" w:rsidRDefault="00E964D5" w:rsidP="00E550CE">
            <w:pPr>
              <w:pStyle w:val="ChartGraphic"/>
            </w:pPr>
            <w:r w:rsidRPr="00E550CE">
              <w:rPr>
                <w:noProof/>
              </w:rPr>
              <w:drawing>
                <wp:inline distT="0" distB="0" distL="0" distR="0" wp14:anchorId="7D2D39C9" wp14:editId="4B0ED1AD">
                  <wp:extent cx="5467350" cy="3352800"/>
                  <wp:effectExtent l="0" t="0" r="0" b="0"/>
                  <wp:docPr id="757757858" name="drawing" descr="This figure outlines a climate governance framework &#10;&#10;The board is made up of the Chief Executive Officer, Chief Financial Officer and Chief Risk Officer. It oversees and delegates to the Sustainability Committee, Audit Committee and Risk Committee. The Sustainability Committee oversees and delegates to the Sustainability Working Group. The Sustainability Working Group indirectly reports to  and engages with the Audit Committee and Risk Committee. The Committees ensure accountability and performance measu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57858" name="drawing" descr="This figure outlines a climate governance framework &#10;&#10;The board is made up of the Chief Executive Officer, Chief Financial Officer and Chief Risk Officer. It oversees and delegates to the Sustainability Committee, Audit Committee and Risk Committee. The Sustainability Committee oversees and delegates to the Sustainability Working Group. The Sustainability Working Group indirectly reports to  and engages with the Audit Committee and Risk Committee. The Committees ensure accountability and performance measuring"/>
                          <pic:cNvPicPr/>
                        </pic:nvPicPr>
                        <pic:blipFill>
                          <a:blip r:embed="rId62">
                            <a:extLst>
                              <a:ext uri="{28A0092B-C50C-407E-A947-70E740481C1C}">
                                <a14:useLocalDpi xmlns:a14="http://schemas.microsoft.com/office/drawing/2010/main"/>
                              </a:ext>
                            </a:extLst>
                          </a:blip>
                          <a:stretch>
                            <a:fillRect/>
                          </a:stretch>
                        </pic:blipFill>
                        <pic:spPr>
                          <a:xfrm>
                            <a:off x="0" y="0"/>
                            <a:ext cx="5467350" cy="3352800"/>
                          </a:xfrm>
                          <a:prstGeom prst="rect">
                            <a:avLst/>
                          </a:prstGeom>
                        </pic:spPr>
                      </pic:pic>
                    </a:graphicData>
                  </a:graphic>
                </wp:inline>
              </w:drawing>
            </w:r>
          </w:p>
        </w:tc>
      </w:tr>
    </w:tbl>
    <w:p w14:paraId="0A8FA851" w14:textId="77777777" w:rsidR="00E964D5" w:rsidRDefault="00E964D5" w:rsidP="00E964D5">
      <w:pPr>
        <w:pStyle w:val="SingleParagraph"/>
      </w:pPr>
    </w:p>
    <w:p w14:paraId="53F8EF56" w14:textId="4C3D7629" w:rsidR="00E5737F" w:rsidRPr="00F50B57" w:rsidRDefault="00E5737F" w:rsidP="00725E43">
      <w:pPr>
        <w:pStyle w:val="Heading2Numbered"/>
        <w:ind w:left="360"/>
      </w:pPr>
      <w:bookmarkStart w:id="78" w:name="Stage1dot2"/>
      <w:bookmarkStart w:id="79" w:name="_Toc224906873"/>
      <w:bookmarkStart w:id="80" w:name="_Toc224916505"/>
      <w:bookmarkStart w:id="81" w:name="_Toc232776346"/>
      <w:bookmarkEnd w:id="78"/>
      <w:r>
        <w:lastRenderedPageBreak/>
        <w:t>Determine</w:t>
      </w:r>
      <w:r w:rsidRPr="00B07C7F">
        <w:t xml:space="preserve"> the scope of transition planning</w:t>
      </w:r>
      <w:bookmarkEnd w:id="79"/>
      <w:bookmarkEnd w:id="80"/>
      <w:bookmarkEnd w:id="81"/>
    </w:p>
    <w:p w14:paraId="4E092B91" w14:textId="4A615025" w:rsidR="00541B9E" w:rsidRPr="00760C98" w:rsidRDefault="000C4A0D" w:rsidP="00760C98">
      <w:r>
        <w:t>O</w:t>
      </w:r>
      <w:r w:rsidR="00E5737F" w:rsidRPr="00482041">
        <w:t>rganisations with operations across multiple jurisdictions</w:t>
      </w:r>
      <w:r w:rsidR="0036402E">
        <w:t xml:space="preserve"> </w:t>
      </w:r>
      <w:r w:rsidR="005B1D05">
        <w:t>can</w:t>
      </w:r>
      <w:r w:rsidR="0036402E">
        <w:t xml:space="preserve"> </w:t>
      </w:r>
      <w:r w:rsidR="00D83D4A">
        <w:t>consider</w:t>
      </w:r>
      <w:r w:rsidR="00E5737F" w:rsidRPr="00482041">
        <w:t xml:space="preserve"> </w:t>
      </w:r>
      <w:r w:rsidR="00CC065E">
        <w:t xml:space="preserve">the </w:t>
      </w:r>
      <w:r w:rsidR="00E5737F" w:rsidRPr="00482041">
        <w:t xml:space="preserve">appropriate level at which </w:t>
      </w:r>
      <w:r w:rsidR="0088567C">
        <w:t xml:space="preserve">transition </w:t>
      </w:r>
      <w:r w:rsidR="00E5737F" w:rsidRPr="00482041">
        <w:t>planning is undertaken</w:t>
      </w:r>
      <w:r w:rsidR="000D5107">
        <w:t>. Options include the</w:t>
      </w:r>
      <w:r w:rsidR="005475D5">
        <w:t xml:space="preserve"> </w:t>
      </w:r>
      <w:r w:rsidR="005475D5" w:rsidRPr="00482041">
        <w:t>individual business or asset levels</w:t>
      </w:r>
      <w:r w:rsidR="005F26DA">
        <w:t>,</w:t>
      </w:r>
      <w:r w:rsidR="005475D5">
        <w:t xml:space="preserve"> </w:t>
      </w:r>
      <w:r w:rsidR="000D5107">
        <w:t>the</w:t>
      </w:r>
      <w:r w:rsidR="00E5737F" w:rsidRPr="00482041">
        <w:t xml:space="preserve"> consolidated group level, or a combination of bot</w:t>
      </w:r>
      <w:r w:rsidR="6450F691" w:rsidRPr="00482041">
        <w:t>h.</w:t>
      </w:r>
      <w:r w:rsidRPr="00760C98">
        <w:rPr>
          <w:rStyle w:val="FootnoteReference"/>
        </w:rPr>
        <w:endnoteReference w:id="34"/>
      </w:r>
    </w:p>
    <w:p w14:paraId="4CFF6B91" w14:textId="4CCD2BD4" w:rsidR="00E5737F" w:rsidRDefault="00E5737F" w:rsidP="00DC3879">
      <w:r w:rsidRPr="00482041">
        <w:t>Business</w:t>
      </w:r>
      <w:r w:rsidR="00963E59">
        <w:noBreakHyphen/>
      </w:r>
      <w:r w:rsidRPr="00482041">
        <w:t>level or country</w:t>
      </w:r>
      <w:r w:rsidR="00963E59">
        <w:noBreakHyphen/>
      </w:r>
      <w:r w:rsidRPr="00482041">
        <w:t xml:space="preserve">specific </w:t>
      </w:r>
      <w:r w:rsidR="00010205">
        <w:t>approaches</w:t>
      </w:r>
      <w:r w:rsidRPr="00482041">
        <w:t xml:space="preserve"> can enable more targeted responses to local policy settings</w:t>
      </w:r>
      <w:r w:rsidR="005B43A2">
        <w:t xml:space="preserve"> </w:t>
      </w:r>
      <w:r w:rsidRPr="00482041">
        <w:t xml:space="preserve">and market conditions. </w:t>
      </w:r>
      <w:r w:rsidR="00D83D4A">
        <w:t>A</w:t>
      </w:r>
      <w:r w:rsidRPr="00482041">
        <w:t xml:space="preserve"> consolidated group or multinational approach can help </w:t>
      </w:r>
      <w:r w:rsidR="00D405E3">
        <w:t>identify risks,</w:t>
      </w:r>
      <w:r w:rsidR="50B36D04" w:rsidRPr="00482041">
        <w:t xml:space="preserve"> </w:t>
      </w:r>
      <w:r w:rsidRPr="00482041">
        <w:t xml:space="preserve">dependencies and strategic opportunities that may not be apparent when planning is undertaken </w:t>
      </w:r>
      <w:r w:rsidR="00207E33">
        <w:t>separately</w:t>
      </w:r>
      <w:r w:rsidR="007F4A5D">
        <w:t>. These can include</w:t>
      </w:r>
      <w:r w:rsidRPr="00482041">
        <w:t xml:space="preserve"> cross</w:t>
      </w:r>
      <w:r w:rsidR="00963E59">
        <w:noBreakHyphen/>
      </w:r>
      <w:r w:rsidRPr="00482041">
        <w:t>border value chain exposures, capital allocation trade</w:t>
      </w:r>
      <w:r w:rsidR="00963E59">
        <w:noBreakHyphen/>
      </w:r>
      <w:r w:rsidRPr="00482041">
        <w:t xml:space="preserve">offs and competitive dynamics in customer and supplier markets. A multinational </w:t>
      </w:r>
      <w:r w:rsidR="00154E9A">
        <w:t>approach</w:t>
      </w:r>
      <w:r w:rsidRPr="00482041">
        <w:t xml:space="preserve"> may also support assessment of how differing national</w:t>
      </w:r>
      <w:r w:rsidRPr="00482041" w:rsidDel="00AA5317">
        <w:t xml:space="preserve"> </w:t>
      </w:r>
      <w:r w:rsidRPr="00482041">
        <w:t xml:space="preserve">pathways and targets </w:t>
      </w:r>
      <w:r w:rsidR="4E24DA90" w:rsidRPr="00482041">
        <w:t>can</w:t>
      </w:r>
      <w:r w:rsidRPr="00482041">
        <w:t xml:space="preserve"> influence scope</w:t>
      </w:r>
      <w:r w:rsidR="00593599">
        <w:t> </w:t>
      </w:r>
      <w:r w:rsidRPr="00482041">
        <w:t xml:space="preserve">3 emissions and </w:t>
      </w:r>
      <w:r w:rsidR="00E1612B">
        <w:t xml:space="preserve">the </w:t>
      </w:r>
      <w:r w:rsidRPr="00482041">
        <w:t>broader business strategy.</w:t>
      </w:r>
      <w:r w:rsidRPr="00760C98">
        <w:rPr>
          <w:rStyle w:val="FootnoteReference"/>
        </w:rPr>
        <w:endnoteReference w:id="35"/>
      </w:r>
    </w:p>
    <w:p w14:paraId="5F0CC3BE" w14:textId="36894136" w:rsidR="00E5737F" w:rsidRDefault="00436C1C" w:rsidP="00DC3879">
      <w:r>
        <w:t>A</w:t>
      </w:r>
      <w:r w:rsidR="00E5737F" w:rsidRPr="00482041">
        <w:t>ligning transition planning with corporate financial reporting and enterprise risk management processes can help ensure climate</w:t>
      </w:r>
      <w:r w:rsidR="00963E59">
        <w:noBreakHyphen/>
      </w:r>
      <w:r w:rsidR="00E5737F" w:rsidRPr="00482041">
        <w:t>related risks and opportunities are considered alongside other business risks and opportunities</w:t>
      </w:r>
      <w:r>
        <w:t>. This is</w:t>
      </w:r>
      <w:r w:rsidR="00E5737F" w:rsidRPr="00482041">
        <w:t xml:space="preserve"> consistent with established risk management frameworks</w:t>
      </w:r>
      <w:r w:rsidR="00FB6126">
        <w:t>,</w:t>
      </w:r>
      <w:r w:rsidR="00E5737F" w:rsidRPr="00482041">
        <w:t xml:space="preserve"> such as</w:t>
      </w:r>
      <w:r w:rsidR="004B751F">
        <w:t xml:space="preserve"> </w:t>
      </w:r>
      <w:r w:rsidR="004B751F" w:rsidRPr="004B751F">
        <w:t>International Organization for Standardization</w:t>
      </w:r>
      <w:r w:rsidR="00E5737F" w:rsidRPr="00482041">
        <w:t xml:space="preserve"> </w:t>
      </w:r>
      <w:r w:rsidR="004B751F">
        <w:t>(</w:t>
      </w:r>
      <w:r w:rsidR="00E5737F" w:rsidRPr="00D73DD0">
        <w:t>ISO</w:t>
      </w:r>
      <w:r w:rsidR="004B751F">
        <w:t>)</w:t>
      </w:r>
      <w:r w:rsidR="00E5737F" w:rsidRPr="00D73DD0">
        <w:t xml:space="preserve"> </w:t>
      </w:r>
      <w:hyperlink r:id="rId63" w:history="1">
        <w:r w:rsidR="00F659B3" w:rsidRPr="00226155">
          <w:rPr>
            <w:rStyle w:val="Hyperlink"/>
          </w:rPr>
          <w:t xml:space="preserve">ISO </w:t>
        </w:r>
        <w:r w:rsidR="00E5737F" w:rsidRPr="00226155">
          <w:rPr>
            <w:rStyle w:val="Hyperlink"/>
          </w:rPr>
          <w:t>31000</w:t>
        </w:r>
      </w:hyperlink>
      <w:r w:rsidR="00E5737F" w:rsidRPr="00482041">
        <w:t>.</w:t>
      </w:r>
      <w:r w:rsidR="00482D62" w:rsidRPr="00760C98">
        <w:rPr>
          <w:rStyle w:val="FootnoteReference"/>
        </w:rPr>
        <w:endnoteReference w:id="36"/>
      </w:r>
    </w:p>
    <w:p w14:paraId="2A2B23E9" w14:textId="1FA6DA2D" w:rsidR="0018344D" w:rsidRDefault="0018344D" w:rsidP="00725E43">
      <w:pPr>
        <w:pStyle w:val="Heading2Numbered"/>
        <w:ind w:left="360"/>
      </w:pPr>
      <w:bookmarkStart w:id="82" w:name="Stage1dot3"/>
      <w:bookmarkStart w:id="83" w:name="_Toc224906874"/>
      <w:bookmarkStart w:id="84" w:name="_Toc224916506"/>
      <w:bookmarkStart w:id="85" w:name="_Toc232776347"/>
      <w:bookmarkEnd w:id="82"/>
      <w:r>
        <w:t>Map key stakeholders</w:t>
      </w:r>
      <w:bookmarkEnd w:id="83"/>
      <w:bookmarkEnd w:id="84"/>
      <w:bookmarkEnd w:id="85"/>
    </w:p>
    <w:p w14:paraId="67EB8C55" w14:textId="3173DABA" w:rsidR="00704CC7" w:rsidRDefault="001A61D3" w:rsidP="00DC3879">
      <w:r>
        <w:t>M</w:t>
      </w:r>
      <w:r w:rsidR="000E4B91">
        <w:t>ap</w:t>
      </w:r>
      <w:r>
        <w:t>ping</w:t>
      </w:r>
      <w:r w:rsidR="00270A10">
        <w:t>,</w:t>
      </w:r>
      <w:r>
        <w:t xml:space="preserve"> or reviewing previous mapping </w:t>
      </w:r>
      <w:r w:rsidR="007D154B">
        <w:t xml:space="preserve">of </w:t>
      </w:r>
      <w:r w:rsidR="000E4B91">
        <w:t>key stakeholders</w:t>
      </w:r>
      <w:r w:rsidR="00270A10">
        <w:t>,</w:t>
      </w:r>
      <w:r w:rsidR="000E4B91">
        <w:t xml:space="preserve"> </w:t>
      </w:r>
      <w:r w:rsidR="00AF0053">
        <w:t>help</w:t>
      </w:r>
      <w:r w:rsidR="00D01411">
        <w:t>s</w:t>
      </w:r>
      <w:r w:rsidR="007D154B">
        <w:t xml:space="preserve"> </w:t>
      </w:r>
      <w:r w:rsidR="285D1EAE">
        <w:t>organisations</w:t>
      </w:r>
      <w:r w:rsidR="00AF0053">
        <w:t xml:space="preserve"> </w:t>
      </w:r>
      <w:r w:rsidR="000E4B91" w:rsidDel="007D154B">
        <w:t>to</w:t>
      </w:r>
      <w:r w:rsidR="000E4B91">
        <w:t xml:space="preserve"> identify the relationships </w:t>
      </w:r>
      <w:r w:rsidR="00AC3137">
        <w:t>that support</w:t>
      </w:r>
      <w:r w:rsidR="000E4B91">
        <w:t xml:space="preserve"> </w:t>
      </w:r>
      <w:r w:rsidR="00DA79A2">
        <w:t xml:space="preserve">the </w:t>
      </w:r>
      <w:r w:rsidR="000E4B91">
        <w:t>deliver</w:t>
      </w:r>
      <w:r w:rsidR="00AC3137">
        <w:t>y of</w:t>
      </w:r>
      <w:r w:rsidR="000E4B91">
        <w:t xml:space="preserve"> their business strateg</w:t>
      </w:r>
      <w:r w:rsidR="00DA79A2">
        <w:t>ies</w:t>
      </w:r>
      <w:r w:rsidR="000E4B91">
        <w:t>.</w:t>
      </w:r>
      <w:r w:rsidR="000E4B91" w:rsidDel="00756859">
        <w:t xml:space="preserve"> </w:t>
      </w:r>
      <w:r w:rsidR="00EF3B8F">
        <w:t>As</w:t>
      </w:r>
      <w:r w:rsidR="000E4B91">
        <w:t xml:space="preserve"> transition planning </w:t>
      </w:r>
      <w:r w:rsidR="00C0298D">
        <w:t>is</w:t>
      </w:r>
      <w:r w:rsidR="00C47773">
        <w:t xml:space="preserve"> </w:t>
      </w:r>
      <w:r w:rsidR="00756859">
        <w:t>embedded</w:t>
      </w:r>
      <w:r w:rsidR="00BC1FE2">
        <w:t xml:space="preserve"> </w:t>
      </w:r>
      <w:r w:rsidR="00F7375F">
        <w:t>within the</w:t>
      </w:r>
      <w:r w:rsidR="00BC1FE2" w:rsidDel="00F7375F">
        <w:t xml:space="preserve"> </w:t>
      </w:r>
      <w:r w:rsidR="00BC1FE2">
        <w:t xml:space="preserve">business strategy, stakeholders </w:t>
      </w:r>
      <w:r w:rsidR="00756859">
        <w:t xml:space="preserve">are likely to play </w:t>
      </w:r>
      <w:r w:rsidR="000A1845">
        <w:t>a</w:t>
      </w:r>
      <w:r w:rsidR="00756859">
        <w:t xml:space="preserve"> role </w:t>
      </w:r>
      <w:r w:rsidR="001F02A7">
        <w:t>throughout the process. Key stakeholders may include:</w:t>
      </w:r>
    </w:p>
    <w:p w14:paraId="02B08673" w14:textId="22CF64C8" w:rsidR="001F02A7" w:rsidRPr="00DC3879" w:rsidRDefault="009A2AC0" w:rsidP="00DB6514">
      <w:pPr>
        <w:pStyle w:val="Bullet"/>
      </w:pPr>
      <w:r>
        <w:t>e</w:t>
      </w:r>
      <w:r w:rsidR="001F02A7" w:rsidRPr="00DC3879">
        <w:t xml:space="preserve">ntities </w:t>
      </w:r>
      <w:r w:rsidR="00690AF6">
        <w:t>in</w:t>
      </w:r>
      <w:r w:rsidR="00690AF6" w:rsidRPr="00DC3879">
        <w:t xml:space="preserve"> </w:t>
      </w:r>
      <w:r w:rsidR="001F02A7" w:rsidRPr="00DC3879">
        <w:t xml:space="preserve">the </w:t>
      </w:r>
      <w:r w:rsidR="00690AF6">
        <w:t>business</w:t>
      </w:r>
      <w:r w:rsidR="00963E59">
        <w:t>’</w:t>
      </w:r>
      <w:r w:rsidR="001F02A7" w:rsidRPr="00DC3879">
        <w:t xml:space="preserve"> value chain</w:t>
      </w:r>
      <w:r w:rsidR="000C2A66" w:rsidRPr="00DC3879">
        <w:t xml:space="preserve">, </w:t>
      </w:r>
      <w:r w:rsidR="00570C12" w:rsidRPr="00DC3879">
        <w:t>such as</w:t>
      </w:r>
      <w:r w:rsidR="000C2A66" w:rsidRPr="00DC3879">
        <w:t xml:space="preserve"> </w:t>
      </w:r>
      <w:r w:rsidR="00687D2F" w:rsidRPr="00DC3879">
        <w:t xml:space="preserve">investors, suppliers </w:t>
      </w:r>
      <w:r w:rsidR="000C2A66" w:rsidRPr="00DC3879">
        <w:t>and</w:t>
      </w:r>
      <w:r w:rsidR="00687D2F" w:rsidRPr="00DC3879">
        <w:t xml:space="preserve"> customers</w:t>
      </w:r>
    </w:p>
    <w:p w14:paraId="043DC062" w14:textId="432265EE" w:rsidR="00687D2F" w:rsidRPr="00DC3879" w:rsidRDefault="009A2AC0" w:rsidP="00DB6514">
      <w:pPr>
        <w:pStyle w:val="Bullet"/>
      </w:pPr>
      <w:r>
        <w:t>i</w:t>
      </w:r>
      <w:r w:rsidR="00687D2F" w:rsidRPr="00DC3879">
        <w:t>ndustry counterparts</w:t>
      </w:r>
      <w:r w:rsidR="000C2A66" w:rsidRPr="00DC3879">
        <w:t xml:space="preserve">, </w:t>
      </w:r>
      <w:r w:rsidR="00570C12" w:rsidRPr="00DC3879">
        <w:t>such as</w:t>
      </w:r>
      <w:r w:rsidR="00687D2F" w:rsidRPr="00DC3879">
        <w:t xml:space="preserve"> peers, membership bodies </w:t>
      </w:r>
      <w:r w:rsidR="00D5423F" w:rsidRPr="00DC3879">
        <w:t>and</w:t>
      </w:r>
      <w:r w:rsidR="00687D2F" w:rsidRPr="00DC3879">
        <w:t xml:space="preserve"> industry associations</w:t>
      </w:r>
    </w:p>
    <w:p w14:paraId="72D6D3DA" w14:textId="52CC3583" w:rsidR="00687D2F" w:rsidRPr="00DC3879" w:rsidRDefault="009A2AC0" w:rsidP="00DB6514">
      <w:pPr>
        <w:pStyle w:val="Bullet"/>
      </w:pPr>
      <w:r>
        <w:t>o</w:t>
      </w:r>
      <w:r w:rsidR="00BA45A8" w:rsidRPr="00DC3879">
        <w:t>ther external</w:t>
      </w:r>
      <w:r w:rsidR="001138A9" w:rsidRPr="00DC3879">
        <w:t xml:space="preserve"> stakeholders</w:t>
      </w:r>
      <w:r w:rsidR="00D5423F" w:rsidRPr="00DC3879">
        <w:t xml:space="preserve">, </w:t>
      </w:r>
      <w:r w:rsidR="00570C12" w:rsidRPr="00DC3879">
        <w:t>such as</w:t>
      </w:r>
      <w:r w:rsidR="001138A9" w:rsidRPr="00DC3879" w:rsidDel="008979ED">
        <w:t xml:space="preserve"> </w:t>
      </w:r>
      <w:r w:rsidR="008979ED" w:rsidRPr="00DC3879">
        <w:t>g</w:t>
      </w:r>
      <w:r w:rsidR="00687D2F" w:rsidRPr="00DC3879">
        <w:t xml:space="preserve">overnment, public sector organisations, </w:t>
      </w:r>
      <w:r w:rsidR="00EF11A4" w:rsidRPr="00DC3879">
        <w:t>local</w:t>
      </w:r>
      <w:r w:rsidR="00687D2F" w:rsidRPr="00DC3879">
        <w:t xml:space="preserve"> communities</w:t>
      </w:r>
      <w:r w:rsidR="009E00BB" w:rsidRPr="00DC3879">
        <w:t>,</w:t>
      </w:r>
      <w:r w:rsidR="00687D2F" w:rsidRPr="00DC3879">
        <w:t xml:space="preserve"> </w:t>
      </w:r>
      <w:r w:rsidR="00687D2F" w:rsidRPr="00DC3879" w:rsidDel="00F678C7">
        <w:t xml:space="preserve">and </w:t>
      </w:r>
      <w:r w:rsidR="009E00BB" w:rsidRPr="00DC3879">
        <w:t xml:space="preserve">First Nations </w:t>
      </w:r>
      <w:r w:rsidR="00BA1118" w:rsidRPr="00DC3879">
        <w:t xml:space="preserve">organisations, communities and </w:t>
      </w:r>
      <w:r w:rsidR="009E00BB" w:rsidRPr="00DC3879">
        <w:t>peoples</w:t>
      </w:r>
    </w:p>
    <w:p w14:paraId="1F572BFC" w14:textId="38E81A38" w:rsidR="00687D2F" w:rsidRPr="00DC3879" w:rsidRDefault="009A2AC0" w:rsidP="00DB6514">
      <w:pPr>
        <w:pStyle w:val="Bullet"/>
      </w:pPr>
      <w:r>
        <w:t>i</w:t>
      </w:r>
      <w:r w:rsidR="00687D2F" w:rsidRPr="00DC3879">
        <w:t>nternal stakeholders</w:t>
      </w:r>
      <w:r w:rsidR="008979ED" w:rsidRPr="00DC3879">
        <w:t xml:space="preserve">, </w:t>
      </w:r>
      <w:r w:rsidR="00570C12" w:rsidRPr="00DC3879">
        <w:t>such as</w:t>
      </w:r>
      <w:r w:rsidR="00687D2F" w:rsidRPr="00DC3879">
        <w:t xml:space="preserve"> workers </w:t>
      </w:r>
      <w:r w:rsidR="00B532EF" w:rsidRPr="00DC3879">
        <w:t>and</w:t>
      </w:r>
      <w:r w:rsidR="00687D2F" w:rsidRPr="00DC3879">
        <w:t xml:space="preserve"> contractors.</w:t>
      </w:r>
    </w:p>
    <w:p w14:paraId="0D83904B" w14:textId="0B6F1526" w:rsidR="00725E43" w:rsidRDefault="00ED682B" w:rsidP="00DC3879">
      <w:r>
        <w:t xml:space="preserve">Refer to </w:t>
      </w:r>
      <w:hyperlink w:anchor="Stage3" w:history="1">
        <w:r w:rsidRPr="00D060B0">
          <w:rPr>
            <w:rStyle w:val="Hyperlink"/>
          </w:rPr>
          <w:t>Stage 3</w:t>
        </w:r>
      </w:hyperlink>
      <w:r w:rsidR="00FD7C8F">
        <w:t xml:space="preserve"> of th</w:t>
      </w:r>
      <w:r w:rsidR="006864B9">
        <w:t>e</w:t>
      </w:r>
      <w:r w:rsidR="00FD7C8F">
        <w:t xml:space="preserve"> guidance</w:t>
      </w:r>
      <w:r>
        <w:t xml:space="preserve"> for more information on engaging stakeholders.</w:t>
      </w:r>
    </w:p>
    <w:p w14:paraId="7FE9D0BE" w14:textId="77777777" w:rsidR="00725E43" w:rsidRDefault="00725E43">
      <w:pPr>
        <w:spacing w:before="0" w:after="160" w:line="259" w:lineRule="auto"/>
      </w:pPr>
      <w:r>
        <w:br w:type="page"/>
      </w:r>
    </w:p>
    <w:p w14:paraId="36BF15C2" w14:textId="71882455" w:rsidR="00073A24" w:rsidRDefault="00FB331B" w:rsidP="00254364">
      <w:pPr>
        <w:pStyle w:val="Heading2Numbered"/>
      </w:pPr>
      <w:bookmarkStart w:id="86" w:name="Stage1dot4"/>
      <w:bookmarkStart w:id="87" w:name="section1dot4"/>
      <w:bookmarkStart w:id="88" w:name="_Toc224906875"/>
      <w:bookmarkStart w:id="89" w:name="_Toc224916507"/>
      <w:bookmarkStart w:id="90" w:name="_Toc232776348"/>
      <w:bookmarkEnd w:id="86"/>
      <w:bookmarkEnd w:id="87"/>
      <w:r>
        <w:lastRenderedPageBreak/>
        <w:t>Assess climate</w:t>
      </w:r>
      <w:r w:rsidR="00F87583">
        <w:t>-</w:t>
      </w:r>
      <w:r>
        <w:t>related risks and opportunities</w:t>
      </w:r>
      <w:bookmarkEnd w:id="88"/>
      <w:bookmarkEnd w:id="89"/>
      <w:bookmarkEnd w:id="90"/>
    </w:p>
    <w:p w14:paraId="028A8178" w14:textId="042A9CA6" w:rsidR="003F3B09" w:rsidRDefault="00F24590" w:rsidP="00DC3879">
      <w:r>
        <w:t>I</w:t>
      </w:r>
      <w:r w:rsidR="00307051">
        <w:t>dentify</w:t>
      </w:r>
      <w:r w:rsidR="00E24B34">
        <w:t>ing</w:t>
      </w:r>
      <w:r w:rsidR="00307051">
        <w:t xml:space="preserve"> </w:t>
      </w:r>
      <w:r w:rsidR="00170EAA">
        <w:t>and assess</w:t>
      </w:r>
      <w:r>
        <w:t>ing</w:t>
      </w:r>
      <w:r w:rsidR="00170EAA">
        <w:t xml:space="preserve"> climate</w:t>
      </w:r>
      <w:r w:rsidR="00963E59">
        <w:noBreakHyphen/>
      </w:r>
      <w:r w:rsidR="00170EAA">
        <w:t>related risks and opportunities</w:t>
      </w:r>
      <w:r>
        <w:t xml:space="preserve"> </w:t>
      </w:r>
      <w:r w:rsidR="00BE477E">
        <w:t xml:space="preserve">can </w:t>
      </w:r>
      <w:r w:rsidR="00170EAA">
        <w:t xml:space="preserve">help </w:t>
      </w:r>
      <w:r w:rsidR="003201B7">
        <w:t xml:space="preserve">inform </w:t>
      </w:r>
      <w:r>
        <w:t>an organisation</w:t>
      </w:r>
      <w:r w:rsidR="00963E59">
        <w:t>’</w:t>
      </w:r>
      <w:r>
        <w:t xml:space="preserve">s </w:t>
      </w:r>
      <w:r w:rsidR="00CB5117">
        <w:t>strategic ambitions and actions</w:t>
      </w:r>
      <w:r w:rsidR="00E24B34">
        <w:t xml:space="preserve"> (developed in Stage </w:t>
      </w:r>
      <w:hyperlink w:anchor="Stage2" w:history="1">
        <w:r w:rsidR="00E24B34" w:rsidRPr="00226155">
          <w:rPr>
            <w:rStyle w:val="Hyperlink"/>
          </w:rPr>
          <w:t>2</w:t>
        </w:r>
      </w:hyperlink>
      <w:r w:rsidR="00E24B34">
        <w:t xml:space="preserve"> and </w:t>
      </w:r>
      <w:hyperlink w:anchor="Stage3" w:history="1">
        <w:r w:rsidR="00E24B34" w:rsidRPr="00C05D59">
          <w:rPr>
            <w:rStyle w:val="Hyperlink"/>
          </w:rPr>
          <w:t>3</w:t>
        </w:r>
      </w:hyperlink>
      <w:r w:rsidR="00FD7C8F">
        <w:t xml:space="preserve"> of th</w:t>
      </w:r>
      <w:r w:rsidR="007F730B">
        <w:t>e</w:t>
      </w:r>
      <w:r w:rsidR="00FD7C8F">
        <w:t xml:space="preserve"> guidance</w:t>
      </w:r>
      <w:r w:rsidR="00E24B34">
        <w:t>)</w:t>
      </w:r>
      <w:r w:rsidR="003201B7">
        <w:t>.</w:t>
      </w:r>
      <w:r w:rsidR="00CD4158">
        <w:t xml:space="preserve"> A comprehensive assessment will comprise </w:t>
      </w:r>
      <w:r w:rsidR="002A2480">
        <w:t>climate</w:t>
      </w:r>
      <w:r w:rsidR="00963E59">
        <w:noBreakHyphen/>
      </w:r>
      <w:r w:rsidR="002A2480">
        <w:t xml:space="preserve">related </w:t>
      </w:r>
      <w:r w:rsidR="00E24B34">
        <w:t>transition and physical</w:t>
      </w:r>
      <w:r w:rsidR="00417297">
        <w:t xml:space="preserve"> risks and opportunities </w:t>
      </w:r>
      <w:r w:rsidR="00B77AEA">
        <w:t xml:space="preserve">across </w:t>
      </w:r>
      <w:r w:rsidR="00B77AEA" w:rsidRPr="00B77AEA">
        <w:t>short</w:t>
      </w:r>
      <w:r w:rsidR="00963E59">
        <w:noBreakHyphen/>
      </w:r>
      <w:r w:rsidR="00B77AEA" w:rsidRPr="00B77AEA">
        <w:t>,</w:t>
      </w:r>
      <w:r w:rsidR="0058480E">
        <w:t> </w:t>
      </w:r>
      <w:r w:rsidR="00B77AEA" w:rsidRPr="00B77AEA">
        <w:t>medium</w:t>
      </w:r>
      <w:r w:rsidR="00963E59">
        <w:noBreakHyphen/>
      </w:r>
      <w:r w:rsidR="00B77AEA" w:rsidRPr="00B77AEA">
        <w:t xml:space="preserve"> and long</w:t>
      </w:r>
      <w:r w:rsidR="00963E59">
        <w:noBreakHyphen/>
      </w:r>
      <w:r w:rsidR="00B77AEA" w:rsidRPr="00B77AEA">
        <w:t>term time horizon</w:t>
      </w:r>
      <w:r w:rsidR="00024AB0">
        <w:t>s, covering those</w:t>
      </w:r>
      <w:r w:rsidR="00417297">
        <w:t xml:space="preserve"> currently faced </w:t>
      </w:r>
      <w:r w:rsidR="001816F3" w:rsidRPr="001816F3">
        <w:t xml:space="preserve">as well as those </w:t>
      </w:r>
      <w:r w:rsidR="001816F3" w:rsidRPr="00CF3224">
        <w:t xml:space="preserve">reasonably anticipated in the </w:t>
      </w:r>
      <w:r w:rsidR="00354890">
        <w:t>future.</w:t>
      </w:r>
      <w:r w:rsidR="00F87A24">
        <w:t xml:space="preserve"> </w:t>
      </w:r>
      <w:r w:rsidR="006073BB">
        <w:t>This should include consideration of</w:t>
      </w:r>
      <w:r w:rsidR="000A7343">
        <w:t xml:space="preserve"> systemic risks which, when interacting together, create systemic impacts that are much greater than </w:t>
      </w:r>
      <w:r w:rsidR="00462C7A">
        <w:t>those arising</w:t>
      </w:r>
      <w:r w:rsidR="000A7343">
        <w:t xml:space="preserve"> in isolation. </w:t>
      </w:r>
    </w:p>
    <w:p w14:paraId="6E5608E8" w14:textId="67DA6B1D" w:rsidR="00237DBF" w:rsidRDefault="00E377EC" w:rsidP="00DC3879">
      <w:r>
        <w:t>Some o</w:t>
      </w:r>
      <w:r w:rsidR="00237DBF">
        <w:t xml:space="preserve">rganisations </w:t>
      </w:r>
      <w:r w:rsidR="00AB53AC">
        <w:t xml:space="preserve">may find it more manageable </w:t>
      </w:r>
      <w:r w:rsidR="00F45F6A">
        <w:t xml:space="preserve">to </w:t>
      </w:r>
      <w:r w:rsidR="00542AE5">
        <w:t>identify</w:t>
      </w:r>
      <w:r w:rsidR="00F45F6A">
        <w:t xml:space="preserve"> </w:t>
      </w:r>
      <w:r w:rsidR="004431C2">
        <w:t xml:space="preserve">which </w:t>
      </w:r>
      <w:r w:rsidR="00F45F6A">
        <w:t>economic sectors and trading partners they are exposed to as a first step</w:t>
      </w:r>
      <w:r w:rsidR="005F2956">
        <w:t>,</w:t>
      </w:r>
      <w:r w:rsidR="00F45F6A">
        <w:t xml:space="preserve"> </w:t>
      </w:r>
      <w:r w:rsidR="00F22465">
        <w:t xml:space="preserve">before </w:t>
      </w:r>
      <w:r w:rsidR="00635916">
        <w:t>ass</w:t>
      </w:r>
      <w:r w:rsidR="00542AE5">
        <w:t>essing how to respond to associated risks and opportunities</w:t>
      </w:r>
      <w:r w:rsidR="74F144F8">
        <w:t>.</w:t>
      </w:r>
    </w:p>
    <w:p w14:paraId="64E03FA8" w14:textId="6334EE0C" w:rsidR="00886DFF" w:rsidRDefault="00886DFF" w:rsidP="00DC3879">
      <w:r>
        <w:t>Assessing climate</w:t>
      </w:r>
      <w:r w:rsidR="00963E59">
        <w:noBreakHyphen/>
      </w:r>
      <w:r>
        <w:t xml:space="preserve">related risks and opportunities can be a technical process </w:t>
      </w:r>
      <w:r w:rsidR="00F4321D">
        <w:t>requiring</w:t>
      </w:r>
      <w:r>
        <w:t xml:space="preserve"> </w:t>
      </w:r>
      <w:r w:rsidR="00F854A2">
        <w:t>specialist</w:t>
      </w:r>
      <w:r>
        <w:t xml:space="preserve"> expertise. Some organisations may </w:t>
      </w:r>
      <w:r w:rsidR="00791DB7">
        <w:t>consider</w:t>
      </w:r>
      <w:r w:rsidR="00EF18EC" w:rsidDel="009A3BC0">
        <w:t xml:space="preserve"> </w:t>
      </w:r>
      <w:r w:rsidR="009A3BC0">
        <w:t xml:space="preserve">engaging </w:t>
      </w:r>
      <w:r w:rsidR="00791DB7">
        <w:t>external or hiring internal</w:t>
      </w:r>
      <w:r w:rsidR="00EF18EC">
        <w:t xml:space="preserve"> specialist</w:t>
      </w:r>
      <w:r w:rsidR="00791DB7">
        <w:t>s</w:t>
      </w:r>
      <w:r w:rsidR="00EF18EC">
        <w:t xml:space="preserve"> </w:t>
      </w:r>
      <w:r>
        <w:t>to assist with this assessment.</w:t>
      </w:r>
    </w:p>
    <w:p w14:paraId="6DDB0A05" w14:textId="1530264E" w:rsidR="00C30061" w:rsidRDefault="00C30061" w:rsidP="00DC3879">
      <w:r>
        <w:t xml:space="preserve">Alongside the resources specified in </w:t>
      </w:r>
      <w:hyperlink w:anchor="Stage1dot4" w:history="1">
        <w:r w:rsidR="00D060B0" w:rsidRPr="00226155">
          <w:rPr>
            <w:rStyle w:val="Hyperlink"/>
          </w:rPr>
          <w:t>section 1.4</w:t>
        </w:r>
      </w:hyperlink>
      <w:r w:rsidR="00D060B0">
        <w:t xml:space="preserve"> </w:t>
      </w:r>
      <w:r w:rsidR="00663F34">
        <w:t>of the guidance</w:t>
      </w:r>
      <w:r w:rsidR="00E8220C">
        <w:t>,</w:t>
      </w:r>
      <w:r>
        <w:t xml:space="preserve"> </w:t>
      </w:r>
      <w:r w:rsidR="00406A6C">
        <w:t xml:space="preserve">organisations can refer to </w:t>
      </w:r>
      <w:r w:rsidR="00A054E0">
        <w:t>the Australian Securities and Investment Commission</w:t>
      </w:r>
      <w:r w:rsidR="00963E59">
        <w:t>’</w:t>
      </w:r>
      <w:r w:rsidR="00A054E0">
        <w:t>s (ASIC)</w:t>
      </w:r>
      <w:r w:rsidR="00406A6C">
        <w:t xml:space="preserve"> </w:t>
      </w:r>
      <w:hyperlink r:id="rId64" w:history="1">
        <w:r w:rsidR="00406A6C" w:rsidRPr="00D060B0">
          <w:rPr>
            <w:rStyle w:val="Hyperlink"/>
          </w:rPr>
          <w:t>Educational modules</w:t>
        </w:r>
      </w:hyperlink>
      <w:r w:rsidR="00B96780" w:rsidRPr="00760C98">
        <w:rPr>
          <w:rStyle w:val="FootnoteReference"/>
        </w:rPr>
        <w:endnoteReference w:id="37"/>
      </w:r>
      <w:r w:rsidR="00DE53D3">
        <w:t xml:space="preserve"> </w:t>
      </w:r>
      <w:r w:rsidR="00DD46EB">
        <w:t xml:space="preserve">for </w:t>
      </w:r>
      <w:r w:rsidR="00390A5D">
        <w:t xml:space="preserve">more </w:t>
      </w:r>
      <w:r w:rsidR="00DD46EB">
        <w:t>information on these topics</w:t>
      </w:r>
      <w:r w:rsidR="00EA37BE">
        <w:t xml:space="preserve">. </w:t>
      </w:r>
    </w:p>
    <w:p w14:paraId="763B5C97" w14:textId="55B0882E" w:rsidR="0024321B" w:rsidRPr="00355811" w:rsidRDefault="0024321B" w:rsidP="00DC3879">
      <w:pPr>
        <w:pStyle w:val="Heading3"/>
      </w:pPr>
      <w:r w:rsidRPr="00355811">
        <w:t>Transition risks</w:t>
      </w:r>
    </w:p>
    <w:p w14:paraId="5E5C1453" w14:textId="127835C9" w:rsidR="0024321B" w:rsidRPr="00355811" w:rsidRDefault="0024321B" w:rsidP="00DC3879">
      <w:r w:rsidRPr="00355811">
        <w:t xml:space="preserve">To assess transition risks, the </w:t>
      </w:r>
      <w:r w:rsidR="00BC5BF1">
        <w:t xml:space="preserve">latest </w:t>
      </w:r>
      <w:r w:rsidR="00BC5BF1" w:rsidRPr="00355811">
        <w:t>IPCC Working Group</w:t>
      </w:r>
      <w:r w:rsidR="00BC5BF1">
        <w:t xml:space="preserve"> Assessment Report </w:t>
      </w:r>
      <w:r w:rsidR="00B07682">
        <w:t>(</w:t>
      </w:r>
      <w:r w:rsidR="009F0CE7">
        <w:t>currently</w:t>
      </w:r>
      <w:r w:rsidR="00BC5BF1">
        <w:t xml:space="preserve"> the </w:t>
      </w:r>
      <w:hyperlink r:id="rId65" w:history="1">
        <w:r w:rsidR="00BC5BF1" w:rsidRPr="00226155">
          <w:rPr>
            <w:rStyle w:val="Hyperlink"/>
          </w:rPr>
          <w:t>Sixth</w:t>
        </w:r>
        <w:r w:rsidR="00725E43" w:rsidRPr="00226155">
          <w:rPr>
            <w:rStyle w:val="Hyperlink"/>
          </w:rPr>
          <w:t> </w:t>
        </w:r>
        <w:r w:rsidR="00BC5BF1" w:rsidRPr="00226155">
          <w:rPr>
            <w:rStyle w:val="Hyperlink"/>
          </w:rPr>
          <w:t>Assessment Report</w:t>
        </w:r>
      </w:hyperlink>
      <w:r w:rsidR="00B07682">
        <w:t>)</w:t>
      </w:r>
      <w:r w:rsidRPr="00355811">
        <w:t xml:space="preserve"> </w:t>
      </w:r>
      <w:r w:rsidR="00E377EC">
        <w:t>can help</w:t>
      </w:r>
      <w:r w:rsidRPr="00355811">
        <w:t xml:space="preserve"> </w:t>
      </w:r>
      <w:r w:rsidR="00DF2BD5">
        <w:t xml:space="preserve">organisations </w:t>
      </w:r>
      <w:r w:rsidRPr="00355811">
        <w:t>identify relevant global and sector</w:t>
      </w:r>
      <w:r w:rsidR="00963E59">
        <w:noBreakHyphen/>
      </w:r>
      <w:r w:rsidRPr="00355811">
        <w:t>specific transition drivers, such as policy and regulatory changes, technology shifts, market dynamics and changes in consumer behaviour.</w:t>
      </w:r>
      <w:r>
        <w:t xml:space="preserve"> </w:t>
      </w:r>
      <w:r w:rsidR="00E377EC">
        <w:t>E</w:t>
      </w:r>
      <w:r w:rsidRPr="00355811">
        <w:t>xposure to these drivers</w:t>
      </w:r>
      <w:r w:rsidR="00E377EC">
        <w:t xml:space="preserve"> can then be assessed</w:t>
      </w:r>
      <w:r w:rsidRPr="00355811">
        <w:t xml:space="preserve"> by considering </w:t>
      </w:r>
      <w:r w:rsidR="00D07006">
        <w:t>Australia</w:t>
      </w:r>
      <w:r w:rsidR="00963E59">
        <w:t>’</w:t>
      </w:r>
      <w:r w:rsidR="00D07006">
        <w:t xml:space="preserve">s transition pathway to net zero, </w:t>
      </w:r>
      <w:r w:rsidR="007A4944">
        <w:t>as described in</w:t>
      </w:r>
      <w:r w:rsidRPr="00355811">
        <w:t xml:space="preserve"> Australia</w:t>
      </w:r>
      <w:r w:rsidR="00963E59">
        <w:t>’</w:t>
      </w:r>
      <w:r w:rsidRPr="00355811">
        <w:t>s Nationally Determined Contributions</w:t>
      </w:r>
      <w:r w:rsidR="007A4944">
        <w:t xml:space="preserve">, the </w:t>
      </w:r>
      <w:hyperlink r:id="rId66" w:history="1">
        <w:r w:rsidRPr="00E64FB5">
          <w:rPr>
            <w:rStyle w:val="Hyperlink"/>
          </w:rPr>
          <w:t>Net Zero Plan</w:t>
        </w:r>
      </w:hyperlink>
      <w:r w:rsidR="007A4944">
        <w:t xml:space="preserve"> and </w:t>
      </w:r>
      <w:hyperlink r:id="rId67" w:anchor="toc_2https://www.dcceew.gov.au/climate-change/emissions-reduction/net-zero" w:history="1">
        <w:r w:rsidR="007A4944" w:rsidRPr="00226155">
          <w:rPr>
            <w:rStyle w:val="Hyperlink"/>
          </w:rPr>
          <w:t>sector</w:t>
        </w:r>
        <w:r w:rsidR="002B1EDA" w:rsidRPr="00226155">
          <w:rPr>
            <w:rStyle w:val="Hyperlink"/>
          </w:rPr>
          <w:t xml:space="preserve"> emissions reduction</w:t>
        </w:r>
        <w:r w:rsidR="007A4944" w:rsidRPr="00226155">
          <w:rPr>
            <w:rStyle w:val="Hyperlink"/>
          </w:rPr>
          <w:t xml:space="preserve"> plans</w:t>
        </w:r>
      </w:hyperlink>
      <w:r w:rsidR="007F7A38">
        <w:t xml:space="preserve"> and</w:t>
      </w:r>
      <w:r w:rsidR="00DA44D9">
        <w:t xml:space="preserve"> </w:t>
      </w:r>
      <w:r w:rsidR="00F31F72">
        <w:t>how these</w:t>
      </w:r>
      <w:r w:rsidR="00CE1983">
        <w:t xml:space="preserve"> drivers</w:t>
      </w:r>
      <w:r w:rsidRPr="00355811" w:rsidDel="00F31F72">
        <w:t xml:space="preserve"> </w:t>
      </w:r>
      <w:r w:rsidRPr="00355811">
        <w:t>affect operating costs, asset values, revenue streams and access to capital over the short, medium and long term.</w:t>
      </w:r>
    </w:p>
    <w:p w14:paraId="51D0EF05" w14:textId="0EE24B72" w:rsidR="0024321B" w:rsidRDefault="0024321B" w:rsidP="00DC3879">
      <w:pPr>
        <w:rPr>
          <w:b/>
          <w:bCs/>
        </w:rPr>
      </w:pPr>
      <w:r w:rsidRPr="00355811">
        <w:t>This assessment can be used to identify material transition risks, test business resilience under different transition pathways, and inform strategic decisions such as capital allocation, product mix or decarbonisation actions.</w:t>
      </w:r>
    </w:p>
    <w:p w14:paraId="542EF067" w14:textId="3F9BCB50" w:rsidR="00355811" w:rsidRPr="00444891" w:rsidRDefault="00355811" w:rsidP="00DC3879">
      <w:pPr>
        <w:pStyle w:val="Heading3"/>
      </w:pPr>
      <w:r>
        <w:t>Ph</w:t>
      </w:r>
      <w:r w:rsidRPr="00355811">
        <w:t>ysical risks</w:t>
      </w:r>
    </w:p>
    <w:p w14:paraId="13801805" w14:textId="44BDFC84" w:rsidR="00390A5D" w:rsidRDefault="00355811" w:rsidP="00DC3879">
      <w:r w:rsidRPr="00355811">
        <w:t xml:space="preserve">To assess physical risks, </w:t>
      </w:r>
      <w:r w:rsidR="00390A5D">
        <w:t>organisations can use</w:t>
      </w:r>
      <w:r w:rsidRPr="00355811">
        <w:t xml:space="preserve"> the </w:t>
      </w:r>
      <w:r w:rsidR="00900928">
        <w:t xml:space="preserve">latest </w:t>
      </w:r>
      <w:r w:rsidR="00900928" w:rsidRPr="00355811">
        <w:t>IPCC Working Group</w:t>
      </w:r>
      <w:r w:rsidR="00900928">
        <w:t xml:space="preserve"> Assessment Report </w:t>
      </w:r>
      <w:r w:rsidRPr="00355811">
        <w:t>as an initial screening tool to identify the types of climate hazards (for example, heat, flooding, bushfire or water stress) that are most relevant to their locations and value chains.</w:t>
      </w:r>
      <w:r w:rsidR="00B52D69">
        <w:t xml:space="preserve"> </w:t>
      </w:r>
    </w:p>
    <w:p w14:paraId="77DEA367" w14:textId="4DB7052E" w:rsidR="00355811" w:rsidRPr="00355811" w:rsidRDefault="00355811" w:rsidP="00DC3879">
      <w:r w:rsidRPr="00355811">
        <w:t xml:space="preserve">Organisations can then map these hazards to their own assets, operations and </w:t>
      </w:r>
      <w:r w:rsidR="008312AA">
        <w:t>value</w:t>
      </w:r>
      <w:r w:rsidRPr="00355811">
        <w:t xml:space="preserve"> chains, </w:t>
      </w:r>
      <w:r w:rsidR="00E40AC0">
        <w:t xml:space="preserve">including </w:t>
      </w:r>
      <w:r w:rsidRPr="00355811">
        <w:t xml:space="preserve">using the </w:t>
      </w:r>
      <w:r w:rsidR="00963E59">
        <w:t>‘</w:t>
      </w:r>
      <w:r w:rsidRPr="00355811">
        <w:t>Australia</w:t>
      </w:r>
      <w:r w:rsidR="00963E59">
        <w:t>’</w:t>
      </w:r>
      <w:r w:rsidRPr="00355811">
        <w:t xml:space="preserve"> chapter to understand the vulnerability of human and natural systems and the potential severity of impacts.</w:t>
      </w:r>
    </w:p>
    <w:p w14:paraId="42F8049E" w14:textId="1C930A0D" w:rsidR="00355811" w:rsidRDefault="00355811" w:rsidP="00DC3879">
      <w:r w:rsidRPr="00355811">
        <w:t>To support more granular analysis, organisations can use</w:t>
      </w:r>
      <w:r w:rsidR="00807DB6">
        <w:t xml:space="preserve"> the </w:t>
      </w:r>
      <w:r w:rsidRPr="00355811">
        <w:t>NCRA to select relevant climate scenarios</w:t>
      </w:r>
      <w:r w:rsidR="00725E43">
        <w:t> </w:t>
      </w:r>
      <w:r w:rsidRPr="00355811">
        <w:t>(</w:t>
      </w:r>
      <w:r w:rsidR="00290CBB">
        <w:t xml:space="preserve">global warming level </w:t>
      </w:r>
      <w:r w:rsidRPr="00355811">
        <w:t>+1.5 °C, +2 °C and +3 °C), extract location</w:t>
      </w:r>
      <w:r w:rsidR="00963E59">
        <w:noBreakHyphen/>
      </w:r>
      <w:r w:rsidRPr="00355811">
        <w:t xml:space="preserve"> and sector</w:t>
      </w:r>
      <w:r w:rsidR="00963E59">
        <w:noBreakHyphen/>
      </w:r>
      <w:r w:rsidRPr="00355811">
        <w:t>specific data, and assess how the likelihood and magnitude of physical risks may change over time.</w:t>
      </w:r>
      <w:r w:rsidR="00A9348F">
        <w:t xml:space="preserve"> If </w:t>
      </w:r>
      <w:r w:rsidR="007C73C6">
        <w:t>analysis</w:t>
      </w:r>
      <w:r w:rsidR="00A9348F">
        <w:t xml:space="preserve"> requires more localised climate information,</w:t>
      </w:r>
      <w:r w:rsidR="001447B1">
        <w:t xml:space="preserve"> </w:t>
      </w:r>
      <w:r w:rsidR="00DE0C46">
        <w:t xml:space="preserve">downscaled climate </w:t>
      </w:r>
      <w:r w:rsidR="002A2898">
        <w:t xml:space="preserve">projections </w:t>
      </w:r>
      <w:r w:rsidR="00855E76">
        <w:t xml:space="preserve">may be able to be </w:t>
      </w:r>
      <w:r w:rsidR="00DE0C46">
        <w:t>provided by relevant</w:t>
      </w:r>
      <w:r w:rsidR="00725E43">
        <w:t> </w:t>
      </w:r>
      <w:r w:rsidR="00DE0C46">
        <w:t>state or local government.</w:t>
      </w:r>
      <w:r w:rsidR="0021025C">
        <w:t xml:space="preserve"> </w:t>
      </w:r>
      <w:r w:rsidR="00433E70">
        <w:t>National and localised projections</w:t>
      </w:r>
      <w:r w:rsidR="0021025C" w:rsidDel="00433E70">
        <w:t xml:space="preserve"> </w:t>
      </w:r>
      <w:r w:rsidR="0021025C">
        <w:t>are listed on the</w:t>
      </w:r>
      <w:r w:rsidR="00A21DF0">
        <w:t xml:space="preserve"> Department</w:t>
      </w:r>
      <w:r w:rsidR="00725E43">
        <w:t> </w:t>
      </w:r>
      <w:r w:rsidR="00A21DF0">
        <w:t>of</w:t>
      </w:r>
      <w:r w:rsidR="00725E43">
        <w:t> </w:t>
      </w:r>
      <w:r w:rsidR="00A21DF0">
        <w:t>Climate</w:t>
      </w:r>
      <w:r w:rsidR="00725E43">
        <w:t> </w:t>
      </w:r>
      <w:r w:rsidR="00A21DF0">
        <w:t>Change, Energy, the Environment and Water (</w:t>
      </w:r>
      <w:r w:rsidR="0021025C" w:rsidRPr="00D73DD0">
        <w:t>DCCEEW</w:t>
      </w:r>
      <w:r w:rsidR="00A21DF0">
        <w:t>)</w:t>
      </w:r>
      <w:r w:rsidR="0021025C" w:rsidRPr="00D73DD0">
        <w:t xml:space="preserve"> </w:t>
      </w:r>
      <w:hyperlink r:id="rId68" w:history="1">
        <w:r w:rsidR="0021025C" w:rsidRPr="00D060B0">
          <w:rPr>
            <w:rStyle w:val="Hyperlink"/>
          </w:rPr>
          <w:t>website</w:t>
        </w:r>
      </w:hyperlink>
      <w:r w:rsidR="00F82B85">
        <w:t>.</w:t>
      </w:r>
      <w:r w:rsidR="00D228B3" w:rsidRPr="00760C98">
        <w:rPr>
          <w:rStyle w:val="FootnoteReference"/>
        </w:rPr>
        <w:endnoteReference w:id="38"/>
      </w:r>
      <w:r w:rsidRPr="009C4E4D">
        <w:rPr>
          <w:rStyle w:val="FootnoteReference"/>
          <w:sz w:val="22"/>
          <w:szCs w:val="22"/>
        </w:rPr>
        <w:t xml:space="preserve"> </w:t>
      </w:r>
      <w:r w:rsidRPr="00355811">
        <w:t>The outputs of this analysis can be used to prioritise material physical risks, inform scenario analysis, and identify potential adaptation responses.</w:t>
      </w:r>
    </w:p>
    <w:p w14:paraId="024599BB" w14:textId="4335FB05" w:rsidR="00846CA5" w:rsidRDefault="00B54843" w:rsidP="00355811">
      <w:r>
        <w:lastRenderedPageBreak/>
        <w:t>T</w:t>
      </w:r>
      <w:r w:rsidR="00846CA5">
        <w:t xml:space="preserve">he agriculture sector </w:t>
      </w:r>
      <w:r w:rsidR="0024127B">
        <w:t xml:space="preserve">can also use </w:t>
      </w:r>
      <w:hyperlink r:id="rId69" w:history="1">
        <w:r w:rsidR="0024127B" w:rsidRPr="00226155">
          <w:rPr>
            <w:rStyle w:val="Hyperlink"/>
          </w:rPr>
          <w:t>My Climate View</w:t>
        </w:r>
      </w:hyperlink>
      <w:r w:rsidR="00544D48" w:rsidRPr="00760C98">
        <w:rPr>
          <w:rStyle w:val="FootnoteReference"/>
        </w:rPr>
        <w:endnoteReference w:id="39"/>
      </w:r>
      <w:r w:rsidR="0024127B">
        <w:t xml:space="preserve"> to identify physical risks</w:t>
      </w:r>
      <w:r w:rsidR="002A2898">
        <w:t>. This</w:t>
      </w:r>
      <w:r w:rsidR="0024127B" w:rsidRPr="58601017">
        <w:t xml:space="preserve"> i</w:t>
      </w:r>
      <w:r w:rsidR="0024127B">
        <w:t xml:space="preserve">s </w:t>
      </w:r>
      <w:r w:rsidR="00846CA5" w:rsidRPr="58601017">
        <w:t xml:space="preserve">a collaboration between </w:t>
      </w:r>
      <w:r w:rsidR="006373A0">
        <w:t>the Commonwealth Scientific and Industrial Research Organisation (</w:t>
      </w:r>
      <w:r w:rsidR="00846CA5" w:rsidRPr="58601017">
        <w:t>CSIRO</w:t>
      </w:r>
      <w:r w:rsidR="006373A0">
        <w:t>)</w:t>
      </w:r>
      <w:r w:rsidR="00846CA5" w:rsidRPr="58601017">
        <w:t xml:space="preserve"> and the Bureau</w:t>
      </w:r>
      <w:r w:rsidR="00AC3965">
        <w:t> </w:t>
      </w:r>
      <w:r w:rsidR="00846CA5" w:rsidRPr="58601017">
        <w:t>of Meteorology, and has been designed together with Australian farmers as part of the Climate</w:t>
      </w:r>
      <w:r w:rsidR="00AC3965">
        <w:t> </w:t>
      </w:r>
      <w:r w:rsidR="00846CA5" w:rsidRPr="58601017">
        <w:t>Services for Agriculture program. My Climate View enables users to explore climate information relevant to their location and the commodity they sell.</w:t>
      </w:r>
    </w:p>
    <w:p w14:paraId="01E3565A" w14:textId="3468F0D1" w:rsidR="002403F3" w:rsidRDefault="002403F3" w:rsidP="00355811">
      <w:r>
        <w:t xml:space="preserve">The </w:t>
      </w:r>
      <w:r w:rsidR="00AD5566">
        <w:t>Australian Centre for Disease Control</w:t>
      </w:r>
      <w:r>
        <w:t xml:space="preserve"> is releasing </w:t>
      </w:r>
      <w:r w:rsidR="004A5723">
        <w:t>forthcoming</w:t>
      </w:r>
      <w:r>
        <w:t xml:space="preserve"> guidance on climate risk assessment and adaptation planning for Australian health system organisations. The guidance is designed to support Australian health system organisations identify, assess and manage physical risks.</w:t>
      </w:r>
      <w:r w:rsidR="00005826" w:rsidRPr="003C55B6">
        <w:rPr>
          <w:rStyle w:val="FootnoteReference"/>
        </w:rPr>
        <w:endnoteReference w:id="40"/>
      </w:r>
      <w:r>
        <w:t xml:space="preserve"> </w:t>
      </w:r>
    </w:p>
    <w:p w14:paraId="42BBD684" w14:textId="53F7A9ED" w:rsidR="00DE3F36" w:rsidRDefault="00221217" w:rsidP="00DE3F36">
      <w:r>
        <w:t>Appropriate judgements on levels of physical</w:t>
      </w:r>
      <w:r w:rsidDel="00B3408D">
        <w:t xml:space="preserve"> </w:t>
      </w:r>
      <w:r>
        <w:t>risk can be supported by considering</w:t>
      </w:r>
      <w:r w:rsidR="001B4A96">
        <w:t xml:space="preserve"> </w:t>
      </w:r>
      <w:r w:rsidR="00DE3F36">
        <w:t xml:space="preserve">hazard, exposure and vulnerability. </w:t>
      </w:r>
      <w:r w:rsidR="00E8381D">
        <w:t xml:space="preserve">The following definitions are from the IPCC </w:t>
      </w:r>
      <w:hyperlink r:id="rId70" w:history="1">
        <w:r w:rsidR="00E8381D" w:rsidRPr="00AB4018">
          <w:rPr>
            <w:rStyle w:val="Hyperlink"/>
          </w:rPr>
          <w:t>glossary</w:t>
        </w:r>
      </w:hyperlink>
      <w:r w:rsidR="00E8381D">
        <w:t>.</w:t>
      </w:r>
      <w:r w:rsidR="00E8381D" w:rsidRPr="003C55B6">
        <w:rPr>
          <w:rStyle w:val="FootnoteReference"/>
        </w:rPr>
        <w:endnoteReference w:id="41"/>
      </w:r>
    </w:p>
    <w:p w14:paraId="651A9309" w14:textId="1FF58A37" w:rsidR="00F26F8D" w:rsidRPr="00DC3879" w:rsidRDefault="00F26F8D" w:rsidP="00DB6514">
      <w:pPr>
        <w:pStyle w:val="Bullet"/>
      </w:pPr>
      <w:r w:rsidRPr="00DC3879">
        <w:rPr>
          <w:b/>
          <w:bCs/>
        </w:rPr>
        <w:t xml:space="preserve">Hazards </w:t>
      </w:r>
      <w:r w:rsidRPr="00DC3879">
        <w:t>are the potential occurrence of a natural or human</w:t>
      </w:r>
      <w:r w:rsidR="00963E59">
        <w:noBreakHyphen/>
      </w:r>
      <w:r w:rsidRPr="00DC3879">
        <w:t>induced physical event or trend that may cause loss of life, injury, or other health impacts, as well as damage and loss to property, infrastructure, livelihoods, service provision, ecosystems and environmental resources.</w:t>
      </w:r>
    </w:p>
    <w:p w14:paraId="47879B4F" w14:textId="57E99B54" w:rsidR="00F26F8D" w:rsidRPr="00DC3879" w:rsidRDefault="00F26F8D" w:rsidP="00DB6514">
      <w:pPr>
        <w:pStyle w:val="Bullet"/>
      </w:pPr>
      <w:r w:rsidRPr="00DC3879">
        <w:rPr>
          <w:b/>
          <w:bCs/>
        </w:rPr>
        <w:t>Exposure</w:t>
      </w:r>
      <w:r w:rsidRPr="00DC3879">
        <w:t xml:space="preserve"> refers to the presence of people, livelihoods, species or ecosystems, environmental functions, services, resources, infrastructure or economic, social or cultural assets in places and settings that could be adversely affected. </w:t>
      </w:r>
    </w:p>
    <w:p w14:paraId="385DF3C6" w14:textId="362D7642" w:rsidR="00F26F8D" w:rsidRPr="00DC3879" w:rsidRDefault="00F26F8D" w:rsidP="00DB6514">
      <w:pPr>
        <w:pStyle w:val="Bullet"/>
      </w:pPr>
      <w:r w:rsidRPr="00DC3879">
        <w:rPr>
          <w:b/>
          <w:bCs/>
        </w:rPr>
        <w:t xml:space="preserve">Vulnerability </w:t>
      </w:r>
      <w:r w:rsidRPr="00DC3879">
        <w:t xml:space="preserve">refers to the propensity or predisposition to be adversely affected. Vulnerability encompasses a variety of concepts and elements, including sensitivity or susceptibility to harm and lack of capacity to cope and adapt. </w:t>
      </w:r>
    </w:p>
    <w:p w14:paraId="0DDC3956" w14:textId="3BFC2FB4" w:rsidR="000A1607" w:rsidRPr="00A92967" w:rsidRDefault="000A1607" w:rsidP="00532131">
      <w:pPr>
        <w:keepNext/>
        <w:keepLines/>
      </w:pPr>
      <w:r w:rsidRPr="00A92967">
        <w:t>T</w:t>
      </w:r>
      <w:r>
        <w:t xml:space="preserve">he </w:t>
      </w:r>
      <w:hyperlink r:id="rId71" w:history="1">
        <w:r w:rsidR="00616E48" w:rsidRPr="00226155">
          <w:rPr>
            <w:rStyle w:val="Hyperlink"/>
          </w:rPr>
          <w:t>TPT</w:t>
        </w:r>
        <w:r w:rsidR="00963E59" w:rsidRPr="00226155">
          <w:rPr>
            <w:rStyle w:val="Hyperlink"/>
          </w:rPr>
          <w:t>’</w:t>
        </w:r>
        <w:r w:rsidR="00616E48" w:rsidRPr="00226155">
          <w:rPr>
            <w:rStyle w:val="Hyperlink"/>
          </w:rPr>
          <w:t>s Adaptation Primer</w:t>
        </w:r>
      </w:hyperlink>
      <w:r w:rsidR="004F1B8F" w:rsidRPr="00760C98">
        <w:rPr>
          <w:rStyle w:val="FootnoteReference"/>
        </w:rPr>
        <w:endnoteReference w:id="42"/>
      </w:r>
      <w:r w:rsidR="004F1B8F">
        <w:t xml:space="preserve"> </w:t>
      </w:r>
      <w:r>
        <w:t>includes further information on assessing physical risks as part of transition planning</w:t>
      </w:r>
      <w:r w:rsidR="00695692">
        <w:t>.</w:t>
      </w:r>
    </w:p>
    <w:p w14:paraId="5FA52C3F" w14:textId="2CDDCADD" w:rsidR="0016210C" w:rsidRPr="00A92967" w:rsidRDefault="00B95CE2" w:rsidP="00532131">
      <w:pPr>
        <w:keepNext/>
        <w:keepLines/>
      </w:pPr>
      <w:hyperlink w:anchor="BOX9" w:history="1">
        <w:r>
          <w:rPr>
            <w:rStyle w:val="Hyperlink"/>
          </w:rPr>
          <w:t>Box 9</w:t>
        </w:r>
      </w:hyperlink>
      <w:r w:rsidR="005509E0">
        <w:t xml:space="preserve"> </w:t>
      </w:r>
      <w:r w:rsidR="0016210C">
        <w:t xml:space="preserve">includes an example of </w:t>
      </w:r>
      <w:r w:rsidR="00FB69DC">
        <w:t>using the NCRA to assess physical risks.</w:t>
      </w:r>
    </w:p>
    <w:p w14:paraId="41C04347" w14:textId="2C54498D" w:rsidR="00355811" w:rsidRPr="00444891" w:rsidRDefault="00355811" w:rsidP="00DC3879">
      <w:pPr>
        <w:pStyle w:val="Heading3"/>
      </w:pPr>
      <w:r w:rsidRPr="00355811">
        <w:t>Climate</w:t>
      </w:r>
      <w:r w:rsidR="00E550CE">
        <w:t>-</w:t>
      </w:r>
      <w:r w:rsidRPr="00355811">
        <w:t>related opportunities</w:t>
      </w:r>
    </w:p>
    <w:p w14:paraId="44B6CD5B" w14:textId="22EB9C81" w:rsidR="00B97F25" w:rsidRPr="00E550CE" w:rsidRDefault="006777E4" w:rsidP="00E550CE">
      <w:r w:rsidRPr="00AB4018">
        <w:t>To assess climate</w:t>
      </w:r>
      <w:r w:rsidR="00963E59">
        <w:noBreakHyphen/>
      </w:r>
      <w:r w:rsidRPr="00AB4018">
        <w:t xml:space="preserve">related opportunities, organisations can draw on current international frameworks </w:t>
      </w:r>
      <w:r w:rsidR="00BA6ED8" w:rsidRPr="00AB4018">
        <w:t xml:space="preserve">such as </w:t>
      </w:r>
      <w:r w:rsidRPr="00963E59">
        <w:t>guidance</w:t>
      </w:r>
      <w:r w:rsidRPr="00AB4018">
        <w:t xml:space="preserve"> </w:t>
      </w:r>
      <w:r w:rsidR="000D2844" w:rsidRPr="00AB4018">
        <w:t xml:space="preserve">issued by the </w:t>
      </w:r>
      <w:r w:rsidRPr="00AB4018">
        <w:t>I</w:t>
      </w:r>
      <w:r w:rsidR="00696FCD" w:rsidRPr="00AB4018">
        <w:t>nternational Financial Reporting Standards (</w:t>
      </w:r>
      <w:r w:rsidRPr="00AB4018">
        <w:t>IFRS</w:t>
      </w:r>
      <w:r w:rsidR="00696FCD" w:rsidRPr="00AB4018">
        <w:t>)</w:t>
      </w:r>
      <w:r w:rsidRPr="00AB4018">
        <w:t xml:space="preserve"> </w:t>
      </w:r>
      <w:r w:rsidR="000D2844" w:rsidRPr="00AB4018">
        <w:t>Foundation</w:t>
      </w:r>
      <w:r w:rsidRPr="00AB4018">
        <w:t xml:space="preserve"> and the </w:t>
      </w:r>
      <w:hyperlink r:id="rId72" w:history="1">
        <w:r w:rsidRPr="00AB4018">
          <w:rPr>
            <w:rStyle w:val="Hyperlink"/>
            <w:rFonts w:cs="Calibri Light"/>
            <w:szCs w:val="22"/>
          </w:rPr>
          <w:t>Global Reporting Initiative (GRI) Standards</w:t>
        </w:r>
      </w:hyperlink>
      <w:r w:rsidR="003E1116" w:rsidRPr="00AB4018">
        <w:t>.</w:t>
      </w:r>
      <w:r w:rsidR="005E7429" w:rsidRPr="00760C98">
        <w:rPr>
          <w:rStyle w:val="FootnoteReference"/>
        </w:rPr>
        <w:endnoteReference w:id="43"/>
      </w:r>
      <w:r w:rsidRPr="00AB4018">
        <w:t xml:space="preserve"> These resources </w:t>
      </w:r>
      <w:r w:rsidR="002A1F51" w:rsidRPr="00AB4018">
        <w:t xml:space="preserve">can </w:t>
      </w:r>
      <w:r w:rsidRPr="00AB4018">
        <w:t xml:space="preserve">help organisations </w:t>
      </w:r>
      <w:r w:rsidR="00CE5F1A" w:rsidRPr="00AB4018">
        <w:t>evaluate</w:t>
      </w:r>
      <w:r w:rsidRPr="00AB4018">
        <w:t xml:space="preserve"> opportunities arising from the transition and sustainable economy and from responses to physical climate and nature</w:t>
      </w:r>
      <w:r w:rsidR="00963E59">
        <w:noBreakHyphen/>
      </w:r>
      <w:r w:rsidRPr="00AB4018">
        <w:t>related risks</w:t>
      </w:r>
      <w:r w:rsidR="00CE5F1A" w:rsidRPr="00AB4018">
        <w:t>. This includes</w:t>
      </w:r>
      <w:r w:rsidRPr="00AB4018">
        <w:t xml:space="preserve"> opportunities related to resource efficiency, energy sources, products and services, new markets, and resilience. </w:t>
      </w:r>
    </w:p>
    <w:p w14:paraId="18FD3888" w14:textId="2C2D1EBE" w:rsidR="0042249F" w:rsidRPr="00DC04BE" w:rsidRDefault="0042249F" w:rsidP="00DC3879">
      <w:pPr>
        <w:pStyle w:val="Heading3"/>
      </w:pPr>
      <w:r w:rsidRPr="00DC04BE">
        <w:t>Broader sustainability</w:t>
      </w:r>
      <w:r w:rsidR="00E550CE">
        <w:t>-</w:t>
      </w:r>
      <w:r w:rsidR="00E75076" w:rsidRPr="00DC04BE">
        <w:t xml:space="preserve">related </w:t>
      </w:r>
      <w:r w:rsidRPr="00DC04BE">
        <w:t>objectives</w:t>
      </w:r>
    </w:p>
    <w:p w14:paraId="5D44DE1E" w14:textId="28469665" w:rsidR="00BB2FCF" w:rsidRDefault="006A3B8B" w:rsidP="00926EF4">
      <w:r>
        <w:t xml:space="preserve">Where relevant and appropriate, organisations may also </w:t>
      </w:r>
      <w:r w:rsidR="0004578F">
        <w:t xml:space="preserve">assess </w:t>
      </w:r>
      <w:r w:rsidR="006E1E42">
        <w:t>risks and opportunities stemming from broader sustainability objectives</w:t>
      </w:r>
      <w:r w:rsidR="009D4F39">
        <w:t xml:space="preserve"> where they intersect with climate</w:t>
      </w:r>
      <w:r w:rsidR="00A70464">
        <w:t xml:space="preserve">, such as </w:t>
      </w:r>
      <w:r w:rsidR="009D4F39">
        <w:t>just transition, nature, modern slavery and circular economy</w:t>
      </w:r>
      <w:r w:rsidR="003B0C2B">
        <w:t>.</w:t>
      </w:r>
      <w:r w:rsidR="00CE3179">
        <w:t xml:space="preserve"> </w:t>
      </w:r>
    </w:p>
    <w:p w14:paraId="722F8E0A" w14:textId="3826F962" w:rsidR="003C62E2" w:rsidRDefault="00CE7287" w:rsidP="00B74977">
      <w:r>
        <w:t xml:space="preserve">In addition to </w:t>
      </w:r>
      <w:r w:rsidR="00CF3A70">
        <w:t>drawing on</w:t>
      </w:r>
      <w:r>
        <w:t xml:space="preserve"> the GRI </w:t>
      </w:r>
      <w:r w:rsidR="00984655">
        <w:t>S</w:t>
      </w:r>
      <w:r>
        <w:t xml:space="preserve">tandards, </w:t>
      </w:r>
      <w:r w:rsidR="00126737">
        <w:t>t</w:t>
      </w:r>
      <w:r w:rsidR="00CE3179">
        <w:t xml:space="preserve">he </w:t>
      </w:r>
      <w:hyperlink r:id="rId73" w:history="1">
        <w:r w:rsidR="00EE72A4" w:rsidRPr="00226155">
          <w:rPr>
            <w:rStyle w:val="Hyperlink"/>
          </w:rPr>
          <w:t>Taskforce on Nature</w:t>
        </w:r>
        <w:r w:rsidR="00963E59" w:rsidRPr="00226155">
          <w:rPr>
            <w:rStyle w:val="Hyperlink"/>
          </w:rPr>
          <w:noBreakHyphen/>
        </w:r>
        <w:r w:rsidR="00EE72A4" w:rsidRPr="00226155">
          <w:rPr>
            <w:rStyle w:val="Hyperlink"/>
          </w:rPr>
          <w:t>related Financial Disclosures</w:t>
        </w:r>
        <w:r w:rsidR="005509E0" w:rsidRPr="00226155">
          <w:rPr>
            <w:rStyle w:val="Hyperlink"/>
          </w:rPr>
          <w:t> </w:t>
        </w:r>
      </w:hyperlink>
      <w:r w:rsidR="00CD04E1">
        <w:t>(TNFD)</w:t>
      </w:r>
      <w:r w:rsidR="00631ECE" w:rsidRPr="00760C98">
        <w:rPr>
          <w:rStyle w:val="FootnoteReference"/>
        </w:rPr>
        <w:endnoteReference w:id="44"/>
      </w:r>
      <w:r w:rsidR="003C62E2">
        <w:t xml:space="preserve"> </w:t>
      </w:r>
      <w:r w:rsidR="00BA697C">
        <w:t xml:space="preserve">developed a global </w:t>
      </w:r>
      <w:r w:rsidR="00B74977" w:rsidRPr="00E108AD">
        <w:t>framework to help businesses and financial institutions identify and address their nature</w:t>
      </w:r>
      <w:r w:rsidR="00963E59">
        <w:noBreakHyphen/>
      </w:r>
      <w:r w:rsidR="00B74977" w:rsidRPr="00E108AD">
        <w:t xml:space="preserve">related impacts, dependencies, risks and opportunities. </w:t>
      </w:r>
    </w:p>
    <w:p w14:paraId="14BC1AAC" w14:textId="72E8ED92" w:rsidR="00AC3965" w:rsidRDefault="00C51777" w:rsidP="00B74977">
      <w:r>
        <w:t>T</w:t>
      </w:r>
      <w:r w:rsidRPr="00E108AD">
        <w:t xml:space="preserve">he Australian Government </w:t>
      </w:r>
      <w:r>
        <w:t>conducted a</w:t>
      </w:r>
      <w:r w:rsidR="00B74977" w:rsidRPr="00E108AD">
        <w:t xml:space="preserve"> </w:t>
      </w:r>
      <w:r w:rsidR="00B74977" w:rsidRPr="00D73DD0">
        <w:t>TNFD pilot testing project</w:t>
      </w:r>
      <w:r w:rsidR="00B74977" w:rsidRPr="00E108AD">
        <w:t xml:space="preserve"> </w:t>
      </w:r>
      <w:r>
        <w:t>and</w:t>
      </w:r>
      <w:r w:rsidR="00B74977" w:rsidRPr="00E108AD">
        <w:t xml:space="preserve"> published an </w:t>
      </w:r>
      <w:hyperlink r:id="rId74" w:anchor="toc_2" w:history="1">
        <w:r w:rsidR="00B74977" w:rsidRPr="005509E0">
          <w:rPr>
            <w:rStyle w:val="Hyperlink"/>
          </w:rPr>
          <w:t>Australian Case Study Report</w:t>
        </w:r>
      </w:hyperlink>
      <w:r w:rsidR="00A556FA" w:rsidRPr="00760C98">
        <w:rPr>
          <w:rStyle w:val="FootnoteReference"/>
        </w:rPr>
        <w:endnoteReference w:id="45"/>
      </w:r>
      <w:r w:rsidR="00B74977" w:rsidRPr="00E108AD">
        <w:t xml:space="preserve"> and deep dive guidance across </w:t>
      </w:r>
      <w:r w:rsidR="000A2DE0">
        <w:t>five</w:t>
      </w:r>
      <w:r w:rsidR="003C62E2">
        <w:t xml:space="preserve"> </w:t>
      </w:r>
      <w:r w:rsidR="00B74977" w:rsidRPr="00E108AD">
        <w:t>value chains to support organisations to get started on TNFD</w:t>
      </w:r>
      <w:r w:rsidR="00963E59">
        <w:noBreakHyphen/>
      </w:r>
      <w:r w:rsidR="00B74977" w:rsidRPr="00E108AD">
        <w:t xml:space="preserve">aligned reporting in the Australian context. The TNFD also released </w:t>
      </w:r>
      <w:hyperlink r:id="rId75" w:history="1">
        <w:r w:rsidR="00B74977" w:rsidRPr="00226155">
          <w:rPr>
            <w:rStyle w:val="Hyperlink"/>
          </w:rPr>
          <w:t>guidance</w:t>
        </w:r>
      </w:hyperlink>
      <w:r w:rsidR="00567C38" w:rsidRPr="00760C98">
        <w:rPr>
          <w:rStyle w:val="FootnoteReference"/>
        </w:rPr>
        <w:endnoteReference w:id="46"/>
      </w:r>
      <w:r w:rsidR="00B74977" w:rsidRPr="00E108AD">
        <w:t xml:space="preserve"> regarding how organisations can incorporate nature into transition planning</w:t>
      </w:r>
      <w:r w:rsidR="00195FC2">
        <w:t>.</w:t>
      </w:r>
    </w:p>
    <w:p w14:paraId="3B6FA2D2" w14:textId="03D6893C" w:rsidR="00C3694B" w:rsidRDefault="00020922" w:rsidP="00F07B69">
      <w:pPr>
        <w:pStyle w:val="Heading3"/>
      </w:pPr>
      <w:r>
        <w:lastRenderedPageBreak/>
        <w:t>Applying a m</w:t>
      </w:r>
      <w:r w:rsidR="00C3694B">
        <w:t>ateriality</w:t>
      </w:r>
      <w:r>
        <w:t xml:space="preserve"> threshold</w:t>
      </w:r>
    </w:p>
    <w:p w14:paraId="4BC8AE6A" w14:textId="662F4011" w:rsidR="00B92ACE" w:rsidRDefault="00C3694B" w:rsidP="00B74977">
      <w:r w:rsidRPr="00C3694B">
        <w:t>Following the identification of climate</w:t>
      </w:r>
      <w:r w:rsidR="00963E59">
        <w:noBreakHyphen/>
      </w:r>
      <w:r w:rsidRPr="00C3694B">
        <w:t>related risks and opportunities, organisation</w:t>
      </w:r>
      <w:r w:rsidR="00E7198D">
        <w:t xml:space="preserve">s can </w:t>
      </w:r>
      <w:r w:rsidRPr="00C3694B">
        <w:t xml:space="preserve">assess the materiality of </w:t>
      </w:r>
      <w:r w:rsidR="007A400B">
        <w:t xml:space="preserve">information about </w:t>
      </w:r>
      <w:r w:rsidRPr="00C3694B">
        <w:t xml:space="preserve">those risks and opportunities to </w:t>
      </w:r>
      <w:r w:rsidR="003C4C64">
        <w:t xml:space="preserve">their </w:t>
      </w:r>
      <w:r w:rsidRPr="00C3694B">
        <w:t>business</w:t>
      </w:r>
      <w:r w:rsidR="00193491">
        <w:t>. This includes</w:t>
      </w:r>
      <w:r w:rsidRPr="00C3694B">
        <w:t xml:space="preserve"> considering the potential impacts on business model, strategy, cash flows, financial position and financial performance over the short, medium and long term</w:t>
      </w:r>
      <w:r w:rsidR="00FC3798">
        <w:t>.</w:t>
      </w:r>
    </w:p>
    <w:p w14:paraId="04A0A1E3" w14:textId="4DD08475" w:rsidR="00C3694B" w:rsidRPr="00E108AD" w:rsidRDefault="00D90303" w:rsidP="00B74977">
      <w:r w:rsidRPr="00D90303">
        <w:t>Focusing on material climate</w:t>
      </w:r>
      <w:r w:rsidR="00963E59">
        <w:noBreakHyphen/>
      </w:r>
      <w:r w:rsidRPr="00D90303">
        <w:t xml:space="preserve">related risks and opportunities </w:t>
      </w:r>
      <w:r>
        <w:t>help</w:t>
      </w:r>
      <w:r w:rsidR="67DE27C2">
        <w:t>s</w:t>
      </w:r>
      <w:r w:rsidRPr="00D90303">
        <w:t xml:space="preserve"> organisations direct time, resources and decision</w:t>
      </w:r>
      <w:r w:rsidR="00963E59">
        <w:noBreakHyphen/>
      </w:r>
      <w:r w:rsidRPr="00D90303">
        <w:t xml:space="preserve">making toward the issues most likely to affect </w:t>
      </w:r>
      <w:r w:rsidR="00480639">
        <w:t xml:space="preserve">or enhance </w:t>
      </w:r>
      <w:r w:rsidRPr="00D90303">
        <w:t>their strategy, financial performance and long</w:t>
      </w:r>
      <w:r w:rsidR="00963E59">
        <w:noBreakHyphen/>
      </w:r>
      <w:r w:rsidRPr="00D90303">
        <w:t>term resilience.</w:t>
      </w:r>
      <w:r w:rsidR="00384FD2">
        <w:t xml:space="preserve"> </w:t>
      </w:r>
      <w:r w:rsidR="0004475C">
        <w:t xml:space="preserve">This exercise can also support organisations in determining </w:t>
      </w:r>
      <w:r w:rsidR="006D11EC">
        <w:t>their</w:t>
      </w:r>
      <w:r w:rsidR="00EE64DD">
        <w:t xml:space="preserve"> appetite and tolerance for </w:t>
      </w:r>
      <w:r w:rsidR="006D11EC">
        <w:t>identified climate</w:t>
      </w:r>
      <w:r w:rsidR="00963E59">
        <w:noBreakHyphen/>
      </w:r>
      <w:r w:rsidR="006D11EC">
        <w:t>related risks</w:t>
      </w:r>
      <w:r w:rsidR="00480639">
        <w:t xml:space="preserve"> and opportunities</w:t>
      </w:r>
      <w:r w:rsidR="00EE64DD">
        <w:t>.</w:t>
      </w:r>
    </w:p>
    <w:p w14:paraId="6E0B8B95" w14:textId="77777777" w:rsidR="008A2678" w:rsidRPr="00E550CE" w:rsidRDefault="008A2678" w:rsidP="00E550CE">
      <w:pPr>
        <w:pStyle w:val="SingleParagraph"/>
      </w:pPr>
    </w:p>
    <w:tbl>
      <w:tblPr>
        <w:tblW w:w="5000" w:type="pct"/>
        <w:shd w:val="clear" w:color="auto" w:fill="F2F9FC"/>
        <w:tblCellMar>
          <w:top w:w="227" w:type="dxa"/>
          <w:left w:w="227" w:type="dxa"/>
          <w:bottom w:w="227" w:type="dxa"/>
          <w:right w:w="227" w:type="dxa"/>
        </w:tblCellMar>
        <w:tblLook w:val="0620" w:firstRow="1" w:lastRow="0" w:firstColumn="0" w:lastColumn="0" w:noHBand="1" w:noVBand="1"/>
      </w:tblPr>
      <w:tblGrid>
        <w:gridCol w:w="9070"/>
      </w:tblGrid>
      <w:tr w:rsidR="008A2678" w:rsidRPr="00963E59" w14:paraId="045F6F4C" w14:textId="77777777" w:rsidTr="00460C3E">
        <w:tc>
          <w:tcPr>
            <w:tcW w:w="5000" w:type="pct"/>
            <w:shd w:val="clear" w:color="auto" w:fill="F2F9FC"/>
            <w:hideMark/>
          </w:tcPr>
          <w:p w14:paraId="26B0F408" w14:textId="339A2228" w:rsidR="008A2678" w:rsidRPr="00963E59" w:rsidRDefault="00D70742" w:rsidP="00E964D5">
            <w:pPr>
              <w:pStyle w:val="BoxHeading"/>
            </w:pPr>
            <w:bookmarkStart w:id="91" w:name="BOX9"/>
            <w:bookmarkStart w:id="92" w:name="_Toc237351139"/>
            <w:bookmarkStart w:id="93" w:name="_Toc233287105"/>
            <w:bookmarkEnd w:id="91"/>
            <w:r w:rsidRPr="00963E59">
              <w:t xml:space="preserve">Box </w:t>
            </w:r>
            <w:r w:rsidR="00786BF8" w:rsidRPr="00963E59">
              <w:t>9</w:t>
            </w:r>
            <w:r w:rsidRPr="00963E59">
              <w:t xml:space="preserve">. </w:t>
            </w:r>
            <w:r w:rsidR="008A2678" w:rsidRPr="00963E59">
              <w:t xml:space="preserve">Illustrative example </w:t>
            </w:r>
            <w:r w:rsidRPr="00963E59">
              <w:t>on</w:t>
            </w:r>
            <w:r w:rsidR="0016210C" w:rsidRPr="00963E59">
              <w:t xml:space="preserve"> u</w:t>
            </w:r>
            <w:r w:rsidR="008A2678" w:rsidRPr="00963E59">
              <w:t>sing the NCRA</w:t>
            </w:r>
            <w:r w:rsidR="008A2678" w:rsidRPr="00963E59" w:rsidDel="00052D21">
              <w:t xml:space="preserve"> </w:t>
            </w:r>
            <w:r w:rsidR="008A2678" w:rsidRPr="00963E59">
              <w:t>to assess climate</w:t>
            </w:r>
            <w:r w:rsidR="00E972FA">
              <w:t>-</w:t>
            </w:r>
            <w:r w:rsidR="008A2678" w:rsidRPr="00963E59">
              <w:t>related physical risks</w:t>
            </w:r>
            <w:bookmarkEnd w:id="92"/>
            <w:bookmarkEnd w:id="93"/>
            <w:r w:rsidR="008A2678" w:rsidRPr="00963E59">
              <w:t xml:space="preserve"> </w:t>
            </w:r>
          </w:p>
          <w:p w14:paraId="3A52643C" w14:textId="7D1E1630" w:rsidR="008A2678" w:rsidRPr="00963E59" w:rsidRDefault="008A2678" w:rsidP="008A2678">
            <w:pPr>
              <w:pStyle w:val="BoxText"/>
            </w:pPr>
            <w:r w:rsidRPr="00963E59">
              <w:t>An organisation in the agricultur</w:t>
            </w:r>
            <w:r w:rsidR="00F07B69" w:rsidRPr="00963E59">
              <w:t>e</w:t>
            </w:r>
            <w:r w:rsidRPr="00963E59">
              <w:t xml:space="preserve"> sector uses the NCRA to get a snapshot of the expected changes in Australia across different warming scenarios to help identify and assess their physical risks. They supplement this analysis with physical risk data from other sources, such as state and territory downscaled data tools, which help them understand localised climate impacts.</w:t>
            </w:r>
          </w:p>
          <w:p w14:paraId="05DC184F" w14:textId="5A4787D8" w:rsidR="008A2678" w:rsidRPr="00963E59" w:rsidRDefault="008A2678" w:rsidP="008A2678">
            <w:pPr>
              <w:pStyle w:val="BoxText"/>
            </w:pPr>
            <w:r w:rsidRPr="00963E59">
              <w:t>Using these resources, the organisation identifies that prolonged drought and extreme heat across key agricultural regions could impact crop yields and increase the number of heat</w:t>
            </w:r>
            <w:r w:rsidR="00B87228" w:rsidRPr="00963E59">
              <w:t xml:space="preserve"> </w:t>
            </w:r>
            <w:r w:rsidRPr="00963E59">
              <w:t>stress days for livestock. These conditions are also likely to elevate biosecurity threats, including increased susceptibility to pests and diseases. Potential impacts of these risks include:</w:t>
            </w:r>
          </w:p>
          <w:p w14:paraId="679D3F40" w14:textId="53633F48" w:rsidR="008A2678" w:rsidRPr="00963E59" w:rsidRDefault="006A0935" w:rsidP="00DB6514">
            <w:pPr>
              <w:pStyle w:val="Boxbullet"/>
            </w:pPr>
            <w:r w:rsidRPr="00963E59">
              <w:t>r</w:t>
            </w:r>
            <w:r w:rsidR="008A2678" w:rsidRPr="00963E59">
              <w:t>educed crop and livestock productivity and quality</w:t>
            </w:r>
          </w:p>
          <w:p w14:paraId="16906F11" w14:textId="0E347D86" w:rsidR="008A2678" w:rsidRPr="00963E59" w:rsidRDefault="006A0935" w:rsidP="00DB6514">
            <w:pPr>
              <w:pStyle w:val="Boxbullet"/>
            </w:pPr>
            <w:r w:rsidRPr="00963E59">
              <w:t>h</w:t>
            </w:r>
            <w:r w:rsidR="008A2678" w:rsidRPr="00963E59">
              <w:t>eightened pest and disease outbreaks</w:t>
            </w:r>
          </w:p>
          <w:p w14:paraId="3E019978" w14:textId="44C725DB" w:rsidR="008A2678" w:rsidRPr="00963E59" w:rsidRDefault="006A0935" w:rsidP="00DB6514">
            <w:pPr>
              <w:pStyle w:val="Boxbullet"/>
            </w:pPr>
            <w:r w:rsidRPr="00963E59">
              <w:t>e</w:t>
            </w:r>
            <w:r w:rsidR="008A2678" w:rsidRPr="00963E59">
              <w:t xml:space="preserve">conomic strain on the organisation which could lead to job loss </w:t>
            </w:r>
          </w:p>
          <w:p w14:paraId="5E697692" w14:textId="1C293334" w:rsidR="008A2678" w:rsidRPr="00963E59" w:rsidRDefault="006A0935" w:rsidP="00DB6514">
            <w:pPr>
              <w:pStyle w:val="Boxbullet"/>
            </w:pPr>
            <w:r w:rsidRPr="00963E59">
              <w:t>v</w:t>
            </w:r>
            <w:r w:rsidR="008A2678" w:rsidRPr="00963E59">
              <w:t>alue chain disruptions affecting organisational operations</w:t>
            </w:r>
            <w:r w:rsidRPr="00963E59">
              <w:t>.</w:t>
            </w:r>
          </w:p>
          <w:p w14:paraId="55DFC398" w14:textId="072EAC3C" w:rsidR="008A2678" w:rsidRPr="00963E59" w:rsidRDefault="008A2678" w:rsidP="008A2678">
            <w:pPr>
              <w:pStyle w:val="BoxText"/>
            </w:pPr>
            <w:r w:rsidRPr="00963E59">
              <w:t xml:space="preserve">The organisation assesses that these risks pose a material impact on its business operations and exceed its risk tolerance. This assessment enables the organisation to begin identifying actions to manage these risks in the next steps of its transition planning. Actions could include diversifying farm locations, implementing approaches to </w:t>
            </w:r>
            <w:r w:rsidR="00D36724" w:rsidRPr="00963E59">
              <w:t xml:space="preserve">manage </w:t>
            </w:r>
            <w:r w:rsidRPr="00963E59">
              <w:t xml:space="preserve">increased biosecurity threats, using drought tolerant crop varieties, implementing alternate cropping strategies </w:t>
            </w:r>
            <w:r w:rsidR="00151861" w:rsidRPr="00963E59">
              <w:t>and</w:t>
            </w:r>
            <w:r w:rsidRPr="00963E59">
              <w:t xml:space="preserve"> increasing water efficiency and improved irrigation technologies.</w:t>
            </w:r>
          </w:p>
        </w:tc>
      </w:tr>
    </w:tbl>
    <w:p w14:paraId="6E9C51A2" w14:textId="77777777" w:rsidR="00AC3965" w:rsidRPr="00AC3965" w:rsidRDefault="00AC3965" w:rsidP="00AC3965">
      <w:r w:rsidRPr="00AC3965">
        <w:br w:type="page"/>
      </w:r>
    </w:p>
    <w:p w14:paraId="452B335C" w14:textId="73BB2C38" w:rsidR="00E9303D" w:rsidRDefault="00925923" w:rsidP="00F07B69">
      <w:pPr>
        <w:pStyle w:val="Heading3"/>
      </w:pPr>
      <w:r>
        <w:lastRenderedPageBreak/>
        <w:t>S</w:t>
      </w:r>
      <w:r w:rsidR="00E9303D">
        <w:t>cenario analysis</w:t>
      </w:r>
    </w:p>
    <w:p w14:paraId="374472BD" w14:textId="3B13914A" w:rsidR="0041502D" w:rsidRDefault="0041502D" w:rsidP="00D73DD0">
      <w:r w:rsidRPr="0041502D">
        <w:t>Scenario analysis can support an assessment of climate</w:t>
      </w:r>
      <w:r w:rsidR="00963E59">
        <w:noBreakHyphen/>
      </w:r>
      <w:r w:rsidRPr="0041502D">
        <w:t>related risks and opportunities by testing an organisation</w:t>
      </w:r>
      <w:r w:rsidR="00963E59">
        <w:t>’</w:t>
      </w:r>
      <w:r w:rsidRPr="0041502D">
        <w:t>s resilience to potential future climate conditions. It helps organisations understand their exposure to transition and physical risks and opportunities in various scenarios, through the likelihood and impact lenses. Scenario analysis outcomes can inform strategic responses available in later stages of transition planning, in particular</w:t>
      </w:r>
      <w:r w:rsidRPr="0041502D" w:rsidDel="00577422">
        <w:t xml:space="preserve"> </w:t>
      </w:r>
      <w:r w:rsidR="00963E59">
        <w:t>‘</w:t>
      </w:r>
      <w:r w:rsidRPr="0041502D">
        <w:t>no</w:t>
      </w:r>
      <w:r w:rsidR="00963E59">
        <w:noBreakHyphen/>
      </w:r>
      <w:r w:rsidRPr="0041502D">
        <w:t>regret actions</w:t>
      </w:r>
      <w:r w:rsidR="00963E59">
        <w:t>’</w:t>
      </w:r>
      <w:r w:rsidRPr="0041502D">
        <w:t xml:space="preserve"> </w:t>
      </w:r>
      <w:r w:rsidR="00E25177">
        <w:t>that</w:t>
      </w:r>
      <w:r w:rsidR="00C77A26">
        <w:t xml:space="preserve"> </w:t>
      </w:r>
      <w:r w:rsidR="00BB242F">
        <w:t>are beneficial</w:t>
      </w:r>
      <w:r w:rsidRPr="0041502D">
        <w:t xml:space="preserve"> across </w:t>
      </w:r>
      <w:r w:rsidR="00BF543E">
        <w:t>all or most</w:t>
      </w:r>
      <w:r w:rsidR="00BF543E" w:rsidRPr="0041502D">
        <w:t xml:space="preserve"> </w:t>
      </w:r>
      <w:r w:rsidRPr="0041502D">
        <w:t>scenarios. Scenario analysis can also clarify whether key risks arise within the organisation</w:t>
      </w:r>
      <w:r w:rsidR="00963E59">
        <w:t>’</w:t>
      </w:r>
      <w:r w:rsidRPr="0041502D">
        <w:t>s direct operations or elsewhere in the value chain.</w:t>
      </w:r>
    </w:p>
    <w:p w14:paraId="5846FA0B" w14:textId="05CD3DE6" w:rsidR="001208CF" w:rsidRDefault="0086348C" w:rsidP="00D73DD0">
      <w:r w:rsidRPr="005144C2">
        <w:t>Where scenario analysis is undertaken, good practice</w:t>
      </w:r>
      <w:r w:rsidR="004303E7">
        <w:t xml:space="preserve"> – </w:t>
      </w:r>
      <w:r w:rsidR="000B50A6">
        <w:t>includ</w:t>
      </w:r>
      <w:r w:rsidR="0087678C">
        <w:t>ing</w:t>
      </w:r>
      <w:r w:rsidRPr="005144C2">
        <w:t xml:space="preserve"> the </w:t>
      </w:r>
      <w:r w:rsidR="00DD2A07">
        <w:t>current</w:t>
      </w:r>
      <w:r w:rsidRPr="005144C2">
        <w:t xml:space="preserve"> requirements under Australia</w:t>
      </w:r>
      <w:r w:rsidR="00963E59">
        <w:t>’</w:t>
      </w:r>
      <w:r w:rsidRPr="005144C2">
        <w:t>s mandatory climate</w:t>
      </w:r>
      <w:r w:rsidR="00963E59">
        <w:noBreakHyphen/>
      </w:r>
      <w:r w:rsidRPr="005144C2">
        <w:t>related financial disclosure regime</w:t>
      </w:r>
      <w:r w:rsidR="004303E7">
        <w:t xml:space="preserve"> – </w:t>
      </w:r>
      <w:r w:rsidRPr="005144C2">
        <w:t xml:space="preserve">expects organisations to </w:t>
      </w:r>
      <w:r w:rsidR="00092777">
        <w:t>use</w:t>
      </w:r>
      <w:r w:rsidR="00092777" w:rsidRPr="005144C2">
        <w:t xml:space="preserve"> </w:t>
      </w:r>
      <w:r w:rsidRPr="005144C2">
        <w:t xml:space="preserve">at least </w:t>
      </w:r>
      <w:r w:rsidR="00AC3965">
        <w:t>two</w:t>
      </w:r>
      <w:r w:rsidR="001208CF" w:rsidRPr="005144C2">
        <w:t xml:space="preserve"> </w:t>
      </w:r>
      <w:r w:rsidRPr="005144C2">
        <w:t>climate scenarios representing contrasting transition pathways, as referenced in section 296D(2B) of the Corporations Act.</w:t>
      </w:r>
      <w:r w:rsidR="00CB01EB">
        <w:t xml:space="preserve"> </w:t>
      </w:r>
    </w:p>
    <w:p w14:paraId="5C972DDA" w14:textId="223DE068" w:rsidR="00CB01EB" w:rsidRDefault="004D6C49" w:rsidP="00D73DD0">
      <w:r>
        <w:t>G</w:t>
      </w:r>
      <w:r w:rsidR="00B9539C" w:rsidRPr="005144C2">
        <w:t xml:space="preserve">lobally recognised climate scenarios, including </w:t>
      </w:r>
      <w:r w:rsidR="00B9539C" w:rsidRPr="00D73DD0">
        <w:rPr>
          <w:rFonts w:cs="Calibri Light"/>
          <w:szCs w:val="22"/>
        </w:rPr>
        <w:t>Shared Socioeconomic Pathways</w:t>
      </w:r>
      <w:r w:rsidR="001208CF">
        <w:rPr>
          <w:rFonts w:cs="Calibri Light"/>
          <w:szCs w:val="22"/>
        </w:rPr>
        <w:t>,</w:t>
      </w:r>
      <w:r w:rsidR="00B9539C" w:rsidRPr="00D73DD0" w:rsidDel="001208CF">
        <w:rPr>
          <w:rFonts w:cs="Calibri Light"/>
          <w:szCs w:val="22"/>
        </w:rPr>
        <w:t xml:space="preserve"> </w:t>
      </w:r>
      <w:r w:rsidR="003F1887">
        <w:t>can be</w:t>
      </w:r>
      <w:r w:rsidR="00B9539C" w:rsidRPr="005144C2">
        <w:t xml:space="preserve"> used to</w:t>
      </w:r>
      <w:r w:rsidR="00AC3965">
        <w:t> </w:t>
      </w:r>
      <w:r w:rsidR="00B9539C" w:rsidRPr="005144C2">
        <w:t>inform entity</w:t>
      </w:r>
      <w:r w:rsidR="00963E59">
        <w:noBreakHyphen/>
      </w:r>
      <w:r w:rsidR="00B9539C" w:rsidRPr="005144C2">
        <w:t xml:space="preserve">specific assessments of exposure, </w:t>
      </w:r>
      <w:r w:rsidR="00406401" w:rsidRPr="00406401">
        <w:t xml:space="preserve">vulnerability and resilience. </w:t>
      </w:r>
      <w:r w:rsidR="001208CF" w:rsidRPr="00D73DD0">
        <w:rPr>
          <w:rFonts w:cs="Calibri Light"/>
          <w:szCs w:val="22"/>
        </w:rPr>
        <w:t>Shared</w:t>
      </w:r>
      <w:r w:rsidR="00AC3965">
        <w:rPr>
          <w:rFonts w:cs="Calibri Light"/>
          <w:szCs w:val="22"/>
        </w:rPr>
        <w:t> </w:t>
      </w:r>
      <w:r w:rsidR="001208CF" w:rsidRPr="00D73DD0">
        <w:rPr>
          <w:rFonts w:cs="Calibri Light"/>
          <w:szCs w:val="22"/>
        </w:rPr>
        <w:t>Socioeconomic</w:t>
      </w:r>
      <w:r w:rsidR="00AC3965">
        <w:rPr>
          <w:rFonts w:cs="Calibri Light"/>
          <w:szCs w:val="22"/>
        </w:rPr>
        <w:t> </w:t>
      </w:r>
      <w:r w:rsidR="001208CF" w:rsidRPr="00D73DD0">
        <w:rPr>
          <w:rFonts w:cs="Calibri Light"/>
          <w:szCs w:val="22"/>
        </w:rPr>
        <w:t>Pathways</w:t>
      </w:r>
      <w:r w:rsidR="00406401" w:rsidRPr="00406401">
        <w:t>, developed by the IPCC, are internationally recognised descriptions of how the world might develop economically and socially under different climate futures</w:t>
      </w:r>
      <w:r w:rsidR="007F2089">
        <w:t>. They</w:t>
      </w:r>
      <w:r w:rsidR="00406401" w:rsidRPr="00406401" w:rsidDel="007F2089">
        <w:t xml:space="preserve"> </w:t>
      </w:r>
      <w:r w:rsidR="00406401" w:rsidRPr="00406401">
        <w:t xml:space="preserve">are particularly relevant to physical risks and opportunities. </w:t>
      </w:r>
      <w:r w:rsidR="007F2089" w:rsidRPr="00D73DD0">
        <w:rPr>
          <w:rFonts w:cs="Calibri Light"/>
          <w:szCs w:val="22"/>
        </w:rPr>
        <w:t>Shared Socioeconomic Pathways</w:t>
      </w:r>
      <w:r w:rsidR="007F2089">
        <w:rPr>
          <w:rFonts w:cs="Calibri Light"/>
          <w:szCs w:val="22"/>
        </w:rPr>
        <w:t xml:space="preserve"> </w:t>
      </w:r>
      <w:r w:rsidR="00406401" w:rsidRPr="00406401">
        <w:t xml:space="preserve">can be used as inputs to scenario analysis to help organisations understand how physical climate risks could affect their assets, operations and financial performance under different levels of global warming. </w:t>
      </w:r>
    </w:p>
    <w:p w14:paraId="7A08A626" w14:textId="5D3E4010" w:rsidR="00226B5A" w:rsidRDefault="005420FA" w:rsidP="00D73DD0">
      <w:r w:rsidRPr="005420FA">
        <w:t>To inform scenario analysis of climate</w:t>
      </w:r>
      <w:r w:rsidR="00963E59">
        <w:noBreakHyphen/>
      </w:r>
      <w:r w:rsidRPr="005420FA">
        <w:t xml:space="preserve">related </w:t>
      </w:r>
      <w:r w:rsidRPr="00444891">
        <w:t>transition risks and opportunities</w:t>
      </w:r>
      <w:r w:rsidRPr="005420FA">
        <w:t xml:space="preserve">, organisations </w:t>
      </w:r>
      <w:r w:rsidR="00817156">
        <w:t>also</w:t>
      </w:r>
      <w:r w:rsidRPr="001021C9">
        <w:t xml:space="preserve"> </w:t>
      </w:r>
      <w:r w:rsidRPr="005420FA">
        <w:t xml:space="preserve">commonly draw on </w:t>
      </w:r>
      <w:r w:rsidR="006C492A">
        <w:t>two</w:t>
      </w:r>
      <w:r w:rsidR="00E30640">
        <w:t xml:space="preserve"> </w:t>
      </w:r>
      <w:r w:rsidRPr="005420FA">
        <w:t>globally recognised scenarios</w:t>
      </w:r>
      <w:r w:rsidR="00E30640">
        <w:t>:</w:t>
      </w:r>
    </w:p>
    <w:p w14:paraId="6D452907" w14:textId="112E1AB0" w:rsidR="00226B5A" w:rsidRDefault="00444D4A" w:rsidP="00DB6514">
      <w:pPr>
        <w:pStyle w:val="Bullet"/>
      </w:pPr>
      <w:r w:rsidRPr="00444D4A">
        <w:t xml:space="preserve">The </w:t>
      </w:r>
      <w:r w:rsidR="00226B5A" w:rsidRPr="00444891">
        <w:t>International Energy Agency</w:t>
      </w:r>
      <w:r w:rsidR="00963E59">
        <w:t>’</w:t>
      </w:r>
      <w:r w:rsidR="00226B5A">
        <w:t xml:space="preserve">s </w:t>
      </w:r>
      <w:hyperlink r:id="rId76" w:history="1">
        <w:r w:rsidRPr="00FA2C88">
          <w:rPr>
            <w:rStyle w:val="Hyperlink"/>
          </w:rPr>
          <w:t>Net Zero Emissions by 2050 Scenario</w:t>
        </w:r>
      </w:hyperlink>
      <w:r w:rsidR="00520F9E" w:rsidRPr="00760C98">
        <w:rPr>
          <w:rStyle w:val="FootnoteReference"/>
        </w:rPr>
        <w:endnoteReference w:id="47"/>
      </w:r>
      <w:r w:rsidRPr="00444D4A" w:rsidDel="00226B5A">
        <w:t xml:space="preserve"> </w:t>
      </w:r>
      <w:r w:rsidRPr="00444D4A">
        <w:t>outlines a</w:t>
      </w:r>
      <w:r w:rsidRPr="00444D4A" w:rsidDel="00E30640">
        <w:t xml:space="preserve"> </w:t>
      </w:r>
      <w:r w:rsidRPr="00444D4A">
        <w:t>transition pathway designed to achieve net zero energy</w:t>
      </w:r>
      <w:r w:rsidR="00963E59">
        <w:noBreakHyphen/>
      </w:r>
      <w:r w:rsidRPr="00444D4A">
        <w:t>related CO₂ emissions by 2050</w:t>
      </w:r>
      <w:r w:rsidR="00E30640">
        <w:t>. It</w:t>
      </w:r>
      <w:r w:rsidRPr="00444D4A" w:rsidDel="00E30640">
        <w:t xml:space="preserve"> </w:t>
      </w:r>
      <w:r w:rsidRPr="00444D4A">
        <w:t>is widely used to assess energy and climate transition risks and opportunities.</w:t>
      </w:r>
      <w:r w:rsidR="005420FA" w:rsidRPr="005420FA">
        <w:t xml:space="preserve"> </w:t>
      </w:r>
    </w:p>
    <w:p w14:paraId="2205EB0E" w14:textId="45FAF383" w:rsidR="005420FA" w:rsidRDefault="00F7051D" w:rsidP="00DB6514">
      <w:pPr>
        <w:pStyle w:val="Bullet"/>
      </w:pPr>
      <w:r>
        <w:t>Network for Greening the Financial System</w:t>
      </w:r>
      <w:r w:rsidRPr="005420FA" w:rsidDel="00F7051D">
        <w:t xml:space="preserve"> </w:t>
      </w:r>
      <w:hyperlink r:id="rId77" w:history="1">
        <w:r w:rsidR="005420FA" w:rsidRPr="00226155">
          <w:rPr>
            <w:rStyle w:val="Hyperlink"/>
          </w:rPr>
          <w:t>scenarios</w:t>
        </w:r>
      </w:hyperlink>
      <w:r w:rsidR="003977A3" w:rsidRPr="00760C98">
        <w:rPr>
          <w:rStyle w:val="FootnoteReference"/>
        </w:rPr>
        <w:endnoteReference w:id="48"/>
      </w:r>
      <w:r w:rsidR="005420FA" w:rsidRPr="005420FA">
        <w:t xml:space="preserve"> </w:t>
      </w:r>
      <w:r w:rsidR="00E613B2" w:rsidRPr="00E613B2">
        <w:t xml:space="preserve">describe how the </w:t>
      </w:r>
      <w:r w:rsidR="00E613B2" w:rsidRPr="00444891">
        <w:t>global economy and financial variables may evolve under different transition pathways</w:t>
      </w:r>
      <w:r w:rsidR="00E30640">
        <w:t>. They</w:t>
      </w:r>
      <w:r w:rsidR="00E613B2" w:rsidRPr="00E613B2" w:rsidDel="00E30640">
        <w:t xml:space="preserve"> </w:t>
      </w:r>
      <w:r w:rsidR="00E613B2" w:rsidRPr="00E613B2">
        <w:t xml:space="preserve">are </w:t>
      </w:r>
      <w:r w:rsidR="007016CB" w:rsidRPr="007016CB">
        <w:t>used by organisations to test different levels of</w:t>
      </w:r>
      <w:r w:rsidR="00E613B2" w:rsidRPr="00E613B2">
        <w:t xml:space="preserve"> climate </w:t>
      </w:r>
      <w:r w:rsidR="007016CB" w:rsidRPr="007016CB">
        <w:t>policy action and associated transition risks alongside physical risks</w:t>
      </w:r>
      <w:r w:rsidR="00E30640">
        <w:t>. This makes</w:t>
      </w:r>
      <w:r w:rsidR="007016CB" w:rsidRPr="007016CB" w:rsidDel="00E30640">
        <w:t xml:space="preserve"> </w:t>
      </w:r>
      <w:r w:rsidR="007016CB" w:rsidRPr="007016CB">
        <w:t xml:space="preserve">them relevant </w:t>
      </w:r>
      <w:r w:rsidR="00E30640">
        <w:t>to</w:t>
      </w:r>
      <w:r w:rsidR="00E30640" w:rsidRPr="007016CB">
        <w:t xml:space="preserve"> </w:t>
      </w:r>
      <w:r w:rsidR="007016CB" w:rsidRPr="007016CB">
        <w:t>financial risk assessment across sectors and asset type</w:t>
      </w:r>
      <w:r w:rsidR="00283C8A">
        <w:t>s</w:t>
      </w:r>
      <w:r w:rsidR="00E613B2" w:rsidRPr="00E613B2">
        <w:t>.</w:t>
      </w:r>
    </w:p>
    <w:p w14:paraId="0907341B" w14:textId="69BDA157" w:rsidR="004D655E" w:rsidRDefault="00C9039E" w:rsidP="00D73DD0">
      <w:r w:rsidRPr="005144C2">
        <w:t xml:space="preserve">When conducting scenario analysis, it is useful to </w:t>
      </w:r>
      <w:r w:rsidR="009E49D5" w:rsidRPr="005144C2">
        <w:t xml:space="preserve">document </w:t>
      </w:r>
      <w:r w:rsidR="006545A9" w:rsidRPr="005144C2">
        <w:t xml:space="preserve">the </w:t>
      </w:r>
      <w:r w:rsidR="000A7538">
        <w:t>underlying</w:t>
      </w:r>
      <w:r w:rsidR="006545A9" w:rsidRPr="005144C2">
        <w:t xml:space="preserve"> assumptions</w:t>
      </w:r>
      <w:r w:rsidR="007271D5">
        <w:t>, dependencies</w:t>
      </w:r>
      <w:r w:rsidR="006545A9" w:rsidRPr="005144C2">
        <w:t xml:space="preserve"> and analytical choices made</w:t>
      </w:r>
      <w:r w:rsidR="007638ED">
        <w:t>. This helps</w:t>
      </w:r>
      <w:r w:rsidR="005B289E" w:rsidRPr="005144C2">
        <w:t xml:space="preserve"> build </w:t>
      </w:r>
      <w:r w:rsidR="005307B3" w:rsidRPr="005144C2">
        <w:t>a</w:t>
      </w:r>
      <w:r w:rsidR="00850137">
        <w:t xml:space="preserve"> common</w:t>
      </w:r>
      <w:r w:rsidR="005307B3" w:rsidRPr="005144C2">
        <w:t xml:space="preserve"> </w:t>
      </w:r>
      <w:r w:rsidR="00D27355">
        <w:t xml:space="preserve">understanding </w:t>
      </w:r>
      <w:r w:rsidR="00B33580">
        <w:t>of the scenarios used</w:t>
      </w:r>
      <w:r w:rsidR="00870382">
        <w:t xml:space="preserve">, </w:t>
      </w:r>
      <w:r w:rsidR="001208CF">
        <w:t xml:space="preserve">which ensures </w:t>
      </w:r>
      <w:r w:rsidR="005307B3" w:rsidRPr="005144C2">
        <w:t xml:space="preserve">internal </w:t>
      </w:r>
      <w:r w:rsidR="00505AB4">
        <w:t xml:space="preserve">and external stakeholders can </w:t>
      </w:r>
      <w:r w:rsidR="005307B3" w:rsidRPr="005144C2">
        <w:t xml:space="preserve">interpret the outcomes. Examples of assumptions include those related to macroeconomic trends, climate policies and </w:t>
      </w:r>
      <w:r w:rsidR="00C44AC7">
        <w:t>climate</w:t>
      </w:r>
      <w:r w:rsidR="00C44AC7" w:rsidRPr="005144C2">
        <w:t xml:space="preserve"> </w:t>
      </w:r>
      <w:r w:rsidR="005307B3" w:rsidRPr="005144C2">
        <w:t xml:space="preserve">variables. </w:t>
      </w:r>
    </w:p>
    <w:p w14:paraId="5AF27FB5" w14:textId="643383B9" w:rsidR="00C51598" w:rsidRDefault="005307B3" w:rsidP="00D73DD0">
      <w:r w:rsidRPr="005144C2">
        <w:t>It may also be useful</w:t>
      </w:r>
      <w:r w:rsidR="00866985" w:rsidRPr="005144C2">
        <w:t xml:space="preserve"> for organisations</w:t>
      </w:r>
      <w:r w:rsidRPr="005144C2">
        <w:t xml:space="preserve"> to engage with stakeholders across the value chain to b</w:t>
      </w:r>
      <w:r w:rsidR="009B2DC1" w:rsidRPr="005144C2">
        <w:t>etter under</w:t>
      </w:r>
      <w:r w:rsidR="00BE22BE" w:rsidRPr="005144C2">
        <w:t>stand</w:t>
      </w:r>
      <w:r w:rsidR="009B2DC1" w:rsidRPr="005144C2">
        <w:t xml:space="preserve"> their assessment of climate</w:t>
      </w:r>
      <w:r w:rsidR="00963E59">
        <w:noBreakHyphen/>
      </w:r>
      <w:r w:rsidR="009B2DC1" w:rsidRPr="005144C2">
        <w:t xml:space="preserve">related risks and opportunities to </w:t>
      </w:r>
      <w:r w:rsidR="001E09AA" w:rsidRPr="005144C2">
        <w:t xml:space="preserve">inform their own </w:t>
      </w:r>
      <w:r w:rsidR="00A90675">
        <w:t xml:space="preserve">scenario </w:t>
      </w:r>
      <w:r w:rsidR="001E09AA" w:rsidRPr="005144C2">
        <w:t xml:space="preserve">analysis. </w:t>
      </w:r>
    </w:p>
    <w:p w14:paraId="6A6FFBC9" w14:textId="25945110" w:rsidR="008A2678" w:rsidRDefault="00DE7B58" w:rsidP="0058480E">
      <w:hyperlink w:anchor="BOX10" w:history="1">
        <w:r>
          <w:rPr>
            <w:rStyle w:val="Hyperlink"/>
          </w:rPr>
          <w:t>Box 10</w:t>
        </w:r>
      </w:hyperlink>
      <w:r w:rsidR="00C14C83" w:rsidRPr="005144C2">
        <w:t xml:space="preserve"> </w:t>
      </w:r>
      <w:r w:rsidR="00EE32F3">
        <w:t>provides an overview o</w:t>
      </w:r>
      <w:r w:rsidR="00A0706B">
        <w:t>f the</w:t>
      </w:r>
      <w:r w:rsidR="003737C8" w:rsidRPr="005144C2">
        <w:t xml:space="preserve"> climate</w:t>
      </w:r>
      <w:r w:rsidR="00963E59">
        <w:noBreakHyphen/>
      </w:r>
      <w:r w:rsidR="003737C8" w:rsidRPr="005144C2">
        <w:t>related scenario analysis</w:t>
      </w:r>
      <w:r w:rsidR="00A0706B">
        <w:t xml:space="preserve"> process</w:t>
      </w:r>
      <w:r w:rsidR="003737C8" w:rsidRPr="005144C2">
        <w:t>.</w:t>
      </w:r>
      <w:r w:rsidR="00CD3FC4">
        <w:t xml:space="preserve"> </w:t>
      </w:r>
      <w:hyperlink w:anchor="BOX11" w:history="1">
        <w:r w:rsidRPr="00226155">
          <w:rPr>
            <w:rStyle w:val="Hyperlink"/>
          </w:rPr>
          <w:t>Box 11</w:t>
        </w:r>
      </w:hyperlink>
      <w:r w:rsidR="00CD3FC4">
        <w:t xml:space="preserve"> includes additional resources on scenario analysis.</w:t>
      </w:r>
    </w:p>
    <w:tbl>
      <w:tblPr>
        <w:tblW w:w="5000" w:type="pct"/>
        <w:shd w:val="clear" w:color="auto" w:fill="E3EDE8"/>
        <w:tblCellMar>
          <w:top w:w="227" w:type="dxa"/>
          <w:left w:w="227" w:type="dxa"/>
          <w:bottom w:w="227" w:type="dxa"/>
          <w:right w:w="227" w:type="dxa"/>
        </w:tblCellMar>
        <w:tblLook w:val="0620" w:firstRow="1" w:lastRow="0" w:firstColumn="0" w:lastColumn="0" w:noHBand="1" w:noVBand="1"/>
      </w:tblPr>
      <w:tblGrid>
        <w:gridCol w:w="9070"/>
      </w:tblGrid>
      <w:tr w:rsidR="008A2678" w:rsidRPr="00963E59" w14:paraId="1C594A69" w14:textId="77777777" w:rsidTr="0058480E">
        <w:tc>
          <w:tcPr>
            <w:tcW w:w="5000" w:type="pct"/>
            <w:shd w:val="clear" w:color="auto" w:fill="E3EDE8"/>
            <w:hideMark/>
          </w:tcPr>
          <w:p w14:paraId="76C1FECA" w14:textId="5443E8F6" w:rsidR="008A2678" w:rsidRPr="00963E59" w:rsidRDefault="008A2678" w:rsidP="00E964D5">
            <w:pPr>
              <w:pStyle w:val="BoxHeading"/>
            </w:pPr>
            <w:bookmarkStart w:id="94" w:name="BOX10"/>
            <w:bookmarkStart w:id="95" w:name="_Toc237351140"/>
            <w:bookmarkStart w:id="96" w:name="_Toc233287106"/>
            <w:bookmarkEnd w:id="94"/>
            <w:r w:rsidRPr="00963E59">
              <w:lastRenderedPageBreak/>
              <w:t xml:space="preserve">Box </w:t>
            </w:r>
            <w:r w:rsidR="00D70742" w:rsidRPr="00963E59">
              <w:t>1</w:t>
            </w:r>
            <w:r w:rsidR="00786BF8" w:rsidRPr="00963E59">
              <w:t>0</w:t>
            </w:r>
            <w:r w:rsidR="00A24CEC" w:rsidRPr="00963E59">
              <w:t>.</w:t>
            </w:r>
            <w:r w:rsidRPr="00963E59">
              <w:t xml:space="preserve"> Overview of </w:t>
            </w:r>
            <w:r w:rsidR="00A01A04" w:rsidRPr="00963E59">
              <w:t>the s</w:t>
            </w:r>
            <w:r w:rsidRPr="00963E59">
              <w:t xml:space="preserve">cenario </w:t>
            </w:r>
            <w:r w:rsidR="00A01A04" w:rsidRPr="00963E59">
              <w:t>a</w:t>
            </w:r>
            <w:r w:rsidRPr="00963E59">
              <w:t xml:space="preserve">nalysis </w:t>
            </w:r>
            <w:r w:rsidR="00A01A04" w:rsidRPr="00963E59">
              <w:t>p</w:t>
            </w:r>
            <w:r w:rsidRPr="00963E59">
              <w:t>rocess</w:t>
            </w:r>
            <w:bookmarkEnd w:id="95"/>
            <w:bookmarkEnd w:id="96"/>
          </w:p>
          <w:p w14:paraId="02980DB6" w14:textId="1FA4435E" w:rsidR="008A2678" w:rsidRPr="00963E59" w:rsidRDefault="008A2678" w:rsidP="008A2678">
            <w:pPr>
              <w:pStyle w:val="BoxText"/>
              <w:rPr>
                <w:lang w:eastAsia="en-US"/>
              </w:rPr>
            </w:pPr>
            <w:r w:rsidRPr="00963E59">
              <w:rPr>
                <w:lang w:eastAsia="en-US"/>
              </w:rPr>
              <w:t>Leading international climate and financial risk frameworks describe a broadly consistent, structured process for undertaking climate-related scenario analysis</w:t>
            </w:r>
            <w:r w:rsidR="007F293C" w:rsidRPr="00963E59">
              <w:rPr>
                <w:lang w:eastAsia="en-US"/>
              </w:rPr>
              <w:t>.</w:t>
            </w:r>
            <w:r w:rsidRPr="00963E59">
              <w:rPr>
                <w:lang w:eastAsia="en-US"/>
              </w:rPr>
              <w:t xml:space="preserve"> </w:t>
            </w:r>
          </w:p>
          <w:p w14:paraId="1E52C21B" w14:textId="55159C0F" w:rsidR="008A2678" w:rsidRPr="00963E59" w:rsidRDefault="008A2678" w:rsidP="00DB6514">
            <w:pPr>
              <w:pStyle w:val="Boxbullet"/>
              <w:rPr>
                <w:lang w:eastAsia="en-US"/>
              </w:rPr>
            </w:pPr>
            <w:r w:rsidRPr="00DB6514">
              <w:rPr>
                <w:b/>
                <w:bCs/>
                <w:lang w:eastAsia="en-US"/>
              </w:rPr>
              <w:t xml:space="preserve">Risk and </w:t>
            </w:r>
            <w:r w:rsidR="00A01A04" w:rsidRPr="00DB6514">
              <w:rPr>
                <w:b/>
                <w:bCs/>
                <w:lang w:eastAsia="en-US"/>
              </w:rPr>
              <w:t>o</w:t>
            </w:r>
            <w:r w:rsidRPr="00DB6514">
              <w:rPr>
                <w:b/>
                <w:bCs/>
                <w:lang w:eastAsia="en-US"/>
              </w:rPr>
              <w:t xml:space="preserve">pportunity </w:t>
            </w:r>
            <w:r w:rsidR="00A01A04" w:rsidRPr="00DB6514">
              <w:rPr>
                <w:b/>
                <w:bCs/>
                <w:lang w:eastAsia="en-US"/>
              </w:rPr>
              <w:t>i</w:t>
            </w:r>
            <w:r w:rsidRPr="00DB6514">
              <w:rPr>
                <w:b/>
                <w:bCs/>
                <w:lang w:eastAsia="en-US"/>
              </w:rPr>
              <w:t>dentification:</w:t>
            </w:r>
            <w:r w:rsidRPr="00963E59">
              <w:rPr>
                <w:lang w:eastAsia="en-US"/>
              </w:rPr>
              <w:t> Identify material physical and transition-related climate risks and opportunities relevant to the organisation, informed by hazard screening, value-</w:t>
            </w:r>
            <w:r w:rsidR="00F87583">
              <w:rPr>
                <w:lang w:eastAsia="en-US"/>
              </w:rPr>
              <w:t>‍</w:t>
            </w:r>
            <w:r w:rsidRPr="00963E59">
              <w:rPr>
                <w:lang w:eastAsia="en-US"/>
              </w:rPr>
              <w:t>chain analysis, and market or policy trend assessments.</w:t>
            </w:r>
          </w:p>
          <w:p w14:paraId="07773250" w14:textId="072BA562" w:rsidR="004D655E" w:rsidRPr="00963E59" w:rsidRDefault="008A2678" w:rsidP="00DB6514">
            <w:pPr>
              <w:pStyle w:val="Boxbullet"/>
              <w:rPr>
                <w:lang w:eastAsia="en-US"/>
              </w:rPr>
            </w:pPr>
            <w:r w:rsidRPr="00DB6514">
              <w:rPr>
                <w:b/>
                <w:bCs/>
                <w:lang w:eastAsia="en-US"/>
              </w:rPr>
              <w:t xml:space="preserve">Time </w:t>
            </w:r>
            <w:r w:rsidR="00A01A04" w:rsidRPr="00DB6514">
              <w:rPr>
                <w:b/>
                <w:bCs/>
                <w:lang w:eastAsia="en-US"/>
              </w:rPr>
              <w:t>h</w:t>
            </w:r>
            <w:r w:rsidRPr="00DB6514">
              <w:rPr>
                <w:b/>
                <w:bCs/>
                <w:lang w:eastAsia="en-US"/>
              </w:rPr>
              <w:t xml:space="preserve">orizon </w:t>
            </w:r>
            <w:r w:rsidR="00A01A04" w:rsidRPr="00DB6514">
              <w:rPr>
                <w:b/>
                <w:bCs/>
                <w:lang w:eastAsia="en-US"/>
              </w:rPr>
              <w:t>d</w:t>
            </w:r>
            <w:r w:rsidRPr="00DB6514">
              <w:rPr>
                <w:b/>
                <w:bCs/>
                <w:lang w:eastAsia="en-US"/>
              </w:rPr>
              <w:t>efinition:</w:t>
            </w:r>
            <w:r w:rsidRPr="00963E59">
              <w:rPr>
                <w:lang w:eastAsia="en-US"/>
              </w:rPr>
              <w:t> Select material short-, medium-, and long-term horizons aligned with the entity’s strategic planning cycles and asset lifespans.</w:t>
            </w:r>
          </w:p>
          <w:p w14:paraId="2C5D135F" w14:textId="5AA3FF13" w:rsidR="004D655E" w:rsidRPr="00963E59" w:rsidRDefault="008A2678" w:rsidP="00DB6514">
            <w:pPr>
              <w:pStyle w:val="Boxbullet"/>
              <w:rPr>
                <w:lang w:eastAsia="en-US"/>
              </w:rPr>
            </w:pPr>
            <w:r w:rsidRPr="00DB6514">
              <w:rPr>
                <w:b/>
                <w:bCs/>
                <w:lang w:eastAsia="en-US"/>
              </w:rPr>
              <w:t xml:space="preserve">Scenario </w:t>
            </w:r>
            <w:r w:rsidR="00A01A04" w:rsidRPr="00DB6514">
              <w:rPr>
                <w:b/>
                <w:bCs/>
                <w:lang w:eastAsia="en-US"/>
              </w:rPr>
              <w:t>s</w:t>
            </w:r>
            <w:r w:rsidRPr="00DB6514">
              <w:rPr>
                <w:b/>
                <w:bCs/>
                <w:lang w:eastAsia="en-US"/>
              </w:rPr>
              <w:t>election:</w:t>
            </w:r>
            <w:r w:rsidRPr="00963E59">
              <w:rPr>
                <w:lang w:eastAsia="en-US"/>
              </w:rPr>
              <w:t> Choose at least two plausible climate scenarios, including one aligned with the latest international agreements (</w:t>
            </w:r>
            <w:r w:rsidR="00F37CC5" w:rsidRPr="00963E59">
              <w:rPr>
                <w:lang w:eastAsia="en-US"/>
              </w:rPr>
              <w:t>for example</w:t>
            </w:r>
            <w:r w:rsidRPr="00963E59">
              <w:rPr>
                <w:lang w:eastAsia="en-US"/>
              </w:rPr>
              <w:t>, 1.5</w:t>
            </w:r>
            <w:r w:rsidR="0086388A" w:rsidRPr="00963E59">
              <w:rPr>
                <w:lang w:eastAsia="en-US"/>
              </w:rPr>
              <w:t xml:space="preserve"> </w:t>
            </w:r>
            <w:r w:rsidRPr="00963E59">
              <w:rPr>
                <w:lang w:eastAsia="en-US"/>
              </w:rPr>
              <w:t>°C pathway) and one representing a higher warming future (</w:t>
            </w:r>
            <w:r w:rsidR="00F37CC5" w:rsidRPr="00963E59">
              <w:rPr>
                <w:lang w:eastAsia="en-US"/>
              </w:rPr>
              <w:t>for example</w:t>
            </w:r>
            <w:r w:rsidRPr="00963E59">
              <w:rPr>
                <w:lang w:eastAsia="en-US"/>
              </w:rPr>
              <w:t>, 2.5</w:t>
            </w:r>
            <w:r w:rsidR="0086388A" w:rsidRPr="00963E59">
              <w:rPr>
                <w:lang w:eastAsia="en-US"/>
              </w:rPr>
              <w:t xml:space="preserve"> </w:t>
            </w:r>
            <w:r w:rsidRPr="00963E59">
              <w:rPr>
                <w:lang w:eastAsia="en-US"/>
              </w:rPr>
              <w:t>°C or higher).</w:t>
            </w:r>
          </w:p>
          <w:p w14:paraId="7E27F6F4" w14:textId="005F7FC4" w:rsidR="004D655E" w:rsidRPr="00963E59" w:rsidRDefault="008A2678" w:rsidP="00DB6514">
            <w:pPr>
              <w:pStyle w:val="Boxbullet"/>
              <w:rPr>
                <w:lang w:eastAsia="en-US"/>
              </w:rPr>
            </w:pPr>
            <w:r w:rsidRPr="00DB6514">
              <w:rPr>
                <w:b/>
                <w:bCs/>
                <w:lang w:eastAsia="en-US"/>
              </w:rPr>
              <w:t xml:space="preserve">Data </w:t>
            </w:r>
            <w:r w:rsidR="00103C88" w:rsidRPr="00DB6514">
              <w:rPr>
                <w:b/>
                <w:bCs/>
                <w:lang w:eastAsia="en-US"/>
              </w:rPr>
              <w:t>and</w:t>
            </w:r>
            <w:r w:rsidRPr="00DB6514">
              <w:rPr>
                <w:b/>
                <w:bCs/>
                <w:lang w:eastAsia="en-US"/>
              </w:rPr>
              <w:t xml:space="preserve"> </w:t>
            </w:r>
            <w:r w:rsidR="00A01A04" w:rsidRPr="00DB6514">
              <w:rPr>
                <w:b/>
                <w:bCs/>
                <w:lang w:eastAsia="en-US"/>
              </w:rPr>
              <w:t>a</w:t>
            </w:r>
            <w:r w:rsidRPr="00DB6514">
              <w:rPr>
                <w:b/>
                <w:bCs/>
                <w:lang w:eastAsia="en-US"/>
              </w:rPr>
              <w:t xml:space="preserve">ssumption </w:t>
            </w:r>
            <w:r w:rsidR="00A01A04" w:rsidRPr="00DB6514">
              <w:rPr>
                <w:b/>
                <w:bCs/>
                <w:lang w:eastAsia="en-US"/>
              </w:rPr>
              <w:t>g</w:t>
            </w:r>
            <w:r w:rsidRPr="00DB6514">
              <w:rPr>
                <w:b/>
                <w:bCs/>
                <w:lang w:eastAsia="en-US"/>
              </w:rPr>
              <w:t>athering:</w:t>
            </w:r>
            <w:r w:rsidRPr="00963E59">
              <w:rPr>
                <w:lang w:eastAsia="en-US"/>
              </w:rPr>
              <w:t> Collect internal data (</w:t>
            </w:r>
            <w:r w:rsidR="00F37CC5" w:rsidRPr="00963E59">
              <w:rPr>
                <w:lang w:eastAsia="en-US"/>
              </w:rPr>
              <w:t>for example,</w:t>
            </w:r>
            <w:r w:rsidRPr="00963E59">
              <w:rPr>
                <w:lang w:eastAsia="en-US"/>
              </w:rPr>
              <w:t xml:space="preserve"> asset exposure, emissions) and external data (</w:t>
            </w:r>
            <w:r w:rsidR="00F37CC5" w:rsidRPr="00963E59">
              <w:rPr>
                <w:lang w:eastAsia="en-US"/>
              </w:rPr>
              <w:t>for example</w:t>
            </w:r>
            <w:r w:rsidRPr="00963E59">
              <w:rPr>
                <w:lang w:eastAsia="en-US"/>
              </w:rPr>
              <w:t xml:space="preserve"> policy trends, regional forecasts) using reasonable and supportable information available without undue cost or effort.</w:t>
            </w:r>
          </w:p>
          <w:p w14:paraId="212E75DA" w14:textId="68557DFB" w:rsidR="004D655E" w:rsidRPr="00963E59" w:rsidRDefault="008A2678" w:rsidP="00DB6514">
            <w:pPr>
              <w:pStyle w:val="Boxbullet"/>
              <w:rPr>
                <w:lang w:eastAsia="en-US"/>
              </w:rPr>
            </w:pPr>
            <w:r w:rsidRPr="00DB6514">
              <w:rPr>
                <w:b/>
                <w:bCs/>
                <w:lang w:eastAsia="en-US"/>
              </w:rPr>
              <w:t xml:space="preserve">Impact </w:t>
            </w:r>
            <w:r w:rsidR="00A01A04" w:rsidRPr="00DB6514">
              <w:rPr>
                <w:b/>
                <w:bCs/>
                <w:lang w:eastAsia="en-US"/>
              </w:rPr>
              <w:t>a</w:t>
            </w:r>
            <w:r w:rsidRPr="00DB6514">
              <w:rPr>
                <w:b/>
                <w:bCs/>
                <w:lang w:eastAsia="en-US"/>
              </w:rPr>
              <w:t xml:space="preserve">ssessment and </w:t>
            </w:r>
            <w:r w:rsidR="00A01A04" w:rsidRPr="00DB6514">
              <w:rPr>
                <w:b/>
                <w:bCs/>
                <w:lang w:eastAsia="en-US"/>
              </w:rPr>
              <w:t>m</w:t>
            </w:r>
            <w:r w:rsidRPr="00DB6514">
              <w:rPr>
                <w:b/>
                <w:bCs/>
                <w:lang w:eastAsia="en-US"/>
              </w:rPr>
              <w:t>odelling:</w:t>
            </w:r>
            <w:r w:rsidRPr="00963E59">
              <w:rPr>
                <w:lang w:eastAsia="en-US"/>
              </w:rPr>
              <w:t> Assess how selected scenarios may affect operations, value chains, markets, and financial performance across defined time horizons, using qualitative analysis, quantitative modelling, or a combination of both.</w:t>
            </w:r>
          </w:p>
          <w:p w14:paraId="41B8ED03" w14:textId="56BE5A5A" w:rsidR="004D655E" w:rsidRPr="00963E59" w:rsidRDefault="008A2678" w:rsidP="00DB6514">
            <w:pPr>
              <w:pStyle w:val="Boxbullet"/>
              <w:rPr>
                <w:lang w:eastAsia="en-US"/>
              </w:rPr>
            </w:pPr>
            <w:r w:rsidRPr="00DB6514">
              <w:rPr>
                <w:b/>
                <w:bCs/>
                <w:lang w:eastAsia="en-US"/>
              </w:rPr>
              <w:t xml:space="preserve">Financial </w:t>
            </w:r>
            <w:r w:rsidR="00A01A04" w:rsidRPr="00DB6514">
              <w:rPr>
                <w:b/>
                <w:bCs/>
                <w:lang w:eastAsia="en-US"/>
              </w:rPr>
              <w:t>i</w:t>
            </w:r>
            <w:r w:rsidRPr="00DB6514">
              <w:rPr>
                <w:b/>
                <w:bCs/>
                <w:lang w:eastAsia="en-US"/>
              </w:rPr>
              <w:t>ntegration:</w:t>
            </w:r>
            <w:r w:rsidRPr="00963E59">
              <w:rPr>
                <w:lang w:eastAsia="en-US"/>
              </w:rPr>
              <w:t> Translate identified impacts into financial terms where practicable, such as revenue sensitivity, operating cost impacts, asset impairment risk, or capital expenditure implications, and consider how these may influence financial planning and capital allocation.</w:t>
            </w:r>
          </w:p>
          <w:p w14:paraId="34A39F58" w14:textId="38CD612C" w:rsidR="008A2678" w:rsidRPr="00963E59" w:rsidRDefault="008A2678" w:rsidP="00DB6514">
            <w:pPr>
              <w:pStyle w:val="Boxbullet"/>
              <w:rPr>
                <w:lang w:eastAsia="en-US"/>
              </w:rPr>
            </w:pPr>
            <w:r w:rsidRPr="00DB6514">
              <w:rPr>
                <w:b/>
                <w:bCs/>
                <w:lang w:eastAsia="en-US"/>
              </w:rPr>
              <w:t xml:space="preserve">Strategic </w:t>
            </w:r>
            <w:r w:rsidR="00A01A04" w:rsidRPr="00DB6514">
              <w:rPr>
                <w:b/>
                <w:bCs/>
                <w:lang w:eastAsia="en-US"/>
              </w:rPr>
              <w:t>r</w:t>
            </w:r>
            <w:r w:rsidRPr="00DB6514">
              <w:rPr>
                <w:b/>
                <w:bCs/>
                <w:lang w:eastAsia="en-US"/>
              </w:rPr>
              <w:t xml:space="preserve">esilience </w:t>
            </w:r>
            <w:r w:rsidR="00675AF5" w:rsidRPr="00DB6514">
              <w:rPr>
                <w:b/>
                <w:bCs/>
                <w:lang w:eastAsia="en-US"/>
              </w:rPr>
              <w:t>and</w:t>
            </w:r>
            <w:r w:rsidRPr="00DB6514">
              <w:rPr>
                <w:b/>
                <w:bCs/>
                <w:lang w:eastAsia="en-US"/>
              </w:rPr>
              <w:t xml:space="preserve"> </w:t>
            </w:r>
            <w:r w:rsidR="00A01A04" w:rsidRPr="00DB6514">
              <w:rPr>
                <w:b/>
                <w:bCs/>
                <w:lang w:eastAsia="en-US"/>
              </w:rPr>
              <w:t>r</w:t>
            </w:r>
            <w:r w:rsidRPr="00DB6514">
              <w:rPr>
                <w:b/>
                <w:bCs/>
                <w:lang w:eastAsia="en-US"/>
              </w:rPr>
              <w:t>esponse: </w:t>
            </w:r>
            <w:r w:rsidRPr="00963E59">
              <w:rPr>
                <w:lang w:eastAsia="en-US"/>
              </w:rPr>
              <w:t xml:space="preserve">Evaluate the resilience of current strategy under different scenarios and identify potential strategic responses, including risk mitigation actions, adaptation </w:t>
            </w:r>
            <w:r w:rsidR="001A483B" w:rsidRPr="00963E59">
              <w:rPr>
                <w:lang w:eastAsia="en-US"/>
              </w:rPr>
              <w:t>actions</w:t>
            </w:r>
            <w:r w:rsidRPr="00963E59">
              <w:rPr>
                <w:lang w:eastAsia="en-US"/>
              </w:rPr>
              <w:t>, or transition initiatives to strengthen long-term resilience.</w:t>
            </w:r>
          </w:p>
          <w:p w14:paraId="5EAC8AE5" w14:textId="08BCF06C" w:rsidR="008A2678" w:rsidRPr="00963E59" w:rsidRDefault="00313D7F" w:rsidP="00AC3965">
            <w:pPr>
              <w:pStyle w:val="ChartorTableNote"/>
              <w:rPr>
                <w:lang w:eastAsia="en-US"/>
              </w:rPr>
            </w:pPr>
            <w:r w:rsidRPr="00963E59">
              <w:rPr>
                <w:b/>
              </w:rPr>
              <w:t>Sources</w:t>
            </w:r>
            <w:r w:rsidR="008A2678" w:rsidRPr="00963E59">
              <w:t>:</w:t>
            </w:r>
            <w:r w:rsidR="00AC3965" w:rsidRPr="00963E59">
              <w:tab/>
            </w:r>
            <w:r w:rsidR="003E28B4" w:rsidRPr="00963E59">
              <w:t xml:space="preserve">Adapted from </w:t>
            </w:r>
            <w:r w:rsidR="008A2678" w:rsidRPr="00963E59">
              <w:fldChar w:fldCharType="begin"/>
            </w:r>
            <w:r w:rsidR="008A2678" w:rsidRPr="00963E59">
              <w:fldChar w:fldCharType="separate"/>
            </w:r>
            <w:r w:rsidR="008A2678" w:rsidRPr="00963E59">
              <w:rPr>
                <w:rStyle w:val="Hyperlink"/>
                <w:szCs w:val="18"/>
                <w:lang w:eastAsia="en-US"/>
              </w:rPr>
              <w:t>IFRS S2 Climate-related Disclosures</w:t>
            </w:r>
            <w:r w:rsidR="008A2678" w:rsidRPr="00963E59">
              <w:fldChar w:fldCharType="end"/>
            </w:r>
            <w:r w:rsidR="008A2678" w:rsidRPr="00963E59">
              <w:t xml:space="preserve">Task Force on Climate-related Financial Disclosures </w:t>
            </w:r>
            <w:hyperlink r:id="rId78" w:anchor="recommendations">
              <w:r w:rsidR="008A2678" w:rsidRPr="00963E59">
                <w:rPr>
                  <w:rStyle w:val="Hyperlink"/>
                  <w:szCs w:val="18"/>
                </w:rPr>
                <w:t xml:space="preserve">Guidance on Scenario Analysis for </w:t>
              </w:r>
              <w:r w:rsidR="00A94671" w:rsidRPr="00963E59">
                <w:rPr>
                  <w:rStyle w:val="Hyperlink"/>
                  <w:szCs w:val="18"/>
                </w:rPr>
                <w:tab/>
              </w:r>
              <w:r w:rsidR="008A2678" w:rsidRPr="00963E59">
                <w:rPr>
                  <w:rStyle w:val="Hyperlink"/>
                  <w:szCs w:val="18"/>
                </w:rPr>
                <w:t>Non-</w:t>
              </w:r>
              <w:r w:rsidR="00AC3965" w:rsidRPr="00963E59">
                <w:rPr>
                  <w:rStyle w:val="Hyperlink"/>
                  <w:szCs w:val="18"/>
                </w:rPr>
                <w:t>‍</w:t>
              </w:r>
              <w:r w:rsidR="008A2678" w:rsidRPr="00963E59">
                <w:rPr>
                  <w:rStyle w:val="Hyperlink"/>
                  <w:szCs w:val="18"/>
                </w:rPr>
                <w:t>Financial Companies</w:t>
              </w:r>
            </w:hyperlink>
            <w:r w:rsidR="00186976" w:rsidRPr="00963E59">
              <w:t>;</w:t>
            </w:r>
            <w:r w:rsidR="00B563A8" w:rsidRPr="00963E59">
              <w:rPr>
                <w:rStyle w:val="FootnoteReference"/>
                <w:szCs w:val="18"/>
              </w:rPr>
              <w:t xml:space="preserve"> </w:t>
            </w:r>
            <w:r w:rsidR="00B563A8" w:rsidRPr="00963E59">
              <w:rPr>
                <w:rStyle w:val="FootnoteReference"/>
              </w:rPr>
              <w:endnoteReference w:id="49"/>
            </w:r>
            <w:r w:rsidR="00186976" w:rsidRPr="00963E59">
              <w:t xml:space="preserve"> </w:t>
            </w:r>
            <w:r w:rsidR="008A2678" w:rsidRPr="00963E59">
              <w:rPr>
                <w:rFonts w:cs="Calibri Light"/>
              </w:rPr>
              <w:t>section 296D(2B) of the Corporations Act</w:t>
            </w:r>
            <w:r w:rsidR="00186976" w:rsidRPr="00963E59">
              <w:rPr>
                <w:rFonts w:cs="Calibri Light"/>
              </w:rPr>
              <w:t>;</w:t>
            </w:r>
            <w:r w:rsidRPr="00963E59">
              <w:rPr>
                <w:rFonts w:cs="Calibri Light"/>
              </w:rPr>
              <w:t xml:space="preserve"> </w:t>
            </w:r>
            <w:r w:rsidR="008A2678" w:rsidRPr="00963E59">
              <w:rPr>
                <w:lang w:eastAsia="en-US"/>
              </w:rPr>
              <w:t xml:space="preserve">and IFRS Climate-related Disclosures </w:t>
            </w:r>
            <w:r w:rsidR="00A94671" w:rsidRPr="00963E59">
              <w:rPr>
                <w:lang w:eastAsia="en-US"/>
              </w:rPr>
              <w:tab/>
            </w:r>
            <w:hyperlink r:id="rId79">
              <w:r w:rsidR="008A2678" w:rsidRPr="00963E59">
                <w:rPr>
                  <w:rStyle w:val="Hyperlink"/>
                  <w:szCs w:val="18"/>
                  <w:lang w:eastAsia="en-US"/>
                </w:rPr>
                <w:t>Using scenario analysis to assess climate resilience (Staff paper)</w:t>
              </w:r>
            </w:hyperlink>
            <w:r w:rsidRPr="00963E59">
              <w:t>.</w:t>
            </w:r>
            <w:r w:rsidR="008A2678" w:rsidRPr="00963E59">
              <w:rPr>
                <w:rStyle w:val="FootnoteReference"/>
              </w:rPr>
              <w:endnoteReference w:id="50"/>
            </w:r>
          </w:p>
        </w:tc>
      </w:tr>
    </w:tbl>
    <w:p w14:paraId="0CB5E14A" w14:textId="1C1B11E9" w:rsidR="00A37EA8" w:rsidRDefault="00A37EA8" w:rsidP="00D64CEC">
      <w:pPr>
        <w:pStyle w:val="SingleParagraph"/>
      </w:pPr>
    </w:p>
    <w:tbl>
      <w:tblPr>
        <w:tblW w:w="5000" w:type="pct"/>
        <w:shd w:val="clear" w:color="auto" w:fill="F2F2F2"/>
        <w:tblCellMar>
          <w:top w:w="227" w:type="dxa"/>
          <w:left w:w="227" w:type="dxa"/>
          <w:bottom w:w="227" w:type="dxa"/>
          <w:right w:w="227" w:type="dxa"/>
        </w:tblCellMar>
        <w:tblLook w:val="0620" w:firstRow="1" w:lastRow="0" w:firstColumn="0" w:lastColumn="0" w:noHBand="1" w:noVBand="1"/>
      </w:tblPr>
      <w:tblGrid>
        <w:gridCol w:w="9070"/>
      </w:tblGrid>
      <w:tr w:rsidR="00EB58AF" w:rsidRPr="00963E59" w14:paraId="788E9F77" w14:textId="77777777" w:rsidTr="00460C3E">
        <w:tc>
          <w:tcPr>
            <w:tcW w:w="5000" w:type="pct"/>
            <w:shd w:val="clear" w:color="auto" w:fill="F2F2F2"/>
            <w:hideMark/>
          </w:tcPr>
          <w:p w14:paraId="4B071200" w14:textId="7805B08D" w:rsidR="00EB58AF" w:rsidRPr="00963E59" w:rsidRDefault="00002733" w:rsidP="00A0706B">
            <w:pPr>
              <w:pStyle w:val="BoxHeading"/>
              <w:keepNext w:val="0"/>
            </w:pPr>
            <w:bookmarkStart w:id="97" w:name="BOX11"/>
            <w:bookmarkStart w:id="98" w:name="_Toc237351141"/>
            <w:bookmarkStart w:id="99" w:name="_Toc233287107"/>
            <w:bookmarkEnd w:id="97"/>
            <w:r w:rsidRPr="00963E59">
              <w:t xml:space="preserve">Box </w:t>
            </w:r>
            <w:r w:rsidR="00AE12F9" w:rsidRPr="00963E59">
              <w:t>1</w:t>
            </w:r>
            <w:r w:rsidR="00786BF8" w:rsidRPr="00963E59">
              <w:t>1</w:t>
            </w:r>
            <w:r w:rsidRPr="00963E59">
              <w:t xml:space="preserve">. </w:t>
            </w:r>
            <w:r w:rsidR="00EB58AF" w:rsidRPr="00963E59">
              <w:t>Supporting resources</w:t>
            </w:r>
            <w:r w:rsidR="00AB2FB0" w:rsidRPr="00963E59">
              <w:t xml:space="preserve"> for </w:t>
            </w:r>
            <w:r w:rsidR="00F668C7" w:rsidRPr="00963E59">
              <w:t>scenario analysis</w:t>
            </w:r>
            <w:bookmarkEnd w:id="98"/>
            <w:bookmarkEnd w:id="99"/>
          </w:p>
          <w:p w14:paraId="77358EE0" w14:textId="6DCAB687" w:rsidR="00EB58AF" w:rsidRPr="00DB6514" w:rsidRDefault="00EB58AF" w:rsidP="00DB6514">
            <w:pPr>
              <w:pStyle w:val="Boxbullet"/>
              <w:rPr>
                <w:szCs w:val="22"/>
              </w:rPr>
            </w:pPr>
            <w:r w:rsidRPr="00DB6514">
              <w:rPr>
                <w:b/>
                <w:szCs w:val="22"/>
              </w:rPr>
              <w:t>ASIC</w:t>
            </w:r>
            <w:r w:rsidRPr="00DB6514">
              <w:rPr>
                <w:szCs w:val="22"/>
              </w:rPr>
              <w:t xml:space="preserve"> </w:t>
            </w:r>
            <w:hyperlink r:id="rId80">
              <w:r w:rsidRPr="00DB6514">
                <w:rPr>
                  <w:rStyle w:val="Hyperlink"/>
                  <w:b/>
                  <w:bCs/>
                  <w:szCs w:val="22"/>
                </w:rPr>
                <w:t>Education</w:t>
              </w:r>
              <w:r w:rsidR="00895CF5" w:rsidRPr="00DB6514">
                <w:rPr>
                  <w:rStyle w:val="Hyperlink"/>
                  <w:b/>
                  <w:bCs/>
                  <w:szCs w:val="22"/>
                </w:rPr>
                <w:t>a</w:t>
              </w:r>
              <w:r w:rsidR="00895CF5" w:rsidRPr="00DB6514">
                <w:rPr>
                  <w:rStyle w:val="Hyperlink"/>
                  <w:b/>
                  <w:bCs/>
                </w:rPr>
                <w:t>l</w:t>
              </w:r>
              <w:r w:rsidRPr="00DB6514">
                <w:rPr>
                  <w:rStyle w:val="Hyperlink"/>
                  <w:b/>
                  <w:bCs/>
                  <w:szCs w:val="22"/>
                </w:rPr>
                <w:t xml:space="preserve"> Module 7 Scenario Analysis</w:t>
              </w:r>
            </w:hyperlink>
            <w:r w:rsidRPr="00DB6514">
              <w:rPr>
                <w:szCs w:val="22"/>
              </w:rPr>
              <w:t>:</w:t>
            </w:r>
            <w:r w:rsidRPr="00DB6514" w:rsidDel="00080A4B">
              <w:rPr>
                <w:rStyle w:val="EndnoteReference"/>
                <w:szCs w:val="22"/>
              </w:rPr>
              <w:t xml:space="preserve"> </w:t>
            </w:r>
            <w:r w:rsidRPr="00963E59">
              <w:t>help</w:t>
            </w:r>
            <w:r w:rsidR="00F7051D" w:rsidRPr="00963E59">
              <w:t>s</w:t>
            </w:r>
            <w:r w:rsidRPr="00963E59">
              <w:t xml:space="preserve"> organisations</w:t>
            </w:r>
            <w:r w:rsidRPr="00DB6514">
              <w:rPr>
                <w:i/>
                <w:iCs/>
                <w:szCs w:val="22"/>
              </w:rPr>
              <w:t xml:space="preserve"> </w:t>
            </w:r>
            <w:r w:rsidRPr="00DB6514">
              <w:rPr>
                <w:szCs w:val="22"/>
              </w:rPr>
              <w:t>understand the basic elements of scenario analysis.</w:t>
            </w:r>
          </w:p>
          <w:p w14:paraId="5CB72999" w14:textId="1EB2FC1B" w:rsidR="00EB58AF" w:rsidRPr="00DB6514" w:rsidRDefault="00576EE6" w:rsidP="00DB6514">
            <w:pPr>
              <w:pStyle w:val="Boxbullet"/>
              <w:rPr>
                <w:u w:val="single"/>
              </w:rPr>
            </w:pPr>
            <w:r w:rsidRPr="00DB6514">
              <w:rPr>
                <w:b/>
                <w:bCs/>
              </w:rPr>
              <w:t>DCCEEW</w:t>
            </w:r>
            <w:r w:rsidR="00EB58AF" w:rsidRPr="00DB6514">
              <w:rPr>
                <w:b/>
              </w:rPr>
              <w:t xml:space="preserve"> </w:t>
            </w:r>
            <w:hyperlink r:id="rId81">
              <w:r w:rsidR="00EB58AF" w:rsidRPr="00DB6514">
                <w:rPr>
                  <w:rStyle w:val="Hyperlink"/>
                  <w:b/>
                  <w:bCs/>
                  <w:szCs w:val="22"/>
                </w:rPr>
                <w:t>National Climate Scenario Guidance</w:t>
              </w:r>
            </w:hyperlink>
            <w:r w:rsidR="00EB58AF" w:rsidRPr="00963E59">
              <w:t>:</w:t>
            </w:r>
            <w:r w:rsidR="00EB58AF" w:rsidRPr="00DB6514">
              <w:rPr>
                <w:rStyle w:val="FootnoteReference"/>
                <w:sz w:val="22"/>
                <w:szCs w:val="22"/>
              </w:rPr>
              <w:t xml:space="preserve"> </w:t>
            </w:r>
            <w:r w:rsidR="0045033B" w:rsidRPr="00963E59">
              <w:t>released in June</w:t>
            </w:r>
            <w:r w:rsidR="00EB58AF" w:rsidRPr="00963E59">
              <w:t xml:space="preserve"> 2026, this resource is designed to encourage a more consistent approach to climate scenario analysis for physical risks.</w:t>
            </w:r>
          </w:p>
          <w:p w14:paraId="3BA9B4EC" w14:textId="54F77844" w:rsidR="00EB58AF" w:rsidRPr="00DB6514" w:rsidRDefault="00EB58AF" w:rsidP="00DB6514">
            <w:pPr>
              <w:pStyle w:val="Boxbullet"/>
              <w:rPr>
                <w:szCs w:val="22"/>
                <w:u w:val="single"/>
              </w:rPr>
            </w:pPr>
            <w:r w:rsidRPr="00DB6514">
              <w:rPr>
                <w:b/>
                <w:szCs w:val="22"/>
              </w:rPr>
              <w:t xml:space="preserve">The </w:t>
            </w:r>
            <w:r w:rsidR="00F7051D" w:rsidRPr="00DB6514">
              <w:rPr>
                <w:b/>
              </w:rPr>
              <w:t xml:space="preserve">Network for Greening the Financial </w:t>
            </w:r>
            <w:r w:rsidR="00F7051D" w:rsidRPr="00DB6514">
              <w:rPr>
                <w:b/>
                <w:bCs/>
              </w:rPr>
              <w:t>System</w:t>
            </w:r>
            <w:r w:rsidR="00F7051D" w:rsidRPr="00DB6514">
              <w:rPr>
                <w:b/>
                <w:bCs/>
                <w:szCs w:val="22"/>
              </w:rPr>
              <w:t>’s</w:t>
            </w:r>
            <w:r w:rsidRPr="00DB6514">
              <w:rPr>
                <w:szCs w:val="22"/>
              </w:rPr>
              <w:t xml:space="preserve"> </w:t>
            </w:r>
            <w:hyperlink r:id="rId82" w:history="1">
              <w:r w:rsidRPr="00DB6514">
                <w:rPr>
                  <w:rStyle w:val="Hyperlink"/>
                  <w:b/>
                  <w:bCs/>
                </w:rPr>
                <w:t>Interactions between Climate Scenario Analysis and Transition Plans</w:t>
              </w:r>
            </w:hyperlink>
            <w:r w:rsidR="00760C98" w:rsidRPr="00963E59">
              <w:t>:</w:t>
            </w:r>
            <w:r w:rsidR="003E6788" w:rsidRPr="00963E59">
              <w:rPr>
                <w:rStyle w:val="FootnoteReference"/>
              </w:rPr>
              <w:endnoteReference w:id="51"/>
            </w:r>
            <w:r w:rsidR="00331FD1" w:rsidRPr="00963E59">
              <w:t xml:space="preserve"> </w:t>
            </w:r>
            <w:r w:rsidRPr="00DB6514">
              <w:rPr>
                <w:szCs w:val="22"/>
              </w:rPr>
              <w:t>provide</w:t>
            </w:r>
            <w:r w:rsidR="00331FD1" w:rsidRPr="00DB6514">
              <w:rPr>
                <w:szCs w:val="22"/>
              </w:rPr>
              <w:t>s</w:t>
            </w:r>
            <w:r w:rsidRPr="00DB6514">
              <w:rPr>
                <w:szCs w:val="22"/>
              </w:rPr>
              <w:t xml:space="preserve"> globally recognised climate transition scenarios </w:t>
            </w:r>
            <w:r w:rsidR="00205CA8" w:rsidRPr="00DB6514">
              <w:rPr>
                <w:szCs w:val="22"/>
              </w:rPr>
              <w:t>to</w:t>
            </w:r>
            <w:r w:rsidRPr="00DB6514">
              <w:rPr>
                <w:szCs w:val="22"/>
              </w:rPr>
              <w:t xml:space="preserve"> assess risks and opportunities</w:t>
            </w:r>
            <w:r w:rsidR="00657191" w:rsidRPr="00DB6514">
              <w:rPr>
                <w:szCs w:val="22"/>
              </w:rPr>
              <w:t>.</w:t>
            </w:r>
          </w:p>
        </w:tc>
      </w:tr>
    </w:tbl>
    <w:p w14:paraId="3268211B" w14:textId="00AFFCA3" w:rsidR="00FB331B" w:rsidRDefault="00042845" w:rsidP="00254364">
      <w:pPr>
        <w:pStyle w:val="Heading2Numbered"/>
      </w:pPr>
      <w:bookmarkStart w:id="100" w:name="Stage1dot5"/>
      <w:bookmarkStart w:id="101" w:name="_Toc224906876"/>
      <w:bookmarkStart w:id="102" w:name="_Toc224916508"/>
      <w:bookmarkStart w:id="103" w:name="_Toc232776349"/>
      <w:bookmarkEnd w:id="100"/>
      <w:r>
        <w:lastRenderedPageBreak/>
        <w:t>Measure emissions footprin</w:t>
      </w:r>
      <w:r w:rsidR="002C6142">
        <w:t>t</w:t>
      </w:r>
      <w:bookmarkEnd w:id="101"/>
      <w:bookmarkEnd w:id="102"/>
      <w:bookmarkEnd w:id="103"/>
      <w:r w:rsidR="00E73366">
        <w:t xml:space="preserve"> </w:t>
      </w:r>
    </w:p>
    <w:p w14:paraId="36D0584F" w14:textId="1CD3AA5D" w:rsidR="00450126" w:rsidRDefault="00450126" w:rsidP="007915AC">
      <w:r w:rsidRPr="00450126">
        <w:t>A</w:t>
      </w:r>
      <w:r w:rsidR="00CE32F5">
        <w:t>n</w:t>
      </w:r>
      <w:r w:rsidRPr="00450126" w:rsidDel="00CE32F5">
        <w:t xml:space="preserve"> </w:t>
      </w:r>
      <w:r w:rsidRPr="00450126">
        <w:t xml:space="preserve">inventory of </w:t>
      </w:r>
      <w:r w:rsidR="00932B94">
        <w:t>s</w:t>
      </w:r>
      <w:r w:rsidRPr="00450126">
        <w:t xml:space="preserve">cope 1, 2 and 3 </w:t>
      </w:r>
      <w:r w:rsidR="00DF76E9">
        <w:t>GHG</w:t>
      </w:r>
      <w:r w:rsidRPr="00450126">
        <w:t xml:space="preserve"> emissions provide</w:t>
      </w:r>
      <w:r w:rsidR="00984A17">
        <w:t>s</w:t>
      </w:r>
      <w:r w:rsidRPr="00450126">
        <w:t xml:space="preserve"> a baseline against which organisations can track and compare emissions over time. It enables organisations to identify and assess </w:t>
      </w:r>
      <w:r w:rsidR="008B65C2">
        <w:t>transition levers</w:t>
      </w:r>
      <w:r w:rsidRPr="00450126">
        <w:t xml:space="preserve"> and to establish informed strategic ambitions</w:t>
      </w:r>
      <w:r w:rsidR="00C82DDA">
        <w:t xml:space="preserve"> </w:t>
      </w:r>
      <w:r w:rsidR="00CF119D">
        <w:t>(</w:t>
      </w:r>
      <w:hyperlink w:anchor="Stage2" w:history="1">
        <w:r w:rsidR="00CF119D" w:rsidRPr="00C01AF3">
          <w:rPr>
            <w:rStyle w:val="Hyperlink"/>
          </w:rPr>
          <w:t>Stage 2</w:t>
        </w:r>
      </w:hyperlink>
      <w:r w:rsidR="00CF119D">
        <w:t>) and targets (</w:t>
      </w:r>
      <w:hyperlink w:anchor="Stage3" w:history="1">
        <w:r w:rsidR="00CF119D" w:rsidRPr="00C05D59">
          <w:rPr>
            <w:rStyle w:val="Hyperlink"/>
          </w:rPr>
          <w:t>Stage 3</w:t>
        </w:r>
      </w:hyperlink>
      <w:r w:rsidR="00CF119D">
        <w:t>)</w:t>
      </w:r>
      <w:r w:rsidR="00CF119D" w:rsidRPr="00450126">
        <w:t>.</w:t>
      </w:r>
    </w:p>
    <w:p w14:paraId="72B4BEC1" w14:textId="00402DF9" w:rsidR="00EE5511" w:rsidRDefault="00EE5511" w:rsidP="007915AC">
      <w:r w:rsidRPr="00EE5511">
        <w:t xml:space="preserve">In the Australian context, scope 1 and scope 2 emissions may be measured using the methods set out under the </w:t>
      </w:r>
      <w:hyperlink r:id="rId83" w:history="1">
        <w:r w:rsidRPr="00C01AF3">
          <w:rPr>
            <w:rStyle w:val="Hyperlink"/>
          </w:rPr>
          <w:t>National Greenhouse and Energy Reporting Scheme</w:t>
        </w:r>
      </w:hyperlink>
      <w:r w:rsidRPr="00EE5511">
        <w:t>,</w:t>
      </w:r>
      <w:r w:rsidR="00B4015F" w:rsidRPr="00760C98">
        <w:rPr>
          <w:rStyle w:val="FootnoteReference"/>
        </w:rPr>
        <w:endnoteReference w:id="52"/>
      </w:r>
      <w:r w:rsidRPr="00EE5511">
        <w:t xml:space="preserve"> which provides a legislated, nationally consistent framework for the measurement and reporting of direct (scope 1) and energy</w:t>
      </w:r>
      <w:r w:rsidR="00963E59">
        <w:noBreakHyphen/>
      </w:r>
      <w:r w:rsidRPr="00EE5511">
        <w:t>related indirect (scope 2) emissions.</w:t>
      </w:r>
    </w:p>
    <w:p w14:paraId="5C2B8CE8" w14:textId="71DC44E8" w:rsidR="00290E98" w:rsidRDefault="00290E98" w:rsidP="007915AC">
      <w:r w:rsidRPr="004E716A">
        <w:t xml:space="preserve">Consistent with </w:t>
      </w:r>
      <w:r>
        <w:t xml:space="preserve">the </w:t>
      </w:r>
      <w:r w:rsidRPr="005E4C27">
        <w:t>G</w:t>
      </w:r>
      <w:r w:rsidR="009E5F6E" w:rsidRPr="005E4C27">
        <w:t>reen</w:t>
      </w:r>
      <w:r w:rsidR="00B37EED" w:rsidRPr="005E4C27">
        <w:t>h</w:t>
      </w:r>
      <w:r w:rsidR="003D5575" w:rsidRPr="005E4C27">
        <w:t xml:space="preserve">ouse </w:t>
      </w:r>
      <w:r w:rsidRPr="005E4C27">
        <w:t>G</w:t>
      </w:r>
      <w:r w:rsidR="003D5575" w:rsidRPr="005E4C27">
        <w:t>as</w:t>
      </w:r>
      <w:r w:rsidRPr="005E4C27">
        <w:t xml:space="preserve"> Protocol</w:t>
      </w:r>
      <w:r w:rsidR="009B1249" w:rsidRPr="005E4C27">
        <w:t xml:space="preserve"> </w:t>
      </w:r>
      <w:hyperlink r:id="rId84" w:history="1">
        <w:r w:rsidR="009B1249" w:rsidRPr="005E4C27">
          <w:rPr>
            <w:rStyle w:val="Hyperlink"/>
          </w:rPr>
          <w:t xml:space="preserve">Corporate </w:t>
        </w:r>
        <w:r w:rsidR="00881D19" w:rsidRPr="005E4C27">
          <w:rPr>
            <w:rStyle w:val="Hyperlink"/>
          </w:rPr>
          <w:t xml:space="preserve">Accounting and Reporting </w:t>
        </w:r>
        <w:r w:rsidR="009B1249" w:rsidRPr="005E4C27">
          <w:rPr>
            <w:rStyle w:val="Hyperlink"/>
          </w:rPr>
          <w:t>Standard</w:t>
        </w:r>
      </w:hyperlink>
      <w:r w:rsidRPr="004E716A">
        <w:t>,</w:t>
      </w:r>
      <w:r w:rsidR="009B1249" w:rsidRPr="00760C98">
        <w:rPr>
          <w:rStyle w:val="FootnoteReference"/>
        </w:rPr>
        <w:endnoteReference w:id="53"/>
      </w:r>
      <w:r w:rsidRPr="004E716A">
        <w:t xml:space="preserve"> organisations should first define their organisational boundary</w:t>
      </w:r>
      <w:r w:rsidR="00983317">
        <w:t xml:space="preserve"> – </w:t>
      </w:r>
      <w:r w:rsidRPr="004E716A">
        <w:t>such as whether emissions are measured using an equity share, financial control or operational control approach</w:t>
      </w:r>
      <w:r w:rsidR="00983317">
        <w:t xml:space="preserve"> – </w:t>
      </w:r>
      <w:r w:rsidRPr="004E716A">
        <w:t xml:space="preserve">before assessing </w:t>
      </w:r>
      <w:r w:rsidR="00494DEA">
        <w:t>s</w:t>
      </w:r>
      <w:r w:rsidRPr="004E716A">
        <w:t xml:space="preserve">cope 1, </w:t>
      </w:r>
      <w:r w:rsidR="00494DEA">
        <w:t>s</w:t>
      </w:r>
      <w:r w:rsidRPr="004E716A">
        <w:t xml:space="preserve">cope 2 and </w:t>
      </w:r>
      <w:r w:rsidR="00494DEA">
        <w:t>s</w:t>
      </w:r>
      <w:r w:rsidRPr="004E716A">
        <w:t xml:space="preserve">cope 3 </w:t>
      </w:r>
      <w:r w:rsidR="00E91A46">
        <w:t xml:space="preserve">GHG </w:t>
      </w:r>
      <w:r w:rsidRPr="004E716A">
        <w:t>emissions</w:t>
      </w:r>
      <w:r w:rsidR="00AE1369">
        <w:t xml:space="preserve">. </w:t>
      </w:r>
      <w:r w:rsidR="00D80CFA">
        <w:t>These</w:t>
      </w:r>
      <w:r w:rsidRPr="004E716A">
        <w:t xml:space="preserve"> boundar</w:t>
      </w:r>
      <w:r w:rsidR="00D80CFA">
        <w:t>ies</w:t>
      </w:r>
      <w:r w:rsidRPr="004E716A">
        <w:t xml:space="preserve"> </w:t>
      </w:r>
      <w:r w:rsidR="00DE6735" w:rsidRPr="004E716A">
        <w:t>determine</w:t>
      </w:r>
      <w:r w:rsidRPr="004E716A">
        <w:t xml:space="preserve"> which activities and emissions are included in the baseline and ensures </w:t>
      </w:r>
      <w:r w:rsidR="00D80CFA">
        <w:t>the</w:t>
      </w:r>
      <w:r w:rsidRPr="00707553">
        <w:t xml:space="preserve"> information </w:t>
      </w:r>
      <w:r w:rsidR="00D80CFA">
        <w:t>is</w:t>
      </w:r>
      <w:r w:rsidRPr="00707553">
        <w:t xml:space="preserve"> faithfully represented, complete and comparable over time. </w:t>
      </w:r>
      <w:hyperlink w:anchor="BOX12" w:history="1">
        <w:r w:rsidR="00377875" w:rsidRPr="00C01AF3">
          <w:rPr>
            <w:rStyle w:val="Hyperlink"/>
          </w:rPr>
          <w:t>Box 12</w:t>
        </w:r>
      </w:hyperlink>
      <w:r w:rsidR="00EE431A">
        <w:t xml:space="preserve"> provides principles</w:t>
      </w:r>
      <w:r w:rsidR="0082143B">
        <w:t xml:space="preserve"> outlined in the GHG protocol</w:t>
      </w:r>
      <w:r w:rsidR="00EE431A">
        <w:t xml:space="preserve"> for conducting </w:t>
      </w:r>
      <w:r w:rsidR="001529A6">
        <w:t xml:space="preserve">a </w:t>
      </w:r>
      <w:r w:rsidR="00EE431A">
        <w:t xml:space="preserve">baseline </w:t>
      </w:r>
      <w:r w:rsidR="001529A6">
        <w:t>emissions assessment.</w:t>
      </w:r>
    </w:p>
    <w:p w14:paraId="2F71E004" w14:textId="5EBF0982" w:rsidR="0014167B" w:rsidRDefault="00755679" w:rsidP="0014167B">
      <w:pPr>
        <w:rPr>
          <w:b/>
        </w:rPr>
      </w:pPr>
      <w:r>
        <w:t>In accordance with</w:t>
      </w:r>
      <w:r w:rsidR="00A81BDE">
        <w:t xml:space="preserve"> </w:t>
      </w:r>
      <w:r w:rsidR="00A81BDE" w:rsidRPr="00A81BDE">
        <w:t xml:space="preserve">the </w:t>
      </w:r>
      <w:r w:rsidR="00DF76E9" w:rsidRPr="00DF76E9">
        <w:t>G</w:t>
      </w:r>
      <w:r w:rsidR="0003529B">
        <w:t>reenhouse Gas</w:t>
      </w:r>
      <w:r w:rsidR="00DF76E9" w:rsidRPr="00DF76E9">
        <w:t xml:space="preserve"> Protocol </w:t>
      </w:r>
      <w:r w:rsidR="00A81BDE" w:rsidRPr="00DF76E9">
        <w:t>Corporate Standard</w:t>
      </w:r>
      <w:r w:rsidR="00A81BDE">
        <w:t xml:space="preserve">, </w:t>
      </w:r>
      <w:r>
        <w:t>c</w:t>
      </w:r>
      <w:r w:rsidR="00FB331B">
        <w:t xml:space="preserve">lassifying emissions sources into </w:t>
      </w:r>
      <w:r w:rsidR="00963E59">
        <w:t>‘</w:t>
      </w:r>
      <w:r w:rsidR="00FB331B">
        <w:t>scopes</w:t>
      </w:r>
      <w:r w:rsidR="00963E59">
        <w:t>’</w:t>
      </w:r>
      <w:r w:rsidR="00FB331B">
        <w:t xml:space="preserve"> supports consistency in approaches.</w:t>
      </w:r>
      <w:r w:rsidR="00AE107C">
        <w:t xml:space="preserve"> </w:t>
      </w:r>
    </w:p>
    <w:p w14:paraId="2FC8274B" w14:textId="3E22C84C" w:rsidR="0014167B" w:rsidRDefault="00FB331B" w:rsidP="00DB6514">
      <w:pPr>
        <w:pStyle w:val="Bullet"/>
        <w:rPr>
          <w:b/>
        </w:rPr>
      </w:pPr>
      <w:r w:rsidRPr="00AB56DD">
        <w:rPr>
          <w:b/>
        </w:rPr>
        <w:t>Sc</w:t>
      </w:r>
      <w:r w:rsidR="0014167B">
        <w:rPr>
          <w:b/>
        </w:rPr>
        <w:t>o</w:t>
      </w:r>
      <w:r w:rsidRPr="00AB56DD">
        <w:rPr>
          <w:b/>
        </w:rPr>
        <w:t>pe 1 emissions</w:t>
      </w:r>
      <w:r w:rsidRPr="00AE4D5E">
        <w:t xml:space="preserve"> </w:t>
      </w:r>
      <w:r w:rsidR="00D914C9" w:rsidRPr="00AE4D5E">
        <w:t>are</w:t>
      </w:r>
      <w:r w:rsidRPr="00AE4D5E">
        <w:t xml:space="preserve"> all direct </w:t>
      </w:r>
      <w:r w:rsidR="00685DD0">
        <w:t>GHG</w:t>
      </w:r>
      <w:r w:rsidRPr="00AE4D5E">
        <w:t xml:space="preserve"> emissions </w:t>
      </w:r>
      <w:r w:rsidR="00DE1DCD" w:rsidRPr="00AE4D5E">
        <w:t>that occur from sources that are owned or controlled by an entity</w:t>
      </w:r>
      <w:r w:rsidR="006A4A82" w:rsidRPr="00AE4D5E">
        <w:t>.</w:t>
      </w:r>
    </w:p>
    <w:p w14:paraId="6CC7535A" w14:textId="690EF8D3" w:rsidR="0014167B" w:rsidRDefault="00FB331B" w:rsidP="00DB6514">
      <w:pPr>
        <w:pStyle w:val="Bullet"/>
        <w:rPr>
          <w:b/>
          <w:lang w:eastAsia="en-US"/>
        </w:rPr>
      </w:pPr>
      <w:r w:rsidRPr="00AB56DD">
        <w:rPr>
          <w:b/>
        </w:rPr>
        <w:t>Scope 2 emissions</w:t>
      </w:r>
      <w:r w:rsidRPr="00AE4D5E" w:rsidDel="00D914C9">
        <w:t xml:space="preserve"> </w:t>
      </w:r>
      <w:r w:rsidR="00D914C9" w:rsidRPr="00AE4D5E">
        <w:t>are</w:t>
      </w:r>
      <w:r w:rsidRPr="00AE4D5E">
        <w:t xml:space="preserve"> </w:t>
      </w:r>
      <w:r w:rsidR="002214C3" w:rsidRPr="00AE4D5E">
        <w:t xml:space="preserve">indirect </w:t>
      </w:r>
      <w:r w:rsidR="00685DD0">
        <w:t>GHG</w:t>
      </w:r>
      <w:r w:rsidR="002214C3" w:rsidRPr="00AE4D5E">
        <w:t xml:space="preserve"> emissions from the generation of purchased or acquired electricity, steam, heating or cooling consumed by an entity. Purchased and acquired electricity</w:t>
      </w:r>
      <w:r w:rsidR="00A94671">
        <w:t> </w:t>
      </w:r>
      <w:r w:rsidR="002214C3" w:rsidRPr="00AE4D5E">
        <w:t>is</w:t>
      </w:r>
      <w:r w:rsidR="00A94671">
        <w:t> </w:t>
      </w:r>
      <w:r w:rsidR="002214C3" w:rsidRPr="00AE4D5E">
        <w:t>electricity that is purchased or otherwise brought into an entity</w:t>
      </w:r>
      <w:r w:rsidR="00963E59">
        <w:t>’</w:t>
      </w:r>
      <w:r w:rsidR="002214C3" w:rsidRPr="00AE4D5E">
        <w:t>s boundary. Scope</w:t>
      </w:r>
      <w:r w:rsidR="00D518DF">
        <w:t> </w:t>
      </w:r>
      <w:r w:rsidR="002214C3" w:rsidRPr="00AE4D5E">
        <w:t>2</w:t>
      </w:r>
      <w:r w:rsidR="00A94671">
        <w:t> </w:t>
      </w:r>
      <w:r w:rsidR="00505F9E">
        <w:t>GHG</w:t>
      </w:r>
      <w:r w:rsidR="00A94671">
        <w:t> </w:t>
      </w:r>
      <w:r w:rsidR="002214C3" w:rsidRPr="00AE4D5E">
        <w:t xml:space="preserve">emissions physically occur at the facility where electricity is generated. </w:t>
      </w:r>
    </w:p>
    <w:p w14:paraId="09BEB062" w14:textId="48374332" w:rsidR="00076436" w:rsidRDefault="00FB331B" w:rsidP="00DB6514">
      <w:pPr>
        <w:pStyle w:val="Bullet"/>
      </w:pPr>
      <w:r w:rsidRPr="00AB56DD">
        <w:rPr>
          <w:b/>
          <w:lang w:eastAsia="en-US"/>
        </w:rPr>
        <w:t>Scope 3 emissions</w:t>
      </w:r>
      <w:r w:rsidRPr="007B5A56">
        <w:rPr>
          <w:b/>
          <w:lang w:eastAsia="en-US"/>
        </w:rPr>
        <w:t xml:space="preserve"> </w:t>
      </w:r>
      <w:r w:rsidRPr="007B5A56">
        <w:rPr>
          <w:lang w:eastAsia="en-US"/>
        </w:rPr>
        <w:t xml:space="preserve">are </w:t>
      </w:r>
      <w:r w:rsidR="00671853" w:rsidRPr="007B5A56">
        <w:rPr>
          <w:lang w:eastAsia="en-US"/>
        </w:rPr>
        <w:t xml:space="preserve">indirect </w:t>
      </w:r>
      <w:r w:rsidR="00236598">
        <w:rPr>
          <w:lang w:eastAsia="en-US"/>
        </w:rPr>
        <w:t>GHG</w:t>
      </w:r>
      <w:r w:rsidR="00671853" w:rsidRPr="007B5A56">
        <w:rPr>
          <w:lang w:eastAsia="en-US"/>
        </w:rPr>
        <w:t xml:space="preserve"> emissions </w:t>
      </w:r>
      <w:r w:rsidR="0088109B" w:rsidRPr="007B5A56">
        <w:rPr>
          <w:lang w:eastAsia="en-US"/>
        </w:rPr>
        <w:t>(not included in</w:t>
      </w:r>
      <w:r w:rsidR="00671853" w:rsidRPr="007B5A56">
        <w:rPr>
          <w:lang w:eastAsia="en-US"/>
        </w:rPr>
        <w:t xml:space="preserve"> </w:t>
      </w:r>
      <w:r w:rsidR="004D5832">
        <w:rPr>
          <w:lang w:eastAsia="en-US"/>
        </w:rPr>
        <w:t>s</w:t>
      </w:r>
      <w:r w:rsidR="00671853" w:rsidRPr="007B5A56">
        <w:rPr>
          <w:lang w:eastAsia="en-US"/>
        </w:rPr>
        <w:t xml:space="preserve">cope 2 </w:t>
      </w:r>
      <w:r w:rsidR="00505F9E">
        <w:rPr>
          <w:lang w:eastAsia="en-US"/>
        </w:rPr>
        <w:t>GHG</w:t>
      </w:r>
      <w:r w:rsidR="00671853" w:rsidRPr="007B5A56">
        <w:rPr>
          <w:lang w:eastAsia="en-US"/>
        </w:rPr>
        <w:t xml:space="preserve"> emissions</w:t>
      </w:r>
      <w:r w:rsidR="0088109B" w:rsidRPr="007B5A56">
        <w:rPr>
          <w:lang w:eastAsia="en-US"/>
        </w:rPr>
        <w:t xml:space="preserve">) that </w:t>
      </w:r>
      <w:r w:rsidR="00671853" w:rsidRPr="007B5A56">
        <w:rPr>
          <w:lang w:eastAsia="en-US"/>
        </w:rPr>
        <w:t xml:space="preserve">occur </w:t>
      </w:r>
      <w:r w:rsidR="0088109B" w:rsidRPr="007B5A56">
        <w:rPr>
          <w:lang w:eastAsia="en-US"/>
        </w:rPr>
        <w:t>in the value chain of an entity, including both upstream and downstream emissions</w:t>
      </w:r>
      <w:r w:rsidR="00EA5721">
        <w:rPr>
          <w:lang w:eastAsia="en-US"/>
        </w:rPr>
        <w:t>,</w:t>
      </w:r>
      <w:r w:rsidR="00EA5721" w:rsidRPr="00EA5721">
        <w:rPr>
          <w:b/>
          <w:bCs/>
        </w:rPr>
        <w:t xml:space="preserve"> </w:t>
      </w:r>
      <w:r w:rsidR="00EA5721" w:rsidRPr="00FA73CA">
        <w:rPr>
          <w:lang w:eastAsia="en-US"/>
        </w:rPr>
        <w:t>and for financial institutions, may include financed emissions associated with lending, investment and underwriting activities</w:t>
      </w:r>
      <w:r w:rsidR="0088109B" w:rsidRPr="007B5A56">
        <w:rPr>
          <w:lang w:eastAsia="en-US"/>
        </w:rPr>
        <w:t xml:space="preserve">. Scope 3 greenhouse gas emissions </w:t>
      </w:r>
      <w:r w:rsidR="00D77D55">
        <w:rPr>
          <w:lang w:eastAsia="en-US"/>
        </w:rPr>
        <w:t>are separated into 15</w:t>
      </w:r>
      <w:r w:rsidR="00760C98">
        <w:rPr>
          <w:lang w:eastAsia="en-US"/>
        </w:rPr>
        <w:t> </w:t>
      </w:r>
      <w:r w:rsidR="00D77D55">
        <w:rPr>
          <w:lang w:eastAsia="en-US"/>
        </w:rPr>
        <w:t>categories</w:t>
      </w:r>
      <w:r w:rsidR="0088109B" w:rsidRPr="007B5A56">
        <w:rPr>
          <w:lang w:eastAsia="en-US"/>
        </w:rPr>
        <w:t xml:space="preserve"> in the </w:t>
      </w:r>
      <w:r w:rsidR="0088109B" w:rsidRPr="00D73DD0">
        <w:rPr>
          <w:lang w:eastAsia="en-US"/>
        </w:rPr>
        <w:t xml:space="preserve">Greenhouse Gas Protocol </w:t>
      </w:r>
      <w:hyperlink r:id="rId85" w:history="1">
        <w:r w:rsidR="0088109B" w:rsidRPr="00CF119D">
          <w:rPr>
            <w:rStyle w:val="Hyperlink"/>
            <w:lang w:eastAsia="en-US"/>
          </w:rPr>
          <w:t>Corporate Value Chain (Scope 3)</w:t>
        </w:r>
        <w:r w:rsidR="001631E4" w:rsidRPr="00CF119D">
          <w:rPr>
            <w:rStyle w:val="Hyperlink"/>
            <w:lang w:eastAsia="en-US"/>
          </w:rPr>
          <w:t xml:space="preserve"> Accounting and Reporting Standard</w:t>
        </w:r>
      </w:hyperlink>
      <w:r w:rsidR="00414F9B">
        <w:rPr>
          <w:lang w:eastAsia="en-US"/>
        </w:rPr>
        <w:t>.</w:t>
      </w:r>
      <w:r w:rsidR="0088109B" w:rsidRPr="007B5A56">
        <w:rPr>
          <w:lang w:eastAsia="en-US"/>
        </w:rPr>
        <w:t xml:space="preserve"> </w:t>
      </w:r>
      <w:r w:rsidR="00DA669D" w:rsidRPr="00DA669D">
        <w:t>Entities can identify </w:t>
      </w:r>
      <w:r w:rsidR="00DA669D" w:rsidRPr="00AE4D5E">
        <w:t>significant sources</w:t>
      </w:r>
      <w:r w:rsidR="00DA669D" w:rsidRPr="00DA669D">
        <w:t xml:space="preserve"> of </w:t>
      </w:r>
      <w:r w:rsidR="002E507C">
        <w:t>s</w:t>
      </w:r>
      <w:r w:rsidR="00DA669D" w:rsidRPr="00DA669D">
        <w:t xml:space="preserve">cope 3 emissions by applying </w:t>
      </w:r>
      <w:r w:rsidR="001848D6">
        <w:t>the relevant</w:t>
      </w:r>
      <w:r w:rsidR="001848D6" w:rsidRPr="00DA669D">
        <w:t xml:space="preserve"> </w:t>
      </w:r>
      <w:r w:rsidR="00DA669D" w:rsidRPr="00DA669D">
        <w:t xml:space="preserve">criteria outlined in </w:t>
      </w:r>
      <w:r w:rsidR="00FD4B74">
        <w:t>this</w:t>
      </w:r>
      <w:r w:rsidR="00DA669D" w:rsidRPr="00DA669D">
        <w:t xml:space="preserve"> </w:t>
      </w:r>
      <w:r w:rsidR="004A0586">
        <w:t>G</w:t>
      </w:r>
      <w:r w:rsidR="0003529B">
        <w:t>reenhouse</w:t>
      </w:r>
      <w:r w:rsidR="004A0586">
        <w:t xml:space="preserve"> Protocol </w:t>
      </w:r>
      <w:r w:rsidR="00DA669D" w:rsidRPr="00DA669D">
        <w:t xml:space="preserve">guidance such as </w:t>
      </w:r>
      <w:r w:rsidR="0003529B">
        <w:t>in</w:t>
      </w:r>
      <w:r w:rsidR="00DA669D" w:rsidRPr="00DA669D">
        <w:t xml:space="preserve"> Table 6.1.</w:t>
      </w:r>
      <w:r w:rsidR="0003529B" w:rsidRPr="00760C98">
        <w:rPr>
          <w:rStyle w:val="FootnoteReference"/>
        </w:rPr>
        <w:endnoteReference w:id="54"/>
      </w:r>
      <w:r w:rsidR="00DA669D" w:rsidRPr="00DA669D">
        <w:t xml:space="preserve"> </w:t>
      </w:r>
    </w:p>
    <w:p w14:paraId="03719719" w14:textId="2AEC4A07" w:rsidR="00A81D45" w:rsidRDefault="00DA669D" w:rsidP="0014167B">
      <w:r w:rsidRPr="00DA669D">
        <w:t>A source is considered relevant if it contributes </w:t>
      </w:r>
      <w:r w:rsidRPr="00AE4D5E">
        <w:t>significantly</w:t>
      </w:r>
      <w:r w:rsidRPr="00DA669D">
        <w:t> to the company</w:t>
      </w:r>
      <w:r w:rsidR="00963E59">
        <w:t>’</w:t>
      </w:r>
      <w:r w:rsidRPr="00DA669D">
        <w:t xml:space="preserve">s total anticipated </w:t>
      </w:r>
      <w:r w:rsidR="002E507C">
        <w:t>s</w:t>
      </w:r>
      <w:r w:rsidRPr="00DA669D">
        <w:t>cope 3 emissions, or if the company has potential </w:t>
      </w:r>
      <w:r w:rsidRPr="00AE4D5E">
        <w:t>influence</w:t>
      </w:r>
      <w:r w:rsidRPr="00DA669D">
        <w:t xml:space="preserve"> over emissions reductions within that category. </w:t>
      </w:r>
    </w:p>
    <w:p w14:paraId="06F882B2" w14:textId="36B1B2A4" w:rsidR="0014167B" w:rsidRDefault="00DA669D" w:rsidP="0014167B">
      <w:r w:rsidRPr="00DA669D">
        <w:t>Other indicators include whether an activity contributes to the company</w:t>
      </w:r>
      <w:r w:rsidR="00963E59">
        <w:t>’</w:t>
      </w:r>
      <w:r w:rsidRPr="00DA669D">
        <w:t>s </w:t>
      </w:r>
      <w:r w:rsidRPr="00AE4D5E">
        <w:t>risk exposure</w:t>
      </w:r>
      <w:r w:rsidRPr="00DA669D">
        <w:t> (such as financial or reputational risks), is deemed </w:t>
      </w:r>
      <w:r w:rsidRPr="00AE4D5E">
        <w:t>critical</w:t>
      </w:r>
      <w:r w:rsidRPr="00DA669D">
        <w:t xml:space="preserve"> by </w:t>
      </w:r>
      <w:r w:rsidRPr="00AE4D5E">
        <w:t>stakeholders</w:t>
      </w:r>
      <w:r w:rsidRPr="00DA669D">
        <w:t> (like investors or customers), or involves </w:t>
      </w:r>
      <w:r w:rsidRPr="00AE4D5E">
        <w:t>outsourced activities</w:t>
      </w:r>
      <w:r w:rsidRPr="00DA669D">
        <w:t> previously performed in</w:t>
      </w:r>
      <w:r w:rsidR="00963E59">
        <w:noBreakHyphen/>
      </w:r>
      <w:r w:rsidRPr="00DA669D">
        <w:t>house. Furthermore, companies rely on sector</w:t>
      </w:r>
      <w:r w:rsidR="00963E59">
        <w:noBreakHyphen/>
      </w:r>
      <w:r w:rsidRPr="00DA669D">
        <w:t xml:space="preserve">specific guidance or other internally developed criteria to pinpoint significant sources of </w:t>
      </w:r>
      <w:r w:rsidR="00460F33">
        <w:t>scope</w:t>
      </w:r>
      <w:r w:rsidR="00AE5878">
        <w:t> </w:t>
      </w:r>
      <w:r w:rsidR="00460F33">
        <w:t xml:space="preserve">3 </w:t>
      </w:r>
      <w:r w:rsidRPr="00DA669D">
        <w:t>emissions.</w:t>
      </w:r>
      <w:r w:rsidR="006C49A2">
        <w:t xml:space="preserve"> The Greenhouse Gas Protocol </w:t>
      </w:r>
      <w:r w:rsidR="001631E4" w:rsidRPr="005E4C27">
        <w:t>Corporate Value Chain (Scope 3) Standard</w:t>
      </w:r>
      <w:r w:rsidR="006C49A2">
        <w:t xml:space="preserve"> provides guidance on mapping value chains and setting boundaries. </w:t>
      </w:r>
    </w:p>
    <w:p w14:paraId="52B8BF69" w14:textId="2FC604CA" w:rsidR="006C49A2" w:rsidRDefault="00B65ABB" w:rsidP="00C05B32">
      <w:r>
        <w:t xml:space="preserve">Some organisations may find it difficult to obtain primary data to measure scope 3 emissions without </w:t>
      </w:r>
      <w:r w:rsidR="004E11BE">
        <w:t xml:space="preserve">significant </w:t>
      </w:r>
      <w:r>
        <w:t xml:space="preserve">cost or effort, including from their value chain partners. </w:t>
      </w:r>
      <w:r w:rsidRPr="0069311E">
        <w:t xml:space="preserve">In </w:t>
      </w:r>
      <w:r>
        <w:t>these</w:t>
      </w:r>
      <w:r w:rsidRPr="0069311E">
        <w:t xml:space="preserve"> cases</w:t>
      </w:r>
      <w:r>
        <w:t>,</w:t>
      </w:r>
      <w:r w:rsidRPr="0069311E">
        <w:t xml:space="preserve"> </w:t>
      </w:r>
      <w:r>
        <w:t>they</w:t>
      </w:r>
      <w:r w:rsidRPr="0069311E">
        <w:t xml:space="preserve"> </w:t>
      </w:r>
      <w:r>
        <w:t xml:space="preserve">can </w:t>
      </w:r>
      <w:r w:rsidR="00D151CD">
        <w:t>estimate their scope 3 emissions using secondary data such as industry averages</w:t>
      </w:r>
      <w:r w:rsidRPr="0069311E">
        <w:t>, rather than sourcing the data directly from small</w:t>
      </w:r>
      <w:r w:rsidR="00963E59">
        <w:noBreakHyphen/>
      </w:r>
      <w:r w:rsidRPr="0069311E">
        <w:t>to</w:t>
      </w:r>
      <w:r w:rsidR="00963E59">
        <w:noBreakHyphen/>
      </w:r>
      <w:r w:rsidRPr="0069311E">
        <w:t>medium sized businesses in their value chain.</w:t>
      </w:r>
    </w:p>
    <w:p w14:paraId="3AA13F3B" w14:textId="6F047345" w:rsidR="00D94089" w:rsidRDefault="001D0960" w:rsidP="007915AC">
      <w:r>
        <w:lastRenderedPageBreak/>
        <w:t>F</w:t>
      </w:r>
      <w:r w:rsidR="00B23EA7">
        <w:t xml:space="preserve">or more information on accounting for land sector and </w:t>
      </w:r>
      <w:r w:rsidR="00BB062C">
        <w:t>GHG</w:t>
      </w:r>
      <w:r w:rsidR="00B23EA7">
        <w:t xml:space="preserve"> removals in their emissions inventories,</w:t>
      </w:r>
      <w:r w:rsidR="00725E0A">
        <w:t> </w:t>
      </w:r>
      <w:r w:rsidR="00B23EA7">
        <w:t>o</w:t>
      </w:r>
      <w:r w:rsidR="00D94089">
        <w:t xml:space="preserve">rganisations can refer to </w:t>
      </w:r>
      <w:r w:rsidR="003A3BA2">
        <w:t xml:space="preserve">the </w:t>
      </w:r>
      <w:hyperlink r:id="rId86" w:history="1">
        <w:r w:rsidR="00097C77" w:rsidRPr="00C01AF3">
          <w:rPr>
            <w:rStyle w:val="Hyperlink"/>
          </w:rPr>
          <w:t xml:space="preserve">GHG Protocol </w:t>
        </w:r>
        <w:r w:rsidR="00F12B22" w:rsidRPr="00C01AF3">
          <w:rPr>
            <w:rStyle w:val="Hyperlink"/>
          </w:rPr>
          <w:t>Land Sector and Removals Standard</w:t>
        </w:r>
      </w:hyperlink>
      <w:r w:rsidR="00BB062C">
        <w:t>,</w:t>
      </w:r>
      <w:r w:rsidR="00425653" w:rsidRPr="00760C98">
        <w:rPr>
          <w:rStyle w:val="FootnoteReference"/>
        </w:rPr>
        <w:endnoteReference w:id="55"/>
      </w:r>
      <w:r w:rsidR="00097C77" w:rsidRPr="00D23EB3">
        <w:rPr>
          <w:rStyle w:val="FootnoteReference"/>
        </w:rPr>
        <w:t xml:space="preserve"> </w:t>
      </w:r>
      <w:r w:rsidR="008D6FE0">
        <w:t>and</w:t>
      </w:r>
      <w:r w:rsidR="00725E0A">
        <w:t> </w:t>
      </w:r>
      <w:r w:rsidR="004C1ED9">
        <w:t>Science</w:t>
      </w:r>
      <w:r w:rsidR="00725E0A">
        <w:t> </w:t>
      </w:r>
      <w:r w:rsidR="004C1ED9">
        <w:t>Based</w:t>
      </w:r>
      <w:r w:rsidR="00725E0A">
        <w:t> </w:t>
      </w:r>
      <w:r w:rsidR="004C1ED9">
        <w:t>Target Initiative</w:t>
      </w:r>
      <w:r w:rsidR="00963E59">
        <w:t>’</w:t>
      </w:r>
      <w:r w:rsidR="00BB062C">
        <w:t xml:space="preserve">s </w:t>
      </w:r>
      <w:hyperlink r:id="rId87" w:history="1">
        <w:r w:rsidR="008D6FE0" w:rsidRPr="000B613C">
          <w:rPr>
            <w:rStyle w:val="Hyperlink"/>
          </w:rPr>
          <w:t>Forest, Land and Agriculture Guidance</w:t>
        </w:r>
      </w:hyperlink>
      <w:r w:rsidR="003A3BA2">
        <w:t>.</w:t>
      </w:r>
      <w:r w:rsidR="00B563A8" w:rsidRPr="00760C98">
        <w:rPr>
          <w:rStyle w:val="FootnoteReference"/>
        </w:rPr>
        <w:endnoteReference w:id="56"/>
      </w:r>
    </w:p>
    <w:p w14:paraId="7FE02C85" w14:textId="08026FDE" w:rsidR="00D23EB3" w:rsidRDefault="00EE0824" w:rsidP="00D23EB3">
      <w:pPr>
        <w:spacing w:after="240"/>
      </w:pPr>
      <w:r w:rsidRPr="00EE0824">
        <w:t>For financial institutions engaged in lending or financing activities,</w:t>
      </w:r>
      <w:r>
        <w:t xml:space="preserve"> o</w:t>
      </w:r>
      <w:r w:rsidRPr="00EE0824">
        <w:t xml:space="preserve">rganisations may choose to apply global standards such as </w:t>
      </w:r>
      <w:r w:rsidR="00E8334C">
        <w:t xml:space="preserve">developed by </w:t>
      </w:r>
      <w:r w:rsidRPr="00EE0824">
        <w:t xml:space="preserve">the </w:t>
      </w:r>
      <w:hyperlink r:id="rId88" w:history="1">
        <w:r w:rsidR="00D639AA" w:rsidRPr="00C01AF3">
          <w:rPr>
            <w:rStyle w:val="Hyperlink"/>
            <w:bCs/>
          </w:rPr>
          <w:t>Partnership for Carbon Accounting Financials</w:t>
        </w:r>
      </w:hyperlink>
      <w:r w:rsidR="00441DF2" w:rsidRPr="00760C98">
        <w:rPr>
          <w:rStyle w:val="FootnoteReference"/>
        </w:rPr>
        <w:endnoteReference w:id="57"/>
      </w:r>
      <w:r w:rsidR="00D639AA" w:rsidRPr="00D73DD0" w:rsidDel="00A81D45">
        <w:rPr>
          <w:bCs/>
        </w:rPr>
        <w:t xml:space="preserve"> </w:t>
      </w:r>
      <w:r w:rsidRPr="00EE0824">
        <w:t>to estimate the proportion of a borrower</w:t>
      </w:r>
      <w:r w:rsidR="00963E59">
        <w:t>’</w:t>
      </w:r>
      <w:r w:rsidRPr="00EE0824">
        <w:t>s emissions attributable to their lending or financing activities.</w:t>
      </w:r>
    </w:p>
    <w:tbl>
      <w:tblPr>
        <w:tblW w:w="5000" w:type="pct"/>
        <w:shd w:val="clear" w:color="auto" w:fill="D8E6DF" w:themeFill="accent2" w:themeFillTint="33"/>
        <w:tblCellMar>
          <w:top w:w="227" w:type="dxa"/>
          <w:left w:w="227" w:type="dxa"/>
          <w:bottom w:w="227" w:type="dxa"/>
          <w:right w:w="227" w:type="dxa"/>
        </w:tblCellMar>
        <w:tblLook w:val="0620" w:firstRow="1" w:lastRow="0" w:firstColumn="0" w:lastColumn="0" w:noHBand="1" w:noVBand="1"/>
      </w:tblPr>
      <w:tblGrid>
        <w:gridCol w:w="9070"/>
      </w:tblGrid>
      <w:tr w:rsidR="00D23EB3" w:rsidRPr="00963E59" w14:paraId="26338555" w14:textId="77777777" w:rsidTr="00460C3E">
        <w:tc>
          <w:tcPr>
            <w:tcW w:w="5000" w:type="pct"/>
            <w:shd w:val="clear" w:color="auto" w:fill="E3EDE8"/>
            <w:hideMark/>
          </w:tcPr>
          <w:p w14:paraId="0BF75179" w14:textId="64FABC03" w:rsidR="00D23EB3" w:rsidRPr="00963E59" w:rsidRDefault="00D23EB3" w:rsidP="00E964D5">
            <w:pPr>
              <w:pStyle w:val="BoxHeading"/>
            </w:pPr>
            <w:bookmarkStart w:id="104" w:name="BOX12"/>
            <w:bookmarkStart w:id="105" w:name="_Toc237351142"/>
            <w:bookmarkStart w:id="106" w:name="_Toc233287108"/>
            <w:bookmarkEnd w:id="104"/>
            <w:r w:rsidRPr="00963E59">
              <w:t xml:space="preserve">Box </w:t>
            </w:r>
            <w:r w:rsidR="002870DE" w:rsidRPr="00963E59">
              <w:t>1</w:t>
            </w:r>
            <w:r w:rsidR="00786BF8" w:rsidRPr="00963E59">
              <w:t>2</w:t>
            </w:r>
            <w:r w:rsidR="0096533F" w:rsidRPr="00963E59">
              <w:t>.</w:t>
            </w:r>
            <w:r w:rsidRPr="00963E59">
              <w:t xml:space="preserve"> </w:t>
            </w:r>
            <w:r w:rsidR="00F857B8" w:rsidRPr="00963E59">
              <w:t>P</w:t>
            </w:r>
            <w:r w:rsidRPr="00963E59">
              <w:t>rinciples for conducting a baseline GHG emissions</w:t>
            </w:r>
            <w:r w:rsidR="00EF10AF" w:rsidRPr="00963E59">
              <w:t> </w:t>
            </w:r>
            <w:r w:rsidRPr="00963E59">
              <w:t>assessment</w:t>
            </w:r>
            <w:bookmarkEnd w:id="105"/>
            <w:bookmarkEnd w:id="106"/>
          </w:p>
          <w:p w14:paraId="185E3C19" w14:textId="10B9F894" w:rsidR="00D23EB3" w:rsidRPr="00963E59" w:rsidRDefault="00D23EB3" w:rsidP="00D23EB3">
            <w:pPr>
              <w:pStyle w:val="BoxText"/>
              <w:rPr>
                <w:lang w:eastAsia="en-US"/>
              </w:rPr>
            </w:pPr>
            <w:r w:rsidRPr="00963E59">
              <w:rPr>
                <w:lang w:eastAsia="en-US"/>
              </w:rPr>
              <w:t>Organisations should conduct a baseline emissions assessment in accordance with the following accounting and reporting principles</w:t>
            </w:r>
            <w:r w:rsidR="00AE0BA3" w:rsidRPr="00963E59">
              <w:rPr>
                <w:lang w:eastAsia="en-US"/>
              </w:rPr>
              <w:t>.</w:t>
            </w:r>
          </w:p>
          <w:p w14:paraId="72344047" w14:textId="74861413" w:rsidR="00D23EB3" w:rsidRPr="00963E59" w:rsidRDefault="00D23EB3" w:rsidP="00DB6514">
            <w:pPr>
              <w:pStyle w:val="Boxbullet"/>
              <w:rPr>
                <w:lang w:eastAsia="en-US"/>
              </w:rPr>
            </w:pPr>
            <w:r w:rsidRPr="00DB6514">
              <w:rPr>
                <w:b/>
                <w:bCs/>
                <w:lang w:eastAsia="en-US"/>
              </w:rPr>
              <w:t>Relevance</w:t>
            </w:r>
            <w:r w:rsidRPr="00963E59">
              <w:rPr>
                <w:lang w:eastAsia="en-US"/>
              </w:rPr>
              <w:t>: ensure the GHG inventory appropriately reflects the GHG emissions of the organisation and serves the decision-making needs of users</w:t>
            </w:r>
            <w:r w:rsidR="00AB2FB0" w:rsidRPr="00963E59">
              <w:rPr>
                <w:lang w:eastAsia="en-US"/>
              </w:rPr>
              <w:t xml:space="preserve"> – </w:t>
            </w:r>
            <w:r w:rsidRPr="00963E59">
              <w:rPr>
                <w:lang w:eastAsia="en-US"/>
              </w:rPr>
              <w:t>both internal and external to the company.</w:t>
            </w:r>
          </w:p>
          <w:p w14:paraId="5992E2A5" w14:textId="77777777" w:rsidR="00D23EB3" w:rsidRPr="00963E59" w:rsidRDefault="00D23EB3" w:rsidP="00DB6514">
            <w:pPr>
              <w:pStyle w:val="Boxbullet"/>
              <w:rPr>
                <w:lang w:eastAsia="en-US"/>
              </w:rPr>
            </w:pPr>
            <w:r w:rsidRPr="00DB6514">
              <w:rPr>
                <w:b/>
                <w:bCs/>
                <w:lang w:eastAsia="en-US"/>
              </w:rPr>
              <w:t xml:space="preserve">Completeness: </w:t>
            </w:r>
            <w:r w:rsidRPr="00963E59">
              <w:rPr>
                <w:lang w:eastAsia="en-US"/>
              </w:rPr>
              <w:t>account for and report on all GHG emission sources and activities within the chosen inventory boundary. Disclose and justify any specific exclusions.</w:t>
            </w:r>
          </w:p>
          <w:p w14:paraId="730DC1B5" w14:textId="2FA03779" w:rsidR="00D23EB3" w:rsidRPr="00963E59" w:rsidRDefault="00D23EB3" w:rsidP="00DB6514">
            <w:pPr>
              <w:pStyle w:val="Boxbullet"/>
              <w:rPr>
                <w:lang w:eastAsia="en-US"/>
              </w:rPr>
            </w:pPr>
            <w:r w:rsidRPr="00DB6514">
              <w:rPr>
                <w:b/>
                <w:bCs/>
                <w:lang w:eastAsia="en-US"/>
              </w:rPr>
              <w:t xml:space="preserve">Consistency: </w:t>
            </w:r>
            <w:r w:rsidRPr="00963E59">
              <w:rPr>
                <w:lang w:eastAsia="en-US"/>
              </w:rPr>
              <w:t xml:space="preserve">use consistent methods to allow for meaningful comparisons of emissions over time. Transparently document any changes to the data, inventory boundary, methods, or any other relevant factors in the time series. </w:t>
            </w:r>
          </w:p>
          <w:p w14:paraId="71CD40ED" w14:textId="79941614" w:rsidR="00D23EB3" w:rsidRPr="00963E59" w:rsidRDefault="00D23EB3" w:rsidP="00DB6514">
            <w:pPr>
              <w:pStyle w:val="Boxbullet"/>
              <w:rPr>
                <w:lang w:eastAsia="en-US"/>
              </w:rPr>
            </w:pPr>
            <w:r w:rsidRPr="00DB6514">
              <w:rPr>
                <w:b/>
                <w:bCs/>
                <w:lang w:eastAsia="en-US"/>
              </w:rPr>
              <w:t xml:space="preserve">Transparency: </w:t>
            </w:r>
            <w:r w:rsidRPr="00963E59">
              <w:rPr>
                <w:lang w:eastAsia="en-US"/>
              </w:rPr>
              <w:t xml:space="preserve">address all relevant issues in a factual and coherent manner, based on a clear audit trail. Disclose any relevant assumptions and make appropriate references to the accounting and calculation methods and data sources used. </w:t>
            </w:r>
          </w:p>
          <w:p w14:paraId="6A40ADD2" w14:textId="77777777" w:rsidR="00D23EB3" w:rsidRPr="00963E59" w:rsidRDefault="00D23EB3" w:rsidP="00DB6514">
            <w:pPr>
              <w:pStyle w:val="Boxbullet"/>
              <w:rPr>
                <w:lang w:eastAsia="en-US"/>
              </w:rPr>
            </w:pPr>
            <w:r w:rsidRPr="00DB6514">
              <w:rPr>
                <w:b/>
                <w:bCs/>
                <w:lang w:eastAsia="en-US"/>
              </w:rPr>
              <w:t xml:space="preserve">Accuracy: </w:t>
            </w:r>
            <w:r w:rsidRPr="00963E59">
              <w:rPr>
                <w:lang w:eastAsia="en-US"/>
              </w:rPr>
              <w:t xml:space="preserve">ensure that the quantification of GHG emissions is systematically neither over nor under actual emissions, as far as can be judged, and that uncertainties are reduced as far as practicable. Achieve sufficient accuracy to enable users to make decisions with reasonable assurance as to the integrity of the reported information. </w:t>
            </w:r>
          </w:p>
          <w:p w14:paraId="12857DB0" w14:textId="196F439C" w:rsidR="00D23EB3" w:rsidRPr="00963E59" w:rsidRDefault="00D23EB3" w:rsidP="00725E0A">
            <w:pPr>
              <w:pStyle w:val="ChartorTableNote"/>
              <w:rPr>
                <w:lang w:eastAsia="en-US"/>
              </w:rPr>
            </w:pPr>
            <w:r w:rsidRPr="00963E59">
              <w:rPr>
                <w:b/>
                <w:bCs/>
                <w:lang w:eastAsia="en-US"/>
              </w:rPr>
              <w:t>Source</w:t>
            </w:r>
            <w:r w:rsidRPr="00963E59">
              <w:rPr>
                <w:lang w:eastAsia="en-US"/>
              </w:rPr>
              <w:t>:</w:t>
            </w:r>
            <w:r w:rsidR="00725E0A" w:rsidRPr="00963E59">
              <w:rPr>
                <w:lang w:eastAsia="en-US"/>
              </w:rPr>
              <w:tab/>
            </w:r>
            <w:r w:rsidRPr="00963E59">
              <w:rPr>
                <w:lang w:eastAsia="en-US"/>
              </w:rPr>
              <w:t>Greenhouse Gas Protocol</w:t>
            </w:r>
            <w:r w:rsidR="003E28B4" w:rsidRPr="00963E59">
              <w:t>, A Corporate Accounting and Reporting Standard</w:t>
            </w:r>
          </w:p>
        </w:tc>
      </w:tr>
    </w:tbl>
    <w:p w14:paraId="218ED0CB" w14:textId="77777777" w:rsidR="00D23EB3" w:rsidRDefault="00D23EB3" w:rsidP="00D64CEC">
      <w:pPr>
        <w:pStyle w:val="SingleParagraph"/>
      </w:pPr>
    </w:p>
    <w:p w14:paraId="6FF0C970" w14:textId="1519A8C0" w:rsidR="00B86F73" w:rsidRDefault="00561EB4" w:rsidP="00D942EE">
      <w:r>
        <w:t>It is likely organisations will face</w:t>
      </w:r>
      <w:r w:rsidR="007E1DBC">
        <w:t xml:space="preserve"> </w:t>
      </w:r>
      <w:r>
        <w:t xml:space="preserve">challenges in </w:t>
      </w:r>
      <w:r w:rsidR="007A2CFE">
        <w:t>GHG</w:t>
      </w:r>
      <w:r>
        <w:t xml:space="preserve"> data collection,</w:t>
      </w:r>
      <w:r w:rsidR="00DA462A">
        <w:t xml:space="preserve"> particularly in the short</w:t>
      </w:r>
      <w:r w:rsidR="00963E59">
        <w:noBreakHyphen/>
      </w:r>
      <w:r w:rsidR="00DA462A">
        <w:t>term</w:t>
      </w:r>
      <w:r w:rsidR="00620B78">
        <w:t xml:space="preserve"> and for </w:t>
      </w:r>
      <w:r w:rsidR="00C63A05">
        <w:t>s</w:t>
      </w:r>
      <w:r w:rsidR="00620B78">
        <w:t>cope 3 emissions</w:t>
      </w:r>
      <w:r w:rsidR="00DA462A">
        <w:t xml:space="preserve">. </w:t>
      </w:r>
      <w:r w:rsidR="00880424">
        <w:t>A</w:t>
      </w:r>
      <w:r w:rsidR="00AC520F" w:rsidRPr="00AC520F">
        <w:t>n emissions inventory does not need to be complete or static to be useful</w:t>
      </w:r>
      <w:r w:rsidR="00414264">
        <w:t xml:space="preserve">. </w:t>
      </w:r>
      <w:r w:rsidR="008D00AB">
        <w:t>I</w:t>
      </w:r>
      <w:r w:rsidR="00D0074F">
        <w:t xml:space="preserve">ncomplete emissions inventories </w:t>
      </w:r>
      <w:r w:rsidR="00D0074F" w:rsidDel="008D00AB">
        <w:t xml:space="preserve">can </w:t>
      </w:r>
      <w:r w:rsidR="008D00AB">
        <w:t xml:space="preserve">still </w:t>
      </w:r>
      <w:r w:rsidR="00D0074F">
        <w:t>help</w:t>
      </w:r>
      <w:r w:rsidR="00D0074F" w:rsidDel="00CA032C">
        <w:t xml:space="preserve"> </w:t>
      </w:r>
      <w:r w:rsidR="520ACEFC">
        <w:t>to understand</w:t>
      </w:r>
      <w:r w:rsidR="00D0074F">
        <w:t xml:space="preserve"> </w:t>
      </w:r>
      <w:r w:rsidR="008B65C2">
        <w:t>transition levers</w:t>
      </w:r>
      <w:r w:rsidR="00F02305">
        <w:t xml:space="preserve"> </w:t>
      </w:r>
      <w:r w:rsidR="003545C7">
        <w:t xml:space="preserve">and priorities. </w:t>
      </w:r>
      <w:r w:rsidR="003B6CA4" w:rsidRPr="006A689A">
        <w:t xml:space="preserve">The </w:t>
      </w:r>
      <w:r w:rsidR="00B220ED">
        <w:t>Greenhouse Gas</w:t>
      </w:r>
      <w:r w:rsidR="003B6CA4" w:rsidRPr="006A689A">
        <w:t xml:space="preserve"> Protocol guidance encourages starting with available data</w:t>
      </w:r>
      <w:r w:rsidR="00003A06">
        <w:t xml:space="preserve"> – </w:t>
      </w:r>
      <w:r w:rsidR="003B6CA4" w:rsidRPr="006A689A">
        <w:t>even proxy data</w:t>
      </w:r>
      <w:r w:rsidR="00003A06">
        <w:t xml:space="preserve"> – </w:t>
      </w:r>
      <w:r w:rsidR="003B6CA4" w:rsidRPr="006A689A">
        <w:t>to </w:t>
      </w:r>
      <w:r w:rsidR="003B6CA4" w:rsidRPr="00AE4D5E">
        <w:t xml:space="preserve">identify the largest </w:t>
      </w:r>
      <w:r w:rsidR="00740A7B">
        <w:t xml:space="preserve">GHG </w:t>
      </w:r>
      <w:r w:rsidR="003B6CA4" w:rsidRPr="00AE4D5E">
        <w:t xml:space="preserve">emission sources or </w:t>
      </w:r>
      <w:r w:rsidR="00963E59">
        <w:t>‘</w:t>
      </w:r>
      <w:r w:rsidR="003B6CA4" w:rsidRPr="00AE4D5E">
        <w:t>hot spots</w:t>
      </w:r>
      <w:r w:rsidR="00963E59">
        <w:t>’</w:t>
      </w:r>
      <w:r w:rsidR="003B6CA4" w:rsidRPr="006A689A">
        <w:t xml:space="preserve">. This initial screening allows </w:t>
      </w:r>
      <w:r w:rsidR="00BC5C35">
        <w:t>organisations</w:t>
      </w:r>
      <w:r w:rsidR="00BC5C35" w:rsidRPr="006A689A">
        <w:t xml:space="preserve"> </w:t>
      </w:r>
      <w:r w:rsidR="003B6CA4" w:rsidRPr="006A689A">
        <w:t>to focus their efforts and resources on the most significant areas first, rather than striving for perfect data across all categories immediately.</w:t>
      </w:r>
    </w:p>
    <w:p w14:paraId="022F2B33" w14:textId="0B54AAB4" w:rsidR="00FA4F4F" w:rsidRDefault="00B86F73" w:rsidP="007915AC">
      <w:pPr>
        <w:spacing w:after="240"/>
      </w:pPr>
      <w:r>
        <w:t xml:space="preserve">As data availability and quality improve over time, </w:t>
      </w:r>
      <w:r w:rsidR="00AB2FB0">
        <w:t xml:space="preserve">organisations can update their </w:t>
      </w:r>
      <w:r>
        <w:t>historic GHG</w:t>
      </w:r>
      <w:r w:rsidR="00725E0A">
        <w:t> </w:t>
      </w:r>
      <w:r>
        <w:t xml:space="preserve">emissions inventories </w:t>
      </w:r>
      <w:r w:rsidRPr="00F67BAE">
        <w:t>as part of an iterative assessment process</w:t>
      </w:r>
      <w:r>
        <w:t>.</w:t>
      </w:r>
    </w:p>
    <w:p w14:paraId="625F6E8B" w14:textId="04D4A100" w:rsidR="00795BCA" w:rsidRDefault="00031A58" w:rsidP="007915AC">
      <w:pPr>
        <w:spacing w:after="240"/>
      </w:pPr>
      <w:hyperlink w:anchor="BOX13" w:history="1">
        <w:r>
          <w:rPr>
            <w:rStyle w:val="Hyperlink"/>
          </w:rPr>
          <w:t>Box 13</w:t>
        </w:r>
      </w:hyperlink>
      <w:r w:rsidR="00795BCA">
        <w:t xml:space="preserve"> includes additional </w:t>
      </w:r>
      <w:r w:rsidR="004C6E6A">
        <w:t>resources to help measure</w:t>
      </w:r>
      <w:r w:rsidR="00795BCA">
        <w:t xml:space="preserve"> emissions.</w:t>
      </w:r>
    </w:p>
    <w:tbl>
      <w:tblPr>
        <w:tblW w:w="5000" w:type="pct"/>
        <w:shd w:val="clear" w:color="auto" w:fill="F2F2F2"/>
        <w:tblCellMar>
          <w:top w:w="227" w:type="dxa"/>
          <w:left w:w="227" w:type="dxa"/>
          <w:bottom w:w="227" w:type="dxa"/>
          <w:right w:w="227" w:type="dxa"/>
        </w:tblCellMar>
        <w:tblLook w:val="0620" w:firstRow="1" w:lastRow="0" w:firstColumn="0" w:lastColumn="0" w:noHBand="1" w:noVBand="1"/>
      </w:tblPr>
      <w:tblGrid>
        <w:gridCol w:w="9070"/>
      </w:tblGrid>
      <w:tr w:rsidR="00D23EB3" w:rsidRPr="00963E59" w14:paraId="17537CBC" w14:textId="77777777" w:rsidTr="004C5776">
        <w:tc>
          <w:tcPr>
            <w:tcW w:w="5000" w:type="pct"/>
            <w:shd w:val="clear" w:color="auto" w:fill="F2F2F2"/>
            <w:hideMark/>
          </w:tcPr>
          <w:p w14:paraId="04260102" w14:textId="1C82FD36" w:rsidR="00D23EB3" w:rsidRPr="00963E59" w:rsidRDefault="001A0CCC" w:rsidP="00E964D5">
            <w:pPr>
              <w:pStyle w:val="BoxHeading"/>
            </w:pPr>
            <w:bookmarkStart w:id="107" w:name="BOX13"/>
            <w:bookmarkStart w:id="108" w:name="_Toc237351143"/>
            <w:bookmarkStart w:id="109" w:name="_Toc233287109"/>
            <w:bookmarkEnd w:id="107"/>
            <w:r w:rsidRPr="00963E59">
              <w:lastRenderedPageBreak/>
              <w:t xml:space="preserve">Box </w:t>
            </w:r>
            <w:r w:rsidR="002870DE" w:rsidRPr="00963E59">
              <w:t>1</w:t>
            </w:r>
            <w:r w:rsidR="00786BF8" w:rsidRPr="00963E59">
              <w:t>3</w:t>
            </w:r>
            <w:r w:rsidRPr="00963E59">
              <w:t xml:space="preserve">. </w:t>
            </w:r>
            <w:r w:rsidR="00D23EB3" w:rsidRPr="00963E59">
              <w:t>Supporting resources</w:t>
            </w:r>
            <w:r w:rsidR="008863C1" w:rsidRPr="00963E59">
              <w:t xml:space="preserve"> for </w:t>
            </w:r>
            <w:r w:rsidR="0096533F" w:rsidRPr="00963E59">
              <w:t>measuring emissions</w:t>
            </w:r>
            <w:bookmarkEnd w:id="108"/>
            <w:bookmarkEnd w:id="109"/>
          </w:p>
          <w:p w14:paraId="01E9F7B7" w14:textId="4FE0A51D" w:rsidR="00D23EB3" w:rsidRPr="00963E59" w:rsidRDefault="00D23EB3" w:rsidP="00DB6514">
            <w:pPr>
              <w:pStyle w:val="Boxbullet"/>
            </w:pPr>
            <w:r w:rsidRPr="00DB6514">
              <w:rPr>
                <w:b/>
                <w:bCs/>
              </w:rPr>
              <w:t xml:space="preserve">The </w:t>
            </w:r>
            <w:hyperlink r:id="rId89" w:history="1">
              <w:r w:rsidRPr="00DB6514">
                <w:rPr>
                  <w:rStyle w:val="Hyperlink"/>
                  <w:b/>
                  <w:bCs/>
                  <w:szCs w:val="22"/>
                </w:rPr>
                <w:t>Greenhouse Gas Protocol</w:t>
              </w:r>
            </w:hyperlink>
            <w:r w:rsidRPr="00963E59">
              <w:t>:</w:t>
            </w:r>
            <w:r w:rsidR="00B563A8" w:rsidRPr="00963E59">
              <w:rPr>
                <w:rStyle w:val="FootnoteReference"/>
              </w:rPr>
              <w:endnoteReference w:id="58"/>
            </w:r>
            <w:r w:rsidRPr="00963E59">
              <w:t xml:space="preserve"> standards, guidance, tools and training for business and government to measure and manage </w:t>
            </w:r>
            <w:r w:rsidR="00645D32" w:rsidRPr="00963E59">
              <w:t>greenhouse gas</w:t>
            </w:r>
            <w:r w:rsidRPr="00963E59">
              <w:t xml:space="preserve"> emissions.</w:t>
            </w:r>
          </w:p>
          <w:p w14:paraId="07D0E00E" w14:textId="6584F91B" w:rsidR="00D23EB3" w:rsidRPr="00963E59" w:rsidRDefault="00D23EB3" w:rsidP="00DB6514">
            <w:pPr>
              <w:pStyle w:val="Boxbullet"/>
            </w:pPr>
            <w:r w:rsidRPr="00DB6514">
              <w:rPr>
                <w:b/>
                <w:bCs/>
              </w:rPr>
              <w:t xml:space="preserve">ASIC </w:t>
            </w:r>
            <w:hyperlink r:id="rId90" w:history="1">
              <w:r w:rsidRPr="00DB6514">
                <w:rPr>
                  <w:rStyle w:val="Hyperlink"/>
                  <w:b/>
                  <w:bCs/>
                  <w:szCs w:val="22"/>
                </w:rPr>
                <w:t>Education</w:t>
              </w:r>
              <w:r w:rsidR="00755751" w:rsidRPr="00DB6514">
                <w:rPr>
                  <w:rStyle w:val="Hyperlink"/>
                  <w:b/>
                  <w:bCs/>
                  <w:szCs w:val="22"/>
                </w:rPr>
                <w:t>al</w:t>
              </w:r>
              <w:r w:rsidRPr="00DB6514">
                <w:rPr>
                  <w:rStyle w:val="Hyperlink"/>
                  <w:b/>
                  <w:bCs/>
                  <w:szCs w:val="22"/>
                </w:rPr>
                <w:t xml:space="preserve"> Module 6 Emissions Accounting</w:t>
              </w:r>
            </w:hyperlink>
            <w:r w:rsidRPr="00DB6514">
              <w:rPr>
                <w:b/>
                <w:i/>
              </w:rPr>
              <w:t>:</w:t>
            </w:r>
            <w:r w:rsidRPr="00963E59">
              <w:t xml:space="preserve"> provides foundational knowledge and practical information to support organisations identify and understand their </w:t>
            </w:r>
            <w:r w:rsidR="00FD7975" w:rsidRPr="00963E59">
              <w:t>s</w:t>
            </w:r>
            <w:r w:rsidRPr="00963E59">
              <w:t xml:space="preserve">cope 1, 2 and 3 </w:t>
            </w:r>
            <w:r w:rsidR="002A4976" w:rsidRPr="00963E59">
              <w:t>GHG</w:t>
            </w:r>
            <w:r w:rsidR="00725E0A" w:rsidRPr="00963E59">
              <w:t> </w:t>
            </w:r>
            <w:r w:rsidRPr="00963E59">
              <w:t>emissions.</w:t>
            </w:r>
          </w:p>
          <w:p w14:paraId="733031E2" w14:textId="7580071C" w:rsidR="00D23EB3" w:rsidRPr="00963E59" w:rsidRDefault="00D23EB3" w:rsidP="00DB6514">
            <w:pPr>
              <w:pStyle w:val="Boxbullet"/>
            </w:pPr>
            <w:r w:rsidRPr="00DB6514">
              <w:rPr>
                <w:b/>
                <w:bCs/>
              </w:rPr>
              <w:t xml:space="preserve">DCCEEW </w:t>
            </w:r>
            <w:hyperlink r:id="rId91">
              <w:r w:rsidRPr="00DB6514">
                <w:rPr>
                  <w:rStyle w:val="Hyperlink"/>
                  <w:b/>
                  <w:bCs/>
                  <w:szCs w:val="22"/>
                </w:rPr>
                <w:t>Voluntary emissions estimation and reporting standards – agriculture, fisheries and</w:t>
              </w:r>
              <w:r w:rsidR="00725E0A" w:rsidRPr="00DB6514">
                <w:rPr>
                  <w:rStyle w:val="Hyperlink"/>
                  <w:b/>
                  <w:bCs/>
                  <w:szCs w:val="22"/>
                </w:rPr>
                <w:t> </w:t>
              </w:r>
              <w:r w:rsidRPr="00DB6514">
                <w:rPr>
                  <w:rStyle w:val="Hyperlink"/>
                  <w:b/>
                  <w:bCs/>
                  <w:szCs w:val="22"/>
                </w:rPr>
                <w:t>forestry</w:t>
              </w:r>
            </w:hyperlink>
            <w:r w:rsidR="007E69FD" w:rsidRPr="00963E59">
              <w:t xml:space="preserve"> (in development)</w:t>
            </w:r>
            <w:r w:rsidRPr="00DB6514">
              <w:rPr>
                <w:b/>
                <w:bCs/>
              </w:rPr>
              <w:t>:</w:t>
            </w:r>
            <w:r w:rsidRPr="00963E59">
              <w:rPr>
                <w:rStyle w:val="FootnoteReference"/>
              </w:rPr>
              <w:endnoteReference w:id="59"/>
            </w:r>
            <w:r w:rsidRPr="00963E59">
              <w:rPr>
                <w:rStyle w:val="FootnoteReference"/>
              </w:rPr>
              <w:t xml:space="preserve"> </w:t>
            </w:r>
            <w:r w:rsidR="00731748" w:rsidRPr="00963E59">
              <w:t>designed</w:t>
            </w:r>
            <w:r w:rsidRPr="00963E59">
              <w:t xml:space="preserve"> to improve the consistency and quality of farm-</w:t>
            </w:r>
            <w:r w:rsidR="00725E0A" w:rsidRPr="00963E59">
              <w:t>‍</w:t>
            </w:r>
            <w:r w:rsidRPr="00963E59">
              <w:t xml:space="preserve">level </w:t>
            </w:r>
            <w:r w:rsidR="00B22783" w:rsidRPr="00963E59">
              <w:t>GHG</w:t>
            </w:r>
            <w:r w:rsidRPr="00963E59">
              <w:t xml:space="preserve"> accounting methods</w:t>
            </w:r>
            <w:r w:rsidR="00887DB9" w:rsidRPr="00963E59">
              <w:t>,</w:t>
            </w:r>
            <w:r w:rsidRPr="00963E59">
              <w:t xml:space="preserve"> and the emissions estimates calculated by </w:t>
            </w:r>
            <w:r w:rsidR="00B22783" w:rsidRPr="00963E59">
              <w:t>GHG</w:t>
            </w:r>
            <w:r w:rsidRPr="00963E59">
              <w:t xml:space="preserve"> accounting tools used by primary producers and organisations.</w:t>
            </w:r>
          </w:p>
          <w:p w14:paraId="1AF68FCC" w14:textId="39EBAEA4" w:rsidR="00D23EB3" w:rsidRPr="00963E59" w:rsidRDefault="00D23EB3" w:rsidP="00DB6514">
            <w:pPr>
              <w:pStyle w:val="Boxbullet"/>
            </w:pPr>
            <w:r w:rsidRPr="00DB6514">
              <w:rPr>
                <w:b/>
                <w:bCs/>
              </w:rPr>
              <w:t xml:space="preserve">DCCEEW </w:t>
            </w:r>
            <w:hyperlink r:id="rId92" w:history="1">
              <w:r w:rsidRPr="00DB6514">
                <w:rPr>
                  <w:rStyle w:val="Hyperlink"/>
                  <w:b/>
                  <w:bCs/>
                  <w:szCs w:val="22"/>
                </w:rPr>
                <w:t>National Greenhouse Accounts Factors</w:t>
              </w:r>
            </w:hyperlink>
            <w:r w:rsidRPr="00963E59">
              <w:t>:</w:t>
            </w:r>
            <w:r w:rsidR="00EA137C" w:rsidRPr="00963E59">
              <w:rPr>
                <w:rStyle w:val="FootnoteReference"/>
              </w:rPr>
              <w:endnoteReference w:id="60"/>
            </w:r>
            <w:r w:rsidRPr="00DB6514">
              <w:rPr>
                <w:b/>
              </w:rPr>
              <w:t xml:space="preserve"> </w:t>
            </w:r>
            <w:r w:rsidRPr="00963E59">
              <w:t>methods that help companies and individuals estimate greenhouse gas emissions, encouraging consistent emission factors.</w:t>
            </w:r>
          </w:p>
          <w:p w14:paraId="19EC3FAD" w14:textId="1D365297" w:rsidR="00D23EB3" w:rsidRPr="00963E59" w:rsidRDefault="00D23EB3" w:rsidP="00DB6514">
            <w:pPr>
              <w:pStyle w:val="Bullet"/>
              <w:rPr>
                <w:lang w:eastAsia="en-US"/>
              </w:rPr>
            </w:pPr>
            <w:r w:rsidRPr="00963E59">
              <w:rPr>
                <w:b/>
                <w:bCs/>
              </w:rPr>
              <w:t>CSIRO’s</w:t>
            </w:r>
            <w:hyperlink r:id="rId93" w:history="1">
              <w:r w:rsidRPr="00963E59">
                <w:rPr>
                  <w:rStyle w:val="Hyperlink"/>
                  <w:szCs w:val="22"/>
                </w:rPr>
                <w:t xml:space="preserve"> </w:t>
              </w:r>
              <w:r w:rsidRPr="00963E59">
                <w:rPr>
                  <w:rStyle w:val="Hyperlink"/>
                  <w:b/>
                  <w:szCs w:val="22"/>
                </w:rPr>
                <w:t>FarmPrint</w:t>
              </w:r>
            </w:hyperlink>
            <w:r w:rsidRPr="00963E59">
              <w:t>:</w:t>
            </w:r>
            <w:r w:rsidR="004B0FDB" w:rsidRPr="00963E59">
              <w:rPr>
                <w:rStyle w:val="FootnoteReference"/>
              </w:rPr>
              <w:endnoteReference w:id="61"/>
            </w:r>
            <w:r w:rsidRPr="00963E59">
              <w:t xml:space="preserve"> a tool to support the agricultural sector to evaluate, benchmark and report on the </w:t>
            </w:r>
            <w:r w:rsidR="002A4976" w:rsidRPr="00963E59">
              <w:t>GHG</w:t>
            </w:r>
            <w:r w:rsidRPr="00963E59">
              <w:t xml:space="preserve"> emissions of Australian farms.</w:t>
            </w:r>
          </w:p>
        </w:tc>
      </w:tr>
    </w:tbl>
    <w:p w14:paraId="4D591CF9" w14:textId="0E68937A" w:rsidR="002010C4" w:rsidRDefault="002010C4" w:rsidP="00E550CE">
      <w:pPr>
        <w:pStyle w:val="SingleParagraph"/>
      </w:pPr>
      <w:bookmarkStart w:id="110" w:name="Stage1dot6"/>
      <w:bookmarkStart w:id="111" w:name="_Toc224906877"/>
      <w:bookmarkStart w:id="112" w:name="_Toc224916509"/>
      <w:bookmarkStart w:id="113" w:name="_Toc232776350"/>
      <w:bookmarkEnd w:id="110"/>
    </w:p>
    <w:p w14:paraId="7D5E7483" w14:textId="366B4C41" w:rsidR="00453715" w:rsidRDefault="00453715" w:rsidP="00254364">
      <w:pPr>
        <w:pStyle w:val="Heading2Numbered"/>
      </w:pPr>
      <w:r>
        <w:t xml:space="preserve">Identify </w:t>
      </w:r>
      <w:r w:rsidR="00C742F6">
        <w:t xml:space="preserve">transition </w:t>
      </w:r>
      <w:r w:rsidR="007719D1">
        <w:t xml:space="preserve">and adaptation </w:t>
      </w:r>
      <w:r w:rsidR="00C742F6">
        <w:t>levers</w:t>
      </w:r>
      <w:bookmarkEnd w:id="111"/>
      <w:bookmarkEnd w:id="112"/>
      <w:bookmarkEnd w:id="113"/>
    </w:p>
    <w:p w14:paraId="1547927D" w14:textId="7C8189C2" w:rsidR="00621256" w:rsidRDefault="00612AD7" w:rsidP="009F7D71">
      <w:r>
        <w:t>O</w:t>
      </w:r>
      <w:r w:rsidR="00B4177A">
        <w:t>rganisations</w:t>
      </w:r>
      <w:r w:rsidR="00123B5E">
        <w:t xml:space="preserve"> can</w:t>
      </w:r>
      <w:r w:rsidR="00196727">
        <w:t xml:space="preserve"> identify the </w:t>
      </w:r>
      <w:r w:rsidR="008D3B86">
        <w:t>levers</w:t>
      </w:r>
      <w:r w:rsidR="00B4177A">
        <w:t xml:space="preserve"> </w:t>
      </w:r>
      <w:r w:rsidR="008534E4">
        <w:t xml:space="preserve">that </w:t>
      </w:r>
      <w:r w:rsidR="009F0552">
        <w:t>help</w:t>
      </w:r>
      <w:r w:rsidR="00DD1FF8">
        <w:t xml:space="preserve"> </w:t>
      </w:r>
      <w:r w:rsidR="00C54920">
        <w:t xml:space="preserve">address transition and physical risks and </w:t>
      </w:r>
      <w:r w:rsidR="002D566E">
        <w:t>achiev</w:t>
      </w:r>
      <w:r w:rsidR="009F0552">
        <w:t>e</w:t>
      </w:r>
      <w:r w:rsidR="002D566E">
        <w:t xml:space="preserve"> mitigation and adaptation </w:t>
      </w:r>
      <w:r w:rsidR="00D65A1D">
        <w:t>objectives</w:t>
      </w:r>
      <w:r>
        <w:t xml:space="preserve"> following analysis of climate</w:t>
      </w:r>
      <w:r w:rsidR="00963E59">
        <w:noBreakHyphen/>
      </w:r>
      <w:r>
        <w:t>related risks and opportunities and emissions footprint</w:t>
      </w:r>
      <w:r w:rsidR="00404580">
        <w:t>.</w:t>
      </w:r>
      <w:r w:rsidR="00196727">
        <w:t xml:space="preserve"> </w:t>
      </w:r>
      <w:r w:rsidR="00C54920">
        <w:t>T</w:t>
      </w:r>
      <w:r w:rsidR="00E576CC">
        <w:t>ransition</w:t>
      </w:r>
      <w:r w:rsidR="00C54920">
        <w:t xml:space="preserve"> levers</w:t>
      </w:r>
      <w:r w:rsidR="004D7310">
        <w:t xml:space="preserve"> are the</w:t>
      </w:r>
      <w:r w:rsidR="00310703">
        <w:t xml:space="preserve"> </w:t>
      </w:r>
      <w:r w:rsidR="000D5EE8">
        <w:t xml:space="preserve">available </w:t>
      </w:r>
      <w:r w:rsidR="00AB5409">
        <w:t xml:space="preserve">actions to </w:t>
      </w:r>
      <w:r w:rsidR="007F4D85">
        <w:t>mitigate</w:t>
      </w:r>
      <w:r w:rsidR="00AB5409">
        <w:t xml:space="preserve"> </w:t>
      </w:r>
      <w:r w:rsidR="0028680A">
        <w:t>GHG</w:t>
      </w:r>
      <w:r w:rsidR="00AB5409">
        <w:t xml:space="preserve"> emissions</w:t>
      </w:r>
      <w:r w:rsidR="004D7310">
        <w:t xml:space="preserve"> and adaptation levers are actions to </w:t>
      </w:r>
      <w:r w:rsidR="00D64D6E">
        <w:t xml:space="preserve">adjust </w:t>
      </w:r>
      <w:r w:rsidR="00D96684">
        <w:t>to</w:t>
      </w:r>
      <w:r w:rsidR="00D64D6E">
        <w:t xml:space="preserve"> and manage the impacts of climate change.</w:t>
      </w:r>
    </w:p>
    <w:p w14:paraId="67ECCAB3" w14:textId="59BD20F7" w:rsidR="00725E0A" w:rsidRDefault="00E30021" w:rsidP="009F7D71">
      <w:r>
        <w:t xml:space="preserve">Understanding </w:t>
      </w:r>
      <w:r w:rsidR="008B65C2">
        <w:t>transition</w:t>
      </w:r>
      <w:r w:rsidR="005A1B7C">
        <w:t xml:space="preserve"> and adaptation</w:t>
      </w:r>
      <w:r w:rsidR="008B65C2">
        <w:t xml:space="preserve"> levers</w:t>
      </w:r>
      <w:r>
        <w:t xml:space="preserve"> help</w:t>
      </w:r>
      <w:r w:rsidR="009B3B30">
        <w:t>s</w:t>
      </w:r>
      <w:r>
        <w:t xml:space="preserve"> inform </w:t>
      </w:r>
      <w:r w:rsidR="00270DEF">
        <w:t xml:space="preserve">realistic and achievable </w:t>
      </w:r>
      <w:r w:rsidR="00602643">
        <w:t xml:space="preserve">strategic ambitions outlined in </w:t>
      </w:r>
      <w:hyperlink w:anchor="Stage2" w:history="1">
        <w:r w:rsidR="00CF119D" w:rsidRPr="00C01AF3">
          <w:rPr>
            <w:rStyle w:val="Hyperlink"/>
          </w:rPr>
          <w:t>Stage 2</w:t>
        </w:r>
      </w:hyperlink>
      <w:r w:rsidR="00CF119D">
        <w:t xml:space="preserve"> </w:t>
      </w:r>
      <w:r w:rsidR="00612AD7">
        <w:t>of th</w:t>
      </w:r>
      <w:r w:rsidR="000040F8">
        <w:t>e</w:t>
      </w:r>
      <w:r w:rsidR="00612AD7">
        <w:t xml:space="preserve"> guidance</w:t>
      </w:r>
      <w:r w:rsidR="00602643">
        <w:t>.</w:t>
      </w:r>
      <w:r w:rsidR="00621256">
        <w:t xml:space="preserve"> </w:t>
      </w:r>
      <w:r w:rsidR="005E0DEB">
        <w:t xml:space="preserve">The </w:t>
      </w:r>
      <w:r w:rsidR="005E0DEB" w:rsidRPr="00D73DD0">
        <w:t>TPT Transition Planning Cycle</w:t>
      </w:r>
      <w:r w:rsidR="00210579">
        <w:t xml:space="preserve"> (pages 14</w:t>
      </w:r>
      <w:r w:rsidR="00F87583">
        <w:t>–</w:t>
      </w:r>
      <w:r w:rsidR="00210579">
        <w:t>15)</w:t>
      </w:r>
      <w:r w:rsidR="005E0DEB">
        <w:t xml:space="preserve"> includes further information </w:t>
      </w:r>
      <w:r w:rsidR="00324EDE">
        <w:t xml:space="preserve">on </w:t>
      </w:r>
      <w:r w:rsidR="005E0DEB">
        <w:t xml:space="preserve">how to generally assess </w:t>
      </w:r>
      <w:r w:rsidR="008B65C2">
        <w:t>transition levers</w:t>
      </w:r>
      <w:r w:rsidR="005E0DEB">
        <w:t>, including specific information for financial institutions.</w:t>
      </w:r>
      <w:r w:rsidR="007A70EE">
        <w:t xml:space="preserve"> The </w:t>
      </w:r>
      <w:r w:rsidR="007A70EE" w:rsidRPr="00CF513C">
        <w:t>TPT Transition Planning Cycle</w:t>
      </w:r>
      <w:r w:rsidR="007A70EE">
        <w:t xml:space="preserve"> includes further examples of adaptation actions (page 27).</w:t>
      </w:r>
    </w:p>
    <w:p w14:paraId="0F3CC83E" w14:textId="18DE6523" w:rsidR="00725E0A" w:rsidRDefault="00725E0A">
      <w:pPr>
        <w:spacing w:before="0" w:after="160" w:line="259" w:lineRule="auto"/>
      </w:pPr>
      <w:r>
        <w:br w:type="page"/>
      </w:r>
    </w:p>
    <w:p w14:paraId="54A91599" w14:textId="7F8622B2" w:rsidR="00926B9C" w:rsidRDefault="00725E0A" w:rsidP="00210A14">
      <w:pPr>
        <w:pStyle w:val="Heading3"/>
      </w:pPr>
      <w:r>
        <w:lastRenderedPageBreak/>
        <w:t>T</w:t>
      </w:r>
      <w:r w:rsidR="00C706B8">
        <w:t>ransition levers</w:t>
      </w:r>
    </w:p>
    <w:p w14:paraId="6CCE42F0" w14:textId="6FEC06F6" w:rsidR="00926B9C" w:rsidRDefault="00210A14" w:rsidP="00DB6514">
      <w:pPr>
        <w:pStyle w:val="Bullet"/>
        <w:numPr>
          <w:ilvl w:val="0"/>
          <w:numId w:val="0"/>
        </w:numPr>
      </w:pPr>
      <w:r>
        <w:t xml:space="preserve">The </w:t>
      </w:r>
      <w:r w:rsidR="006A57DE">
        <w:t>transition levers</w:t>
      </w:r>
      <w:r>
        <w:t xml:space="preserve"> </w:t>
      </w:r>
      <w:r w:rsidR="00733448">
        <w:t>are the mitigation actions</w:t>
      </w:r>
      <w:r w:rsidR="00EA3E2E">
        <w:t xml:space="preserve"> (outlined in </w:t>
      </w:r>
      <w:hyperlink w:anchor="Stage3" w:history="1">
        <w:r w:rsidR="00EA3E2E" w:rsidRPr="00836369">
          <w:rPr>
            <w:rStyle w:val="Hyperlink"/>
          </w:rPr>
          <w:t>Stage 3</w:t>
        </w:r>
      </w:hyperlink>
      <w:r w:rsidR="00EA3E2E">
        <w:t>)</w:t>
      </w:r>
      <w:r w:rsidR="00733448">
        <w:t xml:space="preserve"> </w:t>
      </w:r>
      <w:r>
        <w:t xml:space="preserve">available to an organisation </w:t>
      </w:r>
      <w:r w:rsidR="00733448">
        <w:t xml:space="preserve">and </w:t>
      </w:r>
      <w:r>
        <w:t xml:space="preserve">will vary by sector, region, </w:t>
      </w:r>
      <w:r w:rsidR="00ED548E">
        <w:t xml:space="preserve">and </w:t>
      </w:r>
      <w:r>
        <w:t xml:space="preserve">emissions sources. </w:t>
      </w:r>
      <w:r w:rsidR="008E4830" w:rsidRPr="003E1B5D">
        <w:t>Transition levers may include electrification, renewable energy, energy efficiency, operational practices, innovation and other emission reduction measures.</w:t>
      </w:r>
    </w:p>
    <w:p w14:paraId="03923A5A" w14:textId="7EF55573" w:rsidR="009F7D71" w:rsidRDefault="009F7D71" w:rsidP="007915AC">
      <w:r>
        <w:t xml:space="preserve">Organisations </w:t>
      </w:r>
      <w:r w:rsidR="008A6412">
        <w:t>can</w:t>
      </w:r>
      <w:r>
        <w:t xml:space="preserve"> refer to</w:t>
      </w:r>
      <w:r w:rsidDel="008A791A">
        <w:t xml:space="preserve"> </w:t>
      </w:r>
      <w:r w:rsidR="0000037A">
        <w:t xml:space="preserve">the </w:t>
      </w:r>
      <w:r w:rsidRPr="00A24562">
        <w:t>Net Zero Plan</w:t>
      </w:r>
      <w:r>
        <w:t xml:space="preserve"> and associated </w:t>
      </w:r>
      <w:r w:rsidRPr="000C2EB3">
        <w:t xml:space="preserve">sector </w:t>
      </w:r>
      <w:r w:rsidR="008449BB">
        <w:t xml:space="preserve">emissions reduction </w:t>
      </w:r>
      <w:r w:rsidRPr="000C2EB3">
        <w:t>plans</w:t>
      </w:r>
      <w:r>
        <w:t xml:space="preserve"> </w:t>
      </w:r>
      <w:r w:rsidR="00324EDE">
        <w:t>to help</w:t>
      </w:r>
      <w:r>
        <w:t xml:space="preserve"> understand the </w:t>
      </w:r>
      <w:r w:rsidR="00FC32C6">
        <w:t>possible actions</w:t>
      </w:r>
      <w:r>
        <w:t xml:space="preserve"> available to them. The Net Zero Plan outlines Australia</w:t>
      </w:r>
      <w:r w:rsidR="00963E59">
        <w:t>’</w:t>
      </w:r>
      <w:r>
        <w:t xml:space="preserve">s strategy </w:t>
      </w:r>
      <w:r w:rsidR="00983D0B">
        <w:t>for</w:t>
      </w:r>
      <w:r>
        <w:t xml:space="preserve"> an orderly and efficient transition. The sector plans summarise the state of emissions in each sector and identify </w:t>
      </w:r>
      <w:r w:rsidR="0044559D">
        <w:t>short</w:t>
      </w:r>
      <w:r w:rsidR="00963E59">
        <w:noBreakHyphen/>
      </w:r>
      <w:r w:rsidR="0044559D">
        <w:t>, medium</w:t>
      </w:r>
      <w:r w:rsidR="00963E59">
        <w:noBreakHyphen/>
      </w:r>
      <w:r w:rsidR="0044559D">
        <w:t xml:space="preserve">, and </w:t>
      </w:r>
      <w:r>
        <w:t>long</w:t>
      </w:r>
      <w:r w:rsidR="00963E59">
        <w:noBreakHyphen/>
      </w:r>
      <w:r>
        <w:t xml:space="preserve">term opportunities for abatement. The </w:t>
      </w:r>
      <w:r w:rsidR="00326E77">
        <w:t>six</w:t>
      </w:r>
      <w:r w:rsidR="001A0CCC">
        <w:t xml:space="preserve"> </w:t>
      </w:r>
      <w:r>
        <w:t xml:space="preserve">plans are: </w:t>
      </w:r>
    </w:p>
    <w:p w14:paraId="02AFBB86" w14:textId="77777777" w:rsidR="00C01AF3" w:rsidRDefault="00C01AF3" w:rsidP="00DB6514">
      <w:pPr>
        <w:pStyle w:val="Bullet"/>
      </w:pPr>
      <w:hyperlink r:id="rId94" w:history="1">
        <w:r w:rsidRPr="00522288">
          <w:rPr>
            <w:rStyle w:val="Hyperlink"/>
          </w:rPr>
          <w:t>electricity and energy</w:t>
        </w:r>
      </w:hyperlink>
      <w:r>
        <w:t xml:space="preserve"> </w:t>
      </w:r>
    </w:p>
    <w:p w14:paraId="2AB9BA4E" w14:textId="77777777" w:rsidR="00C01AF3" w:rsidRDefault="00C01AF3" w:rsidP="00DB6514">
      <w:pPr>
        <w:pStyle w:val="Bullet"/>
      </w:pPr>
      <w:hyperlink r:id="rId95" w:history="1">
        <w:r w:rsidRPr="002B195D">
          <w:rPr>
            <w:rStyle w:val="Hyperlink"/>
          </w:rPr>
          <w:t>industry</w:t>
        </w:r>
      </w:hyperlink>
    </w:p>
    <w:p w14:paraId="322D05C6" w14:textId="77777777" w:rsidR="00C01AF3" w:rsidRDefault="00C01AF3" w:rsidP="00DB6514">
      <w:pPr>
        <w:pStyle w:val="Bullet"/>
      </w:pPr>
      <w:hyperlink r:id="rId96" w:history="1">
        <w:r w:rsidRPr="00A42700">
          <w:rPr>
            <w:rStyle w:val="Hyperlink"/>
          </w:rPr>
          <w:t>built environment</w:t>
        </w:r>
      </w:hyperlink>
    </w:p>
    <w:p w14:paraId="044359B2" w14:textId="77777777" w:rsidR="00C01AF3" w:rsidRDefault="00C01AF3" w:rsidP="00DB6514">
      <w:pPr>
        <w:pStyle w:val="Bullet"/>
      </w:pPr>
      <w:hyperlink r:id="rId97" w:history="1">
        <w:r>
          <w:rPr>
            <w:rStyle w:val="Hyperlink"/>
          </w:rPr>
          <w:t>a</w:t>
        </w:r>
        <w:r w:rsidRPr="001E1601">
          <w:rPr>
            <w:rStyle w:val="Hyperlink"/>
          </w:rPr>
          <w:t>griculture and land</w:t>
        </w:r>
      </w:hyperlink>
    </w:p>
    <w:p w14:paraId="26D4B032" w14:textId="77777777" w:rsidR="00C01AF3" w:rsidRDefault="00C01AF3" w:rsidP="00DB6514">
      <w:pPr>
        <w:pStyle w:val="Bullet"/>
      </w:pPr>
      <w:hyperlink r:id="rId98" w:history="1">
        <w:r w:rsidRPr="00115DBE">
          <w:rPr>
            <w:rStyle w:val="Hyperlink"/>
          </w:rPr>
          <w:t>transport and infrastructure</w:t>
        </w:r>
      </w:hyperlink>
    </w:p>
    <w:p w14:paraId="48784049" w14:textId="77777777" w:rsidR="00C01AF3" w:rsidDel="00A17432" w:rsidRDefault="00C01AF3" w:rsidP="00DB6514">
      <w:pPr>
        <w:pStyle w:val="Bullet"/>
      </w:pPr>
      <w:hyperlink r:id="rId99">
        <w:r w:rsidRPr="2F9922B0">
          <w:rPr>
            <w:rStyle w:val="Hyperlink"/>
          </w:rPr>
          <w:t>resources</w:t>
        </w:r>
      </w:hyperlink>
      <w:r>
        <w:t xml:space="preserve">. </w:t>
      </w:r>
    </w:p>
    <w:p w14:paraId="72AEFBD1" w14:textId="6A84330B" w:rsidR="00795BCA" w:rsidRDefault="00107ADB" w:rsidP="004C5776">
      <w:hyperlink w:anchor="BOX14" w:history="1">
        <w:r w:rsidRPr="00107ADB">
          <w:rPr>
            <w:rStyle w:val="Hyperlink"/>
          </w:rPr>
          <w:t>Box 14</w:t>
        </w:r>
      </w:hyperlink>
      <w:r w:rsidR="00723752">
        <w:t xml:space="preserve"> includes additional </w:t>
      </w:r>
      <w:r w:rsidR="004C6E6A">
        <w:t>resources</w:t>
      </w:r>
      <w:r w:rsidR="00723752">
        <w:t xml:space="preserve"> to help assess transition levers.</w:t>
      </w:r>
    </w:p>
    <w:tbl>
      <w:tblPr>
        <w:tblW w:w="5000" w:type="pct"/>
        <w:shd w:val="clear" w:color="auto" w:fill="F2F2F2"/>
        <w:tblCellMar>
          <w:top w:w="227" w:type="dxa"/>
          <w:left w:w="227" w:type="dxa"/>
          <w:bottom w:w="227" w:type="dxa"/>
          <w:right w:w="227" w:type="dxa"/>
        </w:tblCellMar>
        <w:tblLook w:val="0620" w:firstRow="1" w:lastRow="0" w:firstColumn="0" w:lastColumn="0" w:noHBand="1" w:noVBand="1"/>
      </w:tblPr>
      <w:tblGrid>
        <w:gridCol w:w="9070"/>
      </w:tblGrid>
      <w:tr w:rsidR="002C354C" w:rsidRPr="00963E59" w14:paraId="51088842" w14:textId="77777777" w:rsidTr="00460C3E">
        <w:tc>
          <w:tcPr>
            <w:tcW w:w="5000" w:type="pct"/>
            <w:shd w:val="clear" w:color="auto" w:fill="F2F2F2"/>
            <w:hideMark/>
          </w:tcPr>
          <w:p w14:paraId="15CD6E33" w14:textId="40E69E51" w:rsidR="002C354C" w:rsidRPr="00963E59" w:rsidRDefault="002C354C" w:rsidP="00C97265">
            <w:pPr>
              <w:pStyle w:val="BoxHeading"/>
              <w:keepNext w:val="0"/>
            </w:pPr>
            <w:bookmarkStart w:id="114" w:name="BOX14"/>
            <w:bookmarkStart w:id="115" w:name="_Toc237351144"/>
            <w:bookmarkStart w:id="116" w:name="_Toc233287110"/>
            <w:bookmarkEnd w:id="114"/>
            <w:r w:rsidRPr="00963E59">
              <w:t>Box 1</w:t>
            </w:r>
            <w:r w:rsidR="00A516C8">
              <w:t>4</w:t>
            </w:r>
            <w:r w:rsidRPr="00963E59">
              <w:t>. Supporting resources for assessing transition levers</w:t>
            </w:r>
            <w:bookmarkEnd w:id="115"/>
            <w:bookmarkEnd w:id="116"/>
          </w:p>
          <w:p w14:paraId="050956B3" w14:textId="69F07ADC" w:rsidR="002C354C" w:rsidRPr="00963E59" w:rsidRDefault="002C354C" w:rsidP="00DB6514">
            <w:pPr>
              <w:pStyle w:val="Boxbullet"/>
            </w:pPr>
            <w:r w:rsidRPr="00DB6514">
              <w:rPr>
                <w:b/>
                <w:bCs/>
              </w:rPr>
              <w:t xml:space="preserve">Australian Government </w:t>
            </w:r>
            <w:hyperlink r:id="rId100" w:history="1">
              <w:r w:rsidRPr="00DB6514">
                <w:rPr>
                  <w:rStyle w:val="Hyperlink"/>
                  <w:b/>
                  <w:szCs w:val="22"/>
                </w:rPr>
                <w:t>Sector emissions r</w:t>
              </w:r>
              <w:r w:rsidRPr="00DB6514">
                <w:rPr>
                  <w:rStyle w:val="Hyperlink"/>
                  <w:b/>
                </w:rPr>
                <w:t xml:space="preserve">eduction </w:t>
              </w:r>
              <w:r w:rsidRPr="00DB6514">
                <w:rPr>
                  <w:rStyle w:val="Hyperlink"/>
                  <w:b/>
                  <w:szCs w:val="22"/>
                </w:rPr>
                <w:t>plans</w:t>
              </w:r>
            </w:hyperlink>
            <w:r w:rsidRPr="00963E59">
              <w:t>: help identify opportunities for long-</w:t>
            </w:r>
            <w:r>
              <w:t>‍</w:t>
            </w:r>
            <w:r w:rsidRPr="00963E59">
              <w:t>term abatement across priority sectors.</w:t>
            </w:r>
          </w:p>
          <w:p w14:paraId="524FBF08" w14:textId="7AEB9CC4" w:rsidR="002C354C" w:rsidRPr="00963E59" w:rsidRDefault="002C354C" w:rsidP="00DB6514">
            <w:pPr>
              <w:pStyle w:val="Boxbullet"/>
            </w:pPr>
            <w:r w:rsidRPr="00DB6514">
              <w:rPr>
                <w:b/>
                <w:bCs/>
              </w:rPr>
              <w:t>Australian Industry Energy Transitions Initiative</w:t>
            </w:r>
            <w:r w:rsidRPr="00963E59">
              <w:t xml:space="preserve"> </w:t>
            </w:r>
            <w:hyperlink r:id="rId101" w:history="1">
              <w:r w:rsidRPr="00DB6514">
                <w:rPr>
                  <w:rStyle w:val="Hyperlink"/>
                  <w:b/>
                  <w:bCs/>
                  <w:szCs w:val="22"/>
                </w:rPr>
                <w:t>Pathways to industrial decarbonisation</w:t>
              </w:r>
            </w:hyperlink>
            <w:r w:rsidRPr="00DB6514">
              <w:rPr>
                <w:b/>
                <w:bCs/>
              </w:rPr>
              <w:t>:</w:t>
            </w:r>
            <w:r w:rsidRPr="00963E59">
              <w:t xml:space="preserve"> helps identify possible mitigation actions for the sub-sectors of iron and steel, aluminium, other metals, chemicals and LNG.</w:t>
            </w:r>
          </w:p>
          <w:p w14:paraId="586083FA" w14:textId="77777777" w:rsidR="002C354C" w:rsidRPr="00963E59" w:rsidRDefault="002C354C" w:rsidP="00DB6514">
            <w:pPr>
              <w:pStyle w:val="Boxbullet"/>
            </w:pPr>
            <w:r w:rsidRPr="00DB6514">
              <w:rPr>
                <w:b/>
                <w:bCs/>
              </w:rPr>
              <w:t>IFRS</w:t>
            </w:r>
            <w:r w:rsidRPr="00DB6514">
              <w:rPr>
                <w:b/>
                <w:bCs/>
                <w:i/>
              </w:rPr>
              <w:t xml:space="preserve"> </w:t>
            </w:r>
            <w:hyperlink r:id="rId102">
              <w:r w:rsidRPr="00DB6514">
                <w:rPr>
                  <w:rStyle w:val="Hyperlink"/>
                  <w:b/>
                  <w:bCs/>
                  <w:szCs w:val="22"/>
                </w:rPr>
                <w:t>TPT Sector Summary</w:t>
              </w:r>
            </w:hyperlink>
            <w:r w:rsidRPr="00DB6514">
              <w:rPr>
                <w:b/>
                <w:bCs/>
              </w:rPr>
              <w:t>:</w:t>
            </w:r>
            <w:r w:rsidRPr="00963E59">
              <w:rPr>
                <w:rStyle w:val="FootnoteReference"/>
              </w:rPr>
              <w:endnoteReference w:id="62"/>
            </w:r>
            <w:r w:rsidRPr="00963E59">
              <w:t xml:space="preserve"> suggests actions,</w:t>
            </w:r>
            <w:r w:rsidRPr="00963E59" w:rsidDel="00C3470D">
              <w:t xml:space="preserve"> </w:t>
            </w:r>
            <w:r w:rsidRPr="00963E59">
              <w:t>metrics and targets for over 30 real economy and financial sectors. While the material is aimed at organisations preparing transition plan disclosures, the sector-specific examples may also support transition planning.</w:t>
            </w:r>
          </w:p>
          <w:p w14:paraId="09B3E125" w14:textId="77777777" w:rsidR="002C354C" w:rsidRPr="00963E59" w:rsidRDefault="002C354C" w:rsidP="00DB6514">
            <w:pPr>
              <w:pStyle w:val="Boxbullet"/>
            </w:pPr>
            <w:r w:rsidRPr="00DB6514">
              <w:rPr>
                <w:b/>
                <w:bCs/>
              </w:rPr>
              <w:t xml:space="preserve">Science Based Targets Initiative </w:t>
            </w:r>
            <w:hyperlink r:id="rId103">
              <w:r w:rsidRPr="00DB6514">
                <w:rPr>
                  <w:rStyle w:val="Hyperlink"/>
                  <w:b/>
                  <w:bCs/>
                  <w:szCs w:val="22"/>
                </w:rPr>
                <w:t>Sector Resources Summary</w:t>
              </w:r>
            </w:hyperlink>
            <w:r w:rsidRPr="00DB6514">
              <w:rPr>
                <w:b/>
                <w:bCs/>
              </w:rPr>
              <w:t>:</w:t>
            </w:r>
            <w:r w:rsidRPr="00963E59">
              <w:rPr>
                <w:rStyle w:val="FootnoteReference"/>
              </w:rPr>
              <w:endnoteReference w:id="63"/>
            </w:r>
            <w:r w:rsidRPr="00963E59">
              <w:t xml:space="preserve"> guidance on how to set Science</w:t>
            </w:r>
            <w:r>
              <w:t> </w:t>
            </w:r>
            <w:r w:rsidRPr="00963E59">
              <w:t>Based Targets Initiative-aligned targets for a range of sectors (and subsectors) including built environment, forest, land and agriculture, industry and energy.</w:t>
            </w:r>
          </w:p>
          <w:p w14:paraId="54D0FB51" w14:textId="77777777" w:rsidR="002C354C" w:rsidRPr="00963E59" w:rsidRDefault="002C354C" w:rsidP="00DB6514">
            <w:pPr>
              <w:pStyle w:val="Boxbullet"/>
            </w:pPr>
            <w:r w:rsidRPr="00DB6514">
              <w:rPr>
                <w:b/>
                <w:bCs/>
              </w:rPr>
              <w:t xml:space="preserve">Paris Aligned Investment Initiative </w:t>
            </w:r>
            <w:hyperlink r:id="rId104">
              <w:r w:rsidRPr="00DB6514">
                <w:rPr>
                  <w:rStyle w:val="Hyperlink"/>
                  <w:b/>
                  <w:bCs/>
                  <w:szCs w:val="22"/>
                </w:rPr>
                <w:t>Net Zero Investment Framework 2.0</w:t>
              </w:r>
            </w:hyperlink>
            <w:r w:rsidRPr="00963E59">
              <w:rPr>
                <w:rStyle w:val="FootnoteReference"/>
              </w:rPr>
              <w:endnoteReference w:id="64"/>
            </w:r>
            <w:r w:rsidRPr="00963E59">
              <w:t xml:space="preserve"> and </w:t>
            </w:r>
            <w:r w:rsidRPr="00DB6514">
              <w:rPr>
                <w:b/>
                <w:bCs/>
              </w:rPr>
              <w:t>Investor Group on Climate Change</w:t>
            </w:r>
            <w:r w:rsidRPr="00963E59">
              <w:t xml:space="preserve"> </w:t>
            </w:r>
            <w:hyperlink r:id="rId105">
              <w:r w:rsidRPr="00DB6514">
                <w:rPr>
                  <w:rStyle w:val="Hyperlink"/>
                  <w:b/>
                  <w:bCs/>
                  <w:szCs w:val="22"/>
                </w:rPr>
                <w:t>Net Zero Investment Framework 2.0</w:t>
              </w:r>
            </w:hyperlink>
            <w:r w:rsidRPr="00963E59">
              <w:t>:</w:t>
            </w:r>
            <w:r w:rsidRPr="00963E59">
              <w:rPr>
                <w:rStyle w:val="FootnoteReference"/>
              </w:rPr>
              <w:endnoteReference w:id="65"/>
            </w:r>
            <w:r w:rsidRPr="00963E59">
              <w:t xml:space="preserve"> guidance for investors on transition planning.</w:t>
            </w:r>
          </w:p>
          <w:p w14:paraId="70463913" w14:textId="77777777" w:rsidR="002C354C" w:rsidRPr="00963E59" w:rsidRDefault="002C354C" w:rsidP="00DB6514">
            <w:pPr>
              <w:pStyle w:val="Boxbullet"/>
            </w:pPr>
            <w:r w:rsidRPr="00DB6514">
              <w:rPr>
                <w:b/>
              </w:rPr>
              <w:t>CSIRO and Clean Energy Finance Corporations</w:t>
            </w:r>
            <w:r w:rsidRPr="00963E59">
              <w:t xml:space="preserve"> </w:t>
            </w:r>
            <w:hyperlink r:id="rId106" w:history="1">
              <w:r w:rsidRPr="00DB6514">
                <w:rPr>
                  <w:rStyle w:val="Hyperlink"/>
                  <w:b/>
                  <w:bCs/>
                </w:rPr>
                <w:t>Towards Net Zero Agriculture Pathfinder</w:t>
              </w:r>
            </w:hyperlink>
            <w:r w:rsidRPr="00DB6514">
              <w:rPr>
                <w:b/>
                <w:bCs/>
              </w:rPr>
              <w:t>:</w:t>
            </w:r>
            <w:r w:rsidRPr="00963E59">
              <w:rPr>
                <w:rStyle w:val="FootnoteReference"/>
              </w:rPr>
              <w:endnoteReference w:id="66"/>
            </w:r>
            <w:r w:rsidRPr="00DB6514">
              <w:rPr>
                <w:b/>
                <w:bCs/>
              </w:rPr>
              <w:t xml:space="preserve"> </w:t>
            </w:r>
            <w:r w:rsidRPr="00963E59">
              <w:t>guidance on how to implement on-farm activities that support GHG emissions reductions.</w:t>
            </w:r>
          </w:p>
        </w:tc>
      </w:tr>
    </w:tbl>
    <w:p w14:paraId="58C387AF" w14:textId="46C2D3F0" w:rsidR="00C80282" w:rsidRDefault="00140D8A" w:rsidP="001C0E65">
      <w:pPr>
        <w:keepNext/>
        <w:keepLines/>
      </w:pPr>
      <w:bookmarkStart w:id="117" w:name="BOX15"/>
      <w:bookmarkEnd w:id="117"/>
      <w:r>
        <w:lastRenderedPageBreak/>
        <w:t>As well as</w:t>
      </w:r>
      <w:r w:rsidR="00C80282" w:rsidRPr="00AE4D5E">
        <w:t xml:space="preserve"> national</w:t>
      </w:r>
      <w:r w:rsidR="00C80282">
        <w:t xml:space="preserve"> </w:t>
      </w:r>
      <w:r w:rsidR="00C80282" w:rsidRPr="00AE4D5E">
        <w:t xml:space="preserve">frameworks, organisations </w:t>
      </w:r>
      <w:r>
        <w:t>can</w:t>
      </w:r>
      <w:r w:rsidRPr="00AE4D5E">
        <w:t xml:space="preserve"> </w:t>
      </w:r>
      <w:r w:rsidR="00C80282" w:rsidRPr="00AE4D5E">
        <w:t xml:space="preserve">align with </w:t>
      </w:r>
      <w:r>
        <w:t xml:space="preserve">– </w:t>
      </w:r>
      <w:r w:rsidR="00C80282" w:rsidRPr="00AE4D5E">
        <w:t xml:space="preserve">and benefit from </w:t>
      </w:r>
      <w:r>
        <w:t xml:space="preserve">– </w:t>
      </w:r>
      <w:r w:rsidR="00C80282" w:rsidRPr="00AE4D5E">
        <w:t>state and territory climate strategies, plans</w:t>
      </w:r>
      <w:r w:rsidR="00C80282" w:rsidRPr="00AE4D5E" w:rsidDel="00D964E5">
        <w:t xml:space="preserve"> </w:t>
      </w:r>
      <w:r>
        <w:t xml:space="preserve">and </w:t>
      </w:r>
      <w:r w:rsidR="00C80282" w:rsidRPr="00AE4D5E">
        <w:t>programs.</w:t>
      </w:r>
    </w:p>
    <w:p w14:paraId="16108E70" w14:textId="77777777" w:rsidR="00C01AF3" w:rsidRDefault="00C01AF3" w:rsidP="001C0E65">
      <w:pPr>
        <w:pStyle w:val="Bullet"/>
        <w:keepNext/>
        <w:keepLines/>
      </w:pPr>
      <w:r w:rsidRPr="00AE4D5E">
        <w:t>NSW</w:t>
      </w:r>
      <w:r>
        <w:t>’</w:t>
      </w:r>
      <w:r w:rsidRPr="00AE4D5E">
        <w:t xml:space="preserve">s </w:t>
      </w:r>
      <w:hyperlink r:id="rId107" w:history="1">
        <w:r w:rsidRPr="00CF119D">
          <w:rPr>
            <w:rStyle w:val="Hyperlink"/>
          </w:rPr>
          <w:t>Climate Change Fund</w:t>
        </w:r>
      </w:hyperlink>
      <w:r w:rsidRPr="00760C98">
        <w:rPr>
          <w:rStyle w:val="FootnoteReference"/>
        </w:rPr>
        <w:endnoteReference w:id="67"/>
      </w:r>
      <w:r w:rsidRPr="00AE4D5E">
        <w:t xml:space="preserve"> and associated business grants support clean technology adoption, energy transitions and decarbonisation initiatives</w:t>
      </w:r>
      <w:r>
        <w:t>.</w:t>
      </w:r>
    </w:p>
    <w:p w14:paraId="14351AB5" w14:textId="77777777" w:rsidR="00C01AF3" w:rsidRDefault="00C01AF3" w:rsidP="00DB6514">
      <w:pPr>
        <w:pStyle w:val="Bullet"/>
      </w:pPr>
      <w:r w:rsidRPr="00AE4D5E">
        <w:t>Tasmania</w:t>
      </w:r>
      <w:r>
        <w:t>’</w:t>
      </w:r>
      <w:r w:rsidRPr="00AE4D5E">
        <w:t>s</w:t>
      </w:r>
      <w:r>
        <w:t xml:space="preserve"> </w:t>
      </w:r>
      <w:hyperlink r:id="rId108">
        <w:r w:rsidRPr="58601017">
          <w:rPr>
            <w:rStyle w:val="Hyperlink"/>
          </w:rPr>
          <w:t>Adapting your business to climate change</w:t>
        </w:r>
      </w:hyperlink>
      <w:r w:rsidRPr="00760C98">
        <w:rPr>
          <w:rStyle w:val="FootnoteReference"/>
        </w:rPr>
        <w:endnoteReference w:id="68"/>
      </w:r>
      <w:r w:rsidRPr="00AE4D5E">
        <w:t xml:space="preserve"> </w:t>
      </w:r>
      <w:r w:rsidRPr="00B37266">
        <w:t>web</w:t>
      </w:r>
      <w:r>
        <w:t>site provides a range of resources to</w:t>
      </w:r>
      <w:r w:rsidRPr="00AE4D5E">
        <w:t xml:space="preserve"> help small to medium enterprises reduce emissions and build resilience</w:t>
      </w:r>
      <w:r>
        <w:t xml:space="preserve">. </w:t>
      </w:r>
    </w:p>
    <w:p w14:paraId="544E5830" w14:textId="77777777" w:rsidR="00C01AF3" w:rsidRDefault="00C01AF3" w:rsidP="00DB6514">
      <w:pPr>
        <w:pStyle w:val="Bullet"/>
      </w:pPr>
      <w:r w:rsidRPr="00AE4D5E">
        <w:t>A</w:t>
      </w:r>
      <w:r>
        <w:t>ustralian Capital Territory’</w:t>
      </w:r>
      <w:r w:rsidRPr="00AE4D5E">
        <w:t xml:space="preserve">s </w:t>
      </w:r>
      <w:hyperlink r:id="rId109" w:history="1">
        <w:r w:rsidRPr="00CF119D">
          <w:rPr>
            <w:rStyle w:val="Hyperlink"/>
          </w:rPr>
          <w:t>Sustainable Business Program</w:t>
        </w:r>
      </w:hyperlink>
      <w:r w:rsidRPr="00760C98">
        <w:rPr>
          <w:rStyle w:val="FootnoteReference"/>
        </w:rPr>
        <w:endnoteReference w:id="69"/>
      </w:r>
      <w:r w:rsidRPr="002A1544">
        <w:rPr>
          <w:rStyle w:val="FootnoteReference"/>
          <w:sz w:val="22"/>
          <w:szCs w:val="22"/>
        </w:rPr>
        <w:t xml:space="preserve"> </w:t>
      </w:r>
      <w:r w:rsidRPr="00AE4D5E">
        <w:t>provides energy efficiency rebates</w:t>
      </w:r>
      <w:r>
        <w:t>.</w:t>
      </w:r>
    </w:p>
    <w:p w14:paraId="5C99F962" w14:textId="77777777" w:rsidR="00C01AF3" w:rsidRDefault="00C01AF3" w:rsidP="00DB6514">
      <w:pPr>
        <w:pStyle w:val="Bullet"/>
      </w:pPr>
      <w:r w:rsidRPr="00C45555">
        <w:t>Queensland</w:t>
      </w:r>
      <w:r>
        <w:t>’</w:t>
      </w:r>
      <w:r w:rsidRPr="00C45555">
        <w:t xml:space="preserve">s </w:t>
      </w:r>
      <w:hyperlink r:id="rId110" w:history="1">
        <w:r w:rsidRPr="00CF119D">
          <w:rPr>
            <w:rStyle w:val="Hyperlink"/>
          </w:rPr>
          <w:t>Business Energy Savers Program</w:t>
        </w:r>
      </w:hyperlink>
      <w:r w:rsidRPr="00760C98">
        <w:rPr>
          <w:rStyle w:val="FootnoteReference"/>
        </w:rPr>
        <w:endnoteReference w:id="70"/>
      </w:r>
      <w:r w:rsidRPr="00C45555">
        <w:t xml:space="preserve"> offers</w:t>
      </w:r>
      <w:r>
        <w:t xml:space="preserve"> a range of programs </w:t>
      </w:r>
      <w:r w:rsidRPr="00C8366E">
        <w:t>designed to help businesses save energy and adopt energy</w:t>
      </w:r>
      <w:r>
        <w:noBreakHyphen/>
      </w:r>
      <w:r w:rsidRPr="00C8366E">
        <w:t>efficient practices</w:t>
      </w:r>
      <w:r>
        <w:t>.</w:t>
      </w:r>
    </w:p>
    <w:p w14:paraId="1A011D8A" w14:textId="77777777" w:rsidR="00C01AF3" w:rsidRDefault="00C01AF3" w:rsidP="00DB6514">
      <w:pPr>
        <w:pStyle w:val="Bullet"/>
      </w:pPr>
      <w:r>
        <w:t>The</w:t>
      </w:r>
      <w:r w:rsidRPr="00B129DE">
        <w:rPr>
          <w:rFonts w:ascii="Arial" w:hAnsi="Arial" w:cs="Arial"/>
        </w:rPr>
        <w:t> </w:t>
      </w:r>
      <w:hyperlink r:id="rId111" w:history="1">
        <w:r w:rsidRPr="00CF119D">
          <w:rPr>
            <w:rStyle w:val="Hyperlink"/>
          </w:rPr>
          <w:t>Victorian Energy Upgrades</w:t>
        </w:r>
        <w:r w:rsidRPr="00CF119D">
          <w:rPr>
            <w:rStyle w:val="Hyperlink"/>
            <w:rFonts w:ascii="Arial" w:hAnsi="Arial" w:cs="Arial"/>
          </w:rPr>
          <w:t> </w:t>
        </w:r>
        <w:r w:rsidRPr="00CF119D">
          <w:rPr>
            <w:rStyle w:val="Hyperlink"/>
          </w:rPr>
          <w:t>program</w:t>
        </w:r>
      </w:hyperlink>
      <w:r w:rsidRPr="00760C98">
        <w:rPr>
          <w:rStyle w:val="FootnoteReference"/>
        </w:rPr>
        <w:endnoteReference w:id="71"/>
      </w:r>
      <w:r>
        <w:t xml:space="preserve"> helps businesses save energy and money with a range of discounts and special offers from accredited providers on selected energy</w:t>
      </w:r>
      <w:r>
        <w:noBreakHyphen/>
        <w:t>saving products and services.</w:t>
      </w:r>
    </w:p>
    <w:p w14:paraId="37D6F10E" w14:textId="77777777" w:rsidR="00C01AF3" w:rsidRDefault="00C01AF3" w:rsidP="00DB6514">
      <w:pPr>
        <w:pStyle w:val="Bullet"/>
      </w:pPr>
      <w:r w:rsidRPr="00C45555">
        <w:t>Western Australia</w:t>
      </w:r>
      <w:r>
        <w:t>’</w:t>
      </w:r>
      <w:r w:rsidRPr="00C45555">
        <w:t>s</w:t>
      </w:r>
      <w:r w:rsidRPr="006D5F24">
        <w:t xml:space="preserve"> </w:t>
      </w:r>
      <w:hyperlink r:id="rId112">
        <w:r w:rsidRPr="58601017">
          <w:rPr>
            <w:rStyle w:val="Hyperlink"/>
          </w:rPr>
          <w:t>Clean Energy Future Fund</w:t>
        </w:r>
      </w:hyperlink>
      <w:r w:rsidRPr="00760C98">
        <w:rPr>
          <w:rStyle w:val="FootnoteReference"/>
        </w:rPr>
        <w:endnoteReference w:id="72"/>
      </w:r>
      <w:r w:rsidRPr="006D5F24">
        <w:t xml:space="preserve"> support</w:t>
      </w:r>
      <w:r>
        <w:t>s</w:t>
      </w:r>
      <w:r w:rsidRPr="006D5F24">
        <w:t xml:space="preserve"> clean energy investment, innovation and decarbonisation projects, including for industry and resources sectors.</w:t>
      </w:r>
    </w:p>
    <w:p w14:paraId="4BEA6939" w14:textId="77777777" w:rsidR="00C01AF3" w:rsidRDefault="00C01AF3" w:rsidP="00DB6514">
      <w:pPr>
        <w:pStyle w:val="Bullet"/>
      </w:pPr>
      <w:r>
        <w:t xml:space="preserve">South Australia’s </w:t>
      </w:r>
      <w:hyperlink r:id="rId113" w:history="1">
        <w:r w:rsidRPr="00CF119D">
          <w:rPr>
            <w:rStyle w:val="Hyperlink"/>
          </w:rPr>
          <w:t>Retailer Energy Productivity Scheme</w:t>
        </w:r>
      </w:hyperlink>
      <w:r w:rsidRPr="00760C98">
        <w:rPr>
          <w:rStyle w:val="FootnoteReference"/>
        </w:rPr>
        <w:endnoteReference w:id="73"/>
      </w:r>
      <w:r w:rsidRPr="00731220">
        <w:rPr>
          <w:rStyle w:val="FootnoteReference"/>
        </w:rPr>
        <w:t xml:space="preserve"> </w:t>
      </w:r>
      <w:r w:rsidRPr="00303348">
        <w:t>support</w:t>
      </w:r>
      <w:r>
        <w:t>s</w:t>
      </w:r>
      <w:r w:rsidRPr="00303348">
        <w:t xml:space="preserve"> businesses to identify and implement energy</w:t>
      </w:r>
      <w:r>
        <w:noBreakHyphen/>
      </w:r>
      <w:r w:rsidRPr="00303348">
        <w:t>saving and emissions</w:t>
      </w:r>
      <w:r>
        <w:noBreakHyphen/>
      </w:r>
      <w:r w:rsidRPr="00303348">
        <w:t>reduction opportunities</w:t>
      </w:r>
      <w:r>
        <w:t>.</w:t>
      </w:r>
    </w:p>
    <w:p w14:paraId="7AD37FF4" w14:textId="10E88232" w:rsidR="00C01AF3" w:rsidRPr="00C80282" w:rsidRDefault="00C01AF3" w:rsidP="00DB6514">
      <w:pPr>
        <w:pStyle w:val="Bullet"/>
      </w:pPr>
      <w:r w:rsidRPr="00C45555">
        <w:t>Northern Territory</w:t>
      </w:r>
      <w:r>
        <w:t>’</w:t>
      </w:r>
      <w:r w:rsidRPr="00C45555">
        <w:t>s</w:t>
      </w:r>
      <w:hyperlink r:id="rId114" w:history="1">
        <w:r w:rsidR="00E949B0">
          <w:rPr>
            <w:rStyle w:val="Hyperlink"/>
          </w:rPr>
          <w:t xml:space="preserve"> Climate Resilience Plan</w:t>
        </w:r>
      </w:hyperlink>
      <w:r w:rsidRPr="00760C98">
        <w:rPr>
          <w:rStyle w:val="FootnoteReference"/>
        </w:rPr>
        <w:endnoteReference w:id="74"/>
      </w:r>
      <w:r w:rsidRPr="00731220">
        <w:rPr>
          <w:rStyle w:val="FootnoteReference"/>
        </w:rPr>
        <w:t xml:space="preserve"> </w:t>
      </w:r>
      <w:r w:rsidRPr="00FA0CB8">
        <w:t>sets emissions</w:t>
      </w:r>
      <w:r>
        <w:noBreakHyphen/>
      </w:r>
      <w:r w:rsidRPr="00FA0CB8">
        <w:t>reduction and resilience objectives relevant to business planning.</w:t>
      </w:r>
    </w:p>
    <w:p w14:paraId="1EE0A216" w14:textId="6614505D" w:rsidR="00C01AF3" w:rsidRPr="00C80282" w:rsidRDefault="00C01AF3" w:rsidP="00C01AF3">
      <w:r>
        <w:t>Organisations can consider use of carbon credits and Renewable Energy Certificates (RECs) when thinking about transition levers (see</w:t>
      </w:r>
      <w:r w:rsidDel="001E3B15">
        <w:t xml:space="preserve"> </w:t>
      </w:r>
      <w:hyperlink w:anchor="stage3dot7" w:history="1">
        <w:r w:rsidRPr="00CF119D">
          <w:rPr>
            <w:rStyle w:val="Hyperlink"/>
          </w:rPr>
          <w:t>section 3.7</w:t>
        </w:r>
      </w:hyperlink>
      <w:r>
        <w:t xml:space="preserve"> for more information).</w:t>
      </w:r>
    </w:p>
    <w:p w14:paraId="46B0095A" w14:textId="2D2773A2" w:rsidR="008E2636" w:rsidRDefault="008E2636" w:rsidP="008E2636">
      <w:r>
        <w:t>Organisations can also keep updated on any sector emissions reduction plans or equivalent developed by non</w:t>
      </w:r>
      <w:r w:rsidR="00963E59">
        <w:noBreakHyphen/>
      </w:r>
      <w:r>
        <w:t xml:space="preserve">government bodies to understand transition levers at a more granular level. </w:t>
      </w:r>
    </w:p>
    <w:p w14:paraId="04CDA4AD" w14:textId="3F2B209C" w:rsidR="008D0E4D" w:rsidRDefault="008D0E4D" w:rsidP="00FA73CA">
      <w:pPr>
        <w:pStyle w:val="Heading4"/>
      </w:pPr>
      <w:bookmarkStart w:id="118" w:name="BOX16"/>
      <w:bookmarkEnd w:id="118"/>
      <w:r>
        <w:t xml:space="preserve">Using the Australian Sustainable Finance Taxonomy </w:t>
      </w:r>
    </w:p>
    <w:p w14:paraId="2E4ED189" w14:textId="625E9A85" w:rsidR="000C7953" w:rsidRDefault="000C7953" w:rsidP="000C7953">
      <w:r>
        <w:t xml:space="preserve">Organisations </w:t>
      </w:r>
      <w:r w:rsidR="0021609C">
        <w:t>may refer to</w:t>
      </w:r>
      <w:r w:rsidR="00010C95">
        <w:t xml:space="preserve"> </w:t>
      </w:r>
      <w:hyperlink r:id="rId115" w:history="1">
        <w:r w:rsidR="00010C95" w:rsidRPr="00685650">
          <w:rPr>
            <w:rStyle w:val="Hyperlink"/>
          </w:rPr>
          <w:t>Australia</w:t>
        </w:r>
        <w:r w:rsidR="00963E59" w:rsidRPr="00685650">
          <w:rPr>
            <w:rStyle w:val="Hyperlink"/>
          </w:rPr>
          <w:t>’</w:t>
        </w:r>
        <w:r w:rsidR="00010C95" w:rsidRPr="00685650">
          <w:rPr>
            <w:rStyle w:val="Hyperlink"/>
          </w:rPr>
          <w:t>s Sustainable Finance Taxonomy</w:t>
        </w:r>
      </w:hyperlink>
      <w:r w:rsidR="00C45555">
        <w:t xml:space="preserve"> to</w:t>
      </w:r>
      <w:r w:rsidR="0021609C">
        <w:t xml:space="preserve"> help</w:t>
      </w:r>
      <w:r w:rsidR="00C45555">
        <w:t xml:space="preserve"> identify </w:t>
      </w:r>
      <w:r w:rsidR="002553B4">
        <w:t>transition levers</w:t>
      </w:r>
      <w:r w:rsidR="00C45555">
        <w:t>.</w:t>
      </w:r>
      <w:r>
        <w:t xml:space="preserve"> </w:t>
      </w:r>
    </w:p>
    <w:p w14:paraId="60332A22" w14:textId="1514F642" w:rsidR="008D0E4D" w:rsidRDefault="008D0E4D" w:rsidP="008D0E4D">
      <w:r w:rsidRPr="007D1EFF">
        <w:t xml:space="preserve">A sustainable finance taxonomy is a framework </w:t>
      </w:r>
      <w:r>
        <w:t xml:space="preserve">that can be used </w:t>
      </w:r>
      <w:r w:rsidRPr="007D1EFF">
        <w:t>to classify</w:t>
      </w:r>
      <w:r w:rsidRPr="007D1EFF" w:rsidDel="000F33B2">
        <w:t xml:space="preserve"> </w:t>
      </w:r>
      <w:r w:rsidRPr="007D1EFF">
        <w:t>activities that contribute positively to a sustainability objective, such as climate change mitigation and adaptation. Taxonomies establish a common definition of wh</w:t>
      </w:r>
      <w:r w:rsidR="00D4021A">
        <w:t>ich</w:t>
      </w:r>
      <w:r w:rsidRPr="007D1EFF">
        <w:t xml:space="preserve"> activities are considered sustainable to encourage credible and comparable information.</w:t>
      </w:r>
    </w:p>
    <w:p w14:paraId="7BEC7DA4" w14:textId="58AC40D9" w:rsidR="008D0E4D" w:rsidRDefault="008D0E4D" w:rsidP="008D0E4D">
      <w:r>
        <w:t xml:space="preserve">The Australian Taxonomy is a voluntary tool </w:t>
      </w:r>
      <w:r w:rsidR="00394FCB">
        <w:t>developed by the Australian Sustainable Finance Institute</w:t>
      </w:r>
      <w:r w:rsidR="00C132E8">
        <w:t xml:space="preserve">. </w:t>
      </w:r>
      <w:r w:rsidR="0066510F">
        <w:t xml:space="preserve">The taxonomy </w:t>
      </w:r>
      <w:r>
        <w:t xml:space="preserve">comprises technical screening criteria for activities in </w:t>
      </w:r>
      <w:r w:rsidR="00C132E8">
        <w:t>six </w:t>
      </w:r>
      <w:r>
        <w:t xml:space="preserve">priority sectors against the objective of climate change mitigation. </w:t>
      </w:r>
      <w:r w:rsidR="000A29FB">
        <w:t>It</w:t>
      </w:r>
      <w:r>
        <w:t xml:space="preserve"> is a non</w:t>
      </w:r>
      <w:r w:rsidR="00963E59">
        <w:noBreakHyphen/>
      </w:r>
      <w:r>
        <w:t xml:space="preserve">exhaustive list of priority activities that contribute to climate change mitigation. The </w:t>
      </w:r>
      <w:r w:rsidR="00C132E8">
        <w:t xml:space="preserve">six </w:t>
      </w:r>
      <w:r>
        <w:t xml:space="preserve">taxonomy sectors </w:t>
      </w:r>
      <w:r w:rsidR="009B0652">
        <w:t xml:space="preserve">align with the scope of the sector emissions </w:t>
      </w:r>
      <w:r w:rsidR="00F434A1">
        <w:t xml:space="preserve">reduction </w:t>
      </w:r>
      <w:r w:rsidR="009B0652">
        <w:t>plans and include</w:t>
      </w:r>
      <w:r>
        <w:t xml:space="preserve">: </w:t>
      </w:r>
    </w:p>
    <w:p w14:paraId="3A9D0147" w14:textId="43BB44BC" w:rsidR="008D0E4D" w:rsidRPr="00731220" w:rsidRDefault="00834A8C" w:rsidP="00DB6514">
      <w:pPr>
        <w:pStyle w:val="Bullet"/>
      </w:pPr>
      <w:r>
        <w:t>a</w:t>
      </w:r>
      <w:r w:rsidR="008D0E4D" w:rsidRPr="00731220">
        <w:t>griculture and land</w:t>
      </w:r>
    </w:p>
    <w:p w14:paraId="3446CEA5" w14:textId="166CBCEE" w:rsidR="008D0E4D" w:rsidRPr="00731220" w:rsidRDefault="00834A8C" w:rsidP="00DB6514">
      <w:pPr>
        <w:pStyle w:val="Bullet"/>
      </w:pPr>
      <w:r>
        <w:t>m</w:t>
      </w:r>
      <w:r w:rsidR="008D0E4D" w:rsidRPr="00731220">
        <w:t xml:space="preserve">inerals, mining and metals </w:t>
      </w:r>
    </w:p>
    <w:p w14:paraId="1B725F38" w14:textId="5E629B5E" w:rsidR="008D0E4D" w:rsidRPr="00731220" w:rsidRDefault="00834A8C" w:rsidP="00DB6514">
      <w:pPr>
        <w:pStyle w:val="Bullet"/>
      </w:pPr>
      <w:r>
        <w:t>m</w:t>
      </w:r>
      <w:r w:rsidR="008D0E4D" w:rsidRPr="00731220">
        <w:t xml:space="preserve">anufacturing and industry </w:t>
      </w:r>
    </w:p>
    <w:p w14:paraId="0DBBA191" w14:textId="7B2929FD" w:rsidR="008D0E4D" w:rsidRPr="00731220" w:rsidRDefault="00834A8C" w:rsidP="00DB6514">
      <w:pPr>
        <w:pStyle w:val="Bullet"/>
      </w:pPr>
      <w:r>
        <w:t>e</w:t>
      </w:r>
      <w:r w:rsidR="008D0E4D" w:rsidRPr="00731220">
        <w:t xml:space="preserve">lectricity generation and supply </w:t>
      </w:r>
    </w:p>
    <w:p w14:paraId="7231F052" w14:textId="3DFDEE3A" w:rsidR="008D0E4D" w:rsidRPr="00731220" w:rsidRDefault="00834A8C" w:rsidP="00DB6514">
      <w:pPr>
        <w:pStyle w:val="Bullet"/>
      </w:pPr>
      <w:r>
        <w:t>c</w:t>
      </w:r>
      <w:r w:rsidR="008D0E4D" w:rsidRPr="00731220">
        <w:t>onstruction and buildings</w:t>
      </w:r>
    </w:p>
    <w:p w14:paraId="00DD5FEC" w14:textId="311569CA" w:rsidR="008D0E4D" w:rsidRPr="00731220" w:rsidRDefault="00834A8C" w:rsidP="00DB6514">
      <w:pPr>
        <w:pStyle w:val="Bullet"/>
      </w:pPr>
      <w:r>
        <w:t>t</w:t>
      </w:r>
      <w:r w:rsidR="008D0E4D" w:rsidRPr="00731220">
        <w:t>ransport</w:t>
      </w:r>
      <w:r w:rsidR="008A4C7C">
        <w:t>.</w:t>
      </w:r>
    </w:p>
    <w:p w14:paraId="47B58407" w14:textId="0EF94A17" w:rsidR="008D0E4D" w:rsidRDefault="008D0E4D" w:rsidP="001C0E65">
      <w:pPr>
        <w:keepNext/>
        <w:keepLines/>
      </w:pPr>
      <w:r>
        <w:lastRenderedPageBreak/>
        <w:t>In</w:t>
      </w:r>
      <w:r w:rsidR="00963E59">
        <w:noBreakHyphen/>
      </w:r>
      <w:r>
        <w:t xml:space="preserve">scope activities have </w:t>
      </w:r>
      <w:r w:rsidR="00963E59">
        <w:t>‘</w:t>
      </w:r>
      <w:r>
        <w:t>green</w:t>
      </w:r>
      <w:r w:rsidR="00963E59">
        <w:t>’</w:t>
      </w:r>
      <w:r>
        <w:t xml:space="preserve"> or </w:t>
      </w:r>
      <w:r w:rsidR="00963E59">
        <w:t>‘</w:t>
      </w:r>
      <w:r>
        <w:t>transition</w:t>
      </w:r>
      <w:r w:rsidR="00963E59">
        <w:t>’</w:t>
      </w:r>
      <w:r>
        <w:t xml:space="preserve"> criteria: </w:t>
      </w:r>
    </w:p>
    <w:p w14:paraId="7774AA03" w14:textId="4D0F107B" w:rsidR="00E84ABD" w:rsidRDefault="00E84ABD" w:rsidP="001C0E65">
      <w:pPr>
        <w:pStyle w:val="Bullet"/>
        <w:keepNext/>
        <w:keepLines/>
        <w:rPr>
          <w:rFonts w:ascii="Aptos" w:hAnsi="Aptos"/>
          <w:lang w:eastAsia="zh-CN"/>
        </w:rPr>
      </w:pPr>
      <w:r>
        <w:rPr>
          <w:lang w:eastAsia="en-US"/>
        </w:rPr>
        <w:t xml:space="preserve">A </w:t>
      </w:r>
      <w:r>
        <w:rPr>
          <w:b/>
          <w:bCs/>
          <w:lang w:eastAsia="en-US"/>
        </w:rPr>
        <w:t>green</w:t>
      </w:r>
      <w:r>
        <w:rPr>
          <w:lang w:eastAsia="en-US"/>
        </w:rPr>
        <w:t xml:space="preserve"> classification includes activities that are aligned with the Paris Agreement goal to limit the increase in the global average temperature to well below 2</w:t>
      </w:r>
      <w:r w:rsidR="000C06FD">
        <w:rPr>
          <w:lang w:eastAsia="en-US"/>
        </w:rPr>
        <w:t xml:space="preserve"> </w:t>
      </w:r>
      <w:r>
        <w:rPr>
          <w:lang w:eastAsia="en-US"/>
        </w:rPr>
        <w:t>°C and pursue efforts to limit the temperature increase to 1.5</w:t>
      </w:r>
      <w:r w:rsidR="000C06FD">
        <w:rPr>
          <w:lang w:eastAsia="en-US"/>
        </w:rPr>
        <w:t xml:space="preserve"> </w:t>
      </w:r>
      <w:r>
        <w:rPr>
          <w:lang w:eastAsia="en-US"/>
        </w:rPr>
        <w:t>°C above pre</w:t>
      </w:r>
      <w:r w:rsidR="00963E59">
        <w:rPr>
          <w:lang w:eastAsia="en-US"/>
        </w:rPr>
        <w:noBreakHyphen/>
      </w:r>
      <w:r>
        <w:rPr>
          <w:lang w:eastAsia="en-US"/>
        </w:rPr>
        <w:t xml:space="preserve">industrial levels. </w:t>
      </w:r>
    </w:p>
    <w:p w14:paraId="48B27C5A" w14:textId="34CE8DCC" w:rsidR="008D0E4D" w:rsidRDefault="008D0E4D" w:rsidP="001C0E65">
      <w:pPr>
        <w:pStyle w:val="Bullet"/>
        <w:keepNext/>
        <w:keepLines/>
      </w:pPr>
      <w:r>
        <w:t xml:space="preserve">A </w:t>
      </w:r>
      <w:r w:rsidRPr="009121B0">
        <w:rPr>
          <w:b/>
        </w:rPr>
        <w:t>transition</w:t>
      </w:r>
      <w:r>
        <w:t xml:space="preserve"> classification includes measures that can facilitate movement towards alignment with </w:t>
      </w:r>
      <w:r w:rsidR="00350896">
        <w:t xml:space="preserve">a </w:t>
      </w:r>
      <w:r>
        <w:t>1.5</w:t>
      </w:r>
      <w:r w:rsidRPr="00CE7727">
        <w:t>°C</w:t>
      </w:r>
      <w:r>
        <w:t xml:space="preserve"> pathway</w:t>
      </w:r>
      <w:r w:rsidR="000326CC">
        <w:t>, primarily consisting of low</w:t>
      </w:r>
      <w:r w:rsidR="00963E59">
        <w:noBreakHyphen/>
      </w:r>
      <w:r w:rsidR="000326CC">
        <w:t xml:space="preserve">carbon technologies, input and practices that can </w:t>
      </w:r>
      <w:r w:rsidR="00D21670">
        <w:t xml:space="preserve">replace </w:t>
      </w:r>
      <w:r w:rsidR="000326CC">
        <w:t xml:space="preserve">higher emissions equivalents in existing </w:t>
      </w:r>
      <w:r w:rsidR="005A0D05">
        <w:t>activities</w:t>
      </w:r>
      <w:r w:rsidR="000326CC">
        <w:t>.</w:t>
      </w:r>
      <w:r>
        <w:t xml:space="preserve"> These are </w:t>
      </w:r>
      <w:r w:rsidR="000326CC">
        <w:t>capital expenditure</w:t>
      </w:r>
      <w:r>
        <w:t xml:space="preserve"> measures that improve the emissions performance of an activity, but do not make the whole activity </w:t>
      </w:r>
      <w:r w:rsidR="005E631A">
        <w:t>‘</w:t>
      </w:r>
      <w:r>
        <w:t>green</w:t>
      </w:r>
      <w:r w:rsidR="005E631A">
        <w:t>’</w:t>
      </w:r>
      <w:r>
        <w:t>.</w:t>
      </w:r>
    </w:p>
    <w:p w14:paraId="21784E54" w14:textId="1A544545" w:rsidR="00723752" w:rsidRDefault="00107ADB" w:rsidP="00760C98">
      <w:hyperlink w:anchor="BOX17" w:history="1">
        <w:r>
          <w:rPr>
            <w:rStyle w:val="Hyperlink"/>
          </w:rPr>
          <w:t>Box 15</w:t>
        </w:r>
      </w:hyperlink>
      <w:r w:rsidR="00723752">
        <w:t xml:space="preserve"> includes an example on using the taxonomy to identify transition levers.</w:t>
      </w:r>
    </w:p>
    <w:p w14:paraId="0766E47E" w14:textId="77777777" w:rsidR="00731220" w:rsidRPr="00760C98" w:rsidRDefault="00731220" w:rsidP="00760C98">
      <w:pPr>
        <w:pStyle w:val="SingleParagraph"/>
      </w:pPr>
    </w:p>
    <w:tbl>
      <w:tblPr>
        <w:tblW w:w="5000" w:type="pct"/>
        <w:shd w:val="clear" w:color="auto" w:fill="F2F9FC"/>
        <w:tblCellMar>
          <w:top w:w="227" w:type="dxa"/>
          <w:left w:w="227" w:type="dxa"/>
          <w:bottom w:w="227" w:type="dxa"/>
          <w:right w:w="227" w:type="dxa"/>
        </w:tblCellMar>
        <w:tblLook w:val="0620" w:firstRow="1" w:lastRow="0" w:firstColumn="0" w:lastColumn="0" w:noHBand="1" w:noVBand="1"/>
      </w:tblPr>
      <w:tblGrid>
        <w:gridCol w:w="9070"/>
      </w:tblGrid>
      <w:tr w:rsidR="00731220" w:rsidRPr="00963E59" w14:paraId="62D5D2FD" w14:textId="77777777" w:rsidTr="00460C3E">
        <w:tc>
          <w:tcPr>
            <w:tcW w:w="5000" w:type="pct"/>
            <w:shd w:val="clear" w:color="auto" w:fill="F2F9FC"/>
            <w:hideMark/>
          </w:tcPr>
          <w:p w14:paraId="10CD6230" w14:textId="030FE300" w:rsidR="00731220" w:rsidRPr="00963E59" w:rsidRDefault="00D70742" w:rsidP="00E964D5">
            <w:pPr>
              <w:pStyle w:val="BoxHeading"/>
            </w:pPr>
            <w:bookmarkStart w:id="119" w:name="Box20"/>
            <w:bookmarkStart w:id="120" w:name="BOX17"/>
            <w:bookmarkStart w:id="121" w:name="_Toc237351145"/>
            <w:bookmarkStart w:id="122" w:name="_Toc233287113"/>
            <w:bookmarkEnd w:id="119"/>
            <w:bookmarkEnd w:id="120"/>
            <w:r w:rsidRPr="00963E59">
              <w:t xml:space="preserve">Box </w:t>
            </w:r>
            <w:r w:rsidR="00786BF8" w:rsidRPr="00963E59">
              <w:t>1</w:t>
            </w:r>
            <w:r w:rsidR="00A516C8">
              <w:t>5</w:t>
            </w:r>
            <w:r w:rsidRPr="00963E59">
              <w:t xml:space="preserve">. </w:t>
            </w:r>
            <w:r w:rsidR="00731220" w:rsidRPr="00963E59">
              <w:t xml:space="preserve">Illustrative example </w:t>
            </w:r>
            <w:r w:rsidRPr="00963E59">
              <w:t>on u</w:t>
            </w:r>
            <w:r w:rsidR="00731220" w:rsidRPr="00963E59">
              <w:t>sing the Sustainable Finance Taxonomy to identify transition levers</w:t>
            </w:r>
            <w:bookmarkEnd w:id="121"/>
            <w:bookmarkEnd w:id="122"/>
          </w:p>
          <w:p w14:paraId="0A42E624" w14:textId="4D2AF633" w:rsidR="00731220" w:rsidRPr="00963E59" w:rsidRDefault="00731220" w:rsidP="00731220">
            <w:pPr>
              <w:pStyle w:val="BoxText"/>
            </w:pPr>
            <w:r w:rsidRPr="00963E59">
              <w:t>An organisation involved in mining rare earth minerals is considering what actions are available to them to reduce emissions.</w:t>
            </w:r>
          </w:p>
          <w:p w14:paraId="31371212" w14:textId="1C71BCF4" w:rsidR="00FA02D6" w:rsidRPr="00963E59" w:rsidRDefault="00731220" w:rsidP="00731220">
            <w:pPr>
              <w:pStyle w:val="BoxText"/>
            </w:pPr>
            <w:r w:rsidRPr="00963E59">
              <w:t>The taxonomy includes several ‘decarbonisation measures’, a type of transition classification, relevant to the mining sector under</w:t>
            </w:r>
            <w:r w:rsidR="00E1091C" w:rsidRPr="00963E59">
              <w:t xml:space="preserve"> </w:t>
            </w:r>
            <w:r w:rsidRPr="00963E59">
              <w:t xml:space="preserve">B5. Generic Measures for the Mining Sector. Eligible measures include investment in a zero-tailpipe emissions vehicle fleet, and storage and demand management technologies. </w:t>
            </w:r>
          </w:p>
          <w:p w14:paraId="09C1974B" w14:textId="512D01FC" w:rsidR="00731220" w:rsidRPr="00963E59" w:rsidRDefault="00731220" w:rsidP="00731220">
            <w:pPr>
              <w:pStyle w:val="BoxText"/>
              <w:rPr>
                <w:lang w:eastAsia="en-US"/>
              </w:rPr>
            </w:pPr>
            <w:r w:rsidRPr="00963E59">
              <w:t xml:space="preserve">In addition, energy sector criteria include the activity D12. Remote and Micro-grid </w:t>
            </w:r>
            <w:r w:rsidR="00697171" w:rsidRPr="00963E59">
              <w:rPr>
                <w:bCs/>
              </w:rPr>
              <w:t>S</w:t>
            </w:r>
            <w:r w:rsidRPr="00963E59">
              <w:rPr>
                <w:bCs/>
              </w:rPr>
              <w:t>ystems</w:t>
            </w:r>
            <w:r w:rsidRPr="00963E59">
              <w:t xml:space="preserve"> that the company can access. The organisation identifies these</w:t>
            </w:r>
            <w:r w:rsidRPr="00963E59" w:rsidDel="006E68B9">
              <w:t xml:space="preserve"> </w:t>
            </w:r>
            <w:r w:rsidRPr="00963E59">
              <w:t xml:space="preserve">as priority actions to </w:t>
            </w:r>
            <w:r w:rsidR="00C71135" w:rsidRPr="00963E59">
              <w:t xml:space="preserve">help </w:t>
            </w:r>
            <w:r w:rsidRPr="00963E59">
              <w:t>achieve</w:t>
            </w:r>
            <w:r w:rsidR="00C71135" w:rsidRPr="00963E59">
              <w:t xml:space="preserve"> its</w:t>
            </w:r>
            <w:r w:rsidRPr="00963E59">
              <w:t xml:space="preserve"> emissions reduction targets.</w:t>
            </w:r>
          </w:p>
        </w:tc>
      </w:tr>
    </w:tbl>
    <w:p w14:paraId="6EF34D6F" w14:textId="05036CE4" w:rsidR="009E55AF" w:rsidRDefault="00A17427" w:rsidP="009E55AF">
      <w:pPr>
        <w:pStyle w:val="Heading3"/>
      </w:pPr>
      <w:r>
        <w:t>A</w:t>
      </w:r>
      <w:r w:rsidR="009E55AF">
        <w:t xml:space="preserve">daptation </w:t>
      </w:r>
      <w:r w:rsidR="007719D1">
        <w:t>levers</w:t>
      </w:r>
    </w:p>
    <w:p w14:paraId="5232C1BB" w14:textId="3085BE1F" w:rsidR="009814DF" w:rsidRDefault="00A77F28" w:rsidP="009814DF">
      <w:r>
        <w:t>Adaptation levers</w:t>
      </w:r>
      <w:r w:rsidR="00391128">
        <w:t xml:space="preserve"> will be highly dependent on </w:t>
      </w:r>
      <w:r w:rsidR="00444C2C">
        <w:t>each organisation</w:t>
      </w:r>
      <w:r w:rsidR="00963E59">
        <w:t>’</w:t>
      </w:r>
      <w:r w:rsidR="00444C2C">
        <w:t xml:space="preserve">s </w:t>
      </w:r>
      <w:r w:rsidR="00391128">
        <w:t xml:space="preserve">blend of geographic and sectoral climate risks. </w:t>
      </w:r>
      <w:r w:rsidR="00B5142F">
        <w:t>Options can</w:t>
      </w:r>
      <w:r w:rsidR="009814DF">
        <w:t xml:space="preserve"> include:</w:t>
      </w:r>
    </w:p>
    <w:p w14:paraId="003F052B" w14:textId="34050C48" w:rsidR="009814DF" w:rsidRDefault="009814DF" w:rsidP="00DB6514">
      <w:pPr>
        <w:pStyle w:val="Bullet"/>
      </w:pPr>
      <w:r w:rsidRPr="00503601">
        <w:rPr>
          <w:b/>
        </w:rPr>
        <w:t>Structural and physical adaptation</w:t>
      </w:r>
      <w:r>
        <w:t>: involving tangible changes to infrastructure or the environment, such as elevating critical infrastructure above flood levels or investing in buildings that, with improved energy performance, will be comfortable year</w:t>
      </w:r>
      <w:r w:rsidR="00963E59">
        <w:noBreakHyphen/>
      </w:r>
      <w:r>
        <w:t>round.</w:t>
      </w:r>
    </w:p>
    <w:p w14:paraId="0CB5FB1F" w14:textId="4A1C2125" w:rsidR="009814DF" w:rsidRDefault="009814DF" w:rsidP="00DB6514">
      <w:pPr>
        <w:pStyle w:val="Bullet"/>
      </w:pPr>
      <w:r w:rsidRPr="00503601">
        <w:rPr>
          <w:b/>
        </w:rPr>
        <w:t>Institutional adaptation</w:t>
      </w:r>
      <w:r>
        <w:t>: refers to changes in policies, governance and organisational frameworks, for example updating risk management strategies and revising internal policies to integrate climate risks</w:t>
      </w:r>
      <w:r w:rsidR="008F5748">
        <w:t>.</w:t>
      </w:r>
    </w:p>
    <w:p w14:paraId="4637E425" w14:textId="4C60870E" w:rsidR="009E55AF" w:rsidRPr="009E55AF" w:rsidRDefault="009814DF" w:rsidP="00DB6514">
      <w:pPr>
        <w:pStyle w:val="Bullet"/>
      </w:pPr>
      <w:r w:rsidRPr="00503601">
        <w:rPr>
          <w:b/>
        </w:rPr>
        <w:t>Social adaptation</w:t>
      </w:r>
      <w:r>
        <w:t xml:space="preserve">: encompassing shifts in behaviour, awareness and community practices, </w:t>
      </w:r>
      <w:r w:rsidR="005F5381">
        <w:t>such as</w:t>
      </w:r>
      <w:r>
        <w:t xml:space="preserve"> promoting employee training on climate awareness or encouraging flexible work habits that adjust for changing conditions.</w:t>
      </w:r>
      <w:r w:rsidR="00444C2C" w:rsidRPr="00760C98">
        <w:rPr>
          <w:rStyle w:val="FootnoteReference"/>
        </w:rPr>
        <w:endnoteReference w:id="75"/>
      </w:r>
    </w:p>
    <w:p w14:paraId="49914F36" w14:textId="09003C0A" w:rsidR="009814DF" w:rsidRPr="009E55AF" w:rsidRDefault="00810FF4" w:rsidP="009E55AF">
      <w:r>
        <w:t xml:space="preserve">Organisations can refer to guidance developed by the CSIRO on </w:t>
      </w:r>
      <w:hyperlink r:id="rId116" w:history="1">
        <w:r w:rsidR="0092686C" w:rsidRPr="00685650">
          <w:rPr>
            <w:rStyle w:val="Hyperlink"/>
          </w:rPr>
          <w:t>adaptation pathways</w:t>
        </w:r>
      </w:hyperlink>
      <w:r w:rsidR="0092686C" w:rsidRPr="00760C98">
        <w:rPr>
          <w:rStyle w:val="FootnoteReference"/>
        </w:rPr>
        <w:endnoteReference w:id="76"/>
      </w:r>
      <w:r w:rsidR="00557581">
        <w:t xml:space="preserve"> </w:t>
      </w:r>
      <w:r>
        <w:t xml:space="preserve">and </w:t>
      </w:r>
      <w:hyperlink r:id="rId117" w:history="1">
        <w:r w:rsidR="0092686C" w:rsidRPr="009D339A">
          <w:rPr>
            <w:rStyle w:val="Hyperlink"/>
          </w:rPr>
          <w:t>CoastAdapt</w:t>
        </w:r>
      </w:hyperlink>
      <w:r w:rsidR="0092686C" w:rsidRPr="00760C98">
        <w:rPr>
          <w:rStyle w:val="FootnoteReference"/>
        </w:rPr>
        <w:endnoteReference w:id="77"/>
      </w:r>
      <w:r w:rsidR="0092686C">
        <w:t xml:space="preserve"> </w:t>
      </w:r>
      <w:r>
        <w:t xml:space="preserve">to </w:t>
      </w:r>
      <w:r w:rsidR="00410B43">
        <w:t xml:space="preserve">help </w:t>
      </w:r>
      <w:r w:rsidR="00E44DDA">
        <w:t xml:space="preserve">identify </w:t>
      </w:r>
      <w:r w:rsidR="009D37FC">
        <w:t xml:space="preserve">possible </w:t>
      </w:r>
      <w:r w:rsidR="009D7F9C">
        <w:t>levers</w:t>
      </w:r>
      <w:r w:rsidR="00E44DDA">
        <w:t xml:space="preserve">. </w:t>
      </w:r>
      <w:r w:rsidR="00C930DD">
        <w:t xml:space="preserve">Adaptation pathways is a planning technique </w:t>
      </w:r>
      <w:r w:rsidR="00B36E63">
        <w:t>that helps choose and s</w:t>
      </w:r>
      <w:r w:rsidR="00484122">
        <w:t>equence adaptation actions and investments, identifying those that must be taken immediately and those that can be deferred.</w:t>
      </w:r>
      <w:r w:rsidR="00E44DDA">
        <w:t xml:space="preserve"> T</w:t>
      </w:r>
      <w:r w:rsidR="001A2DC6">
        <w:t xml:space="preserve">he </w:t>
      </w:r>
      <w:hyperlink r:id="rId118" w:history="1">
        <w:r w:rsidR="003A10F7" w:rsidRPr="00685650">
          <w:rPr>
            <w:rStyle w:val="Hyperlink"/>
          </w:rPr>
          <w:t>Australian Adaptation Database</w:t>
        </w:r>
      </w:hyperlink>
      <w:r w:rsidR="003A10F7" w:rsidRPr="00760C98">
        <w:rPr>
          <w:rStyle w:val="FootnoteReference"/>
        </w:rPr>
        <w:endnoteReference w:id="78"/>
      </w:r>
      <w:r w:rsidR="003A10F7" w:rsidRPr="00D25766">
        <w:rPr>
          <w:rStyle w:val="FootnoteReference"/>
          <w:sz w:val="22"/>
          <w:szCs w:val="22"/>
        </w:rPr>
        <w:t xml:space="preserve"> </w:t>
      </w:r>
      <w:r w:rsidR="003411C6">
        <w:t xml:space="preserve">also </w:t>
      </w:r>
      <w:r w:rsidR="003A10F7">
        <w:t>includes examples and case studies for adaptation action</w:t>
      </w:r>
      <w:r w:rsidR="00E44DDA">
        <w:t>s</w:t>
      </w:r>
      <w:r w:rsidR="003A10F7">
        <w:t xml:space="preserve"> across different scales, sectors and geographic locations in Australia</w:t>
      </w:r>
      <w:r w:rsidR="00444C2C">
        <w:t>,</w:t>
      </w:r>
      <w:r w:rsidR="003A10F7">
        <w:t xml:space="preserve"> which </w:t>
      </w:r>
      <w:r w:rsidR="00E44DDA">
        <w:t xml:space="preserve">organisations may find useful in </w:t>
      </w:r>
      <w:r w:rsidR="00CD6C77">
        <w:t>identifying</w:t>
      </w:r>
      <w:r w:rsidR="00E44DDA">
        <w:t xml:space="preserve"> </w:t>
      </w:r>
      <w:r w:rsidR="00B55EC3">
        <w:t xml:space="preserve">possible </w:t>
      </w:r>
      <w:r w:rsidR="00E44DDA">
        <w:t>adaptation actions</w:t>
      </w:r>
      <w:r w:rsidR="003A10F7">
        <w:t>.</w:t>
      </w:r>
    </w:p>
    <w:p w14:paraId="41C0847B" w14:textId="1DDC52AB" w:rsidR="009F266B" w:rsidRPr="009F266B" w:rsidRDefault="00B85049" w:rsidP="000974B8">
      <w:pPr>
        <w:keepLines/>
      </w:pPr>
      <w:r>
        <w:lastRenderedPageBreak/>
        <w:t xml:space="preserve">Sustainable finance taxonomies are also valuable tools to </w:t>
      </w:r>
      <w:r w:rsidR="000E062C">
        <w:t xml:space="preserve">identify credible adaptation actions. While adaptation </w:t>
      </w:r>
      <w:r w:rsidR="00A47497">
        <w:t>criteria in regional taxonomies remain under development, organisations may refer to credible market</w:t>
      </w:r>
      <w:r w:rsidR="00963E59">
        <w:noBreakHyphen/>
      </w:r>
      <w:r w:rsidR="00A47497">
        <w:t>based taxonomies such as the Climate Bonds Initiative</w:t>
      </w:r>
      <w:r w:rsidR="00963E59">
        <w:t>’</w:t>
      </w:r>
      <w:r w:rsidR="00A47497">
        <w:t xml:space="preserve">s </w:t>
      </w:r>
      <w:hyperlink r:id="rId119" w:history="1">
        <w:r w:rsidR="00486CDD" w:rsidRPr="00325D20">
          <w:rPr>
            <w:rStyle w:val="Hyperlink"/>
          </w:rPr>
          <w:t>Resilience Taxonomy</w:t>
        </w:r>
      </w:hyperlink>
      <w:r w:rsidR="00767BEA" w:rsidRPr="00760C98">
        <w:rPr>
          <w:rStyle w:val="FootnoteReference"/>
        </w:rPr>
        <w:endnoteReference w:id="79"/>
      </w:r>
      <w:r w:rsidR="00A47497">
        <w:t xml:space="preserve"> which list</w:t>
      </w:r>
      <w:r w:rsidR="00557581">
        <w:t>s</w:t>
      </w:r>
      <w:r w:rsidR="00A47497">
        <w:t xml:space="preserve"> investments across various sectors including</w:t>
      </w:r>
      <w:r w:rsidR="00FB6CFB">
        <w:t xml:space="preserve"> buildings, agriculture and aquaculture, energy infrastructure, transport infrastructure and logistics services.</w:t>
      </w:r>
    </w:p>
    <w:p w14:paraId="113DE459" w14:textId="2EB769ED" w:rsidR="000D60D7" w:rsidRDefault="000D60D7" w:rsidP="00254364">
      <w:pPr>
        <w:pStyle w:val="Heading2Numbered"/>
      </w:pPr>
      <w:bookmarkStart w:id="123" w:name="Stage1dot7"/>
      <w:bookmarkStart w:id="124" w:name="_Toc224906878"/>
      <w:bookmarkStart w:id="125" w:name="_Toc224916510"/>
      <w:bookmarkStart w:id="126" w:name="_Toc232776351"/>
      <w:bookmarkEnd w:id="123"/>
      <w:r>
        <w:t>Assess impacts and dependencies</w:t>
      </w:r>
      <w:bookmarkEnd w:id="124"/>
      <w:bookmarkEnd w:id="125"/>
      <w:bookmarkEnd w:id="126"/>
    </w:p>
    <w:p w14:paraId="7E03DB91" w14:textId="51DB712A" w:rsidR="00354E2E" w:rsidRDefault="00FD780C" w:rsidP="000D60D7">
      <w:r>
        <w:t xml:space="preserve">Identified </w:t>
      </w:r>
      <w:r w:rsidR="00611CDF">
        <w:t xml:space="preserve">actions can </w:t>
      </w:r>
      <w:r w:rsidR="00163674">
        <w:t>i</w:t>
      </w:r>
      <w:r w:rsidR="00354E2E">
        <w:t>mpact</w:t>
      </w:r>
      <w:r w:rsidR="00940087">
        <w:t>,</w:t>
      </w:r>
      <w:r w:rsidR="00354E2E">
        <w:t xml:space="preserve"> </w:t>
      </w:r>
      <w:r w:rsidR="00611CDF">
        <w:t xml:space="preserve">and </w:t>
      </w:r>
      <w:r w:rsidR="00354E2E">
        <w:t>depend</w:t>
      </w:r>
      <w:r w:rsidR="00940087">
        <w:t>,</w:t>
      </w:r>
      <w:r w:rsidR="0030595A" w:rsidDel="001A4FA7">
        <w:t xml:space="preserve"> </w:t>
      </w:r>
      <w:r w:rsidR="00354E2E">
        <w:t xml:space="preserve">on </w:t>
      </w:r>
      <w:r w:rsidR="001A4FA7">
        <w:t xml:space="preserve">external </w:t>
      </w:r>
      <w:r w:rsidR="00354E2E">
        <w:t>stakeholders, society, the economy and natural environment</w:t>
      </w:r>
      <w:r w:rsidR="00863532">
        <w:t>. These im</w:t>
      </w:r>
      <w:r w:rsidR="00B244F6">
        <w:t>pacts and dependenc</w:t>
      </w:r>
      <w:r w:rsidR="00940087">
        <w:t>i</w:t>
      </w:r>
      <w:r w:rsidR="00B244F6">
        <w:t>es</w:t>
      </w:r>
      <w:r w:rsidR="00580B41">
        <w:t xml:space="preserve"> </w:t>
      </w:r>
      <w:r w:rsidR="00F54014">
        <w:t>can</w:t>
      </w:r>
      <w:r w:rsidR="0030595A">
        <w:t xml:space="preserve"> affect cash flows, access to </w:t>
      </w:r>
      <w:r w:rsidR="00BF14FE">
        <w:t>finance or cost of capital over the short, medium and long</w:t>
      </w:r>
      <w:r w:rsidR="00963E59">
        <w:noBreakHyphen/>
      </w:r>
      <w:r w:rsidR="00BF14FE">
        <w:t>term.</w:t>
      </w:r>
      <w:r w:rsidR="00AF4068">
        <w:t xml:space="preserve"> </w:t>
      </w:r>
      <w:r w:rsidR="003A46A6">
        <w:t xml:space="preserve">Understanding </w:t>
      </w:r>
      <w:r w:rsidR="000E41F3">
        <w:t xml:space="preserve">these </w:t>
      </w:r>
      <w:r w:rsidR="003A46A6">
        <w:t>impacts and dependencies</w:t>
      </w:r>
      <w:r w:rsidR="00AF4068">
        <w:t xml:space="preserve"> can also help identify </w:t>
      </w:r>
      <w:r w:rsidR="00EA5C1C">
        <w:t xml:space="preserve">broader positive </w:t>
      </w:r>
      <w:r w:rsidR="00E707B8">
        <w:t>outcomes</w:t>
      </w:r>
      <w:r w:rsidR="00EA5C1C">
        <w:t>.</w:t>
      </w:r>
    </w:p>
    <w:p w14:paraId="7B70B12D" w14:textId="0CDB62F4" w:rsidR="008E4CA3" w:rsidRDefault="00BF14FE" w:rsidP="005F3550">
      <w:r>
        <w:t xml:space="preserve">For example, where an organisation identifies </w:t>
      </w:r>
      <w:r w:rsidR="003D3932" w:rsidRPr="003D3932">
        <w:t>the construction of</w:t>
      </w:r>
      <w:r>
        <w:t xml:space="preserve"> a flood wall as a possible adaptation action</w:t>
      </w:r>
      <w:r w:rsidR="0036096D">
        <w:t xml:space="preserve"> to protect its own assets</w:t>
      </w:r>
      <w:r w:rsidR="004448BE">
        <w:t>,</w:t>
      </w:r>
      <w:r>
        <w:t xml:space="preserve"> </w:t>
      </w:r>
      <w:r w:rsidR="0036096D">
        <w:t xml:space="preserve">there </w:t>
      </w:r>
      <w:r w:rsidR="004448BE">
        <w:t xml:space="preserve">could </w:t>
      </w:r>
      <w:r w:rsidR="0036096D">
        <w:t>be increased risk of flooding to the broader community</w:t>
      </w:r>
      <w:r w:rsidR="00FF508D">
        <w:t xml:space="preserve"> and environment</w:t>
      </w:r>
      <w:r w:rsidR="003D3932" w:rsidRPr="003D3932">
        <w:t>. In this context, organisations</w:t>
      </w:r>
      <w:r w:rsidR="003027B8">
        <w:t xml:space="preserve"> can consider proactive steps to anticipate, assess </w:t>
      </w:r>
      <w:r w:rsidR="00F14BD0">
        <w:t xml:space="preserve">and address these </w:t>
      </w:r>
      <w:r w:rsidR="00703689">
        <w:t xml:space="preserve">potential </w:t>
      </w:r>
      <w:r w:rsidR="00F14BD0">
        <w:t xml:space="preserve">consequences </w:t>
      </w:r>
      <w:r w:rsidR="003D3932" w:rsidRPr="003D3932">
        <w:t>as part of planning and approvals, as failure to do so</w:t>
      </w:r>
      <w:r w:rsidR="00CB57B5">
        <w:t xml:space="preserve"> may </w:t>
      </w:r>
      <w:r w:rsidR="003D3932" w:rsidRPr="003D3932">
        <w:t>give rise to</w:t>
      </w:r>
      <w:r w:rsidR="00F14BD0">
        <w:t xml:space="preserve"> financial implications (</w:t>
      </w:r>
      <w:r w:rsidR="007531DE">
        <w:t>for example</w:t>
      </w:r>
      <w:r w:rsidR="00627DA7">
        <w:t>,</w:t>
      </w:r>
      <w:r w:rsidR="007531DE">
        <w:t xml:space="preserve"> </w:t>
      </w:r>
      <w:r w:rsidR="008074E1">
        <w:t xml:space="preserve">approval </w:t>
      </w:r>
      <w:r w:rsidR="003D3932" w:rsidRPr="003D3932">
        <w:t xml:space="preserve">delays, </w:t>
      </w:r>
      <w:r w:rsidR="00F14BD0">
        <w:t xml:space="preserve">litigation or reputational costs). </w:t>
      </w:r>
      <w:r w:rsidR="004C5F5C">
        <w:t>A</w:t>
      </w:r>
      <w:r w:rsidR="00DE38E1">
        <w:t>n effective assessment of impacts and dependencies will likely require engag</w:t>
      </w:r>
      <w:r w:rsidR="00504271">
        <w:t>ing</w:t>
      </w:r>
      <w:r w:rsidR="00DE38E1">
        <w:t xml:space="preserve"> with stakeholders identified through stakeholder mapping</w:t>
      </w:r>
      <w:r w:rsidR="00C706B8">
        <w:t xml:space="preserve">, or any other stakeholders likely to be affected by </w:t>
      </w:r>
      <w:r w:rsidR="00533B60">
        <w:t>mitigation</w:t>
      </w:r>
      <w:r w:rsidR="007719D1">
        <w:t xml:space="preserve"> and adaptation actions</w:t>
      </w:r>
      <w:r w:rsidR="00AC408E">
        <w:t>.</w:t>
      </w:r>
    </w:p>
    <w:p w14:paraId="3281E161" w14:textId="5B085446" w:rsidR="00DE38E1" w:rsidRDefault="006421D7" w:rsidP="005F3550">
      <w:r>
        <w:t>Assessing impacts and dependencies</w:t>
      </w:r>
      <w:r w:rsidR="00DE38E1" w:rsidDel="006421D7">
        <w:t xml:space="preserve"> </w:t>
      </w:r>
      <w:r w:rsidR="00DE38E1">
        <w:t>help</w:t>
      </w:r>
      <w:r w:rsidR="00742DE0">
        <w:t>s</w:t>
      </w:r>
      <w:r w:rsidR="00DE38E1">
        <w:t xml:space="preserve"> organisations to:</w:t>
      </w:r>
    </w:p>
    <w:p w14:paraId="15571F46" w14:textId="7F63202B" w:rsidR="00F21FBD" w:rsidRDefault="00627DA7" w:rsidP="00DB6514">
      <w:pPr>
        <w:pStyle w:val="Bullet"/>
      </w:pPr>
      <w:r>
        <w:t>u</w:t>
      </w:r>
      <w:r w:rsidR="00F21FBD">
        <w:t>nderstand how actions may give rise to other sustainability</w:t>
      </w:r>
      <w:r w:rsidR="00963E59">
        <w:noBreakHyphen/>
      </w:r>
      <w:r w:rsidR="00F21FBD">
        <w:t>related risks and opportunities and the trade</w:t>
      </w:r>
      <w:r w:rsidR="00963E59">
        <w:noBreakHyphen/>
      </w:r>
      <w:r w:rsidR="00F21FBD">
        <w:t xml:space="preserve">offs and </w:t>
      </w:r>
      <w:r w:rsidR="007F1C64">
        <w:t>synergies</w:t>
      </w:r>
    </w:p>
    <w:p w14:paraId="4A578FDA" w14:textId="3A256C26" w:rsidR="00F21FBD" w:rsidRDefault="00627DA7" w:rsidP="00DB6514">
      <w:pPr>
        <w:pStyle w:val="Bullet"/>
      </w:pPr>
      <w:r>
        <w:t>i</w:t>
      </w:r>
      <w:r w:rsidR="00F21FBD">
        <w:t>dentify where engagement with other</w:t>
      </w:r>
      <w:r w:rsidR="00BC6965">
        <w:t xml:space="preserve"> stakeholders</w:t>
      </w:r>
      <w:r w:rsidR="00F21FBD">
        <w:t xml:space="preserve"> is needed</w:t>
      </w:r>
    </w:p>
    <w:p w14:paraId="1C368CB8" w14:textId="0566CFB0" w:rsidR="00F21FBD" w:rsidRDefault="00627DA7" w:rsidP="00DB6514">
      <w:pPr>
        <w:pStyle w:val="Bullet"/>
      </w:pPr>
      <w:r>
        <w:t>d</w:t>
      </w:r>
      <w:r w:rsidR="00F21FBD">
        <w:t xml:space="preserve">evelop actions to achieve strategic ambitions </w:t>
      </w:r>
      <w:r w:rsidR="00E51C35">
        <w:t>that capture opportunities</w:t>
      </w:r>
      <w:r w:rsidR="00F21FBD">
        <w:t xml:space="preserve"> but avoid</w:t>
      </w:r>
      <w:r w:rsidR="00E51C35">
        <w:t>s</w:t>
      </w:r>
      <w:r w:rsidR="00F21FBD">
        <w:t xml:space="preserve"> adverse impacts</w:t>
      </w:r>
      <w:r w:rsidR="000F064F">
        <w:t>.</w:t>
      </w:r>
      <w:r w:rsidR="00F21FBD">
        <w:t xml:space="preserve"> </w:t>
      </w:r>
    </w:p>
    <w:p w14:paraId="292AC86A" w14:textId="3BB0887E" w:rsidR="00384B37" w:rsidRDefault="00384B37" w:rsidP="00DB6514">
      <w:pPr>
        <w:pStyle w:val="Bullet"/>
        <w:numPr>
          <w:ilvl w:val="0"/>
          <w:numId w:val="0"/>
        </w:numPr>
      </w:pPr>
      <w:r>
        <w:t xml:space="preserve">The </w:t>
      </w:r>
      <w:r w:rsidRPr="00E66CDE">
        <w:t>TPT Transition Planning Cycle</w:t>
      </w:r>
      <w:r w:rsidR="00210579">
        <w:t xml:space="preserve"> (page 16)</w:t>
      </w:r>
      <w:r>
        <w:t xml:space="preserve"> includes a diagram outlining how an organisation can assess impacts and dependencies</w:t>
      </w:r>
      <w:r w:rsidR="00D10158">
        <w:t>,</w:t>
      </w:r>
      <w:r>
        <w:t xml:space="preserve"> with further examples.</w:t>
      </w:r>
    </w:p>
    <w:p w14:paraId="5693A050" w14:textId="77777777" w:rsidR="00157A36" w:rsidRPr="0005326D" w:rsidRDefault="00157A36" w:rsidP="0005326D">
      <w:r>
        <w:br w:type="page"/>
      </w:r>
    </w:p>
    <w:p w14:paraId="552C42B1" w14:textId="378E0360" w:rsidR="00DF2A66" w:rsidRDefault="00D822AC" w:rsidP="007125FD">
      <w:pPr>
        <w:pStyle w:val="Heading1"/>
      </w:pPr>
      <w:bookmarkStart w:id="127" w:name="Stage2"/>
      <w:bookmarkStart w:id="128" w:name="_Toc224906879"/>
      <w:bookmarkStart w:id="129" w:name="_Toc224916511"/>
      <w:bookmarkStart w:id="130" w:name="_Toc232776352"/>
      <w:bookmarkEnd w:id="127"/>
      <w:r>
        <w:lastRenderedPageBreak/>
        <w:t xml:space="preserve">Stage 2: </w:t>
      </w:r>
      <w:r w:rsidR="000D60D7" w:rsidRPr="00E7074A">
        <w:t>Set</w:t>
      </w:r>
      <w:r w:rsidR="000D60D7">
        <w:t xml:space="preserve"> strategic ambitions</w:t>
      </w:r>
      <w:bookmarkEnd w:id="128"/>
      <w:bookmarkEnd w:id="129"/>
      <w:bookmarkEnd w:id="130"/>
    </w:p>
    <w:p w14:paraId="1AF79A79" w14:textId="5181928E" w:rsidR="0033006F" w:rsidRDefault="0033006F" w:rsidP="0033006F">
      <w:r>
        <w:t xml:space="preserve">The second stage of </w:t>
      </w:r>
      <w:r w:rsidR="00D31504">
        <w:t xml:space="preserve">transition planning </w:t>
      </w:r>
      <w:r w:rsidR="00745385">
        <w:t>is setting or re</w:t>
      </w:r>
      <w:r w:rsidR="00963E59">
        <w:noBreakHyphen/>
      </w:r>
      <w:r w:rsidR="00745385">
        <w:t>setting strategic ambitions</w:t>
      </w:r>
      <w:r w:rsidR="009C37D6">
        <w:t xml:space="preserve">. </w:t>
      </w:r>
      <w:r w:rsidR="003F212A">
        <w:t>Strategic ambitions are the high</w:t>
      </w:r>
      <w:r w:rsidR="00C63221">
        <w:t xml:space="preserve"> </w:t>
      </w:r>
      <w:r w:rsidR="003F212A">
        <w:t xml:space="preserve">level but achievable visions an organisation develops </w:t>
      </w:r>
      <w:r w:rsidR="008723E2">
        <w:t xml:space="preserve">to </w:t>
      </w:r>
      <w:r w:rsidR="004436B8">
        <w:t>respond to climate</w:t>
      </w:r>
      <w:r w:rsidR="00963E59">
        <w:noBreakHyphen/>
      </w:r>
      <w:r w:rsidR="004436B8">
        <w:t>related risks and opportunities</w:t>
      </w:r>
      <w:r w:rsidR="00FA4076">
        <w:t>.</w:t>
      </w:r>
      <w:r w:rsidR="00333A44">
        <w:t xml:space="preserve"> Organisations use</w:t>
      </w:r>
      <w:r w:rsidR="00FA4076">
        <w:t xml:space="preserve"> </w:t>
      </w:r>
      <w:r w:rsidR="00333A44">
        <w:t>s</w:t>
      </w:r>
      <w:r w:rsidR="00BD18D2">
        <w:t>trategic am</w:t>
      </w:r>
      <w:r w:rsidR="004557FC">
        <w:t>bitions</w:t>
      </w:r>
      <w:r w:rsidR="005C093C">
        <w:t xml:space="preserve"> </w:t>
      </w:r>
      <w:r w:rsidR="00333A44">
        <w:t xml:space="preserve">to </w:t>
      </w:r>
      <w:r w:rsidR="005C093C">
        <w:t>articulate their climate objectives</w:t>
      </w:r>
      <w:r w:rsidR="004436B8">
        <w:t>.</w:t>
      </w:r>
      <w:r w:rsidR="009C37D6">
        <w:t xml:space="preserve"> </w:t>
      </w:r>
    </w:p>
    <w:p w14:paraId="4CC306D5" w14:textId="0BB0DB0C" w:rsidR="00F41260" w:rsidRPr="00A11F67" w:rsidRDefault="00E66CDE" w:rsidP="00A11F67">
      <w:bookmarkStart w:id="131" w:name="_Toc219900709"/>
      <w:bookmarkStart w:id="132" w:name="_Toc220503816"/>
      <w:bookmarkStart w:id="133" w:name="_Toc223526212"/>
      <w:bookmarkEnd w:id="131"/>
      <w:bookmarkEnd w:id="132"/>
      <w:bookmarkEnd w:id="133"/>
      <w:r>
        <w:t>Stage 2 of th</w:t>
      </w:r>
      <w:r w:rsidR="00E24C52">
        <w:t>e</w:t>
      </w:r>
      <w:r>
        <w:t xml:space="preserve"> guidance</w:t>
      </w:r>
      <w:r w:rsidR="008354C0">
        <w:t xml:space="preserve"> can be considered alongside pages </w:t>
      </w:r>
      <w:r w:rsidR="00D4498C">
        <w:t>18</w:t>
      </w:r>
      <w:r w:rsidR="000C06FD">
        <w:t>–</w:t>
      </w:r>
      <w:r w:rsidR="00D4498C">
        <w:t>2</w:t>
      </w:r>
      <w:r w:rsidR="00856058">
        <w:t>5</w:t>
      </w:r>
      <w:r w:rsidR="00D4498C">
        <w:t xml:space="preserve"> in the </w:t>
      </w:r>
      <w:r w:rsidR="0033032A">
        <w:t>Transition</w:t>
      </w:r>
      <w:r w:rsidR="006B2D95">
        <w:t> </w:t>
      </w:r>
      <w:r w:rsidR="0033032A">
        <w:t>Plan Taskforce</w:t>
      </w:r>
      <w:r w:rsidR="006B2D95">
        <w:t> </w:t>
      </w:r>
      <w:r w:rsidR="0033032A">
        <w:t>(</w:t>
      </w:r>
      <w:r w:rsidR="00D4498C" w:rsidRPr="0033032A">
        <w:t>TPT</w:t>
      </w:r>
      <w:r w:rsidR="0033032A" w:rsidRPr="0033032A">
        <w:t>)</w:t>
      </w:r>
      <w:r w:rsidR="00D4498C" w:rsidRPr="0033032A">
        <w:t xml:space="preserve"> </w:t>
      </w:r>
      <w:hyperlink r:id="rId120" w:history="1">
        <w:r w:rsidR="00D4498C" w:rsidRPr="00685650">
          <w:rPr>
            <w:rStyle w:val="Hyperlink"/>
          </w:rPr>
          <w:t>Transition Planning Cycle</w:t>
        </w:r>
      </w:hyperlink>
      <w:r w:rsidR="00D4498C">
        <w:t>.</w:t>
      </w:r>
    </w:p>
    <w:p w14:paraId="4FB120E0" w14:textId="77777777" w:rsidR="00DD6D26" w:rsidRPr="00DD6D26" w:rsidRDefault="00DD6D26" w:rsidP="006E4ECF">
      <w:pPr>
        <w:pStyle w:val="ListParagraph"/>
        <w:keepNext/>
        <w:numPr>
          <w:ilvl w:val="0"/>
          <w:numId w:val="11"/>
        </w:numPr>
        <w:spacing w:before="600" w:line="460" w:lineRule="exact"/>
        <w:contextualSpacing w:val="0"/>
        <w:outlineLvl w:val="0"/>
        <w:rPr>
          <w:rFonts w:ascii="Calibri" w:hAnsi="Calibri" w:cs="Arial"/>
          <w:b/>
          <w:vanish/>
          <w:color w:val="5D779D" w:themeColor="accent3"/>
          <w:kern w:val="32"/>
          <w:sz w:val="44"/>
          <w:szCs w:val="36"/>
        </w:rPr>
      </w:pPr>
      <w:bookmarkStart w:id="134" w:name="_Toc224135314"/>
      <w:bookmarkStart w:id="135" w:name="_Toc224568484"/>
      <w:bookmarkStart w:id="136" w:name="_Toc224732590"/>
      <w:bookmarkStart w:id="137" w:name="_Toc224829780"/>
      <w:bookmarkStart w:id="138" w:name="_Toc224906807"/>
      <w:bookmarkStart w:id="139" w:name="_Toc224906844"/>
      <w:bookmarkStart w:id="140" w:name="_Toc224906880"/>
      <w:bookmarkStart w:id="141" w:name="_Toc224916476"/>
      <w:bookmarkStart w:id="142" w:name="_Toc224916512"/>
      <w:bookmarkStart w:id="143" w:name="_Toc225158083"/>
      <w:bookmarkStart w:id="144" w:name="_Toc225158119"/>
      <w:bookmarkStart w:id="145" w:name="_Toc225348167"/>
      <w:bookmarkStart w:id="146" w:name="_Toc232776353"/>
      <w:bookmarkEnd w:id="134"/>
      <w:bookmarkEnd w:id="135"/>
      <w:bookmarkEnd w:id="136"/>
      <w:bookmarkEnd w:id="137"/>
      <w:bookmarkEnd w:id="138"/>
      <w:bookmarkEnd w:id="139"/>
      <w:bookmarkEnd w:id="140"/>
      <w:bookmarkEnd w:id="141"/>
      <w:bookmarkEnd w:id="142"/>
      <w:bookmarkEnd w:id="143"/>
      <w:bookmarkEnd w:id="144"/>
      <w:bookmarkEnd w:id="145"/>
      <w:bookmarkEnd w:id="146"/>
    </w:p>
    <w:p w14:paraId="5C0176AC" w14:textId="3D71BECA" w:rsidR="003F671F" w:rsidRDefault="003F671F" w:rsidP="00DD6D26">
      <w:pPr>
        <w:pStyle w:val="Heading2Numbered"/>
      </w:pPr>
      <w:bookmarkStart w:id="147" w:name="Stage2dot1"/>
      <w:bookmarkStart w:id="148" w:name="_Toc224906881"/>
      <w:bookmarkStart w:id="149" w:name="_Toc224916513"/>
      <w:bookmarkStart w:id="150" w:name="_Toc232776354"/>
      <w:bookmarkEnd w:id="147"/>
      <w:r>
        <w:t xml:space="preserve">Define objectives and </w:t>
      </w:r>
      <w:r w:rsidRPr="00DD6D26">
        <w:t>priorities</w:t>
      </w:r>
      <w:bookmarkEnd w:id="148"/>
      <w:bookmarkEnd w:id="149"/>
      <w:bookmarkEnd w:id="150"/>
    </w:p>
    <w:p w14:paraId="4FA983BD" w14:textId="1FAF0696" w:rsidR="004436B8" w:rsidRDefault="00B52674" w:rsidP="0077341B">
      <w:pPr>
        <w:spacing w:before="0" w:after="160"/>
      </w:pPr>
      <w:r>
        <w:t>O</w:t>
      </w:r>
      <w:r w:rsidR="000970B5">
        <w:t xml:space="preserve">rganisations </w:t>
      </w:r>
      <w:r>
        <w:t>can</w:t>
      </w:r>
      <w:r w:rsidR="00AD2261">
        <w:t xml:space="preserve"> set </w:t>
      </w:r>
      <w:r w:rsidR="00105841">
        <w:t>strategic ambitions</w:t>
      </w:r>
      <w:r w:rsidR="006E3D92">
        <w:t xml:space="preserve"> for mitigation</w:t>
      </w:r>
      <w:r w:rsidR="00B31ECA">
        <w:t xml:space="preserve"> (emissions reduction)</w:t>
      </w:r>
      <w:r w:rsidR="006E3D92">
        <w:t xml:space="preserve"> and adaptation objectives</w:t>
      </w:r>
      <w:r w:rsidR="005E2AD9">
        <w:t xml:space="preserve">. </w:t>
      </w:r>
      <w:r w:rsidR="00FB1BC0">
        <w:t>C</w:t>
      </w:r>
      <w:r w:rsidR="00073589">
        <w:t>ollectively</w:t>
      </w:r>
      <w:r w:rsidR="00FB1BC0">
        <w:t xml:space="preserve"> these </w:t>
      </w:r>
      <w:r w:rsidR="00134DF1">
        <w:t>can be defined</w:t>
      </w:r>
      <w:r w:rsidR="00073589">
        <w:t xml:space="preserve"> as climate ambitions</w:t>
      </w:r>
      <w:r w:rsidR="00B964A7">
        <w:t xml:space="preserve"> and</w:t>
      </w:r>
      <w:r w:rsidR="00513214">
        <w:t xml:space="preserve"> </w:t>
      </w:r>
      <w:r w:rsidR="003F4EB7">
        <w:t>form</w:t>
      </w:r>
      <w:r w:rsidR="00E97C4C">
        <w:t xml:space="preserve"> part of </w:t>
      </w:r>
      <w:r w:rsidR="00FC1652">
        <w:t>a</w:t>
      </w:r>
      <w:r w:rsidR="00E97C4C">
        <w:t xml:space="preserve"> wider business strategy</w:t>
      </w:r>
      <w:r w:rsidR="00D1640C">
        <w:t xml:space="preserve">. </w:t>
      </w:r>
      <w:r w:rsidR="00FC1652">
        <w:t xml:space="preserve">Organisations </w:t>
      </w:r>
      <w:r w:rsidR="00D1640C">
        <w:t>may also choose to set strategic ambitions for other sustainability</w:t>
      </w:r>
      <w:r w:rsidR="00963E59">
        <w:noBreakHyphen/>
      </w:r>
      <w:r w:rsidR="00D1640C">
        <w:t xml:space="preserve">related considerations such as </w:t>
      </w:r>
      <w:r w:rsidR="00DF568A">
        <w:t xml:space="preserve">just transition, nature, modern slavery </w:t>
      </w:r>
      <w:r w:rsidR="00E77931">
        <w:t xml:space="preserve">or the </w:t>
      </w:r>
      <w:r w:rsidR="00DF568A">
        <w:t>circular economy</w:t>
      </w:r>
      <w:r w:rsidR="00D1640C">
        <w:t>.</w:t>
      </w:r>
    </w:p>
    <w:p w14:paraId="6CD1E4D6" w14:textId="7272329B" w:rsidR="00F42F37" w:rsidRDefault="0095763F" w:rsidP="0077341B">
      <w:pPr>
        <w:spacing w:before="0" w:after="160"/>
      </w:pPr>
      <w:r>
        <w:t>The</w:t>
      </w:r>
      <w:r w:rsidR="00F42F37">
        <w:t xml:space="preserve"> TPT Transition Planning Cycle highlights </w:t>
      </w:r>
      <w:r>
        <w:t>the following principles organisations can</w:t>
      </w:r>
      <w:r w:rsidR="00F42F37">
        <w:t xml:space="preserve"> adopt when setting strategic ambitions</w:t>
      </w:r>
      <w:r w:rsidR="004D2225">
        <w:t>.</w:t>
      </w:r>
    </w:p>
    <w:p w14:paraId="12061DD9" w14:textId="72CE1265" w:rsidR="00F42F37" w:rsidRDefault="005A190A" w:rsidP="00DB6514">
      <w:pPr>
        <w:pStyle w:val="Bullet"/>
      </w:pPr>
      <w:r w:rsidRPr="00D4498C">
        <w:t>Reflect the u</w:t>
      </w:r>
      <w:r w:rsidR="00F42F37" w:rsidRPr="00D4498C">
        <w:t>rgency to act</w:t>
      </w:r>
      <w:r w:rsidR="00F42F37">
        <w:t xml:space="preserve">, </w:t>
      </w:r>
      <w:r w:rsidR="000324AA">
        <w:t>in response to an</w:t>
      </w:r>
      <w:r w:rsidR="00951F01">
        <w:t xml:space="preserve"> organisation</w:t>
      </w:r>
      <w:r w:rsidR="00963E59">
        <w:t>’</w:t>
      </w:r>
      <w:r w:rsidR="00951F01">
        <w:t xml:space="preserve">s exposure to </w:t>
      </w:r>
      <w:r w:rsidR="00B6440A">
        <w:t xml:space="preserve">physical and transition risks. </w:t>
      </w:r>
    </w:p>
    <w:p w14:paraId="562495EB" w14:textId="55088D32" w:rsidR="00F42F37" w:rsidRDefault="00F42F37" w:rsidP="00DB6514">
      <w:pPr>
        <w:pStyle w:val="Bullet"/>
      </w:pPr>
      <w:r>
        <w:t xml:space="preserve">Incorporate </w:t>
      </w:r>
      <w:r w:rsidRPr="00D4498C">
        <w:t>bottom</w:t>
      </w:r>
      <w:r w:rsidR="00963E59">
        <w:noBreakHyphen/>
      </w:r>
      <w:r w:rsidRPr="00D4498C">
        <w:t>up and top</w:t>
      </w:r>
      <w:r w:rsidR="00963E59">
        <w:noBreakHyphen/>
      </w:r>
      <w:r w:rsidRPr="00D4498C">
        <w:t>down</w:t>
      </w:r>
      <w:r w:rsidRPr="00D71048">
        <w:rPr>
          <w:b/>
          <w:bCs/>
        </w:rPr>
        <w:t xml:space="preserve"> </w:t>
      </w:r>
      <w:r>
        <w:t>considerations</w:t>
      </w:r>
      <w:r w:rsidR="009B4DB8" w:rsidDel="009739D3">
        <w:t>:</w:t>
      </w:r>
    </w:p>
    <w:p w14:paraId="379FDC9C" w14:textId="55954A01" w:rsidR="003F2D8C" w:rsidRDefault="00F42F37" w:rsidP="0005326D">
      <w:pPr>
        <w:pStyle w:val="Dash"/>
      </w:pPr>
      <w:r>
        <w:t>Bottom</w:t>
      </w:r>
      <w:r w:rsidR="00963E59">
        <w:noBreakHyphen/>
      </w:r>
      <w:r>
        <w:t>up considerations are drawn from an organisation</w:t>
      </w:r>
      <w:r w:rsidR="00963E59">
        <w:t>’</w:t>
      </w:r>
      <w:r>
        <w:t>s own situation and operating context</w:t>
      </w:r>
      <w:r w:rsidR="00075880">
        <w:t>, such as its core business model and risk appetite, transition levers and the state of available technologies.</w:t>
      </w:r>
      <w:r w:rsidR="00B519AE">
        <w:t xml:space="preserve"> </w:t>
      </w:r>
    </w:p>
    <w:p w14:paraId="1D1C3FA5" w14:textId="41BC44D6" w:rsidR="00F42F37" w:rsidRDefault="00B519AE" w:rsidP="0005326D">
      <w:pPr>
        <w:pStyle w:val="Dash"/>
      </w:pPr>
      <w:r>
        <w:t>Top</w:t>
      </w:r>
      <w:r w:rsidR="00963E59">
        <w:noBreakHyphen/>
      </w:r>
      <w:r>
        <w:t xml:space="preserve">down considerations are based on the systemic changes needed </w:t>
      </w:r>
      <w:r w:rsidR="008F7B64">
        <w:t>to limit the future risks of rising global temperatures and include relevant national targets and policies</w:t>
      </w:r>
      <w:r w:rsidR="00BB75EA">
        <w:t>, such as the Net</w:t>
      </w:r>
      <w:r w:rsidR="005E631A">
        <w:t> </w:t>
      </w:r>
      <w:r w:rsidR="00BB75EA">
        <w:t>Zero Plan</w:t>
      </w:r>
      <w:r w:rsidR="008F7B64">
        <w:t>.</w:t>
      </w:r>
    </w:p>
    <w:p w14:paraId="57C9908A" w14:textId="53EE370B" w:rsidR="00366D87" w:rsidRDefault="007F5F2D" w:rsidP="00BC7556">
      <w:r>
        <w:t>I</w:t>
      </w:r>
      <w:r w:rsidR="009538AC">
        <w:t xml:space="preserve">f setting strategic ambitions </w:t>
      </w:r>
      <w:r w:rsidR="00DE578A">
        <w:t xml:space="preserve">occurs </w:t>
      </w:r>
      <w:r>
        <w:t>separately</w:t>
      </w:r>
      <w:r w:rsidR="00DE578A">
        <w:t xml:space="preserve"> to </w:t>
      </w:r>
      <w:hyperlink w:anchor="Stage1" w:history="1">
        <w:r w:rsidR="00DE578A" w:rsidRPr="00DA1835">
          <w:rPr>
            <w:rStyle w:val="Hyperlink"/>
          </w:rPr>
          <w:t>Stage 1</w:t>
        </w:r>
      </w:hyperlink>
      <w:r w:rsidR="00DE578A">
        <w:t xml:space="preserve">, </w:t>
      </w:r>
      <w:r>
        <w:t xml:space="preserve">it </w:t>
      </w:r>
      <w:r w:rsidR="008D73F7">
        <w:t>can</w:t>
      </w:r>
      <w:r>
        <w:t xml:space="preserve"> be helpful to</w:t>
      </w:r>
      <w:r w:rsidR="00366D87">
        <w:t xml:space="preserve"> revisit the assessment of impacts and dependencies</w:t>
      </w:r>
      <w:r w:rsidR="005131AC">
        <w:t xml:space="preserve"> and stakeholder mapping</w:t>
      </w:r>
      <w:r w:rsidR="006D0E2C">
        <w:t xml:space="preserve">. </w:t>
      </w:r>
      <w:r w:rsidR="009D2D6A">
        <w:t xml:space="preserve">This review can </w:t>
      </w:r>
      <w:r w:rsidR="006D0E2C">
        <w:t xml:space="preserve">help identify </w:t>
      </w:r>
      <w:r w:rsidR="00CC639E">
        <w:t>any new impacts</w:t>
      </w:r>
      <w:r w:rsidR="009758E9">
        <w:t xml:space="preserve"> or </w:t>
      </w:r>
      <w:r w:rsidR="00CC639E">
        <w:t>dependencies</w:t>
      </w:r>
      <w:r w:rsidR="009758E9">
        <w:t>,</w:t>
      </w:r>
      <w:r w:rsidR="00CC639E">
        <w:t xml:space="preserve"> or whether any </w:t>
      </w:r>
      <w:r w:rsidR="00186953">
        <w:t xml:space="preserve">previously </w:t>
      </w:r>
      <w:r w:rsidR="00CC639E">
        <w:t xml:space="preserve">identified impacts and dependencies have changed. </w:t>
      </w:r>
      <w:r w:rsidR="003A49B4">
        <w:t xml:space="preserve">This step can also </w:t>
      </w:r>
      <w:r w:rsidR="00A411F5">
        <w:t xml:space="preserve">help to </w:t>
      </w:r>
      <w:r w:rsidR="00CB7EB9">
        <w:t xml:space="preserve">check if the planned strategic ambitions </w:t>
      </w:r>
      <w:r w:rsidR="005A1894">
        <w:t>give rise</w:t>
      </w:r>
      <w:r w:rsidR="00F20238">
        <w:t xml:space="preserve"> to negative impacts that cannot be </w:t>
      </w:r>
      <w:r w:rsidR="005A1894">
        <w:t xml:space="preserve">effectively </w:t>
      </w:r>
      <w:r w:rsidR="00407F63">
        <w:t>managed</w:t>
      </w:r>
      <w:r w:rsidR="00FF465E">
        <w:t xml:space="preserve"> and </w:t>
      </w:r>
      <w:r w:rsidR="009B28D1">
        <w:t xml:space="preserve">may need to be </w:t>
      </w:r>
      <w:r w:rsidR="00341AD2">
        <w:t>revised</w:t>
      </w:r>
      <w:r w:rsidR="00503185">
        <w:t>.</w:t>
      </w:r>
    </w:p>
    <w:p w14:paraId="2EF49768" w14:textId="731BC34D" w:rsidR="0007422F" w:rsidRDefault="005E33CF" w:rsidP="0007422F">
      <w:pPr>
        <w:pStyle w:val="Heading3"/>
      </w:pPr>
      <w:r>
        <w:t>Mitigation ambitions</w:t>
      </w:r>
    </w:p>
    <w:p w14:paraId="437AFF01" w14:textId="7F6CB69E" w:rsidR="00950ED2" w:rsidRDefault="00265C5B" w:rsidP="0007422F">
      <w:r>
        <w:t>Mitigation ambitions</w:t>
      </w:r>
      <w:r w:rsidR="003B6D42">
        <w:t>, at a high</w:t>
      </w:r>
      <w:r w:rsidR="00E504E2">
        <w:t xml:space="preserve"> </w:t>
      </w:r>
      <w:r w:rsidR="003B6D42">
        <w:t>level,</w:t>
      </w:r>
      <w:r>
        <w:t xml:space="preserve"> </w:t>
      </w:r>
      <w:r w:rsidR="00CA6E72">
        <w:t>outline</w:t>
      </w:r>
      <w:r w:rsidR="00D950D2">
        <w:t xml:space="preserve"> an</w:t>
      </w:r>
      <w:r w:rsidR="00CA6E72">
        <w:t xml:space="preserve"> </w:t>
      </w:r>
      <w:r w:rsidR="00D950D2">
        <w:t>organisation</w:t>
      </w:r>
      <w:r w:rsidR="00963E59">
        <w:t>’</w:t>
      </w:r>
      <w:r w:rsidR="00D950D2">
        <w:t xml:space="preserve">s </w:t>
      </w:r>
      <w:r w:rsidR="00853ED9">
        <w:t xml:space="preserve">objectives </w:t>
      </w:r>
      <w:r w:rsidR="0027529E">
        <w:t>to reduce</w:t>
      </w:r>
      <w:r w:rsidR="00031CC0">
        <w:t xml:space="preserve"> </w:t>
      </w:r>
      <w:r w:rsidR="00915BF2">
        <w:t>greenhouse</w:t>
      </w:r>
      <w:r w:rsidR="006B2D95">
        <w:t> </w:t>
      </w:r>
      <w:r w:rsidR="00915BF2">
        <w:t>gas</w:t>
      </w:r>
      <w:r w:rsidR="006B2D95">
        <w:t> </w:t>
      </w:r>
      <w:r w:rsidR="00915BF2">
        <w:t>(</w:t>
      </w:r>
      <w:r w:rsidR="00031CC0">
        <w:t>GHG</w:t>
      </w:r>
      <w:r w:rsidR="00915BF2">
        <w:t>)</w:t>
      </w:r>
      <w:r w:rsidR="0027529E">
        <w:t xml:space="preserve"> emissions</w:t>
      </w:r>
      <w:r w:rsidR="00853ED9">
        <w:t xml:space="preserve"> and its approach to the transition. These</w:t>
      </w:r>
      <w:r w:rsidR="00DE6630">
        <w:t xml:space="preserve"> can cover a range of operations and processes</w:t>
      </w:r>
      <w:r w:rsidR="0027529E">
        <w:t>. An example of a mitigation ambition may be to accelerate decarbonisation</w:t>
      </w:r>
      <w:r w:rsidR="001F58CE">
        <w:t xml:space="preserve"> and develop new products that help customers reduce their energy use</w:t>
      </w:r>
      <w:r w:rsidR="00DE6630">
        <w:t>.</w:t>
      </w:r>
    </w:p>
    <w:p w14:paraId="47120DB9" w14:textId="240A63DD" w:rsidR="00E91B9B" w:rsidRDefault="005E54F9" w:rsidP="0007422F">
      <w:r>
        <w:t xml:space="preserve">Stakeholders, including investors, </w:t>
      </w:r>
      <w:r w:rsidRPr="006D7224">
        <w:t xml:space="preserve">often </w:t>
      </w:r>
      <w:r>
        <w:t>judge the credibility of</w:t>
      </w:r>
      <w:r w:rsidRPr="006D7224">
        <w:t xml:space="preserve"> mitigation ambitions </w:t>
      </w:r>
      <w:r>
        <w:t xml:space="preserve">by </w:t>
      </w:r>
      <w:r w:rsidR="00031CC0">
        <w:t xml:space="preserve">the </w:t>
      </w:r>
      <w:r>
        <w:t>level of</w:t>
      </w:r>
      <w:r w:rsidRPr="006D7224">
        <w:t xml:space="preserve"> ambition</w:t>
      </w:r>
      <w:r>
        <w:t xml:space="preserve"> and whether</w:t>
      </w:r>
      <w:r w:rsidR="00DE6630">
        <w:t xml:space="preserve"> they are</w:t>
      </w:r>
      <w:r w:rsidRPr="006D7224">
        <w:t xml:space="preserve"> achievable and align</w:t>
      </w:r>
      <w:r w:rsidR="00EE51FA">
        <w:t xml:space="preserve"> with</w:t>
      </w:r>
      <w:r w:rsidRPr="006D7224">
        <w:t xml:space="preserve"> relevant international </w:t>
      </w:r>
      <w:r>
        <w:t>and</w:t>
      </w:r>
      <w:r w:rsidRPr="006D7224">
        <w:t xml:space="preserve"> domestic commitments</w:t>
      </w:r>
      <w:r>
        <w:t xml:space="preserve"> and frameworks</w:t>
      </w:r>
      <w:r w:rsidRPr="006D7224">
        <w:t xml:space="preserve">. </w:t>
      </w:r>
    </w:p>
    <w:p w14:paraId="750966F9" w14:textId="59DB98DE" w:rsidR="00A44FBC" w:rsidRDefault="00BF3322" w:rsidP="00E63393">
      <w:pPr>
        <w:pStyle w:val="Heading4"/>
      </w:pPr>
      <w:r>
        <w:t>A</w:t>
      </w:r>
      <w:r w:rsidR="003157C8">
        <w:t>ligning</w:t>
      </w:r>
      <w:r>
        <w:t xml:space="preserve"> </w:t>
      </w:r>
      <w:r w:rsidR="00AB4EEB">
        <w:t xml:space="preserve">with </w:t>
      </w:r>
      <w:r w:rsidR="00A44FBC">
        <w:t xml:space="preserve">international </w:t>
      </w:r>
      <w:r w:rsidR="00BA1B0A">
        <w:t xml:space="preserve">climate </w:t>
      </w:r>
      <w:r w:rsidR="00A44FBC">
        <w:t>agreements</w:t>
      </w:r>
      <w:r w:rsidR="002D0E36">
        <w:t xml:space="preserve"> and national targets</w:t>
      </w:r>
    </w:p>
    <w:p w14:paraId="5706071C" w14:textId="5E15404F" w:rsidR="00785C7A" w:rsidRDefault="00B34889" w:rsidP="00A44FBC">
      <w:pPr>
        <w:rPr>
          <w:lang w:val="en-US"/>
        </w:rPr>
      </w:pPr>
      <w:r>
        <w:t xml:space="preserve">International climate commitments can help inform </w:t>
      </w:r>
      <w:r w:rsidR="008B1F4A">
        <w:t xml:space="preserve">mitigation </w:t>
      </w:r>
      <w:r w:rsidR="000D2860">
        <w:t>ambitions</w:t>
      </w:r>
      <w:r>
        <w:t xml:space="preserve">. </w:t>
      </w:r>
      <w:r w:rsidR="00C82E76">
        <w:t xml:space="preserve">The Australian </w:t>
      </w:r>
      <w:r w:rsidR="008160CF">
        <w:t>Government is party to the Paris Agreement, which aims to hold the increase in global average temperature to well below 2</w:t>
      </w:r>
      <w:r w:rsidR="00375C8F" w:rsidRPr="00375C8F">
        <w:rPr>
          <w:lang w:val="en-US"/>
        </w:rPr>
        <w:t>°</w:t>
      </w:r>
      <w:r w:rsidR="00375C8F">
        <w:rPr>
          <w:lang w:val="en-US"/>
        </w:rPr>
        <w:t>C above pre</w:t>
      </w:r>
      <w:r w:rsidR="00963E59">
        <w:rPr>
          <w:lang w:val="en-US"/>
        </w:rPr>
        <w:noBreakHyphen/>
      </w:r>
      <w:r w:rsidR="00375C8F">
        <w:rPr>
          <w:lang w:val="en-US"/>
        </w:rPr>
        <w:t>industrial levels and pursue efforts to limit the temperature increase to 1.5</w:t>
      </w:r>
      <w:r w:rsidR="00375C8F" w:rsidRPr="00375C8F">
        <w:rPr>
          <w:lang w:val="en-US"/>
        </w:rPr>
        <w:t>°</w:t>
      </w:r>
      <w:r w:rsidR="00375C8F">
        <w:rPr>
          <w:lang w:val="en-US"/>
        </w:rPr>
        <w:t xml:space="preserve">C. </w:t>
      </w:r>
      <w:r w:rsidR="00375C8F">
        <w:rPr>
          <w:lang w:val="en-US"/>
        </w:rPr>
        <w:lastRenderedPageBreak/>
        <w:t>The Australian Government has legislated an emissions reduction target of 43</w:t>
      </w:r>
      <w:r w:rsidR="005A6905">
        <w:rPr>
          <w:lang w:val="en-US"/>
        </w:rPr>
        <w:t xml:space="preserve"> per cent</w:t>
      </w:r>
      <w:r w:rsidR="00375C8F">
        <w:rPr>
          <w:lang w:val="en-US"/>
        </w:rPr>
        <w:t xml:space="preserve"> below 2005</w:t>
      </w:r>
      <w:r w:rsidR="006B2D95">
        <w:rPr>
          <w:lang w:val="en-US"/>
        </w:rPr>
        <w:t> </w:t>
      </w:r>
      <w:r w:rsidR="00375C8F">
        <w:rPr>
          <w:lang w:val="en-US"/>
        </w:rPr>
        <w:t xml:space="preserve">levels by 2030, and net zero by 2050. </w:t>
      </w:r>
    </w:p>
    <w:p w14:paraId="6FC42965" w14:textId="62B39AE0" w:rsidR="00C82E76" w:rsidRDefault="009873AB" w:rsidP="00A44FBC">
      <w:pPr>
        <w:rPr>
          <w:lang w:val="en-US"/>
        </w:rPr>
      </w:pPr>
      <w:r>
        <w:rPr>
          <w:lang w:val="en-US"/>
        </w:rPr>
        <w:t xml:space="preserve">In September 2025, </w:t>
      </w:r>
      <w:r w:rsidR="00E365A7">
        <w:rPr>
          <w:lang w:val="en-US"/>
        </w:rPr>
        <w:t>the Government announced a 2035 emissions reduction target of 62</w:t>
      </w:r>
      <w:r w:rsidR="00BC7556">
        <w:rPr>
          <w:lang w:val="en-US"/>
        </w:rPr>
        <w:t> </w:t>
      </w:r>
      <w:r w:rsidR="00E365A7">
        <w:rPr>
          <w:lang w:val="en-US"/>
        </w:rPr>
        <w:t>to</w:t>
      </w:r>
      <w:r w:rsidR="00BC7556">
        <w:rPr>
          <w:lang w:val="en-US"/>
        </w:rPr>
        <w:t> </w:t>
      </w:r>
      <w:r w:rsidR="00E365A7">
        <w:rPr>
          <w:lang w:val="en-US"/>
        </w:rPr>
        <w:t>70</w:t>
      </w:r>
      <w:r w:rsidR="006B2D95">
        <w:rPr>
          <w:lang w:val="en-US"/>
        </w:rPr>
        <w:t> </w:t>
      </w:r>
      <w:r w:rsidR="009C0C07">
        <w:rPr>
          <w:lang w:val="en-US"/>
        </w:rPr>
        <w:t>per</w:t>
      </w:r>
      <w:r w:rsidR="006B2D95">
        <w:rPr>
          <w:lang w:val="en-US"/>
        </w:rPr>
        <w:t> </w:t>
      </w:r>
      <w:r w:rsidR="009C0C07">
        <w:rPr>
          <w:lang w:val="en-US"/>
        </w:rPr>
        <w:t>cent</w:t>
      </w:r>
      <w:r w:rsidR="009C2798">
        <w:rPr>
          <w:lang w:val="en-US"/>
        </w:rPr>
        <w:t xml:space="preserve"> </w:t>
      </w:r>
      <w:r w:rsidR="00E365A7">
        <w:rPr>
          <w:lang w:val="en-US"/>
        </w:rPr>
        <w:t xml:space="preserve">below 2005 levels. </w:t>
      </w:r>
      <w:bookmarkStart w:id="151" w:name="_Hlk216367020"/>
      <w:r w:rsidR="006D313E">
        <w:rPr>
          <w:lang w:val="en-US"/>
        </w:rPr>
        <w:t>T</w:t>
      </w:r>
      <w:r w:rsidR="00122217">
        <w:rPr>
          <w:lang w:val="en-US"/>
        </w:rPr>
        <w:t>hese targets form part of Australia</w:t>
      </w:r>
      <w:r w:rsidR="00963E59">
        <w:rPr>
          <w:lang w:val="en-US"/>
        </w:rPr>
        <w:t>’</w:t>
      </w:r>
      <w:r w:rsidR="00122217">
        <w:rPr>
          <w:lang w:val="en-US"/>
        </w:rPr>
        <w:t xml:space="preserve">s </w:t>
      </w:r>
      <w:r w:rsidR="00031CC0">
        <w:rPr>
          <w:lang w:val="en-US"/>
        </w:rPr>
        <w:t>Nationally Determined Contributions</w:t>
      </w:r>
      <w:r w:rsidR="00122217">
        <w:rPr>
          <w:lang w:val="en-US"/>
        </w:rPr>
        <w:t xml:space="preserve">, submitted to the United Nations, and can be found on the </w:t>
      </w:r>
      <w:bookmarkEnd w:id="151"/>
      <w:r w:rsidR="00325D20">
        <w:rPr>
          <w:lang w:val="en-US"/>
        </w:rPr>
        <w:fldChar w:fldCharType="begin"/>
      </w:r>
      <w:r w:rsidR="00325D20">
        <w:rPr>
          <w:lang w:val="en-US"/>
        </w:rPr>
        <w:instrText>HYPERLINK "https://unfccc.int/NDCREG"</w:instrText>
      </w:r>
      <w:r w:rsidR="00325D20">
        <w:rPr>
          <w:lang w:val="en-US"/>
        </w:rPr>
      </w:r>
      <w:r w:rsidR="00325D20">
        <w:rPr>
          <w:lang w:val="en-US"/>
        </w:rPr>
        <w:fldChar w:fldCharType="separate"/>
      </w:r>
      <w:r w:rsidR="00122217" w:rsidRPr="00325D20">
        <w:rPr>
          <w:rStyle w:val="Hyperlink"/>
          <w:lang w:val="en-US"/>
        </w:rPr>
        <w:t>N</w:t>
      </w:r>
      <w:r w:rsidR="009077AD" w:rsidRPr="00325D20">
        <w:rPr>
          <w:rStyle w:val="Hyperlink"/>
          <w:lang w:val="en-US"/>
        </w:rPr>
        <w:t>ationally Determined Contributions</w:t>
      </w:r>
      <w:r w:rsidR="00122217" w:rsidRPr="00325D20">
        <w:rPr>
          <w:rStyle w:val="Hyperlink"/>
          <w:lang w:val="en-US"/>
        </w:rPr>
        <w:t xml:space="preserve"> Registry</w:t>
      </w:r>
      <w:r w:rsidR="00325D20">
        <w:rPr>
          <w:lang w:val="en-US"/>
        </w:rPr>
        <w:fldChar w:fldCharType="end"/>
      </w:r>
      <w:r w:rsidR="00122217">
        <w:rPr>
          <w:lang w:val="en-US"/>
        </w:rPr>
        <w:t>.</w:t>
      </w:r>
      <w:r w:rsidR="000B0835" w:rsidRPr="00760C98">
        <w:rPr>
          <w:rStyle w:val="FootnoteReference"/>
        </w:rPr>
        <w:endnoteReference w:id="80"/>
      </w:r>
    </w:p>
    <w:p w14:paraId="35C237ED" w14:textId="41CDC893" w:rsidR="00A2780A" w:rsidRDefault="00A2780A" w:rsidP="00A44FBC">
      <w:r>
        <w:t>Many Australian companies have operations or value chains outside Australia</w:t>
      </w:r>
      <w:r w:rsidR="009077AD">
        <w:t>,</w:t>
      </w:r>
      <w:r>
        <w:t xml:space="preserve"> </w:t>
      </w:r>
      <w:r w:rsidR="009077AD">
        <w:t xml:space="preserve">which </w:t>
      </w:r>
      <w:r w:rsidR="00227B3B">
        <w:t>can</w:t>
      </w:r>
      <w:r>
        <w:t xml:space="preserve"> be impacted by </w:t>
      </w:r>
      <w:r w:rsidR="00CB2037">
        <w:t xml:space="preserve">other </w:t>
      </w:r>
      <w:r>
        <w:t xml:space="preserve">international climate agreements and targets. </w:t>
      </w:r>
      <w:r w:rsidR="00DF5523">
        <w:t>Also m</w:t>
      </w:r>
      <w:r>
        <w:t>eeting these commitments can support resilience and competitiveness in overseas markets</w:t>
      </w:r>
      <w:r w:rsidDel="001B3084">
        <w:t>.</w:t>
      </w:r>
    </w:p>
    <w:p w14:paraId="599734BF" w14:textId="386786DD" w:rsidR="0049139C" w:rsidRDefault="0049139C" w:rsidP="0049139C">
      <w:pPr>
        <w:pStyle w:val="Heading4"/>
      </w:pPr>
      <w:r>
        <w:t>Considering domestic policies</w:t>
      </w:r>
    </w:p>
    <w:p w14:paraId="1D28CC89" w14:textId="30D966B0" w:rsidR="008E4E7D" w:rsidRDefault="002B1EF2" w:rsidP="00E11A41">
      <w:r>
        <w:t>D</w:t>
      </w:r>
      <w:r w:rsidR="00ED2B22">
        <w:t>omestic mitigation policies</w:t>
      </w:r>
      <w:r w:rsidR="00A767F2">
        <w:t xml:space="preserve"> </w:t>
      </w:r>
      <w:r>
        <w:t xml:space="preserve">can help inform </w:t>
      </w:r>
      <w:r w:rsidR="000D2860">
        <w:t>mitigation ambitions</w:t>
      </w:r>
      <w:r w:rsidR="007548F2">
        <w:t>, which can</w:t>
      </w:r>
      <w:r w:rsidR="00EC16BC">
        <w:t xml:space="preserve"> </w:t>
      </w:r>
      <w:r w:rsidR="00576CA7">
        <w:t xml:space="preserve">support </w:t>
      </w:r>
      <w:r w:rsidR="00A05ECD">
        <w:t xml:space="preserve">the </w:t>
      </w:r>
      <w:r w:rsidR="00D778C3">
        <w:t>achievement of</w:t>
      </w:r>
      <w:r w:rsidR="00576CA7">
        <w:t xml:space="preserve"> </w:t>
      </w:r>
      <w:r w:rsidR="008E4E7D">
        <w:t>Australia</w:t>
      </w:r>
      <w:r w:rsidR="00963E59">
        <w:t>’</w:t>
      </w:r>
      <w:r w:rsidR="008E4E7D">
        <w:t xml:space="preserve">s </w:t>
      </w:r>
      <w:r w:rsidR="009B43CB">
        <w:t>broader</w:t>
      </w:r>
      <w:r w:rsidR="007548F2">
        <w:t xml:space="preserve"> climate</w:t>
      </w:r>
      <w:r w:rsidR="008E4E7D">
        <w:t xml:space="preserve"> goals.</w:t>
      </w:r>
      <w:r w:rsidR="007A78F1">
        <w:t xml:space="preserve"> Th</w:t>
      </w:r>
      <w:r w:rsidR="00335A83">
        <w:t xml:space="preserve">is section </w:t>
      </w:r>
      <w:r w:rsidR="00EA5FD6">
        <w:t>highlight</w:t>
      </w:r>
      <w:r w:rsidR="00335A83">
        <w:t>s</w:t>
      </w:r>
      <w:r w:rsidR="00D94286">
        <w:t xml:space="preserve"> </w:t>
      </w:r>
      <w:r w:rsidR="00EA5FD6">
        <w:t>Australian</w:t>
      </w:r>
      <w:r w:rsidR="006B2D95">
        <w:t> </w:t>
      </w:r>
      <w:r w:rsidR="00EA5FD6">
        <w:t xml:space="preserve">Government </w:t>
      </w:r>
      <w:r w:rsidR="00D94286">
        <w:t>policies</w:t>
      </w:r>
      <w:r w:rsidR="00EA5FD6">
        <w:t>.</w:t>
      </w:r>
      <w:r w:rsidR="00D94286">
        <w:t xml:space="preserve"> </w:t>
      </w:r>
      <w:r w:rsidR="00EA5FD6">
        <w:t>O</w:t>
      </w:r>
      <w:r w:rsidR="00D94286">
        <w:t>rganisations should consider the most up</w:t>
      </w:r>
      <w:r w:rsidR="00963E59">
        <w:noBreakHyphen/>
      </w:r>
      <w:r w:rsidR="00D94286">
        <w:t>to</w:t>
      </w:r>
      <w:r w:rsidR="00963E59">
        <w:noBreakHyphen/>
      </w:r>
      <w:r w:rsidR="00D94286">
        <w:t>date information</w:t>
      </w:r>
      <w:r w:rsidR="005C0B7E">
        <w:t xml:space="preserve"> to understand any </w:t>
      </w:r>
      <w:r w:rsidR="007E5537">
        <w:t xml:space="preserve">relevant </w:t>
      </w:r>
      <w:r w:rsidR="005C0B7E">
        <w:t>obligations</w:t>
      </w:r>
      <w:r w:rsidR="002A1BE7">
        <w:t xml:space="preserve"> </w:t>
      </w:r>
      <w:r w:rsidR="003E101B">
        <w:t xml:space="preserve">and </w:t>
      </w:r>
      <w:r w:rsidR="005F7ECF">
        <w:t xml:space="preserve">refer to </w:t>
      </w:r>
      <w:r w:rsidR="004158F6">
        <w:t>other relevant policies</w:t>
      </w:r>
      <w:r w:rsidR="00D624B3">
        <w:t>, plans and guidance developed by state, territory and local governments</w:t>
      </w:r>
      <w:r w:rsidR="004158F6">
        <w:t xml:space="preserve"> </w:t>
      </w:r>
      <w:r w:rsidR="00475FA0">
        <w:t>(</w:t>
      </w:r>
      <w:hyperlink w:anchor="BOX18" w:history="1">
        <w:r w:rsidR="00107ADB">
          <w:rPr>
            <w:rStyle w:val="Hyperlink"/>
          </w:rPr>
          <w:t>Box 16</w:t>
        </w:r>
      </w:hyperlink>
      <w:r w:rsidR="00475FA0">
        <w:t>)</w:t>
      </w:r>
      <w:r w:rsidR="00D94286">
        <w:t>.</w:t>
      </w:r>
      <w:r w:rsidR="00317F23">
        <w:t xml:space="preserve"> </w:t>
      </w:r>
    </w:p>
    <w:p w14:paraId="645440CB" w14:textId="10C680E7" w:rsidR="00DA5E86" w:rsidRPr="00E11A41" w:rsidRDefault="00343D30" w:rsidP="00E11A41">
      <w:r>
        <w:t>First, o</w:t>
      </w:r>
      <w:r w:rsidR="00841883">
        <w:t xml:space="preserve">rganisations </w:t>
      </w:r>
      <w:r>
        <w:t xml:space="preserve">must </w:t>
      </w:r>
      <w:r w:rsidR="00841883">
        <w:t xml:space="preserve">consider </w:t>
      </w:r>
      <w:r>
        <w:t>any regulatory</w:t>
      </w:r>
      <w:r w:rsidR="002F7475">
        <w:t xml:space="preserve"> obligations for</w:t>
      </w:r>
      <w:r w:rsidR="00237009">
        <w:t xml:space="preserve"> GHG</w:t>
      </w:r>
      <w:r w:rsidR="002F7475">
        <w:t xml:space="preserve"> </w:t>
      </w:r>
      <w:r w:rsidR="00704891">
        <w:t>emissions reductions</w:t>
      </w:r>
      <w:r w:rsidR="00702B34">
        <w:t xml:space="preserve"> or other mitigation </w:t>
      </w:r>
      <w:r w:rsidR="005923DD">
        <w:t>requirements</w:t>
      </w:r>
      <w:r w:rsidR="003B7255">
        <w:t>, including</w:t>
      </w:r>
      <w:r w:rsidR="001C3345">
        <w:t xml:space="preserve"> the following</w:t>
      </w:r>
      <w:r w:rsidR="003B7255">
        <w:t>:</w:t>
      </w:r>
    </w:p>
    <w:p w14:paraId="2ADC8C30" w14:textId="73283F34" w:rsidR="00AE3428" w:rsidRDefault="00AE3428" w:rsidP="00DB6514">
      <w:pPr>
        <w:pStyle w:val="Bullet"/>
      </w:pPr>
      <w:r>
        <w:t xml:space="preserve">The </w:t>
      </w:r>
      <w:hyperlink r:id="rId121">
        <w:r w:rsidRPr="58601017">
          <w:rPr>
            <w:rStyle w:val="Hyperlink"/>
          </w:rPr>
          <w:t>Safeguard Mechanism</w:t>
        </w:r>
      </w:hyperlink>
      <w:r w:rsidR="003F6A84" w:rsidRPr="00760C98">
        <w:rPr>
          <w:rStyle w:val="FootnoteReference"/>
        </w:rPr>
        <w:endnoteReference w:id="81"/>
      </w:r>
      <w:r w:rsidR="002E19C9">
        <w:t xml:space="preserve"> </w:t>
      </w:r>
      <w:r>
        <w:t xml:space="preserve">is the main policy mechanism for industrial emissions reduction featuring a declining cap (or </w:t>
      </w:r>
      <w:r w:rsidR="00963E59">
        <w:t>‘</w:t>
      </w:r>
      <w:r>
        <w:t>baseline</w:t>
      </w:r>
      <w:r w:rsidR="00963E59">
        <w:t>’</w:t>
      </w:r>
      <w:r>
        <w:t xml:space="preserve">) on emissions for covered facilities. </w:t>
      </w:r>
      <w:r w:rsidR="00A103E6">
        <w:t>Facilities</w:t>
      </w:r>
      <w:r w:rsidR="00A103E6" w:rsidDel="005E4FE0">
        <w:t xml:space="preserve"> </w:t>
      </w:r>
      <w:r w:rsidR="005E4FE0">
        <w:t>covered by</w:t>
      </w:r>
      <w:r w:rsidR="00A103E6">
        <w:t xml:space="preserve"> the</w:t>
      </w:r>
      <w:r>
        <w:t xml:space="preserve"> Safeguard Mechanism </w:t>
      </w:r>
      <w:r w:rsidR="00A103E6">
        <w:t xml:space="preserve">are required to </w:t>
      </w:r>
      <w:r w:rsidR="003E24B1">
        <w:t xml:space="preserve">manage </w:t>
      </w:r>
      <w:r w:rsidR="002A00F9">
        <w:t xml:space="preserve">any </w:t>
      </w:r>
      <w:r w:rsidR="006F11F1">
        <w:t>net</w:t>
      </w:r>
      <w:r w:rsidR="00237009">
        <w:t xml:space="preserve"> GHG</w:t>
      </w:r>
      <w:r w:rsidR="006F11F1">
        <w:t xml:space="preserve"> </w:t>
      </w:r>
      <w:r>
        <w:t>emissions</w:t>
      </w:r>
      <w:r w:rsidR="00595D45">
        <w:t xml:space="preserve"> that exceed their baseli</w:t>
      </w:r>
      <w:r w:rsidR="002F2796">
        <w:t>ne</w:t>
      </w:r>
      <w:r w:rsidR="00A93E9A">
        <w:t>s</w:t>
      </w:r>
      <w:r w:rsidR="00FF4D8A">
        <w:t>.</w:t>
      </w:r>
      <w:r>
        <w:t xml:space="preserve"> </w:t>
      </w:r>
    </w:p>
    <w:p w14:paraId="17F437C1" w14:textId="4746232D" w:rsidR="008B624A" w:rsidRDefault="00D31B52" w:rsidP="00DB6514">
      <w:pPr>
        <w:pStyle w:val="Bullet"/>
      </w:pPr>
      <w:r>
        <w:t xml:space="preserve">The </w:t>
      </w:r>
      <w:hyperlink r:id="rId122" w:history="1">
        <w:r w:rsidRPr="00685650">
          <w:rPr>
            <w:rStyle w:val="Hyperlink"/>
          </w:rPr>
          <w:t>New Vehicle Efficiency Standard</w:t>
        </w:r>
      </w:hyperlink>
      <w:r w:rsidR="00D0406C" w:rsidRPr="00760C98">
        <w:rPr>
          <w:rStyle w:val="FootnoteReference"/>
        </w:rPr>
        <w:endnoteReference w:id="82"/>
      </w:r>
      <w:r w:rsidR="00FA7ECF">
        <w:t xml:space="preserve"> </w:t>
      </w:r>
      <w:r w:rsidR="006E4ECB">
        <w:t>sets</w:t>
      </w:r>
      <w:r>
        <w:t xml:space="preserve"> emissions standards across a supplier</w:t>
      </w:r>
      <w:r w:rsidR="00963E59">
        <w:t>’</w:t>
      </w:r>
      <w:r>
        <w:t>s fleet of vehicles.</w:t>
      </w:r>
    </w:p>
    <w:p w14:paraId="6B0EF18D" w14:textId="77777777" w:rsidR="00685650" w:rsidRDefault="00685650" w:rsidP="00DB6514">
      <w:pPr>
        <w:pStyle w:val="Bullet"/>
      </w:pPr>
      <w:r>
        <w:t xml:space="preserve">The </w:t>
      </w:r>
      <w:hyperlink r:id="rId123" w:history="1">
        <w:r w:rsidRPr="00325D20">
          <w:rPr>
            <w:rStyle w:val="Hyperlink"/>
          </w:rPr>
          <w:t>Renewable Energy Target</w:t>
        </w:r>
      </w:hyperlink>
      <w:r w:rsidRPr="00760C98">
        <w:rPr>
          <w:rStyle w:val="FootnoteReference"/>
        </w:rPr>
        <w:endnoteReference w:id="83"/>
      </w:r>
      <w:r>
        <w:t xml:space="preserve"> encourages the increase of renewables to help achieve Australia’s target of 82 per cent of renewable electricity by 2030. The </w:t>
      </w:r>
      <w:hyperlink r:id="rId124" w:history="1">
        <w:r w:rsidRPr="00325D20">
          <w:rPr>
            <w:rStyle w:val="Hyperlink"/>
          </w:rPr>
          <w:t>Capacity Investment Scheme</w:t>
        </w:r>
      </w:hyperlink>
      <w:r w:rsidRPr="00760C98">
        <w:rPr>
          <w:rStyle w:val="FootnoteReference"/>
        </w:rPr>
        <w:endnoteReference w:id="84"/>
      </w:r>
      <w:r>
        <w:t xml:space="preserve"> also contributes to supporting investment in renewable energy projects.</w:t>
      </w:r>
    </w:p>
    <w:p w14:paraId="3755AF53" w14:textId="77777777" w:rsidR="00685650" w:rsidRDefault="00685650" w:rsidP="00685650">
      <w:r>
        <w:t>Second, organisations may find it useful to consider other non</w:t>
      </w:r>
      <w:r>
        <w:noBreakHyphen/>
        <w:t>regulatory government material which outlines Australia’s economy</w:t>
      </w:r>
      <w:r>
        <w:noBreakHyphen/>
        <w:t>wide approach to achieving net zero, including the following:</w:t>
      </w:r>
    </w:p>
    <w:p w14:paraId="6D33DBCA" w14:textId="77777777" w:rsidR="00685650" w:rsidRDefault="00685650" w:rsidP="00DB6514">
      <w:pPr>
        <w:pStyle w:val="Bullet"/>
      </w:pPr>
      <w:r>
        <w:t xml:space="preserve">The </w:t>
      </w:r>
      <w:hyperlink r:id="rId125" w:history="1">
        <w:r w:rsidRPr="00D516BB">
          <w:rPr>
            <w:rStyle w:val="Hyperlink"/>
          </w:rPr>
          <w:t>Net Zero Plan</w:t>
        </w:r>
      </w:hyperlink>
      <w:r>
        <w:t xml:space="preserve"> and the </w:t>
      </w:r>
      <w:r w:rsidRPr="00D73DD0">
        <w:t xml:space="preserve">sector emissions </w:t>
      </w:r>
      <w:r>
        <w:t xml:space="preserve">reduction </w:t>
      </w:r>
      <w:r w:rsidRPr="00D73DD0">
        <w:t>plans</w:t>
      </w:r>
      <w:r>
        <w:t xml:space="preserve"> set out the Australian Government’s priorities in achieving a fair, orderly and efficient net zero transition. </w:t>
      </w:r>
    </w:p>
    <w:p w14:paraId="7983D003" w14:textId="77777777" w:rsidR="00685650" w:rsidRDefault="00685650" w:rsidP="00DB6514">
      <w:pPr>
        <w:pStyle w:val="Bullet"/>
      </w:pPr>
      <w:hyperlink r:id="rId126" w:history="1">
        <w:r w:rsidRPr="00325D20">
          <w:rPr>
            <w:rStyle w:val="Hyperlink"/>
          </w:rPr>
          <w:t>Australia’s Circular Economy Framework</w:t>
        </w:r>
      </w:hyperlink>
      <w:r w:rsidRPr="00760C98">
        <w:rPr>
          <w:rStyle w:val="FootnoteReference"/>
        </w:rPr>
        <w:endnoteReference w:id="85"/>
      </w:r>
      <w:r w:rsidDel="009E54CE">
        <w:t xml:space="preserve"> </w:t>
      </w:r>
      <w:r>
        <w:t>sets the pace and direction for Australia to double the circularity of the economy by 2035 – and encourages efforts to drive the net zero, nature</w:t>
      </w:r>
      <w:r>
        <w:noBreakHyphen/>
        <w:t>positive and economic growth agendas.</w:t>
      </w:r>
    </w:p>
    <w:p w14:paraId="50CFF834" w14:textId="77777777" w:rsidR="00685650" w:rsidRDefault="00685650" w:rsidP="00DB6514">
      <w:pPr>
        <w:pStyle w:val="Bullet"/>
      </w:pPr>
      <w:r>
        <w:t xml:space="preserve">The </w:t>
      </w:r>
      <w:hyperlink r:id="rId127" w:history="1">
        <w:r w:rsidRPr="00325D20">
          <w:rPr>
            <w:rStyle w:val="Hyperlink"/>
          </w:rPr>
          <w:t>National Electric Vehicle Strategy</w:t>
        </w:r>
      </w:hyperlink>
      <w:r w:rsidRPr="00760C98">
        <w:rPr>
          <w:rStyle w:val="FootnoteReference"/>
        </w:rPr>
        <w:endnoteReference w:id="86"/>
      </w:r>
      <w:r w:rsidRPr="007823E3" w:rsidDel="003B4069">
        <w:rPr>
          <w:szCs w:val="22"/>
        </w:rPr>
        <w:t xml:space="preserve"> </w:t>
      </w:r>
      <w:r w:rsidRPr="000910E1">
        <w:t>sets a vision to increase the uptake of electric vehicles to reduce emissions and improve the wellbeing of Australians</w:t>
      </w:r>
      <w:r>
        <w:t>.</w:t>
      </w:r>
    </w:p>
    <w:p w14:paraId="5571B922" w14:textId="77777777" w:rsidR="00685650" w:rsidRDefault="00685650" w:rsidP="00DB6514">
      <w:pPr>
        <w:pStyle w:val="Bullet"/>
      </w:pPr>
      <w:r>
        <w:t xml:space="preserve">The </w:t>
      </w:r>
      <w:hyperlink r:id="rId128" w:history="1">
        <w:r w:rsidRPr="00325D20">
          <w:rPr>
            <w:rStyle w:val="Hyperlink"/>
          </w:rPr>
          <w:t>First Nations Clean Energy Strategy</w:t>
        </w:r>
      </w:hyperlink>
      <w:r w:rsidRPr="00760C98">
        <w:rPr>
          <w:rStyle w:val="FootnoteReference"/>
        </w:rPr>
        <w:endnoteReference w:id="87"/>
      </w:r>
      <w:r w:rsidRPr="00760C98">
        <w:rPr>
          <w:rStyle w:val="FootnoteReference"/>
        </w:rPr>
        <w:t xml:space="preserve"> </w:t>
      </w:r>
      <w:r>
        <w:t xml:space="preserve"> outlines principles and actions required by government, industry and community to ensure First Nations peoples participate, and benefit from the transition to net zero.</w:t>
      </w:r>
    </w:p>
    <w:tbl>
      <w:tblPr>
        <w:tblW w:w="5000" w:type="pct"/>
        <w:shd w:val="clear" w:color="auto" w:fill="E3EDE8"/>
        <w:tblCellMar>
          <w:top w:w="227" w:type="dxa"/>
          <w:left w:w="227" w:type="dxa"/>
          <w:bottom w:w="227" w:type="dxa"/>
          <w:right w:w="227" w:type="dxa"/>
        </w:tblCellMar>
        <w:tblLook w:val="0620" w:firstRow="1" w:lastRow="0" w:firstColumn="0" w:lastColumn="0" w:noHBand="1" w:noVBand="1"/>
      </w:tblPr>
      <w:tblGrid>
        <w:gridCol w:w="9070"/>
      </w:tblGrid>
      <w:tr w:rsidR="006655D2" w:rsidRPr="00963E59" w14:paraId="0D04C1A0" w14:textId="77777777" w:rsidTr="00460C3E">
        <w:tc>
          <w:tcPr>
            <w:tcW w:w="5000" w:type="pct"/>
            <w:shd w:val="clear" w:color="auto" w:fill="E3EDE8"/>
            <w:hideMark/>
          </w:tcPr>
          <w:p w14:paraId="170D5E64" w14:textId="2C8C4889" w:rsidR="006655D2" w:rsidRPr="00963E59" w:rsidRDefault="006655D2" w:rsidP="00E964D5">
            <w:pPr>
              <w:pStyle w:val="BoxHeading"/>
            </w:pPr>
            <w:bookmarkStart w:id="152" w:name="BOX18"/>
            <w:bookmarkStart w:id="153" w:name="_Toc237351146"/>
            <w:bookmarkStart w:id="154" w:name="_Toc233287114"/>
            <w:bookmarkEnd w:id="152"/>
            <w:r w:rsidRPr="00963E59">
              <w:lastRenderedPageBreak/>
              <w:t xml:space="preserve">Box </w:t>
            </w:r>
            <w:r w:rsidR="00107ADB">
              <w:t>16</w:t>
            </w:r>
            <w:r w:rsidR="00466DD6" w:rsidRPr="00963E59">
              <w:t xml:space="preserve">. </w:t>
            </w:r>
            <w:r w:rsidR="00CC426C" w:rsidRPr="00963E59">
              <w:t>D</w:t>
            </w:r>
            <w:r w:rsidRPr="00963E59">
              <w:t>ecarbonisation</w:t>
            </w:r>
            <w:r w:rsidR="004F33C2" w:rsidRPr="00963E59">
              <w:t xml:space="preserve"> policies, </w:t>
            </w:r>
            <w:r w:rsidRPr="00963E59">
              <w:t xml:space="preserve">plans and </w:t>
            </w:r>
            <w:r w:rsidR="004F33C2" w:rsidRPr="00963E59">
              <w:t xml:space="preserve">targets </w:t>
            </w:r>
            <w:r w:rsidR="00CC426C" w:rsidRPr="00963E59">
              <w:t>across Australian</w:t>
            </w:r>
            <w:r w:rsidR="006B2D95" w:rsidRPr="00963E59">
              <w:t> </w:t>
            </w:r>
            <w:r w:rsidR="00CC426C" w:rsidRPr="00963E59">
              <w:t>governments</w:t>
            </w:r>
            <w:bookmarkEnd w:id="153"/>
            <w:bookmarkEnd w:id="154"/>
          </w:p>
          <w:p w14:paraId="7353ABA3" w14:textId="2F9A3203" w:rsidR="00CD15BB" w:rsidRPr="00963E59" w:rsidRDefault="00316FE6" w:rsidP="006655D2">
            <w:pPr>
              <w:pStyle w:val="BoxText"/>
            </w:pPr>
            <w:r w:rsidRPr="00963E59">
              <w:t>Along with the federal government, a</w:t>
            </w:r>
            <w:r w:rsidR="006655D2" w:rsidRPr="00963E59">
              <w:t xml:space="preserve">ll state and territory governments have set net zero targets by 2050 or </w:t>
            </w:r>
            <w:r w:rsidR="00E714BF" w:rsidRPr="00963E59">
              <w:t>earlier</w:t>
            </w:r>
            <w:r w:rsidR="006655D2" w:rsidRPr="00963E59">
              <w:t xml:space="preserve">. Some local </w:t>
            </w:r>
            <w:r w:rsidR="00264C0D" w:rsidRPr="00963E59">
              <w:t>governments</w:t>
            </w:r>
            <w:r w:rsidR="00DF4B07" w:rsidRPr="00963E59">
              <w:t xml:space="preserve"> have </w:t>
            </w:r>
            <w:r w:rsidR="006655D2" w:rsidRPr="00963E59">
              <w:t xml:space="preserve">also </w:t>
            </w:r>
            <w:r w:rsidR="007234DA" w:rsidRPr="00963E59">
              <w:t>established</w:t>
            </w:r>
            <w:r w:rsidR="006655D2" w:rsidRPr="00963E59">
              <w:t xml:space="preserve"> decarbonisation </w:t>
            </w:r>
            <w:r w:rsidR="00264C0D" w:rsidRPr="00963E59">
              <w:t>or emission</w:t>
            </w:r>
            <w:r w:rsidR="00CD15BB" w:rsidRPr="00963E59">
              <w:t xml:space="preserve"> </w:t>
            </w:r>
            <w:r w:rsidR="00264C0D" w:rsidRPr="00963E59">
              <w:t xml:space="preserve">reduction </w:t>
            </w:r>
            <w:r w:rsidR="006655D2" w:rsidRPr="00963E59">
              <w:t xml:space="preserve">goals. </w:t>
            </w:r>
          </w:p>
          <w:p w14:paraId="3C543360" w14:textId="37ADBE24" w:rsidR="006655D2" w:rsidRPr="00963E59" w:rsidRDefault="006655D2" w:rsidP="006655D2">
            <w:pPr>
              <w:pStyle w:val="BoxText"/>
            </w:pPr>
            <w:r w:rsidRPr="00963E59">
              <w:t xml:space="preserve">Organisations may find opportunities to </w:t>
            </w:r>
            <w:r w:rsidR="001F2D96" w:rsidRPr="00963E59">
              <w:t>draw on polic</w:t>
            </w:r>
            <w:r w:rsidR="00CA36E5" w:rsidRPr="00963E59">
              <w:t>i</w:t>
            </w:r>
            <w:r w:rsidR="001F2D96" w:rsidRPr="00963E59">
              <w:t>es, plans and targets ac</w:t>
            </w:r>
            <w:r w:rsidR="00334E8F" w:rsidRPr="00963E59">
              <w:t xml:space="preserve">ross all levels of government to inform and </w:t>
            </w:r>
            <w:r w:rsidRPr="00963E59">
              <w:t>support their mitigation ambition</w:t>
            </w:r>
            <w:r w:rsidR="00334E8F" w:rsidRPr="00963E59">
              <w:t>s</w:t>
            </w:r>
            <w:r w:rsidRPr="00963E59">
              <w:t>.</w:t>
            </w:r>
          </w:p>
          <w:p w14:paraId="6475F6DD" w14:textId="563AF8AB" w:rsidR="00106057" w:rsidRPr="00963E59" w:rsidRDefault="00067045" w:rsidP="006655D2">
            <w:pPr>
              <w:pStyle w:val="BoxText"/>
            </w:pPr>
            <w:r w:rsidRPr="00963E59">
              <w:t>Examples of a</w:t>
            </w:r>
            <w:r w:rsidR="00106057" w:rsidRPr="00963E59">
              <w:t>vailable resources:</w:t>
            </w:r>
          </w:p>
          <w:p w14:paraId="1EAB754C" w14:textId="1AC6A26F" w:rsidR="006655D2" w:rsidRPr="00963E59" w:rsidRDefault="006655D2" w:rsidP="00DB6514">
            <w:pPr>
              <w:pStyle w:val="Boxbullet"/>
              <w:rPr>
                <w:lang w:eastAsia="en-US"/>
              </w:rPr>
            </w:pPr>
            <w:hyperlink r:id="rId129">
              <w:r w:rsidRPr="00963E59">
                <w:rPr>
                  <w:rStyle w:val="Hyperlink"/>
                  <w:lang w:eastAsia="en-US"/>
                </w:rPr>
                <w:t>Snapshot Climate</w:t>
              </w:r>
            </w:hyperlink>
            <w:r w:rsidRPr="00963E59">
              <w:rPr>
                <w:rStyle w:val="FootnoteReference"/>
              </w:rPr>
              <w:endnoteReference w:id="88"/>
            </w:r>
            <w:r w:rsidRPr="00DB6514">
              <w:rPr>
                <w:rStyle w:val="FootnoteReference"/>
                <w:sz w:val="22"/>
                <w:szCs w:val="22"/>
              </w:rPr>
              <w:t xml:space="preserve"> </w:t>
            </w:r>
            <w:r w:rsidRPr="00963E59">
              <w:rPr>
                <w:lang w:eastAsia="en-US"/>
              </w:rPr>
              <w:t>has downloadable emissions and climate profiles for all states and territories and all 537</w:t>
            </w:r>
            <w:r w:rsidR="006B2D95" w:rsidRPr="00963E59">
              <w:rPr>
                <w:lang w:eastAsia="en-US"/>
              </w:rPr>
              <w:t> </w:t>
            </w:r>
            <w:r w:rsidRPr="00963E59">
              <w:rPr>
                <w:lang w:eastAsia="en-US"/>
              </w:rPr>
              <w:t>local government areas.</w:t>
            </w:r>
          </w:p>
          <w:p w14:paraId="7E292F33" w14:textId="0CCF2969" w:rsidR="006655D2" w:rsidRPr="00963E59" w:rsidRDefault="006655D2" w:rsidP="00DB6514">
            <w:pPr>
              <w:pStyle w:val="Boxbullet"/>
              <w:rPr>
                <w:lang w:eastAsia="en-US"/>
              </w:rPr>
            </w:pPr>
            <w:hyperlink r:id="rId130">
              <w:r w:rsidRPr="00963E59">
                <w:rPr>
                  <w:rStyle w:val="Hyperlink"/>
                  <w:lang w:eastAsia="en-US"/>
                </w:rPr>
                <w:t>Climate Policy Tracker</w:t>
              </w:r>
            </w:hyperlink>
            <w:r w:rsidRPr="00963E59">
              <w:rPr>
                <w:rStyle w:val="FootnoteReference"/>
              </w:rPr>
              <w:endnoteReference w:id="89"/>
            </w:r>
            <w:r w:rsidRPr="00963E59">
              <w:rPr>
                <w:rStyle w:val="FootnoteReference"/>
              </w:rPr>
              <w:t xml:space="preserve"> </w:t>
            </w:r>
            <w:r w:rsidRPr="00963E59">
              <w:rPr>
                <w:lang w:eastAsia="en-US"/>
              </w:rPr>
              <w:t>compiles over 400 climate policies and actions across federal, state and territory, and local government levels</w:t>
            </w:r>
            <w:r w:rsidR="0054402D" w:rsidRPr="00963E59">
              <w:rPr>
                <w:lang w:eastAsia="en-US"/>
              </w:rPr>
              <w:t xml:space="preserve">. It </w:t>
            </w:r>
            <w:r w:rsidRPr="00963E59">
              <w:rPr>
                <w:lang w:eastAsia="en-US"/>
              </w:rPr>
              <w:t>is updated annually.</w:t>
            </w:r>
          </w:p>
        </w:tc>
      </w:tr>
    </w:tbl>
    <w:p w14:paraId="0A84C19D" w14:textId="77777777" w:rsidR="006655D2" w:rsidRDefault="006655D2" w:rsidP="00D64CEC">
      <w:pPr>
        <w:pStyle w:val="SingleParagraph"/>
      </w:pPr>
    </w:p>
    <w:p w14:paraId="474A613F" w14:textId="1001EAA6" w:rsidR="0007422F" w:rsidRDefault="00497B69" w:rsidP="0007422F">
      <w:pPr>
        <w:pStyle w:val="Heading3"/>
      </w:pPr>
      <w:bookmarkStart w:id="155" w:name="BOX19"/>
      <w:bookmarkEnd w:id="155"/>
      <w:r>
        <w:t>Adaptation ambitions</w:t>
      </w:r>
    </w:p>
    <w:p w14:paraId="257AAB2F" w14:textId="77777777" w:rsidR="00685650" w:rsidRDefault="00685650" w:rsidP="00685650">
      <w:r>
        <w:t>Adaptation ambitions outline how organisations plan to adjust to the physical impacts from climate change. They are identified through assessment of organisational resilience, reflecting current and expected risks. This</w:t>
      </w:r>
      <w:r w:rsidDel="008A0F27">
        <w:t xml:space="preserve"> </w:t>
      </w:r>
      <w:r>
        <w:t xml:space="preserve">is outlined in the Council of Australian Government’s </w:t>
      </w:r>
      <w:hyperlink r:id="rId131" w:history="1">
        <w:r w:rsidRPr="00325D20">
          <w:rPr>
            <w:rStyle w:val="Hyperlink"/>
          </w:rPr>
          <w:t>Roles and Responsibilities for Climate Change Adaptation in Australia</w:t>
        </w:r>
      </w:hyperlink>
      <w:r w:rsidRPr="00760C98">
        <w:rPr>
          <w:rStyle w:val="FootnoteReference"/>
        </w:rPr>
        <w:endnoteReference w:id="90"/>
      </w:r>
      <w:r>
        <w:t xml:space="preserve"> paper which articulates that private organisations should be aware of and be responsible for managing adaptation risks. </w:t>
      </w:r>
    </w:p>
    <w:p w14:paraId="7D54529D" w14:textId="425E1163" w:rsidR="000212A5" w:rsidRDefault="000212A5" w:rsidP="000553A4">
      <w:r>
        <w:t xml:space="preserve">Adaptation ambitions </w:t>
      </w:r>
      <w:r w:rsidR="00BF30B2">
        <w:t>are</w:t>
      </w:r>
      <w:r>
        <w:t xml:space="preserve"> unique to each organisation and region and may take many forms</w:t>
      </w:r>
      <w:r w:rsidR="004A5A68">
        <w:t>,</w:t>
      </w:r>
      <w:r>
        <w:t xml:space="preserve"> including adjustments in ecological, social and economic systems. The bespoke nature </w:t>
      </w:r>
      <w:r w:rsidR="004749CB">
        <w:t>of adaptation ambitions</w:t>
      </w:r>
      <w:r>
        <w:t xml:space="preserve"> make</w:t>
      </w:r>
      <w:r w:rsidR="00AF5586">
        <w:t>s</w:t>
      </w:r>
      <w:r>
        <w:t xml:space="preserve"> it difficult to set standardised </w:t>
      </w:r>
      <w:r w:rsidR="00C0795A">
        <w:t>guidance</w:t>
      </w:r>
      <w:r>
        <w:t xml:space="preserve"> in the same way as mitigation. </w:t>
      </w:r>
      <w:r w:rsidR="00FE6368">
        <w:t xml:space="preserve">However, organisations may </w:t>
      </w:r>
      <w:r w:rsidR="007244D5">
        <w:t>consider the</w:t>
      </w:r>
      <w:r w:rsidR="00667511">
        <w:t xml:space="preserve"> </w:t>
      </w:r>
      <w:r w:rsidR="002135CF">
        <w:t>government</w:t>
      </w:r>
      <w:r w:rsidR="00963E59">
        <w:t>’</w:t>
      </w:r>
      <w:r w:rsidR="002135CF">
        <w:t>s</w:t>
      </w:r>
      <w:r w:rsidR="00667511">
        <w:t xml:space="preserve"> </w:t>
      </w:r>
      <w:hyperlink r:id="rId132" w:history="1">
        <w:r w:rsidR="00667511" w:rsidRPr="00325D20">
          <w:rPr>
            <w:rStyle w:val="Hyperlink"/>
          </w:rPr>
          <w:t>National Adaptation Plan</w:t>
        </w:r>
      </w:hyperlink>
      <w:r w:rsidR="00667511" w:rsidRPr="00760C98">
        <w:rPr>
          <w:rStyle w:val="FootnoteReference"/>
        </w:rPr>
        <w:endnoteReference w:id="91"/>
      </w:r>
      <w:r w:rsidR="00EF77F7">
        <w:t xml:space="preserve"> </w:t>
      </w:r>
      <w:r w:rsidR="003E00A2">
        <w:t>for</w:t>
      </w:r>
      <w:r w:rsidR="00081865">
        <w:t xml:space="preserve"> context </w:t>
      </w:r>
      <w:r w:rsidR="00717D63">
        <w:t xml:space="preserve">when </w:t>
      </w:r>
      <w:r w:rsidR="00984C55">
        <w:t>setting their</w:t>
      </w:r>
      <w:r w:rsidR="00081865">
        <w:t xml:space="preserve"> own strategic ambition.</w:t>
      </w:r>
      <w:r w:rsidR="00984C55">
        <w:t xml:space="preserve"> The</w:t>
      </w:r>
      <w:r w:rsidR="00984C55" w:rsidDel="00EF77F7">
        <w:t xml:space="preserve"> </w:t>
      </w:r>
      <w:r w:rsidR="00EF77F7">
        <w:t xml:space="preserve">National Adaptation Plan </w:t>
      </w:r>
      <w:r w:rsidR="00984C55">
        <w:t>draws on the identification of Australia</w:t>
      </w:r>
      <w:r w:rsidR="00963E59">
        <w:t>’</w:t>
      </w:r>
      <w:r w:rsidR="00984C55">
        <w:t xml:space="preserve">s highest priority national climate risks </w:t>
      </w:r>
      <w:r w:rsidR="00BC110F">
        <w:t>in the</w:t>
      </w:r>
      <w:r w:rsidR="00984C55">
        <w:t xml:space="preserve"> </w:t>
      </w:r>
      <w:hyperlink r:id="rId133" w:history="1">
        <w:r w:rsidR="001A3D48" w:rsidRPr="00685650">
          <w:rPr>
            <w:rStyle w:val="Hyperlink"/>
          </w:rPr>
          <w:t>National Climate Risk Assessment</w:t>
        </w:r>
      </w:hyperlink>
      <w:r w:rsidR="00E040C3">
        <w:t xml:space="preserve"> and outlines the Australian</w:t>
      </w:r>
      <w:r w:rsidR="006B2D95">
        <w:t> </w:t>
      </w:r>
      <w:r w:rsidR="00E040C3">
        <w:t>Government</w:t>
      </w:r>
      <w:r w:rsidR="00963E59">
        <w:t>’</w:t>
      </w:r>
      <w:r w:rsidR="00E040C3">
        <w:t>s planned action on enhancing Australia</w:t>
      </w:r>
      <w:r w:rsidR="00963E59">
        <w:t>’</w:t>
      </w:r>
      <w:r w:rsidR="00E040C3">
        <w:t>s adaptation to climate change.</w:t>
      </w:r>
      <w:r w:rsidR="001E4EB9">
        <w:t xml:space="preserve"> The</w:t>
      </w:r>
      <w:r w:rsidR="006B2D95">
        <w:t> </w:t>
      </w:r>
      <w:r w:rsidR="00625144">
        <w:t>Network</w:t>
      </w:r>
      <w:r w:rsidR="006B2D95">
        <w:t> </w:t>
      </w:r>
      <w:r w:rsidR="00625144">
        <w:t>for</w:t>
      </w:r>
      <w:r w:rsidR="006B2D95">
        <w:t> </w:t>
      </w:r>
      <w:r w:rsidR="00625144">
        <w:t>Greening the Financial System</w:t>
      </w:r>
      <w:r w:rsidR="001E4EB9">
        <w:t xml:space="preserve"> paper </w:t>
      </w:r>
      <w:r w:rsidR="00401AAD">
        <w:t>(</w:t>
      </w:r>
      <w:hyperlink w:anchor="Box23" w:history="1">
        <w:r w:rsidR="00107ADB">
          <w:rPr>
            <w:rStyle w:val="Hyperlink"/>
          </w:rPr>
          <w:t>Box 17</w:t>
        </w:r>
      </w:hyperlink>
      <w:r w:rsidR="00401AAD">
        <w:t>)</w:t>
      </w:r>
      <w:r w:rsidR="001E4EB9">
        <w:t xml:space="preserve"> </w:t>
      </w:r>
      <w:r w:rsidR="00A60C4B">
        <w:t xml:space="preserve">includes principles </w:t>
      </w:r>
      <w:r w:rsidR="00700559">
        <w:t>to</w:t>
      </w:r>
      <w:r w:rsidR="00A60C4B">
        <w:t xml:space="preserve"> consider when setting adaptation ambitions</w:t>
      </w:r>
      <w:r w:rsidR="00EC1E28">
        <w:t>.</w:t>
      </w:r>
    </w:p>
    <w:p w14:paraId="7C393906" w14:textId="0A30B12A" w:rsidR="001D2579" w:rsidRDefault="001D2579" w:rsidP="006B2D95">
      <w:r>
        <w:t xml:space="preserve">Australian </w:t>
      </w:r>
      <w:r w:rsidDel="00EF77F7">
        <w:t xml:space="preserve">federal, state and territory, and local </w:t>
      </w:r>
      <w:r>
        <w:t>governments are also taking significant steps in advancing adaptation. Each level of government has distinct but related roles and responsibilities in building national climate resilience. Information on the roles and responsibilities</w:t>
      </w:r>
      <w:r w:rsidR="00EF77F7">
        <w:t>,</w:t>
      </w:r>
      <w:r>
        <w:t xml:space="preserve"> as well as specific materials from each level of government</w:t>
      </w:r>
      <w:r w:rsidR="00EF77F7">
        <w:t>,</w:t>
      </w:r>
      <w:r>
        <w:t xml:space="preserve"> is outlined on the DCCEEW </w:t>
      </w:r>
      <w:hyperlink r:id="rId134" w:history="1">
        <w:r w:rsidRPr="00685650">
          <w:rPr>
            <w:rStyle w:val="Hyperlink"/>
          </w:rPr>
          <w:t>Climate Adaptation in Australia</w:t>
        </w:r>
      </w:hyperlink>
      <w:r w:rsidR="00903AC8" w:rsidRPr="00760C98">
        <w:rPr>
          <w:rStyle w:val="FootnoteReference"/>
        </w:rPr>
        <w:endnoteReference w:id="92"/>
      </w:r>
      <w:r>
        <w:t xml:space="preserve"> </w:t>
      </w:r>
      <w:r w:rsidR="008171BA">
        <w:t>website</w:t>
      </w:r>
      <w:r w:rsidR="00EB4799">
        <w:t xml:space="preserve"> and in the </w:t>
      </w:r>
      <w:r w:rsidR="00EF77F7">
        <w:t>National Adaptation Plan</w:t>
      </w:r>
      <w:r>
        <w:t>.</w:t>
      </w:r>
    </w:p>
    <w:p w14:paraId="4E689335" w14:textId="7FA52570" w:rsidR="00DC3FBD" w:rsidRDefault="00107ADB" w:rsidP="006B2D95">
      <w:hyperlink w:anchor="Box21" w:history="1">
        <w:r>
          <w:rPr>
            <w:rStyle w:val="Hyperlink"/>
          </w:rPr>
          <w:t>Box 18</w:t>
        </w:r>
      </w:hyperlink>
      <w:r w:rsidR="00DC3FBD">
        <w:t xml:space="preserve"> includes an example on setting an adaptation ambition.</w:t>
      </w:r>
    </w:p>
    <w:p w14:paraId="1C293F3F" w14:textId="77777777" w:rsidR="00D34B0C" w:rsidRDefault="00D34B0C" w:rsidP="00D64CEC">
      <w:pPr>
        <w:pStyle w:val="SingleParagraph"/>
      </w:pPr>
    </w:p>
    <w:tbl>
      <w:tblPr>
        <w:tblW w:w="5000" w:type="pct"/>
        <w:shd w:val="clear" w:color="auto" w:fill="E3EDE8"/>
        <w:tblCellMar>
          <w:top w:w="227" w:type="dxa"/>
          <w:left w:w="227" w:type="dxa"/>
          <w:bottom w:w="227" w:type="dxa"/>
          <w:right w:w="227" w:type="dxa"/>
        </w:tblCellMar>
        <w:tblLook w:val="0620" w:firstRow="1" w:lastRow="0" w:firstColumn="0" w:lastColumn="0" w:noHBand="1" w:noVBand="1"/>
      </w:tblPr>
      <w:tblGrid>
        <w:gridCol w:w="9070"/>
      </w:tblGrid>
      <w:tr w:rsidR="00D34B0C" w:rsidRPr="00963E59" w14:paraId="4BBEDC3B" w14:textId="77777777" w:rsidTr="00460C3E">
        <w:tc>
          <w:tcPr>
            <w:tcW w:w="5000" w:type="pct"/>
            <w:shd w:val="clear" w:color="auto" w:fill="E3EDE8"/>
            <w:hideMark/>
          </w:tcPr>
          <w:p w14:paraId="756C0470" w14:textId="46A03CBD" w:rsidR="00D34B0C" w:rsidRPr="00963E59" w:rsidRDefault="00262D2D" w:rsidP="00B26BB2">
            <w:pPr>
              <w:pStyle w:val="BoxHeading"/>
            </w:pPr>
            <w:bookmarkStart w:id="156" w:name="Box23"/>
            <w:bookmarkStart w:id="157" w:name="_Toc237351147"/>
            <w:bookmarkStart w:id="158" w:name="_Toc233287116"/>
            <w:bookmarkEnd w:id="156"/>
            <w:r w:rsidRPr="00963E59">
              <w:lastRenderedPageBreak/>
              <w:t xml:space="preserve">Box </w:t>
            </w:r>
            <w:r w:rsidR="00107ADB">
              <w:t>17</w:t>
            </w:r>
            <w:r w:rsidR="00616DDB" w:rsidRPr="00963E59">
              <w:t>.</w:t>
            </w:r>
            <w:r w:rsidRPr="00963E59">
              <w:t xml:space="preserve"> </w:t>
            </w:r>
            <w:r w:rsidR="001B223C" w:rsidRPr="00963E59">
              <w:t>I</w:t>
            </w:r>
            <w:r w:rsidR="00D34B0C" w:rsidRPr="00963E59">
              <w:t>ntegrating adaptation and resilience in transition planning</w:t>
            </w:r>
            <w:bookmarkEnd w:id="157"/>
            <w:bookmarkEnd w:id="158"/>
          </w:p>
          <w:p w14:paraId="64970366" w14:textId="788F94C9" w:rsidR="00C96B68" w:rsidRPr="00963E59" w:rsidRDefault="0C59DE21" w:rsidP="000D5536">
            <w:pPr>
              <w:pStyle w:val="BoxText"/>
            </w:pPr>
            <w:r w:rsidRPr="00963E59">
              <w:t xml:space="preserve">The Network for Greening the Financial System published a paper </w:t>
            </w:r>
            <w:r w:rsidR="70A1F4DA" w:rsidRPr="00963E59">
              <w:t>for the G20 Sustainable Finance Working Group</w:t>
            </w:r>
            <w:r w:rsidR="70A1F4DA" w:rsidRPr="00963E59" w:rsidDel="00616DDB">
              <w:t xml:space="preserve"> </w:t>
            </w:r>
            <w:r w:rsidRPr="00963E59">
              <w:t xml:space="preserve">on </w:t>
            </w:r>
            <w:hyperlink r:id="rId135">
              <w:r w:rsidRPr="00963E59">
                <w:rPr>
                  <w:rStyle w:val="Hyperlink"/>
                </w:rPr>
                <w:t>integrating adaptation and resilience into transition plans</w:t>
              </w:r>
            </w:hyperlink>
            <w:r w:rsidR="001837D5" w:rsidRPr="00963E59">
              <w:t>.</w:t>
            </w:r>
            <w:r w:rsidR="003D4191" w:rsidRPr="00963E59">
              <w:rPr>
                <w:rStyle w:val="FootnoteReference"/>
              </w:rPr>
              <w:endnoteReference w:id="93"/>
            </w:r>
            <w:r w:rsidRPr="00963E59">
              <w:t xml:space="preserve"> </w:t>
            </w:r>
          </w:p>
          <w:p w14:paraId="2A36B639" w14:textId="6F285F64" w:rsidR="00D34B0C" w:rsidRPr="00963E59" w:rsidRDefault="00031CF5" w:rsidP="00D34B0C">
            <w:pPr>
              <w:pStyle w:val="BoxText"/>
              <w:rPr>
                <w:color w:val="2C384A" w:themeColor="accent1"/>
                <w:sz w:val="20"/>
              </w:rPr>
            </w:pPr>
            <w:r w:rsidRPr="00963E59">
              <w:t>While the paper is primarily focused on financial institutions</w:t>
            </w:r>
            <w:r w:rsidR="00C96B68" w:rsidRPr="00963E59">
              <w:t>,</w:t>
            </w:r>
            <w:r w:rsidRPr="00963E59">
              <w:t xml:space="preserve"> it is also informative for non-</w:t>
            </w:r>
            <w:r w:rsidR="006B2D95" w:rsidRPr="00963E59">
              <w:t>‍</w:t>
            </w:r>
            <w:r w:rsidRPr="00963E59">
              <w:t xml:space="preserve">financial institutions and is designed to support </w:t>
            </w:r>
            <w:r w:rsidR="00A50FD9" w:rsidRPr="00963E59">
              <w:t xml:space="preserve">entities </w:t>
            </w:r>
            <w:r w:rsidRPr="00963E59">
              <w:t xml:space="preserve">at varying levels of readiness and capacity. </w:t>
            </w:r>
            <w:r w:rsidR="00D34B0C" w:rsidRPr="00963E59">
              <w:t xml:space="preserve">The paper recommends organisations adopt </w:t>
            </w:r>
            <w:r w:rsidR="00616DDB" w:rsidRPr="00963E59">
              <w:t xml:space="preserve">2 </w:t>
            </w:r>
            <w:r w:rsidR="00D34B0C" w:rsidRPr="00963E59">
              <w:t>objectives when setting adaptation ambitions</w:t>
            </w:r>
            <w:r w:rsidR="009566E8" w:rsidRPr="00963E59">
              <w:t>:</w:t>
            </w:r>
          </w:p>
          <w:p w14:paraId="0FF97297" w14:textId="77777777" w:rsidR="00D34B0C" w:rsidRPr="00963E59" w:rsidRDefault="00D34B0C" w:rsidP="00DB6514">
            <w:pPr>
              <w:pStyle w:val="Boxbullet"/>
            </w:pPr>
            <w:r w:rsidRPr="00963E59">
              <w:t>Focus on identifying and managing exposure and vulnerability to physical risks on an organisation’s balance sheet and through its operations.</w:t>
            </w:r>
          </w:p>
          <w:p w14:paraId="4BF33180" w14:textId="6FADC213" w:rsidR="00D34B0C" w:rsidRPr="00963E59" w:rsidRDefault="00D34B0C" w:rsidP="00DB6514">
            <w:pPr>
              <w:pStyle w:val="Boxbullet"/>
              <w:rPr>
                <w:lang w:eastAsia="en-US"/>
              </w:rPr>
            </w:pPr>
            <w:r w:rsidRPr="00963E59">
              <w:t>Where applicable, seek to seize adaptation-related business opportunities that align with the organisation’s strategic interests and may also contribute to systemic resilience.</w:t>
            </w:r>
          </w:p>
        </w:tc>
      </w:tr>
    </w:tbl>
    <w:p w14:paraId="7413B060" w14:textId="77777777" w:rsidR="00D34B0C" w:rsidRDefault="00D34B0C" w:rsidP="00D64CEC">
      <w:pPr>
        <w:pStyle w:val="SingleParagraph"/>
      </w:pPr>
    </w:p>
    <w:tbl>
      <w:tblPr>
        <w:tblW w:w="5000" w:type="pct"/>
        <w:shd w:val="clear" w:color="auto" w:fill="F2F9FC"/>
        <w:tblCellMar>
          <w:top w:w="227" w:type="dxa"/>
          <w:left w:w="227" w:type="dxa"/>
          <w:bottom w:w="227" w:type="dxa"/>
          <w:right w:w="227" w:type="dxa"/>
        </w:tblCellMar>
        <w:tblLook w:val="0620" w:firstRow="1" w:lastRow="0" w:firstColumn="0" w:lastColumn="0" w:noHBand="1" w:noVBand="1"/>
      </w:tblPr>
      <w:tblGrid>
        <w:gridCol w:w="9070"/>
      </w:tblGrid>
      <w:tr w:rsidR="00ED44D1" w:rsidRPr="00963E59" w14:paraId="6C13891F" w14:textId="77777777" w:rsidTr="00460C3E">
        <w:trPr>
          <w:trHeight w:val="7855"/>
        </w:trPr>
        <w:tc>
          <w:tcPr>
            <w:tcW w:w="5000" w:type="pct"/>
            <w:shd w:val="clear" w:color="auto" w:fill="F2F9FC"/>
            <w:hideMark/>
          </w:tcPr>
          <w:p w14:paraId="3A263CF2" w14:textId="3F15F216" w:rsidR="00ED44D1" w:rsidRPr="00963E59" w:rsidRDefault="00D70742" w:rsidP="00B26BB2">
            <w:pPr>
              <w:pStyle w:val="BoxHeading"/>
            </w:pPr>
            <w:bookmarkStart w:id="159" w:name="_Toc237351148"/>
            <w:bookmarkStart w:id="160" w:name="_Toc233287117"/>
            <w:bookmarkStart w:id="161" w:name="Box21"/>
            <w:r w:rsidRPr="00963E59">
              <w:lastRenderedPageBreak/>
              <w:t xml:space="preserve">Box </w:t>
            </w:r>
            <w:r w:rsidR="00107ADB">
              <w:t>18</w:t>
            </w:r>
            <w:r w:rsidRPr="00963E59">
              <w:t xml:space="preserve">. </w:t>
            </w:r>
            <w:r w:rsidR="008D2D3E" w:rsidRPr="00963E59">
              <w:t>Illustrative example</w:t>
            </w:r>
            <w:r w:rsidR="007C0567" w:rsidRPr="00963E59">
              <w:t xml:space="preserve"> </w:t>
            </w:r>
            <w:r w:rsidRPr="00963E59">
              <w:t>on s</w:t>
            </w:r>
            <w:r w:rsidR="00A74374" w:rsidRPr="00963E59">
              <w:t>etting an adaptation ambition</w:t>
            </w:r>
            <w:bookmarkEnd w:id="159"/>
            <w:bookmarkEnd w:id="160"/>
          </w:p>
          <w:bookmarkEnd w:id="161"/>
          <w:p w14:paraId="1919DFAE" w14:textId="5B9F79DC" w:rsidR="004917BD" w:rsidRPr="00963E59" w:rsidRDefault="00A41236" w:rsidP="000D5536">
            <w:pPr>
              <w:pStyle w:val="BoxText"/>
              <w:rPr>
                <w:rFonts w:eastAsia="Aptos"/>
              </w:rPr>
            </w:pPr>
            <w:r w:rsidRPr="00963E59">
              <w:rPr>
                <w:rFonts w:eastAsia="Aptos"/>
              </w:rPr>
              <w:t>A</w:t>
            </w:r>
            <w:r w:rsidR="00F254A4" w:rsidRPr="00963E59">
              <w:rPr>
                <w:rFonts w:eastAsia="Aptos"/>
              </w:rPr>
              <w:t xml:space="preserve"> </w:t>
            </w:r>
            <w:r w:rsidR="0008260F" w:rsidRPr="00963E59">
              <w:rPr>
                <w:rFonts w:eastAsia="Aptos"/>
              </w:rPr>
              <w:t>private healthcare facility</w:t>
            </w:r>
            <w:r w:rsidR="00711805" w:rsidRPr="00963E59">
              <w:rPr>
                <w:rFonts w:eastAsia="Aptos"/>
              </w:rPr>
              <w:t xml:space="preserve"> servicing</w:t>
            </w:r>
            <w:r w:rsidR="002C227C" w:rsidRPr="00963E59">
              <w:rPr>
                <w:rFonts w:eastAsia="Aptos"/>
              </w:rPr>
              <w:t xml:space="preserve"> a </w:t>
            </w:r>
            <w:r w:rsidR="00315FCF" w:rsidRPr="00963E59">
              <w:rPr>
                <w:rFonts w:eastAsia="Aptos"/>
              </w:rPr>
              <w:t>regional</w:t>
            </w:r>
            <w:r w:rsidR="002C227C" w:rsidRPr="00963E59">
              <w:rPr>
                <w:rFonts w:eastAsia="Aptos"/>
              </w:rPr>
              <w:t xml:space="preserve"> community</w:t>
            </w:r>
            <w:r w:rsidR="006D05EC" w:rsidRPr="00963E59">
              <w:rPr>
                <w:rFonts w:eastAsia="Aptos"/>
              </w:rPr>
              <w:t xml:space="preserve"> </w:t>
            </w:r>
            <w:r w:rsidR="00F4274B" w:rsidRPr="00963E59">
              <w:rPr>
                <w:rFonts w:eastAsia="Aptos"/>
              </w:rPr>
              <w:t>consider</w:t>
            </w:r>
            <w:r w:rsidR="00156B95" w:rsidRPr="00963E59">
              <w:rPr>
                <w:rFonts w:eastAsia="Aptos"/>
              </w:rPr>
              <w:t>s</w:t>
            </w:r>
            <w:r w:rsidR="00F4274B" w:rsidRPr="00963E59">
              <w:rPr>
                <w:rFonts w:eastAsia="Aptos"/>
              </w:rPr>
              <w:t xml:space="preserve"> the following when setting its adaptation ambition:</w:t>
            </w:r>
          </w:p>
          <w:p w14:paraId="6A147EA5" w14:textId="14112277" w:rsidR="00484AEB" w:rsidRPr="00DB6514" w:rsidRDefault="00F4274B" w:rsidP="00DB6514">
            <w:pPr>
              <w:pStyle w:val="Boxbullet"/>
              <w:rPr>
                <w:rFonts w:eastAsia="Aptos"/>
              </w:rPr>
            </w:pPr>
            <w:r w:rsidRPr="00DB6514">
              <w:rPr>
                <w:rFonts w:eastAsia="Aptos"/>
              </w:rPr>
              <w:t xml:space="preserve">The outcomes </w:t>
            </w:r>
            <w:r w:rsidR="006665CE" w:rsidRPr="00DB6514">
              <w:rPr>
                <w:rFonts w:eastAsia="Aptos"/>
              </w:rPr>
              <w:t xml:space="preserve">of its assessment of climate-related </w:t>
            </w:r>
            <w:r w:rsidR="00306D4F" w:rsidRPr="00DB6514">
              <w:rPr>
                <w:rFonts w:eastAsia="Aptos"/>
              </w:rPr>
              <w:t xml:space="preserve">physical </w:t>
            </w:r>
            <w:r w:rsidR="006665CE" w:rsidRPr="00DB6514">
              <w:rPr>
                <w:rFonts w:eastAsia="Aptos"/>
              </w:rPr>
              <w:t>risks and opportunities</w:t>
            </w:r>
            <w:r w:rsidR="00521E32" w:rsidRPr="00DB6514">
              <w:rPr>
                <w:rFonts w:eastAsia="Aptos"/>
              </w:rPr>
              <w:t xml:space="preserve"> </w:t>
            </w:r>
            <w:r w:rsidR="00306D4F" w:rsidRPr="00DB6514">
              <w:rPr>
                <w:rFonts w:eastAsia="Aptos"/>
              </w:rPr>
              <w:t xml:space="preserve">and associated </w:t>
            </w:r>
            <w:r w:rsidR="000F074C" w:rsidRPr="00DB6514">
              <w:rPr>
                <w:rFonts w:eastAsia="Aptos"/>
              </w:rPr>
              <w:t xml:space="preserve">risk </w:t>
            </w:r>
            <w:r w:rsidR="00306D4F" w:rsidRPr="00DB6514">
              <w:rPr>
                <w:rFonts w:eastAsia="Aptos"/>
              </w:rPr>
              <w:t>appetite and tolerance</w:t>
            </w:r>
            <w:r w:rsidR="002C1040" w:rsidRPr="00DB6514">
              <w:rPr>
                <w:rFonts w:eastAsia="Aptos"/>
              </w:rPr>
              <w:t>. This includes</w:t>
            </w:r>
            <w:r w:rsidR="00484AEB" w:rsidRPr="00DB6514">
              <w:rPr>
                <w:rFonts w:eastAsia="Aptos"/>
              </w:rPr>
              <w:t>:</w:t>
            </w:r>
            <w:r w:rsidR="002C1040" w:rsidRPr="00DB6514">
              <w:rPr>
                <w:rFonts w:eastAsia="Aptos"/>
              </w:rPr>
              <w:t xml:space="preserve"> </w:t>
            </w:r>
          </w:p>
          <w:p w14:paraId="5F9E838B" w14:textId="7D119C1D" w:rsidR="00484AEB" w:rsidRPr="00963E59" w:rsidRDefault="009921B8" w:rsidP="000D5536">
            <w:pPr>
              <w:pStyle w:val="Boxdash"/>
            </w:pPr>
            <w:r w:rsidRPr="00963E59">
              <w:t>increased exposure of the facility to multiple climate hazards</w:t>
            </w:r>
            <w:r w:rsidR="00F30DD1" w:rsidRPr="00963E59">
              <w:t>,</w:t>
            </w:r>
            <w:r w:rsidR="00953B1C" w:rsidRPr="00963E59">
              <w:t xml:space="preserve"> such as floods</w:t>
            </w:r>
          </w:p>
          <w:p w14:paraId="48DD92DD" w14:textId="1DEBF72E" w:rsidR="00E35D67" w:rsidRPr="00963E59" w:rsidRDefault="000E54F1" w:rsidP="000D5536">
            <w:pPr>
              <w:pStyle w:val="Boxdash"/>
            </w:pPr>
            <w:r w:rsidRPr="00963E59">
              <w:t>increased risk of</w:t>
            </w:r>
            <w:r w:rsidR="00E35D67" w:rsidRPr="00963E59">
              <w:t xml:space="preserve"> loss of critical services </w:t>
            </w:r>
            <w:r w:rsidR="000F28D8" w:rsidRPr="00963E59">
              <w:t xml:space="preserve">such as </w:t>
            </w:r>
            <w:r w:rsidR="00E35D67" w:rsidRPr="00963E59">
              <w:t>electricity, telecommunications and water supply during and after extreme events</w:t>
            </w:r>
            <w:r w:rsidR="00B7723D" w:rsidRPr="00963E59">
              <w:t>, leading to increased isolation of the service.</w:t>
            </w:r>
            <w:r w:rsidR="00E35D67" w:rsidRPr="00963E59">
              <w:t xml:space="preserve"> </w:t>
            </w:r>
          </w:p>
          <w:p w14:paraId="790864A3" w14:textId="11BF489C" w:rsidR="005E0146" w:rsidRPr="00DB6514" w:rsidRDefault="00F050A7" w:rsidP="00DB6514">
            <w:pPr>
              <w:pStyle w:val="Boxbullet"/>
              <w:rPr>
                <w:rFonts w:eastAsia="Aptos"/>
              </w:rPr>
            </w:pPr>
            <w:r w:rsidRPr="00DB6514">
              <w:rPr>
                <w:rFonts w:eastAsia="Aptos"/>
              </w:rPr>
              <w:t xml:space="preserve">Available adaptation actions, such as </w:t>
            </w:r>
            <w:r w:rsidR="00E6615B" w:rsidRPr="00DB6514">
              <w:rPr>
                <w:rFonts w:eastAsia="Aptos"/>
              </w:rPr>
              <w:t>upgrading assets</w:t>
            </w:r>
            <w:r w:rsidR="003E1928" w:rsidRPr="00DB6514">
              <w:rPr>
                <w:rFonts w:eastAsia="Aptos"/>
              </w:rPr>
              <w:t xml:space="preserve"> to improve insulation</w:t>
            </w:r>
            <w:r w:rsidR="00D6574D" w:rsidRPr="00DB6514">
              <w:rPr>
                <w:rFonts w:eastAsia="Aptos"/>
              </w:rPr>
              <w:t xml:space="preserve"> </w:t>
            </w:r>
            <w:r w:rsidR="00412ECB" w:rsidRPr="00DB6514">
              <w:rPr>
                <w:rFonts w:eastAsia="Aptos"/>
              </w:rPr>
              <w:t>and increasing generator capacity</w:t>
            </w:r>
            <w:r w:rsidR="0002627A" w:rsidRPr="00DB6514">
              <w:rPr>
                <w:rFonts w:eastAsia="Aptos"/>
              </w:rPr>
              <w:t>.</w:t>
            </w:r>
          </w:p>
          <w:p w14:paraId="65C82C69" w14:textId="1A03FD75" w:rsidR="00412ECB" w:rsidRPr="00DB6514" w:rsidRDefault="00CA0F9C" w:rsidP="00DB6514">
            <w:pPr>
              <w:pStyle w:val="Boxbullet"/>
              <w:rPr>
                <w:rFonts w:eastAsia="Aptos"/>
              </w:rPr>
            </w:pPr>
            <w:r w:rsidRPr="00DB6514">
              <w:rPr>
                <w:rFonts w:eastAsia="Aptos"/>
              </w:rPr>
              <w:t>A</w:t>
            </w:r>
            <w:r w:rsidR="0031116A" w:rsidRPr="00DB6514">
              <w:rPr>
                <w:rFonts w:eastAsia="Aptos"/>
              </w:rPr>
              <w:t>ssumptions and external dependencies, such as the welfare and availability of its workforce,</w:t>
            </w:r>
            <w:r w:rsidR="005D103E" w:rsidRPr="00DB6514">
              <w:rPr>
                <w:rFonts w:eastAsia="Aptos"/>
              </w:rPr>
              <w:t xml:space="preserve"> </w:t>
            </w:r>
            <w:r w:rsidR="0025785E" w:rsidRPr="00DB6514">
              <w:rPr>
                <w:rFonts w:eastAsia="Aptos"/>
              </w:rPr>
              <w:t>reliance on municipal water supply</w:t>
            </w:r>
            <w:r w:rsidR="00397996" w:rsidRPr="00DB6514">
              <w:rPr>
                <w:rFonts w:eastAsia="Aptos"/>
              </w:rPr>
              <w:t xml:space="preserve"> and </w:t>
            </w:r>
            <w:r w:rsidR="00451CDC" w:rsidRPr="00DB6514">
              <w:rPr>
                <w:rFonts w:eastAsia="Aptos"/>
              </w:rPr>
              <w:t>relationships with the broader healthcare system</w:t>
            </w:r>
            <w:r w:rsidR="00BE54D6" w:rsidRPr="00DB6514">
              <w:rPr>
                <w:rFonts w:eastAsia="Aptos"/>
              </w:rPr>
              <w:t>.</w:t>
            </w:r>
          </w:p>
          <w:p w14:paraId="17FB5264" w14:textId="4F6A1898" w:rsidR="004917BD" w:rsidRPr="00DB6514" w:rsidRDefault="00A64BB4" w:rsidP="00DB6514">
            <w:pPr>
              <w:pStyle w:val="Boxbullet"/>
              <w:rPr>
                <w:rFonts w:eastAsia="Aptos"/>
              </w:rPr>
            </w:pPr>
            <w:r w:rsidRPr="00DB6514">
              <w:rPr>
                <w:rFonts w:eastAsia="Aptos"/>
              </w:rPr>
              <w:t xml:space="preserve">The </w:t>
            </w:r>
            <w:r w:rsidR="004C02D8" w:rsidRPr="00DB6514">
              <w:rPr>
                <w:rFonts w:eastAsia="Aptos"/>
              </w:rPr>
              <w:t>effectiveness</w:t>
            </w:r>
            <w:r w:rsidRPr="00DB6514">
              <w:rPr>
                <w:rFonts w:eastAsia="Aptos"/>
              </w:rPr>
              <w:t xml:space="preserve"> of existing disaster management plans.</w:t>
            </w:r>
          </w:p>
          <w:p w14:paraId="5865079F" w14:textId="0EDEC40F" w:rsidR="004917BD" w:rsidRPr="00963E59" w:rsidRDefault="00C215B1" w:rsidP="000D5536">
            <w:pPr>
              <w:pStyle w:val="BoxText"/>
            </w:pPr>
            <w:r w:rsidRPr="00963E59">
              <w:rPr>
                <w:rFonts w:eastAsia="Aptos"/>
              </w:rPr>
              <w:t>T</w:t>
            </w:r>
            <w:r w:rsidR="004917BD" w:rsidRPr="00963E59">
              <w:rPr>
                <w:rFonts w:eastAsia="Aptos"/>
              </w:rPr>
              <w:t>he facility establishes</w:t>
            </w:r>
            <w:r w:rsidR="004917BD" w:rsidRPr="00963E59" w:rsidDel="00E621BD">
              <w:rPr>
                <w:rFonts w:eastAsia="Aptos"/>
              </w:rPr>
              <w:t xml:space="preserve"> </w:t>
            </w:r>
            <w:r w:rsidR="004917BD" w:rsidRPr="00963E59">
              <w:rPr>
                <w:rFonts w:eastAsia="Aptos"/>
              </w:rPr>
              <w:t>a</w:t>
            </w:r>
            <w:r w:rsidRPr="00963E59">
              <w:rPr>
                <w:rFonts w:eastAsia="Aptos"/>
              </w:rPr>
              <w:t>n</w:t>
            </w:r>
            <w:r w:rsidR="004917BD" w:rsidRPr="00963E59">
              <w:rPr>
                <w:rFonts w:eastAsia="Aptos"/>
              </w:rPr>
              <w:t xml:space="preserve"> ambition of reducing the climate risk to its residents, service, and site, from the 2025 assessed level of ‘high to moderate’ to ‘low to moderate’ by 2030. </w:t>
            </w:r>
            <w:r w:rsidRPr="00963E59">
              <w:rPr>
                <w:rFonts w:eastAsia="Aptos"/>
              </w:rPr>
              <w:t>This is done in addition to its existing emergency management processes and business continuity planning.</w:t>
            </w:r>
            <w:r w:rsidR="004917BD" w:rsidRPr="00963E59">
              <w:rPr>
                <w:rFonts w:eastAsia="Aptos"/>
              </w:rPr>
              <w:t xml:space="preserve"> </w:t>
            </w:r>
          </w:p>
          <w:p w14:paraId="4D284439" w14:textId="1FD96841" w:rsidR="00616DDB" w:rsidRPr="00963E59" w:rsidRDefault="004917BD" w:rsidP="000D5536">
            <w:pPr>
              <w:pStyle w:val="BoxText"/>
              <w:rPr>
                <w:rFonts w:eastAsia="Aptos"/>
              </w:rPr>
            </w:pPr>
            <w:r w:rsidRPr="00963E59">
              <w:rPr>
                <w:rFonts w:eastAsia="Aptos"/>
              </w:rPr>
              <w:t>To achieve this ambition, the</w:t>
            </w:r>
            <w:r w:rsidRPr="00963E59" w:rsidDel="00423D89">
              <w:rPr>
                <w:rFonts w:eastAsia="Aptos"/>
              </w:rPr>
              <w:t xml:space="preserve"> </w:t>
            </w:r>
            <w:r w:rsidR="00CA0F9C" w:rsidRPr="00963E59">
              <w:rPr>
                <w:rFonts w:eastAsia="Aptos"/>
              </w:rPr>
              <w:t>B</w:t>
            </w:r>
            <w:r w:rsidR="00423D89" w:rsidRPr="00963E59">
              <w:rPr>
                <w:rFonts w:eastAsia="Aptos"/>
              </w:rPr>
              <w:t xml:space="preserve">oard </w:t>
            </w:r>
            <w:r w:rsidRPr="00963E59">
              <w:rPr>
                <w:rFonts w:eastAsia="Aptos"/>
              </w:rPr>
              <w:t xml:space="preserve">decides to invest in asset upgrades, such as improved insulation, air conditioning, and outdoor shade. As these investments are costly, the plan for implementation will be staged over </w:t>
            </w:r>
            <w:r w:rsidR="00925EAE" w:rsidRPr="00963E59">
              <w:rPr>
                <w:rFonts w:eastAsia="Aptos"/>
              </w:rPr>
              <w:t>five</w:t>
            </w:r>
            <w:r w:rsidR="00CA0F9C" w:rsidRPr="00963E59">
              <w:rPr>
                <w:rFonts w:eastAsia="Aptos"/>
              </w:rPr>
              <w:t xml:space="preserve"> </w:t>
            </w:r>
            <w:r w:rsidRPr="00963E59">
              <w:rPr>
                <w:rFonts w:eastAsia="Aptos"/>
              </w:rPr>
              <w:t>years and integrated with</w:t>
            </w:r>
            <w:r w:rsidRPr="00963E59" w:rsidDel="00AB14CB">
              <w:rPr>
                <w:rFonts w:eastAsia="Aptos"/>
              </w:rPr>
              <w:t xml:space="preserve"> </w:t>
            </w:r>
            <w:r w:rsidRPr="00963E59">
              <w:rPr>
                <w:rFonts w:eastAsia="Aptos"/>
              </w:rPr>
              <w:t xml:space="preserve">forward financial planning. </w:t>
            </w:r>
          </w:p>
          <w:p w14:paraId="36E23D52" w14:textId="131426EE" w:rsidR="004917BD" w:rsidRPr="00963E59" w:rsidRDefault="004917BD" w:rsidP="000D5536">
            <w:pPr>
              <w:pStyle w:val="BoxText"/>
            </w:pPr>
            <w:r w:rsidRPr="00963E59">
              <w:rPr>
                <w:rFonts w:eastAsia="Aptos"/>
              </w:rPr>
              <w:t>Investments include improving drainage to prevent the site from being cut off from the town and installing a solar power system and</w:t>
            </w:r>
            <w:r w:rsidR="006827B4" w:rsidRPr="00963E59">
              <w:rPr>
                <w:rFonts w:eastAsia="Aptos"/>
              </w:rPr>
              <w:t xml:space="preserve"> more</w:t>
            </w:r>
            <w:r w:rsidRPr="00963E59">
              <w:rPr>
                <w:rFonts w:eastAsia="Aptos"/>
              </w:rPr>
              <w:t xml:space="preserve"> generator capacity to allow uninterrupted operation during extended power outages. Over time,</w:t>
            </w:r>
            <w:r w:rsidRPr="00963E59" w:rsidDel="00CA0F9C">
              <w:rPr>
                <w:rFonts w:eastAsia="Aptos"/>
              </w:rPr>
              <w:t xml:space="preserve"> </w:t>
            </w:r>
            <w:r w:rsidR="00CA0F9C" w:rsidRPr="00963E59">
              <w:rPr>
                <w:rFonts w:eastAsia="Aptos"/>
              </w:rPr>
              <w:t xml:space="preserve">the </w:t>
            </w:r>
            <w:r w:rsidR="00FD76E9" w:rsidRPr="00963E59">
              <w:rPr>
                <w:rFonts w:eastAsia="Aptos"/>
              </w:rPr>
              <w:t xml:space="preserve">facility </w:t>
            </w:r>
            <w:r w:rsidRPr="00963E59">
              <w:rPr>
                <w:rFonts w:eastAsia="Aptos"/>
              </w:rPr>
              <w:t>plan</w:t>
            </w:r>
            <w:r w:rsidR="00CA0F9C" w:rsidRPr="00963E59">
              <w:rPr>
                <w:rFonts w:eastAsia="Aptos"/>
              </w:rPr>
              <w:t>s</w:t>
            </w:r>
            <w:r w:rsidRPr="00963E59">
              <w:rPr>
                <w:rFonts w:eastAsia="Aptos"/>
              </w:rPr>
              <w:t xml:space="preserve"> to install additional insulation, double-glaze windows and install improved </w:t>
            </w:r>
            <w:r w:rsidR="00C87545" w:rsidRPr="00963E59">
              <w:rPr>
                <w:rFonts w:eastAsia="Aptos"/>
              </w:rPr>
              <w:t xml:space="preserve">heating, ventilation and air conditioning </w:t>
            </w:r>
            <w:r w:rsidRPr="00963E59">
              <w:rPr>
                <w:rFonts w:eastAsia="Aptos"/>
              </w:rPr>
              <w:t xml:space="preserve">systems. </w:t>
            </w:r>
          </w:p>
          <w:p w14:paraId="67FCE614" w14:textId="072623C6" w:rsidR="00F625C8" w:rsidRPr="00963E59" w:rsidRDefault="004917BD" w:rsidP="000D5536">
            <w:pPr>
              <w:pStyle w:val="BoxText"/>
              <w:rPr>
                <w:lang w:eastAsia="en-US"/>
              </w:rPr>
            </w:pPr>
            <w:r w:rsidRPr="00963E59">
              <w:rPr>
                <w:rFonts w:eastAsia="Aptos"/>
              </w:rPr>
              <w:t xml:space="preserve">While the </w:t>
            </w:r>
            <w:r w:rsidR="00DC45C4" w:rsidRPr="00963E59">
              <w:rPr>
                <w:rFonts w:eastAsia="Aptos"/>
              </w:rPr>
              <w:t>facility</w:t>
            </w:r>
            <w:r w:rsidRPr="00963E59">
              <w:rPr>
                <w:rFonts w:eastAsia="Aptos"/>
              </w:rPr>
              <w:t xml:space="preserve"> </w:t>
            </w:r>
            <w:r w:rsidR="004E4138" w:rsidRPr="00963E59">
              <w:rPr>
                <w:rFonts w:eastAsia="Aptos"/>
              </w:rPr>
              <w:t>can</w:t>
            </w:r>
            <w:r w:rsidRPr="00963E59">
              <w:rPr>
                <w:rFonts w:eastAsia="Aptos"/>
              </w:rPr>
              <w:t xml:space="preserve"> address the resilience of </w:t>
            </w:r>
            <w:r w:rsidR="00D05369" w:rsidRPr="00963E59">
              <w:rPr>
                <w:rFonts w:eastAsia="Aptos"/>
              </w:rPr>
              <w:t xml:space="preserve">its </w:t>
            </w:r>
            <w:r w:rsidRPr="00963E59">
              <w:rPr>
                <w:rFonts w:eastAsia="Aptos"/>
              </w:rPr>
              <w:t xml:space="preserve">site, the resilience of </w:t>
            </w:r>
            <w:r w:rsidR="00F8736B" w:rsidRPr="00963E59">
              <w:rPr>
                <w:rFonts w:eastAsia="Aptos"/>
              </w:rPr>
              <w:t xml:space="preserve">its </w:t>
            </w:r>
            <w:r w:rsidRPr="00963E59">
              <w:rPr>
                <w:rFonts w:eastAsia="Aptos"/>
              </w:rPr>
              <w:t xml:space="preserve">service relies on transport systems for </w:t>
            </w:r>
            <w:r w:rsidR="0063688E" w:rsidRPr="00963E59">
              <w:rPr>
                <w:rFonts w:eastAsia="Aptos"/>
              </w:rPr>
              <w:t xml:space="preserve">the </w:t>
            </w:r>
            <w:r w:rsidRPr="00963E59">
              <w:rPr>
                <w:rFonts w:eastAsia="Aptos"/>
              </w:rPr>
              <w:t>supply of critical inputs like fresh food, medicine and qualified staff. The</w:t>
            </w:r>
            <w:r w:rsidRPr="00963E59" w:rsidDel="00BF5DD8">
              <w:rPr>
                <w:rFonts w:eastAsia="Aptos"/>
              </w:rPr>
              <w:t xml:space="preserve"> </w:t>
            </w:r>
            <w:r w:rsidR="00616DDB" w:rsidRPr="00963E59">
              <w:rPr>
                <w:rFonts w:eastAsia="Aptos"/>
              </w:rPr>
              <w:t>B</w:t>
            </w:r>
            <w:r w:rsidR="00BF5DD8" w:rsidRPr="00963E59">
              <w:rPr>
                <w:rFonts w:eastAsia="Aptos"/>
              </w:rPr>
              <w:t xml:space="preserve">oard </w:t>
            </w:r>
            <w:r w:rsidRPr="00963E59">
              <w:rPr>
                <w:rFonts w:eastAsia="Aptos"/>
              </w:rPr>
              <w:t>engages with the local council and hospital to strengthen these connections, recognising the need for collaborative action to build resilience</w:t>
            </w:r>
            <w:r w:rsidR="00A26451" w:rsidRPr="00963E59">
              <w:rPr>
                <w:rFonts w:eastAsia="Aptos"/>
              </w:rPr>
              <w:t>,</w:t>
            </w:r>
            <w:r w:rsidR="0043030E" w:rsidRPr="00963E59">
              <w:rPr>
                <w:rFonts w:eastAsia="Aptos"/>
              </w:rPr>
              <w:t xml:space="preserve"> especially </w:t>
            </w:r>
            <w:r w:rsidR="00F9326D" w:rsidRPr="00963E59">
              <w:rPr>
                <w:rFonts w:eastAsia="Aptos"/>
              </w:rPr>
              <w:t xml:space="preserve">for </w:t>
            </w:r>
            <w:r w:rsidR="009C060A" w:rsidRPr="00963E59">
              <w:rPr>
                <w:rFonts w:eastAsia="Aptos"/>
              </w:rPr>
              <w:t xml:space="preserve">these </w:t>
            </w:r>
            <w:r w:rsidR="0043030E" w:rsidRPr="00963E59">
              <w:rPr>
                <w:rFonts w:eastAsia="Aptos"/>
              </w:rPr>
              <w:t>external dependencies</w:t>
            </w:r>
            <w:r w:rsidR="00214125" w:rsidRPr="00963E59">
              <w:rPr>
                <w:rFonts w:eastAsia="Aptos"/>
              </w:rPr>
              <w:t>,</w:t>
            </w:r>
            <w:r w:rsidR="00D9603E" w:rsidRPr="00963E59">
              <w:rPr>
                <w:rFonts w:eastAsia="Aptos"/>
              </w:rPr>
              <w:t xml:space="preserve"> which also include</w:t>
            </w:r>
            <w:r w:rsidR="0043030E" w:rsidRPr="00963E59" w:rsidDel="00D9603E">
              <w:rPr>
                <w:rFonts w:eastAsia="Aptos"/>
              </w:rPr>
              <w:t xml:space="preserve"> </w:t>
            </w:r>
            <w:r w:rsidR="0043030E" w:rsidRPr="00963E59">
              <w:rPr>
                <w:rFonts w:eastAsia="Aptos"/>
              </w:rPr>
              <w:t>reliance on municipal water supply</w:t>
            </w:r>
            <w:r w:rsidRPr="00963E59">
              <w:rPr>
                <w:rFonts w:eastAsia="Aptos"/>
              </w:rPr>
              <w:t>.</w:t>
            </w:r>
          </w:p>
        </w:tc>
      </w:tr>
    </w:tbl>
    <w:p w14:paraId="03DBCF82" w14:textId="58EB8064" w:rsidR="00695DBD" w:rsidRDefault="000C06C6" w:rsidP="00234729">
      <w:pPr>
        <w:pStyle w:val="Heading3"/>
        <w:keepLines/>
      </w:pPr>
      <w:r>
        <w:t>Other sustainability</w:t>
      </w:r>
      <w:r w:rsidR="00F87583">
        <w:t>-</w:t>
      </w:r>
      <w:r>
        <w:t>related ambitions</w:t>
      </w:r>
    </w:p>
    <w:p w14:paraId="1635D9D0" w14:textId="6A3E66C5" w:rsidR="00264EC3" w:rsidRDefault="006473A6" w:rsidP="00234729">
      <w:pPr>
        <w:keepNext/>
        <w:keepLines/>
      </w:pPr>
      <w:r>
        <w:t>C</w:t>
      </w:r>
      <w:r w:rsidR="00264EC3">
        <w:t>limate</w:t>
      </w:r>
      <w:r w:rsidR="00963E59">
        <w:noBreakHyphen/>
      </w:r>
      <w:r w:rsidR="00264EC3">
        <w:t xml:space="preserve">related ambitions can intersect with, and may even depend on, progress toward broader sustainability ambitions. For example, efforts to address deforestation can reduce greenhouse gas emissions and help reduce biodiversity loss. At the same time, such efforts can support local communities by </w:t>
      </w:r>
      <w:r w:rsidR="00886266">
        <w:t xml:space="preserve">helping to </w:t>
      </w:r>
      <w:r w:rsidR="00264EC3">
        <w:t>preserv</w:t>
      </w:r>
      <w:r w:rsidR="00886266">
        <w:t>e</w:t>
      </w:r>
      <w:r w:rsidR="00264EC3">
        <w:t xml:space="preserve"> essential services</w:t>
      </w:r>
      <w:r w:rsidR="00402909">
        <w:t xml:space="preserve"> provid</w:t>
      </w:r>
      <w:r w:rsidR="00F00892">
        <w:t>ed</w:t>
      </w:r>
      <w:r w:rsidR="00402909">
        <w:t xml:space="preserve"> by the ecosystem</w:t>
      </w:r>
      <w:r w:rsidR="00264EC3">
        <w:t>, including water purification.</w:t>
      </w:r>
    </w:p>
    <w:p w14:paraId="0E4DD988" w14:textId="0F7BFBA3" w:rsidR="00127B0E" w:rsidRDefault="00264EC3" w:rsidP="0024594D">
      <w:pPr>
        <w:keepNext/>
        <w:keepLines/>
      </w:pPr>
      <w:r>
        <w:lastRenderedPageBreak/>
        <w:t xml:space="preserve">Organisations may choose to embed a wider range of sustainability ambitions </w:t>
      </w:r>
      <w:r w:rsidR="00650DD5">
        <w:t xml:space="preserve">within </w:t>
      </w:r>
      <w:r>
        <w:t>their strategic ambitions. Integrating additional priorities such as halting nature loss and promoting fair treatment of people can help deliver more comprehensive environmental and social outcomes.</w:t>
      </w:r>
      <w:r w:rsidR="00BA4727" w:rsidRPr="00BA4727">
        <w:t xml:space="preserve"> </w:t>
      </w:r>
      <w:r w:rsidR="00857796" w:rsidRPr="009A52F4">
        <w:t>Guidance on integrated planning are evolving, reflecting differences in the maturity of climate, nature and social frameworks</w:t>
      </w:r>
      <w:r w:rsidR="00857796">
        <w:t xml:space="preserve"> to support more integrated approaches</w:t>
      </w:r>
      <w:r w:rsidR="00857796" w:rsidRPr="009A52F4">
        <w:t>.</w:t>
      </w:r>
      <w:r w:rsidR="00857796" w:rsidRPr="00BA4727">
        <w:t xml:space="preserve"> </w:t>
      </w:r>
      <w:hyperlink w:anchor="BOX25" w:history="1">
        <w:r w:rsidR="00710A9D">
          <w:rPr>
            <w:rStyle w:val="Hyperlink"/>
          </w:rPr>
          <w:t>Box 22</w:t>
        </w:r>
      </w:hyperlink>
      <w:r w:rsidR="006F4BCE">
        <w:t xml:space="preserve"> </w:t>
      </w:r>
      <w:r w:rsidR="00EA578F">
        <w:t xml:space="preserve">in section 3.1 also includes information on </w:t>
      </w:r>
      <w:r w:rsidR="00322C3A" w:rsidRPr="00BA4727">
        <w:t>other sustainability</w:t>
      </w:r>
      <w:r w:rsidR="00963E59">
        <w:noBreakHyphen/>
      </w:r>
      <w:r w:rsidR="00322C3A" w:rsidRPr="00BA4727">
        <w:t>related ambitions</w:t>
      </w:r>
      <w:r w:rsidR="00322C3A">
        <w:t>.</w:t>
      </w:r>
    </w:p>
    <w:p w14:paraId="2AF1AE58" w14:textId="5EC64208" w:rsidR="00264EC3" w:rsidRDefault="000C416C" w:rsidP="00264EC3">
      <w:r>
        <w:t>Organisations can also consider adopting the Do No Significant Harm criteria and the Minimum</w:t>
      </w:r>
      <w:r w:rsidR="006B2D95">
        <w:t> </w:t>
      </w:r>
      <w:r>
        <w:t>Social</w:t>
      </w:r>
      <w:r w:rsidR="006B2D95">
        <w:t> </w:t>
      </w:r>
      <w:r>
        <w:t xml:space="preserve">Safeguards in the </w:t>
      </w:r>
      <w:hyperlink r:id="rId136" w:history="1">
        <w:r w:rsidRPr="00325D20">
          <w:rPr>
            <w:rStyle w:val="Hyperlink"/>
          </w:rPr>
          <w:t>Australian Sustainable Finance Taxonomy</w:t>
        </w:r>
      </w:hyperlink>
      <w:r>
        <w:t xml:space="preserve">. The taxonomy includes guidance on how to apply </w:t>
      </w:r>
      <w:r w:rsidR="006473A6">
        <w:t xml:space="preserve">Do No Significant Harm </w:t>
      </w:r>
      <w:r>
        <w:t>criteria</w:t>
      </w:r>
      <w:r w:rsidR="006473A6">
        <w:t>,</w:t>
      </w:r>
      <w:r>
        <w:t xml:space="preserve"> which covers other environmental objectives and how to assess performance against the </w:t>
      </w:r>
      <w:r w:rsidR="006473A6">
        <w:t xml:space="preserve">Minimum Social Safeguards </w:t>
      </w:r>
      <w:r>
        <w:t xml:space="preserve">framework. </w:t>
      </w:r>
    </w:p>
    <w:p w14:paraId="4A249E89" w14:textId="19C0906A" w:rsidR="00645D4C" w:rsidRDefault="00645D4C" w:rsidP="009F2C57">
      <w:pPr>
        <w:pStyle w:val="Heading2Numbered"/>
        <w:keepLines/>
      </w:pPr>
      <w:bookmarkStart w:id="162" w:name="Stage2dot2"/>
      <w:bookmarkStart w:id="163" w:name="_Toc224906882"/>
      <w:bookmarkStart w:id="164" w:name="_Toc224916514"/>
      <w:bookmarkStart w:id="165" w:name="_Toc232776355"/>
      <w:bookmarkEnd w:id="162"/>
      <w:r>
        <w:t xml:space="preserve">Identify </w:t>
      </w:r>
      <w:r w:rsidR="006934CB">
        <w:t xml:space="preserve">key assumptions and external </w:t>
      </w:r>
      <w:r>
        <w:t>factors</w:t>
      </w:r>
      <w:bookmarkEnd w:id="163"/>
      <w:bookmarkEnd w:id="164"/>
      <w:bookmarkEnd w:id="165"/>
    </w:p>
    <w:p w14:paraId="277C2AC9" w14:textId="4BE4F7A8" w:rsidR="005611C4" w:rsidRDefault="00EA45A7" w:rsidP="009F2C57">
      <w:pPr>
        <w:keepNext/>
        <w:keepLines/>
      </w:pPr>
      <w:r>
        <w:t>Organisations can identify key assumptions</w:t>
      </w:r>
      <w:r w:rsidR="007E6AA2">
        <w:t xml:space="preserve"> and external factors</w:t>
      </w:r>
      <w:r>
        <w:t xml:space="preserve"> on which their strategic ambition depends. </w:t>
      </w:r>
      <w:r w:rsidR="004D41B2">
        <w:t xml:space="preserve">Developing strategic ambitions </w:t>
      </w:r>
      <w:r w:rsidR="00BA091D">
        <w:t>require</w:t>
      </w:r>
      <w:r w:rsidR="00244726">
        <w:t>s</w:t>
      </w:r>
      <w:r w:rsidR="00BA091D">
        <w:t xml:space="preserve"> a flexible, dynamic and adaptive process</w:t>
      </w:r>
      <w:r w:rsidR="005225A4">
        <w:t>, reflecting</w:t>
      </w:r>
      <w:r w:rsidR="00791735">
        <w:t xml:space="preserve"> uncertainties on a range of factors over which</w:t>
      </w:r>
      <w:r w:rsidR="001D5760">
        <w:t xml:space="preserve"> organisations</w:t>
      </w:r>
      <w:r w:rsidR="0004185D">
        <w:t xml:space="preserve"> may not have full control</w:t>
      </w:r>
      <w:r w:rsidR="00BA091D">
        <w:t xml:space="preserve">. </w:t>
      </w:r>
    </w:p>
    <w:p w14:paraId="7572C4BB" w14:textId="18513C59" w:rsidR="002C274C" w:rsidRDefault="00F13DCA" w:rsidP="002C274C">
      <w:r>
        <w:t>Organisations</w:t>
      </w:r>
      <w:r w:rsidDel="005611C4">
        <w:t xml:space="preserve"> </w:t>
      </w:r>
      <w:r w:rsidR="005611C4">
        <w:t xml:space="preserve">often </w:t>
      </w:r>
      <w:r>
        <w:t xml:space="preserve">need to make reasonable assumptions about the future as part of setting </w:t>
      </w:r>
      <w:r w:rsidR="0068255A">
        <w:t>strategic ambitions</w:t>
      </w:r>
      <w:r w:rsidR="00A944D2">
        <w:t>.</w:t>
      </w:r>
      <w:r w:rsidR="002C274C">
        <w:t xml:space="preserve"> Examples of assumptions and external factors include</w:t>
      </w:r>
      <w:r w:rsidR="0012664C">
        <w:t xml:space="preserve"> </w:t>
      </w:r>
      <w:r w:rsidR="00B50520">
        <w:t xml:space="preserve">emissions pathways, </w:t>
      </w:r>
      <w:r w:rsidR="0012664C">
        <w:t>new or expected policies, macroeconomic trends and technological developments.</w:t>
      </w:r>
    </w:p>
    <w:p w14:paraId="2DBD7E8B" w14:textId="676FB847" w:rsidR="00232941" w:rsidRDefault="0038126A" w:rsidP="00946B6F">
      <w:r>
        <w:t>Understanding</w:t>
      </w:r>
      <w:r w:rsidR="00C1498C">
        <w:t xml:space="preserve"> the</w:t>
      </w:r>
      <w:r w:rsidR="006413CE">
        <w:t xml:space="preserve"> assumptions and external factors</w:t>
      </w:r>
      <w:r w:rsidR="0EDB2F2C">
        <w:t xml:space="preserve"> </w:t>
      </w:r>
      <w:r w:rsidR="00232941">
        <w:t>can help organisations</w:t>
      </w:r>
      <w:r w:rsidR="00D7719C">
        <w:t xml:space="preserve"> better assess the feasibility of their strategic ambitions, actions and engagement strategy</w:t>
      </w:r>
      <w:r w:rsidR="00706FDA">
        <w:t>,</w:t>
      </w:r>
      <w:r w:rsidR="00D7719C">
        <w:t xml:space="preserve"> and </w:t>
      </w:r>
      <w:r w:rsidR="003E4D60">
        <w:t>support dynamic</w:t>
      </w:r>
      <w:r w:rsidR="00D7719C">
        <w:t xml:space="preserve"> implementation.</w:t>
      </w:r>
    </w:p>
    <w:p w14:paraId="0E9CEE89" w14:textId="733C9A1D" w:rsidR="00D7719C" w:rsidRDefault="00D7719C" w:rsidP="00DB6514">
      <w:pPr>
        <w:pStyle w:val="Bullet"/>
        <w:numPr>
          <w:ilvl w:val="0"/>
          <w:numId w:val="0"/>
        </w:numPr>
      </w:pPr>
      <w:r>
        <w:t xml:space="preserve">The </w:t>
      </w:r>
      <w:r w:rsidRPr="00D73DD0">
        <w:t>TPT Transition Planning Cycle</w:t>
      </w:r>
      <w:r w:rsidR="000F79C0">
        <w:t xml:space="preserve"> (page 22)</w:t>
      </w:r>
      <w:r>
        <w:t xml:space="preserve"> includes </w:t>
      </w:r>
      <w:r w:rsidDel="00E2612E">
        <w:t xml:space="preserve">further </w:t>
      </w:r>
      <w:r>
        <w:t>examples of possible uncertainties, assumptions and dependencies.</w:t>
      </w:r>
    </w:p>
    <w:p w14:paraId="17F4F861" w14:textId="4C3F59C8" w:rsidR="005B2F55" w:rsidRDefault="00107ADB" w:rsidP="00DB6514">
      <w:pPr>
        <w:pStyle w:val="Bullet"/>
        <w:numPr>
          <w:ilvl w:val="0"/>
          <w:numId w:val="0"/>
        </w:numPr>
      </w:pPr>
      <w:hyperlink w:anchor="BOX22" w:history="1">
        <w:r>
          <w:rPr>
            <w:rStyle w:val="Hyperlink"/>
          </w:rPr>
          <w:t>Box 19</w:t>
        </w:r>
      </w:hyperlink>
      <w:r w:rsidR="005B2F55">
        <w:t xml:space="preserve"> includes an additional resource to help identify assumptions and external factors.</w:t>
      </w:r>
    </w:p>
    <w:p w14:paraId="7CFB50D5" w14:textId="77777777" w:rsidR="00AE5878" w:rsidRDefault="00AE5878" w:rsidP="00AE5878">
      <w:pPr>
        <w:pStyle w:val="SingleParagraph"/>
      </w:pPr>
    </w:p>
    <w:tbl>
      <w:tblPr>
        <w:tblW w:w="5000" w:type="pct"/>
        <w:shd w:val="clear" w:color="auto" w:fill="F2F2F2"/>
        <w:tblCellMar>
          <w:top w:w="227" w:type="dxa"/>
          <w:left w:w="227" w:type="dxa"/>
          <w:bottom w:w="227" w:type="dxa"/>
          <w:right w:w="227" w:type="dxa"/>
        </w:tblCellMar>
        <w:tblLook w:val="0620" w:firstRow="1" w:lastRow="0" w:firstColumn="0" w:lastColumn="0" w:noHBand="1" w:noVBand="1"/>
      </w:tblPr>
      <w:tblGrid>
        <w:gridCol w:w="9070"/>
      </w:tblGrid>
      <w:tr w:rsidR="0028439A" w:rsidRPr="00963E59" w14:paraId="6FC12AA5" w14:textId="77777777" w:rsidTr="00460C3E">
        <w:tc>
          <w:tcPr>
            <w:tcW w:w="5000" w:type="pct"/>
            <w:shd w:val="clear" w:color="auto" w:fill="F2F2F2"/>
            <w:hideMark/>
          </w:tcPr>
          <w:p w14:paraId="23DADF57" w14:textId="65AB5D25" w:rsidR="0028439A" w:rsidRPr="00963E59" w:rsidRDefault="00562807" w:rsidP="00AE5878">
            <w:pPr>
              <w:pStyle w:val="BoxHeading"/>
            </w:pPr>
            <w:bookmarkStart w:id="166" w:name="Box26"/>
            <w:bookmarkStart w:id="167" w:name="BOX22"/>
            <w:bookmarkStart w:id="168" w:name="_Toc237351149"/>
            <w:bookmarkStart w:id="169" w:name="_Toc233287118"/>
            <w:bookmarkEnd w:id="166"/>
            <w:bookmarkEnd w:id="167"/>
            <w:r w:rsidRPr="00963E59">
              <w:t xml:space="preserve">Box </w:t>
            </w:r>
            <w:r w:rsidR="00107ADB">
              <w:t>19</w:t>
            </w:r>
            <w:r w:rsidRPr="00963E59">
              <w:t xml:space="preserve">. </w:t>
            </w:r>
            <w:r w:rsidR="0028439A" w:rsidRPr="00AE5878">
              <w:t>Supporting</w:t>
            </w:r>
            <w:r w:rsidR="0028439A" w:rsidRPr="00963E59">
              <w:t xml:space="preserve"> resources</w:t>
            </w:r>
            <w:r w:rsidR="00102CD5" w:rsidRPr="00963E59">
              <w:t xml:space="preserve"> for </w:t>
            </w:r>
            <w:r w:rsidR="005B2F55" w:rsidRPr="00963E59">
              <w:t>identifying assumptions and external factors</w:t>
            </w:r>
            <w:bookmarkEnd w:id="168"/>
            <w:bookmarkEnd w:id="169"/>
          </w:p>
          <w:p w14:paraId="65C272F6" w14:textId="62FEA50E" w:rsidR="0028439A" w:rsidRPr="00963E59" w:rsidRDefault="007A7CE7" w:rsidP="00746CB6">
            <w:pPr>
              <w:pStyle w:val="BoxText"/>
              <w:rPr>
                <w:lang w:eastAsia="en-US"/>
              </w:rPr>
            </w:pPr>
            <w:r w:rsidRPr="00963E59">
              <w:rPr>
                <w:b/>
                <w:bCs/>
              </w:rPr>
              <w:t>World Business Council for Sustainable Development</w:t>
            </w:r>
            <w:r w:rsidR="0028439A" w:rsidRPr="00963E59">
              <w:rPr>
                <w:b/>
                <w:bCs/>
              </w:rPr>
              <w:t xml:space="preserve"> </w:t>
            </w:r>
            <w:hyperlink r:id="rId137" w:history="1">
              <w:r w:rsidR="0028439A" w:rsidRPr="00963E59">
                <w:rPr>
                  <w:rStyle w:val="Hyperlink"/>
                  <w:b/>
                  <w:bCs/>
                  <w:szCs w:val="22"/>
                </w:rPr>
                <w:t>A Practical Guide on Transition Plan</w:t>
              </w:r>
              <w:r w:rsidR="0092781B" w:rsidRPr="00963E59">
                <w:rPr>
                  <w:rStyle w:val="Hyperlink"/>
                  <w:b/>
                  <w:bCs/>
                  <w:szCs w:val="22"/>
                </w:rPr>
                <w:t> </w:t>
              </w:r>
              <w:r w:rsidR="0028439A" w:rsidRPr="00963E59">
                <w:rPr>
                  <w:rStyle w:val="Hyperlink"/>
                  <w:b/>
                  <w:bCs/>
                  <w:szCs w:val="22"/>
                </w:rPr>
                <w:t>Dependencies</w:t>
              </w:r>
            </w:hyperlink>
            <w:r w:rsidR="0028439A" w:rsidRPr="00963E59">
              <w:rPr>
                <w:b/>
                <w:bCs/>
              </w:rPr>
              <w:t>:</w:t>
            </w:r>
            <w:r w:rsidR="0028439A" w:rsidRPr="00963E59" w:rsidDel="00E2612E">
              <w:rPr>
                <w:rStyle w:val="FootnoteReference"/>
              </w:rPr>
              <w:endnoteReference w:id="94"/>
            </w:r>
            <w:r w:rsidR="0028439A" w:rsidRPr="00963E59">
              <w:t xml:space="preserve"> guidance on managing external dependencies in transition planning.</w:t>
            </w:r>
          </w:p>
        </w:tc>
      </w:tr>
    </w:tbl>
    <w:p w14:paraId="61BD628D" w14:textId="77777777" w:rsidR="005E4DE6" w:rsidRPr="00DA428C" w:rsidRDefault="005E4DE6" w:rsidP="00C01787">
      <w:bookmarkStart w:id="170" w:name="Stage2dot3"/>
      <w:bookmarkStart w:id="171" w:name="_Toc224906883"/>
      <w:bookmarkStart w:id="172" w:name="_Toc224916515"/>
      <w:bookmarkStart w:id="173" w:name="_Toc232776356"/>
      <w:bookmarkEnd w:id="170"/>
    </w:p>
    <w:p w14:paraId="33D6FD62" w14:textId="77777777" w:rsidR="005E4DE6" w:rsidRPr="00C01787" w:rsidRDefault="005E4DE6" w:rsidP="00C01787">
      <w:r w:rsidRPr="00DA428C">
        <w:br w:type="page"/>
      </w:r>
    </w:p>
    <w:p w14:paraId="341E0F41" w14:textId="28F5A6D7" w:rsidR="003C073E" w:rsidRDefault="00645D4C" w:rsidP="0092781B">
      <w:pPr>
        <w:pStyle w:val="Heading2Numbered"/>
      </w:pPr>
      <w:r w:rsidRPr="0092781B">
        <w:lastRenderedPageBreak/>
        <w:t>Identify</w:t>
      </w:r>
      <w:r>
        <w:t xml:space="preserve"> </w:t>
      </w:r>
      <w:r w:rsidR="003C073E">
        <w:t xml:space="preserve">strategic changes to business model and </w:t>
      </w:r>
      <w:r w:rsidR="00E62101">
        <w:tab/>
      </w:r>
      <w:r w:rsidR="003C073E">
        <w:t>value</w:t>
      </w:r>
      <w:r w:rsidR="00E62101">
        <w:t> </w:t>
      </w:r>
      <w:r w:rsidR="003C073E">
        <w:t>chain</w:t>
      </w:r>
      <w:bookmarkEnd w:id="171"/>
      <w:bookmarkEnd w:id="172"/>
      <w:bookmarkEnd w:id="173"/>
      <w:r w:rsidR="003C073E">
        <w:t xml:space="preserve"> </w:t>
      </w:r>
    </w:p>
    <w:p w14:paraId="30C32CB6" w14:textId="0A4DDCAF" w:rsidR="009C4336" w:rsidRDefault="00B557F1" w:rsidP="00193000">
      <w:r>
        <w:t>After setting</w:t>
      </w:r>
      <w:r w:rsidR="001C46A7">
        <w:t xml:space="preserve"> </w:t>
      </w:r>
      <w:r w:rsidR="00DC6877">
        <w:t xml:space="preserve">strategic ambitions, the next step is to consider the implications </w:t>
      </w:r>
      <w:r w:rsidR="00A23232">
        <w:t>for</w:t>
      </w:r>
      <w:r w:rsidR="00DC6877">
        <w:t xml:space="preserve"> </w:t>
      </w:r>
      <w:r w:rsidR="00E2198A">
        <w:t>the organisation</w:t>
      </w:r>
      <w:r w:rsidR="00963E59">
        <w:t>’</w:t>
      </w:r>
      <w:r w:rsidR="00E2198A">
        <w:t xml:space="preserve">s </w:t>
      </w:r>
      <w:r w:rsidR="00DC6877">
        <w:t xml:space="preserve">business model and value chain. </w:t>
      </w:r>
      <w:r w:rsidR="00B63D31">
        <w:t xml:space="preserve">This involves identifying where changes may be required to support delivery of ambitions </w:t>
      </w:r>
      <w:r w:rsidR="00922D66">
        <w:t xml:space="preserve">across the short, medium and long term. </w:t>
      </w:r>
    </w:p>
    <w:p w14:paraId="65DC85E0" w14:textId="5121A0BA" w:rsidR="00F519D3" w:rsidRDefault="00193000" w:rsidP="003C073E">
      <w:r w:rsidRPr="00193000">
        <w:t>Changes may be needed to strengthen downstream resilience, such as</w:t>
      </w:r>
      <w:r w:rsidR="00F519D3">
        <w:t>:</w:t>
      </w:r>
      <w:r w:rsidRPr="00193000">
        <w:t xml:space="preserve"> </w:t>
      </w:r>
    </w:p>
    <w:p w14:paraId="72337C88" w14:textId="77777777" w:rsidR="00F519D3" w:rsidRDefault="00193000" w:rsidP="00DB6514">
      <w:pPr>
        <w:pStyle w:val="Bullet"/>
      </w:pPr>
      <w:r w:rsidRPr="00193000">
        <w:t>supporting customers to improve energy efficiency</w:t>
      </w:r>
    </w:p>
    <w:p w14:paraId="2C661AF5" w14:textId="103B1503" w:rsidR="00F519D3" w:rsidRDefault="00193000" w:rsidP="00DB6514">
      <w:pPr>
        <w:pStyle w:val="Bullet"/>
      </w:pPr>
      <w:r w:rsidRPr="00193000">
        <w:t>adapting insurance or financial products to climate</w:t>
      </w:r>
      <w:r w:rsidR="00963E59">
        <w:noBreakHyphen/>
      </w:r>
      <w:r w:rsidRPr="00193000">
        <w:t>related risks</w:t>
      </w:r>
    </w:p>
    <w:p w14:paraId="617B135C" w14:textId="5150A1C7" w:rsidR="00F519D3" w:rsidRDefault="00193000" w:rsidP="00DB6514">
      <w:pPr>
        <w:pStyle w:val="Bullet"/>
      </w:pPr>
      <w:r w:rsidRPr="00193000">
        <w:t>entering or exiting specific markets or locations as climate conditions and policy settings evolve.</w:t>
      </w:r>
      <w:r w:rsidR="00D3709D">
        <w:t xml:space="preserve"> </w:t>
      </w:r>
    </w:p>
    <w:p w14:paraId="01370BA1" w14:textId="75874550" w:rsidR="00E77728" w:rsidRDefault="003B19FD" w:rsidP="00AE5878">
      <w:pPr>
        <w:keepNext/>
      </w:pPr>
      <w:r w:rsidRPr="003B19FD">
        <w:t xml:space="preserve">Upstream changes may involve entering new </w:t>
      </w:r>
      <w:r w:rsidR="008312AA">
        <w:t>value</w:t>
      </w:r>
      <w:r w:rsidRPr="003B19FD">
        <w:t xml:space="preserve"> chains due to altered product design or input requirements, revising procurement policies, or adjusting the geographic reach of the value chain. </w:t>
      </w:r>
    </w:p>
    <w:p w14:paraId="2B7210F5" w14:textId="76F14DC1" w:rsidR="006B6620" w:rsidRDefault="00D3709D" w:rsidP="00BC7556">
      <w:pPr>
        <w:keepLines/>
      </w:pPr>
      <w:r w:rsidRPr="00193000">
        <w:t xml:space="preserve">Organisations may also need to consider changes within their </w:t>
      </w:r>
      <w:r>
        <w:t>business model</w:t>
      </w:r>
      <w:r w:rsidRPr="00193000">
        <w:t xml:space="preserve"> and across their upstream </w:t>
      </w:r>
      <w:r>
        <w:t>value</w:t>
      </w:r>
      <w:r w:rsidRPr="00193000">
        <w:t xml:space="preserve"> chains. </w:t>
      </w:r>
      <w:r>
        <w:t>These may</w:t>
      </w:r>
      <w:r w:rsidRPr="00193000">
        <w:t xml:space="preserve"> include changes </w:t>
      </w:r>
      <w:r w:rsidRPr="00193000" w:rsidDel="00761757">
        <w:t xml:space="preserve">to </w:t>
      </w:r>
      <w:r w:rsidRPr="00193000">
        <w:t>customer</w:t>
      </w:r>
      <w:r w:rsidR="00761757">
        <w:t xml:space="preserve"> engagement</w:t>
      </w:r>
      <w:r w:rsidRPr="00193000">
        <w:t xml:space="preserve"> or use </w:t>
      </w:r>
      <w:r w:rsidR="007777AB">
        <w:t xml:space="preserve">of </w:t>
      </w:r>
      <w:r w:rsidRPr="00193000">
        <w:t>physical assets</w:t>
      </w:r>
      <w:r>
        <w:t>,</w:t>
      </w:r>
      <w:r w:rsidRPr="00193000">
        <w:t xml:space="preserve"> such as office space.</w:t>
      </w:r>
      <w:r w:rsidR="009628A5">
        <w:t xml:space="preserve"> </w:t>
      </w:r>
      <w:r w:rsidR="00092E2B">
        <w:t>T</w:t>
      </w:r>
      <w:r w:rsidR="003B19FD" w:rsidRPr="003B19FD">
        <w:t>hese considerations help ensure that an organisation</w:t>
      </w:r>
      <w:r w:rsidR="00963E59">
        <w:t>’</w:t>
      </w:r>
      <w:r w:rsidR="003B19FD" w:rsidRPr="003B19FD">
        <w:t xml:space="preserve">s </w:t>
      </w:r>
      <w:r w:rsidR="00965EC6">
        <w:t>strategic</w:t>
      </w:r>
      <w:r w:rsidR="003B19FD" w:rsidRPr="003B19FD">
        <w:t xml:space="preserve"> ambition is reflected in practical </w:t>
      </w:r>
      <w:r w:rsidR="00BB30FD">
        <w:t>and sustainable</w:t>
      </w:r>
      <w:r w:rsidR="00BB30FD" w:rsidRPr="003B19FD">
        <w:t xml:space="preserve"> </w:t>
      </w:r>
      <w:r w:rsidR="003B19FD" w:rsidRPr="003B19FD">
        <w:t>changes.</w:t>
      </w:r>
    </w:p>
    <w:p w14:paraId="711F78A0" w14:textId="77F2965E" w:rsidR="00A17AAF" w:rsidRDefault="006B6620" w:rsidP="003C073E">
      <w:r>
        <w:t xml:space="preserve">The </w:t>
      </w:r>
      <w:r w:rsidRPr="00D73DD0">
        <w:t>TPT Transition Planning Cycle</w:t>
      </w:r>
      <w:r>
        <w:t xml:space="preserve"> </w:t>
      </w:r>
      <w:r w:rsidR="00ED78F6">
        <w:t xml:space="preserve">(page 24) </w:t>
      </w:r>
      <w:r>
        <w:t>includes further examples of upstream, downstream and business model changes.</w:t>
      </w:r>
      <w:r w:rsidR="000B0A43">
        <w:t xml:space="preserve"> </w:t>
      </w:r>
    </w:p>
    <w:p w14:paraId="3C0C7A86" w14:textId="77777777" w:rsidR="006B6620" w:rsidRPr="006301EC" w:rsidRDefault="006B6620" w:rsidP="006301EC">
      <w:r>
        <w:br w:type="page"/>
      </w:r>
    </w:p>
    <w:p w14:paraId="636B9AD2" w14:textId="3581A197" w:rsidR="00DF2A66" w:rsidRDefault="00D822AC" w:rsidP="0028439A">
      <w:pPr>
        <w:pStyle w:val="Heading1"/>
      </w:pPr>
      <w:bookmarkStart w:id="174" w:name="Stage3"/>
      <w:bookmarkStart w:id="175" w:name="_Toc224906884"/>
      <w:bookmarkStart w:id="176" w:name="_Toc224916516"/>
      <w:bookmarkStart w:id="177" w:name="_Toc232776357"/>
      <w:bookmarkEnd w:id="174"/>
      <w:r>
        <w:lastRenderedPageBreak/>
        <w:t xml:space="preserve">Stage 3: </w:t>
      </w:r>
      <w:r w:rsidR="003C073E">
        <w:t>Plan actions</w:t>
      </w:r>
      <w:bookmarkEnd w:id="175"/>
      <w:bookmarkEnd w:id="176"/>
      <w:bookmarkEnd w:id="177"/>
    </w:p>
    <w:p w14:paraId="4E4CF22E" w14:textId="77777777" w:rsidR="00560EE1" w:rsidDel="009628A5" w:rsidRDefault="00560EE1" w:rsidP="00560EE1">
      <w:r>
        <w:t>This sectio</w:t>
      </w:r>
      <w:r w:rsidR="00CF7DE0">
        <w:t xml:space="preserve">n outlines </w:t>
      </w:r>
      <w:r w:rsidR="00254186">
        <w:t xml:space="preserve">steps organisations can take </w:t>
      </w:r>
      <w:r w:rsidR="00F85717">
        <w:t>when</w:t>
      </w:r>
      <w:r w:rsidR="00254186">
        <w:t xml:space="preserve"> translating strategic ambitions into </w:t>
      </w:r>
      <w:r w:rsidR="006E380C">
        <w:t>actions</w:t>
      </w:r>
      <w:r w:rsidR="00DE2E8B">
        <w:t>.</w:t>
      </w:r>
      <w:r w:rsidR="00087AD8">
        <w:t xml:space="preserve"> </w:t>
      </w:r>
    </w:p>
    <w:p w14:paraId="12283511" w14:textId="2A2B7FF2" w:rsidR="00A8050A" w:rsidRPr="00DE2FD2" w:rsidRDefault="007A7CE7" w:rsidP="00DE2FD2">
      <w:bookmarkStart w:id="178" w:name="_Toc219900717"/>
      <w:bookmarkStart w:id="179" w:name="_Toc220503821"/>
      <w:bookmarkStart w:id="180" w:name="_Toc223526217"/>
      <w:bookmarkEnd w:id="178"/>
      <w:bookmarkEnd w:id="179"/>
      <w:bookmarkEnd w:id="180"/>
      <w:r>
        <w:t>Stage 3 of th</w:t>
      </w:r>
      <w:r w:rsidR="00E64E60">
        <w:t>e</w:t>
      </w:r>
      <w:r>
        <w:t xml:space="preserve"> guidance</w:t>
      </w:r>
      <w:r w:rsidR="00D4498C">
        <w:t xml:space="preserve"> can be considered alongside pages </w:t>
      </w:r>
      <w:r w:rsidR="001853F2">
        <w:t>26</w:t>
      </w:r>
      <w:r w:rsidR="00D0437C" w:rsidRPr="00D0437C">
        <w:t>–</w:t>
      </w:r>
      <w:r w:rsidR="0033576C">
        <w:t>40</w:t>
      </w:r>
      <w:r w:rsidR="001853F2">
        <w:t xml:space="preserve"> in the</w:t>
      </w:r>
      <w:r w:rsidR="007A5CB3">
        <w:t xml:space="preserve"> </w:t>
      </w:r>
      <w:r w:rsidR="007A5CB3" w:rsidRPr="007A7CE7">
        <w:t>T</w:t>
      </w:r>
      <w:r w:rsidRPr="007A7CE7">
        <w:t>ransition Plan Taskforce</w:t>
      </w:r>
      <w:r w:rsidR="007A5CB3">
        <w:t xml:space="preserve"> </w:t>
      </w:r>
      <w:hyperlink r:id="rId138" w:history="1">
        <w:r w:rsidR="007A5CB3" w:rsidRPr="008A284D">
          <w:rPr>
            <w:rStyle w:val="Hyperlink"/>
          </w:rPr>
          <w:t>Transition Planning Cycle</w:t>
        </w:r>
      </w:hyperlink>
      <w:r w:rsidR="001853F2">
        <w:t>.</w:t>
      </w:r>
    </w:p>
    <w:p w14:paraId="10805EAE" w14:textId="77777777" w:rsidR="00E62101" w:rsidRPr="00E62101" w:rsidRDefault="00E62101" w:rsidP="006E4ECF">
      <w:pPr>
        <w:pStyle w:val="ListParagraph"/>
        <w:keepNext/>
        <w:numPr>
          <w:ilvl w:val="0"/>
          <w:numId w:val="11"/>
        </w:numPr>
        <w:spacing w:before="600" w:line="460" w:lineRule="exact"/>
        <w:contextualSpacing w:val="0"/>
        <w:outlineLvl w:val="0"/>
        <w:rPr>
          <w:rFonts w:ascii="Calibri" w:hAnsi="Calibri" w:cs="Arial"/>
          <w:b/>
          <w:vanish/>
          <w:color w:val="5D779D" w:themeColor="accent3"/>
          <w:kern w:val="32"/>
          <w:sz w:val="44"/>
          <w:szCs w:val="36"/>
        </w:rPr>
      </w:pPr>
      <w:bookmarkStart w:id="181" w:name="_Toc224135319"/>
      <w:bookmarkStart w:id="182" w:name="_Toc224568489"/>
      <w:bookmarkStart w:id="183" w:name="_Toc224732595"/>
      <w:bookmarkStart w:id="184" w:name="_Toc224829785"/>
      <w:bookmarkStart w:id="185" w:name="_Toc224906812"/>
      <w:bookmarkStart w:id="186" w:name="_Toc224906849"/>
      <w:bookmarkStart w:id="187" w:name="_Toc224906885"/>
      <w:bookmarkStart w:id="188" w:name="_Toc224916481"/>
      <w:bookmarkStart w:id="189" w:name="_Toc224916517"/>
      <w:bookmarkStart w:id="190" w:name="_Toc225158088"/>
      <w:bookmarkStart w:id="191" w:name="_Toc225158124"/>
      <w:bookmarkStart w:id="192" w:name="_Toc225348172"/>
      <w:bookmarkStart w:id="193" w:name="_Toc232776358"/>
      <w:bookmarkEnd w:id="181"/>
      <w:bookmarkEnd w:id="182"/>
      <w:bookmarkEnd w:id="183"/>
      <w:bookmarkEnd w:id="184"/>
      <w:bookmarkEnd w:id="185"/>
      <w:bookmarkEnd w:id="186"/>
      <w:bookmarkEnd w:id="187"/>
      <w:bookmarkEnd w:id="188"/>
      <w:bookmarkEnd w:id="189"/>
      <w:bookmarkEnd w:id="190"/>
      <w:bookmarkEnd w:id="191"/>
      <w:bookmarkEnd w:id="192"/>
      <w:bookmarkEnd w:id="193"/>
    </w:p>
    <w:p w14:paraId="27992089" w14:textId="63AD7578" w:rsidR="00750FC5" w:rsidRDefault="00750FC5" w:rsidP="00E62101">
      <w:pPr>
        <w:pStyle w:val="Heading2Numbered"/>
      </w:pPr>
      <w:bookmarkStart w:id="194" w:name="Stage3dot1"/>
      <w:bookmarkStart w:id="195" w:name="_Toc224906886"/>
      <w:bookmarkStart w:id="196" w:name="_Toc224916518"/>
      <w:bookmarkStart w:id="197" w:name="_Toc232776359"/>
      <w:bookmarkEnd w:id="194"/>
      <w:r>
        <w:t>Develop actions</w:t>
      </w:r>
      <w:bookmarkEnd w:id="195"/>
      <w:bookmarkEnd w:id="196"/>
      <w:bookmarkEnd w:id="197"/>
    </w:p>
    <w:p w14:paraId="5215E114" w14:textId="786000D7" w:rsidR="00325D20" w:rsidRDefault="00325D20" w:rsidP="0036058E">
      <w:r>
        <w:t xml:space="preserve">Once the changes to business models and value chains required to deliver strategic ambitions are understood, the next step is to develop actions. Organisations can use the transition and adaptation levers identified in </w:t>
      </w:r>
      <w:hyperlink w:anchor="Stage1" w:history="1">
        <w:r w:rsidRPr="00DA1835">
          <w:rPr>
            <w:rStyle w:val="Hyperlink"/>
          </w:rPr>
          <w:t>Stage 1</w:t>
        </w:r>
      </w:hyperlink>
      <w:r>
        <w:t xml:space="preserve"> of the guidance to prioritise then select actions to achieve their strategic ambitions. It is also helpful for actions to account for the key assumptions and external factors identified in </w:t>
      </w:r>
      <w:hyperlink w:anchor="Stage2" w:history="1">
        <w:r w:rsidRPr="00924EEA">
          <w:rPr>
            <w:rStyle w:val="Hyperlink"/>
          </w:rPr>
          <w:t>Stage 2</w:t>
        </w:r>
      </w:hyperlink>
      <w:r>
        <w:t xml:space="preserve">. </w:t>
      </w:r>
      <w:hyperlink w:anchor="BOX25" w:history="1">
        <w:r w:rsidR="00710A9D">
          <w:rPr>
            <w:rStyle w:val="Hyperlink"/>
          </w:rPr>
          <w:t>Box 22</w:t>
        </w:r>
      </w:hyperlink>
      <w:r>
        <w:t xml:space="preserve"> provides more details</w:t>
      </w:r>
      <w:r w:rsidRPr="00D4076A">
        <w:t xml:space="preserve"> on developing actions to achiev</w:t>
      </w:r>
      <w:r>
        <w:t>e</w:t>
      </w:r>
      <w:r w:rsidRPr="00D4076A">
        <w:t xml:space="preserve"> other sustainability</w:t>
      </w:r>
      <w:r w:rsidR="00963E59">
        <w:noBreakHyphen/>
      </w:r>
      <w:r w:rsidRPr="00D4076A">
        <w:t xml:space="preserve">related </w:t>
      </w:r>
      <w:r w:rsidR="00030449">
        <w:t>objectives</w:t>
      </w:r>
      <w:r w:rsidRPr="00D4076A">
        <w:t>.</w:t>
      </w:r>
    </w:p>
    <w:p w14:paraId="195979B0" w14:textId="06F824F6" w:rsidR="00D54F44" w:rsidRDefault="00D54F44" w:rsidP="00D54F44">
      <w:pPr>
        <w:pStyle w:val="Heading3"/>
      </w:pPr>
      <w:r w:rsidDel="00574AD5">
        <w:t>M</w:t>
      </w:r>
      <w:r>
        <w:t>itigation actions</w:t>
      </w:r>
    </w:p>
    <w:p w14:paraId="3F699392" w14:textId="74E56182" w:rsidR="00960F67" w:rsidRPr="001A30AA" w:rsidDel="001A30AA" w:rsidRDefault="00772C71" w:rsidP="00960F67">
      <w:r>
        <w:t>The way</w:t>
      </w:r>
      <w:r w:rsidR="00F36130">
        <w:t xml:space="preserve"> </w:t>
      </w:r>
      <w:r w:rsidR="00D94098">
        <w:t>that</w:t>
      </w:r>
      <w:r w:rsidR="00F85164">
        <w:t xml:space="preserve"> </w:t>
      </w:r>
      <w:r w:rsidR="00FB2D6D">
        <w:t xml:space="preserve">mitigation </w:t>
      </w:r>
      <w:r w:rsidR="00F85164">
        <w:t xml:space="preserve">actions and </w:t>
      </w:r>
      <w:r w:rsidR="00960F67">
        <w:t>progress</w:t>
      </w:r>
      <w:r w:rsidR="00496CDB">
        <w:t xml:space="preserve"> contribute</w:t>
      </w:r>
      <w:r w:rsidR="00960F67">
        <w:t xml:space="preserve"> </w:t>
      </w:r>
      <w:r w:rsidR="00B91ED6">
        <w:t xml:space="preserve">to </w:t>
      </w:r>
      <w:r w:rsidR="00012FC5">
        <w:t>each</w:t>
      </w:r>
      <w:r w:rsidR="00A3575C">
        <w:t xml:space="preserve"> organisation</w:t>
      </w:r>
      <w:r w:rsidR="00963E59">
        <w:t>’</w:t>
      </w:r>
      <w:r w:rsidR="00A3575C">
        <w:t xml:space="preserve">s </w:t>
      </w:r>
      <w:r w:rsidR="00954FC1">
        <w:t xml:space="preserve">transition </w:t>
      </w:r>
      <w:r w:rsidR="00D94098">
        <w:t>will</w:t>
      </w:r>
      <w:r w:rsidR="003A26EE">
        <w:t xml:space="preserve"> </w:t>
      </w:r>
      <w:r w:rsidR="00012FC5">
        <w:t>vary</w:t>
      </w:r>
      <w:r w:rsidR="00F0029A">
        <w:t xml:space="preserve">. </w:t>
      </w:r>
      <w:r w:rsidR="00874F50">
        <w:t xml:space="preserve">Progress is </w:t>
      </w:r>
      <w:r w:rsidR="00960F67">
        <w:t>unlikely to be linear</w:t>
      </w:r>
      <w:r w:rsidR="00952229">
        <w:t>,</w:t>
      </w:r>
      <w:r w:rsidR="00960F67">
        <w:t xml:space="preserve"> and </w:t>
      </w:r>
      <w:r w:rsidR="002B6BC2">
        <w:t xml:space="preserve">actions </w:t>
      </w:r>
      <w:r w:rsidR="00960F67">
        <w:t>can cut across multiple aspects of an organisation</w:t>
      </w:r>
      <w:r w:rsidR="00963E59">
        <w:t>’</w:t>
      </w:r>
      <w:r w:rsidR="00960F67">
        <w:t>s business model. F</w:t>
      </w:r>
      <w:r w:rsidR="00960F67" w:rsidRPr="001A30AA" w:rsidDel="00E82D6E">
        <w:t>or example</w:t>
      </w:r>
      <w:r w:rsidR="00960F67">
        <w:t>,</w:t>
      </w:r>
      <w:r w:rsidR="00960F67" w:rsidRPr="001A30AA" w:rsidDel="00E82D6E">
        <w:t xml:space="preserve"> </w:t>
      </w:r>
      <w:r w:rsidR="00960F67">
        <w:t xml:space="preserve">there may be </w:t>
      </w:r>
      <w:r w:rsidR="00960F67" w:rsidRPr="001A30AA" w:rsidDel="00E82D6E">
        <w:t>changes to:</w:t>
      </w:r>
    </w:p>
    <w:p w14:paraId="504F26BF" w14:textId="35368464" w:rsidR="00960F67" w:rsidDel="00E82D6E" w:rsidRDefault="00960F67" w:rsidP="00DB6514">
      <w:pPr>
        <w:pStyle w:val="Bullet"/>
      </w:pPr>
      <w:r w:rsidDel="00E82D6E">
        <w:t>business operations by shifting from fossil fuel</w:t>
      </w:r>
      <w:r w:rsidR="00496CDB">
        <w:t>s</w:t>
      </w:r>
      <w:r w:rsidDel="00E82D6E">
        <w:t xml:space="preserve"> to </w:t>
      </w:r>
      <w:r w:rsidR="00FB7FAA">
        <w:t>renewable energ</w:t>
      </w:r>
      <w:r w:rsidR="00496CDB">
        <w:t>y</w:t>
      </w:r>
    </w:p>
    <w:p w14:paraId="078E5E02" w14:textId="62620CBE" w:rsidR="00960F67" w:rsidDel="00E82D6E" w:rsidRDefault="00960F67" w:rsidP="00DB6514">
      <w:pPr>
        <w:pStyle w:val="Bullet"/>
      </w:pPr>
      <w:r w:rsidDel="00E82D6E">
        <w:t>products and service offerings to increase the share of less emission</w:t>
      </w:r>
      <w:r w:rsidR="00963E59">
        <w:noBreakHyphen/>
      </w:r>
      <w:r w:rsidDel="00E82D6E">
        <w:t>intensive products and services, or phasing out more emission</w:t>
      </w:r>
      <w:r w:rsidR="00EF3275">
        <w:t>s</w:t>
      </w:r>
      <w:r w:rsidR="00963E59">
        <w:noBreakHyphen/>
      </w:r>
      <w:r w:rsidDel="00E82D6E">
        <w:t>intensive offerings</w:t>
      </w:r>
    </w:p>
    <w:p w14:paraId="7BB9266C" w14:textId="77777777" w:rsidR="00960F67" w:rsidDel="00E82D6E" w:rsidRDefault="00960F67" w:rsidP="00DB6514">
      <w:pPr>
        <w:pStyle w:val="Bullet"/>
      </w:pPr>
      <w:r w:rsidDel="00E82D6E">
        <w:t>internal policies and conditions to improve efficiency of processes to reduce energy usage or consider climate in procurement procedures</w:t>
      </w:r>
    </w:p>
    <w:p w14:paraId="09040A2E" w14:textId="54EA7064" w:rsidR="00960F67" w:rsidRDefault="00960F67" w:rsidP="00DB6514">
      <w:pPr>
        <w:pStyle w:val="Bullet"/>
      </w:pPr>
      <w:r>
        <w:t>research and development to reduce the emissions intensity of products and services over the longer term</w:t>
      </w:r>
      <w:r w:rsidR="00A4169F">
        <w:t>.</w:t>
      </w:r>
    </w:p>
    <w:p w14:paraId="3033FA5E" w14:textId="739D6450" w:rsidR="00BD5957" w:rsidRDefault="00960F67" w:rsidP="0028439A">
      <w:r>
        <w:t xml:space="preserve">The </w:t>
      </w:r>
      <w:r w:rsidRPr="00502646">
        <w:t>I</w:t>
      </w:r>
      <w:r w:rsidR="00502646" w:rsidRPr="00502646">
        <w:t>nternational Organization for Standardization</w:t>
      </w:r>
      <w:r w:rsidR="00DF16EA">
        <w:t xml:space="preserve"> (ISO)</w:t>
      </w:r>
      <w:r w:rsidRPr="00502646">
        <w:t xml:space="preserve"> </w:t>
      </w:r>
      <w:hyperlink r:id="rId139" w:history="1">
        <w:r w:rsidRPr="00924EEA">
          <w:rPr>
            <w:rStyle w:val="Hyperlink"/>
          </w:rPr>
          <w:t>Net Zero Guidelines</w:t>
        </w:r>
      </w:hyperlink>
      <w:r w:rsidR="00DA2ECE" w:rsidRPr="00D0437C">
        <w:rPr>
          <w:rStyle w:val="FootnoteReference"/>
        </w:rPr>
        <w:endnoteReference w:id="95"/>
      </w:r>
      <w:r>
        <w:t xml:space="preserve"> includes further guidance on prioritisation of mitigation actions, including that organisations should</w:t>
      </w:r>
      <w:r w:rsidR="00392345">
        <w:t>, where possible,</w:t>
      </w:r>
      <w:r>
        <w:t xml:space="preserve"> prioritise emissions within their direct control.</w:t>
      </w:r>
    </w:p>
    <w:p w14:paraId="6322D0E3" w14:textId="32C0D41C" w:rsidR="00163C6B" w:rsidRDefault="002227E1" w:rsidP="0028439A">
      <w:r>
        <w:t>The cost of abatement is typically expressed as the discounted net cost of a mitigation measure divided by the</w:t>
      </w:r>
      <w:r w:rsidR="008F4FA7">
        <w:t xml:space="preserve"> tota</w:t>
      </w:r>
      <w:r w:rsidR="00286C1D">
        <w:t>l emissions reduction it delivers over its lifetime</w:t>
      </w:r>
      <w:r w:rsidR="003F3454">
        <w:t>, commonly reported as</w:t>
      </w:r>
      <w:r w:rsidR="00B83E03">
        <w:t xml:space="preserve"> dollars</w:t>
      </w:r>
      <w:r w:rsidR="00912535">
        <w:t> </w:t>
      </w:r>
      <w:r w:rsidR="00B83E03">
        <w:t>per</w:t>
      </w:r>
      <w:r w:rsidR="00912535">
        <w:t> </w:t>
      </w:r>
      <w:r w:rsidR="00B83E03">
        <w:t>tonne of CO</w:t>
      </w:r>
      <w:r w:rsidR="00A97C30" w:rsidRPr="00DD6CE2">
        <w:rPr>
          <w:vertAlign w:val="subscript"/>
        </w:rPr>
        <w:t>2</w:t>
      </w:r>
      <w:r w:rsidR="001A7E35" w:rsidRPr="006A0CF6">
        <w:rPr>
          <w:vertAlign w:val="subscript"/>
        </w:rPr>
        <w:t xml:space="preserve"> </w:t>
      </w:r>
      <w:r w:rsidR="00963E59">
        <w:noBreakHyphen/>
      </w:r>
      <w:r w:rsidR="00D64067" w:rsidRPr="00DD6CE2">
        <w:t>e</w:t>
      </w:r>
      <w:r w:rsidR="00D64067">
        <w:rPr>
          <w:vertAlign w:val="subscript"/>
        </w:rPr>
        <w:t xml:space="preserve"> </w:t>
      </w:r>
      <w:r w:rsidR="00E23418" w:rsidRPr="00DD6CE2">
        <w:t>abated.</w:t>
      </w:r>
    </w:p>
    <w:p w14:paraId="1FD69ACE" w14:textId="77777777" w:rsidR="00924EEA" w:rsidRDefault="00924EEA" w:rsidP="00924EEA">
      <w:r>
        <w:t>An organisation may choose the lowest</w:t>
      </w:r>
      <w:r>
        <w:noBreakHyphen/>
        <w:t>cost option or may decide to pursue options that support broader or longer</w:t>
      </w:r>
      <w:r>
        <w:noBreakHyphen/>
        <w:t>term objectives. For example, an organisation may invest in higher</w:t>
      </w:r>
      <w:r>
        <w:noBreakHyphen/>
        <w:t xml:space="preserve">cost carbon credits generated through </w:t>
      </w:r>
      <w:hyperlink r:id="rId140" w:history="1">
        <w:r w:rsidRPr="00325D20">
          <w:rPr>
            <w:rStyle w:val="Hyperlink"/>
          </w:rPr>
          <w:t>savanna fire management</w:t>
        </w:r>
      </w:hyperlink>
      <w:r w:rsidRPr="00D0437C">
        <w:rPr>
          <w:rStyle w:val="FootnoteReference"/>
        </w:rPr>
        <w:endnoteReference w:id="96"/>
      </w:r>
      <w:r w:rsidDel="00176E1A">
        <w:t xml:space="preserve"> </w:t>
      </w:r>
      <w:r>
        <w:t>because they align with its Reconciliation Action Plan, or invest in low</w:t>
      </w:r>
      <w:r>
        <w:noBreakHyphen/>
        <w:t>carbon liquid fuels that are not currently the lowest</w:t>
      </w:r>
      <w:r>
        <w:noBreakHyphen/>
        <w:t xml:space="preserve">cost option to support industry development. </w:t>
      </w:r>
    </w:p>
    <w:p w14:paraId="06FD87D6" w14:textId="77777777" w:rsidR="00924EEA" w:rsidRDefault="00924EEA" w:rsidP="00924EEA">
      <w:r>
        <w:t>Other factors that may be considered include the technology readiness level of the actions and whether the least</w:t>
      </w:r>
      <w:r>
        <w:noBreakHyphen/>
        <w:t>cost approach</w:t>
      </w:r>
      <w:r w:rsidDel="00574A04">
        <w:t xml:space="preserve"> </w:t>
      </w:r>
      <w:r>
        <w:t>over time involves a combination of onsite emissions reduction actions and carbon credits (refer to</w:t>
      </w:r>
      <w:r w:rsidRPr="00EA37BE">
        <w:t xml:space="preserve"> </w:t>
      </w:r>
      <w:hyperlink w:anchor="section3dot7" w:history="1">
        <w:r w:rsidRPr="00325D20">
          <w:rPr>
            <w:rStyle w:val="Hyperlink"/>
          </w:rPr>
          <w:t>section 3.7</w:t>
        </w:r>
      </w:hyperlink>
      <w:r>
        <w:t xml:space="preserve"> for information on carbon credits). </w:t>
      </w:r>
    </w:p>
    <w:p w14:paraId="62097300" w14:textId="5E7EA853" w:rsidR="0028439A" w:rsidRDefault="009266AB" w:rsidP="00C56B81">
      <w:r w:rsidRPr="00A87BE0" w:rsidDel="00DB1079">
        <w:t xml:space="preserve">The </w:t>
      </w:r>
      <w:r w:rsidRPr="00D73DD0">
        <w:t>TPT Transition Planning Cycle</w:t>
      </w:r>
      <w:r>
        <w:t xml:space="preserve"> (page 27)</w:t>
      </w:r>
      <w:r w:rsidRPr="00A87BE0" w:rsidDel="00DB1079">
        <w:t xml:space="preserve"> guidance </w:t>
      </w:r>
      <w:r w:rsidRPr="00A87BE0">
        <w:t>provides</w:t>
      </w:r>
      <w:r w:rsidRPr="00A87BE0" w:rsidDel="00DB1079">
        <w:t xml:space="preserve"> additional examples </w:t>
      </w:r>
      <w:r w:rsidRPr="00A87BE0">
        <w:t>of mitigation actions</w:t>
      </w:r>
      <w:r>
        <w:t xml:space="preserve">. </w:t>
      </w:r>
    </w:p>
    <w:p w14:paraId="3EE15442" w14:textId="0D928B0E" w:rsidR="001647A6" w:rsidRDefault="00710A9D" w:rsidP="00C56B81">
      <w:hyperlink w:anchor="Box27" w:history="1">
        <w:r>
          <w:rPr>
            <w:rStyle w:val="Hyperlink"/>
          </w:rPr>
          <w:t>Box 20</w:t>
        </w:r>
      </w:hyperlink>
      <w:r w:rsidR="001647A6">
        <w:t xml:space="preserve"> includes examples on prioritising and sequencing actions</w:t>
      </w:r>
      <w:r w:rsidR="00AD4AA1">
        <w:t>,</w:t>
      </w:r>
      <w:r w:rsidR="001647A6">
        <w:t xml:space="preserve"> and </w:t>
      </w:r>
      <w:hyperlink w:anchor="BOX24" w:history="1">
        <w:r>
          <w:rPr>
            <w:rStyle w:val="Hyperlink"/>
          </w:rPr>
          <w:t>Box 21</w:t>
        </w:r>
      </w:hyperlink>
      <w:r w:rsidR="00C30C01">
        <w:t xml:space="preserve"> </w:t>
      </w:r>
      <w:r w:rsidR="001647A6">
        <w:t xml:space="preserve">includes </w:t>
      </w:r>
      <w:r w:rsidR="00A53977">
        <w:t xml:space="preserve">mitigation actions the Australian Government is taking </w:t>
      </w:r>
      <w:r w:rsidR="00D84363">
        <w:t>in government operations.</w:t>
      </w:r>
    </w:p>
    <w:p w14:paraId="589D3296" w14:textId="77777777" w:rsidR="00C56B81" w:rsidRPr="001647A6" w:rsidRDefault="00C56B81" w:rsidP="00C56B81">
      <w:pPr>
        <w:pStyle w:val="SingleParagraph"/>
      </w:pPr>
    </w:p>
    <w:tbl>
      <w:tblPr>
        <w:tblW w:w="5000" w:type="pct"/>
        <w:shd w:val="clear" w:color="auto" w:fill="F2F9FC"/>
        <w:tblCellMar>
          <w:top w:w="227" w:type="dxa"/>
          <w:left w:w="227" w:type="dxa"/>
          <w:bottom w:w="227" w:type="dxa"/>
          <w:right w:w="227" w:type="dxa"/>
        </w:tblCellMar>
        <w:tblLook w:val="0620" w:firstRow="1" w:lastRow="0" w:firstColumn="0" w:lastColumn="0" w:noHBand="1" w:noVBand="1"/>
      </w:tblPr>
      <w:tblGrid>
        <w:gridCol w:w="9070"/>
      </w:tblGrid>
      <w:tr w:rsidR="0028439A" w:rsidRPr="00963E59" w14:paraId="506C708E" w14:textId="77777777" w:rsidTr="00460C3E">
        <w:tc>
          <w:tcPr>
            <w:tcW w:w="5000" w:type="pct"/>
            <w:shd w:val="clear" w:color="auto" w:fill="F2F9FC"/>
            <w:hideMark/>
          </w:tcPr>
          <w:p w14:paraId="0F54FA5E" w14:textId="1F311ED2" w:rsidR="0028439A" w:rsidRPr="00963E59" w:rsidRDefault="00157864" w:rsidP="00E964D5">
            <w:pPr>
              <w:pStyle w:val="BoxHeading"/>
            </w:pPr>
            <w:bookmarkStart w:id="198" w:name="Box27"/>
            <w:bookmarkStart w:id="199" w:name="_Toc237351150"/>
            <w:bookmarkStart w:id="200" w:name="_Toc233287119"/>
            <w:bookmarkEnd w:id="198"/>
            <w:r w:rsidRPr="00963E59">
              <w:t>Box 2</w:t>
            </w:r>
            <w:r w:rsidR="00710A9D">
              <w:t>0</w:t>
            </w:r>
            <w:r w:rsidRPr="00963E59">
              <w:t xml:space="preserve">. </w:t>
            </w:r>
            <w:r w:rsidR="0028439A" w:rsidRPr="00963E59">
              <w:t xml:space="preserve">Illustrative example </w:t>
            </w:r>
            <w:r w:rsidRPr="00963E59">
              <w:t>on p</w:t>
            </w:r>
            <w:r w:rsidR="0028439A" w:rsidRPr="00963E59">
              <w:t>rioritising and sequencing actions</w:t>
            </w:r>
            <w:bookmarkEnd w:id="199"/>
            <w:bookmarkEnd w:id="200"/>
          </w:p>
          <w:p w14:paraId="799A08F6" w14:textId="0D91B6B5" w:rsidR="0028439A" w:rsidRPr="00963E59" w:rsidRDefault="0028439A" w:rsidP="0028439A">
            <w:pPr>
              <w:pStyle w:val="BoxText"/>
              <w:rPr>
                <w:color w:val="2C384A" w:themeColor="accent1"/>
                <w:sz w:val="20"/>
              </w:rPr>
            </w:pPr>
            <w:r w:rsidRPr="00963E59">
              <w:t xml:space="preserve">A mid-sized appliance retailer developed a shortlist of mitigation actions. </w:t>
            </w:r>
            <w:r w:rsidR="00B02A42" w:rsidRPr="00963E59">
              <w:t>Its</w:t>
            </w:r>
            <w:r w:rsidRPr="00963E59">
              <w:t xml:space="preserve"> </w:t>
            </w:r>
            <w:r w:rsidR="00793E75" w:rsidRPr="00963E59">
              <w:t>largest</w:t>
            </w:r>
            <w:r w:rsidRPr="00963E59">
              <w:t xml:space="preserve"> scope 1 and</w:t>
            </w:r>
            <w:r w:rsidR="00C56B81" w:rsidRPr="00963E59">
              <w:t> </w:t>
            </w:r>
            <w:r w:rsidRPr="00963E59">
              <w:t xml:space="preserve">2 emissions sources </w:t>
            </w:r>
            <w:r w:rsidR="00760680" w:rsidRPr="00963E59">
              <w:t xml:space="preserve">come from store-running costs and its </w:t>
            </w:r>
            <w:r w:rsidRPr="00963E59">
              <w:t>delivery vehicle</w:t>
            </w:r>
            <w:r w:rsidR="00760680" w:rsidRPr="00963E59">
              <w:t xml:space="preserve"> fleet</w:t>
            </w:r>
            <w:r w:rsidRPr="00963E59">
              <w:t>.</w:t>
            </w:r>
          </w:p>
          <w:p w14:paraId="43C7F65C" w14:textId="20169A0B" w:rsidR="0010293B" w:rsidRPr="00963E59" w:rsidRDefault="000D2CE0" w:rsidP="0028439A">
            <w:pPr>
              <w:pStyle w:val="BoxText"/>
            </w:pPr>
            <w:r w:rsidRPr="00963E59">
              <w:t xml:space="preserve">The </w:t>
            </w:r>
            <w:r w:rsidR="00760680" w:rsidRPr="00963E59">
              <w:t>company</w:t>
            </w:r>
            <w:r w:rsidRPr="00963E59">
              <w:t xml:space="preserve"> </w:t>
            </w:r>
            <w:r w:rsidR="0028439A" w:rsidRPr="00963E59">
              <w:t>start</w:t>
            </w:r>
            <w:r w:rsidR="00B94727" w:rsidRPr="00963E59">
              <w:t>s</w:t>
            </w:r>
            <w:r w:rsidR="0028439A" w:rsidRPr="00963E59">
              <w:t xml:space="preserve"> with the most immediately beneficial actions</w:t>
            </w:r>
            <w:r w:rsidR="00760680" w:rsidRPr="00963E59">
              <w:t>. This</w:t>
            </w:r>
            <w:r w:rsidR="0028439A" w:rsidRPr="00963E59" w:rsidDel="00760680">
              <w:t xml:space="preserve"> </w:t>
            </w:r>
            <w:r w:rsidR="0028439A" w:rsidRPr="00963E59">
              <w:t>includ</w:t>
            </w:r>
            <w:r w:rsidR="00760680" w:rsidRPr="00963E59">
              <w:t>es</w:t>
            </w:r>
            <w:r w:rsidR="0028439A" w:rsidRPr="00963E59">
              <w:t xml:space="preserve"> energy efficiency upgrades to </w:t>
            </w:r>
            <w:r w:rsidR="0028439A" w:rsidRPr="00963E59" w:rsidDel="00CA0F9C">
              <w:t>heating</w:t>
            </w:r>
            <w:r w:rsidR="00FF0691" w:rsidRPr="00963E59">
              <w:t xml:space="preserve">, </w:t>
            </w:r>
            <w:r w:rsidR="0028439A" w:rsidRPr="00963E59" w:rsidDel="00CA0F9C">
              <w:t xml:space="preserve">ventilation </w:t>
            </w:r>
            <w:r w:rsidR="00FF0691" w:rsidRPr="00963E59">
              <w:t xml:space="preserve">and air conditioning </w:t>
            </w:r>
            <w:r w:rsidR="004A00BB" w:rsidRPr="00963E59">
              <w:t>(</w:t>
            </w:r>
            <w:r w:rsidR="0028439A" w:rsidRPr="00963E59">
              <w:t>HVAC</w:t>
            </w:r>
            <w:r w:rsidR="004A00BB" w:rsidRPr="00963E59">
              <w:t xml:space="preserve">) </w:t>
            </w:r>
            <w:r w:rsidR="0010293B" w:rsidRPr="00963E59">
              <w:t>in its stores</w:t>
            </w:r>
            <w:r w:rsidR="0028439A" w:rsidRPr="00963E59">
              <w:t xml:space="preserve">. </w:t>
            </w:r>
          </w:p>
          <w:p w14:paraId="0B9BB296" w14:textId="6D4E43BD" w:rsidR="0028439A" w:rsidRPr="00963E59" w:rsidRDefault="00760680" w:rsidP="0028439A">
            <w:pPr>
              <w:pStyle w:val="BoxText"/>
              <w:rPr>
                <w:color w:val="2C384A" w:themeColor="accent1"/>
                <w:sz w:val="20"/>
              </w:rPr>
            </w:pPr>
            <w:r w:rsidRPr="00963E59">
              <w:t xml:space="preserve">During the upgrade process, the company </w:t>
            </w:r>
            <w:r w:rsidR="005D48EF" w:rsidRPr="00963E59">
              <w:t>discovered</w:t>
            </w:r>
            <w:r w:rsidR="0028439A" w:rsidRPr="00963E59">
              <w:t xml:space="preserve"> that some of </w:t>
            </w:r>
            <w:r w:rsidR="005D48EF" w:rsidRPr="00963E59">
              <w:t xml:space="preserve">its </w:t>
            </w:r>
            <w:r w:rsidR="0028439A" w:rsidRPr="00963E59">
              <w:t>HVAC equipment is nearing end</w:t>
            </w:r>
            <w:r w:rsidR="009E254C" w:rsidRPr="00963E59">
              <w:t xml:space="preserve"> </w:t>
            </w:r>
            <w:r w:rsidR="0028439A" w:rsidRPr="00963E59">
              <w:t>of</w:t>
            </w:r>
            <w:r w:rsidR="009E254C" w:rsidRPr="00963E59">
              <w:t xml:space="preserve"> </w:t>
            </w:r>
            <w:r w:rsidR="0028439A" w:rsidRPr="00963E59">
              <w:t>life.</w:t>
            </w:r>
            <w:r w:rsidR="0028439A" w:rsidRPr="00963E59" w:rsidDel="000D2CE0">
              <w:t xml:space="preserve"> </w:t>
            </w:r>
            <w:r w:rsidR="0028439A" w:rsidRPr="00963E59">
              <w:t>Instead of replacing gas-fired HVAC equipment like</w:t>
            </w:r>
            <w:r w:rsidR="000D2CE0" w:rsidRPr="00963E59">
              <w:t>-</w:t>
            </w:r>
            <w:r w:rsidR="0028439A" w:rsidRPr="00963E59">
              <w:t>for</w:t>
            </w:r>
            <w:r w:rsidR="0028439A" w:rsidRPr="00963E59" w:rsidDel="009E254C">
              <w:t>-</w:t>
            </w:r>
            <w:r w:rsidR="0028439A" w:rsidRPr="00963E59">
              <w:t xml:space="preserve">like, </w:t>
            </w:r>
            <w:r w:rsidR="0013362F" w:rsidRPr="00963E59">
              <w:t xml:space="preserve">the </w:t>
            </w:r>
            <w:r w:rsidRPr="00963E59">
              <w:t>company</w:t>
            </w:r>
            <w:r w:rsidR="0013362F" w:rsidRPr="00963E59">
              <w:t xml:space="preserve"> </w:t>
            </w:r>
            <w:r w:rsidR="0028439A" w:rsidRPr="00963E59">
              <w:t>decide</w:t>
            </w:r>
            <w:r w:rsidR="0013362F" w:rsidRPr="00963E59">
              <w:t>s</w:t>
            </w:r>
            <w:r w:rsidR="0028439A" w:rsidRPr="00963E59">
              <w:t xml:space="preserve"> to electrify and replace </w:t>
            </w:r>
            <w:r w:rsidR="000D2CE0" w:rsidRPr="00963E59">
              <w:t>equipment</w:t>
            </w:r>
            <w:r w:rsidR="008B4C6D" w:rsidRPr="00963E59">
              <w:t xml:space="preserve"> </w:t>
            </w:r>
            <w:r w:rsidR="0028439A" w:rsidRPr="00963E59">
              <w:t>with electric-powered heat pumps</w:t>
            </w:r>
            <w:r w:rsidR="005D48EF" w:rsidRPr="00963E59">
              <w:t>. It uses</w:t>
            </w:r>
            <w:r w:rsidR="0028439A" w:rsidRPr="00963E59" w:rsidDel="005D48EF">
              <w:t xml:space="preserve"> </w:t>
            </w:r>
            <w:r w:rsidR="0028439A" w:rsidRPr="00963E59">
              <w:t xml:space="preserve">a government grant </w:t>
            </w:r>
            <w:r w:rsidR="005D48EF" w:rsidRPr="00963E59">
              <w:t xml:space="preserve">that </w:t>
            </w:r>
            <w:r w:rsidR="0028439A" w:rsidRPr="00963E59">
              <w:t>supports electrification of major energy</w:t>
            </w:r>
            <w:r w:rsidR="0028439A" w:rsidRPr="00963E59" w:rsidDel="00B41D26">
              <w:t xml:space="preserve"> users</w:t>
            </w:r>
            <w:r w:rsidR="0028439A" w:rsidRPr="00963E59">
              <w:t>.</w:t>
            </w:r>
            <w:r w:rsidR="0010293B" w:rsidRPr="00963E59">
              <w:t xml:space="preserve"> </w:t>
            </w:r>
            <w:r w:rsidR="0028439A" w:rsidRPr="00963E59">
              <w:t xml:space="preserve">While the upfront costs are higher, the ongoing </w:t>
            </w:r>
            <w:r w:rsidR="00247FF4" w:rsidRPr="00963E59">
              <w:t>operating expenditure</w:t>
            </w:r>
            <w:r w:rsidR="0028439A" w:rsidRPr="00963E59">
              <w:t xml:space="preserve"> is lower</w:t>
            </w:r>
            <w:r w:rsidR="000A1873" w:rsidRPr="00963E59">
              <w:t>. This is</w:t>
            </w:r>
            <w:r w:rsidR="0028439A" w:rsidRPr="00963E59">
              <w:t xml:space="preserve"> due to efficiencies with electrified equipment</w:t>
            </w:r>
            <w:r w:rsidRPr="00963E59">
              <w:t xml:space="preserve">, as well as the fact that </w:t>
            </w:r>
            <w:r w:rsidR="0028439A" w:rsidRPr="00963E59">
              <w:t xml:space="preserve">new electric-powered heat pumps can be partially run using energy from </w:t>
            </w:r>
            <w:r w:rsidR="00425090" w:rsidRPr="00963E59">
              <w:t xml:space="preserve">its </w:t>
            </w:r>
            <w:r w:rsidR="0028439A" w:rsidRPr="00963E59">
              <w:t xml:space="preserve">rooftop solar </w:t>
            </w:r>
            <w:r w:rsidR="00A511AC" w:rsidRPr="00963E59">
              <w:t>photovoltaic technology</w:t>
            </w:r>
            <w:r w:rsidR="0028439A" w:rsidRPr="00963E59">
              <w:t>.</w:t>
            </w:r>
          </w:p>
          <w:p w14:paraId="5E3272D6" w14:textId="0E6269DD" w:rsidR="0028439A" w:rsidRPr="00963E59" w:rsidRDefault="0028439A" w:rsidP="0010293B">
            <w:pPr>
              <w:pStyle w:val="BoxText"/>
            </w:pPr>
            <w:r w:rsidRPr="00963E59">
              <w:t xml:space="preserve">The </w:t>
            </w:r>
            <w:r w:rsidR="00760680" w:rsidRPr="00963E59">
              <w:t>company</w:t>
            </w:r>
            <w:r w:rsidR="00D703A6" w:rsidRPr="00963E59" w:rsidDel="00760680">
              <w:t xml:space="preserve"> </w:t>
            </w:r>
            <w:r w:rsidRPr="00963E59">
              <w:t xml:space="preserve">plans to phase in electric </w:t>
            </w:r>
            <w:r w:rsidR="004E15BB" w:rsidRPr="00963E59">
              <w:t xml:space="preserve">vans and trucks </w:t>
            </w:r>
            <w:r w:rsidRPr="00963E59">
              <w:t xml:space="preserve">when current transport assets </w:t>
            </w:r>
            <w:r w:rsidR="00760680" w:rsidRPr="00963E59">
              <w:t>reach</w:t>
            </w:r>
            <w:r w:rsidRPr="00963E59">
              <w:t xml:space="preserve"> end</w:t>
            </w:r>
            <w:r w:rsidR="006B40C0" w:rsidRPr="00963E59">
              <w:t xml:space="preserve"> </w:t>
            </w:r>
            <w:r w:rsidRPr="00963E59">
              <w:t>of</w:t>
            </w:r>
            <w:r w:rsidR="006B40C0" w:rsidRPr="00963E59">
              <w:t xml:space="preserve"> </w:t>
            </w:r>
            <w:r w:rsidRPr="00963E59">
              <w:t>life.</w:t>
            </w:r>
            <w:r w:rsidR="00760680" w:rsidRPr="00963E59">
              <w:t xml:space="preserve"> Meanwhile, the company’s </w:t>
            </w:r>
            <w:r w:rsidRPr="00963E59">
              <w:t>procurement team start</w:t>
            </w:r>
            <w:r w:rsidR="00760680" w:rsidRPr="00963E59">
              <w:t>s</w:t>
            </w:r>
            <w:r w:rsidRPr="00963E59">
              <w:t xml:space="preserve"> engaging with the most high-</w:t>
            </w:r>
            <w:r w:rsidR="00C56B81" w:rsidRPr="00963E59">
              <w:t>‍</w:t>
            </w:r>
            <w:r w:rsidRPr="00963E59">
              <w:t>emitting suppliers and customers to address scope 3 emissions.</w:t>
            </w:r>
            <w:r w:rsidR="00CA0F9C" w:rsidRPr="00963E59">
              <w:t xml:space="preserve"> </w:t>
            </w:r>
            <w:r w:rsidR="0010293B" w:rsidRPr="00963E59">
              <w:t>B</w:t>
            </w:r>
            <w:r w:rsidR="00760680" w:rsidRPr="00963E59">
              <w:t xml:space="preserve">ecause the company </w:t>
            </w:r>
            <w:r w:rsidR="00B81B5C" w:rsidRPr="00963E59">
              <w:t>has</w:t>
            </w:r>
            <w:r w:rsidRPr="00963E59">
              <w:t xml:space="preserve"> many suppliers, </w:t>
            </w:r>
            <w:r w:rsidR="00B81B5C" w:rsidRPr="00963E59">
              <w:t xml:space="preserve">it realises that it will take longer to </w:t>
            </w:r>
            <w:r w:rsidRPr="00963E59">
              <w:t>build relationships and trust</w:t>
            </w:r>
            <w:r w:rsidR="00B81B5C" w:rsidRPr="00963E59">
              <w:t xml:space="preserve">. As such, it develops a long-term plan to </w:t>
            </w:r>
            <w:r w:rsidRPr="00963E59">
              <w:t>engage</w:t>
            </w:r>
            <w:r w:rsidRPr="00963E59" w:rsidDel="006F12F6">
              <w:t xml:space="preserve"> </w:t>
            </w:r>
            <w:r w:rsidRPr="00963E59">
              <w:t>early</w:t>
            </w:r>
            <w:r w:rsidR="000C425D" w:rsidRPr="00963E59">
              <w:t xml:space="preserve"> </w:t>
            </w:r>
            <w:r w:rsidR="006F12F6" w:rsidRPr="00963E59">
              <w:t>and collaborate</w:t>
            </w:r>
            <w:r w:rsidR="00B81B5C" w:rsidRPr="00963E59">
              <w:t xml:space="preserve"> with its suppliers</w:t>
            </w:r>
            <w:r w:rsidR="006F12F6" w:rsidRPr="00963E59">
              <w:t xml:space="preserve"> </w:t>
            </w:r>
            <w:r w:rsidRPr="00963E59">
              <w:t>to develop solutions.</w:t>
            </w:r>
          </w:p>
        </w:tc>
      </w:tr>
    </w:tbl>
    <w:p w14:paraId="2197A041" w14:textId="77777777" w:rsidR="007E0DCA" w:rsidRPr="00C56B81" w:rsidRDefault="007E0DCA" w:rsidP="00C56B81">
      <w:pPr>
        <w:pStyle w:val="SingleParagraph"/>
      </w:pPr>
    </w:p>
    <w:tbl>
      <w:tblPr>
        <w:tblW w:w="5000" w:type="pct"/>
        <w:shd w:val="clear" w:color="auto" w:fill="F2F9FC"/>
        <w:tblCellMar>
          <w:top w:w="227" w:type="dxa"/>
          <w:left w:w="227" w:type="dxa"/>
          <w:bottom w:w="227" w:type="dxa"/>
          <w:right w:w="227" w:type="dxa"/>
        </w:tblCellMar>
        <w:tblLook w:val="0620" w:firstRow="1" w:lastRow="0" w:firstColumn="0" w:lastColumn="0" w:noHBand="1" w:noVBand="1"/>
      </w:tblPr>
      <w:tblGrid>
        <w:gridCol w:w="9070"/>
      </w:tblGrid>
      <w:tr w:rsidR="007E0DCA" w:rsidRPr="00963E59" w14:paraId="3EE8A088" w14:textId="77777777" w:rsidTr="00460C3E">
        <w:trPr>
          <w:trHeight w:val="4735"/>
        </w:trPr>
        <w:tc>
          <w:tcPr>
            <w:tcW w:w="5000" w:type="pct"/>
            <w:shd w:val="clear" w:color="auto" w:fill="F2F9FC"/>
            <w:hideMark/>
          </w:tcPr>
          <w:p w14:paraId="50EB9A4E" w14:textId="46DB8B30" w:rsidR="007E0DCA" w:rsidRPr="00963E59" w:rsidRDefault="00157864" w:rsidP="00E964D5">
            <w:pPr>
              <w:pStyle w:val="BoxHeading"/>
            </w:pPr>
            <w:bookmarkStart w:id="201" w:name="Box28"/>
            <w:bookmarkStart w:id="202" w:name="BOX24"/>
            <w:bookmarkStart w:id="203" w:name="_Toc237351151"/>
            <w:bookmarkStart w:id="204" w:name="_Toc233287120"/>
            <w:bookmarkEnd w:id="201"/>
            <w:bookmarkEnd w:id="202"/>
            <w:r w:rsidRPr="00963E59">
              <w:lastRenderedPageBreak/>
              <w:t>Box 2</w:t>
            </w:r>
            <w:r w:rsidR="00710A9D">
              <w:t>1</w:t>
            </w:r>
            <w:r w:rsidRPr="00963E59">
              <w:t xml:space="preserve">. </w:t>
            </w:r>
            <w:r w:rsidR="00CE3BC2" w:rsidRPr="00963E59">
              <w:t>E</w:t>
            </w:r>
            <w:r w:rsidR="007E0DCA" w:rsidRPr="00963E59">
              <w:t xml:space="preserve">xample </w:t>
            </w:r>
            <w:r w:rsidRPr="00963E59">
              <w:t>on m</w:t>
            </w:r>
            <w:r w:rsidR="00FB76EE" w:rsidRPr="00963E59">
              <w:t>itigating climate impacts from government operations</w:t>
            </w:r>
            <w:bookmarkEnd w:id="203"/>
            <w:bookmarkEnd w:id="204"/>
          </w:p>
          <w:p w14:paraId="3D5F760A" w14:textId="12D86F89" w:rsidR="00535A41" w:rsidRPr="00963E59" w:rsidRDefault="00535A41" w:rsidP="00535A41">
            <w:pPr>
              <w:pStyle w:val="BoxText"/>
            </w:pPr>
            <w:r w:rsidRPr="00963E59">
              <w:t>In 2022 the Australian Government committed to reducing the emissions of Commonwealth</w:t>
            </w:r>
            <w:r w:rsidR="007F0EB9" w:rsidRPr="00963E59">
              <w:t> </w:t>
            </w:r>
            <w:r w:rsidRPr="00963E59">
              <w:t xml:space="preserve">Government agencies to net zero by 2030. To deliver this commitment, the </w:t>
            </w:r>
            <w:r w:rsidR="00A0507F" w:rsidRPr="00963E59">
              <w:t>g</w:t>
            </w:r>
            <w:r w:rsidRPr="00963E59">
              <w:t xml:space="preserve">overnment released the </w:t>
            </w:r>
            <w:hyperlink r:id="rId141" w:history="1">
              <w:r w:rsidR="00BE5DA2" w:rsidRPr="00963E59">
                <w:rPr>
                  <w:rStyle w:val="Hyperlink"/>
                </w:rPr>
                <w:t>Net Zero in Government Operations Strategy</w:t>
              </w:r>
            </w:hyperlink>
            <w:r w:rsidR="001477B0" w:rsidRPr="00963E59">
              <w:rPr>
                <w:rStyle w:val="FootnoteReference"/>
              </w:rPr>
              <w:endnoteReference w:id="97"/>
            </w:r>
            <w:r w:rsidRPr="00963E59">
              <w:t xml:space="preserve"> in November</w:t>
            </w:r>
            <w:r w:rsidR="007F0EB9" w:rsidRPr="00963E59">
              <w:t> </w:t>
            </w:r>
            <w:r w:rsidRPr="00963E59">
              <w:t>2023. The</w:t>
            </w:r>
            <w:r w:rsidR="007F0EB9" w:rsidRPr="00963E59">
              <w:t> </w:t>
            </w:r>
            <w:r w:rsidRPr="00963E59">
              <w:t xml:space="preserve">Strategy identifies priority areas for reducing emissions from Commonwealth activities. </w:t>
            </w:r>
            <w:r w:rsidR="00214E59" w:rsidRPr="00963E59">
              <w:t xml:space="preserve">It </w:t>
            </w:r>
            <w:r w:rsidRPr="00963E59">
              <w:t>focuses on emissions reduction across a number of areas of Commonwealth operations, including:</w:t>
            </w:r>
          </w:p>
          <w:p w14:paraId="12404483" w14:textId="7E1A181A" w:rsidR="00535A41" w:rsidRPr="00963E59" w:rsidRDefault="00535A41" w:rsidP="00DB6514">
            <w:pPr>
              <w:pStyle w:val="Boxbullet"/>
            </w:pPr>
            <w:r w:rsidRPr="00963E59">
              <w:t>procuring renewable energy through coordinated purchasing arrangements</w:t>
            </w:r>
          </w:p>
          <w:p w14:paraId="46911820" w14:textId="5B87F5DB" w:rsidR="00535A41" w:rsidRPr="00963E59" w:rsidRDefault="00535A41" w:rsidP="00DB6514">
            <w:pPr>
              <w:pStyle w:val="Boxbullet"/>
            </w:pPr>
            <w:r w:rsidRPr="00963E59">
              <w:t>refurbishing and leasing property to improve energy efficiency and reduce emissions impact</w:t>
            </w:r>
          </w:p>
          <w:p w14:paraId="475768DA" w14:textId="0CED26B2" w:rsidR="00535A41" w:rsidRPr="00963E59" w:rsidRDefault="00535A41" w:rsidP="00DB6514">
            <w:pPr>
              <w:pStyle w:val="Boxbullet"/>
            </w:pPr>
            <w:r w:rsidRPr="00963E59">
              <w:t>electrifying building infrastructure to eliminate direct emissions</w:t>
            </w:r>
          </w:p>
          <w:p w14:paraId="7F5E5C3E" w14:textId="3D48B48B" w:rsidR="00535A41" w:rsidRPr="00963E59" w:rsidRDefault="00535A41" w:rsidP="00DB6514">
            <w:pPr>
              <w:pStyle w:val="Boxbullet"/>
            </w:pPr>
            <w:r w:rsidRPr="00963E59">
              <w:t>integrating low emissions options into Commonwealth procurement, including through:</w:t>
            </w:r>
          </w:p>
          <w:p w14:paraId="6205A9B0" w14:textId="41AFA798" w:rsidR="00535A41" w:rsidRPr="00963E59" w:rsidRDefault="00535A41" w:rsidP="007F0EB9">
            <w:pPr>
              <w:pStyle w:val="Boxdash"/>
            </w:pPr>
            <w:r w:rsidRPr="00963E59">
              <w:t xml:space="preserve">procurement of low-emissions vehicles when fleet replacement is required </w:t>
            </w:r>
          </w:p>
          <w:p w14:paraId="0E4BA5D3" w14:textId="1A8C362F" w:rsidR="00535A41" w:rsidRPr="00963E59" w:rsidRDefault="00535A41" w:rsidP="007F0EB9">
            <w:pPr>
              <w:pStyle w:val="Boxdash"/>
            </w:pPr>
            <w:r w:rsidRPr="00963E59">
              <w:t>use of low-emissions options for official travel</w:t>
            </w:r>
          </w:p>
          <w:p w14:paraId="07253DD0" w14:textId="42FA55EA" w:rsidR="00535A41" w:rsidRPr="00963E59" w:rsidRDefault="00535A41" w:rsidP="007F0EB9">
            <w:pPr>
              <w:pStyle w:val="Boxdash"/>
            </w:pPr>
            <w:r w:rsidRPr="00963E59">
              <w:t>identification and management of emissions associated with information technology.</w:t>
            </w:r>
          </w:p>
          <w:p w14:paraId="3AC103D8" w14:textId="08FC8431" w:rsidR="00535A41" w:rsidRPr="00963E59" w:rsidRDefault="00535A41" w:rsidP="007F0EB9">
            <w:pPr>
              <w:pStyle w:val="BoxText"/>
            </w:pPr>
            <w:r w:rsidRPr="00963E59">
              <w:t>The</w:t>
            </w:r>
            <w:r w:rsidRPr="00963E59" w:rsidDel="0080799C">
              <w:t xml:space="preserve"> </w:t>
            </w:r>
            <w:r w:rsidRPr="00963E59">
              <w:t>Strategy sets out actions and targets aligned with these focus areas and provides guidance to Commonwealth entities on reducing operational emissions.</w:t>
            </w:r>
          </w:p>
          <w:p w14:paraId="03C530AA" w14:textId="53E7CE52" w:rsidR="007E0DCA" w:rsidRPr="00963E59" w:rsidRDefault="00535A41" w:rsidP="007F0EB9">
            <w:pPr>
              <w:pStyle w:val="BoxText"/>
            </w:pPr>
            <w:r w:rsidRPr="00963E59">
              <w:t>The</w:t>
            </w:r>
            <w:r w:rsidRPr="00963E59" w:rsidDel="0080799C">
              <w:t xml:space="preserve"> </w:t>
            </w:r>
            <w:r w:rsidRPr="00963E59">
              <w:t xml:space="preserve">Strategy </w:t>
            </w:r>
            <w:r w:rsidR="00750577" w:rsidRPr="00963E59">
              <w:t>is being</w:t>
            </w:r>
            <w:r w:rsidRPr="00963E59">
              <w:t xml:space="preserve"> progressively implemented over </w:t>
            </w:r>
            <w:r w:rsidR="005E18B6" w:rsidRPr="00963E59">
              <w:t>eight</w:t>
            </w:r>
            <w:r w:rsidR="000D2CE0" w:rsidRPr="00963E59">
              <w:t xml:space="preserve"> </w:t>
            </w:r>
            <w:r w:rsidRPr="00963E59">
              <w:t>years, from 2023</w:t>
            </w:r>
            <w:r w:rsidR="00A74581" w:rsidRPr="00963E59">
              <w:t>–</w:t>
            </w:r>
            <w:r w:rsidRPr="00963E59">
              <w:t xml:space="preserve">24 to achieve net zero by 2030. Progress towards the 2030 net zero target is reported annually through the </w:t>
            </w:r>
            <w:hyperlink r:id="rId142" w:history="1">
              <w:r w:rsidRPr="00963E59">
                <w:rPr>
                  <w:rStyle w:val="Hyperlink"/>
                </w:rPr>
                <w:t>Net</w:t>
              </w:r>
              <w:r w:rsidR="000725A6">
                <w:rPr>
                  <w:rStyle w:val="Hyperlink"/>
                </w:rPr>
                <w:t> </w:t>
              </w:r>
              <w:r w:rsidRPr="00963E59">
                <w:rPr>
                  <w:rStyle w:val="Hyperlink"/>
                </w:rPr>
                <w:t>Zero in Government Operations Annual Progress Report</w:t>
              </w:r>
            </w:hyperlink>
            <w:r w:rsidRPr="00963E59">
              <w:t>.</w:t>
            </w:r>
            <w:r w:rsidR="00560127" w:rsidRPr="00963E59">
              <w:rPr>
                <w:rStyle w:val="FootnoteReference"/>
              </w:rPr>
              <w:endnoteReference w:id="98"/>
            </w:r>
          </w:p>
        </w:tc>
      </w:tr>
    </w:tbl>
    <w:p w14:paraId="203DF7EA" w14:textId="74A8AAB8" w:rsidR="007201D4" w:rsidRDefault="00A87BE0" w:rsidP="006A4D36">
      <w:pPr>
        <w:pStyle w:val="Heading3"/>
      </w:pPr>
      <w:r>
        <w:t>Adaptation actions</w:t>
      </w:r>
    </w:p>
    <w:p w14:paraId="27B1612D" w14:textId="77777777" w:rsidR="00924EEA" w:rsidRDefault="00924EEA" w:rsidP="00924EEA">
      <w:r>
        <w:t>Organisations can use adaptation pathways to plan for</w:t>
      </w:r>
      <w:r w:rsidRPr="000D76F2" w:rsidDel="006150DE">
        <w:t xml:space="preserve"> </w:t>
      </w:r>
      <w:r w:rsidRPr="000D76F2">
        <w:t>future spending by</w:t>
      </w:r>
      <w:r>
        <w:t xml:space="preserve"> </w:t>
      </w:r>
      <w:r w:rsidRPr="000D76F2">
        <w:t>identifying decision points, triggers, critical thresholds, and possible timeframes for actions</w:t>
      </w:r>
      <w:r w:rsidRPr="000D76F2" w:rsidDel="00796E2F">
        <w:t xml:space="preserve"> across a range of plausible future scenarios.</w:t>
      </w:r>
    </w:p>
    <w:p w14:paraId="5AE9B5CA" w14:textId="77777777" w:rsidR="00924EEA" w:rsidRDefault="00924EEA" w:rsidP="00924EEA">
      <w:r>
        <w:t>Adaptation pathways</w:t>
      </w:r>
      <w:r w:rsidRPr="000D76F2">
        <w:t xml:space="preserve"> </w:t>
      </w:r>
      <w:r>
        <w:t>can</w:t>
      </w:r>
      <w:r w:rsidRPr="000D76F2">
        <w:t xml:space="preserve"> support investment decisions that </w:t>
      </w:r>
      <w:r>
        <w:t>avoid</w:t>
      </w:r>
      <w:r w:rsidRPr="000D76F2">
        <w:t xml:space="preserve"> lock</w:t>
      </w:r>
      <w:r>
        <w:t xml:space="preserve">ing </w:t>
      </w:r>
      <w:r w:rsidRPr="000D76F2">
        <w:t>in climate risk, limit</w:t>
      </w:r>
      <w:r>
        <w:t>ing</w:t>
      </w:r>
      <w:r w:rsidRPr="000D76F2">
        <w:t xml:space="preserve"> future opportunities, or lead</w:t>
      </w:r>
      <w:r>
        <w:t>ing</w:t>
      </w:r>
      <w:r w:rsidRPr="000D76F2">
        <w:t xml:space="preserve"> to unintended or maladaptive outcomes.</w:t>
      </w:r>
      <w:r w:rsidRPr="007201D4">
        <w:t> </w:t>
      </w:r>
    </w:p>
    <w:p w14:paraId="52EFFA4C" w14:textId="77777777" w:rsidR="00924EEA" w:rsidRDefault="00924EEA" w:rsidP="00924EEA">
      <w:r>
        <w:t>R</w:t>
      </w:r>
      <w:r w:rsidRPr="008F1005">
        <w:t>esources are available to support entities in using adaptation pathways to choose and sequence appropriate adaptation (and transition) actions. Th</w:t>
      </w:r>
      <w:r>
        <w:t>is</w:t>
      </w:r>
      <w:r w:rsidRPr="008F1005">
        <w:t xml:space="preserve"> include</w:t>
      </w:r>
      <w:r>
        <w:t>s Commonwealth Scientific and Industrial Research Organisation guidance</w:t>
      </w:r>
      <w:r w:rsidRPr="00856EF0" w:rsidDel="00912FCF">
        <w:t xml:space="preserve"> </w:t>
      </w:r>
      <w:r w:rsidRPr="00856EF0">
        <w:t xml:space="preserve">on </w:t>
      </w:r>
      <w:hyperlink r:id="rId143" w:history="1">
        <w:r w:rsidRPr="00325D20">
          <w:rPr>
            <w:rStyle w:val="Hyperlink"/>
          </w:rPr>
          <w:t>adaptation pathways</w:t>
        </w:r>
      </w:hyperlink>
      <w:r>
        <w:t xml:space="preserve"> and </w:t>
      </w:r>
      <w:hyperlink r:id="rId144" w:history="1">
        <w:r w:rsidRPr="00325D20">
          <w:rPr>
            <w:rStyle w:val="Hyperlink"/>
          </w:rPr>
          <w:t>CoastAdapt</w:t>
        </w:r>
      </w:hyperlink>
      <w:r>
        <w:t xml:space="preserve">. </w:t>
      </w:r>
    </w:p>
    <w:p w14:paraId="5B620F5F" w14:textId="77777777" w:rsidR="00924EEA" w:rsidRDefault="00924EEA" w:rsidP="00924EEA">
      <w:r w:rsidRPr="00A87BE0" w:rsidDel="00DB1079">
        <w:t xml:space="preserve">The </w:t>
      </w:r>
      <w:r w:rsidRPr="00D73DD0">
        <w:t>TPT Transition Planning Cycle</w:t>
      </w:r>
      <w:r>
        <w:t xml:space="preserve"> (page 28–29)</w:t>
      </w:r>
      <w:r w:rsidDel="008572EC">
        <w:t xml:space="preserve"> suggests </w:t>
      </w:r>
      <w:r>
        <w:t>prioritising adaptation actions by identifying which are no/low regrets, which support climate</w:t>
      </w:r>
      <w:r>
        <w:noBreakHyphen/>
        <w:t xml:space="preserve">smart design in new infrastructure, and which are early activities that will take time to develop and benefit from learning curves. </w:t>
      </w:r>
    </w:p>
    <w:p w14:paraId="5BF4A094" w14:textId="77777777" w:rsidR="00924EEA" w:rsidRDefault="00924EEA" w:rsidP="00924EEA">
      <w:r w:rsidRPr="00E3770B">
        <w:t xml:space="preserve">The Australian Government has worked with the insurance industry to develop </w:t>
      </w:r>
      <w:hyperlink r:id="rId145" w:history="1">
        <w:r w:rsidRPr="00325D20">
          <w:rPr>
            <w:rStyle w:val="Hyperlink"/>
          </w:rPr>
          <w:t>Guiding Principles for resilience investment</w:t>
        </w:r>
      </w:hyperlink>
      <w:r w:rsidRPr="00E3770B">
        <w:t>.</w:t>
      </w:r>
      <w:r w:rsidRPr="00D0437C">
        <w:rPr>
          <w:rStyle w:val="FootnoteReference"/>
        </w:rPr>
        <w:endnoteReference w:id="99"/>
      </w:r>
      <w:r w:rsidRPr="00E3770B">
        <w:t xml:space="preserve"> </w:t>
      </w:r>
      <w:r>
        <w:t>This recognises that investment in risk</w:t>
      </w:r>
      <w:r>
        <w:noBreakHyphen/>
        <w:t>reduction activities is one of the most effective ways to build more resilient communities and put downward pressure on insurance premiums.</w:t>
      </w:r>
    </w:p>
    <w:p w14:paraId="36134E33" w14:textId="75B1FB9E" w:rsidR="00BF1F05" w:rsidRDefault="00587FDA" w:rsidP="002916EA">
      <w:pPr>
        <w:pStyle w:val="Heading3"/>
      </w:pPr>
      <w:r>
        <w:lastRenderedPageBreak/>
        <w:t>Optimisation</w:t>
      </w:r>
      <w:r w:rsidR="00BF1F05">
        <w:t xml:space="preserve"> and trade</w:t>
      </w:r>
      <w:r w:rsidR="00E972FA">
        <w:t>-</w:t>
      </w:r>
      <w:r w:rsidR="00BF1F05">
        <w:t>offs between adaptation and mitigation actions</w:t>
      </w:r>
    </w:p>
    <w:p w14:paraId="3CAF8605" w14:textId="350EF8EB" w:rsidR="0057721D" w:rsidRDefault="00EF7354" w:rsidP="00BF1F05">
      <w:r>
        <w:t>Organisations</w:t>
      </w:r>
      <w:r w:rsidR="003F3698" w:rsidDel="008E07D7">
        <w:t xml:space="preserve"> can </w:t>
      </w:r>
      <w:r>
        <w:t>d</w:t>
      </w:r>
      <w:r w:rsidR="002D53D2">
        <w:t>evelop</w:t>
      </w:r>
      <w:r w:rsidR="00BF1F05">
        <w:t xml:space="preserve"> adaptation and mitigation action</w:t>
      </w:r>
      <w:r w:rsidR="00527114">
        <w:t xml:space="preserve"> plans</w:t>
      </w:r>
      <w:r w:rsidR="002D53D2">
        <w:t xml:space="preserve"> </w:t>
      </w:r>
      <w:r w:rsidR="002A6EBD">
        <w:t xml:space="preserve">in parallel </w:t>
      </w:r>
      <w:r>
        <w:t>to</w:t>
      </w:r>
      <w:r w:rsidR="002A6EBD">
        <w:t xml:space="preserve"> support improved</w:t>
      </w:r>
      <w:r w:rsidR="000D3112">
        <w:t xml:space="preserve"> outcomes</w:t>
      </w:r>
      <w:r w:rsidR="006761E7">
        <w:t>.</w:t>
      </w:r>
      <w:r w:rsidR="00811C4C">
        <w:t xml:space="preserve"> This approach can</w:t>
      </w:r>
      <w:r w:rsidR="000D3112">
        <w:t xml:space="preserve"> </w:t>
      </w:r>
      <w:r w:rsidR="002A6EBD">
        <w:t>help</w:t>
      </w:r>
      <w:r w:rsidR="008B339F">
        <w:t xml:space="preserve"> </w:t>
      </w:r>
      <w:r w:rsidR="0009613F">
        <w:t xml:space="preserve">optimise </w:t>
      </w:r>
      <w:r w:rsidR="00761DBF">
        <w:t>benefits</w:t>
      </w:r>
      <w:r w:rsidR="000B5310">
        <w:t>, identify</w:t>
      </w:r>
      <w:r w:rsidR="00761DBF">
        <w:t xml:space="preserve"> </w:t>
      </w:r>
      <w:r w:rsidR="009D3108">
        <w:t>trade</w:t>
      </w:r>
      <w:r w:rsidR="00963E59">
        <w:noBreakHyphen/>
      </w:r>
      <w:r w:rsidR="009D3108">
        <w:t>offs</w:t>
      </w:r>
      <w:r w:rsidR="008B339F">
        <w:t xml:space="preserve">, including those </w:t>
      </w:r>
      <w:r w:rsidR="000D3112">
        <w:t>arising</w:t>
      </w:r>
      <w:r w:rsidR="008B339F">
        <w:t xml:space="preserve"> </w:t>
      </w:r>
      <w:r w:rsidR="0018503E">
        <w:t xml:space="preserve">from </w:t>
      </w:r>
      <w:r w:rsidR="00C35A2D">
        <w:t>resource constraints</w:t>
      </w:r>
      <w:r w:rsidR="003374BB">
        <w:t xml:space="preserve">, and </w:t>
      </w:r>
      <w:r w:rsidR="00532CB1">
        <w:t xml:space="preserve">reduce </w:t>
      </w:r>
      <w:r w:rsidR="00E638C1">
        <w:t xml:space="preserve">the risk of </w:t>
      </w:r>
      <w:r w:rsidR="00642D44">
        <w:t>conflicting actions</w:t>
      </w:r>
      <w:r w:rsidR="00826932">
        <w:t xml:space="preserve">. </w:t>
      </w:r>
    </w:p>
    <w:p w14:paraId="791C3802" w14:textId="772F439A" w:rsidR="00892409" w:rsidRDefault="00826932" w:rsidP="00BF1F05">
      <w:r>
        <w:t xml:space="preserve">Some actions </w:t>
      </w:r>
      <w:r w:rsidR="0057721D">
        <w:t xml:space="preserve">can </w:t>
      </w:r>
      <w:r w:rsidR="00EC74C2">
        <w:t>deliver</w:t>
      </w:r>
      <w:r w:rsidR="00D13A01">
        <w:t xml:space="preserve"> </w:t>
      </w:r>
      <w:r w:rsidR="00884828">
        <w:t>benefit</w:t>
      </w:r>
      <w:r w:rsidR="0057721D">
        <w:t xml:space="preserve">s </w:t>
      </w:r>
      <w:r w:rsidR="00E8784B">
        <w:t>for both</w:t>
      </w:r>
      <w:r w:rsidR="00B21C4E">
        <w:t xml:space="preserve"> </w:t>
      </w:r>
      <w:r>
        <w:t>mitigation and adaptation</w:t>
      </w:r>
      <w:r w:rsidR="004C6540">
        <w:t>. For example,</w:t>
      </w:r>
      <w:r w:rsidR="0057721D">
        <w:t xml:space="preserve"> </w:t>
      </w:r>
      <w:r w:rsidR="00F03C65">
        <w:t>plan</w:t>
      </w:r>
      <w:r w:rsidR="00E8784B">
        <w:t>ting</w:t>
      </w:r>
      <w:r w:rsidR="00F03C65">
        <w:t xml:space="preserve"> </w:t>
      </w:r>
      <w:r w:rsidR="005E4ACD">
        <w:t>tree</w:t>
      </w:r>
      <w:r w:rsidR="00F03C65">
        <w:t>s</w:t>
      </w:r>
      <w:r w:rsidR="005E4ACD">
        <w:t xml:space="preserve"> </w:t>
      </w:r>
      <w:r w:rsidR="007672B0">
        <w:t xml:space="preserve">can </w:t>
      </w:r>
      <w:r w:rsidR="005E4ACD">
        <w:t xml:space="preserve">reduce emissions </w:t>
      </w:r>
      <w:r w:rsidR="00F03C65">
        <w:t>while also</w:t>
      </w:r>
      <w:r w:rsidR="005E4ACD">
        <w:t xml:space="preserve"> </w:t>
      </w:r>
      <w:r w:rsidR="007672B0">
        <w:t>help</w:t>
      </w:r>
      <w:r w:rsidR="00F03C65">
        <w:t>ing to</w:t>
      </w:r>
      <w:r w:rsidR="007672B0">
        <w:t xml:space="preserve"> manage flood risk</w:t>
      </w:r>
      <w:r w:rsidR="009165BC">
        <w:t xml:space="preserve">. </w:t>
      </w:r>
      <w:r w:rsidR="00CA3507">
        <w:t>O</w:t>
      </w:r>
      <w:r w:rsidR="009165BC">
        <w:t xml:space="preserve">ther actions may </w:t>
      </w:r>
      <w:r w:rsidR="00BC3E63">
        <w:t xml:space="preserve">create </w:t>
      </w:r>
      <w:r w:rsidR="00F2175B">
        <w:t>additional challenges</w:t>
      </w:r>
      <w:r w:rsidR="00892409">
        <w:t xml:space="preserve"> </w:t>
      </w:r>
      <w:r w:rsidR="00C96574">
        <w:t>if</w:t>
      </w:r>
      <w:r w:rsidR="00892409">
        <w:t xml:space="preserve"> </w:t>
      </w:r>
      <w:r w:rsidR="00B412A5">
        <w:t>considered in isolation</w:t>
      </w:r>
      <w:r w:rsidR="00D13A01">
        <w:t>. For example,</w:t>
      </w:r>
      <w:r w:rsidR="009165BC">
        <w:t xml:space="preserve"> </w:t>
      </w:r>
      <w:r w:rsidR="00D30895">
        <w:t>installing</w:t>
      </w:r>
      <w:r w:rsidR="00491EDA">
        <w:t xml:space="preserve"> rooftop</w:t>
      </w:r>
      <w:r w:rsidR="00D30895">
        <w:t xml:space="preserve"> solar panels </w:t>
      </w:r>
      <w:r w:rsidR="00ED6F2B">
        <w:t xml:space="preserve">without </w:t>
      </w:r>
      <w:r w:rsidR="00853A17">
        <w:t xml:space="preserve">also </w:t>
      </w:r>
      <w:r w:rsidR="00766022">
        <w:t xml:space="preserve">considering </w:t>
      </w:r>
      <w:r w:rsidR="00AC0B38">
        <w:t>whether the</w:t>
      </w:r>
      <w:r w:rsidR="00E73C82">
        <w:t xml:space="preserve"> roof </w:t>
      </w:r>
      <w:r w:rsidR="00AC0B38">
        <w:t xml:space="preserve">needs </w:t>
      </w:r>
      <w:r w:rsidR="00E73C82">
        <w:t>upgrad</w:t>
      </w:r>
      <w:r w:rsidR="00AC0B38">
        <w:t>ing</w:t>
      </w:r>
      <w:r w:rsidR="00CC7837">
        <w:t xml:space="preserve"> </w:t>
      </w:r>
      <w:r w:rsidR="0009034E">
        <w:t xml:space="preserve">to </w:t>
      </w:r>
      <w:r w:rsidR="00AC0B38">
        <w:t>manage</w:t>
      </w:r>
      <w:r w:rsidR="0009034E">
        <w:t xml:space="preserve"> increasing </w:t>
      </w:r>
      <w:r w:rsidR="004A3FDB">
        <w:t>weather risks</w:t>
      </w:r>
      <w:r w:rsidR="00125BDC">
        <w:t>.</w:t>
      </w:r>
      <w:r w:rsidR="005A0A09">
        <w:t xml:space="preserve"> </w:t>
      </w:r>
    </w:p>
    <w:p w14:paraId="3DEE9B7A" w14:textId="59FE4FE7" w:rsidR="00BF1F05" w:rsidRDefault="00DD751E" w:rsidP="00BF1F05">
      <w:r>
        <w:t>Even where</w:t>
      </w:r>
      <w:r w:rsidR="00DC6213" w:rsidDel="008668ED">
        <w:t xml:space="preserve"> </w:t>
      </w:r>
      <w:r w:rsidR="002212E8">
        <w:t>mitigation</w:t>
      </w:r>
      <w:r w:rsidR="000627F9">
        <w:t>,</w:t>
      </w:r>
      <w:r w:rsidR="002212E8">
        <w:t xml:space="preserve"> adapt</w:t>
      </w:r>
      <w:r w:rsidR="000E3E6A">
        <w:t>at</w:t>
      </w:r>
      <w:r w:rsidR="002212E8">
        <w:t xml:space="preserve">ion </w:t>
      </w:r>
      <w:r w:rsidR="000627F9">
        <w:t xml:space="preserve">and </w:t>
      </w:r>
      <w:r w:rsidR="002212E8">
        <w:t>other sustainability</w:t>
      </w:r>
      <w:r w:rsidR="00963E59">
        <w:noBreakHyphen/>
      </w:r>
      <w:r w:rsidR="002212E8">
        <w:t xml:space="preserve">related </w:t>
      </w:r>
      <w:r w:rsidR="00A45650">
        <w:t xml:space="preserve">actions </w:t>
      </w:r>
      <w:r w:rsidR="000627F9">
        <w:t xml:space="preserve">are </w:t>
      </w:r>
      <w:r w:rsidR="00606CB1">
        <w:t>planned</w:t>
      </w:r>
      <w:r w:rsidR="000627F9">
        <w:t xml:space="preserve"> separately</w:t>
      </w:r>
      <w:r w:rsidR="007B581A">
        <w:t xml:space="preserve">, including at </w:t>
      </w:r>
      <w:r w:rsidR="00E40E74">
        <w:t>different time</w:t>
      </w:r>
      <w:r w:rsidR="007B581A">
        <w:t>s</w:t>
      </w:r>
      <w:r w:rsidR="00E40E74">
        <w:t xml:space="preserve">, </w:t>
      </w:r>
      <w:r w:rsidR="00C7473F">
        <w:t xml:space="preserve">integrating all actions </w:t>
      </w:r>
      <w:r w:rsidR="00BD4B84">
        <w:t xml:space="preserve">into the business strategy </w:t>
      </w:r>
      <w:r w:rsidR="00A45650">
        <w:t xml:space="preserve">can </w:t>
      </w:r>
      <w:r w:rsidR="00213182">
        <w:t>still</w:t>
      </w:r>
      <w:r w:rsidR="00010BE1">
        <w:t xml:space="preserve"> </w:t>
      </w:r>
      <w:r w:rsidR="00D54518">
        <w:t>support</w:t>
      </w:r>
      <w:r w:rsidR="00013B48">
        <w:t xml:space="preserve"> </w:t>
      </w:r>
      <w:r w:rsidR="00DD3DDB">
        <w:t xml:space="preserve">some </w:t>
      </w:r>
      <w:r w:rsidR="00213182">
        <w:t>improved outcomes</w:t>
      </w:r>
      <w:r w:rsidR="00736ADB">
        <w:t xml:space="preserve">. </w:t>
      </w:r>
    </w:p>
    <w:p w14:paraId="2C6136EC" w14:textId="65512529" w:rsidR="00125BDC" w:rsidRDefault="00125BDC" w:rsidP="00BF1F05">
      <w:r>
        <w:t xml:space="preserve">The </w:t>
      </w:r>
      <w:r w:rsidRPr="00D73DD0">
        <w:t>TPT Transition Planning Cycle</w:t>
      </w:r>
      <w:r w:rsidR="000C7537">
        <w:t xml:space="preserve"> (page 25)</w:t>
      </w:r>
      <w:r>
        <w:t xml:space="preserve"> </w:t>
      </w:r>
      <w:r w:rsidR="006C4DA8">
        <w:t>includes a diagram</w:t>
      </w:r>
      <w:r w:rsidR="00DF604E">
        <w:t xml:space="preserve"> </w:t>
      </w:r>
      <w:r w:rsidR="000D7511">
        <w:t>with</w:t>
      </w:r>
      <w:r w:rsidR="006C4DA8">
        <w:t xml:space="preserve"> examples of synergies and </w:t>
      </w:r>
      <w:r w:rsidR="001F7E60">
        <w:t>trade</w:t>
      </w:r>
      <w:r w:rsidR="00963E59">
        <w:noBreakHyphen/>
      </w:r>
      <w:r w:rsidR="001F7E60">
        <w:t>offs</w:t>
      </w:r>
      <w:r w:rsidR="006C4DA8">
        <w:t xml:space="preserve"> between mitigation and adaptation.</w:t>
      </w:r>
    </w:p>
    <w:p w14:paraId="63137463" w14:textId="17B25FED" w:rsidR="008C0CFE" w:rsidRDefault="008C0CFE">
      <w:pPr>
        <w:spacing w:before="0" w:after="160" w:line="259" w:lineRule="auto"/>
      </w:pPr>
      <w:bookmarkStart w:id="205" w:name="Box29"/>
      <w:bookmarkEnd w:id="205"/>
      <w:r>
        <w:br w:type="page"/>
      </w:r>
    </w:p>
    <w:tbl>
      <w:tblPr>
        <w:tblW w:w="5000" w:type="pct"/>
        <w:shd w:val="clear" w:color="auto" w:fill="FCEEE5" w:themeFill="accent6" w:themeFillTint="33"/>
        <w:tblCellMar>
          <w:top w:w="227" w:type="dxa"/>
          <w:left w:w="227" w:type="dxa"/>
          <w:bottom w:w="227" w:type="dxa"/>
          <w:right w:w="227" w:type="dxa"/>
        </w:tblCellMar>
        <w:tblLook w:val="0620" w:firstRow="1" w:lastRow="0" w:firstColumn="0" w:lastColumn="0" w:noHBand="1" w:noVBand="1"/>
      </w:tblPr>
      <w:tblGrid>
        <w:gridCol w:w="9070"/>
      </w:tblGrid>
      <w:tr w:rsidR="00B11056" w14:paraId="53D4937A" w14:textId="77777777" w:rsidTr="00460C3E">
        <w:tc>
          <w:tcPr>
            <w:tcW w:w="5000" w:type="pct"/>
            <w:shd w:val="clear" w:color="auto" w:fill="FCEEE5" w:themeFill="accent6" w:themeFillTint="33"/>
            <w:hideMark/>
          </w:tcPr>
          <w:p w14:paraId="254D6B98" w14:textId="76CB0FB9" w:rsidR="00B11056" w:rsidRPr="00963E59" w:rsidRDefault="00B11056" w:rsidP="00B11056">
            <w:pPr>
              <w:pStyle w:val="BoxHeading"/>
              <w:rPr>
                <w:lang w:eastAsia="en-US"/>
              </w:rPr>
            </w:pPr>
            <w:bookmarkStart w:id="206" w:name="_Toc237351152"/>
            <w:bookmarkStart w:id="207" w:name="_Toc233287121"/>
            <w:bookmarkStart w:id="208" w:name="BOX25"/>
            <w:r w:rsidRPr="00963E59">
              <w:lastRenderedPageBreak/>
              <w:t>Box 2</w:t>
            </w:r>
            <w:r w:rsidR="00710A9D">
              <w:t>2</w:t>
            </w:r>
            <w:r w:rsidRPr="00963E59">
              <w:t xml:space="preserve">. </w:t>
            </w:r>
            <w:r w:rsidRPr="00963E59" w:rsidDel="0041353A">
              <w:t>I</w:t>
            </w:r>
            <w:r w:rsidRPr="00963E59" w:rsidDel="0041353A">
              <w:rPr>
                <w:lang w:eastAsia="en-US"/>
              </w:rPr>
              <w:t>nformation on o</w:t>
            </w:r>
            <w:r w:rsidRPr="00963E59" w:rsidDel="00EC0C3C">
              <w:rPr>
                <w:lang w:eastAsia="en-US"/>
              </w:rPr>
              <w:t>ther</w:t>
            </w:r>
            <w:r w:rsidRPr="00963E59">
              <w:rPr>
                <w:lang w:eastAsia="en-US"/>
              </w:rPr>
              <w:t xml:space="preserve"> sustainability-related ambitions and actions</w:t>
            </w:r>
            <w:bookmarkEnd w:id="206"/>
            <w:bookmarkEnd w:id="207"/>
          </w:p>
          <w:bookmarkEnd w:id="208"/>
          <w:p w14:paraId="26256589" w14:textId="4DEC13BB" w:rsidR="00B11056" w:rsidRPr="00963E59" w:rsidRDefault="00B11056" w:rsidP="00BC7556">
            <w:pPr>
              <w:pStyle w:val="BoxText"/>
            </w:pPr>
            <w:r w:rsidRPr="00963E59">
              <w:t>This box includes information on considering and integrating other sustainability-related ambitions and actions in transition planning. Integrating cross</w:t>
            </w:r>
            <w:r w:rsidRPr="00963E59">
              <w:noBreakHyphen/>
              <w:t>considerations early can help organisations identify co</w:t>
            </w:r>
            <w:r w:rsidRPr="00963E59">
              <w:noBreakHyphen/>
              <w:t>benefits and avoid unintended harm from actions driven by climate</w:t>
            </w:r>
            <w:r w:rsidRPr="00963E59">
              <w:noBreakHyphen/>
              <w:t>only considerations.</w:t>
            </w:r>
          </w:p>
          <w:p w14:paraId="03B4FEE8" w14:textId="78B0DDB5" w:rsidR="00B11056" w:rsidRPr="00963E59" w:rsidRDefault="00B11056" w:rsidP="00BC7556">
            <w:pPr>
              <w:pStyle w:val="BoxText"/>
            </w:pPr>
            <w:r w:rsidRPr="00963E59">
              <w:t xml:space="preserve">Organisations can refer to the World Business Council for Sustainable Development </w:t>
            </w:r>
            <w:hyperlink r:id="rId146" w:history="1">
              <w:r w:rsidRPr="00963E59">
                <w:rPr>
                  <w:rStyle w:val="Hyperlink"/>
                </w:rPr>
                <w:t>Integrated</w:t>
              </w:r>
              <w:r w:rsidR="000725A6">
                <w:rPr>
                  <w:rStyle w:val="Hyperlink"/>
                </w:rPr>
                <w:t> </w:t>
              </w:r>
              <w:r w:rsidRPr="00963E59">
                <w:rPr>
                  <w:rStyle w:val="Hyperlink"/>
                </w:rPr>
                <w:t>Transition Planning primer</w:t>
              </w:r>
            </w:hyperlink>
            <w:r w:rsidRPr="00AE5878">
              <w:rPr>
                <w:rStyle w:val="FootnoteReference"/>
              </w:rPr>
              <w:endnoteReference w:id="100"/>
            </w:r>
            <w:r w:rsidRPr="00AE5878">
              <w:rPr>
                <w:rStyle w:val="FootnoteReference"/>
              </w:rPr>
              <w:t xml:space="preserve"> </w:t>
            </w:r>
            <w:r w:rsidRPr="00963E59">
              <w:t>for further information on integrating nature and just transition considerations in transition planning.</w:t>
            </w:r>
          </w:p>
          <w:p w14:paraId="51A3BE5B" w14:textId="77777777" w:rsidR="00B11056" w:rsidRPr="00963E59" w:rsidRDefault="00B11056" w:rsidP="00B11056">
            <w:pPr>
              <w:pStyle w:val="BoxText"/>
              <w:rPr>
                <w:b/>
              </w:rPr>
            </w:pPr>
            <w:r w:rsidRPr="00963E59">
              <w:rPr>
                <w:b/>
              </w:rPr>
              <w:t>Just</w:t>
            </w:r>
            <w:r w:rsidRPr="00963E59" w:rsidDel="006B5E08">
              <w:rPr>
                <w:b/>
              </w:rPr>
              <w:t xml:space="preserve"> </w:t>
            </w:r>
            <w:r w:rsidRPr="00963E59">
              <w:rPr>
                <w:b/>
              </w:rPr>
              <w:t xml:space="preserve">transition </w:t>
            </w:r>
          </w:p>
          <w:p w14:paraId="11CA8C1E" w14:textId="77777777" w:rsidR="00B11056" w:rsidRPr="00963E59" w:rsidRDefault="00B11056" w:rsidP="00B11056">
            <w:pPr>
              <w:pStyle w:val="BoxText"/>
              <w:rPr>
                <w:i/>
                <w:iCs/>
              </w:rPr>
            </w:pPr>
            <w:r w:rsidRPr="00963E59">
              <w:rPr>
                <w:i/>
                <w:iCs/>
              </w:rPr>
              <w:t>Ambitions</w:t>
            </w:r>
          </w:p>
          <w:p w14:paraId="226E1352" w14:textId="77777777" w:rsidR="00B11056" w:rsidRPr="00963E59" w:rsidRDefault="00B11056" w:rsidP="00B11056">
            <w:pPr>
              <w:pStyle w:val="BoxText"/>
            </w:pPr>
            <w:r w:rsidRPr="00963E59">
              <w:t xml:space="preserve">A ‘just transition’ is a social goal broadly defined as ensuring the climate transition is fair, inclusive and protects workers, communities and vulnerable groups. This involves upholding fairness and equity both intergenerationally and across different social groups and can help an organisation maintain social licence throughout the transition. The </w:t>
            </w:r>
            <w:hyperlink r:id="rId147" w:history="1">
              <w:r w:rsidRPr="00963E59">
                <w:rPr>
                  <w:rStyle w:val="Hyperlink"/>
                </w:rPr>
                <w:t>National Climate Risk Assessment</w:t>
              </w:r>
            </w:hyperlink>
            <w:r w:rsidRPr="00963E59">
              <w:t xml:space="preserve"> and </w:t>
            </w:r>
            <w:hyperlink r:id="rId148" w:history="1">
              <w:r w:rsidRPr="00963E59">
                <w:rPr>
                  <w:rStyle w:val="Hyperlink"/>
                </w:rPr>
                <w:t>National Adaptation Plan</w:t>
              </w:r>
            </w:hyperlink>
            <w:r w:rsidRPr="00963E59">
              <w:t xml:space="preserve"> also include information on the disproportionate impacts of climate change on First Nations communities and the importance of First Nations participation in the climate transition. Examples of just transition ambitions include:</w:t>
            </w:r>
          </w:p>
          <w:p w14:paraId="73E80202" w14:textId="77777777" w:rsidR="00B11056" w:rsidRPr="00963E59" w:rsidRDefault="00B11056" w:rsidP="00DB6514">
            <w:pPr>
              <w:pStyle w:val="Boxbullet"/>
            </w:pPr>
            <w:r w:rsidRPr="00963E59">
              <w:t>providing social and economic co-benefits to local communities</w:t>
            </w:r>
          </w:p>
          <w:p w14:paraId="26A20309" w14:textId="77777777" w:rsidR="00B11056" w:rsidRPr="00963E59" w:rsidRDefault="00B11056" w:rsidP="00DB6514">
            <w:pPr>
              <w:pStyle w:val="Boxbullet"/>
            </w:pPr>
            <w:r w:rsidRPr="00963E59">
              <w:t>collaborating with local government, employees, and communities to co-design transition planning</w:t>
            </w:r>
          </w:p>
          <w:p w14:paraId="305B30EF" w14:textId="77777777" w:rsidR="00B11056" w:rsidRPr="00963E59" w:rsidRDefault="00B11056" w:rsidP="00DB6514">
            <w:pPr>
              <w:pStyle w:val="Boxbullet"/>
            </w:pPr>
            <w:r w:rsidRPr="00963E59">
              <w:t>protecting First Nations’ cultural heritage and values.</w:t>
            </w:r>
          </w:p>
          <w:p w14:paraId="7BB901E2" w14:textId="77777777" w:rsidR="00B11056" w:rsidRDefault="00B11056">
            <w:pPr>
              <w:pStyle w:val="BoxText"/>
            </w:pPr>
            <w:r w:rsidRPr="00963E59">
              <w:t xml:space="preserve">Organisations can refer to Investor Group on Climate Change </w:t>
            </w:r>
            <w:hyperlink r:id="rId149" w:history="1">
              <w:r w:rsidRPr="00963E59">
                <w:rPr>
                  <w:rStyle w:val="Hyperlink"/>
                </w:rPr>
                <w:t>Investor Expectations on Just Transition</w:t>
              </w:r>
            </w:hyperlink>
            <w:r w:rsidRPr="00963E59">
              <w:t>.</w:t>
            </w:r>
            <w:r w:rsidRPr="00AE5878">
              <w:rPr>
                <w:rStyle w:val="FootnoteReference"/>
              </w:rPr>
              <w:endnoteReference w:id="101"/>
            </w:r>
            <w:r w:rsidRPr="00963E59">
              <w:t xml:space="preserve"> This resource builds on other just transition related resources, including from the Australian Council of Superannuation Investors.</w:t>
            </w:r>
          </w:p>
          <w:p w14:paraId="5746D7E0" w14:textId="527272FE" w:rsidR="00895EFC" w:rsidRPr="00895EFC" w:rsidRDefault="00895EFC" w:rsidP="00895EFC">
            <w:pPr>
              <w:pStyle w:val="BoxText"/>
              <w:jc w:val="right"/>
              <w:rPr>
                <w:b/>
                <w:bCs/>
                <w:i/>
                <w:iCs/>
              </w:rPr>
            </w:pPr>
            <w:r w:rsidRPr="00895EFC">
              <w:rPr>
                <w:b/>
                <w:bCs/>
                <w:i/>
                <w:iCs/>
              </w:rPr>
              <w:t>Continued on next page</w:t>
            </w:r>
          </w:p>
        </w:tc>
      </w:tr>
    </w:tbl>
    <w:p w14:paraId="3DABA5B0" w14:textId="77777777" w:rsidR="002D2A4B" w:rsidRDefault="002D2A4B" w:rsidP="00BF1F05"/>
    <w:tbl>
      <w:tblPr>
        <w:tblW w:w="5000" w:type="pct"/>
        <w:shd w:val="clear" w:color="auto" w:fill="FCEEE5" w:themeFill="accent6" w:themeFillTint="33"/>
        <w:tblCellMar>
          <w:top w:w="227" w:type="dxa"/>
          <w:left w:w="227" w:type="dxa"/>
          <w:bottom w:w="227" w:type="dxa"/>
          <w:right w:w="227" w:type="dxa"/>
        </w:tblCellMar>
        <w:tblLook w:val="0620" w:firstRow="1" w:lastRow="0" w:firstColumn="0" w:lastColumn="0" w:noHBand="1" w:noVBand="1"/>
      </w:tblPr>
      <w:tblGrid>
        <w:gridCol w:w="9070"/>
      </w:tblGrid>
      <w:tr w:rsidR="00B11056" w14:paraId="0219B7D1" w14:textId="77777777" w:rsidTr="00460C3E">
        <w:tc>
          <w:tcPr>
            <w:tcW w:w="5000" w:type="pct"/>
            <w:shd w:val="clear" w:color="auto" w:fill="FCEEE5" w:themeFill="accent6" w:themeFillTint="33"/>
            <w:hideMark/>
          </w:tcPr>
          <w:p w14:paraId="0E2D4ACB" w14:textId="5D4EAF71" w:rsidR="00B11056" w:rsidRPr="00963E59" w:rsidRDefault="008C0CFE" w:rsidP="00B11056">
            <w:pPr>
              <w:pStyle w:val="BoxHeading"/>
              <w:spacing w:before="120"/>
            </w:pPr>
            <w:bookmarkStart w:id="209" w:name="_Toc233287122"/>
            <w:bookmarkStart w:id="210" w:name="_Toc237351153"/>
            <w:r w:rsidRPr="00963E59">
              <w:lastRenderedPageBreak/>
              <w:t>Box 2</w:t>
            </w:r>
            <w:r w:rsidR="00261EB3">
              <w:t>2</w:t>
            </w:r>
            <w:r w:rsidRPr="00963E59">
              <w:t xml:space="preserve">. </w:t>
            </w:r>
            <w:r w:rsidR="00B11056" w:rsidRPr="00963E59">
              <w:t>Information on other sustainability-related actions (continued)</w:t>
            </w:r>
            <w:bookmarkEnd w:id="209"/>
            <w:bookmarkEnd w:id="210"/>
          </w:p>
          <w:p w14:paraId="27A0D85A" w14:textId="77777777" w:rsidR="00B11056" w:rsidRPr="00963E59" w:rsidRDefault="00B11056" w:rsidP="00B11056">
            <w:pPr>
              <w:pStyle w:val="BoxText"/>
              <w:rPr>
                <w:i/>
                <w:iCs/>
              </w:rPr>
            </w:pPr>
            <w:r w:rsidRPr="00963E59">
              <w:rPr>
                <w:i/>
                <w:iCs/>
              </w:rPr>
              <w:t>Actions</w:t>
            </w:r>
          </w:p>
          <w:p w14:paraId="6098AADE" w14:textId="77777777" w:rsidR="00B11056" w:rsidRPr="00963E59" w:rsidRDefault="00B11056" w:rsidP="00B11056">
            <w:pPr>
              <w:pStyle w:val="BoxText"/>
              <w:rPr>
                <w:szCs w:val="22"/>
              </w:rPr>
            </w:pPr>
            <w:r w:rsidRPr="00963E59">
              <w:t xml:space="preserve">Examples of just transition actions to achieve ambitions include: </w:t>
            </w:r>
          </w:p>
          <w:p w14:paraId="5BDFED00" w14:textId="77777777" w:rsidR="00B11056" w:rsidRPr="00963E59" w:rsidRDefault="00B11056" w:rsidP="00DB6514">
            <w:pPr>
              <w:pStyle w:val="Boxbullet"/>
            </w:pPr>
            <w:r w:rsidRPr="00DB6514">
              <w:rPr>
                <w:b/>
              </w:rPr>
              <w:t>Workforce Transition Plan:</w:t>
            </w:r>
            <w:r w:rsidRPr="00DB6514">
              <w:rPr>
                <w:i/>
              </w:rPr>
              <w:t xml:space="preserve"> </w:t>
            </w:r>
            <w:r w:rsidRPr="00963E59">
              <w:t xml:space="preserve">Workforce transition plans outline strategies and steps to manage staffing changes. These plans help ensure a smooth transition while maintaining productivity and supporting affected employees through training and redeployment. The Net Zero Economy Authority administers the </w:t>
            </w:r>
            <w:hyperlink r:id="rId150">
              <w:r w:rsidRPr="00DB6514">
                <w:rPr>
                  <w:rStyle w:val="Hyperlink"/>
                  <w:szCs w:val="22"/>
                </w:rPr>
                <w:t>Energy Industry Jobs Plan</w:t>
              </w:r>
            </w:hyperlink>
            <w:r w:rsidRPr="00963E59">
              <w:t>,</w:t>
            </w:r>
            <w:r w:rsidRPr="00963E59">
              <w:rPr>
                <w:rStyle w:val="FootnoteReference"/>
              </w:rPr>
              <w:endnoteReference w:id="102"/>
            </w:r>
            <w:r w:rsidRPr="00DB6514">
              <w:rPr>
                <w:vertAlign w:val="superscript"/>
              </w:rPr>
              <w:t xml:space="preserve"> </w:t>
            </w:r>
            <w:r w:rsidRPr="00963E59">
              <w:t>a national legislative framework designed to support workers directly impacted by the closure of coal-‍fired and gas-fired power stations to prepare for and transition to new jobs. It achieves this by requiring employers to provide workers with reskilling opportunities, and access to career and financial advice so they can make informed decisions about their future. The Net Zero Economy Authority</w:t>
            </w:r>
            <w:r w:rsidRPr="00963E59" w:rsidDel="004C6540">
              <w:t xml:space="preserve"> </w:t>
            </w:r>
            <w:r w:rsidRPr="00963E59">
              <w:t>is also supporting the Department of Employment and Workplace Relations to develop Regional Workforce Transition Plans. These plans will enable the development of practical workforce actions, including reskilling and redeployment pathways, regionally tailored transition supports, and better alignment between emerging clean energy roles and local labour markets.</w:t>
            </w:r>
          </w:p>
          <w:p w14:paraId="3893F77C" w14:textId="77777777" w:rsidR="00B11056" w:rsidRPr="00963E59" w:rsidRDefault="00B11056" w:rsidP="00DB6514">
            <w:pPr>
              <w:pStyle w:val="Boxbullet"/>
            </w:pPr>
            <w:r w:rsidRPr="00DB6514">
              <w:rPr>
                <w:b/>
              </w:rPr>
              <w:t>Reconciliation Action Plan</w:t>
            </w:r>
            <w:r w:rsidRPr="00DB6514">
              <w:rPr>
                <w:b/>
                <w:bCs/>
                <w:iCs/>
              </w:rPr>
              <w:t>s</w:t>
            </w:r>
            <w:r w:rsidRPr="00DB6514">
              <w:rPr>
                <w:b/>
              </w:rPr>
              <w:t>:</w:t>
            </w:r>
            <w:r w:rsidRPr="00963E59">
              <w:t xml:space="preserve"> These strategic frameworks help establish and strengthen relationships, respect, collaboration and opportunities between First Nations and non-‍Indigenous Australians. Although not climate-specific,</w:t>
            </w:r>
            <w:r w:rsidRPr="00963E59" w:rsidDel="004C6540">
              <w:t xml:space="preserve"> </w:t>
            </w:r>
            <w:r w:rsidRPr="00963E59">
              <w:t>Reconciliation Action Plans help organisations embed the foundational principles of reconciliation. This is done through</w:t>
            </w:r>
            <w:r w:rsidRPr="00963E59" w:rsidDel="00CE0862">
              <w:t xml:space="preserve"> </w:t>
            </w:r>
            <w:r w:rsidRPr="00963E59">
              <w:t xml:space="preserve">promoting cultural capability, fostering respectful and meaningful relationships, and creating opportunities for First Nations leadership and participation in transition planning. Reconciliation Australia provides detailed </w:t>
            </w:r>
            <w:hyperlink r:id="rId151" w:history="1">
              <w:r w:rsidRPr="00DB6514">
                <w:rPr>
                  <w:rStyle w:val="Hyperlink"/>
                  <w:szCs w:val="22"/>
                </w:rPr>
                <w:t>advice</w:t>
              </w:r>
            </w:hyperlink>
            <w:r w:rsidRPr="00963E59">
              <w:rPr>
                <w:rStyle w:val="FootnoteReference"/>
              </w:rPr>
              <w:endnoteReference w:id="103"/>
            </w:r>
            <w:r w:rsidRPr="00963E59">
              <w:t xml:space="preserve"> on how organisations can develop and seek endorsement of Reconciliation Action Plans, with endorsed plans published</w:t>
            </w:r>
            <w:r w:rsidRPr="00963E59" w:rsidDel="00C96A69">
              <w:t xml:space="preserve"> </w:t>
            </w:r>
            <w:r w:rsidRPr="00963E59">
              <w:t>on their website. For</w:t>
            </w:r>
            <w:r w:rsidRPr="00963E59" w:rsidDel="004C6540">
              <w:t xml:space="preserve"> </w:t>
            </w:r>
            <w:r w:rsidRPr="00963E59">
              <w:t xml:space="preserve">more information on the importance of engaging First Nations peoples throughout transition planning, refer to </w:t>
            </w:r>
            <w:hyperlink w:anchor="section3dot5" w:history="1">
              <w:r w:rsidRPr="00963E59">
                <w:rPr>
                  <w:rStyle w:val="Hyperlink"/>
                </w:rPr>
                <w:t>section 3.5</w:t>
              </w:r>
            </w:hyperlink>
            <w:r w:rsidRPr="00963E59">
              <w:t xml:space="preserve"> of the guidance.</w:t>
            </w:r>
          </w:p>
          <w:p w14:paraId="300C1041" w14:textId="77777777" w:rsidR="00B11056" w:rsidRDefault="00B11056" w:rsidP="00DB6514">
            <w:pPr>
              <w:pStyle w:val="Boxbullet"/>
            </w:pPr>
            <w:r w:rsidRPr="00DB6514">
              <w:rPr>
                <w:b/>
              </w:rPr>
              <w:t>Cultural Heritage Management Plan:</w:t>
            </w:r>
            <w:r w:rsidRPr="00963E59">
              <w:t xml:space="preserve"> Developing and implementing a Cultural Heritage Management Plan</w:t>
            </w:r>
            <w:r w:rsidRPr="00963E59" w:rsidDel="00522EE0">
              <w:t xml:space="preserve"> </w:t>
            </w:r>
            <w:r w:rsidRPr="00963E59">
              <w:t>allows organisations to assess the potential cultural heritage impacts of an action, in consultation with relevant Traditional Owners and First Nations stakeholders. This may include consideration of tangible and intangible cultural heritage value, and commitment of measures for the protection and management of cultural heritage. Organisations should align the preparation of any Cultural Heritage Management Plan</w:t>
            </w:r>
            <w:r w:rsidRPr="00963E59" w:rsidDel="00522EE0">
              <w:t xml:space="preserve"> </w:t>
            </w:r>
            <w:r w:rsidRPr="00963E59">
              <w:t>with relevant state and territory legislation.</w:t>
            </w:r>
          </w:p>
          <w:p w14:paraId="17A3CDC5" w14:textId="548375BC" w:rsidR="00895EFC" w:rsidRDefault="006B319D" w:rsidP="006B319D">
            <w:pPr>
              <w:pStyle w:val="Boxbullet"/>
              <w:numPr>
                <w:ilvl w:val="0"/>
                <w:numId w:val="0"/>
              </w:numPr>
              <w:ind w:left="284"/>
              <w:jc w:val="right"/>
            </w:pPr>
            <w:r w:rsidRPr="00895EFC">
              <w:rPr>
                <w:b/>
                <w:bCs/>
                <w:i/>
                <w:iCs/>
              </w:rPr>
              <w:t>Continued on next page</w:t>
            </w:r>
          </w:p>
        </w:tc>
      </w:tr>
    </w:tbl>
    <w:p w14:paraId="39203FE2" w14:textId="77777777" w:rsidR="002D2A4B" w:rsidRDefault="002D2A4B" w:rsidP="00BF1F05"/>
    <w:tbl>
      <w:tblPr>
        <w:tblW w:w="5000" w:type="pct"/>
        <w:shd w:val="clear" w:color="auto" w:fill="FCEEE5" w:themeFill="accent6" w:themeFillTint="33"/>
        <w:tblCellMar>
          <w:top w:w="227" w:type="dxa"/>
          <w:left w:w="227" w:type="dxa"/>
          <w:bottom w:w="227" w:type="dxa"/>
          <w:right w:w="227" w:type="dxa"/>
        </w:tblCellMar>
        <w:tblLook w:val="0620" w:firstRow="1" w:lastRow="0" w:firstColumn="0" w:lastColumn="0" w:noHBand="1" w:noVBand="1"/>
      </w:tblPr>
      <w:tblGrid>
        <w:gridCol w:w="9070"/>
      </w:tblGrid>
      <w:tr w:rsidR="00B11056" w14:paraId="6E7D771E" w14:textId="77777777" w:rsidTr="00460C3E">
        <w:tc>
          <w:tcPr>
            <w:tcW w:w="5000" w:type="pct"/>
            <w:shd w:val="clear" w:color="auto" w:fill="FCEEE5" w:themeFill="accent6" w:themeFillTint="33"/>
            <w:hideMark/>
          </w:tcPr>
          <w:p w14:paraId="428EF4BE" w14:textId="105BCE00" w:rsidR="00B11056" w:rsidRPr="00963E59" w:rsidRDefault="008C0CFE" w:rsidP="00B11056">
            <w:pPr>
              <w:pStyle w:val="BoxHeading"/>
              <w:spacing w:before="120"/>
            </w:pPr>
            <w:bookmarkStart w:id="211" w:name="_Toc233287123"/>
            <w:bookmarkStart w:id="212" w:name="_Toc237351154"/>
            <w:r w:rsidRPr="00963E59">
              <w:lastRenderedPageBreak/>
              <w:t>Box 2</w:t>
            </w:r>
            <w:r w:rsidR="00261EB3">
              <w:t>2</w:t>
            </w:r>
            <w:r w:rsidRPr="00963E59">
              <w:t xml:space="preserve">. </w:t>
            </w:r>
            <w:r w:rsidR="00B11056" w:rsidRPr="00963E59">
              <w:t>Information on other sustainability-related actions (continued)</w:t>
            </w:r>
            <w:bookmarkEnd w:id="211"/>
            <w:bookmarkEnd w:id="212"/>
          </w:p>
          <w:p w14:paraId="534CD6F5" w14:textId="77777777" w:rsidR="00B11056" w:rsidRPr="00963E59" w:rsidRDefault="00B11056" w:rsidP="00B11056">
            <w:pPr>
              <w:pStyle w:val="BoxText"/>
              <w:rPr>
                <w:b/>
                <w:bCs/>
              </w:rPr>
            </w:pPr>
            <w:r w:rsidRPr="00963E59">
              <w:rPr>
                <w:b/>
                <w:bCs/>
              </w:rPr>
              <w:t xml:space="preserve">Nature </w:t>
            </w:r>
          </w:p>
          <w:p w14:paraId="45DF5B22" w14:textId="77777777" w:rsidR="00B11056" w:rsidRPr="00963E59" w:rsidRDefault="00B11056" w:rsidP="00B11056">
            <w:pPr>
              <w:pStyle w:val="BoxText"/>
              <w:rPr>
                <w:i/>
                <w:iCs/>
              </w:rPr>
            </w:pPr>
            <w:r w:rsidRPr="00963E59">
              <w:rPr>
                <w:i/>
                <w:iCs/>
              </w:rPr>
              <w:t>Ambitions</w:t>
            </w:r>
          </w:p>
          <w:p w14:paraId="24B7F0EF" w14:textId="77777777" w:rsidR="00B11056" w:rsidRPr="00963E59" w:rsidRDefault="00B11056" w:rsidP="00B11056">
            <w:pPr>
              <w:pStyle w:val="BoxText"/>
            </w:pPr>
            <w:r w:rsidRPr="00963E59">
              <w:t xml:space="preserve">The natural environment plays a crucial role in stabilising the global carbon cycle. However, it is increasingly being altered by the broad scale, fast pace and intensity of climate impacts. Conversely, protecting and increasing the resilience of the natural environment can reduce the effects of climate change and enhance climate change mitigation. </w:t>
            </w:r>
          </w:p>
          <w:p w14:paraId="3FA2C289" w14:textId="77777777" w:rsidR="00B11056" w:rsidRPr="00963E59" w:rsidRDefault="00B11056" w:rsidP="00B11056">
            <w:pPr>
              <w:pStyle w:val="BoxText"/>
            </w:pPr>
            <w:r w:rsidRPr="00963E59">
              <w:t>Given the links between climate and nature outcomes, organisations may look to set ambitions that integrate climate and nature goals, particularly in instances where those ambitions lead to reduced costs, improved resilience or long-term profitability. An example of this is committing to addressing deforestation in value chains – this ambition leads to positive outcomes on both climate and nature.</w:t>
            </w:r>
          </w:p>
          <w:p w14:paraId="620DE712" w14:textId="120B6DF5" w:rsidR="00B11056" w:rsidRPr="00963E59" w:rsidRDefault="00B11056" w:rsidP="00B11056">
            <w:pPr>
              <w:pStyle w:val="BoxText"/>
              <w:spacing w:before="0" w:after="60"/>
            </w:pPr>
            <w:r w:rsidRPr="00963E59">
              <w:t>With organisations, investors and financial regulators increasingly recognising the importance of responding to nature-related risks and opportunities, organisations may look to set more specific, nature-focused goals over time. These goals could relate to reducing negative impacts on nature (such as by reducing pollution impacts, or through more sustainable resource use) or increasing positive impacts on nature (such as by restoring degraded ecosystems or employing nature-</w:t>
            </w:r>
            <w:r w:rsidR="00F87583">
              <w:t>‍</w:t>
            </w:r>
            <w:r w:rsidRPr="00963E59">
              <w:t xml:space="preserve">based solutions). Organisations can refer to the Taskforce on Nature-related Financial Disclosures </w:t>
            </w:r>
            <w:hyperlink r:id="rId152" w:history="1">
              <w:r w:rsidRPr="00963E59">
                <w:rPr>
                  <w:rStyle w:val="Hyperlink"/>
                  <w:szCs w:val="22"/>
                </w:rPr>
                <w:t>Guidance on Nature in Transition Plans</w:t>
              </w:r>
            </w:hyperlink>
            <w:r w:rsidRPr="00963E59">
              <w:t xml:space="preserve"> for</w:t>
            </w:r>
            <w:r w:rsidRPr="00963E59">
              <w:rPr>
                <w:szCs w:val="22"/>
              </w:rPr>
              <w:t xml:space="preserve"> further information.</w:t>
            </w:r>
          </w:p>
          <w:p w14:paraId="4A668D8E" w14:textId="77777777" w:rsidR="00B11056" w:rsidRPr="00963E59" w:rsidRDefault="00B11056" w:rsidP="00B11056">
            <w:pPr>
              <w:pStyle w:val="BoxText"/>
              <w:spacing w:before="0" w:after="60"/>
              <w:rPr>
                <w:i/>
                <w:iCs/>
              </w:rPr>
            </w:pPr>
            <w:r w:rsidRPr="00963E59">
              <w:rPr>
                <w:i/>
                <w:iCs/>
              </w:rPr>
              <w:t>Actions</w:t>
            </w:r>
          </w:p>
          <w:p w14:paraId="5B516FA1" w14:textId="16AFC731" w:rsidR="00B11056" w:rsidRPr="00963E59" w:rsidRDefault="00B11056" w:rsidP="00B11056">
            <w:pPr>
              <w:pStyle w:val="BoxText"/>
            </w:pPr>
            <w:r w:rsidRPr="00963E59">
              <w:t xml:space="preserve">Detailed guidance on nature-related transition planning continues to evolve. Organisations, particularly those exposed to nature-specific risks, can build greater business resilience from considering and taking early action on nature. </w:t>
            </w:r>
            <w:hyperlink w:anchor="BOX23" w:history="1">
              <w:r w:rsidR="00C365B5" w:rsidRPr="00C365B5">
                <w:rPr>
                  <w:rStyle w:val="Hyperlink"/>
                </w:rPr>
                <w:t>Box 23</w:t>
              </w:r>
            </w:hyperlink>
            <w:r w:rsidRPr="00963E59">
              <w:t xml:space="preserve"> highlights how an organisation could develop nature actions which support both adaptation and mitigation ambitions.</w:t>
            </w:r>
          </w:p>
          <w:p w14:paraId="5E3454AB" w14:textId="77777777" w:rsidR="00B11056" w:rsidRPr="00963E59" w:rsidRDefault="00B11056" w:rsidP="00B11056">
            <w:pPr>
              <w:pStyle w:val="BoxText"/>
              <w:spacing w:after="60"/>
              <w:rPr>
                <w:b/>
                <w:bCs/>
              </w:rPr>
            </w:pPr>
            <w:r w:rsidRPr="00963E59">
              <w:rPr>
                <w:b/>
                <w:bCs/>
              </w:rPr>
              <w:t xml:space="preserve">Modern slavery </w:t>
            </w:r>
          </w:p>
          <w:p w14:paraId="18A11484" w14:textId="77777777" w:rsidR="00B11056" w:rsidRPr="00963E59" w:rsidRDefault="00B11056" w:rsidP="00B11056">
            <w:pPr>
              <w:pStyle w:val="BoxText"/>
              <w:spacing w:after="60"/>
              <w:rPr>
                <w:i/>
                <w:iCs/>
              </w:rPr>
            </w:pPr>
            <w:r w:rsidRPr="00963E59">
              <w:rPr>
                <w:i/>
                <w:iCs/>
              </w:rPr>
              <w:t>Ambitions</w:t>
            </w:r>
          </w:p>
          <w:p w14:paraId="769CD11C" w14:textId="77777777" w:rsidR="00B11056" w:rsidRPr="00963E59" w:rsidRDefault="00B11056" w:rsidP="00B11056">
            <w:pPr>
              <w:pStyle w:val="BoxText"/>
            </w:pPr>
            <w:r w:rsidRPr="00963E59">
              <w:t>Business operations, including climate transition activities may</w:t>
            </w:r>
            <w:r w:rsidRPr="00963E59" w:rsidDel="007E3D3C">
              <w:t xml:space="preserve"> </w:t>
            </w:r>
            <w:r w:rsidRPr="00963E59">
              <w:t xml:space="preserve">have implications for human rights and labour standards across value chains, particularly where organisations increase reliance on new technologies, materials or suppliers. Organisations may choose to set strategic ambitions to identify, prevent and mitigate modern slavery risks associated with their operations and value chains as part of a credible and responsible transition. </w:t>
            </w:r>
          </w:p>
          <w:p w14:paraId="790F121C" w14:textId="77777777" w:rsidR="00B11056" w:rsidRPr="00963E59" w:rsidRDefault="00B11056" w:rsidP="00B11056">
            <w:pPr>
              <w:pStyle w:val="BoxText"/>
            </w:pPr>
            <w:r w:rsidRPr="00963E59">
              <w:t>Embedding robust</w:t>
            </w:r>
            <w:r w:rsidRPr="00963E59" w:rsidDel="008C0F43">
              <w:t xml:space="preserve"> </w:t>
            </w:r>
            <w:r w:rsidRPr="00963E59">
              <w:t>processes and practices to address modern slavery risks can help organisations uphold social safeguards, support a just and inclusive transition, and enhance resilience, stakeholder trust and long-term value creation.</w:t>
            </w:r>
          </w:p>
          <w:p w14:paraId="5236AE96" w14:textId="77777777" w:rsidR="00B11056" w:rsidRPr="00963E59" w:rsidRDefault="00B11056" w:rsidP="00B11056">
            <w:pPr>
              <w:pStyle w:val="BoxText"/>
              <w:rPr>
                <w:i/>
                <w:iCs/>
              </w:rPr>
            </w:pPr>
            <w:r w:rsidRPr="00963E59">
              <w:rPr>
                <w:i/>
                <w:iCs/>
              </w:rPr>
              <w:t>Actions</w:t>
            </w:r>
          </w:p>
          <w:p w14:paraId="68106A2F" w14:textId="77777777" w:rsidR="00B11056" w:rsidRDefault="00B11056" w:rsidP="00B11056">
            <w:pPr>
              <w:pStyle w:val="BoxText"/>
              <w:spacing w:before="0"/>
            </w:pPr>
            <w:r w:rsidRPr="00963E59">
              <w:rPr>
                <w:szCs w:val="22"/>
              </w:rPr>
              <w:t xml:space="preserve">The government provides </w:t>
            </w:r>
            <w:hyperlink r:id="rId153" w:history="1">
              <w:r w:rsidRPr="00963E59">
                <w:rPr>
                  <w:rStyle w:val="Hyperlink"/>
                  <w:bCs/>
                  <w:szCs w:val="22"/>
                </w:rPr>
                <w:t>guidance, training and other resources</w:t>
              </w:r>
            </w:hyperlink>
            <w:r w:rsidRPr="00AE5878">
              <w:rPr>
                <w:rStyle w:val="FootnoteReference"/>
              </w:rPr>
              <w:endnoteReference w:id="104"/>
            </w:r>
            <w:r w:rsidRPr="00963E59">
              <w:rPr>
                <w:szCs w:val="22"/>
              </w:rPr>
              <w:t xml:space="preserve"> to help organisations make a difference in stopping modern slavery. </w:t>
            </w:r>
            <w:r w:rsidRPr="00963E59">
              <w:t xml:space="preserve">The government’s </w:t>
            </w:r>
            <w:hyperlink r:id="rId154" w:history="1">
              <w:r w:rsidRPr="00963E59">
                <w:rPr>
                  <w:rStyle w:val="Hyperlink"/>
                  <w:szCs w:val="22"/>
                </w:rPr>
                <w:t>Modern Slavery in Australia</w:t>
              </w:r>
            </w:hyperlink>
            <w:r w:rsidRPr="00AE5878">
              <w:rPr>
                <w:rStyle w:val="FootnoteReference"/>
              </w:rPr>
              <w:endnoteReference w:id="105"/>
            </w:r>
            <w:r w:rsidRPr="00963E59">
              <w:t xml:space="preserve"> website contains resources to help strengthen business responses to modern slavery.</w:t>
            </w:r>
          </w:p>
          <w:p w14:paraId="134F9114" w14:textId="4010859B" w:rsidR="00895EFC" w:rsidRDefault="00895EFC" w:rsidP="00895EFC">
            <w:pPr>
              <w:pStyle w:val="BoxText"/>
              <w:spacing w:before="0"/>
              <w:jc w:val="right"/>
            </w:pPr>
            <w:r w:rsidRPr="00895EFC">
              <w:rPr>
                <w:b/>
                <w:bCs/>
                <w:i/>
                <w:iCs/>
              </w:rPr>
              <w:t>Continued on next page</w:t>
            </w:r>
          </w:p>
        </w:tc>
      </w:tr>
    </w:tbl>
    <w:p w14:paraId="47E096F9" w14:textId="77777777" w:rsidR="002D2A4B" w:rsidRDefault="002D2A4B" w:rsidP="00BF1F05"/>
    <w:tbl>
      <w:tblPr>
        <w:tblW w:w="5000" w:type="pct"/>
        <w:shd w:val="clear" w:color="auto" w:fill="FCEEE5" w:themeFill="accent6" w:themeFillTint="33"/>
        <w:tblCellMar>
          <w:top w:w="227" w:type="dxa"/>
          <w:left w:w="227" w:type="dxa"/>
          <w:bottom w:w="227" w:type="dxa"/>
          <w:right w:w="227" w:type="dxa"/>
        </w:tblCellMar>
        <w:tblLook w:val="0620" w:firstRow="1" w:lastRow="0" w:firstColumn="0" w:lastColumn="0" w:noHBand="1" w:noVBand="1"/>
      </w:tblPr>
      <w:tblGrid>
        <w:gridCol w:w="9070"/>
      </w:tblGrid>
      <w:tr w:rsidR="00B11056" w14:paraId="6EC4C015" w14:textId="77777777" w:rsidTr="00460C3E">
        <w:tc>
          <w:tcPr>
            <w:tcW w:w="5000" w:type="pct"/>
            <w:shd w:val="clear" w:color="auto" w:fill="FCEEE5" w:themeFill="accent6" w:themeFillTint="33"/>
            <w:hideMark/>
          </w:tcPr>
          <w:p w14:paraId="6CAEF5C6" w14:textId="012E6A57" w:rsidR="00B11056" w:rsidRPr="00963E59" w:rsidRDefault="008C0CFE" w:rsidP="00B11056">
            <w:pPr>
              <w:pStyle w:val="BoxHeading"/>
              <w:spacing w:before="120"/>
            </w:pPr>
            <w:bookmarkStart w:id="213" w:name="_Toc233287124"/>
            <w:bookmarkStart w:id="214" w:name="_Toc237351155"/>
            <w:r w:rsidRPr="00963E59">
              <w:lastRenderedPageBreak/>
              <w:t>Box 2</w:t>
            </w:r>
            <w:r w:rsidR="00261EB3">
              <w:t>2</w:t>
            </w:r>
            <w:r w:rsidRPr="00963E59">
              <w:t xml:space="preserve">. </w:t>
            </w:r>
            <w:r w:rsidR="00B11056" w:rsidRPr="00963E59">
              <w:t>Information on other sustainability-related actions (continued)</w:t>
            </w:r>
            <w:bookmarkEnd w:id="213"/>
            <w:bookmarkEnd w:id="214"/>
          </w:p>
          <w:p w14:paraId="0F179576" w14:textId="77777777" w:rsidR="00B11056" w:rsidRPr="00963E59" w:rsidRDefault="00B11056" w:rsidP="00A81C7A">
            <w:pPr>
              <w:pStyle w:val="BoxText"/>
              <w:spacing w:beforeLines="40" w:before="96" w:after="0"/>
              <w:rPr>
                <w:b/>
                <w:bCs/>
              </w:rPr>
            </w:pPr>
            <w:r w:rsidRPr="00963E59">
              <w:rPr>
                <w:b/>
                <w:bCs/>
              </w:rPr>
              <w:t xml:space="preserve">Circular economy </w:t>
            </w:r>
          </w:p>
          <w:p w14:paraId="16CD7782" w14:textId="77777777" w:rsidR="00B11056" w:rsidRPr="00963E59" w:rsidRDefault="00B11056" w:rsidP="00A81C7A">
            <w:pPr>
              <w:pStyle w:val="BoxText"/>
              <w:spacing w:beforeLines="40" w:before="96" w:after="0"/>
              <w:rPr>
                <w:i/>
                <w:iCs/>
              </w:rPr>
            </w:pPr>
            <w:r w:rsidRPr="00963E59">
              <w:rPr>
                <w:i/>
                <w:iCs/>
              </w:rPr>
              <w:t>Ambitions</w:t>
            </w:r>
          </w:p>
          <w:p w14:paraId="636E6D12" w14:textId="77777777" w:rsidR="00B11056" w:rsidRPr="00963E59" w:rsidRDefault="00B11056" w:rsidP="00A81C7A">
            <w:pPr>
              <w:pStyle w:val="BoxText"/>
              <w:spacing w:beforeLines="40" w:before="96"/>
            </w:pPr>
            <w:r w:rsidRPr="00963E59">
              <w:t>Circular economy principles can support transition planning by shaping how materials, products and services are designed, used and recovered across value chains. Rather than being an objective in isolation, the circular economy can act as an enabling approach that strengthens climate ambitions while delivering broader business, environmental and economic benefits.</w:t>
            </w:r>
          </w:p>
          <w:p w14:paraId="1E5B4A3F" w14:textId="77777777" w:rsidR="00B11056" w:rsidRPr="00963E59" w:rsidRDefault="00B11056" w:rsidP="00A81C7A">
            <w:pPr>
              <w:pStyle w:val="BoxText"/>
              <w:spacing w:beforeLines="40" w:before="96"/>
            </w:pPr>
            <w:r w:rsidRPr="00963E59">
              <w:t xml:space="preserve">Organisations can consider the circular economy when setting strategic ambitions where material use, waste generation or value chain dependency are significant sources of climate risk or opportunities, particularly for those organisations with material scope 3 emissions, exposure to resource volatility or reliance on emissions-intensive or climate-vulnerable inputs. </w:t>
            </w:r>
          </w:p>
          <w:p w14:paraId="2F3C0C48" w14:textId="77777777" w:rsidR="00B11056" w:rsidRPr="00963E59" w:rsidRDefault="00B11056" w:rsidP="00A81C7A">
            <w:pPr>
              <w:pStyle w:val="BoxText"/>
              <w:spacing w:beforeLines="40" w:before="96"/>
            </w:pPr>
            <w:r w:rsidRPr="00963E59">
              <w:t>Circular economy considerations can be incorporated in different ways depending on organisational context. Some organisations may choose to set a specific circular economy ambition, while others may embed circular economy principles as part of mitigation and adaptation ambitions. This approach supports mitigation ambitions by reducing emissions associated with raw material extraction, manufacturing, transport and waste, including through material efficiency, reuse, remanufacturing and substitution of primary materials. The circular economy can help adaptation ambitions by reducing reliance on vulnerable value chains, increasing flexibility in sourcing, and strengthening local or regional resource loops.</w:t>
            </w:r>
          </w:p>
          <w:p w14:paraId="2DB0053E" w14:textId="77777777" w:rsidR="00B11056" w:rsidRPr="00963E59" w:rsidRDefault="00B11056" w:rsidP="00A81C7A">
            <w:pPr>
              <w:pStyle w:val="BoxText"/>
              <w:spacing w:beforeLines="40" w:before="96"/>
            </w:pPr>
            <w:r w:rsidRPr="00963E59">
              <w:t xml:space="preserve">Australia’s Circular Economy Framework can help organisations to identify key circular economy opportunities for their sector and opportunities to align with Australia’s economy-wide approach. In addition, Circular Australia’s Circular </w:t>
            </w:r>
            <w:hyperlink r:id="rId155" w:history="1">
              <w:r w:rsidRPr="00963E59">
                <w:rPr>
                  <w:rStyle w:val="Hyperlink"/>
                </w:rPr>
                <w:t>Economy Finance Report and Guide</w:t>
              </w:r>
            </w:hyperlink>
            <w:r w:rsidRPr="00AE5878">
              <w:rPr>
                <w:rStyle w:val="FootnoteReference"/>
              </w:rPr>
              <w:endnoteReference w:id="106"/>
            </w:r>
            <w:r w:rsidRPr="00963E59">
              <w:t xml:space="preserve"> provides a breakdown of the national and international resources and their intended application.</w:t>
            </w:r>
          </w:p>
          <w:p w14:paraId="54C5E241" w14:textId="77777777" w:rsidR="00B11056" w:rsidRPr="00963E59" w:rsidRDefault="00B11056" w:rsidP="00A81C7A">
            <w:pPr>
              <w:pStyle w:val="BoxText"/>
              <w:spacing w:beforeLines="40" w:before="96"/>
              <w:rPr>
                <w:i/>
                <w:iCs/>
              </w:rPr>
            </w:pPr>
            <w:r w:rsidRPr="00963E59">
              <w:rPr>
                <w:i/>
                <w:iCs/>
              </w:rPr>
              <w:t>Actions</w:t>
            </w:r>
          </w:p>
          <w:p w14:paraId="4685C36F" w14:textId="77777777" w:rsidR="00B11056" w:rsidRPr="00963E59" w:rsidRDefault="00B11056" w:rsidP="00A81C7A">
            <w:pPr>
              <w:pStyle w:val="BoxText"/>
              <w:spacing w:beforeLines="40" w:before="96"/>
            </w:pPr>
            <w:r w:rsidRPr="00963E59">
              <w:t>Examples of circular economy actions to achieve circular economy ambitions include:</w:t>
            </w:r>
          </w:p>
          <w:p w14:paraId="14A761C7" w14:textId="77777777" w:rsidR="00B11056" w:rsidRPr="00963E59" w:rsidRDefault="00B11056" w:rsidP="00A81C7A">
            <w:pPr>
              <w:pStyle w:val="Boxbullet"/>
              <w:spacing w:after="60"/>
            </w:pPr>
            <w:r w:rsidRPr="00963E59">
              <w:t>redesigning products or services to reduce material intensity, increase durability, or enable repair, reuse or remanufacturing</w:t>
            </w:r>
          </w:p>
          <w:p w14:paraId="745ECAB5" w14:textId="77777777" w:rsidR="00B11056" w:rsidRPr="00963E59" w:rsidRDefault="00B11056" w:rsidP="00A81C7A">
            <w:pPr>
              <w:pStyle w:val="Boxbullet"/>
              <w:spacing w:after="60"/>
            </w:pPr>
            <w:r w:rsidRPr="00963E59">
              <w:t>increasing the use of recycled or secondary materials to reduce upstream emissions and dependence on virgin resource extraction</w:t>
            </w:r>
          </w:p>
          <w:p w14:paraId="73938387" w14:textId="77777777" w:rsidR="00B11056" w:rsidRPr="00963E59" w:rsidRDefault="00B11056" w:rsidP="00A81C7A">
            <w:pPr>
              <w:pStyle w:val="Boxbullet"/>
              <w:spacing w:after="60"/>
            </w:pPr>
            <w:r w:rsidRPr="00963E59">
              <w:t>strengthening resource recovery, takeback or recycling systems to reduce waste-related emissions and environmental impacts</w:t>
            </w:r>
          </w:p>
          <w:p w14:paraId="7D29C2F5" w14:textId="77777777" w:rsidR="00B11056" w:rsidRPr="00963E59" w:rsidRDefault="00B11056" w:rsidP="00A81C7A">
            <w:pPr>
              <w:pStyle w:val="Boxbullet"/>
              <w:spacing w:after="60"/>
            </w:pPr>
            <w:r w:rsidRPr="00963E59">
              <w:t>adopting service-based or product-life-</w:t>
            </w:r>
            <w:r w:rsidRPr="00963E59" w:rsidDel="00492705">
              <w:t>e</w:t>
            </w:r>
            <w:r w:rsidRPr="00963E59">
              <w:t>xtension business models that decouple revenue from material throughout</w:t>
            </w:r>
          </w:p>
          <w:p w14:paraId="46292704" w14:textId="77777777" w:rsidR="00B11056" w:rsidRPr="00963E59" w:rsidRDefault="00B11056" w:rsidP="00A81C7A">
            <w:pPr>
              <w:pStyle w:val="Boxbullet"/>
              <w:spacing w:after="60"/>
            </w:pPr>
            <w:r w:rsidRPr="00963E59">
              <w:t>improving water, nutrient or organic material reused to address resource security and enhance resilience to climate variability.</w:t>
            </w:r>
          </w:p>
          <w:p w14:paraId="33CAA197" w14:textId="77777777" w:rsidR="00B11056" w:rsidRPr="00963E59" w:rsidRDefault="00B11056" w:rsidP="00B11056">
            <w:pPr>
              <w:pStyle w:val="BoxText"/>
              <w:rPr>
                <w:szCs w:val="22"/>
              </w:rPr>
            </w:pPr>
            <w:r w:rsidRPr="00963E59">
              <w:rPr>
                <w:szCs w:val="22"/>
              </w:rPr>
              <w:t xml:space="preserve">Organisations can refer to the </w:t>
            </w:r>
            <w:hyperlink r:id="rId156">
              <w:r w:rsidRPr="00963E59">
                <w:rPr>
                  <w:rStyle w:val="Hyperlink"/>
                  <w:szCs w:val="22"/>
                </w:rPr>
                <w:t>Circular Economy Finance Report and Guide</w:t>
              </w:r>
            </w:hyperlink>
            <w:r w:rsidRPr="00963E59">
              <w:rPr>
                <w:szCs w:val="22"/>
              </w:rPr>
              <w:t xml:space="preserve"> and the </w:t>
            </w:r>
            <w:hyperlink r:id="rId157">
              <w:r w:rsidRPr="00963E59">
                <w:rPr>
                  <w:rStyle w:val="Hyperlink"/>
                  <w:szCs w:val="22"/>
                </w:rPr>
                <w:t>Harmonized Circular Economy Finance Guidelines</w:t>
              </w:r>
            </w:hyperlink>
            <w:r w:rsidRPr="00AE5878">
              <w:rPr>
                <w:rStyle w:val="FootnoteReference"/>
              </w:rPr>
              <w:endnoteReference w:id="107"/>
            </w:r>
            <w:r w:rsidRPr="00963E59">
              <w:rPr>
                <w:szCs w:val="22"/>
              </w:rPr>
              <w:t xml:space="preserve"> for further information on identifying, measuring and monitoring circular economy actions to mitigate climate, nature and social risks and consider their interactions with climate, nature and just-transition objectives.</w:t>
            </w:r>
          </w:p>
          <w:p w14:paraId="67E246D8" w14:textId="7DA8FF6C" w:rsidR="00B11056" w:rsidRDefault="00785B97" w:rsidP="00B11056">
            <w:pPr>
              <w:pStyle w:val="BoxText"/>
              <w:rPr>
                <w:lang w:eastAsia="en-US"/>
              </w:rPr>
            </w:pPr>
            <w:hyperlink w:anchor="BOX31" w:history="1">
              <w:r>
                <w:rPr>
                  <w:rStyle w:val="Hyperlink"/>
                </w:rPr>
                <w:t xml:space="preserve">Box </w:t>
              </w:r>
              <w:r w:rsidR="001732F3">
                <w:rPr>
                  <w:rStyle w:val="Hyperlink"/>
                </w:rPr>
                <w:t>24</w:t>
              </w:r>
            </w:hyperlink>
            <w:r w:rsidR="00B11056" w:rsidRPr="00963E59">
              <w:t xml:space="preserve"> includes an example on how circular economy actions can support mitigation, adaptation and other sustainability-related objectives.</w:t>
            </w:r>
          </w:p>
        </w:tc>
      </w:tr>
    </w:tbl>
    <w:p w14:paraId="7341248A" w14:textId="77777777" w:rsidR="00B11056" w:rsidRDefault="00B11056" w:rsidP="008C0CFE">
      <w:pPr>
        <w:pStyle w:val="SingleParagraph"/>
      </w:pPr>
    </w:p>
    <w:tbl>
      <w:tblPr>
        <w:tblW w:w="5000" w:type="pct"/>
        <w:shd w:val="clear" w:color="auto" w:fill="F2F9FC"/>
        <w:tblCellMar>
          <w:top w:w="227" w:type="dxa"/>
          <w:left w:w="227" w:type="dxa"/>
          <w:bottom w:w="227" w:type="dxa"/>
          <w:right w:w="227" w:type="dxa"/>
        </w:tblCellMar>
        <w:tblLook w:val="0620" w:firstRow="1" w:lastRow="0" w:firstColumn="0" w:lastColumn="0" w:noHBand="1" w:noVBand="1"/>
      </w:tblPr>
      <w:tblGrid>
        <w:gridCol w:w="9070"/>
      </w:tblGrid>
      <w:tr w:rsidR="00C95BB6" w14:paraId="14990782" w14:textId="77777777" w:rsidTr="00460C3E">
        <w:tc>
          <w:tcPr>
            <w:tcW w:w="5000" w:type="pct"/>
            <w:shd w:val="clear" w:color="auto" w:fill="F2F9FC"/>
            <w:hideMark/>
          </w:tcPr>
          <w:p w14:paraId="50E906E7" w14:textId="451E1425" w:rsidR="00C95BB6" w:rsidRPr="00963E59" w:rsidRDefault="00C95BB6" w:rsidP="00C95BB6">
            <w:pPr>
              <w:pStyle w:val="BoxHeading"/>
            </w:pPr>
            <w:bookmarkStart w:id="215" w:name="_Toc237351156"/>
            <w:bookmarkStart w:id="216" w:name="_Toc233287125"/>
            <w:bookmarkStart w:id="217" w:name="_Hlk216367651"/>
            <w:bookmarkStart w:id="218" w:name="_Toc216085761"/>
            <w:bookmarkStart w:id="219" w:name="_Toc215764039"/>
            <w:r w:rsidRPr="00963E59">
              <w:lastRenderedPageBreak/>
              <w:t>Box 2</w:t>
            </w:r>
            <w:r w:rsidR="00785B97">
              <w:t>3</w:t>
            </w:r>
            <w:r w:rsidRPr="00963E59">
              <w:t>. Illustrative example on nature actions that support adaptation and mitigation</w:t>
            </w:r>
            <w:bookmarkEnd w:id="215"/>
            <w:bookmarkEnd w:id="216"/>
            <w:r w:rsidRPr="00963E59">
              <w:t xml:space="preserve"> </w:t>
            </w:r>
          </w:p>
          <w:p w14:paraId="7E29EDF0" w14:textId="77777777" w:rsidR="00C95BB6" w:rsidRPr="00963E59" w:rsidRDefault="00C95BB6" w:rsidP="00C95BB6">
            <w:pPr>
              <w:pStyle w:val="BoxText"/>
            </w:pPr>
            <w:r w:rsidRPr="00963E59">
              <w:t>During its assessment of climate-related risks and opportunities, an</w:t>
            </w:r>
            <w:r w:rsidRPr="00963E59" w:rsidDel="00F10230">
              <w:t xml:space="preserve"> organisation </w:t>
            </w:r>
            <w:r w:rsidRPr="00963E59">
              <w:t xml:space="preserve">identified physical risks to its operations – notably a dependence on healthy ecosystems and reliance on water as an input. </w:t>
            </w:r>
          </w:p>
          <w:p w14:paraId="299A0AD9" w14:textId="77777777" w:rsidR="00C95BB6" w:rsidRPr="00963E59" w:rsidRDefault="00C95BB6" w:rsidP="00C95BB6">
            <w:pPr>
              <w:pStyle w:val="BoxText"/>
            </w:pPr>
            <w:r w:rsidRPr="00963E59">
              <w:t xml:space="preserve">Because of this, the </w:t>
            </w:r>
            <w:r w:rsidRPr="00963E59" w:rsidDel="00F10230">
              <w:t xml:space="preserve">organisation </w:t>
            </w:r>
            <w:r w:rsidRPr="00963E59">
              <w:t>sets a strategic ambition to reduce its water use and chooses to implement related actions:</w:t>
            </w:r>
          </w:p>
          <w:p w14:paraId="159EE7A6" w14:textId="77777777" w:rsidR="00C95BB6" w:rsidRPr="00963E59" w:rsidRDefault="00C95BB6" w:rsidP="00DB6514">
            <w:pPr>
              <w:pStyle w:val="Boxbullet"/>
            </w:pPr>
            <w:r w:rsidRPr="00963E59">
              <w:t>Operational water-efficiency measures, such as upgrading irrigation systems, improving leak detection, and optimising process water use to reduce overall demand.</w:t>
            </w:r>
          </w:p>
          <w:p w14:paraId="0C29835B" w14:textId="77777777" w:rsidR="00C95BB6" w:rsidRPr="00963E59" w:rsidRDefault="00C95BB6" w:rsidP="00DB6514">
            <w:pPr>
              <w:pStyle w:val="Boxbullet"/>
            </w:pPr>
            <w:r w:rsidRPr="00963E59">
              <w:t>Supply-chain water stewardship initiatives, such as working with suppliers, local communities and land managers to promote responsible water sourcing practices.</w:t>
            </w:r>
          </w:p>
          <w:p w14:paraId="2FA0E871" w14:textId="77777777" w:rsidR="00C95BB6" w:rsidRPr="00963E59" w:rsidRDefault="00C95BB6" w:rsidP="00DB6514">
            <w:pPr>
              <w:pStyle w:val="Boxbullet"/>
            </w:pPr>
            <w:r w:rsidRPr="00963E59">
              <w:t xml:space="preserve">Purchasing targeted carbon credits for the primary purpose of supporting the nature-related components of a project that restores native vegetation and improves watershed health in an area where many of its suppliers are based and also for broader mitigation ambitions. </w:t>
            </w:r>
          </w:p>
          <w:p w14:paraId="70A8BE4A" w14:textId="4B01FB3C" w:rsidR="00C95BB6" w:rsidRDefault="00C95BB6" w:rsidP="00C95BB6">
            <w:pPr>
              <w:pStyle w:val="BoxText"/>
              <w:rPr>
                <w:lang w:eastAsia="en-US"/>
              </w:rPr>
            </w:pPr>
            <w:r w:rsidRPr="00963E59">
              <w:t xml:space="preserve">These steps </w:t>
            </w:r>
            <w:r w:rsidRPr="00963E59" w:rsidDel="004854C3">
              <w:t xml:space="preserve">help </w:t>
            </w:r>
            <w:r w:rsidRPr="00963E59" w:rsidDel="00F10230">
              <w:t xml:space="preserve">the organisation </w:t>
            </w:r>
            <w:r w:rsidRPr="00963E59">
              <w:t>achieve its adaptation ambition of reducing water dependence. It also strengthens nature resilience by protecting the water ecosystems the company depends on, and reducing emissions.</w:t>
            </w:r>
          </w:p>
        </w:tc>
      </w:tr>
    </w:tbl>
    <w:p w14:paraId="4DC1CBFC" w14:textId="77777777" w:rsidR="00C95BB6" w:rsidRDefault="00C95BB6" w:rsidP="00D64CEC">
      <w:pPr>
        <w:pStyle w:val="SingleParagraph"/>
      </w:pPr>
    </w:p>
    <w:tbl>
      <w:tblPr>
        <w:tblW w:w="5000" w:type="pct"/>
        <w:shd w:val="clear" w:color="auto" w:fill="F2F9FC"/>
        <w:tblCellMar>
          <w:top w:w="227" w:type="dxa"/>
          <w:left w:w="227" w:type="dxa"/>
          <w:bottom w:w="227" w:type="dxa"/>
          <w:right w:w="227" w:type="dxa"/>
        </w:tblCellMar>
        <w:tblLook w:val="0620" w:firstRow="1" w:lastRow="0" w:firstColumn="0" w:lastColumn="0" w:noHBand="1" w:noVBand="1"/>
      </w:tblPr>
      <w:tblGrid>
        <w:gridCol w:w="9070"/>
      </w:tblGrid>
      <w:tr w:rsidR="00F64069" w:rsidRPr="00963E59" w14:paraId="17DF05F3" w14:textId="77777777" w:rsidTr="00460C3E">
        <w:tc>
          <w:tcPr>
            <w:tcW w:w="5000" w:type="pct"/>
            <w:shd w:val="clear" w:color="auto" w:fill="F2F9FC"/>
          </w:tcPr>
          <w:p w14:paraId="00732518" w14:textId="2ED0C671" w:rsidR="00F64069" w:rsidRPr="00963E59" w:rsidRDefault="00643CE0" w:rsidP="00E964D5">
            <w:pPr>
              <w:pStyle w:val="BoxHeading"/>
            </w:pPr>
            <w:bookmarkStart w:id="220" w:name="Box31"/>
            <w:bookmarkStart w:id="221" w:name="_Toc237351157"/>
            <w:bookmarkStart w:id="222" w:name="_Toc233287126"/>
            <w:bookmarkEnd w:id="220"/>
            <w:r w:rsidRPr="00963E59">
              <w:lastRenderedPageBreak/>
              <w:t xml:space="preserve">Box </w:t>
            </w:r>
            <w:r w:rsidR="0084008F" w:rsidRPr="00963E59">
              <w:t>2</w:t>
            </w:r>
            <w:r w:rsidR="00763702">
              <w:t>4</w:t>
            </w:r>
            <w:r w:rsidRPr="00963E59">
              <w:t xml:space="preserve">. </w:t>
            </w:r>
            <w:r w:rsidR="00F64069" w:rsidRPr="00963E59">
              <w:t xml:space="preserve">Illustrative example </w:t>
            </w:r>
            <w:r w:rsidRPr="00963E59">
              <w:t>on c</w:t>
            </w:r>
            <w:r w:rsidR="00F64069" w:rsidRPr="00963E59">
              <w:t>ircular economy actions that support mitigation, adaptation and sustainability-related ambitions</w:t>
            </w:r>
            <w:bookmarkEnd w:id="221"/>
            <w:bookmarkEnd w:id="222"/>
          </w:p>
          <w:p w14:paraId="0D6A7EC7" w14:textId="66F52463" w:rsidR="00BE21A0" w:rsidRPr="00963E59" w:rsidRDefault="00F64069" w:rsidP="006D2872">
            <w:pPr>
              <w:pStyle w:val="BoxText"/>
            </w:pPr>
            <w:r w:rsidRPr="00963E59">
              <w:t>As part of assessing its organisational position, an electronics manufacturer identifies material use and product end</w:t>
            </w:r>
            <w:r w:rsidR="2BD62245" w:rsidRPr="00963E59">
              <w:t>-</w:t>
            </w:r>
            <w:r w:rsidRPr="00963E59">
              <w:t>of</w:t>
            </w:r>
            <w:r w:rsidR="4A2FBC5F" w:rsidRPr="00963E59">
              <w:t>-</w:t>
            </w:r>
            <w:r w:rsidRPr="00963E59">
              <w:t xml:space="preserve">life as </w:t>
            </w:r>
            <w:r w:rsidR="00BE21A0" w:rsidRPr="00963E59">
              <w:t xml:space="preserve">primary sources </w:t>
            </w:r>
            <w:r w:rsidRPr="00963E59">
              <w:t>of its scope 3 emissions and exposure to supply</w:t>
            </w:r>
            <w:r w:rsidR="7088F71B" w:rsidRPr="00963E59">
              <w:t>-</w:t>
            </w:r>
            <w:r w:rsidR="00F87583">
              <w:t>‍</w:t>
            </w:r>
            <w:r w:rsidRPr="00963E59">
              <w:t>chain disruption.</w:t>
            </w:r>
          </w:p>
          <w:p w14:paraId="550F012B" w14:textId="2CA5F0A5" w:rsidR="00F64069" w:rsidRPr="00963E59" w:rsidRDefault="00F64069" w:rsidP="006D2872">
            <w:pPr>
              <w:pStyle w:val="BoxText"/>
            </w:pPr>
            <w:r w:rsidRPr="00963E59">
              <w:t>In response, the organisation sets a strategic ambition to double the circularity of its business by</w:t>
            </w:r>
            <w:r w:rsidR="00D0437C" w:rsidRPr="00963E59">
              <w:t> </w:t>
            </w:r>
            <w:r w:rsidRPr="00963E59">
              <w:t>2035</w:t>
            </w:r>
            <w:r w:rsidR="001E3A6A" w:rsidRPr="00963E59">
              <w:t>,</w:t>
            </w:r>
            <w:r w:rsidRPr="00963E59">
              <w:t xml:space="preserve"> in line with </w:t>
            </w:r>
            <w:hyperlink r:id="rId158" w:history="1">
              <w:r w:rsidRPr="00963E59">
                <w:rPr>
                  <w:rStyle w:val="Hyperlink"/>
                </w:rPr>
                <w:t>Australia’s Circular Economy Framework</w:t>
              </w:r>
            </w:hyperlink>
            <w:r w:rsidRPr="00963E59">
              <w:rPr>
                <w:i/>
                <w:iCs/>
              </w:rPr>
              <w:t>.</w:t>
            </w:r>
            <w:r w:rsidR="008D4A20" w:rsidRPr="00963E59">
              <w:rPr>
                <w:i/>
                <w:iCs/>
              </w:rPr>
              <w:t xml:space="preserve"> </w:t>
            </w:r>
            <w:r w:rsidR="00512E2D" w:rsidRPr="00963E59">
              <w:t>The</w:t>
            </w:r>
            <w:r w:rsidRPr="00963E59" w:rsidDel="00512E2D">
              <w:t xml:space="preserve"> </w:t>
            </w:r>
            <w:r w:rsidRPr="00963E59">
              <w:t>organisation reviews its product and operating model and implements targeted</w:t>
            </w:r>
            <w:r w:rsidRPr="00963E59" w:rsidDel="005D05AA">
              <w:t xml:space="preserve"> </w:t>
            </w:r>
            <w:r w:rsidRPr="00963E59">
              <w:t>actions, including:</w:t>
            </w:r>
          </w:p>
          <w:p w14:paraId="3BACC096" w14:textId="2696D582" w:rsidR="00F64069" w:rsidRPr="00963E59" w:rsidRDefault="005D05AA" w:rsidP="00DB6514">
            <w:pPr>
              <w:pStyle w:val="Boxbullet"/>
            </w:pPr>
            <w:r w:rsidRPr="00963E59">
              <w:t>r</w:t>
            </w:r>
            <w:r w:rsidR="00F64069" w:rsidRPr="00963E59">
              <w:t>edesigning products to reduce material intensity and enable repair, upgrading and disassembly</w:t>
            </w:r>
          </w:p>
          <w:p w14:paraId="6D651EE5" w14:textId="68FB5725" w:rsidR="00F64069" w:rsidRPr="00963E59" w:rsidRDefault="005D05AA" w:rsidP="00DB6514">
            <w:pPr>
              <w:pStyle w:val="Boxbullet"/>
            </w:pPr>
            <w:r w:rsidRPr="00963E59">
              <w:t>i</w:t>
            </w:r>
            <w:r w:rsidR="00F64069" w:rsidRPr="00963E59">
              <w:t>ncreasing the use of durable, low</w:t>
            </w:r>
            <w:r w:rsidR="207CC6AC" w:rsidRPr="00963E59">
              <w:t>-</w:t>
            </w:r>
            <w:r w:rsidR="00F64069" w:rsidRPr="00963E59">
              <w:t>carbon and secondary materials where feasible</w:t>
            </w:r>
          </w:p>
          <w:p w14:paraId="5B5F2051" w14:textId="10EB9FDD" w:rsidR="00F64069" w:rsidRPr="00963E59" w:rsidRDefault="005D05AA" w:rsidP="00DB6514">
            <w:pPr>
              <w:pStyle w:val="Boxbullet"/>
            </w:pPr>
            <w:r w:rsidRPr="00963E59">
              <w:t>i</w:t>
            </w:r>
            <w:r w:rsidR="00F64069" w:rsidRPr="00963E59">
              <w:t>ntroducing repair, refurbishment and take</w:t>
            </w:r>
            <w:r w:rsidR="00F64069" w:rsidRPr="00963E59">
              <w:noBreakHyphen/>
              <w:t>back programs to extend product life</w:t>
            </w:r>
          </w:p>
          <w:p w14:paraId="6B679745" w14:textId="757DD865" w:rsidR="00F64069" w:rsidRPr="00963E59" w:rsidRDefault="005D05AA" w:rsidP="00DB6514">
            <w:pPr>
              <w:pStyle w:val="Boxbullet"/>
            </w:pPr>
            <w:r w:rsidRPr="00963E59">
              <w:t>s</w:t>
            </w:r>
            <w:r w:rsidR="00F64069" w:rsidRPr="00963E59">
              <w:t>hifting selected product lines toward product</w:t>
            </w:r>
            <w:r w:rsidR="23FC4E28" w:rsidRPr="00963E59">
              <w:t>-</w:t>
            </w:r>
            <w:r w:rsidR="00F64069" w:rsidRPr="00963E59">
              <w:t>as</w:t>
            </w:r>
            <w:r w:rsidR="69185D37" w:rsidRPr="00963E59">
              <w:t>-</w:t>
            </w:r>
            <w:r w:rsidR="00F64069" w:rsidRPr="00963E59">
              <w:t>a</w:t>
            </w:r>
            <w:r w:rsidR="54B3C8DB" w:rsidRPr="00963E59">
              <w:t>-</w:t>
            </w:r>
            <w:r w:rsidR="00F64069" w:rsidRPr="00963E59">
              <w:t>service models</w:t>
            </w:r>
          </w:p>
          <w:p w14:paraId="002315BA" w14:textId="6F0438F7" w:rsidR="00F64069" w:rsidRPr="00963E59" w:rsidRDefault="005D05AA" w:rsidP="00DB6514">
            <w:pPr>
              <w:pStyle w:val="Boxbullet"/>
            </w:pPr>
            <w:r w:rsidRPr="00963E59">
              <w:t>s</w:t>
            </w:r>
            <w:r w:rsidR="00F64069" w:rsidRPr="00963E59">
              <w:t>trengthening resource recovery systems for components, water and organic waste.</w:t>
            </w:r>
          </w:p>
          <w:p w14:paraId="5D052429" w14:textId="03CCF4BA" w:rsidR="00F64069" w:rsidRPr="00963E59" w:rsidRDefault="00F64069" w:rsidP="00EE3316">
            <w:pPr>
              <w:pStyle w:val="BoxText"/>
            </w:pPr>
            <w:r w:rsidRPr="00963E59">
              <w:t xml:space="preserve">These actions are integrated into procurement, product design and </w:t>
            </w:r>
            <w:r w:rsidR="00A73A11" w:rsidRPr="00963E59">
              <w:t>value</w:t>
            </w:r>
            <w:r w:rsidR="00FF14C4" w:rsidRPr="00963E59">
              <w:t xml:space="preserve"> </w:t>
            </w:r>
            <w:r w:rsidRPr="00963E59">
              <w:t xml:space="preserve">chain engagement processes and are prioritised based on emissions reduction potential, </w:t>
            </w:r>
            <w:r w:rsidR="00A73A11" w:rsidRPr="00963E59">
              <w:t>value</w:t>
            </w:r>
            <w:r w:rsidR="00FF14C4" w:rsidRPr="00963E59">
              <w:t xml:space="preserve"> </w:t>
            </w:r>
            <w:r w:rsidRPr="00963E59">
              <w:t>chain resilience benefits and feasibility within existing capital cycles.</w:t>
            </w:r>
          </w:p>
          <w:p w14:paraId="29491D74" w14:textId="6144E17E" w:rsidR="00F64069" w:rsidRPr="00963E59" w:rsidRDefault="00F64069" w:rsidP="006D2872">
            <w:pPr>
              <w:pStyle w:val="BoxText"/>
            </w:pPr>
            <w:r w:rsidRPr="00963E59">
              <w:t xml:space="preserve">It also sets targets of reducing </w:t>
            </w:r>
            <w:r w:rsidR="00131989" w:rsidRPr="00963E59">
              <w:t xml:space="preserve">its </w:t>
            </w:r>
            <w:r w:rsidRPr="00963E59">
              <w:t>material footprint by 10</w:t>
            </w:r>
            <w:r w:rsidR="005353F9" w:rsidRPr="00963E59">
              <w:t xml:space="preserve"> per cent</w:t>
            </w:r>
            <w:r w:rsidRPr="00963E59">
              <w:t xml:space="preserve">, lifting </w:t>
            </w:r>
            <w:r w:rsidR="00B0206A" w:rsidRPr="00963E59">
              <w:t>its</w:t>
            </w:r>
            <w:r w:rsidRPr="00963E59">
              <w:t xml:space="preserve"> material productivity by 30</w:t>
            </w:r>
            <w:r w:rsidR="005353F9" w:rsidRPr="00963E59">
              <w:t xml:space="preserve"> per cent</w:t>
            </w:r>
            <w:r w:rsidRPr="00963E59">
              <w:t>, and safely recovering 80</w:t>
            </w:r>
            <w:r w:rsidR="005353F9" w:rsidRPr="00963E59">
              <w:t xml:space="preserve"> per cent</w:t>
            </w:r>
            <w:r w:rsidRPr="00963E59">
              <w:t xml:space="preserve"> of resources. </w:t>
            </w:r>
          </w:p>
          <w:p w14:paraId="05C4CAE9" w14:textId="5043AC9D" w:rsidR="001E7186" w:rsidRPr="00963E59" w:rsidRDefault="00F64069" w:rsidP="006D2872">
            <w:pPr>
              <w:pStyle w:val="BoxText"/>
              <w:rPr>
                <w:szCs w:val="22"/>
              </w:rPr>
            </w:pPr>
            <w:r w:rsidRPr="00963E59">
              <w:rPr>
                <w:szCs w:val="22"/>
              </w:rPr>
              <w:t xml:space="preserve">The circular economy </w:t>
            </w:r>
            <w:r w:rsidR="00417740" w:rsidRPr="00963E59">
              <w:rPr>
                <w:bCs/>
                <w:szCs w:val="22"/>
              </w:rPr>
              <w:t>actions</w:t>
            </w:r>
            <w:r w:rsidRPr="00963E59">
              <w:rPr>
                <w:szCs w:val="22"/>
              </w:rPr>
              <w:t xml:space="preserve"> </w:t>
            </w:r>
            <w:r w:rsidRPr="00963E59">
              <w:rPr>
                <w:bCs/>
                <w:szCs w:val="22"/>
              </w:rPr>
              <w:t>help</w:t>
            </w:r>
            <w:r w:rsidRPr="00963E59">
              <w:rPr>
                <w:szCs w:val="22"/>
              </w:rPr>
              <w:t xml:space="preserve"> meet mitigation ambitions by reducing emissions associated with material extraction and manufacturing. It also helps meet its adaptation ambition by lowering exposure to critical material shortages and price volatility. </w:t>
            </w:r>
            <w:r w:rsidR="00236584" w:rsidRPr="00963E59">
              <w:rPr>
                <w:szCs w:val="22"/>
              </w:rPr>
              <w:t>Other</w:t>
            </w:r>
            <w:r w:rsidRPr="00963E59">
              <w:rPr>
                <w:szCs w:val="22"/>
              </w:rPr>
              <w:t xml:space="preserve"> </w:t>
            </w:r>
            <w:r w:rsidR="00896458" w:rsidRPr="00963E59">
              <w:rPr>
                <w:szCs w:val="22"/>
              </w:rPr>
              <w:t>co-</w:t>
            </w:r>
            <w:r w:rsidRPr="00963E59">
              <w:rPr>
                <w:szCs w:val="22"/>
              </w:rPr>
              <w:t>benefits include</w:t>
            </w:r>
            <w:r w:rsidR="001E7186" w:rsidRPr="00963E59">
              <w:rPr>
                <w:szCs w:val="22"/>
              </w:rPr>
              <w:t>:</w:t>
            </w:r>
          </w:p>
          <w:p w14:paraId="256C23C5" w14:textId="01012F8F" w:rsidR="001E7186" w:rsidRPr="00963E59" w:rsidRDefault="00F64069" w:rsidP="00DB6514">
            <w:pPr>
              <w:pStyle w:val="Boxbullet"/>
            </w:pPr>
            <w:r w:rsidRPr="00963E59">
              <w:t>reduced waste generation</w:t>
            </w:r>
          </w:p>
          <w:p w14:paraId="20F35299" w14:textId="77777777" w:rsidR="001E7186" w:rsidRPr="00963E59" w:rsidRDefault="00F64069" w:rsidP="00DB6514">
            <w:pPr>
              <w:pStyle w:val="Boxbullet"/>
            </w:pPr>
            <w:r w:rsidRPr="00963E59">
              <w:t>improved resource security</w:t>
            </w:r>
          </w:p>
          <w:p w14:paraId="5E479719" w14:textId="72E56EFA" w:rsidR="001E7186" w:rsidRPr="00963E59" w:rsidRDefault="00F64069" w:rsidP="00DB6514">
            <w:pPr>
              <w:pStyle w:val="Boxbullet"/>
            </w:pPr>
            <w:r w:rsidRPr="00963E59">
              <w:t>the creation of local employment opportunities in repair and re</w:t>
            </w:r>
            <w:r w:rsidR="00617930" w:rsidRPr="00963E59">
              <w:t>-</w:t>
            </w:r>
            <w:r w:rsidRPr="00963E59">
              <w:t xml:space="preserve">manufacturing activities. </w:t>
            </w:r>
          </w:p>
          <w:p w14:paraId="28012C10" w14:textId="35CEEC2F" w:rsidR="00F64069" w:rsidRPr="00963E59" w:rsidRDefault="00F64069" w:rsidP="006D2872">
            <w:pPr>
              <w:pStyle w:val="BoxText"/>
              <w:rPr>
                <w:b/>
                <w:szCs w:val="22"/>
                <w:lang w:eastAsia="en-US"/>
              </w:rPr>
            </w:pPr>
            <w:r w:rsidRPr="00963E59">
              <w:rPr>
                <w:szCs w:val="22"/>
              </w:rPr>
              <w:t>Progress is monitored through a small set of material productivity, recovery and emissions metrics, which are refined over time as data quality improves.</w:t>
            </w:r>
          </w:p>
        </w:tc>
      </w:tr>
    </w:tbl>
    <w:p w14:paraId="22CA8CA2" w14:textId="77777777" w:rsidR="00EE3316" w:rsidRPr="00EE3316" w:rsidRDefault="00EE3316" w:rsidP="00EE3316">
      <w:pPr>
        <w:rPr>
          <w:highlight w:val="lightGray"/>
        </w:rPr>
      </w:pPr>
      <w:bookmarkStart w:id="223" w:name="Stage3dot2"/>
      <w:bookmarkStart w:id="224" w:name="_Toc224906887"/>
      <w:bookmarkStart w:id="225" w:name="_Toc224916519"/>
      <w:bookmarkEnd w:id="223"/>
      <w:r w:rsidRPr="00EE3316">
        <w:rPr>
          <w:highlight w:val="lightGray"/>
        </w:rPr>
        <w:br w:type="page"/>
      </w:r>
    </w:p>
    <w:p w14:paraId="34AA2642" w14:textId="7B41B505" w:rsidR="00282C56" w:rsidRDefault="00282C56" w:rsidP="00EE3316">
      <w:pPr>
        <w:pStyle w:val="Heading2Numbered"/>
      </w:pPr>
      <w:bookmarkStart w:id="226" w:name="_Toc232776360"/>
      <w:r>
        <w:lastRenderedPageBreak/>
        <w:t>Revisit organisational policies and conditions</w:t>
      </w:r>
      <w:bookmarkEnd w:id="224"/>
      <w:bookmarkEnd w:id="225"/>
      <w:bookmarkEnd w:id="226"/>
    </w:p>
    <w:p w14:paraId="4D848A3D" w14:textId="2A8F9A42" w:rsidR="009D53BE" w:rsidRDefault="000A0620" w:rsidP="001D6FD3">
      <w:r>
        <w:t>Organisations</w:t>
      </w:r>
      <w:r w:rsidR="00445F11" w:rsidRPr="001D6FD3">
        <w:t xml:space="preserve"> may also need</w:t>
      </w:r>
      <w:r w:rsidR="00545CF9" w:rsidRPr="001D6FD3">
        <w:t xml:space="preserve"> </w:t>
      </w:r>
      <w:r w:rsidR="003E171E" w:rsidRPr="001D6FD3">
        <w:t>to consider changes to internal policies, conditions and related processes</w:t>
      </w:r>
      <w:r>
        <w:t xml:space="preserve"> t</w:t>
      </w:r>
      <w:r w:rsidR="00F356D9" w:rsidRPr="001D6FD3">
        <w:t xml:space="preserve">o ensure </w:t>
      </w:r>
      <w:r w:rsidR="00F356D9">
        <w:t>actions</w:t>
      </w:r>
      <w:r w:rsidR="00F356D9" w:rsidRPr="00DB1FEB">
        <w:t xml:space="preserve"> can be implemented effectively and are supported in practice</w:t>
      </w:r>
      <w:r w:rsidR="00A16BCE">
        <w:t>.</w:t>
      </w:r>
      <w:r w:rsidR="003E171E" w:rsidRPr="001D6FD3">
        <w:t xml:space="preserve"> </w:t>
      </w:r>
      <w:r w:rsidR="00A16BCE">
        <w:t>This extends to</w:t>
      </w:r>
      <w:r w:rsidR="009D53BE">
        <w:t>:</w:t>
      </w:r>
      <w:r w:rsidR="00A16BCE">
        <w:t xml:space="preserve"> </w:t>
      </w:r>
    </w:p>
    <w:p w14:paraId="033EB0D4" w14:textId="4E299D53" w:rsidR="009D53BE" w:rsidRDefault="003E171E" w:rsidP="00DB6514">
      <w:pPr>
        <w:pStyle w:val="Bullet"/>
      </w:pPr>
      <w:r w:rsidRPr="001D6FD3">
        <w:t>learning and development programs</w:t>
      </w:r>
    </w:p>
    <w:p w14:paraId="40D43D88" w14:textId="19D1EACB" w:rsidR="009D53BE" w:rsidRDefault="008A2A92" w:rsidP="00DB6514">
      <w:pPr>
        <w:pStyle w:val="Bullet"/>
      </w:pPr>
      <w:r>
        <w:t>procurement</w:t>
      </w:r>
    </w:p>
    <w:p w14:paraId="0B9A572B" w14:textId="287ABA6E" w:rsidR="009D53BE" w:rsidRDefault="009D53BE" w:rsidP="00DB6514">
      <w:pPr>
        <w:pStyle w:val="Bullet"/>
      </w:pPr>
      <w:r>
        <w:t>Human Resources</w:t>
      </w:r>
    </w:p>
    <w:p w14:paraId="71B0A30F" w14:textId="28ECDB34" w:rsidR="009D53BE" w:rsidRDefault="003E171E" w:rsidP="00DB6514">
      <w:pPr>
        <w:pStyle w:val="Bullet"/>
      </w:pPr>
      <w:r w:rsidRPr="001D6FD3">
        <w:t>reporting systems</w:t>
      </w:r>
    </w:p>
    <w:p w14:paraId="1D39190C" w14:textId="0440EBC3" w:rsidR="009D53BE" w:rsidRDefault="003E171E" w:rsidP="00DB6514">
      <w:pPr>
        <w:pStyle w:val="Bullet"/>
      </w:pPr>
      <w:r w:rsidRPr="001D6FD3">
        <w:t>data requirements.</w:t>
      </w:r>
      <w:r w:rsidR="009D53BE">
        <w:t xml:space="preserve"> </w:t>
      </w:r>
    </w:p>
    <w:p w14:paraId="02A6D8ED" w14:textId="4583A0EC" w:rsidR="00282C56" w:rsidRPr="001D6FD3" w:rsidRDefault="007966EA" w:rsidP="001D6FD3">
      <w:r>
        <w:t xml:space="preserve">Changes </w:t>
      </w:r>
      <w:r w:rsidR="002B563D" w:rsidRPr="001D6FD3">
        <w:t xml:space="preserve">may include </w:t>
      </w:r>
      <w:r w:rsidR="00550FF4" w:rsidRPr="001D6FD3">
        <w:t>creating policies</w:t>
      </w:r>
      <w:r w:rsidR="00434FC8">
        <w:t xml:space="preserve"> and monitoring mechanisms</w:t>
      </w:r>
      <w:r w:rsidR="003A073F">
        <w:t>,</w:t>
      </w:r>
      <w:r w:rsidR="00550FF4" w:rsidRPr="001D6FD3">
        <w:t xml:space="preserve"> </w:t>
      </w:r>
      <w:r w:rsidR="00C01119">
        <w:t>as well as</w:t>
      </w:r>
      <w:r w:rsidR="00C01119" w:rsidRPr="006F38FE">
        <w:t xml:space="preserve"> </w:t>
      </w:r>
      <w:r w:rsidR="008816CB" w:rsidRPr="00EF7AA5">
        <w:t xml:space="preserve">checking whether </w:t>
      </w:r>
      <w:r w:rsidR="00151353">
        <w:t>current</w:t>
      </w:r>
      <w:r w:rsidR="00151353" w:rsidRPr="00EF7AA5">
        <w:t xml:space="preserve"> </w:t>
      </w:r>
      <w:r w:rsidR="008816CB" w:rsidRPr="00EF7AA5">
        <w:t xml:space="preserve">policies, conditions or incentives may unintentionally </w:t>
      </w:r>
      <w:r w:rsidR="00AB153C">
        <w:t>conflict</w:t>
      </w:r>
      <w:r w:rsidR="00FE6DFB">
        <w:t xml:space="preserve"> with</w:t>
      </w:r>
      <w:r w:rsidR="008816CB" w:rsidRPr="00EF7AA5">
        <w:t xml:space="preserve"> the organisation</w:t>
      </w:r>
      <w:r w:rsidR="00963E59">
        <w:t>’</w:t>
      </w:r>
      <w:r w:rsidR="008816CB" w:rsidRPr="00EF7AA5">
        <w:t xml:space="preserve">s </w:t>
      </w:r>
      <w:r w:rsidR="00EB4DF4">
        <w:t>new</w:t>
      </w:r>
      <w:r w:rsidR="00506A56">
        <w:t xml:space="preserve"> </w:t>
      </w:r>
      <w:r w:rsidR="00FE6DFB">
        <w:t xml:space="preserve">or updated </w:t>
      </w:r>
      <w:r w:rsidR="008816CB" w:rsidRPr="00EF7AA5">
        <w:t>ambitions</w:t>
      </w:r>
      <w:r w:rsidR="008816CB" w:rsidRPr="008816CB">
        <w:t xml:space="preserve">. </w:t>
      </w:r>
      <w:r w:rsidR="00D42E73">
        <w:t>Organisations can also consider</w:t>
      </w:r>
      <w:r w:rsidR="008816CB" w:rsidRPr="008816CB">
        <w:t xml:space="preserve"> whether existing monitoring mechanisms </w:t>
      </w:r>
      <w:r w:rsidR="008816CB" w:rsidRPr="00EF7AA5">
        <w:t xml:space="preserve">are fit for purpose and support tracking progress against transition </w:t>
      </w:r>
      <w:r w:rsidR="004F2100">
        <w:t xml:space="preserve">and adaptation </w:t>
      </w:r>
      <w:r w:rsidR="008816CB" w:rsidRPr="00EF7AA5">
        <w:t>levers</w:t>
      </w:r>
      <w:r w:rsidR="008816CB" w:rsidRPr="008816CB">
        <w:t>.</w:t>
      </w:r>
    </w:p>
    <w:p w14:paraId="025766D9" w14:textId="715CA888" w:rsidR="007F1356" w:rsidRDefault="007F1356" w:rsidP="00E62101">
      <w:pPr>
        <w:pStyle w:val="Heading2Numbered"/>
      </w:pPr>
      <w:bookmarkStart w:id="227" w:name="Stage3dot3"/>
      <w:bookmarkStart w:id="228" w:name="_Toc224906888"/>
      <w:bookmarkStart w:id="229" w:name="_Toc224916520"/>
      <w:bookmarkStart w:id="230" w:name="_Toc232776361"/>
      <w:bookmarkEnd w:id="227"/>
      <w:r>
        <w:t>Assess resilience of actions</w:t>
      </w:r>
      <w:bookmarkEnd w:id="228"/>
      <w:bookmarkEnd w:id="229"/>
      <w:bookmarkEnd w:id="230"/>
    </w:p>
    <w:p w14:paraId="362B1506" w14:textId="4586BE36" w:rsidR="007F1356" w:rsidRPr="001D6FD3" w:rsidRDefault="00EF0CE3" w:rsidP="001D6FD3">
      <w:r w:rsidRPr="001D6FD3">
        <w:t>Organ</w:t>
      </w:r>
      <w:r w:rsidR="00DE7D44" w:rsidRPr="001D6FD3">
        <w:t xml:space="preserve">isations </w:t>
      </w:r>
      <w:r w:rsidR="00C83B97" w:rsidRPr="001D6FD3">
        <w:t>can</w:t>
      </w:r>
      <w:r w:rsidR="00DE7D44" w:rsidRPr="001D6FD3">
        <w:t xml:space="preserve"> assess the resilience of their</w:t>
      </w:r>
      <w:r w:rsidR="00342042" w:rsidRPr="001D6FD3">
        <w:t xml:space="preserve"> planned</w:t>
      </w:r>
      <w:r w:rsidR="00DE7D44" w:rsidRPr="001D6FD3">
        <w:t xml:space="preserve"> actions to external factors</w:t>
      </w:r>
      <w:r w:rsidR="000D1771" w:rsidRPr="001D6FD3">
        <w:t xml:space="preserve">. This may include testing the resilience of these actions against the key assumptions identified in </w:t>
      </w:r>
      <w:hyperlink w:anchor="Stage2" w:history="1">
        <w:r w:rsidR="000D1771" w:rsidRPr="006E47EC">
          <w:rPr>
            <w:rStyle w:val="Hyperlink"/>
          </w:rPr>
          <w:t>Stage</w:t>
        </w:r>
        <w:r w:rsidR="0018036D" w:rsidRPr="006E47EC">
          <w:rPr>
            <w:rStyle w:val="Hyperlink"/>
          </w:rPr>
          <w:t> </w:t>
        </w:r>
        <w:r w:rsidR="000D1771" w:rsidRPr="006E47EC">
          <w:rPr>
            <w:rStyle w:val="Hyperlink"/>
          </w:rPr>
          <w:t>2</w:t>
        </w:r>
      </w:hyperlink>
      <w:r w:rsidR="000D1771" w:rsidRPr="001D6FD3">
        <w:t xml:space="preserve"> </w:t>
      </w:r>
      <w:r w:rsidR="00EF715A">
        <w:t>of the guidance</w:t>
      </w:r>
      <w:r w:rsidR="000D1771" w:rsidRPr="001D6FD3">
        <w:t xml:space="preserve"> and </w:t>
      </w:r>
      <w:r w:rsidR="00C35E65" w:rsidRPr="001D6FD3">
        <w:t>climate</w:t>
      </w:r>
      <w:r w:rsidR="00963E59">
        <w:noBreakHyphen/>
      </w:r>
      <w:r w:rsidR="00C35E65" w:rsidRPr="001D6FD3">
        <w:t xml:space="preserve">related risks and opportunities identified in </w:t>
      </w:r>
      <w:hyperlink w:anchor="Stage1" w:history="1">
        <w:r w:rsidR="00C35E65" w:rsidRPr="007C115D">
          <w:rPr>
            <w:rStyle w:val="Hyperlink"/>
          </w:rPr>
          <w:t>Stage</w:t>
        </w:r>
        <w:r w:rsidR="0018036D" w:rsidRPr="007C115D">
          <w:rPr>
            <w:rStyle w:val="Hyperlink"/>
          </w:rPr>
          <w:t> </w:t>
        </w:r>
        <w:r w:rsidR="00C35E65" w:rsidRPr="007C115D">
          <w:rPr>
            <w:rStyle w:val="Hyperlink"/>
          </w:rPr>
          <w:t>1</w:t>
        </w:r>
      </w:hyperlink>
      <w:r w:rsidR="00C35E65" w:rsidRPr="001D6FD3">
        <w:t xml:space="preserve">. </w:t>
      </w:r>
    </w:p>
    <w:p w14:paraId="0CC927DE" w14:textId="02A26BCA" w:rsidR="00C35E65" w:rsidRPr="001D6FD3" w:rsidRDefault="000A0620" w:rsidP="001D6FD3">
      <w:r>
        <w:t>O</w:t>
      </w:r>
      <w:r w:rsidR="00C35E65" w:rsidRPr="001D6FD3">
        <w:t xml:space="preserve">rganisations can plan to manage and mitigate </w:t>
      </w:r>
      <w:r>
        <w:t>key vulnerabilities.</w:t>
      </w:r>
      <w:r w:rsidR="00C35E65" w:rsidRPr="001D6FD3">
        <w:t xml:space="preserve"> </w:t>
      </w:r>
      <w:r w:rsidR="006C6AF3" w:rsidRPr="001D6FD3">
        <w:t xml:space="preserve">Where organisations identify potential adverse impacts of their actions </w:t>
      </w:r>
      <w:r w:rsidR="258AE0AB">
        <w:t>on</w:t>
      </w:r>
      <w:r w:rsidR="006C6AF3" w:rsidRPr="001D6FD3">
        <w:t xml:space="preserve"> broader stakeholders, society or the economy, </w:t>
      </w:r>
      <w:r w:rsidR="00952F4E" w:rsidRPr="001D6FD3">
        <w:t xml:space="preserve">it is important organisations </w:t>
      </w:r>
      <w:r w:rsidR="0087651F" w:rsidRPr="001D6FD3">
        <w:t>consider how these can best be managed.</w:t>
      </w:r>
      <w:r w:rsidR="002A0E11">
        <w:t xml:space="preserve"> </w:t>
      </w:r>
      <w:r w:rsidR="002A0E11" w:rsidRPr="002A0E11">
        <w:t xml:space="preserve">Potential adverse impacts may include, for example, workforce displacement </w:t>
      </w:r>
      <w:r w:rsidR="005E0C05">
        <w:t xml:space="preserve">or </w:t>
      </w:r>
      <w:r w:rsidR="002A0E11" w:rsidRPr="002A0E11">
        <w:t xml:space="preserve">negative impacts on </w:t>
      </w:r>
      <w:r w:rsidR="00097ED3">
        <w:t>local</w:t>
      </w:r>
      <w:r w:rsidR="002A0E11" w:rsidRPr="002A0E11">
        <w:t xml:space="preserve"> economies</w:t>
      </w:r>
      <w:r w:rsidR="002A0E11">
        <w:t>.</w:t>
      </w:r>
      <w:r w:rsidR="0087651F" w:rsidRPr="001D6FD3">
        <w:t xml:space="preserve"> </w:t>
      </w:r>
      <w:r w:rsidR="00E433BF" w:rsidRPr="001D6FD3">
        <w:t xml:space="preserve">If the adverse impacts cannot be managed effectively, organisations may wish to revisit their </w:t>
      </w:r>
      <w:r w:rsidR="00FB5B81" w:rsidRPr="001D6FD3">
        <w:t>planned actions</w:t>
      </w:r>
      <w:r w:rsidR="00F52909" w:rsidRPr="001D6FD3">
        <w:t xml:space="preserve"> or strategic ambitions,</w:t>
      </w:r>
      <w:r w:rsidR="00CF3ADE" w:rsidRPr="001D6FD3">
        <w:t xml:space="preserve"> and consider </w:t>
      </w:r>
      <w:r w:rsidR="000F3711">
        <w:t>adjustments</w:t>
      </w:r>
      <w:r w:rsidR="00CF3ADE" w:rsidRPr="001D6FD3">
        <w:t>.</w:t>
      </w:r>
    </w:p>
    <w:p w14:paraId="1AE2B408" w14:textId="17A7216C" w:rsidR="001607A1" w:rsidRPr="001D6FD3" w:rsidRDefault="001607A1" w:rsidP="001D6FD3">
      <w:r w:rsidRPr="001D6FD3">
        <w:t xml:space="preserve">Organisations may also engage internal or external change management specialists to help prepare the business for fundamental changes that may come from </w:t>
      </w:r>
      <w:r w:rsidR="005F26BF" w:rsidRPr="001D6FD3">
        <w:t>implementing</w:t>
      </w:r>
      <w:r w:rsidRPr="001D6FD3">
        <w:t xml:space="preserve"> these actions</w:t>
      </w:r>
      <w:r w:rsidR="005F26BF" w:rsidRPr="001D6FD3">
        <w:t xml:space="preserve">. </w:t>
      </w:r>
      <w:r w:rsidR="00856935" w:rsidRPr="001D6FD3">
        <w:t xml:space="preserve">This may require deep engagement across the organisation to understand the practical implications these changes </w:t>
      </w:r>
      <w:r w:rsidR="00DE1741" w:rsidRPr="001D6FD3">
        <w:t>will have to ensure they are coherent with broader business strategy.</w:t>
      </w:r>
    </w:p>
    <w:p w14:paraId="7C041237" w14:textId="06751E73" w:rsidR="007F1356" w:rsidRPr="007F1356" w:rsidRDefault="007F1356" w:rsidP="00E62101">
      <w:pPr>
        <w:pStyle w:val="Heading2Numbered"/>
      </w:pPr>
      <w:bookmarkStart w:id="231" w:name="Stage3dot4"/>
      <w:bookmarkStart w:id="232" w:name="_Toc224906889"/>
      <w:bookmarkStart w:id="233" w:name="_Toc224916521"/>
      <w:bookmarkStart w:id="234" w:name="_Toc232776362"/>
      <w:bookmarkEnd w:id="231"/>
      <w:r>
        <w:t>Review governance structures and people strategies</w:t>
      </w:r>
      <w:bookmarkEnd w:id="232"/>
      <w:bookmarkEnd w:id="233"/>
      <w:bookmarkEnd w:id="234"/>
    </w:p>
    <w:p w14:paraId="165C8BE7" w14:textId="2ACDB692" w:rsidR="00501E4D" w:rsidRDefault="00D87049" w:rsidP="00983D78">
      <w:r w:rsidRPr="00D87049">
        <w:t>Organisations can review governance structures and people strategies to help ensure actions are delivered successfully</w:t>
      </w:r>
      <w:r w:rsidR="00EA37BE">
        <w:t xml:space="preserve">. </w:t>
      </w:r>
      <w:r w:rsidR="007D1822">
        <w:t>T</w:t>
      </w:r>
      <w:r w:rsidR="00690EAC">
        <w:t>he</w:t>
      </w:r>
      <w:r w:rsidR="002F7AAD">
        <w:t xml:space="preserve"> </w:t>
      </w:r>
      <w:hyperlink r:id="rId159" w:history="1">
        <w:r w:rsidR="002F7AAD" w:rsidRPr="006E47EC">
          <w:rPr>
            <w:rStyle w:val="Hyperlink"/>
          </w:rPr>
          <w:t>Governing for Net Zero Guide</w:t>
        </w:r>
      </w:hyperlink>
      <w:r w:rsidR="002F7AAD">
        <w:t xml:space="preserve"> from </w:t>
      </w:r>
      <w:r w:rsidR="0054654F">
        <w:t xml:space="preserve">the Australian </w:t>
      </w:r>
      <w:r w:rsidR="00741F72">
        <w:t>Institute of Company Directors</w:t>
      </w:r>
      <w:r w:rsidR="00A141BF">
        <w:t xml:space="preserve"> (</w:t>
      </w:r>
      <w:r w:rsidR="002F7AAD">
        <w:t>AICD</w:t>
      </w:r>
      <w:r w:rsidR="00A141BF">
        <w:t>)</w:t>
      </w:r>
      <w:r w:rsidR="002F7AAD">
        <w:t xml:space="preserve"> and </w:t>
      </w:r>
      <w:r w:rsidR="00AB4D21">
        <w:t>the Australian Council of Superannuation Investors</w:t>
      </w:r>
      <w:r w:rsidR="00A141BF">
        <w:t xml:space="preserve"> (</w:t>
      </w:r>
      <w:r w:rsidR="002F7AAD">
        <w:t>ACSI</w:t>
      </w:r>
      <w:r w:rsidR="00A141BF">
        <w:t>)</w:t>
      </w:r>
      <w:r w:rsidR="002F7AAD">
        <w:t xml:space="preserve"> provides</w:t>
      </w:r>
      <w:r w:rsidR="007D1822">
        <w:t xml:space="preserve"> further detail on undertaking such reviews</w:t>
      </w:r>
      <w:r w:rsidR="00D73DD0">
        <w:t xml:space="preserve">. </w:t>
      </w:r>
    </w:p>
    <w:p w14:paraId="7720872C" w14:textId="6DBC88EA" w:rsidR="003357E7" w:rsidRDefault="003357E7" w:rsidP="003357E7">
      <w:pPr>
        <w:pStyle w:val="Heading3"/>
      </w:pPr>
      <w:r>
        <w:t>Skills, competencies and knowledge</w:t>
      </w:r>
    </w:p>
    <w:p w14:paraId="133B31BF" w14:textId="09038303" w:rsidR="003A0C16" w:rsidRDefault="00E857D0" w:rsidP="003357E7">
      <w:r>
        <w:t>Organisations can d</w:t>
      </w:r>
      <w:r w:rsidR="003357E7">
        <w:t xml:space="preserve">eveloping appropriate skills and capabilities within </w:t>
      </w:r>
      <w:r>
        <w:t>their workforce to ensure</w:t>
      </w:r>
      <w:r w:rsidR="003357E7">
        <w:t xml:space="preserve"> informed decision</w:t>
      </w:r>
      <w:r w:rsidR="00963E59">
        <w:noBreakHyphen/>
      </w:r>
      <w:r w:rsidR="003357E7">
        <w:t xml:space="preserve">making and effective implementation. Early identification of capability gaps through mapping or stocktake exercises enables targeted interventions, including training, professional development, or recruitment. </w:t>
      </w:r>
    </w:p>
    <w:p w14:paraId="35EE99F9" w14:textId="4D8458A3" w:rsidR="003357E7" w:rsidRDefault="003357E7" w:rsidP="003357E7">
      <w:r>
        <w:lastRenderedPageBreak/>
        <w:t xml:space="preserve">Having the necessary expertise supports </w:t>
      </w:r>
      <w:r w:rsidR="00EB6131">
        <w:t xml:space="preserve">the </w:t>
      </w:r>
      <w:r w:rsidR="00E857D0">
        <w:t>B</w:t>
      </w:r>
      <w:r w:rsidR="00EB6131">
        <w:t>oard, senior management</w:t>
      </w:r>
      <w:r>
        <w:t xml:space="preserve"> and </w:t>
      </w:r>
      <w:r w:rsidR="009317B9">
        <w:t>relevant</w:t>
      </w:r>
      <w:r>
        <w:t xml:space="preserve"> staff with evidence</w:t>
      </w:r>
      <w:r w:rsidR="00963E59">
        <w:noBreakHyphen/>
      </w:r>
      <w:r>
        <w:t xml:space="preserve">based decision making and enhances understanding of the risks, opportunities and implications associated with transition planning. </w:t>
      </w:r>
    </w:p>
    <w:p w14:paraId="50F9892E" w14:textId="205FF014" w:rsidR="003C073E" w:rsidRDefault="003C073E" w:rsidP="007F1356">
      <w:pPr>
        <w:pStyle w:val="Heading3"/>
      </w:pPr>
      <w:bookmarkStart w:id="235" w:name="_Culture_and_employee"/>
      <w:bookmarkEnd w:id="235"/>
      <w:r>
        <w:t>Culture</w:t>
      </w:r>
      <w:r w:rsidR="00E17B10">
        <w:t xml:space="preserve"> and employee engagement</w:t>
      </w:r>
    </w:p>
    <w:p w14:paraId="10108DBE" w14:textId="2BDEF579" w:rsidR="003C073E" w:rsidRPr="00CF33B4" w:rsidRDefault="00E857D0" w:rsidP="003C073E">
      <w:r>
        <w:t>Organisations can e</w:t>
      </w:r>
      <w:r w:rsidR="003C073E">
        <w:t xml:space="preserve">stablish an enabling culture </w:t>
      </w:r>
      <w:r w:rsidR="00525EC5">
        <w:t>early in</w:t>
      </w:r>
      <w:r w:rsidR="003C073E">
        <w:t xml:space="preserve"> transition planning </w:t>
      </w:r>
      <w:r>
        <w:t xml:space="preserve">which </w:t>
      </w:r>
      <w:r w:rsidR="003C073E">
        <w:t>can be fundamental to effective governance and sustainable change</w:t>
      </w:r>
      <w:r w:rsidR="003C073E" w:rsidRPr="00CF33B4">
        <w:t xml:space="preserve">. Culture </w:t>
      </w:r>
      <w:r w:rsidR="007A68E5">
        <w:t>can shape</w:t>
      </w:r>
      <w:r w:rsidR="003C073E" w:rsidRPr="00CF33B4">
        <w:t xml:space="preserve"> </w:t>
      </w:r>
      <w:r w:rsidR="003C073E">
        <w:t>decision</w:t>
      </w:r>
      <w:r w:rsidR="00963E59">
        <w:noBreakHyphen/>
      </w:r>
      <w:r w:rsidR="003C073E">
        <w:t xml:space="preserve">making, accountability, and engagement with the transition </w:t>
      </w:r>
      <w:r w:rsidR="00CC6743">
        <w:t xml:space="preserve">planning </w:t>
      </w:r>
      <w:r w:rsidR="003C073E">
        <w:t>process</w:t>
      </w:r>
      <w:r w:rsidR="003C073E" w:rsidRPr="00CF33B4">
        <w:t xml:space="preserve">. </w:t>
      </w:r>
      <w:r w:rsidR="00426DFB">
        <w:t>Early c</w:t>
      </w:r>
      <w:r w:rsidR="003C073E" w:rsidRPr="00CF33B4">
        <w:t>onsider</w:t>
      </w:r>
      <w:r w:rsidR="00426DFB">
        <w:t xml:space="preserve">ation of </w:t>
      </w:r>
      <w:r w:rsidR="003C073E" w:rsidRPr="00CF33B4">
        <w:t xml:space="preserve">cultural factors </w:t>
      </w:r>
      <w:r w:rsidR="00CC6743">
        <w:t xml:space="preserve">also </w:t>
      </w:r>
      <w:r w:rsidR="003C073E" w:rsidRPr="00CF33B4">
        <w:t>helps ensure that governance arrangements are well</w:t>
      </w:r>
      <w:r w:rsidR="00963E59">
        <w:noBreakHyphen/>
      </w:r>
      <w:r w:rsidR="003C073E" w:rsidRPr="00CF33B4">
        <w:t xml:space="preserve">designed </w:t>
      </w:r>
      <w:r w:rsidR="00A003D8">
        <w:t>and</w:t>
      </w:r>
      <w:r w:rsidR="003C073E" w:rsidRPr="00CF33B4">
        <w:t xml:space="preserve"> </w:t>
      </w:r>
      <w:r w:rsidR="003C073E">
        <w:t>aligned with organisational values and objectives</w:t>
      </w:r>
      <w:r w:rsidR="006A2027">
        <w:t>, while also supporting the</w:t>
      </w:r>
      <w:r w:rsidR="003C073E" w:rsidDel="004A0ED2">
        <w:t xml:space="preserve"> </w:t>
      </w:r>
      <w:r w:rsidR="003C073E">
        <w:t>identif</w:t>
      </w:r>
      <w:r w:rsidR="004A0ED2">
        <w:t>ication</w:t>
      </w:r>
      <w:r w:rsidR="003C073E">
        <w:t xml:space="preserve"> and </w:t>
      </w:r>
      <w:r w:rsidR="004A0ED2">
        <w:t>management of</w:t>
      </w:r>
      <w:r w:rsidR="003C073E">
        <w:t xml:space="preserve"> key barriers.</w:t>
      </w:r>
    </w:p>
    <w:p w14:paraId="28365AF5" w14:textId="77777777" w:rsidR="003A0C16" w:rsidRDefault="003C073E" w:rsidP="00EE3316">
      <w:r>
        <w:t xml:space="preserve">Leadership plays a central role in reinforcing </w:t>
      </w:r>
      <w:r w:rsidR="00AB0878">
        <w:t>transition planning</w:t>
      </w:r>
      <w:r>
        <w:t xml:space="preserve"> by</w:t>
      </w:r>
      <w:r w:rsidR="003A0C16">
        <w:t>:</w:t>
      </w:r>
    </w:p>
    <w:p w14:paraId="311B4E3F" w14:textId="603DCD21" w:rsidR="003A0C16" w:rsidRDefault="003C073E" w:rsidP="00DB6514">
      <w:pPr>
        <w:pStyle w:val="Bullet"/>
      </w:pPr>
      <w:r>
        <w:t>shaping organisation</w:t>
      </w:r>
      <w:r w:rsidR="0085170E">
        <w:t xml:space="preserve">al </w:t>
      </w:r>
      <w:r>
        <w:t>culture</w:t>
      </w:r>
    </w:p>
    <w:p w14:paraId="2182023D" w14:textId="3CCEBAB5" w:rsidR="003A0C16" w:rsidRDefault="003C073E" w:rsidP="00DB6514">
      <w:pPr>
        <w:pStyle w:val="Bullet"/>
      </w:pPr>
      <w:r>
        <w:t>modelling openness to change</w:t>
      </w:r>
    </w:p>
    <w:p w14:paraId="2D02182B" w14:textId="61DD90C3" w:rsidR="0085170E" w:rsidRDefault="003C073E" w:rsidP="00DB6514">
      <w:pPr>
        <w:pStyle w:val="Bullet"/>
      </w:pPr>
      <w:r>
        <w:t>communicating a shared sense of purpose</w:t>
      </w:r>
    </w:p>
    <w:p w14:paraId="75783091" w14:textId="0C076EF8" w:rsidR="003A0C16" w:rsidRDefault="003C073E" w:rsidP="00DB6514">
      <w:pPr>
        <w:pStyle w:val="Bullet"/>
      </w:pPr>
      <w:r>
        <w:t xml:space="preserve">fostering staff engagement. </w:t>
      </w:r>
    </w:p>
    <w:p w14:paraId="661A784E" w14:textId="6F218F02" w:rsidR="003C073E" w:rsidRDefault="003C073E" w:rsidP="003C073E">
      <w:r w:rsidRPr="00CF33B4">
        <w:t xml:space="preserve">Cultural shifts </w:t>
      </w:r>
      <w:r>
        <w:t>can</w:t>
      </w:r>
      <w:r w:rsidRPr="00CF33B4">
        <w:t xml:space="preserve"> aim to build trust, empower staff participation and </w:t>
      </w:r>
      <w:r>
        <w:t>promote</w:t>
      </w:r>
      <w:r w:rsidRPr="00CF33B4">
        <w:t xml:space="preserve"> innovation</w:t>
      </w:r>
      <w:r>
        <w:t xml:space="preserve">, </w:t>
      </w:r>
      <w:r w:rsidRPr="00CF33B4">
        <w:t xml:space="preserve">creating an environment </w:t>
      </w:r>
      <w:r>
        <w:t xml:space="preserve">that supports resilience and commitment to </w:t>
      </w:r>
      <w:r w:rsidR="00E9063C">
        <w:t>transition planning</w:t>
      </w:r>
      <w:r w:rsidRPr="00CF33B4">
        <w:t>.</w:t>
      </w:r>
    </w:p>
    <w:p w14:paraId="208630B7" w14:textId="3B73E423" w:rsidR="003C073E" w:rsidRDefault="003C073E" w:rsidP="007F1356">
      <w:pPr>
        <w:pStyle w:val="Heading3"/>
      </w:pPr>
      <w:bookmarkStart w:id="236" w:name="_Toc215764029"/>
      <w:r>
        <w:t>Rewards and recognition</w:t>
      </w:r>
      <w:bookmarkEnd w:id="236"/>
    </w:p>
    <w:p w14:paraId="570790EE" w14:textId="5ACDBA17" w:rsidR="003C073E" w:rsidRDefault="00E857D0" w:rsidP="003C073E">
      <w:r>
        <w:t>Organisations can a</w:t>
      </w:r>
      <w:r w:rsidR="003C073E">
        <w:t xml:space="preserve">lign internal rewards and recognition frameworks with </w:t>
      </w:r>
      <w:r w:rsidR="00081753">
        <w:t>transition planning</w:t>
      </w:r>
      <w:r w:rsidR="003C073E">
        <w:t xml:space="preserve"> </w:t>
      </w:r>
      <w:r>
        <w:t>to help achieve</w:t>
      </w:r>
      <w:r w:rsidR="003C073E">
        <w:t xml:space="preserve"> </w:t>
      </w:r>
      <w:r w:rsidR="00081753">
        <w:t>strategic ambitions</w:t>
      </w:r>
      <w:r w:rsidR="003C073E">
        <w:t>, reinforc</w:t>
      </w:r>
      <w:r>
        <w:t>e</w:t>
      </w:r>
      <w:r w:rsidR="003C073E">
        <w:t xml:space="preserve"> accountability and sustain organisational focus. </w:t>
      </w:r>
      <w:r w:rsidR="003C073E" w:rsidRPr="008220A7">
        <w:t>Th</w:t>
      </w:r>
      <w:r w:rsidR="003C073E">
        <w:t xml:space="preserve">is can be implemented at the leadership level and across the wider workforce. </w:t>
      </w:r>
    </w:p>
    <w:p w14:paraId="6D986A3D" w14:textId="40A54623" w:rsidR="00166551" w:rsidRDefault="003C073E" w:rsidP="003C073E">
      <w:r>
        <w:t xml:space="preserve">Rewards and recognition may include celebrating milestones, acknowledging contributions, and highlighting achievements linked to </w:t>
      </w:r>
      <w:r w:rsidR="00E83DBD">
        <w:t>transition planning</w:t>
      </w:r>
      <w:r>
        <w:t xml:space="preserve">. </w:t>
      </w:r>
    </w:p>
    <w:p w14:paraId="7FB75883" w14:textId="21E51D0E" w:rsidR="003C073E" w:rsidRDefault="003C073E" w:rsidP="003C073E">
      <w:r>
        <w:t xml:space="preserve">Acts of recognition such as public acknowledgement, professional development opportunities and team celebrations can foster engagement and strengthen a shared sense of purpose. These initiatives help maintain drive and encourage individuals to actively contribute to the success of the transition. </w:t>
      </w:r>
    </w:p>
    <w:p w14:paraId="4F61DD3D" w14:textId="434CAAF7" w:rsidR="00501E4D" w:rsidRDefault="00BA4FCC" w:rsidP="003C073E">
      <w:r>
        <w:t xml:space="preserve">Where appropriate, organisations may also seek to align remuneration policies with transition planning. </w:t>
      </w:r>
      <w:r w:rsidR="006333D3">
        <w:t xml:space="preserve">Organisations can refer </w:t>
      </w:r>
      <w:r w:rsidR="00E26999">
        <w:t xml:space="preserve">to the Investor </w:t>
      </w:r>
      <w:r w:rsidR="005856BF">
        <w:t>Group</w:t>
      </w:r>
      <w:r w:rsidR="00E26999">
        <w:t xml:space="preserve"> on Climate </w:t>
      </w:r>
      <w:r w:rsidR="005856BF">
        <w:t>Change</w:t>
      </w:r>
      <w:r w:rsidR="00963E59">
        <w:t>’</w:t>
      </w:r>
      <w:r w:rsidR="005856BF">
        <w:t>s</w:t>
      </w:r>
      <w:r w:rsidR="006333D3">
        <w:t xml:space="preserve"> </w:t>
      </w:r>
      <w:hyperlink r:id="rId160">
        <w:r w:rsidR="006333D3" w:rsidRPr="58601017">
          <w:rPr>
            <w:rStyle w:val="Hyperlink"/>
          </w:rPr>
          <w:t>Incentivising Climate Action with Executive Remuneratio</w:t>
        </w:r>
        <w:r w:rsidR="005856BF">
          <w:rPr>
            <w:rStyle w:val="Hyperlink"/>
          </w:rPr>
          <w:t>n i</w:t>
        </w:r>
        <w:r w:rsidR="002F72FB">
          <w:rPr>
            <w:rStyle w:val="Hyperlink"/>
          </w:rPr>
          <w:t>n Australia</w:t>
        </w:r>
      </w:hyperlink>
      <w:r w:rsidR="005856BF" w:rsidRPr="00D0437C">
        <w:rPr>
          <w:rStyle w:val="FootnoteReference"/>
        </w:rPr>
        <w:endnoteReference w:id="108"/>
      </w:r>
      <w:r w:rsidR="006333D3" w:rsidRPr="0091371E">
        <w:rPr>
          <w:rStyle w:val="FootnoteReference"/>
          <w:sz w:val="22"/>
          <w:szCs w:val="22"/>
        </w:rPr>
        <w:t xml:space="preserve"> </w:t>
      </w:r>
      <w:r w:rsidR="005856BF">
        <w:t xml:space="preserve">report </w:t>
      </w:r>
      <w:r w:rsidR="006333D3">
        <w:t>to understand possible investor e</w:t>
      </w:r>
      <w:r w:rsidR="00011B95">
        <w:t>xpectations on the integration of climate goals with executive remuneration.</w:t>
      </w:r>
    </w:p>
    <w:p w14:paraId="7CDD41A8" w14:textId="2E64132E" w:rsidR="003C073E" w:rsidRDefault="007F1356" w:rsidP="00E62101">
      <w:pPr>
        <w:pStyle w:val="Heading2Numbered"/>
      </w:pPr>
      <w:bookmarkStart w:id="237" w:name="section3dot5"/>
      <w:bookmarkStart w:id="238" w:name="_Toc224906890"/>
      <w:bookmarkStart w:id="239" w:name="_Toc224916522"/>
      <w:bookmarkStart w:id="240" w:name="_Toc232776363"/>
      <w:bookmarkEnd w:id="237"/>
      <w:r>
        <w:t xml:space="preserve">Develop </w:t>
      </w:r>
      <w:r w:rsidR="00117B14">
        <w:t xml:space="preserve">engagement </w:t>
      </w:r>
      <w:r w:rsidR="000D12EF">
        <w:t>strategy</w:t>
      </w:r>
      <w:bookmarkEnd w:id="238"/>
      <w:bookmarkEnd w:id="239"/>
      <w:bookmarkEnd w:id="240"/>
    </w:p>
    <w:p w14:paraId="60E8ADC1" w14:textId="2F604701" w:rsidR="00761A03" w:rsidRDefault="000D12EF" w:rsidP="00761A03">
      <w:r>
        <w:t>External engagement is</w:t>
      </w:r>
      <w:r w:rsidR="006A744F">
        <w:t xml:space="preserve"> crucial</w:t>
      </w:r>
      <w:r w:rsidDel="006A744F">
        <w:t xml:space="preserve"> </w:t>
      </w:r>
      <w:r>
        <w:t>to informing</w:t>
      </w:r>
      <w:r w:rsidR="0052492E">
        <w:t xml:space="preserve"> and implementing</w:t>
      </w:r>
      <w:r>
        <w:t xml:space="preserve"> </w:t>
      </w:r>
      <w:r w:rsidR="00E83DBD">
        <w:t>transition planning</w:t>
      </w:r>
      <w:r>
        <w:t>.</w:t>
      </w:r>
      <w:r w:rsidR="00AB432B">
        <w:t xml:space="preserve"> As</w:t>
      </w:r>
      <w:r w:rsidR="00AB432B" w:rsidDel="00E470DD">
        <w:t xml:space="preserve"> </w:t>
      </w:r>
      <w:r w:rsidR="0024434B">
        <w:t>outlined</w:t>
      </w:r>
      <w:r w:rsidR="00E470DD">
        <w:t xml:space="preserve"> </w:t>
      </w:r>
      <w:r w:rsidR="00AB432B">
        <w:t xml:space="preserve">in </w:t>
      </w:r>
      <w:hyperlink w:anchor="Stage1" w:history="1">
        <w:r w:rsidR="002607AD" w:rsidRPr="006E47EC">
          <w:rPr>
            <w:rStyle w:val="Hyperlink"/>
          </w:rPr>
          <w:t>Stage</w:t>
        </w:r>
        <w:r w:rsidR="00E75DAA" w:rsidRPr="006E47EC">
          <w:rPr>
            <w:rStyle w:val="Hyperlink"/>
          </w:rPr>
          <w:t> </w:t>
        </w:r>
        <w:r w:rsidR="002607AD" w:rsidRPr="006E47EC">
          <w:rPr>
            <w:rStyle w:val="Hyperlink"/>
          </w:rPr>
          <w:t>1</w:t>
        </w:r>
      </w:hyperlink>
      <w:r w:rsidR="00885121">
        <w:t xml:space="preserve"> of th</w:t>
      </w:r>
      <w:r w:rsidR="0091371E">
        <w:t>e</w:t>
      </w:r>
      <w:r w:rsidR="00885121">
        <w:t xml:space="preserve"> guidance</w:t>
      </w:r>
      <w:r w:rsidR="002607AD">
        <w:t>,</w:t>
      </w:r>
      <w:r w:rsidR="00AB432B">
        <w:t xml:space="preserve"> </w:t>
      </w:r>
      <w:r w:rsidR="00733C70">
        <w:t>the</w:t>
      </w:r>
      <w:r w:rsidR="00AB432B">
        <w:t xml:space="preserve"> </w:t>
      </w:r>
      <w:r w:rsidR="00BE5182">
        <w:t xml:space="preserve">first </w:t>
      </w:r>
      <w:r w:rsidR="00AB432B">
        <w:t>step is identifying the relevant stakeholders</w:t>
      </w:r>
      <w:r w:rsidR="005A77FE">
        <w:t xml:space="preserve"> that</w:t>
      </w:r>
      <w:r w:rsidR="006D55B4">
        <w:t xml:space="preserve"> may have a role to play in addressing</w:t>
      </w:r>
      <w:r w:rsidR="00DD44F8">
        <w:t xml:space="preserve"> the organisation</w:t>
      </w:r>
      <w:r w:rsidR="00963E59">
        <w:t>’</w:t>
      </w:r>
      <w:r w:rsidR="00DD44F8">
        <w:t>s</w:t>
      </w:r>
      <w:r w:rsidR="006D55B4">
        <w:t xml:space="preserve"> climate</w:t>
      </w:r>
      <w:r w:rsidR="00963E59">
        <w:noBreakHyphen/>
      </w:r>
      <w:r w:rsidR="006D55B4">
        <w:t>related risks and opportunities.</w:t>
      </w:r>
      <w:r w:rsidR="00AB432B" w:rsidDel="00E878E8">
        <w:t xml:space="preserve"> </w:t>
      </w:r>
      <w:r w:rsidR="00761A03">
        <w:t>Effective engagement also minimises the risk that stakeholders are adversely affected, such as through maladaptation, or left out of potential opportunities.</w:t>
      </w:r>
    </w:p>
    <w:p w14:paraId="260599A1" w14:textId="4DA60A31" w:rsidR="00994B23" w:rsidRDefault="00994B23" w:rsidP="00994B23">
      <w:r w:rsidRPr="00BC4513">
        <w:t xml:space="preserve">Many organisations </w:t>
      </w:r>
      <w:r>
        <w:t xml:space="preserve">have existing </w:t>
      </w:r>
      <w:r w:rsidRPr="00BC4513">
        <w:t xml:space="preserve">stakeholder </w:t>
      </w:r>
      <w:r>
        <w:t>identification</w:t>
      </w:r>
      <w:r w:rsidRPr="00BC4513">
        <w:t xml:space="preserve"> and engagement processes. </w:t>
      </w:r>
      <w:r w:rsidR="00F04FD2" w:rsidRPr="00F04FD2">
        <w:t xml:space="preserve">Integrating climate change </w:t>
      </w:r>
      <w:r w:rsidR="00B94B34">
        <w:t xml:space="preserve">and associated transition </w:t>
      </w:r>
      <w:r w:rsidR="000D024B">
        <w:t xml:space="preserve">planning </w:t>
      </w:r>
      <w:r w:rsidR="00F04FD2" w:rsidRPr="00F04FD2">
        <w:t xml:space="preserve">considerations into these existing structures may reduce the need for new processes </w:t>
      </w:r>
      <w:r w:rsidR="00244979" w:rsidRPr="00244979">
        <w:t>and may highlight additional stakeholders, or new risks and opportunities associated with existing stakeholder relationships</w:t>
      </w:r>
      <w:r>
        <w:t>.</w:t>
      </w:r>
    </w:p>
    <w:p w14:paraId="3FE3807E" w14:textId="28CC4C4D" w:rsidR="00994B23" w:rsidRDefault="00994B23" w:rsidP="00DD0FF0">
      <w:r>
        <w:lastRenderedPageBreak/>
        <w:t xml:space="preserve">The </w:t>
      </w:r>
      <w:r w:rsidRPr="00D73DD0">
        <w:t>TPT Transition Planning Cycle</w:t>
      </w:r>
      <w:r w:rsidR="00E527EF">
        <w:t xml:space="preserve"> (page 3</w:t>
      </w:r>
      <w:r w:rsidR="00DC41A9">
        <w:t>5</w:t>
      </w:r>
      <w:r w:rsidR="00E527EF">
        <w:t>)</w:t>
      </w:r>
      <w:r>
        <w:t xml:space="preserve"> outlines </w:t>
      </w:r>
      <w:r w:rsidR="000122D0">
        <w:t xml:space="preserve">principles </w:t>
      </w:r>
      <w:r w:rsidR="00BE0418">
        <w:t xml:space="preserve">for </w:t>
      </w:r>
      <w:r>
        <w:t>engagement</w:t>
      </w:r>
      <w:r w:rsidR="00BE0418">
        <w:t>,</w:t>
      </w:r>
      <w:r>
        <w:t xml:space="preserve"> includ</w:t>
      </w:r>
      <w:r w:rsidR="00BE0418">
        <w:t>ing</w:t>
      </w:r>
      <w:r>
        <w:t>:</w:t>
      </w:r>
    </w:p>
    <w:p w14:paraId="15C534CC" w14:textId="43B6BF19" w:rsidR="00994B23" w:rsidRPr="00C23B3E" w:rsidRDefault="00895E93" w:rsidP="00DB6514">
      <w:pPr>
        <w:pStyle w:val="Bullet"/>
      </w:pPr>
      <w:r w:rsidRPr="00C23B3E">
        <w:t>p</w:t>
      </w:r>
      <w:r w:rsidR="00994B23" w:rsidRPr="00C23B3E">
        <w:t xml:space="preserve">rioritising counterparts for engagement strategically </w:t>
      </w:r>
    </w:p>
    <w:p w14:paraId="4987337A" w14:textId="342BC3A5" w:rsidR="00994B23" w:rsidRPr="00C23B3E" w:rsidRDefault="00895E93" w:rsidP="00DB6514">
      <w:pPr>
        <w:pStyle w:val="Bullet"/>
      </w:pPr>
      <w:r w:rsidRPr="00C23B3E">
        <w:t>e</w:t>
      </w:r>
      <w:r w:rsidR="00994B23" w:rsidRPr="00C23B3E">
        <w:t xml:space="preserve">stablishing the most suitable process for engagement </w:t>
      </w:r>
    </w:p>
    <w:p w14:paraId="2B6D8067" w14:textId="0516B86E" w:rsidR="008E7F0F" w:rsidRPr="00C23B3E" w:rsidRDefault="00895E93" w:rsidP="00DB6514">
      <w:pPr>
        <w:pStyle w:val="Bullet"/>
      </w:pPr>
      <w:r w:rsidRPr="00C23B3E">
        <w:t>m</w:t>
      </w:r>
      <w:r w:rsidR="008E7F0F" w:rsidRPr="00C23B3E">
        <w:t>onitoring and measur</w:t>
      </w:r>
      <w:r w:rsidR="0052492E" w:rsidRPr="00C23B3E">
        <w:t>ing</w:t>
      </w:r>
      <w:r w:rsidR="008E7F0F" w:rsidRPr="00C23B3E">
        <w:t xml:space="preserve"> engagement outcomes</w:t>
      </w:r>
    </w:p>
    <w:p w14:paraId="62CEA017" w14:textId="2E692A67" w:rsidR="00994B23" w:rsidRPr="00C23B3E" w:rsidRDefault="00D07162" w:rsidP="00DB6514">
      <w:pPr>
        <w:pStyle w:val="Bullet"/>
      </w:pPr>
      <w:r>
        <w:t xml:space="preserve">establishing </w:t>
      </w:r>
      <w:r w:rsidR="00895E93" w:rsidRPr="00C23B3E">
        <w:t>es</w:t>
      </w:r>
      <w:r w:rsidR="0052492E" w:rsidRPr="00C23B3E">
        <w:t>calation</w:t>
      </w:r>
      <w:r w:rsidR="00994B23" w:rsidRPr="00C23B3E">
        <w:t xml:space="preserve"> procedures where engagement does not lead to the desired outcome</w:t>
      </w:r>
      <w:r w:rsidR="003A5C16">
        <w:t>.</w:t>
      </w:r>
    </w:p>
    <w:p w14:paraId="69A1715E" w14:textId="1C28320C" w:rsidR="00994B23" w:rsidRDefault="00994B23" w:rsidP="00CA7800">
      <w:pPr>
        <w:pStyle w:val="Heading3"/>
      </w:pPr>
      <w:bookmarkStart w:id="241" w:name="_Engaging_with_upstream"/>
      <w:bookmarkEnd w:id="241"/>
      <w:r>
        <w:t xml:space="preserve">Engaging with upstream and downstream </w:t>
      </w:r>
      <w:r w:rsidR="001011CF">
        <w:t xml:space="preserve">value </w:t>
      </w:r>
      <w:r>
        <w:t xml:space="preserve">chains </w:t>
      </w:r>
    </w:p>
    <w:p w14:paraId="71871E1A" w14:textId="57E29986" w:rsidR="00994B23" w:rsidRDefault="003404A7" w:rsidP="00994B23">
      <w:r>
        <w:t>E</w:t>
      </w:r>
      <w:r w:rsidR="00994B23">
        <w:t>ngage</w:t>
      </w:r>
      <w:r>
        <w:t>ment</w:t>
      </w:r>
      <w:r w:rsidR="00994B23">
        <w:t xml:space="preserve"> with </w:t>
      </w:r>
      <w:r w:rsidR="00D13E3A">
        <w:t>value</w:t>
      </w:r>
      <w:r w:rsidR="006E6CF0">
        <w:t xml:space="preserve"> </w:t>
      </w:r>
      <w:r w:rsidR="00D13E3A">
        <w:t>chain partners</w:t>
      </w:r>
      <w:r w:rsidR="005E5D50">
        <w:t>,</w:t>
      </w:r>
      <w:r w:rsidR="00D13E3A">
        <w:t xml:space="preserve"> where possible,</w:t>
      </w:r>
      <w:r w:rsidR="00994B23">
        <w:t xml:space="preserve"> </w:t>
      </w:r>
      <w:r w:rsidR="005E5D50">
        <w:t xml:space="preserve">can help identify </w:t>
      </w:r>
      <w:r w:rsidR="007029B5">
        <w:t>climate</w:t>
      </w:r>
      <w:r w:rsidR="00963E59">
        <w:noBreakHyphen/>
      </w:r>
      <w:r w:rsidR="007029B5">
        <w:t>related</w:t>
      </w:r>
      <w:r w:rsidR="005E5D50">
        <w:t xml:space="preserve"> </w:t>
      </w:r>
      <w:r w:rsidR="00994B23">
        <w:t xml:space="preserve">risks and vulnerabilities </w:t>
      </w:r>
      <w:r w:rsidR="00D055F3">
        <w:t xml:space="preserve">that </w:t>
      </w:r>
      <w:r w:rsidR="00994B23">
        <w:t xml:space="preserve">may </w:t>
      </w:r>
      <w:r w:rsidR="00D055F3">
        <w:t xml:space="preserve">sit outside </w:t>
      </w:r>
      <w:r w:rsidR="00391BB8">
        <w:t>an organisation</w:t>
      </w:r>
      <w:r w:rsidR="00963E59">
        <w:t>’</w:t>
      </w:r>
      <w:r w:rsidR="00391BB8">
        <w:t>s direct</w:t>
      </w:r>
      <w:r w:rsidR="00713A7F">
        <w:t xml:space="preserve"> operations</w:t>
      </w:r>
      <w:r w:rsidR="00994B23">
        <w:t xml:space="preserve">. For example, a supermarket </w:t>
      </w:r>
      <w:r w:rsidR="00531314">
        <w:t xml:space="preserve">operator </w:t>
      </w:r>
      <w:r w:rsidR="00994B23">
        <w:t>may be exposed</w:t>
      </w:r>
      <w:r w:rsidR="00163178" w:rsidRPr="00163178">
        <w:t xml:space="preserve"> </w:t>
      </w:r>
      <w:r w:rsidR="00E34375">
        <w:t>wh</w:t>
      </w:r>
      <w:r w:rsidR="001A02C3">
        <w:t>en a</w:t>
      </w:r>
      <w:r w:rsidR="00163178" w:rsidRPr="00163178">
        <w:t xml:space="preserve"> supplier </w:t>
      </w:r>
      <w:r w:rsidR="00913894">
        <w:t>face</w:t>
      </w:r>
      <w:r w:rsidR="001A02C3">
        <w:t>s</w:t>
      </w:r>
      <w:r w:rsidR="00913894" w:rsidRPr="00163178">
        <w:t xml:space="preserve"> </w:t>
      </w:r>
      <w:r w:rsidR="00163178" w:rsidRPr="00163178">
        <w:t>lower crop yields or higher input costs</w:t>
      </w:r>
      <w:r w:rsidR="00994B23">
        <w:t>.</w:t>
      </w:r>
    </w:p>
    <w:p w14:paraId="679ACE6B" w14:textId="3B0CEF66" w:rsidR="00994B23" w:rsidRDefault="00994B23" w:rsidP="00E81EE3">
      <w:pPr>
        <w:keepNext/>
      </w:pPr>
      <w:r>
        <w:t xml:space="preserve">Engagement with the </w:t>
      </w:r>
      <w:r w:rsidR="001011CF">
        <w:t>value chain</w:t>
      </w:r>
      <w:r>
        <w:t xml:space="preserve"> helps</w:t>
      </w:r>
      <w:r w:rsidR="0024418F">
        <w:t xml:space="preserve"> to</w:t>
      </w:r>
      <w:r>
        <w:t xml:space="preserve">: </w:t>
      </w:r>
    </w:p>
    <w:p w14:paraId="1C640CF1" w14:textId="483DF0D1" w:rsidR="003E1630" w:rsidRPr="00C23B3E" w:rsidRDefault="00481651" w:rsidP="00DB6514">
      <w:pPr>
        <w:pStyle w:val="Bullet"/>
      </w:pPr>
      <w:r w:rsidRPr="00C23B3E">
        <w:t>build an understanding of exposure to climate</w:t>
      </w:r>
      <w:r w:rsidR="00963E59">
        <w:noBreakHyphen/>
      </w:r>
      <w:r w:rsidRPr="00C23B3E">
        <w:t>related risks and opportunities across upstream and downstream activities</w:t>
      </w:r>
    </w:p>
    <w:p w14:paraId="41C2A618" w14:textId="77777777" w:rsidR="003E1630" w:rsidRPr="00C23B3E" w:rsidRDefault="00481651" w:rsidP="00DB6514">
      <w:pPr>
        <w:pStyle w:val="Bullet"/>
      </w:pPr>
      <w:r w:rsidRPr="00C23B3E">
        <w:t>identify vulnerabilities and dependencies that may affect strategic resilience and financial performance</w:t>
      </w:r>
    </w:p>
    <w:p w14:paraId="65DAC4F1" w14:textId="4ECE3A05" w:rsidR="003E1630" w:rsidRPr="00C23B3E" w:rsidRDefault="00481651" w:rsidP="00DB6514">
      <w:pPr>
        <w:pStyle w:val="Bullet"/>
      </w:pPr>
      <w:r w:rsidRPr="00C23B3E">
        <w:t>influence how value chain partners align with the organisation</w:t>
      </w:r>
      <w:r w:rsidR="00963E59">
        <w:t>’</w:t>
      </w:r>
      <w:r w:rsidRPr="00C23B3E">
        <w:t>s strategic direction and transition planning objectives</w:t>
      </w:r>
    </w:p>
    <w:p w14:paraId="37580446" w14:textId="77777777" w:rsidR="003E1630" w:rsidRPr="00C23B3E" w:rsidRDefault="00481651" w:rsidP="00DB6514">
      <w:pPr>
        <w:pStyle w:val="Bullet"/>
      </w:pPr>
      <w:r w:rsidRPr="00C23B3E">
        <w:t>enhance data quality, innovation and collaboration</w:t>
      </w:r>
    </w:p>
    <w:p w14:paraId="59E76C22" w14:textId="5518942C" w:rsidR="00481651" w:rsidRPr="00C23B3E" w:rsidRDefault="00481651" w:rsidP="00DB6514">
      <w:pPr>
        <w:pStyle w:val="Bullet"/>
      </w:pPr>
      <w:r w:rsidRPr="00C23B3E">
        <w:t xml:space="preserve">identify where </w:t>
      </w:r>
      <w:r w:rsidR="00AB1F71" w:rsidRPr="00C23B3E">
        <w:t>s</w:t>
      </w:r>
      <w:r w:rsidRPr="00C23B3E">
        <w:t>cope 3 emissions are concentrated and work with partners to reduce value chain emissions</w:t>
      </w:r>
      <w:r w:rsidR="004C5713" w:rsidRPr="00C23B3E">
        <w:t>.</w:t>
      </w:r>
    </w:p>
    <w:p w14:paraId="1E61DE29" w14:textId="0B21631D" w:rsidR="00994B23" w:rsidRDefault="004D6BFC" w:rsidP="00746CB6">
      <w:r>
        <w:t>Organisations can benefit from sharing their transition</w:t>
      </w:r>
      <w:r w:rsidR="006F2F47">
        <w:t xml:space="preserve"> </w:t>
      </w:r>
      <w:r>
        <w:t xml:space="preserve">planning goals with </w:t>
      </w:r>
      <w:r w:rsidR="00C92FF1">
        <w:t>suppliers, customers and other value</w:t>
      </w:r>
      <w:r w:rsidR="00963E59">
        <w:noBreakHyphen/>
      </w:r>
      <w:r w:rsidR="00C92FF1">
        <w:t>chain partners</w:t>
      </w:r>
      <w:r w:rsidR="00994B23">
        <w:t xml:space="preserve">. It can help: </w:t>
      </w:r>
    </w:p>
    <w:p w14:paraId="2B9495F9" w14:textId="1B2FF353" w:rsidR="00994B23" w:rsidRPr="00EE3316" w:rsidRDefault="00DB5E02" w:rsidP="00DB6514">
      <w:pPr>
        <w:pStyle w:val="Bullet"/>
      </w:pPr>
      <w:r w:rsidRPr="00EE3316">
        <w:t>s</w:t>
      </w:r>
      <w:r w:rsidR="00994B23" w:rsidRPr="00EE3316">
        <w:t>et expectations for the future direction of the organisation, including improving its reputation</w:t>
      </w:r>
    </w:p>
    <w:p w14:paraId="7E4A4B71" w14:textId="478FB8D1" w:rsidR="00994B23" w:rsidRPr="00EE3316" w:rsidRDefault="00DB5E02" w:rsidP="00DB6514">
      <w:pPr>
        <w:pStyle w:val="Bullet"/>
      </w:pPr>
      <w:r w:rsidRPr="00EE3316">
        <w:t>e</w:t>
      </w:r>
      <w:r w:rsidR="00994B23" w:rsidRPr="00EE3316">
        <w:t>ncourage alignment of sustainability goals</w:t>
      </w:r>
    </w:p>
    <w:p w14:paraId="033D3407" w14:textId="2A762D2C" w:rsidR="00994B23" w:rsidRPr="00EE3316" w:rsidRDefault="00DB5E02" w:rsidP="00DB6514">
      <w:pPr>
        <w:pStyle w:val="Bullet"/>
      </w:pPr>
      <w:r w:rsidRPr="00EE3316">
        <w:t>c</w:t>
      </w:r>
      <w:r w:rsidR="00994B23" w:rsidRPr="00EE3316">
        <w:t>ollaboration to address shared risks and capitalise on opportunities.</w:t>
      </w:r>
    </w:p>
    <w:p w14:paraId="0CE0D4BA" w14:textId="0F8B7292" w:rsidR="0056127B" w:rsidRPr="00C23B3E" w:rsidRDefault="001D7A05" w:rsidP="00746CB6">
      <w:r w:rsidRPr="00D73DD0" w:rsidDel="007623B1">
        <w:t xml:space="preserve">For examples on </w:t>
      </w:r>
      <w:r w:rsidRPr="00D73DD0">
        <w:t>value</w:t>
      </w:r>
      <w:r w:rsidRPr="00D73DD0" w:rsidDel="007623B1">
        <w:t xml:space="preserve"> chain collaboration for scope </w:t>
      </w:r>
      <w:r w:rsidRPr="00D73DD0">
        <w:t xml:space="preserve">3 emissions, see </w:t>
      </w:r>
      <w:r>
        <w:t xml:space="preserve">the Australian Climate Leaders Coalition </w:t>
      </w:r>
      <w:hyperlink r:id="rId161">
        <w:r w:rsidRPr="002F7BA7">
          <w:rPr>
            <w:rStyle w:val="Hyperlink"/>
          </w:rPr>
          <w:t>Scope 3 Roadmap</w:t>
        </w:r>
      </w:hyperlink>
      <w:r w:rsidRPr="002F7BA7">
        <w:t>.</w:t>
      </w:r>
      <w:r w:rsidRPr="00AE5878">
        <w:rPr>
          <w:rStyle w:val="FootnoteReference"/>
        </w:rPr>
        <w:endnoteReference w:id="109"/>
      </w:r>
      <w:r w:rsidRPr="00AE5878" w:rsidDel="00ED0961">
        <w:rPr>
          <w:rStyle w:val="FootnoteReference"/>
        </w:rPr>
        <w:t xml:space="preserve"> </w:t>
      </w:r>
    </w:p>
    <w:p w14:paraId="7EB0B47D" w14:textId="0FF70ED7" w:rsidR="00994B23" w:rsidRDefault="00994B23" w:rsidP="003D40A2">
      <w:r>
        <w:t xml:space="preserve">When it comes to collaborating with </w:t>
      </w:r>
      <w:r w:rsidR="001011CF">
        <w:t>value</w:t>
      </w:r>
      <w:r w:rsidDel="0043663C">
        <w:t xml:space="preserve"> </w:t>
      </w:r>
      <w:r>
        <w:t xml:space="preserve">chain partners, it is important to consider competition law obligations. </w:t>
      </w:r>
      <w:r w:rsidR="00A11372">
        <w:t>F</w:t>
      </w:r>
      <w:r>
        <w:t xml:space="preserve">or more information see the </w:t>
      </w:r>
      <w:r w:rsidR="00E23940">
        <w:t>Australian Competition &amp; Consumer Commission</w:t>
      </w:r>
      <w:r w:rsidR="00963E59">
        <w:t>’</w:t>
      </w:r>
      <w:r w:rsidR="00E23940">
        <w:t>s</w:t>
      </w:r>
      <w:r w:rsidR="00EE3316">
        <w:t> </w:t>
      </w:r>
      <w:r w:rsidR="00E23940">
        <w:t>(ACCC)</w:t>
      </w:r>
      <w:r>
        <w:t xml:space="preserve"> </w:t>
      </w:r>
      <w:hyperlink r:id="rId162" w:history="1">
        <w:r w:rsidRPr="006E47EC">
          <w:rPr>
            <w:rStyle w:val="Hyperlink"/>
          </w:rPr>
          <w:t>Sustainability Collaborations and Competition Law Guide</w:t>
        </w:r>
      </w:hyperlink>
      <w:r>
        <w:t>.</w:t>
      </w:r>
      <w:r w:rsidR="003B3647" w:rsidRPr="00D0437C">
        <w:rPr>
          <w:rStyle w:val="FootnoteReference"/>
        </w:rPr>
        <w:endnoteReference w:id="110"/>
      </w:r>
      <w:r>
        <w:t xml:space="preserve"> This guidance helps organisations understand how they can collaborate on environmental and social sustainability initiatives without breaching competition laws. </w:t>
      </w:r>
    </w:p>
    <w:p w14:paraId="7F791B5C" w14:textId="77777777" w:rsidR="00994B23" w:rsidRDefault="00994B23" w:rsidP="00CA7800">
      <w:pPr>
        <w:pStyle w:val="Heading4"/>
      </w:pPr>
      <w:bookmarkStart w:id="242" w:name="Box32"/>
      <w:bookmarkEnd w:id="242"/>
      <w:r>
        <w:t>Engaging with investors and lenders</w:t>
      </w:r>
    </w:p>
    <w:p w14:paraId="641B8F1B" w14:textId="1553EE2E" w:rsidR="00994B23" w:rsidRDefault="00994B23" w:rsidP="00994B23">
      <w:r>
        <w:t xml:space="preserve">Investors and lenders are increasingly </w:t>
      </w:r>
      <w:r w:rsidR="00DB53AF">
        <w:t xml:space="preserve">referring </w:t>
      </w:r>
      <w:r>
        <w:t xml:space="preserve">to </w:t>
      </w:r>
      <w:r w:rsidR="00DB53AF">
        <w:t>organisations</w:t>
      </w:r>
      <w:r w:rsidR="00963E59">
        <w:t>’</w:t>
      </w:r>
      <w:r>
        <w:t xml:space="preserve"> transition planning activities and reporting </w:t>
      </w:r>
      <w:r w:rsidR="00DB53AF">
        <w:t>when assessing</w:t>
      </w:r>
      <w:r>
        <w:t xml:space="preserve"> business performance and resilience. This includes requirements </w:t>
      </w:r>
      <w:r w:rsidR="00DB53AF">
        <w:t xml:space="preserve">for </w:t>
      </w:r>
      <w:r>
        <w:t>transition plan</w:t>
      </w:r>
      <w:r w:rsidR="005D0416">
        <w:t xml:space="preserve">s </w:t>
      </w:r>
      <w:r w:rsidR="00F51FD2">
        <w:t>introduced</w:t>
      </w:r>
      <w:r>
        <w:t xml:space="preserve"> by </w:t>
      </w:r>
      <w:r w:rsidR="00F51FD2">
        <w:t xml:space="preserve">major </w:t>
      </w:r>
      <w:r>
        <w:t>Australian banks for certain sectors.</w:t>
      </w:r>
      <w:r w:rsidR="005A407C" w:rsidRPr="00D0437C">
        <w:rPr>
          <w:rStyle w:val="FootnoteReference"/>
        </w:rPr>
        <w:endnoteReference w:id="111"/>
      </w:r>
      <w:r>
        <w:t xml:space="preserve"> </w:t>
      </w:r>
    </w:p>
    <w:p w14:paraId="104DF439" w14:textId="22105118" w:rsidR="00994B23" w:rsidRDefault="00994B23" w:rsidP="00994B23">
      <w:r>
        <w:t xml:space="preserve">Organisations </w:t>
      </w:r>
      <w:r w:rsidR="005001E5">
        <w:t>may need</w:t>
      </w:r>
      <w:r>
        <w:t xml:space="preserve"> to proactively engage with their investors, shareholders and lenders to understand their information needs and present reliable information about the organisation</w:t>
      </w:r>
      <w:r w:rsidR="00963E59">
        <w:t>’</w:t>
      </w:r>
      <w:r>
        <w:t xml:space="preserve">s actions and how they align with climate </w:t>
      </w:r>
      <w:r w:rsidR="00251C76">
        <w:t xml:space="preserve">ambitions </w:t>
      </w:r>
      <w:r>
        <w:t xml:space="preserve">and </w:t>
      </w:r>
      <w:r w:rsidR="00525B1C">
        <w:t xml:space="preserve">its </w:t>
      </w:r>
      <w:r>
        <w:t>broader business strategy. This engagement can help support access to finance, such as sustainability</w:t>
      </w:r>
      <w:r w:rsidR="00963E59">
        <w:noBreakHyphen/>
      </w:r>
      <w:r>
        <w:t>linked loans.</w:t>
      </w:r>
    </w:p>
    <w:p w14:paraId="0D404082" w14:textId="0CE70894" w:rsidR="003854F6" w:rsidRDefault="00270F50" w:rsidP="003854F6">
      <w:r>
        <w:lastRenderedPageBreak/>
        <w:t>E</w:t>
      </w:r>
      <w:r w:rsidR="003854F6">
        <w:t>ngaging with investors and lenders on the transition planning process helps build trust and can help retain finance. It can give investors confidence about the credibility of the planning process, in particular governance structure, capital allocation and overall feasibility of the organisation</w:t>
      </w:r>
      <w:r w:rsidR="00963E59">
        <w:t>’</w:t>
      </w:r>
      <w:r w:rsidR="003854F6">
        <w:t>s strategy. This helps inform investors</w:t>
      </w:r>
      <w:r w:rsidR="00963E59">
        <w:t>’</w:t>
      </w:r>
      <w:r w:rsidR="003854F6">
        <w:t xml:space="preserve"> and lenders</w:t>
      </w:r>
      <w:r w:rsidR="00963E59">
        <w:t>’</w:t>
      </w:r>
      <w:r w:rsidR="003854F6">
        <w:t xml:space="preserve"> own risks and opportunit</w:t>
      </w:r>
      <w:r w:rsidR="00492606">
        <w:t>y</w:t>
      </w:r>
      <w:r w:rsidR="003854F6">
        <w:t xml:space="preserve"> assessments, manage their financial performance across the short</w:t>
      </w:r>
      <w:r w:rsidR="00963E59">
        <w:noBreakHyphen/>
      </w:r>
      <w:r w:rsidR="003854F6">
        <w:t>, medium and long</w:t>
      </w:r>
      <w:r w:rsidR="00963E59">
        <w:noBreakHyphen/>
      </w:r>
      <w:r w:rsidR="003854F6">
        <w:t>term and meet their own strategic ambitions.</w:t>
      </w:r>
    </w:p>
    <w:p w14:paraId="24171D46" w14:textId="50AE5E95" w:rsidR="003854F6" w:rsidRDefault="003854F6" w:rsidP="003854F6">
      <w:r>
        <w:t>Organisations can refer to Climateworks</w:t>
      </w:r>
      <w:r w:rsidR="00963E59">
        <w:t>’</w:t>
      </w:r>
      <w:r>
        <w:t xml:space="preserve"> </w:t>
      </w:r>
      <w:hyperlink r:id="rId163" w:history="1">
        <w:r w:rsidR="0012255D" w:rsidRPr="007C115D">
          <w:rPr>
            <w:rStyle w:val="Hyperlink"/>
          </w:rPr>
          <w:t>Guide to credibility for corporate climate transition plans</w:t>
        </w:r>
      </w:hyperlink>
      <w:r>
        <w:t xml:space="preserve"> for information on market expectations for transition plans.</w:t>
      </w:r>
    </w:p>
    <w:p w14:paraId="199EFA63" w14:textId="77777777" w:rsidR="00994B23" w:rsidRDefault="00994B23" w:rsidP="00CA7800">
      <w:pPr>
        <w:pStyle w:val="Heading4"/>
      </w:pPr>
      <w:r>
        <w:t>Engaging with consumers</w:t>
      </w:r>
    </w:p>
    <w:p w14:paraId="02F86CFA" w14:textId="1E62DCA1" w:rsidR="00994B23" w:rsidRDefault="00994B23" w:rsidP="00994B23">
      <w:r>
        <w:t>Organisations are responding to consumer demand for environmentally sustainable products and services, including through transition planning. This is leading to a shift in how products and services are produced, marketed and delivered.</w:t>
      </w:r>
    </w:p>
    <w:p w14:paraId="00901E20" w14:textId="0A601E8D" w:rsidR="00E10117" w:rsidRDefault="00E10117" w:rsidP="00E10117">
      <w:r>
        <w:t xml:space="preserve">Organisations </w:t>
      </w:r>
      <w:r w:rsidR="009E6963">
        <w:t xml:space="preserve">must </w:t>
      </w:r>
      <w:r>
        <w:t>comply with</w:t>
      </w:r>
      <w:r w:rsidRPr="1ED82880">
        <w:rPr>
          <w:rFonts w:eastAsia="Calibri Light" w:cs="Calibri Light"/>
        </w:rPr>
        <w:t xml:space="preserve"> </w:t>
      </w:r>
      <w:r>
        <w:t>Australian Consumer Law</w:t>
      </w:r>
      <w:r w:rsidR="009E6963">
        <w:t xml:space="preserve"> </w:t>
      </w:r>
      <w:r>
        <w:t xml:space="preserve">obligations where they engage with or make claims to consumers about their transition planning for the purposes of their product claims. This includes ensuring claims are true, clear and based on reasonable grounds so that consumers can understand communications and trust is built. </w:t>
      </w:r>
    </w:p>
    <w:p w14:paraId="19B3D2A9" w14:textId="6D8D52B2" w:rsidR="00E10117" w:rsidRDefault="00E10117" w:rsidP="00994B23">
      <w:r>
        <w:t xml:space="preserve">The ACCC is responsible for enforcing compliance with the </w:t>
      </w:r>
      <w:r w:rsidR="009E6963">
        <w:t>Australian Consumer Law</w:t>
      </w:r>
      <w:r w:rsidR="003768C3">
        <w:t>. It</w:t>
      </w:r>
      <w:r w:rsidDel="003768C3">
        <w:t xml:space="preserve"> </w:t>
      </w:r>
      <w:r>
        <w:t xml:space="preserve">developed the </w:t>
      </w:r>
      <w:r w:rsidRPr="00D73DD0">
        <w:t>Environmental Claims Guide</w:t>
      </w:r>
      <w:r>
        <w:t xml:space="preserve"> to help organisations understand their responsibilities under the </w:t>
      </w:r>
      <w:r w:rsidR="009E6963">
        <w:t xml:space="preserve">Australian Consumer Law </w:t>
      </w:r>
      <w:r>
        <w:t>when making consumer</w:t>
      </w:r>
      <w:r w:rsidR="00963E59">
        <w:noBreakHyphen/>
      </w:r>
      <w:r>
        <w:t>facing claims. Principle 8 of the guide specifically addresses making claims about an organisation</w:t>
      </w:r>
      <w:r w:rsidR="00963E59">
        <w:t>’</w:t>
      </w:r>
      <w:r>
        <w:t>s environmental sustainability transition.</w:t>
      </w:r>
    </w:p>
    <w:p w14:paraId="0F797177" w14:textId="13FE674D" w:rsidR="00994B23" w:rsidRDefault="00994B23" w:rsidP="00994B23">
      <w:r>
        <w:t>When deciding to make sustainability</w:t>
      </w:r>
      <w:r w:rsidR="00963E59">
        <w:noBreakHyphen/>
      </w:r>
      <w:r>
        <w:t>related claims</w:t>
      </w:r>
      <w:r w:rsidR="00DD5555">
        <w:t xml:space="preserve"> in relation to financial products</w:t>
      </w:r>
      <w:r>
        <w:t>, organisations</w:t>
      </w:r>
      <w:r w:rsidR="00EE3316">
        <w:t> </w:t>
      </w:r>
      <w:r>
        <w:t xml:space="preserve">should </w:t>
      </w:r>
      <w:r w:rsidRPr="003B1B65">
        <w:t>comply with</w:t>
      </w:r>
      <w:r w:rsidR="009E6963">
        <w:t xml:space="preserve">, </w:t>
      </w:r>
      <w:r>
        <w:t>and consider their obligations under</w:t>
      </w:r>
      <w:r w:rsidR="009E6963">
        <w:t>,</w:t>
      </w:r>
      <w:r>
        <w:t xml:space="preserve"> relevant legislation such as</w:t>
      </w:r>
      <w:r w:rsidR="00EE3316">
        <w:t> </w:t>
      </w:r>
      <w:r>
        <w:t xml:space="preserve">the </w:t>
      </w:r>
      <w:r w:rsidRPr="004B78A5">
        <w:t>Corporations</w:t>
      </w:r>
      <w:r w:rsidR="000A4B18" w:rsidRPr="004B78A5">
        <w:t> </w:t>
      </w:r>
      <w:r w:rsidRPr="004B78A5">
        <w:t>Act</w:t>
      </w:r>
      <w:r w:rsidRPr="006470BD">
        <w:t>.</w:t>
      </w:r>
      <w:r w:rsidR="00DA7A92">
        <w:t xml:space="preserve"> </w:t>
      </w:r>
      <w:r w:rsidR="002B7F74">
        <w:t>The Australian Securities and Investment Commission</w:t>
      </w:r>
      <w:r w:rsidR="00963E59">
        <w:t>’</w:t>
      </w:r>
      <w:r w:rsidR="002B7F74">
        <w:t>s</w:t>
      </w:r>
      <w:r w:rsidR="00A141BF">
        <w:t xml:space="preserve"> (ASIC)</w:t>
      </w:r>
      <w:r w:rsidR="00DA7A92">
        <w:t xml:space="preserve"> </w:t>
      </w:r>
      <w:hyperlink r:id="rId164" w:history="1">
        <w:r w:rsidR="00DA7A92" w:rsidRPr="006E47EC">
          <w:rPr>
            <w:rStyle w:val="Hyperlink"/>
          </w:rPr>
          <w:t>Information</w:t>
        </w:r>
        <w:r w:rsidR="007C115D" w:rsidRPr="006E47EC">
          <w:rPr>
            <w:rStyle w:val="Hyperlink"/>
          </w:rPr>
          <w:t> </w:t>
        </w:r>
        <w:r w:rsidR="00DA7A92" w:rsidRPr="006E47EC">
          <w:rPr>
            <w:rStyle w:val="Hyperlink"/>
          </w:rPr>
          <w:t>Sheet</w:t>
        </w:r>
        <w:r w:rsidR="00EE3316" w:rsidRPr="006E47EC">
          <w:rPr>
            <w:rStyle w:val="Hyperlink"/>
          </w:rPr>
          <w:t> </w:t>
        </w:r>
        <w:r w:rsidR="00DA7A92" w:rsidRPr="006E47EC">
          <w:rPr>
            <w:rStyle w:val="Hyperlink"/>
          </w:rPr>
          <w:t>271</w:t>
        </w:r>
      </w:hyperlink>
      <w:r w:rsidR="00DA7A92">
        <w:t xml:space="preserve"> provides </w:t>
      </w:r>
      <w:r w:rsidR="009E6963">
        <w:t xml:space="preserve">more </w:t>
      </w:r>
      <w:r w:rsidR="00DA7A92">
        <w:t>information.</w:t>
      </w:r>
    </w:p>
    <w:p w14:paraId="4AF8C198" w14:textId="66AD719A" w:rsidR="00994B23" w:rsidRDefault="00994B23" w:rsidP="00CA7800">
      <w:pPr>
        <w:pStyle w:val="Heading3"/>
      </w:pPr>
      <w:r>
        <w:t xml:space="preserve">Engaging with communities </w:t>
      </w:r>
    </w:p>
    <w:p w14:paraId="4427BD29" w14:textId="77777777" w:rsidR="00994B23" w:rsidRDefault="00994B23" w:rsidP="00CA7800">
      <w:pPr>
        <w:pStyle w:val="Heading4"/>
      </w:pPr>
      <w:r>
        <w:t>Local communities</w:t>
      </w:r>
    </w:p>
    <w:p w14:paraId="439098AC" w14:textId="00648635" w:rsidR="00994B23" w:rsidRDefault="00CD3487" w:rsidP="00994B23">
      <w:r>
        <w:t xml:space="preserve">Engagement is key to incorporating </w:t>
      </w:r>
      <w:r w:rsidR="00FE339E">
        <w:t>local</w:t>
      </w:r>
      <w:r>
        <w:t xml:space="preserve"> views and building</w:t>
      </w:r>
      <w:r w:rsidR="00FE339E">
        <w:t xml:space="preserve"> community</w:t>
      </w:r>
      <w:r>
        <w:t xml:space="preserve"> support.</w:t>
      </w:r>
      <w:r w:rsidR="009420C5">
        <w:t xml:space="preserve"> This is especially important w</w:t>
      </w:r>
      <w:r w:rsidR="00994B23">
        <w:t>here transition planning is likely to affect local</w:t>
      </w:r>
      <w:r w:rsidR="000E01B0">
        <w:t>s</w:t>
      </w:r>
      <w:r w:rsidR="00994B23" w:rsidDel="000E01B0">
        <w:t xml:space="preserve"> </w:t>
      </w:r>
      <w:r w:rsidR="00C42542">
        <w:t xml:space="preserve">or for </w:t>
      </w:r>
      <w:r w:rsidR="00CD523F">
        <w:t>organisations</w:t>
      </w:r>
      <w:r w:rsidR="00C213E6">
        <w:t xml:space="preserve"> who identified </w:t>
      </w:r>
      <w:r w:rsidR="00CD523F">
        <w:t>communit</w:t>
      </w:r>
      <w:r w:rsidR="0058555F">
        <w:t>y groups</w:t>
      </w:r>
      <w:r w:rsidR="000A33B7">
        <w:t xml:space="preserve"> </w:t>
      </w:r>
      <w:r w:rsidR="00CD523F">
        <w:t>as stakeholder</w:t>
      </w:r>
      <w:r w:rsidR="005F1037">
        <w:t>s</w:t>
      </w:r>
      <w:r w:rsidR="00CD523F">
        <w:t xml:space="preserve"> during </w:t>
      </w:r>
      <w:hyperlink w:anchor="Stage1" w:history="1">
        <w:r w:rsidR="00CD523F" w:rsidRPr="007C115D">
          <w:rPr>
            <w:rStyle w:val="Hyperlink"/>
          </w:rPr>
          <w:t>Stage 1</w:t>
        </w:r>
      </w:hyperlink>
      <w:r w:rsidR="00BB0D43">
        <w:t>.</w:t>
      </w:r>
    </w:p>
    <w:p w14:paraId="1D3DE2F7" w14:textId="03343A51" w:rsidR="00994B23" w:rsidRDefault="00994B23" w:rsidP="00994B23">
      <w:r>
        <w:t xml:space="preserve">Early and effective conversations with local communities fosters a shared understanding of local needs, challenges and opportunities relevant to the transition planning process. </w:t>
      </w:r>
    </w:p>
    <w:p w14:paraId="6A38E775" w14:textId="4C05466C" w:rsidR="00994B23" w:rsidRDefault="00BB0C2E" w:rsidP="00994B23">
      <w:r>
        <w:t>I</w:t>
      </w:r>
      <w:r w:rsidR="00994B23">
        <w:t>nsights gathered through engagement help</w:t>
      </w:r>
      <w:r w:rsidR="00AD554C">
        <w:t>s</w:t>
      </w:r>
      <w:r w:rsidR="00994B23">
        <w:t xml:space="preserve"> to build an understanding of the</w:t>
      </w:r>
      <w:r w:rsidR="00946688">
        <w:t xml:space="preserve"> community</w:t>
      </w:r>
      <w:r w:rsidR="00963E59">
        <w:t>’</w:t>
      </w:r>
      <w:r w:rsidR="00946688">
        <w:t>s</w:t>
      </w:r>
      <w:r w:rsidR="00994B23">
        <w:t xml:space="preserve"> capacity to </w:t>
      </w:r>
      <w:r w:rsidR="001F1ADB">
        <w:t xml:space="preserve">support or </w:t>
      </w:r>
      <w:r w:rsidR="00994B23">
        <w:t xml:space="preserve">manage the impacts of the </w:t>
      </w:r>
      <w:r w:rsidR="008228E7">
        <w:t>organisation</w:t>
      </w:r>
      <w:r w:rsidR="00963E59">
        <w:t>’</w:t>
      </w:r>
      <w:r w:rsidR="008F3A63">
        <w:t>s</w:t>
      </w:r>
      <w:r w:rsidR="008228E7">
        <w:t xml:space="preserve"> ambitions and actions</w:t>
      </w:r>
      <w:r w:rsidR="00DE4F22">
        <w:t xml:space="preserve">. </w:t>
      </w:r>
      <w:r w:rsidR="00DE4F13">
        <w:t xml:space="preserve">Engagement </w:t>
      </w:r>
      <w:r w:rsidR="00DE4F22">
        <w:t xml:space="preserve">also builds an understanding about </w:t>
      </w:r>
      <w:r w:rsidR="00994B23">
        <w:t>the community</w:t>
      </w:r>
      <w:r w:rsidR="00963E59">
        <w:t>’</w:t>
      </w:r>
      <w:r w:rsidR="00994B23">
        <w:t>s tolerance for possible trade</w:t>
      </w:r>
      <w:r w:rsidR="00963E59">
        <w:noBreakHyphen/>
      </w:r>
      <w:r w:rsidR="00994B23">
        <w:t xml:space="preserve">offs. </w:t>
      </w:r>
    </w:p>
    <w:p w14:paraId="24146985" w14:textId="6B67F54B" w:rsidR="00994B23" w:rsidRDefault="00994B23" w:rsidP="00994B23">
      <w:r>
        <w:t xml:space="preserve">It is beneficial for an organisation to share its goals with local communities so that there is ongoing </w:t>
      </w:r>
      <w:r w:rsidR="00B80B12">
        <w:t>understand</w:t>
      </w:r>
      <w:r w:rsidR="00A42D79">
        <w:t>ing</w:t>
      </w:r>
      <w:r w:rsidR="00B80B12">
        <w:t xml:space="preserve"> and support</w:t>
      </w:r>
      <w:r>
        <w:t xml:space="preserve"> of its activities</w:t>
      </w:r>
      <w:r w:rsidR="00DF3114">
        <w:t>.</w:t>
      </w:r>
      <w:r w:rsidR="004A43D2">
        <w:t xml:space="preserve"> </w:t>
      </w:r>
      <w:r w:rsidR="00DF3114">
        <w:t>This</w:t>
      </w:r>
      <w:r>
        <w:t xml:space="preserve"> helps ensure long</w:t>
      </w:r>
      <w:r w:rsidR="00963E59">
        <w:noBreakHyphen/>
      </w:r>
      <w:r>
        <w:t>term success, reduce operational risks and foster positive community relationships.</w:t>
      </w:r>
    </w:p>
    <w:p w14:paraId="21BF3D98" w14:textId="353FAB9C" w:rsidR="0056127B" w:rsidRDefault="001732F3" w:rsidP="00994B23">
      <w:hyperlink w:anchor="Box33" w:history="1">
        <w:r>
          <w:rPr>
            <w:rStyle w:val="Hyperlink"/>
          </w:rPr>
          <w:t>Box 25</w:t>
        </w:r>
      </w:hyperlink>
      <w:r w:rsidR="0056127B">
        <w:t xml:space="preserve"> includes additional resources to help with engaging local communities.</w:t>
      </w:r>
    </w:p>
    <w:tbl>
      <w:tblPr>
        <w:tblW w:w="5000" w:type="pct"/>
        <w:shd w:val="clear" w:color="auto" w:fill="F2F2F2"/>
        <w:tblCellMar>
          <w:top w:w="227" w:type="dxa"/>
          <w:left w:w="227" w:type="dxa"/>
          <w:bottom w:w="227" w:type="dxa"/>
          <w:right w:w="227" w:type="dxa"/>
        </w:tblCellMar>
        <w:tblLook w:val="0620" w:firstRow="1" w:lastRow="0" w:firstColumn="0" w:lastColumn="0" w:noHBand="1" w:noVBand="1"/>
      </w:tblPr>
      <w:tblGrid>
        <w:gridCol w:w="9070"/>
      </w:tblGrid>
      <w:tr w:rsidR="00C23B3E" w:rsidRPr="00963E59" w14:paraId="2FC3C8D7" w14:textId="77777777" w:rsidTr="00460C3E">
        <w:tc>
          <w:tcPr>
            <w:tcW w:w="5000" w:type="pct"/>
            <w:shd w:val="clear" w:color="auto" w:fill="F2F2F2"/>
            <w:hideMark/>
          </w:tcPr>
          <w:p w14:paraId="0912ECC7" w14:textId="3CFB02D3" w:rsidR="00C23B3E" w:rsidRPr="00963E59" w:rsidRDefault="00562807" w:rsidP="005D583B">
            <w:pPr>
              <w:pStyle w:val="BoxHeading"/>
            </w:pPr>
            <w:bookmarkStart w:id="243" w:name="Box33"/>
            <w:bookmarkStart w:id="244" w:name="_Toc237351158"/>
            <w:bookmarkStart w:id="245" w:name="_Toc233287127"/>
            <w:bookmarkEnd w:id="243"/>
            <w:r w:rsidRPr="00963E59">
              <w:lastRenderedPageBreak/>
              <w:t xml:space="preserve">Box </w:t>
            </w:r>
            <w:r w:rsidR="0084008F" w:rsidRPr="00963E59">
              <w:t>2</w:t>
            </w:r>
            <w:r w:rsidR="001732F3">
              <w:t>5</w:t>
            </w:r>
            <w:r w:rsidRPr="00963E59">
              <w:t xml:space="preserve">. </w:t>
            </w:r>
            <w:r w:rsidR="00C23B3E" w:rsidRPr="00963E59">
              <w:t>Supporting resources</w:t>
            </w:r>
            <w:r w:rsidR="001D02B2" w:rsidRPr="00963E59">
              <w:t xml:space="preserve"> for </w:t>
            </w:r>
            <w:r w:rsidR="00694E85" w:rsidRPr="00963E59">
              <w:t>engaging local communities</w:t>
            </w:r>
            <w:bookmarkEnd w:id="244"/>
            <w:bookmarkEnd w:id="245"/>
          </w:p>
          <w:p w14:paraId="1DF2AE10" w14:textId="7ADFC0E0" w:rsidR="00C23B3E" w:rsidRPr="00963E59" w:rsidRDefault="005918BF" w:rsidP="00DB6514">
            <w:pPr>
              <w:pStyle w:val="Boxbullet"/>
            </w:pPr>
            <w:r w:rsidRPr="00DB6514">
              <w:rPr>
                <w:b/>
                <w:bCs/>
              </w:rPr>
              <w:t>Australian Government</w:t>
            </w:r>
            <w:r w:rsidR="00C23B3E" w:rsidRPr="00DB6514">
              <w:rPr>
                <w:b/>
                <w:bCs/>
              </w:rPr>
              <w:t xml:space="preserve"> </w:t>
            </w:r>
            <w:hyperlink r:id="rId165">
              <w:r w:rsidR="00C23B3E" w:rsidRPr="00DB6514">
                <w:rPr>
                  <w:rStyle w:val="Hyperlink"/>
                  <w:b/>
                  <w:bCs/>
                  <w:szCs w:val="22"/>
                </w:rPr>
                <w:t>National Guidelines for Community Engagement and Benefits for Electricity Transmission Projects</w:t>
              </w:r>
            </w:hyperlink>
            <w:r w:rsidR="00C23B3E" w:rsidRPr="00963E59">
              <w:t>:</w:t>
            </w:r>
            <w:r w:rsidR="000234D9" w:rsidRPr="00963E59">
              <w:rPr>
                <w:rStyle w:val="FootnoteReference"/>
              </w:rPr>
              <w:endnoteReference w:id="112"/>
            </w:r>
            <w:r w:rsidR="00C23B3E" w:rsidRPr="00963E59">
              <w:t xml:space="preserve"> community engagement principles across </w:t>
            </w:r>
            <w:r w:rsidR="00D041E7" w:rsidRPr="00963E59">
              <w:t xml:space="preserve">4 </w:t>
            </w:r>
            <w:r w:rsidR="00C23B3E" w:rsidRPr="00963E59">
              <w:t xml:space="preserve">sectors. </w:t>
            </w:r>
          </w:p>
          <w:p w14:paraId="2132AA81" w14:textId="58A59F45" w:rsidR="00C23B3E" w:rsidRPr="00963E59" w:rsidRDefault="00C23B3E" w:rsidP="00DB6514">
            <w:pPr>
              <w:pStyle w:val="Boxbullet"/>
              <w:rPr>
                <w:lang w:eastAsia="en-US"/>
              </w:rPr>
            </w:pPr>
            <w:r w:rsidRPr="00DB6514">
              <w:rPr>
                <w:b/>
                <w:bCs/>
              </w:rPr>
              <w:t xml:space="preserve">Net Zero Economy Authority </w:t>
            </w:r>
            <w:r w:rsidR="001B1352" w:rsidRPr="00963E59">
              <w:t>Energy Industry Jobs Plan</w:t>
            </w:r>
            <w:r w:rsidRPr="00963E59">
              <w:t>: framework to help work with unions and agree on the supports workers need to transition to new opportunities.</w:t>
            </w:r>
          </w:p>
        </w:tc>
      </w:tr>
    </w:tbl>
    <w:p w14:paraId="13422E49" w14:textId="41C62864" w:rsidR="00994B23" w:rsidRDefault="00994B23" w:rsidP="00CA7800">
      <w:pPr>
        <w:pStyle w:val="Heading4"/>
      </w:pPr>
      <w:r>
        <w:t xml:space="preserve">First Nations </w:t>
      </w:r>
      <w:r w:rsidR="0052616E">
        <w:t>engagement and partnership</w:t>
      </w:r>
    </w:p>
    <w:p w14:paraId="0DBA5F73" w14:textId="02FF3428" w:rsidR="00A658EC" w:rsidRDefault="00D705F6" w:rsidP="00C23B3E">
      <w:r>
        <w:t xml:space="preserve">First Nations communities are </w:t>
      </w:r>
      <w:r w:rsidR="00592207">
        <w:t>essential leaders and partners</w:t>
      </w:r>
      <w:r>
        <w:t xml:space="preserve"> in Australia</w:t>
      </w:r>
      <w:r w:rsidR="00963E59">
        <w:t>’</w:t>
      </w:r>
      <w:r>
        <w:t>s transition to net zero</w:t>
      </w:r>
      <w:r w:rsidR="00592207">
        <w:t>.</w:t>
      </w:r>
      <w:r w:rsidR="003F095D">
        <w:t xml:space="preserve"> About </w:t>
      </w:r>
      <w:r>
        <w:t>70</w:t>
      </w:r>
      <w:r w:rsidR="00DE3864">
        <w:t xml:space="preserve"> per cent</w:t>
      </w:r>
      <w:r>
        <w:t xml:space="preserve"> of </w:t>
      </w:r>
      <w:r w:rsidR="00ED6427">
        <w:t>Australia</w:t>
      </w:r>
      <w:r w:rsidR="00963E59">
        <w:t>’</w:t>
      </w:r>
      <w:r w:rsidR="00ED6427">
        <w:t>s land and waters are owned, managed or co</w:t>
      </w:r>
      <w:r w:rsidR="00963E59">
        <w:noBreakHyphen/>
      </w:r>
      <w:r w:rsidR="00ED6427">
        <w:t>managed by First</w:t>
      </w:r>
      <w:r w:rsidR="00EE3316">
        <w:t> </w:t>
      </w:r>
      <w:r w:rsidR="00ED6427">
        <w:t xml:space="preserve">Nations </w:t>
      </w:r>
      <w:r w:rsidR="00181355">
        <w:t>p</w:t>
      </w:r>
      <w:r w:rsidR="00ED6427">
        <w:t>eoples</w:t>
      </w:r>
      <w:r w:rsidR="003F095D">
        <w:t>,</w:t>
      </w:r>
      <w:r w:rsidR="00ED6427">
        <w:t xml:space="preserve"> and/or</w:t>
      </w:r>
      <w:r w:rsidR="007415C1">
        <w:t xml:space="preserve"> are</w:t>
      </w:r>
      <w:r w:rsidR="00ED6427">
        <w:t xml:space="preserve"> subject to other rights and interest</w:t>
      </w:r>
      <w:r w:rsidR="007415C1">
        <w:t>s</w:t>
      </w:r>
      <w:r w:rsidR="003F095D">
        <w:t>,</w:t>
      </w:r>
      <w:r w:rsidR="00ED6427">
        <w:t xml:space="preserve"> including </w:t>
      </w:r>
      <w:r w:rsidR="00592207">
        <w:t>N</w:t>
      </w:r>
      <w:r w:rsidR="00ED6427">
        <w:t xml:space="preserve">ative </w:t>
      </w:r>
      <w:r w:rsidR="00592207">
        <w:t>T</w:t>
      </w:r>
      <w:r w:rsidR="00ED6427">
        <w:t>itle.</w:t>
      </w:r>
      <w:r w:rsidR="005C7174" w:rsidRPr="00D0437C">
        <w:rPr>
          <w:rStyle w:val="FootnoteReference"/>
        </w:rPr>
        <w:endnoteReference w:id="113"/>
      </w:r>
      <w:r w:rsidR="00ED6427" w:rsidRPr="000234D9">
        <w:rPr>
          <w:szCs w:val="22"/>
        </w:rPr>
        <w:t xml:space="preserve"> </w:t>
      </w:r>
    </w:p>
    <w:p w14:paraId="52A365BA" w14:textId="3DDF4F25" w:rsidR="006B2C8A" w:rsidRDefault="00ED6427" w:rsidP="00C23B3E">
      <w:r>
        <w:t xml:space="preserve">The </w:t>
      </w:r>
      <w:hyperlink r:id="rId166" w:history="1">
        <w:r w:rsidRPr="006E47EC">
          <w:rPr>
            <w:rStyle w:val="Hyperlink"/>
          </w:rPr>
          <w:t>Net Zero Plan</w:t>
        </w:r>
      </w:hyperlink>
      <w:r>
        <w:t xml:space="preserve"> includes a dedicated chapter on First Nations leadership in the transition.</w:t>
      </w:r>
      <w:r w:rsidR="00994B23">
        <w:t xml:space="preserve"> First</w:t>
      </w:r>
      <w:r w:rsidR="00EE3316">
        <w:t> </w:t>
      </w:r>
      <w:r w:rsidR="00994B23">
        <w:t>Nations peoples</w:t>
      </w:r>
      <w:r w:rsidR="00EF1B7F">
        <w:t xml:space="preserve"> bring deep cultural and ecological knowledge that has sustained Country for tens</w:t>
      </w:r>
      <w:r w:rsidR="00EE3316">
        <w:t> </w:t>
      </w:r>
      <w:r w:rsidR="00EF1B7F">
        <w:t>of thousands of years.</w:t>
      </w:r>
      <w:r w:rsidR="00994B23">
        <w:t xml:space="preserve"> </w:t>
      </w:r>
      <w:r w:rsidR="007F2EDD">
        <w:t xml:space="preserve">First Nations leadership can help </w:t>
      </w:r>
      <w:r w:rsidR="004A541F">
        <w:t xml:space="preserve">shape transition planning and already makes important contributions to climate change responses, </w:t>
      </w:r>
      <w:r w:rsidR="00994B23">
        <w:t xml:space="preserve">such as First Nations carbon sequestration projects across Australia that are reducing emissions, creating meaningful jobs on Country and empowering communities. </w:t>
      </w:r>
    </w:p>
    <w:p w14:paraId="45D84FEA" w14:textId="7690BDF4" w:rsidR="00994B23" w:rsidRDefault="00994B23" w:rsidP="00C23B3E">
      <w:r>
        <w:t>Working in genuine partnership with Traditional Owners and First Nations communities</w:t>
      </w:r>
      <w:r w:rsidR="004A541F">
        <w:t xml:space="preserve"> ensures that transition planning reflects their knowledge and aspirations </w:t>
      </w:r>
      <w:r w:rsidR="00E06DF3">
        <w:t xml:space="preserve">and that communities share in the economic benefits of the transition. </w:t>
      </w:r>
      <w:r w:rsidR="004F4D4E">
        <w:t>Benefit sharing</w:t>
      </w:r>
      <w:r w:rsidR="004F4D4E" w:rsidDel="000D5F33">
        <w:t xml:space="preserve"> </w:t>
      </w:r>
      <w:r w:rsidR="004F4D4E">
        <w:t>can provide ongoing remuneration to communities</w:t>
      </w:r>
      <w:r w:rsidR="000D5F33">
        <w:t xml:space="preserve"> </w:t>
      </w:r>
      <w:r w:rsidR="000D5F33" w:rsidRPr="000D5F33">
        <w:t>and income to Traditional Owner groups through negotiated agreements and commercial partnerships</w:t>
      </w:r>
      <w:r w:rsidR="004F4D4E">
        <w:t xml:space="preserve">. </w:t>
      </w:r>
    </w:p>
    <w:p w14:paraId="599419EF" w14:textId="63CA4CB0" w:rsidR="002C5599" w:rsidRDefault="002C5599" w:rsidP="000B22B5">
      <w:r>
        <w:t>It</w:t>
      </w:r>
      <w:r w:rsidR="00D97A99">
        <w:t xml:space="preserve"> is important that </w:t>
      </w:r>
      <w:r w:rsidR="00994B23">
        <w:t>organisations</w:t>
      </w:r>
      <w:r>
        <w:t>:</w:t>
      </w:r>
    </w:p>
    <w:p w14:paraId="64551B59" w14:textId="334C8149" w:rsidR="002C5599" w:rsidRDefault="00994B23" w:rsidP="00DB6514">
      <w:pPr>
        <w:pStyle w:val="Bullet"/>
      </w:pPr>
      <w:r>
        <w:t>have genuine intentions</w:t>
      </w:r>
    </w:p>
    <w:p w14:paraId="36B7E90E" w14:textId="72F3A201" w:rsidR="002C5599" w:rsidRDefault="00E119D8" w:rsidP="00DB6514">
      <w:pPr>
        <w:pStyle w:val="Bullet"/>
      </w:pPr>
      <w:r>
        <w:t xml:space="preserve">demonstrate </w:t>
      </w:r>
      <w:r w:rsidR="00994B23">
        <w:t>clear reasons for the engagement</w:t>
      </w:r>
    </w:p>
    <w:p w14:paraId="2D0C2559" w14:textId="5F6EBF90" w:rsidR="002C5599" w:rsidRDefault="00994B23" w:rsidP="00DB6514">
      <w:pPr>
        <w:pStyle w:val="Bullet"/>
      </w:pPr>
      <w:r>
        <w:t>take a culturally respectful approach</w:t>
      </w:r>
      <w:r w:rsidR="00C55509">
        <w:t xml:space="preserve"> that considers holistic and interconnected perspectives related to Country</w:t>
      </w:r>
      <w:r>
        <w:t>.</w:t>
      </w:r>
      <w:r w:rsidR="00C55509">
        <w:t xml:space="preserve"> </w:t>
      </w:r>
    </w:p>
    <w:p w14:paraId="40BBF4D1" w14:textId="444BABE4" w:rsidR="00D760FF" w:rsidRDefault="00173167" w:rsidP="000B22B5">
      <w:r>
        <w:t>The</w:t>
      </w:r>
      <w:r w:rsidR="00C55509">
        <w:t xml:space="preserve"> </w:t>
      </w:r>
      <w:hyperlink r:id="rId167" w:history="1">
        <w:r w:rsidR="00C55509" w:rsidRPr="007C115D">
          <w:rPr>
            <w:rStyle w:val="Hyperlink"/>
          </w:rPr>
          <w:t>First Nations Economic Partnership Agreement</w:t>
        </w:r>
      </w:hyperlink>
      <w:r w:rsidR="00C55509" w:rsidRPr="00D0437C" w:rsidDel="00BE270E">
        <w:rPr>
          <w:rStyle w:val="FootnoteReference"/>
        </w:rPr>
        <w:endnoteReference w:id="114"/>
      </w:r>
      <w:r w:rsidR="00C55509">
        <w:t xml:space="preserve"> </w:t>
      </w:r>
      <w:r>
        <w:t xml:space="preserve">outlines how the Australian Government will </w:t>
      </w:r>
      <w:r w:rsidR="00644B12">
        <w:t>advance the economic empowerment and lasting economic security for First Nations peoples, communities and organisations</w:t>
      </w:r>
      <w:r w:rsidR="00C55509">
        <w:t>.</w:t>
      </w:r>
      <w:r w:rsidR="00994B23">
        <w:t xml:space="preserve"> Building a mutually beneficial approach takes time and can place resourcing and financial pressure on the community and individuals. </w:t>
      </w:r>
      <w:r w:rsidR="007B1E5D">
        <w:t>Early e</w:t>
      </w:r>
      <w:r w:rsidR="001D3D9F">
        <w:t>ngagement</w:t>
      </w:r>
      <w:r w:rsidR="001D3D9F" w:rsidDel="0053461B">
        <w:t xml:space="preserve"> </w:t>
      </w:r>
      <w:r w:rsidR="001D3D9F">
        <w:t>minimises burden</w:t>
      </w:r>
      <w:r w:rsidR="00255C88">
        <w:t xml:space="preserve"> and </w:t>
      </w:r>
      <w:r w:rsidR="0061413A">
        <w:t xml:space="preserve">supports </w:t>
      </w:r>
      <w:r w:rsidR="0053461B">
        <w:t xml:space="preserve">the </w:t>
      </w:r>
      <w:r w:rsidR="0061413A">
        <w:t>community</w:t>
      </w:r>
      <w:r w:rsidR="00963E59">
        <w:t>’</w:t>
      </w:r>
      <w:r w:rsidR="0053461B">
        <w:t>s</w:t>
      </w:r>
      <w:r w:rsidR="0061413A">
        <w:t xml:space="preserve"> capacity </w:t>
      </w:r>
      <w:r w:rsidR="004C496F">
        <w:t>to engage</w:t>
      </w:r>
      <w:r w:rsidR="0053461B">
        <w:t>. It</w:t>
      </w:r>
      <w:r w:rsidR="0061413A" w:rsidDel="0053461B">
        <w:t xml:space="preserve"> </w:t>
      </w:r>
      <w:r w:rsidR="0061413A">
        <w:t>provides a genuine opportunity for partnership.</w:t>
      </w:r>
    </w:p>
    <w:p w14:paraId="73FE0C01" w14:textId="64D9E8CE" w:rsidR="005B0533" w:rsidRDefault="004113E0" w:rsidP="000B22B5">
      <w:r>
        <w:t>Organisations may refer to t</w:t>
      </w:r>
      <w:r w:rsidR="00994B23">
        <w:t xml:space="preserve">he </w:t>
      </w:r>
      <w:hyperlink r:id="rId168" w:history="1">
        <w:r w:rsidR="65EFEAE3" w:rsidRPr="006E47EC">
          <w:rPr>
            <w:rStyle w:val="Hyperlink"/>
          </w:rPr>
          <w:t>Australian</w:t>
        </w:r>
        <w:r w:rsidR="7B96EB70" w:rsidRPr="006E47EC">
          <w:rPr>
            <w:rStyle w:val="Hyperlink"/>
          </w:rPr>
          <w:t xml:space="preserve"> Sustainable Finance</w:t>
        </w:r>
        <w:r w:rsidR="65EFEAE3" w:rsidRPr="006E47EC">
          <w:rPr>
            <w:rStyle w:val="Hyperlink"/>
          </w:rPr>
          <w:t xml:space="preserve"> Taxonomy</w:t>
        </w:r>
        <w:r w:rsidR="00963E59" w:rsidRPr="006E47EC">
          <w:rPr>
            <w:rStyle w:val="Hyperlink"/>
          </w:rPr>
          <w:t>’</w:t>
        </w:r>
        <w:r w:rsidR="65EFEAE3" w:rsidRPr="006E47EC">
          <w:rPr>
            <w:rStyle w:val="Hyperlink"/>
          </w:rPr>
          <w:t>s</w:t>
        </w:r>
      </w:hyperlink>
      <w:r w:rsidR="00994B23">
        <w:t xml:space="preserve"> </w:t>
      </w:r>
      <w:r w:rsidR="00B514AD">
        <w:t>Minimum Social Safeguards</w:t>
      </w:r>
      <w:r w:rsidR="00994B23">
        <w:t xml:space="preserve"> criteria</w:t>
      </w:r>
      <w:r w:rsidR="006050A3">
        <w:t>. These</w:t>
      </w:r>
      <w:r w:rsidR="00994B23">
        <w:t xml:space="preserve"> aim to ensure organisation</w:t>
      </w:r>
      <w:r w:rsidR="006050A3">
        <w:t>s</w:t>
      </w:r>
      <w:r w:rsidR="00994B23">
        <w:t xml:space="preserve"> engaging in taxonomy</w:t>
      </w:r>
      <w:r w:rsidR="00963E59">
        <w:noBreakHyphen/>
      </w:r>
      <w:r w:rsidR="00994B23">
        <w:t>aligned activities adhere to social protections and standards including to First Nations peoples</w:t>
      </w:r>
      <w:r w:rsidR="00963E59">
        <w:t>’</w:t>
      </w:r>
      <w:r w:rsidR="00994B23">
        <w:t xml:space="preserve"> cultural rights and heritage (Table</w:t>
      </w:r>
      <w:r w:rsidR="00D0437C">
        <w:t> </w:t>
      </w:r>
      <w:r w:rsidR="006C089E">
        <w:t>1).</w:t>
      </w:r>
      <w:r w:rsidR="00F94865">
        <w:t xml:space="preserve"> </w:t>
      </w:r>
      <w:hyperlink w:anchor="Box34" w:history="1">
        <w:r w:rsidR="004A018F">
          <w:rPr>
            <w:rStyle w:val="Hyperlink"/>
          </w:rPr>
          <w:t>Box 26</w:t>
        </w:r>
      </w:hyperlink>
      <w:r w:rsidR="00F94865">
        <w:t xml:space="preserve"> includes additional resources to assist with First Nations engagement and partnership.</w:t>
      </w:r>
    </w:p>
    <w:p w14:paraId="74186C60" w14:textId="4E4FA6BD" w:rsidR="006D6256" w:rsidRDefault="006D6256">
      <w:pPr>
        <w:spacing w:before="0" w:after="160" w:line="259" w:lineRule="auto"/>
      </w:pPr>
      <w:r>
        <w:br w:type="page"/>
      </w:r>
    </w:p>
    <w:p w14:paraId="75473061" w14:textId="2550C6C2" w:rsidR="00994B23" w:rsidRPr="00E84266" w:rsidRDefault="00994B23" w:rsidP="00E20AC5">
      <w:pPr>
        <w:pStyle w:val="TableMainHeading"/>
        <w:keepLines/>
        <w:rPr>
          <w:u w:val="single"/>
        </w:rPr>
      </w:pPr>
      <w:r>
        <w:lastRenderedPageBreak/>
        <w:t>Table</w:t>
      </w:r>
      <w:r w:rsidRPr="00BB1883">
        <w:t xml:space="preserve"> </w:t>
      </w:r>
      <w:r w:rsidR="006C089E">
        <w:t>1</w:t>
      </w:r>
      <w:r w:rsidRPr="00BB1883">
        <w:t xml:space="preserve">: </w:t>
      </w:r>
      <w:r w:rsidRPr="0071049C">
        <w:t>Australian Taxonomy</w:t>
      </w:r>
      <w:r w:rsidR="00963E59">
        <w:t>’</w:t>
      </w:r>
      <w:r w:rsidRPr="0071049C">
        <w:t>s Minimum Social Safeguard criteria</w:t>
      </w:r>
    </w:p>
    <w:tbl>
      <w:tblPr>
        <w:tblStyle w:val="TableGrid"/>
        <w:tblW w:w="0" w:type="auto"/>
        <w:tblBorders>
          <w:top w:val="single" w:sz="4" w:space="0" w:color="2C384A" w:themeColor="accent1"/>
          <w:left w:val="single" w:sz="4" w:space="0" w:color="2C384A" w:themeColor="accent1"/>
          <w:bottom w:val="single" w:sz="4" w:space="0" w:color="2C384A" w:themeColor="accent1"/>
          <w:right w:val="single" w:sz="4" w:space="0" w:color="2C384A" w:themeColor="accent1"/>
          <w:insideH w:val="single" w:sz="4" w:space="0" w:color="2C384A" w:themeColor="accent1"/>
          <w:insideV w:val="single" w:sz="4" w:space="0" w:color="2C384A" w:themeColor="accent1"/>
        </w:tblBorders>
        <w:tblLook w:val="04A0" w:firstRow="1" w:lastRow="0" w:firstColumn="1" w:lastColumn="0" w:noHBand="0" w:noVBand="1"/>
      </w:tblPr>
      <w:tblGrid>
        <w:gridCol w:w="4530"/>
        <w:gridCol w:w="4530"/>
      </w:tblGrid>
      <w:tr w:rsidR="00D650B5" w:rsidRPr="00963E59" w14:paraId="68E00F08" w14:textId="77777777" w:rsidTr="00C23B3E">
        <w:trPr>
          <w:cnfStyle w:val="100000000000" w:firstRow="1" w:lastRow="0" w:firstColumn="0" w:lastColumn="0" w:oddVBand="0" w:evenVBand="0" w:oddHBand="0" w:evenHBand="0" w:firstRowFirstColumn="0" w:firstRowLastColumn="0" w:lastRowFirstColumn="0" w:lastRowLastColumn="0"/>
        </w:trPr>
        <w:tc>
          <w:tcPr>
            <w:tcW w:w="4536" w:type="dxa"/>
          </w:tcPr>
          <w:p w14:paraId="4717DD0B" w14:textId="77777777" w:rsidR="00994B23" w:rsidRPr="00963E59" w:rsidRDefault="00994B23" w:rsidP="00C23B3E">
            <w:pPr>
              <w:pStyle w:val="TableColumnHeadingLeft"/>
              <w:rPr>
                <w:b/>
                <w:bCs/>
              </w:rPr>
            </w:pPr>
            <w:r w:rsidRPr="00963E59">
              <w:rPr>
                <w:b/>
                <w:bCs/>
              </w:rPr>
              <w:t>First Nations rights</w:t>
            </w:r>
          </w:p>
        </w:tc>
        <w:tc>
          <w:tcPr>
            <w:tcW w:w="4536" w:type="dxa"/>
          </w:tcPr>
          <w:p w14:paraId="7987C6BC" w14:textId="77777777" w:rsidR="00994B23" w:rsidRPr="00963E59" w:rsidRDefault="00994B23" w:rsidP="00C23B3E">
            <w:pPr>
              <w:pStyle w:val="TableColumnHeadingLeft"/>
              <w:rPr>
                <w:b/>
                <w:bCs/>
              </w:rPr>
            </w:pPr>
            <w:r w:rsidRPr="00963E59">
              <w:rPr>
                <w:b/>
                <w:bCs/>
              </w:rPr>
              <w:t>First Nations cultural heritage</w:t>
            </w:r>
          </w:p>
        </w:tc>
      </w:tr>
      <w:tr w:rsidR="00994B23" w:rsidRPr="00963E59" w14:paraId="2FFDE336" w14:textId="77777777" w:rsidTr="00C23B3E">
        <w:tc>
          <w:tcPr>
            <w:tcW w:w="4536" w:type="dxa"/>
          </w:tcPr>
          <w:p w14:paraId="76ADA61B" w14:textId="77777777" w:rsidR="00994B23" w:rsidRPr="00963E59" w:rsidRDefault="00994B23" w:rsidP="00C23B3E">
            <w:pPr>
              <w:pStyle w:val="TableTextLeft"/>
            </w:pPr>
            <w:r w:rsidRPr="00963E59">
              <w:t>The entity recognises the rights of First Nations in line with the United Nations Declaration on the Rights of Indigenous Peoples (UNDRIP) and implements policies and processes to respect and support those rights.</w:t>
            </w:r>
          </w:p>
          <w:p w14:paraId="7ECA51D7" w14:textId="77777777" w:rsidR="00994B23" w:rsidRPr="00963E59" w:rsidRDefault="00994B23" w:rsidP="00C23B3E">
            <w:pPr>
              <w:pStyle w:val="TableTextLeft"/>
            </w:pPr>
            <w:r w:rsidRPr="00963E59">
              <w:t>The entity implements processes to assess, record and report on potential and actual impacts on First Nations through its operations.</w:t>
            </w:r>
          </w:p>
          <w:p w14:paraId="32B2A502" w14:textId="77777777" w:rsidR="00994B23" w:rsidRPr="00963E59" w:rsidRDefault="00994B23" w:rsidP="00C23B3E">
            <w:pPr>
              <w:pStyle w:val="TableTextLeft"/>
            </w:pPr>
            <w:r w:rsidRPr="00963E59">
              <w:t xml:space="preserve">The entity agrees on appropriate First Nations engagement practices in collaboration or co-design with First Nations in line with the UNDRIP principle of Free, Prior and Informed Consent. </w:t>
            </w:r>
          </w:p>
        </w:tc>
        <w:tc>
          <w:tcPr>
            <w:tcW w:w="4536" w:type="dxa"/>
          </w:tcPr>
          <w:p w14:paraId="0A7119F8" w14:textId="77777777" w:rsidR="00994B23" w:rsidRPr="00963E59" w:rsidRDefault="00994B23" w:rsidP="00C23B3E">
            <w:pPr>
              <w:pStyle w:val="TableTextLeft"/>
            </w:pPr>
            <w:r w:rsidRPr="00963E59">
              <w:t>The entity implements processes to investigate, record and manage cultural heritage within its operations in collaboration or co-design with First Nations.</w:t>
            </w:r>
          </w:p>
        </w:tc>
      </w:tr>
    </w:tbl>
    <w:p w14:paraId="44C3B767" w14:textId="77777777" w:rsidR="002879D3" w:rsidRDefault="002879D3" w:rsidP="00D64CEC">
      <w:pPr>
        <w:pStyle w:val="SingleParagraph"/>
      </w:pPr>
    </w:p>
    <w:tbl>
      <w:tblPr>
        <w:tblW w:w="5000" w:type="pct"/>
        <w:shd w:val="clear" w:color="auto" w:fill="F2F2F2"/>
        <w:tblCellMar>
          <w:top w:w="227" w:type="dxa"/>
          <w:left w:w="227" w:type="dxa"/>
          <w:bottom w:w="227" w:type="dxa"/>
          <w:right w:w="227" w:type="dxa"/>
        </w:tblCellMar>
        <w:tblLook w:val="0620" w:firstRow="1" w:lastRow="0" w:firstColumn="0" w:lastColumn="0" w:noHBand="1" w:noVBand="1"/>
      </w:tblPr>
      <w:tblGrid>
        <w:gridCol w:w="9070"/>
      </w:tblGrid>
      <w:tr w:rsidR="00C23B3E" w:rsidRPr="00963E59" w14:paraId="35293F37" w14:textId="77777777" w:rsidTr="00460C3E">
        <w:tc>
          <w:tcPr>
            <w:tcW w:w="5000" w:type="pct"/>
            <w:shd w:val="clear" w:color="auto" w:fill="F2F2F2"/>
            <w:hideMark/>
          </w:tcPr>
          <w:p w14:paraId="30EF9A5C" w14:textId="5858F5AB" w:rsidR="00C23B3E" w:rsidRPr="00963E59" w:rsidRDefault="00562807" w:rsidP="00E964D5">
            <w:pPr>
              <w:pStyle w:val="BoxHeading"/>
            </w:pPr>
            <w:bookmarkStart w:id="246" w:name="Box34"/>
            <w:bookmarkStart w:id="247" w:name="_Toc237351159"/>
            <w:bookmarkStart w:id="248" w:name="_Toc233287128"/>
            <w:bookmarkEnd w:id="246"/>
            <w:r w:rsidRPr="00963E59">
              <w:t xml:space="preserve">Box </w:t>
            </w:r>
            <w:r w:rsidR="0084008F" w:rsidRPr="00963E59">
              <w:t>2</w:t>
            </w:r>
            <w:r w:rsidR="004A018F">
              <w:t>6</w:t>
            </w:r>
            <w:r w:rsidRPr="00963E59">
              <w:t xml:space="preserve">. </w:t>
            </w:r>
            <w:r w:rsidR="00C23B3E" w:rsidRPr="00963E59">
              <w:t>Supporting resources</w:t>
            </w:r>
            <w:r w:rsidR="00A17C93" w:rsidRPr="00963E59">
              <w:t xml:space="preserve"> for </w:t>
            </w:r>
            <w:r w:rsidR="008D559C" w:rsidRPr="00963E59">
              <w:t>First Nations engagement and partnership</w:t>
            </w:r>
            <w:bookmarkEnd w:id="247"/>
            <w:bookmarkEnd w:id="248"/>
          </w:p>
          <w:p w14:paraId="6FBA3E1C" w14:textId="59663D19" w:rsidR="004A53E0" w:rsidRPr="00963E59" w:rsidRDefault="004A53E0" w:rsidP="00DB6514">
            <w:pPr>
              <w:pStyle w:val="Boxbullet"/>
            </w:pPr>
            <w:r w:rsidRPr="00DB6514">
              <w:rPr>
                <w:b/>
                <w:bCs/>
              </w:rPr>
              <w:t xml:space="preserve">Australian Government </w:t>
            </w:r>
            <w:hyperlink r:id="rId169">
              <w:r w:rsidRPr="00DB6514">
                <w:rPr>
                  <w:rStyle w:val="Hyperlink"/>
                  <w:b/>
                  <w:bCs/>
                  <w:szCs w:val="22"/>
                </w:rPr>
                <w:t>National Agreement on Closing the Gap</w:t>
              </w:r>
            </w:hyperlink>
            <w:r w:rsidRPr="00DB6514">
              <w:rPr>
                <w:b/>
                <w:bCs/>
              </w:rPr>
              <w:t>:</w:t>
            </w:r>
            <w:r w:rsidRPr="00963E59" w:rsidDel="008D559C">
              <w:rPr>
                <w:rStyle w:val="FootnoteReference"/>
              </w:rPr>
              <w:endnoteReference w:id="115"/>
            </w:r>
            <w:r w:rsidRPr="00DB6514">
              <w:rPr>
                <w:rStyle w:val="FootnoteReference"/>
                <w:sz w:val="22"/>
                <w:szCs w:val="22"/>
              </w:rPr>
              <w:t xml:space="preserve"> </w:t>
            </w:r>
            <w:r w:rsidRPr="00963E59">
              <w:t>priority reforms and socio-</w:t>
            </w:r>
            <w:r w:rsidR="002A7AE0" w:rsidRPr="00963E59">
              <w:t>‍</w:t>
            </w:r>
            <w:r w:rsidRPr="00963E59">
              <w:t xml:space="preserve">economic targets for improving outcomes for First Nations </w:t>
            </w:r>
            <w:r w:rsidR="0037032B" w:rsidRPr="00963E59">
              <w:t>p</w:t>
            </w:r>
            <w:r w:rsidRPr="00963E59">
              <w:t>eoples. Organisations can consider where they may be able to contribute to priority reforms and/or targets and can refer to the guidance on implementing actions that are in line with priority reforms.</w:t>
            </w:r>
          </w:p>
          <w:p w14:paraId="56EDA498" w14:textId="79CA740E" w:rsidR="004A53E0" w:rsidRPr="00963E59" w:rsidRDefault="006925EC" w:rsidP="00DB6514">
            <w:pPr>
              <w:pStyle w:val="Boxbullet"/>
            </w:pPr>
            <w:r w:rsidRPr="00DB6514">
              <w:rPr>
                <w:b/>
                <w:bCs/>
              </w:rPr>
              <w:t>Australian Government</w:t>
            </w:r>
            <w:r w:rsidR="004A53E0" w:rsidRPr="00DB6514">
              <w:rPr>
                <w:b/>
                <w:bCs/>
              </w:rPr>
              <w:t xml:space="preserve"> </w:t>
            </w:r>
            <w:hyperlink r:id="rId170" w:history="1">
              <w:r w:rsidR="004A53E0" w:rsidRPr="00DB6514">
                <w:rPr>
                  <w:rStyle w:val="Hyperlink"/>
                  <w:b/>
                  <w:bCs/>
                  <w:szCs w:val="22"/>
                </w:rPr>
                <w:t>First Nations Clean Energy Strategy</w:t>
              </w:r>
            </w:hyperlink>
            <w:r w:rsidR="004A53E0" w:rsidRPr="00963E59">
              <w:t>: guidance to create equitable partnerships with First Nations groups and identify opportunities for their leadership and involvement in clean energy projects.</w:t>
            </w:r>
          </w:p>
          <w:p w14:paraId="75D02EC3" w14:textId="681794A4" w:rsidR="004A53E0" w:rsidRPr="00963E59" w:rsidRDefault="004A53E0" w:rsidP="00DB6514">
            <w:pPr>
              <w:pStyle w:val="Boxbullet"/>
            </w:pPr>
            <w:r w:rsidRPr="00DB6514">
              <w:rPr>
                <w:b/>
                <w:bCs/>
                <w:spacing w:val="-1"/>
              </w:rPr>
              <w:t xml:space="preserve">The First Nations Heritage Protection Alliance </w:t>
            </w:r>
            <w:hyperlink r:id="rId171">
              <w:r w:rsidRPr="00DB6514">
                <w:rPr>
                  <w:rStyle w:val="Hyperlink"/>
                  <w:b/>
                  <w:bCs/>
                  <w:spacing w:val="-1"/>
                  <w:szCs w:val="22"/>
                </w:rPr>
                <w:t>Dhawura Ngilan Business and Investor Guides</w:t>
              </w:r>
            </w:hyperlink>
            <w:r w:rsidRPr="00DB6514" w:rsidDel="008D559C">
              <w:rPr>
                <w:b/>
                <w:bCs/>
                <w:spacing w:val="-1"/>
              </w:rPr>
              <w:t>:</w:t>
            </w:r>
            <w:r w:rsidRPr="00963E59" w:rsidDel="008D559C">
              <w:rPr>
                <w:rStyle w:val="FootnoteReference"/>
                <w:spacing w:val="-1"/>
              </w:rPr>
              <w:endnoteReference w:id="116"/>
            </w:r>
            <w:r w:rsidRPr="00963E59">
              <w:t xml:space="preserve"> </w:t>
            </w:r>
            <w:r w:rsidR="003C321A" w:rsidRPr="00963E59">
              <w:t xml:space="preserve">advice on </w:t>
            </w:r>
            <w:r w:rsidRPr="00963E59">
              <w:t>embed</w:t>
            </w:r>
            <w:r w:rsidR="003C321A" w:rsidRPr="00963E59">
              <w:t>ding</w:t>
            </w:r>
            <w:r w:rsidRPr="00963E59">
              <w:t xml:space="preserve"> First Nations-led cultural heritage protection in business and investment practices.</w:t>
            </w:r>
          </w:p>
          <w:p w14:paraId="30653183" w14:textId="169E180A" w:rsidR="00C23B3E" w:rsidRPr="00963E59" w:rsidRDefault="004A53E0" w:rsidP="00DB6514">
            <w:pPr>
              <w:pStyle w:val="Boxbullet"/>
              <w:rPr>
                <w:lang w:eastAsia="en-US"/>
              </w:rPr>
            </w:pPr>
            <w:r w:rsidRPr="00DB6514">
              <w:rPr>
                <w:b/>
                <w:bCs/>
              </w:rPr>
              <w:t xml:space="preserve">The First Nations Clean Energy Network </w:t>
            </w:r>
            <w:hyperlink r:id="rId172">
              <w:r w:rsidRPr="00DB6514">
                <w:rPr>
                  <w:rStyle w:val="Hyperlink"/>
                  <w:b/>
                  <w:bCs/>
                  <w:szCs w:val="22"/>
                </w:rPr>
                <w:t>guides</w:t>
              </w:r>
            </w:hyperlink>
            <w:r w:rsidRPr="00963E59">
              <w:t>:</w:t>
            </w:r>
            <w:r w:rsidR="000234D9" w:rsidRPr="00963E59" w:rsidDel="008D559C">
              <w:rPr>
                <w:rStyle w:val="FootnoteReference"/>
              </w:rPr>
              <w:endnoteReference w:id="117"/>
            </w:r>
            <w:r w:rsidRPr="00963E59">
              <w:rPr>
                <w:rStyle w:val="FootnoteReference"/>
              </w:rPr>
              <w:t xml:space="preserve"> </w:t>
            </w:r>
            <w:r w:rsidR="00BE270E" w:rsidRPr="00963E59">
              <w:t>advice on</w:t>
            </w:r>
            <w:r w:rsidRPr="00963E59">
              <w:t xml:space="preserve"> engag</w:t>
            </w:r>
            <w:r w:rsidR="00BE270E" w:rsidRPr="00963E59">
              <w:t>ing</w:t>
            </w:r>
            <w:r w:rsidRPr="00963E59">
              <w:t xml:space="preserve"> with First</w:t>
            </w:r>
            <w:r w:rsidR="00B76B43">
              <w:t> </w:t>
            </w:r>
            <w:r w:rsidRPr="00963E59">
              <w:t>Nations peoples, including for clean energy projects.</w:t>
            </w:r>
          </w:p>
        </w:tc>
      </w:tr>
    </w:tbl>
    <w:p w14:paraId="3A025739" w14:textId="0DE3A519" w:rsidR="00994B23" w:rsidRDefault="00994B23" w:rsidP="00CA7800">
      <w:pPr>
        <w:pStyle w:val="Heading3"/>
      </w:pPr>
      <w:r>
        <w:t>Engaging with industry peers</w:t>
      </w:r>
    </w:p>
    <w:p w14:paraId="06D8FFED" w14:textId="77777777" w:rsidR="00994B23" w:rsidRDefault="00994B23" w:rsidP="00994B23">
      <w:r>
        <w:t>Industry collaboration on climate challenges and opportunities allows organisations to:</w:t>
      </w:r>
    </w:p>
    <w:p w14:paraId="4DDECEE2" w14:textId="7BEC2F91" w:rsidR="00994B23" w:rsidRPr="004A53E0" w:rsidRDefault="00CE6B43" w:rsidP="00DB6514">
      <w:pPr>
        <w:pStyle w:val="Bullet"/>
      </w:pPr>
      <w:r w:rsidRPr="004A53E0">
        <w:t>s</w:t>
      </w:r>
      <w:r w:rsidR="00994B23" w:rsidRPr="004A53E0">
        <w:t xml:space="preserve">hare lessons learned and </w:t>
      </w:r>
      <w:r w:rsidR="00A17C93">
        <w:t>remain</w:t>
      </w:r>
      <w:r w:rsidR="00A17C93" w:rsidRPr="004A53E0">
        <w:t xml:space="preserve"> </w:t>
      </w:r>
      <w:r w:rsidR="00994B23" w:rsidRPr="004A53E0">
        <w:t>up to date on best practices</w:t>
      </w:r>
    </w:p>
    <w:p w14:paraId="77B39F3F" w14:textId="4BEFBAC3" w:rsidR="00994B23" w:rsidRPr="004A53E0" w:rsidRDefault="00CE6B43" w:rsidP="00DB6514">
      <w:pPr>
        <w:pStyle w:val="Bullet"/>
      </w:pPr>
      <w:r w:rsidRPr="004A53E0">
        <w:t>s</w:t>
      </w:r>
      <w:r w:rsidR="00994B23" w:rsidRPr="004A53E0">
        <w:t xml:space="preserve">upport peers who are engaging in their own climate transitions </w:t>
      </w:r>
    </w:p>
    <w:p w14:paraId="40F12A59" w14:textId="77B0F621" w:rsidR="00994B23" w:rsidRPr="004A53E0" w:rsidRDefault="00CE6B43" w:rsidP="00DB6514">
      <w:pPr>
        <w:pStyle w:val="Bullet"/>
      </w:pPr>
      <w:r w:rsidRPr="004A53E0">
        <w:t>s</w:t>
      </w:r>
      <w:r w:rsidR="00994B23" w:rsidRPr="004A53E0">
        <w:t xml:space="preserve">upport climate solutions at a greater speed and scale </w:t>
      </w:r>
    </w:p>
    <w:p w14:paraId="7EF278E9" w14:textId="79527185" w:rsidR="00994B23" w:rsidRPr="004A53E0" w:rsidRDefault="00CE6B43" w:rsidP="00DB6514">
      <w:pPr>
        <w:pStyle w:val="Bullet"/>
      </w:pPr>
      <w:r w:rsidRPr="004A53E0">
        <w:t>s</w:t>
      </w:r>
      <w:r w:rsidR="00994B23" w:rsidRPr="004A53E0">
        <w:t>end positive signals to stakeholders, as it shows active engagement towards enabling an economy</w:t>
      </w:r>
      <w:r w:rsidR="00963E59">
        <w:noBreakHyphen/>
      </w:r>
      <w:r w:rsidR="00994B23" w:rsidRPr="004A53E0">
        <w:t>wide transition and a climate</w:t>
      </w:r>
      <w:r w:rsidR="00963E59">
        <w:noBreakHyphen/>
      </w:r>
      <w:r w:rsidR="00994B23" w:rsidRPr="004A53E0">
        <w:t>resilient future</w:t>
      </w:r>
      <w:r w:rsidRPr="004A53E0">
        <w:t>.</w:t>
      </w:r>
    </w:p>
    <w:p w14:paraId="37158805" w14:textId="7E8266E9" w:rsidR="00994B23" w:rsidRDefault="00994B23" w:rsidP="00994B23">
      <w:r>
        <w:t>Organisations may collaborate with industry group</w:t>
      </w:r>
      <w:r w:rsidR="008D559C">
        <w:t>s</w:t>
      </w:r>
      <w:r>
        <w:t xml:space="preserve"> such as industry associations, not</w:t>
      </w:r>
      <w:r w:rsidR="00963E59">
        <w:noBreakHyphen/>
      </w:r>
      <w:r>
        <w:t>for</w:t>
      </w:r>
      <w:r w:rsidR="00963E59">
        <w:noBreakHyphen/>
      </w:r>
      <w:r>
        <w:t xml:space="preserve">profit organisations, charities and government bodies. </w:t>
      </w:r>
      <w:r w:rsidR="00782211">
        <w:t xml:space="preserve">Collaborating </w:t>
      </w:r>
      <w:r>
        <w:t>with industry peers</w:t>
      </w:r>
      <w:r w:rsidR="007E46EE">
        <w:t xml:space="preserve"> and </w:t>
      </w:r>
      <w:r w:rsidR="00782211">
        <w:t>across</w:t>
      </w:r>
      <w:r w:rsidR="007E46EE">
        <w:t xml:space="preserve"> shared value chains</w:t>
      </w:r>
      <w:r>
        <w:t xml:space="preserve"> </w:t>
      </w:r>
      <w:r w:rsidR="00782211">
        <w:t xml:space="preserve">helps organisations set </w:t>
      </w:r>
      <w:r w:rsidR="00F40C59">
        <w:t xml:space="preserve">more consistent goals </w:t>
      </w:r>
      <w:r>
        <w:t xml:space="preserve">and transition </w:t>
      </w:r>
      <w:r w:rsidR="00F40C59">
        <w:t>more quickly</w:t>
      </w:r>
      <w:r>
        <w:t xml:space="preserve"> and efficiently. Once developed, sharing these goals may </w:t>
      </w:r>
      <w:r w:rsidR="00F40C59">
        <w:t>further enhance</w:t>
      </w:r>
      <w:r>
        <w:t xml:space="preserve"> knowledge </w:t>
      </w:r>
      <w:r w:rsidR="007414B2">
        <w:t>exchange</w:t>
      </w:r>
      <w:r>
        <w:t xml:space="preserve"> and </w:t>
      </w:r>
      <w:r w:rsidR="007414B2">
        <w:t xml:space="preserve">help </w:t>
      </w:r>
      <w:r>
        <w:t>drive systemic change.</w:t>
      </w:r>
    </w:p>
    <w:p w14:paraId="500FE794" w14:textId="643B77BC" w:rsidR="00994B23" w:rsidRDefault="00994B23" w:rsidP="00994B23">
      <w:r>
        <w:lastRenderedPageBreak/>
        <w:t>Before collaborating with industry peers, organisations should be aware of obligations to comply with Australia</w:t>
      </w:r>
      <w:r w:rsidR="00963E59">
        <w:t>’</w:t>
      </w:r>
      <w:r>
        <w:t xml:space="preserve">s competition law. For more information see the </w:t>
      </w:r>
      <w:r w:rsidRPr="000144BF">
        <w:t>ACCC</w:t>
      </w:r>
      <w:r w:rsidR="00963E59">
        <w:t>’</w:t>
      </w:r>
      <w:r w:rsidRPr="000144BF">
        <w:t xml:space="preserve">s </w:t>
      </w:r>
      <w:r w:rsidR="003B3647" w:rsidRPr="0002638D">
        <w:t>Sustainability Collaborations and Australian Competition Law guide</w:t>
      </w:r>
      <w:r>
        <w:t>.</w:t>
      </w:r>
    </w:p>
    <w:p w14:paraId="4E23AACA" w14:textId="1C7058A7" w:rsidR="001E1AC6" w:rsidRDefault="005B2C9A" w:rsidP="00994B23">
      <w:r w:rsidRPr="008C15C5" w:rsidDel="00375C8A">
        <w:t xml:space="preserve">The </w:t>
      </w:r>
      <w:r w:rsidDel="00375C8A">
        <w:t>TPT</w:t>
      </w:r>
      <w:r w:rsidRPr="008C15C5" w:rsidDel="00375C8A">
        <w:t xml:space="preserve"> </w:t>
      </w:r>
      <w:hyperlink r:id="rId173" w:history="1">
        <w:r w:rsidRPr="006E47EC">
          <w:rPr>
            <w:rStyle w:val="Hyperlink"/>
          </w:rPr>
          <w:t>Disclosure Framework</w:t>
        </w:r>
      </w:hyperlink>
      <w:r w:rsidR="00F82CC6" w:rsidRPr="00D0437C">
        <w:rPr>
          <w:rStyle w:val="FootnoteReference"/>
        </w:rPr>
        <w:endnoteReference w:id="118"/>
      </w:r>
      <w:r>
        <w:t xml:space="preserve"> </w:t>
      </w:r>
      <w:r w:rsidR="00D56C83">
        <w:t>re</w:t>
      </w:r>
      <w:r w:rsidR="00980E5E">
        <w:t>cognise</w:t>
      </w:r>
      <w:r w:rsidR="00915F24">
        <w:t>s</w:t>
      </w:r>
      <w:r w:rsidR="00980E5E">
        <w:t xml:space="preserve"> that </w:t>
      </w:r>
      <w:r w:rsidR="00550C4D">
        <w:t xml:space="preserve">guidance </w:t>
      </w:r>
      <w:r w:rsidR="00AB7E37">
        <w:t>on transition planning should not be</w:t>
      </w:r>
      <w:r>
        <w:t xml:space="preserve"> understood to require the disclosure of commercially sensitive information. </w:t>
      </w:r>
      <w:r w:rsidRPr="008C15C5" w:rsidDel="00375C8A">
        <w:t>Where commercial sensitivit</w:t>
      </w:r>
      <w:r w:rsidR="001A4810">
        <w:t xml:space="preserve">ies </w:t>
      </w:r>
      <w:r w:rsidR="006054A5" w:rsidRPr="008C15C5" w:rsidDel="00375C8A">
        <w:t>arise</w:t>
      </w:r>
      <w:r w:rsidRPr="008C15C5" w:rsidDel="00375C8A">
        <w:t xml:space="preserve">, organisations </w:t>
      </w:r>
      <w:r>
        <w:t>can</w:t>
      </w:r>
      <w:r w:rsidRPr="008C15C5" w:rsidDel="00375C8A">
        <w:t xml:space="preserve"> communicate transition planning at an appropriate level of aggregation</w:t>
      </w:r>
      <w:r w:rsidR="001A4810">
        <w:t xml:space="preserve">, focusing on </w:t>
      </w:r>
      <w:r w:rsidRPr="008C15C5" w:rsidDel="00375C8A">
        <w:t>the overall direction of travel, governance arrangements and decision</w:t>
      </w:r>
      <w:r w:rsidR="00963E59">
        <w:noBreakHyphen/>
      </w:r>
      <w:r w:rsidRPr="008C15C5" w:rsidDel="00375C8A">
        <w:t>making processes</w:t>
      </w:r>
      <w:r w:rsidR="00722BE2">
        <w:t xml:space="preserve">, </w:t>
      </w:r>
      <w:r w:rsidR="00722BE2" w:rsidRPr="00722BE2">
        <w:t>rather than detailed or proprietary information.</w:t>
      </w:r>
    </w:p>
    <w:p w14:paraId="0D3408B6" w14:textId="76DB0563" w:rsidR="00994B23" w:rsidRDefault="00994B23" w:rsidP="00CA7800">
      <w:pPr>
        <w:pStyle w:val="Heading3"/>
      </w:pPr>
      <w:r>
        <w:t xml:space="preserve">Engaging with government and policymakers </w:t>
      </w:r>
    </w:p>
    <w:p w14:paraId="2A261EBB" w14:textId="0000996B" w:rsidR="006B14F3" w:rsidRDefault="006B14F3" w:rsidP="00994B23">
      <w:r w:rsidRPr="006B14F3">
        <w:t xml:space="preserve">Engagement with government may be relevant where the success of a transition plan is influenced by policy or regulatory settings. </w:t>
      </w:r>
      <w:r w:rsidR="000327CC">
        <w:t xml:space="preserve">Across </w:t>
      </w:r>
      <w:r w:rsidR="000327CC" w:rsidRPr="006B14F3">
        <w:t xml:space="preserve">federal, state and territory levels </w:t>
      </w:r>
      <w:r w:rsidR="000327CC">
        <w:t>in</w:t>
      </w:r>
      <w:r w:rsidRPr="006B14F3">
        <w:t xml:space="preserve"> Australia, climate</w:t>
      </w:r>
      <w:r w:rsidR="00963E59">
        <w:noBreakHyphen/>
      </w:r>
      <w:r w:rsidRPr="006B14F3">
        <w:t xml:space="preserve">related policies are </w:t>
      </w:r>
      <w:r w:rsidR="000327CC">
        <w:t xml:space="preserve">typically </w:t>
      </w:r>
      <w:r w:rsidRPr="006B14F3">
        <w:t>developed through formal consultation processes. Participation in these processes can provide an opportunity for organisations to share information on transition</w:t>
      </w:r>
      <w:r w:rsidR="00963E59">
        <w:noBreakHyphen/>
      </w:r>
      <w:r w:rsidRPr="006B14F3">
        <w:t>related risks, dependencies and implementation considerations.</w:t>
      </w:r>
    </w:p>
    <w:p w14:paraId="29837D52" w14:textId="3050F925" w:rsidR="00994B23" w:rsidRPr="002A7AE0" w:rsidRDefault="009E21C9" w:rsidP="00994B23">
      <w:r w:rsidRPr="002A7AE0">
        <w:t>T</w:t>
      </w:r>
      <w:r w:rsidR="003728D9" w:rsidRPr="002A7AE0">
        <w:t>he</w:t>
      </w:r>
      <w:r w:rsidR="003728D9" w:rsidRPr="002A7AE0" w:rsidDel="00EE6A2E">
        <w:t xml:space="preserve"> </w:t>
      </w:r>
      <w:hyperlink r:id="rId174" w:history="1">
        <w:r w:rsidR="003728D9" w:rsidRPr="007C115D">
          <w:rPr>
            <w:rStyle w:val="Hyperlink"/>
          </w:rPr>
          <w:t>Australian Public Service Framework for Engagement and Participation</w:t>
        </w:r>
      </w:hyperlink>
      <w:r w:rsidR="008A651E" w:rsidRPr="00D0437C">
        <w:rPr>
          <w:rStyle w:val="FootnoteReference"/>
        </w:rPr>
        <w:endnoteReference w:id="119"/>
      </w:r>
      <w:r w:rsidR="003728D9" w:rsidRPr="002A7AE0">
        <w:t xml:space="preserve"> provides </w:t>
      </w:r>
      <w:r w:rsidR="000727B2" w:rsidRPr="002A7AE0">
        <w:t xml:space="preserve">its </w:t>
      </w:r>
      <w:r w:rsidR="003728D9" w:rsidRPr="002A7AE0">
        <w:t>overarching</w:t>
      </w:r>
      <w:r w:rsidR="00557981" w:rsidRPr="002A7AE0">
        <w:t xml:space="preserve"> consultation</w:t>
      </w:r>
      <w:r w:rsidR="003728D9" w:rsidRPr="002A7AE0">
        <w:t xml:space="preserve"> framework for </w:t>
      </w:r>
      <w:r w:rsidR="007571BF" w:rsidRPr="002A7AE0">
        <w:t>engagement with the Australian Government on policy</w:t>
      </w:r>
      <w:r w:rsidR="003728D9" w:rsidRPr="002A7AE0">
        <w:t xml:space="preserve">. It is complemented by integrity and transparency </w:t>
      </w:r>
      <w:r w:rsidR="00D52D13" w:rsidRPr="002A7AE0">
        <w:t>requirements</w:t>
      </w:r>
      <w:r w:rsidR="003728D9" w:rsidRPr="002A7AE0">
        <w:t xml:space="preserve">, including the </w:t>
      </w:r>
      <w:hyperlink r:id="rId175" w:history="1">
        <w:r w:rsidR="00E9556D" w:rsidRPr="006E47EC">
          <w:rPr>
            <w:rStyle w:val="Hyperlink"/>
          </w:rPr>
          <w:t>Lobbying Code of Conduct</w:t>
        </w:r>
      </w:hyperlink>
      <w:r w:rsidR="0005007D" w:rsidRPr="00D0437C">
        <w:rPr>
          <w:rStyle w:val="FootnoteReference"/>
        </w:rPr>
        <w:endnoteReference w:id="120"/>
      </w:r>
      <w:r w:rsidR="003728D9" w:rsidRPr="002A7AE0">
        <w:t xml:space="preserve"> </w:t>
      </w:r>
      <w:r w:rsidR="00B00E85" w:rsidRPr="002A7AE0">
        <w:t xml:space="preserve">and the </w:t>
      </w:r>
      <w:hyperlink r:id="rId176" w:history="1">
        <w:r w:rsidR="00B00E85" w:rsidRPr="002A7AE0">
          <w:rPr>
            <w:rStyle w:val="Hyperlink"/>
          </w:rPr>
          <w:t>Foreign</w:t>
        </w:r>
        <w:r w:rsidR="002A7AE0" w:rsidRPr="002A7AE0">
          <w:rPr>
            <w:rStyle w:val="Hyperlink"/>
          </w:rPr>
          <w:t> </w:t>
        </w:r>
        <w:r w:rsidR="00B00E85" w:rsidRPr="002A7AE0">
          <w:rPr>
            <w:rStyle w:val="Hyperlink"/>
          </w:rPr>
          <w:t>Influence Transparency Scheme</w:t>
        </w:r>
      </w:hyperlink>
      <w:r w:rsidR="0005007D" w:rsidRPr="00D0437C">
        <w:rPr>
          <w:rStyle w:val="FootnoteReference"/>
        </w:rPr>
        <w:endnoteReference w:id="121"/>
      </w:r>
      <w:r w:rsidR="008A73C5" w:rsidRPr="002A7AE0">
        <w:t xml:space="preserve"> which are</w:t>
      </w:r>
      <w:r w:rsidR="00B00E85" w:rsidRPr="002A7AE0">
        <w:t xml:space="preserve"> </w:t>
      </w:r>
      <w:r w:rsidR="003728D9" w:rsidRPr="002A7AE0">
        <w:t>administered by the Attorney</w:t>
      </w:r>
      <w:r w:rsidR="00963E59">
        <w:noBreakHyphen/>
      </w:r>
      <w:r w:rsidR="003728D9" w:rsidRPr="002A7AE0">
        <w:t>General</w:t>
      </w:r>
      <w:r w:rsidR="00963E59">
        <w:rPr>
          <w:rFonts w:cs="Calibri Light"/>
        </w:rPr>
        <w:t>’</w:t>
      </w:r>
      <w:r w:rsidR="003728D9" w:rsidRPr="002A7AE0">
        <w:t>s</w:t>
      </w:r>
      <w:r w:rsidR="002A7AE0">
        <w:t> </w:t>
      </w:r>
      <w:r w:rsidR="003728D9" w:rsidRPr="002A7AE0">
        <w:t>Department, as well as portfolio</w:t>
      </w:r>
      <w:r w:rsidR="00963E59">
        <w:noBreakHyphen/>
      </w:r>
      <w:r w:rsidR="003728D9" w:rsidRPr="002A7AE0">
        <w:t>specific consultation guidance where relevant</w:t>
      </w:r>
      <w:r w:rsidR="00377144" w:rsidRPr="002A7AE0">
        <w:t>.</w:t>
      </w:r>
    </w:p>
    <w:p w14:paraId="6CD8D1DD" w14:textId="48D80B1D" w:rsidR="00E46DAF" w:rsidRDefault="00994B23" w:rsidP="002A7AE0">
      <w:pPr>
        <w:pStyle w:val="Heading2Numbered"/>
      </w:pPr>
      <w:bookmarkStart w:id="249" w:name="_Toc224906891"/>
      <w:bookmarkStart w:id="250" w:name="_Toc224916523"/>
      <w:bookmarkStart w:id="251" w:name="_Toc232776364"/>
      <w:bookmarkEnd w:id="217"/>
      <w:bookmarkEnd w:id="218"/>
      <w:bookmarkEnd w:id="219"/>
      <w:r>
        <w:t xml:space="preserve">Integrate </w:t>
      </w:r>
      <w:r w:rsidR="00E83DBD" w:rsidRPr="002A7AE0">
        <w:t>strategic</w:t>
      </w:r>
      <w:r w:rsidR="00E83DBD">
        <w:t xml:space="preserve"> ambitions and actions</w:t>
      </w:r>
      <w:r>
        <w:t xml:space="preserve"> into business</w:t>
      </w:r>
      <w:r w:rsidR="00C7405D">
        <w:t xml:space="preserve"> </w:t>
      </w:r>
      <w:r w:rsidR="002A7AE0">
        <w:tab/>
      </w:r>
      <w:r w:rsidR="00C7405D">
        <w:t>strategy</w:t>
      </w:r>
      <w:r>
        <w:t xml:space="preserve"> and financial plans</w:t>
      </w:r>
      <w:bookmarkEnd w:id="249"/>
      <w:bookmarkEnd w:id="250"/>
      <w:bookmarkEnd w:id="251"/>
    </w:p>
    <w:p w14:paraId="5BAB8198" w14:textId="5D3661F9" w:rsidR="002735FC" w:rsidRDefault="00282567" w:rsidP="006C089E">
      <w:r>
        <w:t>Good practice resources</w:t>
      </w:r>
      <w:r w:rsidR="00B62196">
        <w:t>,</w:t>
      </w:r>
      <w:r>
        <w:t xml:space="preserve"> such as the TPT Transition Planning Cycle</w:t>
      </w:r>
      <w:r w:rsidR="00B62196">
        <w:t>,</w:t>
      </w:r>
      <w:r>
        <w:t xml:space="preserve"> </w:t>
      </w:r>
      <w:r w:rsidR="00754B74">
        <w:t xml:space="preserve">encourage </w:t>
      </w:r>
      <w:r>
        <w:t>o</w:t>
      </w:r>
      <w:r w:rsidR="00C83B97">
        <w:t>rganisations</w:t>
      </w:r>
      <w:r w:rsidR="00AE62FB" w:rsidDel="009131E4">
        <w:t xml:space="preserve"> </w:t>
      </w:r>
      <w:r w:rsidR="00754B74">
        <w:t>to</w:t>
      </w:r>
      <w:r w:rsidR="00BF5548">
        <w:t xml:space="preserve"> </w:t>
      </w:r>
      <w:r w:rsidR="00AE62FB">
        <w:t xml:space="preserve">integrate their </w:t>
      </w:r>
      <w:r w:rsidR="00E83DBD">
        <w:t>strategic ambitions and actions</w:t>
      </w:r>
      <w:r w:rsidR="00AE62FB">
        <w:t xml:space="preserve"> into their broader business strategy as </w:t>
      </w:r>
      <w:r w:rsidR="006506A8">
        <w:t>transition planning</w:t>
      </w:r>
      <w:r w:rsidR="00AE62FB">
        <w:t xml:space="preserve"> will likely entail a whole</w:t>
      </w:r>
      <w:r w:rsidR="00963E59">
        <w:noBreakHyphen/>
      </w:r>
      <w:r w:rsidR="00AE62FB">
        <w:t>of</w:t>
      </w:r>
      <w:r w:rsidR="00963E59">
        <w:noBreakHyphen/>
      </w:r>
      <w:r w:rsidR="00AE62FB">
        <w:t xml:space="preserve">organisation transformation. In doing so, organisations </w:t>
      </w:r>
      <w:r w:rsidR="009F4A50">
        <w:t xml:space="preserve">may need </w:t>
      </w:r>
      <w:r w:rsidR="00AE62FB">
        <w:t>to</w:t>
      </w:r>
      <w:r w:rsidR="00C637B7">
        <w:t xml:space="preserve"> incorporate</w:t>
      </w:r>
      <w:r w:rsidR="00AE62FB">
        <w:t xml:space="preserve"> their </w:t>
      </w:r>
      <w:r w:rsidR="00C748F4">
        <w:t>actions</w:t>
      </w:r>
      <w:r w:rsidR="00AE62FB">
        <w:t xml:space="preserve"> into </w:t>
      </w:r>
      <w:r w:rsidR="00185387">
        <w:t xml:space="preserve">their </w:t>
      </w:r>
      <w:r w:rsidR="00AE62FB">
        <w:t xml:space="preserve">financial </w:t>
      </w:r>
      <w:r w:rsidR="00736825" w:rsidDel="00A42A7F">
        <w:t xml:space="preserve">planning </w:t>
      </w:r>
      <w:r w:rsidR="00736825">
        <w:t>includ</w:t>
      </w:r>
      <w:r w:rsidR="00A42A7F">
        <w:t>ing</w:t>
      </w:r>
      <w:r w:rsidR="00736825">
        <w:t xml:space="preserve"> </w:t>
      </w:r>
      <w:r w:rsidR="004F3444">
        <w:t>short</w:t>
      </w:r>
      <w:r w:rsidR="00963E59">
        <w:noBreakHyphen/>
      </w:r>
      <w:r w:rsidR="00A42A7F">
        <w:t>,</w:t>
      </w:r>
      <w:r w:rsidR="004F3444">
        <w:t xml:space="preserve"> </w:t>
      </w:r>
      <w:r w:rsidR="003779DE">
        <w:t>medium</w:t>
      </w:r>
      <w:r w:rsidR="00963E59">
        <w:noBreakHyphen/>
      </w:r>
      <w:r w:rsidR="003779DE">
        <w:t xml:space="preserve"> </w:t>
      </w:r>
      <w:r w:rsidR="004F3444">
        <w:t>and long</w:t>
      </w:r>
      <w:r w:rsidR="00963E59">
        <w:noBreakHyphen/>
      </w:r>
      <w:r w:rsidR="004F3444">
        <w:t>term</w:t>
      </w:r>
      <w:r w:rsidR="00736825">
        <w:t xml:space="preserve"> impacts to the balance sheet, income statement and cash flows. Recognising that </w:t>
      </w:r>
      <w:r w:rsidR="003E6273">
        <w:t>quantified financial effects will be less precise further into the future</w:t>
      </w:r>
      <w:r w:rsidR="009D401A">
        <w:t xml:space="preserve">, </w:t>
      </w:r>
      <w:r w:rsidR="00A66F79">
        <w:t>organisation</w:t>
      </w:r>
      <w:r w:rsidR="008B30F1">
        <w:t>s</w:t>
      </w:r>
      <w:r w:rsidR="00A66F79">
        <w:t xml:space="preserve"> can consider using ranges</w:t>
      </w:r>
      <w:r w:rsidR="009D401A">
        <w:t xml:space="preserve"> and qualitative summar</w:t>
      </w:r>
      <w:r w:rsidR="00C54E67">
        <w:t>ies</w:t>
      </w:r>
      <w:r w:rsidR="00AC546F">
        <w:t xml:space="preserve">. </w:t>
      </w:r>
    </w:p>
    <w:p w14:paraId="53F254ED" w14:textId="72B0B4ED" w:rsidR="00186B0B" w:rsidRDefault="0087329C" w:rsidP="006C089E">
      <w:r>
        <w:t>Financial decision</w:t>
      </w:r>
      <w:r w:rsidR="00963E59">
        <w:noBreakHyphen/>
      </w:r>
      <w:r>
        <w:t>makers</w:t>
      </w:r>
      <w:r w:rsidR="006419CF">
        <w:t xml:space="preserve"> help ensure </w:t>
      </w:r>
      <w:r w:rsidR="00137953" w:rsidRPr="005720C5">
        <w:t>transition planning is embedded within core organisational strategy</w:t>
      </w:r>
      <w:r w:rsidR="00137953" w:rsidRPr="00137953">
        <w:t xml:space="preserve">, and that </w:t>
      </w:r>
      <w:r w:rsidR="00137953" w:rsidRPr="005720C5">
        <w:t>financial planning, capital allocation and budgeting processes reflect that strategy</w:t>
      </w:r>
      <w:r w:rsidR="00325C85">
        <w:t xml:space="preserve">. </w:t>
      </w:r>
      <w:hyperlink w:anchor="Box35" w:history="1">
        <w:r w:rsidR="00680A18">
          <w:rPr>
            <w:rStyle w:val="Hyperlink"/>
          </w:rPr>
          <w:t>Box 27</w:t>
        </w:r>
      </w:hyperlink>
      <w:r w:rsidR="00F32022">
        <w:t xml:space="preserve"> </w:t>
      </w:r>
      <w:r w:rsidR="00617214">
        <w:t>highlights</w:t>
      </w:r>
      <w:r w:rsidR="007E58A5">
        <w:t xml:space="preserve"> examples of</w:t>
      </w:r>
      <w:r w:rsidR="00617214">
        <w:t xml:space="preserve"> </w:t>
      </w:r>
      <w:r w:rsidR="0016650B">
        <w:t>specific responsibilities financial decision makers m</w:t>
      </w:r>
      <w:r w:rsidR="00577307">
        <w:t>ay take on</w:t>
      </w:r>
      <w:r w:rsidR="00F94865" w:rsidRPr="00BD328B">
        <w:t xml:space="preserve"> and </w:t>
      </w:r>
      <w:hyperlink w:anchor="Box36" w:history="1">
        <w:r w:rsidR="00680A18">
          <w:rPr>
            <w:rStyle w:val="Hyperlink"/>
          </w:rPr>
          <w:t>Box 28</w:t>
        </w:r>
      </w:hyperlink>
      <w:r w:rsidR="00F32022">
        <w:t xml:space="preserve"> </w:t>
      </w:r>
      <w:r w:rsidR="00F94865" w:rsidRPr="00BD328B">
        <w:t>includ</w:t>
      </w:r>
      <w:r w:rsidR="00F94865">
        <w:t xml:space="preserve">es an example of how </w:t>
      </w:r>
      <w:r w:rsidR="00F610EE">
        <w:t>an organisation could integrate transition planning into its financial planning.</w:t>
      </w:r>
      <w:r w:rsidR="00AD3E1B">
        <w:t xml:space="preserve"> An additional resource to support </w:t>
      </w:r>
      <w:r w:rsidR="00AE54D2">
        <w:t>integration</w:t>
      </w:r>
      <w:r w:rsidR="00AD3E1B">
        <w:t xml:space="preserve"> can be found at </w:t>
      </w:r>
      <w:hyperlink w:anchor="Box37" w:history="1">
        <w:r w:rsidR="00680A18">
          <w:rPr>
            <w:rStyle w:val="Hyperlink"/>
          </w:rPr>
          <w:t>Box 29</w:t>
        </w:r>
      </w:hyperlink>
      <w:r w:rsidR="00AD3E1B">
        <w:t>.</w:t>
      </w:r>
    </w:p>
    <w:p w14:paraId="7732E0BD" w14:textId="77777777" w:rsidR="004A53E0" w:rsidRPr="004A53E0" w:rsidRDefault="004A53E0" w:rsidP="002A7AE0">
      <w:pPr>
        <w:pStyle w:val="SingleParagraph"/>
      </w:pPr>
    </w:p>
    <w:tbl>
      <w:tblPr>
        <w:tblW w:w="5000" w:type="pct"/>
        <w:shd w:val="clear" w:color="auto" w:fill="E3EDE8"/>
        <w:tblCellMar>
          <w:top w:w="227" w:type="dxa"/>
          <w:left w:w="227" w:type="dxa"/>
          <w:bottom w:w="227" w:type="dxa"/>
          <w:right w:w="227" w:type="dxa"/>
        </w:tblCellMar>
        <w:tblLook w:val="0620" w:firstRow="1" w:lastRow="0" w:firstColumn="0" w:lastColumn="0" w:noHBand="1" w:noVBand="1"/>
      </w:tblPr>
      <w:tblGrid>
        <w:gridCol w:w="9070"/>
      </w:tblGrid>
      <w:tr w:rsidR="001822B1" w:rsidRPr="00963E59" w14:paraId="162753DA" w14:textId="77777777" w:rsidTr="00460C3E">
        <w:tc>
          <w:tcPr>
            <w:tcW w:w="5000" w:type="pct"/>
            <w:shd w:val="clear" w:color="auto" w:fill="E3EDE8"/>
            <w:hideMark/>
          </w:tcPr>
          <w:p w14:paraId="3EF3A395" w14:textId="68D08293" w:rsidR="001822B1" w:rsidRPr="00963E59" w:rsidRDefault="003D63CA" w:rsidP="00E964D5">
            <w:pPr>
              <w:pStyle w:val="BoxHeading"/>
            </w:pPr>
            <w:bookmarkStart w:id="252" w:name="Box35"/>
            <w:bookmarkStart w:id="253" w:name="BOX30"/>
            <w:bookmarkStart w:id="254" w:name="_Toc237351160"/>
            <w:bookmarkStart w:id="255" w:name="_Toc233287129"/>
            <w:bookmarkEnd w:id="252"/>
            <w:bookmarkEnd w:id="253"/>
            <w:r w:rsidRPr="00963E59">
              <w:lastRenderedPageBreak/>
              <w:t xml:space="preserve">Box </w:t>
            </w:r>
            <w:r w:rsidR="00261EB3">
              <w:t>27</w:t>
            </w:r>
            <w:r w:rsidR="00A17C93" w:rsidRPr="00963E59">
              <w:t>.</w:t>
            </w:r>
            <w:r w:rsidRPr="00963E59">
              <w:t xml:space="preserve"> </w:t>
            </w:r>
            <w:r w:rsidR="001822B1" w:rsidRPr="00963E59">
              <w:t xml:space="preserve">The role of </w:t>
            </w:r>
            <w:r w:rsidR="002C2820" w:rsidRPr="00963E59">
              <w:t>f</w:t>
            </w:r>
            <w:r w:rsidR="00FC0ECF" w:rsidRPr="00963E59">
              <w:t>inancial decision makers</w:t>
            </w:r>
            <w:bookmarkEnd w:id="254"/>
            <w:bookmarkEnd w:id="255"/>
          </w:p>
          <w:p w14:paraId="6E71E5A4" w14:textId="4277EA78" w:rsidR="001822B1" w:rsidRPr="00963E59" w:rsidRDefault="007E58A5" w:rsidP="004A53E0">
            <w:pPr>
              <w:pStyle w:val="BoxText"/>
            </w:pPr>
            <w:r w:rsidRPr="00963E59">
              <w:t>Examples of s</w:t>
            </w:r>
            <w:r w:rsidR="00CB4F63" w:rsidRPr="00963E59">
              <w:t xml:space="preserve">pecific responsibilities of </w:t>
            </w:r>
            <w:r w:rsidR="000A69C1" w:rsidRPr="00963E59">
              <w:t>f</w:t>
            </w:r>
            <w:r w:rsidR="00FC0ECF" w:rsidRPr="00963E59">
              <w:t xml:space="preserve">inancial decision makers </w:t>
            </w:r>
            <w:r w:rsidR="00CB4F63" w:rsidRPr="00963E59">
              <w:t>throughout transitio</w:t>
            </w:r>
            <w:r w:rsidR="00F25550" w:rsidRPr="00963E59">
              <w:t>n</w:t>
            </w:r>
            <w:r w:rsidR="00562807" w:rsidRPr="00963E59">
              <w:t>.</w:t>
            </w:r>
            <w:r w:rsidR="00C27A5F" w:rsidRPr="00963E59">
              <w:t xml:space="preserve"> </w:t>
            </w:r>
          </w:p>
          <w:p w14:paraId="30DCC658" w14:textId="1CF77AA3" w:rsidR="00CB4F63" w:rsidRPr="00963E59" w:rsidRDefault="00477AE7" w:rsidP="00DB6514">
            <w:pPr>
              <w:pStyle w:val="Boxbullet"/>
            </w:pPr>
            <w:r w:rsidRPr="00963E59">
              <w:t>Leading or supporting scenario analysis to evaluate the financial implications of different transition pathways</w:t>
            </w:r>
            <w:r w:rsidR="00A03158" w:rsidRPr="00963E59">
              <w:t>, including a baseline ‘do nothing’ scenario.</w:t>
            </w:r>
          </w:p>
          <w:p w14:paraId="767CE7FB" w14:textId="7CBE3A6F" w:rsidR="00477AE7" w:rsidRPr="00963E59" w:rsidRDefault="00477AE7" w:rsidP="00DB6514">
            <w:pPr>
              <w:pStyle w:val="Boxbullet"/>
            </w:pPr>
            <w:r w:rsidRPr="00963E59">
              <w:t xml:space="preserve">Assessing how climate </w:t>
            </w:r>
            <w:r w:rsidR="00E75CD0" w:rsidRPr="00963E59">
              <w:t>and market conditions may affect the organisation’s financial performance, position and prospects</w:t>
            </w:r>
            <w:r w:rsidR="003212EE" w:rsidRPr="00963E59">
              <w:t>.</w:t>
            </w:r>
          </w:p>
          <w:p w14:paraId="49455A44" w14:textId="4A0E2DC0" w:rsidR="00803620" w:rsidRPr="00963E59" w:rsidRDefault="004C35C1" w:rsidP="00DB6514">
            <w:pPr>
              <w:pStyle w:val="Boxbullet"/>
            </w:pPr>
            <w:r w:rsidRPr="00963E59">
              <w:t>Exploring access to i</w:t>
            </w:r>
            <w:r w:rsidR="00803620" w:rsidRPr="00963E59">
              <w:t>nnovative financing options, such as green bonds, sustainability-linked loans and climate-aligned investment partnerships</w:t>
            </w:r>
            <w:r w:rsidR="003212EE" w:rsidRPr="00963E59">
              <w:t>.</w:t>
            </w:r>
          </w:p>
          <w:p w14:paraId="6AB50116" w14:textId="1662FF73" w:rsidR="003E01DD" w:rsidRPr="00963E59" w:rsidRDefault="003E01DD" w:rsidP="00DB6514">
            <w:pPr>
              <w:pStyle w:val="Boxbullet"/>
            </w:pPr>
            <w:r w:rsidRPr="00963E59">
              <w:t xml:space="preserve">Making capital allocation decisions to support the implementation of </w:t>
            </w:r>
            <w:r w:rsidR="005F11BF" w:rsidRPr="00963E59">
              <w:t>ambitions and actions</w:t>
            </w:r>
            <w:r w:rsidR="237B4C63" w:rsidRPr="00963E59">
              <w:t>.</w:t>
            </w:r>
          </w:p>
          <w:p w14:paraId="23D75011" w14:textId="2DD21CBA" w:rsidR="00803620" w:rsidRPr="00963E59" w:rsidRDefault="00BD328B" w:rsidP="002A7AE0">
            <w:pPr>
              <w:pStyle w:val="ChartorTableNote"/>
              <w:rPr>
                <w:lang w:eastAsia="en-US"/>
              </w:rPr>
            </w:pPr>
            <w:r w:rsidRPr="00963E59">
              <w:rPr>
                <w:b/>
                <w:bCs/>
              </w:rPr>
              <w:t>Source</w:t>
            </w:r>
            <w:r w:rsidRPr="00963E59">
              <w:t>:</w:t>
            </w:r>
            <w:r w:rsidR="002A7AE0" w:rsidRPr="00963E59">
              <w:tab/>
            </w:r>
            <w:r w:rsidRPr="00963E59">
              <w:t xml:space="preserve">Adapted from AICD/ACSI, Governing for Net Zero: The board’s role in organisational transition </w:t>
            </w:r>
            <w:r w:rsidR="002A7AE0" w:rsidRPr="00963E59">
              <w:tab/>
            </w:r>
            <w:r w:rsidRPr="00963E59">
              <w:t>planning</w:t>
            </w:r>
            <w:r w:rsidR="002A7AE0" w:rsidRPr="00963E59">
              <w:t> </w:t>
            </w:r>
            <w:r w:rsidRPr="00963E59">
              <w:t>(2025)</w:t>
            </w:r>
            <w:r w:rsidRPr="00963E59">
              <w:rPr>
                <w:rStyle w:val="CommentReference"/>
                <w:sz w:val="18"/>
                <w:szCs w:val="18"/>
                <w:lang w:eastAsia="en-US"/>
              </w:rPr>
              <w:t xml:space="preserve"> </w:t>
            </w:r>
          </w:p>
        </w:tc>
      </w:tr>
    </w:tbl>
    <w:p w14:paraId="47182CC6" w14:textId="5A1F7411" w:rsidR="002A7AE0" w:rsidRPr="002A7AE0" w:rsidRDefault="002A7AE0" w:rsidP="006D6256">
      <w:pPr>
        <w:pStyle w:val="SingleParagraph"/>
      </w:pPr>
    </w:p>
    <w:p w14:paraId="71CFB7F3" w14:textId="7B820C20" w:rsidR="00896677" w:rsidRPr="000A69C1" w:rsidRDefault="00896677" w:rsidP="004A53E0">
      <w:pPr>
        <w:pStyle w:val="TableMainHeading"/>
      </w:pPr>
      <w:r w:rsidRPr="000A69C1">
        <w:t xml:space="preserve">Table </w:t>
      </w:r>
      <w:r w:rsidR="006C089E">
        <w:t>2</w:t>
      </w:r>
      <w:r w:rsidRPr="000A69C1">
        <w:t xml:space="preserve">: </w:t>
      </w:r>
      <w:r w:rsidR="00FD7F0A" w:rsidRPr="000A69C1">
        <w:t>Examples of how to integrate actions into financial planning</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0"/>
      </w:tblGrid>
      <w:tr w:rsidR="00864ABB" w:rsidRPr="00963E59" w14:paraId="53FB5C64" w14:textId="77777777" w:rsidTr="004A53E0">
        <w:trPr>
          <w:cnfStyle w:val="100000000000" w:firstRow="1" w:lastRow="0" w:firstColumn="0" w:lastColumn="0" w:oddVBand="0" w:evenVBand="0" w:oddHBand="0" w:evenHBand="0" w:firstRowFirstColumn="0" w:firstRowLastColumn="0" w:lastRowFirstColumn="0" w:lastRowLastColumn="0"/>
        </w:trPr>
        <w:tc>
          <w:tcPr>
            <w:tcW w:w="3024" w:type="dxa"/>
          </w:tcPr>
          <w:p w14:paraId="3BB4B1F4" w14:textId="77777777" w:rsidR="00074D7A" w:rsidRPr="00963E59" w:rsidRDefault="00074D7A" w:rsidP="004A53E0">
            <w:pPr>
              <w:pStyle w:val="TableColumnHeadingLeft"/>
              <w:rPr>
                <w:b/>
                <w:bCs/>
              </w:rPr>
            </w:pPr>
            <w:r w:rsidRPr="00963E59">
              <w:rPr>
                <w:b/>
                <w:bCs/>
              </w:rPr>
              <w:t>Financial impact category</w:t>
            </w:r>
          </w:p>
        </w:tc>
        <w:tc>
          <w:tcPr>
            <w:tcW w:w="3024" w:type="dxa"/>
          </w:tcPr>
          <w:p w14:paraId="1E1BA247" w14:textId="20A95AE0" w:rsidR="00074D7A" w:rsidRPr="00963E59" w:rsidRDefault="00074D7A" w:rsidP="004A53E0">
            <w:pPr>
              <w:pStyle w:val="TableColumnHeadingLeft"/>
              <w:rPr>
                <w:b/>
                <w:bCs/>
              </w:rPr>
            </w:pPr>
            <w:r w:rsidRPr="00963E59">
              <w:rPr>
                <w:b/>
                <w:bCs/>
              </w:rPr>
              <w:t xml:space="preserve">Mitigation </w:t>
            </w:r>
            <w:r w:rsidR="00FD7F0A" w:rsidRPr="00963E59">
              <w:rPr>
                <w:b/>
                <w:bCs/>
              </w:rPr>
              <w:t>action</w:t>
            </w:r>
          </w:p>
        </w:tc>
        <w:tc>
          <w:tcPr>
            <w:tcW w:w="3024" w:type="dxa"/>
          </w:tcPr>
          <w:p w14:paraId="252D3FF5" w14:textId="1C0FF8BA" w:rsidR="00074D7A" w:rsidRPr="00963E59" w:rsidRDefault="00074D7A" w:rsidP="004A53E0">
            <w:pPr>
              <w:pStyle w:val="TableColumnHeadingLeft"/>
              <w:rPr>
                <w:b/>
                <w:bCs/>
              </w:rPr>
            </w:pPr>
            <w:r w:rsidRPr="00963E59">
              <w:rPr>
                <w:b/>
                <w:bCs/>
              </w:rPr>
              <w:t xml:space="preserve">Adaptation </w:t>
            </w:r>
            <w:r w:rsidR="00FD7F0A" w:rsidRPr="00963E59">
              <w:rPr>
                <w:b/>
                <w:bCs/>
              </w:rPr>
              <w:t>actions</w:t>
            </w:r>
          </w:p>
        </w:tc>
      </w:tr>
      <w:tr w:rsidR="00074D7A" w:rsidRPr="00963E59" w14:paraId="6892778B" w14:textId="77777777" w:rsidTr="004A53E0">
        <w:tc>
          <w:tcPr>
            <w:tcW w:w="3024" w:type="dxa"/>
          </w:tcPr>
          <w:p w14:paraId="6D143F9E" w14:textId="77777777" w:rsidR="00074D7A" w:rsidRPr="00963E59" w:rsidRDefault="00074D7A" w:rsidP="004A53E0">
            <w:pPr>
              <w:pStyle w:val="TableTextLeft"/>
              <w:rPr>
                <w:b/>
                <w:bCs/>
              </w:rPr>
            </w:pPr>
            <w:r w:rsidRPr="00963E59">
              <w:rPr>
                <w:b/>
                <w:bCs/>
              </w:rPr>
              <w:t>Increased capital expenditure</w:t>
            </w:r>
          </w:p>
        </w:tc>
        <w:tc>
          <w:tcPr>
            <w:tcW w:w="3024" w:type="dxa"/>
          </w:tcPr>
          <w:p w14:paraId="3CD981B1" w14:textId="77777777" w:rsidR="00074D7A" w:rsidRPr="00963E59" w:rsidRDefault="00074D7A" w:rsidP="004A53E0">
            <w:pPr>
              <w:pStyle w:val="TableTextLeft"/>
            </w:pPr>
            <w:r w:rsidRPr="00963E59">
              <w:t>Investing in new onsite renewable energy infrastructure</w:t>
            </w:r>
          </w:p>
        </w:tc>
        <w:tc>
          <w:tcPr>
            <w:tcW w:w="3024" w:type="dxa"/>
          </w:tcPr>
          <w:p w14:paraId="7F512F59" w14:textId="3FF7683E" w:rsidR="00074D7A" w:rsidRPr="00963E59" w:rsidRDefault="00074D7A" w:rsidP="004A53E0">
            <w:pPr>
              <w:pStyle w:val="TableTextLeft"/>
            </w:pPr>
            <w:r w:rsidRPr="00963E59">
              <w:t>Investing in new water sources or storage solutions to improve water security</w:t>
            </w:r>
          </w:p>
        </w:tc>
      </w:tr>
      <w:tr w:rsidR="00074D7A" w:rsidRPr="00963E59" w14:paraId="140888F5" w14:textId="77777777" w:rsidTr="004A53E0">
        <w:tc>
          <w:tcPr>
            <w:tcW w:w="3024" w:type="dxa"/>
          </w:tcPr>
          <w:p w14:paraId="56010668" w14:textId="77777777" w:rsidR="00074D7A" w:rsidRPr="00963E59" w:rsidRDefault="00074D7A" w:rsidP="004A53E0">
            <w:pPr>
              <w:pStyle w:val="TableTextLeft"/>
              <w:rPr>
                <w:b/>
                <w:bCs/>
              </w:rPr>
            </w:pPr>
            <w:r w:rsidRPr="00963E59">
              <w:rPr>
                <w:b/>
                <w:bCs/>
              </w:rPr>
              <w:t>Changes in operating or maintenance costs</w:t>
            </w:r>
          </w:p>
        </w:tc>
        <w:tc>
          <w:tcPr>
            <w:tcW w:w="3024" w:type="dxa"/>
          </w:tcPr>
          <w:p w14:paraId="005FA7BD" w14:textId="77777777" w:rsidR="00074D7A" w:rsidRPr="00963E59" w:rsidRDefault="00074D7A" w:rsidP="004A53E0">
            <w:pPr>
              <w:pStyle w:val="TableTextLeft"/>
            </w:pPr>
            <w:r w:rsidRPr="00963E59">
              <w:t>Energy efficiency upgrades reducing electricity consumption</w:t>
            </w:r>
          </w:p>
        </w:tc>
        <w:tc>
          <w:tcPr>
            <w:tcW w:w="3024" w:type="dxa"/>
          </w:tcPr>
          <w:p w14:paraId="70B2BCF9" w14:textId="77777777" w:rsidR="00074D7A" w:rsidRPr="00963E59" w:rsidRDefault="00074D7A" w:rsidP="004A53E0">
            <w:pPr>
              <w:pStyle w:val="TableTextLeft"/>
            </w:pPr>
            <w:r w:rsidRPr="00963E59">
              <w:t>Reduced associated insurance costs due to reduced exposure or vulnerability to physical climate risks</w:t>
            </w:r>
          </w:p>
        </w:tc>
      </w:tr>
      <w:tr w:rsidR="00074D7A" w:rsidRPr="00963E59" w14:paraId="5E03188E" w14:textId="77777777" w:rsidTr="004A53E0">
        <w:tc>
          <w:tcPr>
            <w:tcW w:w="3024" w:type="dxa"/>
          </w:tcPr>
          <w:p w14:paraId="267AE178" w14:textId="77777777" w:rsidR="00074D7A" w:rsidRPr="00963E59" w:rsidRDefault="00074D7A" w:rsidP="004A53E0">
            <w:pPr>
              <w:pStyle w:val="TableTextLeft"/>
              <w:rPr>
                <w:b/>
                <w:bCs/>
              </w:rPr>
            </w:pPr>
            <w:r w:rsidRPr="00963E59">
              <w:rPr>
                <w:b/>
                <w:bCs/>
              </w:rPr>
              <w:t>Increased research and development expenditure</w:t>
            </w:r>
          </w:p>
        </w:tc>
        <w:tc>
          <w:tcPr>
            <w:tcW w:w="3024" w:type="dxa"/>
          </w:tcPr>
          <w:p w14:paraId="5328707D" w14:textId="5B22A74E" w:rsidR="00074D7A" w:rsidRPr="00963E59" w:rsidRDefault="00074D7A" w:rsidP="004A53E0">
            <w:pPr>
              <w:pStyle w:val="TableTextLeft"/>
            </w:pPr>
            <w:r w:rsidRPr="00963E59">
              <w:t>Research</w:t>
            </w:r>
            <w:r w:rsidR="00104F95" w:rsidRPr="00963E59">
              <w:t xml:space="preserve"> on how to upgrade </w:t>
            </w:r>
            <w:r w:rsidR="00CD75D6" w:rsidRPr="00963E59">
              <w:t xml:space="preserve">vehicles and machines to electric </w:t>
            </w:r>
          </w:p>
        </w:tc>
        <w:tc>
          <w:tcPr>
            <w:tcW w:w="3024" w:type="dxa"/>
          </w:tcPr>
          <w:p w14:paraId="51705894" w14:textId="77777777" w:rsidR="00074D7A" w:rsidRPr="00963E59" w:rsidRDefault="00074D7A" w:rsidP="004A53E0">
            <w:pPr>
              <w:pStyle w:val="TableTextLeft"/>
            </w:pPr>
            <w:r w:rsidRPr="00963E59">
              <w:t xml:space="preserve">Developing new drought-resistant crop varieties </w:t>
            </w:r>
          </w:p>
        </w:tc>
      </w:tr>
      <w:tr w:rsidR="00074D7A" w:rsidRPr="00963E59" w14:paraId="7DB67F1D" w14:textId="77777777" w:rsidTr="004A53E0">
        <w:tc>
          <w:tcPr>
            <w:tcW w:w="3024" w:type="dxa"/>
          </w:tcPr>
          <w:p w14:paraId="37D1E3EA" w14:textId="77777777" w:rsidR="00074D7A" w:rsidRPr="00963E59" w:rsidRDefault="00074D7A" w:rsidP="004A53E0">
            <w:pPr>
              <w:pStyle w:val="TableTextLeft"/>
              <w:rPr>
                <w:b/>
                <w:bCs/>
              </w:rPr>
            </w:pPr>
            <w:r w:rsidRPr="00963E59">
              <w:rPr>
                <w:b/>
                <w:bCs/>
              </w:rPr>
              <w:t>Changes in the life and valuation of assets</w:t>
            </w:r>
          </w:p>
        </w:tc>
        <w:tc>
          <w:tcPr>
            <w:tcW w:w="3024" w:type="dxa"/>
          </w:tcPr>
          <w:p w14:paraId="0A216A2B" w14:textId="77777777" w:rsidR="00074D7A" w:rsidRPr="00963E59" w:rsidRDefault="00074D7A" w:rsidP="004A53E0">
            <w:pPr>
              <w:pStyle w:val="TableTextLeft"/>
            </w:pPr>
            <w:r w:rsidRPr="00963E59">
              <w:t>Phasing out fossil fuel assets before the end of their effective life</w:t>
            </w:r>
          </w:p>
        </w:tc>
        <w:tc>
          <w:tcPr>
            <w:tcW w:w="3024" w:type="dxa"/>
          </w:tcPr>
          <w:p w14:paraId="3EF2A526" w14:textId="77777777" w:rsidR="00074D7A" w:rsidRPr="00963E59" w:rsidRDefault="00074D7A" w:rsidP="004A53E0">
            <w:pPr>
              <w:pStyle w:val="TableTextLeft"/>
            </w:pPr>
            <w:r w:rsidRPr="00963E59">
              <w:t>Increase in commercial land value portfolio due to a reduction in flood risk exposure or vulnerability</w:t>
            </w:r>
          </w:p>
        </w:tc>
      </w:tr>
      <w:tr w:rsidR="00074D7A" w:rsidRPr="00963E59" w14:paraId="5698A179" w14:textId="77777777" w:rsidTr="004A53E0">
        <w:tc>
          <w:tcPr>
            <w:tcW w:w="3024" w:type="dxa"/>
          </w:tcPr>
          <w:p w14:paraId="5D377358" w14:textId="77777777" w:rsidR="00074D7A" w:rsidRPr="00963E59" w:rsidRDefault="00074D7A" w:rsidP="004A53E0">
            <w:pPr>
              <w:pStyle w:val="TableTextLeft"/>
              <w:rPr>
                <w:b/>
                <w:bCs/>
              </w:rPr>
            </w:pPr>
            <w:r w:rsidRPr="00963E59">
              <w:rPr>
                <w:b/>
                <w:bCs/>
              </w:rPr>
              <w:t>Changes in revenue</w:t>
            </w:r>
          </w:p>
        </w:tc>
        <w:tc>
          <w:tcPr>
            <w:tcW w:w="3024" w:type="dxa"/>
          </w:tcPr>
          <w:p w14:paraId="3350E1E4" w14:textId="2FE9CC20" w:rsidR="00074D7A" w:rsidRPr="00963E59" w:rsidRDefault="00074D7A" w:rsidP="004A53E0">
            <w:pPr>
              <w:pStyle w:val="TableTextLeft"/>
            </w:pPr>
            <w:r w:rsidRPr="00963E59">
              <w:t xml:space="preserve">New revenue streams from selling </w:t>
            </w:r>
            <w:r w:rsidR="003F309F" w:rsidRPr="00963E59">
              <w:t>waste</w:t>
            </w:r>
            <w:r w:rsidRPr="00963E59">
              <w:t xml:space="preserve"> products</w:t>
            </w:r>
          </w:p>
        </w:tc>
        <w:tc>
          <w:tcPr>
            <w:tcW w:w="3024" w:type="dxa"/>
          </w:tcPr>
          <w:p w14:paraId="40F6C963" w14:textId="34766F22" w:rsidR="00074D7A" w:rsidRPr="00963E59" w:rsidRDefault="00074D7A" w:rsidP="004A53E0">
            <w:pPr>
              <w:pStyle w:val="TableTextLeft"/>
            </w:pPr>
            <w:r w:rsidRPr="00963E59">
              <w:t>Increased profits from drought-</w:t>
            </w:r>
            <w:r w:rsidR="00F87583">
              <w:t>‍</w:t>
            </w:r>
            <w:r w:rsidRPr="00963E59">
              <w:t>resistant crop</w:t>
            </w:r>
          </w:p>
        </w:tc>
      </w:tr>
    </w:tbl>
    <w:p w14:paraId="6F884A36" w14:textId="77777777" w:rsidR="00E3411E" w:rsidRDefault="00E3411E" w:rsidP="00D64CEC">
      <w:pPr>
        <w:pStyle w:val="SingleParagraph"/>
      </w:pPr>
    </w:p>
    <w:tbl>
      <w:tblPr>
        <w:tblW w:w="5000" w:type="pct"/>
        <w:shd w:val="clear" w:color="auto" w:fill="F2F9FC"/>
        <w:tblCellMar>
          <w:top w:w="227" w:type="dxa"/>
          <w:left w:w="227" w:type="dxa"/>
          <w:bottom w:w="227" w:type="dxa"/>
          <w:right w:w="227" w:type="dxa"/>
        </w:tblCellMar>
        <w:tblLook w:val="0620" w:firstRow="1" w:lastRow="0" w:firstColumn="0" w:lastColumn="0" w:noHBand="1" w:noVBand="1"/>
      </w:tblPr>
      <w:tblGrid>
        <w:gridCol w:w="9070"/>
      </w:tblGrid>
      <w:tr w:rsidR="00E3411E" w:rsidRPr="00963E59" w14:paraId="23B26334" w14:textId="77777777" w:rsidTr="00460C3E">
        <w:tc>
          <w:tcPr>
            <w:tcW w:w="5000" w:type="pct"/>
            <w:shd w:val="clear" w:color="auto" w:fill="F2F9FC"/>
            <w:hideMark/>
          </w:tcPr>
          <w:p w14:paraId="5A93EBCE" w14:textId="659E4D2C" w:rsidR="00E3411E" w:rsidRPr="00963E59" w:rsidRDefault="00643CE0" w:rsidP="00E964D5">
            <w:pPr>
              <w:pStyle w:val="BoxHeading"/>
            </w:pPr>
            <w:bookmarkStart w:id="256" w:name="Box36"/>
            <w:bookmarkStart w:id="257" w:name="_Toc237351161"/>
            <w:bookmarkStart w:id="258" w:name="_Toc233287130"/>
            <w:bookmarkEnd w:id="256"/>
            <w:r w:rsidRPr="00963E59">
              <w:lastRenderedPageBreak/>
              <w:t xml:space="preserve">Box </w:t>
            </w:r>
            <w:r w:rsidR="00680A18">
              <w:t>28</w:t>
            </w:r>
            <w:r w:rsidRPr="00963E59">
              <w:t xml:space="preserve">. </w:t>
            </w:r>
            <w:r w:rsidR="00E3411E" w:rsidRPr="00963E59">
              <w:t>Illustrative example</w:t>
            </w:r>
            <w:r w:rsidR="001653C2" w:rsidRPr="00963E59">
              <w:t xml:space="preserve"> </w:t>
            </w:r>
            <w:r w:rsidRPr="00963E59">
              <w:t>on i</w:t>
            </w:r>
            <w:r w:rsidR="00A44F0C" w:rsidRPr="00963E59">
              <w:t xml:space="preserve">ntegrating </w:t>
            </w:r>
            <w:r w:rsidR="0004477D" w:rsidRPr="00963E59">
              <w:t>transition planning into financial planning</w:t>
            </w:r>
            <w:bookmarkEnd w:id="257"/>
            <w:bookmarkEnd w:id="258"/>
          </w:p>
          <w:p w14:paraId="66879478" w14:textId="6397D5BE" w:rsidR="00EC39FA" w:rsidRPr="00963E59" w:rsidRDefault="0004477D" w:rsidP="00AA0D0B">
            <w:pPr>
              <w:pStyle w:val="BoxText"/>
              <w:rPr>
                <w:bCs/>
              </w:rPr>
            </w:pPr>
            <w:r w:rsidRPr="00963E59">
              <w:rPr>
                <w:bCs/>
              </w:rPr>
              <w:t>As part of its transition planning, a manufacturing organisation</w:t>
            </w:r>
            <w:r w:rsidR="00874391" w:rsidRPr="00963E59">
              <w:rPr>
                <w:bCs/>
              </w:rPr>
              <w:t xml:space="preserve"> </w:t>
            </w:r>
            <w:r w:rsidR="00874391" w:rsidRPr="00963E59">
              <w:t>identifies energy-efficiency upgrades across its production facilities as a priority transition lever</w:t>
            </w:r>
            <w:r w:rsidR="00DD4AA4" w:rsidRPr="00963E59">
              <w:rPr>
                <w:bCs/>
              </w:rPr>
              <w:t xml:space="preserve">. </w:t>
            </w:r>
            <w:r w:rsidR="00263DE0" w:rsidRPr="00963E59">
              <w:t xml:space="preserve">This is </w:t>
            </w:r>
            <w:r w:rsidR="00386046" w:rsidRPr="00963E59">
              <w:t xml:space="preserve">consistent with </w:t>
            </w:r>
            <w:r w:rsidR="00EC39FA" w:rsidRPr="00963E59">
              <w:t xml:space="preserve">the manufacturer’s </w:t>
            </w:r>
            <w:r w:rsidR="00386046" w:rsidRPr="00963E59">
              <w:t>broader business strategy to improve cost competitiveness, operational resilience and long-term asset efficiency</w:t>
            </w:r>
            <w:r w:rsidR="00247890" w:rsidRPr="00963E59">
              <w:t>.</w:t>
            </w:r>
            <w:r w:rsidRPr="00963E59">
              <w:rPr>
                <w:bCs/>
              </w:rPr>
              <w:t xml:space="preserve"> </w:t>
            </w:r>
            <w:r w:rsidR="008B7F86" w:rsidRPr="00963E59">
              <w:rPr>
                <w:bCs/>
              </w:rPr>
              <w:t>As a result, it require</w:t>
            </w:r>
            <w:r w:rsidR="00A505EA" w:rsidRPr="00963E59">
              <w:rPr>
                <w:bCs/>
              </w:rPr>
              <w:t>s</w:t>
            </w:r>
            <w:r w:rsidR="00CF4D57" w:rsidRPr="00963E59">
              <w:rPr>
                <w:bCs/>
              </w:rPr>
              <w:t xml:space="preserve"> increased capital expenditure </w:t>
            </w:r>
            <w:r w:rsidR="00CF4D57" w:rsidRPr="00963E59">
              <w:t>to replace energy-intensive equipment with more efficient alternatives</w:t>
            </w:r>
            <w:r w:rsidRPr="00963E59">
              <w:t>.</w:t>
            </w:r>
            <w:r w:rsidRPr="00963E59">
              <w:rPr>
                <w:bCs/>
              </w:rPr>
              <w:t xml:space="preserve"> </w:t>
            </w:r>
          </w:p>
          <w:p w14:paraId="61BFA146" w14:textId="455EF270" w:rsidR="0004477D" w:rsidRPr="00963E59" w:rsidRDefault="0004477D" w:rsidP="00AA0D0B">
            <w:pPr>
              <w:pStyle w:val="BoxText"/>
            </w:pPr>
            <w:r w:rsidRPr="00963E59">
              <w:rPr>
                <w:bCs/>
              </w:rPr>
              <w:t xml:space="preserve">The </w:t>
            </w:r>
            <w:r w:rsidR="00BA12C5" w:rsidRPr="00963E59">
              <w:rPr>
                <w:bCs/>
              </w:rPr>
              <w:t>organisation</w:t>
            </w:r>
            <w:r w:rsidRPr="00963E59">
              <w:rPr>
                <w:bCs/>
              </w:rPr>
              <w:t xml:space="preserve"> </w:t>
            </w:r>
            <w:r w:rsidR="00E86041" w:rsidRPr="00963E59">
              <w:rPr>
                <w:bCs/>
              </w:rPr>
              <w:t xml:space="preserve">outlines the associated </w:t>
            </w:r>
            <w:r w:rsidR="00E86041" w:rsidRPr="00963E59">
              <w:t xml:space="preserve">capital expenditure and expected changes in operating expenditure and </w:t>
            </w:r>
            <w:r w:rsidR="00C91A90" w:rsidRPr="00963E59">
              <w:t>assesses how these investments align with, and support, its overall business plan, production strategy and asset-replacement cycles</w:t>
            </w:r>
            <w:r w:rsidR="00247890" w:rsidRPr="00963E59">
              <w:t>. It</w:t>
            </w:r>
            <w:r w:rsidR="00E86041" w:rsidRPr="00963E59">
              <w:t xml:space="preserve"> incorporates transition-related prompts into its budget planning, project assessment and capital approval processes</w:t>
            </w:r>
            <w:r w:rsidR="00E86041" w:rsidRPr="00963E59">
              <w:rPr>
                <w:bCs/>
              </w:rPr>
              <w:t>.</w:t>
            </w:r>
          </w:p>
          <w:p w14:paraId="0AE23FCE" w14:textId="77777777" w:rsidR="007F4734" w:rsidRPr="00963E59" w:rsidRDefault="009E1CBC" w:rsidP="00AA0D0B">
            <w:pPr>
              <w:pStyle w:val="BoxText"/>
              <w:rPr>
                <w:bCs/>
              </w:rPr>
            </w:pPr>
            <w:r w:rsidRPr="00963E59">
              <w:rPr>
                <w:bCs/>
              </w:rPr>
              <w:t>The allocation of additional</w:t>
            </w:r>
            <w:r w:rsidRPr="00963E59" w:rsidDel="00072918">
              <w:rPr>
                <w:bCs/>
              </w:rPr>
              <w:t xml:space="preserve"> </w:t>
            </w:r>
            <w:r w:rsidR="00072918" w:rsidRPr="00963E59">
              <w:rPr>
                <w:bCs/>
              </w:rPr>
              <w:t>capital</w:t>
            </w:r>
            <w:r w:rsidR="00601D6F" w:rsidRPr="00963E59">
              <w:rPr>
                <w:bCs/>
              </w:rPr>
              <w:t xml:space="preserve"> expenditure</w:t>
            </w:r>
            <w:r w:rsidR="00072918" w:rsidRPr="00963E59">
              <w:rPr>
                <w:bCs/>
              </w:rPr>
              <w:t xml:space="preserve"> </w:t>
            </w:r>
            <w:r w:rsidRPr="00963E59">
              <w:rPr>
                <w:bCs/>
              </w:rPr>
              <w:t>enables management to approve and implement the upgrades at site level, while forecast reductions in energy use are reflected in lower expected operating costs over time</w:t>
            </w:r>
            <w:r w:rsidR="0004477D" w:rsidRPr="00963E59">
              <w:t>.</w:t>
            </w:r>
            <w:r w:rsidR="0004477D" w:rsidRPr="00963E59">
              <w:rPr>
                <w:bCs/>
              </w:rPr>
              <w:t xml:space="preserve"> </w:t>
            </w:r>
            <w:r w:rsidR="00D51293" w:rsidRPr="00963E59">
              <w:rPr>
                <w:bCs/>
              </w:rPr>
              <w:t>These cost savings and productivity impacts are incorporated into forward business forecasts and used to test the commercial viability of the transition actions under the organisation’s core business planning assumptions.</w:t>
            </w:r>
          </w:p>
          <w:p w14:paraId="77CA3724" w14:textId="60121683" w:rsidR="00E3411E" w:rsidRPr="00963E59" w:rsidRDefault="008C2A7C" w:rsidP="00AA0D0B">
            <w:pPr>
              <w:pStyle w:val="BoxText"/>
              <w:rPr>
                <w:lang w:eastAsia="en-US"/>
              </w:rPr>
            </w:pPr>
            <w:r w:rsidRPr="00963E59">
              <w:rPr>
                <w:bCs/>
              </w:rPr>
              <w:t xml:space="preserve">Integrating </w:t>
            </w:r>
            <w:r w:rsidR="00F314D9" w:rsidRPr="00963E59">
              <w:rPr>
                <w:bCs/>
              </w:rPr>
              <w:t>transition planning</w:t>
            </w:r>
            <w:r w:rsidRPr="00963E59">
              <w:rPr>
                <w:bCs/>
              </w:rPr>
              <w:t xml:space="preserve"> into</w:t>
            </w:r>
            <w:r w:rsidR="0004477D" w:rsidRPr="00963E59">
              <w:rPr>
                <w:bCs/>
              </w:rPr>
              <w:t xml:space="preserve"> financial planning and capital allocation elevates its profile within the organisation and </w:t>
            </w:r>
            <w:r w:rsidR="002D1628" w:rsidRPr="00963E59">
              <w:rPr>
                <w:bCs/>
              </w:rPr>
              <w:t xml:space="preserve">relevant operational, finance and sustainability teams are involved when capital allocation and budgets are considered. </w:t>
            </w:r>
            <w:r w:rsidR="00C20ABF" w:rsidRPr="00963E59">
              <w:rPr>
                <w:bCs/>
              </w:rPr>
              <w:t>It also allows the organisation to scan for financing options to support its transition planning, such as government funds and green loans</w:t>
            </w:r>
            <w:r w:rsidR="008D5385" w:rsidRPr="00963E59">
              <w:rPr>
                <w:bCs/>
              </w:rPr>
              <w:t xml:space="preserve">, </w:t>
            </w:r>
            <w:r w:rsidR="008D5385" w:rsidRPr="00963E59">
              <w:t>where the financing structure is assessed alongside other funding options within the organisation’s broader capital management strategy</w:t>
            </w:r>
            <w:r w:rsidR="00C20ABF" w:rsidRPr="00963E59">
              <w:t>.</w:t>
            </w:r>
            <w:r w:rsidR="0004477D" w:rsidRPr="00963E59">
              <w:rPr>
                <w:bCs/>
              </w:rPr>
              <w:t xml:space="preserve"> </w:t>
            </w:r>
          </w:p>
        </w:tc>
      </w:tr>
    </w:tbl>
    <w:p w14:paraId="0D9496F0" w14:textId="77777777" w:rsidR="008B14AF" w:rsidRPr="002A7AE0" w:rsidRDefault="008B14AF" w:rsidP="002A7AE0">
      <w:pPr>
        <w:pStyle w:val="SingleParagraph"/>
      </w:pPr>
    </w:p>
    <w:tbl>
      <w:tblPr>
        <w:tblW w:w="5000" w:type="pct"/>
        <w:shd w:val="clear" w:color="auto" w:fill="F2F2F2"/>
        <w:tblCellMar>
          <w:top w:w="227" w:type="dxa"/>
          <w:left w:w="227" w:type="dxa"/>
          <w:bottom w:w="227" w:type="dxa"/>
          <w:right w:w="227" w:type="dxa"/>
        </w:tblCellMar>
        <w:tblLook w:val="0620" w:firstRow="1" w:lastRow="0" w:firstColumn="0" w:lastColumn="0" w:noHBand="1" w:noVBand="1"/>
      </w:tblPr>
      <w:tblGrid>
        <w:gridCol w:w="9070"/>
      </w:tblGrid>
      <w:tr w:rsidR="00AA0D0B" w:rsidRPr="00963E59" w14:paraId="78DF0A88" w14:textId="77777777" w:rsidTr="00460C3E">
        <w:tc>
          <w:tcPr>
            <w:tcW w:w="5000" w:type="pct"/>
            <w:shd w:val="clear" w:color="auto" w:fill="F2F2F2"/>
            <w:hideMark/>
          </w:tcPr>
          <w:p w14:paraId="7833AD97" w14:textId="139226BC" w:rsidR="00AA0D0B" w:rsidRPr="00963E59" w:rsidRDefault="00562807" w:rsidP="00E964D5">
            <w:pPr>
              <w:pStyle w:val="BoxHeading"/>
            </w:pPr>
            <w:bookmarkStart w:id="259" w:name="Box37"/>
            <w:bookmarkStart w:id="260" w:name="_Toc237351162"/>
            <w:bookmarkStart w:id="261" w:name="_Toc233287131"/>
            <w:bookmarkEnd w:id="259"/>
            <w:r w:rsidRPr="00963E59">
              <w:t xml:space="preserve">Box </w:t>
            </w:r>
            <w:r w:rsidR="00680A18">
              <w:t>29</w:t>
            </w:r>
            <w:r w:rsidRPr="00963E59">
              <w:t xml:space="preserve">. </w:t>
            </w:r>
            <w:r w:rsidR="00AA0D0B" w:rsidRPr="00963E59">
              <w:t>Supporting resource</w:t>
            </w:r>
            <w:r w:rsidR="00A17C93" w:rsidRPr="00963E59">
              <w:t xml:space="preserve"> for </w:t>
            </w:r>
            <w:r w:rsidR="004320CC" w:rsidRPr="00963E59">
              <w:t>integrating transition planning</w:t>
            </w:r>
            <w:r w:rsidR="006F6A59" w:rsidRPr="00963E59">
              <w:t xml:space="preserve"> into financial</w:t>
            </w:r>
            <w:r w:rsidR="002A7AE0" w:rsidRPr="00963E59">
              <w:t> </w:t>
            </w:r>
            <w:r w:rsidR="006F6A59" w:rsidRPr="00963E59">
              <w:t>planning</w:t>
            </w:r>
            <w:bookmarkEnd w:id="260"/>
            <w:bookmarkEnd w:id="261"/>
          </w:p>
          <w:p w14:paraId="11FED932" w14:textId="44421846" w:rsidR="00AA0D0B" w:rsidRPr="00963E59" w:rsidRDefault="00AA0D0B" w:rsidP="00EC7A2F">
            <w:pPr>
              <w:pStyle w:val="BoxText"/>
              <w:rPr>
                <w:rFonts w:cs="Calibri Light"/>
                <w:szCs w:val="22"/>
              </w:rPr>
            </w:pPr>
            <w:r w:rsidRPr="00963E59">
              <w:rPr>
                <w:rFonts w:cs="Calibri Light"/>
                <w:b/>
                <w:bCs/>
                <w:szCs w:val="22"/>
              </w:rPr>
              <w:t xml:space="preserve">Accounting for Sustainability </w:t>
            </w:r>
            <w:hyperlink r:id="rId177">
              <w:r w:rsidRPr="00963E59">
                <w:rPr>
                  <w:rStyle w:val="Hyperlink"/>
                  <w:rFonts w:cs="Calibri Light"/>
                  <w:b/>
                  <w:bCs/>
                  <w:szCs w:val="22"/>
                </w:rPr>
                <w:t>Aligning Financial Planning and Transition Planning Guide</w:t>
              </w:r>
            </w:hyperlink>
            <w:r w:rsidR="000234D9" w:rsidRPr="00963E59">
              <w:t>:</w:t>
            </w:r>
            <w:r w:rsidR="000234D9" w:rsidRPr="00963E59">
              <w:rPr>
                <w:rStyle w:val="FootnoteReference"/>
              </w:rPr>
              <w:endnoteReference w:id="122"/>
            </w:r>
            <w:r w:rsidR="000234D9" w:rsidRPr="00963E59">
              <w:t xml:space="preserve"> p</w:t>
            </w:r>
            <w:r w:rsidRPr="00963E59">
              <w:rPr>
                <w:rFonts w:cs="Calibri Light"/>
                <w:szCs w:val="22"/>
              </w:rPr>
              <w:t>rovides finance teams with practical frameworks and tools to integrate climate-transition planning into core financial planning processes, ensuring that capital allocation, risk management, and strategic decisions reflect the realities of a net</w:t>
            </w:r>
            <w:r w:rsidR="005F04A2" w:rsidRPr="00963E59">
              <w:rPr>
                <w:rFonts w:cs="Calibri Light"/>
                <w:szCs w:val="22"/>
              </w:rPr>
              <w:t xml:space="preserve"> </w:t>
            </w:r>
            <w:r w:rsidRPr="00963E59">
              <w:rPr>
                <w:rFonts w:cs="Calibri Light"/>
                <w:szCs w:val="22"/>
              </w:rPr>
              <w:t>zero transition.</w:t>
            </w:r>
          </w:p>
        </w:tc>
      </w:tr>
    </w:tbl>
    <w:p w14:paraId="5CC04C7B" w14:textId="77777777" w:rsidR="0029075A" w:rsidRDefault="0029075A">
      <w:pPr>
        <w:spacing w:before="0" w:after="160" w:line="259" w:lineRule="auto"/>
      </w:pPr>
      <w:bookmarkStart w:id="262" w:name="section3dot7"/>
      <w:bookmarkStart w:id="263" w:name="_Toc224906892"/>
      <w:bookmarkStart w:id="264" w:name="_Toc224916524"/>
      <w:bookmarkStart w:id="265" w:name="_Toc232776365"/>
      <w:bookmarkEnd w:id="262"/>
      <w:r>
        <w:br w:type="page"/>
      </w:r>
    </w:p>
    <w:p w14:paraId="46EB2E22" w14:textId="525E986F" w:rsidR="00E53F75" w:rsidRPr="00220D27" w:rsidRDefault="00994B23" w:rsidP="00E62101">
      <w:pPr>
        <w:pStyle w:val="Heading2Numbered"/>
      </w:pPr>
      <w:bookmarkStart w:id="266" w:name="stage3dot7"/>
      <w:bookmarkEnd w:id="266"/>
      <w:r>
        <w:lastRenderedPageBreak/>
        <w:t>Set metrics and targets to track progress</w:t>
      </w:r>
      <w:bookmarkEnd w:id="263"/>
      <w:bookmarkEnd w:id="264"/>
      <w:bookmarkEnd w:id="265"/>
    </w:p>
    <w:p w14:paraId="1B4DE92B" w14:textId="2DBB03D8" w:rsidR="00994B23" w:rsidRDefault="00C4574D" w:rsidP="00994B23">
      <w:r>
        <w:t>M</w:t>
      </w:r>
      <w:r w:rsidR="00994B23">
        <w:t>etrics and targets</w:t>
      </w:r>
      <w:r w:rsidR="000E22E6">
        <w:t xml:space="preserve"> that</w:t>
      </w:r>
      <w:r w:rsidR="008A605D">
        <w:t xml:space="preserve"> are</w:t>
      </w:r>
      <w:r w:rsidR="000E22E6">
        <w:t xml:space="preserve"> clear and measurable</w:t>
      </w:r>
      <w:r w:rsidR="007B0254">
        <w:t xml:space="preserve"> </w:t>
      </w:r>
      <w:r w:rsidR="00471D9D">
        <w:t>support</w:t>
      </w:r>
      <w:r w:rsidR="001765B3">
        <w:t xml:space="preserve"> organisations </w:t>
      </w:r>
      <w:r w:rsidR="00471D9D">
        <w:t>to</w:t>
      </w:r>
      <w:r w:rsidR="007C2E80">
        <w:t xml:space="preserve"> mon</w:t>
      </w:r>
      <w:r w:rsidR="006979B3">
        <w:t>itor progress</w:t>
      </w:r>
      <w:r w:rsidR="00994B23" w:rsidDel="00E03F1A">
        <w:t xml:space="preserve"> </w:t>
      </w:r>
      <w:r w:rsidR="00FB225A">
        <w:t>and</w:t>
      </w:r>
      <w:r w:rsidR="003F558E">
        <w:t xml:space="preserve"> </w:t>
      </w:r>
      <w:r w:rsidR="00994B23">
        <w:t>maintain</w:t>
      </w:r>
      <w:r w:rsidR="001765B3">
        <w:t xml:space="preserve"> </w:t>
      </w:r>
      <w:r w:rsidR="00994B23">
        <w:t xml:space="preserve">accountability </w:t>
      </w:r>
      <w:r w:rsidR="00E93A1B">
        <w:t>for</w:t>
      </w:r>
      <w:r w:rsidR="00615C3D">
        <w:t xml:space="preserve"> </w:t>
      </w:r>
      <w:r w:rsidR="00994B23">
        <w:t>strategic ambitions</w:t>
      </w:r>
      <w:r w:rsidR="004B51BA" w:rsidRPr="004B1ECE">
        <w:t>.</w:t>
      </w:r>
      <w:r w:rsidR="00994B23">
        <w:t xml:space="preserve"> </w:t>
      </w:r>
      <w:r w:rsidR="004F6F3E" w:rsidRPr="004F6F3E">
        <w:t>Effective targets are typically underpinned by</w:t>
      </w:r>
      <w:r w:rsidR="00994B23">
        <w:t xml:space="preserve"> transparent </w:t>
      </w:r>
      <w:r w:rsidR="00291061">
        <w:t xml:space="preserve">and documented </w:t>
      </w:r>
      <w:r w:rsidR="00994B23">
        <w:t>underlying assumptions and the best available data</w:t>
      </w:r>
      <w:r w:rsidR="002B6F25">
        <w:t xml:space="preserve">, </w:t>
      </w:r>
      <w:r w:rsidR="007445AE">
        <w:t xml:space="preserve">with </w:t>
      </w:r>
      <w:r w:rsidR="002B6F25">
        <w:t>conservative</w:t>
      </w:r>
      <w:r w:rsidR="00994B23">
        <w:t xml:space="preserve"> </w:t>
      </w:r>
      <w:r w:rsidR="00A1134D">
        <w:t xml:space="preserve">estimates </w:t>
      </w:r>
      <w:r w:rsidR="007445AE">
        <w:t xml:space="preserve">used </w:t>
      </w:r>
      <w:r w:rsidR="004D5111">
        <w:t xml:space="preserve">where data </w:t>
      </w:r>
      <w:r w:rsidR="00202FEF">
        <w:t>are</w:t>
      </w:r>
      <w:r w:rsidR="004D5111">
        <w:t xml:space="preserve"> unavailable</w:t>
      </w:r>
      <w:r w:rsidR="002B6F25">
        <w:t>.</w:t>
      </w:r>
    </w:p>
    <w:p w14:paraId="16F6C887" w14:textId="1CFA5AF0" w:rsidR="00994B23" w:rsidRDefault="00994B23" w:rsidP="00CE73A0">
      <w:r>
        <w:t xml:space="preserve">Good practice target setting </w:t>
      </w:r>
      <w:r w:rsidR="00720CBE">
        <w:t xml:space="preserve">can </w:t>
      </w:r>
      <w:r>
        <w:t>include:</w:t>
      </w:r>
    </w:p>
    <w:p w14:paraId="14779579" w14:textId="3492A9D1" w:rsidR="00994B23" w:rsidRPr="00AA0D0B" w:rsidRDefault="009D57D8" w:rsidP="00DB6514">
      <w:pPr>
        <w:pStyle w:val="Bullet"/>
      </w:pPr>
      <w:r>
        <w:t>u</w:t>
      </w:r>
      <w:r w:rsidR="00994B23" w:rsidRPr="00AA0D0B">
        <w:t>sing accepted emissions accounting methodologies and science</w:t>
      </w:r>
      <w:r w:rsidR="00963E59">
        <w:noBreakHyphen/>
      </w:r>
      <w:r w:rsidR="00994B23" w:rsidRPr="00AA0D0B">
        <w:t>based targets</w:t>
      </w:r>
    </w:p>
    <w:p w14:paraId="4AADFFCC" w14:textId="13B482A7" w:rsidR="00994B23" w:rsidRPr="00AA0D0B" w:rsidRDefault="009D57D8" w:rsidP="00DB6514">
      <w:pPr>
        <w:pStyle w:val="Bullet"/>
      </w:pPr>
      <w:r>
        <w:t>u</w:t>
      </w:r>
      <w:r w:rsidR="00994B23" w:rsidRPr="00AA0D0B">
        <w:t>sing metrics commonly used within the organisation</w:t>
      </w:r>
      <w:r w:rsidR="00963E59">
        <w:t>’</w:t>
      </w:r>
      <w:r w:rsidR="00994B23" w:rsidRPr="00AA0D0B">
        <w:t>s sector</w:t>
      </w:r>
      <w:r w:rsidR="00F7563C" w:rsidRPr="00AA0D0B">
        <w:t xml:space="preserve"> or by comparable entities</w:t>
      </w:r>
    </w:p>
    <w:p w14:paraId="103B21D5" w14:textId="7FBB3D4C" w:rsidR="00994B23" w:rsidRPr="00AA0D0B" w:rsidRDefault="009D57D8" w:rsidP="00DB6514">
      <w:pPr>
        <w:pStyle w:val="Bullet"/>
      </w:pPr>
      <w:r>
        <w:t>s</w:t>
      </w:r>
      <w:r w:rsidR="00994B23" w:rsidRPr="00AA0D0B">
        <w:t xml:space="preserve">etting internal </w:t>
      </w:r>
      <w:r w:rsidR="006C4AC3" w:rsidRPr="00AA0D0B">
        <w:t>review mechanisms</w:t>
      </w:r>
      <w:r w:rsidR="00296B9C" w:rsidRPr="00AA0D0B">
        <w:t xml:space="preserve"> </w:t>
      </w:r>
      <w:r w:rsidR="009B4BD7" w:rsidRPr="00AA0D0B">
        <w:t>or</w:t>
      </w:r>
      <w:r w:rsidR="00296B9C" w:rsidRPr="00AA0D0B" w:rsidDel="00E83B3D">
        <w:t xml:space="preserve"> </w:t>
      </w:r>
      <w:r w:rsidR="00994B23" w:rsidRPr="00AA0D0B">
        <w:t xml:space="preserve">triggers for when targets will be reassessed, such as in response to a change in external </w:t>
      </w:r>
      <w:r w:rsidR="00711811" w:rsidRPr="00AA0D0B">
        <w:t>conditions,</w:t>
      </w:r>
      <w:r w:rsidR="00700A36" w:rsidRPr="00AA0D0B">
        <w:t xml:space="preserve"> </w:t>
      </w:r>
      <w:r w:rsidR="00994B23" w:rsidRPr="00AA0D0B">
        <w:t>dependencies or assumptions</w:t>
      </w:r>
      <w:r w:rsidR="00C73DD8" w:rsidRPr="00AA0D0B">
        <w:t>.</w:t>
      </w:r>
    </w:p>
    <w:p w14:paraId="3338FD97" w14:textId="7613092B" w:rsidR="000F7AEE" w:rsidRDefault="0023153A" w:rsidP="00746CB6">
      <w:r>
        <w:t>To</w:t>
      </w:r>
      <w:r w:rsidR="000F7AEE">
        <w:t xml:space="preserve"> measure progress against targets</w:t>
      </w:r>
      <w:r w:rsidR="00846404">
        <w:t xml:space="preserve">, organisations may </w:t>
      </w:r>
      <w:r w:rsidR="004D7AE7">
        <w:t xml:space="preserve">need to </w:t>
      </w:r>
      <w:r w:rsidR="00846404">
        <w:t xml:space="preserve">update their existing data infrastructure to </w:t>
      </w:r>
      <w:r w:rsidR="007D5EA9">
        <w:t xml:space="preserve">more securely and effectively </w:t>
      </w:r>
      <w:r w:rsidR="0077354A">
        <w:t xml:space="preserve">collect, store and retrieve data. </w:t>
      </w:r>
      <w:r w:rsidR="008615D9">
        <w:t>Organisations</w:t>
      </w:r>
      <w:r w:rsidR="008615D9" w:rsidDel="00D73BC5">
        <w:t xml:space="preserve"> </w:t>
      </w:r>
      <w:r w:rsidR="000C7C22">
        <w:t xml:space="preserve">may involve </w:t>
      </w:r>
      <w:r w:rsidR="00F463FA">
        <w:t>relevant</w:t>
      </w:r>
      <w:r w:rsidR="00DF15AE">
        <w:t xml:space="preserve"> IT function</w:t>
      </w:r>
      <w:r w:rsidR="00515BC5">
        <w:t>s</w:t>
      </w:r>
      <w:r w:rsidR="00DF15AE">
        <w:t xml:space="preserve"> </w:t>
      </w:r>
      <w:r w:rsidR="000538C3">
        <w:t>during the metrics and targets</w:t>
      </w:r>
      <w:r w:rsidR="00521AA6">
        <w:t xml:space="preserve"> settings</w:t>
      </w:r>
      <w:r w:rsidR="000538C3">
        <w:t xml:space="preserve"> stage to ensure data systems </w:t>
      </w:r>
      <w:r w:rsidR="00521AA6">
        <w:t>are able to</w:t>
      </w:r>
      <w:r w:rsidR="00BB610F">
        <w:t xml:space="preserve"> support</w:t>
      </w:r>
      <w:r w:rsidR="000538C3">
        <w:t xml:space="preserve"> monitoring under </w:t>
      </w:r>
      <w:hyperlink w:anchor="Stage4" w:history="1">
        <w:r w:rsidR="000538C3" w:rsidRPr="008D2109">
          <w:rPr>
            <w:rStyle w:val="Hyperlink"/>
          </w:rPr>
          <w:t>Stage 4</w:t>
        </w:r>
      </w:hyperlink>
      <w:r w:rsidR="00A141BF">
        <w:t xml:space="preserve"> of this guidance</w:t>
      </w:r>
      <w:r w:rsidR="000538C3">
        <w:t xml:space="preserve">. </w:t>
      </w:r>
      <w:r w:rsidR="00C80571">
        <w:t>Targets may also change over time</w:t>
      </w:r>
      <w:r w:rsidR="00D055B7">
        <w:t>,</w:t>
      </w:r>
      <w:r w:rsidR="00080E6C">
        <w:t xml:space="preserve"> </w:t>
      </w:r>
      <w:r w:rsidR="007A0E1D">
        <w:t xml:space="preserve">including </w:t>
      </w:r>
      <w:r w:rsidR="00D055B7">
        <w:t>as</w:t>
      </w:r>
      <w:r w:rsidR="007A0E1D">
        <w:t xml:space="preserve"> data quality</w:t>
      </w:r>
      <w:r w:rsidR="00D055B7">
        <w:t xml:space="preserve"> improves</w:t>
      </w:r>
      <w:r w:rsidR="00DC3406">
        <w:t>.</w:t>
      </w:r>
    </w:p>
    <w:p w14:paraId="478DB15C" w14:textId="00DBD82E" w:rsidR="00994B23" w:rsidRDefault="004402D9" w:rsidP="00994B23">
      <w:r>
        <w:t>O</w:t>
      </w:r>
      <w:r w:rsidRPr="004402D9">
        <w:t>rganisations should be aware that stakeholders may regard targets that are overly vague, unsubstantiated or lacking clear assumptions as not credible. Such targets may undermine stakeholder confidence</w:t>
      </w:r>
      <w:r w:rsidR="004320CC">
        <w:t>. I</w:t>
      </w:r>
      <w:r w:rsidRPr="004402D9">
        <w:t>n some circumstances</w:t>
      </w:r>
      <w:r w:rsidR="004320CC">
        <w:t xml:space="preserve"> they </w:t>
      </w:r>
      <w:r w:rsidRPr="004402D9">
        <w:t>could be considered misleading.</w:t>
      </w:r>
      <w:r w:rsidR="00994B23">
        <w:t xml:space="preserve"> For more information refer to the ACCC</w:t>
      </w:r>
      <w:r w:rsidR="00963E59">
        <w:t>’</w:t>
      </w:r>
      <w:r w:rsidR="00994B23">
        <w:t xml:space="preserve">s </w:t>
      </w:r>
      <w:r w:rsidR="00994B23" w:rsidRPr="00D73DD0">
        <w:t>Environmental Claims Guide</w:t>
      </w:r>
      <w:r w:rsidR="00994B23">
        <w:t xml:space="preserve"> and ASIC</w:t>
      </w:r>
      <w:r w:rsidR="00963E59">
        <w:t>’</w:t>
      </w:r>
      <w:r w:rsidR="00994B23">
        <w:t xml:space="preserve">s </w:t>
      </w:r>
      <w:hyperlink r:id="rId178" w:history="1">
        <w:r w:rsidR="00994B23" w:rsidRPr="007C115D">
          <w:rPr>
            <w:rStyle w:val="Hyperlink"/>
          </w:rPr>
          <w:t>information sheet</w:t>
        </w:r>
      </w:hyperlink>
      <w:r w:rsidR="00994B23">
        <w:t xml:space="preserve"> on how to avoid greenwashing.</w:t>
      </w:r>
    </w:p>
    <w:p w14:paraId="21D9ED1E" w14:textId="77777777" w:rsidR="00994B23" w:rsidRDefault="00994B23" w:rsidP="00994B23">
      <w:pPr>
        <w:pStyle w:val="Heading3"/>
      </w:pPr>
      <w:r>
        <w:t>Types of targets</w:t>
      </w:r>
    </w:p>
    <w:p w14:paraId="4FE3CD8B" w14:textId="4DFCAD9A" w:rsidR="00DC2ADE" w:rsidRPr="00DC2ADE" w:rsidRDefault="00DC2ADE" w:rsidP="00DC2ADE">
      <w:r w:rsidRPr="00DC2ADE">
        <w:t xml:space="preserve">Organisations may choose to establish a range of metrics and targets to </w:t>
      </w:r>
      <w:r w:rsidR="00E06DF9" w:rsidRPr="00E06DF9">
        <w:t xml:space="preserve">give effect to their stated </w:t>
      </w:r>
      <w:r w:rsidR="00ED59F2">
        <w:t>strategic</w:t>
      </w:r>
      <w:r w:rsidR="00E06DF9" w:rsidRPr="00E06DF9">
        <w:t xml:space="preserve"> ambitions</w:t>
      </w:r>
      <w:r w:rsidR="00E06DF9">
        <w:t xml:space="preserve"> and </w:t>
      </w:r>
      <w:r w:rsidR="00772BDE">
        <w:t>help</w:t>
      </w:r>
      <w:r w:rsidR="00E06DF9">
        <w:t xml:space="preserve"> </w:t>
      </w:r>
      <w:r w:rsidRPr="00DC2ADE">
        <w:t>drive and monitor progress</w:t>
      </w:r>
      <w:r w:rsidR="008B7F86">
        <w:t xml:space="preserve">. </w:t>
      </w:r>
      <w:r w:rsidRPr="00DC2ADE">
        <w:t xml:space="preserve">These metrics and targets </w:t>
      </w:r>
      <w:r w:rsidR="008666DE">
        <w:t>can</w:t>
      </w:r>
      <w:r w:rsidRPr="00DC2ADE">
        <w:t xml:space="preserve"> </w:t>
      </w:r>
      <w:r w:rsidR="00931F9E">
        <w:t>relate to</w:t>
      </w:r>
      <w:r w:rsidRPr="00DC2ADE">
        <w:t xml:space="preserve"> emissions outcomes, strategic and operational actions, </w:t>
      </w:r>
      <w:r w:rsidR="00421352">
        <w:t>or</w:t>
      </w:r>
      <w:r w:rsidRPr="00DC2ADE">
        <w:t xml:space="preserve"> financial performance.</w:t>
      </w:r>
    </w:p>
    <w:p w14:paraId="71512EFA" w14:textId="584C3C28" w:rsidR="00DC2ADE" w:rsidRPr="00DC2ADE" w:rsidRDefault="00DC2ADE" w:rsidP="00DC2ADE">
      <w:r w:rsidRPr="00DC2ADE">
        <w:t xml:space="preserve">The TPT Disclosure Framework identifies a range of target types commonly used by organisations, including those related to </w:t>
      </w:r>
      <w:r w:rsidR="007B2821">
        <w:t>greenhouse gas (</w:t>
      </w:r>
      <w:r w:rsidRPr="00DC2ADE">
        <w:t>GHG</w:t>
      </w:r>
      <w:r w:rsidR="007B2821">
        <w:t>)</w:t>
      </w:r>
      <w:r w:rsidRPr="00DC2ADE">
        <w:t xml:space="preserve"> emissions, governance and engagement, business and operational activities, and financial performance. Drawing on these concepts, this guidance groups targets into </w:t>
      </w:r>
      <w:r w:rsidR="00197BE4">
        <w:t>three</w:t>
      </w:r>
      <w:r w:rsidRPr="00DC2ADE">
        <w:t xml:space="preserve"> categories for practical application:</w:t>
      </w:r>
    </w:p>
    <w:p w14:paraId="528412B9" w14:textId="77777777" w:rsidR="00DC2ADE" w:rsidRPr="00DC2ADE" w:rsidRDefault="00DC2ADE" w:rsidP="00DB6514">
      <w:pPr>
        <w:pStyle w:val="Bullet"/>
      </w:pPr>
      <w:r w:rsidRPr="00DC2ADE">
        <w:t>Mitigation</w:t>
      </w:r>
    </w:p>
    <w:p w14:paraId="2FCF1E3F" w14:textId="1E735447" w:rsidR="00DC2ADE" w:rsidRPr="00DC2ADE" w:rsidRDefault="00DC2ADE" w:rsidP="00DB6514">
      <w:pPr>
        <w:pStyle w:val="Bullet"/>
      </w:pPr>
      <w:r w:rsidRPr="00DC2ADE">
        <w:t xml:space="preserve">Adaptation </w:t>
      </w:r>
    </w:p>
    <w:p w14:paraId="37C824F6" w14:textId="129871A1" w:rsidR="00DC2ADE" w:rsidRDefault="00DC2ADE" w:rsidP="00DB6514">
      <w:pPr>
        <w:pStyle w:val="Bullet"/>
      </w:pPr>
      <w:r w:rsidRPr="00DC2ADE">
        <w:t>Financial</w:t>
      </w:r>
    </w:p>
    <w:p w14:paraId="36DC7016" w14:textId="06262E89" w:rsidR="00AA0D0B" w:rsidRDefault="007A5B19" w:rsidP="00AA0D0B">
      <w:r>
        <w:t xml:space="preserve">The </w:t>
      </w:r>
      <w:r w:rsidRPr="00D73DD0">
        <w:t>TPT Transition Planning Cycle</w:t>
      </w:r>
      <w:r>
        <w:t xml:space="preserve"> (page 38</w:t>
      </w:r>
      <w:r w:rsidR="000C06FD">
        <w:t>–</w:t>
      </w:r>
      <w:r>
        <w:t>40) includes further information on setting targets for governance, engagement and business operations.</w:t>
      </w:r>
    </w:p>
    <w:p w14:paraId="12B9684E" w14:textId="124161AD" w:rsidR="00994B23" w:rsidRDefault="00994B23" w:rsidP="00790631">
      <w:pPr>
        <w:pStyle w:val="Heading4"/>
        <w:keepLines/>
      </w:pPr>
      <w:r>
        <w:t xml:space="preserve">Mitigation </w:t>
      </w:r>
      <w:r w:rsidR="00557CA0">
        <w:t xml:space="preserve">metrics and </w:t>
      </w:r>
      <w:r>
        <w:t xml:space="preserve">targets </w:t>
      </w:r>
    </w:p>
    <w:p w14:paraId="7AEEB53B" w14:textId="55EDEE2E" w:rsidR="00C92D2D" w:rsidRDefault="00C92D2D" w:rsidP="00790631">
      <w:pPr>
        <w:keepNext/>
        <w:keepLines/>
      </w:pPr>
      <w:r w:rsidRPr="00C92D2D">
        <w:t>Mitigation metrics and targets are used to track progress toward</w:t>
      </w:r>
      <w:r w:rsidR="00B11813">
        <w:t>s</w:t>
      </w:r>
      <w:r w:rsidRPr="00C92D2D">
        <w:t xml:space="preserve"> reducing greenhouse gas emissions and supporting the transition to a lower</w:t>
      </w:r>
      <w:r w:rsidR="00963E59">
        <w:noBreakHyphen/>
      </w:r>
      <w:r w:rsidRPr="00C92D2D">
        <w:t>emissions operating model.</w:t>
      </w:r>
      <w:r w:rsidR="00F82B3B">
        <w:t xml:space="preserve"> Organisations can consider international and national targets </w:t>
      </w:r>
      <w:r w:rsidR="00826947">
        <w:t>when</w:t>
      </w:r>
      <w:r w:rsidR="00F82B3B">
        <w:t xml:space="preserve"> setting their </w:t>
      </w:r>
      <w:r w:rsidR="00826947">
        <w:t>mitigation targets</w:t>
      </w:r>
      <w:r w:rsidR="00F82B3B">
        <w:t xml:space="preserve"> (</w:t>
      </w:r>
      <w:r w:rsidR="00826947" w:rsidRPr="00772BDE">
        <w:t xml:space="preserve">further detail at </w:t>
      </w:r>
      <w:hyperlink w:anchor="Stage2dot1" w:history="1">
        <w:r w:rsidR="00826947" w:rsidRPr="008D2109">
          <w:rPr>
            <w:rStyle w:val="Hyperlink"/>
          </w:rPr>
          <w:t>section</w:t>
        </w:r>
        <w:r w:rsidR="00EF10AF" w:rsidRPr="008D2109">
          <w:rPr>
            <w:rStyle w:val="Hyperlink"/>
          </w:rPr>
          <w:t> </w:t>
        </w:r>
        <w:r w:rsidR="00FA2014" w:rsidRPr="008D2109">
          <w:rPr>
            <w:rStyle w:val="Hyperlink"/>
          </w:rPr>
          <w:t>2.1</w:t>
        </w:r>
      </w:hyperlink>
      <w:r w:rsidR="00B81031">
        <w:t xml:space="preserve"> of the guidance</w:t>
      </w:r>
      <w:r w:rsidR="00FA2014" w:rsidRPr="00772BDE">
        <w:t>)</w:t>
      </w:r>
      <w:r w:rsidR="005B527E" w:rsidRPr="00772BDE">
        <w:t>.</w:t>
      </w:r>
    </w:p>
    <w:p w14:paraId="7B5C6998" w14:textId="5939C5FF" w:rsidR="00DF58F0" w:rsidRDefault="00994B23" w:rsidP="00DB6514">
      <w:pPr>
        <w:pStyle w:val="Bullet"/>
      </w:pPr>
      <w:r w:rsidRPr="00AA0D0B">
        <w:rPr>
          <w:b/>
          <w:bCs/>
        </w:rPr>
        <w:t>GHG metrics and targets</w:t>
      </w:r>
      <w:r w:rsidRPr="00AA0D0B">
        <w:t xml:space="preserve"> are measurable indicators and specific goals set by organisations to reduce and track greenhouse gas emissions across different time horizons. For example, an </w:t>
      </w:r>
      <w:r w:rsidRPr="00AA0D0B">
        <w:lastRenderedPageBreak/>
        <w:t>organisation may set a target to collectively reduce scope 1</w:t>
      </w:r>
      <w:r w:rsidR="008927AC" w:rsidRPr="00AA0D0B">
        <w:t xml:space="preserve"> and</w:t>
      </w:r>
      <w:r w:rsidR="005840C2" w:rsidRPr="00AA0D0B">
        <w:t xml:space="preserve"> </w:t>
      </w:r>
      <w:r w:rsidRPr="00AA0D0B">
        <w:t xml:space="preserve">2 emissions by </w:t>
      </w:r>
      <w:r w:rsidR="00D92FD1" w:rsidRPr="00AA0D0B">
        <w:t>20</w:t>
      </w:r>
      <w:r w:rsidRPr="00AA0D0B">
        <w:t>0</w:t>
      </w:r>
      <w:r w:rsidR="00A81C7A">
        <w:t> </w:t>
      </w:r>
      <w:r w:rsidRPr="00AA0D0B">
        <w:t xml:space="preserve">tonnes compared to 2019 levels </w:t>
      </w:r>
      <w:r w:rsidR="00D20738" w:rsidRPr="00AA0D0B">
        <w:t>(800 tonnes)</w:t>
      </w:r>
      <w:r w:rsidRPr="00AA0D0B">
        <w:t xml:space="preserve"> by the year 2032</w:t>
      </w:r>
      <w:r w:rsidR="00ED5EB3" w:rsidRPr="00AA0D0B">
        <w:t xml:space="preserve"> (</w:t>
      </w:r>
      <w:r w:rsidR="00220C89" w:rsidRPr="00AA0D0B">
        <w:t>representing</w:t>
      </w:r>
      <w:r w:rsidR="00ED5EB3" w:rsidRPr="00AA0D0B">
        <w:t xml:space="preserve"> a </w:t>
      </w:r>
      <w:r w:rsidR="00220C89" w:rsidRPr="00AA0D0B">
        <w:t>25</w:t>
      </w:r>
      <w:r w:rsidR="00DE3864">
        <w:t xml:space="preserve"> per cent</w:t>
      </w:r>
      <w:r w:rsidR="00220C89" w:rsidRPr="00AA0D0B">
        <w:t xml:space="preserve"> reduction)</w:t>
      </w:r>
      <w:r w:rsidRPr="00AA0D0B">
        <w:t>.</w:t>
      </w:r>
      <w:r w:rsidR="00845418" w:rsidRPr="00AA0D0B">
        <w:t xml:space="preserve"> </w:t>
      </w:r>
      <w:r w:rsidR="00AD5A75" w:rsidRPr="00AA0D0B">
        <w:t xml:space="preserve">Targets may refer to the net or gross emissions and be part of voluntary or compliance commitments. </w:t>
      </w:r>
      <w:hyperlink w:anchor="Box38" w:history="1">
        <w:r w:rsidR="00680A18">
          <w:rPr>
            <w:rStyle w:val="Hyperlink"/>
          </w:rPr>
          <w:t>Box 30</w:t>
        </w:r>
      </w:hyperlink>
      <w:r w:rsidR="006968DA" w:rsidRPr="00AA0D0B">
        <w:t xml:space="preserve"> </w:t>
      </w:r>
      <w:r w:rsidR="005F32E3" w:rsidRPr="00AA0D0B">
        <w:t xml:space="preserve">outlines considerations </w:t>
      </w:r>
      <w:r w:rsidR="003323E1" w:rsidRPr="00AA0D0B">
        <w:t>when setting GHG targets</w:t>
      </w:r>
      <w:r w:rsidR="001520B1" w:rsidRPr="00AA0D0B">
        <w:t>.</w:t>
      </w:r>
      <w:r w:rsidR="00C56FA0" w:rsidRPr="00AA0D0B">
        <w:t xml:space="preserve"> </w:t>
      </w:r>
    </w:p>
    <w:p w14:paraId="4838F307" w14:textId="2EB75E52" w:rsidR="000B2BA5" w:rsidRPr="00AA0D0B" w:rsidRDefault="000B2BA5" w:rsidP="00DB6514">
      <w:pPr>
        <w:pStyle w:val="Bullet"/>
      </w:pPr>
      <w:r w:rsidRPr="00AA0D0B">
        <w:rPr>
          <w:b/>
          <w:bCs/>
        </w:rPr>
        <w:t>Operational decarbonisation metrics and targets</w:t>
      </w:r>
      <w:r w:rsidRPr="00AA0D0B">
        <w:t xml:space="preserve"> track specific mitigation actions which are expected to deliver emissions reduction outcomes. For example, a</w:t>
      </w:r>
      <w:r>
        <w:t xml:space="preserve"> small</w:t>
      </w:r>
      <w:r w:rsidRPr="00AA0D0B">
        <w:t xml:space="preserve"> organisation may set an operational target of using 80</w:t>
      </w:r>
      <w:r w:rsidR="00DE3864">
        <w:t xml:space="preserve"> per cent</w:t>
      </w:r>
      <w:r w:rsidRPr="00AA0D0B">
        <w:t xml:space="preserve"> recycled materials by the year 2040. Achieving this operational target may also result in a GHG emissions reduction of </w:t>
      </w:r>
      <w:r>
        <w:t>3</w:t>
      </w:r>
      <w:r w:rsidRPr="00AA0D0B">
        <w:t xml:space="preserve">0 tonnes which could contribute to </w:t>
      </w:r>
      <w:r>
        <w:t>their</w:t>
      </w:r>
      <w:r w:rsidRPr="00AA0D0B">
        <w:t xml:space="preserve"> mitigation target. </w:t>
      </w:r>
    </w:p>
    <w:p w14:paraId="3FE0B30D" w14:textId="662DDC02" w:rsidR="00994B23" w:rsidRPr="00AA0D0B" w:rsidRDefault="002E2D3C" w:rsidP="00DB6514">
      <w:pPr>
        <w:pStyle w:val="Bullet"/>
      </w:pPr>
      <w:r w:rsidRPr="00AA0D0B">
        <w:rPr>
          <w:b/>
          <w:bCs/>
        </w:rPr>
        <w:t>Financed emission</w:t>
      </w:r>
      <w:r w:rsidR="00164AC9" w:rsidRPr="00AA0D0B">
        <w:rPr>
          <w:b/>
          <w:bCs/>
        </w:rPr>
        <w:t xml:space="preserve"> targets:</w:t>
      </w:r>
      <w:r w:rsidR="00C56FA0" w:rsidRPr="00AA0D0B">
        <w:t xml:space="preserve"> </w:t>
      </w:r>
      <w:r w:rsidR="006A3C02" w:rsidRPr="00AA0D0B">
        <w:t>For financial institutions, greenhouse gas metrics and targets may differ from those used by non</w:t>
      </w:r>
      <w:r w:rsidR="00963E59">
        <w:noBreakHyphen/>
      </w:r>
      <w:r w:rsidR="006A3C02" w:rsidRPr="00AA0D0B">
        <w:t>financial corporates, as their primary climate impact arises from financed emissions in lending and investment portfolios rather than their own operations. In this context, financial institutions may use alternative metrics alongside, or instead of, absolute emissions targets, such as portfolio alignment metrics, the share of financed activities covered by science</w:t>
      </w:r>
      <w:r w:rsidR="00963E59">
        <w:noBreakHyphen/>
      </w:r>
      <w:r w:rsidR="006A3C02" w:rsidRPr="00AA0D0B">
        <w:t>based targets, or the proportion of portfolios subject to climate engagement or transition plans. These metrics can support tracking progress over time in a way that remains coherent with business strategy, risk management and capital allocation decisions.</w:t>
      </w:r>
    </w:p>
    <w:p w14:paraId="3AC96B60" w14:textId="3CF8F2D4" w:rsidR="00375803" w:rsidRPr="00AA0D0B" w:rsidRDefault="00680A18" w:rsidP="00790631">
      <w:pPr>
        <w:keepLines/>
      </w:pPr>
      <w:hyperlink w:anchor="Box39" w:history="1">
        <w:r>
          <w:rPr>
            <w:rStyle w:val="Hyperlink"/>
          </w:rPr>
          <w:t>Box 31</w:t>
        </w:r>
      </w:hyperlink>
      <w:r w:rsidR="005D3E0D">
        <w:t xml:space="preserve"> </w:t>
      </w:r>
      <w:r w:rsidR="00375803">
        <w:t>includes additional resources to help set mitigation metrics and targets.</w:t>
      </w:r>
    </w:p>
    <w:tbl>
      <w:tblPr>
        <w:tblW w:w="5000" w:type="pct"/>
        <w:shd w:val="clear" w:color="auto" w:fill="E3EDE8"/>
        <w:tblCellMar>
          <w:top w:w="227" w:type="dxa"/>
          <w:left w:w="227" w:type="dxa"/>
          <w:bottom w:w="227" w:type="dxa"/>
          <w:right w:w="227" w:type="dxa"/>
        </w:tblCellMar>
        <w:tblLook w:val="0620" w:firstRow="1" w:lastRow="0" w:firstColumn="0" w:lastColumn="0" w:noHBand="1" w:noVBand="1"/>
      </w:tblPr>
      <w:tblGrid>
        <w:gridCol w:w="9070"/>
      </w:tblGrid>
      <w:tr w:rsidR="00AA0D0B" w:rsidRPr="00963E59" w14:paraId="216AA9F2" w14:textId="77777777" w:rsidTr="00460C3E">
        <w:tc>
          <w:tcPr>
            <w:tcW w:w="5000" w:type="pct"/>
            <w:shd w:val="clear" w:color="auto" w:fill="E3EDE8"/>
            <w:hideMark/>
          </w:tcPr>
          <w:p w14:paraId="76EDAD65" w14:textId="36499DC4" w:rsidR="00AA0D0B" w:rsidRPr="00963E59" w:rsidRDefault="00AA0D0B" w:rsidP="00E964D5">
            <w:pPr>
              <w:pStyle w:val="BoxHeading"/>
            </w:pPr>
            <w:bookmarkStart w:id="267" w:name="Box38"/>
            <w:bookmarkStart w:id="268" w:name="_Toc237351163"/>
            <w:bookmarkStart w:id="269" w:name="_Toc233287132"/>
            <w:bookmarkEnd w:id="267"/>
            <w:r w:rsidRPr="00963E59">
              <w:lastRenderedPageBreak/>
              <w:t xml:space="preserve">Box </w:t>
            </w:r>
            <w:r w:rsidR="00643CE0" w:rsidRPr="00963E59">
              <w:t>3</w:t>
            </w:r>
            <w:r w:rsidR="00680A18">
              <w:t>0</w:t>
            </w:r>
            <w:r w:rsidR="00EE6EDA" w:rsidRPr="00963E59">
              <w:t>.</w:t>
            </w:r>
            <w:r w:rsidRPr="00963E59">
              <w:t xml:space="preserve"> GHG target setting considerations</w:t>
            </w:r>
            <w:bookmarkEnd w:id="268"/>
            <w:bookmarkEnd w:id="269"/>
          </w:p>
          <w:p w14:paraId="445F2802" w14:textId="1DC7F6AA" w:rsidR="00AA0D0B" w:rsidRPr="00963E59" w:rsidRDefault="00AA0D0B" w:rsidP="00EC7A2F">
            <w:pPr>
              <w:pStyle w:val="BoxText"/>
              <w:rPr>
                <w:lang w:eastAsia="en-US"/>
              </w:rPr>
            </w:pPr>
            <w:r w:rsidRPr="00963E59">
              <w:rPr>
                <w:lang w:eastAsia="en-US"/>
              </w:rPr>
              <w:t>When setting GHG emissions targets, organisations can consider the following factors to support credible tracking of progress and alignment with their climate-related risks, opportunities and strategic ambitions.</w:t>
            </w:r>
          </w:p>
          <w:p w14:paraId="118EA474" w14:textId="5567AE29" w:rsidR="00AA0D0B" w:rsidRPr="00DB6514" w:rsidRDefault="00AA0D0B" w:rsidP="00DB6514">
            <w:pPr>
              <w:pStyle w:val="Boxbullet"/>
              <w:rPr>
                <w:color w:val="2C384A" w:themeColor="accent1"/>
                <w:sz w:val="20"/>
              </w:rPr>
            </w:pPr>
            <w:r w:rsidRPr="00DB6514">
              <w:rPr>
                <w:b/>
                <w:bCs/>
              </w:rPr>
              <w:t>Quantify targets with relevant metrics</w:t>
            </w:r>
            <w:r w:rsidRPr="00963E59">
              <w:t>: clearly define targets and use appropriate metrics that enable progress to be measured over time. Targets may be expressed as absolute emissions reductions (for example, tonnes of carbon dioxide equivalent or, where more decision</w:t>
            </w:r>
            <w:r w:rsidR="002C0EB7" w:rsidRPr="00963E59">
              <w:t xml:space="preserve"> </w:t>
            </w:r>
            <w:r w:rsidRPr="00963E59">
              <w:t>useful, as emissions intensity metrics (such as emissions per unit of product or service). The choice of metric should be relevant to the organisation’s business model, activities and risk profile.</w:t>
            </w:r>
          </w:p>
          <w:p w14:paraId="2847B3CF" w14:textId="73F873F7" w:rsidR="00AA0D0B" w:rsidRPr="00DB6514" w:rsidRDefault="00AA0D0B" w:rsidP="00DB6514">
            <w:pPr>
              <w:pStyle w:val="Boxbullet"/>
              <w:rPr>
                <w:color w:val="2C384A" w:themeColor="accent1"/>
                <w:sz w:val="20"/>
              </w:rPr>
            </w:pPr>
            <w:r w:rsidRPr="00DB6514">
              <w:rPr>
                <w:b/>
                <w:bCs/>
              </w:rPr>
              <w:t>Ensure targets are time bound</w:t>
            </w:r>
            <w:r w:rsidRPr="00963E59">
              <w:t>: time</w:t>
            </w:r>
            <w:r w:rsidR="00496196" w:rsidRPr="00963E59">
              <w:t>-</w:t>
            </w:r>
            <w:r w:rsidRPr="00963E59">
              <w:t>bound targets can help organisations plan their implementation steps by the target date. Where targets are far into the future, interim targets provide tangible milestones</w:t>
            </w:r>
            <w:r w:rsidR="00525B0B" w:rsidRPr="00963E59">
              <w:t xml:space="preserve"> that help</w:t>
            </w:r>
            <w:r w:rsidRPr="00963E59">
              <w:t xml:space="preserve"> ensure the organisation remains on track and improve credibility. For example, </w:t>
            </w:r>
            <w:r w:rsidR="009E41F8" w:rsidRPr="00963E59">
              <w:t xml:space="preserve">if </w:t>
            </w:r>
            <w:r w:rsidRPr="00963E59">
              <w:t>2050</w:t>
            </w:r>
            <w:r w:rsidR="004D54A1" w:rsidRPr="00963E59">
              <w:t xml:space="preserve"> is the</w:t>
            </w:r>
            <w:r w:rsidRPr="00963E59" w:rsidDel="004D54A1">
              <w:t xml:space="preserve"> </w:t>
            </w:r>
            <w:r w:rsidRPr="00963E59">
              <w:t>time horizon for an organisation’s net zero target</w:t>
            </w:r>
            <w:r w:rsidR="00852558" w:rsidRPr="00963E59">
              <w:t xml:space="preserve">, </w:t>
            </w:r>
            <w:r w:rsidRPr="00963E59">
              <w:t xml:space="preserve">interim targets detailing a percentage reduction </w:t>
            </w:r>
            <w:r w:rsidR="00143BEC" w:rsidRPr="00963E59">
              <w:t xml:space="preserve">from </w:t>
            </w:r>
            <w:r w:rsidRPr="00963E59">
              <w:t xml:space="preserve">a baseline year </w:t>
            </w:r>
            <w:r w:rsidR="006F652F" w:rsidRPr="00963E59">
              <w:t>can support progress tracking</w:t>
            </w:r>
            <w:r w:rsidRPr="00963E59">
              <w:t>.</w:t>
            </w:r>
          </w:p>
          <w:p w14:paraId="61C9D27B" w14:textId="05BD93AF" w:rsidR="00AA0D0B" w:rsidRPr="00DB6514" w:rsidRDefault="00AA0D0B" w:rsidP="00DB6514">
            <w:pPr>
              <w:pStyle w:val="Boxbullet"/>
              <w:rPr>
                <w:color w:val="2C384A" w:themeColor="accent1"/>
                <w:sz w:val="20"/>
              </w:rPr>
            </w:pPr>
            <w:r w:rsidRPr="00DB6514">
              <w:rPr>
                <w:b/>
                <w:bCs/>
              </w:rPr>
              <w:t>Ensure targets encompass relevant GHG emissions for the organisation</w:t>
            </w:r>
            <w:r w:rsidRPr="00963E59">
              <w:t xml:space="preserve">: at a minimum, encompass a target to reduce an organisation’s scope 1 and 2 emissions, as they would have direct control over those emissions. </w:t>
            </w:r>
            <w:r w:rsidRPr="00963E59" w:rsidDel="00DD7499">
              <w:t xml:space="preserve">For many organisations, scope </w:t>
            </w:r>
            <w:r w:rsidR="009F7325" w:rsidRPr="00963E59">
              <w:t>3</w:t>
            </w:r>
            <w:r w:rsidRPr="00963E59" w:rsidDel="00DD7499">
              <w:t xml:space="preserve"> emissions will be relevant. </w:t>
            </w:r>
            <w:r w:rsidRPr="00963E59">
              <w:t>Under the G</w:t>
            </w:r>
            <w:r w:rsidR="00DF16EA" w:rsidRPr="00963E59">
              <w:t>reenhouse Gas</w:t>
            </w:r>
            <w:r w:rsidRPr="00963E59">
              <w:t xml:space="preserve"> Protocol, relevance of emissions means that the emissions included appropriately reflect the organisation’s GHG profile and support the decision-making needs of internal and external users.</w:t>
            </w:r>
          </w:p>
          <w:p w14:paraId="169CA110" w14:textId="6ACB69D2" w:rsidR="00AA0D0B" w:rsidRPr="00DB6514" w:rsidRDefault="00AA0D0B" w:rsidP="00DB6514">
            <w:pPr>
              <w:pStyle w:val="Boxbullet"/>
              <w:rPr>
                <w:color w:val="2C384A" w:themeColor="accent1"/>
                <w:sz w:val="20"/>
              </w:rPr>
            </w:pPr>
            <w:r w:rsidRPr="00963E59">
              <w:t xml:space="preserve">Scope 3 emissions </w:t>
            </w:r>
            <w:r w:rsidR="008C7770" w:rsidRPr="00963E59">
              <w:t>are expected to be relevant where</w:t>
            </w:r>
            <w:r w:rsidR="00496196" w:rsidRPr="00963E59">
              <w:t xml:space="preserve"> the</w:t>
            </w:r>
            <w:r w:rsidRPr="00963E59">
              <w:t>:</w:t>
            </w:r>
          </w:p>
          <w:p w14:paraId="11DB9744" w14:textId="779214B4" w:rsidR="00AA0D0B" w:rsidRPr="00963E59" w:rsidRDefault="00AA0D0B" w:rsidP="00FB3F26">
            <w:pPr>
              <w:pStyle w:val="Boxdash"/>
              <w:rPr>
                <w:color w:val="2C384A" w:themeColor="accent1"/>
                <w:sz w:val="20"/>
              </w:rPr>
            </w:pPr>
            <w:r w:rsidRPr="00963E59">
              <w:t>emissions from that source are likely to be material compared to scope 1 and 2. This is likely to be the case in most instances, with scope 3 emissions typically the largest source of greenhouse gas emissions for most companies, often making up 70</w:t>
            </w:r>
            <w:r w:rsidR="000C06FD" w:rsidRPr="00963E59">
              <w:t>–</w:t>
            </w:r>
            <w:r w:rsidRPr="00963E59">
              <w:t>90</w:t>
            </w:r>
            <w:r w:rsidR="00EC7A2F" w:rsidRPr="00963E59">
              <w:t> </w:t>
            </w:r>
            <w:r w:rsidR="00DE3864" w:rsidRPr="00963E59">
              <w:t>per cent</w:t>
            </w:r>
            <w:r w:rsidRPr="00963E59">
              <w:t xml:space="preserve"> of their total carbon footprint</w:t>
            </w:r>
          </w:p>
          <w:p w14:paraId="3046C4E0" w14:textId="35732FEF" w:rsidR="00AA0D0B" w:rsidRPr="00963E59" w:rsidRDefault="00AA0D0B" w:rsidP="00FB3F26">
            <w:pPr>
              <w:pStyle w:val="Boxdash"/>
              <w:rPr>
                <w:color w:val="2C384A" w:themeColor="accent1"/>
                <w:sz w:val="20"/>
              </w:rPr>
            </w:pPr>
            <w:r w:rsidRPr="00963E59">
              <w:t>emissions from that source contribute to the organisation’s risk exposure</w:t>
            </w:r>
          </w:p>
          <w:p w14:paraId="25FB8F8E" w14:textId="79BA9C97" w:rsidR="00AA0D0B" w:rsidRPr="00963E59" w:rsidRDefault="00AA0D0B" w:rsidP="00FB3F26">
            <w:pPr>
              <w:pStyle w:val="Boxdash"/>
              <w:rPr>
                <w:color w:val="2C384A" w:themeColor="accent1"/>
                <w:sz w:val="20"/>
              </w:rPr>
            </w:pPr>
            <w:r w:rsidRPr="00963E59">
              <w:t>emissions are likely to be identified by stakeholders as relevant</w:t>
            </w:r>
          </w:p>
          <w:p w14:paraId="3EBF0DAF" w14:textId="581BD9BA" w:rsidR="00AA0D0B" w:rsidRPr="00963E59" w:rsidRDefault="00AA0D0B" w:rsidP="00FB3F26">
            <w:pPr>
              <w:pStyle w:val="Boxdash"/>
              <w:rPr>
                <w:color w:val="2C384A" w:themeColor="accent1"/>
                <w:sz w:val="20"/>
              </w:rPr>
            </w:pPr>
            <w:r w:rsidRPr="00963E59">
              <w:t>business can influence the emissions from the particular source</w:t>
            </w:r>
          </w:p>
          <w:p w14:paraId="427CB6E9" w14:textId="53025704" w:rsidR="00AA0D0B" w:rsidRPr="00963E59" w:rsidRDefault="00AA0D0B" w:rsidP="00FB3F26">
            <w:pPr>
              <w:pStyle w:val="Boxdash"/>
            </w:pPr>
            <w:r w:rsidRPr="00963E59">
              <w:t>business has outsourced activities that previously contributed to its scope 1 and</w:t>
            </w:r>
            <w:r w:rsidR="00510819" w:rsidRPr="00963E59">
              <w:t> </w:t>
            </w:r>
            <w:r w:rsidRPr="00963E59">
              <w:t>2</w:t>
            </w:r>
            <w:r w:rsidR="00EF10AF" w:rsidRPr="00963E59">
              <w:t> </w:t>
            </w:r>
            <w:r w:rsidRPr="00963E59">
              <w:t>emissions.</w:t>
            </w:r>
          </w:p>
          <w:p w14:paraId="3082B51B" w14:textId="54AC9968" w:rsidR="00AA0D0B" w:rsidRPr="00963E59" w:rsidRDefault="00AA0D0B" w:rsidP="00A64FB4">
            <w:pPr>
              <w:pStyle w:val="ChartorTableNote"/>
              <w:rPr>
                <w:szCs w:val="18"/>
                <w:lang w:eastAsia="en-US"/>
              </w:rPr>
            </w:pPr>
            <w:r w:rsidRPr="00963E59">
              <w:rPr>
                <w:b/>
                <w:szCs w:val="18"/>
                <w:lang w:eastAsia="en-US"/>
              </w:rPr>
              <w:t>Source</w:t>
            </w:r>
            <w:r w:rsidRPr="00963E59">
              <w:rPr>
                <w:szCs w:val="18"/>
                <w:lang w:eastAsia="en-US"/>
              </w:rPr>
              <w:t>:</w:t>
            </w:r>
            <w:r w:rsidR="00790631">
              <w:rPr>
                <w:szCs w:val="18"/>
                <w:lang w:eastAsia="en-US"/>
              </w:rPr>
              <w:tab/>
            </w:r>
            <w:r w:rsidRPr="00963E59">
              <w:rPr>
                <w:szCs w:val="18"/>
                <w:lang w:eastAsia="en-US"/>
              </w:rPr>
              <w:t xml:space="preserve">Adapted from </w:t>
            </w:r>
            <w:hyperlink r:id="rId179">
              <w:r w:rsidRPr="00963E59">
                <w:rPr>
                  <w:rStyle w:val="Hyperlink"/>
                  <w:szCs w:val="18"/>
                  <w:lang w:eastAsia="en-US"/>
                </w:rPr>
                <w:t>G</w:t>
              </w:r>
              <w:r w:rsidR="0002638D" w:rsidRPr="00963E59">
                <w:rPr>
                  <w:rStyle w:val="Hyperlink"/>
                  <w:szCs w:val="18"/>
                  <w:lang w:eastAsia="en-US"/>
                </w:rPr>
                <w:t>reenhouse Gas</w:t>
              </w:r>
              <w:r w:rsidRPr="00963E59">
                <w:rPr>
                  <w:rStyle w:val="Hyperlink"/>
                  <w:szCs w:val="18"/>
                  <w:lang w:eastAsia="en-US"/>
                </w:rPr>
                <w:t xml:space="preserve"> Protocol </w:t>
              </w:r>
              <w:r w:rsidR="00EF2DDB" w:rsidRPr="00963E59">
                <w:rPr>
                  <w:rStyle w:val="Hyperlink"/>
                  <w:szCs w:val="18"/>
                  <w:lang w:eastAsia="en-US"/>
                </w:rPr>
                <w:t>S</w:t>
              </w:r>
              <w:r w:rsidRPr="00963E59">
                <w:rPr>
                  <w:rStyle w:val="Hyperlink"/>
                  <w:szCs w:val="18"/>
                  <w:lang w:eastAsia="en-US"/>
                </w:rPr>
                <w:t>tandards</w:t>
              </w:r>
            </w:hyperlink>
            <w:r w:rsidRPr="00963E59">
              <w:rPr>
                <w:szCs w:val="18"/>
              </w:rPr>
              <w:t xml:space="preserve"> </w:t>
            </w:r>
            <w:r w:rsidRPr="00963E59">
              <w:rPr>
                <w:szCs w:val="18"/>
                <w:lang w:eastAsia="en-US"/>
              </w:rPr>
              <w:t xml:space="preserve">and </w:t>
            </w:r>
            <w:hyperlink r:id="rId180">
              <w:r w:rsidRPr="00963E59">
                <w:rPr>
                  <w:rStyle w:val="Hyperlink"/>
                  <w:szCs w:val="18"/>
                  <w:lang w:eastAsia="en-US"/>
                </w:rPr>
                <w:t>ISO</w:t>
              </w:r>
              <w:r w:rsidR="00AA799C" w:rsidRPr="00963E59">
                <w:rPr>
                  <w:rStyle w:val="Hyperlink"/>
                  <w:szCs w:val="18"/>
                  <w:lang w:eastAsia="en-US"/>
                </w:rPr>
                <w:t>,</w:t>
              </w:r>
              <w:r w:rsidRPr="00963E59">
                <w:rPr>
                  <w:rStyle w:val="Hyperlink"/>
                  <w:szCs w:val="18"/>
                  <w:lang w:eastAsia="en-US"/>
                </w:rPr>
                <w:t xml:space="preserve"> 14040 series</w:t>
              </w:r>
            </w:hyperlink>
            <w:r w:rsidR="004F3D88" w:rsidRPr="00963E59">
              <w:rPr>
                <w:szCs w:val="18"/>
              </w:rPr>
              <w:t xml:space="preserve"> (2006)</w:t>
            </w:r>
            <w:r w:rsidR="003274E2" w:rsidRPr="00963E59">
              <w:rPr>
                <w:szCs w:val="18"/>
              </w:rPr>
              <w:t>.</w:t>
            </w:r>
            <w:r w:rsidRPr="00963E59">
              <w:rPr>
                <w:rStyle w:val="FootnoteReference"/>
              </w:rPr>
              <w:endnoteReference w:id="123"/>
            </w:r>
          </w:p>
        </w:tc>
      </w:tr>
    </w:tbl>
    <w:p w14:paraId="14067A4A" w14:textId="77777777" w:rsidR="00AA0D0B" w:rsidRDefault="00AA0D0B" w:rsidP="00D64CEC">
      <w:pPr>
        <w:pStyle w:val="SingleParagraph"/>
      </w:pPr>
    </w:p>
    <w:tbl>
      <w:tblPr>
        <w:tblW w:w="5000" w:type="pct"/>
        <w:shd w:val="clear" w:color="auto" w:fill="F2F2F2"/>
        <w:tblCellMar>
          <w:top w:w="227" w:type="dxa"/>
          <w:left w:w="227" w:type="dxa"/>
          <w:bottom w:w="227" w:type="dxa"/>
          <w:right w:w="227" w:type="dxa"/>
        </w:tblCellMar>
        <w:tblLook w:val="0620" w:firstRow="1" w:lastRow="0" w:firstColumn="0" w:lastColumn="0" w:noHBand="1" w:noVBand="1"/>
      </w:tblPr>
      <w:tblGrid>
        <w:gridCol w:w="9070"/>
      </w:tblGrid>
      <w:tr w:rsidR="00FB3F26" w:rsidRPr="00963E59" w14:paraId="35D131D4" w14:textId="77777777" w:rsidTr="00460C3E">
        <w:tc>
          <w:tcPr>
            <w:tcW w:w="5000" w:type="pct"/>
            <w:shd w:val="clear" w:color="auto" w:fill="F2F2F2"/>
            <w:hideMark/>
          </w:tcPr>
          <w:p w14:paraId="02217299" w14:textId="01744097" w:rsidR="00FB3F26" w:rsidRPr="00963E59" w:rsidRDefault="004B3ECC" w:rsidP="00E964D5">
            <w:pPr>
              <w:pStyle w:val="BoxHeading"/>
            </w:pPr>
            <w:bookmarkStart w:id="270" w:name="Box39"/>
            <w:bookmarkStart w:id="271" w:name="_Toc237351164"/>
            <w:bookmarkStart w:id="272" w:name="_Toc233287133"/>
            <w:bookmarkEnd w:id="270"/>
            <w:r w:rsidRPr="00963E59">
              <w:lastRenderedPageBreak/>
              <w:t xml:space="preserve">Box </w:t>
            </w:r>
            <w:r w:rsidR="00643CE0" w:rsidRPr="00963E59">
              <w:t>3</w:t>
            </w:r>
            <w:r w:rsidR="00680A18">
              <w:t>1</w:t>
            </w:r>
            <w:r w:rsidRPr="00963E59">
              <w:t xml:space="preserve">. </w:t>
            </w:r>
            <w:r w:rsidR="00FB3F26" w:rsidRPr="00963E59">
              <w:t>Supporting resources</w:t>
            </w:r>
            <w:r w:rsidR="00C1770D" w:rsidRPr="00963E59">
              <w:t xml:space="preserve"> for </w:t>
            </w:r>
            <w:r w:rsidR="00EE6EDA" w:rsidRPr="00963E59">
              <w:t xml:space="preserve">setting </w:t>
            </w:r>
            <w:r w:rsidR="00375803" w:rsidRPr="00963E59">
              <w:t xml:space="preserve">mitigation </w:t>
            </w:r>
            <w:r w:rsidR="00EE6EDA" w:rsidRPr="00963E59">
              <w:t>metrics and targets</w:t>
            </w:r>
            <w:bookmarkEnd w:id="271"/>
            <w:bookmarkEnd w:id="272"/>
          </w:p>
          <w:p w14:paraId="4ED7547D" w14:textId="22CB9D24" w:rsidR="00FB3F26" w:rsidRPr="00963E59" w:rsidRDefault="006B52CC" w:rsidP="00EC7A2F">
            <w:pPr>
              <w:pStyle w:val="BoxText"/>
              <w:rPr>
                <w:lang w:eastAsia="en-US"/>
              </w:rPr>
            </w:pPr>
            <w:r w:rsidRPr="00963E59">
              <w:rPr>
                <w:b/>
                <w:bCs/>
                <w:szCs w:val="22"/>
              </w:rPr>
              <w:t xml:space="preserve">Science Based Targets </w:t>
            </w:r>
            <w:r w:rsidR="00DF7739" w:rsidRPr="00C01787">
              <w:t xml:space="preserve">Initiative </w:t>
            </w:r>
            <w:hyperlink r:id="rId181" w:history="1">
              <w:r w:rsidR="00DF7739" w:rsidRPr="00A873C1">
                <w:rPr>
                  <w:rStyle w:val="Hyperlink"/>
                  <w:b/>
                  <w:bCs/>
                  <w:szCs w:val="22"/>
                </w:rPr>
                <w:t>Corporate Net</w:t>
              </w:r>
              <w:r w:rsidR="005669A7">
                <w:rPr>
                  <w:rStyle w:val="Hyperlink"/>
                  <w:b/>
                  <w:bCs/>
                  <w:szCs w:val="22"/>
                </w:rPr>
                <w:t>-</w:t>
              </w:r>
              <w:r w:rsidR="00DF7739" w:rsidRPr="00A873C1">
                <w:rPr>
                  <w:rStyle w:val="Hyperlink"/>
                  <w:b/>
                  <w:bCs/>
                  <w:szCs w:val="22"/>
                </w:rPr>
                <w:t>Zero Standard</w:t>
              </w:r>
              <w:r w:rsidR="00AF2B98" w:rsidRPr="00AF2B98">
                <w:rPr>
                  <w:rStyle w:val="Hyperlink"/>
                  <w:b/>
                  <w:bCs/>
                  <w:szCs w:val="22"/>
                </w:rPr>
                <w:t xml:space="preserve"> Version 2.0</w:t>
              </w:r>
            </w:hyperlink>
            <w:r w:rsidR="004D299B" w:rsidRPr="00963E59" w:rsidDel="0005549C">
              <w:rPr>
                <w:rStyle w:val="FootnoteReference"/>
              </w:rPr>
              <w:endnoteReference w:id="124"/>
            </w:r>
            <w:r w:rsidRPr="00963E59">
              <w:rPr>
                <w:b/>
                <w:bCs/>
                <w:szCs w:val="22"/>
              </w:rPr>
              <w:t xml:space="preserve"> and </w:t>
            </w:r>
            <w:hyperlink r:id="rId182">
              <w:r w:rsidRPr="00963E59">
                <w:rPr>
                  <w:rStyle w:val="Hyperlink"/>
                  <w:b/>
                  <w:bCs/>
                  <w:szCs w:val="22"/>
                </w:rPr>
                <w:t>Financial Institutions Net</w:t>
              </w:r>
              <w:r w:rsidR="005669A7">
                <w:rPr>
                  <w:rStyle w:val="Hyperlink"/>
                  <w:b/>
                  <w:bCs/>
                  <w:szCs w:val="22"/>
                </w:rPr>
                <w:t>-</w:t>
              </w:r>
              <w:r w:rsidRPr="00963E59">
                <w:rPr>
                  <w:rStyle w:val="Hyperlink"/>
                  <w:b/>
                  <w:bCs/>
                  <w:szCs w:val="22"/>
                </w:rPr>
                <w:t>Zero</w:t>
              </w:r>
              <w:r w:rsidR="007C115D" w:rsidRPr="00963E59">
                <w:rPr>
                  <w:rStyle w:val="Hyperlink"/>
                  <w:b/>
                  <w:bCs/>
                  <w:szCs w:val="22"/>
                </w:rPr>
                <w:t> </w:t>
              </w:r>
              <w:r w:rsidRPr="00963E59">
                <w:rPr>
                  <w:rStyle w:val="Hyperlink"/>
                  <w:b/>
                  <w:bCs/>
                  <w:szCs w:val="22"/>
                </w:rPr>
                <w:t>Standard</w:t>
              </w:r>
            </w:hyperlink>
            <w:r w:rsidR="00EE6EDA" w:rsidRPr="00963E59">
              <w:rPr>
                <w:b/>
                <w:szCs w:val="22"/>
              </w:rPr>
              <w:t>:</w:t>
            </w:r>
            <w:r w:rsidRPr="00963E59" w:rsidDel="0005549C">
              <w:rPr>
                <w:szCs w:val="22"/>
              </w:rPr>
              <w:t xml:space="preserve"> </w:t>
            </w:r>
            <w:r w:rsidRPr="00963E59" w:rsidDel="00C1770D">
              <w:rPr>
                <w:szCs w:val="22"/>
              </w:rPr>
              <w:t>org</w:t>
            </w:r>
            <w:r w:rsidRPr="00963E59" w:rsidDel="00C018D8">
              <w:rPr>
                <w:szCs w:val="22"/>
              </w:rPr>
              <w:t>anisations</w:t>
            </w:r>
            <w:r w:rsidRPr="00963E59">
              <w:rPr>
                <w:szCs w:val="22"/>
              </w:rPr>
              <w:t xml:space="preserve"> that have set a strategic ambition of achieving net zero emissions can refer to these resources which provide guidance on how to set science-based net zero targets which are eligible to be validated by the Science Based Targets Initiative.</w:t>
            </w:r>
          </w:p>
        </w:tc>
      </w:tr>
    </w:tbl>
    <w:p w14:paraId="78710013" w14:textId="535F461F" w:rsidR="00994B23" w:rsidRDefault="00994B23" w:rsidP="00994B23">
      <w:pPr>
        <w:pStyle w:val="Heading4"/>
      </w:pPr>
      <w:r>
        <w:t xml:space="preserve">Adaptation </w:t>
      </w:r>
      <w:r w:rsidR="00557CA0">
        <w:t xml:space="preserve">metrics and </w:t>
      </w:r>
      <w:r>
        <w:t>targets</w:t>
      </w:r>
    </w:p>
    <w:p w14:paraId="221CD549" w14:textId="1FA225A8" w:rsidR="00994B23" w:rsidRDefault="00994B23" w:rsidP="00D750EC">
      <w:r w:rsidRPr="007E0872">
        <w:t>Adaptation metrics and targets</w:t>
      </w:r>
      <w:r w:rsidRPr="00D750EC">
        <w:t xml:space="preserve"> </w:t>
      </w:r>
      <w:r>
        <w:t xml:space="preserve">track progress towards adaptation ambitions. </w:t>
      </w:r>
    </w:p>
    <w:p w14:paraId="472F1913" w14:textId="1FCC6A61" w:rsidR="00994B23" w:rsidRDefault="00994B23" w:rsidP="00D750EC">
      <w:r w:rsidRPr="00CD1A23">
        <w:t>Adaptation targets can involve</w:t>
      </w:r>
      <w:r w:rsidRPr="00CD1A23" w:rsidDel="00D13407">
        <w:t xml:space="preserve"> </w:t>
      </w:r>
      <w:r w:rsidR="00D13407">
        <w:t>metrics</w:t>
      </w:r>
      <w:r w:rsidR="00D13407" w:rsidRPr="00CD1A23">
        <w:t xml:space="preserve"> </w:t>
      </w:r>
      <w:r w:rsidRPr="00CD1A23">
        <w:t>that represent exposure of assets and revenue streams to climate risks and opportunities. For example, an organisation may aim for the percentage of assets exposed to 1 in 100</w:t>
      </w:r>
      <w:r w:rsidR="00963E59">
        <w:noBreakHyphen/>
      </w:r>
      <w:r w:rsidRPr="00CD1A23">
        <w:t>year climate hazards in 2030 to be reduced to 10</w:t>
      </w:r>
      <w:r w:rsidR="00DE3864">
        <w:t xml:space="preserve"> per cent</w:t>
      </w:r>
      <w:r w:rsidRPr="00CD1A23">
        <w:t xml:space="preserve"> or less</w:t>
      </w:r>
      <w:r>
        <w:t>. Targets can also include internal capability metrics such as the number of employees trained in climate resilience and number of internal frameworks or policies developed to address climate change.</w:t>
      </w:r>
    </w:p>
    <w:p w14:paraId="176796CA" w14:textId="797C36AB" w:rsidR="00994B23" w:rsidRDefault="00A8615F" w:rsidP="00D750EC">
      <w:r>
        <w:t>A</w:t>
      </w:r>
      <w:r w:rsidR="00994B23" w:rsidRPr="00316A21">
        <w:t>daptation</w:t>
      </w:r>
      <w:r w:rsidR="00963E59">
        <w:noBreakHyphen/>
      </w:r>
      <w:r w:rsidR="00994B23" w:rsidRPr="00316A21">
        <w:t>related data and metrics are still developing</w:t>
      </w:r>
      <w:r w:rsidR="00994B23">
        <w:t xml:space="preserve">. The </w:t>
      </w:r>
      <w:r w:rsidR="00A44FC6">
        <w:t>Network for Greening the Financial System</w:t>
      </w:r>
      <w:r w:rsidR="00994B23">
        <w:t xml:space="preserve"> G20 </w:t>
      </w:r>
      <w:r w:rsidR="00616DDB" w:rsidRPr="00D73DD0">
        <w:t xml:space="preserve">Sustainable Finance </w:t>
      </w:r>
      <w:r w:rsidR="00616DDB" w:rsidRPr="000D5536">
        <w:t>Working</w:t>
      </w:r>
      <w:r w:rsidR="00616DDB" w:rsidRPr="00D73DD0">
        <w:t xml:space="preserve"> Group </w:t>
      </w:r>
      <w:r w:rsidR="00994B23">
        <w:t>input paper provid</w:t>
      </w:r>
      <w:r w:rsidR="004418C8">
        <w:t>es</w:t>
      </w:r>
      <w:r w:rsidR="00994B23">
        <w:t xml:space="preserve"> a maturity model for these metrics and targets (</w:t>
      </w:r>
      <w:hyperlink w:anchor="Figure4" w:history="1">
        <w:r w:rsidR="00994B23" w:rsidRPr="008D2109">
          <w:rPr>
            <w:rStyle w:val="Hyperlink"/>
          </w:rPr>
          <w:t xml:space="preserve">Figure </w:t>
        </w:r>
        <w:r w:rsidR="00E32B31" w:rsidRPr="008D2109">
          <w:rPr>
            <w:rStyle w:val="Hyperlink"/>
          </w:rPr>
          <w:t>4</w:t>
        </w:r>
      </w:hyperlink>
      <w:r w:rsidR="00994B23">
        <w:t xml:space="preserve">). This outlines how capability can be improved over time, from understanding exposure to climate risks and opportunities, to quantifying resources deployed to adaptation, </w:t>
      </w:r>
      <w:r w:rsidR="00994B23" w:rsidDel="00DD7499">
        <w:t>to</w:t>
      </w:r>
      <w:r w:rsidR="00994B23">
        <w:t xml:space="preserve"> ultimately quantifying effectiveness of adaptation actions. </w:t>
      </w:r>
      <w:r w:rsidR="001B1C8B">
        <w:t>T</w:t>
      </w:r>
      <w:r w:rsidR="00994B23">
        <w:t xml:space="preserve">he principles from this system </w:t>
      </w:r>
      <w:r w:rsidR="007450B7">
        <w:t>can</w:t>
      </w:r>
      <w:r w:rsidR="00994B23">
        <w:t xml:space="preserve"> inform how to track progress </w:t>
      </w:r>
      <w:r w:rsidR="007450B7">
        <w:t>towards</w:t>
      </w:r>
      <w:r w:rsidR="00994B23">
        <w:t xml:space="preserve"> adaptation ambitions. As a future resource, the Australian Government plan</w:t>
      </w:r>
      <w:r w:rsidR="00EE6EDA">
        <w:t>s</w:t>
      </w:r>
      <w:r w:rsidR="00994B23">
        <w:t xml:space="preserve"> to develop a monitoring, evaluation and learning system for the National Adaptation Plan</w:t>
      </w:r>
      <w:r w:rsidR="00BF10E6">
        <w:t>.</w:t>
      </w:r>
    </w:p>
    <w:p w14:paraId="7C1082FE" w14:textId="44C10CF6" w:rsidR="00994B23" w:rsidRPr="00EC7A2F" w:rsidRDefault="00994B23" w:rsidP="00AA53F7">
      <w:pPr>
        <w:pStyle w:val="ChartMainHeading"/>
      </w:pPr>
      <w:bookmarkStart w:id="273" w:name="Figure4"/>
      <w:bookmarkStart w:id="274" w:name="_Toc225347731"/>
      <w:bookmarkEnd w:id="273"/>
      <w:r w:rsidRPr="00EC7A2F">
        <w:lastRenderedPageBreak/>
        <w:t xml:space="preserve">Figure </w:t>
      </w:r>
      <w:r w:rsidR="00E32B31" w:rsidRPr="00EC7A2F">
        <w:t>4</w:t>
      </w:r>
      <w:r w:rsidRPr="00EC7A2F">
        <w:t xml:space="preserve">: </w:t>
      </w:r>
      <w:r w:rsidR="001644EC" w:rsidRPr="00EC7A2F">
        <w:t>Network for Greening the Financial System</w:t>
      </w:r>
      <w:r w:rsidR="001644EC" w:rsidRPr="00EC7A2F" w:rsidDel="001644EC">
        <w:t xml:space="preserve"> </w:t>
      </w:r>
      <w:r w:rsidR="002E2CB5" w:rsidRPr="00EC7A2F">
        <w:t>m</w:t>
      </w:r>
      <w:r w:rsidRPr="00EC7A2F">
        <w:t xml:space="preserve">aturity </w:t>
      </w:r>
      <w:r w:rsidR="002E2CB5" w:rsidRPr="00EC7A2F">
        <w:t>m</w:t>
      </w:r>
      <w:r w:rsidRPr="00EC7A2F">
        <w:t xml:space="preserve">odel for </w:t>
      </w:r>
      <w:r w:rsidR="002E2CB5" w:rsidRPr="00EC7A2F">
        <w:t>s</w:t>
      </w:r>
      <w:r w:rsidRPr="00EC7A2F">
        <w:t xml:space="preserve">etting </w:t>
      </w:r>
      <w:r w:rsidR="002E2CB5" w:rsidRPr="00EC7A2F">
        <w:t>m</w:t>
      </w:r>
      <w:r w:rsidRPr="00EC7A2F">
        <w:t xml:space="preserve">etrics and </w:t>
      </w:r>
      <w:r w:rsidR="002E2CB5" w:rsidRPr="00EC7A2F">
        <w:t>t</w:t>
      </w:r>
      <w:r w:rsidRPr="00EC7A2F">
        <w:t>argets</w:t>
      </w:r>
      <w:bookmarkEnd w:id="274"/>
    </w:p>
    <w:p w14:paraId="07F3025C" w14:textId="154F519B" w:rsidR="001C1F4F" w:rsidRPr="001C1F4F" w:rsidRDefault="00AA53F7" w:rsidP="00EC7A2F">
      <w:pPr>
        <w:pStyle w:val="ChartGraphic"/>
      </w:pPr>
      <w:r w:rsidRPr="00AA53F7">
        <w:rPr>
          <w:noProof/>
        </w:rPr>
        <w:drawing>
          <wp:inline distT="0" distB="0" distL="0" distR="0" wp14:anchorId="1EFA6966" wp14:editId="1574C7C2">
            <wp:extent cx="5759450" cy="3371215"/>
            <wp:effectExtent l="0" t="0" r="0" b="635"/>
            <wp:docPr id="963820565" name="Picture 1" descr="Diagram taken from the NGFS input paper on Integrating Adaptation and Resilience into Transition Plans.&#10;&#10;Stocktake&#10;Data: identifying data availability and gathering information to understand what data is sought to support the business' adaptation and filling any data gaps if needed&#10;Coverage: understanding which assets or parts of the value chain have already conducted a climate risk assessment&#10;&#10;Maturity levels&#10;Baseline (Assessment): Analysis to quantify the actual baseline vulnerability of the business to physical climate risks before adaptation. This can be either direct assets or critical value chain locations as well&#10;Input (activity): Quantification of the resources that are being deployed to adapt to physical climate risks&#10;Output (outcomes): Quantification of the outcomes from the adaptation activity ideally measuring effectiveness of the activity. Performance of adaptation action against targets: what has been achieved, what is left to achieve &#10;&#10;Key questions&#10;Baseline: How many of the business' assets/portfolio have been assessed as highly exposed or vulnerable to physical climate risk? What are the risk hotspots and where in the business value chain or portfolio do they lie?&#10;Input: How much financing has been dedicated to physical adaptation actions?&#10;Output: What area of land is being restored (e.g. for nature-base solutions) to improve resilience? What is the avoided loss from having adaptation in place? How effective are the adaptation measures at improving resil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20565" name="Picture 1" descr="Diagram taken from the NGFS input paper on Integrating Adaptation and Resilience into Transition Plans.&#10;&#10;Stocktake&#10;Data: identifying data availability and gathering information to understand what data is sought to support the business' adaptation and filling any data gaps if needed&#10;Coverage: understanding which assets or parts of the value chain have already conducted a climate risk assessment&#10;&#10;Maturity levels&#10;Baseline (Assessment): Analysis to quantify the actual baseline vulnerability of the business to physical climate risks before adaptation. This can be either direct assets or critical value chain locations as well&#10;Input (activity): Quantification of the resources that are being deployed to adapt to physical climate risks&#10;Output (outcomes): Quantification of the outcomes from the adaptation activity ideally measuring effectiveness of the activity. Performance of adaptation action against targets: what has been achieved, what is left to achieve &#10;&#10;Key questions&#10;Baseline: How many of the business' assets/portfolio have been assessed as highly exposed or vulnerable to physical climate risk? What are the risk hotspots and where in the business value chain or portfolio do they lie?&#10;Input: How much financing has been dedicated to physical adaptation actions?&#10;Output: What area of land is being restored (e.g. for nature-base solutions) to improve resilience? What is the avoided loss from having adaptation in place? How effective are the adaptation measures at improving resilience?"/>
                    <pic:cNvPicPr/>
                  </pic:nvPicPr>
                  <pic:blipFill>
                    <a:blip r:embed="rId183"/>
                    <a:stretch>
                      <a:fillRect/>
                    </a:stretch>
                  </pic:blipFill>
                  <pic:spPr>
                    <a:xfrm>
                      <a:off x="0" y="0"/>
                      <a:ext cx="5759450" cy="3371215"/>
                    </a:xfrm>
                    <a:prstGeom prst="rect">
                      <a:avLst/>
                    </a:prstGeom>
                  </pic:spPr>
                </pic:pic>
              </a:graphicData>
            </a:graphic>
          </wp:inline>
        </w:drawing>
      </w:r>
    </w:p>
    <w:p w14:paraId="1A292D26" w14:textId="3DF6B0EB" w:rsidR="001C1F4F" w:rsidRPr="00557CA0" w:rsidRDefault="00994B23" w:rsidP="00AA53F7">
      <w:pPr>
        <w:pStyle w:val="ChartorTableNote"/>
        <w:spacing w:before="120"/>
        <w:rPr>
          <w:rFonts w:cs="Calibri Light"/>
        </w:rPr>
      </w:pPr>
      <w:r w:rsidRPr="00557CA0">
        <w:rPr>
          <w:rFonts w:cs="Calibri Light"/>
          <w:b/>
        </w:rPr>
        <w:t>Source</w:t>
      </w:r>
      <w:r w:rsidRPr="00557CA0">
        <w:rPr>
          <w:rFonts w:cs="Calibri Light"/>
        </w:rPr>
        <w:t>:</w:t>
      </w:r>
      <w:r w:rsidR="00EC7A2F">
        <w:rPr>
          <w:rFonts w:cs="Calibri Light"/>
        </w:rPr>
        <w:tab/>
      </w:r>
      <w:r w:rsidRPr="00557CA0">
        <w:rPr>
          <w:rFonts w:cs="Calibri Light"/>
        </w:rPr>
        <w:t>N</w:t>
      </w:r>
      <w:r w:rsidR="001644EC" w:rsidRPr="00557CA0">
        <w:rPr>
          <w:rFonts w:cs="Calibri Light"/>
        </w:rPr>
        <w:t>etwork for Greening the Financial System</w:t>
      </w:r>
      <w:r w:rsidRPr="00557CA0">
        <w:rPr>
          <w:rFonts w:cs="Calibri Light"/>
        </w:rPr>
        <w:t xml:space="preserve">, 2025, Input paper on Integrating Adaptation and Resilience into </w:t>
      </w:r>
      <w:r w:rsidR="00EC7A2F">
        <w:rPr>
          <w:rFonts w:cs="Calibri Light"/>
        </w:rPr>
        <w:tab/>
      </w:r>
      <w:r w:rsidRPr="00557CA0">
        <w:rPr>
          <w:rFonts w:cs="Calibri Light"/>
        </w:rPr>
        <w:t xml:space="preserve">Transition </w:t>
      </w:r>
      <w:r w:rsidR="0012253E" w:rsidRPr="00557CA0">
        <w:rPr>
          <w:rFonts w:cs="Calibri Light"/>
        </w:rPr>
        <w:t>P</w:t>
      </w:r>
      <w:r w:rsidRPr="00557CA0">
        <w:rPr>
          <w:rFonts w:cs="Calibri Light"/>
        </w:rPr>
        <w:t>lans (p</w:t>
      </w:r>
      <w:r w:rsidR="00B45574" w:rsidRPr="00557CA0">
        <w:rPr>
          <w:rFonts w:cs="Calibri Light"/>
        </w:rPr>
        <w:t xml:space="preserve">age </w:t>
      </w:r>
      <w:r w:rsidRPr="00557CA0">
        <w:rPr>
          <w:rFonts w:cs="Calibri Light"/>
        </w:rPr>
        <w:t>31)</w:t>
      </w:r>
      <w:r w:rsidR="00B45574" w:rsidRPr="00557CA0">
        <w:rPr>
          <w:rFonts w:cs="Calibri Light"/>
        </w:rPr>
        <w:t>.</w:t>
      </w:r>
    </w:p>
    <w:p w14:paraId="36DE070F" w14:textId="2A9BD070" w:rsidR="00F5208F" w:rsidRDefault="00F5208F" w:rsidP="00F5208F">
      <w:pPr>
        <w:pStyle w:val="Heading4"/>
      </w:pPr>
      <w:r>
        <w:t xml:space="preserve">Financial </w:t>
      </w:r>
      <w:r w:rsidR="00557CA0">
        <w:t xml:space="preserve">metrics and </w:t>
      </w:r>
      <w:r>
        <w:t xml:space="preserve">targets </w:t>
      </w:r>
    </w:p>
    <w:p w14:paraId="7EC1AAF4" w14:textId="7CA8D52D" w:rsidR="00F5208F" w:rsidRDefault="00F5208F" w:rsidP="00EC7A2F">
      <w:r w:rsidRPr="007E0872">
        <w:t>Financial metrics and targets</w:t>
      </w:r>
      <w:r>
        <w:t xml:space="preserve"> drive and track the alignment of financial decisions, such as capital allocation, investments and expenditures, with achieving an organisation</w:t>
      </w:r>
      <w:r w:rsidR="00963E59">
        <w:t>’</w:t>
      </w:r>
      <w:r>
        <w:t xml:space="preserve">s strategic ambitions. Organisations can use these to assess whether mitigation and adaptation ambitions are supported financially. </w:t>
      </w:r>
    </w:p>
    <w:p w14:paraId="66C8510B" w14:textId="49748B25" w:rsidR="00F5208F" w:rsidRDefault="00F5208F" w:rsidP="00EC7A2F">
      <w:r>
        <w:t>Financial targets primarily focus on inputs committed towards mitigation and adaptation ambitions rather than the outcomes of this investment. For example, an organisation may aim to allocate 30</w:t>
      </w:r>
      <w:r w:rsidR="00EC7A2F">
        <w:t> </w:t>
      </w:r>
      <w:r w:rsidR="00DE3864">
        <w:t>per</w:t>
      </w:r>
      <w:r w:rsidR="00EC7A2F">
        <w:t> </w:t>
      </w:r>
      <w:r w:rsidR="00DE3864">
        <w:t>cent</w:t>
      </w:r>
      <w:r>
        <w:t xml:space="preserve"> of capital expenditures to low</w:t>
      </w:r>
      <w:r w:rsidR="00963E59">
        <w:noBreakHyphen/>
      </w:r>
      <w:r>
        <w:t>carbon technologies from 2030 onwards to support their 2040</w:t>
      </w:r>
      <w:r w:rsidR="00EC7A2F">
        <w:t> </w:t>
      </w:r>
      <w:r>
        <w:t>target. As organisations become more sophisticated in their financial modelling, they may also report other metrics for financial risk exposure or anticipated new revenues.</w:t>
      </w:r>
    </w:p>
    <w:p w14:paraId="2DD9FD52" w14:textId="1809CE26" w:rsidR="00F5208F" w:rsidRDefault="00F5208F" w:rsidP="00EC7A2F">
      <w:r>
        <w:t>Organisations may also choose to set targets of aligning a proportion of their financial expenditure or revenue with taxonomy</w:t>
      </w:r>
      <w:r w:rsidR="00963E59">
        <w:noBreakHyphen/>
      </w:r>
      <w:r>
        <w:t xml:space="preserve">aligned activities. </w:t>
      </w:r>
    </w:p>
    <w:p w14:paraId="1B281720" w14:textId="5DC40838" w:rsidR="00375803" w:rsidRDefault="00E96BB9" w:rsidP="00EC7A2F">
      <w:hyperlink w:anchor="Box40" w:history="1">
        <w:r>
          <w:rPr>
            <w:rStyle w:val="Hyperlink"/>
          </w:rPr>
          <w:t>Box 32</w:t>
        </w:r>
      </w:hyperlink>
      <w:r w:rsidR="005D3E0D">
        <w:t xml:space="preserve"> </w:t>
      </w:r>
      <w:r w:rsidR="00375803">
        <w:t>includes an example of setting a financial target using the Australian Sustainable Finance</w:t>
      </w:r>
      <w:r w:rsidR="00A64FB4">
        <w:t> </w:t>
      </w:r>
      <w:r w:rsidR="00375803">
        <w:t>Taxonomy.</w:t>
      </w:r>
    </w:p>
    <w:tbl>
      <w:tblPr>
        <w:tblW w:w="5000" w:type="pct"/>
        <w:shd w:val="clear" w:color="auto" w:fill="F2F9FC"/>
        <w:tblCellMar>
          <w:top w:w="227" w:type="dxa"/>
          <w:left w:w="227" w:type="dxa"/>
          <w:bottom w:w="227" w:type="dxa"/>
          <w:right w:w="227" w:type="dxa"/>
        </w:tblCellMar>
        <w:tblLook w:val="0620" w:firstRow="1" w:lastRow="0" w:firstColumn="0" w:lastColumn="0" w:noHBand="1" w:noVBand="1"/>
      </w:tblPr>
      <w:tblGrid>
        <w:gridCol w:w="9070"/>
      </w:tblGrid>
      <w:tr w:rsidR="00F5208F" w:rsidRPr="00963E59" w14:paraId="615EDE89" w14:textId="77777777" w:rsidTr="00460C3E">
        <w:tc>
          <w:tcPr>
            <w:tcW w:w="5000" w:type="pct"/>
            <w:shd w:val="clear" w:color="auto" w:fill="F2F9FC"/>
            <w:hideMark/>
          </w:tcPr>
          <w:p w14:paraId="1ED802F7" w14:textId="58307D99" w:rsidR="00F5208F" w:rsidRPr="00963E59" w:rsidRDefault="00643CE0" w:rsidP="00E964D5">
            <w:pPr>
              <w:pStyle w:val="BoxHeading"/>
            </w:pPr>
            <w:bookmarkStart w:id="275" w:name="Box40"/>
            <w:bookmarkStart w:id="276" w:name="_Toc237351165"/>
            <w:bookmarkStart w:id="277" w:name="_Toc233287134"/>
            <w:bookmarkEnd w:id="275"/>
            <w:r w:rsidRPr="00963E59">
              <w:lastRenderedPageBreak/>
              <w:t>Box</w:t>
            </w:r>
            <w:r w:rsidR="0084008F" w:rsidRPr="00963E59">
              <w:t xml:space="preserve"> 3</w:t>
            </w:r>
            <w:r w:rsidR="00E96BB9">
              <w:t>2</w:t>
            </w:r>
            <w:r w:rsidRPr="00963E59">
              <w:t xml:space="preserve">. </w:t>
            </w:r>
            <w:r w:rsidR="00F5208F" w:rsidRPr="00963E59">
              <w:t xml:space="preserve">Illustrative example </w:t>
            </w:r>
            <w:r w:rsidRPr="00963E59">
              <w:t>on s</w:t>
            </w:r>
            <w:r w:rsidR="00F5208F" w:rsidRPr="00963E59">
              <w:t>etting a financial target using the Australian Sustainable Finance Taxonomy</w:t>
            </w:r>
            <w:bookmarkEnd w:id="276"/>
            <w:bookmarkEnd w:id="277"/>
          </w:p>
          <w:p w14:paraId="5FF67ED7" w14:textId="2B50C8C3" w:rsidR="00F5208F" w:rsidRPr="00963E59" w:rsidRDefault="00F5208F" w:rsidP="000E6D21">
            <w:pPr>
              <w:pStyle w:val="BoxText"/>
            </w:pPr>
            <w:r w:rsidRPr="00963E59">
              <w:t>An electricity generator with a portfolio dominated by emissions-intensive assets sets a target to</w:t>
            </w:r>
            <w:r w:rsidR="00EC7A2F" w:rsidRPr="00963E59">
              <w:t> </w:t>
            </w:r>
            <w:r w:rsidRPr="00963E59">
              <w:t>derive 60</w:t>
            </w:r>
            <w:r w:rsidR="00DE3864" w:rsidRPr="00963E59">
              <w:t xml:space="preserve"> per cent</w:t>
            </w:r>
            <w:r w:rsidRPr="00963E59">
              <w:t xml:space="preserve"> of its total revenue from taxonomy-aligned energy generation activities by</w:t>
            </w:r>
            <w:r w:rsidR="00EC7A2F" w:rsidRPr="00963E59">
              <w:t> </w:t>
            </w:r>
            <w:r w:rsidRPr="00963E59">
              <w:t>2035.</w:t>
            </w:r>
          </w:p>
          <w:p w14:paraId="0E6CF864" w14:textId="11C9DF67" w:rsidR="00F5208F" w:rsidRPr="00963E59" w:rsidRDefault="00F5208F" w:rsidP="000E6D21">
            <w:pPr>
              <w:pStyle w:val="BoxText"/>
              <w:rPr>
                <w:b/>
                <w:bCs/>
              </w:rPr>
            </w:pPr>
            <w:r w:rsidRPr="00963E59">
              <w:t>Currently, 15</w:t>
            </w:r>
            <w:r w:rsidR="00DE3864" w:rsidRPr="00963E59">
              <w:t xml:space="preserve"> per cent</w:t>
            </w:r>
            <w:r w:rsidRPr="00963E59">
              <w:t xml:space="preserve"> of its revenues are from energy generation activities that are taxonomy</w:t>
            </w:r>
            <w:r w:rsidR="00AF7A63" w:rsidRPr="00963E59">
              <w:t xml:space="preserve"> </w:t>
            </w:r>
            <w:r w:rsidRPr="00963E59">
              <w:t>aligned. These revenues are from operating wind farms consistent with the criteria in</w:t>
            </w:r>
            <w:r w:rsidR="00AA53F7" w:rsidRPr="00963E59">
              <w:t xml:space="preserve"> </w:t>
            </w:r>
            <w:r w:rsidRPr="00963E59">
              <w:t>D2</w:t>
            </w:r>
            <w:r w:rsidR="00AA53F7" w:rsidRPr="00963E59">
              <w:t> </w:t>
            </w:r>
            <w:r w:rsidRPr="00963E59">
              <w:t>Energy</w:t>
            </w:r>
            <w:r w:rsidR="00EC7A2F" w:rsidRPr="00963E59">
              <w:t> </w:t>
            </w:r>
            <w:r w:rsidRPr="00963E59">
              <w:t>Generation from Onshore and Offshore Wind.</w:t>
            </w:r>
          </w:p>
          <w:p w14:paraId="0581D897" w14:textId="66317454" w:rsidR="00F5208F" w:rsidRPr="00963E59" w:rsidRDefault="00F5208F" w:rsidP="000E6D21">
            <w:pPr>
              <w:pStyle w:val="BoxText"/>
              <w:rPr>
                <w:lang w:eastAsia="en-US"/>
              </w:rPr>
            </w:pPr>
            <w:r w:rsidRPr="00963E59">
              <w:t xml:space="preserve">To realise its financial target, </w:t>
            </w:r>
            <w:r w:rsidR="00630F13" w:rsidRPr="00963E59">
              <w:t>the electricity generator</w:t>
            </w:r>
            <w:r w:rsidRPr="00963E59">
              <w:t xml:space="preserve"> plans to expand investment in </w:t>
            </w:r>
            <w:r w:rsidR="00937F1B" w:rsidRPr="00963E59">
              <w:t>extra</w:t>
            </w:r>
            <w:r w:rsidRPr="00963E59">
              <w:t xml:space="preserve"> onshore wind assets</w:t>
            </w:r>
            <w:r w:rsidR="00630F13" w:rsidRPr="00963E59">
              <w:t>. It also plans to</w:t>
            </w:r>
            <w:r w:rsidR="002D2FE4" w:rsidRPr="00963E59">
              <w:t xml:space="preserve"> develop and</w:t>
            </w:r>
            <w:r w:rsidR="00630F13" w:rsidRPr="00963E59">
              <w:t xml:space="preserve"> </w:t>
            </w:r>
            <w:r w:rsidR="002D2FE4" w:rsidRPr="00963E59">
              <w:t>introduce</w:t>
            </w:r>
            <w:r w:rsidRPr="00963E59">
              <w:t xml:space="preserve"> solar, pumped hydro and battery storage to replace revenue from coal-fired power stations expected to retire by 2035.</w:t>
            </w:r>
          </w:p>
        </w:tc>
      </w:tr>
    </w:tbl>
    <w:p w14:paraId="3F3E195A" w14:textId="7F2EAB26" w:rsidR="00994B23" w:rsidRDefault="00414C07" w:rsidP="00994B23">
      <w:pPr>
        <w:pStyle w:val="Heading3"/>
      </w:pPr>
      <w:r>
        <w:t xml:space="preserve">Carbon </w:t>
      </w:r>
      <w:r w:rsidR="00BB14ED">
        <w:t>c</w:t>
      </w:r>
      <w:r>
        <w:t>redits</w:t>
      </w:r>
    </w:p>
    <w:p w14:paraId="3D92AF50" w14:textId="34844715" w:rsidR="00142D52" w:rsidRDefault="008B34E0" w:rsidP="00994B23">
      <w:r>
        <w:t>T</w:t>
      </w:r>
      <w:r w:rsidR="0087189D">
        <w:t>o</w:t>
      </w:r>
      <w:r w:rsidR="00994B23">
        <w:t xml:space="preserve"> help </w:t>
      </w:r>
      <w:r w:rsidR="005D132D">
        <w:t xml:space="preserve">meet </w:t>
      </w:r>
      <w:r w:rsidR="006C4071">
        <w:t>net</w:t>
      </w:r>
      <w:r w:rsidR="005D132D">
        <w:t xml:space="preserve"> emissions targets</w:t>
      </w:r>
      <w:r w:rsidR="00BF4FC6">
        <w:t xml:space="preserve"> or compliance obligations</w:t>
      </w:r>
      <w:r w:rsidR="00994B23">
        <w:t xml:space="preserve">, organisations can choose to use carbon credits to offset </w:t>
      </w:r>
      <w:r w:rsidR="00D22F9E">
        <w:t>GHG</w:t>
      </w:r>
      <w:r w:rsidR="00994B23">
        <w:t xml:space="preserve"> emissions. To do so, an organisation can purchase and </w:t>
      </w:r>
      <w:r w:rsidR="00DE54FC">
        <w:t xml:space="preserve">retire </w:t>
      </w:r>
      <w:r w:rsidR="004C61E9">
        <w:t>a carbon credit</w:t>
      </w:r>
      <w:r w:rsidR="00994B23">
        <w:t xml:space="preserve">, also referred to as </w:t>
      </w:r>
      <w:r w:rsidR="00963E59">
        <w:t>‘</w:t>
      </w:r>
      <w:r w:rsidR="000269A4">
        <w:t>cancel</w:t>
      </w:r>
      <w:r w:rsidR="00963E59">
        <w:t>’</w:t>
      </w:r>
      <w:r w:rsidR="00307F78">
        <w:t xml:space="preserve"> or </w:t>
      </w:r>
      <w:r w:rsidR="00963E59">
        <w:t>‘</w:t>
      </w:r>
      <w:r w:rsidR="00307F78">
        <w:t>surrender</w:t>
      </w:r>
      <w:r w:rsidR="00963E59">
        <w:t>’</w:t>
      </w:r>
      <w:r w:rsidR="00994B23">
        <w:t xml:space="preserve">, in the relevant registry. </w:t>
      </w:r>
    </w:p>
    <w:p w14:paraId="6E523774" w14:textId="4404080F" w:rsidR="006B52CC" w:rsidRDefault="00B7670F" w:rsidP="00994B23">
      <w:r>
        <w:t>A</w:t>
      </w:r>
      <w:r w:rsidR="00142D52">
        <w:t>s outlined by the</w:t>
      </w:r>
      <w:r w:rsidR="006C5071">
        <w:t xml:space="preserve"> </w:t>
      </w:r>
      <w:r w:rsidR="006C5071" w:rsidRPr="00DF16EA">
        <w:t>ISO Net Zero Guidelines</w:t>
      </w:r>
      <w:r w:rsidR="006C5071">
        <w:t xml:space="preserve"> </w:t>
      </w:r>
      <w:r w:rsidR="00CB24FD">
        <w:t xml:space="preserve">and in alignment with </w:t>
      </w:r>
      <w:r w:rsidR="00E55741">
        <w:t>good</w:t>
      </w:r>
      <w:r w:rsidR="00CB24FD">
        <w:t xml:space="preserve"> practice, </w:t>
      </w:r>
      <w:r w:rsidR="006C5071">
        <w:t>a</w:t>
      </w:r>
      <w:r w:rsidR="006C5071" w:rsidRPr="00D573F0">
        <w:t xml:space="preserve">n organisation should prioritise </w:t>
      </w:r>
      <w:r w:rsidR="006C5071">
        <w:t>its own GHG</w:t>
      </w:r>
      <w:r w:rsidR="006C5071" w:rsidRPr="00D573F0">
        <w:t xml:space="preserve"> emission</w:t>
      </w:r>
      <w:r w:rsidR="006C5071">
        <w:t>s</w:t>
      </w:r>
      <w:r w:rsidR="006C5071" w:rsidRPr="00D573F0">
        <w:t xml:space="preserve"> reductions </w:t>
      </w:r>
      <w:r w:rsidR="006C5071">
        <w:t>across</w:t>
      </w:r>
      <w:r w:rsidR="006C5071" w:rsidRPr="00D573F0">
        <w:t xml:space="preserve"> their value chain before </w:t>
      </w:r>
      <w:r w:rsidR="006C5071">
        <w:t>addressing</w:t>
      </w:r>
      <w:r w:rsidR="006C5071" w:rsidRPr="00D573F0">
        <w:t xml:space="preserve"> any residual emissions</w:t>
      </w:r>
      <w:r w:rsidR="006C5071" w:rsidRPr="00C116BB">
        <w:t>—those that remain</w:t>
      </w:r>
      <w:r w:rsidR="000475D4">
        <w:t xml:space="preserve"> at the target year and beyond</w:t>
      </w:r>
      <w:r w:rsidR="00A33BEF">
        <w:t>,</w:t>
      </w:r>
      <w:r w:rsidR="00142D52">
        <w:t xml:space="preserve"> </w:t>
      </w:r>
      <w:r w:rsidR="006C5071" w:rsidRPr="00C116BB">
        <w:t xml:space="preserve">after all technically and economically feasible mitigation—by </w:t>
      </w:r>
      <w:r w:rsidR="001E1B34">
        <w:t>offsetting</w:t>
      </w:r>
      <w:r w:rsidR="001E1B34" w:rsidRPr="00C116BB">
        <w:t xml:space="preserve"> </w:t>
      </w:r>
      <w:r w:rsidR="006C5071" w:rsidRPr="00C116BB">
        <w:t>them with high</w:t>
      </w:r>
      <w:r w:rsidR="006C5071" w:rsidRPr="00C116BB" w:rsidDel="005618A6">
        <w:rPr>
          <w:rFonts w:ascii="Cambria Math" w:hAnsi="Cambria Math" w:cs="Cambria Math"/>
        </w:rPr>
        <w:t>‑</w:t>
      </w:r>
      <w:r w:rsidR="006C5071" w:rsidRPr="00C116BB">
        <w:t>quality removal</w:t>
      </w:r>
      <w:r w:rsidR="00963E59">
        <w:noBreakHyphen/>
      </w:r>
      <w:r w:rsidR="006C5071">
        <w:t xml:space="preserve">based </w:t>
      </w:r>
      <w:r w:rsidR="002563E7">
        <w:t>carbon credits</w:t>
      </w:r>
      <w:r w:rsidR="006C5071" w:rsidRPr="00D573F0">
        <w:t>.</w:t>
      </w:r>
      <w:r w:rsidR="006C5071">
        <w:t xml:space="preserve"> </w:t>
      </w:r>
      <w:hyperlink w:anchor="Box41" w:history="1">
        <w:r w:rsidR="009E02A1">
          <w:rPr>
            <w:rStyle w:val="Hyperlink"/>
          </w:rPr>
          <w:t>Box 33</w:t>
        </w:r>
      </w:hyperlink>
      <w:r w:rsidR="005D3E0D">
        <w:t xml:space="preserve"> </w:t>
      </w:r>
      <w:r w:rsidR="00073444">
        <w:t xml:space="preserve">contains the </w:t>
      </w:r>
      <w:r w:rsidR="00D37D55">
        <w:t xml:space="preserve">factors </w:t>
      </w:r>
      <w:r w:rsidR="00073444">
        <w:t xml:space="preserve">that </w:t>
      </w:r>
      <w:r w:rsidR="00D37D55">
        <w:t>organisation</w:t>
      </w:r>
      <w:r w:rsidR="00441A41">
        <w:t>s</w:t>
      </w:r>
      <w:r w:rsidR="00D37D55">
        <w:t xml:space="preserve"> </w:t>
      </w:r>
      <w:r w:rsidR="00073444">
        <w:t xml:space="preserve">can </w:t>
      </w:r>
      <w:r w:rsidR="00D37D55">
        <w:t xml:space="preserve">consider </w:t>
      </w:r>
      <w:r w:rsidR="00441A41">
        <w:t>to identify</w:t>
      </w:r>
      <w:r w:rsidR="00D37D55">
        <w:t xml:space="preserve"> high</w:t>
      </w:r>
      <w:r w:rsidR="00963E59">
        <w:noBreakHyphen/>
      </w:r>
      <w:r w:rsidR="00D37D55">
        <w:t xml:space="preserve">quality carbon </w:t>
      </w:r>
      <w:r w:rsidR="002563E7">
        <w:t>credits</w:t>
      </w:r>
      <w:r w:rsidR="0093210E">
        <w:t xml:space="preserve"> for use as offsets</w:t>
      </w:r>
      <w:r w:rsidR="00D37D55">
        <w:t>.</w:t>
      </w:r>
    </w:p>
    <w:p w14:paraId="139C8353" w14:textId="1612E751" w:rsidR="00FB349F" w:rsidRDefault="00BB14ED" w:rsidP="00FB349F">
      <w:r>
        <w:t>The Net Zero Plan</w:t>
      </w:r>
      <w:r w:rsidDel="00B017D0">
        <w:t xml:space="preserve"> </w:t>
      </w:r>
      <w:r w:rsidR="00B017D0">
        <w:t xml:space="preserve">notes that </w:t>
      </w:r>
      <w:r>
        <w:t xml:space="preserve">carbon credits </w:t>
      </w:r>
      <w:r w:rsidR="001E5C0A">
        <w:t xml:space="preserve">can be </w:t>
      </w:r>
      <w:r>
        <w:t>an effici</w:t>
      </w:r>
      <w:r w:rsidR="000E477D">
        <w:t xml:space="preserve">ent way to drive </w:t>
      </w:r>
      <w:r w:rsidR="001E5C0A">
        <w:t>economy</w:t>
      </w:r>
      <w:r w:rsidR="00963E59">
        <w:noBreakHyphen/>
      </w:r>
      <w:r w:rsidR="001E5C0A">
        <w:t>wide emissions reductions. Organisations may also wish to consider how purchasing offsets can align with their broader strategy or corporate responsibility goals.</w:t>
      </w:r>
      <w:r w:rsidR="007D345C">
        <w:t xml:space="preserve"> Therefore,</w:t>
      </w:r>
      <w:r w:rsidR="00FB349F" w:rsidDel="00EE6EDA">
        <w:t xml:space="preserve"> </w:t>
      </w:r>
      <w:r w:rsidR="00FB349F">
        <w:t>organisations</w:t>
      </w:r>
      <w:r w:rsidR="00EE6EDA">
        <w:t xml:space="preserve"> that</w:t>
      </w:r>
      <w:r w:rsidR="00FB349F">
        <w:t xml:space="preserve"> elect to use credits</w:t>
      </w:r>
      <w:r w:rsidR="00EE6EDA">
        <w:t xml:space="preserve"> </w:t>
      </w:r>
      <w:r w:rsidR="00FB349F">
        <w:t>should consider how they will be used in the context of their transition</w:t>
      </w:r>
      <w:r w:rsidR="00DC472F">
        <w:t xml:space="preserve"> planning</w:t>
      </w:r>
      <w:r w:rsidR="00FB349F">
        <w:t>. For example</w:t>
      </w:r>
      <w:r w:rsidR="005B00BC">
        <w:t>, organisations should consider</w:t>
      </w:r>
      <w:r w:rsidR="00FB349F">
        <w:t>:</w:t>
      </w:r>
    </w:p>
    <w:p w14:paraId="7666BE85" w14:textId="645550AD" w:rsidR="00FB349F" w:rsidRPr="006B52CC" w:rsidRDefault="000376C4" w:rsidP="00DB6514">
      <w:pPr>
        <w:pStyle w:val="Bullet"/>
      </w:pPr>
      <w:r>
        <w:t>t</w:t>
      </w:r>
      <w:r w:rsidR="00FB349F" w:rsidRPr="006B52CC">
        <w:t>he extent to which credits will be used</w:t>
      </w:r>
    </w:p>
    <w:p w14:paraId="5EA7FD6F" w14:textId="019443DE" w:rsidR="00FB349F" w:rsidRPr="006B52CC" w:rsidRDefault="000376C4" w:rsidP="00DB6514">
      <w:pPr>
        <w:pStyle w:val="Bullet"/>
      </w:pPr>
      <w:r>
        <w:t>w</w:t>
      </w:r>
      <w:r w:rsidR="00FB349F" w:rsidRPr="006B52CC">
        <w:t>hy direct reductions are not possible</w:t>
      </w:r>
    </w:p>
    <w:p w14:paraId="6DB274BF" w14:textId="240C3EF1" w:rsidR="00FB349F" w:rsidRPr="006B52CC" w:rsidRDefault="000376C4" w:rsidP="00DB6514">
      <w:pPr>
        <w:pStyle w:val="Bullet"/>
      </w:pPr>
      <w:r>
        <w:t>t</w:t>
      </w:r>
      <w:r w:rsidR="00FB349F" w:rsidRPr="006B52CC">
        <w:t>he intended timeframe for using the credits</w:t>
      </w:r>
    </w:p>
    <w:p w14:paraId="7235B307" w14:textId="5FDB55EC" w:rsidR="00FB349F" w:rsidRPr="006B52CC" w:rsidRDefault="000376C4" w:rsidP="00DB6514">
      <w:pPr>
        <w:pStyle w:val="Bullet"/>
      </w:pPr>
      <w:r>
        <w:t>t</w:t>
      </w:r>
      <w:r w:rsidR="00FB349F" w:rsidRPr="006B52CC">
        <w:t>he types of carbon credits that will be purchased</w:t>
      </w:r>
    </w:p>
    <w:p w14:paraId="11220643" w14:textId="6BCF9227" w:rsidR="00FB349F" w:rsidRPr="006B52CC" w:rsidRDefault="000376C4" w:rsidP="00DB6514">
      <w:pPr>
        <w:pStyle w:val="Bullet"/>
      </w:pPr>
      <w:r>
        <w:t>h</w:t>
      </w:r>
      <w:r w:rsidR="00FB349F" w:rsidRPr="006B52CC">
        <w:t>ow the organisation will assess the credibility of offsets.</w:t>
      </w:r>
    </w:p>
    <w:p w14:paraId="6952B71E" w14:textId="77777777" w:rsidR="00584E78" w:rsidRPr="00AA53F7" w:rsidRDefault="00584E78" w:rsidP="00AA53F7">
      <w:pPr>
        <w:pStyle w:val="SingleParagraph"/>
      </w:pPr>
    </w:p>
    <w:tbl>
      <w:tblPr>
        <w:tblW w:w="5000" w:type="pct"/>
        <w:shd w:val="clear" w:color="auto" w:fill="E3EDE8"/>
        <w:tblCellMar>
          <w:top w:w="227" w:type="dxa"/>
          <w:left w:w="227" w:type="dxa"/>
          <w:bottom w:w="227" w:type="dxa"/>
          <w:right w:w="227" w:type="dxa"/>
        </w:tblCellMar>
        <w:tblLook w:val="0620" w:firstRow="1" w:lastRow="0" w:firstColumn="0" w:lastColumn="0" w:noHBand="1" w:noVBand="1"/>
      </w:tblPr>
      <w:tblGrid>
        <w:gridCol w:w="9070"/>
      </w:tblGrid>
      <w:tr w:rsidR="00584E78" w:rsidRPr="00963E59" w14:paraId="315A61FC" w14:textId="77777777" w:rsidTr="00460C3E">
        <w:tc>
          <w:tcPr>
            <w:tcW w:w="5000" w:type="pct"/>
            <w:shd w:val="clear" w:color="auto" w:fill="E3EDE8"/>
            <w:hideMark/>
          </w:tcPr>
          <w:p w14:paraId="780AEE4F" w14:textId="60FF62D2" w:rsidR="00584E78" w:rsidRPr="00963E59" w:rsidRDefault="00584E78" w:rsidP="00E964D5">
            <w:pPr>
              <w:pStyle w:val="BoxHeading"/>
            </w:pPr>
            <w:bookmarkStart w:id="278" w:name="Box41"/>
            <w:bookmarkStart w:id="279" w:name="_Toc237351166"/>
            <w:bookmarkStart w:id="280" w:name="_Toc233287135"/>
            <w:bookmarkEnd w:id="278"/>
            <w:r w:rsidRPr="00963E59">
              <w:lastRenderedPageBreak/>
              <w:t xml:space="preserve">Box </w:t>
            </w:r>
            <w:r w:rsidR="0084008F" w:rsidRPr="00963E59">
              <w:t>3</w:t>
            </w:r>
            <w:r w:rsidR="009E02A1">
              <w:t>3</w:t>
            </w:r>
            <w:r w:rsidR="008C51F9" w:rsidRPr="00963E59">
              <w:t>.</w:t>
            </w:r>
            <w:r w:rsidRPr="00963E59">
              <w:t xml:space="preserve"> Factors to consider when identifying high-quality carbon credits</w:t>
            </w:r>
            <w:bookmarkEnd w:id="279"/>
            <w:bookmarkEnd w:id="280"/>
          </w:p>
          <w:p w14:paraId="742F4739" w14:textId="630DDE3A" w:rsidR="00584E78" w:rsidRPr="00963E59" w:rsidRDefault="00584E78" w:rsidP="00584E78">
            <w:pPr>
              <w:pStyle w:val="BoxText"/>
            </w:pPr>
            <w:r w:rsidRPr="00963E59">
              <w:t>When seeking high</w:t>
            </w:r>
            <w:r w:rsidRPr="00963E59" w:rsidDel="00821422">
              <w:t xml:space="preserve"> </w:t>
            </w:r>
            <w:r w:rsidRPr="00963E59">
              <w:t>quality carbon credits, organisations can look for carbon credits that meet the following criteria.</w:t>
            </w:r>
            <w:r w:rsidR="001542A6" w:rsidRPr="00963E59">
              <w:t xml:space="preserve"> </w:t>
            </w:r>
          </w:p>
          <w:p w14:paraId="54CC46B3" w14:textId="77777777" w:rsidR="00584E78" w:rsidRPr="00963E59" w:rsidRDefault="00584E78" w:rsidP="00DB6514">
            <w:pPr>
              <w:pStyle w:val="Boxbullet"/>
            </w:pPr>
            <w:r w:rsidRPr="00DB6514">
              <w:rPr>
                <w:b/>
                <w:bCs/>
              </w:rPr>
              <w:t>Additional</w:t>
            </w:r>
            <w:r w:rsidRPr="00963E59">
              <w:t xml:space="preserve">: credits must represent emissions reductions that are unlikely to occur in the ordinary course of events, and this assessment must be supported by clear and convincing evidence. </w:t>
            </w:r>
          </w:p>
          <w:p w14:paraId="3BC11792" w14:textId="22D8C133" w:rsidR="00584E78" w:rsidRPr="00963E59" w:rsidRDefault="00584E78" w:rsidP="00DB6514">
            <w:pPr>
              <w:pStyle w:val="Boxbullet"/>
            </w:pPr>
            <w:r w:rsidRPr="00DB6514">
              <w:rPr>
                <w:b/>
                <w:bCs/>
              </w:rPr>
              <w:t>Permanent</w:t>
            </w:r>
            <w:r w:rsidRPr="00963E59">
              <w:t>: credits must represent permanent reductions in GHG emissions. In the case of sinks, this requires that the carbon stored is sequestered and will not be released into the atmosphere for a period of 100 years. Where a period of less than 100 years is applied to sequestration units, an appropriate discount must be applied to address the risk of non-</w:t>
            </w:r>
            <w:r w:rsidR="00782007" w:rsidRPr="00963E59">
              <w:t>‍</w:t>
            </w:r>
            <w:r w:rsidRPr="00963E59">
              <w:t xml:space="preserve">permanence. </w:t>
            </w:r>
          </w:p>
          <w:p w14:paraId="79B20E02" w14:textId="2B6EAD38" w:rsidR="00584E78" w:rsidRPr="00DB6514" w:rsidRDefault="00584E78" w:rsidP="00DB6514">
            <w:pPr>
              <w:pStyle w:val="Boxbullet"/>
              <w:rPr>
                <w:color w:val="2C384A" w:themeColor="accent1"/>
                <w:sz w:val="20"/>
              </w:rPr>
            </w:pPr>
            <w:r w:rsidRPr="00DB6514">
              <w:rPr>
                <w:b/>
                <w:bCs/>
              </w:rPr>
              <w:t>No double</w:t>
            </w:r>
            <w:r w:rsidR="00BF2096" w:rsidRPr="00DB6514">
              <w:rPr>
                <w:b/>
                <w:bCs/>
              </w:rPr>
              <w:t xml:space="preserve"> </w:t>
            </w:r>
            <w:r w:rsidRPr="00DB6514">
              <w:rPr>
                <w:b/>
                <w:bCs/>
              </w:rPr>
              <w:t>counting</w:t>
            </w:r>
            <w:r w:rsidRPr="00963E59">
              <w:t>:</w:t>
            </w:r>
            <w:r w:rsidRPr="00963E59" w:rsidDel="008269E8">
              <w:t xml:space="preserve"> </w:t>
            </w:r>
            <w:r w:rsidR="008269E8" w:rsidRPr="00963E59">
              <w:t xml:space="preserve">a </w:t>
            </w:r>
            <w:r w:rsidRPr="00963E59">
              <w:t>credit must not be used to compensate for more than one tonne of emissions. Double counting can occur through double crediting/issuance, double use, and/or double claiming. For example, if an organisation counts emissions absorbed by a forest within its own emissions footprint, it cannot also sell or claim the associated carbon credits from that forest.</w:t>
            </w:r>
          </w:p>
          <w:p w14:paraId="3ED057FD" w14:textId="37EAC54B" w:rsidR="00584E78" w:rsidRPr="00963E59" w:rsidRDefault="00584E78" w:rsidP="00DB6514">
            <w:pPr>
              <w:pStyle w:val="Boxbullet"/>
            </w:pPr>
            <w:r w:rsidRPr="00DB6514">
              <w:rPr>
                <w:b/>
                <w:bCs/>
              </w:rPr>
              <w:t>Measurable and verifiable</w:t>
            </w:r>
            <w:r w:rsidRPr="00963E59">
              <w:t>: methods used to quantify the emissions reductions generated from the carbon credits must be measurable and verifiable, and any emissions from the project should be deducted.</w:t>
            </w:r>
          </w:p>
          <w:p w14:paraId="59CC6917" w14:textId="0F32328A" w:rsidR="00584E78" w:rsidRPr="00963E59" w:rsidRDefault="00584E78" w:rsidP="00DB6514">
            <w:pPr>
              <w:pStyle w:val="Boxbullet"/>
            </w:pPr>
            <w:r w:rsidRPr="00DB6514">
              <w:rPr>
                <w:b/>
                <w:bCs/>
              </w:rPr>
              <w:t>Transparent</w:t>
            </w:r>
            <w:r w:rsidRPr="00963E59">
              <w:t xml:space="preserve">: consumers and other stakeholders must have access to information about the offset project that generated the abatement, including the </w:t>
            </w:r>
            <w:r w:rsidR="00EA63D3" w:rsidRPr="00963E59">
              <w:t xml:space="preserve">methods </w:t>
            </w:r>
            <w:r w:rsidR="00A24FB5" w:rsidRPr="00963E59">
              <w:t>used</w:t>
            </w:r>
            <w:r w:rsidRPr="00963E59">
              <w:t xml:space="preserve"> and project-</w:t>
            </w:r>
            <w:r w:rsidR="00782007" w:rsidRPr="00963E59">
              <w:t>‍</w:t>
            </w:r>
            <w:r w:rsidRPr="00963E59">
              <w:t xml:space="preserve">monitoring arrangements. </w:t>
            </w:r>
          </w:p>
          <w:p w14:paraId="1AF9E191" w14:textId="52B08406" w:rsidR="003F6885" w:rsidRPr="00963E59" w:rsidRDefault="00584E78" w:rsidP="00DB6514">
            <w:pPr>
              <w:pStyle w:val="Boxbullet"/>
              <w:rPr>
                <w:lang w:eastAsia="en-US"/>
              </w:rPr>
            </w:pPr>
            <w:r w:rsidRPr="00DB6514">
              <w:rPr>
                <w:b/>
                <w:bCs/>
              </w:rPr>
              <w:t>Independently audited</w:t>
            </w:r>
            <w:r w:rsidRPr="00963E59">
              <w:t>: the circumstances responsible for the generation of the credit must be verified by an independent, appropriately qualified third party and not found to be in contradiction with these integrity principles.</w:t>
            </w:r>
          </w:p>
          <w:p w14:paraId="5366FF3B" w14:textId="4B632312" w:rsidR="00584E78" w:rsidRPr="00963E59" w:rsidRDefault="00344844" w:rsidP="00EC7A2F">
            <w:pPr>
              <w:pStyle w:val="ChartorTableNote"/>
              <w:rPr>
                <w:szCs w:val="18"/>
                <w:lang w:eastAsia="en-US"/>
              </w:rPr>
            </w:pPr>
            <w:r w:rsidRPr="00963E59">
              <w:rPr>
                <w:b/>
                <w:szCs w:val="18"/>
                <w:lang w:eastAsia="en-US"/>
              </w:rPr>
              <w:t>Source</w:t>
            </w:r>
            <w:r w:rsidRPr="00963E59">
              <w:rPr>
                <w:szCs w:val="18"/>
                <w:lang w:eastAsia="en-US"/>
              </w:rPr>
              <w:t>:</w:t>
            </w:r>
            <w:r w:rsidR="00EC7A2F" w:rsidRPr="00963E59">
              <w:rPr>
                <w:szCs w:val="18"/>
                <w:lang w:eastAsia="en-US"/>
              </w:rPr>
              <w:tab/>
            </w:r>
            <w:r w:rsidR="00584E78" w:rsidRPr="00963E59">
              <w:rPr>
                <w:szCs w:val="18"/>
                <w:lang w:eastAsia="en-US"/>
              </w:rPr>
              <w:t xml:space="preserve">Adapted from </w:t>
            </w:r>
            <w:hyperlink r:id="rId184">
              <w:r w:rsidR="00584E78" w:rsidRPr="00963E59">
                <w:rPr>
                  <w:rStyle w:val="Hyperlink"/>
                  <w:szCs w:val="18"/>
                  <w:lang w:eastAsia="en-US"/>
                </w:rPr>
                <w:t>I</w:t>
              </w:r>
              <w:r w:rsidR="00BB2A95" w:rsidRPr="00963E59">
                <w:rPr>
                  <w:rStyle w:val="Hyperlink"/>
                  <w:szCs w:val="18"/>
                  <w:lang w:eastAsia="en-US"/>
                </w:rPr>
                <w:t>ntegrity Council for the Voluntary Carbon Market</w:t>
              </w:r>
              <w:r w:rsidR="00584E78" w:rsidRPr="00963E59">
                <w:rPr>
                  <w:rStyle w:val="Hyperlink"/>
                  <w:szCs w:val="18"/>
                  <w:lang w:eastAsia="en-US"/>
                </w:rPr>
                <w:t xml:space="preserve"> Core Carbon Principles</w:t>
              </w:r>
            </w:hyperlink>
            <w:r w:rsidR="000234D9" w:rsidRPr="00963E59">
              <w:t>;</w:t>
            </w:r>
            <w:r w:rsidR="00584E78" w:rsidRPr="00963E59">
              <w:rPr>
                <w:rStyle w:val="FootnoteReference"/>
              </w:rPr>
              <w:endnoteReference w:id="125"/>
            </w:r>
            <w:r w:rsidR="00584E78" w:rsidRPr="00963E59">
              <w:t xml:space="preserve"> </w:t>
            </w:r>
            <w:r w:rsidR="00EC7A2F" w:rsidRPr="00963E59">
              <w:tab/>
            </w:r>
            <w:hyperlink r:id="rId185">
              <w:r w:rsidR="00584E78" w:rsidRPr="00963E59">
                <w:rPr>
                  <w:rStyle w:val="Hyperlink"/>
                  <w:i/>
                  <w:szCs w:val="18"/>
                </w:rPr>
                <w:t>Carbon</w:t>
              </w:r>
              <w:r w:rsidR="00EC7A2F" w:rsidRPr="00963E59">
                <w:rPr>
                  <w:rStyle w:val="Hyperlink"/>
                  <w:i/>
                  <w:szCs w:val="18"/>
                </w:rPr>
                <w:t> </w:t>
              </w:r>
              <w:r w:rsidR="00584E78" w:rsidRPr="00963E59">
                <w:rPr>
                  <w:rStyle w:val="Hyperlink"/>
                  <w:i/>
                  <w:szCs w:val="18"/>
                </w:rPr>
                <w:t>Credits</w:t>
              </w:r>
              <w:r w:rsidR="00EC7A2F" w:rsidRPr="00963E59">
                <w:rPr>
                  <w:rStyle w:val="Hyperlink"/>
                  <w:i/>
                  <w:szCs w:val="18"/>
                </w:rPr>
                <w:t> </w:t>
              </w:r>
              <w:r w:rsidR="00584E78" w:rsidRPr="00963E59">
                <w:rPr>
                  <w:rStyle w:val="Hyperlink"/>
                  <w:i/>
                  <w:szCs w:val="18"/>
                </w:rPr>
                <w:t>(Carbon Farming Initiative) Act 2011</w:t>
              </w:r>
            </w:hyperlink>
            <w:r w:rsidR="000234D9" w:rsidRPr="00963E59">
              <w:t>;</w:t>
            </w:r>
            <w:r w:rsidR="00584E78" w:rsidRPr="00963E59">
              <w:rPr>
                <w:rStyle w:val="FootnoteReference"/>
                <w:szCs w:val="18"/>
              </w:rPr>
              <w:endnoteReference w:id="126"/>
            </w:r>
            <w:r w:rsidR="00584E78" w:rsidRPr="00963E59">
              <w:t xml:space="preserve"> </w:t>
            </w:r>
            <w:hyperlink r:id="rId186">
              <w:r w:rsidR="00584E78" w:rsidRPr="00963E59">
                <w:rPr>
                  <w:rStyle w:val="Hyperlink"/>
                  <w:szCs w:val="18"/>
                </w:rPr>
                <w:t>Oxford Principles for Net Zero Aligned Offsetting</w:t>
              </w:r>
            </w:hyperlink>
            <w:r w:rsidR="000234D9" w:rsidRPr="00963E59">
              <w:t>;</w:t>
            </w:r>
            <w:r w:rsidR="00584E78" w:rsidRPr="00963E59">
              <w:rPr>
                <w:rStyle w:val="FootnoteReference"/>
                <w:szCs w:val="18"/>
              </w:rPr>
              <w:endnoteReference w:id="127"/>
            </w:r>
            <w:r w:rsidR="00584E78" w:rsidRPr="00963E59">
              <w:rPr>
                <w:szCs w:val="18"/>
              </w:rPr>
              <w:t xml:space="preserve"> </w:t>
            </w:r>
            <w:r w:rsidR="00EC7A2F" w:rsidRPr="00963E59">
              <w:rPr>
                <w:szCs w:val="18"/>
              </w:rPr>
              <w:tab/>
              <w:t>a</w:t>
            </w:r>
            <w:r w:rsidR="00EC7A2F" w:rsidRPr="00963E59">
              <w:t xml:space="preserve">nd </w:t>
            </w:r>
            <w:hyperlink r:id="rId187">
              <w:r w:rsidR="00584E78" w:rsidRPr="00963E59">
                <w:rPr>
                  <w:rStyle w:val="Hyperlink"/>
                  <w:szCs w:val="18"/>
                </w:rPr>
                <w:t>Climate</w:t>
              </w:r>
              <w:r w:rsidR="00EC7A2F" w:rsidRPr="00963E59">
                <w:rPr>
                  <w:rStyle w:val="Hyperlink"/>
                  <w:szCs w:val="18"/>
                </w:rPr>
                <w:t> </w:t>
              </w:r>
              <w:r w:rsidR="00584E78" w:rsidRPr="00963E59">
                <w:rPr>
                  <w:rStyle w:val="Hyperlink"/>
                  <w:szCs w:val="18"/>
                </w:rPr>
                <w:t>Active Technical Guidance Manual</w:t>
              </w:r>
            </w:hyperlink>
            <w:r w:rsidR="00584E78" w:rsidRPr="00963E59">
              <w:rPr>
                <w:szCs w:val="18"/>
              </w:rPr>
              <w:t>.</w:t>
            </w:r>
            <w:r w:rsidR="00584E78" w:rsidRPr="00963E59">
              <w:rPr>
                <w:rStyle w:val="EndnoteReference"/>
                <w:szCs w:val="18"/>
              </w:rPr>
              <w:endnoteReference w:id="128"/>
            </w:r>
          </w:p>
        </w:tc>
      </w:tr>
    </w:tbl>
    <w:p w14:paraId="31BD50E4" w14:textId="77777777" w:rsidR="0029075A" w:rsidRDefault="0029075A" w:rsidP="00790631">
      <w:pPr>
        <w:pStyle w:val="SingleParagraph"/>
      </w:pPr>
    </w:p>
    <w:p w14:paraId="40629A31" w14:textId="6ED64A62" w:rsidR="008D2109" w:rsidRDefault="008D2109">
      <w:r>
        <w:t xml:space="preserve">Organisations can purchase carbon credits through the Australian Government’s </w:t>
      </w:r>
      <w:hyperlink r:id="rId188" w:history="1">
        <w:r w:rsidRPr="007C115D">
          <w:rPr>
            <w:rStyle w:val="Hyperlink"/>
          </w:rPr>
          <w:t>Australian Carbon Credit Unit scheme</w:t>
        </w:r>
      </w:hyperlink>
      <w:r>
        <w:t>.</w:t>
      </w:r>
      <w:r w:rsidRPr="00D0437C">
        <w:rPr>
          <w:rStyle w:val="FootnoteReference"/>
        </w:rPr>
        <w:endnoteReference w:id="129"/>
      </w:r>
      <w:r>
        <w:t xml:space="preserve"> This scheme incentivises GHG abatement activities through projects ranging from reforestation to improving energy efficiency. Methods for participating in the Australian Carbon Credit Unit scheme are subject to the legislated </w:t>
      </w:r>
      <w:r w:rsidRPr="00D73DD0">
        <w:t>Offset Integrity Standards</w:t>
      </w:r>
      <w:r w:rsidRPr="000F12CB">
        <w:t>.</w:t>
      </w:r>
      <w:r>
        <w:t xml:space="preserve"> See </w:t>
      </w:r>
      <w:hyperlink w:anchor="Box42" w:history="1">
        <w:r w:rsidR="009E02A1">
          <w:rPr>
            <w:rStyle w:val="Hyperlink"/>
          </w:rPr>
          <w:t>Box 34</w:t>
        </w:r>
      </w:hyperlink>
      <w:r>
        <w:t xml:space="preserve"> for some of the ways organisations are using carbon credits.</w:t>
      </w:r>
    </w:p>
    <w:p w14:paraId="21C21628" w14:textId="77777777" w:rsidR="008D2109" w:rsidRDefault="008D2109">
      <w:r>
        <w:t xml:space="preserve">The Australian Carbon Credit Unit project and contract </w:t>
      </w:r>
      <w:hyperlink r:id="rId189" w:history="1">
        <w:r w:rsidRPr="007C115D">
          <w:rPr>
            <w:rStyle w:val="Hyperlink"/>
          </w:rPr>
          <w:t>register</w:t>
        </w:r>
      </w:hyperlink>
      <w:r w:rsidRPr="00D0437C">
        <w:rPr>
          <w:rStyle w:val="FootnoteReference"/>
        </w:rPr>
        <w:endnoteReference w:id="130"/>
      </w:r>
      <w:r>
        <w:t xml:space="preserve"> provide additional information on each project and the </w:t>
      </w:r>
      <w:r w:rsidRPr="007D1DBE">
        <w:t>method</w:t>
      </w:r>
      <w:r>
        <w:t>s</w:t>
      </w:r>
      <w:r w:rsidDel="004B40F2">
        <w:t xml:space="preserve"> </w:t>
      </w:r>
      <w:r>
        <w:t xml:space="preserve">they are registered under. Organisations using Australian Carbon Credit Units as part of their transition planning should consider how they can transparently link to </w:t>
      </w:r>
      <w:r w:rsidRPr="00673FAE">
        <w:t xml:space="preserve">the relevant public information available on the </w:t>
      </w:r>
      <w:hyperlink r:id="rId190" w:history="1">
        <w:r w:rsidRPr="00672C88">
          <w:rPr>
            <w:rStyle w:val="Hyperlink"/>
          </w:rPr>
          <w:t>Clean Energy Regulator</w:t>
        </w:r>
      </w:hyperlink>
      <w:r>
        <w:t>‘</w:t>
      </w:r>
      <w:r w:rsidRPr="00673FAE">
        <w:t>s</w:t>
      </w:r>
      <w:r>
        <w:t xml:space="preserve"> </w:t>
      </w:r>
      <w:r w:rsidRPr="00673FAE">
        <w:t>platform</w:t>
      </w:r>
      <w:r>
        <w:t>.</w:t>
      </w:r>
    </w:p>
    <w:p w14:paraId="2DD8B388" w14:textId="77777777" w:rsidR="008D2109" w:rsidRDefault="008D2109" w:rsidP="008D2109">
      <w:r w:rsidRPr="00AA69AE">
        <w:t xml:space="preserve">Carbon credits not issued under regulatory compliance arrangements may be accessed through other registries, </w:t>
      </w:r>
      <w:r>
        <w:t>outside of</w:t>
      </w:r>
      <w:r w:rsidRPr="00AA69AE">
        <w:t xml:space="preserve"> </w:t>
      </w:r>
      <w:r>
        <w:t>Clean Energy Regulator’s</w:t>
      </w:r>
      <w:r w:rsidRPr="00AA69AE">
        <w:t xml:space="preserve"> </w:t>
      </w:r>
      <w:r>
        <w:t xml:space="preserve">Australian Carbon Credit Unit </w:t>
      </w:r>
      <w:r w:rsidRPr="00AA69AE">
        <w:t>contract register.</w:t>
      </w:r>
    </w:p>
    <w:tbl>
      <w:tblPr>
        <w:tblW w:w="5000" w:type="pct"/>
        <w:shd w:val="clear" w:color="auto" w:fill="E3EDE8"/>
        <w:tblCellMar>
          <w:top w:w="227" w:type="dxa"/>
          <w:left w:w="227" w:type="dxa"/>
          <w:bottom w:w="227" w:type="dxa"/>
          <w:right w:w="227" w:type="dxa"/>
        </w:tblCellMar>
        <w:tblLook w:val="0620" w:firstRow="1" w:lastRow="0" w:firstColumn="0" w:lastColumn="0" w:noHBand="1" w:noVBand="1"/>
      </w:tblPr>
      <w:tblGrid>
        <w:gridCol w:w="9070"/>
      </w:tblGrid>
      <w:tr w:rsidR="00584E78" w:rsidRPr="00963E59" w14:paraId="69F40E13" w14:textId="77777777" w:rsidTr="00460C3E">
        <w:tc>
          <w:tcPr>
            <w:tcW w:w="5000" w:type="pct"/>
            <w:shd w:val="clear" w:color="auto" w:fill="E3EDE8"/>
            <w:hideMark/>
          </w:tcPr>
          <w:p w14:paraId="2E96EBDC" w14:textId="5CDCC53C" w:rsidR="00584E78" w:rsidRPr="00963E59" w:rsidRDefault="00584E78" w:rsidP="00DB24B9">
            <w:pPr>
              <w:pStyle w:val="BoxHeading"/>
            </w:pPr>
            <w:bookmarkStart w:id="281" w:name="Box42"/>
            <w:bookmarkStart w:id="282" w:name="_Toc237351167"/>
            <w:bookmarkStart w:id="283" w:name="_Toc233287136"/>
            <w:bookmarkEnd w:id="281"/>
            <w:r w:rsidRPr="00963E59">
              <w:lastRenderedPageBreak/>
              <w:t xml:space="preserve">Box </w:t>
            </w:r>
            <w:r w:rsidR="0084008F" w:rsidRPr="00963E59">
              <w:t>3</w:t>
            </w:r>
            <w:r w:rsidR="009E02A1">
              <w:t>4</w:t>
            </w:r>
            <w:r w:rsidR="00DF5FF2" w:rsidRPr="00963E59">
              <w:t>.</w:t>
            </w:r>
            <w:r w:rsidRPr="00963E59">
              <w:t xml:space="preserve"> Different ways organisations use carbon credits</w:t>
            </w:r>
            <w:bookmarkEnd w:id="282"/>
            <w:bookmarkEnd w:id="283"/>
          </w:p>
          <w:p w14:paraId="295EBC45" w14:textId="79EA0B54" w:rsidR="00584E78" w:rsidRPr="00963E59" w:rsidRDefault="00584E78" w:rsidP="00584E78">
            <w:pPr>
              <w:pStyle w:val="BoxText"/>
            </w:pPr>
            <w:r w:rsidRPr="00963E59">
              <w:t>As part of their approach to managing and reducing GHG emissions, organisations are incorporating carbon credits in a number of ways, including</w:t>
            </w:r>
            <w:r w:rsidR="00B4357A" w:rsidRPr="00963E59">
              <w:t xml:space="preserve"> the following</w:t>
            </w:r>
            <w:r w:rsidRPr="00963E59">
              <w:t>:</w:t>
            </w:r>
          </w:p>
          <w:p w14:paraId="326968D3" w14:textId="6D3DC6F3" w:rsidR="00584E78" w:rsidRPr="00963E59" w:rsidRDefault="00584E78" w:rsidP="00DB6514">
            <w:pPr>
              <w:pStyle w:val="Boxbullet"/>
            </w:pPr>
            <w:r w:rsidRPr="00DB6514">
              <w:rPr>
                <w:b/>
              </w:rPr>
              <w:t>Corrective action</w:t>
            </w:r>
            <w:r w:rsidRPr="00963E59">
              <w:t xml:space="preserve">: purchase and surrender </w:t>
            </w:r>
            <w:r w:rsidR="000D4FD4" w:rsidRPr="00963E59">
              <w:t xml:space="preserve">Australian Carbon Credit Units </w:t>
            </w:r>
            <w:r w:rsidRPr="00963E59">
              <w:t xml:space="preserve">to meet </w:t>
            </w:r>
            <w:r w:rsidR="00723548" w:rsidRPr="00963E59">
              <w:t>s</w:t>
            </w:r>
            <w:r w:rsidRPr="00963E59">
              <w:t>afeguard obligations and/or purchase and surrender carbon credits to offset a shortfall in organisation-</w:t>
            </w:r>
            <w:r w:rsidR="00AA53F7" w:rsidRPr="00963E59">
              <w:t>‍</w:t>
            </w:r>
            <w:r w:rsidRPr="00963E59">
              <w:t>set emissions reduction targets. Whe</w:t>
            </w:r>
            <w:r w:rsidR="00FA2B35" w:rsidRPr="00963E59">
              <w:t>n</w:t>
            </w:r>
            <w:r w:rsidRPr="00963E59">
              <w:t xml:space="preserve"> corrective action is taken, </w:t>
            </w:r>
            <w:r w:rsidR="00FA2B35" w:rsidRPr="00963E59">
              <w:t xml:space="preserve">the organisation’s </w:t>
            </w:r>
            <w:r w:rsidRPr="00963E59">
              <w:t xml:space="preserve">monitoring and communications acknowledge </w:t>
            </w:r>
            <w:r w:rsidR="00FA2B35" w:rsidRPr="00963E59">
              <w:t>that</w:t>
            </w:r>
            <w:r w:rsidRPr="00963E59">
              <w:t xml:space="preserve"> the target was not achieved.</w:t>
            </w:r>
          </w:p>
          <w:p w14:paraId="10E7449E" w14:textId="74C94F0A" w:rsidR="00584E78" w:rsidRPr="00963E59" w:rsidRDefault="00F472CA" w:rsidP="00DB6514">
            <w:pPr>
              <w:pStyle w:val="Boxbullet"/>
            </w:pPr>
            <w:r w:rsidRPr="00DB6514">
              <w:rPr>
                <w:b/>
              </w:rPr>
              <w:t>E</w:t>
            </w:r>
            <w:r w:rsidR="00584E78" w:rsidRPr="00DB6514">
              <w:rPr>
                <w:b/>
              </w:rPr>
              <w:t>missions compensation</w:t>
            </w:r>
            <w:r w:rsidR="00584E78" w:rsidRPr="00963E59">
              <w:t xml:space="preserve">: purchase and surrender of carbon credits equivalent to an organisation’s remaining emissions in a given time period, to address on-going </w:t>
            </w:r>
            <w:r w:rsidR="003C4440" w:rsidRPr="00963E59">
              <w:t>and residual emissions</w:t>
            </w:r>
            <w:r w:rsidR="00584E78" w:rsidRPr="00963E59">
              <w:t xml:space="preserve">. </w:t>
            </w:r>
          </w:p>
          <w:p w14:paraId="13400C56" w14:textId="0A4D1140" w:rsidR="00584E78" w:rsidRPr="00963E59" w:rsidRDefault="00584E78" w:rsidP="00DB6514">
            <w:pPr>
              <w:pStyle w:val="Boxbullet"/>
            </w:pPr>
            <w:r w:rsidRPr="00DB6514">
              <w:rPr>
                <w:b/>
              </w:rPr>
              <w:t>Beyond value chain</w:t>
            </w:r>
            <w:r w:rsidRPr="00963E59">
              <w:t xml:space="preserve">: </w:t>
            </w:r>
            <w:r w:rsidR="00290B59" w:rsidRPr="00963E59">
              <w:t xml:space="preserve">purchase and surrender of </w:t>
            </w:r>
            <w:r w:rsidRPr="00963E59">
              <w:t>carbon credits beyond what is required to meet value-chain emissions reduction targets, as an additional contribution to support an organisation’s wider climate ambitions in support of the economy-wide transition</w:t>
            </w:r>
            <w:r w:rsidRPr="00963E59" w:rsidDel="00BF40AC">
              <w:t xml:space="preserve"> </w:t>
            </w:r>
            <w:r w:rsidRPr="00963E59">
              <w:t>to net</w:t>
            </w:r>
            <w:r w:rsidR="00667C73" w:rsidRPr="00963E59">
              <w:t xml:space="preserve"> </w:t>
            </w:r>
            <w:r w:rsidRPr="00963E59">
              <w:t xml:space="preserve">zero. The </w:t>
            </w:r>
            <w:r w:rsidR="002B25E6" w:rsidRPr="00963E59">
              <w:t>Science</w:t>
            </w:r>
            <w:r w:rsidR="008D5E9F" w:rsidRPr="00963E59">
              <w:t xml:space="preserve"> Based Targets Initiative</w:t>
            </w:r>
            <w:r w:rsidRPr="00963E59">
              <w:t xml:space="preserve"> guidance on </w:t>
            </w:r>
            <w:hyperlink r:id="rId191" w:history="1">
              <w:r w:rsidRPr="00DB6514">
                <w:rPr>
                  <w:rStyle w:val="Hyperlink"/>
                  <w:szCs w:val="22"/>
                </w:rPr>
                <w:t>Beyond Value Chain Mitigation</w:t>
              </w:r>
            </w:hyperlink>
            <w:r w:rsidRPr="00963E59">
              <w:rPr>
                <w:rStyle w:val="FootnoteReference"/>
              </w:rPr>
              <w:endnoteReference w:id="131"/>
            </w:r>
            <w:r w:rsidRPr="00963E59">
              <w:t xml:space="preserve"> </w:t>
            </w:r>
            <w:r w:rsidR="00263B1C" w:rsidRPr="00963E59">
              <w:t>has more</w:t>
            </w:r>
            <w:r w:rsidRPr="00963E59">
              <w:t xml:space="preserve"> information.</w:t>
            </w:r>
          </w:p>
          <w:p w14:paraId="468EA8F1" w14:textId="26885268" w:rsidR="00584E78" w:rsidRPr="00963E59" w:rsidRDefault="00105A07" w:rsidP="00584E78">
            <w:pPr>
              <w:pStyle w:val="BoxText"/>
              <w:rPr>
                <w:szCs w:val="22"/>
              </w:rPr>
            </w:pPr>
            <w:r w:rsidRPr="00963E59">
              <w:rPr>
                <w:szCs w:val="22"/>
              </w:rPr>
              <w:t>S</w:t>
            </w:r>
            <w:r w:rsidR="00584E78" w:rsidRPr="00963E59">
              <w:rPr>
                <w:szCs w:val="22"/>
              </w:rPr>
              <w:t xml:space="preserve">ome organisations are developing carbon credit strategies to guide </w:t>
            </w:r>
            <w:r w:rsidR="00A30DEC" w:rsidRPr="00963E59">
              <w:rPr>
                <w:szCs w:val="22"/>
              </w:rPr>
              <w:t>their</w:t>
            </w:r>
            <w:r w:rsidR="00584E78" w:rsidRPr="00963E59">
              <w:rPr>
                <w:szCs w:val="22"/>
              </w:rPr>
              <w:t xml:space="preserve"> purchasing decisions and internal due diligence processes</w:t>
            </w:r>
            <w:r w:rsidRPr="00963E59">
              <w:rPr>
                <w:szCs w:val="22"/>
              </w:rPr>
              <w:t>, in line with broader sustainability goals and objectives.</w:t>
            </w:r>
            <w:r w:rsidR="00D809FB" w:rsidRPr="00963E59">
              <w:rPr>
                <w:szCs w:val="22"/>
              </w:rPr>
              <w:t xml:space="preserve"> </w:t>
            </w:r>
            <w:r w:rsidR="001A5FF9" w:rsidRPr="00963E59">
              <w:rPr>
                <w:szCs w:val="22"/>
              </w:rPr>
              <w:t>S</w:t>
            </w:r>
            <w:r w:rsidR="00D809FB" w:rsidRPr="00963E59">
              <w:rPr>
                <w:szCs w:val="22"/>
              </w:rPr>
              <w:t xml:space="preserve">trategies </w:t>
            </w:r>
            <w:r w:rsidR="00584E78" w:rsidRPr="00963E59">
              <w:rPr>
                <w:szCs w:val="22"/>
              </w:rPr>
              <w:t>should be informed by Australia’s regulatory frameworks and international best practice standards</w:t>
            </w:r>
            <w:r w:rsidR="008C433F" w:rsidRPr="00963E59">
              <w:rPr>
                <w:szCs w:val="22"/>
              </w:rPr>
              <w:t xml:space="preserve">. </w:t>
            </w:r>
            <w:r w:rsidR="00287AB8" w:rsidRPr="00963E59">
              <w:rPr>
                <w:szCs w:val="22"/>
              </w:rPr>
              <w:t xml:space="preserve">They </w:t>
            </w:r>
            <w:r w:rsidR="00766FA0" w:rsidRPr="00963E59">
              <w:rPr>
                <w:szCs w:val="22"/>
              </w:rPr>
              <w:t>can</w:t>
            </w:r>
            <w:r w:rsidR="001A5FF9" w:rsidRPr="00963E59">
              <w:rPr>
                <w:szCs w:val="22"/>
              </w:rPr>
              <w:t xml:space="preserve"> also </w:t>
            </w:r>
            <w:r w:rsidR="009431AC" w:rsidRPr="00963E59">
              <w:rPr>
                <w:szCs w:val="22"/>
              </w:rPr>
              <w:t xml:space="preserve">align with </w:t>
            </w:r>
            <w:r w:rsidR="00766FA0" w:rsidRPr="00963E59">
              <w:rPr>
                <w:szCs w:val="22"/>
              </w:rPr>
              <w:t>broad</w:t>
            </w:r>
            <w:r w:rsidR="00BC2ACF" w:rsidRPr="00963E59">
              <w:rPr>
                <w:szCs w:val="22"/>
              </w:rPr>
              <w:t>er</w:t>
            </w:r>
            <w:r w:rsidR="00766FA0" w:rsidRPr="00963E59">
              <w:rPr>
                <w:szCs w:val="22"/>
              </w:rPr>
              <w:t xml:space="preserve"> corporate responsibility goals,</w:t>
            </w:r>
            <w:r w:rsidR="00584E78" w:rsidRPr="00963E59">
              <w:rPr>
                <w:szCs w:val="22"/>
              </w:rPr>
              <w:t xml:space="preserve"> such as </w:t>
            </w:r>
            <w:r w:rsidR="00BC2ACF" w:rsidRPr="00963E59">
              <w:rPr>
                <w:szCs w:val="22"/>
              </w:rPr>
              <w:t xml:space="preserve">achieving </w:t>
            </w:r>
            <w:r w:rsidR="00584E78" w:rsidRPr="00963E59">
              <w:rPr>
                <w:szCs w:val="22"/>
              </w:rPr>
              <w:t>First Nations and nature</w:t>
            </w:r>
            <w:r w:rsidR="00BC2ACF" w:rsidRPr="00963E59">
              <w:rPr>
                <w:szCs w:val="22"/>
              </w:rPr>
              <w:t xml:space="preserve"> outcomes</w:t>
            </w:r>
            <w:r w:rsidR="007F42CA" w:rsidRPr="00963E59">
              <w:rPr>
                <w:szCs w:val="22"/>
              </w:rPr>
              <w:t>,</w:t>
            </w:r>
            <w:r w:rsidR="00584E78" w:rsidRPr="00963E59">
              <w:rPr>
                <w:szCs w:val="22"/>
              </w:rPr>
              <w:t xml:space="preserve"> </w:t>
            </w:r>
            <w:r w:rsidR="007F42CA" w:rsidRPr="00963E59">
              <w:rPr>
                <w:szCs w:val="22"/>
              </w:rPr>
              <w:t>which</w:t>
            </w:r>
            <w:r w:rsidR="00584E78" w:rsidRPr="00963E59">
              <w:rPr>
                <w:szCs w:val="22"/>
              </w:rPr>
              <w:t xml:space="preserve"> deliver co</w:t>
            </w:r>
            <w:r w:rsidR="00395A5C" w:rsidRPr="00963E59">
              <w:rPr>
                <w:szCs w:val="22"/>
              </w:rPr>
              <w:t>-</w:t>
            </w:r>
            <w:r w:rsidR="00584E78" w:rsidRPr="00963E59">
              <w:rPr>
                <w:szCs w:val="22"/>
              </w:rPr>
              <w:t>benefits.</w:t>
            </w:r>
          </w:p>
        </w:tc>
      </w:tr>
    </w:tbl>
    <w:p w14:paraId="204A5EC6" w14:textId="1DF4B7EA" w:rsidR="00994B23" w:rsidRDefault="00D44D78" w:rsidP="00D44D78">
      <w:pPr>
        <w:pStyle w:val="Heading3"/>
      </w:pPr>
      <w:r>
        <w:t xml:space="preserve">Renewable </w:t>
      </w:r>
      <w:r w:rsidR="0049161B">
        <w:t>e</w:t>
      </w:r>
      <w:r>
        <w:t xml:space="preserve">nergy </w:t>
      </w:r>
      <w:r w:rsidR="0049161B">
        <w:t>c</w:t>
      </w:r>
      <w:r>
        <w:t>ertificates</w:t>
      </w:r>
    </w:p>
    <w:p w14:paraId="6A73752D" w14:textId="392B56A3" w:rsidR="008937ED" w:rsidRDefault="00491E82" w:rsidP="00382CBA">
      <w:r>
        <w:t>Electricity emissions make up almost all scope 2 emissions in Australia</w:t>
      </w:r>
      <w:r w:rsidR="00874882">
        <w:t xml:space="preserve">. </w:t>
      </w:r>
      <w:r w:rsidR="006E307D">
        <w:t xml:space="preserve">To help meet </w:t>
      </w:r>
      <w:r w:rsidR="00382CBA">
        <w:t xml:space="preserve">scope </w:t>
      </w:r>
      <w:r w:rsidR="006E307D">
        <w:t>2 targets</w:t>
      </w:r>
      <w:r w:rsidR="00527489">
        <w:t xml:space="preserve"> organisations </w:t>
      </w:r>
      <w:r w:rsidR="003C1543" w:rsidRPr="003C1543">
        <w:t>may source renewable electricity through</w:t>
      </w:r>
      <w:r w:rsidR="008937ED">
        <w:t>:</w:t>
      </w:r>
      <w:r w:rsidR="003C1543" w:rsidRPr="003C1543">
        <w:t xml:space="preserve"> </w:t>
      </w:r>
    </w:p>
    <w:p w14:paraId="4F6FCBE9" w14:textId="04BC9208" w:rsidR="008937ED" w:rsidRDefault="003C1543" w:rsidP="00DB6514">
      <w:pPr>
        <w:pStyle w:val="Bullet"/>
      </w:pPr>
      <w:r w:rsidRPr="003C1543">
        <w:t xml:space="preserve">onsite generation </w:t>
      </w:r>
    </w:p>
    <w:p w14:paraId="480243E3" w14:textId="4D42E72A" w:rsidR="008937ED" w:rsidRDefault="003C1543" w:rsidP="00DB6514">
      <w:pPr>
        <w:pStyle w:val="Bullet"/>
      </w:pPr>
      <w:r w:rsidRPr="003C1543">
        <w:t xml:space="preserve">renewable electricity products (where available) </w:t>
      </w:r>
    </w:p>
    <w:p w14:paraId="7645F52E" w14:textId="24A0E933" w:rsidR="008937ED" w:rsidRDefault="003C1543" w:rsidP="00DB6514">
      <w:pPr>
        <w:pStyle w:val="Bullet"/>
      </w:pPr>
      <w:r w:rsidRPr="003C1543">
        <w:t xml:space="preserve">power purchase agreements </w:t>
      </w:r>
    </w:p>
    <w:p w14:paraId="5AE77DD5" w14:textId="77777777" w:rsidR="008937ED" w:rsidRDefault="003C1543" w:rsidP="00DB6514">
      <w:pPr>
        <w:pStyle w:val="Bullet"/>
      </w:pPr>
      <w:r w:rsidRPr="003C1543">
        <w:t>renewable energy certificates.</w:t>
      </w:r>
      <w:r w:rsidR="00527489">
        <w:t xml:space="preserve"> </w:t>
      </w:r>
    </w:p>
    <w:p w14:paraId="05FBAE88" w14:textId="453ECDE2" w:rsidR="0049161B" w:rsidRDefault="00F47D89" w:rsidP="00382CBA">
      <w:r>
        <w:t xml:space="preserve">Where </w:t>
      </w:r>
      <w:r w:rsidR="00E215B2">
        <w:t xml:space="preserve">renewable energy certificates </w:t>
      </w:r>
      <w:r>
        <w:t>are used</w:t>
      </w:r>
      <w:r w:rsidR="00E215B2">
        <w:t>, o</w:t>
      </w:r>
      <w:r w:rsidR="00527489">
        <w:t xml:space="preserve">rganisations can surrender or retire </w:t>
      </w:r>
      <w:r w:rsidR="009114A0">
        <w:t>them</w:t>
      </w:r>
      <w:r w:rsidR="00491E82" w:rsidDel="00E215B2">
        <w:t xml:space="preserve"> </w:t>
      </w:r>
      <w:r w:rsidR="00491E82">
        <w:t xml:space="preserve">to substantiate their use </w:t>
      </w:r>
      <w:r w:rsidR="001F2F7D">
        <w:t>(</w:t>
      </w:r>
      <w:r w:rsidR="00491E82">
        <w:t>or claim of use</w:t>
      </w:r>
      <w:r w:rsidR="001F2F7D">
        <w:t>)</w:t>
      </w:r>
      <w:r w:rsidR="00491E82">
        <w:t xml:space="preserve"> of renewable electricity. There are</w:t>
      </w:r>
      <w:r w:rsidR="00491E82" w:rsidDel="0049161B">
        <w:t xml:space="preserve"> </w:t>
      </w:r>
      <w:r w:rsidR="0049161B">
        <w:t>2</w:t>
      </w:r>
      <w:r w:rsidR="00491E82">
        <w:t xml:space="preserve"> types of </w:t>
      </w:r>
      <w:r w:rsidR="0049161B">
        <w:t xml:space="preserve">renewable energy certificates </w:t>
      </w:r>
      <w:r w:rsidR="00491E82">
        <w:t>issued under Australian Government schemes that may be used in market</w:t>
      </w:r>
      <w:r w:rsidR="00963E59">
        <w:noBreakHyphen/>
      </w:r>
      <w:r w:rsidR="00491E82">
        <w:t>based emissions accounting</w:t>
      </w:r>
      <w:r w:rsidR="0049161B">
        <w:t>:</w:t>
      </w:r>
    </w:p>
    <w:p w14:paraId="71CCF771" w14:textId="2DA09BB1" w:rsidR="0049161B" w:rsidRDefault="0000272F" w:rsidP="00DB6514">
      <w:pPr>
        <w:pStyle w:val="Bullet"/>
        <w:rPr>
          <w:lang w:eastAsia="en-US"/>
        </w:rPr>
      </w:pPr>
      <w:hyperlink r:id="rId192" w:history="1">
        <w:r w:rsidRPr="008D2109">
          <w:rPr>
            <w:rStyle w:val="Hyperlink"/>
          </w:rPr>
          <w:t>L</w:t>
        </w:r>
        <w:r w:rsidR="002C2217" w:rsidRPr="008D2109">
          <w:rPr>
            <w:rStyle w:val="Hyperlink"/>
          </w:rPr>
          <w:t>arge</w:t>
        </w:r>
        <w:r w:rsidR="00963E59" w:rsidRPr="008D2109">
          <w:rPr>
            <w:rStyle w:val="Hyperlink"/>
          </w:rPr>
          <w:noBreakHyphen/>
        </w:r>
        <w:r w:rsidR="002C2217" w:rsidRPr="008D2109">
          <w:rPr>
            <w:rStyle w:val="Hyperlink"/>
          </w:rPr>
          <w:t>scale</w:t>
        </w:r>
        <w:r w:rsidR="0034036B" w:rsidRPr="008D2109">
          <w:rPr>
            <w:rStyle w:val="Hyperlink"/>
          </w:rPr>
          <w:t xml:space="preserve"> </w:t>
        </w:r>
        <w:r w:rsidRPr="008D2109">
          <w:rPr>
            <w:rStyle w:val="Hyperlink"/>
          </w:rPr>
          <w:t>G</w:t>
        </w:r>
        <w:r w:rsidR="0034036B" w:rsidRPr="008D2109">
          <w:rPr>
            <w:rStyle w:val="Hyperlink"/>
          </w:rPr>
          <w:t xml:space="preserve">eneration </w:t>
        </w:r>
        <w:r w:rsidRPr="008D2109">
          <w:rPr>
            <w:rStyle w:val="Hyperlink"/>
          </w:rPr>
          <w:t>C</w:t>
        </w:r>
        <w:r w:rsidR="0034036B" w:rsidRPr="008D2109">
          <w:rPr>
            <w:rStyle w:val="Hyperlink"/>
          </w:rPr>
          <w:t>ertificates</w:t>
        </w:r>
      </w:hyperlink>
      <w:r w:rsidR="00130019" w:rsidRPr="00D0437C">
        <w:rPr>
          <w:rStyle w:val="FootnoteReference"/>
        </w:rPr>
        <w:endnoteReference w:id="132"/>
      </w:r>
      <w:r w:rsidR="001D09AB">
        <w:t xml:space="preserve"> </w:t>
      </w:r>
      <w:r w:rsidR="009531AC">
        <w:t>issued under the</w:t>
      </w:r>
      <w:r w:rsidR="00E35DBD">
        <w:t xml:space="preserve"> </w:t>
      </w:r>
      <w:r w:rsidR="00E35DBD" w:rsidRPr="00130019">
        <w:rPr>
          <w:lang w:eastAsia="en-US"/>
        </w:rPr>
        <w:t>Large</w:t>
      </w:r>
      <w:r w:rsidR="00963E59">
        <w:rPr>
          <w:lang w:eastAsia="en-US"/>
        </w:rPr>
        <w:noBreakHyphen/>
      </w:r>
      <w:r w:rsidR="00E35DBD" w:rsidRPr="00130019">
        <w:rPr>
          <w:lang w:eastAsia="en-US"/>
        </w:rPr>
        <w:t>scale Renewable Energy Target</w:t>
      </w:r>
    </w:p>
    <w:p w14:paraId="2B28645B" w14:textId="23DD6747" w:rsidR="00491E82" w:rsidRDefault="00E35DBD" w:rsidP="00DB6514">
      <w:pPr>
        <w:pStyle w:val="Bullet"/>
        <w:rPr>
          <w:lang w:eastAsia="en-US"/>
        </w:rPr>
      </w:pPr>
      <w:hyperlink r:id="rId193" w:history="1">
        <w:r w:rsidRPr="007C115D">
          <w:rPr>
            <w:rStyle w:val="Hyperlink"/>
          </w:rPr>
          <w:t>Renewable Electricity Guarantee of Origin</w:t>
        </w:r>
      </w:hyperlink>
      <w:r w:rsidRPr="00D0437C">
        <w:rPr>
          <w:rStyle w:val="FootnoteReference"/>
        </w:rPr>
        <w:endnoteReference w:id="133"/>
      </w:r>
      <w:r>
        <w:t xml:space="preserve"> certificates </w:t>
      </w:r>
      <w:r w:rsidR="00CB005D" w:rsidRPr="00CB005D">
        <w:t>issued under the Guarantee</w:t>
      </w:r>
      <w:r w:rsidR="00AA53F7">
        <w:t> </w:t>
      </w:r>
      <w:r w:rsidR="00CB005D" w:rsidRPr="00CB005D">
        <w:t>of</w:t>
      </w:r>
      <w:r w:rsidR="00AA53F7">
        <w:t> </w:t>
      </w:r>
      <w:r w:rsidR="00CB005D" w:rsidRPr="00CB005D">
        <w:t xml:space="preserve">Origin scheme, </w:t>
      </w:r>
      <w:r w:rsidR="00890385">
        <w:t xml:space="preserve">which are administrated </w:t>
      </w:r>
      <w:r w:rsidR="00A00BEB">
        <w:t xml:space="preserve">by the </w:t>
      </w:r>
      <w:r w:rsidR="00A00BEB" w:rsidRPr="00D73DD0">
        <w:t>Clean Energy Regulator</w:t>
      </w:r>
      <w:r w:rsidR="00491E82">
        <w:t>.</w:t>
      </w:r>
      <w:r w:rsidR="006D4F00" w:rsidRPr="00AE5878">
        <w:rPr>
          <w:rStyle w:val="FootnoteReference"/>
        </w:rPr>
        <w:endnoteReference w:id="134"/>
      </w:r>
      <w:r w:rsidR="00491E82">
        <w:t xml:space="preserve"> </w:t>
      </w:r>
    </w:p>
    <w:p w14:paraId="2B47E4E5" w14:textId="65A8812A" w:rsidR="00E371CB" w:rsidRDefault="00491E82" w:rsidP="00D82974">
      <w:pPr>
        <w:keepNext/>
      </w:pPr>
      <w:r>
        <w:lastRenderedPageBreak/>
        <w:t xml:space="preserve">When using </w:t>
      </w:r>
      <w:r w:rsidR="00970CE5">
        <w:t>RECs</w:t>
      </w:r>
      <w:r>
        <w:t>, it is important to ensure the claim to the use of electricity is exclusive. Wh</w:t>
      </w:r>
      <w:r w:rsidR="001C6EBC">
        <w:t>en an</w:t>
      </w:r>
      <w:r>
        <w:t xml:space="preserve"> organisation</w:t>
      </w:r>
      <w:r w:rsidR="001C6EBC">
        <w:t xml:space="preserve"> </w:t>
      </w:r>
      <w:r>
        <w:t>claim</w:t>
      </w:r>
      <w:r w:rsidR="001C6EBC">
        <w:t>s</w:t>
      </w:r>
      <w:r>
        <w:t xml:space="preserve"> the use of onsite renewable electricity, </w:t>
      </w:r>
      <w:r w:rsidR="001C6EBC">
        <w:t xml:space="preserve">it </w:t>
      </w:r>
      <w:r>
        <w:t>should surrender certificates and not on</w:t>
      </w:r>
      <w:r w:rsidR="00963E59">
        <w:noBreakHyphen/>
      </w:r>
      <w:r>
        <w:t>sell them. This prevents double</w:t>
      </w:r>
      <w:r w:rsidR="00963E59">
        <w:noBreakHyphen/>
      </w:r>
      <w:r>
        <w:t>counting of renewable electricity use in the accounting process</w:t>
      </w:r>
      <w:r w:rsidR="00D73DD0">
        <w:t>.</w:t>
      </w:r>
    </w:p>
    <w:p w14:paraId="58B74C09" w14:textId="6D12E190" w:rsidR="00D44D78" w:rsidRPr="00D44D78" w:rsidRDefault="009C1370" w:rsidP="000E3016">
      <w:r>
        <w:t>W</w:t>
      </w:r>
      <w:r w:rsidR="00CE02C0" w:rsidRPr="00CE02C0">
        <w:t>he</w:t>
      </w:r>
      <w:r w:rsidR="002623FF">
        <w:t>n an</w:t>
      </w:r>
      <w:r w:rsidR="00CE02C0" w:rsidRPr="00CE02C0">
        <w:t xml:space="preserve"> organisatio</w:t>
      </w:r>
      <w:r w:rsidR="002623FF">
        <w:t>n</w:t>
      </w:r>
      <w:r w:rsidR="00CE02C0" w:rsidRPr="00CE02C0">
        <w:t xml:space="preserve"> appl</w:t>
      </w:r>
      <w:r w:rsidR="002623FF">
        <w:t>ies</w:t>
      </w:r>
      <w:r w:rsidR="00CE02C0" w:rsidRPr="00CE02C0">
        <w:t xml:space="preserve"> market</w:t>
      </w:r>
      <w:r w:rsidR="00963E59">
        <w:noBreakHyphen/>
      </w:r>
      <w:r w:rsidR="00CE02C0" w:rsidRPr="00CE02C0">
        <w:t xml:space="preserve">based </w:t>
      </w:r>
      <w:r w:rsidR="00323EC3">
        <w:t>s</w:t>
      </w:r>
      <w:r w:rsidR="00323EC3" w:rsidRPr="00CE02C0">
        <w:t xml:space="preserve">cope </w:t>
      </w:r>
      <w:r w:rsidR="00CE02C0" w:rsidRPr="00CE02C0">
        <w:t xml:space="preserve">2 accounting, </w:t>
      </w:r>
      <w:r w:rsidR="00113CD2">
        <w:t xml:space="preserve">and </w:t>
      </w:r>
      <w:r w:rsidR="00F37E53">
        <w:t xml:space="preserve">uses </w:t>
      </w:r>
      <w:r w:rsidR="00CE02C0" w:rsidRPr="00CE02C0">
        <w:t>renewable energy certificates to substantiate renewable electricity claims</w:t>
      </w:r>
      <w:r w:rsidR="00F37E53">
        <w:t xml:space="preserve">, </w:t>
      </w:r>
      <w:r w:rsidR="006F3A29">
        <w:t>those certificates</w:t>
      </w:r>
      <w:r w:rsidR="00CE02C0" w:rsidRPr="00CE02C0">
        <w:t xml:space="preserve"> should be surrendered or retired for the relevant reporting period </w:t>
      </w:r>
      <w:r w:rsidR="006F3A29">
        <w:t xml:space="preserve">– </w:t>
      </w:r>
      <w:r w:rsidR="00CE02C0" w:rsidRPr="00CE02C0">
        <w:t>not transferred or resold</w:t>
      </w:r>
      <w:r>
        <w:t>. Thi</w:t>
      </w:r>
      <w:r w:rsidR="005D74A4">
        <w:t xml:space="preserve">s </w:t>
      </w:r>
      <w:r w:rsidR="00CE02C0" w:rsidRPr="00CE02C0">
        <w:t>ensure</w:t>
      </w:r>
      <w:r w:rsidR="005D74A4">
        <w:t>s</w:t>
      </w:r>
      <w:r w:rsidR="00CE02C0" w:rsidRPr="00CE02C0">
        <w:t xml:space="preserve"> the environmental attributes are claimed exclusively and avoid</w:t>
      </w:r>
      <w:r w:rsidR="005D74A4">
        <w:t>s</w:t>
      </w:r>
      <w:r w:rsidR="00CE02C0" w:rsidRPr="00CE02C0">
        <w:t xml:space="preserve"> double counting.</w:t>
      </w:r>
    </w:p>
    <w:p w14:paraId="57303339" w14:textId="63E54607" w:rsidR="00D44D78" w:rsidRPr="00A31E76" w:rsidRDefault="00D44D78" w:rsidP="00A31E76">
      <w:r>
        <w:br w:type="page"/>
      </w:r>
    </w:p>
    <w:p w14:paraId="50B91F05" w14:textId="34DFE21E" w:rsidR="00BA12E1" w:rsidRDefault="00D822AC" w:rsidP="00E7074A">
      <w:pPr>
        <w:pStyle w:val="Heading1"/>
      </w:pPr>
      <w:bookmarkStart w:id="284" w:name="Stage4"/>
      <w:bookmarkStart w:id="285" w:name="_Toc224906893"/>
      <w:bookmarkStart w:id="286" w:name="_Toc224916525"/>
      <w:bookmarkStart w:id="287" w:name="_Toc232776366"/>
      <w:bookmarkEnd w:id="284"/>
      <w:r>
        <w:lastRenderedPageBreak/>
        <w:t xml:space="preserve">Stage 4: </w:t>
      </w:r>
      <w:r w:rsidR="00994B23">
        <w:t>Implement or re</w:t>
      </w:r>
      <w:r w:rsidR="00D82974">
        <w:t>-</w:t>
      </w:r>
      <w:r w:rsidR="00994B23">
        <w:t xml:space="preserve">implement </w:t>
      </w:r>
      <w:r w:rsidR="00F314D9">
        <w:t>strategic ambitions and actions</w:t>
      </w:r>
      <w:bookmarkEnd w:id="285"/>
      <w:bookmarkEnd w:id="286"/>
      <w:bookmarkEnd w:id="287"/>
    </w:p>
    <w:p w14:paraId="7C414D8C" w14:textId="15E94980" w:rsidR="00356707" w:rsidRDefault="00B71084" w:rsidP="00B71084">
      <w:r>
        <w:t xml:space="preserve">Once </w:t>
      </w:r>
      <w:r w:rsidR="005D74A4">
        <w:t>an</w:t>
      </w:r>
      <w:r>
        <w:t xml:space="preserve"> organisation</w:t>
      </w:r>
      <w:r w:rsidR="00175EEF">
        <w:t xml:space="preserve"> </w:t>
      </w:r>
      <w:r w:rsidR="005D74A4">
        <w:t xml:space="preserve">has </w:t>
      </w:r>
      <w:r w:rsidR="00175EEF">
        <w:t xml:space="preserve">developed </w:t>
      </w:r>
      <w:r w:rsidR="005D74A4">
        <w:t xml:space="preserve">its </w:t>
      </w:r>
      <w:r w:rsidR="00C30302">
        <w:t xml:space="preserve">strategic ambitions and actions, </w:t>
      </w:r>
      <w:r w:rsidR="005802D2">
        <w:t>the next stage is</w:t>
      </w:r>
      <w:r w:rsidR="001F1885">
        <w:t xml:space="preserve"> </w:t>
      </w:r>
      <w:r w:rsidR="00525892">
        <w:t>implementation</w:t>
      </w:r>
      <w:r w:rsidR="000B30D2">
        <w:t xml:space="preserve"> (</w:t>
      </w:r>
      <w:hyperlink w:anchor="Figure5" w:history="1">
        <w:r w:rsidR="000B30D2" w:rsidRPr="008D2109">
          <w:rPr>
            <w:rStyle w:val="Hyperlink"/>
          </w:rPr>
          <w:t xml:space="preserve">Figure </w:t>
        </w:r>
        <w:r w:rsidR="004617C8" w:rsidRPr="008D2109">
          <w:rPr>
            <w:rStyle w:val="Hyperlink"/>
          </w:rPr>
          <w:t>5</w:t>
        </w:r>
      </w:hyperlink>
      <w:r w:rsidR="000B30D2">
        <w:t>)</w:t>
      </w:r>
      <w:r w:rsidR="001F1885">
        <w:t xml:space="preserve">. </w:t>
      </w:r>
      <w:r w:rsidR="00E52D71">
        <w:t xml:space="preserve">The metrics and targets developed in </w:t>
      </w:r>
      <w:hyperlink w:anchor="Stage3" w:history="1">
        <w:r w:rsidR="00E52D71" w:rsidRPr="00C31F0E">
          <w:rPr>
            <w:rStyle w:val="Hyperlink"/>
          </w:rPr>
          <w:t>Stage 3</w:t>
        </w:r>
      </w:hyperlink>
      <w:r w:rsidR="00E52D71">
        <w:t xml:space="preserve"> </w:t>
      </w:r>
      <w:r w:rsidR="005D74A4">
        <w:t>help</w:t>
      </w:r>
      <w:r w:rsidR="00E52D71">
        <w:t xml:space="preserve"> monitor progress.</w:t>
      </w:r>
    </w:p>
    <w:p w14:paraId="42119CEB" w14:textId="77777777" w:rsidR="008D2109" w:rsidRDefault="008D2109" w:rsidP="008D2109">
      <w:r w:rsidRPr="0022178A">
        <w:t>Scheduling regular review points ensure</w:t>
      </w:r>
      <w:r>
        <w:t>s</w:t>
      </w:r>
      <w:r w:rsidRPr="0022178A">
        <w:t xml:space="preserve"> progress is on track and </w:t>
      </w:r>
      <w:r>
        <w:t>enables organisations to</w:t>
      </w:r>
      <w:r w:rsidRPr="0022178A">
        <w:t xml:space="preserve"> respond to changing circumstances.</w:t>
      </w:r>
      <w:r>
        <w:t xml:space="preserve"> </w:t>
      </w:r>
      <w:r w:rsidRPr="0022178A">
        <w:t xml:space="preserve">The </w:t>
      </w:r>
      <w:hyperlink r:id="rId194" w:history="1">
        <w:r w:rsidRPr="007C115D">
          <w:rPr>
            <w:rStyle w:val="Hyperlink"/>
          </w:rPr>
          <w:t>Transition Plan Taskforce Disclosure Framework</w:t>
        </w:r>
      </w:hyperlink>
      <w:r w:rsidRPr="0022178A">
        <w:t xml:space="preserve"> recommends organisations </w:t>
      </w:r>
      <w:r>
        <w:t>update their transition plan</w:t>
      </w:r>
      <w:r w:rsidRPr="0022178A">
        <w:t xml:space="preserve"> at least every </w:t>
      </w:r>
      <w:r>
        <w:t>3</w:t>
      </w:r>
      <w:r w:rsidRPr="0022178A">
        <w:t xml:space="preserve"> years to ensure </w:t>
      </w:r>
      <w:r>
        <w:t>ambitions and actions</w:t>
      </w:r>
      <w:r w:rsidRPr="0022178A">
        <w:t xml:space="preserve"> remains relevant. </w:t>
      </w:r>
      <w:r>
        <w:t xml:space="preserve">Reviews are also important for demonstrating credibility, as investors often judge ambitions through the lens of an actionable pathway. </w:t>
      </w:r>
    </w:p>
    <w:p w14:paraId="5C67FAED" w14:textId="5C0203CA" w:rsidR="00495699" w:rsidRDefault="003200CE" w:rsidP="005941F6">
      <w:r>
        <w:t xml:space="preserve">Organisations may choose to review their transition planning more frequently </w:t>
      </w:r>
      <w:r w:rsidR="00C301CF">
        <w:t>if</w:t>
      </w:r>
      <w:r w:rsidR="00485174">
        <w:t>:</w:t>
      </w:r>
    </w:p>
    <w:p w14:paraId="3215AAD9" w14:textId="77777777" w:rsidR="00495699" w:rsidRDefault="004922F5" w:rsidP="00DB6514">
      <w:pPr>
        <w:pStyle w:val="Bullet"/>
      </w:pPr>
      <w:r>
        <w:t xml:space="preserve">progress against targets </w:t>
      </w:r>
      <w:r w:rsidDel="00B62FC4">
        <w:t>is</w:t>
      </w:r>
      <w:r>
        <w:t xml:space="preserve"> ahead or behind the planned trajectory</w:t>
      </w:r>
    </w:p>
    <w:p w14:paraId="787B627B" w14:textId="3CBE83C2" w:rsidR="00495699" w:rsidRDefault="00593847" w:rsidP="00DB6514">
      <w:pPr>
        <w:pStyle w:val="Bullet"/>
      </w:pPr>
      <w:r>
        <w:t xml:space="preserve">the </w:t>
      </w:r>
      <w:r w:rsidR="004922F5">
        <w:t xml:space="preserve">external context or </w:t>
      </w:r>
      <w:r>
        <w:t xml:space="preserve">the </w:t>
      </w:r>
      <w:r w:rsidR="004922F5">
        <w:t>organisations</w:t>
      </w:r>
      <w:r w:rsidR="00963E59">
        <w:t>’</w:t>
      </w:r>
      <w:r w:rsidR="004922F5">
        <w:t xml:space="preserve"> exposure to risks has changed</w:t>
      </w:r>
    </w:p>
    <w:p w14:paraId="2E5E3648" w14:textId="32C46CDB" w:rsidR="001A5832" w:rsidRDefault="00B57C4D" w:rsidP="00DB6514">
      <w:pPr>
        <w:pStyle w:val="Bullet"/>
      </w:pPr>
      <w:r>
        <w:t>there are</w:t>
      </w:r>
      <w:r w:rsidR="004922F5">
        <w:t xml:space="preserve"> changes in data availability have </w:t>
      </w:r>
      <w:r w:rsidR="00B503FD">
        <w:t xml:space="preserve">may improve </w:t>
      </w:r>
      <w:r w:rsidR="007E01F1">
        <w:t xml:space="preserve">accuracy of </w:t>
      </w:r>
      <w:r w:rsidR="004922F5">
        <w:t xml:space="preserve">original targets. </w:t>
      </w:r>
    </w:p>
    <w:p w14:paraId="2F10AFAA" w14:textId="12F4C132" w:rsidR="0055031C" w:rsidRDefault="0055031C" w:rsidP="0055031C">
      <w:r>
        <w:t xml:space="preserve">Organisations may also consider the following when </w:t>
      </w:r>
      <w:r w:rsidR="00A96FD6">
        <w:t>reviewing</w:t>
      </w:r>
      <w:r w:rsidR="003200CE">
        <w:t xml:space="preserve"> their transition planning</w:t>
      </w:r>
      <w:r>
        <w:t>:</w:t>
      </w:r>
    </w:p>
    <w:p w14:paraId="2E2FD79D" w14:textId="6B89A215" w:rsidR="0055031C" w:rsidRDefault="0055031C" w:rsidP="00DB6514">
      <w:pPr>
        <w:pStyle w:val="Bullet"/>
      </w:pPr>
      <w:r>
        <w:t>Lessons drawn from ongoing assessment of climate</w:t>
      </w:r>
      <w:r w:rsidR="00963E59">
        <w:noBreakHyphen/>
      </w:r>
      <w:r>
        <w:t>related risks and opportunities and insights from stakeholder</w:t>
      </w:r>
      <w:r w:rsidR="0043115E">
        <w:t xml:space="preserve"> engagement</w:t>
      </w:r>
      <w:r w:rsidR="004453D1">
        <w:t>.</w:t>
      </w:r>
    </w:p>
    <w:p w14:paraId="7C6F671E" w14:textId="77777777" w:rsidR="0055031C" w:rsidRDefault="0055031C" w:rsidP="00DB6514">
      <w:pPr>
        <w:pStyle w:val="Bullet"/>
      </w:pPr>
      <w:r>
        <w:t xml:space="preserve">Insights from challenges faced during implementation of transition planning. </w:t>
      </w:r>
      <w:r w:rsidRPr="0017257A">
        <w:t>Keeping a record of lessons learned can help inform future transition planning cycles.</w:t>
      </w:r>
    </w:p>
    <w:p w14:paraId="38A7A494" w14:textId="79B37F1D" w:rsidR="0055031C" w:rsidRPr="0022178A" w:rsidRDefault="0055031C" w:rsidP="00DB6514">
      <w:pPr>
        <w:pStyle w:val="Bullet"/>
      </w:pPr>
      <w:r>
        <w:t xml:space="preserve">Responses to new development that may warrant revisiting certain assumptions or prompt a change in the direction of strategic ambitions and/or actions. </w:t>
      </w:r>
    </w:p>
    <w:p w14:paraId="7DE20E0A" w14:textId="63C27C2C" w:rsidR="00F33699" w:rsidRPr="008B6DD3" w:rsidRDefault="00F33699" w:rsidP="00AA53F7">
      <w:pPr>
        <w:pStyle w:val="ChartMainHeading"/>
      </w:pPr>
      <w:bookmarkStart w:id="288" w:name="Figure5"/>
      <w:bookmarkStart w:id="289" w:name="_Toc225347732"/>
      <w:bookmarkEnd w:id="288"/>
      <w:r w:rsidRPr="008B6DD3">
        <w:t xml:space="preserve">Figure </w:t>
      </w:r>
      <w:r w:rsidR="00540DED">
        <w:t>5</w:t>
      </w:r>
      <w:r w:rsidRPr="008B6DD3">
        <w:t>: Iterative transition planning cycle</w:t>
      </w:r>
      <w:bookmarkEnd w:id="289"/>
    </w:p>
    <w:p w14:paraId="7F6BC3BB" w14:textId="2BE7670E" w:rsidR="005941F6" w:rsidRPr="0022178A" w:rsidRDefault="004E248D" w:rsidP="00584E78">
      <w:pPr>
        <w:pStyle w:val="ChartGraphic"/>
      </w:pPr>
      <w:r>
        <w:rPr>
          <w:noProof/>
        </w:rPr>
        <w:drawing>
          <wp:inline distT="0" distB="0" distL="0" distR="0" wp14:anchorId="67695754" wp14:editId="4ECE3A1F">
            <wp:extent cx="4924830" cy="3702479"/>
            <wp:effectExtent l="0" t="0" r="0" b="0"/>
            <wp:docPr id="165797176" name="Graphic 2" descr="Figure showing the iterative transition planning cycle.&#10;- Monitor and report on progress&#10;- Learn and reflect from the process&#10;- Respond to change&#10;- Start or continue implementation&#10;&#10;Formal review at least every three years as recommended by the TPT Disclosur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97176" name="Graphic 2" descr="Figure showing the iterative transition planning cycle.&#10;- Monitor and report on progress&#10;- Learn and reflect from the process&#10;- Respond to change&#10;- Start or continue implementation&#10;&#10;Formal review at least every three years as recommended by the TPT Disclosure Framework"/>
                    <pic:cNvPicPr/>
                  </pic:nvPicPr>
                  <pic:blipFill>
                    <a:blip r:embed="rId195">
                      <a:extLst>
                        <a:ext uri="{96DAC541-7B7A-43D3-8B79-37D633B846F1}">
                          <asvg:svgBlip xmlns:asvg="http://schemas.microsoft.com/office/drawing/2016/SVG/main" r:embed="rId196"/>
                        </a:ext>
                      </a:extLst>
                    </a:blip>
                    <a:stretch>
                      <a:fillRect/>
                    </a:stretch>
                  </pic:blipFill>
                  <pic:spPr>
                    <a:xfrm>
                      <a:off x="0" y="0"/>
                      <a:ext cx="4976299" cy="3741173"/>
                    </a:xfrm>
                    <a:prstGeom prst="rect">
                      <a:avLst/>
                    </a:prstGeom>
                  </pic:spPr>
                </pic:pic>
              </a:graphicData>
            </a:graphic>
          </wp:inline>
        </w:drawing>
      </w:r>
    </w:p>
    <w:p w14:paraId="6835DFF0" w14:textId="52706495" w:rsidR="00323D88" w:rsidRPr="00AA53F7" w:rsidRDefault="00250107" w:rsidP="00AA53F7">
      <w:pPr>
        <w:pStyle w:val="SingleParagraph"/>
      </w:pPr>
      <w:r>
        <w:br w:type="page"/>
      </w:r>
    </w:p>
    <w:p w14:paraId="45A116AD" w14:textId="3FDF3F5C" w:rsidR="00363123" w:rsidRDefault="00363123" w:rsidP="00584E78">
      <w:pPr>
        <w:pStyle w:val="Heading1"/>
      </w:pPr>
      <w:bookmarkStart w:id="290" w:name="_Toc215764049"/>
      <w:bookmarkStart w:id="291" w:name="_Toc224906894"/>
      <w:bookmarkStart w:id="292" w:name="_Toc224916526"/>
      <w:bookmarkStart w:id="293" w:name="_Toc232776367"/>
      <w:r>
        <w:lastRenderedPageBreak/>
        <w:t>Glossary</w:t>
      </w:r>
      <w:bookmarkEnd w:id="290"/>
      <w:bookmarkEnd w:id="291"/>
      <w:bookmarkEnd w:id="292"/>
      <w:bookmarkEnd w:id="293"/>
    </w:p>
    <w:p w14:paraId="5BD14D8F" w14:textId="22A781EC" w:rsidR="00C5657C" w:rsidRDefault="00084109" w:rsidP="004611B1">
      <w:r>
        <w:t xml:space="preserve">This section contains </w:t>
      </w:r>
      <w:r w:rsidR="004611B1" w:rsidRPr="004611B1">
        <w:t>terms and their definitions.</w:t>
      </w:r>
    </w:p>
    <w:p w14:paraId="3A36FCED" w14:textId="6276F908" w:rsidR="004611B1" w:rsidRDefault="004611B1" w:rsidP="004611B1">
      <w:r w:rsidRPr="004611B1">
        <w:t xml:space="preserve">*Marked terms are definitions currently used under AASB S2, as issued on 20 September 2024. These definitions have been used here to support consistency between transition </w:t>
      </w:r>
      <w:r w:rsidR="00046ECF">
        <w:t>planning and transition plan disclosure</w:t>
      </w:r>
      <w:r w:rsidRPr="004611B1">
        <w:t xml:space="preserve">. Readers of this guidance </w:t>
      </w:r>
      <w:r w:rsidR="00A17729">
        <w:t xml:space="preserve">should </w:t>
      </w:r>
      <w:r w:rsidRPr="004611B1">
        <w:t xml:space="preserve">also </w:t>
      </w:r>
      <w:r w:rsidR="00A17729">
        <w:t>check</w:t>
      </w:r>
      <w:r w:rsidR="00A17729" w:rsidRPr="004611B1">
        <w:t xml:space="preserve"> </w:t>
      </w:r>
      <w:r w:rsidRPr="004611B1">
        <w:t>AASB S2 for the latest definitions.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679"/>
        <w:gridCol w:w="7381"/>
      </w:tblGrid>
      <w:tr w:rsidR="00D650B5" w:rsidRPr="00963E59" w14:paraId="2643C2FE" w14:textId="77777777" w:rsidTr="00C5657C">
        <w:trPr>
          <w:cnfStyle w:val="100000000000" w:firstRow="1" w:lastRow="0" w:firstColumn="0" w:lastColumn="0" w:oddVBand="0" w:evenVBand="0" w:oddHBand="0" w:evenHBand="0" w:firstRowFirstColumn="0" w:firstRowLastColumn="0" w:lastRowFirstColumn="0" w:lastRowLastColumn="0"/>
        </w:trPr>
        <w:tc>
          <w:tcPr>
            <w:tcW w:w="1679" w:type="dxa"/>
            <w:hideMark/>
          </w:tcPr>
          <w:p w14:paraId="3B39CC56" w14:textId="77777777" w:rsidR="004611B1" w:rsidRPr="00963E59" w:rsidRDefault="004611B1" w:rsidP="00C5657C">
            <w:pPr>
              <w:pStyle w:val="TableColumnHeadingLeft"/>
              <w:rPr>
                <w:b/>
              </w:rPr>
            </w:pPr>
            <w:r w:rsidRPr="00963E59">
              <w:rPr>
                <w:b/>
              </w:rPr>
              <w:t>Term</w:t>
            </w:r>
          </w:p>
        </w:tc>
        <w:tc>
          <w:tcPr>
            <w:tcW w:w="7381" w:type="dxa"/>
            <w:hideMark/>
          </w:tcPr>
          <w:p w14:paraId="3360DE7A" w14:textId="77777777" w:rsidR="004611B1" w:rsidRPr="00963E59" w:rsidRDefault="004611B1" w:rsidP="00C5657C">
            <w:pPr>
              <w:pStyle w:val="TableColumnHeadingLeft"/>
              <w:rPr>
                <w:b/>
              </w:rPr>
            </w:pPr>
            <w:r w:rsidRPr="00963E59">
              <w:rPr>
                <w:b/>
              </w:rPr>
              <w:t>Definition</w:t>
            </w:r>
          </w:p>
        </w:tc>
      </w:tr>
      <w:tr w:rsidR="00824147" w:rsidRPr="00963E59" w14:paraId="7160A5A4" w14:textId="77777777" w:rsidTr="00C5657C">
        <w:tc>
          <w:tcPr>
            <w:tcW w:w="1679" w:type="dxa"/>
          </w:tcPr>
          <w:p w14:paraId="72022BAD" w14:textId="27A2617C" w:rsidR="00824147" w:rsidRPr="00963E59" w:rsidRDefault="00824147" w:rsidP="00C5657C">
            <w:pPr>
              <w:pStyle w:val="TableTextLeft"/>
            </w:pPr>
            <w:r w:rsidRPr="00963E59">
              <w:t>Adaptation</w:t>
            </w:r>
          </w:p>
        </w:tc>
        <w:tc>
          <w:tcPr>
            <w:tcW w:w="7381" w:type="dxa"/>
          </w:tcPr>
          <w:p w14:paraId="5852890D" w14:textId="28D6247B" w:rsidR="00824147" w:rsidRPr="00963E59" w:rsidRDefault="001A1F4D" w:rsidP="00C5657C">
            <w:pPr>
              <w:pStyle w:val="TableTextLeft"/>
            </w:pPr>
            <w:r w:rsidRPr="00963E59">
              <w:t>In human systems, the process of adjustment to actual or expected climate change and its effects, to moderate harm or exploit beneficial opportunities. In natural systems, adaptation is the process of adjustment to actual climate and its effects; human intervention may facilitate adjustment to expected climate and its effects.</w:t>
            </w:r>
          </w:p>
        </w:tc>
      </w:tr>
      <w:tr w:rsidR="004611B1" w:rsidRPr="00963E59" w14:paraId="77C81997" w14:textId="77777777" w:rsidTr="00C5657C">
        <w:tc>
          <w:tcPr>
            <w:tcW w:w="1679" w:type="dxa"/>
            <w:hideMark/>
          </w:tcPr>
          <w:p w14:paraId="4B792AB6" w14:textId="77777777" w:rsidR="004611B1" w:rsidRPr="00963E59" w:rsidRDefault="004611B1" w:rsidP="00C5657C">
            <w:pPr>
              <w:pStyle w:val="TableTextLeft"/>
            </w:pPr>
            <w:r w:rsidRPr="00963E59">
              <w:t>Business model*</w:t>
            </w:r>
          </w:p>
        </w:tc>
        <w:tc>
          <w:tcPr>
            <w:tcW w:w="7381" w:type="dxa"/>
            <w:hideMark/>
          </w:tcPr>
          <w:p w14:paraId="0268566C" w14:textId="77777777" w:rsidR="004611B1" w:rsidRPr="00963E59" w:rsidRDefault="004611B1" w:rsidP="00C5657C">
            <w:pPr>
              <w:pStyle w:val="TableTextLeft"/>
            </w:pPr>
            <w:r w:rsidRPr="00963E59">
              <w:t>An entity’s system of transforming inputs through its activities into outputs and outcomes that aims to fulfil the entity’s strategic purposes and create value for the entity and hence generate cash flows over the short, medium and long term.</w:t>
            </w:r>
          </w:p>
        </w:tc>
      </w:tr>
      <w:tr w:rsidR="004611B1" w:rsidRPr="00963E59" w14:paraId="4EC6C430" w14:textId="77777777" w:rsidTr="00C5657C">
        <w:tc>
          <w:tcPr>
            <w:tcW w:w="1679" w:type="dxa"/>
            <w:hideMark/>
          </w:tcPr>
          <w:p w14:paraId="528AA414" w14:textId="77777777" w:rsidR="004611B1" w:rsidRPr="00963E59" w:rsidRDefault="004611B1" w:rsidP="00C5657C">
            <w:pPr>
              <w:pStyle w:val="TableTextLeft"/>
            </w:pPr>
            <w:r w:rsidRPr="00963E59">
              <w:t>Carbon credit*</w:t>
            </w:r>
          </w:p>
        </w:tc>
        <w:tc>
          <w:tcPr>
            <w:tcW w:w="7381" w:type="dxa"/>
            <w:hideMark/>
          </w:tcPr>
          <w:p w14:paraId="2BC5652A" w14:textId="77777777" w:rsidR="004611B1" w:rsidRPr="00963E59" w:rsidRDefault="004611B1" w:rsidP="00C5657C">
            <w:pPr>
              <w:pStyle w:val="TableTextLeft"/>
            </w:pPr>
            <w:r w:rsidRPr="00963E59">
              <w:t>An emissions unit that is issued by a carbon crediting programme and represents an emission reduction or removal of greenhouse gases. Carbon credits are uniquely serialised, issued, tracked and cancelled by means of an electronic registry.</w:t>
            </w:r>
          </w:p>
        </w:tc>
      </w:tr>
      <w:tr w:rsidR="00E74D86" w:rsidRPr="00963E59" w14:paraId="4D974F07" w14:textId="77777777" w:rsidTr="00C5657C">
        <w:tc>
          <w:tcPr>
            <w:tcW w:w="1679" w:type="dxa"/>
          </w:tcPr>
          <w:p w14:paraId="120D5E93" w14:textId="78BB307E" w:rsidR="00E74D86" w:rsidRPr="00963E59" w:rsidRDefault="00E74D86" w:rsidP="00C5657C">
            <w:pPr>
              <w:pStyle w:val="TableTextLeft"/>
            </w:pPr>
            <w:r w:rsidRPr="00963E59">
              <w:t>Circular economy</w:t>
            </w:r>
          </w:p>
        </w:tc>
        <w:tc>
          <w:tcPr>
            <w:tcW w:w="7381" w:type="dxa"/>
          </w:tcPr>
          <w:p w14:paraId="25F1F02A" w14:textId="59DEE6DA" w:rsidR="00E74D86" w:rsidRPr="00963E59" w:rsidRDefault="00E74D86" w:rsidP="00C5657C">
            <w:pPr>
              <w:pStyle w:val="TableTextLeft"/>
            </w:pPr>
            <w:r w:rsidRPr="00963E59">
              <w:t>An economic model that promotes sustainable and efficient use of resources as a way to support environmental, economic and social outcomes. It shifts way from the current linear ‘take, make, dispose’ consumption approach to one that maintains a circular flow of materials by recovering, retaining, or adding to their value.</w:t>
            </w:r>
          </w:p>
        </w:tc>
      </w:tr>
      <w:tr w:rsidR="000A1614" w:rsidRPr="00963E59" w14:paraId="7E1FC385" w14:textId="77777777" w:rsidTr="00C5657C">
        <w:tc>
          <w:tcPr>
            <w:tcW w:w="1679" w:type="dxa"/>
          </w:tcPr>
          <w:p w14:paraId="59ADA783" w14:textId="1906FE80" w:rsidR="000A1614" w:rsidRPr="00963E59" w:rsidRDefault="000A1614" w:rsidP="00C5657C">
            <w:pPr>
              <w:pStyle w:val="TableTextLeft"/>
            </w:pPr>
            <w:r w:rsidRPr="00963E59">
              <w:t>Climate change</w:t>
            </w:r>
          </w:p>
        </w:tc>
        <w:tc>
          <w:tcPr>
            <w:tcW w:w="7381" w:type="dxa"/>
          </w:tcPr>
          <w:p w14:paraId="760021DB" w14:textId="3C5E3444" w:rsidR="000A1614" w:rsidRPr="00963E59" w:rsidRDefault="000A1614" w:rsidP="00C5657C">
            <w:pPr>
              <w:pStyle w:val="TableTextLeft"/>
            </w:pPr>
            <w:r w:rsidRPr="00963E59">
              <w:t>A change of climate which is attributed directly or indirectly to human activity that alters the composition of the global atmosphere and which is, in addition to natural climate variability, observed over comparable time periods.</w:t>
            </w:r>
          </w:p>
        </w:tc>
      </w:tr>
      <w:tr w:rsidR="000A1614" w:rsidRPr="00963E59" w14:paraId="45AF11A1" w14:textId="77777777" w:rsidTr="00C5657C">
        <w:tc>
          <w:tcPr>
            <w:tcW w:w="1679" w:type="dxa"/>
            <w:hideMark/>
          </w:tcPr>
          <w:p w14:paraId="3A614DAA" w14:textId="77777777" w:rsidR="000A1614" w:rsidRPr="00963E59" w:rsidRDefault="000A1614" w:rsidP="00C5657C">
            <w:pPr>
              <w:pStyle w:val="TableTextLeft"/>
            </w:pPr>
            <w:r w:rsidRPr="00963E59">
              <w:t>Climate resilience*</w:t>
            </w:r>
          </w:p>
        </w:tc>
        <w:tc>
          <w:tcPr>
            <w:tcW w:w="7381" w:type="dxa"/>
            <w:hideMark/>
          </w:tcPr>
          <w:p w14:paraId="41ED3FA2" w14:textId="3F9D1F10" w:rsidR="000A1614" w:rsidRPr="00963E59" w:rsidRDefault="000A1614" w:rsidP="00C5657C">
            <w:pPr>
              <w:pStyle w:val="TableTextLeft"/>
            </w:pPr>
            <w:r w:rsidRPr="00963E59">
              <w:t>The capacity of an entity to adjust to climate-related changes, developments or uncertainties. Climate resilience involves the capacity to manage climate-related risks and benefit from climate-</w:t>
            </w:r>
            <w:r w:rsidR="00AA53F7" w:rsidRPr="00963E59">
              <w:t>‍</w:t>
            </w:r>
            <w:r w:rsidRPr="00963E59">
              <w:t>related opportunities, including the ability to respond and adapt to climate-related transition risks and climate-related physical risks. An entity’s climate resilience includes both its strategic resilience and its operational resilience to climate-related changes, developments and uncertainties.</w:t>
            </w:r>
          </w:p>
        </w:tc>
      </w:tr>
      <w:tr w:rsidR="000A1614" w:rsidRPr="00963E59" w14:paraId="262F03D6" w14:textId="77777777" w:rsidTr="00C5657C">
        <w:tc>
          <w:tcPr>
            <w:tcW w:w="1679" w:type="dxa"/>
            <w:hideMark/>
          </w:tcPr>
          <w:p w14:paraId="684416EA" w14:textId="77777777" w:rsidR="000A1614" w:rsidRPr="00963E59" w:rsidRDefault="000A1614" w:rsidP="00C5657C">
            <w:pPr>
              <w:pStyle w:val="TableTextLeft"/>
            </w:pPr>
            <w:r w:rsidRPr="00963E59">
              <w:t>Climate-related physical risks*</w:t>
            </w:r>
          </w:p>
        </w:tc>
        <w:tc>
          <w:tcPr>
            <w:tcW w:w="7381" w:type="dxa"/>
            <w:hideMark/>
          </w:tcPr>
          <w:p w14:paraId="17300F83" w14:textId="0300B72D" w:rsidR="000A1614" w:rsidRPr="00963E59" w:rsidRDefault="000A1614" w:rsidP="00C5657C">
            <w:pPr>
              <w:pStyle w:val="TableTextLeft"/>
            </w:pPr>
            <w:r w:rsidRPr="00963E59">
              <w:rPr>
                <w:lang w:val="en-US"/>
              </w:rPr>
              <w:t>Risks resulting from climate change that can be event-driven (acute physical risk) or from longer-</w:t>
            </w:r>
            <w:r w:rsidR="001257B5" w:rsidRPr="00963E59">
              <w:rPr>
                <w:lang w:val="en-US"/>
              </w:rPr>
              <w:t>‍</w:t>
            </w:r>
            <w:r w:rsidRPr="00963E59">
              <w:rPr>
                <w:lang w:val="en-US"/>
              </w:rPr>
              <w:t>term shifts in climatic patterns (chronic physical risk). Acute physical risks arise from weather-related events such as storms, floods, drought or heatwaves, which are increasing in severity and frequency. Chronic physical risks arise from longer-term shifts in climatic patterns including changes in precipitation and temperature which could lead to sea level rise, reduced water availability, biodiversity loss and changes in soil productivity.</w:t>
            </w:r>
          </w:p>
          <w:p w14:paraId="29CFDBC6" w14:textId="0CBB1F48" w:rsidR="000A1614" w:rsidRPr="00963E59" w:rsidRDefault="000A1614" w:rsidP="00C5657C">
            <w:pPr>
              <w:pStyle w:val="TableTextLeft"/>
            </w:pPr>
            <w:r w:rsidRPr="00963E59">
              <w:t>These risks could carry financial implications for an entity, such as costs resulting from direct damage to assets or indirect effects of supply-chain disruption. The entity's financial performance could also be affected by changes in water availability, sourcing and quality; and extreme temperature changes affecting the entity's premises, operations, value chains, transportation needs and employee health and safety.</w:t>
            </w:r>
          </w:p>
        </w:tc>
      </w:tr>
      <w:tr w:rsidR="000A1614" w:rsidRPr="00963E59" w14:paraId="57444502" w14:textId="77777777" w:rsidTr="00C5657C">
        <w:tc>
          <w:tcPr>
            <w:tcW w:w="1679" w:type="dxa"/>
            <w:hideMark/>
          </w:tcPr>
          <w:p w14:paraId="74B2F877" w14:textId="77777777" w:rsidR="000A1614" w:rsidRPr="00963E59" w:rsidRDefault="000A1614" w:rsidP="00C5657C">
            <w:pPr>
              <w:pStyle w:val="TableTextLeft"/>
            </w:pPr>
            <w:r w:rsidRPr="00963E59">
              <w:t>Climate-related risks and opportunities*</w:t>
            </w:r>
          </w:p>
        </w:tc>
        <w:tc>
          <w:tcPr>
            <w:tcW w:w="7381" w:type="dxa"/>
            <w:hideMark/>
          </w:tcPr>
          <w:p w14:paraId="10F2D143" w14:textId="77777777" w:rsidR="000A1614" w:rsidRPr="00963E59" w:rsidRDefault="000A1614" w:rsidP="00C5657C">
            <w:pPr>
              <w:pStyle w:val="TableTextLeft"/>
            </w:pPr>
            <w:r w:rsidRPr="00963E59">
              <w:t>Climate-related risks refers to the potential negative effects of climate change on an entity. These risks are categorised as climate-related physical risks and climate-related transition risks.</w:t>
            </w:r>
          </w:p>
          <w:p w14:paraId="4E52BDB2" w14:textId="77777777" w:rsidR="000A1614" w:rsidRPr="00963E59" w:rsidRDefault="000A1614" w:rsidP="00C5657C">
            <w:pPr>
              <w:pStyle w:val="TableTextLeft"/>
            </w:pPr>
            <w:r w:rsidRPr="00963E59">
              <w:t>Climate-related opportunities refers to the potential positive effects arising from climate change for an entity. Efforts to mitigate and adapt to climate change can produce climate-related opportunities for an entity.</w:t>
            </w:r>
          </w:p>
        </w:tc>
      </w:tr>
      <w:tr w:rsidR="000A1614" w:rsidRPr="00963E59" w14:paraId="357FDB51" w14:textId="77777777" w:rsidTr="00C5657C">
        <w:tc>
          <w:tcPr>
            <w:tcW w:w="1679" w:type="dxa"/>
            <w:hideMark/>
          </w:tcPr>
          <w:p w14:paraId="7118346A" w14:textId="4DEE8CE8" w:rsidR="000A1614" w:rsidRPr="00963E59" w:rsidRDefault="000A1614" w:rsidP="00C5657C">
            <w:pPr>
              <w:pStyle w:val="TableTextLeft"/>
            </w:pPr>
            <w:r w:rsidRPr="00963E59">
              <w:t>Climate-related transition plan</w:t>
            </w:r>
            <w:r w:rsidR="004611B1" w:rsidRPr="00963E59" w:rsidDel="00B65A4C">
              <w:t>*</w:t>
            </w:r>
          </w:p>
        </w:tc>
        <w:tc>
          <w:tcPr>
            <w:tcW w:w="7381" w:type="dxa"/>
            <w:hideMark/>
          </w:tcPr>
          <w:p w14:paraId="489FCCC7" w14:textId="2ABB169E" w:rsidR="000A1614" w:rsidRPr="00963E59" w:rsidRDefault="004611B1" w:rsidP="00C5657C">
            <w:pPr>
              <w:pStyle w:val="TableTextLeft"/>
            </w:pPr>
            <w:r w:rsidRPr="00963E59">
              <w:t>An aspect of an entity’s overall strategy that lays out the entity’s targets, actions or resources for its transition towards a lower-carbon economy, including actions such as reducing its greenhouse gas emissions.</w:t>
            </w:r>
          </w:p>
        </w:tc>
      </w:tr>
    </w:tbl>
    <w:p w14:paraId="0893BAE0" w14:textId="77777777" w:rsidR="00C5657C" w:rsidRDefault="00C5657C" w:rsidP="00AA53F7">
      <w:pPr>
        <w:pStyle w:val="SingleParagraph"/>
      </w:pPr>
      <w:r>
        <w:br w:type="page"/>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679"/>
        <w:gridCol w:w="7381"/>
      </w:tblGrid>
      <w:tr w:rsidR="00D650B5" w:rsidRPr="00963E59" w14:paraId="6209270B" w14:textId="77777777" w:rsidTr="00C5657C">
        <w:trPr>
          <w:cnfStyle w:val="100000000000" w:firstRow="1" w:lastRow="0" w:firstColumn="0" w:lastColumn="0" w:oddVBand="0" w:evenVBand="0" w:oddHBand="0" w:evenHBand="0" w:firstRowFirstColumn="0" w:firstRowLastColumn="0" w:lastRowFirstColumn="0" w:lastRowLastColumn="0"/>
        </w:trPr>
        <w:tc>
          <w:tcPr>
            <w:tcW w:w="1679" w:type="dxa"/>
          </w:tcPr>
          <w:p w14:paraId="6EAE53DF" w14:textId="10137CB5" w:rsidR="00C5657C" w:rsidRPr="00963E59" w:rsidRDefault="00C5657C" w:rsidP="00C5657C">
            <w:pPr>
              <w:pStyle w:val="TableTextLeft"/>
            </w:pPr>
            <w:r w:rsidRPr="00963E59">
              <w:lastRenderedPageBreak/>
              <w:t>Term</w:t>
            </w:r>
          </w:p>
        </w:tc>
        <w:tc>
          <w:tcPr>
            <w:tcW w:w="7381" w:type="dxa"/>
          </w:tcPr>
          <w:p w14:paraId="30D477EA" w14:textId="56A3D856" w:rsidR="00C5657C" w:rsidRPr="00963E59" w:rsidRDefault="00C5657C" w:rsidP="00C5657C">
            <w:pPr>
              <w:pStyle w:val="TableTextLeft"/>
            </w:pPr>
            <w:r w:rsidRPr="00963E59">
              <w:t>Definition</w:t>
            </w:r>
          </w:p>
        </w:tc>
      </w:tr>
      <w:tr w:rsidR="000A1614" w:rsidRPr="00963E59" w14:paraId="0E5CE82D" w14:textId="77777777" w:rsidTr="00C5657C">
        <w:tc>
          <w:tcPr>
            <w:tcW w:w="1679" w:type="dxa"/>
            <w:hideMark/>
          </w:tcPr>
          <w:p w14:paraId="050D70EB" w14:textId="77777777" w:rsidR="000A1614" w:rsidRPr="00963E59" w:rsidRDefault="000A1614" w:rsidP="00C5657C">
            <w:pPr>
              <w:pStyle w:val="TableTextLeft"/>
            </w:pPr>
            <w:r w:rsidRPr="00963E59">
              <w:t>Climate-related transition risks*</w:t>
            </w:r>
          </w:p>
        </w:tc>
        <w:tc>
          <w:tcPr>
            <w:tcW w:w="7381" w:type="dxa"/>
            <w:hideMark/>
          </w:tcPr>
          <w:p w14:paraId="6FB1AD94" w14:textId="77777777" w:rsidR="000A1614" w:rsidRPr="00963E59" w:rsidRDefault="000A1614" w:rsidP="00C5657C">
            <w:pPr>
              <w:pStyle w:val="TableTextLeft"/>
            </w:pPr>
            <w:r w:rsidRPr="00963E59">
              <w:t>Risks that arise from efforts to transition to a lower-carbon economy. Transition risks include policy, legal, technological, market and reputational risks. These risks could carry financial implications for an entity, such as increased operating costs or asset impairment due to new or amended climate-related regulations. The entity's financial performance could also be affected by shifting consumer demands and the development and deployment of new technology.</w:t>
            </w:r>
          </w:p>
        </w:tc>
      </w:tr>
      <w:tr w:rsidR="000A1614" w:rsidRPr="00963E59" w14:paraId="5E535B1B" w14:textId="77777777" w:rsidTr="00C5657C">
        <w:tc>
          <w:tcPr>
            <w:tcW w:w="1679" w:type="dxa"/>
            <w:hideMark/>
          </w:tcPr>
          <w:p w14:paraId="1D43BEEC" w14:textId="77777777" w:rsidR="000A1614" w:rsidRPr="00963E59" w:rsidRDefault="000A1614" w:rsidP="00C5657C">
            <w:pPr>
              <w:pStyle w:val="TableTextLeft"/>
            </w:pPr>
            <w:r w:rsidRPr="00963E59">
              <w:t>CO</w:t>
            </w:r>
            <w:r w:rsidRPr="00963E59">
              <w:rPr>
                <w:vertAlign w:val="subscript"/>
              </w:rPr>
              <w:t>2</w:t>
            </w:r>
            <w:r w:rsidRPr="00963E59">
              <w:t xml:space="preserve"> equivalent*</w:t>
            </w:r>
          </w:p>
        </w:tc>
        <w:tc>
          <w:tcPr>
            <w:tcW w:w="7381" w:type="dxa"/>
            <w:hideMark/>
          </w:tcPr>
          <w:p w14:paraId="4B001C88" w14:textId="78E651BA" w:rsidR="000A1614" w:rsidRPr="00963E59" w:rsidRDefault="000A1614" w:rsidP="00C5657C">
            <w:pPr>
              <w:pStyle w:val="TableTextLeft"/>
            </w:pPr>
            <w:r w:rsidRPr="00963E59">
              <w:t>The universal unit of measurement to indicate the global warming potential of each greenhouse gas, expressed in terms of the global warming potential of one unit of carbon dioxide. This unit is used to evaluate releasing or avoiding releasing different greenhouse gases against a common basis.</w:t>
            </w:r>
          </w:p>
        </w:tc>
      </w:tr>
      <w:tr w:rsidR="000A1614" w:rsidRPr="00963E59" w14:paraId="0E6DA762" w14:textId="77777777" w:rsidTr="00C5657C">
        <w:tc>
          <w:tcPr>
            <w:tcW w:w="1679" w:type="dxa"/>
            <w:hideMark/>
          </w:tcPr>
          <w:p w14:paraId="10D7092E" w14:textId="77777777" w:rsidR="000A1614" w:rsidRPr="00963E59" w:rsidRDefault="000A1614" w:rsidP="00C5657C">
            <w:pPr>
              <w:pStyle w:val="TableTextLeft"/>
            </w:pPr>
            <w:r w:rsidRPr="00963E59">
              <w:t>Greenhouse gases*</w:t>
            </w:r>
          </w:p>
        </w:tc>
        <w:tc>
          <w:tcPr>
            <w:tcW w:w="7381" w:type="dxa"/>
            <w:hideMark/>
          </w:tcPr>
          <w:p w14:paraId="2487F278" w14:textId="77777777" w:rsidR="000A1614" w:rsidRPr="00963E59" w:rsidRDefault="000A1614" w:rsidP="00C5657C">
            <w:pPr>
              <w:pStyle w:val="TableTextLeft"/>
            </w:pPr>
            <w:r w:rsidRPr="00963E59">
              <w:t>The seven greenhouse gases listed in the Kyoto Protocol—carbon dioxide (CO</w:t>
            </w:r>
            <w:r w:rsidRPr="00963E59">
              <w:rPr>
                <w:vertAlign w:val="subscript"/>
              </w:rPr>
              <w:t>2</w:t>
            </w:r>
            <w:r w:rsidRPr="00963E59">
              <w:t>); methane (CH</w:t>
            </w:r>
            <w:r w:rsidRPr="00963E59">
              <w:rPr>
                <w:vertAlign w:val="subscript"/>
              </w:rPr>
              <w:t>4</w:t>
            </w:r>
            <w:r w:rsidRPr="00963E59">
              <w:t>); nitrous oxide (N</w:t>
            </w:r>
            <w:r w:rsidRPr="00963E59">
              <w:rPr>
                <w:vertAlign w:val="subscript"/>
              </w:rPr>
              <w:t>2</w:t>
            </w:r>
            <w:r w:rsidRPr="00963E59">
              <w:t>O); hydrofluorocarbons (HFCs); nitrogen trifluoride (NF</w:t>
            </w:r>
            <w:r w:rsidRPr="00963E59">
              <w:rPr>
                <w:vertAlign w:val="subscript"/>
              </w:rPr>
              <w:t>3</w:t>
            </w:r>
            <w:r w:rsidRPr="00963E59">
              <w:t>); perfluorocarbons (PFCs) and sulphur hexafluoride (SF</w:t>
            </w:r>
            <w:r w:rsidRPr="00963E59">
              <w:rPr>
                <w:vertAlign w:val="subscript"/>
              </w:rPr>
              <w:t>6</w:t>
            </w:r>
            <w:r w:rsidRPr="00963E59">
              <w:t>).</w:t>
            </w:r>
          </w:p>
        </w:tc>
      </w:tr>
      <w:tr w:rsidR="00B46550" w:rsidRPr="00963E59" w14:paraId="5569F90E" w14:textId="77777777" w:rsidTr="00C5657C">
        <w:tc>
          <w:tcPr>
            <w:tcW w:w="1679" w:type="dxa"/>
          </w:tcPr>
          <w:p w14:paraId="27B11D99" w14:textId="52E80C54" w:rsidR="00B46550" w:rsidRPr="00963E59" w:rsidRDefault="00946163" w:rsidP="00C5657C">
            <w:pPr>
              <w:pStyle w:val="TableTextLeft"/>
            </w:pPr>
            <w:r w:rsidRPr="00963E59">
              <w:t>Materiality*</w:t>
            </w:r>
          </w:p>
        </w:tc>
        <w:tc>
          <w:tcPr>
            <w:tcW w:w="7381" w:type="dxa"/>
          </w:tcPr>
          <w:p w14:paraId="50C94BB3" w14:textId="0062DCE8" w:rsidR="00B46550" w:rsidRPr="00963E59" w:rsidRDefault="00B46550" w:rsidP="00C5657C">
            <w:pPr>
              <w:pStyle w:val="TableTextLeft"/>
            </w:pPr>
            <w:r w:rsidRPr="00963E59">
              <w:t>Information is material if omitting, misstating or obscuring it could reasonably be expected to influence decisions of primary users of general-purpose financial reports, including investors and lenders.</w:t>
            </w:r>
          </w:p>
        </w:tc>
      </w:tr>
      <w:tr w:rsidR="00DF28C2" w:rsidRPr="00963E59" w14:paraId="57DDDFC5" w14:textId="77777777" w:rsidTr="00C5657C">
        <w:tc>
          <w:tcPr>
            <w:tcW w:w="1679" w:type="dxa"/>
          </w:tcPr>
          <w:p w14:paraId="79B1F90C" w14:textId="04F2BAB1" w:rsidR="00DF28C2" w:rsidRPr="00963E59" w:rsidRDefault="00DF28C2" w:rsidP="00C5657C">
            <w:pPr>
              <w:pStyle w:val="TableTextLeft"/>
            </w:pPr>
            <w:r w:rsidRPr="00963E59">
              <w:t>Mitigation</w:t>
            </w:r>
          </w:p>
        </w:tc>
        <w:tc>
          <w:tcPr>
            <w:tcW w:w="7381" w:type="dxa"/>
          </w:tcPr>
          <w:p w14:paraId="3BAC30EE" w14:textId="6EF0DDC2" w:rsidR="00DF28C2" w:rsidRPr="00963E59" w:rsidRDefault="00DF28C2" w:rsidP="00C5657C">
            <w:pPr>
              <w:pStyle w:val="TableTextLeft"/>
            </w:pPr>
            <w:r w:rsidRPr="00963E59">
              <w:t>A human intervention to reduce the sources of, or enhance the sinks for, greenhouse gases in an effort to minimise the adverse impacts of climate change.</w:t>
            </w:r>
          </w:p>
        </w:tc>
      </w:tr>
      <w:tr w:rsidR="006F4E6D" w:rsidRPr="00963E59" w14:paraId="584CDDAA" w14:textId="77777777" w:rsidTr="00C5657C">
        <w:tc>
          <w:tcPr>
            <w:tcW w:w="1679" w:type="dxa"/>
          </w:tcPr>
          <w:p w14:paraId="4415237E" w14:textId="43EAA400" w:rsidR="006F4E6D" w:rsidRPr="00963E59" w:rsidRDefault="006F4E6D" w:rsidP="00C5657C">
            <w:pPr>
              <w:pStyle w:val="TableTextLeft"/>
            </w:pPr>
            <w:r w:rsidRPr="00963E59">
              <w:t>Nature</w:t>
            </w:r>
          </w:p>
        </w:tc>
        <w:tc>
          <w:tcPr>
            <w:tcW w:w="7381" w:type="dxa"/>
          </w:tcPr>
          <w:p w14:paraId="79FF7588" w14:textId="12D177F9" w:rsidR="006F4E6D" w:rsidRPr="00963E59" w:rsidRDefault="006F4E6D" w:rsidP="00C5657C">
            <w:pPr>
              <w:pStyle w:val="TableTextLeft"/>
            </w:pPr>
            <w:r w:rsidRPr="00963E59">
              <w:t>The natural world, with an emphasis on the diversity of living organisms (including people) and their interactions among themselves and with their environment</w:t>
            </w:r>
          </w:p>
        </w:tc>
      </w:tr>
      <w:tr w:rsidR="00DF28C2" w:rsidRPr="00963E59" w14:paraId="41F0948D" w14:textId="77777777" w:rsidTr="00C5657C">
        <w:tc>
          <w:tcPr>
            <w:tcW w:w="1679" w:type="dxa"/>
            <w:hideMark/>
          </w:tcPr>
          <w:p w14:paraId="70C85144" w14:textId="77777777" w:rsidR="00DF28C2" w:rsidRPr="00963E59" w:rsidRDefault="00DF28C2" w:rsidP="00C5657C">
            <w:pPr>
              <w:pStyle w:val="TableTextLeft"/>
            </w:pPr>
            <w:r w:rsidRPr="00963E59">
              <w:t>Reporting entities</w:t>
            </w:r>
          </w:p>
        </w:tc>
        <w:tc>
          <w:tcPr>
            <w:tcW w:w="7381" w:type="dxa"/>
            <w:hideMark/>
          </w:tcPr>
          <w:p w14:paraId="4FE29164" w14:textId="77777777" w:rsidR="00DF28C2" w:rsidRPr="00963E59" w:rsidRDefault="00DF28C2" w:rsidP="00C5657C">
            <w:pPr>
              <w:pStyle w:val="TableTextLeft"/>
            </w:pPr>
            <w:r w:rsidRPr="00963E59">
              <w:t xml:space="preserve">A reporting entity is one which has obligations to prepare an annual sustainability report under Chapter 2M of the </w:t>
            </w:r>
            <w:r w:rsidRPr="00963E59">
              <w:rPr>
                <w:i/>
                <w:iCs/>
              </w:rPr>
              <w:t xml:space="preserve">Corporations Act 2001 </w:t>
            </w:r>
            <w:r w:rsidRPr="00963E59">
              <w:t>(Cth),</w:t>
            </w:r>
            <w:r w:rsidRPr="00963E59">
              <w:rPr>
                <w:i/>
                <w:iCs/>
              </w:rPr>
              <w:t xml:space="preserve"> </w:t>
            </w:r>
            <w:r w:rsidRPr="00963E59">
              <w:t xml:space="preserve">in accordance with the disclosures required by </w:t>
            </w:r>
            <w:r w:rsidRPr="00963E59">
              <w:rPr>
                <w:i/>
              </w:rPr>
              <w:t>AASB S2 Climate-related Disclosures</w:t>
            </w:r>
            <w:r w:rsidRPr="00963E59">
              <w:t xml:space="preserve">. </w:t>
            </w:r>
          </w:p>
        </w:tc>
      </w:tr>
      <w:tr w:rsidR="00DF28C2" w:rsidRPr="00963E59" w14:paraId="67B47A3D" w14:textId="77777777" w:rsidTr="00C5657C">
        <w:tc>
          <w:tcPr>
            <w:tcW w:w="1679" w:type="dxa"/>
            <w:hideMark/>
          </w:tcPr>
          <w:p w14:paraId="45BF6510" w14:textId="77777777" w:rsidR="00DF28C2" w:rsidRPr="00963E59" w:rsidRDefault="00DF28C2" w:rsidP="00C5657C">
            <w:pPr>
              <w:pStyle w:val="TableTextLeft"/>
            </w:pPr>
            <w:r w:rsidRPr="00963E59">
              <w:t>Scope 3 categories*</w:t>
            </w:r>
          </w:p>
        </w:tc>
        <w:tc>
          <w:tcPr>
            <w:tcW w:w="7381" w:type="dxa"/>
            <w:hideMark/>
          </w:tcPr>
          <w:p w14:paraId="5A94F020" w14:textId="261BBD7A" w:rsidR="00DF28C2" w:rsidRPr="00963E59" w:rsidRDefault="00DF28C2" w:rsidP="00C5657C">
            <w:pPr>
              <w:pStyle w:val="TableTextLeft"/>
            </w:pPr>
            <w:r w:rsidRPr="00963E59">
              <w:t>Scope 3 greenhouse gas emissions are categorised into these 15 categories</w:t>
            </w:r>
            <w:r w:rsidR="00735388" w:rsidRPr="00963E59">
              <w:t xml:space="preserve"> – </w:t>
            </w:r>
            <w:r w:rsidRPr="00963E59">
              <w:t>as described in the</w:t>
            </w:r>
            <w:r w:rsidR="00AA53F7" w:rsidRPr="00963E59">
              <w:t> </w:t>
            </w:r>
            <w:r w:rsidRPr="00963E59">
              <w:t>Greenhouse Gas Protocol Corporate Value Chain (Scope 3) Accounting and Reporting Standard</w:t>
            </w:r>
            <w:r w:rsidR="00AA53F7" w:rsidRPr="00963E59">
              <w:t> </w:t>
            </w:r>
            <w:r w:rsidRPr="00963E59">
              <w:t xml:space="preserve">(2011): </w:t>
            </w:r>
          </w:p>
          <w:p w14:paraId="1ECCE93F" w14:textId="77777777" w:rsidR="00DF28C2" w:rsidRPr="00D82974" w:rsidRDefault="00DF28C2" w:rsidP="006E4ECF">
            <w:pPr>
              <w:pStyle w:val="OutlineNumbered1"/>
              <w:numPr>
                <w:ilvl w:val="0"/>
                <w:numId w:val="12"/>
              </w:numPr>
              <w:ind w:left="284" w:hanging="284"/>
            </w:pPr>
            <w:r w:rsidRPr="00D82974">
              <w:t>purchased goods and services;</w:t>
            </w:r>
          </w:p>
          <w:p w14:paraId="361CE5C3" w14:textId="77777777" w:rsidR="00DF28C2" w:rsidRPr="00D82974" w:rsidRDefault="00DF28C2" w:rsidP="00D82974">
            <w:pPr>
              <w:pStyle w:val="OutlineNumbered1"/>
              <w:ind w:left="284" w:hanging="284"/>
            </w:pPr>
            <w:r w:rsidRPr="00D82974">
              <w:t>capital goods;</w:t>
            </w:r>
          </w:p>
          <w:p w14:paraId="0DA73572" w14:textId="78842698" w:rsidR="00DF28C2" w:rsidRPr="00D82974" w:rsidRDefault="00DF28C2" w:rsidP="00D82974">
            <w:pPr>
              <w:pStyle w:val="OutlineNumbered1"/>
              <w:ind w:left="284" w:hanging="284"/>
            </w:pPr>
            <w:r w:rsidRPr="00D82974">
              <w:t>fuel- and energy-related activities not included in Scope 1 greenhouse gas emissions or Scope</w:t>
            </w:r>
            <w:r w:rsidR="00AA53F7" w:rsidRPr="00D82974">
              <w:t> </w:t>
            </w:r>
            <w:r w:rsidRPr="00D82974">
              <w:t>2 greenhouse gas emissions;</w:t>
            </w:r>
          </w:p>
          <w:p w14:paraId="62BA1474" w14:textId="77777777" w:rsidR="00DF28C2" w:rsidRPr="00D82974" w:rsidRDefault="00DF28C2" w:rsidP="00D82974">
            <w:pPr>
              <w:pStyle w:val="OutlineNumbered1"/>
              <w:ind w:left="284" w:hanging="284"/>
            </w:pPr>
            <w:r w:rsidRPr="00D82974">
              <w:t>upstream transportation and distribution;</w:t>
            </w:r>
          </w:p>
          <w:p w14:paraId="17AF8F45" w14:textId="77777777" w:rsidR="00DF28C2" w:rsidRPr="00D82974" w:rsidRDefault="00DF28C2" w:rsidP="00D82974">
            <w:pPr>
              <w:pStyle w:val="OutlineNumbered1"/>
              <w:ind w:left="284" w:hanging="284"/>
            </w:pPr>
            <w:r w:rsidRPr="00D82974">
              <w:t>waste generated in operations;</w:t>
            </w:r>
          </w:p>
          <w:p w14:paraId="4517F779" w14:textId="77777777" w:rsidR="00DF28C2" w:rsidRPr="00D82974" w:rsidRDefault="00DF28C2" w:rsidP="00D82974">
            <w:pPr>
              <w:pStyle w:val="OutlineNumbered1"/>
              <w:ind w:left="284" w:hanging="284"/>
            </w:pPr>
            <w:r w:rsidRPr="00D82974">
              <w:t>business travel;</w:t>
            </w:r>
          </w:p>
          <w:p w14:paraId="437DB9A5" w14:textId="77777777" w:rsidR="00DF28C2" w:rsidRPr="00D82974" w:rsidRDefault="00DF28C2" w:rsidP="00D82974">
            <w:pPr>
              <w:pStyle w:val="OutlineNumbered1"/>
              <w:ind w:left="284" w:hanging="284"/>
            </w:pPr>
            <w:r w:rsidRPr="00D82974">
              <w:t>employee commuting;</w:t>
            </w:r>
          </w:p>
          <w:p w14:paraId="4947BCDE" w14:textId="77777777" w:rsidR="00DF28C2" w:rsidRPr="00D82974" w:rsidRDefault="00DF28C2" w:rsidP="00D82974">
            <w:pPr>
              <w:pStyle w:val="OutlineNumbered1"/>
              <w:ind w:left="284" w:hanging="284"/>
            </w:pPr>
            <w:r w:rsidRPr="00D82974">
              <w:t>upstream leased assets;</w:t>
            </w:r>
          </w:p>
          <w:p w14:paraId="602566E4" w14:textId="77777777" w:rsidR="00DF28C2" w:rsidRPr="00D82974" w:rsidRDefault="00DF28C2" w:rsidP="00D82974">
            <w:pPr>
              <w:pStyle w:val="OutlineNumbered1"/>
              <w:ind w:left="284" w:hanging="284"/>
            </w:pPr>
            <w:r w:rsidRPr="00D82974">
              <w:t>downstream transportation and distribution;</w:t>
            </w:r>
          </w:p>
          <w:p w14:paraId="15E9154B" w14:textId="77777777" w:rsidR="00DF28C2" w:rsidRPr="00D82974" w:rsidRDefault="00DF28C2" w:rsidP="00D82974">
            <w:pPr>
              <w:pStyle w:val="OutlineNumbered1"/>
              <w:ind w:left="284" w:hanging="284"/>
            </w:pPr>
            <w:r w:rsidRPr="00D82974">
              <w:t>processing of sold products;</w:t>
            </w:r>
          </w:p>
          <w:p w14:paraId="29E29745" w14:textId="77777777" w:rsidR="00DF28C2" w:rsidRPr="00D82974" w:rsidRDefault="00DF28C2" w:rsidP="00D82974">
            <w:pPr>
              <w:pStyle w:val="OutlineNumbered1"/>
              <w:ind w:left="284" w:hanging="284"/>
            </w:pPr>
            <w:r w:rsidRPr="00D82974">
              <w:t>use of sold products;</w:t>
            </w:r>
          </w:p>
          <w:p w14:paraId="74D1EE4E" w14:textId="77777777" w:rsidR="00DF28C2" w:rsidRPr="00D82974" w:rsidRDefault="00DF28C2" w:rsidP="00D82974">
            <w:pPr>
              <w:pStyle w:val="OutlineNumbered1"/>
              <w:ind w:left="284" w:hanging="284"/>
            </w:pPr>
            <w:r w:rsidRPr="00D82974">
              <w:t>end-of-life treatment of sold products;</w:t>
            </w:r>
          </w:p>
          <w:p w14:paraId="34B0280A" w14:textId="77777777" w:rsidR="00DF28C2" w:rsidRPr="00D82974" w:rsidRDefault="00DF28C2" w:rsidP="00D82974">
            <w:pPr>
              <w:pStyle w:val="OutlineNumbered1"/>
              <w:ind w:left="284" w:hanging="284"/>
            </w:pPr>
            <w:r w:rsidRPr="00D82974">
              <w:t>downstream leased assets;</w:t>
            </w:r>
          </w:p>
          <w:p w14:paraId="64FCCB4B" w14:textId="77777777" w:rsidR="00DF28C2" w:rsidRPr="00D82974" w:rsidRDefault="00DF28C2" w:rsidP="00D82974">
            <w:pPr>
              <w:pStyle w:val="OutlineNumbered1"/>
              <w:ind w:left="284" w:hanging="284"/>
            </w:pPr>
            <w:r w:rsidRPr="00D82974">
              <w:t>franchises; and</w:t>
            </w:r>
          </w:p>
          <w:p w14:paraId="510FD6E9" w14:textId="77777777" w:rsidR="00DF28C2" w:rsidRPr="00963E59" w:rsidRDefault="00DF28C2" w:rsidP="00D82974">
            <w:pPr>
              <w:pStyle w:val="OutlineNumbered1"/>
              <w:ind w:left="284" w:hanging="284"/>
            </w:pPr>
            <w:r w:rsidRPr="00D82974">
              <w:t>investments.</w:t>
            </w:r>
          </w:p>
        </w:tc>
      </w:tr>
      <w:tr w:rsidR="00DF28C2" w:rsidRPr="00963E59" w14:paraId="3F962F7E" w14:textId="77777777" w:rsidTr="00C5657C">
        <w:tc>
          <w:tcPr>
            <w:tcW w:w="1679" w:type="dxa"/>
            <w:hideMark/>
          </w:tcPr>
          <w:p w14:paraId="11C26EF3" w14:textId="17515BFF" w:rsidR="00DF28C2" w:rsidRPr="00963E59" w:rsidRDefault="00DF28C2" w:rsidP="00C5657C">
            <w:pPr>
              <w:pStyle w:val="TableTextLeft"/>
            </w:pPr>
            <w:r w:rsidRPr="00963E59">
              <w:t>Value chain</w:t>
            </w:r>
          </w:p>
        </w:tc>
        <w:tc>
          <w:tcPr>
            <w:tcW w:w="7381" w:type="dxa"/>
            <w:hideMark/>
          </w:tcPr>
          <w:p w14:paraId="540E31B8" w14:textId="25843390" w:rsidR="00DF28C2" w:rsidRPr="00963E59" w:rsidRDefault="00DF28C2" w:rsidP="00C5657C">
            <w:pPr>
              <w:pStyle w:val="TableTextLeft"/>
            </w:pPr>
            <w:r w:rsidRPr="00963E59">
              <w:t>The full range of interactions, resources and relationships related to an entity's business model and the environment in which it operates.</w:t>
            </w:r>
          </w:p>
        </w:tc>
      </w:tr>
    </w:tbl>
    <w:p w14:paraId="2A59FE5A" w14:textId="77777777" w:rsidR="00C5657C" w:rsidRDefault="00C5657C" w:rsidP="00AA53F7">
      <w:pPr>
        <w:pStyle w:val="SingleParagraph"/>
      </w:pPr>
    </w:p>
    <w:p w14:paraId="1C23C2BA" w14:textId="77777777" w:rsidR="00DB6514" w:rsidRDefault="00DB6514" w:rsidP="00AA53F7">
      <w:pPr>
        <w:pStyle w:val="SingleParagraph"/>
        <w:sectPr w:rsidR="00DB6514" w:rsidSect="00F905B7">
          <w:headerReference w:type="default" r:id="rId197"/>
          <w:footerReference w:type="even" r:id="rId198"/>
          <w:footerReference w:type="default" r:id="rId199"/>
          <w:endnotePr>
            <w:numFmt w:val="decimal"/>
          </w:endnotePr>
          <w:pgSz w:w="11906" w:h="16838" w:code="9"/>
          <w:pgMar w:top="1843" w:right="1418" w:bottom="1418" w:left="1418" w:header="709" w:footer="709" w:gutter="0"/>
          <w:cols w:space="708"/>
          <w:titlePg/>
          <w:docGrid w:linePitch="360"/>
        </w:sectPr>
      </w:pPr>
    </w:p>
    <w:p w14:paraId="74A9767D" w14:textId="6C75C6A1" w:rsidR="007B7D06" w:rsidRPr="004611B1" w:rsidRDefault="00E21BF4" w:rsidP="00C5657C">
      <w:pPr>
        <w:pStyle w:val="Heading1"/>
        <w:spacing w:before="0"/>
      </w:pPr>
      <w:bookmarkStart w:id="294" w:name="_Toc224906895"/>
      <w:bookmarkStart w:id="295" w:name="_Toc224916527"/>
      <w:bookmarkStart w:id="296" w:name="_Toc232776368"/>
      <w:r>
        <w:lastRenderedPageBreak/>
        <w:t>Endnotes</w:t>
      </w:r>
      <w:bookmarkEnd w:id="294"/>
      <w:bookmarkEnd w:id="295"/>
      <w:bookmarkEnd w:id="296"/>
    </w:p>
    <w:sectPr w:rsidR="007B7D06" w:rsidRPr="004611B1" w:rsidSect="00F905B7">
      <w:footerReference w:type="default" r:id="rId200"/>
      <w:footerReference w:type="first" r:id="rId201"/>
      <w:endnotePr>
        <w:numFmt w:val="decimal"/>
      </w:endnotePr>
      <w:pgSz w:w="11906" w:h="16838" w:code="9"/>
      <w:pgMar w:top="1843"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EBBC9" w14:textId="77777777" w:rsidR="00474C7E" w:rsidRPr="008D02B7" w:rsidRDefault="00474C7E" w:rsidP="008D02B7">
      <w:pPr>
        <w:pStyle w:val="Footer"/>
        <w:rPr>
          <w:sz w:val="2"/>
          <w:szCs w:val="2"/>
        </w:rPr>
      </w:pPr>
    </w:p>
  </w:endnote>
  <w:endnote w:type="continuationSeparator" w:id="0">
    <w:p w14:paraId="1FBD91A0" w14:textId="77777777" w:rsidR="00474C7E" w:rsidRPr="00C93AE0" w:rsidRDefault="00474C7E">
      <w:pPr>
        <w:spacing w:before="0" w:after="0"/>
        <w:rPr>
          <w:sz w:val="2"/>
          <w:szCs w:val="2"/>
        </w:rPr>
      </w:pPr>
    </w:p>
  </w:endnote>
  <w:endnote w:type="continuationNotice" w:id="1">
    <w:p w14:paraId="7B7B0FE9" w14:textId="77777777" w:rsidR="00474C7E" w:rsidRPr="00C93AE0" w:rsidRDefault="00474C7E">
      <w:pPr>
        <w:spacing w:before="0" w:after="0"/>
        <w:rPr>
          <w:sz w:val="2"/>
          <w:szCs w:val="2"/>
        </w:rPr>
      </w:pPr>
    </w:p>
  </w:endnote>
  <w:endnote w:id="2">
    <w:p w14:paraId="4707758E" w14:textId="140A419E" w:rsidR="009B6A09" w:rsidRPr="00584E78" w:rsidRDefault="009B6A09" w:rsidP="00584E78">
      <w:pPr>
        <w:pStyle w:val="FootnoteText"/>
      </w:pPr>
      <w:r w:rsidRPr="00584E78">
        <w:rPr>
          <w:rStyle w:val="EndnoteReference"/>
          <w:vertAlign w:val="baseline"/>
        </w:rPr>
        <w:endnoteRef/>
      </w:r>
      <w:r w:rsidR="00584E78" w:rsidRPr="00584E78">
        <w:tab/>
      </w:r>
      <w:r w:rsidR="00CA692D" w:rsidRPr="00584E78">
        <w:t xml:space="preserve">Australian Council of Superannuation Investors, </w:t>
      </w:r>
      <w:hyperlink r:id="rId1" w:history="1">
        <w:r w:rsidR="00CA692D" w:rsidRPr="00584E78">
          <w:rPr>
            <w:rStyle w:val="Hyperlink"/>
          </w:rPr>
          <w:t>Promises, pathways and performance: Climate change disclosure in the ASX200</w:t>
        </w:r>
      </w:hyperlink>
      <w:r w:rsidR="00CA692D" w:rsidRPr="00584E78">
        <w:t xml:space="preserve"> (2023)</w:t>
      </w:r>
      <w:r w:rsidR="008C1E08" w:rsidRPr="00584E78">
        <w:t>, accessed 15 January 2026</w:t>
      </w:r>
      <w:r w:rsidR="009339AF">
        <w:t>.</w:t>
      </w:r>
    </w:p>
  </w:endnote>
  <w:endnote w:id="3">
    <w:p w14:paraId="61FA1CF8" w14:textId="02BCCB1B" w:rsidR="00487145" w:rsidRDefault="00E65A21" w:rsidP="006E4ECF">
      <w:pPr>
        <w:pStyle w:val="FootnoteText"/>
      </w:pPr>
      <w:r w:rsidRPr="009B1633">
        <w:rPr>
          <w:rStyle w:val="FootnoteTextChar"/>
        </w:rPr>
        <w:endnoteRef/>
      </w:r>
      <w:r w:rsidR="006E4ECF">
        <w:tab/>
      </w:r>
      <w:r>
        <w:t>Australian Government</w:t>
      </w:r>
      <w:r w:rsidRPr="00584E78">
        <w:t xml:space="preserve">, </w:t>
      </w:r>
      <w:hyperlink r:id="rId2" w:history="1">
        <w:r w:rsidRPr="00584E78">
          <w:rPr>
            <w:rStyle w:val="Hyperlink"/>
          </w:rPr>
          <w:t>Sustainable Finance Roadmap</w:t>
        </w:r>
      </w:hyperlink>
      <w:r w:rsidRPr="00584E78">
        <w:t xml:space="preserve"> (2024), accessed 14 January 2026</w:t>
      </w:r>
      <w:r>
        <w:t>.</w:t>
      </w:r>
    </w:p>
  </w:endnote>
  <w:endnote w:id="4">
    <w:p w14:paraId="1AEA8DB7" w14:textId="130A81B8" w:rsidR="00BB5A60" w:rsidRPr="00584E78" w:rsidRDefault="00BB5A60" w:rsidP="00BB5A60">
      <w:pPr>
        <w:pStyle w:val="FootnoteText"/>
      </w:pPr>
      <w:r w:rsidRPr="00584E78">
        <w:rPr>
          <w:rStyle w:val="EndnoteReference"/>
          <w:vertAlign w:val="baseline"/>
        </w:rPr>
        <w:endnoteRef/>
      </w:r>
      <w:r>
        <w:tab/>
      </w:r>
      <w:r w:rsidRPr="00584E78">
        <w:t>Transition Plan Taskforce</w:t>
      </w:r>
      <w:r w:rsidR="00FD58BF">
        <w:t xml:space="preserve"> (TPT)</w:t>
      </w:r>
      <w:r w:rsidR="00D808BE" w:rsidRPr="00584E78">
        <w:t>,</w:t>
      </w:r>
      <w:r w:rsidRPr="00584E78">
        <w:t xml:space="preserve"> </w:t>
      </w:r>
      <w:hyperlink r:id="rId3" w:history="1">
        <w:r w:rsidRPr="00D85FDD">
          <w:rPr>
            <w:rStyle w:val="Hyperlink"/>
          </w:rPr>
          <w:t>Transition Planning Cycle</w:t>
        </w:r>
      </w:hyperlink>
      <w:r>
        <w:t xml:space="preserve"> </w:t>
      </w:r>
      <w:r w:rsidRPr="00584E78">
        <w:t>(2024), accessed 14 January 2026</w:t>
      </w:r>
      <w:r>
        <w:t>.</w:t>
      </w:r>
    </w:p>
  </w:endnote>
  <w:endnote w:id="5">
    <w:p w14:paraId="5E21724D" w14:textId="77777777" w:rsidR="00D17299" w:rsidRPr="00584E78" w:rsidRDefault="00D17299" w:rsidP="00D17299">
      <w:pPr>
        <w:pStyle w:val="FootnoteText"/>
      </w:pPr>
      <w:r w:rsidRPr="00584E78">
        <w:rPr>
          <w:rStyle w:val="EndnoteReference"/>
          <w:vertAlign w:val="baseline"/>
        </w:rPr>
        <w:endnoteRef/>
      </w:r>
      <w:r>
        <w:tab/>
      </w:r>
      <w:r w:rsidRPr="00584E78">
        <w:t xml:space="preserve">Australian Sustainable Finance Institute, </w:t>
      </w:r>
      <w:hyperlink r:id="rId4" w:history="1">
        <w:r w:rsidRPr="00C56041">
          <w:rPr>
            <w:rStyle w:val="Hyperlink"/>
          </w:rPr>
          <w:t>The Australian Sustainable Finance Taxonomy</w:t>
        </w:r>
      </w:hyperlink>
      <w:r>
        <w:t xml:space="preserve"> </w:t>
      </w:r>
      <w:r w:rsidRPr="00584E78">
        <w:t>(2025), accessed 3</w:t>
      </w:r>
      <w:r>
        <w:t> </w:t>
      </w:r>
      <w:r w:rsidRPr="00584E78">
        <w:t>February 2026</w:t>
      </w:r>
      <w:r>
        <w:t>.</w:t>
      </w:r>
    </w:p>
  </w:endnote>
  <w:endnote w:id="6">
    <w:p w14:paraId="55B9111D" w14:textId="68340B75" w:rsidR="001618EC" w:rsidRDefault="001618EC" w:rsidP="001618EC">
      <w:pPr>
        <w:pStyle w:val="FootnoteText"/>
      </w:pPr>
      <w:r w:rsidRPr="00E63079">
        <w:rPr>
          <w:rStyle w:val="EndnoteReference"/>
          <w:vertAlign w:val="baseline"/>
        </w:rPr>
        <w:endnoteRef/>
      </w:r>
      <w:r>
        <w:tab/>
      </w:r>
      <w:r w:rsidRPr="00584E78">
        <w:t xml:space="preserve">Australian Government, </w:t>
      </w:r>
      <w:hyperlink r:id="rId5" w:history="1">
        <w:r w:rsidRPr="006E6A7D">
          <w:rPr>
            <w:rStyle w:val="Hyperlink"/>
          </w:rPr>
          <w:t>Net Zero Plan</w:t>
        </w:r>
      </w:hyperlink>
      <w:r>
        <w:t xml:space="preserve"> </w:t>
      </w:r>
      <w:r w:rsidRPr="00584E78">
        <w:t>(2025), accessed 14 January 2026</w:t>
      </w:r>
      <w:r>
        <w:t>.</w:t>
      </w:r>
    </w:p>
  </w:endnote>
  <w:endnote w:id="7">
    <w:p w14:paraId="37D27421" w14:textId="4AD4B6B0" w:rsidR="001618EC" w:rsidRPr="00CB682F" w:rsidRDefault="001618EC" w:rsidP="001618EC">
      <w:pPr>
        <w:pStyle w:val="FootnoteText"/>
      </w:pPr>
      <w:r w:rsidRPr="00CB682F">
        <w:rPr>
          <w:rStyle w:val="EndnoteReference"/>
          <w:vertAlign w:val="baseline"/>
        </w:rPr>
        <w:endnoteRef/>
      </w:r>
      <w:r w:rsidRPr="00CB682F">
        <w:tab/>
        <w:t xml:space="preserve">Australian Government, </w:t>
      </w:r>
      <w:hyperlink r:id="rId6" w:anchor="toc_2" w:history="1">
        <w:r w:rsidRPr="00CB682F">
          <w:rPr>
            <w:rStyle w:val="Hyperlink"/>
            <w:color w:val="auto"/>
          </w:rPr>
          <w:t>Sector emissions reduction plans</w:t>
        </w:r>
      </w:hyperlink>
      <w:r w:rsidRPr="00CB682F">
        <w:t xml:space="preserve"> (2025), accessed 14 January 2026.</w:t>
      </w:r>
    </w:p>
  </w:endnote>
  <w:endnote w:id="8">
    <w:p w14:paraId="1FBDF3BA" w14:textId="271F2C91" w:rsidR="001618EC" w:rsidRPr="00584E78" w:rsidRDefault="001618EC" w:rsidP="001618EC">
      <w:pPr>
        <w:pStyle w:val="FootnoteText"/>
      </w:pPr>
      <w:r w:rsidRPr="00584E78">
        <w:rPr>
          <w:rStyle w:val="EndnoteReference"/>
          <w:vertAlign w:val="baseline"/>
        </w:rPr>
        <w:endnoteRef/>
      </w:r>
      <w:r>
        <w:tab/>
      </w:r>
      <w:r w:rsidRPr="00584E78">
        <w:t xml:space="preserve">Australian Climate Service, </w:t>
      </w:r>
      <w:hyperlink r:id="rId7" w:history="1">
        <w:r w:rsidRPr="00584E78">
          <w:rPr>
            <w:rStyle w:val="Hyperlink"/>
          </w:rPr>
          <w:t>National Climate Risk Assessment</w:t>
        </w:r>
      </w:hyperlink>
      <w:r w:rsidRPr="00584E78">
        <w:t xml:space="preserve"> (2025), accessed 14 January 2026</w:t>
      </w:r>
      <w:r>
        <w:t>.</w:t>
      </w:r>
    </w:p>
  </w:endnote>
  <w:endnote w:id="9">
    <w:p w14:paraId="09BD66AF" w14:textId="2E4D5182" w:rsidR="002C0A36" w:rsidRPr="00D73745" w:rsidRDefault="002C0A36" w:rsidP="00D73745">
      <w:pPr>
        <w:pStyle w:val="FootnoteText"/>
        <w:rPr>
          <w:rStyle w:val="EndnoteReference"/>
          <w:vertAlign w:val="baseline"/>
        </w:rPr>
      </w:pPr>
      <w:r w:rsidRPr="002C0A36">
        <w:rPr>
          <w:rStyle w:val="EndnoteReference"/>
          <w:vertAlign w:val="baseline"/>
        </w:rPr>
        <w:endnoteRef/>
      </w:r>
      <w:r w:rsidR="006E4ECF">
        <w:rPr>
          <w:rStyle w:val="EndnoteReference"/>
          <w:vertAlign w:val="baseline"/>
        </w:rPr>
        <w:tab/>
      </w:r>
      <w:r w:rsidRPr="00D73745">
        <w:rPr>
          <w:rStyle w:val="EndnoteReference"/>
          <w:vertAlign w:val="baseline"/>
        </w:rPr>
        <w:t xml:space="preserve">DCCEEW, </w:t>
      </w:r>
      <w:hyperlink r:id="rId8" w:history="1">
        <w:r w:rsidRPr="00D73745">
          <w:rPr>
            <w:rStyle w:val="EndnoteReference"/>
            <w:vertAlign w:val="baseline"/>
          </w:rPr>
          <w:t>National Climate Scenario Guidance</w:t>
        </w:r>
      </w:hyperlink>
      <w:r w:rsidRPr="00D73745">
        <w:rPr>
          <w:rStyle w:val="EndnoteReference"/>
          <w:vertAlign w:val="baseline"/>
        </w:rPr>
        <w:t xml:space="preserve"> (202</w:t>
      </w:r>
      <w:r w:rsidR="00014F59">
        <w:t>6</w:t>
      </w:r>
      <w:r w:rsidRPr="00D73745">
        <w:rPr>
          <w:rStyle w:val="EndnoteReference"/>
          <w:vertAlign w:val="baseline"/>
        </w:rPr>
        <w:t xml:space="preserve">), accessed </w:t>
      </w:r>
      <w:r w:rsidR="00014F59">
        <w:rPr>
          <w:rStyle w:val="EndnoteReference"/>
          <w:vertAlign w:val="baseline"/>
        </w:rPr>
        <w:t>19</w:t>
      </w:r>
      <w:r w:rsidRPr="00D73745">
        <w:rPr>
          <w:rStyle w:val="EndnoteReference"/>
          <w:vertAlign w:val="baseline"/>
        </w:rPr>
        <w:t xml:space="preserve"> J</w:t>
      </w:r>
      <w:r w:rsidR="00014F59">
        <w:t>une</w:t>
      </w:r>
      <w:r w:rsidRPr="00D73745">
        <w:rPr>
          <w:rStyle w:val="EndnoteReference"/>
          <w:vertAlign w:val="baseline"/>
        </w:rPr>
        <w:t xml:space="preserve"> 2026.</w:t>
      </w:r>
    </w:p>
  </w:endnote>
  <w:endnote w:id="10">
    <w:p w14:paraId="15C11EC1" w14:textId="05FA1481" w:rsidR="0078526A" w:rsidRPr="0078526A" w:rsidRDefault="0078526A" w:rsidP="0078526A">
      <w:pPr>
        <w:pStyle w:val="FootnoteText"/>
      </w:pPr>
      <w:r w:rsidRPr="0078526A">
        <w:rPr>
          <w:rStyle w:val="EndnoteReference"/>
          <w:vertAlign w:val="baseline"/>
        </w:rPr>
        <w:endnoteRef/>
      </w:r>
      <w:r w:rsidRPr="0078526A">
        <w:t xml:space="preserve"> </w:t>
      </w:r>
      <w:r>
        <w:tab/>
      </w:r>
      <w:r w:rsidRPr="00584E78">
        <w:t xml:space="preserve">IFRS, </w:t>
      </w:r>
      <w:hyperlink r:id="rId9" w:history="1">
        <w:r w:rsidRPr="002C3B9C">
          <w:rPr>
            <w:rStyle w:val="Hyperlink"/>
          </w:rPr>
          <w:t>Knowledge hub</w:t>
        </w:r>
      </w:hyperlink>
      <w:r>
        <w:t>,</w:t>
      </w:r>
      <w:r w:rsidRPr="00584E78">
        <w:t xml:space="preserve"> accessed 2 February 2026</w:t>
      </w:r>
      <w:r>
        <w:t>.</w:t>
      </w:r>
    </w:p>
  </w:endnote>
  <w:endnote w:id="11">
    <w:p w14:paraId="3C62936C" w14:textId="52708F08" w:rsidR="00BD1AE2" w:rsidRPr="00BD1AE2" w:rsidRDefault="00BD1AE2" w:rsidP="00BD1AE2">
      <w:pPr>
        <w:pStyle w:val="FootnoteText"/>
      </w:pPr>
      <w:r w:rsidRPr="00BD1AE2">
        <w:rPr>
          <w:rStyle w:val="EndnoteReference"/>
          <w:vertAlign w:val="baseline"/>
        </w:rPr>
        <w:endnoteRef/>
      </w:r>
      <w:r w:rsidRPr="00BD1AE2">
        <w:t xml:space="preserve"> </w:t>
      </w:r>
      <w:r>
        <w:tab/>
      </w:r>
      <w:r w:rsidR="00303E28" w:rsidRPr="00E61C77" w:rsidDel="002160DE">
        <w:t xml:space="preserve">IFRS, </w:t>
      </w:r>
      <w:hyperlink r:id="rId10" w:history="1">
        <w:r w:rsidR="00303E28" w:rsidRPr="00E61C77" w:rsidDel="002160DE">
          <w:rPr>
            <w:rStyle w:val="Hyperlink"/>
          </w:rPr>
          <w:t>Disclosing information about an entity’s climate-related transition, including information about transition plans</w:t>
        </w:r>
        <w:r w:rsidR="00303E28" w:rsidRPr="005078B6">
          <w:rPr>
            <w:rStyle w:val="Hyperlink"/>
          </w:rPr>
          <w:t>, in accordance with IFRS S2</w:t>
        </w:r>
      </w:hyperlink>
      <w:r w:rsidR="00303E28" w:rsidDel="002160DE">
        <w:t xml:space="preserve"> (2025), accessed 16 March 2026.</w:t>
      </w:r>
    </w:p>
  </w:endnote>
  <w:endnote w:id="12">
    <w:p w14:paraId="1E46037A" w14:textId="27D28984" w:rsidR="00D17C8D" w:rsidRDefault="00D17C8D" w:rsidP="00D17C8D">
      <w:pPr>
        <w:pStyle w:val="FootnoteText"/>
      </w:pPr>
      <w:r w:rsidRPr="00D17C8D">
        <w:rPr>
          <w:rStyle w:val="EndnoteReference"/>
          <w:vertAlign w:val="baseline"/>
        </w:rPr>
        <w:endnoteRef/>
      </w:r>
      <w:r>
        <w:tab/>
      </w:r>
      <w:r w:rsidR="00746304" w:rsidRPr="00584E78">
        <w:t xml:space="preserve">Accounting for Sustainability, </w:t>
      </w:r>
      <w:hyperlink r:id="rId11" w:history="1">
        <w:r w:rsidR="00746304" w:rsidRPr="00584E78">
          <w:rPr>
            <w:rStyle w:val="Hyperlink"/>
          </w:rPr>
          <w:t>Essential Guides</w:t>
        </w:r>
      </w:hyperlink>
      <w:r w:rsidR="00746304" w:rsidRPr="00584E78">
        <w:t>, accessed 3 March 2026</w:t>
      </w:r>
      <w:r w:rsidR="00746304">
        <w:t>.</w:t>
      </w:r>
    </w:p>
  </w:endnote>
  <w:endnote w:id="13">
    <w:p w14:paraId="7C80C56A" w14:textId="16217EA4" w:rsidR="00746304" w:rsidRDefault="00746304" w:rsidP="00021399">
      <w:pPr>
        <w:pStyle w:val="FootnoteText"/>
      </w:pPr>
      <w:r w:rsidRPr="00021399">
        <w:rPr>
          <w:rStyle w:val="EndnoteReference"/>
          <w:vertAlign w:val="baseline"/>
        </w:rPr>
        <w:endnoteRef/>
      </w:r>
      <w:r w:rsidR="00021399">
        <w:tab/>
      </w:r>
      <w:r w:rsidR="00561966" w:rsidRPr="00584E78">
        <w:t xml:space="preserve">New Zealand External Reporting Board, </w:t>
      </w:r>
      <w:hyperlink r:id="rId12" w:history="1">
        <w:r w:rsidR="00561966" w:rsidRPr="00584E78">
          <w:rPr>
            <w:rStyle w:val="Hyperlink"/>
          </w:rPr>
          <w:t>Transition Planning Guides</w:t>
        </w:r>
      </w:hyperlink>
      <w:r w:rsidR="00561966" w:rsidRPr="00584E78">
        <w:t xml:space="preserve"> (2024), accessed 14 January 2026</w:t>
      </w:r>
      <w:r w:rsidR="00561966">
        <w:t>.</w:t>
      </w:r>
    </w:p>
  </w:endnote>
  <w:endnote w:id="14">
    <w:p w14:paraId="2E77E646" w14:textId="3DBF20DC" w:rsidR="00561966" w:rsidRDefault="00561966" w:rsidP="00AB3C01">
      <w:pPr>
        <w:pStyle w:val="FootnoteText"/>
      </w:pPr>
      <w:r w:rsidRPr="00AB3C01">
        <w:rPr>
          <w:rStyle w:val="EndnoteReference"/>
          <w:vertAlign w:val="baseline"/>
        </w:rPr>
        <w:endnoteRef/>
      </w:r>
      <w:r w:rsidR="00AB3C01">
        <w:tab/>
      </w:r>
      <w:r w:rsidR="008F4F6E" w:rsidRPr="00584E78">
        <w:t xml:space="preserve">New South Wales (NSW) Government, </w:t>
      </w:r>
      <w:hyperlink r:id="rId13" w:history="1">
        <w:r w:rsidR="008F4F6E" w:rsidRPr="00584E78">
          <w:rPr>
            <w:rStyle w:val="Hyperlink"/>
          </w:rPr>
          <w:t>Net Zero Business Guide</w:t>
        </w:r>
      </w:hyperlink>
      <w:r w:rsidR="008F4F6E" w:rsidRPr="00584E78">
        <w:t xml:space="preserve"> (2025), accessed 14 January 2026</w:t>
      </w:r>
      <w:r w:rsidR="008F4F6E">
        <w:t>.</w:t>
      </w:r>
      <w:r>
        <w:t xml:space="preserve"> </w:t>
      </w:r>
    </w:p>
  </w:endnote>
  <w:endnote w:id="15">
    <w:p w14:paraId="77E314C9" w14:textId="52768074" w:rsidR="00AB3C01" w:rsidRDefault="00AB3C01" w:rsidP="00AB3C01">
      <w:pPr>
        <w:pStyle w:val="FootnoteText"/>
      </w:pPr>
      <w:r w:rsidRPr="00AB3C01">
        <w:rPr>
          <w:rStyle w:val="EndnoteReference"/>
          <w:vertAlign w:val="baseline"/>
        </w:rPr>
        <w:endnoteRef/>
      </w:r>
      <w:r w:rsidR="008F4F6E">
        <w:tab/>
      </w:r>
      <w:r w:rsidR="002601A0">
        <w:t>TPT</w:t>
      </w:r>
      <w:r w:rsidR="002601A0" w:rsidRPr="00584E78">
        <w:t xml:space="preserve">, </w:t>
      </w:r>
      <w:hyperlink r:id="rId14" w:history="1">
        <w:r w:rsidR="002601A0" w:rsidRPr="00584E78">
          <w:rPr>
            <w:rStyle w:val="Hyperlink"/>
          </w:rPr>
          <w:t>Asset Owners Sector Guidance</w:t>
        </w:r>
      </w:hyperlink>
      <w:r w:rsidR="002601A0" w:rsidRPr="00584E78">
        <w:t xml:space="preserve"> (2024), accessed 24 February 2026</w:t>
      </w:r>
      <w:r w:rsidR="002601A0">
        <w:t>.</w:t>
      </w:r>
    </w:p>
  </w:endnote>
  <w:endnote w:id="16">
    <w:p w14:paraId="3935123B" w14:textId="1FED7720" w:rsidR="004B6E11" w:rsidRDefault="004B6E11" w:rsidP="004B6E11">
      <w:pPr>
        <w:pStyle w:val="FootnoteText"/>
      </w:pPr>
      <w:r w:rsidRPr="00FC7F40">
        <w:rPr>
          <w:rStyle w:val="EndnoteReference"/>
          <w:vertAlign w:val="baseline"/>
        </w:rPr>
        <w:endnoteRef/>
      </w:r>
      <w:r>
        <w:tab/>
      </w:r>
      <w:r w:rsidR="00FC7F40">
        <w:t>TPT</w:t>
      </w:r>
      <w:r w:rsidR="00FC7F40" w:rsidRPr="00584E78">
        <w:t xml:space="preserve">, </w:t>
      </w:r>
      <w:hyperlink r:id="rId15" w:history="1">
        <w:r w:rsidR="00FC7F40" w:rsidRPr="00584E78">
          <w:rPr>
            <w:rStyle w:val="Hyperlink"/>
          </w:rPr>
          <w:t>Asset Managers Sector Guidance</w:t>
        </w:r>
      </w:hyperlink>
      <w:r w:rsidR="00FC7F40" w:rsidRPr="00584E78">
        <w:t xml:space="preserve"> (2024), accessed 24 February 2026</w:t>
      </w:r>
      <w:r w:rsidR="00FC7F40">
        <w:t>.</w:t>
      </w:r>
    </w:p>
  </w:endnote>
  <w:endnote w:id="17">
    <w:p w14:paraId="7FC3C171" w14:textId="0F64AB2B" w:rsidR="009F23F3" w:rsidRDefault="009F23F3" w:rsidP="009F23F3">
      <w:pPr>
        <w:pStyle w:val="FootnoteText"/>
      </w:pPr>
      <w:r w:rsidRPr="00943DB8">
        <w:rPr>
          <w:rStyle w:val="EndnoteReference"/>
          <w:vertAlign w:val="baseline"/>
        </w:rPr>
        <w:endnoteRef/>
      </w:r>
      <w:r>
        <w:tab/>
      </w:r>
      <w:r w:rsidR="00943DB8" w:rsidRPr="00584E78">
        <w:t xml:space="preserve">Climateworks, </w:t>
      </w:r>
      <w:hyperlink r:id="rId16" w:history="1">
        <w:r w:rsidR="00943DB8" w:rsidRPr="00584E78">
          <w:rPr>
            <w:rStyle w:val="Hyperlink"/>
          </w:rPr>
          <w:t>Guide to credibility for corporate climate transition plans</w:t>
        </w:r>
      </w:hyperlink>
      <w:r w:rsidR="00943DB8" w:rsidRPr="00584E78">
        <w:t xml:space="preserve"> (2025), accessed 14 January 2026</w:t>
      </w:r>
      <w:r w:rsidR="00943DB8">
        <w:t>.</w:t>
      </w:r>
    </w:p>
  </w:endnote>
  <w:endnote w:id="18">
    <w:p w14:paraId="614CBFE1" w14:textId="5F94F471" w:rsidR="00497E2C" w:rsidRDefault="00497E2C" w:rsidP="00497E2C">
      <w:pPr>
        <w:pStyle w:val="FootnoteText"/>
      </w:pPr>
      <w:r w:rsidRPr="00FC45D0">
        <w:rPr>
          <w:rStyle w:val="EndnoteReference"/>
          <w:vertAlign w:val="baseline"/>
        </w:rPr>
        <w:endnoteRef/>
      </w:r>
      <w:r w:rsidR="003D3B0A">
        <w:tab/>
      </w:r>
      <w:r w:rsidR="00FC45D0" w:rsidRPr="00584E78">
        <w:t xml:space="preserve">Australian Institute of Company Directors and Australian Council of Superannuation Investors, </w:t>
      </w:r>
      <w:hyperlink r:id="rId17" w:history="1">
        <w:r w:rsidR="00FC45D0" w:rsidRPr="00584E78">
          <w:rPr>
            <w:rStyle w:val="Hyperlink"/>
          </w:rPr>
          <w:t>Governing for net zero: The board’s role in organisational transition planning</w:t>
        </w:r>
      </w:hyperlink>
      <w:r w:rsidR="00FC45D0" w:rsidRPr="00584E78">
        <w:t xml:space="preserve"> (2025), accessed 14 January 2026</w:t>
      </w:r>
      <w:r w:rsidR="00FC45D0">
        <w:t>.</w:t>
      </w:r>
    </w:p>
  </w:endnote>
  <w:endnote w:id="19">
    <w:p w14:paraId="43DCBF7F" w14:textId="77777777" w:rsidR="005A49AD" w:rsidRPr="00584E78" w:rsidRDefault="005A49AD" w:rsidP="005A49AD">
      <w:pPr>
        <w:pStyle w:val="FootnoteText"/>
      </w:pPr>
      <w:r w:rsidRPr="00584E78">
        <w:rPr>
          <w:rStyle w:val="EndnoteReference"/>
          <w:vertAlign w:val="baseline"/>
        </w:rPr>
        <w:endnoteRef/>
      </w:r>
      <w:r>
        <w:tab/>
      </w:r>
      <w:r w:rsidRPr="00584E78">
        <w:t xml:space="preserve">Climate Leaders Coalition, </w:t>
      </w:r>
      <w:hyperlink r:id="rId18" w:history="1">
        <w:r w:rsidRPr="00584E78">
          <w:rPr>
            <w:rStyle w:val="Hyperlink"/>
          </w:rPr>
          <w:t>Credible Transition to Net Zero</w:t>
        </w:r>
      </w:hyperlink>
      <w:r w:rsidRPr="00584E78">
        <w:t xml:space="preserve"> (2023), accessed 14 January 2026</w:t>
      </w:r>
      <w:r>
        <w:t>.</w:t>
      </w:r>
    </w:p>
  </w:endnote>
  <w:endnote w:id="20">
    <w:p w14:paraId="2F4FFE47" w14:textId="3722EEF9" w:rsidR="00914ACA" w:rsidRPr="00C01787" w:rsidRDefault="00914ACA" w:rsidP="00DB6514">
      <w:pPr>
        <w:pStyle w:val="FootnoteText"/>
        <w:rPr>
          <w:rStyle w:val="EndnoteReference"/>
          <w:vertAlign w:val="baseline"/>
        </w:rPr>
      </w:pPr>
      <w:r w:rsidRPr="00C01787">
        <w:rPr>
          <w:rStyle w:val="EndnoteReference"/>
          <w:vertAlign w:val="baseline"/>
        </w:rPr>
        <w:endnoteRef/>
      </w:r>
      <w:r w:rsidR="00DB6514">
        <w:rPr>
          <w:rStyle w:val="EndnoteReference"/>
          <w:vertAlign w:val="baseline"/>
        </w:rPr>
        <w:tab/>
      </w:r>
      <w:r w:rsidR="00A954A0" w:rsidRPr="00CB682F" w:rsidDel="00694A38">
        <w:t>AASB,</w:t>
      </w:r>
      <w:r w:rsidR="00A954A0" w:rsidRPr="00584E78" w:rsidDel="00694A38">
        <w:t xml:space="preserve"> </w:t>
      </w:r>
      <w:hyperlink r:id="rId19">
        <w:r w:rsidR="00A954A0" w:rsidRPr="08F4CDCE">
          <w:rPr>
            <w:rStyle w:val="Hyperlink"/>
          </w:rPr>
          <w:t>AASB S2 Knowledge Hub</w:t>
        </w:r>
      </w:hyperlink>
      <w:r w:rsidR="00A954A0" w:rsidRPr="00584E78" w:rsidDel="00694A38">
        <w:t xml:space="preserve">, accessed </w:t>
      </w:r>
      <w:r w:rsidR="00A954A0">
        <w:t>11</w:t>
      </w:r>
      <w:r w:rsidR="00A954A0" w:rsidRPr="00584E78" w:rsidDel="00694A38">
        <w:t xml:space="preserve"> </w:t>
      </w:r>
      <w:r w:rsidR="00A954A0">
        <w:t>August</w:t>
      </w:r>
      <w:r w:rsidR="00A954A0" w:rsidRPr="00584E78" w:rsidDel="00694A38">
        <w:t xml:space="preserve"> 2026</w:t>
      </w:r>
      <w:r w:rsidR="00A954A0" w:rsidDel="00694A38">
        <w:t>.</w:t>
      </w:r>
    </w:p>
  </w:endnote>
  <w:endnote w:id="21">
    <w:p w14:paraId="64616BA0" w14:textId="56A3065E" w:rsidR="00B82F98" w:rsidRDefault="00B82F98" w:rsidP="00B82F98">
      <w:pPr>
        <w:pStyle w:val="FootnoteText"/>
      </w:pPr>
      <w:r w:rsidRPr="00CB682F">
        <w:endnoteRef/>
      </w:r>
      <w:r>
        <w:tab/>
      </w:r>
      <w:r w:rsidRPr="00584E78">
        <w:t>Australian Securities &amp; Investments Commission (ASIC),</w:t>
      </w:r>
      <w:r>
        <w:t xml:space="preserve"> </w:t>
      </w:r>
      <w:hyperlink r:id="rId20" w:history="1">
        <w:r w:rsidRPr="00D10636">
          <w:rPr>
            <w:rStyle w:val="Hyperlink"/>
          </w:rPr>
          <w:t>Sustainability reporting</w:t>
        </w:r>
      </w:hyperlink>
      <w:r>
        <w:t xml:space="preserve"> (2026)</w:t>
      </w:r>
      <w:r w:rsidRPr="00584E78">
        <w:t>, accessed 14</w:t>
      </w:r>
      <w:r w:rsidR="006E4ECF">
        <w:t> </w:t>
      </w:r>
      <w:r w:rsidRPr="00584E78">
        <w:t>January</w:t>
      </w:r>
      <w:r w:rsidR="006E4ECF">
        <w:t> </w:t>
      </w:r>
      <w:r w:rsidRPr="00584E78">
        <w:t>2026</w:t>
      </w:r>
      <w:r>
        <w:t>.</w:t>
      </w:r>
    </w:p>
  </w:endnote>
  <w:endnote w:id="22">
    <w:p w14:paraId="086ACFBD" w14:textId="77777777" w:rsidR="00B82F98" w:rsidRPr="00584E78" w:rsidRDefault="00B82F98" w:rsidP="00B82F98">
      <w:pPr>
        <w:pStyle w:val="FootnoteText"/>
      </w:pPr>
      <w:r w:rsidRPr="00584E78">
        <w:rPr>
          <w:rStyle w:val="EndnoteReference"/>
          <w:vertAlign w:val="baseline"/>
        </w:rPr>
        <w:endnoteRef/>
      </w:r>
      <w:r>
        <w:tab/>
      </w:r>
      <w:r w:rsidRPr="00584E78">
        <w:t xml:space="preserve">ASIC, </w:t>
      </w:r>
      <w:hyperlink r:id="rId21" w:history="1">
        <w:r w:rsidRPr="00505421">
          <w:rPr>
            <w:rStyle w:val="Hyperlink"/>
          </w:rPr>
          <w:t>Regulatory guide – 280 Sustainability reporting</w:t>
        </w:r>
      </w:hyperlink>
      <w:r w:rsidRPr="00584E78">
        <w:t xml:space="preserve"> (2025), accessed 14 January 2026</w:t>
      </w:r>
      <w:r>
        <w:t>.</w:t>
      </w:r>
    </w:p>
  </w:endnote>
  <w:endnote w:id="23">
    <w:p w14:paraId="04B04DBF" w14:textId="2C852D09" w:rsidR="00B82F98" w:rsidRPr="00584E78" w:rsidRDefault="00B82F98" w:rsidP="00B82F98">
      <w:pPr>
        <w:pStyle w:val="FootnoteText"/>
      </w:pPr>
      <w:r w:rsidRPr="00584E78" w:rsidDel="00AC6F8E">
        <w:rPr>
          <w:rStyle w:val="EndnoteReference"/>
          <w:vertAlign w:val="baseline"/>
        </w:rPr>
        <w:endnoteRef/>
      </w:r>
      <w:r w:rsidDel="00AC6F8E">
        <w:tab/>
      </w:r>
      <w:r w:rsidRPr="00CB682F" w:rsidDel="00AC6F8E">
        <w:t>ASIC,</w:t>
      </w:r>
      <w:r w:rsidRPr="00584E78" w:rsidDel="00AC6F8E">
        <w:t xml:space="preserve"> </w:t>
      </w:r>
      <w:hyperlink r:id="rId22" w:history="1">
        <w:r w:rsidRPr="00584E78" w:rsidDel="00AC6F8E">
          <w:rPr>
            <w:rStyle w:val="Hyperlink"/>
          </w:rPr>
          <w:t>Information sheet – 271 How to avoid greenwashing when offering or promoting sustainability-</w:t>
        </w:r>
        <w:r w:rsidR="00015832">
          <w:rPr>
            <w:rStyle w:val="Hyperlink"/>
          </w:rPr>
          <w:t>‍</w:t>
        </w:r>
        <w:r w:rsidRPr="00584E78" w:rsidDel="00AC6F8E">
          <w:rPr>
            <w:rStyle w:val="Hyperlink"/>
          </w:rPr>
          <w:t>related products</w:t>
        </w:r>
      </w:hyperlink>
      <w:r w:rsidRPr="00584E78" w:rsidDel="00AC6F8E">
        <w:t xml:space="preserve"> (2022), accessed 14 January 2026</w:t>
      </w:r>
      <w:r w:rsidDel="00AC6F8E">
        <w:t>.</w:t>
      </w:r>
    </w:p>
  </w:endnote>
  <w:endnote w:id="24">
    <w:p w14:paraId="7AA341D2" w14:textId="3E1FD44A" w:rsidR="00B82F98" w:rsidRPr="00584E78" w:rsidDel="00DC5D33" w:rsidRDefault="00B82F98" w:rsidP="00B82F98">
      <w:pPr>
        <w:pStyle w:val="FootnoteText"/>
      </w:pPr>
      <w:r w:rsidRPr="00584E78" w:rsidDel="00DC5D33">
        <w:rPr>
          <w:rStyle w:val="EndnoteReference"/>
          <w:vertAlign w:val="baseline"/>
        </w:rPr>
        <w:endnoteRef/>
      </w:r>
      <w:r w:rsidDel="00DC5D33">
        <w:tab/>
      </w:r>
      <w:r w:rsidR="08F4CDCE" w:rsidRPr="00584E78" w:rsidDel="00DC5D33">
        <w:t xml:space="preserve">Australian Accounting Standards Board (AASB), </w:t>
      </w:r>
      <w:hyperlink r:id="rId23">
        <w:r w:rsidR="08F4CDCE" w:rsidRPr="08F4CDCE">
          <w:rPr>
            <w:rStyle w:val="Hyperlink"/>
          </w:rPr>
          <w:t>Climate-related Disclosures</w:t>
        </w:r>
      </w:hyperlink>
      <w:r w:rsidR="08F4CDCE" w:rsidDel="00DC5D33">
        <w:t xml:space="preserve"> </w:t>
      </w:r>
      <w:r w:rsidR="08F4CDCE" w:rsidRPr="00584E78" w:rsidDel="00DC5D33">
        <w:t>(2024), accessed 14</w:t>
      </w:r>
      <w:r w:rsidR="08F4CDCE" w:rsidDel="00DC5D33">
        <w:t> </w:t>
      </w:r>
      <w:r w:rsidR="08F4CDCE" w:rsidRPr="00584E78" w:rsidDel="00DC5D33">
        <w:t>January</w:t>
      </w:r>
      <w:r w:rsidR="08F4CDCE" w:rsidDel="00DC5D33">
        <w:t> </w:t>
      </w:r>
      <w:r w:rsidR="08F4CDCE" w:rsidRPr="00584E78" w:rsidDel="00DC5D33">
        <w:t>2026</w:t>
      </w:r>
      <w:r w:rsidR="08F4CDCE" w:rsidDel="00DC5D33">
        <w:t>.</w:t>
      </w:r>
    </w:p>
  </w:endnote>
  <w:endnote w:id="25">
    <w:p w14:paraId="6114D90B" w14:textId="77777777" w:rsidR="00B82F98" w:rsidRPr="00584E78" w:rsidRDefault="00B82F98" w:rsidP="00B82F98">
      <w:pPr>
        <w:pStyle w:val="FootnoteText"/>
      </w:pPr>
      <w:r w:rsidRPr="00584E78" w:rsidDel="00A25D64">
        <w:rPr>
          <w:rStyle w:val="EndnoteReference"/>
          <w:vertAlign w:val="baseline"/>
        </w:rPr>
        <w:endnoteRef/>
      </w:r>
      <w:r w:rsidDel="00A25D64">
        <w:tab/>
      </w:r>
      <w:r>
        <w:t>AASB</w:t>
      </w:r>
      <w:r w:rsidRPr="00584E78" w:rsidDel="00A25D64">
        <w:t xml:space="preserve">, </w:t>
      </w:r>
      <w:hyperlink r:id="rId24" w:history="1">
        <w:r w:rsidRPr="00584E78" w:rsidDel="00A25D64">
          <w:rPr>
            <w:rStyle w:val="Hyperlink"/>
          </w:rPr>
          <w:t>Sustainability Assurance</w:t>
        </w:r>
      </w:hyperlink>
      <w:r w:rsidRPr="00584E78" w:rsidDel="00A25D64">
        <w:t xml:space="preserve"> (2025), accessed 14 January 2026</w:t>
      </w:r>
      <w:r w:rsidDel="00A25D64">
        <w:t>.</w:t>
      </w:r>
    </w:p>
  </w:endnote>
  <w:endnote w:id="26">
    <w:p w14:paraId="77D763BE" w14:textId="77777777" w:rsidR="00B82F98" w:rsidRPr="00584E78" w:rsidRDefault="00B82F98" w:rsidP="00B82F98">
      <w:pPr>
        <w:pStyle w:val="FootnoteText"/>
      </w:pPr>
      <w:r w:rsidRPr="00584E78" w:rsidDel="00A25D64">
        <w:rPr>
          <w:rStyle w:val="EndnoteReference"/>
          <w:vertAlign w:val="baseline"/>
        </w:rPr>
        <w:endnoteRef/>
      </w:r>
      <w:r w:rsidDel="00A25D64">
        <w:tab/>
      </w:r>
      <w:r w:rsidRPr="00584E78" w:rsidDel="00A25D64">
        <w:t xml:space="preserve">Australian Competition &amp; Consumer Commission (ACCC), </w:t>
      </w:r>
      <w:hyperlink r:id="rId25" w:history="1">
        <w:r w:rsidRPr="00584E78" w:rsidDel="00A25D64">
          <w:rPr>
            <w:rStyle w:val="Hyperlink"/>
          </w:rPr>
          <w:t>A guide to making environmental claims for business</w:t>
        </w:r>
      </w:hyperlink>
      <w:r w:rsidRPr="00584E78" w:rsidDel="00A25D64">
        <w:t xml:space="preserve"> (2023), accessed 14 January 2026</w:t>
      </w:r>
      <w:r w:rsidDel="00A25D64">
        <w:t>.</w:t>
      </w:r>
    </w:p>
  </w:endnote>
  <w:endnote w:id="27">
    <w:p w14:paraId="690C7AF0" w14:textId="626708CF" w:rsidR="00F5788E" w:rsidRPr="00584E78" w:rsidRDefault="00F5788E" w:rsidP="00584E78">
      <w:pPr>
        <w:pStyle w:val="FootnoteText"/>
      </w:pPr>
      <w:r w:rsidRPr="00584E78">
        <w:rPr>
          <w:rStyle w:val="EndnoteReference"/>
          <w:vertAlign w:val="baseline"/>
        </w:rPr>
        <w:endnoteRef/>
      </w:r>
      <w:r w:rsidR="00584E78">
        <w:tab/>
      </w:r>
      <w:r w:rsidR="001644EC">
        <w:t>Network for Greening the Financial System</w:t>
      </w:r>
      <w:r w:rsidR="00A9579F">
        <w:t xml:space="preserve"> (</w:t>
      </w:r>
      <w:r w:rsidR="00C5388A">
        <w:t>NGFS)</w:t>
      </w:r>
      <w:r w:rsidRPr="00584E78">
        <w:t xml:space="preserve">, </w:t>
      </w:r>
      <w:hyperlink r:id="rId26" w:history="1">
        <w:r w:rsidR="00574E3F" w:rsidRPr="00863596">
          <w:rPr>
            <w:rStyle w:val="Hyperlink"/>
          </w:rPr>
          <w:t>Integrating adaptation and resilience into transition plans</w:t>
        </w:r>
      </w:hyperlink>
      <w:r w:rsidRPr="00584E78">
        <w:t xml:space="preserve"> (2025), accessed 16 January 2026</w:t>
      </w:r>
      <w:r w:rsidR="00D13970">
        <w:t>.</w:t>
      </w:r>
    </w:p>
  </w:endnote>
  <w:endnote w:id="28">
    <w:p w14:paraId="1CCB3B5D" w14:textId="42090224" w:rsidR="000717B1" w:rsidRPr="00584E78" w:rsidRDefault="000717B1" w:rsidP="000717B1">
      <w:pPr>
        <w:pStyle w:val="FootnoteText"/>
      </w:pPr>
      <w:r w:rsidRPr="00584E78">
        <w:rPr>
          <w:rStyle w:val="EndnoteReference"/>
          <w:vertAlign w:val="baseline"/>
        </w:rPr>
        <w:endnoteRef/>
      </w:r>
      <w:r>
        <w:tab/>
      </w:r>
      <w:r w:rsidRPr="00584E78">
        <w:t xml:space="preserve">Australian Government, </w:t>
      </w:r>
      <w:hyperlink r:id="rId27" w:history="1">
        <w:r w:rsidRPr="00584E78">
          <w:rPr>
            <w:rStyle w:val="Hyperlink"/>
          </w:rPr>
          <w:t>Industry Sector Plan</w:t>
        </w:r>
      </w:hyperlink>
      <w:r w:rsidRPr="00584E78">
        <w:t xml:space="preserve"> (2025), accessed 27 February 2026</w:t>
      </w:r>
      <w:r w:rsidR="00D13970">
        <w:t>.</w:t>
      </w:r>
    </w:p>
  </w:endnote>
  <w:endnote w:id="29">
    <w:p w14:paraId="4CD52DBC" w14:textId="081316B2" w:rsidR="000722C2" w:rsidRPr="00584E78" w:rsidRDefault="000722C2" w:rsidP="000722C2">
      <w:pPr>
        <w:pStyle w:val="FootnoteText"/>
      </w:pPr>
      <w:r w:rsidRPr="00584E78">
        <w:rPr>
          <w:rStyle w:val="EndnoteReference"/>
          <w:vertAlign w:val="baseline"/>
        </w:rPr>
        <w:endnoteRef/>
      </w:r>
      <w:r>
        <w:tab/>
      </w:r>
      <w:r w:rsidRPr="00584E78">
        <w:t>International Energy Agency</w:t>
      </w:r>
      <w:r w:rsidR="003A6033">
        <w:t xml:space="preserve"> (IEA)</w:t>
      </w:r>
      <w:r w:rsidRPr="00584E78">
        <w:t xml:space="preserve">, </w:t>
      </w:r>
      <w:hyperlink r:id="rId28" w:history="1">
        <w:r w:rsidRPr="00584E78">
          <w:rPr>
            <w:rStyle w:val="Hyperlink"/>
          </w:rPr>
          <w:t>The challenge of reaching zero emissions in heavy industry</w:t>
        </w:r>
      </w:hyperlink>
      <w:r w:rsidRPr="00584E78">
        <w:t xml:space="preserve"> (2020), accessed 2</w:t>
      </w:r>
      <w:r>
        <w:t> </w:t>
      </w:r>
      <w:r w:rsidRPr="00584E78">
        <w:t>March 2026</w:t>
      </w:r>
      <w:r w:rsidR="00D13970">
        <w:t>.</w:t>
      </w:r>
    </w:p>
  </w:endnote>
  <w:endnote w:id="30">
    <w:p w14:paraId="2690098E" w14:textId="5625A008" w:rsidR="0025506B" w:rsidRPr="00584E78" w:rsidRDefault="0025506B" w:rsidP="00584E78">
      <w:pPr>
        <w:pStyle w:val="FootnoteText"/>
      </w:pPr>
      <w:r w:rsidRPr="00584E78">
        <w:rPr>
          <w:rStyle w:val="EndnoteReference"/>
          <w:vertAlign w:val="baseline"/>
        </w:rPr>
        <w:endnoteRef/>
      </w:r>
      <w:r w:rsidR="00584E78">
        <w:tab/>
      </w:r>
      <w:r w:rsidRPr="00584E78">
        <w:t xml:space="preserve">Samuel Kurian, Georgia Reid and Maxwell Sutton (Reserve Bank of Australia), </w:t>
      </w:r>
      <w:hyperlink r:id="rId29" w:history="1">
        <w:r w:rsidRPr="00584E78">
          <w:rPr>
            <w:rStyle w:val="Hyperlink"/>
          </w:rPr>
          <w:t>Climate Change and Financial</w:t>
        </w:r>
        <w:r w:rsidR="007C115D">
          <w:rPr>
            <w:rStyle w:val="Hyperlink"/>
          </w:rPr>
          <w:t> </w:t>
        </w:r>
        <w:r w:rsidRPr="00584E78">
          <w:rPr>
            <w:rStyle w:val="Hyperlink"/>
          </w:rPr>
          <w:t>Risk</w:t>
        </w:r>
      </w:hyperlink>
      <w:r w:rsidRPr="00584E78">
        <w:t xml:space="preserve"> (2023), accessed 27 February 2026</w:t>
      </w:r>
      <w:r w:rsidR="00D13970">
        <w:t>.</w:t>
      </w:r>
    </w:p>
  </w:endnote>
  <w:endnote w:id="31">
    <w:p w14:paraId="2299C811" w14:textId="77777777" w:rsidR="008B5352" w:rsidRPr="00CE6BDB" w:rsidRDefault="008B5352" w:rsidP="008B5352">
      <w:pPr>
        <w:pStyle w:val="FootnoteText"/>
        <w:rPr>
          <w:rStyle w:val="FootnoteTextChar"/>
        </w:rPr>
      </w:pPr>
      <w:r w:rsidRPr="00CE6BDB">
        <w:rPr>
          <w:rStyle w:val="EndnoteReference"/>
          <w:vertAlign w:val="baseline"/>
        </w:rPr>
        <w:endnoteRef/>
      </w:r>
      <w:r>
        <w:rPr>
          <w:rStyle w:val="FootnoteTextChar"/>
        </w:rPr>
        <w:t xml:space="preserve"> </w:t>
      </w:r>
      <w:r>
        <w:rPr>
          <w:rStyle w:val="FootnoteTextChar"/>
        </w:rPr>
        <w:tab/>
      </w:r>
      <w:r w:rsidRPr="00CE6BDB">
        <w:rPr>
          <w:rStyle w:val="FootnoteTextChar"/>
        </w:rPr>
        <w:t xml:space="preserve">Accounting for Sustainability, </w:t>
      </w:r>
      <w:hyperlink r:id="rId30" w:history="1">
        <w:r w:rsidRPr="00CE6BDB">
          <w:rPr>
            <w:rStyle w:val="FootnoteTextChar"/>
          </w:rPr>
          <w:t>Board Engagement Tool</w:t>
        </w:r>
      </w:hyperlink>
      <w:r w:rsidRPr="00CE6BDB">
        <w:rPr>
          <w:rStyle w:val="FootnoteTextChar"/>
        </w:rPr>
        <w:t xml:space="preserve"> (2021), accessed 20 March 2026. </w:t>
      </w:r>
    </w:p>
  </w:endnote>
  <w:endnote w:id="32">
    <w:p w14:paraId="05571238" w14:textId="77777777" w:rsidR="00E964D5" w:rsidRPr="00584E78" w:rsidRDefault="00E964D5" w:rsidP="00E964D5">
      <w:pPr>
        <w:pStyle w:val="FootnoteText"/>
      </w:pPr>
      <w:r w:rsidRPr="00584E78">
        <w:rPr>
          <w:rStyle w:val="EndnoteReference"/>
          <w:vertAlign w:val="baseline"/>
        </w:rPr>
        <w:endnoteRef/>
      </w:r>
      <w:r>
        <w:tab/>
      </w:r>
      <w:r w:rsidRPr="00584E78">
        <w:t xml:space="preserve">Australian Industry Energy Transitions Initiative, </w:t>
      </w:r>
      <w:hyperlink r:id="rId31" w:history="1">
        <w:r w:rsidRPr="00584E78">
          <w:rPr>
            <w:rStyle w:val="Hyperlink"/>
          </w:rPr>
          <w:t>Pathways to industrial decarbonisation</w:t>
        </w:r>
      </w:hyperlink>
      <w:r w:rsidRPr="00584E78">
        <w:t xml:space="preserve"> (2023), accessed 15</w:t>
      </w:r>
      <w:r>
        <w:t> </w:t>
      </w:r>
      <w:r w:rsidRPr="00584E78">
        <w:t>January 2026</w:t>
      </w:r>
      <w:r>
        <w:t>.</w:t>
      </w:r>
    </w:p>
  </w:endnote>
  <w:endnote w:id="33">
    <w:p w14:paraId="7862ABB5" w14:textId="77777777" w:rsidR="00E964D5" w:rsidRDefault="00E964D5" w:rsidP="00E964D5">
      <w:pPr>
        <w:pStyle w:val="FootnoteText"/>
      </w:pPr>
      <w:r w:rsidRPr="00CE6BDB">
        <w:rPr>
          <w:rStyle w:val="EndnoteReference"/>
          <w:vertAlign w:val="baseline"/>
        </w:rPr>
        <w:endnoteRef/>
      </w:r>
      <w:r>
        <w:t xml:space="preserve"> </w:t>
      </w:r>
      <w:r>
        <w:tab/>
        <w:t>Intergovernmental Panel on Climate Change</w:t>
      </w:r>
      <w:r w:rsidRPr="00DC3879">
        <w:t xml:space="preserve"> </w:t>
      </w:r>
      <w:r>
        <w:t>(IPCC),</w:t>
      </w:r>
      <w:r w:rsidRPr="00DC3879">
        <w:t xml:space="preserve"> </w:t>
      </w:r>
      <w:hyperlink r:id="rId32" w:history="1">
        <w:r w:rsidRPr="00DC3879">
          <w:rPr>
            <w:rStyle w:val="Hyperlink"/>
          </w:rPr>
          <w:t>Sixth Assessment Report</w:t>
        </w:r>
      </w:hyperlink>
      <w:r>
        <w:t xml:space="preserve"> (2023), accessed 20 March 2026.</w:t>
      </w:r>
    </w:p>
  </w:endnote>
  <w:endnote w:id="34">
    <w:p w14:paraId="78C17481" w14:textId="6FFADB95" w:rsidR="49281F95" w:rsidRPr="00584E78" w:rsidRDefault="004B646B" w:rsidP="00584E78">
      <w:pPr>
        <w:pStyle w:val="FootnoteText"/>
      </w:pPr>
      <w:r w:rsidRPr="00584E78">
        <w:rPr>
          <w:rStyle w:val="EndnoteReference"/>
          <w:vertAlign w:val="baseline"/>
        </w:rPr>
        <w:endnoteRef/>
      </w:r>
      <w:r w:rsidR="00584E78">
        <w:tab/>
      </w:r>
      <w:r w:rsidRPr="00584E78">
        <w:t xml:space="preserve">World Benchmarking Alliance, </w:t>
      </w:r>
      <w:hyperlink r:id="rId33" w:history="1">
        <w:r w:rsidRPr="00584E78">
          <w:rPr>
            <w:rStyle w:val="Hyperlink"/>
          </w:rPr>
          <w:t>Assessing the credibility of a company’s transition plan: framework and guidance</w:t>
        </w:r>
      </w:hyperlink>
      <w:r w:rsidRPr="00584E78">
        <w:t xml:space="preserve"> (2024), accessed 3 March 2026</w:t>
      </w:r>
      <w:r w:rsidR="00D13970">
        <w:t>.</w:t>
      </w:r>
    </w:p>
  </w:endnote>
  <w:endnote w:id="35">
    <w:p w14:paraId="3369D034" w14:textId="73435B76" w:rsidR="58601017" w:rsidRPr="00584E78" w:rsidRDefault="58601017" w:rsidP="00584E78">
      <w:pPr>
        <w:pStyle w:val="FootnoteText"/>
      </w:pPr>
      <w:r w:rsidRPr="00584E78">
        <w:rPr>
          <w:rStyle w:val="EndnoteReference"/>
          <w:vertAlign w:val="baseline"/>
        </w:rPr>
        <w:endnoteRef/>
      </w:r>
      <w:r w:rsidR="00584E78">
        <w:rPr>
          <w:rStyle w:val="EndnoteReference"/>
          <w:vertAlign w:val="baseline"/>
        </w:rPr>
        <w:tab/>
      </w:r>
      <w:r w:rsidR="16B4C155" w:rsidRPr="00584E78">
        <w:t>Greenhouse Gas Protocol</w:t>
      </w:r>
      <w:r w:rsidR="00E6738A">
        <w:t xml:space="preserve"> (GHG Protocol)</w:t>
      </w:r>
      <w:r w:rsidR="16B4C155" w:rsidRPr="00584E78">
        <w:t xml:space="preserve">, </w:t>
      </w:r>
      <w:hyperlink r:id="rId34" w:history="1">
        <w:r w:rsidR="16B4C155" w:rsidRPr="00584E78">
          <w:rPr>
            <w:rStyle w:val="Hyperlink"/>
          </w:rPr>
          <w:t>Corporate Value Chain (Scope 3) Standard</w:t>
        </w:r>
      </w:hyperlink>
      <w:r w:rsidR="16B4C155" w:rsidRPr="00584E78">
        <w:t xml:space="preserve"> (2011), </w:t>
      </w:r>
      <w:r w:rsidR="16B4C155" w:rsidRPr="00CE6BDB">
        <w:t>accessed</w:t>
      </w:r>
      <w:r w:rsidR="00D13970" w:rsidRPr="00CE6BDB">
        <w:t xml:space="preserve"> </w:t>
      </w:r>
      <w:r w:rsidR="003036F4" w:rsidRPr="00CE6BDB">
        <w:t>20</w:t>
      </w:r>
      <w:r w:rsidR="00AA53F7">
        <w:t> </w:t>
      </w:r>
      <w:r w:rsidR="003036F4" w:rsidRPr="00CE6BDB">
        <w:t>March</w:t>
      </w:r>
      <w:r w:rsidR="00AA53F7">
        <w:t> </w:t>
      </w:r>
      <w:r w:rsidR="003036F4" w:rsidRPr="00CE6BDB">
        <w:t>2026</w:t>
      </w:r>
      <w:r w:rsidR="00D13970" w:rsidRPr="00CE6BDB">
        <w:t>.</w:t>
      </w:r>
    </w:p>
  </w:endnote>
  <w:endnote w:id="36">
    <w:p w14:paraId="026AA8C8" w14:textId="037D3462" w:rsidR="00482D62" w:rsidRPr="00584E78" w:rsidRDefault="00482D62" w:rsidP="00584E78">
      <w:pPr>
        <w:pStyle w:val="FootnoteText"/>
      </w:pPr>
      <w:r w:rsidRPr="00584E78">
        <w:rPr>
          <w:rStyle w:val="EndnoteReference"/>
          <w:vertAlign w:val="baseline"/>
        </w:rPr>
        <w:endnoteRef/>
      </w:r>
      <w:r w:rsidR="00584E78">
        <w:tab/>
      </w:r>
      <w:r w:rsidR="008D23F5" w:rsidRPr="00D512BB">
        <w:t>I</w:t>
      </w:r>
      <w:r w:rsidR="00E74CEB">
        <w:t>nternational Organization for Standardization (</w:t>
      </w:r>
      <w:r w:rsidR="008D23F5" w:rsidRPr="00D512BB">
        <w:t>ISO</w:t>
      </w:r>
      <w:r w:rsidR="00E74CEB">
        <w:t>)</w:t>
      </w:r>
      <w:r w:rsidR="008D23F5" w:rsidRPr="00584E78">
        <w:t xml:space="preserve">, </w:t>
      </w:r>
      <w:hyperlink r:id="rId35" w:history="1">
        <w:r w:rsidR="00675F21" w:rsidRPr="00584E78">
          <w:rPr>
            <w:rStyle w:val="Hyperlink"/>
          </w:rPr>
          <w:t>ISO 31000 Risk management – Guidelines</w:t>
        </w:r>
      </w:hyperlink>
      <w:r w:rsidR="00675F21" w:rsidRPr="00584E78">
        <w:t xml:space="preserve"> (2018), accessed </w:t>
      </w:r>
      <w:r w:rsidR="00AF2B13" w:rsidRPr="00584E78">
        <w:t>24 February 2026</w:t>
      </w:r>
      <w:r w:rsidR="00D13970">
        <w:t>.</w:t>
      </w:r>
    </w:p>
  </w:endnote>
  <w:endnote w:id="37">
    <w:p w14:paraId="0A7C9934" w14:textId="1115952E" w:rsidR="00B96780" w:rsidRDefault="00B96780" w:rsidP="00CE6BDB">
      <w:pPr>
        <w:pStyle w:val="FootnoteText"/>
      </w:pPr>
      <w:r w:rsidRPr="00CE6BDB">
        <w:rPr>
          <w:rStyle w:val="EndnoteReference"/>
          <w:vertAlign w:val="baseline"/>
        </w:rPr>
        <w:endnoteRef/>
      </w:r>
      <w:r w:rsidR="00CE6BDB">
        <w:tab/>
      </w:r>
      <w:r>
        <w:t xml:space="preserve">ASIC, </w:t>
      </w:r>
      <w:hyperlink r:id="rId36" w:history="1">
        <w:r w:rsidR="009677FF">
          <w:rPr>
            <w:rStyle w:val="Hyperlink"/>
          </w:rPr>
          <w:t>Educational modules</w:t>
        </w:r>
      </w:hyperlink>
      <w:r w:rsidR="009677FF">
        <w:t xml:space="preserve"> (2026),</w:t>
      </w:r>
      <w:r>
        <w:t xml:space="preserve"> </w:t>
      </w:r>
      <w:r w:rsidR="00351823">
        <w:t>accessed 20 March 2026.</w:t>
      </w:r>
    </w:p>
  </w:endnote>
  <w:endnote w:id="38">
    <w:p w14:paraId="28396BD7" w14:textId="41C14E23" w:rsidR="00D228B3" w:rsidRPr="00584E78" w:rsidRDefault="00D228B3" w:rsidP="00584E78">
      <w:pPr>
        <w:pStyle w:val="FootnoteText"/>
      </w:pPr>
      <w:r w:rsidRPr="00584E78">
        <w:rPr>
          <w:rStyle w:val="EndnoteReference"/>
          <w:vertAlign w:val="baseline"/>
        </w:rPr>
        <w:endnoteRef/>
      </w:r>
      <w:r w:rsidR="00584E78">
        <w:tab/>
      </w:r>
      <w:r w:rsidR="00845F37" w:rsidRPr="00CE6BDB">
        <w:t>Dep</w:t>
      </w:r>
      <w:r w:rsidR="00845F37">
        <w:t>artment of Climate Change, Energy, the Environment and Water (</w:t>
      </w:r>
      <w:r>
        <w:t>DCCEEW</w:t>
      </w:r>
      <w:r w:rsidR="00845F37">
        <w:t>)</w:t>
      </w:r>
      <w:r w:rsidRPr="00584E78">
        <w:t xml:space="preserve">, </w:t>
      </w:r>
      <w:hyperlink r:id="rId37" w:history="1">
        <w:r w:rsidRPr="00584E78">
          <w:rPr>
            <w:rStyle w:val="Hyperlink"/>
          </w:rPr>
          <w:t>Future climate change</w:t>
        </w:r>
      </w:hyperlink>
      <w:r w:rsidR="00A17314">
        <w:t xml:space="preserve"> (2026)</w:t>
      </w:r>
      <w:r w:rsidRPr="00584E78">
        <w:t>, accessed 27 January 2026</w:t>
      </w:r>
      <w:r w:rsidR="00D13970">
        <w:t>.</w:t>
      </w:r>
    </w:p>
  </w:endnote>
  <w:endnote w:id="39">
    <w:p w14:paraId="124D05E2" w14:textId="0B156902" w:rsidR="00544D48" w:rsidRPr="00584E78" w:rsidRDefault="00544D48" w:rsidP="00584E78">
      <w:pPr>
        <w:pStyle w:val="FootnoteText"/>
      </w:pPr>
      <w:r w:rsidRPr="00584E78">
        <w:rPr>
          <w:rStyle w:val="EndnoteReference"/>
          <w:vertAlign w:val="baseline"/>
        </w:rPr>
        <w:endnoteRef/>
      </w:r>
      <w:r w:rsidR="00584E78">
        <w:tab/>
      </w:r>
      <w:r w:rsidR="00E1540E" w:rsidRPr="00584E78">
        <w:t xml:space="preserve">My Climate View, </w:t>
      </w:r>
      <w:hyperlink r:id="rId38" w:history="1">
        <w:r w:rsidR="00267C86" w:rsidRPr="00F82CC6">
          <w:rPr>
            <w:rStyle w:val="Hyperlink"/>
          </w:rPr>
          <w:t>Your location. Your commodity. Your climate</w:t>
        </w:r>
      </w:hyperlink>
      <w:r w:rsidR="00D56E0B" w:rsidRPr="00CE6BDB">
        <w:t xml:space="preserve"> (2026)</w:t>
      </w:r>
      <w:r w:rsidR="002464AF" w:rsidRPr="00CE6BDB">
        <w:t>, accessed</w:t>
      </w:r>
      <w:r w:rsidR="002464AF" w:rsidRPr="00584E78">
        <w:t xml:space="preserve"> 29 January 2026</w:t>
      </w:r>
      <w:r w:rsidR="00D13970">
        <w:t>.</w:t>
      </w:r>
    </w:p>
  </w:endnote>
  <w:endnote w:id="40">
    <w:p w14:paraId="5A0F4B08" w14:textId="6673522A" w:rsidR="00005826" w:rsidRPr="00005826" w:rsidRDefault="00005826" w:rsidP="00005826">
      <w:pPr>
        <w:pStyle w:val="FootnoteText"/>
        <w:rPr>
          <w:rStyle w:val="FootnoteReference"/>
        </w:rPr>
      </w:pPr>
      <w:r w:rsidRPr="00005826">
        <w:rPr>
          <w:rStyle w:val="EndnoteReference"/>
          <w:vertAlign w:val="baseline"/>
        </w:rPr>
        <w:endnoteRef/>
      </w:r>
      <w:r w:rsidRPr="00005826">
        <w:rPr>
          <w:rStyle w:val="EndnoteReference"/>
          <w:vertAlign w:val="baseline"/>
        </w:rPr>
        <w:t xml:space="preserve"> </w:t>
      </w:r>
      <w:r w:rsidRPr="00005826">
        <w:rPr>
          <w:rStyle w:val="FootnoteReference"/>
        </w:rPr>
        <w:tab/>
      </w:r>
      <w:r>
        <w:t xml:space="preserve">Australian Centre for Disease Control, </w:t>
      </w:r>
      <w:hyperlink r:id="rId39" w:history="1">
        <w:r w:rsidRPr="004A5723">
          <w:rPr>
            <w:rStyle w:val="Hyperlink"/>
          </w:rPr>
          <w:t>Climate and health</w:t>
        </w:r>
      </w:hyperlink>
      <w:r>
        <w:t>, accessed 22 June 2026.</w:t>
      </w:r>
    </w:p>
  </w:endnote>
  <w:endnote w:id="41">
    <w:p w14:paraId="425BC5DB" w14:textId="5FBC555B" w:rsidR="00E8381D" w:rsidRPr="00584E78" w:rsidRDefault="00E8381D" w:rsidP="00584E78">
      <w:pPr>
        <w:pStyle w:val="FootnoteText"/>
      </w:pPr>
      <w:r w:rsidRPr="00584E78">
        <w:rPr>
          <w:rStyle w:val="EndnoteReference"/>
          <w:vertAlign w:val="baseline"/>
        </w:rPr>
        <w:endnoteRef/>
      </w:r>
      <w:r w:rsidR="00584E78">
        <w:tab/>
      </w:r>
      <w:r w:rsidR="00FE5DD0">
        <w:t>Intergovernmental Panel on Climate Change</w:t>
      </w:r>
      <w:r w:rsidR="00164C8B" w:rsidRPr="00584E78">
        <w:t xml:space="preserve">, </w:t>
      </w:r>
      <w:hyperlink r:id="rId40" w:history="1">
        <w:r w:rsidR="00164C8B" w:rsidRPr="00584E78">
          <w:rPr>
            <w:rStyle w:val="Hyperlink"/>
          </w:rPr>
          <w:t>Glossary</w:t>
        </w:r>
      </w:hyperlink>
      <w:r w:rsidR="00ED5C41">
        <w:t xml:space="preserve"> (2022)</w:t>
      </w:r>
      <w:r w:rsidR="00164C8B" w:rsidRPr="00584E78">
        <w:t>, accessed 22 January 2026</w:t>
      </w:r>
      <w:r w:rsidR="00D13970">
        <w:t>.</w:t>
      </w:r>
    </w:p>
  </w:endnote>
  <w:endnote w:id="42">
    <w:p w14:paraId="64FEEDC7" w14:textId="572370DA" w:rsidR="004F1B8F" w:rsidRPr="00584E78" w:rsidRDefault="004F1B8F" w:rsidP="00584E78">
      <w:pPr>
        <w:pStyle w:val="FootnoteText"/>
      </w:pPr>
      <w:r w:rsidRPr="00584E78">
        <w:rPr>
          <w:rStyle w:val="EndnoteReference"/>
          <w:vertAlign w:val="baseline"/>
        </w:rPr>
        <w:endnoteRef/>
      </w:r>
      <w:r w:rsidR="00584E78">
        <w:tab/>
      </w:r>
      <w:r w:rsidR="00845F37">
        <w:t>TPT</w:t>
      </w:r>
      <w:r w:rsidR="00616E48" w:rsidRPr="00584E78">
        <w:t xml:space="preserve">, </w:t>
      </w:r>
      <w:hyperlink r:id="rId41" w:history="1">
        <w:r w:rsidR="009B5DEB" w:rsidRPr="00584E78">
          <w:rPr>
            <w:rStyle w:val="Hyperlink"/>
          </w:rPr>
          <w:t>Building Climate-ready Transition Plans</w:t>
        </w:r>
        <w:r w:rsidR="0049501C" w:rsidRPr="00584E78">
          <w:rPr>
            <w:rStyle w:val="Hyperlink"/>
          </w:rPr>
          <w:t>: Including adaptation and resilience for comprehensive transition planning approaches</w:t>
        </w:r>
      </w:hyperlink>
      <w:r w:rsidR="00CC6564" w:rsidRPr="00584E78">
        <w:t xml:space="preserve"> (2024)</w:t>
      </w:r>
      <w:r w:rsidR="0049501C" w:rsidRPr="00584E78">
        <w:t>,</w:t>
      </w:r>
      <w:r w:rsidR="00CC6564" w:rsidRPr="00584E78">
        <w:t xml:space="preserve"> accessed 24 February 2026</w:t>
      </w:r>
      <w:r w:rsidR="00D13970">
        <w:t>.</w:t>
      </w:r>
      <w:r w:rsidR="0049501C" w:rsidRPr="00584E78">
        <w:t xml:space="preserve"> </w:t>
      </w:r>
    </w:p>
  </w:endnote>
  <w:endnote w:id="43">
    <w:p w14:paraId="2B49916B" w14:textId="5DB64346" w:rsidR="005E7429" w:rsidRDefault="005E7429" w:rsidP="00771B76">
      <w:pPr>
        <w:pStyle w:val="FootnoteText"/>
      </w:pPr>
      <w:r w:rsidRPr="00771B76">
        <w:rPr>
          <w:rStyle w:val="EndnoteReference"/>
          <w:vertAlign w:val="baseline"/>
        </w:rPr>
        <w:endnoteRef/>
      </w:r>
      <w:r w:rsidR="00771B76">
        <w:tab/>
      </w:r>
      <w:r w:rsidR="00186AE7">
        <w:t xml:space="preserve">Global Reporting Initiative, </w:t>
      </w:r>
      <w:hyperlink r:id="rId42" w:history="1">
        <w:r w:rsidR="00186AE7" w:rsidRPr="00186AE7">
          <w:rPr>
            <w:rStyle w:val="Hyperlink"/>
          </w:rPr>
          <w:t>GRI Standards</w:t>
        </w:r>
      </w:hyperlink>
      <w:r w:rsidR="00186AE7">
        <w:t>, accessed 16 March 2026</w:t>
      </w:r>
      <w:r w:rsidR="00A17314">
        <w:t>.</w:t>
      </w:r>
    </w:p>
  </w:endnote>
  <w:endnote w:id="44">
    <w:p w14:paraId="02C49749" w14:textId="2B6E7C63" w:rsidR="00631ECE" w:rsidRPr="00584E78" w:rsidRDefault="00771B76" w:rsidP="00584E78">
      <w:pPr>
        <w:pStyle w:val="FootnoteText"/>
      </w:pPr>
      <w:r>
        <w:t>4</w:t>
      </w:r>
      <w:r w:rsidR="003839CE">
        <w:t>5</w:t>
      </w:r>
      <w:r w:rsidR="004958A6">
        <w:tab/>
      </w:r>
      <w:r w:rsidR="006F4640" w:rsidRPr="00A17314">
        <w:t>Taskforce on Nature</w:t>
      </w:r>
      <w:r w:rsidR="006F4640" w:rsidRPr="00A17314">
        <w:noBreakHyphen/>
        <w:t>related Financial Disclosures</w:t>
      </w:r>
      <w:r w:rsidR="006F4640">
        <w:t xml:space="preserve"> (TNFD), </w:t>
      </w:r>
      <w:hyperlink r:id="rId43" w:anchor="publication-content" w:history="1">
        <w:r w:rsidR="00FF540F" w:rsidRPr="00FF540F">
          <w:rPr>
            <w:rStyle w:val="Hyperlink"/>
          </w:rPr>
          <w:t>Taskforce on Nature-related Financial Disclosures (TNFD) Recommendations</w:t>
        </w:r>
      </w:hyperlink>
      <w:r w:rsidR="00FF540F">
        <w:t xml:space="preserve"> (2025)</w:t>
      </w:r>
      <w:r w:rsidR="00217B96">
        <w:t>, accessed 20 March 2026.</w:t>
      </w:r>
    </w:p>
  </w:endnote>
  <w:endnote w:id="45">
    <w:p w14:paraId="5FD71683" w14:textId="52E536B4" w:rsidR="00A556FA" w:rsidRPr="00584E78" w:rsidRDefault="00A556FA" w:rsidP="00A556FA">
      <w:pPr>
        <w:pStyle w:val="FootnoteText"/>
      </w:pPr>
      <w:r w:rsidRPr="00584E78">
        <w:rPr>
          <w:rStyle w:val="EndnoteReference"/>
          <w:vertAlign w:val="baseline"/>
        </w:rPr>
        <w:endnoteRef/>
      </w:r>
      <w:r>
        <w:tab/>
      </w:r>
      <w:r w:rsidRPr="00584E78">
        <w:t xml:space="preserve">DCCEEW, </w:t>
      </w:r>
      <w:hyperlink r:id="rId44" w:anchor="toc_2" w:history="1">
        <w:r w:rsidRPr="00584E78">
          <w:rPr>
            <w:rStyle w:val="Hyperlink"/>
          </w:rPr>
          <w:t>TNFD Pilots – Australian case study report</w:t>
        </w:r>
      </w:hyperlink>
      <w:r w:rsidRPr="00584E78">
        <w:t xml:space="preserve"> (2023), accessed 14 January 2026</w:t>
      </w:r>
      <w:r>
        <w:t>.</w:t>
      </w:r>
    </w:p>
  </w:endnote>
  <w:endnote w:id="46">
    <w:p w14:paraId="1A39F3D4" w14:textId="3ECF4B68" w:rsidR="00567C38" w:rsidRPr="004958A6" w:rsidRDefault="00567C38" w:rsidP="004958A6">
      <w:pPr>
        <w:pStyle w:val="FootnoteText"/>
        <w:rPr>
          <w:rStyle w:val="FootnoteTextChar"/>
        </w:rPr>
      </w:pPr>
      <w:r w:rsidRPr="004958A6">
        <w:rPr>
          <w:rStyle w:val="EndnoteReference"/>
          <w:vertAlign w:val="baseline"/>
        </w:rPr>
        <w:endnoteRef/>
      </w:r>
      <w:r w:rsidR="004958A6">
        <w:tab/>
      </w:r>
      <w:r w:rsidR="006F4640">
        <w:t>TNFD</w:t>
      </w:r>
      <w:r w:rsidRPr="004958A6">
        <w:t xml:space="preserve">, </w:t>
      </w:r>
      <w:hyperlink r:id="rId45" w:anchor="publication-content" w:history="1">
        <w:r w:rsidRPr="004958A6">
          <w:rPr>
            <w:rStyle w:val="Hyperlink"/>
          </w:rPr>
          <w:t>Guidance on nature in transition plans</w:t>
        </w:r>
        <w:r w:rsidRPr="00A17314">
          <w:rPr>
            <w:rStyle w:val="Hyperlink"/>
          </w:rPr>
          <w:t xml:space="preserve"> (</w:t>
        </w:r>
      </w:hyperlink>
      <w:r w:rsidRPr="004958A6">
        <w:t>2025), accessed 14 January 2026</w:t>
      </w:r>
      <w:r w:rsidR="00FD282E" w:rsidRPr="004958A6">
        <w:t>.</w:t>
      </w:r>
    </w:p>
  </w:endnote>
  <w:endnote w:id="47">
    <w:p w14:paraId="2514C252" w14:textId="7F042C31" w:rsidR="00520F9E" w:rsidRDefault="00520F9E" w:rsidP="004958A6">
      <w:pPr>
        <w:pStyle w:val="FootnoteText"/>
      </w:pPr>
      <w:r w:rsidRPr="004958A6">
        <w:rPr>
          <w:rStyle w:val="EndnoteReference"/>
          <w:vertAlign w:val="baseline"/>
        </w:rPr>
        <w:endnoteRef/>
      </w:r>
      <w:r w:rsidR="004958A6">
        <w:tab/>
      </w:r>
      <w:r w:rsidR="003A6033">
        <w:t>IEA</w:t>
      </w:r>
      <w:r>
        <w:t>,</w:t>
      </w:r>
      <w:r w:rsidRPr="00444D4A">
        <w:t xml:space="preserve"> </w:t>
      </w:r>
      <w:hyperlink r:id="rId46" w:history="1">
        <w:r w:rsidRPr="00FA2C88">
          <w:rPr>
            <w:rStyle w:val="Hyperlink"/>
          </w:rPr>
          <w:t>Net Zero Emissions by 2050 Scenario</w:t>
        </w:r>
      </w:hyperlink>
      <w:r w:rsidR="00234561">
        <w:t xml:space="preserve"> (2025)</w:t>
      </w:r>
      <w:r>
        <w:t xml:space="preserve">, accessed </w:t>
      </w:r>
      <w:r w:rsidR="00FD282E">
        <w:t>20 March 2026.</w:t>
      </w:r>
    </w:p>
  </w:endnote>
  <w:endnote w:id="48">
    <w:p w14:paraId="25723D73" w14:textId="381AACD5" w:rsidR="003977A3" w:rsidRDefault="003977A3" w:rsidP="004958A6">
      <w:pPr>
        <w:pStyle w:val="FootnoteText"/>
      </w:pPr>
      <w:r w:rsidRPr="004958A6">
        <w:rPr>
          <w:rStyle w:val="EndnoteReference"/>
          <w:vertAlign w:val="baseline"/>
        </w:rPr>
        <w:endnoteRef/>
      </w:r>
      <w:r w:rsidR="004958A6">
        <w:tab/>
      </w:r>
      <w:r w:rsidR="002C2092">
        <w:t>NGFS</w:t>
      </w:r>
      <w:r>
        <w:t xml:space="preserve">, </w:t>
      </w:r>
      <w:hyperlink r:id="rId47" w:history="1">
        <w:r w:rsidRPr="00C47DE3">
          <w:rPr>
            <w:rStyle w:val="Hyperlink"/>
          </w:rPr>
          <w:t>NGFS Climate Scenarios for central banks and supervisors</w:t>
        </w:r>
      </w:hyperlink>
      <w:r w:rsidR="0025567B">
        <w:t xml:space="preserve"> (2022)</w:t>
      </w:r>
      <w:r w:rsidR="00864442">
        <w:t xml:space="preserve">, accessed </w:t>
      </w:r>
      <w:r w:rsidR="0025567B">
        <w:t>20 March 2026.</w:t>
      </w:r>
    </w:p>
  </w:endnote>
  <w:endnote w:id="49">
    <w:p w14:paraId="12959597" w14:textId="0481F968" w:rsidR="00B563A8" w:rsidRPr="00584E78" w:rsidRDefault="00B563A8" w:rsidP="00B563A8">
      <w:pPr>
        <w:pStyle w:val="FootnoteText"/>
      </w:pPr>
      <w:r w:rsidRPr="00584E78">
        <w:rPr>
          <w:rStyle w:val="EndnoteReference"/>
          <w:vertAlign w:val="baseline"/>
        </w:rPr>
        <w:endnoteRef/>
      </w:r>
      <w:r>
        <w:tab/>
      </w:r>
      <w:r w:rsidRPr="00584E78">
        <w:t>Task Force on Climate-related Financial Disclosures</w:t>
      </w:r>
      <w:hyperlink r:id="rId48" w:anchor="recommendations" w:history="1">
        <w:r w:rsidRPr="00F00070">
          <w:rPr>
            <w:rStyle w:val="Hyperlink"/>
          </w:rPr>
          <w:t>, Guidance on Scenario Analysis for Non-Financial Companies</w:t>
        </w:r>
      </w:hyperlink>
      <w:r w:rsidRPr="00584E78">
        <w:t xml:space="preserve"> (2020), accessed </w:t>
      </w:r>
      <w:r w:rsidR="00F00070">
        <w:t>11</w:t>
      </w:r>
      <w:r w:rsidR="00F00070" w:rsidRPr="00584E78">
        <w:t xml:space="preserve"> </w:t>
      </w:r>
      <w:r w:rsidR="00F00070">
        <w:t>August</w:t>
      </w:r>
      <w:r w:rsidR="00F00070" w:rsidRPr="00584E78">
        <w:t xml:space="preserve"> </w:t>
      </w:r>
      <w:r w:rsidRPr="00584E78">
        <w:t>2026</w:t>
      </w:r>
      <w:r>
        <w:t>.</w:t>
      </w:r>
    </w:p>
  </w:endnote>
  <w:endnote w:id="50">
    <w:p w14:paraId="3BA67556" w14:textId="55E3A422" w:rsidR="008A2678" w:rsidRPr="00584E78" w:rsidRDefault="008A2678" w:rsidP="00584E78">
      <w:pPr>
        <w:pStyle w:val="FootnoteText"/>
      </w:pPr>
      <w:r w:rsidRPr="00584E78">
        <w:rPr>
          <w:rStyle w:val="EndnoteReference"/>
          <w:vertAlign w:val="baseline"/>
        </w:rPr>
        <w:endnoteRef/>
      </w:r>
      <w:r w:rsidR="00584E78">
        <w:tab/>
      </w:r>
      <w:r w:rsidRPr="00584E78">
        <w:rPr>
          <w:lang w:eastAsia="en-US"/>
        </w:rPr>
        <w:t>IFRS</w:t>
      </w:r>
      <w:r w:rsidR="00A17314">
        <w:rPr>
          <w:lang w:eastAsia="en-US"/>
        </w:rPr>
        <w:t>,</w:t>
      </w:r>
      <w:r w:rsidRPr="005E3FEF">
        <w:rPr>
          <w:lang w:eastAsia="en-US"/>
        </w:rPr>
        <w:t xml:space="preserve"> </w:t>
      </w:r>
      <w:hyperlink r:id="rId49" w:history="1">
        <w:r w:rsidRPr="00584E78">
          <w:rPr>
            <w:rStyle w:val="Hyperlink"/>
            <w:lang w:eastAsia="en-US"/>
          </w:rPr>
          <w:t>Climate-related Disclosures: Using scenario analysis to assess climate resilience (Staff paper</w:t>
        </w:r>
        <w:r w:rsidR="00A33612">
          <w:rPr>
            <w:rStyle w:val="Hyperlink"/>
            <w:lang w:eastAsia="en-US"/>
          </w:rPr>
          <w:t>)</w:t>
        </w:r>
      </w:hyperlink>
      <w:r w:rsidR="00A33612">
        <w:t xml:space="preserve"> </w:t>
      </w:r>
      <w:r w:rsidR="00A17314" w:rsidRPr="005E3FEF">
        <w:rPr>
          <w:lang w:eastAsia="en-US"/>
        </w:rPr>
        <w:t>(2023)</w:t>
      </w:r>
      <w:r w:rsidRPr="00584E78">
        <w:rPr>
          <w:lang w:eastAsia="en-US"/>
        </w:rPr>
        <w:t>, accessed 30 January 2026</w:t>
      </w:r>
      <w:r w:rsidR="000C09D5">
        <w:rPr>
          <w:lang w:eastAsia="en-US"/>
        </w:rPr>
        <w:t>.</w:t>
      </w:r>
    </w:p>
  </w:endnote>
  <w:endnote w:id="51">
    <w:p w14:paraId="482A72F1" w14:textId="70BFA798" w:rsidR="003E6788" w:rsidRDefault="003E6788" w:rsidP="004958A6">
      <w:pPr>
        <w:pStyle w:val="FootnoteText"/>
      </w:pPr>
      <w:r w:rsidRPr="004958A6">
        <w:rPr>
          <w:rStyle w:val="EndnoteReference"/>
          <w:vertAlign w:val="baseline"/>
        </w:rPr>
        <w:endnoteRef/>
      </w:r>
      <w:r w:rsidR="004958A6">
        <w:tab/>
      </w:r>
      <w:r w:rsidR="002C2092">
        <w:t>NGFS</w:t>
      </w:r>
      <w:r w:rsidR="00182CB2">
        <w:rPr>
          <w:szCs w:val="22"/>
        </w:rPr>
        <w:t>,</w:t>
      </w:r>
      <w:r w:rsidR="00182CB2" w:rsidRPr="00182CB2">
        <w:rPr>
          <w:szCs w:val="22"/>
        </w:rPr>
        <w:t xml:space="preserve"> </w:t>
      </w:r>
      <w:hyperlink r:id="rId50" w:history="1">
        <w:r w:rsidR="00182CB2" w:rsidRPr="00F82CC6">
          <w:rPr>
            <w:rStyle w:val="Hyperlink"/>
            <w:bCs/>
          </w:rPr>
          <w:t>Interactions between Climate Scenario Analysis and Transition Plans</w:t>
        </w:r>
      </w:hyperlink>
      <w:r w:rsidR="009B162E">
        <w:t xml:space="preserve"> (2025)</w:t>
      </w:r>
      <w:r w:rsidR="00182CB2">
        <w:t xml:space="preserve">, accessed </w:t>
      </w:r>
      <w:r w:rsidR="009B162E">
        <w:t>20</w:t>
      </w:r>
      <w:r w:rsidR="00AA53F7">
        <w:t> </w:t>
      </w:r>
      <w:r w:rsidR="009B162E">
        <w:t>March</w:t>
      </w:r>
      <w:r w:rsidR="00AA53F7">
        <w:t> </w:t>
      </w:r>
      <w:r w:rsidR="009B162E">
        <w:t>2026.</w:t>
      </w:r>
    </w:p>
  </w:endnote>
  <w:endnote w:id="52">
    <w:p w14:paraId="0ABC5DA2" w14:textId="153E09E4" w:rsidR="00B4015F" w:rsidRDefault="00B4015F" w:rsidP="004958A6">
      <w:pPr>
        <w:pStyle w:val="FootnoteText"/>
      </w:pPr>
      <w:r w:rsidRPr="004958A6">
        <w:rPr>
          <w:rStyle w:val="EndnoteReference"/>
          <w:vertAlign w:val="baseline"/>
        </w:rPr>
        <w:endnoteRef/>
      </w:r>
      <w:r w:rsidR="004958A6">
        <w:tab/>
      </w:r>
      <w:r w:rsidR="001B475E">
        <w:t>Clean Energy Regulator (</w:t>
      </w:r>
      <w:r w:rsidR="005273E9">
        <w:t>CER</w:t>
      </w:r>
      <w:r w:rsidR="001B475E">
        <w:t>)</w:t>
      </w:r>
      <w:r w:rsidR="005273E9">
        <w:t xml:space="preserve">, </w:t>
      </w:r>
      <w:hyperlink r:id="rId51" w:history="1">
        <w:r w:rsidRPr="0003529B">
          <w:rPr>
            <w:rStyle w:val="Hyperlink"/>
          </w:rPr>
          <w:t>National Greenhouse and Energy Reporting Scheme</w:t>
        </w:r>
      </w:hyperlink>
      <w:r w:rsidR="00E44DED">
        <w:t xml:space="preserve"> (2026)</w:t>
      </w:r>
      <w:r w:rsidR="005273E9">
        <w:t xml:space="preserve">, accessed </w:t>
      </w:r>
      <w:r w:rsidR="00E44DED">
        <w:t>20</w:t>
      </w:r>
      <w:r w:rsidR="00AA53F7">
        <w:t> </w:t>
      </w:r>
      <w:r w:rsidR="00E44DED">
        <w:t>March</w:t>
      </w:r>
      <w:r w:rsidR="00AA53F7">
        <w:t> </w:t>
      </w:r>
      <w:r w:rsidR="00E44DED">
        <w:t>2026.</w:t>
      </w:r>
    </w:p>
  </w:endnote>
  <w:endnote w:id="53">
    <w:p w14:paraId="01706C48" w14:textId="09B7E493" w:rsidR="009B1249" w:rsidRPr="00584E78" w:rsidRDefault="009B1249" w:rsidP="00584E78">
      <w:pPr>
        <w:pStyle w:val="FootnoteText"/>
      </w:pPr>
      <w:r w:rsidRPr="00584E78">
        <w:rPr>
          <w:rStyle w:val="EndnoteReference"/>
          <w:vertAlign w:val="baseline"/>
        </w:rPr>
        <w:endnoteRef/>
      </w:r>
      <w:r w:rsidR="00584E78">
        <w:tab/>
      </w:r>
      <w:r w:rsidR="0037324A">
        <w:t>G</w:t>
      </w:r>
      <w:r w:rsidR="003C5938">
        <w:t>HG Protocol</w:t>
      </w:r>
      <w:r w:rsidRPr="00584E78">
        <w:t xml:space="preserve">, </w:t>
      </w:r>
      <w:hyperlink r:id="rId52" w:history="1">
        <w:r w:rsidRPr="00584E78">
          <w:rPr>
            <w:rStyle w:val="Hyperlink"/>
          </w:rPr>
          <w:t xml:space="preserve">Corporate </w:t>
        </w:r>
        <w:r w:rsidR="00956113">
          <w:rPr>
            <w:rStyle w:val="Hyperlink"/>
          </w:rPr>
          <w:t xml:space="preserve">Accounting and Reporting </w:t>
        </w:r>
        <w:r w:rsidRPr="00584E78">
          <w:rPr>
            <w:rStyle w:val="Hyperlink"/>
          </w:rPr>
          <w:t>Standard</w:t>
        </w:r>
      </w:hyperlink>
      <w:r w:rsidRPr="00584E78">
        <w:t xml:space="preserve"> (</w:t>
      </w:r>
      <w:r w:rsidR="005A2BD2" w:rsidRPr="00584E78">
        <w:t>2004), accessed 14 January 2026</w:t>
      </w:r>
      <w:r w:rsidR="00A33612">
        <w:t>.</w:t>
      </w:r>
    </w:p>
  </w:endnote>
  <w:endnote w:id="54">
    <w:p w14:paraId="3020F8E7" w14:textId="516BB200" w:rsidR="0003529B" w:rsidRPr="00584E78" w:rsidRDefault="0003529B" w:rsidP="0003529B">
      <w:pPr>
        <w:pStyle w:val="FootnoteText"/>
      </w:pPr>
      <w:r w:rsidRPr="00584E78">
        <w:rPr>
          <w:rStyle w:val="EndnoteReference"/>
          <w:vertAlign w:val="baseline"/>
        </w:rPr>
        <w:endnoteRef/>
      </w:r>
      <w:r>
        <w:tab/>
      </w:r>
      <w:r w:rsidR="0010496A">
        <w:t>GHG</w:t>
      </w:r>
      <w:r w:rsidR="00E61C77" w:rsidRPr="00584E78">
        <w:t xml:space="preserve"> Protocol</w:t>
      </w:r>
      <w:r w:rsidRPr="00584E78">
        <w:t xml:space="preserve">, </w:t>
      </w:r>
      <w:hyperlink r:id="rId53" w:history="1">
        <w:r w:rsidRPr="00584E78">
          <w:rPr>
            <w:rStyle w:val="Hyperlink"/>
          </w:rPr>
          <w:t>Corporate Value Chain (Scope 3) Standard</w:t>
        </w:r>
      </w:hyperlink>
      <w:r w:rsidRPr="00584E78">
        <w:t>, accessed 3 February 2026</w:t>
      </w:r>
      <w:r w:rsidR="006D5A6C">
        <w:t>.</w:t>
      </w:r>
    </w:p>
  </w:endnote>
  <w:endnote w:id="55">
    <w:p w14:paraId="359FA90A" w14:textId="12B0B8D0" w:rsidR="00425653" w:rsidRPr="00584E78" w:rsidRDefault="00425653" w:rsidP="00584E78">
      <w:pPr>
        <w:pStyle w:val="FootnoteText"/>
      </w:pPr>
      <w:r w:rsidRPr="00584E78">
        <w:rPr>
          <w:rStyle w:val="EndnoteReference"/>
          <w:vertAlign w:val="baseline"/>
        </w:rPr>
        <w:endnoteRef/>
      </w:r>
      <w:r w:rsidR="00584E78">
        <w:tab/>
      </w:r>
      <w:r w:rsidR="0010496A">
        <w:t>GHG</w:t>
      </w:r>
      <w:r w:rsidRPr="00584E78">
        <w:t xml:space="preserve"> Protocol, </w:t>
      </w:r>
      <w:hyperlink r:id="rId54" w:history="1">
        <w:r w:rsidRPr="00584E78">
          <w:rPr>
            <w:rStyle w:val="Hyperlink"/>
          </w:rPr>
          <w:t>Land Sector and Removals Standard</w:t>
        </w:r>
      </w:hyperlink>
      <w:r w:rsidR="00A002E3">
        <w:t xml:space="preserve"> (2026)</w:t>
      </w:r>
      <w:r w:rsidR="00AE05B8" w:rsidRPr="00584E78">
        <w:t>, accessed 3 March 2026</w:t>
      </w:r>
      <w:r w:rsidR="006D5A6C">
        <w:t>.</w:t>
      </w:r>
    </w:p>
  </w:endnote>
  <w:endnote w:id="56">
    <w:p w14:paraId="126901D1" w14:textId="4A68C863" w:rsidR="00B563A8" w:rsidRPr="00584E78" w:rsidRDefault="00B563A8" w:rsidP="00B563A8">
      <w:pPr>
        <w:pStyle w:val="FootnoteText"/>
      </w:pPr>
      <w:r w:rsidRPr="00584E78">
        <w:rPr>
          <w:rStyle w:val="EndnoteReference"/>
          <w:vertAlign w:val="baseline"/>
        </w:rPr>
        <w:endnoteRef/>
      </w:r>
      <w:r>
        <w:tab/>
        <w:t>Science Based Targets Initiative (</w:t>
      </w:r>
      <w:r w:rsidRPr="00584E78">
        <w:t>SBTI</w:t>
      </w:r>
      <w:r>
        <w:t>)</w:t>
      </w:r>
      <w:r w:rsidRPr="00584E78">
        <w:t xml:space="preserve">, </w:t>
      </w:r>
      <w:hyperlink r:id="rId55" w:history="1">
        <w:r w:rsidRPr="00584E78">
          <w:rPr>
            <w:rStyle w:val="Hyperlink"/>
          </w:rPr>
          <w:t>Forest, Land and Agriculture Science-Based Target-Setting Guidance</w:t>
        </w:r>
      </w:hyperlink>
      <w:r w:rsidRPr="00584E78">
        <w:t xml:space="preserve"> (2023), accessed 3 March 2026</w:t>
      </w:r>
      <w:r>
        <w:t>.</w:t>
      </w:r>
      <w:r w:rsidRPr="00584E78">
        <w:t xml:space="preserve"> </w:t>
      </w:r>
    </w:p>
  </w:endnote>
  <w:endnote w:id="57">
    <w:p w14:paraId="30B13CF7" w14:textId="7EC9A327" w:rsidR="00441DF2" w:rsidRDefault="00441DF2" w:rsidP="004958A6">
      <w:pPr>
        <w:pStyle w:val="FootnoteText"/>
      </w:pPr>
      <w:r w:rsidRPr="004958A6">
        <w:rPr>
          <w:rStyle w:val="EndnoteReference"/>
          <w:vertAlign w:val="baseline"/>
        </w:rPr>
        <w:endnoteRef/>
      </w:r>
      <w:r w:rsidR="004958A6">
        <w:tab/>
      </w:r>
      <w:r w:rsidR="00B027B1" w:rsidRPr="000D29CB">
        <w:rPr>
          <w:bCs/>
        </w:rPr>
        <w:t>Partnership for Carbon</w:t>
      </w:r>
      <w:r w:rsidR="0065756E" w:rsidRPr="00B027B1">
        <w:t xml:space="preserve"> Accounting </w:t>
      </w:r>
      <w:r w:rsidR="00B027B1" w:rsidRPr="000D29CB">
        <w:rPr>
          <w:bCs/>
        </w:rPr>
        <w:t>Financials</w:t>
      </w:r>
      <w:r>
        <w:t xml:space="preserve">, </w:t>
      </w:r>
      <w:hyperlink r:id="rId56" w:history="1">
        <w:r w:rsidR="0065756E" w:rsidRPr="00B027B1">
          <w:rPr>
            <w:rStyle w:val="Hyperlink"/>
          </w:rPr>
          <w:t>The Global GHG Accounting &amp; Reporting Standard</w:t>
        </w:r>
      </w:hyperlink>
      <w:r w:rsidR="0065756E">
        <w:t xml:space="preserve"> (</w:t>
      </w:r>
      <w:r w:rsidR="00922118">
        <w:t>2022)</w:t>
      </w:r>
      <w:r>
        <w:t xml:space="preserve"> accessed</w:t>
      </w:r>
      <w:r w:rsidR="00922118">
        <w:t xml:space="preserve"> 20 March 2026</w:t>
      </w:r>
      <w:r w:rsidR="00913828">
        <w:t>.</w:t>
      </w:r>
    </w:p>
  </w:endnote>
  <w:endnote w:id="58">
    <w:p w14:paraId="200EF989" w14:textId="7A3C96CD" w:rsidR="00B563A8" w:rsidRDefault="00B563A8" w:rsidP="00B563A8">
      <w:pPr>
        <w:pStyle w:val="FootnoteText"/>
      </w:pPr>
      <w:r w:rsidRPr="004958A6">
        <w:rPr>
          <w:rStyle w:val="EndnoteReference"/>
          <w:vertAlign w:val="baseline"/>
        </w:rPr>
        <w:endnoteRef/>
      </w:r>
      <w:r>
        <w:tab/>
      </w:r>
      <w:r w:rsidR="0010496A">
        <w:t>GHG</w:t>
      </w:r>
      <w:r w:rsidRPr="00584E78">
        <w:t xml:space="preserve"> Protocol</w:t>
      </w:r>
      <w:r w:rsidRPr="00913828">
        <w:t>,</w:t>
      </w:r>
      <w:r>
        <w:t xml:space="preserve"> </w:t>
      </w:r>
      <w:hyperlink r:id="rId57" w:history="1">
        <w:r w:rsidRPr="00913828">
          <w:rPr>
            <w:rStyle w:val="Hyperlink"/>
          </w:rPr>
          <w:t xml:space="preserve">Standards </w:t>
        </w:r>
        <w:r>
          <w:rPr>
            <w:rStyle w:val="Hyperlink"/>
          </w:rPr>
          <w:t>&amp;</w:t>
        </w:r>
        <w:r w:rsidRPr="00913828">
          <w:rPr>
            <w:rStyle w:val="Hyperlink"/>
          </w:rPr>
          <w:t xml:space="preserve"> Guidance</w:t>
        </w:r>
      </w:hyperlink>
      <w:r>
        <w:t xml:space="preserve"> (2026), accessed 20 March 2026.</w:t>
      </w:r>
    </w:p>
  </w:endnote>
  <w:endnote w:id="59">
    <w:p w14:paraId="5F2C18A8" w14:textId="6FD89545" w:rsidR="00D23EB3" w:rsidRPr="00584E78" w:rsidRDefault="00D23EB3" w:rsidP="00584E78">
      <w:pPr>
        <w:pStyle w:val="FootnoteText"/>
      </w:pPr>
      <w:r w:rsidRPr="00584E78">
        <w:rPr>
          <w:rStyle w:val="EndnoteReference"/>
          <w:vertAlign w:val="baseline"/>
        </w:rPr>
        <w:endnoteRef/>
      </w:r>
      <w:r w:rsidR="00584E78">
        <w:tab/>
      </w:r>
      <w:r w:rsidRPr="00584E78">
        <w:t xml:space="preserve">DCCEEW, </w:t>
      </w:r>
      <w:hyperlink r:id="rId58" w:history="1">
        <w:r w:rsidRPr="00584E78">
          <w:rPr>
            <w:rStyle w:val="Hyperlink"/>
          </w:rPr>
          <w:t>Voluntary emissions estimation and reporting standards – agriculture, fisheries and forestry</w:t>
        </w:r>
      </w:hyperlink>
      <w:r w:rsidRPr="00584E78">
        <w:t xml:space="preserve"> (2025), accessed 14 January 2026</w:t>
      </w:r>
      <w:r w:rsidR="00A002E3">
        <w:t>.</w:t>
      </w:r>
    </w:p>
  </w:endnote>
  <w:endnote w:id="60">
    <w:p w14:paraId="21979003" w14:textId="5D39EE5E" w:rsidR="00EA137C" w:rsidRDefault="00EA137C" w:rsidP="00F82CC6">
      <w:pPr>
        <w:pStyle w:val="FootnoteText"/>
      </w:pPr>
      <w:r w:rsidRPr="00F82CC6">
        <w:rPr>
          <w:rStyle w:val="EndnoteReference"/>
          <w:vertAlign w:val="baseline"/>
        </w:rPr>
        <w:endnoteRef/>
      </w:r>
      <w:r w:rsidR="00F82CC6">
        <w:tab/>
      </w:r>
      <w:r>
        <w:t xml:space="preserve">DCCEEW, </w:t>
      </w:r>
      <w:hyperlink r:id="rId59" w:history="1">
        <w:r w:rsidRPr="00252FD8">
          <w:rPr>
            <w:rStyle w:val="Hyperlink"/>
          </w:rPr>
          <w:t>National Greenhouse Accounts Factors</w:t>
        </w:r>
      </w:hyperlink>
      <w:r w:rsidR="00204A69">
        <w:t xml:space="preserve"> (2025)</w:t>
      </w:r>
      <w:r w:rsidR="00252FD8">
        <w:t>, accessed</w:t>
      </w:r>
      <w:r w:rsidR="00204A69">
        <w:t xml:space="preserve"> 20 March 2026</w:t>
      </w:r>
      <w:r w:rsidR="00252FD8">
        <w:t>.</w:t>
      </w:r>
    </w:p>
  </w:endnote>
  <w:endnote w:id="61">
    <w:p w14:paraId="480B35DC" w14:textId="3C8C3472" w:rsidR="004B0FDB" w:rsidRPr="004B0FDB" w:rsidRDefault="004B0FDB" w:rsidP="00F82CC6">
      <w:pPr>
        <w:pStyle w:val="FootnoteText"/>
      </w:pPr>
      <w:r w:rsidRPr="00F82CC6">
        <w:rPr>
          <w:rStyle w:val="EndnoteReference"/>
          <w:vertAlign w:val="baseline"/>
        </w:rPr>
        <w:endnoteRef/>
      </w:r>
      <w:r w:rsidR="00F82CC6">
        <w:tab/>
      </w:r>
      <w:r w:rsidR="00075636">
        <w:t xml:space="preserve">Commonwealth </w:t>
      </w:r>
      <w:r w:rsidR="003A1728">
        <w:t xml:space="preserve">Scientific and Industrial </w:t>
      </w:r>
      <w:r w:rsidR="0086296E">
        <w:t xml:space="preserve">Research Organisation </w:t>
      </w:r>
      <w:r w:rsidR="0074338B">
        <w:t>(</w:t>
      </w:r>
      <w:r w:rsidRPr="00F82CC6">
        <w:t>CSIRO</w:t>
      </w:r>
      <w:r w:rsidR="0074338B">
        <w:t>)</w:t>
      </w:r>
      <w:r>
        <w:t>,</w:t>
      </w:r>
      <w:hyperlink r:id="rId60" w:history="1">
        <w:r w:rsidRPr="004B0FDB">
          <w:rPr>
            <w:rStyle w:val="Hyperlink"/>
            <w:szCs w:val="22"/>
          </w:rPr>
          <w:t xml:space="preserve"> </w:t>
        </w:r>
        <w:r w:rsidRPr="00F82CC6">
          <w:rPr>
            <w:rStyle w:val="Hyperlink"/>
            <w:szCs w:val="22"/>
          </w:rPr>
          <w:t>FarmPrint</w:t>
        </w:r>
      </w:hyperlink>
      <w:r w:rsidR="006635ED">
        <w:t xml:space="preserve"> (2026)</w:t>
      </w:r>
      <w:r>
        <w:t xml:space="preserve">, accessed </w:t>
      </w:r>
      <w:r w:rsidR="006635ED">
        <w:t>20</w:t>
      </w:r>
      <w:r w:rsidR="00AA53F7">
        <w:t> </w:t>
      </w:r>
      <w:r w:rsidR="006635ED">
        <w:t>March</w:t>
      </w:r>
      <w:r w:rsidR="00AA53F7">
        <w:t> </w:t>
      </w:r>
      <w:r w:rsidR="006635ED">
        <w:t>2026.</w:t>
      </w:r>
    </w:p>
  </w:endnote>
  <w:endnote w:id="62">
    <w:p w14:paraId="3A29AB79" w14:textId="77777777" w:rsidR="002C354C" w:rsidRPr="00584E78" w:rsidRDefault="002C354C" w:rsidP="002C354C">
      <w:pPr>
        <w:pStyle w:val="FootnoteText"/>
      </w:pPr>
      <w:r w:rsidRPr="00584E78">
        <w:rPr>
          <w:rStyle w:val="EndnoteReference"/>
          <w:vertAlign w:val="baseline"/>
        </w:rPr>
        <w:endnoteRef/>
      </w:r>
      <w:r>
        <w:tab/>
      </w:r>
      <w:r w:rsidRPr="00584E78">
        <w:t xml:space="preserve">IFRS, </w:t>
      </w:r>
      <w:hyperlink r:id="rId61" w:history="1">
        <w:r w:rsidRPr="00584E78">
          <w:rPr>
            <w:rStyle w:val="Hyperlink"/>
          </w:rPr>
          <w:t>Transition Plan Taskforce Sector Summary</w:t>
        </w:r>
      </w:hyperlink>
      <w:r w:rsidRPr="00584E78">
        <w:t xml:space="preserve"> (2024), accessed 14 January 2026</w:t>
      </w:r>
      <w:r>
        <w:t>.</w:t>
      </w:r>
    </w:p>
  </w:endnote>
  <w:endnote w:id="63">
    <w:p w14:paraId="6BA41433" w14:textId="77777777" w:rsidR="002C354C" w:rsidRPr="00584E78" w:rsidRDefault="002C354C" w:rsidP="002C354C">
      <w:pPr>
        <w:pStyle w:val="FootnoteText"/>
      </w:pPr>
      <w:r w:rsidRPr="00584E78">
        <w:rPr>
          <w:rStyle w:val="EndnoteReference"/>
          <w:vertAlign w:val="baseline"/>
        </w:rPr>
        <w:endnoteRef/>
      </w:r>
      <w:r>
        <w:tab/>
        <w:t>SBTI</w:t>
      </w:r>
      <w:r w:rsidRPr="00584E78">
        <w:t xml:space="preserve">, </w:t>
      </w:r>
      <w:hyperlink r:id="rId62" w:history="1">
        <w:r w:rsidRPr="00584E78">
          <w:rPr>
            <w:rStyle w:val="Hyperlink"/>
          </w:rPr>
          <w:t>Sector Resources Summary</w:t>
        </w:r>
      </w:hyperlink>
      <w:r w:rsidRPr="00584E78">
        <w:t xml:space="preserve"> (2020-2024), accessed 14 January 2026</w:t>
      </w:r>
      <w:r>
        <w:t>.</w:t>
      </w:r>
    </w:p>
  </w:endnote>
  <w:endnote w:id="64">
    <w:p w14:paraId="10A7E12A" w14:textId="77777777" w:rsidR="002C354C" w:rsidRPr="00584E78" w:rsidRDefault="002C354C" w:rsidP="002C354C">
      <w:pPr>
        <w:pStyle w:val="FootnoteText"/>
      </w:pPr>
      <w:r w:rsidRPr="00584E78">
        <w:rPr>
          <w:rStyle w:val="EndnoteReference"/>
          <w:vertAlign w:val="baseline"/>
        </w:rPr>
        <w:endnoteRef/>
      </w:r>
      <w:r>
        <w:tab/>
      </w:r>
      <w:r w:rsidRPr="00584E78">
        <w:t xml:space="preserve">Paris Aligned Investment Initiative, </w:t>
      </w:r>
      <w:hyperlink r:id="rId63" w:history="1">
        <w:r w:rsidRPr="00584E78">
          <w:rPr>
            <w:rStyle w:val="Hyperlink"/>
          </w:rPr>
          <w:t>Net Zero Investment Framework 2.0</w:t>
        </w:r>
      </w:hyperlink>
      <w:r w:rsidRPr="00584E78">
        <w:t xml:space="preserve"> (2024), accessed 14 January 2026</w:t>
      </w:r>
      <w:r>
        <w:t>.</w:t>
      </w:r>
    </w:p>
  </w:endnote>
  <w:endnote w:id="65">
    <w:p w14:paraId="1375CCD2" w14:textId="77777777" w:rsidR="002C354C" w:rsidRPr="00584E78" w:rsidRDefault="002C354C" w:rsidP="002C354C">
      <w:pPr>
        <w:pStyle w:val="FootnoteText"/>
      </w:pPr>
      <w:r w:rsidRPr="00584E78">
        <w:rPr>
          <w:rStyle w:val="EndnoteReference"/>
          <w:vertAlign w:val="baseline"/>
        </w:rPr>
        <w:endnoteRef/>
      </w:r>
      <w:r>
        <w:tab/>
      </w:r>
      <w:r w:rsidRPr="00584E78">
        <w:t>I</w:t>
      </w:r>
      <w:r>
        <w:t>nvestor Group on Climate Change</w:t>
      </w:r>
      <w:r w:rsidRPr="00584E78">
        <w:t xml:space="preserve">, </w:t>
      </w:r>
      <w:hyperlink r:id="rId64" w:history="1">
        <w:r w:rsidRPr="00584E78">
          <w:rPr>
            <w:rStyle w:val="Hyperlink"/>
          </w:rPr>
          <w:t>The Net Zero Investment Framework 2.0</w:t>
        </w:r>
      </w:hyperlink>
      <w:r w:rsidRPr="00584E78">
        <w:t xml:space="preserve"> (2024), accessed 28</w:t>
      </w:r>
      <w:r>
        <w:t> </w:t>
      </w:r>
      <w:r w:rsidRPr="00584E78">
        <w:t>January</w:t>
      </w:r>
      <w:r>
        <w:t> </w:t>
      </w:r>
      <w:r w:rsidRPr="00584E78">
        <w:t>2026.</w:t>
      </w:r>
    </w:p>
  </w:endnote>
  <w:endnote w:id="66">
    <w:p w14:paraId="293F4F7C" w14:textId="77777777" w:rsidR="002C354C" w:rsidRPr="00584E78" w:rsidRDefault="002C354C" w:rsidP="002C354C">
      <w:pPr>
        <w:pStyle w:val="FootnoteText"/>
      </w:pPr>
      <w:r w:rsidRPr="00584E78">
        <w:rPr>
          <w:rStyle w:val="EndnoteReference"/>
          <w:vertAlign w:val="baseline"/>
        </w:rPr>
        <w:endnoteRef/>
      </w:r>
      <w:r>
        <w:tab/>
      </w:r>
      <w:r w:rsidRPr="00584E78">
        <w:t>C</w:t>
      </w:r>
      <w:r>
        <w:t xml:space="preserve">lean </w:t>
      </w:r>
      <w:r w:rsidRPr="00584E78">
        <w:t>E</w:t>
      </w:r>
      <w:r>
        <w:t xml:space="preserve">nergy </w:t>
      </w:r>
      <w:r w:rsidRPr="00584E78">
        <w:t>F</w:t>
      </w:r>
      <w:r>
        <w:t xml:space="preserve">inance </w:t>
      </w:r>
      <w:r w:rsidRPr="00584E78">
        <w:t>C</w:t>
      </w:r>
      <w:r>
        <w:t>orporation</w:t>
      </w:r>
      <w:r w:rsidRPr="00584E78">
        <w:t xml:space="preserve">, </w:t>
      </w:r>
      <w:hyperlink r:id="rId65" w:history="1">
        <w:r w:rsidRPr="00584E78">
          <w:rPr>
            <w:rStyle w:val="Hyperlink"/>
          </w:rPr>
          <w:t>Towards Net Zero Agriculture Pathfinder</w:t>
        </w:r>
      </w:hyperlink>
      <w:r w:rsidRPr="00584E78">
        <w:t>, accessed 25 February 2026</w:t>
      </w:r>
      <w:r>
        <w:t>.</w:t>
      </w:r>
    </w:p>
  </w:endnote>
  <w:endnote w:id="67">
    <w:p w14:paraId="2AB6F5F1" w14:textId="77777777" w:rsidR="00C01AF3" w:rsidRPr="00584E78" w:rsidRDefault="00C01AF3" w:rsidP="00C01AF3">
      <w:pPr>
        <w:pStyle w:val="FootnoteText"/>
      </w:pPr>
      <w:r w:rsidRPr="00584E78">
        <w:rPr>
          <w:rStyle w:val="EndnoteReference"/>
          <w:vertAlign w:val="baseline"/>
        </w:rPr>
        <w:endnoteRef/>
      </w:r>
      <w:r>
        <w:tab/>
      </w:r>
      <w:r w:rsidRPr="00584E78">
        <w:t xml:space="preserve">NSW Government, </w:t>
      </w:r>
      <w:hyperlink r:id="rId66" w:history="1">
        <w:r w:rsidRPr="00584E78">
          <w:rPr>
            <w:rStyle w:val="Hyperlink"/>
          </w:rPr>
          <w:t>Climate Change Fund</w:t>
        </w:r>
      </w:hyperlink>
      <w:r w:rsidRPr="00584E78">
        <w:t>, accessed 14 January 2026</w:t>
      </w:r>
      <w:r>
        <w:t>.</w:t>
      </w:r>
    </w:p>
  </w:endnote>
  <w:endnote w:id="68">
    <w:p w14:paraId="4805F11F" w14:textId="77777777" w:rsidR="00C01AF3" w:rsidRPr="00584E78" w:rsidRDefault="00C01AF3" w:rsidP="00C01AF3">
      <w:pPr>
        <w:pStyle w:val="FootnoteText"/>
      </w:pPr>
      <w:r w:rsidRPr="00584E78">
        <w:rPr>
          <w:rStyle w:val="EndnoteReference"/>
          <w:vertAlign w:val="baseline"/>
        </w:rPr>
        <w:endnoteRef/>
      </w:r>
      <w:r>
        <w:tab/>
      </w:r>
      <w:r w:rsidRPr="00584E78">
        <w:t xml:space="preserve">Tasmanian Government, </w:t>
      </w:r>
      <w:hyperlink r:id="rId67" w:history="1">
        <w:r w:rsidRPr="00584E78">
          <w:rPr>
            <w:rStyle w:val="Hyperlink"/>
          </w:rPr>
          <w:t>Adapting your business to climate change</w:t>
        </w:r>
      </w:hyperlink>
      <w:r w:rsidRPr="00584E78">
        <w:t>, accessed 14 January 2026</w:t>
      </w:r>
      <w:r>
        <w:t>.</w:t>
      </w:r>
    </w:p>
  </w:endnote>
  <w:endnote w:id="69">
    <w:p w14:paraId="2700128C" w14:textId="77777777" w:rsidR="00C01AF3" w:rsidRPr="00584E78" w:rsidRDefault="00C01AF3" w:rsidP="00C01AF3">
      <w:pPr>
        <w:pStyle w:val="FootnoteText"/>
      </w:pPr>
      <w:r w:rsidRPr="00584E78">
        <w:rPr>
          <w:rStyle w:val="EndnoteReference"/>
          <w:vertAlign w:val="baseline"/>
        </w:rPr>
        <w:endnoteRef/>
      </w:r>
      <w:r>
        <w:tab/>
      </w:r>
      <w:r w:rsidRPr="00584E78">
        <w:t xml:space="preserve">Australian Capital Territory Government, </w:t>
      </w:r>
      <w:hyperlink r:id="rId68" w:history="1">
        <w:r w:rsidRPr="00584E78">
          <w:rPr>
            <w:rStyle w:val="Hyperlink"/>
          </w:rPr>
          <w:t>Sustainable Business Program</w:t>
        </w:r>
      </w:hyperlink>
      <w:r w:rsidRPr="00584E78">
        <w:t>, accessed 14 January 2026</w:t>
      </w:r>
      <w:r>
        <w:t>.</w:t>
      </w:r>
    </w:p>
  </w:endnote>
  <w:endnote w:id="70">
    <w:p w14:paraId="48D447FF" w14:textId="77777777" w:rsidR="00C01AF3" w:rsidRPr="00584E78" w:rsidRDefault="00C01AF3" w:rsidP="00C01AF3">
      <w:pPr>
        <w:pStyle w:val="FootnoteText"/>
      </w:pPr>
      <w:r w:rsidRPr="00584E78">
        <w:rPr>
          <w:rStyle w:val="EndnoteReference"/>
          <w:vertAlign w:val="baseline"/>
        </w:rPr>
        <w:endnoteRef/>
      </w:r>
      <w:r>
        <w:tab/>
      </w:r>
      <w:r w:rsidRPr="00584E78">
        <w:t xml:space="preserve">Queensland Government, </w:t>
      </w:r>
      <w:hyperlink r:id="rId69" w:history="1">
        <w:r w:rsidRPr="00584E78">
          <w:rPr>
            <w:rStyle w:val="Hyperlink"/>
          </w:rPr>
          <w:t>Energy saving programs</w:t>
        </w:r>
      </w:hyperlink>
      <w:r>
        <w:t xml:space="preserve"> (2025)</w:t>
      </w:r>
      <w:r w:rsidRPr="00584E78">
        <w:t>, accessed 14 January 2026</w:t>
      </w:r>
      <w:r>
        <w:t>.</w:t>
      </w:r>
    </w:p>
  </w:endnote>
  <w:endnote w:id="71">
    <w:p w14:paraId="12DAD1E3" w14:textId="77777777" w:rsidR="00C01AF3" w:rsidRPr="00584E78" w:rsidRDefault="00C01AF3" w:rsidP="00C01AF3">
      <w:pPr>
        <w:pStyle w:val="FootnoteText"/>
      </w:pPr>
      <w:r w:rsidRPr="00584E78">
        <w:rPr>
          <w:rStyle w:val="EndnoteReference"/>
          <w:vertAlign w:val="baseline"/>
        </w:rPr>
        <w:endnoteRef/>
      </w:r>
      <w:r>
        <w:tab/>
      </w:r>
      <w:r w:rsidRPr="00584E78">
        <w:t xml:space="preserve">Victoria Government, </w:t>
      </w:r>
      <w:hyperlink r:id="rId70" w:history="1">
        <w:r w:rsidRPr="00584E78">
          <w:rPr>
            <w:rStyle w:val="Hyperlink"/>
          </w:rPr>
          <w:t>Victorian Energy Upgrades for businesses</w:t>
        </w:r>
      </w:hyperlink>
      <w:r w:rsidRPr="00584E78">
        <w:t>, accessed 14 January 2026</w:t>
      </w:r>
      <w:r>
        <w:t>.</w:t>
      </w:r>
    </w:p>
  </w:endnote>
  <w:endnote w:id="72">
    <w:p w14:paraId="6FB2B98B" w14:textId="77777777" w:rsidR="00C01AF3" w:rsidRPr="00584E78" w:rsidRDefault="00C01AF3" w:rsidP="00C01AF3">
      <w:pPr>
        <w:pStyle w:val="FootnoteText"/>
      </w:pPr>
      <w:r w:rsidRPr="00584E78">
        <w:rPr>
          <w:rStyle w:val="EndnoteReference"/>
          <w:vertAlign w:val="baseline"/>
        </w:rPr>
        <w:endnoteRef/>
      </w:r>
      <w:r>
        <w:tab/>
      </w:r>
      <w:r w:rsidRPr="00584E78">
        <w:t xml:space="preserve">Western Australia Government, </w:t>
      </w:r>
      <w:hyperlink r:id="rId71" w:history="1">
        <w:r w:rsidRPr="00584E78">
          <w:rPr>
            <w:rStyle w:val="Hyperlink"/>
          </w:rPr>
          <w:t>Clean Energy Future Fund</w:t>
        </w:r>
      </w:hyperlink>
      <w:r w:rsidRPr="00584E78">
        <w:t>, accessed 14 January 2026</w:t>
      </w:r>
      <w:r>
        <w:t>.</w:t>
      </w:r>
    </w:p>
  </w:endnote>
  <w:endnote w:id="73">
    <w:p w14:paraId="3684FFA9" w14:textId="671C1152" w:rsidR="00C01AF3" w:rsidRPr="00584E78" w:rsidRDefault="00C01AF3" w:rsidP="00C01AF3">
      <w:pPr>
        <w:pStyle w:val="FootnoteText"/>
      </w:pPr>
      <w:r w:rsidRPr="00584E78">
        <w:rPr>
          <w:rStyle w:val="EndnoteReference"/>
          <w:vertAlign w:val="baseline"/>
        </w:rPr>
        <w:endnoteRef/>
      </w:r>
      <w:r>
        <w:tab/>
      </w:r>
      <w:r w:rsidRPr="00584E78">
        <w:t xml:space="preserve">South Australia Government, </w:t>
      </w:r>
      <w:hyperlink r:id="rId72" w:history="1">
        <w:r w:rsidRPr="00E74EE8">
          <w:rPr>
            <w:rStyle w:val="Hyperlink"/>
          </w:rPr>
          <w:t>Retailer Energy Productivity Scheme 2026-2030</w:t>
        </w:r>
      </w:hyperlink>
      <w:r w:rsidRPr="00584E78">
        <w:t>, accessed 14 January 2026</w:t>
      </w:r>
      <w:r w:rsidR="00DB6514">
        <w:t>.</w:t>
      </w:r>
    </w:p>
  </w:endnote>
  <w:endnote w:id="74">
    <w:p w14:paraId="2750BB1B" w14:textId="60FDAC16" w:rsidR="00C01AF3" w:rsidRPr="00584E78" w:rsidRDefault="00C01AF3" w:rsidP="00C01AF3">
      <w:pPr>
        <w:pStyle w:val="FootnoteText"/>
      </w:pPr>
      <w:r w:rsidRPr="00584E78">
        <w:rPr>
          <w:rStyle w:val="EndnoteReference"/>
          <w:vertAlign w:val="baseline"/>
        </w:rPr>
        <w:endnoteRef/>
      </w:r>
      <w:r>
        <w:tab/>
      </w:r>
      <w:r w:rsidRPr="00584E78">
        <w:t xml:space="preserve">Northern Territory Government, </w:t>
      </w:r>
      <w:hyperlink r:id="rId73" w:history="1">
        <w:r w:rsidRPr="00BD55C9">
          <w:rPr>
            <w:rStyle w:val="Hyperlink"/>
          </w:rPr>
          <w:t xml:space="preserve">Northern Territory Climate </w:t>
        </w:r>
        <w:r w:rsidR="00BD55C9" w:rsidRPr="00BD55C9">
          <w:rPr>
            <w:rStyle w:val="Hyperlink"/>
          </w:rPr>
          <w:t>Resilience Plan</w:t>
        </w:r>
      </w:hyperlink>
      <w:r w:rsidRPr="00584E78">
        <w:t xml:space="preserve">, accessed </w:t>
      </w:r>
      <w:r w:rsidR="00BD55C9">
        <w:t>11 August</w:t>
      </w:r>
      <w:r w:rsidR="00BD55C9" w:rsidRPr="00584E78">
        <w:t xml:space="preserve"> </w:t>
      </w:r>
      <w:r w:rsidRPr="00584E78">
        <w:t>2026</w:t>
      </w:r>
      <w:r>
        <w:t>.</w:t>
      </w:r>
    </w:p>
  </w:endnote>
  <w:endnote w:id="75">
    <w:p w14:paraId="11D0FBD9" w14:textId="0764D79F" w:rsidR="00444C2C" w:rsidRPr="00584E78" w:rsidRDefault="00444C2C" w:rsidP="00444C2C">
      <w:pPr>
        <w:pStyle w:val="FootnoteText"/>
      </w:pPr>
      <w:r w:rsidRPr="00584E78">
        <w:rPr>
          <w:rStyle w:val="EndnoteReference"/>
          <w:vertAlign w:val="baseline"/>
        </w:rPr>
        <w:endnoteRef/>
      </w:r>
      <w:r>
        <w:tab/>
      </w:r>
      <w:r w:rsidR="00FE5DD0">
        <w:t>Intergovernmental Panel on Climate Change</w:t>
      </w:r>
      <w:r w:rsidRPr="00584E78">
        <w:t xml:space="preserve">, </w:t>
      </w:r>
      <w:hyperlink r:id="rId74" w:history="1">
        <w:r w:rsidRPr="00584E78">
          <w:rPr>
            <w:rStyle w:val="Hyperlink"/>
          </w:rPr>
          <w:t>Climate Change 2014: Impacts, Adaptation, and Vulnerability. Part A: Global and Sectoral Aspects. Contribution of Working Group II to the Fifth Assessment Report of the Intergovernmental Panel on Climate Change</w:t>
        </w:r>
      </w:hyperlink>
      <w:r w:rsidRPr="00584E78">
        <w:t xml:space="preserve"> (2014), accessed 3 March 2026</w:t>
      </w:r>
      <w:r w:rsidR="00D512BB">
        <w:t>.</w:t>
      </w:r>
    </w:p>
  </w:endnote>
  <w:endnote w:id="76">
    <w:p w14:paraId="2FCE6769" w14:textId="2BA2E023" w:rsidR="0092686C" w:rsidRPr="00584E78" w:rsidRDefault="0092686C" w:rsidP="00584E78">
      <w:pPr>
        <w:pStyle w:val="FootnoteText"/>
      </w:pPr>
      <w:r w:rsidRPr="00584E78">
        <w:rPr>
          <w:rStyle w:val="EndnoteReference"/>
          <w:vertAlign w:val="baseline"/>
        </w:rPr>
        <w:endnoteRef/>
      </w:r>
      <w:r w:rsidR="00584E78">
        <w:tab/>
      </w:r>
      <w:r w:rsidRPr="00584E78">
        <w:t xml:space="preserve">CSIRO, </w:t>
      </w:r>
      <w:hyperlink r:id="rId75" w:history="1">
        <w:r w:rsidRPr="00584E78">
          <w:rPr>
            <w:rStyle w:val="Hyperlink"/>
          </w:rPr>
          <w:t>Adaptation pathways: meeting the challenges of global change</w:t>
        </w:r>
      </w:hyperlink>
      <w:r w:rsidRPr="00584E78">
        <w:t>, accessed 14 January 2026</w:t>
      </w:r>
      <w:r w:rsidR="00C12185">
        <w:t>.</w:t>
      </w:r>
    </w:p>
  </w:endnote>
  <w:endnote w:id="77">
    <w:p w14:paraId="07BD4006" w14:textId="60807448" w:rsidR="0092686C" w:rsidRPr="00584E78" w:rsidRDefault="0092686C" w:rsidP="00584E78">
      <w:pPr>
        <w:pStyle w:val="FootnoteText"/>
      </w:pPr>
      <w:r w:rsidRPr="00584E78">
        <w:rPr>
          <w:rStyle w:val="EndnoteReference"/>
          <w:vertAlign w:val="baseline"/>
        </w:rPr>
        <w:endnoteRef/>
      </w:r>
      <w:r w:rsidR="00584E78">
        <w:tab/>
      </w:r>
      <w:r w:rsidRPr="00584E78">
        <w:t xml:space="preserve">CoastAdapt, </w:t>
      </w:r>
      <w:hyperlink r:id="rId76" w:history="1">
        <w:r w:rsidRPr="00584E78">
          <w:rPr>
            <w:rStyle w:val="Hyperlink"/>
          </w:rPr>
          <w:t>A changing climate in coastal Australia: Built knowledge, take action</w:t>
        </w:r>
      </w:hyperlink>
      <w:r w:rsidRPr="00584E78">
        <w:t>, accessed 14</w:t>
      </w:r>
      <w:r w:rsidR="00AA53F7">
        <w:t> </w:t>
      </w:r>
      <w:r w:rsidRPr="00584E78">
        <w:t>January</w:t>
      </w:r>
      <w:r w:rsidR="00AA53F7">
        <w:t> </w:t>
      </w:r>
      <w:r w:rsidRPr="00584E78">
        <w:t>2026</w:t>
      </w:r>
      <w:r w:rsidR="00C12185">
        <w:t>.</w:t>
      </w:r>
    </w:p>
  </w:endnote>
  <w:endnote w:id="78">
    <w:p w14:paraId="5CAF9F4D" w14:textId="7FEA0FFF" w:rsidR="003A10F7" w:rsidRPr="00584E78" w:rsidRDefault="003A10F7" w:rsidP="00584E78">
      <w:pPr>
        <w:pStyle w:val="FootnoteText"/>
      </w:pPr>
      <w:r w:rsidRPr="00584E78">
        <w:rPr>
          <w:rStyle w:val="EndnoteReference"/>
          <w:vertAlign w:val="baseline"/>
        </w:rPr>
        <w:endnoteRef/>
      </w:r>
      <w:r w:rsidR="00584E78">
        <w:tab/>
      </w:r>
      <w:r w:rsidRPr="00584E78">
        <w:t xml:space="preserve">National Environmental Science Program and The University of Melbourne, </w:t>
      </w:r>
      <w:hyperlink r:id="rId77" w:history="1">
        <w:r w:rsidRPr="00584E78">
          <w:rPr>
            <w:rStyle w:val="Hyperlink"/>
          </w:rPr>
          <w:t>Australian Adaptation Database</w:t>
        </w:r>
      </w:hyperlink>
      <w:r w:rsidRPr="00584E78">
        <w:t>, accessed 14 January 2026</w:t>
      </w:r>
      <w:r w:rsidR="00C12185">
        <w:t>.</w:t>
      </w:r>
    </w:p>
  </w:endnote>
  <w:endnote w:id="79">
    <w:p w14:paraId="423AF952" w14:textId="44B7EB08" w:rsidR="00767BEA" w:rsidRPr="00584E78" w:rsidRDefault="00767BEA" w:rsidP="00584E78">
      <w:pPr>
        <w:pStyle w:val="FootnoteText"/>
      </w:pPr>
      <w:r w:rsidRPr="00584E78">
        <w:rPr>
          <w:rStyle w:val="EndnoteReference"/>
          <w:vertAlign w:val="baseline"/>
        </w:rPr>
        <w:endnoteRef/>
      </w:r>
      <w:r w:rsidR="00584E78">
        <w:tab/>
      </w:r>
      <w:r w:rsidR="00CC6564" w:rsidRPr="00584E78">
        <w:t xml:space="preserve">Climate Bonds Initiative, </w:t>
      </w:r>
      <w:hyperlink r:id="rId78" w:history="1">
        <w:r w:rsidR="00CC6564" w:rsidRPr="00584E78">
          <w:rPr>
            <w:rStyle w:val="Hyperlink"/>
          </w:rPr>
          <w:t>Climate Bonds Resilience Taxonomy</w:t>
        </w:r>
      </w:hyperlink>
      <w:r w:rsidR="00CC6564" w:rsidRPr="00584E78">
        <w:t xml:space="preserve"> </w:t>
      </w:r>
      <w:r w:rsidR="00EA652B" w:rsidRPr="00584E78">
        <w:t>(2025), accessed 24 February 2026</w:t>
      </w:r>
      <w:r w:rsidR="00C12185">
        <w:t>.</w:t>
      </w:r>
    </w:p>
  </w:endnote>
  <w:endnote w:id="80">
    <w:p w14:paraId="164C10B5" w14:textId="3BF29096" w:rsidR="000B0835" w:rsidRPr="00584E78" w:rsidRDefault="000B0835" w:rsidP="00584E78">
      <w:pPr>
        <w:pStyle w:val="FootnoteText"/>
      </w:pPr>
      <w:r w:rsidRPr="00584E78">
        <w:rPr>
          <w:rStyle w:val="EndnoteReference"/>
          <w:vertAlign w:val="baseline"/>
        </w:rPr>
        <w:endnoteRef/>
      </w:r>
      <w:r w:rsidR="00584E78">
        <w:tab/>
      </w:r>
      <w:r w:rsidRPr="00584E78">
        <w:t xml:space="preserve">United Nations Climate Change, </w:t>
      </w:r>
      <w:hyperlink r:id="rId79" w:history="1">
        <w:r w:rsidRPr="00584E78">
          <w:rPr>
            <w:rStyle w:val="Hyperlink"/>
          </w:rPr>
          <w:t>Nationally Determined Contributions Registry</w:t>
        </w:r>
      </w:hyperlink>
      <w:r w:rsidRPr="00584E78">
        <w:t>, accessed 14 January 2026</w:t>
      </w:r>
      <w:r w:rsidR="00D512BB">
        <w:t>.</w:t>
      </w:r>
    </w:p>
  </w:endnote>
  <w:endnote w:id="81">
    <w:p w14:paraId="1AB359C9" w14:textId="65D6F869" w:rsidR="003F6A84" w:rsidRPr="00584E78" w:rsidRDefault="003F6A84" w:rsidP="00584E78">
      <w:pPr>
        <w:pStyle w:val="FootnoteText"/>
      </w:pPr>
      <w:r w:rsidRPr="00584E78">
        <w:rPr>
          <w:rStyle w:val="EndnoteReference"/>
          <w:vertAlign w:val="baseline"/>
        </w:rPr>
        <w:endnoteRef/>
      </w:r>
      <w:r w:rsidR="00584E78">
        <w:tab/>
      </w:r>
      <w:r w:rsidRPr="00584E78">
        <w:t xml:space="preserve">DCCEEW, </w:t>
      </w:r>
      <w:hyperlink r:id="rId80" w:history="1">
        <w:r w:rsidRPr="00584E78">
          <w:rPr>
            <w:rStyle w:val="Hyperlink"/>
          </w:rPr>
          <w:t>Safeguard Mechanism</w:t>
        </w:r>
      </w:hyperlink>
      <w:r w:rsidR="00B53161">
        <w:t xml:space="preserve"> (2026)</w:t>
      </w:r>
      <w:r w:rsidRPr="00584E78">
        <w:t>, accessed 28 January 2026</w:t>
      </w:r>
      <w:r w:rsidR="00C12185">
        <w:t>.</w:t>
      </w:r>
    </w:p>
  </w:endnote>
  <w:endnote w:id="82">
    <w:p w14:paraId="5A5E90E6" w14:textId="41E03C92" w:rsidR="00D0406C" w:rsidRPr="00584E78" w:rsidRDefault="00D0406C" w:rsidP="00584E78">
      <w:pPr>
        <w:pStyle w:val="FootnoteText"/>
      </w:pPr>
      <w:r w:rsidRPr="00584E78">
        <w:rPr>
          <w:rStyle w:val="EndnoteReference"/>
          <w:vertAlign w:val="baseline"/>
        </w:rPr>
        <w:endnoteRef/>
      </w:r>
      <w:r w:rsidR="00FE0F4A">
        <w:tab/>
      </w:r>
      <w:r w:rsidRPr="00584E78">
        <w:t xml:space="preserve">Department of Infrastructure, Transport, Regional Development, Communications, Sport and the Arts, </w:t>
      </w:r>
      <w:hyperlink r:id="rId81" w:history="1">
        <w:r w:rsidRPr="00584E78">
          <w:rPr>
            <w:rStyle w:val="Hyperlink"/>
          </w:rPr>
          <w:t>New</w:t>
        </w:r>
        <w:r w:rsidR="006E4ECF">
          <w:rPr>
            <w:rStyle w:val="Hyperlink"/>
          </w:rPr>
          <w:t> </w:t>
        </w:r>
        <w:r w:rsidRPr="00584E78">
          <w:rPr>
            <w:rStyle w:val="Hyperlink"/>
          </w:rPr>
          <w:t>Vehicle Efficiency Standard</w:t>
        </w:r>
      </w:hyperlink>
      <w:r w:rsidRPr="00584E78">
        <w:t>, accessed 2</w:t>
      </w:r>
      <w:r w:rsidR="00D45293" w:rsidRPr="00584E78">
        <w:t>8</w:t>
      </w:r>
      <w:r w:rsidRPr="00584E78">
        <w:t xml:space="preserve"> January 2026</w:t>
      </w:r>
      <w:r w:rsidR="00C12185">
        <w:t>.</w:t>
      </w:r>
    </w:p>
  </w:endnote>
  <w:endnote w:id="83">
    <w:p w14:paraId="06D829D1" w14:textId="77777777" w:rsidR="00685650" w:rsidRPr="00584E78" w:rsidRDefault="00685650" w:rsidP="00685650">
      <w:pPr>
        <w:pStyle w:val="FootnoteText"/>
      </w:pPr>
      <w:r w:rsidRPr="00584E78">
        <w:rPr>
          <w:rStyle w:val="EndnoteReference"/>
          <w:vertAlign w:val="baseline"/>
        </w:rPr>
        <w:endnoteRef/>
      </w:r>
      <w:r>
        <w:tab/>
      </w:r>
      <w:r w:rsidRPr="00584E78">
        <w:t xml:space="preserve">DCCEEW, </w:t>
      </w:r>
      <w:hyperlink r:id="rId82" w:history="1">
        <w:r w:rsidRPr="00584E78">
          <w:rPr>
            <w:rStyle w:val="Hyperlink"/>
          </w:rPr>
          <w:t>Renewable Energy Target scheme</w:t>
        </w:r>
      </w:hyperlink>
      <w:r>
        <w:t xml:space="preserve"> (2025)</w:t>
      </w:r>
      <w:r w:rsidRPr="00584E78">
        <w:t>, accessed 28 January 2026</w:t>
      </w:r>
      <w:r>
        <w:t>.</w:t>
      </w:r>
    </w:p>
  </w:endnote>
  <w:endnote w:id="84">
    <w:p w14:paraId="2DC8EFF3" w14:textId="77777777" w:rsidR="00685650" w:rsidRPr="00584E78" w:rsidRDefault="00685650" w:rsidP="00685650">
      <w:pPr>
        <w:pStyle w:val="FootnoteText"/>
      </w:pPr>
      <w:r w:rsidRPr="00584E78">
        <w:rPr>
          <w:rStyle w:val="EndnoteReference"/>
          <w:vertAlign w:val="baseline"/>
        </w:rPr>
        <w:endnoteRef/>
      </w:r>
      <w:r>
        <w:tab/>
      </w:r>
      <w:r w:rsidRPr="00584E78">
        <w:t xml:space="preserve">DCCEEW, </w:t>
      </w:r>
      <w:hyperlink r:id="rId83" w:history="1">
        <w:r w:rsidRPr="00584E78">
          <w:rPr>
            <w:rStyle w:val="Hyperlink"/>
          </w:rPr>
          <w:t>Capacity Investment Scheme</w:t>
        </w:r>
      </w:hyperlink>
      <w:r>
        <w:t xml:space="preserve"> (2025)</w:t>
      </w:r>
      <w:r w:rsidRPr="00584E78">
        <w:t>, accessed 28 January 2026</w:t>
      </w:r>
      <w:r>
        <w:t>.</w:t>
      </w:r>
    </w:p>
  </w:endnote>
  <w:endnote w:id="85">
    <w:p w14:paraId="10A9F986" w14:textId="77777777" w:rsidR="00685650" w:rsidRPr="00584E78" w:rsidRDefault="00685650" w:rsidP="00685650">
      <w:pPr>
        <w:pStyle w:val="FootnoteText"/>
      </w:pPr>
      <w:r w:rsidRPr="00584E78">
        <w:rPr>
          <w:rStyle w:val="EndnoteReference"/>
          <w:vertAlign w:val="baseline"/>
        </w:rPr>
        <w:endnoteRef/>
      </w:r>
      <w:r>
        <w:tab/>
      </w:r>
      <w:r w:rsidRPr="00584E78">
        <w:t xml:space="preserve">DCCEEW, </w:t>
      </w:r>
      <w:hyperlink r:id="rId84" w:history="1">
        <w:r w:rsidRPr="00584E78">
          <w:rPr>
            <w:rStyle w:val="Hyperlink"/>
          </w:rPr>
          <w:t>Australia’s Circular Economy Framework</w:t>
        </w:r>
      </w:hyperlink>
      <w:r w:rsidRPr="00584E78">
        <w:t xml:space="preserve"> (2024), accessed 14 January 2026</w:t>
      </w:r>
      <w:r>
        <w:t>.</w:t>
      </w:r>
    </w:p>
  </w:endnote>
  <w:endnote w:id="86">
    <w:p w14:paraId="63D63EA7" w14:textId="77777777" w:rsidR="00685650" w:rsidRPr="00584E78" w:rsidRDefault="00685650" w:rsidP="00685650">
      <w:pPr>
        <w:pStyle w:val="FootnoteText"/>
      </w:pPr>
      <w:r w:rsidRPr="00584E78">
        <w:rPr>
          <w:rStyle w:val="EndnoteReference"/>
          <w:vertAlign w:val="baseline"/>
        </w:rPr>
        <w:endnoteRef/>
      </w:r>
      <w:r>
        <w:tab/>
        <w:t>Australian Government</w:t>
      </w:r>
      <w:r w:rsidRPr="00584E78">
        <w:t xml:space="preserve">, </w:t>
      </w:r>
      <w:hyperlink r:id="rId85" w:history="1">
        <w:r w:rsidRPr="00584E78">
          <w:rPr>
            <w:rStyle w:val="Hyperlink"/>
          </w:rPr>
          <w:t>National Electric Vehicle Strategy</w:t>
        </w:r>
      </w:hyperlink>
      <w:r w:rsidRPr="00584E78">
        <w:t xml:space="preserve"> (2023), accessed 14 January 2026</w:t>
      </w:r>
      <w:r>
        <w:t>.</w:t>
      </w:r>
    </w:p>
  </w:endnote>
  <w:endnote w:id="87">
    <w:p w14:paraId="2D2E769E" w14:textId="77777777" w:rsidR="00685650" w:rsidRPr="00584E78" w:rsidRDefault="00685650" w:rsidP="00685650">
      <w:pPr>
        <w:pStyle w:val="FootnoteText"/>
      </w:pPr>
      <w:r w:rsidRPr="00584E78">
        <w:rPr>
          <w:rStyle w:val="EndnoteReference"/>
          <w:vertAlign w:val="baseline"/>
        </w:rPr>
        <w:endnoteRef/>
      </w:r>
      <w:r>
        <w:tab/>
        <w:t>Australian Government</w:t>
      </w:r>
      <w:r w:rsidRPr="00584E78">
        <w:t xml:space="preserve">, </w:t>
      </w:r>
      <w:hyperlink r:id="rId86" w:history="1">
        <w:r w:rsidRPr="00584E78">
          <w:rPr>
            <w:rStyle w:val="Hyperlink"/>
          </w:rPr>
          <w:t>First Nations Clean Energy Strategy</w:t>
        </w:r>
      </w:hyperlink>
      <w:r w:rsidRPr="00584E78">
        <w:t xml:space="preserve"> (2024), accessed 14 January 2026</w:t>
      </w:r>
      <w:r>
        <w:t>.</w:t>
      </w:r>
    </w:p>
  </w:endnote>
  <w:endnote w:id="88">
    <w:p w14:paraId="1A92C829" w14:textId="6526A613" w:rsidR="006655D2" w:rsidRPr="00584E78" w:rsidRDefault="006655D2" w:rsidP="00584E78">
      <w:pPr>
        <w:pStyle w:val="FootnoteText"/>
      </w:pPr>
      <w:r w:rsidRPr="00584E78">
        <w:rPr>
          <w:rStyle w:val="EndnoteReference"/>
          <w:vertAlign w:val="baseline"/>
        </w:rPr>
        <w:endnoteRef/>
      </w:r>
      <w:r w:rsidR="00FE0F4A">
        <w:tab/>
      </w:r>
      <w:hyperlink r:id="rId87" w:history="1">
        <w:r w:rsidRPr="00584E78">
          <w:rPr>
            <w:rStyle w:val="Hyperlink"/>
          </w:rPr>
          <w:t>Snapshot Climate</w:t>
        </w:r>
      </w:hyperlink>
      <w:r w:rsidRPr="00584E78">
        <w:t>, accessed 14 January 2026</w:t>
      </w:r>
      <w:r w:rsidR="00D512BB">
        <w:t>.</w:t>
      </w:r>
    </w:p>
  </w:endnote>
  <w:endnote w:id="89">
    <w:p w14:paraId="0C157B94" w14:textId="5E1F48BD" w:rsidR="006655D2" w:rsidRPr="00584E78" w:rsidRDefault="006655D2" w:rsidP="00584E78">
      <w:pPr>
        <w:pStyle w:val="FootnoteText"/>
      </w:pPr>
      <w:r w:rsidRPr="00584E78">
        <w:rPr>
          <w:rStyle w:val="EndnoteReference"/>
          <w:vertAlign w:val="baseline"/>
        </w:rPr>
        <w:endnoteRef/>
      </w:r>
      <w:r w:rsidR="00FE0F4A">
        <w:tab/>
      </w:r>
      <w:r w:rsidRPr="00584E78">
        <w:t xml:space="preserve">Climate Change Authority, </w:t>
      </w:r>
      <w:hyperlink r:id="rId88" w:history="1">
        <w:r w:rsidRPr="00584E78">
          <w:rPr>
            <w:rStyle w:val="Hyperlink"/>
          </w:rPr>
          <w:t>Climate Policy Tracker</w:t>
        </w:r>
      </w:hyperlink>
      <w:r w:rsidRPr="00584E78">
        <w:t>, accessed 14 January 2026</w:t>
      </w:r>
      <w:r w:rsidR="00D512BB">
        <w:t>.</w:t>
      </w:r>
    </w:p>
  </w:endnote>
  <w:endnote w:id="90">
    <w:p w14:paraId="6E06039C" w14:textId="77777777" w:rsidR="00685650" w:rsidRPr="00584E78" w:rsidRDefault="00685650" w:rsidP="00685650">
      <w:pPr>
        <w:pStyle w:val="FootnoteText"/>
      </w:pPr>
      <w:r w:rsidRPr="00584E78">
        <w:rPr>
          <w:rStyle w:val="EndnoteReference"/>
          <w:vertAlign w:val="baseline"/>
        </w:rPr>
        <w:endnoteRef/>
      </w:r>
      <w:r>
        <w:tab/>
      </w:r>
      <w:r w:rsidRPr="00584E78">
        <w:t xml:space="preserve">Council of Australian Governments, </w:t>
      </w:r>
      <w:hyperlink r:id="rId89" w:history="1">
        <w:r w:rsidRPr="00584E78">
          <w:rPr>
            <w:rStyle w:val="Hyperlink"/>
          </w:rPr>
          <w:t>Roles and Responsibilities for Climate Change Adaptation in Australia</w:t>
        </w:r>
      </w:hyperlink>
      <w:r w:rsidRPr="00584E78">
        <w:t xml:space="preserve"> (2012), accessed 14 January 2026</w:t>
      </w:r>
      <w:r>
        <w:t>.</w:t>
      </w:r>
    </w:p>
  </w:endnote>
  <w:endnote w:id="91">
    <w:p w14:paraId="431BF7F4" w14:textId="57F99936" w:rsidR="00667511" w:rsidRPr="00584E78" w:rsidRDefault="00667511" w:rsidP="00584E78">
      <w:pPr>
        <w:pStyle w:val="FootnoteText"/>
      </w:pPr>
      <w:r w:rsidRPr="00584E78">
        <w:rPr>
          <w:rStyle w:val="EndnoteReference"/>
          <w:vertAlign w:val="baseline"/>
        </w:rPr>
        <w:endnoteRef/>
      </w:r>
      <w:r w:rsidR="00FE0F4A">
        <w:tab/>
      </w:r>
      <w:r w:rsidR="000B6934">
        <w:t>Australian Government</w:t>
      </w:r>
      <w:r w:rsidRPr="00584E78">
        <w:t xml:space="preserve">, </w:t>
      </w:r>
      <w:hyperlink r:id="rId90" w:history="1">
        <w:r w:rsidRPr="00584E78">
          <w:rPr>
            <w:rStyle w:val="Hyperlink"/>
          </w:rPr>
          <w:t>National Adaptation Plan</w:t>
        </w:r>
      </w:hyperlink>
      <w:r w:rsidRPr="00584E78">
        <w:t xml:space="preserve"> (2025), accessed 14 January 2026</w:t>
      </w:r>
      <w:r w:rsidR="00D512BB">
        <w:t>.</w:t>
      </w:r>
    </w:p>
  </w:endnote>
  <w:endnote w:id="92">
    <w:p w14:paraId="6C3F30DF" w14:textId="77777777" w:rsidR="00903AC8" w:rsidRPr="00584E78" w:rsidRDefault="00903AC8" w:rsidP="00903AC8">
      <w:pPr>
        <w:pStyle w:val="FootnoteText"/>
      </w:pPr>
      <w:r w:rsidRPr="00584E78">
        <w:rPr>
          <w:rStyle w:val="EndnoteReference"/>
          <w:vertAlign w:val="baseline"/>
        </w:rPr>
        <w:endnoteRef/>
      </w:r>
      <w:r>
        <w:tab/>
      </w:r>
      <w:r w:rsidRPr="00584E78">
        <w:t xml:space="preserve">DCCEEW, </w:t>
      </w:r>
      <w:hyperlink r:id="rId91" w:history="1">
        <w:r w:rsidRPr="00584E78">
          <w:rPr>
            <w:rStyle w:val="Hyperlink"/>
          </w:rPr>
          <w:t>Climate adaptation in Australia</w:t>
        </w:r>
      </w:hyperlink>
      <w:r>
        <w:t xml:space="preserve"> (2025)</w:t>
      </w:r>
      <w:r w:rsidRPr="00584E78">
        <w:t>, accessed 16 January 2026</w:t>
      </w:r>
      <w:r>
        <w:t>.</w:t>
      </w:r>
    </w:p>
  </w:endnote>
  <w:endnote w:id="93">
    <w:p w14:paraId="2AE32D6C" w14:textId="002F784D" w:rsidR="003D4191" w:rsidRPr="00584E78" w:rsidRDefault="003D4191" w:rsidP="00584E78">
      <w:pPr>
        <w:pStyle w:val="FootnoteText"/>
      </w:pPr>
      <w:r w:rsidRPr="00584E78">
        <w:rPr>
          <w:rStyle w:val="EndnoteReference"/>
          <w:vertAlign w:val="baseline"/>
        </w:rPr>
        <w:endnoteRef/>
      </w:r>
      <w:r w:rsidR="00FE0F4A">
        <w:tab/>
      </w:r>
      <w:r w:rsidR="002C2092">
        <w:t>NGFS</w:t>
      </w:r>
      <w:r w:rsidR="00A44749" w:rsidRPr="00584E78">
        <w:t xml:space="preserve">, </w:t>
      </w:r>
      <w:hyperlink r:id="rId92" w:history="1">
        <w:r w:rsidR="00A44749" w:rsidRPr="00584E78">
          <w:rPr>
            <w:rStyle w:val="Hyperlink"/>
          </w:rPr>
          <w:t>Input paper on Integrating Adaptation and Resilience into Transition plans</w:t>
        </w:r>
      </w:hyperlink>
      <w:r w:rsidR="00A44749" w:rsidRPr="00584E78">
        <w:t xml:space="preserve"> (202</w:t>
      </w:r>
      <w:r w:rsidR="00505BAA" w:rsidRPr="00584E78">
        <w:t>5), accessed 14</w:t>
      </w:r>
      <w:r w:rsidR="00AA53F7">
        <w:t> </w:t>
      </w:r>
      <w:r w:rsidR="00505BAA" w:rsidRPr="00584E78">
        <w:t>January</w:t>
      </w:r>
      <w:r w:rsidR="00AA53F7">
        <w:t> </w:t>
      </w:r>
      <w:r w:rsidR="00505BAA" w:rsidRPr="00584E78">
        <w:t>2026</w:t>
      </w:r>
      <w:r w:rsidR="00D512BB">
        <w:t>.</w:t>
      </w:r>
    </w:p>
  </w:endnote>
  <w:endnote w:id="94">
    <w:p w14:paraId="79265021" w14:textId="367F199C" w:rsidR="0028439A" w:rsidRPr="00584E78" w:rsidDel="00E2612E" w:rsidRDefault="0028439A" w:rsidP="00584E78">
      <w:pPr>
        <w:pStyle w:val="FootnoteText"/>
      </w:pPr>
      <w:r w:rsidRPr="00584E78" w:rsidDel="00E2612E">
        <w:rPr>
          <w:rStyle w:val="EndnoteReference"/>
          <w:vertAlign w:val="baseline"/>
        </w:rPr>
        <w:endnoteRef/>
      </w:r>
      <w:r w:rsidR="00FE0F4A" w:rsidDel="00E2612E">
        <w:tab/>
      </w:r>
      <w:r w:rsidR="00C03528">
        <w:t>WBCSD</w:t>
      </w:r>
      <w:r w:rsidRPr="00584E78" w:rsidDel="00E2612E">
        <w:t xml:space="preserve"> (2025), </w:t>
      </w:r>
      <w:hyperlink r:id="rId93" w:history="1">
        <w:r w:rsidRPr="00584E78" w:rsidDel="00E2612E">
          <w:rPr>
            <w:rStyle w:val="Hyperlink"/>
          </w:rPr>
          <w:t>A Practical Guide on Transition Plan Dependencies</w:t>
        </w:r>
      </w:hyperlink>
      <w:r w:rsidRPr="00584E78" w:rsidDel="00E2612E">
        <w:t>, accessed 14 January 2026</w:t>
      </w:r>
      <w:r w:rsidR="00D512BB" w:rsidDel="00E2612E">
        <w:t>.</w:t>
      </w:r>
    </w:p>
  </w:endnote>
  <w:endnote w:id="95">
    <w:p w14:paraId="62F5131A" w14:textId="77777777" w:rsidR="00DA2ECE" w:rsidRPr="00584E78" w:rsidRDefault="00DA2ECE" w:rsidP="00DA2ECE">
      <w:pPr>
        <w:pStyle w:val="FootnoteText"/>
      </w:pPr>
      <w:r w:rsidRPr="00584E78">
        <w:rPr>
          <w:rStyle w:val="EndnoteReference"/>
          <w:vertAlign w:val="baseline"/>
        </w:rPr>
        <w:endnoteRef/>
      </w:r>
      <w:r>
        <w:tab/>
      </w:r>
      <w:r w:rsidRPr="00584E78">
        <w:t xml:space="preserve">ISO, </w:t>
      </w:r>
      <w:hyperlink r:id="rId94" w:history="1">
        <w:r w:rsidRPr="00584E78">
          <w:rPr>
            <w:rStyle w:val="Hyperlink"/>
          </w:rPr>
          <w:t>Net Zero Guidelines</w:t>
        </w:r>
      </w:hyperlink>
      <w:r w:rsidRPr="00584E78">
        <w:t xml:space="preserve"> (2022), accessed 16 January 2026</w:t>
      </w:r>
      <w:r>
        <w:t>.</w:t>
      </w:r>
    </w:p>
  </w:endnote>
  <w:endnote w:id="96">
    <w:p w14:paraId="4750DCA8" w14:textId="606A52EC" w:rsidR="00924EEA" w:rsidRDefault="00924EEA" w:rsidP="00924EEA">
      <w:pPr>
        <w:pStyle w:val="FootnoteText"/>
      </w:pPr>
      <w:r w:rsidRPr="0034240B">
        <w:rPr>
          <w:rStyle w:val="EndnoteReference"/>
          <w:vertAlign w:val="baseline"/>
        </w:rPr>
        <w:endnoteRef/>
      </w:r>
      <w:r w:rsidRPr="0034240B">
        <w:t xml:space="preserve"> </w:t>
      </w:r>
      <w:r>
        <w:tab/>
        <w:t xml:space="preserve">DCCEEW, </w:t>
      </w:r>
      <w:hyperlink r:id="rId95" w:history="1">
        <w:r w:rsidRPr="007F33BA">
          <w:rPr>
            <w:rStyle w:val="Hyperlink"/>
          </w:rPr>
          <w:t xml:space="preserve">Savanna fire management </w:t>
        </w:r>
        <w:r w:rsidR="00E972FA">
          <w:rPr>
            <w:rStyle w:val="Hyperlink"/>
          </w:rPr>
          <w:t>–</w:t>
        </w:r>
        <w:r w:rsidRPr="007F33BA">
          <w:rPr>
            <w:rStyle w:val="Hyperlink"/>
          </w:rPr>
          <w:t xml:space="preserve"> emissions avoidance 2018 method</w:t>
        </w:r>
      </w:hyperlink>
      <w:r>
        <w:t xml:space="preserve"> (2025), accessed 20 March 2026.</w:t>
      </w:r>
    </w:p>
  </w:endnote>
  <w:endnote w:id="97">
    <w:p w14:paraId="65BD4855" w14:textId="7FE85782" w:rsidR="001477B0" w:rsidRDefault="001477B0" w:rsidP="00F82CC6">
      <w:pPr>
        <w:pStyle w:val="FootnoteText"/>
      </w:pPr>
      <w:r w:rsidRPr="0034240B">
        <w:rPr>
          <w:rStyle w:val="EndnoteReference"/>
          <w:vertAlign w:val="baseline"/>
        </w:rPr>
        <w:endnoteRef/>
      </w:r>
      <w:r w:rsidR="00F82CC6">
        <w:tab/>
      </w:r>
      <w:r w:rsidR="00552DEA">
        <w:t>Australian Government</w:t>
      </w:r>
      <w:r>
        <w:t xml:space="preserve">, </w:t>
      </w:r>
      <w:hyperlink r:id="rId96" w:history="1">
        <w:r w:rsidRPr="00BE5DA2">
          <w:rPr>
            <w:rStyle w:val="Hyperlink"/>
          </w:rPr>
          <w:t>Net Zero in Government Operations Strategy</w:t>
        </w:r>
      </w:hyperlink>
      <w:r w:rsidR="00735F9B">
        <w:t xml:space="preserve"> (2026)</w:t>
      </w:r>
      <w:r>
        <w:t xml:space="preserve">, accessed </w:t>
      </w:r>
      <w:r w:rsidR="00217F2D">
        <w:t>20 March 2026</w:t>
      </w:r>
      <w:r w:rsidR="00560127">
        <w:t>.</w:t>
      </w:r>
    </w:p>
  </w:endnote>
  <w:endnote w:id="98">
    <w:p w14:paraId="7D2AC088" w14:textId="45DEEDC3" w:rsidR="00560127" w:rsidRDefault="00560127" w:rsidP="00F82CC6">
      <w:pPr>
        <w:pStyle w:val="FootnoteText"/>
      </w:pPr>
      <w:r w:rsidRPr="0034240B">
        <w:rPr>
          <w:rStyle w:val="EndnoteReference"/>
          <w:vertAlign w:val="baseline"/>
        </w:rPr>
        <w:endnoteRef/>
      </w:r>
      <w:r w:rsidR="00F82CC6">
        <w:tab/>
      </w:r>
      <w:r w:rsidR="00552DEA">
        <w:t>Australian Government</w:t>
      </w:r>
      <w:r>
        <w:t xml:space="preserve">, </w:t>
      </w:r>
      <w:hyperlink r:id="rId97" w:history="1">
        <w:r w:rsidRPr="004972A7">
          <w:rPr>
            <w:rStyle w:val="Hyperlink"/>
          </w:rPr>
          <w:t>Net Zero in Government Operations Annual Progress Report</w:t>
        </w:r>
      </w:hyperlink>
      <w:r w:rsidR="00735F9B">
        <w:t xml:space="preserve"> (2025)</w:t>
      </w:r>
      <w:r>
        <w:t xml:space="preserve">, accessed </w:t>
      </w:r>
      <w:r w:rsidR="00217F2D">
        <w:t>20</w:t>
      </w:r>
      <w:r w:rsidR="00AA53F7">
        <w:t> </w:t>
      </w:r>
      <w:r w:rsidR="00217F2D">
        <w:t>March</w:t>
      </w:r>
      <w:r w:rsidR="00AA53F7">
        <w:t> </w:t>
      </w:r>
      <w:r w:rsidR="00217F2D">
        <w:t>2026</w:t>
      </w:r>
      <w:r>
        <w:t>.</w:t>
      </w:r>
    </w:p>
  </w:endnote>
  <w:endnote w:id="99">
    <w:p w14:paraId="52C12B46" w14:textId="77777777" w:rsidR="00924EEA" w:rsidRDefault="00924EEA" w:rsidP="00924EEA">
      <w:pPr>
        <w:pStyle w:val="FootnoteText"/>
      </w:pPr>
      <w:r w:rsidRPr="001C507F">
        <w:rPr>
          <w:rStyle w:val="EndnoteReference"/>
          <w:vertAlign w:val="baseline"/>
        </w:rPr>
        <w:endnoteRef/>
      </w:r>
      <w:r>
        <w:t xml:space="preserve"> </w:t>
      </w:r>
      <w:r>
        <w:tab/>
        <w:t xml:space="preserve">Treasury Portfolio, </w:t>
      </w:r>
      <w:r w:rsidRPr="001C507F">
        <w:t>Significant milestone in work to improve insurance coverage and affordability</w:t>
      </w:r>
      <w:r>
        <w:t xml:space="preserve"> (2026), accessed 20 March 2026.</w:t>
      </w:r>
    </w:p>
  </w:endnote>
  <w:endnote w:id="100">
    <w:p w14:paraId="4DB16D98" w14:textId="77777777" w:rsidR="00B11056" w:rsidRPr="00584E78" w:rsidRDefault="00B11056" w:rsidP="00B11056">
      <w:pPr>
        <w:pStyle w:val="FootnoteText"/>
      </w:pPr>
      <w:r w:rsidRPr="00584E78">
        <w:rPr>
          <w:rStyle w:val="EndnoteReference"/>
          <w:vertAlign w:val="baseline"/>
        </w:rPr>
        <w:endnoteRef/>
      </w:r>
      <w:r>
        <w:tab/>
      </w:r>
      <w:r w:rsidRPr="00584E78">
        <w:t xml:space="preserve">WBCSD, </w:t>
      </w:r>
      <w:hyperlink r:id="rId98" w:history="1">
        <w:r w:rsidRPr="00584E78">
          <w:rPr>
            <w:rStyle w:val="Hyperlink"/>
          </w:rPr>
          <w:t>Integrated Transition Planning: A Short Introduction</w:t>
        </w:r>
      </w:hyperlink>
      <w:r w:rsidRPr="00584E78">
        <w:t xml:space="preserve"> (2026), accessed 26 February 2026</w:t>
      </w:r>
      <w:r>
        <w:t>.</w:t>
      </w:r>
    </w:p>
  </w:endnote>
  <w:endnote w:id="101">
    <w:p w14:paraId="2AC64A05" w14:textId="77777777" w:rsidR="00B11056" w:rsidRPr="00584E78" w:rsidRDefault="00B11056" w:rsidP="00B11056">
      <w:pPr>
        <w:pStyle w:val="FootnoteText"/>
      </w:pPr>
      <w:r w:rsidRPr="00584E78">
        <w:rPr>
          <w:rStyle w:val="EndnoteReference"/>
          <w:vertAlign w:val="baseline"/>
        </w:rPr>
        <w:endnoteRef/>
      </w:r>
      <w:r>
        <w:tab/>
      </w:r>
      <w:r w:rsidRPr="00584E78">
        <w:t xml:space="preserve">Investor Group on Climate Change, </w:t>
      </w:r>
      <w:hyperlink r:id="rId99" w:history="1">
        <w:r w:rsidRPr="00584E78">
          <w:rPr>
            <w:rStyle w:val="Hyperlink"/>
          </w:rPr>
          <w:t>Investor Expectations for Corporate Just Transition Planning</w:t>
        </w:r>
      </w:hyperlink>
      <w:r w:rsidRPr="00584E78">
        <w:t xml:space="preserve"> (2025), accessed 14 January 2026</w:t>
      </w:r>
      <w:r>
        <w:t>.</w:t>
      </w:r>
    </w:p>
  </w:endnote>
  <w:endnote w:id="102">
    <w:p w14:paraId="12BD97E8" w14:textId="77777777" w:rsidR="00B11056" w:rsidRPr="00584E78" w:rsidRDefault="00B11056" w:rsidP="00B11056">
      <w:pPr>
        <w:pStyle w:val="FootnoteText"/>
      </w:pPr>
      <w:r w:rsidRPr="00584E78">
        <w:rPr>
          <w:rStyle w:val="EndnoteReference"/>
          <w:vertAlign w:val="baseline"/>
        </w:rPr>
        <w:endnoteRef/>
      </w:r>
      <w:r>
        <w:tab/>
      </w:r>
      <w:r w:rsidRPr="00584E78">
        <w:t xml:space="preserve">Net Zero </w:t>
      </w:r>
      <w:r>
        <w:t>Economy Authority</w:t>
      </w:r>
      <w:r w:rsidRPr="00584E78">
        <w:t xml:space="preserve">, </w:t>
      </w:r>
      <w:hyperlink r:id="rId100" w:history="1">
        <w:r w:rsidRPr="00584E78">
          <w:rPr>
            <w:rStyle w:val="Hyperlink"/>
          </w:rPr>
          <w:t>Energy Industry Jobs Plan</w:t>
        </w:r>
      </w:hyperlink>
      <w:r w:rsidRPr="00584E78">
        <w:t>, accessed 14 January 2026</w:t>
      </w:r>
      <w:r>
        <w:t>.</w:t>
      </w:r>
    </w:p>
  </w:endnote>
  <w:endnote w:id="103">
    <w:p w14:paraId="0E795E60" w14:textId="77777777" w:rsidR="00B11056" w:rsidRPr="00584E78" w:rsidRDefault="00B11056" w:rsidP="00B11056">
      <w:pPr>
        <w:pStyle w:val="FootnoteText"/>
      </w:pPr>
      <w:r w:rsidRPr="00584E78">
        <w:rPr>
          <w:rStyle w:val="EndnoteReference"/>
          <w:vertAlign w:val="baseline"/>
        </w:rPr>
        <w:endnoteRef/>
      </w:r>
      <w:r>
        <w:tab/>
      </w:r>
      <w:r w:rsidRPr="00584E78">
        <w:t xml:space="preserve">Reconciliation Australia, </w:t>
      </w:r>
      <w:hyperlink r:id="rId101" w:history="1">
        <w:r w:rsidRPr="00584E78">
          <w:rPr>
            <w:rStyle w:val="Hyperlink"/>
          </w:rPr>
          <w:t>About RAPs</w:t>
        </w:r>
      </w:hyperlink>
      <w:r w:rsidRPr="00584E78">
        <w:t>, accessed 14 January 2026</w:t>
      </w:r>
      <w:r>
        <w:t>.</w:t>
      </w:r>
    </w:p>
  </w:endnote>
  <w:endnote w:id="104">
    <w:p w14:paraId="74E8183C" w14:textId="77777777" w:rsidR="00B11056" w:rsidRPr="00584E78" w:rsidRDefault="00B11056" w:rsidP="00B11056">
      <w:pPr>
        <w:pStyle w:val="FootnoteText"/>
      </w:pPr>
      <w:r w:rsidRPr="00584E78">
        <w:rPr>
          <w:rStyle w:val="EndnoteReference"/>
          <w:vertAlign w:val="baseline"/>
        </w:rPr>
        <w:endnoteRef/>
      </w:r>
      <w:r>
        <w:tab/>
      </w:r>
      <w:r w:rsidRPr="00584E78">
        <w:t xml:space="preserve">Australian Government, </w:t>
      </w:r>
      <w:hyperlink r:id="rId102" w:history="1">
        <w:r w:rsidRPr="00584E78">
          <w:rPr>
            <w:rStyle w:val="Hyperlink"/>
          </w:rPr>
          <w:t>Modern slavery in Australia – Guidance, training and resources</w:t>
        </w:r>
      </w:hyperlink>
      <w:r w:rsidRPr="00584E78">
        <w:t>, accessed 3</w:t>
      </w:r>
      <w:r>
        <w:t> </w:t>
      </w:r>
      <w:r w:rsidRPr="00584E78">
        <w:t>March</w:t>
      </w:r>
      <w:r>
        <w:t> </w:t>
      </w:r>
      <w:r w:rsidRPr="00584E78">
        <w:t>2026</w:t>
      </w:r>
      <w:r>
        <w:t>.</w:t>
      </w:r>
    </w:p>
  </w:endnote>
  <w:endnote w:id="105">
    <w:p w14:paraId="06F6AE10" w14:textId="441FD0E5" w:rsidR="00B11056" w:rsidRDefault="00B11056" w:rsidP="00B11056">
      <w:pPr>
        <w:pStyle w:val="FootnoteText"/>
      </w:pPr>
      <w:r w:rsidRPr="00722DC6">
        <w:rPr>
          <w:rStyle w:val="EndnoteReference"/>
          <w:vertAlign w:val="baseline"/>
        </w:rPr>
        <w:endnoteRef/>
      </w:r>
      <w:r>
        <w:tab/>
      </w:r>
      <w:r w:rsidRPr="00584E78">
        <w:t xml:space="preserve">Australian Government, </w:t>
      </w:r>
      <w:hyperlink r:id="rId103" w:history="1">
        <w:r w:rsidRPr="00584E78">
          <w:rPr>
            <w:rStyle w:val="Hyperlink"/>
          </w:rPr>
          <w:t>Modern slavery in Australia for business</w:t>
        </w:r>
      </w:hyperlink>
      <w:r w:rsidRPr="00584E78">
        <w:t>, accessed 24 February 2026</w:t>
      </w:r>
      <w:r>
        <w:t>.</w:t>
      </w:r>
    </w:p>
  </w:endnote>
  <w:endnote w:id="106">
    <w:p w14:paraId="1BD767F4" w14:textId="211B11EF" w:rsidR="00B11056" w:rsidRDefault="00B11056" w:rsidP="00B11056">
      <w:pPr>
        <w:pStyle w:val="FootnoteText"/>
      </w:pPr>
      <w:r w:rsidRPr="00B87F2A">
        <w:rPr>
          <w:rStyle w:val="EndnoteReference"/>
          <w:vertAlign w:val="baseline"/>
        </w:rPr>
        <w:endnoteRef/>
      </w:r>
      <w:r>
        <w:tab/>
        <w:t xml:space="preserve">Circular Australia, </w:t>
      </w:r>
      <w:hyperlink r:id="rId104" w:history="1">
        <w:r w:rsidRPr="00440102">
          <w:rPr>
            <w:rStyle w:val="Hyperlink"/>
          </w:rPr>
          <w:t>Circular Economy Finance Report and Guide</w:t>
        </w:r>
      </w:hyperlink>
      <w:r>
        <w:t xml:space="preserve"> (2025), accessed 3 March 2026.</w:t>
      </w:r>
    </w:p>
  </w:endnote>
  <w:endnote w:id="107">
    <w:p w14:paraId="31BBB410" w14:textId="77777777" w:rsidR="00B11056" w:rsidRPr="00584E78" w:rsidRDefault="00B11056" w:rsidP="00B11056">
      <w:pPr>
        <w:pStyle w:val="FootnoteText"/>
      </w:pPr>
      <w:r w:rsidRPr="00584E78">
        <w:rPr>
          <w:rStyle w:val="EndnoteReference"/>
          <w:vertAlign w:val="baseline"/>
        </w:rPr>
        <w:endnoteRef/>
      </w:r>
      <w:r>
        <w:tab/>
      </w:r>
      <w:r w:rsidRPr="00584E78">
        <w:t xml:space="preserve">International Finance Corporation, </w:t>
      </w:r>
      <w:hyperlink r:id="rId105" w:history="1">
        <w:r w:rsidRPr="00584E78">
          <w:rPr>
            <w:rStyle w:val="Hyperlink"/>
          </w:rPr>
          <w:t>Harmonized Circular Economy Finance Guidelines</w:t>
        </w:r>
      </w:hyperlink>
      <w:r w:rsidRPr="00584E78">
        <w:t xml:space="preserve"> (2025), accessed 3</w:t>
      </w:r>
      <w:r>
        <w:t> </w:t>
      </w:r>
      <w:r w:rsidRPr="00584E78">
        <w:t>March 2026</w:t>
      </w:r>
      <w:r>
        <w:t>.</w:t>
      </w:r>
    </w:p>
  </w:endnote>
  <w:endnote w:id="108">
    <w:p w14:paraId="79F6D483" w14:textId="2C3F1E83" w:rsidR="005856BF" w:rsidRPr="00584E78" w:rsidRDefault="005856BF" w:rsidP="00584E78">
      <w:pPr>
        <w:pStyle w:val="FootnoteText"/>
      </w:pPr>
      <w:r w:rsidRPr="00584E78">
        <w:rPr>
          <w:rStyle w:val="EndnoteReference"/>
          <w:vertAlign w:val="baseline"/>
        </w:rPr>
        <w:endnoteRef/>
      </w:r>
      <w:r w:rsidR="00FE0F4A">
        <w:tab/>
      </w:r>
      <w:r w:rsidRPr="00584E78">
        <w:t xml:space="preserve">Investor Group on Climate Change, </w:t>
      </w:r>
      <w:hyperlink r:id="rId106" w:history="1">
        <w:r w:rsidRPr="00584E78">
          <w:rPr>
            <w:rStyle w:val="Hyperlink"/>
          </w:rPr>
          <w:t>Incentivising Climate Action with Executive Remuneration in Australia</w:t>
        </w:r>
      </w:hyperlink>
      <w:r w:rsidRPr="00584E78">
        <w:t xml:space="preserve"> (2024), accessed 15 January 2026</w:t>
      </w:r>
      <w:r w:rsidR="00D512BB">
        <w:t>.</w:t>
      </w:r>
    </w:p>
  </w:endnote>
  <w:endnote w:id="109">
    <w:p w14:paraId="46DD6BF5" w14:textId="56B220D0" w:rsidR="001D7A05" w:rsidRDefault="001D7A05" w:rsidP="00DB6514">
      <w:pPr>
        <w:pStyle w:val="FootnoteText"/>
      </w:pPr>
      <w:r w:rsidRPr="003B016D">
        <w:rPr>
          <w:rStyle w:val="EndnoteReference"/>
          <w:vertAlign w:val="baseline"/>
        </w:rPr>
        <w:endnoteRef/>
      </w:r>
      <w:r w:rsidR="00DB6514">
        <w:rPr>
          <w:rStyle w:val="EndnoteReference"/>
          <w:vertAlign w:val="baseline"/>
        </w:rPr>
        <w:tab/>
      </w:r>
      <w:r>
        <w:t xml:space="preserve">Australian Climate Leaders Coalition, </w:t>
      </w:r>
      <w:hyperlink r:id="rId107" w:history="1">
        <w:r w:rsidRPr="00A30171">
          <w:rPr>
            <w:rStyle w:val="Hyperlink"/>
          </w:rPr>
          <w:t>Scope 3 Roadmap</w:t>
        </w:r>
      </w:hyperlink>
      <w:r>
        <w:t xml:space="preserve"> (2022), accessed 20 March 2026.</w:t>
      </w:r>
    </w:p>
  </w:endnote>
  <w:endnote w:id="110">
    <w:p w14:paraId="378B982A" w14:textId="4267BBAC" w:rsidR="003B3647" w:rsidRPr="00584E78" w:rsidRDefault="003B3647" w:rsidP="003B3647">
      <w:pPr>
        <w:pStyle w:val="FootnoteText"/>
      </w:pPr>
      <w:r w:rsidRPr="00584E78">
        <w:rPr>
          <w:rStyle w:val="EndnoteReference"/>
          <w:vertAlign w:val="baseline"/>
        </w:rPr>
        <w:endnoteRef/>
      </w:r>
      <w:r>
        <w:tab/>
      </w:r>
      <w:r w:rsidRPr="00584E78">
        <w:t xml:space="preserve">ACCC, </w:t>
      </w:r>
      <w:hyperlink r:id="rId108" w:history="1">
        <w:r w:rsidRPr="00584E78">
          <w:rPr>
            <w:rStyle w:val="Hyperlink"/>
          </w:rPr>
          <w:t>Sustainability collaborations and Australian competition law – a guide for business</w:t>
        </w:r>
      </w:hyperlink>
      <w:r w:rsidR="00FF46B8">
        <w:t xml:space="preserve"> (2025)</w:t>
      </w:r>
      <w:r w:rsidRPr="00584E78">
        <w:t>, accessed 14</w:t>
      </w:r>
      <w:r>
        <w:t> </w:t>
      </w:r>
      <w:r w:rsidRPr="00584E78">
        <w:t>January 2026</w:t>
      </w:r>
      <w:r>
        <w:t>.</w:t>
      </w:r>
    </w:p>
  </w:endnote>
  <w:endnote w:id="111">
    <w:p w14:paraId="5CE5AC84" w14:textId="7A0C2140" w:rsidR="005A407C" w:rsidRPr="00584E78" w:rsidRDefault="005A407C" w:rsidP="00584E78">
      <w:pPr>
        <w:pStyle w:val="FootnoteText"/>
      </w:pPr>
      <w:r w:rsidRPr="00584E78">
        <w:rPr>
          <w:rStyle w:val="EndnoteReference"/>
          <w:vertAlign w:val="baseline"/>
        </w:rPr>
        <w:endnoteRef/>
      </w:r>
      <w:r w:rsidR="00FE0F4A">
        <w:tab/>
      </w:r>
      <w:r w:rsidRPr="00584E78">
        <w:t xml:space="preserve">AICD, </w:t>
      </w:r>
      <w:hyperlink r:id="rId109" w:history="1">
        <w:r w:rsidRPr="00CE6987">
          <w:rPr>
            <w:rStyle w:val="Hyperlink"/>
          </w:rPr>
          <w:t>Climate transition plans under the spotlight</w:t>
        </w:r>
      </w:hyperlink>
      <w:r w:rsidRPr="00584E78">
        <w:t xml:space="preserve"> (2024), accessed 4 March 2026</w:t>
      </w:r>
      <w:r w:rsidR="00D512BB">
        <w:t>.</w:t>
      </w:r>
    </w:p>
  </w:endnote>
  <w:endnote w:id="112">
    <w:p w14:paraId="57D6E6A6" w14:textId="77777777" w:rsidR="000234D9" w:rsidRPr="00584E78" w:rsidRDefault="000234D9" w:rsidP="000234D9">
      <w:pPr>
        <w:pStyle w:val="FootnoteText"/>
      </w:pPr>
      <w:r w:rsidRPr="00584E78">
        <w:rPr>
          <w:rStyle w:val="EndnoteReference"/>
          <w:vertAlign w:val="baseline"/>
        </w:rPr>
        <w:endnoteRef/>
      </w:r>
      <w:r>
        <w:tab/>
        <w:t>Australian Government</w:t>
      </w:r>
      <w:r w:rsidRPr="00584E78">
        <w:t xml:space="preserve">, </w:t>
      </w:r>
      <w:hyperlink r:id="rId110" w:history="1">
        <w:r w:rsidRPr="00584E78">
          <w:rPr>
            <w:rStyle w:val="Hyperlink"/>
          </w:rPr>
          <w:t>National Guidelines for Community Engagement and Benefits for Electricity Transmission Projects</w:t>
        </w:r>
      </w:hyperlink>
      <w:r w:rsidRPr="00584E78">
        <w:t xml:space="preserve"> (2024), accessed 14 January 2026</w:t>
      </w:r>
      <w:r>
        <w:t>.</w:t>
      </w:r>
    </w:p>
  </w:endnote>
  <w:endnote w:id="113">
    <w:p w14:paraId="242A3901" w14:textId="1606EAF3" w:rsidR="005C7174" w:rsidRPr="00584E78" w:rsidRDefault="005C7174" w:rsidP="00584E78">
      <w:pPr>
        <w:pStyle w:val="FootnoteText"/>
      </w:pPr>
      <w:r w:rsidRPr="00584E78">
        <w:rPr>
          <w:rStyle w:val="EndnoteReference"/>
          <w:vertAlign w:val="baseline"/>
        </w:rPr>
        <w:endnoteRef/>
      </w:r>
      <w:r w:rsidR="00FE0F4A">
        <w:tab/>
      </w:r>
      <w:r w:rsidRPr="00584E78">
        <w:t xml:space="preserve">Department of Agriculture, Fisheries and Forestry, </w:t>
      </w:r>
      <w:hyperlink r:id="rId111" w:history="1">
        <w:r w:rsidRPr="00584E78">
          <w:rPr>
            <w:rStyle w:val="Hyperlink"/>
          </w:rPr>
          <w:t>Australia’s Indigenous land and forest estate</w:t>
        </w:r>
      </w:hyperlink>
      <w:r w:rsidRPr="00584E78">
        <w:t xml:space="preserve"> (2024), accessed 28 January 2026</w:t>
      </w:r>
      <w:r w:rsidR="00D512BB">
        <w:t>.</w:t>
      </w:r>
    </w:p>
  </w:endnote>
  <w:endnote w:id="114">
    <w:p w14:paraId="5406DC88" w14:textId="5D71D4CC" w:rsidR="00C55509" w:rsidRPr="00584E78" w:rsidDel="00BE270E" w:rsidRDefault="00C55509" w:rsidP="00584E78">
      <w:pPr>
        <w:pStyle w:val="FootnoteText"/>
      </w:pPr>
      <w:r w:rsidRPr="00584E78" w:rsidDel="00BE270E">
        <w:rPr>
          <w:rStyle w:val="EndnoteReference"/>
          <w:vertAlign w:val="baseline"/>
        </w:rPr>
        <w:endnoteRef/>
      </w:r>
      <w:r w:rsidR="00FE0F4A" w:rsidDel="00BE270E">
        <w:tab/>
      </w:r>
      <w:r w:rsidR="00BD2F32" w:rsidRPr="00584E78" w:rsidDel="00BE270E">
        <w:t xml:space="preserve">Australian Government, </w:t>
      </w:r>
      <w:hyperlink r:id="rId112" w:history="1">
        <w:r w:rsidR="00BD2F32" w:rsidRPr="00584E78" w:rsidDel="00BE270E">
          <w:rPr>
            <w:rStyle w:val="Hyperlink"/>
          </w:rPr>
          <w:t>First Nations Economic Partnership Agreement</w:t>
        </w:r>
      </w:hyperlink>
      <w:r w:rsidR="00BD2F32" w:rsidRPr="00584E78" w:rsidDel="00BE270E">
        <w:t xml:space="preserve"> (2025), accessed </w:t>
      </w:r>
      <w:r w:rsidR="00232FB5" w:rsidRPr="00584E78" w:rsidDel="00BE270E">
        <w:t>27 January 2026</w:t>
      </w:r>
      <w:r w:rsidR="00D512BB" w:rsidDel="00BE270E">
        <w:t>.</w:t>
      </w:r>
    </w:p>
  </w:endnote>
  <w:endnote w:id="115">
    <w:p w14:paraId="3F9089FC" w14:textId="192E1ECE" w:rsidR="004A53E0" w:rsidRPr="00584E78" w:rsidDel="008D559C" w:rsidRDefault="004A53E0" w:rsidP="00584E78">
      <w:pPr>
        <w:pStyle w:val="FootnoteText"/>
      </w:pPr>
      <w:r w:rsidRPr="00584E78" w:rsidDel="008D559C">
        <w:rPr>
          <w:rStyle w:val="EndnoteReference"/>
          <w:vertAlign w:val="baseline"/>
        </w:rPr>
        <w:endnoteRef/>
      </w:r>
      <w:r w:rsidR="00FE0F4A" w:rsidDel="008D559C">
        <w:tab/>
      </w:r>
      <w:r w:rsidRPr="00584E78" w:rsidDel="008D559C">
        <w:t xml:space="preserve">Closing the Gap, </w:t>
      </w:r>
      <w:hyperlink r:id="rId113" w:history="1">
        <w:r w:rsidRPr="00584E78" w:rsidDel="008D559C">
          <w:rPr>
            <w:rStyle w:val="Hyperlink"/>
          </w:rPr>
          <w:t>National Agreement on Closing the Gap</w:t>
        </w:r>
      </w:hyperlink>
      <w:r w:rsidRPr="00584E78" w:rsidDel="008D559C">
        <w:t xml:space="preserve"> (2020), accessed 14 January 2026</w:t>
      </w:r>
      <w:r w:rsidR="00D512BB" w:rsidDel="008D559C">
        <w:t>.</w:t>
      </w:r>
    </w:p>
  </w:endnote>
  <w:endnote w:id="116">
    <w:p w14:paraId="270A6B9B" w14:textId="4006F5EF" w:rsidR="004A53E0" w:rsidRPr="00584E78" w:rsidDel="008D559C" w:rsidRDefault="004A53E0" w:rsidP="00584E78">
      <w:pPr>
        <w:pStyle w:val="FootnoteText"/>
      </w:pPr>
      <w:r w:rsidRPr="00584E78" w:rsidDel="008D559C">
        <w:rPr>
          <w:rStyle w:val="EndnoteReference"/>
          <w:vertAlign w:val="baseline"/>
        </w:rPr>
        <w:endnoteRef/>
      </w:r>
      <w:r w:rsidR="00FE0F4A" w:rsidDel="008D559C">
        <w:tab/>
      </w:r>
      <w:r w:rsidRPr="00584E78" w:rsidDel="008D559C">
        <w:t xml:space="preserve">First Nations Heritage Protection Alliance, </w:t>
      </w:r>
      <w:hyperlink r:id="rId114" w:history="1">
        <w:r w:rsidRPr="00584E78" w:rsidDel="008D559C">
          <w:rPr>
            <w:rStyle w:val="Hyperlink"/>
          </w:rPr>
          <w:t>Dhawura Ngilan Business and Investor Guides</w:t>
        </w:r>
      </w:hyperlink>
      <w:r w:rsidRPr="00584E78" w:rsidDel="008D559C">
        <w:t>, accessed 14</w:t>
      </w:r>
      <w:r w:rsidR="00FE0F4A" w:rsidDel="008D559C">
        <w:t> </w:t>
      </w:r>
      <w:r w:rsidRPr="00584E78" w:rsidDel="008D559C">
        <w:t>January 2026</w:t>
      </w:r>
      <w:r w:rsidR="00D512BB" w:rsidDel="008D559C">
        <w:t>.</w:t>
      </w:r>
    </w:p>
  </w:endnote>
  <w:endnote w:id="117">
    <w:p w14:paraId="7A336256" w14:textId="77777777" w:rsidR="000234D9" w:rsidRPr="00584E78" w:rsidDel="008D559C" w:rsidRDefault="000234D9" w:rsidP="000234D9">
      <w:pPr>
        <w:pStyle w:val="FootnoteText"/>
      </w:pPr>
      <w:r w:rsidRPr="00584E78" w:rsidDel="008D559C">
        <w:rPr>
          <w:rStyle w:val="EndnoteReference"/>
          <w:vertAlign w:val="baseline"/>
        </w:rPr>
        <w:endnoteRef/>
      </w:r>
      <w:r w:rsidDel="008D559C">
        <w:tab/>
      </w:r>
      <w:r w:rsidRPr="00584E78" w:rsidDel="008D559C">
        <w:t xml:space="preserve">First Nations Clean Energy Network, </w:t>
      </w:r>
      <w:hyperlink r:id="rId115" w:history="1">
        <w:r w:rsidRPr="00584E78" w:rsidDel="008D559C">
          <w:rPr>
            <w:rStyle w:val="Hyperlink"/>
          </w:rPr>
          <w:t>Best Practice Network Guides</w:t>
        </w:r>
      </w:hyperlink>
      <w:r w:rsidRPr="00584E78" w:rsidDel="008D559C">
        <w:t>, accessed 14 January 2026</w:t>
      </w:r>
      <w:r w:rsidDel="008D559C">
        <w:t>.</w:t>
      </w:r>
    </w:p>
  </w:endnote>
  <w:endnote w:id="118">
    <w:p w14:paraId="7430A95E" w14:textId="03701AEE" w:rsidR="00F82CC6" w:rsidRPr="00F82CC6" w:rsidRDefault="00F82CC6" w:rsidP="00F82CC6">
      <w:pPr>
        <w:pStyle w:val="FootnoteText"/>
      </w:pPr>
      <w:r w:rsidRPr="00F82CC6">
        <w:rPr>
          <w:rStyle w:val="EndnoteReference"/>
          <w:vertAlign w:val="baseline"/>
        </w:rPr>
        <w:endnoteRef/>
      </w:r>
      <w:r w:rsidR="006E4ECF">
        <w:tab/>
      </w:r>
      <w:r w:rsidR="007413C5" w:rsidDel="00375C8A">
        <w:t>TPT</w:t>
      </w:r>
      <w:r w:rsidR="007413C5">
        <w:t>,</w:t>
      </w:r>
      <w:r w:rsidR="007413C5" w:rsidRPr="008C15C5" w:rsidDel="00375C8A">
        <w:t xml:space="preserve"> </w:t>
      </w:r>
      <w:hyperlink r:id="rId116" w:history="1">
        <w:r w:rsidR="007413C5" w:rsidRPr="00D12694">
          <w:rPr>
            <w:rStyle w:val="Hyperlink"/>
          </w:rPr>
          <w:t>Disclosure Framework</w:t>
        </w:r>
      </w:hyperlink>
      <w:r w:rsidR="007413C5">
        <w:t xml:space="preserve"> (</w:t>
      </w:r>
      <w:r w:rsidR="003A2C50">
        <w:t>2023), Accessed 20 March 2026.</w:t>
      </w:r>
    </w:p>
  </w:endnote>
  <w:endnote w:id="119">
    <w:p w14:paraId="68EAAD65" w14:textId="7DEF354F" w:rsidR="008A651E" w:rsidRDefault="008A651E" w:rsidP="00F82CC6">
      <w:pPr>
        <w:pStyle w:val="FootnoteText"/>
      </w:pPr>
      <w:r w:rsidRPr="00F82CC6">
        <w:rPr>
          <w:rStyle w:val="EndnoteReference"/>
          <w:vertAlign w:val="baseline"/>
        </w:rPr>
        <w:endnoteRef/>
      </w:r>
      <w:r w:rsidRPr="00F82CC6">
        <w:t xml:space="preserve"> </w:t>
      </w:r>
      <w:r w:rsidR="00F82CC6">
        <w:tab/>
      </w:r>
      <w:r>
        <w:t>Australian Public Service Academy</w:t>
      </w:r>
      <w:r w:rsidR="00195BED">
        <w:t xml:space="preserve">, </w:t>
      </w:r>
      <w:hyperlink r:id="rId117" w:history="1">
        <w:r w:rsidR="00195BED" w:rsidRPr="00B507B0">
          <w:rPr>
            <w:rStyle w:val="Hyperlink"/>
          </w:rPr>
          <w:t>Australian Public Service Framework for Engagement and Participation</w:t>
        </w:r>
      </w:hyperlink>
      <w:r w:rsidR="00C04626">
        <w:t xml:space="preserve"> (2021), accessed 20 March 2026.</w:t>
      </w:r>
    </w:p>
  </w:endnote>
  <w:endnote w:id="120">
    <w:p w14:paraId="55370D86" w14:textId="19E4B3B2" w:rsidR="0005007D" w:rsidRDefault="0005007D" w:rsidP="00F82CC6">
      <w:pPr>
        <w:pStyle w:val="FootnoteText"/>
      </w:pPr>
      <w:r w:rsidRPr="00F82CC6">
        <w:rPr>
          <w:rStyle w:val="EndnoteReference"/>
          <w:vertAlign w:val="baseline"/>
        </w:rPr>
        <w:endnoteRef/>
      </w:r>
      <w:r w:rsidRPr="00F82CC6">
        <w:t xml:space="preserve"> </w:t>
      </w:r>
      <w:r w:rsidR="00F82CC6">
        <w:tab/>
      </w:r>
      <w:r>
        <w:t xml:space="preserve">Attorney-General’s Department, </w:t>
      </w:r>
      <w:hyperlink r:id="rId118" w:history="1">
        <w:r w:rsidRPr="00E9556D">
          <w:rPr>
            <w:rStyle w:val="Hyperlink"/>
          </w:rPr>
          <w:t>Lobbying Code of Conduct</w:t>
        </w:r>
      </w:hyperlink>
      <w:r>
        <w:t xml:space="preserve"> (2022), accessed 20 March 2026</w:t>
      </w:r>
      <w:r w:rsidR="007F7D35">
        <w:t>.</w:t>
      </w:r>
    </w:p>
  </w:endnote>
  <w:endnote w:id="121">
    <w:p w14:paraId="2212A53D" w14:textId="4FDFD56A" w:rsidR="0005007D" w:rsidRDefault="0005007D" w:rsidP="00F82CC6">
      <w:pPr>
        <w:pStyle w:val="FootnoteText"/>
      </w:pPr>
      <w:r w:rsidRPr="00F82CC6">
        <w:rPr>
          <w:rStyle w:val="EndnoteReference"/>
          <w:vertAlign w:val="baseline"/>
        </w:rPr>
        <w:endnoteRef/>
      </w:r>
      <w:r>
        <w:t xml:space="preserve"> </w:t>
      </w:r>
      <w:r w:rsidR="00F82CC6">
        <w:tab/>
      </w:r>
      <w:r>
        <w:t xml:space="preserve">Attorney-General’s Department, </w:t>
      </w:r>
      <w:hyperlink r:id="rId119" w:history="1">
        <w:r w:rsidRPr="00F320AA">
          <w:rPr>
            <w:rStyle w:val="Hyperlink"/>
          </w:rPr>
          <w:t>Foreign Influence Transparency Scheme</w:t>
        </w:r>
      </w:hyperlink>
      <w:r>
        <w:t xml:space="preserve"> (</w:t>
      </w:r>
      <w:r w:rsidR="00F45F0B">
        <w:t>2018), accessed 20 March 2026.</w:t>
      </w:r>
    </w:p>
  </w:endnote>
  <w:endnote w:id="122">
    <w:p w14:paraId="515828EA" w14:textId="77777777" w:rsidR="000234D9" w:rsidRPr="00584E78" w:rsidRDefault="000234D9" w:rsidP="000234D9">
      <w:pPr>
        <w:pStyle w:val="FootnoteText"/>
      </w:pPr>
      <w:r w:rsidRPr="00584E78">
        <w:rPr>
          <w:rStyle w:val="EndnoteReference"/>
          <w:vertAlign w:val="baseline"/>
        </w:rPr>
        <w:endnoteRef/>
      </w:r>
      <w:r>
        <w:tab/>
      </w:r>
      <w:r w:rsidRPr="00584E78">
        <w:t xml:space="preserve">Accounting for Sustainability, </w:t>
      </w:r>
      <w:hyperlink r:id="rId120" w:history="1">
        <w:r w:rsidRPr="00584E78">
          <w:rPr>
            <w:rStyle w:val="Hyperlink"/>
          </w:rPr>
          <w:t>Aligning Financial Planning and Transition Planning Guide</w:t>
        </w:r>
      </w:hyperlink>
      <w:r w:rsidRPr="00584E78">
        <w:t xml:space="preserve"> (2025), accessed 14</w:t>
      </w:r>
      <w:r>
        <w:t> </w:t>
      </w:r>
      <w:r w:rsidRPr="00584E78">
        <w:t>January 2026</w:t>
      </w:r>
      <w:r>
        <w:t>.</w:t>
      </w:r>
    </w:p>
  </w:endnote>
  <w:endnote w:id="123">
    <w:p w14:paraId="63201F7A" w14:textId="7057341C" w:rsidR="00AA0D0B" w:rsidRPr="00584E78" w:rsidRDefault="00AA0D0B" w:rsidP="00584E78">
      <w:pPr>
        <w:pStyle w:val="FootnoteText"/>
      </w:pPr>
      <w:r w:rsidRPr="00584E78">
        <w:rPr>
          <w:rStyle w:val="EndnoteReference"/>
          <w:vertAlign w:val="baseline"/>
        </w:rPr>
        <w:endnoteRef/>
      </w:r>
      <w:r w:rsidR="00FE0F4A">
        <w:tab/>
      </w:r>
      <w:r w:rsidRPr="00584E78">
        <w:t xml:space="preserve">ISO, </w:t>
      </w:r>
      <w:hyperlink r:id="rId121" w:history="1">
        <w:r w:rsidRPr="00584E78">
          <w:rPr>
            <w:rStyle w:val="Hyperlink"/>
          </w:rPr>
          <w:t>ISO 14040</w:t>
        </w:r>
      </w:hyperlink>
      <w:r w:rsidRPr="00584E78">
        <w:t xml:space="preserve"> (2006), accessed 15 January 2026</w:t>
      </w:r>
      <w:r w:rsidR="003839CE">
        <w:t>.</w:t>
      </w:r>
    </w:p>
  </w:endnote>
  <w:endnote w:id="124">
    <w:p w14:paraId="0383C9E2" w14:textId="31411E2F" w:rsidR="004D299B" w:rsidRPr="00584E78" w:rsidDel="0005549C" w:rsidRDefault="004D299B" w:rsidP="004D299B">
      <w:pPr>
        <w:pStyle w:val="FootnoteText"/>
      </w:pPr>
      <w:r w:rsidRPr="00584E78" w:rsidDel="0005549C">
        <w:rPr>
          <w:rStyle w:val="EndnoteReference"/>
          <w:vertAlign w:val="baseline"/>
        </w:rPr>
        <w:endnoteRef/>
      </w:r>
      <w:r w:rsidDel="0005549C">
        <w:tab/>
      </w:r>
      <w:r>
        <w:t>SBTI</w:t>
      </w:r>
      <w:r w:rsidRPr="00584E78" w:rsidDel="0005549C">
        <w:t xml:space="preserve">, </w:t>
      </w:r>
      <w:hyperlink r:id="rId122" w:history="1">
        <w:r w:rsidRPr="00F52F97" w:rsidDel="0005549C">
          <w:rPr>
            <w:rStyle w:val="Hyperlink"/>
          </w:rPr>
          <w:t>The Corporate Net-Zero Standard</w:t>
        </w:r>
        <w:r w:rsidR="00F52F97" w:rsidRPr="00F52F97">
          <w:rPr>
            <w:rStyle w:val="Hyperlink"/>
          </w:rPr>
          <w:t xml:space="preserve"> Version 2.0</w:t>
        </w:r>
      </w:hyperlink>
      <w:r w:rsidRPr="00584E78" w:rsidDel="0005549C">
        <w:t xml:space="preserve"> (</w:t>
      </w:r>
      <w:r w:rsidR="00F52F97">
        <w:t>2026</w:t>
      </w:r>
      <w:r w:rsidRPr="00584E78" w:rsidDel="0005549C">
        <w:t xml:space="preserve">), accessed </w:t>
      </w:r>
      <w:r w:rsidR="00F52F97">
        <w:t>11</w:t>
      </w:r>
      <w:r w:rsidRPr="00584E78" w:rsidDel="0005549C">
        <w:t xml:space="preserve"> </w:t>
      </w:r>
      <w:r w:rsidR="00F52F97">
        <w:t>August</w:t>
      </w:r>
      <w:r w:rsidRPr="00584E78" w:rsidDel="0005549C">
        <w:t xml:space="preserve"> 2026</w:t>
      </w:r>
      <w:r>
        <w:t>.</w:t>
      </w:r>
    </w:p>
  </w:endnote>
  <w:endnote w:id="125">
    <w:p w14:paraId="20945156" w14:textId="3D5A680D" w:rsidR="00584E78" w:rsidRPr="00584E78" w:rsidRDefault="00584E78" w:rsidP="00584E78">
      <w:pPr>
        <w:pStyle w:val="FootnoteText"/>
      </w:pPr>
      <w:r w:rsidRPr="00584E78">
        <w:rPr>
          <w:rStyle w:val="EndnoteReference"/>
          <w:vertAlign w:val="baseline"/>
        </w:rPr>
        <w:endnoteRef/>
      </w:r>
      <w:r w:rsidRPr="00584E78">
        <w:t xml:space="preserve"> </w:t>
      </w:r>
      <w:r w:rsidR="00FE0F4A">
        <w:tab/>
      </w:r>
      <w:r w:rsidRPr="00584E78">
        <w:t xml:space="preserve">The Integrity Council for the Voluntary Carbon Market, </w:t>
      </w:r>
      <w:hyperlink r:id="rId123" w:history="1">
        <w:r w:rsidRPr="00584E78">
          <w:rPr>
            <w:rStyle w:val="Hyperlink"/>
          </w:rPr>
          <w:t>Core Carbon Principles</w:t>
        </w:r>
      </w:hyperlink>
      <w:r w:rsidRPr="00584E78">
        <w:t>, accessed 15 January 2026</w:t>
      </w:r>
      <w:r w:rsidR="00D512BB">
        <w:t>.</w:t>
      </w:r>
    </w:p>
  </w:endnote>
  <w:endnote w:id="126">
    <w:p w14:paraId="7501025E" w14:textId="60DBB3C2" w:rsidR="00584E78" w:rsidRPr="00584E78" w:rsidRDefault="00584E78" w:rsidP="00584E78">
      <w:pPr>
        <w:pStyle w:val="FootnoteText"/>
      </w:pPr>
      <w:r w:rsidRPr="00584E78">
        <w:rPr>
          <w:rStyle w:val="EndnoteReference"/>
          <w:vertAlign w:val="baseline"/>
        </w:rPr>
        <w:endnoteRef/>
      </w:r>
      <w:r w:rsidR="00FE0F4A">
        <w:tab/>
      </w:r>
      <w:r w:rsidRPr="00584E78">
        <w:t xml:space="preserve">Australian Government, </w:t>
      </w:r>
      <w:hyperlink r:id="rId124" w:history="1">
        <w:r w:rsidRPr="00584E78">
          <w:rPr>
            <w:rStyle w:val="Hyperlink"/>
            <w:i/>
            <w:iCs/>
          </w:rPr>
          <w:t>Carbon Credits (Carbon Farming Initiative) Act 2011</w:t>
        </w:r>
      </w:hyperlink>
      <w:r w:rsidRPr="00584E78">
        <w:t>, accessed 15 January 2026</w:t>
      </w:r>
      <w:r w:rsidR="00D512BB">
        <w:t>.</w:t>
      </w:r>
    </w:p>
  </w:endnote>
  <w:endnote w:id="127">
    <w:p w14:paraId="42C4BDD8" w14:textId="7F158AB8" w:rsidR="00584E78" w:rsidRPr="00584E78" w:rsidRDefault="00584E78" w:rsidP="00584E78">
      <w:pPr>
        <w:pStyle w:val="FootnoteText"/>
      </w:pPr>
      <w:r w:rsidRPr="00584E78">
        <w:rPr>
          <w:rStyle w:val="EndnoteReference"/>
          <w:vertAlign w:val="baseline"/>
        </w:rPr>
        <w:endnoteRef/>
      </w:r>
      <w:r w:rsidR="00FE0F4A">
        <w:tab/>
      </w:r>
      <w:r w:rsidRPr="00584E78">
        <w:t xml:space="preserve">University of Oxford, </w:t>
      </w:r>
      <w:hyperlink r:id="rId125" w:history="1">
        <w:r w:rsidRPr="00584E78">
          <w:rPr>
            <w:rStyle w:val="Hyperlink"/>
          </w:rPr>
          <w:t>Oxford Principles for Net Zero Aligned Carbon Offsetting (Revised 2024)</w:t>
        </w:r>
      </w:hyperlink>
      <w:r w:rsidRPr="00584E78">
        <w:t>, accessed 15</w:t>
      </w:r>
      <w:r w:rsidR="00FE0F4A">
        <w:t> </w:t>
      </w:r>
      <w:r w:rsidRPr="00584E78">
        <w:t>January 2026</w:t>
      </w:r>
      <w:r w:rsidR="00D512BB">
        <w:t>.</w:t>
      </w:r>
    </w:p>
  </w:endnote>
  <w:endnote w:id="128">
    <w:p w14:paraId="10B3DE50" w14:textId="1C579390" w:rsidR="00584E78" w:rsidRPr="00584E78" w:rsidRDefault="00584E78" w:rsidP="00584E78">
      <w:pPr>
        <w:pStyle w:val="FootnoteText"/>
      </w:pPr>
      <w:r w:rsidRPr="00584E78">
        <w:rPr>
          <w:rStyle w:val="EndnoteReference"/>
          <w:vertAlign w:val="baseline"/>
        </w:rPr>
        <w:endnoteRef/>
      </w:r>
      <w:r w:rsidR="00FE0F4A">
        <w:tab/>
      </w:r>
      <w:r w:rsidRPr="00584E78">
        <w:t xml:space="preserve">Climate Active, </w:t>
      </w:r>
      <w:hyperlink r:id="rId126" w:history="1">
        <w:r w:rsidRPr="00584E78">
          <w:rPr>
            <w:rStyle w:val="Hyperlink"/>
          </w:rPr>
          <w:t>Technical Guidance Manual</w:t>
        </w:r>
      </w:hyperlink>
      <w:r w:rsidRPr="00584E78">
        <w:t xml:space="preserve"> (2024), accessed 15 January 2026</w:t>
      </w:r>
      <w:r w:rsidR="00D512BB">
        <w:t>.</w:t>
      </w:r>
    </w:p>
  </w:endnote>
  <w:endnote w:id="129">
    <w:p w14:paraId="6D6C2851" w14:textId="77777777" w:rsidR="008D2109" w:rsidRDefault="008D2109" w:rsidP="008D2109">
      <w:pPr>
        <w:pStyle w:val="FootnoteText"/>
      </w:pPr>
      <w:r w:rsidRPr="00F82CC6">
        <w:rPr>
          <w:rStyle w:val="EndnoteReference"/>
          <w:vertAlign w:val="baseline"/>
        </w:rPr>
        <w:endnoteRef/>
      </w:r>
      <w:r>
        <w:t xml:space="preserve"> </w:t>
      </w:r>
      <w:r>
        <w:tab/>
        <w:t xml:space="preserve">CER, </w:t>
      </w:r>
      <w:hyperlink r:id="rId127" w:history="1">
        <w:r w:rsidRPr="00986E58">
          <w:rPr>
            <w:rStyle w:val="Hyperlink"/>
          </w:rPr>
          <w:t>Australian Carbon Credit Unit scheme</w:t>
        </w:r>
      </w:hyperlink>
      <w:r>
        <w:t xml:space="preserve"> (2025), accessed 20 March 2026.</w:t>
      </w:r>
    </w:p>
  </w:endnote>
  <w:endnote w:id="130">
    <w:p w14:paraId="6953A94E" w14:textId="77777777" w:rsidR="008D2109" w:rsidRPr="00584E78" w:rsidRDefault="008D2109" w:rsidP="008D2109">
      <w:pPr>
        <w:pStyle w:val="FootnoteText"/>
      </w:pPr>
      <w:r w:rsidRPr="00584E78">
        <w:rPr>
          <w:rStyle w:val="EndnoteReference"/>
          <w:vertAlign w:val="baseline"/>
        </w:rPr>
        <w:endnoteRef/>
      </w:r>
      <w:r>
        <w:tab/>
      </w:r>
      <w:r w:rsidRPr="00584E78">
        <w:t xml:space="preserve">CER, </w:t>
      </w:r>
      <w:hyperlink r:id="rId128" w:history="1">
        <w:r w:rsidRPr="00584E78">
          <w:rPr>
            <w:rStyle w:val="Hyperlink"/>
          </w:rPr>
          <w:t>ACCU project and contract register</w:t>
        </w:r>
      </w:hyperlink>
      <w:r w:rsidRPr="00584E78">
        <w:t>, accessed 14 January 2026</w:t>
      </w:r>
      <w:r>
        <w:t>.</w:t>
      </w:r>
    </w:p>
  </w:endnote>
  <w:endnote w:id="131">
    <w:p w14:paraId="1A532937" w14:textId="32F7AD1A" w:rsidR="00584E78" w:rsidRPr="00584E78" w:rsidRDefault="00584E78" w:rsidP="00584E78">
      <w:pPr>
        <w:pStyle w:val="FootnoteText"/>
      </w:pPr>
      <w:r w:rsidRPr="00584E78">
        <w:rPr>
          <w:rStyle w:val="EndnoteReference"/>
          <w:vertAlign w:val="baseline"/>
        </w:rPr>
        <w:endnoteRef/>
      </w:r>
      <w:r w:rsidR="00FE0F4A">
        <w:tab/>
      </w:r>
      <w:r w:rsidRPr="00584E78">
        <w:t xml:space="preserve">SBTI, </w:t>
      </w:r>
      <w:hyperlink r:id="rId129" w:history="1">
        <w:r w:rsidRPr="008058A7">
          <w:rPr>
            <w:rStyle w:val="Hyperlink"/>
          </w:rPr>
          <w:t>Beyond Value Chain Mitigation</w:t>
        </w:r>
      </w:hyperlink>
      <w:r w:rsidRPr="00584E78">
        <w:t xml:space="preserve"> (2024), accessed 4 March 2026</w:t>
      </w:r>
      <w:r w:rsidR="00D512BB">
        <w:t>.</w:t>
      </w:r>
    </w:p>
  </w:endnote>
  <w:endnote w:id="132">
    <w:p w14:paraId="19CA3308" w14:textId="44F69844" w:rsidR="00130019" w:rsidRPr="00130019" w:rsidRDefault="00130019" w:rsidP="00130019">
      <w:pPr>
        <w:pStyle w:val="FootnoteText"/>
      </w:pPr>
      <w:r w:rsidRPr="00130019">
        <w:rPr>
          <w:rStyle w:val="EndnoteReference"/>
          <w:vertAlign w:val="baseline"/>
        </w:rPr>
        <w:endnoteRef/>
      </w:r>
      <w:r w:rsidRPr="00130019">
        <w:t xml:space="preserve"> </w:t>
      </w:r>
      <w:r>
        <w:tab/>
        <w:t xml:space="preserve">CER, </w:t>
      </w:r>
      <w:hyperlink r:id="rId130" w:history="1">
        <w:r w:rsidRPr="000128F8">
          <w:rPr>
            <w:rStyle w:val="Hyperlink"/>
          </w:rPr>
          <w:t>Large-scale generation certificate</w:t>
        </w:r>
        <w:r w:rsidR="000128F8" w:rsidRPr="000128F8">
          <w:rPr>
            <w:rStyle w:val="Hyperlink"/>
          </w:rPr>
          <w:t>s</w:t>
        </w:r>
      </w:hyperlink>
      <w:r w:rsidR="000934A5">
        <w:t xml:space="preserve"> (2025)</w:t>
      </w:r>
      <w:r>
        <w:t>, accessed 20 March 2026.</w:t>
      </w:r>
    </w:p>
  </w:endnote>
  <w:endnote w:id="133">
    <w:p w14:paraId="4A5296D2" w14:textId="18EBC623" w:rsidR="00E35DBD" w:rsidRPr="00584E78" w:rsidRDefault="00E35DBD" w:rsidP="00584E78">
      <w:pPr>
        <w:pStyle w:val="FootnoteText"/>
      </w:pPr>
      <w:r w:rsidRPr="00584E78">
        <w:rPr>
          <w:rStyle w:val="EndnoteReference"/>
          <w:vertAlign w:val="baseline"/>
        </w:rPr>
        <w:endnoteRef/>
      </w:r>
      <w:r w:rsidR="00FE0F4A">
        <w:tab/>
      </w:r>
      <w:r w:rsidRPr="00584E78">
        <w:t xml:space="preserve">CER, </w:t>
      </w:r>
      <w:hyperlink r:id="rId131" w:history="1">
        <w:r w:rsidRPr="00584E78">
          <w:rPr>
            <w:rStyle w:val="Hyperlink"/>
          </w:rPr>
          <w:t>Renewable Electricity Guarantee of Origin</w:t>
        </w:r>
      </w:hyperlink>
      <w:r w:rsidR="003F1D02">
        <w:t xml:space="preserve"> (2025)</w:t>
      </w:r>
      <w:r w:rsidRPr="00584E78">
        <w:t>, accessed 14 January 2026</w:t>
      </w:r>
      <w:r w:rsidR="00D512BB" w:rsidDel="009C1370">
        <w:t>.</w:t>
      </w:r>
    </w:p>
  </w:endnote>
  <w:endnote w:id="134">
    <w:p w14:paraId="76E62367" w14:textId="00EACC04" w:rsidR="006D4F00" w:rsidRPr="00584E78" w:rsidRDefault="006D4F00" w:rsidP="006E4ECF">
      <w:pPr>
        <w:pStyle w:val="FootnoteText"/>
      </w:pPr>
      <w:r w:rsidRPr="00584E78">
        <w:rPr>
          <w:rStyle w:val="EndnoteReference"/>
          <w:vertAlign w:val="baseline"/>
        </w:rPr>
        <w:endnoteRef/>
      </w:r>
      <w:r w:rsidR="00FE0F4A">
        <w:tab/>
      </w:r>
      <w:r w:rsidRPr="00584E78">
        <w:t xml:space="preserve">CER, </w:t>
      </w:r>
      <w:hyperlink r:id="rId132" w:history="1">
        <w:r w:rsidR="00794BE2" w:rsidRPr="00584E78">
          <w:rPr>
            <w:rStyle w:val="Hyperlink"/>
          </w:rPr>
          <w:t>Renewable energy certificates</w:t>
        </w:r>
      </w:hyperlink>
      <w:r w:rsidR="00254109">
        <w:t xml:space="preserve"> (2025)</w:t>
      </w:r>
      <w:r w:rsidRPr="00584E78">
        <w:t>, accessed 2</w:t>
      </w:r>
      <w:r w:rsidR="00794BE2" w:rsidRPr="00584E78">
        <w:t> </w:t>
      </w:r>
      <w:r w:rsidRPr="00584E78">
        <w:t>February 2026.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B17D" w14:textId="5A175944" w:rsidR="00D73DD0" w:rsidRPr="00EF03E1" w:rsidRDefault="00D73DD0" w:rsidP="00EF03E1">
    <w:pPr>
      <w:pStyle w:val="FooterEven"/>
      <w:tabs>
        <w:tab w:val="center" w:pos="9072"/>
      </w:tabs>
      <w:jc w:val="right"/>
    </w:pPr>
    <w:r w:rsidRPr="00742366">
      <w:drawing>
        <wp:anchor distT="0" distB="0" distL="114300" distR="114300" simplePos="0" relativeHeight="251658241" behindDoc="1" locked="1" layoutInCell="1" allowOverlap="1" wp14:anchorId="745FBD28" wp14:editId="5BAA5B40">
          <wp:simplePos x="0" y="0"/>
          <wp:positionH relativeFrom="margin">
            <wp:posOffset>5459095</wp:posOffset>
          </wp:positionH>
          <wp:positionV relativeFrom="page">
            <wp:posOffset>3280410</wp:posOffset>
          </wp:positionV>
          <wp:extent cx="7574280" cy="1043940"/>
          <wp:effectExtent l="7620" t="0" r="0" b="0"/>
          <wp:wrapNone/>
          <wp:docPr id="97493250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98771"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74280" cy="1043940"/>
                  </a:xfrm>
                  <a:prstGeom prst="rect">
                    <a:avLst/>
                  </a:prstGeom>
                </pic:spPr>
              </pic:pic>
            </a:graphicData>
          </a:graphic>
          <wp14:sizeRelH relativeFrom="margin">
            <wp14:pctWidth>0</wp14:pctWidth>
          </wp14:sizeRelH>
          <wp14:sizeRelV relativeFrom="margin">
            <wp14:pctHeight>0</wp14:pctHeight>
          </wp14:sizeRelV>
        </wp:anchor>
      </w:drawing>
    </w:r>
    <w:r w:rsidRPr="00EF03E1">
      <w:rPr>
        <w:position w:val="-10"/>
      </w:rPr>
      <w:drawing>
        <wp:inline distT="0" distB="0" distL="0" distR="0" wp14:anchorId="52BFB152" wp14:editId="10580E72">
          <wp:extent cx="1324800" cy="201600"/>
          <wp:effectExtent l="0" t="0" r="0" b="8255"/>
          <wp:docPr id="85232887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00437" name="Picture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fldSimple w:instr="STYLEREF  &quot;Heading 1&quot;  \* MERGEFORMAT">
      <w:r w:rsidR="00862A40">
        <w:t>Contents</w:t>
      </w:r>
    </w:fldSimple>
    <w:r>
      <w:t xml:space="preserve"> | </w:t>
    </w:r>
    <w:r>
      <w:rPr>
        <w:noProof w:val="0"/>
      </w:rPr>
      <w:fldChar w:fldCharType="begin"/>
    </w:r>
    <w:r>
      <w:instrText xml:space="preserve"> PAGE   \* MERGEFORMAT </w:instrText>
    </w:r>
    <w:r>
      <w:rPr>
        <w:noProof w:val="0"/>
      </w:rPr>
      <w:fldChar w:fldCharType="separate"/>
    </w:r>
    <w:r>
      <w:rPr>
        <w:noProof w:val="0"/>
      </w:rPr>
      <w:t>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F1F2" w14:textId="252F286E" w:rsidR="00860E3B" w:rsidRPr="00EF03E1" w:rsidRDefault="00860E3B" w:rsidP="00860E3B">
    <w:pPr>
      <w:pStyle w:val="FooterEven"/>
      <w:tabs>
        <w:tab w:val="center" w:pos="9072"/>
      </w:tabs>
      <w:jc w:val="right"/>
    </w:pPr>
    <w:r w:rsidRPr="00742366">
      <w:drawing>
        <wp:anchor distT="0" distB="0" distL="114300" distR="114300" simplePos="0" relativeHeight="251658248" behindDoc="1" locked="1" layoutInCell="1" allowOverlap="1" wp14:anchorId="27BDB16C" wp14:editId="663B9356">
          <wp:simplePos x="0" y="0"/>
          <wp:positionH relativeFrom="margin">
            <wp:posOffset>5459095</wp:posOffset>
          </wp:positionH>
          <wp:positionV relativeFrom="page">
            <wp:posOffset>3280410</wp:posOffset>
          </wp:positionV>
          <wp:extent cx="7574280" cy="1043940"/>
          <wp:effectExtent l="7620" t="0" r="0" b="0"/>
          <wp:wrapNone/>
          <wp:docPr id="202291471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914718"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74280" cy="1043940"/>
                  </a:xfrm>
                  <a:prstGeom prst="rect">
                    <a:avLst/>
                  </a:prstGeom>
                </pic:spPr>
              </pic:pic>
            </a:graphicData>
          </a:graphic>
          <wp14:sizeRelH relativeFrom="margin">
            <wp14:pctWidth>0</wp14:pctWidth>
          </wp14:sizeRelH>
          <wp14:sizeRelV relativeFrom="margin">
            <wp14:pctHeight>0</wp14:pctHeight>
          </wp14:sizeRelV>
        </wp:anchor>
      </w:drawing>
    </w:r>
    <w:r w:rsidRPr="00742366">
      <w:drawing>
        <wp:anchor distT="0" distB="0" distL="114300" distR="114300" simplePos="0" relativeHeight="251658249" behindDoc="1" locked="1" layoutInCell="1" allowOverlap="1" wp14:anchorId="1249EBAE" wp14:editId="09AE5407">
          <wp:simplePos x="0" y="0"/>
          <wp:positionH relativeFrom="margin">
            <wp:posOffset>5459095</wp:posOffset>
          </wp:positionH>
          <wp:positionV relativeFrom="page">
            <wp:posOffset>3280410</wp:posOffset>
          </wp:positionV>
          <wp:extent cx="7574280" cy="1043940"/>
          <wp:effectExtent l="7620" t="0" r="0" b="0"/>
          <wp:wrapNone/>
          <wp:docPr id="210361753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17533"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74280" cy="1043940"/>
                  </a:xfrm>
                  <a:prstGeom prst="rect">
                    <a:avLst/>
                  </a:prstGeom>
                </pic:spPr>
              </pic:pic>
            </a:graphicData>
          </a:graphic>
          <wp14:sizeRelH relativeFrom="margin">
            <wp14:pctWidth>0</wp14:pctWidth>
          </wp14:sizeRelH>
          <wp14:sizeRelV relativeFrom="margin">
            <wp14:pctHeight>0</wp14:pctHeight>
          </wp14:sizeRelV>
        </wp:anchor>
      </w:drawing>
    </w:r>
    <w:r w:rsidRPr="00EF03E1">
      <w:rPr>
        <w:position w:val="-10"/>
      </w:rPr>
      <w:drawing>
        <wp:inline distT="0" distB="0" distL="0" distR="0" wp14:anchorId="006B3D1C" wp14:editId="2D14085B">
          <wp:extent cx="1324800" cy="201600"/>
          <wp:effectExtent l="0" t="0" r="0" b="8255"/>
          <wp:docPr id="6668209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75623" name="Picture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fldSimple w:instr="STYLEREF  &quot;Heading 1&quot;  \* MERGEFORMAT">
      <w:r w:rsidR="0014659E">
        <w:t>Purpose and audience</w:t>
      </w:r>
    </w:fldSimple>
    <w:r>
      <w:t xml:space="preserve"> | </w:t>
    </w:r>
    <w:r>
      <w:rPr>
        <w:noProof w:val="0"/>
      </w:rPr>
      <w:fldChar w:fldCharType="begin"/>
    </w:r>
    <w:r>
      <w:instrText xml:space="preserve"> PAGE   \* MERGEFORMAT </w:instrText>
    </w:r>
    <w:r>
      <w:rPr>
        <w:noProof w:val="0"/>
      </w:rPr>
      <w:fldChar w:fldCharType="separate"/>
    </w:r>
    <w:r>
      <w:t>17</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3832C" w14:textId="486A184D" w:rsidR="00301A22" w:rsidRDefault="00301A22" w:rsidP="00301A22">
    <w:pPr>
      <w:pStyle w:val="FooterOdd"/>
    </w:pPr>
    <w:r w:rsidRPr="00103F3C">
      <w:rPr>
        <w:noProof/>
        <w:position w:val="-8"/>
      </w:rPr>
      <w:drawing>
        <wp:inline distT="0" distB="0" distL="0" distR="0" wp14:anchorId="582C13D6" wp14:editId="1D9F46D9">
          <wp:extent cx="1324800" cy="201600"/>
          <wp:effectExtent l="0" t="0" r="0" b="8255"/>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fldSimple w:instr="STYLEREF  &quot;Heading 1&quot;  \* MERGEFORMAT">
      <w:r w:rsidR="003E0AAE">
        <w:rPr>
          <w:noProof/>
        </w:rPr>
        <w:t>Glossary</w:t>
      </w:r>
    </w:fldSimple>
    <w:r>
      <w:t xml:space="preserve"> | </w:t>
    </w:r>
    <w:r>
      <w:fldChar w:fldCharType="begin"/>
    </w:r>
    <w:r>
      <w:instrText xml:space="preserve"> PAGE   \* MERGEFORMAT </w:instrText>
    </w:r>
    <w:r>
      <w:fldChar w:fldCharType="separate"/>
    </w:r>
    <w:r>
      <w:t>1</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45E7" w14:textId="4885F29C" w:rsidR="00DB6514" w:rsidRDefault="00DB6514" w:rsidP="00DB6514">
    <w:pPr>
      <w:pStyle w:val="FooterOdd"/>
    </w:pPr>
    <w:r w:rsidRPr="00103F3C">
      <w:rPr>
        <w:noProof/>
        <w:position w:val="-8"/>
      </w:rPr>
      <w:drawing>
        <wp:inline distT="0" distB="0" distL="0" distR="0" wp14:anchorId="494D7700" wp14:editId="3BDB0ACD">
          <wp:extent cx="1324800" cy="201600"/>
          <wp:effectExtent l="0" t="0" r="0" b="8255"/>
          <wp:docPr id="1803075261" name="Picture 1803075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95630" name="Picture 201079563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t xml:space="preserve">Endnotes | </w:t>
    </w:r>
    <w:r>
      <w:fldChar w:fldCharType="begin"/>
    </w:r>
    <w:r>
      <w:instrText xml:space="preserve"> PAGE   \* MERGEFORMAT </w:instrText>
    </w:r>
    <w:r>
      <w:fldChar w:fldCharType="separate"/>
    </w:r>
    <w:r>
      <w:t>66</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300A" w14:textId="288DEE6F" w:rsidR="00DB6514" w:rsidRDefault="00DB6514" w:rsidP="000410A5">
    <w:pPr>
      <w:pStyle w:val="FooterOdd"/>
    </w:pPr>
    <w:r w:rsidRPr="00103F3C">
      <w:rPr>
        <w:noProof/>
        <w:position w:val="-8"/>
      </w:rPr>
      <w:drawing>
        <wp:inline distT="0" distB="0" distL="0" distR="0" wp14:anchorId="02F9A8E2" wp14:editId="3ED090E3">
          <wp:extent cx="1324800" cy="201600"/>
          <wp:effectExtent l="0" t="0" r="0" b="8255"/>
          <wp:docPr id="1853420920" name="Picture 18534209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95630" name="Picture 201079563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fldSimple w:instr="STYLEREF  &quot;Heading 1&quot;  \* MERGEFORMAT">
      <w:r w:rsidR="003E0AAE">
        <w:rPr>
          <w:noProof/>
        </w:rPr>
        <w:t>Endnotes</w:t>
      </w:r>
    </w:fldSimple>
    <w:r>
      <w:t xml:space="preserve"> | </w:t>
    </w: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DDBD" w14:textId="40F4676A" w:rsidR="00D73DD0" w:rsidRPr="00EF03E1" w:rsidRDefault="00D73DD0" w:rsidP="00EF03E1">
    <w:pPr>
      <w:pStyle w:val="FooterEven"/>
      <w:tabs>
        <w:tab w:val="center" w:pos="9072"/>
      </w:tabs>
      <w:jc w:val="right"/>
    </w:pPr>
    <w:r w:rsidRPr="00742366">
      <w:drawing>
        <wp:anchor distT="0" distB="0" distL="114300" distR="114300" simplePos="0" relativeHeight="251658242" behindDoc="1" locked="1" layoutInCell="1" allowOverlap="1" wp14:anchorId="724F5C65" wp14:editId="1D2EF05A">
          <wp:simplePos x="0" y="0"/>
          <wp:positionH relativeFrom="margin">
            <wp:posOffset>5459095</wp:posOffset>
          </wp:positionH>
          <wp:positionV relativeFrom="page">
            <wp:posOffset>3280410</wp:posOffset>
          </wp:positionV>
          <wp:extent cx="7574280" cy="1043940"/>
          <wp:effectExtent l="7620" t="0" r="0" b="0"/>
          <wp:wrapNone/>
          <wp:docPr id="164439743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40843"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74280" cy="1043940"/>
                  </a:xfrm>
                  <a:prstGeom prst="rect">
                    <a:avLst/>
                  </a:prstGeom>
                </pic:spPr>
              </pic:pic>
            </a:graphicData>
          </a:graphic>
          <wp14:sizeRelH relativeFrom="margin">
            <wp14:pctWidth>0</wp14:pctWidth>
          </wp14:sizeRelH>
          <wp14:sizeRelV relativeFrom="margin">
            <wp14:pctHeight>0</wp14:pctHeight>
          </wp14:sizeRelV>
        </wp:anchor>
      </w:drawing>
    </w:r>
    <w:r w:rsidRPr="00EF03E1">
      <w:rPr>
        <w:position w:val="-10"/>
      </w:rPr>
      <w:drawing>
        <wp:inline distT="0" distB="0" distL="0" distR="0" wp14:anchorId="1C52BD14" wp14:editId="2CC7645E">
          <wp:extent cx="1324800" cy="201600"/>
          <wp:effectExtent l="0" t="0" r="0" b="8255"/>
          <wp:docPr id="198548447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62864" name="Picture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fldSimple w:instr="STYLEREF  &quot;Heading 1&quot;  \* MERGEFORMAT">
      <w:r w:rsidR="00862A40">
        <w:t>Contents</w:t>
      </w:r>
    </w:fldSimple>
    <w:r>
      <w:t xml:space="preserve"> | </w:t>
    </w:r>
    <w:r>
      <w:rPr>
        <w:noProof w:val="0"/>
      </w:rPr>
      <w:fldChar w:fldCharType="begin"/>
    </w:r>
    <w:r>
      <w:instrText xml:space="preserve"> PAGE   \* MERGEFORMAT </w:instrText>
    </w:r>
    <w:r>
      <w:rPr>
        <w:noProof w:val="0"/>
      </w:rPr>
      <w:fldChar w:fldCharType="separate"/>
    </w:r>
    <w:r>
      <w:rPr>
        <w:noProof w:val="0"/>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A5C9" w14:textId="601D379D" w:rsidR="00D73DD0" w:rsidRPr="00EF03E1" w:rsidRDefault="00D73DD0" w:rsidP="00EF03E1">
    <w:pPr>
      <w:pStyle w:val="FooterEven"/>
      <w:tabs>
        <w:tab w:val="center" w:pos="9072"/>
      </w:tabs>
      <w:jc w:val="right"/>
    </w:pPr>
    <w:r w:rsidRPr="00742366">
      <w:drawing>
        <wp:anchor distT="0" distB="0" distL="114300" distR="114300" simplePos="0" relativeHeight="251658240" behindDoc="1" locked="1" layoutInCell="1" allowOverlap="1" wp14:anchorId="3B6708A8" wp14:editId="78624269">
          <wp:simplePos x="0" y="0"/>
          <wp:positionH relativeFrom="margin">
            <wp:posOffset>5459095</wp:posOffset>
          </wp:positionH>
          <wp:positionV relativeFrom="page">
            <wp:posOffset>3280410</wp:posOffset>
          </wp:positionV>
          <wp:extent cx="7574280" cy="1043940"/>
          <wp:effectExtent l="7620" t="0" r="0" b="0"/>
          <wp:wrapNone/>
          <wp:docPr id="19771423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74280" cy="1043940"/>
                  </a:xfrm>
                  <a:prstGeom prst="rect">
                    <a:avLst/>
                  </a:prstGeom>
                </pic:spPr>
              </pic:pic>
            </a:graphicData>
          </a:graphic>
          <wp14:sizeRelH relativeFrom="margin">
            <wp14:pctWidth>0</wp14:pctWidth>
          </wp14:sizeRelH>
          <wp14:sizeRelV relativeFrom="margin">
            <wp14:pctHeight>0</wp14:pctHeight>
          </wp14:sizeRelV>
        </wp:anchor>
      </w:drawing>
    </w:r>
    <w:r w:rsidRPr="00EF03E1">
      <w:rPr>
        <w:position w:val="-10"/>
      </w:rPr>
      <w:drawing>
        <wp:inline distT="0" distB="0" distL="0" distR="0" wp14:anchorId="467997AC" wp14:editId="6C9AB54C">
          <wp:extent cx="1324800" cy="201600"/>
          <wp:effectExtent l="0" t="0" r="0" b="8255"/>
          <wp:docPr id="147058117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r w:rsidR="005974DF">
      <w:rPr>
        <w:noProof w:val="0"/>
      </w:rPr>
      <w:fldChar w:fldCharType="begin"/>
    </w:r>
    <w:r w:rsidR="005974DF">
      <w:rPr>
        <w:noProof w:val="0"/>
      </w:rPr>
      <w:instrText xml:space="preserve"> PAGE  \* roman  \* MERGEFORMAT </w:instrText>
    </w:r>
    <w:r w:rsidR="005974DF">
      <w:rPr>
        <w:noProof w:val="0"/>
      </w:rPr>
      <w:fldChar w:fldCharType="separate"/>
    </w:r>
    <w:r w:rsidR="005974DF">
      <w:t>iii</w:t>
    </w:r>
    <w:r w:rsidR="005974DF">
      <w:rPr>
        <w:noProof w:val="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8700" w14:textId="2FFFFF8C" w:rsidR="00C5657C" w:rsidRPr="00EF03E1" w:rsidRDefault="00C5657C" w:rsidP="00EF03E1">
    <w:pPr>
      <w:pStyle w:val="FooterEven"/>
      <w:tabs>
        <w:tab w:val="center" w:pos="9072"/>
      </w:tabs>
      <w:jc w:val="right"/>
    </w:pPr>
    <w:r w:rsidRPr="00742366">
      <w:drawing>
        <wp:anchor distT="0" distB="0" distL="114300" distR="114300" simplePos="0" relativeHeight="251658243" behindDoc="1" locked="1" layoutInCell="1" allowOverlap="1" wp14:anchorId="1728E2BE" wp14:editId="787DD7CB">
          <wp:simplePos x="0" y="0"/>
          <wp:positionH relativeFrom="margin">
            <wp:posOffset>5459095</wp:posOffset>
          </wp:positionH>
          <wp:positionV relativeFrom="page">
            <wp:posOffset>3280410</wp:posOffset>
          </wp:positionV>
          <wp:extent cx="7574280" cy="1043940"/>
          <wp:effectExtent l="7620" t="0" r="0" b="0"/>
          <wp:wrapNone/>
          <wp:docPr id="16338282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549161"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74280" cy="1043940"/>
                  </a:xfrm>
                  <a:prstGeom prst="rect">
                    <a:avLst/>
                  </a:prstGeom>
                </pic:spPr>
              </pic:pic>
            </a:graphicData>
          </a:graphic>
          <wp14:sizeRelH relativeFrom="margin">
            <wp14:pctWidth>0</wp14:pctWidth>
          </wp14:sizeRelH>
          <wp14:sizeRelV relativeFrom="margin">
            <wp14:pctHeight>0</wp14:pctHeight>
          </wp14:sizeRelV>
        </wp:anchor>
      </w:drawing>
    </w:r>
    <w:r w:rsidRPr="00EF03E1">
      <w:rPr>
        <w:position w:val="-10"/>
      </w:rPr>
      <w:drawing>
        <wp:inline distT="0" distB="0" distL="0" distR="0" wp14:anchorId="15985FBF" wp14:editId="56F88E65">
          <wp:extent cx="1324800" cy="201600"/>
          <wp:effectExtent l="0" t="0" r="0" b="8255"/>
          <wp:docPr id="22702645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63748" name="Picture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r>
      <w:rPr>
        <w:noProof w:val="0"/>
      </w:rPr>
      <w:fldChar w:fldCharType="begin"/>
    </w:r>
    <w:r>
      <w:rPr>
        <w:noProof w:val="0"/>
      </w:rPr>
      <w:instrText xml:space="preserve"> PAGE  \* roman  \* MERGEFORMAT </w:instrText>
    </w:r>
    <w:r>
      <w:rPr>
        <w:noProof w:val="0"/>
      </w:rPr>
      <w:fldChar w:fldCharType="separate"/>
    </w:r>
    <w:r>
      <w:t>lxx</w:t>
    </w:r>
    <w:r>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FA23" w14:textId="77777777" w:rsidR="007057A5" w:rsidRPr="00EF03E1" w:rsidRDefault="007057A5" w:rsidP="007057A5">
    <w:pPr>
      <w:pStyle w:val="FooterEven"/>
      <w:tabs>
        <w:tab w:val="center" w:pos="9072"/>
      </w:tabs>
      <w:jc w:val="right"/>
    </w:pPr>
    <w:r w:rsidRPr="00742366">
      <w:drawing>
        <wp:anchor distT="0" distB="0" distL="114300" distR="114300" simplePos="0" relativeHeight="251658246" behindDoc="1" locked="1" layoutInCell="1" allowOverlap="1" wp14:anchorId="10D2E6F6" wp14:editId="23AC408F">
          <wp:simplePos x="0" y="0"/>
          <wp:positionH relativeFrom="margin">
            <wp:posOffset>5459095</wp:posOffset>
          </wp:positionH>
          <wp:positionV relativeFrom="page">
            <wp:posOffset>3280410</wp:posOffset>
          </wp:positionV>
          <wp:extent cx="7574280" cy="1043940"/>
          <wp:effectExtent l="7620" t="0" r="0" b="0"/>
          <wp:wrapNone/>
          <wp:docPr id="175678904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49982"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74280" cy="1043940"/>
                  </a:xfrm>
                  <a:prstGeom prst="rect">
                    <a:avLst/>
                  </a:prstGeom>
                </pic:spPr>
              </pic:pic>
            </a:graphicData>
          </a:graphic>
          <wp14:sizeRelH relativeFrom="margin">
            <wp14:pctWidth>0</wp14:pctWidth>
          </wp14:sizeRelH>
          <wp14:sizeRelV relativeFrom="margin">
            <wp14:pctHeight>0</wp14:pctHeight>
          </wp14:sizeRelV>
        </wp:anchor>
      </w:drawing>
    </w:r>
    <w:r w:rsidRPr="00EF03E1">
      <w:rPr>
        <w:position w:val="-10"/>
      </w:rPr>
      <w:drawing>
        <wp:inline distT="0" distB="0" distL="0" distR="0" wp14:anchorId="5B57B19D" wp14:editId="4E45B6A4">
          <wp:extent cx="1324800" cy="201600"/>
          <wp:effectExtent l="0" t="0" r="0" b="8255"/>
          <wp:docPr id="200585548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48725" name="Picture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r>
      <w:rPr>
        <w:noProof w:val="0"/>
      </w:rPr>
      <w:fldChar w:fldCharType="begin"/>
    </w:r>
    <w:r>
      <w:rPr>
        <w:noProof w:val="0"/>
      </w:rPr>
      <w:instrText xml:space="preserve"> PAGE  \* roman  \* MERGEFORMAT </w:instrText>
    </w:r>
    <w:r>
      <w:rPr>
        <w:noProof w:val="0"/>
      </w:rPr>
      <w:fldChar w:fldCharType="separate"/>
    </w:r>
    <w:r>
      <w:rPr>
        <w:noProof w:val="0"/>
      </w:rPr>
      <w:t>iv</w:t>
    </w:r>
    <w:r>
      <w:rPr>
        <w:noProof w:val="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1D8E" w14:textId="57E1DCE0" w:rsidR="004861AC" w:rsidRPr="00EF03E1" w:rsidRDefault="004861AC" w:rsidP="00EF03E1">
    <w:pPr>
      <w:pStyle w:val="FooterEven"/>
      <w:tabs>
        <w:tab w:val="center" w:pos="9072"/>
      </w:tabs>
      <w:jc w:val="right"/>
    </w:pPr>
    <w:r w:rsidRPr="00742366">
      <w:drawing>
        <wp:anchor distT="0" distB="0" distL="114300" distR="114300" simplePos="0" relativeHeight="251658244" behindDoc="1" locked="1" layoutInCell="1" allowOverlap="1" wp14:anchorId="383FEC8E" wp14:editId="48A2E1EB">
          <wp:simplePos x="0" y="0"/>
          <wp:positionH relativeFrom="margin">
            <wp:posOffset>5459095</wp:posOffset>
          </wp:positionH>
          <wp:positionV relativeFrom="page">
            <wp:posOffset>3280410</wp:posOffset>
          </wp:positionV>
          <wp:extent cx="7574280" cy="1043940"/>
          <wp:effectExtent l="7620" t="0" r="0" b="0"/>
          <wp:wrapNone/>
          <wp:docPr id="202179784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93161"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74280" cy="1043940"/>
                  </a:xfrm>
                  <a:prstGeom prst="rect">
                    <a:avLst/>
                  </a:prstGeom>
                </pic:spPr>
              </pic:pic>
            </a:graphicData>
          </a:graphic>
          <wp14:sizeRelH relativeFrom="margin">
            <wp14:pctWidth>0</wp14:pctWidth>
          </wp14:sizeRelH>
          <wp14:sizeRelV relativeFrom="margin">
            <wp14:pctHeight>0</wp14:pctHeight>
          </wp14:sizeRelV>
        </wp:anchor>
      </w:drawing>
    </w:r>
    <w:r w:rsidRPr="00EF03E1">
      <w:rPr>
        <w:position w:val="-10"/>
      </w:rPr>
      <w:drawing>
        <wp:inline distT="0" distB="0" distL="0" distR="0" wp14:anchorId="76C710EA" wp14:editId="4DE0CF01">
          <wp:extent cx="1324800" cy="201600"/>
          <wp:effectExtent l="0" t="0" r="0" b="8255"/>
          <wp:docPr id="85808252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48725" name="Picture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r w:rsidR="007057A5">
      <w:rPr>
        <w:noProof w:val="0"/>
      </w:rPr>
      <w:fldChar w:fldCharType="begin"/>
    </w:r>
    <w:r w:rsidR="007057A5">
      <w:rPr>
        <w:noProof w:val="0"/>
      </w:rPr>
      <w:instrText xml:space="preserve"> PAGE  \* roman  \* MERGEFORMAT </w:instrText>
    </w:r>
    <w:r w:rsidR="007057A5">
      <w:rPr>
        <w:noProof w:val="0"/>
      </w:rPr>
      <w:fldChar w:fldCharType="separate"/>
    </w:r>
    <w:r w:rsidR="007057A5">
      <w:t>lxxvii</w:t>
    </w:r>
    <w:r w:rsidR="007057A5">
      <w:rPr>
        <w:noProof w:val="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D0723" w14:textId="6955806C" w:rsidR="000410A5" w:rsidRDefault="000410A5" w:rsidP="000410A5">
    <w:pPr>
      <w:pStyle w:val="FooterOdd"/>
    </w:pPr>
    <w:r w:rsidRPr="00103F3C">
      <w:rPr>
        <w:noProof/>
        <w:position w:val="-8"/>
      </w:rPr>
      <w:drawing>
        <wp:inline distT="0" distB="0" distL="0" distR="0" wp14:anchorId="5597B9A8" wp14:editId="217284F6">
          <wp:extent cx="1324800" cy="201600"/>
          <wp:effectExtent l="0" t="0" r="0" b="8255"/>
          <wp:docPr id="1622559110" name="Picture 1622559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795630" name="Picture 201079563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fldSimple w:instr="STYLEREF  &quot;Heading 1&quot;  \* MERGEFORMAT">
      <w:r w:rsidR="003E0AAE">
        <w:rPr>
          <w:noProof/>
        </w:rPr>
        <w:t>Executive summary</w:t>
      </w:r>
    </w:fldSimple>
    <w:r>
      <w:t xml:space="preserve"> | </w:t>
    </w:r>
    <w:r>
      <w:fldChar w:fldCharType="begin"/>
    </w:r>
    <w:r>
      <w:instrText xml:space="preserve"> PAGE   \* MERGEFORMAT </w:instrText>
    </w:r>
    <w:r>
      <w:fldChar w:fldCharType="separate"/>
    </w:r>
    <w: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CE33" w14:textId="77777777" w:rsidR="004861AC" w:rsidRPr="00C5657C" w:rsidRDefault="004861AC" w:rsidP="00C5657C">
    <w:pPr>
      <w:pStyle w:val="Footer"/>
    </w:pPr>
    <w:r>
      <w:rPr>
        <w:noProof/>
      </w:rPr>
      <mc:AlternateContent>
        <mc:Choice Requires="wps">
          <w:drawing>
            <wp:anchor distT="0" distB="0" distL="114300" distR="114300" simplePos="0" relativeHeight="251658245" behindDoc="0" locked="0" layoutInCell="1" allowOverlap="1" wp14:anchorId="447225B7" wp14:editId="6A1DBAD7">
              <wp:simplePos x="0" y="0"/>
              <wp:positionH relativeFrom="column">
                <wp:posOffset>-541986</wp:posOffset>
              </wp:positionH>
              <wp:positionV relativeFrom="margin">
                <wp:align>top</wp:align>
              </wp:positionV>
              <wp:extent cx="360000" cy="5748793"/>
              <wp:effectExtent l="0" t="0" r="2540" b="4445"/>
              <wp:wrapNone/>
              <wp:docPr id="1121254659" name="Text Box 11" title="LandscapeOdd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00" cy="5748793"/>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DAED21" w14:textId="2E4E7DC3" w:rsidR="004861AC" w:rsidRDefault="004861AC" w:rsidP="00195C8E">
                          <w:pPr>
                            <w:pStyle w:val="FooterEven"/>
                            <w:tabs>
                              <w:tab w:val="center" w:pos="9072"/>
                            </w:tabs>
                          </w:pPr>
                          <w:r w:rsidRPr="00EF03E1">
                            <w:rPr>
                              <w:position w:val="-10"/>
                            </w:rPr>
                            <w:drawing>
                              <wp:inline distT="0" distB="0" distL="0" distR="0" wp14:anchorId="43D6A1BC" wp14:editId="1C076F48">
                                <wp:extent cx="1324800" cy="201600"/>
                                <wp:effectExtent l="9207" t="0" r="0" b="0"/>
                                <wp:docPr id="54211563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175078"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1324800" cy="201600"/>
                                        </a:xfrm>
                                        <a:prstGeom prst="rect">
                                          <a:avLst/>
                                        </a:prstGeom>
                                      </pic:spPr>
                                    </pic:pic>
                                  </a:graphicData>
                                </a:graphic>
                              </wp:inline>
                            </w:drawing>
                          </w:r>
                          <w:r>
                            <w:tab/>
                          </w:r>
                          <w:r>
                            <w:fldChar w:fldCharType="begin"/>
                          </w:r>
                          <w:r>
                            <w:instrText xml:space="preserve"> PAGE   \* MERGEFORMAT </w:instrText>
                          </w:r>
                          <w:r>
                            <w:fldChar w:fldCharType="separate"/>
                          </w:r>
                          <w:r>
                            <w:t>4</w:t>
                          </w:r>
                          <w:r>
                            <w:fldChar w:fldCharType="end"/>
                          </w:r>
                          <w:r>
                            <w:t xml:space="preserve"> | </w:t>
                          </w:r>
                          <w:fldSimple w:instr="STYLEREF  &quot;Heading 1&quot;  \* MERGEFORMAT">
                            <w:r w:rsidR="00862A40">
                              <w:t>Executive summary</w:t>
                            </w:r>
                          </w:fldSimple>
                        </w:p>
                        <w:p w14:paraId="11C7E32F" w14:textId="77777777" w:rsidR="004861AC" w:rsidRDefault="004861AC" w:rsidP="00EF03E1">
                          <w:pPr>
                            <w:pStyle w:val="FooterOdd"/>
                            <w:ind w:firstLine="720"/>
                          </w:pPr>
                        </w:p>
                      </w:txbxContent>
                    </wps:txbx>
                    <wps:bodyPr rot="0" vert="vert"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7225B7" id="_x0000_t202" coordsize="21600,21600" o:spt="202" path="m,l,21600r21600,l21600,xe">
              <v:stroke joinstyle="miter"/>
              <v:path gradientshapeok="t" o:connecttype="rect"/>
            </v:shapetype>
            <v:shape id="Text Box 11" o:spid="_x0000_s1026" type="#_x0000_t202" alt="Title: LandscapeOddFooter" style="position:absolute;left:0;text-align:left;margin-left:-42.7pt;margin-top:0;width:28.35pt;height:452.65pt;z-index:25165824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" filled="f" stroked="f">
              <v:textbox style="layout-flow:vertical" inset="0,0,0,0">
                <w:txbxContent>
                  <w:p w14:paraId="48DAED21" w14:textId="2E4E7DC3" w:rsidR="004861AC" w:rsidRDefault="004861AC" w:rsidP="00195C8E">
                    <w:pPr>
                      <w:pStyle w:val="FooterEven"/>
                      <w:tabs>
                        <w:tab w:val="center" w:pos="9072"/>
                      </w:tabs>
                    </w:pPr>
                    <w:r w:rsidRPr="00EF03E1">
                      <w:rPr>
                        <w:position w:val="-10"/>
                      </w:rPr>
                      <w:drawing>
                        <wp:inline distT="0" distB="0" distL="0" distR="0" wp14:anchorId="43D6A1BC" wp14:editId="1C076F48">
                          <wp:extent cx="1324800" cy="201600"/>
                          <wp:effectExtent l="9207" t="0" r="0" b="0"/>
                          <wp:docPr id="542115638"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175078"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1324800" cy="201600"/>
                                  </a:xfrm>
                                  <a:prstGeom prst="rect">
                                    <a:avLst/>
                                  </a:prstGeom>
                                </pic:spPr>
                              </pic:pic>
                            </a:graphicData>
                          </a:graphic>
                        </wp:inline>
                      </w:drawing>
                    </w:r>
                    <w:r>
                      <w:tab/>
                    </w:r>
                    <w:r>
                      <w:fldChar w:fldCharType="begin"/>
                    </w:r>
                    <w:r>
                      <w:instrText xml:space="preserve"> PAGE   \* MERGEFORMAT </w:instrText>
                    </w:r>
                    <w:r>
                      <w:fldChar w:fldCharType="separate"/>
                    </w:r>
                    <w:r>
                      <w:t>4</w:t>
                    </w:r>
                    <w:r>
                      <w:fldChar w:fldCharType="end"/>
                    </w:r>
                    <w:r>
                      <w:t xml:space="preserve"> | </w:t>
                    </w:r>
                    <w:fldSimple w:instr="STYLEREF  &quot;Heading 1&quot;  \* MERGEFORMAT">
                      <w:r w:rsidR="00862A40">
                        <w:t>Executive summary</w:t>
                      </w:r>
                    </w:fldSimple>
                  </w:p>
                  <w:p w14:paraId="11C7E32F" w14:textId="77777777" w:rsidR="004861AC" w:rsidRDefault="004861AC" w:rsidP="00EF03E1">
                    <w:pPr>
                      <w:pStyle w:val="FooterOdd"/>
                      <w:ind w:firstLine="720"/>
                    </w:pPr>
                  </w:p>
                </w:txbxContent>
              </v:textbox>
              <w10:wrap anchory="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9D5CF" w14:textId="41FDD2E2" w:rsidR="009D4278" w:rsidRPr="00EA37BE" w:rsidRDefault="00EA37BE" w:rsidP="00EA37BE">
    <w:pPr>
      <w:pStyle w:val="Footer"/>
    </w:pPr>
    <w:r>
      <w:rPr>
        <w:noProof/>
      </w:rPr>
      <mc:AlternateContent>
        <mc:Choice Requires="wps">
          <w:drawing>
            <wp:anchor distT="0" distB="0" distL="114300" distR="114300" simplePos="0" relativeHeight="251658247" behindDoc="0" locked="0" layoutInCell="1" allowOverlap="1" wp14:anchorId="41900CF5" wp14:editId="591FA5BC">
              <wp:simplePos x="0" y="0"/>
              <wp:positionH relativeFrom="column">
                <wp:posOffset>-541986</wp:posOffset>
              </wp:positionH>
              <wp:positionV relativeFrom="margin">
                <wp:align>top</wp:align>
              </wp:positionV>
              <wp:extent cx="360000" cy="5748793"/>
              <wp:effectExtent l="0" t="0" r="2540" b="4445"/>
              <wp:wrapNone/>
              <wp:docPr id="40" name="Text Box 11" title="LandscapeOdd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00" cy="5748793"/>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B46DC" w14:textId="49CBA282" w:rsidR="00EA37BE" w:rsidRDefault="00EA37BE" w:rsidP="00195C8E">
                          <w:pPr>
                            <w:pStyle w:val="FooterEven"/>
                            <w:tabs>
                              <w:tab w:val="center" w:pos="9072"/>
                            </w:tabs>
                          </w:pPr>
                          <w:r w:rsidRPr="00EF03E1">
                            <w:rPr>
                              <w:position w:val="-10"/>
                            </w:rPr>
                            <w:drawing>
                              <wp:inline distT="0" distB="0" distL="0" distR="0" wp14:anchorId="1BB0D06E" wp14:editId="0BB058F2">
                                <wp:extent cx="1324800" cy="201600"/>
                                <wp:effectExtent l="9207" t="0" r="0" b="0"/>
                                <wp:docPr id="157289247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05479"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1324800" cy="201600"/>
                                        </a:xfrm>
                                        <a:prstGeom prst="rect">
                                          <a:avLst/>
                                        </a:prstGeom>
                                      </pic:spPr>
                                    </pic:pic>
                                  </a:graphicData>
                                </a:graphic>
                              </wp:inline>
                            </w:drawing>
                          </w:r>
                          <w:r>
                            <w:tab/>
                          </w:r>
                          <w:fldSimple w:instr="STYLEREF  &quot;Heading 1&quot;  \* MERGEFORMAT">
                            <w:r w:rsidR="003E0AAE">
                              <w:t>Executive summary</w:t>
                            </w:r>
                          </w:fldSimple>
                          <w:r>
                            <w:t xml:space="preserve"> | </w:t>
                          </w:r>
                          <w:r>
                            <w:fldChar w:fldCharType="begin"/>
                          </w:r>
                          <w:r>
                            <w:instrText xml:space="preserve"> PAGE   \* MERGEFORMAT </w:instrText>
                          </w:r>
                          <w:r>
                            <w:fldChar w:fldCharType="separate"/>
                          </w:r>
                          <w:r>
                            <w:t>7</w:t>
                          </w:r>
                          <w:r>
                            <w:fldChar w:fldCharType="end"/>
                          </w:r>
                          <w:r>
                            <w:t xml:space="preserve"> </w:t>
                          </w:r>
                        </w:p>
                        <w:p w14:paraId="067A52A6" w14:textId="77777777" w:rsidR="00EA37BE" w:rsidRDefault="00EA37BE" w:rsidP="00EF03E1">
                          <w:pPr>
                            <w:pStyle w:val="FooterOdd"/>
                            <w:ind w:firstLine="720"/>
                          </w:pPr>
                        </w:p>
                      </w:txbxContent>
                    </wps:txbx>
                    <wps:bodyPr rot="0" vert="vert"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900CF5" id="_x0000_t202" coordsize="21600,21600" o:spt="202" path="m,l,21600r21600,l21600,xe">
              <v:stroke joinstyle="miter"/>
              <v:path gradientshapeok="t" o:connecttype="rect"/>
            </v:shapetype>
            <v:shape id="_x0000_s1027" type="#_x0000_t202" alt="Title: LandscapeOddFooter" style="position:absolute;left:0;text-align:left;margin-left:-42.7pt;margin-top:0;width:28.35pt;height:452.65pt;z-index:251658247;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" filled="f" stroked="f">
              <v:textbox style="layout-flow:vertical" inset="0,0,0,0">
                <w:txbxContent>
                  <w:p w14:paraId="591B46DC" w14:textId="49CBA282" w:rsidR="00EA37BE" w:rsidRDefault="00EA37BE" w:rsidP="00195C8E">
                    <w:pPr>
                      <w:pStyle w:val="FooterEven"/>
                      <w:tabs>
                        <w:tab w:val="center" w:pos="9072"/>
                      </w:tabs>
                    </w:pPr>
                    <w:r w:rsidRPr="00EF03E1">
                      <w:rPr>
                        <w:position w:val="-10"/>
                      </w:rPr>
                      <w:drawing>
                        <wp:inline distT="0" distB="0" distL="0" distR="0" wp14:anchorId="1BB0D06E" wp14:editId="0BB058F2">
                          <wp:extent cx="1324800" cy="201600"/>
                          <wp:effectExtent l="9207" t="0" r="0" b="0"/>
                          <wp:docPr id="157289247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05479"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1324800" cy="201600"/>
                                  </a:xfrm>
                                  <a:prstGeom prst="rect">
                                    <a:avLst/>
                                  </a:prstGeom>
                                </pic:spPr>
                              </pic:pic>
                            </a:graphicData>
                          </a:graphic>
                        </wp:inline>
                      </w:drawing>
                    </w:r>
                    <w:r>
                      <w:tab/>
                    </w:r>
                    <w:fldSimple w:instr="STYLEREF  &quot;Heading 1&quot;  \* MERGEFORMAT">
                      <w:r w:rsidR="003E0AAE">
                        <w:t>Executive summary</w:t>
                      </w:r>
                    </w:fldSimple>
                    <w:r>
                      <w:t xml:space="preserve"> | </w:t>
                    </w:r>
                    <w:r>
                      <w:fldChar w:fldCharType="begin"/>
                    </w:r>
                    <w:r>
                      <w:instrText xml:space="preserve"> PAGE   \* MERGEFORMAT </w:instrText>
                    </w:r>
                    <w:r>
                      <w:fldChar w:fldCharType="separate"/>
                    </w:r>
                    <w:r>
                      <w:t>7</w:t>
                    </w:r>
                    <w:r>
                      <w:fldChar w:fldCharType="end"/>
                    </w:r>
                    <w:r>
                      <w:t xml:space="preserve"> </w:t>
                    </w:r>
                  </w:p>
                  <w:p w14:paraId="067A52A6" w14:textId="77777777" w:rsidR="00EA37BE" w:rsidRDefault="00EA37BE" w:rsidP="00EF03E1">
                    <w:pPr>
                      <w:pStyle w:val="FooterOdd"/>
                      <w:ind w:firstLine="720"/>
                    </w:pPr>
                  </w:p>
                </w:txbxContent>
              </v:textbox>
              <w10:wrap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4169D" w14:textId="77777777" w:rsidR="00474C7E" w:rsidRPr="00ED5A20" w:rsidRDefault="00474C7E" w:rsidP="000F6233">
      <w:pPr>
        <w:rPr>
          <w:color w:val="4D7861" w:themeColor="accent2"/>
        </w:rPr>
      </w:pPr>
      <w:r w:rsidRPr="00ED5A20">
        <w:rPr>
          <w:color w:val="4D7861" w:themeColor="accent2"/>
        </w:rPr>
        <w:separator/>
      </w:r>
    </w:p>
  </w:footnote>
  <w:footnote w:type="continuationSeparator" w:id="0">
    <w:p w14:paraId="680966D9" w14:textId="77777777" w:rsidR="00474C7E" w:rsidRPr="00B737EB" w:rsidRDefault="00474C7E">
      <w:pPr>
        <w:spacing w:before="0" w:after="0"/>
        <w:rPr>
          <w:color w:val="2C384A" w:themeColor="accent1"/>
        </w:rPr>
      </w:pPr>
      <w:r w:rsidRPr="00B737EB">
        <w:rPr>
          <w:color w:val="2C384A" w:themeColor="accent1"/>
        </w:rPr>
        <w:continuationSeparator/>
      </w:r>
    </w:p>
  </w:footnote>
  <w:footnote w:type="continuationNotice" w:id="1">
    <w:p w14:paraId="7133696B" w14:textId="77777777" w:rsidR="00474C7E" w:rsidRDefault="00474C7E">
      <w:pPr>
        <w:spacing w:before="0" w:after="0"/>
      </w:pPr>
    </w:p>
  </w:footnote>
  <w:footnote w:id="2">
    <w:p w14:paraId="115B51AC" w14:textId="38DA55B6" w:rsidR="5E54A902" w:rsidRPr="00B428FF" w:rsidRDefault="5E54A902" w:rsidP="00B428FF">
      <w:pPr>
        <w:pStyle w:val="FootnoteText"/>
      </w:pPr>
      <w:r w:rsidRPr="00B428FF">
        <w:rPr>
          <w:rStyle w:val="FootnoteReference"/>
          <w:sz w:val="20"/>
          <w:vertAlign w:val="baseline"/>
        </w:rPr>
        <w:footnoteRef/>
      </w:r>
      <w:r w:rsidR="00D92E97" w:rsidRPr="00B428FF">
        <w:tab/>
      </w:r>
      <w:r w:rsidRPr="00B428FF">
        <w:t>Some sectors, such as hard-to-abate sectors and financial institutions, may have more complex or additional considerations beyond what is covered here.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6E34F" w14:textId="568EB3CE" w:rsidR="003B4393" w:rsidRDefault="003B43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FC7"/>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15:restartNumberingAfterBreak="0">
    <w:nsid w:val="10653560"/>
    <w:multiLevelType w:val="multilevel"/>
    <w:tmpl w:val="72F8140E"/>
    <w:styleLink w:val="OutlineList"/>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4564F9D"/>
    <w:multiLevelType w:val="multilevel"/>
    <w:tmpl w:val="B0402706"/>
    <w:lvl w:ilvl="0">
      <w:start w:val="1"/>
      <w:numFmt w:val="bullet"/>
      <w:lvlRestart w:val="0"/>
      <w:pStyle w:val="Boxbullet"/>
      <w:lvlText w:val="•"/>
      <w:lvlJc w:val="left"/>
      <w:pPr>
        <w:tabs>
          <w:tab w:val="num" w:pos="283"/>
        </w:tabs>
        <w:ind w:left="284" w:hanging="284"/>
      </w:pPr>
      <w:rPr>
        <w:rFonts w:ascii="Times New Roman" w:hAnsi="Times New Roman" w:cs="Times New Roman" w:hint="default"/>
        <w:b w:val="0"/>
        <w:i w:val="0"/>
      </w:rPr>
    </w:lvl>
    <w:lvl w:ilvl="1">
      <w:start w:val="1"/>
      <w:numFmt w:val="bullet"/>
      <w:pStyle w:val="Boxdash"/>
      <w:lvlText w:val="–"/>
      <w:lvlJc w:val="left"/>
      <w:pPr>
        <w:tabs>
          <w:tab w:val="num" w:pos="567"/>
        </w:tabs>
        <w:ind w:left="568" w:hanging="284"/>
      </w:pPr>
      <w:rPr>
        <w:rFonts w:ascii="Times New Roman" w:hAnsi="Times New Roman" w:cs="Times New Roman" w:hint="default"/>
        <w:b w:val="0"/>
        <w:i w:val="0"/>
      </w:rPr>
    </w:lvl>
    <w:lvl w:ilvl="2">
      <w:start w:val="1"/>
      <w:numFmt w:val="bullet"/>
      <w:pStyle w:val="Boxdoubledot"/>
      <w:lvlText w:val=":"/>
      <w:lvlJc w:val="left"/>
      <w:pPr>
        <w:tabs>
          <w:tab w:val="num" w:pos="851"/>
        </w:tabs>
        <w:ind w:left="852" w:hanging="284"/>
      </w:pPr>
      <w:rPr>
        <w:rFonts w:ascii="Times New Roman" w:hAnsi="Times New Roman" w:cs="Times New Roman" w:hint="default"/>
        <w:b w:val="0"/>
        <w:i w:val="0"/>
      </w:rPr>
    </w:lvl>
    <w:lvl w:ilvl="3">
      <w:start w:val="1"/>
      <w:numFmt w:val="decimal"/>
      <w:lvlText w:val="(%4)"/>
      <w:lvlJc w:val="left"/>
      <w:pPr>
        <w:tabs>
          <w:tab w:val="num" w:pos="1135"/>
        </w:tabs>
        <w:ind w:left="1136" w:hanging="284"/>
      </w:pPr>
      <w:rPr>
        <w:rFonts w:hint="default"/>
        <w:b w:val="0"/>
        <w:i w:val="0"/>
      </w:rPr>
    </w:lvl>
    <w:lvl w:ilvl="4">
      <w:start w:val="1"/>
      <w:numFmt w:val="lowerLetter"/>
      <w:lvlText w:val="(%5)"/>
      <w:lvlJc w:val="left"/>
      <w:pPr>
        <w:tabs>
          <w:tab w:val="num" w:pos="1419"/>
        </w:tabs>
        <w:ind w:left="1420" w:hanging="284"/>
      </w:pPr>
      <w:rPr>
        <w:rFonts w:hint="default"/>
        <w:b w:val="0"/>
        <w:i w:val="0"/>
      </w:rPr>
    </w:lvl>
    <w:lvl w:ilvl="5">
      <w:start w:val="1"/>
      <w:numFmt w:val="lowerRoman"/>
      <w:lvlText w:val="(%6)"/>
      <w:lvlJc w:val="left"/>
      <w:pPr>
        <w:tabs>
          <w:tab w:val="num" w:pos="1703"/>
        </w:tabs>
        <w:ind w:left="1704" w:hanging="284"/>
      </w:pPr>
      <w:rPr>
        <w:rFonts w:hint="default"/>
        <w:b w:val="0"/>
        <w:i w:val="0"/>
      </w:rPr>
    </w:lvl>
    <w:lvl w:ilvl="6">
      <w:start w:val="1"/>
      <w:numFmt w:val="decimal"/>
      <w:lvlText w:val="%7."/>
      <w:lvlJc w:val="left"/>
      <w:pPr>
        <w:tabs>
          <w:tab w:val="num" w:pos="1987"/>
        </w:tabs>
        <w:ind w:left="1988" w:hanging="284"/>
      </w:pPr>
      <w:rPr>
        <w:rFonts w:hint="default"/>
        <w:b w:val="0"/>
        <w:i w:val="0"/>
      </w:rPr>
    </w:lvl>
    <w:lvl w:ilvl="7">
      <w:start w:val="1"/>
      <w:numFmt w:val="lowerLetter"/>
      <w:lvlText w:val="%8."/>
      <w:lvlJc w:val="left"/>
      <w:pPr>
        <w:tabs>
          <w:tab w:val="num" w:pos="2271"/>
        </w:tabs>
        <w:ind w:left="2272" w:hanging="284"/>
      </w:pPr>
      <w:rPr>
        <w:rFonts w:hint="default"/>
        <w:b w:val="0"/>
        <w:i w:val="0"/>
      </w:rPr>
    </w:lvl>
    <w:lvl w:ilvl="8">
      <w:start w:val="1"/>
      <w:numFmt w:val="lowerRoman"/>
      <w:lvlText w:val="%9."/>
      <w:lvlJc w:val="left"/>
      <w:pPr>
        <w:tabs>
          <w:tab w:val="num" w:pos="2555"/>
        </w:tabs>
        <w:ind w:left="2556" w:hanging="284"/>
      </w:pPr>
      <w:rPr>
        <w:rFonts w:hint="default"/>
        <w:b w:val="0"/>
        <w:i w:val="0"/>
      </w:rPr>
    </w:lvl>
  </w:abstractNum>
  <w:abstractNum w:abstractNumId="3" w15:restartNumberingAfterBreak="0">
    <w:nsid w:val="17DF7717"/>
    <w:multiLevelType w:val="multilevel"/>
    <w:tmpl w:val="ED22DEF8"/>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643"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7826BF0"/>
    <w:multiLevelType w:val="multilevel"/>
    <w:tmpl w:val="6D0AA75C"/>
    <w:lvl w:ilvl="0">
      <w:start w:val="1"/>
      <w:numFmt w:val="lowerRoman"/>
      <w:lvlText w:val="%1."/>
      <w:lvlJc w:val="left"/>
      <w:pPr>
        <w:tabs>
          <w:tab w:val="num" w:pos="720"/>
        </w:tabs>
        <w:ind w:left="720" w:hanging="720"/>
      </w:pPr>
      <w:rPr>
        <w:rFonts w:hint="default"/>
      </w:rPr>
    </w:lvl>
    <w:lvl w:ilvl="1">
      <w:start w:val="1"/>
      <w:numFmt w:val="lowerLetter"/>
      <w:pStyle w:val="AlphaParagraph"/>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9FF45C3"/>
    <w:multiLevelType w:val="multilevel"/>
    <w:tmpl w:val="B91AC3AC"/>
    <w:styleLink w:val="Style1"/>
    <w:lvl w:ilvl="0">
      <w:start w:val="1"/>
      <w:numFmt w:val="none"/>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08C2710"/>
    <w:multiLevelType w:val="multilevel"/>
    <w:tmpl w:val="0D723674"/>
    <w:styleLink w:val="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rPr>
    </w:lvl>
    <w:lvl w:ilvl="1">
      <w:start w:val="1"/>
      <w:numFmt w:val="bullet"/>
      <w:lvlText w:val="–"/>
      <w:lvlJc w:val="left"/>
      <w:pPr>
        <w:tabs>
          <w:tab w:val="num" w:pos="567"/>
        </w:tabs>
        <w:ind w:left="567" w:hanging="284"/>
      </w:pPr>
      <w:rPr>
        <w:rFonts w:ascii="Times New Roman" w:hAnsi="Times New Roman" w:cs="Times New Roman" w:hint="default"/>
        <w:b w:val="0"/>
        <w:i w:val="0"/>
      </w:rPr>
    </w:lvl>
    <w:lvl w:ilvl="2">
      <w:start w:val="1"/>
      <w:numFmt w:val="bulle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7" w15:restartNumberingAfterBreak="0">
    <w:nsid w:val="3238442C"/>
    <w:multiLevelType w:val="multilevel"/>
    <w:tmpl w:val="20C6D62C"/>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30C16AD"/>
    <w:multiLevelType w:val="multilevel"/>
    <w:tmpl w:val="D10E9CF6"/>
    <w:styleLink w:val="OneLevelList"/>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61143B5"/>
    <w:multiLevelType w:val="multilevel"/>
    <w:tmpl w:val="1138F88C"/>
    <w:lvl w:ilvl="0">
      <w:start w:val="1"/>
      <w:numFmt w:val="decimal"/>
      <w:lvlText w:val="%1"/>
      <w:lvlJc w:val="left"/>
      <w:pPr>
        <w:ind w:left="432" w:hanging="432"/>
      </w:pPr>
      <w:rPr>
        <w:vanish/>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148"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10D2021"/>
    <w:multiLevelType w:val="multilevel"/>
    <w:tmpl w:val="1B76E5A0"/>
    <w:lvl w:ilvl="0">
      <w:start w:val="1"/>
      <w:numFmt w:val="decimal"/>
      <w:pStyle w:val="OutlineNumbered1"/>
      <w:lvlText w:val="%1."/>
      <w:lvlJc w:val="left"/>
      <w:pPr>
        <w:tabs>
          <w:tab w:val="num" w:pos="851"/>
        </w:tabs>
        <w:ind w:left="851" w:hanging="851"/>
      </w:pPr>
      <w:rPr>
        <w:rFonts w:hint="default"/>
      </w:rPr>
    </w:lvl>
    <w:lvl w:ilvl="1">
      <w:start w:val="1"/>
      <w:numFmt w:val="decimal"/>
      <w:pStyle w:val="OutlineNumbered2"/>
      <w:lvlText w:val="%1.%2"/>
      <w:lvlJc w:val="left"/>
      <w:pPr>
        <w:tabs>
          <w:tab w:val="num" w:pos="1134"/>
        </w:tabs>
        <w:ind w:left="1134" w:hanging="1134"/>
      </w:pPr>
      <w:rPr>
        <w:rFonts w:hint="default"/>
      </w:rPr>
    </w:lvl>
    <w:lvl w:ilvl="2">
      <w:start w:val="1"/>
      <w:numFmt w:val="decimal"/>
      <w:pStyle w:val="OutlineNumbered3"/>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8763DD2"/>
    <w:multiLevelType w:val="multilevel"/>
    <w:tmpl w:val="20C6D62C"/>
    <w:styleLink w:val="ChartandTableFootnoteAlphaList"/>
    <w:lvl w:ilvl="0">
      <w:start w:val="1"/>
      <w:numFmt w:val="lowerLetter"/>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C181079"/>
    <w:multiLevelType w:val="multilevel"/>
    <w:tmpl w:val="D96808EE"/>
    <w:lvl w:ilvl="0">
      <w:start w:val="1"/>
      <w:numFmt w:val="bullet"/>
      <w:pStyle w:val="Bullet"/>
      <w:lvlText w:val="•"/>
      <w:lvlJc w:val="left"/>
      <w:pPr>
        <w:ind w:left="284" w:hanging="284"/>
      </w:pPr>
      <w:rPr>
        <w:rFonts w:ascii="Times New Roman" w:hAnsi="Times New Roman" w:cs="Times New Roman" w:hint="default"/>
      </w:rPr>
    </w:lvl>
    <w:lvl w:ilvl="1">
      <w:start w:val="1"/>
      <w:numFmt w:val="bullet"/>
      <w:pStyle w:val="Dash"/>
      <w:lvlText w:val="–"/>
      <w:lvlJc w:val="left"/>
      <w:pPr>
        <w:ind w:left="568" w:hanging="284"/>
      </w:pPr>
      <w:rPr>
        <w:rFonts w:ascii="Times New Roman" w:hAnsi="Times New Roman" w:cs="Times New Roman" w:hint="default"/>
      </w:rPr>
    </w:lvl>
    <w:lvl w:ilvl="2">
      <w:start w:val="1"/>
      <w:numFmt w:val="bullet"/>
      <w:pStyle w:val="DoubleDot"/>
      <w:lvlText w:val=":"/>
      <w:lvlJc w:val="left"/>
      <w:pPr>
        <w:ind w:left="852" w:hanging="284"/>
      </w:pPr>
      <w:rPr>
        <w:rFonts w:ascii="Calibri" w:hAnsi="Calibri"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3" w15:restartNumberingAfterBreak="0">
    <w:nsid w:val="7D6B5224"/>
    <w:multiLevelType w:val="multilevel"/>
    <w:tmpl w:val="91FE60A6"/>
    <w:name w:val="StandardBulletedList"/>
    <w:lvl w:ilvl="0">
      <w:start w:val="1"/>
      <w:numFmt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F140902"/>
    <w:multiLevelType w:val="hybridMultilevel"/>
    <w:tmpl w:val="92621D98"/>
    <w:lvl w:ilvl="0" w:tplc="BB4AB2DE">
      <w:start w:val="1"/>
      <w:numFmt w:val="bullet"/>
      <w:lvlText w:val=""/>
      <w:lvlJc w:val="left"/>
      <w:pPr>
        <w:ind w:left="1080" w:hanging="360"/>
      </w:pPr>
      <w:rPr>
        <w:rFonts w:ascii="Symbol" w:hAnsi="Symbol"/>
      </w:rPr>
    </w:lvl>
    <w:lvl w:ilvl="1" w:tplc="933CEA0A">
      <w:start w:val="1"/>
      <w:numFmt w:val="bullet"/>
      <w:lvlText w:val=""/>
      <w:lvlJc w:val="left"/>
      <w:pPr>
        <w:ind w:left="1080" w:hanging="360"/>
      </w:pPr>
      <w:rPr>
        <w:rFonts w:ascii="Symbol" w:hAnsi="Symbol"/>
      </w:rPr>
    </w:lvl>
    <w:lvl w:ilvl="2" w:tplc="1BFCD428">
      <w:start w:val="1"/>
      <w:numFmt w:val="bullet"/>
      <w:lvlText w:val=""/>
      <w:lvlJc w:val="left"/>
      <w:pPr>
        <w:ind w:left="1080" w:hanging="360"/>
      </w:pPr>
      <w:rPr>
        <w:rFonts w:ascii="Symbol" w:hAnsi="Symbol"/>
      </w:rPr>
    </w:lvl>
    <w:lvl w:ilvl="3" w:tplc="B5DAFAE2">
      <w:start w:val="1"/>
      <w:numFmt w:val="bullet"/>
      <w:lvlText w:val=""/>
      <w:lvlJc w:val="left"/>
      <w:pPr>
        <w:ind w:left="1080" w:hanging="360"/>
      </w:pPr>
      <w:rPr>
        <w:rFonts w:ascii="Symbol" w:hAnsi="Symbol"/>
      </w:rPr>
    </w:lvl>
    <w:lvl w:ilvl="4" w:tplc="6BD8C3C8">
      <w:start w:val="1"/>
      <w:numFmt w:val="bullet"/>
      <w:lvlText w:val=""/>
      <w:lvlJc w:val="left"/>
      <w:pPr>
        <w:ind w:left="1080" w:hanging="360"/>
      </w:pPr>
      <w:rPr>
        <w:rFonts w:ascii="Symbol" w:hAnsi="Symbol"/>
      </w:rPr>
    </w:lvl>
    <w:lvl w:ilvl="5" w:tplc="56EE6ABC">
      <w:start w:val="1"/>
      <w:numFmt w:val="bullet"/>
      <w:lvlText w:val=""/>
      <w:lvlJc w:val="left"/>
      <w:pPr>
        <w:ind w:left="1080" w:hanging="360"/>
      </w:pPr>
      <w:rPr>
        <w:rFonts w:ascii="Symbol" w:hAnsi="Symbol"/>
      </w:rPr>
    </w:lvl>
    <w:lvl w:ilvl="6" w:tplc="059EC0DE">
      <w:start w:val="1"/>
      <w:numFmt w:val="bullet"/>
      <w:lvlText w:val=""/>
      <w:lvlJc w:val="left"/>
      <w:pPr>
        <w:ind w:left="1080" w:hanging="360"/>
      </w:pPr>
      <w:rPr>
        <w:rFonts w:ascii="Symbol" w:hAnsi="Symbol"/>
      </w:rPr>
    </w:lvl>
    <w:lvl w:ilvl="7" w:tplc="76668514">
      <w:start w:val="1"/>
      <w:numFmt w:val="bullet"/>
      <w:lvlText w:val=""/>
      <w:lvlJc w:val="left"/>
      <w:pPr>
        <w:ind w:left="1080" w:hanging="360"/>
      </w:pPr>
      <w:rPr>
        <w:rFonts w:ascii="Symbol" w:hAnsi="Symbol"/>
      </w:rPr>
    </w:lvl>
    <w:lvl w:ilvl="8" w:tplc="CFA8E314">
      <w:start w:val="1"/>
      <w:numFmt w:val="bullet"/>
      <w:lvlText w:val=""/>
      <w:lvlJc w:val="left"/>
      <w:pPr>
        <w:ind w:left="1080" w:hanging="360"/>
      </w:pPr>
      <w:rPr>
        <w:rFonts w:ascii="Symbol" w:hAnsi="Symbol"/>
      </w:rPr>
    </w:lvl>
  </w:abstractNum>
  <w:num w:numId="1" w16cid:durableId="1509446909">
    <w:abstractNumId w:val="6"/>
  </w:num>
  <w:num w:numId="2" w16cid:durableId="230386874">
    <w:abstractNumId w:val="0"/>
  </w:num>
  <w:num w:numId="3" w16cid:durableId="1716855291">
    <w:abstractNumId w:val="8"/>
  </w:num>
  <w:num w:numId="4" w16cid:durableId="797724066">
    <w:abstractNumId w:val="1"/>
  </w:num>
  <w:num w:numId="5" w16cid:durableId="832991063">
    <w:abstractNumId w:val="4"/>
  </w:num>
  <w:num w:numId="6" w16cid:durableId="143200778">
    <w:abstractNumId w:val="7"/>
  </w:num>
  <w:num w:numId="7" w16cid:durableId="17107575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4227257">
    <w:abstractNumId w:val="12"/>
  </w:num>
  <w:num w:numId="9" w16cid:durableId="1967077949">
    <w:abstractNumId w:val="11"/>
  </w:num>
  <w:num w:numId="10" w16cid:durableId="2102723665">
    <w:abstractNumId w:val="9"/>
  </w:num>
  <w:num w:numId="11" w16cid:durableId="1043020558">
    <w:abstractNumId w:val="3"/>
  </w:num>
  <w:num w:numId="12" w16cid:durableId="13284827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9497038">
    <w:abstractNumId w:val="5"/>
  </w:num>
  <w:num w:numId="14" w16cid:durableId="18219264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3919829">
    <w:abstractNumId w:val="3"/>
  </w:num>
  <w:num w:numId="16" w16cid:durableId="147792001">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2D7E7D"/>
    <w:rsid w:val="0000007F"/>
    <w:rsid w:val="0000008B"/>
    <w:rsid w:val="000001B8"/>
    <w:rsid w:val="000001C9"/>
    <w:rsid w:val="00000278"/>
    <w:rsid w:val="000002A3"/>
    <w:rsid w:val="000002A7"/>
    <w:rsid w:val="000002FE"/>
    <w:rsid w:val="00000360"/>
    <w:rsid w:val="0000036A"/>
    <w:rsid w:val="00000370"/>
    <w:rsid w:val="0000037A"/>
    <w:rsid w:val="000003DC"/>
    <w:rsid w:val="00000465"/>
    <w:rsid w:val="0000050C"/>
    <w:rsid w:val="00000513"/>
    <w:rsid w:val="0000056E"/>
    <w:rsid w:val="0000059A"/>
    <w:rsid w:val="000005D8"/>
    <w:rsid w:val="000005FE"/>
    <w:rsid w:val="00000626"/>
    <w:rsid w:val="00000677"/>
    <w:rsid w:val="0000067A"/>
    <w:rsid w:val="00000688"/>
    <w:rsid w:val="000006AC"/>
    <w:rsid w:val="000006D7"/>
    <w:rsid w:val="000006F6"/>
    <w:rsid w:val="0000071C"/>
    <w:rsid w:val="000007C0"/>
    <w:rsid w:val="000007CA"/>
    <w:rsid w:val="00000817"/>
    <w:rsid w:val="00000862"/>
    <w:rsid w:val="000008C0"/>
    <w:rsid w:val="000008DB"/>
    <w:rsid w:val="00000916"/>
    <w:rsid w:val="0000091A"/>
    <w:rsid w:val="0000092B"/>
    <w:rsid w:val="000009BC"/>
    <w:rsid w:val="000009E8"/>
    <w:rsid w:val="00000A0C"/>
    <w:rsid w:val="00000A47"/>
    <w:rsid w:val="00000A9F"/>
    <w:rsid w:val="00000AAB"/>
    <w:rsid w:val="00000AE5"/>
    <w:rsid w:val="00000AEB"/>
    <w:rsid w:val="00000B0F"/>
    <w:rsid w:val="00000B18"/>
    <w:rsid w:val="00000BD3"/>
    <w:rsid w:val="00000C75"/>
    <w:rsid w:val="00000C77"/>
    <w:rsid w:val="00000C84"/>
    <w:rsid w:val="00000CAA"/>
    <w:rsid w:val="00000D24"/>
    <w:rsid w:val="00000D29"/>
    <w:rsid w:val="00000D91"/>
    <w:rsid w:val="00000D9F"/>
    <w:rsid w:val="00000DBC"/>
    <w:rsid w:val="00000E9B"/>
    <w:rsid w:val="00000EA4"/>
    <w:rsid w:val="00000EB9"/>
    <w:rsid w:val="00000EE6"/>
    <w:rsid w:val="00000EF7"/>
    <w:rsid w:val="00000F3C"/>
    <w:rsid w:val="00000F73"/>
    <w:rsid w:val="00000F84"/>
    <w:rsid w:val="00000FA9"/>
    <w:rsid w:val="00000FAC"/>
    <w:rsid w:val="00000FBF"/>
    <w:rsid w:val="00000FFA"/>
    <w:rsid w:val="00001048"/>
    <w:rsid w:val="00001086"/>
    <w:rsid w:val="0000110D"/>
    <w:rsid w:val="000011D7"/>
    <w:rsid w:val="0000129B"/>
    <w:rsid w:val="0000129D"/>
    <w:rsid w:val="000012E8"/>
    <w:rsid w:val="00001415"/>
    <w:rsid w:val="0000142B"/>
    <w:rsid w:val="00001474"/>
    <w:rsid w:val="000014D1"/>
    <w:rsid w:val="0000150B"/>
    <w:rsid w:val="00001525"/>
    <w:rsid w:val="00001551"/>
    <w:rsid w:val="0000156B"/>
    <w:rsid w:val="0000157B"/>
    <w:rsid w:val="00001592"/>
    <w:rsid w:val="000015D4"/>
    <w:rsid w:val="000015E0"/>
    <w:rsid w:val="0000167C"/>
    <w:rsid w:val="000016DE"/>
    <w:rsid w:val="00001713"/>
    <w:rsid w:val="0000172E"/>
    <w:rsid w:val="0000173D"/>
    <w:rsid w:val="00001746"/>
    <w:rsid w:val="00001772"/>
    <w:rsid w:val="000017A2"/>
    <w:rsid w:val="0000183E"/>
    <w:rsid w:val="0000194D"/>
    <w:rsid w:val="00001A0D"/>
    <w:rsid w:val="00001A38"/>
    <w:rsid w:val="00001A6D"/>
    <w:rsid w:val="00001AA2"/>
    <w:rsid w:val="00001AA5"/>
    <w:rsid w:val="00001B27"/>
    <w:rsid w:val="00001B29"/>
    <w:rsid w:val="00001B45"/>
    <w:rsid w:val="00001B64"/>
    <w:rsid w:val="00001BB3"/>
    <w:rsid w:val="00001BF3"/>
    <w:rsid w:val="00001C99"/>
    <w:rsid w:val="00001CB5"/>
    <w:rsid w:val="00001CE4"/>
    <w:rsid w:val="00001CF0"/>
    <w:rsid w:val="00001D64"/>
    <w:rsid w:val="00001D84"/>
    <w:rsid w:val="00001DDC"/>
    <w:rsid w:val="00001E4F"/>
    <w:rsid w:val="00001E5A"/>
    <w:rsid w:val="00001F28"/>
    <w:rsid w:val="00001FD8"/>
    <w:rsid w:val="0000204F"/>
    <w:rsid w:val="000020D6"/>
    <w:rsid w:val="000020E3"/>
    <w:rsid w:val="00002147"/>
    <w:rsid w:val="00002189"/>
    <w:rsid w:val="0000218F"/>
    <w:rsid w:val="00002197"/>
    <w:rsid w:val="000021A9"/>
    <w:rsid w:val="000021B3"/>
    <w:rsid w:val="000021F2"/>
    <w:rsid w:val="0000220F"/>
    <w:rsid w:val="00002238"/>
    <w:rsid w:val="000023BE"/>
    <w:rsid w:val="000023CE"/>
    <w:rsid w:val="000023CF"/>
    <w:rsid w:val="0000240F"/>
    <w:rsid w:val="00002415"/>
    <w:rsid w:val="00002463"/>
    <w:rsid w:val="00002481"/>
    <w:rsid w:val="00002499"/>
    <w:rsid w:val="000024A7"/>
    <w:rsid w:val="00002608"/>
    <w:rsid w:val="00002613"/>
    <w:rsid w:val="000026A7"/>
    <w:rsid w:val="0000272F"/>
    <w:rsid w:val="00002733"/>
    <w:rsid w:val="0000278F"/>
    <w:rsid w:val="00002803"/>
    <w:rsid w:val="00002813"/>
    <w:rsid w:val="00002865"/>
    <w:rsid w:val="00002927"/>
    <w:rsid w:val="00002940"/>
    <w:rsid w:val="000029AA"/>
    <w:rsid w:val="000029F2"/>
    <w:rsid w:val="000029F8"/>
    <w:rsid w:val="00002ABE"/>
    <w:rsid w:val="00002AE2"/>
    <w:rsid w:val="00002B30"/>
    <w:rsid w:val="00002B32"/>
    <w:rsid w:val="00002B62"/>
    <w:rsid w:val="00002B83"/>
    <w:rsid w:val="00002C6D"/>
    <w:rsid w:val="00002C83"/>
    <w:rsid w:val="00002CA2"/>
    <w:rsid w:val="00002D2C"/>
    <w:rsid w:val="00002DA3"/>
    <w:rsid w:val="00002DC0"/>
    <w:rsid w:val="00002DE7"/>
    <w:rsid w:val="00002DFF"/>
    <w:rsid w:val="00002E57"/>
    <w:rsid w:val="00002ECE"/>
    <w:rsid w:val="00002F0D"/>
    <w:rsid w:val="00002F1E"/>
    <w:rsid w:val="00002F2E"/>
    <w:rsid w:val="00002F60"/>
    <w:rsid w:val="00002F69"/>
    <w:rsid w:val="00002FD9"/>
    <w:rsid w:val="0000300B"/>
    <w:rsid w:val="0000308F"/>
    <w:rsid w:val="000030B0"/>
    <w:rsid w:val="000031A0"/>
    <w:rsid w:val="00003210"/>
    <w:rsid w:val="0000325A"/>
    <w:rsid w:val="00003270"/>
    <w:rsid w:val="00003318"/>
    <w:rsid w:val="0000331A"/>
    <w:rsid w:val="00003356"/>
    <w:rsid w:val="00003371"/>
    <w:rsid w:val="0000337B"/>
    <w:rsid w:val="000033A9"/>
    <w:rsid w:val="000033AE"/>
    <w:rsid w:val="000033BC"/>
    <w:rsid w:val="0000340B"/>
    <w:rsid w:val="00003418"/>
    <w:rsid w:val="0000342A"/>
    <w:rsid w:val="00003466"/>
    <w:rsid w:val="000034A4"/>
    <w:rsid w:val="00003516"/>
    <w:rsid w:val="00003592"/>
    <w:rsid w:val="000035EF"/>
    <w:rsid w:val="00003646"/>
    <w:rsid w:val="0000365C"/>
    <w:rsid w:val="00003680"/>
    <w:rsid w:val="0000369E"/>
    <w:rsid w:val="000036AF"/>
    <w:rsid w:val="000036C8"/>
    <w:rsid w:val="000036E4"/>
    <w:rsid w:val="000036E9"/>
    <w:rsid w:val="0000378C"/>
    <w:rsid w:val="000037EF"/>
    <w:rsid w:val="00003874"/>
    <w:rsid w:val="00003876"/>
    <w:rsid w:val="0000388E"/>
    <w:rsid w:val="000038E3"/>
    <w:rsid w:val="000038FE"/>
    <w:rsid w:val="0000391C"/>
    <w:rsid w:val="00003922"/>
    <w:rsid w:val="00003971"/>
    <w:rsid w:val="00003A06"/>
    <w:rsid w:val="00003A0E"/>
    <w:rsid w:val="00003A29"/>
    <w:rsid w:val="00003A4E"/>
    <w:rsid w:val="00003A6C"/>
    <w:rsid w:val="00003AF1"/>
    <w:rsid w:val="00003B0F"/>
    <w:rsid w:val="00003B4D"/>
    <w:rsid w:val="00003B9D"/>
    <w:rsid w:val="00003BAC"/>
    <w:rsid w:val="00003BB7"/>
    <w:rsid w:val="00003C34"/>
    <w:rsid w:val="00003C72"/>
    <w:rsid w:val="00003C76"/>
    <w:rsid w:val="00003CA9"/>
    <w:rsid w:val="00003D5F"/>
    <w:rsid w:val="00003D63"/>
    <w:rsid w:val="00003E35"/>
    <w:rsid w:val="00003E37"/>
    <w:rsid w:val="00003E3C"/>
    <w:rsid w:val="00003E89"/>
    <w:rsid w:val="00003EB7"/>
    <w:rsid w:val="00003ECB"/>
    <w:rsid w:val="00003FA7"/>
    <w:rsid w:val="00003FED"/>
    <w:rsid w:val="00004052"/>
    <w:rsid w:val="00004067"/>
    <w:rsid w:val="00004075"/>
    <w:rsid w:val="000040BD"/>
    <w:rsid w:val="000040F8"/>
    <w:rsid w:val="0000411D"/>
    <w:rsid w:val="0000415A"/>
    <w:rsid w:val="000041FC"/>
    <w:rsid w:val="000042F9"/>
    <w:rsid w:val="000043B0"/>
    <w:rsid w:val="000043C1"/>
    <w:rsid w:val="000043E5"/>
    <w:rsid w:val="0000441B"/>
    <w:rsid w:val="00004497"/>
    <w:rsid w:val="0000452F"/>
    <w:rsid w:val="00004534"/>
    <w:rsid w:val="0000457A"/>
    <w:rsid w:val="00004590"/>
    <w:rsid w:val="000045FA"/>
    <w:rsid w:val="00004617"/>
    <w:rsid w:val="00004649"/>
    <w:rsid w:val="00004699"/>
    <w:rsid w:val="000046A6"/>
    <w:rsid w:val="000046B1"/>
    <w:rsid w:val="000046B5"/>
    <w:rsid w:val="000046F3"/>
    <w:rsid w:val="00004725"/>
    <w:rsid w:val="000047D0"/>
    <w:rsid w:val="00004808"/>
    <w:rsid w:val="00004834"/>
    <w:rsid w:val="000048C3"/>
    <w:rsid w:val="000048CE"/>
    <w:rsid w:val="000048DD"/>
    <w:rsid w:val="00004921"/>
    <w:rsid w:val="00004976"/>
    <w:rsid w:val="00004989"/>
    <w:rsid w:val="000049B0"/>
    <w:rsid w:val="000049C8"/>
    <w:rsid w:val="00004A2A"/>
    <w:rsid w:val="00004A6A"/>
    <w:rsid w:val="00004AC4"/>
    <w:rsid w:val="00004AE7"/>
    <w:rsid w:val="00004B40"/>
    <w:rsid w:val="00004B47"/>
    <w:rsid w:val="00004B52"/>
    <w:rsid w:val="00004B7A"/>
    <w:rsid w:val="00004BAA"/>
    <w:rsid w:val="00004BEA"/>
    <w:rsid w:val="00004C12"/>
    <w:rsid w:val="00004C60"/>
    <w:rsid w:val="00004D89"/>
    <w:rsid w:val="00004DA9"/>
    <w:rsid w:val="00004DD5"/>
    <w:rsid w:val="00004DE4"/>
    <w:rsid w:val="00004E0C"/>
    <w:rsid w:val="00004E0D"/>
    <w:rsid w:val="00004E6C"/>
    <w:rsid w:val="00004E71"/>
    <w:rsid w:val="00004ED9"/>
    <w:rsid w:val="00004EF0"/>
    <w:rsid w:val="00004F43"/>
    <w:rsid w:val="00004F7D"/>
    <w:rsid w:val="00004F82"/>
    <w:rsid w:val="00004FA8"/>
    <w:rsid w:val="00004FDB"/>
    <w:rsid w:val="00004FE6"/>
    <w:rsid w:val="00005035"/>
    <w:rsid w:val="00005099"/>
    <w:rsid w:val="000050A8"/>
    <w:rsid w:val="000050CD"/>
    <w:rsid w:val="000050EC"/>
    <w:rsid w:val="00005104"/>
    <w:rsid w:val="00005123"/>
    <w:rsid w:val="00005160"/>
    <w:rsid w:val="000051A8"/>
    <w:rsid w:val="000052B7"/>
    <w:rsid w:val="000052F8"/>
    <w:rsid w:val="00005347"/>
    <w:rsid w:val="0000535B"/>
    <w:rsid w:val="00005361"/>
    <w:rsid w:val="00005385"/>
    <w:rsid w:val="000053C0"/>
    <w:rsid w:val="000053E7"/>
    <w:rsid w:val="00005416"/>
    <w:rsid w:val="00005425"/>
    <w:rsid w:val="0000542A"/>
    <w:rsid w:val="00005440"/>
    <w:rsid w:val="000054AF"/>
    <w:rsid w:val="000054F8"/>
    <w:rsid w:val="0000551A"/>
    <w:rsid w:val="000055B7"/>
    <w:rsid w:val="000055D2"/>
    <w:rsid w:val="000055D4"/>
    <w:rsid w:val="000055E8"/>
    <w:rsid w:val="0000560A"/>
    <w:rsid w:val="0000562F"/>
    <w:rsid w:val="0000566D"/>
    <w:rsid w:val="000056FF"/>
    <w:rsid w:val="00005728"/>
    <w:rsid w:val="0000574C"/>
    <w:rsid w:val="00005759"/>
    <w:rsid w:val="000057B6"/>
    <w:rsid w:val="00005814"/>
    <w:rsid w:val="00005826"/>
    <w:rsid w:val="00005884"/>
    <w:rsid w:val="0000589D"/>
    <w:rsid w:val="0000589E"/>
    <w:rsid w:val="000058CE"/>
    <w:rsid w:val="000058D6"/>
    <w:rsid w:val="00005941"/>
    <w:rsid w:val="00005A00"/>
    <w:rsid w:val="00005B3D"/>
    <w:rsid w:val="00005B41"/>
    <w:rsid w:val="00005B68"/>
    <w:rsid w:val="00005B72"/>
    <w:rsid w:val="00005B83"/>
    <w:rsid w:val="00005BF0"/>
    <w:rsid w:val="00005BF2"/>
    <w:rsid w:val="00005C02"/>
    <w:rsid w:val="00005C07"/>
    <w:rsid w:val="00005C31"/>
    <w:rsid w:val="00005CCF"/>
    <w:rsid w:val="00005CD4"/>
    <w:rsid w:val="00005CFA"/>
    <w:rsid w:val="00005E80"/>
    <w:rsid w:val="00005E99"/>
    <w:rsid w:val="00005F94"/>
    <w:rsid w:val="00005FA0"/>
    <w:rsid w:val="00006041"/>
    <w:rsid w:val="0000605B"/>
    <w:rsid w:val="000060D8"/>
    <w:rsid w:val="00006151"/>
    <w:rsid w:val="00006153"/>
    <w:rsid w:val="00006163"/>
    <w:rsid w:val="000061E8"/>
    <w:rsid w:val="00006208"/>
    <w:rsid w:val="00006267"/>
    <w:rsid w:val="00006296"/>
    <w:rsid w:val="000063B2"/>
    <w:rsid w:val="000063BB"/>
    <w:rsid w:val="000063BE"/>
    <w:rsid w:val="000063D2"/>
    <w:rsid w:val="000063E1"/>
    <w:rsid w:val="00006415"/>
    <w:rsid w:val="00006426"/>
    <w:rsid w:val="0000645E"/>
    <w:rsid w:val="00006472"/>
    <w:rsid w:val="0000647E"/>
    <w:rsid w:val="000065CC"/>
    <w:rsid w:val="00006618"/>
    <w:rsid w:val="0000665E"/>
    <w:rsid w:val="0000666A"/>
    <w:rsid w:val="0000667B"/>
    <w:rsid w:val="0000669E"/>
    <w:rsid w:val="000066B6"/>
    <w:rsid w:val="000066BE"/>
    <w:rsid w:val="000066CD"/>
    <w:rsid w:val="0000672E"/>
    <w:rsid w:val="0000675E"/>
    <w:rsid w:val="00006791"/>
    <w:rsid w:val="000067C8"/>
    <w:rsid w:val="000067E3"/>
    <w:rsid w:val="0000698D"/>
    <w:rsid w:val="000069C0"/>
    <w:rsid w:val="000069ED"/>
    <w:rsid w:val="00006A14"/>
    <w:rsid w:val="00006A34"/>
    <w:rsid w:val="00006A49"/>
    <w:rsid w:val="00006A87"/>
    <w:rsid w:val="00006AAB"/>
    <w:rsid w:val="00006AAF"/>
    <w:rsid w:val="00006ADA"/>
    <w:rsid w:val="00006AFD"/>
    <w:rsid w:val="00006B10"/>
    <w:rsid w:val="00006B26"/>
    <w:rsid w:val="00006B2F"/>
    <w:rsid w:val="00006B6E"/>
    <w:rsid w:val="00006B74"/>
    <w:rsid w:val="00006B81"/>
    <w:rsid w:val="00006B89"/>
    <w:rsid w:val="00006BA8"/>
    <w:rsid w:val="00006BBF"/>
    <w:rsid w:val="00006BC0"/>
    <w:rsid w:val="00006C05"/>
    <w:rsid w:val="00006C83"/>
    <w:rsid w:val="00006CF9"/>
    <w:rsid w:val="00006D09"/>
    <w:rsid w:val="00006D26"/>
    <w:rsid w:val="00006D28"/>
    <w:rsid w:val="00006D4E"/>
    <w:rsid w:val="00006D58"/>
    <w:rsid w:val="00006D6C"/>
    <w:rsid w:val="00006E20"/>
    <w:rsid w:val="00006E3C"/>
    <w:rsid w:val="00006E7A"/>
    <w:rsid w:val="00006ED2"/>
    <w:rsid w:val="00006F58"/>
    <w:rsid w:val="00006F5A"/>
    <w:rsid w:val="00006FB0"/>
    <w:rsid w:val="00006FD1"/>
    <w:rsid w:val="00007056"/>
    <w:rsid w:val="00007089"/>
    <w:rsid w:val="0000708F"/>
    <w:rsid w:val="000070C9"/>
    <w:rsid w:val="000071A3"/>
    <w:rsid w:val="0000729E"/>
    <w:rsid w:val="000072FA"/>
    <w:rsid w:val="00007321"/>
    <w:rsid w:val="0000732A"/>
    <w:rsid w:val="00007352"/>
    <w:rsid w:val="000073CB"/>
    <w:rsid w:val="000073DA"/>
    <w:rsid w:val="000073EA"/>
    <w:rsid w:val="000074B0"/>
    <w:rsid w:val="000074BE"/>
    <w:rsid w:val="000074EC"/>
    <w:rsid w:val="000075CA"/>
    <w:rsid w:val="00007650"/>
    <w:rsid w:val="00007687"/>
    <w:rsid w:val="000076A0"/>
    <w:rsid w:val="000076D4"/>
    <w:rsid w:val="00007703"/>
    <w:rsid w:val="00007748"/>
    <w:rsid w:val="00007777"/>
    <w:rsid w:val="00007821"/>
    <w:rsid w:val="00007827"/>
    <w:rsid w:val="0000785F"/>
    <w:rsid w:val="000078DD"/>
    <w:rsid w:val="00007900"/>
    <w:rsid w:val="0000794E"/>
    <w:rsid w:val="00007981"/>
    <w:rsid w:val="000079D3"/>
    <w:rsid w:val="000079FE"/>
    <w:rsid w:val="00007A93"/>
    <w:rsid w:val="00007B17"/>
    <w:rsid w:val="00007B25"/>
    <w:rsid w:val="00007B48"/>
    <w:rsid w:val="00007B53"/>
    <w:rsid w:val="00007B7E"/>
    <w:rsid w:val="00007BA7"/>
    <w:rsid w:val="00007CDF"/>
    <w:rsid w:val="00007DB0"/>
    <w:rsid w:val="00007DF1"/>
    <w:rsid w:val="00007E66"/>
    <w:rsid w:val="00007F2B"/>
    <w:rsid w:val="00007F30"/>
    <w:rsid w:val="00007F3D"/>
    <w:rsid w:val="00007F60"/>
    <w:rsid w:val="00007F67"/>
    <w:rsid w:val="00007F7A"/>
    <w:rsid w:val="00007F7B"/>
    <w:rsid w:val="00007FBF"/>
    <w:rsid w:val="00010007"/>
    <w:rsid w:val="00010023"/>
    <w:rsid w:val="0001002A"/>
    <w:rsid w:val="00010129"/>
    <w:rsid w:val="00010162"/>
    <w:rsid w:val="000101BA"/>
    <w:rsid w:val="000101F2"/>
    <w:rsid w:val="00010205"/>
    <w:rsid w:val="00010283"/>
    <w:rsid w:val="000102CF"/>
    <w:rsid w:val="0001034F"/>
    <w:rsid w:val="000103AD"/>
    <w:rsid w:val="00010462"/>
    <w:rsid w:val="00010481"/>
    <w:rsid w:val="00010516"/>
    <w:rsid w:val="0001051D"/>
    <w:rsid w:val="00010613"/>
    <w:rsid w:val="00010658"/>
    <w:rsid w:val="00010691"/>
    <w:rsid w:val="000106B0"/>
    <w:rsid w:val="0001071D"/>
    <w:rsid w:val="00010754"/>
    <w:rsid w:val="00010755"/>
    <w:rsid w:val="0001077E"/>
    <w:rsid w:val="000107FC"/>
    <w:rsid w:val="00010860"/>
    <w:rsid w:val="0001088E"/>
    <w:rsid w:val="00010892"/>
    <w:rsid w:val="000108D9"/>
    <w:rsid w:val="000108E2"/>
    <w:rsid w:val="000108F2"/>
    <w:rsid w:val="000108FE"/>
    <w:rsid w:val="00010914"/>
    <w:rsid w:val="00010A1F"/>
    <w:rsid w:val="00010A64"/>
    <w:rsid w:val="00010A65"/>
    <w:rsid w:val="00010ABF"/>
    <w:rsid w:val="00010AFD"/>
    <w:rsid w:val="00010BAF"/>
    <w:rsid w:val="00010BE1"/>
    <w:rsid w:val="00010BE3"/>
    <w:rsid w:val="00010C64"/>
    <w:rsid w:val="00010C83"/>
    <w:rsid w:val="00010C95"/>
    <w:rsid w:val="00010D15"/>
    <w:rsid w:val="00010D38"/>
    <w:rsid w:val="00010D5B"/>
    <w:rsid w:val="00010D6E"/>
    <w:rsid w:val="00010D79"/>
    <w:rsid w:val="00010DE9"/>
    <w:rsid w:val="00010DFD"/>
    <w:rsid w:val="00010E48"/>
    <w:rsid w:val="00010E7D"/>
    <w:rsid w:val="00010EEE"/>
    <w:rsid w:val="00010F0D"/>
    <w:rsid w:val="00010F82"/>
    <w:rsid w:val="00011040"/>
    <w:rsid w:val="00011050"/>
    <w:rsid w:val="00011092"/>
    <w:rsid w:val="000110B5"/>
    <w:rsid w:val="00011128"/>
    <w:rsid w:val="000111C7"/>
    <w:rsid w:val="00011292"/>
    <w:rsid w:val="00011298"/>
    <w:rsid w:val="000112D1"/>
    <w:rsid w:val="000112E1"/>
    <w:rsid w:val="000112FA"/>
    <w:rsid w:val="0001135D"/>
    <w:rsid w:val="00011364"/>
    <w:rsid w:val="00011398"/>
    <w:rsid w:val="0001141B"/>
    <w:rsid w:val="0001142B"/>
    <w:rsid w:val="0001146E"/>
    <w:rsid w:val="0001147E"/>
    <w:rsid w:val="000114B1"/>
    <w:rsid w:val="000114BF"/>
    <w:rsid w:val="000114CB"/>
    <w:rsid w:val="000114D3"/>
    <w:rsid w:val="000114FA"/>
    <w:rsid w:val="00011539"/>
    <w:rsid w:val="000115A8"/>
    <w:rsid w:val="000115DA"/>
    <w:rsid w:val="00011636"/>
    <w:rsid w:val="0001167B"/>
    <w:rsid w:val="00011684"/>
    <w:rsid w:val="000116B6"/>
    <w:rsid w:val="000116E4"/>
    <w:rsid w:val="000116E5"/>
    <w:rsid w:val="000116F3"/>
    <w:rsid w:val="00011725"/>
    <w:rsid w:val="00011760"/>
    <w:rsid w:val="000117AC"/>
    <w:rsid w:val="000117C8"/>
    <w:rsid w:val="00011805"/>
    <w:rsid w:val="00011882"/>
    <w:rsid w:val="000118DD"/>
    <w:rsid w:val="000118DF"/>
    <w:rsid w:val="00011974"/>
    <w:rsid w:val="000119B7"/>
    <w:rsid w:val="000119D7"/>
    <w:rsid w:val="00011A5F"/>
    <w:rsid w:val="00011A7E"/>
    <w:rsid w:val="00011A7F"/>
    <w:rsid w:val="00011A95"/>
    <w:rsid w:val="00011B95"/>
    <w:rsid w:val="00011BA1"/>
    <w:rsid w:val="00011BEF"/>
    <w:rsid w:val="00011C6B"/>
    <w:rsid w:val="00011CAD"/>
    <w:rsid w:val="00011D28"/>
    <w:rsid w:val="00011D82"/>
    <w:rsid w:val="00011E04"/>
    <w:rsid w:val="00011E63"/>
    <w:rsid w:val="00011EFC"/>
    <w:rsid w:val="00011F19"/>
    <w:rsid w:val="00011F1A"/>
    <w:rsid w:val="00011F56"/>
    <w:rsid w:val="00011F88"/>
    <w:rsid w:val="00011F94"/>
    <w:rsid w:val="00011FBF"/>
    <w:rsid w:val="00012058"/>
    <w:rsid w:val="00012063"/>
    <w:rsid w:val="000120AE"/>
    <w:rsid w:val="00012119"/>
    <w:rsid w:val="00012158"/>
    <w:rsid w:val="000121D5"/>
    <w:rsid w:val="000121F8"/>
    <w:rsid w:val="0001224F"/>
    <w:rsid w:val="00012274"/>
    <w:rsid w:val="000122D0"/>
    <w:rsid w:val="000122E8"/>
    <w:rsid w:val="00012384"/>
    <w:rsid w:val="00012392"/>
    <w:rsid w:val="0001240C"/>
    <w:rsid w:val="00012431"/>
    <w:rsid w:val="00012490"/>
    <w:rsid w:val="0001251E"/>
    <w:rsid w:val="0001252F"/>
    <w:rsid w:val="0001254B"/>
    <w:rsid w:val="000125D5"/>
    <w:rsid w:val="000125E8"/>
    <w:rsid w:val="00012615"/>
    <w:rsid w:val="0001264D"/>
    <w:rsid w:val="00012675"/>
    <w:rsid w:val="00012698"/>
    <w:rsid w:val="000126CA"/>
    <w:rsid w:val="0001271B"/>
    <w:rsid w:val="00012796"/>
    <w:rsid w:val="000127A8"/>
    <w:rsid w:val="00012808"/>
    <w:rsid w:val="000128C9"/>
    <w:rsid w:val="000128F8"/>
    <w:rsid w:val="00012918"/>
    <w:rsid w:val="0001293F"/>
    <w:rsid w:val="0001295F"/>
    <w:rsid w:val="0001296A"/>
    <w:rsid w:val="00012990"/>
    <w:rsid w:val="000129BF"/>
    <w:rsid w:val="00012A1E"/>
    <w:rsid w:val="00012A2D"/>
    <w:rsid w:val="00012A7A"/>
    <w:rsid w:val="00012A81"/>
    <w:rsid w:val="00012A94"/>
    <w:rsid w:val="00012B45"/>
    <w:rsid w:val="00012B63"/>
    <w:rsid w:val="00012B78"/>
    <w:rsid w:val="00012BAF"/>
    <w:rsid w:val="00012C62"/>
    <w:rsid w:val="00012C89"/>
    <w:rsid w:val="00012CB9"/>
    <w:rsid w:val="00012D5F"/>
    <w:rsid w:val="00012D7C"/>
    <w:rsid w:val="00012DB6"/>
    <w:rsid w:val="00012DE8"/>
    <w:rsid w:val="00012E16"/>
    <w:rsid w:val="00012E9E"/>
    <w:rsid w:val="00012F44"/>
    <w:rsid w:val="00012F64"/>
    <w:rsid w:val="00012FB4"/>
    <w:rsid w:val="00012FC5"/>
    <w:rsid w:val="00012FCE"/>
    <w:rsid w:val="00013096"/>
    <w:rsid w:val="000130BB"/>
    <w:rsid w:val="000130C4"/>
    <w:rsid w:val="000130E9"/>
    <w:rsid w:val="000131B1"/>
    <w:rsid w:val="00013255"/>
    <w:rsid w:val="00013274"/>
    <w:rsid w:val="00013288"/>
    <w:rsid w:val="00013311"/>
    <w:rsid w:val="0001332D"/>
    <w:rsid w:val="00013340"/>
    <w:rsid w:val="0001338D"/>
    <w:rsid w:val="000133D8"/>
    <w:rsid w:val="000133DF"/>
    <w:rsid w:val="000133FB"/>
    <w:rsid w:val="00013429"/>
    <w:rsid w:val="0001346E"/>
    <w:rsid w:val="000134B3"/>
    <w:rsid w:val="00013534"/>
    <w:rsid w:val="00013585"/>
    <w:rsid w:val="00013588"/>
    <w:rsid w:val="0001358F"/>
    <w:rsid w:val="0001359F"/>
    <w:rsid w:val="000135B3"/>
    <w:rsid w:val="000135D8"/>
    <w:rsid w:val="00013621"/>
    <w:rsid w:val="00013671"/>
    <w:rsid w:val="00013692"/>
    <w:rsid w:val="000136B6"/>
    <w:rsid w:val="000136BE"/>
    <w:rsid w:val="00013728"/>
    <w:rsid w:val="0001378D"/>
    <w:rsid w:val="00013791"/>
    <w:rsid w:val="00013833"/>
    <w:rsid w:val="000138A8"/>
    <w:rsid w:val="000138B8"/>
    <w:rsid w:val="000138D4"/>
    <w:rsid w:val="00013941"/>
    <w:rsid w:val="0001396A"/>
    <w:rsid w:val="000139A5"/>
    <w:rsid w:val="000139E3"/>
    <w:rsid w:val="00013A81"/>
    <w:rsid w:val="00013B48"/>
    <w:rsid w:val="00013B81"/>
    <w:rsid w:val="00013BD7"/>
    <w:rsid w:val="00013C09"/>
    <w:rsid w:val="00013C2A"/>
    <w:rsid w:val="00013C8A"/>
    <w:rsid w:val="00013CBD"/>
    <w:rsid w:val="00013D5A"/>
    <w:rsid w:val="00013D70"/>
    <w:rsid w:val="00013D8D"/>
    <w:rsid w:val="00013DDC"/>
    <w:rsid w:val="00013DE2"/>
    <w:rsid w:val="00013DEB"/>
    <w:rsid w:val="00013E0E"/>
    <w:rsid w:val="00013F28"/>
    <w:rsid w:val="00013F4D"/>
    <w:rsid w:val="000140E0"/>
    <w:rsid w:val="000140E9"/>
    <w:rsid w:val="00014152"/>
    <w:rsid w:val="0001421B"/>
    <w:rsid w:val="00014248"/>
    <w:rsid w:val="00014258"/>
    <w:rsid w:val="00014273"/>
    <w:rsid w:val="00014285"/>
    <w:rsid w:val="000142A2"/>
    <w:rsid w:val="000142E0"/>
    <w:rsid w:val="0001430B"/>
    <w:rsid w:val="00014329"/>
    <w:rsid w:val="0001433F"/>
    <w:rsid w:val="000143EA"/>
    <w:rsid w:val="0001441C"/>
    <w:rsid w:val="000144A3"/>
    <w:rsid w:val="000144B2"/>
    <w:rsid w:val="000144BF"/>
    <w:rsid w:val="00014615"/>
    <w:rsid w:val="000146D5"/>
    <w:rsid w:val="00014735"/>
    <w:rsid w:val="00014774"/>
    <w:rsid w:val="000148D1"/>
    <w:rsid w:val="000148DC"/>
    <w:rsid w:val="000148E4"/>
    <w:rsid w:val="000148FC"/>
    <w:rsid w:val="00014949"/>
    <w:rsid w:val="0001499E"/>
    <w:rsid w:val="000149CC"/>
    <w:rsid w:val="000149F8"/>
    <w:rsid w:val="000149FD"/>
    <w:rsid w:val="00014B00"/>
    <w:rsid w:val="00014B0B"/>
    <w:rsid w:val="00014B14"/>
    <w:rsid w:val="00014BDE"/>
    <w:rsid w:val="00014BEF"/>
    <w:rsid w:val="00014C07"/>
    <w:rsid w:val="00014C0B"/>
    <w:rsid w:val="00014D24"/>
    <w:rsid w:val="00014D7F"/>
    <w:rsid w:val="00014D9B"/>
    <w:rsid w:val="00014DD8"/>
    <w:rsid w:val="00014E79"/>
    <w:rsid w:val="00014F0E"/>
    <w:rsid w:val="00014F12"/>
    <w:rsid w:val="00014F59"/>
    <w:rsid w:val="00014FBB"/>
    <w:rsid w:val="00014FBE"/>
    <w:rsid w:val="00014FDF"/>
    <w:rsid w:val="00015001"/>
    <w:rsid w:val="0001503B"/>
    <w:rsid w:val="0001504C"/>
    <w:rsid w:val="0001504E"/>
    <w:rsid w:val="0001507A"/>
    <w:rsid w:val="000150CD"/>
    <w:rsid w:val="000150FF"/>
    <w:rsid w:val="00015145"/>
    <w:rsid w:val="00015149"/>
    <w:rsid w:val="0001515F"/>
    <w:rsid w:val="00015199"/>
    <w:rsid w:val="000151C1"/>
    <w:rsid w:val="0001521E"/>
    <w:rsid w:val="0001525C"/>
    <w:rsid w:val="00015261"/>
    <w:rsid w:val="00015288"/>
    <w:rsid w:val="000152B6"/>
    <w:rsid w:val="00015311"/>
    <w:rsid w:val="00015386"/>
    <w:rsid w:val="0001538E"/>
    <w:rsid w:val="000153CE"/>
    <w:rsid w:val="000153D1"/>
    <w:rsid w:val="000153D8"/>
    <w:rsid w:val="00015452"/>
    <w:rsid w:val="0001545A"/>
    <w:rsid w:val="00015477"/>
    <w:rsid w:val="000154B5"/>
    <w:rsid w:val="000154CC"/>
    <w:rsid w:val="0001551A"/>
    <w:rsid w:val="0001552B"/>
    <w:rsid w:val="00015564"/>
    <w:rsid w:val="00015569"/>
    <w:rsid w:val="00015586"/>
    <w:rsid w:val="0001558F"/>
    <w:rsid w:val="000155A1"/>
    <w:rsid w:val="00015626"/>
    <w:rsid w:val="0001569C"/>
    <w:rsid w:val="000156DA"/>
    <w:rsid w:val="000156FD"/>
    <w:rsid w:val="00015737"/>
    <w:rsid w:val="00015751"/>
    <w:rsid w:val="00015794"/>
    <w:rsid w:val="000157A5"/>
    <w:rsid w:val="0001581D"/>
    <w:rsid w:val="00015832"/>
    <w:rsid w:val="00015850"/>
    <w:rsid w:val="000158CA"/>
    <w:rsid w:val="000158E0"/>
    <w:rsid w:val="00015943"/>
    <w:rsid w:val="00015970"/>
    <w:rsid w:val="000159E3"/>
    <w:rsid w:val="00015A12"/>
    <w:rsid w:val="00015A1A"/>
    <w:rsid w:val="00015A25"/>
    <w:rsid w:val="00015AE6"/>
    <w:rsid w:val="00015BB8"/>
    <w:rsid w:val="00015BE4"/>
    <w:rsid w:val="00015C55"/>
    <w:rsid w:val="00015C75"/>
    <w:rsid w:val="00015CE2"/>
    <w:rsid w:val="00015D49"/>
    <w:rsid w:val="00015D5A"/>
    <w:rsid w:val="00015DDB"/>
    <w:rsid w:val="00015DE8"/>
    <w:rsid w:val="00015DF6"/>
    <w:rsid w:val="00015E22"/>
    <w:rsid w:val="00015E29"/>
    <w:rsid w:val="00015EED"/>
    <w:rsid w:val="00015F03"/>
    <w:rsid w:val="00015F04"/>
    <w:rsid w:val="00015F8D"/>
    <w:rsid w:val="00015FA2"/>
    <w:rsid w:val="00015FE9"/>
    <w:rsid w:val="00015FF6"/>
    <w:rsid w:val="0001600F"/>
    <w:rsid w:val="00016062"/>
    <w:rsid w:val="0001606E"/>
    <w:rsid w:val="0001609A"/>
    <w:rsid w:val="000160F9"/>
    <w:rsid w:val="0001610A"/>
    <w:rsid w:val="0001610F"/>
    <w:rsid w:val="00016184"/>
    <w:rsid w:val="000161C3"/>
    <w:rsid w:val="000162A7"/>
    <w:rsid w:val="00016307"/>
    <w:rsid w:val="00016327"/>
    <w:rsid w:val="0001632C"/>
    <w:rsid w:val="00016347"/>
    <w:rsid w:val="000163A0"/>
    <w:rsid w:val="000163BA"/>
    <w:rsid w:val="000163E6"/>
    <w:rsid w:val="00016490"/>
    <w:rsid w:val="000164BC"/>
    <w:rsid w:val="000164D0"/>
    <w:rsid w:val="000164D5"/>
    <w:rsid w:val="000164E1"/>
    <w:rsid w:val="00016645"/>
    <w:rsid w:val="00016719"/>
    <w:rsid w:val="00016725"/>
    <w:rsid w:val="00016762"/>
    <w:rsid w:val="0001678B"/>
    <w:rsid w:val="000168F0"/>
    <w:rsid w:val="0001694B"/>
    <w:rsid w:val="0001697E"/>
    <w:rsid w:val="000169E4"/>
    <w:rsid w:val="00016A21"/>
    <w:rsid w:val="00016A22"/>
    <w:rsid w:val="00016AAF"/>
    <w:rsid w:val="00016AD3"/>
    <w:rsid w:val="00016AE0"/>
    <w:rsid w:val="00016B31"/>
    <w:rsid w:val="00016C1F"/>
    <w:rsid w:val="00016C51"/>
    <w:rsid w:val="00016C52"/>
    <w:rsid w:val="00016C5B"/>
    <w:rsid w:val="00016C7C"/>
    <w:rsid w:val="00016C98"/>
    <w:rsid w:val="00016D30"/>
    <w:rsid w:val="00016D3A"/>
    <w:rsid w:val="00016D51"/>
    <w:rsid w:val="00016D67"/>
    <w:rsid w:val="00016E0F"/>
    <w:rsid w:val="00016E89"/>
    <w:rsid w:val="00016ED7"/>
    <w:rsid w:val="00016EED"/>
    <w:rsid w:val="00016EF7"/>
    <w:rsid w:val="00016F78"/>
    <w:rsid w:val="00016FB6"/>
    <w:rsid w:val="00016FFB"/>
    <w:rsid w:val="00017016"/>
    <w:rsid w:val="00017030"/>
    <w:rsid w:val="00017041"/>
    <w:rsid w:val="00017051"/>
    <w:rsid w:val="00017088"/>
    <w:rsid w:val="00017096"/>
    <w:rsid w:val="000170AD"/>
    <w:rsid w:val="000170FB"/>
    <w:rsid w:val="0001711C"/>
    <w:rsid w:val="0001720E"/>
    <w:rsid w:val="0001724C"/>
    <w:rsid w:val="0001727D"/>
    <w:rsid w:val="000172EF"/>
    <w:rsid w:val="00017322"/>
    <w:rsid w:val="00017358"/>
    <w:rsid w:val="00017365"/>
    <w:rsid w:val="000173BA"/>
    <w:rsid w:val="000173D9"/>
    <w:rsid w:val="0001741B"/>
    <w:rsid w:val="00017479"/>
    <w:rsid w:val="00017492"/>
    <w:rsid w:val="000174CA"/>
    <w:rsid w:val="00017507"/>
    <w:rsid w:val="000175B3"/>
    <w:rsid w:val="0001764E"/>
    <w:rsid w:val="00017692"/>
    <w:rsid w:val="00017694"/>
    <w:rsid w:val="000176B9"/>
    <w:rsid w:val="000176D2"/>
    <w:rsid w:val="000177E4"/>
    <w:rsid w:val="0001781B"/>
    <w:rsid w:val="0001785D"/>
    <w:rsid w:val="000178D7"/>
    <w:rsid w:val="00017917"/>
    <w:rsid w:val="0001795F"/>
    <w:rsid w:val="0001796A"/>
    <w:rsid w:val="00017976"/>
    <w:rsid w:val="000179B9"/>
    <w:rsid w:val="000179E6"/>
    <w:rsid w:val="00017A8F"/>
    <w:rsid w:val="00017AB7"/>
    <w:rsid w:val="00017B0A"/>
    <w:rsid w:val="00017B3B"/>
    <w:rsid w:val="00017B53"/>
    <w:rsid w:val="00017BE0"/>
    <w:rsid w:val="00017C1F"/>
    <w:rsid w:val="00017C33"/>
    <w:rsid w:val="00017C53"/>
    <w:rsid w:val="00017C5A"/>
    <w:rsid w:val="00017D44"/>
    <w:rsid w:val="00017D6F"/>
    <w:rsid w:val="00017DCD"/>
    <w:rsid w:val="00017DD1"/>
    <w:rsid w:val="00017E10"/>
    <w:rsid w:val="00017E52"/>
    <w:rsid w:val="00017E60"/>
    <w:rsid w:val="00017E95"/>
    <w:rsid w:val="00017E9F"/>
    <w:rsid w:val="00017EB7"/>
    <w:rsid w:val="00017ECB"/>
    <w:rsid w:val="00017F11"/>
    <w:rsid w:val="00017F6C"/>
    <w:rsid w:val="00017F6E"/>
    <w:rsid w:val="00017F8C"/>
    <w:rsid w:val="00017FD2"/>
    <w:rsid w:val="0002001A"/>
    <w:rsid w:val="00020021"/>
    <w:rsid w:val="00020031"/>
    <w:rsid w:val="00020064"/>
    <w:rsid w:val="00020088"/>
    <w:rsid w:val="000200A6"/>
    <w:rsid w:val="00020157"/>
    <w:rsid w:val="00020161"/>
    <w:rsid w:val="00020188"/>
    <w:rsid w:val="0002018E"/>
    <w:rsid w:val="000202B1"/>
    <w:rsid w:val="000202E7"/>
    <w:rsid w:val="00020308"/>
    <w:rsid w:val="0002033C"/>
    <w:rsid w:val="00020394"/>
    <w:rsid w:val="0002043E"/>
    <w:rsid w:val="00020448"/>
    <w:rsid w:val="00020450"/>
    <w:rsid w:val="00020454"/>
    <w:rsid w:val="00020462"/>
    <w:rsid w:val="00020464"/>
    <w:rsid w:val="00020468"/>
    <w:rsid w:val="0002046E"/>
    <w:rsid w:val="000204B0"/>
    <w:rsid w:val="000204D2"/>
    <w:rsid w:val="000204E8"/>
    <w:rsid w:val="0002056E"/>
    <w:rsid w:val="0002063D"/>
    <w:rsid w:val="00020674"/>
    <w:rsid w:val="00020763"/>
    <w:rsid w:val="00020771"/>
    <w:rsid w:val="000207E9"/>
    <w:rsid w:val="00020887"/>
    <w:rsid w:val="000208E9"/>
    <w:rsid w:val="000208EC"/>
    <w:rsid w:val="0002090D"/>
    <w:rsid w:val="00020914"/>
    <w:rsid w:val="00020922"/>
    <w:rsid w:val="0002095F"/>
    <w:rsid w:val="00020962"/>
    <w:rsid w:val="0002098F"/>
    <w:rsid w:val="000209FA"/>
    <w:rsid w:val="00020A0A"/>
    <w:rsid w:val="00020A84"/>
    <w:rsid w:val="00020A8E"/>
    <w:rsid w:val="00020ABE"/>
    <w:rsid w:val="00020ADA"/>
    <w:rsid w:val="00020ADF"/>
    <w:rsid w:val="00020AEF"/>
    <w:rsid w:val="00020AF3"/>
    <w:rsid w:val="00020AF4"/>
    <w:rsid w:val="00020B30"/>
    <w:rsid w:val="00020B4F"/>
    <w:rsid w:val="00020C47"/>
    <w:rsid w:val="00020CDB"/>
    <w:rsid w:val="00020CF0"/>
    <w:rsid w:val="00020D08"/>
    <w:rsid w:val="00020DC1"/>
    <w:rsid w:val="00020DC2"/>
    <w:rsid w:val="00020E80"/>
    <w:rsid w:val="00020E85"/>
    <w:rsid w:val="0002101D"/>
    <w:rsid w:val="00021023"/>
    <w:rsid w:val="000210E5"/>
    <w:rsid w:val="0002113F"/>
    <w:rsid w:val="00021179"/>
    <w:rsid w:val="00021199"/>
    <w:rsid w:val="000211CE"/>
    <w:rsid w:val="0002120E"/>
    <w:rsid w:val="00021246"/>
    <w:rsid w:val="000212A5"/>
    <w:rsid w:val="000212AE"/>
    <w:rsid w:val="00021372"/>
    <w:rsid w:val="0002138A"/>
    <w:rsid w:val="0002138D"/>
    <w:rsid w:val="00021399"/>
    <w:rsid w:val="00021405"/>
    <w:rsid w:val="00021443"/>
    <w:rsid w:val="00021469"/>
    <w:rsid w:val="000214A2"/>
    <w:rsid w:val="000214D8"/>
    <w:rsid w:val="000214F9"/>
    <w:rsid w:val="0002151E"/>
    <w:rsid w:val="000215D0"/>
    <w:rsid w:val="000215F0"/>
    <w:rsid w:val="00021611"/>
    <w:rsid w:val="000216CE"/>
    <w:rsid w:val="0002173E"/>
    <w:rsid w:val="00021743"/>
    <w:rsid w:val="00021776"/>
    <w:rsid w:val="00021782"/>
    <w:rsid w:val="000217E0"/>
    <w:rsid w:val="00021845"/>
    <w:rsid w:val="0002188B"/>
    <w:rsid w:val="000218C2"/>
    <w:rsid w:val="0002192E"/>
    <w:rsid w:val="00021959"/>
    <w:rsid w:val="000219DB"/>
    <w:rsid w:val="00021A0C"/>
    <w:rsid w:val="00021A8B"/>
    <w:rsid w:val="00021A91"/>
    <w:rsid w:val="00021B00"/>
    <w:rsid w:val="00021B4F"/>
    <w:rsid w:val="00021C26"/>
    <w:rsid w:val="00021C79"/>
    <w:rsid w:val="00021C7F"/>
    <w:rsid w:val="00021CB4"/>
    <w:rsid w:val="00021CDE"/>
    <w:rsid w:val="00021D16"/>
    <w:rsid w:val="00021D7E"/>
    <w:rsid w:val="00021F11"/>
    <w:rsid w:val="00021F5B"/>
    <w:rsid w:val="00021FCB"/>
    <w:rsid w:val="00022027"/>
    <w:rsid w:val="00022154"/>
    <w:rsid w:val="0002215E"/>
    <w:rsid w:val="0002219C"/>
    <w:rsid w:val="000221BE"/>
    <w:rsid w:val="000221FE"/>
    <w:rsid w:val="0002226B"/>
    <w:rsid w:val="00022280"/>
    <w:rsid w:val="00022290"/>
    <w:rsid w:val="000222B9"/>
    <w:rsid w:val="000222BC"/>
    <w:rsid w:val="0002238D"/>
    <w:rsid w:val="00022393"/>
    <w:rsid w:val="000223F7"/>
    <w:rsid w:val="00022436"/>
    <w:rsid w:val="0002243B"/>
    <w:rsid w:val="00022460"/>
    <w:rsid w:val="00022492"/>
    <w:rsid w:val="000224A9"/>
    <w:rsid w:val="000224D6"/>
    <w:rsid w:val="000224DE"/>
    <w:rsid w:val="000224F1"/>
    <w:rsid w:val="00022568"/>
    <w:rsid w:val="00022581"/>
    <w:rsid w:val="00022643"/>
    <w:rsid w:val="00022688"/>
    <w:rsid w:val="000226BA"/>
    <w:rsid w:val="00022814"/>
    <w:rsid w:val="0002281E"/>
    <w:rsid w:val="00022853"/>
    <w:rsid w:val="000229DE"/>
    <w:rsid w:val="00022A37"/>
    <w:rsid w:val="00022A50"/>
    <w:rsid w:val="00022A9C"/>
    <w:rsid w:val="00022B12"/>
    <w:rsid w:val="00022B8D"/>
    <w:rsid w:val="00022BD3"/>
    <w:rsid w:val="00022C49"/>
    <w:rsid w:val="00022C94"/>
    <w:rsid w:val="00022CA0"/>
    <w:rsid w:val="00022CE7"/>
    <w:rsid w:val="00022CF2"/>
    <w:rsid w:val="00022CF7"/>
    <w:rsid w:val="00022D20"/>
    <w:rsid w:val="00022D4B"/>
    <w:rsid w:val="00022D88"/>
    <w:rsid w:val="00022D91"/>
    <w:rsid w:val="00022DDF"/>
    <w:rsid w:val="00022E21"/>
    <w:rsid w:val="00022E53"/>
    <w:rsid w:val="00022F86"/>
    <w:rsid w:val="00022FD9"/>
    <w:rsid w:val="00022FDD"/>
    <w:rsid w:val="00023000"/>
    <w:rsid w:val="00023107"/>
    <w:rsid w:val="00023130"/>
    <w:rsid w:val="00023172"/>
    <w:rsid w:val="000231A8"/>
    <w:rsid w:val="000231B0"/>
    <w:rsid w:val="000231D9"/>
    <w:rsid w:val="000232E9"/>
    <w:rsid w:val="000233D2"/>
    <w:rsid w:val="000233D3"/>
    <w:rsid w:val="00023470"/>
    <w:rsid w:val="000234A8"/>
    <w:rsid w:val="000234D9"/>
    <w:rsid w:val="0002350F"/>
    <w:rsid w:val="00023559"/>
    <w:rsid w:val="00023579"/>
    <w:rsid w:val="00023584"/>
    <w:rsid w:val="000235E3"/>
    <w:rsid w:val="000235FF"/>
    <w:rsid w:val="00023695"/>
    <w:rsid w:val="000236D5"/>
    <w:rsid w:val="000236E4"/>
    <w:rsid w:val="00023717"/>
    <w:rsid w:val="00023756"/>
    <w:rsid w:val="00023782"/>
    <w:rsid w:val="0002378D"/>
    <w:rsid w:val="000237A0"/>
    <w:rsid w:val="00023853"/>
    <w:rsid w:val="000238CC"/>
    <w:rsid w:val="00023942"/>
    <w:rsid w:val="00023953"/>
    <w:rsid w:val="0002397B"/>
    <w:rsid w:val="0002397C"/>
    <w:rsid w:val="00023B2C"/>
    <w:rsid w:val="00023B31"/>
    <w:rsid w:val="00023B8F"/>
    <w:rsid w:val="00023BD5"/>
    <w:rsid w:val="00023BDA"/>
    <w:rsid w:val="00023C5B"/>
    <w:rsid w:val="00023C82"/>
    <w:rsid w:val="00023CE4"/>
    <w:rsid w:val="00023D0F"/>
    <w:rsid w:val="00023D6D"/>
    <w:rsid w:val="00023D8C"/>
    <w:rsid w:val="00023DA3"/>
    <w:rsid w:val="00023DAD"/>
    <w:rsid w:val="00023E87"/>
    <w:rsid w:val="00023F00"/>
    <w:rsid w:val="00023F70"/>
    <w:rsid w:val="00024056"/>
    <w:rsid w:val="000240B7"/>
    <w:rsid w:val="0002413D"/>
    <w:rsid w:val="000241A8"/>
    <w:rsid w:val="00024257"/>
    <w:rsid w:val="00024288"/>
    <w:rsid w:val="000242EF"/>
    <w:rsid w:val="0002432B"/>
    <w:rsid w:val="0002433E"/>
    <w:rsid w:val="0002436C"/>
    <w:rsid w:val="00024378"/>
    <w:rsid w:val="000243B3"/>
    <w:rsid w:val="00024410"/>
    <w:rsid w:val="0002442C"/>
    <w:rsid w:val="00024458"/>
    <w:rsid w:val="0002445C"/>
    <w:rsid w:val="00024484"/>
    <w:rsid w:val="00024485"/>
    <w:rsid w:val="0002449F"/>
    <w:rsid w:val="000244E7"/>
    <w:rsid w:val="000244F6"/>
    <w:rsid w:val="0002455D"/>
    <w:rsid w:val="00024565"/>
    <w:rsid w:val="0002456D"/>
    <w:rsid w:val="0002457A"/>
    <w:rsid w:val="000245CB"/>
    <w:rsid w:val="0002462D"/>
    <w:rsid w:val="00024633"/>
    <w:rsid w:val="000246B7"/>
    <w:rsid w:val="000247F6"/>
    <w:rsid w:val="00024856"/>
    <w:rsid w:val="0002487B"/>
    <w:rsid w:val="000248AA"/>
    <w:rsid w:val="000248C9"/>
    <w:rsid w:val="00024947"/>
    <w:rsid w:val="00024A0D"/>
    <w:rsid w:val="00024A20"/>
    <w:rsid w:val="00024A2E"/>
    <w:rsid w:val="00024A81"/>
    <w:rsid w:val="00024AB0"/>
    <w:rsid w:val="00024AB3"/>
    <w:rsid w:val="00024BA0"/>
    <w:rsid w:val="00024BD7"/>
    <w:rsid w:val="00024C70"/>
    <w:rsid w:val="00024C80"/>
    <w:rsid w:val="00024C83"/>
    <w:rsid w:val="00024CEB"/>
    <w:rsid w:val="00024D44"/>
    <w:rsid w:val="00024D91"/>
    <w:rsid w:val="00024DB9"/>
    <w:rsid w:val="00024DE9"/>
    <w:rsid w:val="00024E1E"/>
    <w:rsid w:val="00024E5C"/>
    <w:rsid w:val="00024EBF"/>
    <w:rsid w:val="00024F06"/>
    <w:rsid w:val="00024F72"/>
    <w:rsid w:val="00025039"/>
    <w:rsid w:val="0002511F"/>
    <w:rsid w:val="00025173"/>
    <w:rsid w:val="00025192"/>
    <w:rsid w:val="00025194"/>
    <w:rsid w:val="0002520E"/>
    <w:rsid w:val="00025305"/>
    <w:rsid w:val="0002530E"/>
    <w:rsid w:val="00025330"/>
    <w:rsid w:val="0002533E"/>
    <w:rsid w:val="00025367"/>
    <w:rsid w:val="000253A6"/>
    <w:rsid w:val="000253BB"/>
    <w:rsid w:val="00025438"/>
    <w:rsid w:val="0002544D"/>
    <w:rsid w:val="000254A9"/>
    <w:rsid w:val="0002551D"/>
    <w:rsid w:val="00025549"/>
    <w:rsid w:val="00025569"/>
    <w:rsid w:val="0002558F"/>
    <w:rsid w:val="000255E2"/>
    <w:rsid w:val="0002563B"/>
    <w:rsid w:val="000256A2"/>
    <w:rsid w:val="000256C5"/>
    <w:rsid w:val="000256FA"/>
    <w:rsid w:val="000257B8"/>
    <w:rsid w:val="000257F0"/>
    <w:rsid w:val="00025839"/>
    <w:rsid w:val="00025880"/>
    <w:rsid w:val="000258D0"/>
    <w:rsid w:val="0002591D"/>
    <w:rsid w:val="00025970"/>
    <w:rsid w:val="000259D8"/>
    <w:rsid w:val="00025A21"/>
    <w:rsid w:val="00025A2D"/>
    <w:rsid w:val="00025A51"/>
    <w:rsid w:val="00025AB5"/>
    <w:rsid w:val="00025AF2"/>
    <w:rsid w:val="00025AFF"/>
    <w:rsid w:val="00025B2F"/>
    <w:rsid w:val="00025B87"/>
    <w:rsid w:val="00025B8C"/>
    <w:rsid w:val="00025B9C"/>
    <w:rsid w:val="00025BB9"/>
    <w:rsid w:val="00025BE3"/>
    <w:rsid w:val="00025C45"/>
    <w:rsid w:val="00025C79"/>
    <w:rsid w:val="00025C89"/>
    <w:rsid w:val="00025CDB"/>
    <w:rsid w:val="00025D5D"/>
    <w:rsid w:val="00025DA3"/>
    <w:rsid w:val="00025DC7"/>
    <w:rsid w:val="00025E31"/>
    <w:rsid w:val="00025E79"/>
    <w:rsid w:val="00025EE8"/>
    <w:rsid w:val="00025EEF"/>
    <w:rsid w:val="00025F0F"/>
    <w:rsid w:val="00025FAE"/>
    <w:rsid w:val="00025FF3"/>
    <w:rsid w:val="00025FF8"/>
    <w:rsid w:val="00026030"/>
    <w:rsid w:val="00026037"/>
    <w:rsid w:val="00026040"/>
    <w:rsid w:val="0002605E"/>
    <w:rsid w:val="000260CB"/>
    <w:rsid w:val="000260EE"/>
    <w:rsid w:val="0002612A"/>
    <w:rsid w:val="00026162"/>
    <w:rsid w:val="00026185"/>
    <w:rsid w:val="0002619A"/>
    <w:rsid w:val="000261AF"/>
    <w:rsid w:val="000261DD"/>
    <w:rsid w:val="00026205"/>
    <w:rsid w:val="0002627A"/>
    <w:rsid w:val="00026292"/>
    <w:rsid w:val="000262A1"/>
    <w:rsid w:val="000262FB"/>
    <w:rsid w:val="00026342"/>
    <w:rsid w:val="00026374"/>
    <w:rsid w:val="0002638D"/>
    <w:rsid w:val="00026436"/>
    <w:rsid w:val="0002656A"/>
    <w:rsid w:val="0002658A"/>
    <w:rsid w:val="0002658E"/>
    <w:rsid w:val="000266DD"/>
    <w:rsid w:val="000266EF"/>
    <w:rsid w:val="00026723"/>
    <w:rsid w:val="0002676D"/>
    <w:rsid w:val="000267C4"/>
    <w:rsid w:val="00026813"/>
    <w:rsid w:val="00026827"/>
    <w:rsid w:val="000268A0"/>
    <w:rsid w:val="00026903"/>
    <w:rsid w:val="00026933"/>
    <w:rsid w:val="00026978"/>
    <w:rsid w:val="000269A4"/>
    <w:rsid w:val="000269D0"/>
    <w:rsid w:val="000269FE"/>
    <w:rsid w:val="00026A2D"/>
    <w:rsid w:val="00026A55"/>
    <w:rsid w:val="00026A65"/>
    <w:rsid w:val="00026A72"/>
    <w:rsid w:val="00026A86"/>
    <w:rsid w:val="00026ABD"/>
    <w:rsid w:val="00026AD3"/>
    <w:rsid w:val="00026AF7"/>
    <w:rsid w:val="00026B42"/>
    <w:rsid w:val="00026BA9"/>
    <w:rsid w:val="00026BB7"/>
    <w:rsid w:val="00026BE5"/>
    <w:rsid w:val="00026CCC"/>
    <w:rsid w:val="00026CCE"/>
    <w:rsid w:val="00026CF0"/>
    <w:rsid w:val="00026D65"/>
    <w:rsid w:val="00026E39"/>
    <w:rsid w:val="00026E4F"/>
    <w:rsid w:val="00026E61"/>
    <w:rsid w:val="00026EA7"/>
    <w:rsid w:val="0002701A"/>
    <w:rsid w:val="0002702E"/>
    <w:rsid w:val="0002705E"/>
    <w:rsid w:val="000270E3"/>
    <w:rsid w:val="00027102"/>
    <w:rsid w:val="00027134"/>
    <w:rsid w:val="000271E3"/>
    <w:rsid w:val="000273F4"/>
    <w:rsid w:val="00027434"/>
    <w:rsid w:val="00027452"/>
    <w:rsid w:val="00027481"/>
    <w:rsid w:val="0002748E"/>
    <w:rsid w:val="00027493"/>
    <w:rsid w:val="0002757F"/>
    <w:rsid w:val="0002759D"/>
    <w:rsid w:val="000275A1"/>
    <w:rsid w:val="000275CF"/>
    <w:rsid w:val="0002761E"/>
    <w:rsid w:val="0002765B"/>
    <w:rsid w:val="00027661"/>
    <w:rsid w:val="0002767C"/>
    <w:rsid w:val="000276D1"/>
    <w:rsid w:val="000277AA"/>
    <w:rsid w:val="000277B1"/>
    <w:rsid w:val="000277B6"/>
    <w:rsid w:val="00027846"/>
    <w:rsid w:val="00027881"/>
    <w:rsid w:val="000278ED"/>
    <w:rsid w:val="000278F0"/>
    <w:rsid w:val="00027967"/>
    <w:rsid w:val="000279C5"/>
    <w:rsid w:val="000279C6"/>
    <w:rsid w:val="000279CD"/>
    <w:rsid w:val="000279F7"/>
    <w:rsid w:val="00027A0D"/>
    <w:rsid w:val="00027A33"/>
    <w:rsid w:val="00027A54"/>
    <w:rsid w:val="00027A67"/>
    <w:rsid w:val="00027A7C"/>
    <w:rsid w:val="00027AFC"/>
    <w:rsid w:val="00027B0C"/>
    <w:rsid w:val="00027B2A"/>
    <w:rsid w:val="00027B57"/>
    <w:rsid w:val="00027BB3"/>
    <w:rsid w:val="00027BBB"/>
    <w:rsid w:val="00027BD6"/>
    <w:rsid w:val="00027C4C"/>
    <w:rsid w:val="00027C52"/>
    <w:rsid w:val="00027C58"/>
    <w:rsid w:val="00027C70"/>
    <w:rsid w:val="00027CC2"/>
    <w:rsid w:val="00027D19"/>
    <w:rsid w:val="00027D50"/>
    <w:rsid w:val="00027D93"/>
    <w:rsid w:val="00027DBA"/>
    <w:rsid w:val="00027E17"/>
    <w:rsid w:val="00027E50"/>
    <w:rsid w:val="00027FAC"/>
    <w:rsid w:val="00030018"/>
    <w:rsid w:val="0003002F"/>
    <w:rsid w:val="00030062"/>
    <w:rsid w:val="00030068"/>
    <w:rsid w:val="00030086"/>
    <w:rsid w:val="00030095"/>
    <w:rsid w:val="00030143"/>
    <w:rsid w:val="00030153"/>
    <w:rsid w:val="00030183"/>
    <w:rsid w:val="00030184"/>
    <w:rsid w:val="000301DF"/>
    <w:rsid w:val="000301F3"/>
    <w:rsid w:val="0003021F"/>
    <w:rsid w:val="0003022B"/>
    <w:rsid w:val="000302F6"/>
    <w:rsid w:val="0003034B"/>
    <w:rsid w:val="00030360"/>
    <w:rsid w:val="000303F2"/>
    <w:rsid w:val="0003043D"/>
    <w:rsid w:val="00030442"/>
    <w:rsid w:val="00030449"/>
    <w:rsid w:val="0003045B"/>
    <w:rsid w:val="000304F6"/>
    <w:rsid w:val="0003050E"/>
    <w:rsid w:val="00030591"/>
    <w:rsid w:val="0003063E"/>
    <w:rsid w:val="000306A8"/>
    <w:rsid w:val="000306CB"/>
    <w:rsid w:val="000306F5"/>
    <w:rsid w:val="0003072D"/>
    <w:rsid w:val="00030743"/>
    <w:rsid w:val="000307A0"/>
    <w:rsid w:val="000307B9"/>
    <w:rsid w:val="000307BD"/>
    <w:rsid w:val="0003080E"/>
    <w:rsid w:val="00030811"/>
    <w:rsid w:val="00030846"/>
    <w:rsid w:val="00030847"/>
    <w:rsid w:val="0003086F"/>
    <w:rsid w:val="00030890"/>
    <w:rsid w:val="000308F9"/>
    <w:rsid w:val="00030920"/>
    <w:rsid w:val="0003097F"/>
    <w:rsid w:val="000309CC"/>
    <w:rsid w:val="000309D6"/>
    <w:rsid w:val="00030A32"/>
    <w:rsid w:val="00030A5F"/>
    <w:rsid w:val="00030A86"/>
    <w:rsid w:val="00030A9E"/>
    <w:rsid w:val="00030AAB"/>
    <w:rsid w:val="00030ACD"/>
    <w:rsid w:val="00030B6A"/>
    <w:rsid w:val="00030BEB"/>
    <w:rsid w:val="00030BEF"/>
    <w:rsid w:val="00030C0B"/>
    <w:rsid w:val="00030CDB"/>
    <w:rsid w:val="00030D30"/>
    <w:rsid w:val="00030D94"/>
    <w:rsid w:val="00030DE2"/>
    <w:rsid w:val="00030E24"/>
    <w:rsid w:val="00030E75"/>
    <w:rsid w:val="00030E96"/>
    <w:rsid w:val="00030F30"/>
    <w:rsid w:val="00030F4B"/>
    <w:rsid w:val="00030F5A"/>
    <w:rsid w:val="00030F8B"/>
    <w:rsid w:val="00030F95"/>
    <w:rsid w:val="0003105F"/>
    <w:rsid w:val="00031099"/>
    <w:rsid w:val="000310DA"/>
    <w:rsid w:val="0003112D"/>
    <w:rsid w:val="00031132"/>
    <w:rsid w:val="00031148"/>
    <w:rsid w:val="00031197"/>
    <w:rsid w:val="0003119F"/>
    <w:rsid w:val="00031226"/>
    <w:rsid w:val="0003129E"/>
    <w:rsid w:val="0003133B"/>
    <w:rsid w:val="00031351"/>
    <w:rsid w:val="00031366"/>
    <w:rsid w:val="00031375"/>
    <w:rsid w:val="0003137A"/>
    <w:rsid w:val="000313F2"/>
    <w:rsid w:val="00031443"/>
    <w:rsid w:val="00031471"/>
    <w:rsid w:val="000314E8"/>
    <w:rsid w:val="0003151F"/>
    <w:rsid w:val="00031578"/>
    <w:rsid w:val="0003158D"/>
    <w:rsid w:val="00031594"/>
    <w:rsid w:val="000315D7"/>
    <w:rsid w:val="00031619"/>
    <w:rsid w:val="00031659"/>
    <w:rsid w:val="000316E5"/>
    <w:rsid w:val="00031742"/>
    <w:rsid w:val="00031757"/>
    <w:rsid w:val="000317BF"/>
    <w:rsid w:val="0003181F"/>
    <w:rsid w:val="00031886"/>
    <w:rsid w:val="00031894"/>
    <w:rsid w:val="000318C6"/>
    <w:rsid w:val="000318C7"/>
    <w:rsid w:val="00031900"/>
    <w:rsid w:val="0003190D"/>
    <w:rsid w:val="0003195A"/>
    <w:rsid w:val="00031961"/>
    <w:rsid w:val="00031966"/>
    <w:rsid w:val="00031970"/>
    <w:rsid w:val="00031993"/>
    <w:rsid w:val="00031A58"/>
    <w:rsid w:val="00031A89"/>
    <w:rsid w:val="00031A98"/>
    <w:rsid w:val="00031AFB"/>
    <w:rsid w:val="00031B12"/>
    <w:rsid w:val="00031B27"/>
    <w:rsid w:val="00031B60"/>
    <w:rsid w:val="00031C84"/>
    <w:rsid w:val="00031CC0"/>
    <w:rsid w:val="00031CF5"/>
    <w:rsid w:val="00031D4B"/>
    <w:rsid w:val="00031D82"/>
    <w:rsid w:val="00031ED6"/>
    <w:rsid w:val="00031EE8"/>
    <w:rsid w:val="00031EF7"/>
    <w:rsid w:val="00031F27"/>
    <w:rsid w:val="00031F6B"/>
    <w:rsid w:val="00031F77"/>
    <w:rsid w:val="00031F8C"/>
    <w:rsid w:val="00032029"/>
    <w:rsid w:val="000320F6"/>
    <w:rsid w:val="00032123"/>
    <w:rsid w:val="00032187"/>
    <w:rsid w:val="000321B1"/>
    <w:rsid w:val="000321E9"/>
    <w:rsid w:val="0003221C"/>
    <w:rsid w:val="00032273"/>
    <w:rsid w:val="00032306"/>
    <w:rsid w:val="0003231D"/>
    <w:rsid w:val="0003232B"/>
    <w:rsid w:val="00032338"/>
    <w:rsid w:val="00032366"/>
    <w:rsid w:val="000323EF"/>
    <w:rsid w:val="0003244E"/>
    <w:rsid w:val="00032483"/>
    <w:rsid w:val="000324AA"/>
    <w:rsid w:val="0003251B"/>
    <w:rsid w:val="00032525"/>
    <w:rsid w:val="000325BE"/>
    <w:rsid w:val="000325D4"/>
    <w:rsid w:val="0003260F"/>
    <w:rsid w:val="0003269B"/>
    <w:rsid w:val="000326CA"/>
    <w:rsid w:val="000326CC"/>
    <w:rsid w:val="000326DD"/>
    <w:rsid w:val="0003271C"/>
    <w:rsid w:val="000327BE"/>
    <w:rsid w:val="000327CC"/>
    <w:rsid w:val="00032826"/>
    <w:rsid w:val="00032841"/>
    <w:rsid w:val="00032860"/>
    <w:rsid w:val="00032864"/>
    <w:rsid w:val="000328AC"/>
    <w:rsid w:val="00032936"/>
    <w:rsid w:val="000329B4"/>
    <w:rsid w:val="000329EA"/>
    <w:rsid w:val="00032A0D"/>
    <w:rsid w:val="00032AE9"/>
    <w:rsid w:val="00032AFC"/>
    <w:rsid w:val="00032B6D"/>
    <w:rsid w:val="00032B82"/>
    <w:rsid w:val="00032C07"/>
    <w:rsid w:val="00032C0D"/>
    <w:rsid w:val="00032C67"/>
    <w:rsid w:val="00032C76"/>
    <w:rsid w:val="00032C9F"/>
    <w:rsid w:val="00032CC4"/>
    <w:rsid w:val="00032D0F"/>
    <w:rsid w:val="00032DAA"/>
    <w:rsid w:val="00032DAC"/>
    <w:rsid w:val="00032DFA"/>
    <w:rsid w:val="00032E2A"/>
    <w:rsid w:val="00032E33"/>
    <w:rsid w:val="00032F51"/>
    <w:rsid w:val="00032F6A"/>
    <w:rsid w:val="00032F73"/>
    <w:rsid w:val="00032FB0"/>
    <w:rsid w:val="00032FD7"/>
    <w:rsid w:val="0003304A"/>
    <w:rsid w:val="000330A4"/>
    <w:rsid w:val="000330AB"/>
    <w:rsid w:val="000330B0"/>
    <w:rsid w:val="00033181"/>
    <w:rsid w:val="000331C8"/>
    <w:rsid w:val="00033216"/>
    <w:rsid w:val="0003324F"/>
    <w:rsid w:val="0003326A"/>
    <w:rsid w:val="00033270"/>
    <w:rsid w:val="000332B7"/>
    <w:rsid w:val="000332DA"/>
    <w:rsid w:val="000332F2"/>
    <w:rsid w:val="0003332A"/>
    <w:rsid w:val="00033362"/>
    <w:rsid w:val="00033391"/>
    <w:rsid w:val="000333A9"/>
    <w:rsid w:val="000333D2"/>
    <w:rsid w:val="0003344B"/>
    <w:rsid w:val="00033468"/>
    <w:rsid w:val="00033474"/>
    <w:rsid w:val="000334F8"/>
    <w:rsid w:val="000334FA"/>
    <w:rsid w:val="0003352A"/>
    <w:rsid w:val="0003352D"/>
    <w:rsid w:val="000335DE"/>
    <w:rsid w:val="0003362C"/>
    <w:rsid w:val="00033636"/>
    <w:rsid w:val="00033680"/>
    <w:rsid w:val="00033697"/>
    <w:rsid w:val="000336AE"/>
    <w:rsid w:val="000336C0"/>
    <w:rsid w:val="000336E9"/>
    <w:rsid w:val="00033740"/>
    <w:rsid w:val="00033753"/>
    <w:rsid w:val="00033766"/>
    <w:rsid w:val="00033789"/>
    <w:rsid w:val="0003378A"/>
    <w:rsid w:val="000337BE"/>
    <w:rsid w:val="000337FF"/>
    <w:rsid w:val="00033839"/>
    <w:rsid w:val="00033883"/>
    <w:rsid w:val="000338A9"/>
    <w:rsid w:val="000338E7"/>
    <w:rsid w:val="0003393A"/>
    <w:rsid w:val="000339B8"/>
    <w:rsid w:val="000339C4"/>
    <w:rsid w:val="000339E3"/>
    <w:rsid w:val="00033A26"/>
    <w:rsid w:val="00033A54"/>
    <w:rsid w:val="00033A75"/>
    <w:rsid w:val="00033A78"/>
    <w:rsid w:val="00033A94"/>
    <w:rsid w:val="00033ACF"/>
    <w:rsid w:val="00033B1A"/>
    <w:rsid w:val="00033B2A"/>
    <w:rsid w:val="00033C07"/>
    <w:rsid w:val="00033C2B"/>
    <w:rsid w:val="00033C72"/>
    <w:rsid w:val="00033CE6"/>
    <w:rsid w:val="00033CFE"/>
    <w:rsid w:val="00033E4F"/>
    <w:rsid w:val="00033E93"/>
    <w:rsid w:val="00033FA8"/>
    <w:rsid w:val="00033FB6"/>
    <w:rsid w:val="00034085"/>
    <w:rsid w:val="000340F7"/>
    <w:rsid w:val="000341F8"/>
    <w:rsid w:val="0003420F"/>
    <w:rsid w:val="00034227"/>
    <w:rsid w:val="0003424B"/>
    <w:rsid w:val="00034390"/>
    <w:rsid w:val="00034426"/>
    <w:rsid w:val="00034468"/>
    <w:rsid w:val="000344AA"/>
    <w:rsid w:val="000344C0"/>
    <w:rsid w:val="00034527"/>
    <w:rsid w:val="00034543"/>
    <w:rsid w:val="00034560"/>
    <w:rsid w:val="000345C6"/>
    <w:rsid w:val="0003463F"/>
    <w:rsid w:val="00034708"/>
    <w:rsid w:val="0003476D"/>
    <w:rsid w:val="00034861"/>
    <w:rsid w:val="00034879"/>
    <w:rsid w:val="000348A2"/>
    <w:rsid w:val="00034917"/>
    <w:rsid w:val="0003494F"/>
    <w:rsid w:val="00034975"/>
    <w:rsid w:val="000349B8"/>
    <w:rsid w:val="000349FF"/>
    <w:rsid w:val="00034A40"/>
    <w:rsid w:val="00034A5A"/>
    <w:rsid w:val="00034A5C"/>
    <w:rsid w:val="00034B07"/>
    <w:rsid w:val="00034BC4"/>
    <w:rsid w:val="00034C36"/>
    <w:rsid w:val="00034CED"/>
    <w:rsid w:val="00034D76"/>
    <w:rsid w:val="00034D7D"/>
    <w:rsid w:val="00034D99"/>
    <w:rsid w:val="00034DAB"/>
    <w:rsid w:val="00034DFA"/>
    <w:rsid w:val="00034E11"/>
    <w:rsid w:val="00034E61"/>
    <w:rsid w:val="00034E66"/>
    <w:rsid w:val="00034EA5"/>
    <w:rsid w:val="00034F2D"/>
    <w:rsid w:val="00034F3B"/>
    <w:rsid w:val="00034F4E"/>
    <w:rsid w:val="00034F59"/>
    <w:rsid w:val="00034FC1"/>
    <w:rsid w:val="00034FDC"/>
    <w:rsid w:val="00034FE5"/>
    <w:rsid w:val="0003501F"/>
    <w:rsid w:val="00035074"/>
    <w:rsid w:val="00035119"/>
    <w:rsid w:val="0003513C"/>
    <w:rsid w:val="0003513D"/>
    <w:rsid w:val="0003516B"/>
    <w:rsid w:val="00035173"/>
    <w:rsid w:val="0003520F"/>
    <w:rsid w:val="00035225"/>
    <w:rsid w:val="00035239"/>
    <w:rsid w:val="00035267"/>
    <w:rsid w:val="0003529B"/>
    <w:rsid w:val="000352F5"/>
    <w:rsid w:val="00035341"/>
    <w:rsid w:val="000353A8"/>
    <w:rsid w:val="000353D0"/>
    <w:rsid w:val="000353D3"/>
    <w:rsid w:val="00035402"/>
    <w:rsid w:val="00035405"/>
    <w:rsid w:val="0003544A"/>
    <w:rsid w:val="0003546B"/>
    <w:rsid w:val="000354B3"/>
    <w:rsid w:val="000354BA"/>
    <w:rsid w:val="000354D3"/>
    <w:rsid w:val="000354E5"/>
    <w:rsid w:val="0003552F"/>
    <w:rsid w:val="00035538"/>
    <w:rsid w:val="0003554A"/>
    <w:rsid w:val="0003554E"/>
    <w:rsid w:val="00035557"/>
    <w:rsid w:val="000355B9"/>
    <w:rsid w:val="000355CB"/>
    <w:rsid w:val="00035647"/>
    <w:rsid w:val="00035651"/>
    <w:rsid w:val="0003568A"/>
    <w:rsid w:val="000356F2"/>
    <w:rsid w:val="0003574A"/>
    <w:rsid w:val="00035761"/>
    <w:rsid w:val="00035791"/>
    <w:rsid w:val="000357CB"/>
    <w:rsid w:val="00035814"/>
    <w:rsid w:val="0003581A"/>
    <w:rsid w:val="0003587F"/>
    <w:rsid w:val="000358A9"/>
    <w:rsid w:val="00035919"/>
    <w:rsid w:val="0003591E"/>
    <w:rsid w:val="0003592C"/>
    <w:rsid w:val="00035945"/>
    <w:rsid w:val="00035960"/>
    <w:rsid w:val="000359D7"/>
    <w:rsid w:val="00035A9E"/>
    <w:rsid w:val="00035AB2"/>
    <w:rsid w:val="00035ACB"/>
    <w:rsid w:val="00035ACC"/>
    <w:rsid w:val="00035AEF"/>
    <w:rsid w:val="00035BA1"/>
    <w:rsid w:val="00035BFA"/>
    <w:rsid w:val="00035BFB"/>
    <w:rsid w:val="00035C6C"/>
    <w:rsid w:val="00035C88"/>
    <w:rsid w:val="00035D24"/>
    <w:rsid w:val="00035D5E"/>
    <w:rsid w:val="00035D81"/>
    <w:rsid w:val="00035D9F"/>
    <w:rsid w:val="00035EAF"/>
    <w:rsid w:val="00035EC1"/>
    <w:rsid w:val="00035EE5"/>
    <w:rsid w:val="00035F0D"/>
    <w:rsid w:val="00035F56"/>
    <w:rsid w:val="00035FAC"/>
    <w:rsid w:val="00035FFB"/>
    <w:rsid w:val="00036047"/>
    <w:rsid w:val="000360AA"/>
    <w:rsid w:val="000360C6"/>
    <w:rsid w:val="000361FA"/>
    <w:rsid w:val="0003622C"/>
    <w:rsid w:val="00036246"/>
    <w:rsid w:val="000362A2"/>
    <w:rsid w:val="00036333"/>
    <w:rsid w:val="00036384"/>
    <w:rsid w:val="000363AC"/>
    <w:rsid w:val="00036447"/>
    <w:rsid w:val="0003644D"/>
    <w:rsid w:val="00036495"/>
    <w:rsid w:val="000364E3"/>
    <w:rsid w:val="00036506"/>
    <w:rsid w:val="00036565"/>
    <w:rsid w:val="0003658D"/>
    <w:rsid w:val="000365F6"/>
    <w:rsid w:val="000365FE"/>
    <w:rsid w:val="00036653"/>
    <w:rsid w:val="0003665E"/>
    <w:rsid w:val="0003667B"/>
    <w:rsid w:val="000366B4"/>
    <w:rsid w:val="000366FA"/>
    <w:rsid w:val="00036723"/>
    <w:rsid w:val="0003677C"/>
    <w:rsid w:val="0003679B"/>
    <w:rsid w:val="00036828"/>
    <w:rsid w:val="00036881"/>
    <w:rsid w:val="0003690E"/>
    <w:rsid w:val="00036916"/>
    <w:rsid w:val="00036980"/>
    <w:rsid w:val="000369AC"/>
    <w:rsid w:val="000369E5"/>
    <w:rsid w:val="000369F9"/>
    <w:rsid w:val="000369FC"/>
    <w:rsid w:val="00036A10"/>
    <w:rsid w:val="00036A52"/>
    <w:rsid w:val="00036A63"/>
    <w:rsid w:val="00036A92"/>
    <w:rsid w:val="00036B91"/>
    <w:rsid w:val="00036BA9"/>
    <w:rsid w:val="00036BB6"/>
    <w:rsid w:val="00036BB7"/>
    <w:rsid w:val="00036C19"/>
    <w:rsid w:val="00036C4E"/>
    <w:rsid w:val="00036CA8"/>
    <w:rsid w:val="00036CAA"/>
    <w:rsid w:val="00036CAB"/>
    <w:rsid w:val="00036CB3"/>
    <w:rsid w:val="00036CBA"/>
    <w:rsid w:val="00036CC8"/>
    <w:rsid w:val="00036D01"/>
    <w:rsid w:val="00036DC5"/>
    <w:rsid w:val="00036DF4"/>
    <w:rsid w:val="00036E8E"/>
    <w:rsid w:val="00036EF4"/>
    <w:rsid w:val="00036F1C"/>
    <w:rsid w:val="00036F6D"/>
    <w:rsid w:val="00036F77"/>
    <w:rsid w:val="00036F81"/>
    <w:rsid w:val="00037008"/>
    <w:rsid w:val="0003706A"/>
    <w:rsid w:val="0003711D"/>
    <w:rsid w:val="00037147"/>
    <w:rsid w:val="0003714D"/>
    <w:rsid w:val="00037294"/>
    <w:rsid w:val="000372CD"/>
    <w:rsid w:val="00037329"/>
    <w:rsid w:val="0003732E"/>
    <w:rsid w:val="00037330"/>
    <w:rsid w:val="0003733D"/>
    <w:rsid w:val="00037371"/>
    <w:rsid w:val="00037428"/>
    <w:rsid w:val="0003744E"/>
    <w:rsid w:val="00037451"/>
    <w:rsid w:val="0003748D"/>
    <w:rsid w:val="00037505"/>
    <w:rsid w:val="00037513"/>
    <w:rsid w:val="0003753E"/>
    <w:rsid w:val="00037636"/>
    <w:rsid w:val="00037698"/>
    <w:rsid w:val="000376C4"/>
    <w:rsid w:val="000376CD"/>
    <w:rsid w:val="000376E1"/>
    <w:rsid w:val="0003771E"/>
    <w:rsid w:val="00037734"/>
    <w:rsid w:val="00037756"/>
    <w:rsid w:val="0003779D"/>
    <w:rsid w:val="000377BB"/>
    <w:rsid w:val="000377EB"/>
    <w:rsid w:val="000377F2"/>
    <w:rsid w:val="000377F8"/>
    <w:rsid w:val="000377FD"/>
    <w:rsid w:val="00037874"/>
    <w:rsid w:val="000378AD"/>
    <w:rsid w:val="000378E0"/>
    <w:rsid w:val="000378E1"/>
    <w:rsid w:val="000378EC"/>
    <w:rsid w:val="0003792D"/>
    <w:rsid w:val="0003796B"/>
    <w:rsid w:val="00037981"/>
    <w:rsid w:val="000379D4"/>
    <w:rsid w:val="000379E8"/>
    <w:rsid w:val="00037A45"/>
    <w:rsid w:val="00037A4D"/>
    <w:rsid w:val="00037A71"/>
    <w:rsid w:val="00037A82"/>
    <w:rsid w:val="00037AC5"/>
    <w:rsid w:val="00037AF9"/>
    <w:rsid w:val="00037B20"/>
    <w:rsid w:val="00037BD1"/>
    <w:rsid w:val="00037C19"/>
    <w:rsid w:val="00037C4C"/>
    <w:rsid w:val="00037C99"/>
    <w:rsid w:val="00037CB6"/>
    <w:rsid w:val="00037CC1"/>
    <w:rsid w:val="00037CD9"/>
    <w:rsid w:val="00037D45"/>
    <w:rsid w:val="00037D5D"/>
    <w:rsid w:val="00037D67"/>
    <w:rsid w:val="00037DDA"/>
    <w:rsid w:val="00037DE6"/>
    <w:rsid w:val="00037F21"/>
    <w:rsid w:val="00037FCC"/>
    <w:rsid w:val="00037FE6"/>
    <w:rsid w:val="00040018"/>
    <w:rsid w:val="00040091"/>
    <w:rsid w:val="000400CB"/>
    <w:rsid w:val="000400E5"/>
    <w:rsid w:val="0004010A"/>
    <w:rsid w:val="00040154"/>
    <w:rsid w:val="000401A6"/>
    <w:rsid w:val="000401F6"/>
    <w:rsid w:val="0004023F"/>
    <w:rsid w:val="000402C7"/>
    <w:rsid w:val="000402C9"/>
    <w:rsid w:val="00040328"/>
    <w:rsid w:val="00040395"/>
    <w:rsid w:val="000403A2"/>
    <w:rsid w:val="000403E4"/>
    <w:rsid w:val="00040452"/>
    <w:rsid w:val="00040461"/>
    <w:rsid w:val="00040489"/>
    <w:rsid w:val="000404EF"/>
    <w:rsid w:val="00040514"/>
    <w:rsid w:val="0004057B"/>
    <w:rsid w:val="000405C7"/>
    <w:rsid w:val="00040628"/>
    <w:rsid w:val="00040633"/>
    <w:rsid w:val="00040651"/>
    <w:rsid w:val="00040652"/>
    <w:rsid w:val="0004084C"/>
    <w:rsid w:val="0004086A"/>
    <w:rsid w:val="00040920"/>
    <w:rsid w:val="00040944"/>
    <w:rsid w:val="00040964"/>
    <w:rsid w:val="000409E2"/>
    <w:rsid w:val="00040A64"/>
    <w:rsid w:val="00040A84"/>
    <w:rsid w:val="00040AC9"/>
    <w:rsid w:val="00040B56"/>
    <w:rsid w:val="00040B76"/>
    <w:rsid w:val="00040BA9"/>
    <w:rsid w:val="00040C04"/>
    <w:rsid w:val="00040C1E"/>
    <w:rsid w:val="00040C20"/>
    <w:rsid w:val="00040C76"/>
    <w:rsid w:val="00040C83"/>
    <w:rsid w:val="00040C90"/>
    <w:rsid w:val="00040CDE"/>
    <w:rsid w:val="00040CE6"/>
    <w:rsid w:val="00040D32"/>
    <w:rsid w:val="00040D68"/>
    <w:rsid w:val="00040D6C"/>
    <w:rsid w:val="00040D77"/>
    <w:rsid w:val="00040DBE"/>
    <w:rsid w:val="00040E47"/>
    <w:rsid w:val="00040E6E"/>
    <w:rsid w:val="00040E73"/>
    <w:rsid w:val="00040EF8"/>
    <w:rsid w:val="00040F00"/>
    <w:rsid w:val="00040F1C"/>
    <w:rsid w:val="00040FD2"/>
    <w:rsid w:val="00040FD6"/>
    <w:rsid w:val="00040FE6"/>
    <w:rsid w:val="00041029"/>
    <w:rsid w:val="000410A5"/>
    <w:rsid w:val="000410D9"/>
    <w:rsid w:val="00041187"/>
    <w:rsid w:val="0004118D"/>
    <w:rsid w:val="00041196"/>
    <w:rsid w:val="000411FF"/>
    <w:rsid w:val="0004127D"/>
    <w:rsid w:val="000413C8"/>
    <w:rsid w:val="000413DC"/>
    <w:rsid w:val="000413F7"/>
    <w:rsid w:val="0004144E"/>
    <w:rsid w:val="0004145D"/>
    <w:rsid w:val="0004149F"/>
    <w:rsid w:val="000414F4"/>
    <w:rsid w:val="00041545"/>
    <w:rsid w:val="0004159D"/>
    <w:rsid w:val="000415BC"/>
    <w:rsid w:val="000415EC"/>
    <w:rsid w:val="00041612"/>
    <w:rsid w:val="00041622"/>
    <w:rsid w:val="0004168A"/>
    <w:rsid w:val="000416A7"/>
    <w:rsid w:val="000416AC"/>
    <w:rsid w:val="0004170F"/>
    <w:rsid w:val="00041725"/>
    <w:rsid w:val="00041728"/>
    <w:rsid w:val="00041743"/>
    <w:rsid w:val="00041747"/>
    <w:rsid w:val="000417AD"/>
    <w:rsid w:val="000417CE"/>
    <w:rsid w:val="000417DF"/>
    <w:rsid w:val="0004185D"/>
    <w:rsid w:val="00041883"/>
    <w:rsid w:val="00041893"/>
    <w:rsid w:val="000418AE"/>
    <w:rsid w:val="000418B3"/>
    <w:rsid w:val="0004191E"/>
    <w:rsid w:val="00041935"/>
    <w:rsid w:val="000419A6"/>
    <w:rsid w:val="00041A5A"/>
    <w:rsid w:val="00041A66"/>
    <w:rsid w:val="00041A88"/>
    <w:rsid w:val="00041AF6"/>
    <w:rsid w:val="00041BC0"/>
    <w:rsid w:val="00041C3F"/>
    <w:rsid w:val="00041C8A"/>
    <w:rsid w:val="00041CBE"/>
    <w:rsid w:val="00041D27"/>
    <w:rsid w:val="00041D47"/>
    <w:rsid w:val="00041D5B"/>
    <w:rsid w:val="00041DCB"/>
    <w:rsid w:val="00041E93"/>
    <w:rsid w:val="00041EAC"/>
    <w:rsid w:val="00041F45"/>
    <w:rsid w:val="00041F4D"/>
    <w:rsid w:val="00041F85"/>
    <w:rsid w:val="00042085"/>
    <w:rsid w:val="00042229"/>
    <w:rsid w:val="00042284"/>
    <w:rsid w:val="00042328"/>
    <w:rsid w:val="00042329"/>
    <w:rsid w:val="00042333"/>
    <w:rsid w:val="000423CF"/>
    <w:rsid w:val="000424F0"/>
    <w:rsid w:val="000425AA"/>
    <w:rsid w:val="000425D3"/>
    <w:rsid w:val="000425F6"/>
    <w:rsid w:val="00042602"/>
    <w:rsid w:val="00042615"/>
    <w:rsid w:val="00042624"/>
    <w:rsid w:val="00042632"/>
    <w:rsid w:val="000426A3"/>
    <w:rsid w:val="000426B4"/>
    <w:rsid w:val="0004272B"/>
    <w:rsid w:val="0004274D"/>
    <w:rsid w:val="00042756"/>
    <w:rsid w:val="00042767"/>
    <w:rsid w:val="0004276B"/>
    <w:rsid w:val="0004277A"/>
    <w:rsid w:val="000427B7"/>
    <w:rsid w:val="00042816"/>
    <w:rsid w:val="00042845"/>
    <w:rsid w:val="000428BD"/>
    <w:rsid w:val="0004291A"/>
    <w:rsid w:val="0004293A"/>
    <w:rsid w:val="0004293E"/>
    <w:rsid w:val="00042967"/>
    <w:rsid w:val="00042996"/>
    <w:rsid w:val="000429A3"/>
    <w:rsid w:val="000429B5"/>
    <w:rsid w:val="000429C2"/>
    <w:rsid w:val="000429D2"/>
    <w:rsid w:val="00042B2D"/>
    <w:rsid w:val="00042B77"/>
    <w:rsid w:val="00042BEC"/>
    <w:rsid w:val="00042C47"/>
    <w:rsid w:val="00042C83"/>
    <w:rsid w:val="00042CA6"/>
    <w:rsid w:val="00042CB7"/>
    <w:rsid w:val="00042CF3"/>
    <w:rsid w:val="00042D11"/>
    <w:rsid w:val="00042DB9"/>
    <w:rsid w:val="00042DC3"/>
    <w:rsid w:val="00042E6E"/>
    <w:rsid w:val="00042EE4"/>
    <w:rsid w:val="00042F75"/>
    <w:rsid w:val="00043051"/>
    <w:rsid w:val="000430AA"/>
    <w:rsid w:val="000430B1"/>
    <w:rsid w:val="000430B8"/>
    <w:rsid w:val="00043116"/>
    <w:rsid w:val="000431E6"/>
    <w:rsid w:val="00043297"/>
    <w:rsid w:val="000432B1"/>
    <w:rsid w:val="000432F2"/>
    <w:rsid w:val="00043304"/>
    <w:rsid w:val="0004331D"/>
    <w:rsid w:val="00043348"/>
    <w:rsid w:val="0004337F"/>
    <w:rsid w:val="000433E6"/>
    <w:rsid w:val="000433F3"/>
    <w:rsid w:val="0004348A"/>
    <w:rsid w:val="000434EC"/>
    <w:rsid w:val="0004351C"/>
    <w:rsid w:val="00043540"/>
    <w:rsid w:val="00043541"/>
    <w:rsid w:val="00043582"/>
    <w:rsid w:val="0004358A"/>
    <w:rsid w:val="000435C0"/>
    <w:rsid w:val="000435C9"/>
    <w:rsid w:val="00043619"/>
    <w:rsid w:val="000436DB"/>
    <w:rsid w:val="000436F3"/>
    <w:rsid w:val="000436F8"/>
    <w:rsid w:val="000437AF"/>
    <w:rsid w:val="000437C6"/>
    <w:rsid w:val="000437CC"/>
    <w:rsid w:val="000438D1"/>
    <w:rsid w:val="000438E1"/>
    <w:rsid w:val="00043956"/>
    <w:rsid w:val="0004395F"/>
    <w:rsid w:val="00043969"/>
    <w:rsid w:val="0004396F"/>
    <w:rsid w:val="000439A2"/>
    <w:rsid w:val="00043AD6"/>
    <w:rsid w:val="00043AE5"/>
    <w:rsid w:val="00043B2F"/>
    <w:rsid w:val="00043B34"/>
    <w:rsid w:val="00043BC9"/>
    <w:rsid w:val="00043BD4"/>
    <w:rsid w:val="00043C11"/>
    <w:rsid w:val="00043C2C"/>
    <w:rsid w:val="00043C3C"/>
    <w:rsid w:val="00043C9F"/>
    <w:rsid w:val="00043D75"/>
    <w:rsid w:val="00043DE5"/>
    <w:rsid w:val="00043E5D"/>
    <w:rsid w:val="00043E66"/>
    <w:rsid w:val="00043E7F"/>
    <w:rsid w:val="00043ECD"/>
    <w:rsid w:val="00043EF9"/>
    <w:rsid w:val="00043F1A"/>
    <w:rsid w:val="00043F71"/>
    <w:rsid w:val="0004407D"/>
    <w:rsid w:val="00044092"/>
    <w:rsid w:val="00044100"/>
    <w:rsid w:val="000441EC"/>
    <w:rsid w:val="00044211"/>
    <w:rsid w:val="00044250"/>
    <w:rsid w:val="0004431A"/>
    <w:rsid w:val="000443F1"/>
    <w:rsid w:val="000443FB"/>
    <w:rsid w:val="00044420"/>
    <w:rsid w:val="00044441"/>
    <w:rsid w:val="0004450F"/>
    <w:rsid w:val="0004451C"/>
    <w:rsid w:val="00044552"/>
    <w:rsid w:val="00044600"/>
    <w:rsid w:val="00044613"/>
    <w:rsid w:val="00044640"/>
    <w:rsid w:val="000446A9"/>
    <w:rsid w:val="0004471F"/>
    <w:rsid w:val="0004475C"/>
    <w:rsid w:val="00044767"/>
    <w:rsid w:val="0004477D"/>
    <w:rsid w:val="000447BB"/>
    <w:rsid w:val="000447CF"/>
    <w:rsid w:val="000447E1"/>
    <w:rsid w:val="0004483F"/>
    <w:rsid w:val="00044909"/>
    <w:rsid w:val="000449E2"/>
    <w:rsid w:val="00044B66"/>
    <w:rsid w:val="00044C23"/>
    <w:rsid w:val="00044C3C"/>
    <w:rsid w:val="00044C70"/>
    <w:rsid w:val="00044CAC"/>
    <w:rsid w:val="00044CB1"/>
    <w:rsid w:val="00044CC0"/>
    <w:rsid w:val="00044CCD"/>
    <w:rsid w:val="00044CFE"/>
    <w:rsid w:val="00044D8C"/>
    <w:rsid w:val="00044DD0"/>
    <w:rsid w:val="00044DEA"/>
    <w:rsid w:val="00044DED"/>
    <w:rsid w:val="00044DF5"/>
    <w:rsid w:val="00044E0E"/>
    <w:rsid w:val="00044E2B"/>
    <w:rsid w:val="00044E34"/>
    <w:rsid w:val="00044E54"/>
    <w:rsid w:val="00044EBD"/>
    <w:rsid w:val="00044EDF"/>
    <w:rsid w:val="00044EFA"/>
    <w:rsid w:val="00044FA4"/>
    <w:rsid w:val="00044FF4"/>
    <w:rsid w:val="0004508B"/>
    <w:rsid w:val="000450F4"/>
    <w:rsid w:val="00045112"/>
    <w:rsid w:val="00045142"/>
    <w:rsid w:val="00045165"/>
    <w:rsid w:val="000451CD"/>
    <w:rsid w:val="00045411"/>
    <w:rsid w:val="00045417"/>
    <w:rsid w:val="000454A4"/>
    <w:rsid w:val="0004558D"/>
    <w:rsid w:val="000455D7"/>
    <w:rsid w:val="000455E9"/>
    <w:rsid w:val="00045633"/>
    <w:rsid w:val="00045705"/>
    <w:rsid w:val="0004570A"/>
    <w:rsid w:val="00045761"/>
    <w:rsid w:val="00045772"/>
    <w:rsid w:val="0004578F"/>
    <w:rsid w:val="00045830"/>
    <w:rsid w:val="000458B0"/>
    <w:rsid w:val="0004598E"/>
    <w:rsid w:val="00045A1D"/>
    <w:rsid w:val="00045AC2"/>
    <w:rsid w:val="00045B72"/>
    <w:rsid w:val="00045C01"/>
    <w:rsid w:val="00045C4C"/>
    <w:rsid w:val="00045C6F"/>
    <w:rsid w:val="00045C7C"/>
    <w:rsid w:val="00045CBB"/>
    <w:rsid w:val="00045CD8"/>
    <w:rsid w:val="00045D49"/>
    <w:rsid w:val="00045D7E"/>
    <w:rsid w:val="00045DA3"/>
    <w:rsid w:val="00045DC2"/>
    <w:rsid w:val="00045E76"/>
    <w:rsid w:val="00045ED9"/>
    <w:rsid w:val="00045EF8"/>
    <w:rsid w:val="00045EFF"/>
    <w:rsid w:val="00045F78"/>
    <w:rsid w:val="00045FEC"/>
    <w:rsid w:val="00045FF1"/>
    <w:rsid w:val="00045FFB"/>
    <w:rsid w:val="00046035"/>
    <w:rsid w:val="00046096"/>
    <w:rsid w:val="00046189"/>
    <w:rsid w:val="00046204"/>
    <w:rsid w:val="0004627D"/>
    <w:rsid w:val="000462AD"/>
    <w:rsid w:val="000462D7"/>
    <w:rsid w:val="0004637D"/>
    <w:rsid w:val="000463A5"/>
    <w:rsid w:val="0004641C"/>
    <w:rsid w:val="00046440"/>
    <w:rsid w:val="0004644E"/>
    <w:rsid w:val="0004647D"/>
    <w:rsid w:val="00046483"/>
    <w:rsid w:val="000464C3"/>
    <w:rsid w:val="000464C9"/>
    <w:rsid w:val="0004657A"/>
    <w:rsid w:val="0004658A"/>
    <w:rsid w:val="000465FA"/>
    <w:rsid w:val="00046656"/>
    <w:rsid w:val="00046667"/>
    <w:rsid w:val="000466A7"/>
    <w:rsid w:val="000466DE"/>
    <w:rsid w:val="000466F7"/>
    <w:rsid w:val="0004670A"/>
    <w:rsid w:val="000467BE"/>
    <w:rsid w:val="0004682B"/>
    <w:rsid w:val="00046837"/>
    <w:rsid w:val="00046867"/>
    <w:rsid w:val="00046888"/>
    <w:rsid w:val="0004698D"/>
    <w:rsid w:val="0004699A"/>
    <w:rsid w:val="00046A92"/>
    <w:rsid w:val="00046B13"/>
    <w:rsid w:val="00046B2F"/>
    <w:rsid w:val="00046B39"/>
    <w:rsid w:val="00046B6A"/>
    <w:rsid w:val="00046B94"/>
    <w:rsid w:val="00046BB5"/>
    <w:rsid w:val="00046BCE"/>
    <w:rsid w:val="00046C22"/>
    <w:rsid w:val="00046CB4"/>
    <w:rsid w:val="00046D22"/>
    <w:rsid w:val="00046DE8"/>
    <w:rsid w:val="00046DEB"/>
    <w:rsid w:val="00046E1F"/>
    <w:rsid w:val="00046E6F"/>
    <w:rsid w:val="00046E99"/>
    <w:rsid w:val="00046ECF"/>
    <w:rsid w:val="00046F03"/>
    <w:rsid w:val="00046F53"/>
    <w:rsid w:val="00046F8C"/>
    <w:rsid w:val="00046FD3"/>
    <w:rsid w:val="00046FDC"/>
    <w:rsid w:val="0004701A"/>
    <w:rsid w:val="0004705A"/>
    <w:rsid w:val="0004707E"/>
    <w:rsid w:val="0004708E"/>
    <w:rsid w:val="000470BB"/>
    <w:rsid w:val="00047145"/>
    <w:rsid w:val="00047180"/>
    <w:rsid w:val="0004720D"/>
    <w:rsid w:val="00047233"/>
    <w:rsid w:val="00047269"/>
    <w:rsid w:val="000472BD"/>
    <w:rsid w:val="000472F0"/>
    <w:rsid w:val="00047375"/>
    <w:rsid w:val="00047396"/>
    <w:rsid w:val="000473C1"/>
    <w:rsid w:val="0004741F"/>
    <w:rsid w:val="0004748D"/>
    <w:rsid w:val="000474DC"/>
    <w:rsid w:val="000474F4"/>
    <w:rsid w:val="00047515"/>
    <w:rsid w:val="00047531"/>
    <w:rsid w:val="00047541"/>
    <w:rsid w:val="000475BC"/>
    <w:rsid w:val="000475D4"/>
    <w:rsid w:val="0004762E"/>
    <w:rsid w:val="000476D3"/>
    <w:rsid w:val="00047717"/>
    <w:rsid w:val="0004773C"/>
    <w:rsid w:val="000477FC"/>
    <w:rsid w:val="00047806"/>
    <w:rsid w:val="0004788B"/>
    <w:rsid w:val="000478B7"/>
    <w:rsid w:val="0004791B"/>
    <w:rsid w:val="00047929"/>
    <w:rsid w:val="00047967"/>
    <w:rsid w:val="0004798B"/>
    <w:rsid w:val="000479B9"/>
    <w:rsid w:val="00047A1A"/>
    <w:rsid w:val="00047AA7"/>
    <w:rsid w:val="00047ABC"/>
    <w:rsid w:val="00047ADB"/>
    <w:rsid w:val="00047B77"/>
    <w:rsid w:val="00047BAE"/>
    <w:rsid w:val="00047BDF"/>
    <w:rsid w:val="00047BF7"/>
    <w:rsid w:val="00047C3A"/>
    <w:rsid w:val="00047C9A"/>
    <w:rsid w:val="00047CDB"/>
    <w:rsid w:val="00047D02"/>
    <w:rsid w:val="00047D30"/>
    <w:rsid w:val="00047D59"/>
    <w:rsid w:val="00047D5A"/>
    <w:rsid w:val="00047D61"/>
    <w:rsid w:val="00047E21"/>
    <w:rsid w:val="00047E86"/>
    <w:rsid w:val="00047ED8"/>
    <w:rsid w:val="00047F2E"/>
    <w:rsid w:val="00047F33"/>
    <w:rsid w:val="00047F56"/>
    <w:rsid w:val="00047FC8"/>
    <w:rsid w:val="0005001B"/>
    <w:rsid w:val="0005001D"/>
    <w:rsid w:val="0005007D"/>
    <w:rsid w:val="00050080"/>
    <w:rsid w:val="00050083"/>
    <w:rsid w:val="000500DB"/>
    <w:rsid w:val="0005015C"/>
    <w:rsid w:val="000501F1"/>
    <w:rsid w:val="0005021B"/>
    <w:rsid w:val="000502A5"/>
    <w:rsid w:val="000502F7"/>
    <w:rsid w:val="00050310"/>
    <w:rsid w:val="00050318"/>
    <w:rsid w:val="0005031E"/>
    <w:rsid w:val="0005033A"/>
    <w:rsid w:val="0005033D"/>
    <w:rsid w:val="00050428"/>
    <w:rsid w:val="00050527"/>
    <w:rsid w:val="0005055C"/>
    <w:rsid w:val="000505B1"/>
    <w:rsid w:val="00050636"/>
    <w:rsid w:val="00050696"/>
    <w:rsid w:val="0005069E"/>
    <w:rsid w:val="000506C5"/>
    <w:rsid w:val="000506CC"/>
    <w:rsid w:val="0005070A"/>
    <w:rsid w:val="00050744"/>
    <w:rsid w:val="0005078D"/>
    <w:rsid w:val="000507B0"/>
    <w:rsid w:val="00050845"/>
    <w:rsid w:val="00050894"/>
    <w:rsid w:val="000508CB"/>
    <w:rsid w:val="000508EC"/>
    <w:rsid w:val="0005090A"/>
    <w:rsid w:val="00050934"/>
    <w:rsid w:val="00050938"/>
    <w:rsid w:val="00050982"/>
    <w:rsid w:val="00050983"/>
    <w:rsid w:val="00050987"/>
    <w:rsid w:val="0005098A"/>
    <w:rsid w:val="00050A54"/>
    <w:rsid w:val="00050A8D"/>
    <w:rsid w:val="00050AB6"/>
    <w:rsid w:val="00050AF1"/>
    <w:rsid w:val="00050AF4"/>
    <w:rsid w:val="00050B09"/>
    <w:rsid w:val="00050B20"/>
    <w:rsid w:val="00050B48"/>
    <w:rsid w:val="00050B52"/>
    <w:rsid w:val="00050B9E"/>
    <w:rsid w:val="00050BE7"/>
    <w:rsid w:val="00050BFE"/>
    <w:rsid w:val="00050C67"/>
    <w:rsid w:val="00050CB9"/>
    <w:rsid w:val="00050D36"/>
    <w:rsid w:val="00050D42"/>
    <w:rsid w:val="00050E09"/>
    <w:rsid w:val="00050E43"/>
    <w:rsid w:val="00050E64"/>
    <w:rsid w:val="00050E7F"/>
    <w:rsid w:val="00050F6C"/>
    <w:rsid w:val="0005106C"/>
    <w:rsid w:val="00051187"/>
    <w:rsid w:val="0005128E"/>
    <w:rsid w:val="000512BA"/>
    <w:rsid w:val="000512D3"/>
    <w:rsid w:val="0005138B"/>
    <w:rsid w:val="000513AB"/>
    <w:rsid w:val="000513DA"/>
    <w:rsid w:val="000513E5"/>
    <w:rsid w:val="0005143B"/>
    <w:rsid w:val="0005143C"/>
    <w:rsid w:val="00051457"/>
    <w:rsid w:val="00051587"/>
    <w:rsid w:val="00051591"/>
    <w:rsid w:val="000515AF"/>
    <w:rsid w:val="000515E6"/>
    <w:rsid w:val="000515FD"/>
    <w:rsid w:val="0005167A"/>
    <w:rsid w:val="00051686"/>
    <w:rsid w:val="000516A2"/>
    <w:rsid w:val="0005174C"/>
    <w:rsid w:val="00051761"/>
    <w:rsid w:val="000517C8"/>
    <w:rsid w:val="0005180C"/>
    <w:rsid w:val="00051992"/>
    <w:rsid w:val="000519AB"/>
    <w:rsid w:val="000519DF"/>
    <w:rsid w:val="00051A35"/>
    <w:rsid w:val="00051A3C"/>
    <w:rsid w:val="00051AE4"/>
    <w:rsid w:val="00051B57"/>
    <w:rsid w:val="00051BAF"/>
    <w:rsid w:val="00051BC7"/>
    <w:rsid w:val="00051C39"/>
    <w:rsid w:val="00051C45"/>
    <w:rsid w:val="00051C66"/>
    <w:rsid w:val="00051C67"/>
    <w:rsid w:val="00051C86"/>
    <w:rsid w:val="00051CB2"/>
    <w:rsid w:val="00051CD7"/>
    <w:rsid w:val="00051CE3"/>
    <w:rsid w:val="00051D08"/>
    <w:rsid w:val="00051DA0"/>
    <w:rsid w:val="00051DCF"/>
    <w:rsid w:val="00051DFA"/>
    <w:rsid w:val="00051E24"/>
    <w:rsid w:val="00051E72"/>
    <w:rsid w:val="00051EA1"/>
    <w:rsid w:val="00051EB8"/>
    <w:rsid w:val="00051F2B"/>
    <w:rsid w:val="00052082"/>
    <w:rsid w:val="00052093"/>
    <w:rsid w:val="000520CA"/>
    <w:rsid w:val="000520E2"/>
    <w:rsid w:val="0005213F"/>
    <w:rsid w:val="00052149"/>
    <w:rsid w:val="0005215E"/>
    <w:rsid w:val="0005217F"/>
    <w:rsid w:val="0005218A"/>
    <w:rsid w:val="00052245"/>
    <w:rsid w:val="00052278"/>
    <w:rsid w:val="000522B7"/>
    <w:rsid w:val="000522C6"/>
    <w:rsid w:val="00052313"/>
    <w:rsid w:val="0005233B"/>
    <w:rsid w:val="0005234B"/>
    <w:rsid w:val="0005237E"/>
    <w:rsid w:val="00052395"/>
    <w:rsid w:val="0005239B"/>
    <w:rsid w:val="000524DB"/>
    <w:rsid w:val="00052544"/>
    <w:rsid w:val="00052555"/>
    <w:rsid w:val="00052584"/>
    <w:rsid w:val="000525AA"/>
    <w:rsid w:val="000525FB"/>
    <w:rsid w:val="00052650"/>
    <w:rsid w:val="000526D3"/>
    <w:rsid w:val="0005276E"/>
    <w:rsid w:val="000527E1"/>
    <w:rsid w:val="00052826"/>
    <w:rsid w:val="00052830"/>
    <w:rsid w:val="0005295B"/>
    <w:rsid w:val="0005297B"/>
    <w:rsid w:val="000529D4"/>
    <w:rsid w:val="00052A19"/>
    <w:rsid w:val="00052A22"/>
    <w:rsid w:val="00052A3A"/>
    <w:rsid w:val="00052ADC"/>
    <w:rsid w:val="00052ADD"/>
    <w:rsid w:val="00052B02"/>
    <w:rsid w:val="00052BD1"/>
    <w:rsid w:val="00052BD2"/>
    <w:rsid w:val="00052C25"/>
    <w:rsid w:val="00052C47"/>
    <w:rsid w:val="00052C7E"/>
    <w:rsid w:val="00052CF0"/>
    <w:rsid w:val="00052D21"/>
    <w:rsid w:val="00052D72"/>
    <w:rsid w:val="00052D86"/>
    <w:rsid w:val="00052D9C"/>
    <w:rsid w:val="00052DC2"/>
    <w:rsid w:val="00052DD1"/>
    <w:rsid w:val="00052DEC"/>
    <w:rsid w:val="00052E1F"/>
    <w:rsid w:val="00052E28"/>
    <w:rsid w:val="00052E32"/>
    <w:rsid w:val="00052E51"/>
    <w:rsid w:val="00052E7F"/>
    <w:rsid w:val="00052E9F"/>
    <w:rsid w:val="00052F35"/>
    <w:rsid w:val="00052F52"/>
    <w:rsid w:val="00052F93"/>
    <w:rsid w:val="00052FA7"/>
    <w:rsid w:val="00052FD0"/>
    <w:rsid w:val="00052FF9"/>
    <w:rsid w:val="000530A5"/>
    <w:rsid w:val="000530A9"/>
    <w:rsid w:val="00053146"/>
    <w:rsid w:val="00053149"/>
    <w:rsid w:val="0005314C"/>
    <w:rsid w:val="00053154"/>
    <w:rsid w:val="000531DF"/>
    <w:rsid w:val="00053230"/>
    <w:rsid w:val="0005326D"/>
    <w:rsid w:val="0005327B"/>
    <w:rsid w:val="00053331"/>
    <w:rsid w:val="00053381"/>
    <w:rsid w:val="00053390"/>
    <w:rsid w:val="000533B2"/>
    <w:rsid w:val="000534B4"/>
    <w:rsid w:val="0005352E"/>
    <w:rsid w:val="0005353B"/>
    <w:rsid w:val="0005354D"/>
    <w:rsid w:val="0005355C"/>
    <w:rsid w:val="00053571"/>
    <w:rsid w:val="000535A8"/>
    <w:rsid w:val="0005364D"/>
    <w:rsid w:val="00053650"/>
    <w:rsid w:val="00053656"/>
    <w:rsid w:val="0005366F"/>
    <w:rsid w:val="000536EC"/>
    <w:rsid w:val="00053717"/>
    <w:rsid w:val="00053730"/>
    <w:rsid w:val="00053778"/>
    <w:rsid w:val="000537AD"/>
    <w:rsid w:val="000537B9"/>
    <w:rsid w:val="000537F1"/>
    <w:rsid w:val="0005386A"/>
    <w:rsid w:val="000538C3"/>
    <w:rsid w:val="000538C5"/>
    <w:rsid w:val="000538D7"/>
    <w:rsid w:val="00053969"/>
    <w:rsid w:val="0005397A"/>
    <w:rsid w:val="000539A5"/>
    <w:rsid w:val="000539A9"/>
    <w:rsid w:val="000539AE"/>
    <w:rsid w:val="00053A12"/>
    <w:rsid w:val="00053A1E"/>
    <w:rsid w:val="00053A97"/>
    <w:rsid w:val="00053ADB"/>
    <w:rsid w:val="00053B09"/>
    <w:rsid w:val="00053B44"/>
    <w:rsid w:val="00053B5E"/>
    <w:rsid w:val="00053B64"/>
    <w:rsid w:val="00053B90"/>
    <w:rsid w:val="00053B92"/>
    <w:rsid w:val="00053CC4"/>
    <w:rsid w:val="00053CF5"/>
    <w:rsid w:val="00053D77"/>
    <w:rsid w:val="00053D8A"/>
    <w:rsid w:val="00053D99"/>
    <w:rsid w:val="00053DC2"/>
    <w:rsid w:val="00053DDC"/>
    <w:rsid w:val="00053E13"/>
    <w:rsid w:val="00053E1C"/>
    <w:rsid w:val="00053E40"/>
    <w:rsid w:val="00053E56"/>
    <w:rsid w:val="00053E79"/>
    <w:rsid w:val="00053E9E"/>
    <w:rsid w:val="00053F0B"/>
    <w:rsid w:val="00053FFC"/>
    <w:rsid w:val="00054015"/>
    <w:rsid w:val="0005407E"/>
    <w:rsid w:val="000540B0"/>
    <w:rsid w:val="000540F5"/>
    <w:rsid w:val="00054101"/>
    <w:rsid w:val="00054150"/>
    <w:rsid w:val="0005417A"/>
    <w:rsid w:val="0005418C"/>
    <w:rsid w:val="000541FD"/>
    <w:rsid w:val="0005420C"/>
    <w:rsid w:val="00054238"/>
    <w:rsid w:val="00054266"/>
    <w:rsid w:val="000542DA"/>
    <w:rsid w:val="00054322"/>
    <w:rsid w:val="0005437E"/>
    <w:rsid w:val="00054399"/>
    <w:rsid w:val="00054443"/>
    <w:rsid w:val="00054469"/>
    <w:rsid w:val="00054510"/>
    <w:rsid w:val="0005452E"/>
    <w:rsid w:val="000545A0"/>
    <w:rsid w:val="000545C0"/>
    <w:rsid w:val="000546D5"/>
    <w:rsid w:val="0005478B"/>
    <w:rsid w:val="000547B0"/>
    <w:rsid w:val="0005480B"/>
    <w:rsid w:val="0005480C"/>
    <w:rsid w:val="0005490A"/>
    <w:rsid w:val="00054960"/>
    <w:rsid w:val="0005497C"/>
    <w:rsid w:val="00054986"/>
    <w:rsid w:val="00054998"/>
    <w:rsid w:val="000549C4"/>
    <w:rsid w:val="00054A44"/>
    <w:rsid w:val="00054AC1"/>
    <w:rsid w:val="00054B1F"/>
    <w:rsid w:val="00054BD9"/>
    <w:rsid w:val="00054BF3"/>
    <w:rsid w:val="00054C07"/>
    <w:rsid w:val="00054C0F"/>
    <w:rsid w:val="00054CA9"/>
    <w:rsid w:val="00054D2F"/>
    <w:rsid w:val="00054D31"/>
    <w:rsid w:val="00054D3E"/>
    <w:rsid w:val="00054DC1"/>
    <w:rsid w:val="00054DC3"/>
    <w:rsid w:val="00054DC4"/>
    <w:rsid w:val="00054EA5"/>
    <w:rsid w:val="00054FB8"/>
    <w:rsid w:val="00054FFB"/>
    <w:rsid w:val="0005502B"/>
    <w:rsid w:val="00055068"/>
    <w:rsid w:val="000550AF"/>
    <w:rsid w:val="000550E2"/>
    <w:rsid w:val="00055112"/>
    <w:rsid w:val="00055135"/>
    <w:rsid w:val="00055149"/>
    <w:rsid w:val="00055180"/>
    <w:rsid w:val="000551D7"/>
    <w:rsid w:val="00055221"/>
    <w:rsid w:val="000552C9"/>
    <w:rsid w:val="00055308"/>
    <w:rsid w:val="00055352"/>
    <w:rsid w:val="00055359"/>
    <w:rsid w:val="00055372"/>
    <w:rsid w:val="0005539E"/>
    <w:rsid w:val="000553A4"/>
    <w:rsid w:val="000553C6"/>
    <w:rsid w:val="000553CA"/>
    <w:rsid w:val="0005549C"/>
    <w:rsid w:val="000554C3"/>
    <w:rsid w:val="000554C6"/>
    <w:rsid w:val="0005550D"/>
    <w:rsid w:val="0005551F"/>
    <w:rsid w:val="00055533"/>
    <w:rsid w:val="00055579"/>
    <w:rsid w:val="0005557E"/>
    <w:rsid w:val="00055669"/>
    <w:rsid w:val="000556A5"/>
    <w:rsid w:val="000556BC"/>
    <w:rsid w:val="000556D4"/>
    <w:rsid w:val="0005573E"/>
    <w:rsid w:val="00055755"/>
    <w:rsid w:val="00055756"/>
    <w:rsid w:val="0005578E"/>
    <w:rsid w:val="00055796"/>
    <w:rsid w:val="000557E8"/>
    <w:rsid w:val="0005582F"/>
    <w:rsid w:val="0005584C"/>
    <w:rsid w:val="00055850"/>
    <w:rsid w:val="000558C2"/>
    <w:rsid w:val="000558D3"/>
    <w:rsid w:val="000558EB"/>
    <w:rsid w:val="000558FB"/>
    <w:rsid w:val="00055901"/>
    <w:rsid w:val="0005592C"/>
    <w:rsid w:val="0005599F"/>
    <w:rsid w:val="000559CC"/>
    <w:rsid w:val="000559D3"/>
    <w:rsid w:val="00055A01"/>
    <w:rsid w:val="00055A0A"/>
    <w:rsid w:val="00055A2F"/>
    <w:rsid w:val="00055A83"/>
    <w:rsid w:val="00055B40"/>
    <w:rsid w:val="00055B60"/>
    <w:rsid w:val="00055B73"/>
    <w:rsid w:val="00055B8F"/>
    <w:rsid w:val="00055BBD"/>
    <w:rsid w:val="00055BC2"/>
    <w:rsid w:val="00055CE0"/>
    <w:rsid w:val="00055D2D"/>
    <w:rsid w:val="00055D85"/>
    <w:rsid w:val="00055DF5"/>
    <w:rsid w:val="00055E29"/>
    <w:rsid w:val="00055E73"/>
    <w:rsid w:val="00055E75"/>
    <w:rsid w:val="00055EEF"/>
    <w:rsid w:val="00055F08"/>
    <w:rsid w:val="00055F2C"/>
    <w:rsid w:val="00055F4A"/>
    <w:rsid w:val="00055F4C"/>
    <w:rsid w:val="00055FD3"/>
    <w:rsid w:val="00055FFE"/>
    <w:rsid w:val="0005600E"/>
    <w:rsid w:val="00056039"/>
    <w:rsid w:val="00056065"/>
    <w:rsid w:val="000560D5"/>
    <w:rsid w:val="00056137"/>
    <w:rsid w:val="00056155"/>
    <w:rsid w:val="00056184"/>
    <w:rsid w:val="000561B4"/>
    <w:rsid w:val="000561BF"/>
    <w:rsid w:val="00056257"/>
    <w:rsid w:val="000562B5"/>
    <w:rsid w:val="000563A4"/>
    <w:rsid w:val="000563D4"/>
    <w:rsid w:val="000563DD"/>
    <w:rsid w:val="000563EF"/>
    <w:rsid w:val="0005649E"/>
    <w:rsid w:val="000564A8"/>
    <w:rsid w:val="000564FA"/>
    <w:rsid w:val="00056541"/>
    <w:rsid w:val="00056557"/>
    <w:rsid w:val="00056562"/>
    <w:rsid w:val="00056587"/>
    <w:rsid w:val="0005658C"/>
    <w:rsid w:val="000565C7"/>
    <w:rsid w:val="00056619"/>
    <w:rsid w:val="0005666B"/>
    <w:rsid w:val="0005667B"/>
    <w:rsid w:val="0005667C"/>
    <w:rsid w:val="000566DE"/>
    <w:rsid w:val="00056702"/>
    <w:rsid w:val="00056725"/>
    <w:rsid w:val="0005673B"/>
    <w:rsid w:val="000567AC"/>
    <w:rsid w:val="000567B7"/>
    <w:rsid w:val="000567E8"/>
    <w:rsid w:val="00056857"/>
    <w:rsid w:val="00056880"/>
    <w:rsid w:val="000568B6"/>
    <w:rsid w:val="000568C9"/>
    <w:rsid w:val="000569C8"/>
    <w:rsid w:val="00056A15"/>
    <w:rsid w:val="00056A2A"/>
    <w:rsid w:val="00056A63"/>
    <w:rsid w:val="00056A6C"/>
    <w:rsid w:val="00056B60"/>
    <w:rsid w:val="00056BB9"/>
    <w:rsid w:val="00056C0E"/>
    <w:rsid w:val="00056C38"/>
    <w:rsid w:val="00056CB6"/>
    <w:rsid w:val="00056CD1"/>
    <w:rsid w:val="00056D46"/>
    <w:rsid w:val="00056D93"/>
    <w:rsid w:val="00056D9E"/>
    <w:rsid w:val="00056DE4"/>
    <w:rsid w:val="00056E0D"/>
    <w:rsid w:val="00056E86"/>
    <w:rsid w:val="00056E8D"/>
    <w:rsid w:val="00056ECA"/>
    <w:rsid w:val="00056EE2"/>
    <w:rsid w:val="00056F08"/>
    <w:rsid w:val="00056F36"/>
    <w:rsid w:val="00056F4F"/>
    <w:rsid w:val="00056F59"/>
    <w:rsid w:val="00056FD7"/>
    <w:rsid w:val="00057042"/>
    <w:rsid w:val="000570F3"/>
    <w:rsid w:val="00057139"/>
    <w:rsid w:val="00057175"/>
    <w:rsid w:val="0005718F"/>
    <w:rsid w:val="000571A0"/>
    <w:rsid w:val="00057243"/>
    <w:rsid w:val="000572BE"/>
    <w:rsid w:val="0005734C"/>
    <w:rsid w:val="00057353"/>
    <w:rsid w:val="000573A6"/>
    <w:rsid w:val="000574F5"/>
    <w:rsid w:val="0005755F"/>
    <w:rsid w:val="0005757C"/>
    <w:rsid w:val="000575DB"/>
    <w:rsid w:val="000575F6"/>
    <w:rsid w:val="00057673"/>
    <w:rsid w:val="000576C6"/>
    <w:rsid w:val="0005777A"/>
    <w:rsid w:val="0005779D"/>
    <w:rsid w:val="000577DA"/>
    <w:rsid w:val="0005784F"/>
    <w:rsid w:val="00057870"/>
    <w:rsid w:val="0005788D"/>
    <w:rsid w:val="00057890"/>
    <w:rsid w:val="00057892"/>
    <w:rsid w:val="000578AA"/>
    <w:rsid w:val="000578CE"/>
    <w:rsid w:val="00057915"/>
    <w:rsid w:val="000579CF"/>
    <w:rsid w:val="000579EC"/>
    <w:rsid w:val="00057A0E"/>
    <w:rsid w:val="00057A42"/>
    <w:rsid w:val="00057A64"/>
    <w:rsid w:val="00057A71"/>
    <w:rsid w:val="00057A74"/>
    <w:rsid w:val="00057A9D"/>
    <w:rsid w:val="00057AF8"/>
    <w:rsid w:val="00057B73"/>
    <w:rsid w:val="00057B8D"/>
    <w:rsid w:val="00057BE4"/>
    <w:rsid w:val="00057BE6"/>
    <w:rsid w:val="00057C6B"/>
    <w:rsid w:val="00057C94"/>
    <w:rsid w:val="00057CB3"/>
    <w:rsid w:val="00057D03"/>
    <w:rsid w:val="00057D0C"/>
    <w:rsid w:val="00057D45"/>
    <w:rsid w:val="00057D6C"/>
    <w:rsid w:val="00057D98"/>
    <w:rsid w:val="00057DD3"/>
    <w:rsid w:val="00057E1A"/>
    <w:rsid w:val="00057E2B"/>
    <w:rsid w:val="00057E82"/>
    <w:rsid w:val="00057E90"/>
    <w:rsid w:val="00057EE0"/>
    <w:rsid w:val="00057EEA"/>
    <w:rsid w:val="00057EF2"/>
    <w:rsid w:val="00057F16"/>
    <w:rsid w:val="00057F8E"/>
    <w:rsid w:val="00057FC9"/>
    <w:rsid w:val="00057FE3"/>
    <w:rsid w:val="00060020"/>
    <w:rsid w:val="000600EF"/>
    <w:rsid w:val="00060132"/>
    <w:rsid w:val="00060154"/>
    <w:rsid w:val="000601CF"/>
    <w:rsid w:val="00060220"/>
    <w:rsid w:val="0006026D"/>
    <w:rsid w:val="0006029D"/>
    <w:rsid w:val="000602CA"/>
    <w:rsid w:val="00060313"/>
    <w:rsid w:val="00060341"/>
    <w:rsid w:val="00060380"/>
    <w:rsid w:val="00060431"/>
    <w:rsid w:val="00060466"/>
    <w:rsid w:val="0006048E"/>
    <w:rsid w:val="000605B0"/>
    <w:rsid w:val="00060610"/>
    <w:rsid w:val="00060666"/>
    <w:rsid w:val="0006066E"/>
    <w:rsid w:val="0006067D"/>
    <w:rsid w:val="000606B2"/>
    <w:rsid w:val="000606C1"/>
    <w:rsid w:val="00060710"/>
    <w:rsid w:val="000607A1"/>
    <w:rsid w:val="000607AD"/>
    <w:rsid w:val="00060809"/>
    <w:rsid w:val="00060863"/>
    <w:rsid w:val="0006087E"/>
    <w:rsid w:val="000608AE"/>
    <w:rsid w:val="000608B2"/>
    <w:rsid w:val="00060916"/>
    <w:rsid w:val="00060996"/>
    <w:rsid w:val="000609E1"/>
    <w:rsid w:val="00060A00"/>
    <w:rsid w:val="00060A55"/>
    <w:rsid w:val="00060A7F"/>
    <w:rsid w:val="00060AB6"/>
    <w:rsid w:val="00060B08"/>
    <w:rsid w:val="00060B0F"/>
    <w:rsid w:val="00060B12"/>
    <w:rsid w:val="00060B94"/>
    <w:rsid w:val="00060BE3"/>
    <w:rsid w:val="00060C24"/>
    <w:rsid w:val="00060C3D"/>
    <w:rsid w:val="00060C76"/>
    <w:rsid w:val="00060CDA"/>
    <w:rsid w:val="00060CFA"/>
    <w:rsid w:val="00060DB6"/>
    <w:rsid w:val="00060DE5"/>
    <w:rsid w:val="00060E2E"/>
    <w:rsid w:val="00060E40"/>
    <w:rsid w:val="00060F65"/>
    <w:rsid w:val="00060F6B"/>
    <w:rsid w:val="00061048"/>
    <w:rsid w:val="000610C1"/>
    <w:rsid w:val="00061148"/>
    <w:rsid w:val="00061197"/>
    <w:rsid w:val="000611C6"/>
    <w:rsid w:val="00061208"/>
    <w:rsid w:val="00061213"/>
    <w:rsid w:val="00061226"/>
    <w:rsid w:val="00061267"/>
    <w:rsid w:val="00061380"/>
    <w:rsid w:val="000613BC"/>
    <w:rsid w:val="000613BD"/>
    <w:rsid w:val="0006141D"/>
    <w:rsid w:val="00061479"/>
    <w:rsid w:val="000614D2"/>
    <w:rsid w:val="000614FB"/>
    <w:rsid w:val="00061550"/>
    <w:rsid w:val="0006157E"/>
    <w:rsid w:val="000615A0"/>
    <w:rsid w:val="00061645"/>
    <w:rsid w:val="000616CF"/>
    <w:rsid w:val="000616E4"/>
    <w:rsid w:val="00061747"/>
    <w:rsid w:val="00061776"/>
    <w:rsid w:val="000617BC"/>
    <w:rsid w:val="000617E1"/>
    <w:rsid w:val="0006186B"/>
    <w:rsid w:val="00061872"/>
    <w:rsid w:val="000618BA"/>
    <w:rsid w:val="000618FA"/>
    <w:rsid w:val="0006190B"/>
    <w:rsid w:val="00061992"/>
    <w:rsid w:val="000619E0"/>
    <w:rsid w:val="00061A9A"/>
    <w:rsid w:val="00061ADF"/>
    <w:rsid w:val="00061AEB"/>
    <w:rsid w:val="00061BF2"/>
    <w:rsid w:val="00061C0B"/>
    <w:rsid w:val="00061C35"/>
    <w:rsid w:val="00061C79"/>
    <w:rsid w:val="00061CB2"/>
    <w:rsid w:val="00061D68"/>
    <w:rsid w:val="00061D9D"/>
    <w:rsid w:val="00061DAE"/>
    <w:rsid w:val="00061DBB"/>
    <w:rsid w:val="00061DEA"/>
    <w:rsid w:val="00061E00"/>
    <w:rsid w:val="00061E13"/>
    <w:rsid w:val="00061E34"/>
    <w:rsid w:val="00061E8E"/>
    <w:rsid w:val="00061F02"/>
    <w:rsid w:val="00061F56"/>
    <w:rsid w:val="00061F73"/>
    <w:rsid w:val="00061F7D"/>
    <w:rsid w:val="00061F83"/>
    <w:rsid w:val="00061F96"/>
    <w:rsid w:val="00061FAF"/>
    <w:rsid w:val="00061FD0"/>
    <w:rsid w:val="0006200F"/>
    <w:rsid w:val="000620AE"/>
    <w:rsid w:val="000620D2"/>
    <w:rsid w:val="00062167"/>
    <w:rsid w:val="0006219F"/>
    <w:rsid w:val="000621AB"/>
    <w:rsid w:val="000622B6"/>
    <w:rsid w:val="00062342"/>
    <w:rsid w:val="00062352"/>
    <w:rsid w:val="00062420"/>
    <w:rsid w:val="00062460"/>
    <w:rsid w:val="000624E6"/>
    <w:rsid w:val="000624F9"/>
    <w:rsid w:val="00062520"/>
    <w:rsid w:val="00062532"/>
    <w:rsid w:val="0006258E"/>
    <w:rsid w:val="00062595"/>
    <w:rsid w:val="00062633"/>
    <w:rsid w:val="0006264F"/>
    <w:rsid w:val="00062689"/>
    <w:rsid w:val="000626EC"/>
    <w:rsid w:val="000626FE"/>
    <w:rsid w:val="0006275E"/>
    <w:rsid w:val="0006277B"/>
    <w:rsid w:val="000627AB"/>
    <w:rsid w:val="000627C7"/>
    <w:rsid w:val="000627D6"/>
    <w:rsid w:val="000627F9"/>
    <w:rsid w:val="000629A6"/>
    <w:rsid w:val="000629FB"/>
    <w:rsid w:val="00062A25"/>
    <w:rsid w:val="00062A6E"/>
    <w:rsid w:val="00062ABF"/>
    <w:rsid w:val="00062B00"/>
    <w:rsid w:val="00062B68"/>
    <w:rsid w:val="00062B7B"/>
    <w:rsid w:val="00062BEB"/>
    <w:rsid w:val="00062BF8"/>
    <w:rsid w:val="00062C2C"/>
    <w:rsid w:val="00062C2F"/>
    <w:rsid w:val="00062D11"/>
    <w:rsid w:val="00062DEB"/>
    <w:rsid w:val="00062DF7"/>
    <w:rsid w:val="00062E99"/>
    <w:rsid w:val="00062EEE"/>
    <w:rsid w:val="00062F53"/>
    <w:rsid w:val="0006304A"/>
    <w:rsid w:val="0006306D"/>
    <w:rsid w:val="000630DD"/>
    <w:rsid w:val="00063137"/>
    <w:rsid w:val="00063187"/>
    <w:rsid w:val="0006318E"/>
    <w:rsid w:val="00063205"/>
    <w:rsid w:val="0006321D"/>
    <w:rsid w:val="00063248"/>
    <w:rsid w:val="00063260"/>
    <w:rsid w:val="00063284"/>
    <w:rsid w:val="000632EE"/>
    <w:rsid w:val="00063300"/>
    <w:rsid w:val="00063331"/>
    <w:rsid w:val="00063336"/>
    <w:rsid w:val="0006336E"/>
    <w:rsid w:val="000633AE"/>
    <w:rsid w:val="000633F7"/>
    <w:rsid w:val="00063482"/>
    <w:rsid w:val="00063485"/>
    <w:rsid w:val="00063516"/>
    <w:rsid w:val="00063551"/>
    <w:rsid w:val="00063560"/>
    <w:rsid w:val="0006359E"/>
    <w:rsid w:val="000635A2"/>
    <w:rsid w:val="000635C3"/>
    <w:rsid w:val="000635F7"/>
    <w:rsid w:val="00063609"/>
    <w:rsid w:val="000636EE"/>
    <w:rsid w:val="0006370C"/>
    <w:rsid w:val="0006370F"/>
    <w:rsid w:val="0006373E"/>
    <w:rsid w:val="000637CA"/>
    <w:rsid w:val="0006381E"/>
    <w:rsid w:val="00063838"/>
    <w:rsid w:val="000638A2"/>
    <w:rsid w:val="000638A6"/>
    <w:rsid w:val="000638E2"/>
    <w:rsid w:val="0006390D"/>
    <w:rsid w:val="00063952"/>
    <w:rsid w:val="00063955"/>
    <w:rsid w:val="0006398A"/>
    <w:rsid w:val="00063995"/>
    <w:rsid w:val="000639C1"/>
    <w:rsid w:val="00063A5F"/>
    <w:rsid w:val="00063A9B"/>
    <w:rsid w:val="00063AC1"/>
    <w:rsid w:val="00063AEC"/>
    <w:rsid w:val="00063AF0"/>
    <w:rsid w:val="00063B0B"/>
    <w:rsid w:val="00063B1F"/>
    <w:rsid w:val="00063B78"/>
    <w:rsid w:val="00063BA0"/>
    <w:rsid w:val="00063C1D"/>
    <w:rsid w:val="00063C1F"/>
    <w:rsid w:val="00063C84"/>
    <w:rsid w:val="00063C92"/>
    <w:rsid w:val="00063CBE"/>
    <w:rsid w:val="00063CD5"/>
    <w:rsid w:val="00063D30"/>
    <w:rsid w:val="00063D57"/>
    <w:rsid w:val="00063D8A"/>
    <w:rsid w:val="00063D90"/>
    <w:rsid w:val="00063DBA"/>
    <w:rsid w:val="00063DCF"/>
    <w:rsid w:val="00063DE3"/>
    <w:rsid w:val="00063ED8"/>
    <w:rsid w:val="00063F04"/>
    <w:rsid w:val="00063F18"/>
    <w:rsid w:val="00063F6C"/>
    <w:rsid w:val="00063FB0"/>
    <w:rsid w:val="00063FB7"/>
    <w:rsid w:val="00064007"/>
    <w:rsid w:val="00064021"/>
    <w:rsid w:val="0006404F"/>
    <w:rsid w:val="00064059"/>
    <w:rsid w:val="00064088"/>
    <w:rsid w:val="0006409E"/>
    <w:rsid w:val="000640AF"/>
    <w:rsid w:val="000640BE"/>
    <w:rsid w:val="00064146"/>
    <w:rsid w:val="0006418E"/>
    <w:rsid w:val="000641B3"/>
    <w:rsid w:val="000641B6"/>
    <w:rsid w:val="00064214"/>
    <w:rsid w:val="00064258"/>
    <w:rsid w:val="00064362"/>
    <w:rsid w:val="000643A3"/>
    <w:rsid w:val="000643CC"/>
    <w:rsid w:val="000643D2"/>
    <w:rsid w:val="000643D6"/>
    <w:rsid w:val="000643E6"/>
    <w:rsid w:val="00064442"/>
    <w:rsid w:val="00064462"/>
    <w:rsid w:val="0006447B"/>
    <w:rsid w:val="00064525"/>
    <w:rsid w:val="0006454C"/>
    <w:rsid w:val="0006455B"/>
    <w:rsid w:val="00064575"/>
    <w:rsid w:val="0006458B"/>
    <w:rsid w:val="000645BA"/>
    <w:rsid w:val="00064688"/>
    <w:rsid w:val="000646A8"/>
    <w:rsid w:val="000646A9"/>
    <w:rsid w:val="000646CA"/>
    <w:rsid w:val="000646EF"/>
    <w:rsid w:val="0006477A"/>
    <w:rsid w:val="000647B4"/>
    <w:rsid w:val="000647BA"/>
    <w:rsid w:val="000647C6"/>
    <w:rsid w:val="0006482C"/>
    <w:rsid w:val="00064838"/>
    <w:rsid w:val="00064849"/>
    <w:rsid w:val="0006485C"/>
    <w:rsid w:val="0006487E"/>
    <w:rsid w:val="00064887"/>
    <w:rsid w:val="00064929"/>
    <w:rsid w:val="0006493F"/>
    <w:rsid w:val="00064952"/>
    <w:rsid w:val="00064957"/>
    <w:rsid w:val="00064958"/>
    <w:rsid w:val="00064A1D"/>
    <w:rsid w:val="00064A55"/>
    <w:rsid w:val="00064AA2"/>
    <w:rsid w:val="00064ACB"/>
    <w:rsid w:val="00064B02"/>
    <w:rsid w:val="00064B1B"/>
    <w:rsid w:val="00064B1E"/>
    <w:rsid w:val="00064B3B"/>
    <w:rsid w:val="00064BC1"/>
    <w:rsid w:val="00064BC7"/>
    <w:rsid w:val="00064D00"/>
    <w:rsid w:val="00064DF9"/>
    <w:rsid w:val="00064E61"/>
    <w:rsid w:val="00064E86"/>
    <w:rsid w:val="00064E92"/>
    <w:rsid w:val="00064EDF"/>
    <w:rsid w:val="00064EE0"/>
    <w:rsid w:val="00064F1F"/>
    <w:rsid w:val="00064F25"/>
    <w:rsid w:val="00064F2E"/>
    <w:rsid w:val="00064F73"/>
    <w:rsid w:val="00064FC1"/>
    <w:rsid w:val="00064FE9"/>
    <w:rsid w:val="00064FEC"/>
    <w:rsid w:val="00065057"/>
    <w:rsid w:val="000650C2"/>
    <w:rsid w:val="000650DA"/>
    <w:rsid w:val="00065139"/>
    <w:rsid w:val="0006518D"/>
    <w:rsid w:val="000651B0"/>
    <w:rsid w:val="0006522F"/>
    <w:rsid w:val="000652AA"/>
    <w:rsid w:val="000652F1"/>
    <w:rsid w:val="00065326"/>
    <w:rsid w:val="0006532F"/>
    <w:rsid w:val="00065346"/>
    <w:rsid w:val="0006538C"/>
    <w:rsid w:val="00065405"/>
    <w:rsid w:val="00065445"/>
    <w:rsid w:val="0006547F"/>
    <w:rsid w:val="00065481"/>
    <w:rsid w:val="00065490"/>
    <w:rsid w:val="000654CF"/>
    <w:rsid w:val="000654DE"/>
    <w:rsid w:val="000654F7"/>
    <w:rsid w:val="00065515"/>
    <w:rsid w:val="00065523"/>
    <w:rsid w:val="00065534"/>
    <w:rsid w:val="00065541"/>
    <w:rsid w:val="0006554A"/>
    <w:rsid w:val="00065551"/>
    <w:rsid w:val="00065582"/>
    <w:rsid w:val="0006563D"/>
    <w:rsid w:val="000656B0"/>
    <w:rsid w:val="00065799"/>
    <w:rsid w:val="000657B1"/>
    <w:rsid w:val="000657B3"/>
    <w:rsid w:val="00065862"/>
    <w:rsid w:val="000658BF"/>
    <w:rsid w:val="000658CF"/>
    <w:rsid w:val="0006594F"/>
    <w:rsid w:val="00065960"/>
    <w:rsid w:val="000659B6"/>
    <w:rsid w:val="000659BE"/>
    <w:rsid w:val="000659E0"/>
    <w:rsid w:val="00065A3D"/>
    <w:rsid w:val="00065A62"/>
    <w:rsid w:val="00065A6E"/>
    <w:rsid w:val="00065A9A"/>
    <w:rsid w:val="00065AEA"/>
    <w:rsid w:val="00065AF4"/>
    <w:rsid w:val="00065B5C"/>
    <w:rsid w:val="00065B92"/>
    <w:rsid w:val="00065B9C"/>
    <w:rsid w:val="00065BCD"/>
    <w:rsid w:val="00065C03"/>
    <w:rsid w:val="00065C95"/>
    <w:rsid w:val="00065CA4"/>
    <w:rsid w:val="00065D53"/>
    <w:rsid w:val="00065D84"/>
    <w:rsid w:val="00065E5E"/>
    <w:rsid w:val="00065E7D"/>
    <w:rsid w:val="00065E7F"/>
    <w:rsid w:val="00065EE6"/>
    <w:rsid w:val="00065F03"/>
    <w:rsid w:val="00065F07"/>
    <w:rsid w:val="00065F29"/>
    <w:rsid w:val="00065F2A"/>
    <w:rsid w:val="00065F38"/>
    <w:rsid w:val="00065FB1"/>
    <w:rsid w:val="00065FC0"/>
    <w:rsid w:val="00066040"/>
    <w:rsid w:val="00066048"/>
    <w:rsid w:val="000660EA"/>
    <w:rsid w:val="00066163"/>
    <w:rsid w:val="000661F3"/>
    <w:rsid w:val="00066246"/>
    <w:rsid w:val="0006626F"/>
    <w:rsid w:val="000662AC"/>
    <w:rsid w:val="0006631D"/>
    <w:rsid w:val="0006637F"/>
    <w:rsid w:val="000663B1"/>
    <w:rsid w:val="000663C5"/>
    <w:rsid w:val="000663CC"/>
    <w:rsid w:val="00066410"/>
    <w:rsid w:val="00066496"/>
    <w:rsid w:val="0006650C"/>
    <w:rsid w:val="00066607"/>
    <w:rsid w:val="00066613"/>
    <w:rsid w:val="0006663A"/>
    <w:rsid w:val="00066646"/>
    <w:rsid w:val="0006667C"/>
    <w:rsid w:val="000666E5"/>
    <w:rsid w:val="00066722"/>
    <w:rsid w:val="00066732"/>
    <w:rsid w:val="00066757"/>
    <w:rsid w:val="00066765"/>
    <w:rsid w:val="0006676D"/>
    <w:rsid w:val="000667CE"/>
    <w:rsid w:val="000667FC"/>
    <w:rsid w:val="0006684E"/>
    <w:rsid w:val="00066876"/>
    <w:rsid w:val="00066881"/>
    <w:rsid w:val="000668B5"/>
    <w:rsid w:val="000668D3"/>
    <w:rsid w:val="00066902"/>
    <w:rsid w:val="00066907"/>
    <w:rsid w:val="00066932"/>
    <w:rsid w:val="00066933"/>
    <w:rsid w:val="000669BA"/>
    <w:rsid w:val="000669CD"/>
    <w:rsid w:val="00066A1B"/>
    <w:rsid w:val="00066A2C"/>
    <w:rsid w:val="00066A41"/>
    <w:rsid w:val="00066A92"/>
    <w:rsid w:val="00066AB3"/>
    <w:rsid w:val="00066B44"/>
    <w:rsid w:val="00066B7C"/>
    <w:rsid w:val="00066BA2"/>
    <w:rsid w:val="00066BAA"/>
    <w:rsid w:val="00066BE5"/>
    <w:rsid w:val="00066C01"/>
    <w:rsid w:val="00066C47"/>
    <w:rsid w:val="00066C63"/>
    <w:rsid w:val="00066C7A"/>
    <w:rsid w:val="00066C86"/>
    <w:rsid w:val="00066CDA"/>
    <w:rsid w:val="00066CE7"/>
    <w:rsid w:val="00066CF4"/>
    <w:rsid w:val="00066D04"/>
    <w:rsid w:val="00066D30"/>
    <w:rsid w:val="00066D76"/>
    <w:rsid w:val="00066D7B"/>
    <w:rsid w:val="00066DA1"/>
    <w:rsid w:val="00066DE3"/>
    <w:rsid w:val="00066E8C"/>
    <w:rsid w:val="00066EC8"/>
    <w:rsid w:val="00066ED4"/>
    <w:rsid w:val="00066EE0"/>
    <w:rsid w:val="00066F2D"/>
    <w:rsid w:val="00066F38"/>
    <w:rsid w:val="00066F43"/>
    <w:rsid w:val="0006703F"/>
    <w:rsid w:val="00067045"/>
    <w:rsid w:val="0006704B"/>
    <w:rsid w:val="00067098"/>
    <w:rsid w:val="00067100"/>
    <w:rsid w:val="0006713A"/>
    <w:rsid w:val="0006717C"/>
    <w:rsid w:val="000671B8"/>
    <w:rsid w:val="000671D7"/>
    <w:rsid w:val="0006723F"/>
    <w:rsid w:val="00067265"/>
    <w:rsid w:val="00067279"/>
    <w:rsid w:val="0006728F"/>
    <w:rsid w:val="0006729B"/>
    <w:rsid w:val="000672A1"/>
    <w:rsid w:val="000672A8"/>
    <w:rsid w:val="000672AE"/>
    <w:rsid w:val="00067324"/>
    <w:rsid w:val="000673A9"/>
    <w:rsid w:val="000673B3"/>
    <w:rsid w:val="00067472"/>
    <w:rsid w:val="000674BD"/>
    <w:rsid w:val="00067544"/>
    <w:rsid w:val="00067550"/>
    <w:rsid w:val="00067581"/>
    <w:rsid w:val="000675D1"/>
    <w:rsid w:val="00067654"/>
    <w:rsid w:val="0006769B"/>
    <w:rsid w:val="000676E6"/>
    <w:rsid w:val="0006772E"/>
    <w:rsid w:val="0006778D"/>
    <w:rsid w:val="00067815"/>
    <w:rsid w:val="0006781F"/>
    <w:rsid w:val="00067893"/>
    <w:rsid w:val="000678B8"/>
    <w:rsid w:val="000678EB"/>
    <w:rsid w:val="00067910"/>
    <w:rsid w:val="00067913"/>
    <w:rsid w:val="00067934"/>
    <w:rsid w:val="000679B8"/>
    <w:rsid w:val="000679C0"/>
    <w:rsid w:val="000679E4"/>
    <w:rsid w:val="00067B36"/>
    <w:rsid w:val="00067B9A"/>
    <w:rsid w:val="00067BAF"/>
    <w:rsid w:val="00067BD6"/>
    <w:rsid w:val="00067BF6"/>
    <w:rsid w:val="00067C06"/>
    <w:rsid w:val="00067C7E"/>
    <w:rsid w:val="00067C97"/>
    <w:rsid w:val="00067CC5"/>
    <w:rsid w:val="00067D2A"/>
    <w:rsid w:val="00067D60"/>
    <w:rsid w:val="00067D73"/>
    <w:rsid w:val="00067DCA"/>
    <w:rsid w:val="00067E6A"/>
    <w:rsid w:val="00067EFE"/>
    <w:rsid w:val="00067F10"/>
    <w:rsid w:val="00067FD3"/>
    <w:rsid w:val="00070068"/>
    <w:rsid w:val="000700B6"/>
    <w:rsid w:val="000700E9"/>
    <w:rsid w:val="00070192"/>
    <w:rsid w:val="00070261"/>
    <w:rsid w:val="00070266"/>
    <w:rsid w:val="00070267"/>
    <w:rsid w:val="000702A1"/>
    <w:rsid w:val="0007030B"/>
    <w:rsid w:val="00070360"/>
    <w:rsid w:val="000703A5"/>
    <w:rsid w:val="00070409"/>
    <w:rsid w:val="000704D5"/>
    <w:rsid w:val="00070555"/>
    <w:rsid w:val="00070588"/>
    <w:rsid w:val="000705A1"/>
    <w:rsid w:val="000705F2"/>
    <w:rsid w:val="00070601"/>
    <w:rsid w:val="00070608"/>
    <w:rsid w:val="000706D8"/>
    <w:rsid w:val="000706DC"/>
    <w:rsid w:val="000706E2"/>
    <w:rsid w:val="0007072C"/>
    <w:rsid w:val="00070734"/>
    <w:rsid w:val="0007074E"/>
    <w:rsid w:val="000707F2"/>
    <w:rsid w:val="000707FF"/>
    <w:rsid w:val="00070819"/>
    <w:rsid w:val="00070834"/>
    <w:rsid w:val="0007087A"/>
    <w:rsid w:val="0007087F"/>
    <w:rsid w:val="000708A1"/>
    <w:rsid w:val="0007090E"/>
    <w:rsid w:val="0007091E"/>
    <w:rsid w:val="0007094A"/>
    <w:rsid w:val="000709A0"/>
    <w:rsid w:val="000709E9"/>
    <w:rsid w:val="00070A05"/>
    <w:rsid w:val="00070A23"/>
    <w:rsid w:val="00070AEE"/>
    <w:rsid w:val="00070AF2"/>
    <w:rsid w:val="00070B38"/>
    <w:rsid w:val="00070BD7"/>
    <w:rsid w:val="00070BE7"/>
    <w:rsid w:val="00070BFB"/>
    <w:rsid w:val="00070C61"/>
    <w:rsid w:val="00070C86"/>
    <w:rsid w:val="00070CBA"/>
    <w:rsid w:val="00070CF0"/>
    <w:rsid w:val="00070D18"/>
    <w:rsid w:val="00070D44"/>
    <w:rsid w:val="00070E46"/>
    <w:rsid w:val="00070E51"/>
    <w:rsid w:val="00070ED8"/>
    <w:rsid w:val="00070F10"/>
    <w:rsid w:val="00070F8A"/>
    <w:rsid w:val="00070FBC"/>
    <w:rsid w:val="00071035"/>
    <w:rsid w:val="00071036"/>
    <w:rsid w:val="000710E4"/>
    <w:rsid w:val="000710F3"/>
    <w:rsid w:val="0007111E"/>
    <w:rsid w:val="0007116F"/>
    <w:rsid w:val="00071171"/>
    <w:rsid w:val="00071250"/>
    <w:rsid w:val="00071258"/>
    <w:rsid w:val="000712AE"/>
    <w:rsid w:val="000712BE"/>
    <w:rsid w:val="00071308"/>
    <w:rsid w:val="0007132A"/>
    <w:rsid w:val="00071361"/>
    <w:rsid w:val="00071412"/>
    <w:rsid w:val="00071419"/>
    <w:rsid w:val="00071437"/>
    <w:rsid w:val="00071499"/>
    <w:rsid w:val="00071591"/>
    <w:rsid w:val="0007162D"/>
    <w:rsid w:val="0007176B"/>
    <w:rsid w:val="0007178D"/>
    <w:rsid w:val="000717A5"/>
    <w:rsid w:val="000717B1"/>
    <w:rsid w:val="000717BA"/>
    <w:rsid w:val="0007180C"/>
    <w:rsid w:val="00071899"/>
    <w:rsid w:val="0007189B"/>
    <w:rsid w:val="000718A2"/>
    <w:rsid w:val="00071929"/>
    <w:rsid w:val="000719BA"/>
    <w:rsid w:val="000719F1"/>
    <w:rsid w:val="00071A00"/>
    <w:rsid w:val="00071A11"/>
    <w:rsid w:val="00071A47"/>
    <w:rsid w:val="00071A53"/>
    <w:rsid w:val="00071A8F"/>
    <w:rsid w:val="00071B39"/>
    <w:rsid w:val="00071B66"/>
    <w:rsid w:val="00071B79"/>
    <w:rsid w:val="00071BA5"/>
    <w:rsid w:val="00071BD3"/>
    <w:rsid w:val="00071BD8"/>
    <w:rsid w:val="00071BED"/>
    <w:rsid w:val="00071BF4"/>
    <w:rsid w:val="00071C06"/>
    <w:rsid w:val="00071C81"/>
    <w:rsid w:val="00071CA2"/>
    <w:rsid w:val="00071CCE"/>
    <w:rsid w:val="00071CE8"/>
    <w:rsid w:val="00071E1E"/>
    <w:rsid w:val="00071E4C"/>
    <w:rsid w:val="00071EA9"/>
    <w:rsid w:val="00071ED9"/>
    <w:rsid w:val="00071F27"/>
    <w:rsid w:val="00071F2B"/>
    <w:rsid w:val="00071FAE"/>
    <w:rsid w:val="00072022"/>
    <w:rsid w:val="0007209D"/>
    <w:rsid w:val="0007211C"/>
    <w:rsid w:val="00072136"/>
    <w:rsid w:val="0007213C"/>
    <w:rsid w:val="00072149"/>
    <w:rsid w:val="0007215F"/>
    <w:rsid w:val="00072185"/>
    <w:rsid w:val="000721AD"/>
    <w:rsid w:val="00072237"/>
    <w:rsid w:val="00072245"/>
    <w:rsid w:val="000722C2"/>
    <w:rsid w:val="0007231B"/>
    <w:rsid w:val="0007233E"/>
    <w:rsid w:val="00072445"/>
    <w:rsid w:val="0007245A"/>
    <w:rsid w:val="000724F6"/>
    <w:rsid w:val="00072515"/>
    <w:rsid w:val="00072517"/>
    <w:rsid w:val="000725A6"/>
    <w:rsid w:val="00072668"/>
    <w:rsid w:val="000726A1"/>
    <w:rsid w:val="000726B0"/>
    <w:rsid w:val="00072720"/>
    <w:rsid w:val="00072732"/>
    <w:rsid w:val="00072791"/>
    <w:rsid w:val="000727B2"/>
    <w:rsid w:val="00072840"/>
    <w:rsid w:val="0007284D"/>
    <w:rsid w:val="00072851"/>
    <w:rsid w:val="00072860"/>
    <w:rsid w:val="0007286A"/>
    <w:rsid w:val="0007288C"/>
    <w:rsid w:val="00072918"/>
    <w:rsid w:val="0007291E"/>
    <w:rsid w:val="00072936"/>
    <w:rsid w:val="000729A9"/>
    <w:rsid w:val="000729DF"/>
    <w:rsid w:val="000729EC"/>
    <w:rsid w:val="00072A2B"/>
    <w:rsid w:val="00072A92"/>
    <w:rsid w:val="00072AB1"/>
    <w:rsid w:val="00072AB2"/>
    <w:rsid w:val="00072AC0"/>
    <w:rsid w:val="00072AD5"/>
    <w:rsid w:val="00072C3B"/>
    <w:rsid w:val="00072C47"/>
    <w:rsid w:val="00072C4C"/>
    <w:rsid w:val="00072CD7"/>
    <w:rsid w:val="00072DDE"/>
    <w:rsid w:val="00072DED"/>
    <w:rsid w:val="00072E42"/>
    <w:rsid w:val="00072E51"/>
    <w:rsid w:val="00072E54"/>
    <w:rsid w:val="00072E79"/>
    <w:rsid w:val="00072E7E"/>
    <w:rsid w:val="00072F0C"/>
    <w:rsid w:val="00072F2A"/>
    <w:rsid w:val="00072F32"/>
    <w:rsid w:val="00072F3A"/>
    <w:rsid w:val="00072F59"/>
    <w:rsid w:val="00073007"/>
    <w:rsid w:val="0007306D"/>
    <w:rsid w:val="00073101"/>
    <w:rsid w:val="0007311C"/>
    <w:rsid w:val="0007313C"/>
    <w:rsid w:val="0007316B"/>
    <w:rsid w:val="00073173"/>
    <w:rsid w:val="000731D0"/>
    <w:rsid w:val="000731E3"/>
    <w:rsid w:val="00073221"/>
    <w:rsid w:val="00073245"/>
    <w:rsid w:val="00073294"/>
    <w:rsid w:val="000732BD"/>
    <w:rsid w:val="000732E0"/>
    <w:rsid w:val="000732E4"/>
    <w:rsid w:val="0007332C"/>
    <w:rsid w:val="00073351"/>
    <w:rsid w:val="00073368"/>
    <w:rsid w:val="00073396"/>
    <w:rsid w:val="000733A2"/>
    <w:rsid w:val="000733EE"/>
    <w:rsid w:val="00073444"/>
    <w:rsid w:val="00073478"/>
    <w:rsid w:val="00073521"/>
    <w:rsid w:val="0007356D"/>
    <w:rsid w:val="00073589"/>
    <w:rsid w:val="000735D7"/>
    <w:rsid w:val="00073694"/>
    <w:rsid w:val="000736BE"/>
    <w:rsid w:val="000736F3"/>
    <w:rsid w:val="00073775"/>
    <w:rsid w:val="00073798"/>
    <w:rsid w:val="000737ED"/>
    <w:rsid w:val="000737EE"/>
    <w:rsid w:val="0007384B"/>
    <w:rsid w:val="0007384E"/>
    <w:rsid w:val="000738B1"/>
    <w:rsid w:val="000739D6"/>
    <w:rsid w:val="000739E9"/>
    <w:rsid w:val="000739F0"/>
    <w:rsid w:val="00073A24"/>
    <w:rsid w:val="00073A6D"/>
    <w:rsid w:val="00073A9C"/>
    <w:rsid w:val="00073BB4"/>
    <w:rsid w:val="00073C07"/>
    <w:rsid w:val="00073CC4"/>
    <w:rsid w:val="00073CF4"/>
    <w:rsid w:val="00073E06"/>
    <w:rsid w:val="00073E08"/>
    <w:rsid w:val="00073E5F"/>
    <w:rsid w:val="00073E75"/>
    <w:rsid w:val="00073EE5"/>
    <w:rsid w:val="00073F70"/>
    <w:rsid w:val="00073F90"/>
    <w:rsid w:val="00073FAE"/>
    <w:rsid w:val="00073FB5"/>
    <w:rsid w:val="00074011"/>
    <w:rsid w:val="0007407A"/>
    <w:rsid w:val="000740E5"/>
    <w:rsid w:val="000740ED"/>
    <w:rsid w:val="0007416B"/>
    <w:rsid w:val="000741D9"/>
    <w:rsid w:val="000741F0"/>
    <w:rsid w:val="000741F1"/>
    <w:rsid w:val="0007422F"/>
    <w:rsid w:val="00074233"/>
    <w:rsid w:val="00074260"/>
    <w:rsid w:val="00074261"/>
    <w:rsid w:val="00074278"/>
    <w:rsid w:val="000742D0"/>
    <w:rsid w:val="000742F1"/>
    <w:rsid w:val="00074314"/>
    <w:rsid w:val="000743E4"/>
    <w:rsid w:val="0007441D"/>
    <w:rsid w:val="0007443D"/>
    <w:rsid w:val="000744C0"/>
    <w:rsid w:val="00074544"/>
    <w:rsid w:val="0007458F"/>
    <w:rsid w:val="00074623"/>
    <w:rsid w:val="00074632"/>
    <w:rsid w:val="0007464E"/>
    <w:rsid w:val="000746A8"/>
    <w:rsid w:val="000746BF"/>
    <w:rsid w:val="000747E4"/>
    <w:rsid w:val="00074803"/>
    <w:rsid w:val="0007497F"/>
    <w:rsid w:val="00074985"/>
    <w:rsid w:val="000749E0"/>
    <w:rsid w:val="000749FD"/>
    <w:rsid w:val="00074AA3"/>
    <w:rsid w:val="00074AFE"/>
    <w:rsid w:val="00074B6A"/>
    <w:rsid w:val="00074BCF"/>
    <w:rsid w:val="00074BDD"/>
    <w:rsid w:val="00074C49"/>
    <w:rsid w:val="00074C6B"/>
    <w:rsid w:val="00074CC5"/>
    <w:rsid w:val="00074D18"/>
    <w:rsid w:val="00074D1F"/>
    <w:rsid w:val="00074D6F"/>
    <w:rsid w:val="00074D7A"/>
    <w:rsid w:val="00074E45"/>
    <w:rsid w:val="00074E47"/>
    <w:rsid w:val="00074EE1"/>
    <w:rsid w:val="00074F64"/>
    <w:rsid w:val="00074F76"/>
    <w:rsid w:val="00074FE6"/>
    <w:rsid w:val="00074FF5"/>
    <w:rsid w:val="0007500E"/>
    <w:rsid w:val="00075019"/>
    <w:rsid w:val="00075031"/>
    <w:rsid w:val="00075048"/>
    <w:rsid w:val="00075071"/>
    <w:rsid w:val="000750A8"/>
    <w:rsid w:val="000750C5"/>
    <w:rsid w:val="000750FA"/>
    <w:rsid w:val="00075104"/>
    <w:rsid w:val="00075111"/>
    <w:rsid w:val="0007511F"/>
    <w:rsid w:val="0007513C"/>
    <w:rsid w:val="00075167"/>
    <w:rsid w:val="0007518D"/>
    <w:rsid w:val="000751D9"/>
    <w:rsid w:val="0007523F"/>
    <w:rsid w:val="00075271"/>
    <w:rsid w:val="00075280"/>
    <w:rsid w:val="00075290"/>
    <w:rsid w:val="000752A9"/>
    <w:rsid w:val="000752C1"/>
    <w:rsid w:val="000752C7"/>
    <w:rsid w:val="000752F2"/>
    <w:rsid w:val="0007531E"/>
    <w:rsid w:val="000753E7"/>
    <w:rsid w:val="00075405"/>
    <w:rsid w:val="00075429"/>
    <w:rsid w:val="00075459"/>
    <w:rsid w:val="0007545C"/>
    <w:rsid w:val="00075477"/>
    <w:rsid w:val="000754A7"/>
    <w:rsid w:val="000754C1"/>
    <w:rsid w:val="0007550B"/>
    <w:rsid w:val="00075580"/>
    <w:rsid w:val="00075582"/>
    <w:rsid w:val="00075601"/>
    <w:rsid w:val="00075628"/>
    <w:rsid w:val="00075636"/>
    <w:rsid w:val="0007563A"/>
    <w:rsid w:val="00075710"/>
    <w:rsid w:val="00075728"/>
    <w:rsid w:val="00075789"/>
    <w:rsid w:val="000757EF"/>
    <w:rsid w:val="000757F6"/>
    <w:rsid w:val="0007581D"/>
    <w:rsid w:val="00075880"/>
    <w:rsid w:val="000758AB"/>
    <w:rsid w:val="000759F7"/>
    <w:rsid w:val="00075A2B"/>
    <w:rsid w:val="00075A52"/>
    <w:rsid w:val="00075A5B"/>
    <w:rsid w:val="00075A5E"/>
    <w:rsid w:val="00075A5F"/>
    <w:rsid w:val="00075A80"/>
    <w:rsid w:val="00075A8A"/>
    <w:rsid w:val="00075B31"/>
    <w:rsid w:val="00075B83"/>
    <w:rsid w:val="00075B8F"/>
    <w:rsid w:val="00075BC4"/>
    <w:rsid w:val="00075BDA"/>
    <w:rsid w:val="00075BE1"/>
    <w:rsid w:val="00075C33"/>
    <w:rsid w:val="00075C55"/>
    <w:rsid w:val="00075C74"/>
    <w:rsid w:val="00075CA4"/>
    <w:rsid w:val="00075CE3"/>
    <w:rsid w:val="00075D55"/>
    <w:rsid w:val="00075D91"/>
    <w:rsid w:val="00075DC8"/>
    <w:rsid w:val="00075F41"/>
    <w:rsid w:val="00075F8D"/>
    <w:rsid w:val="00076061"/>
    <w:rsid w:val="00076078"/>
    <w:rsid w:val="0007608E"/>
    <w:rsid w:val="000760B0"/>
    <w:rsid w:val="000760B2"/>
    <w:rsid w:val="00076111"/>
    <w:rsid w:val="00076154"/>
    <w:rsid w:val="00076174"/>
    <w:rsid w:val="00076197"/>
    <w:rsid w:val="0007620D"/>
    <w:rsid w:val="0007627D"/>
    <w:rsid w:val="00076290"/>
    <w:rsid w:val="000762AC"/>
    <w:rsid w:val="000762DE"/>
    <w:rsid w:val="000762F2"/>
    <w:rsid w:val="00076346"/>
    <w:rsid w:val="00076397"/>
    <w:rsid w:val="000763C9"/>
    <w:rsid w:val="000763CE"/>
    <w:rsid w:val="00076436"/>
    <w:rsid w:val="00076444"/>
    <w:rsid w:val="00076447"/>
    <w:rsid w:val="0007647E"/>
    <w:rsid w:val="000764D1"/>
    <w:rsid w:val="000764EE"/>
    <w:rsid w:val="0007659D"/>
    <w:rsid w:val="000765D6"/>
    <w:rsid w:val="000765F8"/>
    <w:rsid w:val="000765FB"/>
    <w:rsid w:val="0007661B"/>
    <w:rsid w:val="00076637"/>
    <w:rsid w:val="000766CD"/>
    <w:rsid w:val="000766DA"/>
    <w:rsid w:val="00076787"/>
    <w:rsid w:val="0007678D"/>
    <w:rsid w:val="00076828"/>
    <w:rsid w:val="000768DB"/>
    <w:rsid w:val="0007695C"/>
    <w:rsid w:val="0007696A"/>
    <w:rsid w:val="0007697B"/>
    <w:rsid w:val="00076983"/>
    <w:rsid w:val="000769A3"/>
    <w:rsid w:val="000769D2"/>
    <w:rsid w:val="00076AD4"/>
    <w:rsid w:val="00076B1E"/>
    <w:rsid w:val="00076B79"/>
    <w:rsid w:val="00076B9A"/>
    <w:rsid w:val="00076C39"/>
    <w:rsid w:val="00076C5A"/>
    <w:rsid w:val="00076C9D"/>
    <w:rsid w:val="00076CB9"/>
    <w:rsid w:val="00076D1A"/>
    <w:rsid w:val="00076D2E"/>
    <w:rsid w:val="00076D38"/>
    <w:rsid w:val="00076DF5"/>
    <w:rsid w:val="00076E57"/>
    <w:rsid w:val="00076E77"/>
    <w:rsid w:val="00076E8B"/>
    <w:rsid w:val="00076EB8"/>
    <w:rsid w:val="00076EC3"/>
    <w:rsid w:val="00076EF8"/>
    <w:rsid w:val="00076FBE"/>
    <w:rsid w:val="00077075"/>
    <w:rsid w:val="00077079"/>
    <w:rsid w:val="00077098"/>
    <w:rsid w:val="000770AE"/>
    <w:rsid w:val="000770DF"/>
    <w:rsid w:val="00077128"/>
    <w:rsid w:val="00077145"/>
    <w:rsid w:val="000771B2"/>
    <w:rsid w:val="000771D6"/>
    <w:rsid w:val="000771D9"/>
    <w:rsid w:val="000771ED"/>
    <w:rsid w:val="0007722D"/>
    <w:rsid w:val="0007726A"/>
    <w:rsid w:val="0007728B"/>
    <w:rsid w:val="000772EE"/>
    <w:rsid w:val="0007732E"/>
    <w:rsid w:val="0007733B"/>
    <w:rsid w:val="00077344"/>
    <w:rsid w:val="00077382"/>
    <w:rsid w:val="000773DD"/>
    <w:rsid w:val="000773DE"/>
    <w:rsid w:val="0007747C"/>
    <w:rsid w:val="00077490"/>
    <w:rsid w:val="000774BC"/>
    <w:rsid w:val="000774D1"/>
    <w:rsid w:val="000774E1"/>
    <w:rsid w:val="00077573"/>
    <w:rsid w:val="00077575"/>
    <w:rsid w:val="00077595"/>
    <w:rsid w:val="000775AF"/>
    <w:rsid w:val="000775DE"/>
    <w:rsid w:val="000777A3"/>
    <w:rsid w:val="000777C6"/>
    <w:rsid w:val="0007784A"/>
    <w:rsid w:val="0007786B"/>
    <w:rsid w:val="0007787B"/>
    <w:rsid w:val="00077931"/>
    <w:rsid w:val="0007796B"/>
    <w:rsid w:val="000779C4"/>
    <w:rsid w:val="000779C7"/>
    <w:rsid w:val="000779FE"/>
    <w:rsid w:val="00077A15"/>
    <w:rsid w:val="00077A44"/>
    <w:rsid w:val="00077A5D"/>
    <w:rsid w:val="00077A6C"/>
    <w:rsid w:val="00077AAF"/>
    <w:rsid w:val="00077ADA"/>
    <w:rsid w:val="00077ADE"/>
    <w:rsid w:val="00077B19"/>
    <w:rsid w:val="00077B2C"/>
    <w:rsid w:val="00077BCF"/>
    <w:rsid w:val="00077C06"/>
    <w:rsid w:val="00077C07"/>
    <w:rsid w:val="00077C93"/>
    <w:rsid w:val="00077CB6"/>
    <w:rsid w:val="00077E0E"/>
    <w:rsid w:val="00077E2E"/>
    <w:rsid w:val="00077E7F"/>
    <w:rsid w:val="00077E8E"/>
    <w:rsid w:val="00077ECD"/>
    <w:rsid w:val="00077F2B"/>
    <w:rsid w:val="00077FFA"/>
    <w:rsid w:val="0008000D"/>
    <w:rsid w:val="0008002F"/>
    <w:rsid w:val="00080034"/>
    <w:rsid w:val="00080045"/>
    <w:rsid w:val="00080099"/>
    <w:rsid w:val="000800E4"/>
    <w:rsid w:val="000800FA"/>
    <w:rsid w:val="0008024F"/>
    <w:rsid w:val="00080260"/>
    <w:rsid w:val="000802AC"/>
    <w:rsid w:val="000802DD"/>
    <w:rsid w:val="000802E9"/>
    <w:rsid w:val="0008036C"/>
    <w:rsid w:val="00080416"/>
    <w:rsid w:val="0008046B"/>
    <w:rsid w:val="000804FF"/>
    <w:rsid w:val="00080517"/>
    <w:rsid w:val="00080524"/>
    <w:rsid w:val="00080567"/>
    <w:rsid w:val="0008058E"/>
    <w:rsid w:val="0008059A"/>
    <w:rsid w:val="000805AC"/>
    <w:rsid w:val="0008060A"/>
    <w:rsid w:val="00080626"/>
    <w:rsid w:val="00080687"/>
    <w:rsid w:val="000806A8"/>
    <w:rsid w:val="000806AC"/>
    <w:rsid w:val="00080744"/>
    <w:rsid w:val="00080783"/>
    <w:rsid w:val="00080795"/>
    <w:rsid w:val="00080796"/>
    <w:rsid w:val="000807D3"/>
    <w:rsid w:val="00080868"/>
    <w:rsid w:val="0008086B"/>
    <w:rsid w:val="00080893"/>
    <w:rsid w:val="000808C0"/>
    <w:rsid w:val="000808D8"/>
    <w:rsid w:val="00080904"/>
    <w:rsid w:val="0008096C"/>
    <w:rsid w:val="000809A1"/>
    <w:rsid w:val="000809AA"/>
    <w:rsid w:val="000809CC"/>
    <w:rsid w:val="00080A1A"/>
    <w:rsid w:val="00080A1C"/>
    <w:rsid w:val="00080A39"/>
    <w:rsid w:val="00080A4B"/>
    <w:rsid w:val="00080A87"/>
    <w:rsid w:val="00080A8F"/>
    <w:rsid w:val="00080ADA"/>
    <w:rsid w:val="00080B0F"/>
    <w:rsid w:val="00080B2C"/>
    <w:rsid w:val="00080B2F"/>
    <w:rsid w:val="00080BD3"/>
    <w:rsid w:val="00080BE2"/>
    <w:rsid w:val="00080BE5"/>
    <w:rsid w:val="00080BF8"/>
    <w:rsid w:val="00080C66"/>
    <w:rsid w:val="00080D0C"/>
    <w:rsid w:val="00080D51"/>
    <w:rsid w:val="00080E6C"/>
    <w:rsid w:val="00080E99"/>
    <w:rsid w:val="00080EE9"/>
    <w:rsid w:val="00080EF7"/>
    <w:rsid w:val="00080F12"/>
    <w:rsid w:val="00081052"/>
    <w:rsid w:val="00081102"/>
    <w:rsid w:val="0008112F"/>
    <w:rsid w:val="00081149"/>
    <w:rsid w:val="00081238"/>
    <w:rsid w:val="00081252"/>
    <w:rsid w:val="0008128B"/>
    <w:rsid w:val="0008135C"/>
    <w:rsid w:val="0008135D"/>
    <w:rsid w:val="000813B0"/>
    <w:rsid w:val="000813BA"/>
    <w:rsid w:val="00081446"/>
    <w:rsid w:val="00081450"/>
    <w:rsid w:val="00081479"/>
    <w:rsid w:val="000814B2"/>
    <w:rsid w:val="0008160F"/>
    <w:rsid w:val="00081611"/>
    <w:rsid w:val="0008165E"/>
    <w:rsid w:val="000816C8"/>
    <w:rsid w:val="00081753"/>
    <w:rsid w:val="0008178D"/>
    <w:rsid w:val="0008179C"/>
    <w:rsid w:val="00081865"/>
    <w:rsid w:val="000818D3"/>
    <w:rsid w:val="00081972"/>
    <w:rsid w:val="00081988"/>
    <w:rsid w:val="000819A4"/>
    <w:rsid w:val="00081AA3"/>
    <w:rsid w:val="00081AC1"/>
    <w:rsid w:val="00081B36"/>
    <w:rsid w:val="00081B79"/>
    <w:rsid w:val="00081BC4"/>
    <w:rsid w:val="00081BC9"/>
    <w:rsid w:val="00081C76"/>
    <w:rsid w:val="00081D0D"/>
    <w:rsid w:val="00081D47"/>
    <w:rsid w:val="00081D63"/>
    <w:rsid w:val="00081DA7"/>
    <w:rsid w:val="00081DD5"/>
    <w:rsid w:val="00081DE7"/>
    <w:rsid w:val="00081DF7"/>
    <w:rsid w:val="00081E42"/>
    <w:rsid w:val="00081F17"/>
    <w:rsid w:val="00081F55"/>
    <w:rsid w:val="00081FD5"/>
    <w:rsid w:val="0008202B"/>
    <w:rsid w:val="00082087"/>
    <w:rsid w:val="000820E4"/>
    <w:rsid w:val="000820EA"/>
    <w:rsid w:val="00082101"/>
    <w:rsid w:val="0008215B"/>
    <w:rsid w:val="00082228"/>
    <w:rsid w:val="00082232"/>
    <w:rsid w:val="0008223F"/>
    <w:rsid w:val="00082343"/>
    <w:rsid w:val="00082392"/>
    <w:rsid w:val="000823CA"/>
    <w:rsid w:val="000823E5"/>
    <w:rsid w:val="000823F0"/>
    <w:rsid w:val="00082428"/>
    <w:rsid w:val="0008244A"/>
    <w:rsid w:val="0008246A"/>
    <w:rsid w:val="000824C9"/>
    <w:rsid w:val="0008254F"/>
    <w:rsid w:val="0008259B"/>
    <w:rsid w:val="000825C7"/>
    <w:rsid w:val="0008260F"/>
    <w:rsid w:val="00082625"/>
    <w:rsid w:val="00082665"/>
    <w:rsid w:val="0008268C"/>
    <w:rsid w:val="0008269F"/>
    <w:rsid w:val="000826B3"/>
    <w:rsid w:val="000826B4"/>
    <w:rsid w:val="000826C4"/>
    <w:rsid w:val="000826DA"/>
    <w:rsid w:val="0008273E"/>
    <w:rsid w:val="00082751"/>
    <w:rsid w:val="0008276E"/>
    <w:rsid w:val="0008278D"/>
    <w:rsid w:val="0008279A"/>
    <w:rsid w:val="00082802"/>
    <w:rsid w:val="0008283A"/>
    <w:rsid w:val="0008284D"/>
    <w:rsid w:val="000828B1"/>
    <w:rsid w:val="000828FF"/>
    <w:rsid w:val="00082905"/>
    <w:rsid w:val="0008290B"/>
    <w:rsid w:val="000829C0"/>
    <w:rsid w:val="000829FA"/>
    <w:rsid w:val="00082A26"/>
    <w:rsid w:val="00082A27"/>
    <w:rsid w:val="00082A75"/>
    <w:rsid w:val="00082B42"/>
    <w:rsid w:val="00082B45"/>
    <w:rsid w:val="00082B62"/>
    <w:rsid w:val="00082C07"/>
    <w:rsid w:val="00082C0C"/>
    <w:rsid w:val="00082C43"/>
    <w:rsid w:val="00082C7A"/>
    <w:rsid w:val="00082C82"/>
    <w:rsid w:val="00082CB8"/>
    <w:rsid w:val="00082D47"/>
    <w:rsid w:val="00082D53"/>
    <w:rsid w:val="00082D63"/>
    <w:rsid w:val="00082D69"/>
    <w:rsid w:val="00082D72"/>
    <w:rsid w:val="00082D9E"/>
    <w:rsid w:val="00082DDD"/>
    <w:rsid w:val="00082E6B"/>
    <w:rsid w:val="00082EE4"/>
    <w:rsid w:val="00083000"/>
    <w:rsid w:val="00083030"/>
    <w:rsid w:val="0008306B"/>
    <w:rsid w:val="00083095"/>
    <w:rsid w:val="000830BD"/>
    <w:rsid w:val="000830C1"/>
    <w:rsid w:val="000830EF"/>
    <w:rsid w:val="0008315B"/>
    <w:rsid w:val="00083178"/>
    <w:rsid w:val="000831D0"/>
    <w:rsid w:val="000832B7"/>
    <w:rsid w:val="000832C0"/>
    <w:rsid w:val="000832E1"/>
    <w:rsid w:val="000832E7"/>
    <w:rsid w:val="000832F6"/>
    <w:rsid w:val="00083341"/>
    <w:rsid w:val="000833BB"/>
    <w:rsid w:val="000833DD"/>
    <w:rsid w:val="000833E5"/>
    <w:rsid w:val="000833E9"/>
    <w:rsid w:val="000833FA"/>
    <w:rsid w:val="000833FB"/>
    <w:rsid w:val="00083422"/>
    <w:rsid w:val="0008347E"/>
    <w:rsid w:val="000834E2"/>
    <w:rsid w:val="00083509"/>
    <w:rsid w:val="00083617"/>
    <w:rsid w:val="00083667"/>
    <w:rsid w:val="000836E7"/>
    <w:rsid w:val="00083731"/>
    <w:rsid w:val="000837F9"/>
    <w:rsid w:val="0008380F"/>
    <w:rsid w:val="0008382A"/>
    <w:rsid w:val="0008383D"/>
    <w:rsid w:val="000838C2"/>
    <w:rsid w:val="000838E2"/>
    <w:rsid w:val="0008394B"/>
    <w:rsid w:val="00083957"/>
    <w:rsid w:val="000839D2"/>
    <w:rsid w:val="000839EB"/>
    <w:rsid w:val="000839F5"/>
    <w:rsid w:val="00083C90"/>
    <w:rsid w:val="00083CC8"/>
    <w:rsid w:val="00083CCD"/>
    <w:rsid w:val="00083CE4"/>
    <w:rsid w:val="00083DAF"/>
    <w:rsid w:val="00083DBB"/>
    <w:rsid w:val="00083E15"/>
    <w:rsid w:val="00083E28"/>
    <w:rsid w:val="00083F48"/>
    <w:rsid w:val="00083F8D"/>
    <w:rsid w:val="00083FA6"/>
    <w:rsid w:val="00083FBE"/>
    <w:rsid w:val="00083FC5"/>
    <w:rsid w:val="00083FD8"/>
    <w:rsid w:val="00083FE7"/>
    <w:rsid w:val="00084094"/>
    <w:rsid w:val="000840A7"/>
    <w:rsid w:val="000840E6"/>
    <w:rsid w:val="000840F0"/>
    <w:rsid w:val="00084109"/>
    <w:rsid w:val="0008410C"/>
    <w:rsid w:val="0008411A"/>
    <w:rsid w:val="0008411F"/>
    <w:rsid w:val="00084121"/>
    <w:rsid w:val="000841B0"/>
    <w:rsid w:val="000841F1"/>
    <w:rsid w:val="0008421D"/>
    <w:rsid w:val="00084224"/>
    <w:rsid w:val="00084263"/>
    <w:rsid w:val="00084292"/>
    <w:rsid w:val="000842A9"/>
    <w:rsid w:val="000842C7"/>
    <w:rsid w:val="000842D1"/>
    <w:rsid w:val="000842F7"/>
    <w:rsid w:val="000842FE"/>
    <w:rsid w:val="0008431B"/>
    <w:rsid w:val="0008433E"/>
    <w:rsid w:val="00084441"/>
    <w:rsid w:val="00084512"/>
    <w:rsid w:val="0008455F"/>
    <w:rsid w:val="000845CB"/>
    <w:rsid w:val="000845D6"/>
    <w:rsid w:val="00084768"/>
    <w:rsid w:val="00084781"/>
    <w:rsid w:val="000847A9"/>
    <w:rsid w:val="00084832"/>
    <w:rsid w:val="00084875"/>
    <w:rsid w:val="00084891"/>
    <w:rsid w:val="000848BD"/>
    <w:rsid w:val="00084921"/>
    <w:rsid w:val="00084951"/>
    <w:rsid w:val="00084997"/>
    <w:rsid w:val="000849C3"/>
    <w:rsid w:val="000849CF"/>
    <w:rsid w:val="000849E0"/>
    <w:rsid w:val="000849F3"/>
    <w:rsid w:val="00084A43"/>
    <w:rsid w:val="00084A45"/>
    <w:rsid w:val="00084A54"/>
    <w:rsid w:val="00084A99"/>
    <w:rsid w:val="00084AC8"/>
    <w:rsid w:val="00084B5E"/>
    <w:rsid w:val="00084B86"/>
    <w:rsid w:val="00084C0F"/>
    <w:rsid w:val="00084C9B"/>
    <w:rsid w:val="00084C9F"/>
    <w:rsid w:val="00084CA7"/>
    <w:rsid w:val="00084D58"/>
    <w:rsid w:val="00084D77"/>
    <w:rsid w:val="00084D8E"/>
    <w:rsid w:val="00084E47"/>
    <w:rsid w:val="00084EF4"/>
    <w:rsid w:val="00084F6F"/>
    <w:rsid w:val="00084FE0"/>
    <w:rsid w:val="00084FE3"/>
    <w:rsid w:val="00085048"/>
    <w:rsid w:val="000850ED"/>
    <w:rsid w:val="00085129"/>
    <w:rsid w:val="0008514B"/>
    <w:rsid w:val="000851B2"/>
    <w:rsid w:val="00085257"/>
    <w:rsid w:val="000852B3"/>
    <w:rsid w:val="000852B8"/>
    <w:rsid w:val="00085302"/>
    <w:rsid w:val="00085345"/>
    <w:rsid w:val="00085375"/>
    <w:rsid w:val="00085386"/>
    <w:rsid w:val="0008538C"/>
    <w:rsid w:val="000853F7"/>
    <w:rsid w:val="00085449"/>
    <w:rsid w:val="0008549E"/>
    <w:rsid w:val="000854AC"/>
    <w:rsid w:val="000854B0"/>
    <w:rsid w:val="000854BB"/>
    <w:rsid w:val="000854E3"/>
    <w:rsid w:val="000854F3"/>
    <w:rsid w:val="0008550A"/>
    <w:rsid w:val="00085550"/>
    <w:rsid w:val="000855B0"/>
    <w:rsid w:val="000855BB"/>
    <w:rsid w:val="000855C9"/>
    <w:rsid w:val="000855D0"/>
    <w:rsid w:val="00085627"/>
    <w:rsid w:val="0008562A"/>
    <w:rsid w:val="00085667"/>
    <w:rsid w:val="00085668"/>
    <w:rsid w:val="000856AF"/>
    <w:rsid w:val="000856DE"/>
    <w:rsid w:val="000856E5"/>
    <w:rsid w:val="000857E0"/>
    <w:rsid w:val="00085819"/>
    <w:rsid w:val="0008581B"/>
    <w:rsid w:val="0008588B"/>
    <w:rsid w:val="000858BE"/>
    <w:rsid w:val="0008592E"/>
    <w:rsid w:val="0008594C"/>
    <w:rsid w:val="000859C1"/>
    <w:rsid w:val="00085A06"/>
    <w:rsid w:val="00085A3A"/>
    <w:rsid w:val="00085AA6"/>
    <w:rsid w:val="00085B64"/>
    <w:rsid w:val="00085BA4"/>
    <w:rsid w:val="00085C12"/>
    <w:rsid w:val="00085C14"/>
    <w:rsid w:val="00085C60"/>
    <w:rsid w:val="00085CBC"/>
    <w:rsid w:val="00085D20"/>
    <w:rsid w:val="00085E3C"/>
    <w:rsid w:val="00085E3F"/>
    <w:rsid w:val="00085E56"/>
    <w:rsid w:val="00085E71"/>
    <w:rsid w:val="00085EAB"/>
    <w:rsid w:val="00085EAD"/>
    <w:rsid w:val="00085F04"/>
    <w:rsid w:val="00085FCD"/>
    <w:rsid w:val="00085FDF"/>
    <w:rsid w:val="00085FE8"/>
    <w:rsid w:val="00086017"/>
    <w:rsid w:val="00086052"/>
    <w:rsid w:val="00086053"/>
    <w:rsid w:val="000860DD"/>
    <w:rsid w:val="000860FC"/>
    <w:rsid w:val="000860FF"/>
    <w:rsid w:val="00086159"/>
    <w:rsid w:val="000861C6"/>
    <w:rsid w:val="000861D4"/>
    <w:rsid w:val="000861E8"/>
    <w:rsid w:val="00086202"/>
    <w:rsid w:val="0008620C"/>
    <w:rsid w:val="00086251"/>
    <w:rsid w:val="000862FC"/>
    <w:rsid w:val="00086369"/>
    <w:rsid w:val="0008639F"/>
    <w:rsid w:val="00086488"/>
    <w:rsid w:val="000864F2"/>
    <w:rsid w:val="0008655C"/>
    <w:rsid w:val="0008657C"/>
    <w:rsid w:val="00086595"/>
    <w:rsid w:val="000865ED"/>
    <w:rsid w:val="00086608"/>
    <w:rsid w:val="0008662E"/>
    <w:rsid w:val="0008667A"/>
    <w:rsid w:val="000867E8"/>
    <w:rsid w:val="00086933"/>
    <w:rsid w:val="0008694E"/>
    <w:rsid w:val="0008695B"/>
    <w:rsid w:val="000869A4"/>
    <w:rsid w:val="000869E4"/>
    <w:rsid w:val="000869FA"/>
    <w:rsid w:val="00086A05"/>
    <w:rsid w:val="00086A55"/>
    <w:rsid w:val="00086A6A"/>
    <w:rsid w:val="00086BD0"/>
    <w:rsid w:val="00086BFA"/>
    <w:rsid w:val="00086C7A"/>
    <w:rsid w:val="00086C7B"/>
    <w:rsid w:val="00086C9E"/>
    <w:rsid w:val="00086CDA"/>
    <w:rsid w:val="00086D19"/>
    <w:rsid w:val="00086D30"/>
    <w:rsid w:val="00086D39"/>
    <w:rsid w:val="00086D3A"/>
    <w:rsid w:val="00086D86"/>
    <w:rsid w:val="00086D9D"/>
    <w:rsid w:val="00086DC9"/>
    <w:rsid w:val="00086E16"/>
    <w:rsid w:val="00086EB0"/>
    <w:rsid w:val="00086ED4"/>
    <w:rsid w:val="00086EFE"/>
    <w:rsid w:val="00086F42"/>
    <w:rsid w:val="00086F46"/>
    <w:rsid w:val="00086F9C"/>
    <w:rsid w:val="00086F9D"/>
    <w:rsid w:val="0008702D"/>
    <w:rsid w:val="0008709F"/>
    <w:rsid w:val="000870F8"/>
    <w:rsid w:val="0008711C"/>
    <w:rsid w:val="0008712C"/>
    <w:rsid w:val="00087270"/>
    <w:rsid w:val="000872A2"/>
    <w:rsid w:val="000872EC"/>
    <w:rsid w:val="0008738D"/>
    <w:rsid w:val="00087391"/>
    <w:rsid w:val="000873EF"/>
    <w:rsid w:val="00087449"/>
    <w:rsid w:val="00087468"/>
    <w:rsid w:val="000874EC"/>
    <w:rsid w:val="00087519"/>
    <w:rsid w:val="0008759D"/>
    <w:rsid w:val="000875EA"/>
    <w:rsid w:val="00087608"/>
    <w:rsid w:val="0008766F"/>
    <w:rsid w:val="0008767A"/>
    <w:rsid w:val="000876E3"/>
    <w:rsid w:val="00087725"/>
    <w:rsid w:val="00087731"/>
    <w:rsid w:val="0008778C"/>
    <w:rsid w:val="000877A6"/>
    <w:rsid w:val="000877E8"/>
    <w:rsid w:val="0008782C"/>
    <w:rsid w:val="00087876"/>
    <w:rsid w:val="000878AD"/>
    <w:rsid w:val="00087953"/>
    <w:rsid w:val="0008798C"/>
    <w:rsid w:val="000879C8"/>
    <w:rsid w:val="000879D9"/>
    <w:rsid w:val="000879E5"/>
    <w:rsid w:val="00087A02"/>
    <w:rsid w:val="00087A51"/>
    <w:rsid w:val="00087A80"/>
    <w:rsid w:val="00087AD8"/>
    <w:rsid w:val="00087ADD"/>
    <w:rsid w:val="00087B20"/>
    <w:rsid w:val="00087BC7"/>
    <w:rsid w:val="00087C31"/>
    <w:rsid w:val="00087C3E"/>
    <w:rsid w:val="00087C7D"/>
    <w:rsid w:val="00087D34"/>
    <w:rsid w:val="00087DDC"/>
    <w:rsid w:val="00087E50"/>
    <w:rsid w:val="00087E6B"/>
    <w:rsid w:val="00087EE4"/>
    <w:rsid w:val="00087F13"/>
    <w:rsid w:val="00087F18"/>
    <w:rsid w:val="00087F32"/>
    <w:rsid w:val="00087F40"/>
    <w:rsid w:val="00087F63"/>
    <w:rsid w:val="00087FAF"/>
    <w:rsid w:val="0009004A"/>
    <w:rsid w:val="0009006E"/>
    <w:rsid w:val="00090091"/>
    <w:rsid w:val="00090103"/>
    <w:rsid w:val="00090149"/>
    <w:rsid w:val="0009017C"/>
    <w:rsid w:val="0009019F"/>
    <w:rsid w:val="000901F5"/>
    <w:rsid w:val="00090207"/>
    <w:rsid w:val="0009022C"/>
    <w:rsid w:val="00090230"/>
    <w:rsid w:val="0009023E"/>
    <w:rsid w:val="0009023F"/>
    <w:rsid w:val="0009024B"/>
    <w:rsid w:val="000902DB"/>
    <w:rsid w:val="0009034E"/>
    <w:rsid w:val="00090370"/>
    <w:rsid w:val="0009037E"/>
    <w:rsid w:val="00090446"/>
    <w:rsid w:val="0009044D"/>
    <w:rsid w:val="00090464"/>
    <w:rsid w:val="00090495"/>
    <w:rsid w:val="000904D3"/>
    <w:rsid w:val="000904E0"/>
    <w:rsid w:val="000904EF"/>
    <w:rsid w:val="0009063A"/>
    <w:rsid w:val="00090649"/>
    <w:rsid w:val="00090679"/>
    <w:rsid w:val="000906C7"/>
    <w:rsid w:val="000906F6"/>
    <w:rsid w:val="000907B9"/>
    <w:rsid w:val="00090870"/>
    <w:rsid w:val="00090885"/>
    <w:rsid w:val="0009089D"/>
    <w:rsid w:val="000908C7"/>
    <w:rsid w:val="00090902"/>
    <w:rsid w:val="0009098A"/>
    <w:rsid w:val="000909C1"/>
    <w:rsid w:val="000909DC"/>
    <w:rsid w:val="00090A35"/>
    <w:rsid w:val="00090A42"/>
    <w:rsid w:val="00090AF4"/>
    <w:rsid w:val="00090B1D"/>
    <w:rsid w:val="00090BE3"/>
    <w:rsid w:val="00090CD4"/>
    <w:rsid w:val="00090CFE"/>
    <w:rsid w:val="00090D06"/>
    <w:rsid w:val="00090D33"/>
    <w:rsid w:val="00090D3F"/>
    <w:rsid w:val="00090D8D"/>
    <w:rsid w:val="00090D9A"/>
    <w:rsid w:val="00090DBF"/>
    <w:rsid w:val="00090DF9"/>
    <w:rsid w:val="00090E0A"/>
    <w:rsid w:val="00090E53"/>
    <w:rsid w:val="00090E7B"/>
    <w:rsid w:val="00090E96"/>
    <w:rsid w:val="00090EB5"/>
    <w:rsid w:val="00090EFD"/>
    <w:rsid w:val="00090F3F"/>
    <w:rsid w:val="00090FD3"/>
    <w:rsid w:val="00090FE9"/>
    <w:rsid w:val="00091019"/>
    <w:rsid w:val="00091027"/>
    <w:rsid w:val="00091036"/>
    <w:rsid w:val="0009103B"/>
    <w:rsid w:val="000910E1"/>
    <w:rsid w:val="00091158"/>
    <w:rsid w:val="00091164"/>
    <w:rsid w:val="0009117B"/>
    <w:rsid w:val="00091231"/>
    <w:rsid w:val="000912B6"/>
    <w:rsid w:val="000912D9"/>
    <w:rsid w:val="000913F1"/>
    <w:rsid w:val="0009141C"/>
    <w:rsid w:val="0009144C"/>
    <w:rsid w:val="0009145B"/>
    <w:rsid w:val="00091473"/>
    <w:rsid w:val="00091476"/>
    <w:rsid w:val="000914EE"/>
    <w:rsid w:val="000914FD"/>
    <w:rsid w:val="00091513"/>
    <w:rsid w:val="00091516"/>
    <w:rsid w:val="0009155B"/>
    <w:rsid w:val="00091586"/>
    <w:rsid w:val="00091587"/>
    <w:rsid w:val="0009161B"/>
    <w:rsid w:val="0009166A"/>
    <w:rsid w:val="000916E4"/>
    <w:rsid w:val="00091711"/>
    <w:rsid w:val="00091712"/>
    <w:rsid w:val="00091752"/>
    <w:rsid w:val="00091772"/>
    <w:rsid w:val="0009180A"/>
    <w:rsid w:val="0009181D"/>
    <w:rsid w:val="00091841"/>
    <w:rsid w:val="000918B9"/>
    <w:rsid w:val="000918C6"/>
    <w:rsid w:val="00091900"/>
    <w:rsid w:val="0009197F"/>
    <w:rsid w:val="000919A0"/>
    <w:rsid w:val="000919AD"/>
    <w:rsid w:val="000919B1"/>
    <w:rsid w:val="000919D0"/>
    <w:rsid w:val="00091A03"/>
    <w:rsid w:val="00091A49"/>
    <w:rsid w:val="00091AE4"/>
    <w:rsid w:val="00091B09"/>
    <w:rsid w:val="00091B0A"/>
    <w:rsid w:val="00091B95"/>
    <w:rsid w:val="00091BB1"/>
    <w:rsid w:val="00091C1C"/>
    <w:rsid w:val="00091C34"/>
    <w:rsid w:val="00091C3A"/>
    <w:rsid w:val="00091C56"/>
    <w:rsid w:val="00091C7B"/>
    <w:rsid w:val="00091D2F"/>
    <w:rsid w:val="00091D6A"/>
    <w:rsid w:val="00091DDE"/>
    <w:rsid w:val="00091E1C"/>
    <w:rsid w:val="00091E40"/>
    <w:rsid w:val="00091E53"/>
    <w:rsid w:val="00091E97"/>
    <w:rsid w:val="00091E9C"/>
    <w:rsid w:val="00091F2C"/>
    <w:rsid w:val="00091F4C"/>
    <w:rsid w:val="00091FAA"/>
    <w:rsid w:val="00091FE0"/>
    <w:rsid w:val="0009200A"/>
    <w:rsid w:val="000920DE"/>
    <w:rsid w:val="00092194"/>
    <w:rsid w:val="000921A8"/>
    <w:rsid w:val="00092236"/>
    <w:rsid w:val="0009227C"/>
    <w:rsid w:val="00092331"/>
    <w:rsid w:val="000923A2"/>
    <w:rsid w:val="000923BF"/>
    <w:rsid w:val="0009240E"/>
    <w:rsid w:val="00092430"/>
    <w:rsid w:val="000924BC"/>
    <w:rsid w:val="000924E3"/>
    <w:rsid w:val="000925C5"/>
    <w:rsid w:val="000925DD"/>
    <w:rsid w:val="0009265D"/>
    <w:rsid w:val="000926BB"/>
    <w:rsid w:val="00092704"/>
    <w:rsid w:val="00092777"/>
    <w:rsid w:val="00092787"/>
    <w:rsid w:val="000927A8"/>
    <w:rsid w:val="000927C4"/>
    <w:rsid w:val="00092818"/>
    <w:rsid w:val="00092896"/>
    <w:rsid w:val="000928E2"/>
    <w:rsid w:val="00092924"/>
    <w:rsid w:val="0009292B"/>
    <w:rsid w:val="00092955"/>
    <w:rsid w:val="000929D9"/>
    <w:rsid w:val="00092A24"/>
    <w:rsid w:val="00092A28"/>
    <w:rsid w:val="00092AEC"/>
    <w:rsid w:val="00092B46"/>
    <w:rsid w:val="00092B83"/>
    <w:rsid w:val="00092C44"/>
    <w:rsid w:val="00092CD1"/>
    <w:rsid w:val="00092D5B"/>
    <w:rsid w:val="00092D9B"/>
    <w:rsid w:val="00092D9F"/>
    <w:rsid w:val="00092DB4"/>
    <w:rsid w:val="00092DB7"/>
    <w:rsid w:val="00092E06"/>
    <w:rsid w:val="00092E2B"/>
    <w:rsid w:val="00092E70"/>
    <w:rsid w:val="00092ED0"/>
    <w:rsid w:val="00092EFD"/>
    <w:rsid w:val="00092F26"/>
    <w:rsid w:val="00092F37"/>
    <w:rsid w:val="00092F51"/>
    <w:rsid w:val="00092F5B"/>
    <w:rsid w:val="00092F69"/>
    <w:rsid w:val="00092F98"/>
    <w:rsid w:val="00092FF9"/>
    <w:rsid w:val="00093037"/>
    <w:rsid w:val="0009303C"/>
    <w:rsid w:val="0009305C"/>
    <w:rsid w:val="0009305D"/>
    <w:rsid w:val="000930B5"/>
    <w:rsid w:val="0009312D"/>
    <w:rsid w:val="00093141"/>
    <w:rsid w:val="0009314F"/>
    <w:rsid w:val="000931DF"/>
    <w:rsid w:val="000931FA"/>
    <w:rsid w:val="00093232"/>
    <w:rsid w:val="00093247"/>
    <w:rsid w:val="0009324F"/>
    <w:rsid w:val="00093288"/>
    <w:rsid w:val="000932D6"/>
    <w:rsid w:val="00093356"/>
    <w:rsid w:val="000933C7"/>
    <w:rsid w:val="000934A5"/>
    <w:rsid w:val="0009352A"/>
    <w:rsid w:val="00093536"/>
    <w:rsid w:val="00093574"/>
    <w:rsid w:val="0009358C"/>
    <w:rsid w:val="000935B5"/>
    <w:rsid w:val="000935BD"/>
    <w:rsid w:val="000935EC"/>
    <w:rsid w:val="000935EF"/>
    <w:rsid w:val="00093664"/>
    <w:rsid w:val="00093677"/>
    <w:rsid w:val="00093709"/>
    <w:rsid w:val="00093713"/>
    <w:rsid w:val="0009372A"/>
    <w:rsid w:val="00093740"/>
    <w:rsid w:val="00093757"/>
    <w:rsid w:val="0009375E"/>
    <w:rsid w:val="0009375F"/>
    <w:rsid w:val="00093769"/>
    <w:rsid w:val="000937B2"/>
    <w:rsid w:val="00093812"/>
    <w:rsid w:val="0009383B"/>
    <w:rsid w:val="00093852"/>
    <w:rsid w:val="000938BF"/>
    <w:rsid w:val="000938F0"/>
    <w:rsid w:val="00093915"/>
    <w:rsid w:val="00093978"/>
    <w:rsid w:val="00093991"/>
    <w:rsid w:val="00093997"/>
    <w:rsid w:val="000939B6"/>
    <w:rsid w:val="000939BB"/>
    <w:rsid w:val="000939C2"/>
    <w:rsid w:val="00093A18"/>
    <w:rsid w:val="00093A75"/>
    <w:rsid w:val="00093A86"/>
    <w:rsid w:val="00093BF2"/>
    <w:rsid w:val="00093C20"/>
    <w:rsid w:val="00093C9C"/>
    <w:rsid w:val="00093CE7"/>
    <w:rsid w:val="00093CF1"/>
    <w:rsid w:val="00093D3E"/>
    <w:rsid w:val="00093D42"/>
    <w:rsid w:val="00093D6F"/>
    <w:rsid w:val="00093D8B"/>
    <w:rsid w:val="00093DB5"/>
    <w:rsid w:val="00093E15"/>
    <w:rsid w:val="00093EC8"/>
    <w:rsid w:val="00093ECB"/>
    <w:rsid w:val="00093EE0"/>
    <w:rsid w:val="00093EE7"/>
    <w:rsid w:val="00093FA7"/>
    <w:rsid w:val="00093FDD"/>
    <w:rsid w:val="000940F5"/>
    <w:rsid w:val="00094126"/>
    <w:rsid w:val="0009412E"/>
    <w:rsid w:val="000941E4"/>
    <w:rsid w:val="00094243"/>
    <w:rsid w:val="00094246"/>
    <w:rsid w:val="00094292"/>
    <w:rsid w:val="000942AE"/>
    <w:rsid w:val="000942B3"/>
    <w:rsid w:val="00094309"/>
    <w:rsid w:val="0009435F"/>
    <w:rsid w:val="00094377"/>
    <w:rsid w:val="0009441A"/>
    <w:rsid w:val="0009442E"/>
    <w:rsid w:val="0009449A"/>
    <w:rsid w:val="0009451A"/>
    <w:rsid w:val="000945C5"/>
    <w:rsid w:val="000945E4"/>
    <w:rsid w:val="000945E6"/>
    <w:rsid w:val="000946D7"/>
    <w:rsid w:val="0009470B"/>
    <w:rsid w:val="000947A3"/>
    <w:rsid w:val="000948C3"/>
    <w:rsid w:val="00094946"/>
    <w:rsid w:val="0009496C"/>
    <w:rsid w:val="0009499A"/>
    <w:rsid w:val="000949B2"/>
    <w:rsid w:val="000949F3"/>
    <w:rsid w:val="00094A13"/>
    <w:rsid w:val="00094A27"/>
    <w:rsid w:val="00094A39"/>
    <w:rsid w:val="00094A47"/>
    <w:rsid w:val="00094A58"/>
    <w:rsid w:val="00094AC4"/>
    <w:rsid w:val="00094B11"/>
    <w:rsid w:val="00094B46"/>
    <w:rsid w:val="00094B54"/>
    <w:rsid w:val="00094B7F"/>
    <w:rsid w:val="00094BD1"/>
    <w:rsid w:val="00094CB0"/>
    <w:rsid w:val="00094CBD"/>
    <w:rsid w:val="00094CBF"/>
    <w:rsid w:val="00094CEF"/>
    <w:rsid w:val="00094CF6"/>
    <w:rsid w:val="00094E03"/>
    <w:rsid w:val="00094E45"/>
    <w:rsid w:val="00094EB7"/>
    <w:rsid w:val="00094EEB"/>
    <w:rsid w:val="00094F72"/>
    <w:rsid w:val="00094FC8"/>
    <w:rsid w:val="0009501D"/>
    <w:rsid w:val="00095045"/>
    <w:rsid w:val="000950C0"/>
    <w:rsid w:val="000950F7"/>
    <w:rsid w:val="0009511C"/>
    <w:rsid w:val="00095142"/>
    <w:rsid w:val="000951C3"/>
    <w:rsid w:val="0009521A"/>
    <w:rsid w:val="0009530D"/>
    <w:rsid w:val="0009531A"/>
    <w:rsid w:val="0009531C"/>
    <w:rsid w:val="00095333"/>
    <w:rsid w:val="0009535C"/>
    <w:rsid w:val="00095437"/>
    <w:rsid w:val="0009544D"/>
    <w:rsid w:val="000954D7"/>
    <w:rsid w:val="000954F3"/>
    <w:rsid w:val="0009552A"/>
    <w:rsid w:val="00095551"/>
    <w:rsid w:val="0009563F"/>
    <w:rsid w:val="000956FB"/>
    <w:rsid w:val="0009571D"/>
    <w:rsid w:val="0009574F"/>
    <w:rsid w:val="000957F5"/>
    <w:rsid w:val="0009581C"/>
    <w:rsid w:val="00095846"/>
    <w:rsid w:val="00095873"/>
    <w:rsid w:val="000958B3"/>
    <w:rsid w:val="000958BC"/>
    <w:rsid w:val="000958C2"/>
    <w:rsid w:val="000958D8"/>
    <w:rsid w:val="0009596B"/>
    <w:rsid w:val="00095981"/>
    <w:rsid w:val="000959D0"/>
    <w:rsid w:val="000959D7"/>
    <w:rsid w:val="000959F8"/>
    <w:rsid w:val="00095A0B"/>
    <w:rsid w:val="00095AE9"/>
    <w:rsid w:val="00095B17"/>
    <w:rsid w:val="00095B1F"/>
    <w:rsid w:val="00095BD2"/>
    <w:rsid w:val="00095C21"/>
    <w:rsid w:val="00095C2A"/>
    <w:rsid w:val="00095CC7"/>
    <w:rsid w:val="00095CEF"/>
    <w:rsid w:val="00095CFF"/>
    <w:rsid w:val="00095D0D"/>
    <w:rsid w:val="00095D30"/>
    <w:rsid w:val="00095D37"/>
    <w:rsid w:val="00095D55"/>
    <w:rsid w:val="00095D5F"/>
    <w:rsid w:val="00095D88"/>
    <w:rsid w:val="00095E80"/>
    <w:rsid w:val="00095EE5"/>
    <w:rsid w:val="00095EEF"/>
    <w:rsid w:val="00095F3D"/>
    <w:rsid w:val="00095FCC"/>
    <w:rsid w:val="00095FFF"/>
    <w:rsid w:val="00096034"/>
    <w:rsid w:val="0009604E"/>
    <w:rsid w:val="000960CB"/>
    <w:rsid w:val="000960EB"/>
    <w:rsid w:val="000960F2"/>
    <w:rsid w:val="000960FC"/>
    <w:rsid w:val="00096101"/>
    <w:rsid w:val="0009613F"/>
    <w:rsid w:val="00096158"/>
    <w:rsid w:val="000961B2"/>
    <w:rsid w:val="00096231"/>
    <w:rsid w:val="000962B0"/>
    <w:rsid w:val="000962D4"/>
    <w:rsid w:val="000962D8"/>
    <w:rsid w:val="00096358"/>
    <w:rsid w:val="00096362"/>
    <w:rsid w:val="00096364"/>
    <w:rsid w:val="00096430"/>
    <w:rsid w:val="000964A7"/>
    <w:rsid w:val="000964AB"/>
    <w:rsid w:val="00096530"/>
    <w:rsid w:val="00096533"/>
    <w:rsid w:val="00096556"/>
    <w:rsid w:val="0009659C"/>
    <w:rsid w:val="0009660F"/>
    <w:rsid w:val="00096645"/>
    <w:rsid w:val="00096647"/>
    <w:rsid w:val="0009665B"/>
    <w:rsid w:val="00096677"/>
    <w:rsid w:val="00096681"/>
    <w:rsid w:val="00096696"/>
    <w:rsid w:val="000966EC"/>
    <w:rsid w:val="000967D0"/>
    <w:rsid w:val="00096841"/>
    <w:rsid w:val="00096852"/>
    <w:rsid w:val="0009691F"/>
    <w:rsid w:val="00096934"/>
    <w:rsid w:val="000969B2"/>
    <w:rsid w:val="000969B3"/>
    <w:rsid w:val="00096A00"/>
    <w:rsid w:val="00096A3A"/>
    <w:rsid w:val="00096A55"/>
    <w:rsid w:val="00096AB7"/>
    <w:rsid w:val="00096B1A"/>
    <w:rsid w:val="00096B34"/>
    <w:rsid w:val="00096B86"/>
    <w:rsid w:val="00096C67"/>
    <w:rsid w:val="00096C87"/>
    <w:rsid w:val="00096CEF"/>
    <w:rsid w:val="00096D08"/>
    <w:rsid w:val="00096D54"/>
    <w:rsid w:val="00096D9B"/>
    <w:rsid w:val="00096DA5"/>
    <w:rsid w:val="00096DDB"/>
    <w:rsid w:val="00096EBE"/>
    <w:rsid w:val="00096F18"/>
    <w:rsid w:val="00096F67"/>
    <w:rsid w:val="00096FA7"/>
    <w:rsid w:val="00096FCD"/>
    <w:rsid w:val="00096FE8"/>
    <w:rsid w:val="0009703B"/>
    <w:rsid w:val="0009706C"/>
    <w:rsid w:val="0009707D"/>
    <w:rsid w:val="00097091"/>
    <w:rsid w:val="000970B5"/>
    <w:rsid w:val="000970E0"/>
    <w:rsid w:val="00097114"/>
    <w:rsid w:val="0009716C"/>
    <w:rsid w:val="00097175"/>
    <w:rsid w:val="00097188"/>
    <w:rsid w:val="000971CE"/>
    <w:rsid w:val="000971D5"/>
    <w:rsid w:val="000971D7"/>
    <w:rsid w:val="000971E3"/>
    <w:rsid w:val="00097218"/>
    <w:rsid w:val="0009721E"/>
    <w:rsid w:val="0009724C"/>
    <w:rsid w:val="0009727E"/>
    <w:rsid w:val="000972E6"/>
    <w:rsid w:val="0009732B"/>
    <w:rsid w:val="000973BC"/>
    <w:rsid w:val="000973D2"/>
    <w:rsid w:val="00097407"/>
    <w:rsid w:val="0009745B"/>
    <w:rsid w:val="00097485"/>
    <w:rsid w:val="000974AD"/>
    <w:rsid w:val="000974B8"/>
    <w:rsid w:val="000974D6"/>
    <w:rsid w:val="0009751F"/>
    <w:rsid w:val="00097620"/>
    <w:rsid w:val="00097622"/>
    <w:rsid w:val="00097640"/>
    <w:rsid w:val="00097695"/>
    <w:rsid w:val="000976AE"/>
    <w:rsid w:val="0009775F"/>
    <w:rsid w:val="00097766"/>
    <w:rsid w:val="00097854"/>
    <w:rsid w:val="00097887"/>
    <w:rsid w:val="0009788E"/>
    <w:rsid w:val="000978A2"/>
    <w:rsid w:val="000978B0"/>
    <w:rsid w:val="000978ED"/>
    <w:rsid w:val="000978F0"/>
    <w:rsid w:val="0009791D"/>
    <w:rsid w:val="00097931"/>
    <w:rsid w:val="00097932"/>
    <w:rsid w:val="00097934"/>
    <w:rsid w:val="00097955"/>
    <w:rsid w:val="000979AA"/>
    <w:rsid w:val="000979AE"/>
    <w:rsid w:val="000979E3"/>
    <w:rsid w:val="000979ED"/>
    <w:rsid w:val="000979FA"/>
    <w:rsid w:val="00097A8F"/>
    <w:rsid w:val="00097ABF"/>
    <w:rsid w:val="00097AE9"/>
    <w:rsid w:val="00097B04"/>
    <w:rsid w:val="00097B52"/>
    <w:rsid w:val="00097B90"/>
    <w:rsid w:val="00097B91"/>
    <w:rsid w:val="00097BB6"/>
    <w:rsid w:val="00097BB8"/>
    <w:rsid w:val="00097BBC"/>
    <w:rsid w:val="00097C03"/>
    <w:rsid w:val="00097C77"/>
    <w:rsid w:val="00097C9E"/>
    <w:rsid w:val="00097E1A"/>
    <w:rsid w:val="00097E32"/>
    <w:rsid w:val="00097E34"/>
    <w:rsid w:val="00097E43"/>
    <w:rsid w:val="00097EB7"/>
    <w:rsid w:val="00097ECC"/>
    <w:rsid w:val="00097ED3"/>
    <w:rsid w:val="00097F25"/>
    <w:rsid w:val="00097F6E"/>
    <w:rsid w:val="00097F8F"/>
    <w:rsid w:val="000A003E"/>
    <w:rsid w:val="000A00A9"/>
    <w:rsid w:val="000A0137"/>
    <w:rsid w:val="000A01A4"/>
    <w:rsid w:val="000A0258"/>
    <w:rsid w:val="000A0294"/>
    <w:rsid w:val="000A031A"/>
    <w:rsid w:val="000A0336"/>
    <w:rsid w:val="000A037B"/>
    <w:rsid w:val="000A037F"/>
    <w:rsid w:val="000A03E4"/>
    <w:rsid w:val="000A03F4"/>
    <w:rsid w:val="000A0411"/>
    <w:rsid w:val="000A0423"/>
    <w:rsid w:val="000A0455"/>
    <w:rsid w:val="000A045F"/>
    <w:rsid w:val="000A0620"/>
    <w:rsid w:val="000A0623"/>
    <w:rsid w:val="000A0626"/>
    <w:rsid w:val="000A065F"/>
    <w:rsid w:val="000A06A6"/>
    <w:rsid w:val="000A06B7"/>
    <w:rsid w:val="000A06FE"/>
    <w:rsid w:val="000A0753"/>
    <w:rsid w:val="000A081E"/>
    <w:rsid w:val="000A082A"/>
    <w:rsid w:val="000A09B7"/>
    <w:rsid w:val="000A09CE"/>
    <w:rsid w:val="000A0A40"/>
    <w:rsid w:val="000A0A76"/>
    <w:rsid w:val="000A0B70"/>
    <w:rsid w:val="000A0B79"/>
    <w:rsid w:val="000A0BDA"/>
    <w:rsid w:val="000A0CB7"/>
    <w:rsid w:val="000A0D10"/>
    <w:rsid w:val="000A0D74"/>
    <w:rsid w:val="000A0DB8"/>
    <w:rsid w:val="000A0E69"/>
    <w:rsid w:val="000A0EEB"/>
    <w:rsid w:val="000A0F71"/>
    <w:rsid w:val="000A0FA3"/>
    <w:rsid w:val="000A0FCC"/>
    <w:rsid w:val="000A0FCE"/>
    <w:rsid w:val="000A109E"/>
    <w:rsid w:val="000A10B0"/>
    <w:rsid w:val="000A10C6"/>
    <w:rsid w:val="000A10F8"/>
    <w:rsid w:val="000A110D"/>
    <w:rsid w:val="000A11C1"/>
    <w:rsid w:val="000A11CC"/>
    <w:rsid w:val="000A124E"/>
    <w:rsid w:val="000A1268"/>
    <w:rsid w:val="000A12F1"/>
    <w:rsid w:val="000A1393"/>
    <w:rsid w:val="000A13B6"/>
    <w:rsid w:val="000A141C"/>
    <w:rsid w:val="000A1433"/>
    <w:rsid w:val="000A14B3"/>
    <w:rsid w:val="000A14D4"/>
    <w:rsid w:val="000A1519"/>
    <w:rsid w:val="000A1524"/>
    <w:rsid w:val="000A153E"/>
    <w:rsid w:val="000A1607"/>
    <w:rsid w:val="000A1614"/>
    <w:rsid w:val="000A16B7"/>
    <w:rsid w:val="000A1751"/>
    <w:rsid w:val="000A1800"/>
    <w:rsid w:val="000A1826"/>
    <w:rsid w:val="000A182C"/>
    <w:rsid w:val="000A1845"/>
    <w:rsid w:val="000A1873"/>
    <w:rsid w:val="000A18BE"/>
    <w:rsid w:val="000A1947"/>
    <w:rsid w:val="000A19CB"/>
    <w:rsid w:val="000A19DC"/>
    <w:rsid w:val="000A1A70"/>
    <w:rsid w:val="000A1AFF"/>
    <w:rsid w:val="000A1B34"/>
    <w:rsid w:val="000A1BCF"/>
    <w:rsid w:val="000A1C29"/>
    <w:rsid w:val="000A1C8F"/>
    <w:rsid w:val="000A1CA3"/>
    <w:rsid w:val="000A1D10"/>
    <w:rsid w:val="000A1D2C"/>
    <w:rsid w:val="000A1DC9"/>
    <w:rsid w:val="000A1EFC"/>
    <w:rsid w:val="000A1F82"/>
    <w:rsid w:val="000A1F84"/>
    <w:rsid w:val="000A1FA2"/>
    <w:rsid w:val="000A1FE0"/>
    <w:rsid w:val="000A200E"/>
    <w:rsid w:val="000A205A"/>
    <w:rsid w:val="000A209D"/>
    <w:rsid w:val="000A20E2"/>
    <w:rsid w:val="000A2154"/>
    <w:rsid w:val="000A2158"/>
    <w:rsid w:val="000A2193"/>
    <w:rsid w:val="000A21A5"/>
    <w:rsid w:val="000A222B"/>
    <w:rsid w:val="000A2242"/>
    <w:rsid w:val="000A224B"/>
    <w:rsid w:val="000A2256"/>
    <w:rsid w:val="000A22BE"/>
    <w:rsid w:val="000A233A"/>
    <w:rsid w:val="000A234A"/>
    <w:rsid w:val="000A2506"/>
    <w:rsid w:val="000A250A"/>
    <w:rsid w:val="000A252B"/>
    <w:rsid w:val="000A2555"/>
    <w:rsid w:val="000A25BF"/>
    <w:rsid w:val="000A262D"/>
    <w:rsid w:val="000A2689"/>
    <w:rsid w:val="000A269F"/>
    <w:rsid w:val="000A26B1"/>
    <w:rsid w:val="000A26D7"/>
    <w:rsid w:val="000A278D"/>
    <w:rsid w:val="000A27B7"/>
    <w:rsid w:val="000A28C6"/>
    <w:rsid w:val="000A28CD"/>
    <w:rsid w:val="000A28F0"/>
    <w:rsid w:val="000A29BD"/>
    <w:rsid w:val="000A29C6"/>
    <w:rsid w:val="000A29EA"/>
    <w:rsid w:val="000A29FB"/>
    <w:rsid w:val="000A2A4D"/>
    <w:rsid w:val="000A2A7C"/>
    <w:rsid w:val="000A2A9F"/>
    <w:rsid w:val="000A2AE7"/>
    <w:rsid w:val="000A2B1D"/>
    <w:rsid w:val="000A2B4A"/>
    <w:rsid w:val="000A2B8F"/>
    <w:rsid w:val="000A2BC6"/>
    <w:rsid w:val="000A2C46"/>
    <w:rsid w:val="000A2C54"/>
    <w:rsid w:val="000A2CAF"/>
    <w:rsid w:val="000A2CDE"/>
    <w:rsid w:val="000A2D11"/>
    <w:rsid w:val="000A2D27"/>
    <w:rsid w:val="000A2D2B"/>
    <w:rsid w:val="000A2D99"/>
    <w:rsid w:val="000A2DB4"/>
    <w:rsid w:val="000A2DE0"/>
    <w:rsid w:val="000A2DE6"/>
    <w:rsid w:val="000A2EAB"/>
    <w:rsid w:val="000A2F2F"/>
    <w:rsid w:val="000A2F3C"/>
    <w:rsid w:val="000A2FD9"/>
    <w:rsid w:val="000A2FE8"/>
    <w:rsid w:val="000A2FFC"/>
    <w:rsid w:val="000A3036"/>
    <w:rsid w:val="000A309A"/>
    <w:rsid w:val="000A30F4"/>
    <w:rsid w:val="000A3125"/>
    <w:rsid w:val="000A319F"/>
    <w:rsid w:val="000A31B0"/>
    <w:rsid w:val="000A31BC"/>
    <w:rsid w:val="000A3221"/>
    <w:rsid w:val="000A3225"/>
    <w:rsid w:val="000A3396"/>
    <w:rsid w:val="000A33B7"/>
    <w:rsid w:val="000A33E7"/>
    <w:rsid w:val="000A3402"/>
    <w:rsid w:val="000A3429"/>
    <w:rsid w:val="000A3504"/>
    <w:rsid w:val="000A3553"/>
    <w:rsid w:val="000A3578"/>
    <w:rsid w:val="000A35A9"/>
    <w:rsid w:val="000A3635"/>
    <w:rsid w:val="000A3662"/>
    <w:rsid w:val="000A36E4"/>
    <w:rsid w:val="000A36ED"/>
    <w:rsid w:val="000A3784"/>
    <w:rsid w:val="000A37E3"/>
    <w:rsid w:val="000A3840"/>
    <w:rsid w:val="000A3872"/>
    <w:rsid w:val="000A3891"/>
    <w:rsid w:val="000A38C0"/>
    <w:rsid w:val="000A39E6"/>
    <w:rsid w:val="000A39FD"/>
    <w:rsid w:val="000A3A4D"/>
    <w:rsid w:val="000A3A57"/>
    <w:rsid w:val="000A3A84"/>
    <w:rsid w:val="000A3A8F"/>
    <w:rsid w:val="000A3ACD"/>
    <w:rsid w:val="000A3B78"/>
    <w:rsid w:val="000A3BE2"/>
    <w:rsid w:val="000A3BE6"/>
    <w:rsid w:val="000A3C1B"/>
    <w:rsid w:val="000A3C42"/>
    <w:rsid w:val="000A3C6A"/>
    <w:rsid w:val="000A3C97"/>
    <w:rsid w:val="000A3CEB"/>
    <w:rsid w:val="000A3D30"/>
    <w:rsid w:val="000A3E6E"/>
    <w:rsid w:val="000A3E8D"/>
    <w:rsid w:val="000A3F04"/>
    <w:rsid w:val="000A3F5F"/>
    <w:rsid w:val="000A3F74"/>
    <w:rsid w:val="000A3F7C"/>
    <w:rsid w:val="000A3F96"/>
    <w:rsid w:val="000A3F9A"/>
    <w:rsid w:val="000A3FC4"/>
    <w:rsid w:val="000A401C"/>
    <w:rsid w:val="000A402F"/>
    <w:rsid w:val="000A4058"/>
    <w:rsid w:val="000A422E"/>
    <w:rsid w:val="000A4278"/>
    <w:rsid w:val="000A427E"/>
    <w:rsid w:val="000A4280"/>
    <w:rsid w:val="000A429B"/>
    <w:rsid w:val="000A4331"/>
    <w:rsid w:val="000A43A0"/>
    <w:rsid w:val="000A43C2"/>
    <w:rsid w:val="000A43CA"/>
    <w:rsid w:val="000A441B"/>
    <w:rsid w:val="000A442E"/>
    <w:rsid w:val="000A44B8"/>
    <w:rsid w:val="000A4545"/>
    <w:rsid w:val="000A457C"/>
    <w:rsid w:val="000A45D2"/>
    <w:rsid w:val="000A45DA"/>
    <w:rsid w:val="000A45DE"/>
    <w:rsid w:val="000A4634"/>
    <w:rsid w:val="000A4640"/>
    <w:rsid w:val="000A464F"/>
    <w:rsid w:val="000A4651"/>
    <w:rsid w:val="000A46ED"/>
    <w:rsid w:val="000A4714"/>
    <w:rsid w:val="000A4722"/>
    <w:rsid w:val="000A47A6"/>
    <w:rsid w:val="000A484E"/>
    <w:rsid w:val="000A48B3"/>
    <w:rsid w:val="000A48CF"/>
    <w:rsid w:val="000A4931"/>
    <w:rsid w:val="000A4975"/>
    <w:rsid w:val="000A49BC"/>
    <w:rsid w:val="000A49E0"/>
    <w:rsid w:val="000A4A21"/>
    <w:rsid w:val="000A4A9F"/>
    <w:rsid w:val="000A4ABC"/>
    <w:rsid w:val="000A4AE8"/>
    <w:rsid w:val="000A4B0E"/>
    <w:rsid w:val="000A4B18"/>
    <w:rsid w:val="000A4B4D"/>
    <w:rsid w:val="000A4B61"/>
    <w:rsid w:val="000A4BE0"/>
    <w:rsid w:val="000A4C53"/>
    <w:rsid w:val="000A4C73"/>
    <w:rsid w:val="000A4CB4"/>
    <w:rsid w:val="000A4D74"/>
    <w:rsid w:val="000A4DA9"/>
    <w:rsid w:val="000A4DAB"/>
    <w:rsid w:val="000A4DE6"/>
    <w:rsid w:val="000A4E05"/>
    <w:rsid w:val="000A4E17"/>
    <w:rsid w:val="000A4E38"/>
    <w:rsid w:val="000A4E5A"/>
    <w:rsid w:val="000A4E75"/>
    <w:rsid w:val="000A4EC8"/>
    <w:rsid w:val="000A4EE6"/>
    <w:rsid w:val="000A4EEB"/>
    <w:rsid w:val="000A4F1B"/>
    <w:rsid w:val="000A4F29"/>
    <w:rsid w:val="000A4F79"/>
    <w:rsid w:val="000A4F87"/>
    <w:rsid w:val="000A5050"/>
    <w:rsid w:val="000A507A"/>
    <w:rsid w:val="000A5110"/>
    <w:rsid w:val="000A5143"/>
    <w:rsid w:val="000A5144"/>
    <w:rsid w:val="000A517B"/>
    <w:rsid w:val="000A5284"/>
    <w:rsid w:val="000A5376"/>
    <w:rsid w:val="000A53A7"/>
    <w:rsid w:val="000A53B1"/>
    <w:rsid w:val="000A53BA"/>
    <w:rsid w:val="000A53C6"/>
    <w:rsid w:val="000A5463"/>
    <w:rsid w:val="000A5516"/>
    <w:rsid w:val="000A560E"/>
    <w:rsid w:val="000A5636"/>
    <w:rsid w:val="000A5718"/>
    <w:rsid w:val="000A575F"/>
    <w:rsid w:val="000A576E"/>
    <w:rsid w:val="000A57B1"/>
    <w:rsid w:val="000A581D"/>
    <w:rsid w:val="000A584A"/>
    <w:rsid w:val="000A5866"/>
    <w:rsid w:val="000A5875"/>
    <w:rsid w:val="000A5904"/>
    <w:rsid w:val="000A592D"/>
    <w:rsid w:val="000A593E"/>
    <w:rsid w:val="000A5945"/>
    <w:rsid w:val="000A596B"/>
    <w:rsid w:val="000A5975"/>
    <w:rsid w:val="000A599C"/>
    <w:rsid w:val="000A59D5"/>
    <w:rsid w:val="000A5A14"/>
    <w:rsid w:val="000A5AFE"/>
    <w:rsid w:val="000A5B03"/>
    <w:rsid w:val="000A5B9C"/>
    <w:rsid w:val="000A5BD2"/>
    <w:rsid w:val="000A5C5D"/>
    <w:rsid w:val="000A5C6A"/>
    <w:rsid w:val="000A5C9F"/>
    <w:rsid w:val="000A5CF0"/>
    <w:rsid w:val="000A5CF8"/>
    <w:rsid w:val="000A5D3E"/>
    <w:rsid w:val="000A5D43"/>
    <w:rsid w:val="000A5D4F"/>
    <w:rsid w:val="000A5D99"/>
    <w:rsid w:val="000A5DD5"/>
    <w:rsid w:val="000A5EE6"/>
    <w:rsid w:val="000A5F95"/>
    <w:rsid w:val="000A5FC4"/>
    <w:rsid w:val="000A6001"/>
    <w:rsid w:val="000A603B"/>
    <w:rsid w:val="000A605D"/>
    <w:rsid w:val="000A60C5"/>
    <w:rsid w:val="000A60E8"/>
    <w:rsid w:val="000A60EA"/>
    <w:rsid w:val="000A60FB"/>
    <w:rsid w:val="000A6117"/>
    <w:rsid w:val="000A61F4"/>
    <w:rsid w:val="000A6299"/>
    <w:rsid w:val="000A62C3"/>
    <w:rsid w:val="000A63F6"/>
    <w:rsid w:val="000A6440"/>
    <w:rsid w:val="000A6450"/>
    <w:rsid w:val="000A6456"/>
    <w:rsid w:val="000A64A1"/>
    <w:rsid w:val="000A64B7"/>
    <w:rsid w:val="000A6536"/>
    <w:rsid w:val="000A662D"/>
    <w:rsid w:val="000A6652"/>
    <w:rsid w:val="000A667E"/>
    <w:rsid w:val="000A66A3"/>
    <w:rsid w:val="000A66B5"/>
    <w:rsid w:val="000A67CB"/>
    <w:rsid w:val="000A6860"/>
    <w:rsid w:val="000A68AD"/>
    <w:rsid w:val="000A68D0"/>
    <w:rsid w:val="000A6956"/>
    <w:rsid w:val="000A695A"/>
    <w:rsid w:val="000A6984"/>
    <w:rsid w:val="000A69A2"/>
    <w:rsid w:val="000A69B4"/>
    <w:rsid w:val="000A69BA"/>
    <w:rsid w:val="000A69C1"/>
    <w:rsid w:val="000A69CB"/>
    <w:rsid w:val="000A69D4"/>
    <w:rsid w:val="000A69F9"/>
    <w:rsid w:val="000A6A87"/>
    <w:rsid w:val="000A6AFD"/>
    <w:rsid w:val="000A6B3F"/>
    <w:rsid w:val="000A6B85"/>
    <w:rsid w:val="000A6B8F"/>
    <w:rsid w:val="000A6BB7"/>
    <w:rsid w:val="000A6BD4"/>
    <w:rsid w:val="000A6C3A"/>
    <w:rsid w:val="000A6CE8"/>
    <w:rsid w:val="000A6D0C"/>
    <w:rsid w:val="000A6D98"/>
    <w:rsid w:val="000A6DAD"/>
    <w:rsid w:val="000A6DC2"/>
    <w:rsid w:val="000A6EAD"/>
    <w:rsid w:val="000A6F6F"/>
    <w:rsid w:val="000A6FBD"/>
    <w:rsid w:val="000A70A4"/>
    <w:rsid w:val="000A70F1"/>
    <w:rsid w:val="000A70FC"/>
    <w:rsid w:val="000A70FF"/>
    <w:rsid w:val="000A7103"/>
    <w:rsid w:val="000A7107"/>
    <w:rsid w:val="000A7190"/>
    <w:rsid w:val="000A71E5"/>
    <w:rsid w:val="000A721A"/>
    <w:rsid w:val="000A721C"/>
    <w:rsid w:val="000A7253"/>
    <w:rsid w:val="000A7287"/>
    <w:rsid w:val="000A72C3"/>
    <w:rsid w:val="000A7309"/>
    <w:rsid w:val="000A730C"/>
    <w:rsid w:val="000A7334"/>
    <w:rsid w:val="000A7335"/>
    <w:rsid w:val="000A7343"/>
    <w:rsid w:val="000A7383"/>
    <w:rsid w:val="000A73E4"/>
    <w:rsid w:val="000A743F"/>
    <w:rsid w:val="000A745C"/>
    <w:rsid w:val="000A749E"/>
    <w:rsid w:val="000A749F"/>
    <w:rsid w:val="000A74D0"/>
    <w:rsid w:val="000A74FC"/>
    <w:rsid w:val="000A7538"/>
    <w:rsid w:val="000A75F3"/>
    <w:rsid w:val="000A7616"/>
    <w:rsid w:val="000A7623"/>
    <w:rsid w:val="000A7667"/>
    <w:rsid w:val="000A769D"/>
    <w:rsid w:val="000A76B8"/>
    <w:rsid w:val="000A7719"/>
    <w:rsid w:val="000A7723"/>
    <w:rsid w:val="000A7725"/>
    <w:rsid w:val="000A7739"/>
    <w:rsid w:val="000A774C"/>
    <w:rsid w:val="000A77D6"/>
    <w:rsid w:val="000A780C"/>
    <w:rsid w:val="000A787E"/>
    <w:rsid w:val="000A78C3"/>
    <w:rsid w:val="000A78D3"/>
    <w:rsid w:val="000A78E1"/>
    <w:rsid w:val="000A7903"/>
    <w:rsid w:val="000A7966"/>
    <w:rsid w:val="000A79F3"/>
    <w:rsid w:val="000A7A09"/>
    <w:rsid w:val="000A7A78"/>
    <w:rsid w:val="000A7A93"/>
    <w:rsid w:val="000A7AD9"/>
    <w:rsid w:val="000A7AF7"/>
    <w:rsid w:val="000A7B3F"/>
    <w:rsid w:val="000A7B95"/>
    <w:rsid w:val="000A7BAB"/>
    <w:rsid w:val="000A7BE3"/>
    <w:rsid w:val="000A7BFD"/>
    <w:rsid w:val="000A7C50"/>
    <w:rsid w:val="000A7CDE"/>
    <w:rsid w:val="000A7CF7"/>
    <w:rsid w:val="000A7D1E"/>
    <w:rsid w:val="000A7D41"/>
    <w:rsid w:val="000A7E71"/>
    <w:rsid w:val="000A7E81"/>
    <w:rsid w:val="000A7E9A"/>
    <w:rsid w:val="000A7F33"/>
    <w:rsid w:val="000A7F64"/>
    <w:rsid w:val="000A7FC4"/>
    <w:rsid w:val="000A7FD9"/>
    <w:rsid w:val="000B0086"/>
    <w:rsid w:val="000B00FD"/>
    <w:rsid w:val="000B0149"/>
    <w:rsid w:val="000B016A"/>
    <w:rsid w:val="000B018C"/>
    <w:rsid w:val="000B0248"/>
    <w:rsid w:val="000B026E"/>
    <w:rsid w:val="000B0362"/>
    <w:rsid w:val="000B03A3"/>
    <w:rsid w:val="000B03C3"/>
    <w:rsid w:val="000B04E2"/>
    <w:rsid w:val="000B04E6"/>
    <w:rsid w:val="000B04EC"/>
    <w:rsid w:val="000B0510"/>
    <w:rsid w:val="000B0552"/>
    <w:rsid w:val="000B056A"/>
    <w:rsid w:val="000B0583"/>
    <w:rsid w:val="000B05B3"/>
    <w:rsid w:val="000B05EE"/>
    <w:rsid w:val="000B06D1"/>
    <w:rsid w:val="000B077C"/>
    <w:rsid w:val="000B07BB"/>
    <w:rsid w:val="000B0835"/>
    <w:rsid w:val="000B083D"/>
    <w:rsid w:val="000B088B"/>
    <w:rsid w:val="000B08F3"/>
    <w:rsid w:val="000B0927"/>
    <w:rsid w:val="000B093F"/>
    <w:rsid w:val="000B09A2"/>
    <w:rsid w:val="000B0A43"/>
    <w:rsid w:val="000B0A5D"/>
    <w:rsid w:val="000B0A74"/>
    <w:rsid w:val="000B0AA0"/>
    <w:rsid w:val="000B0B0E"/>
    <w:rsid w:val="000B0B8F"/>
    <w:rsid w:val="000B0C13"/>
    <w:rsid w:val="000B0C2C"/>
    <w:rsid w:val="000B0C99"/>
    <w:rsid w:val="000B0D06"/>
    <w:rsid w:val="000B0D76"/>
    <w:rsid w:val="000B0DB8"/>
    <w:rsid w:val="000B0DCF"/>
    <w:rsid w:val="000B0E40"/>
    <w:rsid w:val="000B0E6B"/>
    <w:rsid w:val="000B0E87"/>
    <w:rsid w:val="000B0EB3"/>
    <w:rsid w:val="000B0EBB"/>
    <w:rsid w:val="000B0F01"/>
    <w:rsid w:val="000B0F34"/>
    <w:rsid w:val="000B0F6A"/>
    <w:rsid w:val="000B0F7D"/>
    <w:rsid w:val="000B100D"/>
    <w:rsid w:val="000B106B"/>
    <w:rsid w:val="000B1073"/>
    <w:rsid w:val="000B1093"/>
    <w:rsid w:val="000B1096"/>
    <w:rsid w:val="000B10B8"/>
    <w:rsid w:val="000B1151"/>
    <w:rsid w:val="000B1213"/>
    <w:rsid w:val="000B1222"/>
    <w:rsid w:val="000B1225"/>
    <w:rsid w:val="000B12E2"/>
    <w:rsid w:val="000B12FC"/>
    <w:rsid w:val="000B131D"/>
    <w:rsid w:val="000B1322"/>
    <w:rsid w:val="000B1348"/>
    <w:rsid w:val="000B138D"/>
    <w:rsid w:val="000B13EF"/>
    <w:rsid w:val="000B141F"/>
    <w:rsid w:val="000B147A"/>
    <w:rsid w:val="000B147E"/>
    <w:rsid w:val="000B1549"/>
    <w:rsid w:val="000B1579"/>
    <w:rsid w:val="000B1581"/>
    <w:rsid w:val="000B15A6"/>
    <w:rsid w:val="000B15E5"/>
    <w:rsid w:val="000B162B"/>
    <w:rsid w:val="000B1649"/>
    <w:rsid w:val="000B168C"/>
    <w:rsid w:val="000B16A9"/>
    <w:rsid w:val="000B1705"/>
    <w:rsid w:val="000B1720"/>
    <w:rsid w:val="000B1761"/>
    <w:rsid w:val="000B177D"/>
    <w:rsid w:val="000B17AD"/>
    <w:rsid w:val="000B17AF"/>
    <w:rsid w:val="000B17BF"/>
    <w:rsid w:val="000B17D9"/>
    <w:rsid w:val="000B183A"/>
    <w:rsid w:val="000B18C0"/>
    <w:rsid w:val="000B18CA"/>
    <w:rsid w:val="000B18EC"/>
    <w:rsid w:val="000B192B"/>
    <w:rsid w:val="000B1960"/>
    <w:rsid w:val="000B1998"/>
    <w:rsid w:val="000B19E2"/>
    <w:rsid w:val="000B1A7F"/>
    <w:rsid w:val="000B1B23"/>
    <w:rsid w:val="000B1B27"/>
    <w:rsid w:val="000B1C9C"/>
    <w:rsid w:val="000B1CA8"/>
    <w:rsid w:val="000B1CB3"/>
    <w:rsid w:val="000B1CC8"/>
    <w:rsid w:val="000B1D53"/>
    <w:rsid w:val="000B1DD7"/>
    <w:rsid w:val="000B1DDE"/>
    <w:rsid w:val="000B1E2B"/>
    <w:rsid w:val="000B1E68"/>
    <w:rsid w:val="000B1F3C"/>
    <w:rsid w:val="000B1F67"/>
    <w:rsid w:val="000B1F86"/>
    <w:rsid w:val="000B203C"/>
    <w:rsid w:val="000B207B"/>
    <w:rsid w:val="000B2080"/>
    <w:rsid w:val="000B20A8"/>
    <w:rsid w:val="000B20CC"/>
    <w:rsid w:val="000B212E"/>
    <w:rsid w:val="000B212F"/>
    <w:rsid w:val="000B21A0"/>
    <w:rsid w:val="000B2231"/>
    <w:rsid w:val="000B2253"/>
    <w:rsid w:val="000B227F"/>
    <w:rsid w:val="000B2280"/>
    <w:rsid w:val="000B2288"/>
    <w:rsid w:val="000B22B5"/>
    <w:rsid w:val="000B2301"/>
    <w:rsid w:val="000B23B4"/>
    <w:rsid w:val="000B23DE"/>
    <w:rsid w:val="000B23F8"/>
    <w:rsid w:val="000B2422"/>
    <w:rsid w:val="000B243E"/>
    <w:rsid w:val="000B2445"/>
    <w:rsid w:val="000B2446"/>
    <w:rsid w:val="000B2490"/>
    <w:rsid w:val="000B24A3"/>
    <w:rsid w:val="000B24C1"/>
    <w:rsid w:val="000B24EE"/>
    <w:rsid w:val="000B2531"/>
    <w:rsid w:val="000B254D"/>
    <w:rsid w:val="000B2582"/>
    <w:rsid w:val="000B25F4"/>
    <w:rsid w:val="000B25F6"/>
    <w:rsid w:val="000B25FE"/>
    <w:rsid w:val="000B2623"/>
    <w:rsid w:val="000B2668"/>
    <w:rsid w:val="000B2701"/>
    <w:rsid w:val="000B271D"/>
    <w:rsid w:val="000B2736"/>
    <w:rsid w:val="000B27FB"/>
    <w:rsid w:val="000B2822"/>
    <w:rsid w:val="000B2835"/>
    <w:rsid w:val="000B28D8"/>
    <w:rsid w:val="000B2924"/>
    <w:rsid w:val="000B2939"/>
    <w:rsid w:val="000B29A1"/>
    <w:rsid w:val="000B29A4"/>
    <w:rsid w:val="000B29E0"/>
    <w:rsid w:val="000B29ED"/>
    <w:rsid w:val="000B2B8F"/>
    <w:rsid w:val="000B2BA5"/>
    <w:rsid w:val="000B2BCD"/>
    <w:rsid w:val="000B2BD3"/>
    <w:rsid w:val="000B2BFA"/>
    <w:rsid w:val="000B2C0A"/>
    <w:rsid w:val="000B2C0D"/>
    <w:rsid w:val="000B2C44"/>
    <w:rsid w:val="000B2D26"/>
    <w:rsid w:val="000B2D38"/>
    <w:rsid w:val="000B2D7B"/>
    <w:rsid w:val="000B2D7D"/>
    <w:rsid w:val="000B2D9D"/>
    <w:rsid w:val="000B2DA4"/>
    <w:rsid w:val="000B2DC0"/>
    <w:rsid w:val="000B2DC1"/>
    <w:rsid w:val="000B2DE0"/>
    <w:rsid w:val="000B2E12"/>
    <w:rsid w:val="000B2E2F"/>
    <w:rsid w:val="000B2E38"/>
    <w:rsid w:val="000B2E6E"/>
    <w:rsid w:val="000B2E96"/>
    <w:rsid w:val="000B2EAC"/>
    <w:rsid w:val="000B2EC5"/>
    <w:rsid w:val="000B2F09"/>
    <w:rsid w:val="000B2F17"/>
    <w:rsid w:val="000B2F3C"/>
    <w:rsid w:val="000B2FD2"/>
    <w:rsid w:val="000B3014"/>
    <w:rsid w:val="000B301D"/>
    <w:rsid w:val="000B302A"/>
    <w:rsid w:val="000B3096"/>
    <w:rsid w:val="000B30D2"/>
    <w:rsid w:val="000B30E1"/>
    <w:rsid w:val="000B31E8"/>
    <w:rsid w:val="000B3215"/>
    <w:rsid w:val="000B32A7"/>
    <w:rsid w:val="000B32AE"/>
    <w:rsid w:val="000B3317"/>
    <w:rsid w:val="000B3358"/>
    <w:rsid w:val="000B338B"/>
    <w:rsid w:val="000B33A0"/>
    <w:rsid w:val="000B33B8"/>
    <w:rsid w:val="000B33DC"/>
    <w:rsid w:val="000B34BF"/>
    <w:rsid w:val="000B34EC"/>
    <w:rsid w:val="000B3511"/>
    <w:rsid w:val="000B3566"/>
    <w:rsid w:val="000B35E8"/>
    <w:rsid w:val="000B3600"/>
    <w:rsid w:val="000B36C1"/>
    <w:rsid w:val="000B3710"/>
    <w:rsid w:val="000B380A"/>
    <w:rsid w:val="000B3824"/>
    <w:rsid w:val="000B382D"/>
    <w:rsid w:val="000B3883"/>
    <w:rsid w:val="000B3902"/>
    <w:rsid w:val="000B3921"/>
    <w:rsid w:val="000B3941"/>
    <w:rsid w:val="000B39AD"/>
    <w:rsid w:val="000B39BE"/>
    <w:rsid w:val="000B39EB"/>
    <w:rsid w:val="000B3A09"/>
    <w:rsid w:val="000B3A30"/>
    <w:rsid w:val="000B3A70"/>
    <w:rsid w:val="000B3A7D"/>
    <w:rsid w:val="000B3AD6"/>
    <w:rsid w:val="000B3B0F"/>
    <w:rsid w:val="000B3BA3"/>
    <w:rsid w:val="000B3C23"/>
    <w:rsid w:val="000B3C27"/>
    <w:rsid w:val="000B3CBA"/>
    <w:rsid w:val="000B3CD0"/>
    <w:rsid w:val="000B3CF4"/>
    <w:rsid w:val="000B3D5A"/>
    <w:rsid w:val="000B3DBA"/>
    <w:rsid w:val="000B3E01"/>
    <w:rsid w:val="000B3E12"/>
    <w:rsid w:val="000B3E39"/>
    <w:rsid w:val="000B3E3D"/>
    <w:rsid w:val="000B3E52"/>
    <w:rsid w:val="000B3F21"/>
    <w:rsid w:val="000B3F51"/>
    <w:rsid w:val="000B3F8D"/>
    <w:rsid w:val="000B3FF7"/>
    <w:rsid w:val="000B4094"/>
    <w:rsid w:val="000B409B"/>
    <w:rsid w:val="000B4154"/>
    <w:rsid w:val="000B416C"/>
    <w:rsid w:val="000B42F8"/>
    <w:rsid w:val="000B430F"/>
    <w:rsid w:val="000B4334"/>
    <w:rsid w:val="000B433E"/>
    <w:rsid w:val="000B437C"/>
    <w:rsid w:val="000B4399"/>
    <w:rsid w:val="000B43CC"/>
    <w:rsid w:val="000B43E7"/>
    <w:rsid w:val="000B441F"/>
    <w:rsid w:val="000B4421"/>
    <w:rsid w:val="000B4454"/>
    <w:rsid w:val="000B4463"/>
    <w:rsid w:val="000B44A7"/>
    <w:rsid w:val="000B44AA"/>
    <w:rsid w:val="000B4514"/>
    <w:rsid w:val="000B4522"/>
    <w:rsid w:val="000B454D"/>
    <w:rsid w:val="000B45A8"/>
    <w:rsid w:val="000B461C"/>
    <w:rsid w:val="000B464E"/>
    <w:rsid w:val="000B46B1"/>
    <w:rsid w:val="000B46B2"/>
    <w:rsid w:val="000B46EA"/>
    <w:rsid w:val="000B470C"/>
    <w:rsid w:val="000B4718"/>
    <w:rsid w:val="000B4831"/>
    <w:rsid w:val="000B4866"/>
    <w:rsid w:val="000B4882"/>
    <w:rsid w:val="000B48BC"/>
    <w:rsid w:val="000B48CC"/>
    <w:rsid w:val="000B491D"/>
    <w:rsid w:val="000B4937"/>
    <w:rsid w:val="000B4938"/>
    <w:rsid w:val="000B494C"/>
    <w:rsid w:val="000B49D3"/>
    <w:rsid w:val="000B49E6"/>
    <w:rsid w:val="000B4A38"/>
    <w:rsid w:val="000B4A82"/>
    <w:rsid w:val="000B4AA8"/>
    <w:rsid w:val="000B4AEC"/>
    <w:rsid w:val="000B4AF1"/>
    <w:rsid w:val="000B4B48"/>
    <w:rsid w:val="000B4B51"/>
    <w:rsid w:val="000B4CCF"/>
    <w:rsid w:val="000B4CE3"/>
    <w:rsid w:val="000B4D24"/>
    <w:rsid w:val="000B4D2B"/>
    <w:rsid w:val="000B4D3D"/>
    <w:rsid w:val="000B4D89"/>
    <w:rsid w:val="000B4DFE"/>
    <w:rsid w:val="000B4E18"/>
    <w:rsid w:val="000B4E2B"/>
    <w:rsid w:val="000B4E46"/>
    <w:rsid w:val="000B4E52"/>
    <w:rsid w:val="000B4E7C"/>
    <w:rsid w:val="000B4F56"/>
    <w:rsid w:val="000B4F9A"/>
    <w:rsid w:val="000B4FB1"/>
    <w:rsid w:val="000B5069"/>
    <w:rsid w:val="000B50A6"/>
    <w:rsid w:val="000B5108"/>
    <w:rsid w:val="000B513B"/>
    <w:rsid w:val="000B5172"/>
    <w:rsid w:val="000B51AF"/>
    <w:rsid w:val="000B51D0"/>
    <w:rsid w:val="000B51F4"/>
    <w:rsid w:val="000B5299"/>
    <w:rsid w:val="000B52A4"/>
    <w:rsid w:val="000B52D8"/>
    <w:rsid w:val="000B5304"/>
    <w:rsid w:val="000B5310"/>
    <w:rsid w:val="000B5319"/>
    <w:rsid w:val="000B531E"/>
    <w:rsid w:val="000B533E"/>
    <w:rsid w:val="000B5356"/>
    <w:rsid w:val="000B5448"/>
    <w:rsid w:val="000B5471"/>
    <w:rsid w:val="000B54BF"/>
    <w:rsid w:val="000B54CB"/>
    <w:rsid w:val="000B54FE"/>
    <w:rsid w:val="000B5578"/>
    <w:rsid w:val="000B557B"/>
    <w:rsid w:val="000B55B8"/>
    <w:rsid w:val="000B55D9"/>
    <w:rsid w:val="000B55DE"/>
    <w:rsid w:val="000B5610"/>
    <w:rsid w:val="000B5623"/>
    <w:rsid w:val="000B5652"/>
    <w:rsid w:val="000B568D"/>
    <w:rsid w:val="000B56DC"/>
    <w:rsid w:val="000B575B"/>
    <w:rsid w:val="000B57A8"/>
    <w:rsid w:val="000B57C0"/>
    <w:rsid w:val="000B57DB"/>
    <w:rsid w:val="000B584E"/>
    <w:rsid w:val="000B589C"/>
    <w:rsid w:val="000B589F"/>
    <w:rsid w:val="000B58E9"/>
    <w:rsid w:val="000B5923"/>
    <w:rsid w:val="000B592E"/>
    <w:rsid w:val="000B5940"/>
    <w:rsid w:val="000B5965"/>
    <w:rsid w:val="000B599A"/>
    <w:rsid w:val="000B59D9"/>
    <w:rsid w:val="000B59FE"/>
    <w:rsid w:val="000B5B15"/>
    <w:rsid w:val="000B5BA1"/>
    <w:rsid w:val="000B5BC0"/>
    <w:rsid w:val="000B5BD8"/>
    <w:rsid w:val="000B5BF5"/>
    <w:rsid w:val="000B5CCF"/>
    <w:rsid w:val="000B5CDA"/>
    <w:rsid w:val="000B5D2B"/>
    <w:rsid w:val="000B5D5B"/>
    <w:rsid w:val="000B5DB1"/>
    <w:rsid w:val="000B5DB5"/>
    <w:rsid w:val="000B5DD8"/>
    <w:rsid w:val="000B5DE6"/>
    <w:rsid w:val="000B5E14"/>
    <w:rsid w:val="000B5E16"/>
    <w:rsid w:val="000B5E36"/>
    <w:rsid w:val="000B5E7C"/>
    <w:rsid w:val="000B5E84"/>
    <w:rsid w:val="000B5F04"/>
    <w:rsid w:val="000B5F65"/>
    <w:rsid w:val="000B5FB4"/>
    <w:rsid w:val="000B5FFC"/>
    <w:rsid w:val="000B6045"/>
    <w:rsid w:val="000B6068"/>
    <w:rsid w:val="000B6072"/>
    <w:rsid w:val="000B6095"/>
    <w:rsid w:val="000B60E4"/>
    <w:rsid w:val="000B613C"/>
    <w:rsid w:val="000B618E"/>
    <w:rsid w:val="000B62BB"/>
    <w:rsid w:val="000B62BE"/>
    <w:rsid w:val="000B6334"/>
    <w:rsid w:val="000B634A"/>
    <w:rsid w:val="000B63B9"/>
    <w:rsid w:val="000B63DC"/>
    <w:rsid w:val="000B63EB"/>
    <w:rsid w:val="000B6443"/>
    <w:rsid w:val="000B6449"/>
    <w:rsid w:val="000B644A"/>
    <w:rsid w:val="000B6514"/>
    <w:rsid w:val="000B6531"/>
    <w:rsid w:val="000B65DB"/>
    <w:rsid w:val="000B65F8"/>
    <w:rsid w:val="000B6635"/>
    <w:rsid w:val="000B6641"/>
    <w:rsid w:val="000B6680"/>
    <w:rsid w:val="000B668F"/>
    <w:rsid w:val="000B66C6"/>
    <w:rsid w:val="000B67C6"/>
    <w:rsid w:val="000B67DB"/>
    <w:rsid w:val="000B67DF"/>
    <w:rsid w:val="000B6807"/>
    <w:rsid w:val="000B6835"/>
    <w:rsid w:val="000B68FF"/>
    <w:rsid w:val="000B6903"/>
    <w:rsid w:val="000B6934"/>
    <w:rsid w:val="000B6A38"/>
    <w:rsid w:val="000B6AD0"/>
    <w:rsid w:val="000B6B8D"/>
    <w:rsid w:val="000B6C22"/>
    <w:rsid w:val="000B6C71"/>
    <w:rsid w:val="000B6CEA"/>
    <w:rsid w:val="000B6D10"/>
    <w:rsid w:val="000B6D29"/>
    <w:rsid w:val="000B6D66"/>
    <w:rsid w:val="000B6DA9"/>
    <w:rsid w:val="000B6DCF"/>
    <w:rsid w:val="000B6DEE"/>
    <w:rsid w:val="000B6E20"/>
    <w:rsid w:val="000B6E5E"/>
    <w:rsid w:val="000B6E66"/>
    <w:rsid w:val="000B6E85"/>
    <w:rsid w:val="000B6EA3"/>
    <w:rsid w:val="000B6EBE"/>
    <w:rsid w:val="000B6F12"/>
    <w:rsid w:val="000B6F13"/>
    <w:rsid w:val="000B6F17"/>
    <w:rsid w:val="000B708E"/>
    <w:rsid w:val="000B70F7"/>
    <w:rsid w:val="000B71ED"/>
    <w:rsid w:val="000B7242"/>
    <w:rsid w:val="000B72D9"/>
    <w:rsid w:val="000B72F5"/>
    <w:rsid w:val="000B73A0"/>
    <w:rsid w:val="000B741E"/>
    <w:rsid w:val="000B7478"/>
    <w:rsid w:val="000B749F"/>
    <w:rsid w:val="000B7503"/>
    <w:rsid w:val="000B7593"/>
    <w:rsid w:val="000B76B1"/>
    <w:rsid w:val="000B76F2"/>
    <w:rsid w:val="000B7711"/>
    <w:rsid w:val="000B778C"/>
    <w:rsid w:val="000B77F8"/>
    <w:rsid w:val="000B7837"/>
    <w:rsid w:val="000B78F2"/>
    <w:rsid w:val="000B797A"/>
    <w:rsid w:val="000B79B9"/>
    <w:rsid w:val="000B79D4"/>
    <w:rsid w:val="000B79EB"/>
    <w:rsid w:val="000B7A35"/>
    <w:rsid w:val="000B7A45"/>
    <w:rsid w:val="000B7B6B"/>
    <w:rsid w:val="000B7BB0"/>
    <w:rsid w:val="000B7BBD"/>
    <w:rsid w:val="000B7C44"/>
    <w:rsid w:val="000B7C45"/>
    <w:rsid w:val="000B7CE9"/>
    <w:rsid w:val="000B7CEE"/>
    <w:rsid w:val="000B7D4B"/>
    <w:rsid w:val="000B7D87"/>
    <w:rsid w:val="000B7DF4"/>
    <w:rsid w:val="000B7DFA"/>
    <w:rsid w:val="000B7E12"/>
    <w:rsid w:val="000B7E27"/>
    <w:rsid w:val="000B7E94"/>
    <w:rsid w:val="000B7E9F"/>
    <w:rsid w:val="000B7EB3"/>
    <w:rsid w:val="000B7ED7"/>
    <w:rsid w:val="000B7F3E"/>
    <w:rsid w:val="000B7F46"/>
    <w:rsid w:val="000B7F86"/>
    <w:rsid w:val="000B7FA8"/>
    <w:rsid w:val="000C0007"/>
    <w:rsid w:val="000C00FA"/>
    <w:rsid w:val="000C01D5"/>
    <w:rsid w:val="000C0205"/>
    <w:rsid w:val="000C0281"/>
    <w:rsid w:val="000C02CF"/>
    <w:rsid w:val="000C02DD"/>
    <w:rsid w:val="000C02F2"/>
    <w:rsid w:val="000C033C"/>
    <w:rsid w:val="000C03C4"/>
    <w:rsid w:val="000C0492"/>
    <w:rsid w:val="000C04C2"/>
    <w:rsid w:val="000C0529"/>
    <w:rsid w:val="000C0543"/>
    <w:rsid w:val="000C06AF"/>
    <w:rsid w:val="000C06B2"/>
    <w:rsid w:val="000C06C6"/>
    <w:rsid w:val="000C06DF"/>
    <w:rsid w:val="000C06FD"/>
    <w:rsid w:val="000C0747"/>
    <w:rsid w:val="000C0789"/>
    <w:rsid w:val="000C079A"/>
    <w:rsid w:val="000C07D5"/>
    <w:rsid w:val="000C07EA"/>
    <w:rsid w:val="000C0871"/>
    <w:rsid w:val="000C0903"/>
    <w:rsid w:val="000C091D"/>
    <w:rsid w:val="000C093E"/>
    <w:rsid w:val="000C0960"/>
    <w:rsid w:val="000C0972"/>
    <w:rsid w:val="000C0986"/>
    <w:rsid w:val="000C09D5"/>
    <w:rsid w:val="000C09F1"/>
    <w:rsid w:val="000C0A4F"/>
    <w:rsid w:val="000C0AA4"/>
    <w:rsid w:val="000C0AC3"/>
    <w:rsid w:val="000C0AD1"/>
    <w:rsid w:val="000C0AE4"/>
    <w:rsid w:val="000C0B24"/>
    <w:rsid w:val="000C0D99"/>
    <w:rsid w:val="000C0DC7"/>
    <w:rsid w:val="000C0DCC"/>
    <w:rsid w:val="000C0DEE"/>
    <w:rsid w:val="000C0E55"/>
    <w:rsid w:val="000C0F03"/>
    <w:rsid w:val="000C0F09"/>
    <w:rsid w:val="000C0F62"/>
    <w:rsid w:val="000C0F89"/>
    <w:rsid w:val="000C0FB1"/>
    <w:rsid w:val="000C0FD8"/>
    <w:rsid w:val="000C0FEB"/>
    <w:rsid w:val="000C0FF3"/>
    <w:rsid w:val="000C104E"/>
    <w:rsid w:val="000C1054"/>
    <w:rsid w:val="000C1130"/>
    <w:rsid w:val="000C1135"/>
    <w:rsid w:val="000C11CE"/>
    <w:rsid w:val="000C120A"/>
    <w:rsid w:val="000C1238"/>
    <w:rsid w:val="000C1257"/>
    <w:rsid w:val="000C1261"/>
    <w:rsid w:val="000C1265"/>
    <w:rsid w:val="000C12F1"/>
    <w:rsid w:val="000C1349"/>
    <w:rsid w:val="000C1381"/>
    <w:rsid w:val="000C13E1"/>
    <w:rsid w:val="000C14D5"/>
    <w:rsid w:val="000C14EC"/>
    <w:rsid w:val="000C1515"/>
    <w:rsid w:val="000C15C8"/>
    <w:rsid w:val="000C15D8"/>
    <w:rsid w:val="000C16AF"/>
    <w:rsid w:val="000C16BE"/>
    <w:rsid w:val="000C171C"/>
    <w:rsid w:val="000C173E"/>
    <w:rsid w:val="000C1796"/>
    <w:rsid w:val="000C17C8"/>
    <w:rsid w:val="000C17DC"/>
    <w:rsid w:val="000C17EA"/>
    <w:rsid w:val="000C1869"/>
    <w:rsid w:val="000C186F"/>
    <w:rsid w:val="000C188E"/>
    <w:rsid w:val="000C1897"/>
    <w:rsid w:val="000C1898"/>
    <w:rsid w:val="000C18C6"/>
    <w:rsid w:val="000C18E2"/>
    <w:rsid w:val="000C1984"/>
    <w:rsid w:val="000C19E7"/>
    <w:rsid w:val="000C1A3D"/>
    <w:rsid w:val="000C1A9D"/>
    <w:rsid w:val="000C1B6D"/>
    <w:rsid w:val="000C1B80"/>
    <w:rsid w:val="000C1B8C"/>
    <w:rsid w:val="000C1BF9"/>
    <w:rsid w:val="000C1BFA"/>
    <w:rsid w:val="000C1C53"/>
    <w:rsid w:val="000C1C5C"/>
    <w:rsid w:val="000C1C5E"/>
    <w:rsid w:val="000C1CE0"/>
    <w:rsid w:val="000C1D0D"/>
    <w:rsid w:val="000C1D16"/>
    <w:rsid w:val="000C1D4B"/>
    <w:rsid w:val="000C1DEE"/>
    <w:rsid w:val="000C1E0B"/>
    <w:rsid w:val="000C1E61"/>
    <w:rsid w:val="000C1EA9"/>
    <w:rsid w:val="000C1EE9"/>
    <w:rsid w:val="000C1F97"/>
    <w:rsid w:val="000C1FC1"/>
    <w:rsid w:val="000C1FF8"/>
    <w:rsid w:val="000C2018"/>
    <w:rsid w:val="000C2088"/>
    <w:rsid w:val="000C20F2"/>
    <w:rsid w:val="000C2148"/>
    <w:rsid w:val="000C21BF"/>
    <w:rsid w:val="000C21F4"/>
    <w:rsid w:val="000C232D"/>
    <w:rsid w:val="000C233D"/>
    <w:rsid w:val="000C234B"/>
    <w:rsid w:val="000C23D3"/>
    <w:rsid w:val="000C24E1"/>
    <w:rsid w:val="000C2576"/>
    <w:rsid w:val="000C25E1"/>
    <w:rsid w:val="000C2611"/>
    <w:rsid w:val="000C264A"/>
    <w:rsid w:val="000C266C"/>
    <w:rsid w:val="000C26A1"/>
    <w:rsid w:val="000C275F"/>
    <w:rsid w:val="000C2780"/>
    <w:rsid w:val="000C278A"/>
    <w:rsid w:val="000C279C"/>
    <w:rsid w:val="000C27B0"/>
    <w:rsid w:val="000C2814"/>
    <w:rsid w:val="000C28D0"/>
    <w:rsid w:val="000C28DE"/>
    <w:rsid w:val="000C291E"/>
    <w:rsid w:val="000C29CC"/>
    <w:rsid w:val="000C2A29"/>
    <w:rsid w:val="000C2A66"/>
    <w:rsid w:val="000C2A9D"/>
    <w:rsid w:val="000C2B20"/>
    <w:rsid w:val="000C2C1D"/>
    <w:rsid w:val="000C2C22"/>
    <w:rsid w:val="000C2CD5"/>
    <w:rsid w:val="000C2D38"/>
    <w:rsid w:val="000C2DE7"/>
    <w:rsid w:val="000C2DE9"/>
    <w:rsid w:val="000C2E10"/>
    <w:rsid w:val="000C2E33"/>
    <w:rsid w:val="000C2E4C"/>
    <w:rsid w:val="000C2EAE"/>
    <w:rsid w:val="000C2EB3"/>
    <w:rsid w:val="000C2F34"/>
    <w:rsid w:val="000C2F5B"/>
    <w:rsid w:val="000C2F5D"/>
    <w:rsid w:val="000C2F6C"/>
    <w:rsid w:val="000C2F6D"/>
    <w:rsid w:val="000C2FE2"/>
    <w:rsid w:val="000C3074"/>
    <w:rsid w:val="000C30C6"/>
    <w:rsid w:val="000C30ED"/>
    <w:rsid w:val="000C311F"/>
    <w:rsid w:val="000C3140"/>
    <w:rsid w:val="000C3179"/>
    <w:rsid w:val="000C31DA"/>
    <w:rsid w:val="000C31EB"/>
    <w:rsid w:val="000C31FB"/>
    <w:rsid w:val="000C3268"/>
    <w:rsid w:val="000C3272"/>
    <w:rsid w:val="000C328C"/>
    <w:rsid w:val="000C328F"/>
    <w:rsid w:val="000C3325"/>
    <w:rsid w:val="000C3331"/>
    <w:rsid w:val="000C3340"/>
    <w:rsid w:val="000C33BE"/>
    <w:rsid w:val="000C33D5"/>
    <w:rsid w:val="000C340C"/>
    <w:rsid w:val="000C349B"/>
    <w:rsid w:val="000C34E2"/>
    <w:rsid w:val="000C3525"/>
    <w:rsid w:val="000C3548"/>
    <w:rsid w:val="000C3596"/>
    <w:rsid w:val="000C36A6"/>
    <w:rsid w:val="000C36AE"/>
    <w:rsid w:val="000C36BB"/>
    <w:rsid w:val="000C370D"/>
    <w:rsid w:val="000C373D"/>
    <w:rsid w:val="000C3771"/>
    <w:rsid w:val="000C3774"/>
    <w:rsid w:val="000C37F1"/>
    <w:rsid w:val="000C383A"/>
    <w:rsid w:val="000C38A5"/>
    <w:rsid w:val="000C3918"/>
    <w:rsid w:val="000C392F"/>
    <w:rsid w:val="000C3A61"/>
    <w:rsid w:val="000C3A79"/>
    <w:rsid w:val="000C3A7F"/>
    <w:rsid w:val="000C3AA8"/>
    <w:rsid w:val="000C3ABC"/>
    <w:rsid w:val="000C3B7C"/>
    <w:rsid w:val="000C3B96"/>
    <w:rsid w:val="000C3BBF"/>
    <w:rsid w:val="000C3BC1"/>
    <w:rsid w:val="000C3BD4"/>
    <w:rsid w:val="000C3C49"/>
    <w:rsid w:val="000C3CE9"/>
    <w:rsid w:val="000C3CFB"/>
    <w:rsid w:val="000C3D3C"/>
    <w:rsid w:val="000C3D51"/>
    <w:rsid w:val="000C3EF5"/>
    <w:rsid w:val="000C3F7F"/>
    <w:rsid w:val="000C3F98"/>
    <w:rsid w:val="000C3FB3"/>
    <w:rsid w:val="000C3FE9"/>
    <w:rsid w:val="000C3FF0"/>
    <w:rsid w:val="000C416C"/>
    <w:rsid w:val="000C419B"/>
    <w:rsid w:val="000C4218"/>
    <w:rsid w:val="000C425D"/>
    <w:rsid w:val="000C4268"/>
    <w:rsid w:val="000C42D8"/>
    <w:rsid w:val="000C4381"/>
    <w:rsid w:val="000C43A3"/>
    <w:rsid w:val="000C43B5"/>
    <w:rsid w:val="000C43FA"/>
    <w:rsid w:val="000C4459"/>
    <w:rsid w:val="000C445C"/>
    <w:rsid w:val="000C44AB"/>
    <w:rsid w:val="000C44CF"/>
    <w:rsid w:val="000C44EE"/>
    <w:rsid w:val="000C4520"/>
    <w:rsid w:val="000C4522"/>
    <w:rsid w:val="000C4585"/>
    <w:rsid w:val="000C45B6"/>
    <w:rsid w:val="000C45F9"/>
    <w:rsid w:val="000C4648"/>
    <w:rsid w:val="000C466A"/>
    <w:rsid w:val="000C46E7"/>
    <w:rsid w:val="000C46F4"/>
    <w:rsid w:val="000C4742"/>
    <w:rsid w:val="000C4743"/>
    <w:rsid w:val="000C4774"/>
    <w:rsid w:val="000C479E"/>
    <w:rsid w:val="000C47AE"/>
    <w:rsid w:val="000C47E0"/>
    <w:rsid w:val="000C48B4"/>
    <w:rsid w:val="000C490E"/>
    <w:rsid w:val="000C49A3"/>
    <w:rsid w:val="000C49B1"/>
    <w:rsid w:val="000C49E8"/>
    <w:rsid w:val="000C4A0D"/>
    <w:rsid w:val="000C4A1A"/>
    <w:rsid w:val="000C4AA0"/>
    <w:rsid w:val="000C4AC4"/>
    <w:rsid w:val="000C4B3A"/>
    <w:rsid w:val="000C4B3B"/>
    <w:rsid w:val="000C4B47"/>
    <w:rsid w:val="000C4B4A"/>
    <w:rsid w:val="000C4B5A"/>
    <w:rsid w:val="000C4B68"/>
    <w:rsid w:val="000C4BED"/>
    <w:rsid w:val="000C4C2E"/>
    <w:rsid w:val="000C4D1F"/>
    <w:rsid w:val="000C4D31"/>
    <w:rsid w:val="000C4E21"/>
    <w:rsid w:val="000C4E27"/>
    <w:rsid w:val="000C4E38"/>
    <w:rsid w:val="000C4E87"/>
    <w:rsid w:val="000C4E9B"/>
    <w:rsid w:val="000C4EB1"/>
    <w:rsid w:val="000C4EF3"/>
    <w:rsid w:val="000C4F17"/>
    <w:rsid w:val="000C4F5F"/>
    <w:rsid w:val="000C4F80"/>
    <w:rsid w:val="000C4FDD"/>
    <w:rsid w:val="000C5067"/>
    <w:rsid w:val="000C507D"/>
    <w:rsid w:val="000C5134"/>
    <w:rsid w:val="000C51A3"/>
    <w:rsid w:val="000C51AE"/>
    <w:rsid w:val="000C521C"/>
    <w:rsid w:val="000C5229"/>
    <w:rsid w:val="000C524B"/>
    <w:rsid w:val="000C52B7"/>
    <w:rsid w:val="000C52EB"/>
    <w:rsid w:val="000C534D"/>
    <w:rsid w:val="000C537C"/>
    <w:rsid w:val="000C539D"/>
    <w:rsid w:val="000C53AF"/>
    <w:rsid w:val="000C53B8"/>
    <w:rsid w:val="000C53D3"/>
    <w:rsid w:val="000C53DA"/>
    <w:rsid w:val="000C5402"/>
    <w:rsid w:val="000C5425"/>
    <w:rsid w:val="000C5430"/>
    <w:rsid w:val="000C5474"/>
    <w:rsid w:val="000C54C8"/>
    <w:rsid w:val="000C5548"/>
    <w:rsid w:val="000C5555"/>
    <w:rsid w:val="000C557A"/>
    <w:rsid w:val="000C55A5"/>
    <w:rsid w:val="000C55A8"/>
    <w:rsid w:val="000C5656"/>
    <w:rsid w:val="000C5676"/>
    <w:rsid w:val="000C56B2"/>
    <w:rsid w:val="000C571D"/>
    <w:rsid w:val="000C57BB"/>
    <w:rsid w:val="000C57C6"/>
    <w:rsid w:val="000C580E"/>
    <w:rsid w:val="000C58B1"/>
    <w:rsid w:val="000C58E3"/>
    <w:rsid w:val="000C5A02"/>
    <w:rsid w:val="000C5A26"/>
    <w:rsid w:val="000C5A92"/>
    <w:rsid w:val="000C5AAE"/>
    <w:rsid w:val="000C5AB7"/>
    <w:rsid w:val="000C5B22"/>
    <w:rsid w:val="000C5B59"/>
    <w:rsid w:val="000C5BA8"/>
    <w:rsid w:val="000C5BBC"/>
    <w:rsid w:val="000C5C06"/>
    <w:rsid w:val="000C5C2B"/>
    <w:rsid w:val="000C5C7C"/>
    <w:rsid w:val="000C5D71"/>
    <w:rsid w:val="000C5D7F"/>
    <w:rsid w:val="000C5DBD"/>
    <w:rsid w:val="000C5DCD"/>
    <w:rsid w:val="000C5DEA"/>
    <w:rsid w:val="000C5DEB"/>
    <w:rsid w:val="000C5DF0"/>
    <w:rsid w:val="000C5DF4"/>
    <w:rsid w:val="000C5E01"/>
    <w:rsid w:val="000C5E02"/>
    <w:rsid w:val="000C5E84"/>
    <w:rsid w:val="000C5EA2"/>
    <w:rsid w:val="000C5EAD"/>
    <w:rsid w:val="000C5F40"/>
    <w:rsid w:val="000C5F66"/>
    <w:rsid w:val="000C5F77"/>
    <w:rsid w:val="000C5F93"/>
    <w:rsid w:val="000C5FF6"/>
    <w:rsid w:val="000C6048"/>
    <w:rsid w:val="000C6098"/>
    <w:rsid w:val="000C60A1"/>
    <w:rsid w:val="000C618C"/>
    <w:rsid w:val="000C61BA"/>
    <w:rsid w:val="000C61D1"/>
    <w:rsid w:val="000C620E"/>
    <w:rsid w:val="000C624D"/>
    <w:rsid w:val="000C626C"/>
    <w:rsid w:val="000C627E"/>
    <w:rsid w:val="000C62B0"/>
    <w:rsid w:val="000C62BA"/>
    <w:rsid w:val="000C62C3"/>
    <w:rsid w:val="000C62EB"/>
    <w:rsid w:val="000C63D7"/>
    <w:rsid w:val="000C63EF"/>
    <w:rsid w:val="000C641A"/>
    <w:rsid w:val="000C641E"/>
    <w:rsid w:val="000C643D"/>
    <w:rsid w:val="000C64AC"/>
    <w:rsid w:val="000C64F0"/>
    <w:rsid w:val="000C655A"/>
    <w:rsid w:val="000C659E"/>
    <w:rsid w:val="000C65EE"/>
    <w:rsid w:val="000C6635"/>
    <w:rsid w:val="000C6646"/>
    <w:rsid w:val="000C66CF"/>
    <w:rsid w:val="000C66E0"/>
    <w:rsid w:val="000C6726"/>
    <w:rsid w:val="000C6772"/>
    <w:rsid w:val="000C6798"/>
    <w:rsid w:val="000C679C"/>
    <w:rsid w:val="000C67B5"/>
    <w:rsid w:val="000C67B6"/>
    <w:rsid w:val="000C6898"/>
    <w:rsid w:val="000C68B1"/>
    <w:rsid w:val="000C692F"/>
    <w:rsid w:val="000C6931"/>
    <w:rsid w:val="000C6976"/>
    <w:rsid w:val="000C6A08"/>
    <w:rsid w:val="000C6A11"/>
    <w:rsid w:val="000C6A51"/>
    <w:rsid w:val="000C6A58"/>
    <w:rsid w:val="000C6A72"/>
    <w:rsid w:val="000C6B45"/>
    <w:rsid w:val="000C6B47"/>
    <w:rsid w:val="000C6B6F"/>
    <w:rsid w:val="000C6B7D"/>
    <w:rsid w:val="000C6B7E"/>
    <w:rsid w:val="000C6C09"/>
    <w:rsid w:val="000C6C6A"/>
    <w:rsid w:val="000C6DB9"/>
    <w:rsid w:val="000C6DD6"/>
    <w:rsid w:val="000C6E12"/>
    <w:rsid w:val="000C6E28"/>
    <w:rsid w:val="000C6E68"/>
    <w:rsid w:val="000C6ECA"/>
    <w:rsid w:val="000C6EE6"/>
    <w:rsid w:val="000C6F4D"/>
    <w:rsid w:val="000C6F82"/>
    <w:rsid w:val="000C6F93"/>
    <w:rsid w:val="000C6FBE"/>
    <w:rsid w:val="000C6FEC"/>
    <w:rsid w:val="000C700C"/>
    <w:rsid w:val="000C7040"/>
    <w:rsid w:val="000C705C"/>
    <w:rsid w:val="000C7063"/>
    <w:rsid w:val="000C708B"/>
    <w:rsid w:val="000C70D6"/>
    <w:rsid w:val="000C70E6"/>
    <w:rsid w:val="000C70E9"/>
    <w:rsid w:val="000C7146"/>
    <w:rsid w:val="000C714B"/>
    <w:rsid w:val="000C71A3"/>
    <w:rsid w:val="000C71B3"/>
    <w:rsid w:val="000C71BA"/>
    <w:rsid w:val="000C71CE"/>
    <w:rsid w:val="000C71F3"/>
    <w:rsid w:val="000C71FF"/>
    <w:rsid w:val="000C7226"/>
    <w:rsid w:val="000C7274"/>
    <w:rsid w:val="000C72AE"/>
    <w:rsid w:val="000C72B9"/>
    <w:rsid w:val="000C72CF"/>
    <w:rsid w:val="000C734B"/>
    <w:rsid w:val="000C73FD"/>
    <w:rsid w:val="000C7405"/>
    <w:rsid w:val="000C740C"/>
    <w:rsid w:val="000C7411"/>
    <w:rsid w:val="000C7441"/>
    <w:rsid w:val="000C7461"/>
    <w:rsid w:val="000C74B6"/>
    <w:rsid w:val="000C74FE"/>
    <w:rsid w:val="000C7537"/>
    <w:rsid w:val="000C754B"/>
    <w:rsid w:val="000C7559"/>
    <w:rsid w:val="000C755E"/>
    <w:rsid w:val="000C755F"/>
    <w:rsid w:val="000C7574"/>
    <w:rsid w:val="000C764D"/>
    <w:rsid w:val="000C767B"/>
    <w:rsid w:val="000C76BC"/>
    <w:rsid w:val="000C76EB"/>
    <w:rsid w:val="000C76F9"/>
    <w:rsid w:val="000C7704"/>
    <w:rsid w:val="000C7747"/>
    <w:rsid w:val="000C778E"/>
    <w:rsid w:val="000C779F"/>
    <w:rsid w:val="000C782A"/>
    <w:rsid w:val="000C7849"/>
    <w:rsid w:val="000C7854"/>
    <w:rsid w:val="000C78E5"/>
    <w:rsid w:val="000C7932"/>
    <w:rsid w:val="000C7953"/>
    <w:rsid w:val="000C7A33"/>
    <w:rsid w:val="000C7A50"/>
    <w:rsid w:val="000C7A86"/>
    <w:rsid w:val="000C7AB7"/>
    <w:rsid w:val="000C7AF2"/>
    <w:rsid w:val="000C7B1A"/>
    <w:rsid w:val="000C7BAD"/>
    <w:rsid w:val="000C7BFC"/>
    <w:rsid w:val="000C7C22"/>
    <w:rsid w:val="000C7C65"/>
    <w:rsid w:val="000C7C9F"/>
    <w:rsid w:val="000C7CB3"/>
    <w:rsid w:val="000C7CC7"/>
    <w:rsid w:val="000C7D6F"/>
    <w:rsid w:val="000C7D9C"/>
    <w:rsid w:val="000C7E07"/>
    <w:rsid w:val="000C7E65"/>
    <w:rsid w:val="000C7E68"/>
    <w:rsid w:val="000C7E91"/>
    <w:rsid w:val="000C7EF2"/>
    <w:rsid w:val="000C7FB4"/>
    <w:rsid w:val="000C7FBF"/>
    <w:rsid w:val="000D001D"/>
    <w:rsid w:val="000D00DB"/>
    <w:rsid w:val="000D00E3"/>
    <w:rsid w:val="000D013E"/>
    <w:rsid w:val="000D0169"/>
    <w:rsid w:val="000D0202"/>
    <w:rsid w:val="000D024B"/>
    <w:rsid w:val="000D02F5"/>
    <w:rsid w:val="000D033A"/>
    <w:rsid w:val="000D0346"/>
    <w:rsid w:val="000D0348"/>
    <w:rsid w:val="000D038B"/>
    <w:rsid w:val="000D03A1"/>
    <w:rsid w:val="000D03E8"/>
    <w:rsid w:val="000D04B2"/>
    <w:rsid w:val="000D04CF"/>
    <w:rsid w:val="000D04F7"/>
    <w:rsid w:val="000D052B"/>
    <w:rsid w:val="000D0563"/>
    <w:rsid w:val="000D0596"/>
    <w:rsid w:val="000D05D2"/>
    <w:rsid w:val="000D0602"/>
    <w:rsid w:val="000D0606"/>
    <w:rsid w:val="000D060A"/>
    <w:rsid w:val="000D065F"/>
    <w:rsid w:val="000D066D"/>
    <w:rsid w:val="000D06C9"/>
    <w:rsid w:val="000D06E1"/>
    <w:rsid w:val="000D07DE"/>
    <w:rsid w:val="000D082E"/>
    <w:rsid w:val="000D0842"/>
    <w:rsid w:val="000D086C"/>
    <w:rsid w:val="000D089F"/>
    <w:rsid w:val="000D08E2"/>
    <w:rsid w:val="000D0957"/>
    <w:rsid w:val="000D0992"/>
    <w:rsid w:val="000D0A13"/>
    <w:rsid w:val="000D0A50"/>
    <w:rsid w:val="000D0AF5"/>
    <w:rsid w:val="000D0B10"/>
    <w:rsid w:val="000D0BAF"/>
    <w:rsid w:val="000D0C1B"/>
    <w:rsid w:val="000D0C56"/>
    <w:rsid w:val="000D0CBD"/>
    <w:rsid w:val="000D0D93"/>
    <w:rsid w:val="000D0E05"/>
    <w:rsid w:val="000D0E14"/>
    <w:rsid w:val="000D0E15"/>
    <w:rsid w:val="000D0E26"/>
    <w:rsid w:val="000D0E3E"/>
    <w:rsid w:val="000D0E98"/>
    <w:rsid w:val="000D0EB9"/>
    <w:rsid w:val="000D0EE0"/>
    <w:rsid w:val="000D0EEE"/>
    <w:rsid w:val="000D0F02"/>
    <w:rsid w:val="000D0F07"/>
    <w:rsid w:val="000D0F18"/>
    <w:rsid w:val="000D0F22"/>
    <w:rsid w:val="000D0F4A"/>
    <w:rsid w:val="000D0F84"/>
    <w:rsid w:val="000D0FA7"/>
    <w:rsid w:val="000D1009"/>
    <w:rsid w:val="000D100B"/>
    <w:rsid w:val="000D100C"/>
    <w:rsid w:val="000D1013"/>
    <w:rsid w:val="000D1040"/>
    <w:rsid w:val="000D104F"/>
    <w:rsid w:val="000D1090"/>
    <w:rsid w:val="000D1171"/>
    <w:rsid w:val="000D118D"/>
    <w:rsid w:val="000D1227"/>
    <w:rsid w:val="000D1257"/>
    <w:rsid w:val="000D125A"/>
    <w:rsid w:val="000D12A5"/>
    <w:rsid w:val="000D12ED"/>
    <w:rsid w:val="000D12EF"/>
    <w:rsid w:val="000D132B"/>
    <w:rsid w:val="000D139F"/>
    <w:rsid w:val="000D13A4"/>
    <w:rsid w:val="000D142E"/>
    <w:rsid w:val="000D14A9"/>
    <w:rsid w:val="000D14FE"/>
    <w:rsid w:val="000D150A"/>
    <w:rsid w:val="000D1521"/>
    <w:rsid w:val="000D156D"/>
    <w:rsid w:val="000D15ED"/>
    <w:rsid w:val="000D1602"/>
    <w:rsid w:val="000D16B5"/>
    <w:rsid w:val="000D16E4"/>
    <w:rsid w:val="000D16E5"/>
    <w:rsid w:val="000D1764"/>
    <w:rsid w:val="000D1771"/>
    <w:rsid w:val="000D1794"/>
    <w:rsid w:val="000D17AD"/>
    <w:rsid w:val="000D1867"/>
    <w:rsid w:val="000D1886"/>
    <w:rsid w:val="000D1890"/>
    <w:rsid w:val="000D1917"/>
    <w:rsid w:val="000D192D"/>
    <w:rsid w:val="000D1953"/>
    <w:rsid w:val="000D1972"/>
    <w:rsid w:val="000D1976"/>
    <w:rsid w:val="000D199A"/>
    <w:rsid w:val="000D1A45"/>
    <w:rsid w:val="000D1AEA"/>
    <w:rsid w:val="000D1AF9"/>
    <w:rsid w:val="000D1B17"/>
    <w:rsid w:val="000D1B5D"/>
    <w:rsid w:val="000D1B7A"/>
    <w:rsid w:val="000D1B93"/>
    <w:rsid w:val="000D1C8D"/>
    <w:rsid w:val="000D1D05"/>
    <w:rsid w:val="000D1D23"/>
    <w:rsid w:val="000D1D67"/>
    <w:rsid w:val="000D1D81"/>
    <w:rsid w:val="000D1D99"/>
    <w:rsid w:val="000D1D9C"/>
    <w:rsid w:val="000D1E3C"/>
    <w:rsid w:val="000D1EB3"/>
    <w:rsid w:val="000D1EE4"/>
    <w:rsid w:val="000D1F5C"/>
    <w:rsid w:val="000D1F83"/>
    <w:rsid w:val="000D205D"/>
    <w:rsid w:val="000D2060"/>
    <w:rsid w:val="000D2067"/>
    <w:rsid w:val="000D20AD"/>
    <w:rsid w:val="000D20F0"/>
    <w:rsid w:val="000D211E"/>
    <w:rsid w:val="000D2220"/>
    <w:rsid w:val="000D2223"/>
    <w:rsid w:val="000D2225"/>
    <w:rsid w:val="000D227A"/>
    <w:rsid w:val="000D22DA"/>
    <w:rsid w:val="000D22DB"/>
    <w:rsid w:val="000D2325"/>
    <w:rsid w:val="000D2328"/>
    <w:rsid w:val="000D23BB"/>
    <w:rsid w:val="000D241C"/>
    <w:rsid w:val="000D2440"/>
    <w:rsid w:val="000D2448"/>
    <w:rsid w:val="000D244D"/>
    <w:rsid w:val="000D245C"/>
    <w:rsid w:val="000D24D7"/>
    <w:rsid w:val="000D258B"/>
    <w:rsid w:val="000D25D8"/>
    <w:rsid w:val="000D25EE"/>
    <w:rsid w:val="000D2641"/>
    <w:rsid w:val="000D2664"/>
    <w:rsid w:val="000D26A4"/>
    <w:rsid w:val="000D27B1"/>
    <w:rsid w:val="000D27B2"/>
    <w:rsid w:val="000D2844"/>
    <w:rsid w:val="000D2860"/>
    <w:rsid w:val="000D287C"/>
    <w:rsid w:val="000D28D0"/>
    <w:rsid w:val="000D2919"/>
    <w:rsid w:val="000D2970"/>
    <w:rsid w:val="000D29CB"/>
    <w:rsid w:val="000D2A11"/>
    <w:rsid w:val="000D2A27"/>
    <w:rsid w:val="000D2A88"/>
    <w:rsid w:val="000D2B36"/>
    <w:rsid w:val="000D2B81"/>
    <w:rsid w:val="000D2BAD"/>
    <w:rsid w:val="000D2C42"/>
    <w:rsid w:val="000D2CBF"/>
    <w:rsid w:val="000D2CE0"/>
    <w:rsid w:val="000D2D70"/>
    <w:rsid w:val="000D2D95"/>
    <w:rsid w:val="000D2D9D"/>
    <w:rsid w:val="000D2DA5"/>
    <w:rsid w:val="000D2DEE"/>
    <w:rsid w:val="000D2E7B"/>
    <w:rsid w:val="000D2EFF"/>
    <w:rsid w:val="000D2F9F"/>
    <w:rsid w:val="000D301E"/>
    <w:rsid w:val="000D3030"/>
    <w:rsid w:val="000D30BD"/>
    <w:rsid w:val="000D3112"/>
    <w:rsid w:val="000D311F"/>
    <w:rsid w:val="000D31A1"/>
    <w:rsid w:val="000D320E"/>
    <w:rsid w:val="000D3278"/>
    <w:rsid w:val="000D329C"/>
    <w:rsid w:val="000D32B9"/>
    <w:rsid w:val="000D32D9"/>
    <w:rsid w:val="000D3337"/>
    <w:rsid w:val="000D333C"/>
    <w:rsid w:val="000D3361"/>
    <w:rsid w:val="000D3399"/>
    <w:rsid w:val="000D339A"/>
    <w:rsid w:val="000D33CB"/>
    <w:rsid w:val="000D33DE"/>
    <w:rsid w:val="000D3484"/>
    <w:rsid w:val="000D349D"/>
    <w:rsid w:val="000D3501"/>
    <w:rsid w:val="000D3511"/>
    <w:rsid w:val="000D352A"/>
    <w:rsid w:val="000D3595"/>
    <w:rsid w:val="000D360B"/>
    <w:rsid w:val="000D3616"/>
    <w:rsid w:val="000D3681"/>
    <w:rsid w:val="000D36C9"/>
    <w:rsid w:val="000D36FA"/>
    <w:rsid w:val="000D372D"/>
    <w:rsid w:val="000D376C"/>
    <w:rsid w:val="000D383E"/>
    <w:rsid w:val="000D3849"/>
    <w:rsid w:val="000D38B6"/>
    <w:rsid w:val="000D38E8"/>
    <w:rsid w:val="000D3917"/>
    <w:rsid w:val="000D3933"/>
    <w:rsid w:val="000D395D"/>
    <w:rsid w:val="000D39BF"/>
    <w:rsid w:val="000D39C9"/>
    <w:rsid w:val="000D39FA"/>
    <w:rsid w:val="000D3A43"/>
    <w:rsid w:val="000D3B53"/>
    <w:rsid w:val="000D3B58"/>
    <w:rsid w:val="000D3BB6"/>
    <w:rsid w:val="000D3BDB"/>
    <w:rsid w:val="000D3C25"/>
    <w:rsid w:val="000D3C54"/>
    <w:rsid w:val="000D3CB9"/>
    <w:rsid w:val="000D3D00"/>
    <w:rsid w:val="000D3DBB"/>
    <w:rsid w:val="000D3DD3"/>
    <w:rsid w:val="000D3E31"/>
    <w:rsid w:val="000D3E61"/>
    <w:rsid w:val="000D3E65"/>
    <w:rsid w:val="000D3E9C"/>
    <w:rsid w:val="000D3ECA"/>
    <w:rsid w:val="000D3EDE"/>
    <w:rsid w:val="000D3F37"/>
    <w:rsid w:val="000D3F50"/>
    <w:rsid w:val="000D3F66"/>
    <w:rsid w:val="000D3F77"/>
    <w:rsid w:val="000D3FD9"/>
    <w:rsid w:val="000D4060"/>
    <w:rsid w:val="000D408E"/>
    <w:rsid w:val="000D40C3"/>
    <w:rsid w:val="000D4183"/>
    <w:rsid w:val="000D4349"/>
    <w:rsid w:val="000D4355"/>
    <w:rsid w:val="000D43EC"/>
    <w:rsid w:val="000D43FB"/>
    <w:rsid w:val="000D441F"/>
    <w:rsid w:val="000D4442"/>
    <w:rsid w:val="000D446F"/>
    <w:rsid w:val="000D4524"/>
    <w:rsid w:val="000D4553"/>
    <w:rsid w:val="000D4558"/>
    <w:rsid w:val="000D457C"/>
    <w:rsid w:val="000D45B1"/>
    <w:rsid w:val="000D46A0"/>
    <w:rsid w:val="000D46D3"/>
    <w:rsid w:val="000D46F8"/>
    <w:rsid w:val="000D4716"/>
    <w:rsid w:val="000D4726"/>
    <w:rsid w:val="000D472F"/>
    <w:rsid w:val="000D47A4"/>
    <w:rsid w:val="000D47DE"/>
    <w:rsid w:val="000D48B7"/>
    <w:rsid w:val="000D4905"/>
    <w:rsid w:val="000D4912"/>
    <w:rsid w:val="000D4981"/>
    <w:rsid w:val="000D4A21"/>
    <w:rsid w:val="000D4A75"/>
    <w:rsid w:val="000D4A96"/>
    <w:rsid w:val="000D4AA7"/>
    <w:rsid w:val="000D4AAA"/>
    <w:rsid w:val="000D4B16"/>
    <w:rsid w:val="000D4B79"/>
    <w:rsid w:val="000D4B7E"/>
    <w:rsid w:val="000D4BC6"/>
    <w:rsid w:val="000D4BFE"/>
    <w:rsid w:val="000D4C53"/>
    <w:rsid w:val="000D4C60"/>
    <w:rsid w:val="000D4C6E"/>
    <w:rsid w:val="000D4C9E"/>
    <w:rsid w:val="000D4CD8"/>
    <w:rsid w:val="000D4D22"/>
    <w:rsid w:val="000D4DA7"/>
    <w:rsid w:val="000D4DFB"/>
    <w:rsid w:val="000D4E1E"/>
    <w:rsid w:val="000D4E61"/>
    <w:rsid w:val="000D4E98"/>
    <w:rsid w:val="000D4F60"/>
    <w:rsid w:val="000D4F8B"/>
    <w:rsid w:val="000D4F8E"/>
    <w:rsid w:val="000D4FD4"/>
    <w:rsid w:val="000D5020"/>
    <w:rsid w:val="000D507C"/>
    <w:rsid w:val="000D5087"/>
    <w:rsid w:val="000D50B1"/>
    <w:rsid w:val="000D50B3"/>
    <w:rsid w:val="000D5107"/>
    <w:rsid w:val="000D5130"/>
    <w:rsid w:val="000D5134"/>
    <w:rsid w:val="000D5137"/>
    <w:rsid w:val="000D5183"/>
    <w:rsid w:val="000D51BB"/>
    <w:rsid w:val="000D525A"/>
    <w:rsid w:val="000D5290"/>
    <w:rsid w:val="000D52BA"/>
    <w:rsid w:val="000D5320"/>
    <w:rsid w:val="000D53D3"/>
    <w:rsid w:val="000D5414"/>
    <w:rsid w:val="000D5449"/>
    <w:rsid w:val="000D548D"/>
    <w:rsid w:val="000D5496"/>
    <w:rsid w:val="000D54E8"/>
    <w:rsid w:val="000D5522"/>
    <w:rsid w:val="000D5536"/>
    <w:rsid w:val="000D5561"/>
    <w:rsid w:val="000D5570"/>
    <w:rsid w:val="000D55C0"/>
    <w:rsid w:val="000D55CF"/>
    <w:rsid w:val="000D55D4"/>
    <w:rsid w:val="000D5625"/>
    <w:rsid w:val="000D5635"/>
    <w:rsid w:val="000D5656"/>
    <w:rsid w:val="000D56DC"/>
    <w:rsid w:val="000D570D"/>
    <w:rsid w:val="000D5748"/>
    <w:rsid w:val="000D5753"/>
    <w:rsid w:val="000D5816"/>
    <w:rsid w:val="000D5873"/>
    <w:rsid w:val="000D587A"/>
    <w:rsid w:val="000D5895"/>
    <w:rsid w:val="000D58C2"/>
    <w:rsid w:val="000D59B4"/>
    <w:rsid w:val="000D5A10"/>
    <w:rsid w:val="000D5A4B"/>
    <w:rsid w:val="000D5A7A"/>
    <w:rsid w:val="000D5ABA"/>
    <w:rsid w:val="000D5AF3"/>
    <w:rsid w:val="000D5AF9"/>
    <w:rsid w:val="000D5B2E"/>
    <w:rsid w:val="000D5B38"/>
    <w:rsid w:val="000D5B3E"/>
    <w:rsid w:val="000D5B9F"/>
    <w:rsid w:val="000D5BC6"/>
    <w:rsid w:val="000D5C44"/>
    <w:rsid w:val="000D5C60"/>
    <w:rsid w:val="000D5CA2"/>
    <w:rsid w:val="000D5CB4"/>
    <w:rsid w:val="000D5D4B"/>
    <w:rsid w:val="000D5D59"/>
    <w:rsid w:val="000D5D5C"/>
    <w:rsid w:val="000D5DC1"/>
    <w:rsid w:val="000D5DE6"/>
    <w:rsid w:val="000D5E04"/>
    <w:rsid w:val="000D5E57"/>
    <w:rsid w:val="000D5E87"/>
    <w:rsid w:val="000D5EE8"/>
    <w:rsid w:val="000D5F33"/>
    <w:rsid w:val="000D5FC5"/>
    <w:rsid w:val="000D60D7"/>
    <w:rsid w:val="000D60E4"/>
    <w:rsid w:val="000D612B"/>
    <w:rsid w:val="000D6135"/>
    <w:rsid w:val="000D614F"/>
    <w:rsid w:val="000D615C"/>
    <w:rsid w:val="000D6186"/>
    <w:rsid w:val="000D61A0"/>
    <w:rsid w:val="000D61D6"/>
    <w:rsid w:val="000D626C"/>
    <w:rsid w:val="000D6270"/>
    <w:rsid w:val="000D62BF"/>
    <w:rsid w:val="000D62C4"/>
    <w:rsid w:val="000D62ED"/>
    <w:rsid w:val="000D62FC"/>
    <w:rsid w:val="000D6368"/>
    <w:rsid w:val="000D636F"/>
    <w:rsid w:val="000D6371"/>
    <w:rsid w:val="000D639B"/>
    <w:rsid w:val="000D6444"/>
    <w:rsid w:val="000D644D"/>
    <w:rsid w:val="000D64ED"/>
    <w:rsid w:val="000D64FE"/>
    <w:rsid w:val="000D65E1"/>
    <w:rsid w:val="000D660B"/>
    <w:rsid w:val="000D6658"/>
    <w:rsid w:val="000D666F"/>
    <w:rsid w:val="000D6675"/>
    <w:rsid w:val="000D6681"/>
    <w:rsid w:val="000D6688"/>
    <w:rsid w:val="000D66AC"/>
    <w:rsid w:val="000D67DE"/>
    <w:rsid w:val="000D6817"/>
    <w:rsid w:val="000D6853"/>
    <w:rsid w:val="000D6870"/>
    <w:rsid w:val="000D688A"/>
    <w:rsid w:val="000D68CE"/>
    <w:rsid w:val="000D6925"/>
    <w:rsid w:val="000D6970"/>
    <w:rsid w:val="000D697B"/>
    <w:rsid w:val="000D6A2B"/>
    <w:rsid w:val="000D6A38"/>
    <w:rsid w:val="000D6AAD"/>
    <w:rsid w:val="000D6AFF"/>
    <w:rsid w:val="000D6B19"/>
    <w:rsid w:val="000D6B92"/>
    <w:rsid w:val="000D6BDC"/>
    <w:rsid w:val="000D6C20"/>
    <w:rsid w:val="000D6C30"/>
    <w:rsid w:val="000D6C76"/>
    <w:rsid w:val="000D6C7E"/>
    <w:rsid w:val="000D6CC9"/>
    <w:rsid w:val="000D6D24"/>
    <w:rsid w:val="000D6DA6"/>
    <w:rsid w:val="000D6E2F"/>
    <w:rsid w:val="000D6E57"/>
    <w:rsid w:val="000D6EA9"/>
    <w:rsid w:val="000D6EEF"/>
    <w:rsid w:val="000D6FA1"/>
    <w:rsid w:val="000D6FD8"/>
    <w:rsid w:val="000D7003"/>
    <w:rsid w:val="000D7051"/>
    <w:rsid w:val="000D70C7"/>
    <w:rsid w:val="000D7104"/>
    <w:rsid w:val="000D7116"/>
    <w:rsid w:val="000D7154"/>
    <w:rsid w:val="000D71FF"/>
    <w:rsid w:val="000D721C"/>
    <w:rsid w:val="000D7246"/>
    <w:rsid w:val="000D72E1"/>
    <w:rsid w:val="000D72F6"/>
    <w:rsid w:val="000D73B1"/>
    <w:rsid w:val="000D746D"/>
    <w:rsid w:val="000D74D1"/>
    <w:rsid w:val="000D74D5"/>
    <w:rsid w:val="000D74D7"/>
    <w:rsid w:val="000D74E2"/>
    <w:rsid w:val="000D7511"/>
    <w:rsid w:val="000D753B"/>
    <w:rsid w:val="000D75F3"/>
    <w:rsid w:val="000D75FC"/>
    <w:rsid w:val="000D765F"/>
    <w:rsid w:val="000D76A1"/>
    <w:rsid w:val="000D76B6"/>
    <w:rsid w:val="000D76C3"/>
    <w:rsid w:val="000D76DC"/>
    <w:rsid w:val="000D770C"/>
    <w:rsid w:val="000D7726"/>
    <w:rsid w:val="000D77B5"/>
    <w:rsid w:val="000D77BB"/>
    <w:rsid w:val="000D77FD"/>
    <w:rsid w:val="000D7843"/>
    <w:rsid w:val="000D7885"/>
    <w:rsid w:val="000D78D8"/>
    <w:rsid w:val="000D78FA"/>
    <w:rsid w:val="000D7913"/>
    <w:rsid w:val="000D7965"/>
    <w:rsid w:val="000D798F"/>
    <w:rsid w:val="000D79C9"/>
    <w:rsid w:val="000D79DB"/>
    <w:rsid w:val="000D79DC"/>
    <w:rsid w:val="000D7A1B"/>
    <w:rsid w:val="000D7A2F"/>
    <w:rsid w:val="000D7A5C"/>
    <w:rsid w:val="000D7A63"/>
    <w:rsid w:val="000D7B34"/>
    <w:rsid w:val="000D7B5C"/>
    <w:rsid w:val="000D7B70"/>
    <w:rsid w:val="000D7BB1"/>
    <w:rsid w:val="000D7BE5"/>
    <w:rsid w:val="000D7BF3"/>
    <w:rsid w:val="000D7C0D"/>
    <w:rsid w:val="000D7C4B"/>
    <w:rsid w:val="000D7C4C"/>
    <w:rsid w:val="000D7C94"/>
    <w:rsid w:val="000D7C98"/>
    <w:rsid w:val="000D7C99"/>
    <w:rsid w:val="000D7CE2"/>
    <w:rsid w:val="000D7D0E"/>
    <w:rsid w:val="000D7D1E"/>
    <w:rsid w:val="000D7D6D"/>
    <w:rsid w:val="000D7D8F"/>
    <w:rsid w:val="000D7E04"/>
    <w:rsid w:val="000D7EAE"/>
    <w:rsid w:val="000D7F42"/>
    <w:rsid w:val="000D7F6A"/>
    <w:rsid w:val="000D7F7C"/>
    <w:rsid w:val="000E0078"/>
    <w:rsid w:val="000E0084"/>
    <w:rsid w:val="000E00C7"/>
    <w:rsid w:val="000E010A"/>
    <w:rsid w:val="000E017B"/>
    <w:rsid w:val="000E019F"/>
    <w:rsid w:val="000E01B0"/>
    <w:rsid w:val="000E01D5"/>
    <w:rsid w:val="000E01DE"/>
    <w:rsid w:val="000E028B"/>
    <w:rsid w:val="000E02B8"/>
    <w:rsid w:val="000E02EA"/>
    <w:rsid w:val="000E02FF"/>
    <w:rsid w:val="000E0314"/>
    <w:rsid w:val="000E0358"/>
    <w:rsid w:val="000E03A1"/>
    <w:rsid w:val="000E0405"/>
    <w:rsid w:val="000E0425"/>
    <w:rsid w:val="000E04A5"/>
    <w:rsid w:val="000E0531"/>
    <w:rsid w:val="000E0534"/>
    <w:rsid w:val="000E057C"/>
    <w:rsid w:val="000E05A7"/>
    <w:rsid w:val="000E05E2"/>
    <w:rsid w:val="000E05E4"/>
    <w:rsid w:val="000E061A"/>
    <w:rsid w:val="000E062C"/>
    <w:rsid w:val="000E0636"/>
    <w:rsid w:val="000E068F"/>
    <w:rsid w:val="000E06AF"/>
    <w:rsid w:val="000E0737"/>
    <w:rsid w:val="000E0758"/>
    <w:rsid w:val="000E0774"/>
    <w:rsid w:val="000E0787"/>
    <w:rsid w:val="000E081A"/>
    <w:rsid w:val="000E08BE"/>
    <w:rsid w:val="000E08C2"/>
    <w:rsid w:val="000E08CE"/>
    <w:rsid w:val="000E08E5"/>
    <w:rsid w:val="000E0938"/>
    <w:rsid w:val="000E096D"/>
    <w:rsid w:val="000E098B"/>
    <w:rsid w:val="000E09FD"/>
    <w:rsid w:val="000E0A63"/>
    <w:rsid w:val="000E0A8B"/>
    <w:rsid w:val="000E0AC1"/>
    <w:rsid w:val="000E0B02"/>
    <w:rsid w:val="000E0B08"/>
    <w:rsid w:val="000E0B2D"/>
    <w:rsid w:val="000E0B74"/>
    <w:rsid w:val="000E0BA1"/>
    <w:rsid w:val="000E0BA5"/>
    <w:rsid w:val="000E0BB2"/>
    <w:rsid w:val="000E0BCD"/>
    <w:rsid w:val="000E0C63"/>
    <w:rsid w:val="000E0C65"/>
    <w:rsid w:val="000E0C72"/>
    <w:rsid w:val="000E0CB5"/>
    <w:rsid w:val="000E0CC0"/>
    <w:rsid w:val="000E0D1B"/>
    <w:rsid w:val="000E0D2A"/>
    <w:rsid w:val="000E0D31"/>
    <w:rsid w:val="000E0D70"/>
    <w:rsid w:val="000E0D9A"/>
    <w:rsid w:val="000E0DB6"/>
    <w:rsid w:val="000E0DF7"/>
    <w:rsid w:val="000E0E66"/>
    <w:rsid w:val="000E0E72"/>
    <w:rsid w:val="000E0EC5"/>
    <w:rsid w:val="000E0EF2"/>
    <w:rsid w:val="000E0F52"/>
    <w:rsid w:val="000E0FA0"/>
    <w:rsid w:val="000E0FA7"/>
    <w:rsid w:val="000E0FB2"/>
    <w:rsid w:val="000E1009"/>
    <w:rsid w:val="000E1076"/>
    <w:rsid w:val="000E1093"/>
    <w:rsid w:val="000E10AE"/>
    <w:rsid w:val="000E1115"/>
    <w:rsid w:val="000E1148"/>
    <w:rsid w:val="000E1205"/>
    <w:rsid w:val="000E12AE"/>
    <w:rsid w:val="000E12C2"/>
    <w:rsid w:val="000E12EB"/>
    <w:rsid w:val="000E136C"/>
    <w:rsid w:val="000E138D"/>
    <w:rsid w:val="000E13AC"/>
    <w:rsid w:val="000E1412"/>
    <w:rsid w:val="000E14F2"/>
    <w:rsid w:val="000E1543"/>
    <w:rsid w:val="000E15BB"/>
    <w:rsid w:val="000E1600"/>
    <w:rsid w:val="000E1651"/>
    <w:rsid w:val="000E17C4"/>
    <w:rsid w:val="000E18B3"/>
    <w:rsid w:val="000E1945"/>
    <w:rsid w:val="000E195A"/>
    <w:rsid w:val="000E196F"/>
    <w:rsid w:val="000E19CB"/>
    <w:rsid w:val="000E1A16"/>
    <w:rsid w:val="000E1A32"/>
    <w:rsid w:val="000E1A56"/>
    <w:rsid w:val="000E1ADC"/>
    <w:rsid w:val="000E1B0C"/>
    <w:rsid w:val="000E1B68"/>
    <w:rsid w:val="000E1BD4"/>
    <w:rsid w:val="000E1BE3"/>
    <w:rsid w:val="000E1C1A"/>
    <w:rsid w:val="000E1C38"/>
    <w:rsid w:val="000E1C67"/>
    <w:rsid w:val="000E1C68"/>
    <w:rsid w:val="000E1C9D"/>
    <w:rsid w:val="000E1CA6"/>
    <w:rsid w:val="000E1CFC"/>
    <w:rsid w:val="000E1D5E"/>
    <w:rsid w:val="000E1D6E"/>
    <w:rsid w:val="000E1D70"/>
    <w:rsid w:val="000E1D78"/>
    <w:rsid w:val="000E1D88"/>
    <w:rsid w:val="000E1DCF"/>
    <w:rsid w:val="000E1DD8"/>
    <w:rsid w:val="000E1DEC"/>
    <w:rsid w:val="000E1E22"/>
    <w:rsid w:val="000E1E49"/>
    <w:rsid w:val="000E1E5C"/>
    <w:rsid w:val="000E1EA1"/>
    <w:rsid w:val="000E1F20"/>
    <w:rsid w:val="000E2036"/>
    <w:rsid w:val="000E206B"/>
    <w:rsid w:val="000E206F"/>
    <w:rsid w:val="000E2074"/>
    <w:rsid w:val="000E20CE"/>
    <w:rsid w:val="000E20E0"/>
    <w:rsid w:val="000E2103"/>
    <w:rsid w:val="000E216F"/>
    <w:rsid w:val="000E21AA"/>
    <w:rsid w:val="000E21DD"/>
    <w:rsid w:val="000E22AD"/>
    <w:rsid w:val="000E22BE"/>
    <w:rsid w:val="000E22C4"/>
    <w:rsid w:val="000E22C9"/>
    <w:rsid w:val="000E22E5"/>
    <w:rsid w:val="000E22E6"/>
    <w:rsid w:val="000E232E"/>
    <w:rsid w:val="000E2363"/>
    <w:rsid w:val="000E23BF"/>
    <w:rsid w:val="000E2432"/>
    <w:rsid w:val="000E2486"/>
    <w:rsid w:val="000E2523"/>
    <w:rsid w:val="000E2550"/>
    <w:rsid w:val="000E25AE"/>
    <w:rsid w:val="000E25C0"/>
    <w:rsid w:val="000E25C6"/>
    <w:rsid w:val="000E266E"/>
    <w:rsid w:val="000E2692"/>
    <w:rsid w:val="000E26D1"/>
    <w:rsid w:val="000E2708"/>
    <w:rsid w:val="000E2748"/>
    <w:rsid w:val="000E2773"/>
    <w:rsid w:val="000E27AA"/>
    <w:rsid w:val="000E27AE"/>
    <w:rsid w:val="000E27D8"/>
    <w:rsid w:val="000E27F6"/>
    <w:rsid w:val="000E282F"/>
    <w:rsid w:val="000E2873"/>
    <w:rsid w:val="000E2875"/>
    <w:rsid w:val="000E28EE"/>
    <w:rsid w:val="000E2919"/>
    <w:rsid w:val="000E2992"/>
    <w:rsid w:val="000E29B2"/>
    <w:rsid w:val="000E29F2"/>
    <w:rsid w:val="000E2A44"/>
    <w:rsid w:val="000E2A88"/>
    <w:rsid w:val="000E2AA3"/>
    <w:rsid w:val="000E2AC5"/>
    <w:rsid w:val="000E2B0C"/>
    <w:rsid w:val="000E2B69"/>
    <w:rsid w:val="000E2B97"/>
    <w:rsid w:val="000E2BCE"/>
    <w:rsid w:val="000E2BE0"/>
    <w:rsid w:val="000E2BFF"/>
    <w:rsid w:val="000E2C95"/>
    <w:rsid w:val="000E2CBB"/>
    <w:rsid w:val="000E2D10"/>
    <w:rsid w:val="000E2D1B"/>
    <w:rsid w:val="000E2D77"/>
    <w:rsid w:val="000E2DD5"/>
    <w:rsid w:val="000E2E86"/>
    <w:rsid w:val="000E2E9C"/>
    <w:rsid w:val="000E2F5A"/>
    <w:rsid w:val="000E2FBB"/>
    <w:rsid w:val="000E2FBF"/>
    <w:rsid w:val="000E3016"/>
    <w:rsid w:val="000E301C"/>
    <w:rsid w:val="000E30FC"/>
    <w:rsid w:val="000E3102"/>
    <w:rsid w:val="000E316C"/>
    <w:rsid w:val="000E31AB"/>
    <w:rsid w:val="000E325F"/>
    <w:rsid w:val="000E32AE"/>
    <w:rsid w:val="000E3359"/>
    <w:rsid w:val="000E33AA"/>
    <w:rsid w:val="000E33DB"/>
    <w:rsid w:val="000E342D"/>
    <w:rsid w:val="000E34B0"/>
    <w:rsid w:val="000E3584"/>
    <w:rsid w:val="000E35B6"/>
    <w:rsid w:val="000E3679"/>
    <w:rsid w:val="000E368F"/>
    <w:rsid w:val="000E36A2"/>
    <w:rsid w:val="000E36D4"/>
    <w:rsid w:val="000E36D7"/>
    <w:rsid w:val="000E36E6"/>
    <w:rsid w:val="000E37A7"/>
    <w:rsid w:val="000E3823"/>
    <w:rsid w:val="000E383F"/>
    <w:rsid w:val="000E3856"/>
    <w:rsid w:val="000E3892"/>
    <w:rsid w:val="000E389D"/>
    <w:rsid w:val="000E38B4"/>
    <w:rsid w:val="000E3904"/>
    <w:rsid w:val="000E3937"/>
    <w:rsid w:val="000E394D"/>
    <w:rsid w:val="000E3953"/>
    <w:rsid w:val="000E396C"/>
    <w:rsid w:val="000E3983"/>
    <w:rsid w:val="000E3989"/>
    <w:rsid w:val="000E3A2D"/>
    <w:rsid w:val="000E3A83"/>
    <w:rsid w:val="000E3B29"/>
    <w:rsid w:val="000E3B2A"/>
    <w:rsid w:val="000E3B50"/>
    <w:rsid w:val="000E3B65"/>
    <w:rsid w:val="000E3BC1"/>
    <w:rsid w:val="000E3BDA"/>
    <w:rsid w:val="000E3BE5"/>
    <w:rsid w:val="000E3C07"/>
    <w:rsid w:val="000E3E09"/>
    <w:rsid w:val="000E3E68"/>
    <w:rsid w:val="000E3E6A"/>
    <w:rsid w:val="000E3EEA"/>
    <w:rsid w:val="000E3F19"/>
    <w:rsid w:val="000E3F78"/>
    <w:rsid w:val="000E3FEC"/>
    <w:rsid w:val="000E4021"/>
    <w:rsid w:val="000E4070"/>
    <w:rsid w:val="000E40F2"/>
    <w:rsid w:val="000E4116"/>
    <w:rsid w:val="000E4134"/>
    <w:rsid w:val="000E4137"/>
    <w:rsid w:val="000E41DE"/>
    <w:rsid w:val="000E41F3"/>
    <w:rsid w:val="000E425E"/>
    <w:rsid w:val="000E4262"/>
    <w:rsid w:val="000E4297"/>
    <w:rsid w:val="000E42A6"/>
    <w:rsid w:val="000E42BA"/>
    <w:rsid w:val="000E42FD"/>
    <w:rsid w:val="000E43FC"/>
    <w:rsid w:val="000E4481"/>
    <w:rsid w:val="000E44F3"/>
    <w:rsid w:val="000E4577"/>
    <w:rsid w:val="000E4581"/>
    <w:rsid w:val="000E46B3"/>
    <w:rsid w:val="000E46ED"/>
    <w:rsid w:val="000E476B"/>
    <w:rsid w:val="000E477D"/>
    <w:rsid w:val="000E4780"/>
    <w:rsid w:val="000E47C6"/>
    <w:rsid w:val="000E47F0"/>
    <w:rsid w:val="000E47FE"/>
    <w:rsid w:val="000E481C"/>
    <w:rsid w:val="000E490C"/>
    <w:rsid w:val="000E4923"/>
    <w:rsid w:val="000E493C"/>
    <w:rsid w:val="000E4940"/>
    <w:rsid w:val="000E497B"/>
    <w:rsid w:val="000E49E1"/>
    <w:rsid w:val="000E4A14"/>
    <w:rsid w:val="000E4A1A"/>
    <w:rsid w:val="000E4A35"/>
    <w:rsid w:val="000E4AC0"/>
    <w:rsid w:val="000E4B00"/>
    <w:rsid w:val="000E4B25"/>
    <w:rsid w:val="000E4B91"/>
    <w:rsid w:val="000E4BB7"/>
    <w:rsid w:val="000E4BD2"/>
    <w:rsid w:val="000E4C45"/>
    <w:rsid w:val="000E4C53"/>
    <w:rsid w:val="000E4D3B"/>
    <w:rsid w:val="000E4D6E"/>
    <w:rsid w:val="000E4D76"/>
    <w:rsid w:val="000E4E29"/>
    <w:rsid w:val="000E4E30"/>
    <w:rsid w:val="000E4EBF"/>
    <w:rsid w:val="000E4F75"/>
    <w:rsid w:val="000E502E"/>
    <w:rsid w:val="000E504E"/>
    <w:rsid w:val="000E5079"/>
    <w:rsid w:val="000E50A4"/>
    <w:rsid w:val="000E50D4"/>
    <w:rsid w:val="000E50F2"/>
    <w:rsid w:val="000E5115"/>
    <w:rsid w:val="000E512C"/>
    <w:rsid w:val="000E514A"/>
    <w:rsid w:val="000E5189"/>
    <w:rsid w:val="000E526F"/>
    <w:rsid w:val="000E5280"/>
    <w:rsid w:val="000E52BD"/>
    <w:rsid w:val="000E52C7"/>
    <w:rsid w:val="000E52FF"/>
    <w:rsid w:val="000E5308"/>
    <w:rsid w:val="000E5377"/>
    <w:rsid w:val="000E5385"/>
    <w:rsid w:val="000E53BB"/>
    <w:rsid w:val="000E5405"/>
    <w:rsid w:val="000E5431"/>
    <w:rsid w:val="000E547C"/>
    <w:rsid w:val="000E54C2"/>
    <w:rsid w:val="000E54C7"/>
    <w:rsid w:val="000E54F1"/>
    <w:rsid w:val="000E552F"/>
    <w:rsid w:val="000E5536"/>
    <w:rsid w:val="000E5575"/>
    <w:rsid w:val="000E5656"/>
    <w:rsid w:val="000E56B3"/>
    <w:rsid w:val="000E56F8"/>
    <w:rsid w:val="000E5706"/>
    <w:rsid w:val="000E5779"/>
    <w:rsid w:val="000E57AD"/>
    <w:rsid w:val="000E57B5"/>
    <w:rsid w:val="000E5846"/>
    <w:rsid w:val="000E585D"/>
    <w:rsid w:val="000E5894"/>
    <w:rsid w:val="000E5897"/>
    <w:rsid w:val="000E58C0"/>
    <w:rsid w:val="000E59D1"/>
    <w:rsid w:val="000E5A33"/>
    <w:rsid w:val="000E5A44"/>
    <w:rsid w:val="000E5A5D"/>
    <w:rsid w:val="000E5A76"/>
    <w:rsid w:val="000E5B28"/>
    <w:rsid w:val="000E5B2C"/>
    <w:rsid w:val="000E5B62"/>
    <w:rsid w:val="000E5BB3"/>
    <w:rsid w:val="000E5BC2"/>
    <w:rsid w:val="000E5C2C"/>
    <w:rsid w:val="000E5D03"/>
    <w:rsid w:val="000E5D82"/>
    <w:rsid w:val="000E5DE5"/>
    <w:rsid w:val="000E5E9D"/>
    <w:rsid w:val="000E5EA8"/>
    <w:rsid w:val="000E5EEC"/>
    <w:rsid w:val="000E5EF5"/>
    <w:rsid w:val="000E5F43"/>
    <w:rsid w:val="000E6043"/>
    <w:rsid w:val="000E60D2"/>
    <w:rsid w:val="000E60F6"/>
    <w:rsid w:val="000E6112"/>
    <w:rsid w:val="000E623B"/>
    <w:rsid w:val="000E62D6"/>
    <w:rsid w:val="000E63DB"/>
    <w:rsid w:val="000E63EE"/>
    <w:rsid w:val="000E645F"/>
    <w:rsid w:val="000E6471"/>
    <w:rsid w:val="000E651E"/>
    <w:rsid w:val="000E6531"/>
    <w:rsid w:val="000E6538"/>
    <w:rsid w:val="000E6548"/>
    <w:rsid w:val="000E6553"/>
    <w:rsid w:val="000E6568"/>
    <w:rsid w:val="000E65DD"/>
    <w:rsid w:val="000E65F5"/>
    <w:rsid w:val="000E6632"/>
    <w:rsid w:val="000E663B"/>
    <w:rsid w:val="000E6651"/>
    <w:rsid w:val="000E665C"/>
    <w:rsid w:val="000E66A5"/>
    <w:rsid w:val="000E6724"/>
    <w:rsid w:val="000E6749"/>
    <w:rsid w:val="000E67A2"/>
    <w:rsid w:val="000E6854"/>
    <w:rsid w:val="000E6863"/>
    <w:rsid w:val="000E68DB"/>
    <w:rsid w:val="000E697F"/>
    <w:rsid w:val="000E69AD"/>
    <w:rsid w:val="000E6ABD"/>
    <w:rsid w:val="000E6B0A"/>
    <w:rsid w:val="000E6B5A"/>
    <w:rsid w:val="000E6C04"/>
    <w:rsid w:val="000E6C18"/>
    <w:rsid w:val="000E6C67"/>
    <w:rsid w:val="000E6C8D"/>
    <w:rsid w:val="000E6CD4"/>
    <w:rsid w:val="000E6D21"/>
    <w:rsid w:val="000E6DE5"/>
    <w:rsid w:val="000E6E26"/>
    <w:rsid w:val="000E6EAE"/>
    <w:rsid w:val="000E6EF0"/>
    <w:rsid w:val="000E6F9A"/>
    <w:rsid w:val="000E6FBD"/>
    <w:rsid w:val="000E7028"/>
    <w:rsid w:val="000E702E"/>
    <w:rsid w:val="000E7103"/>
    <w:rsid w:val="000E716C"/>
    <w:rsid w:val="000E718A"/>
    <w:rsid w:val="000E71B6"/>
    <w:rsid w:val="000E7275"/>
    <w:rsid w:val="000E7399"/>
    <w:rsid w:val="000E73C3"/>
    <w:rsid w:val="000E73C6"/>
    <w:rsid w:val="000E73D8"/>
    <w:rsid w:val="000E73F2"/>
    <w:rsid w:val="000E74A0"/>
    <w:rsid w:val="000E74E1"/>
    <w:rsid w:val="000E74F0"/>
    <w:rsid w:val="000E755D"/>
    <w:rsid w:val="000E75A6"/>
    <w:rsid w:val="000E75D3"/>
    <w:rsid w:val="000E75DE"/>
    <w:rsid w:val="000E7602"/>
    <w:rsid w:val="000E763C"/>
    <w:rsid w:val="000E7647"/>
    <w:rsid w:val="000E76A8"/>
    <w:rsid w:val="000E76FD"/>
    <w:rsid w:val="000E7729"/>
    <w:rsid w:val="000E7743"/>
    <w:rsid w:val="000E7766"/>
    <w:rsid w:val="000E77BA"/>
    <w:rsid w:val="000E7809"/>
    <w:rsid w:val="000E7827"/>
    <w:rsid w:val="000E7847"/>
    <w:rsid w:val="000E78F1"/>
    <w:rsid w:val="000E78FF"/>
    <w:rsid w:val="000E7901"/>
    <w:rsid w:val="000E7924"/>
    <w:rsid w:val="000E7949"/>
    <w:rsid w:val="000E7955"/>
    <w:rsid w:val="000E7968"/>
    <w:rsid w:val="000E79AA"/>
    <w:rsid w:val="000E7A0C"/>
    <w:rsid w:val="000E7B5E"/>
    <w:rsid w:val="000E7B8E"/>
    <w:rsid w:val="000E7BE9"/>
    <w:rsid w:val="000E7C62"/>
    <w:rsid w:val="000E7CCA"/>
    <w:rsid w:val="000E7D21"/>
    <w:rsid w:val="000E7D30"/>
    <w:rsid w:val="000E7D90"/>
    <w:rsid w:val="000E7DA1"/>
    <w:rsid w:val="000E7E14"/>
    <w:rsid w:val="000E7E8F"/>
    <w:rsid w:val="000E7EA3"/>
    <w:rsid w:val="000E7EC3"/>
    <w:rsid w:val="000E7EFE"/>
    <w:rsid w:val="000E7EFF"/>
    <w:rsid w:val="000E7F0F"/>
    <w:rsid w:val="000E7F2F"/>
    <w:rsid w:val="000E7F3B"/>
    <w:rsid w:val="000E7F74"/>
    <w:rsid w:val="000F005F"/>
    <w:rsid w:val="000F0087"/>
    <w:rsid w:val="000F00B2"/>
    <w:rsid w:val="000F00EA"/>
    <w:rsid w:val="000F00EC"/>
    <w:rsid w:val="000F0114"/>
    <w:rsid w:val="000F0119"/>
    <w:rsid w:val="000F0130"/>
    <w:rsid w:val="000F0190"/>
    <w:rsid w:val="000F01AB"/>
    <w:rsid w:val="000F01BA"/>
    <w:rsid w:val="000F025E"/>
    <w:rsid w:val="000F02AE"/>
    <w:rsid w:val="000F0343"/>
    <w:rsid w:val="000F03A1"/>
    <w:rsid w:val="000F03B2"/>
    <w:rsid w:val="000F03BA"/>
    <w:rsid w:val="000F03C8"/>
    <w:rsid w:val="000F044C"/>
    <w:rsid w:val="000F04E1"/>
    <w:rsid w:val="000F0500"/>
    <w:rsid w:val="000F0506"/>
    <w:rsid w:val="000F0536"/>
    <w:rsid w:val="000F05AA"/>
    <w:rsid w:val="000F05EB"/>
    <w:rsid w:val="000F064F"/>
    <w:rsid w:val="000F0693"/>
    <w:rsid w:val="000F06C1"/>
    <w:rsid w:val="000F074C"/>
    <w:rsid w:val="000F0772"/>
    <w:rsid w:val="000F07B9"/>
    <w:rsid w:val="000F07C0"/>
    <w:rsid w:val="000F0832"/>
    <w:rsid w:val="000F083B"/>
    <w:rsid w:val="000F0885"/>
    <w:rsid w:val="000F08C4"/>
    <w:rsid w:val="000F091F"/>
    <w:rsid w:val="000F0989"/>
    <w:rsid w:val="000F0A42"/>
    <w:rsid w:val="000F0A7D"/>
    <w:rsid w:val="000F0A8C"/>
    <w:rsid w:val="000F0B04"/>
    <w:rsid w:val="000F0B53"/>
    <w:rsid w:val="000F0BDD"/>
    <w:rsid w:val="000F0C31"/>
    <w:rsid w:val="000F0C99"/>
    <w:rsid w:val="000F0CC8"/>
    <w:rsid w:val="000F0D03"/>
    <w:rsid w:val="000F0D6D"/>
    <w:rsid w:val="000F0DE2"/>
    <w:rsid w:val="000F0E26"/>
    <w:rsid w:val="000F0E36"/>
    <w:rsid w:val="000F0E69"/>
    <w:rsid w:val="000F0E71"/>
    <w:rsid w:val="000F0EC2"/>
    <w:rsid w:val="000F0EDD"/>
    <w:rsid w:val="000F0EED"/>
    <w:rsid w:val="000F0F17"/>
    <w:rsid w:val="000F0F5C"/>
    <w:rsid w:val="000F0FBF"/>
    <w:rsid w:val="000F0FF7"/>
    <w:rsid w:val="000F104B"/>
    <w:rsid w:val="000F1072"/>
    <w:rsid w:val="000F1086"/>
    <w:rsid w:val="000F10A5"/>
    <w:rsid w:val="000F111B"/>
    <w:rsid w:val="000F11CC"/>
    <w:rsid w:val="000F121B"/>
    <w:rsid w:val="000F1230"/>
    <w:rsid w:val="000F1234"/>
    <w:rsid w:val="000F1243"/>
    <w:rsid w:val="000F124F"/>
    <w:rsid w:val="000F12CB"/>
    <w:rsid w:val="000F1309"/>
    <w:rsid w:val="000F1349"/>
    <w:rsid w:val="000F1373"/>
    <w:rsid w:val="000F14A7"/>
    <w:rsid w:val="000F14EE"/>
    <w:rsid w:val="000F1506"/>
    <w:rsid w:val="000F1534"/>
    <w:rsid w:val="000F1555"/>
    <w:rsid w:val="000F156B"/>
    <w:rsid w:val="000F157B"/>
    <w:rsid w:val="000F158E"/>
    <w:rsid w:val="000F1590"/>
    <w:rsid w:val="000F15BD"/>
    <w:rsid w:val="000F169D"/>
    <w:rsid w:val="000F16C0"/>
    <w:rsid w:val="000F1801"/>
    <w:rsid w:val="000F180D"/>
    <w:rsid w:val="000F1829"/>
    <w:rsid w:val="000F1875"/>
    <w:rsid w:val="000F1882"/>
    <w:rsid w:val="000F193B"/>
    <w:rsid w:val="000F1940"/>
    <w:rsid w:val="000F199F"/>
    <w:rsid w:val="000F19CB"/>
    <w:rsid w:val="000F1A7C"/>
    <w:rsid w:val="000F1B61"/>
    <w:rsid w:val="000F1B66"/>
    <w:rsid w:val="000F1BF6"/>
    <w:rsid w:val="000F1C14"/>
    <w:rsid w:val="000F1C85"/>
    <w:rsid w:val="000F1D24"/>
    <w:rsid w:val="000F1DAF"/>
    <w:rsid w:val="000F1DCA"/>
    <w:rsid w:val="000F1E0F"/>
    <w:rsid w:val="000F1F03"/>
    <w:rsid w:val="000F1F1B"/>
    <w:rsid w:val="000F1F41"/>
    <w:rsid w:val="000F1FDD"/>
    <w:rsid w:val="000F1FF5"/>
    <w:rsid w:val="000F200A"/>
    <w:rsid w:val="000F2049"/>
    <w:rsid w:val="000F20AA"/>
    <w:rsid w:val="000F20E7"/>
    <w:rsid w:val="000F2129"/>
    <w:rsid w:val="000F21E7"/>
    <w:rsid w:val="000F2210"/>
    <w:rsid w:val="000F2272"/>
    <w:rsid w:val="000F228B"/>
    <w:rsid w:val="000F22C1"/>
    <w:rsid w:val="000F236D"/>
    <w:rsid w:val="000F2390"/>
    <w:rsid w:val="000F246C"/>
    <w:rsid w:val="000F24BE"/>
    <w:rsid w:val="000F253C"/>
    <w:rsid w:val="000F2559"/>
    <w:rsid w:val="000F25D9"/>
    <w:rsid w:val="000F2695"/>
    <w:rsid w:val="000F2714"/>
    <w:rsid w:val="000F2749"/>
    <w:rsid w:val="000F274A"/>
    <w:rsid w:val="000F2776"/>
    <w:rsid w:val="000F27C3"/>
    <w:rsid w:val="000F2814"/>
    <w:rsid w:val="000F281E"/>
    <w:rsid w:val="000F28D8"/>
    <w:rsid w:val="000F28EE"/>
    <w:rsid w:val="000F2959"/>
    <w:rsid w:val="000F2993"/>
    <w:rsid w:val="000F299B"/>
    <w:rsid w:val="000F29AC"/>
    <w:rsid w:val="000F2A2B"/>
    <w:rsid w:val="000F2A40"/>
    <w:rsid w:val="000F2A49"/>
    <w:rsid w:val="000F2A88"/>
    <w:rsid w:val="000F2ACA"/>
    <w:rsid w:val="000F2AF1"/>
    <w:rsid w:val="000F2B74"/>
    <w:rsid w:val="000F2C22"/>
    <w:rsid w:val="000F2CB9"/>
    <w:rsid w:val="000F2CE2"/>
    <w:rsid w:val="000F2D01"/>
    <w:rsid w:val="000F2D7B"/>
    <w:rsid w:val="000F2DAE"/>
    <w:rsid w:val="000F2E74"/>
    <w:rsid w:val="000F2F3D"/>
    <w:rsid w:val="000F2F8E"/>
    <w:rsid w:val="000F2FAE"/>
    <w:rsid w:val="000F2FB7"/>
    <w:rsid w:val="000F2FD8"/>
    <w:rsid w:val="000F3005"/>
    <w:rsid w:val="000F3106"/>
    <w:rsid w:val="000F3152"/>
    <w:rsid w:val="000F316C"/>
    <w:rsid w:val="000F318E"/>
    <w:rsid w:val="000F31FF"/>
    <w:rsid w:val="000F3245"/>
    <w:rsid w:val="000F3250"/>
    <w:rsid w:val="000F3258"/>
    <w:rsid w:val="000F328D"/>
    <w:rsid w:val="000F3299"/>
    <w:rsid w:val="000F32A5"/>
    <w:rsid w:val="000F3344"/>
    <w:rsid w:val="000F335F"/>
    <w:rsid w:val="000F33B2"/>
    <w:rsid w:val="000F33FF"/>
    <w:rsid w:val="000F347D"/>
    <w:rsid w:val="000F3492"/>
    <w:rsid w:val="000F34C7"/>
    <w:rsid w:val="000F34D1"/>
    <w:rsid w:val="000F34E3"/>
    <w:rsid w:val="000F3529"/>
    <w:rsid w:val="000F353D"/>
    <w:rsid w:val="000F3548"/>
    <w:rsid w:val="000F3553"/>
    <w:rsid w:val="000F3565"/>
    <w:rsid w:val="000F35D6"/>
    <w:rsid w:val="000F360C"/>
    <w:rsid w:val="000F3620"/>
    <w:rsid w:val="000F3638"/>
    <w:rsid w:val="000F3649"/>
    <w:rsid w:val="000F36CA"/>
    <w:rsid w:val="000F36E4"/>
    <w:rsid w:val="000F3711"/>
    <w:rsid w:val="000F3733"/>
    <w:rsid w:val="000F374B"/>
    <w:rsid w:val="000F3849"/>
    <w:rsid w:val="000F3880"/>
    <w:rsid w:val="000F3918"/>
    <w:rsid w:val="000F3956"/>
    <w:rsid w:val="000F3A11"/>
    <w:rsid w:val="000F3A3B"/>
    <w:rsid w:val="000F3B22"/>
    <w:rsid w:val="000F3B8C"/>
    <w:rsid w:val="000F3BB5"/>
    <w:rsid w:val="000F3BDC"/>
    <w:rsid w:val="000F3C07"/>
    <w:rsid w:val="000F3C0E"/>
    <w:rsid w:val="000F3C3B"/>
    <w:rsid w:val="000F3C55"/>
    <w:rsid w:val="000F3C62"/>
    <w:rsid w:val="000F3C68"/>
    <w:rsid w:val="000F3C88"/>
    <w:rsid w:val="000F3CC5"/>
    <w:rsid w:val="000F3CE0"/>
    <w:rsid w:val="000F3D67"/>
    <w:rsid w:val="000F3DCE"/>
    <w:rsid w:val="000F3DF4"/>
    <w:rsid w:val="000F3E07"/>
    <w:rsid w:val="000F3EB1"/>
    <w:rsid w:val="000F3EB9"/>
    <w:rsid w:val="000F3ECA"/>
    <w:rsid w:val="000F3ED6"/>
    <w:rsid w:val="000F3F06"/>
    <w:rsid w:val="000F3F43"/>
    <w:rsid w:val="000F3F68"/>
    <w:rsid w:val="000F3F7B"/>
    <w:rsid w:val="000F3F8E"/>
    <w:rsid w:val="000F3FA4"/>
    <w:rsid w:val="000F4002"/>
    <w:rsid w:val="000F4023"/>
    <w:rsid w:val="000F4065"/>
    <w:rsid w:val="000F40DF"/>
    <w:rsid w:val="000F40F5"/>
    <w:rsid w:val="000F4105"/>
    <w:rsid w:val="000F4147"/>
    <w:rsid w:val="000F41D4"/>
    <w:rsid w:val="000F41FC"/>
    <w:rsid w:val="000F4214"/>
    <w:rsid w:val="000F4226"/>
    <w:rsid w:val="000F4247"/>
    <w:rsid w:val="000F426A"/>
    <w:rsid w:val="000F42B0"/>
    <w:rsid w:val="000F433A"/>
    <w:rsid w:val="000F43F4"/>
    <w:rsid w:val="000F4456"/>
    <w:rsid w:val="000F4461"/>
    <w:rsid w:val="000F4477"/>
    <w:rsid w:val="000F447A"/>
    <w:rsid w:val="000F449C"/>
    <w:rsid w:val="000F44AE"/>
    <w:rsid w:val="000F44BF"/>
    <w:rsid w:val="000F44D3"/>
    <w:rsid w:val="000F4521"/>
    <w:rsid w:val="000F4522"/>
    <w:rsid w:val="000F4571"/>
    <w:rsid w:val="000F45C1"/>
    <w:rsid w:val="000F45E8"/>
    <w:rsid w:val="000F45F9"/>
    <w:rsid w:val="000F460B"/>
    <w:rsid w:val="000F4678"/>
    <w:rsid w:val="000F46C3"/>
    <w:rsid w:val="000F4776"/>
    <w:rsid w:val="000F4778"/>
    <w:rsid w:val="000F4847"/>
    <w:rsid w:val="000F4881"/>
    <w:rsid w:val="000F488D"/>
    <w:rsid w:val="000F495F"/>
    <w:rsid w:val="000F49EF"/>
    <w:rsid w:val="000F4A22"/>
    <w:rsid w:val="000F4BA3"/>
    <w:rsid w:val="000F4BDD"/>
    <w:rsid w:val="000F4C98"/>
    <w:rsid w:val="000F4CA3"/>
    <w:rsid w:val="000F4CB0"/>
    <w:rsid w:val="000F4D15"/>
    <w:rsid w:val="000F4D47"/>
    <w:rsid w:val="000F4DB8"/>
    <w:rsid w:val="000F4DDD"/>
    <w:rsid w:val="000F4E38"/>
    <w:rsid w:val="000F4E3F"/>
    <w:rsid w:val="000F4E72"/>
    <w:rsid w:val="000F4E8B"/>
    <w:rsid w:val="000F4EB1"/>
    <w:rsid w:val="000F4F15"/>
    <w:rsid w:val="000F4F79"/>
    <w:rsid w:val="000F5014"/>
    <w:rsid w:val="000F5020"/>
    <w:rsid w:val="000F506E"/>
    <w:rsid w:val="000F509C"/>
    <w:rsid w:val="000F50A1"/>
    <w:rsid w:val="000F50B2"/>
    <w:rsid w:val="000F50C1"/>
    <w:rsid w:val="000F50FE"/>
    <w:rsid w:val="000F510E"/>
    <w:rsid w:val="000F5115"/>
    <w:rsid w:val="000F512F"/>
    <w:rsid w:val="000F5135"/>
    <w:rsid w:val="000F5162"/>
    <w:rsid w:val="000F516A"/>
    <w:rsid w:val="000F51C1"/>
    <w:rsid w:val="000F51C8"/>
    <w:rsid w:val="000F51D5"/>
    <w:rsid w:val="000F52E5"/>
    <w:rsid w:val="000F533D"/>
    <w:rsid w:val="000F53AC"/>
    <w:rsid w:val="000F5463"/>
    <w:rsid w:val="000F54B9"/>
    <w:rsid w:val="000F551D"/>
    <w:rsid w:val="000F5529"/>
    <w:rsid w:val="000F55E0"/>
    <w:rsid w:val="000F55E1"/>
    <w:rsid w:val="000F5620"/>
    <w:rsid w:val="000F5646"/>
    <w:rsid w:val="000F56A6"/>
    <w:rsid w:val="000F56AF"/>
    <w:rsid w:val="000F573F"/>
    <w:rsid w:val="000F5760"/>
    <w:rsid w:val="000F576C"/>
    <w:rsid w:val="000F57FA"/>
    <w:rsid w:val="000F5826"/>
    <w:rsid w:val="000F5834"/>
    <w:rsid w:val="000F5843"/>
    <w:rsid w:val="000F588F"/>
    <w:rsid w:val="000F58AB"/>
    <w:rsid w:val="000F58B8"/>
    <w:rsid w:val="000F58CA"/>
    <w:rsid w:val="000F58CB"/>
    <w:rsid w:val="000F58DA"/>
    <w:rsid w:val="000F58E2"/>
    <w:rsid w:val="000F58F3"/>
    <w:rsid w:val="000F5979"/>
    <w:rsid w:val="000F59A4"/>
    <w:rsid w:val="000F59A9"/>
    <w:rsid w:val="000F59DB"/>
    <w:rsid w:val="000F59E3"/>
    <w:rsid w:val="000F5A62"/>
    <w:rsid w:val="000F5AAC"/>
    <w:rsid w:val="000F5AAF"/>
    <w:rsid w:val="000F5B88"/>
    <w:rsid w:val="000F5BB9"/>
    <w:rsid w:val="000F5C39"/>
    <w:rsid w:val="000F5C5A"/>
    <w:rsid w:val="000F5CA3"/>
    <w:rsid w:val="000F5CB5"/>
    <w:rsid w:val="000F5CBE"/>
    <w:rsid w:val="000F5DAA"/>
    <w:rsid w:val="000F5E02"/>
    <w:rsid w:val="000F5E7C"/>
    <w:rsid w:val="000F5E91"/>
    <w:rsid w:val="000F5EA7"/>
    <w:rsid w:val="000F5EAE"/>
    <w:rsid w:val="000F5EC4"/>
    <w:rsid w:val="000F5F5E"/>
    <w:rsid w:val="000F5FB9"/>
    <w:rsid w:val="000F602B"/>
    <w:rsid w:val="000F608D"/>
    <w:rsid w:val="000F60B7"/>
    <w:rsid w:val="000F615A"/>
    <w:rsid w:val="000F61CF"/>
    <w:rsid w:val="000F6211"/>
    <w:rsid w:val="000F6233"/>
    <w:rsid w:val="000F6244"/>
    <w:rsid w:val="000F62BF"/>
    <w:rsid w:val="000F6344"/>
    <w:rsid w:val="000F63A5"/>
    <w:rsid w:val="000F63C4"/>
    <w:rsid w:val="000F63ED"/>
    <w:rsid w:val="000F6423"/>
    <w:rsid w:val="000F64F5"/>
    <w:rsid w:val="000F658F"/>
    <w:rsid w:val="000F664C"/>
    <w:rsid w:val="000F66BF"/>
    <w:rsid w:val="000F673A"/>
    <w:rsid w:val="000F6778"/>
    <w:rsid w:val="000F67F0"/>
    <w:rsid w:val="000F687E"/>
    <w:rsid w:val="000F6898"/>
    <w:rsid w:val="000F6913"/>
    <w:rsid w:val="000F69AD"/>
    <w:rsid w:val="000F69F2"/>
    <w:rsid w:val="000F69FA"/>
    <w:rsid w:val="000F6A9D"/>
    <w:rsid w:val="000F6AE0"/>
    <w:rsid w:val="000F6B66"/>
    <w:rsid w:val="000F6B83"/>
    <w:rsid w:val="000F6BAE"/>
    <w:rsid w:val="000F6BBE"/>
    <w:rsid w:val="000F6BF5"/>
    <w:rsid w:val="000F6C24"/>
    <w:rsid w:val="000F6CAA"/>
    <w:rsid w:val="000F6CB7"/>
    <w:rsid w:val="000F6CBE"/>
    <w:rsid w:val="000F6D9E"/>
    <w:rsid w:val="000F6DF5"/>
    <w:rsid w:val="000F6E2A"/>
    <w:rsid w:val="000F6E2C"/>
    <w:rsid w:val="000F6E30"/>
    <w:rsid w:val="000F6E5B"/>
    <w:rsid w:val="000F6E9A"/>
    <w:rsid w:val="000F6EC2"/>
    <w:rsid w:val="000F6EE9"/>
    <w:rsid w:val="000F6F6B"/>
    <w:rsid w:val="000F6FC3"/>
    <w:rsid w:val="000F6FC6"/>
    <w:rsid w:val="000F700A"/>
    <w:rsid w:val="000F705B"/>
    <w:rsid w:val="000F709F"/>
    <w:rsid w:val="000F711A"/>
    <w:rsid w:val="000F71CF"/>
    <w:rsid w:val="000F72BC"/>
    <w:rsid w:val="000F72D1"/>
    <w:rsid w:val="000F72FE"/>
    <w:rsid w:val="000F7349"/>
    <w:rsid w:val="000F736F"/>
    <w:rsid w:val="000F737F"/>
    <w:rsid w:val="000F7380"/>
    <w:rsid w:val="000F7428"/>
    <w:rsid w:val="000F7441"/>
    <w:rsid w:val="000F7471"/>
    <w:rsid w:val="000F74DD"/>
    <w:rsid w:val="000F7514"/>
    <w:rsid w:val="000F7517"/>
    <w:rsid w:val="000F7521"/>
    <w:rsid w:val="000F75B3"/>
    <w:rsid w:val="000F7633"/>
    <w:rsid w:val="000F7763"/>
    <w:rsid w:val="000F77C6"/>
    <w:rsid w:val="000F77F9"/>
    <w:rsid w:val="000F7860"/>
    <w:rsid w:val="000F78E7"/>
    <w:rsid w:val="000F7998"/>
    <w:rsid w:val="000F79C0"/>
    <w:rsid w:val="000F79DA"/>
    <w:rsid w:val="000F7A11"/>
    <w:rsid w:val="000F7A29"/>
    <w:rsid w:val="000F7AEE"/>
    <w:rsid w:val="000F7B2A"/>
    <w:rsid w:val="000F7B5C"/>
    <w:rsid w:val="000F7B61"/>
    <w:rsid w:val="000F7BAD"/>
    <w:rsid w:val="000F7BC1"/>
    <w:rsid w:val="000F7C4D"/>
    <w:rsid w:val="000F7C7E"/>
    <w:rsid w:val="000F7D3E"/>
    <w:rsid w:val="000F7D61"/>
    <w:rsid w:val="000F7D68"/>
    <w:rsid w:val="000F7D97"/>
    <w:rsid w:val="000F7DA6"/>
    <w:rsid w:val="000F7DCC"/>
    <w:rsid w:val="000F7DE0"/>
    <w:rsid w:val="000F7DFB"/>
    <w:rsid w:val="000F7E17"/>
    <w:rsid w:val="000F7E2D"/>
    <w:rsid w:val="000F7E75"/>
    <w:rsid w:val="000F7EB4"/>
    <w:rsid w:val="000F7EFB"/>
    <w:rsid w:val="000F7F80"/>
    <w:rsid w:val="000F7F8F"/>
    <w:rsid w:val="000F7F9B"/>
    <w:rsid w:val="000F7FCF"/>
    <w:rsid w:val="0010004B"/>
    <w:rsid w:val="001000AA"/>
    <w:rsid w:val="0010035F"/>
    <w:rsid w:val="00100370"/>
    <w:rsid w:val="001003B1"/>
    <w:rsid w:val="001003C5"/>
    <w:rsid w:val="001003D0"/>
    <w:rsid w:val="001003D2"/>
    <w:rsid w:val="001003F9"/>
    <w:rsid w:val="0010040C"/>
    <w:rsid w:val="0010045B"/>
    <w:rsid w:val="001004B9"/>
    <w:rsid w:val="00100552"/>
    <w:rsid w:val="00100558"/>
    <w:rsid w:val="0010056E"/>
    <w:rsid w:val="001005DE"/>
    <w:rsid w:val="00100683"/>
    <w:rsid w:val="001006F0"/>
    <w:rsid w:val="0010074E"/>
    <w:rsid w:val="001007F6"/>
    <w:rsid w:val="00100802"/>
    <w:rsid w:val="0010081B"/>
    <w:rsid w:val="00100831"/>
    <w:rsid w:val="00100872"/>
    <w:rsid w:val="0010097A"/>
    <w:rsid w:val="0010099F"/>
    <w:rsid w:val="001009D1"/>
    <w:rsid w:val="001009D6"/>
    <w:rsid w:val="00100A42"/>
    <w:rsid w:val="00100AB9"/>
    <w:rsid w:val="00100ADC"/>
    <w:rsid w:val="00100AE6"/>
    <w:rsid w:val="00100AFC"/>
    <w:rsid w:val="00100B67"/>
    <w:rsid w:val="00100B7E"/>
    <w:rsid w:val="00100BA7"/>
    <w:rsid w:val="00100BB5"/>
    <w:rsid w:val="00100C1B"/>
    <w:rsid w:val="00100C57"/>
    <w:rsid w:val="00100C89"/>
    <w:rsid w:val="00100E06"/>
    <w:rsid w:val="00100EA4"/>
    <w:rsid w:val="00100EF9"/>
    <w:rsid w:val="00100F7A"/>
    <w:rsid w:val="00100FDD"/>
    <w:rsid w:val="0010100F"/>
    <w:rsid w:val="001010E6"/>
    <w:rsid w:val="0010114D"/>
    <w:rsid w:val="0010119D"/>
    <w:rsid w:val="001011BC"/>
    <w:rsid w:val="001011CF"/>
    <w:rsid w:val="001011E4"/>
    <w:rsid w:val="001011F0"/>
    <w:rsid w:val="00101228"/>
    <w:rsid w:val="0010124A"/>
    <w:rsid w:val="001012C1"/>
    <w:rsid w:val="00101341"/>
    <w:rsid w:val="001013A5"/>
    <w:rsid w:val="001014B2"/>
    <w:rsid w:val="00101502"/>
    <w:rsid w:val="00101529"/>
    <w:rsid w:val="0010152E"/>
    <w:rsid w:val="00101545"/>
    <w:rsid w:val="00101584"/>
    <w:rsid w:val="00101613"/>
    <w:rsid w:val="001017B2"/>
    <w:rsid w:val="001017B7"/>
    <w:rsid w:val="001017DD"/>
    <w:rsid w:val="00101802"/>
    <w:rsid w:val="0010185E"/>
    <w:rsid w:val="00101880"/>
    <w:rsid w:val="00101974"/>
    <w:rsid w:val="001019CC"/>
    <w:rsid w:val="00101A22"/>
    <w:rsid w:val="00101A75"/>
    <w:rsid w:val="00101ADB"/>
    <w:rsid w:val="00101AEF"/>
    <w:rsid w:val="00101AF5"/>
    <w:rsid w:val="00101B36"/>
    <w:rsid w:val="00101BC2"/>
    <w:rsid w:val="00101C61"/>
    <w:rsid w:val="00101D2F"/>
    <w:rsid w:val="00101E47"/>
    <w:rsid w:val="00101E5E"/>
    <w:rsid w:val="00101E5F"/>
    <w:rsid w:val="00101E6B"/>
    <w:rsid w:val="00101E97"/>
    <w:rsid w:val="00101EC9"/>
    <w:rsid w:val="00101ED5"/>
    <w:rsid w:val="00101EDC"/>
    <w:rsid w:val="00101F9C"/>
    <w:rsid w:val="00101FAB"/>
    <w:rsid w:val="00102055"/>
    <w:rsid w:val="001020F5"/>
    <w:rsid w:val="0010210C"/>
    <w:rsid w:val="00102168"/>
    <w:rsid w:val="001021A3"/>
    <w:rsid w:val="001021A6"/>
    <w:rsid w:val="001021C9"/>
    <w:rsid w:val="00102231"/>
    <w:rsid w:val="00102251"/>
    <w:rsid w:val="0010227D"/>
    <w:rsid w:val="0010228C"/>
    <w:rsid w:val="001022F1"/>
    <w:rsid w:val="0010238D"/>
    <w:rsid w:val="001023A4"/>
    <w:rsid w:val="001023D5"/>
    <w:rsid w:val="00102446"/>
    <w:rsid w:val="001024B5"/>
    <w:rsid w:val="001024B9"/>
    <w:rsid w:val="001024F8"/>
    <w:rsid w:val="00102536"/>
    <w:rsid w:val="00102583"/>
    <w:rsid w:val="001025B4"/>
    <w:rsid w:val="00102616"/>
    <w:rsid w:val="001026DE"/>
    <w:rsid w:val="001026E7"/>
    <w:rsid w:val="001026F2"/>
    <w:rsid w:val="001026FF"/>
    <w:rsid w:val="00102718"/>
    <w:rsid w:val="00102735"/>
    <w:rsid w:val="00102742"/>
    <w:rsid w:val="0010275A"/>
    <w:rsid w:val="001027B4"/>
    <w:rsid w:val="001027CD"/>
    <w:rsid w:val="00102828"/>
    <w:rsid w:val="00102918"/>
    <w:rsid w:val="0010293B"/>
    <w:rsid w:val="001029A1"/>
    <w:rsid w:val="001029A5"/>
    <w:rsid w:val="001029EE"/>
    <w:rsid w:val="00102A03"/>
    <w:rsid w:val="00102A1F"/>
    <w:rsid w:val="00102A2D"/>
    <w:rsid w:val="00102A9E"/>
    <w:rsid w:val="00102AE1"/>
    <w:rsid w:val="00102AFB"/>
    <w:rsid w:val="00102B38"/>
    <w:rsid w:val="00102B94"/>
    <w:rsid w:val="00102BC8"/>
    <w:rsid w:val="00102C2F"/>
    <w:rsid w:val="00102C31"/>
    <w:rsid w:val="00102C65"/>
    <w:rsid w:val="00102CD5"/>
    <w:rsid w:val="00102D0C"/>
    <w:rsid w:val="00102DE7"/>
    <w:rsid w:val="00102E17"/>
    <w:rsid w:val="00102E7A"/>
    <w:rsid w:val="00102E93"/>
    <w:rsid w:val="00102F29"/>
    <w:rsid w:val="00102FD3"/>
    <w:rsid w:val="00102FF1"/>
    <w:rsid w:val="0010301E"/>
    <w:rsid w:val="00103049"/>
    <w:rsid w:val="00103069"/>
    <w:rsid w:val="00103072"/>
    <w:rsid w:val="0010307B"/>
    <w:rsid w:val="001030A4"/>
    <w:rsid w:val="001030B2"/>
    <w:rsid w:val="001030C4"/>
    <w:rsid w:val="00103134"/>
    <w:rsid w:val="0010318E"/>
    <w:rsid w:val="001031EA"/>
    <w:rsid w:val="00103203"/>
    <w:rsid w:val="0010330C"/>
    <w:rsid w:val="0010332B"/>
    <w:rsid w:val="001033A7"/>
    <w:rsid w:val="001033FE"/>
    <w:rsid w:val="00103428"/>
    <w:rsid w:val="00103492"/>
    <w:rsid w:val="00103508"/>
    <w:rsid w:val="0010350A"/>
    <w:rsid w:val="001035C6"/>
    <w:rsid w:val="001035CF"/>
    <w:rsid w:val="00103630"/>
    <w:rsid w:val="0010364D"/>
    <w:rsid w:val="0010364E"/>
    <w:rsid w:val="00103656"/>
    <w:rsid w:val="001036FD"/>
    <w:rsid w:val="00103752"/>
    <w:rsid w:val="00103804"/>
    <w:rsid w:val="00103837"/>
    <w:rsid w:val="00103891"/>
    <w:rsid w:val="001038A8"/>
    <w:rsid w:val="001038AF"/>
    <w:rsid w:val="00103924"/>
    <w:rsid w:val="00103995"/>
    <w:rsid w:val="001039E5"/>
    <w:rsid w:val="00103A50"/>
    <w:rsid w:val="00103A95"/>
    <w:rsid w:val="00103A9E"/>
    <w:rsid w:val="00103AF2"/>
    <w:rsid w:val="00103B01"/>
    <w:rsid w:val="00103B3B"/>
    <w:rsid w:val="00103B65"/>
    <w:rsid w:val="00103BA1"/>
    <w:rsid w:val="00103C50"/>
    <w:rsid w:val="00103C88"/>
    <w:rsid w:val="00103CC4"/>
    <w:rsid w:val="00103D8B"/>
    <w:rsid w:val="00103DB1"/>
    <w:rsid w:val="00103E81"/>
    <w:rsid w:val="00103E9A"/>
    <w:rsid w:val="00103E9B"/>
    <w:rsid w:val="00103EC3"/>
    <w:rsid w:val="00103EC4"/>
    <w:rsid w:val="00103EC9"/>
    <w:rsid w:val="00103F16"/>
    <w:rsid w:val="00103F1F"/>
    <w:rsid w:val="00103F3C"/>
    <w:rsid w:val="00103FBE"/>
    <w:rsid w:val="00104080"/>
    <w:rsid w:val="001040A2"/>
    <w:rsid w:val="0010414C"/>
    <w:rsid w:val="001041A9"/>
    <w:rsid w:val="00104237"/>
    <w:rsid w:val="00104287"/>
    <w:rsid w:val="001042C7"/>
    <w:rsid w:val="00104306"/>
    <w:rsid w:val="00104324"/>
    <w:rsid w:val="00104335"/>
    <w:rsid w:val="0010437A"/>
    <w:rsid w:val="001043A2"/>
    <w:rsid w:val="001043B6"/>
    <w:rsid w:val="00104428"/>
    <w:rsid w:val="00104436"/>
    <w:rsid w:val="0010446F"/>
    <w:rsid w:val="0010447E"/>
    <w:rsid w:val="001045CF"/>
    <w:rsid w:val="0010466E"/>
    <w:rsid w:val="00104688"/>
    <w:rsid w:val="001046A0"/>
    <w:rsid w:val="00104729"/>
    <w:rsid w:val="00104735"/>
    <w:rsid w:val="00104752"/>
    <w:rsid w:val="00104769"/>
    <w:rsid w:val="00104771"/>
    <w:rsid w:val="00104773"/>
    <w:rsid w:val="001047F8"/>
    <w:rsid w:val="00104820"/>
    <w:rsid w:val="001048E3"/>
    <w:rsid w:val="00104923"/>
    <w:rsid w:val="0010496A"/>
    <w:rsid w:val="001049DC"/>
    <w:rsid w:val="001049E5"/>
    <w:rsid w:val="00104A26"/>
    <w:rsid w:val="00104A46"/>
    <w:rsid w:val="00104A75"/>
    <w:rsid w:val="00104ABB"/>
    <w:rsid w:val="00104B2D"/>
    <w:rsid w:val="00104B3F"/>
    <w:rsid w:val="00104BAA"/>
    <w:rsid w:val="00104BB8"/>
    <w:rsid w:val="00104C0C"/>
    <w:rsid w:val="00104C2C"/>
    <w:rsid w:val="00104CC0"/>
    <w:rsid w:val="00104CE7"/>
    <w:rsid w:val="00104D00"/>
    <w:rsid w:val="00104EAE"/>
    <w:rsid w:val="00104F04"/>
    <w:rsid w:val="00104F25"/>
    <w:rsid w:val="00104F95"/>
    <w:rsid w:val="00105001"/>
    <w:rsid w:val="0010501E"/>
    <w:rsid w:val="00105057"/>
    <w:rsid w:val="00105082"/>
    <w:rsid w:val="001050FA"/>
    <w:rsid w:val="001050FE"/>
    <w:rsid w:val="00105104"/>
    <w:rsid w:val="00105128"/>
    <w:rsid w:val="00105261"/>
    <w:rsid w:val="0010527E"/>
    <w:rsid w:val="0010536A"/>
    <w:rsid w:val="0010538D"/>
    <w:rsid w:val="00105439"/>
    <w:rsid w:val="0010544E"/>
    <w:rsid w:val="001054D8"/>
    <w:rsid w:val="00105531"/>
    <w:rsid w:val="00105552"/>
    <w:rsid w:val="001055A4"/>
    <w:rsid w:val="0010560F"/>
    <w:rsid w:val="0010565F"/>
    <w:rsid w:val="0010568B"/>
    <w:rsid w:val="001056D5"/>
    <w:rsid w:val="0010570D"/>
    <w:rsid w:val="00105720"/>
    <w:rsid w:val="0010575D"/>
    <w:rsid w:val="001057FC"/>
    <w:rsid w:val="0010580E"/>
    <w:rsid w:val="00105841"/>
    <w:rsid w:val="00105849"/>
    <w:rsid w:val="00105893"/>
    <w:rsid w:val="00105920"/>
    <w:rsid w:val="0010598C"/>
    <w:rsid w:val="001059C2"/>
    <w:rsid w:val="00105A07"/>
    <w:rsid w:val="00105A18"/>
    <w:rsid w:val="00105A59"/>
    <w:rsid w:val="00105A8E"/>
    <w:rsid w:val="00105AAF"/>
    <w:rsid w:val="00105AF8"/>
    <w:rsid w:val="00105BCA"/>
    <w:rsid w:val="00105C0B"/>
    <w:rsid w:val="00105C65"/>
    <w:rsid w:val="00105D02"/>
    <w:rsid w:val="00105DA5"/>
    <w:rsid w:val="00105DC4"/>
    <w:rsid w:val="00105E9C"/>
    <w:rsid w:val="00105F4B"/>
    <w:rsid w:val="00106017"/>
    <w:rsid w:val="0010604C"/>
    <w:rsid w:val="00106057"/>
    <w:rsid w:val="001060EA"/>
    <w:rsid w:val="001060F4"/>
    <w:rsid w:val="0010610A"/>
    <w:rsid w:val="0010610D"/>
    <w:rsid w:val="001061D4"/>
    <w:rsid w:val="001061E4"/>
    <w:rsid w:val="00106206"/>
    <w:rsid w:val="00106214"/>
    <w:rsid w:val="001062CA"/>
    <w:rsid w:val="00106328"/>
    <w:rsid w:val="00106371"/>
    <w:rsid w:val="001063C9"/>
    <w:rsid w:val="001063FF"/>
    <w:rsid w:val="00106477"/>
    <w:rsid w:val="001064DA"/>
    <w:rsid w:val="00106593"/>
    <w:rsid w:val="001065AD"/>
    <w:rsid w:val="001065C8"/>
    <w:rsid w:val="00106633"/>
    <w:rsid w:val="00106666"/>
    <w:rsid w:val="00106683"/>
    <w:rsid w:val="00106703"/>
    <w:rsid w:val="00106771"/>
    <w:rsid w:val="001067A4"/>
    <w:rsid w:val="001067C5"/>
    <w:rsid w:val="00106886"/>
    <w:rsid w:val="00106888"/>
    <w:rsid w:val="0010689E"/>
    <w:rsid w:val="001068B8"/>
    <w:rsid w:val="001068F9"/>
    <w:rsid w:val="00106931"/>
    <w:rsid w:val="001069E7"/>
    <w:rsid w:val="001069FE"/>
    <w:rsid w:val="00106A34"/>
    <w:rsid w:val="00106A3D"/>
    <w:rsid w:val="00106AB2"/>
    <w:rsid w:val="00106AB4"/>
    <w:rsid w:val="00106B33"/>
    <w:rsid w:val="00106B3F"/>
    <w:rsid w:val="00106B54"/>
    <w:rsid w:val="00106B98"/>
    <w:rsid w:val="00106BBA"/>
    <w:rsid w:val="00106C05"/>
    <w:rsid w:val="00106C27"/>
    <w:rsid w:val="00106D04"/>
    <w:rsid w:val="00106D30"/>
    <w:rsid w:val="00106D80"/>
    <w:rsid w:val="00106DB1"/>
    <w:rsid w:val="00106E54"/>
    <w:rsid w:val="00106E58"/>
    <w:rsid w:val="00106F57"/>
    <w:rsid w:val="00106FC7"/>
    <w:rsid w:val="00107003"/>
    <w:rsid w:val="00107043"/>
    <w:rsid w:val="0010705E"/>
    <w:rsid w:val="00107061"/>
    <w:rsid w:val="001070BD"/>
    <w:rsid w:val="001070C6"/>
    <w:rsid w:val="0010710C"/>
    <w:rsid w:val="00107142"/>
    <w:rsid w:val="00107166"/>
    <w:rsid w:val="0010716D"/>
    <w:rsid w:val="0010719F"/>
    <w:rsid w:val="00107233"/>
    <w:rsid w:val="0010723E"/>
    <w:rsid w:val="00107243"/>
    <w:rsid w:val="001072C8"/>
    <w:rsid w:val="00107377"/>
    <w:rsid w:val="001073BD"/>
    <w:rsid w:val="00107441"/>
    <w:rsid w:val="0010748A"/>
    <w:rsid w:val="00107494"/>
    <w:rsid w:val="001074B5"/>
    <w:rsid w:val="001074BF"/>
    <w:rsid w:val="00107521"/>
    <w:rsid w:val="00107610"/>
    <w:rsid w:val="00107648"/>
    <w:rsid w:val="0010769D"/>
    <w:rsid w:val="001076B0"/>
    <w:rsid w:val="00107796"/>
    <w:rsid w:val="00107826"/>
    <w:rsid w:val="00107858"/>
    <w:rsid w:val="001078AC"/>
    <w:rsid w:val="00107957"/>
    <w:rsid w:val="00107A22"/>
    <w:rsid w:val="00107A34"/>
    <w:rsid w:val="00107A88"/>
    <w:rsid w:val="00107A95"/>
    <w:rsid w:val="00107AAE"/>
    <w:rsid w:val="00107ADB"/>
    <w:rsid w:val="00107B0C"/>
    <w:rsid w:val="00107B73"/>
    <w:rsid w:val="00107BD8"/>
    <w:rsid w:val="00107CA8"/>
    <w:rsid w:val="00107D10"/>
    <w:rsid w:val="00107D12"/>
    <w:rsid w:val="00107D59"/>
    <w:rsid w:val="00107D60"/>
    <w:rsid w:val="00107D80"/>
    <w:rsid w:val="00107DA9"/>
    <w:rsid w:val="00107DBF"/>
    <w:rsid w:val="00107DC6"/>
    <w:rsid w:val="00107E6C"/>
    <w:rsid w:val="00107E9D"/>
    <w:rsid w:val="00107F4D"/>
    <w:rsid w:val="00107F5D"/>
    <w:rsid w:val="00107F82"/>
    <w:rsid w:val="00107FB9"/>
    <w:rsid w:val="00107FF3"/>
    <w:rsid w:val="00110046"/>
    <w:rsid w:val="001100B4"/>
    <w:rsid w:val="0011012F"/>
    <w:rsid w:val="00110136"/>
    <w:rsid w:val="0011014E"/>
    <w:rsid w:val="0011015D"/>
    <w:rsid w:val="001101A2"/>
    <w:rsid w:val="001101BF"/>
    <w:rsid w:val="00110210"/>
    <w:rsid w:val="0011025D"/>
    <w:rsid w:val="001102B7"/>
    <w:rsid w:val="001102B9"/>
    <w:rsid w:val="00110344"/>
    <w:rsid w:val="0011038A"/>
    <w:rsid w:val="001103A7"/>
    <w:rsid w:val="001103EC"/>
    <w:rsid w:val="0011040C"/>
    <w:rsid w:val="00110449"/>
    <w:rsid w:val="0011044A"/>
    <w:rsid w:val="001104F6"/>
    <w:rsid w:val="0011054D"/>
    <w:rsid w:val="0011054F"/>
    <w:rsid w:val="00110550"/>
    <w:rsid w:val="001105C9"/>
    <w:rsid w:val="00110636"/>
    <w:rsid w:val="00110640"/>
    <w:rsid w:val="00110669"/>
    <w:rsid w:val="00110674"/>
    <w:rsid w:val="001106C7"/>
    <w:rsid w:val="001106ED"/>
    <w:rsid w:val="00110777"/>
    <w:rsid w:val="001107E6"/>
    <w:rsid w:val="001107F9"/>
    <w:rsid w:val="00110883"/>
    <w:rsid w:val="0011089A"/>
    <w:rsid w:val="001108A1"/>
    <w:rsid w:val="001108C4"/>
    <w:rsid w:val="00110903"/>
    <w:rsid w:val="00110907"/>
    <w:rsid w:val="00110908"/>
    <w:rsid w:val="001109AF"/>
    <w:rsid w:val="001109BA"/>
    <w:rsid w:val="001109FB"/>
    <w:rsid w:val="00110AAB"/>
    <w:rsid w:val="00110ABF"/>
    <w:rsid w:val="00110ADE"/>
    <w:rsid w:val="00110B4A"/>
    <w:rsid w:val="00110B55"/>
    <w:rsid w:val="00110B58"/>
    <w:rsid w:val="00110BB0"/>
    <w:rsid w:val="00110BBD"/>
    <w:rsid w:val="00110BD6"/>
    <w:rsid w:val="00110C2C"/>
    <w:rsid w:val="00110C5E"/>
    <w:rsid w:val="00110C79"/>
    <w:rsid w:val="00110CBB"/>
    <w:rsid w:val="00110D15"/>
    <w:rsid w:val="00110DD3"/>
    <w:rsid w:val="00110E0C"/>
    <w:rsid w:val="00110E68"/>
    <w:rsid w:val="00110E7A"/>
    <w:rsid w:val="00110EB1"/>
    <w:rsid w:val="00110EB7"/>
    <w:rsid w:val="00110EBC"/>
    <w:rsid w:val="00110F8C"/>
    <w:rsid w:val="00110F92"/>
    <w:rsid w:val="00111018"/>
    <w:rsid w:val="00111047"/>
    <w:rsid w:val="0011105C"/>
    <w:rsid w:val="0011106B"/>
    <w:rsid w:val="00111072"/>
    <w:rsid w:val="001110A2"/>
    <w:rsid w:val="0011118F"/>
    <w:rsid w:val="001111B9"/>
    <w:rsid w:val="001111C2"/>
    <w:rsid w:val="001111FB"/>
    <w:rsid w:val="00111294"/>
    <w:rsid w:val="001112A8"/>
    <w:rsid w:val="001112BC"/>
    <w:rsid w:val="001112E2"/>
    <w:rsid w:val="00111384"/>
    <w:rsid w:val="001113AA"/>
    <w:rsid w:val="001113E2"/>
    <w:rsid w:val="001113E4"/>
    <w:rsid w:val="00111411"/>
    <w:rsid w:val="00111417"/>
    <w:rsid w:val="0011144E"/>
    <w:rsid w:val="00111477"/>
    <w:rsid w:val="001114C3"/>
    <w:rsid w:val="00111516"/>
    <w:rsid w:val="00111527"/>
    <w:rsid w:val="0011159B"/>
    <w:rsid w:val="001115BF"/>
    <w:rsid w:val="001115E2"/>
    <w:rsid w:val="001115EA"/>
    <w:rsid w:val="001115F9"/>
    <w:rsid w:val="00111683"/>
    <w:rsid w:val="001116B9"/>
    <w:rsid w:val="00111703"/>
    <w:rsid w:val="00111715"/>
    <w:rsid w:val="00111786"/>
    <w:rsid w:val="00111798"/>
    <w:rsid w:val="001117C3"/>
    <w:rsid w:val="00111812"/>
    <w:rsid w:val="0011185D"/>
    <w:rsid w:val="0011187A"/>
    <w:rsid w:val="001118CB"/>
    <w:rsid w:val="001118F6"/>
    <w:rsid w:val="00111922"/>
    <w:rsid w:val="00111A20"/>
    <w:rsid w:val="00111A25"/>
    <w:rsid w:val="00111B00"/>
    <w:rsid w:val="00111B42"/>
    <w:rsid w:val="00111B56"/>
    <w:rsid w:val="00111BDB"/>
    <w:rsid w:val="00111C73"/>
    <w:rsid w:val="00111CA7"/>
    <w:rsid w:val="00111D29"/>
    <w:rsid w:val="00111D59"/>
    <w:rsid w:val="00111D96"/>
    <w:rsid w:val="00111DD0"/>
    <w:rsid w:val="00111EEA"/>
    <w:rsid w:val="00111F3D"/>
    <w:rsid w:val="00111F68"/>
    <w:rsid w:val="00111F87"/>
    <w:rsid w:val="0011205C"/>
    <w:rsid w:val="001120A3"/>
    <w:rsid w:val="00112105"/>
    <w:rsid w:val="00112107"/>
    <w:rsid w:val="00112125"/>
    <w:rsid w:val="00112137"/>
    <w:rsid w:val="00112149"/>
    <w:rsid w:val="0011219B"/>
    <w:rsid w:val="001121C3"/>
    <w:rsid w:val="001121E8"/>
    <w:rsid w:val="00112226"/>
    <w:rsid w:val="00112229"/>
    <w:rsid w:val="0011224B"/>
    <w:rsid w:val="00112289"/>
    <w:rsid w:val="001122AA"/>
    <w:rsid w:val="001122C5"/>
    <w:rsid w:val="001122C6"/>
    <w:rsid w:val="001122D2"/>
    <w:rsid w:val="001122D4"/>
    <w:rsid w:val="001122FA"/>
    <w:rsid w:val="0011232A"/>
    <w:rsid w:val="00112348"/>
    <w:rsid w:val="00112382"/>
    <w:rsid w:val="001123C0"/>
    <w:rsid w:val="001123ED"/>
    <w:rsid w:val="00112406"/>
    <w:rsid w:val="00112423"/>
    <w:rsid w:val="0011250D"/>
    <w:rsid w:val="00112528"/>
    <w:rsid w:val="00112651"/>
    <w:rsid w:val="00112718"/>
    <w:rsid w:val="00112727"/>
    <w:rsid w:val="00112784"/>
    <w:rsid w:val="00112792"/>
    <w:rsid w:val="00112814"/>
    <w:rsid w:val="0011296A"/>
    <w:rsid w:val="001129AB"/>
    <w:rsid w:val="001129CB"/>
    <w:rsid w:val="001129D1"/>
    <w:rsid w:val="001129D9"/>
    <w:rsid w:val="00112A3A"/>
    <w:rsid w:val="00112A62"/>
    <w:rsid w:val="00112B0B"/>
    <w:rsid w:val="00112B12"/>
    <w:rsid w:val="00112B5B"/>
    <w:rsid w:val="00112B80"/>
    <w:rsid w:val="00112C7D"/>
    <w:rsid w:val="00112C9A"/>
    <w:rsid w:val="00112CDE"/>
    <w:rsid w:val="00112CF1"/>
    <w:rsid w:val="00112D47"/>
    <w:rsid w:val="00112D89"/>
    <w:rsid w:val="00112E0F"/>
    <w:rsid w:val="00112E3F"/>
    <w:rsid w:val="00112E70"/>
    <w:rsid w:val="00112EB0"/>
    <w:rsid w:val="00112ECC"/>
    <w:rsid w:val="00112EDB"/>
    <w:rsid w:val="00112F5D"/>
    <w:rsid w:val="00112F82"/>
    <w:rsid w:val="00112F8E"/>
    <w:rsid w:val="00113084"/>
    <w:rsid w:val="00113103"/>
    <w:rsid w:val="0011313F"/>
    <w:rsid w:val="00113168"/>
    <w:rsid w:val="00113174"/>
    <w:rsid w:val="0011321F"/>
    <w:rsid w:val="00113230"/>
    <w:rsid w:val="0011325D"/>
    <w:rsid w:val="0011334C"/>
    <w:rsid w:val="0011339F"/>
    <w:rsid w:val="001133DF"/>
    <w:rsid w:val="001133E5"/>
    <w:rsid w:val="001133FF"/>
    <w:rsid w:val="0011345D"/>
    <w:rsid w:val="0011347B"/>
    <w:rsid w:val="0011351C"/>
    <w:rsid w:val="00113529"/>
    <w:rsid w:val="001135D7"/>
    <w:rsid w:val="0011360B"/>
    <w:rsid w:val="00113614"/>
    <w:rsid w:val="00113626"/>
    <w:rsid w:val="0011364A"/>
    <w:rsid w:val="00113693"/>
    <w:rsid w:val="001136CC"/>
    <w:rsid w:val="00113724"/>
    <w:rsid w:val="00113735"/>
    <w:rsid w:val="0011378C"/>
    <w:rsid w:val="00113790"/>
    <w:rsid w:val="0011379E"/>
    <w:rsid w:val="001138A9"/>
    <w:rsid w:val="001138BD"/>
    <w:rsid w:val="00113945"/>
    <w:rsid w:val="00113962"/>
    <w:rsid w:val="0011396B"/>
    <w:rsid w:val="001139E8"/>
    <w:rsid w:val="00113A25"/>
    <w:rsid w:val="00113A42"/>
    <w:rsid w:val="00113ACC"/>
    <w:rsid w:val="00113AF4"/>
    <w:rsid w:val="00113AFA"/>
    <w:rsid w:val="00113B11"/>
    <w:rsid w:val="00113B1A"/>
    <w:rsid w:val="00113B21"/>
    <w:rsid w:val="00113B73"/>
    <w:rsid w:val="00113C98"/>
    <w:rsid w:val="00113CAC"/>
    <w:rsid w:val="00113CD2"/>
    <w:rsid w:val="00113D00"/>
    <w:rsid w:val="00113DAC"/>
    <w:rsid w:val="00113E08"/>
    <w:rsid w:val="00113E3C"/>
    <w:rsid w:val="00113F2F"/>
    <w:rsid w:val="00114016"/>
    <w:rsid w:val="00114047"/>
    <w:rsid w:val="0011405F"/>
    <w:rsid w:val="0011406A"/>
    <w:rsid w:val="00114082"/>
    <w:rsid w:val="001140B9"/>
    <w:rsid w:val="00114106"/>
    <w:rsid w:val="00114156"/>
    <w:rsid w:val="00114166"/>
    <w:rsid w:val="001141A4"/>
    <w:rsid w:val="00114275"/>
    <w:rsid w:val="001142DC"/>
    <w:rsid w:val="001142E7"/>
    <w:rsid w:val="001142F4"/>
    <w:rsid w:val="00114319"/>
    <w:rsid w:val="0011433A"/>
    <w:rsid w:val="00114354"/>
    <w:rsid w:val="00114377"/>
    <w:rsid w:val="00114396"/>
    <w:rsid w:val="001143C7"/>
    <w:rsid w:val="00114435"/>
    <w:rsid w:val="00114455"/>
    <w:rsid w:val="00114465"/>
    <w:rsid w:val="001144FD"/>
    <w:rsid w:val="00114500"/>
    <w:rsid w:val="0011451B"/>
    <w:rsid w:val="00114534"/>
    <w:rsid w:val="00114539"/>
    <w:rsid w:val="00114542"/>
    <w:rsid w:val="00114619"/>
    <w:rsid w:val="001146AF"/>
    <w:rsid w:val="00114762"/>
    <w:rsid w:val="001147A3"/>
    <w:rsid w:val="001147D3"/>
    <w:rsid w:val="0011483E"/>
    <w:rsid w:val="0011486D"/>
    <w:rsid w:val="00114879"/>
    <w:rsid w:val="001148B6"/>
    <w:rsid w:val="001148FA"/>
    <w:rsid w:val="0011493A"/>
    <w:rsid w:val="0011499C"/>
    <w:rsid w:val="001149EC"/>
    <w:rsid w:val="00114A0E"/>
    <w:rsid w:val="00114A4F"/>
    <w:rsid w:val="00114A50"/>
    <w:rsid w:val="00114A84"/>
    <w:rsid w:val="00114ACF"/>
    <w:rsid w:val="00114AE2"/>
    <w:rsid w:val="00114AF6"/>
    <w:rsid w:val="00114B32"/>
    <w:rsid w:val="00114BB9"/>
    <w:rsid w:val="00114C4C"/>
    <w:rsid w:val="00114C59"/>
    <w:rsid w:val="00114D5A"/>
    <w:rsid w:val="00114DC3"/>
    <w:rsid w:val="00114E34"/>
    <w:rsid w:val="00114E35"/>
    <w:rsid w:val="00114E62"/>
    <w:rsid w:val="00114E66"/>
    <w:rsid w:val="00114FAF"/>
    <w:rsid w:val="00114FBA"/>
    <w:rsid w:val="00114FF7"/>
    <w:rsid w:val="00115070"/>
    <w:rsid w:val="001150D2"/>
    <w:rsid w:val="001150E5"/>
    <w:rsid w:val="0011512C"/>
    <w:rsid w:val="001151D0"/>
    <w:rsid w:val="00115200"/>
    <w:rsid w:val="00115223"/>
    <w:rsid w:val="00115224"/>
    <w:rsid w:val="001152AE"/>
    <w:rsid w:val="00115319"/>
    <w:rsid w:val="001153AF"/>
    <w:rsid w:val="001153C1"/>
    <w:rsid w:val="001153DF"/>
    <w:rsid w:val="001153F2"/>
    <w:rsid w:val="0011547C"/>
    <w:rsid w:val="001154A6"/>
    <w:rsid w:val="0011550D"/>
    <w:rsid w:val="00115521"/>
    <w:rsid w:val="001155AD"/>
    <w:rsid w:val="001155EB"/>
    <w:rsid w:val="0011560B"/>
    <w:rsid w:val="00115630"/>
    <w:rsid w:val="00115647"/>
    <w:rsid w:val="00115700"/>
    <w:rsid w:val="0011573A"/>
    <w:rsid w:val="00115771"/>
    <w:rsid w:val="00115787"/>
    <w:rsid w:val="001157D4"/>
    <w:rsid w:val="0011589A"/>
    <w:rsid w:val="001158E8"/>
    <w:rsid w:val="0011590B"/>
    <w:rsid w:val="00115A2E"/>
    <w:rsid w:val="00115A4D"/>
    <w:rsid w:val="00115A8E"/>
    <w:rsid w:val="00115ABB"/>
    <w:rsid w:val="00115AFD"/>
    <w:rsid w:val="00115B10"/>
    <w:rsid w:val="00115B1B"/>
    <w:rsid w:val="00115B32"/>
    <w:rsid w:val="00115BC7"/>
    <w:rsid w:val="00115BCF"/>
    <w:rsid w:val="00115C22"/>
    <w:rsid w:val="00115CCA"/>
    <w:rsid w:val="00115D27"/>
    <w:rsid w:val="00115D43"/>
    <w:rsid w:val="00115DA6"/>
    <w:rsid w:val="00115DBE"/>
    <w:rsid w:val="00115DC4"/>
    <w:rsid w:val="00115DED"/>
    <w:rsid w:val="00115E02"/>
    <w:rsid w:val="00115E25"/>
    <w:rsid w:val="00115EED"/>
    <w:rsid w:val="00115F7F"/>
    <w:rsid w:val="00115F80"/>
    <w:rsid w:val="00115F9A"/>
    <w:rsid w:val="00115F9B"/>
    <w:rsid w:val="00115FD3"/>
    <w:rsid w:val="00116037"/>
    <w:rsid w:val="00116045"/>
    <w:rsid w:val="0011606C"/>
    <w:rsid w:val="0011608E"/>
    <w:rsid w:val="00116094"/>
    <w:rsid w:val="0011610A"/>
    <w:rsid w:val="0011617B"/>
    <w:rsid w:val="001161A9"/>
    <w:rsid w:val="001161FB"/>
    <w:rsid w:val="001161FC"/>
    <w:rsid w:val="00116233"/>
    <w:rsid w:val="00116271"/>
    <w:rsid w:val="00116276"/>
    <w:rsid w:val="001162DF"/>
    <w:rsid w:val="001162F8"/>
    <w:rsid w:val="0011632C"/>
    <w:rsid w:val="0011634C"/>
    <w:rsid w:val="00116370"/>
    <w:rsid w:val="001163B3"/>
    <w:rsid w:val="00116473"/>
    <w:rsid w:val="0011647A"/>
    <w:rsid w:val="001164A6"/>
    <w:rsid w:val="001164DB"/>
    <w:rsid w:val="001165E6"/>
    <w:rsid w:val="00116613"/>
    <w:rsid w:val="0011661F"/>
    <w:rsid w:val="00116654"/>
    <w:rsid w:val="00116678"/>
    <w:rsid w:val="0011667A"/>
    <w:rsid w:val="0011669E"/>
    <w:rsid w:val="001166CF"/>
    <w:rsid w:val="001166FB"/>
    <w:rsid w:val="001166FF"/>
    <w:rsid w:val="0011674E"/>
    <w:rsid w:val="00116804"/>
    <w:rsid w:val="0011686D"/>
    <w:rsid w:val="0011688F"/>
    <w:rsid w:val="00116891"/>
    <w:rsid w:val="001168A1"/>
    <w:rsid w:val="001168F7"/>
    <w:rsid w:val="001168FC"/>
    <w:rsid w:val="00116A12"/>
    <w:rsid w:val="00116A2B"/>
    <w:rsid w:val="00116A96"/>
    <w:rsid w:val="00116AE3"/>
    <w:rsid w:val="00116B26"/>
    <w:rsid w:val="00116B3A"/>
    <w:rsid w:val="00116B77"/>
    <w:rsid w:val="00116B83"/>
    <w:rsid w:val="00116BC6"/>
    <w:rsid w:val="00116BED"/>
    <w:rsid w:val="00116C0D"/>
    <w:rsid w:val="00116C45"/>
    <w:rsid w:val="00116C5D"/>
    <w:rsid w:val="00116C5E"/>
    <w:rsid w:val="00116C6E"/>
    <w:rsid w:val="00116D06"/>
    <w:rsid w:val="00116D14"/>
    <w:rsid w:val="00116D50"/>
    <w:rsid w:val="00116E26"/>
    <w:rsid w:val="00116E81"/>
    <w:rsid w:val="00116EA4"/>
    <w:rsid w:val="00116ECF"/>
    <w:rsid w:val="00116F2F"/>
    <w:rsid w:val="00116F76"/>
    <w:rsid w:val="0011702F"/>
    <w:rsid w:val="00117045"/>
    <w:rsid w:val="00117056"/>
    <w:rsid w:val="00117065"/>
    <w:rsid w:val="00117088"/>
    <w:rsid w:val="001170A8"/>
    <w:rsid w:val="001170B9"/>
    <w:rsid w:val="001170C0"/>
    <w:rsid w:val="001170E7"/>
    <w:rsid w:val="001170FF"/>
    <w:rsid w:val="00117102"/>
    <w:rsid w:val="00117121"/>
    <w:rsid w:val="00117167"/>
    <w:rsid w:val="0011717E"/>
    <w:rsid w:val="0011718F"/>
    <w:rsid w:val="001171B8"/>
    <w:rsid w:val="0011720A"/>
    <w:rsid w:val="0011721E"/>
    <w:rsid w:val="00117230"/>
    <w:rsid w:val="0011725F"/>
    <w:rsid w:val="0011726E"/>
    <w:rsid w:val="00117281"/>
    <w:rsid w:val="001172AD"/>
    <w:rsid w:val="001172CC"/>
    <w:rsid w:val="001172D1"/>
    <w:rsid w:val="001172D4"/>
    <w:rsid w:val="00117331"/>
    <w:rsid w:val="00117351"/>
    <w:rsid w:val="001173B7"/>
    <w:rsid w:val="00117415"/>
    <w:rsid w:val="0011741D"/>
    <w:rsid w:val="0011743B"/>
    <w:rsid w:val="00117460"/>
    <w:rsid w:val="0011746F"/>
    <w:rsid w:val="001174D5"/>
    <w:rsid w:val="001174DA"/>
    <w:rsid w:val="0011757D"/>
    <w:rsid w:val="001175A0"/>
    <w:rsid w:val="001175B7"/>
    <w:rsid w:val="0011767A"/>
    <w:rsid w:val="00117681"/>
    <w:rsid w:val="001176CE"/>
    <w:rsid w:val="001176E2"/>
    <w:rsid w:val="00117734"/>
    <w:rsid w:val="0011773D"/>
    <w:rsid w:val="001177FF"/>
    <w:rsid w:val="0011790E"/>
    <w:rsid w:val="0011792A"/>
    <w:rsid w:val="00117944"/>
    <w:rsid w:val="00117974"/>
    <w:rsid w:val="001179A1"/>
    <w:rsid w:val="001179A6"/>
    <w:rsid w:val="00117A15"/>
    <w:rsid w:val="00117A16"/>
    <w:rsid w:val="00117A3F"/>
    <w:rsid w:val="00117AE6"/>
    <w:rsid w:val="00117B14"/>
    <w:rsid w:val="00117B20"/>
    <w:rsid w:val="00117B4B"/>
    <w:rsid w:val="00117B53"/>
    <w:rsid w:val="00117B7D"/>
    <w:rsid w:val="00117B96"/>
    <w:rsid w:val="00117BA2"/>
    <w:rsid w:val="00117BCD"/>
    <w:rsid w:val="00117C1D"/>
    <w:rsid w:val="00117D41"/>
    <w:rsid w:val="00117D9B"/>
    <w:rsid w:val="00117DA7"/>
    <w:rsid w:val="00117E71"/>
    <w:rsid w:val="00117F4E"/>
    <w:rsid w:val="00117FDF"/>
    <w:rsid w:val="00117FED"/>
    <w:rsid w:val="00117FF5"/>
    <w:rsid w:val="00120020"/>
    <w:rsid w:val="00120040"/>
    <w:rsid w:val="001200D0"/>
    <w:rsid w:val="001200ED"/>
    <w:rsid w:val="001202B0"/>
    <w:rsid w:val="001202E2"/>
    <w:rsid w:val="001202E8"/>
    <w:rsid w:val="00120339"/>
    <w:rsid w:val="001203A1"/>
    <w:rsid w:val="0012041F"/>
    <w:rsid w:val="00120421"/>
    <w:rsid w:val="00120460"/>
    <w:rsid w:val="0012047D"/>
    <w:rsid w:val="001204A9"/>
    <w:rsid w:val="001204B6"/>
    <w:rsid w:val="00120550"/>
    <w:rsid w:val="001205C2"/>
    <w:rsid w:val="001205F6"/>
    <w:rsid w:val="00120637"/>
    <w:rsid w:val="001206C7"/>
    <w:rsid w:val="0012073C"/>
    <w:rsid w:val="0012078B"/>
    <w:rsid w:val="0012079E"/>
    <w:rsid w:val="001207B8"/>
    <w:rsid w:val="001207C8"/>
    <w:rsid w:val="001207E9"/>
    <w:rsid w:val="0012086B"/>
    <w:rsid w:val="00120890"/>
    <w:rsid w:val="001208B0"/>
    <w:rsid w:val="001208CF"/>
    <w:rsid w:val="001208FF"/>
    <w:rsid w:val="00120920"/>
    <w:rsid w:val="0012092E"/>
    <w:rsid w:val="00120A9D"/>
    <w:rsid w:val="00120B74"/>
    <w:rsid w:val="00120B78"/>
    <w:rsid w:val="00120BDF"/>
    <w:rsid w:val="00120C53"/>
    <w:rsid w:val="00120C9B"/>
    <w:rsid w:val="00120CE2"/>
    <w:rsid w:val="00120CF2"/>
    <w:rsid w:val="00120D22"/>
    <w:rsid w:val="00120D27"/>
    <w:rsid w:val="00120D7F"/>
    <w:rsid w:val="00120D81"/>
    <w:rsid w:val="00120D85"/>
    <w:rsid w:val="00120DBF"/>
    <w:rsid w:val="00120DCF"/>
    <w:rsid w:val="00120E26"/>
    <w:rsid w:val="00120EB5"/>
    <w:rsid w:val="00120ED5"/>
    <w:rsid w:val="00120FAA"/>
    <w:rsid w:val="00120FB2"/>
    <w:rsid w:val="00120FCD"/>
    <w:rsid w:val="00121007"/>
    <w:rsid w:val="0012100F"/>
    <w:rsid w:val="0012102C"/>
    <w:rsid w:val="0012102D"/>
    <w:rsid w:val="0012106E"/>
    <w:rsid w:val="001211A1"/>
    <w:rsid w:val="001211A9"/>
    <w:rsid w:val="00121218"/>
    <w:rsid w:val="00121224"/>
    <w:rsid w:val="0012126E"/>
    <w:rsid w:val="00121290"/>
    <w:rsid w:val="001212BE"/>
    <w:rsid w:val="001212D7"/>
    <w:rsid w:val="00121308"/>
    <w:rsid w:val="00121314"/>
    <w:rsid w:val="0012134E"/>
    <w:rsid w:val="0012135A"/>
    <w:rsid w:val="001213B4"/>
    <w:rsid w:val="001213C2"/>
    <w:rsid w:val="001213DB"/>
    <w:rsid w:val="001213FF"/>
    <w:rsid w:val="0012143F"/>
    <w:rsid w:val="00121458"/>
    <w:rsid w:val="001214A5"/>
    <w:rsid w:val="001214FC"/>
    <w:rsid w:val="00121511"/>
    <w:rsid w:val="00121583"/>
    <w:rsid w:val="00121594"/>
    <w:rsid w:val="001215B5"/>
    <w:rsid w:val="001215EB"/>
    <w:rsid w:val="00121657"/>
    <w:rsid w:val="00121669"/>
    <w:rsid w:val="001216B9"/>
    <w:rsid w:val="001216CC"/>
    <w:rsid w:val="001216D5"/>
    <w:rsid w:val="00121702"/>
    <w:rsid w:val="0012170D"/>
    <w:rsid w:val="0012171C"/>
    <w:rsid w:val="0012174D"/>
    <w:rsid w:val="00121755"/>
    <w:rsid w:val="001217B8"/>
    <w:rsid w:val="001217C4"/>
    <w:rsid w:val="001217EA"/>
    <w:rsid w:val="00121886"/>
    <w:rsid w:val="00121889"/>
    <w:rsid w:val="001218CB"/>
    <w:rsid w:val="00121911"/>
    <w:rsid w:val="00121919"/>
    <w:rsid w:val="0012199E"/>
    <w:rsid w:val="001219A7"/>
    <w:rsid w:val="001219C8"/>
    <w:rsid w:val="00121A63"/>
    <w:rsid w:val="00121AD5"/>
    <w:rsid w:val="00121ADB"/>
    <w:rsid w:val="00121B08"/>
    <w:rsid w:val="00121B42"/>
    <w:rsid w:val="00121B65"/>
    <w:rsid w:val="00121BB7"/>
    <w:rsid w:val="00121C0C"/>
    <w:rsid w:val="00121C2D"/>
    <w:rsid w:val="00121D57"/>
    <w:rsid w:val="00121D5A"/>
    <w:rsid w:val="00121D8D"/>
    <w:rsid w:val="00121E03"/>
    <w:rsid w:val="00121E39"/>
    <w:rsid w:val="00121E7B"/>
    <w:rsid w:val="00121E9F"/>
    <w:rsid w:val="00121EEB"/>
    <w:rsid w:val="00121EED"/>
    <w:rsid w:val="00121EF2"/>
    <w:rsid w:val="00121EF9"/>
    <w:rsid w:val="0012200E"/>
    <w:rsid w:val="00122019"/>
    <w:rsid w:val="00122022"/>
    <w:rsid w:val="0012203E"/>
    <w:rsid w:val="0012210F"/>
    <w:rsid w:val="00122127"/>
    <w:rsid w:val="00122140"/>
    <w:rsid w:val="001221A9"/>
    <w:rsid w:val="001221C5"/>
    <w:rsid w:val="001221C7"/>
    <w:rsid w:val="001221CE"/>
    <w:rsid w:val="001221D7"/>
    <w:rsid w:val="00122217"/>
    <w:rsid w:val="00122222"/>
    <w:rsid w:val="00122244"/>
    <w:rsid w:val="0012224C"/>
    <w:rsid w:val="00122284"/>
    <w:rsid w:val="001222C1"/>
    <w:rsid w:val="001222DF"/>
    <w:rsid w:val="00122315"/>
    <w:rsid w:val="00122389"/>
    <w:rsid w:val="0012238A"/>
    <w:rsid w:val="0012238F"/>
    <w:rsid w:val="001223CB"/>
    <w:rsid w:val="00122413"/>
    <w:rsid w:val="00122423"/>
    <w:rsid w:val="0012244E"/>
    <w:rsid w:val="0012253E"/>
    <w:rsid w:val="0012255D"/>
    <w:rsid w:val="0012258F"/>
    <w:rsid w:val="00122594"/>
    <w:rsid w:val="00122598"/>
    <w:rsid w:val="0012259D"/>
    <w:rsid w:val="001225A5"/>
    <w:rsid w:val="001225B6"/>
    <w:rsid w:val="001225F2"/>
    <w:rsid w:val="0012262B"/>
    <w:rsid w:val="0012262D"/>
    <w:rsid w:val="001226D0"/>
    <w:rsid w:val="001226EC"/>
    <w:rsid w:val="00122704"/>
    <w:rsid w:val="0012279C"/>
    <w:rsid w:val="001227DE"/>
    <w:rsid w:val="00122843"/>
    <w:rsid w:val="0012287A"/>
    <w:rsid w:val="001228EC"/>
    <w:rsid w:val="0012292C"/>
    <w:rsid w:val="0012297B"/>
    <w:rsid w:val="00122985"/>
    <w:rsid w:val="001229D2"/>
    <w:rsid w:val="00122A29"/>
    <w:rsid w:val="00122A49"/>
    <w:rsid w:val="00122A4B"/>
    <w:rsid w:val="00122A6A"/>
    <w:rsid w:val="00122A72"/>
    <w:rsid w:val="00122A7B"/>
    <w:rsid w:val="00122A87"/>
    <w:rsid w:val="00122A8C"/>
    <w:rsid w:val="00122B11"/>
    <w:rsid w:val="00122B67"/>
    <w:rsid w:val="00122BB0"/>
    <w:rsid w:val="00122BC3"/>
    <w:rsid w:val="00122BD5"/>
    <w:rsid w:val="00122C02"/>
    <w:rsid w:val="00122C1A"/>
    <w:rsid w:val="00122C34"/>
    <w:rsid w:val="00122C92"/>
    <w:rsid w:val="00122D52"/>
    <w:rsid w:val="00122DAF"/>
    <w:rsid w:val="00122DF3"/>
    <w:rsid w:val="00122E6E"/>
    <w:rsid w:val="00122EAC"/>
    <w:rsid w:val="00122EB0"/>
    <w:rsid w:val="00122EC0"/>
    <w:rsid w:val="00122EDD"/>
    <w:rsid w:val="00122EDE"/>
    <w:rsid w:val="00122FA7"/>
    <w:rsid w:val="00122FB9"/>
    <w:rsid w:val="00122FE3"/>
    <w:rsid w:val="00122FF5"/>
    <w:rsid w:val="0012301A"/>
    <w:rsid w:val="0012304A"/>
    <w:rsid w:val="001230AD"/>
    <w:rsid w:val="001230E7"/>
    <w:rsid w:val="00123136"/>
    <w:rsid w:val="00123156"/>
    <w:rsid w:val="0012317D"/>
    <w:rsid w:val="001231BF"/>
    <w:rsid w:val="001231C9"/>
    <w:rsid w:val="0012325F"/>
    <w:rsid w:val="001232B2"/>
    <w:rsid w:val="001232EA"/>
    <w:rsid w:val="00123331"/>
    <w:rsid w:val="00123368"/>
    <w:rsid w:val="00123376"/>
    <w:rsid w:val="0012338E"/>
    <w:rsid w:val="001233B1"/>
    <w:rsid w:val="00123430"/>
    <w:rsid w:val="0012345A"/>
    <w:rsid w:val="0012345C"/>
    <w:rsid w:val="001234DE"/>
    <w:rsid w:val="00123520"/>
    <w:rsid w:val="0012353E"/>
    <w:rsid w:val="00123564"/>
    <w:rsid w:val="00123591"/>
    <w:rsid w:val="00123615"/>
    <w:rsid w:val="00123633"/>
    <w:rsid w:val="001236B1"/>
    <w:rsid w:val="001236D2"/>
    <w:rsid w:val="00123716"/>
    <w:rsid w:val="00123737"/>
    <w:rsid w:val="001237A8"/>
    <w:rsid w:val="001237EC"/>
    <w:rsid w:val="00123806"/>
    <w:rsid w:val="001238A7"/>
    <w:rsid w:val="001238FA"/>
    <w:rsid w:val="0012391C"/>
    <w:rsid w:val="0012395E"/>
    <w:rsid w:val="00123989"/>
    <w:rsid w:val="001239E4"/>
    <w:rsid w:val="001239E6"/>
    <w:rsid w:val="00123A15"/>
    <w:rsid w:val="00123A53"/>
    <w:rsid w:val="00123A80"/>
    <w:rsid w:val="00123ABB"/>
    <w:rsid w:val="00123AD9"/>
    <w:rsid w:val="00123B5E"/>
    <w:rsid w:val="00123B7F"/>
    <w:rsid w:val="00123BCF"/>
    <w:rsid w:val="00123BE8"/>
    <w:rsid w:val="00123C05"/>
    <w:rsid w:val="00123C2F"/>
    <w:rsid w:val="00123C5E"/>
    <w:rsid w:val="00123C6F"/>
    <w:rsid w:val="00123C84"/>
    <w:rsid w:val="00123C9A"/>
    <w:rsid w:val="00123CB7"/>
    <w:rsid w:val="00123CE9"/>
    <w:rsid w:val="00123D2B"/>
    <w:rsid w:val="00123DA1"/>
    <w:rsid w:val="00123DAA"/>
    <w:rsid w:val="00123E59"/>
    <w:rsid w:val="00123E71"/>
    <w:rsid w:val="00123ECC"/>
    <w:rsid w:val="00123ED7"/>
    <w:rsid w:val="00123F10"/>
    <w:rsid w:val="00123F14"/>
    <w:rsid w:val="00123F3A"/>
    <w:rsid w:val="00123F54"/>
    <w:rsid w:val="00123F58"/>
    <w:rsid w:val="001240F6"/>
    <w:rsid w:val="0012423E"/>
    <w:rsid w:val="00124294"/>
    <w:rsid w:val="001242DD"/>
    <w:rsid w:val="00124353"/>
    <w:rsid w:val="00124358"/>
    <w:rsid w:val="0012445B"/>
    <w:rsid w:val="00124484"/>
    <w:rsid w:val="001244BD"/>
    <w:rsid w:val="001244F3"/>
    <w:rsid w:val="00124533"/>
    <w:rsid w:val="0012453D"/>
    <w:rsid w:val="00124598"/>
    <w:rsid w:val="001245C8"/>
    <w:rsid w:val="001245FD"/>
    <w:rsid w:val="00124654"/>
    <w:rsid w:val="001246C6"/>
    <w:rsid w:val="00124733"/>
    <w:rsid w:val="00124746"/>
    <w:rsid w:val="00124757"/>
    <w:rsid w:val="00124788"/>
    <w:rsid w:val="00124795"/>
    <w:rsid w:val="00124822"/>
    <w:rsid w:val="00124904"/>
    <w:rsid w:val="00124951"/>
    <w:rsid w:val="0012498D"/>
    <w:rsid w:val="001249BA"/>
    <w:rsid w:val="001249CB"/>
    <w:rsid w:val="001249F6"/>
    <w:rsid w:val="00124A31"/>
    <w:rsid w:val="00124A7F"/>
    <w:rsid w:val="00124AA4"/>
    <w:rsid w:val="00124AE5"/>
    <w:rsid w:val="00124B07"/>
    <w:rsid w:val="00124B4C"/>
    <w:rsid w:val="00124B5A"/>
    <w:rsid w:val="00124B7F"/>
    <w:rsid w:val="00124C7E"/>
    <w:rsid w:val="00124D37"/>
    <w:rsid w:val="00124DCC"/>
    <w:rsid w:val="00124DFF"/>
    <w:rsid w:val="00124EAE"/>
    <w:rsid w:val="00124F0F"/>
    <w:rsid w:val="00124F55"/>
    <w:rsid w:val="00124F5F"/>
    <w:rsid w:val="0012502A"/>
    <w:rsid w:val="0012502F"/>
    <w:rsid w:val="00125044"/>
    <w:rsid w:val="00125052"/>
    <w:rsid w:val="00125054"/>
    <w:rsid w:val="0012508C"/>
    <w:rsid w:val="001250F3"/>
    <w:rsid w:val="001251CB"/>
    <w:rsid w:val="00125209"/>
    <w:rsid w:val="0012523A"/>
    <w:rsid w:val="0012523F"/>
    <w:rsid w:val="00125277"/>
    <w:rsid w:val="001252B8"/>
    <w:rsid w:val="0012535D"/>
    <w:rsid w:val="001253BD"/>
    <w:rsid w:val="00125402"/>
    <w:rsid w:val="0012540E"/>
    <w:rsid w:val="001255B6"/>
    <w:rsid w:val="001255BA"/>
    <w:rsid w:val="001255EA"/>
    <w:rsid w:val="001256DD"/>
    <w:rsid w:val="00125773"/>
    <w:rsid w:val="001257B5"/>
    <w:rsid w:val="0012582A"/>
    <w:rsid w:val="001258AA"/>
    <w:rsid w:val="001258E9"/>
    <w:rsid w:val="00125909"/>
    <w:rsid w:val="0012592D"/>
    <w:rsid w:val="0012592F"/>
    <w:rsid w:val="0012597B"/>
    <w:rsid w:val="00125985"/>
    <w:rsid w:val="001259C2"/>
    <w:rsid w:val="00125A0D"/>
    <w:rsid w:val="00125A80"/>
    <w:rsid w:val="00125ACB"/>
    <w:rsid w:val="00125AEC"/>
    <w:rsid w:val="00125AF5"/>
    <w:rsid w:val="00125B3D"/>
    <w:rsid w:val="00125B43"/>
    <w:rsid w:val="00125B4B"/>
    <w:rsid w:val="00125B6C"/>
    <w:rsid w:val="00125BDC"/>
    <w:rsid w:val="00125C36"/>
    <w:rsid w:val="00125D2B"/>
    <w:rsid w:val="00125D7C"/>
    <w:rsid w:val="00125D85"/>
    <w:rsid w:val="00125D8B"/>
    <w:rsid w:val="00125DAA"/>
    <w:rsid w:val="00125DB6"/>
    <w:rsid w:val="00125E2C"/>
    <w:rsid w:val="00125E84"/>
    <w:rsid w:val="00125E9A"/>
    <w:rsid w:val="00125EB8"/>
    <w:rsid w:val="00125EF6"/>
    <w:rsid w:val="00125F72"/>
    <w:rsid w:val="00126033"/>
    <w:rsid w:val="00126089"/>
    <w:rsid w:val="001260A2"/>
    <w:rsid w:val="001260D3"/>
    <w:rsid w:val="001261C2"/>
    <w:rsid w:val="00126259"/>
    <w:rsid w:val="001262BE"/>
    <w:rsid w:val="001262C1"/>
    <w:rsid w:val="00126353"/>
    <w:rsid w:val="00126384"/>
    <w:rsid w:val="001263CA"/>
    <w:rsid w:val="001263CE"/>
    <w:rsid w:val="001263E2"/>
    <w:rsid w:val="0012662D"/>
    <w:rsid w:val="00126632"/>
    <w:rsid w:val="00126640"/>
    <w:rsid w:val="0012664B"/>
    <w:rsid w:val="0012664C"/>
    <w:rsid w:val="00126663"/>
    <w:rsid w:val="00126673"/>
    <w:rsid w:val="00126737"/>
    <w:rsid w:val="0012673B"/>
    <w:rsid w:val="0012677C"/>
    <w:rsid w:val="001268BD"/>
    <w:rsid w:val="00126924"/>
    <w:rsid w:val="001269D3"/>
    <w:rsid w:val="00126A87"/>
    <w:rsid w:val="00126A88"/>
    <w:rsid w:val="00126B38"/>
    <w:rsid w:val="00126B7F"/>
    <w:rsid w:val="00126B8E"/>
    <w:rsid w:val="00126BF3"/>
    <w:rsid w:val="00126C2B"/>
    <w:rsid w:val="00126C6E"/>
    <w:rsid w:val="00126D2D"/>
    <w:rsid w:val="00126D5C"/>
    <w:rsid w:val="00126DF3"/>
    <w:rsid w:val="00126E10"/>
    <w:rsid w:val="00126E22"/>
    <w:rsid w:val="00126EF6"/>
    <w:rsid w:val="00126F1C"/>
    <w:rsid w:val="00126FF8"/>
    <w:rsid w:val="00127068"/>
    <w:rsid w:val="00127079"/>
    <w:rsid w:val="0012713F"/>
    <w:rsid w:val="00127159"/>
    <w:rsid w:val="00127163"/>
    <w:rsid w:val="0012716B"/>
    <w:rsid w:val="00127196"/>
    <w:rsid w:val="00127203"/>
    <w:rsid w:val="0012723F"/>
    <w:rsid w:val="0012728D"/>
    <w:rsid w:val="00127382"/>
    <w:rsid w:val="00127421"/>
    <w:rsid w:val="00127425"/>
    <w:rsid w:val="0012742F"/>
    <w:rsid w:val="001274C0"/>
    <w:rsid w:val="001274C6"/>
    <w:rsid w:val="001274D5"/>
    <w:rsid w:val="001274DD"/>
    <w:rsid w:val="001274FA"/>
    <w:rsid w:val="00127502"/>
    <w:rsid w:val="00127519"/>
    <w:rsid w:val="001275B3"/>
    <w:rsid w:val="0012763B"/>
    <w:rsid w:val="0012771C"/>
    <w:rsid w:val="0012771D"/>
    <w:rsid w:val="0012777B"/>
    <w:rsid w:val="00127797"/>
    <w:rsid w:val="0012782E"/>
    <w:rsid w:val="00127831"/>
    <w:rsid w:val="001278B1"/>
    <w:rsid w:val="001278B2"/>
    <w:rsid w:val="00127967"/>
    <w:rsid w:val="00127969"/>
    <w:rsid w:val="001279E3"/>
    <w:rsid w:val="00127A7C"/>
    <w:rsid w:val="00127AB8"/>
    <w:rsid w:val="00127AC1"/>
    <w:rsid w:val="00127B0E"/>
    <w:rsid w:val="00127B0F"/>
    <w:rsid w:val="00127B1C"/>
    <w:rsid w:val="00127B84"/>
    <w:rsid w:val="00127B8C"/>
    <w:rsid w:val="00127BAC"/>
    <w:rsid w:val="00127BBA"/>
    <w:rsid w:val="00127BDD"/>
    <w:rsid w:val="00127BE0"/>
    <w:rsid w:val="00127C57"/>
    <w:rsid w:val="00127D56"/>
    <w:rsid w:val="00127D75"/>
    <w:rsid w:val="00127DDA"/>
    <w:rsid w:val="00127E3E"/>
    <w:rsid w:val="00127EDA"/>
    <w:rsid w:val="00127F22"/>
    <w:rsid w:val="00127F43"/>
    <w:rsid w:val="00127F69"/>
    <w:rsid w:val="00127F73"/>
    <w:rsid w:val="00127FDF"/>
    <w:rsid w:val="00127FF9"/>
    <w:rsid w:val="00130019"/>
    <w:rsid w:val="00130049"/>
    <w:rsid w:val="00130061"/>
    <w:rsid w:val="00130080"/>
    <w:rsid w:val="00130151"/>
    <w:rsid w:val="001302DB"/>
    <w:rsid w:val="00130326"/>
    <w:rsid w:val="00130348"/>
    <w:rsid w:val="00130358"/>
    <w:rsid w:val="0013035D"/>
    <w:rsid w:val="00130379"/>
    <w:rsid w:val="001303C2"/>
    <w:rsid w:val="001303D8"/>
    <w:rsid w:val="001303DD"/>
    <w:rsid w:val="00130419"/>
    <w:rsid w:val="0013042D"/>
    <w:rsid w:val="0013046E"/>
    <w:rsid w:val="0013049D"/>
    <w:rsid w:val="001304BD"/>
    <w:rsid w:val="001304E8"/>
    <w:rsid w:val="0013053C"/>
    <w:rsid w:val="0013056C"/>
    <w:rsid w:val="00130730"/>
    <w:rsid w:val="00130735"/>
    <w:rsid w:val="00130816"/>
    <w:rsid w:val="0013081E"/>
    <w:rsid w:val="00130821"/>
    <w:rsid w:val="0013088C"/>
    <w:rsid w:val="00130895"/>
    <w:rsid w:val="001308CD"/>
    <w:rsid w:val="001308D8"/>
    <w:rsid w:val="00130978"/>
    <w:rsid w:val="00130A22"/>
    <w:rsid w:val="00130A2F"/>
    <w:rsid w:val="00130A3D"/>
    <w:rsid w:val="00130A40"/>
    <w:rsid w:val="00130A6D"/>
    <w:rsid w:val="00130A76"/>
    <w:rsid w:val="00130B8F"/>
    <w:rsid w:val="00130BD5"/>
    <w:rsid w:val="00130BE3"/>
    <w:rsid w:val="00130C66"/>
    <w:rsid w:val="00130C81"/>
    <w:rsid w:val="00130CCE"/>
    <w:rsid w:val="00130CE3"/>
    <w:rsid w:val="00130D03"/>
    <w:rsid w:val="00130D13"/>
    <w:rsid w:val="00130D25"/>
    <w:rsid w:val="00130E1D"/>
    <w:rsid w:val="00130E3F"/>
    <w:rsid w:val="00130E68"/>
    <w:rsid w:val="00130E77"/>
    <w:rsid w:val="00130EB2"/>
    <w:rsid w:val="00130EB8"/>
    <w:rsid w:val="00130EB9"/>
    <w:rsid w:val="00130F0A"/>
    <w:rsid w:val="00130F7F"/>
    <w:rsid w:val="00130F9F"/>
    <w:rsid w:val="00130FAE"/>
    <w:rsid w:val="00130FE8"/>
    <w:rsid w:val="00131022"/>
    <w:rsid w:val="0013103D"/>
    <w:rsid w:val="001310E1"/>
    <w:rsid w:val="001310F0"/>
    <w:rsid w:val="0013110D"/>
    <w:rsid w:val="00131136"/>
    <w:rsid w:val="001311CF"/>
    <w:rsid w:val="001311FF"/>
    <w:rsid w:val="0013125A"/>
    <w:rsid w:val="00131279"/>
    <w:rsid w:val="0013128E"/>
    <w:rsid w:val="001312B6"/>
    <w:rsid w:val="0013130F"/>
    <w:rsid w:val="001313EB"/>
    <w:rsid w:val="001313ED"/>
    <w:rsid w:val="00131466"/>
    <w:rsid w:val="001314DD"/>
    <w:rsid w:val="001314EA"/>
    <w:rsid w:val="001314F5"/>
    <w:rsid w:val="001315BB"/>
    <w:rsid w:val="001315CC"/>
    <w:rsid w:val="001316B2"/>
    <w:rsid w:val="00131740"/>
    <w:rsid w:val="0013175A"/>
    <w:rsid w:val="00131788"/>
    <w:rsid w:val="001317AA"/>
    <w:rsid w:val="001317FD"/>
    <w:rsid w:val="001318B5"/>
    <w:rsid w:val="001318DC"/>
    <w:rsid w:val="0013190E"/>
    <w:rsid w:val="00131915"/>
    <w:rsid w:val="00131929"/>
    <w:rsid w:val="0013193F"/>
    <w:rsid w:val="0013196F"/>
    <w:rsid w:val="00131989"/>
    <w:rsid w:val="001319A2"/>
    <w:rsid w:val="001319A7"/>
    <w:rsid w:val="001319DC"/>
    <w:rsid w:val="00131A44"/>
    <w:rsid w:val="00131A53"/>
    <w:rsid w:val="00131A6D"/>
    <w:rsid w:val="00131A86"/>
    <w:rsid w:val="00131A8F"/>
    <w:rsid w:val="00131B96"/>
    <w:rsid w:val="00131C13"/>
    <w:rsid w:val="00131C41"/>
    <w:rsid w:val="00131C99"/>
    <w:rsid w:val="00131D21"/>
    <w:rsid w:val="00131D34"/>
    <w:rsid w:val="00131D4C"/>
    <w:rsid w:val="00131DC3"/>
    <w:rsid w:val="00131DF0"/>
    <w:rsid w:val="00131E50"/>
    <w:rsid w:val="00131E85"/>
    <w:rsid w:val="00131F87"/>
    <w:rsid w:val="00131FA5"/>
    <w:rsid w:val="00131FC2"/>
    <w:rsid w:val="001320A7"/>
    <w:rsid w:val="001321CA"/>
    <w:rsid w:val="001321D8"/>
    <w:rsid w:val="001321EA"/>
    <w:rsid w:val="001321ED"/>
    <w:rsid w:val="0013225C"/>
    <w:rsid w:val="00132291"/>
    <w:rsid w:val="00132297"/>
    <w:rsid w:val="001322BC"/>
    <w:rsid w:val="001322E1"/>
    <w:rsid w:val="00132324"/>
    <w:rsid w:val="0013232F"/>
    <w:rsid w:val="0013238C"/>
    <w:rsid w:val="001323C0"/>
    <w:rsid w:val="00132401"/>
    <w:rsid w:val="00132458"/>
    <w:rsid w:val="00132472"/>
    <w:rsid w:val="001324B0"/>
    <w:rsid w:val="001324D3"/>
    <w:rsid w:val="001324EF"/>
    <w:rsid w:val="00132569"/>
    <w:rsid w:val="001325CC"/>
    <w:rsid w:val="00132686"/>
    <w:rsid w:val="00132799"/>
    <w:rsid w:val="001327D7"/>
    <w:rsid w:val="00132875"/>
    <w:rsid w:val="00132927"/>
    <w:rsid w:val="00132990"/>
    <w:rsid w:val="001329B0"/>
    <w:rsid w:val="001329B5"/>
    <w:rsid w:val="001329BE"/>
    <w:rsid w:val="001329DD"/>
    <w:rsid w:val="001329F3"/>
    <w:rsid w:val="00132B3A"/>
    <w:rsid w:val="00132B89"/>
    <w:rsid w:val="00132BDB"/>
    <w:rsid w:val="00132C02"/>
    <w:rsid w:val="00132C15"/>
    <w:rsid w:val="00132C66"/>
    <w:rsid w:val="00132C7D"/>
    <w:rsid w:val="00132CCD"/>
    <w:rsid w:val="00132CD8"/>
    <w:rsid w:val="00132D1A"/>
    <w:rsid w:val="00132D7D"/>
    <w:rsid w:val="00132DF3"/>
    <w:rsid w:val="00132E4B"/>
    <w:rsid w:val="00132E65"/>
    <w:rsid w:val="00132E95"/>
    <w:rsid w:val="00132EF4"/>
    <w:rsid w:val="00132F1D"/>
    <w:rsid w:val="00132F40"/>
    <w:rsid w:val="00133065"/>
    <w:rsid w:val="00133079"/>
    <w:rsid w:val="001330EE"/>
    <w:rsid w:val="0013310C"/>
    <w:rsid w:val="00133138"/>
    <w:rsid w:val="001331CC"/>
    <w:rsid w:val="001331F4"/>
    <w:rsid w:val="0013328F"/>
    <w:rsid w:val="001332BF"/>
    <w:rsid w:val="001332C4"/>
    <w:rsid w:val="00133318"/>
    <w:rsid w:val="0013333B"/>
    <w:rsid w:val="0013335C"/>
    <w:rsid w:val="0013336B"/>
    <w:rsid w:val="0013337C"/>
    <w:rsid w:val="001333CC"/>
    <w:rsid w:val="00133429"/>
    <w:rsid w:val="001334EC"/>
    <w:rsid w:val="0013352B"/>
    <w:rsid w:val="00133538"/>
    <w:rsid w:val="00133578"/>
    <w:rsid w:val="001335E8"/>
    <w:rsid w:val="0013362F"/>
    <w:rsid w:val="0013364F"/>
    <w:rsid w:val="001336B8"/>
    <w:rsid w:val="001336C0"/>
    <w:rsid w:val="001337A9"/>
    <w:rsid w:val="001337CC"/>
    <w:rsid w:val="00133876"/>
    <w:rsid w:val="001338AE"/>
    <w:rsid w:val="001338B7"/>
    <w:rsid w:val="001338D4"/>
    <w:rsid w:val="0013397F"/>
    <w:rsid w:val="00133A0D"/>
    <w:rsid w:val="00133A17"/>
    <w:rsid w:val="00133A2C"/>
    <w:rsid w:val="00133A2D"/>
    <w:rsid w:val="00133A3D"/>
    <w:rsid w:val="00133A44"/>
    <w:rsid w:val="00133A81"/>
    <w:rsid w:val="00133AE3"/>
    <w:rsid w:val="00133AEA"/>
    <w:rsid w:val="00133AEC"/>
    <w:rsid w:val="00133B1A"/>
    <w:rsid w:val="00133B56"/>
    <w:rsid w:val="00133BE9"/>
    <w:rsid w:val="00133C8D"/>
    <w:rsid w:val="00133CCE"/>
    <w:rsid w:val="00133CE6"/>
    <w:rsid w:val="00133CF5"/>
    <w:rsid w:val="00133DA9"/>
    <w:rsid w:val="00133DB3"/>
    <w:rsid w:val="00133DFD"/>
    <w:rsid w:val="00133DFE"/>
    <w:rsid w:val="00133E2A"/>
    <w:rsid w:val="00133E4A"/>
    <w:rsid w:val="00133E59"/>
    <w:rsid w:val="00133E77"/>
    <w:rsid w:val="00133E83"/>
    <w:rsid w:val="00133E8E"/>
    <w:rsid w:val="00133EA8"/>
    <w:rsid w:val="00133EAA"/>
    <w:rsid w:val="00133ECA"/>
    <w:rsid w:val="00133F2C"/>
    <w:rsid w:val="00133F51"/>
    <w:rsid w:val="00133F52"/>
    <w:rsid w:val="00133F5D"/>
    <w:rsid w:val="00133F67"/>
    <w:rsid w:val="00133F6F"/>
    <w:rsid w:val="00133FEC"/>
    <w:rsid w:val="0013403F"/>
    <w:rsid w:val="00134044"/>
    <w:rsid w:val="001340AC"/>
    <w:rsid w:val="001340B7"/>
    <w:rsid w:val="00134128"/>
    <w:rsid w:val="0013417C"/>
    <w:rsid w:val="00134184"/>
    <w:rsid w:val="0013419E"/>
    <w:rsid w:val="001341D0"/>
    <w:rsid w:val="00134224"/>
    <w:rsid w:val="0013424F"/>
    <w:rsid w:val="0013428B"/>
    <w:rsid w:val="001342DA"/>
    <w:rsid w:val="001342EA"/>
    <w:rsid w:val="0013434A"/>
    <w:rsid w:val="0013436A"/>
    <w:rsid w:val="00134379"/>
    <w:rsid w:val="00134390"/>
    <w:rsid w:val="001343EA"/>
    <w:rsid w:val="00134405"/>
    <w:rsid w:val="0013445A"/>
    <w:rsid w:val="0013448A"/>
    <w:rsid w:val="001344A3"/>
    <w:rsid w:val="001344A7"/>
    <w:rsid w:val="001344C8"/>
    <w:rsid w:val="001344D3"/>
    <w:rsid w:val="001344DC"/>
    <w:rsid w:val="00134544"/>
    <w:rsid w:val="0013454C"/>
    <w:rsid w:val="001345DF"/>
    <w:rsid w:val="00134609"/>
    <w:rsid w:val="00134613"/>
    <w:rsid w:val="00134626"/>
    <w:rsid w:val="0013464B"/>
    <w:rsid w:val="0013466D"/>
    <w:rsid w:val="0013468A"/>
    <w:rsid w:val="001346AC"/>
    <w:rsid w:val="001346AD"/>
    <w:rsid w:val="00134760"/>
    <w:rsid w:val="001347E2"/>
    <w:rsid w:val="00134810"/>
    <w:rsid w:val="00134871"/>
    <w:rsid w:val="0013491A"/>
    <w:rsid w:val="00134955"/>
    <w:rsid w:val="0013497F"/>
    <w:rsid w:val="00134991"/>
    <w:rsid w:val="001349D8"/>
    <w:rsid w:val="001349DA"/>
    <w:rsid w:val="001349E4"/>
    <w:rsid w:val="001349E6"/>
    <w:rsid w:val="00134A7F"/>
    <w:rsid w:val="00134A93"/>
    <w:rsid w:val="00134AEE"/>
    <w:rsid w:val="00134BA7"/>
    <w:rsid w:val="00134BAE"/>
    <w:rsid w:val="00134BD2"/>
    <w:rsid w:val="00134C07"/>
    <w:rsid w:val="00134C0C"/>
    <w:rsid w:val="00134C90"/>
    <w:rsid w:val="00134D05"/>
    <w:rsid w:val="00134D52"/>
    <w:rsid w:val="00134D69"/>
    <w:rsid w:val="00134D8D"/>
    <w:rsid w:val="00134DF1"/>
    <w:rsid w:val="00134E30"/>
    <w:rsid w:val="00134E4A"/>
    <w:rsid w:val="00134E52"/>
    <w:rsid w:val="00134EE2"/>
    <w:rsid w:val="00134F67"/>
    <w:rsid w:val="00134F9F"/>
    <w:rsid w:val="00134FA0"/>
    <w:rsid w:val="00134FAC"/>
    <w:rsid w:val="00134FC2"/>
    <w:rsid w:val="00134FCA"/>
    <w:rsid w:val="00134FCF"/>
    <w:rsid w:val="0013501A"/>
    <w:rsid w:val="00135081"/>
    <w:rsid w:val="0013508D"/>
    <w:rsid w:val="001350C5"/>
    <w:rsid w:val="001350DB"/>
    <w:rsid w:val="00135123"/>
    <w:rsid w:val="001351C9"/>
    <w:rsid w:val="001351EE"/>
    <w:rsid w:val="001352D1"/>
    <w:rsid w:val="001352E7"/>
    <w:rsid w:val="001353C1"/>
    <w:rsid w:val="001353F4"/>
    <w:rsid w:val="00135434"/>
    <w:rsid w:val="00135442"/>
    <w:rsid w:val="0013545E"/>
    <w:rsid w:val="0013547E"/>
    <w:rsid w:val="00135527"/>
    <w:rsid w:val="00135683"/>
    <w:rsid w:val="00135695"/>
    <w:rsid w:val="001356B4"/>
    <w:rsid w:val="001356BC"/>
    <w:rsid w:val="00135711"/>
    <w:rsid w:val="00135724"/>
    <w:rsid w:val="001357DD"/>
    <w:rsid w:val="001357F5"/>
    <w:rsid w:val="001358AF"/>
    <w:rsid w:val="001358CD"/>
    <w:rsid w:val="001358D9"/>
    <w:rsid w:val="001358DF"/>
    <w:rsid w:val="00135959"/>
    <w:rsid w:val="0013595C"/>
    <w:rsid w:val="001359BE"/>
    <w:rsid w:val="001359E7"/>
    <w:rsid w:val="00135A2F"/>
    <w:rsid w:val="00135B3A"/>
    <w:rsid w:val="00135BDC"/>
    <w:rsid w:val="00135C0C"/>
    <w:rsid w:val="00135C7C"/>
    <w:rsid w:val="00135CC9"/>
    <w:rsid w:val="00135D4C"/>
    <w:rsid w:val="00135D75"/>
    <w:rsid w:val="00135DB2"/>
    <w:rsid w:val="00135E4C"/>
    <w:rsid w:val="00135E5F"/>
    <w:rsid w:val="00135E88"/>
    <w:rsid w:val="00135EA3"/>
    <w:rsid w:val="00135ED5"/>
    <w:rsid w:val="00135F0A"/>
    <w:rsid w:val="00135FA0"/>
    <w:rsid w:val="00135FC2"/>
    <w:rsid w:val="00136000"/>
    <w:rsid w:val="0013600C"/>
    <w:rsid w:val="0013604A"/>
    <w:rsid w:val="0013604D"/>
    <w:rsid w:val="00136087"/>
    <w:rsid w:val="001360E2"/>
    <w:rsid w:val="001360E3"/>
    <w:rsid w:val="001361FC"/>
    <w:rsid w:val="00136212"/>
    <w:rsid w:val="00136255"/>
    <w:rsid w:val="0013629A"/>
    <w:rsid w:val="001362B0"/>
    <w:rsid w:val="00136304"/>
    <w:rsid w:val="00136317"/>
    <w:rsid w:val="001363AB"/>
    <w:rsid w:val="001363B7"/>
    <w:rsid w:val="001363D7"/>
    <w:rsid w:val="0013643D"/>
    <w:rsid w:val="00136467"/>
    <w:rsid w:val="00136569"/>
    <w:rsid w:val="00136585"/>
    <w:rsid w:val="001365CC"/>
    <w:rsid w:val="00136618"/>
    <w:rsid w:val="00136627"/>
    <w:rsid w:val="00136660"/>
    <w:rsid w:val="0013666C"/>
    <w:rsid w:val="0013668E"/>
    <w:rsid w:val="00136692"/>
    <w:rsid w:val="001366D0"/>
    <w:rsid w:val="001366D4"/>
    <w:rsid w:val="001366D9"/>
    <w:rsid w:val="001366F3"/>
    <w:rsid w:val="00136701"/>
    <w:rsid w:val="00136721"/>
    <w:rsid w:val="0013673B"/>
    <w:rsid w:val="00136744"/>
    <w:rsid w:val="00136766"/>
    <w:rsid w:val="00136790"/>
    <w:rsid w:val="001367F1"/>
    <w:rsid w:val="00136863"/>
    <w:rsid w:val="00136868"/>
    <w:rsid w:val="0013687A"/>
    <w:rsid w:val="001369CA"/>
    <w:rsid w:val="00136A6A"/>
    <w:rsid w:val="00136AC2"/>
    <w:rsid w:val="00136AC8"/>
    <w:rsid w:val="00136AFA"/>
    <w:rsid w:val="00136B40"/>
    <w:rsid w:val="00136B4D"/>
    <w:rsid w:val="00136B74"/>
    <w:rsid w:val="00136BB6"/>
    <w:rsid w:val="00136BCF"/>
    <w:rsid w:val="00136C31"/>
    <w:rsid w:val="00136CBD"/>
    <w:rsid w:val="00136CEB"/>
    <w:rsid w:val="00136D2C"/>
    <w:rsid w:val="00136E17"/>
    <w:rsid w:val="00136E61"/>
    <w:rsid w:val="00136EC6"/>
    <w:rsid w:val="00136EC7"/>
    <w:rsid w:val="00136F12"/>
    <w:rsid w:val="00136F47"/>
    <w:rsid w:val="00136F69"/>
    <w:rsid w:val="00136FA0"/>
    <w:rsid w:val="0013705C"/>
    <w:rsid w:val="0013708A"/>
    <w:rsid w:val="001370AC"/>
    <w:rsid w:val="001370C8"/>
    <w:rsid w:val="001370E7"/>
    <w:rsid w:val="001370F4"/>
    <w:rsid w:val="00137110"/>
    <w:rsid w:val="0013717D"/>
    <w:rsid w:val="00137184"/>
    <w:rsid w:val="0013719E"/>
    <w:rsid w:val="001371CD"/>
    <w:rsid w:val="001371D5"/>
    <w:rsid w:val="00137249"/>
    <w:rsid w:val="00137299"/>
    <w:rsid w:val="001372FE"/>
    <w:rsid w:val="00137304"/>
    <w:rsid w:val="0013730F"/>
    <w:rsid w:val="0013731D"/>
    <w:rsid w:val="0013732B"/>
    <w:rsid w:val="00137377"/>
    <w:rsid w:val="001373DA"/>
    <w:rsid w:val="001373F1"/>
    <w:rsid w:val="001373F5"/>
    <w:rsid w:val="00137440"/>
    <w:rsid w:val="0013748B"/>
    <w:rsid w:val="001374D0"/>
    <w:rsid w:val="001374E4"/>
    <w:rsid w:val="0013756B"/>
    <w:rsid w:val="001375AD"/>
    <w:rsid w:val="001375FC"/>
    <w:rsid w:val="0013760F"/>
    <w:rsid w:val="00137682"/>
    <w:rsid w:val="001376C1"/>
    <w:rsid w:val="001376FD"/>
    <w:rsid w:val="00137781"/>
    <w:rsid w:val="001378C1"/>
    <w:rsid w:val="001378EC"/>
    <w:rsid w:val="001378ED"/>
    <w:rsid w:val="00137953"/>
    <w:rsid w:val="00137A0D"/>
    <w:rsid w:val="00137A53"/>
    <w:rsid w:val="00137B3A"/>
    <w:rsid w:val="00137BF2"/>
    <w:rsid w:val="00137C83"/>
    <w:rsid w:val="00137D77"/>
    <w:rsid w:val="00137D9F"/>
    <w:rsid w:val="00137E4B"/>
    <w:rsid w:val="00137E99"/>
    <w:rsid w:val="00137EDC"/>
    <w:rsid w:val="00137F21"/>
    <w:rsid w:val="00137F42"/>
    <w:rsid w:val="00137F61"/>
    <w:rsid w:val="00137FE6"/>
    <w:rsid w:val="00137FF0"/>
    <w:rsid w:val="00140001"/>
    <w:rsid w:val="00140016"/>
    <w:rsid w:val="00140026"/>
    <w:rsid w:val="00140030"/>
    <w:rsid w:val="00140069"/>
    <w:rsid w:val="0014006E"/>
    <w:rsid w:val="001400C8"/>
    <w:rsid w:val="001400D6"/>
    <w:rsid w:val="001400E9"/>
    <w:rsid w:val="001400F2"/>
    <w:rsid w:val="001400F3"/>
    <w:rsid w:val="00140186"/>
    <w:rsid w:val="001401BF"/>
    <w:rsid w:val="001401C6"/>
    <w:rsid w:val="00140208"/>
    <w:rsid w:val="00140213"/>
    <w:rsid w:val="00140221"/>
    <w:rsid w:val="00140257"/>
    <w:rsid w:val="00140384"/>
    <w:rsid w:val="00140390"/>
    <w:rsid w:val="0014039C"/>
    <w:rsid w:val="001403E5"/>
    <w:rsid w:val="0014041C"/>
    <w:rsid w:val="0014044A"/>
    <w:rsid w:val="0014045F"/>
    <w:rsid w:val="00140477"/>
    <w:rsid w:val="00140486"/>
    <w:rsid w:val="0014048C"/>
    <w:rsid w:val="001404D7"/>
    <w:rsid w:val="00140512"/>
    <w:rsid w:val="00140526"/>
    <w:rsid w:val="0014060D"/>
    <w:rsid w:val="0014065D"/>
    <w:rsid w:val="001406FF"/>
    <w:rsid w:val="00140704"/>
    <w:rsid w:val="00140780"/>
    <w:rsid w:val="001407E2"/>
    <w:rsid w:val="0014085B"/>
    <w:rsid w:val="0014085D"/>
    <w:rsid w:val="001408CE"/>
    <w:rsid w:val="00140904"/>
    <w:rsid w:val="00140958"/>
    <w:rsid w:val="00140959"/>
    <w:rsid w:val="00140979"/>
    <w:rsid w:val="00140992"/>
    <w:rsid w:val="001409E8"/>
    <w:rsid w:val="00140A38"/>
    <w:rsid w:val="00140A48"/>
    <w:rsid w:val="00140A4B"/>
    <w:rsid w:val="00140B13"/>
    <w:rsid w:val="00140B63"/>
    <w:rsid w:val="00140BA6"/>
    <w:rsid w:val="00140C41"/>
    <w:rsid w:val="00140CA0"/>
    <w:rsid w:val="00140D02"/>
    <w:rsid w:val="00140D8A"/>
    <w:rsid w:val="00140D98"/>
    <w:rsid w:val="00140E76"/>
    <w:rsid w:val="00140E9B"/>
    <w:rsid w:val="00140EB9"/>
    <w:rsid w:val="00140F52"/>
    <w:rsid w:val="00140F62"/>
    <w:rsid w:val="00140F8F"/>
    <w:rsid w:val="00141035"/>
    <w:rsid w:val="00141045"/>
    <w:rsid w:val="00141076"/>
    <w:rsid w:val="001410EC"/>
    <w:rsid w:val="00141191"/>
    <w:rsid w:val="00141229"/>
    <w:rsid w:val="0014123C"/>
    <w:rsid w:val="00141294"/>
    <w:rsid w:val="001412CA"/>
    <w:rsid w:val="0014130A"/>
    <w:rsid w:val="0014137A"/>
    <w:rsid w:val="0014137C"/>
    <w:rsid w:val="00141395"/>
    <w:rsid w:val="00141484"/>
    <w:rsid w:val="001414DC"/>
    <w:rsid w:val="00141522"/>
    <w:rsid w:val="001415B0"/>
    <w:rsid w:val="0014167B"/>
    <w:rsid w:val="001416A0"/>
    <w:rsid w:val="001416ED"/>
    <w:rsid w:val="001416EE"/>
    <w:rsid w:val="001416FC"/>
    <w:rsid w:val="00141703"/>
    <w:rsid w:val="00141718"/>
    <w:rsid w:val="001417ED"/>
    <w:rsid w:val="00141822"/>
    <w:rsid w:val="0014184E"/>
    <w:rsid w:val="00141875"/>
    <w:rsid w:val="001418C5"/>
    <w:rsid w:val="001418C6"/>
    <w:rsid w:val="00141960"/>
    <w:rsid w:val="001419C2"/>
    <w:rsid w:val="001419FA"/>
    <w:rsid w:val="00141A1D"/>
    <w:rsid w:val="00141A7C"/>
    <w:rsid w:val="00141A87"/>
    <w:rsid w:val="00141AB9"/>
    <w:rsid w:val="00141B3D"/>
    <w:rsid w:val="00141B49"/>
    <w:rsid w:val="00141B5F"/>
    <w:rsid w:val="00141BAA"/>
    <w:rsid w:val="00141BC0"/>
    <w:rsid w:val="00141C38"/>
    <w:rsid w:val="00141C90"/>
    <w:rsid w:val="00141CA5"/>
    <w:rsid w:val="00141CBB"/>
    <w:rsid w:val="00141CC1"/>
    <w:rsid w:val="00141E95"/>
    <w:rsid w:val="00141EA2"/>
    <w:rsid w:val="00141EC9"/>
    <w:rsid w:val="00141EE9"/>
    <w:rsid w:val="00141EF1"/>
    <w:rsid w:val="00141F26"/>
    <w:rsid w:val="00141F4D"/>
    <w:rsid w:val="00141F53"/>
    <w:rsid w:val="00141F72"/>
    <w:rsid w:val="00141FD7"/>
    <w:rsid w:val="0014205F"/>
    <w:rsid w:val="001420F6"/>
    <w:rsid w:val="0014211C"/>
    <w:rsid w:val="0014212C"/>
    <w:rsid w:val="00142196"/>
    <w:rsid w:val="001421C4"/>
    <w:rsid w:val="001422A7"/>
    <w:rsid w:val="001422AC"/>
    <w:rsid w:val="001422AD"/>
    <w:rsid w:val="001422BF"/>
    <w:rsid w:val="001422DC"/>
    <w:rsid w:val="0014232C"/>
    <w:rsid w:val="00142332"/>
    <w:rsid w:val="00142392"/>
    <w:rsid w:val="001423EC"/>
    <w:rsid w:val="00142410"/>
    <w:rsid w:val="00142447"/>
    <w:rsid w:val="00142477"/>
    <w:rsid w:val="001424D2"/>
    <w:rsid w:val="001424E0"/>
    <w:rsid w:val="001424F2"/>
    <w:rsid w:val="00142508"/>
    <w:rsid w:val="0014254D"/>
    <w:rsid w:val="00142555"/>
    <w:rsid w:val="00142561"/>
    <w:rsid w:val="0014256D"/>
    <w:rsid w:val="001425D6"/>
    <w:rsid w:val="00142606"/>
    <w:rsid w:val="00142658"/>
    <w:rsid w:val="00142663"/>
    <w:rsid w:val="0014268F"/>
    <w:rsid w:val="001426EC"/>
    <w:rsid w:val="00142770"/>
    <w:rsid w:val="00142774"/>
    <w:rsid w:val="001427EE"/>
    <w:rsid w:val="001427FF"/>
    <w:rsid w:val="00142859"/>
    <w:rsid w:val="0014285D"/>
    <w:rsid w:val="00142929"/>
    <w:rsid w:val="0014294C"/>
    <w:rsid w:val="00142982"/>
    <w:rsid w:val="001429CA"/>
    <w:rsid w:val="00142A08"/>
    <w:rsid w:val="00142A35"/>
    <w:rsid w:val="00142A7D"/>
    <w:rsid w:val="00142A7F"/>
    <w:rsid w:val="00142AB8"/>
    <w:rsid w:val="00142AFB"/>
    <w:rsid w:val="00142BAE"/>
    <w:rsid w:val="00142C33"/>
    <w:rsid w:val="00142C87"/>
    <w:rsid w:val="00142CD4"/>
    <w:rsid w:val="00142D3E"/>
    <w:rsid w:val="00142D4B"/>
    <w:rsid w:val="00142D52"/>
    <w:rsid w:val="00142D53"/>
    <w:rsid w:val="00142EAC"/>
    <w:rsid w:val="00142ECF"/>
    <w:rsid w:val="00142EF8"/>
    <w:rsid w:val="00142F44"/>
    <w:rsid w:val="00142FA0"/>
    <w:rsid w:val="00143070"/>
    <w:rsid w:val="00143072"/>
    <w:rsid w:val="001430B1"/>
    <w:rsid w:val="001430CA"/>
    <w:rsid w:val="0014311D"/>
    <w:rsid w:val="0014316C"/>
    <w:rsid w:val="001431C8"/>
    <w:rsid w:val="00143259"/>
    <w:rsid w:val="00143299"/>
    <w:rsid w:val="001432A6"/>
    <w:rsid w:val="001432C8"/>
    <w:rsid w:val="0014333C"/>
    <w:rsid w:val="0014335C"/>
    <w:rsid w:val="0014337C"/>
    <w:rsid w:val="001433AE"/>
    <w:rsid w:val="0014342C"/>
    <w:rsid w:val="00143460"/>
    <w:rsid w:val="00143478"/>
    <w:rsid w:val="00143503"/>
    <w:rsid w:val="0014353E"/>
    <w:rsid w:val="00143542"/>
    <w:rsid w:val="00143561"/>
    <w:rsid w:val="00143571"/>
    <w:rsid w:val="001435AE"/>
    <w:rsid w:val="001435B3"/>
    <w:rsid w:val="001435BF"/>
    <w:rsid w:val="001435DC"/>
    <w:rsid w:val="00143643"/>
    <w:rsid w:val="00143671"/>
    <w:rsid w:val="0014367F"/>
    <w:rsid w:val="001436C8"/>
    <w:rsid w:val="001436DB"/>
    <w:rsid w:val="001436E4"/>
    <w:rsid w:val="001436F5"/>
    <w:rsid w:val="00143708"/>
    <w:rsid w:val="0014371F"/>
    <w:rsid w:val="00143763"/>
    <w:rsid w:val="001437D3"/>
    <w:rsid w:val="001437E2"/>
    <w:rsid w:val="001437FB"/>
    <w:rsid w:val="00143820"/>
    <w:rsid w:val="00143867"/>
    <w:rsid w:val="00143947"/>
    <w:rsid w:val="0014399B"/>
    <w:rsid w:val="001439C9"/>
    <w:rsid w:val="00143A17"/>
    <w:rsid w:val="00143A1D"/>
    <w:rsid w:val="00143AEE"/>
    <w:rsid w:val="00143AF0"/>
    <w:rsid w:val="00143B10"/>
    <w:rsid w:val="00143B26"/>
    <w:rsid w:val="00143B28"/>
    <w:rsid w:val="00143B9A"/>
    <w:rsid w:val="00143BAE"/>
    <w:rsid w:val="00143BEC"/>
    <w:rsid w:val="00143BF0"/>
    <w:rsid w:val="00143BFA"/>
    <w:rsid w:val="00143C52"/>
    <w:rsid w:val="00143C62"/>
    <w:rsid w:val="00143C71"/>
    <w:rsid w:val="00143C88"/>
    <w:rsid w:val="00143C94"/>
    <w:rsid w:val="00143D18"/>
    <w:rsid w:val="00143D19"/>
    <w:rsid w:val="00143D20"/>
    <w:rsid w:val="00143D7E"/>
    <w:rsid w:val="00143DD6"/>
    <w:rsid w:val="00143E0B"/>
    <w:rsid w:val="00143E65"/>
    <w:rsid w:val="00143E9F"/>
    <w:rsid w:val="00143F01"/>
    <w:rsid w:val="00143F16"/>
    <w:rsid w:val="00143F4F"/>
    <w:rsid w:val="00143FB7"/>
    <w:rsid w:val="00143FED"/>
    <w:rsid w:val="001440A4"/>
    <w:rsid w:val="001440AF"/>
    <w:rsid w:val="001440B5"/>
    <w:rsid w:val="001440D2"/>
    <w:rsid w:val="001440ED"/>
    <w:rsid w:val="001440FB"/>
    <w:rsid w:val="001441D9"/>
    <w:rsid w:val="00144240"/>
    <w:rsid w:val="001442FA"/>
    <w:rsid w:val="0014431D"/>
    <w:rsid w:val="001443FE"/>
    <w:rsid w:val="00144400"/>
    <w:rsid w:val="00144468"/>
    <w:rsid w:val="00144519"/>
    <w:rsid w:val="00144597"/>
    <w:rsid w:val="001445A1"/>
    <w:rsid w:val="001445DC"/>
    <w:rsid w:val="00144649"/>
    <w:rsid w:val="00144650"/>
    <w:rsid w:val="001446B5"/>
    <w:rsid w:val="001446C0"/>
    <w:rsid w:val="00144715"/>
    <w:rsid w:val="00144776"/>
    <w:rsid w:val="001447A0"/>
    <w:rsid w:val="001447B1"/>
    <w:rsid w:val="001447ED"/>
    <w:rsid w:val="001448AB"/>
    <w:rsid w:val="0014496F"/>
    <w:rsid w:val="0014499E"/>
    <w:rsid w:val="001449A1"/>
    <w:rsid w:val="001449C8"/>
    <w:rsid w:val="001449D0"/>
    <w:rsid w:val="001449F5"/>
    <w:rsid w:val="00144A11"/>
    <w:rsid w:val="00144A20"/>
    <w:rsid w:val="00144A21"/>
    <w:rsid w:val="00144A5F"/>
    <w:rsid w:val="00144A84"/>
    <w:rsid w:val="00144B13"/>
    <w:rsid w:val="00144B48"/>
    <w:rsid w:val="00144B4A"/>
    <w:rsid w:val="00144B4C"/>
    <w:rsid w:val="00144B50"/>
    <w:rsid w:val="00144B5F"/>
    <w:rsid w:val="00144BD6"/>
    <w:rsid w:val="00144C6B"/>
    <w:rsid w:val="00144C82"/>
    <w:rsid w:val="00144C8F"/>
    <w:rsid w:val="00144CA9"/>
    <w:rsid w:val="00144CAB"/>
    <w:rsid w:val="00144CEF"/>
    <w:rsid w:val="00144CF1"/>
    <w:rsid w:val="00144D12"/>
    <w:rsid w:val="00144D3E"/>
    <w:rsid w:val="00144E78"/>
    <w:rsid w:val="00144E9B"/>
    <w:rsid w:val="00144F2E"/>
    <w:rsid w:val="00144F4E"/>
    <w:rsid w:val="00144FB6"/>
    <w:rsid w:val="00145073"/>
    <w:rsid w:val="00145074"/>
    <w:rsid w:val="001450A2"/>
    <w:rsid w:val="001450F1"/>
    <w:rsid w:val="00145108"/>
    <w:rsid w:val="0014517D"/>
    <w:rsid w:val="001451D9"/>
    <w:rsid w:val="0014520A"/>
    <w:rsid w:val="00145224"/>
    <w:rsid w:val="001452EB"/>
    <w:rsid w:val="00145301"/>
    <w:rsid w:val="001453E2"/>
    <w:rsid w:val="001453FE"/>
    <w:rsid w:val="001454BC"/>
    <w:rsid w:val="001454EA"/>
    <w:rsid w:val="0014554A"/>
    <w:rsid w:val="0014557F"/>
    <w:rsid w:val="00145588"/>
    <w:rsid w:val="0014563C"/>
    <w:rsid w:val="00145690"/>
    <w:rsid w:val="00145736"/>
    <w:rsid w:val="0014573F"/>
    <w:rsid w:val="00145801"/>
    <w:rsid w:val="00145892"/>
    <w:rsid w:val="001458FA"/>
    <w:rsid w:val="00145970"/>
    <w:rsid w:val="001459B3"/>
    <w:rsid w:val="00145A1F"/>
    <w:rsid w:val="00145A21"/>
    <w:rsid w:val="00145A26"/>
    <w:rsid w:val="00145AAD"/>
    <w:rsid w:val="00145B0E"/>
    <w:rsid w:val="00145B83"/>
    <w:rsid w:val="00145BD8"/>
    <w:rsid w:val="00145BE5"/>
    <w:rsid w:val="00145BFA"/>
    <w:rsid w:val="00145C5A"/>
    <w:rsid w:val="00145C8C"/>
    <w:rsid w:val="00145CA6"/>
    <w:rsid w:val="00145D02"/>
    <w:rsid w:val="00145D12"/>
    <w:rsid w:val="00145D26"/>
    <w:rsid w:val="00145D28"/>
    <w:rsid w:val="00145D43"/>
    <w:rsid w:val="00145D72"/>
    <w:rsid w:val="00145D99"/>
    <w:rsid w:val="00145DA4"/>
    <w:rsid w:val="00145DC5"/>
    <w:rsid w:val="00145E15"/>
    <w:rsid w:val="00145E52"/>
    <w:rsid w:val="00145E75"/>
    <w:rsid w:val="00145EE7"/>
    <w:rsid w:val="00145EFA"/>
    <w:rsid w:val="00145F7B"/>
    <w:rsid w:val="00145F9D"/>
    <w:rsid w:val="00145FCC"/>
    <w:rsid w:val="00146005"/>
    <w:rsid w:val="00146014"/>
    <w:rsid w:val="0014608E"/>
    <w:rsid w:val="001460DF"/>
    <w:rsid w:val="001461D7"/>
    <w:rsid w:val="00146254"/>
    <w:rsid w:val="0014629A"/>
    <w:rsid w:val="0014634C"/>
    <w:rsid w:val="001463C1"/>
    <w:rsid w:val="001463F1"/>
    <w:rsid w:val="00146410"/>
    <w:rsid w:val="0014643B"/>
    <w:rsid w:val="00146478"/>
    <w:rsid w:val="001464AB"/>
    <w:rsid w:val="001464C8"/>
    <w:rsid w:val="001464DF"/>
    <w:rsid w:val="0014658C"/>
    <w:rsid w:val="0014659E"/>
    <w:rsid w:val="001465A9"/>
    <w:rsid w:val="001465B3"/>
    <w:rsid w:val="001465EF"/>
    <w:rsid w:val="0014661A"/>
    <w:rsid w:val="00146632"/>
    <w:rsid w:val="00146635"/>
    <w:rsid w:val="0014663B"/>
    <w:rsid w:val="00146656"/>
    <w:rsid w:val="00146683"/>
    <w:rsid w:val="0014669C"/>
    <w:rsid w:val="001466DD"/>
    <w:rsid w:val="00146716"/>
    <w:rsid w:val="00146769"/>
    <w:rsid w:val="00146786"/>
    <w:rsid w:val="001467C6"/>
    <w:rsid w:val="00146826"/>
    <w:rsid w:val="0014685C"/>
    <w:rsid w:val="00146866"/>
    <w:rsid w:val="00146884"/>
    <w:rsid w:val="001468FD"/>
    <w:rsid w:val="00146903"/>
    <w:rsid w:val="0014696D"/>
    <w:rsid w:val="00146987"/>
    <w:rsid w:val="00146999"/>
    <w:rsid w:val="00146A0E"/>
    <w:rsid w:val="00146A2C"/>
    <w:rsid w:val="00146A4E"/>
    <w:rsid w:val="00146A56"/>
    <w:rsid w:val="00146A83"/>
    <w:rsid w:val="00146A96"/>
    <w:rsid w:val="00146AAA"/>
    <w:rsid w:val="00146B93"/>
    <w:rsid w:val="00146C46"/>
    <w:rsid w:val="00146CA0"/>
    <w:rsid w:val="00146CB1"/>
    <w:rsid w:val="00146CF4"/>
    <w:rsid w:val="00146D58"/>
    <w:rsid w:val="00146DBC"/>
    <w:rsid w:val="00146DCB"/>
    <w:rsid w:val="00146DED"/>
    <w:rsid w:val="00146E0D"/>
    <w:rsid w:val="00146E29"/>
    <w:rsid w:val="00146E3E"/>
    <w:rsid w:val="00146E4A"/>
    <w:rsid w:val="00146E4C"/>
    <w:rsid w:val="00146E76"/>
    <w:rsid w:val="00146EA8"/>
    <w:rsid w:val="00146EC1"/>
    <w:rsid w:val="00146ED8"/>
    <w:rsid w:val="00146F33"/>
    <w:rsid w:val="00146F7C"/>
    <w:rsid w:val="00146FD9"/>
    <w:rsid w:val="00147045"/>
    <w:rsid w:val="00147068"/>
    <w:rsid w:val="0014706B"/>
    <w:rsid w:val="00147078"/>
    <w:rsid w:val="0014708C"/>
    <w:rsid w:val="001470E6"/>
    <w:rsid w:val="0014718E"/>
    <w:rsid w:val="0014721D"/>
    <w:rsid w:val="0014722D"/>
    <w:rsid w:val="00147241"/>
    <w:rsid w:val="0014724A"/>
    <w:rsid w:val="001472B4"/>
    <w:rsid w:val="001472F8"/>
    <w:rsid w:val="001473D1"/>
    <w:rsid w:val="001473FC"/>
    <w:rsid w:val="00147415"/>
    <w:rsid w:val="0014746A"/>
    <w:rsid w:val="001474C0"/>
    <w:rsid w:val="001474DD"/>
    <w:rsid w:val="001474EB"/>
    <w:rsid w:val="0014752A"/>
    <w:rsid w:val="0014763D"/>
    <w:rsid w:val="00147648"/>
    <w:rsid w:val="00147696"/>
    <w:rsid w:val="00147783"/>
    <w:rsid w:val="001477B0"/>
    <w:rsid w:val="001477F1"/>
    <w:rsid w:val="0014788E"/>
    <w:rsid w:val="00147918"/>
    <w:rsid w:val="00147939"/>
    <w:rsid w:val="00147A7A"/>
    <w:rsid w:val="00147B90"/>
    <w:rsid w:val="00147B99"/>
    <w:rsid w:val="00147BAB"/>
    <w:rsid w:val="00147C18"/>
    <w:rsid w:val="00147CC7"/>
    <w:rsid w:val="00147D14"/>
    <w:rsid w:val="00147D97"/>
    <w:rsid w:val="00147E1D"/>
    <w:rsid w:val="00147EC0"/>
    <w:rsid w:val="0015003A"/>
    <w:rsid w:val="0015004B"/>
    <w:rsid w:val="00150072"/>
    <w:rsid w:val="0015007F"/>
    <w:rsid w:val="001500AF"/>
    <w:rsid w:val="0015016B"/>
    <w:rsid w:val="0015023B"/>
    <w:rsid w:val="001502A2"/>
    <w:rsid w:val="001502FB"/>
    <w:rsid w:val="0015031E"/>
    <w:rsid w:val="00150365"/>
    <w:rsid w:val="00150373"/>
    <w:rsid w:val="001503B2"/>
    <w:rsid w:val="001503D9"/>
    <w:rsid w:val="001504DC"/>
    <w:rsid w:val="00150556"/>
    <w:rsid w:val="00150571"/>
    <w:rsid w:val="00150596"/>
    <w:rsid w:val="001505F0"/>
    <w:rsid w:val="00150693"/>
    <w:rsid w:val="00150740"/>
    <w:rsid w:val="00150767"/>
    <w:rsid w:val="001507A5"/>
    <w:rsid w:val="001507C5"/>
    <w:rsid w:val="001507E0"/>
    <w:rsid w:val="00150807"/>
    <w:rsid w:val="0015083E"/>
    <w:rsid w:val="0015088F"/>
    <w:rsid w:val="001508D6"/>
    <w:rsid w:val="00150910"/>
    <w:rsid w:val="00150961"/>
    <w:rsid w:val="0015099D"/>
    <w:rsid w:val="001509DF"/>
    <w:rsid w:val="00150AB8"/>
    <w:rsid w:val="00150B02"/>
    <w:rsid w:val="00150B23"/>
    <w:rsid w:val="00150B9C"/>
    <w:rsid w:val="00150C32"/>
    <w:rsid w:val="00150C36"/>
    <w:rsid w:val="00150C55"/>
    <w:rsid w:val="00150C77"/>
    <w:rsid w:val="00150CA1"/>
    <w:rsid w:val="00150D49"/>
    <w:rsid w:val="00150D84"/>
    <w:rsid w:val="00150E3D"/>
    <w:rsid w:val="00150E95"/>
    <w:rsid w:val="00150EDD"/>
    <w:rsid w:val="00150F1C"/>
    <w:rsid w:val="00150FB2"/>
    <w:rsid w:val="00150FE5"/>
    <w:rsid w:val="00151032"/>
    <w:rsid w:val="0015103B"/>
    <w:rsid w:val="00151044"/>
    <w:rsid w:val="001510B2"/>
    <w:rsid w:val="001510D4"/>
    <w:rsid w:val="001510E1"/>
    <w:rsid w:val="00151170"/>
    <w:rsid w:val="00151190"/>
    <w:rsid w:val="001511FC"/>
    <w:rsid w:val="0015120E"/>
    <w:rsid w:val="0015125F"/>
    <w:rsid w:val="00151283"/>
    <w:rsid w:val="001512D0"/>
    <w:rsid w:val="001512F5"/>
    <w:rsid w:val="001512FA"/>
    <w:rsid w:val="00151353"/>
    <w:rsid w:val="001513A5"/>
    <w:rsid w:val="001513FA"/>
    <w:rsid w:val="0015140B"/>
    <w:rsid w:val="0015141F"/>
    <w:rsid w:val="0015145F"/>
    <w:rsid w:val="00151570"/>
    <w:rsid w:val="0015162A"/>
    <w:rsid w:val="0015166D"/>
    <w:rsid w:val="00151689"/>
    <w:rsid w:val="0015168A"/>
    <w:rsid w:val="001516FC"/>
    <w:rsid w:val="00151762"/>
    <w:rsid w:val="001517A0"/>
    <w:rsid w:val="00151817"/>
    <w:rsid w:val="00151830"/>
    <w:rsid w:val="0015183A"/>
    <w:rsid w:val="00151861"/>
    <w:rsid w:val="001518A6"/>
    <w:rsid w:val="001518F4"/>
    <w:rsid w:val="0015190D"/>
    <w:rsid w:val="0015192A"/>
    <w:rsid w:val="00151951"/>
    <w:rsid w:val="001519B1"/>
    <w:rsid w:val="00151A20"/>
    <w:rsid w:val="00151A52"/>
    <w:rsid w:val="00151ABD"/>
    <w:rsid w:val="00151ADF"/>
    <w:rsid w:val="00151BA7"/>
    <w:rsid w:val="00151BB6"/>
    <w:rsid w:val="00151BCC"/>
    <w:rsid w:val="00151BD6"/>
    <w:rsid w:val="00151BF6"/>
    <w:rsid w:val="00151C05"/>
    <w:rsid w:val="00151C68"/>
    <w:rsid w:val="00151C8E"/>
    <w:rsid w:val="00151C9B"/>
    <w:rsid w:val="00151CED"/>
    <w:rsid w:val="00151D3A"/>
    <w:rsid w:val="00151E01"/>
    <w:rsid w:val="00151E52"/>
    <w:rsid w:val="00151E5A"/>
    <w:rsid w:val="00151E9C"/>
    <w:rsid w:val="00151F32"/>
    <w:rsid w:val="00151F39"/>
    <w:rsid w:val="00151F4C"/>
    <w:rsid w:val="00151F4F"/>
    <w:rsid w:val="00151F62"/>
    <w:rsid w:val="00151F6E"/>
    <w:rsid w:val="00151FB8"/>
    <w:rsid w:val="00151FBB"/>
    <w:rsid w:val="00151FBD"/>
    <w:rsid w:val="00151FD2"/>
    <w:rsid w:val="0015201B"/>
    <w:rsid w:val="0015208D"/>
    <w:rsid w:val="00152093"/>
    <w:rsid w:val="001520B1"/>
    <w:rsid w:val="001520E8"/>
    <w:rsid w:val="0015214E"/>
    <w:rsid w:val="0015219C"/>
    <w:rsid w:val="001521F9"/>
    <w:rsid w:val="0015221F"/>
    <w:rsid w:val="00152280"/>
    <w:rsid w:val="001522A1"/>
    <w:rsid w:val="001522AC"/>
    <w:rsid w:val="001522B0"/>
    <w:rsid w:val="001522BE"/>
    <w:rsid w:val="0015232F"/>
    <w:rsid w:val="00152360"/>
    <w:rsid w:val="00152364"/>
    <w:rsid w:val="001523A8"/>
    <w:rsid w:val="001523B1"/>
    <w:rsid w:val="001523B9"/>
    <w:rsid w:val="001523F1"/>
    <w:rsid w:val="00152419"/>
    <w:rsid w:val="00152468"/>
    <w:rsid w:val="001524C9"/>
    <w:rsid w:val="001524D5"/>
    <w:rsid w:val="001524DB"/>
    <w:rsid w:val="00152546"/>
    <w:rsid w:val="0015254A"/>
    <w:rsid w:val="00152589"/>
    <w:rsid w:val="00152591"/>
    <w:rsid w:val="0015259E"/>
    <w:rsid w:val="001525B3"/>
    <w:rsid w:val="00152639"/>
    <w:rsid w:val="0015263F"/>
    <w:rsid w:val="0015264D"/>
    <w:rsid w:val="001526EF"/>
    <w:rsid w:val="0015272E"/>
    <w:rsid w:val="00152744"/>
    <w:rsid w:val="00152789"/>
    <w:rsid w:val="0015280F"/>
    <w:rsid w:val="00152821"/>
    <w:rsid w:val="0015282E"/>
    <w:rsid w:val="00152878"/>
    <w:rsid w:val="00152881"/>
    <w:rsid w:val="001528C9"/>
    <w:rsid w:val="00152923"/>
    <w:rsid w:val="00152969"/>
    <w:rsid w:val="001529A0"/>
    <w:rsid w:val="001529A6"/>
    <w:rsid w:val="001529AC"/>
    <w:rsid w:val="00152A5B"/>
    <w:rsid w:val="00152A69"/>
    <w:rsid w:val="00152A92"/>
    <w:rsid w:val="00152A9D"/>
    <w:rsid w:val="00152AD0"/>
    <w:rsid w:val="00152AFF"/>
    <w:rsid w:val="00152B32"/>
    <w:rsid w:val="00152B67"/>
    <w:rsid w:val="00152BCE"/>
    <w:rsid w:val="00152C3F"/>
    <w:rsid w:val="00152C57"/>
    <w:rsid w:val="00152C6C"/>
    <w:rsid w:val="00152C91"/>
    <w:rsid w:val="00152CDE"/>
    <w:rsid w:val="00152D37"/>
    <w:rsid w:val="00152D66"/>
    <w:rsid w:val="00152D71"/>
    <w:rsid w:val="00152E06"/>
    <w:rsid w:val="00152EA6"/>
    <w:rsid w:val="00152F54"/>
    <w:rsid w:val="00152F62"/>
    <w:rsid w:val="00152FAC"/>
    <w:rsid w:val="00153023"/>
    <w:rsid w:val="00153061"/>
    <w:rsid w:val="0015307E"/>
    <w:rsid w:val="00153085"/>
    <w:rsid w:val="0015308D"/>
    <w:rsid w:val="001530AD"/>
    <w:rsid w:val="0015311C"/>
    <w:rsid w:val="001531E5"/>
    <w:rsid w:val="00153225"/>
    <w:rsid w:val="00153302"/>
    <w:rsid w:val="00153313"/>
    <w:rsid w:val="0015337E"/>
    <w:rsid w:val="00153390"/>
    <w:rsid w:val="001533CB"/>
    <w:rsid w:val="00153412"/>
    <w:rsid w:val="00153446"/>
    <w:rsid w:val="0015348E"/>
    <w:rsid w:val="001534E4"/>
    <w:rsid w:val="0015357B"/>
    <w:rsid w:val="0015359D"/>
    <w:rsid w:val="0015360A"/>
    <w:rsid w:val="0015361F"/>
    <w:rsid w:val="00153633"/>
    <w:rsid w:val="0015364B"/>
    <w:rsid w:val="001536FB"/>
    <w:rsid w:val="00153706"/>
    <w:rsid w:val="0015375E"/>
    <w:rsid w:val="001537CC"/>
    <w:rsid w:val="0015383E"/>
    <w:rsid w:val="0015384F"/>
    <w:rsid w:val="001538FE"/>
    <w:rsid w:val="00153911"/>
    <w:rsid w:val="0015392D"/>
    <w:rsid w:val="0015397E"/>
    <w:rsid w:val="001539A3"/>
    <w:rsid w:val="00153A49"/>
    <w:rsid w:val="00153A5B"/>
    <w:rsid w:val="00153A5D"/>
    <w:rsid w:val="00153A99"/>
    <w:rsid w:val="00153B21"/>
    <w:rsid w:val="00153B5D"/>
    <w:rsid w:val="00153B69"/>
    <w:rsid w:val="00153BA3"/>
    <w:rsid w:val="00153C0D"/>
    <w:rsid w:val="00153C63"/>
    <w:rsid w:val="00153CA7"/>
    <w:rsid w:val="00153CDE"/>
    <w:rsid w:val="00153CEA"/>
    <w:rsid w:val="00153D0A"/>
    <w:rsid w:val="00153DDB"/>
    <w:rsid w:val="00153E81"/>
    <w:rsid w:val="00153EB5"/>
    <w:rsid w:val="00153EC7"/>
    <w:rsid w:val="00153EDF"/>
    <w:rsid w:val="00153F43"/>
    <w:rsid w:val="00153F6E"/>
    <w:rsid w:val="00153F72"/>
    <w:rsid w:val="0015403A"/>
    <w:rsid w:val="001540F3"/>
    <w:rsid w:val="001540F9"/>
    <w:rsid w:val="0015413B"/>
    <w:rsid w:val="00154160"/>
    <w:rsid w:val="00154179"/>
    <w:rsid w:val="001541B7"/>
    <w:rsid w:val="001541EC"/>
    <w:rsid w:val="001541F5"/>
    <w:rsid w:val="00154299"/>
    <w:rsid w:val="001542A6"/>
    <w:rsid w:val="001542B2"/>
    <w:rsid w:val="001542E3"/>
    <w:rsid w:val="001542E9"/>
    <w:rsid w:val="0015435F"/>
    <w:rsid w:val="00154381"/>
    <w:rsid w:val="0015439F"/>
    <w:rsid w:val="001543F1"/>
    <w:rsid w:val="001543FB"/>
    <w:rsid w:val="00154627"/>
    <w:rsid w:val="0015468A"/>
    <w:rsid w:val="001546BF"/>
    <w:rsid w:val="001546ED"/>
    <w:rsid w:val="00154723"/>
    <w:rsid w:val="001547F3"/>
    <w:rsid w:val="0015483F"/>
    <w:rsid w:val="001548A0"/>
    <w:rsid w:val="001548DC"/>
    <w:rsid w:val="001548F0"/>
    <w:rsid w:val="00154957"/>
    <w:rsid w:val="0015497E"/>
    <w:rsid w:val="001549A3"/>
    <w:rsid w:val="001549B8"/>
    <w:rsid w:val="00154A07"/>
    <w:rsid w:val="00154A28"/>
    <w:rsid w:val="00154AB3"/>
    <w:rsid w:val="00154AE6"/>
    <w:rsid w:val="00154B1A"/>
    <w:rsid w:val="00154B27"/>
    <w:rsid w:val="00154BCE"/>
    <w:rsid w:val="00154BFC"/>
    <w:rsid w:val="00154C5F"/>
    <w:rsid w:val="00154CC4"/>
    <w:rsid w:val="00154CCB"/>
    <w:rsid w:val="00154CDC"/>
    <w:rsid w:val="00154D3F"/>
    <w:rsid w:val="00154D7B"/>
    <w:rsid w:val="00154D7F"/>
    <w:rsid w:val="00154DBD"/>
    <w:rsid w:val="00154DED"/>
    <w:rsid w:val="00154DFF"/>
    <w:rsid w:val="00154E9A"/>
    <w:rsid w:val="00154EC3"/>
    <w:rsid w:val="00154EC9"/>
    <w:rsid w:val="00154F6A"/>
    <w:rsid w:val="00154F70"/>
    <w:rsid w:val="00154F90"/>
    <w:rsid w:val="00154F9E"/>
    <w:rsid w:val="00154FCC"/>
    <w:rsid w:val="00155002"/>
    <w:rsid w:val="0015501A"/>
    <w:rsid w:val="0015504F"/>
    <w:rsid w:val="00155063"/>
    <w:rsid w:val="00155072"/>
    <w:rsid w:val="001550AF"/>
    <w:rsid w:val="001550F1"/>
    <w:rsid w:val="001550F8"/>
    <w:rsid w:val="00155107"/>
    <w:rsid w:val="00155112"/>
    <w:rsid w:val="00155157"/>
    <w:rsid w:val="001551D6"/>
    <w:rsid w:val="00155215"/>
    <w:rsid w:val="0015521B"/>
    <w:rsid w:val="0015531E"/>
    <w:rsid w:val="00155363"/>
    <w:rsid w:val="0015538E"/>
    <w:rsid w:val="001553E8"/>
    <w:rsid w:val="0015551D"/>
    <w:rsid w:val="00155547"/>
    <w:rsid w:val="00155551"/>
    <w:rsid w:val="00155552"/>
    <w:rsid w:val="0015558B"/>
    <w:rsid w:val="001555C5"/>
    <w:rsid w:val="001555CC"/>
    <w:rsid w:val="001555D0"/>
    <w:rsid w:val="00155603"/>
    <w:rsid w:val="001556B0"/>
    <w:rsid w:val="0015571B"/>
    <w:rsid w:val="0015571C"/>
    <w:rsid w:val="0015578B"/>
    <w:rsid w:val="0015578E"/>
    <w:rsid w:val="001557AE"/>
    <w:rsid w:val="001557F7"/>
    <w:rsid w:val="00155820"/>
    <w:rsid w:val="0015587E"/>
    <w:rsid w:val="001558C4"/>
    <w:rsid w:val="00155926"/>
    <w:rsid w:val="00155980"/>
    <w:rsid w:val="001559AD"/>
    <w:rsid w:val="001559E7"/>
    <w:rsid w:val="001559FE"/>
    <w:rsid w:val="00155A0F"/>
    <w:rsid w:val="00155A58"/>
    <w:rsid w:val="00155A85"/>
    <w:rsid w:val="00155B3C"/>
    <w:rsid w:val="00155B3F"/>
    <w:rsid w:val="00155B49"/>
    <w:rsid w:val="00155BFD"/>
    <w:rsid w:val="00155C9F"/>
    <w:rsid w:val="00155CED"/>
    <w:rsid w:val="00155CF2"/>
    <w:rsid w:val="00155D69"/>
    <w:rsid w:val="00155E05"/>
    <w:rsid w:val="00155E1A"/>
    <w:rsid w:val="00155E32"/>
    <w:rsid w:val="00155EB1"/>
    <w:rsid w:val="00155EEA"/>
    <w:rsid w:val="00155EF5"/>
    <w:rsid w:val="00155F02"/>
    <w:rsid w:val="00155F61"/>
    <w:rsid w:val="00155FBE"/>
    <w:rsid w:val="0015602F"/>
    <w:rsid w:val="00156068"/>
    <w:rsid w:val="00156072"/>
    <w:rsid w:val="00156081"/>
    <w:rsid w:val="001560A5"/>
    <w:rsid w:val="001560AE"/>
    <w:rsid w:val="001560E5"/>
    <w:rsid w:val="001560F5"/>
    <w:rsid w:val="00156102"/>
    <w:rsid w:val="0015613E"/>
    <w:rsid w:val="00156154"/>
    <w:rsid w:val="0015617E"/>
    <w:rsid w:val="00156190"/>
    <w:rsid w:val="001561CF"/>
    <w:rsid w:val="001561E8"/>
    <w:rsid w:val="0015620C"/>
    <w:rsid w:val="00156220"/>
    <w:rsid w:val="00156251"/>
    <w:rsid w:val="001562FA"/>
    <w:rsid w:val="0015630C"/>
    <w:rsid w:val="00156428"/>
    <w:rsid w:val="00156434"/>
    <w:rsid w:val="0015644E"/>
    <w:rsid w:val="00156549"/>
    <w:rsid w:val="00156591"/>
    <w:rsid w:val="00156596"/>
    <w:rsid w:val="00156620"/>
    <w:rsid w:val="0015663A"/>
    <w:rsid w:val="00156688"/>
    <w:rsid w:val="00156693"/>
    <w:rsid w:val="00156696"/>
    <w:rsid w:val="001566F6"/>
    <w:rsid w:val="00156714"/>
    <w:rsid w:val="00156767"/>
    <w:rsid w:val="00156797"/>
    <w:rsid w:val="0015682B"/>
    <w:rsid w:val="001568B2"/>
    <w:rsid w:val="001568BE"/>
    <w:rsid w:val="001568D0"/>
    <w:rsid w:val="001568DA"/>
    <w:rsid w:val="001568E1"/>
    <w:rsid w:val="001569C0"/>
    <w:rsid w:val="001569FB"/>
    <w:rsid w:val="00156A8A"/>
    <w:rsid w:val="00156AF7"/>
    <w:rsid w:val="00156B11"/>
    <w:rsid w:val="00156B4D"/>
    <w:rsid w:val="00156B59"/>
    <w:rsid w:val="00156B82"/>
    <w:rsid w:val="00156B87"/>
    <w:rsid w:val="00156B95"/>
    <w:rsid w:val="00156B9A"/>
    <w:rsid w:val="00156BCF"/>
    <w:rsid w:val="00156BD0"/>
    <w:rsid w:val="00156C14"/>
    <w:rsid w:val="00156C19"/>
    <w:rsid w:val="00156C3D"/>
    <w:rsid w:val="00156C58"/>
    <w:rsid w:val="00156CC9"/>
    <w:rsid w:val="00156CD8"/>
    <w:rsid w:val="00156CEF"/>
    <w:rsid w:val="00156CFB"/>
    <w:rsid w:val="00156D04"/>
    <w:rsid w:val="00156D0E"/>
    <w:rsid w:val="00156D7F"/>
    <w:rsid w:val="00156DA9"/>
    <w:rsid w:val="00156E44"/>
    <w:rsid w:val="00156E77"/>
    <w:rsid w:val="00156ECB"/>
    <w:rsid w:val="00156F06"/>
    <w:rsid w:val="00156F59"/>
    <w:rsid w:val="00156F68"/>
    <w:rsid w:val="00156F9F"/>
    <w:rsid w:val="001570F5"/>
    <w:rsid w:val="0015710E"/>
    <w:rsid w:val="00157162"/>
    <w:rsid w:val="001571AD"/>
    <w:rsid w:val="001571AE"/>
    <w:rsid w:val="001572CA"/>
    <w:rsid w:val="0015736E"/>
    <w:rsid w:val="001573BD"/>
    <w:rsid w:val="001573D2"/>
    <w:rsid w:val="00157489"/>
    <w:rsid w:val="0015748C"/>
    <w:rsid w:val="001574C0"/>
    <w:rsid w:val="00157501"/>
    <w:rsid w:val="00157503"/>
    <w:rsid w:val="00157589"/>
    <w:rsid w:val="00157597"/>
    <w:rsid w:val="001575AA"/>
    <w:rsid w:val="00157606"/>
    <w:rsid w:val="0015766D"/>
    <w:rsid w:val="001576C2"/>
    <w:rsid w:val="001576F5"/>
    <w:rsid w:val="0015772D"/>
    <w:rsid w:val="0015774C"/>
    <w:rsid w:val="00157791"/>
    <w:rsid w:val="00157864"/>
    <w:rsid w:val="001578AE"/>
    <w:rsid w:val="001578E4"/>
    <w:rsid w:val="001579EC"/>
    <w:rsid w:val="001579F6"/>
    <w:rsid w:val="00157A36"/>
    <w:rsid w:val="00157AFF"/>
    <w:rsid w:val="00157B11"/>
    <w:rsid w:val="00157B24"/>
    <w:rsid w:val="00157B35"/>
    <w:rsid w:val="00157B46"/>
    <w:rsid w:val="00157B4B"/>
    <w:rsid w:val="00157BA9"/>
    <w:rsid w:val="00157BE1"/>
    <w:rsid w:val="00157C1E"/>
    <w:rsid w:val="00157C73"/>
    <w:rsid w:val="00157C77"/>
    <w:rsid w:val="00157C9E"/>
    <w:rsid w:val="00157CB1"/>
    <w:rsid w:val="00157CC6"/>
    <w:rsid w:val="00157D03"/>
    <w:rsid w:val="00157D5E"/>
    <w:rsid w:val="00157D60"/>
    <w:rsid w:val="00157E2F"/>
    <w:rsid w:val="00157E88"/>
    <w:rsid w:val="00157E92"/>
    <w:rsid w:val="00157EDF"/>
    <w:rsid w:val="00157F15"/>
    <w:rsid w:val="00157F26"/>
    <w:rsid w:val="00157F5F"/>
    <w:rsid w:val="00157F78"/>
    <w:rsid w:val="00157FA6"/>
    <w:rsid w:val="00157FD2"/>
    <w:rsid w:val="0016000A"/>
    <w:rsid w:val="001600A3"/>
    <w:rsid w:val="001600E3"/>
    <w:rsid w:val="001600E4"/>
    <w:rsid w:val="0016015C"/>
    <w:rsid w:val="00160190"/>
    <w:rsid w:val="00160202"/>
    <w:rsid w:val="00160239"/>
    <w:rsid w:val="00160265"/>
    <w:rsid w:val="00160371"/>
    <w:rsid w:val="001603C2"/>
    <w:rsid w:val="00160454"/>
    <w:rsid w:val="0016047F"/>
    <w:rsid w:val="001604A7"/>
    <w:rsid w:val="001604CF"/>
    <w:rsid w:val="00160506"/>
    <w:rsid w:val="00160575"/>
    <w:rsid w:val="001605B0"/>
    <w:rsid w:val="001605C3"/>
    <w:rsid w:val="0016062B"/>
    <w:rsid w:val="0016063E"/>
    <w:rsid w:val="00160646"/>
    <w:rsid w:val="00160685"/>
    <w:rsid w:val="001606CF"/>
    <w:rsid w:val="001606DE"/>
    <w:rsid w:val="001607A1"/>
    <w:rsid w:val="001607DA"/>
    <w:rsid w:val="001607E1"/>
    <w:rsid w:val="001608AF"/>
    <w:rsid w:val="001608E5"/>
    <w:rsid w:val="00160928"/>
    <w:rsid w:val="00160997"/>
    <w:rsid w:val="00160999"/>
    <w:rsid w:val="00160A11"/>
    <w:rsid w:val="00160A20"/>
    <w:rsid w:val="00160A3B"/>
    <w:rsid w:val="00160AB0"/>
    <w:rsid w:val="00160ACF"/>
    <w:rsid w:val="00160AE7"/>
    <w:rsid w:val="00160AF6"/>
    <w:rsid w:val="00160B16"/>
    <w:rsid w:val="00160B4E"/>
    <w:rsid w:val="00160B6D"/>
    <w:rsid w:val="00160BD1"/>
    <w:rsid w:val="00160BFA"/>
    <w:rsid w:val="00160C10"/>
    <w:rsid w:val="00160C2E"/>
    <w:rsid w:val="00160C7B"/>
    <w:rsid w:val="00160CB1"/>
    <w:rsid w:val="00160CDF"/>
    <w:rsid w:val="00160CE3"/>
    <w:rsid w:val="00160CE5"/>
    <w:rsid w:val="00160D26"/>
    <w:rsid w:val="00160D45"/>
    <w:rsid w:val="00160D87"/>
    <w:rsid w:val="00160DC7"/>
    <w:rsid w:val="00160E18"/>
    <w:rsid w:val="00160E88"/>
    <w:rsid w:val="00160F00"/>
    <w:rsid w:val="00160F9F"/>
    <w:rsid w:val="00160FD8"/>
    <w:rsid w:val="00161018"/>
    <w:rsid w:val="00161023"/>
    <w:rsid w:val="0016103A"/>
    <w:rsid w:val="00161062"/>
    <w:rsid w:val="001610A3"/>
    <w:rsid w:val="001610C5"/>
    <w:rsid w:val="001610D3"/>
    <w:rsid w:val="001610DD"/>
    <w:rsid w:val="001610E7"/>
    <w:rsid w:val="0016111C"/>
    <w:rsid w:val="00161125"/>
    <w:rsid w:val="00161131"/>
    <w:rsid w:val="0016116F"/>
    <w:rsid w:val="0016118A"/>
    <w:rsid w:val="001611C0"/>
    <w:rsid w:val="00161248"/>
    <w:rsid w:val="0016128D"/>
    <w:rsid w:val="0016135D"/>
    <w:rsid w:val="001613FD"/>
    <w:rsid w:val="00161434"/>
    <w:rsid w:val="00161444"/>
    <w:rsid w:val="001614C4"/>
    <w:rsid w:val="00161515"/>
    <w:rsid w:val="001615A6"/>
    <w:rsid w:val="001615B5"/>
    <w:rsid w:val="0016163B"/>
    <w:rsid w:val="001616A9"/>
    <w:rsid w:val="001616CC"/>
    <w:rsid w:val="0016177A"/>
    <w:rsid w:val="001617AB"/>
    <w:rsid w:val="00161814"/>
    <w:rsid w:val="00161836"/>
    <w:rsid w:val="00161899"/>
    <w:rsid w:val="001618AE"/>
    <w:rsid w:val="001618EC"/>
    <w:rsid w:val="00161944"/>
    <w:rsid w:val="0016195C"/>
    <w:rsid w:val="001619F1"/>
    <w:rsid w:val="00161A2F"/>
    <w:rsid w:val="00161A3A"/>
    <w:rsid w:val="00161A45"/>
    <w:rsid w:val="00161AB0"/>
    <w:rsid w:val="00161AC1"/>
    <w:rsid w:val="00161AD5"/>
    <w:rsid w:val="00161B3F"/>
    <w:rsid w:val="00161B60"/>
    <w:rsid w:val="00161B8C"/>
    <w:rsid w:val="00161BAF"/>
    <w:rsid w:val="00161BB5"/>
    <w:rsid w:val="00161BF1"/>
    <w:rsid w:val="00161BF7"/>
    <w:rsid w:val="00161CC2"/>
    <w:rsid w:val="00161CC4"/>
    <w:rsid w:val="00161D2D"/>
    <w:rsid w:val="00161D3D"/>
    <w:rsid w:val="00161DA1"/>
    <w:rsid w:val="00161E1C"/>
    <w:rsid w:val="00161ED2"/>
    <w:rsid w:val="00161EFB"/>
    <w:rsid w:val="00161F40"/>
    <w:rsid w:val="00161F83"/>
    <w:rsid w:val="00162038"/>
    <w:rsid w:val="0016207C"/>
    <w:rsid w:val="0016208E"/>
    <w:rsid w:val="001620B3"/>
    <w:rsid w:val="0016210C"/>
    <w:rsid w:val="00162156"/>
    <w:rsid w:val="0016217A"/>
    <w:rsid w:val="001621B4"/>
    <w:rsid w:val="001621E5"/>
    <w:rsid w:val="001621E6"/>
    <w:rsid w:val="001621F6"/>
    <w:rsid w:val="0016222D"/>
    <w:rsid w:val="0016223B"/>
    <w:rsid w:val="00162253"/>
    <w:rsid w:val="0016225E"/>
    <w:rsid w:val="00162300"/>
    <w:rsid w:val="0016231A"/>
    <w:rsid w:val="0016231C"/>
    <w:rsid w:val="0016236D"/>
    <w:rsid w:val="00162388"/>
    <w:rsid w:val="001623AD"/>
    <w:rsid w:val="001623C9"/>
    <w:rsid w:val="0016240D"/>
    <w:rsid w:val="0016257E"/>
    <w:rsid w:val="00162584"/>
    <w:rsid w:val="001625A4"/>
    <w:rsid w:val="001625BE"/>
    <w:rsid w:val="001625C1"/>
    <w:rsid w:val="001625D5"/>
    <w:rsid w:val="001625F9"/>
    <w:rsid w:val="00162614"/>
    <w:rsid w:val="00162689"/>
    <w:rsid w:val="0016271E"/>
    <w:rsid w:val="00162755"/>
    <w:rsid w:val="0016277C"/>
    <w:rsid w:val="001627CE"/>
    <w:rsid w:val="0016289A"/>
    <w:rsid w:val="001628B1"/>
    <w:rsid w:val="001628F9"/>
    <w:rsid w:val="001629D9"/>
    <w:rsid w:val="00162A57"/>
    <w:rsid w:val="00162A6A"/>
    <w:rsid w:val="00162AB3"/>
    <w:rsid w:val="00162ABA"/>
    <w:rsid w:val="00162AFF"/>
    <w:rsid w:val="00162B22"/>
    <w:rsid w:val="00162B4D"/>
    <w:rsid w:val="00162BAA"/>
    <w:rsid w:val="00162BFA"/>
    <w:rsid w:val="00162CA6"/>
    <w:rsid w:val="00162CAF"/>
    <w:rsid w:val="00162DB2"/>
    <w:rsid w:val="00162E69"/>
    <w:rsid w:val="00162F28"/>
    <w:rsid w:val="00162F4E"/>
    <w:rsid w:val="00162F7F"/>
    <w:rsid w:val="00162FBE"/>
    <w:rsid w:val="00162FD2"/>
    <w:rsid w:val="00162FF0"/>
    <w:rsid w:val="0016309F"/>
    <w:rsid w:val="001630B4"/>
    <w:rsid w:val="001630B6"/>
    <w:rsid w:val="0016315C"/>
    <w:rsid w:val="00163178"/>
    <w:rsid w:val="001631E4"/>
    <w:rsid w:val="0016324E"/>
    <w:rsid w:val="00163260"/>
    <w:rsid w:val="001632A9"/>
    <w:rsid w:val="001632E4"/>
    <w:rsid w:val="00163314"/>
    <w:rsid w:val="0016331B"/>
    <w:rsid w:val="00163347"/>
    <w:rsid w:val="001633A5"/>
    <w:rsid w:val="00163404"/>
    <w:rsid w:val="00163498"/>
    <w:rsid w:val="001634A0"/>
    <w:rsid w:val="001634F1"/>
    <w:rsid w:val="00163509"/>
    <w:rsid w:val="00163529"/>
    <w:rsid w:val="0016356C"/>
    <w:rsid w:val="001635D3"/>
    <w:rsid w:val="00163601"/>
    <w:rsid w:val="0016363A"/>
    <w:rsid w:val="00163674"/>
    <w:rsid w:val="001636E9"/>
    <w:rsid w:val="00163710"/>
    <w:rsid w:val="001637B2"/>
    <w:rsid w:val="001637B5"/>
    <w:rsid w:val="001637BE"/>
    <w:rsid w:val="00163802"/>
    <w:rsid w:val="00163820"/>
    <w:rsid w:val="0016384E"/>
    <w:rsid w:val="00163893"/>
    <w:rsid w:val="00163894"/>
    <w:rsid w:val="0016389A"/>
    <w:rsid w:val="001638D6"/>
    <w:rsid w:val="0016391D"/>
    <w:rsid w:val="00163978"/>
    <w:rsid w:val="00163998"/>
    <w:rsid w:val="0016399D"/>
    <w:rsid w:val="001639D7"/>
    <w:rsid w:val="001639F9"/>
    <w:rsid w:val="00163A5A"/>
    <w:rsid w:val="00163B86"/>
    <w:rsid w:val="00163B93"/>
    <w:rsid w:val="00163C5A"/>
    <w:rsid w:val="00163C6B"/>
    <w:rsid w:val="00163CD5"/>
    <w:rsid w:val="00163CFC"/>
    <w:rsid w:val="00163D14"/>
    <w:rsid w:val="00163D4B"/>
    <w:rsid w:val="00163D4D"/>
    <w:rsid w:val="00163D60"/>
    <w:rsid w:val="00163D6E"/>
    <w:rsid w:val="00163E35"/>
    <w:rsid w:val="00163E57"/>
    <w:rsid w:val="00163ED3"/>
    <w:rsid w:val="00163EF0"/>
    <w:rsid w:val="00163FA6"/>
    <w:rsid w:val="00163FCE"/>
    <w:rsid w:val="00163FF7"/>
    <w:rsid w:val="001640AC"/>
    <w:rsid w:val="0016414D"/>
    <w:rsid w:val="00164151"/>
    <w:rsid w:val="00164158"/>
    <w:rsid w:val="001641C5"/>
    <w:rsid w:val="001641F2"/>
    <w:rsid w:val="00164240"/>
    <w:rsid w:val="00164274"/>
    <w:rsid w:val="001642CD"/>
    <w:rsid w:val="001642EC"/>
    <w:rsid w:val="0016436C"/>
    <w:rsid w:val="00164378"/>
    <w:rsid w:val="001643F7"/>
    <w:rsid w:val="00164418"/>
    <w:rsid w:val="00164419"/>
    <w:rsid w:val="0016441B"/>
    <w:rsid w:val="0016445B"/>
    <w:rsid w:val="00164472"/>
    <w:rsid w:val="0016447E"/>
    <w:rsid w:val="00164493"/>
    <w:rsid w:val="001644AD"/>
    <w:rsid w:val="001644B0"/>
    <w:rsid w:val="001644EC"/>
    <w:rsid w:val="00164513"/>
    <w:rsid w:val="00164536"/>
    <w:rsid w:val="00164599"/>
    <w:rsid w:val="001645CB"/>
    <w:rsid w:val="00164660"/>
    <w:rsid w:val="0016467E"/>
    <w:rsid w:val="001646AB"/>
    <w:rsid w:val="0016477E"/>
    <w:rsid w:val="0016477F"/>
    <w:rsid w:val="0016478C"/>
    <w:rsid w:val="001647A6"/>
    <w:rsid w:val="001647C4"/>
    <w:rsid w:val="001647DD"/>
    <w:rsid w:val="00164815"/>
    <w:rsid w:val="00164916"/>
    <w:rsid w:val="001649E0"/>
    <w:rsid w:val="001649EE"/>
    <w:rsid w:val="00164A13"/>
    <w:rsid w:val="00164AC9"/>
    <w:rsid w:val="00164ACB"/>
    <w:rsid w:val="00164B24"/>
    <w:rsid w:val="00164C6B"/>
    <w:rsid w:val="00164C8B"/>
    <w:rsid w:val="00164CA2"/>
    <w:rsid w:val="00164D07"/>
    <w:rsid w:val="00164D40"/>
    <w:rsid w:val="00164D74"/>
    <w:rsid w:val="00164DB3"/>
    <w:rsid w:val="00164DBE"/>
    <w:rsid w:val="00164DD5"/>
    <w:rsid w:val="00164E2B"/>
    <w:rsid w:val="00164E47"/>
    <w:rsid w:val="00164E7C"/>
    <w:rsid w:val="00164EFD"/>
    <w:rsid w:val="00164F14"/>
    <w:rsid w:val="00164F2A"/>
    <w:rsid w:val="00164F5D"/>
    <w:rsid w:val="00164F8C"/>
    <w:rsid w:val="00164F8E"/>
    <w:rsid w:val="00164FBD"/>
    <w:rsid w:val="00164FD0"/>
    <w:rsid w:val="00165059"/>
    <w:rsid w:val="001650A6"/>
    <w:rsid w:val="001650F4"/>
    <w:rsid w:val="00165102"/>
    <w:rsid w:val="0016512F"/>
    <w:rsid w:val="0016516A"/>
    <w:rsid w:val="00165172"/>
    <w:rsid w:val="0016523C"/>
    <w:rsid w:val="00165259"/>
    <w:rsid w:val="00165265"/>
    <w:rsid w:val="00165268"/>
    <w:rsid w:val="001652D8"/>
    <w:rsid w:val="001652FC"/>
    <w:rsid w:val="0016531A"/>
    <w:rsid w:val="00165337"/>
    <w:rsid w:val="001653C2"/>
    <w:rsid w:val="0016547C"/>
    <w:rsid w:val="0016550D"/>
    <w:rsid w:val="00165548"/>
    <w:rsid w:val="0016566E"/>
    <w:rsid w:val="00165681"/>
    <w:rsid w:val="0016568D"/>
    <w:rsid w:val="001656D7"/>
    <w:rsid w:val="001656F0"/>
    <w:rsid w:val="001657D7"/>
    <w:rsid w:val="001657F8"/>
    <w:rsid w:val="00165806"/>
    <w:rsid w:val="00165884"/>
    <w:rsid w:val="001658B4"/>
    <w:rsid w:val="001658DD"/>
    <w:rsid w:val="00165949"/>
    <w:rsid w:val="00165950"/>
    <w:rsid w:val="00165952"/>
    <w:rsid w:val="0016597A"/>
    <w:rsid w:val="00165981"/>
    <w:rsid w:val="001659E5"/>
    <w:rsid w:val="00165A22"/>
    <w:rsid w:val="00165A4F"/>
    <w:rsid w:val="00165A87"/>
    <w:rsid w:val="00165B2D"/>
    <w:rsid w:val="00165B33"/>
    <w:rsid w:val="00165B39"/>
    <w:rsid w:val="00165B9A"/>
    <w:rsid w:val="00165C16"/>
    <w:rsid w:val="00165C26"/>
    <w:rsid w:val="00165C43"/>
    <w:rsid w:val="00165CF8"/>
    <w:rsid w:val="00165D1B"/>
    <w:rsid w:val="00165D88"/>
    <w:rsid w:val="00165D9C"/>
    <w:rsid w:val="00165DAE"/>
    <w:rsid w:val="00165DEE"/>
    <w:rsid w:val="00165E63"/>
    <w:rsid w:val="00165F0B"/>
    <w:rsid w:val="00165F26"/>
    <w:rsid w:val="00165F58"/>
    <w:rsid w:val="00165FAD"/>
    <w:rsid w:val="00165FB0"/>
    <w:rsid w:val="0016602D"/>
    <w:rsid w:val="001660C9"/>
    <w:rsid w:val="0016610F"/>
    <w:rsid w:val="00166161"/>
    <w:rsid w:val="001661E1"/>
    <w:rsid w:val="001661FB"/>
    <w:rsid w:val="00166282"/>
    <w:rsid w:val="001662A5"/>
    <w:rsid w:val="001662ED"/>
    <w:rsid w:val="00166338"/>
    <w:rsid w:val="00166342"/>
    <w:rsid w:val="0016639E"/>
    <w:rsid w:val="001663CB"/>
    <w:rsid w:val="001663F8"/>
    <w:rsid w:val="001664AB"/>
    <w:rsid w:val="001664D2"/>
    <w:rsid w:val="001664FA"/>
    <w:rsid w:val="0016650B"/>
    <w:rsid w:val="00166521"/>
    <w:rsid w:val="00166551"/>
    <w:rsid w:val="0016656A"/>
    <w:rsid w:val="0016659D"/>
    <w:rsid w:val="001665D1"/>
    <w:rsid w:val="001665EA"/>
    <w:rsid w:val="00166628"/>
    <w:rsid w:val="00166635"/>
    <w:rsid w:val="001666F8"/>
    <w:rsid w:val="00166723"/>
    <w:rsid w:val="0016673F"/>
    <w:rsid w:val="001667D1"/>
    <w:rsid w:val="0016683B"/>
    <w:rsid w:val="0016698E"/>
    <w:rsid w:val="001669BA"/>
    <w:rsid w:val="00166A07"/>
    <w:rsid w:val="00166A1A"/>
    <w:rsid w:val="00166A37"/>
    <w:rsid w:val="00166A5F"/>
    <w:rsid w:val="00166A6E"/>
    <w:rsid w:val="00166A74"/>
    <w:rsid w:val="00166A9F"/>
    <w:rsid w:val="00166AFD"/>
    <w:rsid w:val="00166B05"/>
    <w:rsid w:val="00166B40"/>
    <w:rsid w:val="00166B44"/>
    <w:rsid w:val="00166B4B"/>
    <w:rsid w:val="00166B4D"/>
    <w:rsid w:val="00166B4E"/>
    <w:rsid w:val="00166B7E"/>
    <w:rsid w:val="00166BB6"/>
    <w:rsid w:val="00166C82"/>
    <w:rsid w:val="00166C94"/>
    <w:rsid w:val="00166C96"/>
    <w:rsid w:val="00166D6D"/>
    <w:rsid w:val="00166DB5"/>
    <w:rsid w:val="00166DE3"/>
    <w:rsid w:val="00166DFC"/>
    <w:rsid w:val="00166DFF"/>
    <w:rsid w:val="00166E25"/>
    <w:rsid w:val="00166E5D"/>
    <w:rsid w:val="00166E67"/>
    <w:rsid w:val="00166EC8"/>
    <w:rsid w:val="00166F2E"/>
    <w:rsid w:val="00166F6B"/>
    <w:rsid w:val="00166F73"/>
    <w:rsid w:val="00166FC9"/>
    <w:rsid w:val="00166FFE"/>
    <w:rsid w:val="00167036"/>
    <w:rsid w:val="001670B0"/>
    <w:rsid w:val="001670B4"/>
    <w:rsid w:val="001670E8"/>
    <w:rsid w:val="00167119"/>
    <w:rsid w:val="0016712B"/>
    <w:rsid w:val="0016716A"/>
    <w:rsid w:val="00167223"/>
    <w:rsid w:val="0016728B"/>
    <w:rsid w:val="001672E5"/>
    <w:rsid w:val="00167306"/>
    <w:rsid w:val="00167347"/>
    <w:rsid w:val="0016734F"/>
    <w:rsid w:val="00167428"/>
    <w:rsid w:val="00167462"/>
    <w:rsid w:val="00167465"/>
    <w:rsid w:val="0016746A"/>
    <w:rsid w:val="00167474"/>
    <w:rsid w:val="001674B6"/>
    <w:rsid w:val="001674BD"/>
    <w:rsid w:val="00167509"/>
    <w:rsid w:val="00167642"/>
    <w:rsid w:val="00167666"/>
    <w:rsid w:val="001676AB"/>
    <w:rsid w:val="001676C8"/>
    <w:rsid w:val="001676D3"/>
    <w:rsid w:val="001676FD"/>
    <w:rsid w:val="001677BF"/>
    <w:rsid w:val="001677D9"/>
    <w:rsid w:val="00167840"/>
    <w:rsid w:val="0016785C"/>
    <w:rsid w:val="0016787A"/>
    <w:rsid w:val="001678E5"/>
    <w:rsid w:val="001678FC"/>
    <w:rsid w:val="00167939"/>
    <w:rsid w:val="00167942"/>
    <w:rsid w:val="0016794C"/>
    <w:rsid w:val="0016795B"/>
    <w:rsid w:val="001679ED"/>
    <w:rsid w:val="00167A55"/>
    <w:rsid w:val="00167A62"/>
    <w:rsid w:val="00167AC6"/>
    <w:rsid w:val="00167AE2"/>
    <w:rsid w:val="00167B14"/>
    <w:rsid w:val="00167B69"/>
    <w:rsid w:val="00167B74"/>
    <w:rsid w:val="00167C21"/>
    <w:rsid w:val="00167C3B"/>
    <w:rsid w:val="00167C5A"/>
    <w:rsid w:val="00167C8A"/>
    <w:rsid w:val="00167CB1"/>
    <w:rsid w:val="00167CE4"/>
    <w:rsid w:val="00167D72"/>
    <w:rsid w:val="00167DC0"/>
    <w:rsid w:val="00167DF6"/>
    <w:rsid w:val="00167E2E"/>
    <w:rsid w:val="00167EAA"/>
    <w:rsid w:val="00167EB0"/>
    <w:rsid w:val="00167EF9"/>
    <w:rsid w:val="00167F2A"/>
    <w:rsid w:val="00167F3B"/>
    <w:rsid w:val="00167F77"/>
    <w:rsid w:val="00167FDC"/>
    <w:rsid w:val="00170030"/>
    <w:rsid w:val="0017004D"/>
    <w:rsid w:val="00170089"/>
    <w:rsid w:val="001700B0"/>
    <w:rsid w:val="0017011E"/>
    <w:rsid w:val="0017013F"/>
    <w:rsid w:val="0017023C"/>
    <w:rsid w:val="00170259"/>
    <w:rsid w:val="00170298"/>
    <w:rsid w:val="001702B2"/>
    <w:rsid w:val="001702CB"/>
    <w:rsid w:val="0017035C"/>
    <w:rsid w:val="00170363"/>
    <w:rsid w:val="00170379"/>
    <w:rsid w:val="001703AB"/>
    <w:rsid w:val="001703C4"/>
    <w:rsid w:val="001703C5"/>
    <w:rsid w:val="0017044C"/>
    <w:rsid w:val="00170459"/>
    <w:rsid w:val="001704F5"/>
    <w:rsid w:val="0017057E"/>
    <w:rsid w:val="0017065F"/>
    <w:rsid w:val="001706A9"/>
    <w:rsid w:val="001706E2"/>
    <w:rsid w:val="00170739"/>
    <w:rsid w:val="00170755"/>
    <w:rsid w:val="0017075A"/>
    <w:rsid w:val="00170828"/>
    <w:rsid w:val="00170829"/>
    <w:rsid w:val="0017083B"/>
    <w:rsid w:val="00170854"/>
    <w:rsid w:val="0017088E"/>
    <w:rsid w:val="0017089D"/>
    <w:rsid w:val="0017090B"/>
    <w:rsid w:val="001709FA"/>
    <w:rsid w:val="00170A24"/>
    <w:rsid w:val="00170A44"/>
    <w:rsid w:val="00170B19"/>
    <w:rsid w:val="00170B20"/>
    <w:rsid w:val="00170B5F"/>
    <w:rsid w:val="00170CC0"/>
    <w:rsid w:val="00170CCF"/>
    <w:rsid w:val="00170D21"/>
    <w:rsid w:val="00170D44"/>
    <w:rsid w:val="00170D59"/>
    <w:rsid w:val="00170D7E"/>
    <w:rsid w:val="00170DA3"/>
    <w:rsid w:val="00170DAF"/>
    <w:rsid w:val="00170E63"/>
    <w:rsid w:val="00170E79"/>
    <w:rsid w:val="00170E85"/>
    <w:rsid w:val="00170EA3"/>
    <w:rsid w:val="00170EAA"/>
    <w:rsid w:val="00170EC2"/>
    <w:rsid w:val="00170F23"/>
    <w:rsid w:val="00170F72"/>
    <w:rsid w:val="00171045"/>
    <w:rsid w:val="00171048"/>
    <w:rsid w:val="0017107A"/>
    <w:rsid w:val="00171086"/>
    <w:rsid w:val="0017108B"/>
    <w:rsid w:val="001710AE"/>
    <w:rsid w:val="001710C8"/>
    <w:rsid w:val="001710DD"/>
    <w:rsid w:val="00171125"/>
    <w:rsid w:val="00171140"/>
    <w:rsid w:val="00171198"/>
    <w:rsid w:val="001711E3"/>
    <w:rsid w:val="00171262"/>
    <w:rsid w:val="0017127E"/>
    <w:rsid w:val="001712BB"/>
    <w:rsid w:val="00171313"/>
    <w:rsid w:val="00171319"/>
    <w:rsid w:val="001713C2"/>
    <w:rsid w:val="00171529"/>
    <w:rsid w:val="00171537"/>
    <w:rsid w:val="001715B6"/>
    <w:rsid w:val="001715E5"/>
    <w:rsid w:val="001715EF"/>
    <w:rsid w:val="00171640"/>
    <w:rsid w:val="0017165E"/>
    <w:rsid w:val="0017168B"/>
    <w:rsid w:val="001716D4"/>
    <w:rsid w:val="001716E6"/>
    <w:rsid w:val="0017171D"/>
    <w:rsid w:val="00171725"/>
    <w:rsid w:val="0017175E"/>
    <w:rsid w:val="0017178B"/>
    <w:rsid w:val="001717DA"/>
    <w:rsid w:val="001717FE"/>
    <w:rsid w:val="00171828"/>
    <w:rsid w:val="00171843"/>
    <w:rsid w:val="00171894"/>
    <w:rsid w:val="0017189C"/>
    <w:rsid w:val="001718E1"/>
    <w:rsid w:val="001718EF"/>
    <w:rsid w:val="001718F1"/>
    <w:rsid w:val="00171938"/>
    <w:rsid w:val="001719AA"/>
    <w:rsid w:val="00171A04"/>
    <w:rsid w:val="00171A80"/>
    <w:rsid w:val="00171A91"/>
    <w:rsid w:val="00171AB7"/>
    <w:rsid w:val="00171AC5"/>
    <w:rsid w:val="00171AF9"/>
    <w:rsid w:val="00171B08"/>
    <w:rsid w:val="00171B37"/>
    <w:rsid w:val="00171B80"/>
    <w:rsid w:val="00171C0F"/>
    <w:rsid w:val="00171C1C"/>
    <w:rsid w:val="00171C3E"/>
    <w:rsid w:val="00171C43"/>
    <w:rsid w:val="00171C48"/>
    <w:rsid w:val="00171C59"/>
    <w:rsid w:val="00171C6E"/>
    <w:rsid w:val="00171C7C"/>
    <w:rsid w:val="00171CF0"/>
    <w:rsid w:val="00171CF2"/>
    <w:rsid w:val="00171D04"/>
    <w:rsid w:val="00171D11"/>
    <w:rsid w:val="00171D5D"/>
    <w:rsid w:val="00171D6F"/>
    <w:rsid w:val="00171D98"/>
    <w:rsid w:val="00171DBB"/>
    <w:rsid w:val="00171E2D"/>
    <w:rsid w:val="00171E51"/>
    <w:rsid w:val="00171E77"/>
    <w:rsid w:val="00171E8D"/>
    <w:rsid w:val="00171EF8"/>
    <w:rsid w:val="00171F11"/>
    <w:rsid w:val="00171F39"/>
    <w:rsid w:val="00171F41"/>
    <w:rsid w:val="00171F4F"/>
    <w:rsid w:val="00171FF2"/>
    <w:rsid w:val="0017201C"/>
    <w:rsid w:val="0017208C"/>
    <w:rsid w:val="001720B1"/>
    <w:rsid w:val="001720B7"/>
    <w:rsid w:val="00172199"/>
    <w:rsid w:val="001721E5"/>
    <w:rsid w:val="00172203"/>
    <w:rsid w:val="00172253"/>
    <w:rsid w:val="0017230A"/>
    <w:rsid w:val="00172358"/>
    <w:rsid w:val="00172398"/>
    <w:rsid w:val="0017243B"/>
    <w:rsid w:val="00172453"/>
    <w:rsid w:val="00172483"/>
    <w:rsid w:val="001724B7"/>
    <w:rsid w:val="001724E8"/>
    <w:rsid w:val="00172501"/>
    <w:rsid w:val="00172536"/>
    <w:rsid w:val="0017257A"/>
    <w:rsid w:val="001725AB"/>
    <w:rsid w:val="00172607"/>
    <w:rsid w:val="0017261C"/>
    <w:rsid w:val="001726A6"/>
    <w:rsid w:val="0017270B"/>
    <w:rsid w:val="00172723"/>
    <w:rsid w:val="0017276F"/>
    <w:rsid w:val="001727DB"/>
    <w:rsid w:val="00172892"/>
    <w:rsid w:val="001728A7"/>
    <w:rsid w:val="001728C7"/>
    <w:rsid w:val="0017294B"/>
    <w:rsid w:val="0017295D"/>
    <w:rsid w:val="00172981"/>
    <w:rsid w:val="0017298B"/>
    <w:rsid w:val="001729C0"/>
    <w:rsid w:val="00172A4C"/>
    <w:rsid w:val="00172A5E"/>
    <w:rsid w:val="00172A61"/>
    <w:rsid w:val="00172AD1"/>
    <w:rsid w:val="00172AD7"/>
    <w:rsid w:val="00172B01"/>
    <w:rsid w:val="00172B0E"/>
    <w:rsid w:val="00172B21"/>
    <w:rsid w:val="00172B54"/>
    <w:rsid w:val="00172B78"/>
    <w:rsid w:val="00172B9C"/>
    <w:rsid w:val="00172BE8"/>
    <w:rsid w:val="00172C46"/>
    <w:rsid w:val="00172C80"/>
    <w:rsid w:val="00172CAB"/>
    <w:rsid w:val="00172D02"/>
    <w:rsid w:val="00172D24"/>
    <w:rsid w:val="00172D43"/>
    <w:rsid w:val="00172DE6"/>
    <w:rsid w:val="00172E55"/>
    <w:rsid w:val="00172EC1"/>
    <w:rsid w:val="00172F15"/>
    <w:rsid w:val="00172F34"/>
    <w:rsid w:val="00172F71"/>
    <w:rsid w:val="00172F8C"/>
    <w:rsid w:val="00172FB1"/>
    <w:rsid w:val="00173015"/>
    <w:rsid w:val="0017305F"/>
    <w:rsid w:val="00173061"/>
    <w:rsid w:val="00173100"/>
    <w:rsid w:val="00173167"/>
    <w:rsid w:val="0017317F"/>
    <w:rsid w:val="00173231"/>
    <w:rsid w:val="00173250"/>
    <w:rsid w:val="00173257"/>
    <w:rsid w:val="001732F3"/>
    <w:rsid w:val="0017330C"/>
    <w:rsid w:val="001733A1"/>
    <w:rsid w:val="00173518"/>
    <w:rsid w:val="00173523"/>
    <w:rsid w:val="00173527"/>
    <w:rsid w:val="00173548"/>
    <w:rsid w:val="0017355C"/>
    <w:rsid w:val="001735B6"/>
    <w:rsid w:val="00173612"/>
    <w:rsid w:val="001736D9"/>
    <w:rsid w:val="001737B2"/>
    <w:rsid w:val="001737B4"/>
    <w:rsid w:val="001737BC"/>
    <w:rsid w:val="001737BE"/>
    <w:rsid w:val="001737C2"/>
    <w:rsid w:val="001737E6"/>
    <w:rsid w:val="0017385A"/>
    <w:rsid w:val="0017385E"/>
    <w:rsid w:val="001738D9"/>
    <w:rsid w:val="001738F6"/>
    <w:rsid w:val="0017391D"/>
    <w:rsid w:val="00173934"/>
    <w:rsid w:val="0017393F"/>
    <w:rsid w:val="0017394A"/>
    <w:rsid w:val="001739F5"/>
    <w:rsid w:val="00173A87"/>
    <w:rsid w:val="00173AD2"/>
    <w:rsid w:val="00173ADC"/>
    <w:rsid w:val="00173B6E"/>
    <w:rsid w:val="00173B6F"/>
    <w:rsid w:val="00173B7C"/>
    <w:rsid w:val="00173BA2"/>
    <w:rsid w:val="00173C28"/>
    <w:rsid w:val="00173C98"/>
    <w:rsid w:val="00173CAF"/>
    <w:rsid w:val="00173CB1"/>
    <w:rsid w:val="00173CD2"/>
    <w:rsid w:val="00173D05"/>
    <w:rsid w:val="00173D4A"/>
    <w:rsid w:val="00173DEF"/>
    <w:rsid w:val="00173E0D"/>
    <w:rsid w:val="00173E2C"/>
    <w:rsid w:val="00173E6D"/>
    <w:rsid w:val="00173EB5"/>
    <w:rsid w:val="00173EDE"/>
    <w:rsid w:val="00173EEA"/>
    <w:rsid w:val="00173F53"/>
    <w:rsid w:val="00173FF0"/>
    <w:rsid w:val="00173FF1"/>
    <w:rsid w:val="00173FF9"/>
    <w:rsid w:val="001740CE"/>
    <w:rsid w:val="001740D2"/>
    <w:rsid w:val="001740DF"/>
    <w:rsid w:val="001740ED"/>
    <w:rsid w:val="00174119"/>
    <w:rsid w:val="001741BE"/>
    <w:rsid w:val="00174284"/>
    <w:rsid w:val="00174285"/>
    <w:rsid w:val="00174296"/>
    <w:rsid w:val="001742DF"/>
    <w:rsid w:val="00174323"/>
    <w:rsid w:val="0017434E"/>
    <w:rsid w:val="00174362"/>
    <w:rsid w:val="001743E6"/>
    <w:rsid w:val="001744B3"/>
    <w:rsid w:val="001744BE"/>
    <w:rsid w:val="001744E1"/>
    <w:rsid w:val="001744E2"/>
    <w:rsid w:val="0017455B"/>
    <w:rsid w:val="00174583"/>
    <w:rsid w:val="001745C5"/>
    <w:rsid w:val="001745F9"/>
    <w:rsid w:val="00174601"/>
    <w:rsid w:val="0017466C"/>
    <w:rsid w:val="00174685"/>
    <w:rsid w:val="001746B5"/>
    <w:rsid w:val="0017471A"/>
    <w:rsid w:val="0017471D"/>
    <w:rsid w:val="00174730"/>
    <w:rsid w:val="0017475B"/>
    <w:rsid w:val="0017478F"/>
    <w:rsid w:val="0017479B"/>
    <w:rsid w:val="00174842"/>
    <w:rsid w:val="00174846"/>
    <w:rsid w:val="00174868"/>
    <w:rsid w:val="0017487C"/>
    <w:rsid w:val="00174898"/>
    <w:rsid w:val="00174901"/>
    <w:rsid w:val="001749C4"/>
    <w:rsid w:val="00174A70"/>
    <w:rsid w:val="00174AA1"/>
    <w:rsid w:val="00174B1C"/>
    <w:rsid w:val="00174B80"/>
    <w:rsid w:val="00174B8A"/>
    <w:rsid w:val="00174C1B"/>
    <w:rsid w:val="00174C46"/>
    <w:rsid w:val="00174C52"/>
    <w:rsid w:val="00174C5E"/>
    <w:rsid w:val="00174C7A"/>
    <w:rsid w:val="00174C80"/>
    <w:rsid w:val="00174DA1"/>
    <w:rsid w:val="00174E1C"/>
    <w:rsid w:val="00174E27"/>
    <w:rsid w:val="00174E29"/>
    <w:rsid w:val="00174E5C"/>
    <w:rsid w:val="00174ECC"/>
    <w:rsid w:val="00174FF3"/>
    <w:rsid w:val="00174FF7"/>
    <w:rsid w:val="00175091"/>
    <w:rsid w:val="001750B3"/>
    <w:rsid w:val="00175161"/>
    <w:rsid w:val="001751CF"/>
    <w:rsid w:val="001751DD"/>
    <w:rsid w:val="001751F9"/>
    <w:rsid w:val="0017521E"/>
    <w:rsid w:val="00175284"/>
    <w:rsid w:val="001752A2"/>
    <w:rsid w:val="001752D6"/>
    <w:rsid w:val="00175346"/>
    <w:rsid w:val="00175383"/>
    <w:rsid w:val="001753B2"/>
    <w:rsid w:val="001753C6"/>
    <w:rsid w:val="001753E4"/>
    <w:rsid w:val="001753FC"/>
    <w:rsid w:val="00175467"/>
    <w:rsid w:val="00175472"/>
    <w:rsid w:val="001754B8"/>
    <w:rsid w:val="001754BF"/>
    <w:rsid w:val="001754E1"/>
    <w:rsid w:val="00175526"/>
    <w:rsid w:val="0017553D"/>
    <w:rsid w:val="00175588"/>
    <w:rsid w:val="00175594"/>
    <w:rsid w:val="0017560E"/>
    <w:rsid w:val="00175679"/>
    <w:rsid w:val="00175696"/>
    <w:rsid w:val="001756D0"/>
    <w:rsid w:val="0017571B"/>
    <w:rsid w:val="0017571D"/>
    <w:rsid w:val="001757F3"/>
    <w:rsid w:val="0017582A"/>
    <w:rsid w:val="00175835"/>
    <w:rsid w:val="00175854"/>
    <w:rsid w:val="00175880"/>
    <w:rsid w:val="0017594C"/>
    <w:rsid w:val="00175977"/>
    <w:rsid w:val="00175A23"/>
    <w:rsid w:val="00175A2C"/>
    <w:rsid w:val="00175A5E"/>
    <w:rsid w:val="00175A76"/>
    <w:rsid w:val="00175A79"/>
    <w:rsid w:val="00175BB3"/>
    <w:rsid w:val="00175C56"/>
    <w:rsid w:val="00175C97"/>
    <w:rsid w:val="00175CFB"/>
    <w:rsid w:val="00175D0F"/>
    <w:rsid w:val="00175D2F"/>
    <w:rsid w:val="00175D42"/>
    <w:rsid w:val="00175D89"/>
    <w:rsid w:val="00175D99"/>
    <w:rsid w:val="00175DC4"/>
    <w:rsid w:val="00175DDF"/>
    <w:rsid w:val="00175E46"/>
    <w:rsid w:val="00175E7B"/>
    <w:rsid w:val="00175EC0"/>
    <w:rsid w:val="00175EEF"/>
    <w:rsid w:val="00175F21"/>
    <w:rsid w:val="00175F9C"/>
    <w:rsid w:val="00175FD8"/>
    <w:rsid w:val="00175FDB"/>
    <w:rsid w:val="0017605A"/>
    <w:rsid w:val="00176134"/>
    <w:rsid w:val="00176171"/>
    <w:rsid w:val="0017620E"/>
    <w:rsid w:val="00176213"/>
    <w:rsid w:val="00176215"/>
    <w:rsid w:val="0017621D"/>
    <w:rsid w:val="00176225"/>
    <w:rsid w:val="00176296"/>
    <w:rsid w:val="00176322"/>
    <w:rsid w:val="0017633B"/>
    <w:rsid w:val="0017633E"/>
    <w:rsid w:val="00176343"/>
    <w:rsid w:val="0017635D"/>
    <w:rsid w:val="00176370"/>
    <w:rsid w:val="00176448"/>
    <w:rsid w:val="001764C7"/>
    <w:rsid w:val="001765B3"/>
    <w:rsid w:val="00176604"/>
    <w:rsid w:val="00176608"/>
    <w:rsid w:val="00176662"/>
    <w:rsid w:val="0017666F"/>
    <w:rsid w:val="001767BC"/>
    <w:rsid w:val="001767F7"/>
    <w:rsid w:val="0017680F"/>
    <w:rsid w:val="00176826"/>
    <w:rsid w:val="0017686C"/>
    <w:rsid w:val="0017694F"/>
    <w:rsid w:val="001769A0"/>
    <w:rsid w:val="00176A65"/>
    <w:rsid w:val="00176A66"/>
    <w:rsid w:val="00176A79"/>
    <w:rsid w:val="00176A7E"/>
    <w:rsid w:val="00176AA6"/>
    <w:rsid w:val="00176AC9"/>
    <w:rsid w:val="00176B0F"/>
    <w:rsid w:val="00176B10"/>
    <w:rsid w:val="00176B5A"/>
    <w:rsid w:val="00176B7C"/>
    <w:rsid w:val="00176B9F"/>
    <w:rsid w:val="00176BBC"/>
    <w:rsid w:val="00176BFE"/>
    <w:rsid w:val="00176C39"/>
    <w:rsid w:val="00176C3C"/>
    <w:rsid w:val="00176C56"/>
    <w:rsid w:val="00176C70"/>
    <w:rsid w:val="00176CD1"/>
    <w:rsid w:val="00176D15"/>
    <w:rsid w:val="00176D2B"/>
    <w:rsid w:val="00176D4A"/>
    <w:rsid w:val="00176D78"/>
    <w:rsid w:val="00176DAD"/>
    <w:rsid w:val="00176E1A"/>
    <w:rsid w:val="00176E22"/>
    <w:rsid w:val="00176E7F"/>
    <w:rsid w:val="00176E92"/>
    <w:rsid w:val="00176EF4"/>
    <w:rsid w:val="00176F78"/>
    <w:rsid w:val="00176FA6"/>
    <w:rsid w:val="00176FAD"/>
    <w:rsid w:val="00176FDE"/>
    <w:rsid w:val="0017704E"/>
    <w:rsid w:val="00177051"/>
    <w:rsid w:val="0017711C"/>
    <w:rsid w:val="00177155"/>
    <w:rsid w:val="0017716D"/>
    <w:rsid w:val="00177234"/>
    <w:rsid w:val="001772CD"/>
    <w:rsid w:val="00177309"/>
    <w:rsid w:val="0017736D"/>
    <w:rsid w:val="00177375"/>
    <w:rsid w:val="00177386"/>
    <w:rsid w:val="00177388"/>
    <w:rsid w:val="001773B5"/>
    <w:rsid w:val="001773F9"/>
    <w:rsid w:val="0017740A"/>
    <w:rsid w:val="0017744E"/>
    <w:rsid w:val="0017752B"/>
    <w:rsid w:val="0017753D"/>
    <w:rsid w:val="0017754F"/>
    <w:rsid w:val="00177557"/>
    <w:rsid w:val="0017755F"/>
    <w:rsid w:val="001775B3"/>
    <w:rsid w:val="001775E5"/>
    <w:rsid w:val="00177625"/>
    <w:rsid w:val="0017764A"/>
    <w:rsid w:val="0017766B"/>
    <w:rsid w:val="0017767C"/>
    <w:rsid w:val="00177698"/>
    <w:rsid w:val="001776A4"/>
    <w:rsid w:val="00177740"/>
    <w:rsid w:val="0017777F"/>
    <w:rsid w:val="00177794"/>
    <w:rsid w:val="0017782D"/>
    <w:rsid w:val="0017782F"/>
    <w:rsid w:val="00177869"/>
    <w:rsid w:val="0017789A"/>
    <w:rsid w:val="001778DA"/>
    <w:rsid w:val="0017790E"/>
    <w:rsid w:val="0017791A"/>
    <w:rsid w:val="00177946"/>
    <w:rsid w:val="00177974"/>
    <w:rsid w:val="00177977"/>
    <w:rsid w:val="001779BA"/>
    <w:rsid w:val="001779BE"/>
    <w:rsid w:val="00177A20"/>
    <w:rsid w:val="00177A28"/>
    <w:rsid w:val="00177B18"/>
    <w:rsid w:val="00177B19"/>
    <w:rsid w:val="00177B40"/>
    <w:rsid w:val="00177B44"/>
    <w:rsid w:val="00177C31"/>
    <w:rsid w:val="00177C59"/>
    <w:rsid w:val="00177C80"/>
    <w:rsid w:val="00177CA3"/>
    <w:rsid w:val="00177CD6"/>
    <w:rsid w:val="00177D3F"/>
    <w:rsid w:val="00177D6D"/>
    <w:rsid w:val="00177D80"/>
    <w:rsid w:val="00177DFE"/>
    <w:rsid w:val="00177E63"/>
    <w:rsid w:val="00177EF8"/>
    <w:rsid w:val="00177F31"/>
    <w:rsid w:val="00177F70"/>
    <w:rsid w:val="00177FC1"/>
    <w:rsid w:val="00177FC5"/>
    <w:rsid w:val="00177FC9"/>
    <w:rsid w:val="00177FCF"/>
    <w:rsid w:val="00180042"/>
    <w:rsid w:val="0018008B"/>
    <w:rsid w:val="00180163"/>
    <w:rsid w:val="0018019B"/>
    <w:rsid w:val="001801D8"/>
    <w:rsid w:val="001801EE"/>
    <w:rsid w:val="00180216"/>
    <w:rsid w:val="00180223"/>
    <w:rsid w:val="0018022C"/>
    <w:rsid w:val="001802AF"/>
    <w:rsid w:val="001802DB"/>
    <w:rsid w:val="00180349"/>
    <w:rsid w:val="0018036D"/>
    <w:rsid w:val="001803A9"/>
    <w:rsid w:val="001803FB"/>
    <w:rsid w:val="0018041C"/>
    <w:rsid w:val="0018042E"/>
    <w:rsid w:val="00180498"/>
    <w:rsid w:val="0018052A"/>
    <w:rsid w:val="00180552"/>
    <w:rsid w:val="00180560"/>
    <w:rsid w:val="00180580"/>
    <w:rsid w:val="001805A8"/>
    <w:rsid w:val="001805CB"/>
    <w:rsid w:val="0018061A"/>
    <w:rsid w:val="00180666"/>
    <w:rsid w:val="00180681"/>
    <w:rsid w:val="001806BF"/>
    <w:rsid w:val="00180745"/>
    <w:rsid w:val="0018078A"/>
    <w:rsid w:val="001807B4"/>
    <w:rsid w:val="001807BC"/>
    <w:rsid w:val="001807CF"/>
    <w:rsid w:val="0018081A"/>
    <w:rsid w:val="00180844"/>
    <w:rsid w:val="00180891"/>
    <w:rsid w:val="001808FB"/>
    <w:rsid w:val="0018094E"/>
    <w:rsid w:val="00180959"/>
    <w:rsid w:val="0018095A"/>
    <w:rsid w:val="00180977"/>
    <w:rsid w:val="001809A9"/>
    <w:rsid w:val="001809BA"/>
    <w:rsid w:val="00180A4A"/>
    <w:rsid w:val="00180ABA"/>
    <w:rsid w:val="00180ABE"/>
    <w:rsid w:val="00180B0F"/>
    <w:rsid w:val="00180B3B"/>
    <w:rsid w:val="00180B6E"/>
    <w:rsid w:val="00180BB2"/>
    <w:rsid w:val="00180BEF"/>
    <w:rsid w:val="00180C02"/>
    <w:rsid w:val="00180C75"/>
    <w:rsid w:val="00180C9F"/>
    <w:rsid w:val="00180CE8"/>
    <w:rsid w:val="00180CFD"/>
    <w:rsid w:val="00180D06"/>
    <w:rsid w:val="00180D2B"/>
    <w:rsid w:val="00180D3C"/>
    <w:rsid w:val="00180DC6"/>
    <w:rsid w:val="00180DEC"/>
    <w:rsid w:val="00180E1E"/>
    <w:rsid w:val="00180E21"/>
    <w:rsid w:val="00180E54"/>
    <w:rsid w:val="00180EBD"/>
    <w:rsid w:val="00180F22"/>
    <w:rsid w:val="00180F23"/>
    <w:rsid w:val="00180FB7"/>
    <w:rsid w:val="00180FFC"/>
    <w:rsid w:val="00181017"/>
    <w:rsid w:val="001810F3"/>
    <w:rsid w:val="00181142"/>
    <w:rsid w:val="0018115E"/>
    <w:rsid w:val="001811DF"/>
    <w:rsid w:val="0018122B"/>
    <w:rsid w:val="001812F9"/>
    <w:rsid w:val="0018131D"/>
    <w:rsid w:val="0018131E"/>
    <w:rsid w:val="00181355"/>
    <w:rsid w:val="001813ED"/>
    <w:rsid w:val="001813EE"/>
    <w:rsid w:val="00181400"/>
    <w:rsid w:val="00181442"/>
    <w:rsid w:val="00181459"/>
    <w:rsid w:val="00181463"/>
    <w:rsid w:val="001815CE"/>
    <w:rsid w:val="00181662"/>
    <w:rsid w:val="001816AD"/>
    <w:rsid w:val="001816F3"/>
    <w:rsid w:val="00181714"/>
    <w:rsid w:val="0018177B"/>
    <w:rsid w:val="00181852"/>
    <w:rsid w:val="0018185D"/>
    <w:rsid w:val="001818DD"/>
    <w:rsid w:val="001818EB"/>
    <w:rsid w:val="00181960"/>
    <w:rsid w:val="00181962"/>
    <w:rsid w:val="001819E1"/>
    <w:rsid w:val="00181A62"/>
    <w:rsid w:val="00181B61"/>
    <w:rsid w:val="00181B85"/>
    <w:rsid w:val="00181BB9"/>
    <w:rsid w:val="00181BCA"/>
    <w:rsid w:val="00181BDF"/>
    <w:rsid w:val="00181BE6"/>
    <w:rsid w:val="00181BFB"/>
    <w:rsid w:val="00181C10"/>
    <w:rsid w:val="00181C23"/>
    <w:rsid w:val="00181C2F"/>
    <w:rsid w:val="00181C30"/>
    <w:rsid w:val="00181CB9"/>
    <w:rsid w:val="00181D05"/>
    <w:rsid w:val="00181E03"/>
    <w:rsid w:val="00181E11"/>
    <w:rsid w:val="00181E45"/>
    <w:rsid w:val="00181E49"/>
    <w:rsid w:val="00181E58"/>
    <w:rsid w:val="00181E61"/>
    <w:rsid w:val="00181E64"/>
    <w:rsid w:val="00181E6B"/>
    <w:rsid w:val="00181ED2"/>
    <w:rsid w:val="00181F0F"/>
    <w:rsid w:val="00181F28"/>
    <w:rsid w:val="00181F53"/>
    <w:rsid w:val="00181F70"/>
    <w:rsid w:val="00181F80"/>
    <w:rsid w:val="00181F92"/>
    <w:rsid w:val="00181F94"/>
    <w:rsid w:val="00181F96"/>
    <w:rsid w:val="00181FA7"/>
    <w:rsid w:val="00181FD5"/>
    <w:rsid w:val="0018203B"/>
    <w:rsid w:val="00182052"/>
    <w:rsid w:val="00182085"/>
    <w:rsid w:val="0018208B"/>
    <w:rsid w:val="001820AA"/>
    <w:rsid w:val="001820D5"/>
    <w:rsid w:val="001820DB"/>
    <w:rsid w:val="001821AD"/>
    <w:rsid w:val="001822B1"/>
    <w:rsid w:val="001822B3"/>
    <w:rsid w:val="00182304"/>
    <w:rsid w:val="0018231E"/>
    <w:rsid w:val="00182325"/>
    <w:rsid w:val="001823D4"/>
    <w:rsid w:val="001823DD"/>
    <w:rsid w:val="001823F5"/>
    <w:rsid w:val="0018240F"/>
    <w:rsid w:val="0018248A"/>
    <w:rsid w:val="001824A9"/>
    <w:rsid w:val="00182594"/>
    <w:rsid w:val="001825A8"/>
    <w:rsid w:val="001825D2"/>
    <w:rsid w:val="0018262A"/>
    <w:rsid w:val="0018263A"/>
    <w:rsid w:val="00182644"/>
    <w:rsid w:val="0018267D"/>
    <w:rsid w:val="00182682"/>
    <w:rsid w:val="001826E3"/>
    <w:rsid w:val="0018275B"/>
    <w:rsid w:val="00182766"/>
    <w:rsid w:val="00182768"/>
    <w:rsid w:val="0018276F"/>
    <w:rsid w:val="00182798"/>
    <w:rsid w:val="00182835"/>
    <w:rsid w:val="00182850"/>
    <w:rsid w:val="00182868"/>
    <w:rsid w:val="0018288B"/>
    <w:rsid w:val="001828FA"/>
    <w:rsid w:val="0018296C"/>
    <w:rsid w:val="00182988"/>
    <w:rsid w:val="00182995"/>
    <w:rsid w:val="001829D4"/>
    <w:rsid w:val="001829DC"/>
    <w:rsid w:val="00182A8C"/>
    <w:rsid w:val="00182AD8"/>
    <w:rsid w:val="00182B12"/>
    <w:rsid w:val="00182B95"/>
    <w:rsid w:val="00182BC8"/>
    <w:rsid w:val="00182CB2"/>
    <w:rsid w:val="00182CB6"/>
    <w:rsid w:val="00182CD6"/>
    <w:rsid w:val="00182CE8"/>
    <w:rsid w:val="00182D0F"/>
    <w:rsid w:val="00182E4D"/>
    <w:rsid w:val="00182E59"/>
    <w:rsid w:val="00182EC3"/>
    <w:rsid w:val="00182ECB"/>
    <w:rsid w:val="00182ED2"/>
    <w:rsid w:val="00182ED3"/>
    <w:rsid w:val="00182F49"/>
    <w:rsid w:val="00182FD1"/>
    <w:rsid w:val="0018301B"/>
    <w:rsid w:val="00183044"/>
    <w:rsid w:val="00183055"/>
    <w:rsid w:val="00183083"/>
    <w:rsid w:val="001830E2"/>
    <w:rsid w:val="00183109"/>
    <w:rsid w:val="0018317E"/>
    <w:rsid w:val="00183228"/>
    <w:rsid w:val="0018323A"/>
    <w:rsid w:val="00183330"/>
    <w:rsid w:val="001833D3"/>
    <w:rsid w:val="001833F3"/>
    <w:rsid w:val="00183408"/>
    <w:rsid w:val="0018344D"/>
    <w:rsid w:val="0018346E"/>
    <w:rsid w:val="001834BD"/>
    <w:rsid w:val="001834EB"/>
    <w:rsid w:val="0018350D"/>
    <w:rsid w:val="0018357B"/>
    <w:rsid w:val="001835A9"/>
    <w:rsid w:val="001835D9"/>
    <w:rsid w:val="001835E1"/>
    <w:rsid w:val="001835EF"/>
    <w:rsid w:val="001835F3"/>
    <w:rsid w:val="00183624"/>
    <w:rsid w:val="00183656"/>
    <w:rsid w:val="00183675"/>
    <w:rsid w:val="00183677"/>
    <w:rsid w:val="001836F0"/>
    <w:rsid w:val="001836F6"/>
    <w:rsid w:val="001837C2"/>
    <w:rsid w:val="001837D5"/>
    <w:rsid w:val="001837FF"/>
    <w:rsid w:val="0018386A"/>
    <w:rsid w:val="0018387B"/>
    <w:rsid w:val="0018392E"/>
    <w:rsid w:val="0018394A"/>
    <w:rsid w:val="00183B02"/>
    <w:rsid w:val="00183B15"/>
    <w:rsid w:val="00183B80"/>
    <w:rsid w:val="00183BDF"/>
    <w:rsid w:val="00183C24"/>
    <w:rsid w:val="00183C39"/>
    <w:rsid w:val="00183C69"/>
    <w:rsid w:val="00183CA8"/>
    <w:rsid w:val="00183D06"/>
    <w:rsid w:val="00183D1D"/>
    <w:rsid w:val="00183D95"/>
    <w:rsid w:val="00183D97"/>
    <w:rsid w:val="00183D9E"/>
    <w:rsid w:val="00183DC0"/>
    <w:rsid w:val="00183E6B"/>
    <w:rsid w:val="00183E87"/>
    <w:rsid w:val="00183EB2"/>
    <w:rsid w:val="00183F04"/>
    <w:rsid w:val="00183F18"/>
    <w:rsid w:val="00183F4B"/>
    <w:rsid w:val="00183F99"/>
    <w:rsid w:val="00183FAC"/>
    <w:rsid w:val="00183FCB"/>
    <w:rsid w:val="00183FCF"/>
    <w:rsid w:val="00183FD1"/>
    <w:rsid w:val="001840B5"/>
    <w:rsid w:val="001840D6"/>
    <w:rsid w:val="0018413B"/>
    <w:rsid w:val="0018414B"/>
    <w:rsid w:val="0018414E"/>
    <w:rsid w:val="00184155"/>
    <w:rsid w:val="001841C5"/>
    <w:rsid w:val="0018420C"/>
    <w:rsid w:val="0018425D"/>
    <w:rsid w:val="00184274"/>
    <w:rsid w:val="00184278"/>
    <w:rsid w:val="001842EF"/>
    <w:rsid w:val="0018430C"/>
    <w:rsid w:val="0018438B"/>
    <w:rsid w:val="00184397"/>
    <w:rsid w:val="001843DD"/>
    <w:rsid w:val="001843F1"/>
    <w:rsid w:val="00184444"/>
    <w:rsid w:val="0018444A"/>
    <w:rsid w:val="0018444C"/>
    <w:rsid w:val="00184455"/>
    <w:rsid w:val="0018449E"/>
    <w:rsid w:val="001844AD"/>
    <w:rsid w:val="001844D6"/>
    <w:rsid w:val="00184538"/>
    <w:rsid w:val="001845E2"/>
    <w:rsid w:val="001845F1"/>
    <w:rsid w:val="001845FF"/>
    <w:rsid w:val="00184609"/>
    <w:rsid w:val="001846B2"/>
    <w:rsid w:val="001846D7"/>
    <w:rsid w:val="0018472A"/>
    <w:rsid w:val="0018476E"/>
    <w:rsid w:val="00184824"/>
    <w:rsid w:val="00184890"/>
    <w:rsid w:val="001848CC"/>
    <w:rsid w:val="001848D6"/>
    <w:rsid w:val="001848F0"/>
    <w:rsid w:val="0018490A"/>
    <w:rsid w:val="00184973"/>
    <w:rsid w:val="00184AC2"/>
    <w:rsid w:val="00184BD0"/>
    <w:rsid w:val="00184D82"/>
    <w:rsid w:val="00184D9B"/>
    <w:rsid w:val="00184DA0"/>
    <w:rsid w:val="00184DBD"/>
    <w:rsid w:val="00184DD7"/>
    <w:rsid w:val="00184E9F"/>
    <w:rsid w:val="00184ED1"/>
    <w:rsid w:val="00184FF8"/>
    <w:rsid w:val="00184FFB"/>
    <w:rsid w:val="0018501E"/>
    <w:rsid w:val="0018502C"/>
    <w:rsid w:val="0018503E"/>
    <w:rsid w:val="00185056"/>
    <w:rsid w:val="001850A7"/>
    <w:rsid w:val="00185110"/>
    <w:rsid w:val="00185150"/>
    <w:rsid w:val="00185152"/>
    <w:rsid w:val="001851AD"/>
    <w:rsid w:val="001851B5"/>
    <w:rsid w:val="0018524D"/>
    <w:rsid w:val="00185289"/>
    <w:rsid w:val="001852B9"/>
    <w:rsid w:val="00185323"/>
    <w:rsid w:val="00185370"/>
    <w:rsid w:val="00185376"/>
    <w:rsid w:val="00185387"/>
    <w:rsid w:val="0018538C"/>
    <w:rsid w:val="001853CC"/>
    <w:rsid w:val="001853D1"/>
    <w:rsid w:val="001853F2"/>
    <w:rsid w:val="001853FB"/>
    <w:rsid w:val="00185427"/>
    <w:rsid w:val="0018543D"/>
    <w:rsid w:val="001854F9"/>
    <w:rsid w:val="00185505"/>
    <w:rsid w:val="001855C7"/>
    <w:rsid w:val="001855F9"/>
    <w:rsid w:val="00185615"/>
    <w:rsid w:val="00185645"/>
    <w:rsid w:val="00185652"/>
    <w:rsid w:val="00185668"/>
    <w:rsid w:val="001856FB"/>
    <w:rsid w:val="0018570C"/>
    <w:rsid w:val="0018574F"/>
    <w:rsid w:val="00185778"/>
    <w:rsid w:val="001857FA"/>
    <w:rsid w:val="0018580A"/>
    <w:rsid w:val="00185879"/>
    <w:rsid w:val="001858D9"/>
    <w:rsid w:val="001858F4"/>
    <w:rsid w:val="001858F6"/>
    <w:rsid w:val="001859C2"/>
    <w:rsid w:val="00185A1D"/>
    <w:rsid w:val="00185A59"/>
    <w:rsid w:val="00185AC6"/>
    <w:rsid w:val="00185B08"/>
    <w:rsid w:val="00185B8C"/>
    <w:rsid w:val="00185BEA"/>
    <w:rsid w:val="00185C4E"/>
    <w:rsid w:val="00185C9E"/>
    <w:rsid w:val="00185CAA"/>
    <w:rsid w:val="00185CDA"/>
    <w:rsid w:val="00185D00"/>
    <w:rsid w:val="00185D94"/>
    <w:rsid w:val="00185E0B"/>
    <w:rsid w:val="00185E67"/>
    <w:rsid w:val="00185ED9"/>
    <w:rsid w:val="00185EDD"/>
    <w:rsid w:val="00185EE3"/>
    <w:rsid w:val="00185EE6"/>
    <w:rsid w:val="00185F55"/>
    <w:rsid w:val="00185FC7"/>
    <w:rsid w:val="00185FCC"/>
    <w:rsid w:val="00185FEE"/>
    <w:rsid w:val="0018604F"/>
    <w:rsid w:val="00186096"/>
    <w:rsid w:val="001860A9"/>
    <w:rsid w:val="001860AA"/>
    <w:rsid w:val="001860C1"/>
    <w:rsid w:val="00186191"/>
    <w:rsid w:val="0018619C"/>
    <w:rsid w:val="001861A7"/>
    <w:rsid w:val="001861AB"/>
    <w:rsid w:val="001861F5"/>
    <w:rsid w:val="00186200"/>
    <w:rsid w:val="00186203"/>
    <w:rsid w:val="0018623B"/>
    <w:rsid w:val="0018624A"/>
    <w:rsid w:val="0018625B"/>
    <w:rsid w:val="00186263"/>
    <w:rsid w:val="001862A4"/>
    <w:rsid w:val="001862BA"/>
    <w:rsid w:val="001862D7"/>
    <w:rsid w:val="001862E4"/>
    <w:rsid w:val="0018632D"/>
    <w:rsid w:val="0018637E"/>
    <w:rsid w:val="00186387"/>
    <w:rsid w:val="00186388"/>
    <w:rsid w:val="0018638F"/>
    <w:rsid w:val="00186392"/>
    <w:rsid w:val="001863E3"/>
    <w:rsid w:val="0018642E"/>
    <w:rsid w:val="0018645E"/>
    <w:rsid w:val="00186463"/>
    <w:rsid w:val="00186483"/>
    <w:rsid w:val="0018648F"/>
    <w:rsid w:val="0018649F"/>
    <w:rsid w:val="001864C0"/>
    <w:rsid w:val="0018651E"/>
    <w:rsid w:val="0018653F"/>
    <w:rsid w:val="0018657C"/>
    <w:rsid w:val="001865C6"/>
    <w:rsid w:val="00186670"/>
    <w:rsid w:val="00186746"/>
    <w:rsid w:val="0018674C"/>
    <w:rsid w:val="00186825"/>
    <w:rsid w:val="0018690C"/>
    <w:rsid w:val="00186953"/>
    <w:rsid w:val="0018695E"/>
    <w:rsid w:val="00186976"/>
    <w:rsid w:val="00186986"/>
    <w:rsid w:val="00186A01"/>
    <w:rsid w:val="00186A06"/>
    <w:rsid w:val="00186AAE"/>
    <w:rsid w:val="00186AE7"/>
    <w:rsid w:val="00186B0B"/>
    <w:rsid w:val="00186BAA"/>
    <w:rsid w:val="00186BDF"/>
    <w:rsid w:val="00186C06"/>
    <w:rsid w:val="00186C28"/>
    <w:rsid w:val="00186C90"/>
    <w:rsid w:val="00186CD0"/>
    <w:rsid w:val="00186D8B"/>
    <w:rsid w:val="00186D93"/>
    <w:rsid w:val="00186DE1"/>
    <w:rsid w:val="00186E0C"/>
    <w:rsid w:val="00186E4B"/>
    <w:rsid w:val="00186E9E"/>
    <w:rsid w:val="00186F25"/>
    <w:rsid w:val="00186F2B"/>
    <w:rsid w:val="00186F32"/>
    <w:rsid w:val="00187034"/>
    <w:rsid w:val="0018705B"/>
    <w:rsid w:val="001870B3"/>
    <w:rsid w:val="0018710A"/>
    <w:rsid w:val="0018712E"/>
    <w:rsid w:val="00187132"/>
    <w:rsid w:val="00187155"/>
    <w:rsid w:val="0018718E"/>
    <w:rsid w:val="001871B1"/>
    <w:rsid w:val="001871CA"/>
    <w:rsid w:val="00187209"/>
    <w:rsid w:val="00187253"/>
    <w:rsid w:val="0018726C"/>
    <w:rsid w:val="00187288"/>
    <w:rsid w:val="00187290"/>
    <w:rsid w:val="0018729F"/>
    <w:rsid w:val="00187351"/>
    <w:rsid w:val="0018744C"/>
    <w:rsid w:val="00187492"/>
    <w:rsid w:val="0018749D"/>
    <w:rsid w:val="00187500"/>
    <w:rsid w:val="0018752E"/>
    <w:rsid w:val="00187630"/>
    <w:rsid w:val="001876B0"/>
    <w:rsid w:val="001876CE"/>
    <w:rsid w:val="001876F4"/>
    <w:rsid w:val="0018774F"/>
    <w:rsid w:val="001877A6"/>
    <w:rsid w:val="00187818"/>
    <w:rsid w:val="0018784C"/>
    <w:rsid w:val="001878F7"/>
    <w:rsid w:val="0018791D"/>
    <w:rsid w:val="00187965"/>
    <w:rsid w:val="00187999"/>
    <w:rsid w:val="001879BF"/>
    <w:rsid w:val="001879D6"/>
    <w:rsid w:val="001879DE"/>
    <w:rsid w:val="00187A11"/>
    <w:rsid w:val="00187A2B"/>
    <w:rsid w:val="00187A53"/>
    <w:rsid w:val="00187AA2"/>
    <w:rsid w:val="00187AA9"/>
    <w:rsid w:val="00187AB5"/>
    <w:rsid w:val="00187AD1"/>
    <w:rsid w:val="00187B23"/>
    <w:rsid w:val="00187B6B"/>
    <w:rsid w:val="00187B76"/>
    <w:rsid w:val="00187B9D"/>
    <w:rsid w:val="00187BCB"/>
    <w:rsid w:val="00187BFD"/>
    <w:rsid w:val="00187CD1"/>
    <w:rsid w:val="00187CEB"/>
    <w:rsid w:val="00187D02"/>
    <w:rsid w:val="00187D53"/>
    <w:rsid w:val="00187D6F"/>
    <w:rsid w:val="00187D85"/>
    <w:rsid w:val="00187D9C"/>
    <w:rsid w:val="00187DAE"/>
    <w:rsid w:val="00187DC2"/>
    <w:rsid w:val="00187E85"/>
    <w:rsid w:val="00187E8C"/>
    <w:rsid w:val="00187F96"/>
    <w:rsid w:val="0019001E"/>
    <w:rsid w:val="00190050"/>
    <w:rsid w:val="001900B9"/>
    <w:rsid w:val="001900D5"/>
    <w:rsid w:val="00190128"/>
    <w:rsid w:val="0019014E"/>
    <w:rsid w:val="00190203"/>
    <w:rsid w:val="00190239"/>
    <w:rsid w:val="0019024C"/>
    <w:rsid w:val="00190297"/>
    <w:rsid w:val="001902BC"/>
    <w:rsid w:val="001902E7"/>
    <w:rsid w:val="001903EB"/>
    <w:rsid w:val="001903FD"/>
    <w:rsid w:val="00190419"/>
    <w:rsid w:val="00190495"/>
    <w:rsid w:val="001904EC"/>
    <w:rsid w:val="0019050A"/>
    <w:rsid w:val="0019057A"/>
    <w:rsid w:val="001905E2"/>
    <w:rsid w:val="0019060C"/>
    <w:rsid w:val="00190621"/>
    <w:rsid w:val="00190652"/>
    <w:rsid w:val="0019066E"/>
    <w:rsid w:val="001906DC"/>
    <w:rsid w:val="001907D0"/>
    <w:rsid w:val="001907ED"/>
    <w:rsid w:val="0019083D"/>
    <w:rsid w:val="00190870"/>
    <w:rsid w:val="0019088C"/>
    <w:rsid w:val="001908A0"/>
    <w:rsid w:val="001908AF"/>
    <w:rsid w:val="001908E9"/>
    <w:rsid w:val="00190980"/>
    <w:rsid w:val="0019099B"/>
    <w:rsid w:val="001909D9"/>
    <w:rsid w:val="00190A65"/>
    <w:rsid w:val="00190B64"/>
    <w:rsid w:val="00190C04"/>
    <w:rsid w:val="00190C9D"/>
    <w:rsid w:val="00190CA9"/>
    <w:rsid w:val="00190CE1"/>
    <w:rsid w:val="00190D82"/>
    <w:rsid w:val="00190DA6"/>
    <w:rsid w:val="00190DC3"/>
    <w:rsid w:val="00190E04"/>
    <w:rsid w:val="00190E20"/>
    <w:rsid w:val="00190E3E"/>
    <w:rsid w:val="00190E4A"/>
    <w:rsid w:val="00190EBC"/>
    <w:rsid w:val="00190EF6"/>
    <w:rsid w:val="00190F6C"/>
    <w:rsid w:val="00190FAB"/>
    <w:rsid w:val="00190FAC"/>
    <w:rsid w:val="00190FCA"/>
    <w:rsid w:val="00190FD5"/>
    <w:rsid w:val="0019101A"/>
    <w:rsid w:val="0019101D"/>
    <w:rsid w:val="00191061"/>
    <w:rsid w:val="001911BE"/>
    <w:rsid w:val="0019122D"/>
    <w:rsid w:val="001912E9"/>
    <w:rsid w:val="00191312"/>
    <w:rsid w:val="0019135E"/>
    <w:rsid w:val="001913C1"/>
    <w:rsid w:val="001913E4"/>
    <w:rsid w:val="00191406"/>
    <w:rsid w:val="00191477"/>
    <w:rsid w:val="001914D6"/>
    <w:rsid w:val="001914FB"/>
    <w:rsid w:val="00191505"/>
    <w:rsid w:val="0019153F"/>
    <w:rsid w:val="00191599"/>
    <w:rsid w:val="001915A9"/>
    <w:rsid w:val="001916C7"/>
    <w:rsid w:val="001916CB"/>
    <w:rsid w:val="0019175F"/>
    <w:rsid w:val="0019176B"/>
    <w:rsid w:val="00191774"/>
    <w:rsid w:val="001917AA"/>
    <w:rsid w:val="001917FF"/>
    <w:rsid w:val="0019184A"/>
    <w:rsid w:val="0019185A"/>
    <w:rsid w:val="0019188B"/>
    <w:rsid w:val="001918D1"/>
    <w:rsid w:val="001918DA"/>
    <w:rsid w:val="0019193F"/>
    <w:rsid w:val="00191942"/>
    <w:rsid w:val="001919AC"/>
    <w:rsid w:val="00191A02"/>
    <w:rsid w:val="00191A0A"/>
    <w:rsid w:val="00191A25"/>
    <w:rsid w:val="00191A85"/>
    <w:rsid w:val="00191A8E"/>
    <w:rsid w:val="00191AED"/>
    <w:rsid w:val="00191BDC"/>
    <w:rsid w:val="00191CAA"/>
    <w:rsid w:val="00191CF2"/>
    <w:rsid w:val="00191D1E"/>
    <w:rsid w:val="00191D5E"/>
    <w:rsid w:val="00191D67"/>
    <w:rsid w:val="00191DCD"/>
    <w:rsid w:val="00191E6F"/>
    <w:rsid w:val="00191E70"/>
    <w:rsid w:val="00191E92"/>
    <w:rsid w:val="00191EA4"/>
    <w:rsid w:val="00191EF2"/>
    <w:rsid w:val="00191EF9"/>
    <w:rsid w:val="00191F2E"/>
    <w:rsid w:val="00191F9D"/>
    <w:rsid w:val="00191FC2"/>
    <w:rsid w:val="00191FD1"/>
    <w:rsid w:val="00191FDE"/>
    <w:rsid w:val="00191FF8"/>
    <w:rsid w:val="00192052"/>
    <w:rsid w:val="001920C0"/>
    <w:rsid w:val="00192163"/>
    <w:rsid w:val="00192195"/>
    <w:rsid w:val="0019219C"/>
    <w:rsid w:val="001921AB"/>
    <w:rsid w:val="00192230"/>
    <w:rsid w:val="00192280"/>
    <w:rsid w:val="00192292"/>
    <w:rsid w:val="001922AF"/>
    <w:rsid w:val="001922D8"/>
    <w:rsid w:val="00192312"/>
    <w:rsid w:val="00192345"/>
    <w:rsid w:val="00192357"/>
    <w:rsid w:val="001923C9"/>
    <w:rsid w:val="001923DD"/>
    <w:rsid w:val="001923FE"/>
    <w:rsid w:val="0019242C"/>
    <w:rsid w:val="001924E3"/>
    <w:rsid w:val="00192544"/>
    <w:rsid w:val="00192593"/>
    <w:rsid w:val="00192595"/>
    <w:rsid w:val="001925D5"/>
    <w:rsid w:val="00192619"/>
    <w:rsid w:val="0019262D"/>
    <w:rsid w:val="00192633"/>
    <w:rsid w:val="00192653"/>
    <w:rsid w:val="001926A9"/>
    <w:rsid w:val="001926B4"/>
    <w:rsid w:val="001926BE"/>
    <w:rsid w:val="00192700"/>
    <w:rsid w:val="00192737"/>
    <w:rsid w:val="001927D2"/>
    <w:rsid w:val="00192872"/>
    <w:rsid w:val="00192967"/>
    <w:rsid w:val="001929E7"/>
    <w:rsid w:val="001929F1"/>
    <w:rsid w:val="001929FC"/>
    <w:rsid w:val="00192A16"/>
    <w:rsid w:val="00192B5A"/>
    <w:rsid w:val="00192B63"/>
    <w:rsid w:val="00192B98"/>
    <w:rsid w:val="00192CAD"/>
    <w:rsid w:val="00192D1A"/>
    <w:rsid w:val="00192D77"/>
    <w:rsid w:val="00192D7B"/>
    <w:rsid w:val="00192D84"/>
    <w:rsid w:val="00192D8B"/>
    <w:rsid w:val="00192DE4"/>
    <w:rsid w:val="00192E42"/>
    <w:rsid w:val="00192EC2"/>
    <w:rsid w:val="00192F00"/>
    <w:rsid w:val="00192F44"/>
    <w:rsid w:val="00192F6F"/>
    <w:rsid w:val="00192FA1"/>
    <w:rsid w:val="00192FA8"/>
    <w:rsid w:val="00192FDD"/>
    <w:rsid w:val="00193000"/>
    <w:rsid w:val="001930BA"/>
    <w:rsid w:val="001930EE"/>
    <w:rsid w:val="001930F4"/>
    <w:rsid w:val="001930FF"/>
    <w:rsid w:val="00193173"/>
    <w:rsid w:val="001931B7"/>
    <w:rsid w:val="001931E6"/>
    <w:rsid w:val="0019321E"/>
    <w:rsid w:val="001932C9"/>
    <w:rsid w:val="001932CA"/>
    <w:rsid w:val="0019334D"/>
    <w:rsid w:val="001933FE"/>
    <w:rsid w:val="00193418"/>
    <w:rsid w:val="0019345A"/>
    <w:rsid w:val="00193491"/>
    <w:rsid w:val="001934A1"/>
    <w:rsid w:val="0019350D"/>
    <w:rsid w:val="00193542"/>
    <w:rsid w:val="00193566"/>
    <w:rsid w:val="00193574"/>
    <w:rsid w:val="00193577"/>
    <w:rsid w:val="001935CC"/>
    <w:rsid w:val="00193614"/>
    <w:rsid w:val="0019361E"/>
    <w:rsid w:val="001936BE"/>
    <w:rsid w:val="001936E8"/>
    <w:rsid w:val="00193701"/>
    <w:rsid w:val="00193752"/>
    <w:rsid w:val="0019388E"/>
    <w:rsid w:val="00193891"/>
    <w:rsid w:val="00193911"/>
    <w:rsid w:val="00193990"/>
    <w:rsid w:val="001939BE"/>
    <w:rsid w:val="001939EB"/>
    <w:rsid w:val="00193A2E"/>
    <w:rsid w:val="00193AE3"/>
    <w:rsid w:val="00193B27"/>
    <w:rsid w:val="00193B87"/>
    <w:rsid w:val="00193B92"/>
    <w:rsid w:val="00193BCD"/>
    <w:rsid w:val="00193BD4"/>
    <w:rsid w:val="00193BF4"/>
    <w:rsid w:val="00193C15"/>
    <w:rsid w:val="00193C24"/>
    <w:rsid w:val="00193C63"/>
    <w:rsid w:val="00193C86"/>
    <w:rsid w:val="00193C8F"/>
    <w:rsid w:val="00193D05"/>
    <w:rsid w:val="00193D1F"/>
    <w:rsid w:val="00193DAC"/>
    <w:rsid w:val="00193DD9"/>
    <w:rsid w:val="00193EA7"/>
    <w:rsid w:val="00193EE3"/>
    <w:rsid w:val="00193F56"/>
    <w:rsid w:val="00193FEF"/>
    <w:rsid w:val="00194010"/>
    <w:rsid w:val="0019403E"/>
    <w:rsid w:val="001940C8"/>
    <w:rsid w:val="001940D6"/>
    <w:rsid w:val="00194114"/>
    <w:rsid w:val="00194186"/>
    <w:rsid w:val="00194193"/>
    <w:rsid w:val="00194198"/>
    <w:rsid w:val="00194211"/>
    <w:rsid w:val="00194248"/>
    <w:rsid w:val="0019428D"/>
    <w:rsid w:val="001942F4"/>
    <w:rsid w:val="001943B0"/>
    <w:rsid w:val="001943B7"/>
    <w:rsid w:val="001943CC"/>
    <w:rsid w:val="001943EB"/>
    <w:rsid w:val="001943F8"/>
    <w:rsid w:val="00194428"/>
    <w:rsid w:val="00194474"/>
    <w:rsid w:val="001945FD"/>
    <w:rsid w:val="00194604"/>
    <w:rsid w:val="00194680"/>
    <w:rsid w:val="00194682"/>
    <w:rsid w:val="00194701"/>
    <w:rsid w:val="0019474D"/>
    <w:rsid w:val="0019477A"/>
    <w:rsid w:val="00194873"/>
    <w:rsid w:val="001948FE"/>
    <w:rsid w:val="0019494A"/>
    <w:rsid w:val="00194A1C"/>
    <w:rsid w:val="00194AAC"/>
    <w:rsid w:val="00194ABC"/>
    <w:rsid w:val="00194AD3"/>
    <w:rsid w:val="00194AD5"/>
    <w:rsid w:val="00194B13"/>
    <w:rsid w:val="00194B25"/>
    <w:rsid w:val="00194B26"/>
    <w:rsid w:val="00194B36"/>
    <w:rsid w:val="00194B40"/>
    <w:rsid w:val="00194C28"/>
    <w:rsid w:val="00194CAD"/>
    <w:rsid w:val="00194D1E"/>
    <w:rsid w:val="00194D3D"/>
    <w:rsid w:val="00194D8C"/>
    <w:rsid w:val="00194DA5"/>
    <w:rsid w:val="00194DC8"/>
    <w:rsid w:val="00194E77"/>
    <w:rsid w:val="00194EC3"/>
    <w:rsid w:val="00194EDE"/>
    <w:rsid w:val="00194F5F"/>
    <w:rsid w:val="00194F94"/>
    <w:rsid w:val="00194F9B"/>
    <w:rsid w:val="00195061"/>
    <w:rsid w:val="001950A8"/>
    <w:rsid w:val="001950BB"/>
    <w:rsid w:val="001950CF"/>
    <w:rsid w:val="00195132"/>
    <w:rsid w:val="00195151"/>
    <w:rsid w:val="00195184"/>
    <w:rsid w:val="0019519D"/>
    <w:rsid w:val="001951DD"/>
    <w:rsid w:val="00195213"/>
    <w:rsid w:val="00195222"/>
    <w:rsid w:val="0019522F"/>
    <w:rsid w:val="00195280"/>
    <w:rsid w:val="001952E6"/>
    <w:rsid w:val="00195357"/>
    <w:rsid w:val="001953B8"/>
    <w:rsid w:val="001953CF"/>
    <w:rsid w:val="0019546B"/>
    <w:rsid w:val="00195529"/>
    <w:rsid w:val="00195557"/>
    <w:rsid w:val="0019558E"/>
    <w:rsid w:val="001955A6"/>
    <w:rsid w:val="001955E0"/>
    <w:rsid w:val="00195698"/>
    <w:rsid w:val="001956CC"/>
    <w:rsid w:val="00195728"/>
    <w:rsid w:val="00195734"/>
    <w:rsid w:val="0019575E"/>
    <w:rsid w:val="00195766"/>
    <w:rsid w:val="00195788"/>
    <w:rsid w:val="001957B4"/>
    <w:rsid w:val="0019580E"/>
    <w:rsid w:val="00195825"/>
    <w:rsid w:val="001958E5"/>
    <w:rsid w:val="0019591A"/>
    <w:rsid w:val="00195976"/>
    <w:rsid w:val="001959F8"/>
    <w:rsid w:val="00195A6E"/>
    <w:rsid w:val="00195A72"/>
    <w:rsid w:val="00195A76"/>
    <w:rsid w:val="00195AAA"/>
    <w:rsid w:val="00195B46"/>
    <w:rsid w:val="00195B91"/>
    <w:rsid w:val="00195BA3"/>
    <w:rsid w:val="00195BDF"/>
    <w:rsid w:val="00195BED"/>
    <w:rsid w:val="00195C8E"/>
    <w:rsid w:val="00195D66"/>
    <w:rsid w:val="00195DE7"/>
    <w:rsid w:val="00195E24"/>
    <w:rsid w:val="00195EED"/>
    <w:rsid w:val="00195F22"/>
    <w:rsid w:val="00195F24"/>
    <w:rsid w:val="00195F44"/>
    <w:rsid w:val="00195F73"/>
    <w:rsid w:val="00195F7A"/>
    <w:rsid w:val="00195FAF"/>
    <w:rsid w:val="00195FC2"/>
    <w:rsid w:val="00195FEF"/>
    <w:rsid w:val="00196016"/>
    <w:rsid w:val="0019603E"/>
    <w:rsid w:val="00196041"/>
    <w:rsid w:val="0019607E"/>
    <w:rsid w:val="001960A6"/>
    <w:rsid w:val="001960A7"/>
    <w:rsid w:val="0019612A"/>
    <w:rsid w:val="0019613E"/>
    <w:rsid w:val="00196145"/>
    <w:rsid w:val="001961CB"/>
    <w:rsid w:val="001961F9"/>
    <w:rsid w:val="00196214"/>
    <w:rsid w:val="00196274"/>
    <w:rsid w:val="001962CE"/>
    <w:rsid w:val="00196316"/>
    <w:rsid w:val="0019635E"/>
    <w:rsid w:val="0019637C"/>
    <w:rsid w:val="00196396"/>
    <w:rsid w:val="00196417"/>
    <w:rsid w:val="00196438"/>
    <w:rsid w:val="001964A6"/>
    <w:rsid w:val="00196529"/>
    <w:rsid w:val="0019659D"/>
    <w:rsid w:val="001965B0"/>
    <w:rsid w:val="0019666C"/>
    <w:rsid w:val="00196727"/>
    <w:rsid w:val="0019674F"/>
    <w:rsid w:val="00196778"/>
    <w:rsid w:val="00196780"/>
    <w:rsid w:val="0019678C"/>
    <w:rsid w:val="00196791"/>
    <w:rsid w:val="00196862"/>
    <w:rsid w:val="00196873"/>
    <w:rsid w:val="0019692B"/>
    <w:rsid w:val="0019697F"/>
    <w:rsid w:val="001969F3"/>
    <w:rsid w:val="001969F6"/>
    <w:rsid w:val="00196A61"/>
    <w:rsid w:val="00196A70"/>
    <w:rsid w:val="00196AAE"/>
    <w:rsid w:val="00196B02"/>
    <w:rsid w:val="00196B82"/>
    <w:rsid w:val="00196D71"/>
    <w:rsid w:val="00196D73"/>
    <w:rsid w:val="00196DD4"/>
    <w:rsid w:val="00196DD8"/>
    <w:rsid w:val="00196E55"/>
    <w:rsid w:val="00196FA3"/>
    <w:rsid w:val="001970E4"/>
    <w:rsid w:val="001971A7"/>
    <w:rsid w:val="001971B7"/>
    <w:rsid w:val="00197258"/>
    <w:rsid w:val="00197263"/>
    <w:rsid w:val="0019728C"/>
    <w:rsid w:val="00197297"/>
    <w:rsid w:val="001972D2"/>
    <w:rsid w:val="00197316"/>
    <w:rsid w:val="0019736C"/>
    <w:rsid w:val="0019737C"/>
    <w:rsid w:val="00197397"/>
    <w:rsid w:val="001973DB"/>
    <w:rsid w:val="00197429"/>
    <w:rsid w:val="00197445"/>
    <w:rsid w:val="00197479"/>
    <w:rsid w:val="00197495"/>
    <w:rsid w:val="0019749B"/>
    <w:rsid w:val="001974A5"/>
    <w:rsid w:val="001974F7"/>
    <w:rsid w:val="0019754E"/>
    <w:rsid w:val="0019758E"/>
    <w:rsid w:val="00197592"/>
    <w:rsid w:val="0019761D"/>
    <w:rsid w:val="001976BF"/>
    <w:rsid w:val="001976E8"/>
    <w:rsid w:val="00197779"/>
    <w:rsid w:val="0019777D"/>
    <w:rsid w:val="001977F3"/>
    <w:rsid w:val="00197845"/>
    <w:rsid w:val="0019784F"/>
    <w:rsid w:val="001978D9"/>
    <w:rsid w:val="001978DB"/>
    <w:rsid w:val="00197952"/>
    <w:rsid w:val="00197960"/>
    <w:rsid w:val="0019796E"/>
    <w:rsid w:val="00197A3E"/>
    <w:rsid w:val="00197A8D"/>
    <w:rsid w:val="00197AF2"/>
    <w:rsid w:val="00197B4A"/>
    <w:rsid w:val="00197BB6"/>
    <w:rsid w:val="00197BE4"/>
    <w:rsid w:val="00197BEF"/>
    <w:rsid w:val="00197C60"/>
    <w:rsid w:val="00197C76"/>
    <w:rsid w:val="00197CB6"/>
    <w:rsid w:val="00197CFA"/>
    <w:rsid w:val="00197D04"/>
    <w:rsid w:val="00197D31"/>
    <w:rsid w:val="00197D76"/>
    <w:rsid w:val="00197D7D"/>
    <w:rsid w:val="00197D84"/>
    <w:rsid w:val="00197DF4"/>
    <w:rsid w:val="00197E51"/>
    <w:rsid w:val="00197F07"/>
    <w:rsid w:val="00197F1F"/>
    <w:rsid w:val="00197F75"/>
    <w:rsid w:val="00197FA0"/>
    <w:rsid w:val="00197FE0"/>
    <w:rsid w:val="001A0059"/>
    <w:rsid w:val="001A0136"/>
    <w:rsid w:val="001A013C"/>
    <w:rsid w:val="001A014B"/>
    <w:rsid w:val="001A016F"/>
    <w:rsid w:val="001A01AD"/>
    <w:rsid w:val="001A01B9"/>
    <w:rsid w:val="001A01EC"/>
    <w:rsid w:val="001A0264"/>
    <w:rsid w:val="001A0286"/>
    <w:rsid w:val="001A02B6"/>
    <w:rsid w:val="001A02C3"/>
    <w:rsid w:val="001A0346"/>
    <w:rsid w:val="001A034B"/>
    <w:rsid w:val="001A036B"/>
    <w:rsid w:val="001A038A"/>
    <w:rsid w:val="001A03A6"/>
    <w:rsid w:val="001A0427"/>
    <w:rsid w:val="001A04EE"/>
    <w:rsid w:val="001A04F7"/>
    <w:rsid w:val="001A04FC"/>
    <w:rsid w:val="001A0524"/>
    <w:rsid w:val="001A052A"/>
    <w:rsid w:val="001A0533"/>
    <w:rsid w:val="001A0582"/>
    <w:rsid w:val="001A05BF"/>
    <w:rsid w:val="001A05EF"/>
    <w:rsid w:val="001A0605"/>
    <w:rsid w:val="001A062B"/>
    <w:rsid w:val="001A063B"/>
    <w:rsid w:val="001A066B"/>
    <w:rsid w:val="001A0691"/>
    <w:rsid w:val="001A0696"/>
    <w:rsid w:val="001A0723"/>
    <w:rsid w:val="001A0741"/>
    <w:rsid w:val="001A0777"/>
    <w:rsid w:val="001A07A3"/>
    <w:rsid w:val="001A07F1"/>
    <w:rsid w:val="001A0807"/>
    <w:rsid w:val="001A0814"/>
    <w:rsid w:val="001A082C"/>
    <w:rsid w:val="001A09D3"/>
    <w:rsid w:val="001A09FF"/>
    <w:rsid w:val="001A0A2B"/>
    <w:rsid w:val="001A0A84"/>
    <w:rsid w:val="001A0A89"/>
    <w:rsid w:val="001A0AF0"/>
    <w:rsid w:val="001A0AF2"/>
    <w:rsid w:val="001A0B20"/>
    <w:rsid w:val="001A0B7A"/>
    <w:rsid w:val="001A0BEA"/>
    <w:rsid w:val="001A0BFE"/>
    <w:rsid w:val="001A0C48"/>
    <w:rsid w:val="001A0C8C"/>
    <w:rsid w:val="001A0CCC"/>
    <w:rsid w:val="001A0CE5"/>
    <w:rsid w:val="001A0CED"/>
    <w:rsid w:val="001A0D46"/>
    <w:rsid w:val="001A0D53"/>
    <w:rsid w:val="001A0D71"/>
    <w:rsid w:val="001A0DA4"/>
    <w:rsid w:val="001A0DE2"/>
    <w:rsid w:val="001A0DE5"/>
    <w:rsid w:val="001A0E51"/>
    <w:rsid w:val="001A0E5F"/>
    <w:rsid w:val="001A0E76"/>
    <w:rsid w:val="001A0E7D"/>
    <w:rsid w:val="001A0EBB"/>
    <w:rsid w:val="001A0EBE"/>
    <w:rsid w:val="001A0EED"/>
    <w:rsid w:val="001A0F06"/>
    <w:rsid w:val="001A0F78"/>
    <w:rsid w:val="001A0FCF"/>
    <w:rsid w:val="001A0FE7"/>
    <w:rsid w:val="001A1011"/>
    <w:rsid w:val="001A102C"/>
    <w:rsid w:val="001A1039"/>
    <w:rsid w:val="001A108F"/>
    <w:rsid w:val="001A1168"/>
    <w:rsid w:val="001A1178"/>
    <w:rsid w:val="001A1192"/>
    <w:rsid w:val="001A11AF"/>
    <w:rsid w:val="001A121B"/>
    <w:rsid w:val="001A1256"/>
    <w:rsid w:val="001A126A"/>
    <w:rsid w:val="001A1332"/>
    <w:rsid w:val="001A1374"/>
    <w:rsid w:val="001A141B"/>
    <w:rsid w:val="001A1439"/>
    <w:rsid w:val="001A145B"/>
    <w:rsid w:val="001A145F"/>
    <w:rsid w:val="001A14FE"/>
    <w:rsid w:val="001A153A"/>
    <w:rsid w:val="001A15B9"/>
    <w:rsid w:val="001A1627"/>
    <w:rsid w:val="001A164C"/>
    <w:rsid w:val="001A16C1"/>
    <w:rsid w:val="001A1720"/>
    <w:rsid w:val="001A1790"/>
    <w:rsid w:val="001A1836"/>
    <w:rsid w:val="001A18A4"/>
    <w:rsid w:val="001A18A7"/>
    <w:rsid w:val="001A18D0"/>
    <w:rsid w:val="001A194F"/>
    <w:rsid w:val="001A1979"/>
    <w:rsid w:val="001A1A55"/>
    <w:rsid w:val="001A1A8E"/>
    <w:rsid w:val="001A1B8F"/>
    <w:rsid w:val="001A1C5A"/>
    <w:rsid w:val="001A1CF1"/>
    <w:rsid w:val="001A1D2F"/>
    <w:rsid w:val="001A1D42"/>
    <w:rsid w:val="001A1DA6"/>
    <w:rsid w:val="001A1DC1"/>
    <w:rsid w:val="001A1DCF"/>
    <w:rsid w:val="001A1E0F"/>
    <w:rsid w:val="001A1E15"/>
    <w:rsid w:val="001A1EBF"/>
    <w:rsid w:val="001A1EDB"/>
    <w:rsid w:val="001A1F02"/>
    <w:rsid w:val="001A1F4D"/>
    <w:rsid w:val="001A1FBD"/>
    <w:rsid w:val="001A1FEE"/>
    <w:rsid w:val="001A2006"/>
    <w:rsid w:val="001A20A2"/>
    <w:rsid w:val="001A20D7"/>
    <w:rsid w:val="001A20D8"/>
    <w:rsid w:val="001A2172"/>
    <w:rsid w:val="001A21CF"/>
    <w:rsid w:val="001A2286"/>
    <w:rsid w:val="001A23DC"/>
    <w:rsid w:val="001A23E8"/>
    <w:rsid w:val="001A2405"/>
    <w:rsid w:val="001A264A"/>
    <w:rsid w:val="001A278E"/>
    <w:rsid w:val="001A283F"/>
    <w:rsid w:val="001A2893"/>
    <w:rsid w:val="001A28C8"/>
    <w:rsid w:val="001A2915"/>
    <w:rsid w:val="001A2929"/>
    <w:rsid w:val="001A292A"/>
    <w:rsid w:val="001A293F"/>
    <w:rsid w:val="001A2954"/>
    <w:rsid w:val="001A2AB1"/>
    <w:rsid w:val="001A2ABD"/>
    <w:rsid w:val="001A2BEE"/>
    <w:rsid w:val="001A2BFB"/>
    <w:rsid w:val="001A2C1E"/>
    <w:rsid w:val="001A2C56"/>
    <w:rsid w:val="001A2C7B"/>
    <w:rsid w:val="001A2C7E"/>
    <w:rsid w:val="001A2CA5"/>
    <w:rsid w:val="001A2CF1"/>
    <w:rsid w:val="001A2D11"/>
    <w:rsid w:val="001A2D14"/>
    <w:rsid w:val="001A2D44"/>
    <w:rsid w:val="001A2DC6"/>
    <w:rsid w:val="001A2DF0"/>
    <w:rsid w:val="001A2DF2"/>
    <w:rsid w:val="001A2DF9"/>
    <w:rsid w:val="001A2E50"/>
    <w:rsid w:val="001A2E62"/>
    <w:rsid w:val="001A2F40"/>
    <w:rsid w:val="001A2FA8"/>
    <w:rsid w:val="001A2FC5"/>
    <w:rsid w:val="001A2FC8"/>
    <w:rsid w:val="001A2FD8"/>
    <w:rsid w:val="001A2FEF"/>
    <w:rsid w:val="001A300B"/>
    <w:rsid w:val="001A302F"/>
    <w:rsid w:val="001A3045"/>
    <w:rsid w:val="001A3082"/>
    <w:rsid w:val="001A30AA"/>
    <w:rsid w:val="001A313A"/>
    <w:rsid w:val="001A31D4"/>
    <w:rsid w:val="001A3285"/>
    <w:rsid w:val="001A32CC"/>
    <w:rsid w:val="001A330F"/>
    <w:rsid w:val="001A33E2"/>
    <w:rsid w:val="001A34C8"/>
    <w:rsid w:val="001A351D"/>
    <w:rsid w:val="001A35BA"/>
    <w:rsid w:val="001A36A3"/>
    <w:rsid w:val="001A3746"/>
    <w:rsid w:val="001A37BF"/>
    <w:rsid w:val="001A37FF"/>
    <w:rsid w:val="001A384E"/>
    <w:rsid w:val="001A3868"/>
    <w:rsid w:val="001A387C"/>
    <w:rsid w:val="001A38D3"/>
    <w:rsid w:val="001A390E"/>
    <w:rsid w:val="001A3941"/>
    <w:rsid w:val="001A39F9"/>
    <w:rsid w:val="001A3AA7"/>
    <w:rsid w:val="001A3AE1"/>
    <w:rsid w:val="001A3B0E"/>
    <w:rsid w:val="001A3B5E"/>
    <w:rsid w:val="001A3B83"/>
    <w:rsid w:val="001A3BA6"/>
    <w:rsid w:val="001A3BAE"/>
    <w:rsid w:val="001A3BF7"/>
    <w:rsid w:val="001A3C29"/>
    <w:rsid w:val="001A3D1A"/>
    <w:rsid w:val="001A3D48"/>
    <w:rsid w:val="001A3D66"/>
    <w:rsid w:val="001A3DA0"/>
    <w:rsid w:val="001A3DA3"/>
    <w:rsid w:val="001A3DAA"/>
    <w:rsid w:val="001A3DAB"/>
    <w:rsid w:val="001A3E2E"/>
    <w:rsid w:val="001A3E7D"/>
    <w:rsid w:val="001A3F19"/>
    <w:rsid w:val="001A3F59"/>
    <w:rsid w:val="001A3FCC"/>
    <w:rsid w:val="001A3FDE"/>
    <w:rsid w:val="001A3FE7"/>
    <w:rsid w:val="001A402B"/>
    <w:rsid w:val="001A40D4"/>
    <w:rsid w:val="001A40F6"/>
    <w:rsid w:val="001A4143"/>
    <w:rsid w:val="001A418B"/>
    <w:rsid w:val="001A41CD"/>
    <w:rsid w:val="001A421F"/>
    <w:rsid w:val="001A4230"/>
    <w:rsid w:val="001A4232"/>
    <w:rsid w:val="001A4285"/>
    <w:rsid w:val="001A42C1"/>
    <w:rsid w:val="001A42D3"/>
    <w:rsid w:val="001A42DB"/>
    <w:rsid w:val="001A4391"/>
    <w:rsid w:val="001A43A3"/>
    <w:rsid w:val="001A43E9"/>
    <w:rsid w:val="001A43ED"/>
    <w:rsid w:val="001A43F0"/>
    <w:rsid w:val="001A4401"/>
    <w:rsid w:val="001A44A6"/>
    <w:rsid w:val="001A44B8"/>
    <w:rsid w:val="001A44C1"/>
    <w:rsid w:val="001A44DE"/>
    <w:rsid w:val="001A452A"/>
    <w:rsid w:val="001A4550"/>
    <w:rsid w:val="001A4559"/>
    <w:rsid w:val="001A45AF"/>
    <w:rsid w:val="001A45D3"/>
    <w:rsid w:val="001A4636"/>
    <w:rsid w:val="001A4677"/>
    <w:rsid w:val="001A467B"/>
    <w:rsid w:val="001A4705"/>
    <w:rsid w:val="001A474B"/>
    <w:rsid w:val="001A480D"/>
    <w:rsid w:val="001A4810"/>
    <w:rsid w:val="001A483B"/>
    <w:rsid w:val="001A490A"/>
    <w:rsid w:val="001A498D"/>
    <w:rsid w:val="001A4991"/>
    <w:rsid w:val="001A49BC"/>
    <w:rsid w:val="001A4A27"/>
    <w:rsid w:val="001A4A51"/>
    <w:rsid w:val="001A4A67"/>
    <w:rsid w:val="001A4A86"/>
    <w:rsid w:val="001A4AAA"/>
    <w:rsid w:val="001A4BA6"/>
    <w:rsid w:val="001A4C18"/>
    <w:rsid w:val="001A4D32"/>
    <w:rsid w:val="001A4D87"/>
    <w:rsid w:val="001A4DCB"/>
    <w:rsid w:val="001A4DCD"/>
    <w:rsid w:val="001A4DF8"/>
    <w:rsid w:val="001A4E09"/>
    <w:rsid w:val="001A4E80"/>
    <w:rsid w:val="001A4EE3"/>
    <w:rsid w:val="001A4EF2"/>
    <w:rsid w:val="001A4EF6"/>
    <w:rsid w:val="001A4FA7"/>
    <w:rsid w:val="001A4FBA"/>
    <w:rsid w:val="001A4FD9"/>
    <w:rsid w:val="001A4FED"/>
    <w:rsid w:val="001A4FEE"/>
    <w:rsid w:val="001A4FFE"/>
    <w:rsid w:val="001A501C"/>
    <w:rsid w:val="001A50A1"/>
    <w:rsid w:val="001A50CD"/>
    <w:rsid w:val="001A512C"/>
    <w:rsid w:val="001A5158"/>
    <w:rsid w:val="001A516F"/>
    <w:rsid w:val="001A5190"/>
    <w:rsid w:val="001A51E0"/>
    <w:rsid w:val="001A51F9"/>
    <w:rsid w:val="001A5268"/>
    <w:rsid w:val="001A52C3"/>
    <w:rsid w:val="001A52E2"/>
    <w:rsid w:val="001A5303"/>
    <w:rsid w:val="001A5367"/>
    <w:rsid w:val="001A5380"/>
    <w:rsid w:val="001A5471"/>
    <w:rsid w:val="001A5481"/>
    <w:rsid w:val="001A54C7"/>
    <w:rsid w:val="001A555E"/>
    <w:rsid w:val="001A561D"/>
    <w:rsid w:val="001A56BA"/>
    <w:rsid w:val="001A56CC"/>
    <w:rsid w:val="001A56DF"/>
    <w:rsid w:val="001A570C"/>
    <w:rsid w:val="001A570F"/>
    <w:rsid w:val="001A577A"/>
    <w:rsid w:val="001A57A9"/>
    <w:rsid w:val="001A57DE"/>
    <w:rsid w:val="001A581D"/>
    <w:rsid w:val="001A5832"/>
    <w:rsid w:val="001A5867"/>
    <w:rsid w:val="001A58E9"/>
    <w:rsid w:val="001A590E"/>
    <w:rsid w:val="001A5930"/>
    <w:rsid w:val="001A5993"/>
    <w:rsid w:val="001A59FA"/>
    <w:rsid w:val="001A5A0D"/>
    <w:rsid w:val="001A5A2D"/>
    <w:rsid w:val="001A5A73"/>
    <w:rsid w:val="001A5AB5"/>
    <w:rsid w:val="001A5ACF"/>
    <w:rsid w:val="001A5B9A"/>
    <w:rsid w:val="001A5BB8"/>
    <w:rsid w:val="001A5BFA"/>
    <w:rsid w:val="001A5C96"/>
    <w:rsid w:val="001A5CFA"/>
    <w:rsid w:val="001A5EA1"/>
    <w:rsid w:val="001A5ED4"/>
    <w:rsid w:val="001A5EF4"/>
    <w:rsid w:val="001A5F62"/>
    <w:rsid w:val="001A5F78"/>
    <w:rsid w:val="001A5FDD"/>
    <w:rsid w:val="001A5FE6"/>
    <w:rsid w:val="001A5FF9"/>
    <w:rsid w:val="001A6001"/>
    <w:rsid w:val="001A6034"/>
    <w:rsid w:val="001A605F"/>
    <w:rsid w:val="001A6071"/>
    <w:rsid w:val="001A60CB"/>
    <w:rsid w:val="001A61D3"/>
    <w:rsid w:val="001A6244"/>
    <w:rsid w:val="001A6253"/>
    <w:rsid w:val="001A6285"/>
    <w:rsid w:val="001A62A1"/>
    <w:rsid w:val="001A62EA"/>
    <w:rsid w:val="001A62F9"/>
    <w:rsid w:val="001A6301"/>
    <w:rsid w:val="001A6336"/>
    <w:rsid w:val="001A633E"/>
    <w:rsid w:val="001A634C"/>
    <w:rsid w:val="001A63C0"/>
    <w:rsid w:val="001A63EF"/>
    <w:rsid w:val="001A6431"/>
    <w:rsid w:val="001A6449"/>
    <w:rsid w:val="001A6464"/>
    <w:rsid w:val="001A64B6"/>
    <w:rsid w:val="001A650A"/>
    <w:rsid w:val="001A655F"/>
    <w:rsid w:val="001A6604"/>
    <w:rsid w:val="001A66C6"/>
    <w:rsid w:val="001A66CF"/>
    <w:rsid w:val="001A6701"/>
    <w:rsid w:val="001A6707"/>
    <w:rsid w:val="001A6708"/>
    <w:rsid w:val="001A670B"/>
    <w:rsid w:val="001A6720"/>
    <w:rsid w:val="001A6735"/>
    <w:rsid w:val="001A674E"/>
    <w:rsid w:val="001A680E"/>
    <w:rsid w:val="001A6859"/>
    <w:rsid w:val="001A6868"/>
    <w:rsid w:val="001A68BA"/>
    <w:rsid w:val="001A68F4"/>
    <w:rsid w:val="001A694F"/>
    <w:rsid w:val="001A6968"/>
    <w:rsid w:val="001A6A2C"/>
    <w:rsid w:val="001A6A45"/>
    <w:rsid w:val="001A6A5D"/>
    <w:rsid w:val="001A6A6C"/>
    <w:rsid w:val="001A6AEF"/>
    <w:rsid w:val="001A6B82"/>
    <w:rsid w:val="001A6BBC"/>
    <w:rsid w:val="001A6C14"/>
    <w:rsid w:val="001A6C5D"/>
    <w:rsid w:val="001A6C60"/>
    <w:rsid w:val="001A6C71"/>
    <w:rsid w:val="001A6CBC"/>
    <w:rsid w:val="001A6CDB"/>
    <w:rsid w:val="001A6CDC"/>
    <w:rsid w:val="001A6CE0"/>
    <w:rsid w:val="001A6D05"/>
    <w:rsid w:val="001A6DC8"/>
    <w:rsid w:val="001A6E2B"/>
    <w:rsid w:val="001A6E67"/>
    <w:rsid w:val="001A6E8E"/>
    <w:rsid w:val="001A6F6D"/>
    <w:rsid w:val="001A6FB0"/>
    <w:rsid w:val="001A7020"/>
    <w:rsid w:val="001A708D"/>
    <w:rsid w:val="001A7090"/>
    <w:rsid w:val="001A70D6"/>
    <w:rsid w:val="001A7112"/>
    <w:rsid w:val="001A717B"/>
    <w:rsid w:val="001A719B"/>
    <w:rsid w:val="001A7218"/>
    <w:rsid w:val="001A7237"/>
    <w:rsid w:val="001A72EF"/>
    <w:rsid w:val="001A72F4"/>
    <w:rsid w:val="001A731B"/>
    <w:rsid w:val="001A7327"/>
    <w:rsid w:val="001A7338"/>
    <w:rsid w:val="001A734E"/>
    <w:rsid w:val="001A73A9"/>
    <w:rsid w:val="001A73AF"/>
    <w:rsid w:val="001A73C3"/>
    <w:rsid w:val="001A745C"/>
    <w:rsid w:val="001A7469"/>
    <w:rsid w:val="001A74A2"/>
    <w:rsid w:val="001A74B0"/>
    <w:rsid w:val="001A74B2"/>
    <w:rsid w:val="001A7544"/>
    <w:rsid w:val="001A755D"/>
    <w:rsid w:val="001A7578"/>
    <w:rsid w:val="001A757C"/>
    <w:rsid w:val="001A7598"/>
    <w:rsid w:val="001A7638"/>
    <w:rsid w:val="001A763D"/>
    <w:rsid w:val="001A7660"/>
    <w:rsid w:val="001A7674"/>
    <w:rsid w:val="001A76BE"/>
    <w:rsid w:val="001A7740"/>
    <w:rsid w:val="001A777D"/>
    <w:rsid w:val="001A778E"/>
    <w:rsid w:val="001A77CE"/>
    <w:rsid w:val="001A77D3"/>
    <w:rsid w:val="001A77D8"/>
    <w:rsid w:val="001A77FA"/>
    <w:rsid w:val="001A7818"/>
    <w:rsid w:val="001A7819"/>
    <w:rsid w:val="001A7822"/>
    <w:rsid w:val="001A7836"/>
    <w:rsid w:val="001A7857"/>
    <w:rsid w:val="001A7888"/>
    <w:rsid w:val="001A788A"/>
    <w:rsid w:val="001A791E"/>
    <w:rsid w:val="001A7944"/>
    <w:rsid w:val="001A79B5"/>
    <w:rsid w:val="001A7A21"/>
    <w:rsid w:val="001A7A2F"/>
    <w:rsid w:val="001A7B59"/>
    <w:rsid w:val="001A7B75"/>
    <w:rsid w:val="001A7BFC"/>
    <w:rsid w:val="001A7C71"/>
    <w:rsid w:val="001A7CD3"/>
    <w:rsid w:val="001A7CD9"/>
    <w:rsid w:val="001A7CE2"/>
    <w:rsid w:val="001A7CEC"/>
    <w:rsid w:val="001A7D90"/>
    <w:rsid w:val="001A7DC8"/>
    <w:rsid w:val="001A7DDA"/>
    <w:rsid w:val="001A7DF8"/>
    <w:rsid w:val="001A7E35"/>
    <w:rsid w:val="001A7E70"/>
    <w:rsid w:val="001A7EB4"/>
    <w:rsid w:val="001A7EBC"/>
    <w:rsid w:val="001A7EF4"/>
    <w:rsid w:val="001A7F38"/>
    <w:rsid w:val="001A7FB2"/>
    <w:rsid w:val="001B0006"/>
    <w:rsid w:val="001B0037"/>
    <w:rsid w:val="001B0045"/>
    <w:rsid w:val="001B00DC"/>
    <w:rsid w:val="001B00EB"/>
    <w:rsid w:val="001B011C"/>
    <w:rsid w:val="001B013F"/>
    <w:rsid w:val="001B0155"/>
    <w:rsid w:val="001B0158"/>
    <w:rsid w:val="001B0165"/>
    <w:rsid w:val="001B016B"/>
    <w:rsid w:val="001B018A"/>
    <w:rsid w:val="001B01B5"/>
    <w:rsid w:val="001B01E8"/>
    <w:rsid w:val="001B01ED"/>
    <w:rsid w:val="001B020C"/>
    <w:rsid w:val="001B0227"/>
    <w:rsid w:val="001B0253"/>
    <w:rsid w:val="001B0272"/>
    <w:rsid w:val="001B0293"/>
    <w:rsid w:val="001B02B1"/>
    <w:rsid w:val="001B02CC"/>
    <w:rsid w:val="001B02DE"/>
    <w:rsid w:val="001B0387"/>
    <w:rsid w:val="001B03A4"/>
    <w:rsid w:val="001B03EE"/>
    <w:rsid w:val="001B045E"/>
    <w:rsid w:val="001B0462"/>
    <w:rsid w:val="001B0497"/>
    <w:rsid w:val="001B04AD"/>
    <w:rsid w:val="001B055B"/>
    <w:rsid w:val="001B05A6"/>
    <w:rsid w:val="001B0630"/>
    <w:rsid w:val="001B06F6"/>
    <w:rsid w:val="001B0710"/>
    <w:rsid w:val="001B0773"/>
    <w:rsid w:val="001B078A"/>
    <w:rsid w:val="001B0801"/>
    <w:rsid w:val="001B085E"/>
    <w:rsid w:val="001B0886"/>
    <w:rsid w:val="001B08AC"/>
    <w:rsid w:val="001B08C5"/>
    <w:rsid w:val="001B09EE"/>
    <w:rsid w:val="001B0A78"/>
    <w:rsid w:val="001B0AD1"/>
    <w:rsid w:val="001B0AFA"/>
    <w:rsid w:val="001B0BB2"/>
    <w:rsid w:val="001B0BE4"/>
    <w:rsid w:val="001B0C02"/>
    <w:rsid w:val="001B0C93"/>
    <w:rsid w:val="001B0D89"/>
    <w:rsid w:val="001B0E08"/>
    <w:rsid w:val="001B0E12"/>
    <w:rsid w:val="001B0E15"/>
    <w:rsid w:val="001B0E3F"/>
    <w:rsid w:val="001B0E8C"/>
    <w:rsid w:val="001B0EA8"/>
    <w:rsid w:val="001B0F13"/>
    <w:rsid w:val="001B11F5"/>
    <w:rsid w:val="001B1251"/>
    <w:rsid w:val="001B12A5"/>
    <w:rsid w:val="001B1341"/>
    <w:rsid w:val="001B1352"/>
    <w:rsid w:val="001B13A8"/>
    <w:rsid w:val="001B13CC"/>
    <w:rsid w:val="001B13D8"/>
    <w:rsid w:val="001B1410"/>
    <w:rsid w:val="001B1415"/>
    <w:rsid w:val="001B1467"/>
    <w:rsid w:val="001B1473"/>
    <w:rsid w:val="001B147C"/>
    <w:rsid w:val="001B14A5"/>
    <w:rsid w:val="001B14BC"/>
    <w:rsid w:val="001B14E6"/>
    <w:rsid w:val="001B14F9"/>
    <w:rsid w:val="001B159E"/>
    <w:rsid w:val="001B16A3"/>
    <w:rsid w:val="001B17C4"/>
    <w:rsid w:val="001B17CB"/>
    <w:rsid w:val="001B17FC"/>
    <w:rsid w:val="001B18F3"/>
    <w:rsid w:val="001B18F4"/>
    <w:rsid w:val="001B1A38"/>
    <w:rsid w:val="001B1AEA"/>
    <w:rsid w:val="001B1B06"/>
    <w:rsid w:val="001B1B4B"/>
    <w:rsid w:val="001B1B7B"/>
    <w:rsid w:val="001B1BFA"/>
    <w:rsid w:val="001B1C3E"/>
    <w:rsid w:val="001B1C8B"/>
    <w:rsid w:val="001B1CA3"/>
    <w:rsid w:val="001B1CB5"/>
    <w:rsid w:val="001B1CCA"/>
    <w:rsid w:val="001B1CEA"/>
    <w:rsid w:val="001B1D16"/>
    <w:rsid w:val="001B1D19"/>
    <w:rsid w:val="001B1D34"/>
    <w:rsid w:val="001B1D6A"/>
    <w:rsid w:val="001B1D6D"/>
    <w:rsid w:val="001B1E08"/>
    <w:rsid w:val="001B1E94"/>
    <w:rsid w:val="001B1F03"/>
    <w:rsid w:val="001B1F33"/>
    <w:rsid w:val="001B1F69"/>
    <w:rsid w:val="001B1F79"/>
    <w:rsid w:val="001B1FF6"/>
    <w:rsid w:val="001B2026"/>
    <w:rsid w:val="001B204B"/>
    <w:rsid w:val="001B2055"/>
    <w:rsid w:val="001B2074"/>
    <w:rsid w:val="001B20C1"/>
    <w:rsid w:val="001B2120"/>
    <w:rsid w:val="001B2141"/>
    <w:rsid w:val="001B2152"/>
    <w:rsid w:val="001B21B4"/>
    <w:rsid w:val="001B2220"/>
    <w:rsid w:val="001B223C"/>
    <w:rsid w:val="001B226E"/>
    <w:rsid w:val="001B22D5"/>
    <w:rsid w:val="001B2321"/>
    <w:rsid w:val="001B237A"/>
    <w:rsid w:val="001B23A0"/>
    <w:rsid w:val="001B23C4"/>
    <w:rsid w:val="001B24A3"/>
    <w:rsid w:val="001B24A6"/>
    <w:rsid w:val="001B24DC"/>
    <w:rsid w:val="001B24FC"/>
    <w:rsid w:val="001B2576"/>
    <w:rsid w:val="001B2605"/>
    <w:rsid w:val="001B2696"/>
    <w:rsid w:val="001B26AF"/>
    <w:rsid w:val="001B26C9"/>
    <w:rsid w:val="001B26EE"/>
    <w:rsid w:val="001B2738"/>
    <w:rsid w:val="001B274A"/>
    <w:rsid w:val="001B2759"/>
    <w:rsid w:val="001B281D"/>
    <w:rsid w:val="001B2920"/>
    <w:rsid w:val="001B29B4"/>
    <w:rsid w:val="001B29E2"/>
    <w:rsid w:val="001B2A8E"/>
    <w:rsid w:val="001B2AAD"/>
    <w:rsid w:val="001B2B1E"/>
    <w:rsid w:val="001B2B36"/>
    <w:rsid w:val="001B2B59"/>
    <w:rsid w:val="001B2B5B"/>
    <w:rsid w:val="001B2B9F"/>
    <w:rsid w:val="001B2BA4"/>
    <w:rsid w:val="001B2C1B"/>
    <w:rsid w:val="001B2C48"/>
    <w:rsid w:val="001B2CAE"/>
    <w:rsid w:val="001B2CD1"/>
    <w:rsid w:val="001B2D51"/>
    <w:rsid w:val="001B2DE4"/>
    <w:rsid w:val="001B2E2C"/>
    <w:rsid w:val="001B2EFE"/>
    <w:rsid w:val="001B2F0C"/>
    <w:rsid w:val="001B2F27"/>
    <w:rsid w:val="001B2F3A"/>
    <w:rsid w:val="001B2F3D"/>
    <w:rsid w:val="001B2F84"/>
    <w:rsid w:val="001B2FDF"/>
    <w:rsid w:val="001B3036"/>
    <w:rsid w:val="001B3084"/>
    <w:rsid w:val="001B3097"/>
    <w:rsid w:val="001B30C0"/>
    <w:rsid w:val="001B30D5"/>
    <w:rsid w:val="001B3136"/>
    <w:rsid w:val="001B3139"/>
    <w:rsid w:val="001B314E"/>
    <w:rsid w:val="001B31D6"/>
    <w:rsid w:val="001B3203"/>
    <w:rsid w:val="001B321C"/>
    <w:rsid w:val="001B3220"/>
    <w:rsid w:val="001B32DD"/>
    <w:rsid w:val="001B32FE"/>
    <w:rsid w:val="001B3317"/>
    <w:rsid w:val="001B3360"/>
    <w:rsid w:val="001B33A5"/>
    <w:rsid w:val="001B33A8"/>
    <w:rsid w:val="001B33DF"/>
    <w:rsid w:val="001B3401"/>
    <w:rsid w:val="001B34A8"/>
    <w:rsid w:val="001B34CD"/>
    <w:rsid w:val="001B34E7"/>
    <w:rsid w:val="001B34EE"/>
    <w:rsid w:val="001B3516"/>
    <w:rsid w:val="001B3533"/>
    <w:rsid w:val="001B35C5"/>
    <w:rsid w:val="001B3678"/>
    <w:rsid w:val="001B36AA"/>
    <w:rsid w:val="001B36B3"/>
    <w:rsid w:val="001B36EE"/>
    <w:rsid w:val="001B3801"/>
    <w:rsid w:val="001B3824"/>
    <w:rsid w:val="001B3843"/>
    <w:rsid w:val="001B3880"/>
    <w:rsid w:val="001B3942"/>
    <w:rsid w:val="001B3A41"/>
    <w:rsid w:val="001B3A45"/>
    <w:rsid w:val="001B3A69"/>
    <w:rsid w:val="001B3AA3"/>
    <w:rsid w:val="001B3AAE"/>
    <w:rsid w:val="001B3ACB"/>
    <w:rsid w:val="001B3ADE"/>
    <w:rsid w:val="001B3B6A"/>
    <w:rsid w:val="001B3B9F"/>
    <w:rsid w:val="001B3BE1"/>
    <w:rsid w:val="001B3C10"/>
    <w:rsid w:val="001B3CAA"/>
    <w:rsid w:val="001B3CC4"/>
    <w:rsid w:val="001B3CC7"/>
    <w:rsid w:val="001B3CE4"/>
    <w:rsid w:val="001B3D15"/>
    <w:rsid w:val="001B3DC9"/>
    <w:rsid w:val="001B3DD6"/>
    <w:rsid w:val="001B3DE7"/>
    <w:rsid w:val="001B3E4A"/>
    <w:rsid w:val="001B3E5B"/>
    <w:rsid w:val="001B3FC3"/>
    <w:rsid w:val="001B3FEF"/>
    <w:rsid w:val="001B4014"/>
    <w:rsid w:val="001B4022"/>
    <w:rsid w:val="001B403C"/>
    <w:rsid w:val="001B4074"/>
    <w:rsid w:val="001B407E"/>
    <w:rsid w:val="001B412C"/>
    <w:rsid w:val="001B4136"/>
    <w:rsid w:val="001B4145"/>
    <w:rsid w:val="001B4198"/>
    <w:rsid w:val="001B4247"/>
    <w:rsid w:val="001B4281"/>
    <w:rsid w:val="001B441B"/>
    <w:rsid w:val="001B44D2"/>
    <w:rsid w:val="001B4507"/>
    <w:rsid w:val="001B4551"/>
    <w:rsid w:val="001B4627"/>
    <w:rsid w:val="001B4703"/>
    <w:rsid w:val="001B471A"/>
    <w:rsid w:val="001B475D"/>
    <w:rsid w:val="001B475E"/>
    <w:rsid w:val="001B47B6"/>
    <w:rsid w:val="001B47C0"/>
    <w:rsid w:val="001B47F9"/>
    <w:rsid w:val="001B486D"/>
    <w:rsid w:val="001B4886"/>
    <w:rsid w:val="001B48E7"/>
    <w:rsid w:val="001B495E"/>
    <w:rsid w:val="001B4978"/>
    <w:rsid w:val="001B49D6"/>
    <w:rsid w:val="001B4A44"/>
    <w:rsid w:val="001B4A58"/>
    <w:rsid w:val="001B4A68"/>
    <w:rsid w:val="001B4A96"/>
    <w:rsid w:val="001B4AB2"/>
    <w:rsid w:val="001B4B32"/>
    <w:rsid w:val="001B4B49"/>
    <w:rsid w:val="001B4BB7"/>
    <w:rsid w:val="001B4C01"/>
    <w:rsid w:val="001B4C38"/>
    <w:rsid w:val="001B4C5A"/>
    <w:rsid w:val="001B4CDB"/>
    <w:rsid w:val="001B4CF8"/>
    <w:rsid w:val="001B4D24"/>
    <w:rsid w:val="001B4D34"/>
    <w:rsid w:val="001B4D40"/>
    <w:rsid w:val="001B4E4E"/>
    <w:rsid w:val="001B4E87"/>
    <w:rsid w:val="001B4E9A"/>
    <w:rsid w:val="001B4EE6"/>
    <w:rsid w:val="001B4EFC"/>
    <w:rsid w:val="001B4FD6"/>
    <w:rsid w:val="001B4FF9"/>
    <w:rsid w:val="001B5003"/>
    <w:rsid w:val="001B508C"/>
    <w:rsid w:val="001B50B9"/>
    <w:rsid w:val="001B50E3"/>
    <w:rsid w:val="001B516D"/>
    <w:rsid w:val="001B51AB"/>
    <w:rsid w:val="001B51F6"/>
    <w:rsid w:val="001B5309"/>
    <w:rsid w:val="001B53A2"/>
    <w:rsid w:val="001B53A6"/>
    <w:rsid w:val="001B53C6"/>
    <w:rsid w:val="001B5419"/>
    <w:rsid w:val="001B5431"/>
    <w:rsid w:val="001B544B"/>
    <w:rsid w:val="001B5467"/>
    <w:rsid w:val="001B546F"/>
    <w:rsid w:val="001B54DC"/>
    <w:rsid w:val="001B5503"/>
    <w:rsid w:val="001B5519"/>
    <w:rsid w:val="001B5597"/>
    <w:rsid w:val="001B5605"/>
    <w:rsid w:val="001B5654"/>
    <w:rsid w:val="001B5691"/>
    <w:rsid w:val="001B56AA"/>
    <w:rsid w:val="001B56AB"/>
    <w:rsid w:val="001B5755"/>
    <w:rsid w:val="001B57D2"/>
    <w:rsid w:val="001B5821"/>
    <w:rsid w:val="001B587E"/>
    <w:rsid w:val="001B5910"/>
    <w:rsid w:val="001B59AB"/>
    <w:rsid w:val="001B5A04"/>
    <w:rsid w:val="001B5A2C"/>
    <w:rsid w:val="001B5A40"/>
    <w:rsid w:val="001B5A4A"/>
    <w:rsid w:val="001B5A4D"/>
    <w:rsid w:val="001B5A7D"/>
    <w:rsid w:val="001B5B01"/>
    <w:rsid w:val="001B5BB8"/>
    <w:rsid w:val="001B5BE8"/>
    <w:rsid w:val="001B5E4F"/>
    <w:rsid w:val="001B5E6D"/>
    <w:rsid w:val="001B5E9F"/>
    <w:rsid w:val="001B5F66"/>
    <w:rsid w:val="001B5FB0"/>
    <w:rsid w:val="001B5FE7"/>
    <w:rsid w:val="001B5FEA"/>
    <w:rsid w:val="001B6070"/>
    <w:rsid w:val="001B6079"/>
    <w:rsid w:val="001B60BD"/>
    <w:rsid w:val="001B60E8"/>
    <w:rsid w:val="001B61DA"/>
    <w:rsid w:val="001B61E8"/>
    <w:rsid w:val="001B61F1"/>
    <w:rsid w:val="001B61F3"/>
    <w:rsid w:val="001B628B"/>
    <w:rsid w:val="001B629D"/>
    <w:rsid w:val="001B62B1"/>
    <w:rsid w:val="001B6337"/>
    <w:rsid w:val="001B6416"/>
    <w:rsid w:val="001B642E"/>
    <w:rsid w:val="001B6440"/>
    <w:rsid w:val="001B645F"/>
    <w:rsid w:val="001B6498"/>
    <w:rsid w:val="001B64CB"/>
    <w:rsid w:val="001B64D2"/>
    <w:rsid w:val="001B64DC"/>
    <w:rsid w:val="001B64EE"/>
    <w:rsid w:val="001B6519"/>
    <w:rsid w:val="001B6574"/>
    <w:rsid w:val="001B657C"/>
    <w:rsid w:val="001B658C"/>
    <w:rsid w:val="001B65D2"/>
    <w:rsid w:val="001B66B2"/>
    <w:rsid w:val="001B66BA"/>
    <w:rsid w:val="001B66DB"/>
    <w:rsid w:val="001B66EF"/>
    <w:rsid w:val="001B674B"/>
    <w:rsid w:val="001B676D"/>
    <w:rsid w:val="001B677C"/>
    <w:rsid w:val="001B677E"/>
    <w:rsid w:val="001B6821"/>
    <w:rsid w:val="001B6871"/>
    <w:rsid w:val="001B68C7"/>
    <w:rsid w:val="001B68E1"/>
    <w:rsid w:val="001B6975"/>
    <w:rsid w:val="001B697A"/>
    <w:rsid w:val="001B69DC"/>
    <w:rsid w:val="001B69E6"/>
    <w:rsid w:val="001B6A46"/>
    <w:rsid w:val="001B6A90"/>
    <w:rsid w:val="001B6AD0"/>
    <w:rsid w:val="001B6B01"/>
    <w:rsid w:val="001B6B0F"/>
    <w:rsid w:val="001B6B57"/>
    <w:rsid w:val="001B6B72"/>
    <w:rsid w:val="001B6BF3"/>
    <w:rsid w:val="001B6C02"/>
    <w:rsid w:val="001B6C1E"/>
    <w:rsid w:val="001B6C21"/>
    <w:rsid w:val="001B6C35"/>
    <w:rsid w:val="001B6CD5"/>
    <w:rsid w:val="001B6D25"/>
    <w:rsid w:val="001B6D53"/>
    <w:rsid w:val="001B6DA0"/>
    <w:rsid w:val="001B6F11"/>
    <w:rsid w:val="001B6F3A"/>
    <w:rsid w:val="001B6F80"/>
    <w:rsid w:val="001B6F90"/>
    <w:rsid w:val="001B6FF8"/>
    <w:rsid w:val="001B7009"/>
    <w:rsid w:val="001B7012"/>
    <w:rsid w:val="001B7016"/>
    <w:rsid w:val="001B7095"/>
    <w:rsid w:val="001B709F"/>
    <w:rsid w:val="001B70B1"/>
    <w:rsid w:val="001B70C9"/>
    <w:rsid w:val="001B7101"/>
    <w:rsid w:val="001B7102"/>
    <w:rsid w:val="001B713C"/>
    <w:rsid w:val="001B71A4"/>
    <w:rsid w:val="001B722B"/>
    <w:rsid w:val="001B72D4"/>
    <w:rsid w:val="001B72D6"/>
    <w:rsid w:val="001B72E6"/>
    <w:rsid w:val="001B7301"/>
    <w:rsid w:val="001B7351"/>
    <w:rsid w:val="001B7352"/>
    <w:rsid w:val="001B73A7"/>
    <w:rsid w:val="001B74A2"/>
    <w:rsid w:val="001B7567"/>
    <w:rsid w:val="001B757F"/>
    <w:rsid w:val="001B769C"/>
    <w:rsid w:val="001B76B0"/>
    <w:rsid w:val="001B76CE"/>
    <w:rsid w:val="001B76D2"/>
    <w:rsid w:val="001B76D9"/>
    <w:rsid w:val="001B76F9"/>
    <w:rsid w:val="001B7705"/>
    <w:rsid w:val="001B7711"/>
    <w:rsid w:val="001B7714"/>
    <w:rsid w:val="001B773C"/>
    <w:rsid w:val="001B776A"/>
    <w:rsid w:val="001B7791"/>
    <w:rsid w:val="001B77CE"/>
    <w:rsid w:val="001B77ED"/>
    <w:rsid w:val="001B7813"/>
    <w:rsid w:val="001B7851"/>
    <w:rsid w:val="001B78B8"/>
    <w:rsid w:val="001B78E6"/>
    <w:rsid w:val="001B7928"/>
    <w:rsid w:val="001B7947"/>
    <w:rsid w:val="001B79B6"/>
    <w:rsid w:val="001B79F4"/>
    <w:rsid w:val="001B7A14"/>
    <w:rsid w:val="001B7A74"/>
    <w:rsid w:val="001B7A77"/>
    <w:rsid w:val="001B7AFA"/>
    <w:rsid w:val="001B7B5E"/>
    <w:rsid w:val="001B7B8A"/>
    <w:rsid w:val="001B7BEB"/>
    <w:rsid w:val="001B7C09"/>
    <w:rsid w:val="001B7CB0"/>
    <w:rsid w:val="001B7CB3"/>
    <w:rsid w:val="001B7D21"/>
    <w:rsid w:val="001B7D3F"/>
    <w:rsid w:val="001B7E88"/>
    <w:rsid w:val="001B7EED"/>
    <w:rsid w:val="001B7EF9"/>
    <w:rsid w:val="001B7F17"/>
    <w:rsid w:val="001B7FA6"/>
    <w:rsid w:val="001B7FD8"/>
    <w:rsid w:val="001C0011"/>
    <w:rsid w:val="001C0083"/>
    <w:rsid w:val="001C00C7"/>
    <w:rsid w:val="001C00D9"/>
    <w:rsid w:val="001C00EA"/>
    <w:rsid w:val="001C0104"/>
    <w:rsid w:val="001C010F"/>
    <w:rsid w:val="001C011D"/>
    <w:rsid w:val="001C0201"/>
    <w:rsid w:val="001C0225"/>
    <w:rsid w:val="001C0240"/>
    <w:rsid w:val="001C024B"/>
    <w:rsid w:val="001C0297"/>
    <w:rsid w:val="001C02BA"/>
    <w:rsid w:val="001C02ED"/>
    <w:rsid w:val="001C0341"/>
    <w:rsid w:val="001C0352"/>
    <w:rsid w:val="001C03AC"/>
    <w:rsid w:val="001C046F"/>
    <w:rsid w:val="001C04C2"/>
    <w:rsid w:val="001C04CA"/>
    <w:rsid w:val="001C0523"/>
    <w:rsid w:val="001C0550"/>
    <w:rsid w:val="001C0623"/>
    <w:rsid w:val="001C069E"/>
    <w:rsid w:val="001C06BE"/>
    <w:rsid w:val="001C0710"/>
    <w:rsid w:val="001C0722"/>
    <w:rsid w:val="001C079A"/>
    <w:rsid w:val="001C079F"/>
    <w:rsid w:val="001C07AE"/>
    <w:rsid w:val="001C07AF"/>
    <w:rsid w:val="001C0849"/>
    <w:rsid w:val="001C08D4"/>
    <w:rsid w:val="001C08FB"/>
    <w:rsid w:val="001C0926"/>
    <w:rsid w:val="001C09A3"/>
    <w:rsid w:val="001C09C3"/>
    <w:rsid w:val="001C09D1"/>
    <w:rsid w:val="001C09E2"/>
    <w:rsid w:val="001C09FA"/>
    <w:rsid w:val="001C09FC"/>
    <w:rsid w:val="001C0A38"/>
    <w:rsid w:val="001C0A42"/>
    <w:rsid w:val="001C0A87"/>
    <w:rsid w:val="001C0A9B"/>
    <w:rsid w:val="001C0A9D"/>
    <w:rsid w:val="001C0ADA"/>
    <w:rsid w:val="001C0AE2"/>
    <w:rsid w:val="001C0B0A"/>
    <w:rsid w:val="001C0B1D"/>
    <w:rsid w:val="001C0BA8"/>
    <w:rsid w:val="001C0BF2"/>
    <w:rsid w:val="001C0C1A"/>
    <w:rsid w:val="001C0C33"/>
    <w:rsid w:val="001C0C34"/>
    <w:rsid w:val="001C0C3A"/>
    <w:rsid w:val="001C0C3E"/>
    <w:rsid w:val="001C0C6B"/>
    <w:rsid w:val="001C0C82"/>
    <w:rsid w:val="001C0C88"/>
    <w:rsid w:val="001C0D96"/>
    <w:rsid w:val="001C0DAF"/>
    <w:rsid w:val="001C0DCE"/>
    <w:rsid w:val="001C0E5F"/>
    <w:rsid w:val="001C0E65"/>
    <w:rsid w:val="001C0EB6"/>
    <w:rsid w:val="001C0EBE"/>
    <w:rsid w:val="001C0EC1"/>
    <w:rsid w:val="001C0ED5"/>
    <w:rsid w:val="001C0F11"/>
    <w:rsid w:val="001C0F1D"/>
    <w:rsid w:val="001C0F28"/>
    <w:rsid w:val="001C0FB2"/>
    <w:rsid w:val="001C101E"/>
    <w:rsid w:val="001C1024"/>
    <w:rsid w:val="001C1037"/>
    <w:rsid w:val="001C105B"/>
    <w:rsid w:val="001C108B"/>
    <w:rsid w:val="001C10D2"/>
    <w:rsid w:val="001C10FD"/>
    <w:rsid w:val="001C112B"/>
    <w:rsid w:val="001C1164"/>
    <w:rsid w:val="001C11A3"/>
    <w:rsid w:val="001C11A8"/>
    <w:rsid w:val="001C11D6"/>
    <w:rsid w:val="001C11FE"/>
    <w:rsid w:val="001C120E"/>
    <w:rsid w:val="001C1212"/>
    <w:rsid w:val="001C121B"/>
    <w:rsid w:val="001C1296"/>
    <w:rsid w:val="001C12B0"/>
    <w:rsid w:val="001C12D8"/>
    <w:rsid w:val="001C1383"/>
    <w:rsid w:val="001C1384"/>
    <w:rsid w:val="001C139E"/>
    <w:rsid w:val="001C1411"/>
    <w:rsid w:val="001C1445"/>
    <w:rsid w:val="001C1452"/>
    <w:rsid w:val="001C146E"/>
    <w:rsid w:val="001C1486"/>
    <w:rsid w:val="001C14DB"/>
    <w:rsid w:val="001C154B"/>
    <w:rsid w:val="001C1597"/>
    <w:rsid w:val="001C15A5"/>
    <w:rsid w:val="001C162E"/>
    <w:rsid w:val="001C164B"/>
    <w:rsid w:val="001C1692"/>
    <w:rsid w:val="001C169C"/>
    <w:rsid w:val="001C1703"/>
    <w:rsid w:val="001C1706"/>
    <w:rsid w:val="001C1807"/>
    <w:rsid w:val="001C18D2"/>
    <w:rsid w:val="001C1913"/>
    <w:rsid w:val="001C1965"/>
    <w:rsid w:val="001C19AD"/>
    <w:rsid w:val="001C19E4"/>
    <w:rsid w:val="001C1A0E"/>
    <w:rsid w:val="001C1A17"/>
    <w:rsid w:val="001C1A20"/>
    <w:rsid w:val="001C1A71"/>
    <w:rsid w:val="001C1A72"/>
    <w:rsid w:val="001C1AB4"/>
    <w:rsid w:val="001C1AFF"/>
    <w:rsid w:val="001C1C70"/>
    <w:rsid w:val="001C1C80"/>
    <w:rsid w:val="001C1D23"/>
    <w:rsid w:val="001C1D28"/>
    <w:rsid w:val="001C1D36"/>
    <w:rsid w:val="001C1DF8"/>
    <w:rsid w:val="001C1E3A"/>
    <w:rsid w:val="001C1E5D"/>
    <w:rsid w:val="001C1E85"/>
    <w:rsid w:val="001C1E98"/>
    <w:rsid w:val="001C1EAC"/>
    <w:rsid w:val="001C1EB3"/>
    <w:rsid w:val="001C1EB4"/>
    <w:rsid w:val="001C1ED7"/>
    <w:rsid w:val="001C1EE7"/>
    <w:rsid w:val="001C1F08"/>
    <w:rsid w:val="001C1F4F"/>
    <w:rsid w:val="001C1F53"/>
    <w:rsid w:val="001C1F93"/>
    <w:rsid w:val="001C2081"/>
    <w:rsid w:val="001C20B7"/>
    <w:rsid w:val="001C20E2"/>
    <w:rsid w:val="001C20E8"/>
    <w:rsid w:val="001C20F9"/>
    <w:rsid w:val="001C2171"/>
    <w:rsid w:val="001C2223"/>
    <w:rsid w:val="001C224F"/>
    <w:rsid w:val="001C226C"/>
    <w:rsid w:val="001C22B5"/>
    <w:rsid w:val="001C22D2"/>
    <w:rsid w:val="001C22D3"/>
    <w:rsid w:val="001C22F7"/>
    <w:rsid w:val="001C2309"/>
    <w:rsid w:val="001C2362"/>
    <w:rsid w:val="001C23AA"/>
    <w:rsid w:val="001C23D8"/>
    <w:rsid w:val="001C2416"/>
    <w:rsid w:val="001C241E"/>
    <w:rsid w:val="001C244D"/>
    <w:rsid w:val="001C244F"/>
    <w:rsid w:val="001C24C6"/>
    <w:rsid w:val="001C24D1"/>
    <w:rsid w:val="001C24EE"/>
    <w:rsid w:val="001C2548"/>
    <w:rsid w:val="001C258A"/>
    <w:rsid w:val="001C25D5"/>
    <w:rsid w:val="001C25DC"/>
    <w:rsid w:val="001C25EE"/>
    <w:rsid w:val="001C261D"/>
    <w:rsid w:val="001C2638"/>
    <w:rsid w:val="001C2640"/>
    <w:rsid w:val="001C2683"/>
    <w:rsid w:val="001C269D"/>
    <w:rsid w:val="001C26D3"/>
    <w:rsid w:val="001C27F1"/>
    <w:rsid w:val="001C287E"/>
    <w:rsid w:val="001C2886"/>
    <w:rsid w:val="001C290D"/>
    <w:rsid w:val="001C2981"/>
    <w:rsid w:val="001C2985"/>
    <w:rsid w:val="001C299D"/>
    <w:rsid w:val="001C29AD"/>
    <w:rsid w:val="001C29C2"/>
    <w:rsid w:val="001C29F7"/>
    <w:rsid w:val="001C2AAD"/>
    <w:rsid w:val="001C2ABC"/>
    <w:rsid w:val="001C2ACE"/>
    <w:rsid w:val="001C2ADB"/>
    <w:rsid w:val="001C2AF0"/>
    <w:rsid w:val="001C2B03"/>
    <w:rsid w:val="001C2B1A"/>
    <w:rsid w:val="001C2B24"/>
    <w:rsid w:val="001C2B6F"/>
    <w:rsid w:val="001C2BB0"/>
    <w:rsid w:val="001C2BB2"/>
    <w:rsid w:val="001C2BBD"/>
    <w:rsid w:val="001C2C12"/>
    <w:rsid w:val="001C2C24"/>
    <w:rsid w:val="001C2C97"/>
    <w:rsid w:val="001C2CB9"/>
    <w:rsid w:val="001C2D85"/>
    <w:rsid w:val="001C2E48"/>
    <w:rsid w:val="001C2E84"/>
    <w:rsid w:val="001C2E9D"/>
    <w:rsid w:val="001C2ECB"/>
    <w:rsid w:val="001C2F08"/>
    <w:rsid w:val="001C2F59"/>
    <w:rsid w:val="001C2F5B"/>
    <w:rsid w:val="001C2F6C"/>
    <w:rsid w:val="001C3032"/>
    <w:rsid w:val="001C30AA"/>
    <w:rsid w:val="001C30AB"/>
    <w:rsid w:val="001C30B3"/>
    <w:rsid w:val="001C313F"/>
    <w:rsid w:val="001C316C"/>
    <w:rsid w:val="001C3178"/>
    <w:rsid w:val="001C31E1"/>
    <w:rsid w:val="001C3225"/>
    <w:rsid w:val="001C324A"/>
    <w:rsid w:val="001C3251"/>
    <w:rsid w:val="001C326C"/>
    <w:rsid w:val="001C3336"/>
    <w:rsid w:val="001C3345"/>
    <w:rsid w:val="001C3351"/>
    <w:rsid w:val="001C3394"/>
    <w:rsid w:val="001C33F5"/>
    <w:rsid w:val="001C340F"/>
    <w:rsid w:val="001C342A"/>
    <w:rsid w:val="001C3469"/>
    <w:rsid w:val="001C3496"/>
    <w:rsid w:val="001C34B2"/>
    <w:rsid w:val="001C34CE"/>
    <w:rsid w:val="001C3553"/>
    <w:rsid w:val="001C358D"/>
    <w:rsid w:val="001C35A4"/>
    <w:rsid w:val="001C35BE"/>
    <w:rsid w:val="001C3606"/>
    <w:rsid w:val="001C368B"/>
    <w:rsid w:val="001C36E8"/>
    <w:rsid w:val="001C3765"/>
    <w:rsid w:val="001C376C"/>
    <w:rsid w:val="001C37C2"/>
    <w:rsid w:val="001C380D"/>
    <w:rsid w:val="001C38DA"/>
    <w:rsid w:val="001C38F4"/>
    <w:rsid w:val="001C391E"/>
    <w:rsid w:val="001C3939"/>
    <w:rsid w:val="001C3965"/>
    <w:rsid w:val="001C396A"/>
    <w:rsid w:val="001C397E"/>
    <w:rsid w:val="001C3A1B"/>
    <w:rsid w:val="001C3A52"/>
    <w:rsid w:val="001C3ADE"/>
    <w:rsid w:val="001C3B01"/>
    <w:rsid w:val="001C3B9E"/>
    <w:rsid w:val="001C3C15"/>
    <w:rsid w:val="001C3C52"/>
    <w:rsid w:val="001C3C98"/>
    <w:rsid w:val="001C3CA7"/>
    <w:rsid w:val="001C3CC6"/>
    <w:rsid w:val="001C3CEC"/>
    <w:rsid w:val="001C3D50"/>
    <w:rsid w:val="001C3D7E"/>
    <w:rsid w:val="001C3D9C"/>
    <w:rsid w:val="001C3DA3"/>
    <w:rsid w:val="001C3DBB"/>
    <w:rsid w:val="001C3DD5"/>
    <w:rsid w:val="001C3DFF"/>
    <w:rsid w:val="001C3E2D"/>
    <w:rsid w:val="001C3E79"/>
    <w:rsid w:val="001C3EFD"/>
    <w:rsid w:val="001C3FFB"/>
    <w:rsid w:val="001C400F"/>
    <w:rsid w:val="001C4062"/>
    <w:rsid w:val="001C40A0"/>
    <w:rsid w:val="001C4100"/>
    <w:rsid w:val="001C4167"/>
    <w:rsid w:val="001C4182"/>
    <w:rsid w:val="001C4187"/>
    <w:rsid w:val="001C41A3"/>
    <w:rsid w:val="001C41D0"/>
    <w:rsid w:val="001C420E"/>
    <w:rsid w:val="001C4255"/>
    <w:rsid w:val="001C4277"/>
    <w:rsid w:val="001C428D"/>
    <w:rsid w:val="001C42A5"/>
    <w:rsid w:val="001C42AC"/>
    <w:rsid w:val="001C42AF"/>
    <w:rsid w:val="001C4334"/>
    <w:rsid w:val="001C433C"/>
    <w:rsid w:val="001C4388"/>
    <w:rsid w:val="001C439C"/>
    <w:rsid w:val="001C43A6"/>
    <w:rsid w:val="001C43C0"/>
    <w:rsid w:val="001C4417"/>
    <w:rsid w:val="001C4425"/>
    <w:rsid w:val="001C44BA"/>
    <w:rsid w:val="001C44C8"/>
    <w:rsid w:val="001C44F9"/>
    <w:rsid w:val="001C44FB"/>
    <w:rsid w:val="001C4521"/>
    <w:rsid w:val="001C4578"/>
    <w:rsid w:val="001C4589"/>
    <w:rsid w:val="001C459D"/>
    <w:rsid w:val="001C45CE"/>
    <w:rsid w:val="001C45DE"/>
    <w:rsid w:val="001C45FF"/>
    <w:rsid w:val="001C460B"/>
    <w:rsid w:val="001C461C"/>
    <w:rsid w:val="001C46A7"/>
    <w:rsid w:val="001C46AA"/>
    <w:rsid w:val="001C46CB"/>
    <w:rsid w:val="001C4731"/>
    <w:rsid w:val="001C4742"/>
    <w:rsid w:val="001C4771"/>
    <w:rsid w:val="001C4776"/>
    <w:rsid w:val="001C4837"/>
    <w:rsid w:val="001C48B6"/>
    <w:rsid w:val="001C48BD"/>
    <w:rsid w:val="001C48CF"/>
    <w:rsid w:val="001C48F1"/>
    <w:rsid w:val="001C49D4"/>
    <w:rsid w:val="001C4A14"/>
    <w:rsid w:val="001C4A52"/>
    <w:rsid w:val="001C4A6C"/>
    <w:rsid w:val="001C4A71"/>
    <w:rsid w:val="001C4A83"/>
    <w:rsid w:val="001C4ADA"/>
    <w:rsid w:val="001C4AE7"/>
    <w:rsid w:val="001C4AF2"/>
    <w:rsid w:val="001C4B17"/>
    <w:rsid w:val="001C4B20"/>
    <w:rsid w:val="001C4B21"/>
    <w:rsid w:val="001C4B86"/>
    <w:rsid w:val="001C4B99"/>
    <w:rsid w:val="001C4BB6"/>
    <w:rsid w:val="001C4C5A"/>
    <w:rsid w:val="001C4C6C"/>
    <w:rsid w:val="001C4CB0"/>
    <w:rsid w:val="001C4CD2"/>
    <w:rsid w:val="001C4D3B"/>
    <w:rsid w:val="001C4D90"/>
    <w:rsid w:val="001C4DE9"/>
    <w:rsid w:val="001C4E88"/>
    <w:rsid w:val="001C4E8C"/>
    <w:rsid w:val="001C4EAC"/>
    <w:rsid w:val="001C4F12"/>
    <w:rsid w:val="001C507F"/>
    <w:rsid w:val="001C5093"/>
    <w:rsid w:val="001C50BA"/>
    <w:rsid w:val="001C50BF"/>
    <w:rsid w:val="001C50D5"/>
    <w:rsid w:val="001C5102"/>
    <w:rsid w:val="001C5144"/>
    <w:rsid w:val="001C515D"/>
    <w:rsid w:val="001C51CB"/>
    <w:rsid w:val="001C5229"/>
    <w:rsid w:val="001C5268"/>
    <w:rsid w:val="001C5294"/>
    <w:rsid w:val="001C52C6"/>
    <w:rsid w:val="001C52D8"/>
    <w:rsid w:val="001C5306"/>
    <w:rsid w:val="001C5311"/>
    <w:rsid w:val="001C533F"/>
    <w:rsid w:val="001C53B1"/>
    <w:rsid w:val="001C5401"/>
    <w:rsid w:val="001C5467"/>
    <w:rsid w:val="001C5475"/>
    <w:rsid w:val="001C5487"/>
    <w:rsid w:val="001C54B8"/>
    <w:rsid w:val="001C5521"/>
    <w:rsid w:val="001C553C"/>
    <w:rsid w:val="001C5571"/>
    <w:rsid w:val="001C557A"/>
    <w:rsid w:val="001C557B"/>
    <w:rsid w:val="001C55F6"/>
    <w:rsid w:val="001C5622"/>
    <w:rsid w:val="001C56FC"/>
    <w:rsid w:val="001C5755"/>
    <w:rsid w:val="001C5758"/>
    <w:rsid w:val="001C575B"/>
    <w:rsid w:val="001C579C"/>
    <w:rsid w:val="001C585B"/>
    <w:rsid w:val="001C5866"/>
    <w:rsid w:val="001C58C5"/>
    <w:rsid w:val="001C58FA"/>
    <w:rsid w:val="001C5925"/>
    <w:rsid w:val="001C5976"/>
    <w:rsid w:val="001C59CA"/>
    <w:rsid w:val="001C5A07"/>
    <w:rsid w:val="001C5A14"/>
    <w:rsid w:val="001C5A2E"/>
    <w:rsid w:val="001C5A55"/>
    <w:rsid w:val="001C5ABD"/>
    <w:rsid w:val="001C5AF7"/>
    <w:rsid w:val="001C5B44"/>
    <w:rsid w:val="001C5B5F"/>
    <w:rsid w:val="001C5B99"/>
    <w:rsid w:val="001C5C33"/>
    <w:rsid w:val="001C5C83"/>
    <w:rsid w:val="001C5D45"/>
    <w:rsid w:val="001C5D47"/>
    <w:rsid w:val="001C5D56"/>
    <w:rsid w:val="001C5DE8"/>
    <w:rsid w:val="001C5E0D"/>
    <w:rsid w:val="001C5E42"/>
    <w:rsid w:val="001C5E50"/>
    <w:rsid w:val="001C5F53"/>
    <w:rsid w:val="001C5F5E"/>
    <w:rsid w:val="001C601D"/>
    <w:rsid w:val="001C60A9"/>
    <w:rsid w:val="001C60C2"/>
    <w:rsid w:val="001C60D5"/>
    <w:rsid w:val="001C60F3"/>
    <w:rsid w:val="001C6153"/>
    <w:rsid w:val="001C6183"/>
    <w:rsid w:val="001C61F0"/>
    <w:rsid w:val="001C621D"/>
    <w:rsid w:val="001C6268"/>
    <w:rsid w:val="001C627A"/>
    <w:rsid w:val="001C62BD"/>
    <w:rsid w:val="001C638A"/>
    <w:rsid w:val="001C63BD"/>
    <w:rsid w:val="001C63E7"/>
    <w:rsid w:val="001C6404"/>
    <w:rsid w:val="001C6447"/>
    <w:rsid w:val="001C644D"/>
    <w:rsid w:val="001C64A8"/>
    <w:rsid w:val="001C654C"/>
    <w:rsid w:val="001C65B0"/>
    <w:rsid w:val="001C65F9"/>
    <w:rsid w:val="001C65FF"/>
    <w:rsid w:val="001C660B"/>
    <w:rsid w:val="001C664D"/>
    <w:rsid w:val="001C66D0"/>
    <w:rsid w:val="001C6709"/>
    <w:rsid w:val="001C6762"/>
    <w:rsid w:val="001C6786"/>
    <w:rsid w:val="001C67BF"/>
    <w:rsid w:val="001C6849"/>
    <w:rsid w:val="001C6868"/>
    <w:rsid w:val="001C687A"/>
    <w:rsid w:val="001C688A"/>
    <w:rsid w:val="001C68B3"/>
    <w:rsid w:val="001C68B8"/>
    <w:rsid w:val="001C68FB"/>
    <w:rsid w:val="001C6916"/>
    <w:rsid w:val="001C697B"/>
    <w:rsid w:val="001C6983"/>
    <w:rsid w:val="001C6A30"/>
    <w:rsid w:val="001C6A8A"/>
    <w:rsid w:val="001C6AB5"/>
    <w:rsid w:val="001C6AD1"/>
    <w:rsid w:val="001C6AE9"/>
    <w:rsid w:val="001C6B37"/>
    <w:rsid w:val="001C6B78"/>
    <w:rsid w:val="001C6B7E"/>
    <w:rsid w:val="001C6C02"/>
    <w:rsid w:val="001C6C78"/>
    <w:rsid w:val="001C6D1C"/>
    <w:rsid w:val="001C6DD0"/>
    <w:rsid w:val="001C6DE1"/>
    <w:rsid w:val="001C6E10"/>
    <w:rsid w:val="001C6E16"/>
    <w:rsid w:val="001C6E43"/>
    <w:rsid w:val="001C6EBC"/>
    <w:rsid w:val="001C6EDD"/>
    <w:rsid w:val="001C6F72"/>
    <w:rsid w:val="001C701F"/>
    <w:rsid w:val="001C7056"/>
    <w:rsid w:val="001C70AD"/>
    <w:rsid w:val="001C70CB"/>
    <w:rsid w:val="001C70D0"/>
    <w:rsid w:val="001C716C"/>
    <w:rsid w:val="001C71B7"/>
    <w:rsid w:val="001C71CB"/>
    <w:rsid w:val="001C7211"/>
    <w:rsid w:val="001C7229"/>
    <w:rsid w:val="001C72AE"/>
    <w:rsid w:val="001C72C0"/>
    <w:rsid w:val="001C7340"/>
    <w:rsid w:val="001C737A"/>
    <w:rsid w:val="001C73DA"/>
    <w:rsid w:val="001C740B"/>
    <w:rsid w:val="001C7410"/>
    <w:rsid w:val="001C7451"/>
    <w:rsid w:val="001C7493"/>
    <w:rsid w:val="001C74ED"/>
    <w:rsid w:val="001C75A0"/>
    <w:rsid w:val="001C75A6"/>
    <w:rsid w:val="001C7612"/>
    <w:rsid w:val="001C764D"/>
    <w:rsid w:val="001C7658"/>
    <w:rsid w:val="001C7676"/>
    <w:rsid w:val="001C7699"/>
    <w:rsid w:val="001C769D"/>
    <w:rsid w:val="001C76DC"/>
    <w:rsid w:val="001C7703"/>
    <w:rsid w:val="001C7747"/>
    <w:rsid w:val="001C7762"/>
    <w:rsid w:val="001C77DA"/>
    <w:rsid w:val="001C78D9"/>
    <w:rsid w:val="001C79E6"/>
    <w:rsid w:val="001C7A25"/>
    <w:rsid w:val="001C7A55"/>
    <w:rsid w:val="001C7AF4"/>
    <w:rsid w:val="001C7AFA"/>
    <w:rsid w:val="001C7B68"/>
    <w:rsid w:val="001C7C30"/>
    <w:rsid w:val="001C7C59"/>
    <w:rsid w:val="001C7CE9"/>
    <w:rsid w:val="001C7D10"/>
    <w:rsid w:val="001C7D57"/>
    <w:rsid w:val="001C7D7C"/>
    <w:rsid w:val="001C7DB8"/>
    <w:rsid w:val="001C7E19"/>
    <w:rsid w:val="001C7E1C"/>
    <w:rsid w:val="001C7E84"/>
    <w:rsid w:val="001C7ECE"/>
    <w:rsid w:val="001C7F2F"/>
    <w:rsid w:val="001C7F6A"/>
    <w:rsid w:val="001C7FA1"/>
    <w:rsid w:val="001D0046"/>
    <w:rsid w:val="001D004F"/>
    <w:rsid w:val="001D00E4"/>
    <w:rsid w:val="001D0136"/>
    <w:rsid w:val="001D013E"/>
    <w:rsid w:val="001D0171"/>
    <w:rsid w:val="001D01AF"/>
    <w:rsid w:val="001D01FA"/>
    <w:rsid w:val="001D021C"/>
    <w:rsid w:val="001D0243"/>
    <w:rsid w:val="001D0252"/>
    <w:rsid w:val="001D0263"/>
    <w:rsid w:val="001D0296"/>
    <w:rsid w:val="001D02A2"/>
    <w:rsid w:val="001D02B2"/>
    <w:rsid w:val="001D02CB"/>
    <w:rsid w:val="001D02E4"/>
    <w:rsid w:val="001D02EA"/>
    <w:rsid w:val="001D02F6"/>
    <w:rsid w:val="001D030E"/>
    <w:rsid w:val="001D0314"/>
    <w:rsid w:val="001D03D7"/>
    <w:rsid w:val="001D0465"/>
    <w:rsid w:val="001D0491"/>
    <w:rsid w:val="001D04B9"/>
    <w:rsid w:val="001D04D3"/>
    <w:rsid w:val="001D053F"/>
    <w:rsid w:val="001D057D"/>
    <w:rsid w:val="001D05AA"/>
    <w:rsid w:val="001D05CA"/>
    <w:rsid w:val="001D05E5"/>
    <w:rsid w:val="001D0661"/>
    <w:rsid w:val="001D06BC"/>
    <w:rsid w:val="001D06C9"/>
    <w:rsid w:val="001D06DB"/>
    <w:rsid w:val="001D06DD"/>
    <w:rsid w:val="001D0726"/>
    <w:rsid w:val="001D0772"/>
    <w:rsid w:val="001D07A4"/>
    <w:rsid w:val="001D081F"/>
    <w:rsid w:val="001D0848"/>
    <w:rsid w:val="001D0858"/>
    <w:rsid w:val="001D0872"/>
    <w:rsid w:val="001D0888"/>
    <w:rsid w:val="001D088A"/>
    <w:rsid w:val="001D088C"/>
    <w:rsid w:val="001D095E"/>
    <w:rsid w:val="001D0960"/>
    <w:rsid w:val="001D09AB"/>
    <w:rsid w:val="001D09BC"/>
    <w:rsid w:val="001D09CE"/>
    <w:rsid w:val="001D0A2C"/>
    <w:rsid w:val="001D0A97"/>
    <w:rsid w:val="001D0AC5"/>
    <w:rsid w:val="001D0AF7"/>
    <w:rsid w:val="001D0B0A"/>
    <w:rsid w:val="001D0B17"/>
    <w:rsid w:val="001D0B45"/>
    <w:rsid w:val="001D0B4A"/>
    <w:rsid w:val="001D0BA2"/>
    <w:rsid w:val="001D0BAC"/>
    <w:rsid w:val="001D0C22"/>
    <w:rsid w:val="001D0C8C"/>
    <w:rsid w:val="001D0CFC"/>
    <w:rsid w:val="001D0D07"/>
    <w:rsid w:val="001D0D4B"/>
    <w:rsid w:val="001D0D6E"/>
    <w:rsid w:val="001D0D7E"/>
    <w:rsid w:val="001D0DB6"/>
    <w:rsid w:val="001D0DBD"/>
    <w:rsid w:val="001D0DC9"/>
    <w:rsid w:val="001D0E14"/>
    <w:rsid w:val="001D0E7B"/>
    <w:rsid w:val="001D0EC2"/>
    <w:rsid w:val="001D0EDB"/>
    <w:rsid w:val="001D0F9F"/>
    <w:rsid w:val="001D0FD2"/>
    <w:rsid w:val="001D104A"/>
    <w:rsid w:val="001D104B"/>
    <w:rsid w:val="001D105A"/>
    <w:rsid w:val="001D106E"/>
    <w:rsid w:val="001D10B7"/>
    <w:rsid w:val="001D1173"/>
    <w:rsid w:val="001D1175"/>
    <w:rsid w:val="001D11AA"/>
    <w:rsid w:val="001D11CC"/>
    <w:rsid w:val="001D123E"/>
    <w:rsid w:val="001D12CD"/>
    <w:rsid w:val="001D13A1"/>
    <w:rsid w:val="001D147F"/>
    <w:rsid w:val="001D1493"/>
    <w:rsid w:val="001D14CC"/>
    <w:rsid w:val="001D14F6"/>
    <w:rsid w:val="001D150D"/>
    <w:rsid w:val="001D155C"/>
    <w:rsid w:val="001D15B6"/>
    <w:rsid w:val="001D15E0"/>
    <w:rsid w:val="001D16E4"/>
    <w:rsid w:val="001D16EF"/>
    <w:rsid w:val="001D1709"/>
    <w:rsid w:val="001D1796"/>
    <w:rsid w:val="001D17F1"/>
    <w:rsid w:val="001D180C"/>
    <w:rsid w:val="001D1861"/>
    <w:rsid w:val="001D1875"/>
    <w:rsid w:val="001D18EE"/>
    <w:rsid w:val="001D18FE"/>
    <w:rsid w:val="001D191D"/>
    <w:rsid w:val="001D195A"/>
    <w:rsid w:val="001D19B5"/>
    <w:rsid w:val="001D19FD"/>
    <w:rsid w:val="001D1A7E"/>
    <w:rsid w:val="001D1AA1"/>
    <w:rsid w:val="001D1AA4"/>
    <w:rsid w:val="001D1ABF"/>
    <w:rsid w:val="001D1ACE"/>
    <w:rsid w:val="001D1B72"/>
    <w:rsid w:val="001D1C2F"/>
    <w:rsid w:val="001D1C78"/>
    <w:rsid w:val="001D1CB0"/>
    <w:rsid w:val="001D1CCD"/>
    <w:rsid w:val="001D1D16"/>
    <w:rsid w:val="001D1DF0"/>
    <w:rsid w:val="001D1DF1"/>
    <w:rsid w:val="001D1DF5"/>
    <w:rsid w:val="001D1E27"/>
    <w:rsid w:val="001D1E4E"/>
    <w:rsid w:val="001D1E74"/>
    <w:rsid w:val="001D1E79"/>
    <w:rsid w:val="001D1E90"/>
    <w:rsid w:val="001D1EAF"/>
    <w:rsid w:val="001D1EF6"/>
    <w:rsid w:val="001D1F5E"/>
    <w:rsid w:val="001D207B"/>
    <w:rsid w:val="001D20C3"/>
    <w:rsid w:val="001D20F8"/>
    <w:rsid w:val="001D2268"/>
    <w:rsid w:val="001D22A6"/>
    <w:rsid w:val="001D22B0"/>
    <w:rsid w:val="001D2308"/>
    <w:rsid w:val="001D230C"/>
    <w:rsid w:val="001D2323"/>
    <w:rsid w:val="001D252F"/>
    <w:rsid w:val="001D2567"/>
    <w:rsid w:val="001D2579"/>
    <w:rsid w:val="001D25D5"/>
    <w:rsid w:val="001D2610"/>
    <w:rsid w:val="001D261C"/>
    <w:rsid w:val="001D270B"/>
    <w:rsid w:val="001D2714"/>
    <w:rsid w:val="001D271A"/>
    <w:rsid w:val="001D2732"/>
    <w:rsid w:val="001D2750"/>
    <w:rsid w:val="001D2776"/>
    <w:rsid w:val="001D277B"/>
    <w:rsid w:val="001D28B4"/>
    <w:rsid w:val="001D28BC"/>
    <w:rsid w:val="001D28EE"/>
    <w:rsid w:val="001D290A"/>
    <w:rsid w:val="001D2972"/>
    <w:rsid w:val="001D29D4"/>
    <w:rsid w:val="001D29EB"/>
    <w:rsid w:val="001D2A08"/>
    <w:rsid w:val="001D2A7C"/>
    <w:rsid w:val="001D2AA5"/>
    <w:rsid w:val="001D2BA5"/>
    <w:rsid w:val="001D2BB1"/>
    <w:rsid w:val="001D2BE6"/>
    <w:rsid w:val="001D2BFC"/>
    <w:rsid w:val="001D2C17"/>
    <w:rsid w:val="001D2C3A"/>
    <w:rsid w:val="001D2CA3"/>
    <w:rsid w:val="001D2D27"/>
    <w:rsid w:val="001D2D3A"/>
    <w:rsid w:val="001D2D57"/>
    <w:rsid w:val="001D2DC8"/>
    <w:rsid w:val="001D2DCA"/>
    <w:rsid w:val="001D2DD2"/>
    <w:rsid w:val="001D2E12"/>
    <w:rsid w:val="001D2E4E"/>
    <w:rsid w:val="001D2E70"/>
    <w:rsid w:val="001D2EA4"/>
    <w:rsid w:val="001D2EC0"/>
    <w:rsid w:val="001D2F42"/>
    <w:rsid w:val="001D2FCA"/>
    <w:rsid w:val="001D2FF7"/>
    <w:rsid w:val="001D3037"/>
    <w:rsid w:val="001D303D"/>
    <w:rsid w:val="001D30C0"/>
    <w:rsid w:val="001D317E"/>
    <w:rsid w:val="001D3216"/>
    <w:rsid w:val="001D3245"/>
    <w:rsid w:val="001D32B3"/>
    <w:rsid w:val="001D3305"/>
    <w:rsid w:val="001D3334"/>
    <w:rsid w:val="001D3358"/>
    <w:rsid w:val="001D3383"/>
    <w:rsid w:val="001D33C9"/>
    <w:rsid w:val="001D33E9"/>
    <w:rsid w:val="001D34C0"/>
    <w:rsid w:val="001D34D5"/>
    <w:rsid w:val="001D3512"/>
    <w:rsid w:val="001D352D"/>
    <w:rsid w:val="001D3532"/>
    <w:rsid w:val="001D3548"/>
    <w:rsid w:val="001D35A7"/>
    <w:rsid w:val="001D35F6"/>
    <w:rsid w:val="001D35F7"/>
    <w:rsid w:val="001D3626"/>
    <w:rsid w:val="001D36B0"/>
    <w:rsid w:val="001D36D0"/>
    <w:rsid w:val="001D3764"/>
    <w:rsid w:val="001D381A"/>
    <w:rsid w:val="001D3874"/>
    <w:rsid w:val="001D387F"/>
    <w:rsid w:val="001D3966"/>
    <w:rsid w:val="001D39CC"/>
    <w:rsid w:val="001D3A37"/>
    <w:rsid w:val="001D3A3C"/>
    <w:rsid w:val="001D3A3D"/>
    <w:rsid w:val="001D3A7A"/>
    <w:rsid w:val="001D3A81"/>
    <w:rsid w:val="001D3ADE"/>
    <w:rsid w:val="001D3B20"/>
    <w:rsid w:val="001D3BAF"/>
    <w:rsid w:val="001D3C44"/>
    <w:rsid w:val="001D3CA1"/>
    <w:rsid w:val="001D3D39"/>
    <w:rsid w:val="001D3D9F"/>
    <w:rsid w:val="001D3DD1"/>
    <w:rsid w:val="001D3E04"/>
    <w:rsid w:val="001D3E16"/>
    <w:rsid w:val="001D3E4C"/>
    <w:rsid w:val="001D3E85"/>
    <w:rsid w:val="001D3E98"/>
    <w:rsid w:val="001D3F6E"/>
    <w:rsid w:val="001D3F74"/>
    <w:rsid w:val="001D3FC4"/>
    <w:rsid w:val="001D3FCB"/>
    <w:rsid w:val="001D3FD7"/>
    <w:rsid w:val="001D3FFB"/>
    <w:rsid w:val="001D4047"/>
    <w:rsid w:val="001D40C9"/>
    <w:rsid w:val="001D41A5"/>
    <w:rsid w:val="001D41B9"/>
    <w:rsid w:val="001D424F"/>
    <w:rsid w:val="001D42ED"/>
    <w:rsid w:val="001D42EE"/>
    <w:rsid w:val="001D4304"/>
    <w:rsid w:val="001D4335"/>
    <w:rsid w:val="001D439A"/>
    <w:rsid w:val="001D439F"/>
    <w:rsid w:val="001D43AD"/>
    <w:rsid w:val="001D43C1"/>
    <w:rsid w:val="001D43CF"/>
    <w:rsid w:val="001D43DF"/>
    <w:rsid w:val="001D43FA"/>
    <w:rsid w:val="001D4444"/>
    <w:rsid w:val="001D4463"/>
    <w:rsid w:val="001D4521"/>
    <w:rsid w:val="001D4577"/>
    <w:rsid w:val="001D4580"/>
    <w:rsid w:val="001D4665"/>
    <w:rsid w:val="001D468F"/>
    <w:rsid w:val="001D46CA"/>
    <w:rsid w:val="001D46D5"/>
    <w:rsid w:val="001D4748"/>
    <w:rsid w:val="001D474A"/>
    <w:rsid w:val="001D4845"/>
    <w:rsid w:val="001D4963"/>
    <w:rsid w:val="001D49A6"/>
    <w:rsid w:val="001D49B7"/>
    <w:rsid w:val="001D49C7"/>
    <w:rsid w:val="001D49D3"/>
    <w:rsid w:val="001D49E7"/>
    <w:rsid w:val="001D4A61"/>
    <w:rsid w:val="001D4ADB"/>
    <w:rsid w:val="001D4B0D"/>
    <w:rsid w:val="001D4B51"/>
    <w:rsid w:val="001D4B87"/>
    <w:rsid w:val="001D4D09"/>
    <w:rsid w:val="001D4D70"/>
    <w:rsid w:val="001D4DF4"/>
    <w:rsid w:val="001D4E48"/>
    <w:rsid w:val="001D4E4E"/>
    <w:rsid w:val="001D4E50"/>
    <w:rsid w:val="001D4E52"/>
    <w:rsid w:val="001D4E53"/>
    <w:rsid w:val="001D4EAA"/>
    <w:rsid w:val="001D4EF5"/>
    <w:rsid w:val="001D4F18"/>
    <w:rsid w:val="001D4F4A"/>
    <w:rsid w:val="001D4F93"/>
    <w:rsid w:val="001D4FBF"/>
    <w:rsid w:val="001D4FDC"/>
    <w:rsid w:val="001D500A"/>
    <w:rsid w:val="001D5041"/>
    <w:rsid w:val="001D5079"/>
    <w:rsid w:val="001D50B5"/>
    <w:rsid w:val="001D50D0"/>
    <w:rsid w:val="001D5103"/>
    <w:rsid w:val="001D5152"/>
    <w:rsid w:val="001D5157"/>
    <w:rsid w:val="001D515B"/>
    <w:rsid w:val="001D51EC"/>
    <w:rsid w:val="001D520B"/>
    <w:rsid w:val="001D5229"/>
    <w:rsid w:val="001D527D"/>
    <w:rsid w:val="001D52B3"/>
    <w:rsid w:val="001D52C9"/>
    <w:rsid w:val="001D5338"/>
    <w:rsid w:val="001D537B"/>
    <w:rsid w:val="001D5389"/>
    <w:rsid w:val="001D53E3"/>
    <w:rsid w:val="001D53E4"/>
    <w:rsid w:val="001D5405"/>
    <w:rsid w:val="001D541D"/>
    <w:rsid w:val="001D546B"/>
    <w:rsid w:val="001D5483"/>
    <w:rsid w:val="001D548B"/>
    <w:rsid w:val="001D551C"/>
    <w:rsid w:val="001D5537"/>
    <w:rsid w:val="001D55A4"/>
    <w:rsid w:val="001D5601"/>
    <w:rsid w:val="001D560E"/>
    <w:rsid w:val="001D5670"/>
    <w:rsid w:val="001D567A"/>
    <w:rsid w:val="001D56A9"/>
    <w:rsid w:val="001D5710"/>
    <w:rsid w:val="001D5736"/>
    <w:rsid w:val="001D5743"/>
    <w:rsid w:val="001D5760"/>
    <w:rsid w:val="001D5773"/>
    <w:rsid w:val="001D5782"/>
    <w:rsid w:val="001D57D1"/>
    <w:rsid w:val="001D57F5"/>
    <w:rsid w:val="001D583E"/>
    <w:rsid w:val="001D5854"/>
    <w:rsid w:val="001D58A7"/>
    <w:rsid w:val="001D58BB"/>
    <w:rsid w:val="001D58DB"/>
    <w:rsid w:val="001D5921"/>
    <w:rsid w:val="001D5972"/>
    <w:rsid w:val="001D5980"/>
    <w:rsid w:val="001D5A0B"/>
    <w:rsid w:val="001D5A18"/>
    <w:rsid w:val="001D5A46"/>
    <w:rsid w:val="001D5A4D"/>
    <w:rsid w:val="001D5A81"/>
    <w:rsid w:val="001D5AC4"/>
    <w:rsid w:val="001D5AF6"/>
    <w:rsid w:val="001D5B01"/>
    <w:rsid w:val="001D5B53"/>
    <w:rsid w:val="001D5B6F"/>
    <w:rsid w:val="001D5B70"/>
    <w:rsid w:val="001D5B7F"/>
    <w:rsid w:val="001D5BDF"/>
    <w:rsid w:val="001D5C1C"/>
    <w:rsid w:val="001D5CCA"/>
    <w:rsid w:val="001D5CEA"/>
    <w:rsid w:val="001D5D17"/>
    <w:rsid w:val="001D5D3B"/>
    <w:rsid w:val="001D5D8B"/>
    <w:rsid w:val="001D5DB0"/>
    <w:rsid w:val="001D5E15"/>
    <w:rsid w:val="001D5E2A"/>
    <w:rsid w:val="001D5E49"/>
    <w:rsid w:val="001D5ECE"/>
    <w:rsid w:val="001D5EFF"/>
    <w:rsid w:val="001D5F08"/>
    <w:rsid w:val="001D5F68"/>
    <w:rsid w:val="001D5F74"/>
    <w:rsid w:val="001D5F82"/>
    <w:rsid w:val="001D5FA1"/>
    <w:rsid w:val="001D5FD5"/>
    <w:rsid w:val="001D6056"/>
    <w:rsid w:val="001D6094"/>
    <w:rsid w:val="001D60C0"/>
    <w:rsid w:val="001D60D4"/>
    <w:rsid w:val="001D613F"/>
    <w:rsid w:val="001D616E"/>
    <w:rsid w:val="001D620D"/>
    <w:rsid w:val="001D622F"/>
    <w:rsid w:val="001D625B"/>
    <w:rsid w:val="001D629C"/>
    <w:rsid w:val="001D62AE"/>
    <w:rsid w:val="001D62BE"/>
    <w:rsid w:val="001D630A"/>
    <w:rsid w:val="001D630D"/>
    <w:rsid w:val="001D633D"/>
    <w:rsid w:val="001D6363"/>
    <w:rsid w:val="001D6366"/>
    <w:rsid w:val="001D636A"/>
    <w:rsid w:val="001D63A6"/>
    <w:rsid w:val="001D63A9"/>
    <w:rsid w:val="001D63D0"/>
    <w:rsid w:val="001D63ED"/>
    <w:rsid w:val="001D6402"/>
    <w:rsid w:val="001D6423"/>
    <w:rsid w:val="001D64CB"/>
    <w:rsid w:val="001D6510"/>
    <w:rsid w:val="001D654B"/>
    <w:rsid w:val="001D658C"/>
    <w:rsid w:val="001D65A7"/>
    <w:rsid w:val="001D65B3"/>
    <w:rsid w:val="001D664E"/>
    <w:rsid w:val="001D66BB"/>
    <w:rsid w:val="001D6784"/>
    <w:rsid w:val="001D6902"/>
    <w:rsid w:val="001D690C"/>
    <w:rsid w:val="001D690F"/>
    <w:rsid w:val="001D691D"/>
    <w:rsid w:val="001D6921"/>
    <w:rsid w:val="001D6959"/>
    <w:rsid w:val="001D6989"/>
    <w:rsid w:val="001D69AD"/>
    <w:rsid w:val="001D69FC"/>
    <w:rsid w:val="001D6A1A"/>
    <w:rsid w:val="001D6A50"/>
    <w:rsid w:val="001D6A6C"/>
    <w:rsid w:val="001D6A80"/>
    <w:rsid w:val="001D6AC7"/>
    <w:rsid w:val="001D6AEF"/>
    <w:rsid w:val="001D6B58"/>
    <w:rsid w:val="001D6B66"/>
    <w:rsid w:val="001D6B6D"/>
    <w:rsid w:val="001D6B80"/>
    <w:rsid w:val="001D6B91"/>
    <w:rsid w:val="001D6C9E"/>
    <w:rsid w:val="001D6C9F"/>
    <w:rsid w:val="001D6CEA"/>
    <w:rsid w:val="001D6CEF"/>
    <w:rsid w:val="001D6D53"/>
    <w:rsid w:val="001D6DCA"/>
    <w:rsid w:val="001D6E68"/>
    <w:rsid w:val="001D6EB2"/>
    <w:rsid w:val="001D6ED8"/>
    <w:rsid w:val="001D6EEB"/>
    <w:rsid w:val="001D6F03"/>
    <w:rsid w:val="001D6F6F"/>
    <w:rsid w:val="001D6FC3"/>
    <w:rsid w:val="001D6FD3"/>
    <w:rsid w:val="001D6FFA"/>
    <w:rsid w:val="001D709D"/>
    <w:rsid w:val="001D70BA"/>
    <w:rsid w:val="001D70D5"/>
    <w:rsid w:val="001D70DC"/>
    <w:rsid w:val="001D7122"/>
    <w:rsid w:val="001D7136"/>
    <w:rsid w:val="001D719D"/>
    <w:rsid w:val="001D71E3"/>
    <w:rsid w:val="001D728B"/>
    <w:rsid w:val="001D72B5"/>
    <w:rsid w:val="001D7341"/>
    <w:rsid w:val="001D73FE"/>
    <w:rsid w:val="001D7444"/>
    <w:rsid w:val="001D7477"/>
    <w:rsid w:val="001D7482"/>
    <w:rsid w:val="001D7514"/>
    <w:rsid w:val="001D754D"/>
    <w:rsid w:val="001D7572"/>
    <w:rsid w:val="001D75DB"/>
    <w:rsid w:val="001D770B"/>
    <w:rsid w:val="001D773D"/>
    <w:rsid w:val="001D7754"/>
    <w:rsid w:val="001D7775"/>
    <w:rsid w:val="001D77FA"/>
    <w:rsid w:val="001D7882"/>
    <w:rsid w:val="001D788A"/>
    <w:rsid w:val="001D78A9"/>
    <w:rsid w:val="001D78BB"/>
    <w:rsid w:val="001D799D"/>
    <w:rsid w:val="001D79B2"/>
    <w:rsid w:val="001D7A05"/>
    <w:rsid w:val="001D7A1B"/>
    <w:rsid w:val="001D7AD4"/>
    <w:rsid w:val="001D7ADB"/>
    <w:rsid w:val="001D7B33"/>
    <w:rsid w:val="001D7B40"/>
    <w:rsid w:val="001D7BEF"/>
    <w:rsid w:val="001D7C16"/>
    <w:rsid w:val="001D7C1C"/>
    <w:rsid w:val="001D7C39"/>
    <w:rsid w:val="001D7C3E"/>
    <w:rsid w:val="001D7C5E"/>
    <w:rsid w:val="001D7C5F"/>
    <w:rsid w:val="001D7C83"/>
    <w:rsid w:val="001D7D14"/>
    <w:rsid w:val="001D7D4E"/>
    <w:rsid w:val="001D7D5A"/>
    <w:rsid w:val="001D7D67"/>
    <w:rsid w:val="001D7D83"/>
    <w:rsid w:val="001D7DBE"/>
    <w:rsid w:val="001D7E22"/>
    <w:rsid w:val="001D7E60"/>
    <w:rsid w:val="001D7F55"/>
    <w:rsid w:val="001D7FF2"/>
    <w:rsid w:val="001E0011"/>
    <w:rsid w:val="001E0065"/>
    <w:rsid w:val="001E0135"/>
    <w:rsid w:val="001E0170"/>
    <w:rsid w:val="001E0179"/>
    <w:rsid w:val="001E027F"/>
    <w:rsid w:val="001E02D6"/>
    <w:rsid w:val="001E034A"/>
    <w:rsid w:val="001E0380"/>
    <w:rsid w:val="001E03ED"/>
    <w:rsid w:val="001E03FD"/>
    <w:rsid w:val="001E04E5"/>
    <w:rsid w:val="001E0503"/>
    <w:rsid w:val="001E057D"/>
    <w:rsid w:val="001E05BA"/>
    <w:rsid w:val="001E0641"/>
    <w:rsid w:val="001E0691"/>
    <w:rsid w:val="001E06CC"/>
    <w:rsid w:val="001E06F1"/>
    <w:rsid w:val="001E070C"/>
    <w:rsid w:val="001E071D"/>
    <w:rsid w:val="001E072C"/>
    <w:rsid w:val="001E0750"/>
    <w:rsid w:val="001E0763"/>
    <w:rsid w:val="001E07F5"/>
    <w:rsid w:val="001E07FD"/>
    <w:rsid w:val="001E0869"/>
    <w:rsid w:val="001E086A"/>
    <w:rsid w:val="001E09AA"/>
    <w:rsid w:val="001E09E4"/>
    <w:rsid w:val="001E0A40"/>
    <w:rsid w:val="001E0A68"/>
    <w:rsid w:val="001E0ADF"/>
    <w:rsid w:val="001E0B4D"/>
    <w:rsid w:val="001E0CB2"/>
    <w:rsid w:val="001E0D8A"/>
    <w:rsid w:val="001E0E09"/>
    <w:rsid w:val="001E0E21"/>
    <w:rsid w:val="001E0E2E"/>
    <w:rsid w:val="001E0EDC"/>
    <w:rsid w:val="001E0F43"/>
    <w:rsid w:val="001E0F88"/>
    <w:rsid w:val="001E0FFC"/>
    <w:rsid w:val="001E10F9"/>
    <w:rsid w:val="001E1108"/>
    <w:rsid w:val="001E1115"/>
    <w:rsid w:val="001E111E"/>
    <w:rsid w:val="001E1155"/>
    <w:rsid w:val="001E11C0"/>
    <w:rsid w:val="001E1222"/>
    <w:rsid w:val="001E12AB"/>
    <w:rsid w:val="001E12E3"/>
    <w:rsid w:val="001E1328"/>
    <w:rsid w:val="001E133A"/>
    <w:rsid w:val="001E1368"/>
    <w:rsid w:val="001E1379"/>
    <w:rsid w:val="001E13A6"/>
    <w:rsid w:val="001E13DF"/>
    <w:rsid w:val="001E141D"/>
    <w:rsid w:val="001E1488"/>
    <w:rsid w:val="001E14A1"/>
    <w:rsid w:val="001E1554"/>
    <w:rsid w:val="001E1601"/>
    <w:rsid w:val="001E167B"/>
    <w:rsid w:val="001E167D"/>
    <w:rsid w:val="001E1689"/>
    <w:rsid w:val="001E1720"/>
    <w:rsid w:val="001E177F"/>
    <w:rsid w:val="001E17E1"/>
    <w:rsid w:val="001E1860"/>
    <w:rsid w:val="001E18D1"/>
    <w:rsid w:val="001E18D6"/>
    <w:rsid w:val="001E18EB"/>
    <w:rsid w:val="001E1934"/>
    <w:rsid w:val="001E19FF"/>
    <w:rsid w:val="001E1AC6"/>
    <w:rsid w:val="001E1B26"/>
    <w:rsid w:val="001E1B2F"/>
    <w:rsid w:val="001E1B34"/>
    <w:rsid w:val="001E1B7E"/>
    <w:rsid w:val="001E1BB3"/>
    <w:rsid w:val="001E1C14"/>
    <w:rsid w:val="001E1C1A"/>
    <w:rsid w:val="001E1C3E"/>
    <w:rsid w:val="001E1C54"/>
    <w:rsid w:val="001E1C56"/>
    <w:rsid w:val="001E1CAA"/>
    <w:rsid w:val="001E1CD3"/>
    <w:rsid w:val="001E1CDD"/>
    <w:rsid w:val="001E1D2E"/>
    <w:rsid w:val="001E1D50"/>
    <w:rsid w:val="001E1DC9"/>
    <w:rsid w:val="001E1E7A"/>
    <w:rsid w:val="001E1F0D"/>
    <w:rsid w:val="001E1F2F"/>
    <w:rsid w:val="001E1F44"/>
    <w:rsid w:val="001E1F4C"/>
    <w:rsid w:val="001E1F5B"/>
    <w:rsid w:val="001E1F7A"/>
    <w:rsid w:val="001E202E"/>
    <w:rsid w:val="001E202F"/>
    <w:rsid w:val="001E2032"/>
    <w:rsid w:val="001E2041"/>
    <w:rsid w:val="001E2048"/>
    <w:rsid w:val="001E20DC"/>
    <w:rsid w:val="001E2191"/>
    <w:rsid w:val="001E2259"/>
    <w:rsid w:val="001E22D4"/>
    <w:rsid w:val="001E234B"/>
    <w:rsid w:val="001E2378"/>
    <w:rsid w:val="001E2387"/>
    <w:rsid w:val="001E23C3"/>
    <w:rsid w:val="001E23C7"/>
    <w:rsid w:val="001E23D5"/>
    <w:rsid w:val="001E24EB"/>
    <w:rsid w:val="001E25E2"/>
    <w:rsid w:val="001E2624"/>
    <w:rsid w:val="001E262C"/>
    <w:rsid w:val="001E2646"/>
    <w:rsid w:val="001E264D"/>
    <w:rsid w:val="001E2654"/>
    <w:rsid w:val="001E2662"/>
    <w:rsid w:val="001E26D9"/>
    <w:rsid w:val="001E26EE"/>
    <w:rsid w:val="001E2758"/>
    <w:rsid w:val="001E2782"/>
    <w:rsid w:val="001E280E"/>
    <w:rsid w:val="001E2840"/>
    <w:rsid w:val="001E2852"/>
    <w:rsid w:val="001E2853"/>
    <w:rsid w:val="001E288D"/>
    <w:rsid w:val="001E289F"/>
    <w:rsid w:val="001E28A7"/>
    <w:rsid w:val="001E28C7"/>
    <w:rsid w:val="001E295E"/>
    <w:rsid w:val="001E29CE"/>
    <w:rsid w:val="001E29F7"/>
    <w:rsid w:val="001E2AA6"/>
    <w:rsid w:val="001E2AE3"/>
    <w:rsid w:val="001E2BCD"/>
    <w:rsid w:val="001E2C44"/>
    <w:rsid w:val="001E2C5B"/>
    <w:rsid w:val="001E2C73"/>
    <w:rsid w:val="001E2C8F"/>
    <w:rsid w:val="001E2C96"/>
    <w:rsid w:val="001E2CA9"/>
    <w:rsid w:val="001E2CC0"/>
    <w:rsid w:val="001E2CCB"/>
    <w:rsid w:val="001E2DA8"/>
    <w:rsid w:val="001E2DD3"/>
    <w:rsid w:val="001E2DFC"/>
    <w:rsid w:val="001E2E05"/>
    <w:rsid w:val="001E2E1C"/>
    <w:rsid w:val="001E2E41"/>
    <w:rsid w:val="001E2E43"/>
    <w:rsid w:val="001E2EEE"/>
    <w:rsid w:val="001E2EF3"/>
    <w:rsid w:val="001E2F4B"/>
    <w:rsid w:val="001E300E"/>
    <w:rsid w:val="001E3017"/>
    <w:rsid w:val="001E3048"/>
    <w:rsid w:val="001E3053"/>
    <w:rsid w:val="001E306F"/>
    <w:rsid w:val="001E30EF"/>
    <w:rsid w:val="001E311C"/>
    <w:rsid w:val="001E311F"/>
    <w:rsid w:val="001E3273"/>
    <w:rsid w:val="001E3298"/>
    <w:rsid w:val="001E32B8"/>
    <w:rsid w:val="001E32D5"/>
    <w:rsid w:val="001E333A"/>
    <w:rsid w:val="001E3434"/>
    <w:rsid w:val="001E344A"/>
    <w:rsid w:val="001E347D"/>
    <w:rsid w:val="001E3564"/>
    <w:rsid w:val="001E357A"/>
    <w:rsid w:val="001E3668"/>
    <w:rsid w:val="001E367C"/>
    <w:rsid w:val="001E369D"/>
    <w:rsid w:val="001E36C6"/>
    <w:rsid w:val="001E36D2"/>
    <w:rsid w:val="001E3705"/>
    <w:rsid w:val="001E371E"/>
    <w:rsid w:val="001E3724"/>
    <w:rsid w:val="001E37EC"/>
    <w:rsid w:val="001E381D"/>
    <w:rsid w:val="001E3822"/>
    <w:rsid w:val="001E3845"/>
    <w:rsid w:val="001E38A0"/>
    <w:rsid w:val="001E38D6"/>
    <w:rsid w:val="001E3904"/>
    <w:rsid w:val="001E3918"/>
    <w:rsid w:val="001E395A"/>
    <w:rsid w:val="001E3A08"/>
    <w:rsid w:val="001E3A36"/>
    <w:rsid w:val="001E3A38"/>
    <w:rsid w:val="001E3A39"/>
    <w:rsid w:val="001E3A48"/>
    <w:rsid w:val="001E3A66"/>
    <w:rsid w:val="001E3A6A"/>
    <w:rsid w:val="001E3A83"/>
    <w:rsid w:val="001E3AD0"/>
    <w:rsid w:val="001E3AFB"/>
    <w:rsid w:val="001E3B15"/>
    <w:rsid w:val="001E3B26"/>
    <w:rsid w:val="001E3BA6"/>
    <w:rsid w:val="001E3BC7"/>
    <w:rsid w:val="001E3BCB"/>
    <w:rsid w:val="001E3BDC"/>
    <w:rsid w:val="001E3BFC"/>
    <w:rsid w:val="001E3C8A"/>
    <w:rsid w:val="001E3C95"/>
    <w:rsid w:val="001E3D16"/>
    <w:rsid w:val="001E3D31"/>
    <w:rsid w:val="001E3D7B"/>
    <w:rsid w:val="001E3D9B"/>
    <w:rsid w:val="001E3D9F"/>
    <w:rsid w:val="001E3DA1"/>
    <w:rsid w:val="001E3DA4"/>
    <w:rsid w:val="001E3DBC"/>
    <w:rsid w:val="001E3DC8"/>
    <w:rsid w:val="001E3DEC"/>
    <w:rsid w:val="001E3E4E"/>
    <w:rsid w:val="001E3EF7"/>
    <w:rsid w:val="001E3F20"/>
    <w:rsid w:val="001E3FA3"/>
    <w:rsid w:val="001E4031"/>
    <w:rsid w:val="001E405A"/>
    <w:rsid w:val="001E405D"/>
    <w:rsid w:val="001E4076"/>
    <w:rsid w:val="001E4077"/>
    <w:rsid w:val="001E407C"/>
    <w:rsid w:val="001E40C2"/>
    <w:rsid w:val="001E40D4"/>
    <w:rsid w:val="001E40F3"/>
    <w:rsid w:val="001E4100"/>
    <w:rsid w:val="001E411B"/>
    <w:rsid w:val="001E4125"/>
    <w:rsid w:val="001E4132"/>
    <w:rsid w:val="001E422B"/>
    <w:rsid w:val="001E4248"/>
    <w:rsid w:val="001E4285"/>
    <w:rsid w:val="001E42C7"/>
    <w:rsid w:val="001E42FF"/>
    <w:rsid w:val="001E4369"/>
    <w:rsid w:val="001E437A"/>
    <w:rsid w:val="001E4390"/>
    <w:rsid w:val="001E4476"/>
    <w:rsid w:val="001E44B8"/>
    <w:rsid w:val="001E44BB"/>
    <w:rsid w:val="001E44FC"/>
    <w:rsid w:val="001E4575"/>
    <w:rsid w:val="001E45A2"/>
    <w:rsid w:val="001E45F2"/>
    <w:rsid w:val="001E463B"/>
    <w:rsid w:val="001E468C"/>
    <w:rsid w:val="001E4694"/>
    <w:rsid w:val="001E46B4"/>
    <w:rsid w:val="001E46DC"/>
    <w:rsid w:val="001E46F4"/>
    <w:rsid w:val="001E4725"/>
    <w:rsid w:val="001E480B"/>
    <w:rsid w:val="001E48A4"/>
    <w:rsid w:val="001E48DD"/>
    <w:rsid w:val="001E4919"/>
    <w:rsid w:val="001E497F"/>
    <w:rsid w:val="001E49B9"/>
    <w:rsid w:val="001E49ED"/>
    <w:rsid w:val="001E4A11"/>
    <w:rsid w:val="001E4A70"/>
    <w:rsid w:val="001E4A7D"/>
    <w:rsid w:val="001E4AAB"/>
    <w:rsid w:val="001E4B3C"/>
    <w:rsid w:val="001E4B56"/>
    <w:rsid w:val="001E4B8D"/>
    <w:rsid w:val="001E4BC8"/>
    <w:rsid w:val="001E4C5F"/>
    <w:rsid w:val="001E4C93"/>
    <w:rsid w:val="001E4CE7"/>
    <w:rsid w:val="001E4D3B"/>
    <w:rsid w:val="001E4D4E"/>
    <w:rsid w:val="001E4D61"/>
    <w:rsid w:val="001E4D6A"/>
    <w:rsid w:val="001E4E61"/>
    <w:rsid w:val="001E4EB9"/>
    <w:rsid w:val="001E4EC9"/>
    <w:rsid w:val="001E4ECF"/>
    <w:rsid w:val="001E4F19"/>
    <w:rsid w:val="001E4F7B"/>
    <w:rsid w:val="001E4F9D"/>
    <w:rsid w:val="001E506C"/>
    <w:rsid w:val="001E50EF"/>
    <w:rsid w:val="001E5202"/>
    <w:rsid w:val="001E5203"/>
    <w:rsid w:val="001E5258"/>
    <w:rsid w:val="001E5261"/>
    <w:rsid w:val="001E52BC"/>
    <w:rsid w:val="001E52E2"/>
    <w:rsid w:val="001E5367"/>
    <w:rsid w:val="001E5401"/>
    <w:rsid w:val="001E5450"/>
    <w:rsid w:val="001E549A"/>
    <w:rsid w:val="001E54BB"/>
    <w:rsid w:val="001E5533"/>
    <w:rsid w:val="001E553C"/>
    <w:rsid w:val="001E55F1"/>
    <w:rsid w:val="001E55FD"/>
    <w:rsid w:val="001E565E"/>
    <w:rsid w:val="001E5661"/>
    <w:rsid w:val="001E5662"/>
    <w:rsid w:val="001E5681"/>
    <w:rsid w:val="001E56AA"/>
    <w:rsid w:val="001E57EA"/>
    <w:rsid w:val="001E5830"/>
    <w:rsid w:val="001E58AA"/>
    <w:rsid w:val="001E58BD"/>
    <w:rsid w:val="001E58F5"/>
    <w:rsid w:val="001E597D"/>
    <w:rsid w:val="001E59CC"/>
    <w:rsid w:val="001E59F4"/>
    <w:rsid w:val="001E5A26"/>
    <w:rsid w:val="001E5A76"/>
    <w:rsid w:val="001E5B6D"/>
    <w:rsid w:val="001E5B84"/>
    <w:rsid w:val="001E5B8E"/>
    <w:rsid w:val="001E5BE4"/>
    <w:rsid w:val="001E5BFF"/>
    <w:rsid w:val="001E5C0A"/>
    <w:rsid w:val="001E5C27"/>
    <w:rsid w:val="001E5C2C"/>
    <w:rsid w:val="001E5C47"/>
    <w:rsid w:val="001E5CB0"/>
    <w:rsid w:val="001E5D35"/>
    <w:rsid w:val="001E5D80"/>
    <w:rsid w:val="001E5DC6"/>
    <w:rsid w:val="001E5E01"/>
    <w:rsid w:val="001E5E11"/>
    <w:rsid w:val="001E5E15"/>
    <w:rsid w:val="001E5EFD"/>
    <w:rsid w:val="001E5F12"/>
    <w:rsid w:val="001E5F1B"/>
    <w:rsid w:val="001E5FAB"/>
    <w:rsid w:val="001E5FF4"/>
    <w:rsid w:val="001E60BB"/>
    <w:rsid w:val="001E6116"/>
    <w:rsid w:val="001E611A"/>
    <w:rsid w:val="001E6127"/>
    <w:rsid w:val="001E6177"/>
    <w:rsid w:val="001E61D9"/>
    <w:rsid w:val="001E61F1"/>
    <w:rsid w:val="001E624E"/>
    <w:rsid w:val="001E626A"/>
    <w:rsid w:val="001E6335"/>
    <w:rsid w:val="001E635A"/>
    <w:rsid w:val="001E6418"/>
    <w:rsid w:val="001E6460"/>
    <w:rsid w:val="001E6494"/>
    <w:rsid w:val="001E64B1"/>
    <w:rsid w:val="001E64CB"/>
    <w:rsid w:val="001E64F9"/>
    <w:rsid w:val="001E651A"/>
    <w:rsid w:val="001E652A"/>
    <w:rsid w:val="001E6536"/>
    <w:rsid w:val="001E6593"/>
    <w:rsid w:val="001E65D9"/>
    <w:rsid w:val="001E6604"/>
    <w:rsid w:val="001E6616"/>
    <w:rsid w:val="001E66A4"/>
    <w:rsid w:val="001E66B2"/>
    <w:rsid w:val="001E66D9"/>
    <w:rsid w:val="001E66FB"/>
    <w:rsid w:val="001E6723"/>
    <w:rsid w:val="001E6758"/>
    <w:rsid w:val="001E67F4"/>
    <w:rsid w:val="001E680E"/>
    <w:rsid w:val="001E6843"/>
    <w:rsid w:val="001E68B0"/>
    <w:rsid w:val="001E6909"/>
    <w:rsid w:val="001E6957"/>
    <w:rsid w:val="001E6999"/>
    <w:rsid w:val="001E69D4"/>
    <w:rsid w:val="001E69EA"/>
    <w:rsid w:val="001E6A3C"/>
    <w:rsid w:val="001E6A61"/>
    <w:rsid w:val="001E6A69"/>
    <w:rsid w:val="001E6A7E"/>
    <w:rsid w:val="001E6AFD"/>
    <w:rsid w:val="001E6B88"/>
    <w:rsid w:val="001E6BA9"/>
    <w:rsid w:val="001E6BE3"/>
    <w:rsid w:val="001E6C0E"/>
    <w:rsid w:val="001E6C15"/>
    <w:rsid w:val="001E6C7A"/>
    <w:rsid w:val="001E6CB9"/>
    <w:rsid w:val="001E6CF4"/>
    <w:rsid w:val="001E6D24"/>
    <w:rsid w:val="001E6D48"/>
    <w:rsid w:val="001E6D7F"/>
    <w:rsid w:val="001E6D92"/>
    <w:rsid w:val="001E6D9E"/>
    <w:rsid w:val="001E6DFA"/>
    <w:rsid w:val="001E6E0C"/>
    <w:rsid w:val="001E6F28"/>
    <w:rsid w:val="001E6F3C"/>
    <w:rsid w:val="001E6F54"/>
    <w:rsid w:val="001E6FC9"/>
    <w:rsid w:val="001E6FE2"/>
    <w:rsid w:val="001E706D"/>
    <w:rsid w:val="001E7082"/>
    <w:rsid w:val="001E7088"/>
    <w:rsid w:val="001E70C6"/>
    <w:rsid w:val="001E70F6"/>
    <w:rsid w:val="001E7112"/>
    <w:rsid w:val="001E7140"/>
    <w:rsid w:val="001E7152"/>
    <w:rsid w:val="001E7186"/>
    <w:rsid w:val="001E720C"/>
    <w:rsid w:val="001E722C"/>
    <w:rsid w:val="001E72D8"/>
    <w:rsid w:val="001E7311"/>
    <w:rsid w:val="001E73DF"/>
    <w:rsid w:val="001E7408"/>
    <w:rsid w:val="001E746B"/>
    <w:rsid w:val="001E74D7"/>
    <w:rsid w:val="001E759A"/>
    <w:rsid w:val="001E75B9"/>
    <w:rsid w:val="001E75BB"/>
    <w:rsid w:val="001E7642"/>
    <w:rsid w:val="001E76AF"/>
    <w:rsid w:val="001E7702"/>
    <w:rsid w:val="001E7739"/>
    <w:rsid w:val="001E7759"/>
    <w:rsid w:val="001E778D"/>
    <w:rsid w:val="001E77B4"/>
    <w:rsid w:val="001E781C"/>
    <w:rsid w:val="001E7856"/>
    <w:rsid w:val="001E7865"/>
    <w:rsid w:val="001E78BA"/>
    <w:rsid w:val="001E78C1"/>
    <w:rsid w:val="001E79AA"/>
    <w:rsid w:val="001E7A20"/>
    <w:rsid w:val="001E7A80"/>
    <w:rsid w:val="001E7A85"/>
    <w:rsid w:val="001E7A8B"/>
    <w:rsid w:val="001E7AAE"/>
    <w:rsid w:val="001E7B02"/>
    <w:rsid w:val="001E7B3D"/>
    <w:rsid w:val="001E7B80"/>
    <w:rsid w:val="001E7C17"/>
    <w:rsid w:val="001E7C39"/>
    <w:rsid w:val="001E7C3B"/>
    <w:rsid w:val="001E7CFE"/>
    <w:rsid w:val="001E7D89"/>
    <w:rsid w:val="001E7DA1"/>
    <w:rsid w:val="001E7DE3"/>
    <w:rsid w:val="001E7DEB"/>
    <w:rsid w:val="001E7E0A"/>
    <w:rsid w:val="001E7E6E"/>
    <w:rsid w:val="001E7EBD"/>
    <w:rsid w:val="001E7F18"/>
    <w:rsid w:val="001E7F1B"/>
    <w:rsid w:val="001E7F2E"/>
    <w:rsid w:val="001E7F3E"/>
    <w:rsid w:val="001E7FE6"/>
    <w:rsid w:val="001F0013"/>
    <w:rsid w:val="001F00A5"/>
    <w:rsid w:val="001F00F3"/>
    <w:rsid w:val="001F0111"/>
    <w:rsid w:val="001F0158"/>
    <w:rsid w:val="001F01A6"/>
    <w:rsid w:val="001F01D2"/>
    <w:rsid w:val="001F01EA"/>
    <w:rsid w:val="001F023C"/>
    <w:rsid w:val="001F0246"/>
    <w:rsid w:val="001F0257"/>
    <w:rsid w:val="001F02A7"/>
    <w:rsid w:val="001F02B0"/>
    <w:rsid w:val="001F02B5"/>
    <w:rsid w:val="001F02D8"/>
    <w:rsid w:val="001F02F9"/>
    <w:rsid w:val="001F033F"/>
    <w:rsid w:val="001F037A"/>
    <w:rsid w:val="001F03C9"/>
    <w:rsid w:val="001F0444"/>
    <w:rsid w:val="001F04A7"/>
    <w:rsid w:val="001F0535"/>
    <w:rsid w:val="001F0576"/>
    <w:rsid w:val="001F05F5"/>
    <w:rsid w:val="001F062E"/>
    <w:rsid w:val="001F06C2"/>
    <w:rsid w:val="001F077C"/>
    <w:rsid w:val="001F077D"/>
    <w:rsid w:val="001F07A0"/>
    <w:rsid w:val="001F07BA"/>
    <w:rsid w:val="001F07C7"/>
    <w:rsid w:val="001F07DC"/>
    <w:rsid w:val="001F081F"/>
    <w:rsid w:val="001F0836"/>
    <w:rsid w:val="001F0865"/>
    <w:rsid w:val="001F08C9"/>
    <w:rsid w:val="001F08D2"/>
    <w:rsid w:val="001F0917"/>
    <w:rsid w:val="001F092F"/>
    <w:rsid w:val="001F099C"/>
    <w:rsid w:val="001F09D6"/>
    <w:rsid w:val="001F0A0A"/>
    <w:rsid w:val="001F0ACF"/>
    <w:rsid w:val="001F0AD5"/>
    <w:rsid w:val="001F0B01"/>
    <w:rsid w:val="001F0B0E"/>
    <w:rsid w:val="001F0B26"/>
    <w:rsid w:val="001F0B58"/>
    <w:rsid w:val="001F0B5A"/>
    <w:rsid w:val="001F0BE5"/>
    <w:rsid w:val="001F0BFC"/>
    <w:rsid w:val="001F0C34"/>
    <w:rsid w:val="001F0CC5"/>
    <w:rsid w:val="001F0CCB"/>
    <w:rsid w:val="001F0CDB"/>
    <w:rsid w:val="001F0D00"/>
    <w:rsid w:val="001F0D01"/>
    <w:rsid w:val="001F0DF6"/>
    <w:rsid w:val="001F0E80"/>
    <w:rsid w:val="001F0EC5"/>
    <w:rsid w:val="001F0F51"/>
    <w:rsid w:val="001F0FB1"/>
    <w:rsid w:val="001F0FBB"/>
    <w:rsid w:val="001F0FCD"/>
    <w:rsid w:val="001F1003"/>
    <w:rsid w:val="001F1043"/>
    <w:rsid w:val="001F1081"/>
    <w:rsid w:val="001F1093"/>
    <w:rsid w:val="001F1167"/>
    <w:rsid w:val="001F1182"/>
    <w:rsid w:val="001F11DA"/>
    <w:rsid w:val="001F124D"/>
    <w:rsid w:val="001F126D"/>
    <w:rsid w:val="001F1287"/>
    <w:rsid w:val="001F12D8"/>
    <w:rsid w:val="001F133E"/>
    <w:rsid w:val="001F134B"/>
    <w:rsid w:val="001F140E"/>
    <w:rsid w:val="001F14BD"/>
    <w:rsid w:val="001F14F1"/>
    <w:rsid w:val="001F154D"/>
    <w:rsid w:val="001F1550"/>
    <w:rsid w:val="001F15DE"/>
    <w:rsid w:val="001F1669"/>
    <w:rsid w:val="001F16A5"/>
    <w:rsid w:val="001F16B1"/>
    <w:rsid w:val="001F177C"/>
    <w:rsid w:val="001F180D"/>
    <w:rsid w:val="001F185D"/>
    <w:rsid w:val="001F1885"/>
    <w:rsid w:val="001F195A"/>
    <w:rsid w:val="001F1981"/>
    <w:rsid w:val="001F1990"/>
    <w:rsid w:val="001F1A78"/>
    <w:rsid w:val="001F1ADB"/>
    <w:rsid w:val="001F1B12"/>
    <w:rsid w:val="001F1B27"/>
    <w:rsid w:val="001F1B4A"/>
    <w:rsid w:val="001F1B5B"/>
    <w:rsid w:val="001F1B63"/>
    <w:rsid w:val="001F1B71"/>
    <w:rsid w:val="001F1B72"/>
    <w:rsid w:val="001F1BA4"/>
    <w:rsid w:val="001F1BD6"/>
    <w:rsid w:val="001F1BD8"/>
    <w:rsid w:val="001F1C05"/>
    <w:rsid w:val="001F1C92"/>
    <w:rsid w:val="001F1D24"/>
    <w:rsid w:val="001F1D38"/>
    <w:rsid w:val="001F1DA2"/>
    <w:rsid w:val="001F1DE1"/>
    <w:rsid w:val="001F1DF0"/>
    <w:rsid w:val="001F1F30"/>
    <w:rsid w:val="001F1FD6"/>
    <w:rsid w:val="001F2022"/>
    <w:rsid w:val="001F205A"/>
    <w:rsid w:val="001F20E0"/>
    <w:rsid w:val="001F213A"/>
    <w:rsid w:val="001F21F9"/>
    <w:rsid w:val="001F222C"/>
    <w:rsid w:val="001F2258"/>
    <w:rsid w:val="001F2271"/>
    <w:rsid w:val="001F23CA"/>
    <w:rsid w:val="001F2402"/>
    <w:rsid w:val="001F242A"/>
    <w:rsid w:val="001F2472"/>
    <w:rsid w:val="001F2498"/>
    <w:rsid w:val="001F25A6"/>
    <w:rsid w:val="001F25B7"/>
    <w:rsid w:val="001F2621"/>
    <w:rsid w:val="001F26A1"/>
    <w:rsid w:val="001F26FE"/>
    <w:rsid w:val="001F2700"/>
    <w:rsid w:val="001F272C"/>
    <w:rsid w:val="001F274D"/>
    <w:rsid w:val="001F2766"/>
    <w:rsid w:val="001F2792"/>
    <w:rsid w:val="001F2908"/>
    <w:rsid w:val="001F2966"/>
    <w:rsid w:val="001F2971"/>
    <w:rsid w:val="001F29DF"/>
    <w:rsid w:val="001F2A74"/>
    <w:rsid w:val="001F2AC4"/>
    <w:rsid w:val="001F2AD9"/>
    <w:rsid w:val="001F2B14"/>
    <w:rsid w:val="001F2B91"/>
    <w:rsid w:val="001F2C1D"/>
    <w:rsid w:val="001F2C87"/>
    <w:rsid w:val="001F2D0B"/>
    <w:rsid w:val="001F2D5B"/>
    <w:rsid w:val="001F2D7D"/>
    <w:rsid w:val="001F2D8C"/>
    <w:rsid w:val="001F2D96"/>
    <w:rsid w:val="001F2DA5"/>
    <w:rsid w:val="001F2DAA"/>
    <w:rsid w:val="001F2EE3"/>
    <w:rsid w:val="001F2EF9"/>
    <w:rsid w:val="001F2F7D"/>
    <w:rsid w:val="001F2F85"/>
    <w:rsid w:val="001F2F8A"/>
    <w:rsid w:val="001F2F9E"/>
    <w:rsid w:val="001F2FA6"/>
    <w:rsid w:val="001F2FD6"/>
    <w:rsid w:val="001F3064"/>
    <w:rsid w:val="001F30D0"/>
    <w:rsid w:val="001F3179"/>
    <w:rsid w:val="001F31E7"/>
    <w:rsid w:val="001F3225"/>
    <w:rsid w:val="001F3258"/>
    <w:rsid w:val="001F328D"/>
    <w:rsid w:val="001F32E7"/>
    <w:rsid w:val="001F32F7"/>
    <w:rsid w:val="001F3302"/>
    <w:rsid w:val="001F331E"/>
    <w:rsid w:val="001F332A"/>
    <w:rsid w:val="001F3340"/>
    <w:rsid w:val="001F339D"/>
    <w:rsid w:val="001F33E2"/>
    <w:rsid w:val="001F33EF"/>
    <w:rsid w:val="001F342B"/>
    <w:rsid w:val="001F3443"/>
    <w:rsid w:val="001F349E"/>
    <w:rsid w:val="001F34F2"/>
    <w:rsid w:val="001F351F"/>
    <w:rsid w:val="001F3573"/>
    <w:rsid w:val="001F3694"/>
    <w:rsid w:val="001F36E4"/>
    <w:rsid w:val="001F3724"/>
    <w:rsid w:val="001F3727"/>
    <w:rsid w:val="001F3744"/>
    <w:rsid w:val="001F3767"/>
    <w:rsid w:val="001F3794"/>
    <w:rsid w:val="001F37D6"/>
    <w:rsid w:val="001F37E6"/>
    <w:rsid w:val="001F3855"/>
    <w:rsid w:val="001F388A"/>
    <w:rsid w:val="001F38B4"/>
    <w:rsid w:val="001F38CB"/>
    <w:rsid w:val="001F393E"/>
    <w:rsid w:val="001F39A9"/>
    <w:rsid w:val="001F39BB"/>
    <w:rsid w:val="001F39C4"/>
    <w:rsid w:val="001F39D8"/>
    <w:rsid w:val="001F39F3"/>
    <w:rsid w:val="001F3A37"/>
    <w:rsid w:val="001F3A3B"/>
    <w:rsid w:val="001F3A70"/>
    <w:rsid w:val="001F3A75"/>
    <w:rsid w:val="001F3A7F"/>
    <w:rsid w:val="001F3A9E"/>
    <w:rsid w:val="001F3AB1"/>
    <w:rsid w:val="001F3AB4"/>
    <w:rsid w:val="001F3AEF"/>
    <w:rsid w:val="001F3B03"/>
    <w:rsid w:val="001F3B08"/>
    <w:rsid w:val="001F3B09"/>
    <w:rsid w:val="001F3B3F"/>
    <w:rsid w:val="001F3B5F"/>
    <w:rsid w:val="001F3BA2"/>
    <w:rsid w:val="001F3BE1"/>
    <w:rsid w:val="001F3C67"/>
    <w:rsid w:val="001F3CB6"/>
    <w:rsid w:val="001F3D2F"/>
    <w:rsid w:val="001F3D39"/>
    <w:rsid w:val="001F3D52"/>
    <w:rsid w:val="001F3D58"/>
    <w:rsid w:val="001F3D6C"/>
    <w:rsid w:val="001F3DF5"/>
    <w:rsid w:val="001F3E42"/>
    <w:rsid w:val="001F3E58"/>
    <w:rsid w:val="001F3E5A"/>
    <w:rsid w:val="001F3E74"/>
    <w:rsid w:val="001F3E8A"/>
    <w:rsid w:val="001F3E98"/>
    <w:rsid w:val="001F3EB6"/>
    <w:rsid w:val="001F3EC1"/>
    <w:rsid w:val="001F3F0A"/>
    <w:rsid w:val="001F3F86"/>
    <w:rsid w:val="001F3FC0"/>
    <w:rsid w:val="001F406F"/>
    <w:rsid w:val="001F4080"/>
    <w:rsid w:val="001F40BC"/>
    <w:rsid w:val="001F40F3"/>
    <w:rsid w:val="001F411C"/>
    <w:rsid w:val="001F4146"/>
    <w:rsid w:val="001F41C3"/>
    <w:rsid w:val="001F426E"/>
    <w:rsid w:val="001F428F"/>
    <w:rsid w:val="001F4291"/>
    <w:rsid w:val="001F42C0"/>
    <w:rsid w:val="001F4305"/>
    <w:rsid w:val="001F4390"/>
    <w:rsid w:val="001F439F"/>
    <w:rsid w:val="001F43EB"/>
    <w:rsid w:val="001F43EF"/>
    <w:rsid w:val="001F43F9"/>
    <w:rsid w:val="001F4442"/>
    <w:rsid w:val="001F44BD"/>
    <w:rsid w:val="001F44D9"/>
    <w:rsid w:val="001F457D"/>
    <w:rsid w:val="001F45DD"/>
    <w:rsid w:val="001F45E7"/>
    <w:rsid w:val="001F464F"/>
    <w:rsid w:val="001F4669"/>
    <w:rsid w:val="001F4697"/>
    <w:rsid w:val="001F472A"/>
    <w:rsid w:val="001F474D"/>
    <w:rsid w:val="001F4781"/>
    <w:rsid w:val="001F47F4"/>
    <w:rsid w:val="001F4839"/>
    <w:rsid w:val="001F4852"/>
    <w:rsid w:val="001F48AD"/>
    <w:rsid w:val="001F48ED"/>
    <w:rsid w:val="001F4916"/>
    <w:rsid w:val="001F492C"/>
    <w:rsid w:val="001F4999"/>
    <w:rsid w:val="001F49D2"/>
    <w:rsid w:val="001F4A05"/>
    <w:rsid w:val="001F4A42"/>
    <w:rsid w:val="001F4AB5"/>
    <w:rsid w:val="001F4B3E"/>
    <w:rsid w:val="001F4BDA"/>
    <w:rsid w:val="001F4BEF"/>
    <w:rsid w:val="001F4C15"/>
    <w:rsid w:val="001F4C30"/>
    <w:rsid w:val="001F4C43"/>
    <w:rsid w:val="001F4CD3"/>
    <w:rsid w:val="001F4D19"/>
    <w:rsid w:val="001F4D84"/>
    <w:rsid w:val="001F4DB6"/>
    <w:rsid w:val="001F4E67"/>
    <w:rsid w:val="001F4E8E"/>
    <w:rsid w:val="001F4E9E"/>
    <w:rsid w:val="001F4EC4"/>
    <w:rsid w:val="001F4F28"/>
    <w:rsid w:val="001F4F41"/>
    <w:rsid w:val="001F4F63"/>
    <w:rsid w:val="001F5016"/>
    <w:rsid w:val="001F5019"/>
    <w:rsid w:val="001F5090"/>
    <w:rsid w:val="001F50AF"/>
    <w:rsid w:val="001F50B9"/>
    <w:rsid w:val="001F50EC"/>
    <w:rsid w:val="001F50ED"/>
    <w:rsid w:val="001F5124"/>
    <w:rsid w:val="001F5134"/>
    <w:rsid w:val="001F5150"/>
    <w:rsid w:val="001F518D"/>
    <w:rsid w:val="001F51A4"/>
    <w:rsid w:val="001F5206"/>
    <w:rsid w:val="001F523D"/>
    <w:rsid w:val="001F525E"/>
    <w:rsid w:val="001F526C"/>
    <w:rsid w:val="001F52A0"/>
    <w:rsid w:val="001F52E2"/>
    <w:rsid w:val="001F5325"/>
    <w:rsid w:val="001F533A"/>
    <w:rsid w:val="001F538B"/>
    <w:rsid w:val="001F540A"/>
    <w:rsid w:val="001F5429"/>
    <w:rsid w:val="001F543B"/>
    <w:rsid w:val="001F54B0"/>
    <w:rsid w:val="001F5507"/>
    <w:rsid w:val="001F5544"/>
    <w:rsid w:val="001F556F"/>
    <w:rsid w:val="001F55B6"/>
    <w:rsid w:val="001F5607"/>
    <w:rsid w:val="001F5612"/>
    <w:rsid w:val="001F5676"/>
    <w:rsid w:val="001F56BB"/>
    <w:rsid w:val="001F56C3"/>
    <w:rsid w:val="001F5733"/>
    <w:rsid w:val="001F575F"/>
    <w:rsid w:val="001F5787"/>
    <w:rsid w:val="001F57AE"/>
    <w:rsid w:val="001F580B"/>
    <w:rsid w:val="001F5811"/>
    <w:rsid w:val="001F5883"/>
    <w:rsid w:val="001F5889"/>
    <w:rsid w:val="001F58CE"/>
    <w:rsid w:val="001F599F"/>
    <w:rsid w:val="001F5A50"/>
    <w:rsid w:val="001F5A7D"/>
    <w:rsid w:val="001F5A80"/>
    <w:rsid w:val="001F5A97"/>
    <w:rsid w:val="001F5AE6"/>
    <w:rsid w:val="001F5B1A"/>
    <w:rsid w:val="001F5B8A"/>
    <w:rsid w:val="001F5BDC"/>
    <w:rsid w:val="001F5C6B"/>
    <w:rsid w:val="001F5C80"/>
    <w:rsid w:val="001F5D5C"/>
    <w:rsid w:val="001F5D77"/>
    <w:rsid w:val="001F5D78"/>
    <w:rsid w:val="001F5DDF"/>
    <w:rsid w:val="001F5DFD"/>
    <w:rsid w:val="001F5E07"/>
    <w:rsid w:val="001F5EA4"/>
    <w:rsid w:val="001F5EB2"/>
    <w:rsid w:val="001F5EE5"/>
    <w:rsid w:val="001F5EF3"/>
    <w:rsid w:val="001F5EFD"/>
    <w:rsid w:val="001F5F29"/>
    <w:rsid w:val="001F5F5C"/>
    <w:rsid w:val="001F5FD9"/>
    <w:rsid w:val="001F6002"/>
    <w:rsid w:val="001F601A"/>
    <w:rsid w:val="001F6023"/>
    <w:rsid w:val="001F604F"/>
    <w:rsid w:val="001F607B"/>
    <w:rsid w:val="001F608A"/>
    <w:rsid w:val="001F60A6"/>
    <w:rsid w:val="001F60EA"/>
    <w:rsid w:val="001F60EE"/>
    <w:rsid w:val="001F60FC"/>
    <w:rsid w:val="001F6142"/>
    <w:rsid w:val="001F614E"/>
    <w:rsid w:val="001F6215"/>
    <w:rsid w:val="001F62B3"/>
    <w:rsid w:val="001F62D3"/>
    <w:rsid w:val="001F630D"/>
    <w:rsid w:val="001F6355"/>
    <w:rsid w:val="001F6362"/>
    <w:rsid w:val="001F636A"/>
    <w:rsid w:val="001F636D"/>
    <w:rsid w:val="001F6370"/>
    <w:rsid w:val="001F6492"/>
    <w:rsid w:val="001F6715"/>
    <w:rsid w:val="001F67EE"/>
    <w:rsid w:val="001F67FD"/>
    <w:rsid w:val="001F6824"/>
    <w:rsid w:val="001F6855"/>
    <w:rsid w:val="001F68BB"/>
    <w:rsid w:val="001F68C0"/>
    <w:rsid w:val="001F6976"/>
    <w:rsid w:val="001F6985"/>
    <w:rsid w:val="001F699E"/>
    <w:rsid w:val="001F6A70"/>
    <w:rsid w:val="001F6B56"/>
    <w:rsid w:val="001F6B94"/>
    <w:rsid w:val="001F6B95"/>
    <w:rsid w:val="001F6BA5"/>
    <w:rsid w:val="001F6BE2"/>
    <w:rsid w:val="001F6C72"/>
    <w:rsid w:val="001F6D35"/>
    <w:rsid w:val="001F6E0E"/>
    <w:rsid w:val="001F6EC7"/>
    <w:rsid w:val="001F6F24"/>
    <w:rsid w:val="001F6FD1"/>
    <w:rsid w:val="001F700F"/>
    <w:rsid w:val="001F7025"/>
    <w:rsid w:val="001F7113"/>
    <w:rsid w:val="001F7119"/>
    <w:rsid w:val="001F7138"/>
    <w:rsid w:val="001F7182"/>
    <w:rsid w:val="001F7195"/>
    <w:rsid w:val="001F719F"/>
    <w:rsid w:val="001F71B0"/>
    <w:rsid w:val="001F71E8"/>
    <w:rsid w:val="001F7209"/>
    <w:rsid w:val="001F722A"/>
    <w:rsid w:val="001F7313"/>
    <w:rsid w:val="001F7334"/>
    <w:rsid w:val="001F736D"/>
    <w:rsid w:val="001F739F"/>
    <w:rsid w:val="001F73EF"/>
    <w:rsid w:val="001F7432"/>
    <w:rsid w:val="001F7443"/>
    <w:rsid w:val="001F745C"/>
    <w:rsid w:val="001F7512"/>
    <w:rsid w:val="001F75A6"/>
    <w:rsid w:val="001F768E"/>
    <w:rsid w:val="001F76A6"/>
    <w:rsid w:val="001F76BD"/>
    <w:rsid w:val="001F788D"/>
    <w:rsid w:val="001F789E"/>
    <w:rsid w:val="001F78F8"/>
    <w:rsid w:val="001F7981"/>
    <w:rsid w:val="001F7992"/>
    <w:rsid w:val="001F7A15"/>
    <w:rsid w:val="001F7A50"/>
    <w:rsid w:val="001F7A86"/>
    <w:rsid w:val="001F7A97"/>
    <w:rsid w:val="001F7AA4"/>
    <w:rsid w:val="001F7ACA"/>
    <w:rsid w:val="001F7ACB"/>
    <w:rsid w:val="001F7ADE"/>
    <w:rsid w:val="001F7B02"/>
    <w:rsid w:val="001F7BA2"/>
    <w:rsid w:val="001F7BDA"/>
    <w:rsid w:val="001F7BDB"/>
    <w:rsid w:val="001F7C14"/>
    <w:rsid w:val="001F7C22"/>
    <w:rsid w:val="001F7CAC"/>
    <w:rsid w:val="001F7D0C"/>
    <w:rsid w:val="001F7D2C"/>
    <w:rsid w:val="001F7E19"/>
    <w:rsid w:val="001F7E3C"/>
    <w:rsid w:val="001F7E4E"/>
    <w:rsid w:val="001F7E60"/>
    <w:rsid w:val="001F7E84"/>
    <w:rsid w:val="001F7ED8"/>
    <w:rsid w:val="001F7F5F"/>
    <w:rsid w:val="001F7FCE"/>
    <w:rsid w:val="00200028"/>
    <w:rsid w:val="0020008E"/>
    <w:rsid w:val="0020008F"/>
    <w:rsid w:val="002000B7"/>
    <w:rsid w:val="002000B8"/>
    <w:rsid w:val="002000BF"/>
    <w:rsid w:val="002000E3"/>
    <w:rsid w:val="0020015C"/>
    <w:rsid w:val="0020016F"/>
    <w:rsid w:val="00200176"/>
    <w:rsid w:val="0020018F"/>
    <w:rsid w:val="00200215"/>
    <w:rsid w:val="00200218"/>
    <w:rsid w:val="0020024D"/>
    <w:rsid w:val="00200297"/>
    <w:rsid w:val="002002A9"/>
    <w:rsid w:val="00200358"/>
    <w:rsid w:val="0020038F"/>
    <w:rsid w:val="002003B5"/>
    <w:rsid w:val="002003CB"/>
    <w:rsid w:val="002003E1"/>
    <w:rsid w:val="00200402"/>
    <w:rsid w:val="0020040E"/>
    <w:rsid w:val="00200438"/>
    <w:rsid w:val="0020049D"/>
    <w:rsid w:val="002004B5"/>
    <w:rsid w:val="00200518"/>
    <w:rsid w:val="00200528"/>
    <w:rsid w:val="0020052E"/>
    <w:rsid w:val="002005C1"/>
    <w:rsid w:val="002005C3"/>
    <w:rsid w:val="00200610"/>
    <w:rsid w:val="00200614"/>
    <w:rsid w:val="0020063B"/>
    <w:rsid w:val="0020065B"/>
    <w:rsid w:val="00200681"/>
    <w:rsid w:val="00200715"/>
    <w:rsid w:val="0020073A"/>
    <w:rsid w:val="00200753"/>
    <w:rsid w:val="00200777"/>
    <w:rsid w:val="00200778"/>
    <w:rsid w:val="00200798"/>
    <w:rsid w:val="0020079F"/>
    <w:rsid w:val="002007AC"/>
    <w:rsid w:val="002007B9"/>
    <w:rsid w:val="002007F8"/>
    <w:rsid w:val="0020080A"/>
    <w:rsid w:val="00200862"/>
    <w:rsid w:val="00200927"/>
    <w:rsid w:val="002009B5"/>
    <w:rsid w:val="00200A24"/>
    <w:rsid w:val="00200A32"/>
    <w:rsid w:val="00200A49"/>
    <w:rsid w:val="00200A5A"/>
    <w:rsid w:val="00200A5D"/>
    <w:rsid w:val="00200AAD"/>
    <w:rsid w:val="00200AE9"/>
    <w:rsid w:val="00200B66"/>
    <w:rsid w:val="00200B7E"/>
    <w:rsid w:val="00200BD0"/>
    <w:rsid w:val="00200C12"/>
    <w:rsid w:val="00200C29"/>
    <w:rsid w:val="00200C2A"/>
    <w:rsid w:val="00200C39"/>
    <w:rsid w:val="00200C5B"/>
    <w:rsid w:val="00200C91"/>
    <w:rsid w:val="00200D46"/>
    <w:rsid w:val="00200D49"/>
    <w:rsid w:val="00200D4B"/>
    <w:rsid w:val="00200D57"/>
    <w:rsid w:val="00200D79"/>
    <w:rsid w:val="00200DE6"/>
    <w:rsid w:val="00200DEF"/>
    <w:rsid w:val="00200DF8"/>
    <w:rsid w:val="00200E09"/>
    <w:rsid w:val="00200EEF"/>
    <w:rsid w:val="00200F2D"/>
    <w:rsid w:val="00200F3B"/>
    <w:rsid w:val="00200F59"/>
    <w:rsid w:val="00200F5C"/>
    <w:rsid w:val="002010AB"/>
    <w:rsid w:val="002010AE"/>
    <w:rsid w:val="002010C4"/>
    <w:rsid w:val="00201117"/>
    <w:rsid w:val="00201154"/>
    <w:rsid w:val="00201182"/>
    <w:rsid w:val="002011CC"/>
    <w:rsid w:val="002011EA"/>
    <w:rsid w:val="00201220"/>
    <w:rsid w:val="00201279"/>
    <w:rsid w:val="0020136A"/>
    <w:rsid w:val="002013CB"/>
    <w:rsid w:val="00201418"/>
    <w:rsid w:val="0020141E"/>
    <w:rsid w:val="00201423"/>
    <w:rsid w:val="002014DF"/>
    <w:rsid w:val="002014FE"/>
    <w:rsid w:val="00201514"/>
    <w:rsid w:val="00201528"/>
    <w:rsid w:val="00201544"/>
    <w:rsid w:val="00201572"/>
    <w:rsid w:val="002015B4"/>
    <w:rsid w:val="002015CF"/>
    <w:rsid w:val="0020167E"/>
    <w:rsid w:val="002016CE"/>
    <w:rsid w:val="002016CF"/>
    <w:rsid w:val="00201786"/>
    <w:rsid w:val="002017F8"/>
    <w:rsid w:val="00201865"/>
    <w:rsid w:val="0020187B"/>
    <w:rsid w:val="002018EB"/>
    <w:rsid w:val="0020190F"/>
    <w:rsid w:val="00201913"/>
    <w:rsid w:val="00201914"/>
    <w:rsid w:val="00201944"/>
    <w:rsid w:val="002019D2"/>
    <w:rsid w:val="002019F6"/>
    <w:rsid w:val="00201A0F"/>
    <w:rsid w:val="00201A4B"/>
    <w:rsid w:val="00201AD4"/>
    <w:rsid w:val="00201AE2"/>
    <w:rsid w:val="00201B41"/>
    <w:rsid w:val="00201B83"/>
    <w:rsid w:val="00201BF6"/>
    <w:rsid w:val="00201C14"/>
    <w:rsid w:val="00201CC0"/>
    <w:rsid w:val="00201CC3"/>
    <w:rsid w:val="00201CD2"/>
    <w:rsid w:val="00201CF9"/>
    <w:rsid w:val="00201D21"/>
    <w:rsid w:val="00201D84"/>
    <w:rsid w:val="00201D85"/>
    <w:rsid w:val="00201D8C"/>
    <w:rsid w:val="00201DC1"/>
    <w:rsid w:val="00201DF6"/>
    <w:rsid w:val="00201E0D"/>
    <w:rsid w:val="00201E1C"/>
    <w:rsid w:val="00201E21"/>
    <w:rsid w:val="00201E73"/>
    <w:rsid w:val="00201EDC"/>
    <w:rsid w:val="00201EEE"/>
    <w:rsid w:val="00202031"/>
    <w:rsid w:val="0020203F"/>
    <w:rsid w:val="0020206A"/>
    <w:rsid w:val="00202131"/>
    <w:rsid w:val="00202186"/>
    <w:rsid w:val="002021A3"/>
    <w:rsid w:val="002021CD"/>
    <w:rsid w:val="002021DB"/>
    <w:rsid w:val="00202280"/>
    <w:rsid w:val="0020234E"/>
    <w:rsid w:val="0020234F"/>
    <w:rsid w:val="002023D5"/>
    <w:rsid w:val="0020244D"/>
    <w:rsid w:val="0020247F"/>
    <w:rsid w:val="00202485"/>
    <w:rsid w:val="002024A0"/>
    <w:rsid w:val="00202550"/>
    <w:rsid w:val="0020259E"/>
    <w:rsid w:val="002025C8"/>
    <w:rsid w:val="00202617"/>
    <w:rsid w:val="00202632"/>
    <w:rsid w:val="002026E6"/>
    <w:rsid w:val="00202720"/>
    <w:rsid w:val="00202763"/>
    <w:rsid w:val="002027C1"/>
    <w:rsid w:val="002027CB"/>
    <w:rsid w:val="002027CC"/>
    <w:rsid w:val="002027CD"/>
    <w:rsid w:val="00202801"/>
    <w:rsid w:val="00202802"/>
    <w:rsid w:val="0020281F"/>
    <w:rsid w:val="0020285B"/>
    <w:rsid w:val="0020285E"/>
    <w:rsid w:val="0020288B"/>
    <w:rsid w:val="002028D1"/>
    <w:rsid w:val="002028D9"/>
    <w:rsid w:val="0020296D"/>
    <w:rsid w:val="00202A2B"/>
    <w:rsid w:val="00202A68"/>
    <w:rsid w:val="00202C55"/>
    <w:rsid w:val="00202C79"/>
    <w:rsid w:val="00202CD9"/>
    <w:rsid w:val="00202CF9"/>
    <w:rsid w:val="00202D18"/>
    <w:rsid w:val="00202D21"/>
    <w:rsid w:val="00202D64"/>
    <w:rsid w:val="00202D94"/>
    <w:rsid w:val="00202E52"/>
    <w:rsid w:val="00202E84"/>
    <w:rsid w:val="00202E86"/>
    <w:rsid w:val="00202EA5"/>
    <w:rsid w:val="00202EB0"/>
    <w:rsid w:val="00202ECC"/>
    <w:rsid w:val="00202EF7"/>
    <w:rsid w:val="00202F1A"/>
    <w:rsid w:val="00202FC5"/>
    <w:rsid w:val="00202FCA"/>
    <w:rsid w:val="00202FEF"/>
    <w:rsid w:val="0020305E"/>
    <w:rsid w:val="00203094"/>
    <w:rsid w:val="002030BA"/>
    <w:rsid w:val="002030DE"/>
    <w:rsid w:val="002030F8"/>
    <w:rsid w:val="00203114"/>
    <w:rsid w:val="00203126"/>
    <w:rsid w:val="00203134"/>
    <w:rsid w:val="0020316D"/>
    <w:rsid w:val="0020325A"/>
    <w:rsid w:val="00203269"/>
    <w:rsid w:val="0020327D"/>
    <w:rsid w:val="00203295"/>
    <w:rsid w:val="002032A7"/>
    <w:rsid w:val="002032E7"/>
    <w:rsid w:val="00203308"/>
    <w:rsid w:val="00203317"/>
    <w:rsid w:val="00203346"/>
    <w:rsid w:val="00203358"/>
    <w:rsid w:val="002033BB"/>
    <w:rsid w:val="00203460"/>
    <w:rsid w:val="002034CE"/>
    <w:rsid w:val="00203500"/>
    <w:rsid w:val="0020351D"/>
    <w:rsid w:val="00203533"/>
    <w:rsid w:val="00203579"/>
    <w:rsid w:val="002035C4"/>
    <w:rsid w:val="002035E7"/>
    <w:rsid w:val="00203603"/>
    <w:rsid w:val="00203609"/>
    <w:rsid w:val="0020360C"/>
    <w:rsid w:val="00203672"/>
    <w:rsid w:val="002036AD"/>
    <w:rsid w:val="002036B0"/>
    <w:rsid w:val="002036B8"/>
    <w:rsid w:val="002036C0"/>
    <w:rsid w:val="00203733"/>
    <w:rsid w:val="00203743"/>
    <w:rsid w:val="00203750"/>
    <w:rsid w:val="00203784"/>
    <w:rsid w:val="00203787"/>
    <w:rsid w:val="0020379E"/>
    <w:rsid w:val="002037B9"/>
    <w:rsid w:val="00203832"/>
    <w:rsid w:val="0020386C"/>
    <w:rsid w:val="00203884"/>
    <w:rsid w:val="00203891"/>
    <w:rsid w:val="002038AE"/>
    <w:rsid w:val="002038ED"/>
    <w:rsid w:val="0020397A"/>
    <w:rsid w:val="0020399A"/>
    <w:rsid w:val="002039BC"/>
    <w:rsid w:val="002039C3"/>
    <w:rsid w:val="00203A15"/>
    <w:rsid w:val="00203A45"/>
    <w:rsid w:val="00203A46"/>
    <w:rsid w:val="00203A5C"/>
    <w:rsid w:val="00203AB1"/>
    <w:rsid w:val="00203AD4"/>
    <w:rsid w:val="00203ADD"/>
    <w:rsid w:val="00203B0B"/>
    <w:rsid w:val="00203B76"/>
    <w:rsid w:val="00203C19"/>
    <w:rsid w:val="00203C6C"/>
    <w:rsid w:val="00203C6F"/>
    <w:rsid w:val="00203C74"/>
    <w:rsid w:val="00203C96"/>
    <w:rsid w:val="00203CAD"/>
    <w:rsid w:val="00203CB2"/>
    <w:rsid w:val="00203D08"/>
    <w:rsid w:val="00203D2D"/>
    <w:rsid w:val="00203D69"/>
    <w:rsid w:val="00203D85"/>
    <w:rsid w:val="00203DFD"/>
    <w:rsid w:val="00203F4A"/>
    <w:rsid w:val="00203F7D"/>
    <w:rsid w:val="00203FA7"/>
    <w:rsid w:val="00204030"/>
    <w:rsid w:val="00204085"/>
    <w:rsid w:val="002040B6"/>
    <w:rsid w:val="00204105"/>
    <w:rsid w:val="00204175"/>
    <w:rsid w:val="002041B8"/>
    <w:rsid w:val="00204254"/>
    <w:rsid w:val="00204297"/>
    <w:rsid w:val="002042C1"/>
    <w:rsid w:val="002042EF"/>
    <w:rsid w:val="0020432E"/>
    <w:rsid w:val="002043C9"/>
    <w:rsid w:val="00204428"/>
    <w:rsid w:val="00204457"/>
    <w:rsid w:val="002044BF"/>
    <w:rsid w:val="002044D2"/>
    <w:rsid w:val="00204543"/>
    <w:rsid w:val="0020454B"/>
    <w:rsid w:val="002045A4"/>
    <w:rsid w:val="00204669"/>
    <w:rsid w:val="00204687"/>
    <w:rsid w:val="002046D6"/>
    <w:rsid w:val="002046F8"/>
    <w:rsid w:val="00204705"/>
    <w:rsid w:val="0020471A"/>
    <w:rsid w:val="00204828"/>
    <w:rsid w:val="00204868"/>
    <w:rsid w:val="002048AF"/>
    <w:rsid w:val="0020490D"/>
    <w:rsid w:val="0020491D"/>
    <w:rsid w:val="00204969"/>
    <w:rsid w:val="0020496C"/>
    <w:rsid w:val="00204977"/>
    <w:rsid w:val="00204984"/>
    <w:rsid w:val="0020499C"/>
    <w:rsid w:val="00204A09"/>
    <w:rsid w:val="00204A48"/>
    <w:rsid w:val="00204A50"/>
    <w:rsid w:val="00204A69"/>
    <w:rsid w:val="00204BB2"/>
    <w:rsid w:val="00204C30"/>
    <w:rsid w:val="00204C4C"/>
    <w:rsid w:val="00204CED"/>
    <w:rsid w:val="00204D29"/>
    <w:rsid w:val="00204D64"/>
    <w:rsid w:val="00204DCB"/>
    <w:rsid w:val="00204E88"/>
    <w:rsid w:val="00204F10"/>
    <w:rsid w:val="00204F85"/>
    <w:rsid w:val="00204FEB"/>
    <w:rsid w:val="0020501B"/>
    <w:rsid w:val="0020504C"/>
    <w:rsid w:val="00205145"/>
    <w:rsid w:val="00205167"/>
    <w:rsid w:val="0020516B"/>
    <w:rsid w:val="00205176"/>
    <w:rsid w:val="002051B5"/>
    <w:rsid w:val="00205255"/>
    <w:rsid w:val="00205286"/>
    <w:rsid w:val="00205305"/>
    <w:rsid w:val="0020530D"/>
    <w:rsid w:val="0020538F"/>
    <w:rsid w:val="002053D6"/>
    <w:rsid w:val="00205414"/>
    <w:rsid w:val="0020544E"/>
    <w:rsid w:val="00205472"/>
    <w:rsid w:val="00205533"/>
    <w:rsid w:val="00205569"/>
    <w:rsid w:val="00205609"/>
    <w:rsid w:val="00205673"/>
    <w:rsid w:val="00205693"/>
    <w:rsid w:val="002056A2"/>
    <w:rsid w:val="002056B7"/>
    <w:rsid w:val="002056E0"/>
    <w:rsid w:val="002056FD"/>
    <w:rsid w:val="00205702"/>
    <w:rsid w:val="00205726"/>
    <w:rsid w:val="00205746"/>
    <w:rsid w:val="00205787"/>
    <w:rsid w:val="00205796"/>
    <w:rsid w:val="0020579A"/>
    <w:rsid w:val="002057C2"/>
    <w:rsid w:val="00205810"/>
    <w:rsid w:val="00205834"/>
    <w:rsid w:val="00205859"/>
    <w:rsid w:val="002058DA"/>
    <w:rsid w:val="00205950"/>
    <w:rsid w:val="0020595B"/>
    <w:rsid w:val="002059CC"/>
    <w:rsid w:val="002059EC"/>
    <w:rsid w:val="002059F3"/>
    <w:rsid w:val="002059F8"/>
    <w:rsid w:val="002059FD"/>
    <w:rsid w:val="00205A0D"/>
    <w:rsid w:val="00205A3C"/>
    <w:rsid w:val="00205A57"/>
    <w:rsid w:val="00205A69"/>
    <w:rsid w:val="00205A73"/>
    <w:rsid w:val="00205A7F"/>
    <w:rsid w:val="00205AA1"/>
    <w:rsid w:val="00205ACE"/>
    <w:rsid w:val="00205B55"/>
    <w:rsid w:val="00205C34"/>
    <w:rsid w:val="00205C37"/>
    <w:rsid w:val="00205C3F"/>
    <w:rsid w:val="00205C85"/>
    <w:rsid w:val="00205CA8"/>
    <w:rsid w:val="00205CF9"/>
    <w:rsid w:val="00205D13"/>
    <w:rsid w:val="00205D64"/>
    <w:rsid w:val="00205DDF"/>
    <w:rsid w:val="00205E31"/>
    <w:rsid w:val="00205E9C"/>
    <w:rsid w:val="00205EB5"/>
    <w:rsid w:val="00205EF3"/>
    <w:rsid w:val="00205F88"/>
    <w:rsid w:val="00205FDE"/>
    <w:rsid w:val="00205FF7"/>
    <w:rsid w:val="00206030"/>
    <w:rsid w:val="0020603A"/>
    <w:rsid w:val="002060B9"/>
    <w:rsid w:val="002060C8"/>
    <w:rsid w:val="0020613D"/>
    <w:rsid w:val="00206173"/>
    <w:rsid w:val="00206184"/>
    <w:rsid w:val="00206197"/>
    <w:rsid w:val="0020619B"/>
    <w:rsid w:val="002061A4"/>
    <w:rsid w:val="002061EF"/>
    <w:rsid w:val="0020623A"/>
    <w:rsid w:val="00206256"/>
    <w:rsid w:val="0020638D"/>
    <w:rsid w:val="0020639F"/>
    <w:rsid w:val="00206456"/>
    <w:rsid w:val="00206528"/>
    <w:rsid w:val="0020658A"/>
    <w:rsid w:val="00206590"/>
    <w:rsid w:val="0020659E"/>
    <w:rsid w:val="002066B2"/>
    <w:rsid w:val="002066EB"/>
    <w:rsid w:val="002066F7"/>
    <w:rsid w:val="00206720"/>
    <w:rsid w:val="00206741"/>
    <w:rsid w:val="0020676F"/>
    <w:rsid w:val="00206771"/>
    <w:rsid w:val="002067D0"/>
    <w:rsid w:val="00206829"/>
    <w:rsid w:val="0020682C"/>
    <w:rsid w:val="00206832"/>
    <w:rsid w:val="0020683B"/>
    <w:rsid w:val="0020688B"/>
    <w:rsid w:val="0020690F"/>
    <w:rsid w:val="00206917"/>
    <w:rsid w:val="00206989"/>
    <w:rsid w:val="0020698C"/>
    <w:rsid w:val="00206A84"/>
    <w:rsid w:val="00206A89"/>
    <w:rsid w:val="00206AAE"/>
    <w:rsid w:val="00206AE4"/>
    <w:rsid w:val="00206B5C"/>
    <w:rsid w:val="00206BF0"/>
    <w:rsid w:val="00206C20"/>
    <w:rsid w:val="00206C2C"/>
    <w:rsid w:val="00206C60"/>
    <w:rsid w:val="00206C75"/>
    <w:rsid w:val="00206CB0"/>
    <w:rsid w:val="00206CB5"/>
    <w:rsid w:val="00206D4C"/>
    <w:rsid w:val="00206D9B"/>
    <w:rsid w:val="00206DA5"/>
    <w:rsid w:val="00206DCC"/>
    <w:rsid w:val="00206E3C"/>
    <w:rsid w:val="00206E4D"/>
    <w:rsid w:val="00206F6F"/>
    <w:rsid w:val="00206F7F"/>
    <w:rsid w:val="00207002"/>
    <w:rsid w:val="00207009"/>
    <w:rsid w:val="0020702D"/>
    <w:rsid w:val="00207056"/>
    <w:rsid w:val="0020707C"/>
    <w:rsid w:val="00207096"/>
    <w:rsid w:val="002070D4"/>
    <w:rsid w:val="0020710A"/>
    <w:rsid w:val="00207169"/>
    <w:rsid w:val="00207196"/>
    <w:rsid w:val="002072C6"/>
    <w:rsid w:val="002072E6"/>
    <w:rsid w:val="002072EF"/>
    <w:rsid w:val="0020730B"/>
    <w:rsid w:val="00207312"/>
    <w:rsid w:val="00207330"/>
    <w:rsid w:val="0020733B"/>
    <w:rsid w:val="00207409"/>
    <w:rsid w:val="00207418"/>
    <w:rsid w:val="00207438"/>
    <w:rsid w:val="00207483"/>
    <w:rsid w:val="002074E8"/>
    <w:rsid w:val="0020752B"/>
    <w:rsid w:val="00207573"/>
    <w:rsid w:val="00207576"/>
    <w:rsid w:val="002075BB"/>
    <w:rsid w:val="002075C2"/>
    <w:rsid w:val="0020763C"/>
    <w:rsid w:val="00207650"/>
    <w:rsid w:val="0020766F"/>
    <w:rsid w:val="002076BB"/>
    <w:rsid w:val="0020770E"/>
    <w:rsid w:val="0020775E"/>
    <w:rsid w:val="00207777"/>
    <w:rsid w:val="0020778F"/>
    <w:rsid w:val="002077C0"/>
    <w:rsid w:val="00207878"/>
    <w:rsid w:val="002078BD"/>
    <w:rsid w:val="002078C4"/>
    <w:rsid w:val="0020794C"/>
    <w:rsid w:val="00207984"/>
    <w:rsid w:val="0020799A"/>
    <w:rsid w:val="00207A13"/>
    <w:rsid w:val="00207A17"/>
    <w:rsid w:val="00207A53"/>
    <w:rsid w:val="00207A56"/>
    <w:rsid w:val="00207AF1"/>
    <w:rsid w:val="00207B21"/>
    <w:rsid w:val="00207B42"/>
    <w:rsid w:val="00207B7B"/>
    <w:rsid w:val="00207B89"/>
    <w:rsid w:val="00207B99"/>
    <w:rsid w:val="00207BAD"/>
    <w:rsid w:val="00207C1A"/>
    <w:rsid w:val="00207C36"/>
    <w:rsid w:val="00207CF9"/>
    <w:rsid w:val="00207D60"/>
    <w:rsid w:val="00207DA3"/>
    <w:rsid w:val="00207E1D"/>
    <w:rsid w:val="00207E33"/>
    <w:rsid w:val="00207E4F"/>
    <w:rsid w:val="00207E5B"/>
    <w:rsid w:val="00207E8A"/>
    <w:rsid w:val="00207F0F"/>
    <w:rsid w:val="00207F14"/>
    <w:rsid w:val="00207F25"/>
    <w:rsid w:val="00207F30"/>
    <w:rsid w:val="00207F58"/>
    <w:rsid w:val="00207F8D"/>
    <w:rsid w:val="00210164"/>
    <w:rsid w:val="002101C0"/>
    <w:rsid w:val="00210211"/>
    <w:rsid w:val="00210230"/>
    <w:rsid w:val="0021025C"/>
    <w:rsid w:val="0021026D"/>
    <w:rsid w:val="00210276"/>
    <w:rsid w:val="002102C0"/>
    <w:rsid w:val="00210300"/>
    <w:rsid w:val="0021031B"/>
    <w:rsid w:val="0021031C"/>
    <w:rsid w:val="00210350"/>
    <w:rsid w:val="00210366"/>
    <w:rsid w:val="002103B1"/>
    <w:rsid w:val="002103C8"/>
    <w:rsid w:val="00210442"/>
    <w:rsid w:val="00210490"/>
    <w:rsid w:val="002104C0"/>
    <w:rsid w:val="002104E7"/>
    <w:rsid w:val="00210579"/>
    <w:rsid w:val="002105F3"/>
    <w:rsid w:val="00210622"/>
    <w:rsid w:val="00210632"/>
    <w:rsid w:val="00210682"/>
    <w:rsid w:val="00210711"/>
    <w:rsid w:val="00210769"/>
    <w:rsid w:val="00210785"/>
    <w:rsid w:val="0021078A"/>
    <w:rsid w:val="002107B8"/>
    <w:rsid w:val="0021082D"/>
    <w:rsid w:val="00210845"/>
    <w:rsid w:val="002108D1"/>
    <w:rsid w:val="002108F4"/>
    <w:rsid w:val="00210947"/>
    <w:rsid w:val="002109D2"/>
    <w:rsid w:val="002109D8"/>
    <w:rsid w:val="00210A14"/>
    <w:rsid w:val="00210A87"/>
    <w:rsid w:val="00210AC8"/>
    <w:rsid w:val="00210AF6"/>
    <w:rsid w:val="00210B2F"/>
    <w:rsid w:val="00210BCE"/>
    <w:rsid w:val="00210BD8"/>
    <w:rsid w:val="00210C5A"/>
    <w:rsid w:val="00210C7E"/>
    <w:rsid w:val="00210CA0"/>
    <w:rsid w:val="00210CF3"/>
    <w:rsid w:val="00210CFF"/>
    <w:rsid w:val="00210D07"/>
    <w:rsid w:val="00210D08"/>
    <w:rsid w:val="00210DAB"/>
    <w:rsid w:val="00210DFF"/>
    <w:rsid w:val="00210E0D"/>
    <w:rsid w:val="00210E79"/>
    <w:rsid w:val="00210E94"/>
    <w:rsid w:val="00210E98"/>
    <w:rsid w:val="00210EB3"/>
    <w:rsid w:val="00210ED3"/>
    <w:rsid w:val="00210F26"/>
    <w:rsid w:val="00210F2A"/>
    <w:rsid w:val="00210F5D"/>
    <w:rsid w:val="00210F74"/>
    <w:rsid w:val="00210FAD"/>
    <w:rsid w:val="00210FB1"/>
    <w:rsid w:val="00211005"/>
    <w:rsid w:val="00211028"/>
    <w:rsid w:val="0021102D"/>
    <w:rsid w:val="0021102F"/>
    <w:rsid w:val="002110B4"/>
    <w:rsid w:val="0021110C"/>
    <w:rsid w:val="00211179"/>
    <w:rsid w:val="0021123E"/>
    <w:rsid w:val="0021136D"/>
    <w:rsid w:val="0021138C"/>
    <w:rsid w:val="0021139B"/>
    <w:rsid w:val="002113A9"/>
    <w:rsid w:val="002113FF"/>
    <w:rsid w:val="0021145B"/>
    <w:rsid w:val="0021145D"/>
    <w:rsid w:val="00211483"/>
    <w:rsid w:val="0021149A"/>
    <w:rsid w:val="0021157C"/>
    <w:rsid w:val="002115A4"/>
    <w:rsid w:val="002115F7"/>
    <w:rsid w:val="00211609"/>
    <w:rsid w:val="00211692"/>
    <w:rsid w:val="002116A0"/>
    <w:rsid w:val="002116C5"/>
    <w:rsid w:val="0021172A"/>
    <w:rsid w:val="0021175E"/>
    <w:rsid w:val="00211784"/>
    <w:rsid w:val="002117D6"/>
    <w:rsid w:val="00211828"/>
    <w:rsid w:val="00211865"/>
    <w:rsid w:val="0021188D"/>
    <w:rsid w:val="002118E7"/>
    <w:rsid w:val="00211908"/>
    <w:rsid w:val="00211914"/>
    <w:rsid w:val="00211A53"/>
    <w:rsid w:val="00211B16"/>
    <w:rsid w:val="00211B2A"/>
    <w:rsid w:val="00211BD2"/>
    <w:rsid w:val="00211BF9"/>
    <w:rsid w:val="00211CB9"/>
    <w:rsid w:val="00211D02"/>
    <w:rsid w:val="00211D1E"/>
    <w:rsid w:val="00211D37"/>
    <w:rsid w:val="00211D5A"/>
    <w:rsid w:val="00211D68"/>
    <w:rsid w:val="00211DAC"/>
    <w:rsid w:val="00211DAF"/>
    <w:rsid w:val="00211E44"/>
    <w:rsid w:val="00211E9E"/>
    <w:rsid w:val="00211EA3"/>
    <w:rsid w:val="00211F02"/>
    <w:rsid w:val="00211F32"/>
    <w:rsid w:val="00211F6F"/>
    <w:rsid w:val="00211FB3"/>
    <w:rsid w:val="00211FF7"/>
    <w:rsid w:val="00211FF9"/>
    <w:rsid w:val="00212007"/>
    <w:rsid w:val="00212015"/>
    <w:rsid w:val="00212035"/>
    <w:rsid w:val="0021208F"/>
    <w:rsid w:val="002120E4"/>
    <w:rsid w:val="002120ED"/>
    <w:rsid w:val="002122BE"/>
    <w:rsid w:val="002122D2"/>
    <w:rsid w:val="002122FA"/>
    <w:rsid w:val="0021234C"/>
    <w:rsid w:val="0021235C"/>
    <w:rsid w:val="00212435"/>
    <w:rsid w:val="00212464"/>
    <w:rsid w:val="002124E7"/>
    <w:rsid w:val="0021253E"/>
    <w:rsid w:val="00212576"/>
    <w:rsid w:val="0021257A"/>
    <w:rsid w:val="0021257C"/>
    <w:rsid w:val="002125A5"/>
    <w:rsid w:val="002125AA"/>
    <w:rsid w:val="002125D3"/>
    <w:rsid w:val="002125E3"/>
    <w:rsid w:val="00212623"/>
    <w:rsid w:val="00212663"/>
    <w:rsid w:val="002126B3"/>
    <w:rsid w:val="00212836"/>
    <w:rsid w:val="00212842"/>
    <w:rsid w:val="00212881"/>
    <w:rsid w:val="00212904"/>
    <w:rsid w:val="0021293E"/>
    <w:rsid w:val="00212968"/>
    <w:rsid w:val="002129B5"/>
    <w:rsid w:val="002129D2"/>
    <w:rsid w:val="00212A12"/>
    <w:rsid w:val="00212A28"/>
    <w:rsid w:val="00212A86"/>
    <w:rsid w:val="00212A89"/>
    <w:rsid w:val="00212AA0"/>
    <w:rsid w:val="00212AC9"/>
    <w:rsid w:val="00212B49"/>
    <w:rsid w:val="00212C55"/>
    <w:rsid w:val="00212C6C"/>
    <w:rsid w:val="00212D97"/>
    <w:rsid w:val="00212D9F"/>
    <w:rsid w:val="00212DBE"/>
    <w:rsid w:val="00212E2A"/>
    <w:rsid w:val="00212E48"/>
    <w:rsid w:val="00212E7B"/>
    <w:rsid w:val="00212F1C"/>
    <w:rsid w:val="00212F85"/>
    <w:rsid w:val="00212F94"/>
    <w:rsid w:val="00212FD9"/>
    <w:rsid w:val="00212FE7"/>
    <w:rsid w:val="00213089"/>
    <w:rsid w:val="00213124"/>
    <w:rsid w:val="0021313B"/>
    <w:rsid w:val="00213181"/>
    <w:rsid w:val="00213182"/>
    <w:rsid w:val="0021318C"/>
    <w:rsid w:val="0021320D"/>
    <w:rsid w:val="00213251"/>
    <w:rsid w:val="0021327A"/>
    <w:rsid w:val="0021329B"/>
    <w:rsid w:val="002132D2"/>
    <w:rsid w:val="00213302"/>
    <w:rsid w:val="0021332D"/>
    <w:rsid w:val="0021333D"/>
    <w:rsid w:val="00213398"/>
    <w:rsid w:val="00213467"/>
    <w:rsid w:val="00213497"/>
    <w:rsid w:val="0021350C"/>
    <w:rsid w:val="0021352B"/>
    <w:rsid w:val="0021353C"/>
    <w:rsid w:val="00213590"/>
    <w:rsid w:val="002135CF"/>
    <w:rsid w:val="002135F9"/>
    <w:rsid w:val="002136CB"/>
    <w:rsid w:val="002136F8"/>
    <w:rsid w:val="002136FD"/>
    <w:rsid w:val="00213708"/>
    <w:rsid w:val="00213745"/>
    <w:rsid w:val="00213790"/>
    <w:rsid w:val="0021379B"/>
    <w:rsid w:val="002137C7"/>
    <w:rsid w:val="002137CA"/>
    <w:rsid w:val="00213838"/>
    <w:rsid w:val="00213887"/>
    <w:rsid w:val="002138FE"/>
    <w:rsid w:val="0021392C"/>
    <w:rsid w:val="00213941"/>
    <w:rsid w:val="0021398F"/>
    <w:rsid w:val="00213A19"/>
    <w:rsid w:val="00213A55"/>
    <w:rsid w:val="00213A7D"/>
    <w:rsid w:val="00213A83"/>
    <w:rsid w:val="00213AA6"/>
    <w:rsid w:val="00213AB7"/>
    <w:rsid w:val="00213AE1"/>
    <w:rsid w:val="00213B38"/>
    <w:rsid w:val="00213B96"/>
    <w:rsid w:val="00213BE5"/>
    <w:rsid w:val="00213C5C"/>
    <w:rsid w:val="00213C85"/>
    <w:rsid w:val="00213CDA"/>
    <w:rsid w:val="00213CDC"/>
    <w:rsid w:val="00213D38"/>
    <w:rsid w:val="00213DAA"/>
    <w:rsid w:val="00213E67"/>
    <w:rsid w:val="00213ECB"/>
    <w:rsid w:val="00213EFB"/>
    <w:rsid w:val="00213F71"/>
    <w:rsid w:val="00213F9E"/>
    <w:rsid w:val="00213FE0"/>
    <w:rsid w:val="002140D4"/>
    <w:rsid w:val="002140E7"/>
    <w:rsid w:val="00214125"/>
    <w:rsid w:val="0021413B"/>
    <w:rsid w:val="002141AE"/>
    <w:rsid w:val="0021425A"/>
    <w:rsid w:val="002142AE"/>
    <w:rsid w:val="002142E4"/>
    <w:rsid w:val="00214313"/>
    <w:rsid w:val="002143A0"/>
    <w:rsid w:val="002143D3"/>
    <w:rsid w:val="00214459"/>
    <w:rsid w:val="00214465"/>
    <w:rsid w:val="002144A9"/>
    <w:rsid w:val="002144E6"/>
    <w:rsid w:val="00214531"/>
    <w:rsid w:val="0021454C"/>
    <w:rsid w:val="0021456D"/>
    <w:rsid w:val="00214599"/>
    <w:rsid w:val="002145C3"/>
    <w:rsid w:val="002145F3"/>
    <w:rsid w:val="0021460E"/>
    <w:rsid w:val="00214625"/>
    <w:rsid w:val="00214642"/>
    <w:rsid w:val="0021467A"/>
    <w:rsid w:val="002146E0"/>
    <w:rsid w:val="00214747"/>
    <w:rsid w:val="002147DF"/>
    <w:rsid w:val="00214846"/>
    <w:rsid w:val="002148A1"/>
    <w:rsid w:val="002148A4"/>
    <w:rsid w:val="0021491A"/>
    <w:rsid w:val="0021491E"/>
    <w:rsid w:val="00214941"/>
    <w:rsid w:val="00214984"/>
    <w:rsid w:val="0021499F"/>
    <w:rsid w:val="00214A21"/>
    <w:rsid w:val="00214A43"/>
    <w:rsid w:val="00214A8F"/>
    <w:rsid w:val="00214AB4"/>
    <w:rsid w:val="00214BA2"/>
    <w:rsid w:val="00214C31"/>
    <w:rsid w:val="00214D12"/>
    <w:rsid w:val="00214DCA"/>
    <w:rsid w:val="00214DCF"/>
    <w:rsid w:val="00214DD5"/>
    <w:rsid w:val="00214DE4"/>
    <w:rsid w:val="00214DF1"/>
    <w:rsid w:val="00214E01"/>
    <w:rsid w:val="00214E1A"/>
    <w:rsid w:val="00214E33"/>
    <w:rsid w:val="00214E4E"/>
    <w:rsid w:val="00214E59"/>
    <w:rsid w:val="00214E5E"/>
    <w:rsid w:val="00214E8C"/>
    <w:rsid w:val="00214EA8"/>
    <w:rsid w:val="00214FEF"/>
    <w:rsid w:val="00214FF5"/>
    <w:rsid w:val="00215028"/>
    <w:rsid w:val="00215083"/>
    <w:rsid w:val="00215097"/>
    <w:rsid w:val="00215115"/>
    <w:rsid w:val="00215147"/>
    <w:rsid w:val="00215183"/>
    <w:rsid w:val="002151C6"/>
    <w:rsid w:val="00215223"/>
    <w:rsid w:val="00215256"/>
    <w:rsid w:val="00215298"/>
    <w:rsid w:val="002152F4"/>
    <w:rsid w:val="0021534F"/>
    <w:rsid w:val="00215400"/>
    <w:rsid w:val="00215439"/>
    <w:rsid w:val="0021545B"/>
    <w:rsid w:val="00215497"/>
    <w:rsid w:val="00215559"/>
    <w:rsid w:val="00215570"/>
    <w:rsid w:val="00215574"/>
    <w:rsid w:val="00215578"/>
    <w:rsid w:val="002155C9"/>
    <w:rsid w:val="002155EF"/>
    <w:rsid w:val="00215622"/>
    <w:rsid w:val="00215698"/>
    <w:rsid w:val="002156E9"/>
    <w:rsid w:val="002156F2"/>
    <w:rsid w:val="002156F3"/>
    <w:rsid w:val="00215706"/>
    <w:rsid w:val="0021574C"/>
    <w:rsid w:val="0021574D"/>
    <w:rsid w:val="00215759"/>
    <w:rsid w:val="0021576D"/>
    <w:rsid w:val="00215779"/>
    <w:rsid w:val="00215781"/>
    <w:rsid w:val="00215791"/>
    <w:rsid w:val="002157BC"/>
    <w:rsid w:val="00215861"/>
    <w:rsid w:val="002158BA"/>
    <w:rsid w:val="002158F1"/>
    <w:rsid w:val="00215907"/>
    <w:rsid w:val="00215922"/>
    <w:rsid w:val="0021592E"/>
    <w:rsid w:val="0021594B"/>
    <w:rsid w:val="002159B6"/>
    <w:rsid w:val="00215A5D"/>
    <w:rsid w:val="00215A91"/>
    <w:rsid w:val="00215AA8"/>
    <w:rsid w:val="00215B7B"/>
    <w:rsid w:val="00215B8E"/>
    <w:rsid w:val="00215B92"/>
    <w:rsid w:val="00215C46"/>
    <w:rsid w:val="00215C88"/>
    <w:rsid w:val="00215CB0"/>
    <w:rsid w:val="00215D4E"/>
    <w:rsid w:val="00215D52"/>
    <w:rsid w:val="00215D85"/>
    <w:rsid w:val="00215E0C"/>
    <w:rsid w:val="00215E73"/>
    <w:rsid w:val="00215ECD"/>
    <w:rsid w:val="00215F10"/>
    <w:rsid w:val="00215F24"/>
    <w:rsid w:val="00215F26"/>
    <w:rsid w:val="00215F55"/>
    <w:rsid w:val="00215FA0"/>
    <w:rsid w:val="00215FF1"/>
    <w:rsid w:val="0021609C"/>
    <w:rsid w:val="002160A2"/>
    <w:rsid w:val="002160C9"/>
    <w:rsid w:val="002160CE"/>
    <w:rsid w:val="002160DE"/>
    <w:rsid w:val="00216154"/>
    <w:rsid w:val="0021619A"/>
    <w:rsid w:val="002161C9"/>
    <w:rsid w:val="0021621E"/>
    <w:rsid w:val="002162A5"/>
    <w:rsid w:val="002163A8"/>
    <w:rsid w:val="0021646F"/>
    <w:rsid w:val="0021648A"/>
    <w:rsid w:val="002164E0"/>
    <w:rsid w:val="00216517"/>
    <w:rsid w:val="00216565"/>
    <w:rsid w:val="002165CA"/>
    <w:rsid w:val="00216601"/>
    <w:rsid w:val="00216653"/>
    <w:rsid w:val="0021666F"/>
    <w:rsid w:val="002166AD"/>
    <w:rsid w:val="00216714"/>
    <w:rsid w:val="00216732"/>
    <w:rsid w:val="00216817"/>
    <w:rsid w:val="00216848"/>
    <w:rsid w:val="002169FF"/>
    <w:rsid w:val="00216A50"/>
    <w:rsid w:val="00216A8C"/>
    <w:rsid w:val="00216B25"/>
    <w:rsid w:val="00216BA8"/>
    <w:rsid w:val="00216CF1"/>
    <w:rsid w:val="00216D28"/>
    <w:rsid w:val="00216DE0"/>
    <w:rsid w:val="00216E24"/>
    <w:rsid w:val="00216ED0"/>
    <w:rsid w:val="00216F6E"/>
    <w:rsid w:val="00216F81"/>
    <w:rsid w:val="00216FB7"/>
    <w:rsid w:val="00216FF6"/>
    <w:rsid w:val="00216FF9"/>
    <w:rsid w:val="00217016"/>
    <w:rsid w:val="002170B7"/>
    <w:rsid w:val="002170DF"/>
    <w:rsid w:val="0021710E"/>
    <w:rsid w:val="00217111"/>
    <w:rsid w:val="00217178"/>
    <w:rsid w:val="00217197"/>
    <w:rsid w:val="002171D5"/>
    <w:rsid w:val="002171D7"/>
    <w:rsid w:val="0021720B"/>
    <w:rsid w:val="0021721E"/>
    <w:rsid w:val="0021725E"/>
    <w:rsid w:val="00217264"/>
    <w:rsid w:val="0021729D"/>
    <w:rsid w:val="00217335"/>
    <w:rsid w:val="00217374"/>
    <w:rsid w:val="00217388"/>
    <w:rsid w:val="002173BE"/>
    <w:rsid w:val="002173D5"/>
    <w:rsid w:val="00217409"/>
    <w:rsid w:val="00217411"/>
    <w:rsid w:val="002174BC"/>
    <w:rsid w:val="002174CD"/>
    <w:rsid w:val="002174F5"/>
    <w:rsid w:val="00217538"/>
    <w:rsid w:val="0021755C"/>
    <w:rsid w:val="0021757B"/>
    <w:rsid w:val="00217597"/>
    <w:rsid w:val="002175BB"/>
    <w:rsid w:val="002175E8"/>
    <w:rsid w:val="00217631"/>
    <w:rsid w:val="00217656"/>
    <w:rsid w:val="00217679"/>
    <w:rsid w:val="0021769C"/>
    <w:rsid w:val="002176B3"/>
    <w:rsid w:val="002177E4"/>
    <w:rsid w:val="00217831"/>
    <w:rsid w:val="0021784E"/>
    <w:rsid w:val="002179C3"/>
    <w:rsid w:val="00217A09"/>
    <w:rsid w:val="00217A32"/>
    <w:rsid w:val="00217A45"/>
    <w:rsid w:val="00217A96"/>
    <w:rsid w:val="00217B12"/>
    <w:rsid w:val="00217B29"/>
    <w:rsid w:val="00217B38"/>
    <w:rsid w:val="00217B88"/>
    <w:rsid w:val="00217B96"/>
    <w:rsid w:val="00217CF8"/>
    <w:rsid w:val="00217D77"/>
    <w:rsid w:val="00217EB9"/>
    <w:rsid w:val="00217EC6"/>
    <w:rsid w:val="00217ECE"/>
    <w:rsid w:val="00217F2D"/>
    <w:rsid w:val="00217F53"/>
    <w:rsid w:val="00217FE6"/>
    <w:rsid w:val="00220003"/>
    <w:rsid w:val="0022007E"/>
    <w:rsid w:val="002200E4"/>
    <w:rsid w:val="002201A0"/>
    <w:rsid w:val="0022025E"/>
    <w:rsid w:val="00220280"/>
    <w:rsid w:val="0022029E"/>
    <w:rsid w:val="00220303"/>
    <w:rsid w:val="00220373"/>
    <w:rsid w:val="002203FE"/>
    <w:rsid w:val="0022040F"/>
    <w:rsid w:val="00220427"/>
    <w:rsid w:val="00220436"/>
    <w:rsid w:val="0022059D"/>
    <w:rsid w:val="002205B4"/>
    <w:rsid w:val="002205E5"/>
    <w:rsid w:val="00220613"/>
    <w:rsid w:val="00220650"/>
    <w:rsid w:val="00220662"/>
    <w:rsid w:val="002206B5"/>
    <w:rsid w:val="002206F2"/>
    <w:rsid w:val="00220740"/>
    <w:rsid w:val="0022074C"/>
    <w:rsid w:val="00220769"/>
    <w:rsid w:val="00220787"/>
    <w:rsid w:val="00220816"/>
    <w:rsid w:val="00220842"/>
    <w:rsid w:val="0022086C"/>
    <w:rsid w:val="00220872"/>
    <w:rsid w:val="00220898"/>
    <w:rsid w:val="002208FC"/>
    <w:rsid w:val="00220908"/>
    <w:rsid w:val="00220928"/>
    <w:rsid w:val="00220954"/>
    <w:rsid w:val="00220981"/>
    <w:rsid w:val="00220994"/>
    <w:rsid w:val="002209B4"/>
    <w:rsid w:val="00220A19"/>
    <w:rsid w:val="00220AB0"/>
    <w:rsid w:val="00220AF9"/>
    <w:rsid w:val="00220B04"/>
    <w:rsid w:val="00220B0F"/>
    <w:rsid w:val="00220B5E"/>
    <w:rsid w:val="00220BC1"/>
    <w:rsid w:val="00220BE9"/>
    <w:rsid w:val="00220BFD"/>
    <w:rsid w:val="00220C89"/>
    <w:rsid w:val="00220C90"/>
    <w:rsid w:val="00220CDB"/>
    <w:rsid w:val="00220CEA"/>
    <w:rsid w:val="00220D27"/>
    <w:rsid w:val="00220D45"/>
    <w:rsid w:val="00220D5B"/>
    <w:rsid w:val="00220D61"/>
    <w:rsid w:val="00220E3B"/>
    <w:rsid w:val="00220E78"/>
    <w:rsid w:val="00220EA0"/>
    <w:rsid w:val="00220EC0"/>
    <w:rsid w:val="00220F40"/>
    <w:rsid w:val="00220F66"/>
    <w:rsid w:val="00220FB1"/>
    <w:rsid w:val="00220FED"/>
    <w:rsid w:val="0022100C"/>
    <w:rsid w:val="00221024"/>
    <w:rsid w:val="00221083"/>
    <w:rsid w:val="002210C0"/>
    <w:rsid w:val="00221107"/>
    <w:rsid w:val="00221159"/>
    <w:rsid w:val="00221166"/>
    <w:rsid w:val="00221190"/>
    <w:rsid w:val="00221194"/>
    <w:rsid w:val="002211C4"/>
    <w:rsid w:val="002211F2"/>
    <w:rsid w:val="0022120D"/>
    <w:rsid w:val="00221217"/>
    <w:rsid w:val="00221250"/>
    <w:rsid w:val="00221283"/>
    <w:rsid w:val="002212AB"/>
    <w:rsid w:val="002212E8"/>
    <w:rsid w:val="002212F1"/>
    <w:rsid w:val="0022130F"/>
    <w:rsid w:val="00221324"/>
    <w:rsid w:val="00221329"/>
    <w:rsid w:val="00221342"/>
    <w:rsid w:val="00221394"/>
    <w:rsid w:val="002213C7"/>
    <w:rsid w:val="002213CF"/>
    <w:rsid w:val="002213E3"/>
    <w:rsid w:val="002213E8"/>
    <w:rsid w:val="00221453"/>
    <w:rsid w:val="00221467"/>
    <w:rsid w:val="002214AF"/>
    <w:rsid w:val="002214B2"/>
    <w:rsid w:val="002214C3"/>
    <w:rsid w:val="002214EB"/>
    <w:rsid w:val="00221517"/>
    <w:rsid w:val="00221525"/>
    <w:rsid w:val="00221537"/>
    <w:rsid w:val="00221549"/>
    <w:rsid w:val="00221551"/>
    <w:rsid w:val="0022157C"/>
    <w:rsid w:val="00221620"/>
    <w:rsid w:val="00221623"/>
    <w:rsid w:val="00221645"/>
    <w:rsid w:val="0022166F"/>
    <w:rsid w:val="002216B1"/>
    <w:rsid w:val="002216DC"/>
    <w:rsid w:val="00221700"/>
    <w:rsid w:val="0022174F"/>
    <w:rsid w:val="00221765"/>
    <w:rsid w:val="0022178A"/>
    <w:rsid w:val="002217AE"/>
    <w:rsid w:val="002217B6"/>
    <w:rsid w:val="002217E0"/>
    <w:rsid w:val="002217EF"/>
    <w:rsid w:val="0022180C"/>
    <w:rsid w:val="00221840"/>
    <w:rsid w:val="0022187C"/>
    <w:rsid w:val="0022187E"/>
    <w:rsid w:val="002218B8"/>
    <w:rsid w:val="002218DD"/>
    <w:rsid w:val="002218FC"/>
    <w:rsid w:val="00221926"/>
    <w:rsid w:val="002219A3"/>
    <w:rsid w:val="00221A02"/>
    <w:rsid w:val="00221AB8"/>
    <w:rsid w:val="00221AFB"/>
    <w:rsid w:val="00221B00"/>
    <w:rsid w:val="00221B0F"/>
    <w:rsid w:val="00221B1F"/>
    <w:rsid w:val="00221B26"/>
    <w:rsid w:val="00221B36"/>
    <w:rsid w:val="00221B42"/>
    <w:rsid w:val="00221B7E"/>
    <w:rsid w:val="00221BC9"/>
    <w:rsid w:val="00221BCE"/>
    <w:rsid w:val="00221BD6"/>
    <w:rsid w:val="00221C13"/>
    <w:rsid w:val="00221C29"/>
    <w:rsid w:val="00221C50"/>
    <w:rsid w:val="00221D70"/>
    <w:rsid w:val="00221DB5"/>
    <w:rsid w:val="00221DBD"/>
    <w:rsid w:val="00221DC9"/>
    <w:rsid w:val="00221E02"/>
    <w:rsid w:val="00221E47"/>
    <w:rsid w:val="00221E6A"/>
    <w:rsid w:val="00221EA9"/>
    <w:rsid w:val="00221EB9"/>
    <w:rsid w:val="00221EBA"/>
    <w:rsid w:val="00221EC0"/>
    <w:rsid w:val="00221EFD"/>
    <w:rsid w:val="00221F28"/>
    <w:rsid w:val="00221F48"/>
    <w:rsid w:val="00221FCA"/>
    <w:rsid w:val="00222074"/>
    <w:rsid w:val="002220D6"/>
    <w:rsid w:val="002220EE"/>
    <w:rsid w:val="00222102"/>
    <w:rsid w:val="0022214D"/>
    <w:rsid w:val="00222170"/>
    <w:rsid w:val="002221BC"/>
    <w:rsid w:val="00222265"/>
    <w:rsid w:val="00222288"/>
    <w:rsid w:val="0022231F"/>
    <w:rsid w:val="00222329"/>
    <w:rsid w:val="00222395"/>
    <w:rsid w:val="00222396"/>
    <w:rsid w:val="002223FE"/>
    <w:rsid w:val="00222450"/>
    <w:rsid w:val="00222492"/>
    <w:rsid w:val="0022250D"/>
    <w:rsid w:val="0022252D"/>
    <w:rsid w:val="0022259D"/>
    <w:rsid w:val="002225BE"/>
    <w:rsid w:val="002225D0"/>
    <w:rsid w:val="00222623"/>
    <w:rsid w:val="00222664"/>
    <w:rsid w:val="0022269F"/>
    <w:rsid w:val="002226FE"/>
    <w:rsid w:val="00222717"/>
    <w:rsid w:val="0022271F"/>
    <w:rsid w:val="0022272E"/>
    <w:rsid w:val="00222782"/>
    <w:rsid w:val="002227CE"/>
    <w:rsid w:val="002227E1"/>
    <w:rsid w:val="002227F6"/>
    <w:rsid w:val="002228CD"/>
    <w:rsid w:val="002228F3"/>
    <w:rsid w:val="002228F8"/>
    <w:rsid w:val="00222912"/>
    <w:rsid w:val="00222960"/>
    <w:rsid w:val="002229CA"/>
    <w:rsid w:val="00222A02"/>
    <w:rsid w:val="00222A09"/>
    <w:rsid w:val="00222A4B"/>
    <w:rsid w:val="00222A77"/>
    <w:rsid w:val="00222A8A"/>
    <w:rsid w:val="00222A8F"/>
    <w:rsid w:val="00222B23"/>
    <w:rsid w:val="00222B6F"/>
    <w:rsid w:val="00222BA4"/>
    <w:rsid w:val="00222BDC"/>
    <w:rsid w:val="00222C6F"/>
    <w:rsid w:val="00222C7E"/>
    <w:rsid w:val="00222CCD"/>
    <w:rsid w:val="00222D14"/>
    <w:rsid w:val="00222D52"/>
    <w:rsid w:val="00222D66"/>
    <w:rsid w:val="00222D8F"/>
    <w:rsid w:val="00222E41"/>
    <w:rsid w:val="00222E93"/>
    <w:rsid w:val="00222EB8"/>
    <w:rsid w:val="00222EC2"/>
    <w:rsid w:val="00222EF3"/>
    <w:rsid w:val="00222F0B"/>
    <w:rsid w:val="00222FA7"/>
    <w:rsid w:val="0022301C"/>
    <w:rsid w:val="00223077"/>
    <w:rsid w:val="00223095"/>
    <w:rsid w:val="002230B2"/>
    <w:rsid w:val="002230B6"/>
    <w:rsid w:val="002230DF"/>
    <w:rsid w:val="002230E8"/>
    <w:rsid w:val="002231D1"/>
    <w:rsid w:val="002231FF"/>
    <w:rsid w:val="00223210"/>
    <w:rsid w:val="0022325F"/>
    <w:rsid w:val="00223381"/>
    <w:rsid w:val="002233AB"/>
    <w:rsid w:val="00223429"/>
    <w:rsid w:val="0022342B"/>
    <w:rsid w:val="0022342F"/>
    <w:rsid w:val="00223450"/>
    <w:rsid w:val="00223471"/>
    <w:rsid w:val="002234A3"/>
    <w:rsid w:val="002234B5"/>
    <w:rsid w:val="002234E9"/>
    <w:rsid w:val="00223520"/>
    <w:rsid w:val="00223524"/>
    <w:rsid w:val="00223602"/>
    <w:rsid w:val="0022367F"/>
    <w:rsid w:val="00223697"/>
    <w:rsid w:val="0022369A"/>
    <w:rsid w:val="002236E3"/>
    <w:rsid w:val="00223716"/>
    <w:rsid w:val="00223731"/>
    <w:rsid w:val="00223762"/>
    <w:rsid w:val="0022376E"/>
    <w:rsid w:val="00223792"/>
    <w:rsid w:val="0022384C"/>
    <w:rsid w:val="002238CB"/>
    <w:rsid w:val="002238D9"/>
    <w:rsid w:val="002238DE"/>
    <w:rsid w:val="002238EE"/>
    <w:rsid w:val="0022391C"/>
    <w:rsid w:val="0022392D"/>
    <w:rsid w:val="00223971"/>
    <w:rsid w:val="002239FF"/>
    <w:rsid w:val="00223A71"/>
    <w:rsid w:val="00223A7D"/>
    <w:rsid w:val="00223AAE"/>
    <w:rsid w:val="00223AC6"/>
    <w:rsid w:val="00223B39"/>
    <w:rsid w:val="00223C01"/>
    <w:rsid w:val="00223C4C"/>
    <w:rsid w:val="00223C7A"/>
    <w:rsid w:val="00223CB1"/>
    <w:rsid w:val="00223CD2"/>
    <w:rsid w:val="00223D03"/>
    <w:rsid w:val="00223D6F"/>
    <w:rsid w:val="00223DA2"/>
    <w:rsid w:val="00223E16"/>
    <w:rsid w:val="00223E90"/>
    <w:rsid w:val="00223E9F"/>
    <w:rsid w:val="00223F60"/>
    <w:rsid w:val="00223F64"/>
    <w:rsid w:val="00223FB0"/>
    <w:rsid w:val="00223FD4"/>
    <w:rsid w:val="00223FD6"/>
    <w:rsid w:val="00224008"/>
    <w:rsid w:val="0022406A"/>
    <w:rsid w:val="00224080"/>
    <w:rsid w:val="00224123"/>
    <w:rsid w:val="00224160"/>
    <w:rsid w:val="002241C6"/>
    <w:rsid w:val="002241E4"/>
    <w:rsid w:val="0022423C"/>
    <w:rsid w:val="0022423D"/>
    <w:rsid w:val="0022426A"/>
    <w:rsid w:val="0022429F"/>
    <w:rsid w:val="002242CA"/>
    <w:rsid w:val="0022430D"/>
    <w:rsid w:val="00224363"/>
    <w:rsid w:val="002243A4"/>
    <w:rsid w:val="002243AA"/>
    <w:rsid w:val="002243D7"/>
    <w:rsid w:val="00224443"/>
    <w:rsid w:val="00224497"/>
    <w:rsid w:val="002244D7"/>
    <w:rsid w:val="002244F2"/>
    <w:rsid w:val="002245C5"/>
    <w:rsid w:val="002245FD"/>
    <w:rsid w:val="00224633"/>
    <w:rsid w:val="00224687"/>
    <w:rsid w:val="00224694"/>
    <w:rsid w:val="002246EE"/>
    <w:rsid w:val="0022471D"/>
    <w:rsid w:val="0022476C"/>
    <w:rsid w:val="002247A0"/>
    <w:rsid w:val="002247A8"/>
    <w:rsid w:val="002247D1"/>
    <w:rsid w:val="002247E9"/>
    <w:rsid w:val="00224878"/>
    <w:rsid w:val="0022487D"/>
    <w:rsid w:val="0022489C"/>
    <w:rsid w:val="002249F4"/>
    <w:rsid w:val="00224AB8"/>
    <w:rsid w:val="00224B39"/>
    <w:rsid w:val="00224B85"/>
    <w:rsid w:val="00224BBC"/>
    <w:rsid w:val="00224BED"/>
    <w:rsid w:val="00224C50"/>
    <w:rsid w:val="00224CD2"/>
    <w:rsid w:val="00224CFB"/>
    <w:rsid w:val="00224D04"/>
    <w:rsid w:val="00224DD2"/>
    <w:rsid w:val="00224DDE"/>
    <w:rsid w:val="00224E8A"/>
    <w:rsid w:val="00224E93"/>
    <w:rsid w:val="00224F5E"/>
    <w:rsid w:val="00224F60"/>
    <w:rsid w:val="00224F8D"/>
    <w:rsid w:val="00225020"/>
    <w:rsid w:val="00225025"/>
    <w:rsid w:val="00225033"/>
    <w:rsid w:val="0022509E"/>
    <w:rsid w:val="00225134"/>
    <w:rsid w:val="00225136"/>
    <w:rsid w:val="002251B4"/>
    <w:rsid w:val="002251E5"/>
    <w:rsid w:val="00225219"/>
    <w:rsid w:val="002252A1"/>
    <w:rsid w:val="00225367"/>
    <w:rsid w:val="002253E1"/>
    <w:rsid w:val="00225412"/>
    <w:rsid w:val="0022546E"/>
    <w:rsid w:val="00225496"/>
    <w:rsid w:val="00225596"/>
    <w:rsid w:val="00225633"/>
    <w:rsid w:val="00225670"/>
    <w:rsid w:val="002256A3"/>
    <w:rsid w:val="002256AD"/>
    <w:rsid w:val="002256D2"/>
    <w:rsid w:val="00225720"/>
    <w:rsid w:val="002257B5"/>
    <w:rsid w:val="0022587E"/>
    <w:rsid w:val="002258B9"/>
    <w:rsid w:val="002259FA"/>
    <w:rsid w:val="00225AF8"/>
    <w:rsid w:val="00225B1C"/>
    <w:rsid w:val="00225B32"/>
    <w:rsid w:val="00225B6E"/>
    <w:rsid w:val="00225C48"/>
    <w:rsid w:val="00225C82"/>
    <w:rsid w:val="00225CB4"/>
    <w:rsid w:val="00225CCD"/>
    <w:rsid w:val="00225D20"/>
    <w:rsid w:val="00225D5D"/>
    <w:rsid w:val="00225D9D"/>
    <w:rsid w:val="00225DF6"/>
    <w:rsid w:val="00225E6E"/>
    <w:rsid w:val="00225E79"/>
    <w:rsid w:val="00225E7E"/>
    <w:rsid w:val="00225F47"/>
    <w:rsid w:val="0022601D"/>
    <w:rsid w:val="00226059"/>
    <w:rsid w:val="002260A7"/>
    <w:rsid w:val="00226129"/>
    <w:rsid w:val="00226155"/>
    <w:rsid w:val="00226182"/>
    <w:rsid w:val="00226240"/>
    <w:rsid w:val="0022625D"/>
    <w:rsid w:val="0022627A"/>
    <w:rsid w:val="0022627D"/>
    <w:rsid w:val="002262DC"/>
    <w:rsid w:val="002262E7"/>
    <w:rsid w:val="002262F4"/>
    <w:rsid w:val="0022639C"/>
    <w:rsid w:val="002264B8"/>
    <w:rsid w:val="002265C7"/>
    <w:rsid w:val="00226617"/>
    <w:rsid w:val="00226682"/>
    <w:rsid w:val="002266B7"/>
    <w:rsid w:val="002266BB"/>
    <w:rsid w:val="002266BC"/>
    <w:rsid w:val="002266E1"/>
    <w:rsid w:val="002266FF"/>
    <w:rsid w:val="0022674A"/>
    <w:rsid w:val="002267E5"/>
    <w:rsid w:val="002267ED"/>
    <w:rsid w:val="002267EF"/>
    <w:rsid w:val="002267F9"/>
    <w:rsid w:val="00226839"/>
    <w:rsid w:val="00226874"/>
    <w:rsid w:val="002268E0"/>
    <w:rsid w:val="0022692E"/>
    <w:rsid w:val="002269A7"/>
    <w:rsid w:val="00226A02"/>
    <w:rsid w:val="00226AA7"/>
    <w:rsid w:val="00226AAA"/>
    <w:rsid w:val="00226B0E"/>
    <w:rsid w:val="00226B4B"/>
    <w:rsid w:val="00226B5A"/>
    <w:rsid w:val="00226B76"/>
    <w:rsid w:val="00226BE7"/>
    <w:rsid w:val="00226BFD"/>
    <w:rsid w:val="00226C13"/>
    <w:rsid w:val="00226C41"/>
    <w:rsid w:val="00226C75"/>
    <w:rsid w:val="00226CA6"/>
    <w:rsid w:val="00226CA9"/>
    <w:rsid w:val="00226CAD"/>
    <w:rsid w:val="00226CE5"/>
    <w:rsid w:val="00226D48"/>
    <w:rsid w:val="00226DA6"/>
    <w:rsid w:val="00226E1F"/>
    <w:rsid w:val="00226E2C"/>
    <w:rsid w:val="00226E8C"/>
    <w:rsid w:val="00226E9A"/>
    <w:rsid w:val="00226EC5"/>
    <w:rsid w:val="00226EE7"/>
    <w:rsid w:val="00226F33"/>
    <w:rsid w:val="00226F40"/>
    <w:rsid w:val="00226F74"/>
    <w:rsid w:val="00227001"/>
    <w:rsid w:val="00227014"/>
    <w:rsid w:val="0022703F"/>
    <w:rsid w:val="002270B6"/>
    <w:rsid w:val="002270C9"/>
    <w:rsid w:val="0022712B"/>
    <w:rsid w:val="00227132"/>
    <w:rsid w:val="00227163"/>
    <w:rsid w:val="002271C2"/>
    <w:rsid w:val="00227212"/>
    <w:rsid w:val="0022727F"/>
    <w:rsid w:val="002272DF"/>
    <w:rsid w:val="00227335"/>
    <w:rsid w:val="0022737C"/>
    <w:rsid w:val="002273E7"/>
    <w:rsid w:val="00227407"/>
    <w:rsid w:val="00227489"/>
    <w:rsid w:val="002274B3"/>
    <w:rsid w:val="002274B7"/>
    <w:rsid w:val="002274E1"/>
    <w:rsid w:val="00227508"/>
    <w:rsid w:val="0022753F"/>
    <w:rsid w:val="002275C4"/>
    <w:rsid w:val="002275F6"/>
    <w:rsid w:val="002276D7"/>
    <w:rsid w:val="002276E9"/>
    <w:rsid w:val="0022771C"/>
    <w:rsid w:val="0022771D"/>
    <w:rsid w:val="00227726"/>
    <w:rsid w:val="0022779D"/>
    <w:rsid w:val="00227807"/>
    <w:rsid w:val="0022784E"/>
    <w:rsid w:val="002278CC"/>
    <w:rsid w:val="002278FD"/>
    <w:rsid w:val="0022790D"/>
    <w:rsid w:val="002279DD"/>
    <w:rsid w:val="002279E3"/>
    <w:rsid w:val="002279E7"/>
    <w:rsid w:val="002279F7"/>
    <w:rsid w:val="00227A03"/>
    <w:rsid w:val="00227A25"/>
    <w:rsid w:val="00227A36"/>
    <w:rsid w:val="00227A3A"/>
    <w:rsid w:val="00227A8D"/>
    <w:rsid w:val="00227B3B"/>
    <w:rsid w:val="00227B42"/>
    <w:rsid w:val="00227B61"/>
    <w:rsid w:val="00227B77"/>
    <w:rsid w:val="00227BDB"/>
    <w:rsid w:val="00227BDD"/>
    <w:rsid w:val="00227BF2"/>
    <w:rsid w:val="00227C4F"/>
    <w:rsid w:val="00227C71"/>
    <w:rsid w:val="00227C81"/>
    <w:rsid w:val="00227C84"/>
    <w:rsid w:val="00227CDD"/>
    <w:rsid w:val="00227CE9"/>
    <w:rsid w:val="00227CF7"/>
    <w:rsid w:val="00227D0C"/>
    <w:rsid w:val="00227E35"/>
    <w:rsid w:val="00227E51"/>
    <w:rsid w:val="00227EF6"/>
    <w:rsid w:val="00227F11"/>
    <w:rsid w:val="00227F3B"/>
    <w:rsid w:val="00227FB3"/>
    <w:rsid w:val="00227FDB"/>
    <w:rsid w:val="002300C5"/>
    <w:rsid w:val="002300F2"/>
    <w:rsid w:val="0023014C"/>
    <w:rsid w:val="0023014E"/>
    <w:rsid w:val="00230184"/>
    <w:rsid w:val="002301F1"/>
    <w:rsid w:val="00230204"/>
    <w:rsid w:val="0023021E"/>
    <w:rsid w:val="0023023E"/>
    <w:rsid w:val="00230251"/>
    <w:rsid w:val="00230253"/>
    <w:rsid w:val="002302B4"/>
    <w:rsid w:val="002302B8"/>
    <w:rsid w:val="002302D0"/>
    <w:rsid w:val="0023033F"/>
    <w:rsid w:val="00230369"/>
    <w:rsid w:val="002303A8"/>
    <w:rsid w:val="0023041C"/>
    <w:rsid w:val="00230421"/>
    <w:rsid w:val="0023043A"/>
    <w:rsid w:val="002304BF"/>
    <w:rsid w:val="0023051E"/>
    <w:rsid w:val="002305C5"/>
    <w:rsid w:val="002305E4"/>
    <w:rsid w:val="002305F5"/>
    <w:rsid w:val="0023069F"/>
    <w:rsid w:val="002306B2"/>
    <w:rsid w:val="0023070E"/>
    <w:rsid w:val="00230773"/>
    <w:rsid w:val="00230783"/>
    <w:rsid w:val="00230802"/>
    <w:rsid w:val="0023081D"/>
    <w:rsid w:val="00230826"/>
    <w:rsid w:val="0023084F"/>
    <w:rsid w:val="0023087F"/>
    <w:rsid w:val="00230883"/>
    <w:rsid w:val="002308E0"/>
    <w:rsid w:val="00230950"/>
    <w:rsid w:val="002309FE"/>
    <w:rsid w:val="00230A31"/>
    <w:rsid w:val="00230A95"/>
    <w:rsid w:val="00230AB2"/>
    <w:rsid w:val="00230B00"/>
    <w:rsid w:val="00230B02"/>
    <w:rsid w:val="00230B96"/>
    <w:rsid w:val="00230B99"/>
    <w:rsid w:val="00230BF5"/>
    <w:rsid w:val="00230C45"/>
    <w:rsid w:val="00230C77"/>
    <w:rsid w:val="00230CA2"/>
    <w:rsid w:val="00230CAE"/>
    <w:rsid w:val="00230CFF"/>
    <w:rsid w:val="00230DCA"/>
    <w:rsid w:val="00230E08"/>
    <w:rsid w:val="00230E1E"/>
    <w:rsid w:val="00230E2E"/>
    <w:rsid w:val="00230E59"/>
    <w:rsid w:val="00230EA4"/>
    <w:rsid w:val="00230EA5"/>
    <w:rsid w:val="00230EB8"/>
    <w:rsid w:val="00230EF8"/>
    <w:rsid w:val="00230F8F"/>
    <w:rsid w:val="00230FF3"/>
    <w:rsid w:val="00231040"/>
    <w:rsid w:val="00231049"/>
    <w:rsid w:val="00231102"/>
    <w:rsid w:val="00231137"/>
    <w:rsid w:val="0023114F"/>
    <w:rsid w:val="00231151"/>
    <w:rsid w:val="00231152"/>
    <w:rsid w:val="00231193"/>
    <w:rsid w:val="0023119B"/>
    <w:rsid w:val="002311CE"/>
    <w:rsid w:val="002312CB"/>
    <w:rsid w:val="00231347"/>
    <w:rsid w:val="002313AE"/>
    <w:rsid w:val="00231425"/>
    <w:rsid w:val="0023146E"/>
    <w:rsid w:val="002314D2"/>
    <w:rsid w:val="00231526"/>
    <w:rsid w:val="00231538"/>
    <w:rsid w:val="0023153A"/>
    <w:rsid w:val="00231542"/>
    <w:rsid w:val="00231555"/>
    <w:rsid w:val="00231565"/>
    <w:rsid w:val="00231639"/>
    <w:rsid w:val="00231653"/>
    <w:rsid w:val="002316A4"/>
    <w:rsid w:val="00231701"/>
    <w:rsid w:val="00231716"/>
    <w:rsid w:val="00231723"/>
    <w:rsid w:val="0023172B"/>
    <w:rsid w:val="00231826"/>
    <w:rsid w:val="00231847"/>
    <w:rsid w:val="002318D9"/>
    <w:rsid w:val="002318FC"/>
    <w:rsid w:val="00231919"/>
    <w:rsid w:val="0023193F"/>
    <w:rsid w:val="00231945"/>
    <w:rsid w:val="00231971"/>
    <w:rsid w:val="0023197E"/>
    <w:rsid w:val="002319A1"/>
    <w:rsid w:val="00231A3D"/>
    <w:rsid w:val="00231A41"/>
    <w:rsid w:val="00231AB1"/>
    <w:rsid w:val="00231AE4"/>
    <w:rsid w:val="00231AFC"/>
    <w:rsid w:val="00231B0F"/>
    <w:rsid w:val="00231B51"/>
    <w:rsid w:val="00231B9D"/>
    <w:rsid w:val="00231BFD"/>
    <w:rsid w:val="00231C05"/>
    <w:rsid w:val="00231C32"/>
    <w:rsid w:val="00231D3E"/>
    <w:rsid w:val="00231DDE"/>
    <w:rsid w:val="00231E81"/>
    <w:rsid w:val="00231E84"/>
    <w:rsid w:val="00231EAB"/>
    <w:rsid w:val="00231EDA"/>
    <w:rsid w:val="00231F77"/>
    <w:rsid w:val="00231FA8"/>
    <w:rsid w:val="00232006"/>
    <w:rsid w:val="00232041"/>
    <w:rsid w:val="002320E1"/>
    <w:rsid w:val="0023214E"/>
    <w:rsid w:val="002321AC"/>
    <w:rsid w:val="002321DC"/>
    <w:rsid w:val="00232330"/>
    <w:rsid w:val="0023235F"/>
    <w:rsid w:val="00232368"/>
    <w:rsid w:val="002323C2"/>
    <w:rsid w:val="002323E2"/>
    <w:rsid w:val="0023243B"/>
    <w:rsid w:val="00232441"/>
    <w:rsid w:val="00232469"/>
    <w:rsid w:val="00232495"/>
    <w:rsid w:val="002324B1"/>
    <w:rsid w:val="0023250C"/>
    <w:rsid w:val="002325D2"/>
    <w:rsid w:val="00232616"/>
    <w:rsid w:val="002326B6"/>
    <w:rsid w:val="002326D3"/>
    <w:rsid w:val="00232730"/>
    <w:rsid w:val="0023277D"/>
    <w:rsid w:val="0023278F"/>
    <w:rsid w:val="0023293B"/>
    <w:rsid w:val="00232941"/>
    <w:rsid w:val="00232971"/>
    <w:rsid w:val="002329B6"/>
    <w:rsid w:val="002329DB"/>
    <w:rsid w:val="00232A45"/>
    <w:rsid w:val="00232A6F"/>
    <w:rsid w:val="00232AB9"/>
    <w:rsid w:val="00232AFA"/>
    <w:rsid w:val="00232B33"/>
    <w:rsid w:val="00232B34"/>
    <w:rsid w:val="00232BA8"/>
    <w:rsid w:val="00232BF5"/>
    <w:rsid w:val="00232C78"/>
    <w:rsid w:val="00232D35"/>
    <w:rsid w:val="00232D8B"/>
    <w:rsid w:val="00232D9B"/>
    <w:rsid w:val="00232DA3"/>
    <w:rsid w:val="00232DAB"/>
    <w:rsid w:val="00232DC6"/>
    <w:rsid w:val="00232DD1"/>
    <w:rsid w:val="00232E54"/>
    <w:rsid w:val="00232F3B"/>
    <w:rsid w:val="00232FB5"/>
    <w:rsid w:val="00232FCE"/>
    <w:rsid w:val="00232FFD"/>
    <w:rsid w:val="00233039"/>
    <w:rsid w:val="0023305C"/>
    <w:rsid w:val="0023307C"/>
    <w:rsid w:val="002330AC"/>
    <w:rsid w:val="002330CC"/>
    <w:rsid w:val="00233102"/>
    <w:rsid w:val="0023310A"/>
    <w:rsid w:val="00233113"/>
    <w:rsid w:val="0023321D"/>
    <w:rsid w:val="0023325F"/>
    <w:rsid w:val="00233261"/>
    <w:rsid w:val="0023326D"/>
    <w:rsid w:val="002332FD"/>
    <w:rsid w:val="00233418"/>
    <w:rsid w:val="0023345D"/>
    <w:rsid w:val="00233461"/>
    <w:rsid w:val="00233519"/>
    <w:rsid w:val="00233539"/>
    <w:rsid w:val="0023356C"/>
    <w:rsid w:val="00233599"/>
    <w:rsid w:val="002335AF"/>
    <w:rsid w:val="002335F0"/>
    <w:rsid w:val="00233602"/>
    <w:rsid w:val="0023364F"/>
    <w:rsid w:val="00233654"/>
    <w:rsid w:val="00233695"/>
    <w:rsid w:val="002336AC"/>
    <w:rsid w:val="00233730"/>
    <w:rsid w:val="002337B3"/>
    <w:rsid w:val="002337E3"/>
    <w:rsid w:val="002337E7"/>
    <w:rsid w:val="002337F8"/>
    <w:rsid w:val="002337FC"/>
    <w:rsid w:val="002338E0"/>
    <w:rsid w:val="00233A05"/>
    <w:rsid w:val="00233A45"/>
    <w:rsid w:val="00233ACD"/>
    <w:rsid w:val="00233AD3"/>
    <w:rsid w:val="00233ADE"/>
    <w:rsid w:val="00233B09"/>
    <w:rsid w:val="00233BD0"/>
    <w:rsid w:val="00233BEA"/>
    <w:rsid w:val="00233BF8"/>
    <w:rsid w:val="00233C39"/>
    <w:rsid w:val="00233D2D"/>
    <w:rsid w:val="00233D4A"/>
    <w:rsid w:val="00233D51"/>
    <w:rsid w:val="00233D55"/>
    <w:rsid w:val="00233E04"/>
    <w:rsid w:val="00233E0A"/>
    <w:rsid w:val="00233E2A"/>
    <w:rsid w:val="00233E39"/>
    <w:rsid w:val="00233E4B"/>
    <w:rsid w:val="00233EFB"/>
    <w:rsid w:val="00233F24"/>
    <w:rsid w:val="00233F57"/>
    <w:rsid w:val="00233FCC"/>
    <w:rsid w:val="00234021"/>
    <w:rsid w:val="00234061"/>
    <w:rsid w:val="002341B7"/>
    <w:rsid w:val="002341E2"/>
    <w:rsid w:val="0023424D"/>
    <w:rsid w:val="0023425E"/>
    <w:rsid w:val="002342D1"/>
    <w:rsid w:val="0023434E"/>
    <w:rsid w:val="002343A5"/>
    <w:rsid w:val="002343C0"/>
    <w:rsid w:val="0023448D"/>
    <w:rsid w:val="00234490"/>
    <w:rsid w:val="002344AC"/>
    <w:rsid w:val="002344DC"/>
    <w:rsid w:val="002344E5"/>
    <w:rsid w:val="00234561"/>
    <w:rsid w:val="00234617"/>
    <w:rsid w:val="00234627"/>
    <w:rsid w:val="00234672"/>
    <w:rsid w:val="00234676"/>
    <w:rsid w:val="002346C3"/>
    <w:rsid w:val="002346EA"/>
    <w:rsid w:val="0023471E"/>
    <w:rsid w:val="00234729"/>
    <w:rsid w:val="00234760"/>
    <w:rsid w:val="00234766"/>
    <w:rsid w:val="00234776"/>
    <w:rsid w:val="00234805"/>
    <w:rsid w:val="0023484A"/>
    <w:rsid w:val="00234907"/>
    <w:rsid w:val="00234918"/>
    <w:rsid w:val="0023499B"/>
    <w:rsid w:val="002349F4"/>
    <w:rsid w:val="00234A2E"/>
    <w:rsid w:val="00234B22"/>
    <w:rsid w:val="00234B5B"/>
    <w:rsid w:val="00234B7C"/>
    <w:rsid w:val="00234BA5"/>
    <w:rsid w:val="00234C67"/>
    <w:rsid w:val="00234CB2"/>
    <w:rsid w:val="00234CBA"/>
    <w:rsid w:val="00234CC2"/>
    <w:rsid w:val="00234D0F"/>
    <w:rsid w:val="00234D4B"/>
    <w:rsid w:val="00234D6C"/>
    <w:rsid w:val="00234E0A"/>
    <w:rsid w:val="00234E5B"/>
    <w:rsid w:val="00234EDB"/>
    <w:rsid w:val="00234F60"/>
    <w:rsid w:val="00234F73"/>
    <w:rsid w:val="00234FAC"/>
    <w:rsid w:val="00234FD5"/>
    <w:rsid w:val="00234FF4"/>
    <w:rsid w:val="0023500B"/>
    <w:rsid w:val="0023506C"/>
    <w:rsid w:val="002350BA"/>
    <w:rsid w:val="002350D9"/>
    <w:rsid w:val="0023515F"/>
    <w:rsid w:val="002351B5"/>
    <w:rsid w:val="0023520C"/>
    <w:rsid w:val="0023526A"/>
    <w:rsid w:val="00235288"/>
    <w:rsid w:val="002352DE"/>
    <w:rsid w:val="002352E2"/>
    <w:rsid w:val="002352E3"/>
    <w:rsid w:val="00235337"/>
    <w:rsid w:val="00235350"/>
    <w:rsid w:val="00235360"/>
    <w:rsid w:val="00235371"/>
    <w:rsid w:val="00235388"/>
    <w:rsid w:val="00235459"/>
    <w:rsid w:val="0023548C"/>
    <w:rsid w:val="002354BA"/>
    <w:rsid w:val="002354C5"/>
    <w:rsid w:val="00235506"/>
    <w:rsid w:val="0023557D"/>
    <w:rsid w:val="00235589"/>
    <w:rsid w:val="00235646"/>
    <w:rsid w:val="002356A0"/>
    <w:rsid w:val="002356AB"/>
    <w:rsid w:val="002356B3"/>
    <w:rsid w:val="002356E6"/>
    <w:rsid w:val="0023570B"/>
    <w:rsid w:val="00235727"/>
    <w:rsid w:val="00235764"/>
    <w:rsid w:val="00235773"/>
    <w:rsid w:val="002357F4"/>
    <w:rsid w:val="002357FC"/>
    <w:rsid w:val="00235800"/>
    <w:rsid w:val="00235802"/>
    <w:rsid w:val="00235879"/>
    <w:rsid w:val="00235932"/>
    <w:rsid w:val="002359D5"/>
    <w:rsid w:val="002359E3"/>
    <w:rsid w:val="002359FC"/>
    <w:rsid w:val="00235A14"/>
    <w:rsid w:val="00235A6E"/>
    <w:rsid w:val="00235AC2"/>
    <w:rsid w:val="00235B82"/>
    <w:rsid w:val="00235C2A"/>
    <w:rsid w:val="00235C78"/>
    <w:rsid w:val="00235CC6"/>
    <w:rsid w:val="00235DBB"/>
    <w:rsid w:val="00235DFB"/>
    <w:rsid w:val="00235E20"/>
    <w:rsid w:val="00235EA9"/>
    <w:rsid w:val="00235EC1"/>
    <w:rsid w:val="00235EC7"/>
    <w:rsid w:val="00235F49"/>
    <w:rsid w:val="00235F5B"/>
    <w:rsid w:val="00235F88"/>
    <w:rsid w:val="00235FD1"/>
    <w:rsid w:val="00235FD2"/>
    <w:rsid w:val="00235FE3"/>
    <w:rsid w:val="00236063"/>
    <w:rsid w:val="002360DF"/>
    <w:rsid w:val="002360E5"/>
    <w:rsid w:val="0023612D"/>
    <w:rsid w:val="0023612E"/>
    <w:rsid w:val="00236178"/>
    <w:rsid w:val="00236188"/>
    <w:rsid w:val="002361C2"/>
    <w:rsid w:val="002361E0"/>
    <w:rsid w:val="0023620A"/>
    <w:rsid w:val="002362A2"/>
    <w:rsid w:val="002363C0"/>
    <w:rsid w:val="002363C6"/>
    <w:rsid w:val="00236474"/>
    <w:rsid w:val="002364A2"/>
    <w:rsid w:val="002364B4"/>
    <w:rsid w:val="002364DD"/>
    <w:rsid w:val="00236512"/>
    <w:rsid w:val="0023654C"/>
    <w:rsid w:val="00236584"/>
    <w:rsid w:val="00236598"/>
    <w:rsid w:val="00236606"/>
    <w:rsid w:val="00236618"/>
    <w:rsid w:val="0023661B"/>
    <w:rsid w:val="00236657"/>
    <w:rsid w:val="00236699"/>
    <w:rsid w:val="002366D6"/>
    <w:rsid w:val="00236751"/>
    <w:rsid w:val="00236763"/>
    <w:rsid w:val="0023679A"/>
    <w:rsid w:val="0023679E"/>
    <w:rsid w:val="002367E2"/>
    <w:rsid w:val="00236841"/>
    <w:rsid w:val="002368B8"/>
    <w:rsid w:val="002368BE"/>
    <w:rsid w:val="002368EB"/>
    <w:rsid w:val="00236924"/>
    <w:rsid w:val="00236932"/>
    <w:rsid w:val="0023694C"/>
    <w:rsid w:val="00236A2A"/>
    <w:rsid w:val="00236A9F"/>
    <w:rsid w:val="00236AC2"/>
    <w:rsid w:val="00236AD0"/>
    <w:rsid w:val="00236B04"/>
    <w:rsid w:val="00236B12"/>
    <w:rsid w:val="00236B66"/>
    <w:rsid w:val="00236BFA"/>
    <w:rsid w:val="00236C6B"/>
    <w:rsid w:val="00236C9F"/>
    <w:rsid w:val="00236CD0"/>
    <w:rsid w:val="00236D38"/>
    <w:rsid w:val="00236DB5"/>
    <w:rsid w:val="00236DEC"/>
    <w:rsid w:val="00236E28"/>
    <w:rsid w:val="00236EE6"/>
    <w:rsid w:val="00236EFC"/>
    <w:rsid w:val="00236F06"/>
    <w:rsid w:val="00236F26"/>
    <w:rsid w:val="00236F82"/>
    <w:rsid w:val="00236FE6"/>
    <w:rsid w:val="00236FF3"/>
    <w:rsid w:val="00237009"/>
    <w:rsid w:val="00237015"/>
    <w:rsid w:val="00237020"/>
    <w:rsid w:val="00237042"/>
    <w:rsid w:val="00237044"/>
    <w:rsid w:val="002370A8"/>
    <w:rsid w:val="002370E4"/>
    <w:rsid w:val="002370FE"/>
    <w:rsid w:val="00237157"/>
    <w:rsid w:val="002371A9"/>
    <w:rsid w:val="002371CD"/>
    <w:rsid w:val="0023722F"/>
    <w:rsid w:val="0023723C"/>
    <w:rsid w:val="002372AF"/>
    <w:rsid w:val="00237317"/>
    <w:rsid w:val="00237357"/>
    <w:rsid w:val="002373C3"/>
    <w:rsid w:val="00237403"/>
    <w:rsid w:val="00237469"/>
    <w:rsid w:val="00237484"/>
    <w:rsid w:val="00237492"/>
    <w:rsid w:val="00237496"/>
    <w:rsid w:val="00237529"/>
    <w:rsid w:val="00237534"/>
    <w:rsid w:val="00237537"/>
    <w:rsid w:val="0023756A"/>
    <w:rsid w:val="002375B0"/>
    <w:rsid w:val="00237602"/>
    <w:rsid w:val="00237609"/>
    <w:rsid w:val="0023760A"/>
    <w:rsid w:val="00237613"/>
    <w:rsid w:val="0023761D"/>
    <w:rsid w:val="00237658"/>
    <w:rsid w:val="00237689"/>
    <w:rsid w:val="0023768A"/>
    <w:rsid w:val="002376D3"/>
    <w:rsid w:val="0023774F"/>
    <w:rsid w:val="002377BF"/>
    <w:rsid w:val="002377CA"/>
    <w:rsid w:val="002378BF"/>
    <w:rsid w:val="002378E5"/>
    <w:rsid w:val="00237930"/>
    <w:rsid w:val="00237932"/>
    <w:rsid w:val="00237988"/>
    <w:rsid w:val="002379F8"/>
    <w:rsid w:val="00237A80"/>
    <w:rsid w:val="00237AA8"/>
    <w:rsid w:val="00237B2B"/>
    <w:rsid w:val="00237B37"/>
    <w:rsid w:val="00237B60"/>
    <w:rsid w:val="00237B84"/>
    <w:rsid w:val="00237BDD"/>
    <w:rsid w:val="00237C1A"/>
    <w:rsid w:val="00237C2C"/>
    <w:rsid w:val="00237C5C"/>
    <w:rsid w:val="00237C94"/>
    <w:rsid w:val="00237CBD"/>
    <w:rsid w:val="00237CC3"/>
    <w:rsid w:val="00237CCA"/>
    <w:rsid w:val="00237CDE"/>
    <w:rsid w:val="00237DA1"/>
    <w:rsid w:val="00237DB2"/>
    <w:rsid w:val="00237DBF"/>
    <w:rsid w:val="00237E09"/>
    <w:rsid w:val="00237E3F"/>
    <w:rsid w:val="00237E78"/>
    <w:rsid w:val="00237ED2"/>
    <w:rsid w:val="00240013"/>
    <w:rsid w:val="00240047"/>
    <w:rsid w:val="00240048"/>
    <w:rsid w:val="00240082"/>
    <w:rsid w:val="00240091"/>
    <w:rsid w:val="0024009A"/>
    <w:rsid w:val="002400BF"/>
    <w:rsid w:val="002400DE"/>
    <w:rsid w:val="002400E1"/>
    <w:rsid w:val="00240144"/>
    <w:rsid w:val="00240147"/>
    <w:rsid w:val="0024014C"/>
    <w:rsid w:val="00240157"/>
    <w:rsid w:val="00240185"/>
    <w:rsid w:val="00240233"/>
    <w:rsid w:val="0024023A"/>
    <w:rsid w:val="00240298"/>
    <w:rsid w:val="0024029D"/>
    <w:rsid w:val="002402B2"/>
    <w:rsid w:val="002402C9"/>
    <w:rsid w:val="00240342"/>
    <w:rsid w:val="00240365"/>
    <w:rsid w:val="00240367"/>
    <w:rsid w:val="00240382"/>
    <w:rsid w:val="002403F3"/>
    <w:rsid w:val="0024062A"/>
    <w:rsid w:val="0024066D"/>
    <w:rsid w:val="00240670"/>
    <w:rsid w:val="002406B2"/>
    <w:rsid w:val="002406B7"/>
    <w:rsid w:val="002406EF"/>
    <w:rsid w:val="00240748"/>
    <w:rsid w:val="002407A3"/>
    <w:rsid w:val="002407CC"/>
    <w:rsid w:val="002407CD"/>
    <w:rsid w:val="002408EC"/>
    <w:rsid w:val="00240932"/>
    <w:rsid w:val="0024095D"/>
    <w:rsid w:val="00240961"/>
    <w:rsid w:val="00240976"/>
    <w:rsid w:val="002409CF"/>
    <w:rsid w:val="002409E2"/>
    <w:rsid w:val="002409F5"/>
    <w:rsid w:val="00240A5D"/>
    <w:rsid w:val="00240AA8"/>
    <w:rsid w:val="00240AE3"/>
    <w:rsid w:val="00240B52"/>
    <w:rsid w:val="00240B8B"/>
    <w:rsid w:val="00240BAB"/>
    <w:rsid w:val="00240BDA"/>
    <w:rsid w:val="00240BEE"/>
    <w:rsid w:val="00240BF5"/>
    <w:rsid w:val="00240C75"/>
    <w:rsid w:val="00240D0C"/>
    <w:rsid w:val="00240E69"/>
    <w:rsid w:val="00240E74"/>
    <w:rsid w:val="00240EAD"/>
    <w:rsid w:val="00240EDD"/>
    <w:rsid w:val="00240FC4"/>
    <w:rsid w:val="00240FCE"/>
    <w:rsid w:val="00240FDD"/>
    <w:rsid w:val="00241012"/>
    <w:rsid w:val="002410B6"/>
    <w:rsid w:val="002410BE"/>
    <w:rsid w:val="002410DC"/>
    <w:rsid w:val="002410E0"/>
    <w:rsid w:val="002411AB"/>
    <w:rsid w:val="00241202"/>
    <w:rsid w:val="0024120D"/>
    <w:rsid w:val="00241262"/>
    <w:rsid w:val="0024127B"/>
    <w:rsid w:val="00241293"/>
    <w:rsid w:val="002412AC"/>
    <w:rsid w:val="0024130D"/>
    <w:rsid w:val="0024130F"/>
    <w:rsid w:val="0024132E"/>
    <w:rsid w:val="00241362"/>
    <w:rsid w:val="00241368"/>
    <w:rsid w:val="00241402"/>
    <w:rsid w:val="00241412"/>
    <w:rsid w:val="00241445"/>
    <w:rsid w:val="0024156D"/>
    <w:rsid w:val="002416B1"/>
    <w:rsid w:val="00241711"/>
    <w:rsid w:val="0024178A"/>
    <w:rsid w:val="002417D4"/>
    <w:rsid w:val="002417E8"/>
    <w:rsid w:val="0024180E"/>
    <w:rsid w:val="0024184D"/>
    <w:rsid w:val="0024185C"/>
    <w:rsid w:val="00241865"/>
    <w:rsid w:val="00241870"/>
    <w:rsid w:val="00241881"/>
    <w:rsid w:val="0024190F"/>
    <w:rsid w:val="00241937"/>
    <w:rsid w:val="0024198E"/>
    <w:rsid w:val="002419B0"/>
    <w:rsid w:val="00241A09"/>
    <w:rsid w:val="00241A1A"/>
    <w:rsid w:val="00241A57"/>
    <w:rsid w:val="00241A65"/>
    <w:rsid w:val="00241B2E"/>
    <w:rsid w:val="00241B49"/>
    <w:rsid w:val="00241BD1"/>
    <w:rsid w:val="00241C02"/>
    <w:rsid w:val="00241C06"/>
    <w:rsid w:val="00241C4D"/>
    <w:rsid w:val="00241C77"/>
    <w:rsid w:val="00241C9C"/>
    <w:rsid w:val="00241CB6"/>
    <w:rsid w:val="00241D47"/>
    <w:rsid w:val="00241D48"/>
    <w:rsid w:val="00241DEE"/>
    <w:rsid w:val="00241DF2"/>
    <w:rsid w:val="00241DF5"/>
    <w:rsid w:val="00241E39"/>
    <w:rsid w:val="00241EAC"/>
    <w:rsid w:val="00241EAE"/>
    <w:rsid w:val="00241EE6"/>
    <w:rsid w:val="00241F26"/>
    <w:rsid w:val="00241F6D"/>
    <w:rsid w:val="00241F90"/>
    <w:rsid w:val="00241FA1"/>
    <w:rsid w:val="00241FD7"/>
    <w:rsid w:val="0024204A"/>
    <w:rsid w:val="002420AD"/>
    <w:rsid w:val="002420B5"/>
    <w:rsid w:val="0024213A"/>
    <w:rsid w:val="00242164"/>
    <w:rsid w:val="0024225F"/>
    <w:rsid w:val="0024228D"/>
    <w:rsid w:val="002423E0"/>
    <w:rsid w:val="002423FD"/>
    <w:rsid w:val="0024248C"/>
    <w:rsid w:val="002424F3"/>
    <w:rsid w:val="00242504"/>
    <w:rsid w:val="00242529"/>
    <w:rsid w:val="00242546"/>
    <w:rsid w:val="00242549"/>
    <w:rsid w:val="00242564"/>
    <w:rsid w:val="0024258E"/>
    <w:rsid w:val="00242593"/>
    <w:rsid w:val="002425E6"/>
    <w:rsid w:val="00242604"/>
    <w:rsid w:val="00242606"/>
    <w:rsid w:val="0024262D"/>
    <w:rsid w:val="00242635"/>
    <w:rsid w:val="00242648"/>
    <w:rsid w:val="0024267B"/>
    <w:rsid w:val="002426DA"/>
    <w:rsid w:val="0024282E"/>
    <w:rsid w:val="0024288E"/>
    <w:rsid w:val="002428CD"/>
    <w:rsid w:val="0024294C"/>
    <w:rsid w:val="002429EC"/>
    <w:rsid w:val="00242A3A"/>
    <w:rsid w:val="00242B88"/>
    <w:rsid w:val="00242B99"/>
    <w:rsid w:val="00242BD0"/>
    <w:rsid w:val="00242C19"/>
    <w:rsid w:val="00242C3D"/>
    <w:rsid w:val="00242C65"/>
    <w:rsid w:val="00242C6D"/>
    <w:rsid w:val="00242C94"/>
    <w:rsid w:val="00242CA1"/>
    <w:rsid w:val="00242CA5"/>
    <w:rsid w:val="00242D28"/>
    <w:rsid w:val="00242D34"/>
    <w:rsid w:val="00242DD4"/>
    <w:rsid w:val="00242E08"/>
    <w:rsid w:val="00242E14"/>
    <w:rsid w:val="00242E35"/>
    <w:rsid w:val="00242E68"/>
    <w:rsid w:val="00242E69"/>
    <w:rsid w:val="00242ED9"/>
    <w:rsid w:val="00242F03"/>
    <w:rsid w:val="00242F6C"/>
    <w:rsid w:val="00242F78"/>
    <w:rsid w:val="00243001"/>
    <w:rsid w:val="002430A8"/>
    <w:rsid w:val="002430AF"/>
    <w:rsid w:val="002430F8"/>
    <w:rsid w:val="00243117"/>
    <w:rsid w:val="00243145"/>
    <w:rsid w:val="00243148"/>
    <w:rsid w:val="0024318F"/>
    <w:rsid w:val="0024321B"/>
    <w:rsid w:val="0024326E"/>
    <w:rsid w:val="00243282"/>
    <w:rsid w:val="002432D6"/>
    <w:rsid w:val="0024333E"/>
    <w:rsid w:val="0024335E"/>
    <w:rsid w:val="0024336F"/>
    <w:rsid w:val="002433F5"/>
    <w:rsid w:val="00243489"/>
    <w:rsid w:val="002434B4"/>
    <w:rsid w:val="002434B5"/>
    <w:rsid w:val="002434DB"/>
    <w:rsid w:val="002434E4"/>
    <w:rsid w:val="0024353F"/>
    <w:rsid w:val="00243545"/>
    <w:rsid w:val="0024358F"/>
    <w:rsid w:val="002435D5"/>
    <w:rsid w:val="002435E4"/>
    <w:rsid w:val="00243671"/>
    <w:rsid w:val="00243679"/>
    <w:rsid w:val="00243697"/>
    <w:rsid w:val="00243707"/>
    <w:rsid w:val="00243708"/>
    <w:rsid w:val="002437B5"/>
    <w:rsid w:val="0024391F"/>
    <w:rsid w:val="00243964"/>
    <w:rsid w:val="002439D9"/>
    <w:rsid w:val="00243B15"/>
    <w:rsid w:val="00243B17"/>
    <w:rsid w:val="00243B19"/>
    <w:rsid w:val="00243B30"/>
    <w:rsid w:val="00243C7F"/>
    <w:rsid w:val="00243C8D"/>
    <w:rsid w:val="00243CC0"/>
    <w:rsid w:val="00243CE4"/>
    <w:rsid w:val="00243CE8"/>
    <w:rsid w:val="00243D02"/>
    <w:rsid w:val="00243D39"/>
    <w:rsid w:val="00243D88"/>
    <w:rsid w:val="00243F0A"/>
    <w:rsid w:val="00243F13"/>
    <w:rsid w:val="00243F6A"/>
    <w:rsid w:val="002440AE"/>
    <w:rsid w:val="00244115"/>
    <w:rsid w:val="00244151"/>
    <w:rsid w:val="0024415F"/>
    <w:rsid w:val="0024417C"/>
    <w:rsid w:val="0024418F"/>
    <w:rsid w:val="00244194"/>
    <w:rsid w:val="002441E8"/>
    <w:rsid w:val="00244257"/>
    <w:rsid w:val="002442C9"/>
    <w:rsid w:val="002442FC"/>
    <w:rsid w:val="00244301"/>
    <w:rsid w:val="00244312"/>
    <w:rsid w:val="0024434B"/>
    <w:rsid w:val="00244350"/>
    <w:rsid w:val="00244464"/>
    <w:rsid w:val="0024446E"/>
    <w:rsid w:val="00244487"/>
    <w:rsid w:val="002444AC"/>
    <w:rsid w:val="002444E4"/>
    <w:rsid w:val="002445A9"/>
    <w:rsid w:val="002445CF"/>
    <w:rsid w:val="0024461A"/>
    <w:rsid w:val="00244631"/>
    <w:rsid w:val="00244671"/>
    <w:rsid w:val="002446C3"/>
    <w:rsid w:val="002446FB"/>
    <w:rsid w:val="0024470E"/>
    <w:rsid w:val="00244718"/>
    <w:rsid w:val="00244726"/>
    <w:rsid w:val="00244729"/>
    <w:rsid w:val="00244740"/>
    <w:rsid w:val="002447CB"/>
    <w:rsid w:val="00244863"/>
    <w:rsid w:val="00244870"/>
    <w:rsid w:val="00244876"/>
    <w:rsid w:val="00244882"/>
    <w:rsid w:val="0024491D"/>
    <w:rsid w:val="0024495E"/>
    <w:rsid w:val="00244979"/>
    <w:rsid w:val="002449D3"/>
    <w:rsid w:val="002449ED"/>
    <w:rsid w:val="00244A00"/>
    <w:rsid w:val="00244A5A"/>
    <w:rsid w:val="00244AAF"/>
    <w:rsid w:val="00244AB9"/>
    <w:rsid w:val="00244B2A"/>
    <w:rsid w:val="00244B97"/>
    <w:rsid w:val="00244BF7"/>
    <w:rsid w:val="00244C68"/>
    <w:rsid w:val="00244CA6"/>
    <w:rsid w:val="00244CE4"/>
    <w:rsid w:val="00244DDF"/>
    <w:rsid w:val="00244DE1"/>
    <w:rsid w:val="00244DEC"/>
    <w:rsid w:val="00244E1C"/>
    <w:rsid w:val="00244E29"/>
    <w:rsid w:val="00244E65"/>
    <w:rsid w:val="00244E76"/>
    <w:rsid w:val="00244E80"/>
    <w:rsid w:val="00244EC0"/>
    <w:rsid w:val="00244F22"/>
    <w:rsid w:val="00244F23"/>
    <w:rsid w:val="00244F3F"/>
    <w:rsid w:val="00244F57"/>
    <w:rsid w:val="00244F5A"/>
    <w:rsid w:val="00244F78"/>
    <w:rsid w:val="00244FA5"/>
    <w:rsid w:val="00244FA8"/>
    <w:rsid w:val="00244FF4"/>
    <w:rsid w:val="0024500B"/>
    <w:rsid w:val="00245046"/>
    <w:rsid w:val="0024505C"/>
    <w:rsid w:val="0024507B"/>
    <w:rsid w:val="0024508C"/>
    <w:rsid w:val="002450D9"/>
    <w:rsid w:val="0024510E"/>
    <w:rsid w:val="002451AE"/>
    <w:rsid w:val="002451C4"/>
    <w:rsid w:val="002451D0"/>
    <w:rsid w:val="00245205"/>
    <w:rsid w:val="0024528A"/>
    <w:rsid w:val="00245297"/>
    <w:rsid w:val="002452B7"/>
    <w:rsid w:val="002452E2"/>
    <w:rsid w:val="002452E6"/>
    <w:rsid w:val="002452F4"/>
    <w:rsid w:val="0024530A"/>
    <w:rsid w:val="00245340"/>
    <w:rsid w:val="00245378"/>
    <w:rsid w:val="002453C9"/>
    <w:rsid w:val="002453D0"/>
    <w:rsid w:val="002453ED"/>
    <w:rsid w:val="00245434"/>
    <w:rsid w:val="002454BC"/>
    <w:rsid w:val="002454EB"/>
    <w:rsid w:val="0024551D"/>
    <w:rsid w:val="0024552D"/>
    <w:rsid w:val="00245561"/>
    <w:rsid w:val="002455A6"/>
    <w:rsid w:val="00245601"/>
    <w:rsid w:val="00245612"/>
    <w:rsid w:val="00245693"/>
    <w:rsid w:val="002456A4"/>
    <w:rsid w:val="002456DD"/>
    <w:rsid w:val="002456EB"/>
    <w:rsid w:val="00245754"/>
    <w:rsid w:val="002457B7"/>
    <w:rsid w:val="002457E2"/>
    <w:rsid w:val="00245802"/>
    <w:rsid w:val="00245831"/>
    <w:rsid w:val="00245848"/>
    <w:rsid w:val="00245876"/>
    <w:rsid w:val="002458A9"/>
    <w:rsid w:val="002458E1"/>
    <w:rsid w:val="002458EC"/>
    <w:rsid w:val="0024592D"/>
    <w:rsid w:val="0024594D"/>
    <w:rsid w:val="00245970"/>
    <w:rsid w:val="00245990"/>
    <w:rsid w:val="002459CE"/>
    <w:rsid w:val="00245A47"/>
    <w:rsid w:val="00245A51"/>
    <w:rsid w:val="00245A65"/>
    <w:rsid w:val="00245A9E"/>
    <w:rsid w:val="00245AA0"/>
    <w:rsid w:val="00245AAD"/>
    <w:rsid w:val="00245B19"/>
    <w:rsid w:val="00245B4B"/>
    <w:rsid w:val="00245C17"/>
    <w:rsid w:val="00245C28"/>
    <w:rsid w:val="00245CC7"/>
    <w:rsid w:val="00245D27"/>
    <w:rsid w:val="00245D53"/>
    <w:rsid w:val="00245DDB"/>
    <w:rsid w:val="00245E47"/>
    <w:rsid w:val="00245EA2"/>
    <w:rsid w:val="00245EA3"/>
    <w:rsid w:val="00245F3A"/>
    <w:rsid w:val="00245F50"/>
    <w:rsid w:val="00245F80"/>
    <w:rsid w:val="00245FC8"/>
    <w:rsid w:val="00245FF6"/>
    <w:rsid w:val="00246090"/>
    <w:rsid w:val="002460A2"/>
    <w:rsid w:val="002460E3"/>
    <w:rsid w:val="002460E5"/>
    <w:rsid w:val="00246116"/>
    <w:rsid w:val="002461BA"/>
    <w:rsid w:val="0024621C"/>
    <w:rsid w:val="0024623C"/>
    <w:rsid w:val="002462CE"/>
    <w:rsid w:val="002462DD"/>
    <w:rsid w:val="0024635A"/>
    <w:rsid w:val="00246396"/>
    <w:rsid w:val="002463CD"/>
    <w:rsid w:val="002463E3"/>
    <w:rsid w:val="002463F9"/>
    <w:rsid w:val="002464AB"/>
    <w:rsid w:val="002464AF"/>
    <w:rsid w:val="002464EF"/>
    <w:rsid w:val="002465AC"/>
    <w:rsid w:val="002465B6"/>
    <w:rsid w:val="002465E3"/>
    <w:rsid w:val="002465E5"/>
    <w:rsid w:val="00246624"/>
    <w:rsid w:val="002466A5"/>
    <w:rsid w:val="002466AF"/>
    <w:rsid w:val="002466D4"/>
    <w:rsid w:val="00246708"/>
    <w:rsid w:val="0024673A"/>
    <w:rsid w:val="00246760"/>
    <w:rsid w:val="0024677B"/>
    <w:rsid w:val="002467EA"/>
    <w:rsid w:val="00246888"/>
    <w:rsid w:val="00246891"/>
    <w:rsid w:val="002468C4"/>
    <w:rsid w:val="00246921"/>
    <w:rsid w:val="00246935"/>
    <w:rsid w:val="0024694A"/>
    <w:rsid w:val="0024698E"/>
    <w:rsid w:val="00246997"/>
    <w:rsid w:val="002469D0"/>
    <w:rsid w:val="002469D6"/>
    <w:rsid w:val="00246A14"/>
    <w:rsid w:val="00246A34"/>
    <w:rsid w:val="00246A87"/>
    <w:rsid w:val="00246AEB"/>
    <w:rsid w:val="00246B0C"/>
    <w:rsid w:val="00246BB4"/>
    <w:rsid w:val="00246BD1"/>
    <w:rsid w:val="00246C5E"/>
    <w:rsid w:val="00246C76"/>
    <w:rsid w:val="00246C9B"/>
    <w:rsid w:val="00246D79"/>
    <w:rsid w:val="00246DC8"/>
    <w:rsid w:val="00246E0D"/>
    <w:rsid w:val="00246E36"/>
    <w:rsid w:val="00246E37"/>
    <w:rsid w:val="00246E65"/>
    <w:rsid w:val="00246F38"/>
    <w:rsid w:val="00246F54"/>
    <w:rsid w:val="00246FB2"/>
    <w:rsid w:val="00246FC3"/>
    <w:rsid w:val="00246FE8"/>
    <w:rsid w:val="0024701A"/>
    <w:rsid w:val="0024708B"/>
    <w:rsid w:val="00247109"/>
    <w:rsid w:val="002471DD"/>
    <w:rsid w:val="0024720A"/>
    <w:rsid w:val="00247250"/>
    <w:rsid w:val="002472A9"/>
    <w:rsid w:val="002472B0"/>
    <w:rsid w:val="00247330"/>
    <w:rsid w:val="00247331"/>
    <w:rsid w:val="00247383"/>
    <w:rsid w:val="002473D4"/>
    <w:rsid w:val="00247475"/>
    <w:rsid w:val="00247486"/>
    <w:rsid w:val="00247493"/>
    <w:rsid w:val="002474EA"/>
    <w:rsid w:val="00247531"/>
    <w:rsid w:val="0024757B"/>
    <w:rsid w:val="0024757C"/>
    <w:rsid w:val="002475BD"/>
    <w:rsid w:val="002475E8"/>
    <w:rsid w:val="00247627"/>
    <w:rsid w:val="0024762E"/>
    <w:rsid w:val="0024764B"/>
    <w:rsid w:val="00247650"/>
    <w:rsid w:val="00247668"/>
    <w:rsid w:val="002476A7"/>
    <w:rsid w:val="002476AB"/>
    <w:rsid w:val="0024774D"/>
    <w:rsid w:val="002477B7"/>
    <w:rsid w:val="00247811"/>
    <w:rsid w:val="00247820"/>
    <w:rsid w:val="00247826"/>
    <w:rsid w:val="00247840"/>
    <w:rsid w:val="00247863"/>
    <w:rsid w:val="00247882"/>
    <w:rsid w:val="0024788D"/>
    <w:rsid w:val="00247890"/>
    <w:rsid w:val="002478BC"/>
    <w:rsid w:val="002478D9"/>
    <w:rsid w:val="002478FB"/>
    <w:rsid w:val="00247905"/>
    <w:rsid w:val="00247941"/>
    <w:rsid w:val="00247A0C"/>
    <w:rsid w:val="00247A38"/>
    <w:rsid w:val="00247A78"/>
    <w:rsid w:val="00247A96"/>
    <w:rsid w:val="00247AD5"/>
    <w:rsid w:val="00247ADB"/>
    <w:rsid w:val="00247B2A"/>
    <w:rsid w:val="00247B5D"/>
    <w:rsid w:val="00247B6D"/>
    <w:rsid w:val="00247BAF"/>
    <w:rsid w:val="00247BD4"/>
    <w:rsid w:val="00247C2D"/>
    <w:rsid w:val="00247C3B"/>
    <w:rsid w:val="00247C87"/>
    <w:rsid w:val="00247D0F"/>
    <w:rsid w:val="00247D23"/>
    <w:rsid w:val="00247DD4"/>
    <w:rsid w:val="00247E01"/>
    <w:rsid w:val="00247E0B"/>
    <w:rsid w:val="00247EF9"/>
    <w:rsid w:val="00247F42"/>
    <w:rsid w:val="00247F80"/>
    <w:rsid w:val="00247F99"/>
    <w:rsid w:val="00247FF4"/>
    <w:rsid w:val="0025000E"/>
    <w:rsid w:val="0025008C"/>
    <w:rsid w:val="002500BE"/>
    <w:rsid w:val="002500F7"/>
    <w:rsid w:val="00250107"/>
    <w:rsid w:val="00250125"/>
    <w:rsid w:val="0025017A"/>
    <w:rsid w:val="002501BE"/>
    <w:rsid w:val="0025022F"/>
    <w:rsid w:val="00250231"/>
    <w:rsid w:val="00250252"/>
    <w:rsid w:val="00250280"/>
    <w:rsid w:val="00250288"/>
    <w:rsid w:val="0025028A"/>
    <w:rsid w:val="002502D2"/>
    <w:rsid w:val="002503D7"/>
    <w:rsid w:val="00250413"/>
    <w:rsid w:val="00250471"/>
    <w:rsid w:val="002504A0"/>
    <w:rsid w:val="002504C6"/>
    <w:rsid w:val="002504DC"/>
    <w:rsid w:val="00250509"/>
    <w:rsid w:val="00250581"/>
    <w:rsid w:val="0025058A"/>
    <w:rsid w:val="002505EF"/>
    <w:rsid w:val="0025069E"/>
    <w:rsid w:val="002506A2"/>
    <w:rsid w:val="002506A8"/>
    <w:rsid w:val="00250754"/>
    <w:rsid w:val="00250768"/>
    <w:rsid w:val="002507E1"/>
    <w:rsid w:val="002507E3"/>
    <w:rsid w:val="002508EC"/>
    <w:rsid w:val="00250920"/>
    <w:rsid w:val="00250A11"/>
    <w:rsid w:val="00250A5F"/>
    <w:rsid w:val="00250AAE"/>
    <w:rsid w:val="00250AD9"/>
    <w:rsid w:val="00250AEE"/>
    <w:rsid w:val="00250B9A"/>
    <w:rsid w:val="00250BBD"/>
    <w:rsid w:val="00250BCA"/>
    <w:rsid w:val="00250C09"/>
    <w:rsid w:val="00250CC2"/>
    <w:rsid w:val="00250CCA"/>
    <w:rsid w:val="00250CD1"/>
    <w:rsid w:val="00250CDA"/>
    <w:rsid w:val="00250D9C"/>
    <w:rsid w:val="00250DE5"/>
    <w:rsid w:val="00250E06"/>
    <w:rsid w:val="00250E14"/>
    <w:rsid w:val="00250E8D"/>
    <w:rsid w:val="00250EBB"/>
    <w:rsid w:val="00250F0A"/>
    <w:rsid w:val="00250F18"/>
    <w:rsid w:val="00250F3A"/>
    <w:rsid w:val="00250FBD"/>
    <w:rsid w:val="00250FC7"/>
    <w:rsid w:val="00250FFD"/>
    <w:rsid w:val="00251006"/>
    <w:rsid w:val="00251031"/>
    <w:rsid w:val="0025104A"/>
    <w:rsid w:val="002510A8"/>
    <w:rsid w:val="002510B6"/>
    <w:rsid w:val="0025110B"/>
    <w:rsid w:val="00251111"/>
    <w:rsid w:val="0025118A"/>
    <w:rsid w:val="002511F1"/>
    <w:rsid w:val="0025122C"/>
    <w:rsid w:val="002512FC"/>
    <w:rsid w:val="00251310"/>
    <w:rsid w:val="00251439"/>
    <w:rsid w:val="00251473"/>
    <w:rsid w:val="002514D9"/>
    <w:rsid w:val="002514E4"/>
    <w:rsid w:val="0025150F"/>
    <w:rsid w:val="00251517"/>
    <w:rsid w:val="00251539"/>
    <w:rsid w:val="0025157D"/>
    <w:rsid w:val="002515A2"/>
    <w:rsid w:val="002515C6"/>
    <w:rsid w:val="0025162F"/>
    <w:rsid w:val="00251710"/>
    <w:rsid w:val="0025174A"/>
    <w:rsid w:val="00251754"/>
    <w:rsid w:val="0025181D"/>
    <w:rsid w:val="00251839"/>
    <w:rsid w:val="0025183A"/>
    <w:rsid w:val="0025188E"/>
    <w:rsid w:val="002518D3"/>
    <w:rsid w:val="002519BB"/>
    <w:rsid w:val="002519D1"/>
    <w:rsid w:val="00251A16"/>
    <w:rsid w:val="00251ABD"/>
    <w:rsid w:val="00251AE5"/>
    <w:rsid w:val="00251B49"/>
    <w:rsid w:val="00251B6D"/>
    <w:rsid w:val="00251B70"/>
    <w:rsid w:val="00251B8D"/>
    <w:rsid w:val="00251BD8"/>
    <w:rsid w:val="00251BE5"/>
    <w:rsid w:val="00251BEB"/>
    <w:rsid w:val="00251C0F"/>
    <w:rsid w:val="00251C13"/>
    <w:rsid w:val="00251C76"/>
    <w:rsid w:val="00251CC1"/>
    <w:rsid w:val="00251D38"/>
    <w:rsid w:val="00251D9C"/>
    <w:rsid w:val="00251DB9"/>
    <w:rsid w:val="00251DCC"/>
    <w:rsid w:val="00251DF3"/>
    <w:rsid w:val="00251E25"/>
    <w:rsid w:val="00251E2A"/>
    <w:rsid w:val="00251ED9"/>
    <w:rsid w:val="00251EF6"/>
    <w:rsid w:val="00251F18"/>
    <w:rsid w:val="00251F2F"/>
    <w:rsid w:val="00251F58"/>
    <w:rsid w:val="00251FEB"/>
    <w:rsid w:val="00251FFD"/>
    <w:rsid w:val="0025201D"/>
    <w:rsid w:val="00252033"/>
    <w:rsid w:val="002520B4"/>
    <w:rsid w:val="00252135"/>
    <w:rsid w:val="0025213B"/>
    <w:rsid w:val="00252157"/>
    <w:rsid w:val="00252260"/>
    <w:rsid w:val="002522AD"/>
    <w:rsid w:val="00252326"/>
    <w:rsid w:val="00252349"/>
    <w:rsid w:val="00252407"/>
    <w:rsid w:val="00252460"/>
    <w:rsid w:val="0025246A"/>
    <w:rsid w:val="002524AB"/>
    <w:rsid w:val="0025252D"/>
    <w:rsid w:val="00252538"/>
    <w:rsid w:val="0025255E"/>
    <w:rsid w:val="002525D2"/>
    <w:rsid w:val="0025260B"/>
    <w:rsid w:val="0025263C"/>
    <w:rsid w:val="0025265D"/>
    <w:rsid w:val="00252679"/>
    <w:rsid w:val="00252696"/>
    <w:rsid w:val="00252699"/>
    <w:rsid w:val="002526B8"/>
    <w:rsid w:val="0025270E"/>
    <w:rsid w:val="00252721"/>
    <w:rsid w:val="0025272A"/>
    <w:rsid w:val="00252737"/>
    <w:rsid w:val="0025273B"/>
    <w:rsid w:val="0025276D"/>
    <w:rsid w:val="0025277D"/>
    <w:rsid w:val="002527F0"/>
    <w:rsid w:val="0025280C"/>
    <w:rsid w:val="00252892"/>
    <w:rsid w:val="002528BB"/>
    <w:rsid w:val="002528CA"/>
    <w:rsid w:val="002528CE"/>
    <w:rsid w:val="002528F7"/>
    <w:rsid w:val="00252904"/>
    <w:rsid w:val="00252908"/>
    <w:rsid w:val="0025291B"/>
    <w:rsid w:val="00252A06"/>
    <w:rsid w:val="00252A77"/>
    <w:rsid w:val="00252AA7"/>
    <w:rsid w:val="00252AEC"/>
    <w:rsid w:val="00252AFC"/>
    <w:rsid w:val="00252B85"/>
    <w:rsid w:val="00252BA6"/>
    <w:rsid w:val="00252BEE"/>
    <w:rsid w:val="00252C28"/>
    <w:rsid w:val="00252C5B"/>
    <w:rsid w:val="00252CCD"/>
    <w:rsid w:val="00252CFD"/>
    <w:rsid w:val="00252D18"/>
    <w:rsid w:val="00252E5D"/>
    <w:rsid w:val="00252E71"/>
    <w:rsid w:val="00252EA9"/>
    <w:rsid w:val="00252EC7"/>
    <w:rsid w:val="00252EF1"/>
    <w:rsid w:val="00252F12"/>
    <w:rsid w:val="00252F4B"/>
    <w:rsid w:val="00252F58"/>
    <w:rsid w:val="00252F63"/>
    <w:rsid w:val="00252F76"/>
    <w:rsid w:val="00252F81"/>
    <w:rsid w:val="00252FCE"/>
    <w:rsid w:val="00252FD8"/>
    <w:rsid w:val="00252FEA"/>
    <w:rsid w:val="00253017"/>
    <w:rsid w:val="00253045"/>
    <w:rsid w:val="0025311B"/>
    <w:rsid w:val="0025314F"/>
    <w:rsid w:val="0025318F"/>
    <w:rsid w:val="00253214"/>
    <w:rsid w:val="0025322A"/>
    <w:rsid w:val="0025325B"/>
    <w:rsid w:val="00253280"/>
    <w:rsid w:val="00253286"/>
    <w:rsid w:val="00253342"/>
    <w:rsid w:val="00253392"/>
    <w:rsid w:val="002533B4"/>
    <w:rsid w:val="002533B9"/>
    <w:rsid w:val="0025341D"/>
    <w:rsid w:val="00253427"/>
    <w:rsid w:val="0025342D"/>
    <w:rsid w:val="002534CD"/>
    <w:rsid w:val="00253512"/>
    <w:rsid w:val="0025353B"/>
    <w:rsid w:val="0025358B"/>
    <w:rsid w:val="002535D5"/>
    <w:rsid w:val="002535E2"/>
    <w:rsid w:val="00253605"/>
    <w:rsid w:val="00253682"/>
    <w:rsid w:val="002536FE"/>
    <w:rsid w:val="00253761"/>
    <w:rsid w:val="0025377A"/>
    <w:rsid w:val="002537E7"/>
    <w:rsid w:val="0025383E"/>
    <w:rsid w:val="002538AD"/>
    <w:rsid w:val="002538DC"/>
    <w:rsid w:val="00253913"/>
    <w:rsid w:val="00253920"/>
    <w:rsid w:val="00253943"/>
    <w:rsid w:val="0025395A"/>
    <w:rsid w:val="00253973"/>
    <w:rsid w:val="00253980"/>
    <w:rsid w:val="00253985"/>
    <w:rsid w:val="00253989"/>
    <w:rsid w:val="002539AE"/>
    <w:rsid w:val="002539F9"/>
    <w:rsid w:val="00253B42"/>
    <w:rsid w:val="00253B5E"/>
    <w:rsid w:val="00253B8C"/>
    <w:rsid w:val="00253BE9"/>
    <w:rsid w:val="00253C21"/>
    <w:rsid w:val="00253C30"/>
    <w:rsid w:val="00253C73"/>
    <w:rsid w:val="00253CFE"/>
    <w:rsid w:val="00253D2C"/>
    <w:rsid w:val="00253D2F"/>
    <w:rsid w:val="00253DB6"/>
    <w:rsid w:val="00253E07"/>
    <w:rsid w:val="00253E25"/>
    <w:rsid w:val="00253E28"/>
    <w:rsid w:val="00253E2B"/>
    <w:rsid w:val="00253E40"/>
    <w:rsid w:val="00253E73"/>
    <w:rsid w:val="00253E7D"/>
    <w:rsid w:val="00253E84"/>
    <w:rsid w:val="00253F74"/>
    <w:rsid w:val="00253FCF"/>
    <w:rsid w:val="0025402E"/>
    <w:rsid w:val="00254085"/>
    <w:rsid w:val="00254087"/>
    <w:rsid w:val="002540A0"/>
    <w:rsid w:val="002540B2"/>
    <w:rsid w:val="002540C4"/>
    <w:rsid w:val="002540FB"/>
    <w:rsid w:val="00254109"/>
    <w:rsid w:val="0025417F"/>
    <w:rsid w:val="00254184"/>
    <w:rsid w:val="00254186"/>
    <w:rsid w:val="002541BE"/>
    <w:rsid w:val="00254202"/>
    <w:rsid w:val="0025425B"/>
    <w:rsid w:val="00254286"/>
    <w:rsid w:val="002542B1"/>
    <w:rsid w:val="0025432C"/>
    <w:rsid w:val="00254336"/>
    <w:rsid w:val="0025433D"/>
    <w:rsid w:val="00254364"/>
    <w:rsid w:val="002543D8"/>
    <w:rsid w:val="002543E5"/>
    <w:rsid w:val="00254479"/>
    <w:rsid w:val="00254480"/>
    <w:rsid w:val="002544BA"/>
    <w:rsid w:val="002544F8"/>
    <w:rsid w:val="00254516"/>
    <w:rsid w:val="00254548"/>
    <w:rsid w:val="0025457D"/>
    <w:rsid w:val="002545E5"/>
    <w:rsid w:val="00254623"/>
    <w:rsid w:val="0025462D"/>
    <w:rsid w:val="00254688"/>
    <w:rsid w:val="0025468E"/>
    <w:rsid w:val="002546DF"/>
    <w:rsid w:val="0025473A"/>
    <w:rsid w:val="002547BE"/>
    <w:rsid w:val="002547CE"/>
    <w:rsid w:val="002547CF"/>
    <w:rsid w:val="002547FF"/>
    <w:rsid w:val="00254814"/>
    <w:rsid w:val="002548B1"/>
    <w:rsid w:val="002548B8"/>
    <w:rsid w:val="002548C2"/>
    <w:rsid w:val="002548E0"/>
    <w:rsid w:val="002548F8"/>
    <w:rsid w:val="0025493A"/>
    <w:rsid w:val="0025496F"/>
    <w:rsid w:val="00254993"/>
    <w:rsid w:val="00254A02"/>
    <w:rsid w:val="00254A23"/>
    <w:rsid w:val="00254A81"/>
    <w:rsid w:val="00254A8C"/>
    <w:rsid w:val="00254A9C"/>
    <w:rsid w:val="00254AC7"/>
    <w:rsid w:val="00254AF8"/>
    <w:rsid w:val="00254B33"/>
    <w:rsid w:val="00254B57"/>
    <w:rsid w:val="00254BAC"/>
    <w:rsid w:val="00254BFA"/>
    <w:rsid w:val="00254C12"/>
    <w:rsid w:val="00254C39"/>
    <w:rsid w:val="00254C5E"/>
    <w:rsid w:val="00254C7A"/>
    <w:rsid w:val="00254CA5"/>
    <w:rsid w:val="00254D39"/>
    <w:rsid w:val="00254D74"/>
    <w:rsid w:val="00254DAB"/>
    <w:rsid w:val="00254DC5"/>
    <w:rsid w:val="00254DCD"/>
    <w:rsid w:val="00254DDF"/>
    <w:rsid w:val="00254DEC"/>
    <w:rsid w:val="00254E05"/>
    <w:rsid w:val="00254E35"/>
    <w:rsid w:val="00254E3B"/>
    <w:rsid w:val="00254E3C"/>
    <w:rsid w:val="00254E6B"/>
    <w:rsid w:val="00254EAC"/>
    <w:rsid w:val="00254EEE"/>
    <w:rsid w:val="00254F4C"/>
    <w:rsid w:val="00254F7E"/>
    <w:rsid w:val="00254F9F"/>
    <w:rsid w:val="00254FB1"/>
    <w:rsid w:val="00254FB5"/>
    <w:rsid w:val="00254FBF"/>
    <w:rsid w:val="00254FF1"/>
    <w:rsid w:val="00254FFE"/>
    <w:rsid w:val="0025503C"/>
    <w:rsid w:val="00255049"/>
    <w:rsid w:val="0025506B"/>
    <w:rsid w:val="0025507A"/>
    <w:rsid w:val="002550C7"/>
    <w:rsid w:val="002550FA"/>
    <w:rsid w:val="00255197"/>
    <w:rsid w:val="002551B8"/>
    <w:rsid w:val="002551CB"/>
    <w:rsid w:val="002551E1"/>
    <w:rsid w:val="0025530B"/>
    <w:rsid w:val="00255340"/>
    <w:rsid w:val="00255369"/>
    <w:rsid w:val="0025536C"/>
    <w:rsid w:val="00255372"/>
    <w:rsid w:val="0025537F"/>
    <w:rsid w:val="0025539B"/>
    <w:rsid w:val="002553B4"/>
    <w:rsid w:val="002553DA"/>
    <w:rsid w:val="002553E1"/>
    <w:rsid w:val="002553FD"/>
    <w:rsid w:val="0025542F"/>
    <w:rsid w:val="00255459"/>
    <w:rsid w:val="002554E3"/>
    <w:rsid w:val="002554EB"/>
    <w:rsid w:val="00255506"/>
    <w:rsid w:val="0025558D"/>
    <w:rsid w:val="00255593"/>
    <w:rsid w:val="002555DA"/>
    <w:rsid w:val="002555FC"/>
    <w:rsid w:val="0025562C"/>
    <w:rsid w:val="00255659"/>
    <w:rsid w:val="00255675"/>
    <w:rsid w:val="00255676"/>
    <w:rsid w:val="0025567B"/>
    <w:rsid w:val="0025568A"/>
    <w:rsid w:val="002556B8"/>
    <w:rsid w:val="002556DC"/>
    <w:rsid w:val="002557D6"/>
    <w:rsid w:val="002557DE"/>
    <w:rsid w:val="0025584A"/>
    <w:rsid w:val="00255863"/>
    <w:rsid w:val="00255865"/>
    <w:rsid w:val="002558FB"/>
    <w:rsid w:val="0025592C"/>
    <w:rsid w:val="00255984"/>
    <w:rsid w:val="002559A2"/>
    <w:rsid w:val="002559AE"/>
    <w:rsid w:val="002559F8"/>
    <w:rsid w:val="002559FC"/>
    <w:rsid w:val="00255A0E"/>
    <w:rsid w:val="00255A0F"/>
    <w:rsid w:val="00255A20"/>
    <w:rsid w:val="00255A4C"/>
    <w:rsid w:val="00255A5B"/>
    <w:rsid w:val="00255A94"/>
    <w:rsid w:val="00255A97"/>
    <w:rsid w:val="00255AD5"/>
    <w:rsid w:val="00255AE6"/>
    <w:rsid w:val="00255AF2"/>
    <w:rsid w:val="00255B13"/>
    <w:rsid w:val="00255B41"/>
    <w:rsid w:val="00255B5D"/>
    <w:rsid w:val="00255B80"/>
    <w:rsid w:val="00255BEF"/>
    <w:rsid w:val="00255C2F"/>
    <w:rsid w:val="00255C3C"/>
    <w:rsid w:val="00255C3D"/>
    <w:rsid w:val="00255C88"/>
    <w:rsid w:val="00255CAC"/>
    <w:rsid w:val="00255D5E"/>
    <w:rsid w:val="00255D8B"/>
    <w:rsid w:val="00255DAF"/>
    <w:rsid w:val="00255DC6"/>
    <w:rsid w:val="00255DCA"/>
    <w:rsid w:val="00255DCE"/>
    <w:rsid w:val="00255E36"/>
    <w:rsid w:val="00255E50"/>
    <w:rsid w:val="00255E53"/>
    <w:rsid w:val="00255E92"/>
    <w:rsid w:val="00255EE0"/>
    <w:rsid w:val="00255F2F"/>
    <w:rsid w:val="00255F60"/>
    <w:rsid w:val="00255F82"/>
    <w:rsid w:val="00255FF1"/>
    <w:rsid w:val="00256008"/>
    <w:rsid w:val="002560D4"/>
    <w:rsid w:val="002561E9"/>
    <w:rsid w:val="002561EE"/>
    <w:rsid w:val="002561F0"/>
    <w:rsid w:val="0025621C"/>
    <w:rsid w:val="00256256"/>
    <w:rsid w:val="00256282"/>
    <w:rsid w:val="002563AC"/>
    <w:rsid w:val="002563DB"/>
    <w:rsid w:val="002563E7"/>
    <w:rsid w:val="002563F8"/>
    <w:rsid w:val="002564B4"/>
    <w:rsid w:val="002564C7"/>
    <w:rsid w:val="00256511"/>
    <w:rsid w:val="0025652A"/>
    <w:rsid w:val="0025652F"/>
    <w:rsid w:val="0025654D"/>
    <w:rsid w:val="002565FD"/>
    <w:rsid w:val="00256660"/>
    <w:rsid w:val="00256672"/>
    <w:rsid w:val="00256695"/>
    <w:rsid w:val="0025669D"/>
    <w:rsid w:val="002566D8"/>
    <w:rsid w:val="00256722"/>
    <w:rsid w:val="00256726"/>
    <w:rsid w:val="0025676C"/>
    <w:rsid w:val="002567B5"/>
    <w:rsid w:val="002567B9"/>
    <w:rsid w:val="002567E3"/>
    <w:rsid w:val="0025682F"/>
    <w:rsid w:val="00256889"/>
    <w:rsid w:val="002568A8"/>
    <w:rsid w:val="0025690E"/>
    <w:rsid w:val="0025693D"/>
    <w:rsid w:val="00256972"/>
    <w:rsid w:val="0025699D"/>
    <w:rsid w:val="002569A1"/>
    <w:rsid w:val="002569A8"/>
    <w:rsid w:val="002569B9"/>
    <w:rsid w:val="002569FF"/>
    <w:rsid w:val="00256A58"/>
    <w:rsid w:val="00256A84"/>
    <w:rsid w:val="00256A9A"/>
    <w:rsid w:val="00256AFA"/>
    <w:rsid w:val="00256B48"/>
    <w:rsid w:val="00256BAE"/>
    <w:rsid w:val="00256BB7"/>
    <w:rsid w:val="00256C0E"/>
    <w:rsid w:val="00256C1A"/>
    <w:rsid w:val="00256C9B"/>
    <w:rsid w:val="00256CD5"/>
    <w:rsid w:val="00256D01"/>
    <w:rsid w:val="00256D73"/>
    <w:rsid w:val="00256E21"/>
    <w:rsid w:val="00256E50"/>
    <w:rsid w:val="00256E9C"/>
    <w:rsid w:val="00256FC3"/>
    <w:rsid w:val="00257082"/>
    <w:rsid w:val="002570C4"/>
    <w:rsid w:val="002570F4"/>
    <w:rsid w:val="00257127"/>
    <w:rsid w:val="00257251"/>
    <w:rsid w:val="00257269"/>
    <w:rsid w:val="0025726F"/>
    <w:rsid w:val="00257274"/>
    <w:rsid w:val="00257380"/>
    <w:rsid w:val="002573AA"/>
    <w:rsid w:val="0025744F"/>
    <w:rsid w:val="00257454"/>
    <w:rsid w:val="00257455"/>
    <w:rsid w:val="002574C5"/>
    <w:rsid w:val="002574E1"/>
    <w:rsid w:val="002574F9"/>
    <w:rsid w:val="00257586"/>
    <w:rsid w:val="00257591"/>
    <w:rsid w:val="00257593"/>
    <w:rsid w:val="00257621"/>
    <w:rsid w:val="002576BA"/>
    <w:rsid w:val="00257733"/>
    <w:rsid w:val="002577C4"/>
    <w:rsid w:val="00257823"/>
    <w:rsid w:val="0025783F"/>
    <w:rsid w:val="0025785E"/>
    <w:rsid w:val="00257863"/>
    <w:rsid w:val="002578E5"/>
    <w:rsid w:val="00257954"/>
    <w:rsid w:val="00257959"/>
    <w:rsid w:val="0025795A"/>
    <w:rsid w:val="00257A20"/>
    <w:rsid w:val="00257A23"/>
    <w:rsid w:val="00257A50"/>
    <w:rsid w:val="00257AA1"/>
    <w:rsid w:val="00257AE7"/>
    <w:rsid w:val="00257B11"/>
    <w:rsid w:val="00257B2D"/>
    <w:rsid w:val="00257B47"/>
    <w:rsid w:val="00257B5F"/>
    <w:rsid w:val="00257B88"/>
    <w:rsid w:val="00257B8F"/>
    <w:rsid w:val="00257BA6"/>
    <w:rsid w:val="00257BC6"/>
    <w:rsid w:val="00257BD2"/>
    <w:rsid w:val="00257BD3"/>
    <w:rsid w:val="00257BF2"/>
    <w:rsid w:val="00257C10"/>
    <w:rsid w:val="00257C14"/>
    <w:rsid w:val="00257C76"/>
    <w:rsid w:val="00257CC3"/>
    <w:rsid w:val="00257CEC"/>
    <w:rsid w:val="00257D4E"/>
    <w:rsid w:val="00257DCF"/>
    <w:rsid w:val="00257E3C"/>
    <w:rsid w:val="00257E82"/>
    <w:rsid w:val="00257EAB"/>
    <w:rsid w:val="00257ED7"/>
    <w:rsid w:val="00257EF1"/>
    <w:rsid w:val="00257F5F"/>
    <w:rsid w:val="00257F75"/>
    <w:rsid w:val="00257FA7"/>
    <w:rsid w:val="00257FF4"/>
    <w:rsid w:val="00260032"/>
    <w:rsid w:val="002600A1"/>
    <w:rsid w:val="002600AD"/>
    <w:rsid w:val="00260160"/>
    <w:rsid w:val="0026016E"/>
    <w:rsid w:val="0026018D"/>
    <w:rsid w:val="00260199"/>
    <w:rsid w:val="002601A0"/>
    <w:rsid w:val="002601A8"/>
    <w:rsid w:val="002601D3"/>
    <w:rsid w:val="0026021F"/>
    <w:rsid w:val="00260241"/>
    <w:rsid w:val="00260250"/>
    <w:rsid w:val="00260267"/>
    <w:rsid w:val="002602D8"/>
    <w:rsid w:val="00260378"/>
    <w:rsid w:val="00260383"/>
    <w:rsid w:val="00260395"/>
    <w:rsid w:val="002603B2"/>
    <w:rsid w:val="002603E6"/>
    <w:rsid w:val="00260418"/>
    <w:rsid w:val="002604A2"/>
    <w:rsid w:val="002604A8"/>
    <w:rsid w:val="002604CD"/>
    <w:rsid w:val="002604D7"/>
    <w:rsid w:val="00260508"/>
    <w:rsid w:val="002605A8"/>
    <w:rsid w:val="002605B2"/>
    <w:rsid w:val="002605F0"/>
    <w:rsid w:val="00260604"/>
    <w:rsid w:val="0026061D"/>
    <w:rsid w:val="00260629"/>
    <w:rsid w:val="00260632"/>
    <w:rsid w:val="0026064A"/>
    <w:rsid w:val="0026067E"/>
    <w:rsid w:val="002606E3"/>
    <w:rsid w:val="002606FD"/>
    <w:rsid w:val="0026071D"/>
    <w:rsid w:val="0026073D"/>
    <w:rsid w:val="00260761"/>
    <w:rsid w:val="0026077D"/>
    <w:rsid w:val="002607AD"/>
    <w:rsid w:val="002607C1"/>
    <w:rsid w:val="002607CB"/>
    <w:rsid w:val="002607CF"/>
    <w:rsid w:val="00260805"/>
    <w:rsid w:val="0026085C"/>
    <w:rsid w:val="002608A7"/>
    <w:rsid w:val="0026093A"/>
    <w:rsid w:val="00260991"/>
    <w:rsid w:val="00260A04"/>
    <w:rsid w:val="00260A3B"/>
    <w:rsid w:val="00260A72"/>
    <w:rsid w:val="00260A84"/>
    <w:rsid w:val="00260A8A"/>
    <w:rsid w:val="00260AD8"/>
    <w:rsid w:val="00260B0E"/>
    <w:rsid w:val="00260B28"/>
    <w:rsid w:val="00260B2B"/>
    <w:rsid w:val="00260B35"/>
    <w:rsid w:val="00260B42"/>
    <w:rsid w:val="00260B55"/>
    <w:rsid w:val="00260B58"/>
    <w:rsid w:val="00260B76"/>
    <w:rsid w:val="00260C1D"/>
    <w:rsid w:val="00260C2B"/>
    <w:rsid w:val="00260C6A"/>
    <w:rsid w:val="00260C88"/>
    <w:rsid w:val="00260C99"/>
    <w:rsid w:val="00260CAD"/>
    <w:rsid w:val="00260D99"/>
    <w:rsid w:val="00260E61"/>
    <w:rsid w:val="00260F85"/>
    <w:rsid w:val="00260FA8"/>
    <w:rsid w:val="00260FB5"/>
    <w:rsid w:val="00260FBF"/>
    <w:rsid w:val="00260FF3"/>
    <w:rsid w:val="00260FF6"/>
    <w:rsid w:val="0026105A"/>
    <w:rsid w:val="0026109F"/>
    <w:rsid w:val="002611C7"/>
    <w:rsid w:val="0026120F"/>
    <w:rsid w:val="0026125C"/>
    <w:rsid w:val="002612A5"/>
    <w:rsid w:val="002612F5"/>
    <w:rsid w:val="00261351"/>
    <w:rsid w:val="002613A1"/>
    <w:rsid w:val="00261435"/>
    <w:rsid w:val="00261465"/>
    <w:rsid w:val="002614CA"/>
    <w:rsid w:val="002614EA"/>
    <w:rsid w:val="0026160A"/>
    <w:rsid w:val="00261626"/>
    <w:rsid w:val="002616DB"/>
    <w:rsid w:val="002616F8"/>
    <w:rsid w:val="002616FA"/>
    <w:rsid w:val="0026177A"/>
    <w:rsid w:val="0026180E"/>
    <w:rsid w:val="00261870"/>
    <w:rsid w:val="00261885"/>
    <w:rsid w:val="002618B6"/>
    <w:rsid w:val="00261949"/>
    <w:rsid w:val="00261951"/>
    <w:rsid w:val="00261956"/>
    <w:rsid w:val="00261969"/>
    <w:rsid w:val="002619B5"/>
    <w:rsid w:val="002619BB"/>
    <w:rsid w:val="002619BE"/>
    <w:rsid w:val="002619DB"/>
    <w:rsid w:val="00261A1B"/>
    <w:rsid w:val="00261A20"/>
    <w:rsid w:val="00261A97"/>
    <w:rsid w:val="00261AA0"/>
    <w:rsid w:val="00261AB2"/>
    <w:rsid w:val="00261B56"/>
    <w:rsid w:val="00261B82"/>
    <w:rsid w:val="00261B87"/>
    <w:rsid w:val="00261CDA"/>
    <w:rsid w:val="00261CEC"/>
    <w:rsid w:val="00261D04"/>
    <w:rsid w:val="00261D0C"/>
    <w:rsid w:val="00261D13"/>
    <w:rsid w:val="00261D8C"/>
    <w:rsid w:val="00261E05"/>
    <w:rsid w:val="00261E7B"/>
    <w:rsid w:val="00261EB3"/>
    <w:rsid w:val="00261F7A"/>
    <w:rsid w:val="002620B0"/>
    <w:rsid w:val="002621B0"/>
    <w:rsid w:val="002621D0"/>
    <w:rsid w:val="002621F8"/>
    <w:rsid w:val="00262281"/>
    <w:rsid w:val="002622F8"/>
    <w:rsid w:val="00262331"/>
    <w:rsid w:val="002623EA"/>
    <w:rsid w:val="002623FF"/>
    <w:rsid w:val="00262449"/>
    <w:rsid w:val="00262464"/>
    <w:rsid w:val="00262477"/>
    <w:rsid w:val="0026247A"/>
    <w:rsid w:val="0026249A"/>
    <w:rsid w:val="00262518"/>
    <w:rsid w:val="00262538"/>
    <w:rsid w:val="002625AA"/>
    <w:rsid w:val="002625AD"/>
    <w:rsid w:val="00262702"/>
    <w:rsid w:val="00262742"/>
    <w:rsid w:val="00262785"/>
    <w:rsid w:val="00262793"/>
    <w:rsid w:val="002627BA"/>
    <w:rsid w:val="0026289F"/>
    <w:rsid w:val="00262930"/>
    <w:rsid w:val="00262940"/>
    <w:rsid w:val="00262954"/>
    <w:rsid w:val="0026295D"/>
    <w:rsid w:val="00262A06"/>
    <w:rsid w:val="00262AC1"/>
    <w:rsid w:val="00262AC3"/>
    <w:rsid w:val="00262B3E"/>
    <w:rsid w:val="00262B49"/>
    <w:rsid w:val="00262B54"/>
    <w:rsid w:val="00262B56"/>
    <w:rsid w:val="00262B5E"/>
    <w:rsid w:val="00262B68"/>
    <w:rsid w:val="00262B90"/>
    <w:rsid w:val="00262BCD"/>
    <w:rsid w:val="00262BFB"/>
    <w:rsid w:val="00262C7E"/>
    <w:rsid w:val="00262D2D"/>
    <w:rsid w:val="00262D42"/>
    <w:rsid w:val="00262D43"/>
    <w:rsid w:val="00262E1A"/>
    <w:rsid w:val="00262E5C"/>
    <w:rsid w:val="00262EFD"/>
    <w:rsid w:val="00262F08"/>
    <w:rsid w:val="00262F7D"/>
    <w:rsid w:val="00262F9A"/>
    <w:rsid w:val="00262FC7"/>
    <w:rsid w:val="0026303F"/>
    <w:rsid w:val="00263044"/>
    <w:rsid w:val="0026306D"/>
    <w:rsid w:val="002630CC"/>
    <w:rsid w:val="00263124"/>
    <w:rsid w:val="00263157"/>
    <w:rsid w:val="002631A0"/>
    <w:rsid w:val="002631AA"/>
    <w:rsid w:val="00263233"/>
    <w:rsid w:val="00263243"/>
    <w:rsid w:val="0026325A"/>
    <w:rsid w:val="0026327E"/>
    <w:rsid w:val="002632A6"/>
    <w:rsid w:val="00263478"/>
    <w:rsid w:val="0026348F"/>
    <w:rsid w:val="0026349D"/>
    <w:rsid w:val="002634CF"/>
    <w:rsid w:val="002634FB"/>
    <w:rsid w:val="00263515"/>
    <w:rsid w:val="0026362F"/>
    <w:rsid w:val="00263674"/>
    <w:rsid w:val="002636CD"/>
    <w:rsid w:val="002636D0"/>
    <w:rsid w:val="0026370D"/>
    <w:rsid w:val="00263745"/>
    <w:rsid w:val="002637AB"/>
    <w:rsid w:val="0026384F"/>
    <w:rsid w:val="002638AF"/>
    <w:rsid w:val="002638B3"/>
    <w:rsid w:val="002638CA"/>
    <w:rsid w:val="00263900"/>
    <w:rsid w:val="00263908"/>
    <w:rsid w:val="00263989"/>
    <w:rsid w:val="002639A5"/>
    <w:rsid w:val="002639C2"/>
    <w:rsid w:val="00263A5C"/>
    <w:rsid w:val="00263AAE"/>
    <w:rsid w:val="00263AD0"/>
    <w:rsid w:val="00263AEA"/>
    <w:rsid w:val="00263AF3"/>
    <w:rsid w:val="00263B1C"/>
    <w:rsid w:val="00263B59"/>
    <w:rsid w:val="00263B6C"/>
    <w:rsid w:val="00263BAE"/>
    <w:rsid w:val="00263C9B"/>
    <w:rsid w:val="00263CA5"/>
    <w:rsid w:val="00263D93"/>
    <w:rsid w:val="00263DBC"/>
    <w:rsid w:val="00263DE0"/>
    <w:rsid w:val="00263E46"/>
    <w:rsid w:val="00263EA5"/>
    <w:rsid w:val="00263ED9"/>
    <w:rsid w:val="00263F03"/>
    <w:rsid w:val="00263F2A"/>
    <w:rsid w:val="00263F72"/>
    <w:rsid w:val="00263F97"/>
    <w:rsid w:val="00263FE5"/>
    <w:rsid w:val="00264013"/>
    <w:rsid w:val="0026404A"/>
    <w:rsid w:val="00264053"/>
    <w:rsid w:val="00264082"/>
    <w:rsid w:val="002640B8"/>
    <w:rsid w:val="00264117"/>
    <w:rsid w:val="0026415B"/>
    <w:rsid w:val="002641D5"/>
    <w:rsid w:val="002641F1"/>
    <w:rsid w:val="00264208"/>
    <w:rsid w:val="00264219"/>
    <w:rsid w:val="0026425C"/>
    <w:rsid w:val="0026428B"/>
    <w:rsid w:val="0026431E"/>
    <w:rsid w:val="00264347"/>
    <w:rsid w:val="0026436E"/>
    <w:rsid w:val="00264376"/>
    <w:rsid w:val="002644BA"/>
    <w:rsid w:val="002644CA"/>
    <w:rsid w:val="002644E0"/>
    <w:rsid w:val="0026450E"/>
    <w:rsid w:val="00264513"/>
    <w:rsid w:val="0026457C"/>
    <w:rsid w:val="002645C5"/>
    <w:rsid w:val="002645E3"/>
    <w:rsid w:val="002645FC"/>
    <w:rsid w:val="0026460B"/>
    <w:rsid w:val="0026462F"/>
    <w:rsid w:val="00264639"/>
    <w:rsid w:val="00264664"/>
    <w:rsid w:val="002646C0"/>
    <w:rsid w:val="002646DE"/>
    <w:rsid w:val="002646F4"/>
    <w:rsid w:val="002647A5"/>
    <w:rsid w:val="002647C8"/>
    <w:rsid w:val="002647CC"/>
    <w:rsid w:val="00264821"/>
    <w:rsid w:val="00264838"/>
    <w:rsid w:val="00264883"/>
    <w:rsid w:val="002648EC"/>
    <w:rsid w:val="0026493C"/>
    <w:rsid w:val="0026493F"/>
    <w:rsid w:val="002649AF"/>
    <w:rsid w:val="002649B0"/>
    <w:rsid w:val="002649C2"/>
    <w:rsid w:val="00264A74"/>
    <w:rsid w:val="00264B36"/>
    <w:rsid w:val="00264B40"/>
    <w:rsid w:val="00264B59"/>
    <w:rsid w:val="00264B61"/>
    <w:rsid w:val="00264C0D"/>
    <w:rsid w:val="00264C35"/>
    <w:rsid w:val="00264C7E"/>
    <w:rsid w:val="00264D0D"/>
    <w:rsid w:val="00264DC0"/>
    <w:rsid w:val="00264DD7"/>
    <w:rsid w:val="00264DDC"/>
    <w:rsid w:val="00264DF6"/>
    <w:rsid w:val="00264EC3"/>
    <w:rsid w:val="00264F21"/>
    <w:rsid w:val="00264F23"/>
    <w:rsid w:val="00264F8F"/>
    <w:rsid w:val="00265004"/>
    <w:rsid w:val="002651FE"/>
    <w:rsid w:val="00265235"/>
    <w:rsid w:val="0026523D"/>
    <w:rsid w:val="002652BB"/>
    <w:rsid w:val="002652F9"/>
    <w:rsid w:val="0026530C"/>
    <w:rsid w:val="00265339"/>
    <w:rsid w:val="00265359"/>
    <w:rsid w:val="00265410"/>
    <w:rsid w:val="00265412"/>
    <w:rsid w:val="00265416"/>
    <w:rsid w:val="0026543C"/>
    <w:rsid w:val="0026544F"/>
    <w:rsid w:val="0026549A"/>
    <w:rsid w:val="002654AD"/>
    <w:rsid w:val="002654B5"/>
    <w:rsid w:val="00265505"/>
    <w:rsid w:val="00265511"/>
    <w:rsid w:val="00265545"/>
    <w:rsid w:val="00265637"/>
    <w:rsid w:val="002656A9"/>
    <w:rsid w:val="0026571B"/>
    <w:rsid w:val="0026579C"/>
    <w:rsid w:val="00265835"/>
    <w:rsid w:val="002658C0"/>
    <w:rsid w:val="0026595E"/>
    <w:rsid w:val="00265982"/>
    <w:rsid w:val="0026598B"/>
    <w:rsid w:val="002659DB"/>
    <w:rsid w:val="00265A0D"/>
    <w:rsid w:val="00265A26"/>
    <w:rsid w:val="00265A40"/>
    <w:rsid w:val="00265A68"/>
    <w:rsid w:val="00265A93"/>
    <w:rsid w:val="00265AC6"/>
    <w:rsid w:val="00265AC7"/>
    <w:rsid w:val="00265B72"/>
    <w:rsid w:val="00265B83"/>
    <w:rsid w:val="00265C08"/>
    <w:rsid w:val="00265C57"/>
    <w:rsid w:val="00265C5B"/>
    <w:rsid w:val="00265C7F"/>
    <w:rsid w:val="00265CC1"/>
    <w:rsid w:val="00265CC8"/>
    <w:rsid w:val="00265D55"/>
    <w:rsid w:val="00265D99"/>
    <w:rsid w:val="00265DA3"/>
    <w:rsid w:val="00265DFB"/>
    <w:rsid w:val="00265E0A"/>
    <w:rsid w:val="00265E60"/>
    <w:rsid w:val="00265EA7"/>
    <w:rsid w:val="00265ECE"/>
    <w:rsid w:val="00265F35"/>
    <w:rsid w:val="00265F64"/>
    <w:rsid w:val="00265F67"/>
    <w:rsid w:val="00265FAB"/>
    <w:rsid w:val="00265FBA"/>
    <w:rsid w:val="0026608B"/>
    <w:rsid w:val="002660EF"/>
    <w:rsid w:val="0026610F"/>
    <w:rsid w:val="002661D4"/>
    <w:rsid w:val="002661F6"/>
    <w:rsid w:val="0026621A"/>
    <w:rsid w:val="00266235"/>
    <w:rsid w:val="00266261"/>
    <w:rsid w:val="00266272"/>
    <w:rsid w:val="002662EE"/>
    <w:rsid w:val="002662F8"/>
    <w:rsid w:val="002662FD"/>
    <w:rsid w:val="00266348"/>
    <w:rsid w:val="0026636C"/>
    <w:rsid w:val="002663B5"/>
    <w:rsid w:val="002663BA"/>
    <w:rsid w:val="00266416"/>
    <w:rsid w:val="0026642F"/>
    <w:rsid w:val="00266438"/>
    <w:rsid w:val="00266477"/>
    <w:rsid w:val="0026649E"/>
    <w:rsid w:val="002664A8"/>
    <w:rsid w:val="002664BD"/>
    <w:rsid w:val="0026650C"/>
    <w:rsid w:val="00266544"/>
    <w:rsid w:val="0026656C"/>
    <w:rsid w:val="0026659C"/>
    <w:rsid w:val="002665B0"/>
    <w:rsid w:val="002665EC"/>
    <w:rsid w:val="002665F2"/>
    <w:rsid w:val="00266624"/>
    <w:rsid w:val="00266630"/>
    <w:rsid w:val="0026666E"/>
    <w:rsid w:val="002666A9"/>
    <w:rsid w:val="002666F2"/>
    <w:rsid w:val="00266756"/>
    <w:rsid w:val="00266761"/>
    <w:rsid w:val="0026678C"/>
    <w:rsid w:val="00266810"/>
    <w:rsid w:val="00266844"/>
    <w:rsid w:val="00266894"/>
    <w:rsid w:val="002668FF"/>
    <w:rsid w:val="00266901"/>
    <w:rsid w:val="00266911"/>
    <w:rsid w:val="00266992"/>
    <w:rsid w:val="002669C2"/>
    <w:rsid w:val="002669C5"/>
    <w:rsid w:val="002669D5"/>
    <w:rsid w:val="002669F5"/>
    <w:rsid w:val="00266A0C"/>
    <w:rsid w:val="00266AB5"/>
    <w:rsid w:val="00266AD8"/>
    <w:rsid w:val="00266B3B"/>
    <w:rsid w:val="00266B44"/>
    <w:rsid w:val="00266B8B"/>
    <w:rsid w:val="00266B98"/>
    <w:rsid w:val="00266BC7"/>
    <w:rsid w:val="00266C05"/>
    <w:rsid w:val="00266C79"/>
    <w:rsid w:val="00266CA6"/>
    <w:rsid w:val="00266D0E"/>
    <w:rsid w:val="00266D12"/>
    <w:rsid w:val="00266DA2"/>
    <w:rsid w:val="00266DDB"/>
    <w:rsid w:val="00266E02"/>
    <w:rsid w:val="00266E24"/>
    <w:rsid w:val="00266EA0"/>
    <w:rsid w:val="00266EA2"/>
    <w:rsid w:val="00266EAD"/>
    <w:rsid w:val="00266EB3"/>
    <w:rsid w:val="00266EEE"/>
    <w:rsid w:val="00266F97"/>
    <w:rsid w:val="00266FED"/>
    <w:rsid w:val="0026701F"/>
    <w:rsid w:val="0026704F"/>
    <w:rsid w:val="002670B0"/>
    <w:rsid w:val="00267132"/>
    <w:rsid w:val="0026713C"/>
    <w:rsid w:val="0026714A"/>
    <w:rsid w:val="00267187"/>
    <w:rsid w:val="0026726D"/>
    <w:rsid w:val="00267275"/>
    <w:rsid w:val="00267316"/>
    <w:rsid w:val="00267343"/>
    <w:rsid w:val="00267371"/>
    <w:rsid w:val="00267377"/>
    <w:rsid w:val="0026741C"/>
    <w:rsid w:val="00267450"/>
    <w:rsid w:val="00267514"/>
    <w:rsid w:val="0026751C"/>
    <w:rsid w:val="0026753A"/>
    <w:rsid w:val="002675AA"/>
    <w:rsid w:val="002675CD"/>
    <w:rsid w:val="002675E2"/>
    <w:rsid w:val="00267613"/>
    <w:rsid w:val="0026763C"/>
    <w:rsid w:val="00267669"/>
    <w:rsid w:val="002676B5"/>
    <w:rsid w:val="00267725"/>
    <w:rsid w:val="00267765"/>
    <w:rsid w:val="0026776D"/>
    <w:rsid w:val="00267798"/>
    <w:rsid w:val="0026780A"/>
    <w:rsid w:val="0026783F"/>
    <w:rsid w:val="0026786B"/>
    <w:rsid w:val="00267898"/>
    <w:rsid w:val="00267965"/>
    <w:rsid w:val="00267978"/>
    <w:rsid w:val="0026797E"/>
    <w:rsid w:val="002679A1"/>
    <w:rsid w:val="00267B28"/>
    <w:rsid w:val="00267B32"/>
    <w:rsid w:val="00267B33"/>
    <w:rsid w:val="00267B6B"/>
    <w:rsid w:val="00267B83"/>
    <w:rsid w:val="00267BA3"/>
    <w:rsid w:val="00267BF1"/>
    <w:rsid w:val="00267BF6"/>
    <w:rsid w:val="00267C34"/>
    <w:rsid w:val="00267C86"/>
    <w:rsid w:val="00267CAD"/>
    <w:rsid w:val="00267D29"/>
    <w:rsid w:val="00267D55"/>
    <w:rsid w:val="00267D73"/>
    <w:rsid w:val="00267D81"/>
    <w:rsid w:val="00267DFA"/>
    <w:rsid w:val="00267ED1"/>
    <w:rsid w:val="00267F62"/>
    <w:rsid w:val="002700BD"/>
    <w:rsid w:val="002700E5"/>
    <w:rsid w:val="00270138"/>
    <w:rsid w:val="002701B7"/>
    <w:rsid w:val="002701E8"/>
    <w:rsid w:val="00270297"/>
    <w:rsid w:val="00270314"/>
    <w:rsid w:val="00270331"/>
    <w:rsid w:val="002703B1"/>
    <w:rsid w:val="002703ED"/>
    <w:rsid w:val="002703F9"/>
    <w:rsid w:val="00270413"/>
    <w:rsid w:val="0027042F"/>
    <w:rsid w:val="00270460"/>
    <w:rsid w:val="002704A2"/>
    <w:rsid w:val="00270510"/>
    <w:rsid w:val="00270525"/>
    <w:rsid w:val="00270559"/>
    <w:rsid w:val="0027055B"/>
    <w:rsid w:val="002705B4"/>
    <w:rsid w:val="002705B5"/>
    <w:rsid w:val="002705E5"/>
    <w:rsid w:val="002705F3"/>
    <w:rsid w:val="002705F4"/>
    <w:rsid w:val="00270604"/>
    <w:rsid w:val="00270678"/>
    <w:rsid w:val="00270703"/>
    <w:rsid w:val="0027073B"/>
    <w:rsid w:val="00270748"/>
    <w:rsid w:val="00270776"/>
    <w:rsid w:val="002707A0"/>
    <w:rsid w:val="00270825"/>
    <w:rsid w:val="00270898"/>
    <w:rsid w:val="0027097E"/>
    <w:rsid w:val="002709DF"/>
    <w:rsid w:val="00270A10"/>
    <w:rsid w:val="00270A56"/>
    <w:rsid w:val="00270A8E"/>
    <w:rsid w:val="00270A95"/>
    <w:rsid w:val="00270AC0"/>
    <w:rsid w:val="00270AF7"/>
    <w:rsid w:val="00270B00"/>
    <w:rsid w:val="00270BD2"/>
    <w:rsid w:val="00270BEF"/>
    <w:rsid w:val="00270BF4"/>
    <w:rsid w:val="00270C35"/>
    <w:rsid w:val="00270C7D"/>
    <w:rsid w:val="00270CB0"/>
    <w:rsid w:val="00270D2D"/>
    <w:rsid w:val="00270D32"/>
    <w:rsid w:val="00270D7C"/>
    <w:rsid w:val="00270DBC"/>
    <w:rsid w:val="00270DEF"/>
    <w:rsid w:val="00270E16"/>
    <w:rsid w:val="00270E7E"/>
    <w:rsid w:val="00270ECC"/>
    <w:rsid w:val="00270ED3"/>
    <w:rsid w:val="00270EE1"/>
    <w:rsid w:val="00270F0E"/>
    <w:rsid w:val="00270F16"/>
    <w:rsid w:val="00270F32"/>
    <w:rsid w:val="00270F50"/>
    <w:rsid w:val="00270F5F"/>
    <w:rsid w:val="00270F79"/>
    <w:rsid w:val="00270FD8"/>
    <w:rsid w:val="00270FED"/>
    <w:rsid w:val="00270FEF"/>
    <w:rsid w:val="00271027"/>
    <w:rsid w:val="002710D3"/>
    <w:rsid w:val="002710E5"/>
    <w:rsid w:val="002710F4"/>
    <w:rsid w:val="00271122"/>
    <w:rsid w:val="00271123"/>
    <w:rsid w:val="002711E5"/>
    <w:rsid w:val="0027121C"/>
    <w:rsid w:val="0027124E"/>
    <w:rsid w:val="002712AC"/>
    <w:rsid w:val="00271359"/>
    <w:rsid w:val="00271381"/>
    <w:rsid w:val="0027138B"/>
    <w:rsid w:val="002713DB"/>
    <w:rsid w:val="00271400"/>
    <w:rsid w:val="00271407"/>
    <w:rsid w:val="00271430"/>
    <w:rsid w:val="00271494"/>
    <w:rsid w:val="0027150E"/>
    <w:rsid w:val="00271543"/>
    <w:rsid w:val="0027158B"/>
    <w:rsid w:val="002715A1"/>
    <w:rsid w:val="002715AE"/>
    <w:rsid w:val="002715E0"/>
    <w:rsid w:val="00271657"/>
    <w:rsid w:val="0027174A"/>
    <w:rsid w:val="0027175B"/>
    <w:rsid w:val="0027176D"/>
    <w:rsid w:val="0027179D"/>
    <w:rsid w:val="002717FD"/>
    <w:rsid w:val="00271818"/>
    <w:rsid w:val="00271819"/>
    <w:rsid w:val="00271833"/>
    <w:rsid w:val="0027184B"/>
    <w:rsid w:val="002718E7"/>
    <w:rsid w:val="0027199B"/>
    <w:rsid w:val="00271A10"/>
    <w:rsid w:val="00271AB5"/>
    <w:rsid w:val="00271ABC"/>
    <w:rsid w:val="00271B47"/>
    <w:rsid w:val="00271BF6"/>
    <w:rsid w:val="00271C12"/>
    <w:rsid w:val="00271C30"/>
    <w:rsid w:val="00271C46"/>
    <w:rsid w:val="00271CA8"/>
    <w:rsid w:val="00271CAB"/>
    <w:rsid w:val="00271CD9"/>
    <w:rsid w:val="00271D49"/>
    <w:rsid w:val="00271DCE"/>
    <w:rsid w:val="00271E24"/>
    <w:rsid w:val="00271E83"/>
    <w:rsid w:val="00271F1B"/>
    <w:rsid w:val="00271F24"/>
    <w:rsid w:val="00271F37"/>
    <w:rsid w:val="00271FA8"/>
    <w:rsid w:val="00271FD7"/>
    <w:rsid w:val="00272054"/>
    <w:rsid w:val="0027205E"/>
    <w:rsid w:val="002720B9"/>
    <w:rsid w:val="00272109"/>
    <w:rsid w:val="00272190"/>
    <w:rsid w:val="002721C8"/>
    <w:rsid w:val="002721D4"/>
    <w:rsid w:val="002721EA"/>
    <w:rsid w:val="00272269"/>
    <w:rsid w:val="002722C6"/>
    <w:rsid w:val="0027231E"/>
    <w:rsid w:val="00272352"/>
    <w:rsid w:val="00272396"/>
    <w:rsid w:val="002723E8"/>
    <w:rsid w:val="00272430"/>
    <w:rsid w:val="00272433"/>
    <w:rsid w:val="00272463"/>
    <w:rsid w:val="00272464"/>
    <w:rsid w:val="00272499"/>
    <w:rsid w:val="002724D9"/>
    <w:rsid w:val="0027254B"/>
    <w:rsid w:val="0027256D"/>
    <w:rsid w:val="002725D7"/>
    <w:rsid w:val="00272626"/>
    <w:rsid w:val="00272707"/>
    <w:rsid w:val="00272775"/>
    <w:rsid w:val="002727BC"/>
    <w:rsid w:val="002727F7"/>
    <w:rsid w:val="00272832"/>
    <w:rsid w:val="0027283D"/>
    <w:rsid w:val="002728E9"/>
    <w:rsid w:val="00272926"/>
    <w:rsid w:val="00272939"/>
    <w:rsid w:val="00272976"/>
    <w:rsid w:val="002729F9"/>
    <w:rsid w:val="00272B23"/>
    <w:rsid w:val="00272BAC"/>
    <w:rsid w:val="00272BCD"/>
    <w:rsid w:val="00272C0D"/>
    <w:rsid w:val="00272C3C"/>
    <w:rsid w:val="00272C55"/>
    <w:rsid w:val="00272CE3"/>
    <w:rsid w:val="00272D06"/>
    <w:rsid w:val="00272D42"/>
    <w:rsid w:val="00272D6D"/>
    <w:rsid w:val="00272D77"/>
    <w:rsid w:val="00272D91"/>
    <w:rsid w:val="00272DAF"/>
    <w:rsid w:val="00272E35"/>
    <w:rsid w:val="00272EE3"/>
    <w:rsid w:val="00272F17"/>
    <w:rsid w:val="00272F6A"/>
    <w:rsid w:val="00272F7E"/>
    <w:rsid w:val="00272FEB"/>
    <w:rsid w:val="002730F7"/>
    <w:rsid w:val="00273102"/>
    <w:rsid w:val="00273145"/>
    <w:rsid w:val="0027316A"/>
    <w:rsid w:val="002731CD"/>
    <w:rsid w:val="002731F1"/>
    <w:rsid w:val="00273266"/>
    <w:rsid w:val="002732CF"/>
    <w:rsid w:val="0027333C"/>
    <w:rsid w:val="002733FC"/>
    <w:rsid w:val="0027348A"/>
    <w:rsid w:val="0027353F"/>
    <w:rsid w:val="0027354F"/>
    <w:rsid w:val="002735FC"/>
    <w:rsid w:val="00273600"/>
    <w:rsid w:val="00273620"/>
    <w:rsid w:val="00273665"/>
    <w:rsid w:val="002736A7"/>
    <w:rsid w:val="002736DD"/>
    <w:rsid w:val="00273706"/>
    <w:rsid w:val="00273843"/>
    <w:rsid w:val="002738B0"/>
    <w:rsid w:val="002738FD"/>
    <w:rsid w:val="00273945"/>
    <w:rsid w:val="00273959"/>
    <w:rsid w:val="00273972"/>
    <w:rsid w:val="0027398B"/>
    <w:rsid w:val="002739B4"/>
    <w:rsid w:val="002739E5"/>
    <w:rsid w:val="00273A13"/>
    <w:rsid w:val="00273A2D"/>
    <w:rsid w:val="00273A89"/>
    <w:rsid w:val="00273AA2"/>
    <w:rsid w:val="00273B28"/>
    <w:rsid w:val="00273B8C"/>
    <w:rsid w:val="00273BDB"/>
    <w:rsid w:val="00273C02"/>
    <w:rsid w:val="00273C76"/>
    <w:rsid w:val="00273CCB"/>
    <w:rsid w:val="00273D4D"/>
    <w:rsid w:val="00273DB6"/>
    <w:rsid w:val="00273E65"/>
    <w:rsid w:val="00273E68"/>
    <w:rsid w:val="00273EDB"/>
    <w:rsid w:val="00273EF3"/>
    <w:rsid w:val="00273F1C"/>
    <w:rsid w:val="00273FAC"/>
    <w:rsid w:val="00274015"/>
    <w:rsid w:val="00274019"/>
    <w:rsid w:val="002740B2"/>
    <w:rsid w:val="002740C7"/>
    <w:rsid w:val="002740CD"/>
    <w:rsid w:val="00274117"/>
    <w:rsid w:val="0027411F"/>
    <w:rsid w:val="002741B9"/>
    <w:rsid w:val="00274232"/>
    <w:rsid w:val="00274277"/>
    <w:rsid w:val="00274285"/>
    <w:rsid w:val="00274294"/>
    <w:rsid w:val="002742C8"/>
    <w:rsid w:val="002742D7"/>
    <w:rsid w:val="00274326"/>
    <w:rsid w:val="0027437E"/>
    <w:rsid w:val="002743EF"/>
    <w:rsid w:val="002743F9"/>
    <w:rsid w:val="00274407"/>
    <w:rsid w:val="00274443"/>
    <w:rsid w:val="0027444F"/>
    <w:rsid w:val="002744A4"/>
    <w:rsid w:val="002744B8"/>
    <w:rsid w:val="002744CF"/>
    <w:rsid w:val="002744D9"/>
    <w:rsid w:val="00274591"/>
    <w:rsid w:val="002745CD"/>
    <w:rsid w:val="002745CF"/>
    <w:rsid w:val="00274612"/>
    <w:rsid w:val="00274693"/>
    <w:rsid w:val="002747D0"/>
    <w:rsid w:val="0027480A"/>
    <w:rsid w:val="00274811"/>
    <w:rsid w:val="00274903"/>
    <w:rsid w:val="00274979"/>
    <w:rsid w:val="002749C0"/>
    <w:rsid w:val="002749D3"/>
    <w:rsid w:val="00274B03"/>
    <w:rsid w:val="00274B71"/>
    <w:rsid w:val="00274C60"/>
    <w:rsid w:val="00274C9C"/>
    <w:rsid w:val="00274D28"/>
    <w:rsid w:val="00274DA3"/>
    <w:rsid w:val="00274E16"/>
    <w:rsid w:val="00274E7E"/>
    <w:rsid w:val="00274EE7"/>
    <w:rsid w:val="00274F1A"/>
    <w:rsid w:val="00274F20"/>
    <w:rsid w:val="00274F9D"/>
    <w:rsid w:val="00274FAE"/>
    <w:rsid w:val="0027509F"/>
    <w:rsid w:val="002750A0"/>
    <w:rsid w:val="002750E2"/>
    <w:rsid w:val="00275120"/>
    <w:rsid w:val="002751AA"/>
    <w:rsid w:val="0027528B"/>
    <w:rsid w:val="0027529E"/>
    <w:rsid w:val="00275368"/>
    <w:rsid w:val="002753E9"/>
    <w:rsid w:val="00275403"/>
    <w:rsid w:val="0027541A"/>
    <w:rsid w:val="00275428"/>
    <w:rsid w:val="0027544B"/>
    <w:rsid w:val="002754AD"/>
    <w:rsid w:val="002754E5"/>
    <w:rsid w:val="002755DF"/>
    <w:rsid w:val="002756D5"/>
    <w:rsid w:val="00275707"/>
    <w:rsid w:val="00275763"/>
    <w:rsid w:val="00275779"/>
    <w:rsid w:val="002757D9"/>
    <w:rsid w:val="0027582F"/>
    <w:rsid w:val="00275831"/>
    <w:rsid w:val="00275845"/>
    <w:rsid w:val="00275855"/>
    <w:rsid w:val="00275862"/>
    <w:rsid w:val="00275865"/>
    <w:rsid w:val="002758C3"/>
    <w:rsid w:val="0027590B"/>
    <w:rsid w:val="002759CF"/>
    <w:rsid w:val="00275A03"/>
    <w:rsid w:val="00275A46"/>
    <w:rsid w:val="00275A4F"/>
    <w:rsid w:val="00275AC8"/>
    <w:rsid w:val="00275B95"/>
    <w:rsid w:val="00275B96"/>
    <w:rsid w:val="00275BF0"/>
    <w:rsid w:val="00275BFA"/>
    <w:rsid w:val="00275CA4"/>
    <w:rsid w:val="00275CB2"/>
    <w:rsid w:val="00275D32"/>
    <w:rsid w:val="00275DF5"/>
    <w:rsid w:val="00275E07"/>
    <w:rsid w:val="00275E31"/>
    <w:rsid w:val="00275E91"/>
    <w:rsid w:val="00275EA9"/>
    <w:rsid w:val="00275F31"/>
    <w:rsid w:val="00275F4D"/>
    <w:rsid w:val="00275F81"/>
    <w:rsid w:val="00275F96"/>
    <w:rsid w:val="00275FBB"/>
    <w:rsid w:val="00275FF5"/>
    <w:rsid w:val="0027602B"/>
    <w:rsid w:val="00276070"/>
    <w:rsid w:val="00276080"/>
    <w:rsid w:val="00276083"/>
    <w:rsid w:val="002760F4"/>
    <w:rsid w:val="0027613E"/>
    <w:rsid w:val="00276216"/>
    <w:rsid w:val="00276217"/>
    <w:rsid w:val="002762A4"/>
    <w:rsid w:val="002762AE"/>
    <w:rsid w:val="00276387"/>
    <w:rsid w:val="0027638B"/>
    <w:rsid w:val="002763AD"/>
    <w:rsid w:val="00276425"/>
    <w:rsid w:val="002764E1"/>
    <w:rsid w:val="0027656C"/>
    <w:rsid w:val="002765D5"/>
    <w:rsid w:val="0027666A"/>
    <w:rsid w:val="00276725"/>
    <w:rsid w:val="0027673B"/>
    <w:rsid w:val="00276792"/>
    <w:rsid w:val="002767C3"/>
    <w:rsid w:val="00276805"/>
    <w:rsid w:val="00276866"/>
    <w:rsid w:val="00276880"/>
    <w:rsid w:val="002768C7"/>
    <w:rsid w:val="002768CC"/>
    <w:rsid w:val="00276902"/>
    <w:rsid w:val="00276904"/>
    <w:rsid w:val="0027691C"/>
    <w:rsid w:val="0027691D"/>
    <w:rsid w:val="002769AE"/>
    <w:rsid w:val="002769B6"/>
    <w:rsid w:val="00276A1F"/>
    <w:rsid w:val="00276A35"/>
    <w:rsid w:val="00276A38"/>
    <w:rsid w:val="00276A3B"/>
    <w:rsid w:val="00276AD3"/>
    <w:rsid w:val="00276B5E"/>
    <w:rsid w:val="00276B9F"/>
    <w:rsid w:val="00276BE2"/>
    <w:rsid w:val="00276C1F"/>
    <w:rsid w:val="00276C61"/>
    <w:rsid w:val="00276CBE"/>
    <w:rsid w:val="00276CCD"/>
    <w:rsid w:val="00276D78"/>
    <w:rsid w:val="00276DB7"/>
    <w:rsid w:val="00276DE6"/>
    <w:rsid w:val="00276DFB"/>
    <w:rsid w:val="00276E68"/>
    <w:rsid w:val="00276EB7"/>
    <w:rsid w:val="00276ED1"/>
    <w:rsid w:val="00276FC0"/>
    <w:rsid w:val="00277032"/>
    <w:rsid w:val="00277052"/>
    <w:rsid w:val="0027708F"/>
    <w:rsid w:val="00277091"/>
    <w:rsid w:val="002770A5"/>
    <w:rsid w:val="002770AA"/>
    <w:rsid w:val="002770BD"/>
    <w:rsid w:val="00277139"/>
    <w:rsid w:val="00277143"/>
    <w:rsid w:val="00277171"/>
    <w:rsid w:val="0027718A"/>
    <w:rsid w:val="002771F9"/>
    <w:rsid w:val="0027722B"/>
    <w:rsid w:val="002772A7"/>
    <w:rsid w:val="002773AF"/>
    <w:rsid w:val="002773EB"/>
    <w:rsid w:val="002773F6"/>
    <w:rsid w:val="00277443"/>
    <w:rsid w:val="00277457"/>
    <w:rsid w:val="00277539"/>
    <w:rsid w:val="00277584"/>
    <w:rsid w:val="002775CF"/>
    <w:rsid w:val="0027773C"/>
    <w:rsid w:val="0027774E"/>
    <w:rsid w:val="002777A2"/>
    <w:rsid w:val="002777ED"/>
    <w:rsid w:val="00277812"/>
    <w:rsid w:val="00277815"/>
    <w:rsid w:val="0027782F"/>
    <w:rsid w:val="0027783F"/>
    <w:rsid w:val="00277843"/>
    <w:rsid w:val="002778A6"/>
    <w:rsid w:val="002778C7"/>
    <w:rsid w:val="002778E1"/>
    <w:rsid w:val="002778FE"/>
    <w:rsid w:val="0027791D"/>
    <w:rsid w:val="002779A7"/>
    <w:rsid w:val="002779F1"/>
    <w:rsid w:val="00277A0B"/>
    <w:rsid w:val="00277A57"/>
    <w:rsid w:val="00277A7D"/>
    <w:rsid w:val="00277B53"/>
    <w:rsid w:val="00277BA9"/>
    <w:rsid w:val="00277BB8"/>
    <w:rsid w:val="00277C2F"/>
    <w:rsid w:val="00277C9E"/>
    <w:rsid w:val="00277CEA"/>
    <w:rsid w:val="00277D11"/>
    <w:rsid w:val="00277D25"/>
    <w:rsid w:val="00277D64"/>
    <w:rsid w:val="00277D7D"/>
    <w:rsid w:val="00277DDC"/>
    <w:rsid w:val="00277E6A"/>
    <w:rsid w:val="00277E8A"/>
    <w:rsid w:val="00277F05"/>
    <w:rsid w:val="00277F24"/>
    <w:rsid w:val="00277F9E"/>
    <w:rsid w:val="0028002A"/>
    <w:rsid w:val="0028002C"/>
    <w:rsid w:val="002800FA"/>
    <w:rsid w:val="00280116"/>
    <w:rsid w:val="00280153"/>
    <w:rsid w:val="002801BB"/>
    <w:rsid w:val="002801F5"/>
    <w:rsid w:val="0028020A"/>
    <w:rsid w:val="002803DB"/>
    <w:rsid w:val="00280441"/>
    <w:rsid w:val="00280483"/>
    <w:rsid w:val="0028049A"/>
    <w:rsid w:val="002804A4"/>
    <w:rsid w:val="00280571"/>
    <w:rsid w:val="00280576"/>
    <w:rsid w:val="002805C4"/>
    <w:rsid w:val="00280678"/>
    <w:rsid w:val="00280687"/>
    <w:rsid w:val="002806A0"/>
    <w:rsid w:val="002806CE"/>
    <w:rsid w:val="002806D5"/>
    <w:rsid w:val="002806DA"/>
    <w:rsid w:val="00280701"/>
    <w:rsid w:val="0028070E"/>
    <w:rsid w:val="002807FC"/>
    <w:rsid w:val="00280820"/>
    <w:rsid w:val="00280826"/>
    <w:rsid w:val="00280895"/>
    <w:rsid w:val="0028089F"/>
    <w:rsid w:val="002808A4"/>
    <w:rsid w:val="002808D7"/>
    <w:rsid w:val="002808FE"/>
    <w:rsid w:val="00280946"/>
    <w:rsid w:val="002809A7"/>
    <w:rsid w:val="002809B8"/>
    <w:rsid w:val="002809E7"/>
    <w:rsid w:val="00280A71"/>
    <w:rsid w:val="00280AD5"/>
    <w:rsid w:val="00280B4B"/>
    <w:rsid w:val="00280B4C"/>
    <w:rsid w:val="00280BBF"/>
    <w:rsid w:val="00280BC0"/>
    <w:rsid w:val="00280C38"/>
    <w:rsid w:val="00280D04"/>
    <w:rsid w:val="00280D77"/>
    <w:rsid w:val="00280DF9"/>
    <w:rsid w:val="00280EE9"/>
    <w:rsid w:val="00280EEF"/>
    <w:rsid w:val="00280EF3"/>
    <w:rsid w:val="00280F0D"/>
    <w:rsid w:val="00280F21"/>
    <w:rsid w:val="00280F2C"/>
    <w:rsid w:val="00280F56"/>
    <w:rsid w:val="00280F5F"/>
    <w:rsid w:val="00280FCD"/>
    <w:rsid w:val="00280FFD"/>
    <w:rsid w:val="00281060"/>
    <w:rsid w:val="002810B9"/>
    <w:rsid w:val="002810C7"/>
    <w:rsid w:val="002810FA"/>
    <w:rsid w:val="0028110D"/>
    <w:rsid w:val="0028111E"/>
    <w:rsid w:val="0028116D"/>
    <w:rsid w:val="00281181"/>
    <w:rsid w:val="002811FB"/>
    <w:rsid w:val="002811FE"/>
    <w:rsid w:val="00281245"/>
    <w:rsid w:val="0028124D"/>
    <w:rsid w:val="002812D0"/>
    <w:rsid w:val="00281311"/>
    <w:rsid w:val="0028131A"/>
    <w:rsid w:val="00281380"/>
    <w:rsid w:val="002813A4"/>
    <w:rsid w:val="002813BA"/>
    <w:rsid w:val="002813F1"/>
    <w:rsid w:val="00281426"/>
    <w:rsid w:val="00281439"/>
    <w:rsid w:val="002814B3"/>
    <w:rsid w:val="002814B6"/>
    <w:rsid w:val="002814D7"/>
    <w:rsid w:val="00281593"/>
    <w:rsid w:val="00281596"/>
    <w:rsid w:val="00281638"/>
    <w:rsid w:val="0028164F"/>
    <w:rsid w:val="00281661"/>
    <w:rsid w:val="00281680"/>
    <w:rsid w:val="002816C2"/>
    <w:rsid w:val="002816DB"/>
    <w:rsid w:val="002816FD"/>
    <w:rsid w:val="0028173D"/>
    <w:rsid w:val="00281741"/>
    <w:rsid w:val="00281742"/>
    <w:rsid w:val="0028175A"/>
    <w:rsid w:val="00281798"/>
    <w:rsid w:val="002817A7"/>
    <w:rsid w:val="002817B3"/>
    <w:rsid w:val="0028182A"/>
    <w:rsid w:val="0028183F"/>
    <w:rsid w:val="00281917"/>
    <w:rsid w:val="0028192A"/>
    <w:rsid w:val="002819B1"/>
    <w:rsid w:val="002819E3"/>
    <w:rsid w:val="00281A02"/>
    <w:rsid w:val="00281A1E"/>
    <w:rsid w:val="00281A65"/>
    <w:rsid w:val="00281AF0"/>
    <w:rsid w:val="00281B1D"/>
    <w:rsid w:val="00281B5C"/>
    <w:rsid w:val="00281BB7"/>
    <w:rsid w:val="00281BC0"/>
    <w:rsid w:val="00281BF3"/>
    <w:rsid w:val="00281C9C"/>
    <w:rsid w:val="00281D17"/>
    <w:rsid w:val="00281D3E"/>
    <w:rsid w:val="00281D59"/>
    <w:rsid w:val="00281D8F"/>
    <w:rsid w:val="00281D93"/>
    <w:rsid w:val="00281E0C"/>
    <w:rsid w:val="00281E30"/>
    <w:rsid w:val="00281E3C"/>
    <w:rsid w:val="00281E58"/>
    <w:rsid w:val="00281F06"/>
    <w:rsid w:val="00281F39"/>
    <w:rsid w:val="00281F8D"/>
    <w:rsid w:val="00281FAD"/>
    <w:rsid w:val="00282031"/>
    <w:rsid w:val="00282058"/>
    <w:rsid w:val="002820AE"/>
    <w:rsid w:val="002820E0"/>
    <w:rsid w:val="002820ED"/>
    <w:rsid w:val="00282104"/>
    <w:rsid w:val="0028212E"/>
    <w:rsid w:val="00282161"/>
    <w:rsid w:val="00282194"/>
    <w:rsid w:val="002821A8"/>
    <w:rsid w:val="002821B0"/>
    <w:rsid w:val="002821DD"/>
    <w:rsid w:val="002821E1"/>
    <w:rsid w:val="002821EC"/>
    <w:rsid w:val="00282259"/>
    <w:rsid w:val="0028228D"/>
    <w:rsid w:val="00282313"/>
    <w:rsid w:val="0028231E"/>
    <w:rsid w:val="002823B8"/>
    <w:rsid w:val="002824A5"/>
    <w:rsid w:val="002824A7"/>
    <w:rsid w:val="00282567"/>
    <w:rsid w:val="0028258F"/>
    <w:rsid w:val="0028259C"/>
    <w:rsid w:val="002825AE"/>
    <w:rsid w:val="002825CE"/>
    <w:rsid w:val="002825E5"/>
    <w:rsid w:val="002825FC"/>
    <w:rsid w:val="00282644"/>
    <w:rsid w:val="002826A8"/>
    <w:rsid w:val="00282710"/>
    <w:rsid w:val="0028271D"/>
    <w:rsid w:val="00282755"/>
    <w:rsid w:val="00282757"/>
    <w:rsid w:val="00282770"/>
    <w:rsid w:val="00282799"/>
    <w:rsid w:val="00282828"/>
    <w:rsid w:val="00282870"/>
    <w:rsid w:val="002828DE"/>
    <w:rsid w:val="002828E0"/>
    <w:rsid w:val="00282936"/>
    <w:rsid w:val="0028294E"/>
    <w:rsid w:val="002829BC"/>
    <w:rsid w:val="00282A02"/>
    <w:rsid w:val="00282A03"/>
    <w:rsid w:val="00282A23"/>
    <w:rsid w:val="00282A39"/>
    <w:rsid w:val="00282AAB"/>
    <w:rsid w:val="00282B41"/>
    <w:rsid w:val="00282B6C"/>
    <w:rsid w:val="00282BFA"/>
    <w:rsid w:val="00282C20"/>
    <w:rsid w:val="00282C25"/>
    <w:rsid w:val="00282C56"/>
    <w:rsid w:val="00282C72"/>
    <w:rsid w:val="00282D61"/>
    <w:rsid w:val="00282DB9"/>
    <w:rsid w:val="00282DCC"/>
    <w:rsid w:val="00282E75"/>
    <w:rsid w:val="00282E9C"/>
    <w:rsid w:val="00282EC3"/>
    <w:rsid w:val="00282F3A"/>
    <w:rsid w:val="00282F51"/>
    <w:rsid w:val="00282FCC"/>
    <w:rsid w:val="0028303A"/>
    <w:rsid w:val="0028306E"/>
    <w:rsid w:val="0028307E"/>
    <w:rsid w:val="002830C1"/>
    <w:rsid w:val="002830C3"/>
    <w:rsid w:val="002830F2"/>
    <w:rsid w:val="00283178"/>
    <w:rsid w:val="002831A8"/>
    <w:rsid w:val="0028320B"/>
    <w:rsid w:val="00283216"/>
    <w:rsid w:val="002832B9"/>
    <w:rsid w:val="002832D5"/>
    <w:rsid w:val="00283348"/>
    <w:rsid w:val="0028334E"/>
    <w:rsid w:val="00283357"/>
    <w:rsid w:val="002833C8"/>
    <w:rsid w:val="002833F4"/>
    <w:rsid w:val="00283460"/>
    <w:rsid w:val="00283486"/>
    <w:rsid w:val="0028350E"/>
    <w:rsid w:val="0028355B"/>
    <w:rsid w:val="0028357F"/>
    <w:rsid w:val="002835B4"/>
    <w:rsid w:val="002835F8"/>
    <w:rsid w:val="00283660"/>
    <w:rsid w:val="00283679"/>
    <w:rsid w:val="0028367B"/>
    <w:rsid w:val="0028374C"/>
    <w:rsid w:val="00283797"/>
    <w:rsid w:val="002837DC"/>
    <w:rsid w:val="0028382B"/>
    <w:rsid w:val="0028383B"/>
    <w:rsid w:val="00283886"/>
    <w:rsid w:val="002838D6"/>
    <w:rsid w:val="0028396C"/>
    <w:rsid w:val="002839AC"/>
    <w:rsid w:val="002839C0"/>
    <w:rsid w:val="002839D3"/>
    <w:rsid w:val="00283A30"/>
    <w:rsid w:val="00283AC0"/>
    <w:rsid w:val="00283B1B"/>
    <w:rsid w:val="00283B3B"/>
    <w:rsid w:val="00283B63"/>
    <w:rsid w:val="00283BA9"/>
    <w:rsid w:val="00283BB1"/>
    <w:rsid w:val="00283C82"/>
    <w:rsid w:val="00283C8A"/>
    <w:rsid w:val="00283C8F"/>
    <w:rsid w:val="00283CB3"/>
    <w:rsid w:val="00283CD9"/>
    <w:rsid w:val="00283CDE"/>
    <w:rsid w:val="00283CE9"/>
    <w:rsid w:val="00283DD0"/>
    <w:rsid w:val="00283E65"/>
    <w:rsid w:val="00283E69"/>
    <w:rsid w:val="00283ECE"/>
    <w:rsid w:val="00283F18"/>
    <w:rsid w:val="00283F5C"/>
    <w:rsid w:val="00283F78"/>
    <w:rsid w:val="00283FA9"/>
    <w:rsid w:val="00283FB2"/>
    <w:rsid w:val="00284021"/>
    <w:rsid w:val="00284024"/>
    <w:rsid w:val="00284032"/>
    <w:rsid w:val="0028405F"/>
    <w:rsid w:val="0028407A"/>
    <w:rsid w:val="00284095"/>
    <w:rsid w:val="002840B4"/>
    <w:rsid w:val="002840DC"/>
    <w:rsid w:val="00284134"/>
    <w:rsid w:val="002841A8"/>
    <w:rsid w:val="002841CC"/>
    <w:rsid w:val="002841D7"/>
    <w:rsid w:val="00284205"/>
    <w:rsid w:val="00284234"/>
    <w:rsid w:val="0028427C"/>
    <w:rsid w:val="002842C9"/>
    <w:rsid w:val="00284314"/>
    <w:rsid w:val="0028439A"/>
    <w:rsid w:val="002843AB"/>
    <w:rsid w:val="002843D3"/>
    <w:rsid w:val="00284402"/>
    <w:rsid w:val="00284462"/>
    <w:rsid w:val="00284484"/>
    <w:rsid w:val="002844CF"/>
    <w:rsid w:val="00284594"/>
    <w:rsid w:val="002845B5"/>
    <w:rsid w:val="002845B8"/>
    <w:rsid w:val="002845F4"/>
    <w:rsid w:val="00284629"/>
    <w:rsid w:val="002846A0"/>
    <w:rsid w:val="002846B5"/>
    <w:rsid w:val="0028480A"/>
    <w:rsid w:val="0028481B"/>
    <w:rsid w:val="0028486E"/>
    <w:rsid w:val="002848BD"/>
    <w:rsid w:val="002848C5"/>
    <w:rsid w:val="00284911"/>
    <w:rsid w:val="00284938"/>
    <w:rsid w:val="00284956"/>
    <w:rsid w:val="00284960"/>
    <w:rsid w:val="00284963"/>
    <w:rsid w:val="0028498E"/>
    <w:rsid w:val="0028499C"/>
    <w:rsid w:val="002849A0"/>
    <w:rsid w:val="002849A1"/>
    <w:rsid w:val="002849C7"/>
    <w:rsid w:val="002849FF"/>
    <w:rsid w:val="00284A08"/>
    <w:rsid w:val="00284A74"/>
    <w:rsid w:val="00284AC2"/>
    <w:rsid w:val="00284AD1"/>
    <w:rsid w:val="00284B76"/>
    <w:rsid w:val="00284BCE"/>
    <w:rsid w:val="00284C25"/>
    <w:rsid w:val="00284C39"/>
    <w:rsid w:val="00284CA0"/>
    <w:rsid w:val="00284D8B"/>
    <w:rsid w:val="00284EAB"/>
    <w:rsid w:val="00284ECA"/>
    <w:rsid w:val="00284F1F"/>
    <w:rsid w:val="00284F21"/>
    <w:rsid w:val="00284F27"/>
    <w:rsid w:val="00284F37"/>
    <w:rsid w:val="00285018"/>
    <w:rsid w:val="00285060"/>
    <w:rsid w:val="002850DE"/>
    <w:rsid w:val="002850E5"/>
    <w:rsid w:val="0028510D"/>
    <w:rsid w:val="00285122"/>
    <w:rsid w:val="0028518F"/>
    <w:rsid w:val="0028520B"/>
    <w:rsid w:val="00285271"/>
    <w:rsid w:val="00285364"/>
    <w:rsid w:val="0028537C"/>
    <w:rsid w:val="0028539E"/>
    <w:rsid w:val="00285412"/>
    <w:rsid w:val="00285441"/>
    <w:rsid w:val="0028554F"/>
    <w:rsid w:val="0028555F"/>
    <w:rsid w:val="0028556C"/>
    <w:rsid w:val="0028557C"/>
    <w:rsid w:val="002856F2"/>
    <w:rsid w:val="00285734"/>
    <w:rsid w:val="002857E3"/>
    <w:rsid w:val="002857E9"/>
    <w:rsid w:val="002857EA"/>
    <w:rsid w:val="002857FE"/>
    <w:rsid w:val="00285808"/>
    <w:rsid w:val="002858FB"/>
    <w:rsid w:val="0028590B"/>
    <w:rsid w:val="00285912"/>
    <w:rsid w:val="00285969"/>
    <w:rsid w:val="002859C1"/>
    <w:rsid w:val="00285A10"/>
    <w:rsid w:val="00285A69"/>
    <w:rsid w:val="00285A76"/>
    <w:rsid w:val="00285A99"/>
    <w:rsid w:val="00285AA1"/>
    <w:rsid w:val="00285AAA"/>
    <w:rsid w:val="00285B0A"/>
    <w:rsid w:val="00285B0C"/>
    <w:rsid w:val="00285B3A"/>
    <w:rsid w:val="00285B43"/>
    <w:rsid w:val="00285B61"/>
    <w:rsid w:val="00285B7A"/>
    <w:rsid w:val="00285C37"/>
    <w:rsid w:val="00285C5A"/>
    <w:rsid w:val="00285CBA"/>
    <w:rsid w:val="00285D61"/>
    <w:rsid w:val="00285D91"/>
    <w:rsid w:val="00285DD5"/>
    <w:rsid w:val="00285DF3"/>
    <w:rsid w:val="00285E28"/>
    <w:rsid w:val="00285E90"/>
    <w:rsid w:val="00285E98"/>
    <w:rsid w:val="00285ED3"/>
    <w:rsid w:val="00285FE7"/>
    <w:rsid w:val="00285FEC"/>
    <w:rsid w:val="00285FF5"/>
    <w:rsid w:val="0028606B"/>
    <w:rsid w:val="002861AA"/>
    <w:rsid w:val="002861AC"/>
    <w:rsid w:val="0028620A"/>
    <w:rsid w:val="00286350"/>
    <w:rsid w:val="002863CE"/>
    <w:rsid w:val="00286402"/>
    <w:rsid w:val="00286485"/>
    <w:rsid w:val="002864F5"/>
    <w:rsid w:val="00286522"/>
    <w:rsid w:val="0028652B"/>
    <w:rsid w:val="00286567"/>
    <w:rsid w:val="002865EE"/>
    <w:rsid w:val="00286632"/>
    <w:rsid w:val="002866B7"/>
    <w:rsid w:val="002866BB"/>
    <w:rsid w:val="00286767"/>
    <w:rsid w:val="0028680A"/>
    <w:rsid w:val="00286854"/>
    <w:rsid w:val="00286876"/>
    <w:rsid w:val="00286895"/>
    <w:rsid w:val="00286913"/>
    <w:rsid w:val="00286934"/>
    <w:rsid w:val="00286956"/>
    <w:rsid w:val="002869B6"/>
    <w:rsid w:val="002869DF"/>
    <w:rsid w:val="00286A13"/>
    <w:rsid w:val="00286A59"/>
    <w:rsid w:val="00286ABF"/>
    <w:rsid w:val="00286B53"/>
    <w:rsid w:val="00286BA3"/>
    <w:rsid w:val="00286C1D"/>
    <w:rsid w:val="00286C3E"/>
    <w:rsid w:val="00286C66"/>
    <w:rsid w:val="00286C78"/>
    <w:rsid w:val="00286C8B"/>
    <w:rsid w:val="00286CD0"/>
    <w:rsid w:val="00286D42"/>
    <w:rsid w:val="00286DB4"/>
    <w:rsid w:val="00286DE8"/>
    <w:rsid w:val="00286E50"/>
    <w:rsid w:val="00286E94"/>
    <w:rsid w:val="00286ECF"/>
    <w:rsid w:val="00286ED3"/>
    <w:rsid w:val="00286FC7"/>
    <w:rsid w:val="00286FDF"/>
    <w:rsid w:val="002870DE"/>
    <w:rsid w:val="00287127"/>
    <w:rsid w:val="00287191"/>
    <w:rsid w:val="00287193"/>
    <w:rsid w:val="002871B5"/>
    <w:rsid w:val="002871F9"/>
    <w:rsid w:val="00287209"/>
    <w:rsid w:val="0028726C"/>
    <w:rsid w:val="0028727A"/>
    <w:rsid w:val="00287295"/>
    <w:rsid w:val="002872D3"/>
    <w:rsid w:val="002872EB"/>
    <w:rsid w:val="00287338"/>
    <w:rsid w:val="002873B7"/>
    <w:rsid w:val="002873D6"/>
    <w:rsid w:val="002873DA"/>
    <w:rsid w:val="0028742B"/>
    <w:rsid w:val="0028742E"/>
    <w:rsid w:val="00287501"/>
    <w:rsid w:val="0028754A"/>
    <w:rsid w:val="0028754F"/>
    <w:rsid w:val="0028756C"/>
    <w:rsid w:val="00287624"/>
    <w:rsid w:val="0028762B"/>
    <w:rsid w:val="00287667"/>
    <w:rsid w:val="00287683"/>
    <w:rsid w:val="00287684"/>
    <w:rsid w:val="002876EC"/>
    <w:rsid w:val="00287704"/>
    <w:rsid w:val="0028776E"/>
    <w:rsid w:val="002877A8"/>
    <w:rsid w:val="002877F2"/>
    <w:rsid w:val="00287806"/>
    <w:rsid w:val="00287808"/>
    <w:rsid w:val="0028782C"/>
    <w:rsid w:val="0028785E"/>
    <w:rsid w:val="00287880"/>
    <w:rsid w:val="0028788E"/>
    <w:rsid w:val="00287891"/>
    <w:rsid w:val="002879D3"/>
    <w:rsid w:val="00287A28"/>
    <w:rsid w:val="00287A39"/>
    <w:rsid w:val="00287A7C"/>
    <w:rsid w:val="00287AA3"/>
    <w:rsid w:val="00287AB8"/>
    <w:rsid w:val="00287AD0"/>
    <w:rsid w:val="00287B17"/>
    <w:rsid w:val="00287B97"/>
    <w:rsid w:val="00287C92"/>
    <w:rsid w:val="00287C9B"/>
    <w:rsid w:val="00287CB8"/>
    <w:rsid w:val="00287CD6"/>
    <w:rsid w:val="00287CFC"/>
    <w:rsid w:val="00287D68"/>
    <w:rsid w:val="00287DF4"/>
    <w:rsid w:val="00287DF9"/>
    <w:rsid w:val="00287E6A"/>
    <w:rsid w:val="00287E83"/>
    <w:rsid w:val="00287F86"/>
    <w:rsid w:val="00290079"/>
    <w:rsid w:val="002900B5"/>
    <w:rsid w:val="002900F7"/>
    <w:rsid w:val="0029016E"/>
    <w:rsid w:val="00290277"/>
    <w:rsid w:val="00290288"/>
    <w:rsid w:val="00290294"/>
    <w:rsid w:val="002902CC"/>
    <w:rsid w:val="002902F5"/>
    <w:rsid w:val="00290315"/>
    <w:rsid w:val="00290364"/>
    <w:rsid w:val="00290410"/>
    <w:rsid w:val="00290430"/>
    <w:rsid w:val="002904CA"/>
    <w:rsid w:val="002904FA"/>
    <w:rsid w:val="0029055C"/>
    <w:rsid w:val="00290561"/>
    <w:rsid w:val="002905DC"/>
    <w:rsid w:val="002905F3"/>
    <w:rsid w:val="00290614"/>
    <w:rsid w:val="0029061E"/>
    <w:rsid w:val="0029062E"/>
    <w:rsid w:val="00290676"/>
    <w:rsid w:val="00290687"/>
    <w:rsid w:val="002906A9"/>
    <w:rsid w:val="0029075A"/>
    <w:rsid w:val="00290780"/>
    <w:rsid w:val="002907D9"/>
    <w:rsid w:val="0029081E"/>
    <w:rsid w:val="0029083C"/>
    <w:rsid w:val="00290886"/>
    <w:rsid w:val="00290897"/>
    <w:rsid w:val="00290913"/>
    <w:rsid w:val="0029094B"/>
    <w:rsid w:val="0029096F"/>
    <w:rsid w:val="0029097A"/>
    <w:rsid w:val="00290A01"/>
    <w:rsid w:val="00290A2E"/>
    <w:rsid w:val="00290A9A"/>
    <w:rsid w:val="00290AF6"/>
    <w:rsid w:val="00290B22"/>
    <w:rsid w:val="00290B59"/>
    <w:rsid w:val="00290B5E"/>
    <w:rsid w:val="00290B5F"/>
    <w:rsid w:val="00290B6A"/>
    <w:rsid w:val="00290B7A"/>
    <w:rsid w:val="00290B99"/>
    <w:rsid w:val="00290C55"/>
    <w:rsid w:val="00290C9A"/>
    <w:rsid w:val="00290CBB"/>
    <w:rsid w:val="00290D5D"/>
    <w:rsid w:val="00290E98"/>
    <w:rsid w:val="00290EA3"/>
    <w:rsid w:val="00290EAD"/>
    <w:rsid w:val="00290ECC"/>
    <w:rsid w:val="00290ECF"/>
    <w:rsid w:val="00290EFA"/>
    <w:rsid w:val="00290F40"/>
    <w:rsid w:val="00290F44"/>
    <w:rsid w:val="00290F45"/>
    <w:rsid w:val="0029100E"/>
    <w:rsid w:val="0029103A"/>
    <w:rsid w:val="00291061"/>
    <w:rsid w:val="0029108C"/>
    <w:rsid w:val="002910A0"/>
    <w:rsid w:val="002910C8"/>
    <w:rsid w:val="002910E2"/>
    <w:rsid w:val="00291115"/>
    <w:rsid w:val="00291138"/>
    <w:rsid w:val="0029121D"/>
    <w:rsid w:val="00291223"/>
    <w:rsid w:val="002912EF"/>
    <w:rsid w:val="0029139B"/>
    <w:rsid w:val="00291406"/>
    <w:rsid w:val="0029140D"/>
    <w:rsid w:val="0029143C"/>
    <w:rsid w:val="00291464"/>
    <w:rsid w:val="002914EF"/>
    <w:rsid w:val="00291525"/>
    <w:rsid w:val="0029152B"/>
    <w:rsid w:val="0029154D"/>
    <w:rsid w:val="002915A3"/>
    <w:rsid w:val="0029162A"/>
    <w:rsid w:val="00291640"/>
    <w:rsid w:val="0029168D"/>
    <w:rsid w:val="002916B2"/>
    <w:rsid w:val="002916EA"/>
    <w:rsid w:val="002916EB"/>
    <w:rsid w:val="00291749"/>
    <w:rsid w:val="002917F4"/>
    <w:rsid w:val="00291835"/>
    <w:rsid w:val="00291849"/>
    <w:rsid w:val="00291869"/>
    <w:rsid w:val="002918BA"/>
    <w:rsid w:val="002918F6"/>
    <w:rsid w:val="00291960"/>
    <w:rsid w:val="002919E9"/>
    <w:rsid w:val="002919F0"/>
    <w:rsid w:val="00291A6B"/>
    <w:rsid w:val="00291A81"/>
    <w:rsid w:val="00291AC0"/>
    <w:rsid w:val="00291AFF"/>
    <w:rsid w:val="00291B1E"/>
    <w:rsid w:val="00291B9D"/>
    <w:rsid w:val="00291BDA"/>
    <w:rsid w:val="00291BFD"/>
    <w:rsid w:val="00291BFE"/>
    <w:rsid w:val="00291C16"/>
    <w:rsid w:val="00291CC3"/>
    <w:rsid w:val="00291D1A"/>
    <w:rsid w:val="00291D21"/>
    <w:rsid w:val="00291DE5"/>
    <w:rsid w:val="00291DEC"/>
    <w:rsid w:val="00291E40"/>
    <w:rsid w:val="00291E4E"/>
    <w:rsid w:val="00291E63"/>
    <w:rsid w:val="00291E80"/>
    <w:rsid w:val="00291E9B"/>
    <w:rsid w:val="00291EAC"/>
    <w:rsid w:val="00291EE8"/>
    <w:rsid w:val="00291F39"/>
    <w:rsid w:val="00291F91"/>
    <w:rsid w:val="00291FB9"/>
    <w:rsid w:val="00291FE6"/>
    <w:rsid w:val="00292021"/>
    <w:rsid w:val="0029204C"/>
    <w:rsid w:val="002920AA"/>
    <w:rsid w:val="00292175"/>
    <w:rsid w:val="0029219C"/>
    <w:rsid w:val="002921B1"/>
    <w:rsid w:val="002921D1"/>
    <w:rsid w:val="00292265"/>
    <w:rsid w:val="00292294"/>
    <w:rsid w:val="002922A6"/>
    <w:rsid w:val="00292301"/>
    <w:rsid w:val="0029236D"/>
    <w:rsid w:val="002923B0"/>
    <w:rsid w:val="00292479"/>
    <w:rsid w:val="0029248D"/>
    <w:rsid w:val="00292527"/>
    <w:rsid w:val="00292567"/>
    <w:rsid w:val="002925C5"/>
    <w:rsid w:val="002925CF"/>
    <w:rsid w:val="002925D3"/>
    <w:rsid w:val="0029265D"/>
    <w:rsid w:val="0029267D"/>
    <w:rsid w:val="00292757"/>
    <w:rsid w:val="00292791"/>
    <w:rsid w:val="0029279F"/>
    <w:rsid w:val="002927C6"/>
    <w:rsid w:val="002927DA"/>
    <w:rsid w:val="0029280C"/>
    <w:rsid w:val="0029287E"/>
    <w:rsid w:val="002928E9"/>
    <w:rsid w:val="00292915"/>
    <w:rsid w:val="00292928"/>
    <w:rsid w:val="0029294D"/>
    <w:rsid w:val="0029297C"/>
    <w:rsid w:val="002929AD"/>
    <w:rsid w:val="00292A22"/>
    <w:rsid w:val="00292A37"/>
    <w:rsid w:val="00292A41"/>
    <w:rsid w:val="00292A58"/>
    <w:rsid w:val="00292A72"/>
    <w:rsid w:val="00292ACF"/>
    <w:rsid w:val="00292AEB"/>
    <w:rsid w:val="00292B06"/>
    <w:rsid w:val="00292B82"/>
    <w:rsid w:val="00292D4D"/>
    <w:rsid w:val="00292D85"/>
    <w:rsid w:val="00292DB7"/>
    <w:rsid w:val="00292E56"/>
    <w:rsid w:val="00292E79"/>
    <w:rsid w:val="00292E80"/>
    <w:rsid w:val="00292F85"/>
    <w:rsid w:val="00293017"/>
    <w:rsid w:val="00293046"/>
    <w:rsid w:val="0029304B"/>
    <w:rsid w:val="00293065"/>
    <w:rsid w:val="0029309A"/>
    <w:rsid w:val="002930A5"/>
    <w:rsid w:val="002930D6"/>
    <w:rsid w:val="002930FB"/>
    <w:rsid w:val="00293102"/>
    <w:rsid w:val="00293108"/>
    <w:rsid w:val="0029316D"/>
    <w:rsid w:val="00293173"/>
    <w:rsid w:val="00293185"/>
    <w:rsid w:val="0029318E"/>
    <w:rsid w:val="002931B5"/>
    <w:rsid w:val="00293202"/>
    <w:rsid w:val="0029321C"/>
    <w:rsid w:val="00293269"/>
    <w:rsid w:val="00293287"/>
    <w:rsid w:val="0029328D"/>
    <w:rsid w:val="002933F4"/>
    <w:rsid w:val="00293404"/>
    <w:rsid w:val="00293443"/>
    <w:rsid w:val="00293466"/>
    <w:rsid w:val="0029348C"/>
    <w:rsid w:val="0029348D"/>
    <w:rsid w:val="002934DA"/>
    <w:rsid w:val="002935A1"/>
    <w:rsid w:val="00293665"/>
    <w:rsid w:val="0029367F"/>
    <w:rsid w:val="002936D1"/>
    <w:rsid w:val="00293714"/>
    <w:rsid w:val="00293734"/>
    <w:rsid w:val="00293775"/>
    <w:rsid w:val="00293858"/>
    <w:rsid w:val="002938D4"/>
    <w:rsid w:val="00293974"/>
    <w:rsid w:val="002939B7"/>
    <w:rsid w:val="002939C0"/>
    <w:rsid w:val="002939EB"/>
    <w:rsid w:val="002939F8"/>
    <w:rsid w:val="00293A39"/>
    <w:rsid w:val="00293A56"/>
    <w:rsid w:val="00293A71"/>
    <w:rsid w:val="00293A7A"/>
    <w:rsid w:val="00293A81"/>
    <w:rsid w:val="00293AD0"/>
    <w:rsid w:val="00293B14"/>
    <w:rsid w:val="00293B50"/>
    <w:rsid w:val="00293B6C"/>
    <w:rsid w:val="00293B71"/>
    <w:rsid w:val="00293B96"/>
    <w:rsid w:val="00293BC3"/>
    <w:rsid w:val="00293BFA"/>
    <w:rsid w:val="00293C0F"/>
    <w:rsid w:val="00293C17"/>
    <w:rsid w:val="00293C56"/>
    <w:rsid w:val="00293CAE"/>
    <w:rsid w:val="00293CBB"/>
    <w:rsid w:val="00293D30"/>
    <w:rsid w:val="00293D3E"/>
    <w:rsid w:val="00293D66"/>
    <w:rsid w:val="00293D82"/>
    <w:rsid w:val="00293DC4"/>
    <w:rsid w:val="00293E13"/>
    <w:rsid w:val="00293E2F"/>
    <w:rsid w:val="00293EE1"/>
    <w:rsid w:val="00293F89"/>
    <w:rsid w:val="00294016"/>
    <w:rsid w:val="00294047"/>
    <w:rsid w:val="0029407B"/>
    <w:rsid w:val="00294155"/>
    <w:rsid w:val="00294184"/>
    <w:rsid w:val="00294256"/>
    <w:rsid w:val="00294265"/>
    <w:rsid w:val="00294312"/>
    <w:rsid w:val="0029434F"/>
    <w:rsid w:val="002943DD"/>
    <w:rsid w:val="0029440D"/>
    <w:rsid w:val="00294421"/>
    <w:rsid w:val="00294426"/>
    <w:rsid w:val="0029446F"/>
    <w:rsid w:val="0029447A"/>
    <w:rsid w:val="0029447C"/>
    <w:rsid w:val="0029454D"/>
    <w:rsid w:val="002945DE"/>
    <w:rsid w:val="002945F1"/>
    <w:rsid w:val="00294659"/>
    <w:rsid w:val="002946BB"/>
    <w:rsid w:val="002946BF"/>
    <w:rsid w:val="002946D6"/>
    <w:rsid w:val="00294744"/>
    <w:rsid w:val="0029474E"/>
    <w:rsid w:val="0029476D"/>
    <w:rsid w:val="00294788"/>
    <w:rsid w:val="002947A2"/>
    <w:rsid w:val="002947A3"/>
    <w:rsid w:val="002947FD"/>
    <w:rsid w:val="00294826"/>
    <w:rsid w:val="00294849"/>
    <w:rsid w:val="00294864"/>
    <w:rsid w:val="00294865"/>
    <w:rsid w:val="002948A6"/>
    <w:rsid w:val="002948AB"/>
    <w:rsid w:val="002948E2"/>
    <w:rsid w:val="00294902"/>
    <w:rsid w:val="00294942"/>
    <w:rsid w:val="0029495C"/>
    <w:rsid w:val="002949BC"/>
    <w:rsid w:val="002949BF"/>
    <w:rsid w:val="00294A8D"/>
    <w:rsid w:val="00294AFB"/>
    <w:rsid w:val="00294B53"/>
    <w:rsid w:val="00294B5D"/>
    <w:rsid w:val="00294B60"/>
    <w:rsid w:val="00294BD8"/>
    <w:rsid w:val="00294BE9"/>
    <w:rsid w:val="00294BEB"/>
    <w:rsid w:val="00294C00"/>
    <w:rsid w:val="00294CAC"/>
    <w:rsid w:val="00294CCF"/>
    <w:rsid w:val="00294CF6"/>
    <w:rsid w:val="00294D3A"/>
    <w:rsid w:val="00294E08"/>
    <w:rsid w:val="00294E5B"/>
    <w:rsid w:val="00294E63"/>
    <w:rsid w:val="00294EC3"/>
    <w:rsid w:val="00294F53"/>
    <w:rsid w:val="00294F6A"/>
    <w:rsid w:val="00294FB7"/>
    <w:rsid w:val="0029507C"/>
    <w:rsid w:val="00295083"/>
    <w:rsid w:val="002950D3"/>
    <w:rsid w:val="002950D5"/>
    <w:rsid w:val="002950E3"/>
    <w:rsid w:val="0029513B"/>
    <w:rsid w:val="00295153"/>
    <w:rsid w:val="00295164"/>
    <w:rsid w:val="002951FB"/>
    <w:rsid w:val="0029528F"/>
    <w:rsid w:val="0029529B"/>
    <w:rsid w:val="002952B4"/>
    <w:rsid w:val="002952BB"/>
    <w:rsid w:val="002952EE"/>
    <w:rsid w:val="0029535B"/>
    <w:rsid w:val="002953D0"/>
    <w:rsid w:val="002953E0"/>
    <w:rsid w:val="00295444"/>
    <w:rsid w:val="0029544C"/>
    <w:rsid w:val="0029547B"/>
    <w:rsid w:val="00295491"/>
    <w:rsid w:val="00295538"/>
    <w:rsid w:val="0029572F"/>
    <w:rsid w:val="00295733"/>
    <w:rsid w:val="002957D8"/>
    <w:rsid w:val="0029581F"/>
    <w:rsid w:val="00295843"/>
    <w:rsid w:val="0029587A"/>
    <w:rsid w:val="00295955"/>
    <w:rsid w:val="0029596B"/>
    <w:rsid w:val="0029596D"/>
    <w:rsid w:val="002959A2"/>
    <w:rsid w:val="002959B7"/>
    <w:rsid w:val="002959D0"/>
    <w:rsid w:val="00295A59"/>
    <w:rsid w:val="00295A69"/>
    <w:rsid w:val="00295AA2"/>
    <w:rsid w:val="00295B2E"/>
    <w:rsid w:val="00295B30"/>
    <w:rsid w:val="00295B57"/>
    <w:rsid w:val="00295B7A"/>
    <w:rsid w:val="00295BDB"/>
    <w:rsid w:val="00295BEC"/>
    <w:rsid w:val="00295C05"/>
    <w:rsid w:val="00295C0F"/>
    <w:rsid w:val="00295C1B"/>
    <w:rsid w:val="00295C6C"/>
    <w:rsid w:val="00295C91"/>
    <w:rsid w:val="00295CD6"/>
    <w:rsid w:val="00295CED"/>
    <w:rsid w:val="00295D03"/>
    <w:rsid w:val="00295D47"/>
    <w:rsid w:val="00295D8A"/>
    <w:rsid w:val="00295DB0"/>
    <w:rsid w:val="00295E87"/>
    <w:rsid w:val="00295F2A"/>
    <w:rsid w:val="00295F55"/>
    <w:rsid w:val="00295F89"/>
    <w:rsid w:val="00295F8F"/>
    <w:rsid w:val="00295FC0"/>
    <w:rsid w:val="0029604E"/>
    <w:rsid w:val="002960B8"/>
    <w:rsid w:val="0029610E"/>
    <w:rsid w:val="00296158"/>
    <w:rsid w:val="00296179"/>
    <w:rsid w:val="0029618A"/>
    <w:rsid w:val="002961B0"/>
    <w:rsid w:val="00296255"/>
    <w:rsid w:val="00296267"/>
    <w:rsid w:val="00296297"/>
    <w:rsid w:val="002962A6"/>
    <w:rsid w:val="002962DB"/>
    <w:rsid w:val="00296322"/>
    <w:rsid w:val="0029632E"/>
    <w:rsid w:val="00296347"/>
    <w:rsid w:val="002963C5"/>
    <w:rsid w:val="002963F9"/>
    <w:rsid w:val="00296450"/>
    <w:rsid w:val="0029645E"/>
    <w:rsid w:val="0029647A"/>
    <w:rsid w:val="00296484"/>
    <w:rsid w:val="002964A1"/>
    <w:rsid w:val="002964F5"/>
    <w:rsid w:val="00296524"/>
    <w:rsid w:val="002965C3"/>
    <w:rsid w:val="002965FE"/>
    <w:rsid w:val="00296609"/>
    <w:rsid w:val="0029663F"/>
    <w:rsid w:val="00296662"/>
    <w:rsid w:val="00296683"/>
    <w:rsid w:val="002966BC"/>
    <w:rsid w:val="002966BF"/>
    <w:rsid w:val="002966DF"/>
    <w:rsid w:val="0029671A"/>
    <w:rsid w:val="0029678E"/>
    <w:rsid w:val="002968AD"/>
    <w:rsid w:val="002968CF"/>
    <w:rsid w:val="00296994"/>
    <w:rsid w:val="002969ED"/>
    <w:rsid w:val="002969FD"/>
    <w:rsid w:val="00296A04"/>
    <w:rsid w:val="00296B56"/>
    <w:rsid w:val="00296B59"/>
    <w:rsid w:val="00296B5D"/>
    <w:rsid w:val="00296B82"/>
    <w:rsid w:val="00296B9C"/>
    <w:rsid w:val="00296BD2"/>
    <w:rsid w:val="00296BEC"/>
    <w:rsid w:val="00296BF6"/>
    <w:rsid w:val="00296C51"/>
    <w:rsid w:val="00296C83"/>
    <w:rsid w:val="00296C9E"/>
    <w:rsid w:val="00296CB1"/>
    <w:rsid w:val="00296D44"/>
    <w:rsid w:val="00296E92"/>
    <w:rsid w:val="00296FDD"/>
    <w:rsid w:val="00297003"/>
    <w:rsid w:val="00297009"/>
    <w:rsid w:val="00297051"/>
    <w:rsid w:val="00297055"/>
    <w:rsid w:val="0029706A"/>
    <w:rsid w:val="00297074"/>
    <w:rsid w:val="002970C2"/>
    <w:rsid w:val="002970D0"/>
    <w:rsid w:val="00297181"/>
    <w:rsid w:val="00297304"/>
    <w:rsid w:val="0029734D"/>
    <w:rsid w:val="0029739A"/>
    <w:rsid w:val="002973B0"/>
    <w:rsid w:val="002973B4"/>
    <w:rsid w:val="002973EC"/>
    <w:rsid w:val="00297406"/>
    <w:rsid w:val="00297425"/>
    <w:rsid w:val="0029746C"/>
    <w:rsid w:val="0029759E"/>
    <w:rsid w:val="00297615"/>
    <w:rsid w:val="00297633"/>
    <w:rsid w:val="00297698"/>
    <w:rsid w:val="002976D2"/>
    <w:rsid w:val="002976DC"/>
    <w:rsid w:val="0029770C"/>
    <w:rsid w:val="00297728"/>
    <w:rsid w:val="002977FF"/>
    <w:rsid w:val="00297807"/>
    <w:rsid w:val="00297826"/>
    <w:rsid w:val="00297845"/>
    <w:rsid w:val="0029784B"/>
    <w:rsid w:val="0029789E"/>
    <w:rsid w:val="002978B2"/>
    <w:rsid w:val="002978BE"/>
    <w:rsid w:val="002978D0"/>
    <w:rsid w:val="0029792F"/>
    <w:rsid w:val="00297A9E"/>
    <w:rsid w:val="00297BAC"/>
    <w:rsid w:val="00297BAD"/>
    <w:rsid w:val="00297BAF"/>
    <w:rsid w:val="00297BDF"/>
    <w:rsid w:val="00297BF8"/>
    <w:rsid w:val="00297C74"/>
    <w:rsid w:val="00297CAF"/>
    <w:rsid w:val="00297D2B"/>
    <w:rsid w:val="00297D65"/>
    <w:rsid w:val="00297D71"/>
    <w:rsid w:val="00297D96"/>
    <w:rsid w:val="00297E15"/>
    <w:rsid w:val="00297E2A"/>
    <w:rsid w:val="00297E95"/>
    <w:rsid w:val="00297F34"/>
    <w:rsid w:val="00297FD0"/>
    <w:rsid w:val="00297FE6"/>
    <w:rsid w:val="00297FFA"/>
    <w:rsid w:val="002A00B5"/>
    <w:rsid w:val="002A00D8"/>
    <w:rsid w:val="002A00DB"/>
    <w:rsid w:val="002A00F9"/>
    <w:rsid w:val="002A013F"/>
    <w:rsid w:val="002A01DA"/>
    <w:rsid w:val="002A0224"/>
    <w:rsid w:val="002A0226"/>
    <w:rsid w:val="002A02C7"/>
    <w:rsid w:val="002A02D8"/>
    <w:rsid w:val="002A03D5"/>
    <w:rsid w:val="002A0471"/>
    <w:rsid w:val="002A0512"/>
    <w:rsid w:val="002A0513"/>
    <w:rsid w:val="002A0538"/>
    <w:rsid w:val="002A053E"/>
    <w:rsid w:val="002A0572"/>
    <w:rsid w:val="002A059B"/>
    <w:rsid w:val="002A069B"/>
    <w:rsid w:val="002A0701"/>
    <w:rsid w:val="002A072C"/>
    <w:rsid w:val="002A0766"/>
    <w:rsid w:val="002A076A"/>
    <w:rsid w:val="002A077C"/>
    <w:rsid w:val="002A07A4"/>
    <w:rsid w:val="002A07F0"/>
    <w:rsid w:val="002A0807"/>
    <w:rsid w:val="002A0811"/>
    <w:rsid w:val="002A09A8"/>
    <w:rsid w:val="002A09B5"/>
    <w:rsid w:val="002A09E5"/>
    <w:rsid w:val="002A09EA"/>
    <w:rsid w:val="002A0A3B"/>
    <w:rsid w:val="002A0A3E"/>
    <w:rsid w:val="002A0A46"/>
    <w:rsid w:val="002A0A9D"/>
    <w:rsid w:val="002A0AD6"/>
    <w:rsid w:val="002A0B0C"/>
    <w:rsid w:val="002A0B18"/>
    <w:rsid w:val="002A0B4E"/>
    <w:rsid w:val="002A0B6A"/>
    <w:rsid w:val="002A0BAA"/>
    <w:rsid w:val="002A0C0F"/>
    <w:rsid w:val="002A0C6E"/>
    <w:rsid w:val="002A0C97"/>
    <w:rsid w:val="002A0CAF"/>
    <w:rsid w:val="002A0CCB"/>
    <w:rsid w:val="002A0CFA"/>
    <w:rsid w:val="002A0D38"/>
    <w:rsid w:val="002A0DAA"/>
    <w:rsid w:val="002A0DF1"/>
    <w:rsid w:val="002A0E04"/>
    <w:rsid w:val="002A0E11"/>
    <w:rsid w:val="002A0E9B"/>
    <w:rsid w:val="002A0EA2"/>
    <w:rsid w:val="002A0ECF"/>
    <w:rsid w:val="002A0EF7"/>
    <w:rsid w:val="002A0F48"/>
    <w:rsid w:val="002A0F6F"/>
    <w:rsid w:val="002A0F97"/>
    <w:rsid w:val="002A0FA8"/>
    <w:rsid w:val="002A0FD5"/>
    <w:rsid w:val="002A103D"/>
    <w:rsid w:val="002A1069"/>
    <w:rsid w:val="002A10CC"/>
    <w:rsid w:val="002A10EA"/>
    <w:rsid w:val="002A1116"/>
    <w:rsid w:val="002A112E"/>
    <w:rsid w:val="002A1193"/>
    <w:rsid w:val="002A12A3"/>
    <w:rsid w:val="002A134A"/>
    <w:rsid w:val="002A139A"/>
    <w:rsid w:val="002A13C7"/>
    <w:rsid w:val="002A13EF"/>
    <w:rsid w:val="002A1403"/>
    <w:rsid w:val="002A1414"/>
    <w:rsid w:val="002A143E"/>
    <w:rsid w:val="002A1503"/>
    <w:rsid w:val="002A1511"/>
    <w:rsid w:val="002A1514"/>
    <w:rsid w:val="002A1544"/>
    <w:rsid w:val="002A15A0"/>
    <w:rsid w:val="002A160F"/>
    <w:rsid w:val="002A1615"/>
    <w:rsid w:val="002A163D"/>
    <w:rsid w:val="002A1682"/>
    <w:rsid w:val="002A16AC"/>
    <w:rsid w:val="002A16DA"/>
    <w:rsid w:val="002A16E5"/>
    <w:rsid w:val="002A16F9"/>
    <w:rsid w:val="002A1748"/>
    <w:rsid w:val="002A17B8"/>
    <w:rsid w:val="002A17E5"/>
    <w:rsid w:val="002A1813"/>
    <w:rsid w:val="002A181A"/>
    <w:rsid w:val="002A1821"/>
    <w:rsid w:val="002A1822"/>
    <w:rsid w:val="002A182A"/>
    <w:rsid w:val="002A18C0"/>
    <w:rsid w:val="002A1902"/>
    <w:rsid w:val="002A190C"/>
    <w:rsid w:val="002A1938"/>
    <w:rsid w:val="002A1A12"/>
    <w:rsid w:val="002A1A1B"/>
    <w:rsid w:val="002A1A40"/>
    <w:rsid w:val="002A1A63"/>
    <w:rsid w:val="002A1A8E"/>
    <w:rsid w:val="002A1ADD"/>
    <w:rsid w:val="002A1AF9"/>
    <w:rsid w:val="002A1B2B"/>
    <w:rsid w:val="002A1B43"/>
    <w:rsid w:val="002A1B47"/>
    <w:rsid w:val="002A1B82"/>
    <w:rsid w:val="002A1BBD"/>
    <w:rsid w:val="002A1BD3"/>
    <w:rsid w:val="002A1BE7"/>
    <w:rsid w:val="002A1C11"/>
    <w:rsid w:val="002A1C27"/>
    <w:rsid w:val="002A1C31"/>
    <w:rsid w:val="002A1C68"/>
    <w:rsid w:val="002A1D29"/>
    <w:rsid w:val="002A1D5E"/>
    <w:rsid w:val="002A1DD8"/>
    <w:rsid w:val="002A1E54"/>
    <w:rsid w:val="002A1EF0"/>
    <w:rsid w:val="002A1F2D"/>
    <w:rsid w:val="002A1F35"/>
    <w:rsid w:val="002A1F51"/>
    <w:rsid w:val="002A1F7B"/>
    <w:rsid w:val="002A1F9A"/>
    <w:rsid w:val="002A1FE0"/>
    <w:rsid w:val="002A205E"/>
    <w:rsid w:val="002A20C5"/>
    <w:rsid w:val="002A20CF"/>
    <w:rsid w:val="002A2140"/>
    <w:rsid w:val="002A2177"/>
    <w:rsid w:val="002A21CD"/>
    <w:rsid w:val="002A21F9"/>
    <w:rsid w:val="002A2212"/>
    <w:rsid w:val="002A226D"/>
    <w:rsid w:val="002A2276"/>
    <w:rsid w:val="002A2292"/>
    <w:rsid w:val="002A22D9"/>
    <w:rsid w:val="002A22DD"/>
    <w:rsid w:val="002A2332"/>
    <w:rsid w:val="002A2341"/>
    <w:rsid w:val="002A2348"/>
    <w:rsid w:val="002A2398"/>
    <w:rsid w:val="002A23A5"/>
    <w:rsid w:val="002A23C5"/>
    <w:rsid w:val="002A23CB"/>
    <w:rsid w:val="002A23F1"/>
    <w:rsid w:val="002A241E"/>
    <w:rsid w:val="002A2420"/>
    <w:rsid w:val="002A2480"/>
    <w:rsid w:val="002A248C"/>
    <w:rsid w:val="002A249C"/>
    <w:rsid w:val="002A255C"/>
    <w:rsid w:val="002A2580"/>
    <w:rsid w:val="002A2644"/>
    <w:rsid w:val="002A2696"/>
    <w:rsid w:val="002A2725"/>
    <w:rsid w:val="002A2753"/>
    <w:rsid w:val="002A278F"/>
    <w:rsid w:val="002A27F2"/>
    <w:rsid w:val="002A2816"/>
    <w:rsid w:val="002A281F"/>
    <w:rsid w:val="002A2835"/>
    <w:rsid w:val="002A285B"/>
    <w:rsid w:val="002A2898"/>
    <w:rsid w:val="002A28AB"/>
    <w:rsid w:val="002A28D4"/>
    <w:rsid w:val="002A29E4"/>
    <w:rsid w:val="002A2A48"/>
    <w:rsid w:val="002A2A6D"/>
    <w:rsid w:val="002A2AC1"/>
    <w:rsid w:val="002A2B0B"/>
    <w:rsid w:val="002A2B34"/>
    <w:rsid w:val="002A2B72"/>
    <w:rsid w:val="002A2C10"/>
    <w:rsid w:val="002A2C76"/>
    <w:rsid w:val="002A2C9F"/>
    <w:rsid w:val="002A2D76"/>
    <w:rsid w:val="002A2D98"/>
    <w:rsid w:val="002A2E12"/>
    <w:rsid w:val="002A2E37"/>
    <w:rsid w:val="002A2ED6"/>
    <w:rsid w:val="002A2EE5"/>
    <w:rsid w:val="002A2F07"/>
    <w:rsid w:val="002A3067"/>
    <w:rsid w:val="002A30C0"/>
    <w:rsid w:val="002A31BD"/>
    <w:rsid w:val="002A31BF"/>
    <w:rsid w:val="002A31EB"/>
    <w:rsid w:val="002A323D"/>
    <w:rsid w:val="002A329A"/>
    <w:rsid w:val="002A32F7"/>
    <w:rsid w:val="002A3332"/>
    <w:rsid w:val="002A3352"/>
    <w:rsid w:val="002A342D"/>
    <w:rsid w:val="002A34D9"/>
    <w:rsid w:val="002A34DA"/>
    <w:rsid w:val="002A35AA"/>
    <w:rsid w:val="002A3609"/>
    <w:rsid w:val="002A3614"/>
    <w:rsid w:val="002A36D3"/>
    <w:rsid w:val="002A36E6"/>
    <w:rsid w:val="002A36EC"/>
    <w:rsid w:val="002A376D"/>
    <w:rsid w:val="002A3781"/>
    <w:rsid w:val="002A37A2"/>
    <w:rsid w:val="002A3841"/>
    <w:rsid w:val="002A38C7"/>
    <w:rsid w:val="002A3995"/>
    <w:rsid w:val="002A39F9"/>
    <w:rsid w:val="002A3ADE"/>
    <w:rsid w:val="002A3B72"/>
    <w:rsid w:val="002A3B7C"/>
    <w:rsid w:val="002A3BF2"/>
    <w:rsid w:val="002A3C23"/>
    <w:rsid w:val="002A3C2C"/>
    <w:rsid w:val="002A3C66"/>
    <w:rsid w:val="002A3C76"/>
    <w:rsid w:val="002A3D30"/>
    <w:rsid w:val="002A3D4E"/>
    <w:rsid w:val="002A3D52"/>
    <w:rsid w:val="002A3D9F"/>
    <w:rsid w:val="002A3DAC"/>
    <w:rsid w:val="002A3E3D"/>
    <w:rsid w:val="002A3E3F"/>
    <w:rsid w:val="002A3E87"/>
    <w:rsid w:val="002A3EF5"/>
    <w:rsid w:val="002A3F53"/>
    <w:rsid w:val="002A3F95"/>
    <w:rsid w:val="002A4005"/>
    <w:rsid w:val="002A4045"/>
    <w:rsid w:val="002A40A0"/>
    <w:rsid w:val="002A40B5"/>
    <w:rsid w:val="002A40C7"/>
    <w:rsid w:val="002A40E7"/>
    <w:rsid w:val="002A40F1"/>
    <w:rsid w:val="002A40F2"/>
    <w:rsid w:val="002A411B"/>
    <w:rsid w:val="002A4149"/>
    <w:rsid w:val="002A415C"/>
    <w:rsid w:val="002A4170"/>
    <w:rsid w:val="002A4209"/>
    <w:rsid w:val="002A42DC"/>
    <w:rsid w:val="002A4312"/>
    <w:rsid w:val="002A4329"/>
    <w:rsid w:val="002A43B6"/>
    <w:rsid w:val="002A43DD"/>
    <w:rsid w:val="002A4401"/>
    <w:rsid w:val="002A4480"/>
    <w:rsid w:val="002A449B"/>
    <w:rsid w:val="002A4504"/>
    <w:rsid w:val="002A458A"/>
    <w:rsid w:val="002A4654"/>
    <w:rsid w:val="002A4687"/>
    <w:rsid w:val="002A468E"/>
    <w:rsid w:val="002A473B"/>
    <w:rsid w:val="002A478F"/>
    <w:rsid w:val="002A486C"/>
    <w:rsid w:val="002A488D"/>
    <w:rsid w:val="002A4910"/>
    <w:rsid w:val="002A491F"/>
    <w:rsid w:val="002A4920"/>
    <w:rsid w:val="002A4976"/>
    <w:rsid w:val="002A4A06"/>
    <w:rsid w:val="002A4A0C"/>
    <w:rsid w:val="002A4B26"/>
    <w:rsid w:val="002A4B91"/>
    <w:rsid w:val="002A4BA9"/>
    <w:rsid w:val="002A4BE9"/>
    <w:rsid w:val="002A4C10"/>
    <w:rsid w:val="002A4C35"/>
    <w:rsid w:val="002A4C87"/>
    <w:rsid w:val="002A4CEE"/>
    <w:rsid w:val="002A4D04"/>
    <w:rsid w:val="002A4E5C"/>
    <w:rsid w:val="002A4EB3"/>
    <w:rsid w:val="002A4EC1"/>
    <w:rsid w:val="002A4EC9"/>
    <w:rsid w:val="002A4F0A"/>
    <w:rsid w:val="002A4F76"/>
    <w:rsid w:val="002A4F98"/>
    <w:rsid w:val="002A4FE6"/>
    <w:rsid w:val="002A5000"/>
    <w:rsid w:val="002A500E"/>
    <w:rsid w:val="002A501B"/>
    <w:rsid w:val="002A5023"/>
    <w:rsid w:val="002A5035"/>
    <w:rsid w:val="002A5069"/>
    <w:rsid w:val="002A50B9"/>
    <w:rsid w:val="002A50E3"/>
    <w:rsid w:val="002A50F2"/>
    <w:rsid w:val="002A50F4"/>
    <w:rsid w:val="002A516C"/>
    <w:rsid w:val="002A51E8"/>
    <w:rsid w:val="002A525C"/>
    <w:rsid w:val="002A52AA"/>
    <w:rsid w:val="002A52BC"/>
    <w:rsid w:val="002A5325"/>
    <w:rsid w:val="002A532A"/>
    <w:rsid w:val="002A53C2"/>
    <w:rsid w:val="002A540D"/>
    <w:rsid w:val="002A5437"/>
    <w:rsid w:val="002A5453"/>
    <w:rsid w:val="002A5510"/>
    <w:rsid w:val="002A5531"/>
    <w:rsid w:val="002A5574"/>
    <w:rsid w:val="002A5587"/>
    <w:rsid w:val="002A5610"/>
    <w:rsid w:val="002A5628"/>
    <w:rsid w:val="002A565E"/>
    <w:rsid w:val="002A56CD"/>
    <w:rsid w:val="002A5705"/>
    <w:rsid w:val="002A571F"/>
    <w:rsid w:val="002A5729"/>
    <w:rsid w:val="002A5782"/>
    <w:rsid w:val="002A5795"/>
    <w:rsid w:val="002A5894"/>
    <w:rsid w:val="002A595F"/>
    <w:rsid w:val="002A596C"/>
    <w:rsid w:val="002A59D1"/>
    <w:rsid w:val="002A5A4E"/>
    <w:rsid w:val="002A5A5E"/>
    <w:rsid w:val="002A5A79"/>
    <w:rsid w:val="002A5AA0"/>
    <w:rsid w:val="002A5B78"/>
    <w:rsid w:val="002A5BA7"/>
    <w:rsid w:val="002A5BD7"/>
    <w:rsid w:val="002A5C42"/>
    <w:rsid w:val="002A5C4C"/>
    <w:rsid w:val="002A5C8E"/>
    <w:rsid w:val="002A5CA7"/>
    <w:rsid w:val="002A5D43"/>
    <w:rsid w:val="002A5DDA"/>
    <w:rsid w:val="002A5E00"/>
    <w:rsid w:val="002A5E3B"/>
    <w:rsid w:val="002A5E5B"/>
    <w:rsid w:val="002A5EA6"/>
    <w:rsid w:val="002A5EB2"/>
    <w:rsid w:val="002A5F6F"/>
    <w:rsid w:val="002A5FA7"/>
    <w:rsid w:val="002A6062"/>
    <w:rsid w:val="002A612C"/>
    <w:rsid w:val="002A61B7"/>
    <w:rsid w:val="002A620D"/>
    <w:rsid w:val="002A622B"/>
    <w:rsid w:val="002A6230"/>
    <w:rsid w:val="002A6249"/>
    <w:rsid w:val="002A6257"/>
    <w:rsid w:val="002A6294"/>
    <w:rsid w:val="002A62FA"/>
    <w:rsid w:val="002A6301"/>
    <w:rsid w:val="002A63D2"/>
    <w:rsid w:val="002A6401"/>
    <w:rsid w:val="002A6469"/>
    <w:rsid w:val="002A6493"/>
    <w:rsid w:val="002A649B"/>
    <w:rsid w:val="002A64B0"/>
    <w:rsid w:val="002A6511"/>
    <w:rsid w:val="002A6576"/>
    <w:rsid w:val="002A65C9"/>
    <w:rsid w:val="002A660D"/>
    <w:rsid w:val="002A66B4"/>
    <w:rsid w:val="002A672C"/>
    <w:rsid w:val="002A6732"/>
    <w:rsid w:val="002A676A"/>
    <w:rsid w:val="002A6844"/>
    <w:rsid w:val="002A6850"/>
    <w:rsid w:val="002A686A"/>
    <w:rsid w:val="002A68AE"/>
    <w:rsid w:val="002A691F"/>
    <w:rsid w:val="002A6920"/>
    <w:rsid w:val="002A69AB"/>
    <w:rsid w:val="002A69AC"/>
    <w:rsid w:val="002A6A9C"/>
    <w:rsid w:val="002A6AB1"/>
    <w:rsid w:val="002A6AD9"/>
    <w:rsid w:val="002A6AE7"/>
    <w:rsid w:val="002A6AEE"/>
    <w:rsid w:val="002A6BAC"/>
    <w:rsid w:val="002A6BB9"/>
    <w:rsid w:val="002A6BDA"/>
    <w:rsid w:val="002A6C08"/>
    <w:rsid w:val="002A6CA8"/>
    <w:rsid w:val="002A6CD4"/>
    <w:rsid w:val="002A6D31"/>
    <w:rsid w:val="002A6D4C"/>
    <w:rsid w:val="002A6DF0"/>
    <w:rsid w:val="002A6E29"/>
    <w:rsid w:val="002A6E2C"/>
    <w:rsid w:val="002A6E51"/>
    <w:rsid w:val="002A6EA8"/>
    <w:rsid w:val="002A6EB3"/>
    <w:rsid w:val="002A6EBD"/>
    <w:rsid w:val="002A6ECF"/>
    <w:rsid w:val="002A6ED5"/>
    <w:rsid w:val="002A6F7C"/>
    <w:rsid w:val="002A6F8E"/>
    <w:rsid w:val="002A6FCD"/>
    <w:rsid w:val="002A70E3"/>
    <w:rsid w:val="002A712A"/>
    <w:rsid w:val="002A714F"/>
    <w:rsid w:val="002A716B"/>
    <w:rsid w:val="002A7206"/>
    <w:rsid w:val="002A7233"/>
    <w:rsid w:val="002A72E4"/>
    <w:rsid w:val="002A73C6"/>
    <w:rsid w:val="002A73D9"/>
    <w:rsid w:val="002A7442"/>
    <w:rsid w:val="002A7481"/>
    <w:rsid w:val="002A7483"/>
    <w:rsid w:val="002A74AB"/>
    <w:rsid w:val="002A74B8"/>
    <w:rsid w:val="002A74EF"/>
    <w:rsid w:val="002A74FB"/>
    <w:rsid w:val="002A754C"/>
    <w:rsid w:val="002A756B"/>
    <w:rsid w:val="002A757E"/>
    <w:rsid w:val="002A7594"/>
    <w:rsid w:val="002A75BF"/>
    <w:rsid w:val="002A760A"/>
    <w:rsid w:val="002A7677"/>
    <w:rsid w:val="002A7780"/>
    <w:rsid w:val="002A77F5"/>
    <w:rsid w:val="002A7901"/>
    <w:rsid w:val="002A7929"/>
    <w:rsid w:val="002A7936"/>
    <w:rsid w:val="002A7937"/>
    <w:rsid w:val="002A793E"/>
    <w:rsid w:val="002A79A4"/>
    <w:rsid w:val="002A79B3"/>
    <w:rsid w:val="002A7A06"/>
    <w:rsid w:val="002A7A10"/>
    <w:rsid w:val="002A7A31"/>
    <w:rsid w:val="002A7A47"/>
    <w:rsid w:val="002A7A94"/>
    <w:rsid w:val="002A7AC7"/>
    <w:rsid w:val="002A7AE0"/>
    <w:rsid w:val="002A7AF3"/>
    <w:rsid w:val="002A7B8C"/>
    <w:rsid w:val="002A7BC3"/>
    <w:rsid w:val="002A7C42"/>
    <w:rsid w:val="002A7C75"/>
    <w:rsid w:val="002A7CB6"/>
    <w:rsid w:val="002A7CD8"/>
    <w:rsid w:val="002A7DC2"/>
    <w:rsid w:val="002A7DF8"/>
    <w:rsid w:val="002A7E16"/>
    <w:rsid w:val="002A7E21"/>
    <w:rsid w:val="002A7E47"/>
    <w:rsid w:val="002A7EB1"/>
    <w:rsid w:val="002A7EC0"/>
    <w:rsid w:val="002A7EC8"/>
    <w:rsid w:val="002A7ED4"/>
    <w:rsid w:val="002A7EEC"/>
    <w:rsid w:val="002A7EFF"/>
    <w:rsid w:val="002A7F43"/>
    <w:rsid w:val="002A7F66"/>
    <w:rsid w:val="002A7F94"/>
    <w:rsid w:val="002A7FC9"/>
    <w:rsid w:val="002B0165"/>
    <w:rsid w:val="002B0168"/>
    <w:rsid w:val="002B0179"/>
    <w:rsid w:val="002B018C"/>
    <w:rsid w:val="002B022B"/>
    <w:rsid w:val="002B0265"/>
    <w:rsid w:val="002B0268"/>
    <w:rsid w:val="002B02A4"/>
    <w:rsid w:val="002B033E"/>
    <w:rsid w:val="002B036D"/>
    <w:rsid w:val="002B0384"/>
    <w:rsid w:val="002B0396"/>
    <w:rsid w:val="002B0416"/>
    <w:rsid w:val="002B04B5"/>
    <w:rsid w:val="002B04D2"/>
    <w:rsid w:val="002B04F3"/>
    <w:rsid w:val="002B04F5"/>
    <w:rsid w:val="002B058F"/>
    <w:rsid w:val="002B0621"/>
    <w:rsid w:val="002B06C7"/>
    <w:rsid w:val="002B06CD"/>
    <w:rsid w:val="002B06D8"/>
    <w:rsid w:val="002B06DC"/>
    <w:rsid w:val="002B0774"/>
    <w:rsid w:val="002B07DE"/>
    <w:rsid w:val="002B0809"/>
    <w:rsid w:val="002B0847"/>
    <w:rsid w:val="002B092C"/>
    <w:rsid w:val="002B0934"/>
    <w:rsid w:val="002B0937"/>
    <w:rsid w:val="002B096F"/>
    <w:rsid w:val="002B09DF"/>
    <w:rsid w:val="002B09FF"/>
    <w:rsid w:val="002B0A06"/>
    <w:rsid w:val="002B0A10"/>
    <w:rsid w:val="002B0AF0"/>
    <w:rsid w:val="002B0AF1"/>
    <w:rsid w:val="002B0B3E"/>
    <w:rsid w:val="002B0B65"/>
    <w:rsid w:val="002B0B9A"/>
    <w:rsid w:val="002B0BAF"/>
    <w:rsid w:val="002B0BB7"/>
    <w:rsid w:val="002B0BBA"/>
    <w:rsid w:val="002B0BED"/>
    <w:rsid w:val="002B0C17"/>
    <w:rsid w:val="002B0C5F"/>
    <w:rsid w:val="002B0CA5"/>
    <w:rsid w:val="002B0CB0"/>
    <w:rsid w:val="002B0CD6"/>
    <w:rsid w:val="002B0D02"/>
    <w:rsid w:val="002B0D4C"/>
    <w:rsid w:val="002B0D8A"/>
    <w:rsid w:val="002B0E0C"/>
    <w:rsid w:val="002B0E35"/>
    <w:rsid w:val="002B0E4D"/>
    <w:rsid w:val="002B0E65"/>
    <w:rsid w:val="002B0EA4"/>
    <w:rsid w:val="002B0EF5"/>
    <w:rsid w:val="002B0F9C"/>
    <w:rsid w:val="002B0FF7"/>
    <w:rsid w:val="002B1018"/>
    <w:rsid w:val="002B1033"/>
    <w:rsid w:val="002B1083"/>
    <w:rsid w:val="002B10AF"/>
    <w:rsid w:val="002B115B"/>
    <w:rsid w:val="002B1181"/>
    <w:rsid w:val="002B1196"/>
    <w:rsid w:val="002B119E"/>
    <w:rsid w:val="002B11A5"/>
    <w:rsid w:val="002B126F"/>
    <w:rsid w:val="002B12BA"/>
    <w:rsid w:val="002B12FA"/>
    <w:rsid w:val="002B1339"/>
    <w:rsid w:val="002B133F"/>
    <w:rsid w:val="002B1389"/>
    <w:rsid w:val="002B1398"/>
    <w:rsid w:val="002B1438"/>
    <w:rsid w:val="002B14C4"/>
    <w:rsid w:val="002B14F3"/>
    <w:rsid w:val="002B152B"/>
    <w:rsid w:val="002B155F"/>
    <w:rsid w:val="002B157A"/>
    <w:rsid w:val="002B158C"/>
    <w:rsid w:val="002B15AC"/>
    <w:rsid w:val="002B15B2"/>
    <w:rsid w:val="002B15D7"/>
    <w:rsid w:val="002B15DC"/>
    <w:rsid w:val="002B1645"/>
    <w:rsid w:val="002B1784"/>
    <w:rsid w:val="002B17DB"/>
    <w:rsid w:val="002B1811"/>
    <w:rsid w:val="002B18AC"/>
    <w:rsid w:val="002B18B0"/>
    <w:rsid w:val="002B18E7"/>
    <w:rsid w:val="002B1903"/>
    <w:rsid w:val="002B195D"/>
    <w:rsid w:val="002B1974"/>
    <w:rsid w:val="002B197C"/>
    <w:rsid w:val="002B19BA"/>
    <w:rsid w:val="002B19E7"/>
    <w:rsid w:val="002B1A45"/>
    <w:rsid w:val="002B1AF2"/>
    <w:rsid w:val="002B1AFC"/>
    <w:rsid w:val="002B1B54"/>
    <w:rsid w:val="002B1BEA"/>
    <w:rsid w:val="002B1C6B"/>
    <w:rsid w:val="002B1C8D"/>
    <w:rsid w:val="002B1C95"/>
    <w:rsid w:val="002B1CE9"/>
    <w:rsid w:val="002B1D11"/>
    <w:rsid w:val="002B1D3B"/>
    <w:rsid w:val="002B1D44"/>
    <w:rsid w:val="002B1D45"/>
    <w:rsid w:val="002B1D70"/>
    <w:rsid w:val="002B1E10"/>
    <w:rsid w:val="002B1E1A"/>
    <w:rsid w:val="002B1E68"/>
    <w:rsid w:val="002B1EB9"/>
    <w:rsid w:val="002B1ED1"/>
    <w:rsid w:val="002B1EDA"/>
    <w:rsid w:val="002B1EF2"/>
    <w:rsid w:val="002B1F4D"/>
    <w:rsid w:val="002B2012"/>
    <w:rsid w:val="002B203E"/>
    <w:rsid w:val="002B206B"/>
    <w:rsid w:val="002B208E"/>
    <w:rsid w:val="002B209A"/>
    <w:rsid w:val="002B2122"/>
    <w:rsid w:val="002B2126"/>
    <w:rsid w:val="002B219D"/>
    <w:rsid w:val="002B21CE"/>
    <w:rsid w:val="002B21D4"/>
    <w:rsid w:val="002B2227"/>
    <w:rsid w:val="002B226B"/>
    <w:rsid w:val="002B2363"/>
    <w:rsid w:val="002B2395"/>
    <w:rsid w:val="002B23A4"/>
    <w:rsid w:val="002B23B2"/>
    <w:rsid w:val="002B2441"/>
    <w:rsid w:val="002B2481"/>
    <w:rsid w:val="002B24A4"/>
    <w:rsid w:val="002B24BA"/>
    <w:rsid w:val="002B24BE"/>
    <w:rsid w:val="002B24C1"/>
    <w:rsid w:val="002B251C"/>
    <w:rsid w:val="002B2559"/>
    <w:rsid w:val="002B25D8"/>
    <w:rsid w:val="002B25E6"/>
    <w:rsid w:val="002B25F7"/>
    <w:rsid w:val="002B266F"/>
    <w:rsid w:val="002B26CB"/>
    <w:rsid w:val="002B2788"/>
    <w:rsid w:val="002B27EC"/>
    <w:rsid w:val="002B2814"/>
    <w:rsid w:val="002B2832"/>
    <w:rsid w:val="002B28B7"/>
    <w:rsid w:val="002B295B"/>
    <w:rsid w:val="002B29B6"/>
    <w:rsid w:val="002B29E8"/>
    <w:rsid w:val="002B29FC"/>
    <w:rsid w:val="002B2A29"/>
    <w:rsid w:val="002B2A5A"/>
    <w:rsid w:val="002B2B43"/>
    <w:rsid w:val="002B2B82"/>
    <w:rsid w:val="002B2B8A"/>
    <w:rsid w:val="002B2BC0"/>
    <w:rsid w:val="002B2BD0"/>
    <w:rsid w:val="002B2C4B"/>
    <w:rsid w:val="002B2C56"/>
    <w:rsid w:val="002B2C6A"/>
    <w:rsid w:val="002B2CB0"/>
    <w:rsid w:val="002B2CD6"/>
    <w:rsid w:val="002B2CFD"/>
    <w:rsid w:val="002B2D2A"/>
    <w:rsid w:val="002B2D52"/>
    <w:rsid w:val="002B2D81"/>
    <w:rsid w:val="002B2DB7"/>
    <w:rsid w:val="002B2E77"/>
    <w:rsid w:val="002B2F0F"/>
    <w:rsid w:val="002B2F25"/>
    <w:rsid w:val="002B2F6C"/>
    <w:rsid w:val="002B2FC0"/>
    <w:rsid w:val="002B303A"/>
    <w:rsid w:val="002B3062"/>
    <w:rsid w:val="002B30FE"/>
    <w:rsid w:val="002B31B6"/>
    <w:rsid w:val="002B31BD"/>
    <w:rsid w:val="002B321B"/>
    <w:rsid w:val="002B323E"/>
    <w:rsid w:val="002B32B8"/>
    <w:rsid w:val="002B3348"/>
    <w:rsid w:val="002B336F"/>
    <w:rsid w:val="002B3409"/>
    <w:rsid w:val="002B34CF"/>
    <w:rsid w:val="002B3504"/>
    <w:rsid w:val="002B3520"/>
    <w:rsid w:val="002B3580"/>
    <w:rsid w:val="002B359A"/>
    <w:rsid w:val="002B35AA"/>
    <w:rsid w:val="002B35B0"/>
    <w:rsid w:val="002B3603"/>
    <w:rsid w:val="002B36B5"/>
    <w:rsid w:val="002B3727"/>
    <w:rsid w:val="002B373A"/>
    <w:rsid w:val="002B376C"/>
    <w:rsid w:val="002B37D1"/>
    <w:rsid w:val="002B3829"/>
    <w:rsid w:val="002B3833"/>
    <w:rsid w:val="002B3871"/>
    <w:rsid w:val="002B3898"/>
    <w:rsid w:val="002B38D6"/>
    <w:rsid w:val="002B3915"/>
    <w:rsid w:val="002B393E"/>
    <w:rsid w:val="002B39E3"/>
    <w:rsid w:val="002B3A28"/>
    <w:rsid w:val="002B3A65"/>
    <w:rsid w:val="002B3A96"/>
    <w:rsid w:val="002B3A9C"/>
    <w:rsid w:val="002B3AB2"/>
    <w:rsid w:val="002B3AE0"/>
    <w:rsid w:val="002B3B69"/>
    <w:rsid w:val="002B3B71"/>
    <w:rsid w:val="002B3B9C"/>
    <w:rsid w:val="002B3BAE"/>
    <w:rsid w:val="002B3BDB"/>
    <w:rsid w:val="002B3BE1"/>
    <w:rsid w:val="002B3BF9"/>
    <w:rsid w:val="002B3C1F"/>
    <w:rsid w:val="002B3CA8"/>
    <w:rsid w:val="002B3CD7"/>
    <w:rsid w:val="002B3CE1"/>
    <w:rsid w:val="002B3D04"/>
    <w:rsid w:val="002B3DC0"/>
    <w:rsid w:val="002B3DC6"/>
    <w:rsid w:val="002B3E28"/>
    <w:rsid w:val="002B3E30"/>
    <w:rsid w:val="002B3E39"/>
    <w:rsid w:val="002B3E77"/>
    <w:rsid w:val="002B3F44"/>
    <w:rsid w:val="002B3F81"/>
    <w:rsid w:val="002B4015"/>
    <w:rsid w:val="002B4084"/>
    <w:rsid w:val="002B40A0"/>
    <w:rsid w:val="002B40F5"/>
    <w:rsid w:val="002B4120"/>
    <w:rsid w:val="002B4126"/>
    <w:rsid w:val="002B417D"/>
    <w:rsid w:val="002B41B1"/>
    <w:rsid w:val="002B41B8"/>
    <w:rsid w:val="002B41E9"/>
    <w:rsid w:val="002B4216"/>
    <w:rsid w:val="002B4238"/>
    <w:rsid w:val="002B42E5"/>
    <w:rsid w:val="002B4416"/>
    <w:rsid w:val="002B441E"/>
    <w:rsid w:val="002B441F"/>
    <w:rsid w:val="002B4478"/>
    <w:rsid w:val="002B4483"/>
    <w:rsid w:val="002B44A7"/>
    <w:rsid w:val="002B450E"/>
    <w:rsid w:val="002B4666"/>
    <w:rsid w:val="002B4678"/>
    <w:rsid w:val="002B4698"/>
    <w:rsid w:val="002B46DF"/>
    <w:rsid w:val="002B46FC"/>
    <w:rsid w:val="002B4729"/>
    <w:rsid w:val="002B48C3"/>
    <w:rsid w:val="002B4939"/>
    <w:rsid w:val="002B4951"/>
    <w:rsid w:val="002B496C"/>
    <w:rsid w:val="002B4996"/>
    <w:rsid w:val="002B49B8"/>
    <w:rsid w:val="002B4A39"/>
    <w:rsid w:val="002B4A65"/>
    <w:rsid w:val="002B4A81"/>
    <w:rsid w:val="002B4ABB"/>
    <w:rsid w:val="002B4B1F"/>
    <w:rsid w:val="002B4B85"/>
    <w:rsid w:val="002B4B90"/>
    <w:rsid w:val="002B4C54"/>
    <w:rsid w:val="002B4C56"/>
    <w:rsid w:val="002B4C6C"/>
    <w:rsid w:val="002B4CA5"/>
    <w:rsid w:val="002B4CAA"/>
    <w:rsid w:val="002B4CC7"/>
    <w:rsid w:val="002B4D0D"/>
    <w:rsid w:val="002B4D13"/>
    <w:rsid w:val="002B4D4F"/>
    <w:rsid w:val="002B4DF6"/>
    <w:rsid w:val="002B4DFC"/>
    <w:rsid w:val="002B4E1B"/>
    <w:rsid w:val="002B4E6A"/>
    <w:rsid w:val="002B4E9D"/>
    <w:rsid w:val="002B4EE2"/>
    <w:rsid w:val="002B4EE4"/>
    <w:rsid w:val="002B4EF5"/>
    <w:rsid w:val="002B4F3D"/>
    <w:rsid w:val="002B4F5A"/>
    <w:rsid w:val="002B4F71"/>
    <w:rsid w:val="002B4F82"/>
    <w:rsid w:val="002B4F99"/>
    <w:rsid w:val="002B4FC3"/>
    <w:rsid w:val="002B5033"/>
    <w:rsid w:val="002B505A"/>
    <w:rsid w:val="002B5073"/>
    <w:rsid w:val="002B50B2"/>
    <w:rsid w:val="002B50E4"/>
    <w:rsid w:val="002B5133"/>
    <w:rsid w:val="002B5150"/>
    <w:rsid w:val="002B51DF"/>
    <w:rsid w:val="002B51ED"/>
    <w:rsid w:val="002B51F1"/>
    <w:rsid w:val="002B5226"/>
    <w:rsid w:val="002B5276"/>
    <w:rsid w:val="002B528F"/>
    <w:rsid w:val="002B5291"/>
    <w:rsid w:val="002B52B3"/>
    <w:rsid w:val="002B52EB"/>
    <w:rsid w:val="002B531E"/>
    <w:rsid w:val="002B5328"/>
    <w:rsid w:val="002B53CE"/>
    <w:rsid w:val="002B541F"/>
    <w:rsid w:val="002B542D"/>
    <w:rsid w:val="002B542E"/>
    <w:rsid w:val="002B5437"/>
    <w:rsid w:val="002B5531"/>
    <w:rsid w:val="002B5537"/>
    <w:rsid w:val="002B5562"/>
    <w:rsid w:val="002B5577"/>
    <w:rsid w:val="002B5614"/>
    <w:rsid w:val="002B5630"/>
    <w:rsid w:val="002B563D"/>
    <w:rsid w:val="002B5652"/>
    <w:rsid w:val="002B5678"/>
    <w:rsid w:val="002B5698"/>
    <w:rsid w:val="002B569E"/>
    <w:rsid w:val="002B56F9"/>
    <w:rsid w:val="002B573A"/>
    <w:rsid w:val="002B5745"/>
    <w:rsid w:val="002B57EA"/>
    <w:rsid w:val="002B582F"/>
    <w:rsid w:val="002B583C"/>
    <w:rsid w:val="002B58B4"/>
    <w:rsid w:val="002B591A"/>
    <w:rsid w:val="002B5921"/>
    <w:rsid w:val="002B5929"/>
    <w:rsid w:val="002B5993"/>
    <w:rsid w:val="002B59C2"/>
    <w:rsid w:val="002B5A06"/>
    <w:rsid w:val="002B5A1A"/>
    <w:rsid w:val="002B5AB4"/>
    <w:rsid w:val="002B5AB7"/>
    <w:rsid w:val="002B5B31"/>
    <w:rsid w:val="002B5B76"/>
    <w:rsid w:val="002B5B7B"/>
    <w:rsid w:val="002B5B85"/>
    <w:rsid w:val="002B5BE9"/>
    <w:rsid w:val="002B5BFA"/>
    <w:rsid w:val="002B5CE4"/>
    <w:rsid w:val="002B5D16"/>
    <w:rsid w:val="002B5D21"/>
    <w:rsid w:val="002B5D53"/>
    <w:rsid w:val="002B5D82"/>
    <w:rsid w:val="002B5D91"/>
    <w:rsid w:val="002B5DAC"/>
    <w:rsid w:val="002B5DDB"/>
    <w:rsid w:val="002B5E14"/>
    <w:rsid w:val="002B5EFF"/>
    <w:rsid w:val="002B5FB6"/>
    <w:rsid w:val="002B5FCB"/>
    <w:rsid w:val="002B6081"/>
    <w:rsid w:val="002B608D"/>
    <w:rsid w:val="002B60A1"/>
    <w:rsid w:val="002B60CE"/>
    <w:rsid w:val="002B6170"/>
    <w:rsid w:val="002B61CD"/>
    <w:rsid w:val="002B61D4"/>
    <w:rsid w:val="002B61D9"/>
    <w:rsid w:val="002B6291"/>
    <w:rsid w:val="002B62DE"/>
    <w:rsid w:val="002B62E9"/>
    <w:rsid w:val="002B62F4"/>
    <w:rsid w:val="002B6320"/>
    <w:rsid w:val="002B6324"/>
    <w:rsid w:val="002B639C"/>
    <w:rsid w:val="002B63B2"/>
    <w:rsid w:val="002B63C4"/>
    <w:rsid w:val="002B642D"/>
    <w:rsid w:val="002B64B6"/>
    <w:rsid w:val="002B6522"/>
    <w:rsid w:val="002B663A"/>
    <w:rsid w:val="002B669A"/>
    <w:rsid w:val="002B66A3"/>
    <w:rsid w:val="002B66DA"/>
    <w:rsid w:val="002B66ED"/>
    <w:rsid w:val="002B6703"/>
    <w:rsid w:val="002B6780"/>
    <w:rsid w:val="002B678D"/>
    <w:rsid w:val="002B67CE"/>
    <w:rsid w:val="002B6832"/>
    <w:rsid w:val="002B6905"/>
    <w:rsid w:val="002B6913"/>
    <w:rsid w:val="002B69BA"/>
    <w:rsid w:val="002B6A14"/>
    <w:rsid w:val="002B6A33"/>
    <w:rsid w:val="002B6A7F"/>
    <w:rsid w:val="002B6B08"/>
    <w:rsid w:val="002B6B5A"/>
    <w:rsid w:val="002B6B61"/>
    <w:rsid w:val="002B6B82"/>
    <w:rsid w:val="002B6BB4"/>
    <w:rsid w:val="002B6BC2"/>
    <w:rsid w:val="002B6CA6"/>
    <w:rsid w:val="002B6CE7"/>
    <w:rsid w:val="002B6D8D"/>
    <w:rsid w:val="002B6D92"/>
    <w:rsid w:val="002B6DAC"/>
    <w:rsid w:val="002B6E38"/>
    <w:rsid w:val="002B6E9C"/>
    <w:rsid w:val="002B6F19"/>
    <w:rsid w:val="002B6F25"/>
    <w:rsid w:val="002B700A"/>
    <w:rsid w:val="002B7039"/>
    <w:rsid w:val="002B709E"/>
    <w:rsid w:val="002B70E4"/>
    <w:rsid w:val="002B70FE"/>
    <w:rsid w:val="002B712A"/>
    <w:rsid w:val="002B717F"/>
    <w:rsid w:val="002B718A"/>
    <w:rsid w:val="002B71AE"/>
    <w:rsid w:val="002B71E8"/>
    <w:rsid w:val="002B72CD"/>
    <w:rsid w:val="002B7308"/>
    <w:rsid w:val="002B731E"/>
    <w:rsid w:val="002B732F"/>
    <w:rsid w:val="002B7344"/>
    <w:rsid w:val="002B7355"/>
    <w:rsid w:val="002B7362"/>
    <w:rsid w:val="002B7370"/>
    <w:rsid w:val="002B740B"/>
    <w:rsid w:val="002B741A"/>
    <w:rsid w:val="002B7420"/>
    <w:rsid w:val="002B7465"/>
    <w:rsid w:val="002B7557"/>
    <w:rsid w:val="002B756F"/>
    <w:rsid w:val="002B75A4"/>
    <w:rsid w:val="002B75B9"/>
    <w:rsid w:val="002B7617"/>
    <w:rsid w:val="002B768C"/>
    <w:rsid w:val="002B76A9"/>
    <w:rsid w:val="002B76AC"/>
    <w:rsid w:val="002B76ED"/>
    <w:rsid w:val="002B77A8"/>
    <w:rsid w:val="002B785F"/>
    <w:rsid w:val="002B7865"/>
    <w:rsid w:val="002B7951"/>
    <w:rsid w:val="002B79B6"/>
    <w:rsid w:val="002B79C2"/>
    <w:rsid w:val="002B7A52"/>
    <w:rsid w:val="002B7ABF"/>
    <w:rsid w:val="002B7B1F"/>
    <w:rsid w:val="002B7B82"/>
    <w:rsid w:val="002B7B8B"/>
    <w:rsid w:val="002B7B96"/>
    <w:rsid w:val="002B7BBC"/>
    <w:rsid w:val="002B7C17"/>
    <w:rsid w:val="002B7C80"/>
    <w:rsid w:val="002B7C89"/>
    <w:rsid w:val="002B7CE9"/>
    <w:rsid w:val="002B7CFB"/>
    <w:rsid w:val="002B7D01"/>
    <w:rsid w:val="002B7D7D"/>
    <w:rsid w:val="002B7DCE"/>
    <w:rsid w:val="002B7E3A"/>
    <w:rsid w:val="002B7E64"/>
    <w:rsid w:val="002B7EBE"/>
    <w:rsid w:val="002B7EDD"/>
    <w:rsid w:val="002B7F29"/>
    <w:rsid w:val="002B7F2A"/>
    <w:rsid w:val="002B7F2F"/>
    <w:rsid w:val="002B7F6B"/>
    <w:rsid w:val="002B7F74"/>
    <w:rsid w:val="002B7FCC"/>
    <w:rsid w:val="002C0041"/>
    <w:rsid w:val="002C00FA"/>
    <w:rsid w:val="002C0123"/>
    <w:rsid w:val="002C019A"/>
    <w:rsid w:val="002C024A"/>
    <w:rsid w:val="002C0283"/>
    <w:rsid w:val="002C02D3"/>
    <w:rsid w:val="002C0322"/>
    <w:rsid w:val="002C0333"/>
    <w:rsid w:val="002C039D"/>
    <w:rsid w:val="002C03B2"/>
    <w:rsid w:val="002C041E"/>
    <w:rsid w:val="002C0481"/>
    <w:rsid w:val="002C04A4"/>
    <w:rsid w:val="002C04B8"/>
    <w:rsid w:val="002C04CB"/>
    <w:rsid w:val="002C04FF"/>
    <w:rsid w:val="002C055B"/>
    <w:rsid w:val="002C058F"/>
    <w:rsid w:val="002C0599"/>
    <w:rsid w:val="002C0637"/>
    <w:rsid w:val="002C0656"/>
    <w:rsid w:val="002C065E"/>
    <w:rsid w:val="002C068F"/>
    <w:rsid w:val="002C06E0"/>
    <w:rsid w:val="002C06EC"/>
    <w:rsid w:val="002C0751"/>
    <w:rsid w:val="002C0764"/>
    <w:rsid w:val="002C07C3"/>
    <w:rsid w:val="002C07CC"/>
    <w:rsid w:val="002C07DC"/>
    <w:rsid w:val="002C07DE"/>
    <w:rsid w:val="002C080B"/>
    <w:rsid w:val="002C081B"/>
    <w:rsid w:val="002C0836"/>
    <w:rsid w:val="002C0853"/>
    <w:rsid w:val="002C086A"/>
    <w:rsid w:val="002C0871"/>
    <w:rsid w:val="002C089E"/>
    <w:rsid w:val="002C08AA"/>
    <w:rsid w:val="002C0982"/>
    <w:rsid w:val="002C098C"/>
    <w:rsid w:val="002C099F"/>
    <w:rsid w:val="002C09BE"/>
    <w:rsid w:val="002C09D5"/>
    <w:rsid w:val="002C09DB"/>
    <w:rsid w:val="002C0A12"/>
    <w:rsid w:val="002C0A34"/>
    <w:rsid w:val="002C0A36"/>
    <w:rsid w:val="002C0ADA"/>
    <w:rsid w:val="002C0B01"/>
    <w:rsid w:val="002C0B12"/>
    <w:rsid w:val="002C0B71"/>
    <w:rsid w:val="002C0B76"/>
    <w:rsid w:val="002C0BCC"/>
    <w:rsid w:val="002C0C62"/>
    <w:rsid w:val="002C0C89"/>
    <w:rsid w:val="002C0CC6"/>
    <w:rsid w:val="002C0CCF"/>
    <w:rsid w:val="002C0D0F"/>
    <w:rsid w:val="002C0D64"/>
    <w:rsid w:val="002C0D67"/>
    <w:rsid w:val="002C0D7B"/>
    <w:rsid w:val="002C0EB7"/>
    <w:rsid w:val="002C0F4E"/>
    <w:rsid w:val="002C0F53"/>
    <w:rsid w:val="002C0F59"/>
    <w:rsid w:val="002C0FA4"/>
    <w:rsid w:val="002C0FB8"/>
    <w:rsid w:val="002C1040"/>
    <w:rsid w:val="002C10A3"/>
    <w:rsid w:val="002C10BD"/>
    <w:rsid w:val="002C112A"/>
    <w:rsid w:val="002C114C"/>
    <w:rsid w:val="002C1159"/>
    <w:rsid w:val="002C1199"/>
    <w:rsid w:val="002C1240"/>
    <w:rsid w:val="002C1241"/>
    <w:rsid w:val="002C12F9"/>
    <w:rsid w:val="002C13D9"/>
    <w:rsid w:val="002C13E0"/>
    <w:rsid w:val="002C1475"/>
    <w:rsid w:val="002C14B7"/>
    <w:rsid w:val="002C152B"/>
    <w:rsid w:val="002C1573"/>
    <w:rsid w:val="002C1587"/>
    <w:rsid w:val="002C15A2"/>
    <w:rsid w:val="002C15CD"/>
    <w:rsid w:val="002C15E7"/>
    <w:rsid w:val="002C162B"/>
    <w:rsid w:val="002C164D"/>
    <w:rsid w:val="002C1659"/>
    <w:rsid w:val="002C1660"/>
    <w:rsid w:val="002C1664"/>
    <w:rsid w:val="002C1677"/>
    <w:rsid w:val="002C167F"/>
    <w:rsid w:val="002C1691"/>
    <w:rsid w:val="002C1693"/>
    <w:rsid w:val="002C16D5"/>
    <w:rsid w:val="002C16ED"/>
    <w:rsid w:val="002C170A"/>
    <w:rsid w:val="002C1715"/>
    <w:rsid w:val="002C1829"/>
    <w:rsid w:val="002C1869"/>
    <w:rsid w:val="002C189B"/>
    <w:rsid w:val="002C189C"/>
    <w:rsid w:val="002C1905"/>
    <w:rsid w:val="002C1934"/>
    <w:rsid w:val="002C1963"/>
    <w:rsid w:val="002C1983"/>
    <w:rsid w:val="002C19B6"/>
    <w:rsid w:val="002C19BB"/>
    <w:rsid w:val="002C1A5A"/>
    <w:rsid w:val="002C1A82"/>
    <w:rsid w:val="002C1AF8"/>
    <w:rsid w:val="002C1C37"/>
    <w:rsid w:val="002C1CD3"/>
    <w:rsid w:val="002C1D64"/>
    <w:rsid w:val="002C1E24"/>
    <w:rsid w:val="002C1E30"/>
    <w:rsid w:val="002C1E4B"/>
    <w:rsid w:val="002C1E54"/>
    <w:rsid w:val="002C1E6D"/>
    <w:rsid w:val="002C1EE1"/>
    <w:rsid w:val="002C1F10"/>
    <w:rsid w:val="002C1FAF"/>
    <w:rsid w:val="002C1FB3"/>
    <w:rsid w:val="002C1FC1"/>
    <w:rsid w:val="002C1FDC"/>
    <w:rsid w:val="002C1FEA"/>
    <w:rsid w:val="002C1FED"/>
    <w:rsid w:val="002C2044"/>
    <w:rsid w:val="002C204A"/>
    <w:rsid w:val="002C2076"/>
    <w:rsid w:val="002C2092"/>
    <w:rsid w:val="002C20F8"/>
    <w:rsid w:val="002C210A"/>
    <w:rsid w:val="002C2156"/>
    <w:rsid w:val="002C2171"/>
    <w:rsid w:val="002C21C6"/>
    <w:rsid w:val="002C21F0"/>
    <w:rsid w:val="002C2217"/>
    <w:rsid w:val="002C2263"/>
    <w:rsid w:val="002C227C"/>
    <w:rsid w:val="002C229D"/>
    <w:rsid w:val="002C22D2"/>
    <w:rsid w:val="002C22EF"/>
    <w:rsid w:val="002C233D"/>
    <w:rsid w:val="002C239F"/>
    <w:rsid w:val="002C23B4"/>
    <w:rsid w:val="002C23B7"/>
    <w:rsid w:val="002C2402"/>
    <w:rsid w:val="002C240D"/>
    <w:rsid w:val="002C241F"/>
    <w:rsid w:val="002C2422"/>
    <w:rsid w:val="002C246A"/>
    <w:rsid w:val="002C24CE"/>
    <w:rsid w:val="002C2527"/>
    <w:rsid w:val="002C2551"/>
    <w:rsid w:val="002C2585"/>
    <w:rsid w:val="002C25FF"/>
    <w:rsid w:val="002C2620"/>
    <w:rsid w:val="002C26B8"/>
    <w:rsid w:val="002C26C0"/>
    <w:rsid w:val="002C26F5"/>
    <w:rsid w:val="002C274C"/>
    <w:rsid w:val="002C2783"/>
    <w:rsid w:val="002C27D9"/>
    <w:rsid w:val="002C2820"/>
    <w:rsid w:val="002C2877"/>
    <w:rsid w:val="002C28C6"/>
    <w:rsid w:val="002C29CE"/>
    <w:rsid w:val="002C2A49"/>
    <w:rsid w:val="002C2A5B"/>
    <w:rsid w:val="002C2A78"/>
    <w:rsid w:val="002C2A99"/>
    <w:rsid w:val="002C2A9C"/>
    <w:rsid w:val="002C2AE5"/>
    <w:rsid w:val="002C2B1A"/>
    <w:rsid w:val="002C2BB3"/>
    <w:rsid w:val="002C2BDE"/>
    <w:rsid w:val="002C2BF8"/>
    <w:rsid w:val="002C2BFA"/>
    <w:rsid w:val="002C2C0F"/>
    <w:rsid w:val="002C2CDC"/>
    <w:rsid w:val="002C2D00"/>
    <w:rsid w:val="002C2D0A"/>
    <w:rsid w:val="002C2D0B"/>
    <w:rsid w:val="002C2D83"/>
    <w:rsid w:val="002C2D8F"/>
    <w:rsid w:val="002C2DC8"/>
    <w:rsid w:val="002C2DD8"/>
    <w:rsid w:val="002C2E07"/>
    <w:rsid w:val="002C2E0E"/>
    <w:rsid w:val="002C2E1D"/>
    <w:rsid w:val="002C2E38"/>
    <w:rsid w:val="002C2E3B"/>
    <w:rsid w:val="002C2E84"/>
    <w:rsid w:val="002C2FB2"/>
    <w:rsid w:val="002C2FEE"/>
    <w:rsid w:val="002C2FEF"/>
    <w:rsid w:val="002C3012"/>
    <w:rsid w:val="002C3033"/>
    <w:rsid w:val="002C3042"/>
    <w:rsid w:val="002C307C"/>
    <w:rsid w:val="002C312D"/>
    <w:rsid w:val="002C313A"/>
    <w:rsid w:val="002C314A"/>
    <w:rsid w:val="002C31B4"/>
    <w:rsid w:val="002C31DD"/>
    <w:rsid w:val="002C31F9"/>
    <w:rsid w:val="002C31FC"/>
    <w:rsid w:val="002C325F"/>
    <w:rsid w:val="002C32B8"/>
    <w:rsid w:val="002C32C2"/>
    <w:rsid w:val="002C32CC"/>
    <w:rsid w:val="002C32E1"/>
    <w:rsid w:val="002C32E2"/>
    <w:rsid w:val="002C330D"/>
    <w:rsid w:val="002C3325"/>
    <w:rsid w:val="002C3371"/>
    <w:rsid w:val="002C338B"/>
    <w:rsid w:val="002C33B4"/>
    <w:rsid w:val="002C33C3"/>
    <w:rsid w:val="002C33C9"/>
    <w:rsid w:val="002C33FC"/>
    <w:rsid w:val="002C3459"/>
    <w:rsid w:val="002C34A0"/>
    <w:rsid w:val="002C34C3"/>
    <w:rsid w:val="002C34F0"/>
    <w:rsid w:val="002C3502"/>
    <w:rsid w:val="002C3507"/>
    <w:rsid w:val="002C353E"/>
    <w:rsid w:val="002C354C"/>
    <w:rsid w:val="002C3570"/>
    <w:rsid w:val="002C3590"/>
    <w:rsid w:val="002C35C6"/>
    <w:rsid w:val="002C364A"/>
    <w:rsid w:val="002C36A3"/>
    <w:rsid w:val="002C373C"/>
    <w:rsid w:val="002C3758"/>
    <w:rsid w:val="002C380C"/>
    <w:rsid w:val="002C3828"/>
    <w:rsid w:val="002C383F"/>
    <w:rsid w:val="002C38AE"/>
    <w:rsid w:val="002C38FE"/>
    <w:rsid w:val="002C3905"/>
    <w:rsid w:val="002C3921"/>
    <w:rsid w:val="002C3A03"/>
    <w:rsid w:val="002C3A0D"/>
    <w:rsid w:val="002C3A53"/>
    <w:rsid w:val="002C3B1B"/>
    <w:rsid w:val="002C3B50"/>
    <w:rsid w:val="002C3B8D"/>
    <w:rsid w:val="002C3B9C"/>
    <w:rsid w:val="002C3CCC"/>
    <w:rsid w:val="002C3CD6"/>
    <w:rsid w:val="002C3CFD"/>
    <w:rsid w:val="002C3D06"/>
    <w:rsid w:val="002C3D25"/>
    <w:rsid w:val="002C3D5F"/>
    <w:rsid w:val="002C3E41"/>
    <w:rsid w:val="002C3F12"/>
    <w:rsid w:val="002C3F6F"/>
    <w:rsid w:val="002C3F9A"/>
    <w:rsid w:val="002C3FB7"/>
    <w:rsid w:val="002C3FE6"/>
    <w:rsid w:val="002C4009"/>
    <w:rsid w:val="002C4040"/>
    <w:rsid w:val="002C4049"/>
    <w:rsid w:val="002C4078"/>
    <w:rsid w:val="002C408B"/>
    <w:rsid w:val="002C40C1"/>
    <w:rsid w:val="002C40EC"/>
    <w:rsid w:val="002C410E"/>
    <w:rsid w:val="002C4110"/>
    <w:rsid w:val="002C411A"/>
    <w:rsid w:val="002C4256"/>
    <w:rsid w:val="002C42C6"/>
    <w:rsid w:val="002C430A"/>
    <w:rsid w:val="002C4344"/>
    <w:rsid w:val="002C4352"/>
    <w:rsid w:val="002C4370"/>
    <w:rsid w:val="002C446B"/>
    <w:rsid w:val="002C446C"/>
    <w:rsid w:val="002C446D"/>
    <w:rsid w:val="002C4475"/>
    <w:rsid w:val="002C44AA"/>
    <w:rsid w:val="002C4599"/>
    <w:rsid w:val="002C45B9"/>
    <w:rsid w:val="002C45DD"/>
    <w:rsid w:val="002C45E1"/>
    <w:rsid w:val="002C45FA"/>
    <w:rsid w:val="002C4674"/>
    <w:rsid w:val="002C4687"/>
    <w:rsid w:val="002C4692"/>
    <w:rsid w:val="002C46B5"/>
    <w:rsid w:val="002C46F6"/>
    <w:rsid w:val="002C4708"/>
    <w:rsid w:val="002C474A"/>
    <w:rsid w:val="002C475B"/>
    <w:rsid w:val="002C478D"/>
    <w:rsid w:val="002C4840"/>
    <w:rsid w:val="002C48C8"/>
    <w:rsid w:val="002C4AEC"/>
    <w:rsid w:val="002C4B30"/>
    <w:rsid w:val="002C4B31"/>
    <w:rsid w:val="002C4B3C"/>
    <w:rsid w:val="002C4B50"/>
    <w:rsid w:val="002C4B73"/>
    <w:rsid w:val="002C4BDA"/>
    <w:rsid w:val="002C4C04"/>
    <w:rsid w:val="002C4C4A"/>
    <w:rsid w:val="002C4E08"/>
    <w:rsid w:val="002C4E78"/>
    <w:rsid w:val="002C4E93"/>
    <w:rsid w:val="002C4F06"/>
    <w:rsid w:val="002C4FBF"/>
    <w:rsid w:val="002C4FD4"/>
    <w:rsid w:val="002C5019"/>
    <w:rsid w:val="002C501E"/>
    <w:rsid w:val="002C50C2"/>
    <w:rsid w:val="002C51A3"/>
    <w:rsid w:val="002C5200"/>
    <w:rsid w:val="002C5218"/>
    <w:rsid w:val="002C524F"/>
    <w:rsid w:val="002C5252"/>
    <w:rsid w:val="002C5258"/>
    <w:rsid w:val="002C52B2"/>
    <w:rsid w:val="002C538E"/>
    <w:rsid w:val="002C53A2"/>
    <w:rsid w:val="002C53D0"/>
    <w:rsid w:val="002C541C"/>
    <w:rsid w:val="002C54AE"/>
    <w:rsid w:val="002C54C1"/>
    <w:rsid w:val="002C54C9"/>
    <w:rsid w:val="002C54CC"/>
    <w:rsid w:val="002C552E"/>
    <w:rsid w:val="002C554B"/>
    <w:rsid w:val="002C5599"/>
    <w:rsid w:val="002C55A2"/>
    <w:rsid w:val="002C5606"/>
    <w:rsid w:val="002C561D"/>
    <w:rsid w:val="002C5641"/>
    <w:rsid w:val="002C566B"/>
    <w:rsid w:val="002C567B"/>
    <w:rsid w:val="002C568C"/>
    <w:rsid w:val="002C56D7"/>
    <w:rsid w:val="002C5760"/>
    <w:rsid w:val="002C57A8"/>
    <w:rsid w:val="002C5811"/>
    <w:rsid w:val="002C583A"/>
    <w:rsid w:val="002C583C"/>
    <w:rsid w:val="002C586D"/>
    <w:rsid w:val="002C5898"/>
    <w:rsid w:val="002C59A6"/>
    <w:rsid w:val="002C59B1"/>
    <w:rsid w:val="002C59C9"/>
    <w:rsid w:val="002C5A06"/>
    <w:rsid w:val="002C5A3E"/>
    <w:rsid w:val="002C5A4B"/>
    <w:rsid w:val="002C5A55"/>
    <w:rsid w:val="002C5A84"/>
    <w:rsid w:val="002C5AA5"/>
    <w:rsid w:val="002C5AC1"/>
    <w:rsid w:val="002C5B28"/>
    <w:rsid w:val="002C5BBA"/>
    <w:rsid w:val="002C5C03"/>
    <w:rsid w:val="002C5CB1"/>
    <w:rsid w:val="002C5D24"/>
    <w:rsid w:val="002C5D33"/>
    <w:rsid w:val="002C5D49"/>
    <w:rsid w:val="002C5D5C"/>
    <w:rsid w:val="002C5D7C"/>
    <w:rsid w:val="002C5E89"/>
    <w:rsid w:val="002C5F13"/>
    <w:rsid w:val="002C5F44"/>
    <w:rsid w:val="002C5F4E"/>
    <w:rsid w:val="002C5F5D"/>
    <w:rsid w:val="002C5F7A"/>
    <w:rsid w:val="002C5FED"/>
    <w:rsid w:val="002C6018"/>
    <w:rsid w:val="002C6044"/>
    <w:rsid w:val="002C606F"/>
    <w:rsid w:val="002C6142"/>
    <w:rsid w:val="002C62B6"/>
    <w:rsid w:val="002C63E9"/>
    <w:rsid w:val="002C6430"/>
    <w:rsid w:val="002C644F"/>
    <w:rsid w:val="002C649F"/>
    <w:rsid w:val="002C6521"/>
    <w:rsid w:val="002C65EC"/>
    <w:rsid w:val="002C666B"/>
    <w:rsid w:val="002C66A7"/>
    <w:rsid w:val="002C6789"/>
    <w:rsid w:val="002C67ED"/>
    <w:rsid w:val="002C6803"/>
    <w:rsid w:val="002C6824"/>
    <w:rsid w:val="002C68A9"/>
    <w:rsid w:val="002C68E2"/>
    <w:rsid w:val="002C68FD"/>
    <w:rsid w:val="002C6920"/>
    <w:rsid w:val="002C6931"/>
    <w:rsid w:val="002C6945"/>
    <w:rsid w:val="002C699B"/>
    <w:rsid w:val="002C6A3A"/>
    <w:rsid w:val="002C6ABA"/>
    <w:rsid w:val="002C6AC1"/>
    <w:rsid w:val="002C6AD6"/>
    <w:rsid w:val="002C6B3C"/>
    <w:rsid w:val="002C6B74"/>
    <w:rsid w:val="002C6B78"/>
    <w:rsid w:val="002C6BB2"/>
    <w:rsid w:val="002C6BCC"/>
    <w:rsid w:val="002C6C14"/>
    <w:rsid w:val="002C6C3D"/>
    <w:rsid w:val="002C6C53"/>
    <w:rsid w:val="002C6C68"/>
    <w:rsid w:val="002C6C7B"/>
    <w:rsid w:val="002C6CC7"/>
    <w:rsid w:val="002C6CF0"/>
    <w:rsid w:val="002C6D26"/>
    <w:rsid w:val="002C6D81"/>
    <w:rsid w:val="002C6D94"/>
    <w:rsid w:val="002C6E50"/>
    <w:rsid w:val="002C6E55"/>
    <w:rsid w:val="002C6E7F"/>
    <w:rsid w:val="002C6EB9"/>
    <w:rsid w:val="002C6F09"/>
    <w:rsid w:val="002C6F91"/>
    <w:rsid w:val="002C6FA3"/>
    <w:rsid w:val="002C6FB4"/>
    <w:rsid w:val="002C700E"/>
    <w:rsid w:val="002C708D"/>
    <w:rsid w:val="002C7118"/>
    <w:rsid w:val="002C7134"/>
    <w:rsid w:val="002C717F"/>
    <w:rsid w:val="002C71BA"/>
    <w:rsid w:val="002C7272"/>
    <w:rsid w:val="002C72AE"/>
    <w:rsid w:val="002C72B1"/>
    <w:rsid w:val="002C732B"/>
    <w:rsid w:val="002C7333"/>
    <w:rsid w:val="002C7342"/>
    <w:rsid w:val="002C735B"/>
    <w:rsid w:val="002C735C"/>
    <w:rsid w:val="002C7379"/>
    <w:rsid w:val="002C73BA"/>
    <w:rsid w:val="002C7404"/>
    <w:rsid w:val="002C7442"/>
    <w:rsid w:val="002C74C7"/>
    <w:rsid w:val="002C751E"/>
    <w:rsid w:val="002C7527"/>
    <w:rsid w:val="002C757D"/>
    <w:rsid w:val="002C7585"/>
    <w:rsid w:val="002C75B6"/>
    <w:rsid w:val="002C75C4"/>
    <w:rsid w:val="002C75DB"/>
    <w:rsid w:val="002C7614"/>
    <w:rsid w:val="002C764E"/>
    <w:rsid w:val="002C766E"/>
    <w:rsid w:val="002C76C7"/>
    <w:rsid w:val="002C781E"/>
    <w:rsid w:val="002C7830"/>
    <w:rsid w:val="002C7876"/>
    <w:rsid w:val="002C78F5"/>
    <w:rsid w:val="002C7975"/>
    <w:rsid w:val="002C797C"/>
    <w:rsid w:val="002C79CE"/>
    <w:rsid w:val="002C7A33"/>
    <w:rsid w:val="002C7A5C"/>
    <w:rsid w:val="002C7AF7"/>
    <w:rsid w:val="002C7B02"/>
    <w:rsid w:val="002C7B9B"/>
    <w:rsid w:val="002C7C03"/>
    <w:rsid w:val="002C7C0D"/>
    <w:rsid w:val="002C7C38"/>
    <w:rsid w:val="002C7C66"/>
    <w:rsid w:val="002C7E26"/>
    <w:rsid w:val="002C7E47"/>
    <w:rsid w:val="002C7E89"/>
    <w:rsid w:val="002C7E99"/>
    <w:rsid w:val="002C7EA0"/>
    <w:rsid w:val="002C7EAD"/>
    <w:rsid w:val="002C7F65"/>
    <w:rsid w:val="002C7F6F"/>
    <w:rsid w:val="002C7F80"/>
    <w:rsid w:val="002C7FA9"/>
    <w:rsid w:val="002C7FD2"/>
    <w:rsid w:val="002D0025"/>
    <w:rsid w:val="002D002A"/>
    <w:rsid w:val="002D0034"/>
    <w:rsid w:val="002D00EF"/>
    <w:rsid w:val="002D0150"/>
    <w:rsid w:val="002D018E"/>
    <w:rsid w:val="002D01D0"/>
    <w:rsid w:val="002D01FA"/>
    <w:rsid w:val="002D01FB"/>
    <w:rsid w:val="002D0221"/>
    <w:rsid w:val="002D0224"/>
    <w:rsid w:val="002D02A2"/>
    <w:rsid w:val="002D036F"/>
    <w:rsid w:val="002D0573"/>
    <w:rsid w:val="002D062E"/>
    <w:rsid w:val="002D0647"/>
    <w:rsid w:val="002D06C6"/>
    <w:rsid w:val="002D06D4"/>
    <w:rsid w:val="002D06ED"/>
    <w:rsid w:val="002D074D"/>
    <w:rsid w:val="002D0776"/>
    <w:rsid w:val="002D07E6"/>
    <w:rsid w:val="002D07F7"/>
    <w:rsid w:val="002D0865"/>
    <w:rsid w:val="002D0970"/>
    <w:rsid w:val="002D09AD"/>
    <w:rsid w:val="002D09CD"/>
    <w:rsid w:val="002D0A0A"/>
    <w:rsid w:val="002D0A0B"/>
    <w:rsid w:val="002D0A67"/>
    <w:rsid w:val="002D0AE0"/>
    <w:rsid w:val="002D0B0A"/>
    <w:rsid w:val="002D0B73"/>
    <w:rsid w:val="002D0BAB"/>
    <w:rsid w:val="002D0C17"/>
    <w:rsid w:val="002D0C7A"/>
    <w:rsid w:val="002D0C8E"/>
    <w:rsid w:val="002D0CB8"/>
    <w:rsid w:val="002D0D18"/>
    <w:rsid w:val="002D0D2E"/>
    <w:rsid w:val="002D0D33"/>
    <w:rsid w:val="002D0DC2"/>
    <w:rsid w:val="002D0DDB"/>
    <w:rsid w:val="002D0DDF"/>
    <w:rsid w:val="002D0E36"/>
    <w:rsid w:val="002D0E68"/>
    <w:rsid w:val="002D0EC4"/>
    <w:rsid w:val="002D0F06"/>
    <w:rsid w:val="002D0F0E"/>
    <w:rsid w:val="002D0F31"/>
    <w:rsid w:val="002D0F41"/>
    <w:rsid w:val="002D0F6A"/>
    <w:rsid w:val="002D0F93"/>
    <w:rsid w:val="002D1080"/>
    <w:rsid w:val="002D10C9"/>
    <w:rsid w:val="002D10E3"/>
    <w:rsid w:val="002D1123"/>
    <w:rsid w:val="002D1141"/>
    <w:rsid w:val="002D1155"/>
    <w:rsid w:val="002D12B8"/>
    <w:rsid w:val="002D12E3"/>
    <w:rsid w:val="002D1301"/>
    <w:rsid w:val="002D134D"/>
    <w:rsid w:val="002D1358"/>
    <w:rsid w:val="002D1366"/>
    <w:rsid w:val="002D137A"/>
    <w:rsid w:val="002D1380"/>
    <w:rsid w:val="002D1393"/>
    <w:rsid w:val="002D13B5"/>
    <w:rsid w:val="002D1400"/>
    <w:rsid w:val="002D1445"/>
    <w:rsid w:val="002D147A"/>
    <w:rsid w:val="002D14A8"/>
    <w:rsid w:val="002D14F1"/>
    <w:rsid w:val="002D1584"/>
    <w:rsid w:val="002D15D1"/>
    <w:rsid w:val="002D1614"/>
    <w:rsid w:val="002D1628"/>
    <w:rsid w:val="002D16A3"/>
    <w:rsid w:val="002D16A8"/>
    <w:rsid w:val="002D16A9"/>
    <w:rsid w:val="002D16F3"/>
    <w:rsid w:val="002D1727"/>
    <w:rsid w:val="002D172A"/>
    <w:rsid w:val="002D1755"/>
    <w:rsid w:val="002D17D9"/>
    <w:rsid w:val="002D18BA"/>
    <w:rsid w:val="002D1911"/>
    <w:rsid w:val="002D1919"/>
    <w:rsid w:val="002D19AB"/>
    <w:rsid w:val="002D1A86"/>
    <w:rsid w:val="002D1AAF"/>
    <w:rsid w:val="002D1B0B"/>
    <w:rsid w:val="002D1B42"/>
    <w:rsid w:val="002D1B4F"/>
    <w:rsid w:val="002D1C34"/>
    <w:rsid w:val="002D1CAD"/>
    <w:rsid w:val="002D1CB4"/>
    <w:rsid w:val="002D1CBE"/>
    <w:rsid w:val="002D1CF4"/>
    <w:rsid w:val="002D1DD7"/>
    <w:rsid w:val="002D1E3B"/>
    <w:rsid w:val="002D1E94"/>
    <w:rsid w:val="002D1E96"/>
    <w:rsid w:val="002D1EBB"/>
    <w:rsid w:val="002D1F54"/>
    <w:rsid w:val="002D1FB2"/>
    <w:rsid w:val="002D1FD4"/>
    <w:rsid w:val="002D2017"/>
    <w:rsid w:val="002D2062"/>
    <w:rsid w:val="002D2097"/>
    <w:rsid w:val="002D2175"/>
    <w:rsid w:val="002D219F"/>
    <w:rsid w:val="002D21C2"/>
    <w:rsid w:val="002D21FF"/>
    <w:rsid w:val="002D2205"/>
    <w:rsid w:val="002D221C"/>
    <w:rsid w:val="002D229D"/>
    <w:rsid w:val="002D22C7"/>
    <w:rsid w:val="002D2349"/>
    <w:rsid w:val="002D2355"/>
    <w:rsid w:val="002D23BB"/>
    <w:rsid w:val="002D2498"/>
    <w:rsid w:val="002D24BC"/>
    <w:rsid w:val="002D2558"/>
    <w:rsid w:val="002D2585"/>
    <w:rsid w:val="002D25BB"/>
    <w:rsid w:val="002D25D1"/>
    <w:rsid w:val="002D25EE"/>
    <w:rsid w:val="002D2659"/>
    <w:rsid w:val="002D26FF"/>
    <w:rsid w:val="002D2719"/>
    <w:rsid w:val="002D2780"/>
    <w:rsid w:val="002D27DF"/>
    <w:rsid w:val="002D27F9"/>
    <w:rsid w:val="002D2838"/>
    <w:rsid w:val="002D2850"/>
    <w:rsid w:val="002D28B0"/>
    <w:rsid w:val="002D2930"/>
    <w:rsid w:val="002D2935"/>
    <w:rsid w:val="002D2961"/>
    <w:rsid w:val="002D2985"/>
    <w:rsid w:val="002D29A9"/>
    <w:rsid w:val="002D29C3"/>
    <w:rsid w:val="002D2A4B"/>
    <w:rsid w:val="002D2A9E"/>
    <w:rsid w:val="002D2AB3"/>
    <w:rsid w:val="002D2B3E"/>
    <w:rsid w:val="002D2B95"/>
    <w:rsid w:val="002D2C14"/>
    <w:rsid w:val="002D2C1D"/>
    <w:rsid w:val="002D2C24"/>
    <w:rsid w:val="002D2CAB"/>
    <w:rsid w:val="002D2D1F"/>
    <w:rsid w:val="002D2D61"/>
    <w:rsid w:val="002D2D6A"/>
    <w:rsid w:val="002D2D76"/>
    <w:rsid w:val="002D2DA4"/>
    <w:rsid w:val="002D2DC1"/>
    <w:rsid w:val="002D2DD5"/>
    <w:rsid w:val="002D2E12"/>
    <w:rsid w:val="002D2E63"/>
    <w:rsid w:val="002D2E8D"/>
    <w:rsid w:val="002D2F14"/>
    <w:rsid w:val="002D2F6B"/>
    <w:rsid w:val="002D2F72"/>
    <w:rsid w:val="002D2F8D"/>
    <w:rsid w:val="002D2FE4"/>
    <w:rsid w:val="002D3002"/>
    <w:rsid w:val="002D3040"/>
    <w:rsid w:val="002D3066"/>
    <w:rsid w:val="002D3074"/>
    <w:rsid w:val="002D308B"/>
    <w:rsid w:val="002D308E"/>
    <w:rsid w:val="002D30E4"/>
    <w:rsid w:val="002D31DA"/>
    <w:rsid w:val="002D32F1"/>
    <w:rsid w:val="002D3303"/>
    <w:rsid w:val="002D3315"/>
    <w:rsid w:val="002D3355"/>
    <w:rsid w:val="002D3397"/>
    <w:rsid w:val="002D33A3"/>
    <w:rsid w:val="002D33B2"/>
    <w:rsid w:val="002D3438"/>
    <w:rsid w:val="002D34B5"/>
    <w:rsid w:val="002D34C3"/>
    <w:rsid w:val="002D3510"/>
    <w:rsid w:val="002D3527"/>
    <w:rsid w:val="002D3568"/>
    <w:rsid w:val="002D357D"/>
    <w:rsid w:val="002D35C1"/>
    <w:rsid w:val="002D35D0"/>
    <w:rsid w:val="002D362E"/>
    <w:rsid w:val="002D365F"/>
    <w:rsid w:val="002D366F"/>
    <w:rsid w:val="002D36EF"/>
    <w:rsid w:val="002D374A"/>
    <w:rsid w:val="002D374D"/>
    <w:rsid w:val="002D3760"/>
    <w:rsid w:val="002D3825"/>
    <w:rsid w:val="002D3836"/>
    <w:rsid w:val="002D386C"/>
    <w:rsid w:val="002D3875"/>
    <w:rsid w:val="002D388E"/>
    <w:rsid w:val="002D3920"/>
    <w:rsid w:val="002D3940"/>
    <w:rsid w:val="002D39D5"/>
    <w:rsid w:val="002D39F8"/>
    <w:rsid w:val="002D3A22"/>
    <w:rsid w:val="002D3A2E"/>
    <w:rsid w:val="002D3A50"/>
    <w:rsid w:val="002D3AA7"/>
    <w:rsid w:val="002D3B05"/>
    <w:rsid w:val="002D3B1E"/>
    <w:rsid w:val="002D3B22"/>
    <w:rsid w:val="002D3B3A"/>
    <w:rsid w:val="002D3B4C"/>
    <w:rsid w:val="002D3B7C"/>
    <w:rsid w:val="002D3B97"/>
    <w:rsid w:val="002D3BA0"/>
    <w:rsid w:val="002D3BEC"/>
    <w:rsid w:val="002D3C45"/>
    <w:rsid w:val="002D3D3A"/>
    <w:rsid w:val="002D3D7B"/>
    <w:rsid w:val="002D3D94"/>
    <w:rsid w:val="002D3DD7"/>
    <w:rsid w:val="002D3DDD"/>
    <w:rsid w:val="002D3E00"/>
    <w:rsid w:val="002D3E27"/>
    <w:rsid w:val="002D3E61"/>
    <w:rsid w:val="002D3E63"/>
    <w:rsid w:val="002D3E7F"/>
    <w:rsid w:val="002D3EA4"/>
    <w:rsid w:val="002D3EB3"/>
    <w:rsid w:val="002D3EF2"/>
    <w:rsid w:val="002D3EFA"/>
    <w:rsid w:val="002D3F7A"/>
    <w:rsid w:val="002D3F97"/>
    <w:rsid w:val="002D3FFA"/>
    <w:rsid w:val="002D4029"/>
    <w:rsid w:val="002D40BB"/>
    <w:rsid w:val="002D40FB"/>
    <w:rsid w:val="002D4131"/>
    <w:rsid w:val="002D4153"/>
    <w:rsid w:val="002D41E5"/>
    <w:rsid w:val="002D4204"/>
    <w:rsid w:val="002D423C"/>
    <w:rsid w:val="002D42B4"/>
    <w:rsid w:val="002D42C5"/>
    <w:rsid w:val="002D42F1"/>
    <w:rsid w:val="002D4347"/>
    <w:rsid w:val="002D4367"/>
    <w:rsid w:val="002D43AA"/>
    <w:rsid w:val="002D4439"/>
    <w:rsid w:val="002D4448"/>
    <w:rsid w:val="002D444E"/>
    <w:rsid w:val="002D4474"/>
    <w:rsid w:val="002D452A"/>
    <w:rsid w:val="002D4561"/>
    <w:rsid w:val="002D45A1"/>
    <w:rsid w:val="002D45B6"/>
    <w:rsid w:val="002D4649"/>
    <w:rsid w:val="002D4661"/>
    <w:rsid w:val="002D46C6"/>
    <w:rsid w:val="002D46F3"/>
    <w:rsid w:val="002D46FA"/>
    <w:rsid w:val="002D471C"/>
    <w:rsid w:val="002D477B"/>
    <w:rsid w:val="002D4798"/>
    <w:rsid w:val="002D47AA"/>
    <w:rsid w:val="002D47CE"/>
    <w:rsid w:val="002D481B"/>
    <w:rsid w:val="002D4881"/>
    <w:rsid w:val="002D48BA"/>
    <w:rsid w:val="002D4903"/>
    <w:rsid w:val="002D494A"/>
    <w:rsid w:val="002D497D"/>
    <w:rsid w:val="002D49B8"/>
    <w:rsid w:val="002D4A44"/>
    <w:rsid w:val="002D4AA4"/>
    <w:rsid w:val="002D4AC2"/>
    <w:rsid w:val="002D4AF2"/>
    <w:rsid w:val="002D4B27"/>
    <w:rsid w:val="002D4B2D"/>
    <w:rsid w:val="002D4B2E"/>
    <w:rsid w:val="002D4B32"/>
    <w:rsid w:val="002D4B7B"/>
    <w:rsid w:val="002D4B89"/>
    <w:rsid w:val="002D4BF5"/>
    <w:rsid w:val="002D4C4C"/>
    <w:rsid w:val="002D4C5D"/>
    <w:rsid w:val="002D4CAB"/>
    <w:rsid w:val="002D4CDF"/>
    <w:rsid w:val="002D4D4D"/>
    <w:rsid w:val="002D4D57"/>
    <w:rsid w:val="002D4D72"/>
    <w:rsid w:val="002D4DA2"/>
    <w:rsid w:val="002D4E1A"/>
    <w:rsid w:val="002D4E2F"/>
    <w:rsid w:val="002D4E96"/>
    <w:rsid w:val="002D4EDC"/>
    <w:rsid w:val="002D4EF3"/>
    <w:rsid w:val="002D4F07"/>
    <w:rsid w:val="002D4F24"/>
    <w:rsid w:val="002D4F38"/>
    <w:rsid w:val="002D4F56"/>
    <w:rsid w:val="002D505F"/>
    <w:rsid w:val="002D506A"/>
    <w:rsid w:val="002D506B"/>
    <w:rsid w:val="002D5080"/>
    <w:rsid w:val="002D5089"/>
    <w:rsid w:val="002D50B0"/>
    <w:rsid w:val="002D50F1"/>
    <w:rsid w:val="002D51A8"/>
    <w:rsid w:val="002D51AB"/>
    <w:rsid w:val="002D51FC"/>
    <w:rsid w:val="002D5275"/>
    <w:rsid w:val="002D52A8"/>
    <w:rsid w:val="002D52DC"/>
    <w:rsid w:val="002D5328"/>
    <w:rsid w:val="002D533C"/>
    <w:rsid w:val="002D5383"/>
    <w:rsid w:val="002D538A"/>
    <w:rsid w:val="002D53D2"/>
    <w:rsid w:val="002D5413"/>
    <w:rsid w:val="002D5440"/>
    <w:rsid w:val="002D54C2"/>
    <w:rsid w:val="002D54E0"/>
    <w:rsid w:val="002D54F2"/>
    <w:rsid w:val="002D5520"/>
    <w:rsid w:val="002D5536"/>
    <w:rsid w:val="002D55A0"/>
    <w:rsid w:val="002D55AA"/>
    <w:rsid w:val="002D55AC"/>
    <w:rsid w:val="002D55C3"/>
    <w:rsid w:val="002D55E6"/>
    <w:rsid w:val="002D5645"/>
    <w:rsid w:val="002D566E"/>
    <w:rsid w:val="002D56D6"/>
    <w:rsid w:val="002D579D"/>
    <w:rsid w:val="002D581F"/>
    <w:rsid w:val="002D5924"/>
    <w:rsid w:val="002D5978"/>
    <w:rsid w:val="002D598B"/>
    <w:rsid w:val="002D59A8"/>
    <w:rsid w:val="002D59B9"/>
    <w:rsid w:val="002D5A02"/>
    <w:rsid w:val="002D5AE9"/>
    <w:rsid w:val="002D5AEA"/>
    <w:rsid w:val="002D5B17"/>
    <w:rsid w:val="002D5B5B"/>
    <w:rsid w:val="002D5B86"/>
    <w:rsid w:val="002D5B96"/>
    <w:rsid w:val="002D5C18"/>
    <w:rsid w:val="002D5C94"/>
    <w:rsid w:val="002D5CE1"/>
    <w:rsid w:val="002D5D73"/>
    <w:rsid w:val="002D5D84"/>
    <w:rsid w:val="002D5D97"/>
    <w:rsid w:val="002D5DA5"/>
    <w:rsid w:val="002D5E81"/>
    <w:rsid w:val="002D5EEB"/>
    <w:rsid w:val="002D5F5D"/>
    <w:rsid w:val="002D5F63"/>
    <w:rsid w:val="002D5F85"/>
    <w:rsid w:val="002D5F95"/>
    <w:rsid w:val="002D5FD5"/>
    <w:rsid w:val="002D6015"/>
    <w:rsid w:val="002D6024"/>
    <w:rsid w:val="002D6040"/>
    <w:rsid w:val="002D609B"/>
    <w:rsid w:val="002D60C1"/>
    <w:rsid w:val="002D60C9"/>
    <w:rsid w:val="002D6145"/>
    <w:rsid w:val="002D6183"/>
    <w:rsid w:val="002D623A"/>
    <w:rsid w:val="002D6242"/>
    <w:rsid w:val="002D62E7"/>
    <w:rsid w:val="002D6346"/>
    <w:rsid w:val="002D6347"/>
    <w:rsid w:val="002D636E"/>
    <w:rsid w:val="002D63F0"/>
    <w:rsid w:val="002D6405"/>
    <w:rsid w:val="002D641D"/>
    <w:rsid w:val="002D6429"/>
    <w:rsid w:val="002D6461"/>
    <w:rsid w:val="002D6587"/>
    <w:rsid w:val="002D664C"/>
    <w:rsid w:val="002D665B"/>
    <w:rsid w:val="002D66A1"/>
    <w:rsid w:val="002D66AB"/>
    <w:rsid w:val="002D66B3"/>
    <w:rsid w:val="002D66D2"/>
    <w:rsid w:val="002D6756"/>
    <w:rsid w:val="002D6765"/>
    <w:rsid w:val="002D67C1"/>
    <w:rsid w:val="002D67F8"/>
    <w:rsid w:val="002D6863"/>
    <w:rsid w:val="002D68A2"/>
    <w:rsid w:val="002D68D0"/>
    <w:rsid w:val="002D68DC"/>
    <w:rsid w:val="002D68E9"/>
    <w:rsid w:val="002D68F6"/>
    <w:rsid w:val="002D6932"/>
    <w:rsid w:val="002D6974"/>
    <w:rsid w:val="002D6984"/>
    <w:rsid w:val="002D6A8C"/>
    <w:rsid w:val="002D6AEF"/>
    <w:rsid w:val="002D6BD3"/>
    <w:rsid w:val="002D6C0B"/>
    <w:rsid w:val="002D6C24"/>
    <w:rsid w:val="002D6CBD"/>
    <w:rsid w:val="002D6CEA"/>
    <w:rsid w:val="002D6CEB"/>
    <w:rsid w:val="002D6D25"/>
    <w:rsid w:val="002D6D31"/>
    <w:rsid w:val="002D6DC8"/>
    <w:rsid w:val="002D6E21"/>
    <w:rsid w:val="002D6E3E"/>
    <w:rsid w:val="002D6E6C"/>
    <w:rsid w:val="002D6E72"/>
    <w:rsid w:val="002D6E90"/>
    <w:rsid w:val="002D6F1A"/>
    <w:rsid w:val="002D6F20"/>
    <w:rsid w:val="002D6FD3"/>
    <w:rsid w:val="002D6FE0"/>
    <w:rsid w:val="002D701F"/>
    <w:rsid w:val="002D7036"/>
    <w:rsid w:val="002D7041"/>
    <w:rsid w:val="002D7053"/>
    <w:rsid w:val="002D7090"/>
    <w:rsid w:val="002D7092"/>
    <w:rsid w:val="002D70C9"/>
    <w:rsid w:val="002D7134"/>
    <w:rsid w:val="002D7205"/>
    <w:rsid w:val="002D7256"/>
    <w:rsid w:val="002D72EB"/>
    <w:rsid w:val="002D7323"/>
    <w:rsid w:val="002D7349"/>
    <w:rsid w:val="002D7388"/>
    <w:rsid w:val="002D73A2"/>
    <w:rsid w:val="002D751E"/>
    <w:rsid w:val="002D753D"/>
    <w:rsid w:val="002D754C"/>
    <w:rsid w:val="002D75B7"/>
    <w:rsid w:val="002D761A"/>
    <w:rsid w:val="002D7643"/>
    <w:rsid w:val="002D765D"/>
    <w:rsid w:val="002D7698"/>
    <w:rsid w:val="002D76DE"/>
    <w:rsid w:val="002D76EC"/>
    <w:rsid w:val="002D7709"/>
    <w:rsid w:val="002D773A"/>
    <w:rsid w:val="002D779C"/>
    <w:rsid w:val="002D7824"/>
    <w:rsid w:val="002D78FB"/>
    <w:rsid w:val="002D7909"/>
    <w:rsid w:val="002D7943"/>
    <w:rsid w:val="002D79BD"/>
    <w:rsid w:val="002D79C9"/>
    <w:rsid w:val="002D7A2A"/>
    <w:rsid w:val="002D7B90"/>
    <w:rsid w:val="002D7C03"/>
    <w:rsid w:val="002D7C71"/>
    <w:rsid w:val="002D7D47"/>
    <w:rsid w:val="002D7E51"/>
    <w:rsid w:val="002D7E67"/>
    <w:rsid w:val="002D7E7D"/>
    <w:rsid w:val="002D7EBC"/>
    <w:rsid w:val="002D7EEE"/>
    <w:rsid w:val="002E0038"/>
    <w:rsid w:val="002E0070"/>
    <w:rsid w:val="002E00E7"/>
    <w:rsid w:val="002E00E8"/>
    <w:rsid w:val="002E0152"/>
    <w:rsid w:val="002E0160"/>
    <w:rsid w:val="002E01A2"/>
    <w:rsid w:val="002E01AA"/>
    <w:rsid w:val="002E0213"/>
    <w:rsid w:val="002E0221"/>
    <w:rsid w:val="002E0223"/>
    <w:rsid w:val="002E023A"/>
    <w:rsid w:val="002E023B"/>
    <w:rsid w:val="002E02D3"/>
    <w:rsid w:val="002E030F"/>
    <w:rsid w:val="002E0395"/>
    <w:rsid w:val="002E0408"/>
    <w:rsid w:val="002E0434"/>
    <w:rsid w:val="002E044F"/>
    <w:rsid w:val="002E046E"/>
    <w:rsid w:val="002E0506"/>
    <w:rsid w:val="002E062B"/>
    <w:rsid w:val="002E064E"/>
    <w:rsid w:val="002E0697"/>
    <w:rsid w:val="002E06BD"/>
    <w:rsid w:val="002E06F2"/>
    <w:rsid w:val="002E06F7"/>
    <w:rsid w:val="002E0707"/>
    <w:rsid w:val="002E075C"/>
    <w:rsid w:val="002E0776"/>
    <w:rsid w:val="002E0781"/>
    <w:rsid w:val="002E0794"/>
    <w:rsid w:val="002E07AD"/>
    <w:rsid w:val="002E07C7"/>
    <w:rsid w:val="002E0845"/>
    <w:rsid w:val="002E0873"/>
    <w:rsid w:val="002E0886"/>
    <w:rsid w:val="002E0942"/>
    <w:rsid w:val="002E095F"/>
    <w:rsid w:val="002E097C"/>
    <w:rsid w:val="002E0980"/>
    <w:rsid w:val="002E0983"/>
    <w:rsid w:val="002E09D8"/>
    <w:rsid w:val="002E0A20"/>
    <w:rsid w:val="002E0A23"/>
    <w:rsid w:val="002E0AD3"/>
    <w:rsid w:val="002E0AD4"/>
    <w:rsid w:val="002E0AD8"/>
    <w:rsid w:val="002E0AE0"/>
    <w:rsid w:val="002E0B7E"/>
    <w:rsid w:val="002E0C38"/>
    <w:rsid w:val="002E0C7D"/>
    <w:rsid w:val="002E0CB9"/>
    <w:rsid w:val="002E0D18"/>
    <w:rsid w:val="002E0D1C"/>
    <w:rsid w:val="002E0D54"/>
    <w:rsid w:val="002E0D61"/>
    <w:rsid w:val="002E0D76"/>
    <w:rsid w:val="002E0E08"/>
    <w:rsid w:val="002E0E7D"/>
    <w:rsid w:val="002E0EFF"/>
    <w:rsid w:val="002E0F9A"/>
    <w:rsid w:val="002E0FA6"/>
    <w:rsid w:val="002E0FCC"/>
    <w:rsid w:val="002E0FD3"/>
    <w:rsid w:val="002E0FDA"/>
    <w:rsid w:val="002E1037"/>
    <w:rsid w:val="002E1071"/>
    <w:rsid w:val="002E1087"/>
    <w:rsid w:val="002E1177"/>
    <w:rsid w:val="002E117F"/>
    <w:rsid w:val="002E11BA"/>
    <w:rsid w:val="002E11DF"/>
    <w:rsid w:val="002E1229"/>
    <w:rsid w:val="002E1234"/>
    <w:rsid w:val="002E1238"/>
    <w:rsid w:val="002E1243"/>
    <w:rsid w:val="002E12B3"/>
    <w:rsid w:val="002E12D8"/>
    <w:rsid w:val="002E12ED"/>
    <w:rsid w:val="002E12F7"/>
    <w:rsid w:val="002E132B"/>
    <w:rsid w:val="002E1365"/>
    <w:rsid w:val="002E13F3"/>
    <w:rsid w:val="002E145A"/>
    <w:rsid w:val="002E14A9"/>
    <w:rsid w:val="002E14CC"/>
    <w:rsid w:val="002E14F3"/>
    <w:rsid w:val="002E1504"/>
    <w:rsid w:val="002E153E"/>
    <w:rsid w:val="002E1545"/>
    <w:rsid w:val="002E1590"/>
    <w:rsid w:val="002E15C1"/>
    <w:rsid w:val="002E15D6"/>
    <w:rsid w:val="002E15EB"/>
    <w:rsid w:val="002E1601"/>
    <w:rsid w:val="002E164F"/>
    <w:rsid w:val="002E1736"/>
    <w:rsid w:val="002E174E"/>
    <w:rsid w:val="002E1777"/>
    <w:rsid w:val="002E181A"/>
    <w:rsid w:val="002E1845"/>
    <w:rsid w:val="002E1865"/>
    <w:rsid w:val="002E1981"/>
    <w:rsid w:val="002E19C9"/>
    <w:rsid w:val="002E19F8"/>
    <w:rsid w:val="002E1A8C"/>
    <w:rsid w:val="002E1AAE"/>
    <w:rsid w:val="002E1AC9"/>
    <w:rsid w:val="002E1BAD"/>
    <w:rsid w:val="002E1BBD"/>
    <w:rsid w:val="002E1C07"/>
    <w:rsid w:val="002E1C0D"/>
    <w:rsid w:val="002E1C22"/>
    <w:rsid w:val="002E1C46"/>
    <w:rsid w:val="002E1C59"/>
    <w:rsid w:val="002E1CD1"/>
    <w:rsid w:val="002E1CE1"/>
    <w:rsid w:val="002E1CE7"/>
    <w:rsid w:val="002E1CF5"/>
    <w:rsid w:val="002E1D09"/>
    <w:rsid w:val="002E1D35"/>
    <w:rsid w:val="002E1D79"/>
    <w:rsid w:val="002E1DC6"/>
    <w:rsid w:val="002E1DD4"/>
    <w:rsid w:val="002E1E35"/>
    <w:rsid w:val="002E1E48"/>
    <w:rsid w:val="002E1E66"/>
    <w:rsid w:val="002E1E7F"/>
    <w:rsid w:val="002E1F41"/>
    <w:rsid w:val="002E1F7A"/>
    <w:rsid w:val="002E1FB6"/>
    <w:rsid w:val="002E2003"/>
    <w:rsid w:val="002E2017"/>
    <w:rsid w:val="002E2025"/>
    <w:rsid w:val="002E2029"/>
    <w:rsid w:val="002E2083"/>
    <w:rsid w:val="002E20D7"/>
    <w:rsid w:val="002E20DD"/>
    <w:rsid w:val="002E20E0"/>
    <w:rsid w:val="002E20FD"/>
    <w:rsid w:val="002E210E"/>
    <w:rsid w:val="002E216A"/>
    <w:rsid w:val="002E217B"/>
    <w:rsid w:val="002E21C9"/>
    <w:rsid w:val="002E21EA"/>
    <w:rsid w:val="002E2231"/>
    <w:rsid w:val="002E2274"/>
    <w:rsid w:val="002E2294"/>
    <w:rsid w:val="002E22F2"/>
    <w:rsid w:val="002E2304"/>
    <w:rsid w:val="002E2396"/>
    <w:rsid w:val="002E23A1"/>
    <w:rsid w:val="002E23C1"/>
    <w:rsid w:val="002E23E4"/>
    <w:rsid w:val="002E241E"/>
    <w:rsid w:val="002E246D"/>
    <w:rsid w:val="002E2499"/>
    <w:rsid w:val="002E255B"/>
    <w:rsid w:val="002E255D"/>
    <w:rsid w:val="002E2623"/>
    <w:rsid w:val="002E2651"/>
    <w:rsid w:val="002E26B5"/>
    <w:rsid w:val="002E26DB"/>
    <w:rsid w:val="002E2728"/>
    <w:rsid w:val="002E2784"/>
    <w:rsid w:val="002E27CB"/>
    <w:rsid w:val="002E2850"/>
    <w:rsid w:val="002E29D2"/>
    <w:rsid w:val="002E2A84"/>
    <w:rsid w:val="002E2AD4"/>
    <w:rsid w:val="002E2B0F"/>
    <w:rsid w:val="002E2B37"/>
    <w:rsid w:val="002E2B4B"/>
    <w:rsid w:val="002E2B56"/>
    <w:rsid w:val="002E2B65"/>
    <w:rsid w:val="002E2B9C"/>
    <w:rsid w:val="002E2BEE"/>
    <w:rsid w:val="002E2C5D"/>
    <w:rsid w:val="002E2C66"/>
    <w:rsid w:val="002E2C72"/>
    <w:rsid w:val="002E2CB5"/>
    <w:rsid w:val="002E2D25"/>
    <w:rsid w:val="002E2D3C"/>
    <w:rsid w:val="002E2D53"/>
    <w:rsid w:val="002E2D54"/>
    <w:rsid w:val="002E2D75"/>
    <w:rsid w:val="002E2D82"/>
    <w:rsid w:val="002E2DA4"/>
    <w:rsid w:val="002E2EEC"/>
    <w:rsid w:val="002E2F07"/>
    <w:rsid w:val="002E2F79"/>
    <w:rsid w:val="002E2FBF"/>
    <w:rsid w:val="002E2FFE"/>
    <w:rsid w:val="002E3055"/>
    <w:rsid w:val="002E3097"/>
    <w:rsid w:val="002E3099"/>
    <w:rsid w:val="002E30AA"/>
    <w:rsid w:val="002E30B4"/>
    <w:rsid w:val="002E30EA"/>
    <w:rsid w:val="002E3168"/>
    <w:rsid w:val="002E3174"/>
    <w:rsid w:val="002E317B"/>
    <w:rsid w:val="002E31AB"/>
    <w:rsid w:val="002E31D8"/>
    <w:rsid w:val="002E31ED"/>
    <w:rsid w:val="002E3221"/>
    <w:rsid w:val="002E3223"/>
    <w:rsid w:val="002E324C"/>
    <w:rsid w:val="002E325D"/>
    <w:rsid w:val="002E3291"/>
    <w:rsid w:val="002E3309"/>
    <w:rsid w:val="002E336C"/>
    <w:rsid w:val="002E33BE"/>
    <w:rsid w:val="002E33DC"/>
    <w:rsid w:val="002E33F0"/>
    <w:rsid w:val="002E354C"/>
    <w:rsid w:val="002E35EF"/>
    <w:rsid w:val="002E364E"/>
    <w:rsid w:val="002E3692"/>
    <w:rsid w:val="002E3715"/>
    <w:rsid w:val="002E3726"/>
    <w:rsid w:val="002E3734"/>
    <w:rsid w:val="002E379C"/>
    <w:rsid w:val="002E3856"/>
    <w:rsid w:val="002E388E"/>
    <w:rsid w:val="002E3910"/>
    <w:rsid w:val="002E3935"/>
    <w:rsid w:val="002E39A7"/>
    <w:rsid w:val="002E3A38"/>
    <w:rsid w:val="002E3AB8"/>
    <w:rsid w:val="002E3AE2"/>
    <w:rsid w:val="002E3B6A"/>
    <w:rsid w:val="002E3BA6"/>
    <w:rsid w:val="002E3BE2"/>
    <w:rsid w:val="002E3BF3"/>
    <w:rsid w:val="002E3C50"/>
    <w:rsid w:val="002E3D16"/>
    <w:rsid w:val="002E3D4C"/>
    <w:rsid w:val="002E3D83"/>
    <w:rsid w:val="002E3E4D"/>
    <w:rsid w:val="002E3E51"/>
    <w:rsid w:val="002E3EB4"/>
    <w:rsid w:val="002E3F0E"/>
    <w:rsid w:val="002E3FAD"/>
    <w:rsid w:val="002E3FE8"/>
    <w:rsid w:val="002E4030"/>
    <w:rsid w:val="002E407C"/>
    <w:rsid w:val="002E40A5"/>
    <w:rsid w:val="002E40E0"/>
    <w:rsid w:val="002E4121"/>
    <w:rsid w:val="002E4126"/>
    <w:rsid w:val="002E4151"/>
    <w:rsid w:val="002E4158"/>
    <w:rsid w:val="002E416E"/>
    <w:rsid w:val="002E4246"/>
    <w:rsid w:val="002E4289"/>
    <w:rsid w:val="002E42CA"/>
    <w:rsid w:val="002E42D1"/>
    <w:rsid w:val="002E42DD"/>
    <w:rsid w:val="002E42E2"/>
    <w:rsid w:val="002E4357"/>
    <w:rsid w:val="002E4360"/>
    <w:rsid w:val="002E43A4"/>
    <w:rsid w:val="002E43C6"/>
    <w:rsid w:val="002E43E9"/>
    <w:rsid w:val="002E442F"/>
    <w:rsid w:val="002E44B4"/>
    <w:rsid w:val="002E44C4"/>
    <w:rsid w:val="002E454C"/>
    <w:rsid w:val="002E456C"/>
    <w:rsid w:val="002E456D"/>
    <w:rsid w:val="002E45BC"/>
    <w:rsid w:val="002E45D6"/>
    <w:rsid w:val="002E4620"/>
    <w:rsid w:val="002E463F"/>
    <w:rsid w:val="002E4681"/>
    <w:rsid w:val="002E46B2"/>
    <w:rsid w:val="002E4747"/>
    <w:rsid w:val="002E47AE"/>
    <w:rsid w:val="002E47BE"/>
    <w:rsid w:val="002E4818"/>
    <w:rsid w:val="002E4839"/>
    <w:rsid w:val="002E489B"/>
    <w:rsid w:val="002E4974"/>
    <w:rsid w:val="002E4976"/>
    <w:rsid w:val="002E497D"/>
    <w:rsid w:val="002E49A5"/>
    <w:rsid w:val="002E4A34"/>
    <w:rsid w:val="002E4A63"/>
    <w:rsid w:val="002E4A9E"/>
    <w:rsid w:val="002E4ADD"/>
    <w:rsid w:val="002E4BF4"/>
    <w:rsid w:val="002E4C1B"/>
    <w:rsid w:val="002E4CA2"/>
    <w:rsid w:val="002E4CCD"/>
    <w:rsid w:val="002E4D29"/>
    <w:rsid w:val="002E4D34"/>
    <w:rsid w:val="002E4D39"/>
    <w:rsid w:val="002E4D3B"/>
    <w:rsid w:val="002E4DCA"/>
    <w:rsid w:val="002E4DCD"/>
    <w:rsid w:val="002E4DE7"/>
    <w:rsid w:val="002E4E4F"/>
    <w:rsid w:val="002E4E58"/>
    <w:rsid w:val="002E4E5A"/>
    <w:rsid w:val="002E4F40"/>
    <w:rsid w:val="002E4F4A"/>
    <w:rsid w:val="002E4F5B"/>
    <w:rsid w:val="002E4F60"/>
    <w:rsid w:val="002E4F8D"/>
    <w:rsid w:val="002E4F8F"/>
    <w:rsid w:val="002E500B"/>
    <w:rsid w:val="002E502C"/>
    <w:rsid w:val="002E5033"/>
    <w:rsid w:val="002E507C"/>
    <w:rsid w:val="002E50B6"/>
    <w:rsid w:val="002E50FD"/>
    <w:rsid w:val="002E5115"/>
    <w:rsid w:val="002E5148"/>
    <w:rsid w:val="002E51C3"/>
    <w:rsid w:val="002E51C7"/>
    <w:rsid w:val="002E51DF"/>
    <w:rsid w:val="002E5300"/>
    <w:rsid w:val="002E530B"/>
    <w:rsid w:val="002E5352"/>
    <w:rsid w:val="002E53DB"/>
    <w:rsid w:val="002E546B"/>
    <w:rsid w:val="002E549B"/>
    <w:rsid w:val="002E5532"/>
    <w:rsid w:val="002E556E"/>
    <w:rsid w:val="002E55C3"/>
    <w:rsid w:val="002E55DB"/>
    <w:rsid w:val="002E55E2"/>
    <w:rsid w:val="002E5665"/>
    <w:rsid w:val="002E567A"/>
    <w:rsid w:val="002E568A"/>
    <w:rsid w:val="002E56B0"/>
    <w:rsid w:val="002E56BA"/>
    <w:rsid w:val="002E56D7"/>
    <w:rsid w:val="002E56E3"/>
    <w:rsid w:val="002E572D"/>
    <w:rsid w:val="002E574D"/>
    <w:rsid w:val="002E576E"/>
    <w:rsid w:val="002E5770"/>
    <w:rsid w:val="002E57BF"/>
    <w:rsid w:val="002E58AB"/>
    <w:rsid w:val="002E58C4"/>
    <w:rsid w:val="002E58E9"/>
    <w:rsid w:val="002E5909"/>
    <w:rsid w:val="002E5915"/>
    <w:rsid w:val="002E5983"/>
    <w:rsid w:val="002E59D0"/>
    <w:rsid w:val="002E59F4"/>
    <w:rsid w:val="002E59F8"/>
    <w:rsid w:val="002E5A01"/>
    <w:rsid w:val="002E5A2F"/>
    <w:rsid w:val="002E5A73"/>
    <w:rsid w:val="002E5B54"/>
    <w:rsid w:val="002E5BAD"/>
    <w:rsid w:val="002E5BBE"/>
    <w:rsid w:val="002E5BEF"/>
    <w:rsid w:val="002E5C1F"/>
    <w:rsid w:val="002E5C5B"/>
    <w:rsid w:val="002E5CAF"/>
    <w:rsid w:val="002E5D32"/>
    <w:rsid w:val="002E5D49"/>
    <w:rsid w:val="002E5D9D"/>
    <w:rsid w:val="002E5DCE"/>
    <w:rsid w:val="002E5E21"/>
    <w:rsid w:val="002E5F09"/>
    <w:rsid w:val="002E5F23"/>
    <w:rsid w:val="002E5F49"/>
    <w:rsid w:val="002E5FF0"/>
    <w:rsid w:val="002E6036"/>
    <w:rsid w:val="002E6056"/>
    <w:rsid w:val="002E6072"/>
    <w:rsid w:val="002E607E"/>
    <w:rsid w:val="002E60E6"/>
    <w:rsid w:val="002E610F"/>
    <w:rsid w:val="002E612F"/>
    <w:rsid w:val="002E6141"/>
    <w:rsid w:val="002E6146"/>
    <w:rsid w:val="002E6184"/>
    <w:rsid w:val="002E6198"/>
    <w:rsid w:val="002E61C0"/>
    <w:rsid w:val="002E61E7"/>
    <w:rsid w:val="002E61FC"/>
    <w:rsid w:val="002E61FE"/>
    <w:rsid w:val="002E6230"/>
    <w:rsid w:val="002E6258"/>
    <w:rsid w:val="002E62C7"/>
    <w:rsid w:val="002E6341"/>
    <w:rsid w:val="002E6395"/>
    <w:rsid w:val="002E63E7"/>
    <w:rsid w:val="002E63FE"/>
    <w:rsid w:val="002E6484"/>
    <w:rsid w:val="002E64B5"/>
    <w:rsid w:val="002E654F"/>
    <w:rsid w:val="002E6639"/>
    <w:rsid w:val="002E66A5"/>
    <w:rsid w:val="002E66E5"/>
    <w:rsid w:val="002E6705"/>
    <w:rsid w:val="002E679C"/>
    <w:rsid w:val="002E680B"/>
    <w:rsid w:val="002E68BB"/>
    <w:rsid w:val="002E68C0"/>
    <w:rsid w:val="002E697F"/>
    <w:rsid w:val="002E698D"/>
    <w:rsid w:val="002E699E"/>
    <w:rsid w:val="002E69BE"/>
    <w:rsid w:val="002E69C2"/>
    <w:rsid w:val="002E6A0E"/>
    <w:rsid w:val="002E6A21"/>
    <w:rsid w:val="002E6A31"/>
    <w:rsid w:val="002E6A68"/>
    <w:rsid w:val="002E6B79"/>
    <w:rsid w:val="002E6B9D"/>
    <w:rsid w:val="002E6BA9"/>
    <w:rsid w:val="002E6BEF"/>
    <w:rsid w:val="002E6C05"/>
    <w:rsid w:val="002E6C1C"/>
    <w:rsid w:val="002E6CFD"/>
    <w:rsid w:val="002E6D23"/>
    <w:rsid w:val="002E6D37"/>
    <w:rsid w:val="002E6D8D"/>
    <w:rsid w:val="002E6DCE"/>
    <w:rsid w:val="002E6DE7"/>
    <w:rsid w:val="002E6DF8"/>
    <w:rsid w:val="002E6E46"/>
    <w:rsid w:val="002E6E7E"/>
    <w:rsid w:val="002E6F30"/>
    <w:rsid w:val="002E6F57"/>
    <w:rsid w:val="002E6F94"/>
    <w:rsid w:val="002E6FA5"/>
    <w:rsid w:val="002E6FC6"/>
    <w:rsid w:val="002E7074"/>
    <w:rsid w:val="002E70A2"/>
    <w:rsid w:val="002E7143"/>
    <w:rsid w:val="002E71F9"/>
    <w:rsid w:val="002E726B"/>
    <w:rsid w:val="002E729A"/>
    <w:rsid w:val="002E72B1"/>
    <w:rsid w:val="002E733F"/>
    <w:rsid w:val="002E734D"/>
    <w:rsid w:val="002E7351"/>
    <w:rsid w:val="002E737E"/>
    <w:rsid w:val="002E73C3"/>
    <w:rsid w:val="002E73D4"/>
    <w:rsid w:val="002E740E"/>
    <w:rsid w:val="002E741A"/>
    <w:rsid w:val="002E741C"/>
    <w:rsid w:val="002E7428"/>
    <w:rsid w:val="002E7477"/>
    <w:rsid w:val="002E7490"/>
    <w:rsid w:val="002E7498"/>
    <w:rsid w:val="002E754D"/>
    <w:rsid w:val="002E755E"/>
    <w:rsid w:val="002E75D1"/>
    <w:rsid w:val="002E763E"/>
    <w:rsid w:val="002E769B"/>
    <w:rsid w:val="002E76FA"/>
    <w:rsid w:val="002E76FD"/>
    <w:rsid w:val="002E77D1"/>
    <w:rsid w:val="002E77FA"/>
    <w:rsid w:val="002E7859"/>
    <w:rsid w:val="002E7891"/>
    <w:rsid w:val="002E78AA"/>
    <w:rsid w:val="002E7913"/>
    <w:rsid w:val="002E795B"/>
    <w:rsid w:val="002E7992"/>
    <w:rsid w:val="002E7A85"/>
    <w:rsid w:val="002E7B33"/>
    <w:rsid w:val="002E7B7A"/>
    <w:rsid w:val="002E7C59"/>
    <w:rsid w:val="002E7CD7"/>
    <w:rsid w:val="002E7CE2"/>
    <w:rsid w:val="002E7D40"/>
    <w:rsid w:val="002E7DC1"/>
    <w:rsid w:val="002E7E0C"/>
    <w:rsid w:val="002E7E43"/>
    <w:rsid w:val="002E7E80"/>
    <w:rsid w:val="002E7EB3"/>
    <w:rsid w:val="002E7EBD"/>
    <w:rsid w:val="002E7EEA"/>
    <w:rsid w:val="002E7F0D"/>
    <w:rsid w:val="002E7FBF"/>
    <w:rsid w:val="002F0036"/>
    <w:rsid w:val="002F0055"/>
    <w:rsid w:val="002F005F"/>
    <w:rsid w:val="002F0060"/>
    <w:rsid w:val="002F007C"/>
    <w:rsid w:val="002F00B5"/>
    <w:rsid w:val="002F017C"/>
    <w:rsid w:val="002F01CE"/>
    <w:rsid w:val="002F0252"/>
    <w:rsid w:val="002F02F0"/>
    <w:rsid w:val="002F0321"/>
    <w:rsid w:val="002F03C0"/>
    <w:rsid w:val="002F03F2"/>
    <w:rsid w:val="002F040E"/>
    <w:rsid w:val="002F0465"/>
    <w:rsid w:val="002F048B"/>
    <w:rsid w:val="002F04D0"/>
    <w:rsid w:val="002F04D2"/>
    <w:rsid w:val="002F04DB"/>
    <w:rsid w:val="002F0558"/>
    <w:rsid w:val="002F056F"/>
    <w:rsid w:val="002F05B3"/>
    <w:rsid w:val="002F05E8"/>
    <w:rsid w:val="002F0621"/>
    <w:rsid w:val="002F0664"/>
    <w:rsid w:val="002F069A"/>
    <w:rsid w:val="002F070E"/>
    <w:rsid w:val="002F0755"/>
    <w:rsid w:val="002F075D"/>
    <w:rsid w:val="002F0777"/>
    <w:rsid w:val="002F079F"/>
    <w:rsid w:val="002F07B9"/>
    <w:rsid w:val="002F07CA"/>
    <w:rsid w:val="002F07EF"/>
    <w:rsid w:val="002F0802"/>
    <w:rsid w:val="002F0826"/>
    <w:rsid w:val="002F0859"/>
    <w:rsid w:val="002F08BA"/>
    <w:rsid w:val="002F08C0"/>
    <w:rsid w:val="002F08CE"/>
    <w:rsid w:val="002F0922"/>
    <w:rsid w:val="002F0928"/>
    <w:rsid w:val="002F094C"/>
    <w:rsid w:val="002F09F2"/>
    <w:rsid w:val="002F0A0F"/>
    <w:rsid w:val="002F0A4C"/>
    <w:rsid w:val="002F0A51"/>
    <w:rsid w:val="002F0B0B"/>
    <w:rsid w:val="002F0B16"/>
    <w:rsid w:val="002F0B25"/>
    <w:rsid w:val="002F0B9C"/>
    <w:rsid w:val="002F0BB1"/>
    <w:rsid w:val="002F0BF1"/>
    <w:rsid w:val="002F0C14"/>
    <w:rsid w:val="002F0C2D"/>
    <w:rsid w:val="002F0C70"/>
    <w:rsid w:val="002F0CB4"/>
    <w:rsid w:val="002F0CDA"/>
    <w:rsid w:val="002F0CF0"/>
    <w:rsid w:val="002F0D08"/>
    <w:rsid w:val="002F0D36"/>
    <w:rsid w:val="002F0D4F"/>
    <w:rsid w:val="002F0DB1"/>
    <w:rsid w:val="002F0DF5"/>
    <w:rsid w:val="002F0E30"/>
    <w:rsid w:val="002F0E78"/>
    <w:rsid w:val="002F0E7C"/>
    <w:rsid w:val="002F0EDA"/>
    <w:rsid w:val="002F0EE1"/>
    <w:rsid w:val="002F0F56"/>
    <w:rsid w:val="002F0F7A"/>
    <w:rsid w:val="002F0F80"/>
    <w:rsid w:val="002F0FF2"/>
    <w:rsid w:val="002F0FFE"/>
    <w:rsid w:val="002F10D5"/>
    <w:rsid w:val="002F10DF"/>
    <w:rsid w:val="002F1111"/>
    <w:rsid w:val="002F1197"/>
    <w:rsid w:val="002F11BC"/>
    <w:rsid w:val="002F12D6"/>
    <w:rsid w:val="002F1390"/>
    <w:rsid w:val="002F1428"/>
    <w:rsid w:val="002F1458"/>
    <w:rsid w:val="002F14E2"/>
    <w:rsid w:val="002F151B"/>
    <w:rsid w:val="002F1541"/>
    <w:rsid w:val="002F1587"/>
    <w:rsid w:val="002F15AA"/>
    <w:rsid w:val="002F15B0"/>
    <w:rsid w:val="002F15F5"/>
    <w:rsid w:val="002F1607"/>
    <w:rsid w:val="002F1677"/>
    <w:rsid w:val="002F16DD"/>
    <w:rsid w:val="002F1720"/>
    <w:rsid w:val="002F176D"/>
    <w:rsid w:val="002F17A9"/>
    <w:rsid w:val="002F17DC"/>
    <w:rsid w:val="002F1800"/>
    <w:rsid w:val="002F1867"/>
    <w:rsid w:val="002F1895"/>
    <w:rsid w:val="002F18B8"/>
    <w:rsid w:val="002F18E0"/>
    <w:rsid w:val="002F18EE"/>
    <w:rsid w:val="002F192C"/>
    <w:rsid w:val="002F1960"/>
    <w:rsid w:val="002F19F9"/>
    <w:rsid w:val="002F1A08"/>
    <w:rsid w:val="002F1B4C"/>
    <w:rsid w:val="002F1B8C"/>
    <w:rsid w:val="002F1BD2"/>
    <w:rsid w:val="002F1C2C"/>
    <w:rsid w:val="002F1C54"/>
    <w:rsid w:val="002F1D2F"/>
    <w:rsid w:val="002F1D9B"/>
    <w:rsid w:val="002F1DB9"/>
    <w:rsid w:val="002F1DC6"/>
    <w:rsid w:val="002F1DCE"/>
    <w:rsid w:val="002F1DE6"/>
    <w:rsid w:val="002F1DF7"/>
    <w:rsid w:val="002F1E84"/>
    <w:rsid w:val="002F1F08"/>
    <w:rsid w:val="002F1F0B"/>
    <w:rsid w:val="002F1F56"/>
    <w:rsid w:val="002F1F69"/>
    <w:rsid w:val="002F1FB7"/>
    <w:rsid w:val="002F1FD8"/>
    <w:rsid w:val="002F1FE8"/>
    <w:rsid w:val="002F200D"/>
    <w:rsid w:val="002F203C"/>
    <w:rsid w:val="002F2084"/>
    <w:rsid w:val="002F2182"/>
    <w:rsid w:val="002F21B8"/>
    <w:rsid w:val="002F21DA"/>
    <w:rsid w:val="002F21E3"/>
    <w:rsid w:val="002F21E8"/>
    <w:rsid w:val="002F2235"/>
    <w:rsid w:val="002F2291"/>
    <w:rsid w:val="002F22D2"/>
    <w:rsid w:val="002F231C"/>
    <w:rsid w:val="002F232D"/>
    <w:rsid w:val="002F2346"/>
    <w:rsid w:val="002F234B"/>
    <w:rsid w:val="002F2356"/>
    <w:rsid w:val="002F2364"/>
    <w:rsid w:val="002F23C1"/>
    <w:rsid w:val="002F23E5"/>
    <w:rsid w:val="002F23F8"/>
    <w:rsid w:val="002F2469"/>
    <w:rsid w:val="002F249A"/>
    <w:rsid w:val="002F24BA"/>
    <w:rsid w:val="002F25B2"/>
    <w:rsid w:val="002F25D3"/>
    <w:rsid w:val="002F261C"/>
    <w:rsid w:val="002F2627"/>
    <w:rsid w:val="002F2671"/>
    <w:rsid w:val="002F2694"/>
    <w:rsid w:val="002F26D9"/>
    <w:rsid w:val="002F2751"/>
    <w:rsid w:val="002F2796"/>
    <w:rsid w:val="002F27CC"/>
    <w:rsid w:val="002F27DF"/>
    <w:rsid w:val="002F28C5"/>
    <w:rsid w:val="002F2912"/>
    <w:rsid w:val="002F292E"/>
    <w:rsid w:val="002F2964"/>
    <w:rsid w:val="002F2973"/>
    <w:rsid w:val="002F2993"/>
    <w:rsid w:val="002F29F3"/>
    <w:rsid w:val="002F2ABE"/>
    <w:rsid w:val="002F2AC6"/>
    <w:rsid w:val="002F2B31"/>
    <w:rsid w:val="002F2BC9"/>
    <w:rsid w:val="002F2C1E"/>
    <w:rsid w:val="002F2C2B"/>
    <w:rsid w:val="002F2C8C"/>
    <w:rsid w:val="002F2D16"/>
    <w:rsid w:val="002F2D54"/>
    <w:rsid w:val="002F2DE7"/>
    <w:rsid w:val="002F2DF9"/>
    <w:rsid w:val="002F2E17"/>
    <w:rsid w:val="002F2E49"/>
    <w:rsid w:val="002F2EBD"/>
    <w:rsid w:val="002F2EC7"/>
    <w:rsid w:val="002F2EE3"/>
    <w:rsid w:val="002F2F1B"/>
    <w:rsid w:val="002F2F31"/>
    <w:rsid w:val="002F2F47"/>
    <w:rsid w:val="002F2FAE"/>
    <w:rsid w:val="002F2FB3"/>
    <w:rsid w:val="002F2FCB"/>
    <w:rsid w:val="002F2FD7"/>
    <w:rsid w:val="002F300F"/>
    <w:rsid w:val="002F302A"/>
    <w:rsid w:val="002F3062"/>
    <w:rsid w:val="002F30CF"/>
    <w:rsid w:val="002F30FD"/>
    <w:rsid w:val="002F315E"/>
    <w:rsid w:val="002F316A"/>
    <w:rsid w:val="002F31B7"/>
    <w:rsid w:val="002F3229"/>
    <w:rsid w:val="002F3250"/>
    <w:rsid w:val="002F326E"/>
    <w:rsid w:val="002F3290"/>
    <w:rsid w:val="002F329F"/>
    <w:rsid w:val="002F32AE"/>
    <w:rsid w:val="002F32B7"/>
    <w:rsid w:val="002F32E5"/>
    <w:rsid w:val="002F33C3"/>
    <w:rsid w:val="002F33EE"/>
    <w:rsid w:val="002F3437"/>
    <w:rsid w:val="002F346D"/>
    <w:rsid w:val="002F347B"/>
    <w:rsid w:val="002F3480"/>
    <w:rsid w:val="002F34CF"/>
    <w:rsid w:val="002F34E2"/>
    <w:rsid w:val="002F351A"/>
    <w:rsid w:val="002F3564"/>
    <w:rsid w:val="002F356C"/>
    <w:rsid w:val="002F35AF"/>
    <w:rsid w:val="002F3616"/>
    <w:rsid w:val="002F3743"/>
    <w:rsid w:val="002F383B"/>
    <w:rsid w:val="002F3851"/>
    <w:rsid w:val="002F386D"/>
    <w:rsid w:val="002F38AD"/>
    <w:rsid w:val="002F38E0"/>
    <w:rsid w:val="002F39AC"/>
    <w:rsid w:val="002F39D9"/>
    <w:rsid w:val="002F39E3"/>
    <w:rsid w:val="002F3A5C"/>
    <w:rsid w:val="002F3A7B"/>
    <w:rsid w:val="002F3A9B"/>
    <w:rsid w:val="002F3A9D"/>
    <w:rsid w:val="002F3AB2"/>
    <w:rsid w:val="002F3AE3"/>
    <w:rsid w:val="002F3B3C"/>
    <w:rsid w:val="002F3B48"/>
    <w:rsid w:val="002F3B88"/>
    <w:rsid w:val="002F3C0B"/>
    <w:rsid w:val="002F3C4B"/>
    <w:rsid w:val="002F3C73"/>
    <w:rsid w:val="002F3D67"/>
    <w:rsid w:val="002F3DEB"/>
    <w:rsid w:val="002F3E87"/>
    <w:rsid w:val="002F3EF8"/>
    <w:rsid w:val="002F3F2A"/>
    <w:rsid w:val="002F3F48"/>
    <w:rsid w:val="002F3F6B"/>
    <w:rsid w:val="002F3FA1"/>
    <w:rsid w:val="002F3FB4"/>
    <w:rsid w:val="002F3FC3"/>
    <w:rsid w:val="002F4008"/>
    <w:rsid w:val="002F4014"/>
    <w:rsid w:val="002F4034"/>
    <w:rsid w:val="002F403E"/>
    <w:rsid w:val="002F409E"/>
    <w:rsid w:val="002F40A3"/>
    <w:rsid w:val="002F40FE"/>
    <w:rsid w:val="002F4143"/>
    <w:rsid w:val="002F41B5"/>
    <w:rsid w:val="002F41BE"/>
    <w:rsid w:val="002F42A0"/>
    <w:rsid w:val="002F42DC"/>
    <w:rsid w:val="002F431B"/>
    <w:rsid w:val="002F4337"/>
    <w:rsid w:val="002F4341"/>
    <w:rsid w:val="002F43BC"/>
    <w:rsid w:val="002F442F"/>
    <w:rsid w:val="002F4476"/>
    <w:rsid w:val="002F447F"/>
    <w:rsid w:val="002F44DC"/>
    <w:rsid w:val="002F452B"/>
    <w:rsid w:val="002F45F3"/>
    <w:rsid w:val="002F4640"/>
    <w:rsid w:val="002F4681"/>
    <w:rsid w:val="002F46E4"/>
    <w:rsid w:val="002F4722"/>
    <w:rsid w:val="002F479F"/>
    <w:rsid w:val="002F4866"/>
    <w:rsid w:val="002F4876"/>
    <w:rsid w:val="002F48CE"/>
    <w:rsid w:val="002F48F4"/>
    <w:rsid w:val="002F4924"/>
    <w:rsid w:val="002F49CE"/>
    <w:rsid w:val="002F49F5"/>
    <w:rsid w:val="002F4A14"/>
    <w:rsid w:val="002F4A60"/>
    <w:rsid w:val="002F4A63"/>
    <w:rsid w:val="002F4AF2"/>
    <w:rsid w:val="002F4B29"/>
    <w:rsid w:val="002F4B41"/>
    <w:rsid w:val="002F4B90"/>
    <w:rsid w:val="002F4BFB"/>
    <w:rsid w:val="002F4BFF"/>
    <w:rsid w:val="002F4C0D"/>
    <w:rsid w:val="002F4C44"/>
    <w:rsid w:val="002F4CB6"/>
    <w:rsid w:val="002F4CC7"/>
    <w:rsid w:val="002F4CD8"/>
    <w:rsid w:val="002F4D54"/>
    <w:rsid w:val="002F4D5D"/>
    <w:rsid w:val="002F4DB3"/>
    <w:rsid w:val="002F4E10"/>
    <w:rsid w:val="002F4E4E"/>
    <w:rsid w:val="002F4E5B"/>
    <w:rsid w:val="002F4E66"/>
    <w:rsid w:val="002F4EBE"/>
    <w:rsid w:val="002F4F21"/>
    <w:rsid w:val="002F4F68"/>
    <w:rsid w:val="002F4F86"/>
    <w:rsid w:val="002F5030"/>
    <w:rsid w:val="002F5087"/>
    <w:rsid w:val="002F50D0"/>
    <w:rsid w:val="002F50EA"/>
    <w:rsid w:val="002F515B"/>
    <w:rsid w:val="002F5198"/>
    <w:rsid w:val="002F51C3"/>
    <w:rsid w:val="002F51EE"/>
    <w:rsid w:val="002F5213"/>
    <w:rsid w:val="002F5227"/>
    <w:rsid w:val="002F52A3"/>
    <w:rsid w:val="002F52D1"/>
    <w:rsid w:val="002F52F3"/>
    <w:rsid w:val="002F5333"/>
    <w:rsid w:val="002F533A"/>
    <w:rsid w:val="002F539E"/>
    <w:rsid w:val="002F53B4"/>
    <w:rsid w:val="002F543D"/>
    <w:rsid w:val="002F5450"/>
    <w:rsid w:val="002F54B7"/>
    <w:rsid w:val="002F54D4"/>
    <w:rsid w:val="002F5609"/>
    <w:rsid w:val="002F562A"/>
    <w:rsid w:val="002F5698"/>
    <w:rsid w:val="002F57AB"/>
    <w:rsid w:val="002F587A"/>
    <w:rsid w:val="002F58AC"/>
    <w:rsid w:val="002F58CD"/>
    <w:rsid w:val="002F5904"/>
    <w:rsid w:val="002F5926"/>
    <w:rsid w:val="002F5A2E"/>
    <w:rsid w:val="002F5A3D"/>
    <w:rsid w:val="002F5B14"/>
    <w:rsid w:val="002F5B49"/>
    <w:rsid w:val="002F5B83"/>
    <w:rsid w:val="002F5B91"/>
    <w:rsid w:val="002F5BA3"/>
    <w:rsid w:val="002F5C25"/>
    <w:rsid w:val="002F5C4A"/>
    <w:rsid w:val="002F5D0C"/>
    <w:rsid w:val="002F5D9C"/>
    <w:rsid w:val="002F5E01"/>
    <w:rsid w:val="002F5E3E"/>
    <w:rsid w:val="002F5E55"/>
    <w:rsid w:val="002F5E5D"/>
    <w:rsid w:val="002F5E78"/>
    <w:rsid w:val="002F5E91"/>
    <w:rsid w:val="002F5EA6"/>
    <w:rsid w:val="002F5F31"/>
    <w:rsid w:val="002F5F45"/>
    <w:rsid w:val="002F5F6A"/>
    <w:rsid w:val="002F5F95"/>
    <w:rsid w:val="002F5F97"/>
    <w:rsid w:val="002F5FA1"/>
    <w:rsid w:val="002F5FB7"/>
    <w:rsid w:val="002F612C"/>
    <w:rsid w:val="002F617F"/>
    <w:rsid w:val="002F6186"/>
    <w:rsid w:val="002F61A3"/>
    <w:rsid w:val="002F61F2"/>
    <w:rsid w:val="002F6248"/>
    <w:rsid w:val="002F6272"/>
    <w:rsid w:val="002F627C"/>
    <w:rsid w:val="002F62B2"/>
    <w:rsid w:val="002F62BA"/>
    <w:rsid w:val="002F62E8"/>
    <w:rsid w:val="002F6378"/>
    <w:rsid w:val="002F6398"/>
    <w:rsid w:val="002F63B1"/>
    <w:rsid w:val="002F63C0"/>
    <w:rsid w:val="002F647F"/>
    <w:rsid w:val="002F64E9"/>
    <w:rsid w:val="002F653C"/>
    <w:rsid w:val="002F65A4"/>
    <w:rsid w:val="002F6673"/>
    <w:rsid w:val="002F6687"/>
    <w:rsid w:val="002F668D"/>
    <w:rsid w:val="002F66C2"/>
    <w:rsid w:val="002F66C9"/>
    <w:rsid w:val="002F6791"/>
    <w:rsid w:val="002F6818"/>
    <w:rsid w:val="002F684F"/>
    <w:rsid w:val="002F68C1"/>
    <w:rsid w:val="002F68D7"/>
    <w:rsid w:val="002F68DD"/>
    <w:rsid w:val="002F6962"/>
    <w:rsid w:val="002F699A"/>
    <w:rsid w:val="002F699D"/>
    <w:rsid w:val="002F69A2"/>
    <w:rsid w:val="002F6A32"/>
    <w:rsid w:val="002F6A96"/>
    <w:rsid w:val="002F6AAF"/>
    <w:rsid w:val="002F6AEA"/>
    <w:rsid w:val="002F6B1C"/>
    <w:rsid w:val="002F6B47"/>
    <w:rsid w:val="002F6B61"/>
    <w:rsid w:val="002F6BCB"/>
    <w:rsid w:val="002F6BEC"/>
    <w:rsid w:val="002F6C06"/>
    <w:rsid w:val="002F6C0D"/>
    <w:rsid w:val="002F6C3C"/>
    <w:rsid w:val="002F6C73"/>
    <w:rsid w:val="002F6CA9"/>
    <w:rsid w:val="002F6D08"/>
    <w:rsid w:val="002F6D10"/>
    <w:rsid w:val="002F6DD4"/>
    <w:rsid w:val="002F6E17"/>
    <w:rsid w:val="002F6E1C"/>
    <w:rsid w:val="002F6F01"/>
    <w:rsid w:val="002F6F36"/>
    <w:rsid w:val="002F6F69"/>
    <w:rsid w:val="002F6FC3"/>
    <w:rsid w:val="002F6FDE"/>
    <w:rsid w:val="002F7034"/>
    <w:rsid w:val="002F7103"/>
    <w:rsid w:val="002F7106"/>
    <w:rsid w:val="002F710E"/>
    <w:rsid w:val="002F7118"/>
    <w:rsid w:val="002F71B8"/>
    <w:rsid w:val="002F71BC"/>
    <w:rsid w:val="002F723E"/>
    <w:rsid w:val="002F7243"/>
    <w:rsid w:val="002F72D2"/>
    <w:rsid w:val="002F72FB"/>
    <w:rsid w:val="002F730B"/>
    <w:rsid w:val="002F731C"/>
    <w:rsid w:val="002F731D"/>
    <w:rsid w:val="002F731F"/>
    <w:rsid w:val="002F738F"/>
    <w:rsid w:val="002F7399"/>
    <w:rsid w:val="002F73B8"/>
    <w:rsid w:val="002F73DB"/>
    <w:rsid w:val="002F73E5"/>
    <w:rsid w:val="002F73E6"/>
    <w:rsid w:val="002F7416"/>
    <w:rsid w:val="002F744C"/>
    <w:rsid w:val="002F746E"/>
    <w:rsid w:val="002F7475"/>
    <w:rsid w:val="002F74AD"/>
    <w:rsid w:val="002F74B6"/>
    <w:rsid w:val="002F74B8"/>
    <w:rsid w:val="002F74E5"/>
    <w:rsid w:val="002F752D"/>
    <w:rsid w:val="002F7558"/>
    <w:rsid w:val="002F7561"/>
    <w:rsid w:val="002F7600"/>
    <w:rsid w:val="002F7617"/>
    <w:rsid w:val="002F7648"/>
    <w:rsid w:val="002F7686"/>
    <w:rsid w:val="002F76DA"/>
    <w:rsid w:val="002F76FB"/>
    <w:rsid w:val="002F773B"/>
    <w:rsid w:val="002F7763"/>
    <w:rsid w:val="002F7782"/>
    <w:rsid w:val="002F77A6"/>
    <w:rsid w:val="002F77F5"/>
    <w:rsid w:val="002F781E"/>
    <w:rsid w:val="002F7871"/>
    <w:rsid w:val="002F78B6"/>
    <w:rsid w:val="002F79CC"/>
    <w:rsid w:val="002F79FF"/>
    <w:rsid w:val="002F7A25"/>
    <w:rsid w:val="002F7A37"/>
    <w:rsid w:val="002F7A69"/>
    <w:rsid w:val="002F7A8F"/>
    <w:rsid w:val="002F7AAD"/>
    <w:rsid w:val="002F7AFC"/>
    <w:rsid w:val="002F7B3A"/>
    <w:rsid w:val="002F7BA7"/>
    <w:rsid w:val="002F7BF2"/>
    <w:rsid w:val="002F7C1D"/>
    <w:rsid w:val="002F7D53"/>
    <w:rsid w:val="002F7D5B"/>
    <w:rsid w:val="002F7D79"/>
    <w:rsid w:val="002F7D81"/>
    <w:rsid w:val="002F7D98"/>
    <w:rsid w:val="002F7DAC"/>
    <w:rsid w:val="002F7DC4"/>
    <w:rsid w:val="002F7DE2"/>
    <w:rsid w:val="002F7DE5"/>
    <w:rsid w:val="002F7DEC"/>
    <w:rsid w:val="002F7E02"/>
    <w:rsid w:val="002F7E12"/>
    <w:rsid w:val="002F7E56"/>
    <w:rsid w:val="002F7E71"/>
    <w:rsid w:val="002F7EE3"/>
    <w:rsid w:val="002F7F59"/>
    <w:rsid w:val="0030006B"/>
    <w:rsid w:val="0030008C"/>
    <w:rsid w:val="003000A7"/>
    <w:rsid w:val="003000B4"/>
    <w:rsid w:val="003000B6"/>
    <w:rsid w:val="00300109"/>
    <w:rsid w:val="0030017E"/>
    <w:rsid w:val="003001BD"/>
    <w:rsid w:val="0030023A"/>
    <w:rsid w:val="00300250"/>
    <w:rsid w:val="00300288"/>
    <w:rsid w:val="003002BA"/>
    <w:rsid w:val="003002DA"/>
    <w:rsid w:val="00300305"/>
    <w:rsid w:val="00300313"/>
    <w:rsid w:val="0030033D"/>
    <w:rsid w:val="0030033F"/>
    <w:rsid w:val="003003EE"/>
    <w:rsid w:val="003003EF"/>
    <w:rsid w:val="003003F9"/>
    <w:rsid w:val="00300452"/>
    <w:rsid w:val="00300461"/>
    <w:rsid w:val="003004C3"/>
    <w:rsid w:val="003004EA"/>
    <w:rsid w:val="0030057D"/>
    <w:rsid w:val="003005C4"/>
    <w:rsid w:val="003006A6"/>
    <w:rsid w:val="003006EF"/>
    <w:rsid w:val="00300755"/>
    <w:rsid w:val="00300764"/>
    <w:rsid w:val="003007CA"/>
    <w:rsid w:val="003007E4"/>
    <w:rsid w:val="003007EF"/>
    <w:rsid w:val="00300830"/>
    <w:rsid w:val="00300841"/>
    <w:rsid w:val="00300872"/>
    <w:rsid w:val="00300889"/>
    <w:rsid w:val="003008CC"/>
    <w:rsid w:val="00300901"/>
    <w:rsid w:val="00300921"/>
    <w:rsid w:val="00300943"/>
    <w:rsid w:val="0030094D"/>
    <w:rsid w:val="0030097E"/>
    <w:rsid w:val="003009E3"/>
    <w:rsid w:val="00300A23"/>
    <w:rsid w:val="00300A7B"/>
    <w:rsid w:val="00300A85"/>
    <w:rsid w:val="00300A9C"/>
    <w:rsid w:val="00300AF4"/>
    <w:rsid w:val="00300B0B"/>
    <w:rsid w:val="00300B92"/>
    <w:rsid w:val="00300C1E"/>
    <w:rsid w:val="00300C89"/>
    <w:rsid w:val="00300CDF"/>
    <w:rsid w:val="00300D26"/>
    <w:rsid w:val="00300D78"/>
    <w:rsid w:val="00300D8A"/>
    <w:rsid w:val="00300DAC"/>
    <w:rsid w:val="00300E1D"/>
    <w:rsid w:val="00300E5D"/>
    <w:rsid w:val="00300E5F"/>
    <w:rsid w:val="00300ECF"/>
    <w:rsid w:val="00300F2D"/>
    <w:rsid w:val="00300F30"/>
    <w:rsid w:val="00300F7B"/>
    <w:rsid w:val="00300F8D"/>
    <w:rsid w:val="00300FF0"/>
    <w:rsid w:val="00300FFB"/>
    <w:rsid w:val="003010D6"/>
    <w:rsid w:val="003010ED"/>
    <w:rsid w:val="0030110E"/>
    <w:rsid w:val="0030111F"/>
    <w:rsid w:val="00301165"/>
    <w:rsid w:val="0030117D"/>
    <w:rsid w:val="00301186"/>
    <w:rsid w:val="0030119C"/>
    <w:rsid w:val="003011A8"/>
    <w:rsid w:val="003011CE"/>
    <w:rsid w:val="00301259"/>
    <w:rsid w:val="0030127F"/>
    <w:rsid w:val="00301302"/>
    <w:rsid w:val="0030132E"/>
    <w:rsid w:val="0030138A"/>
    <w:rsid w:val="003013A5"/>
    <w:rsid w:val="003013AB"/>
    <w:rsid w:val="0030142C"/>
    <w:rsid w:val="00301438"/>
    <w:rsid w:val="00301477"/>
    <w:rsid w:val="0030158F"/>
    <w:rsid w:val="003015FA"/>
    <w:rsid w:val="00301617"/>
    <w:rsid w:val="0030164C"/>
    <w:rsid w:val="003016DD"/>
    <w:rsid w:val="003016E2"/>
    <w:rsid w:val="003016E8"/>
    <w:rsid w:val="00301728"/>
    <w:rsid w:val="00301755"/>
    <w:rsid w:val="00301759"/>
    <w:rsid w:val="00301784"/>
    <w:rsid w:val="00301785"/>
    <w:rsid w:val="003017CB"/>
    <w:rsid w:val="00301893"/>
    <w:rsid w:val="003018AF"/>
    <w:rsid w:val="003018EE"/>
    <w:rsid w:val="003019C3"/>
    <w:rsid w:val="003019C7"/>
    <w:rsid w:val="003019E8"/>
    <w:rsid w:val="00301A17"/>
    <w:rsid w:val="00301A22"/>
    <w:rsid w:val="00301A50"/>
    <w:rsid w:val="00301A85"/>
    <w:rsid w:val="00301A87"/>
    <w:rsid w:val="00301AAE"/>
    <w:rsid w:val="00301ADF"/>
    <w:rsid w:val="00301B50"/>
    <w:rsid w:val="00301BC4"/>
    <w:rsid w:val="00301C56"/>
    <w:rsid w:val="00301CE1"/>
    <w:rsid w:val="00301D4A"/>
    <w:rsid w:val="00301D4B"/>
    <w:rsid w:val="00301DA0"/>
    <w:rsid w:val="00301DD0"/>
    <w:rsid w:val="00301DD8"/>
    <w:rsid w:val="00301E34"/>
    <w:rsid w:val="00301E6E"/>
    <w:rsid w:val="00301F1D"/>
    <w:rsid w:val="00301F6E"/>
    <w:rsid w:val="00301FEE"/>
    <w:rsid w:val="00302030"/>
    <w:rsid w:val="0030204D"/>
    <w:rsid w:val="00302087"/>
    <w:rsid w:val="003020D9"/>
    <w:rsid w:val="003020E8"/>
    <w:rsid w:val="0030215E"/>
    <w:rsid w:val="003021B2"/>
    <w:rsid w:val="00302234"/>
    <w:rsid w:val="00302290"/>
    <w:rsid w:val="003022D1"/>
    <w:rsid w:val="003022E1"/>
    <w:rsid w:val="00302359"/>
    <w:rsid w:val="00302373"/>
    <w:rsid w:val="003023B2"/>
    <w:rsid w:val="00302464"/>
    <w:rsid w:val="003024FF"/>
    <w:rsid w:val="0030258D"/>
    <w:rsid w:val="00302648"/>
    <w:rsid w:val="003026A5"/>
    <w:rsid w:val="003026CB"/>
    <w:rsid w:val="003026CF"/>
    <w:rsid w:val="00302760"/>
    <w:rsid w:val="0030279A"/>
    <w:rsid w:val="003027B8"/>
    <w:rsid w:val="0030281C"/>
    <w:rsid w:val="0030281F"/>
    <w:rsid w:val="00302822"/>
    <w:rsid w:val="00302844"/>
    <w:rsid w:val="0030285B"/>
    <w:rsid w:val="003028B3"/>
    <w:rsid w:val="003028D5"/>
    <w:rsid w:val="00302937"/>
    <w:rsid w:val="00302939"/>
    <w:rsid w:val="0030295F"/>
    <w:rsid w:val="003029E1"/>
    <w:rsid w:val="00302A46"/>
    <w:rsid w:val="00302B24"/>
    <w:rsid w:val="00302B44"/>
    <w:rsid w:val="00302B53"/>
    <w:rsid w:val="00302BD7"/>
    <w:rsid w:val="00302C28"/>
    <w:rsid w:val="00302C2B"/>
    <w:rsid w:val="00302C3B"/>
    <w:rsid w:val="00302C64"/>
    <w:rsid w:val="00302C69"/>
    <w:rsid w:val="00302C9E"/>
    <w:rsid w:val="00302CD2"/>
    <w:rsid w:val="00302CD3"/>
    <w:rsid w:val="00302CF5"/>
    <w:rsid w:val="00302D01"/>
    <w:rsid w:val="00302E67"/>
    <w:rsid w:val="00302E75"/>
    <w:rsid w:val="00302F1F"/>
    <w:rsid w:val="00302F81"/>
    <w:rsid w:val="00302FF9"/>
    <w:rsid w:val="00303056"/>
    <w:rsid w:val="003030C3"/>
    <w:rsid w:val="00303127"/>
    <w:rsid w:val="00303145"/>
    <w:rsid w:val="003031B7"/>
    <w:rsid w:val="003031D2"/>
    <w:rsid w:val="003031E7"/>
    <w:rsid w:val="00303235"/>
    <w:rsid w:val="00303258"/>
    <w:rsid w:val="0030327D"/>
    <w:rsid w:val="00303285"/>
    <w:rsid w:val="003032BF"/>
    <w:rsid w:val="00303328"/>
    <w:rsid w:val="00303348"/>
    <w:rsid w:val="00303369"/>
    <w:rsid w:val="003033A1"/>
    <w:rsid w:val="003033D8"/>
    <w:rsid w:val="00303448"/>
    <w:rsid w:val="0030344E"/>
    <w:rsid w:val="00303452"/>
    <w:rsid w:val="00303488"/>
    <w:rsid w:val="003034DC"/>
    <w:rsid w:val="00303559"/>
    <w:rsid w:val="00303577"/>
    <w:rsid w:val="0030362B"/>
    <w:rsid w:val="003036B2"/>
    <w:rsid w:val="003036CE"/>
    <w:rsid w:val="003036F4"/>
    <w:rsid w:val="003036F6"/>
    <w:rsid w:val="003036FF"/>
    <w:rsid w:val="00303767"/>
    <w:rsid w:val="003037C2"/>
    <w:rsid w:val="0030381C"/>
    <w:rsid w:val="00303855"/>
    <w:rsid w:val="00303868"/>
    <w:rsid w:val="003038EF"/>
    <w:rsid w:val="003038F2"/>
    <w:rsid w:val="00303905"/>
    <w:rsid w:val="0030393E"/>
    <w:rsid w:val="00303947"/>
    <w:rsid w:val="00303984"/>
    <w:rsid w:val="003039B0"/>
    <w:rsid w:val="003039E0"/>
    <w:rsid w:val="00303A35"/>
    <w:rsid w:val="00303A48"/>
    <w:rsid w:val="00303A80"/>
    <w:rsid w:val="00303A86"/>
    <w:rsid w:val="00303AB9"/>
    <w:rsid w:val="00303B11"/>
    <w:rsid w:val="00303B5B"/>
    <w:rsid w:val="00303B81"/>
    <w:rsid w:val="00303B83"/>
    <w:rsid w:val="00303BCC"/>
    <w:rsid w:val="00303C1D"/>
    <w:rsid w:val="00303C27"/>
    <w:rsid w:val="00303CA8"/>
    <w:rsid w:val="00303D14"/>
    <w:rsid w:val="00303D62"/>
    <w:rsid w:val="00303D6C"/>
    <w:rsid w:val="00303DC5"/>
    <w:rsid w:val="00303DE1"/>
    <w:rsid w:val="00303E28"/>
    <w:rsid w:val="00303EC8"/>
    <w:rsid w:val="00303EE8"/>
    <w:rsid w:val="00303F0D"/>
    <w:rsid w:val="00303F8D"/>
    <w:rsid w:val="00303FD7"/>
    <w:rsid w:val="0030403C"/>
    <w:rsid w:val="0030407A"/>
    <w:rsid w:val="0030407E"/>
    <w:rsid w:val="0030411B"/>
    <w:rsid w:val="0030416D"/>
    <w:rsid w:val="00304185"/>
    <w:rsid w:val="00304187"/>
    <w:rsid w:val="003041C7"/>
    <w:rsid w:val="003041ED"/>
    <w:rsid w:val="00304207"/>
    <w:rsid w:val="0030424A"/>
    <w:rsid w:val="0030425B"/>
    <w:rsid w:val="00304278"/>
    <w:rsid w:val="00304280"/>
    <w:rsid w:val="003042D4"/>
    <w:rsid w:val="003042FF"/>
    <w:rsid w:val="00304315"/>
    <w:rsid w:val="003043A5"/>
    <w:rsid w:val="003043E6"/>
    <w:rsid w:val="003043FF"/>
    <w:rsid w:val="00304424"/>
    <w:rsid w:val="0030442A"/>
    <w:rsid w:val="0030447F"/>
    <w:rsid w:val="00304490"/>
    <w:rsid w:val="00304516"/>
    <w:rsid w:val="0030452A"/>
    <w:rsid w:val="003045B5"/>
    <w:rsid w:val="003045D2"/>
    <w:rsid w:val="0030463B"/>
    <w:rsid w:val="0030466B"/>
    <w:rsid w:val="00304691"/>
    <w:rsid w:val="003046CD"/>
    <w:rsid w:val="003046D8"/>
    <w:rsid w:val="00304711"/>
    <w:rsid w:val="0030472F"/>
    <w:rsid w:val="003047D5"/>
    <w:rsid w:val="00304825"/>
    <w:rsid w:val="00304828"/>
    <w:rsid w:val="003049CF"/>
    <w:rsid w:val="003049D2"/>
    <w:rsid w:val="003049F1"/>
    <w:rsid w:val="00304A39"/>
    <w:rsid w:val="00304A8F"/>
    <w:rsid w:val="00304AF1"/>
    <w:rsid w:val="00304B0C"/>
    <w:rsid w:val="00304B97"/>
    <w:rsid w:val="00304C55"/>
    <w:rsid w:val="00304D13"/>
    <w:rsid w:val="00304D97"/>
    <w:rsid w:val="00304DA9"/>
    <w:rsid w:val="00304DDA"/>
    <w:rsid w:val="00304E28"/>
    <w:rsid w:val="00304E88"/>
    <w:rsid w:val="00304EC6"/>
    <w:rsid w:val="00304F0C"/>
    <w:rsid w:val="00304F89"/>
    <w:rsid w:val="00304F91"/>
    <w:rsid w:val="00304FA6"/>
    <w:rsid w:val="0030514C"/>
    <w:rsid w:val="0030516D"/>
    <w:rsid w:val="0030517B"/>
    <w:rsid w:val="00305186"/>
    <w:rsid w:val="0030524E"/>
    <w:rsid w:val="00305251"/>
    <w:rsid w:val="003052AC"/>
    <w:rsid w:val="003052C9"/>
    <w:rsid w:val="00305320"/>
    <w:rsid w:val="0030534F"/>
    <w:rsid w:val="0030537E"/>
    <w:rsid w:val="0030539F"/>
    <w:rsid w:val="003053B4"/>
    <w:rsid w:val="003053D0"/>
    <w:rsid w:val="00305409"/>
    <w:rsid w:val="00305456"/>
    <w:rsid w:val="00305487"/>
    <w:rsid w:val="003054B1"/>
    <w:rsid w:val="003055C8"/>
    <w:rsid w:val="0030569A"/>
    <w:rsid w:val="00305723"/>
    <w:rsid w:val="0030574F"/>
    <w:rsid w:val="00305768"/>
    <w:rsid w:val="003057BB"/>
    <w:rsid w:val="003057F5"/>
    <w:rsid w:val="003057F7"/>
    <w:rsid w:val="00305801"/>
    <w:rsid w:val="003058C6"/>
    <w:rsid w:val="00305902"/>
    <w:rsid w:val="00305955"/>
    <w:rsid w:val="0030595A"/>
    <w:rsid w:val="00305987"/>
    <w:rsid w:val="003059CF"/>
    <w:rsid w:val="003059D4"/>
    <w:rsid w:val="003059E9"/>
    <w:rsid w:val="00305A07"/>
    <w:rsid w:val="00305A36"/>
    <w:rsid w:val="00305A55"/>
    <w:rsid w:val="00305A84"/>
    <w:rsid w:val="00305AD5"/>
    <w:rsid w:val="00305B2A"/>
    <w:rsid w:val="00305B4C"/>
    <w:rsid w:val="00305C11"/>
    <w:rsid w:val="00305C93"/>
    <w:rsid w:val="00305CC6"/>
    <w:rsid w:val="00305D48"/>
    <w:rsid w:val="00305D8F"/>
    <w:rsid w:val="00305DAC"/>
    <w:rsid w:val="00305DF4"/>
    <w:rsid w:val="00305E73"/>
    <w:rsid w:val="00305E8F"/>
    <w:rsid w:val="00305EA0"/>
    <w:rsid w:val="00305FA7"/>
    <w:rsid w:val="00305FFC"/>
    <w:rsid w:val="00306016"/>
    <w:rsid w:val="00306027"/>
    <w:rsid w:val="00306038"/>
    <w:rsid w:val="0030606A"/>
    <w:rsid w:val="003060C6"/>
    <w:rsid w:val="003060D6"/>
    <w:rsid w:val="003060DE"/>
    <w:rsid w:val="00306175"/>
    <w:rsid w:val="0030619F"/>
    <w:rsid w:val="003061A2"/>
    <w:rsid w:val="003061BA"/>
    <w:rsid w:val="003062CD"/>
    <w:rsid w:val="003062E9"/>
    <w:rsid w:val="003062ED"/>
    <w:rsid w:val="003063DD"/>
    <w:rsid w:val="003063E5"/>
    <w:rsid w:val="00306458"/>
    <w:rsid w:val="003064DD"/>
    <w:rsid w:val="00306513"/>
    <w:rsid w:val="0030658A"/>
    <w:rsid w:val="003065A2"/>
    <w:rsid w:val="003065F9"/>
    <w:rsid w:val="00306601"/>
    <w:rsid w:val="00306640"/>
    <w:rsid w:val="0030665E"/>
    <w:rsid w:val="0030669F"/>
    <w:rsid w:val="003066AC"/>
    <w:rsid w:val="003066B5"/>
    <w:rsid w:val="00306752"/>
    <w:rsid w:val="0030675A"/>
    <w:rsid w:val="0030675C"/>
    <w:rsid w:val="00306764"/>
    <w:rsid w:val="0030681C"/>
    <w:rsid w:val="0030688F"/>
    <w:rsid w:val="00306894"/>
    <w:rsid w:val="003068B6"/>
    <w:rsid w:val="003068D2"/>
    <w:rsid w:val="0030692B"/>
    <w:rsid w:val="00306994"/>
    <w:rsid w:val="003069EA"/>
    <w:rsid w:val="00306A37"/>
    <w:rsid w:val="00306A5E"/>
    <w:rsid w:val="00306A9E"/>
    <w:rsid w:val="00306AC9"/>
    <w:rsid w:val="00306AD7"/>
    <w:rsid w:val="00306B07"/>
    <w:rsid w:val="00306B1A"/>
    <w:rsid w:val="00306B32"/>
    <w:rsid w:val="00306BAC"/>
    <w:rsid w:val="00306C04"/>
    <w:rsid w:val="00306C08"/>
    <w:rsid w:val="00306C1E"/>
    <w:rsid w:val="00306C4F"/>
    <w:rsid w:val="00306CBC"/>
    <w:rsid w:val="00306CCE"/>
    <w:rsid w:val="00306CD3"/>
    <w:rsid w:val="00306CF5"/>
    <w:rsid w:val="00306D4F"/>
    <w:rsid w:val="00306D88"/>
    <w:rsid w:val="00306D91"/>
    <w:rsid w:val="00306DAD"/>
    <w:rsid w:val="00306DE3"/>
    <w:rsid w:val="00306DEF"/>
    <w:rsid w:val="00306E0A"/>
    <w:rsid w:val="00306E24"/>
    <w:rsid w:val="00306E4A"/>
    <w:rsid w:val="00306E4C"/>
    <w:rsid w:val="00306F20"/>
    <w:rsid w:val="00306FF9"/>
    <w:rsid w:val="00307003"/>
    <w:rsid w:val="00307051"/>
    <w:rsid w:val="0030712C"/>
    <w:rsid w:val="00307158"/>
    <w:rsid w:val="00307221"/>
    <w:rsid w:val="00307256"/>
    <w:rsid w:val="0030728F"/>
    <w:rsid w:val="003072BF"/>
    <w:rsid w:val="003072D4"/>
    <w:rsid w:val="003072DB"/>
    <w:rsid w:val="003072DF"/>
    <w:rsid w:val="003072E6"/>
    <w:rsid w:val="003072F7"/>
    <w:rsid w:val="0030730D"/>
    <w:rsid w:val="00307315"/>
    <w:rsid w:val="00307322"/>
    <w:rsid w:val="00307326"/>
    <w:rsid w:val="00307344"/>
    <w:rsid w:val="00307350"/>
    <w:rsid w:val="0030735C"/>
    <w:rsid w:val="00307391"/>
    <w:rsid w:val="003073A9"/>
    <w:rsid w:val="003073CF"/>
    <w:rsid w:val="00307419"/>
    <w:rsid w:val="00307455"/>
    <w:rsid w:val="0030745F"/>
    <w:rsid w:val="00307487"/>
    <w:rsid w:val="003074B4"/>
    <w:rsid w:val="003074E8"/>
    <w:rsid w:val="0030755C"/>
    <w:rsid w:val="00307585"/>
    <w:rsid w:val="003075BC"/>
    <w:rsid w:val="00307610"/>
    <w:rsid w:val="0030762C"/>
    <w:rsid w:val="0030767A"/>
    <w:rsid w:val="0030767C"/>
    <w:rsid w:val="003076BB"/>
    <w:rsid w:val="003077E3"/>
    <w:rsid w:val="00307800"/>
    <w:rsid w:val="00307804"/>
    <w:rsid w:val="003078B9"/>
    <w:rsid w:val="0030794E"/>
    <w:rsid w:val="00307A25"/>
    <w:rsid w:val="00307A6E"/>
    <w:rsid w:val="00307A9B"/>
    <w:rsid w:val="00307AAD"/>
    <w:rsid w:val="00307B24"/>
    <w:rsid w:val="00307B6D"/>
    <w:rsid w:val="00307BC7"/>
    <w:rsid w:val="00307BF0"/>
    <w:rsid w:val="00307BF2"/>
    <w:rsid w:val="00307C35"/>
    <w:rsid w:val="00307C4B"/>
    <w:rsid w:val="00307C94"/>
    <w:rsid w:val="00307D15"/>
    <w:rsid w:val="00307DBC"/>
    <w:rsid w:val="00307DF7"/>
    <w:rsid w:val="00307E4D"/>
    <w:rsid w:val="00307EAF"/>
    <w:rsid w:val="00307F78"/>
    <w:rsid w:val="00307F90"/>
    <w:rsid w:val="00307FA4"/>
    <w:rsid w:val="00307FAA"/>
    <w:rsid w:val="0031000F"/>
    <w:rsid w:val="00310029"/>
    <w:rsid w:val="0031012D"/>
    <w:rsid w:val="00310142"/>
    <w:rsid w:val="00310196"/>
    <w:rsid w:val="003101DB"/>
    <w:rsid w:val="00310229"/>
    <w:rsid w:val="0031036C"/>
    <w:rsid w:val="00310467"/>
    <w:rsid w:val="00310488"/>
    <w:rsid w:val="003104F7"/>
    <w:rsid w:val="00310578"/>
    <w:rsid w:val="0031059D"/>
    <w:rsid w:val="003105C0"/>
    <w:rsid w:val="00310660"/>
    <w:rsid w:val="00310667"/>
    <w:rsid w:val="003106B9"/>
    <w:rsid w:val="003106BC"/>
    <w:rsid w:val="003106D1"/>
    <w:rsid w:val="00310703"/>
    <w:rsid w:val="00310721"/>
    <w:rsid w:val="0031072E"/>
    <w:rsid w:val="003107DF"/>
    <w:rsid w:val="003107F9"/>
    <w:rsid w:val="003108A6"/>
    <w:rsid w:val="003108AC"/>
    <w:rsid w:val="003108E5"/>
    <w:rsid w:val="00310974"/>
    <w:rsid w:val="00310990"/>
    <w:rsid w:val="003109A0"/>
    <w:rsid w:val="003109FA"/>
    <w:rsid w:val="00310A0D"/>
    <w:rsid w:val="00310A21"/>
    <w:rsid w:val="00310A67"/>
    <w:rsid w:val="00310A75"/>
    <w:rsid w:val="00310ACB"/>
    <w:rsid w:val="00310AF1"/>
    <w:rsid w:val="00310BFD"/>
    <w:rsid w:val="00310C64"/>
    <w:rsid w:val="00310CB4"/>
    <w:rsid w:val="00310CC0"/>
    <w:rsid w:val="00310CE1"/>
    <w:rsid w:val="00310D1C"/>
    <w:rsid w:val="00310D37"/>
    <w:rsid w:val="00310D7C"/>
    <w:rsid w:val="00310DAB"/>
    <w:rsid w:val="00310DB7"/>
    <w:rsid w:val="00310E71"/>
    <w:rsid w:val="00310F7A"/>
    <w:rsid w:val="00310FA4"/>
    <w:rsid w:val="0031102D"/>
    <w:rsid w:val="00311139"/>
    <w:rsid w:val="0031116A"/>
    <w:rsid w:val="003111A6"/>
    <w:rsid w:val="003111CF"/>
    <w:rsid w:val="003111ED"/>
    <w:rsid w:val="0031122C"/>
    <w:rsid w:val="003112B8"/>
    <w:rsid w:val="00311320"/>
    <w:rsid w:val="0031134C"/>
    <w:rsid w:val="00311350"/>
    <w:rsid w:val="00311368"/>
    <w:rsid w:val="003113A9"/>
    <w:rsid w:val="003113D5"/>
    <w:rsid w:val="0031143F"/>
    <w:rsid w:val="003114CA"/>
    <w:rsid w:val="003114D2"/>
    <w:rsid w:val="00311509"/>
    <w:rsid w:val="0031154B"/>
    <w:rsid w:val="00311553"/>
    <w:rsid w:val="0031158D"/>
    <w:rsid w:val="0031159B"/>
    <w:rsid w:val="00311606"/>
    <w:rsid w:val="00311608"/>
    <w:rsid w:val="0031165A"/>
    <w:rsid w:val="00311695"/>
    <w:rsid w:val="003116A6"/>
    <w:rsid w:val="003116E3"/>
    <w:rsid w:val="003116EF"/>
    <w:rsid w:val="00311705"/>
    <w:rsid w:val="0031173F"/>
    <w:rsid w:val="00311743"/>
    <w:rsid w:val="003117EC"/>
    <w:rsid w:val="00311868"/>
    <w:rsid w:val="003119AE"/>
    <w:rsid w:val="003119C8"/>
    <w:rsid w:val="00311A6C"/>
    <w:rsid w:val="00311A7F"/>
    <w:rsid w:val="00311AE3"/>
    <w:rsid w:val="00311B04"/>
    <w:rsid w:val="00311B24"/>
    <w:rsid w:val="00311B34"/>
    <w:rsid w:val="00311C1B"/>
    <w:rsid w:val="00311C2B"/>
    <w:rsid w:val="00311CB3"/>
    <w:rsid w:val="00311CE3"/>
    <w:rsid w:val="00311D12"/>
    <w:rsid w:val="00311D21"/>
    <w:rsid w:val="00311D43"/>
    <w:rsid w:val="00311D71"/>
    <w:rsid w:val="00311DFC"/>
    <w:rsid w:val="00311E11"/>
    <w:rsid w:val="00311EE2"/>
    <w:rsid w:val="00311EF8"/>
    <w:rsid w:val="00311F16"/>
    <w:rsid w:val="00311F7C"/>
    <w:rsid w:val="0031206B"/>
    <w:rsid w:val="00312074"/>
    <w:rsid w:val="0031209F"/>
    <w:rsid w:val="00312192"/>
    <w:rsid w:val="003121A3"/>
    <w:rsid w:val="003121B8"/>
    <w:rsid w:val="003121D0"/>
    <w:rsid w:val="003121ED"/>
    <w:rsid w:val="00312260"/>
    <w:rsid w:val="00312291"/>
    <w:rsid w:val="003122F4"/>
    <w:rsid w:val="00312315"/>
    <w:rsid w:val="00312323"/>
    <w:rsid w:val="0031232C"/>
    <w:rsid w:val="00312351"/>
    <w:rsid w:val="00312372"/>
    <w:rsid w:val="003123BA"/>
    <w:rsid w:val="003123D4"/>
    <w:rsid w:val="003123EB"/>
    <w:rsid w:val="003123FF"/>
    <w:rsid w:val="00312424"/>
    <w:rsid w:val="003124A4"/>
    <w:rsid w:val="0031251C"/>
    <w:rsid w:val="00312532"/>
    <w:rsid w:val="00312557"/>
    <w:rsid w:val="003125A1"/>
    <w:rsid w:val="003125E9"/>
    <w:rsid w:val="0031265F"/>
    <w:rsid w:val="00312662"/>
    <w:rsid w:val="00312681"/>
    <w:rsid w:val="003126F7"/>
    <w:rsid w:val="0031277A"/>
    <w:rsid w:val="003127C7"/>
    <w:rsid w:val="003127FB"/>
    <w:rsid w:val="00312801"/>
    <w:rsid w:val="0031283F"/>
    <w:rsid w:val="00312873"/>
    <w:rsid w:val="00312923"/>
    <w:rsid w:val="00312A0B"/>
    <w:rsid w:val="00312A72"/>
    <w:rsid w:val="00312B01"/>
    <w:rsid w:val="00312B34"/>
    <w:rsid w:val="00312BB1"/>
    <w:rsid w:val="00312C2B"/>
    <w:rsid w:val="00312C4C"/>
    <w:rsid w:val="00312D19"/>
    <w:rsid w:val="00312D36"/>
    <w:rsid w:val="00312D88"/>
    <w:rsid w:val="00312DA9"/>
    <w:rsid w:val="00312DB7"/>
    <w:rsid w:val="00312DBB"/>
    <w:rsid w:val="00312DF5"/>
    <w:rsid w:val="00312E32"/>
    <w:rsid w:val="00312E33"/>
    <w:rsid w:val="00312EAE"/>
    <w:rsid w:val="00312EB4"/>
    <w:rsid w:val="00312EE6"/>
    <w:rsid w:val="00312EEB"/>
    <w:rsid w:val="00312EFA"/>
    <w:rsid w:val="00312F98"/>
    <w:rsid w:val="0031300A"/>
    <w:rsid w:val="0031300E"/>
    <w:rsid w:val="00313028"/>
    <w:rsid w:val="0031302A"/>
    <w:rsid w:val="003130B4"/>
    <w:rsid w:val="003130F5"/>
    <w:rsid w:val="003131A3"/>
    <w:rsid w:val="003131EE"/>
    <w:rsid w:val="0031322B"/>
    <w:rsid w:val="003132F1"/>
    <w:rsid w:val="003132FF"/>
    <w:rsid w:val="00313322"/>
    <w:rsid w:val="0031335E"/>
    <w:rsid w:val="00313384"/>
    <w:rsid w:val="003133CD"/>
    <w:rsid w:val="003133CE"/>
    <w:rsid w:val="003133F9"/>
    <w:rsid w:val="003134FC"/>
    <w:rsid w:val="00313506"/>
    <w:rsid w:val="0031350B"/>
    <w:rsid w:val="00313587"/>
    <w:rsid w:val="0031368A"/>
    <w:rsid w:val="003136DD"/>
    <w:rsid w:val="0031371D"/>
    <w:rsid w:val="003137C3"/>
    <w:rsid w:val="00313862"/>
    <w:rsid w:val="00313874"/>
    <w:rsid w:val="0031389D"/>
    <w:rsid w:val="003138C4"/>
    <w:rsid w:val="003138D8"/>
    <w:rsid w:val="00313926"/>
    <w:rsid w:val="0031394D"/>
    <w:rsid w:val="003139CE"/>
    <w:rsid w:val="00313A14"/>
    <w:rsid w:val="00313A4A"/>
    <w:rsid w:val="00313B14"/>
    <w:rsid w:val="00313B57"/>
    <w:rsid w:val="00313B7C"/>
    <w:rsid w:val="00313B94"/>
    <w:rsid w:val="00313BD2"/>
    <w:rsid w:val="00313BF6"/>
    <w:rsid w:val="00313C19"/>
    <w:rsid w:val="00313C29"/>
    <w:rsid w:val="00313C4C"/>
    <w:rsid w:val="00313CB2"/>
    <w:rsid w:val="00313CFC"/>
    <w:rsid w:val="00313D36"/>
    <w:rsid w:val="00313D77"/>
    <w:rsid w:val="00313D7F"/>
    <w:rsid w:val="00313DDD"/>
    <w:rsid w:val="00313E0C"/>
    <w:rsid w:val="00313E15"/>
    <w:rsid w:val="00313E58"/>
    <w:rsid w:val="00313E73"/>
    <w:rsid w:val="00313E99"/>
    <w:rsid w:val="00313ED3"/>
    <w:rsid w:val="00313F65"/>
    <w:rsid w:val="00313F8A"/>
    <w:rsid w:val="00313FF8"/>
    <w:rsid w:val="0031401D"/>
    <w:rsid w:val="0031403A"/>
    <w:rsid w:val="0031409C"/>
    <w:rsid w:val="003140D4"/>
    <w:rsid w:val="003140FF"/>
    <w:rsid w:val="00314116"/>
    <w:rsid w:val="00314124"/>
    <w:rsid w:val="0031412A"/>
    <w:rsid w:val="003141C2"/>
    <w:rsid w:val="003141C7"/>
    <w:rsid w:val="0031424C"/>
    <w:rsid w:val="00314275"/>
    <w:rsid w:val="003142AE"/>
    <w:rsid w:val="003142B0"/>
    <w:rsid w:val="003142C0"/>
    <w:rsid w:val="003142EA"/>
    <w:rsid w:val="003142EC"/>
    <w:rsid w:val="00314311"/>
    <w:rsid w:val="00314337"/>
    <w:rsid w:val="00314348"/>
    <w:rsid w:val="00314354"/>
    <w:rsid w:val="00314427"/>
    <w:rsid w:val="003144BC"/>
    <w:rsid w:val="00314506"/>
    <w:rsid w:val="00314563"/>
    <w:rsid w:val="00314594"/>
    <w:rsid w:val="0031459F"/>
    <w:rsid w:val="00314668"/>
    <w:rsid w:val="00314677"/>
    <w:rsid w:val="003146CC"/>
    <w:rsid w:val="003146E7"/>
    <w:rsid w:val="00314764"/>
    <w:rsid w:val="0031476E"/>
    <w:rsid w:val="0031477E"/>
    <w:rsid w:val="00314780"/>
    <w:rsid w:val="00314808"/>
    <w:rsid w:val="0031487C"/>
    <w:rsid w:val="0031487D"/>
    <w:rsid w:val="003148A7"/>
    <w:rsid w:val="00314921"/>
    <w:rsid w:val="003149CD"/>
    <w:rsid w:val="00314A23"/>
    <w:rsid w:val="00314A2D"/>
    <w:rsid w:val="00314A87"/>
    <w:rsid w:val="00314AAD"/>
    <w:rsid w:val="00314B2C"/>
    <w:rsid w:val="00314B38"/>
    <w:rsid w:val="00314B54"/>
    <w:rsid w:val="00314BA6"/>
    <w:rsid w:val="00314C3A"/>
    <w:rsid w:val="00314C52"/>
    <w:rsid w:val="00314C85"/>
    <w:rsid w:val="00314C88"/>
    <w:rsid w:val="00314C8D"/>
    <w:rsid w:val="00314CDA"/>
    <w:rsid w:val="00314CFF"/>
    <w:rsid w:val="00314E13"/>
    <w:rsid w:val="00314E50"/>
    <w:rsid w:val="00314E58"/>
    <w:rsid w:val="00314EA0"/>
    <w:rsid w:val="00314EA2"/>
    <w:rsid w:val="00314EC6"/>
    <w:rsid w:val="00314EDC"/>
    <w:rsid w:val="00314EE6"/>
    <w:rsid w:val="00314F04"/>
    <w:rsid w:val="00314F33"/>
    <w:rsid w:val="00314F5C"/>
    <w:rsid w:val="00314FCB"/>
    <w:rsid w:val="00314FD2"/>
    <w:rsid w:val="00315000"/>
    <w:rsid w:val="00315039"/>
    <w:rsid w:val="0031503C"/>
    <w:rsid w:val="003150AC"/>
    <w:rsid w:val="00315125"/>
    <w:rsid w:val="00315146"/>
    <w:rsid w:val="0031516D"/>
    <w:rsid w:val="0031517A"/>
    <w:rsid w:val="0031517F"/>
    <w:rsid w:val="003151C1"/>
    <w:rsid w:val="003151DB"/>
    <w:rsid w:val="00315202"/>
    <w:rsid w:val="0031523F"/>
    <w:rsid w:val="0031525F"/>
    <w:rsid w:val="00315285"/>
    <w:rsid w:val="00315298"/>
    <w:rsid w:val="00315300"/>
    <w:rsid w:val="0031534E"/>
    <w:rsid w:val="00315354"/>
    <w:rsid w:val="0031537D"/>
    <w:rsid w:val="003153C2"/>
    <w:rsid w:val="00315441"/>
    <w:rsid w:val="0031544A"/>
    <w:rsid w:val="003154A5"/>
    <w:rsid w:val="003154B5"/>
    <w:rsid w:val="00315502"/>
    <w:rsid w:val="0031556C"/>
    <w:rsid w:val="0031558B"/>
    <w:rsid w:val="003155BB"/>
    <w:rsid w:val="003155CC"/>
    <w:rsid w:val="003155D0"/>
    <w:rsid w:val="003155D2"/>
    <w:rsid w:val="003156AA"/>
    <w:rsid w:val="0031575F"/>
    <w:rsid w:val="00315765"/>
    <w:rsid w:val="003157C3"/>
    <w:rsid w:val="003157C8"/>
    <w:rsid w:val="003157D4"/>
    <w:rsid w:val="003157DA"/>
    <w:rsid w:val="00315818"/>
    <w:rsid w:val="0031582C"/>
    <w:rsid w:val="003158A3"/>
    <w:rsid w:val="00315908"/>
    <w:rsid w:val="0031594D"/>
    <w:rsid w:val="00315971"/>
    <w:rsid w:val="0031598C"/>
    <w:rsid w:val="003159E6"/>
    <w:rsid w:val="00315A01"/>
    <w:rsid w:val="00315A1D"/>
    <w:rsid w:val="00315A35"/>
    <w:rsid w:val="00315A56"/>
    <w:rsid w:val="00315AB3"/>
    <w:rsid w:val="00315AC0"/>
    <w:rsid w:val="00315B18"/>
    <w:rsid w:val="00315B73"/>
    <w:rsid w:val="00315C1F"/>
    <w:rsid w:val="00315CB7"/>
    <w:rsid w:val="00315D6A"/>
    <w:rsid w:val="00315D72"/>
    <w:rsid w:val="00315E0A"/>
    <w:rsid w:val="00315E6D"/>
    <w:rsid w:val="00315E76"/>
    <w:rsid w:val="00315EAB"/>
    <w:rsid w:val="00315EC3"/>
    <w:rsid w:val="00315ED0"/>
    <w:rsid w:val="00315EE9"/>
    <w:rsid w:val="00315F10"/>
    <w:rsid w:val="00315F1E"/>
    <w:rsid w:val="00315F23"/>
    <w:rsid w:val="00315F2E"/>
    <w:rsid w:val="00315F9A"/>
    <w:rsid w:val="00315FA4"/>
    <w:rsid w:val="00315FA7"/>
    <w:rsid w:val="00315FCF"/>
    <w:rsid w:val="00315FD0"/>
    <w:rsid w:val="00316003"/>
    <w:rsid w:val="00316011"/>
    <w:rsid w:val="003160C9"/>
    <w:rsid w:val="003160CD"/>
    <w:rsid w:val="00316154"/>
    <w:rsid w:val="00316155"/>
    <w:rsid w:val="003161BD"/>
    <w:rsid w:val="003161C1"/>
    <w:rsid w:val="003161F0"/>
    <w:rsid w:val="00316240"/>
    <w:rsid w:val="0031628E"/>
    <w:rsid w:val="0031631E"/>
    <w:rsid w:val="00316360"/>
    <w:rsid w:val="0031637A"/>
    <w:rsid w:val="0031637C"/>
    <w:rsid w:val="00316383"/>
    <w:rsid w:val="0031638A"/>
    <w:rsid w:val="0031639B"/>
    <w:rsid w:val="0031639E"/>
    <w:rsid w:val="003163A2"/>
    <w:rsid w:val="003163B6"/>
    <w:rsid w:val="003163F1"/>
    <w:rsid w:val="00316455"/>
    <w:rsid w:val="0031653B"/>
    <w:rsid w:val="00316598"/>
    <w:rsid w:val="00316642"/>
    <w:rsid w:val="00316665"/>
    <w:rsid w:val="00316702"/>
    <w:rsid w:val="00316721"/>
    <w:rsid w:val="003167E2"/>
    <w:rsid w:val="003167F1"/>
    <w:rsid w:val="003168C7"/>
    <w:rsid w:val="00316921"/>
    <w:rsid w:val="00316929"/>
    <w:rsid w:val="0031696F"/>
    <w:rsid w:val="00316975"/>
    <w:rsid w:val="00316997"/>
    <w:rsid w:val="00316999"/>
    <w:rsid w:val="003169B1"/>
    <w:rsid w:val="00316A00"/>
    <w:rsid w:val="00316A0B"/>
    <w:rsid w:val="00316A21"/>
    <w:rsid w:val="00316AA9"/>
    <w:rsid w:val="00316ABA"/>
    <w:rsid w:val="00316B61"/>
    <w:rsid w:val="00316B63"/>
    <w:rsid w:val="00316BF4"/>
    <w:rsid w:val="00316C10"/>
    <w:rsid w:val="00316C22"/>
    <w:rsid w:val="00316C36"/>
    <w:rsid w:val="00316C9D"/>
    <w:rsid w:val="00316CCB"/>
    <w:rsid w:val="00316CFD"/>
    <w:rsid w:val="00316D38"/>
    <w:rsid w:val="00316D8C"/>
    <w:rsid w:val="00316E1F"/>
    <w:rsid w:val="00316E3D"/>
    <w:rsid w:val="00316E63"/>
    <w:rsid w:val="00316E66"/>
    <w:rsid w:val="00316E89"/>
    <w:rsid w:val="00316EAD"/>
    <w:rsid w:val="00316ECD"/>
    <w:rsid w:val="00316EDC"/>
    <w:rsid w:val="00316F62"/>
    <w:rsid w:val="00316F81"/>
    <w:rsid w:val="00316F8C"/>
    <w:rsid w:val="00316FE0"/>
    <w:rsid w:val="00316FE6"/>
    <w:rsid w:val="00316FEA"/>
    <w:rsid w:val="0031700B"/>
    <w:rsid w:val="0031708B"/>
    <w:rsid w:val="0031709D"/>
    <w:rsid w:val="003170C9"/>
    <w:rsid w:val="0031710F"/>
    <w:rsid w:val="0031712D"/>
    <w:rsid w:val="00317138"/>
    <w:rsid w:val="00317171"/>
    <w:rsid w:val="0031719E"/>
    <w:rsid w:val="00317232"/>
    <w:rsid w:val="00317234"/>
    <w:rsid w:val="00317251"/>
    <w:rsid w:val="00317282"/>
    <w:rsid w:val="00317295"/>
    <w:rsid w:val="003172D0"/>
    <w:rsid w:val="0031730A"/>
    <w:rsid w:val="0031731D"/>
    <w:rsid w:val="0031736B"/>
    <w:rsid w:val="0031738E"/>
    <w:rsid w:val="003173C9"/>
    <w:rsid w:val="00317405"/>
    <w:rsid w:val="00317455"/>
    <w:rsid w:val="003174A0"/>
    <w:rsid w:val="003174B3"/>
    <w:rsid w:val="0031751E"/>
    <w:rsid w:val="00317554"/>
    <w:rsid w:val="00317563"/>
    <w:rsid w:val="003175A7"/>
    <w:rsid w:val="003175BB"/>
    <w:rsid w:val="00317603"/>
    <w:rsid w:val="0031765F"/>
    <w:rsid w:val="003176A9"/>
    <w:rsid w:val="003176C3"/>
    <w:rsid w:val="003176D6"/>
    <w:rsid w:val="003176E4"/>
    <w:rsid w:val="003177A8"/>
    <w:rsid w:val="003177AD"/>
    <w:rsid w:val="003177BE"/>
    <w:rsid w:val="003177C4"/>
    <w:rsid w:val="003178CB"/>
    <w:rsid w:val="003178F1"/>
    <w:rsid w:val="00317A0C"/>
    <w:rsid w:val="00317ADC"/>
    <w:rsid w:val="00317B10"/>
    <w:rsid w:val="00317B4D"/>
    <w:rsid w:val="00317BC2"/>
    <w:rsid w:val="00317C22"/>
    <w:rsid w:val="00317CA0"/>
    <w:rsid w:val="00317CF3"/>
    <w:rsid w:val="00317D27"/>
    <w:rsid w:val="00317D9E"/>
    <w:rsid w:val="00317DAD"/>
    <w:rsid w:val="00317E86"/>
    <w:rsid w:val="00317EA2"/>
    <w:rsid w:val="00317EB3"/>
    <w:rsid w:val="00317EF8"/>
    <w:rsid w:val="00317F22"/>
    <w:rsid w:val="00317F23"/>
    <w:rsid w:val="00317F7A"/>
    <w:rsid w:val="00317F8A"/>
    <w:rsid w:val="00317FB1"/>
    <w:rsid w:val="00317FBA"/>
    <w:rsid w:val="00317FBE"/>
    <w:rsid w:val="0032000A"/>
    <w:rsid w:val="0032003D"/>
    <w:rsid w:val="003200A3"/>
    <w:rsid w:val="003200B4"/>
    <w:rsid w:val="003200CE"/>
    <w:rsid w:val="003200E2"/>
    <w:rsid w:val="003200F7"/>
    <w:rsid w:val="0032012E"/>
    <w:rsid w:val="003201A0"/>
    <w:rsid w:val="003201B7"/>
    <w:rsid w:val="003201C2"/>
    <w:rsid w:val="0032022A"/>
    <w:rsid w:val="00320248"/>
    <w:rsid w:val="0032028F"/>
    <w:rsid w:val="003202A1"/>
    <w:rsid w:val="003202AE"/>
    <w:rsid w:val="003202AF"/>
    <w:rsid w:val="003202D0"/>
    <w:rsid w:val="003203BB"/>
    <w:rsid w:val="003203CE"/>
    <w:rsid w:val="00320426"/>
    <w:rsid w:val="00320435"/>
    <w:rsid w:val="00320447"/>
    <w:rsid w:val="00320469"/>
    <w:rsid w:val="00320556"/>
    <w:rsid w:val="003205B4"/>
    <w:rsid w:val="003205D6"/>
    <w:rsid w:val="003205F1"/>
    <w:rsid w:val="0032060E"/>
    <w:rsid w:val="00320639"/>
    <w:rsid w:val="00320649"/>
    <w:rsid w:val="00320650"/>
    <w:rsid w:val="00320689"/>
    <w:rsid w:val="00320715"/>
    <w:rsid w:val="0032076E"/>
    <w:rsid w:val="0032085E"/>
    <w:rsid w:val="003208AC"/>
    <w:rsid w:val="003208B1"/>
    <w:rsid w:val="003208F7"/>
    <w:rsid w:val="00320904"/>
    <w:rsid w:val="00320922"/>
    <w:rsid w:val="0032098E"/>
    <w:rsid w:val="00320998"/>
    <w:rsid w:val="003209C0"/>
    <w:rsid w:val="00320A51"/>
    <w:rsid w:val="00320A85"/>
    <w:rsid w:val="00320AB7"/>
    <w:rsid w:val="00320AD3"/>
    <w:rsid w:val="00320B24"/>
    <w:rsid w:val="00320B33"/>
    <w:rsid w:val="00320B5F"/>
    <w:rsid w:val="00320B9E"/>
    <w:rsid w:val="00320BA4"/>
    <w:rsid w:val="00320BD7"/>
    <w:rsid w:val="00320C44"/>
    <w:rsid w:val="00320C75"/>
    <w:rsid w:val="00320CBF"/>
    <w:rsid w:val="00320D0A"/>
    <w:rsid w:val="00320D13"/>
    <w:rsid w:val="00320DDB"/>
    <w:rsid w:val="00320DDC"/>
    <w:rsid w:val="00320DF3"/>
    <w:rsid w:val="00320E6C"/>
    <w:rsid w:val="00320E91"/>
    <w:rsid w:val="00320EC4"/>
    <w:rsid w:val="00320F13"/>
    <w:rsid w:val="0032101F"/>
    <w:rsid w:val="00321076"/>
    <w:rsid w:val="003210A0"/>
    <w:rsid w:val="003210F4"/>
    <w:rsid w:val="00321123"/>
    <w:rsid w:val="00321131"/>
    <w:rsid w:val="00321132"/>
    <w:rsid w:val="00321155"/>
    <w:rsid w:val="003211F3"/>
    <w:rsid w:val="0032120F"/>
    <w:rsid w:val="00321227"/>
    <w:rsid w:val="0032125C"/>
    <w:rsid w:val="00321280"/>
    <w:rsid w:val="003212BC"/>
    <w:rsid w:val="003212E9"/>
    <w:rsid w:val="003212EE"/>
    <w:rsid w:val="003212EF"/>
    <w:rsid w:val="0032130A"/>
    <w:rsid w:val="0032140F"/>
    <w:rsid w:val="0032141E"/>
    <w:rsid w:val="00321427"/>
    <w:rsid w:val="003214A2"/>
    <w:rsid w:val="0032155E"/>
    <w:rsid w:val="003215C4"/>
    <w:rsid w:val="003215E6"/>
    <w:rsid w:val="00321619"/>
    <w:rsid w:val="003216E9"/>
    <w:rsid w:val="00321753"/>
    <w:rsid w:val="0032177B"/>
    <w:rsid w:val="003217A3"/>
    <w:rsid w:val="00321810"/>
    <w:rsid w:val="0032181C"/>
    <w:rsid w:val="00321853"/>
    <w:rsid w:val="0032188B"/>
    <w:rsid w:val="0032195B"/>
    <w:rsid w:val="0032198D"/>
    <w:rsid w:val="003219C4"/>
    <w:rsid w:val="00321A1B"/>
    <w:rsid w:val="00321ADA"/>
    <w:rsid w:val="00321AF7"/>
    <w:rsid w:val="00321AFB"/>
    <w:rsid w:val="00321B15"/>
    <w:rsid w:val="00321C17"/>
    <w:rsid w:val="00321C31"/>
    <w:rsid w:val="00321C7A"/>
    <w:rsid w:val="00321CCC"/>
    <w:rsid w:val="00321CD1"/>
    <w:rsid w:val="00321CD2"/>
    <w:rsid w:val="00321D1A"/>
    <w:rsid w:val="00321D22"/>
    <w:rsid w:val="00321D2E"/>
    <w:rsid w:val="00321DC3"/>
    <w:rsid w:val="00321DD1"/>
    <w:rsid w:val="00321DF4"/>
    <w:rsid w:val="00321E02"/>
    <w:rsid w:val="00321E41"/>
    <w:rsid w:val="00321E47"/>
    <w:rsid w:val="00321E66"/>
    <w:rsid w:val="00321E8A"/>
    <w:rsid w:val="00321F40"/>
    <w:rsid w:val="00321FA0"/>
    <w:rsid w:val="00321FD2"/>
    <w:rsid w:val="00322068"/>
    <w:rsid w:val="0032206C"/>
    <w:rsid w:val="003220D3"/>
    <w:rsid w:val="00322121"/>
    <w:rsid w:val="00322149"/>
    <w:rsid w:val="003221AA"/>
    <w:rsid w:val="003222BB"/>
    <w:rsid w:val="003222D7"/>
    <w:rsid w:val="003222DE"/>
    <w:rsid w:val="00322302"/>
    <w:rsid w:val="0032232C"/>
    <w:rsid w:val="00322341"/>
    <w:rsid w:val="003223E9"/>
    <w:rsid w:val="003223F1"/>
    <w:rsid w:val="00322435"/>
    <w:rsid w:val="0032243A"/>
    <w:rsid w:val="00322441"/>
    <w:rsid w:val="0032247E"/>
    <w:rsid w:val="0032249B"/>
    <w:rsid w:val="003224A0"/>
    <w:rsid w:val="003224AA"/>
    <w:rsid w:val="00322552"/>
    <w:rsid w:val="00322557"/>
    <w:rsid w:val="0032274D"/>
    <w:rsid w:val="00322784"/>
    <w:rsid w:val="00322798"/>
    <w:rsid w:val="003227AB"/>
    <w:rsid w:val="0032281A"/>
    <w:rsid w:val="00322832"/>
    <w:rsid w:val="00322856"/>
    <w:rsid w:val="0032290B"/>
    <w:rsid w:val="0032291B"/>
    <w:rsid w:val="00322942"/>
    <w:rsid w:val="003229B3"/>
    <w:rsid w:val="00322A49"/>
    <w:rsid w:val="00322B02"/>
    <w:rsid w:val="00322B97"/>
    <w:rsid w:val="00322BAF"/>
    <w:rsid w:val="00322BC5"/>
    <w:rsid w:val="00322C3A"/>
    <w:rsid w:val="00322C52"/>
    <w:rsid w:val="00322C86"/>
    <w:rsid w:val="00322CA9"/>
    <w:rsid w:val="00322CB5"/>
    <w:rsid w:val="00322CE3"/>
    <w:rsid w:val="00322D68"/>
    <w:rsid w:val="00322DAA"/>
    <w:rsid w:val="00322DCB"/>
    <w:rsid w:val="00322E36"/>
    <w:rsid w:val="00322EF0"/>
    <w:rsid w:val="00322FAE"/>
    <w:rsid w:val="00322FF7"/>
    <w:rsid w:val="0032308C"/>
    <w:rsid w:val="003230A4"/>
    <w:rsid w:val="003230AC"/>
    <w:rsid w:val="003230B4"/>
    <w:rsid w:val="003230D0"/>
    <w:rsid w:val="003230EE"/>
    <w:rsid w:val="0032313D"/>
    <w:rsid w:val="0032314C"/>
    <w:rsid w:val="00323158"/>
    <w:rsid w:val="00323198"/>
    <w:rsid w:val="0032319D"/>
    <w:rsid w:val="003231CC"/>
    <w:rsid w:val="0032325B"/>
    <w:rsid w:val="00323303"/>
    <w:rsid w:val="0032331B"/>
    <w:rsid w:val="0032332D"/>
    <w:rsid w:val="00323330"/>
    <w:rsid w:val="003233D1"/>
    <w:rsid w:val="003233EF"/>
    <w:rsid w:val="00323403"/>
    <w:rsid w:val="0032343C"/>
    <w:rsid w:val="00323465"/>
    <w:rsid w:val="003234DB"/>
    <w:rsid w:val="003234E0"/>
    <w:rsid w:val="00323533"/>
    <w:rsid w:val="0032353F"/>
    <w:rsid w:val="00323540"/>
    <w:rsid w:val="0032363B"/>
    <w:rsid w:val="00323677"/>
    <w:rsid w:val="003236A0"/>
    <w:rsid w:val="003236E1"/>
    <w:rsid w:val="003236F4"/>
    <w:rsid w:val="0032372F"/>
    <w:rsid w:val="0032375D"/>
    <w:rsid w:val="00323774"/>
    <w:rsid w:val="00323789"/>
    <w:rsid w:val="00323897"/>
    <w:rsid w:val="003238B5"/>
    <w:rsid w:val="00323943"/>
    <w:rsid w:val="00323950"/>
    <w:rsid w:val="00323973"/>
    <w:rsid w:val="0032397B"/>
    <w:rsid w:val="00323997"/>
    <w:rsid w:val="00323A07"/>
    <w:rsid w:val="00323A4F"/>
    <w:rsid w:val="00323AC8"/>
    <w:rsid w:val="00323AF0"/>
    <w:rsid w:val="00323B52"/>
    <w:rsid w:val="00323C45"/>
    <w:rsid w:val="00323C84"/>
    <w:rsid w:val="00323CA7"/>
    <w:rsid w:val="00323CDC"/>
    <w:rsid w:val="00323CF9"/>
    <w:rsid w:val="00323CFE"/>
    <w:rsid w:val="00323D06"/>
    <w:rsid w:val="00323D12"/>
    <w:rsid w:val="00323D88"/>
    <w:rsid w:val="00323DE2"/>
    <w:rsid w:val="00323E27"/>
    <w:rsid w:val="00323E2B"/>
    <w:rsid w:val="00323E49"/>
    <w:rsid w:val="00323EB5"/>
    <w:rsid w:val="00323EBC"/>
    <w:rsid w:val="00323EC3"/>
    <w:rsid w:val="00323F1A"/>
    <w:rsid w:val="00323F29"/>
    <w:rsid w:val="00323F2C"/>
    <w:rsid w:val="00323FB3"/>
    <w:rsid w:val="00323FB9"/>
    <w:rsid w:val="00323FC6"/>
    <w:rsid w:val="00324003"/>
    <w:rsid w:val="00324099"/>
    <w:rsid w:val="003240B8"/>
    <w:rsid w:val="003240BD"/>
    <w:rsid w:val="003240FD"/>
    <w:rsid w:val="0032419E"/>
    <w:rsid w:val="0032420D"/>
    <w:rsid w:val="003242BD"/>
    <w:rsid w:val="003242D9"/>
    <w:rsid w:val="003243C5"/>
    <w:rsid w:val="0032441B"/>
    <w:rsid w:val="00324437"/>
    <w:rsid w:val="003244A2"/>
    <w:rsid w:val="003244AD"/>
    <w:rsid w:val="00324514"/>
    <w:rsid w:val="0032456E"/>
    <w:rsid w:val="003245DF"/>
    <w:rsid w:val="0032466C"/>
    <w:rsid w:val="00324727"/>
    <w:rsid w:val="00324771"/>
    <w:rsid w:val="00324772"/>
    <w:rsid w:val="0032478C"/>
    <w:rsid w:val="00324792"/>
    <w:rsid w:val="00324794"/>
    <w:rsid w:val="003247D5"/>
    <w:rsid w:val="003247D8"/>
    <w:rsid w:val="003247E3"/>
    <w:rsid w:val="003247ED"/>
    <w:rsid w:val="00324813"/>
    <w:rsid w:val="00324851"/>
    <w:rsid w:val="00324874"/>
    <w:rsid w:val="003248D3"/>
    <w:rsid w:val="00324917"/>
    <w:rsid w:val="00324968"/>
    <w:rsid w:val="003249F3"/>
    <w:rsid w:val="00324A08"/>
    <w:rsid w:val="00324A17"/>
    <w:rsid w:val="00324A7C"/>
    <w:rsid w:val="00324A93"/>
    <w:rsid w:val="00324B52"/>
    <w:rsid w:val="00324BB6"/>
    <w:rsid w:val="00324BB9"/>
    <w:rsid w:val="00324C8E"/>
    <w:rsid w:val="00324D59"/>
    <w:rsid w:val="00324D5B"/>
    <w:rsid w:val="00324DFF"/>
    <w:rsid w:val="00324E19"/>
    <w:rsid w:val="00324E21"/>
    <w:rsid w:val="00324E24"/>
    <w:rsid w:val="00324E39"/>
    <w:rsid w:val="00324E5B"/>
    <w:rsid w:val="00324EDE"/>
    <w:rsid w:val="00324F1A"/>
    <w:rsid w:val="00324F6B"/>
    <w:rsid w:val="00324F89"/>
    <w:rsid w:val="00324FAE"/>
    <w:rsid w:val="0032502D"/>
    <w:rsid w:val="0032502E"/>
    <w:rsid w:val="003250E4"/>
    <w:rsid w:val="0032518B"/>
    <w:rsid w:val="003251C2"/>
    <w:rsid w:val="0032520A"/>
    <w:rsid w:val="00325235"/>
    <w:rsid w:val="00325247"/>
    <w:rsid w:val="00325248"/>
    <w:rsid w:val="0032526B"/>
    <w:rsid w:val="0032527C"/>
    <w:rsid w:val="003252C6"/>
    <w:rsid w:val="003252C7"/>
    <w:rsid w:val="003252FA"/>
    <w:rsid w:val="0032531D"/>
    <w:rsid w:val="0032536A"/>
    <w:rsid w:val="00325404"/>
    <w:rsid w:val="0032541B"/>
    <w:rsid w:val="00325442"/>
    <w:rsid w:val="00325462"/>
    <w:rsid w:val="00325476"/>
    <w:rsid w:val="00325581"/>
    <w:rsid w:val="003255AB"/>
    <w:rsid w:val="003255F0"/>
    <w:rsid w:val="003255F4"/>
    <w:rsid w:val="003255FF"/>
    <w:rsid w:val="00325608"/>
    <w:rsid w:val="0032566C"/>
    <w:rsid w:val="0032568E"/>
    <w:rsid w:val="003256E1"/>
    <w:rsid w:val="0032570A"/>
    <w:rsid w:val="0032570B"/>
    <w:rsid w:val="00325715"/>
    <w:rsid w:val="0032574E"/>
    <w:rsid w:val="00325814"/>
    <w:rsid w:val="0032581A"/>
    <w:rsid w:val="00325889"/>
    <w:rsid w:val="003258AD"/>
    <w:rsid w:val="003258CA"/>
    <w:rsid w:val="00325953"/>
    <w:rsid w:val="00325956"/>
    <w:rsid w:val="003259D9"/>
    <w:rsid w:val="00325A1D"/>
    <w:rsid w:val="00325B1F"/>
    <w:rsid w:val="00325B6B"/>
    <w:rsid w:val="00325B84"/>
    <w:rsid w:val="00325BA9"/>
    <w:rsid w:val="00325BBE"/>
    <w:rsid w:val="00325BCC"/>
    <w:rsid w:val="00325BDA"/>
    <w:rsid w:val="00325C85"/>
    <w:rsid w:val="00325C91"/>
    <w:rsid w:val="00325CB8"/>
    <w:rsid w:val="00325CCE"/>
    <w:rsid w:val="00325CDD"/>
    <w:rsid w:val="00325CE4"/>
    <w:rsid w:val="00325D15"/>
    <w:rsid w:val="00325D20"/>
    <w:rsid w:val="00325D4B"/>
    <w:rsid w:val="00325D56"/>
    <w:rsid w:val="00325E2D"/>
    <w:rsid w:val="00325EEA"/>
    <w:rsid w:val="00325F17"/>
    <w:rsid w:val="00325F6D"/>
    <w:rsid w:val="00325F9A"/>
    <w:rsid w:val="00325FB1"/>
    <w:rsid w:val="00325FEC"/>
    <w:rsid w:val="00326050"/>
    <w:rsid w:val="00326102"/>
    <w:rsid w:val="00326141"/>
    <w:rsid w:val="00326145"/>
    <w:rsid w:val="00326158"/>
    <w:rsid w:val="003261A6"/>
    <w:rsid w:val="003261AF"/>
    <w:rsid w:val="003261E3"/>
    <w:rsid w:val="00326274"/>
    <w:rsid w:val="00326293"/>
    <w:rsid w:val="00326295"/>
    <w:rsid w:val="003262DC"/>
    <w:rsid w:val="00326365"/>
    <w:rsid w:val="0032638F"/>
    <w:rsid w:val="003263B2"/>
    <w:rsid w:val="003263EB"/>
    <w:rsid w:val="003263FA"/>
    <w:rsid w:val="00326412"/>
    <w:rsid w:val="0032641C"/>
    <w:rsid w:val="003264C7"/>
    <w:rsid w:val="003264E9"/>
    <w:rsid w:val="003265EB"/>
    <w:rsid w:val="0032661E"/>
    <w:rsid w:val="00326646"/>
    <w:rsid w:val="003266DC"/>
    <w:rsid w:val="00326756"/>
    <w:rsid w:val="0032676E"/>
    <w:rsid w:val="003267AA"/>
    <w:rsid w:val="00326819"/>
    <w:rsid w:val="00326861"/>
    <w:rsid w:val="0032687E"/>
    <w:rsid w:val="00326884"/>
    <w:rsid w:val="003268D5"/>
    <w:rsid w:val="00326911"/>
    <w:rsid w:val="003269E2"/>
    <w:rsid w:val="00326A43"/>
    <w:rsid w:val="00326A4A"/>
    <w:rsid w:val="00326A6A"/>
    <w:rsid w:val="00326A99"/>
    <w:rsid w:val="00326AA6"/>
    <w:rsid w:val="00326ACF"/>
    <w:rsid w:val="00326B02"/>
    <w:rsid w:val="00326B06"/>
    <w:rsid w:val="00326B24"/>
    <w:rsid w:val="00326BD0"/>
    <w:rsid w:val="00326BF1"/>
    <w:rsid w:val="00326C9E"/>
    <w:rsid w:val="00326D01"/>
    <w:rsid w:val="00326D74"/>
    <w:rsid w:val="00326D8E"/>
    <w:rsid w:val="00326DDB"/>
    <w:rsid w:val="00326DF1"/>
    <w:rsid w:val="00326E28"/>
    <w:rsid w:val="00326E77"/>
    <w:rsid w:val="00326EB2"/>
    <w:rsid w:val="00326F3B"/>
    <w:rsid w:val="00326F56"/>
    <w:rsid w:val="00326F58"/>
    <w:rsid w:val="00327027"/>
    <w:rsid w:val="0032704C"/>
    <w:rsid w:val="00327054"/>
    <w:rsid w:val="003270CD"/>
    <w:rsid w:val="00327144"/>
    <w:rsid w:val="00327150"/>
    <w:rsid w:val="003271BF"/>
    <w:rsid w:val="003271E7"/>
    <w:rsid w:val="003271E9"/>
    <w:rsid w:val="00327215"/>
    <w:rsid w:val="00327239"/>
    <w:rsid w:val="00327246"/>
    <w:rsid w:val="0032725C"/>
    <w:rsid w:val="003272B7"/>
    <w:rsid w:val="003272E2"/>
    <w:rsid w:val="003272F6"/>
    <w:rsid w:val="00327302"/>
    <w:rsid w:val="00327351"/>
    <w:rsid w:val="003273C6"/>
    <w:rsid w:val="0032742E"/>
    <w:rsid w:val="00327463"/>
    <w:rsid w:val="00327466"/>
    <w:rsid w:val="00327496"/>
    <w:rsid w:val="0032749E"/>
    <w:rsid w:val="003274D9"/>
    <w:rsid w:val="003274E2"/>
    <w:rsid w:val="00327524"/>
    <w:rsid w:val="0032760C"/>
    <w:rsid w:val="0032761A"/>
    <w:rsid w:val="0032768F"/>
    <w:rsid w:val="003276B8"/>
    <w:rsid w:val="003276DB"/>
    <w:rsid w:val="003276E9"/>
    <w:rsid w:val="00327720"/>
    <w:rsid w:val="003277DF"/>
    <w:rsid w:val="0032787D"/>
    <w:rsid w:val="0032789B"/>
    <w:rsid w:val="003278A3"/>
    <w:rsid w:val="0032793B"/>
    <w:rsid w:val="00327A29"/>
    <w:rsid w:val="00327A43"/>
    <w:rsid w:val="00327A86"/>
    <w:rsid w:val="00327A87"/>
    <w:rsid w:val="00327A97"/>
    <w:rsid w:val="00327AC4"/>
    <w:rsid w:val="00327B2E"/>
    <w:rsid w:val="00327B43"/>
    <w:rsid w:val="00327B6B"/>
    <w:rsid w:val="00327B98"/>
    <w:rsid w:val="00327BA4"/>
    <w:rsid w:val="00327BC9"/>
    <w:rsid w:val="00327BD0"/>
    <w:rsid w:val="00327BEE"/>
    <w:rsid w:val="00327C18"/>
    <w:rsid w:val="00327CA8"/>
    <w:rsid w:val="00327CD2"/>
    <w:rsid w:val="00327D2E"/>
    <w:rsid w:val="00327D59"/>
    <w:rsid w:val="00327E4F"/>
    <w:rsid w:val="00327E50"/>
    <w:rsid w:val="00327E86"/>
    <w:rsid w:val="00327E8E"/>
    <w:rsid w:val="00327E9A"/>
    <w:rsid w:val="00327EB0"/>
    <w:rsid w:val="00327F03"/>
    <w:rsid w:val="00327F0C"/>
    <w:rsid w:val="00327F30"/>
    <w:rsid w:val="00327F64"/>
    <w:rsid w:val="00327F66"/>
    <w:rsid w:val="00327F8C"/>
    <w:rsid w:val="0033000E"/>
    <w:rsid w:val="0033003D"/>
    <w:rsid w:val="0033006E"/>
    <w:rsid w:val="0033006F"/>
    <w:rsid w:val="003300BF"/>
    <w:rsid w:val="00330233"/>
    <w:rsid w:val="0033028E"/>
    <w:rsid w:val="00330296"/>
    <w:rsid w:val="003302A2"/>
    <w:rsid w:val="003302CB"/>
    <w:rsid w:val="0033032A"/>
    <w:rsid w:val="00330388"/>
    <w:rsid w:val="00330398"/>
    <w:rsid w:val="00330423"/>
    <w:rsid w:val="00330468"/>
    <w:rsid w:val="00330474"/>
    <w:rsid w:val="003304B1"/>
    <w:rsid w:val="003305BB"/>
    <w:rsid w:val="003305CE"/>
    <w:rsid w:val="00330612"/>
    <w:rsid w:val="0033076C"/>
    <w:rsid w:val="0033076D"/>
    <w:rsid w:val="003307D3"/>
    <w:rsid w:val="003307D4"/>
    <w:rsid w:val="003307E8"/>
    <w:rsid w:val="0033081A"/>
    <w:rsid w:val="0033086B"/>
    <w:rsid w:val="003308E2"/>
    <w:rsid w:val="0033090A"/>
    <w:rsid w:val="00330A82"/>
    <w:rsid w:val="00330B39"/>
    <w:rsid w:val="00330B6E"/>
    <w:rsid w:val="00330C05"/>
    <w:rsid w:val="00330C62"/>
    <w:rsid w:val="00330C9C"/>
    <w:rsid w:val="00330CBF"/>
    <w:rsid w:val="00330D0C"/>
    <w:rsid w:val="00330D0E"/>
    <w:rsid w:val="00330D14"/>
    <w:rsid w:val="00330D5A"/>
    <w:rsid w:val="00330DA0"/>
    <w:rsid w:val="00330DFE"/>
    <w:rsid w:val="00330E16"/>
    <w:rsid w:val="00330E3F"/>
    <w:rsid w:val="00330E77"/>
    <w:rsid w:val="00330E7F"/>
    <w:rsid w:val="00330ED3"/>
    <w:rsid w:val="00330EE8"/>
    <w:rsid w:val="00330F24"/>
    <w:rsid w:val="00330F88"/>
    <w:rsid w:val="00331038"/>
    <w:rsid w:val="00331146"/>
    <w:rsid w:val="0033115C"/>
    <w:rsid w:val="003311AC"/>
    <w:rsid w:val="003311CF"/>
    <w:rsid w:val="00331208"/>
    <w:rsid w:val="00331216"/>
    <w:rsid w:val="00331219"/>
    <w:rsid w:val="0033125A"/>
    <w:rsid w:val="003312C6"/>
    <w:rsid w:val="00331366"/>
    <w:rsid w:val="003313BD"/>
    <w:rsid w:val="003313D4"/>
    <w:rsid w:val="00331458"/>
    <w:rsid w:val="00331459"/>
    <w:rsid w:val="00331477"/>
    <w:rsid w:val="0033149C"/>
    <w:rsid w:val="003314A8"/>
    <w:rsid w:val="00331510"/>
    <w:rsid w:val="00331519"/>
    <w:rsid w:val="00331527"/>
    <w:rsid w:val="0033153C"/>
    <w:rsid w:val="00331579"/>
    <w:rsid w:val="003315CF"/>
    <w:rsid w:val="003315D7"/>
    <w:rsid w:val="0033161B"/>
    <w:rsid w:val="00331654"/>
    <w:rsid w:val="00331656"/>
    <w:rsid w:val="00331705"/>
    <w:rsid w:val="00331709"/>
    <w:rsid w:val="00331748"/>
    <w:rsid w:val="0033174D"/>
    <w:rsid w:val="0033177E"/>
    <w:rsid w:val="003317B3"/>
    <w:rsid w:val="00331808"/>
    <w:rsid w:val="00331829"/>
    <w:rsid w:val="0033183D"/>
    <w:rsid w:val="0033187F"/>
    <w:rsid w:val="00331882"/>
    <w:rsid w:val="0033191F"/>
    <w:rsid w:val="0033193B"/>
    <w:rsid w:val="0033195A"/>
    <w:rsid w:val="0033195C"/>
    <w:rsid w:val="0033199C"/>
    <w:rsid w:val="00331A2E"/>
    <w:rsid w:val="00331A4B"/>
    <w:rsid w:val="00331A8A"/>
    <w:rsid w:val="00331AA3"/>
    <w:rsid w:val="00331AAF"/>
    <w:rsid w:val="00331BC2"/>
    <w:rsid w:val="00331BDF"/>
    <w:rsid w:val="00331BEB"/>
    <w:rsid w:val="00331C32"/>
    <w:rsid w:val="00331C42"/>
    <w:rsid w:val="00331C49"/>
    <w:rsid w:val="00331CC8"/>
    <w:rsid w:val="00331CCF"/>
    <w:rsid w:val="00331CDC"/>
    <w:rsid w:val="00331D05"/>
    <w:rsid w:val="00331DF8"/>
    <w:rsid w:val="00331E04"/>
    <w:rsid w:val="00331E43"/>
    <w:rsid w:val="00331EA0"/>
    <w:rsid w:val="00331ECA"/>
    <w:rsid w:val="00331F77"/>
    <w:rsid w:val="00331FC0"/>
    <w:rsid w:val="00331FD1"/>
    <w:rsid w:val="0033202E"/>
    <w:rsid w:val="00332055"/>
    <w:rsid w:val="003320CF"/>
    <w:rsid w:val="003320E3"/>
    <w:rsid w:val="00332138"/>
    <w:rsid w:val="0033218E"/>
    <w:rsid w:val="003321B6"/>
    <w:rsid w:val="003321C9"/>
    <w:rsid w:val="003321DF"/>
    <w:rsid w:val="0033223F"/>
    <w:rsid w:val="00332251"/>
    <w:rsid w:val="0033225F"/>
    <w:rsid w:val="00332286"/>
    <w:rsid w:val="003322D7"/>
    <w:rsid w:val="0033232B"/>
    <w:rsid w:val="00332336"/>
    <w:rsid w:val="00332339"/>
    <w:rsid w:val="00332381"/>
    <w:rsid w:val="003323E1"/>
    <w:rsid w:val="003323E3"/>
    <w:rsid w:val="00332401"/>
    <w:rsid w:val="00332478"/>
    <w:rsid w:val="0033247F"/>
    <w:rsid w:val="00332484"/>
    <w:rsid w:val="0033258D"/>
    <w:rsid w:val="003325A8"/>
    <w:rsid w:val="003325EA"/>
    <w:rsid w:val="00332659"/>
    <w:rsid w:val="003326C0"/>
    <w:rsid w:val="00332704"/>
    <w:rsid w:val="0033272D"/>
    <w:rsid w:val="00332735"/>
    <w:rsid w:val="00332771"/>
    <w:rsid w:val="00332813"/>
    <w:rsid w:val="00332838"/>
    <w:rsid w:val="00332897"/>
    <w:rsid w:val="003328C0"/>
    <w:rsid w:val="003328CE"/>
    <w:rsid w:val="0033290C"/>
    <w:rsid w:val="00332944"/>
    <w:rsid w:val="00332950"/>
    <w:rsid w:val="00332A21"/>
    <w:rsid w:val="00332A40"/>
    <w:rsid w:val="00332C32"/>
    <w:rsid w:val="00332C78"/>
    <w:rsid w:val="00332CCA"/>
    <w:rsid w:val="00332CD5"/>
    <w:rsid w:val="00332CE2"/>
    <w:rsid w:val="00332CF6"/>
    <w:rsid w:val="00332D71"/>
    <w:rsid w:val="00332EF2"/>
    <w:rsid w:val="00332F12"/>
    <w:rsid w:val="00332F6D"/>
    <w:rsid w:val="00332F73"/>
    <w:rsid w:val="00332F8A"/>
    <w:rsid w:val="00332FFA"/>
    <w:rsid w:val="0033300B"/>
    <w:rsid w:val="00333083"/>
    <w:rsid w:val="0033317D"/>
    <w:rsid w:val="003331EC"/>
    <w:rsid w:val="003331F6"/>
    <w:rsid w:val="003332BF"/>
    <w:rsid w:val="003332C0"/>
    <w:rsid w:val="003332F9"/>
    <w:rsid w:val="00333312"/>
    <w:rsid w:val="00333367"/>
    <w:rsid w:val="00333486"/>
    <w:rsid w:val="00333487"/>
    <w:rsid w:val="003334A1"/>
    <w:rsid w:val="00333529"/>
    <w:rsid w:val="00333569"/>
    <w:rsid w:val="00333573"/>
    <w:rsid w:val="003335C0"/>
    <w:rsid w:val="00333673"/>
    <w:rsid w:val="003336AE"/>
    <w:rsid w:val="00333763"/>
    <w:rsid w:val="00333775"/>
    <w:rsid w:val="0033377C"/>
    <w:rsid w:val="003337A6"/>
    <w:rsid w:val="0033381C"/>
    <w:rsid w:val="00333873"/>
    <w:rsid w:val="0033395B"/>
    <w:rsid w:val="00333974"/>
    <w:rsid w:val="00333A44"/>
    <w:rsid w:val="00333AD6"/>
    <w:rsid w:val="00333B2B"/>
    <w:rsid w:val="00333BAA"/>
    <w:rsid w:val="00333C33"/>
    <w:rsid w:val="00333C4D"/>
    <w:rsid w:val="00333CF0"/>
    <w:rsid w:val="00333D48"/>
    <w:rsid w:val="00333D4B"/>
    <w:rsid w:val="00333D54"/>
    <w:rsid w:val="00333DA0"/>
    <w:rsid w:val="00333DF0"/>
    <w:rsid w:val="00333E05"/>
    <w:rsid w:val="00333E13"/>
    <w:rsid w:val="00333E57"/>
    <w:rsid w:val="00333E68"/>
    <w:rsid w:val="00333E7A"/>
    <w:rsid w:val="00333EE2"/>
    <w:rsid w:val="00333F21"/>
    <w:rsid w:val="00333F28"/>
    <w:rsid w:val="00333F51"/>
    <w:rsid w:val="00333F96"/>
    <w:rsid w:val="00333FCF"/>
    <w:rsid w:val="00333FDF"/>
    <w:rsid w:val="00333FF7"/>
    <w:rsid w:val="003340C0"/>
    <w:rsid w:val="00334109"/>
    <w:rsid w:val="00334135"/>
    <w:rsid w:val="00334198"/>
    <w:rsid w:val="003341BB"/>
    <w:rsid w:val="003341D5"/>
    <w:rsid w:val="003341E6"/>
    <w:rsid w:val="003341E8"/>
    <w:rsid w:val="00334260"/>
    <w:rsid w:val="00334290"/>
    <w:rsid w:val="003342BF"/>
    <w:rsid w:val="003342C3"/>
    <w:rsid w:val="00334308"/>
    <w:rsid w:val="00334353"/>
    <w:rsid w:val="00334374"/>
    <w:rsid w:val="003343A8"/>
    <w:rsid w:val="003343A9"/>
    <w:rsid w:val="003343B3"/>
    <w:rsid w:val="003343E4"/>
    <w:rsid w:val="00334409"/>
    <w:rsid w:val="00334413"/>
    <w:rsid w:val="00334426"/>
    <w:rsid w:val="00334450"/>
    <w:rsid w:val="00334534"/>
    <w:rsid w:val="0033455F"/>
    <w:rsid w:val="0033456B"/>
    <w:rsid w:val="00334586"/>
    <w:rsid w:val="003345CD"/>
    <w:rsid w:val="00334625"/>
    <w:rsid w:val="00334649"/>
    <w:rsid w:val="00334650"/>
    <w:rsid w:val="0033465C"/>
    <w:rsid w:val="00334672"/>
    <w:rsid w:val="00334675"/>
    <w:rsid w:val="0033470B"/>
    <w:rsid w:val="0033470C"/>
    <w:rsid w:val="00334713"/>
    <w:rsid w:val="0033472B"/>
    <w:rsid w:val="003347E4"/>
    <w:rsid w:val="00334887"/>
    <w:rsid w:val="00334889"/>
    <w:rsid w:val="003349AE"/>
    <w:rsid w:val="003349E5"/>
    <w:rsid w:val="00334A1E"/>
    <w:rsid w:val="00334A21"/>
    <w:rsid w:val="00334A58"/>
    <w:rsid w:val="00334A5E"/>
    <w:rsid w:val="00334A7D"/>
    <w:rsid w:val="00334AD6"/>
    <w:rsid w:val="00334B5F"/>
    <w:rsid w:val="00334B62"/>
    <w:rsid w:val="00334B74"/>
    <w:rsid w:val="00334B87"/>
    <w:rsid w:val="00334C26"/>
    <w:rsid w:val="00334C5D"/>
    <w:rsid w:val="00334C83"/>
    <w:rsid w:val="00334CC1"/>
    <w:rsid w:val="00334D15"/>
    <w:rsid w:val="00334D1D"/>
    <w:rsid w:val="00334DBE"/>
    <w:rsid w:val="00334E11"/>
    <w:rsid w:val="00334E4D"/>
    <w:rsid w:val="00334E7D"/>
    <w:rsid w:val="00334E8F"/>
    <w:rsid w:val="00334E97"/>
    <w:rsid w:val="00334ECB"/>
    <w:rsid w:val="00334F68"/>
    <w:rsid w:val="00335026"/>
    <w:rsid w:val="00335045"/>
    <w:rsid w:val="00335078"/>
    <w:rsid w:val="0033511B"/>
    <w:rsid w:val="00335127"/>
    <w:rsid w:val="00335161"/>
    <w:rsid w:val="00335171"/>
    <w:rsid w:val="00335174"/>
    <w:rsid w:val="00335178"/>
    <w:rsid w:val="003351C4"/>
    <w:rsid w:val="003351EA"/>
    <w:rsid w:val="00335292"/>
    <w:rsid w:val="003352C5"/>
    <w:rsid w:val="003352CE"/>
    <w:rsid w:val="003353D4"/>
    <w:rsid w:val="00335414"/>
    <w:rsid w:val="00335460"/>
    <w:rsid w:val="003354C9"/>
    <w:rsid w:val="003354D1"/>
    <w:rsid w:val="0033550F"/>
    <w:rsid w:val="00335574"/>
    <w:rsid w:val="0033560F"/>
    <w:rsid w:val="00335669"/>
    <w:rsid w:val="00335678"/>
    <w:rsid w:val="003356B0"/>
    <w:rsid w:val="00335766"/>
    <w:rsid w:val="0033576C"/>
    <w:rsid w:val="00335778"/>
    <w:rsid w:val="0033577B"/>
    <w:rsid w:val="003357A2"/>
    <w:rsid w:val="003357E7"/>
    <w:rsid w:val="003357F2"/>
    <w:rsid w:val="00335840"/>
    <w:rsid w:val="0033586E"/>
    <w:rsid w:val="00335887"/>
    <w:rsid w:val="003358B8"/>
    <w:rsid w:val="003358C4"/>
    <w:rsid w:val="003358DD"/>
    <w:rsid w:val="003358EB"/>
    <w:rsid w:val="003359CC"/>
    <w:rsid w:val="00335A15"/>
    <w:rsid w:val="00335A83"/>
    <w:rsid w:val="00335A84"/>
    <w:rsid w:val="00335A8E"/>
    <w:rsid w:val="00335AC5"/>
    <w:rsid w:val="00335AE1"/>
    <w:rsid w:val="00335B14"/>
    <w:rsid w:val="00335B3F"/>
    <w:rsid w:val="00335B6F"/>
    <w:rsid w:val="00335B87"/>
    <w:rsid w:val="00335B9D"/>
    <w:rsid w:val="00335BBE"/>
    <w:rsid w:val="00335BED"/>
    <w:rsid w:val="00335C25"/>
    <w:rsid w:val="00335C2D"/>
    <w:rsid w:val="00335C51"/>
    <w:rsid w:val="00335C55"/>
    <w:rsid w:val="00335C91"/>
    <w:rsid w:val="00335CC2"/>
    <w:rsid w:val="00335CF6"/>
    <w:rsid w:val="00335D51"/>
    <w:rsid w:val="00335D6E"/>
    <w:rsid w:val="00335D70"/>
    <w:rsid w:val="00335D80"/>
    <w:rsid w:val="00335D95"/>
    <w:rsid w:val="00335DAE"/>
    <w:rsid w:val="00335DBE"/>
    <w:rsid w:val="00335EEE"/>
    <w:rsid w:val="00335FC1"/>
    <w:rsid w:val="00335FFA"/>
    <w:rsid w:val="0033607F"/>
    <w:rsid w:val="00336091"/>
    <w:rsid w:val="0033609C"/>
    <w:rsid w:val="003360AA"/>
    <w:rsid w:val="00336207"/>
    <w:rsid w:val="00336250"/>
    <w:rsid w:val="00336259"/>
    <w:rsid w:val="0033627E"/>
    <w:rsid w:val="00336378"/>
    <w:rsid w:val="00336385"/>
    <w:rsid w:val="003363BF"/>
    <w:rsid w:val="003363E1"/>
    <w:rsid w:val="003363F2"/>
    <w:rsid w:val="0033641C"/>
    <w:rsid w:val="00336424"/>
    <w:rsid w:val="00336446"/>
    <w:rsid w:val="00336457"/>
    <w:rsid w:val="0033645F"/>
    <w:rsid w:val="003364BF"/>
    <w:rsid w:val="0033650C"/>
    <w:rsid w:val="0033656C"/>
    <w:rsid w:val="003365D2"/>
    <w:rsid w:val="00336679"/>
    <w:rsid w:val="00336686"/>
    <w:rsid w:val="00336691"/>
    <w:rsid w:val="00336697"/>
    <w:rsid w:val="003366BF"/>
    <w:rsid w:val="00336732"/>
    <w:rsid w:val="003367CD"/>
    <w:rsid w:val="00336811"/>
    <w:rsid w:val="00336906"/>
    <w:rsid w:val="0033694A"/>
    <w:rsid w:val="00336A15"/>
    <w:rsid w:val="00336A26"/>
    <w:rsid w:val="00336A78"/>
    <w:rsid w:val="00336AB7"/>
    <w:rsid w:val="00336B76"/>
    <w:rsid w:val="00336B81"/>
    <w:rsid w:val="00336B82"/>
    <w:rsid w:val="00336C38"/>
    <w:rsid w:val="00336C3E"/>
    <w:rsid w:val="00336C95"/>
    <w:rsid w:val="00336CDD"/>
    <w:rsid w:val="00336CE9"/>
    <w:rsid w:val="00336D49"/>
    <w:rsid w:val="00336D75"/>
    <w:rsid w:val="00336D8F"/>
    <w:rsid w:val="00336E65"/>
    <w:rsid w:val="00336E93"/>
    <w:rsid w:val="00336E9B"/>
    <w:rsid w:val="00336F1A"/>
    <w:rsid w:val="00336F58"/>
    <w:rsid w:val="00336F5F"/>
    <w:rsid w:val="00336FBA"/>
    <w:rsid w:val="0033700B"/>
    <w:rsid w:val="0033701E"/>
    <w:rsid w:val="0033704B"/>
    <w:rsid w:val="00337099"/>
    <w:rsid w:val="003370CA"/>
    <w:rsid w:val="003370F0"/>
    <w:rsid w:val="00337157"/>
    <w:rsid w:val="0033715F"/>
    <w:rsid w:val="00337197"/>
    <w:rsid w:val="00337225"/>
    <w:rsid w:val="003372AF"/>
    <w:rsid w:val="003372B1"/>
    <w:rsid w:val="003372B9"/>
    <w:rsid w:val="003372BC"/>
    <w:rsid w:val="00337313"/>
    <w:rsid w:val="0033732F"/>
    <w:rsid w:val="00337382"/>
    <w:rsid w:val="003373A6"/>
    <w:rsid w:val="003373AD"/>
    <w:rsid w:val="003373EA"/>
    <w:rsid w:val="0033743D"/>
    <w:rsid w:val="00337477"/>
    <w:rsid w:val="0033747D"/>
    <w:rsid w:val="003374BB"/>
    <w:rsid w:val="0033755F"/>
    <w:rsid w:val="00337633"/>
    <w:rsid w:val="00337648"/>
    <w:rsid w:val="00337666"/>
    <w:rsid w:val="00337681"/>
    <w:rsid w:val="00337698"/>
    <w:rsid w:val="003376E8"/>
    <w:rsid w:val="003376F0"/>
    <w:rsid w:val="003377EB"/>
    <w:rsid w:val="00337840"/>
    <w:rsid w:val="003378A6"/>
    <w:rsid w:val="0033796D"/>
    <w:rsid w:val="0033797F"/>
    <w:rsid w:val="003379DE"/>
    <w:rsid w:val="00337A23"/>
    <w:rsid w:val="00337A42"/>
    <w:rsid w:val="00337A46"/>
    <w:rsid w:val="00337A48"/>
    <w:rsid w:val="00337A52"/>
    <w:rsid w:val="00337A5F"/>
    <w:rsid w:val="00337A7E"/>
    <w:rsid w:val="00337A8D"/>
    <w:rsid w:val="00337A9C"/>
    <w:rsid w:val="00337B19"/>
    <w:rsid w:val="00337B47"/>
    <w:rsid w:val="00337B78"/>
    <w:rsid w:val="00337BEE"/>
    <w:rsid w:val="00337C68"/>
    <w:rsid w:val="00337CC1"/>
    <w:rsid w:val="00337D48"/>
    <w:rsid w:val="00337D9A"/>
    <w:rsid w:val="00337DA4"/>
    <w:rsid w:val="00337DC5"/>
    <w:rsid w:val="00337DCC"/>
    <w:rsid w:val="00337E32"/>
    <w:rsid w:val="00337E67"/>
    <w:rsid w:val="00337E69"/>
    <w:rsid w:val="00340022"/>
    <w:rsid w:val="003400C6"/>
    <w:rsid w:val="00340153"/>
    <w:rsid w:val="003401DE"/>
    <w:rsid w:val="003401E2"/>
    <w:rsid w:val="00340252"/>
    <w:rsid w:val="00340257"/>
    <w:rsid w:val="0034026B"/>
    <w:rsid w:val="0034033F"/>
    <w:rsid w:val="0034036B"/>
    <w:rsid w:val="00340372"/>
    <w:rsid w:val="0034037B"/>
    <w:rsid w:val="0034038B"/>
    <w:rsid w:val="00340420"/>
    <w:rsid w:val="00340473"/>
    <w:rsid w:val="0034048F"/>
    <w:rsid w:val="003404A7"/>
    <w:rsid w:val="003404B3"/>
    <w:rsid w:val="00340504"/>
    <w:rsid w:val="0034052C"/>
    <w:rsid w:val="0034055F"/>
    <w:rsid w:val="00340573"/>
    <w:rsid w:val="00340587"/>
    <w:rsid w:val="003405E7"/>
    <w:rsid w:val="00340745"/>
    <w:rsid w:val="00340797"/>
    <w:rsid w:val="003407CB"/>
    <w:rsid w:val="003407E0"/>
    <w:rsid w:val="003407F5"/>
    <w:rsid w:val="00340869"/>
    <w:rsid w:val="003408A3"/>
    <w:rsid w:val="003408A4"/>
    <w:rsid w:val="003408AD"/>
    <w:rsid w:val="003408BC"/>
    <w:rsid w:val="0034093F"/>
    <w:rsid w:val="00340975"/>
    <w:rsid w:val="00340AAC"/>
    <w:rsid w:val="00340AD1"/>
    <w:rsid w:val="00340AE1"/>
    <w:rsid w:val="00340B60"/>
    <w:rsid w:val="00340B8B"/>
    <w:rsid w:val="00340C36"/>
    <w:rsid w:val="00340C61"/>
    <w:rsid w:val="00340C9E"/>
    <w:rsid w:val="00340CAC"/>
    <w:rsid w:val="00340CC0"/>
    <w:rsid w:val="00340D30"/>
    <w:rsid w:val="00340D49"/>
    <w:rsid w:val="00340D5C"/>
    <w:rsid w:val="00340E39"/>
    <w:rsid w:val="00340E5C"/>
    <w:rsid w:val="00340E72"/>
    <w:rsid w:val="00340F14"/>
    <w:rsid w:val="00340F38"/>
    <w:rsid w:val="00340F86"/>
    <w:rsid w:val="00340F91"/>
    <w:rsid w:val="00340FA6"/>
    <w:rsid w:val="00341026"/>
    <w:rsid w:val="00341080"/>
    <w:rsid w:val="00341091"/>
    <w:rsid w:val="00341116"/>
    <w:rsid w:val="00341155"/>
    <w:rsid w:val="003411C6"/>
    <w:rsid w:val="003411C8"/>
    <w:rsid w:val="00341206"/>
    <w:rsid w:val="0034126A"/>
    <w:rsid w:val="0034129E"/>
    <w:rsid w:val="003412A9"/>
    <w:rsid w:val="003412EE"/>
    <w:rsid w:val="0034134E"/>
    <w:rsid w:val="00341392"/>
    <w:rsid w:val="003413C4"/>
    <w:rsid w:val="003413C6"/>
    <w:rsid w:val="003413D0"/>
    <w:rsid w:val="0034141D"/>
    <w:rsid w:val="0034143B"/>
    <w:rsid w:val="00341471"/>
    <w:rsid w:val="00341475"/>
    <w:rsid w:val="003414E3"/>
    <w:rsid w:val="003414FF"/>
    <w:rsid w:val="00341532"/>
    <w:rsid w:val="00341565"/>
    <w:rsid w:val="00341576"/>
    <w:rsid w:val="003415CE"/>
    <w:rsid w:val="0034160D"/>
    <w:rsid w:val="00341639"/>
    <w:rsid w:val="00341694"/>
    <w:rsid w:val="003416E0"/>
    <w:rsid w:val="00341766"/>
    <w:rsid w:val="0034179D"/>
    <w:rsid w:val="003417F4"/>
    <w:rsid w:val="0034180C"/>
    <w:rsid w:val="003418DC"/>
    <w:rsid w:val="0034190B"/>
    <w:rsid w:val="0034193A"/>
    <w:rsid w:val="00341970"/>
    <w:rsid w:val="003419EE"/>
    <w:rsid w:val="00341AD2"/>
    <w:rsid w:val="00341AD8"/>
    <w:rsid w:val="00341AF6"/>
    <w:rsid w:val="00341BC9"/>
    <w:rsid w:val="00341C1F"/>
    <w:rsid w:val="00341CE0"/>
    <w:rsid w:val="00341DBD"/>
    <w:rsid w:val="00341DFB"/>
    <w:rsid w:val="00341E56"/>
    <w:rsid w:val="00341E92"/>
    <w:rsid w:val="00341EAA"/>
    <w:rsid w:val="00341EE1"/>
    <w:rsid w:val="00341F21"/>
    <w:rsid w:val="00341F37"/>
    <w:rsid w:val="00341FC8"/>
    <w:rsid w:val="00342038"/>
    <w:rsid w:val="00342042"/>
    <w:rsid w:val="00342049"/>
    <w:rsid w:val="0034204C"/>
    <w:rsid w:val="00342063"/>
    <w:rsid w:val="00342066"/>
    <w:rsid w:val="003420E3"/>
    <w:rsid w:val="00342192"/>
    <w:rsid w:val="00342204"/>
    <w:rsid w:val="00342237"/>
    <w:rsid w:val="0034223D"/>
    <w:rsid w:val="003422DA"/>
    <w:rsid w:val="0034231A"/>
    <w:rsid w:val="00342322"/>
    <w:rsid w:val="00342372"/>
    <w:rsid w:val="00342389"/>
    <w:rsid w:val="0034238F"/>
    <w:rsid w:val="003423A8"/>
    <w:rsid w:val="003423F4"/>
    <w:rsid w:val="0034240B"/>
    <w:rsid w:val="00342436"/>
    <w:rsid w:val="0034243D"/>
    <w:rsid w:val="003424B4"/>
    <w:rsid w:val="003424DA"/>
    <w:rsid w:val="00342507"/>
    <w:rsid w:val="0034254F"/>
    <w:rsid w:val="00342552"/>
    <w:rsid w:val="0034259A"/>
    <w:rsid w:val="003425C8"/>
    <w:rsid w:val="00342690"/>
    <w:rsid w:val="003426AD"/>
    <w:rsid w:val="003426C8"/>
    <w:rsid w:val="003426E7"/>
    <w:rsid w:val="00342739"/>
    <w:rsid w:val="003427D6"/>
    <w:rsid w:val="00342804"/>
    <w:rsid w:val="0034284C"/>
    <w:rsid w:val="00342873"/>
    <w:rsid w:val="00342895"/>
    <w:rsid w:val="003428AD"/>
    <w:rsid w:val="00342911"/>
    <w:rsid w:val="00342924"/>
    <w:rsid w:val="00342956"/>
    <w:rsid w:val="003429DA"/>
    <w:rsid w:val="003429FD"/>
    <w:rsid w:val="00342A56"/>
    <w:rsid w:val="00342B81"/>
    <w:rsid w:val="00342BB4"/>
    <w:rsid w:val="00342BCB"/>
    <w:rsid w:val="00342BCD"/>
    <w:rsid w:val="00342C39"/>
    <w:rsid w:val="00342D46"/>
    <w:rsid w:val="00342DAA"/>
    <w:rsid w:val="00342DEC"/>
    <w:rsid w:val="00342E4F"/>
    <w:rsid w:val="00342E7A"/>
    <w:rsid w:val="00342E7C"/>
    <w:rsid w:val="00342E83"/>
    <w:rsid w:val="00342E8B"/>
    <w:rsid w:val="00342EA0"/>
    <w:rsid w:val="00342EBA"/>
    <w:rsid w:val="00342ED6"/>
    <w:rsid w:val="00342F6C"/>
    <w:rsid w:val="00343015"/>
    <w:rsid w:val="0034305C"/>
    <w:rsid w:val="00343062"/>
    <w:rsid w:val="0034308C"/>
    <w:rsid w:val="003430EB"/>
    <w:rsid w:val="003430F2"/>
    <w:rsid w:val="00343135"/>
    <w:rsid w:val="0034316F"/>
    <w:rsid w:val="003431C8"/>
    <w:rsid w:val="0034321C"/>
    <w:rsid w:val="00343223"/>
    <w:rsid w:val="0034323C"/>
    <w:rsid w:val="003432B2"/>
    <w:rsid w:val="00343314"/>
    <w:rsid w:val="00343318"/>
    <w:rsid w:val="00343342"/>
    <w:rsid w:val="00343348"/>
    <w:rsid w:val="0034334E"/>
    <w:rsid w:val="00343350"/>
    <w:rsid w:val="003433A2"/>
    <w:rsid w:val="003433DD"/>
    <w:rsid w:val="003433DE"/>
    <w:rsid w:val="003433FF"/>
    <w:rsid w:val="00343454"/>
    <w:rsid w:val="003434D6"/>
    <w:rsid w:val="003434E4"/>
    <w:rsid w:val="00343570"/>
    <w:rsid w:val="003435C1"/>
    <w:rsid w:val="003435C9"/>
    <w:rsid w:val="003435E5"/>
    <w:rsid w:val="003435F2"/>
    <w:rsid w:val="003435F3"/>
    <w:rsid w:val="003435F8"/>
    <w:rsid w:val="0034360B"/>
    <w:rsid w:val="0034363C"/>
    <w:rsid w:val="00343650"/>
    <w:rsid w:val="003436F2"/>
    <w:rsid w:val="00343752"/>
    <w:rsid w:val="00343860"/>
    <w:rsid w:val="00343874"/>
    <w:rsid w:val="0034389B"/>
    <w:rsid w:val="003438D8"/>
    <w:rsid w:val="0034391D"/>
    <w:rsid w:val="0034397C"/>
    <w:rsid w:val="003439E9"/>
    <w:rsid w:val="00343A30"/>
    <w:rsid w:val="00343A49"/>
    <w:rsid w:val="00343AEE"/>
    <w:rsid w:val="00343B7F"/>
    <w:rsid w:val="00343BAC"/>
    <w:rsid w:val="00343BCC"/>
    <w:rsid w:val="00343BE6"/>
    <w:rsid w:val="00343C01"/>
    <w:rsid w:val="00343C65"/>
    <w:rsid w:val="00343C66"/>
    <w:rsid w:val="00343CB2"/>
    <w:rsid w:val="00343D12"/>
    <w:rsid w:val="00343D30"/>
    <w:rsid w:val="00343D5A"/>
    <w:rsid w:val="00343D64"/>
    <w:rsid w:val="00343D9A"/>
    <w:rsid w:val="00343EBC"/>
    <w:rsid w:val="00343F32"/>
    <w:rsid w:val="00343F3A"/>
    <w:rsid w:val="00343F6A"/>
    <w:rsid w:val="00343FA6"/>
    <w:rsid w:val="0034405C"/>
    <w:rsid w:val="00344065"/>
    <w:rsid w:val="003440B6"/>
    <w:rsid w:val="0034413F"/>
    <w:rsid w:val="0034414E"/>
    <w:rsid w:val="0034415F"/>
    <w:rsid w:val="00344185"/>
    <w:rsid w:val="00344279"/>
    <w:rsid w:val="0034428E"/>
    <w:rsid w:val="00344461"/>
    <w:rsid w:val="0034447C"/>
    <w:rsid w:val="003444F4"/>
    <w:rsid w:val="003445A0"/>
    <w:rsid w:val="00344633"/>
    <w:rsid w:val="00344648"/>
    <w:rsid w:val="00344686"/>
    <w:rsid w:val="003446C4"/>
    <w:rsid w:val="003446CC"/>
    <w:rsid w:val="003446CE"/>
    <w:rsid w:val="003446DC"/>
    <w:rsid w:val="0034477D"/>
    <w:rsid w:val="003447D8"/>
    <w:rsid w:val="003447FD"/>
    <w:rsid w:val="00344826"/>
    <w:rsid w:val="00344844"/>
    <w:rsid w:val="0034488A"/>
    <w:rsid w:val="003448DF"/>
    <w:rsid w:val="003448F6"/>
    <w:rsid w:val="00344996"/>
    <w:rsid w:val="00344A65"/>
    <w:rsid w:val="00344A7C"/>
    <w:rsid w:val="00344AE9"/>
    <w:rsid w:val="00344AF2"/>
    <w:rsid w:val="00344B9A"/>
    <w:rsid w:val="00344BAF"/>
    <w:rsid w:val="00344BD8"/>
    <w:rsid w:val="00344C2C"/>
    <w:rsid w:val="00344CAE"/>
    <w:rsid w:val="00344D89"/>
    <w:rsid w:val="00344E38"/>
    <w:rsid w:val="00344E59"/>
    <w:rsid w:val="00344E84"/>
    <w:rsid w:val="00344F34"/>
    <w:rsid w:val="00344F3B"/>
    <w:rsid w:val="00344F41"/>
    <w:rsid w:val="00344F88"/>
    <w:rsid w:val="00344FE5"/>
    <w:rsid w:val="00345097"/>
    <w:rsid w:val="00345193"/>
    <w:rsid w:val="003451A4"/>
    <w:rsid w:val="003451C2"/>
    <w:rsid w:val="0034523B"/>
    <w:rsid w:val="00345252"/>
    <w:rsid w:val="00345283"/>
    <w:rsid w:val="003452A8"/>
    <w:rsid w:val="003452C5"/>
    <w:rsid w:val="003452F8"/>
    <w:rsid w:val="003452FF"/>
    <w:rsid w:val="00345304"/>
    <w:rsid w:val="00345306"/>
    <w:rsid w:val="0034530C"/>
    <w:rsid w:val="00345368"/>
    <w:rsid w:val="003453E5"/>
    <w:rsid w:val="0034541F"/>
    <w:rsid w:val="0034542D"/>
    <w:rsid w:val="003454A6"/>
    <w:rsid w:val="003454E1"/>
    <w:rsid w:val="003454E5"/>
    <w:rsid w:val="00345518"/>
    <w:rsid w:val="0034551B"/>
    <w:rsid w:val="00345567"/>
    <w:rsid w:val="003455B3"/>
    <w:rsid w:val="003455C0"/>
    <w:rsid w:val="00345672"/>
    <w:rsid w:val="0034567C"/>
    <w:rsid w:val="003456F3"/>
    <w:rsid w:val="0034570D"/>
    <w:rsid w:val="0034579C"/>
    <w:rsid w:val="003457B2"/>
    <w:rsid w:val="003457B4"/>
    <w:rsid w:val="003457E6"/>
    <w:rsid w:val="00345846"/>
    <w:rsid w:val="0034585F"/>
    <w:rsid w:val="003458D8"/>
    <w:rsid w:val="003458FA"/>
    <w:rsid w:val="0034597C"/>
    <w:rsid w:val="003459D2"/>
    <w:rsid w:val="003459DC"/>
    <w:rsid w:val="00345A0F"/>
    <w:rsid w:val="00345A37"/>
    <w:rsid w:val="00345B47"/>
    <w:rsid w:val="00345BC3"/>
    <w:rsid w:val="00345BC6"/>
    <w:rsid w:val="00345C12"/>
    <w:rsid w:val="00345CA5"/>
    <w:rsid w:val="00345E31"/>
    <w:rsid w:val="00345E96"/>
    <w:rsid w:val="00345EA8"/>
    <w:rsid w:val="00345F21"/>
    <w:rsid w:val="00345F22"/>
    <w:rsid w:val="00345F40"/>
    <w:rsid w:val="00345F49"/>
    <w:rsid w:val="00345F5B"/>
    <w:rsid w:val="00345F89"/>
    <w:rsid w:val="00345FBC"/>
    <w:rsid w:val="003460D0"/>
    <w:rsid w:val="003460D2"/>
    <w:rsid w:val="0034611A"/>
    <w:rsid w:val="003461A2"/>
    <w:rsid w:val="0034623F"/>
    <w:rsid w:val="00346276"/>
    <w:rsid w:val="0034630E"/>
    <w:rsid w:val="0034631A"/>
    <w:rsid w:val="0034637B"/>
    <w:rsid w:val="0034639C"/>
    <w:rsid w:val="003463AC"/>
    <w:rsid w:val="003463CF"/>
    <w:rsid w:val="00346414"/>
    <w:rsid w:val="00346492"/>
    <w:rsid w:val="003464C4"/>
    <w:rsid w:val="003464C7"/>
    <w:rsid w:val="00346507"/>
    <w:rsid w:val="0034651B"/>
    <w:rsid w:val="0034659E"/>
    <w:rsid w:val="003465D9"/>
    <w:rsid w:val="00346618"/>
    <w:rsid w:val="00346651"/>
    <w:rsid w:val="0034665C"/>
    <w:rsid w:val="0034671A"/>
    <w:rsid w:val="0034675B"/>
    <w:rsid w:val="00346773"/>
    <w:rsid w:val="00346776"/>
    <w:rsid w:val="003467EF"/>
    <w:rsid w:val="0034681E"/>
    <w:rsid w:val="00346896"/>
    <w:rsid w:val="003468C7"/>
    <w:rsid w:val="003468E6"/>
    <w:rsid w:val="003468F6"/>
    <w:rsid w:val="0034691B"/>
    <w:rsid w:val="0034696E"/>
    <w:rsid w:val="003469BB"/>
    <w:rsid w:val="003469D7"/>
    <w:rsid w:val="00346A3E"/>
    <w:rsid w:val="00346AB6"/>
    <w:rsid w:val="00346ABB"/>
    <w:rsid w:val="00346B15"/>
    <w:rsid w:val="00346B47"/>
    <w:rsid w:val="00346B6C"/>
    <w:rsid w:val="00346B8F"/>
    <w:rsid w:val="00346BB2"/>
    <w:rsid w:val="00346BE3"/>
    <w:rsid w:val="00346C06"/>
    <w:rsid w:val="00346C7D"/>
    <w:rsid w:val="00346CB7"/>
    <w:rsid w:val="00346CF3"/>
    <w:rsid w:val="00346D5B"/>
    <w:rsid w:val="00346DBF"/>
    <w:rsid w:val="00346DF5"/>
    <w:rsid w:val="00346E30"/>
    <w:rsid w:val="00346E9F"/>
    <w:rsid w:val="00346EAF"/>
    <w:rsid w:val="00346F15"/>
    <w:rsid w:val="003470E1"/>
    <w:rsid w:val="00347137"/>
    <w:rsid w:val="00347178"/>
    <w:rsid w:val="003471DE"/>
    <w:rsid w:val="003471DF"/>
    <w:rsid w:val="0034720F"/>
    <w:rsid w:val="003472B6"/>
    <w:rsid w:val="003472BF"/>
    <w:rsid w:val="00347316"/>
    <w:rsid w:val="00347584"/>
    <w:rsid w:val="003475E9"/>
    <w:rsid w:val="0034761F"/>
    <w:rsid w:val="0034763D"/>
    <w:rsid w:val="00347695"/>
    <w:rsid w:val="003476C1"/>
    <w:rsid w:val="003476DE"/>
    <w:rsid w:val="003476E3"/>
    <w:rsid w:val="003476F1"/>
    <w:rsid w:val="00347722"/>
    <w:rsid w:val="00347770"/>
    <w:rsid w:val="003477A6"/>
    <w:rsid w:val="003477E1"/>
    <w:rsid w:val="0034790A"/>
    <w:rsid w:val="00347933"/>
    <w:rsid w:val="00347943"/>
    <w:rsid w:val="0034796C"/>
    <w:rsid w:val="003479D0"/>
    <w:rsid w:val="003479E1"/>
    <w:rsid w:val="00347AB0"/>
    <w:rsid w:val="00347ADB"/>
    <w:rsid w:val="00347AF3"/>
    <w:rsid w:val="00347B1B"/>
    <w:rsid w:val="00347B39"/>
    <w:rsid w:val="00347B74"/>
    <w:rsid w:val="00347B89"/>
    <w:rsid w:val="00347B8E"/>
    <w:rsid w:val="00347B9E"/>
    <w:rsid w:val="00347C1C"/>
    <w:rsid w:val="00347C5D"/>
    <w:rsid w:val="00347CA1"/>
    <w:rsid w:val="00347D6A"/>
    <w:rsid w:val="00347D6B"/>
    <w:rsid w:val="00347DD1"/>
    <w:rsid w:val="00347E06"/>
    <w:rsid w:val="00347E51"/>
    <w:rsid w:val="00347E69"/>
    <w:rsid w:val="00347E88"/>
    <w:rsid w:val="00347ED4"/>
    <w:rsid w:val="00347F2F"/>
    <w:rsid w:val="00350042"/>
    <w:rsid w:val="00350060"/>
    <w:rsid w:val="0035007E"/>
    <w:rsid w:val="003500B1"/>
    <w:rsid w:val="0035011B"/>
    <w:rsid w:val="00350150"/>
    <w:rsid w:val="003501D2"/>
    <w:rsid w:val="0035020F"/>
    <w:rsid w:val="0035025C"/>
    <w:rsid w:val="00350291"/>
    <w:rsid w:val="003502ED"/>
    <w:rsid w:val="00350302"/>
    <w:rsid w:val="00350314"/>
    <w:rsid w:val="00350316"/>
    <w:rsid w:val="0035032A"/>
    <w:rsid w:val="00350333"/>
    <w:rsid w:val="0035034D"/>
    <w:rsid w:val="003503BF"/>
    <w:rsid w:val="00350411"/>
    <w:rsid w:val="00350416"/>
    <w:rsid w:val="00350419"/>
    <w:rsid w:val="00350424"/>
    <w:rsid w:val="0035043A"/>
    <w:rsid w:val="0035044E"/>
    <w:rsid w:val="003504F3"/>
    <w:rsid w:val="003504F7"/>
    <w:rsid w:val="0035050D"/>
    <w:rsid w:val="00350529"/>
    <w:rsid w:val="00350556"/>
    <w:rsid w:val="003505DF"/>
    <w:rsid w:val="00350656"/>
    <w:rsid w:val="003506B0"/>
    <w:rsid w:val="003506E4"/>
    <w:rsid w:val="003506E8"/>
    <w:rsid w:val="00350709"/>
    <w:rsid w:val="0035071A"/>
    <w:rsid w:val="00350759"/>
    <w:rsid w:val="00350762"/>
    <w:rsid w:val="00350786"/>
    <w:rsid w:val="003507B6"/>
    <w:rsid w:val="003507BE"/>
    <w:rsid w:val="003507D4"/>
    <w:rsid w:val="003507E3"/>
    <w:rsid w:val="00350817"/>
    <w:rsid w:val="00350818"/>
    <w:rsid w:val="00350841"/>
    <w:rsid w:val="00350859"/>
    <w:rsid w:val="00350873"/>
    <w:rsid w:val="00350889"/>
    <w:rsid w:val="00350896"/>
    <w:rsid w:val="003508C7"/>
    <w:rsid w:val="003508D0"/>
    <w:rsid w:val="003508F5"/>
    <w:rsid w:val="003508FD"/>
    <w:rsid w:val="00350996"/>
    <w:rsid w:val="0035099B"/>
    <w:rsid w:val="003509F2"/>
    <w:rsid w:val="003509FB"/>
    <w:rsid w:val="00350A52"/>
    <w:rsid w:val="00350A5E"/>
    <w:rsid w:val="00350ABF"/>
    <w:rsid w:val="00350AC7"/>
    <w:rsid w:val="00350ADC"/>
    <w:rsid w:val="00350B76"/>
    <w:rsid w:val="00350BFA"/>
    <w:rsid w:val="00350C13"/>
    <w:rsid w:val="00350C5C"/>
    <w:rsid w:val="00350CD9"/>
    <w:rsid w:val="00350D22"/>
    <w:rsid w:val="00350D40"/>
    <w:rsid w:val="00350D7B"/>
    <w:rsid w:val="00350D8B"/>
    <w:rsid w:val="00350D8C"/>
    <w:rsid w:val="00350D96"/>
    <w:rsid w:val="00350E2B"/>
    <w:rsid w:val="00350E7A"/>
    <w:rsid w:val="00350EFE"/>
    <w:rsid w:val="00350F34"/>
    <w:rsid w:val="00350F42"/>
    <w:rsid w:val="00350FE9"/>
    <w:rsid w:val="00350FED"/>
    <w:rsid w:val="00350FEE"/>
    <w:rsid w:val="0035101F"/>
    <w:rsid w:val="00351131"/>
    <w:rsid w:val="00351152"/>
    <w:rsid w:val="00351165"/>
    <w:rsid w:val="00351194"/>
    <w:rsid w:val="003511D6"/>
    <w:rsid w:val="0035122C"/>
    <w:rsid w:val="00351341"/>
    <w:rsid w:val="0035135B"/>
    <w:rsid w:val="00351433"/>
    <w:rsid w:val="003514E4"/>
    <w:rsid w:val="00351560"/>
    <w:rsid w:val="003515E7"/>
    <w:rsid w:val="00351714"/>
    <w:rsid w:val="00351733"/>
    <w:rsid w:val="0035178C"/>
    <w:rsid w:val="003517FF"/>
    <w:rsid w:val="00351810"/>
    <w:rsid w:val="00351823"/>
    <w:rsid w:val="00351824"/>
    <w:rsid w:val="00351844"/>
    <w:rsid w:val="0035188D"/>
    <w:rsid w:val="003518B9"/>
    <w:rsid w:val="00351987"/>
    <w:rsid w:val="00351A55"/>
    <w:rsid w:val="00351A66"/>
    <w:rsid w:val="00351ABB"/>
    <w:rsid w:val="00351B2C"/>
    <w:rsid w:val="00351BC0"/>
    <w:rsid w:val="00351C8A"/>
    <w:rsid w:val="00351CCF"/>
    <w:rsid w:val="00351D48"/>
    <w:rsid w:val="00351D68"/>
    <w:rsid w:val="00351DB7"/>
    <w:rsid w:val="00351DF5"/>
    <w:rsid w:val="00351E4A"/>
    <w:rsid w:val="00351EC0"/>
    <w:rsid w:val="00351EFD"/>
    <w:rsid w:val="00351F0D"/>
    <w:rsid w:val="00351F43"/>
    <w:rsid w:val="00351F63"/>
    <w:rsid w:val="00351F77"/>
    <w:rsid w:val="00352035"/>
    <w:rsid w:val="00352094"/>
    <w:rsid w:val="003520E9"/>
    <w:rsid w:val="00352150"/>
    <w:rsid w:val="0035218D"/>
    <w:rsid w:val="003521CA"/>
    <w:rsid w:val="00352207"/>
    <w:rsid w:val="0035220F"/>
    <w:rsid w:val="0035229C"/>
    <w:rsid w:val="003522A8"/>
    <w:rsid w:val="0035237B"/>
    <w:rsid w:val="003523B5"/>
    <w:rsid w:val="0035240B"/>
    <w:rsid w:val="0035243D"/>
    <w:rsid w:val="00352454"/>
    <w:rsid w:val="00352478"/>
    <w:rsid w:val="0035248D"/>
    <w:rsid w:val="00352580"/>
    <w:rsid w:val="00352596"/>
    <w:rsid w:val="0035260B"/>
    <w:rsid w:val="00352646"/>
    <w:rsid w:val="00352666"/>
    <w:rsid w:val="0035267B"/>
    <w:rsid w:val="0035268E"/>
    <w:rsid w:val="003526D1"/>
    <w:rsid w:val="00352735"/>
    <w:rsid w:val="0035273E"/>
    <w:rsid w:val="00352810"/>
    <w:rsid w:val="00352816"/>
    <w:rsid w:val="0035282F"/>
    <w:rsid w:val="0035289A"/>
    <w:rsid w:val="0035289D"/>
    <w:rsid w:val="003528D8"/>
    <w:rsid w:val="003528E3"/>
    <w:rsid w:val="00352900"/>
    <w:rsid w:val="0035295B"/>
    <w:rsid w:val="003529D6"/>
    <w:rsid w:val="003529E3"/>
    <w:rsid w:val="00352A13"/>
    <w:rsid w:val="00352A30"/>
    <w:rsid w:val="00352A6B"/>
    <w:rsid w:val="00352A7E"/>
    <w:rsid w:val="00352A9F"/>
    <w:rsid w:val="00352AAD"/>
    <w:rsid w:val="00352B47"/>
    <w:rsid w:val="00352B4B"/>
    <w:rsid w:val="00352B77"/>
    <w:rsid w:val="00352BA7"/>
    <w:rsid w:val="00352BA8"/>
    <w:rsid w:val="00352BC7"/>
    <w:rsid w:val="00352BD2"/>
    <w:rsid w:val="00352BEB"/>
    <w:rsid w:val="00352C1A"/>
    <w:rsid w:val="00352C5C"/>
    <w:rsid w:val="00352C60"/>
    <w:rsid w:val="00352C84"/>
    <w:rsid w:val="00352CBB"/>
    <w:rsid w:val="00352D01"/>
    <w:rsid w:val="00352D02"/>
    <w:rsid w:val="00352D23"/>
    <w:rsid w:val="00352D75"/>
    <w:rsid w:val="00352D92"/>
    <w:rsid w:val="00352D9C"/>
    <w:rsid w:val="00352E41"/>
    <w:rsid w:val="00352E56"/>
    <w:rsid w:val="00352E9E"/>
    <w:rsid w:val="00352F63"/>
    <w:rsid w:val="00352FB7"/>
    <w:rsid w:val="00352FD9"/>
    <w:rsid w:val="00352FFF"/>
    <w:rsid w:val="00353002"/>
    <w:rsid w:val="00353039"/>
    <w:rsid w:val="0035303D"/>
    <w:rsid w:val="003530BB"/>
    <w:rsid w:val="003530C4"/>
    <w:rsid w:val="0035315A"/>
    <w:rsid w:val="00353197"/>
    <w:rsid w:val="003531BD"/>
    <w:rsid w:val="003531C1"/>
    <w:rsid w:val="003531EC"/>
    <w:rsid w:val="0035325C"/>
    <w:rsid w:val="0035330B"/>
    <w:rsid w:val="0035333E"/>
    <w:rsid w:val="003533BE"/>
    <w:rsid w:val="00353424"/>
    <w:rsid w:val="003534FF"/>
    <w:rsid w:val="00353557"/>
    <w:rsid w:val="003535C0"/>
    <w:rsid w:val="0035363E"/>
    <w:rsid w:val="003536A8"/>
    <w:rsid w:val="003536DF"/>
    <w:rsid w:val="0035373C"/>
    <w:rsid w:val="003537A1"/>
    <w:rsid w:val="003537B8"/>
    <w:rsid w:val="003537C6"/>
    <w:rsid w:val="003537DF"/>
    <w:rsid w:val="0035382C"/>
    <w:rsid w:val="00353853"/>
    <w:rsid w:val="00353919"/>
    <w:rsid w:val="0035393A"/>
    <w:rsid w:val="00353947"/>
    <w:rsid w:val="003539AB"/>
    <w:rsid w:val="003539CC"/>
    <w:rsid w:val="003539EC"/>
    <w:rsid w:val="00353A2C"/>
    <w:rsid w:val="00353A71"/>
    <w:rsid w:val="00353A78"/>
    <w:rsid w:val="00353A82"/>
    <w:rsid w:val="00353AAD"/>
    <w:rsid w:val="00353AC3"/>
    <w:rsid w:val="00353ACF"/>
    <w:rsid w:val="00353B28"/>
    <w:rsid w:val="00353B55"/>
    <w:rsid w:val="00353B95"/>
    <w:rsid w:val="00353C52"/>
    <w:rsid w:val="00353C70"/>
    <w:rsid w:val="00353C93"/>
    <w:rsid w:val="00353CC1"/>
    <w:rsid w:val="00353CEF"/>
    <w:rsid w:val="00353D36"/>
    <w:rsid w:val="00353D52"/>
    <w:rsid w:val="00353DBD"/>
    <w:rsid w:val="00353E5C"/>
    <w:rsid w:val="00353E5F"/>
    <w:rsid w:val="00353EC0"/>
    <w:rsid w:val="00353EC4"/>
    <w:rsid w:val="00353EE6"/>
    <w:rsid w:val="00353F5C"/>
    <w:rsid w:val="00353F95"/>
    <w:rsid w:val="00353F9D"/>
    <w:rsid w:val="00353F9F"/>
    <w:rsid w:val="00353FBC"/>
    <w:rsid w:val="00353FEF"/>
    <w:rsid w:val="00353FFA"/>
    <w:rsid w:val="00353FFD"/>
    <w:rsid w:val="0035402F"/>
    <w:rsid w:val="00354035"/>
    <w:rsid w:val="00354087"/>
    <w:rsid w:val="00354092"/>
    <w:rsid w:val="00354095"/>
    <w:rsid w:val="00354170"/>
    <w:rsid w:val="00354192"/>
    <w:rsid w:val="003541FA"/>
    <w:rsid w:val="00354203"/>
    <w:rsid w:val="0035429A"/>
    <w:rsid w:val="00354351"/>
    <w:rsid w:val="0035437F"/>
    <w:rsid w:val="003543A6"/>
    <w:rsid w:val="003543B8"/>
    <w:rsid w:val="00354459"/>
    <w:rsid w:val="00354473"/>
    <w:rsid w:val="003545C0"/>
    <w:rsid w:val="003545C7"/>
    <w:rsid w:val="003545CD"/>
    <w:rsid w:val="003545D4"/>
    <w:rsid w:val="003545F9"/>
    <w:rsid w:val="0035466E"/>
    <w:rsid w:val="003546B0"/>
    <w:rsid w:val="003546E6"/>
    <w:rsid w:val="00354702"/>
    <w:rsid w:val="00354721"/>
    <w:rsid w:val="00354728"/>
    <w:rsid w:val="0035473B"/>
    <w:rsid w:val="0035480F"/>
    <w:rsid w:val="00354837"/>
    <w:rsid w:val="00354839"/>
    <w:rsid w:val="00354841"/>
    <w:rsid w:val="00354890"/>
    <w:rsid w:val="00354891"/>
    <w:rsid w:val="0035489C"/>
    <w:rsid w:val="003548A3"/>
    <w:rsid w:val="0035492D"/>
    <w:rsid w:val="00354996"/>
    <w:rsid w:val="00354999"/>
    <w:rsid w:val="0035499F"/>
    <w:rsid w:val="003549BB"/>
    <w:rsid w:val="00354A51"/>
    <w:rsid w:val="00354A64"/>
    <w:rsid w:val="00354A8A"/>
    <w:rsid w:val="00354AD3"/>
    <w:rsid w:val="00354AD7"/>
    <w:rsid w:val="00354B17"/>
    <w:rsid w:val="00354B29"/>
    <w:rsid w:val="00354B3B"/>
    <w:rsid w:val="00354BE9"/>
    <w:rsid w:val="00354BFF"/>
    <w:rsid w:val="00354C10"/>
    <w:rsid w:val="00354C1F"/>
    <w:rsid w:val="00354C39"/>
    <w:rsid w:val="00354C54"/>
    <w:rsid w:val="00354C7B"/>
    <w:rsid w:val="00354C9E"/>
    <w:rsid w:val="00354CF0"/>
    <w:rsid w:val="00354D0B"/>
    <w:rsid w:val="00354D27"/>
    <w:rsid w:val="00354D39"/>
    <w:rsid w:val="00354D4A"/>
    <w:rsid w:val="00354DB6"/>
    <w:rsid w:val="00354DBA"/>
    <w:rsid w:val="00354DCA"/>
    <w:rsid w:val="00354E14"/>
    <w:rsid w:val="00354E2E"/>
    <w:rsid w:val="00354E89"/>
    <w:rsid w:val="00354F60"/>
    <w:rsid w:val="0035500D"/>
    <w:rsid w:val="00355033"/>
    <w:rsid w:val="00355099"/>
    <w:rsid w:val="003550C5"/>
    <w:rsid w:val="003550F7"/>
    <w:rsid w:val="0035511A"/>
    <w:rsid w:val="0035515A"/>
    <w:rsid w:val="003551EC"/>
    <w:rsid w:val="003551F3"/>
    <w:rsid w:val="003552C8"/>
    <w:rsid w:val="003552E8"/>
    <w:rsid w:val="00355362"/>
    <w:rsid w:val="0035538E"/>
    <w:rsid w:val="00355393"/>
    <w:rsid w:val="003553E5"/>
    <w:rsid w:val="0035546F"/>
    <w:rsid w:val="00355530"/>
    <w:rsid w:val="00355583"/>
    <w:rsid w:val="003555BB"/>
    <w:rsid w:val="003555E7"/>
    <w:rsid w:val="003555F3"/>
    <w:rsid w:val="0035560C"/>
    <w:rsid w:val="0035562A"/>
    <w:rsid w:val="00355635"/>
    <w:rsid w:val="00355637"/>
    <w:rsid w:val="00355697"/>
    <w:rsid w:val="00355752"/>
    <w:rsid w:val="00355768"/>
    <w:rsid w:val="00355791"/>
    <w:rsid w:val="003557A3"/>
    <w:rsid w:val="003557B3"/>
    <w:rsid w:val="003557B7"/>
    <w:rsid w:val="003557F3"/>
    <w:rsid w:val="00355811"/>
    <w:rsid w:val="00355822"/>
    <w:rsid w:val="0035583B"/>
    <w:rsid w:val="00355841"/>
    <w:rsid w:val="003558AD"/>
    <w:rsid w:val="003558FE"/>
    <w:rsid w:val="00355948"/>
    <w:rsid w:val="003559AF"/>
    <w:rsid w:val="003559D5"/>
    <w:rsid w:val="003559DF"/>
    <w:rsid w:val="00355A03"/>
    <w:rsid w:val="00355A15"/>
    <w:rsid w:val="00355A75"/>
    <w:rsid w:val="00355A9E"/>
    <w:rsid w:val="00355AF9"/>
    <w:rsid w:val="00355B1F"/>
    <w:rsid w:val="00355B5C"/>
    <w:rsid w:val="00355BD7"/>
    <w:rsid w:val="00355C10"/>
    <w:rsid w:val="00355C16"/>
    <w:rsid w:val="00355C36"/>
    <w:rsid w:val="00355CA2"/>
    <w:rsid w:val="00355D4E"/>
    <w:rsid w:val="00355D57"/>
    <w:rsid w:val="00355E22"/>
    <w:rsid w:val="00355E6A"/>
    <w:rsid w:val="00355EB1"/>
    <w:rsid w:val="00355EC9"/>
    <w:rsid w:val="00355F22"/>
    <w:rsid w:val="00355F2B"/>
    <w:rsid w:val="00355F37"/>
    <w:rsid w:val="00355F5C"/>
    <w:rsid w:val="00355F73"/>
    <w:rsid w:val="00355F95"/>
    <w:rsid w:val="00355F9A"/>
    <w:rsid w:val="0035603B"/>
    <w:rsid w:val="00356050"/>
    <w:rsid w:val="0035607C"/>
    <w:rsid w:val="00356090"/>
    <w:rsid w:val="003560AA"/>
    <w:rsid w:val="003560D7"/>
    <w:rsid w:val="00356149"/>
    <w:rsid w:val="00356248"/>
    <w:rsid w:val="0035628A"/>
    <w:rsid w:val="003562D3"/>
    <w:rsid w:val="00356303"/>
    <w:rsid w:val="00356314"/>
    <w:rsid w:val="00356316"/>
    <w:rsid w:val="0035633B"/>
    <w:rsid w:val="0035634E"/>
    <w:rsid w:val="00356354"/>
    <w:rsid w:val="0035636D"/>
    <w:rsid w:val="0035636F"/>
    <w:rsid w:val="0035639E"/>
    <w:rsid w:val="003563A2"/>
    <w:rsid w:val="003563F7"/>
    <w:rsid w:val="00356401"/>
    <w:rsid w:val="00356402"/>
    <w:rsid w:val="0035649D"/>
    <w:rsid w:val="003564DF"/>
    <w:rsid w:val="00356531"/>
    <w:rsid w:val="0035653E"/>
    <w:rsid w:val="00356546"/>
    <w:rsid w:val="003565A3"/>
    <w:rsid w:val="003565E9"/>
    <w:rsid w:val="00356602"/>
    <w:rsid w:val="00356640"/>
    <w:rsid w:val="00356653"/>
    <w:rsid w:val="0035667B"/>
    <w:rsid w:val="0035668A"/>
    <w:rsid w:val="003566B6"/>
    <w:rsid w:val="00356706"/>
    <w:rsid w:val="00356707"/>
    <w:rsid w:val="00356763"/>
    <w:rsid w:val="00356774"/>
    <w:rsid w:val="0035679B"/>
    <w:rsid w:val="003567C9"/>
    <w:rsid w:val="003567D3"/>
    <w:rsid w:val="003567DD"/>
    <w:rsid w:val="00356882"/>
    <w:rsid w:val="003568C7"/>
    <w:rsid w:val="0035690D"/>
    <w:rsid w:val="0035691F"/>
    <w:rsid w:val="00356935"/>
    <w:rsid w:val="00356961"/>
    <w:rsid w:val="0035697C"/>
    <w:rsid w:val="00356980"/>
    <w:rsid w:val="0035698E"/>
    <w:rsid w:val="003569AB"/>
    <w:rsid w:val="003569CB"/>
    <w:rsid w:val="00356A0B"/>
    <w:rsid w:val="00356A4C"/>
    <w:rsid w:val="00356A5B"/>
    <w:rsid w:val="00356A8D"/>
    <w:rsid w:val="00356ADF"/>
    <w:rsid w:val="00356AEC"/>
    <w:rsid w:val="00356B7C"/>
    <w:rsid w:val="00356B94"/>
    <w:rsid w:val="00356C33"/>
    <w:rsid w:val="00356C5C"/>
    <w:rsid w:val="00356CC5"/>
    <w:rsid w:val="00356D79"/>
    <w:rsid w:val="00356D84"/>
    <w:rsid w:val="00356DD8"/>
    <w:rsid w:val="00356DDD"/>
    <w:rsid w:val="00356E06"/>
    <w:rsid w:val="00356E1F"/>
    <w:rsid w:val="00356E38"/>
    <w:rsid w:val="00356F6B"/>
    <w:rsid w:val="00356FA7"/>
    <w:rsid w:val="00356FF9"/>
    <w:rsid w:val="0035704B"/>
    <w:rsid w:val="00357059"/>
    <w:rsid w:val="003570F1"/>
    <w:rsid w:val="003570FD"/>
    <w:rsid w:val="003571A7"/>
    <w:rsid w:val="003571B5"/>
    <w:rsid w:val="003571C6"/>
    <w:rsid w:val="003571F2"/>
    <w:rsid w:val="0035720F"/>
    <w:rsid w:val="00357240"/>
    <w:rsid w:val="00357268"/>
    <w:rsid w:val="00357300"/>
    <w:rsid w:val="00357364"/>
    <w:rsid w:val="0035738A"/>
    <w:rsid w:val="0035738F"/>
    <w:rsid w:val="003573A0"/>
    <w:rsid w:val="003573CE"/>
    <w:rsid w:val="00357440"/>
    <w:rsid w:val="003574A8"/>
    <w:rsid w:val="003575C9"/>
    <w:rsid w:val="003575FC"/>
    <w:rsid w:val="00357604"/>
    <w:rsid w:val="00357610"/>
    <w:rsid w:val="00357667"/>
    <w:rsid w:val="00357710"/>
    <w:rsid w:val="00357744"/>
    <w:rsid w:val="00357756"/>
    <w:rsid w:val="00357757"/>
    <w:rsid w:val="00357879"/>
    <w:rsid w:val="0035789E"/>
    <w:rsid w:val="0035796F"/>
    <w:rsid w:val="0035797B"/>
    <w:rsid w:val="003579AA"/>
    <w:rsid w:val="003579D4"/>
    <w:rsid w:val="00357A1C"/>
    <w:rsid w:val="00357A34"/>
    <w:rsid w:val="00357A4B"/>
    <w:rsid w:val="00357B0F"/>
    <w:rsid w:val="00357C4C"/>
    <w:rsid w:val="00357C63"/>
    <w:rsid w:val="00357C68"/>
    <w:rsid w:val="00357C75"/>
    <w:rsid w:val="00357C88"/>
    <w:rsid w:val="00357CA8"/>
    <w:rsid w:val="00357CC2"/>
    <w:rsid w:val="00357D0F"/>
    <w:rsid w:val="00357D1B"/>
    <w:rsid w:val="00357DD2"/>
    <w:rsid w:val="00357E2C"/>
    <w:rsid w:val="00357E61"/>
    <w:rsid w:val="00357E6B"/>
    <w:rsid w:val="00357E77"/>
    <w:rsid w:val="00357EA3"/>
    <w:rsid w:val="00357EE3"/>
    <w:rsid w:val="00357F28"/>
    <w:rsid w:val="0036001E"/>
    <w:rsid w:val="0036004D"/>
    <w:rsid w:val="00360103"/>
    <w:rsid w:val="0036015C"/>
    <w:rsid w:val="0036019E"/>
    <w:rsid w:val="003601A8"/>
    <w:rsid w:val="003601E7"/>
    <w:rsid w:val="0036020D"/>
    <w:rsid w:val="0036024B"/>
    <w:rsid w:val="003602C4"/>
    <w:rsid w:val="003602EA"/>
    <w:rsid w:val="00360331"/>
    <w:rsid w:val="0036034C"/>
    <w:rsid w:val="00360358"/>
    <w:rsid w:val="003603A9"/>
    <w:rsid w:val="003603B8"/>
    <w:rsid w:val="003603C4"/>
    <w:rsid w:val="003603D7"/>
    <w:rsid w:val="00360418"/>
    <w:rsid w:val="00360464"/>
    <w:rsid w:val="00360472"/>
    <w:rsid w:val="00360499"/>
    <w:rsid w:val="003604A3"/>
    <w:rsid w:val="003604F0"/>
    <w:rsid w:val="00360540"/>
    <w:rsid w:val="0036058E"/>
    <w:rsid w:val="003605C5"/>
    <w:rsid w:val="0036060C"/>
    <w:rsid w:val="00360639"/>
    <w:rsid w:val="00360650"/>
    <w:rsid w:val="0036072C"/>
    <w:rsid w:val="003607EF"/>
    <w:rsid w:val="00360810"/>
    <w:rsid w:val="00360935"/>
    <w:rsid w:val="00360941"/>
    <w:rsid w:val="0036096D"/>
    <w:rsid w:val="0036097D"/>
    <w:rsid w:val="00360994"/>
    <w:rsid w:val="003609C2"/>
    <w:rsid w:val="003609E3"/>
    <w:rsid w:val="003609F2"/>
    <w:rsid w:val="003609F9"/>
    <w:rsid w:val="003609FE"/>
    <w:rsid w:val="00360A73"/>
    <w:rsid w:val="00360AD3"/>
    <w:rsid w:val="00360ADB"/>
    <w:rsid w:val="00360B4F"/>
    <w:rsid w:val="00360B77"/>
    <w:rsid w:val="00360BE0"/>
    <w:rsid w:val="00360BEE"/>
    <w:rsid w:val="00360C26"/>
    <w:rsid w:val="00360C96"/>
    <w:rsid w:val="00360CE6"/>
    <w:rsid w:val="00360DDB"/>
    <w:rsid w:val="00360EE2"/>
    <w:rsid w:val="00360F68"/>
    <w:rsid w:val="00360F6E"/>
    <w:rsid w:val="00360FEC"/>
    <w:rsid w:val="00361008"/>
    <w:rsid w:val="00361030"/>
    <w:rsid w:val="003610A8"/>
    <w:rsid w:val="003610C6"/>
    <w:rsid w:val="00361104"/>
    <w:rsid w:val="00361110"/>
    <w:rsid w:val="00361142"/>
    <w:rsid w:val="003611AE"/>
    <w:rsid w:val="003611DD"/>
    <w:rsid w:val="00361216"/>
    <w:rsid w:val="0036125D"/>
    <w:rsid w:val="00361271"/>
    <w:rsid w:val="003612BB"/>
    <w:rsid w:val="003612CD"/>
    <w:rsid w:val="003612F4"/>
    <w:rsid w:val="003612FB"/>
    <w:rsid w:val="00361304"/>
    <w:rsid w:val="0036134A"/>
    <w:rsid w:val="00361352"/>
    <w:rsid w:val="0036135B"/>
    <w:rsid w:val="003613DD"/>
    <w:rsid w:val="0036140D"/>
    <w:rsid w:val="00361488"/>
    <w:rsid w:val="003614C4"/>
    <w:rsid w:val="00361522"/>
    <w:rsid w:val="003615E1"/>
    <w:rsid w:val="00361600"/>
    <w:rsid w:val="00361677"/>
    <w:rsid w:val="00361679"/>
    <w:rsid w:val="003616CA"/>
    <w:rsid w:val="003616DF"/>
    <w:rsid w:val="0036174D"/>
    <w:rsid w:val="00361783"/>
    <w:rsid w:val="0036185D"/>
    <w:rsid w:val="00361910"/>
    <w:rsid w:val="00361939"/>
    <w:rsid w:val="00361963"/>
    <w:rsid w:val="0036199C"/>
    <w:rsid w:val="003619BB"/>
    <w:rsid w:val="00361A14"/>
    <w:rsid w:val="00361A84"/>
    <w:rsid w:val="00361B29"/>
    <w:rsid w:val="00361B33"/>
    <w:rsid w:val="00361B7F"/>
    <w:rsid w:val="00361B8B"/>
    <w:rsid w:val="00361BDF"/>
    <w:rsid w:val="00361C16"/>
    <w:rsid w:val="00361C42"/>
    <w:rsid w:val="00361C8B"/>
    <w:rsid w:val="00361C9A"/>
    <w:rsid w:val="00361CA2"/>
    <w:rsid w:val="00361CF4"/>
    <w:rsid w:val="00361CFB"/>
    <w:rsid w:val="00361D52"/>
    <w:rsid w:val="00361D77"/>
    <w:rsid w:val="00361D7E"/>
    <w:rsid w:val="00361DE3"/>
    <w:rsid w:val="00361DFB"/>
    <w:rsid w:val="00361E2D"/>
    <w:rsid w:val="00361EBD"/>
    <w:rsid w:val="00361F03"/>
    <w:rsid w:val="00361F0D"/>
    <w:rsid w:val="00361F43"/>
    <w:rsid w:val="00361F5B"/>
    <w:rsid w:val="00361F8D"/>
    <w:rsid w:val="00361F9B"/>
    <w:rsid w:val="00361F9E"/>
    <w:rsid w:val="00361FF8"/>
    <w:rsid w:val="00362002"/>
    <w:rsid w:val="00362031"/>
    <w:rsid w:val="00362054"/>
    <w:rsid w:val="003620AB"/>
    <w:rsid w:val="0036215D"/>
    <w:rsid w:val="0036220C"/>
    <w:rsid w:val="003622BE"/>
    <w:rsid w:val="0036232B"/>
    <w:rsid w:val="00362351"/>
    <w:rsid w:val="00362413"/>
    <w:rsid w:val="00362424"/>
    <w:rsid w:val="00362480"/>
    <w:rsid w:val="003624B7"/>
    <w:rsid w:val="003624E6"/>
    <w:rsid w:val="00362519"/>
    <w:rsid w:val="0036253F"/>
    <w:rsid w:val="00362546"/>
    <w:rsid w:val="00362550"/>
    <w:rsid w:val="003625AB"/>
    <w:rsid w:val="003626CA"/>
    <w:rsid w:val="00362725"/>
    <w:rsid w:val="0036275D"/>
    <w:rsid w:val="00362772"/>
    <w:rsid w:val="0036277D"/>
    <w:rsid w:val="00362780"/>
    <w:rsid w:val="0036279A"/>
    <w:rsid w:val="003627B3"/>
    <w:rsid w:val="003627CF"/>
    <w:rsid w:val="00362804"/>
    <w:rsid w:val="00362863"/>
    <w:rsid w:val="003628D9"/>
    <w:rsid w:val="00362916"/>
    <w:rsid w:val="0036292E"/>
    <w:rsid w:val="00362947"/>
    <w:rsid w:val="003629B9"/>
    <w:rsid w:val="00362A45"/>
    <w:rsid w:val="00362ABB"/>
    <w:rsid w:val="00362B7C"/>
    <w:rsid w:val="00362B8E"/>
    <w:rsid w:val="00362BAF"/>
    <w:rsid w:val="00362BB1"/>
    <w:rsid w:val="00362C34"/>
    <w:rsid w:val="00362C5A"/>
    <w:rsid w:val="00362C69"/>
    <w:rsid w:val="00362C78"/>
    <w:rsid w:val="00362D01"/>
    <w:rsid w:val="00362D15"/>
    <w:rsid w:val="00362D2A"/>
    <w:rsid w:val="00362D71"/>
    <w:rsid w:val="00362DC7"/>
    <w:rsid w:val="00362DCE"/>
    <w:rsid w:val="00362EBC"/>
    <w:rsid w:val="00362FA6"/>
    <w:rsid w:val="00363045"/>
    <w:rsid w:val="003630A0"/>
    <w:rsid w:val="003630C4"/>
    <w:rsid w:val="00363123"/>
    <w:rsid w:val="003631D4"/>
    <w:rsid w:val="003631ED"/>
    <w:rsid w:val="00363201"/>
    <w:rsid w:val="0036322B"/>
    <w:rsid w:val="00363240"/>
    <w:rsid w:val="003632BC"/>
    <w:rsid w:val="003632CF"/>
    <w:rsid w:val="003632E3"/>
    <w:rsid w:val="00363328"/>
    <w:rsid w:val="0036336F"/>
    <w:rsid w:val="00363384"/>
    <w:rsid w:val="003633D5"/>
    <w:rsid w:val="00363427"/>
    <w:rsid w:val="0036348F"/>
    <w:rsid w:val="0036349D"/>
    <w:rsid w:val="0036357C"/>
    <w:rsid w:val="0036357F"/>
    <w:rsid w:val="0036369B"/>
    <w:rsid w:val="003636AA"/>
    <w:rsid w:val="003636AB"/>
    <w:rsid w:val="003636C2"/>
    <w:rsid w:val="003636CA"/>
    <w:rsid w:val="00363721"/>
    <w:rsid w:val="00363863"/>
    <w:rsid w:val="003638AA"/>
    <w:rsid w:val="003638F4"/>
    <w:rsid w:val="0036393B"/>
    <w:rsid w:val="0036396A"/>
    <w:rsid w:val="00363999"/>
    <w:rsid w:val="003639FD"/>
    <w:rsid w:val="00363A19"/>
    <w:rsid w:val="00363A7A"/>
    <w:rsid w:val="00363A7B"/>
    <w:rsid w:val="00363A7D"/>
    <w:rsid w:val="00363AA7"/>
    <w:rsid w:val="00363ABF"/>
    <w:rsid w:val="00363AD4"/>
    <w:rsid w:val="00363B18"/>
    <w:rsid w:val="00363B49"/>
    <w:rsid w:val="00363C1A"/>
    <w:rsid w:val="00363D0F"/>
    <w:rsid w:val="00363D47"/>
    <w:rsid w:val="00363E2A"/>
    <w:rsid w:val="00363E3D"/>
    <w:rsid w:val="00363EC5"/>
    <w:rsid w:val="00363F0A"/>
    <w:rsid w:val="00363F2B"/>
    <w:rsid w:val="00363F45"/>
    <w:rsid w:val="00363F73"/>
    <w:rsid w:val="00363F9F"/>
    <w:rsid w:val="0036402E"/>
    <w:rsid w:val="0036404C"/>
    <w:rsid w:val="0036405F"/>
    <w:rsid w:val="00364092"/>
    <w:rsid w:val="003640F0"/>
    <w:rsid w:val="0036410D"/>
    <w:rsid w:val="00364128"/>
    <w:rsid w:val="0036421E"/>
    <w:rsid w:val="00364302"/>
    <w:rsid w:val="0036430B"/>
    <w:rsid w:val="0036434A"/>
    <w:rsid w:val="003643F3"/>
    <w:rsid w:val="00364403"/>
    <w:rsid w:val="00364434"/>
    <w:rsid w:val="0036446D"/>
    <w:rsid w:val="00364483"/>
    <w:rsid w:val="003644C3"/>
    <w:rsid w:val="0036450A"/>
    <w:rsid w:val="0036451E"/>
    <w:rsid w:val="00364579"/>
    <w:rsid w:val="003645C8"/>
    <w:rsid w:val="003645CB"/>
    <w:rsid w:val="003645F1"/>
    <w:rsid w:val="00364619"/>
    <w:rsid w:val="0036477A"/>
    <w:rsid w:val="003647BB"/>
    <w:rsid w:val="003647D1"/>
    <w:rsid w:val="00364821"/>
    <w:rsid w:val="0036485E"/>
    <w:rsid w:val="00364899"/>
    <w:rsid w:val="003648F0"/>
    <w:rsid w:val="00364953"/>
    <w:rsid w:val="00364A4F"/>
    <w:rsid w:val="00364AB8"/>
    <w:rsid w:val="00364ADF"/>
    <w:rsid w:val="00364AE3"/>
    <w:rsid w:val="00364B2D"/>
    <w:rsid w:val="00364BF6"/>
    <w:rsid w:val="00364C04"/>
    <w:rsid w:val="00364C4B"/>
    <w:rsid w:val="00364C4D"/>
    <w:rsid w:val="00364CB8"/>
    <w:rsid w:val="00364CB9"/>
    <w:rsid w:val="00364CC1"/>
    <w:rsid w:val="00364D1E"/>
    <w:rsid w:val="00364D22"/>
    <w:rsid w:val="00364DEA"/>
    <w:rsid w:val="00364EEB"/>
    <w:rsid w:val="00364F4C"/>
    <w:rsid w:val="00364F65"/>
    <w:rsid w:val="00364FEA"/>
    <w:rsid w:val="00365019"/>
    <w:rsid w:val="00365042"/>
    <w:rsid w:val="00365067"/>
    <w:rsid w:val="003650B5"/>
    <w:rsid w:val="003650C3"/>
    <w:rsid w:val="003650D2"/>
    <w:rsid w:val="003650F7"/>
    <w:rsid w:val="00365119"/>
    <w:rsid w:val="0036515E"/>
    <w:rsid w:val="00365244"/>
    <w:rsid w:val="0036532D"/>
    <w:rsid w:val="0036534E"/>
    <w:rsid w:val="003653CD"/>
    <w:rsid w:val="003653D0"/>
    <w:rsid w:val="003653D8"/>
    <w:rsid w:val="0036542E"/>
    <w:rsid w:val="003654BB"/>
    <w:rsid w:val="00365520"/>
    <w:rsid w:val="0036559E"/>
    <w:rsid w:val="003655EB"/>
    <w:rsid w:val="003655F9"/>
    <w:rsid w:val="0036560D"/>
    <w:rsid w:val="00365633"/>
    <w:rsid w:val="0036563A"/>
    <w:rsid w:val="0036566F"/>
    <w:rsid w:val="0036567C"/>
    <w:rsid w:val="003656BA"/>
    <w:rsid w:val="003656CB"/>
    <w:rsid w:val="00365736"/>
    <w:rsid w:val="003657E7"/>
    <w:rsid w:val="00365826"/>
    <w:rsid w:val="0036584F"/>
    <w:rsid w:val="00365870"/>
    <w:rsid w:val="00365937"/>
    <w:rsid w:val="003659EA"/>
    <w:rsid w:val="00365A58"/>
    <w:rsid w:val="00365A93"/>
    <w:rsid w:val="00365AAB"/>
    <w:rsid w:val="00365AE5"/>
    <w:rsid w:val="00365B55"/>
    <w:rsid w:val="00365B69"/>
    <w:rsid w:val="00365B8E"/>
    <w:rsid w:val="00365BCD"/>
    <w:rsid w:val="00365C8E"/>
    <w:rsid w:val="00365D58"/>
    <w:rsid w:val="00365D74"/>
    <w:rsid w:val="00365D89"/>
    <w:rsid w:val="00365D8A"/>
    <w:rsid w:val="00365ECB"/>
    <w:rsid w:val="00365ECF"/>
    <w:rsid w:val="00365F2C"/>
    <w:rsid w:val="00365F37"/>
    <w:rsid w:val="00365F3C"/>
    <w:rsid w:val="00365F6B"/>
    <w:rsid w:val="00365F8E"/>
    <w:rsid w:val="00365FA8"/>
    <w:rsid w:val="00365FBD"/>
    <w:rsid w:val="00365FC2"/>
    <w:rsid w:val="00365FE7"/>
    <w:rsid w:val="00365FF6"/>
    <w:rsid w:val="0036602A"/>
    <w:rsid w:val="0036608B"/>
    <w:rsid w:val="00366099"/>
    <w:rsid w:val="00366179"/>
    <w:rsid w:val="00366189"/>
    <w:rsid w:val="003661D2"/>
    <w:rsid w:val="003661E6"/>
    <w:rsid w:val="003661F0"/>
    <w:rsid w:val="00366222"/>
    <w:rsid w:val="00366253"/>
    <w:rsid w:val="0036628D"/>
    <w:rsid w:val="00366357"/>
    <w:rsid w:val="003664DA"/>
    <w:rsid w:val="00366505"/>
    <w:rsid w:val="00366522"/>
    <w:rsid w:val="00366527"/>
    <w:rsid w:val="00366582"/>
    <w:rsid w:val="003665FF"/>
    <w:rsid w:val="00366630"/>
    <w:rsid w:val="00366644"/>
    <w:rsid w:val="00366671"/>
    <w:rsid w:val="003666C5"/>
    <w:rsid w:val="003666F7"/>
    <w:rsid w:val="0036670A"/>
    <w:rsid w:val="0036677F"/>
    <w:rsid w:val="0036678B"/>
    <w:rsid w:val="003667C1"/>
    <w:rsid w:val="00366831"/>
    <w:rsid w:val="00366854"/>
    <w:rsid w:val="003668E0"/>
    <w:rsid w:val="003668E5"/>
    <w:rsid w:val="0036696F"/>
    <w:rsid w:val="003669CB"/>
    <w:rsid w:val="003669E9"/>
    <w:rsid w:val="00366A1B"/>
    <w:rsid w:val="00366A3A"/>
    <w:rsid w:val="00366A60"/>
    <w:rsid w:val="00366A75"/>
    <w:rsid w:val="00366A8B"/>
    <w:rsid w:val="00366AAB"/>
    <w:rsid w:val="00366AC5"/>
    <w:rsid w:val="00366B08"/>
    <w:rsid w:val="00366B12"/>
    <w:rsid w:val="00366B13"/>
    <w:rsid w:val="00366B27"/>
    <w:rsid w:val="00366B43"/>
    <w:rsid w:val="00366B56"/>
    <w:rsid w:val="00366C29"/>
    <w:rsid w:val="00366C7E"/>
    <w:rsid w:val="00366CA9"/>
    <w:rsid w:val="00366CAA"/>
    <w:rsid w:val="00366CB1"/>
    <w:rsid w:val="00366CF0"/>
    <w:rsid w:val="00366D67"/>
    <w:rsid w:val="00366D69"/>
    <w:rsid w:val="00366D87"/>
    <w:rsid w:val="00366DB5"/>
    <w:rsid w:val="00366E28"/>
    <w:rsid w:val="00366E30"/>
    <w:rsid w:val="00366E4A"/>
    <w:rsid w:val="00366E59"/>
    <w:rsid w:val="00366EEB"/>
    <w:rsid w:val="00366F53"/>
    <w:rsid w:val="00366FC0"/>
    <w:rsid w:val="00367030"/>
    <w:rsid w:val="003670DF"/>
    <w:rsid w:val="003671E9"/>
    <w:rsid w:val="00367217"/>
    <w:rsid w:val="0036724C"/>
    <w:rsid w:val="00367289"/>
    <w:rsid w:val="00367329"/>
    <w:rsid w:val="00367366"/>
    <w:rsid w:val="00367391"/>
    <w:rsid w:val="0036739A"/>
    <w:rsid w:val="003673D4"/>
    <w:rsid w:val="0036741C"/>
    <w:rsid w:val="00367481"/>
    <w:rsid w:val="00367482"/>
    <w:rsid w:val="003674CE"/>
    <w:rsid w:val="0036751C"/>
    <w:rsid w:val="00367562"/>
    <w:rsid w:val="0036756A"/>
    <w:rsid w:val="003675C1"/>
    <w:rsid w:val="0036760F"/>
    <w:rsid w:val="00367638"/>
    <w:rsid w:val="00367658"/>
    <w:rsid w:val="00367696"/>
    <w:rsid w:val="003676E4"/>
    <w:rsid w:val="003676E8"/>
    <w:rsid w:val="00367787"/>
    <w:rsid w:val="0036779C"/>
    <w:rsid w:val="00367800"/>
    <w:rsid w:val="00367841"/>
    <w:rsid w:val="00367843"/>
    <w:rsid w:val="003678AD"/>
    <w:rsid w:val="003678B5"/>
    <w:rsid w:val="003678D9"/>
    <w:rsid w:val="003678F6"/>
    <w:rsid w:val="0036790A"/>
    <w:rsid w:val="00367915"/>
    <w:rsid w:val="00367A59"/>
    <w:rsid w:val="00367A84"/>
    <w:rsid w:val="00367ACC"/>
    <w:rsid w:val="00367ADA"/>
    <w:rsid w:val="00367AE2"/>
    <w:rsid w:val="00367AE7"/>
    <w:rsid w:val="00367B08"/>
    <w:rsid w:val="00367B39"/>
    <w:rsid w:val="00367B5E"/>
    <w:rsid w:val="00367B91"/>
    <w:rsid w:val="00367BAA"/>
    <w:rsid w:val="00367C0B"/>
    <w:rsid w:val="00367CBF"/>
    <w:rsid w:val="00367CF8"/>
    <w:rsid w:val="00367D09"/>
    <w:rsid w:val="00367D13"/>
    <w:rsid w:val="00367D1B"/>
    <w:rsid w:val="00367D34"/>
    <w:rsid w:val="00367DBD"/>
    <w:rsid w:val="00367DD6"/>
    <w:rsid w:val="00367DE9"/>
    <w:rsid w:val="00367FA5"/>
    <w:rsid w:val="00367FED"/>
    <w:rsid w:val="0037000C"/>
    <w:rsid w:val="00370058"/>
    <w:rsid w:val="0037008B"/>
    <w:rsid w:val="003700AE"/>
    <w:rsid w:val="00370131"/>
    <w:rsid w:val="0037028C"/>
    <w:rsid w:val="003702A9"/>
    <w:rsid w:val="003702C6"/>
    <w:rsid w:val="003702D0"/>
    <w:rsid w:val="003702D5"/>
    <w:rsid w:val="003702E9"/>
    <w:rsid w:val="0037032B"/>
    <w:rsid w:val="00370340"/>
    <w:rsid w:val="0037035D"/>
    <w:rsid w:val="003703C7"/>
    <w:rsid w:val="003703E2"/>
    <w:rsid w:val="00370402"/>
    <w:rsid w:val="00370437"/>
    <w:rsid w:val="00370446"/>
    <w:rsid w:val="00370475"/>
    <w:rsid w:val="00370485"/>
    <w:rsid w:val="003704C6"/>
    <w:rsid w:val="00370556"/>
    <w:rsid w:val="003705EF"/>
    <w:rsid w:val="00370629"/>
    <w:rsid w:val="00370653"/>
    <w:rsid w:val="0037068B"/>
    <w:rsid w:val="003706C1"/>
    <w:rsid w:val="00370769"/>
    <w:rsid w:val="003707BF"/>
    <w:rsid w:val="003707F7"/>
    <w:rsid w:val="003709B8"/>
    <w:rsid w:val="00370A4A"/>
    <w:rsid w:val="00370A4E"/>
    <w:rsid w:val="00370A5F"/>
    <w:rsid w:val="00370A78"/>
    <w:rsid w:val="00370AB0"/>
    <w:rsid w:val="00370ACB"/>
    <w:rsid w:val="00370B25"/>
    <w:rsid w:val="00370B2A"/>
    <w:rsid w:val="00370B37"/>
    <w:rsid w:val="00370B56"/>
    <w:rsid w:val="00370B5B"/>
    <w:rsid w:val="00370B6A"/>
    <w:rsid w:val="00370B7D"/>
    <w:rsid w:val="00370BAA"/>
    <w:rsid w:val="00370BCB"/>
    <w:rsid w:val="00370BF9"/>
    <w:rsid w:val="00370C1D"/>
    <w:rsid w:val="00370C22"/>
    <w:rsid w:val="00370C8E"/>
    <w:rsid w:val="00370CAC"/>
    <w:rsid w:val="00370CF1"/>
    <w:rsid w:val="00370CF3"/>
    <w:rsid w:val="00370D28"/>
    <w:rsid w:val="00370D4C"/>
    <w:rsid w:val="00370DBD"/>
    <w:rsid w:val="00370DBF"/>
    <w:rsid w:val="00370DFE"/>
    <w:rsid w:val="00370E72"/>
    <w:rsid w:val="00370E7A"/>
    <w:rsid w:val="00370E95"/>
    <w:rsid w:val="00370E9D"/>
    <w:rsid w:val="00370EA8"/>
    <w:rsid w:val="00370EFA"/>
    <w:rsid w:val="00370F2D"/>
    <w:rsid w:val="00370F3C"/>
    <w:rsid w:val="00370F55"/>
    <w:rsid w:val="00370FC1"/>
    <w:rsid w:val="00370FE8"/>
    <w:rsid w:val="00370FEF"/>
    <w:rsid w:val="0037100A"/>
    <w:rsid w:val="00371041"/>
    <w:rsid w:val="00371073"/>
    <w:rsid w:val="00371127"/>
    <w:rsid w:val="0037119F"/>
    <w:rsid w:val="003711E5"/>
    <w:rsid w:val="0037126F"/>
    <w:rsid w:val="00371272"/>
    <w:rsid w:val="00371278"/>
    <w:rsid w:val="003712B4"/>
    <w:rsid w:val="003712EE"/>
    <w:rsid w:val="0037142E"/>
    <w:rsid w:val="0037144D"/>
    <w:rsid w:val="003714F3"/>
    <w:rsid w:val="0037150F"/>
    <w:rsid w:val="0037151E"/>
    <w:rsid w:val="00371521"/>
    <w:rsid w:val="0037152B"/>
    <w:rsid w:val="003715B8"/>
    <w:rsid w:val="0037161F"/>
    <w:rsid w:val="003716E6"/>
    <w:rsid w:val="00371779"/>
    <w:rsid w:val="0037190C"/>
    <w:rsid w:val="0037190D"/>
    <w:rsid w:val="003719D1"/>
    <w:rsid w:val="003719D3"/>
    <w:rsid w:val="00371A4C"/>
    <w:rsid w:val="00371A55"/>
    <w:rsid w:val="00371ACA"/>
    <w:rsid w:val="00371B25"/>
    <w:rsid w:val="00371B27"/>
    <w:rsid w:val="00371B50"/>
    <w:rsid w:val="00371C2E"/>
    <w:rsid w:val="00371C67"/>
    <w:rsid w:val="00371C7A"/>
    <w:rsid w:val="00371C88"/>
    <w:rsid w:val="00371CA8"/>
    <w:rsid w:val="00371CF0"/>
    <w:rsid w:val="00371CFF"/>
    <w:rsid w:val="00371D4B"/>
    <w:rsid w:val="00371D95"/>
    <w:rsid w:val="00371DD5"/>
    <w:rsid w:val="00371E17"/>
    <w:rsid w:val="00371E1B"/>
    <w:rsid w:val="00371E5F"/>
    <w:rsid w:val="00371EA2"/>
    <w:rsid w:val="00371F62"/>
    <w:rsid w:val="00371FB8"/>
    <w:rsid w:val="00371FF4"/>
    <w:rsid w:val="00372017"/>
    <w:rsid w:val="00372038"/>
    <w:rsid w:val="00372050"/>
    <w:rsid w:val="003720B5"/>
    <w:rsid w:val="003720FD"/>
    <w:rsid w:val="00372196"/>
    <w:rsid w:val="003721C3"/>
    <w:rsid w:val="003721D1"/>
    <w:rsid w:val="003721E5"/>
    <w:rsid w:val="0037227A"/>
    <w:rsid w:val="00372289"/>
    <w:rsid w:val="00372291"/>
    <w:rsid w:val="0037229A"/>
    <w:rsid w:val="003722B1"/>
    <w:rsid w:val="00372314"/>
    <w:rsid w:val="003723CC"/>
    <w:rsid w:val="00372415"/>
    <w:rsid w:val="00372452"/>
    <w:rsid w:val="003724B3"/>
    <w:rsid w:val="00372503"/>
    <w:rsid w:val="003725E1"/>
    <w:rsid w:val="003725EB"/>
    <w:rsid w:val="003725F5"/>
    <w:rsid w:val="00372604"/>
    <w:rsid w:val="0037260E"/>
    <w:rsid w:val="0037261C"/>
    <w:rsid w:val="0037268B"/>
    <w:rsid w:val="003726C6"/>
    <w:rsid w:val="003726C8"/>
    <w:rsid w:val="0037274C"/>
    <w:rsid w:val="0037275A"/>
    <w:rsid w:val="003727CC"/>
    <w:rsid w:val="003727F4"/>
    <w:rsid w:val="00372850"/>
    <w:rsid w:val="00372852"/>
    <w:rsid w:val="00372873"/>
    <w:rsid w:val="0037287C"/>
    <w:rsid w:val="003728D9"/>
    <w:rsid w:val="003728F2"/>
    <w:rsid w:val="0037290B"/>
    <w:rsid w:val="0037292C"/>
    <w:rsid w:val="00372A2F"/>
    <w:rsid w:val="00372A8B"/>
    <w:rsid w:val="00372AF9"/>
    <w:rsid w:val="00372AFD"/>
    <w:rsid w:val="00372B24"/>
    <w:rsid w:val="00372BEF"/>
    <w:rsid w:val="00372C28"/>
    <w:rsid w:val="00372C40"/>
    <w:rsid w:val="00372C8B"/>
    <w:rsid w:val="00372CD6"/>
    <w:rsid w:val="00372D60"/>
    <w:rsid w:val="00372DF2"/>
    <w:rsid w:val="00372E16"/>
    <w:rsid w:val="00372E62"/>
    <w:rsid w:val="00372EA8"/>
    <w:rsid w:val="00372EDF"/>
    <w:rsid w:val="00372EE7"/>
    <w:rsid w:val="00372EEF"/>
    <w:rsid w:val="00372EFD"/>
    <w:rsid w:val="00372EFE"/>
    <w:rsid w:val="00372F11"/>
    <w:rsid w:val="00372F2A"/>
    <w:rsid w:val="00372F2E"/>
    <w:rsid w:val="00372F34"/>
    <w:rsid w:val="00372F85"/>
    <w:rsid w:val="00373053"/>
    <w:rsid w:val="0037305A"/>
    <w:rsid w:val="003730C6"/>
    <w:rsid w:val="003731DE"/>
    <w:rsid w:val="003731E7"/>
    <w:rsid w:val="00373215"/>
    <w:rsid w:val="0037324A"/>
    <w:rsid w:val="003732D4"/>
    <w:rsid w:val="003732F0"/>
    <w:rsid w:val="00373300"/>
    <w:rsid w:val="003733A5"/>
    <w:rsid w:val="003733E3"/>
    <w:rsid w:val="003733EA"/>
    <w:rsid w:val="00373426"/>
    <w:rsid w:val="00373448"/>
    <w:rsid w:val="00373607"/>
    <w:rsid w:val="0037362C"/>
    <w:rsid w:val="00373650"/>
    <w:rsid w:val="0037367D"/>
    <w:rsid w:val="003736C9"/>
    <w:rsid w:val="003736DA"/>
    <w:rsid w:val="003737C8"/>
    <w:rsid w:val="003737FA"/>
    <w:rsid w:val="0037381E"/>
    <w:rsid w:val="0037383E"/>
    <w:rsid w:val="00373848"/>
    <w:rsid w:val="00373869"/>
    <w:rsid w:val="003738A0"/>
    <w:rsid w:val="003738A7"/>
    <w:rsid w:val="003738E2"/>
    <w:rsid w:val="0037393D"/>
    <w:rsid w:val="00373996"/>
    <w:rsid w:val="003739C0"/>
    <w:rsid w:val="003739C9"/>
    <w:rsid w:val="00373A21"/>
    <w:rsid w:val="00373AB6"/>
    <w:rsid w:val="00373AE6"/>
    <w:rsid w:val="00373AF0"/>
    <w:rsid w:val="00373B55"/>
    <w:rsid w:val="00373B86"/>
    <w:rsid w:val="00373B88"/>
    <w:rsid w:val="00373BFF"/>
    <w:rsid w:val="00373C74"/>
    <w:rsid w:val="00373D0D"/>
    <w:rsid w:val="00373D3F"/>
    <w:rsid w:val="00373D5A"/>
    <w:rsid w:val="00373DD2"/>
    <w:rsid w:val="00373E5E"/>
    <w:rsid w:val="00373F1B"/>
    <w:rsid w:val="00374005"/>
    <w:rsid w:val="00374047"/>
    <w:rsid w:val="00374062"/>
    <w:rsid w:val="003740CC"/>
    <w:rsid w:val="0037413C"/>
    <w:rsid w:val="00374187"/>
    <w:rsid w:val="003741CA"/>
    <w:rsid w:val="003741DD"/>
    <w:rsid w:val="00374246"/>
    <w:rsid w:val="0037428A"/>
    <w:rsid w:val="0037431F"/>
    <w:rsid w:val="0037438B"/>
    <w:rsid w:val="003743A9"/>
    <w:rsid w:val="003743EF"/>
    <w:rsid w:val="00374414"/>
    <w:rsid w:val="0037444D"/>
    <w:rsid w:val="00374454"/>
    <w:rsid w:val="003744AF"/>
    <w:rsid w:val="003744F9"/>
    <w:rsid w:val="003745F0"/>
    <w:rsid w:val="00374629"/>
    <w:rsid w:val="003746EC"/>
    <w:rsid w:val="003746F2"/>
    <w:rsid w:val="003746FD"/>
    <w:rsid w:val="0037475F"/>
    <w:rsid w:val="00374835"/>
    <w:rsid w:val="00374840"/>
    <w:rsid w:val="0037486C"/>
    <w:rsid w:val="003748AB"/>
    <w:rsid w:val="003748B7"/>
    <w:rsid w:val="003748DA"/>
    <w:rsid w:val="003748EC"/>
    <w:rsid w:val="00374A6F"/>
    <w:rsid w:val="00374A84"/>
    <w:rsid w:val="00374AD9"/>
    <w:rsid w:val="00374ADD"/>
    <w:rsid w:val="00374AEE"/>
    <w:rsid w:val="00374B7E"/>
    <w:rsid w:val="00374C9C"/>
    <w:rsid w:val="00374CB8"/>
    <w:rsid w:val="00374DFB"/>
    <w:rsid w:val="00374E19"/>
    <w:rsid w:val="00374E20"/>
    <w:rsid w:val="00374E36"/>
    <w:rsid w:val="00374E5C"/>
    <w:rsid w:val="00374ED9"/>
    <w:rsid w:val="00374F31"/>
    <w:rsid w:val="00374F42"/>
    <w:rsid w:val="00374F6C"/>
    <w:rsid w:val="003750CF"/>
    <w:rsid w:val="003750D0"/>
    <w:rsid w:val="003750EB"/>
    <w:rsid w:val="0037514C"/>
    <w:rsid w:val="00375156"/>
    <w:rsid w:val="0037517C"/>
    <w:rsid w:val="00375180"/>
    <w:rsid w:val="003751A2"/>
    <w:rsid w:val="003751DD"/>
    <w:rsid w:val="00375203"/>
    <w:rsid w:val="0037528B"/>
    <w:rsid w:val="003752DF"/>
    <w:rsid w:val="00375324"/>
    <w:rsid w:val="003753CD"/>
    <w:rsid w:val="003753F6"/>
    <w:rsid w:val="00375483"/>
    <w:rsid w:val="00375556"/>
    <w:rsid w:val="00375589"/>
    <w:rsid w:val="0037559A"/>
    <w:rsid w:val="003755F3"/>
    <w:rsid w:val="00375655"/>
    <w:rsid w:val="00375671"/>
    <w:rsid w:val="003756AF"/>
    <w:rsid w:val="003756F6"/>
    <w:rsid w:val="00375742"/>
    <w:rsid w:val="00375771"/>
    <w:rsid w:val="00375803"/>
    <w:rsid w:val="00375850"/>
    <w:rsid w:val="0037587E"/>
    <w:rsid w:val="00375892"/>
    <w:rsid w:val="00375894"/>
    <w:rsid w:val="003758DA"/>
    <w:rsid w:val="00375935"/>
    <w:rsid w:val="0037597A"/>
    <w:rsid w:val="00375983"/>
    <w:rsid w:val="003759D3"/>
    <w:rsid w:val="00375AC7"/>
    <w:rsid w:val="00375AE4"/>
    <w:rsid w:val="00375B24"/>
    <w:rsid w:val="00375B3B"/>
    <w:rsid w:val="00375B55"/>
    <w:rsid w:val="00375B5B"/>
    <w:rsid w:val="00375B5D"/>
    <w:rsid w:val="00375B77"/>
    <w:rsid w:val="00375BCF"/>
    <w:rsid w:val="00375BEB"/>
    <w:rsid w:val="00375C74"/>
    <w:rsid w:val="00375C8A"/>
    <w:rsid w:val="00375C8F"/>
    <w:rsid w:val="00375C94"/>
    <w:rsid w:val="00375D62"/>
    <w:rsid w:val="00375D90"/>
    <w:rsid w:val="00375DC0"/>
    <w:rsid w:val="00375DF7"/>
    <w:rsid w:val="00375E4F"/>
    <w:rsid w:val="00375E73"/>
    <w:rsid w:val="00375E9F"/>
    <w:rsid w:val="00375EDA"/>
    <w:rsid w:val="00375F09"/>
    <w:rsid w:val="00375F1A"/>
    <w:rsid w:val="00375F54"/>
    <w:rsid w:val="00375FC0"/>
    <w:rsid w:val="00376024"/>
    <w:rsid w:val="00376047"/>
    <w:rsid w:val="00376048"/>
    <w:rsid w:val="003760C3"/>
    <w:rsid w:val="00376108"/>
    <w:rsid w:val="00376137"/>
    <w:rsid w:val="003761A5"/>
    <w:rsid w:val="003761D7"/>
    <w:rsid w:val="00376228"/>
    <w:rsid w:val="003762AA"/>
    <w:rsid w:val="003762D5"/>
    <w:rsid w:val="0037642C"/>
    <w:rsid w:val="00376451"/>
    <w:rsid w:val="00376473"/>
    <w:rsid w:val="00376519"/>
    <w:rsid w:val="00376530"/>
    <w:rsid w:val="00376544"/>
    <w:rsid w:val="0037656C"/>
    <w:rsid w:val="003765B4"/>
    <w:rsid w:val="003765B8"/>
    <w:rsid w:val="003766A5"/>
    <w:rsid w:val="003766D6"/>
    <w:rsid w:val="0037674C"/>
    <w:rsid w:val="00376776"/>
    <w:rsid w:val="00376796"/>
    <w:rsid w:val="00376837"/>
    <w:rsid w:val="00376874"/>
    <w:rsid w:val="003768C3"/>
    <w:rsid w:val="00376906"/>
    <w:rsid w:val="0037691B"/>
    <w:rsid w:val="003769AB"/>
    <w:rsid w:val="00376A7B"/>
    <w:rsid w:val="00376AC6"/>
    <w:rsid w:val="00376AF5"/>
    <w:rsid w:val="00376B31"/>
    <w:rsid w:val="00376B5A"/>
    <w:rsid w:val="00376C33"/>
    <w:rsid w:val="00376C88"/>
    <w:rsid w:val="00376CCE"/>
    <w:rsid w:val="00376D23"/>
    <w:rsid w:val="00376D81"/>
    <w:rsid w:val="00376DA8"/>
    <w:rsid w:val="00376DFF"/>
    <w:rsid w:val="00376E22"/>
    <w:rsid w:val="00376E30"/>
    <w:rsid w:val="00376EC6"/>
    <w:rsid w:val="00376F60"/>
    <w:rsid w:val="00376F6A"/>
    <w:rsid w:val="0037700A"/>
    <w:rsid w:val="00377026"/>
    <w:rsid w:val="0037705B"/>
    <w:rsid w:val="003770C8"/>
    <w:rsid w:val="003770E3"/>
    <w:rsid w:val="003770FD"/>
    <w:rsid w:val="00377144"/>
    <w:rsid w:val="00377159"/>
    <w:rsid w:val="003771B8"/>
    <w:rsid w:val="003771C2"/>
    <w:rsid w:val="003772BB"/>
    <w:rsid w:val="003772F3"/>
    <w:rsid w:val="003772FD"/>
    <w:rsid w:val="00377360"/>
    <w:rsid w:val="003773D2"/>
    <w:rsid w:val="00377425"/>
    <w:rsid w:val="003774ED"/>
    <w:rsid w:val="0037752B"/>
    <w:rsid w:val="0037753D"/>
    <w:rsid w:val="0037756B"/>
    <w:rsid w:val="00377585"/>
    <w:rsid w:val="003775BE"/>
    <w:rsid w:val="003775E6"/>
    <w:rsid w:val="00377643"/>
    <w:rsid w:val="00377659"/>
    <w:rsid w:val="0037768D"/>
    <w:rsid w:val="003776A8"/>
    <w:rsid w:val="00377707"/>
    <w:rsid w:val="00377746"/>
    <w:rsid w:val="0037774B"/>
    <w:rsid w:val="00377751"/>
    <w:rsid w:val="00377875"/>
    <w:rsid w:val="0037789F"/>
    <w:rsid w:val="00377902"/>
    <w:rsid w:val="00377952"/>
    <w:rsid w:val="00377956"/>
    <w:rsid w:val="00377962"/>
    <w:rsid w:val="00377999"/>
    <w:rsid w:val="003779DE"/>
    <w:rsid w:val="00377AC6"/>
    <w:rsid w:val="00377B1C"/>
    <w:rsid w:val="00377B50"/>
    <w:rsid w:val="00377B7C"/>
    <w:rsid w:val="00377B9C"/>
    <w:rsid w:val="00377D20"/>
    <w:rsid w:val="00377DA5"/>
    <w:rsid w:val="00377DD4"/>
    <w:rsid w:val="00377DE5"/>
    <w:rsid w:val="00377E1E"/>
    <w:rsid w:val="00377E74"/>
    <w:rsid w:val="00377EE1"/>
    <w:rsid w:val="00377EE4"/>
    <w:rsid w:val="00377F6A"/>
    <w:rsid w:val="00377F7B"/>
    <w:rsid w:val="00377F8D"/>
    <w:rsid w:val="00377FAB"/>
    <w:rsid w:val="00380061"/>
    <w:rsid w:val="00380064"/>
    <w:rsid w:val="00380091"/>
    <w:rsid w:val="00380097"/>
    <w:rsid w:val="003800B7"/>
    <w:rsid w:val="003800BF"/>
    <w:rsid w:val="003800C5"/>
    <w:rsid w:val="003800EE"/>
    <w:rsid w:val="00380118"/>
    <w:rsid w:val="00380132"/>
    <w:rsid w:val="00380156"/>
    <w:rsid w:val="003801E7"/>
    <w:rsid w:val="0038030E"/>
    <w:rsid w:val="00380314"/>
    <w:rsid w:val="00380352"/>
    <w:rsid w:val="0038035E"/>
    <w:rsid w:val="00380363"/>
    <w:rsid w:val="00380385"/>
    <w:rsid w:val="0038038B"/>
    <w:rsid w:val="003803B7"/>
    <w:rsid w:val="003803C5"/>
    <w:rsid w:val="00380449"/>
    <w:rsid w:val="00380570"/>
    <w:rsid w:val="003805AB"/>
    <w:rsid w:val="003805C5"/>
    <w:rsid w:val="00380652"/>
    <w:rsid w:val="00380669"/>
    <w:rsid w:val="0038075C"/>
    <w:rsid w:val="00380769"/>
    <w:rsid w:val="003807A9"/>
    <w:rsid w:val="003807C7"/>
    <w:rsid w:val="003807F7"/>
    <w:rsid w:val="00380819"/>
    <w:rsid w:val="00380827"/>
    <w:rsid w:val="00380855"/>
    <w:rsid w:val="00380898"/>
    <w:rsid w:val="0038089A"/>
    <w:rsid w:val="003808B2"/>
    <w:rsid w:val="00380960"/>
    <w:rsid w:val="00380972"/>
    <w:rsid w:val="0038098E"/>
    <w:rsid w:val="003809B6"/>
    <w:rsid w:val="003809FC"/>
    <w:rsid w:val="00380A6D"/>
    <w:rsid w:val="00380B09"/>
    <w:rsid w:val="00380B4D"/>
    <w:rsid w:val="00380BAC"/>
    <w:rsid w:val="00380BF2"/>
    <w:rsid w:val="00380C07"/>
    <w:rsid w:val="00380CBA"/>
    <w:rsid w:val="00380CE2"/>
    <w:rsid w:val="00380D5D"/>
    <w:rsid w:val="00380D6F"/>
    <w:rsid w:val="00380DBB"/>
    <w:rsid w:val="00380E23"/>
    <w:rsid w:val="00380E33"/>
    <w:rsid w:val="00380E35"/>
    <w:rsid w:val="00380E54"/>
    <w:rsid w:val="00380F20"/>
    <w:rsid w:val="00380FC5"/>
    <w:rsid w:val="00380FCB"/>
    <w:rsid w:val="00380FCE"/>
    <w:rsid w:val="00380FD0"/>
    <w:rsid w:val="00380FDE"/>
    <w:rsid w:val="00381022"/>
    <w:rsid w:val="003810C4"/>
    <w:rsid w:val="00381135"/>
    <w:rsid w:val="0038114F"/>
    <w:rsid w:val="0038122B"/>
    <w:rsid w:val="00381231"/>
    <w:rsid w:val="0038126A"/>
    <w:rsid w:val="003812BA"/>
    <w:rsid w:val="003812CC"/>
    <w:rsid w:val="00381317"/>
    <w:rsid w:val="003813C0"/>
    <w:rsid w:val="00381416"/>
    <w:rsid w:val="00381433"/>
    <w:rsid w:val="0038147C"/>
    <w:rsid w:val="003814BD"/>
    <w:rsid w:val="003814D4"/>
    <w:rsid w:val="003814D6"/>
    <w:rsid w:val="003814E3"/>
    <w:rsid w:val="0038153C"/>
    <w:rsid w:val="0038153F"/>
    <w:rsid w:val="00381541"/>
    <w:rsid w:val="00381562"/>
    <w:rsid w:val="003815F3"/>
    <w:rsid w:val="00381621"/>
    <w:rsid w:val="003816CA"/>
    <w:rsid w:val="003816CC"/>
    <w:rsid w:val="003816FA"/>
    <w:rsid w:val="0038170B"/>
    <w:rsid w:val="0038172B"/>
    <w:rsid w:val="00381756"/>
    <w:rsid w:val="00381759"/>
    <w:rsid w:val="0038175B"/>
    <w:rsid w:val="00381790"/>
    <w:rsid w:val="00381806"/>
    <w:rsid w:val="00381879"/>
    <w:rsid w:val="00381882"/>
    <w:rsid w:val="00381912"/>
    <w:rsid w:val="003819AC"/>
    <w:rsid w:val="00381A0B"/>
    <w:rsid w:val="00381A41"/>
    <w:rsid w:val="00381A4B"/>
    <w:rsid w:val="00381A65"/>
    <w:rsid w:val="00381AEB"/>
    <w:rsid w:val="00381AEC"/>
    <w:rsid w:val="00381B31"/>
    <w:rsid w:val="00381B42"/>
    <w:rsid w:val="00381B56"/>
    <w:rsid w:val="00381BB4"/>
    <w:rsid w:val="00381C14"/>
    <w:rsid w:val="00381C23"/>
    <w:rsid w:val="00381C2D"/>
    <w:rsid w:val="00381C50"/>
    <w:rsid w:val="00381CA3"/>
    <w:rsid w:val="00381D08"/>
    <w:rsid w:val="00381D20"/>
    <w:rsid w:val="00381D43"/>
    <w:rsid w:val="00381D6D"/>
    <w:rsid w:val="00381DC1"/>
    <w:rsid w:val="00381EA2"/>
    <w:rsid w:val="00381F0A"/>
    <w:rsid w:val="00381F78"/>
    <w:rsid w:val="00381FB1"/>
    <w:rsid w:val="003820DE"/>
    <w:rsid w:val="00382102"/>
    <w:rsid w:val="0038213E"/>
    <w:rsid w:val="00382144"/>
    <w:rsid w:val="00382157"/>
    <w:rsid w:val="00382277"/>
    <w:rsid w:val="003822B8"/>
    <w:rsid w:val="003822C1"/>
    <w:rsid w:val="003822F5"/>
    <w:rsid w:val="003822F7"/>
    <w:rsid w:val="00382301"/>
    <w:rsid w:val="00382347"/>
    <w:rsid w:val="0038238D"/>
    <w:rsid w:val="003823B4"/>
    <w:rsid w:val="00382422"/>
    <w:rsid w:val="0038248D"/>
    <w:rsid w:val="003824DD"/>
    <w:rsid w:val="003824F0"/>
    <w:rsid w:val="00382536"/>
    <w:rsid w:val="0038256E"/>
    <w:rsid w:val="003825AB"/>
    <w:rsid w:val="0038262A"/>
    <w:rsid w:val="0038262D"/>
    <w:rsid w:val="00382635"/>
    <w:rsid w:val="00382688"/>
    <w:rsid w:val="003826C8"/>
    <w:rsid w:val="00382769"/>
    <w:rsid w:val="00382785"/>
    <w:rsid w:val="0038278D"/>
    <w:rsid w:val="003827FF"/>
    <w:rsid w:val="00382802"/>
    <w:rsid w:val="0038281A"/>
    <w:rsid w:val="00382841"/>
    <w:rsid w:val="0038284D"/>
    <w:rsid w:val="00382856"/>
    <w:rsid w:val="003828EA"/>
    <w:rsid w:val="00382908"/>
    <w:rsid w:val="00382990"/>
    <w:rsid w:val="003829BF"/>
    <w:rsid w:val="003829E7"/>
    <w:rsid w:val="00382A0E"/>
    <w:rsid w:val="00382A5C"/>
    <w:rsid w:val="00382AC6"/>
    <w:rsid w:val="00382AF6"/>
    <w:rsid w:val="00382AFE"/>
    <w:rsid w:val="00382B47"/>
    <w:rsid w:val="00382B68"/>
    <w:rsid w:val="00382BA8"/>
    <w:rsid w:val="00382C18"/>
    <w:rsid w:val="00382C66"/>
    <w:rsid w:val="00382CBA"/>
    <w:rsid w:val="00382CC0"/>
    <w:rsid w:val="00382CC9"/>
    <w:rsid w:val="00382D4E"/>
    <w:rsid w:val="00382DC0"/>
    <w:rsid w:val="00382DD1"/>
    <w:rsid w:val="00382DD5"/>
    <w:rsid w:val="00382E41"/>
    <w:rsid w:val="00382E6D"/>
    <w:rsid w:val="00382E8B"/>
    <w:rsid w:val="00382EE1"/>
    <w:rsid w:val="00382EEB"/>
    <w:rsid w:val="00382F15"/>
    <w:rsid w:val="00382F2C"/>
    <w:rsid w:val="00382F4D"/>
    <w:rsid w:val="00382F7D"/>
    <w:rsid w:val="00382F92"/>
    <w:rsid w:val="00382FB2"/>
    <w:rsid w:val="00382FEC"/>
    <w:rsid w:val="00383038"/>
    <w:rsid w:val="00383081"/>
    <w:rsid w:val="00383114"/>
    <w:rsid w:val="00383135"/>
    <w:rsid w:val="0038316F"/>
    <w:rsid w:val="003831E0"/>
    <w:rsid w:val="0038329D"/>
    <w:rsid w:val="003832BE"/>
    <w:rsid w:val="003832BF"/>
    <w:rsid w:val="003832DE"/>
    <w:rsid w:val="00383440"/>
    <w:rsid w:val="00383442"/>
    <w:rsid w:val="00383471"/>
    <w:rsid w:val="00383495"/>
    <w:rsid w:val="0038355C"/>
    <w:rsid w:val="00383568"/>
    <w:rsid w:val="00383581"/>
    <w:rsid w:val="00383589"/>
    <w:rsid w:val="003835AC"/>
    <w:rsid w:val="003835D6"/>
    <w:rsid w:val="003835F7"/>
    <w:rsid w:val="003836A6"/>
    <w:rsid w:val="003836E0"/>
    <w:rsid w:val="0038370D"/>
    <w:rsid w:val="0038375E"/>
    <w:rsid w:val="0038381D"/>
    <w:rsid w:val="00383835"/>
    <w:rsid w:val="00383856"/>
    <w:rsid w:val="0038385C"/>
    <w:rsid w:val="003838BE"/>
    <w:rsid w:val="0038393C"/>
    <w:rsid w:val="00383969"/>
    <w:rsid w:val="0038399B"/>
    <w:rsid w:val="003839CE"/>
    <w:rsid w:val="00383A1C"/>
    <w:rsid w:val="00383A6A"/>
    <w:rsid w:val="00383B0D"/>
    <w:rsid w:val="00383B19"/>
    <w:rsid w:val="00383BB7"/>
    <w:rsid w:val="00383BD7"/>
    <w:rsid w:val="00383C0A"/>
    <w:rsid w:val="00383C37"/>
    <w:rsid w:val="00383C4A"/>
    <w:rsid w:val="00383C4E"/>
    <w:rsid w:val="00383C95"/>
    <w:rsid w:val="00383C9E"/>
    <w:rsid w:val="00383CDF"/>
    <w:rsid w:val="00383D86"/>
    <w:rsid w:val="00383E0C"/>
    <w:rsid w:val="00383E3B"/>
    <w:rsid w:val="00383E54"/>
    <w:rsid w:val="00383ED6"/>
    <w:rsid w:val="00383EDB"/>
    <w:rsid w:val="00383F2E"/>
    <w:rsid w:val="00383F34"/>
    <w:rsid w:val="00383F81"/>
    <w:rsid w:val="00383FAD"/>
    <w:rsid w:val="0038402C"/>
    <w:rsid w:val="00384050"/>
    <w:rsid w:val="003840CB"/>
    <w:rsid w:val="003841D8"/>
    <w:rsid w:val="0038421F"/>
    <w:rsid w:val="0038427A"/>
    <w:rsid w:val="00384290"/>
    <w:rsid w:val="0038429E"/>
    <w:rsid w:val="003842B7"/>
    <w:rsid w:val="00384305"/>
    <w:rsid w:val="00384367"/>
    <w:rsid w:val="003843D7"/>
    <w:rsid w:val="003843D8"/>
    <w:rsid w:val="003843E1"/>
    <w:rsid w:val="00384416"/>
    <w:rsid w:val="00384457"/>
    <w:rsid w:val="00384466"/>
    <w:rsid w:val="003844A8"/>
    <w:rsid w:val="003844B6"/>
    <w:rsid w:val="003844E2"/>
    <w:rsid w:val="003844F1"/>
    <w:rsid w:val="003844F8"/>
    <w:rsid w:val="00384523"/>
    <w:rsid w:val="0038459B"/>
    <w:rsid w:val="0038462F"/>
    <w:rsid w:val="0038464A"/>
    <w:rsid w:val="00384665"/>
    <w:rsid w:val="00384682"/>
    <w:rsid w:val="00384685"/>
    <w:rsid w:val="00384686"/>
    <w:rsid w:val="003846D1"/>
    <w:rsid w:val="00384718"/>
    <w:rsid w:val="0038471C"/>
    <w:rsid w:val="00384736"/>
    <w:rsid w:val="00384767"/>
    <w:rsid w:val="0038479C"/>
    <w:rsid w:val="00384843"/>
    <w:rsid w:val="0038485D"/>
    <w:rsid w:val="00384892"/>
    <w:rsid w:val="003848A6"/>
    <w:rsid w:val="00384939"/>
    <w:rsid w:val="003849A7"/>
    <w:rsid w:val="003849A9"/>
    <w:rsid w:val="003849AD"/>
    <w:rsid w:val="003849AF"/>
    <w:rsid w:val="00384A9A"/>
    <w:rsid w:val="00384AA4"/>
    <w:rsid w:val="00384AC8"/>
    <w:rsid w:val="00384B37"/>
    <w:rsid w:val="00384B8A"/>
    <w:rsid w:val="00384B9D"/>
    <w:rsid w:val="00384C0D"/>
    <w:rsid w:val="00384C1B"/>
    <w:rsid w:val="00384CD1"/>
    <w:rsid w:val="00384CE2"/>
    <w:rsid w:val="00384D22"/>
    <w:rsid w:val="00384DB1"/>
    <w:rsid w:val="00384DC1"/>
    <w:rsid w:val="00384E26"/>
    <w:rsid w:val="00384E2E"/>
    <w:rsid w:val="00384E56"/>
    <w:rsid w:val="00384E57"/>
    <w:rsid w:val="00384EBF"/>
    <w:rsid w:val="00384F02"/>
    <w:rsid w:val="00384F2D"/>
    <w:rsid w:val="00384F65"/>
    <w:rsid w:val="00384F83"/>
    <w:rsid w:val="00384FC6"/>
    <w:rsid w:val="00384FCE"/>
    <w:rsid w:val="00384FD2"/>
    <w:rsid w:val="00385026"/>
    <w:rsid w:val="003850C4"/>
    <w:rsid w:val="003850FA"/>
    <w:rsid w:val="00385108"/>
    <w:rsid w:val="00385243"/>
    <w:rsid w:val="0038532A"/>
    <w:rsid w:val="00385370"/>
    <w:rsid w:val="003853D2"/>
    <w:rsid w:val="003853E6"/>
    <w:rsid w:val="003853F0"/>
    <w:rsid w:val="00385482"/>
    <w:rsid w:val="003854A5"/>
    <w:rsid w:val="003854F1"/>
    <w:rsid w:val="003854F6"/>
    <w:rsid w:val="0038568B"/>
    <w:rsid w:val="003856A7"/>
    <w:rsid w:val="0038570C"/>
    <w:rsid w:val="003857C6"/>
    <w:rsid w:val="003857CE"/>
    <w:rsid w:val="00385839"/>
    <w:rsid w:val="00385860"/>
    <w:rsid w:val="00385870"/>
    <w:rsid w:val="003858A6"/>
    <w:rsid w:val="0038592C"/>
    <w:rsid w:val="0038592E"/>
    <w:rsid w:val="003859A2"/>
    <w:rsid w:val="003859F6"/>
    <w:rsid w:val="00385A58"/>
    <w:rsid w:val="00385AC9"/>
    <w:rsid w:val="00385AD8"/>
    <w:rsid w:val="00385AE6"/>
    <w:rsid w:val="00385B43"/>
    <w:rsid w:val="00385C2C"/>
    <w:rsid w:val="00385C51"/>
    <w:rsid w:val="00385C74"/>
    <w:rsid w:val="00385CB3"/>
    <w:rsid w:val="00385CEB"/>
    <w:rsid w:val="00385D66"/>
    <w:rsid w:val="00385D70"/>
    <w:rsid w:val="00385D9A"/>
    <w:rsid w:val="00385DA0"/>
    <w:rsid w:val="00385DDF"/>
    <w:rsid w:val="00385DFC"/>
    <w:rsid w:val="00385E49"/>
    <w:rsid w:val="00385E7C"/>
    <w:rsid w:val="00385E99"/>
    <w:rsid w:val="00385E9E"/>
    <w:rsid w:val="00385EAA"/>
    <w:rsid w:val="00385EC2"/>
    <w:rsid w:val="00385F0D"/>
    <w:rsid w:val="00385F12"/>
    <w:rsid w:val="00386046"/>
    <w:rsid w:val="00386075"/>
    <w:rsid w:val="003860C0"/>
    <w:rsid w:val="0038610A"/>
    <w:rsid w:val="0038617C"/>
    <w:rsid w:val="0038624B"/>
    <w:rsid w:val="00386297"/>
    <w:rsid w:val="003862BA"/>
    <w:rsid w:val="003862FC"/>
    <w:rsid w:val="0038638B"/>
    <w:rsid w:val="003863F0"/>
    <w:rsid w:val="00386438"/>
    <w:rsid w:val="003864A0"/>
    <w:rsid w:val="0038651B"/>
    <w:rsid w:val="003865A6"/>
    <w:rsid w:val="003865B1"/>
    <w:rsid w:val="003865DB"/>
    <w:rsid w:val="00386658"/>
    <w:rsid w:val="0038667F"/>
    <w:rsid w:val="00386693"/>
    <w:rsid w:val="00386699"/>
    <w:rsid w:val="003866A4"/>
    <w:rsid w:val="003866AE"/>
    <w:rsid w:val="003866B3"/>
    <w:rsid w:val="00386724"/>
    <w:rsid w:val="003867A2"/>
    <w:rsid w:val="003867E1"/>
    <w:rsid w:val="003867EE"/>
    <w:rsid w:val="003867F5"/>
    <w:rsid w:val="003867FF"/>
    <w:rsid w:val="00386837"/>
    <w:rsid w:val="0038686B"/>
    <w:rsid w:val="00386877"/>
    <w:rsid w:val="003868A5"/>
    <w:rsid w:val="003868C1"/>
    <w:rsid w:val="00386927"/>
    <w:rsid w:val="00386997"/>
    <w:rsid w:val="003869DA"/>
    <w:rsid w:val="00386A7A"/>
    <w:rsid w:val="00386A99"/>
    <w:rsid w:val="00386ABE"/>
    <w:rsid w:val="00386ACD"/>
    <w:rsid w:val="00386AE2"/>
    <w:rsid w:val="00386B42"/>
    <w:rsid w:val="00386BD6"/>
    <w:rsid w:val="00386BE2"/>
    <w:rsid w:val="00386BE3"/>
    <w:rsid w:val="00386C1A"/>
    <w:rsid w:val="00386C4D"/>
    <w:rsid w:val="00386C93"/>
    <w:rsid w:val="00386D25"/>
    <w:rsid w:val="00386D26"/>
    <w:rsid w:val="00386DAF"/>
    <w:rsid w:val="00386DDE"/>
    <w:rsid w:val="00386E3E"/>
    <w:rsid w:val="00386E64"/>
    <w:rsid w:val="00386EEC"/>
    <w:rsid w:val="00386F27"/>
    <w:rsid w:val="00386F48"/>
    <w:rsid w:val="00386F59"/>
    <w:rsid w:val="00386F5A"/>
    <w:rsid w:val="00386F61"/>
    <w:rsid w:val="0038702B"/>
    <w:rsid w:val="0038709D"/>
    <w:rsid w:val="003870A9"/>
    <w:rsid w:val="003870C9"/>
    <w:rsid w:val="003870ED"/>
    <w:rsid w:val="00387149"/>
    <w:rsid w:val="00387174"/>
    <w:rsid w:val="0038718B"/>
    <w:rsid w:val="003871B0"/>
    <w:rsid w:val="003871FF"/>
    <w:rsid w:val="0038737A"/>
    <w:rsid w:val="00387406"/>
    <w:rsid w:val="0038740F"/>
    <w:rsid w:val="003874FB"/>
    <w:rsid w:val="00387537"/>
    <w:rsid w:val="00387550"/>
    <w:rsid w:val="00387676"/>
    <w:rsid w:val="003876C1"/>
    <w:rsid w:val="003876E4"/>
    <w:rsid w:val="00387787"/>
    <w:rsid w:val="00387790"/>
    <w:rsid w:val="003877A0"/>
    <w:rsid w:val="003877A8"/>
    <w:rsid w:val="003877C0"/>
    <w:rsid w:val="003877D2"/>
    <w:rsid w:val="00387869"/>
    <w:rsid w:val="003878C8"/>
    <w:rsid w:val="00387923"/>
    <w:rsid w:val="0038795C"/>
    <w:rsid w:val="00387962"/>
    <w:rsid w:val="003879CD"/>
    <w:rsid w:val="00387B13"/>
    <w:rsid w:val="00387B5E"/>
    <w:rsid w:val="00387BDD"/>
    <w:rsid w:val="00387C0E"/>
    <w:rsid w:val="00387C2B"/>
    <w:rsid w:val="00387CAD"/>
    <w:rsid w:val="00387D2A"/>
    <w:rsid w:val="00387D75"/>
    <w:rsid w:val="00387DA2"/>
    <w:rsid w:val="00387DB6"/>
    <w:rsid w:val="00387DBF"/>
    <w:rsid w:val="00387DD5"/>
    <w:rsid w:val="00387DE5"/>
    <w:rsid w:val="00387E36"/>
    <w:rsid w:val="00387E6A"/>
    <w:rsid w:val="00387F69"/>
    <w:rsid w:val="00387FDD"/>
    <w:rsid w:val="0039005D"/>
    <w:rsid w:val="00390098"/>
    <w:rsid w:val="003900A9"/>
    <w:rsid w:val="003900B4"/>
    <w:rsid w:val="00390113"/>
    <w:rsid w:val="00390177"/>
    <w:rsid w:val="003901C6"/>
    <w:rsid w:val="003901C7"/>
    <w:rsid w:val="003901E5"/>
    <w:rsid w:val="0039020B"/>
    <w:rsid w:val="00390241"/>
    <w:rsid w:val="00390243"/>
    <w:rsid w:val="0039026F"/>
    <w:rsid w:val="003902CA"/>
    <w:rsid w:val="003902FF"/>
    <w:rsid w:val="0039036B"/>
    <w:rsid w:val="003903FF"/>
    <w:rsid w:val="0039047D"/>
    <w:rsid w:val="00390485"/>
    <w:rsid w:val="00390549"/>
    <w:rsid w:val="00390564"/>
    <w:rsid w:val="0039056E"/>
    <w:rsid w:val="00390579"/>
    <w:rsid w:val="003905CC"/>
    <w:rsid w:val="0039063E"/>
    <w:rsid w:val="00390667"/>
    <w:rsid w:val="00390669"/>
    <w:rsid w:val="00390747"/>
    <w:rsid w:val="0039074B"/>
    <w:rsid w:val="003907DC"/>
    <w:rsid w:val="003908E3"/>
    <w:rsid w:val="00390906"/>
    <w:rsid w:val="00390964"/>
    <w:rsid w:val="0039097D"/>
    <w:rsid w:val="0039098F"/>
    <w:rsid w:val="003909AD"/>
    <w:rsid w:val="00390A1D"/>
    <w:rsid w:val="00390A5D"/>
    <w:rsid w:val="00390B01"/>
    <w:rsid w:val="00390BBD"/>
    <w:rsid w:val="00390C00"/>
    <w:rsid w:val="00390C3B"/>
    <w:rsid w:val="00390C4B"/>
    <w:rsid w:val="00390D01"/>
    <w:rsid w:val="00390D35"/>
    <w:rsid w:val="00390D3F"/>
    <w:rsid w:val="00390D5D"/>
    <w:rsid w:val="00390D86"/>
    <w:rsid w:val="00390E4C"/>
    <w:rsid w:val="00390EA8"/>
    <w:rsid w:val="00390EE4"/>
    <w:rsid w:val="00390F0C"/>
    <w:rsid w:val="00390F7E"/>
    <w:rsid w:val="0039102E"/>
    <w:rsid w:val="00391059"/>
    <w:rsid w:val="003910C1"/>
    <w:rsid w:val="00391128"/>
    <w:rsid w:val="003911A8"/>
    <w:rsid w:val="00391243"/>
    <w:rsid w:val="00391247"/>
    <w:rsid w:val="00391267"/>
    <w:rsid w:val="00391268"/>
    <w:rsid w:val="00391279"/>
    <w:rsid w:val="00391297"/>
    <w:rsid w:val="003912A6"/>
    <w:rsid w:val="003912B2"/>
    <w:rsid w:val="00391300"/>
    <w:rsid w:val="0039139C"/>
    <w:rsid w:val="0039141A"/>
    <w:rsid w:val="00391460"/>
    <w:rsid w:val="00391472"/>
    <w:rsid w:val="00391506"/>
    <w:rsid w:val="0039168F"/>
    <w:rsid w:val="003916DC"/>
    <w:rsid w:val="003916EA"/>
    <w:rsid w:val="003917B7"/>
    <w:rsid w:val="003917BC"/>
    <w:rsid w:val="00391899"/>
    <w:rsid w:val="00391902"/>
    <w:rsid w:val="00391910"/>
    <w:rsid w:val="00391919"/>
    <w:rsid w:val="00391940"/>
    <w:rsid w:val="0039195D"/>
    <w:rsid w:val="0039196E"/>
    <w:rsid w:val="003919A9"/>
    <w:rsid w:val="003919AA"/>
    <w:rsid w:val="003919E6"/>
    <w:rsid w:val="003919F3"/>
    <w:rsid w:val="00391A3A"/>
    <w:rsid w:val="00391A63"/>
    <w:rsid w:val="00391A91"/>
    <w:rsid w:val="00391AB3"/>
    <w:rsid w:val="00391B9A"/>
    <w:rsid w:val="00391BB8"/>
    <w:rsid w:val="00391BF3"/>
    <w:rsid w:val="00391C3C"/>
    <w:rsid w:val="00391C7A"/>
    <w:rsid w:val="00391C7B"/>
    <w:rsid w:val="00391C94"/>
    <w:rsid w:val="00391CF4"/>
    <w:rsid w:val="00391E20"/>
    <w:rsid w:val="00391ECE"/>
    <w:rsid w:val="00392049"/>
    <w:rsid w:val="0039216C"/>
    <w:rsid w:val="003921AA"/>
    <w:rsid w:val="00392320"/>
    <w:rsid w:val="00392345"/>
    <w:rsid w:val="00392422"/>
    <w:rsid w:val="003924C6"/>
    <w:rsid w:val="003924C9"/>
    <w:rsid w:val="003924FF"/>
    <w:rsid w:val="00392520"/>
    <w:rsid w:val="00392523"/>
    <w:rsid w:val="00392567"/>
    <w:rsid w:val="003925A6"/>
    <w:rsid w:val="003925EC"/>
    <w:rsid w:val="003925F7"/>
    <w:rsid w:val="0039263C"/>
    <w:rsid w:val="00392641"/>
    <w:rsid w:val="0039268C"/>
    <w:rsid w:val="003926FE"/>
    <w:rsid w:val="00392744"/>
    <w:rsid w:val="00392751"/>
    <w:rsid w:val="0039281C"/>
    <w:rsid w:val="0039282F"/>
    <w:rsid w:val="00392855"/>
    <w:rsid w:val="0039287B"/>
    <w:rsid w:val="00392906"/>
    <w:rsid w:val="0039291C"/>
    <w:rsid w:val="0039293B"/>
    <w:rsid w:val="00392947"/>
    <w:rsid w:val="0039295E"/>
    <w:rsid w:val="0039299A"/>
    <w:rsid w:val="003929C0"/>
    <w:rsid w:val="003929D5"/>
    <w:rsid w:val="00392AD7"/>
    <w:rsid w:val="00392BC4"/>
    <w:rsid w:val="00392BC8"/>
    <w:rsid w:val="00392BF9"/>
    <w:rsid w:val="00392C29"/>
    <w:rsid w:val="00392C4C"/>
    <w:rsid w:val="00392CCB"/>
    <w:rsid w:val="00392CD3"/>
    <w:rsid w:val="00392CF3"/>
    <w:rsid w:val="00392DAF"/>
    <w:rsid w:val="00392DCC"/>
    <w:rsid w:val="00392EAA"/>
    <w:rsid w:val="00392EDE"/>
    <w:rsid w:val="00392FA4"/>
    <w:rsid w:val="0039300B"/>
    <w:rsid w:val="0039302D"/>
    <w:rsid w:val="0039303A"/>
    <w:rsid w:val="0039305A"/>
    <w:rsid w:val="0039311B"/>
    <w:rsid w:val="003931CA"/>
    <w:rsid w:val="003931DE"/>
    <w:rsid w:val="003931DF"/>
    <w:rsid w:val="003931EA"/>
    <w:rsid w:val="00393224"/>
    <w:rsid w:val="0039328E"/>
    <w:rsid w:val="003932AF"/>
    <w:rsid w:val="003932C0"/>
    <w:rsid w:val="003932F1"/>
    <w:rsid w:val="00393303"/>
    <w:rsid w:val="0039331B"/>
    <w:rsid w:val="00393334"/>
    <w:rsid w:val="00393361"/>
    <w:rsid w:val="0039337F"/>
    <w:rsid w:val="0039347C"/>
    <w:rsid w:val="0039348E"/>
    <w:rsid w:val="00393490"/>
    <w:rsid w:val="003934D9"/>
    <w:rsid w:val="003934DA"/>
    <w:rsid w:val="00393500"/>
    <w:rsid w:val="0039358E"/>
    <w:rsid w:val="003935E8"/>
    <w:rsid w:val="003935ED"/>
    <w:rsid w:val="0039365C"/>
    <w:rsid w:val="0039367A"/>
    <w:rsid w:val="00393697"/>
    <w:rsid w:val="00393698"/>
    <w:rsid w:val="003937AF"/>
    <w:rsid w:val="003937E0"/>
    <w:rsid w:val="0039381C"/>
    <w:rsid w:val="003938B5"/>
    <w:rsid w:val="003938BB"/>
    <w:rsid w:val="003938EA"/>
    <w:rsid w:val="0039390B"/>
    <w:rsid w:val="00393911"/>
    <w:rsid w:val="003939C9"/>
    <w:rsid w:val="003939CF"/>
    <w:rsid w:val="00393A38"/>
    <w:rsid w:val="00393A60"/>
    <w:rsid w:val="00393A6F"/>
    <w:rsid w:val="00393AE3"/>
    <w:rsid w:val="00393B6C"/>
    <w:rsid w:val="00393BDE"/>
    <w:rsid w:val="00393C60"/>
    <w:rsid w:val="00393CF8"/>
    <w:rsid w:val="00393D63"/>
    <w:rsid w:val="00393D67"/>
    <w:rsid w:val="00393D7E"/>
    <w:rsid w:val="00393DFD"/>
    <w:rsid w:val="00393E7E"/>
    <w:rsid w:val="00393E7F"/>
    <w:rsid w:val="00393E80"/>
    <w:rsid w:val="00393E84"/>
    <w:rsid w:val="00393EA1"/>
    <w:rsid w:val="00393EDD"/>
    <w:rsid w:val="00393F39"/>
    <w:rsid w:val="00393F6C"/>
    <w:rsid w:val="00393F89"/>
    <w:rsid w:val="00393FC3"/>
    <w:rsid w:val="00393FE8"/>
    <w:rsid w:val="00394011"/>
    <w:rsid w:val="00394015"/>
    <w:rsid w:val="0039407A"/>
    <w:rsid w:val="003940D6"/>
    <w:rsid w:val="00394192"/>
    <w:rsid w:val="003941CF"/>
    <w:rsid w:val="0039420C"/>
    <w:rsid w:val="0039429A"/>
    <w:rsid w:val="003942AB"/>
    <w:rsid w:val="003942ED"/>
    <w:rsid w:val="00394323"/>
    <w:rsid w:val="003943A6"/>
    <w:rsid w:val="0039446C"/>
    <w:rsid w:val="003944C4"/>
    <w:rsid w:val="003944EB"/>
    <w:rsid w:val="0039452B"/>
    <w:rsid w:val="00394533"/>
    <w:rsid w:val="0039454A"/>
    <w:rsid w:val="00394597"/>
    <w:rsid w:val="0039459B"/>
    <w:rsid w:val="003945D5"/>
    <w:rsid w:val="003945DF"/>
    <w:rsid w:val="003945EE"/>
    <w:rsid w:val="00394601"/>
    <w:rsid w:val="00394626"/>
    <w:rsid w:val="0039464D"/>
    <w:rsid w:val="003946C2"/>
    <w:rsid w:val="00394711"/>
    <w:rsid w:val="0039472A"/>
    <w:rsid w:val="00394769"/>
    <w:rsid w:val="00394776"/>
    <w:rsid w:val="003947A6"/>
    <w:rsid w:val="003947D9"/>
    <w:rsid w:val="00394811"/>
    <w:rsid w:val="00394828"/>
    <w:rsid w:val="0039483E"/>
    <w:rsid w:val="0039486E"/>
    <w:rsid w:val="00394870"/>
    <w:rsid w:val="003948A9"/>
    <w:rsid w:val="003948B9"/>
    <w:rsid w:val="003948BC"/>
    <w:rsid w:val="003948F0"/>
    <w:rsid w:val="00394907"/>
    <w:rsid w:val="00394929"/>
    <w:rsid w:val="00394931"/>
    <w:rsid w:val="0039493C"/>
    <w:rsid w:val="00394984"/>
    <w:rsid w:val="00394989"/>
    <w:rsid w:val="003949AB"/>
    <w:rsid w:val="003949B8"/>
    <w:rsid w:val="00394B09"/>
    <w:rsid w:val="00394BE9"/>
    <w:rsid w:val="00394C21"/>
    <w:rsid w:val="00394C60"/>
    <w:rsid w:val="00394C78"/>
    <w:rsid w:val="00394D4F"/>
    <w:rsid w:val="00394D7E"/>
    <w:rsid w:val="00394E6C"/>
    <w:rsid w:val="00394E82"/>
    <w:rsid w:val="00394FAF"/>
    <w:rsid w:val="00394FCB"/>
    <w:rsid w:val="00395013"/>
    <w:rsid w:val="00395022"/>
    <w:rsid w:val="0039504A"/>
    <w:rsid w:val="003950FF"/>
    <w:rsid w:val="00395112"/>
    <w:rsid w:val="00395123"/>
    <w:rsid w:val="00395142"/>
    <w:rsid w:val="0039521D"/>
    <w:rsid w:val="00395233"/>
    <w:rsid w:val="00395274"/>
    <w:rsid w:val="003952E7"/>
    <w:rsid w:val="00395315"/>
    <w:rsid w:val="003953D2"/>
    <w:rsid w:val="003953D8"/>
    <w:rsid w:val="00395488"/>
    <w:rsid w:val="00395506"/>
    <w:rsid w:val="0039555C"/>
    <w:rsid w:val="003955C0"/>
    <w:rsid w:val="00395620"/>
    <w:rsid w:val="0039565C"/>
    <w:rsid w:val="00395661"/>
    <w:rsid w:val="003956A0"/>
    <w:rsid w:val="003956A4"/>
    <w:rsid w:val="00395745"/>
    <w:rsid w:val="00395756"/>
    <w:rsid w:val="00395817"/>
    <w:rsid w:val="00395827"/>
    <w:rsid w:val="00395839"/>
    <w:rsid w:val="0039584E"/>
    <w:rsid w:val="00395878"/>
    <w:rsid w:val="00395886"/>
    <w:rsid w:val="003958A2"/>
    <w:rsid w:val="003958BD"/>
    <w:rsid w:val="003958D5"/>
    <w:rsid w:val="00395956"/>
    <w:rsid w:val="003959C8"/>
    <w:rsid w:val="00395A1E"/>
    <w:rsid w:val="00395A5C"/>
    <w:rsid w:val="00395AF0"/>
    <w:rsid w:val="00395B0E"/>
    <w:rsid w:val="00395B31"/>
    <w:rsid w:val="00395B42"/>
    <w:rsid w:val="00395B66"/>
    <w:rsid w:val="00395BB4"/>
    <w:rsid w:val="00395BC2"/>
    <w:rsid w:val="00395C99"/>
    <w:rsid w:val="00395CB5"/>
    <w:rsid w:val="00395CEC"/>
    <w:rsid w:val="00395D00"/>
    <w:rsid w:val="00395D5F"/>
    <w:rsid w:val="00395D7C"/>
    <w:rsid w:val="00395DAF"/>
    <w:rsid w:val="00395DD1"/>
    <w:rsid w:val="00395DE9"/>
    <w:rsid w:val="00395E4D"/>
    <w:rsid w:val="00395E55"/>
    <w:rsid w:val="00395E89"/>
    <w:rsid w:val="00395ECD"/>
    <w:rsid w:val="00395EDF"/>
    <w:rsid w:val="00395EEA"/>
    <w:rsid w:val="00395F22"/>
    <w:rsid w:val="00395F35"/>
    <w:rsid w:val="00395F48"/>
    <w:rsid w:val="00395F52"/>
    <w:rsid w:val="00395FA4"/>
    <w:rsid w:val="00395FE4"/>
    <w:rsid w:val="00395FFB"/>
    <w:rsid w:val="0039600F"/>
    <w:rsid w:val="0039601A"/>
    <w:rsid w:val="00396025"/>
    <w:rsid w:val="003960AB"/>
    <w:rsid w:val="0039611C"/>
    <w:rsid w:val="00396145"/>
    <w:rsid w:val="003961CD"/>
    <w:rsid w:val="003961CF"/>
    <w:rsid w:val="0039623D"/>
    <w:rsid w:val="0039625E"/>
    <w:rsid w:val="00396269"/>
    <w:rsid w:val="00396295"/>
    <w:rsid w:val="003962BB"/>
    <w:rsid w:val="003962D7"/>
    <w:rsid w:val="003962DB"/>
    <w:rsid w:val="00396303"/>
    <w:rsid w:val="00396320"/>
    <w:rsid w:val="0039634C"/>
    <w:rsid w:val="00396359"/>
    <w:rsid w:val="003963A9"/>
    <w:rsid w:val="0039642C"/>
    <w:rsid w:val="00396518"/>
    <w:rsid w:val="00396520"/>
    <w:rsid w:val="00396614"/>
    <w:rsid w:val="0039661A"/>
    <w:rsid w:val="00396685"/>
    <w:rsid w:val="00396692"/>
    <w:rsid w:val="003966A9"/>
    <w:rsid w:val="00396704"/>
    <w:rsid w:val="0039671F"/>
    <w:rsid w:val="0039673C"/>
    <w:rsid w:val="00396797"/>
    <w:rsid w:val="003967E5"/>
    <w:rsid w:val="00396837"/>
    <w:rsid w:val="00396839"/>
    <w:rsid w:val="0039686D"/>
    <w:rsid w:val="00396871"/>
    <w:rsid w:val="0039687E"/>
    <w:rsid w:val="003968F8"/>
    <w:rsid w:val="00396926"/>
    <w:rsid w:val="0039695D"/>
    <w:rsid w:val="0039695F"/>
    <w:rsid w:val="00396A6B"/>
    <w:rsid w:val="00396B3F"/>
    <w:rsid w:val="00396B40"/>
    <w:rsid w:val="00396B69"/>
    <w:rsid w:val="00396BA0"/>
    <w:rsid w:val="00396BA5"/>
    <w:rsid w:val="00396C17"/>
    <w:rsid w:val="00396C67"/>
    <w:rsid w:val="00396CBF"/>
    <w:rsid w:val="00396D25"/>
    <w:rsid w:val="00396DB1"/>
    <w:rsid w:val="00396DCC"/>
    <w:rsid w:val="00396E2D"/>
    <w:rsid w:val="00396E4E"/>
    <w:rsid w:val="00396F28"/>
    <w:rsid w:val="00396FE1"/>
    <w:rsid w:val="0039710F"/>
    <w:rsid w:val="00397158"/>
    <w:rsid w:val="00397163"/>
    <w:rsid w:val="003971A8"/>
    <w:rsid w:val="003971FB"/>
    <w:rsid w:val="00397268"/>
    <w:rsid w:val="0039727A"/>
    <w:rsid w:val="00397287"/>
    <w:rsid w:val="003972C3"/>
    <w:rsid w:val="003972CC"/>
    <w:rsid w:val="003972DB"/>
    <w:rsid w:val="00397313"/>
    <w:rsid w:val="0039733A"/>
    <w:rsid w:val="0039734B"/>
    <w:rsid w:val="00397372"/>
    <w:rsid w:val="00397374"/>
    <w:rsid w:val="00397429"/>
    <w:rsid w:val="00397461"/>
    <w:rsid w:val="00397465"/>
    <w:rsid w:val="003974A6"/>
    <w:rsid w:val="003974AE"/>
    <w:rsid w:val="00397531"/>
    <w:rsid w:val="00397541"/>
    <w:rsid w:val="003975C3"/>
    <w:rsid w:val="003975ED"/>
    <w:rsid w:val="0039760C"/>
    <w:rsid w:val="00397618"/>
    <w:rsid w:val="0039765A"/>
    <w:rsid w:val="0039769F"/>
    <w:rsid w:val="003976A6"/>
    <w:rsid w:val="0039772A"/>
    <w:rsid w:val="003977A3"/>
    <w:rsid w:val="003977BD"/>
    <w:rsid w:val="003977D3"/>
    <w:rsid w:val="0039788A"/>
    <w:rsid w:val="003978BE"/>
    <w:rsid w:val="003978F1"/>
    <w:rsid w:val="00397904"/>
    <w:rsid w:val="00397918"/>
    <w:rsid w:val="00397946"/>
    <w:rsid w:val="00397996"/>
    <w:rsid w:val="003979A6"/>
    <w:rsid w:val="003979B4"/>
    <w:rsid w:val="003979F8"/>
    <w:rsid w:val="00397A05"/>
    <w:rsid w:val="00397A89"/>
    <w:rsid w:val="00397AE1"/>
    <w:rsid w:val="00397B3C"/>
    <w:rsid w:val="00397B7F"/>
    <w:rsid w:val="00397BB5"/>
    <w:rsid w:val="00397C2A"/>
    <w:rsid w:val="00397C61"/>
    <w:rsid w:val="00397C78"/>
    <w:rsid w:val="00397C97"/>
    <w:rsid w:val="00397D00"/>
    <w:rsid w:val="00397D3C"/>
    <w:rsid w:val="00397DE9"/>
    <w:rsid w:val="00397E56"/>
    <w:rsid w:val="00397E8D"/>
    <w:rsid w:val="00397EAF"/>
    <w:rsid w:val="00397F58"/>
    <w:rsid w:val="00397F96"/>
    <w:rsid w:val="00397FBD"/>
    <w:rsid w:val="003A0019"/>
    <w:rsid w:val="003A009E"/>
    <w:rsid w:val="003A00D4"/>
    <w:rsid w:val="003A00E3"/>
    <w:rsid w:val="003A0100"/>
    <w:rsid w:val="003A0107"/>
    <w:rsid w:val="003A014D"/>
    <w:rsid w:val="003A0157"/>
    <w:rsid w:val="003A0181"/>
    <w:rsid w:val="003A01F7"/>
    <w:rsid w:val="003A01FF"/>
    <w:rsid w:val="003A029C"/>
    <w:rsid w:val="003A02D8"/>
    <w:rsid w:val="003A0450"/>
    <w:rsid w:val="003A04F4"/>
    <w:rsid w:val="003A057A"/>
    <w:rsid w:val="003A05C5"/>
    <w:rsid w:val="003A05D0"/>
    <w:rsid w:val="003A05F2"/>
    <w:rsid w:val="003A060F"/>
    <w:rsid w:val="003A061A"/>
    <w:rsid w:val="003A068C"/>
    <w:rsid w:val="003A06BC"/>
    <w:rsid w:val="003A0720"/>
    <w:rsid w:val="003A073B"/>
    <w:rsid w:val="003A073F"/>
    <w:rsid w:val="003A07FF"/>
    <w:rsid w:val="003A083A"/>
    <w:rsid w:val="003A0849"/>
    <w:rsid w:val="003A089B"/>
    <w:rsid w:val="003A08C4"/>
    <w:rsid w:val="003A0924"/>
    <w:rsid w:val="003A092E"/>
    <w:rsid w:val="003A0964"/>
    <w:rsid w:val="003A097C"/>
    <w:rsid w:val="003A0A41"/>
    <w:rsid w:val="003A0A61"/>
    <w:rsid w:val="003A0ABB"/>
    <w:rsid w:val="003A0ADC"/>
    <w:rsid w:val="003A0B17"/>
    <w:rsid w:val="003A0B62"/>
    <w:rsid w:val="003A0BA5"/>
    <w:rsid w:val="003A0BC6"/>
    <w:rsid w:val="003A0BD3"/>
    <w:rsid w:val="003A0C16"/>
    <w:rsid w:val="003A0C33"/>
    <w:rsid w:val="003A0C7A"/>
    <w:rsid w:val="003A0CA9"/>
    <w:rsid w:val="003A0CF1"/>
    <w:rsid w:val="003A0D3F"/>
    <w:rsid w:val="003A0D56"/>
    <w:rsid w:val="003A0DD5"/>
    <w:rsid w:val="003A0E87"/>
    <w:rsid w:val="003A0EB6"/>
    <w:rsid w:val="003A0ECF"/>
    <w:rsid w:val="003A0ED4"/>
    <w:rsid w:val="003A0F2F"/>
    <w:rsid w:val="003A0F7A"/>
    <w:rsid w:val="003A1076"/>
    <w:rsid w:val="003A10AE"/>
    <w:rsid w:val="003A10C0"/>
    <w:rsid w:val="003A10DD"/>
    <w:rsid w:val="003A10F7"/>
    <w:rsid w:val="003A1137"/>
    <w:rsid w:val="003A114A"/>
    <w:rsid w:val="003A1157"/>
    <w:rsid w:val="003A116C"/>
    <w:rsid w:val="003A1172"/>
    <w:rsid w:val="003A129D"/>
    <w:rsid w:val="003A1304"/>
    <w:rsid w:val="003A1399"/>
    <w:rsid w:val="003A148E"/>
    <w:rsid w:val="003A1521"/>
    <w:rsid w:val="003A15F7"/>
    <w:rsid w:val="003A160D"/>
    <w:rsid w:val="003A1621"/>
    <w:rsid w:val="003A16AD"/>
    <w:rsid w:val="003A16B5"/>
    <w:rsid w:val="003A16C3"/>
    <w:rsid w:val="003A16DC"/>
    <w:rsid w:val="003A16DD"/>
    <w:rsid w:val="003A1719"/>
    <w:rsid w:val="003A1728"/>
    <w:rsid w:val="003A1739"/>
    <w:rsid w:val="003A1756"/>
    <w:rsid w:val="003A17A2"/>
    <w:rsid w:val="003A1884"/>
    <w:rsid w:val="003A18AE"/>
    <w:rsid w:val="003A18F9"/>
    <w:rsid w:val="003A194C"/>
    <w:rsid w:val="003A1954"/>
    <w:rsid w:val="003A1979"/>
    <w:rsid w:val="003A19AA"/>
    <w:rsid w:val="003A1A58"/>
    <w:rsid w:val="003A1A87"/>
    <w:rsid w:val="003A1AC3"/>
    <w:rsid w:val="003A1B2B"/>
    <w:rsid w:val="003A1BB4"/>
    <w:rsid w:val="003A1BE6"/>
    <w:rsid w:val="003A1CAC"/>
    <w:rsid w:val="003A1CAF"/>
    <w:rsid w:val="003A1CF1"/>
    <w:rsid w:val="003A1CFA"/>
    <w:rsid w:val="003A1D8B"/>
    <w:rsid w:val="003A1DAD"/>
    <w:rsid w:val="003A1DB4"/>
    <w:rsid w:val="003A1E34"/>
    <w:rsid w:val="003A1E88"/>
    <w:rsid w:val="003A1EF9"/>
    <w:rsid w:val="003A1F17"/>
    <w:rsid w:val="003A1F1C"/>
    <w:rsid w:val="003A1F53"/>
    <w:rsid w:val="003A1FAE"/>
    <w:rsid w:val="003A1FDF"/>
    <w:rsid w:val="003A1FE1"/>
    <w:rsid w:val="003A2004"/>
    <w:rsid w:val="003A2020"/>
    <w:rsid w:val="003A20B3"/>
    <w:rsid w:val="003A20F2"/>
    <w:rsid w:val="003A2109"/>
    <w:rsid w:val="003A2132"/>
    <w:rsid w:val="003A217E"/>
    <w:rsid w:val="003A21AB"/>
    <w:rsid w:val="003A2232"/>
    <w:rsid w:val="003A2243"/>
    <w:rsid w:val="003A225A"/>
    <w:rsid w:val="003A227E"/>
    <w:rsid w:val="003A2283"/>
    <w:rsid w:val="003A22BE"/>
    <w:rsid w:val="003A22DF"/>
    <w:rsid w:val="003A2306"/>
    <w:rsid w:val="003A2346"/>
    <w:rsid w:val="003A236A"/>
    <w:rsid w:val="003A236E"/>
    <w:rsid w:val="003A23D7"/>
    <w:rsid w:val="003A2438"/>
    <w:rsid w:val="003A2473"/>
    <w:rsid w:val="003A24AC"/>
    <w:rsid w:val="003A2506"/>
    <w:rsid w:val="003A2512"/>
    <w:rsid w:val="003A251C"/>
    <w:rsid w:val="003A2540"/>
    <w:rsid w:val="003A2593"/>
    <w:rsid w:val="003A25AC"/>
    <w:rsid w:val="003A25D0"/>
    <w:rsid w:val="003A2625"/>
    <w:rsid w:val="003A2660"/>
    <w:rsid w:val="003A2674"/>
    <w:rsid w:val="003A2687"/>
    <w:rsid w:val="003A26B7"/>
    <w:rsid w:val="003A26EE"/>
    <w:rsid w:val="003A26EF"/>
    <w:rsid w:val="003A2780"/>
    <w:rsid w:val="003A2783"/>
    <w:rsid w:val="003A2797"/>
    <w:rsid w:val="003A27B4"/>
    <w:rsid w:val="003A27B8"/>
    <w:rsid w:val="003A287F"/>
    <w:rsid w:val="003A28CA"/>
    <w:rsid w:val="003A28E1"/>
    <w:rsid w:val="003A290C"/>
    <w:rsid w:val="003A2923"/>
    <w:rsid w:val="003A29B6"/>
    <w:rsid w:val="003A2A20"/>
    <w:rsid w:val="003A2A23"/>
    <w:rsid w:val="003A2A60"/>
    <w:rsid w:val="003A2ABE"/>
    <w:rsid w:val="003A2AEA"/>
    <w:rsid w:val="003A2BDE"/>
    <w:rsid w:val="003A2BEC"/>
    <w:rsid w:val="003A2BF5"/>
    <w:rsid w:val="003A2C07"/>
    <w:rsid w:val="003A2C50"/>
    <w:rsid w:val="003A2CC1"/>
    <w:rsid w:val="003A2CCA"/>
    <w:rsid w:val="003A2CDB"/>
    <w:rsid w:val="003A2D0C"/>
    <w:rsid w:val="003A2D10"/>
    <w:rsid w:val="003A2D3B"/>
    <w:rsid w:val="003A2D83"/>
    <w:rsid w:val="003A2E01"/>
    <w:rsid w:val="003A2E05"/>
    <w:rsid w:val="003A2E1C"/>
    <w:rsid w:val="003A2E54"/>
    <w:rsid w:val="003A2E7A"/>
    <w:rsid w:val="003A2E8D"/>
    <w:rsid w:val="003A2E9C"/>
    <w:rsid w:val="003A2ED8"/>
    <w:rsid w:val="003A2EF1"/>
    <w:rsid w:val="003A2F78"/>
    <w:rsid w:val="003A2F7B"/>
    <w:rsid w:val="003A308A"/>
    <w:rsid w:val="003A30ED"/>
    <w:rsid w:val="003A3131"/>
    <w:rsid w:val="003A31DF"/>
    <w:rsid w:val="003A31F7"/>
    <w:rsid w:val="003A321E"/>
    <w:rsid w:val="003A323B"/>
    <w:rsid w:val="003A3274"/>
    <w:rsid w:val="003A335C"/>
    <w:rsid w:val="003A3375"/>
    <w:rsid w:val="003A33AC"/>
    <w:rsid w:val="003A3414"/>
    <w:rsid w:val="003A3452"/>
    <w:rsid w:val="003A3472"/>
    <w:rsid w:val="003A3565"/>
    <w:rsid w:val="003A3597"/>
    <w:rsid w:val="003A35AD"/>
    <w:rsid w:val="003A35F8"/>
    <w:rsid w:val="003A3689"/>
    <w:rsid w:val="003A36C8"/>
    <w:rsid w:val="003A379F"/>
    <w:rsid w:val="003A37B7"/>
    <w:rsid w:val="003A3819"/>
    <w:rsid w:val="003A3848"/>
    <w:rsid w:val="003A3859"/>
    <w:rsid w:val="003A385C"/>
    <w:rsid w:val="003A38B1"/>
    <w:rsid w:val="003A38C4"/>
    <w:rsid w:val="003A38CC"/>
    <w:rsid w:val="003A3901"/>
    <w:rsid w:val="003A3936"/>
    <w:rsid w:val="003A3957"/>
    <w:rsid w:val="003A39FC"/>
    <w:rsid w:val="003A3A1A"/>
    <w:rsid w:val="003A3A87"/>
    <w:rsid w:val="003A3A93"/>
    <w:rsid w:val="003A3B00"/>
    <w:rsid w:val="003A3B79"/>
    <w:rsid w:val="003A3B7A"/>
    <w:rsid w:val="003A3B94"/>
    <w:rsid w:val="003A3BA2"/>
    <w:rsid w:val="003A3BE9"/>
    <w:rsid w:val="003A3BEE"/>
    <w:rsid w:val="003A3C14"/>
    <w:rsid w:val="003A3C9D"/>
    <w:rsid w:val="003A3CB4"/>
    <w:rsid w:val="003A3CB8"/>
    <w:rsid w:val="003A3D33"/>
    <w:rsid w:val="003A3D35"/>
    <w:rsid w:val="003A3D5E"/>
    <w:rsid w:val="003A3D9A"/>
    <w:rsid w:val="003A3DD0"/>
    <w:rsid w:val="003A3E08"/>
    <w:rsid w:val="003A3E9E"/>
    <w:rsid w:val="003A3ED7"/>
    <w:rsid w:val="003A3F81"/>
    <w:rsid w:val="003A3F82"/>
    <w:rsid w:val="003A3FB0"/>
    <w:rsid w:val="003A3FCA"/>
    <w:rsid w:val="003A4024"/>
    <w:rsid w:val="003A403C"/>
    <w:rsid w:val="003A4053"/>
    <w:rsid w:val="003A409F"/>
    <w:rsid w:val="003A4129"/>
    <w:rsid w:val="003A413F"/>
    <w:rsid w:val="003A4144"/>
    <w:rsid w:val="003A4178"/>
    <w:rsid w:val="003A41E8"/>
    <w:rsid w:val="003A421E"/>
    <w:rsid w:val="003A4262"/>
    <w:rsid w:val="003A42D5"/>
    <w:rsid w:val="003A43FC"/>
    <w:rsid w:val="003A43FD"/>
    <w:rsid w:val="003A43FE"/>
    <w:rsid w:val="003A4445"/>
    <w:rsid w:val="003A445E"/>
    <w:rsid w:val="003A446D"/>
    <w:rsid w:val="003A455D"/>
    <w:rsid w:val="003A4569"/>
    <w:rsid w:val="003A458C"/>
    <w:rsid w:val="003A45F4"/>
    <w:rsid w:val="003A45FF"/>
    <w:rsid w:val="003A462E"/>
    <w:rsid w:val="003A4653"/>
    <w:rsid w:val="003A46A6"/>
    <w:rsid w:val="003A4758"/>
    <w:rsid w:val="003A4780"/>
    <w:rsid w:val="003A478E"/>
    <w:rsid w:val="003A4793"/>
    <w:rsid w:val="003A47A5"/>
    <w:rsid w:val="003A47B9"/>
    <w:rsid w:val="003A47F6"/>
    <w:rsid w:val="003A480D"/>
    <w:rsid w:val="003A485B"/>
    <w:rsid w:val="003A485D"/>
    <w:rsid w:val="003A48E6"/>
    <w:rsid w:val="003A4903"/>
    <w:rsid w:val="003A490F"/>
    <w:rsid w:val="003A4991"/>
    <w:rsid w:val="003A49AD"/>
    <w:rsid w:val="003A49B4"/>
    <w:rsid w:val="003A49B7"/>
    <w:rsid w:val="003A49C0"/>
    <w:rsid w:val="003A4AE7"/>
    <w:rsid w:val="003A4AEE"/>
    <w:rsid w:val="003A4B02"/>
    <w:rsid w:val="003A4B55"/>
    <w:rsid w:val="003A4BBE"/>
    <w:rsid w:val="003A4C1D"/>
    <w:rsid w:val="003A4C5B"/>
    <w:rsid w:val="003A4C8B"/>
    <w:rsid w:val="003A4C8D"/>
    <w:rsid w:val="003A4CCC"/>
    <w:rsid w:val="003A4CCF"/>
    <w:rsid w:val="003A4CF4"/>
    <w:rsid w:val="003A4CF5"/>
    <w:rsid w:val="003A4DB6"/>
    <w:rsid w:val="003A4E31"/>
    <w:rsid w:val="003A4E8B"/>
    <w:rsid w:val="003A4EDC"/>
    <w:rsid w:val="003A4EEE"/>
    <w:rsid w:val="003A4F1B"/>
    <w:rsid w:val="003A4F2C"/>
    <w:rsid w:val="003A4F4A"/>
    <w:rsid w:val="003A4F50"/>
    <w:rsid w:val="003A4F53"/>
    <w:rsid w:val="003A5038"/>
    <w:rsid w:val="003A505E"/>
    <w:rsid w:val="003A506D"/>
    <w:rsid w:val="003A50D9"/>
    <w:rsid w:val="003A50FD"/>
    <w:rsid w:val="003A5132"/>
    <w:rsid w:val="003A514A"/>
    <w:rsid w:val="003A5176"/>
    <w:rsid w:val="003A51E5"/>
    <w:rsid w:val="003A5208"/>
    <w:rsid w:val="003A52A5"/>
    <w:rsid w:val="003A530F"/>
    <w:rsid w:val="003A5312"/>
    <w:rsid w:val="003A5387"/>
    <w:rsid w:val="003A53C3"/>
    <w:rsid w:val="003A5400"/>
    <w:rsid w:val="003A540D"/>
    <w:rsid w:val="003A5415"/>
    <w:rsid w:val="003A5454"/>
    <w:rsid w:val="003A5468"/>
    <w:rsid w:val="003A5486"/>
    <w:rsid w:val="003A5499"/>
    <w:rsid w:val="003A54A9"/>
    <w:rsid w:val="003A5506"/>
    <w:rsid w:val="003A55AB"/>
    <w:rsid w:val="003A5621"/>
    <w:rsid w:val="003A562B"/>
    <w:rsid w:val="003A564F"/>
    <w:rsid w:val="003A566D"/>
    <w:rsid w:val="003A5675"/>
    <w:rsid w:val="003A569E"/>
    <w:rsid w:val="003A56CB"/>
    <w:rsid w:val="003A56CF"/>
    <w:rsid w:val="003A56F8"/>
    <w:rsid w:val="003A579E"/>
    <w:rsid w:val="003A57B7"/>
    <w:rsid w:val="003A57EE"/>
    <w:rsid w:val="003A587B"/>
    <w:rsid w:val="003A58DA"/>
    <w:rsid w:val="003A590F"/>
    <w:rsid w:val="003A592A"/>
    <w:rsid w:val="003A5974"/>
    <w:rsid w:val="003A5A12"/>
    <w:rsid w:val="003A5A5D"/>
    <w:rsid w:val="003A5A5F"/>
    <w:rsid w:val="003A5A7E"/>
    <w:rsid w:val="003A5AD5"/>
    <w:rsid w:val="003A5B11"/>
    <w:rsid w:val="003A5B36"/>
    <w:rsid w:val="003A5B42"/>
    <w:rsid w:val="003A5B90"/>
    <w:rsid w:val="003A5BFD"/>
    <w:rsid w:val="003A5C16"/>
    <w:rsid w:val="003A5C39"/>
    <w:rsid w:val="003A5C41"/>
    <w:rsid w:val="003A5C44"/>
    <w:rsid w:val="003A5C79"/>
    <w:rsid w:val="003A5DA1"/>
    <w:rsid w:val="003A5DC6"/>
    <w:rsid w:val="003A5DC7"/>
    <w:rsid w:val="003A5E9A"/>
    <w:rsid w:val="003A5ED2"/>
    <w:rsid w:val="003A5EE3"/>
    <w:rsid w:val="003A5EFB"/>
    <w:rsid w:val="003A5F69"/>
    <w:rsid w:val="003A5FD5"/>
    <w:rsid w:val="003A6013"/>
    <w:rsid w:val="003A6021"/>
    <w:rsid w:val="003A6033"/>
    <w:rsid w:val="003A6036"/>
    <w:rsid w:val="003A607E"/>
    <w:rsid w:val="003A60BF"/>
    <w:rsid w:val="003A611F"/>
    <w:rsid w:val="003A6169"/>
    <w:rsid w:val="003A61B0"/>
    <w:rsid w:val="003A61C5"/>
    <w:rsid w:val="003A622C"/>
    <w:rsid w:val="003A6240"/>
    <w:rsid w:val="003A6312"/>
    <w:rsid w:val="003A6360"/>
    <w:rsid w:val="003A63D6"/>
    <w:rsid w:val="003A6412"/>
    <w:rsid w:val="003A6484"/>
    <w:rsid w:val="003A64A7"/>
    <w:rsid w:val="003A651E"/>
    <w:rsid w:val="003A6523"/>
    <w:rsid w:val="003A6571"/>
    <w:rsid w:val="003A65C6"/>
    <w:rsid w:val="003A660A"/>
    <w:rsid w:val="003A664D"/>
    <w:rsid w:val="003A6711"/>
    <w:rsid w:val="003A6787"/>
    <w:rsid w:val="003A67ED"/>
    <w:rsid w:val="003A67F1"/>
    <w:rsid w:val="003A685E"/>
    <w:rsid w:val="003A6994"/>
    <w:rsid w:val="003A69F0"/>
    <w:rsid w:val="003A69F6"/>
    <w:rsid w:val="003A69F7"/>
    <w:rsid w:val="003A6AD1"/>
    <w:rsid w:val="003A6B9E"/>
    <w:rsid w:val="003A6BA7"/>
    <w:rsid w:val="003A6C38"/>
    <w:rsid w:val="003A6C44"/>
    <w:rsid w:val="003A6C4F"/>
    <w:rsid w:val="003A6CAF"/>
    <w:rsid w:val="003A6D2F"/>
    <w:rsid w:val="003A6E9C"/>
    <w:rsid w:val="003A6EA0"/>
    <w:rsid w:val="003A6EBD"/>
    <w:rsid w:val="003A6F06"/>
    <w:rsid w:val="003A6F12"/>
    <w:rsid w:val="003A6F63"/>
    <w:rsid w:val="003A6F7C"/>
    <w:rsid w:val="003A6F9B"/>
    <w:rsid w:val="003A6FAA"/>
    <w:rsid w:val="003A7016"/>
    <w:rsid w:val="003A7029"/>
    <w:rsid w:val="003A7063"/>
    <w:rsid w:val="003A70AA"/>
    <w:rsid w:val="003A70C4"/>
    <w:rsid w:val="003A70E7"/>
    <w:rsid w:val="003A70FB"/>
    <w:rsid w:val="003A70FD"/>
    <w:rsid w:val="003A714E"/>
    <w:rsid w:val="003A717F"/>
    <w:rsid w:val="003A71A6"/>
    <w:rsid w:val="003A71B0"/>
    <w:rsid w:val="003A71F9"/>
    <w:rsid w:val="003A723E"/>
    <w:rsid w:val="003A7264"/>
    <w:rsid w:val="003A7272"/>
    <w:rsid w:val="003A72B7"/>
    <w:rsid w:val="003A7312"/>
    <w:rsid w:val="003A7416"/>
    <w:rsid w:val="003A741E"/>
    <w:rsid w:val="003A743A"/>
    <w:rsid w:val="003A7489"/>
    <w:rsid w:val="003A74BD"/>
    <w:rsid w:val="003A74F1"/>
    <w:rsid w:val="003A7512"/>
    <w:rsid w:val="003A7524"/>
    <w:rsid w:val="003A7542"/>
    <w:rsid w:val="003A759E"/>
    <w:rsid w:val="003A75BC"/>
    <w:rsid w:val="003A7601"/>
    <w:rsid w:val="003A7610"/>
    <w:rsid w:val="003A761A"/>
    <w:rsid w:val="003A765B"/>
    <w:rsid w:val="003A76D3"/>
    <w:rsid w:val="003A76DF"/>
    <w:rsid w:val="003A7733"/>
    <w:rsid w:val="003A7770"/>
    <w:rsid w:val="003A7792"/>
    <w:rsid w:val="003A7794"/>
    <w:rsid w:val="003A77A4"/>
    <w:rsid w:val="003A77DB"/>
    <w:rsid w:val="003A77E7"/>
    <w:rsid w:val="003A7946"/>
    <w:rsid w:val="003A7954"/>
    <w:rsid w:val="003A7A66"/>
    <w:rsid w:val="003A7AC6"/>
    <w:rsid w:val="003A7B1A"/>
    <w:rsid w:val="003A7B2C"/>
    <w:rsid w:val="003A7BBB"/>
    <w:rsid w:val="003A7BC0"/>
    <w:rsid w:val="003A7BC5"/>
    <w:rsid w:val="003A7BCC"/>
    <w:rsid w:val="003A7C36"/>
    <w:rsid w:val="003A7C70"/>
    <w:rsid w:val="003A7C79"/>
    <w:rsid w:val="003A7CD3"/>
    <w:rsid w:val="003A7D4B"/>
    <w:rsid w:val="003A7DE3"/>
    <w:rsid w:val="003A7E5E"/>
    <w:rsid w:val="003A7E61"/>
    <w:rsid w:val="003A7E79"/>
    <w:rsid w:val="003A7F23"/>
    <w:rsid w:val="003A7F24"/>
    <w:rsid w:val="003A7F9C"/>
    <w:rsid w:val="003A7FE1"/>
    <w:rsid w:val="003A7FEF"/>
    <w:rsid w:val="003A7FFC"/>
    <w:rsid w:val="003B00B9"/>
    <w:rsid w:val="003B00F9"/>
    <w:rsid w:val="003B012E"/>
    <w:rsid w:val="003B0168"/>
    <w:rsid w:val="003B018A"/>
    <w:rsid w:val="003B01EE"/>
    <w:rsid w:val="003B0225"/>
    <w:rsid w:val="003B0266"/>
    <w:rsid w:val="003B0334"/>
    <w:rsid w:val="003B03A3"/>
    <w:rsid w:val="003B03E6"/>
    <w:rsid w:val="003B03F8"/>
    <w:rsid w:val="003B0433"/>
    <w:rsid w:val="003B04AD"/>
    <w:rsid w:val="003B04EC"/>
    <w:rsid w:val="003B051B"/>
    <w:rsid w:val="003B0541"/>
    <w:rsid w:val="003B0543"/>
    <w:rsid w:val="003B056B"/>
    <w:rsid w:val="003B05A3"/>
    <w:rsid w:val="003B05E7"/>
    <w:rsid w:val="003B05EB"/>
    <w:rsid w:val="003B0622"/>
    <w:rsid w:val="003B062D"/>
    <w:rsid w:val="003B0649"/>
    <w:rsid w:val="003B0671"/>
    <w:rsid w:val="003B0679"/>
    <w:rsid w:val="003B077A"/>
    <w:rsid w:val="003B0840"/>
    <w:rsid w:val="003B088E"/>
    <w:rsid w:val="003B0896"/>
    <w:rsid w:val="003B08E0"/>
    <w:rsid w:val="003B08F0"/>
    <w:rsid w:val="003B0943"/>
    <w:rsid w:val="003B09AE"/>
    <w:rsid w:val="003B09BC"/>
    <w:rsid w:val="003B09D9"/>
    <w:rsid w:val="003B0A8D"/>
    <w:rsid w:val="003B0B8C"/>
    <w:rsid w:val="003B0C2B"/>
    <w:rsid w:val="003B0D10"/>
    <w:rsid w:val="003B0D40"/>
    <w:rsid w:val="003B0DAB"/>
    <w:rsid w:val="003B0DB2"/>
    <w:rsid w:val="003B0DE0"/>
    <w:rsid w:val="003B0E9F"/>
    <w:rsid w:val="003B0EBA"/>
    <w:rsid w:val="003B0F03"/>
    <w:rsid w:val="003B0F91"/>
    <w:rsid w:val="003B10FB"/>
    <w:rsid w:val="003B1106"/>
    <w:rsid w:val="003B113E"/>
    <w:rsid w:val="003B1172"/>
    <w:rsid w:val="003B1281"/>
    <w:rsid w:val="003B12C6"/>
    <w:rsid w:val="003B12CB"/>
    <w:rsid w:val="003B138F"/>
    <w:rsid w:val="003B13D6"/>
    <w:rsid w:val="003B1445"/>
    <w:rsid w:val="003B1541"/>
    <w:rsid w:val="003B1615"/>
    <w:rsid w:val="003B166A"/>
    <w:rsid w:val="003B16B9"/>
    <w:rsid w:val="003B16F9"/>
    <w:rsid w:val="003B175E"/>
    <w:rsid w:val="003B1765"/>
    <w:rsid w:val="003B17B4"/>
    <w:rsid w:val="003B17D4"/>
    <w:rsid w:val="003B17E9"/>
    <w:rsid w:val="003B1817"/>
    <w:rsid w:val="003B1831"/>
    <w:rsid w:val="003B184D"/>
    <w:rsid w:val="003B184F"/>
    <w:rsid w:val="003B1889"/>
    <w:rsid w:val="003B1931"/>
    <w:rsid w:val="003B1937"/>
    <w:rsid w:val="003B1958"/>
    <w:rsid w:val="003B19A3"/>
    <w:rsid w:val="003B19C8"/>
    <w:rsid w:val="003B19FD"/>
    <w:rsid w:val="003B1A0A"/>
    <w:rsid w:val="003B1A35"/>
    <w:rsid w:val="003B1A48"/>
    <w:rsid w:val="003B1A74"/>
    <w:rsid w:val="003B1AFC"/>
    <w:rsid w:val="003B1B08"/>
    <w:rsid w:val="003B1B48"/>
    <w:rsid w:val="003B1B5D"/>
    <w:rsid w:val="003B1B65"/>
    <w:rsid w:val="003B1B72"/>
    <w:rsid w:val="003B1B88"/>
    <w:rsid w:val="003B1BD7"/>
    <w:rsid w:val="003B1BF4"/>
    <w:rsid w:val="003B1BF9"/>
    <w:rsid w:val="003B1C39"/>
    <w:rsid w:val="003B1C49"/>
    <w:rsid w:val="003B1C6B"/>
    <w:rsid w:val="003B1CB7"/>
    <w:rsid w:val="003B1D0F"/>
    <w:rsid w:val="003B1D6C"/>
    <w:rsid w:val="003B1D6F"/>
    <w:rsid w:val="003B1DC0"/>
    <w:rsid w:val="003B1DFE"/>
    <w:rsid w:val="003B1E8C"/>
    <w:rsid w:val="003B1EAF"/>
    <w:rsid w:val="003B1EC0"/>
    <w:rsid w:val="003B1EEA"/>
    <w:rsid w:val="003B1F02"/>
    <w:rsid w:val="003B1F0A"/>
    <w:rsid w:val="003B1F3D"/>
    <w:rsid w:val="003B1F44"/>
    <w:rsid w:val="003B1FA0"/>
    <w:rsid w:val="003B1FD9"/>
    <w:rsid w:val="003B1FE9"/>
    <w:rsid w:val="003B2058"/>
    <w:rsid w:val="003B20A1"/>
    <w:rsid w:val="003B2154"/>
    <w:rsid w:val="003B218D"/>
    <w:rsid w:val="003B219F"/>
    <w:rsid w:val="003B21D9"/>
    <w:rsid w:val="003B21E5"/>
    <w:rsid w:val="003B229A"/>
    <w:rsid w:val="003B233D"/>
    <w:rsid w:val="003B2354"/>
    <w:rsid w:val="003B238C"/>
    <w:rsid w:val="003B23B0"/>
    <w:rsid w:val="003B23D3"/>
    <w:rsid w:val="003B23F9"/>
    <w:rsid w:val="003B2440"/>
    <w:rsid w:val="003B2580"/>
    <w:rsid w:val="003B25F0"/>
    <w:rsid w:val="003B25FB"/>
    <w:rsid w:val="003B2672"/>
    <w:rsid w:val="003B2690"/>
    <w:rsid w:val="003B281B"/>
    <w:rsid w:val="003B28C8"/>
    <w:rsid w:val="003B2902"/>
    <w:rsid w:val="003B290D"/>
    <w:rsid w:val="003B291F"/>
    <w:rsid w:val="003B293A"/>
    <w:rsid w:val="003B2995"/>
    <w:rsid w:val="003B29DA"/>
    <w:rsid w:val="003B29F1"/>
    <w:rsid w:val="003B2A05"/>
    <w:rsid w:val="003B2A43"/>
    <w:rsid w:val="003B2A8D"/>
    <w:rsid w:val="003B2B79"/>
    <w:rsid w:val="003B2B8F"/>
    <w:rsid w:val="003B2C0D"/>
    <w:rsid w:val="003B2C2B"/>
    <w:rsid w:val="003B2C45"/>
    <w:rsid w:val="003B2C5E"/>
    <w:rsid w:val="003B2D07"/>
    <w:rsid w:val="003B2DBA"/>
    <w:rsid w:val="003B2E0B"/>
    <w:rsid w:val="003B2E8B"/>
    <w:rsid w:val="003B2EE4"/>
    <w:rsid w:val="003B2EE6"/>
    <w:rsid w:val="003B2F7B"/>
    <w:rsid w:val="003B2F7E"/>
    <w:rsid w:val="003B2F90"/>
    <w:rsid w:val="003B2FAF"/>
    <w:rsid w:val="003B301F"/>
    <w:rsid w:val="003B3068"/>
    <w:rsid w:val="003B309B"/>
    <w:rsid w:val="003B30BE"/>
    <w:rsid w:val="003B3125"/>
    <w:rsid w:val="003B313F"/>
    <w:rsid w:val="003B3164"/>
    <w:rsid w:val="003B3167"/>
    <w:rsid w:val="003B319A"/>
    <w:rsid w:val="003B31B1"/>
    <w:rsid w:val="003B3207"/>
    <w:rsid w:val="003B320F"/>
    <w:rsid w:val="003B323B"/>
    <w:rsid w:val="003B329A"/>
    <w:rsid w:val="003B3354"/>
    <w:rsid w:val="003B337E"/>
    <w:rsid w:val="003B33A2"/>
    <w:rsid w:val="003B33A6"/>
    <w:rsid w:val="003B33B8"/>
    <w:rsid w:val="003B33FF"/>
    <w:rsid w:val="003B3405"/>
    <w:rsid w:val="003B3407"/>
    <w:rsid w:val="003B3440"/>
    <w:rsid w:val="003B3475"/>
    <w:rsid w:val="003B34D4"/>
    <w:rsid w:val="003B34EA"/>
    <w:rsid w:val="003B3591"/>
    <w:rsid w:val="003B35B0"/>
    <w:rsid w:val="003B3605"/>
    <w:rsid w:val="003B361B"/>
    <w:rsid w:val="003B3643"/>
    <w:rsid w:val="003B3647"/>
    <w:rsid w:val="003B3658"/>
    <w:rsid w:val="003B3687"/>
    <w:rsid w:val="003B370D"/>
    <w:rsid w:val="003B372A"/>
    <w:rsid w:val="003B37B0"/>
    <w:rsid w:val="003B3847"/>
    <w:rsid w:val="003B3875"/>
    <w:rsid w:val="003B3894"/>
    <w:rsid w:val="003B3928"/>
    <w:rsid w:val="003B392B"/>
    <w:rsid w:val="003B3938"/>
    <w:rsid w:val="003B39A7"/>
    <w:rsid w:val="003B39B8"/>
    <w:rsid w:val="003B39F3"/>
    <w:rsid w:val="003B3A6A"/>
    <w:rsid w:val="003B3A6F"/>
    <w:rsid w:val="003B3A9F"/>
    <w:rsid w:val="003B3AC1"/>
    <w:rsid w:val="003B3AD3"/>
    <w:rsid w:val="003B3AE1"/>
    <w:rsid w:val="003B3B1C"/>
    <w:rsid w:val="003B3B71"/>
    <w:rsid w:val="003B3B8C"/>
    <w:rsid w:val="003B3BCB"/>
    <w:rsid w:val="003B3BD1"/>
    <w:rsid w:val="003B3BE8"/>
    <w:rsid w:val="003B3C2E"/>
    <w:rsid w:val="003B3C50"/>
    <w:rsid w:val="003B3C77"/>
    <w:rsid w:val="003B3CDF"/>
    <w:rsid w:val="003B3CF8"/>
    <w:rsid w:val="003B3D14"/>
    <w:rsid w:val="003B3D6D"/>
    <w:rsid w:val="003B3D72"/>
    <w:rsid w:val="003B3E27"/>
    <w:rsid w:val="003B3EC4"/>
    <w:rsid w:val="003B3EEB"/>
    <w:rsid w:val="003B3EF6"/>
    <w:rsid w:val="003B3F7C"/>
    <w:rsid w:val="003B3F7E"/>
    <w:rsid w:val="003B3FE8"/>
    <w:rsid w:val="003B4028"/>
    <w:rsid w:val="003B4030"/>
    <w:rsid w:val="003B4043"/>
    <w:rsid w:val="003B4069"/>
    <w:rsid w:val="003B4097"/>
    <w:rsid w:val="003B410D"/>
    <w:rsid w:val="003B419F"/>
    <w:rsid w:val="003B41C2"/>
    <w:rsid w:val="003B41FE"/>
    <w:rsid w:val="003B420A"/>
    <w:rsid w:val="003B4216"/>
    <w:rsid w:val="003B4262"/>
    <w:rsid w:val="003B4276"/>
    <w:rsid w:val="003B4284"/>
    <w:rsid w:val="003B42F1"/>
    <w:rsid w:val="003B430C"/>
    <w:rsid w:val="003B4324"/>
    <w:rsid w:val="003B432A"/>
    <w:rsid w:val="003B432E"/>
    <w:rsid w:val="003B4343"/>
    <w:rsid w:val="003B4350"/>
    <w:rsid w:val="003B437A"/>
    <w:rsid w:val="003B4393"/>
    <w:rsid w:val="003B43F7"/>
    <w:rsid w:val="003B4433"/>
    <w:rsid w:val="003B4473"/>
    <w:rsid w:val="003B4578"/>
    <w:rsid w:val="003B4581"/>
    <w:rsid w:val="003B45A6"/>
    <w:rsid w:val="003B45AF"/>
    <w:rsid w:val="003B45B1"/>
    <w:rsid w:val="003B45D4"/>
    <w:rsid w:val="003B45DB"/>
    <w:rsid w:val="003B4638"/>
    <w:rsid w:val="003B46EE"/>
    <w:rsid w:val="003B46F9"/>
    <w:rsid w:val="003B476E"/>
    <w:rsid w:val="003B478F"/>
    <w:rsid w:val="003B47C8"/>
    <w:rsid w:val="003B47CC"/>
    <w:rsid w:val="003B47DE"/>
    <w:rsid w:val="003B4968"/>
    <w:rsid w:val="003B4A2C"/>
    <w:rsid w:val="003B4A41"/>
    <w:rsid w:val="003B4A46"/>
    <w:rsid w:val="003B4A48"/>
    <w:rsid w:val="003B4AAD"/>
    <w:rsid w:val="003B4AB9"/>
    <w:rsid w:val="003B4AED"/>
    <w:rsid w:val="003B4B87"/>
    <w:rsid w:val="003B4C3E"/>
    <w:rsid w:val="003B4C59"/>
    <w:rsid w:val="003B4C98"/>
    <w:rsid w:val="003B4CC1"/>
    <w:rsid w:val="003B4D0F"/>
    <w:rsid w:val="003B4D1F"/>
    <w:rsid w:val="003B4D51"/>
    <w:rsid w:val="003B4DB9"/>
    <w:rsid w:val="003B4E38"/>
    <w:rsid w:val="003B4E44"/>
    <w:rsid w:val="003B4E51"/>
    <w:rsid w:val="003B4F08"/>
    <w:rsid w:val="003B4F1A"/>
    <w:rsid w:val="003B4F39"/>
    <w:rsid w:val="003B4F3F"/>
    <w:rsid w:val="003B4FCD"/>
    <w:rsid w:val="003B4FD7"/>
    <w:rsid w:val="003B4FE5"/>
    <w:rsid w:val="003B50AD"/>
    <w:rsid w:val="003B5123"/>
    <w:rsid w:val="003B5182"/>
    <w:rsid w:val="003B51F0"/>
    <w:rsid w:val="003B5287"/>
    <w:rsid w:val="003B52DF"/>
    <w:rsid w:val="003B531B"/>
    <w:rsid w:val="003B5333"/>
    <w:rsid w:val="003B53D6"/>
    <w:rsid w:val="003B545B"/>
    <w:rsid w:val="003B54BE"/>
    <w:rsid w:val="003B553A"/>
    <w:rsid w:val="003B554A"/>
    <w:rsid w:val="003B555A"/>
    <w:rsid w:val="003B56DA"/>
    <w:rsid w:val="003B56F2"/>
    <w:rsid w:val="003B578F"/>
    <w:rsid w:val="003B57D0"/>
    <w:rsid w:val="003B57E5"/>
    <w:rsid w:val="003B5831"/>
    <w:rsid w:val="003B5843"/>
    <w:rsid w:val="003B5855"/>
    <w:rsid w:val="003B5897"/>
    <w:rsid w:val="003B5996"/>
    <w:rsid w:val="003B59CC"/>
    <w:rsid w:val="003B5A07"/>
    <w:rsid w:val="003B5A10"/>
    <w:rsid w:val="003B5A5A"/>
    <w:rsid w:val="003B5A91"/>
    <w:rsid w:val="003B5AAF"/>
    <w:rsid w:val="003B5AF5"/>
    <w:rsid w:val="003B5B2A"/>
    <w:rsid w:val="003B5B2D"/>
    <w:rsid w:val="003B5B5E"/>
    <w:rsid w:val="003B5B6A"/>
    <w:rsid w:val="003B5B6B"/>
    <w:rsid w:val="003B5C1F"/>
    <w:rsid w:val="003B5C4B"/>
    <w:rsid w:val="003B5CFB"/>
    <w:rsid w:val="003B5D04"/>
    <w:rsid w:val="003B5D2C"/>
    <w:rsid w:val="003B5D34"/>
    <w:rsid w:val="003B5D46"/>
    <w:rsid w:val="003B5D4B"/>
    <w:rsid w:val="003B5DAC"/>
    <w:rsid w:val="003B5DD4"/>
    <w:rsid w:val="003B5DE0"/>
    <w:rsid w:val="003B5DF3"/>
    <w:rsid w:val="003B5E70"/>
    <w:rsid w:val="003B5E8E"/>
    <w:rsid w:val="003B5EA5"/>
    <w:rsid w:val="003B5F06"/>
    <w:rsid w:val="003B5F0D"/>
    <w:rsid w:val="003B5F97"/>
    <w:rsid w:val="003B5FA8"/>
    <w:rsid w:val="003B5FDF"/>
    <w:rsid w:val="003B6021"/>
    <w:rsid w:val="003B6024"/>
    <w:rsid w:val="003B607F"/>
    <w:rsid w:val="003B6083"/>
    <w:rsid w:val="003B60BF"/>
    <w:rsid w:val="003B6102"/>
    <w:rsid w:val="003B613C"/>
    <w:rsid w:val="003B616B"/>
    <w:rsid w:val="003B61F6"/>
    <w:rsid w:val="003B61F7"/>
    <w:rsid w:val="003B624C"/>
    <w:rsid w:val="003B6261"/>
    <w:rsid w:val="003B62CE"/>
    <w:rsid w:val="003B62EB"/>
    <w:rsid w:val="003B62F6"/>
    <w:rsid w:val="003B6323"/>
    <w:rsid w:val="003B636B"/>
    <w:rsid w:val="003B639D"/>
    <w:rsid w:val="003B63B5"/>
    <w:rsid w:val="003B6452"/>
    <w:rsid w:val="003B64B1"/>
    <w:rsid w:val="003B64C1"/>
    <w:rsid w:val="003B6563"/>
    <w:rsid w:val="003B6592"/>
    <w:rsid w:val="003B65D4"/>
    <w:rsid w:val="003B65F6"/>
    <w:rsid w:val="003B663B"/>
    <w:rsid w:val="003B6679"/>
    <w:rsid w:val="003B66A5"/>
    <w:rsid w:val="003B66AC"/>
    <w:rsid w:val="003B66B6"/>
    <w:rsid w:val="003B66E3"/>
    <w:rsid w:val="003B6742"/>
    <w:rsid w:val="003B67CD"/>
    <w:rsid w:val="003B6964"/>
    <w:rsid w:val="003B6999"/>
    <w:rsid w:val="003B69D1"/>
    <w:rsid w:val="003B69D3"/>
    <w:rsid w:val="003B69DA"/>
    <w:rsid w:val="003B69FC"/>
    <w:rsid w:val="003B6A59"/>
    <w:rsid w:val="003B6A69"/>
    <w:rsid w:val="003B6A75"/>
    <w:rsid w:val="003B6AC5"/>
    <w:rsid w:val="003B6B1A"/>
    <w:rsid w:val="003B6B49"/>
    <w:rsid w:val="003B6BE6"/>
    <w:rsid w:val="003B6C61"/>
    <w:rsid w:val="003B6CA4"/>
    <w:rsid w:val="003B6CAE"/>
    <w:rsid w:val="003B6CCB"/>
    <w:rsid w:val="003B6D09"/>
    <w:rsid w:val="003B6D42"/>
    <w:rsid w:val="003B6E1D"/>
    <w:rsid w:val="003B6E8F"/>
    <w:rsid w:val="003B6EA1"/>
    <w:rsid w:val="003B6EA6"/>
    <w:rsid w:val="003B6EEC"/>
    <w:rsid w:val="003B6F51"/>
    <w:rsid w:val="003B700C"/>
    <w:rsid w:val="003B701B"/>
    <w:rsid w:val="003B7031"/>
    <w:rsid w:val="003B70AF"/>
    <w:rsid w:val="003B70E1"/>
    <w:rsid w:val="003B7158"/>
    <w:rsid w:val="003B71C0"/>
    <w:rsid w:val="003B71F7"/>
    <w:rsid w:val="003B7215"/>
    <w:rsid w:val="003B7255"/>
    <w:rsid w:val="003B7293"/>
    <w:rsid w:val="003B72A0"/>
    <w:rsid w:val="003B72CF"/>
    <w:rsid w:val="003B731E"/>
    <w:rsid w:val="003B73AA"/>
    <w:rsid w:val="003B743E"/>
    <w:rsid w:val="003B7447"/>
    <w:rsid w:val="003B7459"/>
    <w:rsid w:val="003B747A"/>
    <w:rsid w:val="003B7672"/>
    <w:rsid w:val="003B7752"/>
    <w:rsid w:val="003B775E"/>
    <w:rsid w:val="003B77FA"/>
    <w:rsid w:val="003B781C"/>
    <w:rsid w:val="003B7876"/>
    <w:rsid w:val="003B7899"/>
    <w:rsid w:val="003B78ED"/>
    <w:rsid w:val="003B7919"/>
    <w:rsid w:val="003B7940"/>
    <w:rsid w:val="003B7961"/>
    <w:rsid w:val="003B7968"/>
    <w:rsid w:val="003B797F"/>
    <w:rsid w:val="003B79C6"/>
    <w:rsid w:val="003B7A1A"/>
    <w:rsid w:val="003B7AB0"/>
    <w:rsid w:val="003B7B05"/>
    <w:rsid w:val="003B7B24"/>
    <w:rsid w:val="003B7B29"/>
    <w:rsid w:val="003B7B5F"/>
    <w:rsid w:val="003B7B98"/>
    <w:rsid w:val="003B7C0B"/>
    <w:rsid w:val="003B7C49"/>
    <w:rsid w:val="003B7C75"/>
    <w:rsid w:val="003B7C89"/>
    <w:rsid w:val="003B7C94"/>
    <w:rsid w:val="003B7CDE"/>
    <w:rsid w:val="003B7CEB"/>
    <w:rsid w:val="003B7CFE"/>
    <w:rsid w:val="003B7E5D"/>
    <w:rsid w:val="003B7EA9"/>
    <w:rsid w:val="003B7FB9"/>
    <w:rsid w:val="003B7FBC"/>
    <w:rsid w:val="003C006E"/>
    <w:rsid w:val="003C0090"/>
    <w:rsid w:val="003C00AE"/>
    <w:rsid w:val="003C018C"/>
    <w:rsid w:val="003C019F"/>
    <w:rsid w:val="003C01DB"/>
    <w:rsid w:val="003C0248"/>
    <w:rsid w:val="003C0258"/>
    <w:rsid w:val="003C0290"/>
    <w:rsid w:val="003C02CF"/>
    <w:rsid w:val="003C02D1"/>
    <w:rsid w:val="003C0377"/>
    <w:rsid w:val="003C03C8"/>
    <w:rsid w:val="003C03FA"/>
    <w:rsid w:val="003C040F"/>
    <w:rsid w:val="003C0423"/>
    <w:rsid w:val="003C0429"/>
    <w:rsid w:val="003C042C"/>
    <w:rsid w:val="003C0466"/>
    <w:rsid w:val="003C04A6"/>
    <w:rsid w:val="003C04D6"/>
    <w:rsid w:val="003C04DE"/>
    <w:rsid w:val="003C0516"/>
    <w:rsid w:val="003C0540"/>
    <w:rsid w:val="003C05ED"/>
    <w:rsid w:val="003C0698"/>
    <w:rsid w:val="003C06B9"/>
    <w:rsid w:val="003C070E"/>
    <w:rsid w:val="003C072E"/>
    <w:rsid w:val="003C073E"/>
    <w:rsid w:val="003C074B"/>
    <w:rsid w:val="003C07C3"/>
    <w:rsid w:val="003C07F2"/>
    <w:rsid w:val="003C0848"/>
    <w:rsid w:val="003C0851"/>
    <w:rsid w:val="003C0854"/>
    <w:rsid w:val="003C086A"/>
    <w:rsid w:val="003C08D9"/>
    <w:rsid w:val="003C091F"/>
    <w:rsid w:val="003C0960"/>
    <w:rsid w:val="003C09D7"/>
    <w:rsid w:val="003C09EB"/>
    <w:rsid w:val="003C09ED"/>
    <w:rsid w:val="003C0A6E"/>
    <w:rsid w:val="003C0AFA"/>
    <w:rsid w:val="003C0B12"/>
    <w:rsid w:val="003C0B25"/>
    <w:rsid w:val="003C0B30"/>
    <w:rsid w:val="003C0B6E"/>
    <w:rsid w:val="003C0BF7"/>
    <w:rsid w:val="003C0C16"/>
    <w:rsid w:val="003C0C19"/>
    <w:rsid w:val="003C0C2F"/>
    <w:rsid w:val="003C0CB7"/>
    <w:rsid w:val="003C0D13"/>
    <w:rsid w:val="003C0D6F"/>
    <w:rsid w:val="003C0D7D"/>
    <w:rsid w:val="003C0DBF"/>
    <w:rsid w:val="003C0E73"/>
    <w:rsid w:val="003C0E7F"/>
    <w:rsid w:val="003C0E9B"/>
    <w:rsid w:val="003C0F9E"/>
    <w:rsid w:val="003C0FE3"/>
    <w:rsid w:val="003C0FFA"/>
    <w:rsid w:val="003C102C"/>
    <w:rsid w:val="003C1073"/>
    <w:rsid w:val="003C10B8"/>
    <w:rsid w:val="003C10C9"/>
    <w:rsid w:val="003C114E"/>
    <w:rsid w:val="003C115C"/>
    <w:rsid w:val="003C11C3"/>
    <w:rsid w:val="003C1208"/>
    <w:rsid w:val="003C1213"/>
    <w:rsid w:val="003C1259"/>
    <w:rsid w:val="003C12F4"/>
    <w:rsid w:val="003C131A"/>
    <w:rsid w:val="003C1428"/>
    <w:rsid w:val="003C1495"/>
    <w:rsid w:val="003C14B8"/>
    <w:rsid w:val="003C14F3"/>
    <w:rsid w:val="003C1543"/>
    <w:rsid w:val="003C155B"/>
    <w:rsid w:val="003C1593"/>
    <w:rsid w:val="003C15AF"/>
    <w:rsid w:val="003C15B0"/>
    <w:rsid w:val="003C15D1"/>
    <w:rsid w:val="003C1636"/>
    <w:rsid w:val="003C1669"/>
    <w:rsid w:val="003C168C"/>
    <w:rsid w:val="003C17FC"/>
    <w:rsid w:val="003C1858"/>
    <w:rsid w:val="003C1865"/>
    <w:rsid w:val="003C1887"/>
    <w:rsid w:val="003C1893"/>
    <w:rsid w:val="003C18E3"/>
    <w:rsid w:val="003C1911"/>
    <w:rsid w:val="003C1A6B"/>
    <w:rsid w:val="003C1A7B"/>
    <w:rsid w:val="003C1A9D"/>
    <w:rsid w:val="003C1B7D"/>
    <w:rsid w:val="003C1BBB"/>
    <w:rsid w:val="003C1BFD"/>
    <w:rsid w:val="003C1C21"/>
    <w:rsid w:val="003C1C3E"/>
    <w:rsid w:val="003C1C6B"/>
    <w:rsid w:val="003C1C8D"/>
    <w:rsid w:val="003C1CB4"/>
    <w:rsid w:val="003C1CEF"/>
    <w:rsid w:val="003C1D36"/>
    <w:rsid w:val="003C1D3B"/>
    <w:rsid w:val="003C1DA8"/>
    <w:rsid w:val="003C1DC1"/>
    <w:rsid w:val="003C1DCC"/>
    <w:rsid w:val="003C1DEA"/>
    <w:rsid w:val="003C1E51"/>
    <w:rsid w:val="003C1E57"/>
    <w:rsid w:val="003C1EA8"/>
    <w:rsid w:val="003C1EAD"/>
    <w:rsid w:val="003C1F54"/>
    <w:rsid w:val="003C1F59"/>
    <w:rsid w:val="003C1F84"/>
    <w:rsid w:val="003C2013"/>
    <w:rsid w:val="003C202C"/>
    <w:rsid w:val="003C2058"/>
    <w:rsid w:val="003C2061"/>
    <w:rsid w:val="003C20A4"/>
    <w:rsid w:val="003C2119"/>
    <w:rsid w:val="003C212E"/>
    <w:rsid w:val="003C2172"/>
    <w:rsid w:val="003C217D"/>
    <w:rsid w:val="003C2186"/>
    <w:rsid w:val="003C21A9"/>
    <w:rsid w:val="003C21AC"/>
    <w:rsid w:val="003C2252"/>
    <w:rsid w:val="003C22E3"/>
    <w:rsid w:val="003C22ED"/>
    <w:rsid w:val="003C22F0"/>
    <w:rsid w:val="003C237A"/>
    <w:rsid w:val="003C238A"/>
    <w:rsid w:val="003C244E"/>
    <w:rsid w:val="003C2473"/>
    <w:rsid w:val="003C2496"/>
    <w:rsid w:val="003C24A9"/>
    <w:rsid w:val="003C24B4"/>
    <w:rsid w:val="003C24E4"/>
    <w:rsid w:val="003C24EF"/>
    <w:rsid w:val="003C2508"/>
    <w:rsid w:val="003C2519"/>
    <w:rsid w:val="003C2552"/>
    <w:rsid w:val="003C2554"/>
    <w:rsid w:val="003C25E4"/>
    <w:rsid w:val="003C25F5"/>
    <w:rsid w:val="003C261C"/>
    <w:rsid w:val="003C2667"/>
    <w:rsid w:val="003C266C"/>
    <w:rsid w:val="003C2691"/>
    <w:rsid w:val="003C26F5"/>
    <w:rsid w:val="003C2735"/>
    <w:rsid w:val="003C2774"/>
    <w:rsid w:val="003C2776"/>
    <w:rsid w:val="003C278C"/>
    <w:rsid w:val="003C279C"/>
    <w:rsid w:val="003C27A8"/>
    <w:rsid w:val="003C27CA"/>
    <w:rsid w:val="003C2805"/>
    <w:rsid w:val="003C2824"/>
    <w:rsid w:val="003C2827"/>
    <w:rsid w:val="003C2878"/>
    <w:rsid w:val="003C2890"/>
    <w:rsid w:val="003C28B8"/>
    <w:rsid w:val="003C2906"/>
    <w:rsid w:val="003C2928"/>
    <w:rsid w:val="003C297C"/>
    <w:rsid w:val="003C299A"/>
    <w:rsid w:val="003C29CB"/>
    <w:rsid w:val="003C2A0C"/>
    <w:rsid w:val="003C2A48"/>
    <w:rsid w:val="003C2A89"/>
    <w:rsid w:val="003C2A9A"/>
    <w:rsid w:val="003C2ADB"/>
    <w:rsid w:val="003C2AF4"/>
    <w:rsid w:val="003C2B38"/>
    <w:rsid w:val="003C2B3D"/>
    <w:rsid w:val="003C2BC3"/>
    <w:rsid w:val="003C2BE7"/>
    <w:rsid w:val="003C2C49"/>
    <w:rsid w:val="003C2C50"/>
    <w:rsid w:val="003C2C51"/>
    <w:rsid w:val="003C2C6E"/>
    <w:rsid w:val="003C2CFD"/>
    <w:rsid w:val="003C2D28"/>
    <w:rsid w:val="003C2D3C"/>
    <w:rsid w:val="003C2D81"/>
    <w:rsid w:val="003C2DC6"/>
    <w:rsid w:val="003C2DCA"/>
    <w:rsid w:val="003C2E2E"/>
    <w:rsid w:val="003C2E86"/>
    <w:rsid w:val="003C2EAE"/>
    <w:rsid w:val="003C2F17"/>
    <w:rsid w:val="003C2F26"/>
    <w:rsid w:val="003C2F28"/>
    <w:rsid w:val="003C2F51"/>
    <w:rsid w:val="003C2F85"/>
    <w:rsid w:val="003C2FAF"/>
    <w:rsid w:val="003C2FB4"/>
    <w:rsid w:val="003C2FC7"/>
    <w:rsid w:val="003C2FF0"/>
    <w:rsid w:val="003C3045"/>
    <w:rsid w:val="003C3096"/>
    <w:rsid w:val="003C30AE"/>
    <w:rsid w:val="003C30C3"/>
    <w:rsid w:val="003C30C6"/>
    <w:rsid w:val="003C312B"/>
    <w:rsid w:val="003C3137"/>
    <w:rsid w:val="003C31A6"/>
    <w:rsid w:val="003C321A"/>
    <w:rsid w:val="003C3250"/>
    <w:rsid w:val="003C32E9"/>
    <w:rsid w:val="003C3363"/>
    <w:rsid w:val="003C3384"/>
    <w:rsid w:val="003C33A8"/>
    <w:rsid w:val="003C33BE"/>
    <w:rsid w:val="003C3467"/>
    <w:rsid w:val="003C3468"/>
    <w:rsid w:val="003C3486"/>
    <w:rsid w:val="003C34BC"/>
    <w:rsid w:val="003C34FF"/>
    <w:rsid w:val="003C3590"/>
    <w:rsid w:val="003C35E6"/>
    <w:rsid w:val="003C35F3"/>
    <w:rsid w:val="003C35F8"/>
    <w:rsid w:val="003C369C"/>
    <w:rsid w:val="003C3730"/>
    <w:rsid w:val="003C3753"/>
    <w:rsid w:val="003C375E"/>
    <w:rsid w:val="003C37F6"/>
    <w:rsid w:val="003C383B"/>
    <w:rsid w:val="003C3841"/>
    <w:rsid w:val="003C3871"/>
    <w:rsid w:val="003C3920"/>
    <w:rsid w:val="003C392C"/>
    <w:rsid w:val="003C3990"/>
    <w:rsid w:val="003C39B4"/>
    <w:rsid w:val="003C39B6"/>
    <w:rsid w:val="003C3A7D"/>
    <w:rsid w:val="003C3AC3"/>
    <w:rsid w:val="003C3AEE"/>
    <w:rsid w:val="003C3B2C"/>
    <w:rsid w:val="003C3B39"/>
    <w:rsid w:val="003C3B64"/>
    <w:rsid w:val="003C3BD9"/>
    <w:rsid w:val="003C3CCB"/>
    <w:rsid w:val="003C3CEA"/>
    <w:rsid w:val="003C3D4E"/>
    <w:rsid w:val="003C3E1F"/>
    <w:rsid w:val="003C3EA2"/>
    <w:rsid w:val="003C3EAA"/>
    <w:rsid w:val="003C3EB0"/>
    <w:rsid w:val="003C3EC7"/>
    <w:rsid w:val="003C3EEE"/>
    <w:rsid w:val="003C3F87"/>
    <w:rsid w:val="003C3F97"/>
    <w:rsid w:val="003C3FEE"/>
    <w:rsid w:val="003C4034"/>
    <w:rsid w:val="003C4061"/>
    <w:rsid w:val="003C4100"/>
    <w:rsid w:val="003C4165"/>
    <w:rsid w:val="003C417E"/>
    <w:rsid w:val="003C4203"/>
    <w:rsid w:val="003C4205"/>
    <w:rsid w:val="003C4279"/>
    <w:rsid w:val="003C429E"/>
    <w:rsid w:val="003C42FB"/>
    <w:rsid w:val="003C430E"/>
    <w:rsid w:val="003C4352"/>
    <w:rsid w:val="003C43C4"/>
    <w:rsid w:val="003C4440"/>
    <w:rsid w:val="003C44A0"/>
    <w:rsid w:val="003C44B3"/>
    <w:rsid w:val="003C44DF"/>
    <w:rsid w:val="003C44F3"/>
    <w:rsid w:val="003C457D"/>
    <w:rsid w:val="003C45A5"/>
    <w:rsid w:val="003C4613"/>
    <w:rsid w:val="003C461A"/>
    <w:rsid w:val="003C462C"/>
    <w:rsid w:val="003C4658"/>
    <w:rsid w:val="003C469C"/>
    <w:rsid w:val="003C4746"/>
    <w:rsid w:val="003C4761"/>
    <w:rsid w:val="003C47A5"/>
    <w:rsid w:val="003C47F3"/>
    <w:rsid w:val="003C4834"/>
    <w:rsid w:val="003C4841"/>
    <w:rsid w:val="003C4880"/>
    <w:rsid w:val="003C48C9"/>
    <w:rsid w:val="003C4931"/>
    <w:rsid w:val="003C494B"/>
    <w:rsid w:val="003C4A6A"/>
    <w:rsid w:val="003C4A9D"/>
    <w:rsid w:val="003C4AEF"/>
    <w:rsid w:val="003C4B19"/>
    <w:rsid w:val="003C4B46"/>
    <w:rsid w:val="003C4BD8"/>
    <w:rsid w:val="003C4BDD"/>
    <w:rsid w:val="003C4BEF"/>
    <w:rsid w:val="003C4BF7"/>
    <w:rsid w:val="003C4C1E"/>
    <w:rsid w:val="003C4C52"/>
    <w:rsid w:val="003C4C64"/>
    <w:rsid w:val="003C4C88"/>
    <w:rsid w:val="003C4CC8"/>
    <w:rsid w:val="003C4DC6"/>
    <w:rsid w:val="003C4EAE"/>
    <w:rsid w:val="003C4ED0"/>
    <w:rsid w:val="003C4F89"/>
    <w:rsid w:val="003C4FFE"/>
    <w:rsid w:val="003C500D"/>
    <w:rsid w:val="003C5019"/>
    <w:rsid w:val="003C502C"/>
    <w:rsid w:val="003C5035"/>
    <w:rsid w:val="003C5088"/>
    <w:rsid w:val="003C5112"/>
    <w:rsid w:val="003C519A"/>
    <w:rsid w:val="003C5237"/>
    <w:rsid w:val="003C5238"/>
    <w:rsid w:val="003C5365"/>
    <w:rsid w:val="003C5389"/>
    <w:rsid w:val="003C5392"/>
    <w:rsid w:val="003C5398"/>
    <w:rsid w:val="003C540D"/>
    <w:rsid w:val="003C541F"/>
    <w:rsid w:val="003C5477"/>
    <w:rsid w:val="003C547E"/>
    <w:rsid w:val="003C5484"/>
    <w:rsid w:val="003C549E"/>
    <w:rsid w:val="003C54D9"/>
    <w:rsid w:val="003C551F"/>
    <w:rsid w:val="003C5551"/>
    <w:rsid w:val="003C557C"/>
    <w:rsid w:val="003C5584"/>
    <w:rsid w:val="003C55B5"/>
    <w:rsid w:val="003C55B6"/>
    <w:rsid w:val="003C5617"/>
    <w:rsid w:val="003C5663"/>
    <w:rsid w:val="003C56A5"/>
    <w:rsid w:val="003C56CE"/>
    <w:rsid w:val="003C56F9"/>
    <w:rsid w:val="003C5766"/>
    <w:rsid w:val="003C5772"/>
    <w:rsid w:val="003C5792"/>
    <w:rsid w:val="003C57A8"/>
    <w:rsid w:val="003C5846"/>
    <w:rsid w:val="003C589C"/>
    <w:rsid w:val="003C5938"/>
    <w:rsid w:val="003C59B9"/>
    <w:rsid w:val="003C5A69"/>
    <w:rsid w:val="003C5AE1"/>
    <w:rsid w:val="003C5AE7"/>
    <w:rsid w:val="003C5BD5"/>
    <w:rsid w:val="003C5C27"/>
    <w:rsid w:val="003C5C37"/>
    <w:rsid w:val="003C5C69"/>
    <w:rsid w:val="003C5CB0"/>
    <w:rsid w:val="003C5D6D"/>
    <w:rsid w:val="003C5DAB"/>
    <w:rsid w:val="003C5DB3"/>
    <w:rsid w:val="003C5DBF"/>
    <w:rsid w:val="003C5DFB"/>
    <w:rsid w:val="003C5E9E"/>
    <w:rsid w:val="003C6015"/>
    <w:rsid w:val="003C60F0"/>
    <w:rsid w:val="003C618F"/>
    <w:rsid w:val="003C626D"/>
    <w:rsid w:val="003C62D0"/>
    <w:rsid w:val="003C62E2"/>
    <w:rsid w:val="003C62ED"/>
    <w:rsid w:val="003C62EE"/>
    <w:rsid w:val="003C6354"/>
    <w:rsid w:val="003C636C"/>
    <w:rsid w:val="003C63DB"/>
    <w:rsid w:val="003C6438"/>
    <w:rsid w:val="003C643E"/>
    <w:rsid w:val="003C6483"/>
    <w:rsid w:val="003C64E3"/>
    <w:rsid w:val="003C6557"/>
    <w:rsid w:val="003C6563"/>
    <w:rsid w:val="003C6586"/>
    <w:rsid w:val="003C659F"/>
    <w:rsid w:val="003C65A0"/>
    <w:rsid w:val="003C667D"/>
    <w:rsid w:val="003C6682"/>
    <w:rsid w:val="003C6772"/>
    <w:rsid w:val="003C67C8"/>
    <w:rsid w:val="003C67E8"/>
    <w:rsid w:val="003C6806"/>
    <w:rsid w:val="003C684F"/>
    <w:rsid w:val="003C68DE"/>
    <w:rsid w:val="003C690C"/>
    <w:rsid w:val="003C6933"/>
    <w:rsid w:val="003C6966"/>
    <w:rsid w:val="003C6988"/>
    <w:rsid w:val="003C6A75"/>
    <w:rsid w:val="003C6AD3"/>
    <w:rsid w:val="003C6AF4"/>
    <w:rsid w:val="003C6B31"/>
    <w:rsid w:val="003C6B6C"/>
    <w:rsid w:val="003C6B76"/>
    <w:rsid w:val="003C6B7D"/>
    <w:rsid w:val="003C6CD7"/>
    <w:rsid w:val="003C6D0A"/>
    <w:rsid w:val="003C6D18"/>
    <w:rsid w:val="003C6DBB"/>
    <w:rsid w:val="003C6E09"/>
    <w:rsid w:val="003C6E29"/>
    <w:rsid w:val="003C6E87"/>
    <w:rsid w:val="003C6ECB"/>
    <w:rsid w:val="003C6F1C"/>
    <w:rsid w:val="003C6F33"/>
    <w:rsid w:val="003C6FEC"/>
    <w:rsid w:val="003C7019"/>
    <w:rsid w:val="003C7066"/>
    <w:rsid w:val="003C70C8"/>
    <w:rsid w:val="003C713B"/>
    <w:rsid w:val="003C7188"/>
    <w:rsid w:val="003C718C"/>
    <w:rsid w:val="003C71D1"/>
    <w:rsid w:val="003C7204"/>
    <w:rsid w:val="003C7233"/>
    <w:rsid w:val="003C7271"/>
    <w:rsid w:val="003C7295"/>
    <w:rsid w:val="003C72A8"/>
    <w:rsid w:val="003C72E0"/>
    <w:rsid w:val="003C72ED"/>
    <w:rsid w:val="003C7359"/>
    <w:rsid w:val="003C73CF"/>
    <w:rsid w:val="003C73D4"/>
    <w:rsid w:val="003C73DF"/>
    <w:rsid w:val="003C7433"/>
    <w:rsid w:val="003C744E"/>
    <w:rsid w:val="003C7481"/>
    <w:rsid w:val="003C751D"/>
    <w:rsid w:val="003C756F"/>
    <w:rsid w:val="003C75DF"/>
    <w:rsid w:val="003C75E1"/>
    <w:rsid w:val="003C76B2"/>
    <w:rsid w:val="003C7727"/>
    <w:rsid w:val="003C7745"/>
    <w:rsid w:val="003C7755"/>
    <w:rsid w:val="003C7771"/>
    <w:rsid w:val="003C77E7"/>
    <w:rsid w:val="003C782B"/>
    <w:rsid w:val="003C7840"/>
    <w:rsid w:val="003C7843"/>
    <w:rsid w:val="003C7847"/>
    <w:rsid w:val="003C7867"/>
    <w:rsid w:val="003C7889"/>
    <w:rsid w:val="003C789E"/>
    <w:rsid w:val="003C7907"/>
    <w:rsid w:val="003C790D"/>
    <w:rsid w:val="003C7954"/>
    <w:rsid w:val="003C7966"/>
    <w:rsid w:val="003C7A3D"/>
    <w:rsid w:val="003C7A54"/>
    <w:rsid w:val="003C7A5B"/>
    <w:rsid w:val="003C7A8D"/>
    <w:rsid w:val="003C7A97"/>
    <w:rsid w:val="003C7ACC"/>
    <w:rsid w:val="003C7AEA"/>
    <w:rsid w:val="003C7AF3"/>
    <w:rsid w:val="003C7AF7"/>
    <w:rsid w:val="003C7B03"/>
    <w:rsid w:val="003C7BA3"/>
    <w:rsid w:val="003C7BBF"/>
    <w:rsid w:val="003C7C21"/>
    <w:rsid w:val="003C7C35"/>
    <w:rsid w:val="003C7C40"/>
    <w:rsid w:val="003C7C77"/>
    <w:rsid w:val="003C7C90"/>
    <w:rsid w:val="003C7CC7"/>
    <w:rsid w:val="003C7D9E"/>
    <w:rsid w:val="003C7DA0"/>
    <w:rsid w:val="003C7E08"/>
    <w:rsid w:val="003C7E23"/>
    <w:rsid w:val="003C7E44"/>
    <w:rsid w:val="003C7E53"/>
    <w:rsid w:val="003C7E8C"/>
    <w:rsid w:val="003C7EF6"/>
    <w:rsid w:val="003C7F30"/>
    <w:rsid w:val="003C7F3C"/>
    <w:rsid w:val="003C7FD6"/>
    <w:rsid w:val="003D01BD"/>
    <w:rsid w:val="003D01D6"/>
    <w:rsid w:val="003D0244"/>
    <w:rsid w:val="003D025A"/>
    <w:rsid w:val="003D02EA"/>
    <w:rsid w:val="003D03C0"/>
    <w:rsid w:val="003D04F6"/>
    <w:rsid w:val="003D04FC"/>
    <w:rsid w:val="003D051D"/>
    <w:rsid w:val="003D0540"/>
    <w:rsid w:val="003D05A5"/>
    <w:rsid w:val="003D05D0"/>
    <w:rsid w:val="003D0639"/>
    <w:rsid w:val="003D063F"/>
    <w:rsid w:val="003D0697"/>
    <w:rsid w:val="003D06E4"/>
    <w:rsid w:val="003D0717"/>
    <w:rsid w:val="003D0720"/>
    <w:rsid w:val="003D0751"/>
    <w:rsid w:val="003D0787"/>
    <w:rsid w:val="003D07DB"/>
    <w:rsid w:val="003D0854"/>
    <w:rsid w:val="003D0868"/>
    <w:rsid w:val="003D0949"/>
    <w:rsid w:val="003D09A5"/>
    <w:rsid w:val="003D09E3"/>
    <w:rsid w:val="003D0A06"/>
    <w:rsid w:val="003D0AB6"/>
    <w:rsid w:val="003D0AF4"/>
    <w:rsid w:val="003D0B4C"/>
    <w:rsid w:val="003D0BA1"/>
    <w:rsid w:val="003D0BB8"/>
    <w:rsid w:val="003D0D1E"/>
    <w:rsid w:val="003D0D47"/>
    <w:rsid w:val="003D0E2F"/>
    <w:rsid w:val="003D0EAF"/>
    <w:rsid w:val="003D0F01"/>
    <w:rsid w:val="003D0F16"/>
    <w:rsid w:val="003D0F99"/>
    <w:rsid w:val="003D0FFB"/>
    <w:rsid w:val="003D0FFD"/>
    <w:rsid w:val="003D1060"/>
    <w:rsid w:val="003D1097"/>
    <w:rsid w:val="003D110A"/>
    <w:rsid w:val="003D1159"/>
    <w:rsid w:val="003D1160"/>
    <w:rsid w:val="003D120C"/>
    <w:rsid w:val="003D1214"/>
    <w:rsid w:val="003D127C"/>
    <w:rsid w:val="003D1283"/>
    <w:rsid w:val="003D1293"/>
    <w:rsid w:val="003D132B"/>
    <w:rsid w:val="003D133C"/>
    <w:rsid w:val="003D1399"/>
    <w:rsid w:val="003D13AC"/>
    <w:rsid w:val="003D145F"/>
    <w:rsid w:val="003D147D"/>
    <w:rsid w:val="003D1484"/>
    <w:rsid w:val="003D152B"/>
    <w:rsid w:val="003D158F"/>
    <w:rsid w:val="003D15AE"/>
    <w:rsid w:val="003D1635"/>
    <w:rsid w:val="003D1644"/>
    <w:rsid w:val="003D16A1"/>
    <w:rsid w:val="003D171B"/>
    <w:rsid w:val="003D175E"/>
    <w:rsid w:val="003D17A5"/>
    <w:rsid w:val="003D17A7"/>
    <w:rsid w:val="003D17E1"/>
    <w:rsid w:val="003D1846"/>
    <w:rsid w:val="003D1920"/>
    <w:rsid w:val="003D19C6"/>
    <w:rsid w:val="003D1A30"/>
    <w:rsid w:val="003D1A47"/>
    <w:rsid w:val="003D1ABB"/>
    <w:rsid w:val="003D1ACA"/>
    <w:rsid w:val="003D1BAD"/>
    <w:rsid w:val="003D1C21"/>
    <w:rsid w:val="003D1CC0"/>
    <w:rsid w:val="003D1CE2"/>
    <w:rsid w:val="003D1D19"/>
    <w:rsid w:val="003D1D2B"/>
    <w:rsid w:val="003D1D48"/>
    <w:rsid w:val="003D1D7B"/>
    <w:rsid w:val="003D1D8F"/>
    <w:rsid w:val="003D1D97"/>
    <w:rsid w:val="003D1DE0"/>
    <w:rsid w:val="003D1DE3"/>
    <w:rsid w:val="003D1E12"/>
    <w:rsid w:val="003D1E7A"/>
    <w:rsid w:val="003D1EA0"/>
    <w:rsid w:val="003D1EAA"/>
    <w:rsid w:val="003D1F55"/>
    <w:rsid w:val="003D1F93"/>
    <w:rsid w:val="003D1FF9"/>
    <w:rsid w:val="003D202A"/>
    <w:rsid w:val="003D2050"/>
    <w:rsid w:val="003D205E"/>
    <w:rsid w:val="003D20D0"/>
    <w:rsid w:val="003D20FE"/>
    <w:rsid w:val="003D2207"/>
    <w:rsid w:val="003D2222"/>
    <w:rsid w:val="003D223D"/>
    <w:rsid w:val="003D2251"/>
    <w:rsid w:val="003D2268"/>
    <w:rsid w:val="003D2275"/>
    <w:rsid w:val="003D22B2"/>
    <w:rsid w:val="003D230E"/>
    <w:rsid w:val="003D231F"/>
    <w:rsid w:val="003D236C"/>
    <w:rsid w:val="003D2388"/>
    <w:rsid w:val="003D23A9"/>
    <w:rsid w:val="003D23D5"/>
    <w:rsid w:val="003D247B"/>
    <w:rsid w:val="003D247C"/>
    <w:rsid w:val="003D24AF"/>
    <w:rsid w:val="003D24B1"/>
    <w:rsid w:val="003D24E9"/>
    <w:rsid w:val="003D2516"/>
    <w:rsid w:val="003D252D"/>
    <w:rsid w:val="003D2540"/>
    <w:rsid w:val="003D2565"/>
    <w:rsid w:val="003D2566"/>
    <w:rsid w:val="003D25E0"/>
    <w:rsid w:val="003D25FC"/>
    <w:rsid w:val="003D25FF"/>
    <w:rsid w:val="003D260A"/>
    <w:rsid w:val="003D2649"/>
    <w:rsid w:val="003D2661"/>
    <w:rsid w:val="003D26C3"/>
    <w:rsid w:val="003D26ED"/>
    <w:rsid w:val="003D270A"/>
    <w:rsid w:val="003D271F"/>
    <w:rsid w:val="003D27AA"/>
    <w:rsid w:val="003D27EA"/>
    <w:rsid w:val="003D2871"/>
    <w:rsid w:val="003D28DA"/>
    <w:rsid w:val="003D28DE"/>
    <w:rsid w:val="003D28E5"/>
    <w:rsid w:val="003D2918"/>
    <w:rsid w:val="003D291C"/>
    <w:rsid w:val="003D2940"/>
    <w:rsid w:val="003D29B6"/>
    <w:rsid w:val="003D29B8"/>
    <w:rsid w:val="003D29DD"/>
    <w:rsid w:val="003D2A5C"/>
    <w:rsid w:val="003D2ADF"/>
    <w:rsid w:val="003D2BCE"/>
    <w:rsid w:val="003D2C2A"/>
    <w:rsid w:val="003D2C5E"/>
    <w:rsid w:val="003D2D03"/>
    <w:rsid w:val="003D2D2E"/>
    <w:rsid w:val="003D2DA3"/>
    <w:rsid w:val="003D2DA5"/>
    <w:rsid w:val="003D2DB5"/>
    <w:rsid w:val="003D2DEC"/>
    <w:rsid w:val="003D2E1E"/>
    <w:rsid w:val="003D2E20"/>
    <w:rsid w:val="003D2E2C"/>
    <w:rsid w:val="003D2E4F"/>
    <w:rsid w:val="003D2ED7"/>
    <w:rsid w:val="003D301D"/>
    <w:rsid w:val="003D30C3"/>
    <w:rsid w:val="003D30E3"/>
    <w:rsid w:val="003D31BE"/>
    <w:rsid w:val="003D31C1"/>
    <w:rsid w:val="003D31D6"/>
    <w:rsid w:val="003D322E"/>
    <w:rsid w:val="003D3245"/>
    <w:rsid w:val="003D330B"/>
    <w:rsid w:val="003D33BE"/>
    <w:rsid w:val="003D3405"/>
    <w:rsid w:val="003D3457"/>
    <w:rsid w:val="003D346B"/>
    <w:rsid w:val="003D34F0"/>
    <w:rsid w:val="003D353E"/>
    <w:rsid w:val="003D35CD"/>
    <w:rsid w:val="003D365C"/>
    <w:rsid w:val="003D36CD"/>
    <w:rsid w:val="003D3760"/>
    <w:rsid w:val="003D38B3"/>
    <w:rsid w:val="003D38B6"/>
    <w:rsid w:val="003D38DD"/>
    <w:rsid w:val="003D38EB"/>
    <w:rsid w:val="003D3916"/>
    <w:rsid w:val="003D392C"/>
    <w:rsid w:val="003D3932"/>
    <w:rsid w:val="003D39BD"/>
    <w:rsid w:val="003D39C8"/>
    <w:rsid w:val="003D39F5"/>
    <w:rsid w:val="003D3AA2"/>
    <w:rsid w:val="003D3AD4"/>
    <w:rsid w:val="003D3B0A"/>
    <w:rsid w:val="003D3B57"/>
    <w:rsid w:val="003D3B85"/>
    <w:rsid w:val="003D3BA7"/>
    <w:rsid w:val="003D3BE4"/>
    <w:rsid w:val="003D3BF3"/>
    <w:rsid w:val="003D3BFC"/>
    <w:rsid w:val="003D3C1D"/>
    <w:rsid w:val="003D3C38"/>
    <w:rsid w:val="003D3C79"/>
    <w:rsid w:val="003D3C8A"/>
    <w:rsid w:val="003D3CC3"/>
    <w:rsid w:val="003D3E57"/>
    <w:rsid w:val="003D3E5C"/>
    <w:rsid w:val="003D3EA4"/>
    <w:rsid w:val="003D3EFE"/>
    <w:rsid w:val="003D3F06"/>
    <w:rsid w:val="003D3FA7"/>
    <w:rsid w:val="003D3FAA"/>
    <w:rsid w:val="003D3FB6"/>
    <w:rsid w:val="003D40A2"/>
    <w:rsid w:val="003D40AC"/>
    <w:rsid w:val="003D4191"/>
    <w:rsid w:val="003D41B7"/>
    <w:rsid w:val="003D41DF"/>
    <w:rsid w:val="003D41E1"/>
    <w:rsid w:val="003D41FB"/>
    <w:rsid w:val="003D424A"/>
    <w:rsid w:val="003D42FB"/>
    <w:rsid w:val="003D4319"/>
    <w:rsid w:val="003D4372"/>
    <w:rsid w:val="003D43C8"/>
    <w:rsid w:val="003D444A"/>
    <w:rsid w:val="003D4499"/>
    <w:rsid w:val="003D44C9"/>
    <w:rsid w:val="003D44E1"/>
    <w:rsid w:val="003D4511"/>
    <w:rsid w:val="003D4548"/>
    <w:rsid w:val="003D4551"/>
    <w:rsid w:val="003D45FC"/>
    <w:rsid w:val="003D4699"/>
    <w:rsid w:val="003D46F5"/>
    <w:rsid w:val="003D478E"/>
    <w:rsid w:val="003D47A0"/>
    <w:rsid w:val="003D488E"/>
    <w:rsid w:val="003D48E8"/>
    <w:rsid w:val="003D494F"/>
    <w:rsid w:val="003D497E"/>
    <w:rsid w:val="003D49D4"/>
    <w:rsid w:val="003D4A4F"/>
    <w:rsid w:val="003D4A77"/>
    <w:rsid w:val="003D4B56"/>
    <w:rsid w:val="003D4B61"/>
    <w:rsid w:val="003D4C03"/>
    <w:rsid w:val="003D4C0A"/>
    <w:rsid w:val="003D4CE5"/>
    <w:rsid w:val="003D4D1D"/>
    <w:rsid w:val="003D4DA4"/>
    <w:rsid w:val="003D4DD8"/>
    <w:rsid w:val="003D4DE5"/>
    <w:rsid w:val="003D4E0C"/>
    <w:rsid w:val="003D4E43"/>
    <w:rsid w:val="003D4E8F"/>
    <w:rsid w:val="003D4EB2"/>
    <w:rsid w:val="003D4F1B"/>
    <w:rsid w:val="003D4F1C"/>
    <w:rsid w:val="003D4F3A"/>
    <w:rsid w:val="003D504F"/>
    <w:rsid w:val="003D5055"/>
    <w:rsid w:val="003D509F"/>
    <w:rsid w:val="003D50A4"/>
    <w:rsid w:val="003D515F"/>
    <w:rsid w:val="003D5161"/>
    <w:rsid w:val="003D5221"/>
    <w:rsid w:val="003D5224"/>
    <w:rsid w:val="003D522B"/>
    <w:rsid w:val="003D52B7"/>
    <w:rsid w:val="003D52EE"/>
    <w:rsid w:val="003D5312"/>
    <w:rsid w:val="003D5339"/>
    <w:rsid w:val="003D53C4"/>
    <w:rsid w:val="003D5430"/>
    <w:rsid w:val="003D546A"/>
    <w:rsid w:val="003D547D"/>
    <w:rsid w:val="003D54DB"/>
    <w:rsid w:val="003D552C"/>
    <w:rsid w:val="003D552F"/>
    <w:rsid w:val="003D555E"/>
    <w:rsid w:val="003D5575"/>
    <w:rsid w:val="003D557C"/>
    <w:rsid w:val="003D55DF"/>
    <w:rsid w:val="003D5699"/>
    <w:rsid w:val="003D56B4"/>
    <w:rsid w:val="003D5708"/>
    <w:rsid w:val="003D5779"/>
    <w:rsid w:val="003D5788"/>
    <w:rsid w:val="003D57C9"/>
    <w:rsid w:val="003D57F2"/>
    <w:rsid w:val="003D5803"/>
    <w:rsid w:val="003D584F"/>
    <w:rsid w:val="003D5869"/>
    <w:rsid w:val="003D58B8"/>
    <w:rsid w:val="003D58BF"/>
    <w:rsid w:val="003D58F3"/>
    <w:rsid w:val="003D58F9"/>
    <w:rsid w:val="003D5904"/>
    <w:rsid w:val="003D5928"/>
    <w:rsid w:val="003D5946"/>
    <w:rsid w:val="003D595C"/>
    <w:rsid w:val="003D598D"/>
    <w:rsid w:val="003D5993"/>
    <w:rsid w:val="003D5A48"/>
    <w:rsid w:val="003D5A4D"/>
    <w:rsid w:val="003D5AB3"/>
    <w:rsid w:val="003D5AC8"/>
    <w:rsid w:val="003D5AD7"/>
    <w:rsid w:val="003D5B2C"/>
    <w:rsid w:val="003D5B9B"/>
    <w:rsid w:val="003D5BD9"/>
    <w:rsid w:val="003D5BDC"/>
    <w:rsid w:val="003D5C62"/>
    <w:rsid w:val="003D5CA4"/>
    <w:rsid w:val="003D5CD5"/>
    <w:rsid w:val="003D5CDB"/>
    <w:rsid w:val="003D5E35"/>
    <w:rsid w:val="003D5F6E"/>
    <w:rsid w:val="003D5FD2"/>
    <w:rsid w:val="003D6036"/>
    <w:rsid w:val="003D605A"/>
    <w:rsid w:val="003D6097"/>
    <w:rsid w:val="003D60A1"/>
    <w:rsid w:val="003D60AE"/>
    <w:rsid w:val="003D6193"/>
    <w:rsid w:val="003D61E4"/>
    <w:rsid w:val="003D624D"/>
    <w:rsid w:val="003D626F"/>
    <w:rsid w:val="003D62A9"/>
    <w:rsid w:val="003D632C"/>
    <w:rsid w:val="003D6343"/>
    <w:rsid w:val="003D6348"/>
    <w:rsid w:val="003D635D"/>
    <w:rsid w:val="003D6373"/>
    <w:rsid w:val="003D6376"/>
    <w:rsid w:val="003D6387"/>
    <w:rsid w:val="003D63C7"/>
    <w:rsid w:val="003D63CA"/>
    <w:rsid w:val="003D63CB"/>
    <w:rsid w:val="003D643C"/>
    <w:rsid w:val="003D650A"/>
    <w:rsid w:val="003D656A"/>
    <w:rsid w:val="003D65A7"/>
    <w:rsid w:val="003D65CF"/>
    <w:rsid w:val="003D65DF"/>
    <w:rsid w:val="003D663A"/>
    <w:rsid w:val="003D66A3"/>
    <w:rsid w:val="003D6711"/>
    <w:rsid w:val="003D6736"/>
    <w:rsid w:val="003D6745"/>
    <w:rsid w:val="003D6773"/>
    <w:rsid w:val="003D67E4"/>
    <w:rsid w:val="003D6802"/>
    <w:rsid w:val="003D6872"/>
    <w:rsid w:val="003D6884"/>
    <w:rsid w:val="003D688F"/>
    <w:rsid w:val="003D6894"/>
    <w:rsid w:val="003D68AF"/>
    <w:rsid w:val="003D68C4"/>
    <w:rsid w:val="003D6934"/>
    <w:rsid w:val="003D6996"/>
    <w:rsid w:val="003D69AB"/>
    <w:rsid w:val="003D69C1"/>
    <w:rsid w:val="003D69E3"/>
    <w:rsid w:val="003D6B21"/>
    <w:rsid w:val="003D6B43"/>
    <w:rsid w:val="003D6B6E"/>
    <w:rsid w:val="003D6C3E"/>
    <w:rsid w:val="003D6CC5"/>
    <w:rsid w:val="003D6D04"/>
    <w:rsid w:val="003D6D7B"/>
    <w:rsid w:val="003D6D8B"/>
    <w:rsid w:val="003D6DE9"/>
    <w:rsid w:val="003D6E63"/>
    <w:rsid w:val="003D6EB0"/>
    <w:rsid w:val="003D6ED1"/>
    <w:rsid w:val="003D6F10"/>
    <w:rsid w:val="003D6F55"/>
    <w:rsid w:val="003D6F57"/>
    <w:rsid w:val="003D6F94"/>
    <w:rsid w:val="003D6FCC"/>
    <w:rsid w:val="003D7015"/>
    <w:rsid w:val="003D701A"/>
    <w:rsid w:val="003D701D"/>
    <w:rsid w:val="003D708C"/>
    <w:rsid w:val="003D70DB"/>
    <w:rsid w:val="003D7168"/>
    <w:rsid w:val="003D7182"/>
    <w:rsid w:val="003D71AF"/>
    <w:rsid w:val="003D71B7"/>
    <w:rsid w:val="003D7216"/>
    <w:rsid w:val="003D7226"/>
    <w:rsid w:val="003D72D4"/>
    <w:rsid w:val="003D731C"/>
    <w:rsid w:val="003D742A"/>
    <w:rsid w:val="003D744D"/>
    <w:rsid w:val="003D74E2"/>
    <w:rsid w:val="003D756E"/>
    <w:rsid w:val="003D75C2"/>
    <w:rsid w:val="003D76C9"/>
    <w:rsid w:val="003D76EC"/>
    <w:rsid w:val="003D774F"/>
    <w:rsid w:val="003D7776"/>
    <w:rsid w:val="003D7793"/>
    <w:rsid w:val="003D77BC"/>
    <w:rsid w:val="003D7822"/>
    <w:rsid w:val="003D7863"/>
    <w:rsid w:val="003D78A9"/>
    <w:rsid w:val="003D78D7"/>
    <w:rsid w:val="003D7941"/>
    <w:rsid w:val="003D7945"/>
    <w:rsid w:val="003D7990"/>
    <w:rsid w:val="003D79CF"/>
    <w:rsid w:val="003D79D4"/>
    <w:rsid w:val="003D79E6"/>
    <w:rsid w:val="003D79ED"/>
    <w:rsid w:val="003D7A71"/>
    <w:rsid w:val="003D7A9C"/>
    <w:rsid w:val="003D7AD0"/>
    <w:rsid w:val="003D7B43"/>
    <w:rsid w:val="003D7B8D"/>
    <w:rsid w:val="003D7BB9"/>
    <w:rsid w:val="003D7C32"/>
    <w:rsid w:val="003D7C59"/>
    <w:rsid w:val="003D7CC9"/>
    <w:rsid w:val="003D7CE6"/>
    <w:rsid w:val="003D7CF4"/>
    <w:rsid w:val="003D7D9B"/>
    <w:rsid w:val="003D7E43"/>
    <w:rsid w:val="003D7E68"/>
    <w:rsid w:val="003D7E80"/>
    <w:rsid w:val="003D7E8A"/>
    <w:rsid w:val="003D7EBE"/>
    <w:rsid w:val="003D7ED5"/>
    <w:rsid w:val="003D7F00"/>
    <w:rsid w:val="003D7F31"/>
    <w:rsid w:val="003D7F32"/>
    <w:rsid w:val="003D7F56"/>
    <w:rsid w:val="003D7FD1"/>
    <w:rsid w:val="003D7FEA"/>
    <w:rsid w:val="003E0029"/>
    <w:rsid w:val="003E002E"/>
    <w:rsid w:val="003E0043"/>
    <w:rsid w:val="003E00A2"/>
    <w:rsid w:val="003E0188"/>
    <w:rsid w:val="003E01AE"/>
    <w:rsid w:val="003E01BE"/>
    <w:rsid w:val="003E01DD"/>
    <w:rsid w:val="003E022F"/>
    <w:rsid w:val="003E02A6"/>
    <w:rsid w:val="003E02AA"/>
    <w:rsid w:val="003E02DF"/>
    <w:rsid w:val="003E0397"/>
    <w:rsid w:val="003E03A6"/>
    <w:rsid w:val="003E03FB"/>
    <w:rsid w:val="003E04A1"/>
    <w:rsid w:val="003E04C3"/>
    <w:rsid w:val="003E0504"/>
    <w:rsid w:val="003E0577"/>
    <w:rsid w:val="003E05A3"/>
    <w:rsid w:val="003E05C8"/>
    <w:rsid w:val="003E0603"/>
    <w:rsid w:val="003E0653"/>
    <w:rsid w:val="003E06D3"/>
    <w:rsid w:val="003E06EA"/>
    <w:rsid w:val="003E07C5"/>
    <w:rsid w:val="003E083F"/>
    <w:rsid w:val="003E0903"/>
    <w:rsid w:val="003E094E"/>
    <w:rsid w:val="003E0972"/>
    <w:rsid w:val="003E0975"/>
    <w:rsid w:val="003E09DC"/>
    <w:rsid w:val="003E0AAE"/>
    <w:rsid w:val="003E0AB1"/>
    <w:rsid w:val="003E0B15"/>
    <w:rsid w:val="003E0B8A"/>
    <w:rsid w:val="003E0BC8"/>
    <w:rsid w:val="003E0C04"/>
    <w:rsid w:val="003E0C0D"/>
    <w:rsid w:val="003E0C7D"/>
    <w:rsid w:val="003E0C82"/>
    <w:rsid w:val="003E0C91"/>
    <w:rsid w:val="003E0CC1"/>
    <w:rsid w:val="003E0CF3"/>
    <w:rsid w:val="003E0D3C"/>
    <w:rsid w:val="003E0E72"/>
    <w:rsid w:val="003E0E92"/>
    <w:rsid w:val="003E0ECF"/>
    <w:rsid w:val="003E0F35"/>
    <w:rsid w:val="003E0F55"/>
    <w:rsid w:val="003E0F87"/>
    <w:rsid w:val="003E101B"/>
    <w:rsid w:val="003E1043"/>
    <w:rsid w:val="003E10AD"/>
    <w:rsid w:val="003E10C7"/>
    <w:rsid w:val="003E10D4"/>
    <w:rsid w:val="003E10E2"/>
    <w:rsid w:val="003E10F7"/>
    <w:rsid w:val="003E1116"/>
    <w:rsid w:val="003E11AF"/>
    <w:rsid w:val="003E1212"/>
    <w:rsid w:val="003E1280"/>
    <w:rsid w:val="003E1308"/>
    <w:rsid w:val="003E1314"/>
    <w:rsid w:val="003E134E"/>
    <w:rsid w:val="003E13AD"/>
    <w:rsid w:val="003E13E8"/>
    <w:rsid w:val="003E1413"/>
    <w:rsid w:val="003E1484"/>
    <w:rsid w:val="003E148D"/>
    <w:rsid w:val="003E14A4"/>
    <w:rsid w:val="003E14B6"/>
    <w:rsid w:val="003E1533"/>
    <w:rsid w:val="003E1560"/>
    <w:rsid w:val="003E15AA"/>
    <w:rsid w:val="003E15CD"/>
    <w:rsid w:val="003E15DD"/>
    <w:rsid w:val="003E15FC"/>
    <w:rsid w:val="003E1604"/>
    <w:rsid w:val="003E1630"/>
    <w:rsid w:val="003E171D"/>
    <w:rsid w:val="003E171E"/>
    <w:rsid w:val="003E174F"/>
    <w:rsid w:val="003E1761"/>
    <w:rsid w:val="003E177E"/>
    <w:rsid w:val="003E1796"/>
    <w:rsid w:val="003E1801"/>
    <w:rsid w:val="003E1911"/>
    <w:rsid w:val="003E1928"/>
    <w:rsid w:val="003E195A"/>
    <w:rsid w:val="003E1986"/>
    <w:rsid w:val="003E19A2"/>
    <w:rsid w:val="003E19FA"/>
    <w:rsid w:val="003E1A24"/>
    <w:rsid w:val="003E1A90"/>
    <w:rsid w:val="003E1B0D"/>
    <w:rsid w:val="003E1B5C"/>
    <w:rsid w:val="003E1BB5"/>
    <w:rsid w:val="003E1BF2"/>
    <w:rsid w:val="003E1C1C"/>
    <w:rsid w:val="003E1C61"/>
    <w:rsid w:val="003E1C6D"/>
    <w:rsid w:val="003E1C7A"/>
    <w:rsid w:val="003E1CBE"/>
    <w:rsid w:val="003E1D38"/>
    <w:rsid w:val="003E1D74"/>
    <w:rsid w:val="003E1DE8"/>
    <w:rsid w:val="003E1E54"/>
    <w:rsid w:val="003E1EBC"/>
    <w:rsid w:val="003E1EF1"/>
    <w:rsid w:val="003E1F91"/>
    <w:rsid w:val="003E1F9C"/>
    <w:rsid w:val="003E1FC4"/>
    <w:rsid w:val="003E1FDB"/>
    <w:rsid w:val="003E1FFF"/>
    <w:rsid w:val="003E200E"/>
    <w:rsid w:val="003E200F"/>
    <w:rsid w:val="003E2042"/>
    <w:rsid w:val="003E2056"/>
    <w:rsid w:val="003E20D6"/>
    <w:rsid w:val="003E21A7"/>
    <w:rsid w:val="003E21C0"/>
    <w:rsid w:val="003E2213"/>
    <w:rsid w:val="003E22C9"/>
    <w:rsid w:val="003E230E"/>
    <w:rsid w:val="003E2351"/>
    <w:rsid w:val="003E235F"/>
    <w:rsid w:val="003E2383"/>
    <w:rsid w:val="003E23C8"/>
    <w:rsid w:val="003E24B1"/>
    <w:rsid w:val="003E257E"/>
    <w:rsid w:val="003E25F0"/>
    <w:rsid w:val="003E2601"/>
    <w:rsid w:val="003E2619"/>
    <w:rsid w:val="003E2668"/>
    <w:rsid w:val="003E266F"/>
    <w:rsid w:val="003E2683"/>
    <w:rsid w:val="003E26EF"/>
    <w:rsid w:val="003E26FA"/>
    <w:rsid w:val="003E272B"/>
    <w:rsid w:val="003E2817"/>
    <w:rsid w:val="003E2819"/>
    <w:rsid w:val="003E2864"/>
    <w:rsid w:val="003E28B4"/>
    <w:rsid w:val="003E28B9"/>
    <w:rsid w:val="003E2921"/>
    <w:rsid w:val="003E2927"/>
    <w:rsid w:val="003E294A"/>
    <w:rsid w:val="003E297F"/>
    <w:rsid w:val="003E29D2"/>
    <w:rsid w:val="003E2A50"/>
    <w:rsid w:val="003E2A66"/>
    <w:rsid w:val="003E2AAC"/>
    <w:rsid w:val="003E2B54"/>
    <w:rsid w:val="003E2B6E"/>
    <w:rsid w:val="003E2B8D"/>
    <w:rsid w:val="003E2C03"/>
    <w:rsid w:val="003E2C16"/>
    <w:rsid w:val="003E2C3B"/>
    <w:rsid w:val="003E2CAF"/>
    <w:rsid w:val="003E2CF5"/>
    <w:rsid w:val="003E2CFD"/>
    <w:rsid w:val="003E2D12"/>
    <w:rsid w:val="003E2D9D"/>
    <w:rsid w:val="003E2D9E"/>
    <w:rsid w:val="003E2DC2"/>
    <w:rsid w:val="003E2DCE"/>
    <w:rsid w:val="003E2DDC"/>
    <w:rsid w:val="003E2DE7"/>
    <w:rsid w:val="003E2DE9"/>
    <w:rsid w:val="003E2DFD"/>
    <w:rsid w:val="003E2E06"/>
    <w:rsid w:val="003E2E0F"/>
    <w:rsid w:val="003E2E1C"/>
    <w:rsid w:val="003E2E9B"/>
    <w:rsid w:val="003E2EC9"/>
    <w:rsid w:val="003E2F39"/>
    <w:rsid w:val="003E2FB5"/>
    <w:rsid w:val="003E3039"/>
    <w:rsid w:val="003E303C"/>
    <w:rsid w:val="003E30E3"/>
    <w:rsid w:val="003E3101"/>
    <w:rsid w:val="003E3125"/>
    <w:rsid w:val="003E3158"/>
    <w:rsid w:val="003E31D4"/>
    <w:rsid w:val="003E31DD"/>
    <w:rsid w:val="003E3233"/>
    <w:rsid w:val="003E3237"/>
    <w:rsid w:val="003E325E"/>
    <w:rsid w:val="003E32AF"/>
    <w:rsid w:val="003E32B9"/>
    <w:rsid w:val="003E3338"/>
    <w:rsid w:val="003E3339"/>
    <w:rsid w:val="003E337F"/>
    <w:rsid w:val="003E339E"/>
    <w:rsid w:val="003E3414"/>
    <w:rsid w:val="003E34A8"/>
    <w:rsid w:val="003E34C8"/>
    <w:rsid w:val="003E34DF"/>
    <w:rsid w:val="003E3514"/>
    <w:rsid w:val="003E3538"/>
    <w:rsid w:val="003E3552"/>
    <w:rsid w:val="003E35A0"/>
    <w:rsid w:val="003E35CD"/>
    <w:rsid w:val="003E35E0"/>
    <w:rsid w:val="003E3712"/>
    <w:rsid w:val="003E3873"/>
    <w:rsid w:val="003E3940"/>
    <w:rsid w:val="003E395A"/>
    <w:rsid w:val="003E398D"/>
    <w:rsid w:val="003E399A"/>
    <w:rsid w:val="003E39AC"/>
    <w:rsid w:val="003E39B7"/>
    <w:rsid w:val="003E39C7"/>
    <w:rsid w:val="003E3B3A"/>
    <w:rsid w:val="003E3BE5"/>
    <w:rsid w:val="003E3C1B"/>
    <w:rsid w:val="003E3C64"/>
    <w:rsid w:val="003E3D2E"/>
    <w:rsid w:val="003E3D95"/>
    <w:rsid w:val="003E3DE3"/>
    <w:rsid w:val="003E3DE4"/>
    <w:rsid w:val="003E3DEF"/>
    <w:rsid w:val="003E3E09"/>
    <w:rsid w:val="003E3E47"/>
    <w:rsid w:val="003E3EC8"/>
    <w:rsid w:val="003E3EE0"/>
    <w:rsid w:val="003E3F17"/>
    <w:rsid w:val="003E3F53"/>
    <w:rsid w:val="003E3FE0"/>
    <w:rsid w:val="003E4000"/>
    <w:rsid w:val="003E4038"/>
    <w:rsid w:val="003E4072"/>
    <w:rsid w:val="003E40AF"/>
    <w:rsid w:val="003E40D5"/>
    <w:rsid w:val="003E40FE"/>
    <w:rsid w:val="003E411D"/>
    <w:rsid w:val="003E4177"/>
    <w:rsid w:val="003E4178"/>
    <w:rsid w:val="003E41E3"/>
    <w:rsid w:val="003E4240"/>
    <w:rsid w:val="003E4471"/>
    <w:rsid w:val="003E44E6"/>
    <w:rsid w:val="003E4525"/>
    <w:rsid w:val="003E45A9"/>
    <w:rsid w:val="003E45AB"/>
    <w:rsid w:val="003E45DA"/>
    <w:rsid w:val="003E45EA"/>
    <w:rsid w:val="003E462F"/>
    <w:rsid w:val="003E4635"/>
    <w:rsid w:val="003E4655"/>
    <w:rsid w:val="003E46A6"/>
    <w:rsid w:val="003E46A8"/>
    <w:rsid w:val="003E4700"/>
    <w:rsid w:val="003E473F"/>
    <w:rsid w:val="003E474A"/>
    <w:rsid w:val="003E4791"/>
    <w:rsid w:val="003E47AB"/>
    <w:rsid w:val="003E47B2"/>
    <w:rsid w:val="003E47F5"/>
    <w:rsid w:val="003E481B"/>
    <w:rsid w:val="003E4858"/>
    <w:rsid w:val="003E48A9"/>
    <w:rsid w:val="003E48AA"/>
    <w:rsid w:val="003E48CB"/>
    <w:rsid w:val="003E48D8"/>
    <w:rsid w:val="003E495D"/>
    <w:rsid w:val="003E4A1C"/>
    <w:rsid w:val="003E4A62"/>
    <w:rsid w:val="003E4A81"/>
    <w:rsid w:val="003E4A96"/>
    <w:rsid w:val="003E4AA5"/>
    <w:rsid w:val="003E4BD7"/>
    <w:rsid w:val="003E4C66"/>
    <w:rsid w:val="003E4CFF"/>
    <w:rsid w:val="003E4D20"/>
    <w:rsid w:val="003E4D53"/>
    <w:rsid w:val="003E4D57"/>
    <w:rsid w:val="003E4D60"/>
    <w:rsid w:val="003E4D87"/>
    <w:rsid w:val="003E4E61"/>
    <w:rsid w:val="003E4EEB"/>
    <w:rsid w:val="003E4F05"/>
    <w:rsid w:val="003E4FD3"/>
    <w:rsid w:val="003E4FD9"/>
    <w:rsid w:val="003E4FF9"/>
    <w:rsid w:val="003E5015"/>
    <w:rsid w:val="003E50C2"/>
    <w:rsid w:val="003E5167"/>
    <w:rsid w:val="003E516D"/>
    <w:rsid w:val="003E5192"/>
    <w:rsid w:val="003E521A"/>
    <w:rsid w:val="003E521C"/>
    <w:rsid w:val="003E5224"/>
    <w:rsid w:val="003E522E"/>
    <w:rsid w:val="003E5240"/>
    <w:rsid w:val="003E5273"/>
    <w:rsid w:val="003E527C"/>
    <w:rsid w:val="003E53C2"/>
    <w:rsid w:val="003E5403"/>
    <w:rsid w:val="003E541F"/>
    <w:rsid w:val="003E547E"/>
    <w:rsid w:val="003E5488"/>
    <w:rsid w:val="003E5498"/>
    <w:rsid w:val="003E54D6"/>
    <w:rsid w:val="003E5522"/>
    <w:rsid w:val="003E5540"/>
    <w:rsid w:val="003E555A"/>
    <w:rsid w:val="003E5579"/>
    <w:rsid w:val="003E5645"/>
    <w:rsid w:val="003E5676"/>
    <w:rsid w:val="003E56EB"/>
    <w:rsid w:val="003E5718"/>
    <w:rsid w:val="003E573E"/>
    <w:rsid w:val="003E575D"/>
    <w:rsid w:val="003E5775"/>
    <w:rsid w:val="003E57E6"/>
    <w:rsid w:val="003E582A"/>
    <w:rsid w:val="003E5855"/>
    <w:rsid w:val="003E595D"/>
    <w:rsid w:val="003E5961"/>
    <w:rsid w:val="003E597F"/>
    <w:rsid w:val="003E599F"/>
    <w:rsid w:val="003E5A8F"/>
    <w:rsid w:val="003E5B75"/>
    <w:rsid w:val="003E5BBA"/>
    <w:rsid w:val="003E5C31"/>
    <w:rsid w:val="003E5C7D"/>
    <w:rsid w:val="003E5C8E"/>
    <w:rsid w:val="003E5CAE"/>
    <w:rsid w:val="003E5CEF"/>
    <w:rsid w:val="003E5CF4"/>
    <w:rsid w:val="003E5DA2"/>
    <w:rsid w:val="003E5DF7"/>
    <w:rsid w:val="003E5E38"/>
    <w:rsid w:val="003E5EEC"/>
    <w:rsid w:val="003E5F54"/>
    <w:rsid w:val="003E5F84"/>
    <w:rsid w:val="003E5FCA"/>
    <w:rsid w:val="003E6023"/>
    <w:rsid w:val="003E6060"/>
    <w:rsid w:val="003E6098"/>
    <w:rsid w:val="003E6110"/>
    <w:rsid w:val="003E614F"/>
    <w:rsid w:val="003E615F"/>
    <w:rsid w:val="003E61AC"/>
    <w:rsid w:val="003E6273"/>
    <w:rsid w:val="003E62B3"/>
    <w:rsid w:val="003E62B8"/>
    <w:rsid w:val="003E62CA"/>
    <w:rsid w:val="003E6316"/>
    <w:rsid w:val="003E6370"/>
    <w:rsid w:val="003E63A5"/>
    <w:rsid w:val="003E63B1"/>
    <w:rsid w:val="003E63E0"/>
    <w:rsid w:val="003E641B"/>
    <w:rsid w:val="003E646A"/>
    <w:rsid w:val="003E6498"/>
    <w:rsid w:val="003E6513"/>
    <w:rsid w:val="003E65D4"/>
    <w:rsid w:val="003E65D8"/>
    <w:rsid w:val="003E66AB"/>
    <w:rsid w:val="003E66C4"/>
    <w:rsid w:val="003E66D4"/>
    <w:rsid w:val="003E66E2"/>
    <w:rsid w:val="003E6727"/>
    <w:rsid w:val="003E673E"/>
    <w:rsid w:val="003E675E"/>
    <w:rsid w:val="003E6763"/>
    <w:rsid w:val="003E6788"/>
    <w:rsid w:val="003E68A7"/>
    <w:rsid w:val="003E68F0"/>
    <w:rsid w:val="003E6936"/>
    <w:rsid w:val="003E695C"/>
    <w:rsid w:val="003E69EB"/>
    <w:rsid w:val="003E6A27"/>
    <w:rsid w:val="003E6AD6"/>
    <w:rsid w:val="003E6AE9"/>
    <w:rsid w:val="003E6B39"/>
    <w:rsid w:val="003E6B3E"/>
    <w:rsid w:val="003E6B51"/>
    <w:rsid w:val="003E6BAE"/>
    <w:rsid w:val="003E6BCD"/>
    <w:rsid w:val="003E6BD6"/>
    <w:rsid w:val="003E6D89"/>
    <w:rsid w:val="003E6DA8"/>
    <w:rsid w:val="003E6DAD"/>
    <w:rsid w:val="003E6DF5"/>
    <w:rsid w:val="003E6E38"/>
    <w:rsid w:val="003E6E5B"/>
    <w:rsid w:val="003E7018"/>
    <w:rsid w:val="003E7056"/>
    <w:rsid w:val="003E70FE"/>
    <w:rsid w:val="003E7107"/>
    <w:rsid w:val="003E712A"/>
    <w:rsid w:val="003E719B"/>
    <w:rsid w:val="003E7262"/>
    <w:rsid w:val="003E733D"/>
    <w:rsid w:val="003E73C2"/>
    <w:rsid w:val="003E73D9"/>
    <w:rsid w:val="003E740A"/>
    <w:rsid w:val="003E747D"/>
    <w:rsid w:val="003E74AE"/>
    <w:rsid w:val="003E74EA"/>
    <w:rsid w:val="003E7509"/>
    <w:rsid w:val="003E753C"/>
    <w:rsid w:val="003E7549"/>
    <w:rsid w:val="003E756F"/>
    <w:rsid w:val="003E75BA"/>
    <w:rsid w:val="003E75ED"/>
    <w:rsid w:val="003E7635"/>
    <w:rsid w:val="003E7646"/>
    <w:rsid w:val="003E769D"/>
    <w:rsid w:val="003E76AF"/>
    <w:rsid w:val="003E7735"/>
    <w:rsid w:val="003E77B5"/>
    <w:rsid w:val="003E77C7"/>
    <w:rsid w:val="003E7819"/>
    <w:rsid w:val="003E7882"/>
    <w:rsid w:val="003E7886"/>
    <w:rsid w:val="003E78B5"/>
    <w:rsid w:val="003E78BB"/>
    <w:rsid w:val="003E78EB"/>
    <w:rsid w:val="003E78FD"/>
    <w:rsid w:val="003E791E"/>
    <w:rsid w:val="003E793D"/>
    <w:rsid w:val="003E7A2A"/>
    <w:rsid w:val="003E7A78"/>
    <w:rsid w:val="003E7B23"/>
    <w:rsid w:val="003E7B9C"/>
    <w:rsid w:val="003E7BA7"/>
    <w:rsid w:val="003E7C63"/>
    <w:rsid w:val="003E7CBD"/>
    <w:rsid w:val="003E7CFE"/>
    <w:rsid w:val="003E7D34"/>
    <w:rsid w:val="003E7D48"/>
    <w:rsid w:val="003E7E1E"/>
    <w:rsid w:val="003E7E20"/>
    <w:rsid w:val="003E7E44"/>
    <w:rsid w:val="003E7EFA"/>
    <w:rsid w:val="003E7F60"/>
    <w:rsid w:val="003E7FB9"/>
    <w:rsid w:val="003F002A"/>
    <w:rsid w:val="003F0030"/>
    <w:rsid w:val="003F0061"/>
    <w:rsid w:val="003F0085"/>
    <w:rsid w:val="003F010B"/>
    <w:rsid w:val="003F01B1"/>
    <w:rsid w:val="003F01B4"/>
    <w:rsid w:val="003F01DD"/>
    <w:rsid w:val="003F01FF"/>
    <w:rsid w:val="003F024A"/>
    <w:rsid w:val="003F0262"/>
    <w:rsid w:val="003F02DA"/>
    <w:rsid w:val="003F02DB"/>
    <w:rsid w:val="003F0322"/>
    <w:rsid w:val="003F0371"/>
    <w:rsid w:val="003F03E7"/>
    <w:rsid w:val="003F0422"/>
    <w:rsid w:val="003F042B"/>
    <w:rsid w:val="003F043D"/>
    <w:rsid w:val="003F0494"/>
    <w:rsid w:val="003F04DA"/>
    <w:rsid w:val="003F0502"/>
    <w:rsid w:val="003F050F"/>
    <w:rsid w:val="003F0519"/>
    <w:rsid w:val="003F0590"/>
    <w:rsid w:val="003F0613"/>
    <w:rsid w:val="003F062D"/>
    <w:rsid w:val="003F0682"/>
    <w:rsid w:val="003F06D0"/>
    <w:rsid w:val="003F071A"/>
    <w:rsid w:val="003F0725"/>
    <w:rsid w:val="003F07CB"/>
    <w:rsid w:val="003F0807"/>
    <w:rsid w:val="003F091E"/>
    <w:rsid w:val="003F093B"/>
    <w:rsid w:val="003F0946"/>
    <w:rsid w:val="003F095D"/>
    <w:rsid w:val="003F0985"/>
    <w:rsid w:val="003F09BB"/>
    <w:rsid w:val="003F09D1"/>
    <w:rsid w:val="003F0A4B"/>
    <w:rsid w:val="003F0AD7"/>
    <w:rsid w:val="003F0ADB"/>
    <w:rsid w:val="003F0BD2"/>
    <w:rsid w:val="003F0BFB"/>
    <w:rsid w:val="003F0C04"/>
    <w:rsid w:val="003F0C3D"/>
    <w:rsid w:val="003F0C57"/>
    <w:rsid w:val="003F0C93"/>
    <w:rsid w:val="003F0CCE"/>
    <w:rsid w:val="003F0CCF"/>
    <w:rsid w:val="003F0D87"/>
    <w:rsid w:val="003F0D8B"/>
    <w:rsid w:val="003F0DE6"/>
    <w:rsid w:val="003F0ED0"/>
    <w:rsid w:val="003F0EDB"/>
    <w:rsid w:val="003F0F1D"/>
    <w:rsid w:val="003F0FC1"/>
    <w:rsid w:val="003F0FCA"/>
    <w:rsid w:val="003F0FF3"/>
    <w:rsid w:val="003F1040"/>
    <w:rsid w:val="003F1044"/>
    <w:rsid w:val="003F1054"/>
    <w:rsid w:val="003F106B"/>
    <w:rsid w:val="003F10D4"/>
    <w:rsid w:val="003F10F9"/>
    <w:rsid w:val="003F1105"/>
    <w:rsid w:val="003F112A"/>
    <w:rsid w:val="003F1211"/>
    <w:rsid w:val="003F1262"/>
    <w:rsid w:val="003F12BD"/>
    <w:rsid w:val="003F12C5"/>
    <w:rsid w:val="003F1303"/>
    <w:rsid w:val="003F1321"/>
    <w:rsid w:val="003F136F"/>
    <w:rsid w:val="003F13F4"/>
    <w:rsid w:val="003F1467"/>
    <w:rsid w:val="003F14CD"/>
    <w:rsid w:val="003F14F5"/>
    <w:rsid w:val="003F14FD"/>
    <w:rsid w:val="003F1530"/>
    <w:rsid w:val="003F1554"/>
    <w:rsid w:val="003F155C"/>
    <w:rsid w:val="003F1597"/>
    <w:rsid w:val="003F179A"/>
    <w:rsid w:val="003F179B"/>
    <w:rsid w:val="003F17B9"/>
    <w:rsid w:val="003F1811"/>
    <w:rsid w:val="003F1828"/>
    <w:rsid w:val="003F1887"/>
    <w:rsid w:val="003F1888"/>
    <w:rsid w:val="003F18D8"/>
    <w:rsid w:val="003F1913"/>
    <w:rsid w:val="003F1992"/>
    <w:rsid w:val="003F19E0"/>
    <w:rsid w:val="003F1A7B"/>
    <w:rsid w:val="003F1AE1"/>
    <w:rsid w:val="003F1C1D"/>
    <w:rsid w:val="003F1C4F"/>
    <w:rsid w:val="003F1CCB"/>
    <w:rsid w:val="003F1CE4"/>
    <w:rsid w:val="003F1D02"/>
    <w:rsid w:val="003F1D8E"/>
    <w:rsid w:val="003F1DA7"/>
    <w:rsid w:val="003F1DDC"/>
    <w:rsid w:val="003F1E71"/>
    <w:rsid w:val="003F1E90"/>
    <w:rsid w:val="003F1F1F"/>
    <w:rsid w:val="003F1F27"/>
    <w:rsid w:val="003F1F4A"/>
    <w:rsid w:val="003F1FF0"/>
    <w:rsid w:val="003F205D"/>
    <w:rsid w:val="003F2081"/>
    <w:rsid w:val="003F209A"/>
    <w:rsid w:val="003F209B"/>
    <w:rsid w:val="003F20AF"/>
    <w:rsid w:val="003F20E9"/>
    <w:rsid w:val="003F20FC"/>
    <w:rsid w:val="003F212A"/>
    <w:rsid w:val="003F2143"/>
    <w:rsid w:val="003F216C"/>
    <w:rsid w:val="003F2182"/>
    <w:rsid w:val="003F218A"/>
    <w:rsid w:val="003F21DD"/>
    <w:rsid w:val="003F2259"/>
    <w:rsid w:val="003F2277"/>
    <w:rsid w:val="003F227A"/>
    <w:rsid w:val="003F22A2"/>
    <w:rsid w:val="003F22F3"/>
    <w:rsid w:val="003F2305"/>
    <w:rsid w:val="003F231B"/>
    <w:rsid w:val="003F2346"/>
    <w:rsid w:val="003F2353"/>
    <w:rsid w:val="003F235E"/>
    <w:rsid w:val="003F236A"/>
    <w:rsid w:val="003F239B"/>
    <w:rsid w:val="003F23B2"/>
    <w:rsid w:val="003F23E2"/>
    <w:rsid w:val="003F2439"/>
    <w:rsid w:val="003F246A"/>
    <w:rsid w:val="003F24C0"/>
    <w:rsid w:val="003F256F"/>
    <w:rsid w:val="003F2670"/>
    <w:rsid w:val="003F2693"/>
    <w:rsid w:val="003F272D"/>
    <w:rsid w:val="003F275D"/>
    <w:rsid w:val="003F2782"/>
    <w:rsid w:val="003F27A6"/>
    <w:rsid w:val="003F27AF"/>
    <w:rsid w:val="003F2847"/>
    <w:rsid w:val="003F28D1"/>
    <w:rsid w:val="003F28D8"/>
    <w:rsid w:val="003F2918"/>
    <w:rsid w:val="003F2A16"/>
    <w:rsid w:val="003F2A1C"/>
    <w:rsid w:val="003F2A71"/>
    <w:rsid w:val="003F2A76"/>
    <w:rsid w:val="003F2B2D"/>
    <w:rsid w:val="003F2B5B"/>
    <w:rsid w:val="003F2B84"/>
    <w:rsid w:val="003F2B95"/>
    <w:rsid w:val="003F2BA3"/>
    <w:rsid w:val="003F2BAE"/>
    <w:rsid w:val="003F2C11"/>
    <w:rsid w:val="003F2C1E"/>
    <w:rsid w:val="003F2CC5"/>
    <w:rsid w:val="003F2D3D"/>
    <w:rsid w:val="003F2D83"/>
    <w:rsid w:val="003F2D8C"/>
    <w:rsid w:val="003F2DA5"/>
    <w:rsid w:val="003F2DC2"/>
    <w:rsid w:val="003F2E04"/>
    <w:rsid w:val="003F2E4F"/>
    <w:rsid w:val="003F2E6D"/>
    <w:rsid w:val="003F2E97"/>
    <w:rsid w:val="003F2E9F"/>
    <w:rsid w:val="003F2EC5"/>
    <w:rsid w:val="003F2EE6"/>
    <w:rsid w:val="003F2EFF"/>
    <w:rsid w:val="003F2FDE"/>
    <w:rsid w:val="003F3035"/>
    <w:rsid w:val="003F3082"/>
    <w:rsid w:val="003F309F"/>
    <w:rsid w:val="003F30AB"/>
    <w:rsid w:val="003F3125"/>
    <w:rsid w:val="003F31AA"/>
    <w:rsid w:val="003F31B8"/>
    <w:rsid w:val="003F31B9"/>
    <w:rsid w:val="003F31EE"/>
    <w:rsid w:val="003F3253"/>
    <w:rsid w:val="003F32A7"/>
    <w:rsid w:val="003F3302"/>
    <w:rsid w:val="003F331F"/>
    <w:rsid w:val="003F3338"/>
    <w:rsid w:val="003F33BA"/>
    <w:rsid w:val="003F341F"/>
    <w:rsid w:val="003F3431"/>
    <w:rsid w:val="003F3454"/>
    <w:rsid w:val="003F361C"/>
    <w:rsid w:val="003F3663"/>
    <w:rsid w:val="003F3687"/>
    <w:rsid w:val="003F3698"/>
    <w:rsid w:val="003F369E"/>
    <w:rsid w:val="003F36A1"/>
    <w:rsid w:val="003F36E7"/>
    <w:rsid w:val="003F3744"/>
    <w:rsid w:val="003F3772"/>
    <w:rsid w:val="003F377A"/>
    <w:rsid w:val="003F378D"/>
    <w:rsid w:val="003F379C"/>
    <w:rsid w:val="003F37E1"/>
    <w:rsid w:val="003F386D"/>
    <w:rsid w:val="003F38C6"/>
    <w:rsid w:val="003F38F3"/>
    <w:rsid w:val="003F393B"/>
    <w:rsid w:val="003F39DE"/>
    <w:rsid w:val="003F3A6C"/>
    <w:rsid w:val="003F3A8C"/>
    <w:rsid w:val="003F3AA7"/>
    <w:rsid w:val="003F3B09"/>
    <w:rsid w:val="003F3B2C"/>
    <w:rsid w:val="003F3B51"/>
    <w:rsid w:val="003F3B66"/>
    <w:rsid w:val="003F3B99"/>
    <w:rsid w:val="003F3BB4"/>
    <w:rsid w:val="003F3BC1"/>
    <w:rsid w:val="003F3BF9"/>
    <w:rsid w:val="003F3C0C"/>
    <w:rsid w:val="003F3C22"/>
    <w:rsid w:val="003F3CD1"/>
    <w:rsid w:val="003F3CD9"/>
    <w:rsid w:val="003F3D01"/>
    <w:rsid w:val="003F3D2D"/>
    <w:rsid w:val="003F3D3A"/>
    <w:rsid w:val="003F3D43"/>
    <w:rsid w:val="003F3D48"/>
    <w:rsid w:val="003F3D88"/>
    <w:rsid w:val="003F3DCA"/>
    <w:rsid w:val="003F3DF0"/>
    <w:rsid w:val="003F3DF7"/>
    <w:rsid w:val="003F3E19"/>
    <w:rsid w:val="003F3E98"/>
    <w:rsid w:val="003F3FCA"/>
    <w:rsid w:val="003F3FDF"/>
    <w:rsid w:val="003F4036"/>
    <w:rsid w:val="003F412B"/>
    <w:rsid w:val="003F4157"/>
    <w:rsid w:val="003F419D"/>
    <w:rsid w:val="003F41F3"/>
    <w:rsid w:val="003F4205"/>
    <w:rsid w:val="003F42BF"/>
    <w:rsid w:val="003F42C8"/>
    <w:rsid w:val="003F430D"/>
    <w:rsid w:val="003F4351"/>
    <w:rsid w:val="003F437B"/>
    <w:rsid w:val="003F4390"/>
    <w:rsid w:val="003F43B4"/>
    <w:rsid w:val="003F43BE"/>
    <w:rsid w:val="003F4405"/>
    <w:rsid w:val="003F4496"/>
    <w:rsid w:val="003F4612"/>
    <w:rsid w:val="003F46A9"/>
    <w:rsid w:val="003F4764"/>
    <w:rsid w:val="003F47B5"/>
    <w:rsid w:val="003F47DE"/>
    <w:rsid w:val="003F4835"/>
    <w:rsid w:val="003F490D"/>
    <w:rsid w:val="003F4924"/>
    <w:rsid w:val="003F495C"/>
    <w:rsid w:val="003F49B9"/>
    <w:rsid w:val="003F49D5"/>
    <w:rsid w:val="003F4A7C"/>
    <w:rsid w:val="003F4AFB"/>
    <w:rsid w:val="003F4B97"/>
    <w:rsid w:val="003F4BAF"/>
    <w:rsid w:val="003F4C59"/>
    <w:rsid w:val="003F4C5F"/>
    <w:rsid w:val="003F4C6F"/>
    <w:rsid w:val="003F4CB4"/>
    <w:rsid w:val="003F4D09"/>
    <w:rsid w:val="003F4D52"/>
    <w:rsid w:val="003F4D72"/>
    <w:rsid w:val="003F4DD5"/>
    <w:rsid w:val="003F4DDC"/>
    <w:rsid w:val="003F4DEC"/>
    <w:rsid w:val="003F4E46"/>
    <w:rsid w:val="003F4E8B"/>
    <w:rsid w:val="003F4EB7"/>
    <w:rsid w:val="003F4EC9"/>
    <w:rsid w:val="003F4F40"/>
    <w:rsid w:val="003F4F66"/>
    <w:rsid w:val="003F4F7B"/>
    <w:rsid w:val="003F4F7E"/>
    <w:rsid w:val="003F4F84"/>
    <w:rsid w:val="003F4FCE"/>
    <w:rsid w:val="003F5027"/>
    <w:rsid w:val="003F507C"/>
    <w:rsid w:val="003F50B9"/>
    <w:rsid w:val="003F514C"/>
    <w:rsid w:val="003F515A"/>
    <w:rsid w:val="003F5230"/>
    <w:rsid w:val="003F5269"/>
    <w:rsid w:val="003F527E"/>
    <w:rsid w:val="003F5298"/>
    <w:rsid w:val="003F52D1"/>
    <w:rsid w:val="003F530B"/>
    <w:rsid w:val="003F533A"/>
    <w:rsid w:val="003F533E"/>
    <w:rsid w:val="003F5390"/>
    <w:rsid w:val="003F53C1"/>
    <w:rsid w:val="003F53F3"/>
    <w:rsid w:val="003F543B"/>
    <w:rsid w:val="003F54B6"/>
    <w:rsid w:val="003F558E"/>
    <w:rsid w:val="003F55DB"/>
    <w:rsid w:val="003F562F"/>
    <w:rsid w:val="003F5672"/>
    <w:rsid w:val="003F56B9"/>
    <w:rsid w:val="003F56D2"/>
    <w:rsid w:val="003F5758"/>
    <w:rsid w:val="003F576E"/>
    <w:rsid w:val="003F5784"/>
    <w:rsid w:val="003F579C"/>
    <w:rsid w:val="003F591A"/>
    <w:rsid w:val="003F5925"/>
    <w:rsid w:val="003F599C"/>
    <w:rsid w:val="003F59AE"/>
    <w:rsid w:val="003F5A7B"/>
    <w:rsid w:val="003F5A8C"/>
    <w:rsid w:val="003F5A9B"/>
    <w:rsid w:val="003F5B32"/>
    <w:rsid w:val="003F5B34"/>
    <w:rsid w:val="003F5B69"/>
    <w:rsid w:val="003F5B94"/>
    <w:rsid w:val="003F5BA0"/>
    <w:rsid w:val="003F5BBC"/>
    <w:rsid w:val="003F5BD5"/>
    <w:rsid w:val="003F5C0A"/>
    <w:rsid w:val="003F5C2A"/>
    <w:rsid w:val="003F5CF5"/>
    <w:rsid w:val="003F5D6B"/>
    <w:rsid w:val="003F5DDA"/>
    <w:rsid w:val="003F5DF2"/>
    <w:rsid w:val="003F5E08"/>
    <w:rsid w:val="003F5ECB"/>
    <w:rsid w:val="003F5EF1"/>
    <w:rsid w:val="003F5F2F"/>
    <w:rsid w:val="003F608B"/>
    <w:rsid w:val="003F6090"/>
    <w:rsid w:val="003F6094"/>
    <w:rsid w:val="003F60E5"/>
    <w:rsid w:val="003F6158"/>
    <w:rsid w:val="003F6285"/>
    <w:rsid w:val="003F62A8"/>
    <w:rsid w:val="003F6347"/>
    <w:rsid w:val="003F6349"/>
    <w:rsid w:val="003F6421"/>
    <w:rsid w:val="003F6451"/>
    <w:rsid w:val="003F647C"/>
    <w:rsid w:val="003F64FE"/>
    <w:rsid w:val="003F6549"/>
    <w:rsid w:val="003F655B"/>
    <w:rsid w:val="003F65AA"/>
    <w:rsid w:val="003F65F5"/>
    <w:rsid w:val="003F6682"/>
    <w:rsid w:val="003F6718"/>
    <w:rsid w:val="003F671F"/>
    <w:rsid w:val="003F6722"/>
    <w:rsid w:val="003F673D"/>
    <w:rsid w:val="003F6798"/>
    <w:rsid w:val="003F6841"/>
    <w:rsid w:val="003F6885"/>
    <w:rsid w:val="003F6912"/>
    <w:rsid w:val="003F6932"/>
    <w:rsid w:val="003F693F"/>
    <w:rsid w:val="003F694B"/>
    <w:rsid w:val="003F697D"/>
    <w:rsid w:val="003F6982"/>
    <w:rsid w:val="003F69BC"/>
    <w:rsid w:val="003F6A7F"/>
    <w:rsid w:val="003F6A84"/>
    <w:rsid w:val="003F6B06"/>
    <w:rsid w:val="003F6B52"/>
    <w:rsid w:val="003F6B72"/>
    <w:rsid w:val="003F6BC7"/>
    <w:rsid w:val="003F6C17"/>
    <w:rsid w:val="003F6C2F"/>
    <w:rsid w:val="003F6C65"/>
    <w:rsid w:val="003F6C6D"/>
    <w:rsid w:val="003F6CB7"/>
    <w:rsid w:val="003F6CBB"/>
    <w:rsid w:val="003F6CC4"/>
    <w:rsid w:val="003F6D2F"/>
    <w:rsid w:val="003F6D54"/>
    <w:rsid w:val="003F6DCE"/>
    <w:rsid w:val="003F6E90"/>
    <w:rsid w:val="003F6F64"/>
    <w:rsid w:val="003F6FD9"/>
    <w:rsid w:val="003F6FE6"/>
    <w:rsid w:val="003F701B"/>
    <w:rsid w:val="003F70DB"/>
    <w:rsid w:val="003F70DC"/>
    <w:rsid w:val="003F70F3"/>
    <w:rsid w:val="003F71AE"/>
    <w:rsid w:val="003F71D8"/>
    <w:rsid w:val="003F720D"/>
    <w:rsid w:val="003F721D"/>
    <w:rsid w:val="003F7231"/>
    <w:rsid w:val="003F7277"/>
    <w:rsid w:val="003F730E"/>
    <w:rsid w:val="003F7350"/>
    <w:rsid w:val="003F73A0"/>
    <w:rsid w:val="003F73AE"/>
    <w:rsid w:val="003F73C3"/>
    <w:rsid w:val="003F7416"/>
    <w:rsid w:val="003F742C"/>
    <w:rsid w:val="003F75FE"/>
    <w:rsid w:val="003F7623"/>
    <w:rsid w:val="003F764B"/>
    <w:rsid w:val="003F768C"/>
    <w:rsid w:val="003F7691"/>
    <w:rsid w:val="003F772D"/>
    <w:rsid w:val="003F7741"/>
    <w:rsid w:val="003F7743"/>
    <w:rsid w:val="003F775B"/>
    <w:rsid w:val="003F776C"/>
    <w:rsid w:val="003F78F4"/>
    <w:rsid w:val="003F792A"/>
    <w:rsid w:val="003F792F"/>
    <w:rsid w:val="003F7A46"/>
    <w:rsid w:val="003F7A80"/>
    <w:rsid w:val="003F7BEB"/>
    <w:rsid w:val="003F7C2A"/>
    <w:rsid w:val="003F7C4F"/>
    <w:rsid w:val="003F7CA5"/>
    <w:rsid w:val="003F7D0A"/>
    <w:rsid w:val="003F7D20"/>
    <w:rsid w:val="003F7D33"/>
    <w:rsid w:val="003F7E21"/>
    <w:rsid w:val="003F7E81"/>
    <w:rsid w:val="003F7EAD"/>
    <w:rsid w:val="003F7ED0"/>
    <w:rsid w:val="003F7EDB"/>
    <w:rsid w:val="003F7EED"/>
    <w:rsid w:val="003F7EFB"/>
    <w:rsid w:val="003F7F43"/>
    <w:rsid w:val="003F7F54"/>
    <w:rsid w:val="003F7F71"/>
    <w:rsid w:val="003F7F89"/>
    <w:rsid w:val="003F7FBE"/>
    <w:rsid w:val="00400025"/>
    <w:rsid w:val="0040006C"/>
    <w:rsid w:val="004000A3"/>
    <w:rsid w:val="004000CA"/>
    <w:rsid w:val="004000CE"/>
    <w:rsid w:val="0040019E"/>
    <w:rsid w:val="004002A5"/>
    <w:rsid w:val="00400310"/>
    <w:rsid w:val="00400398"/>
    <w:rsid w:val="004003EF"/>
    <w:rsid w:val="00400428"/>
    <w:rsid w:val="0040047D"/>
    <w:rsid w:val="00400484"/>
    <w:rsid w:val="0040052B"/>
    <w:rsid w:val="00400536"/>
    <w:rsid w:val="004005A6"/>
    <w:rsid w:val="00400603"/>
    <w:rsid w:val="0040067E"/>
    <w:rsid w:val="00400691"/>
    <w:rsid w:val="0040070A"/>
    <w:rsid w:val="0040072C"/>
    <w:rsid w:val="004007B0"/>
    <w:rsid w:val="004007B1"/>
    <w:rsid w:val="004007F6"/>
    <w:rsid w:val="00400806"/>
    <w:rsid w:val="004008A0"/>
    <w:rsid w:val="0040094E"/>
    <w:rsid w:val="00400987"/>
    <w:rsid w:val="00400994"/>
    <w:rsid w:val="004009F0"/>
    <w:rsid w:val="00400A1E"/>
    <w:rsid w:val="00400A38"/>
    <w:rsid w:val="00400A7F"/>
    <w:rsid w:val="00400A80"/>
    <w:rsid w:val="00400A90"/>
    <w:rsid w:val="00400AE3"/>
    <w:rsid w:val="00400AFF"/>
    <w:rsid w:val="00400B0E"/>
    <w:rsid w:val="00400BB4"/>
    <w:rsid w:val="00400BD1"/>
    <w:rsid w:val="00400BD8"/>
    <w:rsid w:val="00400BFE"/>
    <w:rsid w:val="00400C21"/>
    <w:rsid w:val="00400D05"/>
    <w:rsid w:val="00400D2C"/>
    <w:rsid w:val="00400D54"/>
    <w:rsid w:val="00400D74"/>
    <w:rsid w:val="00400D77"/>
    <w:rsid w:val="00400DEA"/>
    <w:rsid w:val="00400DEC"/>
    <w:rsid w:val="00400E1A"/>
    <w:rsid w:val="00400E45"/>
    <w:rsid w:val="00400E4C"/>
    <w:rsid w:val="00400E93"/>
    <w:rsid w:val="00400EA7"/>
    <w:rsid w:val="00400F3A"/>
    <w:rsid w:val="00400F98"/>
    <w:rsid w:val="00401048"/>
    <w:rsid w:val="00401082"/>
    <w:rsid w:val="004010EC"/>
    <w:rsid w:val="0040110A"/>
    <w:rsid w:val="0040110B"/>
    <w:rsid w:val="00401170"/>
    <w:rsid w:val="00401187"/>
    <w:rsid w:val="0040118A"/>
    <w:rsid w:val="004011C3"/>
    <w:rsid w:val="004011EB"/>
    <w:rsid w:val="004011F3"/>
    <w:rsid w:val="00401201"/>
    <w:rsid w:val="0040122E"/>
    <w:rsid w:val="00401296"/>
    <w:rsid w:val="004012C9"/>
    <w:rsid w:val="00401329"/>
    <w:rsid w:val="0040137F"/>
    <w:rsid w:val="004013AE"/>
    <w:rsid w:val="004013C2"/>
    <w:rsid w:val="004013E5"/>
    <w:rsid w:val="004013EB"/>
    <w:rsid w:val="004013F6"/>
    <w:rsid w:val="004013FD"/>
    <w:rsid w:val="00401439"/>
    <w:rsid w:val="0040144A"/>
    <w:rsid w:val="00401500"/>
    <w:rsid w:val="00401523"/>
    <w:rsid w:val="00401525"/>
    <w:rsid w:val="0040155E"/>
    <w:rsid w:val="004015A9"/>
    <w:rsid w:val="004015D1"/>
    <w:rsid w:val="004015DC"/>
    <w:rsid w:val="00401654"/>
    <w:rsid w:val="00401662"/>
    <w:rsid w:val="004016ED"/>
    <w:rsid w:val="004016FF"/>
    <w:rsid w:val="00401700"/>
    <w:rsid w:val="00401729"/>
    <w:rsid w:val="0040176A"/>
    <w:rsid w:val="00401776"/>
    <w:rsid w:val="00401838"/>
    <w:rsid w:val="004018A9"/>
    <w:rsid w:val="004018ED"/>
    <w:rsid w:val="004018FB"/>
    <w:rsid w:val="00401975"/>
    <w:rsid w:val="004019A9"/>
    <w:rsid w:val="004019F6"/>
    <w:rsid w:val="00401A51"/>
    <w:rsid w:val="00401A66"/>
    <w:rsid w:val="00401A93"/>
    <w:rsid w:val="00401AAD"/>
    <w:rsid w:val="00401AC0"/>
    <w:rsid w:val="00401AD7"/>
    <w:rsid w:val="00401AE4"/>
    <w:rsid w:val="00401B27"/>
    <w:rsid w:val="00401B2D"/>
    <w:rsid w:val="00401B44"/>
    <w:rsid w:val="00401B59"/>
    <w:rsid w:val="00401B9A"/>
    <w:rsid w:val="00401BF0"/>
    <w:rsid w:val="00401C1E"/>
    <w:rsid w:val="00401C40"/>
    <w:rsid w:val="00401C4A"/>
    <w:rsid w:val="00401C73"/>
    <w:rsid w:val="00401C8B"/>
    <w:rsid w:val="00401C9B"/>
    <w:rsid w:val="00401CF0"/>
    <w:rsid w:val="00401D3E"/>
    <w:rsid w:val="00401D79"/>
    <w:rsid w:val="00401DBE"/>
    <w:rsid w:val="00401DDD"/>
    <w:rsid w:val="00401DFF"/>
    <w:rsid w:val="00401E48"/>
    <w:rsid w:val="00401E68"/>
    <w:rsid w:val="00401EB3"/>
    <w:rsid w:val="00401EB6"/>
    <w:rsid w:val="00401EBF"/>
    <w:rsid w:val="00401F77"/>
    <w:rsid w:val="00401F82"/>
    <w:rsid w:val="00401FB6"/>
    <w:rsid w:val="004020A0"/>
    <w:rsid w:val="004020A8"/>
    <w:rsid w:val="00402160"/>
    <w:rsid w:val="00402187"/>
    <w:rsid w:val="0040218C"/>
    <w:rsid w:val="004021C0"/>
    <w:rsid w:val="004021C2"/>
    <w:rsid w:val="004021C7"/>
    <w:rsid w:val="004022B1"/>
    <w:rsid w:val="00402311"/>
    <w:rsid w:val="004023BB"/>
    <w:rsid w:val="004023C9"/>
    <w:rsid w:val="00402463"/>
    <w:rsid w:val="00402558"/>
    <w:rsid w:val="004025AD"/>
    <w:rsid w:val="004025BE"/>
    <w:rsid w:val="00402620"/>
    <w:rsid w:val="00402630"/>
    <w:rsid w:val="0040265C"/>
    <w:rsid w:val="00402666"/>
    <w:rsid w:val="0040267F"/>
    <w:rsid w:val="004026AD"/>
    <w:rsid w:val="0040271A"/>
    <w:rsid w:val="004027C0"/>
    <w:rsid w:val="004027F8"/>
    <w:rsid w:val="00402810"/>
    <w:rsid w:val="00402835"/>
    <w:rsid w:val="0040285C"/>
    <w:rsid w:val="00402894"/>
    <w:rsid w:val="00402898"/>
    <w:rsid w:val="0040289E"/>
    <w:rsid w:val="004028AF"/>
    <w:rsid w:val="00402909"/>
    <w:rsid w:val="00402926"/>
    <w:rsid w:val="00402933"/>
    <w:rsid w:val="00402958"/>
    <w:rsid w:val="0040296B"/>
    <w:rsid w:val="00402982"/>
    <w:rsid w:val="004029B3"/>
    <w:rsid w:val="004029C5"/>
    <w:rsid w:val="00402A0B"/>
    <w:rsid w:val="00402A30"/>
    <w:rsid w:val="00402A56"/>
    <w:rsid w:val="00402A9B"/>
    <w:rsid w:val="00402AB6"/>
    <w:rsid w:val="00402AD1"/>
    <w:rsid w:val="00402AD5"/>
    <w:rsid w:val="00402B04"/>
    <w:rsid w:val="00402B93"/>
    <w:rsid w:val="00402BB9"/>
    <w:rsid w:val="00402BF8"/>
    <w:rsid w:val="00402C24"/>
    <w:rsid w:val="00402C67"/>
    <w:rsid w:val="00402C6D"/>
    <w:rsid w:val="00402CAC"/>
    <w:rsid w:val="00402CE1"/>
    <w:rsid w:val="00402CEC"/>
    <w:rsid w:val="00402CF5"/>
    <w:rsid w:val="00402D7F"/>
    <w:rsid w:val="00402D81"/>
    <w:rsid w:val="00402D8E"/>
    <w:rsid w:val="00402D9C"/>
    <w:rsid w:val="00402DA2"/>
    <w:rsid w:val="00402E83"/>
    <w:rsid w:val="00402E92"/>
    <w:rsid w:val="00402F89"/>
    <w:rsid w:val="00402FEE"/>
    <w:rsid w:val="00403006"/>
    <w:rsid w:val="00403058"/>
    <w:rsid w:val="0040309C"/>
    <w:rsid w:val="004030CA"/>
    <w:rsid w:val="00403125"/>
    <w:rsid w:val="0040318A"/>
    <w:rsid w:val="004031B3"/>
    <w:rsid w:val="004032AD"/>
    <w:rsid w:val="004032FF"/>
    <w:rsid w:val="0040330C"/>
    <w:rsid w:val="00403344"/>
    <w:rsid w:val="00403372"/>
    <w:rsid w:val="00403381"/>
    <w:rsid w:val="004033BC"/>
    <w:rsid w:val="00403443"/>
    <w:rsid w:val="00403445"/>
    <w:rsid w:val="004034AE"/>
    <w:rsid w:val="004034B2"/>
    <w:rsid w:val="004034CF"/>
    <w:rsid w:val="00403505"/>
    <w:rsid w:val="00403532"/>
    <w:rsid w:val="0040353F"/>
    <w:rsid w:val="00403675"/>
    <w:rsid w:val="004036F8"/>
    <w:rsid w:val="00403768"/>
    <w:rsid w:val="004037D2"/>
    <w:rsid w:val="0040384C"/>
    <w:rsid w:val="00403862"/>
    <w:rsid w:val="004038FF"/>
    <w:rsid w:val="0040391C"/>
    <w:rsid w:val="00403A21"/>
    <w:rsid w:val="00403A37"/>
    <w:rsid w:val="00403A62"/>
    <w:rsid w:val="00403A7F"/>
    <w:rsid w:val="00403B06"/>
    <w:rsid w:val="00403B28"/>
    <w:rsid w:val="00403BBC"/>
    <w:rsid w:val="00403BC7"/>
    <w:rsid w:val="00403C1A"/>
    <w:rsid w:val="00403C22"/>
    <w:rsid w:val="00403C27"/>
    <w:rsid w:val="00403C87"/>
    <w:rsid w:val="00403C8A"/>
    <w:rsid w:val="00403CE2"/>
    <w:rsid w:val="00403D4E"/>
    <w:rsid w:val="00403D88"/>
    <w:rsid w:val="00403DEE"/>
    <w:rsid w:val="00403E8B"/>
    <w:rsid w:val="00403FFC"/>
    <w:rsid w:val="00404065"/>
    <w:rsid w:val="004040C6"/>
    <w:rsid w:val="00404176"/>
    <w:rsid w:val="0040427B"/>
    <w:rsid w:val="004042F6"/>
    <w:rsid w:val="00404356"/>
    <w:rsid w:val="0040438B"/>
    <w:rsid w:val="004043E2"/>
    <w:rsid w:val="00404413"/>
    <w:rsid w:val="0040449D"/>
    <w:rsid w:val="00404567"/>
    <w:rsid w:val="0040456C"/>
    <w:rsid w:val="0040456D"/>
    <w:rsid w:val="0040456F"/>
    <w:rsid w:val="0040457F"/>
    <w:rsid w:val="00404580"/>
    <w:rsid w:val="004045E7"/>
    <w:rsid w:val="0040461C"/>
    <w:rsid w:val="00404661"/>
    <w:rsid w:val="004047D3"/>
    <w:rsid w:val="00404886"/>
    <w:rsid w:val="0040493B"/>
    <w:rsid w:val="00404A88"/>
    <w:rsid w:val="00404AD1"/>
    <w:rsid w:val="00404AF9"/>
    <w:rsid w:val="00404B25"/>
    <w:rsid w:val="00404C57"/>
    <w:rsid w:val="00404CA9"/>
    <w:rsid w:val="00404DBC"/>
    <w:rsid w:val="00404DDC"/>
    <w:rsid w:val="00404EBA"/>
    <w:rsid w:val="00404ED9"/>
    <w:rsid w:val="00404EF3"/>
    <w:rsid w:val="00404F54"/>
    <w:rsid w:val="00404F73"/>
    <w:rsid w:val="00404F94"/>
    <w:rsid w:val="00404FA0"/>
    <w:rsid w:val="00404FAA"/>
    <w:rsid w:val="00404FC8"/>
    <w:rsid w:val="00405022"/>
    <w:rsid w:val="0040506A"/>
    <w:rsid w:val="0040518B"/>
    <w:rsid w:val="004051AA"/>
    <w:rsid w:val="0040520E"/>
    <w:rsid w:val="00405237"/>
    <w:rsid w:val="0040533A"/>
    <w:rsid w:val="0040533F"/>
    <w:rsid w:val="0040534B"/>
    <w:rsid w:val="00405390"/>
    <w:rsid w:val="004053B0"/>
    <w:rsid w:val="0040541F"/>
    <w:rsid w:val="0040542C"/>
    <w:rsid w:val="00405507"/>
    <w:rsid w:val="00405532"/>
    <w:rsid w:val="00405534"/>
    <w:rsid w:val="00405582"/>
    <w:rsid w:val="004055B0"/>
    <w:rsid w:val="004055DF"/>
    <w:rsid w:val="0040564C"/>
    <w:rsid w:val="00405679"/>
    <w:rsid w:val="004056B1"/>
    <w:rsid w:val="004056B3"/>
    <w:rsid w:val="00405728"/>
    <w:rsid w:val="0040572F"/>
    <w:rsid w:val="00405754"/>
    <w:rsid w:val="0040576E"/>
    <w:rsid w:val="0040577D"/>
    <w:rsid w:val="00405832"/>
    <w:rsid w:val="004058D3"/>
    <w:rsid w:val="0040591C"/>
    <w:rsid w:val="00405992"/>
    <w:rsid w:val="00405A79"/>
    <w:rsid w:val="00405A90"/>
    <w:rsid w:val="00405B32"/>
    <w:rsid w:val="00405B4E"/>
    <w:rsid w:val="00405B71"/>
    <w:rsid w:val="00405BEF"/>
    <w:rsid w:val="00405C17"/>
    <w:rsid w:val="00405C50"/>
    <w:rsid w:val="00405C56"/>
    <w:rsid w:val="00405C5B"/>
    <w:rsid w:val="00405CC9"/>
    <w:rsid w:val="00405D5C"/>
    <w:rsid w:val="00405D62"/>
    <w:rsid w:val="00405DD2"/>
    <w:rsid w:val="00405DF1"/>
    <w:rsid w:val="00405E1F"/>
    <w:rsid w:val="00405E6B"/>
    <w:rsid w:val="00405E99"/>
    <w:rsid w:val="00405EE4"/>
    <w:rsid w:val="00405F4C"/>
    <w:rsid w:val="00405FD9"/>
    <w:rsid w:val="004060BC"/>
    <w:rsid w:val="004061C3"/>
    <w:rsid w:val="0040630F"/>
    <w:rsid w:val="00406319"/>
    <w:rsid w:val="0040635D"/>
    <w:rsid w:val="00406362"/>
    <w:rsid w:val="004063F8"/>
    <w:rsid w:val="00406401"/>
    <w:rsid w:val="0040648C"/>
    <w:rsid w:val="004064E2"/>
    <w:rsid w:val="00406555"/>
    <w:rsid w:val="00406562"/>
    <w:rsid w:val="004065EE"/>
    <w:rsid w:val="00406620"/>
    <w:rsid w:val="00406621"/>
    <w:rsid w:val="00406639"/>
    <w:rsid w:val="0040663B"/>
    <w:rsid w:val="00406660"/>
    <w:rsid w:val="004067BB"/>
    <w:rsid w:val="004067BF"/>
    <w:rsid w:val="0040680B"/>
    <w:rsid w:val="00406817"/>
    <w:rsid w:val="00406827"/>
    <w:rsid w:val="00406828"/>
    <w:rsid w:val="0040687D"/>
    <w:rsid w:val="00406A1A"/>
    <w:rsid w:val="00406A6C"/>
    <w:rsid w:val="00406A82"/>
    <w:rsid w:val="00406B5E"/>
    <w:rsid w:val="00406B9A"/>
    <w:rsid w:val="00406BBD"/>
    <w:rsid w:val="00406BCE"/>
    <w:rsid w:val="00406BF6"/>
    <w:rsid w:val="00406C10"/>
    <w:rsid w:val="00406C24"/>
    <w:rsid w:val="00406C3B"/>
    <w:rsid w:val="00406C5E"/>
    <w:rsid w:val="00406E8F"/>
    <w:rsid w:val="00406ECA"/>
    <w:rsid w:val="00406EE8"/>
    <w:rsid w:val="00406F49"/>
    <w:rsid w:val="00406FB8"/>
    <w:rsid w:val="00406FC5"/>
    <w:rsid w:val="00407009"/>
    <w:rsid w:val="00407013"/>
    <w:rsid w:val="004070DC"/>
    <w:rsid w:val="00407205"/>
    <w:rsid w:val="00407286"/>
    <w:rsid w:val="00407313"/>
    <w:rsid w:val="0040733B"/>
    <w:rsid w:val="00407368"/>
    <w:rsid w:val="004073EF"/>
    <w:rsid w:val="0040741D"/>
    <w:rsid w:val="0040741F"/>
    <w:rsid w:val="004074F3"/>
    <w:rsid w:val="00407506"/>
    <w:rsid w:val="00407594"/>
    <w:rsid w:val="004075AF"/>
    <w:rsid w:val="004075BC"/>
    <w:rsid w:val="00407664"/>
    <w:rsid w:val="004077F1"/>
    <w:rsid w:val="00407801"/>
    <w:rsid w:val="0040781A"/>
    <w:rsid w:val="00407839"/>
    <w:rsid w:val="0040784C"/>
    <w:rsid w:val="00407880"/>
    <w:rsid w:val="0040790E"/>
    <w:rsid w:val="00407932"/>
    <w:rsid w:val="004079AB"/>
    <w:rsid w:val="00407A10"/>
    <w:rsid w:val="00407A4F"/>
    <w:rsid w:val="00407A9C"/>
    <w:rsid w:val="00407B5F"/>
    <w:rsid w:val="00407BE8"/>
    <w:rsid w:val="00407C33"/>
    <w:rsid w:val="00407C35"/>
    <w:rsid w:val="00407C6C"/>
    <w:rsid w:val="00407CB0"/>
    <w:rsid w:val="00407CB5"/>
    <w:rsid w:val="00407CC2"/>
    <w:rsid w:val="00407CC9"/>
    <w:rsid w:val="00407CD9"/>
    <w:rsid w:val="00407D3A"/>
    <w:rsid w:val="00407D3B"/>
    <w:rsid w:val="00407D7B"/>
    <w:rsid w:val="00407DEE"/>
    <w:rsid w:val="00407DEF"/>
    <w:rsid w:val="00407E16"/>
    <w:rsid w:val="00407E1F"/>
    <w:rsid w:val="00407E47"/>
    <w:rsid w:val="00407E67"/>
    <w:rsid w:val="00407E68"/>
    <w:rsid w:val="00407F35"/>
    <w:rsid w:val="00407F63"/>
    <w:rsid w:val="00407FB5"/>
    <w:rsid w:val="00407FC0"/>
    <w:rsid w:val="00410046"/>
    <w:rsid w:val="004100AA"/>
    <w:rsid w:val="004100E4"/>
    <w:rsid w:val="00410132"/>
    <w:rsid w:val="0041014C"/>
    <w:rsid w:val="0041016F"/>
    <w:rsid w:val="00410184"/>
    <w:rsid w:val="0041019C"/>
    <w:rsid w:val="0041019E"/>
    <w:rsid w:val="004101A7"/>
    <w:rsid w:val="004101DC"/>
    <w:rsid w:val="004101F3"/>
    <w:rsid w:val="0041022D"/>
    <w:rsid w:val="00410255"/>
    <w:rsid w:val="0041025A"/>
    <w:rsid w:val="00410298"/>
    <w:rsid w:val="004103DF"/>
    <w:rsid w:val="00410446"/>
    <w:rsid w:val="0041048C"/>
    <w:rsid w:val="004104DC"/>
    <w:rsid w:val="004104E7"/>
    <w:rsid w:val="004104EE"/>
    <w:rsid w:val="004104EF"/>
    <w:rsid w:val="004104FA"/>
    <w:rsid w:val="00410556"/>
    <w:rsid w:val="00410596"/>
    <w:rsid w:val="004105AD"/>
    <w:rsid w:val="004105B2"/>
    <w:rsid w:val="0041061D"/>
    <w:rsid w:val="004106F5"/>
    <w:rsid w:val="00410716"/>
    <w:rsid w:val="00410743"/>
    <w:rsid w:val="00410792"/>
    <w:rsid w:val="00410797"/>
    <w:rsid w:val="004107AE"/>
    <w:rsid w:val="004107BD"/>
    <w:rsid w:val="004107C3"/>
    <w:rsid w:val="004107FF"/>
    <w:rsid w:val="00410804"/>
    <w:rsid w:val="00410819"/>
    <w:rsid w:val="00410820"/>
    <w:rsid w:val="004108B2"/>
    <w:rsid w:val="00410A86"/>
    <w:rsid w:val="00410B3D"/>
    <w:rsid w:val="00410B43"/>
    <w:rsid w:val="00410B87"/>
    <w:rsid w:val="00410BCC"/>
    <w:rsid w:val="00410C12"/>
    <w:rsid w:val="00410CA8"/>
    <w:rsid w:val="00410CFB"/>
    <w:rsid w:val="00410D61"/>
    <w:rsid w:val="00410DF3"/>
    <w:rsid w:val="00410E77"/>
    <w:rsid w:val="00410E78"/>
    <w:rsid w:val="00410E97"/>
    <w:rsid w:val="00410EED"/>
    <w:rsid w:val="00410F30"/>
    <w:rsid w:val="00410F83"/>
    <w:rsid w:val="00410FA4"/>
    <w:rsid w:val="00410FBE"/>
    <w:rsid w:val="00411061"/>
    <w:rsid w:val="00411086"/>
    <w:rsid w:val="004110A6"/>
    <w:rsid w:val="004110D8"/>
    <w:rsid w:val="004110DD"/>
    <w:rsid w:val="00411110"/>
    <w:rsid w:val="0041113D"/>
    <w:rsid w:val="004111A2"/>
    <w:rsid w:val="004111A5"/>
    <w:rsid w:val="004111C7"/>
    <w:rsid w:val="0041122E"/>
    <w:rsid w:val="00411298"/>
    <w:rsid w:val="004112A3"/>
    <w:rsid w:val="004112A9"/>
    <w:rsid w:val="0041131E"/>
    <w:rsid w:val="00411351"/>
    <w:rsid w:val="004113E0"/>
    <w:rsid w:val="0041142A"/>
    <w:rsid w:val="0041156B"/>
    <w:rsid w:val="004115B6"/>
    <w:rsid w:val="004115C0"/>
    <w:rsid w:val="00411677"/>
    <w:rsid w:val="00411689"/>
    <w:rsid w:val="00411697"/>
    <w:rsid w:val="004116BD"/>
    <w:rsid w:val="00411706"/>
    <w:rsid w:val="0041170C"/>
    <w:rsid w:val="0041178B"/>
    <w:rsid w:val="004117C8"/>
    <w:rsid w:val="004118D8"/>
    <w:rsid w:val="0041190C"/>
    <w:rsid w:val="00411911"/>
    <w:rsid w:val="00411972"/>
    <w:rsid w:val="00411978"/>
    <w:rsid w:val="004119F5"/>
    <w:rsid w:val="00411A30"/>
    <w:rsid w:val="00411A43"/>
    <w:rsid w:val="00411A81"/>
    <w:rsid w:val="00411ADA"/>
    <w:rsid w:val="00411B0D"/>
    <w:rsid w:val="00411B22"/>
    <w:rsid w:val="00411B69"/>
    <w:rsid w:val="00411B9A"/>
    <w:rsid w:val="00411BE7"/>
    <w:rsid w:val="00411C3E"/>
    <w:rsid w:val="00411C52"/>
    <w:rsid w:val="00411CBC"/>
    <w:rsid w:val="00411D3A"/>
    <w:rsid w:val="00411D4C"/>
    <w:rsid w:val="00411DA6"/>
    <w:rsid w:val="00411DB4"/>
    <w:rsid w:val="00411DDC"/>
    <w:rsid w:val="00411E0A"/>
    <w:rsid w:val="00411E97"/>
    <w:rsid w:val="00411EE0"/>
    <w:rsid w:val="00411F1C"/>
    <w:rsid w:val="00411F72"/>
    <w:rsid w:val="00411FE0"/>
    <w:rsid w:val="00411FE6"/>
    <w:rsid w:val="0041205A"/>
    <w:rsid w:val="0041206C"/>
    <w:rsid w:val="004120BD"/>
    <w:rsid w:val="004120E1"/>
    <w:rsid w:val="00412136"/>
    <w:rsid w:val="004121FA"/>
    <w:rsid w:val="00412219"/>
    <w:rsid w:val="00412276"/>
    <w:rsid w:val="00412277"/>
    <w:rsid w:val="004122E7"/>
    <w:rsid w:val="004122ED"/>
    <w:rsid w:val="00412319"/>
    <w:rsid w:val="00412342"/>
    <w:rsid w:val="004123DE"/>
    <w:rsid w:val="00412457"/>
    <w:rsid w:val="00412466"/>
    <w:rsid w:val="00412487"/>
    <w:rsid w:val="00412499"/>
    <w:rsid w:val="00412512"/>
    <w:rsid w:val="00412590"/>
    <w:rsid w:val="004125CE"/>
    <w:rsid w:val="004125FB"/>
    <w:rsid w:val="00412697"/>
    <w:rsid w:val="004126E6"/>
    <w:rsid w:val="004126FF"/>
    <w:rsid w:val="0041272C"/>
    <w:rsid w:val="00412743"/>
    <w:rsid w:val="00412786"/>
    <w:rsid w:val="0041278A"/>
    <w:rsid w:val="00412792"/>
    <w:rsid w:val="0041286E"/>
    <w:rsid w:val="0041288E"/>
    <w:rsid w:val="004128EE"/>
    <w:rsid w:val="00412919"/>
    <w:rsid w:val="00412977"/>
    <w:rsid w:val="0041298D"/>
    <w:rsid w:val="004129C6"/>
    <w:rsid w:val="004129D3"/>
    <w:rsid w:val="00412A15"/>
    <w:rsid w:val="00412A20"/>
    <w:rsid w:val="00412A3A"/>
    <w:rsid w:val="00412B73"/>
    <w:rsid w:val="00412BF4"/>
    <w:rsid w:val="00412C03"/>
    <w:rsid w:val="00412C1A"/>
    <w:rsid w:val="00412C27"/>
    <w:rsid w:val="00412CA5"/>
    <w:rsid w:val="00412CB1"/>
    <w:rsid w:val="00412CD0"/>
    <w:rsid w:val="00412D02"/>
    <w:rsid w:val="00412D06"/>
    <w:rsid w:val="00412D54"/>
    <w:rsid w:val="00412DBC"/>
    <w:rsid w:val="00412DC4"/>
    <w:rsid w:val="00412DD2"/>
    <w:rsid w:val="00412E00"/>
    <w:rsid w:val="00412EAF"/>
    <w:rsid w:val="00412EC0"/>
    <w:rsid w:val="00412ECB"/>
    <w:rsid w:val="00412EE2"/>
    <w:rsid w:val="00412EEE"/>
    <w:rsid w:val="00412F6E"/>
    <w:rsid w:val="00412F85"/>
    <w:rsid w:val="00412FE3"/>
    <w:rsid w:val="00412FF0"/>
    <w:rsid w:val="00412FF6"/>
    <w:rsid w:val="00413016"/>
    <w:rsid w:val="0041301D"/>
    <w:rsid w:val="00413098"/>
    <w:rsid w:val="0041309C"/>
    <w:rsid w:val="004130D8"/>
    <w:rsid w:val="0041311E"/>
    <w:rsid w:val="00413142"/>
    <w:rsid w:val="0041318D"/>
    <w:rsid w:val="004131B4"/>
    <w:rsid w:val="004131D9"/>
    <w:rsid w:val="004131FC"/>
    <w:rsid w:val="00413226"/>
    <w:rsid w:val="0041324C"/>
    <w:rsid w:val="00413298"/>
    <w:rsid w:val="0041329F"/>
    <w:rsid w:val="004133FA"/>
    <w:rsid w:val="00413401"/>
    <w:rsid w:val="0041341A"/>
    <w:rsid w:val="00413429"/>
    <w:rsid w:val="0041342D"/>
    <w:rsid w:val="00413447"/>
    <w:rsid w:val="00413458"/>
    <w:rsid w:val="0041345A"/>
    <w:rsid w:val="004134E1"/>
    <w:rsid w:val="00413502"/>
    <w:rsid w:val="0041353A"/>
    <w:rsid w:val="00413578"/>
    <w:rsid w:val="004135BF"/>
    <w:rsid w:val="004135CC"/>
    <w:rsid w:val="00413632"/>
    <w:rsid w:val="0041364F"/>
    <w:rsid w:val="004136BA"/>
    <w:rsid w:val="004137AD"/>
    <w:rsid w:val="004137BE"/>
    <w:rsid w:val="004137D7"/>
    <w:rsid w:val="004138ED"/>
    <w:rsid w:val="0041394D"/>
    <w:rsid w:val="0041397A"/>
    <w:rsid w:val="0041397C"/>
    <w:rsid w:val="00413AE1"/>
    <w:rsid w:val="00413AE9"/>
    <w:rsid w:val="00413AF3"/>
    <w:rsid w:val="00413B36"/>
    <w:rsid w:val="00413C03"/>
    <w:rsid w:val="00413C24"/>
    <w:rsid w:val="00413C36"/>
    <w:rsid w:val="00413CCD"/>
    <w:rsid w:val="00413CF5"/>
    <w:rsid w:val="00413D2E"/>
    <w:rsid w:val="00413D99"/>
    <w:rsid w:val="00413DEA"/>
    <w:rsid w:val="00413E39"/>
    <w:rsid w:val="00413E9B"/>
    <w:rsid w:val="00413EFB"/>
    <w:rsid w:val="00413F59"/>
    <w:rsid w:val="00413F5A"/>
    <w:rsid w:val="00413FC3"/>
    <w:rsid w:val="0041401C"/>
    <w:rsid w:val="00414048"/>
    <w:rsid w:val="00414080"/>
    <w:rsid w:val="00414087"/>
    <w:rsid w:val="004140C2"/>
    <w:rsid w:val="00414116"/>
    <w:rsid w:val="00414167"/>
    <w:rsid w:val="004141EC"/>
    <w:rsid w:val="00414264"/>
    <w:rsid w:val="0041428E"/>
    <w:rsid w:val="00414297"/>
    <w:rsid w:val="004142C3"/>
    <w:rsid w:val="0041431E"/>
    <w:rsid w:val="0041436A"/>
    <w:rsid w:val="0041439F"/>
    <w:rsid w:val="004143B7"/>
    <w:rsid w:val="004143EE"/>
    <w:rsid w:val="00414453"/>
    <w:rsid w:val="00414459"/>
    <w:rsid w:val="0041446C"/>
    <w:rsid w:val="0041448E"/>
    <w:rsid w:val="004144F1"/>
    <w:rsid w:val="00414536"/>
    <w:rsid w:val="00414572"/>
    <w:rsid w:val="004145FF"/>
    <w:rsid w:val="0041461D"/>
    <w:rsid w:val="0041461E"/>
    <w:rsid w:val="00414633"/>
    <w:rsid w:val="00414669"/>
    <w:rsid w:val="0041467C"/>
    <w:rsid w:val="00414681"/>
    <w:rsid w:val="004146FE"/>
    <w:rsid w:val="0041473E"/>
    <w:rsid w:val="0041474D"/>
    <w:rsid w:val="00414763"/>
    <w:rsid w:val="00414770"/>
    <w:rsid w:val="00414781"/>
    <w:rsid w:val="0041478A"/>
    <w:rsid w:val="004147DC"/>
    <w:rsid w:val="0041482D"/>
    <w:rsid w:val="00414833"/>
    <w:rsid w:val="004148AE"/>
    <w:rsid w:val="004148C5"/>
    <w:rsid w:val="00414914"/>
    <w:rsid w:val="00414964"/>
    <w:rsid w:val="004149B9"/>
    <w:rsid w:val="004149CE"/>
    <w:rsid w:val="004149DD"/>
    <w:rsid w:val="004149F6"/>
    <w:rsid w:val="00414A24"/>
    <w:rsid w:val="00414A2F"/>
    <w:rsid w:val="00414A55"/>
    <w:rsid w:val="00414A89"/>
    <w:rsid w:val="00414AAB"/>
    <w:rsid w:val="00414B2D"/>
    <w:rsid w:val="00414B77"/>
    <w:rsid w:val="00414B7E"/>
    <w:rsid w:val="00414C07"/>
    <w:rsid w:val="00414C74"/>
    <w:rsid w:val="00414CB7"/>
    <w:rsid w:val="00414D30"/>
    <w:rsid w:val="00414D39"/>
    <w:rsid w:val="00414D83"/>
    <w:rsid w:val="00414D8B"/>
    <w:rsid w:val="00414DE0"/>
    <w:rsid w:val="00414DE7"/>
    <w:rsid w:val="00414E69"/>
    <w:rsid w:val="00414F1A"/>
    <w:rsid w:val="00414F84"/>
    <w:rsid w:val="00414F9B"/>
    <w:rsid w:val="00414FE6"/>
    <w:rsid w:val="0041502D"/>
    <w:rsid w:val="00415073"/>
    <w:rsid w:val="004150E9"/>
    <w:rsid w:val="00415109"/>
    <w:rsid w:val="0041513E"/>
    <w:rsid w:val="004151A5"/>
    <w:rsid w:val="0041520A"/>
    <w:rsid w:val="004152F3"/>
    <w:rsid w:val="00415375"/>
    <w:rsid w:val="00415411"/>
    <w:rsid w:val="00415417"/>
    <w:rsid w:val="00415432"/>
    <w:rsid w:val="00415479"/>
    <w:rsid w:val="0041547D"/>
    <w:rsid w:val="004154B7"/>
    <w:rsid w:val="0041550E"/>
    <w:rsid w:val="00415511"/>
    <w:rsid w:val="00415536"/>
    <w:rsid w:val="00415564"/>
    <w:rsid w:val="00415587"/>
    <w:rsid w:val="0041558C"/>
    <w:rsid w:val="004155DE"/>
    <w:rsid w:val="004155FB"/>
    <w:rsid w:val="004156C0"/>
    <w:rsid w:val="004156E5"/>
    <w:rsid w:val="004156F5"/>
    <w:rsid w:val="004157F6"/>
    <w:rsid w:val="00415855"/>
    <w:rsid w:val="004158DD"/>
    <w:rsid w:val="004158F6"/>
    <w:rsid w:val="00415929"/>
    <w:rsid w:val="0041598A"/>
    <w:rsid w:val="004159A0"/>
    <w:rsid w:val="004159AA"/>
    <w:rsid w:val="00415A39"/>
    <w:rsid w:val="00415A50"/>
    <w:rsid w:val="00415A99"/>
    <w:rsid w:val="00415AFA"/>
    <w:rsid w:val="00415B45"/>
    <w:rsid w:val="00415B59"/>
    <w:rsid w:val="00415C22"/>
    <w:rsid w:val="00415C85"/>
    <w:rsid w:val="00415CBF"/>
    <w:rsid w:val="00415CF0"/>
    <w:rsid w:val="00415D0C"/>
    <w:rsid w:val="00415D57"/>
    <w:rsid w:val="00415D68"/>
    <w:rsid w:val="00415D91"/>
    <w:rsid w:val="00415D9A"/>
    <w:rsid w:val="00415E12"/>
    <w:rsid w:val="00415E22"/>
    <w:rsid w:val="00415E3E"/>
    <w:rsid w:val="00415E5A"/>
    <w:rsid w:val="00415E6D"/>
    <w:rsid w:val="00415E96"/>
    <w:rsid w:val="00415FCB"/>
    <w:rsid w:val="00415FDD"/>
    <w:rsid w:val="00416039"/>
    <w:rsid w:val="0041608A"/>
    <w:rsid w:val="00416095"/>
    <w:rsid w:val="0041609A"/>
    <w:rsid w:val="004160BE"/>
    <w:rsid w:val="004160F1"/>
    <w:rsid w:val="0041615B"/>
    <w:rsid w:val="00416183"/>
    <w:rsid w:val="0041620D"/>
    <w:rsid w:val="00416235"/>
    <w:rsid w:val="00416246"/>
    <w:rsid w:val="00416250"/>
    <w:rsid w:val="00416277"/>
    <w:rsid w:val="0041627B"/>
    <w:rsid w:val="00416390"/>
    <w:rsid w:val="00416478"/>
    <w:rsid w:val="004164B0"/>
    <w:rsid w:val="004164E0"/>
    <w:rsid w:val="00416510"/>
    <w:rsid w:val="0041651B"/>
    <w:rsid w:val="004165BF"/>
    <w:rsid w:val="004165C7"/>
    <w:rsid w:val="004165ED"/>
    <w:rsid w:val="0041663A"/>
    <w:rsid w:val="0041663B"/>
    <w:rsid w:val="00416650"/>
    <w:rsid w:val="0041668F"/>
    <w:rsid w:val="0041669D"/>
    <w:rsid w:val="004166C2"/>
    <w:rsid w:val="004166E0"/>
    <w:rsid w:val="004166E4"/>
    <w:rsid w:val="00416703"/>
    <w:rsid w:val="00416762"/>
    <w:rsid w:val="0041677C"/>
    <w:rsid w:val="004167D5"/>
    <w:rsid w:val="00416808"/>
    <w:rsid w:val="004168BD"/>
    <w:rsid w:val="004169AE"/>
    <w:rsid w:val="004169CD"/>
    <w:rsid w:val="00416A04"/>
    <w:rsid w:val="00416A90"/>
    <w:rsid w:val="00416ABD"/>
    <w:rsid w:val="00416AD5"/>
    <w:rsid w:val="00416B73"/>
    <w:rsid w:val="00416B78"/>
    <w:rsid w:val="00416B9E"/>
    <w:rsid w:val="00416BAC"/>
    <w:rsid w:val="00416C14"/>
    <w:rsid w:val="00416C7C"/>
    <w:rsid w:val="00416CAF"/>
    <w:rsid w:val="00416D67"/>
    <w:rsid w:val="00416D69"/>
    <w:rsid w:val="00416D99"/>
    <w:rsid w:val="00416E1C"/>
    <w:rsid w:val="00416E21"/>
    <w:rsid w:val="00416E2A"/>
    <w:rsid w:val="00416E55"/>
    <w:rsid w:val="00416EAF"/>
    <w:rsid w:val="00416EC7"/>
    <w:rsid w:val="00416F02"/>
    <w:rsid w:val="00416F5E"/>
    <w:rsid w:val="00416F6A"/>
    <w:rsid w:val="00416FEA"/>
    <w:rsid w:val="0041704A"/>
    <w:rsid w:val="004170DA"/>
    <w:rsid w:val="004170E7"/>
    <w:rsid w:val="004170E9"/>
    <w:rsid w:val="004170F9"/>
    <w:rsid w:val="00417111"/>
    <w:rsid w:val="00417129"/>
    <w:rsid w:val="0041717C"/>
    <w:rsid w:val="00417180"/>
    <w:rsid w:val="004171CD"/>
    <w:rsid w:val="00417230"/>
    <w:rsid w:val="0041723D"/>
    <w:rsid w:val="00417297"/>
    <w:rsid w:val="004172DB"/>
    <w:rsid w:val="00417329"/>
    <w:rsid w:val="004173E2"/>
    <w:rsid w:val="004173F1"/>
    <w:rsid w:val="00417401"/>
    <w:rsid w:val="0041742C"/>
    <w:rsid w:val="00417458"/>
    <w:rsid w:val="00417480"/>
    <w:rsid w:val="004174AD"/>
    <w:rsid w:val="0041761B"/>
    <w:rsid w:val="00417732"/>
    <w:rsid w:val="00417735"/>
    <w:rsid w:val="00417740"/>
    <w:rsid w:val="00417746"/>
    <w:rsid w:val="00417776"/>
    <w:rsid w:val="00417789"/>
    <w:rsid w:val="004177A3"/>
    <w:rsid w:val="004177C7"/>
    <w:rsid w:val="004177E7"/>
    <w:rsid w:val="0041782B"/>
    <w:rsid w:val="00417830"/>
    <w:rsid w:val="00417874"/>
    <w:rsid w:val="0041793C"/>
    <w:rsid w:val="004179D3"/>
    <w:rsid w:val="004179EB"/>
    <w:rsid w:val="00417A4D"/>
    <w:rsid w:val="00417A9E"/>
    <w:rsid w:val="00417AB3"/>
    <w:rsid w:val="00417ADA"/>
    <w:rsid w:val="00417AF4"/>
    <w:rsid w:val="00417B10"/>
    <w:rsid w:val="00417B13"/>
    <w:rsid w:val="00417B40"/>
    <w:rsid w:val="00417BCF"/>
    <w:rsid w:val="00417D0D"/>
    <w:rsid w:val="00417D18"/>
    <w:rsid w:val="00417D34"/>
    <w:rsid w:val="00417D35"/>
    <w:rsid w:val="00417D6B"/>
    <w:rsid w:val="00417D7C"/>
    <w:rsid w:val="00417D9E"/>
    <w:rsid w:val="00417E9E"/>
    <w:rsid w:val="00417EDA"/>
    <w:rsid w:val="00417EED"/>
    <w:rsid w:val="00417EF7"/>
    <w:rsid w:val="00417F83"/>
    <w:rsid w:val="00417FA1"/>
    <w:rsid w:val="00420067"/>
    <w:rsid w:val="0042006F"/>
    <w:rsid w:val="00420086"/>
    <w:rsid w:val="0042008E"/>
    <w:rsid w:val="004200C1"/>
    <w:rsid w:val="004200E0"/>
    <w:rsid w:val="0042010A"/>
    <w:rsid w:val="0042012D"/>
    <w:rsid w:val="00420130"/>
    <w:rsid w:val="004201E2"/>
    <w:rsid w:val="004201E4"/>
    <w:rsid w:val="00420212"/>
    <w:rsid w:val="004202BC"/>
    <w:rsid w:val="004202E2"/>
    <w:rsid w:val="004202F6"/>
    <w:rsid w:val="00420302"/>
    <w:rsid w:val="0042030E"/>
    <w:rsid w:val="0042042E"/>
    <w:rsid w:val="00420438"/>
    <w:rsid w:val="00420473"/>
    <w:rsid w:val="004204B2"/>
    <w:rsid w:val="004204BB"/>
    <w:rsid w:val="004204DE"/>
    <w:rsid w:val="00420541"/>
    <w:rsid w:val="00420596"/>
    <w:rsid w:val="004205A6"/>
    <w:rsid w:val="004205AD"/>
    <w:rsid w:val="004205E1"/>
    <w:rsid w:val="004205E5"/>
    <w:rsid w:val="0042062A"/>
    <w:rsid w:val="0042069A"/>
    <w:rsid w:val="004206B5"/>
    <w:rsid w:val="004206F3"/>
    <w:rsid w:val="004206FE"/>
    <w:rsid w:val="00420708"/>
    <w:rsid w:val="00420787"/>
    <w:rsid w:val="00420794"/>
    <w:rsid w:val="00420838"/>
    <w:rsid w:val="004208F7"/>
    <w:rsid w:val="00420984"/>
    <w:rsid w:val="00420AC1"/>
    <w:rsid w:val="00420AC6"/>
    <w:rsid w:val="00420B76"/>
    <w:rsid w:val="00420C45"/>
    <w:rsid w:val="00420C53"/>
    <w:rsid w:val="00420C55"/>
    <w:rsid w:val="00420CA2"/>
    <w:rsid w:val="00420CB7"/>
    <w:rsid w:val="00420CD2"/>
    <w:rsid w:val="00420CD3"/>
    <w:rsid w:val="00420CF0"/>
    <w:rsid w:val="00420D5B"/>
    <w:rsid w:val="00420D82"/>
    <w:rsid w:val="00420D9B"/>
    <w:rsid w:val="00420DC5"/>
    <w:rsid w:val="00420E31"/>
    <w:rsid w:val="00420E37"/>
    <w:rsid w:val="00420E7C"/>
    <w:rsid w:val="00420E96"/>
    <w:rsid w:val="00420EC9"/>
    <w:rsid w:val="00420EEB"/>
    <w:rsid w:val="00420F17"/>
    <w:rsid w:val="00420F93"/>
    <w:rsid w:val="00420F9F"/>
    <w:rsid w:val="00420FBD"/>
    <w:rsid w:val="0042102B"/>
    <w:rsid w:val="0042108D"/>
    <w:rsid w:val="004210A2"/>
    <w:rsid w:val="004210C4"/>
    <w:rsid w:val="004210FB"/>
    <w:rsid w:val="00421125"/>
    <w:rsid w:val="00421132"/>
    <w:rsid w:val="004211B3"/>
    <w:rsid w:val="004212C9"/>
    <w:rsid w:val="0042134C"/>
    <w:rsid w:val="00421352"/>
    <w:rsid w:val="00421369"/>
    <w:rsid w:val="00421383"/>
    <w:rsid w:val="0042144D"/>
    <w:rsid w:val="004214CF"/>
    <w:rsid w:val="004214FE"/>
    <w:rsid w:val="0042155D"/>
    <w:rsid w:val="0042157B"/>
    <w:rsid w:val="004215A7"/>
    <w:rsid w:val="00421614"/>
    <w:rsid w:val="0042164E"/>
    <w:rsid w:val="0042166F"/>
    <w:rsid w:val="0042170F"/>
    <w:rsid w:val="0042171F"/>
    <w:rsid w:val="00421759"/>
    <w:rsid w:val="0042178C"/>
    <w:rsid w:val="0042187C"/>
    <w:rsid w:val="00421898"/>
    <w:rsid w:val="00421922"/>
    <w:rsid w:val="00421952"/>
    <w:rsid w:val="00421955"/>
    <w:rsid w:val="00421963"/>
    <w:rsid w:val="00421978"/>
    <w:rsid w:val="00421990"/>
    <w:rsid w:val="004219B8"/>
    <w:rsid w:val="004219D0"/>
    <w:rsid w:val="00421A12"/>
    <w:rsid w:val="00421A46"/>
    <w:rsid w:val="00421A78"/>
    <w:rsid w:val="00421ADF"/>
    <w:rsid w:val="00421B02"/>
    <w:rsid w:val="00421B22"/>
    <w:rsid w:val="00421B33"/>
    <w:rsid w:val="00421BFC"/>
    <w:rsid w:val="00421C4F"/>
    <w:rsid w:val="00421C73"/>
    <w:rsid w:val="00421C81"/>
    <w:rsid w:val="00421CB8"/>
    <w:rsid w:val="00421CD5"/>
    <w:rsid w:val="00421D0A"/>
    <w:rsid w:val="00421D0B"/>
    <w:rsid w:val="00421D58"/>
    <w:rsid w:val="00421D92"/>
    <w:rsid w:val="00421DD0"/>
    <w:rsid w:val="00421DE9"/>
    <w:rsid w:val="00421DED"/>
    <w:rsid w:val="00421E73"/>
    <w:rsid w:val="00421E82"/>
    <w:rsid w:val="00421F11"/>
    <w:rsid w:val="00421F3C"/>
    <w:rsid w:val="00421F7E"/>
    <w:rsid w:val="00421F8F"/>
    <w:rsid w:val="00422042"/>
    <w:rsid w:val="0042206E"/>
    <w:rsid w:val="004220F6"/>
    <w:rsid w:val="0042212F"/>
    <w:rsid w:val="004221F3"/>
    <w:rsid w:val="004221F7"/>
    <w:rsid w:val="0042222E"/>
    <w:rsid w:val="00422251"/>
    <w:rsid w:val="00422274"/>
    <w:rsid w:val="00422277"/>
    <w:rsid w:val="00422286"/>
    <w:rsid w:val="00422290"/>
    <w:rsid w:val="00422301"/>
    <w:rsid w:val="0042230F"/>
    <w:rsid w:val="0042235F"/>
    <w:rsid w:val="00422372"/>
    <w:rsid w:val="004223BE"/>
    <w:rsid w:val="004223F4"/>
    <w:rsid w:val="0042249F"/>
    <w:rsid w:val="004224A9"/>
    <w:rsid w:val="004224C3"/>
    <w:rsid w:val="004225FD"/>
    <w:rsid w:val="00422634"/>
    <w:rsid w:val="00422676"/>
    <w:rsid w:val="004226EB"/>
    <w:rsid w:val="00422708"/>
    <w:rsid w:val="0042270E"/>
    <w:rsid w:val="0042271B"/>
    <w:rsid w:val="00422728"/>
    <w:rsid w:val="0042277D"/>
    <w:rsid w:val="004227A2"/>
    <w:rsid w:val="004228F4"/>
    <w:rsid w:val="00422993"/>
    <w:rsid w:val="004229EA"/>
    <w:rsid w:val="00422A0B"/>
    <w:rsid w:val="00422A5B"/>
    <w:rsid w:val="00422AAD"/>
    <w:rsid w:val="00422AD1"/>
    <w:rsid w:val="00422B07"/>
    <w:rsid w:val="00422B0F"/>
    <w:rsid w:val="00422B96"/>
    <w:rsid w:val="00422C08"/>
    <w:rsid w:val="00422C67"/>
    <w:rsid w:val="00422C9A"/>
    <w:rsid w:val="00422CCF"/>
    <w:rsid w:val="00422D28"/>
    <w:rsid w:val="00422D82"/>
    <w:rsid w:val="00422D95"/>
    <w:rsid w:val="00422DE2"/>
    <w:rsid w:val="00422E19"/>
    <w:rsid w:val="00422E1B"/>
    <w:rsid w:val="00422E20"/>
    <w:rsid w:val="00422E7F"/>
    <w:rsid w:val="00422E87"/>
    <w:rsid w:val="00422EA5"/>
    <w:rsid w:val="00422F54"/>
    <w:rsid w:val="00422F60"/>
    <w:rsid w:val="00422F81"/>
    <w:rsid w:val="00422FA2"/>
    <w:rsid w:val="00422FB6"/>
    <w:rsid w:val="00422FCB"/>
    <w:rsid w:val="00422FD2"/>
    <w:rsid w:val="00422FDA"/>
    <w:rsid w:val="0042304B"/>
    <w:rsid w:val="00423071"/>
    <w:rsid w:val="00423083"/>
    <w:rsid w:val="004230ED"/>
    <w:rsid w:val="004231B4"/>
    <w:rsid w:val="004231C7"/>
    <w:rsid w:val="00423228"/>
    <w:rsid w:val="0042328E"/>
    <w:rsid w:val="00423321"/>
    <w:rsid w:val="0042340D"/>
    <w:rsid w:val="00423461"/>
    <w:rsid w:val="00423486"/>
    <w:rsid w:val="004234AB"/>
    <w:rsid w:val="004234FF"/>
    <w:rsid w:val="00423508"/>
    <w:rsid w:val="0042352D"/>
    <w:rsid w:val="0042356A"/>
    <w:rsid w:val="00423593"/>
    <w:rsid w:val="00423616"/>
    <w:rsid w:val="0042368A"/>
    <w:rsid w:val="004236E6"/>
    <w:rsid w:val="0042373C"/>
    <w:rsid w:val="00423751"/>
    <w:rsid w:val="00423792"/>
    <w:rsid w:val="00423798"/>
    <w:rsid w:val="004237C2"/>
    <w:rsid w:val="00423816"/>
    <w:rsid w:val="0042383C"/>
    <w:rsid w:val="00423876"/>
    <w:rsid w:val="0042388F"/>
    <w:rsid w:val="00423927"/>
    <w:rsid w:val="0042394B"/>
    <w:rsid w:val="00423A55"/>
    <w:rsid w:val="00423A64"/>
    <w:rsid w:val="00423AA6"/>
    <w:rsid w:val="00423AE1"/>
    <w:rsid w:val="00423B72"/>
    <w:rsid w:val="00423B76"/>
    <w:rsid w:val="00423C6D"/>
    <w:rsid w:val="00423CDA"/>
    <w:rsid w:val="00423D27"/>
    <w:rsid w:val="00423D2C"/>
    <w:rsid w:val="00423D7D"/>
    <w:rsid w:val="00423D89"/>
    <w:rsid w:val="00423E23"/>
    <w:rsid w:val="00423E2A"/>
    <w:rsid w:val="00423E7C"/>
    <w:rsid w:val="00423ECD"/>
    <w:rsid w:val="00423F85"/>
    <w:rsid w:val="00423FD5"/>
    <w:rsid w:val="00424013"/>
    <w:rsid w:val="00424081"/>
    <w:rsid w:val="00424096"/>
    <w:rsid w:val="004240FA"/>
    <w:rsid w:val="0042416A"/>
    <w:rsid w:val="0042416B"/>
    <w:rsid w:val="00424190"/>
    <w:rsid w:val="004241E4"/>
    <w:rsid w:val="004241F2"/>
    <w:rsid w:val="0042428B"/>
    <w:rsid w:val="00424291"/>
    <w:rsid w:val="004242DD"/>
    <w:rsid w:val="00424356"/>
    <w:rsid w:val="00424397"/>
    <w:rsid w:val="00424456"/>
    <w:rsid w:val="0042446D"/>
    <w:rsid w:val="00424473"/>
    <w:rsid w:val="004244BD"/>
    <w:rsid w:val="00424509"/>
    <w:rsid w:val="0042453C"/>
    <w:rsid w:val="0042457B"/>
    <w:rsid w:val="0042464C"/>
    <w:rsid w:val="00424719"/>
    <w:rsid w:val="00424730"/>
    <w:rsid w:val="00424736"/>
    <w:rsid w:val="0042476E"/>
    <w:rsid w:val="004247AC"/>
    <w:rsid w:val="004247B7"/>
    <w:rsid w:val="004247BA"/>
    <w:rsid w:val="004247DD"/>
    <w:rsid w:val="00424868"/>
    <w:rsid w:val="004248AE"/>
    <w:rsid w:val="004248F4"/>
    <w:rsid w:val="00424943"/>
    <w:rsid w:val="0042494D"/>
    <w:rsid w:val="0042499F"/>
    <w:rsid w:val="004249A1"/>
    <w:rsid w:val="004249DD"/>
    <w:rsid w:val="004249EE"/>
    <w:rsid w:val="00424A7C"/>
    <w:rsid w:val="00424B15"/>
    <w:rsid w:val="00424C97"/>
    <w:rsid w:val="00424CA3"/>
    <w:rsid w:val="00424D09"/>
    <w:rsid w:val="00424D2F"/>
    <w:rsid w:val="00424D33"/>
    <w:rsid w:val="00424D43"/>
    <w:rsid w:val="00424E90"/>
    <w:rsid w:val="00424E94"/>
    <w:rsid w:val="00424F04"/>
    <w:rsid w:val="00424F66"/>
    <w:rsid w:val="00425007"/>
    <w:rsid w:val="00425090"/>
    <w:rsid w:val="004250B5"/>
    <w:rsid w:val="00425185"/>
    <w:rsid w:val="0042518A"/>
    <w:rsid w:val="0042518F"/>
    <w:rsid w:val="004251BF"/>
    <w:rsid w:val="004251C0"/>
    <w:rsid w:val="004251CB"/>
    <w:rsid w:val="004251F4"/>
    <w:rsid w:val="00425227"/>
    <w:rsid w:val="0042522A"/>
    <w:rsid w:val="00425298"/>
    <w:rsid w:val="004252CE"/>
    <w:rsid w:val="00425303"/>
    <w:rsid w:val="00425487"/>
    <w:rsid w:val="004254CE"/>
    <w:rsid w:val="004254DC"/>
    <w:rsid w:val="00425516"/>
    <w:rsid w:val="00425597"/>
    <w:rsid w:val="004255C9"/>
    <w:rsid w:val="00425613"/>
    <w:rsid w:val="00425640"/>
    <w:rsid w:val="00425653"/>
    <w:rsid w:val="0042567C"/>
    <w:rsid w:val="00425734"/>
    <w:rsid w:val="004257F5"/>
    <w:rsid w:val="0042585C"/>
    <w:rsid w:val="00425926"/>
    <w:rsid w:val="00425983"/>
    <w:rsid w:val="00425A80"/>
    <w:rsid w:val="00425AD4"/>
    <w:rsid w:val="00425ADF"/>
    <w:rsid w:val="00425B4B"/>
    <w:rsid w:val="00425BA5"/>
    <w:rsid w:val="00425BCE"/>
    <w:rsid w:val="00425CFC"/>
    <w:rsid w:val="00425D30"/>
    <w:rsid w:val="00425D68"/>
    <w:rsid w:val="00425D90"/>
    <w:rsid w:val="00425DD9"/>
    <w:rsid w:val="00425E0F"/>
    <w:rsid w:val="00425E2B"/>
    <w:rsid w:val="00425EDE"/>
    <w:rsid w:val="00425F27"/>
    <w:rsid w:val="00425FCC"/>
    <w:rsid w:val="00426023"/>
    <w:rsid w:val="0042602A"/>
    <w:rsid w:val="00426043"/>
    <w:rsid w:val="004260BF"/>
    <w:rsid w:val="004260C5"/>
    <w:rsid w:val="004260C6"/>
    <w:rsid w:val="004260DA"/>
    <w:rsid w:val="004260F1"/>
    <w:rsid w:val="00426194"/>
    <w:rsid w:val="0042619C"/>
    <w:rsid w:val="004261D4"/>
    <w:rsid w:val="004261F2"/>
    <w:rsid w:val="004261F3"/>
    <w:rsid w:val="0042625A"/>
    <w:rsid w:val="00426264"/>
    <w:rsid w:val="00426270"/>
    <w:rsid w:val="00426320"/>
    <w:rsid w:val="0042632C"/>
    <w:rsid w:val="00426369"/>
    <w:rsid w:val="004263DD"/>
    <w:rsid w:val="004264F9"/>
    <w:rsid w:val="0042653A"/>
    <w:rsid w:val="00426545"/>
    <w:rsid w:val="00426546"/>
    <w:rsid w:val="0042654D"/>
    <w:rsid w:val="00426560"/>
    <w:rsid w:val="004265BE"/>
    <w:rsid w:val="004265F8"/>
    <w:rsid w:val="004265FC"/>
    <w:rsid w:val="00426653"/>
    <w:rsid w:val="00426676"/>
    <w:rsid w:val="00426729"/>
    <w:rsid w:val="00426736"/>
    <w:rsid w:val="00426754"/>
    <w:rsid w:val="0042675F"/>
    <w:rsid w:val="00426780"/>
    <w:rsid w:val="00426796"/>
    <w:rsid w:val="004267DD"/>
    <w:rsid w:val="0042681C"/>
    <w:rsid w:val="00426850"/>
    <w:rsid w:val="0042686D"/>
    <w:rsid w:val="004268CF"/>
    <w:rsid w:val="004268D1"/>
    <w:rsid w:val="004268ED"/>
    <w:rsid w:val="004268F0"/>
    <w:rsid w:val="0042690A"/>
    <w:rsid w:val="00426950"/>
    <w:rsid w:val="00426A39"/>
    <w:rsid w:val="00426A65"/>
    <w:rsid w:val="00426A77"/>
    <w:rsid w:val="00426A85"/>
    <w:rsid w:val="00426A91"/>
    <w:rsid w:val="00426AAB"/>
    <w:rsid w:val="00426AF8"/>
    <w:rsid w:val="00426B18"/>
    <w:rsid w:val="00426B61"/>
    <w:rsid w:val="00426BA0"/>
    <w:rsid w:val="00426BAA"/>
    <w:rsid w:val="00426BF0"/>
    <w:rsid w:val="00426BF3"/>
    <w:rsid w:val="00426C1D"/>
    <w:rsid w:val="00426C71"/>
    <w:rsid w:val="00426CCE"/>
    <w:rsid w:val="00426D07"/>
    <w:rsid w:val="00426D37"/>
    <w:rsid w:val="00426D39"/>
    <w:rsid w:val="00426D74"/>
    <w:rsid w:val="00426DFB"/>
    <w:rsid w:val="00426E44"/>
    <w:rsid w:val="00426E84"/>
    <w:rsid w:val="00426E92"/>
    <w:rsid w:val="00426EE8"/>
    <w:rsid w:val="00426F16"/>
    <w:rsid w:val="00426F60"/>
    <w:rsid w:val="00426F67"/>
    <w:rsid w:val="00426FC8"/>
    <w:rsid w:val="00426FE7"/>
    <w:rsid w:val="00427037"/>
    <w:rsid w:val="0042705C"/>
    <w:rsid w:val="004270EF"/>
    <w:rsid w:val="0042710E"/>
    <w:rsid w:val="00427205"/>
    <w:rsid w:val="0042723F"/>
    <w:rsid w:val="00427252"/>
    <w:rsid w:val="00427267"/>
    <w:rsid w:val="00427280"/>
    <w:rsid w:val="00427346"/>
    <w:rsid w:val="0042735E"/>
    <w:rsid w:val="004273DB"/>
    <w:rsid w:val="004273FD"/>
    <w:rsid w:val="00427493"/>
    <w:rsid w:val="004274E6"/>
    <w:rsid w:val="00427506"/>
    <w:rsid w:val="0042754B"/>
    <w:rsid w:val="00427582"/>
    <w:rsid w:val="004275DC"/>
    <w:rsid w:val="004275E7"/>
    <w:rsid w:val="00427630"/>
    <w:rsid w:val="00427688"/>
    <w:rsid w:val="0042768F"/>
    <w:rsid w:val="004276A0"/>
    <w:rsid w:val="004276B1"/>
    <w:rsid w:val="004276D5"/>
    <w:rsid w:val="004276FD"/>
    <w:rsid w:val="00427715"/>
    <w:rsid w:val="00427717"/>
    <w:rsid w:val="0042771C"/>
    <w:rsid w:val="00427744"/>
    <w:rsid w:val="00427765"/>
    <w:rsid w:val="00427779"/>
    <w:rsid w:val="004277C2"/>
    <w:rsid w:val="004277C6"/>
    <w:rsid w:val="0042781C"/>
    <w:rsid w:val="00427912"/>
    <w:rsid w:val="004279A7"/>
    <w:rsid w:val="004279B0"/>
    <w:rsid w:val="004279D5"/>
    <w:rsid w:val="00427A4C"/>
    <w:rsid w:val="00427A7C"/>
    <w:rsid w:val="00427A80"/>
    <w:rsid w:val="00427AED"/>
    <w:rsid w:val="00427B17"/>
    <w:rsid w:val="00427B7B"/>
    <w:rsid w:val="00427C84"/>
    <w:rsid w:val="00427C8F"/>
    <w:rsid w:val="00427D13"/>
    <w:rsid w:val="00427D32"/>
    <w:rsid w:val="00427DBF"/>
    <w:rsid w:val="00427DD3"/>
    <w:rsid w:val="00427E45"/>
    <w:rsid w:val="00427E5E"/>
    <w:rsid w:val="00427EF1"/>
    <w:rsid w:val="00427F01"/>
    <w:rsid w:val="00427F0D"/>
    <w:rsid w:val="00427F70"/>
    <w:rsid w:val="00427F73"/>
    <w:rsid w:val="00427F78"/>
    <w:rsid w:val="00427FE6"/>
    <w:rsid w:val="0043006F"/>
    <w:rsid w:val="00430114"/>
    <w:rsid w:val="0043013A"/>
    <w:rsid w:val="00430172"/>
    <w:rsid w:val="00430183"/>
    <w:rsid w:val="00430223"/>
    <w:rsid w:val="00430251"/>
    <w:rsid w:val="00430285"/>
    <w:rsid w:val="0043030E"/>
    <w:rsid w:val="00430332"/>
    <w:rsid w:val="0043034B"/>
    <w:rsid w:val="00430364"/>
    <w:rsid w:val="004303D7"/>
    <w:rsid w:val="004303E7"/>
    <w:rsid w:val="004304C8"/>
    <w:rsid w:val="0043054B"/>
    <w:rsid w:val="00430578"/>
    <w:rsid w:val="004305C3"/>
    <w:rsid w:val="004306E7"/>
    <w:rsid w:val="004306EC"/>
    <w:rsid w:val="004306F8"/>
    <w:rsid w:val="00430725"/>
    <w:rsid w:val="00430788"/>
    <w:rsid w:val="004307F0"/>
    <w:rsid w:val="0043081F"/>
    <w:rsid w:val="00430838"/>
    <w:rsid w:val="0043087E"/>
    <w:rsid w:val="0043088D"/>
    <w:rsid w:val="0043090B"/>
    <w:rsid w:val="00430924"/>
    <w:rsid w:val="00430A1E"/>
    <w:rsid w:val="00430A7A"/>
    <w:rsid w:val="00430ADD"/>
    <w:rsid w:val="00430B06"/>
    <w:rsid w:val="00430B70"/>
    <w:rsid w:val="00430BB4"/>
    <w:rsid w:val="00430C4B"/>
    <w:rsid w:val="00430C62"/>
    <w:rsid w:val="00430CA9"/>
    <w:rsid w:val="00430CE7"/>
    <w:rsid w:val="00430D52"/>
    <w:rsid w:val="00430D72"/>
    <w:rsid w:val="00430E99"/>
    <w:rsid w:val="00430EBA"/>
    <w:rsid w:val="00430EFB"/>
    <w:rsid w:val="00430F27"/>
    <w:rsid w:val="00430F9A"/>
    <w:rsid w:val="00430F9D"/>
    <w:rsid w:val="0043100B"/>
    <w:rsid w:val="0043102F"/>
    <w:rsid w:val="00431081"/>
    <w:rsid w:val="004310D6"/>
    <w:rsid w:val="0043110B"/>
    <w:rsid w:val="0043115E"/>
    <w:rsid w:val="00431168"/>
    <w:rsid w:val="00431189"/>
    <w:rsid w:val="004311A6"/>
    <w:rsid w:val="004311AE"/>
    <w:rsid w:val="004311CB"/>
    <w:rsid w:val="004311D3"/>
    <w:rsid w:val="00431218"/>
    <w:rsid w:val="00431233"/>
    <w:rsid w:val="0043123F"/>
    <w:rsid w:val="00431256"/>
    <w:rsid w:val="004312C2"/>
    <w:rsid w:val="00431318"/>
    <w:rsid w:val="0043132C"/>
    <w:rsid w:val="0043135F"/>
    <w:rsid w:val="00431379"/>
    <w:rsid w:val="004313A6"/>
    <w:rsid w:val="004313AF"/>
    <w:rsid w:val="004313EF"/>
    <w:rsid w:val="00431404"/>
    <w:rsid w:val="0043144F"/>
    <w:rsid w:val="0043146E"/>
    <w:rsid w:val="00431477"/>
    <w:rsid w:val="004314A6"/>
    <w:rsid w:val="004315B8"/>
    <w:rsid w:val="00431636"/>
    <w:rsid w:val="00431679"/>
    <w:rsid w:val="00431682"/>
    <w:rsid w:val="0043175B"/>
    <w:rsid w:val="004317C4"/>
    <w:rsid w:val="00431801"/>
    <w:rsid w:val="00431852"/>
    <w:rsid w:val="004318AF"/>
    <w:rsid w:val="004318C2"/>
    <w:rsid w:val="004318E7"/>
    <w:rsid w:val="0043190C"/>
    <w:rsid w:val="0043194A"/>
    <w:rsid w:val="00431955"/>
    <w:rsid w:val="004319AA"/>
    <w:rsid w:val="004319F7"/>
    <w:rsid w:val="00431A11"/>
    <w:rsid w:val="00431A16"/>
    <w:rsid w:val="00431A8C"/>
    <w:rsid w:val="00431A97"/>
    <w:rsid w:val="00431ACE"/>
    <w:rsid w:val="00431AF0"/>
    <w:rsid w:val="00431B0F"/>
    <w:rsid w:val="00431B42"/>
    <w:rsid w:val="00431C34"/>
    <w:rsid w:val="00431C3C"/>
    <w:rsid w:val="00431C4D"/>
    <w:rsid w:val="00431C81"/>
    <w:rsid w:val="00431CE2"/>
    <w:rsid w:val="00431CEB"/>
    <w:rsid w:val="00431D29"/>
    <w:rsid w:val="00431D46"/>
    <w:rsid w:val="00431D85"/>
    <w:rsid w:val="00431D88"/>
    <w:rsid w:val="00431DA6"/>
    <w:rsid w:val="00431DDA"/>
    <w:rsid w:val="00431E2D"/>
    <w:rsid w:val="00431E58"/>
    <w:rsid w:val="00431E5E"/>
    <w:rsid w:val="00431E66"/>
    <w:rsid w:val="00431E7B"/>
    <w:rsid w:val="00431EAD"/>
    <w:rsid w:val="00431ED5"/>
    <w:rsid w:val="00431EE2"/>
    <w:rsid w:val="00431F5E"/>
    <w:rsid w:val="00431F8F"/>
    <w:rsid w:val="0043201D"/>
    <w:rsid w:val="0043208E"/>
    <w:rsid w:val="0043209B"/>
    <w:rsid w:val="004320CC"/>
    <w:rsid w:val="004320D0"/>
    <w:rsid w:val="004321AA"/>
    <w:rsid w:val="00432225"/>
    <w:rsid w:val="00432239"/>
    <w:rsid w:val="00432242"/>
    <w:rsid w:val="00432272"/>
    <w:rsid w:val="004322A9"/>
    <w:rsid w:val="004322FC"/>
    <w:rsid w:val="0043232D"/>
    <w:rsid w:val="00432390"/>
    <w:rsid w:val="004323AD"/>
    <w:rsid w:val="004323AF"/>
    <w:rsid w:val="00432426"/>
    <w:rsid w:val="00432488"/>
    <w:rsid w:val="004324BE"/>
    <w:rsid w:val="004324EB"/>
    <w:rsid w:val="00432522"/>
    <w:rsid w:val="004325DF"/>
    <w:rsid w:val="0043267E"/>
    <w:rsid w:val="004326A5"/>
    <w:rsid w:val="004326AA"/>
    <w:rsid w:val="004326FE"/>
    <w:rsid w:val="0043279F"/>
    <w:rsid w:val="0043280B"/>
    <w:rsid w:val="00432834"/>
    <w:rsid w:val="00432913"/>
    <w:rsid w:val="00432950"/>
    <w:rsid w:val="00432995"/>
    <w:rsid w:val="004329C2"/>
    <w:rsid w:val="004329F5"/>
    <w:rsid w:val="00432A48"/>
    <w:rsid w:val="00432A70"/>
    <w:rsid w:val="00432B38"/>
    <w:rsid w:val="00432B4C"/>
    <w:rsid w:val="00432C75"/>
    <w:rsid w:val="00432C95"/>
    <w:rsid w:val="00432C9F"/>
    <w:rsid w:val="00432CA4"/>
    <w:rsid w:val="00432CF3"/>
    <w:rsid w:val="00432DAA"/>
    <w:rsid w:val="00432DD0"/>
    <w:rsid w:val="00432E0A"/>
    <w:rsid w:val="00432E5E"/>
    <w:rsid w:val="00432E69"/>
    <w:rsid w:val="00432E6D"/>
    <w:rsid w:val="00432ED7"/>
    <w:rsid w:val="00432F4C"/>
    <w:rsid w:val="00432F62"/>
    <w:rsid w:val="00432FE4"/>
    <w:rsid w:val="00432FFD"/>
    <w:rsid w:val="0043311B"/>
    <w:rsid w:val="004331D9"/>
    <w:rsid w:val="004331ED"/>
    <w:rsid w:val="00433236"/>
    <w:rsid w:val="00433308"/>
    <w:rsid w:val="00433359"/>
    <w:rsid w:val="00433395"/>
    <w:rsid w:val="00433495"/>
    <w:rsid w:val="004334E5"/>
    <w:rsid w:val="0043351A"/>
    <w:rsid w:val="0043351E"/>
    <w:rsid w:val="00433527"/>
    <w:rsid w:val="004335E3"/>
    <w:rsid w:val="004335E5"/>
    <w:rsid w:val="00433619"/>
    <w:rsid w:val="0043363C"/>
    <w:rsid w:val="004336A3"/>
    <w:rsid w:val="004337D3"/>
    <w:rsid w:val="00433844"/>
    <w:rsid w:val="0043384D"/>
    <w:rsid w:val="00433A87"/>
    <w:rsid w:val="00433AA4"/>
    <w:rsid w:val="00433B51"/>
    <w:rsid w:val="00433C42"/>
    <w:rsid w:val="00433C77"/>
    <w:rsid w:val="00433C81"/>
    <w:rsid w:val="00433C91"/>
    <w:rsid w:val="00433C9A"/>
    <w:rsid w:val="00433CAF"/>
    <w:rsid w:val="00433CDE"/>
    <w:rsid w:val="00433CDF"/>
    <w:rsid w:val="00433CF4"/>
    <w:rsid w:val="00433D32"/>
    <w:rsid w:val="00433D7A"/>
    <w:rsid w:val="00433D8C"/>
    <w:rsid w:val="00433E09"/>
    <w:rsid w:val="00433E37"/>
    <w:rsid w:val="00433E46"/>
    <w:rsid w:val="00433E70"/>
    <w:rsid w:val="00433EB0"/>
    <w:rsid w:val="00433EE8"/>
    <w:rsid w:val="00433F94"/>
    <w:rsid w:val="00433FD2"/>
    <w:rsid w:val="00434052"/>
    <w:rsid w:val="00434064"/>
    <w:rsid w:val="00434213"/>
    <w:rsid w:val="004342CF"/>
    <w:rsid w:val="004342E2"/>
    <w:rsid w:val="00434336"/>
    <w:rsid w:val="00434346"/>
    <w:rsid w:val="0043436B"/>
    <w:rsid w:val="00434371"/>
    <w:rsid w:val="00434397"/>
    <w:rsid w:val="004343BA"/>
    <w:rsid w:val="00434410"/>
    <w:rsid w:val="00434529"/>
    <w:rsid w:val="00434530"/>
    <w:rsid w:val="0043453A"/>
    <w:rsid w:val="00434559"/>
    <w:rsid w:val="004345E9"/>
    <w:rsid w:val="00434668"/>
    <w:rsid w:val="0043468A"/>
    <w:rsid w:val="004346C1"/>
    <w:rsid w:val="00434740"/>
    <w:rsid w:val="00434792"/>
    <w:rsid w:val="0043479A"/>
    <w:rsid w:val="004347E2"/>
    <w:rsid w:val="00434857"/>
    <w:rsid w:val="00434865"/>
    <w:rsid w:val="0043486B"/>
    <w:rsid w:val="004348B6"/>
    <w:rsid w:val="004348EA"/>
    <w:rsid w:val="0043491F"/>
    <w:rsid w:val="00434952"/>
    <w:rsid w:val="00434A0B"/>
    <w:rsid w:val="00434A3B"/>
    <w:rsid w:val="00434AF2"/>
    <w:rsid w:val="00434B05"/>
    <w:rsid w:val="00434B39"/>
    <w:rsid w:val="00434B63"/>
    <w:rsid w:val="00434BC4"/>
    <w:rsid w:val="00434BD5"/>
    <w:rsid w:val="00434C41"/>
    <w:rsid w:val="00434CE5"/>
    <w:rsid w:val="00434CFA"/>
    <w:rsid w:val="00434D2C"/>
    <w:rsid w:val="00434D51"/>
    <w:rsid w:val="00434D64"/>
    <w:rsid w:val="00434DC6"/>
    <w:rsid w:val="00434DF9"/>
    <w:rsid w:val="00434E16"/>
    <w:rsid w:val="00434E19"/>
    <w:rsid w:val="00434E55"/>
    <w:rsid w:val="00434EDE"/>
    <w:rsid w:val="00434F14"/>
    <w:rsid w:val="00434F1A"/>
    <w:rsid w:val="00434F83"/>
    <w:rsid w:val="00434F9B"/>
    <w:rsid w:val="00434FA2"/>
    <w:rsid w:val="00434FC8"/>
    <w:rsid w:val="00434FE0"/>
    <w:rsid w:val="00435092"/>
    <w:rsid w:val="0043509B"/>
    <w:rsid w:val="004351FA"/>
    <w:rsid w:val="0043521F"/>
    <w:rsid w:val="004352ED"/>
    <w:rsid w:val="004353F0"/>
    <w:rsid w:val="0043540A"/>
    <w:rsid w:val="00435458"/>
    <w:rsid w:val="00435540"/>
    <w:rsid w:val="00435565"/>
    <w:rsid w:val="00435585"/>
    <w:rsid w:val="0043565B"/>
    <w:rsid w:val="0043568C"/>
    <w:rsid w:val="004357A9"/>
    <w:rsid w:val="004357E8"/>
    <w:rsid w:val="00435849"/>
    <w:rsid w:val="00435897"/>
    <w:rsid w:val="004358AF"/>
    <w:rsid w:val="004358E9"/>
    <w:rsid w:val="00435928"/>
    <w:rsid w:val="00435963"/>
    <w:rsid w:val="0043599F"/>
    <w:rsid w:val="004359AE"/>
    <w:rsid w:val="00435A48"/>
    <w:rsid w:val="00435A58"/>
    <w:rsid w:val="00435A74"/>
    <w:rsid w:val="00435A84"/>
    <w:rsid w:val="00435AB0"/>
    <w:rsid w:val="00435ABB"/>
    <w:rsid w:val="00435B50"/>
    <w:rsid w:val="00435B90"/>
    <w:rsid w:val="00435BA7"/>
    <w:rsid w:val="00435BB5"/>
    <w:rsid w:val="00435C10"/>
    <w:rsid w:val="00435C53"/>
    <w:rsid w:val="00435C59"/>
    <w:rsid w:val="00435CB1"/>
    <w:rsid w:val="00435CEE"/>
    <w:rsid w:val="00435D1D"/>
    <w:rsid w:val="00435DBD"/>
    <w:rsid w:val="00435DCB"/>
    <w:rsid w:val="00435DFE"/>
    <w:rsid w:val="00435E56"/>
    <w:rsid w:val="00435ECE"/>
    <w:rsid w:val="00435ED1"/>
    <w:rsid w:val="00435F24"/>
    <w:rsid w:val="00435F59"/>
    <w:rsid w:val="00435F5A"/>
    <w:rsid w:val="00435FB9"/>
    <w:rsid w:val="00435FEB"/>
    <w:rsid w:val="00436090"/>
    <w:rsid w:val="004360BA"/>
    <w:rsid w:val="004360E7"/>
    <w:rsid w:val="00436129"/>
    <w:rsid w:val="00436174"/>
    <w:rsid w:val="004361BB"/>
    <w:rsid w:val="00436291"/>
    <w:rsid w:val="004362E7"/>
    <w:rsid w:val="004362FC"/>
    <w:rsid w:val="00436328"/>
    <w:rsid w:val="00436343"/>
    <w:rsid w:val="00436370"/>
    <w:rsid w:val="00436399"/>
    <w:rsid w:val="004363AD"/>
    <w:rsid w:val="00436451"/>
    <w:rsid w:val="0043650D"/>
    <w:rsid w:val="00436550"/>
    <w:rsid w:val="004365B9"/>
    <w:rsid w:val="004365D5"/>
    <w:rsid w:val="0043663C"/>
    <w:rsid w:val="0043664B"/>
    <w:rsid w:val="0043676D"/>
    <w:rsid w:val="004367A4"/>
    <w:rsid w:val="00436804"/>
    <w:rsid w:val="0043684F"/>
    <w:rsid w:val="00436865"/>
    <w:rsid w:val="00436A54"/>
    <w:rsid w:val="00436A9D"/>
    <w:rsid w:val="00436AFF"/>
    <w:rsid w:val="00436BE7"/>
    <w:rsid w:val="00436C1C"/>
    <w:rsid w:val="00436C9D"/>
    <w:rsid w:val="00436CD0"/>
    <w:rsid w:val="00436CF9"/>
    <w:rsid w:val="00436CFF"/>
    <w:rsid w:val="00436D24"/>
    <w:rsid w:val="00436D42"/>
    <w:rsid w:val="00436D50"/>
    <w:rsid w:val="00436D5C"/>
    <w:rsid w:val="00436DD9"/>
    <w:rsid w:val="00436DDC"/>
    <w:rsid w:val="00436DDF"/>
    <w:rsid w:val="00436E1B"/>
    <w:rsid w:val="00436E61"/>
    <w:rsid w:val="00436EC5"/>
    <w:rsid w:val="00436ED1"/>
    <w:rsid w:val="00436EE1"/>
    <w:rsid w:val="00436EF4"/>
    <w:rsid w:val="00436F37"/>
    <w:rsid w:val="00436F82"/>
    <w:rsid w:val="00436FC5"/>
    <w:rsid w:val="0043704D"/>
    <w:rsid w:val="0043710E"/>
    <w:rsid w:val="0043712F"/>
    <w:rsid w:val="00437156"/>
    <w:rsid w:val="00437194"/>
    <w:rsid w:val="004371F0"/>
    <w:rsid w:val="00437202"/>
    <w:rsid w:val="00437251"/>
    <w:rsid w:val="0043727F"/>
    <w:rsid w:val="00437287"/>
    <w:rsid w:val="004372C5"/>
    <w:rsid w:val="00437313"/>
    <w:rsid w:val="00437353"/>
    <w:rsid w:val="00437388"/>
    <w:rsid w:val="0043739E"/>
    <w:rsid w:val="004373B3"/>
    <w:rsid w:val="004373B4"/>
    <w:rsid w:val="004373BD"/>
    <w:rsid w:val="004373D7"/>
    <w:rsid w:val="00437439"/>
    <w:rsid w:val="004374DD"/>
    <w:rsid w:val="00437519"/>
    <w:rsid w:val="00437569"/>
    <w:rsid w:val="004375AA"/>
    <w:rsid w:val="004375AD"/>
    <w:rsid w:val="004375BF"/>
    <w:rsid w:val="004375DF"/>
    <w:rsid w:val="004375F9"/>
    <w:rsid w:val="00437671"/>
    <w:rsid w:val="00437672"/>
    <w:rsid w:val="00437689"/>
    <w:rsid w:val="00437755"/>
    <w:rsid w:val="00437763"/>
    <w:rsid w:val="00437772"/>
    <w:rsid w:val="004377C8"/>
    <w:rsid w:val="004377DA"/>
    <w:rsid w:val="0043782A"/>
    <w:rsid w:val="00437864"/>
    <w:rsid w:val="0043786B"/>
    <w:rsid w:val="00437872"/>
    <w:rsid w:val="004378EA"/>
    <w:rsid w:val="00437923"/>
    <w:rsid w:val="0043798E"/>
    <w:rsid w:val="004379AE"/>
    <w:rsid w:val="004379EB"/>
    <w:rsid w:val="00437A07"/>
    <w:rsid w:val="00437A6C"/>
    <w:rsid w:val="00437A93"/>
    <w:rsid w:val="00437B0C"/>
    <w:rsid w:val="00437B84"/>
    <w:rsid w:val="00437CA9"/>
    <w:rsid w:val="00437D3C"/>
    <w:rsid w:val="00437D94"/>
    <w:rsid w:val="00437DFD"/>
    <w:rsid w:val="00437EA4"/>
    <w:rsid w:val="00437F39"/>
    <w:rsid w:val="00437F4F"/>
    <w:rsid w:val="00437FAC"/>
    <w:rsid w:val="00440061"/>
    <w:rsid w:val="0044007B"/>
    <w:rsid w:val="00440096"/>
    <w:rsid w:val="004400C2"/>
    <w:rsid w:val="00440102"/>
    <w:rsid w:val="0044014E"/>
    <w:rsid w:val="00440171"/>
    <w:rsid w:val="00440248"/>
    <w:rsid w:val="0044024A"/>
    <w:rsid w:val="00440265"/>
    <w:rsid w:val="004402CB"/>
    <w:rsid w:val="004402CD"/>
    <w:rsid w:val="004402D9"/>
    <w:rsid w:val="004402DB"/>
    <w:rsid w:val="0044036E"/>
    <w:rsid w:val="004403B9"/>
    <w:rsid w:val="004403D3"/>
    <w:rsid w:val="00440435"/>
    <w:rsid w:val="004404D3"/>
    <w:rsid w:val="0044054A"/>
    <w:rsid w:val="00440551"/>
    <w:rsid w:val="00440563"/>
    <w:rsid w:val="004405FF"/>
    <w:rsid w:val="0044061E"/>
    <w:rsid w:val="00440620"/>
    <w:rsid w:val="00440636"/>
    <w:rsid w:val="00440661"/>
    <w:rsid w:val="00440687"/>
    <w:rsid w:val="004406BE"/>
    <w:rsid w:val="0044072F"/>
    <w:rsid w:val="00440766"/>
    <w:rsid w:val="004408B7"/>
    <w:rsid w:val="0044092E"/>
    <w:rsid w:val="0044095B"/>
    <w:rsid w:val="004409AD"/>
    <w:rsid w:val="00440A34"/>
    <w:rsid w:val="00440A51"/>
    <w:rsid w:val="00440B47"/>
    <w:rsid w:val="00440BAE"/>
    <w:rsid w:val="00440BCA"/>
    <w:rsid w:val="00440BF8"/>
    <w:rsid w:val="00440BFD"/>
    <w:rsid w:val="00440C21"/>
    <w:rsid w:val="00440C31"/>
    <w:rsid w:val="00440C33"/>
    <w:rsid w:val="00440C9E"/>
    <w:rsid w:val="00440CD6"/>
    <w:rsid w:val="00440D4C"/>
    <w:rsid w:val="00440D72"/>
    <w:rsid w:val="00440D79"/>
    <w:rsid w:val="00440DEA"/>
    <w:rsid w:val="00440E0A"/>
    <w:rsid w:val="00440E4F"/>
    <w:rsid w:val="00440E6C"/>
    <w:rsid w:val="00440EA9"/>
    <w:rsid w:val="00440F25"/>
    <w:rsid w:val="00440F44"/>
    <w:rsid w:val="00440F46"/>
    <w:rsid w:val="00440F61"/>
    <w:rsid w:val="00440FF7"/>
    <w:rsid w:val="00441029"/>
    <w:rsid w:val="00441049"/>
    <w:rsid w:val="0044106A"/>
    <w:rsid w:val="004410A0"/>
    <w:rsid w:val="004411D9"/>
    <w:rsid w:val="004411F9"/>
    <w:rsid w:val="00441227"/>
    <w:rsid w:val="00441283"/>
    <w:rsid w:val="004412FE"/>
    <w:rsid w:val="004413CC"/>
    <w:rsid w:val="00441411"/>
    <w:rsid w:val="0044146B"/>
    <w:rsid w:val="004414AA"/>
    <w:rsid w:val="004414B5"/>
    <w:rsid w:val="004414E6"/>
    <w:rsid w:val="004414E9"/>
    <w:rsid w:val="00441508"/>
    <w:rsid w:val="00441556"/>
    <w:rsid w:val="0044157C"/>
    <w:rsid w:val="004415BB"/>
    <w:rsid w:val="0044164E"/>
    <w:rsid w:val="00441663"/>
    <w:rsid w:val="0044166D"/>
    <w:rsid w:val="004416A1"/>
    <w:rsid w:val="004416C7"/>
    <w:rsid w:val="0044175D"/>
    <w:rsid w:val="00441760"/>
    <w:rsid w:val="004417B8"/>
    <w:rsid w:val="004417E7"/>
    <w:rsid w:val="00441819"/>
    <w:rsid w:val="00441822"/>
    <w:rsid w:val="0044188E"/>
    <w:rsid w:val="00441892"/>
    <w:rsid w:val="004418BA"/>
    <w:rsid w:val="004418C3"/>
    <w:rsid w:val="004418C8"/>
    <w:rsid w:val="004418DB"/>
    <w:rsid w:val="00441920"/>
    <w:rsid w:val="00441928"/>
    <w:rsid w:val="0044192A"/>
    <w:rsid w:val="0044192B"/>
    <w:rsid w:val="00441991"/>
    <w:rsid w:val="004419AD"/>
    <w:rsid w:val="004419B6"/>
    <w:rsid w:val="00441A15"/>
    <w:rsid w:val="00441A1E"/>
    <w:rsid w:val="00441A2C"/>
    <w:rsid w:val="00441A32"/>
    <w:rsid w:val="00441A41"/>
    <w:rsid w:val="00441B24"/>
    <w:rsid w:val="00441BE1"/>
    <w:rsid w:val="00441C24"/>
    <w:rsid w:val="00441C35"/>
    <w:rsid w:val="00441CB1"/>
    <w:rsid w:val="00441CF2"/>
    <w:rsid w:val="00441D2C"/>
    <w:rsid w:val="00441D2E"/>
    <w:rsid w:val="00441DB5"/>
    <w:rsid w:val="00441DCB"/>
    <w:rsid w:val="00441DEA"/>
    <w:rsid w:val="00441DEB"/>
    <w:rsid w:val="00441DF2"/>
    <w:rsid w:val="00441DF4"/>
    <w:rsid w:val="00441DF9"/>
    <w:rsid w:val="00441E15"/>
    <w:rsid w:val="00441E1C"/>
    <w:rsid w:val="00441E64"/>
    <w:rsid w:val="00441E9F"/>
    <w:rsid w:val="00441FD9"/>
    <w:rsid w:val="00441FE3"/>
    <w:rsid w:val="00442011"/>
    <w:rsid w:val="00442017"/>
    <w:rsid w:val="00442035"/>
    <w:rsid w:val="0044205F"/>
    <w:rsid w:val="0044206F"/>
    <w:rsid w:val="00442100"/>
    <w:rsid w:val="0044211F"/>
    <w:rsid w:val="00442198"/>
    <w:rsid w:val="004421D6"/>
    <w:rsid w:val="004421ED"/>
    <w:rsid w:val="0044229A"/>
    <w:rsid w:val="004422ED"/>
    <w:rsid w:val="004422F9"/>
    <w:rsid w:val="00442383"/>
    <w:rsid w:val="004423A5"/>
    <w:rsid w:val="004423D2"/>
    <w:rsid w:val="00442412"/>
    <w:rsid w:val="00442418"/>
    <w:rsid w:val="0044243A"/>
    <w:rsid w:val="004424A7"/>
    <w:rsid w:val="004424DA"/>
    <w:rsid w:val="0044252E"/>
    <w:rsid w:val="004425D0"/>
    <w:rsid w:val="004425F2"/>
    <w:rsid w:val="00442691"/>
    <w:rsid w:val="00442696"/>
    <w:rsid w:val="004426C3"/>
    <w:rsid w:val="004426F0"/>
    <w:rsid w:val="00442706"/>
    <w:rsid w:val="00442732"/>
    <w:rsid w:val="00442757"/>
    <w:rsid w:val="00442768"/>
    <w:rsid w:val="0044277F"/>
    <w:rsid w:val="00442844"/>
    <w:rsid w:val="00442894"/>
    <w:rsid w:val="004428D1"/>
    <w:rsid w:val="004428E2"/>
    <w:rsid w:val="004428F6"/>
    <w:rsid w:val="004429D6"/>
    <w:rsid w:val="00442A20"/>
    <w:rsid w:val="00442A27"/>
    <w:rsid w:val="00442A6B"/>
    <w:rsid w:val="00442A6F"/>
    <w:rsid w:val="00442AA0"/>
    <w:rsid w:val="00442AA6"/>
    <w:rsid w:val="00442B07"/>
    <w:rsid w:val="00442B95"/>
    <w:rsid w:val="00442BA7"/>
    <w:rsid w:val="00442BE8"/>
    <w:rsid w:val="00442CDA"/>
    <w:rsid w:val="00442CEA"/>
    <w:rsid w:val="00442D03"/>
    <w:rsid w:val="00442DAB"/>
    <w:rsid w:val="00442DC0"/>
    <w:rsid w:val="00442DC7"/>
    <w:rsid w:val="00442DFE"/>
    <w:rsid w:val="00442E3A"/>
    <w:rsid w:val="00442E76"/>
    <w:rsid w:val="00442ED5"/>
    <w:rsid w:val="00442EE4"/>
    <w:rsid w:val="00442EE6"/>
    <w:rsid w:val="00443014"/>
    <w:rsid w:val="0044315A"/>
    <w:rsid w:val="004431C2"/>
    <w:rsid w:val="004431D6"/>
    <w:rsid w:val="004431EB"/>
    <w:rsid w:val="00443255"/>
    <w:rsid w:val="004432DB"/>
    <w:rsid w:val="00443323"/>
    <w:rsid w:val="0044334A"/>
    <w:rsid w:val="00443363"/>
    <w:rsid w:val="0044337A"/>
    <w:rsid w:val="0044337D"/>
    <w:rsid w:val="0044337F"/>
    <w:rsid w:val="00443396"/>
    <w:rsid w:val="004433AA"/>
    <w:rsid w:val="004433E8"/>
    <w:rsid w:val="00443444"/>
    <w:rsid w:val="004434B9"/>
    <w:rsid w:val="0044354B"/>
    <w:rsid w:val="0044357F"/>
    <w:rsid w:val="00443593"/>
    <w:rsid w:val="004435E2"/>
    <w:rsid w:val="004436A6"/>
    <w:rsid w:val="004436B8"/>
    <w:rsid w:val="00443710"/>
    <w:rsid w:val="0044371B"/>
    <w:rsid w:val="0044373B"/>
    <w:rsid w:val="0044374C"/>
    <w:rsid w:val="00443752"/>
    <w:rsid w:val="004437E8"/>
    <w:rsid w:val="004437FB"/>
    <w:rsid w:val="00443869"/>
    <w:rsid w:val="0044387D"/>
    <w:rsid w:val="004438AC"/>
    <w:rsid w:val="004438E4"/>
    <w:rsid w:val="00443993"/>
    <w:rsid w:val="00443AB1"/>
    <w:rsid w:val="00443AEC"/>
    <w:rsid w:val="00443B3F"/>
    <w:rsid w:val="00443B6E"/>
    <w:rsid w:val="00443BC6"/>
    <w:rsid w:val="00443BE0"/>
    <w:rsid w:val="00443C26"/>
    <w:rsid w:val="00443C44"/>
    <w:rsid w:val="00443C8B"/>
    <w:rsid w:val="00443CBF"/>
    <w:rsid w:val="00443CDC"/>
    <w:rsid w:val="00443D11"/>
    <w:rsid w:val="00443D5D"/>
    <w:rsid w:val="00443DA6"/>
    <w:rsid w:val="00443E49"/>
    <w:rsid w:val="00443E66"/>
    <w:rsid w:val="00443EBE"/>
    <w:rsid w:val="00443EC6"/>
    <w:rsid w:val="00443F01"/>
    <w:rsid w:val="00443F55"/>
    <w:rsid w:val="00443F72"/>
    <w:rsid w:val="00444014"/>
    <w:rsid w:val="00444045"/>
    <w:rsid w:val="0044412C"/>
    <w:rsid w:val="00444166"/>
    <w:rsid w:val="00444244"/>
    <w:rsid w:val="0044424A"/>
    <w:rsid w:val="0044429B"/>
    <w:rsid w:val="004442A7"/>
    <w:rsid w:val="004442A8"/>
    <w:rsid w:val="00444333"/>
    <w:rsid w:val="00444341"/>
    <w:rsid w:val="0044447E"/>
    <w:rsid w:val="004444DC"/>
    <w:rsid w:val="004444E6"/>
    <w:rsid w:val="004444F0"/>
    <w:rsid w:val="0044454B"/>
    <w:rsid w:val="00444590"/>
    <w:rsid w:val="004445AC"/>
    <w:rsid w:val="00444626"/>
    <w:rsid w:val="0044462D"/>
    <w:rsid w:val="00444641"/>
    <w:rsid w:val="00444679"/>
    <w:rsid w:val="004446F5"/>
    <w:rsid w:val="00444725"/>
    <w:rsid w:val="0044474F"/>
    <w:rsid w:val="00444768"/>
    <w:rsid w:val="0044477C"/>
    <w:rsid w:val="00444798"/>
    <w:rsid w:val="004447B9"/>
    <w:rsid w:val="00444828"/>
    <w:rsid w:val="00444891"/>
    <w:rsid w:val="004448BE"/>
    <w:rsid w:val="004448DD"/>
    <w:rsid w:val="0044496F"/>
    <w:rsid w:val="004449FD"/>
    <w:rsid w:val="00444A48"/>
    <w:rsid w:val="00444A4D"/>
    <w:rsid w:val="00444A63"/>
    <w:rsid w:val="00444ABD"/>
    <w:rsid w:val="00444ACB"/>
    <w:rsid w:val="00444B7C"/>
    <w:rsid w:val="00444B8F"/>
    <w:rsid w:val="00444BA6"/>
    <w:rsid w:val="00444C04"/>
    <w:rsid w:val="00444C16"/>
    <w:rsid w:val="00444C2C"/>
    <w:rsid w:val="00444C5E"/>
    <w:rsid w:val="00444CC8"/>
    <w:rsid w:val="00444CDB"/>
    <w:rsid w:val="00444D3C"/>
    <w:rsid w:val="00444D4A"/>
    <w:rsid w:val="00444D74"/>
    <w:rsid w:val="00444DAA"/>
    <w:rsid w:val="00444DB3"/>
    <w:rsid w:val="00444DB9"/>
    <w:rsid w:val="00444DC6"/>
    <w:rsid w:val="00444DE8"/>
    <w:rsid w:val="00444DF3"/>
    <w:rsid w:val="00444E34"/>
    <w:rsid w:val="00444E74"/>
    <w:rsid w:val="00444EC0"/>
    <w:rsid w:val="00444F59"/>
    <w:rsid w:val="00444F5A"/>
    <w:rsid w:val="00444F7B"/>
    <w:rsid w:val="00444F7C"/>
    <w:rsid w:val="00444FAF"/>
    <w:rsid w:val="0044501D"/>
    <w:rsid w:val="004450DA"/>
    <w:rsid w:val="00445139"/>
    <w:rsid w:val="004451F3"/>
    <w:rsid w:val="00445265"/>
    <w:rsid w:val="00445275"/>
    <w:rsid w:val="00445348"/>
    <w:rsid w:val="004453C4"/>
    <w:rsid w:val="004453D1"/>
    <w:rsid w:val="00445462"/>
    <w:rsid w:val="00445484"/>
    <w:rsid w:val="0044549D"/>
    <w:rsid w:val="00445544"/>
    <w:rsid w:val="0044557D"/>
    <w:rsid w:val="0044558F"/>
    <w:rsid w:val="0044559D"/>
    <w:rsid w:val="0044566C"/>
    <w:rsid w:val="004456D8"/>
    <w:rsid w:val="00445746"/>
    <w:rsid w:val="004457CE"/>
    <w:rsid w:val="0044581C"/>
    <w:rsid w:val="00445830"/>
    <w:rsid w:val="00445866"/>
    <w:rsid w:val="004458A0"/>
    <w:rsid w:val="004458CF"/>
    <w:rsid w:val="004459EA"/>
    <w:rsid w:val="004459F2"/>
    <w:rsid w:val="004459F5"/>
    <w:rsid w:val="00445A51"/>
    <w:rsid w:val="00445A79"/>
    <w:rsid w:val="00445ABD"/>
    <w:rsid w:val="00445AF6"/>
    <w:rsid w:val="00445AF8"/>
    <w:rsid w:val="00445B09"/>
    <w:rsid w:val="00445B19"/>
    <w:rsid w:val="00445B7E"/>
    <w:rsid w:val="00445BDE"/>
    <w:rsid w:val="00445BF8"/>
    <w:rsid w:val="00445C00"/>
    <w:rsid w:val="00445C3A"/>
    <w:rsid w:val="00445C87"/>
    <w:rsid w:val="00445C8F"/>
    <w:rsid w:val="00445D0B"/>
    <w:rsid w:val="00445D43"/>
    <w:rsid w:val="00445D86"/>
    <w:rsid w:val="00445E1D"/>
    <w:rsid w:val="00445E54"/>
    <w:rsid w:val="00445EDC"/>
    <w:rsid w:val="00445EEE"/>
    <w:rsid w:val="00445F11"/>
    <w:rsid w:val="00445F20"/>
    <w:rsid w:val="00445F3D"/>
    <w:rsid w:val="00445F78"/>
    <w:rsid w:val="00445FB5"/>
    <w:rsid w:val="00445FED"/>
    <w:rsid w:val="0044600A"/>
    <w:rsid w:val="0044606E"/>
    <w:rsid w:val="004460E1"/>
    <w:rsid w:val="00446117"/>
    <w:rsid w:val="0044613A"/>
    <w:rsid w:val="0044613E"/>
    <w:rsid w:val="00446149"/>
    <w:rsid w:val="00446178"/>
    <w:rsid w:val="004461BF"/>
    <w:rsid w:val="004461C7"/>
    <w:rsid w:val="004461E7"/>
    <w:rsid w:val="004461FE"/>
    <w:rsid w:val="0044621E"/>
    <w:rsid w:val="00446294"/>
    <w:rsid w:val="004462F9"/>
    <w:rsid w:val="004463CC"/>
    <w:rsid w:val="00446425"/>
    <w:rsid w:val="0044645C"/>
    <w:rsid w:val="004464DD"/>
    <w:rsid w:val="00446506"/>
    <w:rsid w:val="00446508"/>
    <w:rsid w:val="00446573"/>
    <w:rsid w:val="0044659D"/>
    <w:rsid w:val="0044659E"/>
    <w:rsid w:val="004465A6"/>
    <w:rsid w:val="00446626"/>
    <w:rsid w:val="00446644"/>
    <w:rsid w:val="004466E7"/>
    <w:rsid w:val="004466EB"/>
    <w:rsid w:val="004466FF"/>
    <w:rsid w:val="004467B5"/>
    <w:rsid w:val="004467D3"/>
    <w:rsid w:val="004467FA"/>
    <w:rsid w:val="00446802"/>
    <w:rsid w:val="00446805"/>
    <w:rsid w:val="0044687D"/>
    <w:rsid w:val="00446889"/>
    <w:rsid w:val="0044689F"/>
    <w:rsid w:val="004468A6"/>
    <w:rsid w:val="004468D2"/>
    <w:rsid w:val="00446972"/>
    <w:rsid w:val="00446A1C"/>
    <w:rsid w:val="00446A82"/>
    <w:rsid w:val="00446AA9"/>
    <w:rsid w:val="00446ACB"/>
    <w:rsid w:val="00446B0F"/>
    <w:rsid w:val="00446B76"/>
    <w:rsid w:val="00446B7F"/>
    <w:rsid w:val="00446BAA"/>
    <w:rsid w:val="00446BB3"/>
    <w:rsid w:val="00446BB9"/>
    <w:rsid w:val="00446C35"/>
    <w:rsid w:val="00446C3B"/>
    <w:rsid w:val="00446C4C"/>
    <w:rsid w:val="00446C75"/>
    <w:rsid w:val="00446CE5"/>
    <w:rsid w:val="00446D0B"/>
    <w:rsid w:val="00446D1C"/>
    <w:rsid w:val="00446DB5"/>
    <w:rsid w:val="00446DBA"/>
    <w:rsid w:val="00446DD6"/>
    <w:rsid w:val="00446E9D"/>
    <w:rsid w:val="00446EAE"/>
    <w:rsid w:val="00446F3A"/>
    <w:rsid w:val="00446FB5"/>
    <w:rsid w:val="00446FF9"/>
    <w:rsid w:val="00447007"/>
    <w:rsid w:val="0044701B"/>
    <w:rsid w:val="00447025"/>
    <w:rsid w:val="0044702A"/>
    <w:rsid w:val="00447035"/>
    <w:rsid w:val="00447056"/>
    <w:rsid w:val="0044705A"/>
    <w:rsid w:val="004470E2"/>
    <w:rsid w:val="00447104"/>
    <w:rsid w:val="00447125"/>
    <w:rsid w:val="00447138"/>
    <w:rsid w:val="0044719C"/>
    <w:rsid w:val="0044719E"/>
    <w:rsid w:val="004471C7"/>
    <w:rsid w:val="004471CF"/>
    <w:rsid w:val="00447227"/>
    <w:rsid w:val="00447291"/>
    <w:rsid w:val="0044732F"/>
    <w:rsid w:val="00447372"/>
    <w:rsid w:val="0044744A"/>
    <w:rsid w:val="0044746E"/>
    <w:rsid w:val="0044755B"/>
    <w:rsid w:val="0044757E"/>
    <w:rsid w:val="00447599"/>
    <w:rsid w:val="004475C4"/>
    <w:rsid w:val="00447627"/>
    <w:rsid w:val="00447650"/>
    <w:rsid w:val="0044766C"/>
    <w:rsid w:val="00447694"/>
    <w:rsid w:val="0044770D"/>
    <w:rsid w:val="0044770F"/>
    <w:rsid w:val="0044778B"/>
    <w:rsid w:val="004477A8"/>
    <w:rsid w:val="004477B2"/>
    <w:rsid w:val="004477E8"/>
    <w:rsid w:val="004478AC"/>
    <w:rsid w:val="00447921"/>
    <w:rsid w:val="004479D0"/>
    <w:rsid w:val="00447A64"/>
    <w:rsid w:val="00447A78"/>
    <w:rsid w:val="00447AC6"/>
    <w:rsid w:val="00447ACD"/>
    <w:rsid w:val="00447AE3"/>
    <w:rsid w:val="00447B23"/>
    <w:rsid w:val="00447BBA"/>
    <w:rsid w:val="00447BBE"/>
    <w:rsid w:val="00447C04"/>
    <w:rsid w:val="00447CE0"/>
    <w:rsid w:val="00447CF1"/>
    <w:rsid w:val="00447D78"/>
    <w:rsid w:val="00447F55"/>
    <w:rsid w:val="00447FE0"/>
    <w:rsid w:val="0045001F"/>
    <w:rsid w:val="00450033"/>
    <w:rsid w:val="00450042"/>
    <w:rsid w:val="004500C1"/>
    <w:rsid w:val="00450126"/>
    <w:rsid w:val="0045013C"/>
    <w:rsid w:val="00450174"/>
    <w:rsid w:val="00450242"/>
    <w:rsid w:val="00450298"/>
    <w:rsid w:val="0045029D"/>
    <w:rsid w:val="0045033B"/>
    <w:rsid w:val="0045035F"/>
    <w:rsid w:val="00450421"/>
    <w:rsid w:val="004504DF"/>
    <w:rsid w:val="004504EA"/>
    <w:rsid w:val="0045054C"/>
    <w:rsid w:val="0045055D"/>
    <w:rsid w:val="00450588"/>
    <w:rsid w:val="004505DF"/>
    <w:rsid w:val="00450670"/>
    <w:rsid w:val="004506A0"/>
    <w:rsid w:val="0045072A"/>
    <w:rsid w:val="00450739"/>
    <w:rsid w:val="004507C6"/>
    <w:rsid w:val="004507CC"/>
    <w:rsid w:val="004508E1"/>
    <w:rsid w:val="00450929"/>
    <w:rsid w:val="004509BF"/>
    <w:rsid w:val="004509D2"/>
    <w:rsid w:val="00450A2C"/>
    <w:rsid w:val="00450A50"/>
    <w:rsid w:val="00450C91"/>
    <w:rsid w:val="00450CC9"/>
    <w:rsid w:val="00450CE5"/>
    <w:rsid w:val="00450D00"/>
    <w:rsid w:val="00450D26"/>
    <w:rsid w:val="00450D42"/>
    <w:rsid w:val="00450D7E"/>
    <w:rsid w:val="00450DAA"/>
    <w:rsid w:val="00450E19"/>
    <w:rsid w:val="00450E9F"/>
    <w:rsid w:val="00450EE1"/>
    <w:rsid w:val="00450EF7"/>
    <w:rsid w:val="00450F08"/>
    <w:rsid w:val="00450F09"/>
    <w:rsid w:val="00450F36"/>
    <w:rsid w:val="00450F61"/>
    <w:rsid w:val="00450F62"/>
    <w:rsid w:val="00450F99"/>
    <w:rsid w:val="00450FB4"/>
    <w:rsid w:val="00450FC9"/>
    <w:rsid w:val="00450FD2"/>
    <w:rsid w:val="00450FF0"/>
    <w:rsid w:val="00451077"/>
    <w:rsid w:val="00451078"/>
    <w:rsid w:val="0045107D"/>
    <w:rsid w:val="00451083"/>
    <w:rsid w:val="004510DF"/>
    <w:rsid w:val="00451116"/>
    <w:rsid w:val="004511BB"/>
    <w:rsid w:val="004511EA"/>
    <w:rsid w:val="00451213"/>
    <w:rsid w:val="00451215"/>
    <w:rsid w:val="00451282"/>
    <w:rsid w:val="00451288"/>
    <w:rsid w:val="004512E9"/>
    <w:rsid w:val="0045131A"/>
    <w:rsid w:val="004513AA"/>
    <w:rsid w:val="004513C9"/>
    <w:rsid w:val="004513CC"/>
    <w:rsid w:val="00451405"/>
    <w:rsid w:val="0045142B"/>
    <w:rsid w:val="00451502"/>
    <w:rsid w:val="00451532"/>
    <w:rsid w:val="0045159A"/>
    <w:rsid w:val="004515B0"/>
    <w:rsid w:val="004515EF"/>
    <w:rsid w:val="00451606"/>
    <w:rsid w:val="00451683"/>
    <w:rsid w:val="0045168F"/>
    <w:rsid w:val="0045169F"/>
    <w:rsid w:val="004516AC"/>
    <w:rsid w:val="004516C9"/>
    <w:rsid w:val="004516D7"/>
    <w:rsid w:val="004516DB"/>
    <w:rsid w:val="00451711"/>
    <w:rsid w:val="0045173B"/>
    <w:rsid w:val="0045192B"/>
    <w:rsid w:val="00451948"/>
    <w:rsid w:val="0045196E"/>
    <w:rsid w:val="004519D7"/>
    <w:rsid w:val="00451A13"/>
    <w:rsid w:val="00451A51"/>
    <w:rsid w:val="00451AA3"/>
    <w:rsid w:val="00451AC2"/>
    <w:rsid w:val="00451B3A"/>
    <w:rsid w:val="00451B97"/>
    <w:rsid w:val="00451BA8"/>
    <w:rsid w:val="00451C79"/>
    <w:rsid w:val="00451CA9"/>
    <w:rsid w:val="00451CAD"/>
    <w:rsid w:val="00451CB8"/>
    <w:rsid w:val="00451CDB"/>
    <w:rsid w:val="00451CDC"/>
    <w:rsid w:val="00451D23"/>
    <w:rsid w:val="00451D2C"/>
    <w:rsid w:val="00451D66"/>
    <w:rsid w:val="00451E29"/>
    <w:rsid w:val="00451E3D"/>
    <w:rsid w:val="00451E96"/>
    <w:rsid w:val="00451EA4"/>
    <w:rsid w:val="00451F16"/>
    <w:rsid w:val="00451F5C"/>
    <w:rsid w:val="00451FCA"/>
    <w:rsid w:val="00452013"/>
    <w:rsid w:val="0045209E"/>
    <w:rsid w:val="004520AD"/>
    <w:rsid w:val="004520D3"/>
    <w:rsid w:val="0045217B"/>
    <w:rsid w:val="00452188"/>
    <w:rsid w:val="00452190"/>
    <w:rsid w:val="004521EF"/>
    <w:rsid w:val="004521F0"/>
    <w:rsid w:val="00452256"/>
    <w:rsid w:val="00452270"/>
    <w:rsid w:val="00452276"/>
    <w:rsid w:val="00452361"/>
    <w:rsid w:val="0045237E"/>
    <w:rsid w:val="004523E1"/>
    <w:rsid w:val="004524C2"/>
    <w:rsid w:val="00452501"/>
    <w:rsid w:val="00452584"/>
    <w:rsid w:val="0045266D"/>
    <w:rsid w:val="00452681"/>
    <w:rsid w:val="004526D1"/>
    <w:rsid w:val="0045275A"/>
    <w:rsid w:val="004527BC"/>
    <w:rsid w:val="00452805"/>
    <w:rsid w:val="0045282F"/>
    <w:rsid w:val="0045290F"/>
    <w:rsid w:val="00452950"/>
    <w:rsid w:val="0045296C"/>
    <w:rsid w:val="00452A40"/>
    <w:rsid w:val="00452AAA"/>
    <w:rsid w:val="00452B03"/>
    <w:rsid w:val="00452B45"/>
    <w:rsid w:val="00452B50"/>
    <w:rsid w:val="00452B5C"/>
    <w:rsid w:val="00452B61"/>
    <w:rsid w:val="00452B6A"/>
    <w:rsid w:val="00452B71"/>
    <w:rsid w:val="00452BFA"/>
    <w:rsid w:val="00452C45"/>
    <w:rsid w:val="00452C4A"/>
    <w:rsid w:val="00452C6A"/>
    <w:rsid w:val="00452DDB"/>
    <w:rsid w:val="00452E65"/>
    <w:rsid w:val="00452E8C"/>
    <w:rsid w:val="00452EC6"/>
    <w:rsid w:val="00452F31"/>
    <w:rsid w:val="00452F7D"/>
    <w:rsid w:val="00452F93"/>
    <w:rsid w:val="00452F9E"/>
    <w:rsid w:val="00452FB6"/>
    <w:rsid w:val="0045302C"/>
    <w:rsid w:val="004530C5"/>
    <w:rsid w:val="00453121"/>
    <w:rsid w:val="00453190"/>
    <w:rsid w:val="0045319C"/>
    <w:rsid w:val="00453240"/>
    <w:rsid w:val="00453257"/>
    <w:rsid w:val="00453274"/>
    <w:rsid w:val="00453314"/>
    <w:rsid w:val="00453340"/>
    <w:rsid w:val="00453371"/>
    <w:rsid w:val="0045340F"/>
    <w:rsid w:val="0045342A"/>
    <w:rsid w:val="0045342F"/>
    <w:rsid w:val="00453431"/>
    <w:rsid w:val="0045349F"/>
    <w:rsid w:val="004534A6"/>
    <w:rsid w:val="004534AC"/>
    <w:rsid w:val="004534D2"/>
    <w:rsid w:val="004534F0"/>
    <w:rsid w:val="00453501"/>
    <w:rsid w:val="0045359C"/>
    <w:rsid w:val="00453628"/>
    <w:rsid w:val="0045365E"/>
    <w:rsid w:val="00453697"/>
    <w:rsid w:val="004536BE"/>
    <w:rsid w:val="004536E0"/>
    <w:rsid w:val="00453715"/>
    <w:rsid w:val="00453724"/>
    <w:rsid w:val="00453739"/>
    <w:rsid w:val="0045376E"/>
    <w:rsid w:val="00453777"/>
    <w:rsid w:val="0045379D"/>
    <w:rsid w:val="00453830"/>
    <w:rsid w:val="00453832"/>
    <w:rsid w:val="0045389A"/>
    <w:rsid w:val="004538EF"/>
    <w:rsid w:val="00453970"/>
    <w:rsid w:val="004539DA"/>
    <w:rsid w:val="004539FF"/>
    <w:rsid w:val="00453A0F"/>
    <w:rsid w:val="00453A46"/>
    <w:rsid w:val="00453AE2"/>
    <w:rsid w:val="00453B28"/>
    <w:rsid w:val="00453B4E"/>
    <w:rsid w:val="00453B7F"/>
    <w:rsid w:val="00453BE8"/>
    <w:rsid w:val="00453C09"/>
    <w:rsid w:val="00453C0F"/>
    <w:rsid w:val="00453C12"/>
    <w:rsid w:val="00453C77"/>
    <w:rsid w:val="00453CB9"/>
    <w:rsid w:val="00453D65"/>
    <w:rsid w:val="00453D9A"/>
    <w:rsid w:val="00453D9C"/>
    <w:rsid w:val="00453DA3"/>
    <w:rsid w:val="00453E09"/>
    <w:rsid w:val="00453E15"/>
    <w:rsid w:val="00453E77"/>
    <w:rsid w:val="00453E7E"/>
    <w:rsid w:val="00453EC2"/>
    <w:rsid w:val="00453EE4"/>
    <w:rsid w:val="00453F23"/>
    <w:rsid w:val="00453F43"/>
    <w:rsid w:val="00453F7B"/>
    <w:rsid w:val="0045402C"/>
    <w:rsid w:val="00454032"/>
    <w:rsid w:val="0045408F"/>
    <w:rsid w:val="00454124"/>
    <w:rsid w:val="00454149"/>
    <w:rsid w:val="0045415B"/>
    <w:rsid w:val="00454179"/>
    <w:rsid w:val="00454197"/>
    <w:rsid w:val="004541BE"/>
    <w:rsid w:val="004541F0"/>
    <w:rsid w:val="0045420A"/>
    <w:rsid w:val="0045423C"/>
    <w:rsid w:val="00454277"/>
    <w:rsid w:val="004542A0"/>
    <w:rsid w:val="00454313"/>
    <w:rsid w:val="00454316"/>
    <w:rsid w:val="0045432B"/>
    <w:rsid w:val="00454386"/>
    <w:rsid w:val="004543A1"/>
    <w:rsid w:val="004543D8"/>
    <w:rsid w:val="004543F9"/>
    <w:rsid w:val="00454434"/>
    <w:rsid w:val="00454507"/>
    <w:rsid w:val="0045452E"/>
    <w:rsid w:val="00454543"/>
    <w:rsid w:val="00454566"/>
    <w:rsid w:val="004545F6"/>
    <w:rsid w:val="00454605"/>
    <w:rsid w:val="00454663"/>
    <w:rsid w:val="004546B6"/>
    <w:rsid w:val="004546DE"/>
    <w:rsid w:val="0045474F"/>
    <w:rsid w:val="004547D5"/>
    <w:rsid w:val="00454854"/>
    <w:rsid w:val="00454898"/>
    <w:rsid w:val="004548C5"/>
    <w:rsid w:val="004548CB"/>
    <w:rsid w:val="004548E4"/>
    <w:rsid w:val="0045495B"/>
    <w:rsid w:val="00454975"/>
    <w:rsid w:val="004549BB"/>
    <w:rsid w:val="00454A16"/>
    <w:rsid w:val="00454A5A"/>
    <w:rsid w:val="00454ABD"/>
    <w:rsid w:val="00454AFB"/>
    <w:rsid w:val="00454AFF"/>
    <w:rsid w:val="00454B55"/>
    <w:rsid w:val="00454B56"/>
    <w:rsid w:val="00454B85"/>
    <w:rsid w:val="00454C52"/>
    <w:rsid w:val="00454C8E"/>
    <w:rsid w:val="00454D37"/>
    <w:rsid w:val="00454D79"/>
    <w:rsid w:val="00454D82"/>
    <w:rsid w:val="00454DB6"/>
    <w:rsid w:val="00454E3A"/>
    <w:rsid w:val="00454E4E"/>
    <w:rsid w:val="00454E5E"/>
    <w:rsid w:val="00454E80"/>
    <w:rsid w:val="00454E87"/>
    <w:rsid w:val="00454EC8"/>
    <w:rsid w:val="00454EE4"/>
    <w:rsid w:val="00454F2C"/>
    <w:rsid w:val="00454F4A"/>
    <w:rsid w:val="00454F7C"/>
    <w:rsid w:val="00454FF0"/>
    <w:rsid w:val="00455027"/>
    <w:rsid w:val="0045502A"/>
    <w:rsid w:val="00455070"/>
    <w:rsid w:val="00455083"/>
    <w:rsid w:val="0045509E"/>
    <w:rsid w:val="004550B5"/>
    <w:rsid w:val="004550DA"/>
    <w:rsid w:val="0045518B"/>
    <w:rsid w:val="004551EA"/>
    <w:rsid w:val="004551F8"/>
    <w:rsid w:val="00455207"/>
    <w:rsid w:val="0045520B"/>
    <w:rsid w:val="0045522E"/>
    <w:rsid w:val="00455267"/>
    <w:rsid w:val="00455268"/>
    <w:rsid w:val="004552B0"/>
    <w:rsid w:val="004552DF"/>
    <w:rsid w:val="00455345"/>
    <w:rsid w:val="004553AD"/>
    <w:rsid w:val="004553B9"/>
    <w:rsid w:val="004553BC"/>
    <w:rsid w:val="004553C1"/>
    <w:rsid w:val="004553F3"/>
    <w:rsid w:val="00455409"/>
    <w:rsid w:val="00455454"/>
    <w:rsid w:val="004554A1"/>
    <w:rsid w:val="004554CC"/>
    <w:rsid w:val="00455503"/>
    <w:rsid w:val="00455516"/>
    <w:rsid w:val="00455549"/>
    <w:rsid w:val="00455584"/>
    <w:rsid w:val="004555E0"/>
    <w:rsid w:val="004555E1"/>
    <w:rsid w:val="00455626"/>
    <w:rsid w:val="0045562B"/>
    <w:rsid w:val="004556D2"/>
    <w:rsid w:val="00455713"/>
    <w:rsid w:val="00455760"/>
    <w:rsid w:val="00455792"/>
    <w:rsid w:val="004557AA"/>
    <w:rsid w:val="004557C7"/>
    <w:rsid w:val="004557FC"/>
    <w:rsid w:val="004558D9"/>
    <w:rsid w:val="004558DD"/>
    <w:rsid w:val="00455915"/>
    <w:rsid w:val="0045594D"/>
    <w:rsid w:val="0045595E"/>
    <w:rsid w:val="00455978"/>
    <w:rsid w:val="004559CE"/>
    <w:rsid w:val="00455A1F"/>
    <w:rsid w:val="00455A34"/>
    <w:rsid w:val="00455A99"/>
    <w:rsid w:val="00455AEF"/>
    <w:rsid w:val="00455B12"/>
    <w:rsid w:val="00455B56"/>
    <w:rsid w:val="00455C0C"/>
    <w:rsid w:val="00455C31"/>
    <w:rsid w:val="00455C7A"/>
    <w:rsid w:val="00455CB5"/>
    <w:rsid w:val="00455CFC"/>
    <w:rsid w:val="00455D73"/>
    <w:rsid w:val="00455D7F"/>
    <w:rsid w:val="00455DC8"/>
    <w:rsid w:val="00455EA7"/>
    <w:rsid w:val="00455EC7"/>
    <w:rsid w:val="00455EE5"/>
    <w:rsid w:val="00455F1A"/>
    <w:rsid w:val="00455F3E"/>
    <w:rsid w:val="00455F6C"/>
    <w:rsid w:val="00455F6F"/>
    <w:rsid w:val="00455FC3"/>
    <w:rsid w:val="00455FD5"/>
    <w:rsid w:val="00455FEA"/>
    <w:rsid w:val="00455FFF"/>
    <w:rsid w:val="00456021"/>
    <w:rsid w:val="004560A4"/>
    <w:rsid w:val="00456150"/>
    <w:rsid w:val="004561B1"/>
    <w:rsid w:val="004561F6"/>
    <w:rsid w:val="004561FE"/>
    <w:rsid w:val="00456244"/>
    <w:rsid w:val="004562E1"/>
    <w:rsid w:val="0045638E"/>
    <w:rsid w:val="004563F8"/>
    <w:rsid w:val="00456411"/>
    <w:rsid w:val="004565C6"/>
    <w:rsid w:val="004565DE"/>
    <w:rsid w:val="00456647"/>
    <w:rsid w:val="00456663"/>
    <w:rsid w:val="004566D5"/>
    <w:rsid w:val="004566FD"/>
    <w:rsid w:val="00456743"/>
    <w:rsid w:val="00456768"/>
    <w:rsid w:val="004567DB"/>
    <w:rsid w:val="004567FB"/>
    <w:rsid w:val="00456818"/>
    <w:rsid w:val="00456890"/>
    <w:rsid w:val="004568B4"/>
    <w:rsid w:val="004568C0"/>
    <w:rsid w:val="00456922"/>
    <w:rsid w:val="00456969"/>
    <w:rsid w:val="00456983"/>
    <w:rsid w:val="004569CF"/>
    <w:rsid w:val="004569E3"/>
    <w:rsid w:val="00456A03"/>
    <w:rsid w:val="00456A8A"/>
    <w:rsid w:val="00456AA6"/>
    <w:rsid w:val="00456AAC"/>
    <w:rsid w:val="00456AB9"/>
    <w:rsid w:val="00456AC8"/>
    <w:rsid w:val="00456AD0"/>
    <w:rsid w:val="00456AD5"/>
    <w:rsid w:val="00456B73"/>
    <w:rsid w:val="00456B79"/>
    <w:rsid w:val="00456B92"/>
    <w:rsid w:val="00456BD6"/>
    <w:rsid w:val="00456BE5"/>
    <w:rsid w:val="00456C14"/>
    <w:rsid w:val="00456C91"/>
    <w:rsid w:val="00456CA5"/>
    <w:rsid w:val="00456D75"/>
    <w:rsid w:val="00456DA5"/>
    <w:rsid w:val="00456E55"/>
    <w:rsid w:val="00456E61"/>
    <w:rsid w:val="00456E94"/>
    <w:rsid w:val="00456EBB"/>
    <w:rsid w:val="00456EC1"/>
    <w:rsid w:val="00456ECC"/>
    <w:rsid w:val="00456EFA"/>
    <w:rsid w:val="00456F72"/>
    <w:rsid w:val="00457040"/>
    <w:rsid w:val="0045708C"/>
    <w:rsid w:val="004570AB"/>
    <w:rsid w:val="004570D4"/>
    <w:rsid w:val="0045711A"/>
    <w:rsid w:val="0045712E"/>
    <w:rsid w:val="00457154"/>
    <w:rsid w:val="00457187"/>
    <w:rsid w:val="0045725B"/>
    <w:rsid w:val="00457271"/>
    <w:rsid w:val="0045727E"/>
    <w:rsid w:val="00457315"/>
    <w:rsid w:val="004573D6"/>
    <w:rsid w:val="004573DC"/>
    <w:rsid w:val="00457408"/>
    <w:rsid w:val="0045742E"/>
    <w:rsid w:val="00457468"/>
    <w:rsid w:val="00457487"/>
    <w:rsid w:val="00457508"/>
    <w:rsid w:val="00457519"/>
    <w:rsid w:val="0045754A"/>
    <w:rsid w:val="0045754B"/>
    <w:rsid w:val="004575BA"/>
    <w:rsid w:val="004575E8"/>
    <w:rsid w:val="0045762C"/>
    <w:rsid w:val="00457688"/>
    <w:rsid w:val="004576AD"/>
    <w:rsid w:val="004576F3"/>
    <w:rsid w:val="0045773D"/>
    <w:rsid w:val="004577C2"/>
    <w:rsid w:val="004577C6"/>
    <w:rsid w:val="00457818"/>
    <w:rsid w:val="00457844"/>
    <w:rsid w:val="0045785E"/>
    <w:rsid w:val="0045786F"/>
    <w:rsid w:val="00457906"/>
    <w:rsid w:val="0045797C"/>
    <w:rsid w:val="004579E0"/>
    <w:rsid w:val="00457AD8"/>
    <w:rsid w:val="00457B54"/>
    <w:rsid w:val="00457B76"/>
    <w:rsid w:val="00457C54"/>
    <w:rsid w:val="00457C9C"/>
    <w:rsid w:val="00457CA0"/>
    <w:rsid w:val="00457CAE"/>
    <w:rsid w:val="00457CBA"/>
    <w:rsid w:val="00457CC3"/>
    <w:rsid w:val="00457CD2"/>
    <w:rsid w:val="00457D17"/>
    <w:rsid w:val="00457D81"/>
    <w:rsid w:val="00457DF6"/>
    <w:rsid w:val="00457E06"/>
    <w:rsid w:val="00457E3B"/>
    <w:rsid w:val="00457EEE"/>
    <w:rsid w:val="00457F0D"/>
    <w:rsid w:val="00457F48"/>
    <w:rsid w:val="00457FBA"/>
    <w:rsid w:val="00460041"/>
    <w:rsid w:val="00460124"/>
    <w:rsid w:val="004601DA"/>
    <w:rsid w:val="00460242"/>
    <w:rsid w:val="004602E2"/>
    <w:rsid w:val="00460352"/>
    <w:rsid w:val="00460381"/>
    <w:rsid w:val="004603A4"/>
    <w:rsid w:val="004603CA"/>
    <w:rsid w:val="004603E8"/>
    <w:rsid w:val="00460413"/>
    <w:rsid w:val="00460464"/>
    <w:rsid w:val="0046046F"/>
    <w:rsid w:val="004604E7"/>
    <w:rsid w:val="0046050B"/>
    <w:rsid w:val="00460516"/>
    <w:rsid w:val="00460537"/>
    <w:rsid w:val="00460575"/>
    <w:rsid w:val="004605A0"/>
    <w:rsid w:val="00460612"/>
    <w:rsid w:val="0046061F"/>
    <w:rsid w:val="00460649"/>
    <w:rsid w:val="00460673"/>
    <w:rsid w:val="004606A2"/>
    <w:rsid w:val="00460741"/>
    <w:rsid w:val="0046074A"/>
    <w:rsid w:val="0046078D"/>
    <w:rsid w:val="00460832"/>
    <w:rsid w:val="00460834"/>
    <w:rsid w:val="00460839"/>
    <w:rsid w:val="0046095F"/>
    <w:rsid w:val="004609A1"/>
    <w:rsid w:val="004609AB"/>
    <w:rsid w:val="004609B1"/>
    <w:rsid w:val="004609B4"/>
    <w:rsid w:val="004609CA"/>
    <w:rsid w:val="004609E2"/>
    <w:rsid w:val="00460A18"/>
    <w:rsid w:val="00460A30"/>
    <w:rsid w:val="00460AE7"/>
    <w:rsid w:val="00460B46"/>
    <w:rsid w:val="00460B87"/>
    <w:rsid w:val="00460BCB"/>
    <w:rsid w:val="00460C0A"/>
    <w:rsid w:val="00460C1B"/>
    <w:rsid w:val="00460C32"/>
    <w:rsid w:val="00460C3E"/>
    <w:rsid w:val="00460C43"/>
    <w:rsid w:val="00460CCA"/>
    <w:rsid w:val="00460D1D"/>
    <w:rsid w:val="00460D2D"/>
    <w:rsid w:val="00460E1A"/>
    <w:rsid w:val="00460E77"/>
    <w:rsid w:val="00460E7A"/>
    <w:rsid w:val="00460E85"/>
    <w:rsid w:val="00460E8B"/>
    <w:rsid w:val="00460EA4"/>
    <w:rsid w:val="00460EEC"/>
    <w:rsid w:val="00460F33"/>
    <w:rsid w:val="00460F55"/>
    <w:rsid w:val="00460FAC"/>
    <w:rsid w:val="00460FC2"/>
    <w:rsid w:val="00460FD6"/>
    <w:rsid w:val="00460FE4"/>
    <w:rsid w:val="0046100A"/>
    <w:rsid w:val="00461017"/>
    <w:rsid w:val="004610C4"/>
    <w:rsid w:val="0046114C"/>
    <w:rsid w:val="00461162"/>
    <w:rsid w:val="00461163"/>
    <w:rsid w:val="0046116E"/>
    <w:rsid w:val="0046117A"/>
    <w:rsid w:val="004611A8"/>
    <w:rsid w:val="004611AB"/>
    <w:rsid w:val="004611AE"/>
    <w:rsid w:val="004611B1"/>
    <w:rsid w:val="004611EC"/>
    <w:rsid w:val="004611F1"/>
    <w:rsid w:val="00461208"/>
    <w:rsid w:val="0046122B"/>
    <w:rsid w:val="0046122C"/>
    <w:rsid w:val="00461240"/>
    <w:rsid w:val="00461297"/>
    <w:rsid w:val="004612C2"/>
    <w:rsid w:val="004612CE"/>
    <w:rsid w:val="004612D2"/>
    <w:rsid w:val="0046133B"/>
    <w:rsid w:val="00461393"/>
    <w:rsid w:val="004613A5"/>
    <w:rsid w:val="004613AA"/>
    <w:rsid w:val="004613C5"/>
    <w:rsid w:val="0046140C"/>
    <w:rsid w:val="00461415"/>
    <w:rsid w:val="00461435"/>
    <w:rsid w:val="004614E0"/>
    <w:rsid w:val="00461503"/>
    <w:rsid w:val="00461525"/>
    <w:rsid w:val="00461563"/>
    <w:rsid w:val="00461565"/>
    <w:rsid w:val="00461566"/>
    <w:rsid w:val="0046156F"/>
    <w:rsid w:val="00461589"/>
    <w:rsid w:val="00461657"/>
    <w:rsid w:val="00461688"/>
    <w:rsid w:val="00461693"/>
    <w:rsid w:val="004616C6"/>
    <w:rsid w:val="004616D5"/>
    <w:rsid w:val="00461713"/>
    <w:rsid w:val="0046171A"/>
    <w:rsid w:val="00461725"/>
    <w:rsid w:val="00461738"/>
    <w:rsid w:val="0046179C"/>
    <w:rsid w:val="0046179D"/>
    <w:rsid w:val="004617C8"/>
    <w:rsid w:val="004617E8"/>
    <w:rsid w:val="00461801"/>
    <w:rsid w:val="004618AE"/>
    <w:rsid w:val="004618CB"/>
    <w:rsid w:val="004618D7"/>
    <w:rsid w:val="00461987"/>
    <w:rsid w:val="0046199D"/>
    <w:rsid w:val="004619CE"/>
    <w:rsid w:val="004619E1"/>
    <w:rsid w:val="00461A70"/>
    <w:rsid w:val="00461A79"/>
    <w:rsid w:val="00461AD0"/>
    <w:rsid w:val="00461BFD"/>
    <w:rsid w:val="00461BFF"/>
    <w:rsid w:val="00461C22"/>
    <w:rsid w:val="00461C84"/>
    <w:rsid w:val="00461CDD"/>
    <w:rsid w:val="00461D40"/>
    <w:rsid w:val="00461D7F"/>
    <w:rsid w:val="00461DE0"/>
    <w:rsid w:val="00461DF0"/>
    <w:rsid w:val="00461E45"/>
    <w:rsid w:val="00461E5C"/>
    <w:rsid w:val="00461E6B"/>
    <w:rsid w:val="00461E84"/>
    <w:rsid w:val="00461E90"/>
    <w:rsid w:val="00461EBA"/>
    <w:rsid w:val="00461F8C"/>
    <w:rsid w:val="00461FB6"/>
    <w:rsid w:val="00461FDB"/>
    <w:rsid w:val="00462094"/>
    <w:rsid w:val="0046210A"/>
    <w:rsid w:val="00462127"/>
    <w:rsid w:val="00462173"/>
    <w:rsid w:val="00462193"/>
    <w:rsid w:val="004621C9"/>
    <w:rsid w:val="004621DB"/>
    <w:rsid w:val="00462258"/>
    <w:rsid w:val="0046229B"/>
    <w:rsid w:val="004622A0"/>
    <w:rsid w:val="004622A8"/>
    <w:rsid w:val="00462320"/>
    <w:rsid w:val="00462351"/>
    <w:rsid w:val="00462380"/>
    <w:rsid w:val="00462385"/>
    <w:rsid w:val="00462386"/>
    <w:rsid w:val="00462401"/>
    <w:rsid w:val="00462439"/>
    <w:rsid w:val="00462443"/>
    <w:rsid w:val="00462455"/>
    <w:rsid w:val="0046245D"/>
    <w:rsid w:val="0046247C"/>
    <w:rsid w:val="0046248A"/>
    <w:rsid w:val="0046249C"/>
    <w:rsid w:val="004624A0"/>
    <w:rsid w:val="004624BD"/>
    <w:rsid w:val="004625DE"/>
    <w:rsid w:val="004625FB"/>
    <w:rsid w:val="00462604"/>
    <w:rsid w:val="0046261F"/>
    <w:rsid w:val="00462690"/>
    <w:rsid w:val="004626EC"/>
    <w:rsid w:val="0046277A"/>
    <w:rsid w:val="004627A5"/>
    <w:rsid w:val="004627E2"/>
    <w:rsid w:val="00462952"/>
    <w:rsid w:val="00462970"/>
    <w:rsid w:val="00462A23"/>
    <w:rsid w:val="00462A89"/>
    <w:rsid w:val="00462AE9"/>
    <w:rsid w:val="00462B17"/>
    <w:rsid w:val="00462BC1"/>
    <w:rsid w:val="00462C02"/>
    <w:rsid w:val="00462C26"/>
    <w:rsid w:val="00462C28"/>
    <w:rsid w:val="00462C7A"/>
    <w:rsid w:val="00462C93"/>
    <w:rsid w:val="00462CA5"/>
    <w:rsid w:val="00462CB3"/>
    <w:rsid w:val="00462CBE"/>
    <w:rsid w:val="00462D3F"/>
    <w:rsid w:val="00462D60"/>
    <w:rsid w:val="00462E7F"/>
    <w:rsid w:val="00462E90"/>
    <w:rsid w:val="00462E92"/>
    <w:rsid w:val="00462EB3"/>
    <w:rsid w:val="00462FA9"/>
    <w:rsid w:val="00462FD3"/>
    <w:rsid w:val="00463038"/>
    <w:rsid w:val="00463078"/>
    <w:rsid w:val="004630DD"/>
    <w:rsid w:val="00463102"/>
    <w:rsid w:val="00463194"/>
    <w:rsid w:val="004631C9"/>
    <w:rsid w:val="0046322E"/>
    <w:rsid w:val="0046325F"/>
    <w:rsid w:val="0046329F"/>
    <w:rsid w:val="004632C1"/>
    <w:rsid w:val="00463329"/>
    <w:rsid w:val="004633D1"/>
    <w:rsid w:val="004633DE"/>
    <w:rsid w:val="0046347A"/>
    <w:rsid w:val="004634D8"/>
    <w:rsid w:val="004634FD"/>
    <w:rsid w:val="00463520"/>
    <w:rsid w:val="004635C4"/>
    <w:rsid w:val="004635D0"/>
    <w:rsid w:val="0046361D"/>
    <w:rsid w:val="0046364A"/>
    <w:rsid w:val="00463659"/>
    <w:rsid w:val="00463663"/>
    <w:rsid w:val="00463725"/>
    <w:rsid w:val="0046377F"/>
    <w:rsid w:val="00463786"/>
    <w:rsid w:val="004637AA"/>
    <w:rsid w:val="004637B3"/>
    <w:rsid w:val="004637BA"/>
    <w:rsid w:val="004637C4"/>
    <w:rsid w:val="004637F9"/>
    <w:rsid w:val="0046390D"/>
    <w:rsid w:val="00463983"/>
    <w:rsid w:val="00463A7F"/>
    <w:rsid w:val="00463A94"/>
    <w:rsid w:val="00463B02"/>
    <w:rsid w:val="00463B1C"/>
    <w:rsid w:val="00463C47"/>
    <w:rsid w:val="00463C67"/>
    <w:rsid w:val="00463CB4"/>
    <w:rsid w:val="00463CD5"/>
    <w:rsid w:val="00463DD7"/>
    <w:rsid w:val="00463DF8"/>
    <w:rsid w:val="00463E08"/>
    <w:rsid w:val="00463E86"/>
    <w:rsid w:val="00463E8D"/>
    <w:rsid w:val="00463E94"/>
    <w:rsid w:val="00463EA1"/>
    <w:rsid w:val="00463EE5"/>
    <w:rsid w:val="00463EE6"/>
    <w:rsid w:val="00463F4B"/>
    <w:rsid w:val="00463F61"/>
    <w:rsid w:val="00463F6A"/>
    <w:rsid w:val="00463F8B"/>
    <w:rsid w:val="00463F8F"/>
    <w:rsid w:val="00463FBA"/>
    <w:rsid w:val="00463FF0"/>
    <w:rsid w:val="00464047"/>
    <w:rsid w:val="00464094"/>
    <w:rsid w:val="004640E5"/>
    <w:rsid w:val="004641FE"/>
    <w:rsid w:val="004642B6"/>
    <w:rsid w:val="00464330"/>
    <w:rsid w:val="00464336"/>
    <w:rsid w:val="00464387"/>
    <w:rsid w:val="00464427"/>
    <w:rsid w:val="00464433"/>
    <w:rsid w:val="004644B0"/>
    <w:rsid w:val="0046452B"/>
    <w:rsid w:val="004646A2"/>
    <w:rsid w:val="004646D4"/>
    <w:rsid w:val="004646E7"/>
    <w:rsid w:val="004646F3"/>
    <w:rsid w:val="0046470F"/>
    <w:rsid w:val="0046472D"/>
    <w:rsid w:val="00464739"/>
    <w:rsid w:val="0046476D"/>
    <w:rsid w:val="004647E1"/>
    <w:rsid w:val="00464835"/>
    <w:rsid w:val="00464852"/>
    <w:rsid w:val="0046485E"/>
    <w:rsid w:val="00464868"/>
    <w:rsid w:val="0046487D"/>
    <w:rsid w:val="004648AB"/>
    <w:rsid w:val="004648DB"/>
    <w:rsid w:val="004648F5"/>
    <w:rsid w:val="00464953"/>
    <w:rsid w:val="00464955"/>
    <w:rsid w:val="0046496A"/>
    <w:rsid w:val="004649D3"/>
    <w:rsid w:val="004649D5"/>
    <w:rsid w:val="00464A50"/>
    <w:rsid w:val="00464ADD"/>
    <w:rsid w:val="00464AFF"/>
    <w:rsid w:val="00464B26"/>
    <w:rsid w:val="00464BC6"/>
    <w:rsid w:val="00464C78"/>
    <w:rsid w:val="00464C95"/>
    <w:rsid w:val="00464CB2"/>
    <w:rsid w:val="00464CBD"/>
    <w:rsid w:val="00464CEC"/>
    <w:rsid w:val="00464D20"/>
    <w:rsid w:val="00464D9C"/>
    <w:rsid w:val="00464DD1"/>
    <w:rsid w:val="00464F00"/>
    <w:rsid w:val="00464F52"/>
    <w:rsid w:val="00464F96"/>
    <w:rsid w:val="00464FA4"/>
    <w:rsid w:val="00464FBF"/>
    <w:rsid w:val="00464FD4"/>
    <w:rsid w:val="00465063"/>
    <w:rsid w:val="004650A1"/>
    <w:rsid w:val="004650AE"/>
    <w:rsid w:val="004650CF"/>
    <w:rsid w:val="00465129"/>
    <w:rsid w:val="0046514F"/>
    <w:rsid w:val="004651F1"/>
    <w:rsid w:val="00465229"/>
    <w:rsid w:val="00465245"/>
    <w:rsid w:val="00465247"/>
    <w:rsid w:val="004652CD"/>
    <w:rsid w:val="004652D2"/>
    <w:rsid w:val="00465387"/>
    <w:rsid w:val="00465390"/>
    <w:rsid w:val="00465413"/>
    <w:rsid w:val="00465449"/>
    <w:rsid w:val="004654B7"/>
    <w:rsid w:val="0046550F"/>
    <w:rsid w:val="0046553B"/>
    <w:rsid w:val="0046558C"/>
    <w:rsid w:val="0046559D"/>
    <w:rsid w:val="004655C9"/>
    <w:rsid w:val="0046562D"/>
    <w:rsid w:val="0046564B"/>
    <w:rsid w:val="0046564E"/>
    <w:rsid w:val="0046568B"/>
    <w:rsid w:val="004656D0"/>
    <w:rsid w:val="004656E9"/>
    <w:rsid w:val="004656F7"/>
    <w:rsid w:val="00465716"/>
    <w:rsid w:val="00465717"/>
    <w:rsid w:val="00465769"/>
    <w:rsid w:val="0046578C"/>
    <w:rsid w:val="0046579A"/>
    <w:rsid w:val="004657C5"/>
    <w:rsid w:val="00465833"/>
    <w:rsid w:val="004658A3"/>
    <w:rsid w:val="004658BD"/>
    <w:rsid w:val="004658F4"/>
    <w:rsid w:val="004658F6"/>
    <w:rsid w:val="0046590A"/>
    <w:rsid w:val="0046597C"/>
    <w:rsid w:val="004659AC"/>
    <w:rsid w:val="004659D5"/>
    <w:rsid w:val="00465A2B"/>
    <w:rsid w:val="00465ADF"/>
    <w:rsid w:val="00465B28"/>
    <w:rsid w:val="00465B9A"/>
    <w:rsid w:val="00465B9E"/>
    <w:rsid w:val="00465C5C"/>
    <w:rsid w:val="00465CFA"/>
    <w:rsid w:val="00465D28"/>
    <w:rsid w:val="00465D35"/>
    <w:rsid w:val="00465D36"/>
    <w:rsid w:val="00465D4B"/>
    <w:rsid w:val="00465E35"/>
    <w:rsid w:val="00465E4F"/>
    <w:rsid w:val="00465E6C"/>
    <w:rsid w:val="00465F34"/>
    <w:rsid w:val="00465F40"/>
    <w:rsid w:val="00465F4D"/>
    <w:rsid w:val="00465F90"/>
    <w:rsid w:val="00465FFB"/>
    <w:rsid w:val="00466004"/>
    <w:rsid w:val="0046602F"/>
    <w:rsid w:val="00466082"/>
    <w:rsid w:val="00466083"/>
    <w:rsid w:val="004660A5"/>
    <w:rsid w:val="004660E8"/>
    <w:rsid w:val="0046610F"/>
    <w:rsid w:val="0046618D"/>
    <w:rsid w:val="004661A7"/>
    <w:rsid w:val="00466200"/>
    <w:rsid w:val="0046625B"/>
    <w:rsid w:val="00466270"/>
    <w:rsid w:val="00466294"/>
    <w:rsid w:val="004662C3"/>
    <w:rsid w:val="0046630F"/>
    <w:rsid w:val="00466378"/>
    <w:rsid w:val="004663BA"/>
    <w:rsid w:val="004663C5"/>
    <w:rsid w:val="004663F8"/>
    <w:rsid w:val="00466460"/>
    <w:rsid w:val="00466473"/>
    <w:rsid w:val="00466479"/>
    <w:rsid w:val="004665C2"/>
    <w:rsid w:val="00466682"/>
    <w:rsid w:val="004667EE"/>
    <w:rsid w:val="00466885"/>
    <w:rsid w:val="004668CD"/>
    <w:rsid w:val="004668F5"/>
    <w:rsid w:val="00466946"/>
    <w:rsid w:val="00466A18"/>
    <w:rsid w:val="00466A35"/>
    <w:rsid w:val="00466AA4"/>
    <w:rsid w:val="00466B0A"/>
    <w:rsid w:val="00466B44"/>
    <w:rsid w:val="00466BAD"/>
    <w:rsid w:val="00466BC6"/>
    <w:rsid w:val="00466BDE"/>
    <w:rsid w:val="00466CA9"/>
    <w:rsid w:val="00466CCC"/>
    <w:rsid w:val="00466CDC"/>
    <w:rsid w:val="00466D7D"/>
    <w:rsid w:val="00466DA3"/>
    <w:rsid w:val="00466DBE"/>
    <w:rsid w:val="00466DD6"/>
    <w:rsid w:val="00466E4A"/>
    <w:rsid w:val="00466E52"/>
    <w:rsid w:val="00466E7F"/>
    <w:rsid w:val="00466EA1"/>
    <w:rsid w:val="00466EAA"/>
    <w:rsid w:val="00466EB7"/>
    <w:rsid w:val="00466ECC"/>
    <w:rsid w:val="00466FA8"/>
    <w:rsid w:val="00466FCC"/>
    <w:rsid w:val="00466FE2"/>
    <w:rsid w:val="0046702F"/>
    <w:rsid w:val="0046709A"/>
    <w:rsid w:val="004670CC"/>
    <w:rsid w:val="004670E6"/>
    <w:rsid w:val="00467116"/>
    <w:rsid w:val="00467172"/>
    <w:rsid w:val="00467215"/>
    <w:rsid w:val="00467235"/>
    <w:rsid w:val="0046725A"/>
    <w:rsid w:val="0046732F"/>
    <w:rsid w:val="004673A4"/>
    <w:rsid w:val="004673E1"/>
    <w:rsid w:val="00467416"/>
    <w:rsid w:val="0046742A"/>
    <w:rsid w:val="00467451"/>
    <w:rsid w:val="004674BA"/>
    <w:rsid w:val="00467512"/>
    <w:rsid w:val="00467594"/>
    <w:rsid w:val="004675A7"/>
    <w:rsid w:val="0046763B"/>
    <w:rsid w:val="00467678"/>
    <w:rsid w:val="0046767D"/>
    <w:rsid w:val="0046770E"/>
    <w:rsid w:val="00467717"/>
    <w:rsid w:val="00467738"/>
    <w:rsid w:val="004677E8"/>
    <w:rsid w:val="00467802"/>
    <w:rsid w:val="0046784D"/>
    <w:rsid w:val="00467885"/>
    <w:rsid w:val="004678BA"/>
    <w:rsid w:val="004678F0"/>
    <w:rsid w:val="0046792E"/>
    <w:rsid w:val="00467AA3"/>
    <w:rsid w:val="00467AC5"/>
    <w:rsid w:val="00467ACE"/>
    <w:rsid w:val="00467B3A"/>
    <w:rsid w:val="00467BEC"/>
    <w:rsid w:val="00467CF5"/>
    <w:rsid w:val="00467CF7"/>
    <w:rsid w:val="00467CFC"/>
    <w:rsid w:val="00467CFF"/>
    <w:rsid w:val="00467D14"/>
    <w:rsid w:val="00467D8B"/>
    <w:rsid w:val="00467DB6"/>
    <w:rsid w:val="00467DD5"/>
    <w:rsid w:val="00467E41"/>
    <w:rsid w:val="00467ECC"/>
    <w:rsid w:val="00467F0B"/>
    <w:rsid w:val="00467F16"/>
    <w:rsid w:val="00467F1F"/>
    <w:rsid w:val="00467F5D"/>
    <w:rsid w:val="00470051"/>
    <w:rsid w:val="004700E9"/>
    <w:rsid w:val="004700FA"/>
    <w:rsid w:val="0047013F"/>
    <w:rsid w:val="0047020D"/>
    <w:rsid w:val="00470229"/>
    <w:rsid w:val="00470236"/>
    <w:rsid w:val="004702EB"/>
    <w:rsid w:val="004703D9"/>
    <w:rsid w:val="00470485"/>
    <w:rsid w:val="0047052E"/>
    <w:rsid w:val="00470542"/>
    <w:rsid w:val="004705FB"/>
    <w:rsid w:val="00470691"/>
    <w:rsid w:val="00470719"/>
    <w:rsid w:val="0047071F"/>
    <w:rsid w:val="0047078C"/>
    <w:rsid w:val="00470881"/>
    <w:rsid w:val="004708B2"/>
    <w:rsid w:val="0047097C"/>
    <w:rsid w:val="00470A05"/>
    <w:rsid w:val="00470A75"/>
    <w:rsid w:val="00470AA0"/>
    <w:rsid w:val="00470AC3"/>
    <w:rsid w:val="00470AEA"/>
    <w:rsid w:val="00470B06"/>
    <w:rsid w:val="00470B3D"/>
    <w:rsid w:val="00470B43"/>
    <w:rsid w:val="00470C37"/>
    <w:rsid w:val="00470C52"/>
    <w:rsid w:val="00470C5C"/>
    <w:rsid w:val="00470C61"/>
    <w:rsid w:val="00470CFC"/>
    <w:rsid w:val="00470D89"/>
    <w:rsid w:val="00470E37"/>
    <w:rsid w:val="00470E44"/>
    <w:rsid w:val="00470E45"/>
    <w:rsid w:val="00470E93"/>
    <w:rsid w:val="00470EAA"/>
    <w:rsid w:val="00470EF3"/>
    <w:rsid w:val="00470F25"/>
    <w:rsid w:val="00470F43"/>
    <w:rsid w:val="00470F95"/>
    <w:rsid w:val="00470FD3"/>
    <w:rsid w:val="00470FE9"/>
    <w:rsid w:val="00470FED"/>
    <w:rsid w:val="0047105D"/>
    <w:rsid w:val="00471063"/>
    <w:rsid w:val="00471086"/>
    <w:rsid w:val="00471089"/>
    <w:rsid w:val="004710BA"/>
    <w:rsid w:val="004711D0"/>
    <w:rsid w:val="004711F0"/>
    <w:rsid w:val="004711FA"/>
    <w:rsid w:val="00471222"/>
    <w:rsid w:val="0047124B"/>
    <w:rsid w:val="0047127C"/>
    <w:rsid w:val="0047128C"/>
    <w:rsid w:val="0047129D"/>
    <w:rsid w:val="004712E5"/>
    <w:rsid w:val="00471376"/>
    <w:rsid w:val="004713BF"/>
    <w:rsid w:val="004713EA"/>
    <w:rsid w:val="00471424"/>
    <w:rsid w:val="0047143D"/>
    <w:rsid w:val="00471470"/>
    <w:rsid w:val="004714B2"/>
    <w:rsid w:val="004714D6"/>
    <w:rsid w:val="00471565"/>
    <w:rsid w:val="00471579"/>
    <w:rsid w:val="004715A0"/>
    <w:rsid w:val="004715C2"/>
    <w:rsid w:val="004715F3"/>
    <w:rsid w:val="00471625"/>
    <w:rsid w:val="00471633"/>
    <w:rsid w:val="004716CE"/>
    <w:rsid w:val="004716FF"/>
    <w:rsid w:val="0047177F"/>
    <w:rsid w:val="004717D8"/>
    <w:rsid w:val="0047180B"/>
    <w:rsid w:val="0047187E"/>
    <w:rsid w:val="004718B9"/>
    <w:rsid w:val="00471900"/>
    <w:rsid w:val="00471915"/>
    <w:rsid w:val="0047194C"/>
    <w:rsid w:val="004719B4"/>
    <w:rsid w:val="00471A16"/>
    <w:rsid w:val="00471AFB"/>
    <w:rsid w:val="00471B70"/>
    <w:rsid w:val="00471B8E"/>
    <w:rsid w:val="00471BE2"/>
    <w:rsid w:val="00471BEC"/>
    <w:rsid w:val="00471C91"/>
    <w:rsid w:val="00471D9D"/>
    <w:rsid w:val="00471DD9"/>
    <w:rsid w:val="00471E1A"/>
    <w:rsid w:val="00471E1D"/>
    <w:rsid w:val="00471E3E"/>
    <w:rsid w:val="00471E6C"/>
    <w:rsid w:val="00471E92"/>
    <w:rsid w:val="00471EA2"/>
    <w:rsid w:val="00471ED3"/>
    <w:rsid w:val="00471F0D"/>
    <w:rsid w:val="00472013"/>
    <w:rsid w:val="0047206E"/>
    <w:rsid w:val="0047206F"/>
    <w:rsid w:val="004720CF"/>
    <w:rsid w:val="00472195"/>
    <w:rsid w:val="004721A5"/>
    <w:rsid w:val="004721E6"/>
    <w:rsid w:val="00472202"/>
    <w:rsid w:val="00472204"/>
    <w:rsid w:val="004722DE"/>
    <w:rsid w:val="00472309"/>
    <w:rsid w:val="00472396"/>
    <w:rsid w:val="004723E4"/>
    <w:rsid w:val="0047243B"/>
    <w:rsid w:val="00472480"/>
    <w:rsid w:val="00472508"/>
    <w:rsid w:val="004725B7"/>
    <w:rsid w:val="004725E5"/>
    <w:rsid w:val="004725FA"/>
    <w:rsid w:val="00472601"/>
    <w:rsid w:val="00472610"/>
    <w:rsid w:val="00472655"/>
    <w:rsid w:val="004726EC"/>
    <w:rsid w:val="004726F1"/>
    <w:rsid w:val="004726FA"/>
    <w:rsid w:val="0047275C"/>
    <w:rsid w:val="004728E1"/>
    <w:rsid w:val="004728EC"/>
    <w:rsid w:val="0047291C"/>
    <w:rsid w:val="00472938"/>
    <w:rsid w:val="0047295F"/>
    <w:rsid w:val="00472979"/>
    <w:rsid w:val="004729C8"/>
    <w:rsid w:val="004729E4"/>
    <w:rsid w:val="004729F1"/>
    <w:rsid w:val="00472A3A"/>
    <w:rsid w:val="00472A3E"/>
    <w:rsid w:val="00472AB3"/>
    <w:rsid w:val="00472AB4"/>
    <w:rsid w:val="00472B15"/>
    <w:rsid w:val="00472B5D"/>
    <w:rsid w:val="00472BB6"/>
    <w:rsid w:val="00472BDC"/>
    <w:rsid w:val="00472BF7"/>
    <w:rsid w:val="00472C46"/>
    <w:rsid w:val="00472C5B"/>
    <w:rsid w:val="00472C5C"/>
    <w:rsid w:val="00472C9E"/>
    <w:rsid w:val="00472CFC"/>
    <w:rsid w:val="00472CFF"/>
    <w:rsid w:val="00472D03"/>
    <w:rsid w:val="00472D2D"/>
    <w:rsid w:val="00472D52"/>
    <w:rsid w:val="00472F34"/>
    <w:rsid w:val="00472F41"/>
    <w:rsid w:val="00472F4C"/>
    <w:rsid w:val="00472F60"/>
    <w:rsid w:val="00472F6D"/>
    <w:rsid w:val="00472FDA"/>
    <w:rsid w:val="0047300A"/>
    <w:rsid w:val="00473042"/>
    <w:rsid w:val="00473062"/>
    <w:rsid w:val="0047308F"/>
    <w:rsid w:val="004730B8"/>
    <w:rsid w:val="004730D0"/>
    <w:rsid w:val="004731B3"/>
    <w:rsid w:val="004731D3"/>
    <w:rsid w:val="004731EB"/>
    <w:rsid w:val="0047322D"/>
    <w:rsid w:val="00473255"/>
    <w:rsid w:val="0047328E"/>
    <w:rsid w:val="00473319"/>
    <w:rsid w:val="00473377"/>
    <w:rsid w:val="0047338C"/>
    <w:rsid w:val="00473433"/>
    <w:rsid w:val="00473447"/>
    <w:rsid w:val="0047345A"/>
    <w:rsid w:val="00473461"/>
    <w:rsid w:val="00473465"/>
    <w:rsid w:val="004734ED"/>
    <w:rsid w:val="00473524"/>
    <w:rsid w:val="0047353F"/>
    <w:rsid w:val="00473541"/>
    <w:rsid w:val="00473545"/>
    <w:rsid w:val="0047356D"/>
    <w:rsid w:val="00473588"/>
    <w:rsid w:val="00473593"/>
    <w:rsid w:val="004735A7"/>
    <w:rsid w:val="0047361E"/>
    <w:rsid w:val="00473644"/>
    <w:rsid w:val="00473695"/>
    <w:rsid w:val="004736AA"/>
    <w:rsid w:val="004736DB"/>
    <w:rsid w:val="004736F7"/>
    <w:rsid w:val="00473759"/>
    <w:rsid w:val="00473778"/>
    <w:rsid w:val="00473799"/>
    <w:rsid w:val="004737A5"/>
    <w:rsid w:val="004737F8"/>
    <w:rsid w:val="0047384E"/>
    <w:rsid w:val="00473855"/>
    <w:rsid w:val="00473868"/>
    <w:rsid w:val="00473882"/>
    <w:rsid w:val="00473902"/>
    <w:rsid w:val="00473917"/>
    <w:rsid w:val="00473918"/>
    <w:rsid w:val="0047391C"/>
    <w:rsid w:val="0047396C"/>
    <w:rsid w:val="0047396F"/>
    <w:rsid w:val="00473A2D"/>
    <w:rsid w:val="00473A34"/>
    <w:rsid w:val="00473A8A"/>
    <w:rsid w:val="00473B65"/>
    <w:rsid w:val="00473BEB"/>
    <w:rsid w:val="00473C0B"/>
    <w:rsid w:val="00473C1E"/>
    <w:rsid w:val="00473C4F"/>
    <w:rsid w:val="00473CB1"/>
    <w:rsid w:val="00473CBE"/>
    <w:rsid w:val="00473D75"/>
    <w:rsid w:val="00473DB5"/>
    <w:rsid w:val="00473DD3"/>
    <w:rsid w:val="00473E43"/>
    <w:rsid w:val="00473E4A"/>
    <w:rsid w:val="00473EA2"/>
    <w:rsid w:val="00473ECE"/>
    <w:rsid w:val="00473F34"/>
    <w:rsid w:val="00473F8C"/>
    <w:rsid w:val="00474041"/>
    <w:rsid w:val="0047405B"/>
    <w:rsid w:val="004740C8"/>
    <w:rsid w:val="004740D5"/>
    <w:rsid w:val="004740D8"/>
    <w:rsid w:val="004740F9"/>
    <w:rsid w:val="00474144"/>
    <w:rsid w:val="00474200"/>
    <w:rsid w:val="00474213"/>
    <w:rsid w:val="004742A3"/>
    <w:rsid w:val="004742C7"/>
    <w:rsid w:val="0047430D"/>
    <w:rsid w:val="00474345"/>
    <w:rsid w:val="004743BD"/>
    <w:rsid w:val="004743D4"/>
    <w:rsid w:val="00474466"/>
    <w:rsid w:val="0047446A"/>
    <w:rsid w:val="00474473"/>
    <w:rsid w:val="004744DE"/>
    <w:rsid w:val="00474574"/>
    <w:rsid w:val="004745EC"/>
    <w:rsid w:val="00474638"/>
    <w:rsid w:val="00474647"/>
    <w:rsid w:val="0047464F"/>
    <w:rsid w:val="00474678"/>
    <w:rsid w:val="004746B4"/>
    <w:rsid w:val="004746BE"/>
    <w:rsid w:val="00474731"/>
    <w:rsid w:val="00474736"/>
    <w:rsid w:val="00474765"/>
    <w:rsid w:val="004747D2"/>
    <w:rsid w:val="004747DA"/>
    <w:rsid w:val="004747DE"/>
    <w:rsid w:val="00474805"/>
    <w:rsid w:val="0047480D"/>
    <w:rsid w:val="004748FE"/>
    <w:rsid w:val="00474925"/>
    <w:rsid w:val="0047498C"/>
    <w:rsid w:val="004749CB"/>
    <w:rsid w:val="004749F7"/>
    <w:rsid w:val="00474A16"/>
    <w:rsid w:val="00474A20"/>
    <w:rsid w:val="00474A4C"/>
    <w:rsid w:val="00474A61"/>
    <w:rsid w:val="00474AD0"/>
    <w:rsid w:val="00474B91"/>
    <w:rsid w:val="00474BC8"/>
    <w:rsid w:val="00474BF9"/>
    <w:rsid w:val="00474BFB"/>
    <w:rsid w:val="00474C7E"/>
    <w:rsid w:val="00474C97"/>
    <w:rsid w:val="00474D48"/>
    <w:rsid w:val="00474D74"/>
    <w:rsid w:val="00474D90"/>
    <w:rsid w:val="00474D9D"/>
    <w:rsid w:val="00474DA1"/>
    <w:rsid w:val="00474E3E"/>
    <w:rsid w:val="00474E4E"/>
    <w:rsid w:val="00474F40"/>
    <w:rsid w:val="00474FB0"/>
    <w:rsid w:val="00474FEB"/>
    <w:rsid w:val="00474FF8"/>
    <w:rsid w:val="00475085"/>
    <w:rsid w:val="004750DF"/>
    <w:rsid w:val="0047510F"/>
    <w:rsid w:val="00475168"/>
    <w:rsid w:val="00475173"/>
    <w:rsid w:val="004751B1"/>
    <w:rsid w:val="004751D5"/>
    <w:rsid w:val="00475249"/>
    <w:rsid w:val="004752A4"/>
    <w:rsid w:val="004752B0"/>
    <w:rsid w:val="004752DE"/>
    <w:rsid w:val="00475349"/>
    <w:rsid w:val="004753BF"/>
    <w:rsid w:val="0047541C"/>
    <w:rsid w:val="00475584"/>
    <w:rsid w:val="004755AC"/>
    <w:rsid w:val="00475678"/>
    <w:rsid w:val="0047569C"/>
    <w:rsid w:val="004756A6"/>
    <w:rsid w:val="004756DD"/>
    <w:rsid w:val="004756F1"/>
    <w:rsid w:val="00475738"/>
    <w:rsid w:val="0047574C"/>
    <w:rsid w:val="0047578E"/>
    <w:rsid w:val="004757C9"/>
    <w:rsid w:val="004757E2"/>
    <w:rsid w:val="00475857"/>
    <w:rsid w:val="004758A2"/>
    <w:rsid w:val="004758E3"/>
    <w:rsid w:val="0047591D"/>
    <w:rsid w:val="00475B25"/>
    <w:rsid w:val="00475B2C"/>
    <w:rsid w:val="00475C0E"/>
    <w:rsid w:val="00475C24"/>
    <w:rsid w:val="00475C33"/>
    <w:rsid w:val="00475C40"/>
    <w:rsid w:val="00475C42"/>
    <w:rsid w:val="00475CB6"/>
    <w:rsid w:val="00475CC1"/>
    <w:rsid w:val="00475D1D"/>
    <w:rsid w:val="00475D87"/>
    <w:rsid w:val="00475D95"/>
    <w:rsid w:val="00475DBC"/>
    <w:rsid w:val="00475E17"/>
    <w:rsid w:val="00475E34"/>
    <w:rsid w:val="00475E65"/>
    <w:rsid w:val="00475E6E"/>
    <w:rsid w:val="00475E73"/>
    <w:rsid w:val="00475F04"/>
    <w:rsid w:val="00475F6E"/>
    <w:rsid w:val="00475FA0"/>
    <w:rsid w:val="00476071"/>
    <w:rsid w:val="0047607D"/>
    <w:rsid w:val="004760EB"/>
    <w:rsid w:val="00476125"/>
    <w:rsid w:val="00476160"/>
    <w:rsid w:val="00476182"/>
    <w:rsid w:val="0047618F"/>
    <w:rsid w:val="004761E5"/>
    <w:rsid w:val="0047621E"/>
    <w:rsid w:val="004762E2"/>
    <w:rsid w:val="0047630D"/>
    <w:rsid w:val="00476319"/>
    <w:rsid w:val="00476376"/>
    <w:rsid w:val="00476384"/>
    <w:rsid w:val="004763BA"/>
    <w:rsid w:val="004763C5"/>
    <w:rsid w:val="004764AA"/>
    <w:rsid w:val="004764D9"/>
    <w:rsid w:val="00476545"/>
    <w:rsid w:val="004765E1"/>
    <w:rsid w:val="0047662D"/>
    <w:rsid w:val="00476648"/>
    <w:rsid w:val="00476656"/>
    <w:rsid w:val="0047667E"/>
    <w:rsid w:val="0047668A"/>
    <w:rsid w:val="004766A9"/>
    <w:rsid w:val="004766BD"/>
    <w:rsid w:val="004766CE"/>
    <w:rsid w:val="00476759"/>
    <w:rsid w:val="004767D8"/>
    <w:rsid w:val="00476803"/>
    <w:rsid w:val="0047682F"/>
    <w:rsid w:val="0047684F"/>
    <w:rsid w:val="00476871"/>
    <w:rsid w:val="0047688F"/>
    <w:rsid w:val="004768E1"/>
    <w:rsid w:val="0047695C"/>
    <w:rsid w:val="00476978"/>
    <w:rsid w:val="004769CE"/>
    <w:rsid w:val="004769DD"/>
    <w:rsid w:val="004769FE"/>
    <w:rsid w:val="00476A13"/>
    <w:rsid w:val="00476A49"/>
    <w:rsid w:val="00476AAB"/>
    <w:rsid w:val="00476B13"/>
    <w:rsid w:val="00476B5B"/>
    <w:rsid w:val="00476BC1"/>
    <w:rsid w:val="00476C08"/>
    <w:rsid w:val="00476C0D"/>
    <w:rsid w:val="00476C21"/>
    <w:rsid w:val="00476CE6"/>
    <w:rsid w:val="00476CF6"/>
    <w:rsid w:val="00476CFB"/>
    <w:rsid w:val="00476DBF"/>
    <w:rsid w:val="00476DD1"/>
    <w:rsid w:val="00476DED"/>
    <w:rsid w:val="00476DF3"/>
    <w:rsid w:val="00476E32"/>
    <w:rsid w:val="00476E3A"/>
    <w:rsid w:val="00476F45"/>
    <w:rsid w:val="00476F57"/>
    <w:rsid w:val="00476F69"/>
    <w:rsid w:val="00476FF6"/>
    <w:rsid w:val="0047705A"/>
    <w:rsid w:val="004770AF"/>
    <w:rsid w:val="0047711D"/>
    <w:rsid w:val="00477138"/>
    <w:rsid w:val="00477146"/>
    <w:rsid w:val="004771D0"/>
    <w:rsid w:val="004771E3"/>
    <w:rsid w:val="0047721A"/>
    <w:rsid w:val="00477248"/>
    <w:rsid w:val="004772ED"/>
    <w:rsid w:val="0047730C"/>
    <w:rsid w:val="0047733A"/>
    <w:rsid w:val="004773C2"/>
    <w:rsid w:val="00477414"/>
    <w:rsid w:val="0047747F"/>
    <w:rsid w:val="004774CA"/>
    <w:rsid w:val="00477525"/>
    <w:rsid w:val="00477537"/>
    <w:rsid w:val="0047754E"/>
    <w:rsid w:val="00477558"/>
    <w:rsid w:val="0047758D"/>
    <w:rsid w:val="0047767E"/>
    <w:rsid w:val="0047768C"/>
    <w:rsid w:val="0047769B"/>
    <w:rsid w:val="004776C2"/>
    <w:rsid w:val="004776C7"/>
    <w:rsid w:val="0047775A"/>
    <w:rsid w:val="00477792"/>
    <w:rsid w:val="004777D1"/>
    <w:rsid w:val="0047786D"/>
    <w:rsid w:val="0047786E"/>
    <w:rsid w:val="0047787E"/>
    <w:rsid w:val="0047789D"/>
    <w:rsid w:val="00477908"/>
    <w:rsid w:val="0047790C"/>
    <w:rsid w:val="00477921"/>
    <w:rsid w:val="0047796A"/>
    <w:rsid w:val="00477973"/>
    <w:rsid w:val="00477A00"/>
    <w:rsid w:val="00477A03"/>
    <w:rsid w:val="00477A57"/>
    <w:rsid w:val="00477A5D"/>
    <w:rsid w:val="00477A90"/>
    <w:rsid w:val="00477AA0"/>
    <w:rsid w:val="00477AA8"/>
    <w:rsid w:val="00477AE7"/>
    <w:rsid w:val="00477B80"/>
    <w:rsid w:val="00477BD6"/>
    <w:rsid w:val="00477C15"/>
    <w:rsid w:val="00477C64"/>
    <w:rsid w:val="00477D2A"/>
    <w:rsid w:val="00477D51"/>
    <w:rsid w:val="00477D9E"/>
    <w:rsid w:val="00477DA8"/>
    <w:rsid w:val="00477E8D"/>
    <w:rsid w:val="00477ED0"/>
    <w:rsid w:val="00477EFC"/>
    <w:rsid w:val="00477F39"/>
    <w:rsid w:val="00477F45"/>
    <w:rsid w:val="0048004D"/>
    <w:rsid w:val="0048005C"/>
    <w:rsid w:val="00480074"/>
    <w:rsid w:val="0048007A"/>
    <w:rsid w:val="004800B9"/>
    <w:rsid w:val="004800FB"/>
    <w:rsid w:val="00480164"/>
    <w:rsid w:val="0048018C"/>
    <w:rsid w:val="004801A3"/>
    <w:rsid w:val="0048020B"/>
    <w:rsid w:val="00480253"/>
    <w:rsid w:val="00480284"/>
    <w:rsid w:val="0048032D"/>
    <w:rsid w:val="00480341"/>
    <w:rsid w:val="00480342"/>
    <w:rsid w:val="0048036B"/>
    <w:rsid w:val="004803DC"/>
    <w:rsid w:val="00480404"/>
    <w:rsid w:val="00480441"/>
    <w:rsid w:val="00480472"/>
    <w:rsid w:val="00480485"/>
    <w:rsid w:val="00480505"/>
    <w:rsid w:val="00480551"/>
    <w:rsid w:val="0048060D"/>
    <w:rsid w:val="00480639"/>
    <w:rsid w:val="00480665"/>
    <w:rsid w:val="004806C0"/>
    <w:rsid w:val="004806F1"/>
    <w:rsid w:val="004806FB"/>
    <w:rsid w:val="0048075C"/>
    <w:rsid w:val="0048079B"/>
    <w:rsid w:val="004807BA"/>
    <w:rsid w:val="00480892"/>
    <w:rsid w:val="004808F0"/>
    <w:rsid w:val="004808F5"/>
    <w:rsid w:val="00480916"/>
    <w:rsid w:val="0048095D"/>
    <w:rsid w:val="0048096D"/>
    <w:rsid w:val="004809C7"/>
    <w:rsid w:val="004809D6"/>
    <w:rsid w:val="00480A32"/>
    <w:rsid w:val="00480A91"/>
    <w:rsid w:val="00480AD4"/>
    <w:rsid w:val="00480AEF"/>
    <w:rsid w:val="00480B4A"/>
    <w:rsid w:val="00480B52"/>
    <w:rsid w:val="00480B9D"/>
    <w:rsid w:val="00480BAB"/>
    <w:rsid w:val="00480BDC"/>
    <w:rsid w:val="00480C22"/>
    <w:rsid w:val="00480C30"/>
    <w:rsid w:val="00480C6D"/>
    <w:rsid w:val="00480C86"/>
    <w:rsid w:val="00480DA0"/>
    <w:rsid w:val="00480DD8"/>
    <w:rsid w:val="00480DDA"/>
    <w:rsid w:val="00480E1E"/>
    <w:rsid w:val="00480E51"/>
    <w:rsid w:val="00480E64"/>
    <w:rsid w:val="00480ECB"/>
    <w:rsid w:val="00480F1C"/>
    <w:rsid w:val="00480F74"/>
    <w:rsid w:val="00480F7E"/>
    <w:rsid w:val="00480FB0"/>
    <w:rsid w:val="00480FCD"/>
    <w:rsid w:val="00480FE7"/>
    <w:rsid w:val="00481073"/>
    <w:rsid w:val="00481078"/>
    <w:rsid w:val="004810A2"/>
    <w:rsid w:val="004810AB"/>
    <w:rsid w:val="004810DE"/>
    <w:rsid w:val="004810DF"/>
    <w:rsid w:val="00481103"/>
    <w:rsid w:val="004811A3"/>
    <w:rsid w:val="004811B8"/>
    <w:rsid w:val="00481216"/>
    <w:rsid w:val="00481305"/>
    <w:rsid w:val="00481314"/>
    <w:rsid w:val="00481316"/>
    <w:rsid w:val="00481390"/>
    <w:rsid w:val="004813D0"/>
    <w:rsid w:val="0048142D"/>
    <w:rsid w:val="004814D0"/>
    <w:rsid w:val="004814E3"/>
    <w:rsid w:val="00481532"/>
    <w:rsid w:val="0048159D"/>
    <w:rsid w:val="004815FE"/>
    <w:rsid w:val="00481612"/>
    <w:rsid w:val="0048162C"/>
    <w:rsid w:val="0048164C"/>
    <w:rsid w:val="00481651"/>
    <w:rsid w:val="004816B8"/>
    <w:rsid w:val="0048170C"/>
    <w:rsid w:val="00481729"/>
    <w:rsid w:val="0048178C"/>
    <w:rsid w:val="0048180F"/>
    <w:rsid w:val="00481853"/>
    <w:rsid w:val="00481859"/>
    <w:rsid w:val="0048185B"/>
    <w:rsid w:val="00481889"/>
    <w:rsid w:val="0048189A"/>
    <w:rsid w:val="004818E9"/>
    <w:rsid w:val="0048192A"/>
    <w:rsid w:val="0048196F"/>
    <w:rsid w:val="004819BB"/>
    <w:rsid w:val="004819D1"/>
    <w:rsid w:val="004819D2"/>
    <w:rsid w:val="004819EB"/>
    <w:rsid w:val="004819F6"/>
    <w:rsid w:val="00481A26"/>
    <w:rsid w:val="00481A2A"/>
    <w:rsid w:val="00481AF7"/>
    <w:rsid w:val="00481AF9"/>
    <w:rsid w:val="00481B4B"/>
    <w:rsid w:val="00481BA6"/>
    <w:rsid w:val="00481BB7"/>
    <w:rsid w:val="00481C9B"/>
    <w:rsid w:val="00481CE7"/>
    <w:rsid w:val="00481D20"/>
    <w:rsid w:val="00481D6D"/>
    <w:rsid w:val="00481E02"/>
    <w:rsid w:val="00481F72"/>
    <w:rsid w:val="00481F8B"/>
    <w:rsid w:val="00481FA7"/>
    <w:rsid w:val="00481FAA"/>
    <w:rsid w:val="00481FC4"/>
    <w:rsid w:val="00482041"/>
    <w:rsid w:val="0048204A"/>
    <w:rsid w:val="0048206D"/>
    <w:rsid w:val="004820D1"/>
    <w:rsid w:val="00482135"/>
    <w:rsid w:val="00482144"/>
    <w:rsid w:val="00482147"/>
    <w:rsid w:val="0048216E"/>
    <w:rsid w:val="00482189"/>
    <w:rsid w:val="004821CA"/>
    <w:rsid w:val="004821F6"/>
    <w:rsid w:val="0048229A"/>
    <w:rsid w:val="004822D7"/>
    <w:rsid w:val="004823E3"/>
    <w:rsid w:val="004824CA"/>
    <w:rsid w:val="004824D8"/>
    <w:rsid w:val="00482501"/>
    <w:rsid w:val="0048255C"/>
    <w:rsid w:val="004825C3"/>
    <w:rsid w:val="004825CC"/>
    <w:rsid w:val="00482600"/>
    <w:rsid w:val="0048261F"/>
    <w:rsid w:val="004826B8"/>
    <w:rsid w:val="004826C6"/>
    <w:rsid w:val="00482720"/>
    <w:rsid w:val="0048275C"/>
    <w:rsid w:val="00482766"/>
    <w:rsid w:val="0048277E"/>
    <w:rsid w:val="004827A0"/>
    <w:rsid w:val="004827E9"/>
    <w:rsid w:val="00482830"/>
    <w:rsid w:val="00482865"/>
    <w:rsid w:val="00482890"/>
    <w:rsid w:val="004828E0"/>
    <w:rsid w:val="004828FD"/>
    <w:rsid w:val="00482942"/>
    <w:rsid w:val="004829B4"/>
    <w:rsid w:val="004829DE"/>
    <w:rsid w:val="004829F6"/>
    <w:rsid w:val="00482A86"/>
    <w:rsid w:val="00482B04"/>
    <w:rsid w:val="00482B58"/>
    <w:rsid w:val="00482C29"/>
    <w:rsid w:val="00482C87"/>
    <w:rsid w:val="00482D62"/>
    <w:rsid w:val="00482D6E"/>
    <w:rsid w:val="00482E17"/>
    <w:rsid w:val="00483034"/>
    <w:rsid w:val="00483077"/>
    <w:rsid w:val="004830AE"/>
    <w:rsid w:val="004830BB"/>
    <w:rsid w:val="004830F9"/>
    <w:rsid w:val="00483103"/>
    <w:rsid w:val="00483152"/>
    <w:rsid w:val="00483181"/>
    <w:rsid w:val="004831EB"/>
    <w:rsid w:val="0048320D"/>
    <w:rsid w:val="0048321F"/>
    <w:rsid w:val="00483268"/>
    <w:rsid w:val="00483269"/>
    <w:rsid w:val="0048329C"/>
    <w:rsid w:val="004832CE"/>
    <w:rsid w:val="004832DB"/>
    <w:rsid w:val="004832DC"/>
    <w:rsid w:val="00483355"/>
    <w:rsid w:val="00483404"/>
    <w:rsid w:val="0048346D"/>
    <w:rsid w:val="0048347F"/>
    <w:rsid w:val="004834A0"/>
    <w:rsid w:val="00483507"/>
    <w:rsid w:val="00483534"/>
    <w:rsid w:val="00483553"/>
    <w:rsid w:val="00483556"/>
    <w:rsid w:val="0048355C"/>
    <w:rsid w:val="004835F2"/>
    <w:rsid w:val="00483605"/>
    <w:rsid w:val="0048361B"/>
    <w:rsid w:val="0048365E"/>
    <w:rsid w:val="00483660"/>
    <w:rsid w:val="00483663"/>
    <w:rsid w:val="0048367B"/>
    <w:rsid w:val="004836C8"/>
    <w:rsid w:val="0048372A"/>
    <w:rsid w:val="00483734"/>
    <w:rsid w:val="004837CB"/>
    <w:rsid w:val="004837FA"/>
    <w:rsid w:val="0048381E"/>
    <w:rsid w:val="00483824"/>
    <w:rsid w:val="0048382C"/>
    <w:rsid w:val="00483887"/>
    <w:rsid w:val="004838D5"/>
    <w:rsid w:val="00483977"/>
    <w:rsid w:val="004839C7"/>
    <w:rsid w:val="004839D6"/>
    <w:rsid w:val="004839E4"/>
    <w:rsid w:val="00483A4C"/>
    <w:rsid w:val="00483AB1"/>
    <w:rsid w:val="00483AE5"/>
    <w:rsid w:val="00483AF1"/>
    <w:rsid w:val="00483B84"/>
    <w:rsid w:val="00483B91"/>
    <w:rsid w:val="00483BC9"/>
    <w:rsid w:val="00483BE8"/>
    <w:rsid w:val="00483C27"/>
    <w:rsid w:val="00483CEB"/>
    <w:rsid w:val="00483D5C"/>
    <w:rsid w:val="00483D9D"/>
    <w:rsid w:val="00483DB1"/>
    <w:rsid w:val="00483E10"/>
    <w:rsid w:val="00483ECB"/>
    <w:rsid w:val="00483F3C"/>
    <w:rsid w:val="00483F84"/>
    <w:rsid w:val="00483F92"/>
    <w:rsid w:val="00483F9E"/>
    <w:rsid w:val="00484059"/>
    <w:rsid w:val="0048408C"/>
    <w:rsid w:val="004840ED"/>
    <w:rsid w:val="00484122"/>
    <w:rsid w:val="00484123"/>
    <w:rsid w:val="0048415E"/>
    <w:rsid w:val="00484168"/>
    <w:rsid w:val="00484176"/>
    <w:rsid w:val="0048420F"/>
    <w:rsid w:val="00484237"/>
    <w:rsid w:val="00484248"/>
    <w:rsid w:val="00484371"/>
    <w:rsid w:val="0048445D"/>
    <w:rsid w:val="0048446D"/>
    <w:rsid w:val="00484474"/>
    <w:rsid w:val="004844A2"/>
    <w:rsid w:val="004844D7"/>
    <w:rsid w:val="004844F4"/>
    <w:rsid w:val="0048455E"/>
    <w:rsid w:val="00484570"/>
    <w:rsid w:val="0048458A"/>
    <w:rsid w:val="0048459B"/>
    <w:rsid w:val="004845F4"/>
    <w:rsid w:val="00484664"/>
    <w:rsid w:val="004846C3"/>
    <w:rsid w:val="0048470E"/>
    <w:rsid w:val="00484764"/>
    <w:rsid w:val="00484805"/>
    <w:rsid w:val="00484806"/>
    <w:rsid w:val="00484818"/>
    <w:rsid w:val="00484867"/>
    <w:rsid w:val="004848B7"/>
    <w:rsid w:val="0048496F"/>
    <w:rsid w:val="004849F0"/>
    <w:rsid w:val="00484A4F"/>
    <w:rsid w:val="00484A97"/>
    <w:rsid w:val="00484A9C"/>
    <w:rsid w:val="00484AEB"/>
    <w:rsid w:val="00484B09"/>
    <w:rsid w:val="00484B2C"/>
    <w:rsid w:val="00484B3F"/>
    <w:rsid w:val="00484BA9"/>
    <w:rsid w:val="00484BDC"/>
    <w:rsid w:val="00484C6E"/>
    <w:rsid w:val="00484CB3"/>
    <w:rsid w:val="00484D30"/>
    <w:rsid w:val="00484D8E"/>
    <w:rsid w:val="00484DBC"/>
    <w:rsid w:val="00484DD1"/>
    <w:rsid w:val="00484DE3"/>
    <w:rsid w:val="00484DE9"/>
    <w:rsid w:val="00484E39"/>
    <w:rsid w:val="00484E50"/>
    <w:rsid w:val="00484E8D"/>
    <w:rsid w:val="00484E95"/>
    <w:rsid w:val="00484EFC"/>
    <w:rsid w:val="00484F4B"/>
    <w:rsid w:val="00484FCA"/>
    <w:rsid w:val="00485028"/>
    <w:rsid w:val="00485174"/>
    <w:rsid w:val="0048519C"/>
    <w:rsid w:val="004851DB"/>
    <w:rsid w:val="004851F0"/>
    <w:rsid w:val="0048522A"/>
    <w:rsid w:val="00485372"/>
    <w:rsid w:val="00485378"/>
    <w:rsid w:val="00485381"/>
    <w:rsid w:val="004853DC"/>
    <w:rsid w:val="00485404"/>
    <w:rsid w:val="0048542C"/>
    <w:rsid w:val="00485433"/>
    <w:rsid w:val="004854C3"/>
    <w:rsid w:val="00485592"/>
    <w:rsid w:val="0048559A"/>
    <w:rsid w:val="004855C6"/>
    <w:rsid w:val="004855EE"/>
    <w:rsid w:val="004855FF"/>
    <w:rsid w:val="00485618"/>
    <w:rsid w:val="0048568F"/>
    <w:rsid w:val="004856D3"/>
    <w:rsid w:val="0048576E"/>
    <w:rsid w:val="00485771"/>
    <w:rsid w:val="00485800"/>
    <w:rsid w:val="00485810"/>
    <w:rsid w:val="00485839"/>
    <w:rsid w:val="0048586E"/>
    <w:rsid w:val="00485909"/>
    <w:rsid w:val="004859E7"/>
    <w:rsid w:val="00485A08"/>
    <w:rsid w:val="00485A87"/>
    <w:rsid w:val="00485AD2"/>
    <w:rsid w:val="00485AF9"/>
    <w:rsid w:val="00485B0A"/>
    <w:rsid w:val="00485B2D"/>
    <w:rsid w:val="00485BC2"/>
    <w:rsid w:val="00485BF7"/>
    <w:rsid w:val="00485BFF"/>
    <w:rsid w:val="00485C16"/>
    <w:rsid w:val="00485CA9"/>
    <w:rsid w:val="00485CB3"/>
    <w:rsid w:val="00485CB7"/>
    <w:rsid w:val="00485D27"/>
    <w:rsid w:val="00485D5E"/>
    <w:rsid w:val="00485D8D"/>
    <w:rsid w:val="00485DAA"/>
    <w:rsid w:val="00485DAF"/>
    <w:rsid w:val="00485DF0"/>
    <w:rsid w:val="00485E3E"/>
    <w:rsid w:val="00485EA0"/>
    <w:rsid w:val="00485EB7"/>
    <w:rsid w:val="00485EB8"/>
    <w:rsid w:val="00485EDA"/>
    <w:rsid w:val="00485F37"/>
    <w:rsid w:val="00485F60"/>
    <w:rsid w:val="00485FAF"/>
    <w:rsid w:val="00486039"/>
    <w:rsid w:val="00486062"/>
    <w:rsid w:val="004860B6"/>
    <w:rsid w:val="004860E8"/>
    <w:rsid w:val="0048615B"/>
    <w:rsid w:val="004861AC"/>
    <w:rsid w:val="004861B0"/>
    <w:rsid w:val="004861D6"/>
    <w:rsid w:val="004861DC"/>
    <w:rsid w:val="0048627A"/>
    <w:rsid w:val="004862A2"/>
    <w:rsid w:val="004862D4"/>
    <w:rsid w:val="004862FD"/>
    <w:rsid w:val="0048632C"/>
    <w:rsid w:val="00486345"/>
    <w:rsid w:val="00486378"/>
    <w:rsid w:val="00486383"/>
    <w:rsid w:val="00486394"/>
    <w:rsid w:val="00486414"/>
    <w:rsid w:val="00486452"/>
    <w:rsid w:val="0048645B"/>
    <w:rsid w:val="004864DB"/>
    <w:rsid w:val="0048653E"/>
    <w:rsid w:val="00486548"/>
    <w:rsid w:val="00486566"/>
    <w:rsid w:val="00486581"/>
    <w:rsid w:val="004865E5"/>
    <w:rsid w:val="00486645"/>
    <w:rsid w:val="0048664B"/>
    <w:rsid w:val="00486672"/>
    <w:rsid w:val="004866A0"/>
    <w:rsid w:val="004866B7"/>
    <w:rsid w:val="00486726"/>
    <w:rsid w:val="00486750"/>
    <w:rsid w:val="0048679D"/>
    <w:rsid w:val="00486820"/>
    <w:rsid w:val="00486833"/>
    <w:rsid w:val="00486865"/>
    <w:rsid w:val="00486871"/>
    <w:rsid w:val="0048691E"/>
    <w:rsid w:val="00486943"/>
    <w:rsid w:val="00486945"/>
    <w:rsid w:val="004869A4"/>
    <w:rsid w:val="00486A40"/>
    <w:rsid w:val="00486A50"/>
    <w:rsid w:val="00486A93"/>
    <w:rsid w:val="00486B2E"/>
    <w:rsid w:val="00486B30"/>
    <w:rsid w:val="00486B3C"/>
    <w:rsid w:val="00486B52"/>
    <w:rsid w:val="00486BC2"/>
    <w:rsid w:val="00486BE0"/>
    <w:rsid w:val="00486C09"/>
    <w:rsid w:val="00486C0B"/>
    <w:rsid w:val="00486C34"/>
    <w:rsid w:val="00486C95"/>
    <w:rsid w:val="00486CAF"/>
    <w:rsid w:val="00486CDD"/>
    <w:rsid w:val="00486D02"/>
    <w:rsid w:val="00486D30"/>
    <w:rsid w:val="00486D5F"/>
    <w:rsid w:val="00486DA0"/>
    <w:rsid w:val="00486DF6"/>
    <w:rsid w:val="00486E3F"/>
    <w:rsid w:val="00486E4A"/>
    <w:rsid w:val="00486F83"/>
    <w:rsid w:val="00486FAC"/>
    <w:rsid w:val="00486FC1"/>
    <w:rsid w:val="00487012"/>
    <w:rsid w:val="00487023"/>
    <w:rsid w:val="00487058"/>
    <w:rsid w:val="0048706D"/>
    <w:rsid w:val="004870D4"/>
    <w:rsid w:val="00487145"/>
    <w:rsid w:val="0048717D"/>
    <w:rsid w:val="004871C7"/>
    <w:rsid w:val="00487205"/>
    <w:rsid w:val="0048720E"/>
    <w:rsid w:val="0048721D"/>
    <w:rsid w:val="00487275"/>
    <w:rsid w:val="00487285"/>
    <w:rsid w:val="00487287"/>
    <w:rsid w:val="004872E5"/>
    <w:rsid w:val="004872F7"/>
    <w:rsid w:val="00487329"/>
    <w:rsid w:val="0048738F"/>
    <w:rsid w:val="004873A5"/>
    <w:rsid w:val="004873B7"/>
    <w:rsid w:val="00487418"/>
    <w:rsid w:val="004874CD"/>
    <w:rsid w:val="0048752E"/>
    <w:rsid w:val="004875C4"/>
    <w:rsid w:val="00487698"/>
    <w:rsid w:val="0048771C"/>
    <w:rsid w:val="00487725"/>
    <w:rsid w:val="0048773C"/>
    <w:rsid w:val="0048779B"/>
    <w:rsid w:val="004877B5"/>
    <w:rsid w:val="004877E0"/>
    <w:rsid w:val="00487939"/>
    <w:rsid w:val="0048799A"/>
    <w:rsid w:val="004879A5"/>
    <w:rsid w:val="004879DD"/>
    <w:rsid w:val="00487A45"/>
    <w:rsid w:val="00487A4F"/>
    <w:rsid w:val="00487A63"/>
    <w:rsid w:val="00487A76"/>
    <w:rsid w:val="00487A78"/>
    <w:rsid w:val="00487AA1"/>
    <w:rsid w:val="00487AC9"/>
    <w:rsid w:val="00487AF2"/>
    <w:rsid w:val="00487B2B"/>
    <w:rsid w:val="00487B6B"/>
    <w:rsid w:val="00487B86"/>
    <w:rsid w:val="00487B96"/>
    <w:rsid w:val="00487BDE"/>
    <w:rsid w:val="00487CBF"/>
    <w:rsid w:val="00487CFB"/>
    <w:rsid w:val="00487D3C"/>
    <w:rsid w:val="00487D3E"/>
    <w:rsid w:val="00487D60"/>
    <w:rsid w:val="00487DE8"/>
    <w:rsid w:val="00487DEB"/>
    <w:rsid w:val="00487E8D"/>
    <w:rsid w:val="00487E91"/>
    <w:rsid w:val="00487ED2"/>
    <w:rsid w:val="00487F12"/>
    <w:rsid w:val="00487F22"/>
    <w:rsid w:val="00487F37"/>
    <w:rsid w:val="00487F4B"/>
    <w:rsid w:val="00487F9F"/>
    <w:rsid w:val="00487FE1"/>
    <w:rsid w:val="00487FF7"/>
    <w:rsid w:val="0049000B"/>
    <w:rsid w:val="00490190"/>
    <w:rsid w:val="0049021E"/>
    <w:rsid w:val="004902EB"/>
    <w:rsid w:val="00490315"/>
    <w:rsid w:val="0049034C"/>
    <w:rsid w:val="0049036C"/>
    <w:rsid w:val="004903BF"/>
    <w:rsid w:val="00490464"/>
    <w:rsid w:val="00490486"/>
    <w:rsid w:val="004904D8"/>
    <w:rsid w:val="004904E6"/>
    <w:rsid w:val="004904E7"/>
    <w:rsid w:val="0049050C"/>
    <w:rsid w:val="00490576"/>
    <w:rsid w:val="004905C2"/>
    <w:rsid w:val="004905C4"/>
    <w:rsid w:val="00490678"/>
    <w:rsid w:val="00490694"/>
    <w:rsid w:val="00490756"/>
    <w:rsid w:val="00490774"/>
    <w:rsid w:val="004907B6"/>
    <w:rsid w:val="004907FF"/>
    <w:rsid w:val="0049086D"/>
    <w:rsid w:val="004908A1"/>
    <w:rsid w:val="004909AC"/>
    <w:rsid w:val="004909DB"/>
    <w:rsid w:val="004909F8"/>
    <w:rsid w:val="00490A5D"/>
    <w:rsid w:val="00490A97"/>
    <w:rsid w:val="00490AC5"/>
    <w:rsid w:val="00490B40"/>
    <w:rsid w:val="00490B82"/>
    <w:rsid w:val="00490B9A"/>
    <w:rsid w:val="00490BBD"/>
    <w:rsid w:val="00490BCA"/>
    <w:rsid w:val="00490BEE"/>
    <w:rsid w:val="00490D5B"/>
    <w:rsid w:val="00490D75"/>
    <w:rsid w:val="00490D92"/>
    <w:rsid w:val="00490E34"/>
    <w:rsid w:val="00490EAF"/>
    <w:rsid w:val="00490EBB"/>
    <w:rsid w:val="00490F1A"/>
    <w:rsid w:val="00490F3A"/>
    <w:rsid w:val="00490FB6"/>
    <w:rsid w:val="00491057"/>
    <w:rsid w:val="0049106A"/>
    <w:rsid w:val="004910C7"/>
    <w:rsid w:val="004910CE"/>
    <w:rsid w:val="00491137"/>
    <w:rsid w:val="004911BF"/>
    <w:rsid w:val="0049122C"/>
    <w:rsid w:val="00491247"/>
    <w:rsid w:val="0049125B"/>
    <w:rsid w:val="00491282"/>
    <w:rsid w:val="00491295"/>
    <w:rsid w:val="0049139C"/>
    <w:rsid w:val="004914B1"/>
    <w:rsid w:val="004914E1"/>
    <w:rsid w:val="0049150D"/>
    <w:rsid w:val="004915CE"/>
    <w:rsid w:val="004915EC"/>
    <w:rsid w:val="00491603"/>
    <w:rsid w:val="0049161B"/>
    <w:rsid w:val="00491642"/>
    <w:rsid w:val="0049164F"/>
    <w:rsid w:val="00491684"/>
    <w:rsid w:val="00491734"/>
    <w:rsid w:val="004917BD"/>
    <w:rsid w:val="00491831"/>
    <w:rsid w:val="0049189F"/>
    <w:rsid w:val="0049195B"/>
    <w:rsid w:val="0049196E"/>
    <w:rsid w:val="004919E8"/>
    <w:rsid w:val="00491A2C"/>
    <w:rsid w:val="00491A2E"/>
    <w:rsid w:val="00491A80"/>
    <w:rsid w:val="00491A83"/>
    <w:rsid w:val="00491ACD"/>
    <w:rsid w:val="00491AE4"/>
    <w:rsid w:val="00491AE8"/>
    <w:rsid w:val="00491B3A"/>
    <w:rsid w:val="00491B76"/>
    <w:rsid w:val="00491BB3"/>
    <w:rsid w:val="00491BE4"/>
    <w:rsid w:val="00491C88"/>
    <w:rsid w:val="00491C9C"/>
    <w:rsid w:val="00491CBE"/>
    <w:rsid w:val="00491D0F"/>
    <w:rsid w:val="00491E82"/>
    <w:rsid w:val="00491E86"/>
    <w:rsid w:val="00491E9B"/>
    <w:rsid w:val="00491EBC"/>
    <w:rsid w:val="00491ED1"/>
    <w:rsid w:val="00491EDA"/>
    <w:rsid w:val="00491F3B"/>
    <w:rsid w:val="00491F58"/>
    <w:rsid w:val="00491FA1"/>
    <w:rsid w:val="00491FE9"/>
    <w:rsid w:val="0049202F"/>
    <w:rsid w:val="00492067"/>
    <w:rsid w:val="0049206C"/>
    <w:rsid w:val="004920C0"/>
    <w:rsid w:val="0049210C"/>
    <w:rsid w:val="0049214E"/>
    <w:rsid w:val="00492179"/>
    <w:rsid w:val="00492195"/>
    <w:rsid w:val="004921A7"/>
    <w:rsid w:val="004921AD"/>
    <w:rsid w:val="004921FC"/>
    <w:rsid w:val="00492219"/>
    <w:rsid w:val="00492284"/>
    <w:rsid w:val="004922F5"/>
    <w:rsid w:val="0049231A"/>
    <w:rsid w:val="00492324"/>
    <w:rsid w:val="0049232B"/>
    <w:rsid w:val="0049237F"/>
    <w:rsid w:val="004923E8"/>
    <w:rsid w:val="004923F8"/>
    <w:rsid w:val="00492436"/>
    <w:rsid w:val="00492438"/>
    <w:rsid w:val="00492446"/>
    <w:rsid w:val="0049249D"/>
    <w:rsid w:val="004924FF"/>
    <w:rsid w:val="0049257F"/>
    <w:rsid w:val="00492606"/>
    <w:rsid w:val="0049262C"/>
    <w:rsid w:val="00492649"/>
    <w:rsid w:val="00492651"/>
    <w:rsid w:val="004926E0"/>
    <w:rsid w:val="00492705"/>
    <w:rsid w:val="0049273F"/>
    <w:rsid w:val="00492785"/>
    <w:rsid w:val="004927D3"/>
    <w:rsid w:val="004927D6"/>
    <w:rsid w:val="0049283B"/>
    <w:rsid w:val="0049283D"/>
    <w:rsid w:val="00492845"/>
    <w:rsid w:val="0049284A"/>
    <w:rsid w:val="0049294D"/>
    <w:rsid w:val="0049296B"/>
    <w:rsid w:val="00492979"/>
    <w:rsid w:val="004929CC"/>
    <w:rsid w:val="004929F0"/>
    <w:rsid w:val="00492A24"/>
    <w:rsid w:val="00492A2A"/>
    <w:rsid w:val="00492A73"/>
    <w:rsid w:val="00492AB5"/>
    <w:rsid w:val="00492B08"/>
    <w:rsid w:val="00492B36"/>
    <w:rsid w:val="00492B66"/>
    <w:rsid w:val="00492B84"/>
    <w:rsid w:val="00492BB0"/>
    <w:rsid w:val="00492BB5"/>
    <w:rsid w:val="00492BBB"/>
    <w:rsid w:val="00492C3E"/>
    <w:rsid w:val="00492C4E"/>
    <w:rsid w:val="00492C5A"/>
    <w:rsid w:val="00492CE7"/>
    <w:rsid w:val="00492CEF"/>
    <w:rsid w:val="00492D67"/>
    <w:rsid w:val="00492E0B"/>
    <w:rsid w:val="00492E27"/>
    <w:rsid w:val="00492E3D"/>
    <w:rsid w:val="00492E7D"/>
    <w:rsid w:val="00492F0F"/>
    <w:rsid w:val="00492F26"/>
    <w:rsid w:val="00492F47"/>
    <w:rsid w:val="00492F51"/>
    <w:rsid w:val="00492FAF"/>
    <w:rsid w:val="00492FBE"/>
    <w:rsid w:val="00492FCB"/>
    <w:rsid w:val="00492FFE"/>
    <w:rsid w:val="0049303F"/>
    <w:rsid w:val="004930AC"/>
    <w:rsid w:val="00493165"/>
    <w:rsid w:val="004931DE"/>
    <w:rsid w:val="0049329C"/>
    <w:rsid w:val="0049330F"/>
    <w:rsid w:val="0049331F"/>
    <w:rsid w:val="00493382"/>
    <w:rsid w:val="004933ED"/>
    <w:rsid w:val="00493423"/>
    <w:rsid w:val="0049342E"/>
    <w:rsid w:val="0049349A"/>
    <w:rsid w:val="004934AB"/>
    <w:rsid w:val="004934BF"/>
    <w:rsid w:val="004934D4"/>
    <w:rsid w:val="0049351B"/>
    <w:rsid w:val="0049358B"/>
    <w:rsid w:val="004935E4"/>
    <w:rsid w:val="004935F9"/>
    <w:rsid w:val="00493613"/>
    <w:rsid w:val="0049361A"/>
    <w:rsid w:val="0049361F"/>
    <w:rsid w:val="00493692"/>
    <w:rsid w:val="0049369A"/>
    <w:rsid w:val="004936A4"/>
    <w:rsid w:val="00493738"/>
    <w:rsid w:val="00493759"/>
    <w:rsid w:val="004937CE"/>
    <w:rsid w:val="00493849"/>
    <w:rsid w:val="00493882"/>
    <w:rsid w:val="0049389B"/>
    <w:rsid w:val="004938D2"/>
    <w:rsid w:val="004938E0"/>
    <w:rsid w:val="004938E9"/>
    <w:rsid w:val="00493901"/>
    <w:rsid w:val="00493906"/>
    <w:rsid w:val="0049392D"/>
    <w:rsid w:val="0049398C"/>
    <w:rsid w:val="004939E7"/>
    <w:rsid w:val="00493A40"/>
    <w:rsid w:val="00493A9A"/>
    <w:rsid w:val="00493AB9"/>
    <w:rsid w:val="00493BA2"/>
    <w:rsid w:val="00493C02"/>
    <w:rsid w:val="00493C25"/>
    <w:rsid w:val="00493C83"/>
    <w:rsid w:val="00493D05"/>
    <w:rsid w:val="00493D7C"/>
    <w:rsid w:val="00493D9A"/>
    <w:rsid w:val="00493D9D"/>
    <w:rsid w:val="00493DCE"/>
    <w:rsid w:val="00493DDD"/>
    <w:rsid w:val="00493E90"/>
    <w:rsid w:val="00493EA0"/>
    <w:rsid w:val="00493EF0"/>
    <w:rsid w:val="00493FFD"/>
    <w:rsid w:val="00494017"/>
    <w:rsid w:val="004940C9"/>
    <w:rsid w:val="00494174"/>
    <w:rsid w:val="00494228"/>
    <w:rsid w:val="00494247"/>
    <w:rsid w:val="0049424C"/>
    <w:rsid w:val="00494254"/>
    <w:rsid w:val="00494298"/>
    <w:rsid w:val="004942AB"/>
    <w:rsid w:val="004942D1"/>
    <w:rsid w:val="004942D9"/>
    <w:rsid w:val="004942FF"/>
    <w:rsid w:val="00494308"/>
    <w:rsid w:val="0049434E"/>
    <w:rsid w:val="004943EB"/>
    <w:rsid w:val="0049444C"/>
    <w:rsid w:val="00494461"/>
    <w:rsid w:val="0049446F"/>
    <w:rsid w:val="004944B9"/>
    <w:rsid w:val="004944CA"/>
    <w:rsid w:val="004945B9"/>
    <w:rsid w:val="004945D5"/>
    <w:rsid w:val="004945E1"/>
    <w:rsid w:val="0049460F"/>
    <w:rsid w:val="00494630"/>
    <w:rsid w:val="00494648"/>
    <w:rsid w:val="00494679"/>
    <w:rsid w:val="00494696"/>
    <w:rsid w:val="00494732"/>
    <w:rsid w:val="00494755"/>
    <w:rsid w:val="004947E4"/>
    <w:rsid w:val="00494831"/>
    <w:rsid w:val="00494965"/>
    <w:rsid w:val="00494A0E"/>
    <w:rsid w:val="00494ACD"/>
    <w:rsid w:val="00494AD1"/>
    <w:rsid w:val="00494B00"/>
    <w:rsid w:val="00494BB6"/>
    <w:rsid w:val="00494BC7"/>
    <w:rsid w:val="00494C26"/>
    <w:rsid w:val="00494C2F"/>
    <w:rsid w:val="00494C38"/>
    <w:rsid w:val="00494C4E"/>
    <w:rsid w:val="00494C56"/>
    <w:rsid w:val="00494CCC"/>
    <w:rsid w:val="00494CD2"/>
    <w:rsid w:val="00494CE0"/>
    <w:rsid w:val="00494CE4"/>
    <w:rsid w:val="00494DBB"/>
    <w:rsid w:val="00494DD1"/>
    <w:rsid w:val="00494DDC"/>
    <w:rsid w:val="00494DEA"/>
    <w:rsid w:val="00494EA7"/>
    <w:rsid w:val="00494ECC"/>
    <w:rsid w:val="00494F5D"/>
    <w:rsid w:val="00494F88"/>
    <w:rsid w:val="00494FED"/>
    <w:rsid w:val="0049501C"/>
    <w:rsid w:val="00495090"/>
    <w:rsid w:val="004950AC"/>
    <w:rsid w:val="00495123"/>
    <w:rsid w:val="00495165"/>
    <w:rsid w:val="00495200"/>
    <w:rsid w:val="00495207"/>
    <w:rsid w:val="00495219"/>
    <w:rsid w:val="004952AE"/>
    <w:rsid w:val="00495364"/>
    <w:rsid w:val="0049538E"/>
    <w:rsid w:val="0049539C"/>
    <w:rsid w:val="004953A0"/>
    <w:rsid w:val="004953C9"/>
    <w:rsid w:val="004953DA"/>
    <w:rsid w:val="00495437"/>
    <w:rsid w:val="00495490"/>
    <w:rsid w:val="004954A6"/>
    <w:rsid w:val="0049554C"/>
    <w:rsid w:val="00495561"/>
    <w:rsid w:val="004955CE"/>
    <w:rsid w:val="0049566C"/>
    <w:rsid w:val="0049568A"/>
    <w:rsid w:val="00495694"/>
    <w:rsid w:val="00495699"/>
    <w:rsid w:val="004956B5"/>
    <w:rsid w:val="004956E7"/>
    <w:rsid w:val="00495701"/>
    <w:rsid w:val="00495732"/>
    <w:rsid w:val="0049575D"/>
    <w:rsid w:val="00495770"/>
    <w:rsid w:val="00495784"/>
    <w:rsid w:val="004957CC"/>
    <w:rsid w:val="004957E5"/>
    <w:rsid w:val="00495826"/>
    <w:rsid w:val="00495844"/>
    <w:rsid w:val="00495860"/>
    <w:rsid w:val="00495876"/>
    <w:rsid w:val="004958A6"/>
    <w:rsid w:val="004958C2"/>
    <w:rsid w:val="00495941"/>
    <w:rsid w:val="00495949"/>
    <w:rsid w:val="00495960"/>
    <w:rsid w:val="004959CC"/>
    <w:rsid w:val="00495A17"/>
    <w:rsid w:val="00495AEE"/>
    <w:rsid w:val="00495AF1"/>
    <w:rsid w:val="00495BAF"/>
    <w:rsid w:val="00495BBC"/>
    <w:rsid w:val="00495C15"/>
    <w:rsid w:val="00495C95"/>
    <w:rsid w:val="00495CE1"/>
    <w:rsid w:val="00495CE8"/>
    <w:rsid w:val="00495D04"/>
    <w:rsid w:val="00495D57"/>
    <w:rsid w:val="00495DDE"/>
    <w:rsid w:val="00495E79"/>
    <w:rsid w:val="00495E8C"/>
    <w:rsid w:val="00495EC7"/>
    <w:rsid w:val="00495F07"/>
    <w:rsid w:val="00495F2A"/>
    <w:rsid w:val="00495F38"/>
    <w:rsid w:val="00496065"/>
    <w:rsid w:val="00496084"/>
    <w:rsid w:val="004960CB"/>
    <w:rsid w:val="0049610C"/>
    <w:rsid w:val="00496178"/>
    <w:rsid w:val="00496196"/>
    <w:rsid w:val="004961D7"/>
    <w:rsid w:val="004961F9"/>
    <w:rsid w:val="004961FB"/>
    <w:rsid w:val="0049622A"/>
    <w:rsid w:val="0049626A"/>
    <w:rsid w:val="0049627C"/>
    <w:rsid w:val="0049630D"/>
    <w:rsid w:val="00496331"/>
    <w:rsid w:val="0049641D"/>
    <w:rsid w:val="00496427"/>
    <w:rsid w:val="0049647E"/>
    <w:rsid w:val="0049655E"/>
    <w:rsid w:val="004965F9"/>
    <w:rsid w:val="004965FA"/>
    <w:rsid w:val="0049662D"/>
    <w:rsid w:val="00496701"/>
    <w:rsid w:val="00496719"/>
    <w:rsid w:val="0049672A"/>
    <w:rsid w:val="00496788"/>
    <w:rsid w:val="0049679D"/>
    <w:rsid w:val="00496808"/>
    <w:rsid w:val="00496824"/>
    <w:rsid w:val="0049687B"/>
    <w:rsid w:val="004968C9"/>
    <w:rsid w:val="00496915"/>
    <w:rsid w:val="00496917"/>
    <w:rsid w:val="0049697A"/>
    <w:rsid w:val="00496AAA"/>
    <w:rsid w:val="00496AF0"/>
    <w:rsid w:val="00496AFB"/>
    <w:rsid w:val="00496B51"/>
    <w:rsid w:val="00496B54"/>
    <w:rsid w:val="00496B80"/>
    <w:rsid w:val="00496BF9"/>
    <w:rsid w:val="00496C67"/>
    <w:rsid w:val="00496C6F"/>
    <w:rsid w:val="00496C8C"/>
    <w:rsid w:val="00496CDB"/>
    <w:rsid w:val="00496D33"/>
    <w:rsid w:val="00496DD1"/>
    <w:rsid w:val="00496DDA"/>
    <w:rsid w:val="00496DFC"/>
    <w:rsid w:val="00496E17"/>
    <w:rsid w:val="00496EA0"/>
    <w:rsid w:val="00496EB2"/>
    <w:rsid w:val="00496ECA"/>
    <w:rsid w:val="00496F15"/>
    <w:rsid w:val="00496F34"/>
    <w:rsid w:val="00496F40"/>
    <w:rsid w:val="00496F95"/>
    <w:rsid w:val="00496FA9"/>
    <w:rsid w:val="00496FD7"/>
    <w:rsid w:val="0049700E"/>
    <w:rsid w:val="00497018"/>
    <w:rsid w:val="004970D4"/>
    <w:rsid w:val="00497182"/>
    <w:rsid w:val="00497199"/>
    <w:rsid w:val="0049719A"/>
    <w:rsid w:val="0049719C"/>
    <w:rsid w:val="004971AF"/>
    <w:rsid w:val="004971F8"/>
    <w:rsid w:val="004972A7"/>
    <w:rsid w:val="004972BF"/>
    <w:rsid w:val="004972FA"/>
    <w:rsid w:val="00497302"/>
    <w:rsid w:val="00497318"/>
    <w:rsid w:val="0049731E"/>
    <w:rsid w:val="00497367"/>
    <w:rsid w:val="0049737C"/>
    <w:rsid w:val="00497382"/>
    <w:rsid w:val="00497538"/>
    <w:rsid w:val="0049757B"/>
    <w:rsid w:val="004975AA"/>
    <w:rsid w:val="00497615"/>
    <w:rsid w:val="004976AA"/>
    <w:rsid w:val="004976B7"/>
    <w:rsid w:val="004976CE"/>
    <w:rsid w:val="00497725"/>
    <w:rsid w:val="00497795"/>
    <w:rsid w:val="00497875"/>
    <w:rsid w:val="0049788D"/>
    <w:rsid w:val="004978C9"/>
    <w:rsid w:val="00497932"/>
    <w:rsid w:val="0049794E"/>
    <w:rsid w:val="0049798A"/>
    <w:rsid w:val="00497998"/>
    <w:rsid w:val="004979C8"/>
    <w:rsid w:val="004979CE"/>
    <w:rsid w:val="004979E3"/>
    <w:rsid w:val="00497A36"/>
    <w:rsid w:val="00497B60"/>
    <w:rsid w:val="00497B69"/>
    <w:rsid w:val="00497BBA"/>
    <w:rsid w:val="00497BCA"/>
    <w:rsid w:val="00497C1D"/>
    <w:rsid w:val="00497C2B"/>
    <w:rsid w:val="00497C7D"/>
    <w:rsid w:val="00497D64"/>
    <w:rsid w:val="00497D6A"/>
    <w:rsid w:val="00497DB5"/>
    <w:rsid w:val="00497E00"/>
    <w:rsid w:val="00497E2C"/>
    <w:rsid w:val="00497E66"/>
    <w:rsid w:val="00497EB1"/>
    <w:rsid w:val="00497F44"/>
    <w:rsid w:val="00497FE3"/>
    <w:rsid w:val="004A00BB"/>
    <w:rsid w:val="004A00C3"/>
    <w:rsid w:val="004A00E9"/>
    <w:rsid w:val="004A012D"/>
    <w:rsid w:val="004A018B"/>
    <w:rsid w:val="004A018F"/>
    <w:rsid w:val="004A01AD"/>
    <w:rsid w:val="004A01E6"/>
    <w:rsid w:val="004A023B"/>
    <w:rsid w:val="004A0279"/>
    <w:rsid w:val="004A038B"/>
    <w:rsid w:val="004A041C"/>
    <w:rsid w:val="004A04F4"/>
    <w:rsid w:val="004A0577"/>
    <w:rsid w:val="004A0586"/>
    <w:rsid w:val="004A058B"/>
    <w:rsid w:val="004A0598"/>
    <w:rsid w:val="004A05B7"/>
    <w:rsid w:val="004A05D5"/>
    <w:rsid w:val="004A05E5"/>
    <w:rsid w:val="004A069C"/>
    <w:rsid w:val="004A07B2"/>
    <w:rsid w:val="004A07C6"/>
    <w:rsid w:val="004A07DC"/>
    <w:rsid w:val="004A07EA"/>
    <w:rsid w:val="004A07F8"/>
    <w:rsid w:val="004A0824"/>
    <w:rsid w:val="004A0894"/>
    <w:rsid w:val="004A08E8"/>
    <w:rsid w:val="004A0946"/>
    <w:rsid w:val="004A09AA"/>
    <w:rsid w:val="004A09C1"/>
    <w:rsid w:val="004A09D3"/>
    <w:rsid w:val="004A09F9"/>
    <w:rsid w:val="004A0B13"/>
    <w:rsid w:val="004A0B18"/>
    <w:rsid w:val="004A0B5D"/>
    <w:rsid w:val="004A0BA2"/>
    <w:rsid w:val="004A0C5A"/>
    <w:rsid w:val="004A0CF3"/>
    <w:rsid w:val="004A0D52"/>
    <w:rsid w:val="004A0D5E"/>
    <w:rsid w:val="004A0D9D"/>
    <w:rsid w:val="004A0E3B"/>
    <w:rsid w:val="004A0E78"/>
    <w:rsid w:val="004A0EA2"/>
    <w:rsid w:val="004A0ED2"/>
    <w:rsid w:val="004A0EF3"/>
    <w:rsid w:val="004A0F11"/>
    <w:rsid w:val="004A0F4F"/>
    <w:rsid w:val="004A0F50"/>
    <w:rsid w:val="004A0F52"/>
    <w:rsid w:val="004A0F79"/>
    <w:rsid w:val="004A0F85"/>
    <w:rsid w:val="004A0F95"/>
    <w:rsid w:val="004A0FA2"/>
    <w:rsid w:val="004A0FA5"/>
    <w:rsid w:val="004A0FAC"/>
    <w:rsid w:val="004A0FF3"/>
    <w:rsid w:val="004A0FF6"/>
    <w:rsid w:val="004A1058"/>
    <w:rsid w:val="004A10DC"/>
    <w:rsid w:val="004A111B"/>
    <w:rsid w:val="004A1162"/>
    <w:rsid w:val="004A11DA"/>
    <w:rsid w:val="004A11E2"/>
    <w:rsid w:val="004A127A"/>
    <w:rsid w:val="004A129B"/>
    <w:rsid w:val="004A129C"/>
    <w:rsid w:val="004A12C9"/>
    <w:rsid w:val="004A1357"/>
    <w:rsid w:val="004A1385"/>
    <w:rsid w:val="004A13B1"/>
    <w:rsid w:val="004A1413"/>
    <w:rsid w:val="004A141B"/>
    <w:rsid w:val="004A148A"/>
    <w:rsid w:val="004A14BC"/>
    <w:rsid w:val="004A14CA"/>
    <w:rsid w:val="004A14ED"/>
    <w:rsid w:val="004A15F0"/>
    <w:rsid w:val="004A1651"/>
    <w:rsid w:val="004A165B"/>
    <w:rsid w:val="004A1693"/>
    <w:rsid w:val="004A16D1"/>
    <w:rsid w:val="004A1747"/>
    <w:rsid w:val="004A1789"/>
    <w:rsid w:val="004A1834"/>
    <w:rsid w:val="004A1914"/>
    <w:rsid w:val="004A191E"/>
    <w:rsid w:val="004A193D"/>
    <w:rsid w:val="004A195F"/>
    <w:rsid w:val="004A196B"/>
    <w:rsid w:val="004A1A35"/>
    <w:rsid w:val="004A1A4C"/>
    <w:rsid w:val="004A1A51"/>
    <w:rsid w:val="004A1A63"/>
    <w:rsid w:val="004A1A7F"/>
    <w:rsid w:val="004A1ABC"/>
    <w:rsid w:val="004A1B4B"/>
    <w:rsid w:val="004A1BCB"/>
    <w:rsid w:val="004A1C83"/>
    <w:rsid w:val="004A1CBD"/>
    <w:rsid w:val="004A1CFD"/>
    <w:rsid w:val="004A1D15"/>
    <w:rsid w:val="004A1D2A"/>
    <w:rsid w:val="004A1D7C"/>
    <w:rsid w:val="004A1D9B"/>
    <w:rsid w:val="004A1DA0"/>
    <w:rsid w:val="004A1DA2"/>
    <w:rsid w:val="004A1E39"/>
    <w:rsid w:val="004A1E4E"/>
    <w:rsid w:val="004A1E86"/>
    <w:rsid w:val="004A1F27"/>
    <w:rsid w:val="004A1F7F"/>
    <w:rsid w:val="004A2020"/>
    <w:rsid w:val="004A2030"/>
    <w:rsid w:val="004A2043"/>
    <w:rsid w:val="004A206C"/>
    <w:rsid w:val="004A20BD"/>
    <w:rsid w:val="004A210C"/>
    <w:rsid w:val="004A2130"/>
    <w:rsid w:val="004A214A"/>
    <w:rsid w:val="004A2158"/>
    <w:rsid w:val="004A2181"/>
    <w:rsid w:val="004A21F0"/>
    <w:rsid w:val="004A21F7"/>
    <w:rsid w:val="004A2205"/>
    <w:rsid w:val="004A2299"/>
    <w:rsid w:val="004A2346"/>
    <w:rsid w:val="004A23A5"/>
    <w:rsid w:val="004A23EC"/>
    <w:rsid w:val="004A2447"/>
    <w:rsid w:val="004A2451"/>
    <w:rsid w:val="004A2476"/>
    <w:rsid w:val="004A2480"/>
    <w:rsid w:val="004A24BA"/>
    <w:rsid w:val="004A24C8"/>
    <w:rsid w:val="004A259D"/>
    <w:rsid w:val="004A25A5"/>
    <w:rsid w:val="004A25CB"/>
    <w:rsid w:val="004A25FD"/>
    <w:rsid w:val="004A270E"/>
    <w:rsid w:val="004A27B1"/>
    <w:rsid w:val="004A2801"/>
    <w:rsid w:val="004A2817"/>
    <w:rsid w:val="004A28DF"/>
    <w:rsid w:val="004A28EF"/>
    <w:rsid w:val="004A2950"/>
    <w:rsid w:val="004A297F"/>
    <w:rsid w:val="004A299B"/>
    <w:rsid w:val="004A29A7"/>
    <w:rsid w:val="004A29E5"/>
    <w:rsid w:val="004A2A19"/>
    <w:rsid w:val="004A2A24"/>
    <w:rsid w:val="004A2A27"/>
    <w:rsid w:val="004A2A7F"/>
    <w:rsid w:val="004A2AA7"/>
    <w:rsid w:val="004A2B19"/>
    <w:rsid w:val="004A2B1A"/>
    <w:rsid w:val="004A2B3A"/>
    <w:rsid w:val="004A2B4F"/>
    <w:rsid w:val="004A2B71"/>
    <w:rsid w:val="004A2BE5"/>
    <w:rsid w:val="004A2C51"/>
    <w:rsid w:val="004A2C5A"/>
    <w:rsid w:val="004A2CAD"/>
    <w:rsid w:val="004A2D06"/>
    <w:rsid w:val="004A2D11"/>
    <w:rsid w:val="004A2D36"/>
    <w:rsid w:val="004A2D4C"/>
    <w:rsid w:val="004A2D58"/>
    <w:rsid w:val="004A2E0B"/>
    <w:rsid w:val="004A2ECE"/>
    <w:rsid w:val="004A2ED9"/>
    <w:rsid w:val="004A300C"/>
    <w:rsid w:val="004A3029"/>
    <w:rsid w:val="004A30AE"/>
    <w:rsid w:val="004A30B9"/>
    <w:rsid w:val="004A30D3"/>
    <w:rsid w:val="004A31A0"/>
    <w:rsid w:val="004A31E0"/>
    <w:rsid w:val="004A323B"/>
    <w:rsid w:val="004A3265"/>
    <w:rsid w:val="004A33CF"/>
    <w:rsid w:val="004A33D8"/>
    <w:rsid w:val="004A33EA"/>
    <w:rsid w:val="004A3543"/>
    <w:rsid w:val="004A35A0"/>
    <w:rsid w:val="004A35BE"/>
    <w:rsid w:val="004A3601"/>
    <w:rsid w:val="004A3612"/>
    <w:rsid w:val="004A36F9"/>
    <w:rsid w:val="004A374B"/>
    <w:rsid w:val="004A3797"/>
    <w:rsid w:val="004A37D2"/>
    <w:rsid w:val="004A3848"/>
    <w:rsid w:val="004A3862"/>
    <w:rsid w:val="004A3890"/>
    <w:rsid w:val="004A393F"/>
    <w:rsid w:val="004A3943"/>
    <w:rsid w:val="004A3970"/>
    <w:rsid w:val="004A397E"/>
    <w:rsid w:val="004A399F"/>
    <w:rsid w:val="004A39A9"/>
    <w:rsid w:val="004A39FF"/>
    <w:rsid w:val="004A3A0A"/>
    <w:rsid w:val="004A3A18"/>
    <w:rsid w:val="004A3A26"/>
    <w:rsid w:val="004A3AE3"/>
    <w:rsid w:val="004A3B07"/>
    <w:rsid w:val="004A3B38"/>
    <w:rsid w:val="004A3B46"/>
    <w:rsid w:val="004A3B95"/>
    <w:rsid w:val="004A3B97"/>
    <w:rsid w:val="004A3C3C"/>
    <w:rsid w:val="004A3CFC"/>
    <w:rsid w:val="004A3D0D"/>
    <w:rsid w:val="004A3D4E"/>
    <w:rsid w:val="004A3D81"/>
    <w:rsid w:val="004A3DE5"/>
    <w:rsid w:val="004A3E39"/>
    <w:rsid w:val="004A3E77"/>
    <w:rsid w:val="004A3EAA"/>
    <w:rsid w:val="004A3EF2"/>
    <w:rsid w:val="004A3FC9"/>
    <w:rsid w:val="004A3FDB"/>
    <w:rsid w:val="004A4045"/>
    <w:rsid w:val="004A4072"/>
    <w:rsid w:val="004A408D"/>
    <w:rsid w:val="004A409E"/>
    <w:rsid w:val="004A4126"/>
    <w:rsid w:val="004A4154"/>
    <w:rsid w:val="004A41F4"/>
    <w:rsid w:val="004A4214"/>
    <w:rsid w:val="004A4269"/>
    <w:rsid w:val="004A4281"/>
    <w:rsid w:val="004A42DC"/>
    <w:rsid w:val="004A42F3"/>
    <w:rsid w:val="004A4313"/>
    <w:rsid w:val="004A4316"/>
    <w:rsid w:val="004A4324"/>
    <w:rsid w:val="004A43D2"/>
    <w:rsid w:val="004A43EE"/>
    <w:rsid w:val="004A4403"/>
    <w:rsid w:val="004A441C"/>
    <w:rsid w:val="004A4443"/>
    <w:rsid w:val="004A4472"/>
    <w:rsid w:val="004A44A7"/>
    <w:rsid w:val="004A44FE"/>
    <w:rsid w:val="004A4556"/>
    <w:rsid w:val="004A45BE"/>
    <w:rsid w:val="004A468C"/>
    <w:rsid w:val="004A4698"/>
    <w:rsid w:val="004A476F"/>
    <w:rsid w:val="004A4774"/>
    <w:rsid w:val="004A4859"/>
    <w:rsid w:val="004A48D0"/>
    <w:rsid w:val="004A4915"/>
    <w:rsid w:val="004A4920"/>
    <w:rsid w:val="004A493C"/>
    <w:rsid w:val="004A4978"/>
    <w:rsid w:val="004A497B"/>
    <w:rsid w:val="004A49B9"/>
    <w:rsid w:val="004A49BA"/>
    <w:rsid w:val="004A4A22"/>
    <w:rsid w:val="004A4A2F"/>
    <w:rsid w:val="004A4A31"/>
    <w:rsid w:val="004A4A5F"/>
    <w:rsid w:val="004A4A74"/>
    <w:rsid w:val="004A4A80"/>
    <w:rsid w:val="004A4AB9"/>
    <w:rsid w:val="004A4AC0"/>
    <w:rsid w:val="004A4AFB"/>
    <w:rsid w:val="004A4B58"/>
    <w:rsid w:val="004A4C27"/>
    <w:rsid w:val="004A4C3F"/>
    <w:rsid w:val="004A4C5F"/>
    <w:rsid w:val="004A4CCA"/>
    <w:rsid w:val="004A4D0C"/>
    <w:rsid w:val="004A4DA1"/>
    <w:rsid w:val="004A4E16"/>
    <w:rsid w:val="004A4EFB"/>
    <w:rsid w:val="004A4F06"/>
    <w:rsid w:val="004A4F72"/>
    <w:rsid w:val="004A4FBE"/>
    <w:rsid w:val="004A4FFD"/>
    <w:rsid w:val="004A5022"/>
    <w:rsid w:val="004A5056"/>
    <w:rsid w:val="004A50A9"/>
    <w:rsid w:val="004A50ED"/>
    <w:rsid w:val="004A51B7"/>
    <w:rsid w:val="004A51BD"/>
    <w:rsid w:val="004A51E9"/>
    <w:rsid w:val="004A5206"/>
    <w:rsid w:val="004A525F"/>
    <w:rsid w:val="004A5267"/>
    <w:rsid w:val="004A5282"/>
    <w:rsid w:val="004A5350"/>
    <w:rsid w:val="004A5363"/>
    <w:rsid w:val="004A53D2"/>
    <w:rsid w:val="004A53E0"/>
    <w:rsid w:val="004A541F"/>
    <w:rsid w:val="004A5420"/>
    <w:rsid w:val="004A5483"/>
    <w:rsid w:val="004A5497"/>
    <w:rsid w:val="004A54A6"/>
    <w:rsid w:val="004A54BF"/>
    <w:rsid w:val="004A54DB"/>
    <w:rsid w:val="004A553B"/>
    <w:rsid w:val="004A5582"/>
    <w:rsid w:val="004A55FC"/>
    <w:rsid w:val="004A5670"/>
    <w:rsid w:val="004A56D0"/>
    <w:rsid w:val="004A56EF"/>
    <w:rsid w:val="004A5708"/>
    <w:rsid w:val="004A5720"/>
    <w:rsid w:val="004A5722"/>
    <w:rsid w:val="004A5723"/>
    <w:rsid w:val="004A57A3"/>
    <w:rsid w:val="004A57B5"/>
    <w:rsid w:val="004A57D1"/>
    <w:rsid w:val="004A57F7"/>
    <w:rsid w:val="004A5873"/>
    <w:rsid w:val="004A5935"/>
    <w:rsid w:val="004A5971"/>
    <w:rsid w:val="004A597C"/>
    <w:rsid w:val="004A5A3F"/>
    <w:rsid w:val="004A5A42"/>
    <w:rsid w:val="004A5A68"/>
    <w:rsid w:val="004A5AA8"/>
    <w:rsid w:val="004A5AEA"/>
    <w:rsid w:val="004A5BDA"/>
    <w:rsid w:val="004A5C00"/>
    <w:rsid w:val="004A5C2D"/>
    <w:rsid w:val="004A5C39"/>
    <w:rsid w:val="004A5C4A"/>
    <w:rsid w:val="004A5CD4"/>
    <w:rsid w:val="004A5D3B"/>
    <w:rsid w:val="004A5D40"/>
    <w:rsid w:val="004A5D6A"/>
    <w:rsid w:val="004A5DAE"/>
    <w:rsid w:val="004A5DE0"/>
    <w:rsid w:val="004A5E25"/>
    <w:rsid w:val="004A5E50"/>
    <w:rsid w:val="004A5EC8"/>
    <w:rsid w:val="004A5FE4"/>
    <w:rsid w:val="004A6004"/>
    <w:rsid w:val="004A6009"/>
    <w:rsid w:val="004A6010"/>
    <w:rsid w:val="004A608D"/>
    <w:rsid w:val="004A60B2"/>
    <w:rsid w:val="004A60B5"/>
    <w:rsid w:val="004A6121"/>
    <w:rsid w:val="004A617D"/>
    <w:rsid w:val="004A61D4"/>
    <w:rsid w:val="004A624D"/>
    <w:rsid w:val="004A62B3"/>
    <w:rsid w:val="004A62C4"/>
    <w:rsid w:val="004A62D0"/>
    <w:rsid w:val="004A6317"/>
    <w:rsid w:val="004A631E"/>
    <w:rsid w:val="004A638A"/>
    <w:rsid w:val="004A63FF"/>
    <w:rsid w:val="004A6488"/>
    <w:rsid w:val="004A6500"/>
    <w:rsid w:val="004A6522"/>
    <w:rsid w:val="004A6562"/>
    <w:rsid w:val="004A6609"/>
    <w:rsid w:val="004A6646"/>
    <w:rsid w:val="004A678C"/>
    <w:rsid w:val="004A67B9"/>
    <w:rsid w:val="004A67F5"/>
    <w:rsid w:val="004A680C"/>
    <w:rsid w:val="004A6861"/>
    <w:rsid w:val="004A6872"/>
    <w:rsid w:val="004A688B"/>
    <w:rsid w:val="004A68C1"/>
    <w:rsid w:val="004A68EF"/>
    <w:rsid w:val="004A68FE"/>
    <w:rsid w:val="004A693B"/>
    <w:rsid w:val="004A69B8"/>
    <w:rsid w:val="004A69C1"/>
    <w:rsid w:val="004A69DC"/>
    <w:rsid w:val="004A6A5C"/>
    <w:rsid w:val="004A6A68"/>
    <w:rsid w:val="004A6AB8"/>
    <w:rsid w:val="004A6AF2"/>
    <w:rsid w:val="004A6B5E"/>
    <w:rsid w:val="004A6B61"/>
    <w:rsid w:val="004A6B7F"/>
    <w:rsid w:val="004A6BD7"/>
    <w:rsid w:val="004A6C25"/>
    <w:rsid w:val="004A6C5D"/>
    <w:rsid w:val="004A6CA8"/>
    <w:rsid w:val="004A6CC2"/>
    <w:rsid w:val="004A6CFF"/>
    <w:rsid w:val="004A6D3F"/>
    <w:rsid w:val="004A6D4B"/>
    <w:rsid w:val="004A6D6C"/>
    <w:rsid w:val="004A6D7A"/>
    <w:rsid w:val="004A6D8B"/>
    <w:rsid w:val="004A6DAF"/>
    <w:rsid w:val="004A6E15"/>
    <w:rsid w:val="004A6E39"/>
    <w:rsid w:val="004A6E6C"/>
    <w:rsid w:val="004A6F2D"/>
    <w:rsid w:val="004A6F3D"/>
    <w:rsid w:val="004A6F54"/>
    <w:rsid w:val="004A6FD7"/>
    <w:rsid w:val="004A6FE5"/>
    <w:rsid w:val="004A7016"/>
    <w:rsid w:val="004A703A"/>
    <w:rsid w:val="004A703C"/>
    <w:rsid w:val="004A704F"/>
    <w:rsid w:val="004A7169"/>
    <w:rsid w:val="004A7175"/>
    <w:rsid w:val="004A7184"/>
    <w:rsid w:val="004A718F"/>
    <w:rsid w:val="004A71B1"/>
    <w:rsid w:val="004A71CD"/>
    <w:rsid w:val="004A71D8"/>
    <w:rsid w:val="004A71ED"/>
    <w:rsid w:val="004A7258"/>
    <w:rsid w:val="004A729B"/>
    <w:rsid w:val="004A72C1"/>
    <w:rsid w:val="004A72CF"/>
    <w:rsid w:val="004A7372"/>
    <w:rsid w:val="004A740B"/>
    <w:rsid w:val="004A74BB"/>
    <w:rsid w:val="004A74F7"/>
    <w:rsid w:val="004A74F8"/>
    <w:rsid w:val="004A7533"/>
    <w:rsid w:val="004A75E2"/>
    <w:rsid w:val="004A762A"/>
    <w:rsid w:val="004A765A"/>
    <w:rsid w:val="004A76BA"/>
    <w:rsid w:val="004A777D"/>
    <w:rsid w:val="004A778E"/>
    <w:rsid w:val="004A77BD"/>
    <w:rsid w:val="004A780E"/>
    <w:rsid w:val="004A781E"/>
    <w:rsid w:val="004A788F"/>
    <w:rsid w:val="004A78B9"/>
    <w:rsid w:val="004A78F5"/>
    <w:rsid w:val="004A7902"/>
    <w:rsid w:val="004A7966"/>
    <w:rsid w:val="004A79F1"/>
    <w:rsid w:val="004A7A3A"/>
    <w:rsid w:val="004A7A4F"/>
    <w:rsid w:val="004A7A61"/>
    <w:rsid w:val="004A7A86"/>
    <w:rsid w:val="004A7ABF"/>
    <w:rsid w:val="004A7B0E"/>
    <w:rsid w:val="004A7B5C"/>
    <w:rsid w:val="004A7C0C"/>
    <w:rsid w:val="004A7C72"/>
    <w:rsid w:val="004A7CA3"/>
    <w:rsid w:val="004A7CB7"/>
    <w:rsid w:val="004A7D69"/>
    <w:rsid w:val="004A7D97"/>
    <w:rsid w:val="004A7DE2"/>
    <w:rsid w:val="004A7DF2"/>
    <w:rsid w:val="004A7E18"/>
    <w:rsid w:val="004A7E27"/>
    <w:rsid w:val="004A7F0B"/>
    <w:rsid w:val="004A7F5E"/>
    <w:rsid w:val="004A7F76"/>
    <w:rsid w:val="004A7F7B"/>
    <w:rsid w:val="004A7F9F"/>
    <w:rsid w:val="004A7FE1"/>
    <w:rsid w:val="004B0045"/>
    <w:rsid w:val="004B0135"/>
    <w:rsid w:val="004B017E"/>
    <w:rsid w:val="004B01D2"/>
    <w:rsid w:val="004B026A"/>
    <w:rsid w:val="004B027B"/>
    <w:rsid w:val="004B02E0"/>
    <w:rsid w:val="004B032E"/>
    <w:rsid w:val="004B03CA"/>
    <w:rsid w:val="004B03E2"/>
    <w:rsid w:val="004B04C8"/>
    <w:rsid w:val="004B0521"/>
    <w:rsid w:val="004B0545"/>
    <w:rsid w:val="004B0583"/>
    <w:rsid w:val="004B0598"/>
    <w:rsid w:val="004B05C1"/>
    <w:rsid w:val="004B068B"/>
    <w:rsid w:val="004B06B5"/>
    <w:rsid w:val="004B071F"/>
    <w:rsid w:val="004B0736"/>
    <w:rsid w:val="004B076D"/>
    <w:rsid w:val="004B07B0"/>
    <w:rsid w:val="004B07D9"/>
    <w:rsid w:val="004B0849"/>
    <w:rsid w:val="004B08AA"/>
    <w:rsid w:val="004B08B4"/>
    <w:rsid w:val="004B08BE"/>
    <w:rsid w:val="004B08C8"/>
    <w:rsid w:val="004B0936"/>
    <w:rsid w:val="004B093F"/>
    <w:rsid w:val="004B0A11"/>
    <w:rsid w:val="004B0A2D"/>
    <w:rsid w:val="004B0A53"/>
    <w:rsid w:val="004B0A9D"/>
    <w:rsid w:val="004B0B63"/>
    <w:rsid w:val="004B0B73"/>
    <w:rsid w:val="004B0C08"/>
    <w:rsid w:val="004B0C18"/>
    <w:rsid w:val="004B0C4C"/>
    <w:rsid w:val="004B0C67"/>
    <w:rsid w:val="004B0D2E"/>
    <w:rsid w:val="004B0D40"/>
    <w:rsid w:val="004B0D69"/>
    <w:rsid w:val="004B0D86"/>
    <w:rsid w:val="004B0D89"/>
    <w:rsid w:val="004B0DE6"/>
    <w:rsid w:val="004B0E0F"/>
    <w:rsid w:val="004B0E37"/>
    <w:rsid w:val="004B0E96"/>
    <w:rsid w:val="004B0EB7"/>
    <w:rsid w:val="004B0EDD"/>
    <w:rsid w:val="004B0F31"/>
    <w:rsid w:val="004B0F75"/>
    <w:rsid w:val="004B0FA4"/>
    <w:rsid w:val="004B0FDB"/>
    <w:rsid w:val="004B0FF4"/>
    <w:rsid w:val="004B101C"/>
    <w:rsid w:val="004B1039"/>
    <w:rsid w:val="004B104B"/>
    <w:rsid w:val="004B1050"/>
    <w:rsid w:val="004B108F"/>
    <w:rsid w:val="004B10F9"/>
    <w:rsid w:val="004B1115"/>
    <w:rsid w:val="004B11BC"/>
    <w:rsid w:val="004B12BA"/>
    <w:rsid w:val="004B135B"/>
    <w:rsid w:val="004B136C"/>
    <w:rsid w:val="004B1382"/>
    <w:rsid w:val="004B1384"/>
    <w:rsid w:val="004B13C1"/>
    <w:rsid w:val="004B13CC"/>
    <w:rsid w:val="004B14AC"/>
    <w:rsid w:val="004B14CE"/>
    <w:rsid w:val="004B15BE"/>
    <w:rsid w:val="004B15D8"/>
    <w:rsid w:val="004B1627"/>
    <w:rsid w:val="004B16E0"/>
    <w:rsid w:val="004B1778"/>
    <w:rsid w:val="004B1786"/>
    <w:rsid w:val="004B17F9"/>
    <w:rsid w:val="004B18D9"/>
    <w:rsid w:val="004B1911"/>
    <w:rsid w:val="004B1995"/>
    <w:rsid w:val="004B19AC"/>
    <w:rsid w:val="004B19D7"/>
    <w:rsid w:val="004B1A8A"/>
    <w:rsid w:val="004B1B44"/>
    <w:rsid w:val="004B1B73"/>
    <w:rsid w:val="004B1B78"/>
    <w:rsid w:val="004B1B90"/>
    <w:rsid w:val="004B1BD2"/>
    <w:rsid w:val="004B1C09"/>
    <w:rsid w:val="004B1C43"/>
    <w:rsid w:val="004B1C5F"/>
    <w:rsid w:val="004B1CA0"/>
    <w:rsid w:val="004B1CD0"/>
    <w:rsid w:val="004B1CED"/>
    <w:rsid w:val="004B1D24"/>
    <w:rsid w:val="004B1DB4"/>
    <w:rsid w:val="004B1E40"/>
    <w:rsid w:val="004B1E76"/>
    <w:rsid w:val="004B1EB8"/>
    <w:rsid w:val="004B1ECE"/>
    <w:rsid w:val="004B1F4F"/>
    <w:rsid w:val="004B1F51"/>
    <w:rsid w:val="004B1FB7"/>
    <w:rsid w:val="004B1FE0"/>
    <w:rsid w:val="004B2029"/>
    <w:rsid w:val="004B2045"/>
    <w:rsid w:val="004B2081"/>
    <w:rsid w:val="004B20B4"/>
    <w:rsid w:val="004B20B9"/>
    <w:rsid w:val="004B20F8"/>
    <w:rsid w:val="004B21A7"/>
    <w:rsid w:val="004B21BB"/>
    <w:rsid w:val="004B21F1"/>
    <w:rsid w:val="004B22A1"/>
    <w:rsid w:val="004B244D"/>
    <w:rsid w:val="004B2468"/>
    <w:rsid w:val="004B2491"/>
    <w:rsid w:val="004B2494"/>
    <w:rsid w:val="004B24F3"/>
    <w:rsid w:val="004B251D"/>
    <w:rsid w:val="004B251F"/>
    <w:rsid w:val="004B2572"/>
    <w:rsid w:val="004B2589"/>
    <w:rsid w:val="004B261C"/>
    <w:rsid w:val="004B263D"/>
    <w:rsid w:val="004B2772"/>
    <w:rsid w:val="004B279E"/>
    <w:rsid w:val="004B27B3"/>
    <w:rsid w:val="004B2891"/>
    <w:rsid w:val="004B2893"/>
    <w:rsid w:val="004B28CC"/>
    <w:rsid w:val="004B28E8"/>
    <w:rsid w:val="004B291A"/>
    <w:rsid w:val="004B292F"/>
    <w:rsid w:val="004B2996"/>
    <w:rsid w:val="004B29C4"/>
    <w:rsid w:val="004B29DE"/>
    <w:rsid w:val="004B29E1"/>
    <w:rsid w:val="004B2A1D"/>
    <w:rsid w:val="004B2A2A"/>
    <w:rsid w:val="004B2A5E"/>
    <w:rsid w:val="004B2ACF"/>
    <w:rsid w:val="004B2B3B"/>
    <w:rsid w:val="004B2B49"/>
    <w:rsid w:val="004B2B6A"/>
    <w:rsid w:val="004B2B77"/>
    <w:rsid w:val="004B2B98"/>
    <w:rsid w:val="004B2BB0"/>
    <w:rsid w:val="004B2BC3"/>
    <w:rsid w:val="004B2BE3"/>
    <w:rsid w:val="004B2BEF"/>
    <w:rsid w:val="004B2C6B"/>
    <w:rsid w:val="004B2DA6"/>
    <w:rsid w:val="004B2DF1"/>
    <w:rsid w:val="004B2E4D"/>
    <w:rsid w:val="004B2E6D"/>
    <w:rsid w:val="004B2E74"/>
    <w:rsid w:val="004B2E7F"/>
    <w:rsid w:val="004B2EA9"/>
    <w:rsid w:val="004B2ED9"/>
    <w:rsid w:val="004B2EED"/>
    <w:rsid w:val="004B2F7D"/>
    <w:rsid w:val="004B2FD2"/>
    <w:rsid w:val="004B3069"/>
    <w:rsid w:val="004B3097"/>
    <w:rsid w:val="004B3113"/>
    <w:rsid w:val="004B31AE"/>
    <w:rsid w:val="004B31F3"/>
    <w:rsid w:val="004B31F6"/>
    <w:rsid w:val="004B3203"/>
    <w:rsid w:val="004B322E"/>
    <w:rsid w:val="004B323B"/>
    <w:rsid w:val="004B327F"/>
    <w:rsid w:val="004B3357"/>
    <w:rsid w:val="004B33D7"/>
    <w:rsid w:val="004B3424"/>
    <w:rsid w:val="004B344B"/>
    <w:rsid w:val="004B348A"/>
    <w:rsid w:val="004B3494"/>
    <w:rsid w:val="004B34AD"/>
    <w:rsid w:val="004B359C"/>
    <w:rsid w:val="004B35BC"/>
    <w:rsid w:val="004B35DE"/>
    <w:rsid w:val="004B3697"/>
    <w:rsid w:val="004B36B0"/>
    <w:rsid w:val="004B36B2"/>
    <w:rsid w:val="004B36C0"/>
    <w:rsid w:val="004B3739"/>
    <w:rsid w:val="004B3757"/>
    <w:rsid w:val="004B37C3"/>
    <w:rsid w:val="004B383D"/>
    <w:rsid w:val="004B3870"/>
    <w:rsid w:val="004B3890"/>
    <w:rsid w:val="004B38D6"/>
    <w:rsid w:val="004B3951"/>
    <w:rsid w:val="004B3985"/>
    <w:rsid w:val="004B399F"/>
    <w:rsid w:val="004B39D1"/>
    <w:rsid w:val="004B39D6"/>
    <w:rsid w:val="004B3A23"/>
    <w:rsid w:val="004B3A3B"/>
    <w:rsid w:val="004B3A73"/>
    <w:rsid w:val="004B3A85"/>
    <w:rsid w:val="004B3AB4"/>
    <w:rsid w:val="004B3AD6"/>
    <w:rsid w:val="004B3B19"/>
    <w:rsid w:val="004B3B2D"/>
    <w:rsid w:val="004B3B38"/>
    <w:rsid w:val="004B3B56"/>
    <w:rsid w:val="004B3BB7"/>
    <w:rsid w:val="004B3BB9"/>
    <w:rsid w:val="004B3C0C"/>
    <w:rsid w:val="004B3C49"/>
    <w:rsid w:val="004B3C4E"/>
    <w:rsid w:val="004B3C5B"/>
    <w:rsid w:val="004B3CC6"/>
    <w:rsid w:val="004B3CDC"/>
    <w:rsid w:val="004B3DBA"/>
    <w:rsid w:val="004B3DBD"/>
    <w:rsid w:val="004B3E05"/>
    <w:rsid w:val="004B3E88"/>
    <w:rsid w:val="004B3E9E"/>
    <w:rsid w:val="004B3EAD"/>
    <w:rsid w:val="004B3ECC"/>
    <w:rsid w:val="004B3F28"/>
    <w:rsid w:val="004B3F7A"/>
    <w:rsid w:val="004B3FF6"/>
    <w:rsid w:val="004B4014"/>
    <w:rsid w:val="004B4066"/>
    <w:rsid w:val="004B40CE"/>
    <w:rsid w:val="004B40ED"/>
    <w:rsid w:val="004B40F2"/>
    <w:rsid w:val="004B4109"/>
    <w:rsid w:val="004B41B9"/>
    <w:rsid w:val="004B4202"/>
    <w:rsid w:val="004B4225"/>
    <w:rsid w:val="004B4257"/>
    <w:rsid w:val="004B4274"/>
    <w:rsid w:val="004B429C"/>
    <w:rsid w:val="004B4319"/>
    <w:rsid w:val="004B4341"/>
    <w:rsid w:val="004B435F"/>
    <w:rsid w:val="004B436D"/>
    <w:rsid w:val="004B4391"/>
    <w:rsid w:val="004B43B1"/>
    <w:rsid w:val="004B4498"/>
    <w:rsid w:val="004B44E4"/>
    <w:rsid w:val="004B452B"/>
    <w:rsid w:val="004B45AC"/>
    <w:rsid w:val="004B45E9"/>
    <w:rsid w:val="004B4600"/>
    <w:rsid w:val="004B4612"/>
    <w:rsid w:val="004B462A"/>
    <w:rsid w:val="004B462F"/>
    <w:rsid w:val="004B4658"/>
    <w:rsid w:val="004B4697"/>
    <w:rsid w:val="004B469E"/>
    <w:rsid w:val="004B47B0"/>
    <w:rsid w:val="004B47E3"/>
    <w:rsid w:val="004B4820"/>
    <w:rsid w:val="004B487B"/>
    <w:rsid w:val="004B48EE"/>
    <w:rsid w:val="004B491E"/>
    <w:rsid w:val="004B495B"/>
    <w:rsid w:val="004B49C4"/>
    <w:rsid w:val="004B4A24"/>
    <w:rsid w:val="004B4A27"/>
    <w:rsid w:val="004B4AC7"/>
    <w:rsid w:val="004B4B2A"/>
    <w:rsid w:val="004B4B9C"/>
    <w:rsid w:val="004B4BEF"/>
    <w:rsid w:val="004B4C4E"/>
    <w:rsid w:val="004B4C68"/>
    <w:rsid w:val="004B4C85"/>
    <w:rsid w:val="004B4CA5"/>
    <w:rsid w:val="004B4CA8"/>
    <w:rsid w:val="004B4CB9"/>
    <w:rsid w:val="004B4CC3"/>
    <w:rsid w:val="004B4D53"/>
    <w:rsid w:val="004B4D79"/>
    <w:rsid w:val="004B4D91"/>
    <w:rsid w:val="004B4E00"/>
    <w:rsid w:val="004B4F41"/>
    <w:rsid w:val="004B4F7D"/>
    <w:rsid w:val="004B4FE6"/>
    <w:rsid w:val="004B501F"/>
    <w:rsid w:val="004B50DA"/>
    <w:rsid w:val="004B50F0"/>
    <w:rsid w:val="004B5114"/>
    <w:rsid w:val="004B5133"/>
    <w:rsid w:val="004B5145"/>
    <w:rsid w:val="004B515F"/>
    <w:rsid w:val="004B5167"/>
    <w:rsid w:val="004B51B4"/>
    <w:rsid w:val="004B51BA"/>
    <w:rsid w:val="004B5228"/>
    <w:rsid w:val="004B5261"/>
    <w:rsid w:val="004B5279"/>
    <w:rsid w:val="004B528C"/>
    <w:rsid w:val="004B529A"/>
    <w:rsid w:val="004B529C"/>
    <w:rsid w:val="004B52B5"/>
    <w:rsid w:val="004B52CE"/>
    <w:rsid w:val="004B52D5"/>
    <w:rsid w:val="004B52D7"/>
    <w:rsid w:val="004B530D"/>
    <w:rsid w:val="004B5335"/>
    <w:rsid w:val="004B5390"/>
    <w:rsid w:val="004B53DC"/>
    <w:rsid w:val="004B546D"/>
    <w:rsid w:val="004B54B5"/>
    <w:rsid w:val="004B54DE"/>
    <w:rsid w:val="004B554B"/>
    <w:rsid w:val="004B5588"/>
    <w:rsid w:val="004B558B"/>
    <w:rsid w:val="004B5645"/>
    <w:rsid w:val="004B56BF"/>
    <w:rsid w:val="004B5709"/>
    <w:rsid w:val="004B579B"/>
    <w:rsid w:val="004B57CD"/>
    <w:rsid w:val="004B57FA"/>
    <w:rsid w:val="004B5827"/>
    <w:rsid w:val="004B586F"/>
    <w:rsid w:val="004B58C0"/>
    <w:rsid w:val="004B58E6"/>
    <w:rsid w:val="004B58E9"/>
    <w:rsid w:val="004B590E"/>
    <w:rsid w:val="004B5956"/>
    <w:rsid w:val="004B598A"/>
    <w:rsid w:val="004B59ED"/>
    <w:rsid w:val="004B59F7"/>
    <w:rsid w:val="004B5A39"/>
    <w:rsid w:val="004B5A5D"/>
    <w:rsid w:val="004B5A60"/>
    <w:rsid w:val="004B5B02"/>
    <w:rsid w:val="004B5B17"/>
    <w:rsid w:val="004B5B73"/>
    <w:rsid w:val="004B5B8E"/>
    <w:rsid w:val="004B5BF5"/>
    <w:rsid w:val="004B5C1B"/>
    <w:rsid w:val="004B5C24"/>
    <w:rsid w:val="004B5C63"/>
    <w:rsid w:val="004B5C9B"/>
    <w:rsid w:val="004B5CAB"/>
    <w:rsid w:val="004B5CC4"/>
    <w:rsid w:val="004B5CD3"/>
    <w:rsid w:val="004B5CDE"/>
    <w:rsid w:val="004B5DE7"/>
    <w:rsid w:val="004B5E30"/>
    <w:rsid w:val="004B5E76"/>
    <w:rsid w:val="004B5E7F"/>
    <w:rsid w:val="004B5EB8"/>
    <w:rsid w:val="004B5EE5"/>
    <w:rsid w:val="004B5F26"/>
    <w:rsid w:val="004B5F67"/>
    <w:rsid w:val="004B5F71"/>
    <w:rsid w:val="004B5F76"/>
    <w:rsid w:val="004B6062"/>
    <w:rsid w:val="004B608B"/>
    <w:rsid w:val="004B6092"/>
    <w:rsid w:val="004B60D1"/>
    <w:rsid w:val="004B61AB"/>
    <w:rsid w:val="004B620F"/>
    <w:rsid w:val="004B6222"/>
    <w:rsid w:val="004B6259"/>
    <w:rsid w:val="004B62A9"/>
    <w:rsid w:val="004B62EE"/>
    <w:rsid w:val="004B6300"/>
    <w:rsid w:val="004B634F"/>
    <w:rsid w:val="004B63FA"/>
    <w:rsid w:val="004B6417"/>
    <w:rsid w:val="004B6456"/>
    <w:rsid w:val="004B646B"/>
    <w:rsid w:val="004B648B"/>
    <w:rsid w:val="004B6584"/>
    <w:rsid w:val="004B660D"/>
    <w:rsid w:val="004B6629"/>
    <w:rsid w:val="004B66ED"/>
    <w:rsid w:val="004B6711"/>
    <w:rsid w:val="004B6722"/>
    <w:rsid w:val="004B6726"/>
    <w:rsid w:val="004B673C"/>
    <w:rsid w:val="004B67C5"/>
    <w:rsid w:val="004B67D0"/>
    <w:rsid w:val="004B67D8"/>
    <w:rsid w:val="004B67EF"/>
    <w:rsid w:val="004B680D"/>
    <w:rsid w:val="004B6855"/>
    <w:rsid w:val="004B6859"/>
    <w:rsid w:val="004B6866"/>
    <w:rsid w:val="004B68C8"/>
    <w:rsid w:val="004B69B6"/>
    <w:rsid w:val="004B69C2"/>
    <w:rsid w:val="004B69E0"/>
    <w:rsid w:val="004B6A31"/>
    <w:rsid w:val="004B6A8E"/>
    <w:rsid w:val="004B6AD6"/>
    <w:rsid w:val="004B6AFF"/>
    <w:rsid w:val="004B6B2B"/>
    <w:rsid w:val="004B6B60"/>
    <w:rsid w:val="004B6BDF"/>
    <w:rsid w:val="004B6C08"/>
    <w:rsid w:val="004B6C1E"/>
    <w:rsid w:val="004B6C1F"/>
    <w:rsid w:val="004B6C66"/>
    <w:rsid w:val="004B6D64"/>
    <w:rsid w:val="004B6E11"/>
    <w:rsid w:val="004B6E5A"/>
    <w:rsid w:val="004B6EB7"/>
    <w:rsid w:val="004B6EEB"/>
    <w:rsid w:val="004B6F05"/>
    <w:rsid w:val="004B6F72"/>
    <w:rsid w:val="004B6F75"/>
    <w:rsid w:val="004B6F78"/>
    <w:rsid w:val="004B6FAF"/>
    <w:rsid w:val="004B6FFD"/>
    <w:rsid w:val="004B7017"/>
    <w:rsid w:val="004B703E"/>
    <w:rsid w:val="004B7086"/>
    <w:rsid w:val="004B70EE"/>
    <w:rsid w:val="004B70FE"/>
    <w:rsid w:val="004B7104"/>
    <w:rsid w:val="004B7124"/>
    <w:rsid w:val="004B7182"/>
    <w:rsid w:val="004B71F4"/>
    <w:rsid w:val="004B7228"/>
    <w:rsid w:val="004B7243"/>
    <w:rsid w:val="004B7244"/>
    <w:rsid w:val="004B727E"/>
    <w:rsid w:val="004B72AB"/>
    <w:rsid w:val="004B72FA"/>
    <w:rsid w:val="004B7322"/>
    <w:rsid w:val="004B7342"/>
    <w:rsid w:val="004B7356"/>
    <w:rsid w:val="004B7376"/>
    <w:rsid w:val="004B7381"/>
    <w:rsid w:val="004B73AF"/>
    <w:rsid w:val="004B73BD"/>
    <w:rsid w:val="004B741A"/>
    <w:rsid w:val="004B7423"/>
    <w:rsid w:val="004B7433"/>
    <w:rsid w:val="004B746F"/>
    <w:rsid w:val="004B7484"/>
    <w:rsid w:val="004B74A5"/>
    <w:rsid w:val="004B751F"/>
    <w:rsid w:val="004B756C"/>
    <w:rsid w:val="004B7589"/>
    <w:rsid w:val="004B75A2"/>
    <w:rsid w:val="004B75AA"/>
    <w:rsid w:val="004B75C3"/>
    <w:rsid w:val="004B75F1"/>
    <w:rsid w:val="004B75F2"/>
    <w:rsid w:val="004B764A"/>
    <w:rsid w:val="004B765B"/>
    <w:rsid w:val="004B76AF"/>
    <w:rsid w:val="004B76DF"/>
    <w:rsid w:val="004B76EE"/>
    <w:rsid w:val="004B7739"/>
    <w:rsid w:val="004B7752"/>
    <w:rsid w:val="004B77A5"/>
    <w:rsid w:val="004B7810"/>
    <w:rsid w:val="004B781E"/>
    <w:rsid w:val="004B782D"/>
    <w:rsid w:val="004B7893"/>
    <w:rsid w:val="004B78A5"/>
    <w:rsid w:val="004B78CB"/>
    <w:rsid w:val="004B7927"/>
    <w:rsid w:val="004B7971"/>
    <w:rsid w:val="004B798F"/>
    <w:rsid w:val="004B79C2"/>
    <w:rsid w:val="004B79D4"/>
    <w:rsid w:val="004B7A31"/>
    <w:rsid w:val="004B7A64"/>
    <w:rsid w:val="004B7A76"/>
    <w:rsid w:val="004B7ABC"/>
    <w:rsid w:val="004B7B1D"/>
    <w:rsid w:val="004B7B1E"/>
    <w:rsid w:val="004B7B35"/>
    <w:rsid w:val="004B7B43"/>
    <w:rsid w:val="004B7B56"/>
    <w:rsid w:val="004B7B79"/>
    <w:rsid w:val="004B7B87"/>
    <w:rsid w:val="004B7BFE"/>
    <w:rsid w:val="004B7C0E"/>
    <w:rsid w:val="004B7C38"/>
    <w:rsid w:val="004B7C95"/>
    <w:rsid w:val="004B7C9F"/>
    <w:rsid w:val="004B7CB4"/>
    <w:rsid w:val="004B7CBE"/>
    <w:rsid w:val="004B7CC5"/>
    <w:rsid w:val="004B7CF8"/>
    <w:rsid w:val="004B7D08"/>
    <w:rsid w:val="004B7D2B"/>
    <w:rsid w:val="004B7D97"/>
    <w:rsid w:val="004B7D9D"/>
    <w:rsid w:val="004B7D9F"/>
    <w:rsid w:val="004B7DB5"/>
    <w:rsid w:val="004B7DD7"/>
    <w:rsid w:val="004B7DF6"/>
    <w:rsid w:val="004B7E02"/>
    <w:rsid w:val="004B7E43"/>
    <w:rsid w:val="004B7EF0"/>
    <w:rsid w:val="004B7F1C"/>
    <w:rsid w:val="004B7F3A"/>
    <w:rsid w:val="004B7F3F"/>
    <w:rsid w:val="004B7F4A"/>
    <w:rsid w:val="004B7F93"/>
    <w:rsid w:val="004B7FC6"/>
    <w:rsid w:val="004B7FC8"/>
    <w:rsid w:val="004C00AF"/>
    <w:rsid w:val="004C00DF"/>
    <w:rsid w:val="004C0171"/>
    <w:rsid w:val="004C02B7"/>
    <w:rsid w:val="004C02D8"/>
    <w:rsid w:val="004C02EA"/>
    <w:rsid w:val="004C02F3"/>
    <w:rsid w:val="004C0328"/>
    <w:rsid w:val="004C03FD"/>
    <w:rsid w:val="004C040A"/>
    <w:rsid w:val="004C0414"/>
    <w:rsid w:val="004C0424"/>
    <w:rsid w:val="004C04A8"/>
    <w:rsid w:val="004C0512"/>
    <w:rsid w:val="004C0566"/>
    <w:rsid w:val="004C061D"/>
    <w:rsid w:val="004C065D"/>
    <w:rsid w:val="004C0698"/>
    <w:rsid w:val="004C06DA"/>
    <w:rsid w:val="004C06E3"/>
    <w:rsid w:val="004C0703"/>
    <w:rsid w:val="004C076C"/>
    <w:rsid w:val="004C0776"/>
    <w:rsid w:val="004C07E9"/>
    <w:rsid w:val="004C08CC"/>
    <w:rsid w:val="004C0905"/>
    <w:rsid w:val="004C09EF"/>
    <w:rsid w:val="004C09F4"/>
    <w:rsid w:val="004C0AA0"/>
    <w:rsid w:val="004C0AA9"/>
    <w:rsid w:val="004C0B34"/>
    <w:rsid w:val="004C0B99"/>
    <w:rsid w:val="004C0BDD"/>
    <w:rsid w:val="004C0BE2"/>
    <w:rsid w:val="004C0C8F"/>
    <w:rsid w:val="004C0CC9"/>
    <w:rsid w:val="004C0CEF"/>
    <w:rsid w:val="004C0D20"/>
    <w:rsid w:val="004C0D32"/>
    <w:rsid w:val="004C0D41"/>
    <w:rsid w:val="004C0DD7"/>
    <w:rsid w:val="004C0DFF"/>
    <w:rsid w:val="004C0E0D"/>
    <w:rsid w:val="004C0E6E"/>
    <w:rsid w:val="004C0EB8"/>
    <w:rsid w:val="004C0EBE"/>
    <w:rsid w:val="004C0F03"/>
    <w:rsid w:val="004C0F52"/>
    <w:rsid w:val="004C0F59"/>
    <w:rsid w:val="004C0FC2"/>
    <w:rsid w:val="004C0FCB"/>
    <w:rsid w:val="004C0FD5"/>
    <w:rsid w:val="004C100F"/>
    <w:rsid w:val="004C106F"/>
    <w:rsid w:val="004C10AC"/>
    <w:rsid w:val="004C113D"/>
    <w:rsid w:val="004C11A0"/>
    <w:rsid w:val="004C1286"/>
    <w:rsid w:val="004C12DD"/>
    <w:rsid w:val="004C1372"/>
    <w:rsid w:val="004C13D0"/>
    <w:rsid w:val="004C13EA"/>
    <w:rsid w:val="004C1464"/>
    <w:rsid w:val="004C1483"/>
    <w:rsid w:val="004C14E7"/>
    <w:rsid w:val="004C1690"/>
    <w:rsid w:val="004C16E8"/>
    <w:rsid w:val="004C16F6"/>
    <w:rsid w:val="004C175A"/>
    <w:rsid w:val="004C17A2"/>
    <w:rsid w:val="004C17F0"/>
    <w:rsid w:val="004C1814"/>
    <w:rsid w:val="004C183E"/>
    <w:rsid w:val="004C185D"/>
    <w:rsid w:val="004C1881"/>
    <w:rsid w:val="004C1890"/>
    <w:rsid w:val="004C18AC"/>
    <w:rsid w:val="004C19F1"/>
    <w:rsid w:val="004C1A8E"/>
    <w:rsid w:val="004C1A99"/>
    <w:rsid w:val="004C1AA0"/>
    <w:rsid w:val="004C1AB3"/>
    <w:rsid w:val="004C1BD0"/>
    <w:rsid w:val="004C1C3C"/>
    <w:rsid w:val="004C1C5C"/>
    <w:rsid w:val="004C1CCA"/>
    <w:rsid w:val="004C1D8D"/>
    <w:rsid w:val="004C1DF7"/>
    <w:rsid w:val="004C1E03"/>
    <w:rsid w:val="004C1E5E"/>
    <w:rsid w:val="004C1E98"/>
    <w:rsid w:val="004C1EA6"/>
    <w:rsid w:val="004C1ED3"/>
    <w:rsid w:val="004C1ED9"/>
    <w:rsid w:val="004C1EE5"/>
    <w:rsid w:val="004C1F01"/>
    <w:rsid w:val="004C1F2B"/>
    <w:rsid w:val="004C1F42"/>
    <w:rsid w:val="004C1F48"/>
    <w:rsid w:val="004C1F4D"/>
    <w:rsid w:val="004C1FDB"/>
    <w:rsid w:val="004C2021"/>
    <w:rsid w:val="004C211D"/>
    <w:rsid w:val="004C21BC"/>
    <w:rsid w:val="004C2263"/>
    <w:rsid w:val="004C22BC"/>
    <w:rsid w:val="004C2338"/>
    <w:rsid w:val="004C237C"/>
    <w:rsid w:val="004C2390"/>
    <w:rsid w:val="004C23DA"/>
    <w:rsid w:val="004C23FD"/>
    <w:rsid w:val="004C2415"/>
    <w:rsid w:val="004C242E"/>
    <w:rsid w:val="004C243A"/>
    <w:rsid w:val="004C2493"/>
    <w:rsid w:val="004C24E3"/>
    <w:rsid w:val="004C2543"/>
    <w:rsid w:val="004C2571"/>
    <w:rsid w:val="004C2578"/>
    <w:rsid w:val="004C2609"/>
    <w:rsid w:val="004C2614"/>
    <w:rsid w:val="004C2662"/>
    <w:rsid w:val="004C267F"/>
    <w:rsid w:val="004C26EB"/>
    <w:rsid w:val="004C2735"/>
    <w:rsid w:val="004C2773"/>
    <w:rsid w:val="004C27CA"/>
    <w:rsid w:val="004C27D0"/>
    <w:rsid w:val="004C27EE"/>
    <w:rsid w:val="004C2807"/>
    <w:rsid w:val="004C282C"/>
    <w:rsid w:val="004C283C"/>
    <w:rsid w:val="004C28C4"/>
    <w:rsid w:val="004C28D2"/>
    <w:rsid w:val="004C28EF"/>
    <w:rsid w:val="004C2902"/>
    <w:rsid w:val="004C2958"/>
    <w:rsid w:val="004C2A15"/>
    <w:rsid w:val="004C2A45"/>
    <w:rsid w:val="004C2ACF"/>
    <w:rsid w:val="004C2B0D"/>
    <w:rsid w:val="004C2B28"/>
    <w:rsid w:val="004C2C1C"/>
    <w:rsid w:val="004C2C45"/>
    <w:rsid w:val="004C2C54"/>
    <w:rsid w:val="004C2C5E"/>
    <w:rsid w:val="004C2C72"/>
    <w:rsid w:val="004C2D29"/>
    <w:rsid w:val="004C2DC0"/>
    <w:rsid w:val="004C2E01"/>
    <w:rsid w:val="004C2E3A"/>
    <w:rsid w:val="004C2E42"/>
    <w:rsid w:val="004C2E4D"/>
    <w:rsid w:val="004C2EC8"/>
    <w:rsid w:val="004C2ECA"/>
    <w:rsid w:val="004C2F01"/>
    <w:rsid w:val="004C2F5F"/>
    <w:rsid w:val="004C2FBE"/>
    <w:rsid w:val="004C2FD4"/>
    <w:rsid w:val="004C2FE6"/>
    <w:rsid w:val="004C2FFF"/>
    <w:rsid w:val="004C3010"/>
    <w:rsid w:val="004C303C"/>
    <w:rsid w:val="004C3053"/>
    <w:rsid w:val="004C3055"/>
    <w:rsid w:val="004C3069"/>
    <w:rsid w:val="004C30E3"/>
    <w:rsid w:val="004C3189"/>
    <w:rsid w:val="004C31CD"/>
    <w:rsid w:val="004C31DA"/>
    <w:rsid w:val="004C320F"/>
    <w:rsid w:val="004C321A"/>
    <w:rsid w:val="004C321C"/>
    <w:rsid w:val="004C3270"/>
    <w:rsid w:val="004C32EB"/>
    <w:rsid w:val="004C330B"/>
    <w:rsid w:val="004C334D"/>
    <w:rsid w:val="004C3350"/>
    <w:rsid w:val="004C3352"/>
    <w:rsid w:val="004C33F9"/>
    <w:rsid w:val="004C34CF"/>
    <w:rsid w:val="004C3517"/>
    <w:rsid w:val="004C3559"/>
    <w:rsid w:val="004C358B"/>
    <w:rsid w:val="004C35AA"/>
    <w:rsid w:val="004C35C1"/>
    <w:rsid w:val="004C35D8"/>
    <w:rsid w:val="004C35F7"/>
    <w:rsid w:val="004C364C"/>
    <w:rsid w:val="004C36E5"/>
    <w:rsid w:val="004C37A2"/>
    <w:rsid w:val="004C37EA"/>
    <w:rsid w:val="004C3822"/>
    <w:rsid w:val="004C387B"/>
    <w:rsid w:val="004C3898"/>
    <w:rsid w:val="004C3904"/>
    <w:rsid w:val="004C3A1A"/>
    <w:rsid w:val="004C3A56"/>
    <w:rsid w:val="004C3A8E"/>
    <w:rsid w:val="004C3AB7"/>
    <w:rsid w:val="004C3B19"/>
    <w:rsid w:val="004C3B65"/>
    <w:rsid w:val="004C3B81"/>
    <w:rsid w:val="004C3C8B"/>
    <w:rsid w:val="004C3CC2"/>
    <w:rsid w:val="004C3D6D"/>
    <w:rsid w:val="004C3D70"/>
    <w:rsid w:val="004C3E3E"/>
    <w:rsid w:val="004C3E5E"/>
    <w:rsid w:val="004C3EA4"/>
    <w:rsid w:val="004C3EF6"/>
    <w:rsid w:val="004C3F88"/>
    <w:rsid w:val="004C3FD8"/>
    <w:rsid w:val="004C4015"/>
    <w:rsid w:val="004C4092"/>
    <w:rsid w:val="004C40A6"/>
    <w:rsid w:val="004C40AA"/>
    <w:rsid w:val="004C40DE"/>
    <w:rsid w:val="004C4115"/>
    <w:rsid w:val="004C412E"/>
    <w:rsid w:val="004C41B6"/>
    <w:rsid w:val="004C41B9"/>
    <w:rsid w:val="004C420B"/>
    <w:rsid w:val="004C4217"/>
    <w:rsid w:val="004C4255"/>
    <w:rsid w:val="004C4273"/>
    <w:rsid w:val="004C42CE"/>
    <w:rsid w:val="004C43F1"/>
    <w:rsid w:val="004C4417"/>
    <w:rsid w:val="004C443B"/>
    <w:rsid w:val="004C4471"/>
    <w:rsid w:val="004C447E"/>
    <w:rsid w:val="004C44BA"/>
    <w:rsid w:val="004C44BD"/>
    <w:rsid w:val="004C44C1"/>
    <w:rsid w:val="004C44EC"/>
    <w:rsid w:val="004C451A"/>
    <w:rsid w:val="004C451D"/>
    <w:rsid w:val="004C4533"/>
    <w:rsid w:val="004C4536"/>
    <w:rsid w:val="004C45B8"/>
    <w:rsid w:val="004C4659"/>
    <w:rsid w:val="004C46C7"/>
    <w:rsid w:val="004C46E6"/>
    <w:rsid w:val="004C470F"/>
    <w:rsid w:val="004C475F"/>
    <w:rsid w:val="004C47BF"/>
    <w:rsid w:val="004C4806"/>
    <w:rsid w:val="004C484B"/>
    <w:rsid w:val="004C48B9"/>
    <w:rsid w:val="004C496F"/>
    <w:rsid w:val="004C4A13"/>
    <w:rsid w:val="004C4A4B"/>
    <w:rsid w:val="004C4A7C"/>
    <w:rsid w:val="004C4AD1"/>
    <w:rsid w:val="004C4C1E"/>
    <w:rsid w:val="004C4C32"/>
    <w:rsid w:val="004C4C52"/>
    <w:rsid w:val="004C4C65"/>
    <w:rsid w:val="004C4C70"/>
    <w:rsid w:val="004C4C8B"/>
    <w:rsid w:val="004C4D44"/>
    <w:rsid w:val="004C4D9E"/>
    <w:rsid w:val="004C4DD0"/>
    <w:rsid w:val="004C4DF5"/>
    <w:rsid w:val="004C4E02"/>
    <w:rsid w:val="004C4E2C"/>
    <w:rsid w:val="004C4E2F"/>
    <w:rsid w:val="004C4E84"/>
    <w:rsid w:val="004C4FC5"/>
    <w:rsid w:val="004C500D"/>
    <w:rsid w:val="004C503D"/>
    <w:rsid w:val="004C508A"/>
    <w:rsid w:val="004C5095"/>
    <w:rsid w:val="004C50ED"/>
    <w:rsid w:val="004C5125"/>
    <w:rsid w:val="004C512D"/>
    <w:rsid w:val="004C513E"/>
    <w:rsid w:val="004C515A"/>
    <w:rsid w:val="004C5184"/>
    <w:rsid w:val="004C51B9"/>
    <w:rsid w:val="004C51DD"/>
    <w:rsid w:val="004C5201"/>
    <w:rsid w:val="004C5230"/>
    <w:rsid w:val="004C5280"/>
    <w:rsid w:val="004C52DB"/>
    <w:rsid w:val="004C531D"/>
    <w:rsid w:val="004C5362"/>
    <w:rsid w:val="004C537C"/>
    <w:rsid w:val="004C5381"/>
    <w:rsid w:val="004C53B3"/>
    <w:rsid w:val="004C53EA"/>
    <w:rsid w:val="004C545A"/>
    <w:rsid w:val="004C545B"/>
    <w:rsid w:val="004C5556"/>
    <w:rsid w:val="004C5623"/>
    <w:rsid w:val="004C562F"/>
    <w:rsid w:val="004C5661"/>
    <w:rsid w:val="004C568F"/>
    <w:rsid w:val="004C56E0"/>
    <w:rsid w:val="004C5713"/>
    <w:rsid w:val="004C5776"/>
    <w:rsid w:val="004C57D3"/>
    <w:rsid w:val="004C5847"/>
    <w:rsid w:val="004C58A7"/>
    <w:rsid w:val="004C58B5"/>
    <w:rsid w:val="004C58CE"/>
    <w:rsid w:val="004C5913"/>
    <w:rsid w:val="004C591A"/>
    <w:rsid w:val="004C591F"/>
    <w:rsid w:val="004C5929"/>
    <w:rsid w:val="004C59CB"/>
    <w:rsid w:val="004C5A17"/>
    <w:rsid w:val="004C5A2C"/>
    <w:rsid w:val="004C5A5B"/>
    <w:rsid w:val="004C5A7C"/>
    <w:rsid w:val="004C5A8A"/>
    <w:rsid w:val="004C5AAC"/>
    <w:rsid w:val="004C5AB8"/>
    <w:rsid w:val="004C5ACE"/>
    <w:rsid w:val="004C5AF9"/>
    <w:rsid w:val="004C5B3C"/>
    <w:rsid w:val="004C5BA0"/>
    <w:rsid w:val="004C5BA1"/>
    <w:rsid w:val="004C5C04"/>
    <w:rsid w:val="004C5C1C"/>
    <w:rsid w:val="004C5C38"/>
    <w:rsid w:val="004C5C54"/>
    <w:rsid w:val="004C5C5B"/>
    <w:rsid w:val="004C5C6A"/>
    <w:rsid w:val="004C5C8E"/>
    <w:rsid w:val="004C5CB9"/>
    <w:rsid w:val="004C5CEB"/>
    <w:rsid w:val="004C5D1C"/>
    <w:rsid w:val="004C5D28"/>
    <w:rsid w:val="004C5D74"/>
    <w:rsid w:val="004C5DCF"/>
    <w:rsid w:val="004C5DDF"/>
    <w:rsid w:val="004C5DEA"/>
    <w:rsid w:val="004C5E18"/>
    <w:rsid w:val="004C5E1E"/>
    <w:rsid w:val="004C5EC3"/>
    <w:rsid w:val="004C5F3C"/>
    <w:rsid w:val="004C5F50"/>
    <w:rsid w:val="004C5F51"/>
    <w:rsid w:val="004C5F5C"/>
    <w:rsid w:val="004C5F5E"/>
    <w:rsid w:val="004C5F85"/>
    <w:rsid w:val="004C5FBB"/>
    <w:rsid w:val="004C5FFF"/>
    <w:rsid w:val="004C600A"/>
    <w:rsid w:val="004C604A"/>
    <w:rsid w:val="004C6050"/>
    <w:rsid w:val="004C6064"/>
    <w:rsid w:val="004C60BC"/>
    <w:rsid w:val="004C60C4"/>
    <w:rsid w:val="004C60F7"/>
    <w:rsid w:val="004C611D"/>
    <w:rsid w:val="004C6141"/>
    <w:rsid w:val="004C618B"/>
    <w:rsid w:val="004C6199"/>
    <w:rsid w:val="004C61A8"/>
    <w:rsid w:val="004C61E9"/>
    <w:rsid w:val="004C6217"/>
    <w:rsid w:val="004C6230"/>
    <w:rsid w:val="004C624F"/>
    <w:rsid w:val="004C6288"/>
    <w:rsid w:val="004C630A"/>
    <w:rsid w:val="004C6332"/>
    <w:rsid w:val="004C633B"/>
    <w:rsid w:val="004C6345"/>
    <w:rsid w:val="004C6402"/>
    <w:rsid w:val="004C642C"/>
    <w:rsid w:val="004C643C"/>
    <w:rsid w:val="004C6445"/>
    <w:rsid w:val="004C6447"/>
    <w:rsid w:val="004C6459"/>
    <w:rsid w:val="004C6464"/>
    <w:rsid w:val="004C64C7"/>
    <w:rsid w:val="004C64E8"/>
    <w:rsid w:val="004C6527"/>
    <w:rsid w:val="004C6540"/>
    <w:rsid w:val="004C6557"/>
    <w:rsid w:val="004C6589"/>
    <w:rsid w:val="004C659A"/>
    <w:rsid w:val="004C65D1"/>
    <w:rsid w:val="004C65D7"/>
    <w:rsid w:val="004C6604"/>
    <w:rsid w:val="004C660F"/>
    <w:rsid w:val="004C6651"/>
    <w:rsid w:val="004C666A"/>
    <w:rsid w:val="004C66D4"/>
    <w:rsid w:val="004C671B"/>
    <w:rsid w:val="004C672A"/>
    <w:rsid w:val="004C672D"/>
    <w:rsid w:val="004C67DE"/>
    <w:rsid w:val="004C680F"/>
    <w:rsid w:val="004C684B"/>
    <w:rsid w:val="004C6863"/>
    <w:rsid w:val="004C6871"/>
    <w:rsid w:val="004C6878"/>
    <w:rsid w:val="004C68B5"/>
    <w:rsid w:val="004C68ED"/>
    <w:rsid w:val="004C6949"/>
    <w:rsid w:val="004C6990"/>
    <w:rsid w:val="004C69C3"/>
    <w:rsid w:val="004C69EB"/>
    <w:rsid w:val="004C6A4B"/>
    <w:rsid w:val="004C6AE6"/>
    <w:rsid w:val="004C6B51"/>
    <w:rsid w:val="004C6BAA"/>
    <w:rsid w:val="004C6BE7"/>
    <w:rsid w:val="004C6C25"/>
    <w:rsid w:val="004C6C40"/>
    <w:rsid w:val="004C6C64"/>
    <w:rsid w:val="004C6CD8"/>
    <w:rsid w:val="004C6D63"/>
    <w:rsid w:val="004C6E28"/>
    <w:rsid w:val="004C6E39"/>
    <w:rsid w:val="004C6E61"/>
    <w:rsid w:val="004C6E6A"/>
    <w:rsid w:val="004C6ED5"/>
    <w:rsid w:val="004C7032"/>
    <w:rsid w:val="004C7049"/>
    <w:rsid w:val="004C704F"/>
    <w:rsid w:val="004C7088"/>
    <w:rsid w:val="004C713E"/>
    <w:rsid w:val="004C713F"/>
    <w:rsid w:val="004C7157"/>
    <w:rsid w:val="004C718E"/>
    <w:rsid w:val="004C71A0"/>
    <w:rsid w:val="004C71E0"/>
    <w:rsid w:val="004C7280"/>
    <w:rsid w:val="004C72D6"/>
    <w:rsid w:val="004C7312"/>
    <w:rsid w:val="004C7324"/>
    <w:rsid w:val="004C73DC"/>
    <w:rsid w:val="004C7462"/>
    <w:rsid w:val="004C747E"/>
    <w:rsid w:val="004C74B5"/>
    <w:rsid w:val="004C74CF"/>
    <w:rsid w:val="004C7529"/>
    <w:rsid w:val="004C7582"/>
    <w:rsid w:val="004C75A8"/>
    <w:rsid w:val="004C75AF"/>
    <w:rsid w:val="004C763D"/>
    <w:rsid w:val="004C7673"/>
    <w:rsid w:val="004C769D"/>
    <w:rsid w:val="004C76C5"/>
    <w:rsid w:val="004C76ED"/>
    <w:rsid w:val="004C76FF"/>
    <w:rsid w:val="004C770B"/>
    <w:rsid w:val="004C7727"/>
    <w:rsid w:val="004C77E2"/>
    <w:rsid w:val="004C77F8"/>
    <w:rsid w:val="004C780B"/>
    <w:rsid w:val="004C7863"/>
    <w:rsid w:val="004C788D"/>
    <w:rsid w:val="004C7899"/>
    <w:rsid w:val="004C78B7"/>
    <w:rsid w:val="004C78EB"/>
    <w:rsid w:val="004C792C"/>
    <w:rsid w:val="004C793D"/>
    <w:rsid w:val="004C7940"/>
    <w:rsid w:val="004C794B"/>
    <w:rsid w:val="004C797D"/>
    <w:rsid w:val="004C7991"/>
    <w:rsid w:val="004C79DB"/>
    <w:rsid w:val="004C79E5"/>
    <w:rsid w:val="004C7A70"/>
    <w:rsid w:val="004C7AA8"/>
    <w:rsid w:val="004C7AB7"/>
    <w:rsid w:val="004C7B48"/>
    <w:rsid w:val="004C7C42"/>
    <w:rsid w:val="004C7CCC"/>
    <w:rsid w:val="004C7CDF"/>
    <w:rsid w:val="004C7D08"/>
    <w:rsid w:val="004C7D7C"/>
    <w:rsid w:val="004C7DA8"/>
    <w:rsid w:val="004C7DB0"/>
    <w:rsid w:val="004C7DDC"/>
    <w:rsid w:val="004C7DEE"/>
    <w:rsid w:val="004C7E5C"/>
    <w:rsid w:val="004C7E62"/>
    <w:rsid w:val="004C7F46"/>
    <w:rsid w:val="004C7F65"/>
    <w:rsid w:val="004C7FC5"/>
    <w:rsid w:val="004C7FC9"/>
    <w:rsid w:val="004C7FF9"/>
    <w:rsid w:val="004D004F"/>
    <w:rsid w:val="004D006C"/>
    <w:rsid w:val="004D006F"/>
    <w:rsid w:val="004D00AB"/>
    <w:rsid w:val="004D00B2"/>
    <w:rsid w:val="004D00C5"/>
    <w:rsid w:val="004D0160"/>
    <w:rsid w:val="004D016E"/>
    <w:rsid w:val="004D01E4"/>
    <w:rsid w:val="004D03C9"/>
    <w:rsid w:val="004D0440"/>
    <w:rsid w:val="004D0456"/>
    <w:rsid w:val="004D0475"/>
    <w:rsid w:val="004D0513"/>
    <w:rsid w:val="004D0515"/>
    <w:rsid w:val="004D051E"/>
    <w:rsid w:val="004D054B"/>
    <w:rsid w:val="004D0573"/>
    <w:rsid w:val="004D064F"/>
    <w:rsid w:val="004D0664"/>
    <w:rsid w:val="004D06DC"/>
    <w:rsid w:val="004D06E4"/>
    <w:rsid w:val="004D0743"/>
    <w:rsid w:val="004D07D6"/>
    <w:rsid w:val="004D07D8"/>
    <w:rsid w:val="004D0834"/>
    <w:rsid w:val="004D0838"/>
    <w:rsid w:val="004D086B"/>
    <w:rsid w:val="004D08C3"/>
    <w:rsid w:val="004D0952"/>
    <w:rsid w:val="004D0987"/>
    <w:rsid w:val="004D098A"/>
    <w:rsid w:val="004D098B"/>
    <w:rsid w:val="004D09C1"/>
    <w:rsid w:val="004D09EF"/>
    <w:rsid w:val="004D0A0A"/>
    <w:rsid w:val="004D0AED"/>
    <w:rsid w:val="004D0B25"/>
    <w:rsid w:val="004D0B6D"/>
    <w:rsid w:val="004D0B7B"/>
    <w:rsid w:val="004D0B81"/>
    <w:rsid w:val="004D0BA8"/>
    <w:rsid w:val="004D0BD2"/>
    <w:rsid w:val="004D0BD3"/>
    <w:rsid w:val="004D0C4A"/>
    <w:rsid w:val="004D0C54"/>
    <w:rsid w:val="004D0C5D"/>
    <w:rsid w:val="004D0C90"/>
    <w:rsid w:val="004D0D14"/>
    <w:rsid w:val="004D0DBD"/>
    <w:rsid w:val="004D0E00"/>
    <w:rsid w:val="004D0E26"/>
    <w:rsid w:val="004D0E65"/>
    <w:rsid w:val="004D0E8E"/>
    <w:rsid w:val="004D0FFC"/>
    <w:rsid w:val="004D1030"/>
    <w:rsid w:val="004D1039"/>
    <w:rsid w:val="004D1063"/>
    <w:rsid w:val="004D10B4"/>
    <w:rsid w:val="004D10C8"/>
    <w:rsid w:val="004D1119"/>
    <w:rsid w:val="004D1160"/>
    <w:rsid w:val="004D11A3"/>
    <w:rsid w:val="004D1266"/>
    <w:rsid w:val="004D1326"/>
    <w:rsid w:val="004D139A"/>
    <w:rsid w:val="004D1423"/>
    <w:rsid w:val="004D146C"/>
    <w:rsid w:val="004D14AF"/>
    <w:rsid w:val="004D14FC"/>
    <w:rsid w:val="004D151C"/>
    <w:rsid w:val="004D1599"/>
    <w:rsid w:val="004D1600"/>
    <w:rsid w:val="004D1684"/>
    <w:rsid w:val="004D16D0"/>
    <w:rsid w:val="004D17AA"/>
    <w:rsid w:val="004D17E9"/>
    <w:rsid w:val="004D185C"/>
    <w:rsid w:val="004D1862"/>
    <w:rsid w:val="004D1875"/>
    <w:rsid w:val="004D1892"/>
    <w:rsid w:val="004D189D"/>
    <w:rsid w:val="004D18CF"/>
    <w:rsid w:val="004D1918"/>
    <w:rsid w:val="004D192F"/>
    <w:rsid w:val="004D1936"/>
    <w:rsid w:val="004D1943"/>
    <w:rsid w:val="004D1967"/>
    <w:rsid w:val="004D1976"/>
    <w:rsid w:val="004D1979"/>
    <w:rsid w:val="004D1997"/>
    <w:rsid w:val="004D1A5F"/>
    <w:rsid w:val="004D1A73"/>
    <w:rsid w:val="004D1A96"/>
    <w:rsid w:val="004D1B00"/>
    <w:rsid w:val="004D1B54"/>
    <w:rsid w:val="004D1B6B"/>
    <w:rsid w:val="004D1B9D"/>
    <w:rsid w:val="004D1BB3"/>
    <w:rsid w:val="004D1CEA"/>
    <w:rsid w:val="004D1D31"/>
    <w:rsid w:val="004D1D82"/>
    <w:rsid w:val="004D1E0A"/>
    <w:rsid w:val="004D1E89"/>
    <w:rsid w:val="004D1EA0"/>
    <w:rsid w:val="004D1EFC"/>
    <w:rsid w:val="004D1F57"/>
    <w:rsid w:val="004D1FAE"/>
    <w:rsid w:val="004D1FBE"/>
    <w:rsid w:val="004D209D"/>
    <w:rsid w:val="004D212E"/>
    <w:rsid w:val="004D2173"/>
    <w:rsid w:val="004D21A5"/>
    <w:rsid w:val="004D2225"/>
    <w:rsid w:val="004D227C"/>
    <w:rsid w:val="004D22B5"/>
    <w:rsid w:val="004D22BB"/>
    <w:rsid w:val="004D23AB"/>
    <w:rsid w:val="004D23C4"/>
    <w:rsid w:val="004D23CC"/>
    <w:rsid w:val="004D2422"/>
    <w:rsid w:val="004D2459"/>
    <w:rsid w:val="004D246A"/>
    <w:rsid w:val="004D24D2"/>
    <w:rsid w:val="004D24E8"/>
    <w:rsid w:val="004D2540"/>
    <w:rsid w:val="004D2545"/>
    <w:rsid w:val="004D2568"/>
    <w:rsid w:val="004D25A8"/>
    <w:rsid w:val="004D25CC"/>
    <w:rsid w:val="004D25DD"/>
    <w:rsid w:val="004D2652"/>
    <w:rsid w:val="004D2663"/>
    <w:rsid w:val="004D2708"/>
    <w:rsid w:val="004D2772"/>
    <w:rsid w:val="004D27B5"/>
    <w:rsid w:val="004D27C3"/>
    <w:rsid w:val="004D27D6"/>
    <w:rsid w:val="004D27EE"/>
    <w:rsid w:val="004D27FF"/>
    <w:rsid w:val="004D2851"/>
    <w:rsid w:val="004D285C"/>
    <w:rsid w:val="004D28B7"/>
    <w:rsid w:val="004D28C6"/>
    <w:rsid w:val="004D28E0"/>
    <w:rsid w:val="004D28F6"/>
    <w:rsid w:val="004D299B"/>
    <w:rsid w:val="004D29AF"/>
    <w:rsid w:val="004D29EA"/>
    <w:rsid w:val="004D29F1"/>
    <w:rsid w:val="004D2A06"/>
    <w:rsid w:val="004D2A0E"/>
    <w:rsid w:val="004D2A11"/>
    <w:rsid w:val="004D2A17"/>
    <w:rsid w:val="004D2A24"/>
    <w:rsid w:val="004D2A58"/>
    <w:rsid w:val="004D2ADA"/>
    <w:rsid w:val="004D2B07"/>
    <w:rsid w:val="004D2B82"/>
    <w:rsid w:val="004D2BD8"/>
    <w:rsid w:val="004D2C49"/>
    <w:rsid w:val="004D2C7C"/>
    <w:rsid w:val="004D2C89"/>
    <w:rsid w:val="004D2C8F"/>
    <w:rsid w:val="004D2D26"/>
    <w:rsid w:val="004D2D3A"/>
    <w:rsid w:val="004D2D8E"/>
    <w:rsid w:val="004D2D8F"/>
    <w:rsid w:val="004D2D99"/>
    <w:rsid w:val="004D2DA9"/>
    <w:rsid w:val="004D2E1B"/>
    <w:rsid w:val="004D2E7D"/>
    <w:rsid w:val="004D2ED0"/>
    <w:rsid w:val="004D2ED1"/>
    <w:rsid w:val="004D2EF9"/>
    <w:rsid w:val="004D2EFB"/>
    <w:rsid w:val="004D2F0D"/>
    <w:rsid w:val="004D2F36"/>
    <w:rsid w:val="004D2F6E"/>
    <w:rsid w:val="004D2F9F"/>
    <w:rsid w:val="004D2FE4"/>
    <w:rsid w:val="004D30B5"/>
    <w:rsid w:val="004D30C3"/>
    <w:rsid w:val="004D30E7"/>
    <w:rsid w:val="004D30F3"/>
    <w:rsid w:val="004D3110"/>
    <w:rsid w:val="004D313D"/>
    <w:rsid w:val="004D3166"/>
    <w:rsid w:val="004D3241"/>
    <w:rsid w:val="004D32BF"/>
    <w:rsid w:val="004D32C4"/>
    <w:rsid w:val="004D3310"/>
    <w:rsid w:val="004D3315"/>
    <w:rsid w:val="004D3383"/>
    <w:rsid w:val="004D3409"/>
    <w:rsid w:val="004D343B"/>
    <w:rsid w:val="004D3471"/>
    <w:rsid w:val="004D34CE"/>
    <w:rsid w:val="004D350C"/>
    <w:rsid w:val="004D3515"/>
    <w:rsid w:val="004D3527"/>
    <w:rsid w:val="004D3555"/>
    <w:rsid w:val="004D35E1"/>
    <w:rsid w:val="004D35EB"/>
    <w:rsid w:val="004D35F8"/>
    <w:rsid w:val="004D3603"/>
    <w:rsid w:val="004D36F2"/>
    <w:rsid w:val="004D3702"/>
    <w:rsid w:val="004D37B8"/>
    <w:rsid w:val="004D37D7"/>
    <w:rsid w:val="004D3806"/>
    <w:rsid w:val="004D382F"/>
    <w:rsid w:val="004D385B"/>
    <w:rsid w:val="004D388F"/>
    <w:rsid w:val="004D38BD"/>
    <w:rsid w:val="004D38E5"/>
    <w:rsid w:val="004D38EC"/>
    <w:rsid w:val="004D3988"/>
    <w:rsid w:val="004D39CF"/>
    <w:rsid w:val="004D3A24"/>
    <w:rsid w:val="004D3B8F"/>
    <w:rsid w:val="004D3BC6"/>
    <w:rsid w:val="004D3C9C"/>
    <w:rsid w:val="004D3CB0"/>
    <w:rsid w:val="004D3D01"/>
    <w:rsid w:val="004D3E71"/>
    <w:rsid w:val="004D3EF0"/>
    <w:rsid w:val="004D3F09"/>
    <w:rsid w:val="004D3F3D"/>
    <w:rsid w:val="004D3F80"/>
    <w:rsid w:val="004D4006"/>
    <w:rsid w:val="004D4033"/>
    <w:rsid w:val="004D4034"/>
    <w:rsid w:val="004D4060"/>
    <w:rsid w:val="004D4087"/>
    <w:rsid w:val="004D40EA"/>
    <w:rsid w:val="004D4109"/>
    <w:rsid w:val="004D417E"/>
    <w:rsid w:val="004D41B2"/>
    <w:rsid w:val="004D424F"/>
    <w:rsid w:val="004D42FE"/>
    <w:rsid w:val="004D4357"/>
    <w:rsid w:val="004D43A0"/>
    <w:rsid w:val="004D43B8"/>
    <w:rsid w:val="004D43D5"/>
    <w:rsid w:val="004D43DB"/>
    <w:rsid w:val="004D43F3"/>
    <w:rsid w:val="004D43FC"/>
    <w:rsid w:val="004D443A"/>
    <w:rsid w:val="004D4447"/>
    <w:rsid w:val="004D4461"/>
    <w:rsid w:val="004D449F"/>
    <w:rsid w:val="004D4535"/>
    <w:rsid w:val="004D4692"/>
    <w:rsid w:val="004D46A2"/>
    <w:rsid w:val="004D46B5"/>
    <w:rsid w:val="004D4709"/>
    <w:rsid w:val="004D480F"/>
    <w:rsid w:val="004D48AE"/>
    <w:rsid w:val="004D48B3"/>
    <w:rsid w:val="004D4924"/>
    <w:rsid w:val="004D493C"/>
    <w:rsid w:val="004D4976"/>
    <w:rsid w:val="004D4999"/>
    <w:rsid w:val="004D49CA"/>
    <w:rsid w:val="004D49D3"/>
    <w:rsid w:val="004D49E8"/>
    <w:rsid w:val="004D49F9"/>
    <w:rsid w:val="004D4A12"/>
    <w:rsid w:val="004D4A36"/>
    <w:rsid w:val="004D4A3B"/>
    <w:rsid w:val="004D4A46"/>
    <w:rsid w:val="004D4A7B"/>
    <w:rsid w:val="004D4A7D"/>
    <w:rsid w:val="004D4A90"/>
    <w:rsid w:val="004D4A98"/>
    <w:rsid w:val="004D4AE4"/>
    <w:rsid w:val="004D4B93"/>
    <w:rsid w:val="004D4BE9"/>
    <w:rsid w:val="004D4BF7"/>
    <w:rsid w:val="004D4C29"/>
    <w:rsid w:val="004D4C2D"/>
    <w:rsid w:val="004D4C66"/>
    <w:rsid w:val="004D4CAA"/>
    <w:rsid w:val="004D4D9E"/>
    <w:rsid w:val="004D4DB8"/>
    <w:rsid w:val="004D4DC0"/>
    <w:rsid w:val="004D4DFB"/>
    <w:rsid w:val="004D4E58"/>
    <w:rsid w:val="004D4EAB"/>
    <w:rsid w:val="004D4EF6"/>
    <w:rsid w:val="004D4F14"/>
    <w:rsid w:val="004D4F18"/>
    <w:rsid w:val="004D4F1B"/>
    <w:rsid w:val="004D4F43"/>
    <w:rsid w:val="004D4F5C"/>
    <w:rsid w:val="004D4F7B"/>
    <w:rsid w:val="004D4F99"/>
    <w:rsid w:val="004D4F9C"/>
    <w:rsid w:val="004D4FA9"/>
    <w:rsid w:val="004D5026"/>
    <w:rsid w:val="004D502A"/>
    <w:rsid w:val="004D5037"/>
    <w:rsid w:val="004D506F"/>
    <w:rsid w:val="004D50F8"/>
    <w:rsid w:val="004D5111"/>
    <w:rsid w:val="004D5198"/>
    <w:rsid w:val="004D51D4"/>
    <w:rsid w:val="004D51E9"/>
    <w:rsid w:val="004D5218"/>
    <w:rsid w:val="004D53F7"/>
    <w:rsid w:val="004D54A1"/>
    <w:rsid w:val="004D54A9"/>
    <w:rsid w:val="004D54D2"/>
    <w:rsid w:val="004D54D4"/>
    <w:rsid w:val="004D54ED"/>
    <w:rsid w:val="004D5530"/>
    <w:rsid w:val="004D5533"/>
    <w:rsid w:val="004D5559"/>
    <w:rsid w:val="004D5575"/>
    <w:rsid w:val="004D55EE"/>
    <w:rsid w:val="004D56BD"/>
    <w:rsid w:val="004D56C5"/>
    <w:rsid w:val="004D57AA"/>
    <w:rsid w:val="004D57BF"/>
    <w:rsid w:val="004D57EB"/>
    <w:rsid w:val="004D57F5"/>
    <w:rsid w:val="004D5802"/>
    <w:rsid w:val="004D5808"/>
    <w:rsid w:val="004D5832"/>
    <w:rsid w:val="004D583A"/>
    <w:rsid w:val="004D588E"/>
    <w:rsid w:val="004D58E0"/>
    <w:rsid w:val="004D5923"/>
    <w:rsid w:val="004D5937"/>
    <w:rsid w:val="004D5953"/>
    <w:rsid w:val="004D599A"/>
    <w:rsid w:val="004D5A1E"/>
    <w:rsid w:val="004D5A8E"/>
    <w:rsid w:val="004D5B7E"/>
    <w:rsid w:val="004D5C8A"/>
    <w:rsid w:val="004D5C95"/>
    <w:rsid w:val="004D5CA1"/>
    <w:rsid w:val="004D5D57"/>
    <w:rsid w:val="004D5DD1"/>
    <w:rsid w:val="004D5DD7"/>
    <w:rsid w:val="004D5E04"/>
    <w:rsid w:val="004D5E14"/>
    <w:rsid w:val="004D5E78"/>
    <w:rsid w:val="004D5EB2"/>
    <w:rsid w:val="004D5EDA"/>
    <w:rsid w:val="004D5EDD"/>
    <w:rsid w:val="004D5EE0"/>
    <w:rsid w:val="004D5F17"/>
    <w:rsid w:val="004D6006"/>
    <w:rsid w:val="004D602C"/>
    <w:rsid w:val="004D6046"/>
    <w:rsid w:val="004D605C"/>
    <w:rsid w:val="004D6070"/>
    <w:rsid w:val="004D6096"/>
    <w:rsid w:val="004D60A0"/>
    <w:rsid w:val="004D60F5"/>
    <w:rsid w:val="004D6113"/>
    <w:rsid w:val="004D6129"/>
    <w:rsid w:val="004D6132"/>
    <w:rsid w:val="004D61D2"/>
    <w:rsid w:val="004D6260"/>
    <w:rsid w:val="004D62FE"/>
    <w:rsid w:val="004D631A"/>
    <w:rsid w:val="004D63D7"/>
    <w:rsid w:val="004D6403"/>
    <w:rsid w:val="004D642A"/>
    <w:rsid w:val="004D6438"/>
    <w:rsid w:val="004D6442"/>
    <w:rsid w:val="004D64F7"/>
    <w:rsid w:val="004D655E"/>
    <w:rsid w:val="004D658E"/>
    <w:rsid w:val="004D65E0"/>
    <w:rsid w:val="004D6609"/>
    <w:rsid w:val="004D6653"/>
    <w:rsid w:val="004D66A5"/>
    <w:rsid w:val="004D66E7"/>
    <w:rsid w:val="004D6755"/>
    <w:rsid w:val="004D676A"/>
    <w:rsid w:val="004D678F"/>
    <w:rsid w:val="004D688C"/>
    <w:rsid w:val="004D68B1"/>
    <w:rsid w:val="004D68D4"/>
    <w:rsid w:val="004D6923"/>
    <w:rsid w:val="004D6939"/>
    <w:rsid w:val="004D693A"/>
    <w:rsid w:val="004D693B"/>
    <w:rsid w:val="004D696B"/>
    <w:rsid w:val="004D69A8"/>
    <w:rsid w:val="004D69F5"/>
    <w:rsid w:val="004D6A38"/>
    <w:rsid w:val="004D6A89"/>
    <w:rsid w:val="004D6AC8"/>
    <w:rsid w:val="004D6B5D"/>
    <w:rsid w:val="004D6B6A"/>
    <w:rsid w:val="004D6BA5"/>
    <w:rsid w:val="004D6BFC"/>
    <w:rsid w:val="004D6C28"/>
    <w:rsid w:val="004D6C49"/>
    <w:rsid w:val="004D6C86"/>
    <w:rsid w:val="004D6C91"/>
    <w:rsid w:val="004D6D2F"/>
    <w:rsid w:val="004D6D3A"/>
    <w:rsid w:val="004D6D8B"/>
    <w:rsid w:val="004D6DA3"/>
    <w:rsid w:val="004D6DC6"/>
    <w:rsid w:val="004D6DED"/>
    <w:rsid w:val="004D6E37"/>
    <w:rsid w:val="004D6E89"/>
    <w:rsid w:val="004D6EF7"/>
    <w:rsid w:val="004D6EF8"/>
    <w:rsid w:val="004D6F15"/>
    <w:rsid w:val="004D6F3A"/>
    <w:rsid w:val="004D6F5A"/>
    <w:rsid w:val="004D6FC1"/>
    <w:rsid w:val="004D6FD0"/>
    <w:rsid w:val="004D70DE"/>
    <w:rsid w:val="004D70F3"/>
    <w:rsid w:val="004D7142"/>
    <w:rsid w:val="004D715D"/>
    <w:rsid w:val="004D71C0"/>
    <w:rsid w:val="004D722D"/>
    <w:rsid w:val="004D72BC"/>
    <w:rsid w:val="004D7308"/>
    <w:rsid w:val="004D7310"/>
    <w:rsid w:val="004D738C"/>
    <w:rsid w:val="004D73AA"/>
    <w:rsid w:val="004D73B7"/>
    <w:rsid w:val="004D73D1"/>
    <w:rsid w:val="004D7420"/>
    <w:rsid w:val="004D7434"/>
    <w:rsid w:val="004D744D"/>
    <w:rsid w:val="004D74B4"/>
    <w:rsid w:val="004D74C9"/>
    <w:rsid w:val="004D7500"/>
    <w:rsid w:val="004D752A"/>
    <w:rsid w:val="004D7572"/>
    <w:rsid w:val="004D758B"/>
    <w:rsid w:val="004D75DA"/>
    <w:rsid w:val="004D75F1"/>
    <w:rsid w:val="004D760A"/>
    <w:rsid w:val="004D76A5"/>
    <w:rsid w:val="004D76D8"/>
    <w:rsid w:val="004D77EB"/>
    <w:rsid w:val="004D780C"/>
    <w:rsid w:val="004D78E6"/>
    <w:rsid w:val="004D78FD"/>
    <w:rsid w:val="004D7959"/>
    <w:rsid w:val="004D7A26"/>
    <w:rsid w:val="004D7AE7"/>
    <w:rsid w:val="004D7AF0"/>
    <w:rsid w:val="004D7B2F"/>
    <w:rsid w:val="004D7B48"/>
    <w:rsid w:val="004D7B76"/>
    <w:rsid w:val="004D7B8E"/>
    <w:rsid w:val="004D7BCD"/>
    <w:rsid w:val="004D7BE3"/>
    <w:rsid w:val="004D7BF0"/>
    <w:rsid w:val="004D7C1D"/>
    <w:rsid w:val="004D7C31"/>
    <w:rsid w:val="004D7C4A"/>
    <w:rsid w:val="004D7CC5"/>
    <w:rsid w:val="004D7D6B"/>
    <w:rsid w:val="004D7DC9"/>
    <w:rsid w:val="004D7DDB"/>
    <w:rsid w:val="004D7DDC"/>
    <w:rsid w:val="004D7E28"/>
    <w:rsid w:val="004D7E3D"/>
    <w:rsid w:val="004D7E72"/>
    <w:rsid w:val="004D7EE1"/>
    <w:rsid w:val="004D7EF6"/>
    <w:rsid w:val="004D7F26"/>
    <w:rsid w:val="004D7F7E"/>
    <w:rsid w:val="004D7FC2"/>
    <w:rsid w:val="004D7FCD"/>
    <w:rsid w:val="004D7FE6"/>
    <w:rsid w:val="004E0048"/>
    <w:rsid w:val="004E0068"/>
    <w:rsid w:val="004E0081"/>
    <w:rsid w:val="004E00EA"/>
    <w:rsid w:val="004E01FD"/>
    <w:rsid w:val="004E0216"/>
    <w:rsid w:val="004E023C"/>
    <w:rsid w:val="004E0244"/>
    <w:rsid w:val="004E0265"/>
    <w:rsid w:val="004E0274"/>
    <w:rsid w:val="004E0280"/>
    <w:rsid w:val="004E0334"/>
    <w:rsid w:val="004E0360"/>
    <w:rsid w:val="004E0378"/>
    <w:rsid w:val="004E037B"/>
    <w:rsid w:val="004E04B4"/>
    <w:rsid w:val="004E050E"/>
    <w:rsid w:val="004E0549"/>
    <w:rsid w:val="004E055A"/>
    <w:rsid w:val="004E055F"/>
    <w:rsid w:val="004E0587"/>
    <w:rsid w:val="004E05B6"/>
    <w:rsid w:val="004E05BC"/>
    <w:rsid w:val="004E065F"/>
    <w:rsid w:val="004E068D"/>
    <w:rsid w:val="004E06CC"/>
    <w:rsid w:val="004E06DD"/>
    <w:rsid w:val="004E073E"/>
    <w:rsid w:val="004E077E"/>
    <w:rsid w:val="004E08AB"/>
    <w:rsid w:val="004E08BC"/>
    <w:rsid w:val="004E0948"/>
    <w:rsid w:val="004E098B"/>
    <w:rsid w:val="004E09FE"/>
    <w:rsid w:val="004E0A07"/>
    <w:rsid w:val="004E0A0A"/>
    <w:rsid w:val="004E0A11"/>
    <w:rsid w:val="004E0A25"/>
    <w:rsid w:val="004E0A54"/>
    <w:rsid w:val="004E0AB4"/>
    <w:rsid w:val="004E0B1A"/>
    <w:rsid w:val="004E0B26"/>
    <w:rsid w:val="004E0B2B"/>
    <w:rsid w:val="004E0B78"/>
    <w:rsid w:val="004E0B8C"/>
    <w:rsid w:val="004E0C2A"/>
    <w:rsid w:val="004E0C89"/>
    <w:rsid w:val="004E0C9A"/>
    <w:rsid w:val="004E0CCA"/>
    <w:rsid w:val="004E0D40"/>
    <w:rsid w:val="004E0DAD"/>
    <w:rsid w:val="004E0DC6"/>
    <w:rsid w:val="004E0E2B"/>
    <w:rsid w:val="004E0E3B"/>
    <w:rsid w:val="004E0E6E"/>
    <w:rsid w:val="004E0E8E"/>
    <w:rsid w:val="004E0EA6"/>
    <w:rsid w:val="004E0EDC"/>
    <w:rsid w:val="004E0F4F"/>
    <w:rsid w:val="004E0F6D"/>
    <w:rsid w:val="004E0FC7"/>
    <w:rsid w:val="004E1172"/>
    <w:rsid w:val="004E119C"/>
    <w:rsid w:val="004E11BE"/>
    <w:rsid w:val="004E11D0"/>
    <w:rsid w:val="004E11D3"/>
    <w:rsid w:val="004E11DD"/>
    <w:rsid w:val="004E11FD"/>
    <w:rsid w:val="004E1311"/>
    <w:rsid w:val="004E1327"/>
    <w:rsid w:val="004E134A"/>
    <w:rsid w:val="004E13DA"/>
    <w:rsid w:val="004E140F"/>
    <w:rsid w:val="004E144F"/>
    <w:rsid w:val="004E149D"/>
    <w:rsid w:val="004E14F9"/>
    <w:rsid w:val="004E1542"/>
    <w:rsid w:val="004E15A2"/>
    <w:rsid w:val="004E15BB"/>
    <w:rsid w:val="004E15C1"/>
    <w:rsid w:val="004E167D"/>
    <w:rsid w:val="004E170E"/>
    <w:rsid w:val="004E177F"/>
    <w:rsid w:val="004E1789"/>
    <w:rsid w:val="004E17EA"/>
    <w:rsid w:val="004E1812"/>
    <w:rsid w:val="004E1874"/>
    <w:rsid w:val="004E1879"/>
    <w:rsid w:val="004E18E6"/>
    <w:rsid w:val="004E1969"/>
    <w:rsid w:val="004E198D"/>
    <w:rsid w:val="004E19E7"/>
    <w:rsid w:val="004E1A9A"/>
    <w:rsid w:val="004E1AAB"/>
    <w:rsid w:val="004E1ACA"/>
    <w:rsid w:val="004E1AF1"/>
    <w:rsid w:val="004E1B07"/>
    <w:rsid w:val="004E1B7C"/>
    <w:rsid w:val="004E1C0E"/>
    <w:rsid w:val="004E1C1B"/>
    <w:rsid w:val="004E1C3E"/>
    <w:rsid w:val="004E1C6B"/>
    <w:rsid w:val="004E1CE5"/>
    <w:rsid w:val="004E1D1B"/>
    <w:rsid w:val="004E1D2A"/>
    <w:rsid w:val="004E1D4C"/>
    <w:rsid w:val="004E1DA1"/>
    <w:rsid w:val="004E1E06"/>
    <w:rsid w:val="004E1E0F"/>
    <w:rsid w:val="004E1E12"/>
    <w:rsid w:val="004E1E7E"/>
    <w:rsid w:val="004E1ED6"/>
    <w:rsid w:val="004E1EDA"/>
    <w:rsid w:val="004E1F08"/>
    <w:rsid w:val="004E1F69"/>
    <w:rsid w:val="004E1F83"/>
    <w:rsid w:val="004E1FA3"/>
    <w:rsid w:val="004E1FB4"/>
    <w:rsid w:val="004E2007"/>
    <w:rsid w:val="004E203B"/>
    <w:rsid w:val="004E209C"/>
    <w:rsid w:val="004E20D7"/>
    <w:rsid w:val="004E2113"/>
    <w:rsid w:val="004E2173"/>
    <w:rsid w:val="004E22AF"/>
    <w:rsid w:val="004E2301"/>
    <w:rsid w:val="004E2316"/>
    <w:rsid w:val="004E2337"/>
    <w:rsid w:val="004E2403"/>
    <w:rsid w:val="004E248D"/>
    <w:rsid w:val="004E24A2"/>
    <w:rsid w:val="004E24AD"/>
    <w:rsid w:val="004E24D3"/>
    <w:rsid w:val="004E2592"/>
    <w:rsid w:val="004E268B"/>
    <w:rsid w:val="004E2691"/>
    <w:rsid w:val="004E26B5"/>
    <w:rsid w:val="004E26C4"/>
    <w:rsid w:val="004E2724"/>
    <w:rsid w:val="004E2760"/>
    <w:rsid w:val="004E2789"/>
    <w:rsid w:val="004E27F3"/>
    <w:rsid w:val="004E2847"/>
    <w:rsid w:val="004E2857"/>
    <w:rsid w:val="004E28A0"/>
    <w:rsid w:val="004E29E7"/>
    <w:rsid w:val="004E29E9"/>
    <w:rsid w:val="004E29EB"/>
    <w:rsid w:val="004E2A95"/>
    <w:rsid w:val="004E2A9C"/>
    <w:rsid w:val="004E2ACA"/>
    <w:rsid w:val="004E2AEC"/>
    <w:rsid w:val="004E2B2C"/>
    <w:rsid w:val="004E2BD0"/>
    <w:rsid w:val="004E2BFE"/>
    <w:rsid w:val="004E2C16"/>
    <w:rsid w:val="004E2C51"/>
    <w:rsid w:val="004E2C5B"/>
    <w:rsid w:val="004E2C63"/>
    <w:rsid w:val="004E2C66"/>
    <w:rsid w:val="004E2C7B"/>
    <w:rsid w:val="004E2DB0"/>
    <w:rsid w:val="004E2E11"/>
    <w:rsid w:val="004E2E18"/>
    <w:rsid w:val="004E2E38"/>
    <w:rsid w:val="004E2ED2"/>
    <w:rsid w:val="004E2F5A"/>
    <w:rsid w:val="004E2F9E"/>
    <w:rsid w:val="004E2FA6"/>
    <w:rsid w:val="004E2FAB"/>
    <w:rsid w:val="004E2FED"/>
    <w:rsid w:val="004E2FF7"/>
    <w:rsid w:val="004E302C"/>
    <w:rsid w:val="004E302F"/>
    <w:rsid w:val="004E3053"/>
    <w:rsid w:val="004E3073"/>
    <w:rsid w:val="004E3145"/>
    <w:rsid w:val="004E31D6"/>
    <w:rsid w:val="004E3323"/>
    <w:rsid w:val="004E3352"/>
    <w:rsid w:val="004E339A"/>
    <w:rsid w:val="004E33E3"/>
    <w:rsid w:val="004E33F2"/>
    <w:rsid w:val="004E3465"/>
    <w:rsid w:val="004E3496"/>
    <w:rsid w:val="004E34BB"/>
    <w:rsid w:val="004E34BD"/>
    <w:rsid w:val="004E34FB"/>
    <w:rsid w:val="004E350B"/>
    <w:rsid w:val="004E3516"/>
    <w:rsid w:val="004E3596"/>
    <w:rsid w:val="004E35A9"/>
    <w:rsid w:val="004E35AC"/>
    <w:rsid w:val="004E35EA"/>
    <w:rsid w:val="004E3655"/>
    <w:rsid w:val="004E3678"/>
    <w:rsid w:val="004E36CA"/>
    <w:rsid w:val="004E3704"/>
    <w:rsid w:val="004E377D"/>
    <w:rsid w:val="004E37CC"/>
    <w:rsid w:val="004E37F3"/>
    <w:rsid w:val="004E3849"/>
    <w:rsid w:val="004E3908"/>
    <w:rsid w:val="004E3915"/>
    <w:rsid w:val="004E3943"/>
    <w:rsid w:val="004E3958"/>
    <w:rsid w:val="004E39D0"/>
    <w:rsid w:val="004E3A11"/>
    <w:rsid w:val="004E3A13"/>
    <w:rsid w:val="004E3A33"/>
    <w:rsid w:val="004E3A99"/>
    <w:rsid w:val="004E3B5E"/>
    <w:rsid w:val="004E3BB4"/>
    <w:rsid w:val="004E3C31"/>
    <w:rsid w:val="004E3C6B"/>
    <w:rsid w:val="004E3C97"/>
    <w:rsid w:val="004E3CFE"/>
    <w:rsid w:val="004E3D54"/>
    <w:rsid w:val="004E3DAD"/>
    <w:rsid w:val="004E3E35"/>
    <w:rsid w:val="004E3E62"/>
    <w:rsid w:val="004E3F04"/>
    <w:rsid w:val="004E3F16"/>
    <w:rsid w:val="004E3F71"/>
    <w:rsid w:val="004E4053"/>
    <w:rsid w:val="004E40A0"/>
    <w:rsid w:val="004E4138"/>
    <w:rsid w:val="004E4158"/>
    <w:rsid w:val="004E416A"/>
    <w:rsid w:val="004E41C2"/>
    <w:rsid w:val="004E4376"/>
    <w:rsid w:val="004E437D"/>
    <w:rsid w:val="004E43AE"/>
    <w:rsid w:val="004E43B4"/>
    <w:rsid w:val="004E43DC"/>
    <w:rsid w:val="004E4415"/>
    <w:rsid w:val="004E4425"/>
    <w:rsid w:val="004E4427"/>
    <w:rsid w:val="004E444C"/>
    <w:rsid w:val="004E44E1"/>
    <w:rsid w:val="004E450D"/>
    <w:rsid w:val="004E4539"/>
    <w:rsid w:val="004E457E"/>
    <w:rsid w:val="004E462B"/>
    <w:rsid w:val="004E4631"/>
    <w:rsid w:val="004E465C"/>
    <w:rsid w:val="004E4666"/>
    <w:rsid w:val="004E4678"/>
    <w:rsid w:val="004E467D"/>
    <w:rsid w:val="004E46A5"/>
    <w:rsid w:val="004E46B5"/>
    <w:rsid w:val="004E470A"/>
    <w:rsid w:val="004E470F"/>
    <w:rsid w:val="004E478E"/>
    <w:rsid w:val="004E47C7"/>
    <w:rsid w:val="004E485B"/>
    <w:rsid w:val="004E4876"/>
    <w:rsid w:val="004E491D"/>
    <w:rsid w:val="004E493C"/>
    <w:rsid w:val="004E498B"/>
    <w:rsid w:val="004E499B"/>
    <w:rsid w:val="004E499F"/>
    <w:rsid w:val="004E4A04"/>
    <w:rsid w:val="004E4A60"/>
    <w:rsid w:val="004E4A8C"/>
    <w:rsid w:val="004E4AB5"/>
    <w:rsid w:val="004E4AB9"/>
    <w:rsid w:val="004E4B05"/>
    <w:rsid w:val="004E4B1D"/>
    <w:rsid w:val="004E4B2C"/>
    <w:rsid w:val="004E4B2D"/>
    <w:rsid w:val="004E4B5A"/>
    <w:rsid w:val="004E4BAE"/>
    <w:rsid w:val="004E4BB1"/>
    <w:rsid w:val="004E4BBD"/>
    <w:rsid w:val="004E4C08"/>
    <w:rsid w:val="004E4C0E"/>
    <w:rsid w:val="004E4C29"/>
    <w:rsid w:val="004E4CCC"/>
    <w:rsid w:val="004E4D12"/>
    <w:rsid w:val="004E4D64"/>
    <w:rsid w:val="004E4DBF"/>
    <w:rsid w:val="004E4DE4"/>
    <w:rsid w:val="004E4E27"/>
    <w:rsid w:val="004E4E2F"/>
    <w:rsid w:val="004E4E36"/>
    <w:rsid w:val="004E4EC1"/>
    <w:rsid w:val="004E4EC3"/>
    <w:rsid w:val="004E4EDF"/>
    <w:rsid w:val="004E4F28"/>
    <w:rsid w:val="004E4F9E"/>
    <w:rsid w:val="004E4FA5"/>
    <w:rsid w:val="004E4FD4"/>
    <w:rsid w:val="004E5036"/>
    <w:rsid w:val="004E5090"/>
    <w:rsid w:val="004E50B7"/>
    <w:rsid w:val="004E519B"/>
    <w:rsid w:val="004E51FE"/>
    <w:rsid w:val="004E52B5"/>
    <w:rsid w:val="004E52CC"/>
    <w:rsid w:val="004E5300"/>
    <w:rsid w:val="004E5303"/>
    <w:rsid w:val="004E5338"/>
    <w:rsid w:val="004E534D"/>
    <w:rsid w:val="004E5379"/>
    <w:rsid w:val="004E53BC"/>
    <w:rsid w:val="004E53C2"/>
    <w:rsid w:val="004E5418"/>
    <w:rsid w:val="004E5437"/>
    <w:rsid w:val="004E5454"/>
    <w:rsid w:val="004E54BD"/>
    <w:rsid w:val="004E552D"/>
    <w:rsid w:val="004E5609"/>
    <w:rsid w:val="004E563A"/>
    <w:rsid w:val="004E5666"/>
    <w:rsid w:val="004E5688"/>
    <w:rsid w:val="004E5689"/>
    <w:rsid w:val="004E56B3"/>
    <w:rsid w:val="004E56BF"/>
    <w:rsid w:val="004E5709"/>
    <w:rsid w:val="004E570B"/>
    <w:rsid w:val="004E574C"/>
    <w:rsid w:val="004E575B"/>
    <w:rsid w:val="004E57B1"/>
    <w:rsid w:val="004E5869"/>
    <w:rsid w:val="004E5876"/>
    <w:rsid w:val="004E58E2"/>
    <w:rsid w:val="004E58FF"/>
    <w:rsid w:val="004E592E"/>
    <w:rsid w:val="004E59A7"/>
    <w:rsid w:val="004E5A0F"/>
    <w:rsid w:val="004E5A2A"/>
    <w:rsid w:val="004E5A39"/>
    <w:rsid w:val="004E5A5F"/>
    <w:rsid w:val="004E5AB1"/>
    <w:rsid w:val="004E5AB3"/>
    <w:rsid w:val="004E5B08"/>
    <w:rsid w:val="004E5B54"/>
    <w:rsid w:val="004E5B62"/>
    <w:rsid w:val="004E5BCB"/>
    <w:rsid w:val="004E5BDA"/>
    <w:rsid w:val="004E5C15"/>
    <w:rsid w:val="004E5C32"/>
    <w:rsid w:val="004E5C33"/>
    <w:rsid w:val="004E5D51"/>
    <w:rsid w:val="004E5D5C"/>
    <w:rsid w:val="004E5D8B"/>
    <w:rsid w:val="004E5E02"/>
    <w:rsid w:val="004E5E37"/>
    <w:rsid w:val="004E5EDC"/>
    <w:rsid w:val="004E5F2A"/>
    <w:rsid w:val="004E5F52"/>
    <w:rsid w:val="004E5FC6"/>
    <w:rsid w:val="004E6044"/>
    <w:rsid w:val="004E605B"/>
    <w:rsid w:val="004E610B"/>
    <w:rsid w:val="004E6125"/>
    <w:rsid w:val="004E6171"/>
    <w:rsid w:val="004E6176"/>
    <w:rsid w:val="004E6177"/>
    <w:rsid w:val="004E6188"/>
    <w:rsid w:val="004E61A0"/>
    <w:rsid w:val="004E6256"/>
    <w:rsid w:val="004E6271"/>
    <w:rsid w:val="004E62CE"/>
    <w:rsid w:val="004E6311"/>
    <w:rsid w:val="004E637E"/>
    <w:rsid w:val="004E63D2"/>
    <w:rsid w:val="004E63E9"/>
    <w:rsid w:val="004E63F8"/>
    <w:rsid w:val="004E640B"/>
    <w:rsid w:val="004E6493"/>
    <w:rsid w:val="004E649E"/>
    <w:rsid w:val="004E64C7"/>
    <w:rsid w:val="004E6515"/>
    <w:rsid w:val="004E651C"/>
    <w:rsid w:val="004E6575"/>
    <w:rsid w:val="004E658C"/>
    <w:rsid w:val="004E65C2"/>
    <w:rsid w:val="004E65DA"/>
    <w:rsid w:val="004E6646"/>
    <w:rsid w:val="004E66D4"/>
    <w:rsid w:val="004E6748"/>
    <w:rsid w:val="004E674E"/>
    <w:rsid w:val="004E676D"/>
    <w:rsid w:val="004E6780"/>
    <w:rsid w:val="004E67A0"/>
    <w:rsid w:val="004E67AD"/>
    <w:rsid w:val="004E6821"/>
    <w:rsid w:val="004E689F"/>
    <w:rsid w:val="004E693B"/>
    <w:rsid w:val="004E69FD"/>
    <w:rsid w:val="004E6A82"/>
    <w:rsid w:val="004E6AA1"/>
    <w:rsid w:val="004E6AAD"/>
    <w:rsid w:val="004E6B14"/>
    <w:rsid w:val="004E6B30"/>
    <w:rsid w:val="004E6B38"/>
    <w:rsid w:val="004E6B5D"/>
    <w:rsid w:val="004E6B63"/>
    <w:rsid w:val="004E6BF7"/>
    <w:rsid w:val="004E6CD7"/>
    <w:rsid w:val="004E6D31"/>
    <w:rsid w:val="004E6D5D"/>
    <w:rsid w:val="004E6D96"/>
    <w:rsid w:val="004E6DA6"/>
    <w:rsid w:val="004E6DF3"/>
    <w:rsid w:val="004E6E26"/>
    <w:rsid w:val="004E6E2C"/>
    <w:rsid w:val="004E6E7A"/>
    <w:rsid w:val="004E6ED8"/>
    <w:rsid w:val="004E6F2B"/>
    <w:rsid w:val="004E6F5C"/>
    <w:rsid w:val="004E6FEC"/>
    <w:rsid w:val="004E7020"/>
    <w:rsid w:val="004E7024"/>
    <w:rsid w:val="004E7033"/>
    <w:rsid w:val="004E7058"/>
    <w:rsid w:val="004E70CB"/>
    <w:rsid w:val="004E70E7"/>
    <w:rsid w:val="004E713D"/>
    <w:rsid w:val="004E7143"/>
    <w:rsid w:val="004E7145"/>
    <w:rsid w:val="004E714A"/>
    <w:rsid w:val="004E7161"/>
    <w:rsid w:val="004E716A"/>
    <w:rsid w:val="004E7170"/>
    <w:rsid w:val="004E71E5"/>
    <w:rsid w:val="004E7236"/>
    <w:rsid w:val="004E7239"/>
    <w:rsid w:val="004E723B"/>
    <w:rsid w:val="004E72A1"/>
    <w:rsid w:val="004E72B5"/>
    <w:rsid w:val="004E7344"/>
    <w:rsid w:val="004E7361"/>
    <w:rsid w:val="004E73D0"/>
    <w:rsid w:val="004E73D6"/>
    <w:rsid w:val="004E740D"/>
    <w:rsid w:val="004E7460"/>
    <w:rsid w:val="004E74CB"/>
    <w:rsid w:val="004E750F"/>
    <w:rsid w:val="004E7595"/>
    <w:rsid w:val="004E76F0"/>
    <w:rsid w:val="004E773E"/>
    <w:rsid w:val="004E77C0"/>
    <w:rsid w:val="004E77E7"/>
    <w:rsid w:val="004E7828"/>
    <w:rsid w:val="004E7837"/>
    <w:rsid w:val="004E7854"/>
    <w:rsid w:val="004E78BD"/>
    <w:rsid w:val="004E78ED"/>
    <w:rsid w:val="004E7917"/>
    <w:rsid w:val="004E793E"/>
    <w:rsid w:val="004E7989"/>
    <w:rsid w:val="004E79BD"/>
    <w:rsid w:val="004E79CF"/>
    <w:rsid w:val="004E7A55"/>
    <w:rsid w:val="004E7A59"/>
    <w:rsid w:val="004E7B0C"/>
    <w:rsid w:val="004E7B81"/>
    <w:rsid w:val="004E7BBB"/>
    <w:rsid w:val="004E7C18"/>
    <w:rsid w:val="004E7C9E"/>
    <w:rsid w:val="004E7CC2"/>
    <w:rsid w:val="004E7CCA"/>
    <w:rsid w:val="004E7CE3"/>
    <w:rsid w:val="004E7D04"/>
    <w:rsid w:val="004E7DA8"/>
    <w:rsid w:val="004E7DB1"/>
    <w:rsid w:val="004E7DC0"/>
    <w:rsid w:val="004E7DE2"/>
    <w:rsid w:val="004E7E0B"/>
    <w:rsid w:val="004E7E55"/>
    <w:rsid w:val="004E7E93"/>
    <w:rsid w:val="004E7EAA"/>
    <w:rsid w:val="004E7EF3"/>
    <w:rsid w:val="004E7F18"/>
    <w:rsid w:val="004E7F2C"/>
    <w:rsid w:val="004E7F45"/>
    <w:rsid w:val="004E7FE1"/>
    <w:rsid w:val="004F0085"/>
    <w:rsid w:val="004F013D"/>
    <w:rsid w:val="004F017E"/>
    <w:rsid w:val="004F019A"/>
    <w:rsid w:val="004F01B7"/>
    <w:rsid w:val="004F01E9"/>
    <w:rsid w:val="004F0206"/>
    <w:rsid w:val="004F0209"/>
    <w:rsid w:val="004F0211"/>
    <w:rsid w:val="004F0242"/>
    <w:rsid w:val="004F0249"/>
    <w:rsid w:val="004F0254"/>
    <w:rsid w:val="004F028B"/>
    <w:rsid w:val="004F0292"/>
    <w:rsid w:val="004F02A7"/>
    <w:rsid w:val="004F02B7"/>
    <w:rsid w:val="004F0312"/>
    <w:rsid w:val="004F0342"/>
    <w:rsid w:val="004F03BD"/>
    <w:rsid w:val="004F04C0"/>
    <w:rsid w:val="004F0504"/>
    <w:rsid w:val="004F0520"/>
    <w:rsid w:val="004F055C"/>
    <w:rsid w:val="004F0560"/>
    <w:rsid w:val="004F057D"/>
    <w:rsid w:val="004F0621"/>
    <w:rsid w:val="004F0648"/>
    <w:rsid w:val="004F0693"/>
    <w:rsid w:val="004F0789"/>
    <w:rsid w:val="004F083F"/>
    <w:rsid w:val="004F0852"/>
    <w:rsid w:val="004F08E0"/>
    <w:rsid w:val="004F08F9"/>
    <w:rsid w:val="004F0925"/>
    <w:rsid w:val="004F0A95"/>
    <w:rsid w:val="004F0AB9"/>
    <w:rsid w:val="004F0AC2"/>
    <w:rsid w:val="004F0B88"/>
    <w:rsid w:val="004F0C0B"/>
    <w:rsid w:val="004F0C0D"/>
    <w:rsid w:val="004F0C36"/>
    <w:rsid w:val="004F0C7F"/>
    <w:rsid w:val="004F0D0B"/>
    <w:rsid w:val="004F0D1D"/>
    <w:rsid w:val="004F0D45"/>
    <w:rsid w:val="004F0D74"/>
    <w:rsid w:val="004F0DDC"/>
    <w:rsid w:val="004F0DE2"/>
    <w:rsid w:val="004F0E17"/>
    <w:rsid w:val="004F0E57"/>
    <w:rsid w:val="004F0E69"/>
    <w:rsid w:val="004F0E8A"/>
    <w:rsid w:val="004F0EBA"/>
    <w:rsid w:val="004F0ECC"/>
    <w:rsid w:val="004F0EF9"/>
    <w:rsid w:val="004F0EFF"/>
    <w:rsid w:val="004F0F1F"/>
    <w:rsid w:val="004F0F7D"/>
    <w:rsid w:val="004F0F82"/>
    <w:rsid w:val="004F0FD1"/>
    <w:rsid w:val="004F1079"/>
    <w:rsid w:val="004F10E1"/>
    <w:rsid w:val="004F1156"/>
    <w:rsid w:val="004F1190"/>
    <w:rsid w:val="004F11E7"/>
    <w:rsid w:val="004F128E"/>
    <w:rsid w:val="004F12CD"/>
    <w:rsid w:val="004F12EC"/>
    <w:rsid w:val="004F1311"/>
    <w:rsid w:val="004F138F"/>
    <w:rsid w:val="004F1458"/>
    <w:rsid w:val="004F14A5"/>
    <w:rsid w:val="004F156E"/>
    <w:rsid w:val="004F1574"/>
    <w:rsid w:val="004F1583"/>
    <w:rsid w:val="004F1588"/>
    <w:rsid w:val="004F15BC"/>
    <w:rsid w:val="004F1632"/>
    <w:rsid w:val="004F163A"/>
    <w:rsid w:val="004F1660"/>
    <w:rsid w:val="004F16CD"/>
    <w:rsid w:val="004F1703"/>
    <w:rsid w:val="004F1716"/>
    <w:rsid w:val="004F1729"/>
    <w:rsid w:val="004F1737"/>
    <w:rsid w:val="004F177C"/>
    <w:rsid w:val="004F1783"/>
    <w:rsid w:val="004F17B7"/>
    <w:rsid w:val="004F186D"/>
    <w:rsid w:val="004F188A"/>
    <w:rsid w:val="004F18B4"/>
    <w:rsid w:val="004F18C6"/>
    <w:rsid w:val="004F18DF"/>
    <w:rsid w:val="004F1900"/>
    <w:rsid w:val="004F1904"/>
    <w:rsid w:val="004F1937"/>
    <w:rsid w:val="004F1963"/>
    <w:rsid w:val="004F1976"/>
    <w:rsid w:val="004F19A3"/>
    <w:rsid w:val="004F1AE0"/>
    <w:rsid w:val="004F1AE1"/>
    <w:rsid w:val="004F1B01"/>
    <w:rsid w:val="004F1B11"/>
    <w:rsid w:val="004F1B26"/>
    <w:rsid w:val="004F1B8F"/>
    <w:rsid w:val="004F1BA9"/>
    <w:rsid w:val="004F1BBD"/>
    <w:rsid w:val="004F1BDC"/>
    <w:rsid w:val="004F1C03"/>
    <w:rsid w:val="004F1C58"/>
    <w:rsid w:val="004F1CF5"/>
    <w:rsid w:val="004F1D04"/>
    <w:rsid w:val="004F1D15"/>
    <w:rsid w:val="004F1D20"/>
    <w:rsid w:val="004F1D47"/>
    <w:rsid w:val="004F1D63"/>
    <w:rsid w:val="004F1D91"/>
    <w:rsid w:val="004F1DAB"/>
    <w:rsid w:val="004F1DF7"/>
    <w:rsid w:val="004F1EBB"/>
    <w:rsid w:val="004F1EC5"/>
    <w:rsid w:val="004F1FA7"/>
    <w:rsid w:val="004F1FDB"/>
    <w:rsid w:val="004F1FF6"/>
    <w:rsid w:val="004F20D4"/>
    <w:rsid w:val="004F2100"/>
    <w:rsid w:val="004F218D"/>
    <w:rsid w:val="004F2219"/>
    <w:rsid w:val="004F2263"/>
    <w:rsid w:val="004F22B1"/>
    <w:rsid w:val="004F2355"/>
    <w:rsid w:val="004F2357"/>
    <w:rsid w:val="004F23CC"/>
    <w:rsid w:val="004F23FD"/>
    <w:rsid w:val="004F2418"/>
    <w:rsid w:val="004F241E"/>
    <w:rsid w:val="004F2499"/>
    <w:rsid w:val="004F24AC"/>
    <w:rsid w:val="004F24B1"/>
    <w:rsid w:val="004F24FB"/>
    <w:rsid w:val="004F25A6"/>
    <w:rsid w:val="004F262A"/>
    <w:rsid w:val="004F2651"/>
    <w:rsid w:val="004F26B8"/>
    <w:rsid w:val="004F2716"/>
    <w:rsid w:val="004F271D"/>
    <w:rsid w:val="004F2766"/>
    <w:rsid w:val="004F27C8"/>
    <w:rsid w:val="004F27D4"/>
    <w:rsid w:val="004F2838"/>
    <w:rsid w:val="004F2881"/>
    <w:rsid w:val="004F28A4"/>
    <w:rsid w:val="004F28B7"/>
    <w:rsid w:val="004F28D4"/>
    <w:rsid w:val="004F2996"/>
    <w:rsid w:val="004F29BE"/>
    <w:rsid w:val="004F29D5"/>
    <w:rsid w:val="004F29E6"/>
    <w:rsid w:val="004F2A51"/>
    <w:rsid w:val="004F2A5F"/>
    <w:rsid w:val="004F2A8B"/>
    <w:rsid w:val="004F2AD0"/>
    <w:rsid w:val="004F2B21"/>
    <w:rsid w:val="004F2B23"/>
    <w:rsid w:val="004F2B2A"/>
    <w:rsid w:val="004F2BA1"/>
    <w:rsid w:val="004F2BB0"/>
    <w:rsid w:val="004F2BBA"/>
    <w:rsid w:val="004F2BD0"/>
    <w:rsid w:val="004F2C57"/>
    <w:rsid w:val="004F2C63"/>
    <w:rsid w:val="004F2C92"/>
    <w:rsid w:val="004F2CA6"/>
    <w:rsid w:val="004F2CAF"/>
    <w:rsid w:val="004F2CD5"/>
    <w:rsid w:val="004F2CE5"/>
    <w:rsid w:val="004F2CEC"/>
    <w:rsid w:val="004F2D1C"/>
    <w:rsid w:val="004F2D3B"/>
    <w:rsid w:val="004F2D42"/>
    <w:rsid w:val="004F2D87"/>
    <w:rsid w:val="004F2DCF"/>
    <w:rsid w:val="004F2E0E"/>
    <w:rsid w:val="004F2EB5"/>
    <w:rsid w:val="004F2FD1"/>
    <w:rsid w:val="004F2FD8"/>
    <w:rsid w:val="004F3050"/>
    <w:rsid w:val="004F3078"/>
    <w:rsid w:val="004F317F"/>
    <w:rsid w:val="004F3188"/>
    <w:rsid w:val="004F31C5"/>
    <w:rsid w:val="004F31D8"/>
    <w:rsid w:val="004F31FC"/>
    <w:rsid w:val="004F320B"/>
    <w:rsid w:val="004F3228"/>
    <w:rsid w:val="004F325D"/>
    <w:rsid w:val="004F32BC"/>
    <w:rsid w:val="004F3338"/>
    <w:rsid w:val="004F3342"/>
    <w:rsid w:val="004F33AA"/>
    <w:rsid w:val="004F33C2"/>
    <w:rsid w:val="004F33FC"/>
    <w:rsid w:val="004F341E"/>
    <w:rsid w:val="004F3444"/>
    <w:rsid w:val="004F356E"/>
    <w:rsid w:val="004F3610"/>
    <w:rsid w:val="004F3617"/>
    <w:rsid w:val="004F361B"/>
    <w:rsid w:val="004F36AC"/>
    <w:rsid w:val="004F36E9"/>
    <w:rsid w:val="004F37BB"/>
    <w:rsid w:val="004F3826"/>
    <w:rsid w:val="004F382D"/>
    <w:rsid w:val="004F38CD"/>
    <w:rsid w:val="004F3945"/>
    <w:rsid w:val="004F3987"/>
    <w:rsid w:val="004F39C5"/>
    <w:rsid w:val="004F39CD"/>
    <w:rsid w:val="004F39E9"/>
    <w:rsid w:val="004F39EA"/>
    <w:rsid w:val="004F39F4"/>
    <w:rsid w:val="004F3A1D"/>
    <w:rsid w:val="004F3A42"/>
    <w:rsid w:val="004F3A4C"/>
    <w:rsid w:val="004F3A81"/>
    <w:rsid w:val="004F3BBC"/>
    <w:rsid w:val="004F3C3F"/>
    <w:rsid w:val="004F3C90"/>
    <w:rsid w:val="004F3CD7"/>
    <w:rsid w:val="004F3CE1"/>
    <w:rsid w:val="004F3D06"/>
    <w:rsid w:val="004F3D1E"/>
    <w:rsid w:val="004F3D88"/>
    <w:rsid w:val="004F3E47"/>
    <w:rsid w:val="004F3E7F"/>
    <w:rsid w:val="004F3E9B"/>
    <w:rsid w:val="004F3F35"/>
    <w:rsid w:val="004F3F52"/>
    <w:rsid w:val="004F3FA8"/>
    <w:rsid w:val="004F3FC3"/>
    <w:rsid w:val="004F3FEA"/>
    <w:rsid w:val="004F4055"/>
    <w:rsid w:val="004F4088"/>
    <w:rsid w:val="004F40A1"/>
    <w:rsid w:val="004F40F4"/>
    <w:rsid w:val="004F4150"/>
    <w:rsid w:val="004F418F"/>
    <w:rsid w:val="004F41B8"/>
    <w:rsid w:val="004F420B"/>
    <w:rsid w:val="004F4213"/>
    <w:rsid w:val="004F424B"/>
    <w:rsid w:val="004F42D5"/>
    <w:rsid w:val="004F436F"/>
    <w:rsid w:val="004F43AE"/>
    <w:rsid w:val="004F43B6"/>
    <w:rsid w:val="004F43DE"/>
    <w:rsid w:val="004F43EA"/>
    <w:rsid w:val="004F43FD"/>
    <w:rsid w:val="004F446C"/>
    <w:rsid w:val="004F4473"/>
    <w:rsid w:val="004F4495"/>
    <w:rsid w:val="004F4498"/>
    <w:rsid w:val="004F44C3"/>
    <w:rsid w:val="004F44EF"/>
    <w:rsid w:val="004F4521"/>
    <w:rsid w:val="004F4639"/>
    <w:rsid w:val="004F46C7"/>
    <w:rsid w:val="004F470A"/>
    <w:rsid w:val="004F475A"/>
    <w:rsid w:val="004F47D6"/>
    <w:rsid w:val="004F4802"/>
    <w:rsid w:val="004F482D"/>
    <w:rsid w:val="004F483D"/>
    <w:rsid w:val="004F4861"/>
    <w:rsid w:val="004F491C"/>
    <w:rsid w:val="004F4939"/>
    <w:rsid w:val="004F496A"/>
    <w:rsid w:val="004F496B"/>
    <w:rsid w:val="004F497D"/>
    <w:rsid w:val="004F498A"/>
    <w:rsid w:val="004F4999"/>
    <w:rsid w:val="004F49F9"/>
    <w:rsid w:val="004F4A00"/>
    <w:rsid w:val="004F4A5D"/>
    <w:rsid w:val="004F4AC3"/>
    <w:rsid w:val="004F4AEF"/>
    <w:rsid w:val="004F4B4B"/>
    <w:rsid w:val="004F4B71"/>
    <w:rsid w:val="004F4B92"/>
    <w:rsid w:val="004F4BDD"/>
    <w:rsid w:val="004F4C05"/>
    <w:rsid w:val="004F4C32"/>
    <w:rsid w:val="004F4D4E"/>
    <w:rsid w:val="004F4D7A"/>
    <w:rsid w:val="004F4DA8"/>
    <w:rsid w:val="004F4DB0"/>
    <w:rsid w:val="004F4E1B"/>
    <w:rsid w:val="004F4E5F"/>
    <w:rsid w:val="004F4EC2"/>
    <w:rsid w:val="004F4F2A"/>
    <w:rsid w:val="004F4F4F"/>
    <w:rsid w:val="004F4F5D"/>
    <w:rsid w:val="004F4FA2"/>
    <w:rsid w:val="004F4FB8"/>
    <w:rsid w:val="004F4FD3"/>
    <w:rsid w:val="004F506D"/>
    <w:rsid w:val="004F50C8"/>
    <w:rsid w:val="004F50D0"/>
    <w:rsid w:val="004F50DE"/>
    <w:rsid w:val="004F510D"/>
    <w:rsid w:val="004F5165"/>
    <w:rsid w:val="004F516F"/>
    <w:rsid w:val="004F51B2"/>
    <w:rsid w:val="004F51D2"/>
    <w:rsid w:val="004F5221"/>
    <w:rsid w:val="004F5237"/>
    <w:rsid w:val="004F5265"/>
    <w:rsid w:val="004F527E"/>
    <w:rsid w:val="004F5290"/>
    <w:rsid w:val="004F52AD"/>
    <w:rsid w:val="004F52CA"/>
    <w:rsid w:val="004F52D0"/>
    <w:rsid w:val="004F5306"/>
    <w:rsid w:val="004F5315"/>
    <w:rsid w:val="004F5330"/>
    <w:rsid w:val="004F5342"/>
    <w:rsid w:val="004F535C"/>
    <w:rsid w:val="004F5377"/>
    <w:rsid w:val="004F538B"/>
    <w:rsid w:val="004F539B"/>
    <w:rsid w:val="004F539D"/>
    <w:rsid w:val="004F53C6"/>
    <w:rsid w:val="004F53FB"/>
    <w:rsid w:val="004F5480"/>
    <w:rsid w:val="004F549F"/>
    <w:rsid w:val="004F5501"/>
    <w:rsid w:val="004F5523"/>
    <w:rsid w:val="004F558A"/>
    <w:rsid w:val="004F55AD"/>
    <w:rsid w:val="004F55C6"/>
    <w:rsid w:val="004F55CA"/>
    <w:rsid w:val="004F5652"/>
    <w:rsid w:val="004F5665"/>
    <w:rsid w:val="004F5726"/>
    <w:rsid w:val="004F5739"/>
    <w:rsid w:val="004F57A2"/>
    <w:rsid w:val="004F5820"/>
    <w:rsid w:val="004F5879"/>
    <w:rsid w:val="004F58B3"/>
    <w:rsid w:val="004F593C"/>
    <w:rsid w:val="004F59B1"/>
    <w:rsid w:val="004F59E4"/>
    <w:rsid w:val="004F5A3D"/>
    <w:rsid w:val="004F5AA6"/>
    <w:rsid w:val="004F5AB8"/>
    <w:rsid w:val="004F5AD7"/>
    <w:rsid w:val="004F5AF9"/>
    <w:rsid w:val="004F5B2B"/>
    <w:rsid w:val="004F5B36"/>
    <w:rsid w:val="004F5B85"/>
    <w:rsid w:val="004F5BDF"/>
    <w:rsid w:val="004F5C1E"/>
    <w:rsid w:val="004F5CA6"/>
    <w:rsid w:val="004F5D1C"/>
    <w:rsid w:val="004F5D2B"/>
    <w:rsid w:val="004F5E0F"/>
    <w:rsid w:val="004F5E13"/>
    <w:rsid w:val="004F5E17"/>
    <w:rsid w:val="004F5E1A"/>
    <w:rsid w:val="004F5E42"/>
    <w:rsid w:val="004F5E63"/>
    <w:rsid w:val="004F5E7A"/>
    <w:rsid w:val="004F5EA5"/>
    <w:rsid w:val="004F5EB5"/>
    <w:rsid w:val="004F5EB6"/>
    <w:rsid w:val="004F5EBC"/>
    <w:rsid w:val="004F5ED5"/>
    <w:rsid w:val="004F5EDF"/>
    <w:rsid w:val="004F5F81"/>
    <w:rsid w:val="004F6043"/>
    <w:rsid w:val="004F606E"/>
    <w:rsid w:val="004F6084"/>
    <w:rsid w:val="004F609B"/>
    <w:rsid w:val="004F60A5"/>
    <w:rsid w:val="004F60D8"/>
    <w:rsid w:val="004F60E8"/>
    <w:rsid w:val="004F60F4"/>
    <w:rsid w:val="004F6111"/>
    <w:rsid w:val="004F6126"/>
    <w:rsid w:val="004F614D"/>
    <w:rsid w:val="004F616F"/>
    <w:rsid w:val="004F6191"/>
    <w:rsid w:val="004F6218"/>
    <w:rsid w:val="004F62AB"/>
    <w:rsid w:val="004F62E7"/>
    <w:rsid w:val="004F62F2"/>
    <w:rsid w:val="004F62F5"/>
    <w:rsid w:val="004F6336"/>
    <w:rsid w:val="004F638A"/>
    <w:rsid w:val="004F639D"/>
    <w:rsid w:val="004F63EA"/>
    <w:rsid w:val="004F6448"/>
    <w:rsid w:val="004F64A7"/>
    <w:rsid w:val="004F64DF"/>
    <w:rsid w:val="004F64F3"/>
    <w:rsid w:val="004F65AC"/>
    <w:rsid w:val="004F6640"/>
    <w:rsid w:val="004F6664"/>
    <w:rsid w:val="004F666C"/>
    <w:rsid w:val="004F66CB"/>
    <w:rsid w:val="004F66FE"/>
    <w:rsid w:val="004F6713"/>
    <w:rsid w:val="004F672A"/>
    <w:rsid w:val="004F6811"/>
    <w:rsid w:val="004F682A"/>
    <w:rsid w:val="004F6867"/>
    <w:rsid w:val="004F68ED"/>
    <w:rsid w:val="004F691B"/>
    <w:rsid w:val="004F6924"/>
    <w:rsid w:val="004F698D"/>
    <w:rsid w:val="004F69D5"/>
    <w:rsid w:val="004F6A64"/>
    <w:rsid w:val="004F6A67"/>
    <w:rsid w:val="004F6ADA"/>
    <w:rsid w:val="004F6B3F"/>
    <w:rsid w:val="004F6BA2"/>
    <w:rsid w:val="004F6BB3"/>
    <w:rsid w:val="004F6C14"/>
    <w:rsid w:val="004F6C9E"/>
    <w:rsid w:val="004F6D3C"/>
    <w:rsid w:val="004F6DF0"/>
    <w:rsid w:val="004F6E02"/>
    <w:rsid w:val="004F6E17"/>
    <w:rsid w:val="004F6E36"/>
    <w:rsid w:val="004F6E8B"/>
    <w:rsid w:val="004F6EC2"/>
    <w:rsid w:val="004F6EE0"/>
    <w:rsid w:val="004F6F32"/>
    <w:rsid w:val="004F6F3E"/>
    <w:rsid w:val="004F6F52"/>
    <w:rsid w:val="004F6FDA"/>
    <w:rsid w:val="004F6FE1"/>
    <w:rsid w:val="004F702D"/>
    <w:rsid w:val="004F70B7"/>
    <w:rsid w:val="004F70BC"/>
    <w:rsid w:val="004F70BD"/>
    <w:rsid w:val="004F70C2"/>
    <w:rsid w:val="004F70D7"/>
    <w:rsid w:val="004F70DA"/>
    <w:rsid w:val="004F70E8"/>
    <w:rsid w:val="004F7108"/>
    <w:rsid w:val="004F7116"/>
    <w:rsid w:val="004F7186"/>
    <w:rsid w:val="004F7189"/>
    <w:rsid w:val="004F71B0"/>
    <w:rsid w:val="004F71BE"/>
    <w:rsid w:val="004F71E1"/>
    <w:rsid w:val="004F7279"/>
    <w:rsid w:val="004F7297"/>
    <w:rsid w:val="004F729E"/>
    <w:rsid w:val="004F72B3"/>
    <w:rsid w:val="004F72DF"/>
    <w:rsid w:val="004F7310"/>
    <w:rsid w:val="004F735A"/>
    <w:rsid w:val="004F736D"/>
    <w:rsid w:val="004F73BE"/>
    <w:rsid w:val="004F741C"/>
    <w:rsid w:val="004F743C"/>
    <w:rsid w:val="004F7444"/>
    <w:rsid w:val="004F74E7"/>
    <w:rsid w:val="004F7581"/>
    <w:rsid w:val="004F75A3"/>
    <w:rsid w:val="004F75C9"/>
    <w:rsid w:val="004F7627"/>
    <w:rsid w:val="004F764A"/>
    <w:rsid w:val="004F765D"/>
    <w:rsid w:val="004F76E2"/>
    <w:rsid w:val="004F7710"/>
    <w:rsid w:val="004F7713"/>
    <w:rsid w:val="004F7714"/>
    <w:rsid w:val="004F7756"/>
    <w:rsid w:val="004F7777"/>
    <w:rsid w:val="004F77A0"/>
    <w:rsid w:val="004F77A9"/>
    <w:rsid w:val="004F77E3"/>
    <w:rsid w:val="004F77E4"/>
    <w:rsid w:val="004F7823"/>
    <w:rsid w:val="004F7886"/>
    <w:rsid w:val="004F789C"/>
    <w:rsid w:val="004F78AA"/>
    <w:rsid w:val="004F795C"/>
    <w:rsid w:val="004F7960"/>
    <w:rsid w:val="004F79AF"/>
    <w:rsid w:val="004F79F8"/>
    <w:rsid w:val="004F7A0C"/>
    <w:rsid w:val="004F7A16"/>
    <w:rsid w:val="004F7A7A"/>
    <w:rsid w:val="004F7A94"/>
    <w:rsid w:val="004F7AD1"/>
    <w:rsid w:val="004F7B27"/>
    <w:rsid w:val="004F7B8B"/>
    <w:rsid w:val="004F7BC2"/>
    <w:rsid w:val="004F7BD7"/>
    <w:rsid w:val="004F7BF7"/>
    <w:rsid w:val="004F7C32"/>
    <w:rsid w:val="004F7C67"/>
    <w:rsid w:val="004F7C88"/>
    <w:rsid w:val="004F7D1B"/>
    <w:rsid w:val="004F7D38"/>
    <w:rsid w:val="004F7D64"/>
    <w:rsid w:val="004F7D7E"/>
    <w:rsid w:val="004F7E85"/>
    <w:rsid w:val="004F7F2F"/>
    <w:rsid w:val="004F7F58"/>
    <w:rsid w:val="004F7F6F"/>
    <w:rsid w:val="004F7FDE"/>
    <w:rsid w:val="00500027"/>
    <w:rsid w:val="00500059"/>
    <w:rsid w:val="00500088"/>
    <w:rsid w:val="00500093"/>
    <w:rsid w:val="005000BF"/>
    <w:rsid w:val="00500114"/>
    <w:rsid w:val="00500136"/>
    <w:rsid w:val="00500152"/>
    <w:rsid w:val="0050016B"/>
    <w:rsid w:val="005001C9"/>
    <w:rsid w:val="005001E5"/>
    <w:rsid w:val="00500288"/>
    <w:rsid w:val="0050029C"/>
    <w:rsid w:val="00500451"/>
    <w:rsid w:val="005004D0"/>
    <w:rsid w:val="005004D4"/>
    <w:rsid w:val="005004E3"/>
    <w:rsid w:val="00500558"/>
    <w:rsid w:val="0050057E"/>
    <w:rsid w:val="005005E4"/>
    <w:rsid w:val="0050060B"/>
    <w:rsid w:val="0050061F"/>
    <w:rsid w:val="0050070F"/>
    <w:rsid w:val="00500758"/>
    <w:rsid w:val="005007B6"/>
    <w:rsid w:val="005007D2"/>
    <w:rsid w:val="00500817"/>
    <w:rsid w:val="005008E1"/>
    <w:rsid w:val="00500909"/>
    <w:rsid w:val="0050092C"/>
    <w:rsid w:val="00500962"/>
    <w:rsid w:val="005009A4"/>
    <w:rsid w:val="005009A7"/>
    <w:rsid w:val="005009DE"/>
    <w:rsid w:val="00500A39"/>
    <w:rsid w:val="00500A5E"/>
    <w:rsid w:val="00500AF4"/>
    <w:rsid w:val="00500B0A"/>
    <w:rsid w:val="00500B89"/>
    <w:rsid w:val="00500BC5"/>
    <w:rsid w:val="00500BEC"/>
    <w:rsid w:val="00500C16"/>
    <w:rsid w:val="00500D21"/>
    <w:rsid w:val="00500E14"/>
    <w:rsid w:val="00500E34"/>
    <w:rsid w:val="00500E89"/>
    <w:rsid w:val="00500ECB"/>
    <w:rsid w:val="00500F0D"/>
    <w:rsid w:val="00500F36"/>
    <w:rsid w:val="00500F45"/>
    <w:rsid w:val="00500FE3"/>
    <w:rsid w:val="0050105A"/>
    <w:rsid w:val="005010B5"/>
    <w:rsid w:val="005010D3"/>
    <w:rsid w:val="005010E2"/>
    <w:rsid w:val="0050110B"/>
    <w:rsid w:val="0050112E"/>
    <w:rsid w:val="00501196"/>
    <w:rsid w:val="005011DB"/>
    <w:rsid w:val="005011FC"/>
    <w:rsid w:val="0050121E"/>
    <w:rsid w:val="0050127C"/>
    <w:rsid w:val="005012DF"/>
    <w:rsid w:val="00501328"/>
    <w:rsid w:val="00501364"/>
    <w:rsid w:val="0050138F"/>
    <w:rsid w:val="005013AA"/>
    <w:rsid w:val="005013F9"/>
    <w:rsid w:val="00501413"/>
    <w:rsid w:val="00501423"/>
    <w:rsid w:val="00501439"/>
    <w:rsid w:val="0050144E"/>
    <w:rsid w:val="00501479"/>
    <w:rsid w:val="0050148C"/>
    <w:rsid w:val="005014DC"/>
    <w:rsid w:val="00501538"/>
    <w:rsid w:val="00501544"/>
    <w:rsid w:val="0050154E"/>
    <w:rsid w:val="00501553"/>
    <w:rsid w:val="0050159A"/>
    <w:rsid w:val="0050159D"/>
    <w:rsid w:val="005015C5"/>
    <w:rsid w:val="005015CE"/>
    <w:rsid w:val="0050161F"/>
    <w:rsid w:val="00501635"/>
    <w:rsid w:val="00501671"/>
    <w:rsid w:val="0050167D"/>
    <w:rsid w:val="0050168B"/>
    <w:rsid w:val="005016DC"/>
    <w:rsid w:val="005016EC"/>
    <w:rsid w:val="00501727"/>
    <w:rsid w:val="00501766"/>
    <w:rsid w:val="0050176C"/>
    <w:rsid w:val="005017E6"/>
    <w:rsid w:val="005017E7"/>
    <w:rsid w:val="00501809"/>
    <w:rsid w:val="00501852"/>
    <w:rsid w:val="005018F6"/>
    <w:rsid w:val="00501901"/>
    <w:rsid w:val="00501955"/>
    <w:rsid w:val="0050196C"/>
    <w:rsid w:val="0050196E"/>
    <w:rsid w:val="0050197F"/>
    <w:rsid w:val="005019AC"/>
    <w:rsid w:val="005019BD"/>
    <w:rsid w:val="00501A15"/>
    <w:rsid w:val="00501AA9"/>
    <w:rsid w:val="00501ACC"/>
    <w:rsid w:val="00501AF4"/>
    <w:rsid w:val="00501B5F"/>
    <w:rsid w:val="00501B6C"/>
    <w:rsid w:val="00501B93"/>
    <w:rsid w:val="00501B97"/>
    <w:rsid w:val="00501BC4"/>
    <w:rsid w:val="00501C03"/>
    <w:rsid w:val="00501C4B"/>
    <w:rsid w:val="00501DA6"/>
    <w:rsid w:val="00501DB6"/>
    <w:rsid w:val="00501DFD"/>
    <w:rsid w:val="00501E4D"/>
    <w:rsid w:val="00501E87"/>
    <w:rsid w:val="00501EF9"/>
    <w:rsid w:val="00501F45"/>
    <w:rsid w:val="00501F6F"/>
    <w:rsid w:val="00501F9F"/>
    <w:rsid w:val="00501FD1"/>
    <w:rsid w:val="00501FEB"/>
    <w:rsid w:val="00501FEF"/>
    <w:rsid w:val="00502059"/>
    <w:rsid w:val="005020FD"/>
    <w:rsid w:val="00502105"/>
    <w:rsid w:val="0050211C"/>
    <w:rsid w:val="00502194"/>
    <w:rsid w:val="005021A2"/>
    <w:rsid w:val="005021E6"/>
    <w:rsid w:val="005021EA"/>
    <w:rsid w:val="00502223"/>
    <w:rsid w:val="00502261"/>
    <w:rsid w:val="00502265"/>
    <w:rsid w:val="005022A7"/>
    <w:rsid w:val="005022CA"/>
    <w:rsid w:val="005023BA"/>
    <w:rsid w:val="005024AE"/>
    <w:rsid w:val="005024C1"/>
    <w:rsid w:val="005024CC"/>
    <w:rsid w:val="00502549"/>
    <w:rsid w:val="00502554"/>
    <w:rsid w:val="005025A0"/>
    <w:rsid w:val="0050263F"/>
    <w:rsid w:val="00502646"/>
    <w:rsid w:val="00502659"/>
    <w:rsid w:val="005026AF"/>
    <w:rsid w:val="005026BA"/>
    <w:rsid w:val="00502741"/>
    <w:rsid w:val="0050278A"/>
    <w:rsid w:val="0050279B"/>
    <w:rsid w:val="00502806"/>
    <w:rsid w:val="00502877"/>
    <w:rsid w:val="005028CE"/>
    <w:rsid w:val="00502960"/>
    <w:rsid w:val="005029A7"/>
    <w:rsid w:val="00502A9D"/>
    <w:rsid w:val="00502B3C"/>
    <w:rsid w:val="00502BB2"/>
    <w:rsid w:val="00502BD2"/>
    <w:rsid w:val="00502C19"/>
    <w:rsid w:val="00502C66"/>
    <w:rsid w:val="00502CDF"/>
    <w:rsid w:val="00502CEA"/>
    <w:rsid w:val="00502CF3"/>
    <w:rsid w:val="00502CF7"/>
    <w:rsid w:val="00502D92"/>
    <w:rsid w:val="00502DE7"/>
    <w:rsid w:val="00502DF3"/>
    <w:rsid w:val="00502E31"/>
    <w:rsid w:val="00502E59"/>
    <w:rsid w:val="00502E67"/>
    <w:rsid w:val="00502E68"/>
    <w:rsid w:val="00502EDC"/>
    <w:rsid w:val="0050302C"/>
    <w:rsid w:val="00503043"/>
    <w:rsid w:val="00503077"/>
    <w:rsid w:val="0050307E"/>
    <w:rsid w:val="005030CE"/>
    <w:rsid w:val="0050314F"/>
    <w:rsid w:val="00503183"/>
    <w:rsid w:val="00503185"/>
    <w:rsid w:val="0050319F"/>
    <w:rsid w:val="005031BD"/>
    <w:rsid w:val="005031EA"/>
    <w:rsid w:val="005031EE"/>
    <w:rsid w:val="00503217"/>
    <w:rsid w:val="0050324A"/>
    <w:rsid w:val="00503266"/>
    <w:rsid w:val="005032A3"/>
    <w:rsid w:val="005032DC"/>
    <w:rsid w:val="0050333C"/>
    <w:rsid w:val="0050340B"/>
    <w:rsid w:val="00503439"/>
    <w:rsid w:val="00503446"/>
    <w:rsid w:val="00503482"/>
    <w:rsid w:val="005034F1"/>
    <w:rsid w:val="00503601"/>
    <w:rsid w:val="00503670"/>
    <w:rsid w:val="005036F8"/>
    <w:rsid w:val="0050374F"/>
    <w:rsid w:val="005037C6"/>
    <w:rsid w:val="005037F7"/>
    <w:rsid w:val="00503803"/>
    <w:rsid w:val="0050383F"/>
    <w:rsid w:val="00503885"/>
    <w:rsid w:val="005038E4"/>
    <w:rsid w:val="00503971"/>
    <w:rsid w:val="005039E5"/>
    <w:rsid w:val="00503A43"/>
    <w:rsid w:val="00503AE5"/>
    <w:rsid w:val="00503BAB"/>
    <w:rsid w:val="00503BC3"/>
    <w:rsid w:val="00503BE0"/>
    <w:rsid w:val="00503C55"/>
    <w:rsid w:val="00503D15"/>
    <w:rsid w:val="00503D8D"/>
    <w:rsid w:val="00503DD1"/>
    <w:rsid w:val="00503DEA"/>
    <w:rsid w:val="00503E13"/>
    <w:rsid w:val="00503E19"/>
    <w:rsid w:val="00503E55"/>
    <w:rsid w:val="00503EB2"/>
    <w:rsid w:val="00503F15"/>
    <w:rsid w:val="00503F61"/>
    <w:rsid w:val="00503FC8"/>
    <w:rsid w:val="00504032"/>
    <w:rsid w:val="0050405E"/>
    <w:rsid w:val="00504110"/>
    <w:rsid w:val="0050412F"/>
    <w:rsid w:val="005041EF"/>
    <w:rsid w:val="00504215"/>
    <w:rsid w:val="00504271"/>
    <w:rsid w:val="00504275"/>
    <w:rsid w:val="00504286"/>
    <w:rsid w:val="005042B0"/>
    <w:rsid w:val="00504303"/>
    <w:rsid w:val="00504307"/>
    <w:rsid w:val="00504313"/>
    <w:rsid w:val="00504314"/>
    <w:rsid w:val="00504331"/>
    <w:rsid w:val="00504355"/>
    <w:rsid w:val="005043B7"/>
    <w:rsid w:val="005043BE"/>
    <w:rsid w:val="005043CA"/>
    <w:rsid w:val="00504458"/>
    <w:rsid w:val="00504483"/>
    <w:rsid w:val="005044A8"/>
    <w:rsid w:val="005044D5"/>
    <w:rsid w:val="005044ED"/>
    <w:rsid w:val="005044FF"/>
    <w:rsid w:val="0050456E"/>
    <w:rsid w:val="00504593"/>
    <w:rsid w:val="005045CE"/>
    <w:rsid w:val="005045D9"/>
    <w:rsid w:val="0050464D"/>
    <w:rsid w:val="00504680"/>
    <w:rsid w:val="005046F1"/>
    <w:rsid w:val="00504792"/>
    <w:rsid w:val="005047FB"/>
    <w:rsid w:val="00504845"/>
    <w:rsid w:val="00504862"/>
    <w:rsid w:val="00504868"/>
    <w:rsid w:val="00504897"/>
    <w:rsid w:val="0050499F"/>
    <w:rsid w:val="00504A5C"/>
    <w:rsid w:val="00504AB9"/>
    <w:rsid w:val="00504ACF"/>
    <w:rsid w:val="00504AF9"/>
    <w:rsid w:val="00504AFA"/>
    <w:rsid w:val="00504B24"/>
    <w:rsid w:val="00504B70"/>
    <w:rsid w:val="00504B75"/>
    <w:rsid w:val="00504B86"/>
    <w:rsid w:val="00504BA5"/>
    <w:rsid w:val="00504BCE"/>
    <w:rsid w:val="00504BDC"/>
    <w:rsid w:val="00504BDF"/>
    <w:rsid w:val="00504C43"/>
    <w:rsid w:val="00504C64"/>
    <w:rsid w:val="00504C66"/>
    <w:rsid w:val="00504C68"/>
    <w:rsid w:val="00504D0D"/>
    <w:rsid w:val="00504D2A"/>
    <w:rsid w:val="00504D59"/>
    <w:rsid w:val="00504E05"/>
    <w:rsid w:val="00504E18"/>
    <w:rsid w:val="00504E29"/>
    <w:rsid w:val="00504E73"/>
    <w:rsid w:val="00504E99"/>
    <w:rsid w:val="00504ED8"/>
    <w:rsid w:val="00504F2E"/>
    <w:rsid w:val="00504F8E"/>
    <w:rsid w:val="00504FFC"/>
    <w:rsid w:val="00505040"/>
    <w:rsid w:val="0050515D"/>
    <w:rsid w:val="0050516D"/>
    <w:rsid w:val="00505175"/>
    <w:rsid w:val="00505223"/>
    <w:rsid w:val="00505235"/>
    <w:rsid w:val="0050526C"/>
    <w:rsid w:val="00505272"/>
    <w:rsid w:val="00505279"/>
    <w:rsid w:val="00505290"/>
    <w:rsid w:val="00505312"/>
    <w:rsid w:val="00505326"/>
    <w:rsid w:val="00505348"/>
    <w:rsid w:val="00505416"/>
    <w:rsid w:val="00505421"/>
    <w:rsid w:val="00505464"/>
    <w:rsid w:val="0050547E"/>
    <w:rsid w:val="00505494"/>
    <w:rsid w:val="005054D5"/>
    <w:rsid w:val="005054F9"/>
    <w:rsid w:val="005055D3"/>
    <w:rsid w:val="005055E3"/>
    <w:rsid w:val="005055FA"/>
    <w:rsid w:val="005056BD"/>
    <w:rsid w:val="005056CC"/>
    <w:rsid w:val="005056E1"/>
    <w:rsid w:val="005056FB"/>
    <w:rsid w:val="005056FD"/>
    <w:rsid w:val="005058B1"/>
    <w:rsid w:val="005058C6"/>
    <w:rsid w:val="00505909"/>
    <w:rsid w:val="00505960"/>
    <w:rsid w:val="005059E1"/>
    <w:rsid w:val="005059F5"/>
    <w:rsid w:val="005059FE"/>
    <w:rsid w:val="00505A68"/>
    <w:rsid w:val="00505AB4"/>
    <w:rsid w:val="00505B49"/>
    <w:rsid w:val="00505B9A"/>
    <w:rsid w:val="00505BAA"/>
    <w:rsid w:val="00505BBB"/>
    <w:rsid w:val="00505BED"/>
    <w:rsid w:val="00505C20"/>
    <w:rsid w:val="00505C2B"/>
    <w:rsid w:val="00505C73"/>
    <w:rsid w:val="00505C7B"/>
    <w:rsid w:val="00505C94"/>
    <w:rsid w:val="00505CD9"/>
    <w:rsid w:val="00505D5B"/>
    <w:rsid w:val="00505D78"/>
    <w:rsid w:val="00505D98"/>
    <w:rsid w:val="00505DA4"/>
    <w:rsid w:val="00505DA6"/>
    <w:rsid w:val="00505DB7"/>
    <w:rsid w:val="00505DD7"/>
    <w:rsid w:val="00505DFC"/>
    <w:rsid w:val="00505E1E"/>
    <w:rsid w:val="00505E37"/>
    <w:rsid w:val="00505E69"/>
    <w:rsid w:val="00505EBC"/>
    <w:rsid w:val="00505F1B"/>
    <w:rsid w:val="00505F3D"/>
    <w:rsid w:val="00505F71"/>
    <w:rsid w:val="00505F9E"/>
    <w:rsid w:val="00505FE2"/>
    <w:rsid w:val="00506027"/>
    <w:rsid w:val="005060B1"/>
    <w:rsid w:val="005060E3"/>
    <w:rsid w:val="005060EA"/>
    <w:rsid w:val="0050611B"/>
    <w:rsid w:val="00506167"/>
    <w:rsid w:val="0050617F"/>
    <w:rsid w:val="005061E2"/>
    <w:rsid w:val="00506202"/>
    <w:rsid w:val="0050623E"/>
    <w:rsid w:val="00506254"/>
    <w:rsid w:val="005062D2"/>
    <w:rsid w:val="00506388"/>
    <w:rsid w:val="00506393"/>
    <w:rsid w:val="005063AF"/>
    <w:rsid w:val="005063DF"/>
    <w:rsid w:val="00506405"/>
    <w:rsid w:val="0050643A"/>
    <w:rsid w:val="0050646A"/>
    <w:rsid w:val="005064A9"/>
    <w:rsid w:val="005064AC"/>
    <w:rsid w:val="00506548"/>
    <w:rsid w:val="00506565"/>
    <w:rsid w:val="0050656C"/>
    <w:rsid w:val="005065B2"/>
    <w:rsid w:val="005065EA"/>
    <w:rsid w:val="005065EF"/>
    <w:rsid w:val="00506623"/>
    <w:rsid w:val="005066AC"/>
    <w:rsid w:val="0050677D"/>
    <w:rsid w:val="005067B8"/>
    <w:rsid w:val="005067BF"/>
    <w:rsid w:val="00506820"/>
    <w:rsid w:val="00506827"/>
    <w:rsid w:val="00506838"/>
    <w:rsid w:val="00506944"/>
    <w:rsid w:val="00506971"/>
    <w:rsid w:val="00506989"/>
    <w:rsid w:val="005069BA"/>
    <w:rsid w:val="00506A56"/>
    <w:rsid w:val="00506A82"/>
    <w:rsid w:val="00506A97"/>
    <w:rsid w:val="00506B43"/>
    <w:rsid w:val="00506C05"/>
    <w:rsid w:val="00506C6D"/>
    <w:rsid w:val="00506C79"/>
    <w:rsid w:val="00506D32"/>
    <w:rsid w:val="00506D52"/>
    <w:rsid w:val="00506D71"/>
    <w:rsid w:val="00506D80"/>
    <w:rsid w:val="00506DFA"/>
    <w:rsid w:val="00506E29"/>
    <w:rsid w:val="00506E70"/>
    <w:rsid w:val="00506E9F"/>
    <w:rsid w:val="00506F0D"/>
    <w:rsid w:val="00506F37"/>
    <w:rsid w:val="00506F49"/>
    <w:rsid w:val="00507028"/>
    <w:rsid w:val="005070EF"/>
    <w:rsid w:val="00507105"/>
    <w:rsid w:val="00507132"/>
    <w:rsid w:val="0050714F"/>
    <w:rsid w:val="00507154"/>
    <w:rsid w:val="0050716A"/>
    <w:rsid w:val="0050719A"/>
    <w:rsid w:val="0050719E"/>
    <w:rsid w:val="005071AD"/>
    <w:rsid w:val="005071B7"/>
    <w:rsid w:val="005071F6"/>
    <w:rsid w:val="00507264"/>
    <w:rsid w:val="005072B2"/>
    <w:rsid w:val="00507377"/>
    <w:rsid w:val="005073B2"/>
    <w:rsid w:val="005073EB"/>
    <w:rsid w:val="005073F9"/>
    <w:rsid w:val="0050744F"/>
    <w:rsid w:val="0050750F"/>
    <w:rsid w:val="00507548"/>
    <w:rsid w:val="005075AD"/>
    <w:rsid w:val="005075C1"/>
    <w:rsid w:val="00507685"/>
    <w:rsid w:val="00507691"/>
    <w:rsid w:val="005076A0"/>
    <w:rsid w:val="005076E3"/>
    <w:rsid w:val="005076E7"/>
    <w:rsid w:val="0050771E"/>
    <w:rsid w:val="0050776E"/>
    <w:rsid w:val="0050777C"/>
    <w:rsid w:val="0050779E"/>
    <w:rsid w:val="005077F0"/>
    <w:rsid w:val="00507825"/>
    <w:rsid w:val="005078A3"/>
    <w:rsid w:val="005078B6"/>
    <w:rsid w:val="005078BC"/>
    <w:rsid w:val="00507936"/>
    <w:rsid w:val="00507966"/>
    <w:rsid w:val="005079A6"/>
    <w:rsid w:val="005079E2"/>
    <w:rsid w:val="00507A09"/>
    <w:rsid w:val="00507A23"/>
    <w:rsid w:val="00507A44"/>
    <w:rsid w:val="00507A7D"/>
    <w:rsid w:val="00507B26"/>
    <w:rsid w:val="00507C72"/>
    <w:rsid w:val="00507C81"/>
    <w:rsid w:val="00507CA4"/>
    <w:rsid w:val="00507CBE"/>
    <w:rsid w:val="00507D3D"/>
    <w:rsid w:val="00507D5C"/>
    <w:rsid w:val="00507D6A"/>
    <w:rsid w:val="00507D9B"/>
    <w:rsid w:val="00507E62"/>
    <w:rsid w:val="00507E9B"/>
    <w:rsid w:val="00507EBC"/>
    <w:rsid w:val="00507EC4"/>
    <w:rsid w:val="00507EFA"/>
    <w:rsid w:val="00507F5C"/>
    <w:rsid w:val="00507F65"/>
    <w:rsid w:val="00507FC4"/>
    <w:rsid w:val="00507FC6"/>
    <w:rsid w:val="00510047"/>
    <w:rsid w:val="0051006B"/>
    <w:rsid w:val="005101B2"/>
    <w:rsid w:val="005101CD"/>
    <w:rsid w:val="005101E8"/>
    <w:rsid w:val="005101F5"/>
    <w:rsid w:val="00510388"/>
    <w:rsid w:val="005103F1"/>
    <w:rsid w:val="005103F4"/>
    <w:rsid w:val="005104A6"/>
    <w:rsid w:val="005104BC"/>
    <w:rsid w:val="005104FA"/>
    <w:rsid w:val="0051050D"/>
    <w:rsid w:val="00510521"/>
    <w:rsid w:val="005105A3"/>
    <w:rsid w:val="005105CF"/>
    <w:rsid w:val="005105E6"/>
    <w:rsid w:val="005105FD"/>
    <w:rsid w:val="00510696"/>
    <w:rsid w:val="005106A2"/>
    <w:rsid w:val="005106EE"/>
    <w:rsid w:val="005106F8"/>
    <w:rsid w:val="005106FC"/>
    <w:rsid w:val="00510704"/>
    <w:rsid w:val="00510729"/>
    <w:rsid w:val="0051077F"/>
    <w:rsid w:val="005107EF"/>
    <w:rsid w:val="005107F3"/>
    <w:rsid w:val="00510819"/>
    <w:rsid w:val="0051083D"/>
    <w:rsid w:val="00510850"/>
    <w:rsid w:val="00510878"/>
    <w:rsid w:val="00510886"/>
    <w:rsid w:val="0051090D"/>
    <w:rsid w:val="00510977"/>
    <w:rsid w:val="00510991"/>
    <w:rsid w:val="0051099C"/>
    <w:rsid w:val="005109C3"/>
    <w:rsid w:val="00510AAF"/>
    <w:rsid w:val="00510B6D"/>
    <w:rsid w:val="00510B70"/>
    <w:rsid w:val="00510B97"/>
    <w:rsid w:val="00510BAA"/>
    <w:rsid w:val="00510BB1"/>
    <w:rsid w:val="00510C0B"/>
    <w:rsid w:val="00510C24"/>
    <w:rsid w:val="00510C31"/>
    <w:rsid w:val="00510C75"/>
    <w:rsid w:val="00510C99"/>
    <w:rsid w:val="00510CB9"/>
    <w:rsid w:val="00510CE4"/>
    <w:rsid w:val="00510D1D"/>
    <w:rsid w:val="00510E30"/>
    <w:rsid w:val="00510EA0"/>
    <w:rsid w:val="00510ECA"/>
    <w:rsid w:val="00510EE1"/>
    <w:rsid w:val="00510F2F"/>
    <w:rsid w:val="00510F6B"/>
    <w:rsid w:val="00511018"/>
    <w:rsid w:val="0051106C"/>
    <w:rsid w:val="005111B2"/>
    <w:rsid w:val="005111C0"/>
    <w:rsid w:val="005111CD"/>
    <w:rsid w:val="00511219"/>
    <w:rsid w:val="00511249"/>
    <w:rsid w:val="0051124C"/>
    <w:rsid w:val="005112CB"/>
    <w:rsid w:val="00511308"/>
    <w:rsid w:val="00511332"/>
    <w:rsid w:val="00511339"/>
    <w:rsid w:val="00511341"/>
    <w:rsid w:val="005114A3"/>
    <w:rsid w:val="005114BB"/>
    <w:rsid w:val="005114F2"/>
    <w:rsid w:val="005114FD"/>
    <w:rsid w:val="00511506"/>
    <w:rsid w:val="00511541"/>
    <w:rsid w:val="00511548"/>
    <w:rsid w:val="0051154B"/>
    <w:rsid w:val="005115DE"/>
    <w:rsid w:val="005115F8"/>
    <w:rsid w:val="0051162A"/>
    <w:rsid w:val="0051162E"/>
    <w:rsid w:val="00511641"/>
    <w:rsid w:val="00511684"/>
    <w:rsid w:val="005116BC"/>
    <w:rsid w:val="005116EB"/>
    <w:rsid w:val="0051171D"/>
    <w:rsid w:val="00511741"/>
    <w:rsid w:val="00511773"/>
    <w:rsid w:val="00511784"/>
    <w:rsid w:val="005117BF"/>
    <w:rsid w:val="0051182F"/>
    <w:rsid w:val="0051184F"/>
    <w:rsid w:val="00511870"/>
    <w:rsid w:val="00511973"/>
    <w:rsid w:val="00511A31"/>
    <w:rsid w:val="00511A3D"/>
    <w:rsid w:val="00511A42"/>
    <w:rsid w:val="00511A4E"/>
    <w:rsid w:val="00511A5A"/>
    <w:rsid w:val="00511AC6"/>
    <w:rsid w:val="00511B2E"/>
    <w:rsid w:val="00511B66"/>
    <w:rsid w:val="00511B9C"/>
    <w:rsid w:val="00511C0E"/>
    <w:rsid w:val="00511CB3"/>
    <w:rsid w:val="00511D16"/>
    <w:rsid w:val="00511D76"/>
    <w:rsid w:val="00511D7B"/>
    <w:rsid w:val="00511E0B"/>
    <w:rsid w:val="00511E34"/>
    <w:rsid w:val="00511E77"/>
    <w:rsid w:val="00511ED1"/>
    <w:rsid w:val="00511F08"/>
    <w:rsid w:val="00511F12"/>
    <w:rsid w:val="00511F5B"/>
    <w:rsid w:val="00511F9B"/>
    <w:rsid w:val="0051209D"/>
    <w:rsid w:val="00512165"/>
    <w:rsid w:val="005121E4"/>
    <w:rsid w:val="00512297"/>
    <w:rsid w:val="005122D7"/>
    <w:rsid w:val="0051231D"/>
    <w:rsid w:val="00512349"/>
    <w:rsid w:val="0051238F"/>
    <w:rsid w:val="005123AC"/>
    <w:rsid w:val="005123D3"/>
    <w:rsid w:val="005123E9"/>
    <w:rsid w:val="00512404"/>
    <w:rsid w:val="00512438"/>
    <w:rsid w:val="00512455"/>
    <w:rsid w:val="00512466"/>
    <w:rsid w:val="005124BE"/>
    <w:rsid w:val="005124CF"/>
    <w:rsid w:val="005124E5"/>
    <w:rsid w:val="00512519"/>
    <w:rsid w:val="00512521"/>
    <w:rsid w:val="00512531"/>
    <w:rsid w:val="0051254C"/>
    <w:rsid w:val="0051258E"/>
    <w:rsid w:val="0051259A"/>
    <w:rsid w:val="005125C1"/>
    <w:rsid w:val="005125C3"/>
    <w:rsid w:val="0051262C"/>
    <w:rsid w:val="00512650"/>
    <w:rsid w:val="005126BC"/>
    <w:rsid w:val="005126F0"/>
    <w:rsid w:val="00512712"/>
    <w:rsid w:val="005127A4"/>
    <w:rsid w:val="00512876"/>
    <w:rsid w:val="005128E7"/>
    <w:rsid w:val="00512936"/>
    <w:rsid w:val="00512949"/>
    <w:rsid w:val="0051294A"/>
    <w:rsid w:val="00512970"/>
    <w:rsid w:val="00512971"/>
    <w:rsid w:val="0051299B"/>
    <w:rsid w:val="00512A27"/>
    <w:rsid w:val="00512A59"/>
    <w:rsid w:val="00512ADD"/>
    <w:rsid w:val="00512BBB"/>
    <w:rsid w:val="00512BF7"/>
    <w:rsid w:val="00512C05"/>
    <w:rsid w:val="00512C09"/>
    <w:rsid w:val="00512C28"/>
    <w:rsid w:val="00512C84"/>
    <w:rsid w:val="00512CA3"/>
    <w:rsid w:val="00512CB1"/>
    <w:rsid w:val="00512CD0"/>
    <w:rsid w:val="00512D66"/>
    <w:rsid w:val="00512D93"/>
    <w:rsid w:val="00512D99"/>
    <w:rsid w:val="00512DC4"/>
    <w:rsid w:val="00512DD2"/>
    <w:rsid w:val="00512E2D"/>
    <w:rsid w:val="00512E60"/>
    <w:rsid w:val="00512E74"/>
    <w:rsid w:val="00512F09"/>
    <w:rsid w:val="00512FEF"/>
    <w:rsid w:val="005130B7"/>
    <w:rsid w:val="005131AC"/>
    <w:rsid w:val="005131F5"/>
    <w:rsid w:val="00513214"/>
    <w:rsid w:val="00513250"/>
    <w:rsid w:val="005132A0"/>
    <w:rsid w:val="00513310"/>
    <w:rsid w:val="00513320"/>
    <w:rsid w:val="0051332F"/>
    <w:rsid w:val="0051334F"/>
    <w:rsid w:val="00513381"/>
    <w:rsid w:val="005133A1"/>
    <w:rsid w:val="005133BB"/>
    <w:rsid w:val="00513461"/>
    <w:rsid w:val="00513483"/>
    <w:rsid w:val="005134A5"/>
    <w:rsid w:val="0051351C"/>
    <w:rsid w:val="00513527"/>
    <w:rsid w:val="00513550"/>
    <w:rsid w:val="00513592"/>
    <w:rsid w:val="0051363A"/>
    <w:rsid w:val="00513646"/>
    <w:rsid w:val="005136A0"/>
    <w:rsid w:val="005136BB"/>
    <w:rsid w:val="00513701"/>
    <w:rsid w:val="00513734"/>
    <w:rsid w:val="00513787"/>
    <w:rsid w:val="005137E4"/>
    <w:rsid w:val="00513822"/>
    <w:rsid w:val="00513852"/>
    <w:rsid w:val="00513870"/>
    <w:rsid w:val="005138AE"/>
    <w:rsid w:val="005138F7"/>
    <w:rsid w:val="00513950"/>
    <w:rsid w:val="00513966"/>
    <w:rsid w:val="005139A1"/>
    <w:rsid w:val="00513A2A"/>
    <w:rsid w:val="00513A39"/>
    <w:rsid w:val="00513A48"/>
    <w:rsid w:val="00513A7A"/>
    <w:rsid w:val="00513A90"/>
    <w:rsid w:val="00513ABB"/>
    <w:rsid w:val="00513B18"/>
    <w:rsid w:val="00513B56"/>
    <w:rsid w:val="00513BD5"/>
    <w:rsid w:val="00513BD6"/>
    <w:rsid w:val="00513C49"/>
    <w:rsid w:val="00513C53"/>
    <w:rsid w:val="00513C74"/>
    <w:rsid w:val="00513D03"/>
    <w:rsid w:val="00513D2D"/>
    <w:rsid w:val="00513D60"/>
    <w:rsid w:val="00513D68"/>
    <w:rsid w:val="00513DD4"/>
    <w:rsid w:val="00513DDB"/>
    <w:rsid w:val="00513E37"/>
    <w:rsid w:val="00513E4E"/>
    <w:rsid w:val="00513EA6"/>
    <w:rsid w:val="00513EC0"/>
    <w:rsid w:val="00513FB8"/>
    <w:rsid w:val="0051400A"/>
    <w:rsid w:val="00514066"/>
    <w:rsid w:val="00514099"/>
    <w:rsid w:val="005140F2"/>
    <w:rsid w:val="005140F8"/>
    <w:rsid w:val="0051412E"/>
    <w:rsid w:val="00514163"/>
    <w:rsid w:val="005141A1"/>
    <w:rsid w:val="005141AC"/>
    <w:rsid w:val="005141C5"/>
    <w:rsid w:val="005141C8"/>
    <w:rsid w:val="005141E8"/>
    <w:rsid w:val="00514304"/>
    <w:rsid w:val="0051430F"/>
    <w:rsid w:val="0051438D"/>
    <w:rsid w:val="005143CD"/>
    <w:rsid w:val="005143E6"/>
    <w:rsid w:val="00514415"/>
    <w:rsid w:val="00514426"/>
    <w:rsid w:val="00514434"/>
    <w:rsid w:val="0051447A"/>
    <w:rsid w:val="00514494"/>
    <w:rsid w:val="005144B1"/>
    <w:rsid w:val="005144C2"/>
    <w:rsid w:val="005144D1"/>
    <w:rsid w:val="005144D5"/>
    <w:rsid w:val="0051454D"/>
    <w:rsid w:val="00514552"/>
    <w:rsid w:val="00514597"/>
    <w:rsid w:val="005145C7"/>
    <w:rsid w:val="005145C9"/>
    <w:rsid w:val="0051463C"/>
    <w:rsid w:val="0051467E"/>
    <w:rsid w:val="005146B0"/>
    <w:rsid w:val="005146E7"/>
    <w:rsid w:val="0051476E"/>
    <w:rsid w:val="005147F6"/>
    <w:rsid w:val="0051480B"/>
    <w:rsid w:val="00514818"/>
    <w:rsid w:val="00514821"/>
    <w:rsid w:val="005148A4"/>
    <w:rsid w:val="00514907"/>
    <w:rsid w:val="005149B2"/>
    <w:rsid w:val="00514A35"/>
    <w:rsid w:val="00514AC7"/>
    <w:rsid w:val="00514ACD"/>
    <w:rsid w:val="00514B26"/>
    <w:rsid w:val="00514B2C"/>
    <w:rsid w:val="00514B70"/>
    <w:rsid w:val="00514B8B"/>
    <w:rsid w:val="00514BC9"/>
    <w:rsid w:val="00514C13"/>
    <w:rsid w:val="00514C16"/>
    <w:rsid w:val="00514C68"/>
    <w:rsid w:val="00514C7D"/>
    <w:rsid w:val="00514D72"/>
    <w:rsid w:val="00514E25"/>
    <w:rsid w:val="00514E4B"/>
    <w:rsid w:val="00514E4E"/>
    <w:rsid w:val="00514EA6"/>
    <w:rsid w:val="00514ED2"/>
    <w:rsid w:val="00514EE3"/>
    <w:rsid w:val="00514EFF"/>
    <w:rsid w:val="00514F78"/>
    <w:rsid w:val="00514F9A"/>
    <w:rsid w:val="00514F9B"/>
    <w:rsid w:val="005150CF"/>
    <w:rsid w:val="00515114"/>
    <w:rsid w:val="00515176"/>
    <w:rsid w:val="005151DE"/>
    <w:rsid w:val="005151FF"/>
    <w:rsid w:val="0051521B"/>
    <w:rsid w:val="0051525B"/>
    <w:rsid w:val="0051526A"/>
    <w:rsid w:val="0051528D"/>
    <w:rsid w:val="00515335"/>
    <w:rsid w:val="00515348"/>
    <w:rsid w:val="0051542B"/>
    <w:rsid w:val="00515499"/>
    <w:rsid w:val="005154E1"/>
    <w:rsid w:val="005155AA"/>
    <w:rsid w:val="005155B1"/>
    <w:rsid w:val="005155E7"/>
    <w:rsid w:val="00515607"/>
    <w:rsid w:val="005156A2"/>
    <w:rsid w:val="00515701"/>
    <w:rsid w:val="00515714"/>
    <w:rsid w:val="0051579E"/>
    <w:rsid w:val="00515858"/>
    <w:rsid w:val="0051589C"/>
    <w:rsid w:val="005158BB"/>
    <w:rsid w:val="005158D9"/>
    <w:rsid w:val="005158FB"/>
    <w:rsid w:val="00515916"/>
    <w:rsid w:val="00515923"/>
    <w:rsid w:val="00515994"/>
    <w:rsid w:val="00515995"/>
    <w:rsid w:val="005159B8"/>
    <w:rsid w:val="00515A48"/>
    <w:rsid w:val="00515ADE"/>
    <w:rsid w:val="00515B00"/>
    <w:rsid w:val="00515B26"/>
    <w:rsid w:val="00515BB7"/>
    <w:rsid w:val="00515BC5"/>
    <w:rsid w:val="00515BEB"/>
    <w:rsid w:val="00515C3A"/>
    <w:rsid w:val="00515C66"/>
    <w:rsid w:val="00515CF8"/>
    <w:rsid w:val="00515E07"/>
    <w:rsid w:val="00515E31"/>
    <w:rsid w:val="00515E75"/>
    <w:rsid w:val="00515EA6"/>
    <w:rsid w:val="00515EC5"/>
    <w:rsid w:val="00515ED6"/>
    <w:rsid w:val="00515F52"/>
    <w:rsid w:val="00515FB3"/>
    <w:rsid w:val="00516058"/>
    <w:rsid w:val="005160AE"/>
    <w:rsid w:val="005160BF"/>
    <w:rsid w:val="005160C6"/>
    <w:rsid w:val="005160E7"/>
    <w:rsid w:val="00516122"/>
    <w:rsid w:val="00516245"/>
    <w:rsid w:val="0051626D"/>
    <w:rsid w:val="005162A9"/>
    <w:rsid w:val="005162AA"/>
    <w:rsid w:val="005162E1"/>
    <w:rsid w:val="005162F3"/>
    <w:rsid w:val="00516304"/>
    <w:rsid w:val="0051630C"/>
    <w:rsid w:val="0051631F"/>
    <w:rsid w:val="005163C8"/>
    <w:rsid w:val="005163DD"/>
    <w:rsid w:val="00516425"/>
    <w:rsid w:val="00516456"/>
    <w:rsid w:val="0051645F"/>
    <w:rsid w:val="00516481"/>
    <w:rsid w:val="005164EB"/>
    <w:rsid w:val="00516505"/>
    <w:rsid w:val="00516556"/>
    <w:rsid w:val="005166C4"/>
    <w:rsid w:val="00516707"/>
    <w:rsid w:val="00516739"/>
    <w:rsid w:val="00516782"/>
    <w:rsid w:val="00516785"/>
    <w:rsid w:val="00516789"/>
    <w:rsid w:val="005167F2"/>
    <w:rsid w:val="005168AF"/>
    <w:rsid w:val="005168BC"/>
    <w:rsid w:val="00516901"/>
    <w:rsid w:val="00516915"/>
    <w:rsid w:val="00516995"/>
    <w:rsid w:val="00516A61"/>
    <w:rsid w:val="00516AD9"/>
    <w:rsid w:val="00516B78"/>
    <w:rsid w:val="00516CD0"/>
    <w:rsid w:val="00516CE6"/>
    <w:rsid w:val="00516D16"/>
    <w:rsid w:val="00516D83"/>
    <w:rsid w:val="00516D89"/>
    <w:rsid w:val="00516DAB"/>
    <w:rsid w:val="00516E67"/>
    <w:rsid w:val="00516EB2"/>
    <w:rsid w:val="00516EE5"/>
    <w:rsid w:val="0051700D"/>
    <w:rsid w:val="0051701E"/>
    <w:rsid w:val="00517055"/>
    <w:rsid w:val="00517070"/>
    <w:rsid w:val="0051709C"/>
    <w:rsid w:val="005170B8"/>
    <w:rsid w:val="00517138"/>
    <w:rsid w:val="0051715A"/>
    <w:rsid w:val="005171A5"/>
    <w:rsid w:val="005171A6"/>
    <w:rsid w:val="0051724F"/>
    <w:rsid w:val="00517277"/>
    <w:rsid w:val="00517284"/>
    <w:rsid w:val="005172B3"/>
    <w:rsid w:val="005172D0"/>
    <w:rsid w:val="00517324"/>
    <w:rsid w:val="00517326"/>
    <w:rsid w:val="00517353"/>
    <w:rsid w:val="005173D2"/>
    <w:rsid w:val="005173DB"/>
    <w:rsid w:val="005173EA"/>
    <w:rsid w:val="00517408"/>
    <w:rsid w:val="00517478"/>
    <w:rsid w:val="0051751E"/>
    <w:rsid w:val="00517537"/>
    <w:rsid w:val="0051758F"/>
    <w:rsid w:val="0051766D"/>
    <w:rsid w:val="0051768B"/>
    <w:rsid w:val="0051768C"/>
    <w:rsid w:val="00517725"/>
    <w:rsid w:val="0051775A"/>
    <w:rsid w:val="00517778"/>
    <w:rsid w:val="005177B0"/>
    <w:rsid w:val="005177ED"/>
    <w:rsid w:val="00517863"/>
    <w:rsid w:val="005178CD"/>
    <w:rsid w:val="005178CF"/>
    <w:rsid w:val="005178DB"/>
    <w:rsid w:val="00517905"/>
    <w:rsid w:val="00517929"/>
    <w:rsid w:val="00517976"/>
    <w:rsid w:val="005179A5"/>
    <w:rsid w:val="005179E4"/>
    <w:rsid w:val="005179F5"/>
    <w:rsid w:val="00517A29"/>
    <w:rsid w:val="00517A5F"/>
    <w:rsid w:val="00517A6B"/>
    <w:rsid w:val="00517AAF"/>
    <w:rsid w:val="00517AB6"/>
    <w:rsid w:val="00517B46"/>
    <w:rsid w:val="00517B83"/>
    <w:rsid w:val="00517BB9"/>
    <w:rsid w:val="00517C04"/>
    <w:rsid w:val="00517C33"/>
    <w:rsid w:val="00517C4A"/>
    <w:rsid w:val="00517C85"/>
    <w:rsid w:val="00517CD0"/>
    <w:rsid w:val="00517DB0"/>
    <w:rsid w:val="00517E30"/>
    <w:rsid w:val="00517E33"/>
    <w:rsid w:val="00517E5E"/>
    <w:rsid w:val="00517E8C"/>
    <w:rsid w:val="00517ECD"/>
    <w:rsid w:val="00517ED5"/>
    <w:rsid w:val="00517F0F"/>
    <w:rsid w:val="00517F13"/>
    <w:rsid w:val="00517F18"/>
    <w:rsid w:val="00520026"/>
    <w:rsid w:val="00520079"/>
    <w:rsid w:val="005200A6"/>
    <w:rsid w:val="005200C4"/>
    <w:rsid w:val="005200F1"/>
    <w:rsid w:val="0052012E"/>
    <w:rsid w:val="00520139"/>
    <w:rsid w:val="00520167"/>
    <w:rsid w:val="00520187"/>
    <w:rsid w:val="0052023B"/>
    <w:rsid w:val="00520266"/>
    <w:rsid w:val="0052027F"/>
    <w:rsid w:val="005202A1"/>
    <w:rsid w:val="005202E3"/>
    <w:rsid w:val="005202FD"/>
    <w:rsid w:val="00520347"/>
    <w:rsid w:val="0052038F"/>
    <w:rsid w:val="005203C7"/>
    <w:rsid w:val="00520422"/>
    <w:rsid w:val="0052049A"/>
    <w:rsid w:val="005204C2"/>
    <w:rsid w:val="005204CB"/>
    <w:rsid w:val="00520526"/>
    <w:rsid w:val="005205D2"/>
    <w:rsid w:val="00520604"/>
    <w:rsid w:val="00520663"/>
    <w:rsid w:val="00520669"/>
    <w:rsid w:val="005206D5"/>
    <w:rsid w:val="0052077C"/>
    <w:rsid w:val="005207B9"/>
    <w:rsid w:val="005207D3"/>
    <w:rsid w:val="005207DD"/>
    <w:rsid w:val="005207E8"/>
    <w:rsid w:val="005207EA"/>
    <w:rsid w:val="005207EE"/>
    <w:rsid w:val="005207EF"/>
    <w:rsid w:val="00520821"/>
    <w:rsid w:val="0052083C"/>
    <w:rsid w:val="0052086D"/>
    <w:rsid w:val="00520875"/>
    <w:rsid w:val="00520877"/>
    <w:rsid w:val="005208C2"/>
    <w:rsid w:val="00520984"/>
    <w:rsid w:val="005209CE"/>
    <w:rsid w:val="005209F0"/>
    <w:rsid w:val="005209F3"/>
    <w:rsid w:val="00520A57"/>
    <w:rsid w:val="00520AA7"/>
    <w:rsid w:val="00520B1A"/>
    <w:rsid w:val="00520B6B"/>
    <w:rsid w:val="00520BF7"/>
    <w:rsid w:val="00520C1C"/>
    <w:rsid w:val="00520C48"/>
    <w:rsid w:val="00520CBA"/>
    <w:rsid w:val="00520CD8"/>
    <w:rsid w:val="00520CDF"/>
    <w:rsid w:val="00520D15"/>
    <w:rsid w:val="00520D98"/>
    <w:rsid w:val="00520D9F"/>
    <w:rsid w:val="00520DE2"/>
    <w:rsid w:val="00520E12"/>
    <w:rsid w:val="00520E8E"/>
    <w:rsid w:val="00520F9E"/>
    <w:rsid w:val="00520FDB"/>
    <w:rsid w:val="00521006"/>
    <w:rsid w:val="0052100E"/>
    <w:rsid w:val="0052101D"/>
    <w:rsid w:val="0052102E"/>
    <w:rsid w:val="0052105C"/>
    <w:rsid w:val="005210D4"/>
    <w:rsid w:val="005210F3"/>
    <w:rsid w:val="00521155"/>
    <w:rsid w:val="00521186"/>
    <w:rsid w:val="005211BA"/>
    <w:rsid w:val="005211FB"/>
    <w:rsid w:val="0052121B"/>
    <w:rsid w:val="0052122F"/>
    <w:rsid w:val="00521249"/>
    <w:rsid w:val="0052128F"/>
    <w:rsid w:val="00521297"/>
    <w:rsid w:val="005212F9"/>
    <w:rsid w:val="0052132F"/>
    <w:rsid w:val="00521349"/>
    <w:rsid w:val="00521378"/>
    <w:rsid w:val="00521395"/>
    <w:rsid w:val="005213BD"/>
    <w:rsid w:val="005213DC"/>
    <w:rsid w:val="00521423"/>
    <w:rsid w:val="005214C1"/>
    <w:rsid w:val="005214F5"/>
    <w:rsid w:val="00521516"/>
    <w:rsid w:val="00521581"/>
    <w:rsid w:val="0052160E"/>
    <w:rsid w:val="00521748"/>
    <w:rsid w:val="0052176E"/>
    <w:rsid w:val="005217D2"/>
    <w:rsid w:val="00521812"/>
    <w:rsid w:val="00521826"/>
    <w:rsid w:val="00521853"/>
    <w:rsid w:val="00521861"/>
    <w:rsid w:val="00521865"/>
    <w:rsid w:val="0052187F"/>
    <w:rsid w:val="00521885"/>
    <w:rsid w:val="005218C7"/>
    <w:rsid w:val="00521973"/>
    <w:rsid w:val="00521977"/>
    <w:rsid w:val="00521978"/>
    <w:rsid w:val="005219F6"/>
    <w:rsid w:val="005219FA"/>
    <w:rsid w:val="00521A12"/>
    <w:rsid w:val="00521A43"/>
    <w:rsid w:val="00521AA1"/>
    <w:rsid w:val="00521AA6"/>
    <w:rsid w:val="00521BA0"/>
    <w:rsid w:val="00521BD1"/>
    <w:rsid w:val="00521BFA"/>
    <w:rsid w:val="00521CC9"/>
    <w:rsid w:val="00521CEA"/>
    <w:rsid w:val="00521D19"/>
    <w:rsid w:val="00521D52"/>
    <w:rsid w:val="00521DD2"/>
    <w:rsid w:val="00521E32"/>
    <w:rsid w:val="00521E69"/>
    <w:rsid w:val="00521F10"/>
    <w:rsid w:val="00521F1A"/>
    <w:rsid w:val="00521F1E"/>
    <w:rsid w:val="00521F50"/>
    <w:rsid w:val="00521F6C"/>
    <w:rsid w:val="00521F90"/>
    <w:rsid w:val="00521FAA"/>
    <w:rsid w:val="00521FED"/>
    <w:rsid w:val="00521FF0"/>
    <w:rsid w:val="00522055"/>
    <w:rsid w:val="00522075"/>
    <w:rsid w:val="00522098"/>
    <w:rsid w:val="005220EB"/>
    <w:rsid w:val="00522108"/>
    <w:rsid w:val="0052210F"/>
    <w:rsid w:val="00522131"/>
    <w:rsid w:val="00522149"/>
    <w:rsid w:val="0052216E"/>
    <w:rsid w:val="005221B6"/>
    <w:rsid w:val="005221C1"/>
    <w:rsid w:val="005221C9"/>
    <w:rsid w:val="00522215"/>
    <w:rsid w:val="00522258"/>
    <w:rsid w:val="00522288"/>
    <w:rsid w:val="0052228E"/>
    <w:rsid w:val="00522290"/>
    <w:rsid w:val="00522292"/>
    <w:rsid w:val="005222C7"/>
    <w:rsid w:val="00522316"/>
    <w:rsid w:val="00522324"/>
    <w:rsid w:val="0052233F"/>
    <w:rsid w:val="00522341"/>
    <w:rsid w:val="0052235E"/>
    <w:rsid w:val="005223E9"/>
    <w:rsid w:val="00522411"/>
    <w:rsid w:val="00522421"/>
    <w:rsid w:val="005224B4"/>
    <w:rsid w:val="005224C9"/>
    <w:rsid w:val="005225A4"/>
    <w:rsid w:val="005225BF"/>
    <w:rsid w:val="005225CA"/>
    <w:rsid w:val="005225F5"/>
    <w:rsid w:val="005226E9"/>
    <w:rsid w:val="00522701"/>
    <w:rsid w:val="00522714"/>
    <w:rsid w:val="0052273B"/>
    <w:rsid w:val="005227B9"/>
    <w:rsid w:val="005227E9"/>
    <w:rsid w:val="00522824"/>
    <w:rsid w:val="00522881"/>
    <w:rsid w:val="005228A9"/>
    <w:rsid w:val="0052297C"/>
    <w:rsid w:val="005229B8"/>
    <w:rsid w:val="005229C6"/>
    <w:rsid w:val="005229E3"/>
    <w:rsid w:val="00522A00"/>
    <w:rsid w:val="00522A48"/>
    <w:rsid w:val="00522A78"/>
    <w:rsid w:val="00522B69"/>
    <w:rsid w:val="00522BA0"/>
    <w:rsid w:val="00522BC8"/>
    <w:rsid w:val="00522C1E"/>
    <w:rsid w:val="00522C86"/>
    <w:rsid w:val="00522CC6"/>
    <w:rsid w:val="00522CFF"/>
    <w:rsid w:val="00522D29"/>
    <w:rsid w:val="00522D2D"/>
    <w:rsid w:val="00522D48"/>
    <w:rsid w:val="00522D93"/>
    <w:rsid w:val="00522E00"/>
    <w:rsid w:val="00522E0B"/>
    <w:rsid w:val="00522E34"/>
    <w:rsid w:val="00522E96"/>
    <w:rsid w:val="00522EE0"/>
    <w:rsid w:val="00522F09"/>
    <w:rsid w:val="00522F9D"/>
    <w:rsid w:val="00523037"/>
    <w:rsid w:val="0052306B"/>
    <w:rsid w:val="005230D4"/>
    <w:rsid w:val="00523100"/>
    <w:rsid w:val="0052316F"/>
    <w:rsid w:val="005231D2"/>
    <w:rsid w:val="005231E4"/>
    <w:rsid w:val="005231EA"/>
    <w:rsid w:val="00523264"/>
    <w:rsid w:val="0052327B"/>
    <w:rsid w:val="00523290"/>
    <w:rsid w:val="005232D6"/>
    <w:rsid w:val="0052333B"/>
    <w:rsid w:val="0052338C"/>
    <w:rsid w:val="00523394"/>
    <w:rsid w:val="005233A4"/>
    <w:rsid w:val="005233D4"/>
    <w:rsid w:val="00523403"/>
    <w:rsid w:val="00523474"/>
    <w:rsid w:val="0052347D"/>
    <w:rsid w:val="00523522"/>
    <w:rsid w:val="005235B6"/>
    <w:rsid w:val="00523617"/>
    <w:rsid w:val="0052368E"/>
    <w:rsid w:val="005236A9"/>
    <w:rsid w:val="005236C0"/>
    <w:rsid w:val="005236FA"/>
    <w:rsid w:val="00523764"/>
    <w:rsid w:val="0052377F"/>
    <w:rsid w:val="00523784"/>
    <w:rsid w:val="005237B3"/>
    <w:rsid w:val="005237C9"/>
    <w:rsid w:val="00523847"/>
    <w:rsid w:val="00523894"/>
    <w:rsid w:val="0052392D"/>
    <w:rsid w:val="00523987"/>
    <w:rsid w:val="00523997"/>
    <w:rsid w:val="005239AA"/>
    <w:rsid w:val="005239B0"/>
    <w:rsid w:val="005239B5"/>
    <w:rsid w:val="005239C9"/>
    <w:rsid w:val="005239F5"/>
    <w:rsid w:val="00523A3F"/>
    <w:rsid w:val="00523A84"/>
    <w:rsid w:val="00523A91"/>
    <w:rsid w:val="00523A9A"/>
    <w:rsid w:val="00523B16"/>
    <w:rsid w:val="00523B39"/>
    <w:rsid w:val="00523B42"/>
    <w:rsid w:val="00523BCD"/>
    <w:rsid w:val="00523C83"/>
    <w:rsid w:val="00523CB5"/>
    <w:rsid w:val="00523CE5"/>
    <w:rsid w:val="00523DCA"/>
    <w:rsid w:val="00523E09"/>
    <w:rsid w:val="00523E3C"/>
    <w:rsid w:val="00523EC9"/>
    <w:rsid w:val="00523ED1"/>
    <w:rsid w:val="00523EF4"/>
    <w:rsid w:val="00523F26"/>
    <w:rsid w:val="00523F2A"/>
    <w:rsid w:val="00523FB3"/>
    <w:rsid w:val="00523FDB"/>
    <w:rsid w:val="00524091"/>
    <w:rsid w:val="005240A1"/>
    <w:rsid w:val="005240CF"/>
    <w:rsid w:val="0052419D"/>
    <w:rsid w:val="005241B2"/>
    <w:rsid w:val="005241CD"/>
    <w:rsid w:val="005241E1"/>
    <w:rsid w:val="005241E4"/>
    <w:rsid w:val="005241F4"/>
    <w:rsid w:val="005242B6"/>
    <w:rsid w:val="005242EF"/>
    <w:rsid w:val="00524464"/>
    <w:rsid w:val="0052456B"/>
    <w:rsid w:val="00524582"/>
    <w:rsid w:val="005245FA"/>
    <w:rsid w:val="0052463C"/>
    <w:rsid w:val="00524687"/>
    <w:rsid w:val="00524690"/>
    <w:rsid w:val="005246B2"/>
    <w:rsid w:val="005246DF"/>
    <w:rsid w:val="00524708"/>
    <w:rsid w:val="00524776"/>
    <w:rsid w:val="00524853"/>
    <w:rsid w:val="00524882"/>
    <w:rsid w:val="005248A0"/>
    <w:rsid w:val="005248D3"/>
    <w:rsid w:val="005248D8"/>
    <w:rsid w:val="0052492E"/>
    <w:rsid w:val="00524934"/>
    <w:rsid w:val="0052493E"/>
    <w:rsid w:val="0052495A"/>
    <w:rsid w:val="005249C5"/>
    <w:rsid w:val="00524A29"/>
    <w:rsid w:val="00524A5C"/>
    <w:rsid w:val="00524ACD"/>
    <w:rsid w:val="00524AD8"/>
    <w:rsid w:val="00524B14"/>
    <w:rsid w:val="00524B21"/>
    <w:rsid w:val="00524B4B"/>
    <w:rsid w:val="00524B50"/>
    <w:rsid w:val="00524B57"/>
    <w:rsid w:val="00524BE2"/>
    <w:rsid w:val="00524BE6"/>
    <w:rsid w:val="00524C0D"/>
    <w:rsid w:val="00524C46"/>
    <w:rsid w:val="00524C53"/>
    <w:rsid w:val="00524C6C"/>
    <w:rsid w:val="00524CCA"/>
    <w:rsid w:val="00524CDE"/>
    <w:rsid w:val="00524CF4"/>
    <w:rsid w:val="00524D1C"/>
    <w:rsid w:val="00524D52"/>
    <w:rsid w:val="00524D67"/>
    <w:rsid w:val="00524DED"/>
    <w:rsid w:val="00524E62"/>
    <w:rsid w:val="00524E68"/>
    <w:rsid w:val="00524EA3"/>
    <w:rsid w:val="00524EC7"/>
    <w:rsid w:val="00524F03"/>
    <w:rsid w:val="00524F24"/>
    <w:rsid w:val="00524F37"/>
    <w:rsid w:val="00524FA7"/>
    <w:rsid w:val="00525009"/>
    <w:rsid w:val="005250BF"/>
    <w:rsid w:val="005250E5"/>
    <w:rsid w:val="0052516E"/>
    <w:rsid w:val="005252B2"/>
    <w:rsid w:val="00525363"/>
    <w:rsid w:val="00525366"/>
    <w:rsid w:val="0052543A"/>
    <w:rsid w:val="005254DA"/>
    <w:rsid w:val="005254EF"/>
    <w:rsid w:val="00525530"/>
    <w:rsid w:val="0052553D"/>
    <w:rsid w:val="00525561"/>
    <w:rsid w:val="00525589"/>
    <w:rsid w:val="00525679"/>
    <w:rsid w:val="005256AB"/>
    <w:rsid w:val="005256CA"/>
    <w:rsid w:val="00525719"/>
    <w:rsid w:val="005257B9"/>
    <w:rsid w:val="00525816"/>
    <w:rsid w:val="00525817"/>
    <w:rsid w:val="00525892"/>
    <w:rsid w:val="005258D3"/>
    <w:rsid w:val="00525914"/>
    <w:rsid w:val="00525918"/>
    <w:rsid w:val="0052599B"/>
    <w:rsid w:val="00525A0D"/>
    <w:rsid w:val="00525A76"/>
    <w:rsid w:val="00525A98"/>
    <w:rsid w:val="00525AD8"/>
    <w:rsid w:val="00525B0B"/>
    <w:rsid w:val="00525B1C"/>
    <w:rsid w:val="00525B34"/>
    <w:rsid w:val="00525BB2"/>
    <w:rsid w:val="00525BE7"/>
    <w:rsid w:val="00525C3A"/>
    <w:rsid w:val="00525C74"/>
    <w:rsid w:val="00525C98"/>
    <w:rsid w:val="00525CD0"/>
    <w:rsid w:val="00525D33"/>
    <w:rsid w:val="00525D8B"/>
    <w:rsid w:val="00525DA4"/>
    <w:rsid w:val="00525DE6"/>
    <w:rsid w:val="00525E43"/>
    <w:rsid w:val="00525EC5"/>
    <w:rsid w:val="00525EC8"/>
    <w:rsid w:val="00525F27"/>
    <w:rsid w:val="00525F4C"/>
    <w:rsid w:val="00525F7F"/>
    <w:rsid w:val="00525F8D"/>
    <w:rsid w:val="00525FE8"/>
    <w:rsid w:val="00525FF8"/>
    <w:rsid w:val="00526019"/>
    <w:rsid w:val="0052603E"/>
    <w:rsid w:val="0052607D"/>
    <w:rsid w:val="005260F0"/>
    <w:rsid w:val="0052610A"/>
    <w:rsid w:val="00526123"/>
    <w:rsid w:val="0052616E"/>
    <w:rsid w:val="00526173"/>
    <w:rsid w:val="005261E6"/>
    <w:rsid w:val="00526213"/>
    <w:rsid w:val="00526231"/>
    <w:rsid w:val="0052635E"/>
    <w:rsid w:val="00526402"/>
    <w:rsid w:val="00526432"/>
    <w:rsid w:val="0052645C"/>
    <w:rsid w:val="00526463"/>
    <w:rsid w:val="005264EC"/>
    <w:rsid w:val="00526595"/>
    <w:rsid w:val="005265AD"/>
    <w:rsid w:val="005265E0"/>
    <w:rsid w:val="005265E9"/>
    <w:rsid w:val="00526637"/>
    <w:rsid w:val="005266DA"/>
    <w:rsid w:val="00526721"/>
    <w:rsid w:val="00526729"/>
    <w:rsid w:val="0052674A"/>
    <w:rsid w:val="00526761"/>
    <w:rsid w:val="00526765"/>
    <w:rsid w:val="005267A6"/>
    <w:rsid w:val="005267DB"/>
    <w:rsid w:val="00526800"/>
    <w:rsid w:val="00526809"/>
    <w:rsid w:val="0052681B"/>
    <w:rsid w:val="005268B2"/>
    <w:rsid w:val="005268F5"/>
    <w:rsid w:val="00526973"/>
    <w:rsid w:val="00526974"/>
    <w:rsid w:val="00526A11"/>
    <w:rsid w:val="00526A7F"/>
    <w:rsid w:val="00526BDB"/>
    <w:rsid w:val="00526C00"/>
    <w:rsid w:val="00526C34"/>
    <w:rsid w:val="00526CAE"/>
    <w:rsid w:val="00526CB2"/>
    <w:rsid w:val="00526CD1"/>
    <w:rsid w:val="00526CE8"/>
    <w:rsid w:val="00526D65"/>
    <w:rsid w:val="00526E92"/>
    <w:rsid w:val="00526F7E"/>
    <w:rsid w:val="00526F98"/>
    <w:rsid w:val="00526FD0"/>
    <w:rsid w:val="0052700D"/>
    <w:rsid w:val="00527064"/>
    <w:rsid w:val="005270B3"/>
    <w:rsid w:val="005270CD"/>
    <w:rsid w:val="00527111"/>
    <w:rsid w:val="00527114"/>
    <w:rsid w:val="00527183"/>
    <w:rsid w:val="00527226"/>
    <w:rsid w:val="0052727A"/>
    <w:rsid w:val="0052727E"/>
    <w:rsid w:val="00527280"/>
    <w:rsid w:val="00527293"/>
    <w:rsid w:val="005272C5"/>
    <w:rsid w:val="005272DC"/>
    <w:rsid w:val="0052731D"/>
    <w:rsid w:val="00527365"/>
    <w:rsid w:val="005273E9"/>
    <w:rsid w:val="005273FD"/>
    <w:rsid w:val="00527413"/>
    <w:rsid w:val="00527468"/>
    <w:rsid w:val="00527489"/>
    <w:rsid w:val="005274A1"/>
    <w:rsid w:val="005274A6"/>
    <w:rsid w:val="005274D5"/>
    <w:rsid w:val="005274F9"/>
    <w:rsid w:val="00527594"/>
    <w:rsid w:val="005275E4"/>
    <w:rsid w:val="00527668"/>
    <w:rsid w:val="00527699"/>
    <w:rsid w:val="005276CA"/>
    <w:rsid w:val="005276E9"/>
    <w:rsid w:val="00527724"/>
    <w:rsid w:val="00527767"/>
    <w:rsid w:val="0052779C"/>
    <w:rsid w:val="005277C3"/>
    <w:rsid w:val="005277EA"/>
    <w:rsid w:val="005277FB"/>
    <w:rsid w:val="0052788C"/>
    <w:rsid w:val="005278A8"/>
    <w:rsid w:val="005278F9"/>
    <w:rsid w:val="005278FE"/>
    <w:rsid w:val="00527929"/>
    <w:rsid w:val="0052792E"/>
    <w:rsid w:val="00527932"/>
    <w:rsid w:val="0052798D"/>
    <w:rsid w:val="005279A2"/>
    <w:rsid w:val="005279F2"/>
    <w:rsid w:val="00527A62"/>
    <w:rsid w:val="00527A97"/>
    <w:rsid w:val="00527B69"/>
    <w:rsid w:val="00527BB9"/>
    <w:rsid w:val="00527BD8"/>
    <w:rsid w:val="00527BDD"/>
    <w:rsid w:val="00527BEE"/>
    <w:rsid w:val="00527C0A"/>
    <w:rsid w:val="00527C27"/>
    <w:rsid w:val="00527CBD"/>
    <w:rsid w:val="00527E66"/>
    <w:rsid w:val="00527E85"/>
    <w:rsid w:val="00527EB6"/>
    <w:rsid w:val="00527F1E"/>
    <w:rsid w:val="00527F3B"/>
    <w:rsid w:val="00527F58"/>
    <w:rsid w:val="005300A5"/>
    <w:rsid w:val="005300F3"/>
    <w:rsid w:val="005300FF"/>
    <w:rsid w:val="00530146"/>
    <w:rsid w:val="00530163"/>
    <w:rsid w:val="00530164"/>
    <w:rsid w:val="0053018D"/>
    <w:rsid w:val="0053019D"/>
    <w:rsid w:val="005301C6"/>
    <w:rsid w:val="005301F7"/>
    <w:rsid w:val="005301F8"/>
    <w:rsid w:val="005302C9"/>
    <w:rsid w:val="005302FE"/>
    <w:rsid w:val="0053032B"/>
    <w:rsid w:val="00530347"/>
    <w:rsid w:val="0053035A"/>
    <w:rsid w:val="0053037E"/>
    <w:rsid w:val="0053037F"/>
    <w:rsid w:val="005303F5"/>
    <w:rsid w:val="0053041C"/>
    <w:rsid w:val="0053048E"/>
    <w:rsid w:val="00530493"/>
    <w:rsid w:val="005304AB"/>
    <w:rsid w:val="00530535"/>
    <w:rsid w:val="0053059A"/>
    <w:rsid w:val="00530614"/>
    <w:rsid w:val="0053069F"/>
    <w:rsid w:val="005306DF"/>
    <w:rsid w:val="00530736"/>
    <w:rsid w:val="00530792"/>
    <w:rsid w:val="005307B3"/>
    <w:rsid w:val="005307BF"/>
    <w:rsid w:val="0053080B"/>
    <w:rsid w:val="005308B0"/>
    <w:rsid w:val="00530930"/>
    <w:rsid w:val="00530932"/>
    <w:rsid w:val="005309B5"/>
    <w:rsid w:val="00530A04"/>
    <w:rsid w:val="00530A4C"/>
    <w:rsid w:val="00530AD8"/>
    <w:rsid w:val="00530AF9"/>
    <w:rsid w:val="00530B04"/>
    <w:rsid w:val="00530BC5"/>
    <w:rsid w:val="00530BDF"/>
    <w:rsid w:val="00530D0F"/>
    <w:rsid w:val="00530D11"/>
    <w:rsid w:val="00530D2C"/>
    <w:rsid w:val="00530D3E"/>
    <w:rsid w:val="00530D4C"/>
    <w:rsid w:val="00530D62"/>
    <w:rsid w:val="00530D67"/>
    <w:rsid w:val="00530DA6"/>
    <w:rsid w:val="00530DE9"/>
    <w:rsid w:val="00530E29"/>
    <w:rsid w:val="00530E60"/>
    <w:rsid w:val="00530E73"/>
    <w:rsid w:val="00530E80"/>
    <w:rsid w:val="00530EF3"/>
    <w:rsid w:val="00530F65"/>
    <w:rsid w:val="00530FC4"/>
    <w:rsid w:val="00530FEC"/>
    <w:rsid w:val="00531004"/>
    <w:rsid w:val="00531005"/>
    <w:rsid w:val="005310D2"/>
    <w:rsid w:val="005310DB"/>
    <w:rsid w:val="00531108"/>
    <w:rsid w:val="00531111"/>
    <w:rsid w:val="00531116"/>
    <w:rsid w:val="0053116F"/>
    <w:rsid w:val="005311AC"/>
    <w:rsid w:val="005311DC"/>
    <w:rsid w:val="005311EF"/>
    <w:rsid w:val="0053124B"/>
    <w:rsid w:val="005312F5"/>
    <w:rsid w:val="005312FC"/>
    <w:rsid w:val="00531314"/>
    <w:rsid w:val="005313AD"/>
    <w:rsid w:val="0053140A"/>
    <w:rsid w:val="0053142E"/>
    <w:rsid w:val="0053143F"/>
    <w:rsid w:val="005314B6"/>
    <w:rsid w:val="005314D7"/>
    <w:rsid w:val="00531515"/>
    <w:rsid w:val="00531534"/>
    <w:rsid w:val="00531555"/>
    <w:rsid w:val="005315CC"/>
    <w:rsid w:val="00531604"/>
    <w:rsid w:val="0053163D"/>
    <w:rsid w:val="00531642"/>
    <w:rsid w:val="005316A9"/>
    <w:rsid w:val="0053170C"/>
    <w:rsid w:val="00531743"/>
    <w:rsid w:val="00531785"/>
    <w:rsid w:val="005317AE"/>
    <w:rsid w:val="005317CF"/>
    <w:rsid w:val="005317E9"/>
    <w:rsid w:val="0053181B"/>
    <w:rsid w:val="005318D9"/>
    <w:rsid w:val="00531923"/>
    <w:rsid w:val="00531925"/>
    <w:rsid w:val="00531975"/>
    <w:rsid w:val="005319A3"/>
    <w:rsid w:val="005319C0"/>
    <w:rsid w:val="00531A31"/>
    <w:rsid w:val="00531A48"/>
    <w:rsid w:val="00531AAA"/>
    <w:rsid w:val="00531ACB"/>
    <w:rsid w:val="00531AE7"/>
    <w:rsid w:val="00531B32"/>
    <w:rsid w:val="00531B3F"/>
    <w:rsid w:val="00531B9D"/>
    <w:rsid w:val="00531BA6"/>
    <w:rsid w:val="00531BD8"/>
    <w:rsid w:val="00531BDC"/>
    <w:rsid w:val="00531C0C"/>
    <w:rsid w:val="00531C79"/>
    <w:rsid w:val="00531CA3"/>
    <w:rsid w:val="00531CF4"/>
    <w:rsid w:val="00531D3A"/>
    <w:rsid w:val="00531D5A"/>
    <w:rsid w:val="00531E44"/>
    <w:rsid w:val="00531E49"/>
    <w:rsid w:val="00531E4C"/>
    <w:rsid w:val="00531E8A"/>
    <w:rsid w:val="00531FC1"/>
    <w:rsid w:val="00531FEB"/>
    <w:rsid w:val="00532009"/>
    <w:rsid w:val="00532044"/>
    <w:rsid w:val="00532131"/>
    <w:rsid w:val="0053213D"/>
    <w:rsid w:val="005321CF"/>
    <w:rsid w:val="0053225A"/>
    <w:rsid w:val="0053227B"/>
    <w:rsid w:val="00532295"/>
    <w:rsid w:val="005322C5"/>
    <w:rsid w:val="005322D6"/>
    <w:rsid w:val="0053235A"/>
    <w:rsid w:val="0053235C"/>
    <w:rsid w:val="0053238E"/>
    <w:rsid w:val="00532430"/>
    <w:rsid w:val="005324B0"/>
    <w:rsid w:val="0053255E"/>
    <w:rsid w:val="005325C2"/>
    <w:rsid w:val="0053262A"/>
    <w:rsid w:val="005326E4"/>
    <w:rsid w:val="00532730"/>
    <w:rsid w:val="00532771"/>
    <w:rsid w:val="0053278E"/>
    <w:rsid w:val="005327BB"/>
    <w:rsid w:val="005327BE"/>
    <w:rsid w:val="005327FB"/>
    <w:rsid w:val="0053281D"/>
    <w:rsid w:val="00532860"/>
    <w:rsid w:val="005328B1"/>
    <w:rsid w:val="005328B7"/>
    <w:rsid w:val="0053290D"/>
    <w:rsid w:val="005329E0"/>
    <w:rsid w:val="00532A3D"/>
    <w:rsid w:val="00532A4B"/>
    <w:rsid w:val="00532B26"/>
    <w:rsid w:val="00532B33"/>
    <w:rsid w:val="00532B92"/>
    <w:rsid w:val="00532C1E"/>
    <w:rsid w:val="00532C5C"/>
    <w:rsid w:val="00532C6D"/>
    <w:rsid w:val="00532CB1"/>
    <w:rsid w:val="00532DD9"/>
    <w:rsid w:val="00532E6D"/>
    <w:rsid w:val="00532ED1"/>
    <w:rsid w:val="00532EE2"/>
    <w:rsid w:val="00532FA4"/>
    <w:rsid w:val="00532FC6"/>
    <w:rsid w:val="0053301C"/>
    <w:rsid w:val="00533035"/>
    <w:rsid w:val="00533050"/>
    <w:rsid w:val="0053306D"/>
    <w:rsid w:val="00533084"/>
    <w:rsid w:val="00533088"/>
    <w:rsid w:val="005330BF"/>
    <w:rsid w:val="00533130"/>
    <w:rsid w:val="00533148"/>
    <w:rsid w:val="00533190"/>
    <w:rsid w:val="005331AA"/>
    <w:rsid w:val="005331D8"/>
    <w:rsid w:val="005331DF"/>
    <w:rsid w:val="00533219"/>
    <w:rsid w:val="00533245"/>
    <w:rsid w:val="005332A4"/>
    <w:rsid w:val="005332CD"/>
    <w:rsid w:val="00533360"/>
    <w:rsid w:val="00533361"/>
    <w:rsid w:val="005333EF"/>
    <w:rsid w:val="0053342D"/>
    <w:rsid w:val="0053343C"/>
    <w:rsid w:val="00533492"/>
    <w:rsid w:val="00533537"/>
    <w:rsid w:val="00533538"/>
    <w:rsid w:val="005335B7"/>
    <w:rsid w:val="005335B8"/>
    <w:rsid w:val="005335D1"/>
    <w:rsid w:val="005335D2"/>
    <w:rsid w:val="005335E2"/>
    <w:rsid w:val="00533648"/>
    <w:rsid w:val="0053366D"/>
    <w:rsid w:val="005336D6"/>
    <w:rsid w:val="005336FB"/>
    <w:rsid w:val="0053371E"/>
    <w:rsid w:val="0053373B"/>
    <w:rsid w:val="0053375D"/>
    <w:rsid w:val="00533798"/>
    <w:rsid w:val="005337E0"/>
    <w:rsid w:val="00533836"/>
    <w:rsid w:val="0053383D"/>
    <w:rsid w:val="0053386B"/>
    <w:rsid w:val="005338E4"/>
    <w:rsid w:val="005338F9"/>
    <w:rsid w:val="005338FB"/>
    <w:rsid w:val="0053395A"/>
    <w:rsid w:val="00533961"/>
    <w:rsid w:val="00533A2A"/>
    <w:rsid w:val="00533A7C"/>
    <w:rsid w:val="00533B0B"/>
    <w:rsid w:val="00533B12"/>
    <w:rsid w:val="00533B60"/>
    <w:rsid w:val="00533B90"/>
    <w:rsid w:val="00533BD6"/>
    <w:rsid w:val="00533C0E"/>
    <w:rsid w:val="00533C62"/>
    <w:rsid w:val="00533C6A"/>
    <w:rsid w:val="00533C9C"/>
    <w:rsid w:val="00533CFD"/>
    <w:rsid w:val="00533D02"/>
    <w:rsid w:val="00533D0C"/>
    <w:rsid w:val="00533D2C"/>
    <w:rsid w:val="00533D70"/>
    <w:rsid w:val="00533D94"/>
    <w:rsid w:val="00533DB2"/>
    <w:rsid w:val="00533DD0"/>
    <w:rsid w:val="00533E23"/>
    <w:rsid w:val="00533E75"/>
    <w:rsid w:val="00533EC9"/>
    <w:rsid w:val="00533EF0"/>
    <w:rsid w:val="00533F5F"/>
    <w:rsid w:val="00533F7B"/>
    <w:rsid w:val="00533FA1"/>
    <w:rsid w:val="00534032"/>
    <w:rsid w:val="00534093"/>
    <w:rsid w:val="005340A1"/>
    <w:rsid w:val="005340AE"/>
    <w:rsid w:val="005340E0"/>
    <w:rsid w:val="00534109"/>
    <w:rsid w:val="00534122"/>
    <w:rsid w:val="0053412D"/>
    <w:rsid w:val="00534148"/>
    <w:rsid w:val="0053417C"/>
    <w:rsid w:val="005341C6"/>
    <w:rsid w:val="005341D9"/>
    <w:rsid w:val="005342D6"/>
    <w:rsid w:val="0053439F"/>
    <w:rsid w:val="00534430"/>
    <w:rsid w:val="00534519"/>
    <w:rsid w:val="0053456B"/>
    <w:rsid w:val="0053457A"/>
    <w:rsid w:val="005345D0"/>
    <w:rsid w:val="005345F5"/>
    <w:rsid w:val="0053461B"/>
    <w:rsid w:val="00534621"/>
    <w:rsid w:val="00534684"/>
    <w:rsid w:val="0053468B"/>
    <w:rsid w:val="005346EB"/>
    <w:rsid w:val="0053470F"/>
    <w:rsid w:val="0053477F"/>
    <w:rsid w:val="005347E0"/>
    <w:rsid w:val="005347F6"/>
    <w:rsid w:val="00534823"/>
    <w:rsid w:val="005348C2"/>
    <w:rsid w:val="005348C5"/>
    <w:rsid w:val="00534965"/>
    <w:rsid w:val="005349C0"/>
    <w:rsid w:val="00534A06"/>
    <w:rsid w:val="00534A1C"/>
    <w:rsid w:val="00534AB8"/>
    <w:rsid w:val="00534ACB"/>
    <w:rsid w:val="00534AEE"/>
    <w:rsid w:val="00534AF9"/>
    <w:rsid w:val="00534B64"/>
    <w:rsid w:val="00534C0D"/>
    <w:rsid w:val="00534C1D"/>
    <w:rsid w:val="00534C41"/>
    <w:rsid w:val="00534C9B"/>
    <w:rsid w:val="00534CA6"/>
    <w:rsid w:val="00534D05"/>
    <w:rsid w:val="00534D1D"/>
    <w:rsid w:val="00534E03"/>
    <w:rsid w:val="00534E08"/>
    <w:rsid w:val="00534E5B"/>
    <w:rsid w:val="00534E7A"/>
    <w:rsid w:val="00534EA9"/>
    <w:rsid w:val="00534EE5"/>
    <w:rsid w:val="00534F0E"/>
    <w:rsid w:val="00534FD4"/>
    <w:rsid w:val="0053501D"/>
    <w:rsid w:val="0053503C"/>
    <w:rsid w:val="0053505A"/>
    <w:rsid w:val="00535063"/>
    <w:rsid w:val="0053506B"/>
    <w:rsid w:val="005350B2"/>
    <w:rsid w:val="005350BD"/>
    <w:rsid w:val="005350EE"/>
    <w:rsid w:val="0053512E"/>
    <w:rsid w:val="00535150"/>
    <w:rsid w:val="00535152"/>
    <w:rsid w:val="0053518C"/>
    <w:rsid w:val="005351AE"/>
    <w:rsid w:val="005351E3"/>
    <w:rsid w:val="005351EA"/>
    <w:rsid w:val="0053524E"/>
    <w:rsid w:val="00535280"/>
    <w:rsid w:val="005352A3"/>
    <w:rsid w:val="005352B7"/>
    <w:rsid w:val="005352F2"/>
    <w:rsid w:val="00535344"/>
    <w:rsid w:val="005353F9"/>
    <w:rsid w:val="005353FB"/>
    <w:rsid w:val="005354D3"/>
    <w:rsid w:val="005354FE"/>
    <w:rsid w:val="0053558B"/>
    <w:rsid w:val="0053560E"/>
    <w:rsid w:val="0053569E"/>
    <w:rsid w:val="005356EA"/>
    <w:rsid w:val="005356F3"/>
    <w:rsid w:val="00535726"/>
    <w:rsid w:val="00535728"/>
    <w:rsid w:val="0053578D"/>
    <w:rsid w:val="005357CF"/>
    <w:rsid w:val="005357D9"/>
    <w:rsid w:val="00535811"/>
    <w:rsid w:val="00535831"/>
    <w:rsid w:val="00535877"/>
    <w:rsid w:val="0053588D"/>
    <w:rsid w:val="005358A4"/>
    <w:rsid w:val="005358F6"/>
    <w:rsid w:val="00535A3D"/>
    <w:rsid w:val="00535A41"/>
    <w:rsid w:val="00535A70"/>
    <w:rsid w:val="00535AD0"/>
    <w:rsid w:val="00535B0E"/>
    <w:rsid w:val="00535B21"/>
    <w:rsid w:val="00535B70"/>
    <w:rsid w:val="00535DBB"/>
    <w:rsid w:val="00535E04"/>
    <w:rsid w:val="00535E8A"/>
    <w:rsid w:val="00535E9E"/>
    <w:rsid w:val="00535EB1"/>
    <w:rsid w:val="00535EE3"/>
    <w:rsid w:val="00535F05"/>
    <w:rsid w:val="00535F50"/>
    <w:rsid w:val="00535FDB"/>
    <w:rsid w:val="00535FDC"/>
    <w:rsid w:val="0053603D"/>
    <w:rsid w:val="00536074"/>
    <w:rsid w:val="00536090"/>
    <w:rsid w:val="005360BE"/>
    <w:rsid w:val="005360F7"/>
    <w:rsid w:val="0053612D"/>
    <w:rsid w:val="0053617E"/>
    <w:rsid w:val="0053618F"/>
    <w:rsid w:val="00536228"/>
    <w:rsid w:val="00536286"/>
    <w:rsid w:val="00536348"/>
    <w:rsid w:val="00536366"/>
    <w:rsid w:val="00536379"/>
    <w:rsid w:val="0053637E"/>
    <w:rsid w:val="005363BE"/>
    <w:rsid w:val="0053640A"/>
    <w:rsid w:val="00536452"/>
    <w:rsid w:val="0053646B"/>
    <w:rsid w:val="005364D6"/>
    <w:rsid w:val="005364F0"/>
    <w:rsid w:val="00536503"/>
    <w:rsid w:val="0053658A"/>
    <w:rsid w:val="00536594"/>
    <w:rsid w:val="00536613"/>
    <w:rsid w:val="00536634"/>
    <w:rsid w:val="00536692"/>
    <w:rsid w:val="005366B5"/>
    <w:rsid w:val="005366D6"/>
    <w:rsid w:val="005366E7"/>
    <w:rsid w:val="0053676C"/>
    <w:rsid w:val="005367A8"/>
    <w:rsid w:val="005368B9"/>
    <w:rsid w:val="00536910"/>
    <w:rsid w:val="00536936"/>
    <w:rsid w:val="00536953"/>
    <w:rsid w:val="00536A15"/>
    <w:rsid w:val="00536A8D"/>
    <w:rsid w:val="00536A8E"/>
    <w:rsid w:val="00536A92"/>
    <w:rsid w:val="00536B5D"/>
    <w:rsid w:val="00536B5E"/>
    <w:rsid w:val="00536B83"/>
    <w:rsid w:val="00536B8A"/>
    <w:rsid w:val="00536B90"/>
    <w:rsid w:val="00536C82"/>
    <w:rsid w:val="00536C92"/>
    <w:rsid w:val="00536C9A"/>
    <w:rsid w:val="00536CD6"/>
    <w:rsid w:val="00536DFC"/>
    <w:rsid w:val="00536EDB"/>
    <w:rsid w:val="00536EDC"/>
    <w:rsid w:val="00536EE7"/>
    <w:rsid w:val="00536F24"/>
    <w:rsid w:val="00536F49"/>
    <w:rsid w:val="00536F5E"/>
    <w:rsid w:val="00536F63"/>
    <w:rsid w:val="00536FEF"/>
    <w:rsid w:val="0053706E"/>
    <w:rsid w:val="0053708F"/>
    <w:rsid w:val="005370A7"/>
    <w:rsid w:val="005370CB"/>
    <w:rsid w:val="005370F3"/>
    <w:rsid w:val="00537151"/>
    <w:rsid w:val="00537193"/>
    <w:rsid w:val="0053725A"/>
    <w:rsid w:val="005372B0"/>
    <w:rsid w:val="005372F2"/>
    <w:rsid w:val="0053731B"/>
    <w:rsid w:val="00537362"/>
    <w:rsid w:val="0053742A"/>
    <w:rsid w:val="005374BC"/>
    <w:rsid w:val="00537510"/>
    <w:rsid w:val="00537523"/>
    <w:rsid w:val="0053753B"/>
    <w:rsid w:val="00537559"/>
    <w:rsid w:val="0053756F"/>
    <w:rsid w:val="0053759F"/>
    <w:rsid w:val="005375B1"/>
    <w:rsid w:val="005375F2"/>
    <w:rsid w:val="00537607"/>
    <w:rsid w:val="0053761C"/>
    <w:rsid w:val="0053763B"/>
    <w:rsid w:val="00537648"/>
    <w:rsid w:val="00537660"/>
    <w:rsid w:val="005376CE"/>
    <w:rsid w:val="005376CF"/>
    <w:rsid w:val="00537744"/>
    <w:rsid w:val="005377E4"/>
    <w:rsid w:val="005377EA"/>
    <w:rsid w:val="005378AF"/>
    <w:rsid w:val="005378CB"/>
    <w:rsid w:val="005378E8"/>
    <w:rsid w:val="00537900"/>
    <w:rsid w:val="00537914"/>
    <w:rsid w:val="0053793C"/>
    <w:rsid w:val="0053793E"/>
    <w:rsid w:val="0053794D"/>
    <w:rsid w:val="0053796C"/>
    <w:rsid w:val="00537976"/>
    <w:rsid w:val="005379A8"/>
    <w:rsid w:val="005379C4"/>
    <w:rsid w:val="005379D1"/>
    <w:rsid w:val="00537AA4"/>
    <w:rsid w:val="00537AE8"/>
    <w:rsid w:val="00537B1F"/>
    <w:rsid w:val="00537BF3"/>
    <w:rsid w:val="00537C85"/>
    <w:rsid w:val="00537C97"/>
    <w:rsid w:val="00537CBF"/>
    <w:rsid w:val="00537CF7"/>
    <w:rsid w:val="00537D0B"/>
    <w:rsid w:val="00537D4F"/>
    <w:rsid w:val="00537D82"/>
    <w:rsid w:val="00537D91"/>
    <w:rsid w:val="00537DB8"/>
    <w:rsid w:val="00537DBF"/>
    <w:rsid w:val="00537E53"/>
    <w:rsid w:val="00537EF1"/>
    <w:rsid w:val="00537FCC"/>
    <w:rsid w:val="00537FF9"/>
    <w:rsid w:val="0053C887"/>
    <w:rsid w:val="0054008A"/>
    <w:rsid w:val="00540114"/>
    <w:rsid w:val="0054011D"/>
    <w:rsid w:val="0054012D"/>
    <w:rsid w:val="00540199"/>
    <w:rsid w:val="005401BE"/>
    <w:rsid w:val="00540206"/>
    <w:rsid w:val="00540237"/>
    <w:rsid w:val="00540263"/>
    <w:rsid w:val="0054026F"/>
    <w:rsid w:val="00540280"/>
    <w:rsid w:val="005403BB"/>
    <w:rsid w:val="005403E3"/>
    <w:rsid w:val="00540429"/>
    <w:rsid w:val="0054047C"/>
    <w:rsid w:val="00540497"/>
    <w:rsid w:val="005404A0"/>
    <w:rsid w:val="00540532"/>
    <w:rsid w:val="0054055C"/>
    <w:rsid w:val="00540585"/>
    <w:rsid w:val="005405FD"/>
    <w:rsid w:val="0054060C"/>
    <w:rsid w:val="005406A7"/>
    <w:rsid w:val="005406D1"/>
    <w:rsid w:val="0054072D"/>
    <w:rsid w:val="0054073B"/>
    <w:rsid w:val="005407DF"/>
    <w:rsid w:val="00540814"/>
    <w:rsid w:val="00540815"/>
    <w:rsid w:val="00540A39"/>
    <w:rsid w:val="00540A3B"/>
    <w:rsid w:val="00540A50"/>
    <w:rsid w:val="00540A78"/>
    <w:rsid w:val="00540ABA"/>
    <w:rsid w:val="00540B1F"/>
    <w:rsid w:val="00540B4B"/>
    <w:rsid w:val="00540BA5"/>
    <w:rsid w:val="00540C68"/>
    <w:rsid w:val="00540C7C"/>
    <w:rsid w:val="00540C8D"/>
    <w:rsid w:val="00540D1F"/>
    <w:rsid w:val="00540D83"/>
    <w:rsid w:val="00540D85"/>
    <w:rsid w:val="00540D9C"/>
    <w:rsid w:val="00540DED"/>
    <w:rsid w:val="00540DEE"/>
    <w:rsid w:val="00540E17"/>
    <w:rsid w:val="00540E93"/>
    <w:rsid w:val="00540F14"/>
    <w:rsid w:val="00540F40"/>
    <w:rsid w:val="00540FB4"/>
    <w:rsid w:val="00540FD8"/>
    <w:rsid w:val="00540FF5"/>
    <w:rsid w:val="00541023"/>
    <w:rsid w:val="00541027"/>
    <w:rsid w:val="0054102E"/>
    <w:rsid w:val="0054102F"/>
    <w:rsid w:val="00541062"/>
    <w:rsid w:val="00541076"/>
    <w:rsid w:val="005410BA"/>
    <w:rsid w:val="005410E4"/>
    <w:rsid w:val="0054110A"/>
    <w:rsid w:val="00541126"/>
    <w:rsid w:val="0054112D"/>
    <w:rsid w:val="0054113C"/>
    <w:rsid w:val="00541167"/>
    <w:rsid w:val="0054116D"/>
    <w:rsid w:val="0054117D"/>
    <w:rsid w:val="0054117F"/>
    <w:rsid w:val="0054118D"/>
    <w:rsid w:val="00541192"/>
    <w:rsid w:val="005411E5"/>
    <w:rsid w:val="00541217"/>
    <w:rsid w:val="0054122C"/>
    <w:rsid w:val="0054124E"/>
    <w:rsid w:val="0054128D"/>
    <w:rsid w:val="005412A6"/>
    <w:rsid w:val="0054136A"/>
    <w:rsid w:val="0054139E"/>
    <w:rsid w:val="005413BA"/>
    <w:rsid w:val="005413EC"/>
    <w:rsid w:val="0054143C"/>
    <w:rsid w:val="00541488"/>
    <w:rsid w:val="005414D5"/>
    <w:rsid w:val="0054153C"/>
    <w:rsid w:val="00541596"/>
    <w:rsid w:val="00541621"/>
    <w:rsid w:val="005416F1"/>
    <w:rsid w:val="005416F2"/>
    <w:rsid w:val="00541821"/>
    <w:rsid w:val="00541867"/>
    <w:rsid w:val="0054188C"/>
    <w:rsid w:val="005418FA"/>
    <w:rsid w:val="005418FE"/>
    <w:rsid w:val="00541903"/>
    <w:rsid w:val="0054196A"/>
    <w:rsid w:val="005419B0"/>
    <w:rsid w:val="00541A43"/>
    <w:rsid w:val="00541A90"/>
    <w:rsid w:val="00541ABA"/>
    <w:rsid w:val="00541B24"/>
    <w:rsid w:val="00541B64"/>
    <w:rsid w:val="00541B90"/>
    <w:rsid w:val="00541B9E"/>
    <w:rsid w:val="00541C53"/>
    <w:rsid w:val="00541CDF"/>
    <w:rsid w:val="00541D29"/>
    <w:rsid w:val="00541D3F"/>
    <w:rsid w:val="00541D42"/>
    <w:rsid w:val="00541D74"/>
    <w:rsid w:val="00541D80"/>
    <w:rsid w:val="00541DCC"/>
    <w:rsid w:val="00541DD4"/>
    <w:rsid w:val="00541DDC"/>
    <w:rsid w:val="00541E78"/>
    <w:rsid w:val="00541E9A"/>
    <w:rsid w:val="00541EFD"/>
    <w:rsid w:val="00541F8A"/>
    <w:rsid w:val="00541FD2"/>
    <w:rsid w:val="00541FF8"/>
    <w:rsid w:val="00542000"/>
    <w:rsid w:val="0054205C"/>
    <w:rsid w:val="00542076"/>
    <w:rsid w:val="005420FA"/>
    <w:rsid w:val="00542124"/>
    <w:rsid w:val="005421BF"/>
    <w:rsid w:val="005421C8"/>
    <w:rsid w:val="005421CD"/>
    <w:rsid w:val="0054220C"/>
    <w:rsid w:val="0054222A"/>
    <w:rsid w:val="00542232"/>
    <w:rsid w:val="00542241"/>
    <w:rsid w:val="0054227B"/>
    <w:rsid w:val="005422A9"/>
    <w:rsid w:val="005422B8"/>
    <w:rsid w:val="005422CE"/>
    <w:rsid w:val="00542303"/>
    <w:rsid w:val="0054231E"/>
    <w:rsid w:val="00542324"/>
    <w:rsid w:val="005423C7"/>
    <w:rsid w:val="00542402"/>
    <w:rsid w:val="005424D9"/>
    <w:rsid w:val="005424FB"/>
    <w:rsid w:val="00542597"/>
    <w:rsid w:val="00542598"/>
    <w:rsid w:val="0054266E"/>
    <w:rsid w:val="005426AA"/>
    <w:rsid w:val="005426F4"/>
    <w:rsid w:val="00542780"/>
    <w:rsid w:val="005427D1"/>
    <w:rsid w:val="005427D6"/>
    <w:rsid w:val="0054287B"/>
    <w:rsid w:val="00542948"/>
    <w:rsid w:val="00542967"/>
    <w:rsid w:val="005429AE"/>
    <w:rsid w:val="005429F4"/>
    <w:rsid w:val="00542A2B"/>
    <w:rsid w:val="00542A73"/>
    <w:rsid w:val="00542A79"/>
    <w:rsid w:val="00542ABF"/>
    <w:rsid w:val="00542AE5"/>
    <w:rsid w:val="00542BC3"/>
    <w:rsid w:val="00542C29"/>
    <w:rsid w:val="00542C75"/>
    <w:rsid w:val="00542C76"/>
    <w:rsid w:val="00542C7C"/>
    <w:rsid w:val="00542C8D"/>
    <w:rsid w:val="00542CA0"/>
    <w:rsid w:val="00542CFD"/>
    <w:rsid w:val="00542D0E"/>
    <w:rsid w:val="00542D4A"/>
    <w:rsid w:val="00542D75"/>
    <w:rsid w:val="00542D9F"/>
    <w:rsid w:val="00542DB5"/>
    <w:rsid w:val="00542DDC"/>
    <w:rsid w:val="00542E01"/>
    <w:rsid w:val="00542E99"/>
    <w:rsid w:val="00542EAF"/>
    <w:rsid w:val="00542EEB"/>
    <w:rsid w:val="00542F3A"/>
    <w:rsid w:val="00542F4F"/>
    <w:rsid w:val="00542F84"/>
    <w:rsid w:val="00542F8C"/>
    <w:rsid w:val="00542F97"/>
    <w:rsid w:val="00542FFA"/>
    <w:rsid w:val="00542FFB"/>
    <w:rsid w:val="0054300B"/>
    <w:rsid w:val="00543083"/>
    <w:rsid w:val="00543094"/>
    <w:rsid w:val="0054316B"/>
    <w:rsid w:val="0054318E"/>
    <w:rsid w:val="005431D2"/>
    <w:rsid w:val="005431F8"/>
    <w:rsid w:val="00543275"/>
    <w:rsid w:val="005432EA"/>
    <w:rsid w:val="00543314"/>
    <w:rsid w:val="0054336A"/>
    <w:rsid w:val="00543393"/>
    <w:rsid w:val="005433BC"/>
    <w:rsid w:val="005433C1"/>
    <w:rsid w:val="005433E1"/>
    <w:rsid w:val="0054342E"/>
    <w:rsid w:val="0054343B"/>
    <w:rsid w:val="00543449"/>
    <w:rsid w:val="005434EA"/>
    <w:rsid w:val="00543594"/>
    <w:rsid w:val="005435EC"/>
    <w:rsid w:val="00543608"/>
    <w:rsid w:val="00543617"/>
    <w:rsid w:val="00543667"/>
    <w:rsid w:val="005436E9"/>
    <w:rsid w:val="0054370A"/>
    <w:rsid w:val="00543798"/>
    <w:rsid w:val="005437D9"/>
    <w:rsid w:val="005437ED"/>
    <w:rsid w:val="00543854"/>
    <w:rsid w:val="00543887"/>
    <w:rsid w:val="00543929"/>
    <w:rsid w:val="00543968"/>
    <w:rsid w:val="005439EF"/>
    <w:rsid w:val="00543A21"/>
    <w:rsid w:val="00543A23"/>
    <w:rsid w:val="00543A69"/>
    <w:rsid w:val="00543A6E"/>
    <w:rsid w:val="00543AEC"/>
    <w:rsid w:val="00543B47"/>
    <w:rsid w:val="00543B7C"/>
    <w:rsid w:val="00543BF0"/>
    <w:rsid w:val="00543C79"/>
    <w:rsid w:val="00543CBD"/>
    <w:rsid w:val="00543D10"/>
    <w:rsid w:val="00543D5A"/>
    <w:rsid w:val="00543D67"/>
    <w:rsid w:val="00543E4D"/>
    <w:rsid w:val="00543F23"/>
    <w:rsid w:val="00543F77"/>
    <w:rsid w:val="00543F8D"/>
    <w:rsid w:val="00543FA8"/>
    <w:rsid w:val="00543FFD"/>
    <w:rsid w:val="00544002"/>
    <w:rsid w:val="00544017"/>
    <w:rsid w:val="0054402D"/>
    <w:rsid w:val="00544060"/>
    <w:rsid w:val="00544075"/>
    <w:rsid w:val="005440AE"/>
    <w:rsid w:val="005440DB"/>
    <w:rsid w:val="00544102"/>
    <w:rsid w:val="00544189"/>
    <w:rsid w:val="00544203"/>
    <w:rsid w:val="00544256"/>
    <w:rsid w:val="00544287"/>
    <w:rsid w:val="00544420"/>
    <w:rsid w:val="0054442D"/>
    <w:rsid w:val="005444D4"/>
    <w:rsid w:val="00544515"/>
    <w:rsid w:val="00544541"/>
    <w:rsid w:val="00544598"/>
    <w:rsid w:val="005445AF"/>
    <w:rsid w:val="005445DB"/>
    <w:rsid w:val="005445EE"/>
    <w:rsid w:val="005445F5"/>
    <w:rsid w:val="00544630"/>
    <w:rsid w:val="00544646"/>
    <w:rsid w:val="00544668"/>
    <w:rsid w:val="00544670"/>
    <w:rsid w:val="00544682"/>
    <w:rsid w:val="0054472A"/>
    <w:rsid w:val="00544788"/>
    <w:rsid w:val="0054479A"/>
    <w:rsid w:val="005447CD"/>
    <w:rsid w:val="00544810"/>
    <w:rsid w:val="005448C3"/>
    <w:rsid w:val="005448C4"/>
    <w:rsid w:val="0054492A"/>
    <w:rsid w:val="0054498E"/>
    <w:rsid w:val="00544995"/>
    <w:rsid w:val="0054499E"/>
    <w:rsid w:val="005449CA"/>
    <w:rsid w:val="005449CD"/>
    <w:rsid w:val="005449DF"/>
    <w:rsid w:val="005449F5"/>
    <w:rsid w:val="00544A08"/>
    <w:rsid w:val="00544A95"/>
    <w:rsid w:val="00544AA1"/>
    <w:rsid w:val="00544AAB"/>
    <w:rsid w:val="00544AB2"/>
    <w:rsid w:val="00544AC8"/>
    <w:rsid w:val="00544AEC"/>
    <w:rsid w:val="00544B5A"/>
    <w:rsid w:val="00544B6B"/>
    <w:rsid w:val="00544BE3"/>
    <w:rsid w:val="00544BF9"/>
    <w:rsid w:val="00544C21"/>
    <w:rsid w:val="00544C23"/>
    <w:rsid w:val="00544C6D"/>
    <w:rsid w:val="00544CB5"/>
    <w:rsid w:val="00544D22"/>
    <w:rsid w:val="00544D30"/>
    <w:rsid w:val="00544D48"/>
    <w:rsid w:val="00544E0E"/>
    <w:rsid w:val="00544E8D"/>
    <w:rsid w:val="00544EC2"/>
    <w:rsid w:val="00544EEA"/>
    <w:rsid w:val="00544F90"/>
    <w:rsid w:val="00544F93"/>
    <w:rsid w:val="00544F96"/>
    <w:rsid w:val="00544F9E"/>
    <w:rsid w:val="00544FEF"/>
    <w:rsid w:val="0054500C"/>
    <w:rsid w:val="0054502E"/>
    <w:rsid w:val="005450A5"/>
    <w:rsid w:val="005450BB"/>
    <w:rsid w:val="005450F4"/>
    <w:rsid w:val="0054511A"/>
    <w:rsid w:val="00545182"/>
    <w:rsid w:val="005451F1"/>
    <w:rsid w:val="00545233"/>
    <w:rsid w:val="005452D6"/>
    <w:rsid w:val="005452DE"/>
    <w:rsid w:val="00545323"/>
    <w:rsid w:val="00545335"/>
    <w:rsid w:val="00545340"/>
    <w:rsid w:val="00545342"/>
    <w:rsid w:val="00545363"/>
    <w:rsid w:val="0054539A"/>
    <w:rsid w:val="005453D5"/>
    <w:rsid w:val="00545544"/>
    <w:rsid w:val="0054555F"/>
    <w:rsid w:val="00545628"/>
    <w:rsid w:val="0054566A"/>
    <w:rsid w:val="005456A7"/>
    <w:rsid w:val="005456EC"/>
    <w:rsid w:val="00545711"/>
    <w:rsid w:val="00545712"/>
    <w:rsid w:val="00545734"/>
    <w:rsid w:val="00545746"/>
    <w:rsid w:val="0054575E"/>
    <w:rsid w:val="0054576B"/>
    <w:rsid w:val="005457D0"/>
    <w:rsid w:val="005457EC"/>
    <w:rsid w:val="00545808"/>
    <w:rsid w:val="0054586A"/>
    <w:rsid w:val="00545895"/>
    <w:rsid w:val="00545914"/>
    <w:rsid w:val="0054599D"/>
    <w:rsid w:val="00545A44"/>
    <w:rsid w:val="00545A48"/>
    <w:rsid w:val="00545AA2"/>
    <w:rsid w:val="00545B08"/>
    <w:rsid w:val="00545B2D"/>
    <w:rsid w:val="00545CF9"/>
    <w:rsid w:val="00545DBC"/>
    <w:rsid w:val="00545DC5"/>
    <w:rsid w:val="00545DEA"/>
    <w:rsid w:val="00545E9A"/>
    <w:rsid w:val="00545EED"/>
    <w:rsid w:val="00545EF3"/>
    <w:rsid w:val="00545F59"/>
    <w:rsid w:val="00545F69"/>
    <w:rsid w:val="00546018"/>
    <w:rsid w:val="005460BF"/>
    <w:rsid w:val="005460CC"/>
    <w:rsid w:val="00546113"/>
    <w:rsid w:val="00546129"/>
    <w:rsid w:val="0054613A"/>
    <w:rsid w:val="005461DB"/>
    <w:rsid w:val="0054627E"/>
    <w:rsid w:val="00546294"/>
    <w:rsid w:val="005462C4"/>
    <w:rsid w:val="005462DB"/>
    <w:rsid w:val="00546305"/>
    <w:rsid w:val="00546327"/>
    <w:rsid w:val="00546375"/>
    <w:rsid w:val="005463D0"/>
    <w:rsid w:val="005463FB"/>
    <w:rsid w:val="00546401"/>
    <w:rsid w:val="00546405"/>
    <w:rsid w:val="0054642D"/>
    <w:rsid w:val="005464BE"/>
    <w:rsid w:val="005464CD"/>
    <w:rsid w:val="00546535"/>
    <w:rsid w:val="0054654F"/>
    <w:rsid w:val="00546572"/>
    <w:rsid w:val="005465C8"/>
    <w:rsid w:val="00546638"/>
    <w:rsid w:val="00546666"/>
    <w:rsid w:val="005466DC"/>
    <w:rsid w:val="00546739"/>
    <w:rsid w:val="0054676D"/>
    <w:rsid w:val="0054676E"/>
    <w:rsid w:val="005467B9"/>
    <w:rsid w:val="00546860"/>
    <w:rsid w:val="0054687F"/>
    <w:rsid w:val="00546887"/>
    <w:rsid w:val="005468E5"/>
    <w:rsid w:val="005468E6"/>
    <w:rsid w:val="00546946"/>
    <w:rsid w:val="00546956"/>
    <w:rsid w:val="005469B3"/>
    <w:rsid w:val="005469E5"/>
    <w:rsid w:val="00546A73"/>
    <w:rsid w:val="00546A7D"/>
    <w:rsid w:val="00546B2A"/>
    <w:rsid w:val="00546B4E"/>
    <w:rsid w:val="00546B50"/>
    <w:rsid w:val="00546BE7"/>
    <w:rsid w:val="00546D43"/>
    <w:rsid w:val="00546D51"/>
    <w:rsid w:val="00546D56"/>
    <w:rsid w:val="00546E0B"/>
    <w:rsid w:val="00546E2E"/>
    <w:rsid w:val="00546E6C"/>
    <w:rsid w:val="00547037"/>
    <w:rsid w:val="00547080"/>
    <w:rsid w:val="005470ED"/>
    <w:rsid w:val="0054714C"/>
    <w:rsid w:val="0054720B"/>
    <w:rsid w:val="00547221"/>
    <w:rsid w:val="0054723D"/>
    <w:rsid w:val="0054725B"/>
    <w:rsid w:val="0054725C"/>
    <w:rsid w:val="00547277"/>
    <w:rsid w:val="005472D7"/>
    <w:rsid w:val="00547320"/>
    <w:rsid w:val="00547322"/>
    <w:rsid w:val="005473C1"/>
    <w:rsid w:val="005473C9"/>
    <w:rsid w:val="00547455"/>
    <w:rsid w:val="00547474"/>
    <w:rsid w:val="0054751B"/>
    <w:rsid w:val="0054751C"/>
    <w:rsid w:val="00547520"/>
    <w:rsid w:val="0054754F"/>
    <w:rsid w:val="0054755C"/>
    <w:rsid w:val="00547565"/>
    <w:rsid w:val="005475D5"/>
    <w:rsid w:val="00547623"/>
    <w:rsid w:val="00547624"/>
    <w:rsid w:val="0054765E"/>
    <w:rsid w:val="005476EB"/>
    <w:rsid w:val="00547785"/>
    <w:rsid w:val="00547787"/>
    <w:rsid w:val="005477B0"/>
    <w:rsid w:val="005477D9"/>
    <w:rsid w:val="0054780A"/>
    <w:rsid w:val="005478F6"/>
    <w:rsid w:val="00547948"/>
    <w:rsid w:val="00547950"/>
    <w:rsid w:val="0054797F"/>
    <w:rsid w:val="005479DC"/>
    <w:rsid w:val="005479E6"/>
    <w:rsid w:val="00547A39"/>
    <w:rsid w:val="00547A65"/>
    <w:rsid w:val="00547AC4"/>
    <w:rsid w:val="00547B4D"/>
    <w:rsid w:val="00547B79"/>
    <w:rsid w:val="00547C3D"/>
    <w:rsid w:val="00547C52"/>
    <w:rsid w:val="00547C68"/>
    <w:rsid w:val="00547C6D"/>
    <w:rsid w:val="00547C7F"/>
    <w:rsid w:val="00547C81"/>
    <w:rsid w:val="00547CBC"/>
    <w:rsid w:val="00547CC7"/>
    <w:rsid w:val="00547CED"/>
    <w:rsid w:val="00547D8C"/>
    <w:rsid w:val="00547E26"/>
    <w:rsid w:val="00547E33"/>
    <w:rsid w:val="00547E6D"/>
    <w:rsid w:val="00547E90"/>
    <w:rsid w:val="00547E93"/>
    <w:rsid w:val="00547ED2"/>
    <w:rsid w:val="00547F90"/>
    <w:rsid w:val="00547FB1"/>
    <w:rsid w:val="00550055"/>
    <w:rsid w:val="00550199"/>
    <w:rsid w:val="0055028B"/>
    <w:rsid w:val="005502B2"/>
    <w:rsid w:val="005502C1"/>
    <w:rsid w:val="005502D3"/>
    <w:rsid w:val="0055031C"/>
    <w:rsid w:val="00550321"/>
    <w:rsid w:val="00550358"/>
    <w:rsid w:val="005503A5"/>
    <w:rsid w:val="005503B2"/>
    <w:rsid w:val="005503D5"/>
    <w:rsid w:val="005503F6"/>
    <w:rsid w:val="005504BB"/>
    <w:rsid w:val="00550557"/>
    <w:rsid w:val="005505F1"/>
    <w:rsid w:val="00550603"/>
    <w:rsid w:val="00550621"/>
    <w:rsid w:val="0055065C"/>
    <w:rsid w:val="0055067F"/>
    <w:rsid w:val="005506BB"/>
    <w:rsid w:val="005506BE"/>
    <w:rsid w:val="00550720"/>
    <w:rsid w:val="00550738"/>
    <w:rsid w:val="0055077C"/>
    <w:rsid w:val="00550844"/>
    <w:rsid w:val="00550868"/>
    <w:rsid w:val="00550893"/>
    <w:rsid w:val="005508A3"/>
    <w:rsid w:val="00550921"/>
    <w:rsid w:val="00550966"/>
    <w:rsid w:val="0055097C"/>
    <w:rsid w:val="005509BD"/>
    <w:rsid w:val="005509E0"/>
    <w:rsid w:val="005509E5"/>
    <w:rsid w:val="005509ED"/>
    <w:rsid w:val="00550A0C"/>
    <w:rsid w:val="00550B55"/>
    <w:rsid w:val="00550BB3"/>
    <w:rsid w:val="00550C22"/>
    <w:rsid w:val="00550C4D"/>
    <w:rsid w:val="00550C5F"/>
    <w:rsid w:val="00550C8D"/>
    <w:rsid w:val="00550CA6"/>
    <w:rsid w:val="00550CF9"/>
    <w:rsid w:val="00550D23"/>
    <w:rsid w:val="00550D3E"/>
    <w:rsid w:val="00550D4E"/>
    <w:rsid w:val="00550D56"/>
    <w:rsid w:val="00550DE6"/>
    <w:rsid w:val="00550DF6"/>
    <w:rsid w:val="00550E48"/>
    <w:rsid w:val="00550E83"/>
    <w:rsid w:val="00550EA0"/>
    <w:rsid w:val="00550F68"/>
    <w:rsid w:val="00550F75"/>
    <w:rsid w:val="00550FF4"/>
    <w:rsid w:val="0055102F"/>
    <w:rsid w:val="00551074"/>
    <w:rsid w:val="005510DB"/>
    <w:rsid w:val="005510EA"/>
    <w:rsid w:val="00551148"/>
    <w:rsid w:val="00551163"/>
    <w:rsid w:val="00551245"/>
    <w:rsid w:val="00551281"/>
    <w:rsid w:val="00551282"/>
    <w:rsid w:val="005512BD"/>
    <w:rsid w:val="00551329"/>
    <w:rsid w:val="0055133C"/>
    <w:rsid w:val="005514DB"/>
    <w:rsid w:val="0055154A"/>
    <w:rsid w:val="00551568"/>
    <w:rsid w:val="0055157A"/>
    <w:rsid w:val="005515F1"/>
    <w:rsid w:val="00551647"/>
    <w:rsid w:val="0055169E"/>
    <w:rsid w:val="005516FE"/>
    <w:rsid w:val="0055178D"/>
    <w:rsid w:val="005517AB"/>
    <w:rsid w:val="0055188B"/>
    <w:rsid w:val="005518B8"/>
    <w:rsid w:val="0055196B"/>
    <w:rsid w:val="005519D4"/>
    <w:rsid w:val="005519E0"/>
    <w:rsid w:val="005519F1"/>
    <w:rsid w:val="005519F2"/>
    <w:rsid w:val="00551A63"/>
    <w:rsid w:val="00551AD3"/>
    <w:rsid w:val="00551B1F"/>
    <w:rsid w:val="00551B7A"/>
    <w:rsid w:val="00551B86"/>
    <w:rsid w:val="00551C1B"/>
    <w:rsid w:val="00551C8E"/>
    <w:rsid w:val="00551CC9"/>
    <w:rsid w:val="00551E53"/>
    <w:rsid w:val="00551ED4"/>
    <w:rsid w:val="00551F17"/>
    <w:rsid w:val="00551F42"/>
    <w:rsid w:val="00551FA8"/>
    <w:rsid w:val="00551FD4"/>
    <w:rsid w:val="00552055"/>
    <w:rsid w:val="00552082"/>
    <w:rsid w:val="00552098"/>
    <w:rsid w:val="00552117"/>
    <w:rsid w:val="00552138"/>
    <w:rsid w:val="00552185"/>
    <w:rsid w:val="005521AA"/>
    <w:rsid w:val="005521BA"/>
    <w:rsid w:val="005521D5"/>
    <w:rsid w:val="00552209"/>
    <w:rsid w:val="0055220F"/>
    <w:rsid w:val="0055227F"/>
    <w:rsid w:val="00552292"/>
    <w:rsid w:val="005522E0"/>
    <w:rsid w:val="00552352"/>
    <w:rsid w:val="00552353"/>
    <w:rsid w:val="0055236A"/>
    <w:rsid w:val="00552370"/>
    <w:rsid w:val="0055239A"/>
    <w:rsid w:val="005523BF"/>
    <w:rsid w:val="005523C6"/>
    <w:rsid w:val="005523F0"/>
    <w:rsid w:val="00552462"/>
    <w:rsid w:val="00552464"/>
    <w:rsid w:val="00552469"/>
    <w:rsid w:val="00552531"/>
    <w:rsid w:val="00552542"/>
    <w:rsid w:val="005525A6"/>
    <w:rsid w:val="005525B7"/>
    <w:rsid w:val="00552646"/>
    <w:rsid w:val="005526A8"/>
    <w:rsid w:val="00552726"/>
    <w:rsid w:val="005527C9"/>
    <w:rsid w:val="005527DD"/>
    <w:rsid w:val="00552875"/>
    <w:rsid w:val="00552892"/>
    <w:rsid w:val="005528DE"/>
    <w:rsid w:val="00552952"/>
    <w:rsid w:val="00552967"/>
    <w:rsid w:val="00552968"/>
    <w:rsid w:val="0055297F"/>
    <w:rsid w:val="0055298E"/>
    <w:rsid w:val="005529B0"/>
    <w:rsid w:val="005529CE"/>
    <w:rsid w:val="00552A21"/>
    <w:rsid w:val="00552A34"/>
    <w:rsid w:val="00552A5B"/>
    <w:rsid w:val="00552A93"/>
    <w:rsid w:val="00552B25"/>
    <w:rsid w:val="00552B75"/>
    <w:rsid w:val="00552B79"/>
    <w:rsid w:val="00552BA4"/>
    <w:rsid w:val="00552BEE"/>
    <w:rsid w:val="00552C02"/>
    <w:rsid w:val="00552C59"/>
    <w:rsid w:val="00552C74"/>
    <w:rsid w:val="00552C97"/>
    <w:rsid w:val="00552C9F"/>
    <w:rsid w:val="00552CAF"/>
    <w:rsid w:val="00552CDE"/>
    <w:rsid w:val="00552CF4"/>
    <w:rsid w:val="00552D0A"/>
    <w:rsid w:val="00552D0F"/>
    <w:rsid w:val="00552D79"/>
    <w:rsid w:val="00552D89"/>
    <w:rsid w:val="00552DEA"/>
    <w:rsid w:val="00552E90"/>
    <w:rsid w:val="00552EFB"/>
    <w:rsid w:val="00552F22"/>
    <w:rsid w:val="00552F62"/>
    <w:rsid w:val="00552F8C"/>
    <w:rsid w:val="00552FCA"/>
    <w:rsid w:val="00553005"/>
    <w:rsid w:val="00553012"/>
    <w:rsid w:val="00553017"/>
    <w:rsid w:val="0055306F"/>
    <w:rsid w:val="00553121"/>
    <w:rsid w:val="0055315D"/>
    <w:rsid w:val="00553170"/>
    <w:rsid w:val="00553185"/>
    <w:rsid w:val="00553197"/>
    <w:rsid w:val="005531BB"/>
    <w:rsid w:val="005531D6"/>
    <w:rsid w:val="005532EB"/>
    <w:rsid w:val="00553318"/>
    <w:rsid w:val="005533D8"/>
    <w:rsid w:val="005534A5"/>
    <w:rsid w:val="005534D9"/>
    <w:rsid w:val="005534DC"/>
    <w:rsid w:val="00553526"/>
    <w:rsid w:val="00553529"/>
    <w:rsid w:val="0055355E"/>
    <w:rsid w:val="005535C8"/>
    <w:rsid w:val="005535E3"/>
    <w:rsid w:val="005535EF"/>
    <w:rsid w:val="00553612"/>
    <w:rsid w:val="0055361F"/>
    <w:rsid w:val="00553627"/>
    <w:rsid w:val="00553640"/>
    <w:rsid w:val="00553648"/>
    <w:rsid w:val="00553649"/>
    <w:rsid w:val="00553680"/>
    <w:rsid w:val="005536B6"/>
    <w:rsid w:val="005536DA"/>
    <w:rsid w:val="005536E8"/>
    <w:rsid w:val="0055370C"/>
    <w:rsid w:val="00553712"/>
    <w:rsid w:val="00553718"/>
    <w:rsid w:val="00553743"/>
    <w:rsid w:val="00553777"/>
    <w:rsid w:val="0055379F"/>
    <w:rsid w:val="005538BE"/>
    <w:rsid w:val="00553913"/>
    <w:rsid w:val="00553987"/>
    <w:rsid w:val="005539C5"/>
    <w:rsid w:val="005539D2"/>
    <w:rsid w:val="005539F0"/>
    <w:rsid w:val="00553A04"/>
    <w:rsid w:val="00553A1B"/>
    <w:rsid w:val="00553A67"/>
    <w:rsid w:val="00553A85"/>
    <w:rsid w:val="00553A93"/>
    <w:rsid w:val="00553AD1"/>
    <w:rsid w:val="00553B26"/>
    <w:rsid w:val="00553B56"/>
    <w:rsid w:val="00553B9F"/>
    <w:rsid w:val="00553BD3"/>
    <w:rsid w:val="00553BED"/>
    <w:rsid w:val="00553C22"/>
    <w:rsid w:val="00553D01"/>
    <w:rsid w:val="00553D04"/>
    <w:rsid w:val="00553D09"/>
    <w:rsid w:val="00553D22"/>
    <w:rsid w:val="00553D50"/>
    <w:rsid w:val="00553D7B"/>
    <w:rsid w:val="00553D80"/>
    <w:rsid w:val="00553D88"/>
    <w:rsid w:val="00553D8C"/>
    <w:rsid w:val="00553DB1"/>
    <w:rsid w:val="00553DC9"/>
    <w:rsid w:val="00553E9A"/>
    <w:rsid w:val="00553EED"/>
    <w:rsid w:val="00553F2F"/>
    <w:rsid w:val="00553FE2"/>
    <w:rsid w:val="00554068"/>
    <w:rsid w:val="005540A8"/>
    <w:rsid w:val="0055411F"/>
    <w:rsid w:val="00554140"/>
    <w:rsid w:val="00554196"/>
    <w:rsid w:val="0055422B"/>
    <w:rsid w:val="0055427B"/>
    <w:rsid w:val="00554344"/>
    <w:rsid w:val="005543C5"/>
    <w:rsid w:val="005543D7"/>
    <w:rsid w:val="00554420"/>
    <w:rsid w:val="00554460"/>
    <w:rsid w:val="0055446F"/>
    <w:rsid w:val="0055449C"/>
    <w:rsid w:val="005544C0"/>
    <w:rsid w:val="005544DA"/>
    <w:rsid w:val="00554557"/>
    <w:rsid w:val="00554567"/>
    <w:rsid w:val="0055463F"/>
    <w:rsid w:val="00554658"/>
    <w:rsid w:val="00554738"/>
    <w:rsid w:val="00554771"/>
    <w:rsid w:val="0055477B"/>
    <w:rsid w:val="0055477E"/>
    <w:rsid w:val="0055477F"/>
    <w:rsid w:val="005547A7"/>
    <w:rsid w:val="005547BF"/>
    <w:rsid w:val="0055480E"/>
    <w:rsid w:val="0055481F"/>
    <w:rsid w:val="0055484D"/>
    <w:rsid w:val="00554853"/>
    <w:rsid w:val="005548A1"/>
    <w:rsid w:val="005548E3"/>
    <w:rsid w:val="00554943"/>
    <w:rsid w:val="00554953"/>
    <w:rsid w:val="0055495E"/>
    <w:rsid w:val="00554962"/>
    <w:rsid w:val="0055497A"/>
    <w:rsid w:val="005549D1"/>
    <w:rsid w:val="005549EB"/>
    <w:rsid w:val="00554A00"/>
    <w:rsid w:val="00554A0C"/>
    <w:rsid w:val="00554A6E"/>
    <w:rsid w:val="00554A6F"/>
    <w:rsid w:val="00554A7B"/>
    <w:rsid w:val="00554AD9"/>
    <w:rsid w:val="00554B64"/>
    <w:rsid w:val="00554B6A"/>
    <w:rsid w:val="00554BE6"/>
    <w:rsid w:val="00554C9A"/>
    <w:rsid w:val="00554CCB"/>
    <w:rsid w:val="00554D3D"/>
    <w:rsid w:val="00554E04"/>
    <w:rsid w:val="00554E54"/>
    <w:rsid w:val="00554EF7"/>
    <w:rsid w:val="00554F5D"/>
    <w:rsid w:val="00554F71"/>
    <w:rsid w:val="00554FC4"/>
    <w:rsid w:val="00554FEE"/>
    <w:rsid w:val="0055506B"/>
    <w:rsid w:val="00555090"/>
    <w:rsid w:val="005550C4"/>
    <w:rsid w:val="005550C9"/>
    <w:rsid w:val="00555110"/>
    <w:rsid w:val="0055511D"/>
    <w:rsid w:val="00555146"/>
    <w:rsid w:val="005551D0"/>
    <w:rsid w:val="0055524D"/>
    <w:rsid w:val="005552F9"/>
    <w:rsid w:val="00555367"/>
    <w:rsid w:val="00555389"/>
    <w:rsid w:val="005553DE"/>
    <w:rsid w:val="0055546B"/>
    <w:rsid w:val="0055547E"/>
    <w:rsid w:val="005554CD"/>
    <w:rsid w:val="005554FB"/>
    <w:rsid w:val="00555524"/>
    <w:rsid w:val="0055555B"/>
    <w:rsid w:val="0055556D"/>
    <w:rsid w:val="005555B1"/>
    <w:rsid w:val="005555CA"/>
    <w:rsid w:val="0055560F"/>
    <w:rsid w:val="00555629"/>
    <w:rsid w:val="0055568B"/>
    <w:rsid w:val="005556A2"/>
    <w:rsid w:val="005556B1"/>
    <w:rsid w:val="005556BD"/>
    <w:rsid w:val="00555748"/>
    <w:rsid w:val="00555778"/>
    <w:rsid w:val="005557FD"/>
    <w:rsid w:val="00555837"/>
    <w:rsid w:val="00555889"/>
    <w:rsid w:val="0055588C"/>
    <w:rsid w:val="005558BB"/>
    <w:rsid w:val="005558DD"/>
    <w:rsid w:val="0055591A"/>
    <w:rsid w:val="00555B05"/>
    <w:rsid w:val="00555B07"/>
    <w:rsid w:val="00555B31"/>
    <w:rsid w:val="00555B3E"/>
    <w:rsid w:val="00555BAD"/>
    <w:rsid w:val="00555BDD"/>
    <w:rsid w:val="00555BEE"/>
    <w:rsid w:val="00555D1A"/>
    <w:rsid w:val="00555D1B"/>
    <w:rsid w:val="00555D6A"/>
    <w:rsid w:val="00555D9A"/>
    <w:rsid w:val="00555DBF"/>
    <w:rsid w:val="00555E24"/>
    <w:rsid w:val="00555E2E"/>
    <w:rsid w:val="00555EDB"/>
    <w:rsid w:val="00555EFF"/>
    <w:rsid w:val="00555F70"/>
    <w:rsid w:val="00555FD2"/>
    <w:rsid w:val="0055603D"/>
    <w:rsid w:val="0055606F"/>
    <w:rsid w:val="0055607C"/>
    <w:rsid w:val="00556098"/>
    <w:rsid w:val="005560A1"/>
    <w:rsid w:val="005560DD"/>
    <w:rsid w:val="005560EF"/>
    <w:rsid w:val="00556100"/>
    <w:rsid w:val="00556123"/>
    <w:rsid w:val="005561FD"/>
    <w:rsid w:val="0055623E"/>
    <w:rsid w:val="00556262"/>
    <w:rsid w:val="005562B5"/>
    <w:rsid w:val="00556347"/>
    <w:rsid w:val="005563B0"/>
    <w:rsid w:val="005563C1"/>
    <w:rsid w:val="00556435"/>
    <w:rsid w:val="00556485"/>
    <w:rsid w:val="0055649A"/>
    <w:rsid w:val="005564E0"/>
    <w:rsid w:val="005564F5"/>
    <w:rsid w:val="00556589"/>
    <w:rsid w:val="005565B3"/>
    <w:rsid w:val="005565FD"/>
    <w:rsid w:val="005566D8"/>
    <w:rsid w:val="00556717"/>
    <w:rsid w:val="00556721"/>
    <w:rsid w:val="00556798"/>
    <w:rsid w:val="005567AC"/>
    <w:rsid w:val="005567E5"/>
    <w:rsid w:val="005567FF"/>
    <w:rsid w:val="00556855"/>
    <w:rsid w:val="005568B0"/>
    <w:rsid w:val="00556966"/>
    <w:rsid w:val="00556968"/>
    <w:rsid w:val="0055698F"/>
    <w:rsid w:val="005569A5"/>
    <w:rsid w:val="005569F6"/>
    <w:rsid w:val="00556A69"/>
    <w:rsid w:val="00556B10"/>
    <w:rsid w:val="00556B6D"/>
    <w:rsid w:val="00556B9E"/>
    <w:rsid w:val="00556BE8"/>
    <w:rsid w:val="00556BFF"/>
    <w:rsid w:val="00556C14"/>
    <w:rsid w:val="00556C64"/>
    <w:rsid w:val="00556C89"/>
    <w:rsid w:val="00556C99"/>
    <w:rsid w:val="00556D00"/>
    <w:rsid w:val="00556D04"/>
    <w:rsid w:val="00556D3E"/>
    <w:rsid w:val="00556D5B"/>
    <w:rsid w:val="00556DD8"/>
    <w:rsid w:val="00556E42"/>
    <w:rsid w:val="00556E71"/>
    <w:rsid w:val="00556EAE"/>
    <w:rsid w:val="00556EAF"/>
    <w:rsid w:val="00556EC0"/>
    <w:rsid w:val="00556EFC"/>
    <w:rsid w:val="00556F1D"/>
    <w:rsid w:val="00556FE5"/>
    <w:rsid w:val="00557068"/>
    <w:rsid w:val="00557096"/>
    <w:rsid w:val="005570A9"/>
    <w:rsid w:val="005570C2"/>
    <w:rsid w:val="0055717E"/>
    <w:rsid w:val="005571DD"/>
    <w:rsid w:val="00557257"/>
    <w:rsid w:val="0055725C"/>
    <w:rsid w:val="0055727A"/>
    <w:rsid w:val="005572E0"/>
    <w:rsid w:val="00557328"/>
    <w:rsid w:val="0055735E"/>
    <w:rsid w:val="0055736E"/>
    <w:rsid w:val="00557418"/>
    <w:rsid w:val="0055749E"/>
    <w:rsid w:val="005574DE"/>
    <w:rsid w:val="00557581"/>
    <w:rsid w:val="0055759D"/>
    <w:rsid w:val="005575AD"/>
    <w:rsid w:val="005575B6"/>
    <w:rsid w:val="00557628"/>
    <w:rsid w:val="0055763A"/>
    <w:rsid w:val="005576A5"/>
    <w:rsid w:val="005576AC"/>
    <w:rsid w:val="005577EE"/>
    <w:rsid w:val="00557885"/>
    <w:rsid w:val="00557896"/>
    <w:rsid w:val="005578D4"/>
    <w:rsid w:val="00557908"/>
    <w:rsid w:val="0055792F"/>
    <w:rsid w:val="00557977"/>
    <w:rsid w:val="0055797F"/>
    <w:rsid w:val="00557981"/>
    <w:rsid w:val="00557989"/>
    <w:rsid w:val="00557991"/>
    <w:rsid w:val="00557AED"/>
    <w:rsid w:val="00557AF3"/>
    <w:rsid w:val="00557B3E"/>
    <w:rsid w:val="00557B68"/>
    <w:rsid w:val="00557B9E"/>
    <w:rsid w:val="00557BAC"/>
    <w:rsid w:val="00557C39"/>
    <w:rsid w:val="00557CA0"/>
    <w:rsid w:val="00557CBE"/>
    <w:rsid w:val="00557DC2"/>
    <w:rsid w:val="00557E0C"/>
    <w:rsid w:val="00557E2A"/>
    <w:rsid w:val="00557E96"/>
    <w:rsid w:val="00557ECB"/>
    <w:rsid w:val="00557F07"/>
    <w:rsid w:val="00557F83"/>
    <w:rsid w:val="0056001B"/>
    <w:rsid w:val="00560027"/>
    <w:rsid w:val="00560063"/>
    <w:rsid w:val="00560127"/>
    <w:rsid w:val="0056013C"/>
    <w:rsid w:val="00560140"/>
    <w:rsid w:val="00560203"/>
    <w:rsid w:val="0056023A"/>
    <w:rsid w:val="0056028F"/>
    <w:rsid w:val="005602AD"/>
    <w:rsid w:val="005602B4"/>
    <w:rsid w:val="005602D0"/>
    <w:rsid w:val="00560347"/>
    <w:rsid w:val="0056035E"/>
    <w:rsid w:val="005603C6"/>
    <w:rsid w:val="0056040A"/>
    <w:rsid w:val="00560411"/>
    <w:rsid w:val="00560434"/>
    <w:rsid w:val="00560447"/>
    <w:rsid w:val="0056053C"/>
    <w:rsid w:val="0056057E"/>
    <w:rsid w:val="005605CF"/>
    <w:rsid w:val="00560601"/>
    <w:rsid w:val="00560625"/>
    <w:rsid w:val="00560633"/>
    <w:rsid w:val="0056066B"/>
    <w:rsid w:val="0056067A"/>
    <w:rsid w:val="005606F0"/>
    <w:rsid w:val="00560752"/>
    <w:rsid w:val="005607E0"/>
    <w:rsid w:val="00560825"/>
    <w:rsid w:val="00560847"/>
    <w:rsid w:val="005608C2"/>
    <w:rsid w:val="0056090E"/>
    <w:rsid w:val="00560950"/>
    <w:rsid w:val="00560991"/>
    <w:rsid w:val="00560A23"/>
    <w:rsid w:val="00560A46"/>
    <w:rsid w:val="00560A8C"/>
    <w:rsid w:val="00560AC7"/>
    <w:rsid w:val="00560ACF"/>
    <w:rsid w:val="00560AEE"/>
    <w:rsid w:val="00560AFB"/>
    <w:rsid w:val="00560B70"/>
    <w:rsid w:val="00560BD5"/>
    <w:rsid w:val="00560BFE"/>
    <w:rsid w:val="00560C0A"/>
    <w:rsid w:val="00560C28"/>
    <w:rsid w:val="00560C39"/>
    <w:rsid w:val="00560E24"/>
    <w:rsid w:val="00560E90"/>
    <w:rsid w:val="00560EA7"/>
    <w:rsid w:val="00560EE1"/>
    <w:rsid w:val="00560EFC"/>
    <w:rsid w:val="00560F25"/>
    <w:rsid w:val="00560FCA"/>
    <w:rsid w:val="00561062"/>
    <w:rsid w:val="005610B2"/>
    <w:rsid w:val="00561158"/>
    <w:rsid w:val="0056116D"/>
    <w:rsid w:val="005611C4"/>
    <w:rsid w:val="005611CC"/>
    <w:rsid w:val="005611CD"/>
    <w:rsid w:val="005611DA"/>
    <w:rsid w:val="005611F2"/>
    <w:rsid w:val="00561203"/>
    <w:rsid w:val="0056125D"/>
    <w:rsid w:val="00561260"/>
    <w:rsid w:val="0056127B"/>
    <w:rsid w:val="0056130B"/>
    <w:rsid w:val="0056131D"/>
    <w:rsid w:val="0056133B"/>
    <w:rsid w:val="005613A6"/>
    <w:rsid w:val="005613C7"/>
    <w:rsid w:val="0056140A"/>
    <w:rsid w:val="0056145F"/>
    <w:rsid w:val="005614B3"/>
    <w:rsid w:val="005614E6"/>
    <w:rsid w:val="0056151B"/>
    <w:rsid w:val="0056157B"/>
    <w:rsid w:val="00561580"/>
    <w:rsid w:val="00561585"/>
    <w:rsid w:val="005615B9"/>
    <w:rsid w:val="005615D8"/>
    <w:rsid w:val="00561694"/>
    <w:rsid w:val="005616C0"/>
    <w:rsid w:val="005616C2"/>
    <w:rsid w:val="005616F2"/>
    <w:rsid w:val="0056171A"/>
    <w:rsid w:val="00561734"/>
    <w:rsid w:val="005617A7"/>
    <w:rsid w:val="00561809"/>
    <w:rsid w:val="0056183F"/>
    <w:rsid w:val="00561881"/>
    <w:rsid w:val="005618A6"/>
    <w:rsid w:val="005618E3"/>
    <w:rsid w:val="00561956"/>
    <w:rsid w:val="00561966"/>
    <w:rsid w:val="005619AD"/>
    <w:rsid w:val="005619E9"/>
    <w:rsid w:val="00561A59"/>
    <w:rsid w:val="00561AD9"/>
    <w:rsid w:val="00561B49"/>
    <w:rsid w:val="00561BB6"/>
    <w:rsid w:val="00561BD3"/>
    <w:rsid w:val="00561BDB"/>
    <w:rsid w:val="00561BF7"/>
    <w:rsid w:val="00561C55"/>
    <w:rsid w:val="00561C82"/>
    <w:rsid w:val="00561CCA"/>
    <w:rsid w:val="00561DD0"/>
    <w:rsid w:val="00561E09"/>
    <w:rsid w:val="00561E1B"/>
    <w:rsid w:val="00561E9C"/>
    <w:rsid w:val="00561EA0"/>
    <w:rsid w:val="00561EB4"/>
    <w:rsid w:val="00561EBD"/>
    <w:rsid w:val="00561EE4"/>
    <w:rsid w:val="00561F52"/>
    <w:rsid w:val="00561F6F"/>
    <w:rsid w:val="00561FDC"/>
    <w:rsid w:val="00561FDD"/>
    <w:rsid w:val="00561FF4"/>
    <w:rsid w:val="00562043"/>
    <w:rsid w:val="00562065"/>
    <w:rsid w:val="0056206F"/>
    <w:rsid w:val="0056207D"/>
    <w:rsid w:val="005620A6"/>
    <w:rsid w:val="00562155"/>
    <w:rsid w:val="00562169"/>
    <w:rsid w:val="005621F7"/>
    <w:rsid w:val="00562207"/>
    <w:rsid w:val="00562245"/>
    <w:rsid w:val="005622B8"/>
    <w:rsid w:val="005622D8"/>
    <w:rsid w:val="0056235F"/>
    <w:rsid w:val="0056239B"/>
    <w:rsid w:val="00562428"/>
    <w:rsid w:val="0056243E"/>
    <w:rsid w:val="00562489"/>
    <w:rsid w:val="0056251F"/>
    <w:rsid w:val="00562552"/>
    <w:rsid w:val="0056256D"/>
    <w:rsid w:val="005625AC"/>
    <w:rsid w:val="005625BF"/>
    <w:rsid w:val="005625F5"/>
    <w:rsid w:val="00562693"/>
    <w:rsid w:val="005626A2"/>
    <w:rsid w:val="005626FA"/>
    <w:rsid w:val="0056273B"/>
    <w:rsid w:val="00562747"/>
    <w:rsid w:val="00562769"/>
    <w:rsid w:val="005627C4"/>
    <w:rsid w:val="005627F7"/>
    <w:rsid w:val="00562807"/>
    <w:rsid w:val="0056283D"/>
    <w:rsid w:val="0056288F"/>
    <w:rsid w:val="00562893"/>
    <w:rsid w:val="005628A0"/>
    <w:rsid w:val="005628FF"/>
    <w:rsid w:val="00562919"/>
    <w:rsid w:val="00562929"/>
    <w:rsid w:val="00562930"/>
    <w:rsid w:val="00562AE4"/>
    <w:rsid w:val="00562AE5"/>
    <w:rsid w:val="00562AFE"/>
    <w:rsid w:val="00562B12"/>
    <w:rsid w:val="00562C9B"/>
    <w:rsid w:val="00562D4C"/>
    <w:rsid w:val="00562DA0"/>
    <w:rsid w:val="00562DEF"/>
    <w:rsid w:val="00562E5C"/>
    <w:rsid w:val="00562E9F"/>
    <w:rsid w:val="00562EAD"/>
    <w:rsid w:val="00562ED2"/>
    <w:rsid w:val="00562EE5"/>
    <w:rsid w:val="00562F16"/>
    <w:rsid w:val="00562F17"/>
    <w:rsid w:val="00562FE4"/>
    <w:rsid w:val="00563075"/>
    <w:rsid w:val="00563099"/>
    <w:rsid w:val="005630EC"/>
    <w:rsid w:val="00563100"/>
    <w:rsid w:val="00563146"/>
    <w:rsid w:val="0056320A"/>
    <w:rsid w:val="0056325D"/>
    <w:rsid w:val="0056326A"/>
    <w:rsid w:val="005632D9"/>
    <w:rsid w:val="005632DA"/>
    <w:rsid w:val="0056332E"/>
    <w:rsid w:val="005633D7"/>
    <w:rsid w:val="0056341B"/>
    <w:rsid w:val="0056343B"/>
    <w:rsid w:val="00563440"/>
    <w:rsid w:val="00563460"/>
    <w:rsid w:val="005634A8"/>
    <w:rsid w:val="0056350A"/>
    <w:rsid w:val="00563578"/>
    <w:rsid w:val="005635C1"/>
    <w:rsid w:val="005635FD"/>
    <w:rsid w:val="00563607"/>
    <w:rsid w:val="005636B9"/>
    <w:rsid w:val="00563748"/>
    <w:rsid w:val="0056376F"/>
    <w:rsid w:val="005637A3"/>
    <w:rsid w:val="005637A9"/>
    <w:rsid w:val="005637B9"/>
    <w:rsid w:val="0056388F"/>
    <w:rsid w:val="005638FD"/>
    <w:rsid w:val="00563955"/>
    <w:rsid w:val="00563974"/>
    <w:rsid w:val="00563982"/>
    <w:rsid w:val="00563A06"/>
    <w:rsid w:val="00563A41"/>
    <w:rsid w:val="00563A4A"/>
    <w:rsid w:val="00563ACB"/>
    <w:rsid w:val="00563C0E"/>
    <w:rsid w:val="00563C2D"/>
    <w:rsid w:val="00563C4B"/>
    <w:rsid w:val="00563CF6"/>
    <w:rsid w:val="00563D0D"/>
    <w:rsid w:val="00563D21"/>
    <w:rsid w:val="00563D48"/>
    <w:rsid w:val="00563D90"/>
    <w:rsid w:val="00563DE5"/>
    <w:rsid w:val="00563E2D"/>
    <w:rsid w:val="00563E67"/>
    <w:rsid w:val="00563EB4"/>
    <w:rsid w:val="00563ECB"/>
    <w:rsid w:val="00563ED6"/>
    <w:rsid w:val="00563EF0"/>
    <w:rsid w:val="00563F48"/>
    <w:rsid w:val="00563F7C"/>
    <w:rsid w:val="00563F85"/>
    <w:rsid w:val="00563FC7"/>
    <w:rsid w:val="00564015"/>
    <w:rsid w:val="0056402C"/>
    <w:rsid w:val="00564099"/>
    <w:rsid w:val="005640A2"/>
    <w:rsid w:val="00564110"/>
    <w:rsid w:val="00564119"/>
    <w:rsid w:val="00564146"/>
    <w:rsid w:val="00564151"/>
    <w:rsid w:val="005641A0"/>
    <w:rsid w:val="005641FC"/>
    <w:rsid w:val="00564214"/>
    <w:rsid w:val="00564239"/>
    <w:rsid w:val="00564269"/>
    <w:rsid w:val="005642C0"/>
    <w:rsid w:val="005642D0"/>
    <w:rsid w:val="00564301"/>
    <w:rsid w:val="0056438E"/>
    <w:rsid w:val="005643E2"/>
    <w:rsid w:val="005644C9"/>
    <w:rsid w:val="005644CF"/>
    <w:rsid w:val="005644D8"/>
    <w:rsid w:val="005644F0"/>
    <w:rsid w:val="0056451E"/>
    <w:rsid w:val="0056453D"/>
    <w:rsid w:val="0056456F"/>
    <w:rsid w:val="005645F4"/>
    <w:rsid w:val="0056470D"/>
    <w:rsid w:val="00564752"/>
    <w:rsid w:val="005648F7"/>
    <w:rsid w:val="0056497C"/>
    <w:rsid w:val="0056498C"/>
    <w:rsid w:val="005649FE"/>
    <w:rsid w:val="00564A87"/>
    <w:rsid w:val="00564AB1"/>
    <w:rsid w:val="00564AE7"/>
    <w:rsid w:val="00564AF8"/>
    <w:rsid w:val="00564B0C"/>
    <w:rsid w:val="00564BCA"/>
    <w:rsid w:val="00564BFD"/>
    <w:rsid w:val="00564C4E"/>
    <w:rsid w:val="00564C75"/>
    <w:rsid w:val="00564CAE"/>
    <w:rsid w:val="00564CE2"/>
    <w:rsid w:val="00564D06"/>
    <w:rsid w:val="00564D5E"/>
    <w:rsid w:val="00564DDE"/>
    <w:rsid w:val="00564E1E"/>
    <w:rsid w:val="00564EEA"/>
    <w:rsid w:val="00564EEE"/>
    <w:rsid w:val="00564EF0"/>
    <w:rsid w:val="00564EF5"/>
    <w:rsid w:val="00564F1A"/>
    <w:rsid w:val="00564FC2"/>
    <w:rsid w:val="00564FDE"/>
    <w:rsid w:val="0056506D"/>
    <w:rsid w:val="005650E6"/>
    <w:rsid w:val="00565126"/>
    <w:rsid w:val="00565154"/>
    <w:rsid w:val="005651CC"/>
    <w:rsid w:val="005651D4"/>
    <w:rsid w:val="00565235"/>
    <w:rsid w:val="005652B7"/>
    <w:rsid w:val="005652D7"/>
    <w:rsid w:val="00565313"/>
    <w:rsid w:val="00565328"/>
    <w:rsid w:val="00565344"/>
    <w:rsid w:val="0056536B"/>
    <w:rsid w:val="005653D3"/>
    <w:rsid w:val="0056541C"/>
    <w:rsid w:val="00565478"/>
    <w:rsid w:val="0056547D"/>
    <w:rsid w:val="005654AF"/>
    <w:rsid w:val="0056550B"/>
    <w:rsid w:val="00565510"/>
    <w:rsid w:val="00565545"/>
    <w:rsid w:val="00565583"/>
    <w:rsid w:val="005655C8"/>
    <w:rsid w:val="005655D4"/>
    <w:rsid w:val="00565625"/>
    <w:rsid w:val="00565633"/>
    <w:rsid w:val="005656D8"/>
    <w:rsid w:val="00565734"/>
    <w:rsid w:val="005657A9"/>
    <w:rsid w:val="005657D9"/>
    <w:rsid w:val="005657E1"/>
    <w:rsid w:val="0056582C"/>
    <w:rsid w:val="005658E3"/>
    <w:rsid w:val="005658FC"/>
    <w:rsid w:val="00565986"/>
    <w:rsid w:val="00565990"/>
    <w:rsid w:val="0056599F"/>
    <w:rsid w:val="005659D4"/>
    <w:rsid w:val="00565A58"/>
    <w:rsid w:val="00565A6F"/>
    <w:rsid w:val="00565A9B"/>
    <w:rsid w:val="00565B90"/>
    <w:rsid w:val="00565B9F"/>
    <w:rsid w:val="00565BD4"/>
    <w:rsid w:val="00565C0B"/>
    <w:rsid w:val="00565C38"/>
    <w:rsid w:val="00565C3D"/>
    <w:rsid w:val="00565C48"/>
    <w:rsid w:val="00565C51"/>
    <w:rsid w:val="00565C68"/>
    <w:rsid w:val="00565CD3"/>
    <w:rsid w:val="00565CF8"/>
    <w:rsid w:val="00565EC6"/>
    <w:rsid w:val="00565EE2"/>
    <w:rsid w:val="00565F16"/>
    <w:rsid w:val="00565F6F"/>
    <w:rsid w:val="00565F72"/>
    <w:rsid w:val="00565FD7"/>
    <w:rsid w:val="00566006"/>
    <w:rsid w:val="00566050"/>
    <w:rsid w:val="0056608F"/>
    <w:rsid w:val="005660CC"/>
    <w:rsid w:val="00566142"/>
    <w:rsid w:val="0056617B"/>
    <w:rsid w:val="0056618D"/>
    <w:rsid w:val="0056619F"/>
    <w:rsid w:val="00566213"/>
    <w:rsid w:val="00566243"/>
    <w:rsid w:val="00566249"/>
    <w:rsid w:val="0056624E"/>
    <w:rsid w:val="00566253"/>
    <w:rsid w:val="00566288"/>
    <w:rsid w:val="005662AD"/>
    <w:rsid w:val="005662AE"/>
    <w:rsid w:val="005662F6"/>
    <w:rsid w:val="0056634A"/>
    <w:rsid w:val="0056638C"/>
    <w:rsid w:val="0056639C"/>
    <w:rsid w:val="00566419"/>
    <w:rsid w:val="0056642F"/>
    <w:rsid w:val="00566452"/>
    <w:rsid w:val="005664BD"/>
    <w:rsid w:val="0056651E"/>
    <w:rsid w:val="005665B3"/>
    <w:rsid w:val="005665E5"/>
    <w:rsid w:val="00566608"/>
    <w:rsid w:val="00566616"/>
    <w:rsid w:val="00566636"/>
    <w:rsid w:val="0056666A"/>
    <w:rsid w:val="00566670"/>
    <w:rsid w:val="00566798"/>
    <w:rsid w:val="00566812"/>
    <w:rsid w:val="00566850"/>
    <w:rsid w:val="005668EB"/>
    <w:rsid w:val="00566919"/>
    <w:rsid w:val="0056695F"/>
    <w:rsid w:val="0056697C"/>
    <w:rsid w:val="005669A7"/>
    <w:rsid w:val="00566A3D"/>
    <w:rsid w:val="00566ACF"/>
    <w:rsid w:val="00566AEC"/>
    <w:rsid w:val="00566B4F"/>
    <w:rsid w:val="00566B55"/>
    <w:rsid w:val="00566B6C"/>
    <w:rsid w:val="00566B98"/>
    <w:rsid w:val="00566BA0"/>
    <w:rsid w:val="00566BD2"/>
    <w:rsid w:val="00566C1A"/>
    <w:rsid w:val="00566C26"/>
    <w:rsid w:val="00566C32"/>
    <w:rsid w:val="00566C3C"/>
    <w:rsid w:val="00566C70"/>
    <w:rsid w:val="00566C77"/>
    <w:rsid w:val="00566CB9"/>
    <w:rsid w:val="00566CFB"/>
    <w:rsid w:val="00566D15"/>
    <w:rsid w:val="00566D6B"/>
    <w:rsid w:val="00566D89"/>
    <w:rsid w:val="00566D95"/>
    <w:rsid w:val="00566DE3"/>
    <w:rsid w:val="00566E09"/>
    <w:rsid w:val="00566E3E"/>
    <w:rsid w:val="00566EBD"/>
    <w:rsid w:val="00566ECB"/>
    <w:rsid w:val="00566EF6"/>
    <w:rsid w:val="00566F34"/>
    <w:rsid w:val="00566F47"/>
    <w:rsid w:val="00566F51"/>
    <w:rsid w:val="00566F5A"/>
    <w:rsid w:val="00566F6D"/>
    <w:rsid w:val="00567010"/>
    <w:rsid w:val="0056701C"/>
    <w:rsid w:val="00567035"/>
    <w:rsid w:val="0056706F"/>
    <w:rsid w:val="005670B8"/>
    <w:rsid w:val="005670C5"/>
    <w:rsid w:val="00567174"/>
    <w:rsid w:val="005671DD"/>
    <w:rsid w:val="005671FA"/>
    <w:rsid w:val="0056722E"/>
    <w:rsid w:val="00567266"/>
    <w:rsid w:val="00567292"/>
    <w:rsid w:val="0056732F"/>
    <w:rsid w:val="00567355"/>
    <w:rsid w:val="00567357"/>
    <w:rsid w:val="0056736B"/>
    <w:rsid w:val="00567384"/>
    <w:rsid w:val="00567427"/>
    <w:rsid w:val="00567511"/>
    <w:rsid w:val="00567584"/>
    <w:rsid w:val="00567597"/>
    <w:rsid w:val="005675B2"/>
    <w:rsid w:val="00567640"/>
    <w:rsid w:val="00567674"/>
    <w:rsid w:val="00567683"/>
    <w:rsid w:val="00567718"/>
    <w:rsid w:val="005677BD"/>
    <w:rsid w:val="005677CD"/>
    <w:rsid w:val="00567822"/>
    <w:rsid w:val="005678D0"/>
    <w:rsid w:val="0056790B"/>
    <w:rsid w:val="00567998"/>
    <w:rsid w:val="005679C0"/>
    <w:rsid w:val="005679F3"/>
    <w:rsid w:val="00567A01"/>
    <w:rsid w:val="00567A02"/>
    <w:rsid w:val="00567A30"/>
    <w:rsid w:val="00567A9E"/>
    <w:rsid w:val="00567B12"/>
    <w:rsid w:val="00567BA1"/>
    <w:rsid w:val="00567BAE"/>
    <w:rsid w:val="00567BF7"/>
    <w:rsid w:val="00567C38"/>
    <w:rsid w:val="00567C5D"/>
    <w:rsid w:val="00567C7A"/>
    <w:rsid w:val="00567C90"/>
    <w:rsid w:val="00567CE4"/>
    <w:rsid w:val="00567D8A"/>
    <w:rsid w:val="00567D95"/>
    <w:rsid w:val="00567D9A"/>
    <w:rsid w:val="00567DB9"/>
    <w:rsid w:val="00567DE2"/>
    <w:rsid w:val="00567E86"/>
    <w:rsid w:val="00567F07"/>
    <w:rsid w:val="00567F5A"/>
    <w:rsid w:val="00567F68"/>
    <w:rsid w:val="00567F87"/>
    <w:rsid w:val="00567FC1"/>
    <w:rsid w:val="00567FE6"/>
    <w:rsid w:val="00567FF5"/>
    <w:rsid w:val="005700A9"/>
    <w:rsid w:val="005700AE"/>
    <w:rsid w:val="005700D7"/>
    <w:rsid w:val="005700D8"/>
    <w:rsid w:val="005700FA"/>
    <w:rsid w:val="00570115"/>
    <w:rsid w:val="00570165"/>
    <w:rsid w:val="0057016C"/>
    <w:rsid w:val="00570190"/>
    <w:rsid w:val="005702A3"/>
    <w:rsid w:val="0057036D"/>
    <w:rsid w:val="0057037E"/>
    <w:rsid w:val="00570390"/>
    <w:rsid w:val="005703A4"/>
    <w:rsid w:val="005703AA"/>
    <w:rsid w:val="005703CC"/>
    <w:rsid w:val="00570416"/>
    <w:rsid w:val="005704A4"/>
    <w:rsid w:val="005704AE"/>
    <w:rsid w:val="00570521"/>
    <w:rsid w:val="0057054B"/>
    <w:rsid w:val="0057054E"/>
    <w:rsid w:val="005705B7"/>
    <w:rsid w:val="005705FB"/>
    <w:rsid w:val="0057060E"/>
    <w:rsid w:val="0057065C"/>
    <w:rsid w:val="005706BA"/>
    <w:rsid w:val="005706D3"/>
    <w:rsid w:val="005706E9"/>
    <w:rsid w:val="005708A0"/>
    <w:rsid w:val="00570901"/>
    <w:rsid w:val="0057091D"/>
    <w:rsid w:val="00570959"/>
    <w:rsid w:val="0057096E"/>
    <w:rsid w:val="005709F2"/>
    <w:rsid w:val="00570AA1"/>
    <w:rsid w:val="00570B31"/>
    <w:rsid w:val="00570B3A"/>
    <w:rsid w:val="00570BB4"/>
    <w:rsid w:val="00570BEE"/>
    <w:rsid w:val="00570BF9"/>
    <w:rsid w:val="00570C07"/>
    <w:rsid w:val="00570C12"/>
    <w:rsid w:val="00570C33"/>
    <w:rsid w:val="00570C5C"/>
    <w:rsid w:val="00570CAA"/>
    <w:rsid w:val="00570D39"/>
    <w:rsid w:val="00570D9E"/>
    <w:rsid w:val="00570DFC"/>
    <w:rsid w:val="00570E29"/>
    <w:rsid w:val="00570E5C"/>
    <w:rsid w:val="00570E84"/>
    <w:rsid w:val="00570EBA"/>
    <w:rsid w:val="00570ED3"/>
    <w:rsid w:val="00570F9A"/>
    <w:rsid w:val="00570FC6"/>
    <w:rsid w:val="00570FCA"/>
    <w:rsid w:val="00570FCB"/>
    <w:rsid w:val="00570FE3"/>
    <w:rsid w:val="00571007"/>
    <w:rsid w:val="00571019"/>
    <w:rsid w:val="00571028"/>
    <w:rsid w:val="0057103F"/>
    <w:rsid w:val="005710EC"/>
    <w:rsid w:val="005710FD"/>
    <w:rsid w:val="0057113A"/>
    <w:rsid w:val="00571167"/>
    <w:rsid w:val="005711C3"/>
    <w:rsid w:val="005711D4"/>
    <w:rsid w:val="0057124F"/>
    <w:rsid w:val="00571252"/>
    <w:rsid w:val="005712E0"/>
    <w:rsid w:val="0057134B"/>
    <w:rsid w:val="00571367"/>
    <w:rsid w:val="0057137D"/>
    <w:rsid w:val="005713B9"/>
    <w:rsid w:val="00571419"/>
    <w:rsid w:val="0057143D"/>
    <w:rsid w:val="00571449"/>
    <w:rsid w:val="0057145F"/>
    <w:rsid w:val="0057149B"/>
    <w:rsid w:val="005714AE"/>
    <w:rsid w:val="005714B2"/>
    <w:rsid w:val="00571573"/>
    <w:rsid w:val="0057159D"/>
    <w:rsid w:val="005715C9"/>
    <w:rsid w:val="0057161D"/>
    <w:rsid w:val="00571635"/>
    <w:rsid w:val="00571647"/>
    <w:rsid w:val="00571680"/>
    <w:rsid w:val="005716B6"/>
    <w:rsid w:val="0057179B"/>
    <w:rsid w:val="00571833"/>
    <w:rsid w:val="00571838"/>
    <w:rsid w:val="00571877"/>
    <w:rsid w:val="005718AF"/>
    <w:rsid w:val="005718C0"/>
    <w:rsid w:val="005718DC"/>
    <w:rsid w:val="005719A7"/>
    <w:rsid w:val="005719E1"/>
    <w:rsid w:val="005719E6"/>
    <w:rsid w:val="005719FB"/>
    <w:rsid w:val="00571A0C"/>
    <w:rsid w:val="00571A3A"/>
    <w:rsid w:val="00571A7A"/>
    <w:rsid w:val="00571AAB"/>
    <w:rsid w:val="00571AB7"/>
    <w:rsid w:val="00571B0A"/>
    <w:rsid w:val="00571B1B"/>
    <w:rsid w:val="00571B54"/>
    <w:rsid w:val="00571B93"/>
    <w:rsid w:val="00571BA8"/>
    <w:rsid w:val="00571C1F"/>
    <w:rsid w:val="00571C75"/>
    <w:rsid w:val="00571C8D"/>
    <w:rsid w:val="00571CC4"/>
    <w:rsid w:val="00571CE7"/>
    <w:rsid w:val="00571D45"/>
    <w:rsid w:val="00571DD9"/>
    <w:rsid w:val="00571DF2"/>
    <w:rsid w:val="00571E25"/>
    <w:rsid w:val="00571E3A"/>
    <w:rsid w:val="00571E8E"/>
    <w:rsid w:val="00571EBB"/>
    <w:rsid w:val="00571ED4"/>
    <w:rsid w:val="00571F0E"/>
    <w:rsid w:val="00571F23"/>
    <w:rsid w:val="00571F5A"/>
    <w:rsid w:val="00571F9B"/>
    <w:rsid w:val="00571FA3"/>
    <w:rsid w:val="00571FBD"/>
    <w:rsid w:val="00572000"/>
    <w:rsid w:val="00572079"/>
    <w:rsid w:val="005720C5"/>
    <w:rsid w:val="0057219E"/>
    <w:rsid w:val="00572210"/>
    <w:rsid w:val="00572268"/>
    <w:rsid w:val="00572330"/>
    <w:rsid w:val="0057236B"/>
    <w:rsid w:val="00572394"/>
    <w:rsid w:val="005723BF"/>
    <w:rsid w:val="005723E8"/>
    <w:rsid w:val="00572409"/>
    <w:rsid w:val="00572428"/>
    <w:rsid w:val="00572438"/>
    <w:rsid w:val="005724B2"/>
    <w:rsid w:val="0057257A"/>
    <w:rsid w:val="00572587"/>
    <w:rsid w:val="005725FA"/>
    <w:rsid w:val="00572644"/>
    <w:rsid w:val="0057266F"/>
    <w:rsid w:val="0057267A"/>
    <w:rsid w:val="00572724"/>
    <w:rsid w:val="00572729"/>
    <w:rsid w:val="00572762"/>
    <w:rsid w:val="0057277D"/>
    <w:rsid w:val="00572797"/>
    <w:rsid w:val="005727DD"/>
    <w:rsid w:val="0057280C"/>
    <w:rsid w:val="00572839"/>
    <w:rsid w:val="00572843"/>
    <w:rsid w:val="0057285F"/>
    <w:rsid w:val="005728A8"/>
    <w:rsid w:val="005728FF"/>
    <w:rsid w:val="0057291A"/>
    <w:rsid w:val="00572932"/>
    <w:rsid w:val="00572980"/>
    <w:rsid w:val="005729A0"/>
    <w:rsid w:val="005729A2"/>
    <w:rsid w:val="00572A1A"/>
    <w:rsid w:val="00572A26"/>
    <w:rsid w:val="00572A33"/>
    <w:rsid w:val="00572A81"/>
    <w:rsid w:val="00572A82"/>
    <w:rsid w:val="00572B39"/>
    <w:rsid w:val="00572B58"/>
    <w:rsid w:val="00572BC4"/>
    <w:rsid w:val="00572BF8"/>
    <w:rsid w:val="00572D3D"/>
    <w:rsid w:val="00572D5F"/>
    <w:rsid w:val="00572D6D"/>
    <w:rsid w:val="00572DC4"/>
    <w:rsid w:val="00572E3C"/>
    <w:rsid w:val="00572EB5"/>
    <w:rsid w:val="00572F3C"/>
    <w:rsid w:val="00572F3F"/>
    <w:rsid w:val="0057301F"/>
    <w:rsid w:val="00573082"/>
    <w:rsid w:val="005730C6"/>
    <w:rsid w:val="00573107"/>
    <w:rsid w:val="0057319E"/>
    <w:rsid w:val="005731BE"/>
    <w:rsid w:val="00573235"/>
    <w:rsid w:val="00573274"/>
    <w:rsid w:val="005732A2"/>
    <w:rsid w:val="005732EE"/>
    <w:rsid w:val="00573359"/>
    <w:rsid w:val="005733D5"/>
    <w:rsid w:val="0057344B"/>
    <w:rsid w:val="005734B1"/>
    <w:rsid w:val="00573526"/>
    <w:rsid w:val="00573534"/>
    <w:rsid w:val="00573557"/>
    <w:rsid w:val="0057357F"/>
    <w:rsid w:val="00573582"/>
    <w:rsid w:val="00573611"/>
    <w:rsid w:val="005736F0"/>
    <w:rsid w:val="0057370E"/>
    <w:rsid w:val="00573728"/>
    <w:rsid w:val="00573739"/>
    <w:rsid w:val="005737A0"/>
    <w:rsid w:val="005737B3"/>
    <w:rsid w:val="005737CB"/>
    <w:rsid w:val="00573821"/>
    <w:rsid w:val="0057385A"/>
    <w:rsid w:val="0057385E"/>
    <w:rsid w:val="00573862"/>
    <w:rsid w:val="005738AA"/>
    <w:rsid w:val="005738AF"/>
    <w:rsid w:val="005738B6"/>
    <w:rsid w:val="005739DE"/>
    <w:rsid w:val="00573A09"/>
    <w:rsid w:val="00573A4F"/>
    <w:rsid w:val="00573A82"/>
    <w:rsid w:val="00573AAB"/>
    <w:rsid w:val="00573AEF"/>
    <w:rsid w:val="00573B26"/>
    <w:rsid w:val="00573B83"/>
    <w:rsid w:val="00573B9C"/>
    <w:rsid w:val="00573BBA"/>
    <w:rsid w:val="00573C84"/>
    <w:rsid w:val="00573D8B"/>
    <w:rsid w:val="00573DF3"/>
    <w:rsid w:val="00573E15"/>
    <w:rsid w:val="00573E8C"/>
    <w:rsid w:val="00573E8F"/>
    <w:rsid w:val="00573E99"/>
    <w:rsid w:val="00573ECA"/>
    <w:rsid w:val="00573ECE"/>
    <w:rsid w:val="00573ECF"/>
    <w:rsid w:val="00573EF6"/>
    <w:rsid w:val="00573EF9"/>
    <w:rsid w:val="00573EFA"/>
    <w:rsid w:val="00573F71"/>
    <w:rsid w:val="00573F87"/>
    <w:rsid w:val="00573FAA"/>
    <w:rsid w:val="00573FE6"/>
    <w:rsid w:val="0057404A"/>
    <w:rsid w:val="0057408D"/>
    <w:rsid w:val="005740AF"/>
    <w:rsid w:val="005740EE"/>
    <w:rsid w:val="005741CF"/>
    <w:rsid w:val="005741E8"/>
    <w:rsid w:val="005741EB"/>
    <w:rsid w:val="0057421C"/>
    <w:rsid w:val="00574242"/>
    <w:rsid w:val="00574282"/>
    <w:rsid w:val="00574299"/>
    <w:rsid w:val="005742B1"/>
    <w:rsid w:val="005742BB"/>
    <w:rsid w:val="005742CB"/>
    <w:rsid w:val="0057432D"/>
    <w:rsid w:val="005743FE"/>
    <w:rsid w:val="00574465"/>
    <w:rsid w:val="0057446D"/>
    <w:rsid w:val="005744CF"/>
    <w:rsid w:val="00574556"/>
    <w:rsid w:val="005745F8"/>
    <w:rsid w:val="00574629"/>
    <w:rsid w:val="00574630"/>
    <w:rsid w:val="00574659"/>
    <w:rsid w:val="005746DF"/>
    <w:rsid w:val="005746E9"/>
    <w:rsid w:val="00574724"/>
    <w:rsid w:val="0057473C"/>
    <w:rsid w:val="00574899"/>
    <w:rsid w:val="005749D0"/>
    <w:rsid w:val="005749E1"/>
    <w:rsid w:val="00574A04"/>
    <w:rsid w:val="00574A5B"/>
    <w:rsid w:val="00574AD5"/>
    <w:rsid w:val="00574AE8"/>
    <w:rsid w:val="00574B71"/>
    <w:rsid w:val="00574BF7"/>
    <w:rsid w:val="00574BFD"/>
    <w:rsid w:val="00574C25"/>
    <w:rsid w:val="00574C4B"/>
    <w:rsid w:val="00574C6A"/>
    <w:rsid w:val="00574D31"/>
    <w:rsid w:val="00574D8B"/>
    <w:rsid w:val="00574DBB"/>
    <w:rsid w:val="00574DDB"/>
    <w:rsid w:val="00574E1B"/>
    <w:rsid w:val="00574E3F"/>
    <w:rsid w:val="00574E73"/>
    <w:rsid w:val="00574EA1"/>
    <w:rsid w:val="00574EBB"/>
    <w:rsid w:val="00574EDD"/>
    <w:rsid w:val="00574EE4"/>
    <w:rsid w:val="00574EEC"/>
    <w:rsid w:val="00574F0A"/>
    <w:rsid w:val="00574F50"/>
    <w:rsid w:val="00574F82"/>
    <w:rsid w:val="00574FCB"/>
    <w:rsid w:val="00575028"/>
    <w:rsid w:val="0057502C"/>
    <w:rsid w:val="00575037"/>
    <w:rsid w:val="0057505E"/>
    <w:rsid w:val="0057507B"/>
    <w:rsid w:val="0057507E"/>
    <w:rsid w:val="005750F7"/>
    <w:rsid w:val="0057514A"/>
    <w:rsid w:val="00575163"/>
    <w:rsid w:val="00575197"/>
    <w:rsid w:val="0057519A"/>
    <w:rsid w:val="005751E3"/>
    <w:rsid w:val="005751EA"/>
    <w:rsid w:val="00575283"/>
    <w:rsid w:val="005752AB"/>
    <w:rsid w:val="005752B3"/>
    <w:rsid w:val="00575317"/>
    <w:rsid w:val="00575340"/>
    <w:rsid w:val="00575349"/>
    <w:rsid w:val="0057539E"/>
    <w:rsid w:val="005753BE"/>
    <w:rsid w:val="005753DA"/>
    <w:rsid w:val="00575415"/>
    <w:rsid w:val="00575427"/>
    <w:rsid w:val="00575451"/>
    <w:rsid w:val="00575543"/>
    <w:rsid w:val="00575590"/>
    <w:rsid w:val="0057561A"/>
    <w:rsid w:val="00575620"/>
    <w:rsid w:val="0057562C"/>
    <w:rsid w:val="00575665"/>
    <w:rsid w:val="005756B5"/>
    <w:rsid w:val="00575742"/>
    <w:rsid w:val="005757A0"/>
    <w:rsid w:val="00575816"/>
    <w:rsid w:val="00575899"/>
    <w:rsid w:val="005758B4"/>
    <w:rsid w:val="005758C7"/>
    <w:rsid w:val="00575993"/>
    <w:rsid w:val="0057599A"/>
    <w:rsid w:val="005759F1"/>
    <w:rsid w:val="005759F5"/>
    <w:rsid w:val="00575A2C"/>
    <w:rsid w:val="00575A65"/>
    <w:rsid w:val="00575A90"/>
    <w:rsid w:val="00575ACE"/>
    <w:rsid w:val="00575AE3"/>
    <w:rsid w:val="00575AFE"/>
    <w:rsid w:val="00575BA8"/>
    <w:rsid w:val="00575BF8"/>
    <w:rsid w:val="00575C1E"/>
    <w:rsid w:val="00575C57"/>
    <w:rsid w:val="00575C5F"/>
    <w:rsid w:val="00575CBE"/>
    <w:rsid w:val="00575D05"/>
    <w:rsid w:val="00575D67"/>
    <w:rsid w:val="00575E34"/>
    <w:rsid w:val="00575E5E"/>
    <w:rsid w:val="00575E75"/>
    <w:rsid w:val="00575ED1"/>
    <w:rsid w:val="00575EF0"/>
    <w:rsid w:val="00575F4E"/>
    <w:rsid w:val="00575F74"/>
    <w:rsid w:val="00576004"/>
    <w:rsid w:val="00576015"/>
    <w:rsid w:val="0057610A"/>
    <w:rsid w:val="0057616F"/>
    <w:rsid w:val="00576183"/>
    <w:rsid w:val="005761BD"/>
    <w:rsid w:val="00576263"/>
    <w:rsid w:val="0057629B"/>
    <w:rsid w:val="005762ED"/>
    <w:rsid w:val="005762F8"/>
    <w:rsid w:val="00576332"/>
    <w:rsid w:val="00576377"/>
    <w:rsid w:val="005763BA"/>
    <w:rsid w:val="0057642B"/>
    <w:rsid w:val="005764BA"/>
    <w:rsid w:val="005764DB"/>
    <w:rsid w:val="0057657C"/>
    <w:rsid w:val="005765B8"/>
    <w:rsid w:val="005765FF"/>
    <w:rsid w:val="0057661D"/>
    <w:rsid w:val="00576667"/>
    <w:rsid w:val="00576675"/>
    <w:rsid w:val="00576719"/>
    <w:rsid w:val="00576732"/>
    <w:rsid w:val="0057678D"/>
    <w:rsid w:val="00576793"/>
    <w:rsid w:val="00576798"/>
    <w:rsid w:val="005767A6"/>
    <w:rsid w:val="005767B2"/>
    <w:rsid w:val="005767DB"/>
    <w:rsid w:val="005767E2"/>
    <w:rsid w:val="00576817"/>
    <w:rsid w:val="0057692F"/>
    <w:rsid w:val="00576943"/>
    <w:rsid w:val="00576974"/>
    <w:rsid w:val="00576979"/>
    <w:rsid w:val="00576985"/>
    <w:rsid w:val="00576A68"/>
    <w:rsid w:val="00576A8B"/>
    <w:rsid w:val="00576ABE"/>
    <w:rsid w:val="00576AFA"/>
    <w:rsid w:val="00576B0C"/>
    <w:rsid w:val="00576B21"/>
    <w:rsid w:val="00576B4B"/>
    <w:rsid w:val="00576BFC"/>
    <w:rsid w:val="00576CA5"/>
    <w:rsid w:val="00576CA7"/>
    <w:rsid w:val="00576CF5"/>
    <w:rsid w:val="00576DAE"/>
    <w:rsid w:val="00576DB2"/>
    <w:rsid w:val="00576E24"/>
    <w:rsid w:val="00576E34"/>
    <w:rsid w:val="00576E53"/>
    <w:rsid w:val="00576EE3"/>
    <w:rsid w:val="00576EE6"/>
    <w:rsid w:val="00576F16"/>
    <w:rsid w:val="00576F45"/>
    <w:rsid w:val="00577018"/>
    <w:rsid w:val="00577130"/>
    <w:rsid w:val="0057717A"/>
    <w:rsid w:val="005771B2"/>
    <w:rsid w:val="00577218"/>
    <w:rsid w:val="0057721D"/>
    <w:rsid w:val="005772A2"/>
    <w:rsid w:val="00577307"/>
    <w:rsid w:val="0057732B"/>
    <w:rsid w:val="00577352"/>
    <w:rsid w:val="005773D3"/>
    <w:rsid w:val="005773DC"/>
    <w:rsid w:val="005773FF"/>
    <w:rsid w:val="0057740C"/>
    <w:rsid w:val="00577422"/>
    <w:rsid w:val="005774ED"/>
    <w:rsid w:val="00577590"/>
    <w:rsid w:val="00577672"/>
    <w:rsid w:val="005776B2"/>
    <w:rsid w:val="005776C2"/>
    <w:rsid w:val="00577702"/>
    <w:rsid w:val="0057774F"/>
    <w:rsid w:val="0057779B"/>
    <w:rsid w:val="00577860"/>
    <w:rsid w:val="00577877"/>
    <w:rsid w:val="00577893"/>
    <w:rsid w:val="005778C0"/>
    <w:rsid w:val="005778C9"/>
    <w:rsid w:val="005778E7"/>
    <w:rsid w:val="005778ED"/>
    <w:rsid w:val="005778F1"/>
    <w:rsid w:val="00577935"/>
    <w:rsid w:val="00577971"/>
    <w:rsid w:val="0057797F"/>
    <w:rsid w:val="0057798D"/>
    <w:rsid w:val="005779A0"/>
    <w:rsid w:val="005779E7"/>
    <w:rsid w:val="005779F1"/>
    <w:rsid w:val="00577A4E"/>
    <w:rsid w:val="00577A5C"/>
    <w:rsid w:val="00577AE7"/>
    <w:rsid w:val="00577B21"/>
    <w:rsid w:val="00577B79"/>
    <w:rsid w:val="00577B84"/>
    <w:rsid w:val="00577BDE"/>
    <w:rsid w:val="00577C3C"/>
    <w:rsid w:val="00577C7D"/>
    <w:rsid w:val="00577C86"/>
    <w:rsid w:val="00577CBE"/>
    <w:rsid w:val="00577CC1"/>
    <w:rsid w:val="00577D0B"/>
    <w:rsid w:val="00577D46"/>
    <w:rsid w:val="00577D52"/>
    <w:rsid w:val="00577D79"/>
    <w:rsid w:val="00577DA6"/>
    <w:rsid w:val="00577DAE"/>
    <w:rsid w:val="00577E36"/>
    <w:rsid w:val="00577E3D"/>
    <w:rsid w:val="00577E8F"/>
    <w:rsid w:val="00577E94"/>
    <w:rsid w:val="00577EB9"/>
    <w:rsid w:val="00577EF2"/>
    <w:rsid w:val="00577F6C"/>
    <w:rsid w:val="0058007F"/>
    <w:rsid w:val="005800CF"/>
    <w:rsid w:val="00580137"/>
    <w:rsid w:val="0058014E"/>
    <w:rsid w:val="00580188"/>
    <w:rsid w:val="00580190"/>
    <w:rsid w:val="005801D0"/>
    <w:rsid w:val="00580266"/>
    <w:rsid w:val="0058028A"/>
    <w:rsid w:val="005802D2"/>
    <w:rsid w:val="00580330"/>
    <w:rsid w:val="0058037C"/>
    <w:rsid w:val="0058047D"/>
    <w:rsid w:val="0058047E"/>
    <w:rsid w:val="00580485"/>
    <w:rsid w:val="005804FA"/>
    <w:rsid w:val="00580526"/>
    <w:rsid w:val="0058054F"/>
    <w:rsid w:val="0058056A"/>
    <w:rsid w:val="00580575"/>
    <w:rsid w:val="005805C5"/>
    <w:rsid w:val="005805DB"/>
    <w:rsid w:val="005805FF"/>
    <w:rsid w:val="00580641"/>
    <w:rsid w:val="00580688"/>
    <w:rsid w:val="005806AF"/>
    <w:rsid w:val="005806B3"/>
    <w:rsid w:val="005806E3"/>
    <w:rsid w:val="0058072E"/>
    <w:rsid w:val="00580784"/>
    <w:rsid w:val="005807A3"/>
    <w:rsid w:val="00580809"/>
    <w:rsid w:val="0058080E"/>
    <w:rsid w:val="00580880"/>
    <w:rsid w:val="0058089E"/>
    <w:rsid w:val="00580902"/>
    <w:rsid w:val="00580969"/>
    <w:rsid w:val="005809A7"/>
    <w:rsid w:val="005809B1"/>
    <w:rsid w:val="005809BB"/>
    <w:rsid w:val="00580A55"/>
    <w:rsid w:val="00580A60"/>
    <w:rsid w:val="00580B0D"/>
    <w:rsid w:val="00580B1F"/>
    <w:rsid w:val="00580B41"/>
    <w:rsid w:val="00580BAC"/>
    <w:rsid w:val="00580CE1"/>
    <w:rsid w:val="00580D29"/>
    <w:rsid w:val="00580D9F"/>
    <w:rsid w:val="00580DA2"/>
    <w:rsid w:val="00580DC9"/>
    <w:rsid w:val="00580E17"/>
    <w:rsid w:val="00580E27"/>
    <w:rsid w:val="00580E30"/>
    <w:rsid w:val="00580E37"/>
    <w:rsid w:val="00580EC0"/>
    <w:rsid w:val="00580F00"/>
    <w:rsid w:val="00580F8E"/>
    <w:rsid w:val="00580FF0"/>
    <w:rsid w:val="0058104B"/>
    <w:rsid w:val="00581050"/>
    <w:rsid w:val="0058107D"/>
    <w:rsid w:val="0058108A"/>
    <w:rsid w:val="0058108F"/>
    <w:rsid w:val="005810D7"/>
    <w:rsid w:val="00581105"/>
    <w:rsid w:val="0058113C"/>
    <w:rsid w:val="0058114C"/>
    <w:rsid w:val="0058114D"/>
    <w:rsid w:val="005812C0"/>
    <w:rsid w:val="005812C5"/>
    <w:rsid w:val="005812EF"/>
    <w:rsid w:val="005812FC"/>
    <w:rsid w:val="0058134D"/>
    <w:rsid w:val="0058135F"/>
    <w:rsid w:val="00581450"/>
    <w:rsid w:val="005814DF"/>
    <w:rsid w:val="005814F1"/>
    <w:rsid w:val="0058156F"/>
    <w:rsid w:val="00581687"/>
    <w:rsid w:val="0058168C"/>
    <w:rsid w:val="005816DD"/>
    <w:rsid w:val="005817A0"/>
    <w:rsid w:val="005817CD"/>
    <w:rsid w:val="0058182D"/>
    <w:rsid w:val="00581861"/>
    <w:rsid w:val="00581928"/>
    <w:rsid w:val="00581931"/>
    <w:rsid w:val="00581994"/>
    <w:rsid w:val="005819DF"/>
    <w:rsid w:val="00581A2A"/>
    <w:rsid w:val="00581A48"/>
    <w:rsid w:val="00581A8F"/>
    <w:rsid w:val="00581AB3"/>
    <w:rsid w:val="00581AE1"/>
    <w:rsid w:val="00581B55"/>
    <w:rsid w:val="00581BD1"/>
    <w:rsid w:val="00581C83"/>
    <w:rsid w:val="00581CCE"/>
    <w:rsid w:val="00581D69"/>
    <w:rsid w:val="00581D86"/>
    <w:rsid w:val="00581DAA"/>
    <w:rsid w:val="00581DAB"/>
    <w:rsid w:val="00581DD9"/>
    <w:rsid w:val="00581E00"/>
    <w:rsid w:val="00581E2D"/>
    <w:rsid w:val="00581EA9"/>
    <w:rsid w:val="00581F06"/>
    <w:rsid w:val="00581FCF"/>
    <w:rsid w:val="00581FD4"/>
    <w:rsid w:val="00581FE6"/>
    <w:rsid w:val="00582065"/>
    <w:rsid w:val="0058211C"/>
    <w:rsid w:val="0058213F"/>
    <w:rsid w:val="00582171"/>
    <w:rsid w:val="00582172"/>
    <w:rsid w:val="005823B2"/>
    <w:rsid w:val="005823FC"/>
    <w:rsid w:val="00582489"/>
    <w:rsid w:val="00582492"/>
    <w:rsid w:val="005824AD"/>
    <w:rsid w:val="005824D7"/>
    <w:rsid w:val="005825AB"/>
    <w:rsid w:val="005825D8"/>
    <w:rsid w:val="0058260A"/>
    <w:rsid w:val="00582655"/>
    <w:rsid w:val="00582663"/>
    <w:rsid w:val="00582687"/>
    <w:rsid w:val="005826B8"/>
    <w:rsid w:val="005826DB"/>
    <w:rsid w:val="00582724"/>
    <w:rsid w:val="0058272F"/>
    <w:rsid w:val="00582765"/>
    <w:rsid w:val="00582781"/>
    <w:rsid w:val="00582783"/>
    <w:rsid w:val="005827E6"/>
    <w:rsid w:val="005827FE"/>
    <w:rsid w:val="00582822"/>
    <w:rsid w:val="0058284A"/>
    <w:rsid w:val="00582930"/>
    <w:rsid w:val="00582971"/>
    <w:rsid w:val="005829AA"/>
    <w:rsid w:val="005829AC"/>
    <w:rsid w:val="005829BB"/>
    <w:rsid w:val="00582A29"/>
    <w:rsid w:val="00582A5F"/>
    <w:rsid w:val="00582B25"/>
    <w:rsid w:val="00582B6B"/>
    <w:rsid w:val="00582BC0"/>
    <w:rsid w:val="00582CC0"/>
    <w:rsid w:val="00582E11"/>
    <w:rsid w:val="00582E9D"/>
    <w:rsid w:val="00582ECE"/>
    <w:rsid w:val="00582EFC"/>
    <w:rsid w:val="00582F89"/>
    <w:rsid w:val="00582FB6"/>
    <w:rsid w:val="00582FB8"/>
    <w:rsid w:val="00582FD7"/>
    <w:rsid w:val="0058305C"/>
    <w:rsid w:val="005830D1"/>
    <w:rsid w:val="00583179"/>
    <w:rsid w:val="005831A4"/>
    <w:rsid w:val="00583203"/>
    <w:rsid w:val="00583204"/>
    <w:rsid w:val="0058320D"/>
    <w:rsid w:val="0058324A"/>
    <w:rsid w:val="00583262"/>
    <w:rsid w:val="00583265"/>
    <w:rsid w:val="005832A6"/>
    <w:rsid w:val="00583307"/>
    <w:rsid w:val="0058330E"/>
    <w:rsid w:val="00583325"/>
    <w:rsid w:val="0058334F"/>
    <w:rsid w:val="005833F6"/>
    <w:rsid w:val="00583424"/>
    <w:rsid w:val="00583467"/>
    <w:rsid w:val="005834A7"/>
    <w:rsid w:val="005834AF"/>
    <w:rsid w:val="005834FA"/>
    <w:rsid w:val="00583518"/>
    <w:rsid w:val="00583521"/>
    <w:rsid w:val="0058352D"/>
    <w:rsid w:val="00583532"/>
    <w:rsid w:val="00583580"/>
    <w:rsid w:val="005835B1"/>
    <w:rsid w:val="005835B9"/>
    <w:rsid w:val="005835FB"/>
    <w:rsid w:val="00583605"/>
    <w:rsid w:val="005836ED"/>
    <w:rsid w:val="0058373C"/>
    <w:rsid w:val="00583751"/>
    <w:rsid w:val="005837CB"/>
    <w:rsid w:val="0058389E"/>
    <w:rsid w:val="005838C1"/>
    <w:rsid w:val="005838C7"/>
    <w:rsid w:val="005839E5"/>
    <w:rsid w:val="005839E9"/>
    <w:rsid w:val="00583A32"/>
    <w:rsid w:val="00583A41"/>
    <w:rsid w:val="00583AA2"/>
    <w:rsid w:val="00583AA8"/>
    <w:rsid w:val="00583AB6"/>
    <w:rsid w:val="00583ABC"/>
    <w:rsid w:val="00583AD7"/>
    <w:rsid w:val="00583B71"/>
    <w:rsid w:val="00583BE7"/>
    <w:rsid w:val="00583C31"/>
    <w:rsid w:val="00583C73"/>
    <w:rsid w:val="00583D0A"/>
    <w:rsid w:val="00583D2E"/>
    <w:rsid w:val="00583D9D"/>
    <w:rsid w:val="00583DD2"/>
    <w:rsid w:val="00583DFE"/>
    <w:rsid w:val="00583E11"/>
    <w:rsid w:val="00583E29"/>
    <w:rsid w:val="00583E6F"/>
    <w:rsid w:val="00583E70"/>
    <w:rsid w:val="00583E88"/>
    <w:rsid w:val="00583F5B"/>
    <w:rsid w:val="00583F95"/>
    <w:rsid w:val="005840C2"/>
    <w:rsid w:val="005840C9"/>
    <w:rsid w:val="005840E6"/>
    <w:rsid w:val="00584188"/>
    <w:rsid w:val="005841B8"/>
    <w:rsid w:val="005841BB"/>
    <w:rsid w:val="005841FB"/>
    <w:rsid w:val="00584255"/>
    <w:rsid w:val="00584267"/>
    <w:rsid w:val="005842CC"/>
    <w:rsid w:val="005842EE"/>
    <w:rsid w:val="00584387"/>
    <w:rsid w:val="0058438D"/>
    <w:rsid w:val="005843B9"/>
    <w:rsid w:val="005843E2"/>
    <w:rsid w:val="005843EF"/>
    <w:rsid w:val="005843F7"/>
    <w:rsid w:val="0058442A"/>
    <w:rsid w:val="00584487"/>
    <w:rsid w:val="005844F9"/>
    <w:rsid w:val="00584505"/>
    <w:rsid w:val="0058450C"/>
    <w:rsid w:val="0058455A"/>
    <w:rsid w:val="005845E3"/>
    <w:rsid w:val="00584616"/>
    <w:rsid w:val="00584689"/>
    <w:rsid w:val="00584709"/>
    <w:rsid w:val="00584729"/>
    <w:rsid w:val="005847AA"/>
    <w:rsid w:val="005847E7"/>
    <w:rsid w:val="0058480E"/>
    <w:rsid w:val="0058482B"/>
    <w:rsid w:val="00584885"/>
    <w:rsid w:val="00584908"/>
    <w:rsid w:val="0058495D"/>
    <w:rsid w:val="00584981"/>
    <w:rsid w:val="005849B0"/>
    <w:rsid w:val="005849C8"/>
    <w:rsid w:val="00584ABA"/>
    <w:rsid w:val="00584AFF"/>
    <w:rsid w:val="00584B2B"/>
    <w:rsid w:val="00584B69"/>
    <w:rsid w:val="00584B71"/>
    <w:rsid w:val="00584B8B"/>
    <w:rsid w:val="00584BD4"/>
    <w:rsid w:val="00584BEC"/>
    <w:rsid w:val="00584C10"/>
    <w:rsid w:val="00584CC7"/>
    <w:rsid w:val="00584CD5"/>
    <w:rsid w:val="00584CDC"/>
    <w:rsid w:val="00584CF8"/>
    <w:rsid w:val="00584DAC"/>
    <w:rsid w:val="00584DE2"/>
    <w:rsid w:val="00584E35"/>
    <w:rsid w:val="00584E43"/>
    <w:rsid w:val="00584E74"/>
    <w:rsid w:val="00584E78"/>
    <w:rsid w:val="00584F3D"/>
    <w:rsid w:val="00584F4F"/>
    <w:rsid w:val="00584F8B"/>
    <w:rsid w:val="00584FF1"/>
    <w:rsid w:val="00584FF2"/>
    <w:rsid w:val="00585077"/>
    <w:rsid w:val="005850D5"/>
    <w:rsid w:val="005850E7"/>
    <w:rsid w:val="00585121"/>
    <w:rsid w:val="005851B2"/>
    <w:rsid w:val="005851BD"/>
    <w:rsid w:val="00585200"/>
    <w:rsid w:val="00585208"/>
    <w:rsid w:val="0058524F"/>
    <w:rsid w:val="0058525E"/>
    <w:rsid w:val="00585272"/>
    <w:rsid w:val="00585297"/>
    <w:rsid w:val="005852D4"/>
    <w:rsid w:val="00585313"/>
    <w:rsid w:val="00585314"/>
    <w:rsid w:val="00585320"/>
    <w:rsid w:val="0058537F"/>
    <w:rsid w:val="0058541D"/>
    <w:rsid w:val="00585432"/>
    <w:rsid w:val="00585450"/>
    <w:rsid w:val="005854C7"/>
    <w:rsid w:val="005854DC"/>
    <w:rsid w:val="005854F3"/>
    <w:rsid w:val="00585549"/>
    <w:rsid w:val="00585556"/>
    <w:rsid w:val="0058555F"/>
    <w:rsid w:val="0058556C"/>
    <w:rsid w:val="00585601"/>
    <w:rsid w:val="00585609"/>
    <w:rsid w:val="0058563B"/>
    <w:rsid w:val="0058569D"/>
    <w:rsid w:val="005856BF"/>
    <w:rsid w:val="005856F0"/>
    <w:rsid w:val="00585747"/>
    <w:rsid w:val="0058578A"/>
    <w:rsid w:val="00585832"/>
    <w:rsid w:val="00585882"/>
    <w:rsid w:val="00585910"/>
    <w:rsid w:val="0058593A"/>
    <w:rsid w:val="0058599F"/>
    <w:rsid w:val="005859C8"/>
    <w:rsid w:val="00585A2A"/>
    <w:rsid w:val="00585A48"/>
    <w:rsid w:val="00585A5C"/>
    <w:rsid w:val="00585ADD"/>
    <w:rsid w:val="00585B07"/>
    <w:rsid w:val="00585B48"/>
    <w:rsid w:val="00585B60"/>
    <w:rsid w:val="00585B7F"/>
    <w:rsid w:val="00585B92"/>
    <w:rsid w:val="00585C20"/>
    <w:rsid w:val="00585CC7"/>
    <w:rsid w:val="00585CE7"/>
    <w:rsid w:val="00585D07"/>
    <w:rsid w:val="00585DA3"/>
    <w:rsid w:val="00585DB3"/>
    <w:rsid w:val="00585DDF"/>
    <w:rsid w:val="00585E01"/>
    <w:rsid w:val="00585E76"/>
    <w:rsid w:val="00585EA9"/>
    <w:rsid w:val="00585ECC"/>
    <w:rsid w:val="00585F1C"/>
    <w:rsid w:val="00585F89"/>
    <w:rsid w:val="00585F97"/>
    <w:rsid w:val="00585FA1"/>
    <w:rsid w:val="00586039"/>
    <w:rsid w:val="00586061"/>
    <w:rsid w:val="005860C9"/>
    <w:rsid w:val="005860D7"/>
    <w:rsid w:val="005860F3"/>
    <w:rsid w:val="00586127"/>
    <w:rsid w:val="00586151"/>
    <w:rsid w:val="005861F0"/>
    <w:rsid w:val="0058621E"/>
    <w:rsid w:val="005862BB"/>
    <w:rsid w:val="005862BE"/>
    <w:rsid w:val="005862D1"/>
    <w:rsid w:val="005862EE"/>
    <w:rsid w:val="0058639F"/>
    <w:rsid w:val="005863CF"/>
    <w:rsid w:val="005864DC"/>
    <w:rsid w:val="00586505"/>
    <w:rsid w:val="00586549"/>
    <w:rsid w:val="0058655C"/>
    <w:rsid w:val="0058659D"/>
    <w:rsid w:val="00586605"/>
    <w:rsid w:val="00586608"/>
    <w:rsid w:val="00586660"/>
    <w:rsid w:val="005866DE"/>
    <w:rsid w:val="00586738"/>
    <w:rsid w:val="0058674B"/>
    <w:rsid w:val="00586883"/>
    <w:rsid w:val="00586885"/>
    <w:rsid w:val="00586898"/>
    <w:rsid w:val="005868DE"/>
    <w:rsid w:val="00586942"/>
    <w:rsid w:val="005869E1"/>
    <w:rsid w:val="005869EF"/>
    <w:rsid w:val="00586A7C"/>
    <w:rsid w:val="00586A9E"/>
    <w:rsid w:val="00586AA5"/>
    <w:rsid w:val="00586B1E"/>
    <w:rsid w:val="00586B52"/>
    <w:rsid w:val="00586BBB"/>
    <w:rsid w:val="00586C0A"/>
    <w:rsid w:val="00586C59"/>
    <w:rsid w:val="00586CAB"/>
    <w:rsid w:val="00586D41"/>
    <w:rsid w:val="00586D4E"/>
    <w:rsid w:val="00586D69"/>
    <w:rsid w:val="00586D8C"/>
    <w:rsid w:val="00586E0E"/>
    <w:rsid w:val="00586F51"/>
    <w:rsid w:val="00586F81"/>
    <w:rsid w:val="00586FBC"/>
    <w:rsid w:val="0058700C"/>
    <w:rsid w:val="00587037"/>
    <w:rsid w:val="00587056"/>
    <w:rsid w:val="00587134"/>
    <w:rsid w:val="00587157"/>
    <w:rsid w:val="005871A1"/>
    <w:rsid w:val="005871DA"/>
    <w:rsid w:val="00587207"/>
    <w:rsid w:val="00587235"/>
    <w:rsid w:val="00587257"/>
    <w:rsid w:val="0058726B"/>
    <w:rsid w:val="005872C4"/>
    <w:rsid w:val="00587325"/>
    <w:rsid w:val="00587341"/>
    <w:rsid w:val="005873C1"/>
    <w:rsid w:val="005873FF"/>
    <w:rsid w:val="00587474"/>
    <w:rsid w:val="005874B6"/>
    <w:rsid w:val="00587517"/>
    <w:rsid w:val="0058752C"/>
    <w:rsid w:val="00587599"/>
    <w:rsid w:val="0058760E"/>
    <w:rsid w:val="00587652"/>
    <w:rsid w:val="00587675"/>
    <w:rsid w:val="00587740"/>
    <w:rsid w:val="00587799"/>
    <w:rsid w:val="005877AC"/>
    <w:rsid w:val="005877C6"/>
    <w:rsid w:val="005877D4"/>
    <w:rsid w:val="005877D9"/>
    <w:rsid w:val="005877F2"/>
    <w:rsid w:val="005877F3"/>
    <w:rsid w:val="00587966"/>
    <w:rsid w:val="00587A3C"/>
    <w:rsid w:val="00587A78"/>
    <w:rsid w:val="00587ACB"/>
    <w:rsid w:val="00587B09"/>
    <w:rsid w:val="00587B3F"/>
    <w:rsid w:val="00587B50"/>
    <w:rsid w:val="00587B8E"/>
    <w:rsid w:val="00587B94"/>
    <w:rsid w:val="00587BD2"/>
    <w:rsid w:val="00587C9A"/>
    <w:rsid w:val="00587CF5"/>
    <w:rsid w:val="00587CFA"/>
    <w:rsid w:val="00587D17"/>
    <w:rsid w:val="00587D19"/>
    <w:rsid w:val="00587D4B"/>
    <w:rsid w:val="00587D6D"/>
    <w:rsid w:val="00587DBC"/>
    <w:rsid w:val="00587E62"/>
    <w:rsid w:val="00587EA1"/>
    <w:rsid w:val="00587EA3"/>
    <w:rsid w:val="00587ECF"/>
    <w:rsid w:val="00587F2E"/>
    <w:rsid w:val="00587F45"/>
    <w:rsid w:val="00587F5A"/>
    <w:rsid w:val="00587FAB"/>
    <w:rsid w:val="00587FB4"/>
    <w:rsid w:val="00587FBF"/>
    <w:rsid w:val="00587FD8"/>
    <w:rsid w:val="00587FDA"/>
    <w:rsid w:val="00587FE8"/>
    <w:rsid w:val="0059005C"/>
    <w:rsid w:val="00590151"/>
    <w:rsid w:val="00590199"/>
    <w:rsid w:val="005901BF"/>
    <w:rsid w:val="0059020B"/>
    <w:rsid w:val="005902F0"/>
    <w:rsid w:val="0059031C"/>
    <w:rsid w:val="0059036A"/>
    <w:rsid w:val="00590490"/>
    <w:rsid w:val="005904AC"/>
    <w:rsid w:val="0059051E"/>
    <w:rsid w:val="00590529"/>
    <w:rsid w:val="00590565"/>
    <w:rsid w:val="00590571"/>
    <w:rsid w:val="00590578"/>
    <w:rsid w:val="0059060E"/>
    <w:rsid w:val="0059062B"/>
    <w:rsid w:val="0059068F"/>
    <w:rsid w:val="005906CE"/>
    <w:rsid w:val="005907AC"/>
    <w:rsid w:val="005907FE"/>
    <w:rsid w:val="00590826"/>
    <w:rsid w:val="00590874"/>
    <w:rsid w:val="00590893"/>
    <w:rsid w:val="00590903"/>
    <w:rsid w:val="0059093A"/>
    <w:rsid w:val="00590945"/>
    <w:rsid w:val="00590950"/>
    <w:rsid w:val="00590965"/>
    <w:rsid w:val="00590971"/>
    <w:rsid w:val="005909CF"/>
    <w:rsid w:val="005909DF"/>
    <w:rsid w:val="00590A3F"/>
    <w:rsid w:val="00590A4B"/>
    <w:rsid w:val="00590A89"/>
    <w:rsid w:val="00590B09"/>
    <w:rsid w:val="00590B0C"/>
    <w:rsid w:val="00590B40"/>
    <w:rsid w:val="00590BE5"/>
    <w:rsid w:val="00590BE8"/>
    <w:rsid w:val="00590C3F"/>
    <w:rsid w:val="00590DA7"/>
    <w:rsid w:val="00590E8C"/>
    <w:rsid w:val="00590EDA"/>
    <w:rsid w:val="00590F6F"/>
    <w:rsid w:val="00591018"/>
    <w:rsid w:val="0059102A"/>
    <w:rsid w:val="00591094"/>
    <w:rsid w:val="005910F9"/>
    <w:rsid w:val="005910FA"/>
    <w:rsid w:val="00591158"/>
    <w:rsid w:val="00591162"/>
    <w:rsid w:val="0059117C"/>
    <w:rsid w:val="00591206"/>
    <w:rsid w:val="00591253"/>
    <w:rsid w:val="005912F7"/>
    <w:rsid w:val="0059130D"/>
    <w:rsid w:val="0059132E"/>
    <w:rsid w:val="00591376"/>
    <w:rsid w:val="005913D2"/>
    <w:rsid w:val="00591406"/>
    <w:rsid w:val="00591477"/>
    <w:rsid w:val="0059147B"/>
    <w:rsid w:val="005914AB"/>
    <w:rsid w:val="00591514"/>
    <w:rsid w:val="00591535"/>
    <w:rsid w:val="0059157C"/>
    <w:rsid w:val="0059159C"/>
    <w:rsid w:val="005915AB"/>
    <w:rsid w:val="00591638"/>
    <w:rsid w:val="0059167E"/>
    <w:rsid w:val="0059187B"/>
    <w:rsid w:val="00591895"/>
    <w:rsid w:val="005918BF"/>
    <w:rsid w:val="005918E9"/>
    <w:rsid w:val="005918EE"/>
    <w:rsid w:val="005918F7"/>
    <w:rsid w:val="005918FF"/>
    <w:rsid w:val="0059191E"/>
    <w:rsid w:val="00591953"/>
    <w:rsid w:val="00591954"/>
    <w:rsid w:val="00591973"/>
    <w:rsid w:val="005919B4"/>
    <w:rsid w:val="005919B8"/>
    <w:rsid w:val="00591A0D"/>
    <w:rsid w:val="00591A9E"/>
    <w:rsid w:val="00591A9F"/>
    <w:rsid w:val="00591B66"/>
    <w:rsid w:val="00591B7B"/>
    <w:rsid w:val="00591B89"/>
    <w:rsid w:val="00591BDF"/>
    <w:rsid w:val="00591C67"/>
    <w:rsid w:val="00591C80"/>
    <w:rsid w:val="00591CC8"/>
    <w:rsid w:val="00591CCD"/>
    <w:rsid w:val="00591CE7"/>
    <w:rsid w:val="00591EAF"/>
    <w:rsid w:val="00591F14"/>
    <w:rsid w:val="00591F2C"/>
    <w:rsid w:val="00591FC7"/>
    <w:rsid w:val="0059204E"/>
    <w:rsid w:val="0059207A"/>
    <w:rsid w:val="0059215E"/>
    <w:rsid w:val="00592163"/>
    <w:rsid w:val="005921D6"/>
    <w:rsid w:val="00592207"/>
    <w:rsid w:val="0059220F"/>
    <w:rsid w:val="00592211"/>
    <w:rsid w:val="00592227"/>
    <w:rsid w:val="005922CF"/>
    <w:rsid w:val="0059231D"/>
    <w:rsid w:val="00592329"/>
    <w:rsid w:val="0059234D"/>
    <w:rsid w:val="00592375"/>
    <w:rsid w:val="005923A4"/>
    <w:rsid w:val="005923C5"/>
    <w:rsid w:val="005923D9"/>
    <w:rsid w:val="005923DD"/>
    <w:rsid w:val="0059249D"/>
    <w:rsid w:val="005924F5"/>
    <w:rsid w:val="005924F7"/>
    <w:rsid w:val="005924F8"/>
    <w:rsid w:val="0059251E"/>
    <w:rsid w:val="00592538"/>
    <w:rsid w:val="0059255B"/>
    <w:rsid w:val="005925C1"/>
    <w:rsid w:val="00592635"/>
    <w:rsid w:val="0059267E"/>
    <w:rsid w:val="0059267F"/>
    <w:rsid w:val="00592697"/>
    <w:rsid w:val="005926B2"/>
    <w:rsid w:val="00592773"/>
    <w:rsid w:val="005927A6"/>
    <w:rsid w:val="005927E1"/>
    <w:rsid w:val="005928D8"/>
    <w:rsid w:val="005928F0"/>
    <w:rsid w:val="005928FC"/>
    <w:rsid w:val="0059291C"/>
    <w:rsid w:val="0059297C"/>
    <w:rsid w:val="005929EF"/>
    <w:rsid w:val="00592A3F"/>
    <w:rsid w:val="00592A4A"/>
    <w:rsid w:val="00592A59"/>
    <w:rsid w:val="00592A79"/>
    <w:rsid w:val="00592A96"/>
    <w:rsid w:val="00592B19"/>
    <w:rsid w:val="00592B2F"/>
    <w:rsid w:val="00592B47"/>
    <w:rsid w:val="00592B6B"/>
    <w:rsid w:val="00592BB4"/>
    <w:rsid w:val="00592BFC"/>
    <w:rsid w:val="00592C09"/>
    <w:rsid w:val="00592C41"/>
    <w:rsid w:val="00592C43"/>
    <w:rsid w:val="00592C9E"/>
    <w:rsid w:val="00592D64"/>
    <w:rsid w:val="00592DBF"/>
    <w:rsid w:val="00592DF8"/>
    <w:rsid w:val="00592EAE"/>
    <w:rsid w:val="00592ED8"/>
    <w:rsid w:val="00592F4A"/>
    <w:rsid w:val="0059304D"/>
    <w:rsid w:val="005930CD"/>
    <w:rsid w:val="0059310E"/>
    <w:rsid w:val="00593110"/>
    <w:rsid w:val="00593121"/>
    <w:rsid w:val="0059313C"/>
    <w:rsid w:val="005931EB"/>
    <w:rsid w:val="00593215"/>
    <w:rsid w:val="0059324B"/>
    <w:rsid w:val="00593271"/>
    <w:rsid w:val="00593283"/>
    <w:rsid w:val="005932B7"/>
    <w:rsid w:val="005932F2"/>
    <w:rsid w:val="0059330D"/>
    <w:rsid w:val="00593370"/>
    <w:rsid w:val="005933CE"/>
    <w:rsid w:val="005933DD"/>
    <w:rsid w:val="0059346A"/>
    <w:rsid w:val="005934BD"/>
    <w:rsid w:val="005934F0"/>
    <w:rsid w:val="005934F7"/>
    <w:rsid w:val="00593515"/>
    <w:rsid w:val="00593551"/>
    <w:rsid w:val="00593599"/>
    <w:rsid w:val="005935ED"/>
    <w:rsid w:val="00593670"/>
    <w:rsid w:val="0059378A"/>
    <w:rsid w:val="0059382D"/>
    <w:rsid w:val="00593847"/>
    <w:rsid w:val="00593860"/>
    <w:rsid w:val="005938CD"/>
    <w:rsid w:val="005938FB"/>
    <w:rsid w:val="00593A15"/>
    <w:rsid w:val="00593A87"/>
    <w:rsid w:val="00593AAA"/>
    <w:rsid w:val="00593AFF"/>
    <w:rsid w:val="00593B18"/>
    <w:rsid w:val="00593B1D"/>
    <w:rsid w:val="00593B5B"/>
    <w:rsid w:val="00593BD3"/>
    <w:rsid w:val="00593C17"/>
    <w:rsid w:val="00593C1C"/>
    <w:rsid w:val="00593C61"/>
    <w:rsid w:val="00593C72"/>
    <w:rsid w:val="00593CA3"/>
    <w:rsid w:val="00593CBC"/>
    <w:rsid w:val="00593CDB"/>
    <w:rsid w:val="00593CF3"/>
    <w:rsid w:val="00593CFD"/>
    <w:rsid w:val="00593D10"/>
    <w:rsid w:val="00593D18"/>
    <w:rsid w:val="00593D24"/>
    <w:rsid w:val="00593D32"/>
    <w:rsid w:val="00593D3D"/>
    <w:rsid w:val="00593E00"/>
    <w:rsid w:val="00593E66"/>
    <w:rsid w:val="00593E6D"/>
    <w:rsid w:val="00593EAB"/>
    <w:rsid w:val="00593F33"/>
    <w:rsid w:val="00593FDB"/>
    <w:rsid w:val="00594029"/>
    <w:rsid w:val="0059411D"/>
    <w:rsid w:val="0059416A"/>
    <w:rsid w:val="0059419A"/>
    <w:rsid w:val="005941A6"/>
    <w:rsid w:val="005941D5"/>
    <w:rsid w:val="005941D9"/>
    <w:rsid w:val="005941F6"/>
    <w:rsid w:val="0059422A"/>
    <w:rsid w:val="005942D5"/>
    <w:rsid w:val="00594300"/>
    <w:rsid w:val="00594383"/>
    <w:rsid w:val="00594427"/>
    <w:rsid w:val="005944E7"/>
    <w:rsid w:val="005944F6"/>
    <w:rsid w:val="00594501"/>
    <w:rsid w:val="00594516"/>
    <w:rsid w:val="00594568"/>
    <w:rsid w:val="0059457E"/>
    <w:rsid w:val="005946EC"/>
    <w:rsid w:val="005947F1"/>
    <w:rsid w:val="0059480E"/>
    <w:rsid w:val="00594826"/>
    <w:rsid w:val="00594863"/>
    <w:rsid w:val="00594878"/>
    <w:rsid w:val="00594887"/>
    <w:rsid w:val="00594927"/>
    <w:rsid w:val="00594933"/>
    <w:rsid w:val="00594941"/>
    <w:rsid w:val="00594984"/>
    <w:rsid w:val="00594A50"/>
    <w:rsid w:val="00594AD9"/>
    <w:rsid w:val="00594AE0"/>
    <w:rsid w:val="00594BC4"/>
    <w:rsid w:val="00594CCE"/>
    <w:rsid w:val="00594CFC"/>
    <w:rsid w:val="00594D1D"/>
    <w:rsid w:val="00594D27"/>
    <w:rsid w:val="00594D9E"/>
    <w:rsid w:val="00594DC8"/>
    <w:rsid w:val="00594E2C"/>
    <w:rsid w:val="00594F06"/>
    <w:rsid w:val="00594F46"/>
    <w:rsid w:val="00594FA6"/>
    <w:rsid w:val="0059504C"/>
    <w:rsid w:val="00595069"/>
    <w:rsid w:val="0059509D"/>
    <w:rsid w:val="005950E5"/>
    <w:rsid w:val="005950EE"/>
    <w:rsid w:val="005950F1"/>
    <w:rsid w:val="00595108"/>
    <w:rsid w:val="00595146"/>
    <w:rsid w:val="005951B8"/>
    <w:rsid w:val="005951C3"/>
    <w:rsid w:val="005951F0"/>
    <w:rsid w:val="005951F7"/>
    <w:rsid w:val="00595204"/>
    <w:rsid w:val="00595207"/>
    <w:rsid w:val="0059522F"/>
    <w:rsid w:val="0059529F"/>
    <w:rsid w:val="0059535D"/>
    <w:rsid w:val="00595399"/>
    <w:rsid w:val="0059546E"/>
    <w:rsid w:val="00595481"/>
    <w:rsid w:val="0059553D"/>
    <w:rsid w:val="005955CC"/>
    <w:rsid w:val="00595661"/>
    <w:rsid w:val="005956BB"/>
    <w:rsid w:val="005956E5"/>
    <w:rsid w:val="005956EA"/>
    <w:rsid w:val="00595787"/>
    <w:rsid w:val="00595869"/>
    <w:rsid w:val="005958D9"/>
    <w:rsid w:val="0059596D"/>
    <w:rsid w:val="0059597C"/>
    <w:rsid w:val="00595993"/>
    <w:rsid w:val="005959A5"/>
    <w:rsid w:val="005959DB"/>
    <w:rsid w:val="005959E7"/>
    <w:rsid w:val="00595A04"/>
    <w:rsid w:val="00595A59"/>
    <w:rsid w:val="00595A66"/>
    <w:rsid w:val="00595A79"/>
    <w:rsid w:val="00595ADA"/>
    <w:rsid w:val="00595B18"/>
    <w:rsid w:val="00595B3C"/>
    <w:rsid w:val="00595BD1"/>
    <w:rsid w:val="00595BD5"/>
    <w:rsid w:val="00595C27"/>
    <w:rsid w:val="00595C35"/>
    <w:rsid w:val="00595C93"/>
    <w:rsid w:val="00595CB8"/>
    <w:rsid w:val="00595CD4"/>
    <w:rsid w:val="00595D45"/>
    <w:rsid w:val="00595D84"/>
    <w:rsid w:val="00595DA6"/>
    <w:rsid w:val="00595DEB"/>
    <w:rsid w:val="00595E69"/>
    <w:rsid w:val="00595E7E"/>
    <w:rsid w:val="00595F29"/>
    <w:rsid w:val="00595F48"/>
    <w:rsid w:val="00595F56"/>
    <w:rsid w:val="00595F9E"/>
    <w:rsid w:val="00595FA1"/>
    <w:rsid w:val="00595FAB"/>
    <w:rsid w:val="00595FAF"/>
    <w:rsid w:val="00595FFE"/>
    <w:rsid w:val="00596011"/>
    <w:rsid w:val="00596015"/>
    <w:rsid w:val="0059602A"/>
    <w:rsid w:val="00596032"/>
    <w:rsid w:val="00596047"/>
    <w:rsid w:val="00596089"/>
    <w:rsid w:val="005960C1"/>
    <w:rsid w:val="0059614D"/>
    <w:rsid w:val="0059616B"/>
    <w:rsid w:val="0059617E"/>
    <w:rsid w:val="00596188"/>
    <w:rsid w:val="005961D0"/>
    <w:rsid w:val="00596203"/>
    <w:rsid w:val="0059621B"/>
    <w:rsid w:val="0059622F"/>
    <w:rsid w:val="0059624C"/>
    <w:rsid w:val="005962A1"/>
    <w:rsid w:val="0059633D"/>
    <w:rsid w:val="00596364"/>
    <w:rsid w:val="005964A8"/>
    <w:rsid w:val="0059662D"/>
    <w:rsid w:val="0059663A"/>
    <w:rsid w:val="00596652"/>
    <w:rsid w:val="0059667B"/>
    <w:rsid w:val="00596693"/>
    <w:rsid w:val="005966B7"/>
    <w:rsid w:val="005966FC"/>
    <w:rsid w:val="00596724"/>
    <w:rsid w:val="00596752"/>
    <w:rsid w:val="00596780"/>
    <w:rsid w:val="005967C9"/>
    <w:rsid w:val="005967D4"/>
    <w:rsid w:val="0059688A"/>
    <w:rsid w:val="00596897"/>
    <w:rsid w:val="005968C2"/>
    <w:rsid w:val="005968CC"/>
    <w:rsid w:val="0059693E"/>
    <w:rsid w:val="00596953"/>
    <w:rsid w:val="005969A2"/>
    <w:rsid w:val="005969BD"/>
    <w:rsid w:val="005969DB"/>
    <w:rsid w:val="005969E8"/>
    <w:rsid w:val="00596A91"/>
    <w:rsid w:val="00596A9C"/>
    <w:rsid w:val="00596B5C"/>
    <w:rsid w:val="00596BA9"/>
    <w:rsid w:val="00596BC4"/>
    <w:rsid w:val="00596BC5"/>
    <w:rsid w:val="00596BD7"/>
    <w:rsid w:val="00596C13"/>
    <w:rsid w:val="00596CBA"/>
    <w:rsid w:val="00596CCD"/>
    <w:rsid w:val="00596D03"/>
    <w:rsid w:val="00596D12"/>
    <w:rsid w:val="00596D9B"/>
    <w:rsid w:val="00596DA2"/>
    <w:rsid w:val="00596E78"/>
    <w:rsid w:val="00596E96"/>
    <w:rsid w:val="00596EAB"/>
    <w:rsid w:val="00596EB1"/>
    <w:rsid w:val="00596EC7"/>
    <w:rsid w:val="00596ECB"/>
    <w:rsid w:val="00596EF2"/>
    <w:rsid w:val="00596FBD"/>
    <w:rsid w:val="0059701F"/>
    <w:rsid w:val="005970B7"/>
    <w:rsid w:val="005970D6"/>
    <w:rsid w:val="005970DA"/>
    <w:rsid w:val="0059716B"/>
    <w:rsid w:val="005971DE"/>
    <w:rsid w:val="00597200"/>
    <w:rsid w:val="005972CF"/>
    <w:rsid w:val="005972DD"/>
    <w:rsid w:val="005973C3"/>
    <w:rsid w:val="005973CC"/>
    <w:rsid w:val="00597440"/>
    <w:rsid w:val="00597442"/>
    <w:rsid w:val="00597484"/>
    <w:rsid w:val="005974DF"/>
    <w:rsid w:val="0059757E"/>
    <w:rsid w:val="00597619"/>
    <w:rsid w:val="00597630"/>
    <w:rsid w:val="00597643"/>
    <w:rsid w:val="00597670"/>
    <w:rsid w:val="005976AC"/>
    <w:rsid w:val="005976B8"/>
    <w:rsid w:val="0059777D"/>
    <w:rsid w:val="00597890"/>
    <w:rsid w:val="005978BF"/>
    <w:rsid w:val="005978CF"/>
    <w:rsid w:val="005978E1"/>
    <w:rsid w:val="0059796D"/>
    <w:rsid w:val="0059798D"/>
    <w:rsid w:val="005979A5"/>
    <w:rsid w:val="005979BA"/>
    <w:rsid w:val="005979BC"/>
    <w:rsid w:val="00597A8A"/>
    <w:rsid w:val="00597AE3"/>
    <w:rsid w:val="00597C3C"/>
    <w:rsid w:val="00597C3D"/>
    <w:rsid w:val="00597C46"/>
    <w:rsid w:val="00597C8C"/>
    <w:rsid w:val="00597D00"/>
    <w:rsid w:val="00597D2B"/>
    <w:rsid w:val="00597D5F"/>
    <w:rsid w:val="00597DC4"/>
    <w:rsid w:val="00597E45"/>
    <w:rsid w:val="00597F06"/>
    <w:rsid w:val="00597F36"/>
    <w:rsid w:val="00597FAA"/>
    <w:rsid w:val="00597FE0"/>
    <w:rsid w:val="005A00A6"/>
    <w:rsid w:val="005A00A7"/>
    <w:rsid w:val="005A0109"/>
    <w:rsid w:val="005A0114"/>
    <w:rsid w:val="005A01DD"/>
    <w:rsid w:val="005A0207"/>
    <w:rsid w:val="005A02DF"/>
    <w:rsid w:val="005A030A"/>
    <w:rsid w:val="005A0314"/>
    <w:rsid w:val="005A0366"/>
    <w:rsid w:val="005A03E4"/>
    <w:rsid w:val="005A03E7"/>
    <w:rsid w:val="005A0477"/>
    <w:rsid w:val="005A04B7"/>
    <w:rsid w:val="005A0512"/>
    <w:rsid w:val="005A0513"/>
    <w:rsid w:val="005A05BC"/>
    <w:rsid w:val="005A05D7"/>
    <w:rsid w:val="005A0630"/>
    <w:rsid w:val="005A0632"/>
    <w:rsid w:val="005A064F"/>
    <w:rsid w:val="005A0683"/>
    <w:rsid w:val="005A0721"/>
    <w:rsid w:val="005A0747"/>
    <w:rsid w:val="005A0770"/>
    <w:rsid w:val="005A07B6"/>
    <w:rsid w:val="005A07DA"/>
    <w:rsid w:val="005A08BB"/>
    <w:rsid w:val="005A09BF"/>
    <w:rsid w:val="005A09DB"/>
    <w:rsid w:val="005A0A09"/>
    <w:rsid w:val="005A0AAF"/>
    <w:rsid w:val="005A0B05"/>
    <w:rsid w:val="005A0B09"/>
    <w:rsid w:val="005A0B54"/>
    <w:rsid w:val="005A0BEE"/>
    <w:rsid w:val="005A0C09"/>
    <w:rsid w:val="005A0C8F"/>
    <w:rsid w:val="005A0C9A"/>
    <w:rsid w:val="005A0CD8"/>
    <w:rsid w:val="005A0D05"/>
    <w:rsid w:val="005A0D9C"/>
    <w:rsid w:val="005A0DBC"/>
    <w:rsid w:val="005A0DC1"/>
    <w:rsid w:val="005A0E67"/>
    <w:rsid w:val="005A0E6B"/>
    <w:rsid w:val="005A0E7D"/>
    <w:rsid w:val="005A1015"/>
    <w:rsid w:val="005A101F"/>
    <w:rsid w:val="005A106C"/>
    <w:rsid w:val="005A1079"/>
    <w:rsid w:val="005A10E1"/>
    <w:rsid w:val="005A1114"/>
    <w:rsid w:val="005A112B"/>
    <w:rsid w:val="005A1149"/>
    <w:rsid w:val="005A116E"/>
    <w:rsid w:val="005A1184"/>
    <w:rsid w:val="005A118E"/>
    <w:rsid w:val="005A11CB"/>
    <w:rsid w:val="005A129C"/>
    <w:rsid w:val="005A12D5"/>
    <w:rsid w:val="005A12FE"/>
    <w:rsid w:val="005A1309"/>
    <w:rsid w:val="005A131C"/>
    <w:rsid w:val="005A1363"/>
    <w:rsid w:val="005A1372"/>
    <w:rsid w:val="005A137A"/>
    <w:rsid w:val="005A13A1"/>
    <w:rsid w:val="005A13FC"/>
    <w:rsid w:val="005A146F"/>
    <w:rsid w:val="005A1479"/>
    <w:rsid w:val="005A1504"/>
    <w:rsid w:val="005A150D"/>
    <w:rsid w:val="005A155F"/>
    <w:rsid w:val="005A157F"/>
    <w:rsid w:val="005A16D8"/>
    <w:rsid w:val="005A16F5"/>
    <w:rsid w:val="005A16FD"/>
    <w:rsid w:val="005A1705"/>
    <w:rsid w:val="005A1721"/>
    <w:rsid w:val="005A176E"/>
    <w:rsid w:val="005A1773"/>
    <w:rsid w:val="005A178E"/>
    <w:rsid w:val="005A17E7"/>
    <w:rsid w:val="005A1867"/>
    <w:rsid w:val="005A1894"/>
    <w:rsid w:val="005A18A5"/>
    <w:rsid w:val="005A18C0"/>
    <w:rsid w:val="005A18C6"/>
    <w:rsid w:val="005A18EE"/>
    <w:rsid w:val="005A18F5"/>
    <w:rsid w:val="005A190A"/>
    <w:rsid w:val="005A1943"/>
    <w:rsid w:val="005A1986"/>
    <w:rsid w:val="005A19C7"/>
    <w:rsid w:val="005A1A16"/>
    <w:rsid w:val="005A1A9A"/>
    <w:rsid w:val="005A1B7C"/>
    <w:rsid w:val="005A1BD8"/>
    <w:rsid w:val="005A1BE0"/>
    <w:rsid w:val="005A1BE1"/>
    <w:rsid w:val="005A1C18"/>
    <w:rsid w:val="005A1C33"/>
    <w:rsid w:val="005A1C5E"/>
    <w:rsid w:val="005A1C85"/>
    <w:rsid w:val="005A1CF6"/>
    <w:rsid w:val="005A1D25"/>
    <w:rsid w:val="005A1D7F"/>
    <w:rsid w:val="005A1E0E"/>
    <w:rsid w:val="005A1E40"/>
    <w:rsid w:val="005A1E5B"/>
    <w:rsid w:val="005A1E78"/>
    <w:rsid w:val="005A1EE3"/>
    <w:rsid w:val="005A1F09"/>
    <w:rsid w:val="005A1F11"/>
    <w:rsid w:val="005A1F3A"/>
    <w:rsid w:val="005A1FED"/>
    <w:rsid w:val="005A2063"/>
    <w:rsid w:val="005A2072"/>
    <w:rsid w:val="005A207F"/>
    <w:rsid w:val="005A2086"/>
    <w:rsid w:val="005A20B2"/>
    <w:rsid w:val="005A2101"/>
    <w:rsid w:val="005A2173"/>
    <w:rsid w:val="005A217C"/>
    <w:rsid w:val="005A219F"/>
    <w:rsid w:val="005A21AD"/>
    <w:rsid w:val="005A21EE"/>
    <w:rsid w:val="005A21F3"/>
    <w:rsid w:val="005A2208"/>
    <w:rsid w:val="005A2219"/>
    <w:rsid w:val="005A2220"/>
    <w:rsid w:val="005A2232"/>
    <w:rsid w:val="005A225D"/>
    <w:rsid w:val="005A2319"/>
    <w:rsid w:val="005A2329"/>
    <w:rsid w:val="005A234F"/>
    <w:rsid w:val="005A2396"/>
    <w:rsid w:val="005A239D"/>
    <w:rsid w:val="005A23AB"/>
    <w:rsid w:val="005A23C3"/>
    <w:rsid w:val="005A23CA"/>
    <w:rsid w:val="005A23E5"/>
    <w:rsid w:val="005A23EB"/>
    <w:rsid w:val="005A241B"/>
    <w:rsid w:val="005A2433"/>
    <w:rsid w:val="005A2458"/>
    <w:rsid w:val="005A2482"/>
    <w:rsid w:val="005A2495"/>
    <w:rsid w:val="005A24E1"/>
    <w:rsid w:val="005A24E3"/>
    <w:rsid w:val="005A2521"/>
    <w:rsid w:val="005A2529"/>
    <w:rsid w:val="005A2566"/>
    <w:rsid w:val="005A2576"/>
    <w:rsid w:val="005A2588"/>
    <w:rsid w:val="005A25A0"/>
    <w:rsid w:val="005A25B2"/>
    <w:rsid w:val="005A25E2"/>
    <w:rsid w:val="005A260B"/>
    <w:rsid w:val="005A2614"/>
    <w:rsid w:val="005A262A"/>
    <w:rsid w:val="005A2648"/>
    <w:rsid w:val="005A268E"/>
    <w:rsid w:val="005A2698"/>
    <w:rsid w:val="005A270E"/>
    <w:rsid w:val="005A272F"/>
    <w:rsid w:val="005A273D"/>
    <w:rsid w:val="005A2757"/>
    <w:rsid w:val="005A27A8"/>
    <w:rsid w:val="005A27AF"/>
    <w:rsid w:val="005A29AE"/>
    <w:rsid w:val="005A29C7"/>
    <w:rsid w:val="005A29D7"/>
    <w:rsid w:val="005A29E2"/>
    <w:rsid w:val="005A29FB"/>
    <w:rsid w:val="005A2A2A"/>
    <w:rsid w:val="005A2A5D"/>
    <w:rsid w:val="005A2A63"/>
    <w:rsid w:val="005A2A96"/>
    <w:rsid w:val="005A2AAE"/>
    <w:rsid w:val="005A2BB1"/>
    <w:rsid w:val="005A2BD0"/>
    <w:rsid w:val="005A2BD2"/>
    <w:rsid w:val="005A2C38"/>
    <w:rsid w:val="005A2C5A"/>
    <w:rsid w:val="005A2C9A"/>
    <w:rsid w:val="005A2CBD"/>
    <w:rsid w:val="005A2CD8"/>
    <w:rsid w:val="005A2D0B"/>
    <w:rsid w:val="005A2D19"/>
    <w:rsid w:val="005A2D61"/>
    <w:rsid w:val="005A2D87"/>
    <w:rsid w:val="005A2D8A"/>
    <w:rsid w:val="005A2DA8"/>
    <w:rsid w:val="005A2DAA"/>
    <w:rsid w:val="005A2DCB"/>
    <w:rsid w:val="005A2DE1"/>
    <w:rsid w:val="005A2E0F"/>
    <w:rsid w:val="005A2E13"/>
    <w:rsid w:val="005A2EA8"/>
    <w:rsid w:val="005A2F69"/>
    <w:rsid w:val="005A2F75"/>
    <w:rsid w:val="005A2FAC"/>
    <w:rsid w:val="005A2FB6"/>
    <w:rsid w:val="005A3019"/>
    <w:rsid w:val="005A3066"/>
    <w:rsid w:val="005A30A6"/>
    <w:rsid w:val="005A30E2"/>
    <w:rsid w:val="005A30E6"/>
    <w:rsid w:val="005A30FF"/>
    <w:rsid w:val="005A310C"/>
    <w:rsid w:val="005A31A9"/>
    <w:rsid w:val="005A31AF"/>
    <w:rsid w:val="005A31CE"/>
    <w:rsid w:val="005A31CF"/>
    <w:rsid w:val="005A31E2"/>
    <w:rsid w:val="005A3205"/>
    <w:rsid w:val="005A3223"/>
    <w:rsid w:val="005A3233"/>
    <w:rsid w:val="005A3253"/>
    <w:rsid w:val="005A3261"/>
    <w:rsid w:val="005A3299"/>
    <w:rsid w:val="005A32CF"/>
    <w:rsid w:val="005A338D"/>
    <w:rsid w:val="005A33DB"/>
    <w:rsid w:val="005A3494"/>
    <w:rsid w:val="005A3499"/>
    <w:rsid w:val="005A3530"/>
    <w:rsid w:val="005A35DB"/>
    <w:rsid w:val="005A3608"/>
    <w:rsid w:val="005A36D9"/>
    <w:rsid w:val="005A36DC"/>
    <w:rsid w:val="005A3792"/>
    <w:rsid w:val="005A37CA"/>
    <w:rsid w:val="005A38CA"/>
    <w:rsid w:val="005A3A24"/>
    <w:rsid w:val="005A3A5E"/>
    <w:rsid w:val="005A3A6B"/>
    <w:rsid w:val="005A3A6F"/>
    <w:rsid w:val="005A3A96"/>
    <w:rsid w:val="005A3AB0"/>
    <w:rsid w:val="005A3B9C"/>
    <w:rsid w:val="005A3BC8"/>
    <w:rsid w:val="005A3BF3"/>
    <w:rsid w:val="005A3C01"/>
    <w:rsid w:val="005A3C1E"/>
    <w:rsid w:val="005A3C94"/>
    <w:rsid w:val="005A3CBF"/>
    <w:rsid w:val="005A3CCA"/>
    <w:rsid w:val="005A3D00"/>
    <w:rsid w:val="005A3D42"/>
    <w:rsid w:val="005A3DAA"/>
    <w:rsid w:val="005A3DB6"/>
    <w:rsid w:val="005A3E8E"/>
    <w:rsid w:val="005A3F96"/>
    <w:rsid w:val="005A3FD2"/>
    <w:rsid w:val="005A400B"/>
    <w:rsid w:val="005A4020"/>
    <w:rsid w:val="005A407C"/>
    <w:rsid w:val="005A410F"/>
    <w:rsid w:val="005A4113"/>
    <w:rsid w:val="005A415F"/>
    <w:rsid w:val="005A4264"/>
    <w:rsid w:val="005A4274"/>
    <w:rsid w:val="005A42D2"/>
    <w:rsid w:val="005A4339"/>
    <w:rsid w:val="005A442B"/>
    <w:rsid w:val="005A442F"/>
    <w:rsid w:val="005A4436"/>
    <w:rsid w:val="005A443A"/>
    <w:rsid w:val="005A4522"/>
    <w:rsid w:val="005A45B7"/>
    <w:rsid w:val="005A4610"/>
    <w:rsid w:val="005A4676"/>
    <w:rsid w:val="005A4696"/>
    <w:rsid w:val="005A4699"/>
    <w:rsid w:val="005A46CF"/>
    <w:rsid w:val="005A4738"/>
    <w:rsid w:val="005A4743"/>
    <w:rsid w:val="005A4752"/>
    <w:rsid w:val="005A4794"/>
    <w:rsid w:val="005A47C7"/>
    <w:rsid w:val="005A4866"/>
    <w:rsid w:val="005A4935"/>
    <w:rsid w:val="005A493C"/>
    <w:rsid w:val="005A49AD"/>
    <w:rsid w:val="005A49EF"/>
    <w:rsid w:val="005A4A69"/>
    <w:rsid w:val="005A4A92"/>
    <w:rsid w:val="005A4A93"/>
    <w:rsid w:val="005A4AD1"/>
    <w:rsid w:val="005A4AEC"/>
    <w:rsid w:val="005A4B28"/>
    <w:rsid w:val="005A4B59"/>
    <w:rsid w:val="005A4B63"/>
    <w:rsid w:val="005A4B7B"/>
    <w:rsid w:val="005A4BAA"/>
    <w:rsid w:val="005A4C1C"/>
    <w:rsid w:val="005A4CA0"/>
    <w:rsid w:val="005A4CC2"/>
    <w:rsid w:val="005A4D42"/>
    <w:rsid w:val="005A4D92"/>
    <w:rsid w:val="005A4D96"/>
    <w:rsid w:val="005A4E42"/>
    <w:rsid w:val="005A4E48"/>
    <w:rsid w:val="005A4E63"/>
    <w:rsid w:val="005A4E93"/>
    <w:rsid w:val="005A4EB4"/>
    <w:rsid w:val="005A4F50"/>
    <w:rsid w:val="005A4F70"/>
    <w:rsid w:val="005A4F80"/>
    <w:rsid w:val="005A4F8A"/>
    <w:rsid w:val="005A4FF9"/>
    <w:rsid w:val="005A50F3"/>
    <w:rsid w:val="005A5103"/>
    <w:rsid w:val="005A519C"/>
    <w:rsid w:val="005A51B0"/>
    <w:rsid w:val="005A522D"/>
    <w:rsid w:val="005A533C"/>
    <w:rsid w:val="005A5424"/>
    <w:rsid w:val="005A5447"/>
    <w:rsid w:val="005A54A5"/>
    <w:rsid w:val="005A5570"/>
    <w:rsid w:val="005A55A9"/>
    <w:rsid w:val="005A55C3"/>
    <w:rsid w:val="005A55E7"/>
    <w:rsid w:val="005A5606"/>
    <w:rsid w:val="005A5734"/>
    <w:rsid w:val="005A5806"/>
    <w:rsid w:val="005A584D"/>
    <w:rsid w:val="005A5858"/>
    <w:rsid w:val="005A58B3"/>
    <w:rsid w:val="005A58C3"/>
    <w:rsid w:val="005A58D6"/>
    <w:rsid w:val="005A58E8"/>
    <w:rsid w:val="005A5947"/>
    <w:rsid w:val="005A59C9"/>
    <w:rsid w:val="005A59EF"/>
    <w:rsid w:val="005A5A11"/>
    <w:rsid w:val="005A5B03"/>
    <w:rsid w:val="005A5B0E"/>
    <w:rsid w:val="005A5B16"/>
    <w:rsid w:val="005A5B66"/>
    <w:rsid w:val="005A5BCD"/>
    <w:rsid w:val="005A5BF5"/>
    <w:rsid w:val="005A5C37"/>
    <w:rsid w:val="005A5C3B"/>
    <w:rsid w:val="005A5C7F"/>
    <w:rsid w:val="005A5D3C"/>
    <w:rsid w:val="005A5E3A"/>
    <w:rsid w:val="005A5E7B"/>
    <w:rsid w:val="005A5EC2"/>
    <w:rsid w:val="005A5F03"/>
    <w:rsid w:val="005A5FE2"/>
    <w:rsid w:val="005A6026"/>
    <w:rsid w:val="005A605C"/>
    <w:rsid w:val="005A611F"/>
    <w:rsid w:val="005A618E"/>
    <w:rsid w:val="005A6238"/>
    <w:rsid w:val="005A629D"/>
    <w:rsid w:val="005A62A8"/>
    <w:rsid w:val="005A62B6"/>
    <w:rsid w:val="005A62B9"/>
    <w:rsid w:val="005A62EC"/>
    <w:rsid w:val="005A62F6"/>
    <w:rsid w:val="005A639D"/>
    <w:rsid w:val="005A63AA"/>
    <w:rsid w:val="005A63ED"/>
    <w:rsid w:val="005A6409"/>
    <w:rsid w:val="005A6429"/>
    <w:rsid w:val="005A6437"/>
    <w:rsid w:val="005A64D7"/>
    <w:rsid w:val="005A6628"/>
    <w:rsid w:val="005A6686"/>
    <w:rsid w:val="005A66CD"/>
    <w:rsid w:val="005A674B"/>
    <w:rsid w:val="005A676F"/>
    <w:rsid w:val="005A6770"/>
    <w:rsid w:val="005A677C"/>
    <w:rsid w:val="005A679E"/>
    <w:rsid w:val="005A67AF"/>
    <w:rsid w:val="005A6852"/>
    <w:rsid w:val="005A689A"/>
    <w:rsid w:val="005A68DB"/>
    <w:rsid w:val="005A68E2"/>
    <w:rsid w:val="005A6905"/>
    <w:rsid w:val="005A69D2"/>
    <w:rsid w:val="005A6A01"/>
    <w:rsid w:val="005A6A06"/>
    <w:rsid w:val="005A6A09"/>
    <w:rsid w:val="005A6A8B"/>
    <w:rsid w:val="005A6ABB"/>
    <w:rsid w:val="005A6AED"/>
    <w:rsid w:val="005A6B0C"/>
    <w:rsid w:val="005A6B46"/>
    <w:rsid w:val="005A6B58"/>
    <w:rsid w:val="005A6B6A"/>
    <w:rsid w:val="005A6B6F"/>
    <w:rsid w:val="005A6BA6"/>
    <w:rsid w:val="005A6BA9"/>
    <w:rsid w:val="005A6BD0"/>
    <w:rsid w:val="005A6C45"/>
    <w:rsid w:val="005A6CA7"/>
    <w:rsid w:val="005A6D42"/>
    <w:rsid w:val="005A6D77"/>
    <w:rsid w:val="005A6DE3"/>
    <w:rsid w:val="005A6E63"/>
    <w:rsid w:val="005A6EB3"/>
    <w:rsid w:val="005A6EBD"/>
    <w:rsid w:val="005A6F0B"/>
    <w:rsid w:val="005A6F8E"/>
    <w:rsid w:val="005A7010"/>
    <w:rsid w:val="005A7042"/>
    <w:rsid w:val="005A7052"/>
    <w:rsid w:val="005A7092"/>
    <w:rsid w:val="005A70D8"/>
    <w:rsid w:val="005A713B"/>
    <w:rsid w:val="005A71E2"/>
    <w:rsid w:val="005A7289"/>
    <w:rsid w:val="005A7322"/>
    <w:rsid w:val="005A73C4"/>
    <w:rsid w:val="005A73D7"/>
    <w:rsid w:val="005A73DD"/>
    <w:rsid w:val="005A743F"/>
    <w:rsid w:val="005A7441"/>
    <w:rsid w:val="005A745E"/>
    <w:rsid w:val="005A7465"/>
    <w:rsid w:val="005A7484"/>
    <w:rsid w:val="005A74CD"/>
    <w:rsid w:val="005A74D6"/>
    <w:rsid w:val="005A74F4"/>
    <w:rsid w:val="005A74F5"/>
    <w:rsid w:val="005A7534"/>
    <w:rsid w:val="005A757A"/>
    <w:rsid w:val="005A75DC"/>
    <w:rsid w:val="005A76B8"/>
    <w:rsid w:val="005A76C1"/>
    <w:rsid w:val="005A776B"/>
    <w:rsid w:val="005A77A0"/>
    <w:rsid w:val="005A77D0"/>
    <w:rsid w:val="005A77FE"/>
    <w:rsid w:val="005A7829"/>
    <w:rsid w:val="005A7834"/>
    <w:rsid w:val="005A7852"/>
    <w:rsid w:val="005A78D5"/>
    <w:rsid w:val="005A7931"/>
    <w:rsid w:val="005A79B2"/>
    <w:rsid w:val="005A79F2"/>
    <w:rsid w:val="005A7A19"/>
    <w:rsid w:val="005A7AA1"/>
    <w:rsid w:val="005A7AC7"/>
    <w:rsid w:val="005A7AD1"/>
    <w:rsid w:val="005A7AE6"/>
    <w:rsid w:val="005A7B02"/>
    <w:rsid w:val="005A7C2D"/>
    <w:rsid w:val="005A7CBC"/>
    <w:rsid w:val="005A7CFA"/>
    <w:rsid w:val="005A7D5E"/>
    <w:rsid w:val="005A7DB9"/>
    <w:rsid w:val="005A7DC9"/>
    <w:rsid w:val="005A7DCF"/>
    <w:rsid w:val="005A7E20"/>
    <w:rsid w:val="005A7F14"/>
    <w:rsid w:val="005A7F15"/>
    <w:rsid w:val="005A7F32"/>
    <w:rsid w:val="005A7F8B"/>
    <w:rsid w:val="005A7FAB"/>
    <w:rsid w:val="005A7FB8"/>
    <w:rsid w:val="005A7FC6"/>
    <w:rsid w:val="005B0087"/>
    <w:rsid w:val="005B00B9"/>
    <w:rsid w:val="005B00BC"/>
    <w:rsid w:val="005B0124"/>
    <w:rsid w:val="005B0130"/>
    <w:rsid w:val="005B0134"/>
    <w:rsid w:val="005B0148"/>
    <w:rsid w:val="005B0169"/>
    <w:rsid w:val="005B0189"/>
    <w:rsid w:val="005B0253"/>
    <w:rsid w:val="005B0256"/>
    <w:rsid w:val="005B0264"/>
    <w:rsid w:val="005B028C"/>
    <w:rsid w:val="005B02D8"/>
    <w:rsid w:val="005B0304"/>
    <w:rsid w:val="005B036F"/>
    <w:rsid w:val="005B0376"/>
    <w:rsid w:val="005B03AD"/>
    <w:rsid w:val="005B03C8"/>
    <w:rsid w:val="005B04A4"/>
    <w:rsid w:val="005B0533"/>
    <w:rsid w:val="005B0545"/>
    <w:rsid w:val="005B05D8"/>
    <w:rsid w:val="005B0601"/>
    <w:rsid w:val="005B0676"/>
    <w:rsid w:val="005B06D5"/>
    <w:rsid w:val="005B0732"/>
    <w:rsid w:val="005B0781"/>
    <w:rsid w:val="005B0818"/>
    <w:rsid w:val="005B082A"/>
    <w:rsid w:val="005B0852"/>
    <w:rsid w:val="005B0866"/>
    <w:rsid w:val="005B08F1"/>
    <w:rsid w:val="005B09A2"/>
    <w:rsid w:val="005B09FD"/>
    <w:rsid w:val="005B0A0D"/>
    <w:rsid w:val="005B0A5C"/>
    <w:rsid w:val="005B0B4B"/>
    <w:rsid w:val="005B0B55"/>
    <w:rsid w:val="005B0B82"/>
    <w:rsid w:val="005B0BBB"/>
    <w:rsid w:val="005B0C26"/>
    <w:rsid w:val="005B0D4D"/>
    <w:rsid w:val="005B0DE4"/>
    <w:rsid w:val="005B0DE9"/>
    <w:rsid w:val="005B0E8D"/>
    <w:rsid w:val="005B0E9F"/>
    <w:rsid w:val="005B0ED0"/>
    <w:rsid w:val="005B0EF7"/>
    <w:rsid w:val="005B0F45"/>
    <w:rsid w:val="005B0F5A"/>
    <w:rsid w:val="005B1036"/>
    <w:rsid w:val="005B105A"/>
    <w:rsid w:val="005B109A"/>
    <w:rsid w:val="005B10B3"/>
    <w:rsid w:val="005B10FC"/>
    <w:rsid w:val="005B113A"/>
    <w:rsid w:val="005B115F"/>
    <w:rsid w:val="005B11B0"/>
    <w:rsid w:val="005B11CF"/>
    <w:rsid w:val="005B11D6"/>
    <w:rsid w:val="005B1247"/>
    <w:rsid w:val="005B1288"/>
    <w:rsid w:val="005B12BB"/>
    <w:rsid w:val="005B12C4"/>
    <w:rsid w:val="005B12E2"/>
    <w:rsid w:val="005B132A"/>
    <w:rsid w:val="005B136D"/>
    <w:rsid w:val="005B13B6"/>
    <w:rsid w:val="005B13FB"/>
    <w:rsid w:val="005B1434"/>
    <w:rsid w:val="005B144E"/>
    <w:rsid w:val="005B1492"/>
    <w:rsid w:val="005B14B2"/>
    <w:rsid w:val="005B14E4"/>
    <w:rsid w:val="005B1575"/>
    <w:rsid w:val="005B1588"/>
    <w:rsid w:val="005B15A5"/>
    <w:rsid w:val="005B163B"/>
    <w:rsid w:val="005B165E"/>
    <w:rsid w:val="005B1695"/>
    <w:rsid w:val="005B16BA"/>
    <w:rsid w:val="005B16C3"/>
    <w:rsid w:val="005B171E"/>
    <w:rsid w:val="005B1720"/>
    <w:rsid w:val="005B172E"/>
    <w:rsid w:val="005B1734"/>
    <w:rsid w:val="005B176E"/>
    <w:rsid w:val="005B17A4"/>
    <w:rsid w:val="005B17A7"/>
    <w:rsid w:val="005B17CB"/>
    <w:rsid w:val="005B1836"/>
    <w:rsid w:val="005B1855"/>
    <w:rsid w:val="005B1875"/>
    <w:rsid w:val="005B1876"/>
    <w:rsid w:val="005B18AC"/>
    <w:rsid w:val="005B19D3"/>
    <w:rsid w:val="005B1A16"/>
    <w:rsid w:val="005B1A36"/>
    <w:rsid w:val="005B1ACF"/>
    <w:rsid w:val="005B1ADC"/>
    <w:rsid w:val="005B1AE8"/>
    <w:rsid w:val="005B1B8A"/>
    <w:rsid w:val="005B1B9E"/>
    <w:rsid w:val="005B1BD8"/>
    <w:rsid w:val="005B1BE1"/>
    <w:rsid w:val="005B1C13"/>
    <w:rsid w:val="005B1C17"/>
    <w:rsid w:val="005B1C64"/>
    <w:rsid w:val="005B1C68"/>
    <w:rsid w:val="005B1C82"/>
    <w:rsid w:val="005B1D05"/>
    <w:rsid w:val="005B1D12"/>
    <w:rsid w:val="005B1D28"/>
    <w:rsid w:val="005B1D52"/>
    <w:rsid w:val="005B1D6E"/>
    <w:rsid w:val="005B1DBA"/>
    <w:rsid w:val="005B1E2D"/>
    <w:rsid w:val="005B1E34"/>
    <w:rsid w:val="005B1E8A"/>
    <w:rsid w:val="005B1EB5"/>
    <w:rsid w:val="005B1F8A"/>
    <w:rsid w:val="005B1F99"/>
    <w:rsid w:val="005B1FC6"/>
    <w:rsid w:val="005B2188"/>
    <w:rsid w:val="005B2196"/>
    <w:rsid w:val="005B21F5"/>
    <w:rsid w:val="005B2209"/>
    <w:rsid w:val="005B2258"/>
    <w:rsid w:val="005B2282"/>
    <w:rsid w:val="005B2283"/>
    <w:rsid w:val="005B2298"/>
    <w:rsid w:val="005B229E"/>
    <w:rsid w:val="005B2320"/>
    <w:rsid w:val="005B236B"/>
    <w:rsid w:val="005B23D7"/>
    <w:rsid w:val="005B2407"/>
    <w:rsid w:val="005B245B"/>
    <w:rsid w:val="005B24A1"/>
    <w:rsid w:val="005B24C9"/>
    <w:rsid w:val="005B251A"/>
    <w:rsid w:val="005B25B0"/>
    <w:rsid w:val="005B25B3"/>
    <w:rsid w:val="005B2640"/>
    <w:rsid w:val="005B2642"/>
    <w:rsid w:val="005B2660"/>
    <w:rsid w:val="005B2677"/>
    <w:rsid w:val="005B2706"/>
    <w:rsid w:val="005B273F"/>
    <w:rsid w:val="005B276C"/>
    <w:rsid w:val="005B281C"/>
    <w:rsid w:val="005B284A"/>
    <w:rsid w:val="005B2893"/>
    <w:rsid w:val="005B2894"/>
    <w:rsid w:val="005B289E"/>
    <w:rsid w:val="005B28BB"/>
    <w:rsid w:val="005B28BD"/>
    <w:rsid w:val="005B28F1"/>
    <w:rsid w:val="005B2931"/>
    <w:rsid w:val="005B2950"/>
    <w:rsid w:val="005B2951"/>
    <w:rsid w:val="005B2960"/>
    <w:rsid w:val="005B29FF"/>
    <w:rsid w:val="005B2A13"/>
    <w:rsid w:val="005B2A3E"/>
    <w:rsid w:val="005B2A79"/>
    <w:rsid w:val="005B2AA4"/>
    <w:rsid w:val="005B2ADB"/>
    <w:rsid w:val="005B2AFF"/>
    <w:rsid w:val="005B2B77"/>
    <w:rsid w:val="005B2C4A"/>
    <w:rsid w:val="005B2C9A"/>
    <w:rsid w:val="005B2CF6"/>
    <w:rsid w:val="005B2D35"/>
    <w:rsid w:val="005B2DFC"/>
    <w:rsid w:val="005B2E0E"/>
    <w:rsid w:val="005B2E20"/>
    <w:rsid w:val="005B2E3D"/>
    <w:rsid w:val="005B2E65"/>
    <w:rsid w:val="005B2E94"/>
    <w:rsid w:val="005B2EC5"/>
    <w:rsid w:val="005B2EE7"/>
    <w:rsid w:val="005B2F06"/>
    <w:rsid w:val="005B2F3E"/>
    <w:rsid w:val="005B2F55"/>
    <w:rsid w:val="005B2FE6"/>
    <w:rsid w:val="005B300A"/>
    <w:rsid w:val="005B303B"/>
    <w:rsid w:val="005B303F"/>
    <w:rsid w:val="005B30BF"/>
    <w:rsid w:val="005B30C0"/>
    <w:rsid w:val="005B30EE"/>
    <w:rsid w:val="005B30FD"/>
    <w:rsid w:val="005B3118"/>
    <w:rsid w:val="005B3202"/>
    <w:rsid w:val="005B324A"/>
    <w:rsid w:val="005B325B"/>
    <w:rsid w:val="005B3272"/>
    <w:rsid w:val="005B32C3"/>
    <w:rsid w:val="005B32EE"/>
    <w:rsid w:val="005B337F"/>
    <w:rsid w:val="005B3393"/>
    <w:rsid w:val="005B33A8"/>
    <w:rsid w:val="005B33B6"/>
    <w:rsid w:val="005B340C"/>
    <w:rsid w:val="005B3414"/>
    <w:rsid w:val="005B3417"/>
    <w:rsid w:val="005B34C5"/>
    <w:rsid w:val="005B3552"/>
    <w:rsid w:val="005B35AF"/>
    <w:rsid w:val="005B35BB"/>
    <w:rsid w:val="005B35EE"/>
    <w:rsid w:val="005B3638"/>
    <w:rsid w:val="005B3652"/>
    <w:rsid w:val="005B3654"/>
    <w:rsid w:val="005B36D0"/>
    <w:rsid w:val="005B36D1"/>
    <w:rsid w:val="005B3736"/>
    <w:rsid w:val="005B3785"/>
    <w:rsid w:val="005B380D"/>
    <w:rsid w:val="005B384C"/>
    <w:rsid w:val="005B387F"/>
    <w:rsid w:val="005B38E6"/>
    <w:rsid w:val="005B3913"/>
    <w:rsid w:val="005B3980"/>
    <w:rsid w:val="005B3998"/>
    <w:rsid w:val="005B39B2"/>
    <w:rsid w:val="005B39ED"/>
    <w:rsid w:val="005B3A7C"/>
    <w:rsid w:val="005B3ACB"/>
    <w:rsid w:val="005B3B3E"/>
    <w:rsid w:val="005B3BB7"/>
    <w:rsid w:val="005B3BE7"/>
    <w:rsid w:val="005B3C09"/>
    <w:rsid w:val="005B3C72"/>
    <w:rsid w:val="005B3D3B"/>
    <w:rsid w:val="005B3DB7"/>
    <w:rsid w:val="005B3EC4"/>
    <w:rsid w:val="005B3F51"/>
    <w:rsid w:val="005B3F62"/>
    <w:rsid w:val="005B3FE1"/>
    <w:rsid w:val="005B40F1"/>
    <w:rsid w:val="005B41DA"/>
    <w:rsid w:val="005B422D"/>
    <w:rsid w:val="005B4293"/>
    <w:rsid w:val="005B43A2"/>
    <w:rsid w:val="005B43DF"/>
    <w:rsid w:val="005B43FA"/>
    <w:rsid w:val="005B440C"/>
    <w:rsid w:val="005B4481"/>
    <w:rsid w:val="005B44A4"/>
    <w:rsid w:val="005B4529"/>
    <w:rsid w:val="005B452D"/>
    <w:rsid w:val="005B4560"/>
    <w:rsid w:val="005B4596"/>
    <w:rsid w:val="005B45A3"/>
    <w:rsid w:val="005B45C0"/>
    <w:rsid w:val="005B4607"/>
    <w:rsid w:val="005B46A4"/>
    <w:rsid w:val="005B46EC"/>
    <w:rsid w:val="005B47BB"/>
    <w:rsid w:val="005B47F2"/>
    <w:rsid w:val="005B4823"/>
    <w:rsid w:val="005B4850"/>
    <w:rsid w:val="005B48B7"/>
    <w:rsid w:val="005B491B"/>
    <w:rsid w:val="005B4964"/>
    <w:rsid w:val="005B4970"/>
    <w:rsid w:val="005B49D7"/>
    <w:rsid w:val="005B4A47"/>
    <w:rsid w:val="005B4A50"/>
    <w:rsid w:val="005B4A80"/>
    <w:rsid w:val="005B4AF6"/>
    <w:rsid w:val="005B4B4E"/>
    <w:rsid w:val="005B4B5A"/>
    <w:rsid w:val="005B4B64"/>
    <w:rsid w:val="005B4B6A"/>
    <w:rsid w:val="005B4B8E"/>
    <w:rsid w:val="005B4B99"/>
    <w:rsid w:val="005B4CC1"/>
    <w:rsid w:val="005B4D17"/>
    <w:rsid w:val="005B4D43"/>
    <w:rsid w:val="005B4D47"/>
    <w:rsid w:val="005B4D5D"/>
    <w:rsid w:val="005B4DB2"/>
    <w:rsid w:val="005B4E12"/>
    <w:rsid w:val="005B4E30"/>
    <w:rsid w:val="005B4E5B"/>
    <w:rsid w:val="005B4E78"/>
    <w:rsid w:val="005B4EB0"/>
    <w:rsid w:val="005B4F7E"/>
    <w:rsid w:val="005B5028"/>
    <w:rsid w:val="005B5033"/>
    <w:rsid w:val="005B5090"/>
    <w:rsid w:val="005B50A4"/>
    <w:rsid w:val="005B50AB"/>
    <w:rsid w:val="005B5101"/>
    <w:rsid w:val="005B5118"/>
    <w:rsid w:val="005B512D"/>
    <w:rsid w:val="005B5177"/>
    <w:rsid w:val="005B51B0"/>
    <w:rsid w:val="005B51C3"/>
    <w:rsid w:val="005B51E1"/>
    <w:rsid w:val="005B51E3"/>
    <w:rsid w:val="005B51F5"/>
    <w:rsid w:val="005B5211"/>
    <w:rsid w:val="005B527E"/>
    <w:rsid w:val="005B529E"/>
    <w:rsid w:val="005B52E2"/>
    <w:rsid w:val="005B5334"/>
    <w:rsid w:val="005B5379"/>
    <w:rsid w:val="005B5447"/>
    <w:rsid w:val="005B54AC"/>
    <w:rsid w:val="005B54B7"/>
    <w:rsid w:val="005B54F4"/>
    <w:rsid w:val="005B5564"/>
    <w:rsid w:val="005B5579"/>
    <w:rsid w:val="005B55C8"/>
    <w:rsid w:val="005B563A"/>
    <w:rsid w:val="005B56DB"/>
    <w:rsid w:val="005B5740"/>
    <w:rsid w:val="005B58A4"/>
    <w:rsid w:val="005B58BF"/>
    <w:rsid w:val="005B58F5"/>
    <w:rsid w:val="005B5921"/>
    <w:rsid w:val="005B5925"/>
    <w:rsid w:val="005B5938"/>
    <w:rsid w:val="005B595B"/>
    <w:rsid w:val="005B59F4"/>
    <w:rsid w:val="005B59F6"/>
    <w:rsid w:val="005B5A6C"/>
    <w:rsid w:val="005B5A8F"/>
    <w:rsid w:val="005B5AC5"/>
    <w:rsid w:val="005B5B50"/>
    <w:rsid w:val="005B5BF5"/>
    <w:rsid w:val="005B5C2D"/>
    <w:rsid w:val="005B5C42"/>
    <w:rsid w:val="005B5C8A"/>
    <w:rsid w:val="005B5C95"/>
    <w:rsid w:val="005B5CA2"/>
    <w:rsid w:val="005B5CBF"/>
    <w:rsid w:val="005B5D33"/>
    <w:rsid w:val="005B5D9A"/>
    <w:rsid w:val="005B5DF1"/>
    <w:rsid w:val="005B5E2A"/>
    <w:rsid w:val="005B5E6D"/>
    <w:rsid w:val="005B5E8D"/>
    <w:rsid w:val="005B5F4E"/>
    <w:rsid w:val="005B5F6E"/>
    <w:rsid w:val="005B6063"/>
    <w:rsid w:val="005B6096"/>
    <w:rsid w:val="005B60BE"/>
    <w:rsid w:val="005B60D9"/>
    <w:rsid w:val="005B60DE"/>
    <w:rsid w:val="005B60FA"/>
    <w:rsid w:val="005B611F"/>
    <w:rsid w:val="005B6126"/>
    <w:rsid w:val="005B6141"/>
    <w:rsid w:val="005B61B3"/>
    <w:rsid w:val="005B6228"/>
    <w:rsid w:val="005B625B"/>
    <w:rsid w:val="005B62FE"/>
    <w:rsid w:val="005B6324"/>
    <w:rsid w:val="005B633B"/>
    <w:rsid w:val="005B63F7"/>
    <w:rsid w:val="005B6419"/>
    <w:rsid w:val="005B6461"/>
    <w:rsid w:val="005B647C"/>
    <w:rsid w:val="005B6488"/>
    <w:rsid w:val="005B64AD"/>
    <w:rsid w:val="005B64B6"/>
    <w:rsid w:val="005B64E9"/>
    <w:rsid w:val="005B656F"/>
    <w:rsid w:val="005B6585"/>
    <w:rsid w:val="005B65D5"/>
    <w:rsid w:val="005B661C"/>
    <w:rsid w:val="005B6669"/>
    <w:rsid w:val="005B6681"/>
    <w:rsid w:val="005B669D"/>
    <w:rsid w:val="005B675E"/>
    <w:rsid w:val="005B6827"/>
    <w:rsid w:val="005B6854"/>
    <w:rsid w:val="005B6863"/>
    <w:rsid w:val="005B68DC"/>
    <w:rsid w:val="005B6908"/>
    <w:rsid w:val="005B6921"/>
    <w:rsid w:val="005B693E"/>
    <w:rsid w:val="005B697C"/>
    <w:rsid w:val="005B697E"/>
    <w:rsid w:val="005B69A7"/>
    <w:rsid w:val="005B69B1"/>
    <w:rsid w:val="005B69C7"/>
    <w:rsid w:val="005B69C9"/>
    <w:rsid w:val="005B6A5C"/>
    <w:rsid w:val="005B6AFC"/>
    <w:rsid w:val="005B6B8E"/>
    <w:rsid w:val="005B6BA8"/>
    <w:rsid w:val="005B6BB0"/>
    <w:rsid w:val="005B6BDB"/>
    <w:rsid w:val="005B6C3B"/>
    <w:rsid w:val="005B6CC7"/>
    <w:rsid w:val="005B6CD5"/>
    <w:rsid w:val="005B6CEA"/>
    <w:rsid w:val="005B6D40"/>
    <w:rsid w:val="005B6DCB"/>
    <w:rsid w:val="005B6E1A"/>
    <w:rsid w:val="005B6E2E"/>
    <w:rsid w:val="005B6E72"/>
    <w:rsid w:val="005B6EA0"/>
    <w:rsid w:val="005B6F8E"/>
    <w:rsid w:val="005B6F92"/>
    <w:rsid w:val="005B6FB4"/>
    <w:rsid w:val="005B7029"/>
    <w:rsid w:val="005B702A"/>
    <w:rsid w:val="005B7043"/>
    <w:rsid w:val="005B7055"/>
    <w:rsid w:val="005B7068"/>
    <w:rsid w:val="005B706B"/>
    <w:rsid w:val="005B70A0"/>
    <w:rsid w:val="005B70F0"/>
    <w:rsid w:val="005B7105"/>
    <w:rsid w:val="005B713D"/>
    <w:rsid w:val="005B719C"/>
    <w:rsid w:val="005B71A6"/>
    <w:rsid w:val="005B71DD"/>
    <w:rsid w:val="005B7226"/>
    <w:rsid w:val="005B7232"/>
    <w:rsid w:val="005B7247"/>
    <w:rsid w:val="005B7250"/>
    <w:rsid w:val="005B726A"/>
    <w:rsid w:val="005B727E"/>
    <w:rsid w:val="005B728F"/>
    <w:rsid w:val="005B7370"/>
    <w:rsid w:val="005B738F"/>
    <w:rsid w:val="005B73B7"/>
    <w:rsid w:val="005B73D9"/>
    <w:rsid w:val="005B73DE"/>
    <w:rsid w:val="005B73EF"/>
    <w:rsid w:val="005B7447"/>
    <w:rsid w:val="005B744A"/>
    <w:rsid w:val="005B748A"/>
    <w:rsid w:val="005B7529"/>
    <w:rsid w:val="005B757F"/>
    <w:rsid w:val="005B7671"/>
    <w:rsid w:val="005B76A1"/>
    <w:rsid w:val="005B76CE"/>
    <w:rsid w:val="005B76F9"/>
    <w:rsid w:val="005B7703"/>
    <w:rsid w:val="005B7741"/>
    <w:rsid w:val="005B7742"/>
    <w:rsid w:val="005B774A"/>
    <w:rsid w:val="005B7801"/>
    <w:rsid w:val="005B7963"/>
    <w:rsid w:val="005B79A5"/>
    <w:rsid w:val="005B79BA"/>
    <w:rsid w:val="005B79CD"/>
    <w:rsid w:val="005B79EB"/>
    <w:rsid w:val="005B7A4C"/>
    <w:rsid w:val="005B7A50"/>
    <w:rsid w:val="005B7B11"/>
    <w:rsid w:val="005B7B74"/>
    <w:rsid w:val="005B7B76"/>
    <w:rsid w:val="005B7BED"/>
    <w:rsid w:val="005B7C24"/>
    <w:rsid w:val="005B7C49"/>
    <w:rsid w:val="005B7C89"/>
    <w:rsid w:val="005B7C8B"/>
    <w:rsid w:val="005B7CB8"/>
    <w:rsid w:val="005B7D3A"/>
    <w:rsid w:val="005B7D6F"/>
    <w:rsid w:val="005B7DD5"/>
    <w:rsid w:val="005B7E2C"/>
    <w:rsid w:val="005B7E53"/>
    <w:rsid w:val="005B7E7A"/>
    <w:rsid w:val="005B7ECC"/>
    <w:rsid w:val="005B7F01"/>
    <w:rsid w:val="005B7F3E"/>
    <w:rsid w:val="005C009E"/>
    <w:rsid w:val="005C00B7"/>
    <w:rsid w:val="005C00DE"/>
    <w:rsid w:val="005C0160"/>
    <w:rsid w:val="005C0164"/>
    <w:rsid w:val="005C0190"/>
    <w:rsid w:val="005C01B3"/>
    <w:rsid w:val="005C01D3"/>
    <w:rsid w:val="005C01E4"/>
    <w:rsid w:val="005C01FD"/>
    <w:rsid w:val="005C0241"/>
    <w:rsid w:val="005C024D"/>
    <w:rsid w:val="005C02A4"/>
    <w:rsid w:val="005C02D9"/>
    <w:rsid w:val="005C033B"/>
    <w:rsid w:val="005C037B"/>
    <w:rsid w:val="005C03AB"/>
    <w:rsid w:val="005C03AD"/>
    <w:rsid w:val="005C03F7"/>
    <w:rsid w:val="005C0430"/>
    <w:rsid w:val="005C04A1"/>
    <w:rsid w:val="005C04B3"/>
    <w:rsid w:val="005C04C8"/>
    <w:rsid w:val="005C0530"/>
    <w:rsid w:val="005C054F"/>
    <w:rsid w:val="005C057B"/>
    <w:rsid w:val="005C061A"/>
    <w:rsid w:val="005C065E"/>
    <w:rsid w:val="005C069C"/>
    <w:rsid w:val="005C06B7"/>
    <w:rsid w:val="005C06C2"/>
    <w:rsid w:val="005C06CD"/>
    <w:rsid w:val="005C06E6"/>
    <w:rsid w:val="005C06FF"/>
    <w:rsid w:val="005C0770"/>
    <w:rsid w:val="005C07A0"/>
    <w:rsid w:val="005C07C0"/>
    <w:rsid w:val="005C08B5"/>
    <w:rsid w:val="005C08CD"/>
    <w:rsid w:val="005C093C"/>
    <w:rsid w:val="005C0948"/>
    <w:rsid w:val="005C098E"/>
    <w:rsid w:val="005C09F4"/>
    <w:rsid w:val="005C0A28"/>
    <w:rsid w:val="005C0AB5"/>
    <w:rsid w:val="005C0AC5"/>
    <w:rsid w:val="005C0ACD"/>
    <w:rsid w:val="005C0AEA"/>
    <w:rsid w:val="005C0B15"/>
    <w:rsid w:val="005C0B7E"/>
    <w:rsid w:val="005C0BE3"/>
    <w:rsid w:val="005C0CB7"/>
    <w:rsid w:val="005C0CE6"/>
    <w:rsid w:val="005C0CF6"/>
    <w:rsid w:val="005C0D0D"/>
    <w:rsid w:val="005C0D18"/>
    <w:rsid w:val="005C0D38"/>
    <w:rsid w:val="005C0D80"/>
    <w:rsid w:val="005C0D8A"/>
    <w:rsid w:val="005C0DCB"/>
    <w:rsid w:val="005C0DDC"/>
    <w:rsid w:val="005C0E40"/>
    <w:rsid w:val="005C0E7B"/>
    <w:rsid w:val="005C0EB8"/>
    <w:rsid w:val="005C0F12"/>
    <w:rsid w:val="005C0F3F"/>
    <w:rsid w:val="005C0F49"/>
    <w:rsid w:val="005C0F72"/>
    <w:rsid w:val="005C0FAF"/>
    <w:rsid w:val="005C0FEB"/>
    <w:rsid w:val="005C1024"/>
    <w:rsid w:val="005C108C"/>
    <w:rsid w:val="005C1099"/>
    <w:rsid w:val="005C1110"/>
    <w:rsid w:val="005C1161"/>
    <w:rsid w:val="005C1175"/>
    <w:rsid w:val="005C1199"/>
    <w:rsid w:val="005C11AF"/>
    <w:rsid w:val="005C1203"/>
    <w:rsid w:val="005C120C"/>
    <w:rsid w:val="005C121F"/>
    <w:rsid w:val="005C1227"/>
    <w:rsid w:val="005C125C"/>
    <w:rsid w:val="005C1291"/>
    <w:rsid w:val="005C130D"/>
    <w:rsid w:val="005C13B5"/>
    <w:rsid w:val="005C142B"/>
    <w:rsid w:val="005C14AF"/>
    <w:rsid w:val="005C14C1"/>
    <w:rsid w:val="005C14E3"/>
    <w:rsid w:val="005C153A"/>
    <w:rsid w:val="005C1579"/>
    <w:rsid w:val="005C1635"/>
    <w:rsid w:val="005C175C"/>
    <w:rsid w:val="005C17B0"/>
    <w:rsid w:val="005C17B2"/>
    <w:rsid w:val="005C1887"/>
    <w:rsid w:val="005C1899"/>
    <w:rsid w:val="005C18BB"/>
    <w:rsid w:val="005C19DC"/>
    <w:rsid w:val="005C1A1D"/>
    <w:rsid w:val="005C1A6D"/>
    <w:rsid w:val="005C1B2C"/>
    <w:rsid w:val="005C1BC8"/>
    <w:rsid w:val="005C1BD9"/>
    <w:rsid w:val="005C1C47"/>
    <w:rsid w:val="005C1C93"/>
    <w:rsid w:val="005C1CB2"/>
    <w:rsid w:val="005C1CC7"/>
    <w:rsid w:val="005C1CE3"/>
    <w:rsid w:val="005C1D5F"/>
    <w:rsid w:val="005C1D6A"/>
    <w:rsid w:val="005C1D7D"/>
    <w:rsid w:val="005C1D92"/>
    <w:rsid w:val="005C1D99"/>
    <w:rsid w:val="005C1DB8"/>
    <w:rsid w:val="005C1DE9"/>
    <w:rsid w:val="005C1E14"/>
    <w:rsid w:val="005C1E83"/>
    <w:rsid w:val="005C1EA3"/>
    <w:rsid w:val="005C1EFD"/>
    <w:rsid w:val="005C1F14"/>
    <w:rsid w:val="005C1F54"/>
    <w:rsid w:val="005C1FF8"/>
    <w:rsid w:val="005C2057"/>
    <w:rsid w:val="005C2064"/>
    <w:rsid w:val="005C20AF"/>
    <w:rsid w:val="005C20C2"/>
    <w:rsid w:val="005C20D2"/>
    <w:rsid w:val="005C20E9"/>
    <w:rsid w:val="005C2113"/>
    <w:rsid w:val="005C2136"/>
    <w:rsid w:val="005C2151"/>
    <w:rsid w:val="005C2169"/>
    <w:rsid w:val="005C216B"/>
    <w:rsid w:val="005C2198"/>
    <w:rsid w:val="005C21A9"/>
    <w:rsid w:val="005C21C6"/>
    <w:rsid w:val="005C2206"/>
    <w:rsid w:val="005C22A4"/>
    <w:rsid w:val="005C22D4"/>
    <w:rsid w:val="005C22EA"/>
    <w:rsid w:val="005C22FE"/>
    <w:rsid w:val="005C2350"/>
    <w:rsid w:val="005C23DD"/>
    <w:rsid w:val="005C248F"/>
    <w:rsid w:val="005C2555"/>
    <w:rsid w:val="005C25E5"/>
    <w:rsid w:val="005C2661"/>
    <w:rsid w:val="005C26BF"/>
    <w:rsid w:val="005C26C2"/>
    <w:rsid w:val="005C26DD"/>
    <w:rsid w:val="005C26EE"/>
    <w:rsid w:val="005C27A0"/>
    <w:rsid w:val="005C27DF"/>
    <w:rsid w:val="005C2820"/>
    <w:rsid w:val="005C2825"/>
    <w:rsid w:val="005C2855"/>
    <w:rsid w:val="005C28D6"/>
    <w:rsid w:val="005C28D9"/>
    <w:rsid w:val="005C28DF"/>
    <w:rsid w:val="005C2902"/>
    <w:rsid w:val="005C290F"/>
    <w:rsid w:val="005C291E"/>
    <w:rsid w:val="005C2924"/>
    <w:rsid w:val="005C295C"/>
    <w:rsid w:val="005C29A0"/>
    <w:rsid w:val="005C29D8"/>
    <w:rsid w:val="005C2A09"/>
    <w:rsid w:val="005C2A0F"/>
    <w:rsid w:val="005C2A40"/>
    <w:rsid w:val="005C2A48"/>
    <w:rsid w:val="005C2B7F"/>
    <w:rsid w:val="005C2B95"/>
    <w:rsid w:val="005C2BAB"/>
    <w:rsid w:val="005C2C82"/>
    <w:rsid w:val="005C2E21"/>
    <w:rsid w:val="005C2E39"/>
    <w:rsid w:val="005C2E78"/>
    <w:rsid w:val="005C2EAE"/>
    <w:rsid w:val="005C2EB1"/>
    <w:rsid w:val="005C2F39"/>
    <w:rsid w:val="005C2F71"/>
    <w:rsid w:val="005C2FAF"/>
    <w:rsid w:val="005C3067"/>
    <w:rsid w:val="005C30C1"/>
    <w:rsid w:val="005C315A"/>
    <w:rsid w:val="005C31F0"/>
    <w:rsid w:val="005C31FB"/>
    <w:rsid w:val="005C32FE"/>
    <w:rsid w:val="005C3302"/>
    <w:rsid w:val="005C3318"/>
    <w:rsid w:val="005C3393"/>
    <w:rsid w:val="005C33CA"/>
    <w:rsid w:val="005C3446"/>
    <w:rsid w:val="005C347E"/>
    <w:rsid w:val="005C350D"/>
    <w:rsid w:val="005C3567"/>
    <w:rsid w:val="005C35A9"/>
    <w:rsid w:val="005C35B9"/>
    <w:rsid w:val="005C35C9"/>
    <w:rsid w:val="005C3613"/>
    <w:rsid w:val="005C369C"/>
    <w:rsid w:val="005C36B8"/>
    <w:rsid w:val="005C36C3"/>
    <w:rsid w:val="005C3720"/>
    <w:rsid w:val="005C37A5"/>
    <w:rsid w:val="005C3834"/>
    <w:rsid w:val="005C3873"/>
    <w:rsid w:val="005C38AC"/>
    <w:rsid w:val="005C3993"/>
    <w:rsid w:val="005C39BE"/>
    <w:rsid w:val="005C39E2"/>
    <w:rsid w:val="005C3A1D"/>
    <w:rsid w:val="005C3A3C"/>
    <w:rsid w:val="005C3AB6"/>
    <w:rsid w:val="005C3AC6"/>
    <w:rsid w:val="005C3AF4"/>
    <w:rsid w:val="005C3B20"/>
    <w:rsid w:val="005C3B8F"/>
    <w:rsid w:val="005C3BB2"/>
    <w:rsid w:val="005C3BF3"/>
    <w:rsid w:val="005C3C21"/>
    <w:rsid w:val="005C3C30"/>
    <w:rsid w:val="005C3C33"/>
    <w:rsid w:val="005C3C55"/>
    <w:rsid w:val="005C3C68"/>
    <w:rsid w:val="005C3CA9"/>
    <w:rsid w:val="005C3CE3"/>
    <w:rsid w:val="005C3D3B"/>
    <w:rsid w:val="005C3D7B"/>
    <w:rsid w:val="005C3DAB"/>
    <w:rsid w:val="005C3E12"/>
    <w:rsid w:val="005C3E7D"/>
    <w:rsid w:val="005C3F68"/>
    <w:rsid w:val="005C3F78"/>
    <w:rsid w:val="005C3FAF"/>
    <w:rsid w:val="005C3FE2"/>
    <w:rsid w:val="005C4021"/>
    <w:rsid w:val="005C403E"/>
    <w:rsid w:val="005C4146"/>
    <w:rsid w:val="005C4148"/>
    <w:rsid w:val="005C422C"/>
    <w:rsid w:val="005C42FB"/>
    <w:rsid w:val="005C4346"/>
    <w:rsid w:val="005C43F9"/>
    <w:rsid w:val="005C43FF"/>
    <w:rsid w:val="005C4404"/>
    <w:rsid w:val="005C4427"/>
    <w:rsid w:val="005C44A6"/>
    <w:rsid w:val="005C44BB"/>
    <w:rsid w:val="005C44EC"/>
    <w:rsid w:val="005C4597"/>
    <w:rsid w:val="005C4612"/>
    <w:rsid w:val="005C46C9"/>
    <w:rsid w:val="005C46E8"/>
    <w:rsid w:val="005C4727"/>
    <w:rsid w:val="005C47D9"/>
    <w:rsid w:val="005C4851"/>
    <w:rsid w:val="005C4877"/>
    <w:rsid w:val="005C48BB"/>
    <w:rsid w:val="005C48FF"/>
    <w:rsid w:val="005C490C"/>
    <w:rsid w:val="005C4912"/>
    <w:rsid w:val="005C4921"/>
    <w:rsid w:val="005C492E"/>
    <w:rsid w:val="005C494E"/>
    <w:rsid w:val="005C4A6F"/>
    <w:rsid w:val="005C4AEC"/>
    <w:rsid w:val="005C4B65"/>
    <w:rsid w:val="005C4B8A"/>
    <w:rsid w:val="005C4B8B"/>
    <w:rsid w:val="005C4B9A"/>
    <w:rsid w:val="005C4BB9"/>
    <w:rsid w:val="005C4CA0"/>
    <w:rsid w:val="005C4CAC"/>
    <w:rsid w:val="005C4CBF"/>
    <w:rsid w:val="005C4CC7"/>
    <w:rsid w:val="005C4CD7"/>
    <w:rsid w:val="005C4CE1"/>
    <w:rsid w:val="005C4CF7"/>
    <w:rsid w:val="005C4CFC"/>
    <w:rsid w:val="005C4D53"/>
    <w:rsid w:val="005C4D90"/>
    <w:rsid w:val="005C4DB3"/>
    <w:rsid w:val="005C4DE5"/>
    <w:rsid w:val="005C4E14"/>
    <w:rsid w:val="005C4E7C"/>
    <w:rsid w:val="005C4E88"/>
    <w:rsid w:val="005C4EED"/>
    <w:rsid w:val="005C4EF5"/>
    <w:rsid w:val="005C4F15"/>
    <w:rsid w:val="005C4FAC"/>
    <w:rsid w:val="005C501D"/>
    <w:rsid w:val="005C503A"/>
    <w:rsid w:val="005C504A"/>
    <w:rsid w:val="005C5056"/>
    <w:rsid w:val="005C505C"/>
    <w:rsid w:val="005C5063"/>
    <w:rsid w:val="005C5079"/>
    <w:rsid w:val="005C507B"/>
    <w:rsid w:val="005C50E8"/>
    <w:rsid w:val="005C5175"/>
    <w:rsid w:val="005C519D"/>
    <w:rsid w:val="005C51C8"/>
    <w:rsid w:val="005C51E0"/>
    <w:rsid w:val="005C51E1"/>
    <w:rsid w:val="005C5377"/>
    <w:rsid w:val="005C53B2"/>
    <w:rsid w:val="005C53B4"/>
    <w:rsid w:val="005C53D9"/>
    <w:rsid w:val="005C53DE"/>
    <w:rsid w:val="005C5426"/>
    <w:rsid w:val="005C5438"/>
    <w:rsid w:val="005C545D"/>
    <w:rsid w:val="005C5466"/>
    <w:rsid w:val="005C54AE"/>
    <w:rsid w:val="005C54D3"/>
    <w:rsid w:val="005C54D6"/>
    <w:rsid w:val="005C54D9"/>
    <w:rsid w:val="005C5526"/>
    <w:rsid w:val="005C559F"/>
    <w:rsid w:val="005C561C"/>
    <w:rsid w:val="005C566A"/>
    <w:rsid w:val="005C5683"/>
    <w:rsid w:val="005C56AA"/>
    <w:rsid w:val="005C56CC"/>
    <w:rsid w:val="005C5706"/>
    <w:rsid w:val="005C570C"/>
    <w:rsid w:val="005C571B"/>
    <w:rsid w:val="005C574D"/>
    <w:rsid w:val="005C576C"/>
    <w:rsid w:val="005C57A9"/>
    <w:rsid w:val="005C57CD"/>
    <w:rsid w:val="005C57D2"/>
    <w:rsid w:val="005C57DB"/>
    <w:rsid w:val="005C57EE"/>
    <w:rsid w:val="005C580A"/>
    <w:rsid w:val="005C5843"/>
    <w:rsid w:val="005C5927"/>
    <w:rsid w:val="005C5940"/>
    <w:rsid w:val="005C5959"/>
    <w:rsid w:val="005C596C"/>
    <w:rsid w:val="005C597D"/>
    <w:rsid w:val="005C59B5"/>
    <w:rsid w:val="005C5A1D"/>
    <w:rsid w:val="005C5A79"/>
    <w:rsid w:val="005C5AAF"/>
    <w:rsid w:val="005C5AB3"/>
    <w:rsid w:val="005C5AD9"/>
    <w:rsid w:val="005C5B16"/>
    <w:rsid w:val="005C5B3E"/>
    <w:rsid w:val="005C5B87"/>
    <w:rsid w:val="005C5BC0"/>
    <w:rsid w:val="005C5BF2"/>
    <w:rsid w:val="005C5C44"/>
    <w:rsid w:val="005C5CEA"/>
    <w:rsid w:val="005C5D4C"/>
    <w:rsid w:val="005C5D7C"/>
    <w:rsid w:val="005C5DE5"/>
    <w:rsid w:val="005C5E27"/>
    <w:rsid w:val="005C5E3A"/>
    <w:rsid w:val="005C5EE5"/>
    <w:rsid w:val="005C5EFE"/>
    <w:rsid w:val="005C5F1A"/>
    <w:rsid w:val="005C5F69"/>
    <w:rsid w:val="005C5F9C"/>
    <w:rsid w:val="005C5FCA"/>
    <w:rsid w:val="005C600F"/>
    <w:rsid w:val="005C603A"/>
    <w:rsid w:val="005C60C4"/>
    <w:rsid w:val="005C6163"/>
    <w:rsid w:val="005C6173"/>
    <w:rsid w:val="005C61D4"/>
    <w:rsid w:val="005C61F0"/>
    <w:rsid w:val="005C6204"/>
    <w:rsid w:val="005C62EC"/>
    <w:rsid w:val="005C6304"/>
    <w:rsid w:val="005C63A9"/>
    <w:rsid w:val="005C646A"/>
    <w:rsid w:val="005C6480"/>
    <w:rsid w:val="005C648A"/>
    <w:rsid w:val="005C649A"/>
    <w:rsid w:val="005C6510"/>
    <w:rsid w:val="005C659B"/>
    <w:rsid w:val="005C65C9"/>
    <w:rsid w:val="005C65FD"/>
    <w:rsid w:val="005C6619"/>
    <w:rsid w:val="005C6648"/>
    <w:rsid w:val="005C6650"/>
    <w:rsid w:val="005C666B"/>
    <w:rsid w:val="005C668B"/>
    <w:rsid w:val="005C6783"/>
    <w:rsid w:val="005C6795"/>
    <w:rsid w:val="005C67D0"/>
    <w:rsid w:val="005C6803"/>
    <w:rsid w:val="005C6863"/>
    <w:rsid w:val="005C68CA"/>
    <w:rsid w:val="005C6917"/>
    <w:rsid w:val="005C6A7C"/>
    <w:rsid w:val="005C6A83"/>
    <w:rsid w:val="005C6A9B"/>
    <w:rsid w:val="005C6AB4"/>
    <w:rsid w:val="005C6B0C"/>
    <w:rsid w:val="005C6B1C"/>
    <w:rsid w:val="005C6B62"/>
    <w:rsid w:val="005C6BEC"/>
    <w:rsid w:val="005C6C07"/>
    <w:rsid w:val="005C6C22"/>
    <w:rsid w:val="005C6C49"/>
    <w:rsid w:val="005C6C77"/>
    <w:rsid w:val="005C6C81"/>
    <w:rsid w:val="005C6D1E"/>
    <w:rsid w:val="005C6D64"/>
    <w:rsid w:val="005C6D8A"/>
    <w:rsid w:val="005C6DDE"/>
    <w:rsid w:val="005C6E6E"/>
    <w:rsid w:val="005C6EC5"/>
    <w:rsid w:val="005C6ED9"/>
    <w:rsid w:val="005C6F02"/>
    <w:rsid w:val="005C6F15"/>
    <w:rsid w:val="005C6F75"/>
    <w:rsid w:val="005C6F82"/>
    <w:rsid w:val="005C6F83"/>
    <w:rsid w:val="005C6FAD"/>
    <w:rsid w:val="005C6FB7"/>
    <w:rsid w:val="005C703C"/>
    <w:rsid w:val="005C707F"/>
    <w:rsid w:val="005C70EB"/>
    <w:rsid w:val="005C714A"/>
    <w:rsid w:val="005C7174"/>
    <w:rsid w:val="005C71CC"/>
    <w:rsid w:val="005C71EA"/>
    <w:rsid w:val="005C7210"/>
    <w:rsid w:val="005C7244"/>
    <w:rsid w:val="005C7266"/>
    <w:rsid w:val="005C7293"/>
    <w:rsid w:val="005C72D9"/>
    <w:rsid w:val="005C7339"/>
    <w:rsid w:val="005C738E"/>
    <w:rsid w:val="005C73A8"/>
    <w:rsid w:val="005C73B1"/>
    <w:rsid w:val="005C73DA"/>
    <w:rsid w:val="005C741E"/>
    <w:rsid w:val="005C753E"/>
    <w:rsid w:val="005C7558"/>
    <w:rsid w:val="005C7647"/>
    <w:rsid w:val="005C7711"/>
    <w:rsid w:val="005C773A"/>
    <w:rsid w:val="005C773F"/>
    <w:rsid w:val="005C7754"/>
    <w:rsid w:val="005C775B"/>
    <w:rsid w:val="005C7803"/>
    <w:rsid w:val="005C783F"/>
    <w:rsid w:val="005C7863"/>
    <w:rsid w:val="005C789B"/>
    <w:rsid w:val="005C78A2"/>
    <w:rsid w:val="005C7961"/>
    <w:rsid w:val="005C79B1"/>
    <w:rsid w:val="005C79EE"/>
    <w:rsid w:val="005C79F2"/>
    <w:rsid w:val="005C79F4"/>
    <w:rsid w:val="005C7B25"/>
    <w:rsid w:val="005C7B7A"/>
    <w:rsid w:val="005C7BF5"/>
    <w:rsid w:val="005C7C95"/>
    <w:rsid w:val="005C7CDD"/>
    <w:rsid w:val="005C7CDF"/>
    <w:rsid w:val="005C7D1F"/>
    <w:rsid w:val="005C7D33"/>
    <w:rsid w:val="005C7D36"/>
    <w:rsid w:val="005C7DB0"/>
    <w:rsid w:val="005C7E18"/>
    <w:rsid w:val="005C7E3E"/>
    <w:rsid w:val="005C7E6C"/>
    <w:rsid w:val="005C7E8B"/>
    <w:rsid w:val="005C7EC8"/>
    <w:rsid w:val="005C7EDB"/>
    <w:rsid w:val="005C7F21"/>
    <w:rsid w:val="005C7F77"/>
    <w:rsid w:val="005C7F8E"/>
    <w:rsid w:val="005C7FEA"/>
    <w:rsid w:val="005C7FF0"/>
    <w:rsid w:val="005D002F"/>
    <w:rsid w:val="005D00ED"/>
    <w:rsid w:val="005D0128"/>
    <w:rsid w:val="005D014D"/>
    <w:rsid w:val="005D0152"/>
    <w:rsid w:val="005D0158"/>
    <w:rsid w:val="005D016D"/>
    <w:rsid w:val="005D01A1"/>
    <w:rsid w:val="005D01B1"/>
    <w:rsid w:val="005D01CC"/>
    <w:rsid w:val="005D01D6"/>
    <w:rsid w:val="005D024A"/>
    <w:rsid w:val="005D0280"/>
    <w:rsid w:val="005D02AF"/>
    <w:rsid w:val="005D02FD"/>
    <w:rsid w:val="005D02FF"/>
    <w:rsid w:val="005D031D"/>
    <w:rsid w:val="005D0322"/>
    <w:rsid w:val="005D0368"/>
    <w:rsid w:val="005D03E0"/>
    <w:rsid w:val="005D0416"/>
    <w:rsid w:val="005D0474"/>
    <w:rsid w:val="005D0491"/>
    <w:rsid w:val="005D04B7"/>
    <w:rsid w:val="005D04DB"/>
    <w:rsid w:val="005D04DE"/>
    <w:rsid w:val="005D059A"/>
    <w:rsid w:val="005D059F"/>
    <w:rsid w:val="005D05AA"/>
    <w:rsid w:val="005D05B0"/>
    <w:rsid w:val="005D05BE"/>
    <w:rsid w:val="005D05D8"/>
    <w:rsid w:val="005D060E"/>
    <w:rsid w:val="005D065F"/>
    <w:rsid w:val="005D0662"/>
    <w:rsid w:val="005D06C3"/>
    <w:rsid w:val="005D06F8"/>
    <w:rsid w:val="005D0703"/>
    <w:rsid w:val="005D072D"/>
    <w:rsid w:val="005D0769"/>
    <w:rsid w:val="005D0779"/>
    <w:rsid w:val="005D078D"/>
    <w:rsid w:val="005D079F"/>
    <w:rsid w:val="005D07D6"/>
    <w:rsid w:val="005D0802"/>
    <w:rsid w:val="005D0827"/>
    <w:rsid w:val="005D0829"/>
    <w:rsid w:val="005D0847"/>
    <w:rsid w:val="005D0890"/>
    <w:rsid w:val="005D089D"/>
    <w:rsid w:val="005D08B5"/>
    <w:rsid w:val="005D08D4"/>
    <w:rsid w:val="005D099A"/>
    <w:rsid w:val="005D0B2C"/>
    <w:rsid w:val="005D0B9F"/>
    <w:rsid w:val="005D0BEF"/>
    <w:rsid w:val="005D0C6B"/>
    <w:rsid w:val="005D0C6F"/>
    <w:rsid w:val="005D0CCA"/>
    <w:rsid w:val="005D0CE6"/>
    <w:rsid w:val="005D0D0B"/>
    <w:rsid w:val="005D0D20"/>
    <w:rsid w:val="005D0D4F"/>
    <w:rsid w:val="005D0D61"/>
    <w:rsid w:val="005D0D71"/>
    <w:rsid w:val="005D0DCA"/>
    <w:rsid w:val="005D0DF2"/>
    <w:rsid w:val="005D0E0A"/>
    <w:rsid w:val="005D0E0F"/>
    <w:rsid w:val="005D0EF5"/>
    <w:rsid w:val="005D0F14"/>
    <w:rsid w:val="005D0F27"/>
    <w:rsid w:val="005D0F50"/>
    <w:rsid w:val="005D0F5F"/>
    <w:rsid w:val="005D0F97"/>
    <w:rsid w:val="005D0FED"/>
    <w:rsid w:val="005D1003"/>
    <w:rsid w:val="005D1007"/>
    <w:rsid w:val="005D103E"/>
    <w:rsid w:val="005D1059"/>
    <w:rsid w:val="005D1096"/>
    <w:rsid w:val="005D117C"/>
    <w:rsid w:val="005D120C"/>
    <w:rsid w:val="005D1272"/>
    <w:rsid w:val="005D12B7"/>
    <w:rsid w:val="005D132D"/>
    <w:rsid w:val="005D1335"/>
    <w:rsid w:val="005D135A"/>
    <w:rsid w:val="005D141E"/>
    <w:rsid w:val="005D1469"/>
    <w:rsid w:val="005D14A5"/>
    <w:rsid w:val="005D14D3"/>
    <w:rsid w:val="005D14F8"/>
    <w:rsid w:val="005D1545"/>
    <w:rsid w:val="005D1580"/>
    <w:rsid w:val="005D15F4"/>
    <w:rsid w:val="005D15FD"/>
    <w:rsid w:val="005D161F"/>
    <w:rsid w:val="005D1699"/>
    <w:rsid w:val="005D16D4"/>
    <w:rsid w:val="005D173D"/>
    <w:rsid w:val="005D176E"/>
    <w:rsid w:val="005D1778"/>
    <w:rsid w:val="005D17B8"/>
    <w:rsid w:val="005D17C6"/>
    <w:rsid w:val="005D180A"/>
    <w:rsid w:val="005D1822"/>
    <w:rsid w:val="005D1878"/>
    <w:rsid w:val="005D1889"/>
    <w:rsid w:val="005D1922"/>
    <w:rsid w:val="005D194F"/>
    <w:rsid w:val="005D196C"/>
    <w:rsid w:val="005D197A"/>
    <w:rsid w:val="005D19FF"/>
    <w:rsid w:val="005D1A63"/>
    <w:rsid w:val="005D1A6D"/>
    <w:rsid w:val="005D1ADF"/>
    <w:rsid w:val="005D1B14"/>
    <w:rsid w:val="005D1B88"/>
    <w:rsid w:val="005D1BF9"/>
    <w:rsid w:val="005D1C62"/>
    <w:rsid w:val="005D1C66"/>
    <w:rsid w:val="005D1C72"/>
    <w:rsid w:val="005D1CA5"/>
    <w:rsid w:val="005D1CD5"/>
    <w:rsid w:val="005D1CE0"/>
    <w:rsid w:val="005D1D44"/>
    <w:rsid w:val="005D1D4D"/>
    <w:rsid w:val="005D1D66"/>
    <w:rsid w:val="005D1DA0"/>
    <w:rsid w:val="005D1DBF"/>
    <w:rsid w:val="005D1DD9"/>
    <w:rsid w:val="005D1E1F"/>
    <w:rsid w:val="005D1E67"/>
    <w:rsid w:val="005D1E6A"/>
    <w:rsid w:val="005D1EEB"/>
    <w:rsid w:val="005D1F55"/>
    <w:rsid w:val="005D1F5C"/>
    <w:rsid w:val="005D1FB5"/>
    <w:rsid w:val="005D1FD2"/>
    <w:rsid w:val="005D1FEB"/>
    <w:rsid w:val="005D1FEC"/>
    <w:rsid w:val="005D2002"/>
    <w:rsid w:val="005D2046"/>
    <w:rsid w:val="005D208C"/>
    <w:rsid w:val="005D20AC"/>
    <w:rsid w:val="005D20AE"/>
    <w:rsid w:val="005D20BC"/>
    <w:rsid w:val="005D212E"/>
    <w:rsid w:val="005D21E2"/>
    <w:rsid w:val="005D21EF"/>
    <w:rsid w:val="005D2218"/>
    <w:rsid w:val="005D224A"/>
    <w:rsid w:val="005D2284"/>
    <w:rsid w:val="005D22D9"/>
    <w:rsid w:val="005D22F3"/>
    <w:rsid w:val="005D230D"/>
    <w:rsid w:val="005D2328"/>
    <w:rsid w:val="005D2335"/>
    <w:rsid w:val="005D2354"/>
    <w:rsid w:val="005D23C5"/>
    <w:rsid w:val="005D23D5"/>
    <w:rsid w:val="005D23E7"/>
    <w:rsid w:val="005D23E8"/>
    <w:rsid w:val="005D243F"/>
    <w:rsid w:val="005D24AE"/>
    <w:rsid w:val="005D24F7"/>
    <w:rsid w:val="005D267C"/>
    <w:rsid w:val="005D2687"/>
    <w:rsid w:val="005D2709"/>
    <w:rsid w:val="005D2748"/>
    <w:rsid w:val="005D2753"/>
    <w:rsid w:val="005D2864"/>
    <w:rsid w:val="005D2910"/>
    <w:rsid w:val="005D29DE"/>
    <w:rsid w:val="005D2A3D"/>
    <w:rsid w:val="005D2A50"/>
    <w:rsid w:val="005D2A61"/>
    <w:rsid w:val="005D2ABC"/>
    <w:rsid w:val="005D2B10"/>
    <w:rsid w:val="005D2B70"/>
    <w:rsid w:val="005D2B7C"/>
    <w:rsid w:val="005D2BA5"/>
    <w:rsid w:val="005D2BBE"/>
    <w:rsid w:val="005D2BC3"/>
    <w:rsid w:val="005D2BF9"/>
    <w:rsid w:val="005D2C08"/>
    <w:rsid w:val="005D2C4A"/>
    <w:rsid w:val="005D2C6F"/>
    <w:rsid w:val="005D2CA9"/>
    <w:rsid w:val="005D2CD7"/>
    <w:rsid w:val="005D2D00"/>
    <w:rsid w:val="005D2D33"/>
    <w:rsid w:val="005D2D4D"/>
    <w:rsid w:val="005D2D82"/>
    <w:rsid w:val="005D2DD1"/>
    <w:rsid w:val="005D2E02"/>
    <w:rsid w:val="005D2E18"/>
    <w:rsid w:val="005D2E9B"/>
    <w:rsid w:val="005D2EDF"/>
    <w:rsid w:val="005D2F3A"/>
    <w:rsid w:val="005D2F3B"/>
    <w:rsid w:val="005D2F3E"/>
    <w:rsid w:val="005D2F70"/>
    <w:rsid w:val="005D2FC3"/>
    <w:rsid w:val="005D2FD2"/>
    <w:rsid w:val="005D3010"/>
    <w:rsid w:val="005D302D"/>
    <w:rsid w:val="005D3038"/>
    <w:rsid w:val="005D30AB"/>
    <w:rsid w:val="005D30B0"/>
    <w:rsid w:val="005D317C"/>
    <w:rsid w:val="005D322A"/>
    <w:rsid w:val="005D3236"/>
    <w:rsid w:val="005D3249"/>
    <w:rsid w:val="005D3270"/>
    <w:rsid w:val="005D32DF"/>
    <w:rsid w:val="005D32E8"/>
    <w:rsid w:val="005D332F"/>
    <w:rsid w:val="005D3359"/>
    <w:rsid w:val="005D3453"/>
    <w:rsid w:val="005D346C"/>
    <w:rsid w:val="005D34BA"/>
    <w:rsid w:val="005D34F5"/>
    <w:rsid w:val="005D3573"/>
    <w:rsid w:val="005D35C3"/>
    <w:rsid w:val="005D35FC"/>
    <w:rsid w:val="005D360A"/>
    <w:rsid w:val="005D360F"/>
    <w:rsid w:val="005D361C"/>
    <w:rsid w:val="005D3649"/>
    <w:rsid w:val="005D3651"/>
    <w:rsid w:val="005D3680"/>
    <w:rsid w:val="005D36C0"/>
    <w:rsid w:val="005D36D4"/>
    <w:rsid w:val="005D37BE"/>
    <w:rsid w:val="005D37CC"/>
    <w:rsid w:val="005D37D4"/>
    <w:rsid w:val="005D37DF"/>
    <w:rsid w:val="005D382B"/>
    <w:rsid w:val="005D39DF"/>
    <w:rsid w:val="005D3A2C"/>
    <w:rsid w:val="005D3A5E"/>
    <w:rsid w:val="005D3AA7"/>
    <w:rsid w:val="005D3B8C"/>
    <w:rsid w:val="005D3BEA"/>
    <w:rsid w:val="005D3C38"/>
    <w:rsid w:val="005D3CD1"/>
    <w:rsid w:val="005D3CDC"/>
    <w:rsid w:val="005D3CE7"/>
    <w:rsid w:val="005D3DF9"/>
    <w:rsid w:val="005D3E0D"/>
    <w:rsid w:val="005D3EA9"/>
    <w:rsid w:val="005D3EFF"/>
    <w:rsid w:val="005D3F64"/>
    <w:rsid w:val="005D3F7A"/>
    <w:rsid w:val="005D3F80"/>
    <w:rsid w:val="005D4043"/>
    <w:rsid w:val="005D405A"/>
    <w:rsid w:val="005D40AF"/>
    <w:rsid w:val="005D40D3"/>
    <w:rsid w:val="005D40F9"/>
    <w:rsid w:val="005D4111"/>
    <w:rsid w:val="005D413D"/>
    <w:rsid w:val="005D421B"/>
    <w:rsid w:val="005D4276"/>
    <w:rsid w:val="005D42E9"/>
    <w:rsid w:val="005D4323"/>
    <w:rsid w:val="005D4328"/>
    <w:rsid w:val="005D433D"/>
    <w:rsid w:val="005D4396"/>
    <w:rsid w:val="005D43E0"/>
    <w:rsid w:val="005D43EF"/>
    <w:rsid w:val="005D442A"/>
    <w:rsid w:val="005D449D"/>
    <w:rsid w:val="005D462B"/>
    <w:rsid w:val="005D468E"/>
    <w:rsid w:val="005D4743"/>
    <w:rsid w:val="005D47E0"/>
    <w:rsid w:val="005D4858"/>
    <w:rsid w:val="005D488E"/>
    <w:rsid w:val="005D489A"/>
    <w:rsid w:val="005D48A4"/>
    <w:rsid w:val="005D48D8"/>
    <w:rsid w:val="005D48EF"/>
    <w:rsid w:val="005D4942"/>
    <w:rsid w:val="005D4952"/>
    <w:rsid w:val="005D4955"/>
    <w:rsid w:val="005D496C"/>
    <w:rsid w:val="005D4A09"/>
    <w:rsid w:val="005D4C14"/>
    <w:rsid w:val="005D4C2D"/>
    <w:rsid w:val="005D4C72"/>
    <w:rsid w:val="005D4C90"/>
    <w:rsid w:val="005D4D6A"/>
    <w:rsid w:val="005D4D72"/>
    <w:rsid w:val="005D4D7D"/>
    <w:rsid w:val="005D4DCD"/>
    <w:rsid w:val="005D4DDF"/>
    <w:rsid w:val="005D4E7C"/>
    <w:rsid w:val="005D4E97"/>
    <w:rsid w:val="005D4EF1"/>
    <w:rsid w:val="005D4EFE"/>
    <w:rsid w:val="005D4F1D"/>
    <w:rsid w:val="005D4FB6"/>
    <w:rsid w:val="005D4FC5"/>
    <w:rsid w:val="005D4FC6"/>
    <w:rsid w:val="005D4FD4"/>
    <w:rsid w:val="005D50B0"/>
    <w:rsid w:val="005D513D"/>
    <w:rsid w:val="005D515F"/>
    <w:rsid w:val="005D51C2"/>
    <w:rsid w:val="005D51C9"/>
    <w:rsid w:val="005D524B"/>
    <w:rsid w:val="005D5258"/>
    <w:rsid w:val="005D5261"/>
    <w:rsid w:val="005D52A9"/>
    <w:rsid w:val="005D5319"/>
    <w:rsid w:val="005D5322"/>
    <w:rsid w:val="005D5376"/>
    <w:rsid w:val="005D5378"/>
    <w:rsid w:val="005D539A"/>
    <w:rsid w:val="005D53A6"/>
    <w:rsid w:val="005D53DF"/>
    <w:rsid w:val="005D543B"/>
    <w:rsid w:val="005D5481"/>
    <w:rsid w:val="005D54F1"/>
    <w:rsid w:val="005D54F6"/>
    <w:rsid w:val="005D5507"/>
    <w:rsid w:val="005D5538"/>
    <w:rsid w:val="005D554B"/>
    <w:rsid w:val="005D5566"/>
    <w:rsid w:val="005D5582"/>
    <w:rsid w:val="005D5585"/>
    <w:rsid w:val="005D55C7"/>
    <w:rsid w:val="005D55F7"/>
    <w:rsid w:val="005D5648"/>
    <w:rsid w:val="005D577F"/>
    <w:rsid w:val="005D57AC"/>
    <w:rsid w:val="005D57C7"/>
    <w:rsid w:val="005D57D3"/>
    <w:rsid w:val="005D57F0"/>
    <w:rsid w:val="005D583B"/>
    <w:rsid w:val="005D587D"/>
    <w:rsid w:val="005D589F"/>
    <w:rsid w:val="005D58D7"/>
    <w:rsid w:val="005D59A2"/>
    <w:rsid w:val="005D59B6"/>
    <w:rsid w:val="005D5A3C"/>
    <w:rsid w:val="005D5AD0"/>
    <w:rsid w:val="005D5B09"/>
    <w:rsid w:val="005D5B46"/>
    <w:rsid w:val="005D5B5D"/>
    <w:rsid w:val="005D5B6A"/>
    <w:rsid w:val="005D5CA7"/>
    <w:rsid w:val="005D5D15"/>
    <w:rsid w:val="005D5DB8"/>
    <w:rsid w:val="005D5DCB"/>
    <w:rsid w:val="005D5E7F"/>
    <w:rsid w:val="005D5EBF"/>
    <w:rsid w:val="005D5F26"/>
    <w:rsid w:val="005D5F44"/>
    <w:rsid w:val="005D5F88"/>
    <w:rsid w:val="005D5FAE"/>
    <w:rsid w:val="005D5FE0"/>
    <w:rsid w:val="005D5FEF"/>
    <w:rsid w:val="005D6054"/>
    <w:rsid w:val="005D6086"/>
    <w:rsid w:val="005D6087"/>
    <w:rsid w:val="005D6097"/>
    <w:rsid w:val="005D60AB"/>
    <w:rsid w:val="005D60C7"/>
    <w:rsid w:val="005D60F5"/>
    <w:rsid w:val="005D6147"/>
    <w:rsid w:val="005D61A2"/>
    <w:rsid w:val="005D620F"/>
    <w:rsid w:val="005D6231"/>
    <w:rsid w:val="005D624E"/>
    <w:rsid w:val="005D6266"/>
    <w:rsid w:val="005D6318"/>
    <w:rsid w:val="005D6360"/>
    <w:rsid w:val="005D637D"/>
    <w:rsid w:val="005D6393"/>
    <w:rsid w:val="005D6472"/>
    <w:rsid w:val="005D651D"/>
    <w:rsid w:val="005D653B"/>
    <w:rsid w:val="005D6603"/>
    <w:rsid w:val="005D6660"/>
    <w:rsid w:val="005D6666"/>
    <w:rsid w:val="005D6669"/>
    <w:rsid w:val="005D66CA"/>
    <w:rsid w:val="005D66D8"/>
    <w:rsid w:val="005D6715"/>
    <w:rsid w:val="005D6724"/>
    <w:rsid w:val="005D6754"/>
    <w:rsid w:val="005D675C"/>
    <w:rsid w:val="005D680F"/>
    <w:rsid w:val="005D686E"/>
    <w:rsid w:val="005D687E"/>
    <w:rsid w:val="005D6885"/>
    <w:rsid w:val="005D6895"/>
    <w:rsid w:val="005D689E"/>
    <w:rsid w:val="005D6916"/>
    <w:rsid w:val="005D692A"/>
    <w:rsid w:val="005D6940"/>
    <w:rsid w:val="005D6974"/>
    <w:rsid w:val="005D6991"/>
    <w:rsid w:val="005D69D3"/>
    <w:rsid w:val="005D6A21"/>
    <w:rsid w:val="005D6A7C"/>
    <w:rsid w:val="005D6A9E"/>
    <w:rsid w:val="005D6B46"/>
    <w:rsid w:val="005D6B9A"/>
    <w:rsid w:val="005D6BF9"/>
    <w:rsid w:val="005D6CB0"/>
    <w:rsid w:val="005D6D15"/>
    <w:rsid w:val="005D6D18"/>
    <w:rsid w:val="005D6D64"/>
    <w:rsid w:val="005D6E30"/>
    <w:rsid w:val="005D6E3D"/>
    <w:rsid w:val="005D6E76"/>
    <w:rsid w:val="005D6ECA"/>
    <w:rsid w:val="005D6FB1"/>
    <w:rsid w:val="005D7002"/>
    <w:rsid w:val="005D704B"/>
    <w:rsid w:val="005D7062"/>
    <w:rsid w:val="005D7081"/>
    <w:rsid w:val="005D7157"/>
    <w:rsid w:val="005D7168"/>
    <w:rsid w:val="005D7170"/>
    <w:rsid w:val="005D71AF"/>
    <w:rsid w:val="005D71C7"/>
    <w:rsid w:val="005D7218"/>
    <w:rsid w:val="005D72C6"/>
    <w:rsid w:val="005D7328"/>
    <w:rsid w:val="005D734B"/>
    <w:rsid w:val="005D7369"/>
    <w:rsid w:val="005D7380"/>
    <w:rsid w:val="005D73A8"/>
    <w:rsid w:val="005D73BF"/>
    <w:rsid w:val="005D7401"/>
    <w:rsid w:val="005D74A4"/>
    <w:rsid w:val="005D74DF"/>
    <w:rsid w:val="005D752F"/>
    <w:rsid w:val="005D7534"/>
    <w:rsid w:val="005D754A"/>
    <w:rsid w:val="005D7596"/>
    <w:rsid w:val="005D75DD"/>
    <w:rsid w:val="005D75FC"/>
    <w:rsid w:val="005D7640"/>
    <w:rsid w:val="005D7677"/>
    <w:rsid w:val="005D76D2"/>
    <w:rsid w:val="005D7733"/>
    <w:rsid w:val="005D77A3"/>
    <w:rsid w:val="005D77DA"/>
    <w:rsid w:val="005D7865"/>
    <w:rsid w:val="005D787B"/>
    <w:rsid w:val="005D7905"/>
    <w:rsid w:val="005D79B0"/>
    <w:rsid w:val="005D79CD"/>
    <w:rsid w:val="005D7AC2"/>
    <w:rsid w:val="005D7AF7"/>
    <w:rsid w:val="005D7B1A"/>
    <w:rsid w:val="005D7B45"/>
    <w:rsid w:val="005D7B5F"/>
    <w:rsid w:val="005D7C3B"/>
    <w:rsid w:val="005D7C5C"/>
    <w:rsid w:val="005D7C8B"/>
    <w:rsid w:val="005D7CA4"/>
    <w:rsid w:val="005D7D20"/>
    <w:rsid w:val="005D7D29"/>
    <w:rsid w:val="005D7D35"/>
    <w:rsid w:val="005D7D59"/>
    <w:rsid w:val="005D7D63"/>
    <w:rsid w:val="005D7D79"/>
    <w:rsid w:val="005D7DC2"/>
    <w:rsid w:val="005D7DC3"/>
    <w:rsid w:val="005D7E33"/>
    <w:rsid w:val="005D7E47"/>
    <w:rsid w:val="005D7E5E"/>
    <w:rsid w:val="005D7F11"/>
    <w:rsid w:val="005D7F17"/>
    <w:rsid w:val="005D7FAA"/>
    <w:rsid w:val="005D7FB1"/>
    <w:rsid w:val="005D7FC5"/>
    <w:rsid w:val="005D7FD0"/>
    <w:rsid w:val="005D7FD3"/>
    <w:rsid w:val="005E00C4"/>
    <w:rsid w:val="005E0132"/>
    <w:rsid w:val="005E0146"/>
    <w:rsid w:val="005E0209"/>
    <w:rsid w:val="005E0292"/>
    <w:rsid w:val="005E0384"/>
    <w:rsid w:val="005E03BE"/>
    <w:rsid w:val="005E03C7"/>
    <w:rsid w:val="005E04B7"/>
    <w:rsid w:val="005E04C8"/>
    <w:rsid w:val="005E052A"/>
    <w:rsid w:val="005E0590"/>
    <w:rsid w:val="005E0611"/>
    <w:rsid w:val="005E0690"/>
    <w:rsid w:val="005E06DB"/>
    <w:rsid w:val="005E06E2"/>
    <w:rsid w:val="005E0709"/>
    <w:rsid w:val="005E0743"/>
    <w:rsid w:val="005E0846"/>
    <w:rsid w:val="005E086C"/>
    <w:rsid w:val="005E08E0"/>
    <w:rsid w:val="005E0944"/>
    <w:rsid w:val="005E094C"/>
    <w:rsid w:val="005E097A"/>
    <w:rsid w:val="005E09F4"/>
    <w:rsid w:val="005E0A7C"/>
    <w:rsid w:val="005E0A82"/>
    <w:rsid w:val="005E0A94"/>
    <w:rsid w:val="005E0AE4"/>
    <w:rsid w:val="005E0AF2"/>
    <w:rsid w:val="005E0B6D"/>
    <w:rsid w:val="005E0C05"/>
    <w:rsid w:val="005E0C60"/>
    <w:rsid w:val="005E0C87"/>
    <w:rsid w:val="005E0CF3"/>
    <w:rsid w:val="005E0D02"/>
    <w:rsid w:val="005E0D68"/>
    <w:rsid w:val="005E0D95"/>
    <w:rsid w:val="005E0DEB"/>
    <w:rsid w:val="005E0E05"/>
    <w:rsid w:val="005E0E7E"/>
    <w:rsid w:val="005E0EB9"/>
    <w:rsid w:val="005E0EFC"/>
    <w:rsid w:val="005E0F42"/>
    <w:rsid w:val="005E0F51"/>
    <w:rsid w:val="005E0F56"/>
    <w:rsid w:val="005E0F57"/>
    <w:rsid w:val="005E0FEF"/>
    <w:rsid w:val="005E10A9"/>
    <w:rsid w:val="005E10BC"/>
    <w:rsid w:val="005E10E3"/>
    <w:rsid w:val="005E1128"/>
    <w:rsid w:val="005E1173"/>
    <w:rsid w:val="005E1190"/>
    <w:rsid w:val="005E122C"/>
    <w:rsid w:val="005E1331"/>
    <w:rsid w:val="005E13FD"/>
    <w:rsid w:val="005E1402"/>
    <w:rsid w:val="005E1446"/>
    <w:rsid w:val="005E145B"/>
    <w:rsid w:val="005E149D"/>
    <w:rsid w:val="005E1500"/>
    <w:rsid w:val="005E1554"/>
    <w:rsid w:val="005E1579"/>
    <w:rsid w:val="005E1589"/>
    <w:rsid w:val="005E15C2"/>
    <w:rsid w:val="005E1626"/>
    <w:rsid w:val="005E1627"/>
    <w:rsid w:val="005E16A6"/>
    <w:rsid w:val="005E16D3"/>
    <w:rsid w:val="005E173C"/>
    <w:rsid w:val="005E1782"/>
    <w:rsid w:val="005E17AA"/>
    <w:rsid w:val="005E18B6"/>
    <w:rsid w:val="005E18B7"/>
    <w:rsid w:val="005E18B8"/>
    <w:rsid w:val="005E18D4"/>
    <w:rsid w:val="005E190C"/>
    <w:rsid w:val="005E1A03"/>
    <w:rsid w:val="005E1A4C"/>
    <w:rsid w:val="005E1AED"/>
    <w:rsid w:val="005E1B77"/>
    <w:rsid w:val="005E1BAA"/>
    <w:rsid w:val="005E1BB7"/>
    <w:rsid w:val="005E1C00"/>
    <w:rsid w:val="005E1C5A"/>
    <w:rsid w:val="005E1CC5"/>
    <w:rsid w:val="005E1CF8"/>
    <w:rsid w:val="005E1CF9"/>
    <w:rsid w:val="005E1D27"/>
    <w:rsid w:val="005E1D96"/>
    <w:rsid w:val="005E1DD0"/>
    <w:rsid w:val="005E1E38"/>
    <w:rsid w:val="005E1E63"/>
    <w:rsid w:val="005E1E75"/>
    <w:rsid w:val="005E1EAB"/>
    <w:rsid w:val="005E1EB8"/>
    <w:rsid w:val="005E1EDA"/>
    <w:rsid w:val="005E1F32"/>
    <w:rsid w:val="005E1FB2"/>
    <w:rsid w:val="005E1FD6"/>
    <w:rsid w:val="005E2007"/>
    <w:rsid w:val="005E205C"/>
    <w:rsid w:val="005E2068"/>
    <w:rsid w:val="005E2085"/>
    <w:rsid w:val="005E209E"/>
    <w:rsid w:val="005E2164"/>
    <w:rsid w:val="005E21D2"/>
    <w:rsid w:val="005E221E"/>
    <w:rsid w:val="005E2251"/>
    <w:rsid w:val="005E23DB"/>
    <w:rsid w:val="005E23ED"/>
    <w:rsid w:val="005E24C4"/>
    <w:rsid w:val="005E24FD"/>
    <w:rsid w:val="005E2518"/>
    <w:rsid w:val="005E2524"/>
    <w:rsid w:val="005E2560"/>
    <w:rsid w:val="005E257C"/>
    <w:rsid w:val="005E25B6"/>
    <w:rsid w:val="005E25C6"/>
    <w:rsid w:val="005E25D0"/>
    <w:rsid w:val="005E2682"/>
    <w:rsid w:val="005E272D"/>
    <w:rsid w:val="005E2734"/>
    <w:rsid w:val="005E277F"/>
    <w:rsid w:val="005E2874"/>
    <w:rsid w:val="005E2886"/>
    <w:rsid w:val="005E28B4"/>
    <w:rsid w:val="005E28BD"/>
    <w:rsid w:val="005E2912"/>
    <w:rsid w:val="005E2918"/>
    <w:rsid w:val="005E2926"/>
    <w:rsid w:val="005E29EF"/>
    <w:rsid w:val="005E2AD9"/>
    <w:rsid w:val="005E2AE0"/>
    <w:rsid w:val="005E2AE5"/>
    <w:rsid w:val="005E2B46"/>
    <w:rsid w:val="005E2B4F"/>
    <w:rsid w:val="005E2B9A"/>
    <w:rsid w:val="005E2BDD"/>
    <w:rsid w:val="005E2BE7"/>
    <w:rsid w:val="005E2C31"/>
    <w:rsid w:val="005E2C9B"/>
    <w:rsid w:val="005E2D08"/>
    <w:rsid w:val="005E2DCF"/>
    <w:rsid w:val="005E2DFF"/>
    <w:rsid w:val="005E2ED2"/>
    <w:rsid w:val="005E2EFF"/>
    <w:rsid w:val="005E2F7A"/>
    <w:rsid w:val="005E2F94"/>
    <w:rsid w:val="005E3023"/>
    <w:rsid w:val="005E30D1"/>
    <w:rsid w:val="005E3107"/>
    <w:rsid w:val="005E3147"/>
    <w:rsid w:val="005E3179"/>
    <w:rsid w:val="005E31E9"/>
    <w:rsid w:val="005E3267"/>
    <w:rsid w:val="005E32F3"/>
    <w:rsid w:val="005E3306"/>
    <w:rsid w:val="005E3344"/>
    <w:rsid w:val="005E33BC"/>
    <w:rsid w:val="005E33CF"/>
    <w:rsid w:val="005E33E9"/>
    <w:rsid w:val="005E340A"/>
    <w:rsid w:val="005E345C"/>
    <w:rsid w:val="005E34C0"/>
    <w:rsid w:val="005E34F6"/>
    <w:rsid w:val="005E3508"/>
    <w:rsid w:val="005E3518"/>
    <w:rsid w:val="005E3547"/>
    <w:rsid w:val="005E3554"/>
    <w:rsid w:val="005E35F3"/>
    <w:rsid w:val="005E3625"/>
    <w:rsid w:val="005E3645"/>
    <w:rsid w:val="005E3689"/>
    <w:rsid w:val="005E36A2"/>
    <w:rsid w:val="005E36CE"/>
    <w:rsid w:val="005E36E2"/>
    <w:rsid w:val="005E3702"/>
    <w:rsid w:val="005E372C"/>
    <w:rsid w:val="005E3840"/>
    <w:rsid w:val="005E3845"/>
    <w:rsid w:val="005E3870"/>
    <w:rsid w:val="005E3920"/>
    <w:rsid w:val="005E392D"/>
    <w:rsid w:val="005E39A8"/>
    <w:rsid w:val="005E39E5"/>
    <w:rsid w:val="005E39F9"/>
    <w:rsid w:val="005E3BBC"/>
    <w:rsid w:val="005E3BD5"/>
    <w:rsid w:val="005E3C21"/>
    <w:rsid w:val="005E3CA6"/>
    <w:rsid w:val="005E3CF1"/>
    <w:rsid w:val="005E3D24"/>
    <w:rsid w:val="005E3D42"/>
    <w:rsid w:val="005E3D90"/>
    <w:rsid w:val="005E3DC2"/>
    <w:rsid w:val="005E3DFB"/>
    <w:rsid w:val="005E3E16"/>
    <w:rsid w:val="005E3E45"/>
    <w:rsid w:val="005E3E52"/>
    <w:rsid w:val="005E3EB7"/>
    <w:rsid w:val="005E3EC1"/>
    <w:rsid w:val="005E3EE1"/>
    <w:rsid w:val="005E3F5A"/>
    <w:rsid w:val="005E3F6D"/>
    <w:rsid w:val="005E3F72"/>
    <w:rsid w:val="005E3FB0"/>
    <w:rsid w:val="005E3FEF"/>
    <w:rsid w:val="005E400D"/>
    <w:rsid w:val="005E402B"/>
    <w:rsid w:val="005E40AE"/>
    <w:rsid w:val="005E40B9"/>
    <w:rsid w:val="005E40C3"/>
    <w:rsid w:val="005E418C"/>
    <w:rsid w:val="005E41AC"/>
    <w:rsid w:val="005E41DB"/>
    <w:rsid w:val="005E4235"/>
    <w:rsid w:val="005E423A"/>
    <w:rsid w:val="005E423D"/>
    <w:rsid w:val="005E4247"/>
    <w:rsid w:val="005E4268"/>
    <w:rsid w:val="005E4288"/>
    <w:rsid w:val="005E4291"/>
    <w:rsid w:val="005E42BB"/>
    <w:rsid w:val="005E43E3"/>
    <w:rsid w:val="005E441A"/>
    <w:rsid w:val="005E441D"/>
    <w:rsid w:val="005E442E"/>
    <w:rsid w:val="005E4443"/>
    <w:rsid w:val="005E4476"/>
    <w:rsid w:val="005E44E3"/>
    <w:rsid w:val="005E44EB"/>
    <w:rsid w:val="005E4519"/>
    <w:rsid w:val="005E452E"/>
    <w:rsid w:val="005E4541"/>
    <w:rsid w:val="005E4572"/>
    <w:rsid w:val="005E4596"/>
    <w:rsid w:val="005E4597"/>
    <w:rsid w:val="005E45A8"/>
    <w:rsid w:val="005E461C"/>
    <w:rsid w:val="005E4625"/>
    <w:rsid w:val="005E4627"/>
    <w:rsid w:val="005E464C"/>
    <w:rsid w:val="005E465E"/>
    <w:rsid w:val="005E469E"/>
    <w:rsid w:val="005E46F5"/>
    <w:rsid w:val="005E4731"/>
    <w:rsid w:val="005E4785"/>
    <w:rsid w:val="005E4829"/>
    <w:rsid w:val="005E4881"/>
    <w:rsid w:val="005E489A"/>
    <w:rsid w:val="005E48E0"/>
    <w:rsid w:val="005E48F5"/>
    <w:rsid w:val="005E48FC"/>
    <w:rsid w:val="005E48FD"/>
    <w:rsid w:val="005E490E"/>
    <w:rsid w:val="005E4917"/>
    <w:rsid w:val="005E4A16"/>
    <w:rsid w:val="005E4A2E"/>
    <w:rsid w:val="005E4A4B"/>
    <w:rsid w:val="005E4A9C"/>
    <w:rsid w:val="005E4ACD"/>
    <w:rsid w:val="005E4AF8"/>
    <w:rsid w:val="005E4B60"/>
    <w:rsid w:val="005E4B81"/>
    <w:rsid w:val="005E4B8D"/>
    <w:rsid w:val="005E4BBC"/>
    <w:rsid w:val="005E4BC7"/>
    <w:rsid w:val="005E4BE6"/>
    <w:rsid w:val="005E4BED"/>
    <w:rsid w:val="005E4C27"/>
    <w:rsid w:val="005E4C2C"/>
    <w:rsid w:val="005E4C45"/>
    <w:rsid w:val="005E4C86"/>
    <w:rsid w:val="005E4CA2"/>
    <w:rsid w:val="005E4CD0"/>
    <w:rsid w:val="005E4D02"/>
    <w:rsid w:val="005E4D2F"/>
    <w:rsid w:val="005E4DA5"/>
    <w:rsid w:val="005E4DD3"/>
    <w:rsid w:val="005E4DE6"/>
    <w:rsid w:val="005E4EBA"/>
    <w:rsid w:val="005E4FCD"/>
    <w:rsid w:val="005E4FE0"/>
    <w:rsid w:val="005E506A"/>
    <w:rsid w:val="005E50D2"/>
    <w:rsid w:val="005E5139"/>
    <w:rsid w:val="005E515E"/>
    <w:rsid w:val="005E5174"/>
    <w:rsid w:val="005E519F"/>
    <w:rsid w:val="005E5248"/>
    <w:rsid w:val="005E524E"/>
    <w:rsid w:val="005E52F0"/>
    <w:rsid w:val="005E5368"/>
    <w:rsid w:val="005E53B6"/>
    <w:rsid w:val="005E53D7"/>
    <w:rsid w:val="005E542B"/>
    <w:rsid w:val="005E544A"/>
    <w:rsid w:val="005E546E"/>
    <w:rsid w:val="005E54AA"/>
    <w:rsid w:val="005E54D2"/>
    <w:rsid w:val="005E54D7"/>
    <w:rsid w:val="005E54F9"/>
    <w:rsid w:val="005E5544"/>
    <w:rsid w:val="005E5554"/>
    <w:rsid w:val="005E5598"/>
    <w:rsid w:val="005E55E0"/>
    <w:rsid w:val="005E55FA"/>
    <w:rsid w:val="005E55FB"/>
    <w:rsid w:val="005E5616"/>
    <w:rsid w:val="005E561E"/>
    <w:rsid w:val="005E5645"/>
    <w:rsid w:val="005E5714"/>
    <w:rsid w:val="005E5783"/>
    <w:rsid w:val="005E5789"/>
    <w:rsid w:val="005E5795"/>
    <w:rsid w:val="005E587C"/>
    <w:rsid w:val="005E58B8"/>
    <w:rsid w:val="005E58CA"/>
    <w:rsid w:val="005E58E4"/>
    <w:rsid w:val="005E58F3"/>
    <w:rsid w:val="005E5907"/>
    <w:rsid w:val="005E5932"/>
    <w:rsid w:val="005E596E"/>
    <w:rsid w:val="005E59CC"/>
    <w:rsid w:val="005E59DE"/>
    <w:rsid w:val="005E5A44"/>
    <w:rsid w:val="005E5A99"/>
    <w:rsid w:val="005E5B39"/>
    <w:rsid w:val="005E5C46"/>
    <w:rsid w:val="005E5C51"/>
    <w:rsid w:val="005E5CA4"/>
    <w:rsid w:val="005E5D01"/>
    <w:rsid w:val="005E5D50"/>
    <w:rsid w:val="005E5D9D"/>
    <w:rsid w:val="005E5DBA"/>
    <w:rsid w:val="005E5EFD"/>
    <w:rsid w:val="005E5F5F"/>
    <w:rsid w:val="005E5FA7"/>
    <w:rsid w:val="005E5FB6"/>
    <w:rsid w:val="005E5FEE"/>
    <w:rsid w:val="005E603D"/>
    <w:rsid w:val="005E60C9"/>
    <w:rsid w:val="005E60D2"/>
    <w:rsid w:val="005E61D0"/>
    <w:rsid w:val="005E61D5"/>
    <w:rsid w:val="005E622E"/>
    <w:rsid w:val="005E6233"/>
    <w:rsid w:val="005E6249"/>
    <w:rsid w:val="005E6254"/>
    <w:rsid w:val="005E6256"/>
    <w:rsid w:val="005E6257"/>
    <w:rsid w:val="005E62E7"/>
    <w:rsid w:val="005E631A"/>
    <w:rsid w:val="005E631E"/>
    <w:rsid w:val="005E6399"/>
    <w:rsid w:val="005E6419"/>
    <w:rsid w:val="005E6440"/>
    <w:rsid w:val="005E651B"/>
    <w:rsid w:val="005E653D"/>
    <w:rsid w:val="005E654F"/>
    <w:rsid w:val="005E656C"/>
    <w:rsid w:val="005E6643"/>
    <w:rsid w:val="005E6670"/>
    <w:rsid w:val="005E667C"/>
    <w:rsid w:val="005E6710"/>
    <w:rsid w:val="005E67B3"/>
    <w:rsid w:val="005E6812"/>
    <w:rsid w:val="005E6815"/>
    <w:rsid w:val="005E681A"/>
    <w:rsid w:val="005E681F"/>
    <w:rsid w:val="005E6854"/>
    <w:rsid w:val="005E68B0"/>
    <w:rsid w:val="005E6914"/>
    <w:rsid w:val="005E693C"/>
    <w:rsid w:val="005E6951"/>
    <w:rsid w:val="005E69B4"/>
    <w:rsid w:val="005E6A21"/>
    <w:rsid w:val="005E6A62"/>
    <w:rsid w:val="005E6A95"/>
    <w:rsid w:val="005E6ACF"/>
    <w:rsid w:val="005E6B66"/>
    <w:rsid w:val="005E6BC7"/>
    <w:rsid w:val="005E6BFC"/>
    <w:rsid w:val="005E6C8A"/>
    <w:rsid w:val="005E6CC7"/>
    <w:rsid w:val="005E6D37"/>
    <w:rsid w:val="005E6D56"/>
    <w:rsid w:val="005E6D5B"/>
    <w:rsid w:val="005E6D5D"/>
    <w:rsid w:val="005E6E45"/>
    <w:rsid w:val="005E6F6C"/>
    <w:rsid w:val="005E6F84"/>
    <w:rsid w:val="005E6FA4"/>
    <w:rsid w:val="005E701B"/>
    <w:rsid w:val="005E70B4"/>
    <w:rsid w:val="005E70CC"/>
    <w:rsid w:val="005E711E"/>
    <w:rsid w:val="005E7121"/>
    <w:rsid w:val="005E714C"/>
    <w:rsid w:val="005E7154"/>
    <w:rsid w:val="005E71DA"/>
    <w:rsid w:val="005E71F6"/>
    <w:rsid w:val="005E720D"/>
    <w:rsid w:val="005E724D"/>
    <w:rsid w:val="005E7280"/>
    <w:rsid w:val="005E72DF"/>
    <w:rsid w:val="005E730D"/>
    <w:rsid w:val="005E735D"/>
    <w:rsid w:val="005E735E"/>
    <w:rsid w:val="005E7429"/>
    <w:rsid w:val="005E74A9"/>
    <w:rsid w:val="005E74E9"/>
    <w:rsid w:val="005E756C"/>
    <w:rsid w:val="005E7623"/>
    <w:rsid w:val="005E764F"/>
    <w:rsid w:val="005E7674"/>
    <w:rsid w:val="005E76A0"/>
    <w:rsid w:val="005E76B5"/>
    <w:rsid w:val="005E7735"/>
    <w:rsid w:val="005E7746"/>
    <w:rsid w:val="005E77B6"/>
    <w:rsid w:val="005E77D5"/>
    <w:rsid w:val="005E7827"/>
    <w:rsid w:val="005E78BB"/>
    <w:rsid w:val="005E78FB"/>
    <w:rsid w:val="005E7948"/>
    <w:rsid w:val="005E798B"/>
    <w:rsid w:val="005E799F"/>
    <w:rsid w:val="005E79C5"/>
    <w:rsid w:val="005E79E9"/>
    <w:rsid w:val="005E7A12"/>
    <w:rsid w:val="005E7A30"/>
    <w:rsid w:val="005E7AA2"/>
    <w:rsid w:val="005E7ABB"/>
    <w:rsid w:val="005E7AC2"/>
    <w:rsid w:val="005E7B05"/>
    <w:rsid w:val="005E7B52"/>
    <w:rsid w:val="005E7BA4"/>
    <w:rsid w:val="005E7BC0"/>
    <w:rsid w:val="005E7C38"/>
    <w:rsid w:val="005E7CAE"/>
    <w:rsid w:val="005E7CDE"/>
    <w:rsid w:val="005E7D51"/>
    <w:rsid w:val="005E7D5E"/>
    <w:rsid w:val="005E7D75"/>
    <w:rsid w:val="005E7D94"/>
    <w:rsid w:val="005E7E3A"/>
    <w:rsid w:val="005E7E84"/>
    <w:rsid w:val="005E7E9A"/>
    <w:rsid w:val="005E7ECF"/>
    <w:rsid w:val="005E7EDC"/>
    <w:rsid w:val="005E7F27"/>
    <w:rsid w:val="005E7FE5"/>
    <w:rsid w:val="005E7FEA"/>
    <w:rsid w:val="005F0030"/>
    <w:rsid w:val="005F0063"/>
    <w:rsid w:val="005F0099"/>
    <w:rsid w:val="005F00BA"/>
    <w:rsid w:val="005F00C3"/>
    <w:rsid w:val="005F0141"/>
    <w:rsid w:val="005F01C3"/>
    <w:rsid w:val="005F01F4"/>
    <w:rsid w:val="005F021B"/>
    <w:rsid w:val="005F0292"/>
    <w:rsid w:val="005F0336"/>
    <w:rsid w:val="005F03DC"/>
    <w:rsid w:val="005F03FB"/>
    <w:rsid w:val="005F0432"/>
    <w:rsid w:val="005F044C"/>
    <w:rsid w:val="005F0482"/>
    <w:rsid w:val="005F04A2"/>
    <w:rsid w:val="005F0549"/>
    <w:rsid w:val="005F0550"/>
    <w:rsid w:val="005F0588"/>
    <w:rsid w:val="005F05C2"/>
    <w:rsid w:val="005F060F"/>
    <w:rsid w:val="005F0619"/>
    <w:rsid w:val="005F0639"/>
    <w:rsid w:val="005F0641"/>
    <w:rsid w:val="005F069F"/>
    <w:rsid w:val="005F06D7"/>
    <w:rsid w:val="005F0791"/>
    <w:rsid w:val="005F07E4"/>
    <w:rsid w:val="005F07E5"/>
    <w:rsid w:val="005F0881"/>
    <w:rsid w:val="005F08BC"/>
    <w:rsid w:val="005F08F9"/>
    <w:rsid w:val="005F0906"/>
    <w:rsid w:val="005F095D"/>
    <w:rsid w:val="005F0A02"/>
    <w:rsid w:val="005F0A82"/>
    <w:rsid w:val="005F0AEA"/>
    <w:rsid w:val="005F0B08"/>
    <w:rsid w:val="005F0BD0"/>
    <w:rsid w:val="005F0BEB"/>
    <w:rsid w:val="005F0C15"/>
    <w:rsid w:val="005F0C45"/>
    <w:rsid w:val="005F0C9A"/>
    <w:rsid w:val="005F0D07"/>
    <w:rsid w:val="005F0D95"/>
    <w:rsid w:val="005F0D9D"/>
    <w:rsid w:val="005F0DA1"/>
    <w:rsid w:val="005F0E0C"/>
    <w:rsid w:val="005F0E84"/>
    <w:rsid w:val="005F0E98"/>
    <w:rsid w:val="005F0F08"/>
    <w:rsid w:val="005F0F14"/>
    <w:rsid w:val="005F0F54"/>
    <w:rsid w:val="005F0F68"/>
    <w:rsid w:val="005F0FC2"/>
    <w:rsid w:val="005F1037"/>
    <w:rsid w:val="005F1059"/>
    <w:rsid w:val="005F1073"/>
    <w:rsid w:val="005F10BE"/>
    <w:rsid w:val="005F10BF"/>
    <w:rsid w:val="005F10D2"/>
    <w:rsid w:val="005F1100"/>
    <w:rsid w:val="005F11AE"/>
    <w:rsid w:val="005F11BF"/>
    <w:rsid w:val="005F11E3"/>
    <w:rsid w:val="005F120A"/>
    <w:rsid w:val="005F1213"/>
    <w:rsid w:val="005F12D0"/>
    <w:rsid w:val="005F130A"/>
    <w:rsid w:val="005F131C"/>
    <w:rsid w:val="005F1369"/>
    <w:rsid w:val="005F139E"/>
    <w:rsid w:val="005F13B2"/>
    <w:rsid w:val="005F13B7"/>
    <w:rsid w:val="005F13D3"/>
    <w:rsid w:val="005F1401"/>
    <w:rsid w:val="005F1410"/>
    <w:rsid w:val="005F1422"/>
    <w:rsid w:val="005F1499"/>
    <w:rsid w:val="005F14C6"/>
    <w:rsid w:val="005F14F4"/>
    <w:rsid w:val="005F15BC"/>
    <w:rsid w:val="005F15D4"/>
    <w:rsid w:val="005F1617"/>
    <w:rsid w:val="005F1618"/>
    <w:rsid w:val="005F1643"/>
    <w:rsid w:val="005F1650"/>
    <w:rsid w:val="005F1715"/>
    <w:rsid w:val="005F1720"/>
    <w:rsid w:val="005F1764"/>
    <w:rsid w:val="005F176C"/>
    <w:rsid w:val="005F1787"/>
    <w:rsid w:val="005F17B6"/>
    <w:rsid w:val="005F17C4"/>
    <w:rsid w:val="005F1813"/>
    <w:rsid w:val="005F1857"/>
    <w:rsid w:val="005F1870"/>
    <w:rsid w:val="005F1929"/>
    <w:rsid w:val="005F1976"/>
    <w:rsid w:val="005F19C1"/>
    <w:rsid w:val="005F19C3"/>
    <w:rsid w:val="005F1A38"/>
    <w:rsid w:val="005F1AA0"/>
    <w:rsid w:val="005F1ACD"/>
    <w:rsid w:val="005F1B44"/>
    <w:rsid w:val="005F1B4F"/>
    <w:rsid w:val="005F1BDF"/>
    <w:rsid w:val="005F1BE3"/>
    <w:rsid w:val="005F1C2A"/>
    <w:rsid w:val="005F1C34"/>
    <w:rsid w:val="005F1CAC"/>
    <w:rsid w:val="005F1CC6"/>
    <w:rsid w:val="005F1D0B"/>
    <w:rsid w:val="005F1DB5"/>
    <w:rsid w:val="005F1DB9"/>
    <w:rsid w:val="005F1E15"/>
    <w:rsid w:val="005F1E23"/>
    <w:rsid w:val="005F1E61"/>
    <w:rsid w:val="005F1E67"/>
    <w:rsid w:val="005F1E7A"/>
    <w:rsid w:val="005F1E91"/>
    <w:rsid w:val="005F1F02"/>
    <w:rsid w:val="005F1FAD"/>
    <w:rsid w:val="005F1FE9"/>
    <w:rsid w:val="005F20A0"/>
    <w:rsid w:val="005F2151"/>
    <w:rsid w:val="005F21AF"/>
    <w:rsid w:val="005F21C9"/>
    <w:rsid w:val="005F21E7"/>
    <w:rsid w:val="005F230B"/>
    <w:rsid w:val="005F2338"/>
    <w:rsid w:val="005F233D"/>
    <w:rsid w:val="005F2361"/>
    <w:rsid w:val="005F2459"/>
    <w:rsid w:val="005F2477"/>
    <w:rsid w:val="005F253F"/>
    <w:rsid w:val="005F2568"/>
    <w:rsid w:val="005F25A3"/>
    <w:rsid w:val="005F25C3"/>
    <w:rsid w:val="005F25C9"/>
    <w:rsid w:val="005F26AA"/>
    <w:rsid w:val="005F26BF"/>
    <w:rsid w:val="005F26D5"/>
    <w:rsid w:val="005F26DA"/>
    <w:rsid w:val="005F2719"/>
    <w:rsid w:val="005F271B"/>
    <w:rsid w:val="005F276E"/>
    <w:rsid w:val="005F2790"/>
    <w:rsid w:val="005F27A2"/>
    <w:rsid w:val="005F2872"/>
    <w:rsid w:val="005F293E"/>
    <w:rsid w:val="005F293F"/>
    <w:rsid w:val="005F2943"/>
    <w:rsid w:val="005F2956"/>
    <w:rsid w:val="005F2A24"/>
    <w:rsid w:val="005F2A5A"/>
    <w:rsid w:val="005F2ABF"/>
    <w:rsid w:val="005F2B92"/>
    <w:rsid w:val="005F2BA2"/>
    <w:rsid w:val="005F2BE6"/>
    <w:rsid w:val="005F2BF6"/>
    <w:rsid w:val="005F2BF8"/>
    <w:rsid w:val="005F2C2A"/>
    <w:rsid w:val="005F2C92"/>
    <w:rsid w:val="005F2CB5"/>
    <w:rsid w:val="005F2CD8"/>
    <w:rsid w:val="005F2CE0"/>
    <w:rsid w:val="005F2DBE"/>
    <w:rsid w:val="005F2DF5"/>
    <w:rsid w:val="005F2E00"/>
    <w:rsid w:val="005F2E5B"/>
    <w:rsid w:val="005F2EC2"/>
    <w:rsid w:val="005F2F05"/>
    <w:rsid w:val="005F2F2D"/>
    <w:rsid w:val="005F2F9D"/>
    <w:rsid w:val="005F2FE3"/>
    <w:rsid w:val="005F2FEF"/>
    <w:rsid w:val="005F302F"/>
    <w:rsid w:val="005F30CE"/>
    <w:rsid w:val="005F321A"/>
    <w:rsid w:val="005F3220"/>
    <w:rsid w:val="005F326F"/>
    <w:rsid w:val="005F32CE"/>
    <w:rsid w:val="005F32D2"/>
    <w:rsid w:val="005F32E3"/>
    <w:rsid w:val="005F32FE"/>
    <w:rsid w:val="005F3336"/>
    <w:rsid w:val="005F334B"/>
    <w:rsid w:val="005F3357"/>
    <w:rsid w:val="005F335F"/>
    <w:rsid w:val="005F339A"/>
    <w:rsid w:val="005F33B7"/>
    <w:rsid w:val="005F3498"/>
    <w:rsid w:val="005F349A"/>
    <w:rsid w:val="005F34D3"/>
    <w:rsid w:val="005F34D7"/>
    <w:rsid w:val="005F3540"/>
    <w:rsid w:val="005F3550"/>
    <w:rsid w:val="005F357C"/>
    <w:rsid w:val="005F361F"/>
    <w:rsid w:val="005F364F"/>
    <w:rsid w:val="005F3673"/>
    <w:rsid w:val="005F36B2"/>
    <w:rsid w:val="005F36C3"/>
    <w:rsid w:val="005F36CA"/>
    <w:rsid w:val="005F3732"/>
    <w:rsid w:val="005F37A9"/>
    <w:rsid w:val="005F3824"/>
    <w:rsid w:val="005F383A"/>
    <w:rsid w:val="005F383D"/>
    <w:rsid w:val="005F3867"/>
    <w:rsid w:val="005F38B7"/>
    <w:rsid w:val="005F38C1"/>
    <w:rsid w:val="005F38DA"/>
    <w:rsid w:val="005F38ED"/>
    <w:rsid w:val="005F39E1"/>
    <w:rsid w:val="005F39E4"/>
    <w:rsid w:val="005F3A10"/>
    <w:rsid w:val="005F3A8B"/>
    <w:rsid w:val="005F3ABD"/>
    <w:rsid w:val="005F3ADE"/>
    <w:rsid w:val="005F3B1C"/>
    <w:rsid w:val="005F3BDD"/>
    <w:rsid w:val="005F3CB4"/>
    <w:rsid w:val="005F3D3D"/>
    <w:rsid w:val="005F3D98"/>
    <w:rsid w:val="005F3DA8"/>
    <w:rsid w:val="005F3DDD"/>
    <w:rsid w:val="005F3E0E"/>
    <w:rsid w:val="005F3E6D"/>
    <w:rsid w:val="005F3F49"/>
    <w:rsid w:val="005F3F57"/>
    <w:rsid w:val="005F3F68"/>
    <w:rsid w:val="005F3FA5"/>
    <w:rsid w:val="005F3FA9"/>
    <w:rsid w:val="005F4054"/>
    <w:rsid w:val="005F407E"/>
    <w:rsid w:val="005F4098"/>
    <w:rsid w:val="005F40D3"/>
    <w:rsid w:val="005F4136"/>
    <w:rsid w:val="005F414F"/>
    <w:rsid w:val="005F415D"/>
    <w:rsid w:val="005F4192"/>
    <w:rsid w:val="005F41CD"/>
    <w:rsid w:val="005F41D7"/>
    <w:rsid w:val="005F4296"/>
    <w:rsid w:val="005F432D"/>
    <w:rsid w:val="005F436D"/>
    <w:rsid w:val="005F439F"/>
    <w:rsid w:val="005F43A4"/>
    <w:rsid w:val="005F43B1"/>
    <w:rsid w:val="005F43B7"/>
    <w:rsid w:val="005F43C4"/>
    <w:rsid w:val="005F43E2"/>
    <w:rsid w:val="005F440E"/>
    <w:rsid w:val="005F4431"/>
    <w:rsid w:val="005F4449"/>
    <w:rsid w:val="005F4468"/>
    <w:rsid w:val="005F4474"/>
    <w:rsid w:val="005F4481"/>
    <w:rsid w:val="005F44F8"/>
    <w:rsid w:val="005F4509"/>
    <w:rsid w:val="005F452F"/>
    <w:rsid w:val="005F453D"/>
    <w:rsid w:val="005F45C6"/>
    <w:rsid w:val="005F45CD"/>
    <w:rsid w:val="005F4607"/>
    <w:rsid w:val="005F4624"/>
    <w:rsid w:val="005F475A"/>
    <w:rsid w:val="005F478A"/>
    <w:rsid w:val="005F4797"/>
    <w:rsid w:val="005F47A7"/>
    <w:rsid w:val="005F47BA"/>
    <w:rsid w:val="005F4826"/>
    <w:rsid w:val="005F486D"/>
    <w:rsid w:val="005F4883"/>
    <w:rsid w:val="005F48D2"/>
    <w:rsid w:val="005F48EC"/>
    <w:rsid w:val="005F4936"/>
    <w:rsid w:val="005F4962"/>
    <w:rsid w:val="005F4966"/>
    <w:rsid w:val="005F49B1"/>
    <w:rsid w:val="005F4A26"/>
    <w:rsid w:val="005F4A2F"/>
    <w:rsid w:val="005F4A65"/>
    <w:rsid w:val="005F4AE5"/>
    <w:rsid w:val="005F4AEC"/>
    <w:rsid w:val="005F4BF0"/>
    <w:rsid w:val="005F4BFF"/>
    <w:rsid w:val="005F4C14"/>
    <w:rsid w:val="005F4C24"/>
    <w:rsid w:val="005F4C32"/>
    <w:rsid w:val="005F4C3A"/>
    <w:rsid w:val="005F4C6C"/>
    <w:rsid w:val="005F4D6F"/>
    <w:rsid w:val="005F4D7C"/>
    <w:rsid w:val="005F4DB5"/>
    <w:rsid w:val="005F4DF9"/>
    <w:rsid w:val="005F4E10"/>
    <w:rsid w:val="005F4E18"/>
    <w:rsid w:val="005F4E35"/>
    <w:rsid w:val="005F4E89"/>
    <w:rsid w:val="005F4F62"/>
    <w:rsid w:val="005F4F6F"/>
    <w:rsid w:val="005F4FBB"/>
    <w:rsid w:val="005F4FEB"/>
    <w:rsid w:val="005F4FED"/>
    <w:rsid w:val="005F50B0"/>
    <w:rsid w:val="005F5126"/>
    <w:rsid w:val="005F5149"/>
    <w:rsid w:val="005F5159"/>
    <w:rsid w:val="005F5199"/>
    <w:rsid w:val="005F522F"/>
    <w:rsid w:val="005F529D"/>
    <w:rsid w:val="005F52BE"/>
    <w:rsid w:val="005F5381"/>
    <w:rsid w:val="005F5399"/>
    <w:rsid w:val="005F539D"/>
    <w:rsid w:val="005F53A6"/>
    <w:rsid w:val="005F53B2"/>
    <w:rsid w:val="005F5443"/>
    <w:rsid w:val="005F5465"/>
    <w:rsid w:val="005F54C0"/>
    <w:rsid w:val="005F54D4"/>
    <w:rsid w:val="005F5520"/>
    <w:rsid w:val="005F5599"/>
    <w:rsid w:val="005F559F"/>
    <w:rsid w:val="005F55F6"/>
    <w:rsid w:val="005F560D"/>
    <w:rsid w:val="005F566C"/>
    <w:rsid w:val="005F568F"/>
    <w:rsid w:val="005F56AD"/>
    <w:rsid w:val="005F56BC"/>
    <w:rsid w:val="005F56D2"/>
    <w:rsid w:val="005F56F2"/>
    <w:rsid w:val="005F5757"/>
    <w:rsid w:val="005F5758"/>
    <w:rsid w:val="005F580B"/>
    <w:rsid w:val="005F5891"/>
    <w:rsid w:val="005F589B"/>
    <w:rsid w:val="005F589C"/>
    <w:rsid w:val="005F5945"/>
    <w:rsid w:val="005F594E"/>
    <w:rsid w:val="005F5956"/>
    <w:rsid w:val="005F5995"/>
    <w:rsid w:val="005F5996"/>
    <w:rsid w:val="005F59A4"/>
    <w:rsid w:val="005F59A9"/>
    <w:rsid w:val="005F5A00"/>
    <w:rsid w:val="005F5A06"/>
    <w:rsid w:val="005F5A87"/>
    <w:rsid w:val="005F5ADD"/>
    <w:rsid w:val="005F5B00"/>
    <w:rsid w:val="005F5B22"/>
    <w:rsid w:val="005F5B52"/>
    <w:rsid w:val="005F5B87"/>
    <w:rsid w:val="005F5C03"/>
    <w:rsid w:val="005F5C2F"/>
    <w:rsid w:val="005F5C52"/>
    <w:rsid w:val="005F5C62"/>
    <w:rsid w:val="005F5C88"/>
    <w:rsid w:val="005F5CB6"/>
    <w:rsid w:val="005F5CFB"/>
    <w:rsid w:val="005F5D18"/>
    <w:rsid w:val="005F5D24"/>
    <w:rsid w:val="005F5D38"/>
    <w:rsid w:val="005F5D43"/>
    <w:rsid w:val="005F5D6F"/>
    <w:rsid w:val="005F5DB1"/>
    <w:rsid w:val="005F5DDF"/>
    <w:rsid w:val="005F5E67"/>
    <w:rsid w:val="005F5E80"/>
    <w:rsid w:val="005F5EB3"/>
    <w:rsid w:val="005F5F02"/>
    <w:rsid w:val="005F5F1A"/>
    <w:rsid w:val="005F5F65"/>
    <w:rsid w:val="005F5F8C"/>
    <w:rsid w:val="005F5FA6"/>
    <w:rsid w:val="005F5FFC"/>
    <w:rsid w:val="005F6072"/>
    <w:rsid w:val="005F6079"/>
    <w:rsid w:val="005F60F8"/>
    <w:rsid w:val="005F6101"/>
    <w:rsid w:val="005F6199"/>
    <w:rsid w:val="005F6236"/>
    <w:rsid w:val="005F62F9"/>
    <w:rsid w:val="005F6368"/>
    <w:rsid w:val="005F6391"/>
    <w:rsid w:val="005F63F5"/>
    <w:rsid w:val="005F642E"/>
    <w:rsid w:val="005F645D"/>
    <w:rsid w:val="005F648F"/>
    <w:rsid w:val="005F6499"/>
    <w:rsid w:val="005F64A5"/>
    <w:rsid w:val="005F64E4"/>
    <w:rsid w:val="005F655F"/>
    <w:rsid w:val="005F656F"/>
    <w:rsid w:val="005F658C"/>
    <w:rsid w:val="005F6595"/>
    <w:rsid w:val="005F65E8"/>
    <w:rsid w:val="005F660A"/>
    <w:rsid w:val="005F661A"/>
    <w:rsid w:val="005F663F"/>
    <w:rsid w:val="005F664C"/>
    <w:rsid w:val="005F669E"/>
    <w:rsid w:val="005F66C4"/>
    <w:rsid w:val="005F66D7"/>
    <w:rsid w:val="005F67CB"/>
    <w:rsid w:val="005F67E2"/>
    <w:rsid w:val="005F6877"/>
    <w:rsid w:val="005F68FF"/>
    <w:rsid w:val="005F6930"/>
    <w:rsid w:val="005F694C"/>
    <w:rsid w:val="005F6A11"/>
    <w:rsid w:val="005F6A5A"/>
    <w:rsid w:val="005F6B3C"/>
    <w:rsid w:val="005F6B93"/>
    <w:rsid w:val="005F6B96"/>
    <w:rsid w:val="005F6BF3"/>
    <w:rsid w:val="005F6C38"/>
    <w:rsid w:val="005F6D6A"/>
    <w:rsid w:val="005F6EB0"/>
    <w:rsid w:val="005F6EBB"/>
    <w:rsid w:val="005F6F11"/>
    <w:rsid w:val="005F6F57"/>
    <w:rsid w:val="005F6FBC"/>
    <w:rsid w:val="005F7015"/>
    <w:rsid w:val="005F7019"/>
    <w:rsid w:val="005F7023"/>
    <w:rsid w:val="005F7032"/>
    <w:rsid w:val="005F703E"/>
    <w:rsid w:val="005F70DB"/>
    <w:rsid w:val="005F710B"/>
    <w:rsid w:val="005F711A"/>
    <w:rsid w:val="005F71C5"/>
    <w:rsid w:val="005F71D3"/>
    <w:rsid w:val="005F71F4"/>
    <w:rsid w:val="005F720B"/>
    <w:rsid w:val="005F721C"/>
    <w:rsid w:val="005F721F"/>
    <w:rsid w:val="005F7243"/>
    <w:rsid w:val="005F7282"/>
    <w:rsid w:val="005F72EC"/>
    <w:rsid w:val="005F733C"/>
    <w:rsid w:val="005F7390"/>
    <w:rsid w:val="005F73D2"/>
    <w:rsid w:val="005F742F"/>
    <w:rsid w:val="005F7476"/>
    <w:rsid w:val="005F7525"/>
    <w:rsid w:val="005F753C"/>
    <w:rsid w:val="005F7570"/>
    <w:rsid w:val="005F757F"/>
    <w:rsid w:val="005F7588"/>
    <w:rsid w:val="005F7628"/>
    <w:rsid w:val="005F7699"/>
    <w:rsid w:val="005F76C7"/>
    <w:rsid w:val="005F76E5"/>
    <w:rsid w:val="005F76F5"/>
    <w:rsid w:val="005F7702"/>
    <w:rsid w:val="005F7729"/>
    <w:rsid w:val="005F7790"/>
    <w:rsid w:val="005F77EC"/>
    <w:rsid w:val="005F77EF"/>
    <w:rsid w:val="005F7813"/>
    <w:rsid w:val="005F781A"/>
    <w:rsid w:val="005F78AA"/>
    <w:rsid w:val="005F78C8"/>
    <w:rsid w:val="005F78EF"/>
    <w:rsid w:val="005F7918"/>
    <w:rsid w:val="005F7926"/>
    <w:rsid w:val="005F795F"/>
    <w:rsid w:val="005F79BB"/>
    <w:rsid w:val="005F7A37"/>
    <w:rsid w:val="005F7AA4"/>
    <w:rsid w:val="005F7B45"/>
    <w:rsid w:val="005F7BB1"/>
    <w:rsid w:val="005F7BB3"/>
    <w:rsid w:val="005F7BE4"/>
    <w:rsid w:val="005F7C58"/>
    <w:rsid w:val="005F7C67"/>
    <w:rsid w:val="005F7C78"/>
    <w:rsid w:val="005F7C91"/>
    <w:rsid w:val="005F7C9B"/>
    <w:rsid w:val="005F7CB0"/>
    <w:rsid w:val="005F7CDD"/>
    <w:rsid w:val="005F7CEE"/>
    <w:rsid w:val="005F7D95"/>
    <w:rsid w:val="005F7DD8"/>
    <w:rsid w:val="005F7DEA"/>
    <w:rsid w:val="005F7E21"/>
    <w:rsid w:val="005F7E5C"/>
    <w:rsid w:val="005F7E88"/>
    <w:rsid w:val="005F7ECF"/>
    <w:rsid w:val="005F7FCE"/>
    <w:rsid w:val="005F7FE2"/>
    <w:rsid w:val="00600041"/>
    <w:rsid w:val="006000D8"/>
    <w:rsid w:val="006000DD"/>
    <w:rsid w:val="00600109"/>
    <w:rsid w:val="00600170"/>
    <w:rsid w:val="0060017A"/>
    <w:rsid w:val="00600258"/>
    <w:rsid w:val="006002B1"/>
    <w:rsid w:val="006002BE"/>
    <w:rsid w:val="006003FC"/>
    <w:rsid w:val="0060045B"/>
    <w:rsid w:val="00600482"/>
    <w:rsid w:val="00600505"/>
    <w:rsid w:val="00600546"/>
    <w:rsid w:val="00600641"/>
    <w:rsid w:val="00600663"/>
    <w:rsid w:val="00600713"/>
    <w:rsid w:val="00600795"/>
    <w:rsid w:val="006007A6"/>
    <w:rsid w:val="006007D9"/>
    <w:rsid w:val="006007F0"/>
    <w:rsid w:val="00600803"/>
    <w:rsid w:val="0060084D"/>
    <w:rsid w:val="00600856"/>
    <w:rsid w:val="006008C2"/>
    <w:rsid w:val="006008CC"/>
    <w:rsid w:val="006008F0"/>
    <w:rsid w:val="006008F2"/>
    <w:rsid w:val="0060091C"/>
    <w:rsid w:val="0060092A"/>
    <w:rsid w:val="00600978"/>
    <w:rsid w:val="00600996"/>
    <w:rsid w:val="006009FF"/>
    <w:rsid w:val="00600AAA"/>
    <w:rsid w:val="00600AE4"/>
    <w:rsid w:val="00600B39"/>
    <w:rsid w:val="00600B51"/>
    <w:rsid w:val="00600B7D"/>
    <w:rsid w:val="00600BCF"/>
    <w:rsid w:val="00600C37"/>
    <w:rsid w:val="00600CA8"/>
    <w:rsid w:val="00600CF5"/>
    <w:rsid w:val="00600D09"/>
    <w:rsid w:val="00600D4F"/>
    <w:rsid w:val="00600DF3"/>
    <w:rsid w:val="00600E85"/>
    <w:rsid w:val="00600E98"/>
    <w:rsid w:val="00600EA9"/>
    <w:rsid w:val="00600ECD"/>
    <w:rsid w:val="00600EE8"/>
    <w:rsid w:val="00600F0A"/>
    <w:rsid w:val="00600F2F"/>
    <w:rsid w:val="00600FAA"/>
    <w:rsid w:val="006010B2"/>
    <w:rsid w:val="006010B3"/>
    <w:rsid w:val="006010BB"/>
    <w:rsid w:val="006010FD"/>
    <w:rsid w:val="00601129"/>
    <w:rsid w:val="006011C3"/>
    <w:rsid w:val="006011CC"/>
    <w:rsid w:val="006011CE"/>
    <w:rsid w:val="006011FF"/>
    <w:rsid w:val="00601291"/>
    <w:rsid w:val="006012B8"/>
    <w:rsid w:val="006012E8"/>
    <w:rsid w:val="00601304"/>
    <w:rsid w:val="00601314"/>
    <w:rsid w:val="00601323"/>
    <w:rsid w:val="0060139B"/>
    <w:rsid w:val="006013FE"/>
    <w:rsid w:val="0060147B"/>
    <w:rsid w:val="0060148D"/>
    <w:rsid w:val="0060150A"/>
    <w:rsid w:val="00601533"/>
    <w:rsid w:val="00601559"/>
    <w:rsid w:val="006015B9"/>
    <w:rsid w:val="00601619"/>
    <w:rsid w:val="00601650"/>
    <w:rsid w:val="00601659"/>
    <w:rsid w:val="00601680"/>
    <w:rsid w:val="006016A4"/>
    <w:rsid w:val="00601709"/>
    <w:rsid w:val="00601713"/>
    <w:rsid w:val="0060174E"/>
    <w:rsid w:val="00601756"/>
    <w:rsid w:val="0060179D"/>
    <w:rsid w:val="006017DE"/>
    <w:rsid w:val="006017F1"/>
    <w:rsid w:val="006017F3"/>
    <w:rsid w:val="00601811"/>
    <w:rsid w:val="00601817"/>
    <w:rsid w:val="00601943"/>
    <w:rsid w:val="0060194D"/>
    <w:rsid w:val="00601951"/>
    <w:rsid w:val="00601998"/>
    <w:rsid w:val="006019A7"/>
    <w:rsid w:val="006019B9"/>
    <w:rsid w:val="00601B25"/>
    <w:rsid w:val="00601B39"/>
    <w:rsid w:val="00601BAA"/>
    <w:rsid w:val="00601BD5"/>
    <w:rsid w:val="00601BDC"/>
    <w:rsid w:val="00601BFE"/>
    <w:rsid w:val="00601C13"/>
    <w:rsid w:val="00601C28"/>
    <w:rsid w:val="00601C2B"/>
    <w:rsid w:val="00601C9B"/>
    <w:rsid w:val="00601D4B"/>
    <w:rsid w:val="00601D6F"/>
    <w:rsid w:val="00601E94"/>
    <w:rsid w:val="00601F0F"/>
    <w:rsid w:val="00601F1A"/>
    <w:rsid w:val="00601F3E"/>
    <w:rsid w:val="00601F56"/>
    <w:rsid w:val="00601F7F"/>
    <w:rsid w:val="00601FF0"/>
    <w:rsid w:val="00602040"/>
    <w:rsid w:val="0060204B"/>
    <w:rsid w:val="00602070"/>
    <w:rsid w:val="0060208D"/>
    <w:rsid w:val="0060209E"/>
    <w:rsid w:val="00602139"/>
    <w:rsid w:val="00602149"/>
    <w:rsid w:val="0060216A"/>
    <w:rsid w:val="006021D5"/>
    <w:rsid w:val="006021EF"/>
    <w:rsid w:val="006021F1"/>
    <w:rsid w:val="00602204"/>
    <w:rsid w:val="00602242"/>
    <w:rsid w:val="006022F1"/>
    <w:rsid w:val="0060233B"/>
    <w:rsid w:val="0060233D"/>
    <w:rsid w:val="0060239B"/>
    <w:rsid w:val="006023A7"/>
    <w:rsid w:val="0060242F"/>
    <w:rsid w:val="0060246A"/>
    <w:rsid w:val="006024BC"/>
    <w:rsid w:val="006024DA"/>
    <w:rsid w:val="00602505"/>
    <w:rsid w:val="00602586"/>
    <w:rsid w:val="006025D4"/>
    <w:rsid w:val="006025DD"/>
    <w:rsid w:val="00602603"/>
    <w:rsid w:val="0060261A"/>
    <w:rsid w:val="00602643"/>
    <w:rsid w:val="00602794"/>
    <w:rsid w:val="006027A9"/>
    <w:rsid w:val="0060280E"/>
    <w:rsid w:val="0060281F"/>
    <w:rsid w:val="00602853"/>
    <w:rsid w:val="00602860"/>
    <w:rsid w:val="006028BF"/>
    <w:rsid w:val="0060290E"/>
    <w:rsid w:val="00602922"/>
    <w:rsid w:val="00602933"/>
    <w:rsid w:val="0060293C"/>
    <w:rsid w:val="006029B4"/>
    <w:rsid w:val="00602A3B"/>
    <w:rsid w:val="00602A71"/>
    <w:rsid w:val="00602B60"/>
    <w:rsid w:val="00602B6E"/>
    <w:rsid w:val="00602B9E"/>
    <w:rsid w:val="00602C59"/>
    <w:rsid w:val="00602C7C"/>
    <w:rsid w:val="00602D04"/>
    <w:rsid w:val="00602DEF"/>
    <w:rsid w:val="00602ECA"/>
    <w:rsid w:val="00602F79"/>
    <w:rsid w:val="00602F9E"/>
    <w:rsid w:val="00603037"/>
    <w:rsid w:val="00603082"/>
    <w:rsid w:val="006030F3"/>
    <w:rsid w:val="00603117"/>
    <w:rsid w:val="00603150"/>
    <w:rsid w:val="006031CA"/>
    <w:rsid w:val="006031CE"/>
    <w:rsid w:val="006031D9"/>
    <w:rsid w:val="00603240"/>
    <w:rsid w:val="00603271"/>
    <w:rsid w:val="006032D0"/>
    <w:rsid w:val="006032EE"/>
    <w:rsid w:val="00603343"/>
    <w:rsid w:val="006033BA"/>
    <w:rsid w:val="006033D8"/>
    <w:rsid w:val="00603499"/>
    <w:rsid w:val="006034F5"/>
    <w:rsid w:val="00603547"/>
    <w:rsid w:val="0060355D"/>
    <w:rsid w:val="00603597"/>
    <w:rsid w:val="00603614"/>
    <w:rsid w:val="0060365D"/>
    <w:rsid w:val="00603698"/>
    <w:rsid w:val="006036AA"/>
    <w:rsid w:val="006036FD"/>
    <w:rsid w:val="0060375E"/>
    <w:rsid w:val="00603765"/>
    <w:rsid w:val="006037D0"/>
    <w:rsid w:val="00603807"/>
    <w:rsid w:val="00603834"/>
    <w:rsid w:val="0060385A"/>
    <w:rsid w:val="006038A9"/>
    <w:rsid w:val="006038F7"/>
    <w:rsid w:val="0060390B"/>
    <w:rsid w:val="00603928"/>
    <w:rsid w:val="006039B4"/>
    <w:rsid w:val="00603A4B"/>
    <w:rsid w:val="00603AC0"/>
    <w:rsid w:val="00603B07"/>
    <w:rsid w:val="00603B41"/>
    <w:rsid w:val="00603B44"/>
    <w:rsid w:val="00603B60"/>
    <w:rsid w:val="00603BA3"/>
    <w:rsid w:val="00603C51"/>
    <w:rsid w:val="00603C8C"/>
    <w:rsid w:val="00603CD1"/>
    <w:rsid w:val="00603CDA"/>
    <w:rsid w:val="00603CE5"/>
    <w:rsid w:val="00603D08"/>
    <w:rsid w:val="00603DF9"/>
    <w:rsid w:val="00603E47"/>
    <w:rsid w:val="00603E67"/>
    <w:rsid w:val="00603EA1"/>
    <w:rsid w:val="00603EF4"/>
    <w:rsid w:val="00603F4E"/>
    <w:rsid w:val="00603F68"/>
    <w:rsid w:val="00603FED"/>
    <w:rsid w:val="00604067"/>
    <w:rsid w:val="00604077"/>
    <w:rsid w:val="006040B0"/>
    <w:rsid w:val="0060419C"/>
    <w:rsid w:val="006041BE"/>
    <w:rsid w:val="0060423C"/>
    <w:rsid w:val="0060426B"/>
    <w:rsid w:val="006042DD"/>
    <w:rsid w:val="00604337"/>
    <w:rsid w:val="0060433C"/>
    <w:rsid w:val="00604344"/>
    <w:rsid w:val="006043A4"/>
    <w:rsid w:val="006043EC"/>
    <w:rsid w:val="0060442A"/>
    <w:rsid w:val="00604435"/>
    <w:rsid w:val="0060443F"/>
    <w:rsid w:val="0060454C"/>
    <w:rsid w:val="0060455A"/>
    <w:rsid w:val="0060458C"/>
    <w:rsid w:val="006045FB"/>
    <w:rsid w:val="00604602"/>
    <w:rsid w:val="00604686"/>
    <w:rsid w:val="00604690"/>
    <w:rsid w:val="006046A5"/>
    <w:rsid w:val="0060472D"/>
    <w:rsid w:val="006047B3"/>
    <w:rsid w:val="006047D3"/>
    <w:rsid w:val="006047E5"/>
    <w:rsid w:val="006047E6"/>
    <w:rsid w:val="0060482F"/>
    <w:rsid w:val="00604864"/>
    <w:rsid w:val="00604868"/>
    <w:rsid w:val="006048AE"/>
    <w:rsid w:val="006048CF"/>
    <w:rsid w:val="006048E8"/>
    <w:rsid w:val="006049E1"/>
    <w:rsid w:val="00604A6C"/>
    <w:rsid w:val="00604A9D"/>
    <w:rsid w:val="00604AB3"/>
    <w:rsid w:val="00604AD0"/>
    <w:rsid w:val="00604AD5"/>
    <w:rsid w:val="00604B07"/>
    <w:rsid w:val="00604B8A"/>
    <w:rsid w:val="00604BD9"/>
    <w:rsid w:val="00604C03"/>
    <w:rsid w:val="00604C0E"/>
    <w:rsid w:val="00604D27"/>
    <w:rsid w:val="00604D8F"/>
    <w:rsid w:val="00604DB3"/>
    <w:rsid w:val="00604E0A"/>
    <w:rsid w:val="00604EEF"/>
    <w:rsid w:val="00604F21"/>
    <w:rsid w:val="00604F4B"/>
    <w:rsid w:val="00604FB4"/>
    <w:rsid w:val="00604FEA"/>
    <w:rsid w:val="00605050"/>
    <w:rsid w:val="0060507D"/>
    <w:rsid w:val="006050A3"/>
    <w:rsid w:val="006050C0"/>
    <w:rsid w:val="006050D3"/>
    <w:rsid w:val="006050DC"/>
    <w:rsid w:val="006050EC"/>
    <w:rsid w:val="00605103"/>
    <w:rsid w:val="00605129"/>
    <w:rsid w:val="006051B2"/>
    <w:rsid w:val="0060520C"/>
    <w:rsid w:val="0060521B"/>
    <w:rsid w:val="0060523F"/>
    <w:rsid w:val="006052BC"/>
    <w:rsid w:val="006052DC"/>
    <w:rsid w:val="006052EF"/>
    <w:rsid w:val="00605306"/>
    <w:rsid w:val="00605397"/>
    <w:rsid w:val="006053B6"/>
    <w:rsid w:val="006053C3"/>
    <w:rsid w:val="00605407"/>
    <w:rsid w:val="00605408"/>
    <w:rsid w:val="00605416"/>
    <w:rsid w:val="00605430"/>
    <w:rsid w:val="0060543F"/>
    <w:rsid w:val="00605443"/>
    <w:rsid w:val="006054A5"/>
    <w:rsid w:val="00605506"/>
    <w:rsid w:val="00605536"/>
    <w:rsid w:val="00605559"/>
    <w:rsid w:val="0060558E"/>
    <w:rsid w:val="00605597"/>
    <w:rsid w:val="006055B4"/>
    <w:rsid w:val="006055E2"/>
    <w:rsid w:val="00605681"/>
    <w:rsid w:val="006056DC"/>
    <w:rsid w:val="006056E9"/>
    <w:rsid w:val="006058A8"/>
    <w:rsid w:val="006059FE"/>
    <w:rsid w:val="00605AFD"/>
    <w:rsid w:val="00605B52"/>
    <w:rsid w:val="00605B68"/>
    <w:rsid w:val="00605BD9"/>
    <w:rsid w:val="00605C36"/>
    <w:rsid w:val="00605C3E"/>
    <w:rsid w:val="00605C4B"/>
    <w:rsid w:val="00605C86"/>
    <w:rsid w:val="00605CC2"/>
    <w:rsid w:val="00605CC5"/>
    <w:rsid w:val="00605CE7"/>
    <w:rsid w:val="00605D2F"/>
    <w:rsid w:val="00605DD2"/>
    <w:rsid w:val="00605DE1"/>
    <w:rsid w:val="00605E57"/>
    <w:rsid w:val="00605EA8"/>
    <w:rsid w:val="00605EF6"/>
    <w:rsid w:val="00605F0E"/>
    <w:rsid w:val="00605F27"/>
    <w:rsid w:val="00605F79"/>
    <w:rsid w:val="00605FB3"/>
    <w:rsid w:val="00605FB9"/>
    <w:rsid w:val="00605FC9"/>
    <w:rsid w:val="00606035"/>
    <w:rsid w:val="006060A9"/>
    <w:rsid w:val="006060C8"/>
    <w:rsid w:val="006060CC"/>
    <w:rsid w:val="006060FA"/>
    <w:rsid w:val="0060618E"/>
    <w:rsid w:val="006061D2"/>
    <w:rsid w:val="00606283"/>
    <w:rsid w:val="006062C0"/>
    <w:rsid w:val="00606301"/>
    <w:rsid w:val="00606312"/>
    <w:rsid w:val="0060632B"/>
    <w:rsid w:val="0060638E"/>
    <w:rsid w:val="0060639E"/>
    <w:rsid w:val="0060639F"/>
    <w:rsid w:val="006063F1"/>
    <w:rsid w:val="00606431"/>
    <w:rsid w:val="006064CE"/>
    <w:rsid w:val="006064D5"/>
    <w:rsid w:val="00606551"/>
    <w:rsid w:val="00606561"/>
    <w:rsid w:val="006065F3"/>
    <w:rsid w:val="0060661E"/>
    <w:rsid w:val="00606625"/>
    <w:rsid w:val="006066FC"/>
    <w:rsid w:val="0060670F"/>
    <w:rsid w:val="0060672E"/>
    <w:rsid w:val="00606730"/>
    <w:rsid w:val="00606741"/>
    <w:rsid w:val="00606761"/>
    <w:rsid w:val="00606785"/>
    <w:rsid w:val="0060678E"/>
    <w:rsid w:val="006067D8"/>
    <w:rsid w:val="00606830"/>
    <w:rsid w:val="00606852"/>
    <w:rsid w:val="00606873"/>
    <w:rsid w:val="00606908"/>
    <w:rsid w:val="00606932"/>
    <w:rsid w:val="00606969"/>
    <w:rsid w:val="0060697D"/>
    <w:rsid w:val="006069AC"/>
    <w:rsid w:val="006069C8"/>
    <w:rsid w:val="00606A49"/>
    <w:rsid w:val="00606A90"/>
    <w:rsid w:val="00606B7E"/>
    <w:rsid w:val="00606B8E"/>
    <w:rsid w:val="00606BBA"/>
    <w:rsid w:val="00606BD5"/>
    <w:rsid w:val="00606C7E"/>
    <w:rsid w:val="00606C89"/>
    <w:rsid w:val="00606C8D"/>
    <w:rsid w:val="00606CB1"/>
    <w:rsid w:val="00606D11"/>
    <w:rsid w:val="00606D84"/>
    <w:rsid w:val="00606DC3"/>
    <w:rsid w:val="00606E62"/>
    <w:rsid w:val="00606E8F"/>
    <w:rsid w:val="00606EEA"/>
    <w:rsid w:val="00606F13"/>
    <w:rsid w:val="00606F1C"/>
    <w:rsid w:val="00606FD0"/>
    <w:rsid w:val="00606FDC"/>
    <w:rsid w:val="00607019"/>
    <w:rsid w:val="00607050"/>
    <w:rsid w:val="00607091"/>
    <w:rsid w:val="00607110"/>
    <w:rsid w:val="006071AE"/>
    <w:rsid w:val="006071E9"/>
    <w:rsid w:val="006071F3"/>
    <w:rsid w:val="006071FC"/>
    <w:rsid w:val="00607205"/>
    <w:rsid w:val="0060728A"/>
    <w:rsid w:val="0060733F"/>
    <w:rsid w:val="00607341"/>
    <w:rsid w:val="006073A0"/>
    <w:rsid w:val="006073BB"/>
    <w:rsid w:val="00607402"/>
    <w:rsid w:val="00607432"/>
    <w:rsid w:val="00607439"/>
    <w:rsid w:val="0060748F"/>
    <w:rsid w:val="00607492"/>
    <w:rsid w:val="006074DF"/>
    <w:rsid w:val="006074EB"/>
    <w:rsid w:val="006074ED"/>
    <w:rsid w:val="0060760A"/>
    <w:rsid w:val="0060760D"/>
    <w:rsid w:val="0060761A"/>
    <w:rsid w:val="0060764D"/>
    <w:rsid w:val="00607654"/>
    <w:rsid w:val="00607689"/>
    <w:rsid w:val="0060768B"/>
    <w:rsid w:val="0060769D"/>
    <w:rsid w:val="0060770A"/>
    <w:rsid w:val="0060772D"/>
    <w:rsid w:val="006077EC"/>
    <w:rsid w:val="0060785F"/>
    <w:rsid w:val="0060786E"/>
    <w:rsid w:val="006078C6"/>
    <w:rsid w:val="006078E9"/>
    <w:rsid w:val="00607907"/>
    <w:rsid w:val="0060796F"/>
    <w:rsid w:val="00607997"/>
    <w:rsid w:val="0060799F"/>
    <w:rsid w:val="006079EE"/>
    <w:rsid w:val="00607A92"/>
    <w:rsid w:val="00607ACB"/>
    <w:rsid w:val="00607ACF"/>
    <w:rsid w:val="00607AD5"/>
    <w:rsid w:val="00607AED"/>
    <w:rsid w:val="00607AFF"/>
    <w:rsid w:val="00607B02"/>
    <w:rsid w:val="00607B20"/>
    <w:rsid w:val="00607C49"/>
    <w:rsid w:val="00607CE1"/>
    <w:rsid w:val="00607D06"/>
    <w:rsid w:val="00607D43"/>
    <w:rsid w:val="00607E58"/>
    <w:rsid w:val="00607E5E"/>
    <w:rsid w:val="00607E68"/>
    <w:rsid w:val="00607E77"/>
    <w:rsid w:val="00607EED"/>
    <w:rsid w:val="00607F15"/>
    <w:rsid w:val="00607F19"/>
    <w:rsid w:val="00607F1B"/>
    <w:rsid w:val="00607F24"/>
    <w:rsid w:val="00607F4D"/>
    <w:rsid w:val="00610028"/>
    <w:rsid w:val="00610060"/>
    <w:rsid w:val="00610079"/>
    <w:rsid w:val="0061009C"/>
    <w:rsid w:val="006100B9"/>
    <w:rsid w:val="006100EE"/>
    <w:rsid w:val="006101A3"/>
    <w:rsid w:val="006101C3"/>
    <w:rsid w:val="006101FB"/>
    <w:rsid w:val="006101FE"/>
    <w:rsid w:val="006102DD"/>
    <w:rsid w:val="006102DE"/>
    <w:rsid w:val="00610321"/>
    <w:rsid w:val="00610375"/>
    <w:rsid w:val="006103A4"/>
    <w:rsid w:val="006103C1"/>
    <w:rsid w:val="00610440"/>
    <w:rsid w:val="00610465"/>
    <w:rsid w:val="0061046E"/>
    <w:rsid w:val="0061047B"/>
    <w:rsid w:val="006104D2"/>
    <w:rsid w:val="006104D3"/>
    <w:rsid w:val="0061051B"/>
    <w:rsid w:val="0061053E"/>
    <w:rsid w:val="0061059B"/>
    <w:rsid w:val="006105C6"/>
    <w:rsid w:val="00610627"/>
    <w:rsid w:val="00610673"/>
    <w:rsid w:val="006106AC"/>
    <w:rsid w:val="006106FC"/>
    <w:rsid w:val="00610713"/>
    <w:rsid w:val="0061071A"/>
    <w:rsid w:val="00610730"/>
    <w:rsid w:val="00610755"/>
    <w:rsid w:val="00610785"/>
    <w:rsid w:val="00610787"/>
    <w:rsid w:val="00610857"/>
    <w:rsid w:val="00610885"/>
    <w:rsid w:val="0061088B"/>
    <w:rsid w:val="006108CF"/>
    <w:rsid w:val="0061092E"/>
    <w:rsid w:val="00610930"/>
    <w:rsid w:val="0061094C"/>
    <w:rsid w:val="00610967"/>
    <w:rsid w:val="006109A7"/>
    <w:rsid w:val="006109F6"/>
    <w:rsid w:val="00610A00"/>
    <w:rsid w:val="00610A66"/>
    <w:rsid w:val="00610A84"/>
    <w:rsid w:val="00610B57"/>
    <w:rsid w:val="00610BFD"/>
    <w:rsid w:val="00610BFE"/>
    <w:rsid w:val="00610D25"/>
    <w:rsid w:val="00610D29"/>
    <w:rsid w:val="00610D4E"/>
    <w:rsid w:val="00610D6E"/>
    <w:rsid w:val="00610DC6"/>
    <w:rsid w:val="00610DED"/>
    <w:rsid w:val="00610E1D"/>
    <w:rsid w:val="00610EF4"/>
    <w:rsid w:val="00610FC7"/>
    <w:rsid w:val="00610FE5"/>
    <w:rsid w:val="00611046"/>
    <w:rsid w:val="00611091"/>
    <w:rsid w:val="00611100"/>
    <w:rsid w:val="00611110"/>
    <w:rsid w:val="0061115E"/>
    <w:rsid w:val="00611176"/>
    <w:rsid w:val="00611183"/>
    <w:rsid w:val="006111A5"/>
    <w:rsid w:val="006111ED"/>
    <w:rsid w:val="00611265"/>
    <w:rsid w:val="0061129A"/>
    <w:rsid w:val="006112BA"/>
    <w:rsid w:val="006112E5"/>
    <w:rsid w:val="00611353"/>
    <w:rsid w:val="00611372"/>
    <w:rsid w:val="006113A3"/>
    <w:rsid w:val="00611501"/>
    <w:rsid w:val="0061156A"/>
    <w:rsid w:val="00611589"/>
    <w:rsid w:val="00611592"/>
    <w:rsid w:val="006115B9"/>
    <w:rsid w:val="00611618"/>
    <w:rsid w:val="0061161D"/>
    <w:rsid w:val="00611671"/>
    <w:rsid w:val="006116D4"/>
    <w:rsid w:val="00611726"/>
    <w:rsid w:val="00611799"/>
    <w:rsid w:val="00611809"/>
    <w:rsid w:val="0061182E"/>
    <w:rsid w:val="0061195F"/>
    <w:rsid w:val="006119AD"/>
    <w:rsid w:val="006119B4"/>
    <w:rsid w:val="006119E7"/>
    <w:rsid w:val="00611A28"/>
    <w:rsid w:val="00611A9D"/>
    <w:rsid w:val="00611ABA"/>
    <w:rsid w:val="00611ABD"/>
    <w:rsid w:val="00611AEC"/>
    <w:rsid w:val="00611B56"/>
    <w:rsid w:val="00611BA1"/>
    <w:rsid w:val="00611BA8"/>
    <w:rsid w:val="00611BB8"/>
    <w:rsid w:val="00611C38"/>
    <w:rsid w:val="00611C50"/>
    <w:rsid w:val="00611C70"/>
    <w:rsid w:val="00611C90"/>
    <w:rsid w:val="00611CB7"/>
    <w:rsid w:val="00611CDF"/>
    <w:rsid w:val="00611CF3"/>
    <w:rsid w:val="00611CF6"/>
    <w:rsid w:val="00611CFC"/>
    <w:rsid w:val="00611D1E"/>
    <w:rsid w:val="00611D2F"/>
    <w:rsid w:val="00611D59"/>
    <w:rsid w:val="00611D6B"/>
    <w:rsid w:val="00611D83"/>
    <w:rsid w:val="00611D95"/>
    <w:rsid w:val="00611DEB"/>
    <w:rsid w:val="00611E2C"/>
    <w:rsid w:val="00611E63"/>
    <w:rsid w:val="00611EC4"/>
    <w:rsid w:val="00611F67"/>
    <w:rsid w:val="00611FCC"/>
    <w:rsid w:val="0061203F"/>
    <w:rsid w:val="00612119"/>
    <w:rsid w:val="00612121"/>
    <w:rsid w:val="00612145"/>
    <w:rsid w:val="00612146"/>
    <w:rsid w:val="00612163"/>
    <w:rsid w:val="0061224A"/>
    <w:rsid w:val="00612255"/>
    <w:rsid w:val="0061229F"/>
    <w:rsid w:val="006122C0"/>
    <w:rsid w:val="006122E1"/>
    <w:rsid w:val="00612372"/>
    <w:rsid w:val="00612381"/>
    <w:rsid w:val="006123A6"/>
    <w:rsid w:val="006123D4"/>
    <w:rsid w:val="00612400"/>
    <w:rsid w:val="006124D5"/>
    <w:rsid w:val="00612513"/>
    <w:rsid w:val="00612526"/>
    <w:rsid w:val="00612529"/>
    <w:rsid w:val="0061255C"/>
    <w:rsid w:val="0061255D"/>
    <w:rsid w:val="0061256C"/>
    <w:rsid w:val="006126C8"/>
    <w:rsid w:val="0061281E"/>
    <w:rsid w:val="00612824"/>
    <w:rsid w:val="00612846"/>
    <w:rsid w:val="0061286B"/>
    <w:rsid w:val="006128F7"/>
    <w:rsid w:val="006128FD"/>
    <w:rsid w:val="00612A46"/>
    <w:rsid w:val="00612AD7"/>
    <w:rsid w:val="00612AF7"/>
    <w:rsid w:val="00612B07"/>
    <w:rsid w:val="00612B31"/>
    <w:rsid w:val="00612B7B"/>
    <w:rsid w:val="00612BAD"/>
    <w:rsid w:val="00612C6A"/>
    <w:rsid w:val="00612C88"/>
    <w:rsid w:val="00612C8C"/>
    <w:rsid w:val="00612CDF"/>
    <w:rsid w:val="00612DA8"/>
    <w:rsid w:val="00612E73"/>
    <w:rsid w:val="00612E91"/>
    <w:rsid w:val="00612EBD"/>
    <w:rsid w:val="00612EC0"/>
    <w:rsid w:val="00612F43"/>
    <w:rsid w:val="00612F59"/>
    <w:rsid w:val="00612F7F"/>
    <w:rsid w:val="00612FDF"/>
    <w:rsid w:val="00613066"/>
    <w:rsid w:val="0061307D"/>
    <w:rsid w:val="00613131"/>
    <w:rsid w:val="00613160"/>
    <w:rsid w:val="00613195"/>
    <w:rsid w:val="00613198"/>
    <w:rsid w:val="006131AD"/>
    <w:rsid w:val="006131CC"/>
    <w:rsid w:val="00613342"/>
    <w:rsid w:val="00613360"/>
    <w:rsid w:val="00613371"/>
    <w:rsid w:val="00613383"/>
    <w:rsid w:val="006133BE"/>
    <w:rsid w:val="00613449"/>
    <w:rsid w:val="006134BA"/>
    <w:rsid w:val="006134BC"/>
    <w:rsid w:val="006134D1"/>
    <w:rsid w:val="006134E6"/>
    <w:rsid w:val="00613516"/>
    <w:rsid w:val="006135AF"/>
    <w:rsid w:val="006135E0"/>
    <w:rsid w:val="00613626"/>
    <w:rsid w:val="0061365D"/>
    <w:rsid w:val="006137A7"/>
    <w:rsid w:val="006137B4"/>
    <w:rsid w:val="006137CD"/>
    <w:rsid w:val="00613808"/>
    <w:rsid w:val="00613824"/>
    <w:rsid w:val="00613868"/>
    <w:rsid w:val="00613877"/>
    <w:rsid w:val="0061388C"/>
    <w:rsid w:val="00613893"/>
    <w:rsid w:val="00613897"/>
    <w:rsid w:val="0061393C"/>
    <w:rsid w:val="00613AC4"/>
    <w:rsid w:val="00613B5A"/>
    <w:rsid w:val="00613B94"/>
    <w:rsid w:val="00613B9F"/>
    <w:rsid w:val="00613BC4"/>
    <w:rsid w:val="00613BF6"/>
    <w:rsid w:val="00613C04"/>
    <w:rsid w:val="00613C3A"/>
    <w:rsid w:val="00613C5A"/>
    <w:rsid w:val="00613C79"/>
    <w:rsid w:val="00613CA1"/>
    <w:rsid w:val="00613CC6"/>
    <w:rsid w:val="00613CD6"/>
    <w:rsid w:val="00613CF1"/>
    <w:rsid w:val="00613CF6"/>
    <w:rsid w:val="00613D6C"/>
    <w:rsid w:val="00613DA5"/>
    <w:rsid w:val="00613DC5"/>
    <w:rsid w:val="00613DC6"/>
    <w:rsid w:val="00613DEB"/>
    <w:rsid w:val="00613E32"/>
    <w:rsid w:val="00613E57"/>
    <w:rsid w:val="00613E7C"/>
    <w:rsid w:val="00613E7F"/>
    <w:rsid w:val="00613EA6"/>
    <w:rsid w:val="00613F59"/>
    <w:rsid w:val="00613F68"/>
    <w:rsid w:val="00614029"/>
    <w:rsid w:val="00614054"/>
    <w:rsid w:val="006140BD"/>
    <w:rsid w:val="006140D8"/>
    <w:rsid w:val="006140E3"/>
    <w:rsid w:val="00614111"/>
    <w:rsid w:val="00614134"/>
    <w:rsid w:val="0061413A"/>
    <w:rsid w:val="0061416B"/>
    <w:rsid w:val="0061416C"/>
    <w:rsid w:val="006141C7"/>
    <w:rsid w:val="006141D6"/>
    <w:rsid w:val="0061420C"/>
    <w:rsid w:val="00614216"/>
    <w:rsid w:val="00614268"/>
    <w:rsid w:val="0061428F"/>
    <w:rsid w:val="006142F7"/>
    <w:rsid w:val="0061430C"/>
    <w:rsid w:val="00614327"/>
    <w:rsid w:val="00614334"/>
    <w:rsid w:val="0061436B"/>
    <w:rsid w:val="006143EC"/>
    <w:rsid w:val="00614407"/>
    <w:rsid w:val="0061442F"/>
    <w:rsid w:val="00614437"/>
    <w:rsid w:val="0061445B"/>
    <w:rsid w:val="00614476"/>
    <w:rsid w:val="006144AE"/>
    <w:rsid w:val="006144F5"/>
    <w:rsid w:val="00614509"/>
    <w:rsid w:val="00614569"/>
    <w:rsid w:val="00614575"/>
    <w:rsid w:val="00614590"/>
    <w:rsid w:val="006145ED"/>
    <w:rsid w:val="00614665"/>
    <w:rsid w:val="00614677"/>
    <w:rsid w:val="0061467B"/>
    <w:rsid w:val="0061468C"/>
    <w:rsid w:val="006146B4"/>
    <w:rsid w:val="006147B7"/>
    <w:rsid w:val="006147E2"/>
    <w:rsid w:val="006147E9"/>
    <w:rsid w:val="00614833"/>
    <w:rsid w:val="0061484D"/>
    <w:rsid w:val="00614862"/>
    <w:rsid w:val="006148CE"/>
    <w:rsid w:val="00614921"/>
    <w:rsid w:val="0061499B"/>
    <w:rsid w:val="0061499C"/>
    <w:rsid w:val="00614A1A"/>
    <w:rsid w:val="00614A27"/>
    <w:rsid w:val="00614A66"/>
    <w:rsid w:val="00614AAA"/>
    <w:rsid w:val="00614ADE"/>
    <w:rsid w:val="00614B09"/>
    <w:rsid w:val="00614B9C"/>
    <w:rsid w:val="00614BF7"/>
    <w:rsid w:val="00614C6F"/>
    <w:rsid w:val="00614CAB"/>
    <w:rsid w:val="00614CBE"/>
    <w:rsid w:val="00614D12"/>
    <w:rsid w:val="00614D8B"/>
    <w:rsid w:val="00614DD1"/>
    <w:rsid w:val="00614DD2"/>
    <w:rsid w:val="00614E38"/>
    <w:rsid w:val="00614ED0"/>
    <w:rsid w:val="00614F15"/>
    <w:rsid w:val="00614F18"/>
    <w:rsid w:val="00615089"/>
    <w:rsid w:val="006150C9"/>
    <w:rsid w:val="006150DE"/>
    <w:rsid w:val="00615131"/>
    <w:rsid w:val="00615136"/>
    <w:rsid w:val="00615176"/>
    <w:rsid w:val="0061522D"/>
    <w:rsid w:val="006152C3"/>
    <w:rsid w:val="00615320"/>
    <w:rsid w:val="006153E9"/>
    <w:rsid w:val="00615450"/>
    <w:rsid w:val="00615483"/>
    <w:rsid w:val="006154CF"/>
    <w:rsid w:val="00615521"/>
    <w:rsid w:val="006155AD"/>
    <w:rsid w:val="00615610"/>
    <w:rsid w:val="0061561B"/>
    <w:rsid w:val="0061562B"/>
    <w:rsid w:val="00615653"/>
    <w:rsid w:val="00615670"/>
    <w:rsid w:val="006156A6"/>
    <w:rsid w:val="006156F4"/>
    <w:rsid w:val="0061572E"/>
    <w:rsid w:val="0061582E"/>
    <w:rsid w:val="00615840"/>
    <w:rsid w:val="006158AD"/>
    <w:rsid w:val="006158B1"/>
    <w:rsid w:val="00615900"/>
    <w:rsid w:val="00615922"/>
    <w:rsid w:val="00615932"/>
    <w:rsid w:val="00615991"/>
    <w:rsid w:val="006159E2"/>
    <w:rsid w:val="00615A10"/>
    <w:rsid w:val="00615A2B"/>
    <w:rsid w:val="00615A3B"/>
    <w:rsid w:val="00615A75"/>
    <w:rsid w:val="00615B0A"/>
    <w:rsid w:val="00615BBF"/>
    <w:rsid w:val="00615BE3"/>
    <w:rsid w:val="00615C3D"/>
    <w:rsid w:val="00615C47"/>
    <w:rsid w:val="00615C6A"/>
    <w:rsid w:val="00615CE9"/>
    <w:rsid w:val="00615CED"/>
    <w:rsid w:val="00615D12"/>
    <w:rsid w:val="00615D41"/>
    <w:rsid w:val="00615D50"/>
    <w:rsid w:val="00615D9A"/>
    <w:rsid w:val="00615DFA"/>
    <w:rsid w:val="00615E41"/>
    <w:rsid w:val="00615E6D"/>
    <w:rsid w:val="00615E8D"/>
    <w:rsid w:val="00615EAA"/>
    <w:rsid w:val="00616008"/>
    <w:rsid w:val="00616030"/>
    <w:rsid w:val="0061604C"/>
    <w:rsid w:val="00616109"/>
    <w:rsid w:val="0061610E"/>
    <w:rsid w:val="00616132"/>
    <w:rsid w:val="00616137"/>
    <w:rsid w:val="006161D9"/>
    <w:rsid w:val="0061620B"/>
    <w:rsid w:val="0061634A"/>
    <w:rsid w:val="00616362"/>
    <w:rsid w:val="00616373"/>
    <w:rsid w:val="0061639F"/>
    <w:rsid w:val="006163F5"/>
    <w:rsid w:val="0061640B"/>
    <w:rsid w:val="00616412"/>
    <w:rsid w:val="00616413"/>
    <w:rsid w:val="00616415"/>
    <w:rsid w:val="00616487"/>
    <w:rsid w:val="00616489"/>
    <w:rsid w:val="006164B9"/>
    <w:rsid w:val="00616574"/>
    <w:rsid w:val="00616620"/>
    <w:rsid w:val="00616655"/>
    <w:rsid w:val="006166D4"/>
    <w:rsid w:val="0061678B"/>
    <w:rsid w:val="0061679C"/>
    <w:rsid w:val="006167AA"/>
    <w:rsid w:val="006167F4"/>
    <w:rsid w:val="006167FA"/>
    <w:rsid w:val="006168EB"/>
    <w:rsid w:val="006168EF"/>
    <w:rsid w:val="00616965"/>
    <w:rsid w:val="006169CF"/>
    <w:rsid w:val="00616A3B"/>
    <w:rsid w:val="00616A4D"/>
    <w:rsid w:val="00616BAA"/>
    <w:rsid w:val="00616C1E"/>
    <w:rsid w:val="00616D0E"/>
    <w:rsid w:val="00616DAD"/>
    <w:rsid w:val="00616DDB"/>
    <w:rsid w:val="00616DE8"/>
    <w:rsid w:val="00616DF7"/>
    <w:rsid w:val="00616E08"/>
    <w:rsid w:val="00616E48"/>
    <w:rsid w:val="00616E56"/>
    <w:rsid w:val="00616E9E"/>
    <w:rsid w:val="00616F43"/>
    <w:rsid w:val="00616F66"/>
    <w:rsid w:val="00616F79"/>
    <w:rsid w:val="00616F8A"/>
    <w:rsid w:val="00616F92"/>
    <w:rsid w:val="00616FAD"/>
    <w:rsid w:val="00617043"/>
    <w:rsid w:val="00617050"/>
    <w:rsid w:val="0061713D"/>
    <w:rsid w:val="006171D1"/>
    <w:rsid w:val="00617201"/>
    <w:rsid w:val="0061720A"/>
    <w:rsid w:val="00617214"/>
    <w:rsid w:val="00617247"/>
    <w:rsid w:val="00617339"/>
    <w:rsid w:val="0061736B"/>
    <w:rsid w:val="006173CD"/>
    <w:rsid w:val="006173FA"/>
    <w:rsid w:val="0061745E"/>
    <w:rsid w:val="0061748F"/>
    <w:rsid w:val="006174B7"/>
    <w:rsid w:val="006174BB"/>
    <w:rsid w:val="006174E1"/>
    <w:rsid w:val="006174FE"/>
    <w:rsid w:val="0061754F"/>
    <w:rsid w:val="00617574"/>
    <w:rsid w:val="00617597"/>
    <w:rsid w:val="0061761F"/>
    <w:rsid w:val="00617644"/>
    <w:rsid w:val="006176D2"/>
    <w:rsid w:val="00617723"/>
    <w:rsid w:val="0061776B"/>
    <w:rsid w:val="006177CF"/>
    <w:rsid w:val="00617873"/>
    <w:rsid w:val="00617882"/>
    <w:rsid w:val="006178A8"/>
    <w:rsid w:val="00617930"/>
    <w:rsid w:val="00617937"/>
    <w:rsid w:val="0061797D"/>
    <w:rsid w:val="006179A6"/>
    <w:rsid w:val="00617A2E"/>
    <w:rsid w:val="00617A3E"/>
    <w:rsid w:val="00617A81"/>
    <w:rsid w:val="00617AA5"/>
    <w:rsid w:val="00617AB1"/>
    <w:rsid w:val="00617AD9"/>
    <w:rsid w:val="00617B00"/>
    <w:rsid w:val="00617B04"/>
    <w:rsid w:val="00617B25"/>
    <w:rsid w:val="00617B57"/>
    <w:rsid w:val="00617BF7"/>
    <w:rsid w:val="00617BF8"/>
    <w:rsid w:val="00617C4F"/>
    <w:rsid w:val="00617C97"/>
    <w:rsid w:val="00617CD1"/>
    <w:rsid w:val="00617D9C"/>
    <w:rsid w:val="00617DD1"/>
    <w:rsid w:val="00617DD2"/>
    <w:rsid w:val="00617DEB"/>
    <w:rsid w:val="00617DF7"/>
    <w:rsid w:val="00617E62"/>
    <w:rsid w:val="00617EDE"/>
    <w:rsid w:val="00617F0B"/>
    <w:rsid w:val="00617F51"/>
    <w:rsid w:val="00617FD3"/>
    <w:rsid w:val="00617FD9"/>
    <w:rsid w:val="00617FE3"/>
    <w:rsid w:val="00617FFE"/>
    <w:rsid w:val="0062000F"/>
    <w:rsid w:val="00620062"/>
    <w:rsid w:val="006200BF"/>
    <w:rsid w:val="006200C9"/>
    <w:rsid w:val="006200E4"/>
    <w:rsid w:val="006201E5"/>
    <w:rsid w:val="00620288"/>
    <w:rsid w:val="006202A7"/>
    <w:rsid w:val="006202AA"/>
    <w:rsid w:val="00620341"/>
    <w:rsid w:val="0062039F"/>
    <w:rsid w:val="006203CC"/>
    <w:rsid w:val="006203E9"/>
    <w:rsid w:val="00620406"/>
    <w:rsid w:val="0062040B"/>
    <w:rsid w:val="00620451"/>
    <w:rsid w:val="00620469"/>
    <w:rsid w:val="0062055D"/>
    <w:rsid w:val="00620588"/>
    <w:rsid w:val="00620596"/>
    <w:rsid w:val="006206A3"/>
    <w:rsid w:val="006206CD"/>
    <w:rsid w:val="00620721"/>
    <w:rsid w:val="00620748"/>
    <w:rsid w:val="0062074A"/>
    <w:rsid w:val="0062079D"/>
    <w:rsid w:val="006207AF"/>
    <w:rsid w:val="00620858"/>
    <w:rsid w:val="006208C3"/>
    <w:rsid w:val="00620921"/>
    <w:rsid w:val="00620937"/>
    <w:rsid w:val="0062096E"/>
    <w:rsid w:val="006209E6"/>
    <w:rsid w:val="00620AB0"/>
    <w:rsid w:val="00620AF0"/>
    <w:rsid w:val="00620B11"/>
    <w:rsid w:val="00620B28"/>
    <w:rsid w:val="00620B78"/>
    <w:rsid w:val="00620B8F"/>
    <w:rsid w:val="00620BA4"/>
    <w:rsid w:val="00620BF8"/>
    <w:rsid w:val="00620BFA"/>
    <w:rsid w:val="00620C4F"/>
    <w:rsid w:val="00620C87"/>
    <w:rsid w:val="00620C8A"/>
    <w:rsid w:val="00620C8B"/>
    <w:rsid w:val="00620CFD"/>
    <w:rsid w:val="00620D14"/>
    <w:rsid w:val="00620D6E"/>
    <w:rsid w:val="00620DC1"/>
    <w:rsid w:val="00620E46"/>
    <w:rsid w:val="00620E6F"/>
    <w:rsid w:val="00620EBC"/>
    <w:rsid w:val="00620FB3"/>
    <w:rsid w:val="00620FCA"/>
    <w:rsid w:val="0062100C"/>
    <w:rsid w:val="00621041"/>
    <w:rsid w:val="0062105A"/>
    <w:rsid w:val="00621097"/>
    <w:rsid w:val="006210B3"/>
    <w:rsid w:val="006210EB"/>
    <w:rsid w:val="006211A4"/>
    <w:rsid w:val="006211A7"/>
    <w:rsid w:val="006211AE"/>
    <w:rsid w:val="00621207"/>
    <w:rsid w:val="00621256"/>
    <w:rsid w:val="0062127D"/>
    <w:rsid w:val="00621286"/>
    <w:rsid w:val="0062129B"/>
    <w:rsid w:val="006212D0"/>
    <w:rsid w:val="00621327"/>
    <w:rsid w:val="0062132C"/>
    <w:rsid w:val="00621392"/>
    <w:rsid w:val="006213C4"/>
    <w:rsid w:val="006213E4"/>
    <w:rsid w:val="00621418"/>
    <w:rsid w:val="00621432"/>
    <w:rsid w:val="0062143F"/>
    <w:rsid w:val="00621448"/>
    <w:rsid w:val="0062147A"/>
    <w:rsid w:val="006214B8"/>
    <w:rsid w:val="006214C8"/>
    <w:rsid w:val="006214FA"/>
    <w:rsid w:val="00621506"/>
    <w:rsid w:val="0062154D"/>
    <w:rsid w:val="00621563"/>
    <w:rsid w:val="00621598"/>
    <w:rsid w:val="006215A3"/>
    <w:rsid w:val="0062167D"/>
    <w:rsid w:val="006216F7"/>
    <w:rsid w:val="006216F9"/>
    <w:rsid w:val="00621725"/>
    <w:rsid w:val="0062175A"/>
    <w:rsid w:val="00621777"/>
    <w:rsid w:val="00621800"/>
    <w:rsid w:val="00621810"/>
    <w:rsid w:val="00621868"/>
    <w:rsid w:val="006218A6"/>
    <w:rsid w:val="006218B2"/>
    <w:rsid w:val="006218F1"/>
    <w:rsid w:val="0062198A"/>
    <w:rsid w:val="006219A4"/>
    <w:rsid w:val="00621A11"/>
    <w:rsid w:val="00621A57"/>
    <w:rsid w:val="00621ACF"/>
    <w:rsid w:val="00621AD8"/>
    <w:rsid w:val="00621AFF"/>
    <w:rsid w:val="00621B6C"/>
    <w:rsid w:val="00621BA1"/>
    <w:rsid w:val="00621BA7"/>
    <w:rsid w:val="00621BB8"/>
    <w:rsid w:val="00621C5E"/>
    <w:rsid w:val="00621C76"/>
    <w:rsid w:val="00621C8E"/>
    <w:rsid w:val="00621CA0"/>
    <w:rsid w:val="00621D1F"/>
    <w:rsid w:val="00621D54"/>
    <w:rsid w:val="00621D82"/>
    <w:rsid w:val="00621D9E"/>
    <w:rsid w:val="00621E1B"/>
    <w:rsid w:val="00621E2D"/>
    <w:rsid w:val="00621E6A"/>
    <w:rsid w:val="00621E6E"/>
    <w:rsid w:val="00621EC4"/>
    <w:rsid w:val="00621F0D"/>
    <w:rsid w:val="00621F31"/>
    <w:rsid w:val="00621F96"/>
    <w:rsid w:val="00621F9A"/>
    <w:rsid w:val="00621FBA"/>
    <w:rsid w:val="00621FC2"/>
    <w:rsid w:val="00622007"/>
    <w:rsid w:val="0062210A"/>
    <w:rsid w:val="00622172"/>
    <w:rsid w:val="00622193"/>
    <w:rsid w:val="006221BE"/>
    <w:rsid w:val="006221F2"/>
    <w:rsid w:val="00622242"/>
    <w:rsid w:val="00622281"/>
    <w:rsid w:val="00622299"/>
    <w:rsid w:val="006222A2"/>
    <w:rsid w:val="006222B3"/>
    <w:rsid w:val="006222E0"/>
    <w:rsid w:val="006222FF"/>
    <w:rsid w:val="00622311"/>
    <w:rsid w:val="00622317"/>
    <w:rsid w:val="00622384"/>
    <w:rsid w:val="006223EC"/>
    <w:rsid w:val="0062244A"/>
    <w:rsid w:val="0062246C"/>
    <w:rsid w:val="00622473"/>
    <w:rsid w:val="0062250C"/>
    <w:rsid w:val="00622510"/>
    <w:rsid w:val="00622544"/>
    <w:rsid w:val="0062258B"/>
    <w:rsid w:val="0062258C"/>
    <w:rsid w:val="006225BD"/>
    <w:rsid w:val="006225F9"/>
    <w:rsid w:val="0062266B"/>
    <w:rsid w:val="0062269B"/>
    <w:rsid w:val="006226A8"/>
    <w:rsid w:val="006226E2"/>
    <w:rsid w:val="00622760"/>
    <w:rsid w:val="00622780"/>
    <w:rsid w:val="00622789"/>
    <w:rsid w:val="006227A2"/>
    <w:rsid w:val="006227AE"/>
    <w:rsid w:val="0062280F"/>
    <w:rsid w:val="0062287D"/>
    <w:rsid w:val="00622887"/>
    <w:rsid w:val="006228FF"/>
    <w:rsid w:val="00622943"/>
    <w:rsid w:val="00622965"/>
    <w:rsid w:val="00622AF6"/>
    <w:rsid w:val="00622B21"/>
    <w:rsid w:val="00622BF7"/>
    <w:rsid w:val="00622BFB"/>
    <w:rsid w:val="00622C08"/>
    <w:rsid w:val="00622C2E"/>
    <w:rsid w:val="00622CA5"/>
    <w:rsid w:val="00622CEE"/>
    <w:rsid w:val="00622CFB"/>
    <w:rsid w:val="00622D00"/>
    <w:rsid w:val="00622D43"/>
    <w:rsid w:val="00622D47"/>
    <w:rsid w:val="00622E02"/>
    <w:rsid w:val="00622E83"/>
    <w:rsid w:val="00622F40"/>
    <w:rsid w:val="00622FA7"/>
    <w:rsid w:val="00622FA9"/>
    <w:rsid w:val="00622FC1"/>
    <w:rsid w:val="00622FD1"/>
    <w:rsid w:val="00622FE2"/>
    <w:rsid w:val="0062316C"/>
    <w:rsid w:val="00623269"/>
    <w:rsid w:val="006232A6"/>
    <w:rsid w:val="006232AF"/>
    <w:rsid w:val="006232D2"/>
    <w:rsid w:val="006232E5"/>
    <w:rsid w:val="0062333E"/>
    <w:rsid w:val="00623354"/>
    <w:rsid w:val="006233EF"/>
    <w:rsid w:val="006233FB"/>
    <w:rsid w:val="0062342A"/>
    <w:rsid w:val="0062349A"/>
    <w:rsid w:val="00623505"/>
    <w:rsid w:val="00623608"/>
    <w:rsid w:val="0062365B"/>
    <w:rsid w:val="0062368B"/>
    <w:rsid w:val="00623693"/>
    <w:rsid w:val="006236BC"/>
    <w:rsid w:val="00623763"/>
    <w:rsid w:val="00623776"/>
    <w:rsid w:val="0062378F"/>
    <w:rsid w:val="00623806"/>
    <w:rsid w:val="00623837"/>
    <w:rsid w:val="0062388E"/>
    <w:rsid w:val="00623899"/>
    <w:rsid w:val="006238AD"/>
    <w:rsid w:val="00623941"/>
    <w:rsid w:val="00623984"/>
    <w:rsid w:val="006239EB"/>
    <w:rsid w:val="00623A8D"/>
    <w:rsid w:val="00623AE1"/>
    <w:rsid w:val="00623AE9"/>
    <w:rsid w:val="00623B48"/>
    <w:rsid w:val="00623B54"/>
    <w:rsid w:val="00623BE3"/>
    <w:rsid w:val="00623BF7"/>
    <w:rsid w:val="00623C5C"/>
    <w:rsid w:val="00623C9B"/>
    <w:rsid w:val="00623D24"/>
    <w:rsid w:val="00623D51"/>
    <w:rsid w:val="00623D58"/>
    <w:rsid w:val="00623DF3"/>
    <w:rsid w:val="00623E3A"/>
    <w:rsid w:val="00623E3E"/>
    <w:rsid w:val="00623FD8"/>
    <w:rsid w:val="006241B1"/>
    <w:rsid w:val="006241CF"/>
    <w:rsid w:val="006241DA"/>
    <w:rsid w:val="00624227"/>
    <w:rsid w:val="0062427B"/>
    <w:rsid w:val="00624291"/>
    <w:rsid w:val="00624350"/>
    <w:rsid w:val="006243A0"/>
    <w:rsid w:val="00624419"/>
    <w:rsid w:val="0062444A"/>
    <w:rsid w:val="00624471"/>
    <w:rsid w:val="0062449E"/>
    <w:rsid w:val="00624552"/>
    <w:rsid w:val="00624575"/>
    <w:rsid w:val="0062457F"/>
    <w:rsid w:val="00624623"/>
    <w:rsid w:val="0062462D"/>
    <w:rsid w:val="0062469E"/>
    <w:rsid w:val="006246B0"/>
    <w:rsid w:val="006246F5"/>
    <w:rsid w:val="0062472C"/>
    <w:rsid w:val="0062472F"/>
    <w:rsid w:val="00624768"/>
    <w:rsid w:val="00624792"/>
    <w:rsid w:val="006247F5"/>
    <w:rsid w:val="006247FE"/>
    <w:rsid w:val="00624896"/>
    <w:rsid w:val="0062491D"/>
    <w:rsid w:val="0062495F"/>
    <w:rsid w:val="006249DE"/>
    <w:rsid w:val="00624A18"/>
    <w:rsid w:val="00624A41"/>
    <w:rsid w:val="00624A70"/>
    <w:rsid w:val="00624A9E"/>
    <w:rsid w:val="00624AA2"/>
    <w:rsid w:val="00624AFA"/>
    <w:rsid w:val="00624B0D"/>
    <w:rsid w:val="00624B8A"/>
    <w:rsid w:val="00624B9F"/>
    <w:rsid w:val="00624BCB"/>
    <w:rsid w:val="00624BF6"/>
    <w:rsid w:val="00624BFE"/>
    <w:rsid w:val="00624C2D"/>
    <w:rsid w:val="00624C4B"/>
    <w:rsid w:val="00624C78"/>
    <w:rsid w:val="00624D71"/>
    <w:rsid w:val="00624DAB"/>
    <w:rsid w:val="00624DFE"/>
    <w:rsid w:val="00624E3A"/>
    <w:rsid w:val="00624E91"/>
    <w:rsid w:val="00624EAD"/>
    <w:rsid w:val="00624EE7"/>
    <w:rsid w:val="00624EFD"/>
    <w:rsid w:val="00624F03"/>
    <w:rsid w:val="00624F05"/>
    <w:rsid w:val="00624FA3"/>
    <w:rsid w:val="00624FC0"/>
    <w:rsid w:val="00624FD6"/>
    <w:rsid w:val="0062501C"/>
    <w:rsid w:val="0062502F"/>
    <w:rsid w:val="0062505C"/>
    <w:rsid w:val="00625089"/>
    <w:rsid w:val="00625144"/>
    <w:rsid w:val="00625181"/>
    <w:rsid w:val="006251DA"/>
    <w:rsid w:val="006251E3"/>
    <w:rsid w:val="006251F3"/>
    <w:rsid w:val="00625226"/>
    <w:rsid w:val="0062527A"/>
    <w:rsid w:val="006252ED"/>
    <w:rsid w:val="00625320"/>
    <w:rsid w:val="00625389"/>
    <w:rsid w:val="006253A8"/>
    <w:rsid w:val="006253AC"/>
    <w:rsid w:val="006253D2"/>
    <w:rsid w:val="0062540F"/>
    <w:rsid w:val="00625423"/>
    <w:rsid w:val="0062545D"/>
    <w:rsid w:val="00625463"/>
    <w:rsid w:val="006254A8"/>
    <w:rsid w:val="006255AC"/>
    <w:rsid w:val="0062565B"/>
    <w:rsid w:val="00625666"/>
    <w:rsid w:val="0062567C"/>
    <w:rsid w:val="006256B0"/>
    <w:rsid w:val="006256E2"/>
    <w:rsid w:val="0062570A"/>
    <w:rsid w:val="00625742"/>
    <w:rsid w:val="0062577A"/>
    <w:rsid w:val="00625794"/>
    <w:rsid w:val="00625796"/>
    <w:rsid w:val="006257BC"/>
    <w:rsid w:val="00625826"/>
    <w:rsid w:val="0062586C"/>
    <w:rsid w:val="006258AC"/>
    <w:rsid w:val="006258B8"/>
    <w:rsid w:val="006258D9"/>
    <w:rsid w:val="0062595C"/>
    <w:rsid w:val="00625978"/>
    <w:rsid w:val="00625988"/>
    <w:rsid w:val="0062598D"/>
    <w:rsid w:val="00625992"/>
    <w:rsid w:val="006259E3"/>
    <w:rsid w:val="00625A27"/>
    <w:rsid w:val="00625A35"/>
    <w:rsid w:val="00625A7C"/>
    <w:rsid w:val="00625B49"/>
    <w:rsid w:val="00625B92"/>
    <w:rsid w:val="00625C15"/>
    <w:rsid w:val="00625C58"/>
    <w:rsid w:val="00625C8E"/>
    <w:rsid w:val="00625D43"/>
    <w:rsid w:val="00625D80"/>
    <w:rsid w:val="00625DBC"/>
    <w:rsid w:val="00625DC4"/>
    <w:rsid w:val="00625DD4"/>
    <w:rsid w:val="00625E36"/>
    <w:rsid w:val="00625EE1"/>
    <w:rsid w:val="00625F44"/>
    <w:rsid w:val="00625F55"/>
    <w:rsid w:val="00625F75"/>
    <w:rsid w:val="00625FC5"/>
    <w:rsid w:val="00625FEA"/>
    <w:rsid w:val="00626011"/>
    <w:rsid w:val="00626036"/>
    <w:rsid w:val="0062606B"/>
    <w:rsid w:val="0062608D"/>
    <w:rsid w:val="006260AD"/>
    <w:rsid w:val="006260C5"/>
    <w:rsid w:val="0062611B"/>
    <w:rsid w:val="00626166"/>
    <w:rsid w:val="0062616A"/>
    <w:rsid w:val="0062620C"/>
    <w:rsid w:val="00626276"/>
    <w:rsid w:val="006262AB"/>
    <w:rsid w:val="006262AC"/>
    <w:rsid w:val="006262B1"/>
    <w:rsid w:val="006262B3"/>
    <w:rsid w:val="00626303"/>
    <w:rsid w:val="006263AA"/>
    <w:rsid w:val="006263C6"/>
    <w:rsid w:val="0062640E"/>
    <w:rsid w:val="006264E6"/>
    <w:rsid w:val="00626532"/>
    <w:rsid w:val="006265D7"/>
    <w:rsid w:val="006266AD"/>
    <w:rsid w:val="00626816"/>
    <w:rsid w:val="0062689B"/>
    <w:rsid w:val="006268A3"/>
    <w:rsid w:val="006268A8"/>
    <w:rsid w:val="006268FC"/>
    <w:rsid w:val="00626937"/>
    <w:rsid w:val="006269D7"/>
    <w:rsid w:val="006269D8"/>
    <w:rsid w:val="00626A65"/>
    <w:rsid w:val="00626AA2"/>
    <w:rsid w:val="00626AA9"/>
    <w:rsid w:val="00626B09"/>
    <w:rsid w:val="00626B23"/>
    <w:rsid w:val="00626B2B"/>
    <w:rsid w:val="00626B60"/>
    <w:rsid w:val="00626B78"/>
    <w:rsid w:val="00626B7C"/>
    <w:rsid w:val="00626BC0"/>
    <w:rsid w:val="00626BF6"/>
    <w:rsid w:val="00626C4E"/>
    <w:rsid w:val="00626CC7"/>
    <w:rsid w:val="00626D16"/>
    <w:rsid w:val="00626D3F"/>
    <w:rsid w:val="00626DAC"/>
    <w:rsid w:val="00626DBF"/>
    <w:rsid w:val="00626DDF"/>
    <w:rsid w:val="00626E67"/>
    <w:rsid w:val="00626E7B"/>
    <w:rsid w:val="00626EDD"/>
    <w:rsid w:val="00626EE4"/>
    <w:rsid w:val="00626F16"/>
    <w:rsid w:val="00626F20"/>
    <w:rsid w:val="00626F59"/>
    <w:rsid w:val="00626F68"/>
    <w:rsid w:val="00626FCD"/>
    <w:rsid w:val="00626FE3"/>
    <w:rsid w:val="0062707B"/>
    <w:rsid w:val="006270BC"/>
    <w:rsid w:val="006270D6"/>
    <w:rsid w:val="0062711E"/>
    <w:rsid w:val="00627173"/>
    <w:rsid w:val="00627192"/>
    <w:rsid w:val="006271A8"/>
    <w:rsid w:val="006271BE"/>
    <w:rsid w:val="006271D0"/>
    <w:rsid w:val="006271DF"/>
    <w:rsid w:val="0062727D"/>
    <w:rsid w:val="006272EF"/>
    <w:rsid w:val="00627300"/>
    <w:rsid w:val="006273A2"/>
    <w:rsid w:val="006273B0"/>
    <w:rsid w:val="0062741A"/>
    <w:rsid w:val="006274F1"/>
    <w:rsid w:val="00627513"/>
    <w:rsid w:val="00627534"/>
    <w:rsid w:val="0062753E"/>
    <w:rsid w:val="00627540"/>
    <w:rsid w:val="0062754B"/>
    <w:rsid w:val="006276FA"/>
    <w:rsid w:val="00627765"/>
    <w:rsid w:val="0062786E"/>
    <w:rsid w:val="00627873"/>
    <w:rsid w:val="006278AF"/>
    <w:rsid w:val="006278E2"/>
    <w:rsid w:val="00627978"/>
    <w:rsid w:val="0062799A"/>
    <w:rsid w:val="006279E6"/>
    <w:rsid w:val="00627AAF"/>
    <w:rsid w:val="00627ABE"/>
    <w:rsid w:val="00627AE3"/>
    <w:rsid w:val="00627AFC"/>
    <w:rsid w:val="00627B19"/>
    <w:rsid w:val="00627B30"/>
    <w:rsid w:val="00627B33"/>
    <w:rsid w:val="00627B44"/>
    <w:rsid w:val="00627BF9"/>
    <w:rsid w:val="00627C62"/>
    <w:rsid w:val="00627C6C"/>
    <w:rsid w:val="00627C8F"/>
    <w:rsid w:val="00627C93"/>
    <w:rsid w:val="00627CC4"/>
    <w:rsid w:val="00627CFE"/>
    <w:rsid w:val="00627D9C"/>
    <w:rsid w:val="00627DA7"/>
    <w:rsid w:val="00627E7A"/>
    <w:rsid w:val="00627EC9"/>
    <w:rsid w:val="00627EDE"/>
    <w:rsid w:val="00627F29"/>
    <w:rsid w:val="00627F32"/>
    <w:rsid w:val="00627FF6"/>
    <w:rsid w:val="00630012"/>
    <w:rsid w:val="00630043"/>
    <w:rsid w:val="00630050"/>
    <w:rsid w:val="0063008E"/>
    <w:rsid w:val="006300CF"/>
    <w:rsid w:val="006300EF"/>
    <w:rsid w:val="00630113"/>
    <w:rsid w:val="00630166"/>
    <w:rsid w:val="0063019D"/>
    <w:rsid w:val="006301CA"/>
    <w:rsid w:val="006301EC"/>
    <w:rsid w:val="006302E0"/>
    <w:rsid w:val="006302FD"/>
    <w:rsid w:val="0063034F"/>
    <w:rsid w:val="00630368"/>
    <w:rsid w:val="00630376"/>
    <w:rsid w:val="00630382"/>
    <w:rsid w:val="006303B2"/>
    <w:rsid w:val="006303B5"/>
    <w:rsid w:val="006303B8"/>
    <w:rsid w:val="006303C5"/>
    <w:rsid w:val="006303E6"/>
    <w:rsid w:val="006304AB"/>
    <w:rsid w:val="0063051A"/>
    <w:rsid w:val="0063054F"/>
    <w:rsid w:val="006305F4"/>
    <w:rsid w:val="00630602"/>
    <w:rsid w:val="00630636"/>
    <w:rsid w:val="0063063B"/>
    <w:rsid w:val="0063063F"/>
    <w:rsid w:val="00630678"/>
    <w:rsid w:val="00630686"/>
    <w:rsid w:val="00630711"/>
    <w:rsid w:val="00630779"/>
    <w:rsid w:val="006307CE"/>
    <w:rsid w:val="00630825"/>
    <w:rsid w:val="00630835"/>
    <w:rsid w:val="0063087A"/>
    <w:rsid w:val="00630892"/>
    <w:rsid w:val="0063089C"/>
    <w:rsid w:val="006309EF"/>
    <w:rsid w:val="006309F7"/>
    <w:rsid w:val="00630A1E"/>
    <w:rsid w:val="00630A48"/>
    <w:rsid w:val="00630AAD"/>
    <w:rsid w:val="00630ACB"/>
    <w:rsid w:val="00630B72"/>
    <w:rsid w:val="00630BA3"/>
    <w:rsid w:val="00630C2C"/>
    <w:rsid w:val="00630C3F"/>
    <w:rsid w:val="00630C9D"/>
    <w:rsid w:val="00630CAE"/>
    <w:rsid w:val="00630CB6"/>
    <w:rsid w:val="00630CB8"/>
    <w:rsid w:val="00630CCD"/>
    <w:rsid w:val="00630CF7"/>
    <w:rsid w:val="00630D0C"/>
    <w:rsid w:val="00630D9D"/>
    <w:rsid w:val="00630E27"/>
    <w:rsid w:val="00630E31"/>
    <w:rsid w:val="00630E62"/>
    <w:rsid w:val="00630E7F"/>
    <w:rsid w:val="00630E92"/>
    <w:rsid w:val="00630E9E"/>
    <w:rsid w:val="00630EFE"/>
    <w:rsid w:val="00630F13"/>
    <w:rsid w:val="00630F47"/>
    <w:rsid w:val="00630F4B"/>
    <w:rsid w:val="00630F56"/>
    <w:rsid w:val="00630F6D"/>
    <w:rsid w:val="00630F71"/>
    <w:rsid w:val="00630F93"/>
    <w:rsid w:val="00630FBC"/>
    <w:rsid w:val="00630FFA"/>
    <w:rsid w:val="0063106C"/>
    <w:rsid w:val="00631074"/>
    <w:rsid w:val="0063109F"/>
    <w:rsid w:val="006310A5"/>
    <w:rsid w:val="00631165"/>
    <w:rsid w:val="006311F2"/>
    <w:rsid w:val="00631241"/>
    <w:rsid w:val="006312AD"/>
    <w:rsid w:val="00631313"/>
    <w:rsid w:val="00631334"/>
    <w:rsid w:val="00631357"/>
    <w:rsid w:val="006313F7"/>
    <w:rsid w:val="006313F9"/>
    <w:rsid w:val="0063140D"/>
    <w:rsid w:val="0063140F"/>
    <w:rsid w:val="00631449"/>
    <w:rsid w:val="0063146F"/>
    <w:rsid w:val="00631498"/>
    <w:rsid w:val="006314C9"/>
    <w:rsid w:val="006314F5"/>
    <w:rsid w:val="00631577"/>
    <w:rsid w:val="006315EE"/>
    <w:rsid w:val="006316A7"/>
    <w:rsid w:val="00631716"/>
    <w:rsid w:val="00631719"/>
    <w:rsid w:val="0063176F"/>
    <w:rsid w:val="0063177D"/>
    <w:rsid w:val="006317B4"/>
    <w:rsid w:val="006317D7"/>
    <w:rsid w:val="006317FD"/>
    <w:rsid w:val="0063180C"/>
    <w:rsid w:val="00631830"/>
    <w:rsid w:val="00631877"/>
    <w:rsid w:val="0063188C"/>
    <w:rsid w:val="00631922"/>
    <w:rsid w:val="00631925"/>
    <w:rsid w:val="0063197F"/>
    <w:rsid w:val="0063198F"/>
    <w:rsid w:val="0063199A"/>
    <w:rsid w:val="006319DB"/>
    <w:rsid w:val="00631A18"/>
    <w:rsid w:val="00631A2E"/>
    <w:rsid w:val="00631ADD"/>
    <w:rsid w:val="00631AE2"/>
    <w:rsid w:val="00631B0B"/>
    <w:rsid w:val="00631B38"/>
    <w:rsid w:val="00631B5F"/>
    <w:rsid w:val="00631B75"/>
    <w:rsid w:val="00631BB0"/>
    <w:rsid w:val="00631BF4"/>
    <w:rsid w:val="00631BFE"/>
    <w:rsid w:val="00631C58"/>
    <w:rsid w:val="00631CE8"/>
    <w:rsid w:val="00631CF2"/>
    <w:rsid w:val="00631D0A"/>
    <w:rsid w:val="00631D9E"/>
    <w:rsid w:val="00631DBA"/>
    <w:rsid w:val="00631E3C"/>
    <w:rsid w:val="00631ECE"/>
    <w:rsid w:val="00631F4A"/>
    <w:rsid w:val="00631F9B"/>
    <w:rsid w:val="00631FEC"/>
    <w:rsid w:val="00632053"/>
    <w:rsid w:val="00632080"/>
    <w:rsid w:val="00632097"/>
    <w:rsid w:val="006320CF"/>
    <w:rsid w:val="006320D1"/>
    <w:rsid w:val="00632141"/>
    <w:rsid w:val="0063217E"/>
    <w:rsid w:val="006321DF"/>
    <w:rsid w:val="0063221F"/>
    <w:rsid w:val="00632285"/>
    <w:rsid w:val="006322AF"/>
    <w:rsid w:val="006322D4"/>
    <w:rsid w:val="006322FD"/>
    <w:rsid w:val="00632324"/>
    <w:rsid w:val="00632372"/>
    <w:rsid w:val="00632425"/>
    <w:rsid w:val="00632427"/>
    <w:rsid w:val="0063243D"/>
    <w:rsid w:val="0063248F"/>
    <w:rsid w:val="00632493"/>
    <w:rsid w:val="006324A4"/>
    <w:rsid w:val="00632523"/>
    <w:rsid w:val="00632568"/>
    <w:rsid w:val="00632581"/>
    <w:rsid w:val="0063261C"/>
    <w:rsid w:val="0063261E"/>
    <w:rsid w:val="00632625"/>
    <w:rsid w:val="00632640"/>
    <w:rsid w:val="00632664"/>
    <w:rsid w:val="0063266B"/>
    <w:rsid w:val="00632675"/>
    <w:rsid w:val="00632679"/>
    <w:rsid w:val="006326B2"/>
    <w:rsid w:val="006326DD"/>
    <w:rsid w:val="006326E2"/>
    <w:rsid w:val="00632754"/>
    <w:rsid w:val="00632757"/>
    <w:rsid w:val="0063276B"/>
    <w:rsid w:val="006327F9"/>
    <w:rsid w:val="0063284E"/>
    <w:rsid w:val="0063286E"/>
    <w:rsid w:val="00632935"/>
    <w:rsid w:val="006329A3"/>
    <w:rsid w:val="006329B2"/>
    <w:rsid w:val="00632A0C"/>
    <w:rsid w:val="00632A52"/>
    <w:rsid w:val="00632A6C"/>
    <w:rsid w:val="00632A77"/>
    <w:rsid w:val="00632AA0"/>
    <w:rsid w:val="00632AAB"/>
    <w:rsid w:val="00632AAD"/>
    <w:rsid w:val="00632AD1"/>
    <w:rsid w:val="00632AF0"/>
    <w:rsid w:val="00632B2F"/>
    <w:rsid w:val="00632BB0"/>
    <w:rsid w:val="00632CE5"/>
    <w:rsid w:val="00632CEF"/>
    <w:rsid w:val="00632CFF"/>
    <w:rsid w:val="00632D50"/>
    <w:rsid w:val="00632DC2"/>
    <w:rsid w:val="00632DC9"/>
    <w:rsid w:val="00632DD3"/>
    <w:rsid w:val="00632DDD"/>
    <w:rsid w:val="00632DF0"/>
    <w:rsid w:val="00632E1B"/>
    <w:rsid w:val="00632F16"/>
    <w:rsid w:val="00632F2B"/>
    <w:rsid w:val="00632FA8"/>
    <w:rsid w:val="00632FE0"/>
    <w:rsid w:val="00633027"/>
    <w:rsid w:val="00633029"/>
    <w:rsid w:val="00633053"/>
    <w:rsid w:val="006330F5"/>
    <w:rsid w:val="0063310F"/>
    <w:rsid w:val="00633160"/>
    <w:rsid w:val="0063319E"/>
    <w:rsid w:val="006332EF"/>
    <w:rsid w:val="00633345"/>
    <w:rsid w:val="0063338A"/>
    <w:rsid w:val="0063338F"/>
    <w:rsid w:val="006333A6"/>
    <w:rsid w:val="006333A9"/>
    <w:rsid w:val="006333D3"/>
    <w:rsid w:val="00633453"/>
    <w:rsid w:val="00633487"/>
    <w:rsid w:val="006334C9"/>
    <w:rsid w:val="00633604"/>
    <w:rsid w:val="00633623"/>
    <w:rsid w:val="006336F0"/>
    <w:rsid w:val="0063375A"/>
    <w:rsid w:val="00633893"/>
    <w:rsid w:val="006338B5"/>
    <w:rsid w:val="006338DA"/>
    <w:rsid w:val="006338EF"/>
    <w:rsid w:val="00633923"/>
    <w:rsid w:val="0063393E"/>
    <w:rsid w:val="00633944"/>
    <w:rsid w:val="0063395D"/>
    <w:rsid w:val="006339A9"/>
    <w:rsid w:val="006339AC"/>
    <w:rsid w:val="006339C3"/>
    <w:rsid w:val="006339EB"/>
    <w:rsid w:val="00633A7D"/>
    <w:rsid w:val="00633AB2"/>
    <w:rsid w:val="00633B28"/>
    <w:rsid w:val="00633B6A"/>
    <w:rsid w:val="00633B79"/>
    <w:rsid w:val="00633CAA"/>
    <w:rsid w:val="00633CAD"/>
    <w:rsid w:val="00633CB8"/>
    <w:rsid w:val="00633CEE"/>
    <w:rsid w:val="00633D0B"/>
    <w:rsid w:val="00633D16"/>
    <w:rsid w:val="00633D4C"/>
    <w:rsid w:val="00633DA7"/>
    <w:rsid w:val="00633DC6"/>
    <w:rsid w:val="00633DDF"/>
    <w:rsid w:val="00633E12"/>
    <w:rsid w:val="00633E46"/>
    <w:rsid w:val="00633E9D"/>
    <w:rsid w:val="00633EC2"/>
    <w:rsid w:val="00633EC5"/>
    <w:rsid w:val="00633EE6"/>
    <w:rsid w:val="00633F1E"/>
    <w:rsid w:val="00633F23"/>
    <w:rsid w:val="00633FF0"/>
    <w:rsid w:val="0063404B"/>
    <w:rsid w:val="00634071"/>
    <w:rsid w:val="00634174"/>
    <w:rsid w:val="00634196"/>
    <w:rsid w:val="006341A3"/>
    <w:rsid w:val="006341CA"/>
    <w:rsid w:val="006341EF"/>
    <w:rsid w:val="0063422F"/>
    <w:rsid w:val="006342D0"/>
    <w:rsid w:val="0063432D"/>
    <w:rsid w:val="00634332"/>
    <w:rsid w:val="00634358"/>
    <w:rsid w:val="006343C3"/>
    <w:rsid w:val="00634405"/>
    <w:rsid w:val="0063440B"/>
    <w:rsid w:val="0063441A"/>
    <w:rsid w:val="0063442B"/>
    <w:rsid w:val="00634485"/>
    <w:rsid w:val="006344B9"/>
    <w:rsid w:val="006344C9"/>
    <w:rsid w:val="0063453D"/>
    <w:rsid w:val="0063454C"/>
    <w:rsid w:val="006345C6"/>
    <w:rsid w:val="006345DD"/>
    <w:rsid w:val="006345DE"/>
    <w:rsid w:val="006345F2"/>
    <w:rsid w:val="006345F9"/>
    <w:rsid w:val="00634640"/>
    <w:rsid w:val="00634674"/>
    <w:rsid w:val="00634676"/>
    <w:rsid w:val="0063468E"/>
    <w:rsid w:val="006346B1"/>
    <w:rsid w:val="006346D7"/>
    <w:rsid w:val="0063471C"/>
    <w:rsid w:val="00634728"/>
    <w:rsid w:val="00634737"/>
    <w:rsid w:val="00634758"/>
    <w:rsid w:val="006347A4"/>
    <w:rsid w:val="006347BB"/>
    <w:rsid w:val="006347E7"/>
    <w:rsid w:val="0063498B"/>
    <w:rsid w:val="006349E0"/>
    <w:rsid w:val="00634A7A"/>
    <w:rsid w:val="00634A91"/>
    <w:rsid w:val="00634AEB"/>
    <w:rsid w:val="00634B00"/>
    <w:rsid w:val="00634B4C"/>
    <w:rsid w:val="00634BB1"/>
    <w:rsid w:val="00634C3B"/>
    <w:rsid w:val="00634CB3"/>
    <w:rsid w:val="00634CCF"/>
    <w:rsid w:val="00634CDD"/>
    <w:rsid w:val="00634CEA"/>
    <w:rsid w:val="00634D4D"/>
    <w:rsid w:val="00634DA0"/>
    <w:rsid w:val="00634DC5"/>
    <w:rsid w:val="00634E3A"/>
    <w:rsid w:val="00634E6D"/>
    <w:rsid w:val="00634E90"/>
    <w:rsid w:val="00634F42"/>
    <w:rsid w:val="00634F48"/>
    <w:rsid w:val="00634F73"/>
    <w:rsid w:val="00634FB3"/>
    <w:rsid w:val="0063503F"/>
    <w:rsid w:val="0063507E"/>
    <w:rsid w:val="006350AC"/>
    <w:rsid w:val="00635117"/>
    <w:rsid w:val="00635128"/>
    <w:rsid w:val="0063517B"/>
    <w:rsid w:val="006351E0"/>
    <w:rsid w:val="006351F6"/>
    <w:rsid w:val="00635364"/>
    <w:rsid w:val="0063538C"/>
    <w:rsid w:val="006353F2"/>
    <w:rsid w:val="00635424"/>
    <w:rsid w:val="0063542F"/>
    <w:rsid w:val="0063549F"/>
    <w:rsid w:val="006354D9"/>
    <w:rsid w:val="00635615"/>
    <w:rsid w:val="0063561E"/>
    <w:rsid w:val="0063563A"/>
    <w:rsid w:val="00635660"/>
    <w:rsid w:val="006356D7"/>
    <w:rsid w:val="006356F8"/>
    <w:rsid w:val="00635740"/>
    <w:rsid w:val="006357DB"/>
    <w:rsid w:val="006358A0"/>
    <w:rsid w:val="006358C3"/>
    <w:rsid w:val="006358F1"/>
    <w:rsid w:val="006358FC"/>
    <w:rsid w:val="00635911"/>
    <w:rsid w:val="00635916"/>
    <w:rsid w:val="00635A22"/>
    <w:rsid w:val="00635A55"/>
    <w:rsid w:val="00635AC6"/>
    <w:rsid w:val="00635AED"/>
    <w:rsid w:val="00635B6E"/>
    <w:rsid w:val="00635B92"/>
    <w:rsid w:val="00635BB7"/>
    <w:rsid w:val="00635BCA"/>
    <w:rsid w:val="00635BF4"/>
    <w:rsid w:val="00635C4A"/>
    <w:rsid w:val="00635C5D"/>
    <w:rsid w:val="00635D13"/>
    <w:rsid w:val="00635DDF"/>
    <w:rsid w:val="00635E0D"/>
    <w:rsid w:val="00635EB5"/>
    <w:rsid w:val="00635EB6"/>
    <w:rsid w:val="00635EC2"/>
    <w:rsid w:val="00635F3A"/>
    <w:rsid w:val="00636000"/>
    <w:rsid w:val="0063600A"/>
    <w:rsid w:val="006360B7"/>
    <w:rsid w:val="006360B9"/>
    <w:rsid w:val="006360BB"/>
    <w:rsid w:val="00636120"/>
    <w:rsid w:val="0063613F"/>
    <w:rsid w:val="00636184"/>
    <w:rsid w:val="006361AE"/>
    <w:rsid w:val="006361D6"/>
    <w:rsid w:val="006361FE"/>
    <w:rsid w:val="00636234"/>
    <w:rsid w:val="00636286"/>
    <w:rsid w:val="00636319"/>
    <w:rsid w:val="00636341"/>
    <w:rsid w:val="006363F6"/>
    <w:rsid w:val="00636409"/>
    <w:rsid w:val="0063641D"/>
    <w:rsid w:val="006364B5"/>
    <w:rsid w:val="006364DB"/>
    <w:rsid w:val="00636504"/>
    <w:rsid w:val="00636550"/>
    <w:rsid w:val="00636595"/>
    <w:rsid w:val="00636621"/>
    <w:rsid w:val="00636690"/>
    <w:rsid w:val="0063675B"/>
    <w:rsid w:val="00636761"/>
    <w:rsid w:val="0063677D"/>
    <w:rsid w:val="00636780"/>
    <w:rsid w:val="006367D0"/>
    <w:rsid w:val="00636859"/>
    <w:rsid w:val="0063688E"/>
    <w:rsid w:val="006368A8"/>
    <w:rsid w:val="006368DD"/>
    <w:rsid w:val="00636901"/>
    <w:rsid w:val="0063693A"/>
    <w:rsid w:val="0063696A"/>
    <w:rsid w:val="00636A83"/>
    <w:rsid w:val="00636AED"/>
    <w:rsid w:val="00636B84"/>
    <w:rsid w:val="00636BC1"/>
    <w:rsid w:val="00636C0A"/>
    <w:rsid w:val="00636C5F"/>
    <w:rsid w:val="00636CCA"/>
    <w:rsid w:val="00636CDF"/>
    <w:rsid w:val="00636D52"/>
    <w:rsid w:val="00636DAA"/>
    <w:rsid w:val="00636E3B"/>
    <w:rsid w:val="00636E8E"/>
    <w:rsid w:val="00636EB0"/>
    <w:rsid w:val="00636EB9"/>
    <w:rsid w:val="00636EC7"/>
    <w:rsid w:val="00636F71"/>
    <w:rsid w:val="00637088"/>
    <w:rsid w:val="006370A2"/>
    <w:rsid w:val="006370B3"/>
    <w:rsid w:val="006370B5"/>
    <w:rsid w:val="00637176"/>
    <w:rsid w:val="00637183"/>
    <w:rsid w:val="006371C2"/>
    <w:rsid w:val="006371EB"/>
    <w:rsid w:val="00637209"/>
    <w:rsid w:val="00637245"/>
    <w:rsid w:val="006372C2"/>
    <w:rsid w:val="006372D9"/>
    <w:rsid w:val="00637336"/>
    <w:rsid w:val="0063734B"/>
    <w:rsid w:val="00637358"/>
    <w:rsid w:val="006373A0"/>
    <w:rsid w:val="006373B2"/>
    <w:rsid w:val="006373F1"/>
    <w:rsid w:val="00637473"/>
    <w:rsid w:val="00637476"/>
    <w:rsid w:val="0063752A"/>
    <w:rsid w:val="0063755F"/>
    <w:rsid w:val="006375DC"/>
    <w:rsid w:val="00637616"/>
    <w:rsid w:val="00637650"/>
    <w:rsid w:val="0063767F"/>
    <w:rsid w:val="006376BE"/>
    <w:rsid w:val="006376EA"/>
    <w:rsid w:val="006376EF"/>
    <w:rsid w:val="0063774F"/>
    <w:rsid w:val="006377C5"/>
    <w:rsid w:val="006377CC"/>
    <w:rsid w:val="006377ED"/>
    <w:rsid w:val="00637823"/>
    <w:rsid w:val="00637907"/>
    <w:rsid w:val="00637916"/>
    <w:rsid w:val="00637972"/>
    <w:rsid w:val="00637A1D"/>
    <w:rsid w:val="00637A30"/>
    <w:rsid w:val="00637A5E"/>
    <w:rsid w:val="00637A75"/>
    <w:rsid w:val="00637A8F"/>
    <w:rsid w:val="00637AA1"/>
    <w:rsid w:val="00637AA2"/>
    <w:rsid w:val="00637B12"/>
    <w:rsid w:val="00637B3B"/>
    <w:rsid w:val="00637B75"/>
    <w:rsid w:val="00637B99"/>
    <w:rsid w:val="00637BB9"/>
    <w:rsid w:val="00637C41"/>
    <w:rsid w:val="00637C89"/>
    <w:rsid w:val="00637CE8"/>
    <w:rsid w:val="00637D24"/>
    <w:rsid w:val="00637D96"/>
    <w:rsid w:val="00637DA9"/>
    <w:rsid w:val="00637DD8"/>
    <w:rsid w:val="00637E05"/>
    <w:rsid w:val="00637E3B"/>
    <w:rsid w:val="00637E3D"/>
    <w:rsid w:val="00637E65"/>
    <w:rsid w:val="00637ECD"/>
    <w:rsid w:val="00637F0F"/>
    <w:rsid w:val="00637FC1"/>
    <w:rsid w:val="00637FD8"/>
    <w:rsid w:val="0064003C"/>
    <w:rsid w:val="00640057"/>
    <w:rsid w:val="006400ED"/>
    <w:rsid w:val="006400F8"/>
    <w:rsid w:val="006400FA"/>
    <w:rsid w:val="00640127"/>
    <w:rsid w:val="00640139"/>
    <w:rsid w:val="006401DC"/>
    <w:rsid w:val="0064025D"/>
    <w:rsid w:val="006402A5"/>
    <w:rsid w:val="006402B4"/>
    <w:rsid w:val="0064030B"/>
    <w:rsid w:val="006403B3"/>
    <w:rsid w:val="00640417"/>
    <w:rsid w:val="00640472"/>
    <w:rsid w:val="00640541"/>
    <w:rsid w:val="00640557"/>
    <w:rsid w:val="00640572"/>
    <w:rsid w:val="00640582"/>
    <w:rsid w:val="0064058B"/>
    <w:rsid w:val="006405DA"/>
    <w:rsid w:val="00640669"/>
    <w:rsid w:val="0064067D"/>
    <w:rsid w:val="006406A4"/>
    <w:rsid w:val="006406BA"/>
    <w:rsid w:val="006406CD"/>
    <w:rsid w:val="00640727"/>
    <w:rsid w:val="006407A2"/>
    <w:rsid w:val="006408A1"/>
    <w:rsid w:val="00640909"/>
    <w:rsid w:val="00640910"/>
    <w:rsid w:val="006409AA"/>
    <w:rsid w:val="006409BD"/>
    <w:rsid w:val="006409E6"/>
    <w:rsid w:val="00640A23"/>
    <w:rsid w:val="00640A67"/>
    <w:rsid w:val="00640A6F"/>
    <w:rsid w:val="00640A9A"/>
    <w:rsid w:val="00640B41"/>
    <w:rsid w:val="00640B50"/>
    <w:rsid w:val="00640B6D"/>
    <w:rsid w:val="00640B8C"/>
    <w:rsid w:val="00640BAD"/>
    <w:rsid w:val="00640BF6"/>
    <w:rsid w:val="00640C25"/>
    <w:rsid w:val="00640C30"/>
    <w:rsid w:val="00640CD5"/>
    <w:rsid w:val="00640D39"/>
    <w:rsid w:val="00640D3C"/>
    <w:rsid w:val="00640D4D"/>
    <w:rsid w:val="00640D9E"/>
    <w:rsid w:val="00640E1C"/>
    <w:rsid w:val="00640E26"/>
    <w:rsid w:val="00640EEC"/>
    <w:rsid w:val="00640EF3"/>
    <w:rsid w:val="00640FAC"/>
    <w:rsid w:val="00640FB7"/>
    <w:rsid w:val="00640FC8"/>
    <w:rsid w:val="00640FE0"/>
    <w:rsid w:val="00640FF1"/>
    <w:rsid w:val="0064101F"/>
    <w:rsid w:val="00641040"/>
    <w:rsid w:val="00641087"/>
    <w:rsid w:val="00641095"/>
    <w:rsid w:val="0064113A"/>
    <w:rsid w:val="00641173"/>
    <w:rsid w:val="006411D0"/>
    <w:rsid w:val="006411E3"/>
    <w:rsid w:val="00641273"/>
    <w:rsid w:val="00641337"/>
    <w:rsid w:val="006413B6"/>
    <w:rsid w:val="006413BD"/>
    <w:rsid w:val="006413CE"/>
    <w:rsid w:val="006413D1"/>
    <w:rsid w:val="00641493"/>
    <w:rsid w:val="006414F9"/>
    <w:rsid w:val="0064153D"/>
    <w:rsid w:val="00641568"/>
    <w:rsid w:val="006415B3"/>
    <w:rsid w:val="00641628"/>
    <w:rsid w:val="00641668"/>
    <w:rsid w:val="0064168F"/>
    <w:rsid w:val="0064173C"/>
    <w:rsid w:val="00641747"/>
    <w:rsid w:val="006417AC"/>
    <w:rsid w:val="006417CB"/>
    <w:rsid w:val="006417D8"/>
    <w:rsid w:val="00641838"/>
    <w:rsid w:val="00641842"/>
    <w:rsid w:val="0064184E"/>
    <w:rsid w:val="006418B1"/>
    <w:rsid w:val="00641912"/>
    <w:rsid w:val="0064191C"/>
    <w:rsid w:val="00641926"/>
    <w:rsid w:val="00641932"/>
    <w:rsid w:val="00641985"/>
    <w:rsid w:val="006419CF"/>
    <w:rsid w:val="00641AB3"/>
    <w:rsid w:val="00641B09"/>
    <w:rsid w:val="00641B18"/>
    <w:rsid w:val="00641B4F"/>
    <w:rsid w:val="00641B61"/>
    <w:rsid w:val="00641CBB"/>
    <w:rsid w:val="00641D65"/>
    <w:rsid w:val="00641D69"/>
    <w:rsid w:val="00641D6A"/>
    <w:rsid w:val="00641D8B"/>
    <w:rsid w:val="00641DD3"/>
    <w:rsid w:val="00641DE6"/>
    <w:rsid w:val="00641E50"/>
    <w:rsid w:val="00641E6D"/>
    <w:rsid w:val="00641F30"/>
    <w:rsid w:val="00641FD8"/>
    <w:rsid w:val="0064202B"/>
    <w:rsid w:val="0064203B"/>
    <w:rsid w:val="00642053"/>
    <w:rsid w:val="006420B4"/>
    <w:rsid w:val="00642124"/>
    <w:rsid w:val="0064217A"/>
    <w:rsid w:val="006421BE"/>
    <w:rsid w:val="006421D7"/>
    <w:rsid w:val="006421D9"/>
    <w:rsid w:val="00642247"/>
    <w:rsid w:val="0064228A"/>
    <w:rsid w:val="00642293"/>
    <w:rsid w:val="00642330"/>
    <w:rsid w:val="0064233B"/>
    <w:rsid w:val="00642367"/>
    <w:rsid w:val="0064239E"/>
    <w:rsid w:val="006423AE"/>
    <w:rsid w:val="006423DC"/>
    <w:rsid w:val="006423DE"/>
    <w:rsid w:val="00642400"/>
    <w:rsid w:val="0064240F"/>
    <w:rsid w:val="00642463"/>
    <w:rsid w:val="00642484"/>
    <w:rsid w:val="0064257B"/>
    <w:rsid w:val="006425B2"/>
    <w:rsid w:val="006425D2"/>
    <w:rsid w:val="006425D8"/>
    <w:rsid w:val="006425EB"/>
    <w:rsid w:val="006425F1"/>
    <w:rsid w:val="00642605"/>
    <w:rsid w:val="0064260C"/>
    <w:rsid w:val="00642620"/>
    <w:rsid w:val="0064264D"/>
    <w:rsid w:val="00642684"/>
    <w:rsid w:val="006426E5"/>
    <w:rsid w:val="0064270A"/>
    <w:rsid w:val="00642722"/>
    <w:rsid w:val="0064275F"/>
    <w:rsid w:val="00642768"/>
    <w:rsid w:val="006427BA"/>
    <w:rsid w:val="00642825"/>
    <w:rsid w:val="00642845"/>
    <w:rsid w:val="00642860"/>
    <w:rsid w:val="0064288E"/>
    <w:rsid w:val="006428D6"/>
    <w:rsid w:val="006428DA"/>
    <w:rsid w:val="006428E2"/>
    <w:rsid w:val="0064292D"/>
    <w:rsid w:val="00642960"/>
    <w:rsid w:val="00642982"/>
    <w:rsid w:val="00642A50"/>
    <w:rsid w:val="00642A99"/>
    <w:rsid w:val="00642AF3"/>
    <w:rsid w:val="00642B5B"/>
    <w:rsid w:val="00642B5D"/>
    <w:rsid w:val="00642BA2"/>
    <w:rsid w:val="00642BB9"/>
    <w:rsid w:val="00642BE3"/>
    <w:rsid w:val="00642C5D"/>
    <w:rsid w:val="00642C78"/>
    <w:rsid w:val="00642CC7"/>
    <w:rsid w:val="00642CF0"/>
    <w:rsid w:val="00642CF5"/>
    <w:rsid w:val="00642D44"/>
    <w:rsid w:val="00642D5A"/>
    <w:rsid w:val="00642DAA"/>
    <w:rsid w:val="00642DC4"/>
    <w:rsid w:val="00642DC8"/>
    <w:rsid w:val="00642E61"/>
    <w:rsid w:val="00642E6E"/>
    <w:rsid w:val="00642EE5"/>
    <w:rsid w:val="00642EEB"/>
    <w:rsid w:val="00642EF5"/>
    <w:rsid w:val="00642F2A"/>
    <w:rsid w:val="00642F2B"/>
    <w:rsid w:val="00642F47"/>
    <w:rsid w:val="00642FB8"/>
    <w:rsid w:val="00642FBD"/>
    <w:rsid w:val="00642FC2"/>
    <w:rsid w:val="00642FD3"/>
    <w:rsid w:val="00643007"/>
    <w:rsid w:val="00643027"/>
    <w:rsid w:val="00643073"/>
    <w:rsid w:val="00643098"/>
    <w:rsid w:val="0064309E"/>
    <w:rsid w:val="006430F9"/>
    <w:rsid w:val="00643104"/>
    <w:rsid w:val="0064314B"/>
    <w:rsid w:val="006431A7"/>
    <w:rsid w:val="006431C3"/>
    <w:rsid w:val="006431D6"/>
    <w:rsid w:val="006431EC"/>
    <w:rsid w:val="00643214"/>
    <w:rsid w:val="00643288"/>
    <w:rsid w:val="006432B5"/>
    <w:rsid w:val="006432C4"/>
    <w:rsid w:val="006432FF"/>
    <w:rsid w:val="006433EC"/>
    <w:rsid w:val="006433FB"/>
    <w:rsid w:val="0064344D"/>
    <w:rsid w:val="00643477"/>
    <w:rsid w:val="0064349D"/>
    <w:rsid w:val="006434A6"/>
    <w:rsid w:val="00643523"/>
    <w:rsid w:val="00643593"/>
    <w:rsid w:val="006435C2"/>
    <w:rsid w:val="006435C7"/>
    <w:rsid w:val="0064363A"/>
    <w:rsid w:val="006436A0"/>
    <w:rsid w:val="006436FB"/>
    <w:rsid w:val="00643701"/>
    <w:rsid w:val="00643719"/>
    <w:rsid w:val="00643743"/>
    <w:rsid w:val="00643780"/>
    <w:rsid w:val="006437F5"/>
    <w:rsid w:val="006438C0"/>
    <w:rsid w:val="006438D2"/>
    <w:rsid w:val="0064390F"/>
    <w:rsid w:val="00643968"/>
    <w:rsid w:val="006439B5"/>
    <w:rsid w:val="006439BA"/>
    <w:rsid w:val="006439FC"/>
    <w:rsid w:val="00643A78"/>
    <w:rsid w:val="00643AD9"/>
    <w:rsid w:val="00643ADA"/>
    <w:rsid w:val="00643AE8"/>
    <w:rsid w:val="00643B57"/>
    <w:rsid w:val="00643BB0"/>
    <w:rsid w:val="00643BCE"/>
    <w:rsid w:val="00643C0B"/>
    <w:rsid w:val="00643C8C"/>
    <w:rsid w:val="00643CAD"/>
    <w:rsid w:val="00643CDC"/>
    <w:rsid w:val="00643CE0"/>
    <w:rsid w:val="00643CEE"/>
    <w:rsid w:val="00643D45"/>
    <w:rsid w:val="00643DC2"/>
    <w:rsid w:val="00643DDF"/>
    <w:rsid w:val="00643E2A"/>
    <w:rsid w:val="00643EA5"/>
    <w:rsid w:val="00643EE3"/>
    <w:rsid w:val="00643F22"/>
    <w:rsid w:val="00643F35"/>
    <w:rsid w:val="00643F69"/>
    <w:rsid w:val="00643FB9"/>
    <w:rsid w:val="00643FBD"/>
    <w:rsid w:val="00643FCF"/>
    <w:rsid w:val="00643FE4"/>
    <w:rsid w:val="0064400C"/>
    <w:rsid w:val="00644150"/>
    <w:rsid w:val="00644152"/>
    <w:rsid w:val="0064415E"/>
    <w:rsid w:val="00644199"/>
    <w:rsid w:val="006441BC"/>
    <w:rsid w:val="006441E9"/>
    <w:rsid w:val="00644212"/>
    <w:rsid w:val="0064427B"/>
    <w:rsid w:val="00644298"/>
    <w:rsid w:val="00644393"/>
    <w:rsid w:val="00644492"/>
    <w:rsid w:val="0064452C"/>
    <w:rsid w:val="00644556"/>
    <w:rsid w:val="00644562"/>
    <w:rsid w:val="0064458D"/>
    <w:rsid w:val="006445D6"/>
    <w:rsid w:val="006445E7"/>
    <w:rsid w:val="00644604"/>
    <w:rsid w:val="0064462F"/>
    <w:rsid w:val="0064467A"/>
    <w:rsid w:val="00644685"/>
    <w:rsid w:val="0064468F"/>
    <w:rsid w:val="00644693"/>
    <w:rsid w:val="006446AC"/>
    <w:rsid w:val="00644725"/>
    <w:rsid w:val="006447C7"/>
    <w:rsid w:val="0064481B"/>
    <w:rsid w:val="006448D5"/>
    <w:rsid w:val="006448D9"/>
    <w:rsid w:val="006449AB"/>
    <w:rsid w:val="00644A72"/>
    <w:rsid w:val="00644A7B"/>
    <w:rsid w:val="00644A93"/>
    <w:rsid w:val="00644ABB"/>
    <w:rsid w:val="00644AE3"/>
    <w:rsid w:val="00644B12"/>
    <w:rsid w:val="00644B6C"/>
    <w:rsid w:val="00644BCE"/>
    <w:rsid w:val="00644C15"/>
    <w:rsid w:val="00644C65"/>
    <w:rsid w:val="00644E69"/>
    <w:rsid w:val="00644EB6"/>
    <w:rsid w:val="00644EBA"/>
    <w:rsid w:val="00644EC3"/>
    <w:rsid w:val="00644ED1"/>
    <w:rsid w:val="00644EEE"/>
    <w:rsid w:val="00644F18"/>
    <w:rsid w:val="00644F80"/>
    <w:rsid w:val="00644F92"/>
    <w:rsid w:val="00644FCB"/>
    <w:rsid w:val="00645009"/>
    <w:rsid w:val="00645084"/>
    <w:rsid w:val="006450BC"/>
    <w:rsid w:val="00645105"/>
    <w:rsid w:val="00645110"/>
    <w:rsid w:val="00645134"/>
    <w:rsid w:val="00645159"/>
    <w:rsid w:val="00645197"/>
    <w:rsid w:val="006451A9"/>
    <w:rsid w:val="006451BD"/>
    <w:rsid w:val="006451BF"/>
    <w:rsid w:val="006451DD"/>
    <w:rsid w:val="006451EA"/>
    <w:rsid w:val="0064530F"/>
    <w:rsid w:val="00645362"/>
    <w:rsid w:val="006453E8"/>
    <w:rsid w:val="0064540F"/>
    <w:rsid w:val="00645417"/>
    <w:rsid w:val="006454D6"/>
    <w:rsid w:val="006454FF"/>
    <w:rsid w:val="006455C2"/>
    <w:rsid w:val="006456AE"/>
    <w:rsid w:val="006456B6"/>
    <w:rsid w:val="0064572E"/>
    <w:rsid w:val="00645869"/>
    <w:rsid w:val="006458E3"/>
    <w:rsid w:val="00645962"/>
    <w:rsid w:val="006459AD"/>
    <w:rsid w:val="00645A96"/>
    <w:rsid w:val="00645AC9"/>
    <w:rsid w:val="00645B2A"/>
    <w:rsid w:val="00645B58"/>
    <w:rsid w:val="00645B63"/>
    <w:rsid w:val="00645B6E"/>
    <w:rsid w:val="00645B89"/>
    <w:rsid w:val="00645C0B"/>
    <w:rsid w:val="00645C27"/>
    <w:rsid w:val="00645C50"/>
    <w:rsid w:val="00645CF1"/>
    <w:rsid w:val="00645D32"/>
    <w:rsid w:val="00645D4C"/>
    <w:rsid w:val="00645D75"/>
    <w:rsid w:val="00645D89"/>
    <w:rsid w:val="00645DEE"/>
    <w:rsid w:val="00645EB8"/>
    <w:rsid w:val="00645EBC"/>
    <w:rsid w:val="00645EF0"/>
    <w:rsid w:val="00645FB7"/>
    <w:rsid w:val="00646066"/>
    <w:rsid w:val="00646092"/>
    <w:rsid w:val="00646094"/>
    <w:rsid w:val="0064623B"/>
    <w:rsid w:val="006462EE"/>
    <w:rsid w:val="0064631E"/>
    <w:rsid w:val="006463B6"/>
    <w:rsid w:val="006463EA"/>
    <w:rsid w:val="006464D5"/>
    <w:rsid w:val="006464E3"/>
    <w:rsid w:val="006464EC"/>
    <w:rsid w:val="00646510"/>
    <w:rsid w:val="00646513"/>
    <w:rsid w:val="006465A4"/>
    <w:rsid w:val="0064665F"/>
    <w:rsid w:val="00646689"/>
    <w:rsid w:val="00646706"/>
    <w:rsid w:val="00646742"/>
    <w:rsid w:val="00646768"/>
    <w:rsid w:val="006467A5"/>
    <w:rsid w:val="006467BF"/>
    <w:rsid w:val="006467C8"/>
    <w:rsid w:val="006467E0"/>
    <w:rsid w:val="0064682D"/>
    <w:rsid w:val="00646856"/>
    <w:rsid w:val="006468A2"/>
    <w:rsid w:val="00646900"/>
    <w:rsid w:val="0064691C"/>
    <w:rsid w:val="0064694D"/>
    <w:rsid w:val="0064695A"/>
    <w:rsid w:val="00646999"/>
    <w:rsid w:val="006469A3"/>
    <w:rsid w:val="006469CC"/>
    <w:rsid w:val="006469EB"/>
    <w:rsid w:val="00646AE2"/>
    <w:rsid w:val="00646B0A"/>
    <w:rsid w:val="00646B10"/>
    <w:rsid w:val="00646B2C"/>
    <w:rsid w:val="00646B86"/>
    <w:rsid w:val="00646B88"/>
    <w:rsid w:val="00646C3D"/>
    <w:rsid w:val="00646C4B"/>
    <w:rsid w:val="00646CAB"/>
    <w:rsid w:val="00646CEE"/>
    <w:rsid w:val="00646CF3"/>
    <w:rsid w:val="00646D17"/>
    <w:rsid w:val="00646D1E"/>
    <w:rsid w:val="00646DA2"/>
    <w:rsid w:val="00646DA3"/>
    <w:rsid w:val="00646DC1"/>
    <w:rsid w:val="00646DDC"/>
    <w:rsid w:val="00646DFE"/>
    <w:rsid w:val="00646E1C"/>
    <w:rsid w:val="00646E3B"/>
    <w:rsid w:val="00646E5F"/>
    <w:rsid w:val="00646ED4"/>
    <w:rsid w:val="00646F02"/>
    <w:rsid w:val="00646F25"/>
    <w:rsid w:val="00646F68"/>
    <w:rsid w:val="00647017"/>
    <w:rsid w:val="00647058"/>
    <w:rsid w:val="0064706E"/>
    <w:rsid w:val="006470BD"/>
    <w:rsid w:val="006470D3"/>
    <w:rsid w:val="00647131"/>
    <w:rsid w:val="006471C6"/>
    <w:rsid w:val="00647225"/>
    <w:rsid w:val="00647243"/>
    <w:rsid w:val="00647271"/>
    <w:rsid w:val="006472B1"/>
    <w:rsid w:val="006472C2"/>
    <w:rsid w:val="006472EA"/>
    <w:rsid w:val="006472F6"/>
    <w:rsid w:val="00647320"/>
    <w:rsid w:val="0064732D"/>
    <w:rsid w:val="0064736A"/>
    <w:rsid w:val="0064737B"/>
    <w:rsid w:val="00647399"/>
    <w:rsid w:val="006473A6"/>
    <w:rsid w:val="006473C5"/>
    <w:rsid w:val="00647405"/>
    <w:rsid w:val="0064743A"/>
    <w:rsid w:val="006474AB"/>
    <w:rsid w:val="006474DF"/>
    <w:rsid w:val="00647557"/>
    <w:rsid w:val="00647608"/>
    <w:rsid w:val="0064764F"/>
    <w:rsid w:val="00647688"/>
    <w:rsid w:val="006476B4"/>
    <w:rsid w:val="006476CC"/>
    <w:rsid w:val="006476E1"/>
    <w:rsid w:val="0064773B"/>
    <w:rsid w:val="0064774A"/>
    <w:rsid w:val="006477A2"/>
    <w:rsid w:val="006477E2"/>
    <w:rsid w:val="0064784F"/>
    <w:rsid w:val="00647883"/>
    <w:rsid w:val="0064789B"/>
    <w:rsid w:val="006478A7"/>
    <w:rsid w:val="006478A9"/>
    <w:rsid w:val="00647924"/>
    <w:rsid w:val="00647B3B"/>
    <w:rsid w:val="00647B99"/>
    <w:rsid w:val="00647C5A"/>
    <w:rsid w:val="00647C66"/>
    <w:rsid w:val="00647C90"/>
    <w:rsid w:val="00647CAD"/>
    <w:rsid w:val="00647DAA"/>
    <w:rsid w:val="00647DEB"/>
    <w:rsid w:val="00647EC6"/>
    <w:rsid w:val="00647EFA"/>
    <w:rsid w:val="00647F77"/>
    <w:rsid w:val="00647F8F"/>
    <w:rsid w:val="00647FB8"/>
    <w:rsid w:val="00647FBC"/>
    <w:rsid w:val="0065003C"/>
    <w:rsid w:val="00650046"/>
    <w:rsid w:val="006500AB"/>
    <w:rsid w:val="006500F7"/>
    <w:rsid w:val="00650126"/>
    <w:rsid w:val="00650170"/>
    <w:rsid w:val="006501CB"/>
    <w:rsid w:val="006501CD"/>
    <w:rsid w:val="006501D3"/>
    <w:rsid w:val="006501DA"/>
    <w:rsid w:val="006501ED"/>
    <w:rsid w:val="0065024B"/>
    <w:rsid w:val="006502A1"/>
    <w:rsid w:val="006502DE"/>
    <w:rsid w:val="0065033B"/>
    <w:rsid w:val="0065036C"/>
    <w:rsid w:val="00650374"/>
    <w:rsid w:val="006503FB"/>
    <w:rsid w:val="00650442"/>
    <w:rsid w:val="0065044D"/>
    <w:rsid w:val="00650473"/>
    <w:rsid w:val="0065047C"/>
    <w:rsid w:val="0065048D"/>
    <w:rsid w:val="006504E4"/>
    <w:rsid w:val="006504F1"/>
    <w:rsid w:val="006505AC"/>
    <w:rsid w:val="006505C8"/>
    <w:rsid w:val="006505E2"/>
    <w:rsid w:val="0065060B"/>
    <w:rsid w:val="00650611"/>
    <w:rsid w:val="0065064A"/>
    <w:rsid w:val="0065064F"/>
    <w:rsid w:val="00650670"/>
    <w:rsid w:val="006506A8"/>
    <w:rsid w:val="006506C0"/>
    <w:rsid w:val="006507CC"/>
    <w:rsid w:val="0065085D"/>
    <w:rsid w:val="006508AE"/>
    <w:rsid w:val="006508D1"/>
    <w:rsid w:val="006508EF"/>
    <w:rsid w:val="006509FB"/>
    <w:rsid w:val="00650A7B"/>
    <w:rsid w:val="00650AA7"/>
    <w:rsid w:val="00650AAE"/>
    <w:rsid w:val="00650AE2"/>
    <w:rsid w:val="00650B23"/>
    <w:rsid w:val="00650B2C"/>
    <w:rsid w:val="00650B3C"/>
    <w:rsid w:val="00650B82"/>
    <w:rsid w:val="00650C3C"/>
    <w:rsid w:val="00650C78"/>
    <w:rsid w:val="00650CB0"/>
    <w:rsid w:val="00650D8B"/>
    <w:rsid w:val="00650DCD"/>
    <w:rsid w:val="00650DD5"/>
    <w:rsid w:val="00650DF2"/>
    <w:rsid w:val="00650DF7"/>
    <w:rsid w:val="00650E23"/>
    <w:rsid w:val="00650E3C"/>
    <w:rsid w:val="00650E58"/>
    <w:rsid w:val="00650EAD"/>
    <w:rsid w:val="00650EB9"/>
    <w:rsid w:val="00650ECD"/>
    <w:rsid w:val="00650ED8"/>
    <w:rsid w:val="00650FB5"/>
    <w:rsid w:val="0065107C"/>
    <w:rsid w:val="006510D8"/>
    <w:rsid w:val="006510DB"/>
    <w:rsid w:val="00651138"/>
    <w:rsid w:val="00651146"/>
    <w:rsid w:val="006511B2"/>
    <w:rsid w:val="006511C0"/>
    <w:rsid w:val="00651214"/>
    <w:rsid w:val="00651229"/>
    <w:rsid w:val="0065123E"/>
    <w:rsid w:val="00651268"/>
    <w:rsid w:val="00651333"/>
    <w:rsid w:val="00651360"/>
    <w:rsid w:val="00651369"/>
    <w:rsid w:val="006513A2"/>
    <w:rsid w:val="006513BB"/>
    <w:rsid w:val="006513C7"/>
    <w:rsid w:val="0065144E"/>
    <w:rsid w:val="0065148C"/>
    <w:rsid w:val="00651499"/>
    <w:rsid w:val="006514E6"/>
    <w:rsid w:val="0065152F"/>
    <w:rsid w:val="00651562"/>
    <w:rsid w:val="0065157E"/>
    <w:rsid w:val="00651585"/>
    <w:rsid w:val="00651587"/>
    <w:rsid w:val="00651619"/>
    <w:rsid w:val="00651630"/>
    <w:rsid w:val="00651669"/>
    <w:rsid w:val="006516D1"/>
    <w:rsid w:val="006516F0"/>
    <w:rsid w:val="0065171A"/>
    <w:rsid w:val="00651736"/>
    <w:rsid w:val="006517D4"/>
    <w:rsid w:val="006517D5"/>
    <w:rsid w:val="006518D1"/>
    <w:rsid w:val="006518EA"/>
    <w:rsid w:val="00651975"/>
    <w:rsid w:val="00651A11"/>
    <w:rsid w:val="00651B20"/>
    <w:rsid w:val="00651B49"/>
    <w:rsid w:val="00651B5C"/>
    <w:rsid w:val="00651C0E"/>
    <w:rsid w:val="00651C27"/>
    <w:rsid w:val="00651C51"/>
    <w:rsid w:val="00651C90"/>
    <w:rsid w:val="00651CE3"/>
    <w:rsid w:val="00651CEF"/>
    <w:rsid w:val="00651D02"/>
    <w:rsid w:val="00651D44"/>
    <w:rsid w:val="00651D99"/>
    <w:rsid w:val="00651DD3"/>
    <w:rsid w:val="00651DFE"/>
    <w:rsid w:val="00651E18"/>
    <w:rsid w:val="00651E81"/>
    <w:rsid w:val="00651F30"/>
    <w:rsid w:val="00651F40"/>
    <w:rsid w:val="00651FC7"/>
    <w:rsid w:val="00651FEE"/>
    <w:rsid w:val="00652066"/>
    <w:rsid w:val="006520E9"/>
    <w:rsid w:val="0065210D"/>
    <w:rsid w:val="00652110"/>
    <w:rsid w:val="00652159"/>
    <w:rsid w:val="0065218B"/>
    <w:rsid w:val="00652264"/>
    <w:rsid w:val="006522CF"/>
    <w:rsid w:val="00652305"/>
    <w:rsid w:val="00652315"/>
    <w:rsid w:val="00652327"/>
    <w:rsid w:val="00652331"/>
    <w:rsid w:val="0065233B"/>
    <w:rsid w:val="0065237D"/>
    <w:rsid w:val="006523CA"/>
    <w:rsid w:val="006523DB"/>
    <w:rsid w:val="006523E1"/>
    <w:rsid w:val="00652475"/>
    <w:rsid w:val="006524A9"/>
    <w:rsid w:val="00652557"/>
    <w:rsid w:val="0065255A"/>
    <w:rsid w:val="00652587"/>
    <w:rsid w:val="006525A8"/>
    <w:rsid w:val="006525DD"/>
    <w:rsid w:val="006525E1"/>
    <w:rsid w:val="00652714"/>
    <w:rsid w:val="00652722"/>
    <w:rsid w:val="00652751"/>
    <w:rsid w:val="00652783"/>
    <w:rsid w:val="006527DE"/>
    <w:rsid w:val="006527E8"/>
    <w:rsid w:val="0065281E"/>
    <w:rsid w:val="00652899"/>
    <w:rsid w:val="006528C2"/>
    <w:rsid w:val="00652948"/>
    <w:rsid w:val="00652A6C"/>
    <w:rsid w:val="00652A90"/>
    <w:rsid w:val="00652AF4"/>
    <w:rsid w:val="00652B2A"/>
    <w:rsid w:val="00652B8C"/>
    <w:rsid w:val="00652B9E"/>
    <w:rsid w:val="00652C63"/>
    <w:rsid w:val="00652D20"/>
    <w:rsid w:val="00652D24"/>
    <w:rsid w:val="00652DCC"/>
    <w:rsid w:val="00652E02"/>
    <w:rsid w:val="00652E20"/>
    <w:rsid w:val="00652E36"/>
    <w:rsid w:val="00652E3D"/>
    <w:rsid w:val="00652E3F"/>
    <w:rsid w:val="00652ED9"/>
    <w:rsid w:val="00652EDB"/>
    <w:rsid w:val="00652EE1"/>
    <w:rsid w:val="00652F37"/>
    <w:rsid w:val="0065306B"/>
    <w:rsid w:val="006530CF"/>
    <w:rsid w:val="006531AD"/>
    <w:rsid w:val="006531DF"/>
    <w:rsid w:val="00653232"/>
    <w:rsid w:val="0065324A"/>
    <w:rsid w:val="00653273"/>
    <w:rsid w:val="00653380"/>
    <w:rsid w:val="006534F4"/>
    <w:rsid w:val="0065357A"/>
    <w:rsid w:val="006535E9"/>
    <w:rsid w:val="006535FD"/>
    <w:rsid w:val="00653613"/>
    <w:rsid w:val="0065366F"/>
    <w:rsid w:val="00653683"/>
    <w:rsid w:val="00653689"/>
    <w:rsid w:val="006537DD"/>
    <w:rsid w:val="006537ED"/>
    <w:rsid w:val="00653810"/>
    <w:rsid w:val="0065382D"/>
    <w:rsid w:val="006538CA"/>
    <w:rsid w:val="00653910"/>
    <w:rsid w:val="0065395D"/>
    <w:rsid w:val="006539BC"/>
    <w:rsid w:val="00653A0B"/>
    <w:rsid w:val="00653A1C"/>
    <w:rsid w:val="00653A6A"/>
    <w:rsid w:val="00653A95"/>
    <w:rsid w:val="00653AAB"/>
    <w:rsid w:val="00653ABD"/>
    <w:rsid w:val="00653AC4"/>
    <w:rsid w:val="00653B8E"/>
    <w:rsid w:val="00653C42"/>
    <w:rsid w:val="00653C8C"/>
    <w:rsid w:val="00653CE2"/>
    <w:rsid w:val="00653D31"/>
    <w:rsid w:val="00653E01"/>
    <w:rsid w:val="00653EAB"/>
    <w:rsid w:val="00653EF6"/>
    <w:rsid w:val="00653F7E"/>
    <w:rsid w:val="00653F9D"/>
    <w:rsid w:val="00653FB2"/>
    <w:rsid w:val="00653FCB"/>
    <w:rsid w:val="00653FFE"/>
    <w:rsid w:val="0065400B"/>
    <w:rsid w:val="00654012"/>
    <w:rsid w:val="00654067"/>
    <w:rsid w:val="0065407D"/>
    <w:rsid w:val="00654086"/>
    <w:rsid w:val="006540D1"/>
    <w:rsid w:val="0065419D"/>
    <w:rsid w:val="006541A1"/>
    <w:rsid w:val="006541D1"/>
    <w:rsid w:val="006541EB"/>
    <w:rsid w:val="00654257"/>
    <w:rsid w:val="0065426D"/>
    <w:rsid w:val="00654322"/>
    <w:rsid w:val="00654353"/>
    <w:rsid w:val="00654365"/>
    <w:rsid w:val="006543A2"/>
    <w:rsid w:val="006544AA"/>
    <w:rsid w:val="006544C9"/>
    <w:rsid w:val="006545A9"/>
    <w:rsid w:val="006545B3"/>
    <w:rsid w:val="006545BF"/>
    <w:rsid w:val="006545D9"/>
    <w:rsid w:val="00654609"/>
    <w:rsid w:val="0065463E"/>
    <w:rsid w:val="00654653"/>
    <w:rsid w:val="006546D1"/>
    <w:rsid w:val="006546DD"/>
    <w:rsid w:val="0065471E"/>
    <w:rsid w:val="006547A8"/>
    <w:rsid w:val="006547C0"/>
    <w:rsid w:val="006547DB"/>
    <w:rsid w:val="006547EF"/>
    <w:rsid w:val="0065484E"/>
    <w:rsid w:val="006548A4"/>
    <w:rsid w:val="0065495D"/>
    <w:rsid w:val="006549F6"/>
    <w:rsid w:val="00654A02"/>
    <w:rsid w:val="00654A4D"/>
    <w:rsid w:val="00654A51"/>
    <w:rsid w:val="00654A5C"/>
    <w:rsid w:val="00654A9D"/>
    <w:rsid w:val="00654AE4"/>
    <w:rsid w:val="00654B12"/>
    <w:rsid w:val="00654B61"/>
    <w:rsid w:val="00654B7F"/>
    <w:rsid w:val="00654BDD"/>
    <w:rsid w:val="00654C3F"/>
    <w:rsid w:val="00654C6F"/>
    <w:rsid w:val="00654C79"/>
    <w:rsid w:val="00654C97"/>
    <w:rsid w:val="00654CBE"/>
    <w:rsid w:val="00654CEE"/>
    <w:rsid w:val="00654CFF"/>
    <w:rsid w:val="00654D1E"/>
    <w:rsid w:val="00654D43"/>
    <w:rsid w:val="00654D5B"/>
    <w:rsid w:val="00654DDE"/>
    <w:rsid w:val="00654DF1"/>
    <w:rsid w:val="00654E22"/>
    <w:rsid w:val="00654E59"/>
    <w:rsid w:val="00654E76"/>
    <w:rsid w:val="00654EF1"/>
    <w:rsid w:val="00654F0D"/>
    <w:rsid w:val="00654F2F"/>
    <w:rsid w:val="00654F32"/>
    <w:rsid w:val="00654F51"/>
    <w:rsid w:val="00654F6D"/>
    <w:rsid w:val="00654F7B"/>
    <w:rsid w:val="00654FAB"/>
    <w:rsid w:val="00654FD6"/>
    <w:rsid w:val="00654FE5"/>
    <w:rsid w:val="00654FE8"/>
    <w:rsid w:val="00654FEC"/>
    <w:rsid w:val="0065502F"/>
    <w:rsid w:val="00655075"/>
    <w:rsid w:val="00655097"/>
    <w:rsid w:val="006550E7"/>
    <w:rsid w:val="0065513D"/>
    <w:rsid w:val="00655141"/>
    <w:rsid w:val="00655187"/>
    <w:rsid w:val="00655193"/>
    <w:rsid w:val="006551B2"/>
    <w:rsid w:val="00655232"/>
    <w:rsid w:val="006552CF"/>
    <w:rsid w:val="00655365"/>
    <w:rsid w:val="00655415"/>
    <w:rsid w:val="00655435"/>
    <w:rsid w:val="00655453"/>
    <w:rsid w:val="0065548B"/>
    <w:rsid w:val="006554A6"/>
    <w:rsid w:val="006554B9"/>
    <w:rsid w:val="006554CC"/>
    <w:rsid w:val="006554DD"/>
    <w:rsid w:val="006554EF"/>
    <w:rsid w:val="006554FC"/>
    <w:rsid w:val="00655516"/>
    <w:rsid w:val="00655517"/>
    <w:rsid w:val="0065552B"/>
    <w:rsid w:val="0065552F"/>
    <w:rsid w:val="00655571"/>
    <w:rsid w:val="006556C7"/>
    <w:rsid w:val="006556C8"/>
    <w:rsid w:val="006556F6"/>
    <w:rsid w:val="00655713"/>
    <w:rsid w:val="00655725"/>
    <w:rsid w:val="00655731"/>
    <w:rsid w:val="00655739"/>
    <w:rsid w:val="0065573A"/>
    <w:rsid w:val="00655798"/>
    <w:rsid w:val="006557C5"/>
    <w:rsid w:val="00655812"/>
    <w:rsid w:val="00655852"/>
    <w:rsid w:val="00655955"/>
    <w:rsid w:val="006559E3"/>
    <w:rsid w:val="00655A02"/>
    <w:rsid w:val="00655A36"/>
    <w:rsid w:val="00655A4A"/>
    <w:rsid w:val="00655A94"/>
    <w:rsid w:val="00655A9A"/>
    <w:rsid w:val="00655ACA"/>
    <w:rsid w:val="00655B0A"/>
    <w:rsid w:val="00655B55"/>
    <w:rsid w:val="00655B93"/>
    <w:rsid w:val="00655BF9"/>
    <w:rsid w:val="00655C17"/>
    <w:rsid w:val="00655C2C"/>
    <w:rsid w:val="00655C7F"/>
    <w:rsid w:val="00655C8F"/>
    <w:rsid w:val="00655D25"/>
    <w:rsid w:val="00655D71"/>
    <w:rsid w:val="00655DAF"/>
    <w:rsid w:val="00655DBE"/>
    <w:rsid w:val="00655F82"/>
    <w:rsid w:val="00655F9A"/>
    <w:rsid w:val="00655F9B"/>
    <w:rsid w:val="0065600A"/>
    <w:rsid w:val="0065602A"/>
    <w:rsid w:val="0065603F"/>
    <w:rsid w:val="0065613B"/>
    <w:rsid w:val="00656193"/>
    <w:rsid w:val="00656276"/>
    <w:rsid w:val="00656278"/>
    <w:rsid w:val="006562CE"/>
    <w:rsid w:val="006562DF"/>
    <w:rsid w:val="00656377"/>
    <w:rsid w:val="0065637A"/>
    <w:rsid w:val="0065638F"/>
    <w:rsid w:val="00656431"/>
    <w:rsid w:val="0065651F"/>
    <w:rsid w:val="00656552"/>
    <w:rsid w:val="00656585"/>
    <w:rsid w:val="0065659C"/>
    <w:rsid w:val="0065663D"/>
    <w:rsid w:val="006566C9"/>
    <w:rsid w:val="00656700"/>
    <w:rsid w:val="00656704"/>
    <w:rsid w:val="0065671B"/>
    <w:rsid w:val="006567DC"/>
    <w:rsid w:val="00656808"/>
    <w:rsid w:val="006568D9"/>
    <w:rsid w:val="00656914"/>
    <w:rsid w:val="00656975"/>
    <w:rsid w:val="006569A6"/>
    <w:rsid w:val="006569AA"/>
    <w:rsid w:val="006569E1"/>
    <w:rsid w:val="00656B01"/>
    <w:rsid w:val="00656B08"/>
    <w:rsid w:val="00656B1E"/>
    <w:rsid w:val="00656B50"/>
    <w:rsid w:val="00656B77"/>
    <w:rsid w:val="00656BD7"/>
    <w:rsid w:val="00656C08"/>
    <w:rsid w:val="00656C20"/>
    <w:rsid w:val="00656C30"/>
    <w:rsid w:val="00656D03"/>
    <w:rsid w:val="00656D5D"/>
    <w:rsid w:val="00656D7E"/>
    <w:rsid w:val="00656D81"/>
    <w:rsid w:val="00656E3D"/>
    <w:rsid w:val="00656E3F"/>
    <w:rsid w:val="00656ED5"/>
    <w:rsid w:val="00656F13"/>
    <w:rsid w:val="00657068"/>
    <w:rsid w:val="006570B9"/>
    <w:rsid w:val="006570C1"/>
    <w:rsid w:val="006570FC"/>
    <w:rsid w:val="00657103"/>
    <w:rsid w:val="00657122"/>
    <w:rsid w:val="0065714A"/>
    <w:rsid w:val="00657191"/>
    <w:rsid w:val="0065719A"/>
    <w:rsid w:val="0065719C"/>
    <w:rsid w:val="006571A7"/>
    <w:rsid w:val="006571E6"/>
    <w:rsid w:val="00657211"/>
    <w:rsid w:val="0065725B"/>
    <w:rsid w:val="00657286"/>
    <w:rsid w:val="0065728B"/>
    <w:rsid w:val="006572BE"/>
    <w:rsid w:val="0065734E"/>
    <w:rsid w:val="0065735E"/>
    <w:rsid w:val="006573B5"/>
    <w:rsid w:val="00657426"/>
    <w:rsid w:val="00657436"/>
    <w:rsid w:val="00657449"/>
    <w:rsid w:val="0065745F"/>
    <w:rsid w:val="006574A3"/>
    <w:rsid w:val="006574DB"/>
    <w:rsid w:val="00657565"/>
    <w:rsid w:val="0065756E"/>
    <w:rsid w:val="00657577"/>
    <w:rsid w:val="006575A0"/>
    <w:rsid w:val="006575AF"/>
    <w:rsid w:val="006575FB"/>
    <w:rsid w:val="00657635"/>
    <w:rsid w:val="00657652"/>
    <w:rsid w:val="00657691"/>
    <w:rsid w:val="006576DE"/>
    <w:rsid w:val="006576F1"/>
    <w:rsid w:val="0065774C"/>
    <w:rsid w:val="006577D5"/>
    <w:rsid w:val="00657852"/>
    <w:rsid w:val="0065785E"/>
    <w:rsid w:val="00657861"/>
    <w:rsid w:val="00657871"/>
    <w:rsid w:val="00657992"/>
    <w:rsid w:val="00657A98"/>
    <w:rsid w:val="00657B87"/>
    <w:rsid w:val="00657C26"/>
    <w:rsid w:val="00657C5F"/>
    <w:rsid w:val="00657C92"/>
    <w:rsid w:val="00657CAC"/>
    <w:rsid w:val="00657CB6"/>
    <w:rsid w:val="00657CCC"/>
    <w:rsid w:val="00657D1A"/>
    <w:rsid w:val="00657D2D"/>
    <w:rsid w:val="00657D34"/>
    <w:rsid w:val="00657D77"/>
    <w:rsid w:val="00657D91"/>
    <w:rsid w:val="00657DC9"/>
    <w:rsid w:val="00657E43"/>
    <w:rsid w:val="00657E7D"/>
    <w:rsid w:val="00657EAB"/>
    <w:rsid w:val="00657ECF"/>
    <w:rsid w:val="00657F29"/>
    <w:rsid w:val="00657FCF"/>
    <w:rsid w:val="00657FD7"/>
    <w:rsid w:val="00657FF4"/>
    <w:rsid w:val="00660004"/>
    <w:rsid w:val="0066010E"/>
    <w:rsid w:val="00660145"/>
    <w:rsid w:val="00660176"/>
    <w:rsid w:val="00660187"/>
    <w:rsid w:val="006601EB"/>
    <w:rsid w:val="00660258"/>
    <w:rsid w:val="00660269"/>
    <w:rsid w:val="00660285"/>
    <w:rsid w:val="00660289"/>
    <w:rsid w:val="00660297"/>
    <w:rsid w:val="006602CD"/>
    <w:rsid w:val="006603B7"/>
    <w:rsid w:val="006603DF"/>
    <w:rsid w:val="0066043A"/>
    <w:rsid w:val="00660486"/>
    <w:rsid w:val="0066048F"/>
    <w:rsid w:val="006604D2"/>
    <w:rsid w:val="00660611"/>
    <w:rsid w:val="00660643"/>
    <w:rsid w:val="006606A4"/>
    <w:rsid w:val="006606B6"/>
    <w:rsid w:val="006606FC"/>
    <w:rsid w:val="0066070F"/>
    <w:rsid w:val="0066071A"/>
    <w:rsid w:val="0066074B"/>
    <w:rsid w:val="006607B4"/>
    <w:rsid w:val="006607C9"/>
    <w:rsid w:val="006607F2"/>
    <w:rsid w:val="0066085D"/>
    <w:rsid w:val="00660887"/>
    <w:rsid w:val="00660952"/>
    <w:rsid w:val="0066098A"/>
    <w:rsid w:val="0066099B"/>
    <w:rsid w:val="00660A0D"/>
    <w:rsid w:val="00660AC1"/>
    <w:rsid w:val="00660ADF"/>
    <w:rsid w:val="00660B22"/>
    <w:rsid w:val="00660C02"/>
    <w:rsid w:val="00660C05"/>
    <w:rsid w:val="00660C36"/>
    <w:rsid w:val="00660C8A"/>
    <w:rsid w:val="00660CE2"/>
    <w:rsid w:val="00660D0E"/>
    <w:rsid w:val="00660D14"/>
    <w:rsid w:val="00660D15"/>
    <w:rsid w:val="00660D6F"/>
    <w:rsid w:val="00660DB3"/>
    <w:rsid w:val="00660DBF"/>
    <w:rsid w:val="00660DC2"/>
    <w:rsid w:val="00660DCB"/>
    <w:rsid w:val="00660DF2"/>
    <w:rsid w:val="00660DFD"/>
    <w:rsid w:val="00660DFE"/>
    <w:rsid w:val="00660EA0"/>
    <w:rsid w:val="00660EC4"/>
    <w:rsid w:val="00660ECC"/>
    <w:rsid w:val="00660F67"/>
    <w:rsid w:val="00660F77"/>
    <w:rsid w:val="00661079"/>
    <w:rsid w:val="00661091"/>
    <w:rsid w:val="0066109F"/>
    <w:rsid w:val="0066113D"/>
    <w:rsid w:val="0066114F"/>
    <w:rsid w:val="00661165"/>
    <w:rsid w:val="006611E0"/>
    <w:rsid w:val="006611FE"/>
    <w:rsid w:val="00661268"/>
    <w:rsid w:val="00661290"/>
    <w:rsid w:val="00661301"/>
    <w:rsid w:val="00661304"/>
    <w:rsid w:val="0066130E"/>
    <w:rsid w:val="00661315"/>
    <w:rsid w:val="0066133E"/>
    <w:rsid w:val="006613DE"/>
    <w:rsid w:val="0066141E"/>
    <w:rsid w:val="00661491"/>
    <w:rsid w:val="006614C0"/>
    <w:rsid w:val="006614E5"/>
    <w:rsid w:val="00661509"/>
    <w:rsid w:val="006615EE"/>
    <w:rsid w:val="006615FA"/>
    <w:rsid w:val="0066169B"/>
    <w:rsid w:val="006616EA"/>
    <w:rsid w:val="006616FF"/>
    <w:rsid w:val="0066170E"/>
    <w:rsid w:val="00661711"/>
    <w:rsid w:val="00661716"/>
    <w:rsid w:val="00661718"/>
    <w:rsid w:val="0066173B"/>
    <w:rsid w:val="006617B5"/>
    <w:rsid w:val="0066185A"/>
    <w:rsid w:val="00661863"/>
    <w:rsid w:val="0066189A"/>
    <w:rsid w:val="006618A8"/>
    <w:rsid w:val="006618E8"/>
    <w:rsid w:val="00661922"/>
    <w:rsid w:val="00661967"/>
    <w:rsid w:val="006619D5"/>
    <w:rsid w:val="00661A16"/>
    <w:rsid w:val="00661A33"/>
    <w:rsid w:val="00661A64"/>
    <w:rsid w:val="00661A9B"/>
    <w:rsid w:val="00661ABD"/>
    <w:rsid w:val="00661ACD"/>
    <w:rsid w:val="00661B20"/>
    <w:rsid w:val="00661B45"/>
    <w:rsid w:val="00661C93"/>
    <w:rsid w:val="00661CAD"/>
    <w:rsid w:val="00661D08"/>
    <w:rsid w:val="00661DBA"/>
    <w:rsid w:val="00661DF0"/>
    <w:rsid w:val="00661DF1"/>
    <w:rsid w:val="00661E1D"/>
    <w:rsid w:val="00661E4F"/>
    <w:rsid w:val="00661E61"/>
    <w:rsid w:val="00661E6E"/>
    <w:rsid w:val="00661E76"/>
    <w:rsid w:val="00661EFD"/>
    <w:rsid w:val="00661F0B"/>
    <w:rsid w:val="00661F1D"/>
    <w:rsid w:val="00661F34"/>
    <w:rsid w:val="00661F73"/>
    <w:rsid w:val="00662049"/>
    <w:rsid w:val="006620B2"/>
    <w:rsid w:val="006620D0"/>
    <w:rsid w:val="006620D5"/>
    <w:rsid w:val="00662116"/>
    <w:rsid w:val="0066211F"/>
    <w:rsid w:val="00662143"/>
    <w:rsid w:val="00662191"/>
    <w:rsid w:val="006621CA"/>
    <w:rsid w:val="006621DF"/>
    <w:rsid w:val="00662233"/>
    <w:rsid w:val="00662245"/>
    <w:rsid w:val="006622E0"/>
    <w:rsid w:val="0066231D"/>
    <w:rsid w:val="00662371"/>
    <w:rsid w:val="006623D7"/>
    <w:rsid w:val="00662486"/>
    <w:rsid w:val="006624BC"/>
    <w:rsid w:val="006624D6"/>
    <w:rsid w:val="00662512"/>
    <w:rsid w:val="0066252A"/>
    <w:rsid w:val="0066253E"/>
    <w:rsid w:val="00662577"/>
    <w:rsid w:val="00662601"/>
    <w:rsid w:val="0066273C"/>
    <w:rsid w:val="00662757"/>
    <w:rsid w:val="006627B8"/>
    <w:rsid w:val="006627F1"/>
    <w:rsid w:val="00662805"/>
    <w:rsid w:val="006628C7"/>
    <w:rsid w:val="006628ED"/>
    <w:rsid w:val="00662905"/>
    <w:rsid w:val="00662941"/>
    <w:rsid w:val="00662962"/>
    <w:rsid w:val="00662987"/>
    <w:rsid w:val="006629D1"/>
    <w:rsid w:val="00662B7F"/>
    <w:rsid w:val="00662BD4"/>
    <w:rsid w:val="00662BEB"/>
    <w:rsid w:val="00662BFC"/>
    <w:rsid w:val="00662C0A"/>
    <w:rsid w:val="00662C88"/>
    <w:rsid w:val="00662CB6"/>
    <w:rsid w:val="00662CFA"/>
    <w:rsid w:val="00662D48"/>
    <w:rsid w:val="00662D83"/>
    <w:rsid w:val="00662DBB"/>
    <w:rsid w:val="00662DC4"/>
    <w:rsid w:val="00662DDD"/>
    <w:rsid w:val="00662E4F"/>
    <w:rsid w:val="00662F32"/>
    <w:rsid w:val="00662FD9"/>
    <w:rsid w:val="00662FF4"/>
    <w:rsid w:val="0066300E"/>
    <w:rsid w:val="0066303A"/>
    <w:rsid w:val="0066308C"/>
    <w:rsid w:val="00663097"/>
    <w:rsid w:val="0066309A"/>
    <w:rsid w:val="006630FC"/>
    <w:rsid w:val="0066318B"/>
    <w:rsid w:val="006631F5"/>
    <w:rsid w:val="00663211"/>
    <w:rsid w:val="0066321F"/>
    <w:rsid w:val="0066325F"/>
    <w:rsid w:val="00663266"/>
    <w:rsid w:val="006632A8"/>
    <w:rsid w:val="006632AC"/>
    <w:rsid w:val="0066337F"/>
    <w:rsid w:val="006633CE"/>
    <w:rsid w:val="006633D3"/>
    <w:rsid w:val="006633ED"/>
    <w:rsid w:val="006633FC"/>
    <w:rsid w:val="0066340B"/>
    <w:rsid w:val="00663411"/>
    <w:rsid w:val="00663459"/>
    <w:rsid w:val="0066356F"/>
    <w:rsid w:val="00663591"/>
    <w:rsid w:val="006635A4"/>
    <w:rsid w:val="006635CF"/>
    <w:rsid w:val="006635ED"/>
    <w:rsid w:val="0066360A"/>
    <w:rsid w:val="00663637"/>
    <w:rsid w:val="00663640"/>
    <w:rsid w:val="0066366E"/>
    <w:rsid w:val="006636B1"/>
    <w:rsid w:val="0066372F"/>
    <w:rsid w:val="006637C8"/>
    <w:rsid w:val="006637D3"/>
    <w:rsid w:val="00663875"/>
    <w:rsid w:val="006638A4"/>
    <w:rsid w:val="006638E6"/>
    <w:rsid w:val="0066390D"/>
    <w:rsid w:val="00663916"/>
    <w:rsid w:val="00663917"/>
    <w:rsid w:val="00663948"/>
    <w:rsid w:val="0066394B"/>
    <w:rsid w:val="00663971"/>
    <w:rsid w:val="006639AA"/>
    <w:rsid w:val="00663A50"/>
    <w:rsid w:val="00663A56"/>
    <w:rsid w:val="00663A92"/>
    <w:rsid w:val="00663AAB"/>
    <w:rsid w:val="00663B0A"/>
    <w:rsid w:val="00663B15"/>
    <w:rsid w:val="00663B6E"/>
    <w:rsid w:val="00663B85"/>
    <w:rsid w:val="00663BAE"/>
    <w:rsid w:val="00663BEE"/>
    <w:rsid w:val="00663C55"/>
    <w:rsid w:val="00663C7B"/>
    <w:rsid w:val="00663CEC"/>
    <w:rsid w:val="00663D06"/>
    <w:rsid w:val="00663D78"/>
    <w:rsid w:val="00663D7F"/>
    <w:rsid w:val="00663DC8"/>
    <w:rsid w:val="00663DD8"/>
    <w:rsid w:val="00663E1A"/>
    <w:rsid w:val="00663E82"/>
    <w:rsid w:val="00663E84"/>
    <w:rsid w:val="00663EF6"/>
    <w:rsid w:val="00663F34"/>
    <w:rsid w:val="00663F7D"/>
    <w:rsid w:val="00663FEA"/>
    <w:rsid w:val="00664021"/>
    <w:rsid w:val="0066402C"/>
    <w:rsid w:val="006641C3"/>
    <w:rsid w:val="0066422B"/>
    <w:rsid w:val="00664268"/>
    <w:rsid w:val="00664272"/>
    <w:rsid w:val="006642C0"/>
    <w:rsid w:val="006642C3"/>
    <w:rsid w:val="006642D0"/>
    <w:rsid w:val="0066431E"/>
    <w:rsid w:val="00664344"/>
    <w:rsid w:val="0066434D"/>
    <w:rsid w:val="00664371"/>
    <w:rsid w:val="0066437F"/>
    <w:rsid w:val="006643B2"/>
    <w:rsid w:val="006644AF"/>
    <w:rsid w:val="006644BC"/>
    <w:rsid w:val="0066450F"/>
    <w:rsid w:val="00664555"/>
    <w:rsid w:val="00664562"/>
    <w:rsid w:val="00664595"/>
    <w:rsid w:val="006645E7"/>
    <w:rsid w:val="006646F1"/>
    <w:rsid w:val="006646FE"/>
    <w:rsid w:val="0066475E"/>
    <w:rsid w:val="0066480D"/>
    <w:rsid w:val="00664818"/>
    <w:rsid w:val="00664860"/>
    <w:rsid w:val="0066487B"/>
    <w:rsid w:val="006648AC"/>
    <w:rsid w:val="006648F0"/>
    <w:rsid w:val="0066491D"/>
    <w:rsid w:val="006649D6"/>
    <w:rsid w:val="006649D7"/>
    <w:rsid w:val="006649FA"/>
    <w:rsid w:val="00664A47"/>
    <w:rsid w:val="00664A8A"/>
    <w:rsid w:val="00664AF7"/>
    <w:rsid w:val="00664B27"/>
    <w:rsid w:val="00664B69"/>
    <w:rsid w:val="00664C0D"/>
    <w:rsid w:val="00664C53"/>
    <w:rsid w:val="00664C5D"/>
    <w:rsid w:val="00664CCC"/>
    <w:rsid w:val="00664CDE"/>
    <w:rsid w:val="00664CF6"/>
    <w:rsid w:val="00664D11"/>
    <w:rsid w:val="00664D85"/>
    <w:rsid w:val="00664D92"/>
    <w:rsid w:val="00664DA3"/>
    <w:rsid w:val="00664DCC"/>
    <w:rsid w:val="00664DFD"/>
    <w:rsid w:val="00664E19"/>
    <w:rsid w:val="00664E93"/>
    <w:rsid w:val="00664E9B"/>
    <w:rsid w:val="00664EC5"/>
    <w:rsid w:val="00664EC7"/>
    <w:rsid w:val="00664EC8"/>
    <w:rsid w:val="00664ED5"/>
    <w:rsid w:val="00664F0E"/>
    <w:rsid w:val="00664F3A"/>
    <w:rsid w:val="00664F47"/>
    <w:rsid w:val="00664F7C"/>
    <w:rsid w:val="00664FAC"/>
    <w:rsid w:val="006650CA"/>
    <w:rsid w:val="006650E3"/>
    <w:rsid w:val="006650F1"/>
    <w:rsid w:val="00665108"/>
    <w:rsid w:val="0066510F"/>
    <w:rsid w:val="006651A6"/>
    <w:rsid w:val="006651CA"/>
    <w:rsid w:val="006651FA"/>
    <w:rsid w:val="0066521F"/>
    <w:rsid w:val="006652EB"/>
    <w:rsid w:val="006652FF"/>
    <w:rsid w:val="00665360"/>
    <w:rsid w:val="0066536A"/>
    <w:rsid w:val="006653F9"/>
    <w:rsid w:val="00665493"/>
    <w:rsid w:val="0066549E"/>
    <w:rsid w:val="006654C6"/>
    <w:rsid w:val="00665500"/>
    <w:rsid w:val="006655D2"/>
    <w:rsid w:val="006655DE"/>
    <w:rsid w:val="00665621"/>
    <w:rsid w:val="00665625"/>
    <w:rsid w:val="0066566E"/>
    <w:rsid w:val="0066568B"/>
    <w:rsid w:val="006656AE"/>
    <w:rsid w:val="006656CF"/>
    <w:rsid w:val="006656E2"/>
    <w:rsid w:val="00665708"/>
    <w:rsid w:val="00665712"/>
    <w:rsid w:val="00665787"/>
    <w:rsid w:val="006657B0"/>
    <w:rsid w:val="006657B4"/>
    <w:rsid w:val="00665872"/>
    <w:rsid w:val="006658AE"/>
    <w:rsid w:val="00665967"/>
    <w:rsid w:val="0066598A"/>
    <w:rsid w:val="00665A1F"/>
    <w:rsid w:val="00665AE4"/>
    <w:rsid w:val="00665B0C"/>
    <w:rsid w:val="00665B1C"/>
    <w:rsid w:val="00665B58"/>
    <w:rsid w:val="00665B79"/>
    <w:rsid w:val="00665C0E"/>
    <w:rsid w:val="00665C1D"/>
    <w:rsid w:val="00665C4F"/>
    <w:rsid w:val="00665CE1"/>
    <w:rsid w:val="00665CE4"/>
    <w:rsid w:val="00665CEE"/>
    <w:rsid w:val="00665D04"/>
    <w:rsid w:val="00665D2B"/>
    <w:rsid w:val="00665DF7"/>
    <w:rsid w:val="00665E27"/>
    <w:rsid w:val="00665F6A"/>
    <w:rsid w:val="00665F93"/>
    <w:rsid w:val="00665FAC"/>
    <w:rsid w:val="00665FC6"/>
    <w:rsid w:val="006660D0"/>
    <w:rsid w:val="006660FB"/>
    <w:rsid w:val="00666153"/>
    <w:rsid w:val="006661AC"/>
    <w:rsid w:val="006661F5"/>
    <w:rsid w:val="006661FC"/>
    <w:rsid w:val="00666206"/>
    <w:rsid w:val="0066624B"/>
    <w:rsid w:val="0066630B"/>
    <w:rsid w:val="00666388"/>
    <w:rsid w:val="0066638E"/>
    <w:rsid w:val="006663AE"/>
    <w:rsid w:val="00666464"/>
    <w:rsid w:val="0066650C"/>
    <w:rsid w:val="00666514"/>
    <w:rsid w:val="00666531"/>
    <w:rsid w:val="0066653D"/>
    <w:rsid w:val="00666542"/>
    <w:rsid w:val="00666556"/>
    <w:rsid w:val="00666587"/>
    <w:rsid w:val="0066659A"/>
    <w:rsid w:val="0066659B"/>
    <w:rsid w:val="006665CE"/>
    <w:rsid w:val="00666696"/>
    <w:rsid w:val="006666B1"/>
    <w:rsid w:val="006666E1"/>
    <w:rsid w:val="00666705"/>
    <w:rsid w:val="0066672B"/>
    <w:rsid w:val="0066672C"/>
    <w:rsid w:val="00666789"/>
    <w:rsid w:val="00666790"/>
    <w:rsid w:val="006667E9"/>
    <w:rsid w:val="00666815"/>
    <w:rsid w:val="006668AC"/>
    <w:rsid w:val="006668AF"/>
    <w:rsid w:val="006668B6"/>
    <w:rsid w:val="00666911"/>
    <w:rsid w:val="00666918"/>
    <w:rsid w:val="0066693A"/>
    <w:rsid w:val="0066693B"/>
    <w:rsid w:val="00666960"/>
    <w:rsid w:val="00666969"/>
    <w:rsid w:val="0066696D"/>
    <w:rsid w:val="0066696E"/>
    <w:rsid w:val="0066698C"/>
    <w:rsid w:val="006669E2"/>
    <w:rsid w:val="00666A11"/>
    <w:rsid w:val="00666A28"/>
    <w:rsid w:val="00666A9C"/>
    <w:rsid w:val="00666AC4"/>
    <w:rsid w:val="00666ACB"/>
    <w:rsid w:val="00666B94"/>
    <w:rsid w:val="00666BD2"/>
    <w:rsid w:val="00666BF9"/>
    <w:rsid w:val="00666C0D"/>
    <w:rsid w:val="00666C53"/>
    <w:rsid w:val="00666C9E"/>
    <w:rsid w:val="00666CA0"/>
    <w:rsid w:val="00666CC6"/>
    <w:rsid w:val="00666D38"/>
    <w:rsid w:val="00666D58"/>
    <w:rsid w:val="00666D65"/>
    <w:rsid w:val="00666D77"/>
    <w:rsid w:val="00666DB8"/>
    <w:rsid w:val="00666DC3"/>
    <w:rsid w:val="00666DDA"/>
    <w:rsid w:val="00666E68"/>
    <w:rsid w:val="00666F85"/>
    <w:rsid w:val="00667034"/>
    <w:rsid w:val="00667057"/>
    <w:rsid w:val="00667074"/>
    <w:rsid w:val="00667110"/>
    <w:rsid w:val="00667115"/>
    <w:rsid w:val="00667169"/>
    <w:rsid w:val="006671F5"/>
    <w:rsid w:val="0066723B"/>
    <w:rsid w:val="00667242"/>
    <w:rsid w:val="00667275"/>
    <w:rsid w:val="0066729B"/>
    <w:rsid w:val="00667347"/>
    <w:rsid w:val="00667365"/>
    <w:rsid w:val="00667389"/>
    <w:rsid w:val="006673DA"/>
    <w:rsid w:val="006673E3"/>
    <w:rsid w:val="0066741B"/>
    <w:rsid w:val="0066744F"/>
    <w:rsid w:val="006674AF"/>
    <w:rsid w:val="00667511"/>
    <w:rsid w:val="0066754F"/>
    <w:rsid w:val="0066757C"/>
    <w:rsid w:val="006675DE"/>
    <w:rsid w:val="006675E5"/>
    <w:rsid w:val="006675EF"/>
    <w:rsid w:val="0066768B"/>
    <w:rsid w:val="00667750"/>
    <w:rsid w:val="0066776F"/>
    <w:rsid w:val="0066779A"/>
    <w:rsid w:val="006677A5"/>
    <w:rsid w:val="006677C7"/>
    <w:rsid w:val="006677CC"/>
    <w:rsid w:val="006677D1"/>
    <w:rsid w:val="0066782F"/>
    <w:rsid w:val="00667846"/>
    <w:rsid w:val="0066784F"/>
    <w:rsid w:val="006678D2"/>
    <w:rsid w:val="006678EB"/>
    <w:rsid w:val="006678F4"/>
    <w:rsid w:val="00667948"/>
    <w:rsid w:val="006679EA"/>
    <w:rsid w:val="00667A04"/>
    <w:rsid w:val="00667A1D"/>
    <w:rsid w:val="00667A49"/>
    <w:rsid w:val="00667A80"/>
    <w:rsid w:val="00667B51"/>
    <w:rsid w:val="00667B6C"/>
    <w:rsid w:val="00667B78"/>
    <w:rsid w:val="00667BA5"/>
    <w:rsid w:val="00667BF1"/>
    <w:rsid w:val="00667BF2"/>
    <w:rsid w:val="00667C73"/>
    <w:rsid w:val="00667C86"/>
    <w:rsid w:val="00667C9A"/>
    <w:rsid w:val="00667C9D"/>
    <w:rsid w:val="00667D1E"/>
    <w:rsid w:val="00667DAD"/>
    <w:rsid w:val="00667DCB"/>
    <w:rsid w:val="00667DD8"/>
    <w:rsid w:val="00667E09"/>
    <w:rsid w:val="00667E0E"/>
    <w:rsid w:val="00667E88"/>
    <w:rsid w:val="00667E9C"/>
    <w:rsid w:val="00667EB0"/>
    <w:rsid w:val="00667EC2"/>
    <w:rsid w:val="00667F00"/>
    <w:rsid w:val="00667F7A"/>
    <w:rsid w:val="00667F97"/>
    <w:rsid w:val="00670054"/>
    <w:rsid w:val="006700C8"/>
    <w:rsid w:val="0067012A"/>
    <w:rsid w:val="00670138"/>
    <w:rsid w:val="0067017D"/>
    <w:rsid w:val="0067018B"/>
    <w:rsid w:val="0067019D"/>
    <w:rsid w:val="006701CC"/>
    <w:rsid w:val="006701D3"/>
    <w:rsid w:val="006701DE"/>
    <w:rsid w:val="0067025D"/>
    <w:rsid w:val="0067026A"/>
    <w:rsid w:val="006702D2"/>
    <w:rsid w:val="00670333"/>
    <w:rsid w:val="0067036B"/>
    <w:rsid w:val="00670386"/>
    <w:rsid w:val="006703B8"/>
    <w:rsid w:val="00670429"/>
    <w:rsid w:val="006704A0"/>
    <w:rsid w:val="006704E7"/>
    <w:rsid w:val="0067052C"/>
    <w:rsid w:val="00670531"/>
    <w:rsid w:val="0067056C"/>
    <w:rsid w:val="00670577"/>
    <w:rsid w:val="006705C7"/>
    <w:rsid w:val="006705F5"/>
    <w:rsid w:val="0067060D"/>
    <w:rsid w:val="00670621"/>
    <w:rsid w:val="00670627"/>
    <w:rsid w:val="00670669"/>
    <w:rsid w:val="00670699"/>
    <w:rsid w:val="00670808"/>
    <w:rsid w:val="00670869"/>
    <w:rsid w:val="006708A7"/>
    <w:rsid w:val="006708BB"/>
    <w:rsid w:val="006708EE"/>
    <w:rsid w:val="006709B3"/>
    <w:rsid w:val="00670AAE"/>
    <w:rsid w:val="00670B02"/>
    <w:rsid w:val="00670B2B"/>
    <w:rsid w:val="00670B53"/>
    <w:rsid w:val="00670B7D"/>
    <w:rsid w:val="00670CA5"/>
    <w:rsid w:val="00670CC3"/>
    <w:rsid w:val="00670CE3"/>
    <w:rsid w:val="00670CF3"/>
    <w:rsid w:val="00670D09"/>
    <w:rsid w:val="00670D60"/>
    <w:rsid w:val="00670ECD"/>
    <w:rsid w:val="00670F7F"/>
    <w:rsid w:val="00670FF4"/>
    <w:rsid w:val="00670FF6"/>
    <w:rsid w:val="00671067"/>
    <w:rsid w:val="0067118F"/>
    <w:rsid w:val="00671197"/>
    <w:rsid w:val="0067120B"/>
    <w:rsid w:val="00671226"/>
    <w:rsid w:val="00671261"/>
    <w:rsid w:val="0067126E"/>
    <w:rsid w:val="006712A2"/>
    <w:rsid w:val="006712D6"/>
    <w:rsid w:val="006712D9"/>
    <w:rsid w:val="00671319"/>
    <w:rsid w:val="00671373"/>
    <w:rsid w:val="00671376"/>
    <w:rsid w:val="00671381"/>
    <w:rsid w:val="0067138F"/>
    <w:rsid w:val="006713BD"/>
    <w:rsid w:val="006713E7"/>
    <w:rsid w:val="006713F8"/>
    <w:rsid w:val="00671455"/>
    <w:rsid w:val="00671477"/>
    <w:rsid w:val="0067148E"/>
    <w:rsid w:val="006715D8"/>
    <w:rsid w:val="006715DA"/>
    <w:rsid w:val="00671603"/>
    <w:rsid w:val="00671624"/>
    <w:rsid w:val="00671664"/>
    <w:rsid w:val="006716C1"/>
    <w:rsid w:val="00671743"/>
    <w:rsid w:val="006717C4"/>
    <w:rsid w:val="006717C5"/>
    <w:rsid w:val="0067180C"/>
    <w:rsid w:val="00671818"/>
    <w:rsid w:val="00671853"/>
    <w:rsid w:val="0067185D"/>
    <w:rsid w:val="006718B6"/>
    <w:rsid w:val="00671918"/>
    <w:rsid w:val="00671926"/>
    <w:rsid w:val="00671931"/>
    <w:rsid w:val="00671935"/>
    <w:rsid w:val="006719BE"/>
    <w:rsid w:val="00671AB5"/>
    <w:rsid w:val="00671AD5"/>
    <w:rsid w:val="00671B6F"/>
    <w:rsid w:val="00671B88"/>
    <w:rsid w:val="00671B89"/>
    <w:rsid w:val="00671BB9"/>
    <w:rsid w:val="00671C05"/>
    <w:rsid w:val="00671CCA"/>
    <w:rsid w:val="00671D26"/>
    <w:rsid w:val="00671D33"/>
    <w:rsid w:val="00671D4D"/>
    <w:rsid w:val="00671D64"/>
    <w:rsid w:val="00671D91"/>
    <w:rsid w:val="00671E4E"/>
    <w:rsid w:val="00671E7A"/>
    <w:rsid w:val="00671E97"/>
    <w:rsid w:val="00671EBB"/>
    <w:rsid w:val="00671F96"/>
    <w:rsid w:val="00671FD8"/>
    <w:rsid w:val="0067203E"/>
    <w:rsid w:val="006720AA"/>
    <w:rsid w:val="00672103"/>
    <w:rsid w:val="00672126"/>
    <w:rsid w:val="0067213E"/>
    <w:rsid w:val="00672151"/>
    <w:rsid w:val="00672197"/>
    <w:rsid w:val="006721AB"/>
    <w:rsid w:val="006721CC"/>
    <w:rsid w:val="006721FB"/>
    <w:rsid w:val="00672214"/>
    <w:rsid w:val="00672243"/>
    <w:rsid w:val="00672281"/>
    <w:rsid w:val="006722CE"/>
    <w:rsid w:val="006722E2"/>
    <w:rsid w:val="006723F2"/>
    <w:rsid w:val="00672420"/>
    <w:rsid w:val="0067252D"/>
    <w:rsid w:val="006725E0"/>
    <w:rsid w:val="00672641"/>
    <w:rsid w:val="0067264E"/>
    <w:rsid w:val="00672677"/>
    <w:rsid w:val="006726CC"/>
    <w:rsid w:val="006726D1"/>
    <w:rsid w:val="0067273C"/>
    <w:rsid w:val="00672778"/>
    <w:rsid w:val="0067278E"/>
    <w:rsid w:val="006727EC"/>
    <w:rsid w:val="00672808"/>
    <w:rsid w:val="00672933"/>
    <w:rsid w:val="00672964"/>
    <w:rsid w:val="006729A7"/>
    <w:rsid w:val="006729BA"/>
    <w:rsid w:val="006729DB"/>
    <w:rsid w:val="00672A71"/>
    <w:rsid w:val="00672A86"/>
    <w:rsid w:val="00672A97"/>
    <w:rsid w:val="00672AE9"/>
    <w:rsid w:val="00672B33"/>
    <w:rsid w:val="00672B50"/>
    <w:rsid w:val="00672B5D"/>
    <w:rsid w:val="00672B7A"/>
    <w:rsid w:val="00672C4E"/>
    <w:rsid w:val="00672C88"/>
    <w:rsid w:val="00672C95"/>
    <w:rsid w:val="00672D18"/>
    <w:rsid w:val="00672D76"/>
    <w:rsid w:val="00672D7A"/>
    <w:rsid w:val="00672DE3"/>
    <w:rsid w:val="00672E59"/>
    <w:rsid w:val="00672FF4"/>
    <w:rsid w:val="00672FFA"/>
    <w:rsid w:val="0067304C"/>
    <w:rsid w:val="0067309F"/>
    <w:rsid w:val="00673133"/>
    <w:rsid w:val="0067317A"/>
    <w:rsid w:val="00673229"/>
    <w:rsid w:val="0067328F"/>
    <w:rsid w:val="0067335F"/>
    <w:rsid w:val="0067343E"/>
    <w:rsid w:val="00673485"/>
    <w:rsid w:val="0067355C"/>
    <w:rsid w:val="006735AA"/>
    <w:rsid w:val="006735D3"/>
    <w:rsid w:val="006735F8"/>
    <w:rsid w:val="0067379F"/>
    <w:rsid w:val="00673801"/>
    <w:rsid w:val="0067381F"/>
    <w:rsid w:val="006738B9"/>
    <w:rsid w:val="00673943"/>
    <w:rsid w:val="006739AE"/>
    <w:rsid w:val="00673AD4"/>
    <w:rsid w:val="00673ADB"/>
    <w:rsid w:val="00673B01"/>
    <w:rsid w:val="00673B81"/>
    <w:rsid w:val="00673BAC"/>
    <w:rsid w:val="00673BB6"/>
    <w:rsid w:val="00673BFC"/>
    <w:rsid w:val="00673C55"/>
    <w:rsid w:val="00673C59"/>
    <w:rsid w:val="00673C64"/>
    <w:rsid w:val="00673C7D"/>
    <w:rsid w:val="00673C89"/>
    <w:rsid w:val="00673CA8"/>
    <w:rsid w:val="00673CB1"/>
    <w:rsid w:val="00673CD4"/>
    <w:rsid w:val="00673CF7"/>
    <w:rsid w:val="00673D0A"/>
    <w:rsid w:val="00673D37"/>
    <w:rsid w:val="00673D59"/>
    <w:rsid w:val="00673D5A"/>
    <w:rsid w:val="00673DC9"/>
    <w:rsid w:val="00673DEC"/>
    <w:rsid w:val="00673E21"/>
    <w:rsid w:val="00673E93"/>
    <w:rsid w:val="00673EB7"/>
    <w:rsid w:val="00673EBE"/>
    <w:rsid w:val="00673EDA"/>
    <w:rsid w:val="00673F5E"/>
    <w:rsid w:val="00673F71"/>
    <w:rsid w:val="00673F7E"/>
    <w:rsid w:val="00673FA8"/>
    <w:rsid w:val="00673FAE"/>
    <w:rsid w:val="00674039"/>
    <w:rsid w:val="0067403B"/>
    <w:rsid w:val="00674064"/>
    <w:rsid w:val="00674085"/>
    <w:rsid w:val="006740ED"/>
    <w:rsid w:val="00674144"/>
    <w:rsid w:val="0067414D"/>
    <w:rsid w:val="00674154"/>
    <w:rsid w:val="0067418E"/>
    <w:rsid w:val="00674204"/>
    <w:rsid w:val="00674255"/>
    <w:rsid w:val="006743BA"/>
    <w:rsid w:val="006743E5"/>
    <w:rsid w:val="00674401"/>
    <w:rsid w:val="00674493"/>
    <w:rsid w:val="0067449F"/>
    <w:rsid w:val="006744A1"/>
    <w:rsid w:val="006744D0"/>
    <w:rsid w:val="00674510"/>
    <w:rsid w:val="00674551"/>
    <w:rsid w:val="006745CA"/>
    <w:rsid w:val="0067474F"/>
    <w:rsid w:val="0067479A"/>
    <w:rsid w:val="006747B4"/>
    <w:rsid w:val="0067484F"/>
    <w:rsid w:val="006748B4"/>
    <w:rsid w:val="006748DF"/>
    <w:rsid w:val="006748EE"/>
    <w:rsid w:val="006748F9"/>
    <w:rsid w:val="00674A0D"/>
    <w:rsid w:val="00674A28"/>
    <w:rsid w:val="00674A35"/>
    <w:rsid w:val="00674A44"/>
    <w:rsid w:val="00674A9E"/>
    <w:rsid w:val="00674AFB"/>
    <w:rsid w:val="00674BC8"/>
    <w:rsid w:val="00674BF8"/>
    <w:rsid w:val="00674C32"/>
    <w:rsid w:val="00674D18"/>
    <w:rsid w:val="00674D54"/>
    <w:rsid w:val="00674D67"/>
    <w:rsid w:val="00674D75"/>
    <w:rsid w:val="00674E3A"/>
    <w:rsid w:val="00674E71"/>
    <w:rsid w:val="00674EC0"/>
    <w:rsid w:val="00674EC4"/>
    <w:rsid w:val="00674ED4"/>
    <w:rsid w:val="00674F62"/>
    <w:rsid w:val="00674FBB"/>
    <w:rsid w:val="00674FD1"/>
    <w:rsid w:val="00675020"/>
    <w:rsid w:val="00675048"/>
    <w:rsid w:val="0067506D"/>
    <w:rsid w:val="006750DC"/>
    <w:rsid w:val="00675150"/>
    <w:rsid w:val="00675162"/>
    <w:rsid w:val="006751B0"/>
    <w:rsid w:val="006751F2"/>
    <w:rsid w:val="0067526A"/>
    <w:rsid w:val="0067532E"/>
    <w:rsid w:val="00675385"/>
    <w:rsid w:val="00675386"/>
    <w:rsid w:val="00675388"/>
    <w:rsid w:val="00675497"/>
    <w:rsid w:val="006754A2"/>
    <w:rsid w:val="006754B0"/>
    <w:rsid w:val="006754F5"/>
    <w:rsid w:val="0067556F"/>
    <w:rsid w:val="0067566A"/>
    <w:rsid w:val="006756F4"/>
    <w:rsid w:val="006756F5"/>
    <w:rsid w:val="0067575A"/>
    <w:rsid w:val="00675787"/>
    <w:rsid w:val="006757A1"/>
    <w:rsid w:val="006757F6"/>
    <w:rsid w:val="00675892"/>
    <w:rsid w:val="006758E4"/>
    <w:rsid w:val="00675909"/>
    <w:rsid w:val="0067591B"/>
    <w:rsid w:val="0067599A"/>
    <w:rsid w:val="00675A2D"/>
    <w:rsid w:val="00675AE3"/>
    <w:rsid w:val="00675AF5"/>
    <w:rsid w:val="00675B39"/>
    <w:rsid w:val="00675B6D"/>
    <w:rsid w:val="00675B96"/>
    <w:rsid w:val="00675BAB"/>
    <w:rsid w:val="00675BC4"/>
    <w:rsid w:val="00675BE7"/>
    <w:rsid w:val="00675BFB"/>
    <w:rsid w:val="00675C07"/>
    <w:rsid w:val="00675C0C"/>
    <w:rsid w:val="00675C11"/>
    <w:rsid w:val="00675C6D"/>
    <w:rsid w:val="00675C7D"/>
    <w:rsid w:val="00675CB9"/>
    <w:rsid w:val="00675D22"/>
    <w:rsid w:val="00675D87"/>
    <w:rsid w:val="00675D9B"/>
    <w:rsid w:val="00675E0E"/>
    <w:rsid w:val="00675E2A"/>
    <w:rsid w:val="00675E8B"/>
    <w:rsid w:val="00675ED8"/>
    <w:rsid w:val="00675EEB"/>
    <w:rsid w:val="00675EF5"/>
    <w:rsid w:val="00675EFE"/>
    <w:rsid w:val="00675F17"/>
    <w:rsid w:val="00675F21"/>
    <w:rsid w:val="00675F73"/>
    <w:rsid w:val="00675FBE"/>
    <w:rsid w:val="00675FE5"/>
    <w:rsid w:val="00676132"/>
    <w:rsid w:val="006761E7"/>
    <w:rsid w:val="0067622C"/>
    <w:rsid w:val="0067623C"/>
    <w:rsid w:val="00676241"/>
    <w:rsid w:val="00676301"/>
    <w:rsid w:val="006763C8"/>
    <w:rsid w:val="0067644F"/>
    <w:rsid w:val="00676458"/>
    <w:rsid w:val="00676528"/>
    <w:rsid w:val="0067655E"/>
    <w:rsid w:val="00676562"/>
    <w:rsid w:val="00676569"/>
    <w:rsid w:val="006765FB"/>
    <w:rsid w:val="00676611"/>
    <w:rsid w:val="00676687"/>
    <w:rsid w:val="006766B6"/>
    <w:rsid w:val="00676702"/>
    <w:rsid w:val="00676706"/>
    <w:rsid w:val="0067674D"/>
    <w:rsid w:val="00676791"/>
    <w:rsid w:val="00676831"/>
    <w:rsid w:val="0067694E"/>
    <w:rsid w:val="006769AF"/>
    <w:rsid w:val="00676A29"/>
    <w:rsid w:val="00676A33"/>
    <w:rsid w:val="00676BAF"/>
    <w:rsid w:val="00676BB2"/>
    <w:rsid w:val="00676C52"/>
    <w:rsid w:val="00676C8D"/>
    <w:rsid w:val="00676D66"/>
    <w:rsid w:val="00676D79"/>
    <w:rsid w:val="00676D9B"/>
    <w:rsid w:val="00676DB8"/>
    <w:rsid w:val="00676E50"/>
    <w:rsid w:val="00676EE9"/>
    <w:rsid w:val="00676F1A"/>
    <w:rsid w:val="00676F2F"/>
    <w:rsid w:val="00676FA2"/>
    <w:rsid w:val="00676FF6"/>
    <w:rsid w:val="00677032"/>
    <w:rsid w:val="00677095"/>
    <w:rsid w:val="006770BA"/>
    <w:rsid w:val="006770C7"/>
    <w:rsid w:val="0067710E"/>
    <w:rsid w:val="00677122"/>
    <w:rsid w:val="00677126"/>
    <w:rsid w:val="0067716A"/>
    <w:rsid w:val="00677175"/>
    <w:rsid w:val="00677203"/>
    <w:rsid w:val="00677206"/>
    <w:rsid w:val="0067723F"/>
    <w:rsid w:val="0067727F"/>
    <w:rsid w:val="006772A0"/>
    <w:rsid w:val="006772A4"/>
    <w:rsid w:val="006772AD"/>
    <w:rsid w:val="006772F2"/>
    <w:rsid w:val="006773F1"/>
    <w:rsid w:val="00677427"/>
    <w:rsid w:val="00677477"/>
    <w:rsid w:val="006774A1"/>
    <w:rsid w:val="006774EE"/>
    <w:rsid w:val="00677540"/>
    <w:rsid w:val="0067758A"/>
    <w:rsid w:val="006775B1"/>
    <w:rsid w:val="006775EA"/>
    <w:rsid w:val="00677673"/>
    <w:rsid w:val="0067767F"/>
    <w:rsid w:val="006776AC"/>
    <w:rsid w:val="00677710"/>
    <w:rsid w:val="006777B6"/>
    <w:rsid w:val="006777E4"/>
    <w:rsid w:val="0067788F"/>
    <w:rsid w:val="00677891"/>
    <w:rsid w:val="00677897"/>
    <w:rsid w:val="0067789F"/>
    <w:rsid w:val="006778BC"/>
    <w:rsid w:val="00677917"/>
    <w:rsid w:val="006779EB"/>
    <w:rsid w:val="00677A81"/>
    <w:rsid w:val="00677ABA"/>
    <w:rsid w:val="00677C05"/>
    <w:rsid w:val="00677C22"/>
    <w:rsid w:val="00677D29"/>
    <w:rsid w:val="00677DA9"/>
    <w:rsid w:val="00677E04"/>
    <w:rsid w:val="00677E1C"/>
    <w:rsid w:val="00677EA5"/>
    <w:rsid w:val="00677F31"/>
    <w:rsid w:val="00677F98"/>
    <w:rsid w:val="00677FB7"/>
    <w:rsid w:val="00677FDB"/>
    <w:rsid w:val="0068000E"/>
    <w:rsid w:val="00680089"/>
    <w:rsid w:val="006801C9"/>
    <w:rsid w:val="006801D3"/>
    <w:rsid w:val="00680292"/>
    <w:rsid w:val="0068029E"/>
    <w:rsid w:val="006802D1"/>
    <w:rsid w:val="00680321"/>
    <w:rsid w:val="00680344"/>
    <w:rsid w:val="0068038E"/>
    <w:rsid w:val="00680414"/>
    <w:rsid w:val="00680425"/>
    <w:rsid w:val="00680459"/>
    <w:rsid w:val="0068046C"/>
    <w:rsid w:val="0068048C"/>
    <w:rsid w:val="00680490"/>
    <w:rsid w:val="006804AE"/>
    <w:rsid w:val="006804E8"/>
    <w:rsid w:val="0068051A"/>
    <w:rsid w:val="0068053E"/>
    <w:rsid w:val="0068055D"/>
    <w:rsid w:val="00680568"/>
    <w:rsid w:val="00680572"/>
    <w:rsid w:val="006806B6"/>
    <w:rsid w:val="006806FF"/>
    <w:rsid w:val="0068070C"/>
    <w:rsid w:val="0068081A"/>
    <w:rsid w:val="00680876"/>
    <w:rsid w:val="0068088B"/>
    <w:rsid w:val="0068089C"/>
    <w:rsid w:val="006808E5"/>
    <w:rsid w:val="00680955"/>
    <w:rsid w:val="00680959"/>
    <w:rsid w:val="0068096B"/>
    <w:rsid w:val="0068098C"/>
    <w:rsid w:val="006809ED"/>
    <w:rsid w:val="00680A18"/>
    <w:rsid w:val="00680A4F"/>
    <w:rsid w:val="00680A6A"/>
    <w:rsid w:val="00680AA3"/>
    <w:rsid w:val="00680AAA"/>
    <w:rsid w:val="00680ACF"/>
    <w:rsid w:val="00680B6F"/>
    <w:rsid w:val="00680BB0"/>
    <w:rsid w:val="00680C1E"/>
    <w:rsid w:val="00680C81"/>
    <w:rsid w:val="00680D05"/>
    <w:rsid w:val="00680D3B"/>
    <w:rsid w:val="00680D9A"/>
    <w:rsid w:val="00680DCF"/>
    <w:rsid w:val="00680E6F"/>
    <w:rsid w:val="00680EAF"/>
    <w:rsid w:val="00680F2C"/>
    <w:rsid w:val="00680FA2"/>
    <w:rsid w:val="00680FE5"/>
    <w:rsid w:val="00680FED"/>
    <w:rsid w:val="00680FF4"/>
    <w:rsid w:val="00681090"/>
    <w:rsid w:val="006810E1"/>
    <w:rsid w:val="006811DA"/>
    <w:rsid w:val="00681232"/>
    <w:rsid w:val="00681267"/>
    <w:rsid w:val="0068134F"/>
    <w:rsid w:val="0068137C"/>
    <w:rsid w:val="006813A5"/>
    <w:rsid w:val="006813DF"/>
    <w:rsid w:val="006813F9"/>
    <w:rsid w:val="006816AC"/>
    <w:rsid w:val="006816BF"/>
    <w:rsid w:val="006816CC"/>
    <w:rsid w:val="006816D6"/>
    <w:rsid w:val="00681729"/>
    <w:rsid w:val="0068172C"/>
    <w:rsid w:val="00681776"/>
    <w:rsid w:val="00681789"/>
    <w:rsid w:val="0068178D"/>
    <w:rsid w:val="006817B8"/>
    <w:rsid w:val="006817D5"/>
    <w:rsid w:val="006817DC"/>
    <w:rsid w:val="006817E0"/>
    <w:rsid w:val="006817ED"/>
    <w:rsid w:val="00681853"/>
    <w:rsid w:val="00681906"/>
    <w:rsid w:val="0068194A"/>
    <w:rsid w:val="0068196A"/>
    <w:rsid w:val="00681A63"/>
    <w:rsid w:val="00681A79"/>
    <w:rsid w:val="00681AAA"/>
    <w:rsid w:val="00681AD1"/>
    <w:rsid w:val="00681AEA"/>
    <w:rsid w:val="00681B52"/>
    <w:rsid w:val="00681B53"/>
    <w:rsid w:val="00681B8B"/>
    <w:rsid w:val="00681BD3"/>
    <w:rsid w:val="00681C28"/>
    <w:rsid w:val="00681C68"/>
    <w:rsid w:val="00681C6F"/>
    <w:rsid w:val="00681CAB"/>
    <w:rsid w:val="00681CC4"/>
    <w:rsid w:val="00681D2A"/>
    <w:rsid w:val="00681D6C"/>
    <w:rsid w:val="00681D8B"/>
    <w:rsid w:val="00681E50"/>
    <w:rsid w:val="00681E5F"/>
    <w:rsid w:val="00681EBC"/>
    <w:rsid w:val="00681ED2"/>
    <w:rsid w:val="00681F31"/>
    <w:rsid w:val="00681F59"/>
    <w:rsid w:val="00681FA3"/>
    <w:rsid w:val="00681FDB"/>
    <w:rsid w:val="00682035"/>
    <w:rsid w:val="0068216D"/>
    <w:rsid w:val="006821AF"/>
    <w:rsid w:val="006821F7"/>
    <w:rsid w:val="006821FE"/>
    <w:rsid w:val="00682249"/>
    <w:rsid w:val="00682254"/>
    <w:rsid w:val="006822BA"/>
    <w:rsid w:val="006822CA"/>
    <w:rsid w:val="006822DD"/>
    <w:rsid w:val="006822E2"/>
    <w:rsid w:val="006822FB"/>
    <w:rsid w:val="0068234A"/>
    <w:rsid w:val="006823B1"/>
    <w:rsid w:val="006823B9"/>
    <w:rsid w:val="006823FA"/>
    <w:rsid w:val="00682412"/>
    <w:rsid w:val="0068242A"/>
    <w:rsid w:val="0068243C"/>
    <w:rsid w:val="0068243F"/>
    <w:rsid w:val="0068255A"/>
    <w:rsid w:val="00682564"/>
    <w:rsid w:val="006825DA"/>
    <w:rsid w:val="0068260E"/>
    <w:rsid w:val="00682674"/>
    <w:rsid w:val="00682675"/>
    <w:rsid w:val="0068271A"/>
    <w:rsid w:val="00682760"/>
    <w:rsid w:val="0068276A"/>
    <w:rsid w:val="0068276E"/>
    <w:rsid w:val="00682782"/>
    <w:rsid w:val="006827B4"/>
    <w:rsid w:val="006828C4"/>
    <w:rsid w:val="00682911"/>
    <w:rsid w:val="0068291D"/>
    <w:rsid w:val="0068295D"/>
    <w:rsid w:val="006829B6"/>
    <w:rsid w:val="006829C3"/>
    <w:rsid w:val="00682A09"/>
    <w:rsid w:val="00682A33"/>
    <w:rsid w:val="00682A64"/>
    <w:rsid w:val="00682A84"/>
    <w:rsid w:val="00682B68"/>
    <w:rsid w:val="00682B88"/>
    <w:rsid w:val="00682BE6"/>
    <w:rsid w:val="00682C1F"/>
    <w:rsid w:val="00682C57"/>
    <w:rsid w:val="00682C65"/>
    <w:rsid w:val="00682CF6"/>
    <w:rsid w:val="00682D87"/>
    <w:rsid w:val="00682EC3"/>
    <w:rsid w:val="00682F51"/>
    <w:rsid w:val="0068305D"/>
    <w:rsid w:val="006830AC"/>
    <w:rsid w:val="006830D6"/>
    <w:rsid w:val="006830EB"/>
    <w:rsid w:val="00683153"/>
    <w:rsid w:val="00683168"/>
    <w:rsid w:val="0068318F"/>
    <w:rsid w:val="00683256"/>
    <w:rsid w:val="0068326D"/>
    <w:rsid w:val="00683304"/>
    <w:rsid w:val="00683383"/>
    <w:rsid w:val="00683413"/>
    <w:rsid w:val="00683418"/>
    <w:rsid w:val="0068341D"/>
    <w:rsid w:val="006834B8"/>
    <w:rsid w:val="006834D3"/>
    <w:rsid w:val="006834E0"/>
    <w:rsid w:val="006834E3"/>
    <w:rsid w:val="006834FA"/>
    <w:rsid w:val="00683512"/>
    <w:rsid w:val="00683565"/>
    <w:rsid w:val="006836F6"/>
    <w:rsid w:val="006837B0"/>
    <w:rsid w:val="006837C7"/>
    <w:rsid w:val="006837E9"/>
    <w:rsid w:val="00683855"/>
    <w:rsid w:val="00683874"/>
    <w:rsid w:val="00683892"/>
    <w:rsid w:val="006838B9"/>
    <w:rsid w:val="0068392D"/>
    <w:rsid w:val="0068393D"/>
    <w:rsid w:val="00683950"/>
    <w:rsid w:val="006839C6"/>
    <w:rsid w:val="006839CA"/>
    <w:rsid w:val="00683A03"/>
    <w:rsid w:val="00683A0E"/>
    <w:rsid w:val="00683B10"/>
    <w:rsid w:val="00683B42"/>
    <w:rsid w:val="00683B55"/>
    <w:rsid w:val="00683B7A"/>
    <w:rsid w:val="00683B85"/>
    <w:rsid w:val="00683BBB"/>
    <w:rsid w:val="00683BEB"/>
    <w:rsid w:val="00683C09"/>
    <w:rsid w:val="00683C46"/>
    <w:rsid w:val="00683C8D"/>
    <w:rsid w:val="00683C8E"/>
    <w:rsid w:val="00683CF2"/>
    <w:rsid w:val="00683D3A"/>
    <w:rsid w:val="00683D63"/>
    <w:rsid w:val="00683DC3"/>
    <w:rsid w:val="00683DF1"/>
    <w:rsid w:val="00683E51"/>
    <w:rsid w:val="00683F0B"/>
    <w:rsid w:val="00684011"/>
    <w:rsid w:val="00684071"/>
    <w:rsid w:val="00684084"/>
    <w:rsid w:val="006840B4"/>
    <w:rsid w:val="006840FD"/>
    <w:rsid w:val="00684101"/>
    <w:rsid w:val="00684137"/>
    <w:rsid w:val="0068417D"/>
    <w:rsid w:val="006841F7"/>
    <w:rsid w:val="00684231"/>
    <w:rsid w:val="0068423B"/>
    <w:rsid w:val="00684251"/>
    <w:rsid w:val="00684259"/>
    <w:rsid w:val="00684317"/>
    <w:rsid w:val="006843A6"/>
    <w:rsid w:val="00684428"/>
    <w:rsid w:val="00684481"/>
    <w:rsid w:val="0068449A"/>
    <w:rsid w:val="006844A4"/>
    <w:rsid w:val="0068451F"/>
    <w:rsid w:val="0068457E"/>
    <w:rsid w:val="00684611"/>
    <w:rsid w:val="0068468C"/>
    <w:rsid w:val="006846C1"/>
    <w:rsid w:val="00684737"/>
    <w:rsid w:val="0068475F"/>
    <w:rsid w:val="006847F9"/>
    <w:rsid w:val="00684848"/>
    <w:rsid w:val="0068489A"/>
    <w:rsid w:val="006848A3"/>
    <w:rsid w:val="006848EA"/>
    <w:rsid w:val="00684943"/>
    <w:rsid w:val="00684995"/>
    <w:rsid w:val="006849EA"/>
    <w:rsid w:val="00684A02"/>
    <w:rsid w:val="00684A23"/>
    <w:rsid w:val="00684A80"/>
    <w:rsid w:val="00684B06"/>
    <w:rsid w:val="00684B3F"/>
    <w:rsid w:val="00684B76"/>
    <w:rsid w:val="00684B90"/>
    <w:rsid w:val="00684C7E"/>
    <w:rsid w:val="00684C7F"/>
    <w:rsid w:val="00684C80"/>
    <w:rsid w:val="00684CA6"/>
    <w:rsid w:val="00684CE4"/>
    <w:rsid w:val="00684CE8"/>
    <w:rsid w:val="00684D0B"/>
    <w:rsid w:val="00684D4A"/>
    <w:rsid w:val="00684DD8"/>
    <w:rsid w:val="00684DF5"/>
    <w:rsid w:val="00684DF7"/>
    <w:rsid w:val="00684E5F"/>
    <w:rsid w:val="00684E6A"/>
    <w:rsid w:val="00684F75"/>
    <w:rsid w:val="00684F85"/>
    <w:rsid w:val="00684F95"/>
    <w:rsid w:val="00684FC2"/>
    <w:rsid w:val="00685032"/>
    <w:rsid w:val="00685039"/>
    <w:rsid w:val="006850B4"/>
    <w:rsid w:val="006850D5"/>
    <w:rsid w:val="00685111"/>
    <w:rsid w:val="0068511E"/>
    <w:rsid w:val="0068518F"/>
    <w:rsid w:val="0068519F"/>
    <w:rsid w:val="006851BE"/>
    <w:rsid w:val="00685272"/>
    <w:rsid w:val="006853EB"/>
    <w:rsid w:val="00685416"/>
    <w:rsid w:val="00685428"/>
    <w:rsid w:val="0068547D"/>
    <w:rsid w:val="00685486"/>
    <w:rsid w:val="00685494"/>
    <w:rsid w:val="006854E0"/>
    <w:rsid w:val="00685582"/>
    <w:rsid w:val="0068562F"/>
    <w:rsid w:val="00685650"/>
    <w:rsid w:val="0068565F"/>
    <w:rsid w:val="00685792"/>
    <w:rsid w:val="006857D7"/>
    <w:rsid w:val="0068583D"/>
    <w:rsid w:val="00685876"/>
    <w:rsid w:val="00685878"/>
    <w:rsid w:val="00685896"/>
    <w:rsid w:val="006858BC"/>
    <w:rsid w:val="006858E2"/>
    <w:rsid w:val="006858F8"/>
    <w:rsid w:val="00685922"/>
    <w:rsid w:val="00685928"/>
    <w:rsid w:val="00685A02"/>
    <w:rsid w:val="00685A25"/>
    <w:rsid w:val="00685A94"/>
    <w:rsid w:val="00685AB6"/>
    <w:rsid w:val="00685B0F"/>
    <w:rsid w:val="00685B7E"/>
    <w:rsid w:val="00685C74"/>
    <w:rsid w:val="00685CF7"/>
    <w:rsid w:val="00685DC8"/>
    <w:rsid w:val="00685DD0"/>
    <w:rsid w:val="00685E17"/>
    <w:rsid w:val="00685E62"/>
    <w:rsid w:val="00685E63"/>
    <w:rsid w:val="00685E93"/>
    <w:rsid w:val="00685ECA"/>
    <w:rsid w:val="00685EF3"/>
    <w:rsid w:val="00685F3D"/>
    <w:rsid w:val="00685F67"/>
    <w:rsid w:val="00685FBA"/>
    <w:rsid w:val="00685FE1"/>
    <w:rsid w:val="00686059"/>
    <w:rsid w:val="0068612A"/>
    <w:rsid w:val="0068613F"/>
    <w:rsid w:val="00686165"/>
    <w:rsid w:val="00686193"/>
    <w:rsid w:val="006861A6"/>
    <w:rsid w:val="00686223"/>
    <w:rsid w:val="00686225"/>
    <w:rsid w:val="0068625A"/>
    <w:rsid w:val="006862B1"/>
    <w:rsid w:val="006862C4"/>
    <w:rsid w:val="006862FD"/>
    <w:rsid w:val="00686312"/>
    <w:rsid w:val="00686342"/>
    <w:rsid w:val="0068635B"/>
    <w:rsid w:val="006863BD"/>
    <w:rsid w:val="006863E2"/>
    <w:rsid w:val="0068645F"/>
    <w:rsid w:val="00686467"/>
    <w:rsid w:val="006864B9"/>
    <w:rsid w:val="006864D2"/>
    <w:rsid w:val="00686530"/>
    <w:rsid w:val="0068655A"/>
    <w:rsid w:val="00686587"/>
    <w:rsid w:val="006865A9"/>
    <w:rsid w:val="006865EA"/>
    <w:rsid w:val="00686623"/>
    <w:rsid w:val="0068666D"/>
    <w:rsid w:val="006866EC"/>
    <w:rsid w:val="0068678D"/>
    <w:rsid w:val="00686790"/>
    <w:rsid w:val="006867AB"/>
    <w:rsid w:val="00686834"/>
    <w:rsid w:val="00686887"/>
    <w:rsid w:val="006868A3"/>
    <w:rsid w:val="006868E8"/>
    <w:rsid w:val="00686995"/>
    <w:rsid w:val="0068699A"/>
    <w:rsid w:val="00686A30"/>
    <w:rsid w:val="00686A75"/>
    <w:rsid w:val="00686AD9"/>
    <w:rsid w:val="00686ADE"/>
    <w:rsid w:val="00686AE9"/>
    <w:rsid w:val="00686BAC"/>
    <w:rsid w:val="00686BF9"/>
    <w:rsid w:val="00686BFE"/>
    <w:rsid w:val="00686C17"/>
    <w:rsid w:val="00686C4D"/>
    <w:rsid w:val="00686CA2"/>
    <w:rsid w:val="00686CE8"/>
    <w:rsid w:val="00686CEC"/>
    <w:rsid w:val="00686D05"/>
    <w:rsid w:val="00686D21"/>
    <w:rsid w:val="00686D32"/>
    <w:rsid w:val="00686DC3"/>
    <w:rsid w:val="00686DF9"/>
    <w:rsid w:val="00686E62"/>
    <w:rsid w:val="00686F34"/>
    <w:rsid w:val="00686F5B"/>
    <w:rsid w:val="00686F8A"/>
    <w:rsid w:val="00686FB8"/>
    <w:rsid w:val="00686FD2"/>
    <w:rsid w:val="006870C8"/>
    <w:rsid w:val="0068713C"/>
    <w:rsid w:val="00687151"/>
    <w:rsid w:val="0068726B"/>
    <w:rsid w:val="00687298"/>
    <w:rsid w:val="006873ED"/>
    <w:rsid w:val="00687414"/>
    <w:rsid w:val="0068742D"/>
    <w:rsid w:val="0068743F"/>
    <w:rsid w:val="00687512"/>
    <w:rsid w:val="00687590"/>
    <w:rsid w:val="00687633"/>
    <w:rsid w:val="006876D2"/>
    <w:rsid w:val="006876D6"/>
    <w:rsid w:val="00687716"/>
    <w:rsid w:val="006877BC"/>
    <w:rsid w:val="006877EE"/>
    <w:rsid w:val="00687860"/>
    <w:rsid w:val="006878AE"/>
    <w:rsid w:val="00687955"/>
    <w:rsid w:val="00687960"/>
    <w:rsid w:val="006879A1"/>
    <w:rsid w:val="006879A8"/>
    <w:rsid w:val="00687A59"/>
    <w:rsid w:val="00687AF9"/>
    <w:rsid w:val="00687B07"/>
    <w:rsid w:val="00687B36"/>
    <w:rsid w:val="00687B98"/>
    <w:rsid w:val="00687BBB"/>
    <w:rsid w:val="00687BC6"/>
    <w:rsid w:val="00687C90"/>
    <w:rsid w:val="00687CFD"/>
    <w:rsid w:val="00687D21"/>
    <w:rsid w:val="00687D2F"/>
    <w:rsid w:val="00687D35"/>
    <w:rsid w:val="00687D3F"/>
    <w:rsid w:val="00687D5B"/>
    <w:rsid w:val="00687E12"/>
    <w:rsid w:val="00687E48"/>
    <w:rsid w:val="00687E66"/>
    <w:rsid w:val="00687E85"/>
    <w:rsid w:val="00687E92"/>
    <w:rsid w:val="00687F6B"/>
    <w:rsid w:val="00687FA8"/>
    <w:rsid w:val="00687FBC"/>
    <w:rsid w:val="00687FFA"/>
    <w:rsid w:val="00690031"/>
    <w:rsid w:val="00690084"/>
    <w:rsid w:val="00690170"/>
    <w:rsid w:val="0069018C"/>
    <w:rsid w:val="00690192"/>
    <w:rsid w:val="006901E7"/>
    <w:rsid w:val="006902C1"/>
    <w:rsid w:val="006902F8"/>
    <w:rsid w:val="00690310"/>
    <w:rsid w:val="006903F2"/>
    <w:rsid w:val="0069043F"/>
    <w:rsid w:val="006904B5"/>
    <w:rsid w:val="006904ED"/>
    <w:rsid w:val="0069050E"/>
    <w:rsid w:val="00690527"/>
    <w:rsid w:val="0069053F"/>
    <w:rsid w:val="006905F9"/>
    <w:rsid w:val="00690679"/>
    <w:rsid w:val="006906A6"/>
    <w:rsid w:val="006906C5"/>
    <w:rsid w:val="00690702"/>
    <w:rsid w:val="00690738"/>
    <w:rsid w:val="006907B1"/>
    <w:rsid w:val="0069084E"/>
    <w:rsid w:val="00690862"/>
    <w:rsid w:val="006908CF"/>
    <w:rsid w:val="006908FA"/>
    <w:rsid w:val="006908FF"/>
    <w:rsid w:val="006909BA"/>
    <w:rsid w:val="006909D9"/>
    <w:rsid w:val="006909DA"/>
    <w:rsid w:val="006909F4"/>
    <w:rsid w:val="00690A03"/>
    <w:rsid w:val="00690A29"/>
    <w:rsid w:val="00690A5F"/>
    <w:rsid w:val="00690A92"/>
    <w:rsid w:val="00690AAF"/>
    <w:rsid w:val="00690AC7"/>
    <w:rsid w:val="00690ADD"/>
    <w:rsid w:val="00690AE6"/>
    <w:rsid w:val="00690AF6"/>
    <w:rsid w:val="00690B05"/>
    <w:rsid w:val="00690B2C"/>
    <w:rsid w:val="00690B52"/>
    <w:rsid w:val="00690B96"/>
    <w:rsid w:val="00690BC3"/>
    <w:rsid w:val="00690BCA"/>
    <w:rsid w:val="00690C1D"/>
    <w:rsid w:val="00690C58"/>
    <w:rsid w:val="00690C59"/>
    <w:rsid w:val="00690C85"/>
    <w:rsid w:val="00690CD1"/>
    <w:rsid w:val="00690D31"/>
    <w:rsid w:val="00690D79"/>
    <w:rsid w:val="00690D9F"/>
    <w:rsid w:val="00690E65"/>
    <w:rsid w:val="00690EAC"/>
    <w:rsid w:val="00690EB9"/>
    <w:rsid w:val="00690ED8"/>
    <w:rsid w:val="00690EDE"/>
    <w:rsid w:val="00690F1E"/>
    <w:rsid w:val="00690FAC"/>
    <w:rsid w:val="00690FF9"/>
    <w:rsid w:val="00691004"/>
    <w:rsid w:val="00691036"/>
    <w:rsid w:val="00691058"/>
    <w:rsid w:val="00691059"/>
    <w:rsid w:val="00691150"/>
    <w:rsid w:val="00691156"/>
    <w:rsid w:val="00691193"/>
    <w:rsid w:val="006911C6"/>
    <w:rsid w:val="0069129A"/>
    <w:rsid w:val="006912B3"/>
    <w:rsid w:val="00691307"/>
    <w:rsid w:val="00691347"/>
    <w:rsid w:val="00691348"/>
    <w:rsid w:val="0069139E"/>
    <w:rsid w:val="006913B0"/>
    <w:rsid w:val="0069142F"/>
    <w:rsid w:val="00691460"/>
    <w:rsid w:val="00691481"/>
    <w:rsid w:val="00691509"/>
    <w:rsid w:val="006915A7"/>
    <w:rsid w:val="006915CC"/>
    <w:rsid w:val="006915F1"/>
    <w:rsid w:val="00691600"/>
    <w:rsid w:val="006916C9"/>
    <w:rsid w:val="00691741"/>
    <w:rsid w:val="00691748"/>
    <w:rsid w:val="00691785"/>
    <w:rsid w:val="006917A8"/>
    <w:rsid w:val="006917DE"/>
    <w:rsid w:val="006917FD"/>
    <w:rsid w:val="00691814"/>
    <w:rsid w:val="0069186A"/>
    <w:rsid w:val="006918BB"/>
    <w:rsid w:val="006918E3"/>
    <w:rsid w:val="006918F8"/>
    <w:rsid w:val="00691915"/>
    <w:rsid w:val="00691919"/>
    <w:rsid w:val="00691956"/>
    <w:rsid w:val="006919EA"/>
    <w:rsid w:val="006919F7"/>
    <w:rsid w:val="00691A22"/>
    <w:rsid w:val="00691A49"/>
    <w:rsid w:val="00691B23"/>
    <w:rsid w:val="00691B40"/>
    <w:rsid w:val="00691B5A"/>
    <w:rsid w:val="00691B5D"/>
    <w:rsid w:val="00691B99"/>
    <w:rsid w:val="00691BBC"/>
    <w:rsid w:val="00691BD8"/>
    <w:rsid w:val="00691C15"/>
    <w:rsid w:val="00691CA0"/>
    <w:rsid w:val="00691CB5"/>
    <w:rsid w:val="00691DA4"/>
    <w:rsid w:val="00691DA9"/>
    <w:rsid w:val="00691E3E"/>
    <w:rsid w:val="00691F60"/>
    <w:rsid w:val="00691F9E"/>
    <w:rsid w:val="00692082"/>
    <w:rsid w:val="0069208F"/>
    <w:rsid w:val="006920A1"/>
    <w:rsid w:val="006920AE"/>
    <w:rsid w:val="006920B7"/>
    <w:rsid w:val="006920D4"/>
    <w:rsid w:val="00692107"/>
    <w:rsid w:val="00692122"/>
    <w:rsid w:val="00692127"/>
    <w:rsid w:val="00692131"/>
    <w:rsid w:val="00692172"/>
    <w:rsid w:val="0069219D"/>
    <w:rsid w:val="006921BD"/>
    <w:rsid w:val="006922BB"/>
    <w:rsid w:val="0069231E"/>
    <w:rsid w:val="006923DF"/>
    <w:rsid w:val="006923FF"/>
    <w:rsid w:val="006924BE"/>
    <w:rsid w:val="00692500"/>
    <w:rsid w:val="00692586"/>
    <w:rsid w:val="006925EC"/>
    <w:rsid w:val="006926AC"/>
    <w:rsid w:val="00692711"/>
    <w:rsid w:val="00692712"/>
    <w:rsid w:val="0069274F"/>
    <w:rsid w:val="00692767"/>
    <w:rsid w:val="00692775"/>
    <w:rsid w:val="0069279B"/>
    <w:rsid w:val="00692802"/>
    <w:rsid w:val="00692826"/>
    <w:rsid w:val="00692830"/>
    <w:rsid w:val="0069284E"/>
    <w:rsid w:val="00692878"/>
    <w:rsid w:val="0069289E"/>
    <w:rsid w:val="006928DE"/>
    <w:rsid w:val="0069290B"/>
    <w:rsid w:val="00692927"/>
    <w:rsid w:val="0069292C"/>
    <w:rsid w:val="00692994"/>
    <w:rsid w:val="006929E3"/>
    <w:rsid w:val="00692A7D"/>
    <w:rsid w:val="00692AAE"/>
    <w:rsid w:val="00692B4B"/>
    <w:rsid w:val="00692B66"/>
    <w:rsid w:val="00692B93"/>
    <w:rsid w:val="00692BB6"/>
    <w:rsid w:val="00692BD1"/>
    <w:rsid w:val="00692C37"/>
    <w:rsid w:val="00692C58"/>
    <w:rsid w:val="00692CB5"/>
    <w:rsid w:val="00692F3C"/>
    <w:rsid w:val="00692F5B"/>
    <w:rsid w:val="00692FCC"/>
    <w:rsid w:val="00692FDE"/>
    <w:rsid w:val="00693033"/>
    <w:rsid w:val="00693048"/>
    <w:rsid w:val="00693075"/>
    <w:rsid w:val="006930FC"/>
    <w:rsid w:val="0069311E"/>
    <w:rsid w:val="00693123"/>
    <w:rsid w:val="00693137"/>
    <w:rsid w:val="006931B2"/>
    <w:rsid w:val="006931C2"/>
    <w:rsid w:val="006931D6"/>
    <w:rsid w:val="0069323B"/>
    <w:rsid w:val="00693250"/>
    <w:rsid w:val="00693260"/>
    <w:rsid w:val="00693279"/>
    <w:rsid w:val="00693330"/>
    <w:rsid w:val="00693398"/>
    <w:rsid w:val="006933C9"/>
    <w:rsid w:val="006933F9"/>
    <w:rsid w:val="00693411"/>
    <w:rsid w:val="0069341D"/>
    <w:rsid w:val="00693430"/>
    <w:rsid w:val="00693442"/>
    <w:rsid w:val="00693445"/>
    <w:rsid w:val="006934CB"/>
    <w:rsid w:val="0069350D"/>
    <w:rsid w:val="006935C5"/>
    <w:rsid w:val="00693686"/>
    <w:rsid w:val="006936B6"/>
    <w:rsid w:val="00693717"/>
    <w:rsid w:val="00693753"/>
    <w:rsid w:val="0069380D"/>
    <w:rsid w:val="00693872"/>
    <w:rsid w:val="006938CB"/>
    <w:rsid w:val="006938D6"/>
    <w:rsid w:val="0069391F"/>
    <w:rsid w:val="0069392E"/>
    <w:rsid w:val="00693966"/>
    <w:rsid w:val="006939C9"/>
    <w:rsid w:val="00693A48"/>
    <w:rsid w:val="00693A4C"/>
    <w:rsid w:val="00693AF5"/>
    <w:rsid w:val="00693B2A"/>
    <w:rsid w:val="00693B5E"/>
    <w:rsid w:val="00693B68"/>
    <w:rsid w:val="00693B7D"/>
    <w:rsid w:val="00693B80"/>
    <w:rsid w:val="00693BE8"/>
    <w:rsid w:val="00693C37"/>
    <w:rsid w:val="00693C45"/>
    <w:rsid w:val="00693C9E"/>
    <w:rsid w:val="00693D35"/>
    <w:rsid w:val="00693D7B"/>
    <w:rsid w:val="00693D8A"/>
    <w:rsid w:val="00693E24"/>
    <w:rsid w:val="00693EE7"/>
    <w:rsid w:val="00693EF9"/>
    <w:rsid w:val="00693F4A"/>
    <w:rsid w:val="00693F4D"/>
    <w:rsid w:val="00693FE5"/>
    <w:rsid w:val="00693FF6"/>
    <w:rsid w:val="0069400E"/>
    <w:rsid w:val="006940A2"/>
    <w:rsid w:val="006940F1"/>
    <w:rsid w:val="00694151"/>
    <w:rsid w:val="006941AE"/>
    <w:rsid w:val="006941D8"/>
    <w:rsid w:val="00694226"/>
    <w:rsid w:val="00694243"/>
    <w:rsid w:val="0069425A"/>
    <w:rsid w:val="00694262"/>
    <w:rsid w:val="006942FE"/>
    <w:rsid w:val="0069432A"/>
    <w:rsid w:val="0069434E"/>
    <w:rsid w:val="006943BB"/>
    <w:rsid w:val="0069444B"/>
    <w:rsid w:val="00694460"/>
    <w:rsid w:val="00694467"/>
    <w:rsid w:val="0069447A"/>
    <w:rsid w:val="00694491"/>
    <w:rsid w:val="006944FC"/>
    <w:rsid w:val="00694583"/>
    <w:rsid w:val="006945D0"/>
    <w:rsid w:val="0069464A"/>
    <w:rsid w:val="0069468B"/>
    <w:rsid w:val="00694705"/>
    <w:rsid w:val="00694764"/>
    <w:rsid w:val="00694772"/>
    <w:rsid w:val="00694776"/>
    <w:rsid w:val="00694793"/>
    <w:rsid w:val="006947A9"/>
    <w:rsid w:val="006947EE"/>
    <w:rsid w:val="00694812"/>
    <w:rsid w:val="0069484B"/>
    <w:rsid w:val="0069487C"/>
    <w:rsid w:val="0069488E"/>
    <w:rsid w:val="006948A7"/>
    <w:rsid w:val="006948B7"/>
    <w:rsid w:val="0069490E"/>
    <w:rsid w:val="00694943"/>
    <w:rsid w:val="00694987"/>
    <w:rsid w:val="0069498E"/>
    <w:rsid w:val="006949AC"/>
    <w:rsid w:val="006949C4"/>
    <w:rsid w:val="00694A13"/>
    <w:rsid w:val="00694A31"/>
    <w:rsid w:val="00694A38"/>
    <w:rsid w:val="00694AC5"/>
    <w:rsid w:val="00694B41"/>
    <w:rsid w:val="00694C7C"/>
    <w:rsid w:val="00694CA2"/>
    <w:rsid w:val="00694CAA"/>
    <w:rsid w:val="00694CE4"/>
    <w:rsid w:val="00694CED"/>
    <w:rsid w:val="00694D17"/>
    <w:rsid w:val="00694D3E"/>
    <w:rsid w:val="00694E01"/>
    <w:rsid w:val="00694E0B"/>
    <w:rsid w:val="00694E53"/>
    <w:rsid w:val="00694E59"/>
    <w:rsid w:val="00694E85"/>
    <w:rsid w:val="00694EAF"/>
    <w:rsid w:val="00694ECC"/>
    <w:rsid w:val="00694ED1"/>
    <w:rsid w:val="00694F06"/>
    <w:rsid w:val="00694F29"/>
    <w:rsid w:val="00694F34"/>
    <w:rsid w:val="00694F72"/>
    <w:rsid w:val="00694F93"/>
    <w:rsid w:val="00694F94"/>
    <w:rsid w:val="00695000"/>
    <w:rsid w:val="006950C2"/>
    <w:rsid w:val="00695137"/>
    <w:rsid w:val="00695149"/>
    <w:rsid w:val="00695173"/>
    <w:rsid w:val="0069518B"/>
    <w:rsid w:val="00695210"/>
    <w:rsid w:val="0069523B"/>
    <w:rsid w:val="006952BA"/>
    <w:rsid w:val="006952DE"/>
    <w:rsid w:val="0069530D"/>
    <w:rsid w:val="006953AC"/>
    <w:rsid w:val="00695421"/>
    <w:rsid w:val="00695449"/>
    <w:rsid w:val="00695486"/>
    <w:rsid w:val="006954B4"/>
    <w:rsid w:val="006954F7"/>
    <w:rsid w:val="00695573"/>
    <w:rsid w:val="00695595"/>
    <w:rsid w:val="006955A0"/>
    <w:rsid w:val="0069562A"/>
    <w:rsid w:val="0069566B"/>
    <w:rsid w:val="00695692"/>
    <w:rsid w:val="006956A9"/>
    <w:rsid w:val="006956F2"/>
    <w:rsid w:val="006957AB"/>
    <w:rsid w:val="006957E2"/>
    <w:rsid w:val="00695806"/>
    <w:rsid w:val="00695816"/>
    <w:rsid w:val="00695840"/>
    <w:rsid w:val="00695888"/>
    <w:rsid w:val="006958F8"/>
    <w:rsid w:val="006959F5"/>
    <w:rsid w:val="00695A14"/>
    <w:rsid w:val="00695A2F"/>
    <w:rsid w:val="00695A33"/>
    <w:rsid w:val="00695A5C"/>
    <w:rsid w:val="00695AA2"/>
    <w:rsid w:val="00695B16"/>
    <w:rsid w:val="00695B61"/>
    <w:rsid w:val="00695BFB"/>
    <w:rsid w:val="00695C33"/>
    <w:rsid w:val="00695C73"/>
    <w:rsid w:val="00695C74"/>
    <w:rsid w:val="00695D03"/>
    <w:rsid w:val="00695D0E"/>
    <w:rsid w:val="00695D2D"/>
    <w:rsid w:val="00695D3D"/>
    <w:rsid w:val="00695DBD"/>
    <w:rsid w:val="00695E00"/>
    <w:rsid w:val="00695E31"/>
    <w:rsid w:val="00695E32"/>
    <w:rsid w:val="00695E34"/>
    <w:rsid w:val="00695E89"/>
    <w:rsid w:val="00695F24"/>
    <w:rsid w:val="00695F3D"/>
    <w:rsid w:val="00695FC0"/>
    <w:rsid w:val="00695FDE"/>
    <w:rsid w:val="0069607A"/>
    <w:rsid w:val="006960DF"/>
    <w:rsid w:val="006960F3"/>
    <w:rsid w:val="00696110"/>
    <w:rsid w:val="006961B6"/>
    <w:rsid w:val="006961BD"/>
    <w:rsid w:val="00696207"/>
    <w:rsid w:val="00696248"/>
    <w:rsid w:val="00696272"/>
    <w:rsid w:val="006962E6"/>
    <w:rsid w:val="00696376"/>
    <w:rsid w:val="0069639C"/>
    <w:rsid w:val="006963A6"/>
    <w:rsid w:val="00696400"/>
    <w:rsid w:val="0069644E"/>
    <w:rsid w:val="006965B4"/>
    <w:rsid w:val="006965D6"/>
    <w:rsid w:val="006965E2"/>
    <w:rsid w:val="006965F5"/>
    <w:rsid w:val="00696708"/>
    <w:rsid w:val="0069670F"/>
    <w:rsid w:val="0069674B"/>
    <w:rsid w:val="00696766"/>
    <w:rsid w:val="006967AF"/>
    <w:rsid w:val="006967EC"/>
    <w:rsid w:val="0069681C"/>
    <w:rsid w:val="0069685D"/>
    <w:rsid w:val="006968DA"/>
    <w:rsid w:val="00696923"/>
    <w:rsid w:val="006969C8"/>
    <w:rsid w:val="00696A6F"/>
    <w:rsid w:val="00696AB0"/>
    <w:rsid w:val="00696ADE"/>
    <w:rsid w:val="00696B28"/>
    <w:rsid w:val="00696B5F"/>
    <w:rsid w:val="00696B98"/>
    <w:rsid w:val="00696C29"/>
    <w:rsid w:val="00696C66"/>
    <w:rsid w:val="00696C78"/>
    <w:rsid w:val="00696CA3"/>
    <w:rsid w:val="00696D09"/>
    <w:rsid w:val="00696D44"/>
    <w:rsid w:val="00696D98"/>
    <w:rsid w:val="00696DB1"/>
    <w:rsid w:val="00696DDE"/>
    <w:rsid w:val="00696DFA"/>
    <w:rsid w:val="00696E67"/>
    <w:rsid w:val="00696E86"/>
    <w:rsid w:val="00696EEF"/>
    <w:rsid w:val="00696FCD"/>
    <w:rsid w:val="00696FF6"/>
    <w:rsid w:val="00697009"/>
    <w:rsid w:val="00697072"/>
    <w:rsid w:val="006970A8"/>
    <w:rsid w:val="006970B4"/>
    <w:rsid w:val="006970D0"/>
    <w:rsid w:val="006970F6"/>
    <w:rsid w:val="0069710D"/>
    <w:rsid w:val="00697137"/>
    <w:rsid w:val="00697171"/>
    <w:rsid w:val="00697174"/>
    <w:rsid w:val="00697185"/>
    <w:rsid w:val="006971EE"/>
    <w:rsid w:val="00697213"/>
    <w:rsid w:val="00697227"/>
    <w:rsid w:val="00697233"/>
    <w:rsid w:val="0069724A"/>
    <w:rsid w:val="00697260"/>
    <w:rsid w:val="006972A5"/>
    <w:rsid w:val="00697308"/>
    <w:rsid w:val="0069740F"/>
    <w:rsid w:val="0069743A"/>
    <w:rsid w:val="0069743E"/>
    <w:rsid w:val="00697474"/>
    <w:rsid w:val="00697492"/>
    <w:rsid w:val="006974E8"/>
    <w:rsid w:val="006974F5"/>
    <w:rsid w:val="00697563"/>
    <w:rsid w:val="00697590"/>
    <w:rsid w:val="006975FE"/>
    <w:rsid w:val="006977F3"/>
    <w:rsid w:val="00697825"/>
    <w:rsid w:val="0069784E"/>
    <w:rsid w:val="00697857"/>
    <w:rsid w:val="0069794D"/>
    <w:rsid w:val="0069796E"/>
    <w:rsid w:val="006979B3"/>
    <w:rsid w:val="006979B9"/>
    <w:rsid w:val="00697A05"/>
    <w:rsid w:val="00697A33"/>
    <w:rsid w:val="00697A4D"/>
    <w:rsid w:val="00697A5A"/>
    <w:rsid w:val="00697A68"/>
    <w:rsid w:val="00697AD3"/>
    <w:rsid w:val="00697B47"/>
    <w:rsid w:val="00697B7E"/>
    <w:rsid w:val="00697BDA"/>
    <w:rsid w:val="00697BE6"/>
    <w:rsid w:val="00697C0C"/>
    <w:rsid w:val="00697C3A"/>
    <w:rsid w:val="00697CC9"/>
    <w:rsid w:val="00697D19"/>
    <w:rsid w:val="00697D68"/>
    <w:rsid w:val="00697D8D"/>
    <w:rsid w:val="00697DF2"/>
    <w:rsid w:val="00697DF5"/>
    <w:rsid w:val="00697E69"/>
    <w:rsid w:val="00697E98"/>
    <w:rsid w:val="00697ECD"/>
    <w:rsid w:val="00697F17"/>
    <w:rsid w:val="00697F27"/>
    <w:rsid w:val="00697F39"/>
    <w:rsid w:val="006A0083"/>
    <w:rsid w:val="006A0149"/>
    <w:rsid w:val="006A016F"/>
    <w:rsid w:val="006A019C"/>
    <w:rsid w:val="006A01D5"/>
    <w:rsid w:val="006A01F6"/>
    <w:rsid w:val="006A0296"/>
    <w:rsid w:val="006A034D"/>
    <w:rsid w:val="006A038C"/>
    <w:rsid w:val="006A03AD"/>
    <w:rsid w:val="006A03D0"/>
    <w:rsid w:val="006A03F3"/>
    <w:rsid w:val="006A04B6"/>
    <w:rsid w:val="006A053C"/>
    <w:rsid w:val="006A0544"/>
    <w:rsid w:val="006A054C"/>
    <w:rsid w:val="006A05BC"/>
    <w:rsid w:val="006A05D6"/>
    <w:rsid w:val="006A0624"/>
    <w:rsid w:val="006A063B"/>
    <w:rsid w:val="006A0682"/>
    <w:rsid w:val="006A06A6"/>
    <w:rsid w:val="006A06A9"/>
    <w:rsid w:val="006A06AC"/>
    <w:rsid w:val="006A071C"/>
    <w:rsid w:val="006A0754"/>
    <w:rsid w:val="006A0778"/>
    <w:rsid w:val="006A07B9"/>
    <w:rsid w:val="006A07D5"/>
    <w:rsid w:val="006A0823"/>
    <w:rsid w:val="006A0861"/>
    <w:rsid w:val="006A087A"/>
    <w:rsid w:val="006A08C7"/>
    <w:rsid w:val="006A0908"/>
    <w:rsid w:val="006A0935"/>
    <w:rsid w:val="006A094C"/>
    <w:rsid w:val="006A09B5"/>
    <w:rsid w:val="006A09F3"/>
    <w:rsid w:val="006A0A02"/>
    <w:rsid w:val="006A0A08"/>
    <w:rsid w:val="006A0AED"/>
    <w:rsid w:val="006A0B27"/>
    <w:rsid w:val="006A0B6F"/>
    <w:rsid w:val="006A0B77"/>
    <w:rsid w:val="006A0B89"/>
    <w:rsid w:val="006A0BC1"/>
    <w:rsid w:val="006A0BF8"/>
    <w:rsid w:val="006A0BFD"/>
    <w:rsid w:val="006A0C47"/>
    <w:rsid w:val="006A0C59"/>
    <w:rsid w:val="006A0C69"/>
    <w:rsid w:val="006A0C77"/>
    <w:rsid w:val="006A0C93"/>
    <w:rsid w:val="006A0CDB"/>
    <w:rsid w:val="006A0CF6"/>
    <w:rsid w:val="006A0D4E"/>
    <w:rsid w:val="006A0D7E"/>
    <w:rsid w:val="006A0D8C"/>
    <w:rsid w:val="006A0DB6"/>
    <w:rsid w:val="006A0DD2"/>
    <w:rsid w:val="006A0E8E"/>
    <w:rsid w:val="006A0EE9"/>
    <w:rsid w:val="006A0F01"/>
    <w:rsid w:val="006A0F37"/>
    <w:rsid w:val="006A101B"/>
    <w:rsid w:val="006A1061"/>
    <w:rsid w:val="006A1155"/>
    <w:rsid w:val="006A115C"/>
    <w:rsid w:val="006A118D"/>
    <w:rsid w:val="006A1199"/>
    <w:rsid w:val="006A119D"/>
    <w:rsid w:val="006A11BC"/>
    <w:rsid w:val="006A11CC"/>
    <w:rsid w:val="006A1207"/>
    <w:rsid w:val="006A1216"/>
    <w:rsid w:val="006A125D"/>
    <w:rsid w:val="006A1264"/>
    <w:rsid w:val="006A127E"/>
    <w:rsid w:val="006A12F2"/>
    <w:rsid w:val="006A12FB"/>
    <w:rsid w:val="006A1363"/>
    <w:rsid w:val="006A136C"/>
    <w:rsid w:val="006A1373"/>
    <w:rsid w:val="006A137A"/>
    <w:rsid w:val="006A13AA"/>
    <w:rsid w:val="006A13B1"/>
    <w:rsid w:val="006A13F7"/>
    <w:rsid w:val="006A1457"/>
    <w:rsid w:val="006A145A"/>
    <w:rsid w:val="006A1465"/>
    <w:rsid w:val="006A14CF"/>
    <w:rsid w:val="006A14D2"/>
    <w:rsid w:val="006A157D"/>
    <w:rsid w:val="006A159F"/>
    <w:rsid w:val="006A15D3"/>
    <w:rsid w:val="006A1654"/>
    <w:rsid w:val="006A16E7"/>
    <w:rsid w:val="006A16F1"/>
    <w:rsid w:val="006A16F9"/>
    <w:rsid w:val="006A1736"/>
    <w:rsid w:val="006A1743"/>
    <w:rsid w:val="006A17D9"/>
    <w:rsid w:val="006A17EA"/>
    <w:rsid w:val="006A183B"/>
    <w:rsid w:val="006A186B"/>
    <w:rsid w:val="006A1878"/>
    <w:rsid w:val="006A18C5"/>
    <w:rsid w:val="006A18F8"/>
    <w:rsid w:val="006A194E"/>
    <w:rsid w:val="006A19E4"/>
    <w:rsid w:val="006A1A0E"/>
    <w:rsid w:val="006A1A41"/>
    <w:rsid w:val="006A1A55"/>
    <w:rsid w:val="006A1A5E"/>
    <w:rsid w:val="006A1A7C"/>
    <w:rsid w:val="006A1A80"/>
    <w:rsid w:val="006A1A89"/>
    <w:rsid w:val="006A1AC0"/>
    <w:rsid w:val="006A1ACA"/>
    <w:rsid w:val="006A1AE5"/>
    <w:rsid w:val="006A1B11"/>
    <w:rsid w:val="006A1B18"/>
    <w:rsid w:val="006A1B9A"/>
    <w:rsid w:val="006A1BB7"/>
    <w:rsid w:val="006A1BBF"/>
    <w:rsid w:val="006A1C83"/>
    <w:rsid w:val="006A1DAF"/>
    <w:rsid w:val="006A1DBD"/>
    <w:rsid w:val="006A1DED"/>
    <w:rsid w:val="006A1E63"/>
    <w:rsid w:val="006A1EBD"/>
    <w:rsid w:val="006A1EE6"/>
    <w:rsid w:val="006A1F15"/>
    <w:rsid w:val="006A1FA2"/>
    <w:rsid w:val="006A2002"/>
    <w:rsid w:val="006A2027"/>
    <w:rsid w:val="006A2072"/>
    <w:rsid w:val="006A20AC"/>
    <w:rsid w:val="006A20AF"/>
    <w:rsid w:val="006A20EF"/>
    <w:rsid w:val="006A2166"/>
    <w:rsid w:val="006A218C"/>
    <w:rsid w:val="006A220D"/>
    <w:rsid w:val="006A22BD"/>
    <w:rsid w:val="006A22E0"/>
    <w:rsid w:val="006A2307"/>
    <w:rsid w:val="006A2394"/>
    <w:rsid w:val="006A24FE"/>
    <w:rsid w:val="006A251A"/>
    <w:rsid w:val="006A2523"/>
    <w:rsid w:val="006A2545"/>
    <w:rsid w:val="006A267B"/>
    <w:rsid w:val="006A2697"/>
    <w:rsid w:val="006A26D0"/>
    <w:rsid w:val="006A2710"/>
    <w:rsid w:val="006A2772"/>
    <w:rsid w:val="006A278A"/>
    <w:rsid w:val="006A2805"/>
    <w:rsid w:val="006A280E"/>
    <w:rsid w:val="006A2844"/>
    <w:rsid w:val="006A285E"/>
    <w:rsid w:val="006A2886"/>
    <w:rsid w:val="006A28DE"/>
    <w:rsid w:val="006A299A"/>
    <w:rsid w:val="006A29B0"/>
    <w:rsid w:val="006A29F7"/>
    <w:rsid w:val="006A2A0D"/>
    <w:rsid w:val="006A2A23"/>
    <w:rsid w:val="006A2A48"/>
    <w:rsid w:val="006A2A62"/>
    <w:rsid w:val="006A2A66"/>
    <w:rsid w:val="006A2A70"/>
    <w:rsid w:val="006A2AB5"/>
    <w:rsid w:val="006A2AEB"/>
    <w:rsid w:val="006A2B33"/>
    <w:rsid w:val="006A2B89"/>
    <w:rsid w:val="006A2BD0"/>
    <w:rsid w:val="006A2BE6"/>
    <w:rsid w:val="006A2BEE"/>
    <w:rsid w:val="006A2D0D"/>
    <w:rsid w:val="006A2D18"/>
    <w:rsid w:val="006A2D3E"/>
    <w:rsid w:val="006A2D47"/>
    <w:rsid w:val="006A2D57"/>
    <w:rsid w:val="006A2D60"/>
    <w:rsid w:val="006A2D73"/>
    <w:rsid w:val="006A2DC0"/>
    <w:rsid w:val="006A2E1B"/>
    <w:rsid w:val="006A2E6D"/>
    <w:rsid w:val="006A2EA7"/>
    <w:rsid w:val="006A2EC8"/>
    <w:rsid w:val="006A2F0E"/>
    <w:rsid w:val="006A2F1B"/>
    <w:rsid w:val="006A2F23"/>
    <w:rsid w:val="006A2F34"/>
    <w:rsid w:val="006A2F81"/>
    <w:rsid w:val="006A3010"/>
    <w:rsid w:val="006A3049"/>
    <w:rsid w:val="006A305B"/>
    <w:rsid w:val="006A3121"/>
    <w:rsid w:val="006A3171"/>
    <w:rsid w:val="006A31EB"/>
    <w:rsid w:val="006A31EC"/>
    <w:rsid w:val="006A32EA"/>
    <w:rsid w:val="006A330D"/>
    <w:rsid w:val="006A330F"/>
    <w:rsid w:val="006A332A"/>
    <w:rsid w:val="006A33CB"/>
    <w:rsid w:val="006A33CC"/>
    <w:rsid w:val="006A34FC"/>
    <w:rsid w:val="006A34FD"/>
    <w:rsid w:val="006A3576"/>
    <w:rsid w:val="006A357D"/>
    <w:rsid w:val="006A35F9"/>
    <w:rsid w:val="006A3619"/>
    <w:rsid w:val="006A364F"/>
    <w:rsid w:val="006A3659"/>
    <w:rsid w:val="006A369B"/>
    <w:rsid w:val="006A36CC"/>
    <w:rsid w:val="006A371E"/>
    <w:rsid w:val="006A3731"/>
    <w:rsid w:val="006A376C"/>
    <w:rsid w:val="006A37F5"/>
    <w:rsid w:val="006A3863"/>
    <w:rsid w:val="006A38C5"/>
    <w:rsid w:val="006A38D0"/>
    <w:rsid w:val="006A38D9"/>
    <w:rsid w:val="006A3979"/>
    <w:rsid w:val="006A3A56"/>
    <w:rsid w:val="006A3A77"/>
    <w:rsid w:val="006A3AA0"/>
    <w:rsid w:val="006A3AA9"/>
    <w:rsid w:val="006A3AEF"/>
    <w:rsid w:val="006A3B25"/>
    <w:rsid w:val="006A3B61"/>
    <w:rsid w:val="006A3B8B"/>
    <w:rsid w:val="006A3BAC"/>
    <w:rsid w:val="006A3C02"/>
    <w:rsid w:val="006A3C06"/>
    <w:rsid w:val="006A3C7A"/>
    <w:rsid w:val="006A3C9D"/>
    <w:rsid w:val="006A3CA9"/>
    <w:rsid w:val="006A3CB4"/>
    <w:rsid w:val="006A3D20"/>
    <w:rsid w:val="006A3D7D"/>
    <w:rsid w:val="006A3E5D"/>
    <w:rsid w:val="006A3ED4"/>
    <w:rsid w:val="006A3F14"/>
    <w:rsid w:val="006A3F99"/>
    <w:rsid w:val="006A3FC4"/>
    <w:rsid w:val="006A3FD8"/>
    <w:rsid w:val="006A402F"/>
    <w:rsid w:val="006A4080"/>
    <w:rsid w:val="006A4097"/>
    <w:rsid w:val="006A40BB"/>
    <w:rsid w:val="006A40ED"/>
    <w:rsid w:val="006A4104"/>
    <w:rsid w:val="006A4141"/>
    <w:rsid w:val="006A416E"/>
    <w:rsid w:val="006A419D"/>
    <w:rsid w:val="006A4213"/>
    <w:rsid w:val="006A4294"/>
    <w:rsid w:val="006A42B0"/>
    <w:rsid w:val="006A42BC"/>
    <w:rsid w:val="006A42D5"/>
    <w:rsid w:val="006A430D"/>
    <w:rsid w:val="006A4312"/>
    <w:rsid w:val="006A43D8"/>
    <w:rsid w:val="006A4475"/>
    <w:rsid w:val="006A44D7"/>
    <w:rsid w:val="006A4503"/>
    <w:rsid w:val="006A456F"/>
    <w:rsid w:val="006A4593"/>
    <w:rsid w:val="006A45E6"/>
    <w:rsid w:val="006A4669"/>
    <w:rsid w:val="006A469B"/>
    <w:rsid w:val="006A4731"/>
    <w:rsid w:val="006A47BE"/>
    <w:rsid w:val="006A47C8"/>
    <w:rsid w:val="006A47F9"/>
    <w:rsid w:val="006A480E"/>
    <w:rsid w:val="006A481E"/>
    <w:rsid w:val="006A4845"/>
    <w:rsid w:val="006A484C"/>
    <w:rsid w:val="006A492E"/>
    <w:rsid w:val="006A4963"/>
    <w:rsid w:val="006A4987"/>
    <w:rsid w:val="006A49A7"/>
    <w:rsid w:val="006A49A8"/>
    <w:rsid w:val="006A49BF"/>
    <w:rsid w:val="006A49DC"/>
    <w:rsid w:val="006A49E5"/>
    <w:rsid w:val="006A4A64"/>
    <w:rsid w:val="006A4A74"/>
    <w:rsid w:val="006A4A7A"/>
    <w:rsid w:val="006A4A82"/>
    <w:rsid w:val="006A4B4A"/>
    <w:rsid w:val="006A4B53"/>
    <w:rsid w:val="006A4B55"/>
    <w:rsid w:val="006A4BC9"/>
    <w:rsid w:val="006A4C13"/>
    <w:rsid w:val="006A4C37"/>
    <w:rsid w:val="006A4C57"/>
    <w:rsid w:val="006A4D36"/>
    <w:rsid w:val="006A4D60"/>
    <w:rsid w:val="006A4D89"/>
    <w:rsid w:val="006A4D90"/>
    <w:rsid w:val="006A4D93"/>
    <w:rsid w:val="006A4DBD"/>
    <w:rsid w:val="006A4DEE"/>
    <w:rsid w:val="006A4E1B"/>
    <w:rsid w:val="006A4EF9"/>
    <w:rsid w:val="006A4EFC"/>
    <w:rsid w:val="006A4F12"/>
    <w:rsid w:val="006A4F24"/>
    <w:rsid w:val="006A4F4A"/>
    <w:rsid w:val="006A4F70"/>
    <w:rsid w:val="006A4F89"/>
    <w:rsid w:val="006A4F91"/>
    <w:rsid w:val="006A4FB1"/>
    <w:rsid w:val="006A4FDB"/>
    <w:rsid w:val="006A505E"/>
    <w:rsid w:val="006A506C"/>
    <w:rsid w:val="006A507B"/>
    <w:rsid w:val="006A50A6"/>
    <w:rsid w:val="006A5114"/>
    <w:rsid w:val="006A5120"/>
    <w:rsid w:val="006A5167"/>
    <w:rsid w:val="006A5176"/>
    <w:rsid w:val="006A51DA"/>
    <w:rsid w:val="006A51F4"/>
    <w:rsid w:val="006A524B"/>
    <w:rsid w:val="006A527F"/>
    <w:rsid w:val="006A52E7"/>
    <w:rsid w:val="006A536D"/>
    <w:rsid w:val="006A538A"/>
    <w:rsid w:val="006A53C5"/>
    <w:rsid w:val="006A53D7"/>
    <w:rsid w:val="006A53DA"/>
    <w:rsid w:val="006A53E6"/>
    <w:rsid w:val="006A547D"/>
    <w:rsid w:val="006A54EF"/>
    <w:rsid w:val="006A5528"/>
    <w:rsid w:val="006A554F"/>
    <w:rsid w:val="006A5562"/>
    <w:rsid w:val="006A559C"/>
    <w:rsid w:val="006A559F"/>
    <w:rsid w:val="006A568F"/>
    <w:rsid w:val="006A56E2"/>
    <w:rsid w:val="006A572D"/>
    <w:rsid w:val="006A57D4"/>
    <w:rsid w:val="006A57DE"/>
    <w:rsid w:val="006A5800"/>
    <w:rsid w:val="006A584C"/>
    <w:rsid w:val="006A5881"/>
    <w:rsid w:val="006A58C4"/>
    <w:rsid w:val="006A594B"/>
    <w:rsid w:val="006A596E"/>
    <w:rsid w:val="006A5989"/>
    <w:rsid w:val="006A5A2C"/>
    <w:rsid w:val="006A5A48"/>
    <w:rsid w:val="006A5A72"/>
    <w:rsid w:val="006A5AD5"/>
    <w:rsid w:val="006A5B59"/>
    <w:rsid w:val="006A5B6A"/>
    <w:rsid w:val="006A5BF0"/>
    <w:rsid w:val="006A5BF6"/>
    <w:rsid w:val="006A5C35"/>
    <w:rsid w:val="006A5C3E"/>
    <w:rsid w:val="006A5C91"/>
    <w:rsid w:val="006A5C93"/>
    <w:rsid w:val="006A5CB9"/>
    <w:rsid w:val="006A5D00"/>
    <w:rsid w:val="006A5D17"/>
    <w:rsid w:val="006A5D47"/>
    <w:rsid w:val="006A5D64"/>
    <w:rsid w:val="006A5E3D"/>
    <w:rsid w:val="006A5E46"/>
    <w:rsid w:val="006A5E60"/>
    <w:rsid w:val="006A5EAF"/>
    <w:rsid w:val="006A5EC9"/>
    <w:rsid w:val="006A5FB5"/>
    <w:rsid w:val="006A605F"/>
    <w:rsid w:val="006A60B5"/>
    <w:rsid w:val="006A61E4"/>
    <w:rsid w:val="006A61FE"/>
    <w:rsid w:val="006A6219"/>
    <w:rsid w:val="006A626F"/>
    <w:rsid w:val="006A62BB"/>
    <w:rsid w:val="006A62DC"/>
    <w:rsid w:val="006A6330"/>
    <w:rsid w:val="006A6346"/>
    <w:rsid w:val="006A638B"/>
    <w:rsid w:val="006A63BE"/>
    <w:rsid w:val="006A63CC"/>
    <w:rsid w:val="006A63D4"/>
    <w:rsid w:val="006A6484"/>
    <w:rsid w:val="006A6560"/>
    <w:rsid w:val="006A658E"/>
    <w:rsid w:val="006A65AC"/>
    <w:rsid w:val="006A65E5"/>
    <w:rsid w:val="006A6627"/>
    <w:rsid w:val="006A665D"/>
    <w:rsid w:val="006A6667"/>
    <w:rsid w:val="006A6682"/>
    <w:rsid w:val="006A6711"/>
    <w:rsid w:val="006A6731"/>
    <w:rsid w:val="006A67EA"/>
    <w:rsid w:val="006A682E"/>
    <w:rsid w:val="006A6891"/>
    <w:rsid w:val="006A689A"/>
    <w:rsid w:val="006A68A7"/>
    <w:rsid w:val="006A6959"/>
    <w:rsid w:val="006A6982"/>
    <w:rsid w:val="006A69AA"/>
    <w:rsid w:val="006A6A07"/>
    <w:rsid w:val="006A6A8B"/>
    <w:rsid w:val="006A6A8F"/>
    <w:rsid w:val="006A6AA2"/>
    <w:rsid w:val="006A6AB1"/>
    <w:rsid w:val="006A6AD9"/>
    <w:rsid w:val="006A6B35"/>
    <w:rsid w:val="006A6B77"/>
    <w:rsid w:val="006A6B93"/>
    <w:rsid w:val="006A6BB3"/>
    <w:rsid w:val="006A6BDC"/>
    <w:rsid w:val="006A6BEA"/>
    <w:rsid w:val="006A6BEE"/>
    <w:rsid w:val="006A6C06"/>
    <w:rsid w:val="006A6C0B"/>
    <w:rsid w:val="006A6C19"/>
    <w:rsid w:val="006A6C1C"/>
    <w:rsid w:val="006A6C7A"/>
    <w:rsid w:val="006A6C8E"/>
    <w:rsid w:val="006A6CED"/>
    <w:rsid w:val="006A6D11"/>
    <w:rsid w:val="006A6D9D"/>
    <w:rsid w:val="006A6DAB"/>
    <w:rsid w:val="006A6DED"/>
    <w:rsid w:val="006A6E3A"/>
    <w:rsid w:val="006A6E66"/>
    <w:rsid w:val="006A6E8E"/>
    <w:rsid w:val="006A6EF4"/>
    <w:rsid w:val="006A6F11"/>
    <w:rsid w:val="006A6F24"/>
    <w:rsid w:val="006A6FA3"/>
    <w:rsid w:val="006A6FF7"/>
    <w:rsid w:val="006A7026"/>
    <w:rsid w:val="006A70A5"/>
    <w:rsid w:val="006A70C5"/>
    <w:rsid w:val="006A70C9"/>
    <w:rsid w:val="006A7143"/>
    <w:rsid w:val="006A715C"/>
    <w:rsid w:val="006A7175"/>
    <w:rsid w:val="006A717A"/>
    <w:rsid w:val="006A720C"/>
    <w:rsid w:val="006A720D"/>
    <w:rsid w:val="006A7229"/>
    <w:rsid w:val="006A7241"/>
    <w:rsid w:val="006A72AA"/>
    <w:rsid w:val="006A72B3"/>
    <w:rsid w:val="006A72B8"/>
    <w:rsid w:val="006A72F3"/>
    <w:rsid w:val="006A7378"/>
    <w:rsid w:val="006A739F"/>
    <w:rsid w:val="006A73D3"/>
    <w:rsid w:val="006A741E"/>
    <w:rsid w:val="006A7437"/>
    <w:rsid w:val="006A744F"/>
    <w:rsid w:val="006A74DC"/>
    <w:rsid w:val="006A74F9"/>
    <w:rsid w:val="006A74FF"/>
    <w:rsid w:val="006A7533"/>
    <w:rsid w:val="006A7535"/>
    <w:rsid w:val="006A757A"/>
    <w:rsid w:val="006A75A7"/>
    <w:rsid w:val="006A75E9"/>
    <w:rsid w:val="006A778F"/>
    <w:rsid w:val="006A7791"/>
    <w:rsid w:val="006A779F"/>
    <w:rsid w:val="006A77E6"/>
    <w:rsid w:val="006A781F"/>
    <w:rsid w:val="006A787D"/>
    <w:rsid w:val="006A78A6"/>
    <w:rsid w:val="006A78D6"/>
    <w:rsid w:val="006A78DD"/>
    <w:rsid w:val="006A7901"/>
    <w:rsid w:val="006A791A"/>
    <w:rsid w:val="006A7932"/>
    <w:rsid w:val="006A7950"/>
    <w:rsid w:val="006A79EF"/>
    <w:rsid w:val="006A79FA"/>
    <w:rsid w:val="006A7A36"/>
    <w:rsid w:val="006A7A40"/>
    <w:rsid w:val="006A7ADD"/>
    <w:rsid w:val="006A7B17"/>
    <w:rsid w:val="006A7B22"/>
    <w:rsid w:val="006A7BB8"/>
    <w:rsid w:val="006A7BF7"/>
    <w:rsid w:val="006A7C0A"/>
    <w:rsid w:val="006A7C60"/>
    <w:rsid w:val="006A7CF0"/>
    <w:rsid w:val="006A7D34"/>
    <w:rsid w:val="006A7D4D"/>
    <w:rsid w:val="006A7DBA"/>
    <w:rsid w:val="006A7DC5"/>
    <w:rsid w:val="006A7E30"/>
    <w:rsid w:val="006A7E36"/>
    <w:rsid w:val="006A7E75"/>
    <w:rsid w:val="006A7ED4"/>
    <w:rsid w:val="006A7EE7"/>
    <w:rsid w:val="006A7F8F"/>
    <w:rsid w:val="006B0070"/>
    <w:rsid w:val="006B00D0"/>
    <w:rsid w:val="006B0109"/>
    <w:rsid w:val="006B0128"/>
    <w:rsid w:val="006B012A"/>
    <w:rsid w:val="006B0163"/>
    <w:rsid w:val="006B016C"/>
    <w:rsid w:val="006B01C4"/>
    <w:rsid w:val="006B01EC"/>
    <w:rsid w:val="006B024B"/>
    <w:rsid w:val="006B0251"/>
    <w:rsid w:val="006B0275"/>
    <w:rsid w:val="006B0291"/>
    <w:rsid w:val="006B02AB"/>
    <w:rsid w:val="006B02CE"/>
    <w:rsid w:val="006B02D4"/>
    <w:rsid w:val="006B0315"/>
    <w:rsid w:val="006B0380"/>
    <w:rsid w:val="006B0387"/>
    <w:rsid w:val="006B0388"/>
    <w:rsid w:val="006B03E1"/>
    <w:rsid w:val="006B0464"/>
    <w:rsid w:val="006B046B"/>
    <w:rsid w:val="006B0479"/>
    <w:rsid w:val="006B04D4"/>
    <w:rsid w:val="006B0564"/>
    <w:rsid w:val="006B05AE"/>
    <w:rsid w:val="006B0736"/>
    <w:rsid w:val="006B0797"/>
    <w:rsid w:val="006B07DE"/>
    <w:rsid w:val="006B07E6"/>
    <w:rsid w:val="006B081B"/>
    <w:rsid w:val="006B08F7"/>
    <w:rsid w:val="006B098A"/>
    <w:rsid w:val="006B09AF"/>
    <w:rsid w:val="006B09BE"/>
    <w:rsid w:val="006B09BF"/>
    <w:rsid w:val="006B09D5"/>
    <w:rsid w:val="006B0A2B"/>
    <w:rsid w:val="006B0A68"/>
    <w:rsid w:val="006B0AF8"/>
    <w:rsid w:val="006B0B3E"/>
    <w:rsid w:val="006B0B48"/>
    <w:rsid w:val="006B0C0B"/>
    <w:rsid w:val="006B0CA0"/>
    <w:rsid w:val="006B0CC9"/>
    <w:rsid w:val="006B0CCB"/>
    <w:rsid w:val="006B0D03"/>
    <w:rsid w:val="006B0D9D"/>
    <w:rsid w:val="006B0DA3"/>
    <w:rsid w:val="006B0DD9"/>
    <w:rsid w:val="006B0DEC"/>
    <w:rsid w:val="006B0E2E"/>
    <w:rsid w:val="006B0ECF"/>
    <w:rsid w:val="006B0ED7"/>
    <w:rsid w:val="006B1072"/>
    <w:rsid w:val="006B1079"/>
    <w:rsid w:val="006B10A4"/>
    <w:rsid w:val="006B10A6"/>
    <w:rsid w:val="006B12BC"/>
    <w:rsid w:val="006B12C4"/>
    <w:rsid w:val="006B12D3"/>
    <w:rsid w:val="006B13BC"/>
    <w:rsid w:val="006B1438"/>
    <w:rsid w:val="006B146A"/>
    <w:rsid w:val="006B149D"/>
    <w:rsid w:val="006B14C6"/>
    <w:rsid w:val="006B14F3"/>
    <w:rsid w:val="006B151B"/>
    <w:rsid w:val="006B152E"/>
    <w:rsid w:val="006B15DA"/>
    <w:rsid w:val="006B15EB"/>
    <w:rsid w:val="006B160B"/>
    <w:rsid w:val="006B168E"/>
    <w:rsid w:val="006B16B1"/>
    <w:rsid w:val="006B16CC"/>
    <w:rsid w:val="006B1767"/>
    <w:rsid w:val="006B176A"/>
    <w:rsid w:val="006B17DC"/>
    <w:rsid w:val="006B18E9"/>
    <w:rsid w:val="006B1930"/>
    <w:rsid w:val="006B197E"/>
    <w:rsid w:val="006B199E"/>
    <w:rsid w:val="006B19ED"/>
    <w:rsid w:val="006B1A18"/>
    <w:rsid w:val="006B1AA4"/>
    <w:rsid w:val="006B1AB6"/>
    <w:rsid w:val="006B1AD8"/>
    <w:rsid w:val="006B1AF3"/>
    <w:rsid w:val="006B1B09"/>
    <w:rsid w:val="006B1B1D"/>
    <w:rsid w:val="006B1B3A"/>
    <w:rsid w:val="006B1B3E"/>
    <w:rsid w:val="006B1BAF"/>
    <w:rsid w:val="006B1BC6"/>
    <w:rsid w:val="006B1BFA"/>
    <w:rsid w:val="006B1CC6"/>
    <w:rsid w:val="006B1CF8"/>
    <w:rsid w:val="006B1D4D"/>
    <w:rsid w:val="006B1D84"/>
    <w:rsid w:val="006B1DAA"/>
    <w:rsid w:val="006B1DC1"/>
    <w:rsid w:val="006B1E28"/>
    <w:rsid w:val="006B1F05"/>
    <w:rsid w:val="006B1F6E"/>
    <w:rsid w:val="006B1FAC"/>
    <w:rsid w:val="006B1FCF"/>
    <w:rsid w:val="006B1FF3"/>
    <w:rsid w:val="006B20A7"/>
    <w:rsid w:val="006B20B4"/>
    <w:rsid w:val="006B20B5"/>
    <w:rsid w:val="006B20D9"/>
    <w:rsid w:val="006B20EA"/>
    <w:rsid w:val="006B20FD"/>
    <w:rsid w:val="006B2117"/>
    <w:rsid w:val="006B226B"/>
    <w:rsid w:val="006B22DB"/>
    <w:rsid w:val="006B231E"/>
    <w:rsid w:val="006B2363"/>
    <w:rsid w:val="006B23D1"/>
    <w:rsid w:val="006B23F5"/>
    <w:rsid w:val="006B2404"/>
    <w:rsid w:val="006B2408"/>
    <w:rsid w:val="006B2425"/>
    <w:rsid w:val="006B243E"/>
    <w:rsid w:val="006B244A"/>
    <w:rsid w:val="006B245F"/>
    <w:rsid w:val="006B24D5"/>
    <w:rsid w:val="006B2527"/>
    <w:rsid w:val="006B2591"/>
    <w:rsid w:val="006B25A6"/>
    <w:rsid w:val="006B25A7"/>
    <w:rsid w:val="006B25C4"/>
    <w:rsid w:val="006B25D0"/>
    <w:rsid w:val="006B265B"/>
    <w:rsid w:val="006B2687"/>
    <w:rsid w:val="006B26F7"/>
    <w:rsid w:val="006B2711"/>
    <w:rsid w:val="006B2734"/>
    <w:rsid w:val="006B2744"/>
    <w:rsid w:val="006B2757"/>
    <w:rsid w:val="006B2831"/>
    <w:rsid w:val="006B2838"/>
    <w:rsid w:val="006B2865"/>
    <w:rsid w:val="006B28B2"/>
    <w:rsid w:val="006B28E7"/>
    <w:rsid w:val="006B28FC"/>
    <w:rsid w:val="006B2906"/>
    <w:rsid w:val="006B299B"/>
    <w:rsid w:val="006B29F6"/>
    <w:rsid w:val="006B2A16"/>
    <w:rsid w:val="006B2A26"/>
    <w:rsid w:val="006B2A29"/>
    <w:rsid w:val="006B2A4A"/>
    <w:rsid w:val="006B2A62"/>
    <w:rsid w:val="006B2A77"/>
    <w:rsid w:val="006B2A9C"/>
    <w:rsid w:val="006B2ACA"/>
    <w:rsid w:val="006B2ACE"/>
    <w:rsid w:val="006B2B69"/>
    <w:rsid w:val="006B2C03"/>
    <w:rsid w:val="006B2C23"/>
    <w:rsid w:val="006B2C8A"/>
    <w:rsid w:val="006B2CA2"/>
    <w:rsid w:val="006B2D1E"/>
    <w:rsid w:val="006B2D6E"/>
    <w:rsid w:val="006B2D8D"/>
    <w:rsid w:val="006B2D95"/>
    <w:rsid w:val="006B2DC8"/>
    <w:rsid w:val="006B2DCD"/>
    <w:rsid w:val="006B2DFA"/>
    <w:rsid w:val="006B2E0E"/>
    <w:rsid w:val="006B2E40"/>
    <w:rsid w:val="006B2F04"/>
    <w:rsid w:val="006B2F0A"/>
    <w:rsid w:val="006B2F21"/>
    <w:rsid w:val="006B2F4B"/>
    <w:rsid w:val="006B302A"/>
    <w:rsid w:val="006B30B6"/>
    <w:rsid w:val="006B30CF"/>
    <w:rsid w:val="006B310E"/>
    <w:rsid w:val="006B3157"/>
    <w:rsid w:val="006B3189"/>
    <w:rsid w:val="006B3191"/>
    <w:rsid w:val="006B319D"/>
    <w:rsid w:val="006B324F"/>
    <w:rsid w:val="006B3272"/>
    <w:rsid w:val="006B328E"/>
    <w:rsid w:val="006B338C"/>
    <w:rsid w:val="006B33A1"/>
    <w:rsid w:val="006B33BE"/>
    <w:rsid w:val="006B33D6"/>
    <w:rsid w:val="006B348C"/>
    <w:rsid w:val="006B3493"/>
    <w:rsid w:val="006B353D"/>
    <w:rsid w:val="006B35E9"/>
    <w:rsid w:val="006B35F3"/>
    <w:rsid w:val="006B363D"/>
    <w:rsid w:val="006B363E"/>
    <w:rsid w:val="006B3679"/>
    <w:rsid w:val="006B367B"/>
    <w:rsid w:val="006B36C7"/>
    <w:rsid w:val="006B3721"/>
    <w:rsid w:val="006B3733"/>
    <w:rsid w:val="006B375C"/>
    <w:rsid w:val="006B3772"/>
    <w:rsid w:val="006B37EE"/>
    <w:rsid w:val="006B383D"/>
    <w:rsid w:val="006B3864"/>
    <w:rsid w:val="006B38B8"/>
    <w:rsid w:val="006B38C5"/>
    <w:rsid w:val="006B38C8"/>
    <w:rsid w:val="006B38E8"/>
    <w:rsid w:val="006B38FF"/>
    <w:rsid w:val="006B39A6"/>
    <w:rsid w:val="006B39C4"/>
    <w:rsid w:val="006B39C8"/>
    <w:rsid w:val="006B39E7"/>
    <w:rsid w:val="006B3A3E"/>
    <w:rsid w:val="006B3A78"/>
    <w:rsid w:val="006B3A8E"/>
    <w:rsid w:val="006B3AA3"/>
    <w:rsid w:val="006B3ADB"/>
    <w:rsid w:val="006B3AF8"/>
    <w:rsid w:val="006B3B0D"/>
    <w:rsid w:val="006B3B46"/>
    <w:rsid w:val="006B3B4E"/>
    <w:rsid w:val="006B3BAD"/>
    <w:rsid w:val="006B3C44"/>
    <w:rsid w:val="006B3C99"/>
    <w:rsid w:val="006B3D0B"/>
    <w:rsid w:val="006B3DCF"/>
    <w:rsid w:val="006B3DFC"/>
    <w:rsid w:val="006B3E3D"/>
    <w:rsid w:val="006B3E43"/>
    <w:rsid w:val="006B3E49"/>
    <w:rsid w:val="006B3E51"/>
    <w:rsid w:val="006B3E7B"/>
    <w:rsid w:val="006B3E97"/>
    <w:rsid w:val="006B3F10"/>
    <w:rsid w:val="006B3F24"/>
    <w:rsid w:val="006B3F32"/>
    <w:rsid w:val="006B3F43"/>
    <w:rsid w:val="006B3F72"/>
    <w:rsid w:val="006B3FE2"/>
    <w:rsid w:val="006B40C0"/>
    <w:rsid w:val="006B40D5"/>
    <w:rsid w:val="006B4108"/>
    <w:rsid w:val="006B415E"/>
    <w:rsid w:val="006B4176"/>
    <w:rsid w:val="006B418A"/>
    <w:rsid w:val="006B41B0"/>
    <w:rsid w:val="006B41B5"/>
    <w:rsid w:val="006B4262"/>
    <w:rsid w:val="006B4284"/>
    <w:rsid w:val="006B42D5"/>
    <w:rsid w:val="006B42E0"/>
    <w:rsid w:val="006B430B"/>
    <w:rsid w:val="006B439E"/>
    <w:rsid w:val="006B43AF"/>
    <w:rsid w:val="006B43C7"/>
    <w:rsid w:val="006B4454"/>
    <w:rsid w:val="006B4499"/>
    <w:rsid w:val="006B44D0"/>
    <w:rsid w:val="006B44E0"/>
    <w:rsid w:val="006B451B"/>
    <w:rsid w:val="006B4527"/>
    <w:rsid w:val="006B4546"/>
    <w:rsid w:val="006B4578"/>
    <w:rsid w:val="006B45DE"/>
    <w:rsid w:val="006B46E3"/>
    <w:rsid w:val="006B4712"/>
    <w:rsid w:val="006B4746"/>
    <w:rsid w:val="006B4752"/>
    <w:rsid w:val="006B4784"/>
    <w:rsid w:val="006B4794"/>
    <w:rsid w:val="006B47A8"/>
    <w:rsid w:val="006B47ED"/>
    <w:rsid w:val="006B4833"/>
    <w:rsid w:val="006B483D"/>
    <w:rsid w:val="006B4859"/>
    <w:rsid w:val="006B48AF"/>
    <w:rsid w:val="006B48BD"/>
    <w:rsid w:val="006B48C2"/>
    <w:rsid w:val="006B48E6"/>
    <w:rsid w:val="006B48FA"/>
    <w:rsid w:val="006B4907"/>
    <w:rsid w:val="006B4931"/>
    <w:rsid w:val="006B4932"/>
    <w:rsid w:val="006B49F2"/>
    <w:rsid w:val="006B4A12"/>
    <w:rsid w:val="006B4A70"/>
    <w:rsid w:val="006B4A72"/>
    <w:rsid w:val="006B4AA7"/>
    <w:rsid w:val="006B4AE0"/>
    <w:rsid w:val="006B4B42"/>
    <w:rsid w:val="006B4BA5"/>
    <w:rsid w:val="006B4BBE"/>
    <w:rsid w:val="006B4BD7"/>
    <w:rsid w:val="006B4C26"/>
    <w:rsid w:val="006B4CC7"/>
    <w:rsid w:val="006B4D31"/>
    <w:rsid w:val="006B4D36"/>
    <w:rsid w:val="006B4D98"/>
    <w:rsid w:val="006B4E30"/>
    <w:rsid w:val="006B4E4B"/>
    <w:rsid w:val="006B4E56"/>
    <w:rsid w:val="006B4E57"/>
    <w:rsid w:val="006B4ED7"/>
    <w:rsid w:val="006B4F0D"/>
    <w:rsid w:val="006B5022"/>
    <w:rsid w:val="006B5035"/>
    <w:rsid w:val="006B5062"/>
    <w:rsid w:val="006B5099"/>
    <w:rsid w:val="006B50BD"/>
    <w:rsid w:val="006B5136"/>
    <w:rsid w:val="006B513A"/>
    <w:rsid w:val="006B5148"/>
    <w:rsid w:val="006B5162"/>
    <w:rsid w:val="006B516A"/>
    <w:rsid w:val="006B525C"/>
    <w:rsid w:val="006B5290"/>
    <w:rsid w:val="006B52B9"/>
    <w:rsid w:val="006B52CC"/>
    <w:rsid w:val="006B53BA"/>
    <w:rsid w:val="006B53E0"/>
    <w:rsid w:val="006B544E"/>
    <w:rsid w:val="006B54FF"/>
    <w:rsid w:val="006B5574"/>
    <w:rsid w:val="006B5618"/>
    <w:rsid w:val="006B564E"/>
    <w:rsid w:val="006B5650"/>
    <w:rsid w:val="006B565E"/>
    <w:rsid w:val="006B5683"/>
    <w:rsid w:val="006B56F4"/>
    <w:rsid w:val="006B570B"/>
    <w:rsid w:val="006B582E"/>
    <w:rsid w:val="006B5864"/>
    <w:rsid w:val="006B5874"/>
    <w:rsid w:val="006B58DA"/>
    <w:rsid w:val="006B592B"/>
    <w:rsid w:val="006B59BE"/>
    <w:rsid w:val="006B5A24"/>
    <w:rsid w:val="006B5A98"/>
    <w:rsid w:val="006B5A9E"/>
    <w:rsid w:val="006B5AD0"/>
    <w:rsid w:val="006B5AEC"/>
    <w:rsid w:val="006B5B9F"/>
    <w:rsid w:val="006B5BB2"/>
    <w:rsid w:val="006B5C96"/>
    <w:rsid w:val="006B5CAE"/>
    <w:rsid w:val="006B5CB1"/>
    <w:rsid w:val="006B5CCE"/>
    <w:rsid w:val="006B5D27"/>
    <w:rsid w:val="006B5E08"/>
    <w:rsid w:val="006B5E3F"/>
    <w:rsid w:val="006B5E50"/>
    <w:rsid w:val="006B5EF4"/>
    <w:rsid w:val="006B5F69"/>
    <w:rsid w:val="006B5F86"/>
    <w:rsid w:val="006B5FB6"/>
    <w:rsid w:val="006B5FF3"/>
    <w:rsid w:val="006B60A9"/>
    <w:rsid w:val="006B60BE"/>
    <w:rsid w:val="006B60E1"/>
    <w:rsid w:val="006B6104"/>
    <w:rsid w:val="006B6145"/>
    <w:rsid w:val="006B619C"/>
    <w:rsid w:val="006B61D5"/>
    <w:rsid w:val="006B623A"/>
    <w:rsid w:val="006B6254"/>
    <w:rsid w:val="006B6255"/>
    <w:rsid w:val="006B6258"/>
    <w:rsid w:val="006B62DA"/>
    <w:rsid w:val="006B62DE"/>
    <w:rsid w:val="006B6391"/>
    <w:rsid w:val="006B63A4"/>
    <w:rsid w:val="006B63C2"/>
    <w:rsid w:val="006B63F8"/>
    <w:rsid w:val="006B640F"/>
    <w:rsid w:val="006B6445"/>
    <w:rsid w:val="006B64EA"/>
    <w:rsid w:val="006B65B3"/>
    <w:rsid w:val="006B6620"/>
    <w:rsid w:val="006B664C"/>
    <w:rsid w:val="006B6714"/>
    <w:rsid w:val="006B6761"/>
    <w:rsid w:val="006B6764"/>
    <w:rsid w:val="006B6773"/>
    <w:rsid w:val="006B678C"/>
    <w:rsid w:val="006B686A"/>
    <w:rsid w:val="006B68F7"/>
    <w:rsid w:val="006B69B7"/>
    <w:rsid w:val="006B6A24"/>
    <w:rsid w:val="006B6AE6"/>
    <w:rsid w:val="006B6B29"/>
    <w:rsid w:val="006B6B33"/>
    <w:rsid w:val="006B6B68"/>
    <w:rsid w:val="006B6B80"/>
    <w:rsid w:val="006B6BA7"/>
    <w:rsid w:val="006B6C1F"/>
    <w:rsid w:val="006B6C45"/>
    <w:rsid w:val="006B6C51"/>
    <w:rsid w:val="006B6CBF"/>
    <w:rsid w:val="006B6CD5"/>
    <w:rsid w:val="006B6D78"/>
    <w:rsid w:val="006B6DDB"/>
    <w:rsid w:val="006B6E4D"/>
    <w:rsid w:val="006B6E51"/>
    <w:rsid w:val="006B6E97"/>
    <w:rsid w:val="006B6ED4"/>
    <w:rsid w:val="006B6EFD"/>
    <w:rsid w:val="006B6F0E"/>
    <w:rsid w:val="006B6F16"/>
    <w:rsid w:val="006B6F31"/>
    <w:rsid w:val="006B6F41"/>
    <w:rsid w:val="006B6F47"/>
    <w:rsid w:val="006B6F71"/>
    <w:rsid w:val="006B6FBB"/>
    <w:rsid w:val="006B703F"/>
    <w:rsid w:val="006B706B"/>
    <w:rsid w:val="006B7096"/>
    <w:rsid w:val="006B7118"/>
    <w:rsid w:val="006B7185"/>
    <w:rsid w:val="006B71E4"/>
    <w:rsid w:val="006B7227"/>
    <w:rsid w:val="006B7292"/>
    <w:rsid w:val="006B72AB"/>
    <w:rsid w:val="006B7309"/>
    <w:rsid w:val="006B7344"/>
    <w:rsid w:val="006B73BA"/>
    <w:rsid w:val="006B7439"/>
    <w:rsid w:val="006B7454"/>
    <w:rsid w:val="006B749B"/>
    <w:rsid w:val="006B7509"/>
    <w:rsid w:val="006B756B"/>
    <w:rsid w:val="006B7576"/>
    <w:rsid w:val="006B7667"/>
    <w:rsid w:val="006B7669"/>
    <w:rsid w:val="006B769E"/>
    <w:rsid w:val="006B76F6"/>
    <w:rsid w:val="006B7702"/>
    <w:rsid w:val="006B7720"/>
    <w:rsid w:val="006B7730"/>
    <w:rsid w:val="006B7770"/>
    <w:rsid w:val="006B7783"/>
    <w:rsid w:val="006B7784"/>
    <w:rsid w:val="006B7788"/>
    <w:rsid w:val="006B77E0"/>
    <w:rsid w:val="006B784A"/>
    <w:rsid w:val="006B78E6"/>
    <w:rsid w:val="006B7954"/>
    <w:rsid w:val="006B796C"/>
    <w:rsid w:val="006B79D0"/>
    <w:rsid w:val="006B7A3B"/>
    <w:rsid w:val="006B7A59"/>
    <w:rsid w:val="006B7A80"/>
    <w:rsid w:val="006B7B75"/>
    <w:rsid w:val="006B7B84"/>
    <w:rsid w:val="006B7BDB"/>
    <w:rsid w:val="006B7C4F"/>
    <w:rsid w:val="006B7C73"/>
    <w:rsid w:val="006B7CC9"/>
    <w:rsid w:val="006B7CE7"/>
    <w:rsid w:val="006B7E57"/>
    <w:rsid w:val="006B7EF5"/>
    <w:rsid w:val="006B7F1E"/>
    <w:rsid w:val="006B7F5D"/>
    <w:rsid w:val="006B7F63"/>
    <w:rsid w:val="006B7FA5"/>
    <w:rsid w:val="006B7FC8"/>
    <w:rsid w:val="006B7FF5"/>
    <w:rsid w:val="006C0047"/>
    <w:rsid w:val="006C008E"/>
    <w:rsid w:val="006C0167"/>
    <w:rsid w:val="006C01D7"/>
    <w:rsid w:val="006C01FB"/>
    <w:rsid w:val="006C032A"/>
    <w:rsid w:val="006C0377"/>
    <w:rsid w:val="006C03AF"/>
    <w:rsid w:val="006C042E"/>
    <w:rsid w:val="006C0453"/>
    <w:rsid w:val="006C04A0"/>
    <w:rsid w:val="006C04B4"/>
    <w:rsid w:val="006C04F4"/>
    <w:rsid w:val="006C0501"/>
    <w:rsid w:val="006C0521"/>
    <w:rsid w:val="006C0538"/>
    <w:rsid w:val="006C0543"/>
    <w:rsid w:val="006C057D"/>
    <w:rsid w:val="006C0585"/>
    <w:rsid w:val="006C05B4"/>
    <w:rsid w:val="006C064A"/>
    <w:rsid w:val="006C066D"/>
    <w:rsid w:val="006C069F"/>
    <w:rsid w:val="006C06FA"/>
    <w:rsid w:val="006C0714"/>
    <w:rsid w:val="006C071D"/>
    <w:rsid w:val="006C0790"/>
    <w:rsid w:val="006C0863"/>
    <w:rsid w:val="006C089E"/>
    <w:rsid w:val="006C08A7"/>
    <w:rsid w:val="006C08B1"/>
    <w:rsid w:val="006C098E"/>
    <w:rsid w:val="006C0992"/>
    <w:rsid w:val="006C09B6"/>
    <w:rsid w:val="006C09BF"/>
    <w:rsid w:val="006C09EE"/>
    <w:rsid w:val="006C0A0D"/>
    <w:rsid w:val="006C0A57"/>
    <w:rsid w:val="006C0A72"/>
    <w:rsid w:val="006C0AC9"/>
    <w:rsid w:val="006C0AD8"/>
    <w:rsid w:val="006C0ADE"/>
    <w:rsid w:val="006C0AE6"/>
    <w:rsid w:val="006C0B1E"/>
    <w:rsid w:val="006C0B2D"/>
    <w:rsid w:val="006C0B8D"/>
    <w:rsid w:val="006C0B9F"/>
    <w:rsid w:val="006C0BF8"/>
    <w:rsid w:val="006C0DDC"/>
    <w:rsid w:val="006C0DE3"/>
    <w:rsid w:val="006C0ED5"/>
    <w:rsid w:val="006C0EDB"/>
    <w:rsid w:val="006C0EDD"/>
    <w:rsid w:val="006C0EF3"/>
    <w:rsid w:val="006C0F90"/>
    <w:rsid w:val="006C0FB6"/>
    <w:rsid w:val="006C0FCC"/>
    <w:rsid w:val="006C0FE5"/>
    <w:rsid w:val="006C0FFC"/>
    <w:rsid w:val="006C1022"/>
    <w:rsid w:val="006C10A6"/>
    <w:rsid w:val="006C1135"/>
    <w:rsid w:val="006C1153"/>
    <w:rsid w:val="006C1176"/>
    <w:rsid w:val="006C117A"/>
    <w:rsid w:val="006C117E"/>
    <w:rsid w:val="006C11C4"/>
    <w:rsid w:val="006C11CC"/>
    <w:rsid w:val="006C11D3"/>
    <w:rsid w:val="006C11D5"/>
    <w:rsid w:val="006C123F"/>
    <w:rsid w:val="006C1297"/>
    <w:rsid w:val="006C131E"/>
    <w:rsid w:val="006C1354"/>
    <w:rsid w:val="006C1388"/>
    <w:rsid w:val="006C1415"/>
    <w:rsid w:val="006C14AF"/>
    <w:rsid w:val="006C14D0"/>
    <w:rsid w:val="006C14D9"/>
    <w:rsid w:val="006C14DC"/>
    <w:rsid w:val="006C14F2"/>
    <w:rsid w:val="006C1512"/>
    <w:rsid w:val="006C1516"/>
    <w:rsid w:val="006C1546"/>
    <w:rsid w:val="006C1561"/>
    <w:rsid w:val="006C1582"/>
    <w:rsid w:val="006C1589"/>
    <w:rsid w:val="006C1619"/>
    <w:rsid w:val="006C1635"/>
    <w:rsid w:val="006C1645"/>
    <w:rsid w:val="006C1731"/>
    <w:rsid w:val="006C176A"/>
    <w:rsid w:val="006C17CA"/>
    <w:rsid w:val="006C17D9"/>
    <w:rsid w:val="006C17EC"/>
    <w:rsid w:val="006C17F6"/>
    <w:rsid w:val="006C180A"/>
    <w:rsid w:val="006C1892"/>
    <w:rsid w:val="006C1917"/>
    <w:rsid w:val="006C19F3"/>
    <w:rsid w:val="006C1A42"/>
    <w:rsid w:val="006C1AD3"/>
    <w:rsid w:val="006C1C77"/>
    <w:rsid w:val="006C1C7E"/>
    <w:rsid w:val="006C1CAC"/>
    <w:rsid w:val="006C1CFB"/>
    <w:rsid w:val="006C1D36"/>
    <w:rsid w:val="006C1D37"/>
    <w:rsid w:val="006C1D61"/>
    <w:rsid w:val="006C1F04"/>
    <w:rsid w:val="006C1F21"/>
    <w:rsid w:val="006C1F3B"/>
    <w:rsid w:val="006C1F69"/>
    <w:rsid w:val="006C1F9A"/>
    <w:rsid w:val="006C1FC8"/>
    <w:rsid w:val="006C1FE5"/>
    <w:rsid w:val="006C203F"/>
    <w:rsid w:val="006C208E"/>
    <w:rsid w:val="006C20C3"/>
    <w:rsid w:val="006C2218"/>
    <w:rsid w:val="006C221A"/>
    <w:rsid w:val="006C224B"/>
    <w:rsid w:val="006C2294"/>
    <w:rsid w:val="006C22F8"/>
    <w:rsid w:val="006C2301"/>
    <w:rsid w:val="006C2389"/>
    <w:rsid w:val="006C23AA"/>
    <w:rsid w:val="006C250A"/>
    <w:rsid w:val="006C2562"/>
    <w:rsid w:val="006C2573"/>
    <w:rsid w:val="006C25F7"/>
    <w:rsid w:val="006C2723"/>
    <w:rsid w:val="006C27F9"/>
    <w:rsid w:val="006C2805"/>
    <w:rsid w:val="006C2851"/>
    <w:rsid w:val="006C287E"/>
    <w:rsid w:val="006C2886"/>
    <w:rsid w:val="006C289D"/>
    <w:rsid w:val="006C28A7"/>
    <w:rsid w:val="006C28C5"/>
    <w:rsid w:val="006C28EC"/>
    <w:rsid w:val="006C2983"/>
    <w:rsid w:val="006C2997"/>
    <w:rsid w:val="006C29DC"/>
    <w:rsid w:val="006C2A09"/>
    <w:rsid w:val="006C2A28"/>
    <w:rsid w:val="006C2A2C"/>
    <w:rsid w:val="006C2A30"/>
    <w:rsid w:val="006C2A41"/>
    <w:rsid w:val="006C2A77"/>
    <w:rsid w:val="006C2A90"/>
    <w:rsid w:val="006C2AB3"/>
    <w:rsid w:val="006C2ADC"/>
    <w:rsid w:val="006C2AED"/>
    <w:rsid w:val="006C2B2E"/>
    <w:rsid w:val="006C2B66"/>
    <w:rsid w:val="006C2B9D"/>
    <w:rsid w:val="006C2BFD"/>
    <w:rsid w:val="006C2BFF"/>
    <w:rsid w:val="006C2C4E"/>
    <w:rsid w:val="006C2D29"/>
    <w:rsid w:val="006C2D3E"/>
    <w:rsid w:val="006C2DA4"/>
    <w:rsid w:val="006C2DCC"/>
    <w:rsid w:val="006C2DDB"/>
    <w:rsid w:val="006C2F38"/>
    <w:rsid w:val="006C2F3A"/>
    <w:rsid w:val="006C2F48"/>
    <w:rsid w:val="006C2FCA"/>
    <w:rsid w:val="006C305F"/>
    <w:rsid w:val="006C30B7"/>
    <w:rsid w:val="006C31B8"/>
    <w:rsid w:val="006C3227"/>
    <w:rsid w:val="006C3249"/>
    <w:rsid w:val="006C3271"/>
    <w:rsid w:val="006C32A0"/>
    <w:rsid w:val="006C32D5"/>
    <w:rsid w:val="006C333A"/>
    <w:rsid w:val="006C333F"/>
    <w:rsid w:val="006C3386"/>
    <w:rsid w:val="006C339D"/>
    <w:rsid w:val="006C33EE"/>
    <w:rsid w:val="006C3472"/>
    <w:rsid w:val="006C3488"/>
    <w:rsid w:val="006C3495"/>
    <w:rsid w:val="006C34F4"/>
    <w:rsid w:val="006C3517"/>
    <w:rsid w:val="006C3540"/>
    <w:rsid w:val="006C355B"/>
    <w:rsid w:val="006C3572"/>
    <w:rsid w:val="006C35D9"/>
    <w:rsid w:val="006C3607"/>
    <w:rsid w:val="006C3684"/>
    <w:rsid w:val="006C3699"/>
    <w:rsid w:val="006C36CB"/>
    <w:rsid w:val="006C3714"/>
    <w:rsid w:val="006C3772"/>
    <w:rsid w:val="006C37C9"/>
    <w:rsid w:val="006C3872"/>
    <w:rsid w:val="006C38B2"/>
    <w:rsid w:val="006C395E"/>
    <w:rsid w:val="006C39A2"/>
    <w:rsid w:val="006C39C5"/>
    <w:rsid w:val="006C39DF"/>
    <w:rsid w:val="006C3A5F"/>
    <w:rsid w:val="006C3A73"/>
    <w:rsid w:val="006C3A79"/>
    <w:rsid w:val="006C3A88"/>
    <w:rsid w:val="006C3AAB"/>
    <w:rsid w:val="006C3ABA"/>
    <w:rsid w:val="006C3AED"/>
    <w:rsid w:val="006C3B26"/>
    <w:rsid w:val="006C3B28"/>
    <w:rsid w:val="006C3B3A"/>
    <w:rsid w:val="006C3B7D"/>
    <w:rsid w:val="006C3B8C"/>
    <w:rsid w:val="006C3BA2"/>
    <w:rsid w:val="006C3C4B"/>
    <w:rsid w:val="006C3C92"/>
    <w:rsid w:val="006C3C94"/>
    <w:rsid w:val="006C3D1A"/>
    <w:rsid w:val="006C3D23"/>
    <w:rsid w:val="006C3D52"/>
    <w:rsid w:val="006C3D70"/>
    <w:rsid w:val="006C3D8C"/>
    <w:rsid w:val="006C3DA4"/>
    <w:rsid w:val="006C3DDC"/>
    <w:rsid w:val="006C3E6B"/>
    <w:rsid w:val="006C3EFC"/>
    <w:rsid w:val="006C3F16"/>
    <w:rsid w:val="006C3F1B"/>
    <w:rsid w:val="006C3F7B"/>
    <w:rsid w:val="006C3F82"/>
    <w:rsid w:val="006C3F8D"/>
    <w:rsid w:val="006C3F91"/>
    <w:rsid w:val="006C3FC8"/>
    <w:rsid w:val="006C4041"/>
    <w:rsid w:val="006C4058"/>
    <w:rsid w:val="006C4071"/>
    <w:rsid w:val="006C40F4"/>
    <w:rsid w:val="006C4110"/>
    <w:rsid w:val="006C4141"/>
    <w:rsid w:val="006C418F"/>
    <w:rsid w:val="006C421A"/>
    <w:rsid w:val="006C4274"/>
    <w:rsid w:val="006C429C"/>
    <w:rsid w:val="006C42BC"/>
    <w:rsid w:val="006C42D9"/>
    <w:rsid w:val="006C42E6"/>
    <w:rsid w:val="006C42F1"/>
    <w:rsid w:val="006C4455"/>
    <w:rsid w:val="006C4461"/>
    <w:rsid w:val="006C447F"/>
    <w:rsid w:val="006C44BD"/>
    <w:rsid w:val="006C4523"/>
    <w:rsid w:val="006C453D"/>
    <w:rsid w:val="006C4594"/>
    <w:rsid w:val="006C45A3"/>
    <w:rsid w:val="006C45A6"/>
    <w:rsid w:val="006C4603"/>
    <w:rsid w:val="006C469B"/>
    <w:rsid w:val="006C46A3"/>
    <w:rsid w:val="006C46A9"/>
    <w:rsid w:val="006C46B2"/>
    <w:rsid w:val="006C46BF"/>
    <w:rsid w:val="006C46C5"/>
    <w:rsid w:val="006C46D9"/>
    <w:rsid w:val="006C4769"/>
    <w:rsid w:val="006C477D"/>
    <w:rsid w:val="006C4818"/>
    <w:rsid w:val="006C4883"/>
    <w:rsid w:val="006C492A"/>
    <w:rsid w:val="006C4936"/>
    <w:rsid w:val="006C4969"/>
    <w:rsid w:val="006C49A2"/>
    <w:rsid w:val="006C49A3"/>
    <w:rsid w:val="006C49AA"/>
    <w:rsid w:val="006C49B3"/>
    <w:rsid w:val="006C49C0"/>
    <w:rsid w:val="006C4A7F"/>
    <w:rsid w:val="006C4AC3"/>
    <w:rsid w:val="006C4B1D"/>
    <w:rsid w:val="006C4B1E"/>
    <w:rsid w:val="006C4B2D"/>
    <w:rsid w:val="006C4B58"/>
    <w:rsid w:val="006C4B7A"/>
    <w:rsid w:val="006C4BC0"/>
    <w:rsid w:val="006C4C30"/>
    <w:rsid w:val="006C4C32"/>
    <w:rsid w:val="006C4C93"/>
    <w:rsid w:val="006C4CD7"/>
    <w:rsid w:val="006C4CE8"/>
    <w:rsid w:val="006C4DA8"/>
    <w:rsid w:val="006C4DDD"/>
    <w:rsid w:val="006C4FA6"/>
    <w:rsid w:val="006C4FBA"/>
    <w:rsid w:val="006C4FEC"/>
    <w:rsid w:val="006C5022"/>
    <w:rsid w:val="006C5034"/>
    <w:rsid w:val="006C5071"/>
    <w:rsid w:val="006C50AB"/>
    <w:rsid w:val="006C5129"/>
    <w:rsid w:val="006C5215"/>
    <w:rsid w:val="006C5221"/>
    <w:rsid w:val="006C5265"/>
    <w:rsid w:val="006C5303"/>
    <w:rsid w:val="006C530F"/>
    <w:rsid w:val="006C5341"/>
    <w:rsid w:val="006C536C"/>
    <w:rsid w:val="006C53C1"/>
    <w:rsid w:val="006C543E"/>
    <w:rsid w:val="006C545D"/>
    <w:rsid w:val="006C546D"/>
    <w:rsid w:val="006C54A5"/>
    <w:rsid w:val="006C54C3"/>
    <w:rsid w:val="006C54C5"/>
    <w:rsid w:val="006C54FC"/>
    <w:rsid w:val="006C5533"/>
    <w:rsid w:val="006C5573"/>
    <w:rsid w:val="006C557D"/>
    <w:rsid w:val="006C5586"/>
    <w:rsid w:val="006C55D9"/>
    <w:rsid w:val="006C5661"/>
    <w:rsid w:val="006C56B6"/>
    <w:rsid w:val="006C56CA"/>
    <w:rsid w:val="006C56D8"/>
    <w:rsid w:val="006C57F8"/>
    <w:rsid w:val="006C57FC"/>
    <w:rsid w:val="006C5817"/>
    <w:rsid w:val="006C5844"/>
    <w:rsid w:val="006C58A2"/>
    <w:rsid w:val="006C58BF"/>
    <w:rsid w:val="006C58CE"/>
    <w:rsid w:val="006C58F9"/>
    <w:rsid w:val="006C5924"/>
    <w:rsid w:val="006C5947"/>
    <w:rsid w:val="006C5963"/>
    <w:rsid w:val="006C5975"/>
    <w:rsid w:val="006C5993"/>
    <w:rsid w:val="006C59F6"/>
    <w:rsid w:val="006C5A25"/>
    <w:rsid w:val="006C5A74"/>
    <w:rsid w:val="006C5A7D"/>
    <w:rsid w:val="006C5A8D"/>
    <w:rsid w:val="006C5AC9"/>
    <w:rsid w:val="006C5AF8"/>
    <w:rsid w:val="006C5B64"/>
    <w:rsid w:val="006C5B73"/>
    <w:rsid w:val="006C5B85"/>
    <w:rsid w:val="006C5BF4"/>
    <w:rsid w:val="006C5C1E"/>
    <w:rsid w:val="006C5C2B"/>
    <w:rsid w:val="006C5C72"/>
    <w:rsid w:val="006C5CD4"/>
    <w:rsid w:val="006C5CFD"/>
    <w:rsid w:val="006C5DA1"/>
    <w:rsid w:val="006C5DC4"/>
    <w:rsid w:val="006C5DD3"/>
    <w:rsid w:val="006C5DD5"/>
    <w:rsid w:val="006C5E63"/>
    <w:rsid w:val="006C5E85"/>
    <w:rsid w:val="006C5E95"/>
    <w:rsid w:val="006C5EA4"/>
    <w:rsid w:val="006C5F1D"/>
    <w:rsid w:val="006C5F2F"/>
    <w:rsid w:val="006C5F50"/>
    <w:rsid w:val="006C5FAA"/>
    <w:rsid w:val="006C601F"/>
    <w:rsid w:val="006C602C"/>
    <w:rsid w:val="006C6049"/>
    <w:rsid w:val="006C6097"/>
    <w:rsid w:val="006C6108"/>
    <w:rsid w:val="006C614C"/>
    <w:rsid w:val="006C6280"/>
    <w:rsid w:val="006C628B"/>
    <w:rsid w:val="006C62BE"/>
    <w:rsid w:val="006C62F3"/>
    <w:rsid w:val="006C637E"/>
    <w:rsid w:val="006C645D"/>
    <w:rsid w:val="006C64A9"/>
    <w:rsid w:val="006C64E5"/>
    <w:rsid w:val="006C64F0"/>
    <w:rsid w:val="006C6510"/>
    <w:rsid w:val="006C6523"/>
    <w:rsid w:val="006C6547"/>
    <w:rsid w:val="006C65D0"/>
    <w:rsid w:val="006C65D7"/>
    <w:rsid w:val="006C6612"/>
    <w:rsid w:val="006C6614"/>
    <w:rsid w:val="006C663B"/>
    <w:rsid w:val="006C6664"/>
    <w:rsid w:val="006C667B"/>
    <w:rsid w:val="006C6691"/>
    <w:rsid w:val="006C66C2"/>
    <w:rsid w:val="006C66D0"/>
    <w:rsid w:val="006C6760"/>
    <w:rsid w:val="006C67B7"/>
    <w:rsid w:val="006C682D"/>
    <w:rsid w:val="006C683E"/>
    <w:rsid w:val="006C6860"/>
    <w:rsid w:val="006C687D"/>
    <w:rsid w:val="006C689E"/>
    <w:rsid w:val="006C68A8"/>
    <w:rsid w:val="006C690D"/>
    <w:rsid w:val="006C6945"/>
    <w:rsid w:val="006C694A"/>
    <w:rsid w:val="006C695A"/>
    <w:rsid w:val="006C699C"/>
    <w:rsid w:val="006C6AED"/>
    <w:rsid w:val="006C6AEE"/>
    <w:rsid w:val="006C6AF3"/>
    <w:rsid w:val="006C6BBA"/>
    <w:rsid w:val="006C6BE4"/>
    <w:rsid w:val="006C6BE5"/>
    <w:rsid w:val="006C6BF4"/>
    <w:rsid w:val="006C6C2A"/>
    <w:rsid w:val="006C6C6E"/>
    <w:rsid w:val="006C6CC6"/>
    <w:rsid w:val="006C6CF8"/>
    <w:rsid w:val="006C6D28"/>
    <w:rsid w:val="006C6D69"/>
    <w:rsid w:val="006C6E21"/>
    <w:rsid w:val="006C6E89"/>
    <w:rsid w:val="006C6E8D"/>
    <w:rsid w:val="006C6F01"/>
    <w:rsid w:val="006C6F1F"/>
    <w:rsid w:val="006C6F68"/>
    <w:rsid w:val="006C6F7B"/>
    <w:rsid w:val="006C6F99"/>
    <w:rsid w:val="006C6FDB"/>
    <w:rsid w:val="006C6FDD"/>
    <w:rsid w:val="006C700D"/>
    <w:rsid w:val="006C7060"/>
    <w:rsid w:val="006C714B"/>
    <w:rsid w:val="006C715C"/>
    <w:rsid w:val="006C7196"/>
    <w:rsid w:val="006C719D"/>
    <w:rsid w:val="006C71E1"/>
    <w:rsid w:val="006C71FD"/>
    <w:rsid w:val="006C7212"/>
    <w:rsid w:val="006C7265"/>
    <w:rsid w:val="006C7285"/>
    <w:rsid w:val="006C7393"/>
    <w:rsid w:val="006C746C"/>
    <w:rsid w:val="006C7487"/>
    <w:rsid w:val="006C74C5"/>
    <w:rsid w:val="006C74F7"/>
    <w:rsid w:val="006C75AF"/>
    <w:rsid w:val="006C7602"/>
    <w:rsid w:val="006C763B"/>
    <w:rsid w:val="006C767A"/>
    <w:rsid w:val="006C7835"/>
    <w:rsid w:val="006C784C"/>
    <w:rsid w:val="006C78EC"/>
    <w:rsid w:val="006C79A8"/>
    <w:rsid w:val="006C7A98"/>
    <w:rsid w:val="006C7AD0"/>
    <w:rsid w:val="006C7B22"/>
    <w:rsid w:val="006C7B2A"/>
    <w:rsid w:val="006C7B6C"/>
    <w:rsid w:val="006C7BF1"/>
    <w:rsid w:val="006C7C31"/>
    <w:rsid w:val="006C7CB7"/>
    <w:rsid w:val="006C7CF0"/>
    <w:rsid w:val="006C7D07"/>
    <w:rsid w:val="006C7D0F"/>
    <w:rsid w:val="006C7D11"/>
    <w:rsid w:val="006C7DDD"/>
    <w:rsid w:val="006C7DF2"/>
    <w:rsid w:val="006C7DF9"/>
    <w:rsid w:val="006C7E0B"/>
    <w:rsid w:val="006C7E23"/>
    <w:rsid w:val="006C7E43"/>
    <w:rsid w:val="006C7E77"/>
    <w:rsid w:val="006C7E8F"/>
    <w:rsid w:val="006C7E98"/>
    <w:rsid w:val="006C7EDE"/>
    <w:rsid w:val="006C7F0E"/>
    <w:rsid w:val="006C7F52"/>
    <w:rsid w:val="006C7F7C"/>
    <w:rsid w:val="006C7FCC"/>
    <w:rsid w:val="006D0070"/>
    <w:rsid w:val="006D00C7"/>
    <w:rsid w:val="006D00D5"/>
    <w:rsid w:val="006D0108"/>
    <w:rsid w:val="006D017A"/>
    <w:rsid w:val="006D0181"/>
    <w:rsid w:val="006D021C"/>
    <w:rsid w:val="006D0239"/>
    <w:rsid w:val="006D0261"/>
    <w:rsid w:val="006D0293"/>
    <w:rsid w:val="006D030E"/>
    <w:rsid w:val="006D031B"/>
    <w:rsid w:val="006D0338"/>
    <w:rsid w:val="006D0384"/>
    <w:rsid w:val="006D03D6"/>
    <w:rsid w:val="006D03DC"/>
    <w:rsid w:val="006D0436"/>
    <w:rsid w:val="006D0459"/>
    <w:rsid w:val="006D04AF"/>
    <w:rsid w:val="006D04E9"/>
    <w:rsid w:val="006D051E"/>
    <w:rsid w:val="006D053C"/>
    <w:rsid w:val="006D0540"/>
    <w:rsid w:val="006D0572"/>
    <w:rsid w:val="006D05EC"/>
    <w:rsid w:val="006D060F"/>
    <w:rsid w:val="006D0676"/>
    <w:rsid w:val="006D067D"/>
    <w:rsid w:val="006D06E8"/>
    <w:rsid w:val="006D0718"/>
    <w:rsid w:val="006D0756"/>
    <w:rsid w:val="006D07D5"/>
    <w:rsid w:val="006D07DB"/>
    <w:rsid w:val="006D07FB"/>
    <w:rsid w:val="006D0807"/>
    <w:rsid w:val="006D086E"/>
    <w:rsid w:val="006D08B2"/>
    <w:rsid w:val="006D08CC"/>
    <w:rsid w:val="006D08FD"/>
    <w:rsid w:val="006D0952"/>
    <w:rsid w:val="006D09FC"/>
    <w:rsid w:val="006D0A35"/>
    <w:rsid w:val="006D0AEA"/>
    <w:rsid w:val="006D0AFA"/>
    <w:rsid w:val="006D0B0C"/>
    <w:rsid w:val="006D0B2D"/>
    <w:rsid w:val="006D0B5D"/>
    <w:rsid w:val="006D0B91"/>
    <w:rsid w:val="006D0C26"/>
    <w:rsid w:val="006D0C61"/>
    <w:rsid w:val="006D0CD7"/>
    <w:rsid w:val="006D0D2F"/>
    <w:rsid w:val="006D0D6A"/>
    <w:rsid w:val="006D0D71"/>
    <w:rsid w:val="006D0D74"/>
    <w:rsid w:val="006D0D7A"/>
    <w:rsid w:val="006D0DD1"/>
    <w:rsid w:val="006D0E2C"/>
    <w:rsid w:val="006D0E40"/>
    <w:rsid w:val="006D0E7B"/>
    <w:rsid w:val="006D0E93"/>
    <w:rsid w:val="006D0F47"/>
    <w:rsid w:val="006D0F7E"/>
    <w:rsid w:val="006D0FD4"/>
    <w:rsid w:val="006D1038"/>
    <w:rsid w:val="006D108C"/>
    <w:rsid w:val="006D10A8"/>
    <w:rsid w:val="006D11C7"/>
    <w:rsid w:val="006D11E5"/>
    <w:rsid w:val="006D11EC"/>
    <w:rsid w:val="006D1282"/>
    <w:rsid w:val="006D1323"/>
    <w:rsid w:val="006D1430"/>
    <w:rsid w:val="006D1475"/>
    <w:rsid w:val="006D1492"/>
    <w:rsid w:val="006D14BB"/>
    <w:rsid w:val="006D14C8"/>
    <w:rsid w:val="006D1572"/>
    <w:rsid w:val="006D157E"/>
    <w:rsid w:val="006D15A0"/>
    <w:rsid w:val="006D1614"/>
    <w:rsid w:val="006D16F1"/>
    <w:rsid w:val="006D1716"/>
    <w:rsid w:val="006D171E"/>
    <w:rsid w:val="006D176B"/>
    <w:rsid w:val="006D1858"/>
    <w:rsid w:val="006D1896"/>
    <w:rsid w:val="006D1951"/>
    <w:rsid w:val="006D195D"/>
    <w:rsid w:val="006D199E"/>
    <w:rsid w:val="006D19C0"/>
    <w:rsid w:val="006D19D4"/>
    <w:rsid w:val="006D1A0A"/>
    <w:rsid w:val="006D1A4E"/>
    <w:rsid w:val="006D1B0D"/>
    <w:rsid w:val="006D1B2C"/>
    <w:rsid w:val="006D1B34"/>
    <w:rsid w:val="006D1B47"/>
    <w:rsid w:val="006D1B5E"/>
    <w:rsid w:val="006D1BA4"/>
    <w:rsid w:val="006D1BB1"/>
    <w:rsid w:val="006D1BD7"/>
    <w:rsid w:val="006D1C2C"/>
    <w:rsid w:val="006D1C4A"/>
    <w:rsid w:val="006D1C79"/>
    <w:rsid w:val="006D1D70"/>
    <w:rsid w:val="006D1D81"/>
    <w:rsid w:val="006D1DC5"/>
    <w:rsid w:val="006D1DDC"/>
    <w:rsid w:val="006D1E7F"/>
    <w:rsid w:val="006D1EB8"/>
    <w:rsid w:val="006D1EE1"/>
    <w:rsid w:val="006D1F30"/>
    <w:rsid w:val="006D1F52"/>
    <w:rsid w:val="006D201E"/>
    <w:rsid w:val="006D2020"/>
    <w:rsid w:val="006D202C"/>
    <w:rsid w:val="006D203C"/>
    <w:rsid w:val="006D2181"/>
    <w:rsid w:val="006D218E"/>
    <w:rsid w:val="006D2193"/>
    <w:rsid w:val="006D219B"/>
    <w:rsid w:val="006D21C3"/>
    <w:rsid w:val="006D21E1"/>
    <w:rsid w:val="006D2233"/>
    <w:rsid w:val="006D2276"/>
    <w:rsid w:val="006D22E9"/>
    <w:rsid w:val="006D231A"/>
    <w:rsid w:val="006D2375"/>
    <w:rsid w:val="006D23C5"/>
    <w:rsid w:val="006D2404"/>
    <w:rsid w:val="006D243E"/>
    <w:rsid w:val="006D2478"/>
    <w:rsid w:val="006D24AC"/>
    <w:rsid w:val="006D24D1"/>
    <w:rsid w:val="006D259B"/>
    <w:rsid w:val="006D264C"/>
    <w:rsid w:val="006D266D"/>
    <w:rsid w:val="006D26BD"/>
    <w:rsid w:val="006D2780"/>
    <w:rsid w:val="006D27A8"/>
    <w:rsid w:val="006D27C5"/>
    <w:rsid w:val="006D2822"/>
    <w:rsid w:val="006D283F"/>
    <w:rsid w:val="006D2872"/>
    <w:rsid w:val="006D2894"/>
    <w:rsid w:val="006D28A1"/>
    <w:rsid w:val="006D28C4"/>
    <w:rsid w:val="006D297E"/>
    <w:rsid w:val="006D298E"/>
    <w:rsid w:val="006D2A0E"/>
    <w:rsid w:val="006D2A66"/>
    <w:rsid w:val="006D2A6C"/>
    <w:rsid w:val="006D2A84"/>
    <w:rsid w:val="006D2AD7"/>
    <w:rsid w:val="006D2AFB"/>
    <w:rsid w:val="006D2B86"/>
    <w:rsid w:val="006D2C28"/>
    <w:rsid w:val="006D2C31"/>
    <w:rsid w:val="006D2C86"/>
    <w:rsid w:val="006D2CCF"/>
    <w:rsid w:val="006D2CD2"/>
    <w:rsid w:val="006D2DBD"/>
    <w:rsid w:val="006D2DD7"/>
    <w:rsid w:val="006D2DF2"/>
    <w:rsid w:val="006D2DF8"/>
    <w:rsid w:val="006D2DFE"/>
    <w:rsid w:val="006D2E06"/>
    <w:rsid w:val="006D2E0E"/>
    <w:rsid w:val="006D2F41"/>
    <w:rsid w:val="006D2F7E"/>
    <w:rsid w:val="006D2F93"/>
    <w:rsid w:val="006D2FB6"/>
    <w:rsid w:val="006D2FD5"/>
    <w:rsid w:val="006D2FDD"/>
    <w:rsid w:val="006D303B"/>
    <w:rsid w:val="006D303F"/>
    <w:rsid w:val="006D3079"/>
    <w:rsid w:val="006D30A8"/>
    <w:rsid w:val="006D30D1"/>
    <w:rsid w:val="006D312B"/>
    <w:rsid w:val="006D313E"/>
    <w:rsid w:val="006D314E"/>
    <w:rsid w:val="006D317C"/>
    <w:rsid w:val="006D31FD"/>
    <w:rsid w:val="006D3227"/>
    <w:rsid w:val="006D32AF"/>
    <w:rsid w:val="006D3300"/>
    <w:rsid w:val="006D333A"/>
    <w:rsid w:val="006D3380"/>
    <w:rsid w:val="006D339A"/>
    <w:rsid w:val="006D3493"/>
    <w:rsid w:val="006D34EF"/>
    <w:rsid w:val="006D3522"/>
    <w:rsid w:val="006D352C"/>
    <w:rsid w:val="006D3617"/>
    <w:rsid w:val="006D3660"/>
    <w:rsid w:val="006D36B0"/>
    <w:rsid w:val="006D36DE"/>
    <w:rsid w:val="006D36FB"/>
    <w:rsid w:val="006D37D1"/>
    <w:rsid w:val="006D37F3"/>
    <w:rsid w:val="006D37F8"/>
    <w:rsid w:val="006D38C6"/>
    <w:rsid w:val="006D3974"/>
    <w:rsid w:val="006D399E"/>
    <w:rsid w:val="006D39AC"/>
    <w:rsid w:val="006D39BE"/>
    <w:rsid w:val="006D39CD"/>
    <w:rsid w:val="006D3A16"/>
    <w:rsid w:val="006D3A26"/>
    <w:rsid w:val="006D3A2C"/>
    <w:rsid w:val="006D3A74"/>
    <w:rsid w:val="006D3A8D"/>
    <w:rsid w:val="006D3AAD"/>
    <w:rsid w:val="006D3AB7"/>
    <w:rsid w:val="006D3ACB"/>
    <w:rsid w:val="006D3ACF"/>
    <w:rsid w:val="006D3AE3"/>
    <w:rsid w:val="006D3B0A"/>
    <w:rsid w:val="006D3B30"/>
    <w:rsid w:val="006D3B5C"/>
    <w:rsid w:val="006D3B5D"/>
    <w:rsid w:val="006D3B6D"/>
    <w:rsid w:val="006D3B7A"/>
    <w:rsid w:val="006D3B8C"/>
    <w:rsid w:val="006D3C6C"/>
    <w:rsid w:val="006D3C9F"/>
    <w:rsid w:val="006D3D33"/>
    <w:rsid w:val="006D3D3B"/>
    <w:rsid w:val="006D3D47"/>
    <w:rsid w:val="006D3D8A"/>
    <w:rsid w:val="006D3D8E"/>
    <w:rsid w:val="006D3E1D"/>
    <w:rsid w:val="006D3E3C"/>
    <w:rsid w:val="006D3E83"/>
    <w:rsid w:val="006D3E89"/>
    <w:rsid w:val="006D3F0C"/>
    <w:rsid w:val="006D3FF3"/>
    <w:rsid w:val="006D4026"/>
    <w:rsid w:val="006D412A"/>
    <w:rsid w:val="006D4141"/>
    <w:rsid w:val="006D4246"/>
    <w:rsid w:val="006D424D"/>
    <w:rsid w:val="006D4256"/>
    <w:rsid w:val="006D42E5"/>
    <w:rsid w:val="006D42F5"/>
    <w:rsid w:val="006D4348"/>
    <w:rsid w:val="006D434C"/>
    <w:rsid w:val="006D4471"/>
    <w:rsid w:val="006D449A"/>
    <w:rsid w:val="006D4529"/>
    <w:rsid w:val="006D45C2"/>
    <w:rsid w:val="006D4607"/>
    <w:rsid w:val="006D4623"/>
    <w:rsid w:val="006D4652"/>
    <w:rsid w:val="006D466D"/>
    <w:rsid w:val="006D4689"/>
    <w:rsid w:val="006D46A0"/>
    <w:rsid w:val="006D46B2"/>
    <w:rsid w:val="006D46D6"/>
    <w:rsid w:val="006D46E5"/>
    <w:rsid w:val="006D46EE"/>
    <w:rsid w:val="006D4717"/>
    <w:rsid w:val="006D477E"/>
    <w:rsid w:val="006D484B"/>
    <w:rsid w:val="006D4863"/>
    <w:rsid w:val="006D48A3"/>
    <w:rsid w:val="006D496B"/>
    <w:rsid w:val="006D4994"/>
    <w:rsid w:val="006D49A5"/>
    <w:rsid w:val="006D49AA"/>
    <w:rsid w:val="006D49D0"/>
    <w:rsid w:val="006D49E6"/>
    <w:rsid w:val="006D4A44"/>
    <w:rsid w:val="006D4A5E"/>
    <w:rsid w:val="006D4A72"/>
    <w:rsid w:val="006D4A73"/>
    <w:rsid w:val="006D4AC4"/>
    <w:rsid w:val="006D4B26"/>
    <w:rsid w:val="006D4BE4"/>
    <w:rsid w:val="006D4BFD"/>
    <w:rsid w:val="006D4BFE"/>
    <w:rsid w:val="006D4C47"/>
    <w:rsid w:val="006D4C9B"/>
    <w:rsid w:val="006D4D1D"/>
    <w:rsid w:val="006D4D32"/>
    <w:rsid w:val="006D4DB6"/>
    <w:rsid w:val="006D4DB7"/>
    <w:rsid w:val="006D4DD4"/>
    <w:rsid w:val="006D4DE9"/>
    <w:rsid w:val="006D4DF1"/>
    <w:rsid w:val="006D4EC2"/>
    <w:rsid w:val="006D4EFB"/>
    <w:rsid w:val="006D4F00"/>
    <w:rsid w:val="006D4F17"/>
    <w:rsid w:val="006D4FD0"/>
    <w:rsid w:val="006D4FFE"/>
    <w:rsid w:val="006D509E"/>
    <w:rsid w:val="006D50A4"/>
    <w:rsid w:val="006D50C4"/>
    <w:rsid w:val="006D50D1"/>
    <w:rsid w:val="006D50DD"/>
    <w:rsid w:val="006D5135"/>
    <w:rsid w:val="006D51C7"/>
    <w:rsid w:val="006D520F"/>
    <w:rsid w:val="006D5225"/>
    <w:rsid w:val="006D52EC"/>
    <w:rsid w:val="006D538E"/>
    <w:rsid w:val="006D53E4"/>
    <w:rsid w:val="006D5406"/>
    <w:rsid w:val="006D541A"/>
    <w:rsid w:val="006D5449"/>
    <w:rsid w:val="006D54AB"/>
    <w:rsid w:val="006D54FD"/>
    <w:rsid w:val="006D551A"/>
    <w:rsid w:val="006D552B"/>
    <w:rsid w:val="006D5533"/>
    <w:rsid w:val="006D556E"/>
    <w:rsid w:val="006D55B3"/>
    <w:rsid w:val="006D55B4"/>
    <w:rsid w:val="006D5631"/>
    <w:rsid w:val="006D56B3"/>
    <w:rsid w:val="006D5709"/>
    <w:rsid w:val="006D5742"/>
    <w:rsid w:val="006D577C"/>
    <w:rsid w:val="006D578A"/>
    <w:rsid w:val="006D57A4"/>
    <w:rsid w:val="006D57D1"/>
    <w:rsid w:val="006D58B8"/>
    <w:rsid w:val="006D58C7"/>
    <w:rsid w:val="006D58D4"/>
    <w:rsid w:val="006D596F"/>
    <w:rsid w:val="006D597D"/>
    <w:rsid w:val="006D59A9"/>
    <w:rsid w:val="006D5A50"/>
    <w:rsid w:val="006D5A6C"/>
    <w:rsid w:val="006D5A74"/>
    <w:rsid w:val="006D5AE0"/>
    <w:rsid w:val="006D5B4D"/>
    <w:rsid w:val="006D5B57"/>
    <w:rsid w:val="006D5B60"/>
    <w:rsid w:val="006D5BEE"/>
    <w:rsid w:val="006D5C13"/>
    <w:rsid w:val="006D5C1A"/>
    <w:rsid w:val="006D5C28"/>
    <w:rsid w:val="006D5CC5"/>
    <w:rsid w:val="006D5CCC"/>
    <w:rsid w:val="006D5CEB"/>
    <w:rsid w:val="006D5D3E"/>
    <w:rsid w:val="006D5D4B"/>
    <w:rsid w:val="006D5D82"/>
    <w:rsid w:val="006D5D87"/>
    <w:rsid w:val="006D5DBF"/>
    <w:rsid w:val="006D5E1B"/>
    <w:rsid w:val="006D5E6C"/>
    <w:rsid w:val="006D5E97"/>
    <w:rsid w:val="006D5EA6"/>
    <w:rsid w:val="006D5F24"/>
    <w:rsid w:val="006D5FBF"/>
    <w:rsid w:val="006D6024"/>
    <w:rsid w:val="006D6068"/>
    <w:rsid w:val="006D6075"/>
    <w:rsid w:val="006D60A3"/>
    <w:rsid w:val="006D60C9"/>
    <w:rsid w:val="006D60D7"/>
    <w:rsid w:val="006D60F9"/>
    <w:rsid w:val="006D60FF"/>
    <w:rsid w:val="006D6114"/>
    <w:rsid w:val="006D615B"/>
    <w:rsid w:val="006D616A"/>
    <w:rsid w:val="006D6178"/>
    <w:rsid w:val="006D6189"/>
    <w:rsid w:val="006D61C3"/>
    <w:rsid w:val="006D6256"/>
    <w:rsid w:val="006D62BD"/>
    <w:rsid w:val="006D6310"/>
    <w:rsid w:val="006D6364"/>
    <w:rsid w:val="006D63BF"/>
    <w:rsid w:val="006D63FB"/>
    <w:rsid w:val="006D6411"/>
    <w:rsid w:val="006D6445"/>
    <w:rsid w:val="006D65A1"/>
    <w:rsid w:val="006D65CC"/>
    <w:rsid w:val="006D65D1"/>
    <w:rsid w:val="006D65D5"/>
    <w:rsid w:val="006D65DE"/>
    <w:rsid w:val="006D669C"/>
    <w:rsid w:val="006D66BD"/>
    <w:rsid w:val="006D6757"/>
    <w:rsid w:val="006D6772"/>
    <w:rsid w:val="006D6796"/>
    <w:rsid w:val="006D67AE"/>
    <w:rsid w:val="006D67D2"/>
    <w:rsid w:val="006D6928"/>
    <w:rsid w:val="006D694F"/>
    <w:rsid w:val="006D6950"/>
    <w:rsid w:val="006D6A07"/>
    <w:rsid w:val="006D6A60"/>
    <w:rsid w:val="006D6A83"/>
    <w:rsid w:val="006D6B86"/>
    <w:rsid w:val="006D6DBE"/>
    <w:rsid w:val="006D6DDF"/>
    <w:rsid w:val="006D6E15"/>
    <w:rsid w:val="006D6E2C"/>
    <w:rsid w:val="006D6F57"/>
    <w:rsid w:val="006D6F9F"/>
    <w:rsid w:val="006D6FB1"/>
    <w:rsid w:val="006D7005"/>
    <w:rsid w:val="006D7080"/>
    <w:rsid w:val="006D7090"/>
    <w:rsid w:val="006D70B2"/>
    <w:rsid w:val="006D70D1"/>
    <w:rsid w:val="006D7140"/>
    <w:rsid w:val="006D7178"/>
    <w:rsid w:val="006D718F"/>
    <w:rsid w:val="006D71D0"/>
    <w:rsid w:val="006D71EA"/>
    <w:rsid w:val="006D7224"/>
    <w:rsid w:val="006D723D"/>
    <w:rsid w:val="006D727A"/>
    <w:rsid w:val="006D7290"/>
    <w:rsid w:val="006D72B5"/>
    <w:rsid w:val="006D7310"/>
    <w:rsid w:val="006D7349"/>
    <w:rsid w:val="006D7372"/>
    <w:rsid w:val="006D73CE"/>
    <w:rsid w:val="006D73E8"/>
    <w:rsid w:val="006D746B"/>
    <w:rsid w:val="006D7474"/>
    <w:rsid w:val="006D748C"/>
    <w:rsid w:val="006D74DF"/>
    <w:rsid w:val="006D74F0"/>
    <w:rsid w:val="006D7514"/>
    <w:rsid w:val="006D7519"/>
    <w:rsid w:val="006D7613"/>
    <w:rsid w:val="006D7620"/>
    <w:rsid w:val="006D762E"/>
    <w:rsid w:val="006D7648"/>
    <w:rsid w:val="006D7658"/>
    <w:rsid w:val="006D765A"/>
    <w:rsid w:val="006D7695"/>
    <w:rsid w:val="006D76AB"/>
    <w:rsid w:val="006D76BE"/>
    <w:rsid w:val="006D76D0"/>
    <w:rsid w:val="006D76E9"/>
    <w:rsid w:val="006D771F"/>
    <w:rsid w:val="006D7778"/>
    <w:rsid w:val="006D781B"/>
    <w:rsid w:val="006D7822"/>
    <w:rsid w:val="006D7870"/>
    <w:rsid w:val="006D78B0"/>
    <w:rsid w:val="006D78E3"/>
    <w:rsid w:val="006D7956"/>
    <w:rsid w:val="006D7970"/>
    <w:rsid w:val="006D799E"/>
    <w:rsid w:val="006D79A6"/>
    <w:rsid w:val="006D7A03"/>
    <w:rsid w:val="006D7A4B"/>
    <w:rsid w:val="006D7ABC"/>
    <w:rsid w:val="006D7AD7"/>
    <w:rsid w:val="006D7AFD"/>
    <w:rsid w:val="006D7B55"/>
    <w:rsid w:val="006D7BFC"/>
    <w:rsid w:val="006D7C85"/>
    <w:rsid w:val="006D7C92"/>
    <w:rsid w:val="006D7CBC"/>
    <w:rsid w:val="006D7D33"/>
    <w:rsid w:val="006D7D97"/>
    <w:rsid w:val="006D7E61"/>
    <w:rsid w:val="006D7EE4"/>
    <w:rsid w:val="006D7F0C"/>
    <w:rsid w:val="006D7F38"/>
    <w:rsid w:val="006D7F39"/>
    <w:rsid w:val="006D7F3B"/>
    <w:rsid w:val="006D7F97"/>
    <w:rsid w:val="006D7FC8"/>
    <w:rsid w:val="006D7FED"/>
    <w:rsid w:val="006E0005"/>
    <w:rsid w:val="006E0038"/>
    <w:rsid w:val="006E0048"/>
    <w:rsid w:val="006E0054"/>
    <w:rsid w:val="006E00BF"/>
    <w:rsid w:val="006E010A"/>
    <w:rsid w:val="006E02BB"/>
    <w:rsid w:val="006E02D2"/>
    <w:rsid w:val="006E031F"/>
    <w:rsid w:val="006E0345"/>
    <w:rsid w:val="006E0383"/>
    <w:rsid w:val="006E03CA"/>
    <w:rsid w:val="006E0459"/>
    <w:rsid w:val="006E0469"/>
    <w:rsid w:val="006E04EA"/>
    <w:rsid w:val="006E04F5"/>
    <w:rsid w:val="006E04F9"/>
    <w:rsid w:val="006E04FD"/>
    <w:rsid w:val="006E0535"/>
    <w:rsid w:val="006E0557"/>
    <w:rsid w:val="006E0597"/>
    <w:rsid w:val="006E05C3"/>
    <w:rsid w:val="006E0622"/>
    <w:rsid w:val="006E062B"/>
    <w:rsid w:val="006E06EB"/>
    <w:rsid w:val="006E073F"/>
    <w:rsid w:val="006E0778"/>
    <w:rsid w:val="006E0786"/>
    <w:rsid w:val="006E07A7"/>
    <w:rsid w:val="006E0816"/>
    <w:rsid w:val="006E083C"/>
    <w:rsid w:val="006E083F"/>
    <w:rsid w:val="006E084C"/>
    <w:rsid w:val="006E0852"/>
    <w:rsid w:val="006E086E"/>
    <w:rsid w:val="006E0904"/>
    <w:rsid w:val="006E0A24"/>
    <w:rsid w:val="006E0B28"/>
    <w:rsid w:val="006E0C52"/>
    <w:rsid w:val="006E0C62"/>
    <w:rsid w:val="006E0CC0"/>
    <w:rsid w:val="006E0D10"/>
    <w:rsid w:val="006E0D18"/>
    <w:rsid w:val="006E0D35"/>
    <w:rsid w:val="006E0D87"/>
    <w:rsid w:val="006E0DBE"/>
    <w:rsid w:val="006E0E14"/>
    <w:rsid w:val="006E0E28"/>
    <w:rsid w:val="006E0E8A"/>
    <w:rsid w:val="006E0EA2"/>
    <w:rsid w:val="006E0F1C"/>
    <w:rsid w:val="006E0F37"/>
    <w:rsid w:val="006E0F46"/>
    <w:rsid w:val="006E1065"/>
    <w:rsid w:val="006E1165"/>
    <w:rsid w:val="006E1171"/>
    <w:rsid w:val="006E1191"/>
    <w:rsid w:val="006E11CC"/>
    <w:rsid w:val="006E1216"/>
    <w:rsid w:val="006E122F"/>
    <w:rsid w:val="006E1252"/>
    <w:rsid w:val="006E1292"/>
    <w:rsid w:val="006E12BA"/>
    <w:rsid w:val="006E1361"/>
    <w:rsid w:val="006E136C"/>
    <w:rsid w:val="006E1476"/>
    <w:rsid w:val="006E14AC"/>
    <w:rsid w:val="006E15A1"/>
    <w:rsid w:val="006E15BC"/>
    <w:rsid w:val="006E15E9"/>
    <w:rsid w:val="006E1647"/>
    <w:rsid w:val="006E166E"/>
    <w:rsid w:val="006E1678"/>
    <w:rsid w:val="006E1690"/>
    <w:rsid w:val="006E1694"/>
    <w:rsid w:val="006E16BA"/>
    <w:rsid w:val="006E16DF"/>
    <w:rsid w:val="006E170E"/>
    <w:rsid w:val="006E1714"/>
    <w:rsid w:val="006E17DD"/>
    <w:rsid w:val="006E184E"/>
    <w:rsid w:val="006E1886"/>
    <w:rsid w:val="006E18B7"/>
    <w:rsid w:val="006E18E6"/>
    <w:rsid w:val="006E1934"/>
    <w:rsid w:val="006E1938"/>
    <w:rsid w:val="006E1977"/>
    <w:rsid w:val="006E1984"/>
    <w:rsid w:val="006E198B"/>
    <w:rsid w:val="006E19AE"/>
    <w:rsid w:val="006E19BC"/>
    <w:rsid w:val="006E1A81"/>
    <w:rsid w:val="006E1AC8"/>
    <w:rsid w:val="006E1AE6"/>
    <w:rsid w:val="006E1AF4"/>
    <w:rsid w:val="006E1B3F"/>
    <w:rsid w:val="006E1B4D"/>
    <w:rsid w:val="006E1BC6"/>
    <w:rsid w:val="006E1BD6"/>
    <w:rsid w:val="006E1C14"/>
    <w:rsid w:val="006E1D00"/>
    <w:rsid w:val="006E1D88"/>
    <w:rsid w:val="006E1DE2"/>
    <w:rsid w:val="006E1E42"/>
    <w:rsid w:val="006E1E79"/>
    <w:rsid w:val="006E1EC1"/>
    <w:rsid w:val="006E1F09"/>
    <w:rsid w:val="006E1F56"/>
    <w:rsid w:val="006E1FEC"/>
    <w:rsid w:val="006E1FFB"/>
    <w:rsid w:val="006E2066"/>
    <w:rsid w:val="006E208E"/>
    <w:rsid w:val="006E20FD"/>
    <w:rsid w:val="006E2192"/>
    <w:rsid w:val="006E22C1"/>
    <w:rsid w:val="006E22DC"/>
    <w:rsid w:val="006E22F0"/>
    <w:rsid w:val="006E2334"/>
    <w:rsid w:val="006E2347"/>
    <w:rsid w:val="006E2375"/>
    <w:rsid w:val="006E23EB"/>
    <w:rsid w:val="006E240D"/>
    <w:rsid w:val="006E246E"/>
    <w:rsid w:val="006E24A7"/>
    <w:rsid w:val="006E2549"/>
    <w:rsid w:val="006E259A"/>
    <w:rsid w:val="006E25C1"/>
    <w:rsid w:val="006E266F"/>
    <w:rsid w:val="006E268E"/>
    <w:rsid w:val="006E2696"/>
    <w:rsid w:val="006E27A5"/>
    <w:rsid w:val="006E27AF"/>
    <w:rsid w:val="006E27D7"/>
    <w:rsid w:val="006E289C"/>
    <w:rsid w:val="006E2A12"/>
    <w:rsid w:val="006E2A8E"/>
    <w:rsid w:val="006E2B83"/>
    <w:rsid w:val="006E2BBD"/>
    <w:rsid w:val="006E2BD4"/>
    <w:rsid w:val="006E2C0F"/>
    <w:rsid w:val="006E2C2A"/>
    <w:rsid w:val="006E2C53"/>
    <w:rsid w:val="006E2CC0"/>
    <w:rsid w:val="006E2CC6"/>
    <w:rsid w:val="006E2D15"/>
    <w:rsid w:val="006E2D2A"/>
    <w:rsid w:val="006E2D6A"/>
    <w:rsid w:val="006E2D86"/>
    <w:rsid w:val="006E2DAE"/>
    <w:rsid w:val="006E2DC1"/>
    <w:rsid w:val="006E2E00"/>
    <w:rsid w:val="006E2EC5"/>
    <w:rsid w:val="006E2EFC"/>
    <w:rsid w:val="006E2F59"/>
    <w:rsid w:val="006E2F91"/>
    <w:rsid w:val="006E2FA2"/>
    <w:rsid w:val="006E3001"/>
    <w:rsid w:val="006E303C"/>
    <w:rsid w:val="006E306E"/>
    <w:rsid w:val="006E307D"/>
    <w:rsid w:val="006E30CA"/>
    <w:rsid w:val="006E30E6"/>
    <w:rsid w:val="006E30FC"/>
    <w:rsid w:val="006E3100"/>
    <w:rsid w:val="006E311E"/>
    <w:rsid w:val="006E3125"/>
    <w:rsid w:val="006E3134"/>
    <w:rsid w:val="006E319C"/>
    <w:rsid w:val="006E31A8"/>
    <w:rsid w:val="006E31A9"/>
    <w:rsid w:val="006E31C3"/>
    <w:rsid w:val="006E3251"/>
    <w:rsid w:val="006E32A1"/>
    <w:rsid w:val="006E32BD"/>
    <w:rsid w:val="006E32F3"/>
    <w:rsid w:val="006E3360"/>
    <w:rsid w:val="006E33B1"/>
    <w:rsid w:val="006E33BE"/>
    <w:rsid w:val="006E33CA"/>
    <w:rsid w:val="006E33E1"/>
    <w:rsid w:val="006E33F9"/>
    <w:rsid w:val="006E3425"/>
    <w:rsid w:val="006E3428"/>
    <w:rsid w:val="006E3456"/>
    <w:rsid w:val="006E346A"/>
    <w:rsid w:val="006E354C"/>
    <w:rsid w:val="006E35C8"/>
    <w:rsid w:val="006E35FB"/>
    <w:rsid w:val="006E371C"/>
    <w:rsid w:val="006E3749"/>
    <w:rsid w:val="006E37CC"/>
    <w:rsid w:val="006E37EF"/>
    <w:rsid w:val="006E37FA"/>
    <w:rsid w:val="006E37FB"/>
    <w:rsid w:val="006E380C"/>
    <w:rsid w:val="006E3813"/>
    <w:rsid w:val="006E38F3"/>
    <w:rsid w:val="006E3949"/>
    <w:rsid w:val="006E394A"/>
    <w:rsid w:val="006E3982"/>
    <w:rsid w:val="006E39AD"/>
    <w:rsid w:val="006E39BA"/>
    <w:rsid w:val="006E39E4"/>
    <w:rsid w:val="006E3A0D"/>
    <w:rsid w:val="006E3A14"/>
    <w:rsid w:val="006E3A27"/>
    <w:rsid w:val="006E3A43"/>
    <w:rsid w:val="006E3AA8"/>
    <w:rsid w:val="006E3B1A"/>
    <w:rsid w:val="006E3B90"/>
    <w:rsid w:val="006E3BA6"/>
    <w:rsid w:val="006E3CAB"/>
    <w:rsid w:val="006E3CC3"/>
    <w:rsid w:val="006E3CE5"/>
    <w:rsid w:val="006E3D92"/>
    <w:rsid w:val="006E3E67"/>
    <w:rsid w:val="006E3EC8"/>
    <w:rsid w:val="006E3F05"/>
    <w:rsid w:val="006E3FA0"/>
    <w:rsid w:val="006E405F"/>
    <w:rsid w:val="006E408C"/>
    <w:rsid w:val="006E4090"/>
    <w:rsid w:val="006E40EF"/>
    <w:rsid w:val="006E413C"/>
    <w:rsid w:val="006E4157"/>
    <w:rsid w:val="006E4198"/>
    <w:rsid w:val="006E41F3"/>
    <w:rsid w:val="006E426C"/>
    <w:rsid w:val="006E42A8"/>
    <w:rsid w:val="006E42ED"/>
    <w:rsid w:val="006E4300"/>
    <w:rsid w:val="006E4329"/>
    <w:rsid w:val="006E436E"/>
    <w:rsid w:val="006E43E5"/>
    <w:rsid w:val="006E43F5"/>
    <w:rsid w:val="006E4427"/>
    <w:rsid w:val="006E446F"/>
    <w:rsid w:val="006E4475"/>
    <w:rsid w:val="006E44DC"/>
    <w:rsid w:val="006E44ED"/>
    <w:rsid w:val="006E4503"/>
    <w:rsid w:val="006E4544"/>
    <w:rsid w:val="006E4572"/>
    <w:rsid w:val="006E45AF"/>
    <w:rsid w:val="006E45D5"/>
    <w:rsid w:val="006E460C"/>
    <w:rsid w:val="006E4638"/>
    <w:rsid w:val="006E465B"/>
    <w:rsid w:val="006E469B"/>
    <w:rsid w:val="006E46E1"/>
    <w:rsid w:val="006E4713"/>
    <w:rsid w:val="006E478C"/>
    <w:rsid w:val="006E47BE"/>
    <w:rsid w:val="006E47D8"/>
    <w:rsid w:val="006E47EC"/>
    <w:rsid w:val="006E4813"/>
    <w:rsid w:val="006E4822"/>
    <w:rsid w:val="006E482B"/>
    <w:rsid w:val="006E486A"/>
    <w:rsid w:val="006E488A"/>
    <w:rsid w:val="006E4892"/>
    <w:rsid w:val="006E48C4"/>
    <w:rsid w:val="006E493F"/>
    <w:rsid w:val="006E49B8"/>
    <w:rsid w:val="006E49E2"/>
    <w:rsid w:val="006E49E9"/>
    <w:rsid w:val="006E4A01"/>
    <w:rsid w:val="006E4A24"/>
    <w:rsid w:val="006E4AF6"/>
    <w:rsid w:val="006E4AFB"/>
    <w:rsid w:val="006E4B35"/>
    <w:rsid w:val="006E4B72"/>
    <w:rsid w:val="006E4B80"/>
    <w:rsid w:val="006E4BA9"/>
    <w:rsid w:val="006E4BB3"/>
    <w:rsid w:val="006E4BBD"/>
    <w:rsid w:val="006E4C0B"/>
    <w:rsid w:val="006E4C66"/>
    <w:rsid w:val="006E4CAE"/>
    <w:rsid w:val="006E4CE9"/>
    <w:rsid w:val="006E4D67"/>
    <w:rsid w:val="006E4DFE"/>
    <w:rsid w:val="006E4E1A"/>
    <w:rsid w:val="006E4E5E"/>
    <w:rsid w:val="006E4EAB"/>
    <w:rsid w:val="006E4ECB"/>
    <w:rsid w:val="006E4ECF"/>
    <w:rsid w:val="006E4F0A"/>
    <w:rsid w:val="006E4F21"/>
    <w:rsid w:val="006E4F4B"/>
    <w:rsid w:val="006E5086"/>
    <w:rsid w:val="006E5114"/>
    <w:rsid w:val="006E51C7"/>
    <w:rsid w:val="006E51F4"/>
    <w:rsid w:val="006E5260"/>
    <w:rsid w:val="006E5391"/>
    <w:rsid w:val="006E53AB"/>
    <w:rsid w:val="006E53F7"/>
    <w:rsid w:val="006E5465"/>
    <w:rsid w:val="006E54EA"/>
    <w:rsid w:val="006E54F4"/>
    <w:rsid w:val="006E55F1"/>
    <w:rsid w:val="006E5633"/>
    <w:rsid w:val="006E5670"/>
    <w:rsid w:val="006E56C3"/>
    <w:rsid w:val="006E5773"/>
    <w:rsid w:val="006E5786"/>
    <w:rsid w:val="006E5789"/>
    <w:rsid w:val="006E57C4"/>
    <w:rsid w:val="006E5891"/>
    <w:rsid w:val="006E59D5"/>
    <w:rsid w:val="006E59DB"/>
    <w:rsid w:val="006E5A5E"/>
    <w:rsid w:val="006E5B18"/>
    <w:rsid w:val="006E5B9C"/>
    <w:rsid w:val="006E5BD0"/>
    <w:rsid w:val="006E5BD1"/>
    <w:rsid w:val="006E5BF6"/>
    <w:rsid w:val="006E5C42"/>
    <w:rsid w:val="006E5CBE"/>
    <w:rsid w:val="006E5CFD"/>
    <w:rsid w:val="006E5D0B"/>
    <w:rsid w:val="006E5D41"/>
    <w:rsid w:val="006E5DAD"/>
    <w:rsid w:val="006E5DDE"/>
    <w:rsid w:val="006E5DDF"/>
    <w:rsid w:val="006E5E16"/>
    <w:rsid w:val="006E5E80"/>
    <w:rsid w:val="006E5EA3"/>
    <w:rsid w:val="006E5EA7"/>
    <w:rsid w:val="006E5F94"/>
    <w:rsid w:val="006E6069"/>
    <w:rsid w:val="006E6089"/>
    <w:rsid w:val="006E60B1"/>
    <w:rsid w:val="006E60F3"/>
    <w:rsid w:val="006E6101"/>
    <w:rsid w:val="006E6148"/>
    <w:rsid w:val="006E6158"/>
    <w:rsid w:val="006E619A"/>
    <w:rsid w:val="006E61D2"/>
    <w:rsid w:val="006E61F7"/>
    <w:rsid w:val="006E61FF"/>
    <w:rsid w:val="006E6225"/>
    <w:rsid w:val="006E6281"/>
    <w:rsid w:val="006E62B2"/>
    <w:rsid w:val="006E62B6"/>
    <w:rsid w:val="006E62BF"/>
    <w:rsid w:val="006E6344"/>
    <w:rsid w:val="006E635A"/>
    <w:rsid w:val="006E6391"/>
    <w:rsid w:val="006E6393"/>
    <w:rsid w:val="006E6396"/>
    <w:rsid w:val="006E63B3"/>
    <w:rsid w:val="006E63EB"/>
    <w:rsid w:val="006E648F"/>
    <w:rsid w:val="006E64CA"/>
    <w:rsid w:val="006E64D6"/>
    <w:rsid w:val="006E6536"/>
    <w:rsid w:val="006E654A"/>
    <w:rsid w:val="006E659B"/>
    <w:rsid w:val="006E663A"/>
    <w:rsid w:val="006E6666"/>
    <w:rsid w:val="006E66CE"/>
    <w:rsid w:val="006E6753"/>
    <w:rsid w:val="006E67BB"/>
    <w:rsid w:val="006E67C4"/>
    <w:rsid w:val="006E6821"/>
    <w:rsid w:val="006E684D"/>
    <w:rsid w:val="006E689D"/>
    <w:rsid w:val="006E68B9"/>
    <w:rsid w:val="006E695F"/>
    <w:rsid w:val="006E69D4"/>
    <w:rsid w:val="006E6A21"/>
    <w:rsid w:val="006E6A46"/>
    <w:rsid w:val="006E6A7D"/>
    <w:rsid w:val="006E6AD9"/>
    <w:rsid w:val="006E6AF4"/>
    <w:rsid w:val="006E6BA9"/>
    <w:rsid w:val="006E6BAB"/>
    <w:rsid w:val="006E6C64"/>
    <w:rsid w:val="006E6CD8"/>
    <w:rsid w:val="006E6CF0"/>
    <w:rsid w:val="006E6CF9"/>
    <w:rsid w:val="006E6D8A"/>
    <w:rsid w:val="006E6E04"/>
    <w:rsid w:val="006E6E33"/>
    <w:rsid w:val="006E6E57"/>
    <w:rsid w:val="006E6E92"/>
    <w:rsid w:val="006E6F14"/>
    <w:rsid w:val="006E6F3A"/>
    <w:rsid w:val="006E6F41"/>
    <w:rsid w:val="006E6F63"/>
    <w:rsid w:val="006E6FA9"/>
    <w:rsid w:val="006E6FE1"/>
    <w:rsid w:val="006E6FFA"/>
    <w:rsid w:val="006E7034"/>
    <w:rsid w:val="006E7050"/>
    <w:rsid w:val="006E7069"/>
    <w:rsid w:val="006E708D"/>
    <w:rsid w:val="006E708F"/>
    <w:rsid w:val="006E70E8"/>
    <w:rsid w:val="006E70EE"/>
    <w:rsid w:val="006E7105"/>
    <w:rsid w:val="006E71B8"/>
    <w:rsid w:val="006E71D0"/>
    <w:rsid w:val="006E71FD"/>
    <w:rsid w:val="006E71FE"/>
    <w:rsid w:val="006E71FF"/>
    <w:rsid w:val="006E7231"/>
    <w:rsid w:val="006E7266"/>
    <w:rsid w:val="006E730F"/>
    <w:rsid w:val="006E735A"/>
    <w:rsid w:val="006E737E"/>
    <w:rsid w:val="006E7449"/>
    <w:rsid w:val="006E7460"/>
    <w:rsid w:val="006E7461"/>
    <w:rsid w:val="006E7469"/>
    <w:rsid w:val="006E7491"/>
    <w:rsid w:val="006E749B"/>
    <w:rsid w:val="006E74AC"/>
    <w:rsid w:val="006E74CB"/>
    <w:rsid w:val="006E74F1"/>
    <w:rsid w:val="006E74F5"/>
    <w:rsid w:val="006E757B"/>
    <w:rsid w:val="006E760A"/>
    <w:rsid w:val="006E761F"/>
    <w:rsid w:val="006E7646"/>
    <w:rsid w:val="006E7652"/>
    <w:rsid w:val="006E767B"/>
    <w:rsid w:val="006E7725"/>
    <w:rsid w:val="006E777B"/>
    <w:rsid w:val="006E7802"/>
    <w:rsid w:val="006E7830"/>
    <w:rsid w:val="006E784C"/>
    <w:rsid w:val="006E7896"/>
    <w:rsid w:val="006E789B"/>
    <w:rsid w:val="006E78CE"/>
    <w:rsid w:val="006E7947"/>
    <w:rsid w:val="006E7958"/>
    <w:rsid w:val="006E7A0C"/>
    <w:rsid w:val="006E7A27"/>
    <w:rsid w:val="006E7A28"/>
    <w:rsid w:val="006E7A30"/>
    <w:rsid w:val="006E7AE0"/>
    <w:rsid w:val="006E7B02"/>
    <w:rsid w:val="006E7B50"/>
    <w:rsid w:val="006E7B5D"/>
    <w:rsid w:val="006E7C05"/>
    <w:rsid w:val="006E7C17"/>
    <w:rsid w:val="006E7C4C"/>
    <w:rsid w:val="006E7C54"/>
    <w:rsid w:val="006E7C6D"/>
    <w:rsid w:val="006E7C9A"/>
    <w:rsid w:val="006E7D22"/>
    <w:rsid w:val="006E7D5B"/>
    <w:rsid w:val="006E7E15"/>
    <w:rsid w:val="006E7E29"/>
    <w:rsid w:val="006E7E98"/>
    <w:rsid w:val="006E7EF9"/>
    <w:rsid w:val="006E7F24"/>
    <w:rsid w:val="006E7F78"/>
    <w:rsid w:val="006E7F83"/>
    <w:rsid w:val="006E7FFC"/>
    <w:rsid w:val="006F002F"/>
    <w:rsid w:val="006F003F"/>
    <w:rsid w:val="006F0041"/>
    <w:rsid w:val="006F0064"/>
    <w:rsid w:val="006F00EA"/>
    <w:rsid w:val="006F0104"/>
    <w:rsid w:val="006F0157"/>
    <w:rsid w:val="006F018B"/>
    <w:rsid w:val="006F01A6"/>
    <w:rsid w:val="006F01D8"/>
    <w:rsid w:val="006F0279"/>
    <w:rsid w:val="006F0285"/>
    <w:rsid w:val="006F0301"/>
    <w:rsid w:val="006F0358"/>
    <w:rsid w:val="006F0368"/>
    <w:rsid w:val="006F039F"/>
    <w:rsid w:val="006F03AF"/>
    <w:rsid w:val="006F03C8"/>
    <w:rsid w:val="006F03CD"/>
    <w:rsid w:val="006F0411"/>
    <w:rsid w:val="006F0446"/>
    <w:rsid w:val="006F04AD"/>
    <w:rsid w:val="006F0519"/>
    <w:rsid w:val="006F0524"/>
    <w:rsid w:val="006F05D1"/>
    <w:rsid w:val="006F05FF"/>
    <w:rsid w:val="006F0609"/>
    <w:rsid w:val="006F0638"/>
    <w:rsid w:val="006F066B"/>
    <w:rsid w:val="006F06C0"/>
    <w:rsid w:val="006F06F9"/>
    <w:rsid w:val="006F0713"/>
    <w:rsid w:val="006F0755"/>
    <w:rsid w:val="006F07C0"/>
    <w:rsid w:val="006F0825"/>
    <w:rsid w:val="006F085E"/>
    <w:rsid w:val="006F0867"/>
    <w:rsid w:val="006F0873"/>
    <w:rsid w:val="006F0896"/>
    <w:rsid w:val="006F0960"/>
    <w:rsid w:val="006F0985"/>
    <w:rsid w:val="006F09B2"/>
    <w:rsid w:val="006F09E9"/>
    <w:rsid w:val="006F0A08"/>
    <w:rsid w:val="006F0A1E"/>
    <w:rsid w:val="006F0A53"/>
    <w:rsid w:val="006F0A5D"/>
    <w:rsid w:val="006F0A6A"/>
    <w:rsid w:val="006F0A7A"/>
    <w:rsid w:val="006F0A97"/>
    <w:rsid w:val="006F0ACA"/>
    <w:rsid w:val="006F0BA2"/>
    <w:rsid w:val="006F0BBB"/>
    <w:rsid w:val="006F0C2D"/>
    <w:rsid w:val="006F0C7B"/>
    <w:rsid w:val="006F0CE9"/>
    <w:rsid w:val="006F0DE2"/>
    <w:rsid w:val="006F0DEB"/>
    <w:rsid w:val="006F0DEE"/>
    <w:rsid w:val="006F0DF7"/>
    <w:rsid w:val="006F0E37"/>
    <w:rsid w:val="006F0E5F"/>
    <w:rsid w:val="006F0E71"/>
    <w:rsid w:val="006F0ED6"/>
    <w:rsid w:val="006F0F2D"/>
    <w:rsid w:val="006F0F35"/>
    <w:rsid w:val="006F0FA9"/>
    <w:rsid w:val="006F1068"/>
    <w:rsid w:val="006F109B"/>
    <w:rsid w:val="006F1117"/>
    <w:rsid w:val="006F1193"/>
    <w:rsid w:val="006F11E0"/>
    <w:rsid w:val="006F11F0"/>
    <w:rsid w:val="006F11F1"/>
    <w:rsid w:val="006F1225"/>
    <w:rsid w:val="006F123D"/>
    <w:rsid w:val="006F1247"/>
    <w:rsid w:val="006F1268"/>
    <w:rsid w:val="006F12F6"/>
    <w:rsid w:val="006F1354"/>
    <w:rsid w:val="006F1376"/>
    <w:rsid w:val="006F1406"/>
    <w:rsid w:val="006F1458"/>
    <w:rsid w:val="006F146A"/>
    <w:rsid w:val="006F1483"/>
    <w:rsid w:val="006F14E0"/>
    <w:rsid w:val="006F14E1"/>
    <w:rsid w:val="006F1530"/>
    <w:rsid w:val="006F157E"/>
    <w:rsid w:val="006F1629"/>
    <w:rsid w:val="006F1701"/>
    <w:rsid w:val="006F1728"/>
    <w:rsid w:val="006F173D"/>
    <w:rsid w:val="006F1750"/>
    <w:rsid w:val="006F1763"/>
    <w:rsid w:val="006F17CE"/>
    <w:rsid w:val="006F17DF"/>
    <w:rsid w:val="006F192D"/>
    <w:rsid w:val="006F195D"/>
    <w:rsid w:val="006F196C"/>
    <w:rsid w:val="006F19A4"/>
    <w:rsid w:val="006F19CF"/>
    <w:rsid w:val="006F19EC"/>
    <w:rsid w:val="006F1B93"/>
    <w:rsid w:val="006F1BC7"/>
    <w:rsid w:val="006F1BEE"/>
    <w:rsid w:val="006F1D0D"/>
    <w:rsid w:val="006F1D4D"/>
    <w:rsid w:val="006F1DC7"/>
    <w:rsid w:val="006F1DEC"/>
    <w:rsid w:val="006F1E33"/>
    <w:rsid w:val="006F1E7F"/>
    <w:rsid w:val="006F1E84"/>
    <w:rsid w:val="006F1EFD"/>
    <w:rsid w:val="006F1F6F"/>
    <w:rsid w:val="006F1FC9"/>
    <w:rsid w:val="006F2019"/>
    <w:rsid w:val="006F2052"/>
    <w:rsid w:val="006F2087"/>
    <w:rsid w:val="006F20A6"/>
    <w:rsid w:val="006F20B9"/>
    <w:rsid w:val="006F216E"/>
    <w:rsid w:val="006F21A9"/>
    <w:rsid w:val="006F21D0"/>
    <w:rsid w:val="006F2200"/>
    <w:rsid w:val="006F2234"/>
    <w:rsid w:val="006F226B"/>
    <w:rsid w:val="006F2289"/>
    <w:rsid w:val="006F22D6"/>
    <w:rsid w:val="006F22F8"/>
    <w:rsid w:val="006F236A"/>
    <w:rsid w:val="006F23C3"/>
    <w:rsid w:val="006F23DD"/>
    <w:rsid w:val="006F246A"/>
    <w:rsid w:val="006F2477"/>
    <w:rsid w:val="006F24A1"/>
    <w:rsid w:val="006F25E7"/>
    <w:rsid w:val="006F2652"/>
    <w:rsid w:val="006F2766"/>
    <w:rsid w:val="006F2787"/>
    <w:rsid w:val="006F280F"/>
    <w:rsid w:val="006F2833"/>
    <w:rsid w:val="006F2889"/>
    <w:rsid w:val="006F28D1"/>
    <w:rsid w:val="006F28DE"/>
    <w:rsid w:val="006F2930"/>
    <w:rsid w:val="006F2961"/>
    <w:rsid w:val="006F2972"/>
    <w:rsid w:val="006F29DB"/>
    <w:rsid w:val="006F2A7C"/>
    <w:rsid w:val="006F2A7F"/>
    <w:rsid w:val="006F2AD4"/>
    <w:rsid w:val="006F2B1F"/>
    <w:rsid w:val="006F2B5A"/>
    <w:rsid w:val="006F2B5F"/>
    <w:rsid w:val="006F2B95"/>
    <w:rsid w:val="006F2B96"/>
    <w:rsid w:val="006F2BF9"/>
    <w:rsid w:val="006F2C2D"/>
    <w:rsid w:val="006F2C70"/>
    <w:rsid w:val="006F2CED"/>
    <w:rsid w:val="006F2D06"/>
    <w:rsid w:val="006F2D15"/>
    <w:rsid w:val="006F2DB9"/>
    <w:rsid w:val="006F2DDE"/>
    <w:rsid w:val="006F2E41"/>
    <w:rsid w:val="006F2E8B"/>
    <w:rsid w:val="006F2F26"/>
    <w:rsid w:val="006F2F47"/>
    <w:rsid w:val="006F2FB4"/>
    <w:rsid w:val="006F2FB7"/>
    <w:rsid w:val="006F2FC4"/>
    <w:rsid w:val="006F3039"/>
    <w:rsid w:val="006F3041"/>
    <w:rsid w:val="006F3063"/>
    <w:rsid w:val="006F306A"/>
    <w:rsid w:val="006F3093"/>
    <w:rsid w:val="006F310C"/>
    <w:rsid w:val="006F313F"/>
    <w:rsid w:val="006F315C"/>
    <w:rsid w:val="006F318B"/>
    <w:rsid w:val="006F31CD"/>
    <w:rsid w:val="006F31F2"/>
    <w:rsid w:val="006F3240"/>
    <w:rsid w:val="006F3281"/>
    <w:rsid w:val="006F32A9"/>
    <w:rsid w:val="006F32BB"/>
    <w:rsid w:val="006F32D0"/>
    <w:rsid w:val="006F32F1"/>
    <w:rsid w:val="006F339E"/>
    <w:rsid w:val="006F33B9"/>
    <w:rsid w:val="006F33FA"/>
    <w:rsid w:val="006F3420"/>
    <w:rsid w:val="006F3490"/>
    <w:rsid w:val="006F34A3"/>
    <w:rsid w:val="006F34C8"/>
    <w:rsid w:val="006F34F1"/>
    <w:rsid w:val="006F3560"/>
    <w:rsid w:val="006F3565"/>
    <w:rsid w:val="006F35A0"/>
    <w:rsid w:val="006F35A6"/>
    <w:rsid w:val="006F35F5"/>
    <w:rsid w:val="006F3626"/>
    <w:rsid w:val="006F3674"/>
    <w:rsid w:val="006F36A6"/>
    <w:rsid w:val="006F36FB"/>
    <w:rsid w:val="006F3718"/>
    <w:rsid w:val="006F3789"/>
    <w:rsid w:val="006F3798"/>
    <w:rsid w:val="006F37B9"/>
    <w:rsid w:val="006F38AB"/>
    <w:rsid w:val="006F38FE"/>
    <w:rsid w:val="006F3931"/>
    <w:rsid w:val="006F396B"/>
    <w:rsid w:val="006F3979"/>
    <w:rsid w:val="006F3A29"/>
    <w:rsid w:val="006F3A69"/>
    <w:rsid w:val="006F3A7E"/>
    <w:rsid w:val="006F3A98"/>
    <w:rsid w:val="006F3AB7"/>
    <w:rsid w:val="006F3ADE"/>
    <w:rsid w:val="006F3B61"/>
    <w:rsid w:val="006F3BAD"/>
    <w:rsid w:val="006F3BC2"/>
    <w:rsid w:val="006F3C1B"/>
    <w:rsid w:val="006F3CA0"/>
    <w:rsid w:val="006F3D00"/>
    <w:rsid w:val="006F3D57"/>
    <w:rsid w:val="006F3DB9"/>
    <w:rsid w:val="006F3DBC"/>
    <w:rsid w:val="006F3DCB"/>
    <w:rsid w:val="006F3E1F"/>
    <w:rsid w:val="006F3E2A"/>
    <w:rsid w:val="006F3E4D"/>
    <w:rsid w:val="006F3F71"/>
    <w:rsid w:val="006F3FB8"/>
    <w:rsid w:val="006F41BE"/>
    <w:rsid w:val="006F4273"/>
    <w:rsid w:val="006F42A4"/>
    <w:rsid w:val="006F42B0"/>
    <w:rsid w:val="006F4351"/>
    <w:rsid w:val="006F4371"/>
    <w:rsid w:val="006F43F4"/>
    <w:rsid w:val="006F4454"/>
    <w:rsid w:val="006F4490"/>
    <w:rsid w:val="006F44BD"/>
    <w:rsid w:val="006F44FA"/>
    <w:rsid w:val="006F45C7"/>
    <w:rsid w:val="006F45D1"/>
    <w:rsid w:val="006F462C"/>
    <w:rsid w:val="006F4640"/>
    <w:rsid w:val="006F46AA"/>
    <w:rsid w:val="006F4707"/>
    <w:rsid w:val="006F472A"/>
    <w:rsid w:val="006F479E"/>
    <w:rsid w:val="006F47B4"/>
    <w:rsid w:val="006F47BF"/>
    <w:rsid w:val="006F47C7"/>
    <w:rsid w:val="006F47E5"/>
    <w:rsid w:val="006F483B"/>
    <w:rsid w:val="006F488C"/>
    <w:rsid w:val="006F48A6"/>
    <w:rsid w:val="006F48C5"/>
    <w:rsid w:val="006F48DA"/>
    <w:rsid w:val="006F48FD"/>
    <w:rsid w:val="006F4921"/>
    <w:rsid w:val="006F4971"/>
    <w:rsid w:val="006F49E7"/>
    <w:rsid w:val="006F49EE"/>
    <w:rsid w:val="006F4BCE"/>
    <w:rsid w:val="006F4BD3"/>
    <w:rsid w:val="006F4BE5"/>
    <w:rsid w:val="006F4C21"/>
    <w:rsid w:val="006F4C34"/>
    <w:rsid w:val="006F4CBF"/>
    <w:rsid w:val="006F4CD8"/>
    <w:rsid w:val="006F4D42"/>
    <w:rsid w:val="006F4D92"/>
    <w:rsid w:val="006F4DA2"/>
    <w:rsid w:val="006F4DAC"/>
    <w:rsid w:val="006F4DBD"/>
    <w:rsid w:val="006F4DDE"/>
    <w:rsid w:val="006F4E00"/>
    <w:rsid w:val="006F4E1A"/>
    <w:rsid w:val="006F4E28"/>
    <w:rsid w:val="006F4E6D"/>
    <w:rsid w:val="006F4EA6"/>
    <w:rsid w:val="006F4EAE"/>
    <w:rsid w:val="006F4ECB"/>
    <w:rsid w:val="006F4F69"/>
    <w:rsid w:val="006F4F88"/>
    <w:rsid w:val="006F4F8E"/>
    <w:rsid w:val="006F4FAD"/>
    <w:rsid w:val="006F4FCB"/>
    <w:rsid w:val="006F4FF1"/>
    <w:rsid w:val="006F5025"/>
    <w:rsid w:val="006F5050"/>
    <w:rsid w:val="006F50A0"/>
    <w:rsid w:val="006F5116"/>
    <w:rsid w:val="006F5128"/>
    <w:rsid w:val="006F5138"/>
    <w:rsid w:val="006F513F"/>
    <w:rsid w:val="006F5184"/>
    <w:rsid w:val="006F51E8"/>
    <w:rsid w:val="006F51EA"/>
    <w:rsid w:val="006F51EF"/>
    <w:rsid w:val="006F51FD"/>
    <w:rsid w:val="006F526A"/>
    <w:rsid w:val="006F52A5"/>
    <w:rsid w:val="006F52CA"/>
    <w:rsid w:val="006F52F6"/>
    <w:rsid w:val="006F530A"/>
    <w:rsid w:val="006F5359"/>
    <w:rsid w:val="006F538D"/>
    <w:rsid w:val="006F5394"/>
    <w:rsid w:val="006F539C"/>
    <w:rsid w:val="006F5457"/>
    <w:rsid w:val="006F549A"/>
    <w:rsid w:val="006F54FB"/>
    <w:rsid w:val="006F5579"/>
    <w:rsid w:val="006F5636"/>
    <w:rsid w:val="006F56BA"/>
    <w:rsid w:val="006F56BC"/>
    <w:rsid w:val="006F56F7"/>
    <w:rsid w:val="006F5727"/>
    <w:rsid w:val="006F5794"/>
    <w:rsid w:val="006F57E3"/>
    <w:rsid w:val="006F5814"/>
    <w:rsid w:val="006F5841"/>
    <w:rsid w:val="006F5858"/>
    <w:rsid w:val="006F58FA"/>
    <w:rsid w:val="006F5970"/>
    <w:rsid w:val="006F59F1"/>
    <w:rsid w:val="006F5A03"/>
    <w:rsid w:val="006F5A15"/>
    <w:rsid w:val="006F5A16"/>
    <w:rsid w:val="006F5A34"/>
    <w:rsid w:val="006F5A68"/>
    <w:rsid w:val="006F5A85"/>
    <w:rsid w:val="006F5A86"/>
    <w:rsid w:val="006F5A97"/>
    <w:rsid w:val="006F5ACB"/>
    <w:rsid w:val="006F5B20"/>
    <w:rsid w:val="006F5B60"/>
    <w:rsid w:val="006F5BB1"/>
    <w:rsid w:val="006F5BBC"/>
    <w:rsid w:val="006F5D88"/>
    <w:rsid w:val="006F5DC5"/>
    <w:rsid w:val="006F5DD5"/>
    <w:rsid w:val="006F5DE6"/>
    <w:rsid w:val="006F5EA1"/>
    <w:rsid w:val="006F5ECC"/>
    <w:rsid w:val="006F5EE0"/>
    <w:rsid w:val="006F5EE4"/>
    <w:rsid w:val="006F5F30"/>
    <w:rsid w:val="006F5FAE"/>
    <w:rsid w:val="006F600E"/>
    <w:rsid w:val="006F6028"/>
    <w:rsid w:val="006F60B3"/>
    <w:rsid w:val="006F60BE"/>
    <w:rsid w:val="006F60CD"/>
    <w:rsid w:val="006F60D6"/>
    <w:rsid w:val="006F6130"/>
    <w:rsid w:val="006F6180"/>
    <w:rsid w:val="006F61C0"/>
    <w:rsid w:val="006F61D6"/>
    <w:rsid w:val="006F6264"/>
    <w:rsid w:val="006F62B2"/>
    <w:rsid w:val="006F62D6"/>
    <w:rsid w:val="006F6357"/>
    <w:rsid w:val="006F6363"/>
    <w:rsid w:val="006F6399"/>
    <w:rsid w:val="006F63A0"/>
    <w:rsid w:val="006F63D3"/>
    <w:rsid w:val="006F642E"/>
    <w:rsid w:val="006F64B3"/>
    <w:rsid w:val="006F64D8"/>
    <w:rsid w:val="006F64FB"/>
    <w:rsid w:val="006F652F"/>
    <w:rsid w:val="006F65B6"/>
    <w:rsid w:val="006F65F5"/>
    <w:rsid w:val="006F6618"/>
    <w:rsid w:val="006F6718"/>
    <w:rsid w:val="006F6722"/>
    <w:rsid w:val="006F6724"/>
    <w:rsid w:val="006F67E7"/>
    <w:rsid w:val="006F6815"/>
    <w:rsid w:val="006F687A"/>
    <w:rsid w:val="006F68CD"/>
    <w:rsid w:val="006F68E0"/>
    <w:rsid w:val="006F6920"/>
    <w:rsid w:val="006F6968"/>
    <w:rsid w:val="006F6987"/>
    <w:rsid w:val="006F69BB"/>
    <w:rsid w:val="006F69CE"/>
    <w:rsid w:val="006F69F5"/>
    <w:rsid w:val="006F69F9"/>
    <w:rsid w:val="006F6A1E"/>
    <w:rsid w:val="006F6A29"/>
    <w:rsid w:val="006F6A35"/>
    <w:rsid w:val="006F6A59"/>
    <w:rsid w:val="006F6ABD"/>
    <w:rsid w:val="006F6B28"/>
    <w:rsid w:val="006F6BB1"/>
    <w:rsid w:val="006F6BE7"/>
    <w:rsid w:val="006F6C6B"/>
    <w:rsid w:val="006F6CA7"/>
    <w:rsid w:val="006F6CB5"/>
    <w:rsid w:val="006F6CCD"/>
    <w:rsid w:val="006F6CF0"/>
    <w:rsid w:val="006F6D64"/>
    <w:rsid w:val="006F6D9C"/>
    <w:rsid w:val="006F6DB5"/>
    <w:rsid w:val="006F6DF7"/>
    <w:rsid w:val="006F6EBE"/>
    <w:rsid w:val="006F6F0B"/>
    <w:rsid w:val="006F6F12"/>
    <w:rsid w:val="006F6F2A"/>
    <w:rsid w:val="006F6F7B"/>
    <w:rsid w:val="006F6FDC"/>
    <w:rsid w:val="006F6FF2"/>
    <w:rsid w:val="006F701D"/>
    <w:rsid w:val="006F703C"/>
    <w:rsid w:val="006F70F8"/>
    <w:rsid w:val="006F7106"/>
    <w:rsid w:val="006F717C"/>
    <w:rsid w:val="006F7187"/>
    <w:rsid w:val="006F718E"/>
    <w:rsid w:val="006F71C9"/>
    <w:rsid w:val="006F71E2"/>
    <w:rsid w:val="006F71E9"/>
    <w:rsid w:val="006F71EF"/>
    <w:rsid w:val="006F71FA"/>
    <w:rsid w:val="006F7264"/>
    <w:rsid w:val="006F72A1"/>
    <w:rsid w:val="006F72FA"/>
    <w:rsid w:val="006F7334"/>
    <w:rsid w:val="006F733A"/>
    <w:rsid w:val="006F7388"/>
    <w:rsid w:val="006F73E0"/>
    <w:rsid w:val="006F7414"/>
    <w:rsid w:val="006F743E"/>
    <w:rsid w:val="006F7446"/>
    <w:rsid w:val="006F746D"/>
    <w:rsid w:val="006F75E6"/>
    <w:rsid w:val="006F75F9"/>
    <w:rsid w:val="006F7608"/>
    <w:rsid w:val="006F769F"/>
    <w:rsid w:val="006F76D3"/>
    <w:rsid w:val="006F76FC"/>
    <w:rsid w:val="006F770B"/>
    <w:rsid w:val="006F772C"/>
    <w:rsid w:val="006F77DF"/>
    <w:rsid w:val="006F7883"/>
    <w:rsid w:val="006F79A0"/>
    <w:rsid w:val="006F79AC"/>
    <w:rsid w:val="006F7A10"/>
    <w:rsid w:val="006F7A53"/>
    <w:rsid w:val="006F7AD1"/>
    <w:rsid w:val="006F7AEE"/>
    <w:rsid w:val="006F7B21"/>
    <w:rsid w:val="006F7B2F"/>
    <w:rsid w:val="006F7B38"/>
    <w:rsid w:val="006F7B50"/>
    <w:rsid w:val="006F7B5C"/>
    <w:rsid w:val="006F7B8D"/>
    <w:rsid w:val="006F7BCF"/>
    <w:rsid w:val="006F7C1C"/>
    <w:rsid w:val="006F7C2F"/>
    <w:rsid w:val="006F7CBB"/>
    <w:rsid w:val="006F7CD3"/>
    <w:rsid w:val="006F7D63"/>
    <w:rsid w:val="006F7D68"/>
    <w:rsid w:val="006F7D8D"/>
    <w:rsid w:val="006F7DBE"/>
    <w:rsid w:val="006F7E18"/>
    <w:rsid w:val="006F7E6F"/>
    <w:rsid w:val="006F7EB3"/>
    <w:rsid w:val="006F7EF4"/>
    <w:rsid w:val="006F7F01"/>
    <w:rsid w:val="006F7F79"/>
    <w:rsid w:val="006F7FA2"/>
    <w:rsid w:val="006F7FA9"/>
    <w:rsid w:val="006F7FDE"/>
    <w:rsid w:val="00700056"/>
    <w:rsid w:val="007000AE"/>
    <w:rsid w:val="007000AF"/>
    <w:rsid w:val="007000CC"/>
    <w:rsid w:val="007000EE"/>
    <w:rsid w:val="00700156"/>
    <w:rsid w:val="007001B2"/>
    <w:rsid w:val="007001D0"/>
    <w:rsid w:val="0070020D"/>
    <w:rsid w:val="0070020E"/>
    <w:rsid w:val="0070036C"/>
    <w:rsid w:val="007003C0"/>
    <w:rsid w:val="0070042E"/>
    <w:rsid w:val="00700442"/>
    <w:rsid w:val="00700484"/>
    <w:rsid w:val="00700559"/>
    <w:rsid w:val="0070061A"/>
    <w:rsid w:val="007006EE"/>
    <w:rsid w:val="0070071E"/>
    <w:rsid w:val="0070074B"/>
    <w:rsid w:val="00700785"/>
    <w:rsid w:val="0070082A"/>
    <w:rsid w:val="0070082C"/>
    <w:rsid w:val="0070082D"/>
    <w:rsid w:val="0070089B"/>
    <w:rsid w:val="007008D0"/>
    <w:rsid w:val="007008EC"/>
    <w:rsid w:val="007009A1"/>
    <w:rsid w:val="007009A3"/>
    <w:rsid w:val="007009C7"/>
    <w:rsid w:val="00700A02"/>
    <w:rsid w:val="00700A36"/>
    <w:rsid w:val="00700A4B"/>
    <w:rsid w:val="00700AC5"/>
    <w:rsid w:val="00700ACF"/>
    <w:rsid w:val="00700BE2"/>
    <w:rsid w:val="00700C0D"/>
    <w:rsid w:val="00700C45"/>
    <w:rsid w:val="00700CB1"/>
    <w:rsid w:val="00700CDD"/>
    <w:rsid w:val="00700E7F"/>
    <w:rsid w:val="00700F2B"/>
    <w:rsid w:val="00700F34"/>
    <w:rsid w:val="00700F3A"/>
    <w:rsid w:val="00700F6A"/>
    <w:rsid w:val="00700F90"/>
    <w:rsid w:val="00701007"/>
    <w:rsid w:val="0070102D"/>
    <w:rsid w:val="00701086"/>
    <w:rsid w:val="007010C8"/>
    <w:rsid w:val="00701159"/>
    <w:rsid w:val="007011AB"/>
    <w:rsid w:val="0070121C"/>
    <w:rsid w:val="0070123C"/>
    <w:rsid w:val="00701293"/>
    <w:rsid w:val="007012F8"/>
    <w:rsid w:val="007012FE"/>
    <w:rsid w:val="007013D3"/>
    <w:rsid w:val="007013EA"/>
    <w:rsid w:val="0070141A"/>
    <w:rsid w:val="0070146F"/>
    <w:rsid w:val="007014A1"/>
    <w:rsid w:val="007014FB"/>
    <w:rsid w:val="0070150D"/>
    <w:rsid w:val="00701511"/>
    <w:rsid w:val="0070157A"/>
    <w:rsid w:val="00701589"/>
    <w:rsid w:val="007016BD"/>
    <w:rsid w:val="007016BE"/>
    <w:rsid w:val="007016CB"/>
    <w:rsid w:val="007016D9"/>
    <w:rsid w:val="0070172C"/>
    <w:rsid w:val="007017B8"/>
    <w:rsid w:val="007017E9"/>
    <w:rsid w:val="0070180F"/>
    <w:rsid w:val="00701847"/>
    <w:rsid w:val="00701924"/>
    <w:rsid w:val="0070193B"/>
    <w:rsid w:val="00701941"/>
    <w:rsid w:val="00701A39"/>
    <w:rsid w:val="00701A4C"/>
    <w:rsid w:val="00701AF8"/>
    <w:rsid w:val="00701B0B"/>
    <w:rsid w:val="00701B97"/>
    <w:rsid w:val="00701BA3"/>
    <w:rsid w:val="00701BC0"/>
    <w:rsid w:val="00701BEC"/>
    <w:rsid w:val="00701BF1"/>
    <w:rsid w:val="00701C37"/>
    <w:rsid w:val="00701CF8"/>
    <w:rsid w:val="00701D3D"/>
    <w:rsid w:val="00701D4C"/>
    <w:rsid w:val="00701DA2"/>
    <w:rsid w:val="00701DA6"/>
    <w:rsid w:val="00701DC4"/>
    <w:rsid w:val="00701E19"/>
    <w:rsid w:val="00701E57"/>
    <w:rsid w:val="00701E82"/>
    <w:rsid w:val="00701E97"/>
    <w:rsid w:val="00701EB3"/>
    <w:rsid w:val="00701ED7"/>
    <w:rsid w:val="00701EDC"/>
    <w:rsid w:val="00701F01"/>
    <w:rsid w:val="00701F47"/>
    <w:rsid w:val="007020A4"/>
    <w:rsid w:val="007020AC"/>
    <w:rsid w:val="007020C9"/>
    <w:rsid w:val="0070210E"/>
    <w:rsid w:val="00702113"/>
    <w:rsid w:val="0070211A"/>
    <w:rsid w:val="00702121"/>
    <w:rsid w:val="00702128"/>
    <w:rsid w:val="00702162"/>
    <w:rsid w:val="00702169"/>
    <w:rsid w:val="0070216A"/>
    <w:rsid w:val="007021B9"/>
    <w:rsid w:val="0070229A"/>
    <w:rsid w:val="007022A9"/>
    <w:rsid w:val="007022BA"/>
    <w:rsid w:val="0070245C"/>
    <w:rsid w:val="007024E3"/>
    <w:rsid w:val="00702525"/>
    <w:rsid w:val="00702559"/>
    <w:rsid w:val="007025B3"/>
    <w:rsid w:val="00702650"/>
    <w:rsid w:val="00702665"/>
    <w:rsid w:val="007026F9"/>
    <w:rsid w:val="00702743"/>
    <w:rsid w:val="00702746"/>
    <w:rsid w:val="00702752"/>
    <w:rsid w:val="00702754"/>
    <w:rsid w:val="007027CC"/>
    <w:rsid w:val="007027FA"/>
    <w:rsid w:val="00702877"/>
    <w:rsid w:val="00702888"/>
    <w:rsid w:val="0070288C"/>
    <w:rsid w:val="0070288D"/>
    <w:rsid w:val="007028A5"/>
    <w:rsid w:val="007028CF"/>
    <w:rsid w:val="007029B5"/>
    <w:rsid w:val="007029F5"/>
    <w:rsid w:val="00702A0B"/>
    <w:rsid w:val="00702A36"/>
    <w:rsid w:val="00702A79"/>
    <w:rsid w:val="00702A97"/>
    <w:rsid w:val="00702B34"/>
    <w:rsid w:val="00702B9C"/>
    <w:rsid w:val="00702BA8"/>
    <w:rsid w:val="00702C4B"/>
    <w:rsid w:val="00702C69"/>
    <w:rsid w:val="00702C88"/>
    <w:rsid w:val="00702CBE"/>
    <w:rsid w:val="00702CCA"/>
    <w:rsid w:val="00702CDD"/>
    <w:rsid w:val="00702D6C"/>
    <w:rsid w:val="00702D6F"/>
    <w:rsid w:val="00702D7F"/>
    <w:rsid w:val="00702DBB"/>
    <w:rsid w:val="00702E2F"/>
    <w:rsid w:val="00702E62"/>
    <w:rsid w:val="00702F12"/>
    <w:rsid w:val="00702F76"/>
    <w:rsid w:val="00702FB5"/>
    <w:rsid w:val="00702FE9"/>
    <w:rsid w:val="00702FEB"/>
    <w:rsid w:val="00703023"/>
    <w:rsid w:val="00703033"/>
    <w:rsid w:val="00703045"/>
    <w:rsid w:val="0070304C"/>
    <w:rsid w:val="0070307D"/>
    <w:rsid w:val="007030D8"/>
    <w:rsid w:val="00703134"/>
    <w:rsid w:val="0070314B"/>
    <w:rsid w:val="00703180"/>
    <w:rsid w:val="0070319E"/>
    <w:rsid w:val="007031C8"/>
    <w:rsid w:val="00703213"/>
    <w:rsid w:val="0070322E"/>
    <w:rsid w:val="00703319"/>
    <w:rsid w:val="00703396"/>
    <w:rsid w:val="00703416"/>
    <w:rsid w:val="0070354E"/>
    <w:rsid w:val="0070355C"/>
    <w:rsid w:val="007035B6"/>
    <w:rsid w:val="007035E9"/>
    <w:rsid w:val="007035F3"/>
    <w:rsid w:val="00703615"/>
    <w:rsid w:val="0070364E"/>
    <w:rsid w:val="0070364F"/>
    <w:rsid w:val="00703689"/>
    <w:rsid w:val="0070369A"/>
    <w:rsid w:val="007036DC"/>
    <w:rsid w:val="0070374C"/>
    <w:rsid w:val="00703766"/>
    <w:rsid w:val="00703776"/>
    <w:rsid w:val="007037F3"/>
    <w:rsid w:val="007038DB"/>
    <w:rsid w:val="00703A26"/>
    <w:rsid w:val="00703A84"/>
    <w:rsid w:val="00703A8B"/>
    <w:rsid w:val="00703AE6"/>
    <w:rsid w:val="00703AF8"/>
    <w:rsid w:val="00703B13"/>
    <w:rsid w:val="00703B4D"/>
    <w:rsid w:val="00703B65"/>
    <w:rsid w:val="00703B6B"/>
    <w:rsid w:val="00703BCC"/>
    <w:rsid w:val="00703BCD"/>
    <w:rsid w:val="00703BE2"/>
    <w:rsid w:val="00703C12"/>
    <w:rsid w:val="00703C2A"/>
    <w:rsid w:val="00703C73"/>
    <w:rsid w:val="00703CF7"/>
    <w:rsid w:val="00703CFE"/>
    <w:rsid w:val="00703D3E"/>
    <w:rsid w:val="00703DF7"/>
    <w:rsid w:val="00703E1A"/>
    <w:rsid w:val="00703E99"/>
    <w:rsid w:val="00703F2C"/>
    <w:rsid w:val="00703F46"/>
    <w:rsid w:val="00703F6F"/>
    <w:rsid w:val="00703FAC"/>
    <w:rsid w:val="00704012"/>
    <w:rsid w:val="00704018"/>
    <w:rsid w:val="00704029"/>
    <w:rsid w:val="0070407A"/>
    <w:rsid w:val="007040AF"/>
    <w:rsid w:val="007040C0"/>
    <w:rsid w:val="007040D4"/>
    <w:rsid w:val="0070410C"/>
    <w:rsid w:val="00704127"/>
    <w:rsid w:val="00704151"/>
    <w:rsid w:val="0070417B"/>
    <w:rsid w:val="007041C9"/>
    <w:rsid w:val="00704227"/>
    <w:rsid w:val="0070423C"/>
    <w:rsid w:val="00704258"/>
    <w:rsid w:val="007042E3"/>
    <w:rsid w:val="0070437B"/>
    <w:rsid w:val="00704438"/>
    <w:rsid w:val="0070445C"/>
    <w:rsid w:val="00704488"/>
    <w:rsid w:val="007044B0"/>
    <w:rsid w:val="007044BA"/>
    <w:rsid w:val="0070452D"/>
    <w:rsid w:val="007045A3"/>
    <w:rsid w:val="007045C8"/>
    <w:rsid w:val="00704601"/>
    <w:rsid w:val="007046BA"/>
    <w:rsid w:val="007046D2"/>
    <w:rsid w:val="0070472B"/>
    <w:rsid w:val="00704731"/>
    <w:rsid w:val="0070474B"/>
    <w:rsid w:val="007047DA"/>
    <w:rsid w:val="00704807"/>
    <w:rsid w:val="00704891"/>
    <w:rsid w:val="0070492E"/>
    <w:rsid w:val="0070492F"/>
    <w:rsid w:val="00704969"/>
    <w:rsid w:val="00704998"/>
    <w:rsid w:val="007049D6"/>
    <w:rsid w:val="007049D7"/>
    <w:rsid w:val="00704A59"/>
    <w:rsid w:val="00704A5B"/>
    <w:rsid w:val="00704A83"/>
    <w:rsid w:val="00704AFA"/>
    <w:rsid w:val="00704B71"/>
    <w:rsid w:val="00704B7A"/>
    <w:rsid w:val="00704BAC"/>
    <w:rsid w:val="00704C63"/>
    <w:rsid w:val="00704CC7"/>
    <w:rsid w:val="00704CE1"/>
    <w:rsid w:val="00704CEE"/>
    <w:rsid w:val="00704D07"/>
    <w:rsid w:val="00704D2B"/>
    <w:rsid w:val="00704D98"/>
    <w:rsid w:val="00704E0C"/>
    <w:rsid w:val="00704E90"/>
    <w:rsid w:val="00704EC8"/>
    <w:rsid w:val="00704F14"/>
    <w:rsid w:val="00704F4E"/>
    <w:rsid w:val="00704F54"/>
    <w:rsid w:val="00704FCB"/>
    <w:rsid w:val="00704FF5"/>
    <w:rsid w:val="00705089"/>
    <w:rsid w:val="007050C8"/>
    <w:rsid w:val="007050F7"/>
    <w:rsid w:val="00705126"/>
    <w:rsid w:val="00705233"/>
    <w:rsid w:val="007052BE"/>
    <w:rsid w:val="007052EC"/>
    <w:rsid w:val="0070539A"/>
    <w:rsid w:val="007053A9"/>
    <w:rsid w:val="007053EC"/>
    <w:rsid w:val="007053F8"/>
    <w:rsid w:val="007053FB"/>
    <w:rsid w:val="0070548F"/>
    <w:rsid w:val="007054A2"/>
    <w:rsid w:val="007054A4"/>
    <w:rsid w:val="00705518"/>
    <w:rsid w:val="00705584"/>
    <w:rsid w:val="007055D3"/>
    <w:rsid w:val="00705624"/>
    <w:rsid w:val="00705629"/>
    <w:rsid w:val="00705652"/>
    <w:rsid w:val="0070567E"/>
    <w:rsid w:val="00705711"/>
    <w:rsid w:val="00705744"/>
    <w:rsid w:val="00705784"/>
    <w:rsid w:val="007057A5"/>
    <w:rsid w:val="007057EE"/>
    <w:rsid w:val="0070588F"/>
    <w:rsid w:val="00705896"/>
    <w:rsid w:val="00705899"/>
    <w:rsid w:val="007058BF"/>
    <w:rsid w:val="007058FB"/>
    <w:rsid w:val="00705925"/>
    <w:rsid w:val="0070592F"/>
    <w:rsid w:val="00705951"/>
    <w:rsid w:val="00705960"/>
    <w:rsid w:val="00705989"/>
    <w:rsid w:val="00705993"/>
    <w:rsid w:val="007059AC"/>
    <w:rsid w:val="007059AF"/>
    <w:rsid w:val="007059B6"/>
    <w:rsid w:val="007059E9"/>
    <w:rsid w:val="007059EB"/>
    <w:rsid w:val="007059FC"/>
    <w:rsid w:val="00705A02"/>
    <w:rsid w:val="00705A61"/>
    <w:rsid w:val="00705A7B"/>
    <w:rsid w:val="00705ABD"/>
    <w:rsid w:val="00705B69"/>
    <w:rsid w:val="00705B7E"/>
    <w:rsid w:val="00705BC4"/>
    <w:rsid w:val="00705BD0"/>
    <w:rsid w:val="00705C7C"/>
    <w:rsid w:val="00705C9F"/>
    <w:rsid w:val="00705CB4"/>
    <w:rsid w:val="00705D1E"/>
    <w:rsid w:val="00705D22"/>
    <w:rsid w:val="00705D60"/>
    <w:rsid w:val="00705D66"/>
    <w:rsid w:val="00705D89"/>
    <w:rsid w:val="00705D8B"/>
    <w:rsid w:val="00705E0A"/>
    <w:rsid w:val="00705E26"/>
    <w:rsid w:val="00705E86"/>
    <w:rsid w:val="00705EA2"/>
    <w:rsid w:val="00705EAE"/>
    <w:rsid w:val="00705FD7"/>
    <w:rsid w:val="00705FF5"/>
    <w:rsid w:val="00706017"/>
    <w:rsid w:val="00706048"/>
    <w:rsid w:val="007060B1"/>
    <w:rsid w:val="0070612F"/>
    <w:rsid w:val="00706150"/>
    <w:rsid w:val="0070615B"/>
    <w:rsid w:val="00706191"/>
    <w:rsid w:val="00706199"/>
    <w:rsid w:val="0070623C"/>
    <w:rsid w:val="00706248"/>
    <w:rsid w:val="00706375"/>
    <w:rsid w:val="0070639C"/>
    <w:rsid w:val="007063A4"/>
    <w:rsid w:val="007063AA"/>
    <w:rsid w:val="007063D6"/>
    <w:rsid w:val="007063E0"/>
    <w:rsid w:val="00706403"/>
    <w:rsid w:val="0070641B"/>
    <w:rsid w:val="00706455"/>
    <w:rsid w:val="00706497"/>
    <w:rsid w:val="007064A3"/>
    <w:rsid w:val="00706536"/>
    <w:rsid w:val="0070655F"/>
    <w:rsid w:val="00706620"/>
    <w:rsid w:val="00706673"/>
    <w:rsid w:val="007066A0"/>
    <w:rsid w:val="007066CD"/>
    <w:rsid w:val="007066F1"/>
    <w:rsid w:val="007066FB"/>
    <w:rsid w:val="007067E8"/>
    <w:rsid w:val="0070680B"/>
    <w:rsid w:val="0070683D"/>
    <w:rsid w:val="007068DD"/>
    <w:rsid w:val="0070695B"/>
    <w:rsid w:val="007069BF"/>
    <w:rsid w:val="007069F1"/>
    <w:rsid w:val="00706A3A"/>
    <w:rsid w:val="00706A3E"/>
    <w:rsid w:val="00706B3C"/>
    <w:rsid w:val="00706BA4"/>
    <w:rsid w:val="00706C02"/>
    <w:rsid w:val="00706CAC"/>
    <w:rsid w:val="00706CC7"/>
    <w:rsid w:val="00706D5A"/>
    <w:rsid w:val="00706D6B"/>
    <w:rsid w:val="00706D86"/>
    <w:rsid w:val="00706DBB"/>
    <w:rsid w:val="00706DC7"/>
    <w:rsid w:val="00706E38"/>
    <w:rsid w:val="00706E49"/>
    <w:rsid w:val="00706E8E"/>
    <w:rsid w:val="00706EBB"/>
    <w:rsid w:val="00706EEC"/>
    <w:rsid w:val="00706F33"/>
    <w:rsid w:val="00706F7E"/>
    <w:rsid w:val="00706FDA"/>
    <w:rsid w:val="00707024"/>
    <w:rsid w:val="0070708A"/>
    <w:rsid w:val="007070F6"/>
    <w:rsid w:val="00707127"/>
    <w:rsid w:val="00707171"/>
    <w:rsid w:val="00707204"/>
    <w:rsid w:val="0070724F"/>
    <w:rsid w:val="00707266"/>
    <w:rsid w:val="0070726D"/>
    <w:rsid w:val="007072C4"/>
    <w:rsid w:val="007072C6"/>
    <w:rsid w:val="00707319"/>
    <w:rsid w:val="0070736E"/>
    <w:rsid w:val="00707433"/>
    <w:rsid w:val="00707447"/>
    <w:rsid w:val="007074DE"/>
    <w:rsid w:val="007074F6"/>
    <w:rsid w:val="00707523"/>
    <w:rsid w:val="0070752F"/>
    <w:rsid w:val="00707553"/>
    <w:rsid w:val="00707562"/>
    <w:rsid w:val="0070763B"/>
    <w:rsid w:val="00707641"/>
    <w:rsid w:val="00707686"/>
    <w:rsid w:val="00707779"/>
    <w:rsid w:val="00707797"/>
    <w:rsid w:val="0070779B"/>
    <w:rsid w:val="007077F4"/>
    <w:rsid w:val="00707837"/>
    <w:rsid w:val="0070788C"/>
    <w:rsid w:val="007078DF"/>
    <w:rsid w:val="00707937"/>
    <w:rsid w:val="00707970"/>
    <w:rsid w:val="007079A3"/>
    <w:rsid w:val="00707A3C"/>
    <w:rsid w:val="00707B5E"/>
    <w:rsid w:val="00707BFA"/>
    <w:rsid w:val="00707C3C"/>
    <w:rsid w:val="00707C88"/>
    <w:rsid w:val="00707CD4"/>
    <w:rsid w:val="00707D48"/>
    <w:rsid w:val="00707DC5"/>
    <w:rsid w:val="00707DF5"/>
    <w:rsid w:val="00707E20"/>
    <w:rsid w:val="00707E3C"/>
    <w:rsid w:val="00707E6E"/>
    <w:rsid w:val="00707EBE"/>
    <w:rsid w:val="00707F1C"/>
    <w:rsid w:val="00707F3B"/>
    <w:rsid w:val="00707F8A"/>
    <w:rsid w:val="00710048"/>
    <w:rsid w:val="0071008C"/>
    <w:rsid w:val="00710123"/>
    <w:rsid w:val="00710185"/>
    <w:rsid w:val="007101B7"/>
    <w:rsid w:val="007101CD"/>
    <w:rsid w:val="007101D4"/>
    <w:rsid w:val="0071020A"/>
    <w:rsid w:val="0071024A"/>
    <w:rsid w:val="00710361"/>
    <w:rsid w:val="00710399"/>
    <w:rsid w:val="00710445"/>
    <w:rsid w:val="00710499"/>
    <w:rsid w:val="0071049C"/>
    <w:rsid w:val="007104A2"/>
    <w:rsid w:val="00710592"/>
    <w:rsid w:val="00710597"/>
    <w:rsid w:val="007105C4"/>
    <w:rsid w:val="00710669"/>
    <w:rsid w:val="00710681"/>
    <w:rsid w:val="007106B8"/>
    <w:rsid w:val="007106E0"/>
    <w:rsid w:val="00710713"/>
    <w:rsid w:val="007107EC"/>
    <w:rsid w:val="007107FB"/>
    <w:rsid w:val="00710822"/>
    <w:rsid w:val="00710838"/>
    <w:rsid w:val="00710849"/>
    <w:rsid w:val="007108E2"/>
    <w:rsid w:val="007108FD"/>
    <w:rsid w:val="0071096B"/>
    <w:rsid w:val="00710986"/>
    <w:rsid w:val="00710A01"/>
    <w:rsid w:val="00710A0E"/>
    <w:rsid w:val="00710A35"/>
    <w:rsid w:val="00710A46"/>
    <w:rsid w:val="00710A4D"/>
    <w:rsid w:val="00710A8B"/>
    <w:rsid w:val="00710A9D"/>
    <w:rsid w:val="00710AD9"/>
    <w:rsid w:val="00710B0B"/>
    <w:rsid w:val="00710B88"/>
    <w:rsid w:val="00710BC4"/>
    <w:rsid w:val="00710C23"/>
    <w:rsid w:val="00710CAA"/>
    <w:rsid w:val="00710CE8"/>
    <w:rsid w:val="00710D04"/>
    <w:rsid w:val="00710D80"/>
    <w:rsid w:val="00710DDC"/>
    <w:rsid w:val="00710DE6"/>
    <w:rsid w:val="00710DF9"/>
    <w:rsid w:val="00710EB2"/>
    <w:rsid w:val="00710ED3"/>
    <w:rsid w:val="00710F2B"/>
    <w:rsid w:val="00710FBA"/>
    <w:rsid w:val="00710FD4"/>
    <w:rsid w:val="00711053"/>
    <w:rsid w:val="007110CE"/>
    <w:rsid w:val="007110F4"/>
    <w:rsid w:val="0071116A"/>
    <w:rsid w:val="0071129D"/>
    <w:rsid w:val="007112D0"/>
    <w:rsid w:val="007112E3"/>
    <w:rsid w:val="007112FF"/>
    <w:rsid w:val="00711310"/>
    <w:rsid w:val="00711353"/>
    <w:rsid w:val="0071135A"/>
    <w:rsid w:val="00711364"/>
    <w:rsid w:val="00711387"/>
    <w:rsid w:val="007113B6"/>
    <w:rsid w:val="007113D9"/>
    <w:rsid w:val="00711424"/>
    <w:rsid w:val="0071144F"/>
    <w:rsid w:val="0071145D"/>
    <w:rsid w:val="00711469"/>
    <w:rsid w:val="0071148D"/>
    <w:rsid w:val="007114C7"/>
    <w:rsid w:val="00711527"/>
    <w:rsid w:val="0071155A"/>
    <w:rsid w:val="0071156E"/>
    <w:rsid w:val="00711674"/>
    <w:rsid w:val="007116A4"/>
    <w:rsid w:val="007116CA"/>
    <w:rsid w:val="007116CF"/>
    <w:rsid w:val="007116F9"/>
    <w:rsid w:val="00711734"/>
    <w:rsid w:val="00711768"/>
    <w:rsid w:val="007117B6"/>
    <w:rsid w:val="00711805"/>
    <w:rsid w:val="00711811"/>
    <w:rsid w:val="00711863"/>
    <w:rsid w:val="00711865"/>
    <w:rsid w:val="00711869"/>
    <w:rsid w:val="00711891"/>
    <w:rsid w:val="00711896"/>
    <w:rsid w:val="0071189C"/>
    <w:rsid w:val="007118DB"/>
    <w:rsid w:val="00711950"/>
    <w:rsid w:val="007119FD"/>
    <w:rsid w:val="00711A02"/>
    <w:rsid w:val="00711A07"/>
    <w:rsid w:val="00711A7F"/>
    <w:rsid w:val="00711B60"/>
    <w:rsid w:val="00711B88"/>
    <w:rsid w:val="00711C60"/>
    <w:rsid w:val="00711C8B"/>
    <w:rsid w:val="00711CA3"/>
    <w:rsid w:val="00711CB1"/>
    <w:rsid w:val="00711D6D"/>
    <w:rsid w:val="00711D9F"/>
    <w:rsid w:val="00711DD7"/>
    <w:rsid w:val="00711E08"/>
    <w:rsid w:val="00711E0A"/>
    <w:rsid w:val="00711F14"/>
    <w:rsid w:val="00711F23"/>
    <w:rsid w:val="00711F63"/>
    <w:rsid w:val="00711F6D"/>
    <w:rsid w:val="00711FBC"/>
    <w:rsid w:val="007120CC"/>
    <w:rsid w:val="00712129"/>
    <w:rsid w:val="0071218F"/>
    <w:rsid w:val="007121A3"/>
    <w:rsid w:val="007121BF"/>
    <w:rsid w:val="0071227E"/>
    <w:rsid w:val="00712285"/>
    <w:rsid w:val="007122D7"/>
    <w:rsid w:val="00712304"/>
    <w:rsid w:val="00712339"/>
    <w:rsid w:val="00712381"/>
    <w:rsid w:val="00712392"/>
    <w:rsid w:val="007124D2"/>
    <w:rsid w:val="007124EC"/>
    <w:rsid w:val="00712511"/>
    <w:rsid w:val="0071254A"/>
    <w:rsid w:val="00712561"/>
    <w:rsid w:val="00712597"/>
    <w:rsid w:val="007125FD"/>
    <w:rsid w:val="007126AE"/>
    <w:rsid w:val="007126C0"/>
    <w:rsid w:val="0071286D"/>
    <w:rsid w:val="00712873"/>
    <w:rsid w:val="00712912"/>
    <w:rsid w:val="007129AE"/>
    <w:rsid w:val="007129B9"/>
    <w:rsid w:val="007129C4"/>
    <w:rsid w:val="007129C9"/>
    <w:rsid w:val="007129F9"/>
    <w:rsid w:val="00712A48"/>
    <w:rsid w:val="00712A59"/>
    <w:rsid w:val="00712A9C"/>
    <w:rsid w:val="00712B48"/>
    <w:rsid w:val="00712BDF"/>
    <w:rsid w:val="00712C02"/>
    <w:rsid w:val="00712C6F"/>
    <w:rsid w:val="00712CCF"/>
    <w:rsid w:val="00712CD2"/>
    <w:rsid w:val="00712D97"/>
    <w:rsid w:val="00712DFD"/>
    <w:rsid w:val="00712E37"/>
    <w:rsid w:val="00712E44"/>
    <w:rsid w:val="00712E45"/>
    <w:rsid w:val="00712E5F"/>
    <w:rsid w:val="00712EAC"/>
    <w:rsid w:val="00712ED0"/>
    <w:rsid w:val="00712F58"/>
    <w:rsid w:val="00712F7C"/>
    <w:rsid w:val="00712F8E"/>
    <w:rsid w:val="00712F9E"/>
    <w:rsid w:val="0071300A"/>
    <w:rsid w:val="0071308C"/>
    <w:rsid w:val="00713094"/>
    <w:rsid w:val="007131D2"/>
    <w:rsid w:val="0071320E"/>
    <w:rsid w:val="0071321A"/>
    <w:rsid w:val="00713229"/>
    <w:rsid w:val="00713256"/>
    <w:rsid w:val="0071325D"/>
    <w:rsid w:val="00713265"/>
    <w:rsid w:val="0071326C"/>
    <w:rsid w:val="00713294"/>
    <w:rsid w:val="0071331B"/>
    <w:rsid w:val="00713388"/>
    <w:rsid w:val="0071345F"/>
    <w:rsid w:val="007134BB"/>
    <w:rsid w:val="0071353A"/>
    <w:rsid w:val="007135A6"/>
    <w:rsid w:val="007135FB"/>
    <w:rsid w:val="00713611"/>
    <w:rsid w:val="0071366B"/>
    <w:rsid w:val="007136A1"/>
    <w:rsid w:val="007136C0"/>
    <w:rsid w:val="007136E6"/>
    <w:rsid w:val="00713709"/>
    <w:rsid w:val="00713716"/>
    <w:rsid w:val="0071374E"/>
    <w:rsid w:val="00713866"/>
    <w:rsid w:val="0071388B"/>
    <w:rsid w:val="007138AD"/>
    <w:rsid w:val="007138E5"/>
    <w:rsid w:val="0071392A"/>
    <w:rsid w:val="00713939"/>
    <w:rsid w:val="0071395B"/>
    <w:rsid w:val="00713971"/>
    <w:rsid w:val="00713998"/>
    <w:rsid w:val="007139AE"/>
    <w:rsid w:val="00713A03"/>
    <w:rsid w:val="00713A21"/>
    <w:rsid w:val="00713A50"/>
    <w:rsid w:val="00713A7F"/>
    <w:rsid w:val="00713ABF"/>
    <w:rsid w:val="00713B37"/>
    <w:rsid w:val="00713B51"/>
    <w:rsid w:val="00713B54"/>
    <w:rsid w:val="00713C0B"/>
    <w:rsid w:val="00713C3E"/>
    <w:rsid w:val="00713C8D"/>
    <w:rsid w:val="00713CD0"/>
    <w:rsid w:val="00713DA3"/>
    <w:rsid w:val="00713EA5"/>
    <w:rsid w:val="00713ED2"/>
    <w:rsid w:val="00713EED"/>
    <w:rsid w:val="00713FA2"/>
    <w:rsid w:val="00713FF0"/>
    <w:rsid w:val="007140CE"/>
    <w:rsid w:val="007140DE"/>
    <w:rsid w:val="0071411C"/>
    <w:rsid w:val="00714162"/>
    <w:rsid w:val="00714167"/>
    <w:rsid w:val="0071419C"/>
    <w:rsid w:val="007141D2"/>
    <w:rsid w:val="0071429C"/>
    <w:rsid w:val="00714339"/>
    <w:rsid w:val="0071433E"/>
    <w:rsid w:val="00714347"/>
    <w:rsid w:val="0071441E"/>
    <w:rsid w:val="0071442F"/>
    <w:rsid w:val="00714450"/>
    <w:rsid w:val="007144E4"/>
    <w:rsid w:val="007144F7"/>
    <w:rsid w:val="00714697"/>
    <w:rsid w:val="007146C7"/>
    <w:rsid w:val="007146DB"/>
    <w:rsid w:val="0071471A"/>
    <w:rsid w:val="0071474D"/>
    <w:rsid w:val="00714794"/>
    <w:rsid w:val="00714814"/>
    <w:rsid w:val="00714817"/>
    <w:rsid w:val="00714856"/>
    <w:rsid w:val="00714875"/>
    <w:rsid w:val="00714882"/>
    <w:rsid w:val="007148BD"/>
    <w:rsid w:val="00714994"/>
    <w:rsid w:val="007149A4"/>
    <w:rsid w:val="007149C2"/>
    <w:rsid w:val="007149E7"/>
    <w:rsid w:val="00714A42"/>
    <w:rsid w:val="00714AB5"/>
    <w:rsid w:val="00714ACF"/>
    <w:rsid w:val="00714BC9"/>
    <w:rsid w:val="00714BCF"/>
    <w:rsid w:val="00714BE0"/>
    <w:rsid w:val="00714BF9"/>
    <w:rsid w:val="00714C87"/>
    <w:rsid w:val="00714CD6"/>
    <w:rsid w:val="00714D17"/>
    <w:rsid w:val="00714D20"/>
    <w:rsid w:val="00714D5D"/>
    <w:rsid w:val="00714D62"/>
    <w:rsid w:val="00714E33"/>
    <w:rsid w:val="00714E4A"/>
    <w:rsid w:val="00714E4E"/>
    <w:rsid w:val="00714E8E"/>
    <w:rsid w:val="00714F2D"/>
    <w:rsid w:val="00714F91"/>
    <w:rsid w:val="00714FB6"/>
    <w:rsid w:val="00714FCD"/>
    <w:rsid w:val="0071505F"/>
    <w:rsid w:val="007150EE"/>
    <w:rsid w:val="0071510B"/>
    <w:rsid w:val="0071513B"/>
    <w:rsid w:val="0071514D"/>
    <w:rsid w:val="007151A1"/>
    <w:rsid w:val="007151BF"/>
    <w:rsid w:val="007151FC"/>
    <w:rsid w:val="00715207"/>
    <w:rsid w:val="00715349"/>
    <w:rsid w:val="00715362"/>
    <w:rsid w:val="0071538B"/>
    <w:rsid w:val="007153ED"/>
    <w:rsid w:val="00715441"/>
    <w:rsid w:val="0071549F"/>
    <w:rsid w:val="00715644"/>
    <w:rsid w:val="00715664"/>
    <w:rsid w:val="0071569D"/>
    <w:rsid w:val="00715767"/>
    <w:rsid w:val="007157BD"/>
    <w:rsid w:val="00715802"/>
    <w:rsid w:val="0071580A"/>
    <w:rsid w:val="0071584A"/>
    <w:rsid w:val="0071586B"/>
    <w:rsid w:val="0071586F"/>
    <w:rsid w:val="0071588F"/>
    <w:rsid w:val="007158E0"/>
    <w:rsid w:val="0071595F"/>
    <w:rsid w:val="007159E3"/>
    <w:rsid w:val="00715A1C"/>
    <w:rsid w:val="00715AE7"/>
    <w:rsid w:val="00715AEB"/>
    <w:rsid w:val="00715B23"/>
    <w:rsid w:val="00715B28"/>
    <w:rsid w:val="00715B67"/>
    <w:rsid w:val="00715B70"/>
    <w:rsid w:val="00715B87"/>
    <w:rsid w:val="00715B88"/>
    <w:rsid w:val="00715C40"/>
    <w:rsid w:val="00715C58"/>
    <w:rsid w:val="00715CD4"/>
    <w:rsid w:val="00715CFE"/>
    <w:rsid w:val="00715D06"/>
    <w:rsid w:val="00715D33"/>
    <w:rsid w:val="00715D89"/>
    <w:rsid w:val="00715E12"/>
    <w:rsid w:val="00715E31"/>
    <w:rsid w:val="00715E62"/>
    <w:rsid w:val="00715F02"/>
    <w:rsid w:val="00715F20"/>
    <w:rsid w:val="00715F7F"/>
    <w:rsid w:val="00715FB8"/>
    <w:rsid w:val="00715FE2"/>
    <w:rsid w:val="00716041"/>
    <w:rsid w:val="0071609A"/>
    <w:rsid w:val="007160A3"/>
    <w:rsid w:val="007160D4"/>
    <w:rsid w:val="00716165"/>
    <w:rsid w:val="007161AF"/>
    <w:rsid w:val="0071621E"/>
    <w:rsid w:val="0071629D"/>
    <w:rsid w:val="007162C8"/>
    <w:rsid w:val="0071632D"/>
    <w:rsid w:val="00716338"/>
    <w:rsid w:val="00716434"/>
    <w:rsid w:val="00716443"/>
    <w:rsid w:val="00716453"/>
    <w:rsid w:val="007165A4"/>
    <w:rsid w:val="007165A6"/>
    <w:rsid w:val="007165A8"/>
    <w:rsid w:val="007165C1"/>
    <w:rsid w:val="007165EA"/>
    <w:rsid w:val="00716622"/>
    <w:rsid w:val="00716628"/>
    <w:rsid w:val="00716657"/>
    <w:rsid w:val="00716659"/>
    <w:rsid w:val="00716759"/>
    <w:rsid w:val="00716763"/>
    <w:rsid w:val="0071676F"/>
    <w:rsid w:val="00716783"/>
    <w:rsid w:val="00716810"/>
    <w:rsid w:val="0071682C"/>
    <w:rsid w:val="0071685A"/>
    <w:rsid w:val="00716867"/>
    <w:rsid w:val="00716884"/>
    <w:rsid w:val="00716919"/>
    <w:rsid w:val="00716992"/>
    <w:rsid w:val="00716A12"/>
    <w:rsid w:val="00716B27"/>
    <w:rsid w:val="00716B3B"/>
    <w:rsid w:val="00716BD3"/>
    <w:rsid w:val="00716BDE"/>
    <w:rsid w:val="00716C81"/>
    <w:rsid w:val="00716C8C"/>
    <w:rsid w:val="00716CBF"/>
    <w:rsid w:val="00716DAA"/>
    <w:rsid w:val="00716DE0"/>
    <w:rsid w:val="00716EA5"/>
    <w:rsid w:val="00716EC7"/>
    <w:rsid w:val="00716F79"/>
    <w:rsid w:val="00717031"/>
    <w:rsid w:val="007170F5"/>
    <w:rsid w:val="00717105"/>
    <w:rsid w:val="0071710A"/>
    <w:rsid w:val="00717167"/>
    <w:rsid w:val="00717171"/>
    <w:rsid w:val="007171E4"/>
    <w:rsid w:val="00717213"/>
    <w:rsid w:val="0071721D"/>
    <w:rsid w:val="00717227"/>
    <w:rsid w:val="007172AD"/>
    <w:rsid w:val="007172C7"/>
    <w:rsid w:val="007172E5"/>
    <w:rsid w:val="007172FE"/>
    <w:rsid w:val="00717333"/>
    <w:rsid w:val="00717398"/>
    <w:rsid w:val="007173EC"/>
    <w:rsid w:val="007174B4"/>
    <w:rsid w:val="007174BE"/>
    <w:rsid w:val="007174D3"/>
    <w:rsid w:val="00717564"/>
    <w:rsid w:val="00717643"/>
    <w:rsid w:val="0071764B"/>
    <w:rsid w:val="0071764F"/>
    <w:rsid w:val="00717690"/>
    <w:rsid w:val="007176CA"/>
    <w:rsid w:val="007176FC"/>
    <w:rsid w:val="00717710"/>
    <w:rsid w:val="00717720"/>
    <w:rsid w:val="00717742"/>
    <w:rsid w:val="0071775D"/>
    <w:rsid w:val="007177DB"/>
    <w:rsid w:val="00717855"/>
    <w:rsid w:val="00717966"/>
    <w:rsid w:val="00717A7A"/>
    <w:rsid w:val="00717B5D"/>
    <w:rsid w:val="00717BCA"/>
    <w:rsid w:val="00717C24"/>
    <w:rsid w:val="00717C6A"/>
    <w:rsid w:val="00717C6B"/>
    <w:rsid w:val="00717CC4"/>
    <w:rsid w:val="00717D12"/>
    <w:rsid w:val="00717D16"/>
    <w:rsid w:val="00717D63"/>
    <w:rsid w:val="00717D91"/>
    <w:rsid w:val="00717DBB"/>
    <w:rsid w:val="00717E0B"/>
    <w:rsid w:val="00717E80"/>
    <w:rsid w:val="00717F16"/>
    <w:rsid w:val="00717F48"/>
    <w:rsid w:val="00717FAB"/>
    <w:rsid w:val="00717FB8"/>
    <w:rsid w:val="00717FF3"/>
    <w:rsid w:val="00720061"/>
    <w:rsid w:val="007200AC"/>
    <w:rsid w:val="007200AF"/>
    <w:rsid w:val="0072010C"/>
    <w:rsid w:val="00720152"/>
    <w:rsid w:val="007201D4"/>
    <w:rsid w:val="00720219"/>
    <w:rsid w:val="00720293"/>
    <w:rsid w:val="00720299"/>
    <w:rsid w:val="007202CB"/>
    <w:rsid w:val="00720350"/>
    <w:rsid w:val="007203EA"/>
    <w:rsid w:val="007203F4"/>
    <w:rsid w:val="00720531"/>
    <w:rsid w:val="007205D1"/>
    <w:rsid w:val="007205E8"/>
    <w:rsid w:val="0072066A"/>
    <w:rsid w:val="00720787"/>
    <w:rsid w:val="00720839"/>
    <w:rsid w:val="007208B2"/>
    <w:rsid w:val="007208D4"/>
    <w:rsid w:val="007208F8"/>
    <w:rsid w:val="0072096B"/>
    <w:rsid w:val="00720A05"/>
    <w:rsid w:val="00720A72"/>
    <w:rsid w:val="00720AD2"/>
    <w:rsid w:val="00720B38"/>
    <w:rsid w:val="00720B82"/>
    <w:rsid w:val="00720B8C"/>
    <w:rsid w:val="00720BCA"/>
    <w:rsid w:val="00720BE4"/>
    <w:rsid w:val="00720CAB"/>
    <w:rsid w:val="00720CBE"/>
    <w:rsid w:val="00720CEB"/>
    <w:rsid w:val="00720D06"/>
    <w:rsid w:val="00720D19"/>
    <w:rsid w:val="00720D34"/>
    <w:rsid w:val="00720D36"/>
    <w:rsid w:val="00720D5E"/>
    <w:rsid w:val="00720D7C"/>
    <w:rsid w:val="00720D88"/>
    <w:rsid w:val="00720D8A"/>
    <w:rsid w:val="00720DB9"/>
    <w:rsid w:val="00720E35"/>
    <w:rsid w:val="00720E59"/>
    <w:rsid w:val="00720E5F"/>
    <w:rsid w:val="00720F3F"/>
    <w:rsid w:val="00720FAF"/>
    <w:rsid w:val="00720FF2"/>
    <w:rsid w:val="00721003"/>
    <w:rsid w:val="00721108"/>
    <w:rsid w:val="0072112A"/>
    <w:rsid w:val="0072117E"/>
    <w:rsid w:val="00721180"/>
    <w:rsid w:val="007211BD"/>
    <w:rsid w:val="007211E4"/>
    <w:rsid w:val="00721294"/>
    <w:rsid w:val="007212C6"/>
    <w:rsid w:val="007212D6"/>
    <w:rsid w:val="00721347"/>
    <w:rsid w:val="0072137D"/>
    <w:rsid w:val="007213C8"/>
    <w:rsid w:val="007213E9"/>
    <w:rsid w:val="00721453"/>
    <w:rsid w:val="0072145C"/>
    <w:rsid w:val="007214DD"/>
    <w:rsid w:val="00721514"/>
    <w:rsid w:val="0072153F"/>
    <w:rsid w:val="0072155A"/>
    <w:rsid w:val="007215B8"/>
    <w:rsid w:val="007215FE"/>
    <w:rsid w:val="00721620"/>
    <w:rsid w:val="007216B6"/>
    <w:rsid w:val="007216CC"/>
    <w:rsid w:val="00721725"/>
    <w:rsid w:val="00721763"/>
    <w:rsid w:val="007217CC"/>
    <w:rsid w:val="007217E3"/>
    <w:rsid w:val="0072180B"/>
    <w:rsid w:val="00721810"/>
    <w:rsid w:val="00721880"/>
    <w:rsid w:val="007218BB"/>
    <w:rsid w:val="00721970"/>
    <w:rsid w:val="00721A25"/>
    <w:rsid w:val="00721A38"/>
    <w:rsid w:val="00721A83"/>
    <w:rsid w:val="00721A92"/>
    <w:rsid w:val="00721AEC"/>
    <w:rsid w:val="00721B77"/>
    <w:rsid w:val="00721BBD"/>
    <w:rsid w:val="00721C15"/>
    <w:rsid w:val="00721C31"/>
    <w:rsid w:val="00721CEE"/>
    <w:rsid w:val="00721D26"/>
    <w:rsid w:val="00721D34"/>
    <w:rsid w:val="00721D75"/>
    <w:rsid w:val="00721D76"/>
    <w:rsid w:val="00721DE8"/>
    <w:rsid w:val="00721E2E"/>
    <w:rsid w:val="00721E6E"/>
    <w:rsid w:val="00721EAC"/>
    <w:rsid w:val="00721EC2"/>
    <w:rsid w:val="00721F4B"/>
    <w:rsid w:val="00721F6D"/>
    <w:rsid w:val="00721FB5"/>
    <w:rsid w:val="00722050"/>
    <w:rsid w:val="00722060"/>
    <w:rsid w:val="007220C7"/>
    <w:rsid w:val="007220EA"/>
    <w:rsid w:val="007220F2"/>
    <w:rsid w:val="00722102"/>
    <w:rsid w:val="0072210A"/>
    <w:rsid w:val="0072210C"/>
    <w:rsid w:val="007221C3"/>
    <w:rsid w:val="00722221"/>
    <w:rsid w:val="00722232"/>
    <w:rsid w:val="0072227D"/>
    <w:rsid w:val="00722351"/>
    <w:rsid w:val="0072242D"/>
    <w:rsid w:val="00722445"/>
    <w:rsid w:val="007224B2"/>
    <w:rsid w:val="007224B9"/>
    <w:rsid w:val="00722506"/>
    <w:rsid w:val="00722579"/>
    <w:rsid w:val="00722583"/>
    <w:rsid w:val="007225AD"/>
    <w:rsid w:val="00722641"/>
    <w:rsid w:val="00722657"/>
    <w:rsid w:val="00722687"/>
    <w:rsid w:val="007226C8"/>
    <w:rsid w:val="007226EC"/>
    <w:rsid w:val="0072270E"/>
    <w:rsid w:val="0072273A"/>
    <w:rsid w:val="00722794"/>
    <w:rsid w:val="00722797"/>
    <w:rsid w:val="007227C1"/>
    <w:rsid w:val="007227CD"/>
    <w:rsid w:val="00722804"/>
    <w:rsid w:val="00722813"/>
    <w:rsid w:val="00722823"/>
    <w:rsid w:val="00722838"/>
    <w:rsid w:val="007228A2"/>
    <w:rsid w:val="007228A8"/>
    <w:rsid w:val="007228B0"/>
    <w:rsid w:val="007228BA"/>
    <w:rsid w:val="0072294C"/>
    <w:rsid w:val="00722997"/>
    <w:rsid w:val="00722A30"/>
    <w:rsid w:val="00722A33"/>
    <w:rsid w:val="00722A3C"/>
    <w:rsid w:val="00722A5B"/>
    <w:rsid w:val="00722AC4"/>
    <w:rsid w:val="00722AE2"/>
    <w:rsid w:val="00722AF1"/>
    <w:rsid w:val="00722B1C"/>
    <w:rsid w:val="00722B53"/>
    <w:rsid w:val="00722B7A"/>
    <w:rsid w:val="00722BE0"/>
    <w:rsid w:val="00722BE2"/>
    <w:rsid w:val="00722BF1"/>
    <w:rsid w:val="00722C60"/>
    <w:rsid w:val="00722C62"/>
    <w:rsid w:val="00722CDB"/>
    <w:rsid w:val="00722D10"/>
    <w:rsid w:val="00722D7F"/>
    <w:rsid w:val="00722D92"/>
    <w:rsid w:val="00722DC6"/>
    <w:rsid w:val="00722E34"/>
    <w:rsid w:val="00722E48"/>
    <w:rsid w:val="00722ED6"/>
    <w:rsid w:val="00722F47"/>
    <w:rsid w:val="00722F5F"/>
    <w:rsid w:val="00722F68"/>
    <w:rsid w:val="00722FDD"/>
    <w:rsid w:val="0072306C"/>
    <w:rsid w:val="0072309D"/>
    <w:rsid w:val="007230E0"/>
    <w:rsid w:val="00723280"/>
    <w:rsid w:val="00723318"/>
    <w:rsid w:val="0072332A"/>
    <w:rsid w:val="00723344"/>
    <w:rsid w:val="0072334B"/>
    <w:rsid w:val="0072335F"/>
    <w:rsid w:val="00723364"/>
    <w:rsid w:val="00723368"/>
    <w:rsid w:val="0072337A"/>
    <w:rsid w:val="0072337F"/>
    <w:rsid w:val="00723398"/>
    <w:rsid w:val="007233A3"/>
    <w:rsid w:val="007233AC"/>
    <w:rsid w:val="007233B3"/>
    <w:rsid w:val="007233CE"/>
    <w:rsid w:val="0072345E"/>
    <w:rsid w:val="007234DA"/>
    <w:rsid w:val="0072351C"/>
    <w:rsid w:val="00723541"/>
    <w:rsid w:val="00723548"/>
    <w:rsid w:val="0072357A"/>
    <w:rsid w:val="00723594"/>
    <w:rsid w:val="0072359E"/>
    <w:rsid w:val="00723631"/>
    <w:rsid w:val="00723644"/>
    <w:rsid w:val="00723691"/>
    <w:rsid w:val="007236AC"/>
    <w:rsid w:val="007236CB"/>
    <w:rsid w:val="0072370E"/>
    <w:rsid w:val="0072372A"/>
    <w:rsid w:val="00723746"/>
    <w:rsid w:val="00723752"/>
    <w:rsid w:val="00723821"/>
    <w:rsid w:val="00723847"/>
    <w:rsid w:val="00723899"/>
    <w:rsid w:val="00723903"/>
    <w:rsid w:val="0072396B"/>
    <w:rsid w:val="007239AB"/>
    <w:rsid w:val="007239BE"/>
    <w:rsid w:val="007239C7"/>
    <w:rsid w:val="00723A47"/>
    <w:rsid w:val="00723A87"/>
    <w:rsid w:val="00723A90"/>
    <w:rsid w:val="00723AF5"/>
    <w:rsid w:val="00723B08"/>
    <w:rsid w:val="00723B1C"/>
    <w:rsid w:val="00723B23"/>
    <w:rsid w:val="00723B5B"/>
    <w:rsid w:val="00723B8F"/>
    <w:rsid w:val="00723C7F"/>
    <w:rsid w:val="00723CB8"/>
    <w:rsid w:val="00723CBB"/>
    <w:rsid w:val="00723CDC"/>
    <w:rsid w:val="00723CE7"/>
    <w:rsid w:val="00723D34"/>
    <w:rsid w:val="00723E30"/>
    <w:rsid w:val="00723E5D"/>
    <w:rsid w:val="00723E74"/>
    <w:rsid w:val="00723E7A"/>
    <w:rsid w:val="00723EEA"/>
    <w:rsid w:val="00723F02"/>
    <w:rsid w:val="00723F0E"/>
    <w:rsid w:val="00723F9D"/>
    <w:rsid w:val="00724044"/>
    <w:rsid w:val="00724069"/>
    <w:rsid w:val="007240C5"/>
    <w:rsid w:val="00724233"/>
    <w:rsid w:val="00724245"/>
    <w:rsid w:val="0072424F"/>
    <w:rsid w:val="0072427C"/>
    <w:rsid w:val="007242A9"/>
    <w:rsid w:val="007242AA"/>
    <w:rsid w:val="007242F1"/>
    <w:rsid w:val="0072435C"/>
    <w:rsid w:val="00724370"/>
    <w:rsid w:val="007243E1"/>
    <w:rsid w:val="0072448A"/>
    <w:rsid w:val="007244A0"/>
    <w:rsid w:val="007244C3"/>
    <w:rsid w:val="007244C5"/>
    <w:rsid w:val="007244D4"/>
    <w:rsid w:val="007244D5"/>
    <w:rsid w:val="00724585"/>
    <w:rsid w:val="0072467F"/>
    <w:rsid w:val="007246EB"/>
    <w:rsid w:val="00724743"/>
    <w:rsid w:val="00724827"/>
    <w:rsid w:val="007248BB"/>
    <w:rsid w:val="0072497B"/>
    <w:rsid w:val="007249EE"/>
    <w:rsid w:val="00724A0A"/>
    <w:rsid w:val="00724BA4"/>
    <w:rsid w:val="00724C0D"/>
    <w:rsid w:val="00724C6E"/>
    <w:rsid w:val="00724CD1"/>
    <w:rsid w:val="00724D2E"/>
    <w:rsid w:val="00724D9E"/>
    <w:rsid w:val="00724DF3"/>
    <w:rsid w:val="00724E03"/>
    <w:rsid w:val="00724E14"/>
    <w:rsid w:val="00724E47"/>
    <w:rsid w:val="00724EBA"/>
    <w:rsid w:val="00724ECA"/>
    <w:rsid w:val="00724EDA"/>
    <w:rsid w:val="00724F0F"/>
    <w:rsid w:val="00724F4D"/>
    <w:rsid w:val="00724F79"/>
    <w:rsid w:val="00725019"/>
    <w:rsid w:val="00725050"/>
    <w:rsid w:val="007250A5"/>
    <w:rsid w:val="007250AB"/>
    <w:rsid w:val="007250BE"/>
    <w:rsid w:val="007250BF"/>
    <w:rsid w:val="007250CA"/>
    <w:rsid w:val="00725116"/>
    <w:rsid w:val="00725118"/>
    <w:rsid w:val="00725136"/>
    <w:rsid w:val="00725229"/>
    <w:rsid w:val="007252B3"/>
    <w:rsid w:val="00725306"/>
    <w:rsid w:val="00725328"/>
    <w:rsid w:val="0072532A"/>
    <w:rsid w:val="0072536A"/>
    <w:rsid w:val="007253CE"/>
    <w:rsid w:val="0072544D"/>
    <w:rsid w:val="0072546E"/>
    <w:rsid w:val="00725493"/>
    <w:rsid w:val="007254A3"/>
    <w:rsid w:val="007254F8"/>
    <w:rsid w:val="0072551A"/>
    <w:rsid w:val="0072551B"/>
    <w:rsid w:val="00725528"/>
    <w:rsid w:val="0072552D"/>
    <w:rsid w:val="00725548"/>
    <w:rsid w:val="0072554F"/>
    <w:rsid w:val="00725560"/>
    <w:rsid w:val="0072557E"/>
    <w:rsid w:val="007255E5"/>
    <w:rsid w:val="0072572F"/>
    <w:rsid w:val="0072577E"/>
    <w:rsid w:val="007257B1"/>
    <w:rsid w:val="0072580A"/>
    <w:rsid w:val="00725848"/>
    <w:rsid w:val="00725898"/>
    <w:rsid w:val="007258CB"/>
    <w:rsid w:val="0072590D"/>
    <w:rsid w:val="007259F0"/>
    <w:rsid w:val="00725A31"/>
    <w:rsid w:val="00725A3E"/>
    <w:rsid w:val="00725A55"/>
    <w:rsid w:val="00725A8A"/>
    <w:rsid w:val="00725ACC"/>
    <w:rsid w:val="00725B40"/>
    <w:rsid w:val="00725B60"/>
    <w:rsid w:val="00725B81"/>
    <w:rsid w:val="00725B90"/>
    <w:rsid w:val="00725BAF"/>
    <w:rsid w:val="00725C45"/>
    <w:rsid w:val="00725CA2"/>
    <w:rsid w:val="00725CF9"/>
    <w:rsid w:val="00725D0B"/>
    <w:rsid w:val="00725D14"/>
    <w:rsid w:val="00725D3C"/>
    <w:rsid w:val="00725D98"/>
    <w:rsid w:val="00725E0A"/>
    <w:rsid w:val="00725E21"/>
    <w:rsid w:val="00725E43"/>
    <w:rsid w:val="00725E76"/>
    <w:rsid w:val="00725E82"/>
    <w:rsid w:val="00725EFB"/>
    <w:rsid w:val="00725FAE"/>
    <w:rsid w:val="00726042"/>
    <w:rsid w:val="0072606D"/>
    <w:rsid w:val="0072606E"/>
    <w:rsid w:val="007260E2"/>
    <w:rsid w:val="007261B2"/>
    <w:rsid w:val="007261BE"/>
    <w:rsid w:val="007261DD"/>
    <w:rsid w:val="007262A1"/>
    <w:rsid w:val="007262A9"/>
    <w:rsid w:val="007262C8"/>
    <w:rsid w:val="007262FD"/>
    <w:rsid w:val="0072630F"/>
    <w:rsid w:val="00726340"/>
    <w:rsid w:val="0072638E"/>
    <w:rsid w:val="007263CA"/>
    <w:rsid w:val="007263E4"/>
    <w:rsid w:val="00726420"/>
    <w:rsid w:val="00726499"/>
    <w:rsid w:val="007264A1"/>
    <w:rsid w:val="007264C5"/>
    <w:rsid w:val="007264F8"/>
    <w:rsid w:val="00726543"/>
    <w:rsid w:val="0072655A"/>
    <w:rsid w:val="0072656E"/>
    <w:rsid w:val="00726591"/>
    <w:rsid w:val="007265B5"/>
    <w:rsid w:val="007265BE"/>
    <w:rsid w:val="007265BF"/>
    <w:rsid w:val="007265E6"/>
    <w:rsid w:val="007265F2"/>
    <w:rsid w:val="0072661F"/>
    <w:rsid w:val="00726647"/>
    <w:rsid w:val="007266F1"/>
    <w:rsid w:val="0072670E"/>
    <w:rsid w:val="00726772"/>
    <w:rsid w:val="007267FB"/>
    <w:rsid w:val="00726803"/>
    <w:rsid w:val="0072683D"/>
    <w:rsid w:val="00726852"/>
    <w:rsid w:val="00726857"/>
    <w:rsid w:val="007268B2"/>
    <w:rsid w:val="00726993"/>
    <w:rsid w:val="007269FD"/>
    <w:rsid w:val="00726A10"/>
    <w:rsid w:val="00726A4A"/>
    <w:rsid w:val="00726A4E"/>
    <w:rsid w:val="00726AC4"/>
    <w:rsid w:val="00726B0D"/>
    <w:rsid w:val="00726B27"/>
    <w:rsid w:val="00726B46"/>
    <w:rsid w:val="00726B96"/>
    <w:rsid w:val="00726BAA"/>
    <w:rsid w:val="00726C3D"/>
    <w:rsid w:val="00726CA3"/>
    <w:rsid w:val="00726CD0"/>
    <w:rsid w:val="00726CF3"/>
    <w:rsid w:val="00726CFD"/>
    <w:rsid w:val="00726D5A"/>
    <w:rsid w:val="00726D6B"/>
    <w:rsid w:val="00726D9C"/>
    <w:rsid w:val="00726DAA"/>
    <w:rsid w:val="00726DAD"/>
    <w:rsid w:val="00726DB1"/>
    <w:rsid w:val="00726DE1"/>
    <w:rsid w:val="00726E04"/>
    <w:rsid w:val="00726E14"/>
    <w:rsid w:val="00726E31"/>
    <w:rsid w:val="00726E32"/>
    <w:rsid w:val="00726E7C"/>
    <w:rsid w:val="00726F2C"/>
    <w:rsid w:val="00726F2F"/>
    <w:rsid w:val="00726F42"/>
    <w:rsid w:val="00726F9F"/>
    <w:rsid w:val="00727017"/>
    <w:rsid w:val="00727023"/>
    <w:rsid w:val="007270BF"/>
    <w:rsid w:val="007270CC"/>
    <w:rsid w:val="0072713A"/>
    <w:rsid w:val="0072713E"/>
    <w:rsid w:val="00727160"/>
    <w:rsid w:val="0072716A"/>
    <w:rsid w:val="0072716D"/>
    <w:rsid w:val="007271C0"/>
    <w:rsid w:val="007271D5"/>
    <w:rsid w:val="0072723D"/>
    <w:rsid w:val="0072725C"/>
    <w:rsid w:val="007272DD"/>
    <w:rsid w:val="007272E7"/>
    <w:rsid w:val="00727403"/>
    <w:rsid w:val="0072741E"/>
    <w:rsid w:val="00727431"/>
    <w:rsid w:val="00727462"/>
    <w:rsid w:val="007274E2"/>
    <w:rsid w:val="00727507"/>
    <w:rsid w:val="007275FD"/>
    <w:rsid w:val="0072761C"/>
    <w:rsid w:val="0072764C"/>
    <w:rsid w:val="00727655"/>
    <w:rsid w:val="00727660"/>
    <w:rsid w:val="00727675"/>
    <w:rsid w:val="007276F3"/>
    <w:rsid w:val="0072770E"/>
    <w:rsid w:val="0072776F"/>
    <w:rsid w:val="007277A8"/>
    <w:rsid w:val="007277B6"/>
    <w:rsid w:val="0072786C"/>
    <w:rsid w:val="007278CE"/>
    <w:rsid w:val="007278DD"/>
    <w:rsid w:val="00727937"/>
    <w:rsid w:val="00727952"/>
    <w:rsid w:val="00727954"/>
    <w:rsid w:val="00727AF2"/>
    <w:rsid w:val="00727B22"/>
    <w:rsid w:val="00727B91"/>
    <w:rsid w:val="00727B98"/>
    <w:rsid w:val="00727BB1"/>
    <w:rsid w:val="00727BCC"/>
    <w:rsid w:val="00727C0F"/>
    <w:rsid w:val="00727C7B"/>
    <w:rsid w:val="00727CC2"/>
    <w:rsid w:val="00727CD7"/>
    <w:rsid w:val="00727D30"/>
    <w:rsid w:val="00727D9A"/>
    <w:rsid w:val="00727E5A"/>
    <w:rsid w:val="00727F1E"/>
    <w:rsid w:val="00727F3F"/>
    <w:rsid w:val="00730008"/>
    <w:rsid w:val="00730039"/>
    <w:rsid w:val="00730063"/>
    <w:rsid w:val="007300E6"/>
    <w:rsid w:val="00730127"/>
    <w:rsid w:val="00730156"/>
    <w:rsid w:val="00730199"/>
    <w:rsid w:val="007301C4"/>
    <w:rsid w:val="007301E7"/>
    <w:rsid w:val="00730236"/>
    <w:rsid w:val="007302B2"/>
    <w:rsid w:val="007302C0"/>
    <w:rsid w:val="007302EE"/>
    <w:rsid w:val="00730356"/>
    <w:rsid w:val="0073037F"/>
    <w:rsid w:val="007303B7"/>
    <w:rsid w:val="00730442"/>
    <w:rsid w:val="00730462"/>
    <w:rsid w:val="00730496"/>
    <w:rsid w:val="007304DE"/>
    <w:rsid w:val="00730522"/>
    <w:rsid w:val="007305E8"/>
    <w:rsid w:val="007305FC"/>
    <w:rsid w:val="00730673"/>
    <w:rsid w:val="007306AA"/>
    <w:rsid w:val="007306F5"/>
    <w:rsid w:val="0073071B"/>
    <w:rsid w:val="007307EE"/>
    <w:rsid w:val="00730857"/>
    <w:rsid w:val="00730893"/>
    <w:rsid w:val="007308A9"/>
    <w:rsid w:val="007308C8"/>
    <w:rsid w:val="00730902"/>
    <w:rsid w:val="00730921"/>
    <w:rsid w:val="00730939"/>
    <w:rsid w:val="00730946"/>
    <w:rsid w:val="00730949"/>
    <w:rsid w:val="007309BA"/>
    <w:rsid w:val="00730A2F"/>
    <w:rsid w:val="00730A32"/>
    <w:rsid w:val="00730A5E"/>
    <w:rsid w:val="00730A66"/>
    <w:rsid w:val="00730A6D"/>
    <w:rsid w:val="00730A80"/>
    <w:rsid w:val="00730A87"/>
    <w:rsid w:val="00730AB6"/>
    <w:rsid w:val="00730B64"/>
    <w:rsid w:val="00730B77"/>
    <w:rsid w:val="00730B95"/>
    <w:rsid w:val="00730BBA"/>
    <w:rsid w:val="00730C22"/>
    <w:rsid w:val="00730C3F"/>
    <w:rsid w:val="00730C4A"/>
    <w:rsid w:val="00730CBF"/>
    <w:rsid w:val="00730D2B"/>
    <w:rsid w:val="00730D48"/>
    <w:rsid w:val="00730D8D"/>
    <w:rsid w:val="00730DBE"/>
    <w:rsid w:val="00730DF0"/>
    <w:rsid w:val="00730EAA"/>
    <w:rsid w:val="00730EC1"/>
    <w:rsid w:val="00730EC8"/>
    <w:rsid w:val="00730EE2"/>
    <w:rsid w:val="00730F85"/>
    <w:rsid w:val="00731012"/>
    <w:rsid w:val="0073101A"/>
    <w:rsid w:val="00731067"/>
    <w:rsid w:val="00731071"/>
    <w:rsid w:val="007310DC"/>
    <w:rsid w:val="007310DF"/>
    <w:rsid w:val="0073110A"/>
    <w:rsid w:val="00731134"/>
    <w:rsid w:val="007311E4"/>
    <w:rsid w:val="00731220"/>
    <w:rsid w:val="00731270"/>
    <w:rsid w:val="0073128C"/>
    <w:rsid w:val="007312B3"/>
    <w:rsid w:val="0073132E"/>
    <w:rsid w:val="00731334"/>
    <w:rsid w:val="007313BD"/>
    <w:rsid w:val="00731422"/>
    <w:rsid w:val="00731429"/>
    <w:rsid w:val="00731469"/>
    <w:rsid w:val="0073149A"/>
    <w:rsid w:val="007314BD"/>
    <w:rsid w:val="007314BE"/>
    <w:rsid w:val="007314C7"/>
    <w:rsid w:val="007314DA"/>
    <w:rsid w:val="00731521"/>
    <w:rsid w:val="00731525"/>
    <w:rsid w:val="00731575"/>
    <w:rsid w:val="007315FE"/>
    <w:rsid w:val="0073167E"/>
    <w:rsid w:val="00731691"/>
    <w:rsid w:val="007316BE"/>
    <w:rsid w:val="007316CB"/>
    <w:rsid w:val="00731735"/>
    <w:rsid w:val="00731748"/>
    <w:rsid w:val="00731813"/>
    <w:rsid w:val="00731857"/>
    <w:rsid w:val="00731891"/>
    <w:rsid w:val="0073196C"/>
    <w:rsid w:val="00731A09"/>
    <w:rsid w:val="00731A17"/>
    <w:rsid w:val="00731A25"/>
    <w:rsid w:val="00731A66"/>
    <w:rsid w:val="00731ACB"/>
    <w:rsid w:val="00731AD3"/>
    <w:rsid w:val="00731AEA"/>
    <w:rsid w:val="00731AEE"/>
    <w:rsid w:val="00731CDE"/>
    <w:rsid w:val="00731D05"/>
    <w:rsid w:val="00731D2F"/>
    <w:rsid w:val="00731D67"/>
    <w:rsid w:val="00731DA3"/>
    <w:rsid w:val="00731EE6"/>
    <w:rsid w:val="00731F08"/>
    <w:rsid w:val="00731F0F"/>
    <w:rsid w:val="00731F39"/>
    <w:rsid w:val="00731F5A"/>
    <w:rsid w:val="00731FA6"/>
    <w:rsid w:val="00731FF8"/>
    <w:rsid w:val="00732027"/>
    <w:rsid w:val="00732098"/>
    <w:rsid w:val="0073214E"/>
    <w:rsid w:val="00732163"/>
    <w:rsid w:val="007321E7"/>
    <w:rsid w:val="007321F7"/>
    <w:rsid w:val="0073224C"/>
    <w:rsid w:val="007322A8"/>
    <w:rsid w:val="007322BC"/>
    <w:rsid w:val="00732364"/>
    <w:rsid w:val="00732375"/>
    <w:rsid w:val="007323D4"/>
    <w:rsid w:val="007323D7"/>
    <w:rsid w:val="007324BD"/>
    <w:rsid w:val="00732513"/>
    <w:rsid w:val="007325CF"/>
    <w:rsid w:val="0073265A"/>
    <w:rsid w:val="007326CB"/>
    <w:rsid w:val="0073270A"/>
    <w:rsid w:val="00732741"/>
    <w:rsid w:val="0073275C"/>
    <w:rsid w:val="007327AD"/>
    <w:rsid w:val="00732819"/>
    <w:rsid w:val="00732824"/>
    <w:rsid w:val="00732828"/>
    <w:rsid w:val="007328CC"/>
    <w:rsid w:val="007328E0"/>
    <w:rsid w:val="00732914"/>
    <w:rsid w:val="0073292A"/>
    <w:rsid w:val="007329B7"/>
    <w:rsid w:val="00732A28"/>
    <w:rsid w:val="00732A93"/>
    <w:rsid w:val="00732AA7"/>
    <w:rsid w:val="00732B38"/>
    <w:rsid w:val="00732B81"/>
    <w:rsid w:val="00732BF3"/>
    <w:rsid w:val="00732C2F"/>
    <w:rsid w:val="00732C7F"/>
    <w:rsid w:val="00732D0B"/>
    <w:rsid w:val="00732D11"/>
    <w:rsid w:val="00732E16"/>
    <w:rsid w:val="00732E6F"/>
    <w:rsid w:val="00732E80"/>
    <w:rsid w:val="00732E87"/>
    <w:rsid w:val="00732F19"/>
    <w:rsid w:val="00732F9A"/>
    <w:rsid w:val="0073306D"/>
    <w:rsid w:val="00733070"/>
    <w:rsid w:val="007330BB"/>
    <w:rsid w:val="007330C4"/>
    <w:rsid w:val="007330F6"/>
    <w:rsid w:val="00733149"/>
    <w:rsid w:val="0073315F"/>
    <w:rsid w:val="007331A1"/>
    <w:rsid w:val="007331B9"/>
    <w:rsid w:val="007331BE"/>
    <w:rsid w:val="007331DD"/>
    <w:rsid w:val="00733208"/>
    <w:rsid w:val="00733297"/>
    <w:rsid w:val="007332B7"/>
    <w:rsid w:val="007333AB"/>
    <w:rsid w:val="00733448"/>
    <w:rsid w:val="007334A7"/>
    <w:rsid w:val="00733525"/>
    <w:rsid w:val="00733570"/>
    <w:rsid w:val="007335E7"/>
    <w:rsid w:val="007336D8"/>
    <w:rsid w:val="007336E7"/>
    <w:rsid w:val="007336F8"/>
    <w:rsid w:val="00733742"/>
    <w:rsid w:val="0073374B"/>
    <w:rsid w:val="0073374E"/>
    <w:rsid w:val="007337BF"/>
    <w:rsid w:val="007337E2"/>
    <w:rsid w:val="007337ED"/>
    <w:rsid w:val="007337F3"/>
    <w:rsid w:val="007337F8"/>
    <w:rsid w:val="007337FC"/>
    <w:rsid w:val="00733822"/>
    <w:rsid w:val="00733831"/>
    <w:rsid w:val="00733865"/>
    <w:rsid w:val="00733986"/>
    <w:rsid w:val="007339FD"/>
    <w:rsid w:val="00733A06"/>
    <w:rsid w:val="00733A17"/>
    <w:rsid w:val="00733A3A"/>
    <w:rsid w:val="00733A45"/>
    <w:rsid w:val="00733A6D"/>
    <w:rsid w:val="00733B86"/>
    <w:rsid w:val="00733C19"/>
    <w:rsid w:val="00733C2C"/>
    <w:rsid w:val="00733C70"/>
    <w:rsid w:val="00733CEE"/>
    <w:rsid w:val="00733D4A"/>
    <w:rsid w:val="00733D6A"/>
    <w:rsid w:val="00733D9F"/>
    <w:rsid w:val="00733DD5"/>
    <w:rsid w:val="00733E51"/>
    <w:rsid w:val="00733EAF"/>
    <w:rsid w:val="00734014"/>
    <w:rsid w:val="007340BF"/>
    <w:rsid w:val="007340F9"/>
    <w:rsid w:val="00734163"/>
    <w:rsid w:val="007341F5"/>
    <w:rsid w:val="007341F9"/>
    <w:rsid w:val="0073421C"/>
    <w:rsid w:val="00734268"/>
    <w:rsid w:val="00734269"/>
    <w:rsid w:val="007342D4"/>
    <w:rsid w:val="007342E1"/>
    <w:rsid w:val="007342EE"/>
    <w:rsid w:val="0073432E"/>
    <w:rsid w:val="00734352"/>
    <w:rsid w:val="007343BC"/>
    <w:rsid w:val="007343F3"/>
    <w:rsid w:val="00734435"/>
    <w:rsid w:val="007344D8"/>
    <w:rsid w:val="00734508"/>
    <w:rsid w:val="0073457C"/>
    <w:rsid w:val="0073459C"/>
    <w:rsid w:val="007345B2"/>
    <w:rsid w:val="007345B9"/>
    <w:rsid w:val="007345BA"/>
    <w:rsid w:val="00734674"/>
    <w:rsid w:val="007346E0"/>
    <w:rsid w:val="007346FF"/>
    <w:rsid w:val="00734705"/>
    <w:rsid w:val="00734742"/>
    <w:rsid w:val="007347CD"/>
    <w:rsid w:val="007347F8"/>
    <w:rsid w:val="00734818"/>
    <w:rsid w:val="00734833"/>
    <w:rsid w:val="00734863"/>
    <w:rsid w:val="007348D5"/>
    <w:rsid w:val="00734906"/>
    <w:rsid w:val="00734A17"/>
    <w:rsid w:val="00734AF9"/>
    <w:rsid w:val="00734B0F"/>
    <w:rsid w:val="00734B5C"/>
    <w:rsid w:val="00734B81"/>
    <w:rsid w:val="00734BC9"/>
    <w:rsid w:val="00734BD6"/>
    <w:rsid w:val="00734C5D"/>
    <w:rsid w:val="00734C5E"/>
    <w:rsid w:val="00734C95"/>
    <w:rsid w:val="00734D0C"/>
    <w:rsid w:val="00734D39"/>
    <w:rsid w:val="00734D4E"/>
    <w:rsid w:val="00734D5B"/>
    <w:rsid w:val="00734DC8"/>
    <w:rsid w:val="00734DCF"/>
    <w:rsid w:val="00734DF1"/>
    <w:rsid w:val="00734DF3"/>
    <w:rsid w:val="00734E47"/>
    <w:rsid w:val="00734EE2"/>
    <w:rsid w:val="00734F05"/>
    <w:rsid w:val="00734F29"/>
    <w:rsid w:val="00734F2B"/>
    <w:rsid w:val="00734F40"/>
    <w:rsid w:val="00734F71"/>
    <w:rsid w:val="00734FBA"/>
    <w:rsid w:val="00734FDE"/>
    <w:rsid w:val="00735041"/>
    <w:rsid w:val="0073507C"/>
    <w:rsid w:val="007351A1"/>
    <w:rsid w:val="00735262"/>
    <w:rsid w:val="00735334"/>
    <w:rsid w:val="00735335"/>
    <w:rsid w:val="00735361"/>
    <w:rsid w:val="00735388"/>
    <w:rsid w:val="007353D3"/>
    <w:rsid w:val="007353FF"/>
    <w:rsid w:val="00735454"/>
    <w:rsid w:val="007354CC"/>
    <w:rsid w:val="00735510"/>
    <w:rsid w:val="00735513"/>
    <w:rsid w:val="00735518"/>
    <w:rsid w:val="00735547"/>
    <w:rsid w:val="0073556F"/>
    <w:rsid w:val="007355B9"/>
    <w:rsid w:val="00735639"/>
    <w:rsid w:val="0073565C"/>
    <w:rsid w:val="007356AB"/>
    <w:rsid w:val="00735732"/>
    <w:rsid w:val="00735763"/>
    <w:rsid w:val="007357B0"/>
    <w:rsid w:val="007357CD"/>
    <w:rsid w:val="00735804"/>
    <w:rsid w:val="0073580D"/>
    <w:rsid w:val="0073589A"/>
    <w:rsid w:val="007358A5"/>
    <w:rsid w:val="007358B0"/>
    <w:rsid w:val="007358E7"/>
    <w:rsid w:val="007358F1"/>
    <w:rsid w:val="00735920"/>
    <w:rsid w:val="00735966"/>
    <w:rsid w:val="0073598F"/>
    <w:rsid w:val="007359B4"/>
    <w:rsid w:val="007359D7"/>
    <w:rsid w:val="00735A02"/>
    <w:rsid w:val="00735AA3"/>
    <w:rsid w:val="00735B1E"/>
    <w:rsid w:val="00735B1F"/>
    <w:rsid w:val="00735B6F"/>
    <w:rsid w:val="00735B94"/>
    <w:rsid w:val="00735C3B"/>
    <w:rsid w:val="00735DC8"/>
    <w:rsid w:val="00735E0D"/>
    <w:rsid w:val="00735E24"/>
    <w:rsid w:val="00735E46"/>
    <w:rsid w:val="00735E4F"/>
    <w:rsid w:val="00735E9A"/>
    <w:rsid w:val="00735F02"/>
    <w:rsid w:val="00735F06"/>
    <w:rsid w:val="00735F85"/>
    <w:rsid w:val="00735F95"/>
    <w:rsid w:val="00735F9B"/>
    <w:rsid w:val="00736007"/>
    <w:rsid w:val="0073600C"/>
    <w:rsid w:val="00736012"/>
    <w:rsid w:val="00736078"/>
    <w:rsid w:val="007360B1"/>
    <w:rsid w:val="007360E6"/>
    <w:rsid w:val="007360EB"/>
    <w:rsid w:val="0073610A"/>
    <w:rsid w:val="00736193"/>
    <w:rsid w:val="007361A8"/>
    <w:rsid w:val="007361B5"/>
    <w:rsid w:val="007361EE"/>
    <w:rsid w:val="00736219"/>
    <w:rsid w:val="00736226"/>
    <w:rsid w:val="0073627E"/>
    <w:rsid w:val="0073628E"/>
    <w:rsid w:val="0073629D"/>
    <w:rsid w:val="007362ED"/>
    <w:rsid w:val="007363A1"/>
    <w:rsid w:val="00736404"/>
    <w:rsid w:val="00736407"/>
    <w:rsid w:val="00736438"/>
    <w:rsid w:val="007364B1"/>
    <w:rsid w:val="007364E1"/>
    <w:rsid w:val="00736545"/>
    <w:rsid w:val="00736547"/>
    <w:rsid w:val="0073654C"/>
    <w:rsid w:val="007365AC"/>
    <w:rsid w:val="007365D1"/>
    <w:rsid w:val="007366D6"/>
    <w:rsid w:val="007366F9"/>
    <w:rsid w:val="007366FF"/>
    <w:rsid w:val="0073671E"/>
    <w:rsid w:val="00736728"/>
    <w:rsid w:val="0073672C"/>
    <w:rsid w:val="00736735"/>
    <w:rsid w:val="007367FD"/>
    <w:rsid w:val="00736825"/>
    <w:rsid w:val="00736867"/>
    <w:rsid w:val="0073687E"/>
    <w:rsid w:val="007368D8"/>
    <w:rsid w:val="007368FE"/>
    <w:rsid w:val="0073697E"/>
    <w:rsid w:val="007369AF"/>
    <w:rsid w:val="007369FB"/>
    <w:rsid w:val="00736A7C"/>
    <w:rsid w:val="00736A99"/>
    <w:rsid w:val="00736AAD"/>
    <w:rsid w:val="00736AB9"/>
    <w:rsid w:val="00736ADB"/>
    <w:rsid w:val="00736B7B"/>
    <w:rsid w:val="00736B96"/>
    <w:rsid w:val="00736BB6"/>
    <w:rsid w:val="00736C13"/>
    <w:rsid w:val="00736C4E"/>
    <w:rsid w:val="00736C50"/>
    <w:rsid w:val="00736CCC"/>
    <w:rsid w:val="00736D10"/>
    <w:rsid w:val="00736D24"/>
    <w:rsid w:val="00736DC5"/>
    <w:rsid w:val="00736E50"/>
    <w:rsid w:val="00736EA6"/>
    <w:rsid w:val="00736EBA"/>
    <w:rsid w:val="00736F1D"/>
    <w:rsid w:val="00736F2B"/>
    <w:rsid w:val="00736F74"/>
    <w:rsid w:val="00736F7C"/>
    <w:rsid w:val="00736F85"/>
    <w:rsid w:val="00736FEE"/>
    <w:rsid w:val="00736FEF"/>
    <w:rsid w:val="0073706A"/>
    <w:rsid w:val="00737092"/>
    <w:rsid w:val="007371BA"/>
    <w:rsid w:val="007371ED"/>
    <w:rsid w:val="00737220"/>
    <w:rsid w:val="0073727C"/>
    <w:rsid w:val="0073728C"/>
    <w:rsid w:val="007372B1"/>
    <w:rsid w:val="007372E2"/>
    <w:rsid w:val="007373D4"/>
    <w:rsid w:val="007373F0"/>
    <w:rsid w:val="00737438"/>
    <w:rsid w:val="00737451"/>
    <w:rsid w:val="00737490"/>
    <w:rsid w:val="00737492"/>
    <w:rsid w:val="00737519"/>
    <w:rsid w:val="0073752A"/>
    <w:rsid w:val="00737559"/>
    <w:rsid w:val="0073758D"/>
    <w:rsid w:val="007375E2"/>
    <w:rsid w:val="007375F1"/>
    <w:rsid w:val="007375F2"/>
    <w:rsid w:val="00737607"/>
    <w:rsid w:val="00737617"/>
    <w:rsid w:val="00737686"/>
    <w:rsid w:val="007376C6"/>
    <w:rsid w:val="007376FE"/>
    <w:rsid w:val="00737746"/>
    <w:rsid w:val="007377AE"/>
    <w:rsid w:val="007377CE"/>
    <w:rsid w:val="007378CA"/>
    <w:rsid w:val="00737900"/>
    <w:rsid w:val="0073795C"/>
    <w:rsid w:val="00737971"/>
    <w:rsid w:val="00737998"/>
    <w:rsid w:val="0073799E"/>
    <w:rsid w:val="007379C4"/>
    <w:rsid w:val="00737AA2"/>
    <w:rsid w:val="00737AEE"/>
    <w:rsid w:val="00737B2B"/>
    <w:rsid w:val="00737BA6"/>
    <w:rsid w:val="00737BB3"/>
    <w:rsid w:val="00737C0B"/>
    <w:rsid w:val="00737C3A"/>
    <w:rsid w:val="00737CB1"/>
    <w:rsid w:val="00737CBA"/>
    <w:rsid w:val="00737CE1"/>
    <w:rsid w:val="00737D9F"/>
    <w:rsid w:val="00737DD6"/>
    <w:rsid w:val="00737E29"/>
    <w:rsid w:val="00737E69"/>
    <w:rsid w:val="00737E79"/>
    <w:rsid w:val="00737E94"/>
    <w:rsid w:val="00737ED1"/>
    <w:rsid w:val="00737EDA"/>
    <w:rsid w:val="00737EDD"/>
    <w:rsid w:val="00737EEF"/>
    <w:rsid w:val="00737F1B"/>
    <w:rsid w:val="00737F2B"/>
    <w:rsid w:val="00737F7E"/>
    <w:rsid w:val="00737FCC"/>
    <w:rsid w:val="00740080"/>
    <w:rsid w:val="0074013E"/>
    <w:rsid w:val="00740156"/>
    <w:rsid w:val="007401AE"/>
    <w:rsid w:val="007401D4"/>
    <w:rsid w:val="00740238"/>
    <w:rsid w:val="007402A3"/>
    <w:rsid w:val="007402B3"/>
    <w:rsid w:val="007402E9"/>
    <w:rsid w:val="00740367"/>
    <w:rsid w:val="00740400"/>
    <w:rsid w:val="0074043F"/>
    <w:rsid w:val="007404B5"/>
    <w:rsid w:val="007404BD"/>
    <w:rsid w:val="00740500"/>
    <w:rsid w:val="0074056C"/>
    <w:rsid w:val="0074057E"/>
    <w:rsid w:val="0074057F"/>
    <w:rsid w:val="007405CE"/>
    <w:rsid w:val="007405EF"/>
    <w:rsid w:val="00740623"/>
    <w:rsid w:val="0074065B"/>
    <w:rsid w:val="0074079C"/>
    <w:rsid w:val="00740837"/>
    <w:rsid w:val="0074087F"/>
    <w:rsid w:val="007409D1"/>
    <w:rsid w:val="007409F7"/>
    <w:rsid w:val="00740A7B"/>
    <w:rsid w:val="00740AAA"/>
    <w:rsid w:val="00740B0F"/>
    <w:rsid w:val="00740B32"/>
    <w:rsid w:val="00740B72"/>
    <w:rsid w:val="00740BAC"/>
    <w:rsid w:val="00740BB1"/>
    <w:rsid w:val="00740BE7"/>
    <w:rsid w:val="00740C59"/>
    <w:rsid w:val="00740CAA"/>
    <w:rsid w:val="00740CCC"/>
    <w:rsid w:val="00740D61"/>
    <w:rsid w:val="00740D8E"/>
    <w:rsid w:val="00740DF8"/>
    <w:rsid w:val="00740E13"/>
    <w:rsid w:val="00740E36"/>
    <w:rsid w:val="00740E6D"/>
    <w:rsid w:val="00740E76"/>
    <w:rsid w:val="00740E8B"/>
    <w:rsid w:val="00740EAC"/>
    <w:rsid w:val="00740ECE"/>
    <w:rsid w:val="00740F2C"/>
    <w:rsid w:val="00740F5B"/>
    <w:rsid w:val="00740FC7"/>
    <w:rsid w:val="00741018"/>
    <w:rsid w:val="0074102D"/>
    <w:rsid w:val="0074104B"/>
    <w:rsid w:val="0074105A"/>
    <w:rsid w:val="00741071"/>
    <w:rsid w:val="0074109F"/>
    <w:rsid w:val="00741181"/>
    <w:rsid w:val="007411E2"/>
    <w:rsid w:val="00741296"/>
    <w:rsid w:val="007412A9"/>
    <w:rsid w:val="007412D6"/>
    <w:rsid w:val="007412FE"/>
    <w:rsid w:val="00741325"/>
    <w:rsid w:val="00741359"/>
    <w:rsid w:val="00741389"/>
    <w:rsid w:val="007413C5"/>
    <w:rsid w:val="00741446"/>
    <w:rsid w:val="007414A4"/>
    <w:rsid w:val="007414B2"/>
    <w:rsid w:val="00741504"/>
    <w:rsid w:val="0074154E"/>
    <w:rsid w:val="0074154F"/>
    <w:rsid w:val="007415BB"/>
    <w:rsid w:val="007415C1"/>
    <w:rsid w:val="007415F2"/>
    <w:rsid w:val="007415FA"/>
    <w:rsid w:val="00741619"/>
    <w:rsid w:val="007416BD"/>
    <w:rsid w:val="00741790"/>
    <w:rsid w:val="0074179C"/>
    <w:rsid w:val="007417AC"/>
    <w:rsid w:val="00741859"/>
    <w:rsid w:val="007418BD"/>
    <w:rsid w:val="007418D0"/>
    <w:rsid w:val="007418E5"/>
    <w:rsid w:val="0074192D"/>
    <w:rsid w:val="00741956"/>
    <w:rsid w:val="00741988"/>
    <w:rsid w:val="007419B5"/>
    <w:rsid w:val="007419C1"/>
    <w:rsid w:val="007419D0"/>
    <w:rsid w:val="00741A47"/>
    <w:rsid w:val="00741ABE"/>
    <w:rsid w:val="00741AC0"/>
    <w:rsid w:val="00741AEB"/>
    <w:rsid w:val="00741AF4"/>
    <w:rsid w:val="00741B0D"/>
    <w:rsid w:val="00741B4D"/>
    <w:rsid w:val="00741B8A"/>
    <w:rsid w:val="00741BEA"/>
    <w:rsid w:val="00741BF3"/>
    <w:rsid w:val="00741C1C"/>
    <w:rsid w:val="00741C7B"/>
    <w:rsid w:val="00741D07"/>
    <w:rsid w:val="00741D11"/>
    <w:rsid w:val="00741D72"/>
    <w:rsid w:val="00741D7B"/>
    <w:rsid w:val="00741D86"/>
    <w:rsid w:val="00741E2A"/>
    <w:rsid w:val="00741ED2"/>
    <w:rsid w:val="00741F72"/>
    <w:rsid w:val="00741F7B"/>
    <w:rsid w:val="00741FBE"/>
    <w:rsid w:val="00741FCA"/>
    <w:rsid w:val="00741FF0"/>
    <w:rsid w:val="00742034"/>
    <w:rsid w:val="00742040"/>
    <w:rsid w:val="007420AC"/>
    <w:rsid w:val="007420F2"/>
    <w:rsid w:val="00742136"/>
    <w:rsid w:val="0074213B"/>
    <w:rsid w:val="007421D2"/>
    <w:rsid w:val="007421D3"/>
    <w:rsid w:val="007422C2"/>
    <w:rsid w:val="007422FF"/>
    <w:rsid w:val="00742311"/>
    <w:rsid w:val="00742341"/>
    <w:rsid w:val="0074235F"/>
    <w:rsid w:val="00742365"/>
    <w:rsid w:val="00742366"/>
    <w:rsid w:val="00742373"/>
    <w:rsid w:val="007423D3"/>
    <w:rsid w:val="0074245F"/>
    <w:rsid w:val="0074248E"/>
    <w:rsid w:val="007424F8"/>
    <w:rsid w:val="007427BF"/>
    <w:rsid w:val="007427F7"/>
    <w:rsid w:val="00742806"/>
    <w:rsid w:val="00742807"/>
    <w:rsid w:val="0074280E"/>
    <w:rsid w:val="00742839"/>
    <w:rsid w:val="00742909"/>
    <w:rsid w:val="00742950"/>
    <w:rsid w:val="0074295E"/>
    <w:rsid w:val="00742966"/>
    <w:rsid w:val="00742972"/>
    <w:rsid w:val="007429D3"/>
    <w:rsid w:val="00742A6E"/>
    <w:rsid w:val="00742A8E"/>
    <w:rsid w:val="00742A90"/>
    <w:rsid w:val="00742B3E"/>
    <w:rsid w:val="00742B7A"/>
    <w:rsid w:val="00742BAD"/>
    <w:rsid w:val="00742BB8"/>
    <w:rsid w:val="00742BD0"/>
    <w:rsid w:val="00742C1D"/>
    <w:rsid w:val="00742C28"/>
    <w:rsid w:val="00742C45"/>
    <w:rsid w:val="00742CB3"/>
    <w:rsid w:val="00742D31"/>
    <w:rsid w:val="00742D9E"/>
    <w:rsid w:val="00742DE0"/>
    <w:rsid w:val="00742E40"/>
    <w:rsid w:val="00742E69"/>
    <w:rsid w:val="00742E91"/>
    <w:rsid w:val="00742EE4"/>
    <w:rsid w:val="00742F3B"/>
    <w:rsid w:val="00742F52"/>
    <w:rsid w:val="00742F54"/>
    <w:rsid w:val="00742F73"/>
    <w:rsid w:val="00742F8D"/>
    <w:rsid w:val="00742FA0"/>
    <w:rsid w:val="0074306B"/>
    <w:rsid w:val="00743087"/>
    <w:rsid w:val="0074309A"/>
    <w:rsid w:val="007430B2"/>
    <w:rsid w:val="00743157"/>
    <w:rsid w:val="0074317F"/>
    <w:rsid w:val="007431F7"/>
    <w:rsid w:val="0074326F"/>
    <w:rsid w:val="00743278"/>
    <w:rsid w:val="0074338B"/>
    <w:rsid w:val="00743392"/>
    <w:rsid w:val="00743415"/>
    <w:rsid w:val="0074343F"/>
    <w:rsid w:val="007434D3"/>
    <w:rsid w:val="00743534"/>
    <w:rsid w:val="007435FA"/>
    <w:rsid w:val="00743676"/>
    <w:rsid w:val="00743677"/>
    <w:rsid w:val="007436AD"/>
    <w:rsid w:val="007436DD"/>
    <w:rsid w:val="00743707"/>
    <w:rsid w:val="00743727"/>
    <w:rsid w:val="0074376A"/>
    <w:rsid w:val="00743787"/>
    <w:rsid w:val="0074381E"/>
    <w:rsid w:val="00743821"/>
    <w:rsid w:val="0074385C"/>
    <w:rsid w:val="0074389B"/>
    <w:rsid w:val="007438CE"/>
    <w:rsid w:val="00743999"/>
    <w:rsid w:val="00743A2D"/>
    <w:rsid w:val="00743A8B"/>
    <w:rsid w:val="00743A9A"/>
    <w:rsid w:val="00743AA7"/>
    <w:rsid w:val="00743AB7"/>
    <w:rsid w:val="00743B92"/>
    <w:rsid w:val="00743C57"/>
    <w:rsid w:val="00743C82"/>
    <w:rsid w:val="00743CBC"/>
    <w:rsid w:val="00743CC7"/>
    <w:rsid w:val="00743CC9"/>
    <w:rsid w:val="00743D0C"/>
    <w:rsid w:val="00743D51"/>
    <w:rsid w:val="00743DC3"/>
    <w:rsid w:val="00743E2D"/>
    <w:rsid w:val="00743E42"/>
    <w:rsid w:val="00743E57"/>
    <w:rsid w:val="00743E58"/>
    <w:rsid w:val="00743F32"/>
    <w:rsid w:val="00743F6B"/>
    <w:rsid w:val="00743F8B"/>
    <w:rsid w:val="00744054"/>
    <w:rsid w:val="00744065"/>
    <w:rsid w:val="00744091"/>
    <w:rsid w:val="00744132"/>
    <w:rsid w:val="00744193"/>
    <w:rsid w:val="007441A6"/>
    <w:rsid w:val="007441C2"/>
    <w:rsid w:val="00744257"/>
    <w:rsid w:val="007442E8"/>
    <w:rsid w:val="007442EC"/>
    <w:rsid w:val="00744331"/>
    <w:rsid w:val="007443A7"/>
    <w:rsid w:val="00744404"/>
    <w:rsid w:val="0074442B"/>
    <w:rsid w:val="00744475"/>
    <w:rsid w:val="00744484"/>
    <w:rsid w:val="00744499"/>
    <w:rsid w:val="00744502"/>
    <w:rsid w:val="00744527"/>
    <w:rsid w:val="0074458E"/>
    <w:rsid w:val="007445AE"/>
    <w:rsid w:val="0074470C"/>
    <w:rsid w:val="00744769"/>
    <w:rsid w:val="00744787"/>
    <w:rsid w:val="007447A1"/>
    <w:rsid w:val="0074486B"/>
    <w:rsid w:val="00744919"/>
    <w:rsid w:val="00744920"/>
    <w:rsid w:val="00744953"/>
    <w:rsid w:val="0074499C"/>
    <w:rsid w:val="007449B7"/>
    <w:rsid w:val="007449D0"/>
    <w:rsid w:val="00744A35"/>
    <w:rsid w:val="00744A63"/>
    <w:rsid w:val="00744B02"/>
    <w:rsid w:val="00744B55"/>
    <w:rsid w:val="00744BAA"/>
    <w:rsid w:val="00744BB1"/>
    <w:rsid w:val="00744C01"/>
    <w:rsid w:val="00744C03"/>
    <w:rsid w:val="00744C83"/>
    <w:rsid w:val="00744CF2"/>
    <w:rsid w:val="00744CFB"/>
    <w:rsid w:val="00744D35"/>
    <w:rsid w:val="00744D59"/>
    <w:rsid w:val="00744D9F"/>
    <w:rsid w:val="00744EA2"/>
    <w:rsid w:val="00744EBD"/>
    <w:rsid w:val="00744EC9"/>
    <w:rsid w:val="00744F0B"/>
    <w:rsid w:val="00744F61"/>
    <w:rsid w:val="00744F66"/>
    <w:rsid w:val="00744FAB"/>
    <w:rsid w:val="00745017"/>
    <w:rsid w:val="00745055"/>
    <w:rsid w:val="0074506D"/>
    <w:rsid w:val="00745094"/>
    <w:rsid w:val="0074509A"/>
    <w:rsid w:val="007450B7"/>
    <w:rsid w:val="007450C9"/>
    <w:rsid w:val="00745124"/>
    <w:rsid w:val="0074516E"/>
    <w:rsid w:val="00745175"/>
    <w:rsid w:val="00745234"/>
    <w:rsid w:val="00745246"/>
    <w:rsid w:val="00745290"/>
    <w:rsid w:val="0074529B"/>
    <w:rsid w:val="0074529D"/>
    <w:rsid w:val="00745300"/>
    <w:rsid w:val="00745317"/>
    <w:rsid w:val="00745368"/>
    <w:rsid w:val="0074536F"/>
    <w:rsid w:val="00745385"/>
    <w:rsid w:val="007453AD"/>
    <w:rsid w:val="007453B7"/>
    <w:rsid w:val="007453CD"/>
    <w:rsid w:val="00745478"/>
    <w:rsid w:val="00745542"/>
    <w:rsid w:val="007455AA"/>
    <w:rsid w:val="007455E6"/>
    <w:rsid w:val="0074562B"/>
    <w:rsid w:val="0074563D"/>
    <w:rsid w:val="0074563E"/>
    <w:rsid w:val="00745697"/>
    <w:rsid w:val="007456C1"/>
    <w:rsid w:val="007456D0"/>
    <w:rsid w:val="007456FE"/>
    <w:rsid w:val="00745793"/>
    <w:rsid w:val="007457D6"/>
    <w:rsid w:val="00745855"/>
    <w:rsid w:val="00745871"/>
    <w:rsid w:val="0074589D"/>
    <w:rsid w:val="00745967"/>
    <w:rsid w:val="007459AE"/>
    <w:rsid w:val="007459C0"/>
    <w:rsid w:val="007459CE"/>
    <w:rsid w:val="007459EC"/>
    <w:rsid w:val="00745A5C"/>
    <w:rsid w:val="00745A72"/>
    <w:rsid w:val="00745ABC"/>
    <w:rsid w:val="00745ADB"/>
    <w:rsid w:val="00745AE2"/>
    <w:rsid w:val="00745B32"/>
    <w:rsid w:val="00745B67"/>
    <w:rsid w:val="00745BC4"/>
    <w:rsid w:val="00745C44"/>
    <w:rsid w:val="00745C4E"/>
    <w:rsid w:val="00745C74"/>
    <w:rsid w:val="00745C91"/>
    <w:rsid w:val="00745CB7"/>
    <w:rsid w:val="00745D26"/>
    <w:rsid w:val="00745D56"/>
    <w:rsid w:val="00745D69"/>
    <w:rsid w:val="00745D6C"/>
    <w:rsid w:val="00745E2B"/>
    <w:rsid w:val="00745E43"/>
    <w:rsid w:val="00745EBD"/>
    <w:rsid w:val="00745EC6"/>
    <w:rsid w:val="00745ED3"/>
    <w:rsid w:val="00745F34"/>
    <w:rsid w:val="0074603E"/>
    <w:rsid w:val="0074607E"/>
    <w:rsid w:val="00746087"/>
    <w:rsid w:val="007460E1"/>
    <w:rsid w:val="007460F1"/>
    <w:rsid w:val="00746184"/>
    <w:rsid w:val="0074619B"/>
    <w:rsid w:val="007461C4"/>
    <w:rsid w:val="007461D4"/>
    <w:rsid w:val="007461DD"/>
    <w:rsid w:val="007461FC"/>
    <w:rsid w:val="0074620A"/>
    <w:rsid w:val="00746254"/>
    <w:rsid w:val="007462A6"/>
    <w:rsid w:val="00746304"/>
    <w:rsid w:val="00746365"/>
    <w:rsid w:val="0074636C"/>
    <w:rsid w:val="00746452"/>
    <w:rsid w:val="00746484"/>
    <w:rsid w:val="00746494"/>
    <w:rsid w:val="007464E4"/>
    <w:rsid w:val="0074653C"/>
    <w:rsid w:val="00746611"/>
    <w:rsid w:val="0074664E"/>
    <w:rsid w:val="00746678"/>
    <w:rsid w:val="00746695"/>
    <w:rsid w:val="007466FD"/>
    <w:rsid w:val="00746705"/>
    <w:rsid w:val="00746711"/>
    <w:rsid w:val="0074675B"/>
    <w:rsid w:val="00746763"/>
    <w:rsid w:val="0074677E"/>
    <w:rsid w:val="007467AE"/>
    <w:rsid w:val="00746852"/>
    <w:rsid w:val="0074686A"/>
    <w:rsid w:val="00746934"/>
    <w:rsid w:val="00746957"/>
    <w:rsid w:val="0074695B"/>
    <w:rsid w:val="00746976"/>
    <w:rsid w:val="007469AD"/>
    <w:rsid w:val="007469AF"/>
    <w:rsid w:val="007469D8"/>
    <w:rsid w:val="00746A0E"/>
    <w:rsid w:val="00746A27"/>
    <w:rsid w:val="00746A5C"/>
    <w:rsid w:val="00746AAF"/>
    <w:rsid w:val="00746B23"/>
    <w:rsid w:val="00746B82"/>
    <w:rsid w:val="00746B95"/>
    <w:rsid w:val="00746BAA"/>
    <w:rsid w:val="00746BC4"/>
    <w:rsid w:val="00746BC5"/>
    <w:rsid w:val="00746C5C"/>
    <w:rsid w:val="00746CB0"/>
    <w:rsid w:val="00746CB6"/>
    <w:rsid w:val="00746D14"/>
    <w:rsid w:val="00746D97"/>
    <w:rsid w:val="00746D9A"/>
    <w:rsid w:val="00746E3B"/>
    <w:rsid w:val="00746EB5"/>
    <w:rsid w:val="00746ED8"/>
    <w:rsid w:val="00746EE9"/>
    <w:rsid w:val="00746F06"/>
    <w:rsid w:val="00746F38"/>
    <w:rsid w:val="00746F47"/>
    <w:rsid w:val="0074706E"/>
    <w:rsid w:val="0074708A"/>
    <w:rsid w:val="007470CE"/>
    <w:rsid w:val="00747112"/>
    <w:rsid w:val="00747136"/>
    <w:rsid w:val="00747169"/>
    <w:rsid w:val="007471AC"/>
    <w:rsid w:val="0074720A"/>
    <w:rsid w:val="00747223"/>
    <w:rsid w:val="00747260"/>
    <w:rsid w:val="0074729A"/>
    <w:rsid w:val="007472D2"/>
    <w:rsid w:val="007472E1"/>
    <w:rsid w:val="00747395"/>
    <w:rsid w:val="007473D6"/>
    <w:rsid w:val="00747411"/>
    <w:rsid w:val="0074744C"/>
    <w:rsid w:val="00747460"/>
    <w:rsid w:val="00747473"/>
    <w:rsid w:val="007474C3"/>
    <w:rsid w:val="007474C5"/>
    <w:rsid w:val="007474F8"/>
    <w:rsid w:val="0074750D"/>
    <w:rsid w:val="0074753B"/>
    <w:rsid w:val="00747565"/>
    <w:rsid w:val="00747573"/>
    <w:rsid w:val="00747610"/>
    <w:rsid w:val="00747617"/>
    <w:rsid w:val="00747667"/>
    <w:rsid w:val="0074769E"/>
    <w:rsid w:val="007476FC"/>
    <w:rsid w:val="00747745"/>
    <w:rsid w:val="007477C7"/>
    <w:rsid w:val="007477DD"/>
    <w:rsid w:val="007477F9"/>
    <w:rsid w:val="00747874"/>
    <w:rsid w:val="0074787D"/>
    <w:rsid w:val="007478B2"/>
    <w:rsid w:val="007478EF"/>
    <w:rsid w:val="007478F7"/>
    <w:rsid w:val="00747912"/>
    <w:rsid w:val="0074795F"/>
    <w:rsid w:val="00747987"/>
    <w:rsid w:val="00747989"/>
    <w:rsid w:val="00747A25"/>
    <w:rsid w:val="00747A5A"/>
    <w:rsid w:val="00747A5E"/>
    <w:rsid w:val="00747B10"/>
    <w:rsid w:val="00747B77"/>
    <w:rsid w:val="00747BAC"/>
    <w:rsid w:val="00747BEC"/>
    <w:rsid w:val="00747C97"/>
    <w:rsid w:val="00747CB1"/>
    <w:rsid w:val="00747CE4"/>
    <w:rsid w:val="00747CF7"/>
    <w:rsid w:val="00747D40"/>
    <w:rsid w:val="00747DC1"/>
    <w:rsid w:val="00747DC4"/>
    <w:rsid w:val="00747E57"/>
    <w:rsid w:val="00747E5D"/>
    <w:rsid w:val="00747E8F"/>
    <w:rsid w:val="00747E9D"/>
    <w:rsid w:val="00747F20"/>
    <w:rsid w:val="00747F2B"/>
    <w:rsid w:val="00747F72"/>
    <w:rsid w:val="00747F80"/>
    <w:rsid w:val="00747FD2"/>
    <w:rsid w:val="00750003"/>
    <w:rsid w:val="00750021"/>
    <w:rsid w:val="00750035"/>
    <w:rsid w:val="00750047"/>
    <w:rsid w:val="0075009B"/>
    <w:rsid w:val="007500D7"/>
    <w:rsid w:val="007501DE"/>
    <w:rsid w:val="007501F7"/>
    <w:rsid w:val="00750212"/>
    <w:rsid w:val="00750255"/>
    <w:rsid w:val="00750256"/>
    <w:rsid w:val="007502D5"/>
    <w:rsid w:val="007503B7"/>
    <w:rsid w:val="007503EE"/>
    <w:rsid w:val="00750485"/>
    <w:rsid w:val="00750489"/>
    <w:rsid w:val="007504B4"/>
    <w:rsid w:val="007504DA"/>
    <w:rsid w:val="007504E3"/>
    <w:rsid w:val="00750577"/>
    <w:rsid w:val="007505A2"/>
    <w:rsid w:val="007505E1"/>
    <w:rsid w:val="00750690"/>
    <w:rsid w:val="007506A4"/>
    <w:rsid w:val="007506E4"/>
    <w:rsid w:val="00750704"/>
    <w:rsid w:val="007507DF"/>
    <w:rsid w:val="007507E2"/>
    <w:rsid w:val="007507FF"/>
    <w:rsid w:val="0075086B"/>
    <w:rsid w:val="00750892"/>
    <w:rsid w:val="007508AD"/>
    <w:rsid w:val="007508E7"/>
    <w:rsid w:val="00750924"/>
    <w:rsid w:val="00750947"/>
    <w:rsid w:val="007509DD"/>
    <w:rsid w:val="00750A44"/>
    <w:rsid w:val="00750A9E"/>
    <w:rsid w:val="00750AAB"/>
    <w:rsid w:val="00750AC6"/>
    <w:rsid w:val="00750B28"/>
    <w:rsid w:val="00750B9B"/>
    <w:rsid w:val="00750BAF"/>
    <w:rsid w:val="00750C47"/>
    <w:rsid w:val="00750CAB"/>
    <w:rsid w:val="00750D5C"/>
    <w:rsid w:val="00750DA3"/>
    <w:rsid w:val="00750E0C"/>
    <w:rsid w:val="00750EDD"/>
    <w:rsid w:val="00750EFB"/>
    <w:rsid w:val="00750F2F"/>
    <w:rsid w:val="00750FC5"/>
    <w:rsid w:val="007510EF"/>
    <w:rsid w:val="007511BF"/>
    <w:rsid w:val="007511D1"/>
    <w:rsid w:val="007511F1"/>
    <w:rsid w:val="007511FD"/>
    <w:rsid w:val="0075129F"/>
    <w:rsid w:val="00751384"/>
    <w:rsid w:val="0075142C"/>
    <w:rsid w:val="0075144B"/>
    <w:rsid w:val="0075146C"/>
    <w:rsid w:val="00751478"/>
    <w:rsid w:val="007514DD"/>
    <w:rsid w:val="0075155A"/>
    <w:rsid w:val="0075156B"/>
    <w:rsid w:val="007515BC"/>
    <w:rsid w:val="0075167C"/>
    <w:rsid w:val="00751685"/>
    <w:rsid w:val="00751689"/>
    <w:rsid w:val="00751696"/>
    <w:rsid w:val="007516EA"/>
    <w:rsid w:val="00751701"/>
    <w:rsid w:val="00751702"/>
    <w:rsid w:val="00751718"/>
    <w:rsid w:val="0075174E"/>
    <w:rsid w:val="00751763"/>
    <w:rsid w:val="0075176A"/>
    <w:rsid w:val="00751798"/>
    <w:rsid w:val="00751799"/>
    <w:rsid w:val="007517A7"/>
    <w:rsid w:val="00751847"/>
    <w:rsid w:val="00751854"/>
    <w:rsid w:val="0075185C"/>
    <w:rsid w:val="00751869"/>
    <w:rsid w:val="007518A7"/>
    <w:rsid w:val="007518AF"/>
    <w:rsid w:val="007518F2"/>
    <w:rsid w:val="0075192D"/>
    <w:rsid w:val="0075192E"/>
    <w:rsid w:val="00751957"/>
    <w:rsid w:val="0075197E"/>
    <w:rsid w:val="00751986"/>
    <w:rsid w:val="0075198C"/>
    <w:rsid w:val="007519BB"/>
    <w:rsid w:val="00751A40"/>
    <w:rsid w:val="00751A69"/>
    <w:rsid w:val="00751BD0"/>
    <w:rsid w:val="00751CA9"/>
    <w:rsid w:val="00751CF0"/>
    <w:rsid w:val="00751D01"/>
    <w:rsid w:val="00751D2E"/>
    <w:rsid w:val="00751D97"/>
    <w:rsid w:val="00751DAC"/>
    <w:rsid w:val="00751DF9"/>
    <w:rsid w:val="00751E36"/>
    <w:rsid w:val="00751E44"/>
    <w:rsid w:val="00751E5E"/>
    <w:rsid w:val="00751E7E"/>
    <w:rsid w:val="00751E90"/>
    <w:rsid w:val="00751E92"/>
    <w:rsid w:val="00751EB7"/>
    <w:rsid w:val="00751F4B"/>
    <w:rsid w:val="00751F5D"/>
    <w:rsid w:val="00751FCB"/>
    <w:rsid w:val="00752006"/>
    <w:rsid w:val="007520E7"/>
    <w:rsid w:val="007520EE"/>
    <w:rsid w:val="00752112"/>
    <w:rsid w:val="007521BB"/>
    <w:rsid w:val="00752229"/>
    <w:rsid w:val="00752259"/>
    <w:rsid w:val="007522C3"/>
    <w:rsid w:val="007522EF"/>
    <w:rsid w:val="00752374"/>
    <w:rsid w:val="0075238D"/>
    <w:rsid w:val="007523F1"/>
    <w:rsid w:val="00752444"/>
    <w:rsid w:val="00752465"/>
    <w:rsid w:val="00752513"/>
    <w:rsid w:val="00752515"/>
    <w:rsid w:val="00752649"/>
    <w:rsid w:val="0075268A"/>
    <w:rsid w:val="007526D1"/>
    <w:rsid w:val="00752710"/>
    <w:rsid w:val="00752715"/>
    <w:rsid w:val="0075272B"/>
    <w:rsid w:val="00752761"/>
    <w:rsid w:val="00752814"/>
    <w:rsid w:val="0075287B"/>
    <w:rsid w:val="0075288A"/>
    <w:rsid w:val="007528DF"/>
    <w:rsid w:val="0075294B"/>
    <w:rsid w:val="0075295B"/>
    <w:rsid w:val="007529DC"/>
    <w:rsid w:val="007529E8"/>
    <w:rsid w:val="00752A08"/>
    <w:rsid w:val="00752A67"/>
    <w:rsid w:val="00752AA6"/>
    <w:rsid w:val="00752AAC"/>
    <w:rsid w:val="00752AFA"/>
    <w:rsid w:val="00752B5C"/>
    <w:rsid w:val="00752C0E"/>
    <w:rsid w:val="00752C1D"/>
    <w:rsid w:val="00752D14"/>
    <w:rsid w:val="00752D17"/>
    <w:rsid w:val="00752D52"/>
    <w:rsid w:val="00752D76"/>
    <w:rsid w:val="00752DD5"/>
    <w:rsid w:val="00752DF7"/>
    <w:rsid w:val="00752E1B"/>
    <w:rsid w:val="00752E49"/>
    <w:rsid w:val="00752E61"/>
    <w:rsid w:val="00752E79"/>
    <w:rsid w:val="00752F0B"/>
    <w:rsid w:val="00752F3E"/>
    <w:rsid w:val="00752F43"/>
    <w:rsid w:val="00752F54"/>
    <w:rsid w:val="00752F67"/>
    <w:rsid w:val="00752FF2"/>
    <w:rsid w:val="00753003"/>
    <w:rsid w:val="00753035"/>
    <w:rsid w:val="00753051"/>
    <w:rsid w:val="007530AC"/>
    <w:rsid w:val="007530B4"/>
    <w:rsid w:val="00753153"/>
    <w:rsid w:val="00753156"/>
    <w:rsid w:val="0075316F"/>
    <w:rsid w:val="00753170"/>
    <w:rsid w:val="007531A8"/>
    <w:rsid w:val="007531DE"/>
    <w:rsid w:val="00753294"/>
    <w:rsid w:val="0075329D"/>
    <w:rsid w:val="007532A7"/>
    <w:rsid w:val="007532FF"/>
    <w:rsid w:val="00753348"/>
    <w:rsid w:val="0075336A"/>
    <w:rsid w:val="00753395"/>
    <w:rsid w:val="007533B1"/>
    <w:rsid w:val="007533C0"/>
    <w:rsid w:val="007533DA"/>
    <w:rsid w:val="007533DE"/>
    <w:rsid w:val="007533E5"/>
    <w:rsid w:val="00753414"/>
    <w:rsid w:val="00753429"/>
    <w:rsid w:val="007534C6"/>
    <w:rsid w:val="007534CE"/>
    <w:rsid w:val="007534DE"/>
    <w:rsid w:val="00753506"/>
    <w:rsid w:val="0075354A"/>
    <w:rsid w:val="0075355A"/>
    <w:rsid w:val="0075358F"/>
    <w:rsid w:val="007535DB"/>
    <w:rsid w:val="007535DE"/>
    <w:rsid w:val="007537FD"/>
    <w:rsid w:val="0075382F"/>
    <w:rsid w:val="007538B0"/>
    <w:rsid w:val="0075390E"/>
    <w:rsid w:val="00753930"/>
    <w:rsid w:val="00753980"/>
    <w:rsid w:val="00753A71"/>
    <w:rsid w:val="00753ADF"/>
    <w:rsid w:val="00753B09"/>
    <w:rsid w:val="00753B7D"/>
    <w:rsid w:val="00753B94"/>
    <w:rsid w:val="00753C5C"/>
    <w:rsid w:val="00753C92"/>
    <w:rsid w:val="00753CF5"/>
    <w:rsid w:val="00753D1D"/>
    <w:rsid w:val="00753D33"/>
    <w:rsid w:val="00753D49"/>
    <w:rsid w:val="00753D97"/>
    <w:rsid w:val="00753E2F"/>
    <w:rsid w:val="00753E51"/>
    <w:rsid w:val="00753E92"/>
    <w:rsid w:val="00753E94"/>
    <w:rsid w:val="00753EF1"/>
    <w:rsid w:val="00753F32"/>
    <w:rsid w:val="00753F6D"/>
    <w:rsid w:val="00754035"/>
    <w:rsid w:val="00754038"/>
    <w:rsid w:val="00754098"/>
    <w:rsid w:val="00754137"/>
    <w:rsid w:val="00754145"/>
    <w:rsid w:val="00754185"/>
    <w:rsid w:val="00754188"/>
    <w:rsid w:val="007541E4"/>
    <w:rsid w:val="00754211"/>
    <w:rsid w:val="00754222"/>
    <w:rsid w:val="007542CC"/>
    <w:rsid w:val="00754305"/>
    <w:rsid w:val="00754307"/>
    <w:rsid w:val="0075433E"/>
    <w:rsid w:val="007543E6"/>
    <w:rsid w:val="0075441F"/>
    <w:rsid w:val="0075450D"/>
    <w:rsid w:val="00754525"/>
    <w:rsid w:val="00754532"/>
    <w:rsid w:val="0075458C"/>
    <w:rsid w:val="007545A1"/>
    <w:rsid w:val="007545AC"/>
    <w:rsid w:val="007545D4"/>
    <w:rsid w:val="007545FD"/>
    <w:rsid w:val="00754604"/>
    <w:rsid w:val="00754686"/>
    <w:rsid w:val="007546AE"/>
    <w:rsid w:val="007546B8"/>
    <w:rsid w:val="007546CE"/>
    <w:rsid w:val="007546E6"/>
    <w:rsid w:val="0075470F"/>
    <w:rsid w:val="0075476B"/>
    <w:rsid w:val="0075479F"/>
    <w:rsid w:val="0075484B"/>
    <w:rsid w:val="0075485A"/>
    <w:rsid w:val="007548A6"/>
    <w:rsid w:val="007548B0"/>
    <w:rsid w:val="007548E4"/>
    <w:rsid w:val="007548F2"/>
    <w:rsid w:val="007548FE"/>
    <w:rsid w:val="00754967"/>
    <w:rsid w:val="00754970"/>
    <w:rsid w:val="0075499D"/>
    <w:rsid w:val="007549AD"/>
    <w:rsid w:val="00754A11"/>
    <w:rsid w:val="00754A3D"/>
    <w:rsid w:val="00754AA1"/>
    <w:rsid w:val="00754B74"/>
    <w:rsid w:val="00754B7C"/>
    <w:rsid w:val="00754BCC"/>
    <w:rsid w:val="00754BE8"/>
    <w:rsid w:val="00754C1B"/>
    <w:rsid w:val="00754D94"/>
    <w:rsid w:val="00754DD2"/>
    <w:rsid w:val="00754E92"/>
    <w:rsid w:val="00754E9F"/>
    <w:rsid w:val="00754EDD"/>
    <w:rsid w:val="00754F26"/>
    <w:rsid w:val="00754F29"/>
    <w:rsid w:val="00754F43"/>
    <w:rsid w:val="00754F7D"/>
    <w:rsid w:val="00754F8C"/>
    <w:rsid w:val="00754FA4"/>
    <w:rsid w:val="00754FE0"/>
    <w:rsid w:val="00754FE7"/>
    <w:rsid w:val="00755087"/>
    <w:rsid w:val="0075508A"/>
    <w:rsid w:val="007550DE"/>
    <w:rsid w:val="0075517A"/>
    <w:rsid w:val="007551AA"/>
    <w:rsid w:val="007551FB"/>
    <w:rsid w:val="00755213"/>
    <w:rsid w:val="0075527B"/>
    <w:rsid w:val="007552AA"/>
    <w:rsid w:val="007552DE"/>
    <w:rsid w:val="007552E3"/>
    <w:rsid w:val="00755315"/>
    <w:rsid w:val="00755377"/>
    <w:rsid w:val="0075539E"/>
    <w:rsid w:val="007553AE"/>
    <w:rsid w:val="0075543E"/>
    <w:rsid w:val="00755459"/>
    <w:rsid w:val="00755479"/>
    <w:rsid w:val="007554FF"/>
    <w:rsid w:val="0075557C"/>
    <w:rsid w:val="00755581"/>
    <w:rsid w:val="00755584"/>
    <w:rsid w:val="007555B4"/>
    <w:rsid w:val="007555C9"/>
    <w:rsid w:val="007555E1"/>
    <w:rsid w:val="007555F5"/>
    <w:rsid w:val="00755679"/>
    <w:rsid w:val="007556B2"/>
    <w:rsid w:val="007556CA"/>
    <w:rsid w:val="007556D3"/>
    <w:rsid w:val="00755751"/>
    <w:rsid w:val="0075575C"/>
    <w:rsid w:val="0075581A"/>
    <w:rsid w:val="007558B6"/>
    <w:rsid w:val="00755964"/>
    <w:rsid w:val="00755A23"/>
    <w:rsid w:val="00755A35"/>
    <w:rsid w:val="00755B07"/>
    <w:rsid w:val="00755B70"/>
    <w:rsid w:val="00755B86"/>
    <w:rsid w:val="00755C04"/>
    <w:rsid w:val="00755C48"/>
    <w:rsid w:val="00755C52"/>
    <w:rsid w:val="00755D38"/>
    <w:rsid w:val="00755D42"/>
    <w:rsid w:val="00755D51"/>
    <w:rsid w:val="00755D6E"/>
    <w:rsid w:val="00755E20"/>
    <w:rsid w:val="00755EEA"/>
    <w:rsid w:val="00755F00"/>
    <w:rsid w:val="00755F28"/>
    <w:rsid w:val="00755F2B"/>
    <w:rsid w:val="00755F83"/>
    <w:rsid w:val="0075602A"/>
    <w:rsid w:val="00756116"/>
    <w:rsid w:val="00756178"/>
    <w:rsid w:val="007561F7"/>
    <w:rsid w:val="00756205"/>
    <w:rsid w:val="0075629B"/>
    <w:rsid w:val="007562CD"/>
    <w:rsid w:val="00756329"/>
    <w:rsid w:val="00756335"/>
    <w:rsid w:val="007563AB"/>
    <w:rsid w:val="0075645F"/>
    <w:rsid w:val="007564E4"/>
    <w:rsid w:val="00756579"/>
    <w:rsid w:val="0075669B"/>
    <w:rsid w:val="0075671E"/>
    <w:rsid w:val="007567CA"/>
    <w:rsid w:val="00756859"/>
    <w:rsid w:val="00756868"/>
    <w:rsid w:val="00756880"/>
    <w:rsid w:val="007568C2"/>
    <w:rsid w:val="007568C5"/>
    <w:rsid w:val="007569B1"/>
    <w:rsid w:val="00756AC4"/>
    <w:rsid w:val="00756B15"/>
    <w:rsid w:val="00756B8C"/>
    <w:rsid w:val="00756B97"/>
    <w:rsid w:val="00756C20"/>
    <w:rsid w:val="00756C8D"/>
    <w:rsid w:val="00756C99"/>
    <w:rsid w:val="00756CE2"/>
    <w:rsid w:val="00756D5F"/>
    <w:rsid w:val="00756DBE"/>
    <w:rsid w:val="00756E61"/>
    <w:rsid w:val="00756E66"/>
    <w:rsid w:val="00756E6D"/>
    <w:rsid w:val="00756ECB"/>
    <w:rsid w:val="00756F2D"/>
    <w:rsid w:val="00756F9B"/>
    <w:rsid w:val="00756FBB"/>
    <w:rsid w:val="0075708C"/>
    <w:rsid w:val="00757117"/>
    <w:rsid w:val="00757155"/>
    <w:rsid w:val="0075716F"/>
    <w:rsid w:val="00757197"/>
    <w:rsid w:val="007571BF"/>
    <w:rsid w:val="007571FE"/>
    <w:rsid w:val="0075720A"/>
    <w:rsid w:val="00757213"/>
    <w:rsid w:val="0075721C"/>
    <w:rsid w:val="00757267"/>
    <w:rsid w:val="007572F6"/>
    <w:rsid w:val="0075730D"/>
    <w:rsid w:val="00757330"/>
    <w:rsid w:val="00757359"/>
    <w:rsid w:val="007573BD"/>
    <w:rsid w:val="0075747C"/>
    <w:rsid w:val="0075748F"/>
    <w:rsid w:val="007574C3"/>
    <w:rsid w:val="00757508"/>
    <w:rsid w:val="0075753A"/>
    <w:rsid w:val="0075758F"/>
    <w:rsid w:val="007575DF"/>
    <w:rsid w:val="007575F2"/>
    <w:rsid w:val="007576BD"/>
    <w:rsid w:val="00757797"/>
    <w:rsid w:val="007577B8"/>
    <w:rsid w:val="007577D0"/>
    <w:rsid w:val="007577DE"/>
    <w:rsid w:val="00757820"/>
    <w:rsid w:val="0075786F"/>
    <w:rsid w:val="0075788E"/>
    <w:rsid w:val="0075789C"/>
    <w:rsid w:val="007578A2"/>
    <w:rsid w:val="007578CE"/>
    <w:rsid w:val="007578DC"/>
    <w:rsid w:val="007578DF"/>
    <w:rsid w:val="0075793E"/>
    <w:rsid w:val="00757947"/>
    <w:rsid w:val="00757987"/>
    <w:rsid w:val="0075798B"/>
    <w:rsid w:val="007579BE"/>
    <w:rsid w:val="00757A72"/>
    <w:rsid w:val="00757AAE"/>
    <w:rsid w:val="00757AF3"/>
    <w:rsid w:val="00757AF8"/>
    <w:rsid w:val="00757B59"/>
    <w:rsid w:val="00757B94"/>
    <w:rsid w:val="00757BF8"/>
    <w:rsid w:val="00757C77"/>
    <w:rsid w:val="00757D24"/>
    <w:rsid w:val="00757D46"/>
    <w:rsid w:val="00757D72"/>
    <w:rsid w:val="00757D9B"/>
    <w:rsid w:val="00757DA8"/>
    <w:rsid w:val="00757DD7"/>
    <w:rsid w:val="00757E45"/>
    <w:rsid w:val="00757E55"/>
    <w:rsid w:val="00757E61"/>
    <w:rsid w:val="00757EF1"/>
    <w:rsid w:val="00757F71"/>
    <w:rsid w:val="0076002F"/>
    <w:rsid w:val="00760059"/>
    <w:rsid w:val="007600D7"/>
    <w:rsid w:val="007600F8"/>
    <w:rsid w:val="0076022B"/>
    <w:rsid w:val="0076028A"/>
    <w:rsid w:val="00760291"/>
    <w:rsid w:val="0076039C"/>
    <w:rsid w:val="0076040B"/>
    <w:rsid w:val="007604DA"/>
    <w:rsid w:val="007604DC"/>
    <w:rsid w:val="00760508"/>
    <w:rsid w:val="0076053C"/>
    <w:rsid w:val="007605B3"/>
    <w:rsid w:val="007605B6"/>
    <w:rsid w:val="00760626"/>
    <w:rsid w:val="0076064C"/>
    <w:rsid w:val="00760680"/>
    <w:rsid w:val="007606B1"/>
    <w:rsid w:val="007606C7"/>
    <w:rsid w:val="007606D2"/>
    <w:rsid w:val="00760747"/>
    <w:rsid w:val="00760781"/>
    <w:rsid w:val="007608A0"/>
    <w:rsid w:val="00760A59"/>
    <w:rsid w:val="00760AD3"/>
    <w:rsid w:val="00760B74"/>
    <w:rsid w:val="00760B82"/>
    <w:rsid w:val="00760BA7"/>
    <w:rsid w:val="00760BD6"/>
    <w:rsid w:val="00760BFC"/>
    <w:rsid w:val="00760C7A"/>
    <w:rsid w:val="00760C98"/>
    <w:rsid w:val="00760CAB"/>
    <w:rsid w:val="00760CE6"/>
    <w:rsid w:val="00760D05"/>
    <w:rsid w:val="00760D0C"/>
    <w:rsid w:val="00760D26"/>
    <w:rsid w:val="00760D35"/>
    <w:rsid w:val="00760F2E"/>
    <w:rsid w:val="00760F4A"/>
    <w:rsid w:val="00760F70"/>
    <w:rsid w:val="00760F86"/>
    <w:rsid w:val="00760FBB"/>
    <w:rsid w:val="00761007"/>
    <w:rsid w:val="007610A9"/>
    <w:rsid w:val="007610FE"/>
    <w:rsid w:val="0076111D"/>
    <w:rsid w:val="007612B1"/>
    <w:rsid w:val="007612D2"/>
    <w:rsid w:val="007612F7"/>
    <w:rsid w:val="0076132F"/>
    <w:rsid w:val="00761340"/>
    <w:rsid w:val="0076135E"/>
    <w:rsid w:val="0076135F"/>
    <w:rsid w:val="00761365"/>
    <w:rsid w:val="007613DE"/>
    <w:rsid w:val="007613EF"/>
    <w:rsid w:val="00761438"/>
    <w:rsid w:val="007614F9"/>
    <w:rsid w:val="00761546"/>
    <w:rsid w:val="00761605"/>
    <w:rsid w:val="00761662"/>
    <w:rsid w:val="007616F8"/>
    <w:rsid w:val="00761714"/>
    <w:rsid w:val="00761726"/>
    <w:rsid w:val="0076174A"/>
    <w:rsid w:val="00761757"/>
    <w:rsid w:val="007617B5"/>
    <w:rsid w:val="00761868"/>
    <w:rsid w:val="007618B2"/>
    <w:rsid w:val="007618B4"/>
    <w:rsid w:val="00761917"/>
    <w:rsid w:val="00761940"/>
    <w:rsid w:val="00761965"/>
    <w:rsid w:val="00761986"/>
    <w:rsid w:val="00761A03"/>
    <w:rsid w:val="00761A6D"/>
    <w:rsid w:val="00761A6F"/>
    <w:rsid w:val="00761A83"/>
    <w:rsid w:val="00761B2F"/>
    <w:rsid w:val="00761B33"/>
    <w:rsid w:val="00761B68"/>
    <w:rsid w:val="00761B7F"/>
    <w:rsid w:val="00761B9A"/>
    <w:rsid w:val="00761BC7"/>
    <w:rsid w:val="00761BE9"/>
    <w:rsid w:val="00761CC4"/>
    <w:rsid w:val="00761CDF"/>
    <w:rsid w:val="00761D67"/>
    <w:rsid w:val="00761D95"/>
    <w:rsid w:val="00761DBB"/>
    <w:rsid w:val="00761DBD"/>
    <w:rsid w:val="00761DBF"/>
    <w:rsid w:val="00761DE9"/>
    <w:rsid w:val="00761DED"/>
    <w:rsid w:val="00761E15"/>
    <w:rsid w:val="00761E7E"/>
    <w:rsid w:val="00761EDE"/>
    <w:rsid w:val="00761F0B"/>
    <w:rsid w:val="00761F1A"/>
    <w:rsid w:val="00761F50"/>
    <w:rsid w:val="00761F7B"/>
    <w:rsid w:val="007620BB"/>
    <w:rsid w:val="00762175"/>
    <w:rsid w:val="0076217F"/>
    <w:rsid w:val="007622C8"/>
    <w:rsid w:val="007623B1"/>
    <w:rsid w:val="007623D0"/>
    <w:rsid w:val="00762525"/>
    <w:rsid w:val="007625C0"/>
    <w:rsid w:val="0076262E"/>
    <w:rsid w:val="00762796"/>
    <w:rsid w:val="007627A1"/>
    <w:rsid w:val="007627CB"/>
    <w:rsid w:val="0076282C"/>
    <w:rsid w:val="00762887"/>
    <w:rsid w:val="00762899"/>
    <w:rsid w:val="007628AA"/>
    <w:rsid w:val="007629A5"/>
    <w:rsid w:val="007629E3"/>
    <w:rsid w:val="007629F2"/>
    <w:rsid w:val="00762A3F"/>
    <w:rsid w:val="00762A4F"/>
    <w:rsid w:val="00762AA1"/>
    <w:rsid w:val="00762ABD"/>
    <w:rsid w:val="00762B63"/>
    <w:rsid w:val="00762B6E"/>
    <w:rsid w:val="00762B8B"/>
    <w:rsid w:val="00762B9E"/>
    <w:rsid w:val="00762BE0"/>
    <w:rsid w:val="00762C14"/>
    <w:rsid w:val="00762CA8"/>
    <w:rsid w:val="00762CE2"/>
    <w:rsid w:val="00762EA0"/>
    <w:rsid w:val="00762EB8"/>
    <w:rsid w:val="00762EBC"/>
    <w:rsid w:val="00762F21"/>
    <w:rsid w:val="00762F62"/>
    <w:rsid w:val="00762F7A"/>
    <w:rsid w:val="00762F83"/>
    <w:rsid w:val="00762FCC"/>
    <w:rsid w:val="00762FDE"/>
    <w:rsid w:val="00763011"/>
    <w:rsid w:val="00763082"/>
    <w:rsid w:val="007630A1"/>
    <w:rsid w:val="007630F6"/>
    <w:rsid w:val="00763103"/>
    <w:rsid w:val="0076312D"/>
    <w:rsid w:val="0076315C"/>
    <w:rsid w:val="00763167"/>
    <w:rsid w:val="007631A6"/>
    <w:rsid w:val="00763281"/>
    <w:rsid w:val="0076333D"/>
    <w:rsid w:val="00763340"/>
    <w:rsid w:val="00763387"/>
    <w:rsid w:val="00763413"/>
    <w:rsid w:val="00763454"/>
    <w:rsid w:val="00763474"/>
    <w:rsid w:val="007634E3"/>
    <w:rsid w:val="00763503"/>
    <w:rsid w:val="0076355C"/>
    <w:rsid w:val="0076357E"/>
    <w:rsid w:val="00763597"/>
    <w:rsid w:val="007635BE"/>
    <w:rsid w:val="00763689"/>
    <w:rsid w:val="0076369A"/>
    <w:rsid w:val="007636CA"/>
    <w:rsid w:val="00763702"/>
    <w:rsid w:val="0076374C"/>
    <w:rsid w:val="00763757"/>
    <w:rsid w:val="00763774"/>
    <w:rsid w:val="007637BB"/>
    <w:rsid w:val="007637D7"/>
    <w:rsid w:val="007637E6"/>
    <w:rsid w:val="007637FA"/>
    <w:rsid w:val="0076380C"/>
    <w:rsid w:val="00763822"/>
    <w:rsid w:val="0076388A"/>
    <w:rsid w:val="0076388E"/>
    <w:rsid w:val="007638A2"/>
    <w:rsid w:val="007638ED"/>
    <w:rsid w:val="00763918"/>
    <w:rsid w:val="007639BD"/>
    <w:rsid w:val="007639C2"/>
    <w:rsid w:val="007639EC"/>
    <w:rsid w:val="00763A56"/>
    <w:rsid w:val="00763AC2"/>
    <w:rsid w:val="00763AC5"/>
    <w:rsid w:val="00763AF2"/>
    <w:rsid w:val="00763B70"/>
    <w:rsid w:val="00763BFC"/>
    <w:rsid w:val="00763C26"/>
    <w:rsid w:val="00763C34"/>
    <w:rsid w:val="00763CD1"/>
    <w:rsid w:val="00763CD9"/>
    <w:rsid w:val="00763CF3"/>
    <w:rsid w:val="00763D69"/>
    <w:rsid w:val="00763D95"/>
    <w:rsid w:val="00763DC1"/>
    <w:rsid w:val="00763DC6"/>
    <w:rsid w:val="00763F19"/>
    <w:rsid w:val="00763F44"/>
    <w:rsid w:val="00763F71"/>
    <w:rsid w:val="00763FAB"/>
    <w:rsid w:val="00764024"/>
    <w:rsid w:val="00764043"/>
    <w:rsid w:val="00764087"/>
    <w:rsid w:val="00764219"/>
    <w:rsid w:val="00764221"/>
    <w:rsid w:val="00764228"/>
    <w:rsid w:val="00764242"/>
    <w:rsid w:val="00764250"/>
    <w:rsid w:val="00764251"/>
    <w:rsid w:val="00764268"/>
    <w:rsid w:val="0076429A"/>
    <w:rsid w:val="007642B0"/>
    <w:rsid w:val="007642E3"/>
    <w:rsid w:val="007642F7"/>
    <w:rsid w:val="00764362"/>
    <w:rsid w:val="007643CE"/>
    <w:rsid w:val="00764410"/>
    <w:rsid w:val="0076445C"/>
    <w:rsid w:val="007644B1"/>
    <w:rsid w:val="007644DC"/>
    <w:rsid w:val="007644FE"/>
    <w:rsid w:val="0076452B"/>
    <w:rsid w:val="00764600"/>
    <w:rsid w:val="0076462D"/>
    <w:rsid w:val="00764635"/>
    <w:rsid w:val="0076465E"/>
    <w:rsid w:val="007646A4"/>
    <w:rsid w:val="007646B4"/>
    <w:rsid w:val="00764701"/>
    <w:rsid w:val="0076470D"/>
    <w:rsid w:val="0076472F"/>
    <w:rsid w:val="007647C1"/>
    <w:rsid w:val="007647D6"/>
    <w:rsid w:val="007647DD"/>
    <w:rsid w:val="00764823"/>
    <w:rsid w:val="00764827"/>
    <w:rsid w:val="00764862"/>
    <w:rsid w:val="007648CC"/>
    <w:rsid w:val="007648EF"/>
    <w:rsid w:val="007648F1"/>
    <w:rsid w:val="007648F5"/>
    <w:rsid w:val="00764984"/>
    <w:rsid w:val="007649C9"/>
    <w:rsid w:val="007649EA"/>
    <w:rsid w:val="007649EE"/>
    <w:rsid w:val="00764A4F"/>
    <w:rsid w:val="00764AE0"/>
    <w:rsid w:val="00764B07"/>
    <w:rsid w:val="00764B47"/>
    <w:rsid w:val="00764B51"/>
    <w:rsid w:val="00764B73"/>
    <w:rsid w:val="00764C60"/>
    <w:rsid w:val="00764C78"/>
    <w:rsid w:val="00764C88"/>
    <w:rsid w:val="00764CB4"/>
    <w:rsid w:val="00764CD9"/>
    <w:rsid w:val="00764CF4"/>
    <w:rsid w:val="00764D2B"/>
    <w:rsid w:val="00764D42"/>
    <w:rsid w:val="00764D6F"/>
    <w:rsid w:val="00764D79"/>
    <w:rsid w:val="00764D96"/>
    <w:rsid w:val="00764E64"/>
    <w:rsid w:val="00764E67"/>
    <w:rsid w:val="00764E71"/>
    <w:rsid w:val="00764E86"/>
    <w:rsid w:val="00764EAD"/>
    <w:rsid w:val="00764EFE"/>
    <w:rsid w:val="00764F9F"/>
    <w:rsid w:val="00764FBD"/>
    <w:rsid w:val="00764FE9"/>
    <w:rsid w:val="007650E7"/>
    <w:rsid w:val="0076517A"/>
    <w:rsid w:val="00765206"/>
    <w:rsid w:val="00765252"/>
    <w:rsid w:val="0076525E"/>
    <w:rsid w:val="0076528E"/>
    <w:rsid w:val="007652D9"/>
    <w:rsid w:val="007652FF"/>
    <w:rsid w:val="0076531C"/>
    <w:rsid w:val="007653AE"/>
    <w:rsid w:val="007653CF"/>
    <w:rsid w:val="00765419"/>
    <w:rsid w:val="0076543E"/>
    <w:rsid w:val="0076547B"/>
    <w:rsid w:val="007654A7"/>
    <w:rsid w:val="007654AB"/>
    <w:rsid w:val="007654E9"/>
    <w:rsid w:val="0076551F"/>
    <w:rsid w:val="00765534"/>
    <w:rsid w:val="0076554A"/>
    <w:rsid w:val="0076558A"/>
    <w:rsid w:val="007655CF"/>
    <w:rsid w:val="0076563E"/>
    <w:rsid w:val="00765693"/>
    <w:rsid w:val="007656E4"/>
    <w:rsid w:val="007657F5"/>
    <w:rsid w:val="007657F9"/>
    <w:rsid w:val="0076582E"/>
    <w:rsid w:val="00765852"/>
    <w:rsid w:val="0076586A"/>
    <w:rsid w:val="00765871"/>
    <w:rsid w:val="007658D3"/>
    <w:rsid w:val="00765971"/>
    <w:rsid w:val="0076597B"/>
    <w:rsid w:val="007659B6"/>
    <w:rsid w:val="00765A5C"/>
    <w:rsid w:val="00765A73"/>
    <w:rsid w:val="00765A83"/>
    <w:rsid w:val="00765A93"/>
    <w:rsid w:val="00765A9D"/>
    <w:rsid w:val="00765ABA"/>
    <w:rsid w:val="00765B1C"/>
    <w:rsid w:val="00765B4D"/>
    <w:rsid w:val="00765B75"/>
    <w:rsid w:val="00765B7C"/>
    <w:rsid w:val="00765BAA"/>
    <w:rsid w:val="00765C3B"/>
    <w:rsid w:val="00765C51"/>
    <w:rsid w:val="00765C68"/>
    <w:rsid w:val="00765CD5"/>
    <w:rsid w:val="00765CD8"/>
    <w:rsid w:val="00765D03"/>
    <w:rsid w:val="00765DB6"/>
    <w:rsid w:val="00765E24"/>
    <w:rsid w:val="00765E43"/>
    <w:rsid w:val="00765E99"/>
    <w:rsid w:val="00765EA0"/>
    <w:rsid w:val="00765EAB"/>
    <w:rsid w:val="00765EC4"/>
    <w:rsid w:val="00765EC7"/>
    <w:rsid w:val="00765F98"/>
    <w:rsid w:val="00765FF3"/>
    <w:rsid w:val="00766022"/>
    <w:rsid w:val="007660D1"/>
    <w:rsid w:val="0076610C"/>
    <w:rsid w:val="00766114"/>
    <w:rsid w:val="0076611D"/>
    <w:rsid w:val="0076615C"/>
    <w:rsid w:val="00766184"/>
    <w:rsid w:val="0076619E"/>
    <w:rsid w:val="0076622A"/>
    <w:rsid w:val="0076624C"/>
    <w:rsid w:val="00766262"/>
    <w:rsid w:val="007662A1"/>
    <w:rsid w:val="007662A8"/>
    <w:rsid w:val="007662E2"/>
    <w:rsid w:val="00766310"/>
    <w:rsid w:val="0076632F"/>
    <w:rsid w:val="00766367"/>
    <w:rsid w:val="00766382"/>
    <w:rsid w:val="0076638B"/>
    <w:rsid w:val="007663F4"/>
    <w:rsid w:val="00766441"/>
    <w:rsid w:val="00766459"/>
    <w:rsid w:val="007664A9"/>
    <w:rsid w:val="007664BA"/>
    <w:rsid w:val="007664EA"/>
    <w:rsid w:val="0076650D"/>
    <w:rsid w:val="00766515"/>
    <w:rsid w:val="00766523"/>
    <w:rsid w:val="0076658C"/>
    <w:rsid w:val="0076660C"/>
    <w:rsid w:val="007666DE"/>
    <w:rsid w:val="00766757"/>
    <w:rsid w:val="0076676A"/>
    <w:rsid w:val="00766773"/>
    <w:rsid w:val="0076677C"/>
    <w:rsid w:val="007667FD"/>
    <w:rsid w:val="00766812"/>
    <w:rsid w:val="00766814"/>
    <w:rsid w:val="00766863"/>
    <w:rsid w:val="00766876"/>
    <w:rsid w:val="0076688A"/>
    <w:rsid w:val="0076688C"/>
    <w:rsid w:val="0076689D"/>
    <w:rsid w:val="0076690B"/>
    <w:rsid w:val="0076694B"/>
    <w:rsid w:val="00766960"/>
    <w:rsid w:val="007669DE"/>
    <w:rsid w:val="007669EE"/>
    <w:rsid w:val="00766A65"/>
    <w:rsid w:val="00766AB8"/>
    <w:rsid w:val="00766AF0"/>
    <w:rsid w:val="00766BEF"/>
    <w:rsid w:val="00766C21"/>
    <w:rsid w:val="00766C24"/>
    <w:rsid w:val="00766C27"/>
    <w:rsid w:val="00766C5C"/>
    <w:rsid w:val="00766C90"/>
    <w:rsid w:val="00766C92"/>
    <w:rsid w:val="00766D90"/>
    <w:rsid w:val="00766DB9"/>
    <w:rsid w:val="00766DE0"/>
    <w:rsid w:val="00766DFA"/>
    <w:rsid w:val="00766EEF"/>
    <w:rsid w:val="00766F0C"/>
    <w:rsid w:val="00766F4A"/>
    <w:rsid w:val="00766F60"/>
    <w:rsid w:val="00766F7F"/>
    <w:rsid w:val="00766FA0"/>
    <w:rsid w:val="00766FBA"/>
    <w:rsid w:val="00766FCD"/>
    <w:rsid w:val="007670AC"/>
    <w:rsid w:val="00767190"/>
    <w:rsid w:val="007671E8"/>
    <w:rsid w:val="00767212"/>
    <w:rsid w:val="00767264"/>
    <w:rsid w:val="007672AE"/>
    <w:rsid w:val="007672B0"/>
    <w:rsid w:val="007672EA"/>
    <w:rsid w:val="00767342"/>
    <w:rsid w:val="00767398"/>
    <w:rsid w:val="007673F3"/>
    <w:rsid w:val="007673FC"/>
    <w:rsid w:val="00767432"/>
    <w:rsid w:val="00767463"/>
    <w:rsid w:val="0076746E"/>
    <w:rsid w:val="00767480"/>
    <w:rsid w:val="007674D2"/>
    <w:rsid w:val="00767500"/>
    <w:rsid w:val="0076753A"/>
    <w:rsid w:val="007675A2"/>
    <w:rsid w:val="007675B2"/>
    <w:rsid w:val="00767608"/>
    <w:rsid w:val="00767619"/>
    <w:rsid w:val="0076763B"/>
    <w:rsid w:val="00767697"/>
    <w:rsid w:val="007676F3"/>
    <w:rsid w:val="0076770A"/>
    <w:rsid w:val="0076770C"/>
    <w:rsid w:val="00767734"/>
    <w:rsid w:val="00767736"/>
    <w:rsid w:val="00767747"/>
    <w:rsid w:val="00767769"/>
    <w:rsid w:val="007677A3"/>
    <w:rsid w:val="007677B0"/>
    <w:rsid w:val="00767840"/>
    <w:rsid w:val="0076784A"/>
    <w:rsid w:val="0076784B"/>
    <w:rsid w:val="0076786A"/>
    <w:rsid w:val="0076786C"/>
    <w:rsid w:val="0076788E"/>
    <w:rsid w:val="007678BC"/>
    <w:rsid w:val="007678F9"/>
    <w:rsid w:val="00767913"/>
    <w:rsid w:val="00767940"/>
    <w:rsid w:val="0076797D"/>
    <w:rsid w:val="007679A2"/>
    <w:rsid w:val="00767A26"/>
    <w:rsid w:val="00767A2B"/>
    <w:rsid w:val="00767A2C"/>
    <w:rsid w:val="00767A5A"/>
    <w:rsid w:val="00767A73"/>
    <w:rsid w:val="00767AB0"/>
    <w:rsid w:val="00767AB2"/>
    <w:rsid w:val="00767ACA"/>
    <w:rsid w:val="00767B59"/>
    <w:rsid w:val="00767B5E"/>
    <w:rsid w:val="00767B63"/>
    <w:rsid w:val="00767BD8"/>
    <w:rsid w:val="00767BEA"/>
    <w:rsid w:val="00767C06"/>
    <w:rsid w:val="00767C27"/>
    <w:rsid w:val="00767C42"/>
    <w:rsid w:val="00767C99"/>
    <w:rsid w:val="00767D11"/>
    <w:rsid w:val="00767D13"/>
    <w:rsid w:val="00767D77"/>
    <w:rsid w:val="00767EFC"/>
    <w:rsid w:val="00767F26"/>
    <w:rsid w:val="00767F44"/>
    <w:rsid w:val="00767F5D"/>
    <w:rsid w:val="00767FAC"/>
    <w:rsid w:val="00767FFC"/>
    <w:rsid w:val="0077001C"/>
    <w:rsid w:val="0077010A"/>
    <w:rsid w:val="00770170"/>
    <w:rsid w:val="007701B7"/>
    <w:rsid w:val="007701C8"/>
    <w:rsid w:val="007701FD"/>
    <w:rsid w:val="0077022A"/>
    <w:rsid w:val="00770248"/>
    <w:rsid w:val="0077024E"/>
    <w:rsid w:val="007702A4"/>
    <w:rsid w:val="007702B3"/>
    <w:rsid w:val="00770332"/>
    <w:rsid w:val="0077035C"/>
    <w:rsid w:val="0077039F"/>
    <w:rsid w:val="007703DF"/>
    <w:rsid w:val="007703EA"/>
    <w:rsid w:val="007703FF"/>
    <w:rsid w:val="00770445"/>
    <w:rsid w:val="007704CC"/>
    <w:rsid w:val="0077056B"/>
    <w:rsid w:val="007705B3"/>
    <w:rsid w:val="007705D1"/>
    <w:rsid w:val="00770600"/>
    <w:rsid w:val="007706DD"/>
    <w:rsid w:val="00770744"/>
    <w:rsid w:val="0077074E"/>
    <w:rsid w:val="00770798"/>
    <w:rsid w:val="007707B6"/>
    <w:rsid w:val="00770807"/>
    <w:rsid w:val="0077083B"/>
    <w:rsid w:val="007708BF"/>
    <w:rsid w:val="007708DA"/>
    <w:rsid w:val="007708E2"/>
    <w:rsid w:val="00770921"/>
    <w:rsid w:val="0077099F"/>
    <w:rsid w:val="007709F8"/>
    <w:rsid w:val="00770A1A"/>
    <w:rsid w:val="00770A1D"/>
    <w:rsid w:val="00770AF5"/>
    <w:rsid w:val="00770B72"/>
    <w:rsid w:val="00770B97"/>
    <w:rsid w:val="00770BB9"/>
    <w:rsid w:val="00770BD0"/>
    <w:rsid w:val="00770BF0"/>
    <w:rsid w:val="00770C0D"/>
    <w:rsid w:val="00770C53"/>
    <w:rsid w:val="00770C99"/>
    <w:rsid w:val="00770D7B"/>
    <w:rsid w:val="00770D82"/>
    <w:rsid w:val="00770DE4"/>
    <w:rsid w:val="00770E2E"/>
    <w:rsid w:val="00770EC7"/>
    <w:rsid w:val="00770EE1"/>
    <w:rsid w:val="00770EEB"/>
    <w:rsid w:val="00770F18"/>
    <w:rsid w:val="00770F2F"/>
    <w:rsid w:val="00770F46"/>
    <w:rsid w:val="00770F99"/>
    <w:rsid w:val="00770FAF"/>
    <w:rsid w:val="00770FD4"/>
    <w:rsid w:val="007710C8"/>
    <w:rsid w:val="00771101"/>
    <w:rsid w:val="00771118"/>
    <w:rsid w:val="007711DE"/>
    <w:rsid w:val="007711FB"/>
    <w:rsid w:val="007712A7"/>
    <w:rsid w:val="007712AF"/>
    <w:rsid w:val="007712F3"/>
    <w:rsid w:val="00771328"/>
    <w:rsid w:val="0077134F"/>
    <w:rsid w:val="0077137B"/>
    <w:rsid w:val="007713DA"/>
    <w:rsid w:val="007713DE"/>
    <w:rsid w:val="00771460"/>
    <w:rsid w:val="0077146C"/>
    <w:rsid w:val="0077149B"/>
    <w:rsid w:val="00771546"/>
    <w:rsid w:val="0077157A"/>
    <w:rsid w:val="00771599"/>
    <w:rsid w:val="007715D6"/>
    <w:rsid w:val="0077161A"/>
    <w:rsid w:val="0077162B"/>
    <w:rsid w:val="00771694"/>
    <w:rsid w:val="007716A8"/>
    <w:rsid w:val="00771718"/>
    <w:rsid w:val="0077177A"/>
    <w:rsid w:val="007717E9"/>
    <w:rsid w:val="00771886"/>
    <w:rsid w:val="007718D6"/>
    <w:rsid w:val="007718D9"/>
    <w:rsid w:val="00771918"/>
    <w:rsid w:val="00771920"/>
    <w:rsid w:val="00771985"/>
    <w:rsid w:val="007719CB"/>
    <w:rsid w:val="007719D1"/>
    <w:rsid w:val="00771AD0"/>
    <w:rsid w:val="00771B3C"/>
    <w:rsid w:val="00771B4C"/>
    <w:rsid w:val="00771B76"/>
    <w:rsid w:val="00771C0C"/>
    <w:rsid w:val="00771CDE"/>
    <w:rsid w:val="00771D56"/>
    <w:rsid w:val="00771D68"/>
    <w:rsid w:val="00771D87"/>
    <w:rsid w:val="00771DA6"/>
    <w:rsid w:val="00771DFD"/>
    <w:rsid w:val="00771E3E"/>
    <w:rsid w:val="00771E5C"/>
    <w:rsid w:val="00771F35"/>
    <w:rsid w:val="00771F41"/>
    <w:rsid w:val="00771FA3"/>
    <w:rsid w:val="00771FBF"/>
    <w:rsid w:val="00772065"/>
    <w:rsid w:val="007720B0"/>
    <w:rsid w:val="0077219F"/>
    <w:rsid w:val="007721D2"/>
    <w:rsid w:val="007721F4"/>
    <w:rsid w:val="00772244"/>
    <w:rsid w:val="0077227B"/>
    <w:rsid w:val="00772340"/>
    <w:rsid w:val="00772376"/>
    <w:rsid w:val="00772386"/>
    <w:rsid w:val="00772393"/>
    <w:rsid w:val="0077244D"/>
    <w:rsid w:val="00772551"/>
    <w:rsid w:val="00772586"/>
    <w:rsid w:val="007725AD"/>
    <w:rsid w:val="007725C2"/>
    <w:rsid w:val="00772636"/>
    <w:rsid w:val="00772641"/>
    <w:rsid w:val="007726AE"/>
    <w:rsid w:val="007726F1"/>
    <w:rsid w:val="0077272D"/>
    <w:rsid w:val="0077273C"/>
    <w:rsid w:val="0077278C"/>
    <w:rsid w:val="007727B8"/>
    <w:rsid w:val="007727CA"/>
    <w:rsid w:val="00772836"/>
    <w:rsid w:val="00772887"/>
    <w:rsid w:val="00772893"/>
    <w:rsid w:val="007728C4"/>
    <w:rsid w:val="007728CB"/>
    <w:rsid w:val="007728F5"/>
    <w:rsid w:val="0077290F"/>
    <w:rsid w:val="00772948"/>
    <w:rsid w:val="0077298A"/>
    <w:rsid w:val="007729EE"/>
    <w:rsid w:val="00772A06"/>
    <w:rsid w:val="00772A37"/>
    <w:rsid w:val="00772AA4"/>
    <w:rsid w:val="00772AF5"/>
    <w:rsid w:val="00772B4F"/>
    <w:rsid w:val="00772B61"/>
    <w:rsid w:val="00772B9F"/>
    <w:rsid w:val="00772BDE"/>
    <w:rsid w:val="00772C04"/>
    <w:rsid w:val="00772C5A"/>
    <w:rsid w:val="00772C71"/>
    <w:rsid w:val="00772C7A"/>
    <w:rsid w:val="00772CAA"/>
    <w:rsid w:val="00772CEC"/>
    <w:rsid w:val="00772D1F"/>
    <w:rsid w:val="00772D59"/>
    <w:rsid w:val="00772E39"/>
    <w:rsid w:val="00772E5A"/>
    <w:rsid w:val="00772E80"/>
    <w:rsid w:val="00772EAB"/>
    <w:rsid w:val="00772EB6"/>
    <w:rsid w:val="00772F15"/>
    <w:rsid w:val="00772F4B"/>
    <w:rsid w:val="00772F78"/>
    <w:rsid w:val="00772FED"/>
    <w:rsid w:val="00773088"/>
    <w:rsid w:val="007730B9"/>
    <w:rsid w:val="007730BF"/>
    <w:rsid w:val="007730C5"/>
    <w:rsid w:val="00773108"/>
    <w:rsid w:val="0077312E"/>
    <w:rsid w:val="0077313B"/>
    <w:rsid w:val="00773165"/>
    <w:rsid w:val="007732E3"/>
    <w:rsid w:val="007733AA"/>
    <w:rsid w:val="007733F1"/>
    <w:rsid w:val="00773404"/>
    <w:rsid w:val="0077341B"/>
    <w:rsid w:val="0077345C"/>
    <w:rsid w:val="0077349B"/>
    <w:rsid w:val="007734C7"/>
    <w:rsid w:val="0077354A"/>
    <w:rsid w:val="00773567"/>
    <w:rsid w:val="0077356A"/>
    <w:rsid w:val="0077356C"/>
    <w:rsid w:val="00773571"/>
    <w:rsid w:val="0077357E"/>
    <w:rsid w:val="007735A4"/>
    <w:rsid w:val="007735AE"/>
    <w:rsid w:val="007735FD"/>
    <w:rsid w:val="0077360D"/>
    <w:rsid w:val="0077364D"/>
    <w:rsid w:val="007736B9"/>
    <w:rsid w:val="007736C9"/>
    <w:rsid w:val="007736D8"/>
    <w:rsid w:val="007736DC"/>
    <w:rsid w:val="00773712"/>
    <w:rsid w:val="00773714"/>
    <w:rsid w:val="00773731"/>
    <w:rsid w:val="00773733"/>
    <w:rsid w:val="007737B0"/>
    <w:rsid w:val="00773819"/>
    <w:rsid w:val="00773829"/>
    <w:rsid w:val="007738BB"/>
    <w:rsid w:val="007738C5"/>
    <w:rsid w:val="007738D3"/>
    <w:rsid w:val="007738DA"/>
    <w:rsid w:val="00773922"/>
    <w:rsid w:val="00773948"/>
    <w:rsid w:val="00773970"/>
    <w:rsid w:val="007739DD"/>
    <w:rsid w:val="007739F5"/>
    <w:rsid w:val="007739FB"/>
    <w:rsid w:val="00773A2C"/>
    <w:rsid w:val="00773A58"/>
    <w:rsid w:val="00773A5C"/>
    <w:rsid w:val="00773AAA"/>
    <w:rsid w:val="00773ABA"/>
    <w:rsid w:val="00773ACC"/>
    <w:rsid w:val="00773B56"/>
    <w:rsid w:val="00773B99"/>
    <w:rsid w:val="00773BA9"/>
    <w:rsid w:val="00773BC8"/>
    <w:rsid w:val="00773BC9"/>
    <w:rsid w:val="00773C28"/>
    <w:rsid w:val="00773C3F"/>
    <w:rsid w:val="00773C7C"/>
    <w:rsid w:val="00773CB6"/>
    <w:rsid w:val="00773D76"/>
    <w:rsid w:val="00773E2A"/>
    <w:rsid w:val="00773E78"/>
    <w:rsid w:val="00773EC5"/>
    <w:rsid w:val="00773EDB"/>
    <w:rsid w:val="00773F1F"/>
    <w:rsid w:val="00773FCE"/>
    <w:rsid w:val="00774040"/>
    <w:rsid w:val="007740E5"/>
    <w:rsid w:val="00774153"/>
    <w:rsid w:val="007741E7"/>
    <w:rsid w:val="00774299"/>
    <w:rsid w:val="007742B1"/>
    <w:rsid w:val="007742BD"/>
    <w:rsid w:val="007742EA"/>
    <w:rsid w:val="0077437F"/>
    <w:rsid w:val="007743A8"/>
    <w:rsid w:val="007743AB"/>
    <w:rsid w:val="007743D5"/>
    <w:rsid w:val="007743E0"/>
    <w:rsid w:val="00774413"/>
    <w:rsid w:val="00774568"/>
    <w:rsid w:val="0077459F"/>
    <w:rsid w:val="007745B0"/>
    <w:rsid w:val="0077460C"/>
    <w:rsid w:val="00774612"/>
    <w:rsid w:val="007746B5"/>
    <w:rsid w:val="007746EA"/>
    <w:rsid w:val="007746F1"/>
    <w:rsid w:val="0077478A"/>
    <w:rsid w:val="00774822"/>
    <w:rsid w:val="0077483F"/>
    <w:rsid w:val="00774860"/>
    <w:rsid w:val="00774873"/>
    <w:rsid w:val="007748F7"/>
    <w:rsid w:val="007748FB"/>
    <w:rsid w:val="00774983"/>
    <w:rsid w:val="007749E3"/>
    <w:rsid w:val="007749E5"/>
    <w:rsid w:val="007749F5"/>
    <w:rsid w:val="00774B48"/>
    <w:rsid w:val="00774B4F"/>
    <w:rsid w:val="00774B53"/>
    <w:rsid w:val="00774B65"/>
    <w:rsid w:val="00774B9D"/>
    <w:rsid w:val="00774BD9"/>
    <w:rsid w:val="00774BE5"/>
    <w:rsid w:val="00774C58"/>
    <w:rsid w:val="00774C5F"/>
    <w:rsid w:val="00774C8E"/>
    <w:rsid w:val="00774CA2"/>
    <w:rsid w:val="00774D41"/>
    <w:rsid w:val="00774DC4"/>
    <w:rsid w:val="00774DE8"/>
    <w:rsid w:val="00774E63"/>
    <w:rsid w:val="00774E82"/>
    <w:rsid w:val="00774E8E"/>
    <w:rsid w:val="00774F01"/>
    <w:rsid w:val="00774F45"/>
    <w:rsid w:val="00774F58"/>
    <w:rsid w:val="00774F94"/>
    <w:rsid w:val="00774FAD"/>
    <w:rsid w:val="0077508E"/>
    <w:rsid w:val="00775093"/>
    <w:rsid w:val="0077509E"/>
    <w:rsid w:val="0077513A"/>
    <w:rsid w:val="00775182"/>
    <w:rsid w:val="00775188"/>
    <w:rsid w:val="007751F4"/>
    <w:rsid w:val="00775202"/>
    <w:rsid w:val="00775206"/>
    <w:rsid w:val="0077520F"/>
    <w:rsid w:val="0077527B"/>
    <w:rsid w:val="007752C0"/>
    <w:rsid w:val="007752F0"/>
    <w:rsid w:val="00775326"/>
    <w:rsid w:val="0077532C"/>
    <w:rsid w:val="00775334"/>
    <w:rsid w:val="00775402"/>
    <w:rsid w:val="00775414"/>
    <w:rsid w:val="00775416"/>
    <w:rsid w:val="0077543F"/>
    <w:rsid w:val="0077545B"/>
    <w:rsid w:val="00775468"/>
    <w:rsid w:val="007754B6"/>
    <w:rsid w:val="007754BC"/>
    <w:rsid w:val="007754D4"/>
    <w:rsid w:val="007754F2"/>
    <w:rsid w:val="0077552D"/>
    <w:rsid w:val="00775531"/>
    <w:rsid w:val="00775546"/>
    <w:rsid w:val="0077557A"/>
    <w:rsid w:val="007755A7"/>
    <w:rsid w:val="007755AE"/>
    <w:rsid w:val="007755B9"/>
    <w:rsid w:val="007755D1"/>
    <w:rsid w:val="00775604"/>
    <w:rsid w:val="0077566C"/>
    <w:rsid w:val="00775697"/>
    <w:rsid w:val="007756CB"/>
    <w:rsid w:val="00775791"/>
    <w:rsid w:val="007757B4"/>
    <w:rsid w:val="007757BE"/>
    <w:rsid w:val="007757C9"/>
    <w:rsid w:val="007757F1"/>
    <w:rsid w:val="00775841"/>
    <w:rsid w:val="00775858"/>
    <w:rsid w:val="0077585C"/>
    <w:rsid w:val="00775874"/>
    <w:rsid w:val="0077587A"/>
    <w:rsid w:val="007758AD"/>
    <w:rsid w:val="007758D9"/>
    <w:rsid w:val="00775915"/>
    <w:rsid w:val="00775949"/>
    <w:rsid w:val="0077594D"/>
    <w:rsid w:val="0077595F"/>
    <w:rsid w:val="007759EA"/>
    <w:rsid w:val="00775A10"/>
    <w:rsid w:val="00775B0C"/>
    <w:rsid w:val="00775BAE"/>
    <w:rsid w:val="00775C07"/>
    <w:rsid w:val="00775CF2"/>
    <w:rsid w:val="00775D50"/>
    <w:rsid w:val="00775DB3"/>
    <w:rsid w:val="00775DC6"/>
    <w:rsid w:val="00775E03"/>
    <w:rsid w:val="00775E07"/>
    <w:rsid w:val="00775E19"/>
    <w:rsid w:val="00775E1F"/>
    <w:rsid w:val="00775E59"/>
    <w:rsid w:val="00775E75"/>
    <w:rsid w:val="00775ECD"/>
    <w:rsid w:val="00775ED7"/>
    <w:rsid w:val="00775EF6"/>
    <w:rsid w:val="00775F05"/>
    <w:rsid w:val="00775FBC"/>
    <w:rsid w:val="00775FC5"/>
    <w:rsid w:val="00775FDC"/>
    <w:rsid w:val="00776015"/>
    <w:rsid w:val="007760C3"/>
    <w:rsid w:val="00776169"/>
    <w:rsid w:val="007761A4"/>
    <w:rsid w:val="007762FC"/>
    <w:rsid w:val="00776309"/>
    <w:rsid w:val="00776336"/>
    <w:rsid w:val="00776338"/>
    <w:rsid w:val="0077634C"/>
    <w:rsid w:val="0077636B"/>
    <w:rsid w:val="00776375"/>
    <w:rsid w:val="00776377"/>
    <w:rsid w:val="007763A2"/>
    <w:rsid w:val="007763A5"/>
    <w:rsid w:val="007763B1"/>
    <w:rsid w:val="00776428"/>
    <w:rsid w:val="007764CE"/>
    <w:rsid w:val="00776508"/>
    <w:rsid w:val="007765EA"/>
    <w:rsid w:val="00776624"/>
    <w:rsid w:val="007766C0"/>
    <w:rsid w:val="007766F5"/>
    <w:rsid w:val="007766FC"/>
    <w:rsid w:val="00776704"/>
    <w:rsid w:val="00776709"/>
    <w:rsid w:val="007767BC"/>
    <w:rsid w:val="007767CF"/>
    <w:rsid w:val="00776811"/>
    <w:rsid w:val="0077687A"/>
    <w:rsid w:val="007768DB"/>
    <w:rsid w:val="00776958"/>
    <w:rsid w:val="00776983"/>
    <w:rsid w:val="007769B2"/>
    <w:rsid w:val="007769C6"/>
    <w:rsid w:val="007769DF"/>
    <w:rsid w:val="00776A7A"/>
    <w:rsid w:val="00776B1E"/>
    <w:rsid w:val="00776B8C"/>
    <w:rsid w:val="00776BB2"/>
    <w:rsid w:val="00776BC6"/>
    <w:rsid w:val="00776BEF"/>
    <w:rsid w:val="00776BF3"/>
    <w:rsid w:val="00776DED"/>
    <w:rsid w:val="00776F8F"/>
    <w:rsid w:val="0077706D"/>
    <w:rsid w:val="00777083"/>
    <w:rsid w:val="007770B2"/>
    <w:rsid w:val="007770B3"/>
    <w:rsid w:val="007770DB"/>
    <w:rsid w:val="007770DF"/>
    <w:rsid w:val="00777145"/>
    <w:rsid w:val="0077722C"/>
    <w:rsid w:val="0077723C"/>
    <w:rsid w:val="0077725C"/>
    <w:rsid w:val="00777277"/>
    <w:rsid w:val="00777279"/>
    <w:rsid w:val="0077727B"/>
    <w:rsid w:val="0077731F"/>
    <w:rsid w:val="00777384"/>
    <w:rsid w:val="007773A3"/>
    <w:rsid w:val="007773A4"/>
    <w:rsid w:val="0077740B"/>
    <w:rsid w:val="00777470"/>
    <w:rsid w:val="00777510"/>
    <w:rsid w:val="0077757B"/>
    <w:rsid w:val="007775B9"/>
    <w:rsid w:val="00777679"/>
    <w:rsid w:val="007776E7"/>
    <w:rsid w:val="00777797"/>
    <w:rsid w:val="007777AB"/>
    <w:rsid w:val="00777862"/>
    <w:rsid w:val="0077789E"/>
    <w:rsid w:val="007778BC"/>
    <w:rsid w:val="00777909"/>
    <w:rsid w:val="00777921"/>
    <w:rsid w:val="007779A7"/>
    <w:rsid w:val="007779D5"/>
    <w:rsid w:val="007779E6"/>
    <w:rsid w:val="00777B63"/>
    <w:rsid w:val="00777B84"/>
    <w:rsid w:val="00777C08"/>
    <w:rsid w:val="00777C5D"/>
    <w:rsid w:val="00777C7F"/>
    <w:rsid w:val="00777CF2"/>
    <w:rsid w:val="00777D47"/>
    <w:rsid w:val="00777D5F"/>
    <w:rsid w:val="00777D69"/>
    <w:rsid w:val="00777DC1"/>
    <w:rsid w:val="00777DEE"/>
    <w:rsid w:val="00777DFF"/>
    <w:rsid w:val="00777E71"/>
    <w:rsid w:val="00777F49"/>
    <w:rsid w:val="00777F4C"/>
    <w:rsid w:val="00777F9C"/>
    <w:rsid w:val="00777FA1"/>
    <w:rsid w:val="00777FB1"/>
    <w:rsid w:val="00777FC8"/>
    <w:rsid w:val="0078000C"/>
    <w:rsid w:val="00780056"/>
    <w:rsid w:val="0078006D"/>
    <w:rsid w:val="007800DE"/>
    <w:rsid w:val="00780155"/>
    <w:rsid w:val="00780236"/>
    <w:rsid w:val="0078023F"/>
    <w:rsid w:val="0078024F"/>
    <w:rsid w:val="0078027E"/>
    <w:rsid w:val="00780318"/>
    <w:rsid w:val="0078034F"/>
    <w:rsid w:val="0078035F"/>
    <w:rsid w:val="0078044F"/>
    <w:rsid w:val="00780522"/>
    <w:rsid w:val="0078054A"/>
    <w:rsid w:val="0078054B"/>
    <w:rsid w:val="0078059E"/>
    <w:rsid w:val="0078068F"/>
    <w:rsid w:val="007806A4"/>
    <w:rsid w:val="007806AF"/>
    <w:rsid w:val="007806D9"/>
    <w:rsid w:val="007807A1"/>
    <w:rsid w:val="007807B2"/>
    <w:rsid w:val="007807BB"/>
    <w:rsid w:val="00780883"/>
    <w:rsid w:val="007808DC"/>
    <w:rsid w:val="00780956"/>
    <w:rsid w:val="00780968"/>
    <w:rsid w:val="007809B3"/>
    <w:rsid w:val="00780A28"/>
    <w:rsid w:val="00780AFB"/>
    <w:rsid w:val="00780B84"/>
    <w:rsid w:val="00780B8E"/>
    <w:rsid w:val="00780BBD"/>
    <w:rsid w:val="00780BFA"/>
    <w:rsid w:val="00780C88"/>
    <w:rsid w:val="00780C92"/>
    <w:rsid w:val="00780CAA"/>
    <w:rsid w:val="00780CB3"/>
    <w:rsid w:val="00780CE5"/>
    <w:rsid w:val="00780D06"/>
    <w:rsid w:val="00780D12"/>
    <w:rsid w:val="00780D38"/>
    <w:rsid w:val="00780D53"/>
    <w:rsid w:val="00780D93"/>
    <w:rsid w:val="00780DF5"/>
    <w:rsid w:val="00780E01"/>
    <w:rsid w:val="00780E95"/>
    <w:rsid w:val="00780EE6"/>
    <w:rsid w:val="00780F22"/>
    <w:rsid w:val="00780F4B"/>
    <w:rsid w:val="00780F82"/>
    <w:rsid w:val="00780F97"/>
    <w:rsid w:val="00780FF4"/>
    <w:rsid w:val="00781007"/>
    <w:rsid w:val="00781022"/>
    <w:rsid w:val="00781130"/>
    <w:rsid w:val="0078115A"/>
    <w:rsid w:val="00781178"/>
    <w:rsid w:val="0078119B"/>
    <w:rsid w:val="00781207"/>
    <w:rsid w:val="00781215"/>
    <w:rsid w:val="0078133F"/>
    <w:rsid w:val="0078134A"/>
    <w:rsid w:val="00781389"/>
    <w:rsid w:val="00781398"/>
    <w:rsid w:val="007813A8"/>
    <w:rsid w:val="007813CF"/>
    <w:rsid w:val="007813E2"/>
    <w:rsid w:val="0078144E"/>
    <w:rsid w:val="0078144F"/>
    <w:rsid w:val="00781461"/>
    <w:rsid w:val="007814D9"/>
    <w:rsid w:val="00781500"/>
    <w:rsid w:val="0078159D"/>
    <w:rsid w:val="007815BD"/>
    <w:rsid w:val="007815D7"/>
    <w:rsid w:val="0078164C"/>
    <w:rsid w:val="007816BF"/>
    <w:rsid w:val="007816C2"/>
    <w:rsid w:val="0078172B"/>
    <w:rsid w:val="007817DE"/>
    <w:rsid w:val="007817E6"/>
    <w:rsid w:val="0078180F"/>
    <w:rsid w:val="007818DD"/>
    <w:rsid w:val="007818FB"/>
    <w:rsid w:val="007819FB"/>
    <w:rsid w:val="00781AA5"/>
    <w:rsid w:val="00781ADC"/>
    <w:rsid w:val="00781AF3"/>
    <w:rsid w:val="00781B21"/>
    <w:rsid w:val="00781BB0"/>
    <w:rsid w:val="00781C17"/>
    <w:rsid w:val="00781C70"/>
    <w:rsid w:val="00781C87"/>
    <w:rsid w:val="00781D0F"/>
    <w:rsid w:val="00781D24"/>
    <w:rsid w:val="00781D9A"/>
    <w:rsid w:val="00781DD3"/>
    <w:rsid w:val="00781F0D"/>
    <w:rsid w:val="00781F26"/>
    <w:rsid w:val="00781F3E"/>
    <w:rsid w:val="00781F81"/>
    <w:rsid w:val="00781FFA"/>
    <w:rsid w:val="00782007"/>
    <w:rsid w:val="007820A4"/>
    <w:rsid w:val="007820C1"/>
    <w:rsid w:val="007820FC"/>
    <w:rsid w:val="00782123"/>
    <w:rsid w:val="007821B9"/>
    <w:rsid w:val="007821FC"/>
    <w:rsid w:val="00782211"/>
    <w:rsid w:val="0078223B"/>
    <w:rsid w:val="00782310"/>
    <w:rsid w:val="00782395"/>
    <w:rsid w:val="007823AF"/>
    <w:rsid w:val="007823CA"/>
    <w:rsid w:val="007823E3"/>
    <w:rsid w:val="007823E6"/>
    <w:rsid w:val="007823F3"/>
    <w:rsid w:val="00782417"/>
    <w:rsid w:val="00782424"/>
    <w:rsid w:val="00782450"/>
    <w:rsid w:val="00782462"/>
    <w:rsid w:val="00782465"/>
    <w:rsid w:val="007824AE"/>
    <w:rsid w:val="007824EE"/>
    <w:rsid w:val="007824F2"/>
    <w:rsid w:val="007824F7"/>
    <w:rsid w:val="00782500"/>
    <w:rsid w:val="00782564"/>
    <w:rsid w:val="0078257B"/>
    <w:rsid w:val="00782581"/>
    <w:rsid w:val="00782649"/>
    <w:rsid w:val="0078264D"/>
    <w:rsid w:val="0078267B"/>
    <w:rsid w:val="007826D2"/>
    <w:rsid w:val="00782766"/>
    <w:rsid w:val="007827AC"/>
    <w:rsid w:val="00782813"/>
    <w:rsid w:val="0078283F"/>
    <w:rsid w:val="0078286B"/>
    <w:rsid w:val="007828FC"/>
    <w:rsid w:val="00782903"/>
    <w:rsid w:val="007829B2"/>
    <w:rsid w:val="007829BA"/>
    <w:rsid w:val="007829BF"/>
    <w:rsid w:val="007829D7"/>
    <w:rsid w:val="00782A01"/>
    <w:rsid w:val="00782A26"/>
    <w:rsid w:val="00782AC0"/>
    <w:rsid w:val="00782B07"/>
    <w:rsid w:val="00782B2F"/>
    <w:rsid w:val="00782B66"/>
    <w:rsid w:val="00782B8E"/>
    <w:rsid w:val="00782B94"/>
    <w:rsid w:val="00782C41"/>
    <w:rsid w:val="00782C46"/>
    <w:rsid w:val="00782C90"/>
    <w:rsid w:val="00782CA4"/>
    <w:rsid w:val="00782CC7"/>
    <w:rsid w:val="00782CD8"/>
    <w:rsid w:val="00782D51"/>
    <w:rsid w:val="00782D7C"/>
    <w:rsid w:val="00782E35"/>
    <w:rsid w:val="00782E44"/>
    <w:rsid w:val="00782E68"/>
    <w:rsid w:val="00782E76"/>
    <w:rsid w:val="00782F35"/>
    <w:rsid w:val="00782FA4"/>
    <w:rsid w:val="00782FB6"/>
    <w:rsid w:val="00782FBE"/>
    <w:rsid w:val="0078305E"/>
    <w:rsid w:val="007830D5"/>
    <w:rsid w:val="007830D9"/>
    <w:rsid w:val="00783102"/>
    <w:rsid w:val="00783151"/>
    <w:rsid w:val="00783171"/>
    <w:rsid w:val="007831B9"/>
    <w:rsid w:val="007831D6"/>
    <w:rsid w:val="007831F6"/>
    <w:rsid w:val="00783243"/>
    <w:rsid w:val="007832A5"/>
    <w:rsid w:val="007832FD"/>
    <w:rsid w:val="0078337D"/>
    <w:rsid w:val="007833C9"/>
    <w:rsid w:val="0078348A"/>
    <w:rsid w:val="0078348D"/>
    <w:rsid w:val="007835E8"/>
    <w:rsid w:val="00783632"/>
    <w:rsid w:val="00783644"/>
    <w:rsid w:val="0078368A"/>
    <w:rsid w:val="007836BF"/>
    <w:rsid w:val="007836CB"/>
    <w:rsid w:val="007836E4"/>
    <w:rsid w:val="00783725"/>
    <w:rsid w:val="0078376F"/>
    <w:rsid w:val="00783850"/>
    <w:rsid w:val="0078385E"/>
    <w:rsid w:val="00783934"/>
    <w:rsid w:val="0078396E"/>
    <w:rsid w:val="0078397F"/>
    <w:rsid w:val="00783980"/>
    <w:rsid w:val="00783994"/>
    <w:rsid w:val="00783A10"/>
    <w:rsid w:val="00783A89"/>
    <w:rsid w:val="00783ACD"/>
    <w:rsid w:val="00783B52"/>
    <w:rsid w:val="00783BD2"/>
    <w:rsid w:val="00783BE3"/>
    <w:rsid w:val="00783C03"/>
    <w:rsid w:val="00783C10"/>
    <w:rsid w:val="00783C3E"/>
    <w:rsid w:val="00783C74"/>
    <w:rsid w:val="00783CB1"/>
    <w:rsid w:val="00783CCC"/>
    <w:rsid w:val="00783D75"/>
    <w:rsid w:val="00783DCD"/>
    <w:rsid w:val="00783E47"/>
    <w:rsid w:val="00783EE3"/>
    <w:rsid w:val="00783EE5"/>
    <w:rsid w:val="00783F27"/>
    <w:rsid w:val="00783F6F"/>
    <w:rsid w:val="00783F7F"/>
    <w:rsid w:val="00783F90"/>
    <w:rsid w:val="00784024"/>
    <w:rsid w:val="007840B2"/>
    <w:rsid w:val="0078410A"/>
    <w:rsid w:val="0078411D"/>
    <w:rsid w:val="00784134"/>
    <w:rsid w:val="007841B2"/>
    <w:rsid w:val="00784258"/>
    <w:rsid w:val="00784268"/>
    <w:rsid w:val="0078426C"/>
    <w:rsid w:val="0078427E"/>
    <w:rsid w:val="007842AC"/>
    <w:rsid w:val="007842B2"/>
    <w:rsid w:val="007842D9"/>
    <w:rsid w:val="007842E3"/>
    <w:rsid w:val="007843C9"/>
    <w:rsid w:val="00784414"/>
    <w:rsid w:val="00784455"/>
    <w:rsid w:val="0078448B"/>
    <w:rsid w:val="007844EF"/>
    <w:rsid w:val="00784528"/>
    <w:rsid w:val="00784538"/>
    <w:rsid w:val="0078453C"/>
    <w:rsid w:val="00784549"/>
    <w:rsid w:val="00784589"/>
    <w:rsid w:val="007845A8"/>
    <w:rsid w:val="007845AB"/>
    <w:rsid w:val="007845E7"/>
    <w:rsid w:val="007845F3"/>
    <w:rsid w:val="00784621"/>
    <w:rsid w:val="0078462C"/>
    <w:rsid w:val="0078468F"/>
    <w:rsid w:val="00784693"/>
    <w:rsid w:val="0078469D"/>
    <w:rsid w:val="007846C8"/>
    <w:rsid w:val="0078470F"/>
    <w:rsid w:val="00784711"/>
    <w:rsid w:val="00784738"/>
    <w:rsid w:val="0078476B"/>
    <w:rsid w:val="007847A0"/>
    <w:rsid w:val="00784813"/>
    <w:rsid w:val="0078481F"/>
    <w:rsid w:val="007848A0"/>
    <w:rsid w:val="007848AF"/>
    <w:rsid w:val="007848E2"/>
    <w:rsid w:val="00784922"/>
    <w:rsid w:val="00784928"/>
    <w:rsid w:val="00784963"/>
    <w:rsid w:val="0078496E"/>
    <w:rsid w:val="00784975"/>
    <w:rsid w:val="007849EF"/>
    <w:rsid w:val="00784AE1"/>
    <w:rsid w:val="00784AF7"/>
    <w:rsid w:val="00784B07"/>
    <w:rsid w:val="00784B60"/>
    <w:rsid w:val="00784B6E"/>
    <w:rsid w:val="00784BC6"/>
    <w:rsid w:val="00784BF5"/>
    <w:rsid w:val="00784C0A"/>
    <w:rsid w:val="00784C17"/>
    <w:rsid w:val="00784C23"/>
    <w:rsid w:val="00784D1E"/>
    <w:rsid w:val="00784D2E"/>
    <w:rsid w:val="00784D50"/>
    <w:rsid w:val="00784DAE"/>
    <w:rsid w:val="00784E18"/>
    <w:rsid w:val="00784E51"/>
    <w:rsid w:val="00784E5F"/>
    <w:rsid w:val="00784E7B"/>
    <w:rsid w:val="00784E8C"/>
    <w:rsid w:val="00784E9E"/>
    <w:rsid w:val="00784EAB"/>
    <w:rsid w:val="00784EDC"/>
    <w:rsid w:val="00784F1F"/>
    <w:rsid w:val="00784F2E"/>
    <w:rsid w:val="00784F31"/>
    <w:rsid w:val="00784FF6"/>
    <w:rsid w:val="00785019"/>
    <w:rsid w:val="0078509C"/>
    <w:rsid w:val="0078518B"/>
    <w:rsid w:val="007851A9"/>
    <w:rsid w:val="007851C7"/>
    <w:rsid w:val="0078524A"/>
    <w:rsid w:val="0078526A"/>
    <w:rsid w:val="00785292"/>
    <w:rsid w:val="00785294"/>
    <w:rsid w:val="00785307"/>
    <w:rsid w:val="0078547D"/>
    <w:rsid w:val="007854EF"/>
    <w:rsid w:val="00785519"/>
    <w:rsid w:val="00785588"/>
    <w:rsid w:val="0078559C"/>
    <w:rsid w:val="007855E8"/>
    <w:rsid w:val="0078562D"/>
    <w:rsid w:val="00785640"/>
    <w:rsid w:val="00785659"/>
    <w:rsid w:val="007856A2"/>
    <w:rsid w:val="00785737"/>
    <w:rsid w:val="00785798"/>
    <w:rsid w:val="007857CA"/>
    <w:rsid w:val="007858A3"/>
    <w:rsid w:val="007858D4"/>
    <w:rsid w:val="007858EA"/>
    <w:rsid w:val="0078591A"/>
    <w:rsid w:val="00785975"/>
    <w:rsid w:val="007859C8"/>
    <w:rsid w:val="00785A24"/>
    <w:rsid w:val="00785A61"/>
    <w:rsid w:val="00785A87"/>
    <w:rsid w:val="00785B0E"/>
    <w:rsid w:val="00785B14"/>
    <w:rsid w:val="00785B97"/>
    <w:rsid w:val="00785C14"/>
    <w:rsid w:val="00785C7A"/>
    <w:rsid w:val="00785C96"/>
    <w:rsid w:val="00785D41"/>
    <w:rsid w:val="00785D9B"/>
    <w:rsid w:val="00785DBF"/>
    <w:rsid w:val="00785DD7"/>
    <w:rsid w:val="00785E40"/>
    <w:rsid w:val="00785ECD"/>
    <w:rsid w:val="00785EF3"/>
    <w:rsid w:val="00785F0E"/>
    <w:rsid w:val="00785F26"/>
    <w:rsid w:val="00785F3D"/>
    <w:rsid w:val="00785F8D"/>
    <w:rsid w:val="00785FCB"/>
    <w:rsid w:val="00785FEA"/>
    <w:rsid w:val="0078602E"/>
    <w:rsid w:val="00786064"/>
    <w:rsid w:val="00786065"/>
    <w:rsid w:val="00786081"/>
    <w:rsid w:val="00786130"/>
    <w:rsid w:val="0078613A"/>
    <w:rsid w:val="007861BD"/>
    <w:rsid w:val="007861CD"/>
    <w:rsid w:val="007861E1"/>
    <w:rsid w:val="00786220"/>
    <w:rsid w:val="0078626C"/>
    <w:rsid w:val="007862E7"/>
    <w:rsid w:val="007862F6"/>
    <w:rsid w:val="00786362"/>
    <w:rsid w:val="0078637B"/>
    <w:rsid w:val="00786392"/>
    <w:rsid w:val="007863D6"/>
    <w:rsid w:val="00786479"/>
    <w:rsid w:val="007864F8"/>
    <w:rsid w:val="00786503"/>
    <w:rsid w:val="0078650A"/>
    <w:rsid w:val="00786610"/>
    <w:rsid w:val="00786656"/>
    <w:rsid w:val="0078667A"/>
    <w:rsid w:val="007866D6"/>
    <w:rsid w:val="00786739"/>
    <w:rsid w:val="00786763"/>
    <w:rsid w:val="00786777"/>
    <w:rsid w:val="007867D5"/>
    <w:rsid w:val="007867E2"/>
    <w:rsid w:val="007867E5"/>
    <w:rsid w:val="007867EF"/>
    <w:rsid w:val="00786813"/>
    <w:rsid w:val="0078685F"/>
    <w:rsid w:val="00786986"/>
    <w:rsid w:val="00786A80"/>
    <w:rsid w:val="00786A8C"/>
    <w:rsid w:val="00786A97"/>
    <w:rsid w:val="00786AB6"/>
    <w:rsid w:val="00786ADB"/>
    <w:rsid w:val="00786B60"/>
    <w:rsid w:val="00786B95"/>
    <w:rsid w:val="00786BF8"/>
    <w:rsid w:val="00786C3E"/>
    <w:rsid w:val="00786C43"/>
    <w:rsid w:val="00786CE9"/>
    <w:rsid w:val="00786CF7"/>
    <w:rsid w:val="00786D0E"/>
    <w:rsid w:val="00786D1F"/>
    <w:rsid w:val="00786D3C"/>
    <w:rsid w:val="00786D4A"/>
    <w:rsid w:val="00786D5B"/>
    <w:rsid w:val="00786D85"/>
    <w:rsid w:val="00786D87"/>
    <w:rsid w:val="00786DC6"/>
    <w:rsid w:val="00786DF7"/>
    <w:rsid w:val="00786E16"/>
    <w:rsid w:val="00786EC1"/>
    <w:rsid w:val="00786ED6"/>
    <w:rsid w:val="00786F5E"/>
    <w:rsid w:val="00786FB8"/>
    <w:rsid w:val="00786FC2"/>
    <w:rsid w:val="00786FC8"/>
    <w:rsid w:val="0078704A"/>
    <w:rsid w:val="00787099"/>
    <w:rsid w:val="0078709A"/>
    <w:rsid w:val="007870D8"/>
    <w:rsid w:val="007870EF"/>
    <w:rsid w:val="00787148"/>
    <w:rsid w:val="00787186"/>
    <w:rsid w:val="007871BD"/>
    <w:rsid w:val="00787203"/>
    <w:rsid w:val="007872A7"/>
    <w:rsid w:val="00787327"/>
    <w:rsid w:val="0078733F"/>
    <w:rsid w:val="007873AB"/>
    <w:rsid w:val="00787406"/>
    <w:rsid w:val="00787493"/>
    <w:rsid w:val="007874BB"/>
    <w:rsid w:val="007875CC"/>
    <w:rsid w:val="00787626"/>
    <w:rsid w:val="00787632"/>
    <w:rsid w:val="00787637"/>
    <w:rsid w:val="0078766F"/>
    <w:rsid w:val="00787682"/>
    <w:rsid w:val="00787692"/>
    <w:rsid w:val="00787720"/>
    <w:rsid w:val="0078774F"/>
    <w:rsid w:val="0078775B"/>
    <w:rsid w:val="00787774"/>
    <w:rsid w:val="00787797"/>
    <w:rsid w:val="007877A2"/>
    <w:rsid w:val="007877D8"/>
    <w:rsid w:val="007877E6"/>
    <w:rsid w:val="00787812"/>
    <w:rsid w:val="00787875"/>
    <w:rsid w:val="007878D2"/>
    <w:rsid w:val="007878E8"/>
    <w:rsid w:val="00787957"/>
    <w:rsid w:val="00787972"/>
    <w:rsid w:val="007879A8"/>
    <w:rsid w:val="007879BE"/>
    <w:rsid w:val="00787A29"/>
    <w:rsid w:val="00787A2D"/>
    <w:rsid w:val="00787A50"/>
    <w:rsid w:val="00787A55"/>
    <w:rsid w:val="00787B0D"/>
    <w:rsid w:val="00787BB0"/>
    <w:rsid w:val="00787CB9"/>
    <w:rsid w:val="00787D14"/>
    <w:rsid w:val="00787D63"/>
    <w:rsid w:val="00787D69"/>
    <w:rsid w:val="00787DF6"/>
    <w:rsid w:val="00787E06"/>
    <w:rsid w:val="00787E36"/>
    <w:rsid w:val="00787E61"/>
    <w:rsid w:val="00787EDC"/>
    <w:rsid w:val="00787F9F"/>
    <w:rsid w:val="00790003"/>
    <w:rsid w:val="00790037"/>
    <w:rsid w:val="00790068"/>
    <w:rsid w:val="00790092"/>
    <w:rsid w:val="007900A8"/>
    <w:rsid w:val="007900D2"/>
    <w:rsid w:val="007900F8"/>
    <w:rsid w:val="00790169"/>
    <w:rsid w:val="00790176"/>
    <w:rsid w:val="00790182"/>
    <w:rsid w:val="0079041E"/>
    <w:rsid w:val="00790462"/>
    <w:rsid w:val="0079047B"/>
    <w:rsid w:val="00790491"/>
    <w:rsid w:val="007904A2"/>
    <w:rsid w:val="007904B1"/>
    <w:rsid w:val="00790503"/>
    <w:rsid w:val="007905A9"/>
    <w:rsid w:val="00790631"/>
    <w:rsid w:val="00790644"/>
    <w:rsid w:val="0079066A"/>
    <w:rsid w:val="007906B5"/>
    <w:rsid w:val="007906F0"/>
    <w:rsid w:val="00790704"/>
    <w:rsid w:val="00790705"/>
    <w:rsid w:val="0079075B"/>
    <w:rsid w:val="007907D5"/>
    <w:rsid w:val="00790828"/>
    <w:rsid w:val="00790830"/>
    <w:rsid w:val="00790875"/>
    <w:rsid w:val="0079087C"/>
    <w:rsid w:val="007908B3"/>
    <w:rsid w:val="007908B4"/>
    <w:rsid w:val="007908D2"/>
    <w:rsid w:val="007908D8"/>
    <w:rsid w:val="007908FD"/>
    <w:rsid w:val="00790936"/>
    <w:rsid w:val="0079094D"/>
    <w:rsid w:val="00790963"/>
    <w:rsid w:val="00790966"/>
    <w:rsid w:val="007909B6"/>
    <w:rsid w:val="007909FD"/>
    <w:rsid w:val="00790A52"/>
    <w:rsid w:val="00790A6C"/>
    <w:rsid w:val="00790AC0"/>
    <w:rsid w:val="00790AC7"/>
    <w:rsid w:val="00790AE8"/>
    <w:rsid w:val="00790B29"/>
    <w:rsid w:val="00790C20"/>
    <w:rsid w:val="00790C5C"/>
    <w:rsid w:val="00790C84"/>
    <w:rsid w:val="00790C88"/>
    <w:rsid w:val="00790CA2"/>
    <w:rsid w:val="00790CBA"/>
    <w:rsid w:val="00790CCB"/>
    <w:rsid w:val="00790D3B"/>
    <w:rsid w:val="00790D88"/>
    <w:rsid w:val="00790DC2"/>
    <w:rsid w:val="00790E10"/>
    <w:rsid w:val="00790EC8"/>
    <w:rsid w:val="00790F58"/>
    <w:rsid w:val="00790FF6"/>
    <w:rsid w:val="00791007"/>
    <w:rsid w:val="00791058"/>
    <w:rsid w:val="0079116F"/>
    <w:rsid w:val="00791173"/>
    <w:rsid w:val="00791190"/>
    <w:rsid w:val="00791195"/>
    <w:rsid w:val="0079119C"/>
    <w:rsid w:val="007911B5"/>
    <w:rsid w:val="007912A6"/>
    <w:rsid w:val="00791308"/>
    <w:rsid w:val="00791341"/>
    <w:rsid w:val="0079134C"/>
    <w:rsid w:val="0079135F"/>
    <w:rsid w:val="00791373"/>
    <w:rsid w:val="00791409"/>
    <w:rsid w:val="00791423"/>
    <w:rsid w:val="007914E7"/>
    <w:rsid w:val="00791519"/>
    <w:rsid w:val="0079158A"/>
    <w:rsid w:val="00791594"/>
    <w:rsid w:val="007915AC"/>
    <w:rsid w:val="0079162C"/>
    <w:rsid w:val="00791735"/>
    <w:rsid w:val="00791765"/>
    <w:rsid w:val="00791794"/>
    <w:rsid w:val="0079180E"/>
    <w:rsid w:val="00791845"/>
    <w:rsid w:val="00791863"/>
    <w:rsid w:val="007918B0"/>
    <w:rsid w:val="007918CC"/>
    <w:rsid w:val="007918CD"/>
    <w:rsid w:val="00791904"/>
    <w:rsid w:val="0079199D"/>
    <w:rsid w:val="007919A5"/>
    <w:rsid w:val="00791A04"/>
    <w:rsid w:val="00791AA8"/>
    <w:rsid w:val="00791AE5"/>
    <w:rsid w:val="00791B02"/>
    <w:rsid w:val="00791B1B"/>
    <w:rsid w:val="00791B24"/>
    <w:rsid w:val="00791B67"/>
    <w:rsid w:val="00791B7F"/>
    <w:rsid w:val="00791B9B"/>
    <w:rsid w:val="00791BA0"/>
    <w:rsid w:val="00791BDC"/>
    <w:rsid w:val="00791C36"/>
    <w:rsid w:val="00791C82"/>
    <w:rsid w:val="00791C85"/>
    <w:rsid w:val="00791C9A"/>
    <w:rsid w:val="00791CDC"/>
    <w:rsid w:val="00791D3F"/>
    <w:rsid w:val="00791D50"/>
    <w:rsid w:val="00791DB7"/>
    <w:rsid w:val="00791DD0"/>
    <w:rsid w:val="00791E2B"/>
    <w:rsid w:val="00791E38"/>
    <w:rsid w:val="00791E79"/>
    <w:rsid w:val="00791E85"/>
    <w:rsid w:val="00791F59"/>
    <w:rsid w:val="00791F6B"/>
    <w:rsid w:val="00792041"/>
    <w:rsid w:val="00792092"/>
    <w:rsid w:val="007920AF"/>
    <w:rsid w:val="007920E5"/>
    <w:rsid w:val="007920F8"/>
    <w:rsid w:val="0079212D"/>
    <w:rsid w:val="0079213F"/>
    <w:rsid w:val="00792175"/>
    <w:rsid w:val="007921A1"/>
    <w:rsid w:val="007921A6"/>
    <w:rsid w:val="00792243"/>
    <w:rsid w:val="0079227B"/>
    <w:rsid w:val="0079227E"/>
    <w:rsid w:val="007922EE"/>
    <w:rsid w:val="0079230D"/>
    <w:rsid w:val="007923AB"/>
    <w:rsid w:val="00792446"/>
    <w:rsid w:val="00792455"/>
    <w:rsid w:val="0079245F"/>
    <w:rsid w:val="00792496"/>
    <w:rsid w:val="0079249F"/>
    <w:rsid w:val="007924AF"/>
    <w:rsid w:val="007924D2"/>
    <w:rsid w:val="007924FE"/>
    <w:rsid w:val="00792525"/>
    <w:rsid w:val="00792566"/>
    <w:rsid w:val="007925CE"/>
    <w:rsid w:val="007925EB"/>
    <w:rsid w:val="0079262E"/>
    <w:rsid w:val="00792666"/>
    <w:rsid w:val="007926C2"/>
    <w:rsid w:val="00792701"/>
    <w:rsid w:val="0079271C"/>
    <w:rsid w:val="007928B0"/>
    <w:rsid w:val="007928BB"/>
    <w:rsid w:val="00792953"/>
    <w:rsid w:val="00792987"/>
    <w:rsid w:val="0079299E"/>
    <w:rsid w:val="007929B5"/>
    <w:rsid w:val="00792A19"/>
    <w:rsid w:val="00792A7D"/>
    <w:rsid w:val="00792ADD"/>
    <w:rsid w:val="00792B22"/>
    <w:rsid w:val="00792BAB"/>
    <w:rsid w:val="00792BC5"/>
    <w:rsid w:val="00792BDB"/>
    <w:rsid w:val="00792C97"/>
    <w:rsid w:val="00792CAA"/>
    <w:rsid w:val="00792CAE"/>
    <w:rsid w:val="00792CB0"/>
    <w:rsid w:val="00792DBE"/>
    <w:rsid w:val="00792E13"/>
    <w:rsid w:val="00792ECD"/>
    <w:rsid w:val="00792EE4"/>
    <w:rsid w:val="00792EF7"/>
    <w:rsid w:val="00792F8C"/>
    <w:rsid w:val="0079300F"/>
    <w:rsid w:val="00793029"/>
    <w:rsid w:val="0079305F"/>
    <w:rsid w:val="00793061"/>
    <w:rsid w:val="0079306B"/>
    <w:rsid w:val="00793075"/>
    <w:rsid w:val="00793083"/>
    <w:rsid w:val="007930FD"/>
    <w:rsid w:val="00793105"/>
    <w:rsid w:val="00793153"/>
    <w:rsid w:val="007931DE"/>
    <w:rsid w:val="007932C2"/>
    <w:rsid w:val="007932C3"/>
    <w:rsid w:val="007932DD"/>
    <w:rsid w:val="0079332D"/>
    <w:rsid w:val="0079333C"/>
    <w:rsid w:val="0079338C"/>
    <w:rsid w:val="007933A5"/>
    <w:rsid w:val="007933D2"/>
    <w:rsid w:val="0079340D"/>
    <w:rsid w:val="00793478"/>
    <w:rsid w:val="0079350D"/>
    <w:rsid w:val="0079351F"/>
    <w:rsid w:val="00793534"/>
    <w:rsid w:val="0079358F"/>
    <w:rsid w:val="007935A4"/>
    <w:rsid w:val="007935BF"/>
    <w:rsid w:val="0079370B"/>
    <w:rsid w:val="0079378A"/>
    <w:rsid w:val="00793793"/>
    <w:rsid w:val="007937D0"/>
    <w:rsid w:val="00793850"/>
    <w:rsid w:val="007938DD"/>
    <w:rsid w:val="007938FD"/>
    <w:rsid w:val="00793919"/>
    <w:rsid w:val="00793992"/>
    <w:rsid w:val="0079399E"/>
    <w:rsid w:val="007939EB"/>
    <w:rsid w:val="00793AAD"/>
    <w:rsid w:val="00793AD0"/>
    <w:rsid w:val="00793B3E"/>
    <w:rsid w:val="00793BBB"/>
    <w:rsid w:val="00793C07"/>
    <w:rsid w:val="00793CA3"/>
    <w:rsid w:val="00793CA4"/>
    <w:rsid w:val="00793D3F"/>
    <w:rsid w:val="00793D42"/>
    <w:rsid w:val="00793D68"/>
    <w:rsid w:val="00793D90"/>
    <w:rsid w:val="00793E75"/>
    <w:rsid w:val="00793E85"/>
    <w:rsid w:val="00793E87"/>
    <w:rsid w:val="00793E96"/>
    <w:rsid w:val="00793EAC"/>
    <w:rsid w:val="00793F21"/>
    <w:rsid w:val="00793F3A"/>
    <w:rsid w:val="0079401C"/>
    <w:rsid w:val="0079406D"/>
    <w:rsid w:val="00794081"/>
    <w:rsid w:val="0079409B"/>
    <w:rsid w:val="00794111"/>
    <w:rsid w:val="00794123"/>
    <w:rsid w:val="00794153"/>
    <w:rsid w:val="00794173"/>
    <w:rsid w:val="00794174"/>
    <w:rsid w:val="007941C1"/>
    <w:rsid w:val="007941EE"/>
    <w:rsid w:val="0079425E"/>
    <w:rsid w:val="00794265"/>
    <w:rsid w:val="007942A0"/>
    <w:rsid w:val="007942EA"/>
    <w:rsid w:val="0079430E"/>
    <w:rsid w:val="00794335"/>
    <w:rsid w:val="00794379"/>
    <w:rsid w:val="0079438C"/>
    <w:rsid w:val="00794466"/>
    <w:rsid w:val="007944A4"/>
    <w:rsid w:val="007944B3"/>
    <w:rsid w:val="007944E2"/>
    <w:rsid w:val="00794558"/>
    <w:rsid w:val="007945D1"/>
    <w:rsid w:val="00794609"/>
    <w:rsid w:val="0079460E"/>
    <w:rsid w:val="00794721"/>
    <w:rsid w:val="00794729"/>
    <w:rsid w:val="007947C5"/>
    <w:rsid w:val="007947F5"/>
    <w:rsid w:val="007948EF"/>
    <w:rsid w:val="00794924"/>
    <w:rsid w:val="00794948"/>
    <w:rsid w:val="00794A5C"/>
    <w:rsid w:val="00794A99"/>
    <w:rsid w:val="00794B00"/>
    <w:rsid w:val="00794B09"/>
    <w:rsid w:val="00794B24"/>
    <w:rsid w:val="00794B38"/>
    <w:rsid w:val="00794B40"/>
    <w:rsid w:val="00794B50"/>
    <w:rsid w:val="00794B93"/>
    <w:rsid w:val="00794BE2"/>
    <w:rsid w:val="00794BE7"/>
    <w:rsid w:val="00794C33"/>
    <w:rsid w:val="00794D22"/>
    <w:rsid w:val="00794D39"/>
    <w:rsid w:val="00794D68"/>
    <w:rsid w:val="00794DB1"/>
    <w:rsid w:val="00794DBF"/>
    <w:rsid w:val="00794DD9"/>
    <w:rsid w:val="00794E74"/>
    <w:rsid w:val="00794ECF"/>
    <w:rsid w:val="00794F17"/>
    <w:rsid w:val="00794F20"/>
    <w:rsid w:val="00794F6B"/>
    <w:rsid w:val="00794FCF"/>
    <w:rsid w:val="00795000"/>
    <w:rsid w:val="00795009"/>
    <w:rsid w:val="00795021"/>
    <w:rsid w:val="0079504A"/>
    <w:rsid w:val="00795098"/>
    <w:rsid w:val="007950A5"/>
    <w:rsid w:val="007950D9"/>
    <w:rsid w:val="0079513C"/>
    <w:rsid w:val="00795179"/>
    <w:rsid w:val="0079518B"/>
    <w:rsid w:val="007951FA"/>
    <w:rsid w:val="00795235"/>
    <w:rsid w:val="0079529D"/>
    <w:rsid w:val="007952FF"/>
    <w:rsid w:val="00795303"/>
    <w:rsid w:val="0079530D"/>
    <w:rsid w:val="00795324"/>
    <w:rsid w:val="00795349"/>
    <w:rsid w:val="007953CD"/>
    <w:rsid w:val="007953FE"/>
    <w:rsid w:val="00795410"/>
    <w:rsid w:val="0079544C"/>
    <w:rsid w:val="0079546C"/>
    <w:rsid w:val="00795487"/>
    <w:rsid w:val="0079548D"/>
    <w:rsid w:val="00795492"/>
    <w:rsid w:val="007954C5"/>
    <w:rsid w:val="007954F9"/>
    <w:rsid w:val="007954FF"/>
    <w:rsid w:val="0079555B"/>
    <w:rsid w:val="007955B6"/>
    <w:rsid w:val="00795637"/>
    <w:rsid w:val="00795687"/>
    <w:rsid w:val="00795723"/>
    <w:rsid w:val="00795729"/>
    <w:rsid w:val="0079572C"/>
    <w:rsid w:val="0079573F"/>
    <w:rsid w:val="007957C4"/>
    <w:rsid w:val="007957F6"/>
    <w:rsid w:val="007957FF"/>
    <w:rsid w:val="00795845"/>
    <w:rsid w:val="00795935"/>
    <w:rsid w:val="00795946"/>
    <w:rsid w:val="0079596E"/>
    <w:rsid w:val="00795979"/>
    <w:rsid w:val="007959AE"/>
    <w:rsid w:val="007959F1"/>
    <w:rsid w:val="00795A48"/>
    <w:rsid w:val="00795A7E"/>
    <w:rsid w:val="00795AA3"/>
    <w:rsid w:val="00795AA4"/>
    <w:rsid w:val="00795AE9"/>
    <w:rsid w:val="00795B5B"/>
    <w:rsid w:val="00795BBB"/>
    <w:rsid w:val="00795BBC"/>
    <w:rsid w:val="00795BCA"/>
    <w:rsid w:val="00795C64"/>
    <w:rsid w:val="00795C66"/>
    <w:rsid w:val="00795C8B"/>
    <w:rsid w:val="00795C8C"/>
    <w:rsid w:val="00795CFE"/>
    <w:rsid w:val="00795D86"/>
    <w:rsid w:val="00795DF5"/>
    <w:rsid w:val="00795DFE"/>
    <w:rsid w:val="00795DFF"/>
    <w:rsid w:val="00795E14"/>
    <w:rsid w:val="00795E5B"/>
    <w:rsid w:val="00795E67"/>
    <w:rsid w:val="00795E98"/>
    <w:rsid w:val="00795EC9"/>
    <w:rsid w:val="00795F14"/>
    <w:rsid w:val="00795F1B"/>
    <w:rsid w:val="00795F3B"/>
    <w:rsid w:val="00795F46"/>
    <w:rsid w:val="00795F6B"/>
    <w:rsid w:val="00795FAB"/>
    <w:rsid w:val="00795FD8"/>
    <w:rsid w:val="00795FFA"/>
    <w:rsid w:val="00796052"/>
    <w:rsid w:val="00796058"/>
    <w:rsid w:val="007960CE"/>
    <w:rsid w:val="007960E8"/>
    <w:rsid w:val="0079612F"/>
    <w:rsid w:val="007961DE"/>
    <w:rsid w:val="00796205"/>
    <w:rsid w:val="0079620B"/>
    <w:rsid w:val="007962FA"/>
    <w:rsid w:val="007962FC"/>
    <w:rsid w:val="0079631B"/>
    <w:rsid w:val="00796336"/>
    <w:rsid w:val="0079636D"/>
    <w:rsid w:val="00796394"/>
    <w:rsid w:val="007963AC"/>
    <w:rsid w:val="00796401"/>
    <w:rsid w:val="00796403"/>
    <w:rsid w:val="0079640A"/>
    <w:rsid w:val="0079643E"/>
    <w:rsid w:val="007964E0"/>
    <w:rsid w:val="007964E1"/>
    <w:rsid w:val="00796539"/>
    <w:rsid w:val="00796549"/>
    <w:rsid w:val="0079654F"/>
    <w:rsid w:val="007965B8"/>
    <w:rsid w:val="0079662E"/>
    <w:rsid w:val="0079664C"/>
    <w:rsid w:val="00796656"/>
    <w:rsid w:val="00796690"/>
    <w:rsid w:val="007966B4"/>
    <w:rsid w:val="007966BF"/>
    <w:rsid w:val="007966E5"/>
    <w:rsid w:val="007966EA"/>
    <w:rsid w:val="007967E5"/>
    <w:rsid w:val="007967E9"/>
    <w:rsid w:val="00796815"/>
    <w:rsid w:val="00796874"/>
    <w:rsid w:val="00796880"/>
    <w:rsid w:val="007968F4"/>
    <w:rsid w:val="00796919"/>
    <w:rsid w:val="00796925"/>
    <w:rsid w:val="0079693C"/>
    <w:rsid w:val="0079698C"/>
    <w:rsid w:val="00796995"/>
    <w:rsid w:val="007969C7"/>
    <w:rsid w:val="007969F0"/>
    <w:rsid w:val="00796A25"/>
    <w:rsid w:val="00796A54"/>
    <w:rsid w:val="00796B46"/>
    <w:rsid w:val="00796B8D"/>
    <w:rsid w:val="00796BDA"/>
    <w:rsid w:val="00796BEF"/>
    <w:rsid w:val="00796BFD"/>
    <w:rsid w:val="00796C45"/>
    <w:rsid w:val="00796C49"/>
    <w:rsid w:val="00796D04"/>
    <w:rsid w:val="00796D13"/>
    <w:rsid w:val="00796D18"/>
    <w:rsid w:val="00796D4D"/>
    <w:rsid w:val="00796D62"/>
    <w:rsid w:val="00796E26"/>
    <w:rsid w:val="00796E2F"/>
    <w:rsid w:val="00796E5C"/>
    <w:rsid w:val="00796EEF"/>
    <w:rsid w:val="00796F41"/>
    <w:rsid w:val="00796F64"/>
    <w:rsid w:val="00796F7A"/>
    <w:rsid w:val="00796F9F"/>
    <w:rsid w:val="00796FBE"/>
    <w:rsid w:val="00796FD4"/>
    <w:rsid w:val="00796FFA"/>
    <w:rsid w:val="0079706A"/>
    <w:rsid w:val="00797071"/>
    <w:rsid w:val="007970A8"/>
    <w:rsid w:val="007970DA"/>
    <w:rsid w:val="007970EE"/>
    <w:rsid w:val="00797110"/>
    <w:rsid w:val="00797115"/>
    <w:rsid w:val="00797171"/>
    <w:rsid w:val="00797181"/>
    <w:rsid w:val="00797193"/>
    <w:rsid w:val="00797195"/>
    <w:rsid w:val="007971B1"/>
    <w:rsid w:val="007971FF"/>
    <w:rsid w:val="00797211"/>
    <w:rsid w:val="007972AF"/>
    <w:rsid w:val="00797307"/>
    <w:rsid w:val="0079730F"/>
    <w:rsid w:val="0079737C"/>
    <w:rsid w:val="007973E9"/>
    <w:rsid w:val="007973F3"/>
    <w:rsid w:val="007973FD"/>
    <w:rsid w:val="00797532"/>
    <w:rsid w:val="0079755E"/>
    <w:rsid w:val="007975D4"/>
    <w:rsid w:val="007975FC"/>
    <w:rsid w:val="00797630"/>
    <w:rsid w:val="007976E9"/>
    <w:rsid w:val="007976FF"/>
    <w:rsid w:val="00797786"/>
    <w:rsid w:val="007977C9"/>
    <w:rsid w:val="007977F6"/>
    <w:rsid w:val="0079781F"/>
    <w:rsid w:val="0079782A"/>
    <w:rsid w:val="00797884"/>
    <w:rsid w:val="00797893"/>
    <w:rsid w:val="007978C3"/>
    <w:rsid w:val="007978E6"/>
    <w:rsid w:val="0079795E"/>
    <w:rsid w:val="00797A6A"/>
    <w:rsid w:val="00797A7C"/>
    <w:rsid w:val="00797AE5"/>
    <w:rsid w:val="00797B80"/>
    <w:rsid w:val="00797B87"/>
    <w:rsid w:val="00797C11"/>
    <w:rsid w:val="00797C78"/>
    <w:rsid w:val="00797C8F"/>
    <w:rsid w:val="00797C9A"/>
    <w:rsid w:val="00797CAE"/>
    <w:rsid w:val="00797CF1"/>
    <w:rsid w:val="00797D60"/>
    <w:rsid w:val="00797D76"/>
    <w:rsid w:val="00797DBA"/>
    <w:rsid w:val="00797E3A"/>
    <w:rsid w:val="00797E75"/>
    <w:rsid w:val="00797E8B"/>
    <w:rsid w:val="00797E95"/>
    <w:rsid w:val="00797EB8"/>
    <w:rsid w:val="007A002F"/>
    <w:rsid w:val="007A0048"/>
    <w:rsid w:val="007A0129"/>
    <w:rsid w:val="007A0147"/>
    <w:rsid w:val="007A0199"/>
    <w:rsid w:val="007A025A"/>
    <w:rsid w:val="007A025C"/>
    <w:rsid w:val="007A02A0"/>
    <w:rsid w:val="007A033C"/>
    <w:rsid w:val="007A035D"/>
    <w:rsid w:val="007A0368"/>
    <w:rsid w:val="007A038E"/>
    <w:rsid w:val="007A039C"/>
    <w:rsid w:val="007A039E"/>
    <w:rsid w:val="007A03C2"/>
    <w:rsid w:val="007A0476"/>
    <w:rsid w:val="007A0495"/>
    <w:rsid w:val="007A050B"/>
    <w:rsid w:val="007A0513"/>
    <w:rsid w:val="007A0550"/>
    <w:rsid w:val="007A059C"/>
    <w:rsid w:val="007A0635"/>
    <w:rsid w:val="007A068A"/>
    <w:rsid w:val="007A071D"/>
    <w:rsid w:val="007A075A"/>
    <w:rsid w:val="007A077F"/>
    <w:rsid w:val="007A079E"/>
    <w:rsid w:val="007A07F4"/>
    <w:rsid w:val="007A0891"/>
    <w:rsid w:val="007A097E"/>
    <w:rsid w:val="007A09F3"/>
    <w:rsid w:val="007A0A37"/>
    <w:rsid w:val="007A0A70"/>
    <w:rsid w:val="007A0A97"/>
    <w:rsid w:val="007A0AC8"/>
    <w:rsid w:val="007A0B19"/>
    <w:rsid w:val="007A0B3A"/>
    <w:rsid w:val="007A0B42"/>
    <w:rsid w:val="007A0BE1"/>
    <w:rsid w:val="007A0C4A"/>
    <w:rsid w:val="007A0D14"/>
    <w:rsid w:val="007A0D6E"/>
    <w:rsid w:val="007A0D70"/>
    <w:rsid w:val="007A0DB7"/>
    <w:rsid w:val="007A0DFF"/>
    <w:rsid w:val="007A0E1D"/>
    <w:rsid w:val="007A0E5F"/>
    <w:rsid w:val="007A0E81"/>
    <w:rsid w:val="007A0EB8"/>
    <w:rsid w:val="007A0EE6"/>
    <w:rsid w:val="007A0F68"/>
    <w:rsid w:val="007A0F6A"/>
    <w:rsid w:val="007A0F83"/>
    <w:rsid w:val="007A0FA8"/>
    <w:rsid w:val="007A0FB4"/>
    <w:rsid w:val="007A0FCA"/>
    <w:rsid w:val="007A0FF0"/>
    <w:rsid w:val="007A1013"/>
    <w:rsid w:val="007A1079"/>
    <w:rsid w:val="007A10B9"/>
    <w:rsid w:val="007A1134"/>
    <w:rsid w:val="007A1164"/>
    <w:rsid w:val="007A1176"/>
    <w:rsid w:val="007A118C"/>
    <w:rsid w:val="007A11AA"/>
    <w:rsid w:val="007A1201"/>
    <w:rsid w:val="007A120F"/>
    <w:rsid w:val="007A1228"/>
    <w:rsid w:val="007A12CB"/>
    <w:rsid w:val="007A12CC"/>
    <w:rsid w:val="007A12E6"/>
    <w:rsid w:val="007A12FF"/>
    <w:rsid w:val="007A1300"/>
    <w:rsid w:val="007A130B"/>
    <w:rsid w:val="007A131F"/>
    <w:rsid w:val="007A132D"/>
    <w:rsid w:val="007A133D"/>
    <w:rsid w:val="007A1376"/>
    <w:rsid w:val="007A13A3"/>
    <w:rsid w:val="007A13D5"/>
    <w:rsid w:val="007A1412"/>
    <w:rsid w:val="007A1452"/>
    <w:rsid w:val="007A147A"/>
    <w:rsid w:val="007A149E"/>
    <w:rsid w:val="007A151A"/>
    <w:rsid w:val="007A153A"/>
    <w:rsid w:val="007A162E"/>
    <w:rsid w:val="007A164D"/>
    <w:rsid w:val="007A1669"/>
    <w:rsid w:val="007A1733"/>
    <w:rsid w:val="007A1777"/>
    <w:rsid w:val="007A1798"/>
    <w:rsid w:val="007A17B4"/>
    <w:rsid w:val="007A1859"/>
    <w:rsid w:val="007A1888"/>
    <w:rsid w:val="007A1920"/>
    <w:rsid w:val="007A1933"/>
    <w:rsid w:val="007A1942"/>
    <w:rsid w:val="007A1947"/>
    <w:rsid w:val="007A197A"/>
    <w:rsid w:val="007A1993"/>
    <w:rsid w:val="007A1AE1"/>
    <w:rsid w:val="007A1B5A"/>
    <w:rsid w:val="007A1B75"/>
    <w:rsid w:val="007A1BC7"/>
    <w:rsid w:val="007A1BDF"/>
    <w:rsid w:val="007A1E22"/>
    <w:rsid w:val="007A1E29"/>
    <w:rsid w:val="007A1E2A"/>
    <w:rsid w:val="007A1E44"/>
    <w:rsid w:val="007A1E7F"/>
    <w:rsid w:val="007A1E98"/>
    <w:rsid w:val="007A1F23"/>
    <w:rsid w:val="007A1F53"/>
    <w:rsid w:val="007A1F76"/>
    <w:rsid w:val="007A1FD8"/>
    <w:rsid w:val="007A1FE0"/>
    <w:rsid w:val="007A2015"/>
    <w:rsid w:val="007A2042"/>
    <w:rsid w:val="007A2087"/>
    <w:rsid w:val="007A20DC"/>
    <w:rsid w:val="007A2160"/>
    <w:rsid w:val="007A2261"/>
    <w:rsid w:val="007A22A3"/>
    <w:rsid w:val="007A22FA"/>
    <w:rsid w:val="007A23B3"/>
    <w:rsid w:val="007A2429"/>
    <w:rsid w:val="007A245E"/>
    <w:rsid w:val="007A24DE"/>
    <w:rsid w:val="007A2520"/>
    <w:rsid w:val="007A2530"/>
    <w:rsid w:val="007A2568"/>
    <w:rsid w:val="007A2578"/>
    <w:rsid w:val="007A2765"/>
    <w:rsid w:val="007A2767"/>
    <w:rsid w:val="007A27C8"/>
    <w:rsid w:val="007A2888"/>
    <w:rsid w:val="007A28E3"/>
    <w:rsid w:val="007A28FB"/>
    <w:rsid w:val="007A28FD"/>
    <w:rsid w:val="007A290B"/>
    <w:rsid w:val="007A296A"/>
    <w:rsid w:val="007A2970"/>
    <w:rsid w:val="007A2AF6"/>
    <w:rsid w:val="007A2AFF"/>
    <w:rsid w:val="007A2B05"/>
    <w:rsid w:val="007A2B06"/>
    <w:rsid w:val="007A2B1F"/>
    <w:rsid w:val="007A2B22"/>
    <w:rsid w:val="007A2B69"/>
    <w:rsid w:val="007A2BD8"/>
    <w:rsid w:val="007A2BED"/>
    <w:rsid w:val="007A2C05"/>
    <w:rsid w:val="007A2C66"/>
    <w:rsid w:val="007A2CE1"/>
    <w:rsid w:val="007A2CEB"/>
    <w:rsid w:val="007A2CFE"/>
    <w:rsid w:val="007A2D54"/>
    <w:rsid w:val="007A2DDE"/>
    <w:rsid w:val="007A2E30"/>
    <w:rsid w:val="007A2EE6"/>
    <w:rsid w:val="007A3001"/>
    <w:rsid w:val="007A306C"/>
    <w:rsid w:val="007A3091"/>
    <w:rsid w:val="007A30AB"/>
    <w:rsid w:val="007A30D7"/>
    <w:rsid w:val="007A30E7"/>
    <w:rsid w:val="007A315D"/>
    <w:rsid w:val="007A3201"/>
    <w:rsid w:val="007A322C"/>
    <w:rsid w:val="007A323B"/>
    <w:rsid w:val="007A3261"/>
    <w:rsid w:val="007A32FC"/>
    <w:rsid w:val="007A331F"/>
    <w:rsid w:val="007A3339"/>
    <w:rsid w:val="007A33A9"/>
    <w:rsid w:val="007A33AD"/>
    <w:rsid w:val="007A33DA"/>
    <w:rsid w:val="007A343C"/>
    <w:rsid w:val="007A344F"/>
    <w:rsid w:val="007A3465"/>
    <w:rsid w:val="007A3480"/>
    <w:rsid w:val="007A34EC"/>
    <w:rsid w:val="007A354E"/>
    <w:rsid w:val="007A35AD"/>
    <w:rsid w:val="007A363C"/>
    <w:rsid w:val="007A3644"/>
    <w:rsid w:val="007A366A"/>
    <w:rsid w:val="007A36DE"/>
    <w:rsid w:val="007A374D"/>
    <w:rsid w:val="007A37EA"/>
    <w:rsid w:val="007A37FC"/>
    <w:rsid w:val="007A380F"/>
    <w:rsid w:val="007A3869"/>
    <w:rsid w:val="007A387D"/>
    <w:rsid w:val="007A3962"/>
    <w:rsid w:val="007A396D"/>
    <w:rsid w:val="007A3973"/>
    <w:rsid w:val="007A3985"/>
    <w:rsid w:val="007A39D7"/>
    <w:rsid w:val="007A3A0F"/>
    <w:rsid w:val="007A3A3E"/>
    <w:rsid w:val="007A3A4E"/>
    <w:rsid w:val="007A3AD5"/>
    <w:rsid w:val="007A3B0E"/>
    <w:rsid w:val="007A3BA5"/>
    <w:rsid w:val="007A3BBA"/>
    <w:rsid w:val="007A3BDC"/>
    <w:rsid w:val="007A3CB6"/>
    <w:rsid w:val="007A3CE7"/>
    <w:rsid w:val="007A3D10"/>
    <w:rsid w:val="007A3D13"/>
    <w:rsid w:val="007A3D47"/>
    <w:rsid w:val="007A3DA9"/>
    <w:rsid w:val="007A3DDD"/>
    <w:rsid w:val="007A3E7D"/>
    <w:rsid w:val="007A3E99"/>
    <w:rsid w:val="007A3EB8"/>
    <w:rsid w:val="007A3EDC"/>
    <w:rsid w:val="007A400A"/>
    <w:rsid w:val="007A400B"/>
    <w:rsid w:val="007A4057"/>
    <w:rsid w:val="007A4175"/>
    <w:rsid w:val="007A4210"/>
    <w:rsid w:val="007A4217"/>
    <w:rsid w:val="007A423E"/>
    <w:rsid w:val="007A4243"/>
    <w:rsid w:val="007A427F"/>
    <w:rsid w:val="007A42E7"/>
    <w:rsid w:val="007A4381"/>
    <w:rsid w:val="007A438F"/>
    <w:rsid w:val="007A4392"/>
    <w:rsid w:val="007A43AC"/>
    <w:rsid w:val="007A43C7"/>
    <w:rsid w:val="007A43CA"/>
    <w:rsid w:val="007A43DA"/>
    <w:rsid w:val="007A43DC"/>
    <w:rsid w:val="007A4408"/>
    <w:rsid w:val="007A4495"/>
    <w:rsid w:val="007A44AD"/>
    <w:rsid w:val="007A44FD"/>
    <w:rsid w:val="007A4515"/>
    <w:rsid w:val="007A455F"/>
    <w:rsid w:val="007A45B4"/>
    <w:rsid w:val="007A45B9"/>
    <w:rsid w:val="007A4600"/>
    <w:rsid w:val="007A4639"/>
    <w:rsid w:val="007A4648"/>
    <w:rsid w:val="007A46C3"/>
    <w:rsid w:val="007A4703"/>
    <w:rsid w:val="007A4712"/>
    <w:rsid w:val="007A477A"/>
    <w:rsid w:val="007A4781"/>
    <w:rsid w:val="007A4793"/>
    <w:rsid w:val="007A47B0"/>
    <w:rsid w:val="007A4823"/>
    <w:rsid w:val="007A4860"/>
    <w:rsid w:val="007A48A6"/>
    <w:rsid w:val="007A4944"/>
    <w:rsid w:val="007A49A9"/>
    <w:rsid w:val="007A49E2"/>
    <w:rsid w:val="007A4A2C"/>
    <w:rsid w:val="007A4A56"/>
    <w:rsid w:val="007A4A94"/>
    <w:rsid w:val="007A4AE1"/>
    <w:rsid w:val="007A4AFA"/>
    <w:rsid w:val="007A4B07"/>
    <w:rsid w:val="007A4B7A"/>
    <w:rsid w:val="007A4BE1"/>
    <w:rsid w:val="007A4BEC"/>
    <w:rsid w:val="007A4CC4"/>
    <w:rsid w:val="007A4CF1"/>
    <w:rsid w:val="007A4D15"/>
    <w:rsid w:val="007A4DA3"/>
    <w:rsid w:val="007A4DCF"/>
    <w:rsid w:val="007A4DDB"/>
    <w:rsid w:val="007A4E7E"/>
    <w:rsid w:val="007A4EBC"/>
    <w:rsid w:val="007A4ED9"/>
    <w:rsid w:val="007A4F10"/>
    <w:rsid w:val="007A4FFA"/>
    <w:rsid w:val="007A4FFD"/>
    <w:rsid w:val="007A500B"/>
    <w:rsid w:val="007A5070"/>
    <w:rsid w:val="007A507B"/>
    <w:rsid w:val="007A50AD"/>
    <w:rsid w:val="007A5175"/>
    <w:rsid w:val="007A5196"/>
    <w:rsid w:val="007A51A3"/>
    <w:rsid w:val="007A51AD"/>
    <w:rsid w:val="007A5252"/>
    <w:rsid w:val="007A526D"/>
    <w:rsid w:val="007A52AE"/>
    <w:rsid w:val="007A5372"/>
    <w:rsid w:val="007A5388"/>
    <w:rsid w:val="007A53AB"/>
    <w:rsid w:val="007A53CD"/>
    <w:rsid w:val="007A53EA"/>
    <w:rsid w:val="007A54A0"/>
    <w:rsid w:val="007A54C3"/>
    <w:rsid w:val="007A54E8"/>
    <w:rsid w:val="007A555A"/>
    <w:rsid w:val="007A5574"/>
    <w:rsid w:val="007A5593"/>
    <w:rsid w:val="007A55A3"/>
    <w:rsid w:val="007A55AA"/>
    <w:rsid w:val="007A55AF"/>
    <w:rsid w:val="007A55BE"/>
    <w:rsid w:val="007A55ED"/>
    <w:rsid w:val="007A55F4"/>
    <w:rsid w:val="007A5656"/>
    <w:rsid w:val="007A5702"/>
    <w:rsid w:val="007A575F"/>
    <w:rsid w:val="007A576E"/>
    <w:rsid w:val="007A5794"/>
    <w:rsid w:val="007A57F8"/>
    <w:rsid w:val="007A5803"/>
    <w:rsid w:val="007A5838"/>
    <w:rsid w:val="007A584C"/>
    <w:rsid w:val="007A58B6"/>
    <w:rsid w:val="007A58B7"/>
    <w:rsid w:val="007A58CD"/>
    <w:rsid w:val="007A5908"/>
    <w:rsid w:val="007A5911"/>
    <w:rsid w:val="007A59B5"/>
    <w:rsid w:val="007A59BF"/>
    <w:rsid w:val="007A5A59"/>
    <w:rsid w:val="007A5A8A"/>
    <w:rsid w:val="007A5AA2"/>
    <w:rsid w:val="007A5ACA"/>
    <w:rsid w:val="007A5B04"/>
    <w:rsid w:val="007A5B19"/>
    <w:rsid w:val="007A5B6A"/>
    <w:rsid w:val="007A5B81"/>
    <w:rsid w:val="007A5BB8"/>
    <w:rsid w:val="007A5C29"/>
    <w:rsid w:val="007A5CB3"/>
    <w:rsid w:val="007A5CD6"/>
    <w:rsid w:val="007A5D1B"/>
    <w:rsid w:val="007A5D24"/>
    <w:rsid w:val="007A5D7E"/>
    <w:rsid w:val="007A5DCD"/>
    <w:rsid w:val="007A5E11"/>
    <w:rsid w:val="007A5E38"/>
    <w:rsid w:val="007A5EA4"/>
    <w:rsid w:val="007A5EB3"/>
    <w:rsid w:val="007A5ED2"/>
    <w:rsid w:val="007A5EE1"/>
    <w:rsid w:val="007A5EED"/>
    <w:rsid w:val="007A5F15"/>
    <w:rsid w:val="007A602A"/>
    <w:rsid w:val="007A60C0"/>
    <w:rsid w:val="007A610C"/>
    <w:rsid w:val="007A6147"/>
    <w:rsid w:val="007A61BF"/>
    <w:rsid w:val="007A61ED"/>
    <w:rsid w:val="007A61F8"/>
    <w:rsid w:val="007A61FD"/>
    <w:rsid w:val="007A6202"/>
    <w:rsid w:val="007A629F"/>
    <w:rsid w:val="007A62AE"/>
    <w:rsid w:val="007A6303"/>
    <w:rsid w:val="007A635F"/>
    <w:rsid w:val="007A6364"/>
    <w:rsid w:val="007A6378"/>
    <w:rsid w:val="007A63A5"/>
    <w:rsid w:val="007A6407"/>
    <w:rsid w:val="007A6485"/>
    <w:rsid w:val="007A6596"/>
    <w:rsid w:val="007A65F5"/>
    <w:rsid w:val="007A664B"/>
    <w:rsid w:val="007A6654"/>
    <w:rsid w:val="007A66B2"/>
    <w:rsid w:val="007A66BB"/>
    <w:rsid w:val="007A66F6"/>
    <w:rsid w:val="007A6701"/>
    <w:rsid w:val="007A6733"/>
    <w:rsid w:val="007A6779"/>
    <w:rsid w:val="007A67A4"/>
    <w:rsid w:val="007A67FB"/>
    <w:rsid w:val="007A6808"/>
    <w:rsid w:val="007A689D"/>
    <w:rsid w:val="007A689F"/>
    <w:rsid w:val="007A68A5"/>
    <w:rsid w:val="007A68D4"/>
    <w:rsid w:val="007A68E5"/>
    <w:rsid w:val="007A6921"/>
    <w:rsid w:val="007A69B1"/>
    <w:rsid w:val="007A69B4"/>
    <w:rsid w:val="007A69E3"/>
    <w:rsid w:val="007A6B47"/>
    <w:rsid w:val="007A6B57"/>
    <w:rsid w:val="007A6B8C"/>
    <w:rsid w:val="007A6BA4"/>
    <w:rsid w:val="007A6C03"/>
    <w:rsid w:val="007A6C61"/>
    <w:rsid w:val="007A6CDC"/>
    <w:rsid w:val="007A6D07"/>
    <w:rsid w:val="007A6D1D"/>
    <w:rsid w:val="007A6D73"/>
    <w:rsid w:val="007A6D8A"/>
    <w:rsid w:val="007A6DBE"/>
    <w:rsid w:val="007A6E5A"/>
    <w:rsid w:val="007A6E5E"/>
    <w:rsid w:val="007A6F08"/>
    <w:rsid w:val="007A6F57"/>
    <w:rsid w:val="007A6F5F"/>
    <w:rsid w:val="007A6FB7"/>
    <w:rsid w:val="007A6FC0"/>
    <w:rsid w:val="007A6FC1"/>
    <w:rsid w:val="007A6FFE"/>
    <w:rsid w:val="007A704F"/>
    <w:rsid w:val="007A70A3"/>
    <w:rsid w:val="007A70EE"/>
    <w:rsid w:val="007A712D"/>
    <w:rsid w:val="007A71A0"/>
    <w:rsid w:val="007A71BC"/>
    <w:rsid w:val="007A71C8"/>
    <w:rsid w:val="007A7273"/>
    <w:rsid w:val="007A7274"/>
    <w:rsid w:val="007A731B"/>
    <w:rsid w:val="007A7337"/>
    <w:rsid w:val="007A735A"/>
    <w:rsid w:val="007A736B"/>
    <w:rsid w:val="007A7394"/>
    <w:rsid w:val="007A73A4"/>
    <w:rsid w:val="007A73B8"/>
    <w:rsid w:val="007A73FE"/>
    <w:rsid w:val="007A749D"/>
    <w:rsid w:val="007A7500"/>
    <w:rsid w:val="007A7504"/>
    <w:rsid w:val="007A7555"/>
    <w:rsid w:val="007A7577"/>
    <w:rsid w:val="007A75B3"/>
    <w:rsid w:val="007A75EE"/>
    <w:rsid w:val="007A75F7"/>
    <w:rsid w:val="007A75F9"/>
    <w:rsid w:val="007A762E"/>
    <w:rsid w:val="007A7643"/>
    <w:rsid w:val="007A769B"/>
    <w:rsid w:val="007A769C"/>
    <w:rsid w:val="007A76C2"/>
    <w:rsid w:val="007A7718"/>
    <w:rsid w:val="007A772C"/>
    <w:rsid w:val="007A7768"/>
    <w:rsid w:val="007A7772"/>
    <w:rsid w:val="007A77CE"/>
    <w:rsid w:val="007A77D3"/>
    <w:rsid w:val="007A780B"/>
    <w:rsid w:val="007A7824"/>
    <w:rsid w:val="007A7846"/>
    <w:rsid w:val="007A78F1"/>
    <w:rsid w:val="007A790F"/>
    <w:rsid w:val="007A796F"/>
    <w:rsid w:val="007A7983"/>
    <w:rsid w:val="007A79AE"/>
    <w:rsid w:val="007A7A13"/>
    <w:rsid w:val="007A7A27"/>
    <w:rsid w:val="007A7A7F"/>
    <w:rsid w:val="007A7AB6"/>
    <w:rsid w:val="007A7AF7"/>
    <w:rsid w:val="007A7AFC"/>
    <w:rsid w:val="007A7B4B"/>
    <w:rsid w:val="007A7B89"/>
    <w:rsid w:val="007A7BC3"/>
    <w:rsid w:val="007A7CE7"/>
    <w:rsid w:val="007A7CF0"/>
    <w:rsid w:val="007A7D02"/>
    <w:rsid w:val="007A7D5C"/>
    <w:rsid w:val="007A7D85"/>
    <w:rsid w:val="007A7E2C"/>
    <w:rsid w:val="007A7E70"/>
    <w:rsid w:val="007A7EF9"/>
    <w:rsid w:val="007A7F13"/>
    <w:rsid w:val="007A7F24"/>
    <w:rsid w:val="007A7F38"/>
    <w:rsid w:val="007A7F8F"/>
    <w:rsid w:val="007A7FE4"/>
    <w:rsid w:val="007B0049"/>
    <w:rsid w:val="007B008D"/>
    <w:rsid w:val="007B00C5"/>
    <w:rsid w:val="007B00CA"/>
    <w:rsid w:val="007B0146"/>
    <w:rsid w:val="007B0156"/>
    <w:rsid w:val="007B016F"/>
    <w:rsid w:val="007B0214"/>
    <w:rsid w:val="007B0227"/>
    <w:rsid w:val="007B0231"/>
    <w:rsid w:val="007B0254"/>
    <w:rsid w:val="007B025A"/>
    <w:rsid w:val="007B0260"/>
    <w:rsid w:val="007B02B2"/>
    <w:rsid w:val="007B03E3"/>
    <w:rsid w:val="007B03F1"/>
    <w:rsid w:val="007B0434"/>
    <w:rsid w:val="007B0446"/>
    <w:rsid w:val="007B04CD"/>
    <w:rsid w:val="007B04F5"/>
    <w:rsid w:val="007B050A"/>
    <w:rsid w:val="007B051D"/>
    <w:rsid w:val="007B0573"/>
    <w:rsid w:val="007B05C1"/>
    <w:rsid w:val="007B05D5"/>
    <w:rsid w:val="007B0675"/>
    <w:rsid w:val="007B0691"/>
    <w:rsid w:val="007B06CF"/>
    <w:rsid w:val="007B0737"/>
    <w:rsid w:val="007B0761"/>
    <w:rsid w:val="007B0767"/>
    <w:rsid w:val="007B0789"/>
    <w:rsid w:val="007B078B"/>
    <w:rsid w:val="007B07BA"/>
    <w:rsid w:val="007B07E0"/>
    <w:rsid w:val="007B07E3"/>
    <w:rsid w:val="007B07FE"/>
    <w:rsid w:val="007B0819"/>
    <w:rsid w:val="007B082D"/>
    <w:rsid w:val="007B083D"/>
    <w:rsid w:val="007B08BC"/>
    <w:rsid w:val="007B08C3"/>
    <w:rsid w:val="007B090A"/>
    <w:rsid w:val="007B096E"/>
    <w:rsid w:val="007B0A07"/>
    <w:rsid w:val="007B0A33"/>
    <w:rsid w:val="007B0A69"/>
    <w:rsid w:val="007B0ADB"/>
    <w:rsid w:val="007B0ADC"/>
    <w:rsid w:val="007B0B03"/>
    <w:rsid w:val="007B0B10"/>
    <w:rsid w:val="007B0B22"/>
    <w:rsid w:val="007B0B31"/>
    <w:rsid w:val="007B0B39"/>
    <w:rsid w:val="007B0B41"/>
    <w:rsid w:val="007B0BA0"/>
    <w:rsid w:val="007B0BCD"/>
    <w:rsid w:val="007B0C07"/>
    <w:rsid w:val="007B0C60"/>
    <w:rsid w:val="007B0CD9"/>
    <w:rsid w:val="007B0D56"/>
    <w:rsid w:val="007B0D80"/>
    <w:rsid w:val="007B0DF7"/>
    <w:rsid w:val="007B0E43"/>
    <w:rsid w:val="007B0E70"/>
    <w:rsid w:val="007B0E92"/>
    <w:rsid w:val="007B0FB0"/>
    <w:rsid w:val="007B1034"/>
    <w:rsid w:val="007B1079"/>
    <w:rsid w:val="007B1085"/>
    <w:rsid w:val="007B10FD"/>
    <w:rsid w:val="007B1116"/>
    <w:rsid w:val="007B114C"/>
    <w:rsid w:val="007B11EF"/>
    <w:rsid w:val="007B11FA"/>
    <w:rsid w:val="007B120C"/>
    <w:rsid w:val="007B122C"/>
    <w:rsid w:val="007B1254"/>
    <w:rsid w:val="007B1322"/>
    <w:rsid w:val="007B1337"/>
    <w:rsid w:val="007B1341"/>
    <w:rsid w:val="007B135E"/>
    <w:rsid w:val="007B1363"/>
    <w:rsid w:val="007B136D"/>
    <w:rsid w:val="007B138C"/>
    <w:rsid w:val="007B13CF"/>
    <w:rsid w:val="007B140E"/>
    <w:rsid w:val="007B141A"/>
    <w:rsid w:val="007B14AD"/>
    <w:rsid w:val="007B14C0"/>
    <w:rsid w:val="007B1523"/>
    <w:rsid w:val="007B1524"/>
    <w:rsid w:val="007B152D"/>
    <w:rsid w:val="007B15F0"/>
    <w:rsid w:val="007B162B"/>
    <w:rsid w:val="007B1643"/>
    <w:rsid w:val="007B16C4"/>
    <w:rsid w:val="007B1700"/>
    <w:rsid w:val="007B1705"/>
    <w:rsid w:val="007B1714"/>
    <w:rsid w:val="007B173E"/>
    <w:rsid w:val="007B1783"/>
    <w:rsid w:val="007B17AF"/>
    <w:rsid w:val="007B17B3"/>
    <w:rsid w:val="007B17C7"/>
    <w:rsid w:val="007B181F"/>
    <w:rsid w:val="007B1843"/>
    <w:rsid w:val="007B188A"/>
    <w:rsid w:val="007B18AF"/>
    <w:rsid w:val="007B18D7"/>
    <w:rsid w:val="007B19AA"/>
    <w:rsid w:val="007B19EE"/>
    <w:rsid w:val="007B1A1E"/>
    <w:rsid w:val="007B1A96"/>
    <w:rsid w:val="007B1AE5"/>
    <w:rsid w:val="007B1AFF"/>
    <w:rsid w:val="007B1B02"/>
    <w:rsid w:val="007B1B69"/>
    <w:rsid w:val="007B1BE8"/>
    <w:rsid w:val="007B1BF2"/>
    <w:rsid w:val="007B1C3F"/>
    <w:rsid w:val="007B1C5A"/>
    <w:rsid w:val="007B1C65"/>
    <w:rsid w:val="007B1CBB"/>
    <w:rsid w:val="007B1CD9"/>
    <w:rsid w:val="007B1CF2"/>
    <w:rsid w:val="007B1D54"/>
    <w:rsid w:val="007B1D72"/>
    <w:rsid w:val="007B1D99"/>
    <w:rsid w:val="007B1E5D"/>
    <w:rsid w:val="007B1E85"/>
    <w:rsid w:val="007B1EF2"/>
    <w:rsid w:val="007B1FA5"/>
    <w:rsid w:val="007B1FC1"/>
    <w:rsid w:val="007B20CD"/>
    <w:rsid w:val="007B216B"/>
    <w:rsid w:val="007B219E"/>
    <w:rsid w:val="007B21E4"/>
    <w:rsid w:val="007B220E"/>
    <w:rsid w:val="007B221A"/>
    <w:rsid w:val="007B2227"/>
    <w:rsid w:val="007B2279"/>
    <w:rsid w:val="007B22AD"/>
    <w:rsid w:val="007B2376"/>
    <w:rsid w:val="007B2386"/>
    <w:rsid w:val="007B23A4"/>
    <w:rsid w:val="007B2490"/>
    <w:rsid w:val="007B24AD"/>
    <w:rsid w:val="007B24B3"/>
    <w:rsid w:val="007B24BB"/>
    <w:rsid w:val="007B2524"/>
    <w:rsid w:val="007B2537"/>
    <w:rsid w:val="007B256E"/>
    <w:rsid w:val="007B256F"/>
    <w:rsid w:val="007B2594"/>
    <w:rsid w:val="007B25DC"/>
    <w:rsid w:val="007B265F"/>
    <w:rsid w:val="007B2677"/>
    <w:rsid w:val="007B2731"/>
    <w:rsid w:val="007B2749"/>
    <w:rsid w:val="007B27D2"/>
    <w:rsid w:val="007B2821"/>
    <w:rsid w:val="007B2985"/>
    <w:rsid w:val="007B29CC"/>
    <w:rsid w:val="007B29DC"/>
    <w:rsid w:val="007B2A5C"/>
    <w:rsid w:val="007B2A6D"/>
    <w:rsid w:val="007B2A9B"/>
    <w:rsid w:val="007B2AAC"/>
    <w:rsid w:val="007B2AD0"/>
    <w:rsid w:val="007B2B5C"/>
    <w:rsid w:val="007B2B9B"/>
    <w:rsid w:val="007B2BA7"/>
    <w:rsid w:val="007B2BF4"/>
    <w:rsid w:val="007B2C04"/>
    <w:rsid w:val="007B2C23"/>
    <w:rsid w:val="007B2C92"/>
    <w:rsid w:val="007B2CE2"/>
    <w:rsid w:val="007B2CFC"/>
    <w:rsid w:val="007B2D09"/>
    <w:rsid w:val="007B2D39"/>
    <w:rsid w:val="007B2D55"/>
    <w:rsid w:val="007B2D7F"/>
    <w:rsid w:val="007B2D85"/>
    <w:rsid w:val="007B2DB1"/>
    <w:rsid w:val="007B2DDB"/>
    <w:rsid w:val="007B2E08"/>
    <w:rsid w:val="007B2E61"/>
    <w:rsid w:val="007B2F27"/>
    <w:rsid w:val="007B314B"/>
    <w:rsid w:val="007B318E"/>
    <w:rsid w:val="007B31B0"/>
    <w:rsid w:val="007B31DC"/>
    <w:rsid w:val="007B322E"/>
    <w:rsid w:val="007B327C"/>
    <w:rsid w:val="007B32C2"/>
    <w:rsid w:val="007B32DF"/>
    <w:rsid w:val="007B330C"/>
    <w:rsid w:val="007B33CA"/>
    <w:rsid w:val="007B348A"/>
    <w:rsid w:val="007B3491"/>
    <w:rsid w:val="007B34A8"/>
    <w:rsid w:val="007B3595"/>
    <w:rsid w:val="007B3599"/>
    <w:rsid w:val="007B35BF"/>
    <w:rsid w:val="007B35CA"/>
    <w:rsid w:val="007B365A"/>
    <w:rsid w:val="007B36AA"/>
    <w:rsid w:val="007B36CB"/>
    <w:rsid w:val="007B36D9"/>
    <w:rsid w:val="007B3716"/>
    <w:rsid w:val="007B3764"/>
    <w:rsid w:val="007B37D1"/>
    <w:rsid w:val="007B3808"/>
    <w:rsid w:val="007B3850"/>
    <w:rsid w:val="007B38C1"/>
    <w:rsid w:val="007B3909"/>
    <w:rsid w:val="007B3944"/>
    <w:rsid w:val="007B3975"/>
    <w:rsid w:val="007B3977"/>
    <w:rsid w:val="007B39A7"/>
    <w:rsid w:val="007B3A15"/>
    <w:rsid w:val="007B3AC9"/>
    <w:rsid w:val="007B3B95"/>
    <w:rsid w:val="007B3C37"/>
    <w:rsid w:val="007B3C43"/>
    <w:rsid w:val="007B3C48"/>
    <w:rsid w:val="007B3C7A"/>
    <w:rsid w:val="007B3C90"/>
    <w:rsid w:val="007B3CAE"/>
    <w:rsid w:val="007B3D1F"/>
    <w:rsid w:val="007B3D2D"/>
    <w:rsid w:val="007B3D7E"/>
    <w:rsid w:val="007B3DB6"/>
    <w:rsid w:val="007B3DCC"/>
    <w:rsid w:val="007B3E2C"/>
    <w:rsid w:val="007B3E54"/>
    <w:rsid w:val="007B3E95"/>
    <w:rsid w:val="007B3EC6"/>
    <w:rsid w:val="007B3F04"/>
    <w:rsid w:val="007B3F2C"/>
    <w:rsid w:val="007B3F82"/>
    <w:rsid w:val="007B3F91"/>
    <w:rsid w:val="007B3F96"/>
    <w:rsid w:val="007B3FB6"/>
    <w:rsid w:val="007B4015"/>
    <w:rsid w:val="007B403A"/>
    <w:rsid w:val="007B4068"/>
    <w:rsid w:val="007B4097"/>
    <w:rsid w:val="007B40A1"/>
    <w:rsid w:val="007B41D5"/>
    <w:rsid w:val="007B41EA"/>
    <w:rsid w:val="007B4207"/>
    <w:rsid w:val="007B4233"/>
    <w:rsid w:val="007B42A7"/>
    <w:rsid w:val="007B4359"/>
    <w:rsid w:val="007B436D"/>
    <w:rsid w:val="007B4447"/>
    <w:rsid w:val="007B447B"/>
    <w:rsid w:val="007B44FD"/>
    <w:rsid w:val="007B4502"/>
    <w:rsid w:val="007B4505"/>
    <w:rsid w:val="007B456F"/>
    <w:rsid w:val="007B4595"/>
    <w:rsid w:val="007B45D7"/>
    <w:rsid w:val="007B4630"/>
    <w:rsid w:val="007B466A"/>
    <w:rsid w:val="007B467C"/>
    <w:rsid w:val="007B469B"/>
    <w:rsid w:val="007B46D9"/>
    <w:rsid w:val="007B46E1"/>
    <w:rsid w:val="007B4717"/>
    <w:rsid w:val="007B47E9"/>
    <w:rsid w:val="007B48DD"/>
    <w:rsid w:val="007B48E0"/>
    <w:rsid w:val="007B48F8"/>
    <w:rsid w:val="007B4904"/>
    <w:rsid w:val="007B490D"/>
    <w:rsid w:val="007B496C"/>
    <w:rsid w:val="007B4A2E"/>
    <w:rsid w:val="007B4A60"/>
    <w:rsid w:val="007B4B6F"/>
    <w:rsid w:val="007B4BBE"/>
    <w:rsid w:val="007B4C62"/>
    <w:rsid w:val="007B4C66"/>
    <w:rsid w:val="007B4CC3"/>
    <w:rsid w:val="007B4CCA"/>
    <w:rsid w:val="007B4D1B"/>
    <w:rsid w:val="007B4D6A"/>
    <w:rsid w:val="007B4DF4"/>
    <w:rsid w:val="007B4E62"/>
    <w:rsid w:val="007B4EB7"/>
    <w:rsid w:val="007B4EC5"/>
    <w:rsid w:val="007B4EEF"/>
    <w:rsid w:val="007B4F88"/>
    <w:rsid w:val="007B50AC"/>
    <w:rsid w:val="007B50E4"/>
    <w:rsid w:val="007B5108"/>
    <w:rsid w:val="007B5178"/>
    <w:rsid w:val="007B5189"/>
    <w:rsid w:val="007B5197"/>
    <w:rsid w:val="007B51B5"/>
    <w:rsid w:val="007B5233"/>
    <w:rsid w:val="007B526A"/>
    <w:rsid w:val="007B526E"/>
    <w:rsid w:val="007B52A1"/>
    <w:rsid w:val="007B52FB"/>
    <w:rsid w:val="007B530C"/>
    <w:rsid w:val="007B5315"/>
    <w:rsid w:val="007B531D"/>
    <w:rsid w:val="007B5363"/>
    <w:rsid w:val="007B536B"/>
    <w:rsid w:val="007B537C"/>
    <w:rsid w:val="007B53A1"/>
    <w:rsid w:val="007B53B3"/>
    <w:rsid w:val="007B53E0"/>
    <w:rsid w:val="007B53E3"/>
    <w:rsid w:val="007B546B"/>
    <w:rsid w:val="007B54D9"/>
    <w:rsid w:val="007B54DB"/>
    <w:rsid w:val="007B562A"/>
    <w:rsid w:val="007B562B"/>
    <w:rsid w:val="007B564E"/>
    <w:rsid w:val="007B5674"/>
    <w:rsid w:val="007B56B4"/>
    <w:rsid w:val="007B56DB"/>
    <w:rsid w:val="007B571C"/>
    <w:rsid w:val="007B5721"/>
    <w:rsid w:val="007B574B"/>
    <w:rsid w:val="007B5780"/>
    <w:rsid w:val="007B57A5"/>
    <w:rsid w:val="007B57CA"/>
    <w:rsid w:val="007B57EC"/>
    <w:rsid w:val="007B581A"/>
    <w:rsid w:val="007B5832"/>
    <w:rsid w:val="007B5868"/>
    <w:rsid w:val="007B5876"/>
    <w:rsid w:val="007B5898"/>
    <w:rsid w:val="007B590A"/>
    <w:rsid w:val="007B59B5"/>
    <w:rsid w:val="007B5A0D"/>
    <w:rsid w:val="007B5A56"/>
    <w:rsid w:val="007B5AA3"/>
    <w:rsid w:val="007B5B42"/>
    <w:rsid w:val="007B5B8D"/>
    <w:rsid w:val="007B5C93"/>
    <w:rsid w:val="007B5D05"/>
    <w:rsid w:val="007B5D23"/>
    <w:rsid w:val="007B5E54"/>
    <w:rsid w:val="007B5E6C"/>
    <w:rsid w:val="007B5EF0"/>
    <w:rsid w:val="007B5EF7"/>
    <w:rsid w:val="007B5F04"/>
    <w:rsid w:val="007B5FE5"/>
    <w:rsid w:val="007B5FF0"/>
    <w:rsid w:val="007B6016"/>
    <w:rsid w:val="007B60C6"/>
    <w:rsid w:val="007B618D"/>
    <w:rsid w:val="007B6197"/>
    <w:rsid w:val="007B61E1"/>
    <w:rsid w:val="007B61F2"/>
    <w:rsid w:val="007B61FF"/>
    <w:rsid w:val="007B6206"/>
    <w:rsid w:val="007B629F"/>
    <w:rsid w:val="007B62C4"/>
    <w:rsid w:val="007B6321"/>
    <w:rsid w:val="007B6350"/>
    <w:rsid w:val="007B6403"/>
    <w:rsid w:val="007B6404"/>
    <w:rsid w:val="007B6408"/>
    <w:rsid w:val="007B6458"/>
    <w:rsid w:val="007B646B"/>
    <w:rsid w:val="007B64DF"/>
    <w:rsid w:val="007B652D"/>
    <w:rsid w:val="007B6539"/>
    <w:rsid w:val="007B6556"/>
    <w:rsid w:val="007B6565"/>
    <w:rsid w:val="007B6589"/>
    <w:rsid w:val="007B65A5"/>
    <w:rsid w:val="007B65C8"/>
    <w:rsid w:val="007B660A"/>
    <w:rsid w:val="007B6645"/>
    <w:rsid w:val="007B6659"/>
    <w:rsid w:val="007B66B0"/>
    <w:rsid w:val="007B66B8"/>
    <w:rsid w:val="007B66F0"/>
    <w:rsid w:val="007B67CD"/>
    <w:rsid w:val="007B6814"/>
    <w:rsid w:val="007B68B3"/>
    <w:rsid w:val="007B68D4"/>
    <w:rsid w:val="007B6971"/>
    <w:rsid w:val="007B69D5"/>
    <w:rsid w:val="007B6A61"/>
    <w:rsid w:val="007B6A74"/>
    <w:rsid w:val="007B6ACB"/>
    <w:rsid w:val="007B6B0D"/>
    <w:rsid w:val="007B6B3C"/>
    <w:rsid w:val="007B6C43"/>
    <w:rsid w:val="007B6D86"/>
    <w:rsid w:val="007B6D8E"/>
    <w:rsid w:val="007B6E2F"/>
    <w:rsid w:val="007B6E6A"/>
    <w:rsid w:val="007B6E80"/>
    <w:rsid w:val="007B6E8A"/>
    <w:rsid w:val="007B6E9B"/>
    <w:rsid w:val="007B6ED2"/>
    <w:rsid w:val="007B6EDE"/>
    <w:rsid w:val="007B6F47"/>
    <w:rsid w:val="007B6F77"/>
    <w:rsid w:val="007B6FD7"/>
    <w:rsid w:val="007B6FDE"/>
    <w:rsid w:val="007B7092"/>
    <w:rsid w:val="007B70A0"/>
    <w:rsid w:val="007B70C4"/>
    <w:rsid w:val="007B712F"/>
    <w:rsid w:val="007B71C2"/>
    <w:rsid w:val="007B7204"/>
    <w:rsid w:val="007B724F"/>
    <w:rsid w:val="007B725D"/>
    <w:rsid w:val="007B7282"/>
    <w:rsid w:val="007B733C"/>
    <w:rsid w:val="007B7343"/>
    <w:rsid w:val="007B7346"/>
    <w:rsid w:val="007B736F"/>
    <w:rsid w:val="007B737A"/>
    <w:rsid w:val="007B737F"/>
    <w:rsid w:val="007B7381"/>
    <w:rsid w:val="007B7392"/>
    <w:rsid w:val="007B73F4"/>
    <w:rsid w:val="007B7424"/>
    <w:rsid w:val="007B7429"/>
    <w:rsid w:val="007B743C"/>
    <w:rsid w:val="007B74AD"/>
    <w:rsid w:val="007B74CA"/>
    <w:rsid w:val="007B74CC"/>
    <w:rsid w:val="007B74E7"/>
    <w:rsid w:val="007B753A"/>
    <w:rsid w:val="007B7575"/>
    <w:rsid w:val="007B75B5"/>
    <w:rsid w:val="007B75F7"/>
    <w:rsid w:val="007B76AB"/>
    <w:rsid w:val="007B774A"/>
    <w:rsid w:val="007B775D"/>
    <w:rsid w:val="007B77E3"/>
    <w:rsid w:val="007B781E"/>
    <w:rsid w:val="007B7850"/>
    <w:rsid w:val="007B789B"/>
    <w:rsid w:val="007B78A9"/>
    <w:rsid w:val="007B7932"/>
    <w:rsid w:val="007B795A"/>
    <w:rsid w:val="007B79FE"/>
    <w:rsid w:val="007B7A0F"/>
    <w:rsid w:val="007B7A43"/>
    <w:rsid w:val="007B7A82"/>
    <w:rsid w:val="007B7A90"/>
    <w:rsid w:val="007B7AD5"/>
    <w:rsid w:val="007B7B4B"/>
    <w:rsid w:val="007B7B5F"/>
    <w:rsid w:val="007B7B95"/>
    <w:rsid w:val="007B7BE3"/>
    <w:rsid w:val="007B7BF2"/>
    <w:rsid w:val="007B7C50"/>
    <w:rsid w:val="007B7C64"/>
    <w:rsid w:val="007B7CD9"/>
    <w:rsid w:val="007B7D06"/>
    <w:rsid w:val="007B7D1B"/>
    <w:rsid w:val="007B7D59"/>
    <w:rsid w:val="007B7DA0"/>
    <w:rsid w:val="007B7E22"/>
    <w:rsid w:val="007B7EE5"/>
    <w:rsid w:val="007B7F03"/>
    <w:rsid w:val="007B7F5E"/>
    <w:rsid w:val="007B7F8C"/>
    <w:rsid w:val="007B7FB3"/>
    <w:rsid w:val="007B7FD2"/>
    <w:rsid w:val="007B7FED"/>
    <w:rsid w:val="007B7FEF"/>
    <w:rsid w:val="007C0021"/>
    <w:rsid w:val="007C002E"/>
    <w:rsid w:val="007C011C"/>
    <w:rsid w:val="007C012C"/>
    <w:rsid w:val="007C0216"/>
    <w:rsid w:val="007C0271"/>
    <w:rsid w:val="007C0310"/>
    <w:rsid w:val="007C0337"/>
    <w:rsid w:val="007C036A"/>
    <w:rsid w:val="007C036D"/>
    <w:rsid w:val="007C03C1"/>
    <w:rsid w:val="007C040E"/>
    <w:rsid w:val="007C0421"/>
    <w:rsid w:val="007C0432"/>
    <w:rsid w:val="007C052F"/>
    <w:rsid w:val="007C054E"/>
    <w:rsid w:val="007C0567"/>
    <w:rsid w:val="007C0599"/>
    <w:rsid w:val="007C059C"/>
    <w:rsid w:val="007C05FC"/>
    <w:rsid w:val="007C0635"/>
    <w:rsid w:val="007C0659"/>
    <w:rsid w:val="007C0686"/>
    <w:rsid w:val="007C06C1"/>
    <w:rsid w:val="007C0733"/>
    <w:rsid w:val="007C0756"/>
    <w:rsid w:val="007C07AE"/>
    <w:rsid w:val="007C07DF"/>
    <w:rsid w:val="007C08E1"/>
    <w:rsid w:val="007C08EC"/>
    <w:rsid w:val="007C08F4"/>
    <w:rsid w:val="007C093C"/>
    <w:rsid w:val="007C093F"/>
    <w:rsid w:val="007C0961"/>
    <w:rsid w:val="007C0969"/>
    <w:rsid w:val="007C0973"/>
    <w:rsid w:val="007C09BB"/>
    <w:rsid w:val="007C09C8"/>
    <w:rsid w:val="007C09F6"/>
    <w:rsid w:val="007C0A23"/>
    <w:rsid w:val="007C0A24"/>
    <w:rsid w:val="007C0B93"/>
    <w:rsid w:val="007C0B9A"/>
    <w:rsid w:val="007C0BDB"/>
    <w:rsid w:val="007C0C50"/>
    <w:rsid w:val="007C0CB3"/>
    <w:rsid w:val="007C0CF0"/>
    <w:rsid w:val="007C0D04"/>
    <w:rsid w:val="007C0D3B"/>
    <w:rsid w:val="007C0D59"/>
    <w:rsid w:val="007C0D9D"/>
    <w:rsid w:val="007C0E0C"/>
    <w:rsid w:val="007C0E3A"/>
    <w:rsid w:val="007C0E9C"/>
    <w:rsid w:val="007C0EC2"/>
    <w:rsid w:val="007C0F29"/>
    <w:rsid w:val="007C0F3F"/>
    <w:rsid w:val="007C0FA0"/>
    <w:rsid w:val="007C0FBB"/>
    <w:rsid w:val="007C101F"/>
    <w:rsid w:val="007C1056"/>
    <w:rsid w:val="007C1097"/>
    <w:rsid w:val="007C10C4"/>
    <w:rsid w:val="007C10D2"/>
    <w:rsid w:val="007C115D"/>
    <w:rsid w:val="007C1186"/>
    <w:rsid w:val="007C11E8"/>
    <w:rsid w:val="007C1297"/>
    <w:rsid w:val="007C12B9"/>
    <w:rsid w:val="007C12F4"/>
    <w:rsid w:val="007C12FC"/>
    <w:rsid w:val="007C1328"/>
    <w:rsid w:val="007C1430"/>
    <w:rsid w:val="007C146D"/>
    <w:rsid w:val="007C1496"/>
    <w:rsid w:val="007C14AE"/>
    <w:rsid w:val="007C14C7"/>
    <w:rsid w:val="007C14EA"/>
    <w:rsid w:val="007C14ED"/>
    <w:rsid w:val="007C15A5"/>
    <w:rsid w:val="007C1600"/>
    <w:rsid w:val="007C1634"/>
    <w:rsid w:val="007C1693"/>
    <w:rsid w:val="007C169D"/>
    <w:rsid w:val="007C1755"/>
    <w:rsid w:val="007C1775"/>
    <w:rsid w:val="007C1794"/>
    <w:rsid w:val="007C17E7"/>
    <w:rsid w:val="007C17ED"/>
    <w:rsid w:val="007C182B"/>
    <w:rsid w:val="007C1890"/>
    <w:rsid w:val="007C193F"/>
    <w:rsid w:val="007C1984"/>
    <w:rsid w:val="007C19D2"/>
    <w:rsid w:val="007C1A0B"/>
    <w:rsid w:val="007C1A3A"/>
    <w:rsid w:val="007C1A48"/>
    <w:rsid w:val="007C1ACE"/>
    <w:rsid w:val="007C1AED"/>
    <w:rsid w:val="007C1B0A"/>
    <w:rsid w:val="007C1B32"/>
    <w:rsid w:val="007C1B3C"/>
    <w:rsid w:val="007C1B50"/>
    <w:rsid w:val="007C1C64"/>
    <w:rsid w:val="007C1C82"/>
    <w:rsid w:val="007C1CCB"/>
    <w:rsid w:val="007C1CCD"/>
    <w:rsid w:val="007C1CDC"/>
    <w:rsid w:val="007C1D80"/>
    <w:rsid w:val="007C1DE1"/>
    <w:rsid w:val="007C1DE7"/>
    <w:rsid w:val="007C1E22"/>
    <w:rsid w:val="007C1E64"/>
    <w:rsid w:val="007C1EB4"/>
    <w:rsid w:val="007C1ED1"/>
    <w:rsid w:val="007C1ED3"/>
    <w:rsid w:val="007C1EE2"/>
    <w:rsid w:val="007C1EE4"/>
    <w:rsid w:val="007C1EF1"/>
    <w:rsid w:val="007C1EF9"/>
    <w:rsid w:val="007C1F01"/>
    <w:rsid w:val="007C1F7F"/>
    <w:rsid w:val="007C1F81"/>
    <w:rsid w:val="007C1F9A"/>
    <w:rsid w:val="007C1FAD"/>
    <w:rsid w:val="007C1FC7"/>
    <w:rsid w:val="007C1FCA"/>
    <w:rsid w:val="007C1FCD"/>
    <w:rsid w:val="007C20B4"/>
    <w:rsid w:val="007C20C6"/>
    <w:rsid w:val="007C2182"/>
    <w:rsid w:val="007C21B0"/>
    <w:rsid w:val="007C21B7"/>
    <w:rsid w:val="007C21C6"/>
    <w:rsid w:val="007C21D2"/>
    <w:rsid w:val="007C21E3"/>
    <w:rsid w:val="007C221F"/>
    <w:rsid w:val="007C2241"/>
    <w:rsid w:val="007C2286"/>
    <w:rsid w:val="007C2295"/>
    <w:rsid w:val="007C22C4"/>
    <w:rsid w:val="007C22DA"/>
    <w:rsid w:val="007C2376"/>
    <w:rsid w:val="007C238D"/>
    <w:rsid w:val="007C2426"/>
    <w:rsid w:val="007C2446"/>
    <w:rsid w:val="007C247E"/>
    <w:rsid w:val="007C249B"/>
    <w:rsid w:val="007C24A6"/>
    <w:rsid w:val="007C24A7"/>
    <w:rsid w:val="007C24BE"/>
    <w:rsid w:val="007C25B1"/>
    <w:rsid w:val="007C25F5"/>
    <w:rsid w:val="007C2651"/>
    <w:rsid w:val="007C267E"/>
    <w:rsid w:val="007C26B4"/>
    <w:rsid w:val="007C26C4"/>
    <w:rsid w:val="007C26D7"/>
    <w:rsid w:val="007C26F7"/>
    <w:rsid w:val="007C2713"/>
    <w:rsid w:val="007C2740"/>
    <w:rsid w:val="007C278D"/>
    <w:rsid w:val="007C27D5"/>
    <w:rsid w:val="007C27F4"/>
    <w:rsid w:val="007C280A"/>
    <w:rsid w:val="007C2816"/>
    <w:rsid w:val="007C283C"/>
    <w:rsid w:val="007C287C"/>
    <w:rsid w:val="007C28EF"/>
    <w:rsid w:val="007C28FD"/>
    <w:rsid w:val="007C2912"/>
    <w:rsid w:val="007C2923"/>
    <w:rsid w:val="007C2935"/>
    <w:rsid w:val="007C29BB"/>
    <w:rsid w:val="007C2A12"/>
    <w:rsid w:val="007C2A4C"/>
    <w:rsid w:val="007C2A6D"/>
    <w:rsid w:val="007C2A76"/>
    <w:rsid w:val="007C2ABA"/>
    <w:rsid w:val="007C2ADB"/>
    <w:rsid w:val="007C2B00"/>
    <w:rsid w:val="007C2B35"/>
    <w:rsid w:val="007C2B3B"/>
    <w:rsid w:val="007C2C0E"/>
    <w:rsid w:val="007C2D1C"/>
    <w:rsid w:val="007C2D53"/>
    <w:rsid w:val="007C2D91"/>
    <w:rsid w:val="007C2DAF"/>
    <w:rsid w:val="007C2E12"/>
    <w:rsid w:val="007C2E2A"/>
    <w:rsid w:val="007C2E30"/>
    <w:rsid w:val="007C2E5E"/>
    <w:rsid w:val="007C2E80"/>
    <w:rsid w:val="007C2E94"/>
    <w:rsid w:val="007C2EC4"/>
    <w:rsid w:val="007C2F13"/>
    <w:rsid w:val="007C2F5D"/>
    <w:rsid w:val="007C2F69"/>
    <w:rsid w:val="007C2FF4"/>
    <w:rsid w:val="007C2FFC"/>
    <w:rsid w:val="007C3032"/>
    <w:rsid w:val="007C3042"/>
    <w:rsid w:val="007C3047"/>
    <w:rsid w:val="007C30B5"/>
    <w:rsid w:val="007C30D4"/>
    <w:rsid w:val="007C30E2"/>
    <w:rsid w:val="007C30F7"/>
    <w:rsid w:val="007C312C"/>
    <w:rsid w:val="007C3268"/>
    <w:rsid w:val="007C327A"/>
    <w:rsid w:val="007C3282"/>
    <w:rsid w:val="007C3336"/>
    <w:rsid w:val="007C336A"/>
    <w:rsid w:val="007C33E4"/>
    <w:rsid w:val="007C3428"/>
    <w:rsid w:val="007C348E"/>
    <w:rsid w:val="007C3490"/>
    <w:rsid w:val="007C34B4"/>
    <w:rsid w:val="007C34FF"/>
    <w:rsid w:val="007C356C"/>
    <w:rsid w:val="007C35C0"/>
    <w:rsid w:val="007C3651"/>
    <w:rsid w:val="007C367E"/>
    <w:rsid w:val="007C3688"/>
    <w:rsid w:val="007C36C1"/>
    <w:rsid w:val="007C36E2"/>
    <w:rsid w:val="007C373B"/>
    <w:rsid w:val="007C373D"/>
    <w:rsid w:val="007C37BB"/>
    <w:rsid w:val="007C37BE"/>
    <w:rsid w:val="007C37C3"/>
    <w:rsid w:val="007C37FA"/>
    <w:rsid w:val="007C381C"/>
    <w:rsid w:val="007C3836"/>
    <w:rsid w:val="007C3876"/>
    <w:rsid w:val="007C38C8"/>
    <w:rsid w:val="007C38C9"/>
    <w:rsid w:val="007C38D2"/>
    <w:rsid w:val="007C3940"/>
    <w:rsid w:val="007C395F"/>
    <w:rsid w:val="007C39A3"/>
    <w:rsid w:val="007C39D9"/>
    <w:rsid w:val="007C3A0C"/>
    <w:rsid w:val="007C3A15"/>
    <w:rsid w:val="007C3A37"/>
    <w:rsid w:val="007C3A54"/>
    <w:rsid w:val="007C3A62"/>
    <w:rsid w:val="007C3ABA"/>
    <w:rsid w:val="007C3AC3"/>
    <w:rsid w:val="007C3B6E"/>
    <w:rsid w:val="007C3B89"/>
    <w:rsid w:val="007C3BAB"/>
    <w:rsid w:val="007C3BC6"/>
    <w:rsid w:val="007C3C6E"/>
    <w:rsid w:val="007C3CBC"/>
    <w:rsid w:val="007C3D97"/>
    <w:rsid w:val="007C3E2C"/>
    <w:rsid w:val="007C3E97"/>
    <w:rsid w:val="007C3ED1"/>
    <w:rsid w:val="007C3F44"/>
    <w:rsid w:val="007C3F5B"/>
    <w:rsid w:val="007C3FCC"/>
    <w:rsid w:val="007C404F"/>
    <w:rsid w:val="007C4087"/>
    <w:rsid w:val="007C40A8"/>
    <w:rsid w:val="007C4314"/>
    <w:rsid w:val="007C4363"/>
    <w:rsid w:val="007C437D"/>
    <w:rsid w:val="007C437E"/>
    <w:rsid w:val="007C4402"/>
    <w:rsid w:val="007C4404"/>
    <w:rsid w:val="007C4436"/>
    <w:rsid w:val="007C444F"/>
    <w:rsid w:val="007C44B9"/>
    <w:rsid w:val="007C44F0"/>
    <w:rsid w:val="007C44FA"/>
    <w:rsid w:val="007C4558"/>
    <w:rsid w:val="007C456D"/>
    <w:rsid w:val="007C45C6"/>
    <w:rsid w:val="007C45FC"/>
    <w:rsid w:val="007C4640"/>
    <w:rsid w:val="007C469E"/>
    <w:rsid w:val="007C46AC"/>
    <w:rsid w:val="007C46D5"/>
    <w:rsid w:val="007C46DD"/>
    <w:rsid w:val="007C4700"/>
    <w:rsid w:val="007C4728"/>
    <w:rsid w:val="007C4732"/>
    <w:rsid w:val="007C4808"/>
    <w:rsid w:val="007C491E"/>
    <w:rsid w:val="007C4981"/>
    <w:rsid w:val="007C49CA"/>
    <w:rsid w:val="007C49D1"/>
    <w:rsid w:val="007C49F7"/>
    <w:rsid w:val="007C4A0D"/>
    <w:rsid w:val="007C4A34"/>
    <w:rsid w:val="007C4A3F"/>
    <w:rsid w:val="007C4A70"/>
    <w:rsid w:val="007C4B09"/>
    <w:rsid w:val="007C4B30"/>
    <w:rsid w:val="007C4BC1"/>
    <w:rsid w:val="007C4C18"/>
    <w:rsid w:val="007C4C23"/>
    <w:rsid w:val="007C4C5E"/>
    <w:rsid w:val="007C4CED"/>
    <w:rsid w:val="007C4D82"/>
    <w:rsid w:val="007C4D9E"/>
    <w:rsid w:val="007C4E0D"/>
    <w:rsid w:val="007C4E63"/>
    <w:rsid w:val="007C4E99"/>
    <w:rsid w:val="007C4F36"/>
    <w:rsid w:val="007C4FF1"/>
    <w:rsid w:val="007C5023"/>
    <w:rsid w:val="007C507D"/>
    <w:rsid w:val="007C5088"/>
    <w:rsid w:val="007C50AF"/>
    <w:rsid w:val="007C510D"/>
    <w:rsid w:val="007C514A"/>
    <w:rsid w:val="007C5183"/>
    <w:rsid w:val="007C51DA"/>
    <w:rsid w:val="007C5215"/>
    <w:rsid w:val="007C5223"/>
    <w:rsid w:val="007C527A"/>
    <w:rsid w:val="007C5288"/>
    <w:rsid w:val="007C5320"/>
    <w:rsid w:val="007C5352"/>
    <w:rsid w:val="007C5369"/>
    <w:rsid w:val="007C541B"/>
    <w:rsid w:val="007C5429"/>
    <w:rsid w:val="007C54D3"/>
    <w:rsid w:val="007C54E7"/>
    <w:rsid w:val="007C54E9"/>
    <w:rsid w:val="007C5559"/>
    <w:rsid w:val="007C555E"/>
    <w:rsid w:val="007C55AA"/>
    <w:rsid w:val="007C55C5"/>
    <w:rsid w:val="007C55CD"/>
    <w:rsid w:val="007C5620"/>
    <w:rsid w:val="007C5688"/>
    <w:rsid w:val="007C569E"/>
    <w:rsid w:val="007C5712"/>
    <w:rsid w:val="007C572E"/>
    <w:rsid w:val="007C5798"/>
    <w:rsid w:val="007C57A4"/>
    <w:rsid w:val="007C57B1"/>
    <w:rsid w:val="007C57BA"/>
    <w:rsid w:val="007C5804"/>
    <w:rsid w:val="007C585E"/>
    <w:rsid w:val="007C5874"/>
    <w:rsid w:val="007C5875"/>
    <w:rsid w:val="007C5881"/>
    <w:rsid w:val="007C5905"/>
    <w:rsid w:val="007C5922"/>
    <w:rsid w:val="007C59E6"/>
    <w:rsid w:val="007C5A0B"/>
    <w:rsid w:val="007C5A21"/>
    <w:rsid w:val="007C5A32"/>
    <w:rsid w:val="007C5AA9"/>
    <w:rsid w:val="007C5AB8"/>
    <w:rsid w:val="007C5B73"/>
    <w:rsid w:val="007C5BAD"/>
    <w:rsid w:val="007C5C01"/>
    <w:rsid w:val="007C5C24"/>
    <w:rsid w:val="007C5C56"/>
    <w:rsid w:val="007C5C7C"/>
    <w:rsid w:val="007C5CA3"/>
    <w:rsid w:val="007C5D09"/>
    <w:rsid w:val="007C5DAB"/>
    <w:rsid w:val="007C5E1E"/>
    <w:rsid w:val="007C5ED6"/>
    <w:rsid w:val="007C5EDA"/>
    <w:rsid w:val="007C5F6D"/>
    <w:rsid w:val="007C5F80"/>
    <w:rsid w:val="007C5F8E"/>
    <w:rsid w:val="007C6034"/>
    <w:rsid w:val="007C60A9"/>
    <w:rsid w:val="007C60C6"/>
    <w:rsid w:val="007C60D4"/>
    <w:rsid w:val="007C60FD"/>
    <w:rsid w:val="007C6134"/>
    <w:rsid w:val="007C620E"/>
    <w:rsid w:val="007C6255"/>
    <w:rsid w:val="007C626E"/>
    <w:rsid w:val="007C6291"/>
    <w:rsid w:val="007C62C0"/>
    <w:rsid w:val="007C62CF"/>
    <w:rsid w:val="007C637D"/>
    <w:rsid w:val="007C641D"/>
    <w:rsid w:val="007C6470"/>
    <w:rsid w:val="007C647C"/>
    <w:rsid w:val="007C651D"/>
    <w:rsid w:val="007C6545"/>
    <w:rsid w:val="007C65F6"/>
    <w:rsid w:val="007C660D"/>
    <w:rsid w:val="007C668A"/>
    <w:rsid w:val="007C6743"/>
    <w:rsid w:val="007C677A"/>
    <w:rsid w:val="007C6793"/>
    <w:rsid w:val="007C6799"/>
    <w:rsid w:val="007C67BD"/>
    <w:rsid w:val="007C67CE"/>
    <w:rsid w:val="007C682D"/>
    <w:rsid w:val="007C6840"/>
    <w:rsid w:val="007C6853"/>
    <w:rsid w:val="007C6855"/>
    <w:rsid w:val="007C6888"/>
    <w:rsid w:val="007C688A"/>
    <w:rsid w:val="007C688F"/>
    <w:rsid w:val="007C68A1"/>
    <w:rsid w:val="007C68EF"/>
    <w:rsid w:val="007C68F6"/>
    <w:rsid w:val="007C68F9"/>
    <w:rsid w:val="007C692E"/>
    <w:rsid w:val="007C6943"/>
    <w:rsid w:val="007C695E"/>
    <w:rsid w:val="007C6963"/>
    <w:rsid w:val="007C698D"/>
    <w:rsid w:val="007C6999"/>
    <w:rsid w:val="007C69C7"/>
    <w:rsid w:val="007C6A37"/>
    <w:rsid w:val="007C6A73"/>
    <w:rsid w:val="007C6AAC"/>
    <w:rsid w:val="007C6AB7"/>
    <w:rsid w:val="007C6B04"/>
    <w:rsid w:val="007C6B34"/>
    <w:rsid w:val="007C6B61"/>
    <w:rsid w:val="007C6C1D"/>
    <w:rsid w:val="007C6C2E"/>
    <w:rsid w:val="007C6C9D"/>
    <w:rsid w:val="007C6CAF"/>
    <w:rsid w:val="007C6D16"/>
    <w:rsid w:val="007C6D34"/>
    <w:rsid w:val="007C6E04"/>
    <w:rsid w:val="007C6EE5"/>
    <w:rsid w:val="007C6F0D"/>
    <w:rsid w:val="007C6F65"/>
    <w:rsid w:val="007C7065"/>
    <w:rsid w:val="007C70D0"/>
    <w:rsid w:val="007C70E7"/>
    <w:rsid w:val="007C710D"/>
    <w:rsid w:val="007C7132"/>
    <w:rsid w:val="007C7138"/>
    <w:rsid w:val="007C715B"/>
    <w:rsid w:val="007C718A"/>
    <w:rsid w:val="007C718C"/>
    <w:rsid w:val="007C7194"/>
    <w:rsid w:val="007C71B2"/>
    <w:rsid w:val="007C7216"/>
    <w:rsid w:val="007C7295"/>
    <w:rsid w:val="007C72C9"/>
    <w:rsid w:val="007C72E3"/>
    <w:rsid w:val="007C732E"/>
    <w:rsid w:val="007C7342"/>
    <w:rsid w:val="007C73C6"/>
    <w:rsid w:val="007C7429"/>
    <w:rsid w:val="007C745E"/>
    <w:rsid w:val="007C7513"/>
    <w:rsid w:val="007C7531"/>
    <w:rsid w:val="007C753D"/>
    <w:rsid w:val="007C7540"/>
    <w:rsid w:val="007C7557"/>
    <w:rsid w:val="007C7590"/>
    <w:rsid w:val="007C7594"/>
    <w:rsid w:val="007C75D9"/>
    <w:rsid w:val="007C7613"/>
    <w:rsid w:val="007C7645"/>
    <w:rsid w:val="007C765D"/>
    <w:rsid w:val="007C7661"/>
    <w:rsid w:val="007C76F7"/>
    <w:rsid w:val="007C772A"/>
    <w:rsid w:val="007C7767"/>
    <w:rsid w:val="007C7820"/>
    <w:rsid w:val="007C7859"/>
    <w:rsid w:val="007C7866"/>
    <w:rsid w:val="007C78D0"/>
    <w:rsid w:val="007C79AD"/>
    <w:rsid w:val="007C79B5"/>
    <w:rsid w:val="007C7A35"/>
    <w:rsid w:val="007C7A44"/>
    <w:rsid w:val="007C7A53"/>
    <w:rsid w:val="007C7A64"/>
    <w:rsid w:val="007C7A6C"/>
    <w:rsid w:val="007C7A90"/>
    <w:rsid w:val="007C7AA2"/>
    <w:rsid w:val="007C7AD2"/>
    <w:rsid w:val="007C7B6B"/>
    <w:rsid w:val="007C7B80"/>
    <w:rsid w:val="007C7BDD"/>
    <w:rsid w:val="007C7CEC"/>
    <w:rsid w:val="007C7D39"/>
    <w:rsid w:val="007C7D4E"/>
    <w:rsid w:val="007C7D9E"/>
    <w:rsid w:val="007C7DC8"/>
    <w:rsid w:val="007C7DF9"/>
    <w:rsid w:val="007C7E63"/>
    <w:rsid w:val="007C7E7D"/>
    <w:rsid w:val="007C7EFB"/>
    <w:rsid w:val="007C7F1A"/>
    <w:rsid w:val="007C7F78"/>
    <w:rsid w:val="007C7FB3"/>
    <w:rsid w:val="007D0008"/>
    <w:rsid w:val="007D0015"/>
    <w:rsid w:val="007D0035"/>
    <w:rsid w:val="007D0149"/>
    <w:rsid w:val="007D01B1"/>
    <w:rsid w:val="007D01D6"/>
    <w:rsid w:val="007D023E"/>
    <w:rsid w:val="007D0261"/>
    <w:rsid w:val="007D028A"/>
    <w:rsid w:val="007D0290"/>
    <w:rsid w:val="007D02F0"/>
    <w:rsid w:val="007D039E"/>
    <w:rsid w:val="007D03F2"/>
    <w:rsid w:val="007D0534"/>
    <w:rsid w:val="007D0541"/>
    <w:rsid w:val="007D055A"/>
    <w:rsid w:val="007D055C"/>
    <w:rsid w:val="007D0575"/>
    <w:rsid w:val="007D0577"/>
    <w:rsid w:val="007D05F1"/>
    <w:rsid w:val="007D062F"/>
    <w:rsid w:val="007D06BF"/>
    <w:rsid w:val="007D06FE"/>
    <w:rsid w:val="007D070A"/>
    <w:rsid w:val="007D0785"/>
    <w:rsid w:val="007D0788"/>
    <w:rsid w:val="007D078F"/>
    <w:rsid w:val="007D07A2"/>
    <w:rsid w:val="007D07D0"/>
    <w:rsid w:val="007D07EB"/>
    <w:rsid w:val="007D0803"/>
    <w:rsid w:val="007D080F"/>
    <w:rsid w:val="007D0829"/>
    <w:rsid w:val="007D0875"/>
    <w:rsid w:val="007D08CA"/>
    <w:rsid w:val="007D08EA"/>
    <w:rsid w:val="007D0940"/>
    <w:rsid w:val="007D0949"/>
    <w:rsid w:val="007D099A"/>
    <w:rsid w:val="007D09B9"/>
    <w:rsid w:val="007D0A02"/>
    <w:rsid w:val="007D0AB4"/>
    <w:rsid w:val="007D0AF4"/>
    <w:rsid w:val="007D0B35"/>
    <w:rsid w:val="007D0B71"/>
    <w:rsid w:val="007D0BA5"/>
    <w:rsid w:val="007D0BD4"/>
    <w:rsid w:val="007D0BEE"/>
    <w:rsid w:val="007D0C1B"/>
    <w:rsid w:val="007D0C73"/>
    <w:rsid w:val="007D0CFE"/>
    <w:rsid w:val="007D0D3C"/>
    <w:rsid w:val="007D0DA6"/>
    <w:rsid w:val="007D0DBE"/>
    <w:rsid w:val="007D0DF9"/>
    <w:rsid w:val="007D0E77"/>
    <w:rsid w:val="007D0E92"/>
    <w:rsid w:val="007D0F47"/>
    <w:rsid w:val="007D0F85"/>
    <w:rsid w:val="007D0FB9"/>
    <w:rsid w:val="007D1002"/>
    <w:rsid w:val="007D1047"/>
    <w:rsid w:val="007D104B"/>
    <w:rsid w:val="007D10A4"/>
    <w:rsid w:val="007D10BF"/>
    <w:rsid w:val="007D10C0"/>
    <w:rsid w:val="007D115C"/>
    <w:rsid w:val="007D11EC"/>
    <w:rsid w:val="007D11F9"/>
    <w:rsid w:val="007D123C"/>
    <w:rsid w:val="007D1243"/>
    <w:rsid w:val="007D1261"/>
    <w:rsid w:val="007D12A6"/>
    <w:rsid w:val="007D1337"/>
    <w:rsid w:val="007D13D1"/>
    <w:rsid w:val="007D13D7"/>
    <w:rsid w:val="007D140B"/>
    <w:rsid w:val="007D1418"/>
    <w:rsid w:val="007D1435"/>
    <w:rsid w:val="007D149C"/>
    <w:rsid w:val="007D150E"/>
    <w:rsid w:val="007D1515"/>
    <w:rsid w:val="007D1530"/>
    <w:rsid w:val="007D154B"/>
    <w:rsid w:val="007D1579"/>
    <w:rsid w:val="007D157E"/>
    <w:rsid w:val="007D15BF"/>
    <w:rsid w:val="007D15F3"/>
    <w:rsid w:val="007D1670"/>
    <w:rsid w:val="007D1674"/>
    <w:rsid w:val="007D16AC"/>
    <w:rsid w:val="007D16C2"/>
    <w:rsid w:val="007D16E2"/>
    <w:rsid w:val="007D172B"/>
    <w:rsid w:val="007D1822"/>
    <w:rsid w:val="007D182B"/>
    <w:rsid w:val="007D182F"/>
    <w:rsid w:val="007D1848"/>
    <w:rsid w:val="007D184D"/>
    <w:rsid w:val="007D18C8"/>
    <w:rsid w:val="007D18D8"/>
    <w:rsid w:val="007D18FB"/>
    <w:rsid w:val="007D1904"/>
    <w:rsid w:val="007D1931"/>
    <w:rsid w:val="007D19A1"/>
    <w:rsid w:val="007D1AE4"/>
    <w:rsid w:val="007D1B1B"/>
    <w:rsid w:val="007D1B54"/>
    <w:rsid w:val="007D1BC1"/>
    <w:rsid w:val="007D1BE3"/>
    <w:rsid w:val="007D1BEE"/>
    <w:rsid w:val="007D1C05"/>
    <w:rsid w:val="007D1C07"/>
    <w:rsid w:val="007D1C7C"/>
    <w:rsid w:val="007D1CF9"/>
    <w:rsid w:val="007D1D48"/>
    <w:rsid w:val="007D1D66"/>
    <w:rsid w:val="007D1DBE"/>
    <w:rsid w:val="007D1E50"/>
    <w:rsid w:val="007D1E5C"/>
    <w:rsid w:val="007D1EFF"/>
    <w:rsid w:val="007D1F44"/>
    <w:rsid w:val="007D1F7C"/>
    <w:rsid w:val="007D2095"/>
    <w:rsid w:val="007D2106"/>
    <w:rsid w:val="007D213D"/>
    <w:rsid w:val="007D215F"/>
    <w:rsid w:val="007D21BD"/>
    <w:rsid w:val="007D21D8"/>
    <w:rsid w:val="007D2203"/>
    <w:rsid w:val="007D2244"/>
    <w:rsid w:val="007D2285"/>
    <w:rsid w:val="007D22E9"/>
    <w:rsid w:val="007D2320"/>
    <w:rsid w:val="007D233F"/>
    <w:rsid w:val="007D2349"/>
    <w:rsid w:val="007D236C"/>
    <w:rsid w:val="007D23B5"/>
    <w:rsid w:val="007D23D5"/>
    <w:rsid w:val="007D2436"/>
    <w:rsid w:val="007D24F4"/>
    <w:rsid w:val="007D252C"/>
    <w:rsid w:val="007D262B"/>
    <w:rsid w:val="007D26D0"/>
    <w:rsid w:val="007D26E9"/>
    <w:rsid w:val="007D2735"/>
    <w:rsid w:val="007D275A"/>
    <w:rsid w:val="007D2776"/>
    <w:rsid w:val="007D27E9"/>
    <w:rsid w:val="007D284C"/>
    <w:rsid w:val="007D2865"/>
    <w:rsid w:val="007D287E"/>
    <w:rsid w:val="007D28BA"/>
    <w:rsid w:val="007D28D8"/>
    <w:rsid w:val="007D2991"/>
    <w:rsid w:val="007D299F"/>
    <w:rsid w:val="007D2A0D"/>
    <w:rsid w:val="007D2A11"/>
    <w:rsid w:val="007D2A38"/>
    <w:rsid w:val="007D2A3A"/>
    <w:rsid w:val="007D2B12"/>
    <w:rsid w:val="007D2B74"/>
    <w:rsid w:val="007D2C2F"/>
    <w:rsid w:val="007D2C5D"/>
    <w:rsid w:val="007D2CA0"/>
    <w:rsid w:val="007D2CE4"/>
    <w:rsid w:val="007D2D5F"/>
    <w:rsid w:val="007D2D73"/>
    <w:rsid w:val="007D2D9D"/>
    <w:rsid w:val="007D2DA4"/>
    <w:rsid w:val="007D2DF0"/>
    <w:rsid w:val="007D2E0D"/>
    <w:rsid w:val="007D2E21"/>
    <w:rsid w:val="007D2E36"/>
    <w:rsid w:val="007D2E5E"/>
    <w:rsid w:val="007D2EB9"/>
    <w:rsid w:val="007D2F16"/>
    <w:rsid w:val="007D2F1E"/>
    <w:rsid w:val="007D2F4E"/>
    <w:rsid w:val="007D2F50"/>
    <w:rsid w:val="007D2FD3"/>
    <w:rsid w:val="007D2FD5"/>
    <w:rsid w:val="007D3064"/>
    <w:rsid w:val="007D30B8"/>
    <w:rsid w:val="007D30EF"/>
    <w:rsid w:val="007D30FA"/>
    <w:rsid w:val="007D3118"/>
    <w:rsid w:val="007D3155"/>
    <w:rsid w:val="007D319D"/>
    <w:rsid w:val="007D3252"/>
    <w:rsid w:val="007D328B"/>
    <w:rsid w:val="007D32AC"/>
    <w:rsid w:val="007D32B8"/>
    <w:rsid w:val="007D32E3"/>
    <w:rsid w:val="007D33F9"/>
    <w:rsid w:val="007D3410"/>
    <w:rsid w:val="007D345C"/>
    <w:rsid w:val="007D3491"/>
    <w:rsid w:val="007D34A6"/>
    <w:rsid w:val="007D34B4"/>
    <w:rsid w:val="007D3505"/>
    <w:rsid w:val="007D351F"/>
    <w:rsid w:val="007D3575"/>
    <w:rsid w:val="007D35D1"/>
    <w:rsid w:val="007D35E3"/>
    <w:rsid w:val="007D3629"/>
    <w:rsid w:val="007D3665"/>
    <w:rsid w:val="007D36A6"/>
    <w:rsid w:val="007D36CE"/>
    <w:rsid w:val="007D3736"/>
    <w:rsid w:val="007D3811"/>
    <w:rsid w:val="007D391D"/>
    <w:rsid w:val="007D3920"/>
    <w:rsid w:val="007D3926"/>
    <w:rsid w:val="007D3951"/>
    <w:rsid w:val="007D39AF"/>
    <w:rsid w:val="007D39BF"/>
    <w:rsid w:val="007D3A2E"/>
    <w:rsid w:val="007D3A96"/>
    <w:rsid w:val="007D3AD4"/>
    <w:rsid w:val="007D3B36"/>
    <w:rsid w:val="007D3B3C"/>
    <w:rsid w:val="007D3B40"/>
    <w:rsid w:val="007D3B7F"/>
    <w:rsid w:val="007D3B90"/>
    <w:rsid w:val="007D3C09"/>
    <w:rsid w:val="007D3C0F"/>
    <w:rsid w:val="007D3C26"/>
    <w:rsid w:val="007D3C3B"/>
    <w:rsid w:val="007D3C76"/>
    <w:rsid w:val="007D3C85"/>
    <w:rsid w:val="007D3C90"/>
    <w:rsid w:val="007D3DDB"/>
    <w:rsid w:val="007D3DDF"/>
    <w:rsid w:val="007D3E10"/>
    <w:rsid w:val="007D3E21"/>
    <w:rsid w:val="007D3E2B"/>
    <w:rsid w:val="007D3E82"/>
    <w:rsid w:val="007D3EA2"/>
    <w:rsid w:val="007D3EE2"/>
    <w:rsid w:val="007D3F48"/>
    <w:rsid w:val="007D3F60"/>
    <w:rsid w:val="007D40D8"/>
    <w:rsid w:val="007D40F2"/>
    <w:rsid w:val="007D410B"/>
    <w:rsid w:val="007D4112"/>
    <w:rsid w:val="007D4122"/>
    <w:rsid w:val="007D4125"/>
    <w:rsid w:val="007D4137"/>
    <w:rsid w:val="007D4143"/>
    <w:rsid w:val="007D4151"/>
    <w:rsid w:val="007D4165"/>
    <w:rsid w:val="007D4193"/>
    <w:rsid w:val="007D41CC"/>
    <w:rsid w:val="007D41FB"/>
    <w:rsid w:val="007D422F"/>
    <w:rsid w:val="007D435D"/>
    <w:rsid w:val="007D438E"/>
    <w:rsid w:val="007D43B7"/>
    <w:rsid w:val="007D43C5"/>
    <w:rsid w:val="007D43FA"/>
    <w:rsid w:val="007D4469"/>
    <w:rsid w:val="007D449F"/>
    <w:rsid w:val="007D44B6"/>
    <w:rsid w:val="007D44D6"/>
    <w:rsid w:val="007D44E3"/>
    <w:rsid w:val="007D45A0"/>
    <w:rsid w:val="007D45E5"/>
    <w:rsid w:val="007D4614"/>
    <w:rsid w:val="007D46B2"/>
    <w:rsid w:val="007D46B7"/>
    <w:rsid w:val="007D477E"/>
    <w:rsid w:val="007D47B3"/>
    <w:rsid w:val="007D47EA"/>
    <w:rsid w:val="007D4809"/>
    <w:rsid w:val="007D4847"/>
    <w:rsid w:val="007D485B"/>
    <w:rsid w:val="007D4873"/>
    <w:rsid w:val="007D48E9"/>
    <w:rsid w:val="007D4903"/>
    <w:rsid w:val="007D495C"/>
    <w:rsid w:val="007D4973"/>
    <w:rsid w:val="007D49ED"/>
    <w:rsid w:val="007D4A17"/>
    <w:rsid w:val="007D4B26"/>
    <w:rsid w:val="007D4B5A"/>
    <w:rsid w:val="007D4B73"/>
    <w:rsid w:val="007D4BF2"/>
    <w:rsid w:val="007D4C1F"/>
    <w:rsid w:val="007D4C3F"/>
    <w:rsid w:val="007D4CA3"/>
    <w:rsid w:val="007D4CBC"/>
    <w:rsid w:val="007D4D6B"/>
    <w:rsid w:val="007D4DA3"/>
    <w:rsid w:val="007D4DE4"/>
    <w:rsid w:val="007D4E17"/>
    <w:rsid w:val="007D4E22"/>
    <w:rsid w:val="007D4E30"/>
    <w:rsid w:val="007D4E6C"/>
    <w:rsid w:val="007D4E98"/>
    <w:rsid w:val="007D4EF2"/>
    <w:rsid w:val="007D4F60"/>
    <w:rsid w:val="007D4F7A"/>
    <w:rsid w:val="007D4FD6"/>
    <w:rsid w:val="007D4FD7"/>
    <w:rsid w:val="007D500D"/>
    <w:rsid w:val="007D5046"/>
    <w:rsid w:val="007D50BD"/>
    <w:rsid w:val="007D50CC"/>
    <w:rsid w:val="007D50DA"/>
    <w:rsid w:val="007D50EF"/>
    <w:rsid w:val="007D5117"/>
    <w:rsid w:val="007D5183"/>
    <w:rsid w:val="007D5198"/>
    <w:rsid w:val="007D5297"/>
    <w:rsid w:val="007D529C"/>
    <w:rsid w:val="007D533F"/>
    <w:rsid w:val="007D53FC"/>
    <w:rsid w:val="007D540C"/>
    <w:rsid w:val="007D541A"/>
    <w:rsid w:val="007D5486"/>
    <w:rsid w:val="007D54A9"/>
    <w:rsid w:val="007D54B5"/>
    <w:rsid w:val="007D54DE"/>
    <w:rsid w:val="007D550A"/>
    <w:rsid w:val="007D5642"/>
    <w:rsid w:val="007D5756"/>
    <w:rsid w:val="007D57D7"/>
    <w:rsid w:val="007D57FC"/>
    <w:rsid w:val="007D582B"/>
    <w:rsid w:val="007D5862"/>
    <w:rsid w:val="007D587B"/>
    <w:rsid w:val="007D58E1"/>
    <w:rsid w:val="007D592B"/>
    <w:rsid w:val="007D594F"/>
    <w:rsid w:val="007D59BA"/>
    <w:rsid w:val="007D5AA2"/>
    <w:rsid w:val="007D5AA6"/>
    <w:rsid w:val="007D5B0A"/>
    <w:rsid w:val="007D5B1E"/>
    <w:rsid w:val="007D5B37"/>
    <w:rsid w:val="007D5B40"/>
    <w:rsid w:val="007D5B7A"/>
    <w:rsid w:val="007D5B92"/>
    <w:rsid w:val="007D5BA4"/>
    <w:rsid w:val="007D5BB1"/>
    <w:rsid w:val="007D5BE9"/>
    <w:rsid w:val="007D5BFB"/>
    <w:rsid w:val="007D5C92"/>
    <w:rsid w:val="007D5C9B"/>
    <w:rsid w:val="007D5D07"/>
    <w:rsid w:val="007D5D54"/>
    <w:rsid w:val="007D5D68"/>
    <w:rsid w:val="007D5E0D"/>
    <w:rsid w:val="007D5E39"/>
    <w:rsid w:val="007D5E65"/>
    <w:rsid w:val="007D5EA9"/>
    <w:rsid w:val="007D5F85"/>
    <w:rsid w:val="007D5FBA"/>
    <w:rsid w:val="007D5FDD"/>
    <w:rsid w:val="007D60C4"/>
    <w:rsid w:val="007D6111"/>
    <w:rsid w:val="007D6126"/>
    <w:rsid w:val="007D6190"/>
    <w:rsid w:val="007D620E"/>
    <w:rsid w:val="007D627E"/>
    <w:rsid w:val="007D6294"/>
    <w:rsid w:val="007D6318"/>
    <w:rsid w:val="007D632B"/>
    <w:rsid w:val="007D63AC"/>
    <w:rsid w:val="007D640A"/>
    <w:rsid w:val="007D649B"/>
    <w:rsid w:val="007D655B"/>
    <w:rsid w:val="007D659D"/>
    <w:rsid w:val="007D65A2"/>
    <w:rsid w:val="007D65C8"/>
    <w:rsid w:val="007D666D"/>
    <w:rsid w:val="007D666E"/>
    <w:rsid w:val="007D66AB"/>
    <w:rsid w:val="007D67B8"/>
    <w:rsid w:val="007D67C6"/>
    <w:rsid w:val="007D67D8"/>
    <w:rsid w:val="007D67EC"/>
    <w:rsid w:val="007D6824"/>
    <w:rsid w:val="007D6844"/>
    <w:rsid w:val="007D6884"/>
    <w:rsid w:val="007D68AE"/>
    <w:rsid w:val="007D68EB"/>
    <w:rsid w:val="007D690B"/>
    <w:rsid w:val="007D6933"/>
    <w:rsid w:val="007D6A0C"/>
    <w:rsid w:val="007D6A51"/>
    <w:rsid w:val="007D6A96"/>
    <w:rsid w:val="007D6AB0"/>
    <w:rsid w:val="007D6B08"/>
    <w:rsid w:val="007D6B33"/>
    <w:rsid w:val="007D6B45"/>
    <w:rsid w:val="007D6B55"/>
    <w:rsid w:val="007D6B6B"/>
    <w:rsid w:val="007D6BB8"/>
    <w:rsid w:val="007D6C09"/>
    <w:rsid w:val="007D6C57"/>
    <w:rsid w:val="007D6C82"/>
    <w:rsid w:val="007D6C93"/>
    <w:rsid w:val="007D6DD5"/>
    <w:rsid w:val="007D6E26"/>
    <w:rsid w:val="007D6E42"/>
    <w:rsid w:val="007D6E4E"/>
    <w:rsid w:val="007D6E75"/>
    <w:rsid w:val="007D6EA6"/>
    <w:rsid w:val="007D6EE9"/>
    <w:rsid w:val="007D6F08"/>
    <w:rsid w:val="007D6F7B"/>
    <w:rsid w:val="007D6FC2"/>
    <w:rsid w:val="007D6FE7"/>
    <w:rsid w:val="007D6FF1"/>
    <w:rsid w:val="007D7011"/>
    <w:rsid w:val="007D701F"/>
    <w:rsid w:val="007D7048"/>
    <w:rsid w:val="007D704D"/>
    <w:rsid w:val="007D70A0"/>
    <w:rsid w:val="007D7111"/>
    <w:rsid w:val="007D7113"/>
    <w:rsid w:val="007D715C"/>
    <w:rsid w:val="007D716E"/>
    <w:rsid w:val="007D7221"/>
    <w:rsid w:val="007D724C"/>
    <w:rsid w:val="007D727F"/>
    <w:rsid w:val="007D7299"/>
    <w:rsid w:val="007D7346"/>
    <w:rsid w:val="007D7352"/>
    <w:rsid w:val="007D7357"/>
    <w:rsid w:val="007D73E5"/>
    <w:rsid w:val="007D73EB"/>
    <w:rsid w:val="007D742B"/>
    <w:rsid w:val="007D748D"/>
    <w:rsid w:val="007D74B7"/>
    <w:rsid w:val="007D758C"/>
    <w:rsid w:val="007D75C3"/>
    <w:rsid w:val="007D7622"/>
    <w:rsid w:val="007D7624"/>
    <w:rsid w:val="007D7669"/>
    <w:rsid w:val="007D76A2"/>
    <w:rsid w:val="007D76A9"/>
    <w:rsid w:val="007D76E5"/>
    <w:rsid w:val="007D7752"/>
    <w:rsid w:val="007D7756"/>
    <w:rsid w:val="007D786D"/>
    <w:rsid w:val="007D788C"/>
    <w:rsid w:val="007D78A4"/>
    <w:rsid w:val="007D78E2"/>
    <w:rsid w:val="007D7919"/>
    <w:rsid w:val="007D793C"/>
    <w:rsid w:val="007D7988"/>
    <w:rsid w:val="007D799C"/>
    <w:rsid w:val="007D799D"/>
    <w:rsid w:val="007D79A7"/>
    <w:rsid w:val="007D7A46"/>
    <w:rsid w:val="007D7A47"/>
    <w:rsid w:val="007D7A51"/>
    <w:rsid w:val="007D7A8B"/>
    <w:rsid w:val="007D7A91"/>
    <w:rsid w:val="007D7B11"/>
    <w:rsid w:val="007D7B56"/>
    <w:rsid w:val="007D7B64"/>
    <w:rsid w:val="007D7B82"/>
    <w:rsid w:val="007D7BCC"/>
    <w:rsid w:val="007D7BEA"/>
    <w:rsid w:val="007D7C27"/>
    <w:rsid w:val="007D7CBA"/>
    <w:rsid w:val="007D7D05"/>
    <w:rsid w:val="007D7D82"/>
    <w:rsid w:val="007D7DC4"/>
    <w:rsid w:val="007D7DDE"/>
    <w:rsid w:val="007D7E0A"/>
    <w:rsid w:val="007D7E48"/>
    <w:rsid w:val="007D7F0C"/>
    <w:rsid w:val="007D7F14"/>
    <w:rsid w:val="007D7F2E"/>
    <w:rsid w:val="007D7F3D"/>
    <w:rsid w:val="007D7F77"/>
    <w:rsid w:val="007D7F84"/>
    <w:rsid w:val="007D7FA1"/>
    <w:rsid w:val="007D7FE5"/>
    <w:rsid w:val="007E002B"/>
    <w:rsid w:val="007E009F"/>
    <w:rsid w:val="007E014D"/>
    <w:rsid w:val="007E017C"/>
    <w:rsid w:val="007E01F1"/>
    <w:rsid w:val="007E020A"/>
    <w:rsid w:val="007E020C"/>
    <w:rsid w:val="007E02F0"/>
    <w:rsid w:val="007E0324"/>
    <w:rsid w:val="007E034E"/>
    <w:rsid w:val="007E0352"/>
    <w:rsid w:val="007E036F"/>
    <w:rsid w:val="007E03C5"/>
    <w:rsid w:val="007E03E0"/>
    <w:rsid w:val="007E03FE"/>
    <w:rsid w:val="007E042D"/>
    <w:rsid w:val="007E048A"/>
    <w:rsid w:val="007E04A6"/>
    <w:rsid w:val="007E04BA"/>
    <w:rsid w:val="007E04E7"/>
    <w:rsid w:val="007E0507"/>
    <w:rsid w:val="007E051B"/>
    <w:rsid w:val="007E0539"/>
    <w:rsid w:val="007E0555"/>
    <w:rsid w:val="007E05B8"/>
    <w:rsid w:val="007E0628"/>
    <w:rsid w:val="007E062E"/>
    <w:rsid w:val="007E065B"/>
    <w:rsid w:val="007E0695"/>
    <w:rsid w:val="007E06EA"/>
    <w:rsid w:val="007E06FB"/>
    <w:rsid w:val="007E073F"/>
    <w:rsid w:val="007E0757"/>
    <w:rsid w:val="007E0816"/>
    <w:rsid w:val="007E0872"/>
    <w:rsid w:val="007E0892"/>
    <w:rsid w:val="007E08B7"/>
    <w:rsid w:val="007E08DB"/>
    <w:rsid w:val="007E08DD"/>
    <w:rsid w:val="007E08EC"/>
    <w:rsid w:val="007E0A0F"/>
    <w:rsid w:val="007E0A18"/>
    <w:rsid w:val="007E0A63"/>
    <w:rsid w:val="007E0A7A"/>
    <w:rsid w:val="007E0B19"/>
    <w:rsid w:val="007E0B9D"/>
    <w:rsid w:val="007E0C35"/>
    <w:rsid w:val="007E0CC7"/>
    <w:rsid w:val="007E0CDA"/>
    <w:rsid w:val="007E0CF0"/>
    <w:rsid w:val="007E0DA1"/>
    <w:rsid w:val="007E0DCA"/>
    <w:rsid w:val="007E0E07"/>
    <w:rsid w:val="007E0E79"/>
    <w:rsid w:val="007E0E99"/>
    <w:rsid w:val="007E0EB9"/>
    <w:rsid w:val="007E0F05"/>
    <w:rsid w:val="007E104D"/>
    <w:rsid w:val="007E112E"/>
    <w:rsid w:val="007E1176"/>
    <w:rsid w:val="007E117C"/>
    <w:rsid w:val="007E11F7"/>
    <w:rsid w:val="007E1238"/>
    <w:rsid w:val="007E124F"/>
    <w:rsid w:val="007E1282"/>
    <w:rsid w:val="007E1294"/>
    <w:rsid w:val="007E1353"/>
    <w:rsid w:val="007E136D"/>
    <w:rsid w:val="007E13AD"/>
    <w:rsid w:val="007E145E"/>
    <w:rsid w:val="007E146F"/>
    <w:rsid w:val="007E1486"/>
    <w:rsid w:val="007E14C5"/>
    <w:rsid w:val="007E14EF"/>
    <w:rsid w:val="007E1564"/>
    <w:rsid w:val="007E1575"/>
    <w:rsid w:val="007E15AD"/>
    <w:rsid w:val="007E160E"/>
    <w:rsid w:val="007E1623"/>
    <w:rsid w:val="007E1690"/>
    <w:rsid w:val="007E16C7"/>
    <w:rsid w:val="007E17E4"/>
    <w:rsid w:val="007E1856"/>
    <w:rsid w:val="007E1873"/>
    <w:rsid w:val="007E189B"/>
    <w:rsid w:val="007E18F0"/>
    <w:rsid w:val="007E191C"/>
    <w:rsid w:val="007E19A7"/>
    <w:rsid w:val="007E1A00"/>
    <w:rsid w:val="007E1A04"/>
    <w:rsid w:val="007E1B9D"/>
    <w:rsid w:val="007E1BBD"/>
    <w:rsid w:val="007E1BE0"/>
    <w:rsid w:val="007E1C3A"/>
    <w:rsid w:val="007E1C43"/>
    <w:rsid w:val="007E1C50"/>
    <w:rsid w:val="007E1CCE"/>
    <w:rsid w:val="007E1CD7"/>
    <w:rsid w:val="007E1D21"/>
    <w:rsid w:val="007E1DBC"/>
    <w:rsid w:val="007E1E1E"/>
    <w:rsid w:val="007E1E83"/>
    <w:rsid w:val="007E1E84"/>
    <w:rsid w:val="007E1F1D"/>
    <w:rsid w:val="007E1F24"/>
    <w:rsid w:val="007E1F29"/>
    <w:rsid w:val="007E1F38"/>
    <w:rsid w:val="007E1F94"/>
    <w:rsid w:val="007E1FD5"/>
    <w:rsid w:val="007E2008"/>
    <w:rsid w:val="007E2041"/>
    <w:rsid w:val="007E20CE"/>
    <w:rsid w:val="007E20E9"/>
    <w:rsid w:val="007E20F4"/>
    <w:rsid w:val="007E20FB"/>
    <w:rsid w:val="007E2103"/>
    <w:rsid w:val="007E2121"/>
    <w:rsid w:val="007E21E9"/>
    <w:rsid w:val="007E21ED"/>
    <w:rsid w:val="007E21EF"/>
    <w:rsid w:val="007E223B"/>
    <w:rsid w:val="007E2278"/>
    <w:rsid w:val="007E2298"/>
    <w:rsid w:val="007E22D6"/>
    <w:rsid w:val="007E233F"/>
    <w:rsid w:val="007E23C1"/>
    <w:rsid w:val="007E240D"/>
    <w:rsid w:val="007E2437"/>
    <w:rsid w:val="007E2499"/>
    <w:rsid w:val="007E24C6"/>
    <w:rsid w:val="007E2513"/>
    <w:rsid w:val="007E251F"/>
    <w:rsid w:val="007E2593"/>
    <w:rsid w:val="007E25B7"/>
    <w:rsid w:val="007E260A"/>
    <w:rsid w:val="007E2647"/>
    <w:rsid w:val="007E2669"/>
    <w:rsid w:val="007E26A2"/>
    <w:rsid w:val="007E2714"/>
    <w:rsid w:val="007E271A"/>
    <w:rsid w:val="007E2725"/>
    <w:rsid w:val="007E279B"/>
    <w:rsid w:val="007E27A3"/>
    <w:rsid w:val="007E27CF"/>
    <w:rsid w:val="007E281E"/>
    <w:rsid w:val="007E28A3"/>
    <w:rsid w:val="007E28D0"/>
    <w:rsid w:val="007E2904"/>
    <w:rsid w:val="007E29DD"/>
    <w:rsid w:val="007E2A3C"/>
    <w:rsid w:val="007E2AA8"/>
    <w:rsid w:val="007E2AE9"/>
    <w:rsid w:val="007E2AF4"/>
    <w:rsid w:val="007E2B2E"/>
    <w:rsid w:val="007E2B85"/>
    <w:rsid w:val="007E2BBE"/>
    <w:rsid w:val="007E2BC5"/>
    <w:rsid w:val="007E2C11"/>
    <w:rsid w:val="007E2C16"/>
    <w:rsid w:val="007E2C17"/>
    <w:rsid w:val="007E2C4A"/>
    <w:rsid w:val="007E2C68"/>
    <w:rsid w:val="007E2CD4"/>
    <w:rsid w:val="007E2D8A"/>
    <w:rsid w:val="007E2DDE"/>
    <w:rsid w:val="007E2E02"/>
    <w:rsid w:val="007E2ED1"/>
    <w:rsid w:val="007E2EE6"/>
    <w:rsid w:val="007E2F24"/>
    <w:rsid w:val="007E2F66"/>
    <w:rsid w:val="007E3019"/>
    <w:rsid w:val="007E307B"/>
    <w:rsid w:val="007E30A7"/>
    <w:rsid w:val="007E30AB"/>
    <w:rsid w:val="007E30B8"/>
    <w:rsid w:val="007E310C"/>
    <w:rsid w:val="007E3130"/>
    <w:rsid w:val="007E313B"/>
    <w:rsid w:val="007E3197"/>
    <w:rsid w:val="007E3236"/>
    <w:rsid w:val="007E3314"/>
    <w:rsid w:val="007E33AC"/>
    <w:rsid w:val="007E33B4"/>
    <w:rsid w:val="007E33BB"/>
    <w:rsid w:val="007E33CE"/>
    <w:rsid w:val="007E3437"/>
    <w:rsid w:val="007E3485"/>
    <w:rsid w:val="007E34C2"/>
    <w:rsid w:val="007E34CC"/>
    <w:rsid w:val="007E34FA"/>
    <w:rsid w:val="007E3518"/>
    <w:rsid w:val="007E3562"/>
    <w:rsid w:val="007E3563"/>
    <w:rsid w:val="007E35AF"/>
    <w:rsid w:val="007E35D6"/>
    <w:rsid w:val="007E35E1"/>
    <w:rsid w:val="007E361A"/>
    <w:rsid w:val="007E3640"/>
    <w:rsid w:val="007E36BA"/>
    <w:rsid w:val="007E372A"/>
    <w:rsid w:val="007E374B"/>
    <w:rsid w:val="007E384A"/>
    <w:rsid w:val="007E38C1"/>
    <w:rsid w:val="007E3953"/>
    <w:rsid w:val="007E3990"/>
    <w:rsid w:val="007E39A9"/>
    <w:rsid w:val="007E39E6"/>
    <w:rsid w:val="007E39F8"/>
    <w:rsid w:val="007E3A11"/>
    <w:rsid w:val="007E3A1D"/>
    <w:rsid w:val="007E3A3D"/>
    <w:rsid w:val="007E3A40"/>
    <w:rsid w:val="007E3A5F"/>
    <w:rsid w:val="007E3A63"/>
    <w:rsid w:val="007E3AAC"/>
    <w:rsid w:val="007E3ABB"/>
    <w:rsid w:val="007E3BD4"/>
    <w:rsid w:val="007E3C22"/>
    <w:rsid w:val="007E3C29"/>
    <w:rsid w:val="007E3CF9"/>
    <w:rsid w:val="007E3D3C"/>
    <w:rsid w:val="007E3D57"/>
    <w:rsid w:val="007E3DBC"/>
    <w:rsid w:val="007E3DCE"/>
    <w:rsid w:val="007E3DD0"/>
    <w:rsid w:val="007E3E00"/>
    <w:rsid w:val="007E3EF7"/>
    <w:rsid w:val="007E3EFE"/>
    <w:rsid w:val="007E3F01"/>
    <w:rsid w:val="007E3F1B"/>
    <w:rsid w:val="007E3F3A"/>
    <w:rsid w:val="007E3F65"/>
    <w:rsid w:val="007E4074"/>
    <w:rsid w:val="007E4144"/>
    <w:rsid w:val="007E415F"/>
    <w:rsid w:val="007E41F2"/>
    <w:rsid w:val="007E4226"/>
    <w:rsid w:val="007E4329"/>
    <w:rsid w:val="007E43C5"/>
    <w:rsid w:val="007E43F2"/>
    <w:rsid w:val="007E452B"/>
    <w:rsid w:val="007E4556"/>
    <w:rsid w:val="007E4589"/>
    <w:rsid w:val="007E45A9"/>
    <w:rsid w:val="007E45DC"/>
    <w:rsid w:val="007E4620"/>
    <w:rsid w:val="007E46E7"/>
    <w:rsid w:val="007E46EE"/>
    <w:rsid w:val="007E471B"/>
    <w:rsid w:val="007E473C"/>
    <w:rsid w:val="007E4742"/>
    <w:rsid w:val="007E474E"/>
    <w:rsid w:val="007E47F8"/>
    <w:rsid w:val="007E48D6"/>
    <w:rsid w:val="007E48FF"/>
    <w:rsid w:val="007E49C5"/>
    <w:rsid w:val="007E4A00"/>
    <w:rsid w:val="007E4A7D"/>
    <w:rsid w:val="007E4A84"/>
    <w:rsid w:val="007E4A8E"/>
    <w:rsid w:val="007E4AC0"/>
    <w:rsid w:val="007E4AF3"/>
    <w:rsid w:val="007E4B02"/>
    <w:rsid w:val="007E4B6A"/>
    <w:rsid w:val="007E4B9A"/>
    <w:rsid w:val="007E4BA1"/>
    <w:rsid w:val="007E4CF3"/>
    <w:rsid w:val="007E4E32"/>
    <w:rsid w:val="007E4E5E"/>
    <w:rsid w:val="007E4F0B"/>
    <w:rsid w:val="007E4F12"/>
    <w:rsid w:val="007E4F55"/>
    <w:rsid w:val="007E4F72"/>
    <w:rsid w:val="007E4F7D"/>
    <w:rsid w:val="007E4F92"/>
    <w:rsid w:val="007E4FA5"/>
    <w:rsid w:val="007E4FC0"/>
    <w:rsid w:val="007E501A"/>
    <w:rsid w:val="007E501E"/>
    <w:rsid w:val="007E501F"/>
    <w:rsid w:val="007E5036"/>
    <w:rsid w:val="007E50A0"/>
    <w:rsid w:val="007E5119"/>
    <w:rsid w:val="007E5127"/>
    <w:rsid w:val="007E51A8"/>
    <w:rsid w:val="007E5216"/>
    <w:rsid w:val="007E5241"/>
    <w:rsid w:val="007E5275"/>
    <w:rsid w:val="007E52CE"/>
    <w:rsid w:val="007E52DA"/>
    <w:rsid w:val="007E52E1"/>
    <w:rsid w:val="007E52E7"/>
    <w:rsid w:val="007E5353"/>
    <w:rsid w:val="007E536D"/>
    <w:rsid w:val="007E537E"/>
    <w:rsid w:val="007E53A5"/>
    <w:rsid w:val="007E53AE"/>
    <w:rsid w:val="007E53B7"/>
    <w:rsid w:val="007E54B9"/>
    <w:rsid w:val="007E54E6"/>
    <w:rsid w:val="007E54F6"/>
    <w:rsid w:val="007E5537"/>
    <w:rsid w:val="007E553A"/>
    <w:rsid w:val="007E5558"/>
    <w:rsid w:val="007E55A4"/>
    <w:rsid w:val="007E55C7"/>
    <w:rsid w:val="007E55D0"/>
    <w:rsid w:val="007E55E0"/>
    <w:rsid w:val="007E56B3"/>
    <w:rsid w:val="007E56D7"/>
    <w:rsid w:val="007E571A"/>
    <w:rsid w:val="007E5732"/>
    <w:rsid w:val="007E584D"/>
    <w:rsid w:val="007E58A5"/>
    <w:rsid w:val="007E590E"/>
    <w:rsid w:val="007E5939"/>
    <w:rsid w:val="007E5995"/>
    <w:rsid w:val="007E59B5"/>
    <w:rsid w:val="007E59EF"/>
    <w:rsid w:val="007E5A79"/>
    <w:rsid w:val="007E5ACE"/>
    <w:rsid w:val="007E5B8A"/>
    <w:rsid w:val="007E5C4A"/>
    <w:rsid w:val="007E5C78"/>
    <w:rsid w:val="007E5D20"/>
    <w:rsid w:val="007E5D2A"/>
    <w:rsid w:val="007E5D4D"/>
    <w:rsid w:val="007E5E56"/>
    <w:rsid w:val="007E5E8D"/>
    <w:rsid w:val="007E5EDE"/>
    <w:rsid w:val="007E5EE5"/>
    <w:rsid w:val="007E5F5A"/>
    <w:rsid w:val="007E5F62"/>
    <w:rsid w:val="007E5F7C"/>
    <w:rsid w:val="007E5F98"/>
    <w:rsid w:val="007E5FA0"/>
    <w:rsid w:val="007E6098"/>
    <w:rsid w:val="007E61B5"/>
    <w:rsid w:val="007E6207"/>
    <w:rsid w:val="007E625E"/>
    <w:rsid w:val="007E62A3"/>
    <w:rsid w:val="007E62DE"/>
    <w:rsid w:val="007E6320"/>
    <w:rsid w:val="007E63FD"/>
    <w:rsid w:val="007E642C"/>
    <w:rsid w:val="007E6451"/>
    <w:rsid w:val="007E6456"/>
    <w:rsid w:val="007E648D"/>
    <w:rsid w:val="007E64BF"/>
    <w:rsid w:val="007E64F6"/>
    <w:rsid w:val="007E6534"/>
    <w:rsid w:val="007E658A"/>
    <w:rsid w:val="007E6607"/>
    <w:rsid w:val="007E6614"/>
    <w:rsid w:val="007E6663"/>
    <w:rsid w:val="007E6684"/>
    <w:rsid w:val="007E668B"/>
    <w:rsid w:val="007E66AF"/>
    <w:rsid w:val="007E66D7"/>
    <w:rsid w:val="007E6754"/>
    <w:rsid w:val="007E6777"/>
    <w:rsid w:val="007E687E"/>
    <w:rsid w:val="007E6897"/>
    <w:rsid w:val="007E6898"/>
    <w:rsid w:val="007E68BF"/>
    <w:rsid w:val="007E68D8"/>
    <w:rsid w:val="007E6917"/>
    <w:rsid w:val="007E694A"/>
    <w:rsid w:val="007E69FD"/>
    <w:rsid w:val="007E6A04"/>
    <w:rsid w:val="007E6A2E"/>
    <w:rsid w:val="007E6A3E"/>
    <w:rsid w:val="007E6A4D"/>
    <w:rsid w:val="007E6A66"/>
    <w:rsid w:val="007E6A8C"/>
    <w:rsid w:val="007E6AA2"/>
    <w:rsid w:val="007E6B1E"/>
    <w:rsid w:val="007E6B2D"/>
    <w:rsid w:val="007E6B5B"/>
    <w:rsid w:val="007E6BAE"/>
    <w:rsid w:val="007E6C04"/>
    <w:rsid w:val="007E6C5F"/>
    <w:rsid w:val="007E6C8D"/>
    <w:rsid w:val="007E6CDB"/>
    <w:rsid w:val="007E6CED"/>
    <w:rsid w:val="007E6D2E"/>
    <w:rsid w:val="007E6D4E"/>
    <w:rsid w:val="007E6D91"/>
    <w:rsid w:val="007E6D94"/>
    <w:rsid w:val="007E6E32"/>
    <w:rsid w:val="007E6E5C"/>
    <w:rsid w:val="007E6EAE"/>
    <w:rsid w:val="007E6F01"/>
    <w:rsid w:val="007E6FAC"/>
    <w:rsid w:val="007E6FB1"/>
    <w:rsid w:val="007E6FF8"/>
    <w:rsid w:val="007E7034"/>
    <w:rsid w:val="007E705F"/>
    <w:rsid w:val="007E70CB"/>
    <w:rsid w:val="007E70E5"/>
    <w:rsid w:val="007E7122"/>
    <w:rsid w:val="007E71C2"/>
    <w:rsid w:val="007E724C"/>
    <w:rsid w:val="007E72A4"/>
    <w:rsid w:val="007E72E5"/>
    <w:rsid w:val="007E7360"/>
    <w:rsid w:val="007E737C"/>
    <w:rsid w:val="007E73EB"/>
    <w:rsid w:val="007E75E7"/>
    <w:rsid w:val="007E76CE"/>
    <w:rsid w:val="007E76ED"/>
    <w:rsid w:val="007E772D"/>
    <w:rsid w:val="007E7741"/>
    <w:rsid w:val="007E778F"/>
    <w:rsid w:val="007E77B2"/>
    <w:rsid w:val="007E77E6"/>
    <w:rsid w:val="007E780F"/>
    <w:rsid w:val="007E783A"/>
    <w:rsid w:val="007E788D"/>
    <w:rsid w:val="007E78C9"/>
    <w:rsid w:val="007E78D9"/>
    <w:rsid w:val="007E78F9"/>
    <w:rsid w:val="007E795B"/>
    <w:rsid w:val="007E79DD"/>
    <w:rsid w:val="007E7A83"/>
    <w:rsid w:val="007E7AD7"/>
    <w:rsid w:val="007E7B09"/>
    <w:rsid w:val="007E7B43"/>
    <w:rsid w:val="007E7B4D"/>
    <w:rsid w:val="007E7B73"/>
    <w:rsid w:val="007E7BAA"/>
    <w:rsid w:val="007E7C0A"/>
    <w:rsid w:val="007E7C40"/>
    <w:rsid w:val="007E7C85"/>
    <w:rsid w:val="007E7D76"/>
    <w:rsid w:val="007E7DFD"/>
    <w:rsid w:val="007E7E04"/>
    <w:rsid w:val="007E7EEB"/>
    <w:rsid w:val="007E7F4E"/>
    <w:rsid w:val="007E7F67"/>
    <w:rsid w:val="007E7FA4"/>
    <w:rsid w:val="007E7FD7"/>
    <w:rsid w:val="007F0001"/>
    <w:rsid w:val="007F0041"/>
    <w:rsid w:val="007F008F"/>
    <w:rsid w:val="007F0092"/>
    <w:rsid w:val="007F00C0"/>
    <w:rsid w:val="007F0107"/>
    <w:rsid w:val="007F012B"/>
    <w:rsid w:val="007F01BA"/>
    <w:rsid w:val="007F01D1"/>
    <w:rsid w:val="007F01FF"/>
    <w:rsid w:val="007F0286"/>
    <w:rsid w:val="007F03FA"/>
    <w:rsid w:val="007F0418"/>
    <w:rsid w:val="007F041A"/>
    <w:rsid w:val="007F0474"/>
    <w:rsid w:val="007F04CE"/>
    <w:rsid w:val="007F04E9"/>
    <w:rsid w:val="007F04EE"/>
    <w:rsid w:val="007F0538"/>
    <w:rsid w:val="007F0554"/>
    <w:rsid w:val="007F061B"/>
    <w:rsid w:val="007F0628"/>
    <w:rsid w:val="007F06D5"/>
    <w:rsid w:val="007F07E2"/>
    <w:rsid w:val="007F07E6"/>
    <w:rsid w:val="007F088B"/>
    <w:rsid w:val="007F090B"/>
    <w:rsid w:val="007F09A4"/>
    <w:rsid w:val="007F09D8"/>
    <w:rsid w:val="007F0A09"/>
    <w:rsid w:val="007F0A28"/>
    <w:rsid w:val="007F0A30"/>
    <w:rsid w:val="007F0A77"/>
    <w:rsid w:val="007F0AD1"/>
    <w:rsid w:val="007F0B01"/>
    <w:rsid w:val="007F0B34"/>
    <w:rsid w:val="007F0B9B"/>
    <w:rsid w:val="007F0BD7"/>
    <w:rsid w:val="007F0CC0"/>
    <w:rsid w:val="007F0CD2"/>
    <w:rsid w:val="007F0CFA"/>
    <w:rsid w:val="007F0D13"/>
    <w:rsid w:val="007F0D2D"/>
    <w:rsid w:val="007F0DDB"/>
    <w:rsid w:val="007F0DF7"/>
    <w:rsid w:val="007F0E15"/>
    <w:rsid w:val="007F0EB9"/>
    <w:rsid w:val="007F0ED7"/>
    <w:rsid w:val="007F0F29"/>
    <w:rsid w:val="007F0F52"/>
    <w:rsid w:val="007F0F62"/>
    <w:rsid w:val="007F0F74"/>
    <w:rsid w:val="007F0FAA"/>
    <w:rsid w:val="007F0FAB"/>
    <w:rsid w:val="007F0FEC"/>
    <w:rsid w:val="007F0FF6"/>
    <w:rsid w:val="007F100E"/>
    <w:rsid w:val="007F1091"/>
    <w:rsid w:val="007F10E3"/>
    <w:rsid w:val="007F1103"/>
    <w:rsid w:val="007F112F"/>
    <w:rsid w:val="007F113E"/>
    <w:rsid w:val="007F117B"/>
    <w:rsid w:val="007F119A"/>
    <w:rsid w:val="007F1285"/>
    <w:rsid w:val="007F12ED"/>
    <w:rsid w:val="007F1356"/>
    <w:rsid w:val="007F13B8"/>
    <w:rsid w:val="007F140E"/>
    <w:rsid w:val="007F140F"/>
    <w:rsid w:val="007F1490"/>
    <w:rsid w:val="007F14A3"/>
    <w:rsid w:val="007F14F6"/>
    <w:rsid w:val="007F1500"/>
    <w:rsid w:val="007F1562"/>
    <w:rsid w:val="007F15ED"/>
    <w:rsid w:val="007F15F2"/>
    <w:rsid w:val="007F1613"/>
    <w:rsid w:val="007F1616"/>
    <w:rsid w:val="007F1628"/>
    <w:rsid w:val="007F1650"/>
    <w:rsid w:val="007F1664"/>
    <w:rsid w:val="007F1672"/>
    <w:rsid w:val="007F170A"/>
    <w:rsid w:val="007F1730"/>
    <w:rsid w:val="007F176C"/>
    <w:rsid w:val="007F17CB"/>
    <w:rsid w:val="007F17E7"/>
    <w:rsid w:val="007F17FF"/>
    <w:rsid w:val="007F1839"/>
    <w:rsid w:val="007F1857"/>
    <w:rsid w:val="007F188A"/>
    <w:rsid w:val="007F18A4"/>
    <w:rsid w:val="007F18C2"/>
    <w:rsid w:val="007F18F9"/>
    <w:rsid w:val="007F192A"/>
    <w:rsid w:val="007F194A"/>
    <w:rsid w:val="007F1954"/>
    <w:rsid w:val="007F1A26"/>
    <w:rsid w:val="007F1A45"/>
    <w:rsid w:val="007F1A9A"/>
    <w:rsid w:val="007F1B22"/>
    <w:rsid w:val="007F1B30"/>
    <w:rsid w:val="007F1C64"/>
    <w:rsid w:val="007F1CFF"/>
    <w:rsid w:val="007F1DAD"/>
    <w:rsid w:val="007F1E17"/>
    <w:rsid w:val="007F1E23"/>
    <w:rsid w:val="007F1E52"/>
    <w:rsid w:val="007F1E70"/>
    <w:rsid w:val="007F1E8D"/>
    <w:rsid w:val="007F1F24"/>
    <w:rsid w:val="007F1F30"/>
    <w:rsid w:val="007F204E"/>
    <w:rsid w:val="007F2077"/>
    <w:rsid w:val="007F2089"/>
    <w:rsid w:val="007F209B"/>
    <w:rsid w:val="007F20A1"/>
    <w:rsid w:val="007F20AB"/>
    <w:rsid w:val="007F20BB"/>
    <w:rsid w:val="007F20C1"/>
    <w:rsid w:val="007F20C4"/>
    <w:rsid w:val="007F2150"/>
    <w:rsid w:val="007F218F"/>
    <w:rsid w:val="007F2190"/>
    <w:rsid w:val="007F21AB"/>
    <w:rsid w:val="007F2235"/>
    <w:rsid w:val="007F225B"/>
    <w:rsid w:val="007F225C"/>
    <w:rsid w:val="007F229F"/>
    <w:rsid w:val="007F22DB"/>
    <w:rsid w:val="007F2324"/>
    <w:rsid w:val="007F2359"/>
    <w:rsid w:val="007F2373"/>
    <w:rsid w:val="007F2377"/>
    <w:rsid w:val="007F23CF"/>
    <w:rsid w:val="007F245E"/>
    <w:rsid w:val="007F2504"/>
    <w:rsid w:val="007F251A"/>
    <w:rsid w:val="007F2532"/>
    <w:rsid w:val="007F2579"/>
    <w:rsid w:val="007F269F"/>
    <w:rsid w:val="007F26AA"/>
    <w:rsid w:val="007F26B7"/>
    <w:rsid w:val="007F2716"/>
    <w:rsid w:val="007F271B"/>
    <w:rsid w:val="007F2732"/>
    <w:rsid w:val="007F2776"/>
    <w:rsid w:val="007F2777"/>
    <w:rsid w:val="007F27A2"/>
    <w:rsid w:val="007F27F3"/>
    <w:rsid w:val="007F27F6"/>
    <w:rsid w:val="007F27FF"/>
    <w:rsid w:val="007F2875"/>
    <w:rsid w:val="007F2916"/>
    <w:rsid w:val="007F2923"/>
    <w:rsid w:val="007F2929"/>
    <w:rsid w:val="007F293C"/>
    <w:rsid w:val="007F2978"/>
    <w:rsid w:val="007F299C"/>
    <w:rsid w:val="007F29CE"/>
    <w:rsid w:val="007F29D4"/>
    <w:rsid w:val="007F29DD"/>
    <w:rsid w:val="007F2A10"/>
    <w:rsid w:val="007F2A38"/>
    <w:rsid w:val="007F2A8A"/>
    <w:rsid w:val="007F2AF2"/>
    <w:rsid w:val="007F2B21"/>
    <w:rsid w:val="007F2B23"/>
    <w:rsid w:val="007F2DC6"/>
    <w:rsid w:val="007F2DCD"/>
    <w:rsid w:val="007F2DD6"/>
    <w:rsid w:val="007F2DF4"/>
    <w:rsid w:val="007F2EDD"/>
    <w:rsid w:val="007F2F2E"/>
    <w:rsid w:val="007F2FA5"/>
    <w:rsid w:val="007F3001"/>
    <w:rsid w:val="007F306A"/>
    <w:rsid w:val="007F30F8"/>
    <w:rsid w:val="007F3157"/>
    <w:rsid w:val="007F317B"/>
    <w:rsid w:val="007F317C"/>
    <w:rsid w:val="007F31BC"/>
    <w:rsid w:val="007F31F9"/>
    <w:rsid w:val="007F3261"/>
    <w:rsid w:val="007F32B2"/>
    <w:rsid w:val="007F32D2"/>
    <w:rsid w:val="007F32FA"/>
    <w:rsid w:val="007F331C"/>
    <w:rsid w:val="007F3336"/>
    <w:rsid w:val="007F3347"/>
    <w:rsid w:val="007F339C"/>
    <w:rsid w:val="007F33B5"/>
    <w:rsid w:val="007F33BA"/>
    <w:rsid w:val="007F33C7"/>
    <w:rsid w:val="007F34B7"/>
    <w:rsid w:val="007F34CE"/>
    <w:rsid w:val="007F34F1"/>
    <w:rsid w:val="007F3515"/>
    <w:rsid w:val="007F351C"/>
    <w:rsid w:val="007F3553"/>
    <w:rsid w:val="007F35B1"/>
    <w:rsid w:val="007F35D2"/>
    <w:rsid w:val="007F35EA"/>
    <w:rsid w:val="007F36F2"/>
    <w:rsid w:val="007F376C"/>
    <w:rsid w:val="007F379F"/>
    <w:rsid w:val="007F37BE"/>
    <w:rsid w:val="007F37DB"/>
    <w:rsid w:val="007F3851"/>
    <w:rsid w:val="007F385C"/>
    <w:rsid w:val="007F389F"/>
    <w:rsid w:val="007F38C0"/>
    <w:rsid w:val="007F3910"/>
    <w:rsid w:val="007F3951"/>
    <w:rsid w:val="007F3959"/>
    <w:rsid w:val="007F39DF"/>
    <w:rsid w:val="007F39EC"/>
    <w:rsid w:val="007F39FB"/>
    <w:rsid w:val="007F3A07"/>
    <w:rsid w:val="007F3AB2"/>
    <w:rsid w:val="007F3AD2"/>
    <w:rsid w:val="007F3BA8"/>
    <w:rsid w:val="007F3C91"/>
    <w:rsid w:val="007F3CC8"/>
    <w:rsid w:val="007F3D8E"/>
    <w:rsid w:val="007F3DA4"/>
    <w:rsid w:val="007F3DC8"/>
    <w:rsid w:val="007F3E58"/>
    <w:rsid w:val="007F3ED2"/>
    <w:rsid w:val="007F3ED5"/>
    <w:rsid w:val="007F3FE6"/>
    <w:rsid w:val="007F4006"/>
    <w:rsid w:val="007F400A"/>
    <w:rsid w:val="007F4019"/>
    <w:rsid w:val="007F409A"/>
    <w:rsid w:val="007F4112"/>
    <w:rsid w:val="007F4147"/>
    <w:rsid w:val="007F4214"/>
    <w:rsid w:val="007F4289"/>
    <w:rsid w:val="007F42CA"/>
    <w:rsid w:val="007F434A"/>
    <w:rsid w:val="007F4435"/>
    <w:rsid w:val="007F4479"/>
    <w:rsid w:val="007F44DD"/>
    <w:rsid w:val="007F44DF"/>
    <w:rsid w:val="007F4526"/>
    <w:rsid w:val="007F4534"/>
    <w:rsid w:val="007F45E5"/>
    <w:rsid w:val="007F4620"/>
    <w:rsid w:val="007F463A"/>
    <w:rsid w:val="007F466F"/>
    <w:rsid w:val="007F46BD"/>
    <w:rsid w:val="007F46D5"/>
    <w:rsid w:val="007F4706"/>
    <w:rsid w:val="007F470C"/>
    <w:rsid w:val="007F4733"/>
    <w:rsid w:val="007F4734"/>
    <w:rsid w:val="007F4789"/>
    <w:rsid w:val="007F47B5"/>
    <w:rsid w:val="007F47D0"/>
    <w:rsid w:val="007F47DF"/>
    <w:rsid w:val="007F4808"/>
    <w:rsid w:val="007F4823"/>
    <w:rsid w:val="007F486A"/>
    <w:rsid w:val="007F4891"/>
    <w:rsid w:val="007F48C6"/>
    <w:rsid w:val="007F48CD"/>
    <w:rsid w:val="007F4901"/>
    <w:rsid w:val="007F4979"/>
    <w:rsid w:val="007F49A4"/>
    <w:rsid w:val="007F4A17"/>
    <w:rsid w:val="007F4A3B"/>
    <w:rsid w:val="007F4A5D"/>
    <w:rsid w:val="007F4A6A"/>
    <w:rsid w:val="007F4A78"/>
    <w:rsid w:val="007F4A91"/>
    <w:rsid w:val="007F4AF0"/>
    <w:rsid w:val="007F4BBA"/>
    <w:rsid w:val="007F4BD4"/>
    <w:rsid w:val="007F4C72"/>
    <w:rsid w:val="007F4D30"/>
    <w:rsid w:val="007F4D3C"/>
    <w:rsid w:val="007F4D45"/>
    <w:rsid w:val="007F4D85"/>
    <w:rsid w:val="007F4DA4"/>
    <w:rsid w:val="007F4DAE"/>
    <w:rsid w:val="007F4E18"/>
    <w:rsid w:val="007F4E61"/>
    <w:rsid w:val="007F4FDC"/>
    <w:rsid w:val="007F502D"/>
    <w:rsid w:val="007F503C"/>
    <w:rsid w:val="007F50AC"/>
    <w:rsid w:val="007F50C6"/>
    <w:rsid w:val="007F5120"/>
    <w:rsid w:val="007F5142"/>
    <w:rsid w:val="007F515B"/>
    <w:rsid w:val="007F5182"/>
    <w:rsid w:val="007F524D"/>
    <w:rsid w:val="007F526C"/>
    <w:rsid w:val="007F5272"/>
    <w:rsid w:val="007F5290"/>
    <w:rsid w:val="007F52C1"/>
    <w:rsid w:val="007F52D8"/>
    <w:rsid w:val="007F53AC"/>
    <w:rsid w:val="007F5403"/>
    <w:rsid w:val="007F5450"/>
    <w:rsid w:val="007F545B"/>
    <w:rsid w:val="007F54A5"/>
    <w:rsid w:val="007F54E3"/>
    <w:rsid w:val="007F552A"/>
    <w:rsid w:val="007F552D"/>
    <w:rsid w:val="007F5542"/>
    <w:rsid w:val="007F55DB"/>
    <w:rsid w:val="007F5622"/>
    <w:rsid w:val="007F563B"/>
    <w:rsid w:val="007F5674"/>
    <w:rsid w:val="007F5688"/>
    <w:rsid w:val="007F5690"/>
    <w:rsid w:val="007F56E2"/>
    <w:rsid w:val="007F56FF"/>
    <w:rsid w:val="007F5750"/>
    <w:rsid w:val="007F5790"/>
    <w:rsid w:val="007F57A9"/>
    <w:rsid w:val="007F57E1"/>
    <w:rsid w:val="007F57E9"/>
    <w:rsid w:val="007F5887"/>
    <w:rsid w:val="007F58B8"/>
    <w:rsid w:val="007F5936"/>
    <w:rsid w:val="007F596D"/>
    <w:rsid w:val="007F59FF"/>
    <w:rsid w:val="007F5A00"/>
    <w:rsid w:val="007F5A40"/>
    <w:rsid w:val="007F5AC6"/>
    <w:rsid w:val="007F5AC8"/>
    <w:rsid w:val="007F5ADA"/>
    <w:rsid w:val="007F5AF6"/>
    <w:rsid w:val="007F5B05"/>
    <w:rsid w:val="007F5B53"/>
    <w:rsid w:val="007F5C93"/>
    <w:rsid w:val="007F5D02"/>
    <w:rsid w:val="007F5D28"/>
    <w:rsid w:val="007F5D69"/>
    <w:rsid w:val="007F5D77"/>
    <w:rsid w:val="007F5DA7"/>
    <w:rsid w:val="007F5DE4"/>
    <w:rsid w:val="007F5E63"/>
    <w:rsid w:val="007F5EA7"/>
    <w:rsid w:val="007F5EC9"/>
    <w:rsid w:val="007F5F2D"/>
    <w:rsid w:val="007F5F90"/>
    <w:rsid w:val="007F5FEB"/>
    <w:rsid w:val="007F6000"/>
    <w:rsid w:val="007F6045"/>
    <w:rsid w:val="007F6066"/>
    <w:rsid w:val="007F609B"/>
    <w:rsid w:val="007F60B7"/>
    <w:rsid w:val="007F617E"/>
    <w:rsid w:val="007F6199"/>
    <w:rsid w:val="007F61C0"/>
    <w:rsid w:val="007F61C9"/>
    <w:rsid w:val="007F61F1"/>
    <w:rsid w:val="007F6229"/>
    <w:rsid w:val="007F623C"/>
    <w:rsid w:val="007F62D2"/>
    <w:rsid w:val="007F62DD"/>
    <w:rsid w:val="007F62FF"/>
    <w:rsid w:val="007F634E"/>
    <w:rsid w:val="007F6392"/>
    <w:rsid w:val="007F63B8"/>
    <w:rsid w:val="007F640D"/>
    <w:rsid w:val="007F645F"/>
    <w:rsid w:val="007F6466"/>
    <w:rsid w:val="007F64EC"/>
    <w:rsid w:val="007F652D"/>
    <w:rsid w:val="007F664E"/>
    <w:rsid w:val="007F672A"/>
    <w:rsid w:val="007F6736"/>
    <w:rsid w:val="007F6798"/>
    <w:rsid w:val="007F67B8"/>
    <w:rsid w:val="007F67D8"/>
    <w:rsid w:val="007F6822"/>
    <w:rsid w:val="007F68F2"/>
    <w:rsid w:val="007F6901"/>
    <w:rsid w:val="007F692A"/>
    <w:rsid w:val="007F692B"/>
    <w:rsid w:val="007F6936"/>
    <w:rsid w:val="007F6951"/>
    <w:rsid w:val="007F697A"/>
    <w:rsid w:val="007F69A8"/>
    <w:rsid w:val="007F6A09"/>
    <w:rsid w:val="007F6A4E"/>
    <w:rsid w:val="007F6A66"/>
    <w:rsid w:val="007F6A6B"/>
    <w:rsid w:val="007F6A8A"/>
    <w:rsid w:val="007F6B08"/>
    <w:rsid w:val="007F6B24"/>
    <w:rsid w:val="007F6B3B"/>
    <w:rsid w:val="007F6B53"/>
    <w:rsid w:val="007F6B8E"/>
    <w:rsid w:val="007F6C67"/>
    <w:rsid w:val="007F6C89"/>
    <w:rsid w:val="007F6CE5"/>
    <w:rsid w:val="007F6D70"/>
    <w:rsid w:val="007F6D74"/>
    <w:rsid w:val="007F6D9B"/>
    <w:rsid w:val="007F6DA5"/>
    <w:rsid w:val="007F6DAF"/>
    <w:rsid w:val="007F6DE4"/>
    <w:rsid w:val="007F6E03"/>
    <w:rsid w:val="007F6E12"/>
    <w:rsid w:val="007F6E25"/>
    <w:rsid w:val="007F6EB6"/>
    <w:rsid w:val="007F6EF1"/>
    <w:rsid w:val="007F6F0E"/>
    <w:rsid w:val="007F6F99"/>
    <w:rsid w:val="007F6FDE"/>
    <w:rsid w:val="007F70B8"/>
    <w:rsid w:val="007F7105"/>
    <w:rsid w:val="007F7127"/>
    <w:rsid w:val="007F7162"/>
    <w:rsid w:val="007F7187"/>
    <w:rsid w:val="007F7242"/>
    <w:rsid w:val="007F724C"/>
    <w:rsid w:val="007F7253"/>
    <w:rsid w:val="007F72AE"/>
    <w:rsid w:val="007F72C7"/>
    <w:rsid w:val="007F72D1"/>
    <w:rsid w:val="007F730A"/>
    <w:rsid w:val="007F730B"/>
    <w:rsid w:val="007F7311"/>
    <w:rsid w:val="007F7334"/>
    <w:rsid w:val="007F73B1"/>
    <w:rsid w:val="007F7406"/>
    <w:rsid w:val="007F7417"/>
    <w:rsid w:val="007F742E"/>
    <w:rsid w:val="007F7467"/>
    <w:rsid w:val="007F7567"/>
    <w:rsid w:val="007F756B"/>
    <w:rsid w:val="007F757F"/>
    <w:rsid w:val="007F75B4"/>
    <w:rsid w:val="007F75CB"/>
    <w:rsid w:val="007F75E7"/>
    <w:rsid w:val="007F75F9"/>
    <w:rsid w:val="007F7616"/>
    <w:rsid w:val="007F7629"/>
    <w:rsid w:val="007F7661"/>
    <w:rsid w:val="007F768E"/>
    <w:rsid w:val="007F76A8"/>
    <w:rsid w:val="007F76BD"/>
    <w:rsid w:val="007F7744"/>
    <w:rsid w:val="007F7752"/>
    <w:rsid w:val="007F779E"/>
    <w:rsid w:val="007F77D7"/>
    <w:rsid w:val="007F781E"/>
    <w:rsid w:val="007F7827"/>
    <w:rsid w:val="007F78A8"/>
    <w:rsid w:val="007F78AD"/>
    <w:rsid w:val="007F7929"/>
    <w:rsid w:val="007F799B"/>
    <w:rsid w:val="007F79EF"/>
    <w:rsid w:val="007F7A38"/>
    <w:rsid w:val="007F7A6A"/>
    <w:rsid w:val="007F7AE3"/>
    <w:rsid w:val="007F7B01"/>
    <w:rsid w:val="007F7B19"/>
    <w:rsid w:val="007F7B69"/>
    <w:rsid w:val="007F7D1C"/>
    <w:rsid w:val="007F7D35"/>
    <w:rsid w:val="007F7D52"/>
    <w:rsid w:val="007F7D74"/>
    <w:rsid w:val="007F7D86"/>
    <w:rsid w:val="007F7E25"/>
    <w:rsid w:val="007F7E2F"/>
    <w:rsid w:val="007F7F3B"/>
    <w:rsid w:val="007F7F3E"/>
    <w:rsid w:val="007F7FAE"/>
    <w:rsid w:val="00800046"/>
    <w:rsid w:val="00800047"/>
    <w:rsid w:val="0080004E"/>
    <w:rsid w:val="008000BF"/>
    <w:rsid w:val="0080011D"/>
    <w:rsid w:val="00800179"/>
    <w:rsid w:val="008001E8"/>
    <w:rsid w:val="00800221"/>
    <w:rsid w:val="00800303"/>
    <w:rsid w:val="00800382"/>
    <w:rsid w:val="008003C5"/>
    <w:rsid w:val="00800449"/>
    <w:rsid w:val="00800491"/>
    <w:rsid w:val="008004DF"/>
    <w:rsid w:val="0080052A"/>
    <w:rsid w:val="0080052D"/>
    <w:rsid w:val="008005A0"/>
    <w:rsid w:val="008005C5"/>
    <w:rsid w:val="008005F4"/>
    <w:rsid w:val="0080063A"/>
    <w:rsid w:val="00800649"/>
    <w:rsid w:val="008006CB"/>
    <w:rsid w:val="008006DC"/>
    <w:rsid w:val="0080070A"/>
    <w:rsid w:val="00800717"/>
    <w:rsid w:val="00800726"/>
    <w:rsid w:val="0080079C"/>
    <w:rsid w:val="008007B7"/>
    <w:rsid w:val="0080080A"/>
    <w:rsid w:val="00800887"/>
    <w:rsid w:val="00800901"/>
    <w:rsid w:val="0080090C"/>
    <w:rsid w:val="00800988"/>
    <w:rsid w:val="00800A13"/>
    <w:rsid w:val="00800A60"/>
    <w:rsid w:val="00800A83"/>
    <w:rsid w:val="00800ABF"/>
    <w:rsid w:val="00800AF4"/>
    <w:rsid w:val="00800B0C"/>
    <w:rsid w:val="00800B22"/>
    <w:rsid w:val="00800D5A"/>
    <w:rsid w:val="00800DA6"/>
    <w:rsid w:val="00800DF7"/>
    <w:rsid w:val="00800E80"/>
    <w:rsid w:val="00800EC5"/>
    <w:rsid w:val="00800ED0"/>
    <w:rsid w:val="00800EF1"/>
    <w:rsid w:val="00800F02"/>
    <w:rsid w:val="00800F49"/>
    <w:rsid w:val="00800F54"/>
    <w:rsid w:val="00800F5A"/>
    <w:rsid w:val="00800F8F"/>
    <w:rsid w:val="00800F90"/>
    <w:rsid w:val="00800FAB"/>
    <w:rsid w:val="00800FB7"/>
    <w:rsid w:val="00801014"/>
    <w:rsid w:val="00801049"/>
    <w:rsid w:val="0080104C"/>
    <w:rsid w:val="008010B5"/>
    <w:rsid w:val="00801132"/>
    <w:rsid w:val="0080116F"/>
    <w:rsid w:val="0080117C"/>
    <w:rsid w:val="0080118C"/>
    <w:rsid w:val="00801197"/>
    <w:rsid w:val="00801207"/>
    <w:rsid w:val="00801231"/>
    <w:rsid w:val="0080129D"/>
    <w:rsid w:val="008012AC"/>
    <w:rsid w:val="00801300"/>
    <w:rsid w:val="0080136B"/>
    <w:rsid w:val="0080139C"/>
    <w:rsid w:val="008013C0"/>
    <w:rsid w:val="0080141C"/>
    <w:rsid w:val="0080145D"/>
    <w:rsid w:val="00801471"/>
    <w:rsid w:val="008014B8"/>
    <w:rsid w:val="008014F9"/>
    <w:rsid w:val="0080152E"/>
    <w:rsid w:val="00801532"/>
    <w:rsid w:val="0080156E"/>
    <w:rsid w:val="00801591"/>
    <w:rsid w:val="008015BF"/>
    <w:rsid w:val="008015E5"/>
    <w:rsid w:val="008015E6"/>
    <w:rsid w:val="008015EA"/>
    <w:rsid w:val="00801676"/>
    <w:rsid w:val="00801695"/>
    <w:rsid w:val="008016AD"/>
    <w:rsid w:val="008017AF"/>
    <w:rsid w:val="0080181D"/>
    <w:rsid w:val="00801888"/>
    <w:rsid w:val="008018D8"/>
    <w:rsid w:val="008018DE"/>
    <w:rsid w:val="00801981"/>
    <w:rsid w:val="00801990"/>
    <w:rsid w:val="00801A16"/>
    <w:rsid w:val="00801A26"/>
    <w:rsid w:val="00801A32"/>
    <w:rsid w:val="00801A58"/>
    <w:rsid w:val="00801A5D"/>
    <w:rsid w:val="00801AC7"/>
    <w:rsid w:val="00801AFE"/>
    <w:rsid w:val="00801B71"/>
    <w:rsid w:val="00801B95"/>
    <w:rsid w:val="00801B9A"/>
    <w:rsid w:val="00801BDB"/>
    <w:rsid w:val="00801C29"/>
    <w:rsid w:val="00801C56"/>
    <w:rsid w:val="00801C58"/>
    <w:rsid w:val="00801CAF"/>
    <w:rsid w:val="00801CB1"/>
    <w:rsid w:val="00801D46"/>
    <w:rsid w:val="00801D86"/>
    <w:rsid w:val="00801D9D"/>
    <w:rsid w:val="00801E78"/>
    <w:rsid w:val="00801EF9"/>
    <w:rsid w:val="00801F40"/>
    <w:rsid w:val="00801F73"/>
    <w:rsid w:val="00801FC7"/>
    <w:rsid w:val="00802002"/>
    <w:rsid w:val="008020A1"/>
    <w:rsid w:val="00802127"/>
    <w:rsid w:val="00802131"/>
    <w:rsid w:val="00802151"/>
    <w:rsid w:val="00802169"/>
    <w:rsid w:val="008021B0"/>
    <w:rsid w:val="00802220"/>
    <w:rsid w:val="00802236"/>
    <w:rsid w:val="0080223A"/>
    <w:rsid w:val="00802293"/>
    <w:rsid w:val="008022D1"/>
    <w:rsid w:val="00802340"/>
    <w:rsid w:val="00802357"/>
    <w:rsid w:val="00802410"/>
    <w:rsid w:val="00802452"/>
    <w:rsid w:val="00802456"/>
    <w:rsid w:val="00802469"/>
    <w:rsid w:val="008024D0"/>
    <w:rsid w:val="008024E1"/>
    <w:rsid w:val="00802505"/>
    <w:rsid w:val="008025A5"/>
    <w:rsid w:val="008025FE"/>
    <w:rsid w:val="00802604"/>
    <w:rsid w:val="00802659"/>
    <w:rsid w:val="0080266F"/>
    <w:rsid w:val="008026B6"/>
    <w:rsid w:val="008026C4"/>
    <w:rsid w:val="008026FC"/>
    <w:rsid w:val="00802733"/>
    <w:rsid w:val="00802760"/>
    <w:rsid w:val="00802841"/>
    <w:rsid w:val="008028F1"/>
    <w:rsid w:val="00802905"/>
    <w:rsid w:val="0080291C"/>
    <w:rsid w:val="0080294A"/>
    <w:rsid w:val="00802960"/>
    <w:rsid w:val="00802A06"/>
    <w:rsid w:val="00802ABC"/>
    <w:rsid w:val="00802AD2"/>
    <w:rsid w:val="00802AF1"/>
    <w:rsid w:val="00802B0D"/>
    <w:rsid w:val="00802B40"/>
    <w:rsid w:val="00802B63"/>
    <w:rsid w:val="00802B78"/>
    <w:rsid w:val="00802B88"/>
    <w:rsid w:val="00802C0D"/>
    <w:rsid w:val="00802C69"/>
    <w:rsid w:val="00802C72"/>
    <w:rsid w:val="00802C87"/>
    <w:rsid w:val="00802C8D"/>
    <w:rsid w:val="00802D2A"/>
    <w:rsid w:val="00802D37"/>
    <w:rsid w:val="00802D59"/>
    <w:rsid w:val="00802DE2"/>
    <w:rsid w:val="00802DE5"/>
    <w:rsid w:val="00802DEE"/>
    <w:rsid w:val="00802E4D"/>
    <w:rsid w:val="00802E5F"/>
    <w:rsid w:val="00802EA2"/>
    <w:rsid w:val="00802ED7"/>
    <w:rsid w:val="00802EED"/>
    <w:rsid w:val="00802EFC"/>
    <w:rsid w:val="00802F13"/>
    <w:rsid w:val="00802F2B"/>
    <w:rsid w:val="00802F5E"/>
    <w:rsid w:val="00802F70"/>
    <w:rsid w:val="00802FCA"/>
    <w:rsid w:val="00802FEF"/>
    <w:rsid w:val="00803046"/>
    <w:rsid w:val="00803054"/>
    <w:rsid w:val="00803097"/>
    <w:rsid w:val="00803179"/>
    <w:rsid w:val="008032A7"/>
    <w:rsid w:val="008032A8"/>
    <w:rsid w:val="008032CD"/>
    <w:rsid w:val="00803331"/>
    <w:rsid w:val="0080333E"/>
    <w:rsid w:val="0080336D"/>
    <w:rsid w:val="00803377"/>
    <w:rsid w:val="008033A3"/>
    <w:rsid w:val="008033C0"/>
    <w:rsid w:val="008033F5"/>
    <w:rsid w:val="00803464"/>
    <w:rsid w:val="0080351A"/>
    <w:rsid w:val="00803527"/>
    <w:rsid w:val="00803549"/>
    <w:rsid w:val="00803551"/>
    <w:rsid w:val="008035BC"/>
    <w:rsid w:val="00803620"/>
    <w:rsid w:val="00803648"/>
    <w:rsid w:val="00803743"/>
    <w:rsid w:val="0080374A"/>
    <w:rsid w:val="008037F0"/>
    <w:rsid w:val="008037FB"/>
    <w:rsid w:val="00803847"/>
    <w:rsid w:val="00803855"/>
    <w:rsid w:val="00803893"/>
    <w:rsid w:val="008038B2"/>
    <w:rsid w:val="00803906"/>
    <w:rsid w:val="00803933"/>
    <w:rsid w:val="0080395A"/>
    <w:rsid w:val="00803996"/>
    <w:rsid w:val="00803999"/>
    <w:rsid w:val="008039A1"/>
    <w:rsid w:val="008039A9"/>
    <w:rsid w:val="00803A8B"/>
    <w:rsid w:val="00803AA1"/>
    <w:rsid w:val="00803AE4"/>
    <w:rsid w:val="00803B41"/>
    <w:rsid w:val="00803BC4"/>
    <w:rsid w:val="00803BCD"/>
    <w:rsid w:val="00803C3E"/>
    <w:rsid w:val="00803CB4"/>
    <w:rsid w:val="00803DBB"/>
    <w:rsid w:val="00803DCB"/>
    <w:rsid w:val="00803E08"/>
    <w:rsid w:val="00803E24"/>
    <w:rsid w:val="00803E29"/>
    <w:rsid w:val="00803E56"/>
    <w:rsid w:val="00803E92"/>
    <w:rsid w:val="00803EFE"/>
    <w:rsid w:val="00803F1E"/>
    <w:rsid w:val="00803F8B"/>
    <w:rsid w:val="00803FC7"/>
    <w:rsid w:val="00804015"/>
    <w:rsid w:val="0080401D"/>
    <w:rsid w:val="00804076"/>
    <w:rsid w:val="0080410A"/>
    <w:rsid w:val="00804199"/>
    <w:rsid w:val="008041AD"/>
    <w:rsid w:val="008041E0"/>
    <w:rsid w:val="008041F5"/>
    <w:rsid w:val="00804376"/>
    <w:rsid w:val="00804386"/>
    <w:rsid w:val="008043AA"/>
    <w:rsid w:val="00804417"/>
    <w:rsid w:val="00804432"/>
    <w:rsid w:val="008044A2"/>
    <w:rsid w:val="008044AB"/>
    <w:rsid w:val="008045C1"/>
    <w:rsid w:val="00804644"/>
    <w:rsid w:val="008046DF"/>
    <w:rsid w:val="00804711"/>
    <w:rsid w:val="0080479F"/>
    <w:rsid w:val="00804801"/>
    <w:rsid w:val="00804809"/>
    <w:rsid w:val="00804827"/>
    <w:rsid w:val="00804831"/>
    <w:rsid w:val="0080484E"/>
    <w:rsid w:val="008048DB"/>
    <w:rsid w:val="0080495A"/>
    <w:rsid w:val="008049BB"/>
    <w:rsid w:val="00804AA5"/>
    <w:rsid w:val="00804AAA"/>
    <w:rsid w:val="00804B87"/>
    <w:rsid w:val="00804BFE"/>
    <w:rsid w:val="00804C43"/>
    <w:rsid w:val="00804C4E"/>
    <w:rsid w:val="00804CE4"/>
    <w:rsid w:val="00804CEE"/>
    <w:rsid w:val="00804D11"/>
    <w:rsid w:val="00804D5A"/>
    <w:rsid w:val="00804D65"/>
    <w:rsid w:val="00804D71"/>
    <w:rsid w:val="00804E14"/>
    <w:rsid w:val="00804ECE"/>
    <w:rsid w:val="00804ED3"/>
    <w:rsid w:val="00804F25"/>
    <w:rsid w:val="00804F3A"/>
    <w:rsid w:val="00804F4A"/>
    <w:rsid w:val="00804FF0"/>
    <w:rsid w:val="00804FFE"/>
    <w:rsid w:val="00805008"/>
    <w:rsid w:val="0080503D"/>
    <w:rsid w:val="00805041"/>
    <w:rsid w:val="00805119"/>
    <w:rsid w:val="008051A7"/>
    <w:rsid w:val="008051CD"/>
    <w:rsid w:val="00805209"/>
    <w:rsid w:val="00805219"/>
    <w:rsid w:val="00805246"/>
    <w:rsid w:val="00805251"/>
    <w:rsid w:val="008052B1"/>
    <w:rsid w:val="00805348"/>
    <w:rsid w:val="00805367"/>
    <w:rsid w:val="0080542A"/>
    <w:rsid w:val="00805436"/>
    <w:rsid w:val="00805452"/>
    <w:rsid w:val="00805460"/>
    <w:rsid w:val="00805478"/>
    <w:rsid w:val="00805566"/>
    <w:rsid w:val="0080557F"/>
    <w:rsid w:val="0080558A"/>
    <w:rsid w:val="008055DC"/>
    <w:rsid w:val="00805666"/>
    <w:rsid w:val="00805727"/>
    <w:rsid w:val="00805741"/>
    <w:rsid w:val="00805749"/>
    <w:rsid w:val="00805762"/>
    <w:rsid w:val="008057AA"/>
    <w:rsid w:val="008057E8"/>
    <w:rsid w:val="00805835"/>
    <w:rsid w:val="00805847"/>
    <w:rsid w:val="008058A7"/>
    <w:rsid w:val="008058FA"/>
    <w:rsid w:val="0080599F"/>
    <w:rsid w:val="008059C2"/>
    <w:rsid w:val="008059CD"/>
    <w:rsid w:val="008059D8"/>
    <w:rsid w:val="00805AD3"/>
    <w:rsid w:val="00805B5F"/>
    <w:rsid w:val="00805B80"/>
    <w:rsid w:val="00805C3E"/>
    <w:rsid w:val="00805C42"/>
    <w:rsid w:val="00805C6E"/>
    <w:rsid w:val="00805D1C"/>
    <w:rsid w:val="00805D60"/>
    <w:rsid w:val="00805D8F"/>
    <w:rsid w:val="00805DA8"/>
    <w:rsid w:val="00805DAF"/>
    <w:rsid w:val="00805E2B"/>
    <w:rsid w:val="00805E53"/>
    <w:rsid w:val="00805E8D"/>
    <w:rsid w:val="00805E91"/>
    <w:rsid w:val="00805EF7"/>
    <w:rsid w:val="00805F88"/>
    <w:rsid w:val="00805F9C"/>
    <w:rsid w:val="00805F9D"/>
    <w:rsid w:val="00806018"/>
    <w:rsid w:val="0080601A"/>
    <w:rsid w:val="00806132"/>
    <w:rsid w:val="00806161"/>
    <w:rsid w:val="008061A1"/>
    <w:rsid w:val="008061A9"/>
    <w:rsid w:val="008061F4"/>
    <w:rsid w:val="008061FC"/>
    <w:rsid w:val="0080624A"/>
    <w:rsid w:val="008062AD"/>
    <w:rsid w:val="008062C9"/>
    <w:rsid w:val="00806348"/>
    <w:rsid w:val="00806381"/>
    <w:rsid w:val="00806389"/>
    <w:rsid w:val="008063F1"/>
    <w:rsid w:val="00806439"/>
    <w:rsid w:val="00806586"/>
    <w:rsid w:val="00806588"/>
    <w:rsid w:val="008065F8"/>
    <w:rsid w:val="00806605"/>
    <w:rsid w:val="00806661"/>
    <w:rsid w:val="008066B2"/>
    <w:rsid w:val="008066B9"/>
    <w:rsid w:val="0080674B"/>
    <w:rsid w:val="0080678B"/>
    <w:rsid w:val="008067B9"/>
    <w:rsid w:val="008067FD"/>
    <w:rsid w:val="0080682A"/>
    <w:rsid w:val="00806864"/>
    <w:rsid w:val="008068C8"/>
    <w:rsid w:val="008068CF"/>
    <w:rsid w:val="0080697C"/>
    <w:rsid w:val="0080699D"/>
    <w:rsid w:val="008069B8"/>
    <w:rsid w:val="008069E1"/>
    <w:rsid w:val="00806A47"/>
    <w:rsid w:val="00806AB7"/>
    <w:rsid w:val="00806AC0"/>
    <w:rsid w:val="00806ACA"/>
    <w:rsid w:val="00806B0B"/>
    <w:rsid w:val="00806B7C"/>
    <w:rsid w:val="00806BB6"/>
    <w:rsid w:val="00806CB1"/>
    <w:rsid w:val="00806CEB"/>
    <w:rsid w:val="00806D0C"/>
    <w:rsid w:val="00806D70"/>
    <w:rsid w:val="00806F1B"/>
    <w:rsid w:val="00806F1C"/>
    <w:rsid w:val="00806F66"/>
    <w:rsid w:val="00806F6D"/>
    <w:rsid w:val="00806FA5"/>
    <w:rsid w:val="00806FD6"/>
    <w:rsid w:val="00806FFC"/>
    <w:rsid w:val="0080700C"/>
    <w:rsid w:val="0080705B"/>
    <w:rsid w:val="0080708D"/>
    <w:rsid w:val="008070CB"/>
    <w:rsid w:val="008070F2"/>
    <w:rsid w:val="008070F9"/>
    <w:rsid w:val="0080711B"/>
    <w:rsid w:val="00807155"/>
    <w:rsid w:val="008071B8"/>
    <w:rsid w:val="008071C2"/>
    <w:rsid w:val="008071E6"/>
    <w:rsid w:val="0080722B"/>
    <w:rsid w:val="00807265"/>
    <w:rsid w:val="00807279"/>
    <w:rsid w:val="008072AB"/>
    <w:rsid w:val="008072EE"/>
    <w:rsid w:val="00807332"/>
    <w:rsid w:val="00807392"/>
    <w:rsid w:val="008073E6"/>
    <w:rsid w:val="00807434"/>
    <w:rsid w:val="0080744A"/>
    <w:rsid w:val="00807458"/>
    <w:rsid w:val="00807483"/>
    <w:rsid w:val="00807498"/>
    <w:rsid w:val="008074E1"/>
    <w:rsid w:val="0080751F"/>
    <w:rsid w:val="00807527"/>
    <w:rsid w:val="00807599"/>
    <w:rsid w:val="00807629"/>
    <w:rsid w:val="0080774B"/>
    <w:rsid w:val="008077A8"/>
    <w:rsid w:val="008077CA"/>
    <w:rsid w:val="008077DC"/>
    <w:rsid w:val="00807833"/>
    <w:rsid w:val="0080785D"/>
    <w:rsid w:val="0080787B"/>
    <w:rsid w:val="008078A6"/>
    <w:rsid w:val="00807979"/>
    <w:rsid w:val="0080797E"/>
    <w:rsid w:val="0080799C"/>
    <w:rsid w:val="008079D7"/>
    <w:rsid w:val="008079FD"/>
    <w:rsid w:val="00807A21"/>
    <w:rsid w:val="00807A36"/>
    <w:rsid w:val="00807A95"/>
    <w:rsid w:val="00807AF6"/>
    <w:rsid w:val="00807B22"/>
    <w:rsid w:val="00807B39"/>
    <w:rsid w:val="00807B3A"/>
    <w:rsid w:val="00807B43"/>
    <w:rsid w:val="00807BCF"/>
    <w:rsid w:val="00807BDB"/>
    <w:rsid w:val="00807BEC"/>
    <w:rsid w:val="00807C00"/>
    <w:rsid w:val="00807C24"/>
    <w:rsid w:val="00807C83"/>
    <w:rsid w:val="00807C8E"/>
    <w:rsid w:val="00807C96"/>
    <w:rsid w:val="00807CC0"/>
    <w:rsid w:val="00807CC3"/>
    <w:rsid w:val="00807CCA"/>
    <w:rsid w:val="00807CD7"/>
    <w:rsid w:val="00807CFC"/>
    <w:rsid w:val="00807D03"/>
    <w:rsid w:val="00807D24"/>
    <w:rsid w:val="00807D60"/>
    <w:rsid w:val="00807DB6"/>
    <w:rsid w:val="00807EA1"/>
    <w:rsid w:val="00807EBD"/>
    <w:rsid w:val="00807ECE"/>
    <w:rsid w:val="00807F4E"/>
    <w:rsid w:val="00807F6F"/>
    <w:rsid w:val="00807F72"/>
    <w:rsid w:val="008100BE"/>
    <w:rsid w:val="0081012F"/>
    <w:rsid w:val="00810198"/>
    <w:rsid w:val="00810228"/>
    <w:rsid w:val="00810288"/>
    <w:rsid w:val="008102A3"/>
    <w:rsid w:val="008102C2"/>
    <w:rsid w:val="008102C7"/>
    <w:rsid w:val="0081033D"/>
    <w:rsid w:val="00810378"/>
    <w:rsid w:val="00810386"/>
    <w:rsid w:val="008103AD"/>
    <w:rsid w:val="00810410"/>
    <w:rsid w:val="0081042A"/>
    <w:rsid w:val="00810448"/>
    <w:rsid w:val="00810455"/>
    <w:rsid w:val="008104BF"/>
    <w:rsid w:val="008104CE"/>
    <w:rsid w:val="008104E5"/>
    <w:rsid w:val="00810611"/>
    <w:rsid w:val="0081067F"/>
    <w:rsid w:val="008106E0"/>
    <w:rsid w:val="008106F9"/>
    <w:rsid w:val="00810731"/>
    <w:rsid w:val="008107AC"/>
    <w:rsid w:val="008107BE"/>
    <w:rsid w:val="00810837"/>
    <w:rsid w:val="0081088F"/>
    <w:rsid w:val="008108DA"/>
    <w:rsid w:val="008108E8"/>
    <w:rsid w:val="00810943"/>
    <w:rsid w:val="00810960"/>
    <w:rsid w:val="00810974"/>
    <w:rsid w:val="0081098C"/>
    <w:rsid w:val="008109BB"/>
    <w:rsid w:val="008109C8"/>
    <w:rsid w:val="00810A1D"/>
    <w:rsid w:val="00810A21"/>
    <w:rsid w:val="00810AC7"/>
    <w:rsid w:val="00810B7F"/>
    <w:rsid w:val="00810B95"/>
    <w:rsid w:val="00810BA7"/>
    <w:rsid w:val="00810BAA"/>
    <w:rsid w:val="00810C05"/>
    <w:rsid w:val="00810C0B"/>
    <w:rsid w:val="00810C1B"/>
    <w:rsid w:val="00810C69"/>
    <w:rsid w:val="00810CCB"/>
    <w:rsid w:val="00810EB6"/>
    <w:rsid w:val="00810F03"/>
    <w:rsid w:val="00810F6A"/>
    <w:rsid w:val="00810FF4"/>
    <w:rsid w:val="008110B3"/>
    <w:rsid w:val="008110E6"/>
    <w:rsid w:val="00811118"/>
    <w:rsid w:val="00811121"/>
    <w:rsid w:val="00811198"/>
    <w:rsid w:val="0081119F"/>
    <w:rsid w:val="008111C2"/>
    <w:rsid w:val="008111E8"/>
    <w:rsid w:val="00811205"/>
    <w:rsid w:val="00811213"/>
    <w:rsid w:val="0081122E"/>
    <w:rsid w:val="00811244"/>
    <w:rsid w:val="00811274"/>
    <w:rsid w:val="0081128B"/>
    <w:rsid w:val="00811387"/>
    <w:rsid w:val="00811409"/>
    <w:rsid w:val="0081141E"/>
    <w:rsid w:val="0081142A"/>
    <w:rsid w:val="008114BD"/>
    <w:rsid w:val="0081157E"/>
    <w:rsid w:val="008115A2"/>
    <w:rsid w:val="008115ED"/>
    <w:rsid w:val="0081160C"/>
    <w:rsid w:val="00811613"/>
    <w:rsid w:val="00811623"/>
    <w:rsid w:val="00811687"/>
    <w:rsid w:val="00811692"/>
    <w:rsid w:val="00811808"/>
    <w:rsid w:val="00811905"/>
    <w:rsid w:val="00811919"/>
    <w:rsid w:val="00811943"/>
    <w:rsid w:val="00811A2F"/>
    <w:rsid w:val="00811A3C"/>
    <w:rsid w:val="00811A3E"/>
    <w:rsid w:val="00811A67"/>
    <w:rsid w:val="00811A90"/>
    <w:rsid w:val="00811AC1"/>
    <w:rsid w:val="00811BE4"/>
    <w:rsid w:val="00811C28"/>
    <w:rsid w:val="00811C43"/>
    <w:rsid w:val="00811C4C"/>
    <w:rsid w:val="00811C9C"/>
    <w:rsid w:val="00811CBF"/>
    <w:rsid w:val="00811CC0"/>
    <w:rsid w:val="00811CFB"/>
    <w:rsid w:val="00811D08"/>
    <w:rsid w:val="00811D1A"/>
    <w:rsid w:val="00811D2A"/>
    <w:rsid w:val="00811D3F"/>
    <w:rsid w:val="00811D80"/>
    <w:rsid w:val="00811D94"/>
    <w:rsid w:val="00811DE0"/>
    <w:rsid w:val="00811DF1"/>
    <w:rsid w:val="00811EC5"/>
    <w:rsid w:val="00811F8D"/>
    <w:rsid w:val="00811FA9"/>
    <w:rsid w:val="00811FF2"/>
    <w:rsid w:val="00812038"/>
    <w:rsid w:val="0081209D"/>
    <w:rsid w:val="0081215F"/>
    <w:rsid w:val="0081216B"/>
    <w:rsid w:val="00812195"/>
    <w:rsid w:val="0081219A"/>
    <w:rsid w:val="008121DD"/>
    <w:rsid w:val="00812233"/>
    <w:rsid w:val="0081226D"/>
    <w:rsid w:val="00812330"/>
    <w:rsid w:val="00812376"/>
    <w:rsid w:val="008124DF"/>
    <w:rsid w:val="008124EB"/>
    <w:rsid w:val="0081251A"/>
    <w:rsid w:val="0081256D"/>
    <w:rsid w:val="00812599"/>
    <w:rsid w:val="00812633"/>
    <w:rsid w:val="00812684"/>
    <w:rsid w:val="008126BB"/>
    <w:rsid w:val="00812776"/>
    <w:rsid w:val="008127B7"/>
    <w:rsid w:val="0081283B"/>
    <w:rsid w:val="00812854"/>
    <w:rsid w:val="008128CB"/>
    <w:rsid w:val="00812959"/>
    <w:rsid w:val="008129CD"/>
    <w:rsid w:val="008129D6"/>
    <w:rsid w:val="00812A7E"/>
    <w:rsid w:val="00812AD3"/>
    <w:rsid w:val="00812B0C"/>
    <w:rsid w:val="00812B17"/>
    <w:rsid w:val="00812B20"/>
    <w:rsid w:val="00812B61"/>
    <w:rsid w:val="00812B6B"/>
    <w:rsid w:val="00812B74"/>
    <w:rsid w:val="00812C05"/>
    <w:rsid w:val="00812C11"/>
    <w:rsid w:val="00812C19"/>
    <w:rsid w:val="00812CE6"/>
    <w:rsid w:val="00812D5F"/>
    <w:rsid w:val="00812F04"/>
    <w:rsid w:val="00812F1F"/>
    <w:rsid w:val="00812F21"/>
    <w:rsid w:val="00812FB6"/>
    <w:rsid w:val="00813045"/>
    <w:rsid w:val="00813093"/>
    <w:rsid w:val="008130A4"/>
    <w:rsid w:val="008130E7"/>
    <w:rsid w:val="0081310A"/>
    <w:rsid w:val="0081317D"/>
    <w:rsid w:val="00813194"/>
    <w:rsid w:val="008131BA"/>
    <w:rsid w:val="008131F6"/>
    <w:rsid w:val="0081321A"/>
    <w:rsid w:val="00813293"/>
    <w:rsid w:val="008132D7"/>
    <w:rsid w:val="00813335"/>
    <w:rsid w:val="0081333B"/>
    <w:rsid w:val="00813347"/>
    <w:rsid w:val="0081334A"/>
    <w:rsid w:val="00813361"/>
    <w:rsid w:val="00813381"/>
    <w:rsid w:val="008133C7"/>
    <w:rsid w:val="008133C8"/>
    <w:rsid w:val="00813468"/>
    <w:rsid w:val="00813469"/>
    <w:rsid w:val="0081346B"/>
    <w:rsid w:val="008134AA"/>
    <w:rsid w:val="008134AD"/>
    <w:rsid w:val="008134CF"/>
    <w:rsid w:val="0081350D"/>
    <w:rsid w:val="00813579"/>
    <w:rsid w:val="00813587"/>
    <w:rsid w:val="00813636"/>
    <w:rsid w:val="0081365D"/>
    <w:rsid w:val="0081366F"/>
    <w:rsid w:val="00813677"/>
    <w:rsid w:val="0081369C"/>
    <w:rsid w:val="008136C1"/>
    <w:rsid w:val="008136D0"/>
    <w:rsid w:val="008136EE"/>
    <w:rsid w:val="00813759"/>
    <w:rsid w:val="008137C7"/>
    <w:rsid w:val="00813804"/>
    <w:rsid w:val="00813805"/>
    <w:rsid w:val="00813816"/>
    <w:rsid w:val="0081383B"/>
    <w:rsid w:val="00813895"/>
    <w:rsid w:val="008138C9"/>
    <w:rsid w:val="00813932"/>
    <w:rsid w:val="00813944"/>
    <w:rsid w:val="00813A0B"/>
    <w:rsid w:val="00813A2A"/>
    <w:rsid w:val="00813A4F"/>
    <w:rsid w:val="00813A58"/>
    <w:rsid w:val="00813A70"/>
    <w:rsid w:val="00813AF3"/>
    <w:rsid w:val="00813AFE"/>
    <w:rsid w:val="00813B84"/>
    <w:rsid w:val="00813B8A"/>
    <w:rsid w:val="00813BAC"/>
    <w:rsid w:val="00813BB9"/>
    <w:rsid w:val="00813BEB"/>
    <w:rsid w:val="00813BFC"/>
    <w:rsid w:val="00813C28"/>
    <w:rsid w:val="00813D5D"/>
    <w:rsid w:val="00813D80"/>
    <w:rsid w:val="00813D85"/>
    <w:rsid w:val="00813D8B"/>
    <w:rsid w:val="00813D93"/>
    <w:rsid w:val="00813DF2"/>
    <w:rsid w:val="00813E64"/>
    <w:rsid w:val="00813E91"/>
    <w:rsid w:val="00813F2B"/>
    <w:rsid w:val="00813F35"/>
    <w:rsid w:val="00813F3B"/>
    <w:rsid w:val="00813F92"/>
    <w:rsid w:val="00813FC6"/>
    <w:rsid w:val="00813FCC"/>
    <w:rsid w:val="0081401D"/>
    <w:rsid w:val="00814021"/>
    <w:rsid w:val="008140D8"/>
    <w:rsid w:val="00814164"/>
    <w:rsid w:val="00814181"/>
    <w:rsid w:val="00814183"/>
    <w:rsid w:val="00814187"/>
    <w:rsid w:val="00814216"/>
    <w:rsid w:val="00814277"/>
    <w:rsid w:val="00814303"/>
    <w:rsid w:val="00814359"/>
    <w:rsid w:val="0081441C"/>
    <w:rsid w:val="0081445A"/>
    <w:rsid w:val="0081449A"/>
    <w:rsid w:val="008144AA"/>
    <w:rsid w:val="00814505"/>
    <w:rsid w:val="00814508"/>
    <w:rsid w:val="0081452D"/>
    <w:rsid w:val="00814550"/>
    <w:rsid w:val="008145D2"/>
    <w:rsid w:val="008145E6"/>
    <w:rsid w:val="00814617"/>
    <w:rsid w:val="0081463F"/>
    <w:rsid w:val="0081466C"/>
    <w:rsid w:val="008146D7"/>
    <w:rsid w:val="008146DD"/>
    <w:rsid w:val="0081471A"/>
    <w:rsid w:val="00814798"/>
    <w:rsid w:val="008147C5"/>
    <w:rsid w:val="0081480A"/>
    <w:rsid w:val="00814889"/>
    <w:rsid w:val="008148B7"/>
    <w:rsid w:val="008148C8"/>
    <w:rsid w:val="00814902"/>
    <w:rsid w:val="00814946"/>
    <w:rsid w:val="00814A5C"/>
    <w:rsid w:val="00814A6B"/>
    <w:rsid w:val="00814AA4"/>
    <w:rsid w:val="00814AF3"/>
    <w:rsid w:val="00814B0D"/>
    <w:rsid w:val="00814B36"/>
    <w:rsid w:val="00814B56"/>
    <w:rsid w:val="00814B77"/>
    <w:rsid w:val="00814BA2"/>
    <w:rsid w:val="00814BA9"/>
    <w:rsid w:val="00814BAB"/>
    <w:rsid w:val="00814BB0"/>
    <w:rsid w:val="00814BE8"/>
    <w:rsid w:val="00814C3B"/>
    <w:rsid w:val="00814C47"/>
    <w:rsid w:val="00814C97"/>
    <w:rsid w:val="00814CBD"/>
    <w:rsid w:val="00814D3D"/>
    <w:rsid w:val="00814D6B"/>
    <w:rsid w:val="00814D88"/>
    <w:rsid w:val="00814D8C"/>
    <w:rsid w:val="00814D8D"/>
    <w:rsid w:val="00814DD3"/>
    <w:rsid w:val="00814E01"/>
    <w:rsid w:val="00814EAF"/>
    <w:rsid w:val="00814F72"/>
    <w:rsid w:val="00814F77"/>
    <w:rsid w:val="00814FD6"/>
    <w:rsid w:val="00814FF2"/>
    <w:rsid w:val="00815024"/>
    <w:rsid w:val="00815035"/>
    <w:rsid w:val="00815039"/>
    <w:rsid w:val="00815050"/>
    <w:rsid w:val="00815151"/>
    <w:rsid w:val="0081515B"/>
    <w:rsid w:val="00815193"/>
    <w:rsid w:val="008151A3"/>
    <w:rsid w:val="008151BF"/>
    <w:rsid w:val="008151DA"/>
    <w:rsid w:val="0081520A"/>
    <w:rsid w:val="00815235"/>
    <w:rsid w:val="0081528B"/>
    <w:rsid w:val="008152F7"/>
    <w:rsid w:val="00815325"/>
    <w:rsid w:val="00815374"/>
    <w:rsid w:val="0081538A"/>
    <w:rsid w:val="008153D8"/>
    <w:rsid w:val="0081543A"/>
    <w:rsid w:val="0081546D"/>
    <w:rsid w:val="00815471"/>
    <w:rsid w:val="00815481"/>
    <w:rsid w:val="0081552D"/>
    <w:rsid w:val="0081554F"/>
    <w:rsid w:val="0081555D"/>
    <w:rsid w:val="00815566"/>
    <w:rsid w:val="0081560D"/>
    <w:rsid w:val="0081565B"/>
    <w:rsid w:val="00815744"/>
    <w:rsid w:val="0081574E"/>
    <w:rsid w:val="00815804"/>
    <w:rsid w:val="00815865"/>
    <w:rsid w:val="0081587A"/>
    <w:rsid w:val="008158BD"/>
    <w:rsid w:val="008158E0"/>
    <w:rsid w:val="008158F5"/>
    <w:rsid w:val="00815968"/>
    <w:rsid w:val="00815970"/>
    <w:rsid w:val="00815A78"/>
    <w:rsid w:val="00815AAB"/>
    <w:rsid w:val="00815B1C"/>
    <w:rsid w:val="00815B31"/>
    <w:rsid w:val="00815B5B"/>
    <w:rsid w:val="00815C81"/>
    <w:rsid w:val="00815CCD"/>
    <w:rsid w:val="00815CF0"/>
    <w:rsid w:val="00815D09"/>
    <w:rsid w:val="00815D38"/>
    <w:rsid w:val="00815D4C"/>
    <w:rsid w:val="00815D53"/>
    <w:rsid w:val="00815D92"/>
    <w:rsid w:val="00815DD3"/>
    <w:rsid w:val="00815E29"/>
    <w:rsid w:val="00815E9E"/>
    <w:rsid w:val="00815EE6"/>
    <w:rsid w:val="00815EF3"/>
    <w:rsid w:val="00815F15"/>
    <w:rsid w:val="00815F25"/>
    <w:rsid w:val="00815FE6"/>
    <w:rsid w:val="00815FF9"/>
    <w:rsid w:val="00816056"/>
    <w:rsid w:val="0081605B"/>
    <w:rsid w:val="008160CF"/>
    <w:rsid w:val="008160D9"/>
    <w:rsid w:val="008161DA"/>
    <w:rsid w:val="008161DB"/>
    <w:rsid w:val="0081623A"/>
    <w:rsid w:val="008162EC"/>
    <w:rsid w:val="0081630C"/>
    <w:rsid w:val="00816339"/>
    <w:rsid w:val="00816372"/>
    <w:rsid w:val="008163C8"/>
    <w:rsid w:val="008163DD"/>
    <w:rsid w:val="008163FC"/>
    <w:rsid w:val="0081642D"/>
    <w:rsid w:val="0081646C"/>
    <w:rsid w:val="00816479"/>
    <w:rsid w:val="008164EF"/>
    <w:rsid w:val="00816527"/>
    <w:rsid w:val="008165A3"/>
    <w:rsid w:val="00816608"/>
    <w:rsid w:val="00816634"/>
    <w:rsid w:val="00816684"/>
    <w:rsid w:val="0081670E"/>
    <w:rsid w:val="00816743"/>
    <w:rsid w:val="008167B2"/>
    <w:rsid w:val="008167D9"/>
    <w:rsid w:val="00816800"/>
    <w:rsid w:val="00816886"/>
    <w:rsid w:val="00816893"/>
    <w:rsid w:val="008168CB"/>
    <w:rsid w:val="008168D4"/>
    <w:rsid w:val="00816900"/>
    <w:rsid w:val="00816909"/>
    <w:rsid w:val="00816914"/>
    <w:rsid w:val="00816990"/>
    <w:rsid w:val="008169A0"/>
    <w:rsid w:val="008169F7"/>
    <w:rsid w:val="00816A07"/>
    <w:rsid w:val="00816A42"/>
    <w:rsid w:val="00816A69"/>
    <w:rsid w:val="00816A82"/>
    <w:rsid w:val="00816AA3"/>
    <w:rsid w:val="00816AAD"/>
    <w:rsid w:val="00816B36"/>
    <w:rsid w:val="00816B91"/>
    <w:rsid w:val="00816B9D"/>
    <w:rsid w:val="00816BD4"/>
    <w:rsid w:val="00816C2B"/>
    <w:rsid w:val="00816C47"/>
    <w:rsid w:val="00816DCB"/>
    <w:rsid w:val="00816DF0"/>
    <w:rsid w:val="00816DF1"/>
    <w:rsid w:val="00816E4B"/>
    <w:rsid w:val="00816E6B"/>
    <w:rsid w:val="00816EBB"/>
    <w:rsid w:val="00816EC3"/>
    <w:rsid w:val="00816ECC"/>
    <w:rsid w:val="00816EDC"/>
    <w:rsid w:val="00816F85"/>
    <w:rsid w:val="00816F9B"/>
    <w:rsid w:val="00816FAD"/>
    <w:rsid w:val="00817054"/>
    <w:rsid w:val="00817139"/>
    <w:rsid w:val="00817156"/>
    <w:rsid w:val="008171BA"/>
    <w:rsid w:val="00817212"/>
    <w:rsid w:val="0081725A"/>
    <w:rsid w:val="008172E4"/>
    <w:rsid w:val="008173E6"/>
    <w:rsid w:val="00817466"/>
    <w:rsid w:val="00817470"/>
    <w:rsid w:val="008174B0"/>
    <w:rsid w:val="008174EC"/>
    <w:rsid w:val="008175BA"/>
    <w:rsid w:val="008175D7"/>
    <w:rsid w:val="00817602"/>
    <w:rsid w:val="0081764A"/>
    <w:rsid w:val="0081767F"/>
    <w:rsid w:val="0081771E"/>
    <w:rsid w:val="00817725"/>
    <w:rsid w:val="00817755"/>
    <w:rsid w:val="0081777E"/>
    <w:rsid w:val="008177CF"/>
    <w:rsid w:val="00817826"/>
    <w:rsid w:val="00817863"/>
    <w:rsid w:val="00817865"/>
    <w:rsid w:val="008178ED"/>
    <w:rsid w:val="008178EF"/>
    <w:rsid w:val="008178F6"/>
    <w:rsid w:val="0081792B"/>
    <w:rsid w:val="0081795C"/>
    <w:rsid w:val="00817A29"/>
    <w:rsid w:val="00817A3A"/>
    <w:rsid w:val="00817A6C"/>
    <w:rsid w:val="00817A7C"/>
    <w:rsid w:val="00817ABB"/>
    <w:rsid w:val="00817ADF"/>
    <w:rsid w:val="00817AE4"/>
    <w:rsid w:val="00817B00"/>
    <w:rsid w:val="00817B12"/>
    <w:rsid w:val="00817B79"/>
    <w:rsid w:val="00817BCA"/>
    <w:rsid w:val="00817C59"/>
    <w:rsid w:val="00817C63"/>
    <w:rsid w:val="00817C65"/>
    <w:rsid w:val="00817C8F"/>
    <w:rsid w:val="00817CC0"/>
    <w:rsid w:val="00817CC4"/>
    <w:rsid w:val="00817D94"/>
    <w:rsid w:val="00817DD9"/>
    <w:rsid w:val="00817E1C"/>
    <w:rsid w:val="00817E60"/>
    <w:rsid w:val="00817E72"/>
    <w:rsid w:val="00817F84"/>
    <w:rsid w:val="00817F9B"/>
    <w:rsid w:val="00820061"/>
    <w:rsid w:val="00820104"/>
    <w:rsid w:val="0082017D"/>
    <w:rsid w:val="00820297"/>
    <w:rsid w:val="008202BA"/>
    <w:rsid w:val="00820355"/>
    <w:rsid w:val="0082039A"/>
    <w:rsid w:val="008203AC"/>
    <w:rsid w:val="008203B9"/>
    <w:rsid w:val="00820436"/>
    <w:rsid w:val="0082043F"/>
    <w:rsid w:val="008204B2"/>
    <w:rsid w:val="00820511"/>
    <w:rsid w:val="0082052E"/>
    <w:rsid w:val="00820559"/>
    <w:rsid w:val="008205A0"/>
    <w:rsid w:val="008206CE"/>
    <w:rsid w:val="00820712"/>
    <w:rsid w:val="00820772"/>
    <w:rsid w:val="00820852"/>
    <w:rsid w:val="00820877"/>
    <w:rsid w:val="008208A5"/>
    <w:rsid w:val="008208E7"/>
    <w:rsid w:val="00820901"/>
    <w:rsid w:val="0082091F"/>
    <w:rsid w:val="0082095C"/>
    <w:rsid w:val="008209A5"/>
    <w:rsid w:val="00820A56"/>
    <w:rsid w:val="00820A89"/>
    <w:rsid w:val="00820B12"/>
    <w:rsid w:val="00820B5F"/>
    <w:rsid w:val="00820B75"/>
    <w:rsid w:val="00820C1D"/>
    <w:rsid w:val="00820C2D"/>
    <w:rsid w:val="00820C30"/>
    <w:rsid w:val="00820D01"/>
    <w:rsid w:val="00820D75"/>
    <w:rsid w:val="00820DAA"/>
    <w:rsid w:val="00820DEC"/>
    <w:rsid w:val="00820E42"/>
    <w:rsid w:val="00820ECE"/>
    <w:rsid w:val="00820FD6"/>
    <w:rsid w:val="008210AB"/>
    <w:rsid w:val="0082113A"/>
    <w:rsid w:val="00821148"/>
    <w:rsid w:val="00821162"/>
    <w:rsid w:val="00821191"/>
    <w:rsid w:val="0082119E"/>
    <w:rsid w:val="0082126D"/>
    <w:rsid w:val="00821299"/>
    <w:rsid w:val="008212A8"/>
    <w:rsid w:val="008212CB"/>
    <w:rsid w:val="008212F9"/>
    <w:rsid w:val="0082137D"/>
    <w:rsid w:val="0082138F"/>
    <w:rsid w:val="008213D5"/>
    <w:rsid w:val="00821422"/>
    <w:rsid w:val="0082142B"/>
    <w:rsid w:val="0082143B"/>
    <w:rsid w:val="008214A1"/>
    <w:rsid w:val="00821503"/>
    <w:rsid w:val="0082153C"/>
    <w:rsid w:val="00821581"/>
    <w:rsid w:val="008215A1"/>
    <w:rsid w:val="008215A9"/>
    <w:rsid w:val="008215BF"/>
    <w:rsid w:val="008215E0"/>
    <w:rsid w:val="0082165F"/>
    <w:rsid w:val="00821681"/>
    <w:rsid w:val="0082168A"/>
    <w:rsid w:val="008216A7"/>
    <w:rsid w:val="008216F4"/>
    <w:rsid w:val="008217AB"/>
    <w:rsid w:val="008217E6"/>
    <w:rsid w:val="00821868"/>
    <w:rsid w:val="008218B1"/>
    <w:rsid w:val="008218EB"/>
    <w:rsid w:val="00821921"/>
    <w:rsid w:val="008219B0"/>
    <w:rsid w:val="008219F9"/>
    <w:rsid w:val="00821A03"/>
    <w:rsid w:val="00821A36"/>
    <w:rsid w:val="00821A49"/>
    <w:rsid w:val="00821A98"/>
    <w:rsid w:val="00821AB9"/>
    <w:rsid w:val="00821AEB"/>
    <w:rsid w:val="00821AEF"/>
    <w:rsid w:val="00821AF6"/>
    <w:rsid w:val="00821B42"/>
    <w:rsid w:val="00821B47"/>
    <w:rsid w:val="00821B66"/>
    <w:rsid w:val="00821C2D"/>
    <w:rsid w:val="00821C31"/>
    <w:rsid w:val="00821CA9"/>
    <w:rsid w:val="00821CAE"/>
    <w:rsid w:val="00821CEB"/>
    <w:rsid w:val="00821D25"/>
    <w:rsid w:val="00821D30"/>
    <w:rsid w:val="00821D34"/>
    <w:rsid w:val="00821DB7"/>
    <w:rsid w:val="00821E20"/>
    <w:rsid w:val="00821E5E"/>
    <w:rsid w:val="00821E6D"/>
    <w:rsid w:val="00821E94"/>
    <w:rsid w:val="00821EB8"/>
    <w:rsid w:val="00821EBC"/>
    <w:rsid w:val="00821EBD"/>
    <w:rsid w:val="00821F1D"/>
    <w:rsid w:val="00821FBA"/>
    <w:rsid w:val="00821FF3"/>
    <w:rsid w:val="00822018"/>
    <w:rsid w:val="00822021"/>
    <w:rsid w:val="00822035"/>
    <w:rsid w:val="008220A7"/>
    <w:rsid w:val="008220CD"/>
    <w:rsid w:val="008220EF"/>
    <w:rsid w:val="00822128"/>
    <w:rsid w:val="0082212C"/>
    <w:rsid w:val="0082213F"/>
    <w:rsid w:val="008222A5"/>
    <w:rsid w:val="008222AA"/>
    <w:rsid w:val="0082230A"/>
    <w:rsid w:val="008223A2"/>
    <w:rsid w:val="0082243A"/>
    <w:rsid w:val="0082243C"/>
    <w:rsid w:val="00822455"/>
    <w:rsid w:val="008224DA"/>
    <w:rsid w:val="008224DF"/>
    <w:rsid w:val="00822501"/>
    <w:rsid w:val="008225C6"/>
    <w:rsid w:val="008225CA"/>
    <w:rsid w:val="00822604"/>
    <w:rsid w:val="00822609"/>
    <w:rsid w:val="0082260A"/>
    <w:rsid w:val="00822632"/>
    <w:rsid w:val="00822644"/>
    <w:rsid w:val="00822705"/>
    <w:rsid w:val="0082270A"/>
    <w:rsid w:val="00822736"/>
    <w:rsid w:val="00822758"/>
    <w:rsid w:val="008227D4"/>
    <w:rsid w:val="0082282A"/>
    <w:rsid w:val="0082282B"/>
    <w:rsid w:val="0082287F"/>
    <w:rsid w:val="008228DE"/>
    <w:rsid w:val="008228E7"/>
    <w:rsid w:val="00822949"/>
    <w:rsid w:val="00822961"/>
    <w:rsid w:val="0082299E"/>
    <w:rsid w:val="008229AD"/>
    <w:rsid w:val="008229B8"/>
    <w:rsid w:val="008229D2"/>
    <w:rsid w:val="00822A0F"/>
    <w:rsid w:val="00822A68"/>
    <w:rsid w:val="00822A77"/>
    <w:rsid w:val="00822A9A"/>
    <w:rsid w:val="00822AD4"/>
    <w:rsid w:val="00822BA6"/>
    <w:rsid w:val="00822BB0"/>
    <w:rsid w:val="00822BDE"/>
    <w:rsid w:val="00822BF8"/>
    <w:rsid w:val="00822C3E"/>
    <w:rsid w:val="00822C44"/>
    <w:rsid w:val="00822C53"/>
    <w:rsid w:val="00822C9F"/>
    <w:rsid w:val="00822CA8"/>
    <w:rsid w:val="00822CC8"/>
    <w:rsid w:val="00822CE9"/>
    <w:rsid w:val="00822D2A"/>
    <w:rsid w:val="00822D71"/>
    <w:rsid w:val="00822D96"/>
    <w:rsid w:val="00822D99"/>
    <w:rsid w:val="00822DF2"/>
    <w:rsid w:val="00822E7F"/>
    <w:rsid w:val="00822E93"/>
    <w:rsid w:val="00822F02"/>
    <w:rsid w:val="00822F74"/>
    <w:rsid w:val="00822FF9"/>
    <w:rsid w:val="0082306F"/>
    <w:rsid w:val="008230AB"/>
    <w:rsid w:val="00823108"/>
    <w:rsid w:val="00823111"/>
    <w:rsid w:val="00823217"/>
    <w:rsid w:val="0082329F"/>
    <w:rsid w:val="008232BA"/>
    <w:rsid w:val="008232ED"/>
    <w:rsid w:val="00823307"/>
    <w:rsid w:val="0082333D"/>
    <w:rsid w:val="008233D5"/>
    <w:rsid w:val="00823444"/>
    <w:rsid w:val="00823445"/>
    <w:rsid w:val="00823449"/>
    <w:rsid w:val="00823480"/>
    <w:rsid w:val="008234BA"/>
    <w:rsid w:val="00823510"/>
    <w:rsid w:val="008235AE"/>
    <w:rsid w:val="00823642"/>
    <w:rsid w:val="008236C8"/>
    <w:rsid w:val="008236E5"/>
    <w:rsid w:val="00823721"/>
    <w:rsid w:val="00823728"/>
    <w:rsid w:val="0082377B"/>
    <w:rsid w:val="00823780"/>
    <w:rsid w:val="008238C0"/>
    <w:rsid w:val="008238FB"/>
    <w:rsid w:val="008239C3"/>
    <w:rsid w:val="008239D2"/>
    <w:rsid w:val="00823A72"/>
    <w:rsid w:val="00823AE6"/>
    <w:rsid w:val="00823B67"/>
    <w:rsid w:val="00823B8B"/>
    <w:rsid w:val="00823BCD"/>
    <w:rsid w:val="00823BFF"/>
    <w:rsid w:val="00823C12"/>
    <w:rsid w:val="00823C9E"/>
    <w:rsid w:val="00823CBD"/>
    <w:rsid w:val="00823D62"/>
    <w:rsid w:val="00823D86"/>
    <w:rsid w:val="00823DE8"/>
    <w:rsid w:val="00823E20"/>
    <w:rsid w:val="00823E21"/>
    <w:rsid w:val="00823E8A"/>
    <w:rsid w:val="00823F21"/>
    <w:rsid w:val="00823F34"/>
    <w:rsid w:val="00823F49"/>
    <w:rsid w:val="00823F8A"/>
    <w:rsid w:val="00824072"/>
    <w:rsid w:val="0082407C"/>
    <w:rsid w:val="008240F2"/>
    <w:rsid w:val="00824147"/>
    <w:rsid w:val="00824198"/>
    <w:rsid w:val="0082420E"/>
    <w:rsid w:val="00824227"/>
    <w:rsid w:val="00824275"/>
    <w:rsid w:val="00824282"/>
    <w:rsid w:val="00824307"/>
    <w:rsid w:val="00824319"/>
    <w:rsid w:val="00824395"/>
    <w:rsid w:val="008243B0"/>
    <w:rsid w:val="008243BA"/>
    <w:rsid w:val="008243DC"/>
    <w:rsid w:val="008244A8"/>
    <w:rsid w:val="00824595"/>
    <w:rsid w:val="008245BC"/>
    <w:rsid w:val="008245E6"/>
    <w:rsid w:val="008245F3"/>
    <w:rsid w:val="00824600"/>
    <w:rsid w:val="0082461C"/>
    <w:rsid w:val="0082464B"/>
    <w:rsid w:val="008246C3"/>
    <w:rsid w:val="00824798"/>
    <w:rsid w:val="00824809"/>
    <w:rsid w:val="0082487E"/>
    <w:rsid w:val="00824888"/>
    <w:rsid w:val="0082488B"/>
    <w:rsid w:val="008248B8"/>
    <w:rsid w:val="00824ADE"/>
    <w:rsid w:val="00824B1B"/>
    <w:rsid w:val="00824B28"/>
    <w:rsid w:val="00824BD9"/>
    <w:rsid w:val="00824C35"/>
    <w:rsid w:val="00824CD3"/>
    <w:rsid w:val="00824D1F"/>
    <w:rsid w:val="00824D55"/>
    <w:rsid w:val="00824E5D"/>
    <w:rsid w:val="00824E83"/>
    <w:rsid w:val="00824EAE"/>
    <w:rsid w:val="00824EBC"/>
    <w:rsid w:val="00824EED"/>
    <w:rsid w:val="00824F50"/>
    <w:rsid w:val="00824F53"/>
    <w:rsid w:val="00824F86"/>
    <w:rsid w:val="00824F97"/>
    <w:rsid w:val="0082500D"/>
    <w:rsid w:val="0082501D"/>
    <w:rsid w:val="00825021"/>
    <w:rsid w:val="0082504E"/>
    <w:rsid w:val="0082508B"/>
    <w:rsid w:val="008250A0"/>
    <w:rsid w:val="008250BB"/>
    <w:rsid w:val="008250E6"/>
    <w:rsid w:val="00825111"/>
    <w:rsid w:val="00825152"/>
    <w:rsid w:val="00825189"/>
    <w:rsid w:val="00825197"/>
    <w:rsid w:val="008251C4"/>
    <w:rsid w:val="0082523C"/>
    <w:rsid w:val="008252C6"/>
    <w:rsid w:val="008252D5"/>
    <w:rsid w:val="0082535A"/>
    <w:rsid w:val="00825367"/>
    <w:rsid w:val="00825373"/>
    <w:rsid w:val="00825388"/>
    <w:rsid w:val="008253C3"/>
    <w:rsid w:val="008253CA"/>
    <w:rsid w:val="00825409"/>
    <w:rsid w:val="008254A8"/>
    <w:rsid w:val="008254CF"/>
    <w:rsid w:val="00825519"/>
    <w:rsid w:val="00825528"/>
    <w:rsid w:val="0082554A"/>
    <w:rsid w:val="008255AF"/>
    <w:rsid w:val="008255E6"/>
    <w:rsid w:val="008255FE"/>
    <w:rsid w:val="008255FF"/>
    <w:rsid w:val="00825662"/>
    <w:rsid w:val="008256BC"/>
    <w:rsid w:val="008256D5"/>
    <w:rsid w:val="00825705"/>
    <w:rsid w:val="00825720"/>
    <w:rsid w:val="00825729"/>
    <w:rsid w:val="00825808"/>
    <w:rsid w:val="00825828"/>
    <w:rsid w:val="008258CC"/>
    <w:rsid w:val="008258CF"/>
    <w:rsid w:val="008258D6"/>
    <w:rsid w:val="0082593C"/>
    <w:rsid w:val="008259E2"/>
    <w:rsid w:val="008259E3"/>
    <w:rsid w:val="00825A16"/>
    <w:rsid w:val="00825A78"/>
    <w:rsid w:val="00825AD7"/>
    <w:rsid w:val="00825B1C"/>
    <w:rsid w:val="00825BEE"/>
    <w:rsid w:val="00825C79"/>
    <w:rsid w:val="00825D2A"/>
    <w:rsid w:val="00825DEC"/>
    <w:rsid w:val="00825E7D"/>
    <w:rsid w:val="00825E91"/>
    <w:rsid w:val="00825F18"/>
    <w:rsid w:val="00825F1F"/>
    <w:rsid w:val="00825F43"/>
    <w:rsid w:val="00825FBA"/>
    <w:rsid w:val="00825FC1"/>
    <w:rsid w:val="00825FEC"/>
    <w:rsid w:val="00826043"/>
    <w:rsid w:val="0082607F"/>
    <w:rsid w:val="00826090"/>
    <w:rsid w:val="00826096"/>
    <w:rsid w:val="008261A2"/>
    <w:rsid w:val="00826206"/>
    <w:rsid w:val="00826214"/>
    <w:rsid w:val="00826233"/>
    <w:rsid w:val="00826245"/>
    <w:rsid w:val="0082626A"/>
    <w:rsid w:val="008262EF"/>
    <w:rsid w:val="0082633B"/>
    <w:rsid w:val="00826393"/>
    <w:rsid w:val="008263B4"/>
    <w:rsid w:val="008263C4"/>
    <w:rsid w:val="00826421"/>
    <w:rsid w:val="0082644E"/>
    <w:rsid w:val="0082647F"/>
    <w:rsid w:val="00826480"/>
    <w:rsid w:val="00826495"/>
    <w:rsid w:val="008264FA"/>
    <w:rsid w:val="00826513"/>
    <w:rsid w:val="00826517"/>
    <w:rsid w:val="0082657E"/>
    <w:rsid w:val="00826595"/>
    <w:rsid w:val="008265B8"/>
    <w:rsid w:val="008265EA"/>
    <w:rsid w:val="0082664A"/>
    <w:rsid w:val="008266B8"/>
    <w:rsid w:val="008266F9"/>
    <w:rsid w:val="00826736"/>
    <w:rsid w:val="0082674A"/>
    <w:rsid w:val="00826795"/>
    <w:rsid w:val="0082686B"/>
    <w:rsid w:val="008268C4"/>
    <w:rsid w:val="008268CD"/>
    <w:rsid w:val="0082691E"/>
    <w:rsid w:val="00826932"/>
    <w:rsid w:val="00826947"/>
    <w:rsid w:val="00826990"/>
    <w:rsid w:val="008269C6"/>
    <w:rsid w:val="008269E8"/>
    <w:rsid w:val="008269F2"/>
    <w:rsid w:val="00826A1A"/>
    <w:rsid w:val="00826A34"/>
    <w:rsid w:val="00826A4F"/>
    <w:rsid w:val="00826A78"/>
    <w:rsid w:val="00826A98"/>
    <w:rsid w:val="00826ADA"/>
    <w:rsid w:val="00826B0B"/>
    <w:rsid w:val="00826B0D"/>
    <w:rsid w:val="00826B26"/>
    <w:rsid w:val="00826BA5"/>
    <w:rsid w:val="00826BC4"/>
    <w:rsid w:val="00826BCA"/>
    <w:rsid w:val="00826BF9"/>
    <w:rsid w:val="00826C14"/>
    <w:rsid w:val="00826C3B"/>
    <w:rsid w:val="00826C55"/>
    <w:rsid w:val="00826C5E"/>
    <w:rsid w:val="00826C86"/>
    <w:rsid w:val="00826CB3"/>
    <w:rsid w:val="00826D12"/>
    <w:rsid w:val="00826D90"/>
    <w:rsid w:val="00826DA8"/>
    <w:rsid w:val="00826DC8"/>
    <w:rsid w:val="00826E38"/>
    <w:rsid w:val="00826EA7"/>
    <w:rsid w:val="00826F2D"/>
    <w:rsid w:val="00826F68"/>
    <w:rsid w:val="00826F6D"/>
    <w:rsid w:val="00826F75"/>
    <w:rsid w:val="00826FA9"/>
    <w:rsid w:val="00826FC8"/>
    <w:rsid w:val="00826FDA"/>
    <w:rsid w:val="00826FF1"/>
    <w:rsid w:val="00827032"/>
    <w:rsid w:val="008270C1"/>
    <w:rsid w:val="008270F8"/>
    <w:rsid w:val="00827152"/>
    <w:rsid w:val="00827175"/>
    <w:rsid w:val="00827190"/>
    <w:rsid w:val="008271D1"/>
    <w:rsid w:val="008271D7"/>
    <w:rsid w:val="008271FE"/>
    <w:rsid w:val="0082729F"/>
    <w:rsid w:val="008272B8"/>
    <w:rsid w:val="00827303"/>
    <w:rsid w:val="008273AE"/>
    <w:rsid w:val="00827435"/>
    <w:rsid w:val="0082748E"/>
    <w:rsid w:val="00827517"/>
    <w:rsid w:val="0082751F"/>
    <w:rsid w:val="0082758D"/>
    <w:rsid w:val="008275BA"/>
    <w:rsid w:val="008275EE"/>
    <w:rsid w:val="00827604"/>
    <w:rsid w:val="00827621"/>
    <w:rsid w:val="00827665"/>
    <w:rsid w:val="008276A4"/>
    <w:rsid w:val="008276AB"/>
    <w:rsid w:val="008276D0"/>
    <w:rsid w:val="00827748"/>
    <w:rsid w:val="0082774C"/>
    <w:rsid w:val="0082776E"/>
    <w:rsid w:val="00827785"/>
    <w:rsid w:val="008277E1"/>
    <w:rsid w:val="008277E5"/>
    <w:rsid w:val="00827810"/>
    <w:rsid w:val="00827823"/>
    <w:rsid w:val="008278EC"/>
    <w:rsid w:val="00827998"/>
    <w:rsid w:val="00827B12"/>
    <w:rsid w:val="00827B36"/>
    <w:rsid w:val="00827BDA"/>
    <w:rsid w:val="00827BEA"/>
    <w:rsid w:val="00827CF3"/>
    <w:rsid w:val="00827D02"/>
    <w:rsid w:val="00827D8E"/>
    <w:rsid w:val="00827E74"/>
    <w:rsid w:val="00827EA6"/>
    <w:rsid w:val="00827FC5"/>
    <w:rsid w:val="0083001C"/>
    <w:rsid w:val="00830045"/>
    <w:rsid w:val="0083005E"/>
    <w:rsid w:val="008300B7"/>
    <w:rsid w:val="00830179"/>
    <w:rsid w:val="00830192"/>
    <w:rsid w:val="008301E1"/>
    <w:rsid w:val="0083021F"/>
    <w:rsid w:val="00830271"/>
    <w:rsid w:val="0083028D"/>
    <w:rsid w:val="008302A0"/>
    <w:rsid w:val="00830354"/>
    <w:rsid w:val="00830362"/>
    <w:rsid w:val="0083038F"/>
    <w:rsid w:val="0083039B"/>
    <w:rsid w:val="008303A1"/>
    <w:rsid w:val="008303D4"/>
    <w:rsid w:val="008303D7"/>
    <w:rsid w:val="008303F4"/>
    <w:rsid w:val="008304DE"/>
    <w:rsid w:val="00830565"/>
    <w:rsid w:val="00830586"/>
    <w:rsid w:val="008305B0"/>
    <w:rsid w:val="0083064E"/>
    <w:rsid w:val="0083068A"/>
    <w:rsid w:val="00830705"/>
    <w:rsid w:val="00830719"/>
    <w:rsid w:val="00830731"/>
    <w:rsid w:val="00830742"/>
    <w:rsid w:val="0083076C"/>
    <w:rsid w:val="008307BD"/>
    <w:rsid w:val="0083081D"/>
    <w:rsid w:val="00830863"/>
    <w:rsid w:val="00830876"/>
    <w:rsid w:val="0083090D"/>
    <w:rsid w:val="008309C8"/>
    <w:rsid w:val="00830A36"/>
    <w:rsid w:val="00830A85"/>
    <w:rsid w:val="00830A95"/>
    <w:rsid w:val="00830A9B"/>
    <w:rsid w:val="00830AA5"/>
    <w:rsid w:val="00830B09"/>
    <w:rsid w:val="00830B42"/>
    <w:rsid w:val="00830C56"/>
    <w:rsid w:val="00830C6D"/>
    <w:rsid w:val="00830CB8"/>
    <w:rsid w:val="00830DED"/>
    <w:rsid w:val="00830DF7"/>
    <w:rsid w:val="00830E09"/>
    <w:rsid w:val="00830E35"/>
    <w:rsid w:val="00830EA0"/>
    <w:rsid w:val="00830ECA"/>
    <w:rsid w:val="00830EF2"/>
    <w:rsid w:val="00830F29"/>
    <w:rsid w:val="00830FA6"/>
    <w:rsid w:val="00830FC2"/>
    <w:rsid w:val="00831029"/>
    <w:rsid w:val="0083102B"/>
    <w:rsid w:val="008310AF"/>
    <w:rsid w:val="00831113"/>
    <w:rsid w:val="0083111A"/>
    <w:rsid w:val="008311B8"/>
    <w:rsid w:val="008311BC"/>
    <w:rsid w:val="00831245"/>
    <w:rsid w:val="0083124A"/>
    <w:rsid w:val="008312A2"/>
    <w:rsid w:val="008312AA"/>
    <w:rsid w:val="008312F0"/>
    <w:rsid w:val="0083139B"/>
    <w:rsid w:val="008313C3"/>
    <w:rsid w:val="008313D4"/>
    <w:rsid w:val="0083144B"/>
    <w:rsid w:val="00831478"/>
    <w:rsid w:val="00831518"/>
    <w:rsid w:val="0083152C"/>
    <w:rsid w:val="0083155B"/>
    <w:rsid w:val="00831588"/>
    <w:rsid w:val="00831592"/>
    <w:rsid w:val="00831596"/>
    <w:rsid w:val="0083162E"/>
    <w:rsid w:val="00831647"/>
    <w:rsid w:val="0083166B"/>
    <w:rsid w:val="00831696"/>
    <w:rsid w:val="008316D3"/>
    <w:rsid w:val="0083175D"/>
    <w:rsid w:val="00831829"/>
    <w:rsid w:val="00831986"/>
    <w:rsid w:val="008319AB"/>
    <w:rsid w:val="008319E4"/>
    <w:rsid w:val="008319ED"/>
    <w:rsid w:val="00831A3D"/>
    <w:rsid w:val="00831A6E"/>
    <w:rsid w:val="00831B25"/>
    <w:rsid w:val="00831B50"/>
    <w:rsid w:val="00831B59"/>
    <w:rsid w:val="00831B9C"/>
    <w:rsid w:val="00831BE1"/>
    <w:rsid w:val="00831C14"/>
    <w:rsid w:val="00831C93"/>
    <w:rsid w:val="00831C9D"/>
    <w:rsid w:val="00831CC7"/>
    <w:rsid w:val="00831D26"/>
    <w:rsid w:val="00831DB4"/>
    <w:rsid w:val="00831DE9"/>
    <w:rsid w:val="00831DF1"/>
    <w:rsid w:val="00831DF9"/>
    <w:rsid w:val="00831EB0"/>
    <w:rsid w:val="00831EB8"/>
    <w:rsid w:val="00831EF0"/>
    <w:rsid w:val="008320A8"/>
    <w:rsid w:val="00832147"/>
    <w:rsid w:val="008321EB"/>
    <w:rsid w:val="008321FE"/>
    <w:rsid w:val="00832243"/>
    <w:rsid w:val="00832270"/>
    <w:rsid w:val="008322BF"/>
    <w:rsid w:val="008322EA"/>
    <w:rsid w:val="00832331"/>
    <w:rsid w:val="0083238C"/>
    <w:rsid w:val="008323A5"/>
    <w:rsid w:val="008323A8"/>
    <w:rsid w:val="00832405"/>
    <w:rsid w:val="0083240E"/>
    <w:rsid w:val="0083243F"/>
    <w:rsid w:val="00832466"/>
    <w:rsid w:val="0083247F"/>
    <w:rsid w:val="008324EC"/>
    <w:rsid w:val="00832510"/>
    <w:rsid w:val="00832524"/>
    <w:rsid w:val="00832623"/>
    <w:rsid w:val="00832629"/>
    <w:rsid w:val="00832681"/>
    <w:rsid w:val="008326D3"/>
    <w:rsid w:val="0083273C"/>
    <w:rsid w:val="00832742"/>
    <w:rsid w:val="008327DF"/>
    <w:rsid w:val="008327FE"/>
    <w:rsid w:val="00832821"/>
    <w:rsid w:val="00832826"/>
    <w:rsid w:val="00832836"/>
    <w:rsid w:val="008328DC"/>
    <w:rsid w:val="008328F9"/>
    <w:rsid w:val="00832911"/>
    <w:rsid w:val="00832923"/>
    <w:rsid w:val="008329C7"/>
    <w:rsid w:val="008329CE"/>
    <w:rsid w:val="008329CF"/>
    <w:rsid w:val="008329DC"/>
    <w:rsid w:val="00832A1F"/>
    <w:rsid w:val="00832A29"/>
    <w:rsid w:val="00832AB5"/>
    <w:rsid w:val="00832AEA"/>
    <w:rsid w:val="00832B8A"/>
    <w:rsid w:val="00832C08"/>
    <w:rsid w:val="00832C74"/>
    <w:rsid w:val="00832D56"/>
    <w:rsid w:val="00832DA7"/>
    <w:rsid w:val="00832DF8"/>
    <w:rsid w:val="00832E62"/>
    <w:rsid w:val="00832E9C"/>
    <w:rsid w:val="00832EBE"/>
    <w:rsid w:val="00832EC5"/>
    <w:rsid w:val="00832EE1"/>
    <w:rsid w:val="00832F24"/>
    <w:rsid w:val="00832F3F"/>
    <w:rsid w:val="00832F6F"/>
    <w:rsid w:val="00832FDD"/>
    <w:rsid w:val="0083305B"/>
    <w:rsid w:val="008330BA"/>
    <w:rsid w:val="008330C8"/>
    <w:rsid w:val="008330D4"/>
    <w:rsid w:val="008330D9"/>
    <w:rsid w:val="008330E2"/>
    <w:rsid w:val="008330FA"/>
    <w:rsid w:val="0083312D"/>
    <w:rsid w:val="0083312F"/>
    <w:rsid w:val="00833161"/>
    <w:rsid w:val="008331CE"/>
    <w:rsid w:val="008331EC"/>
    <w:rsid w:val="00833210"/>
    <w:rsid w:val="00833244"/>
    <w:rsid w:val="00833281"/>
    <w:rsid w:val="008332CE"/>
    <w:rsid w:val="008332DA"/>
    <w:rsid w:val="00833315"/>
    <w:rsid w:val="008333B7"/>
    <w:rsid w:val="008333E6"/>
    <w:rsid w:val="008333FC"/>
    <w:rsid w:val="008334F4"/>
    <w:rsid w:val="00833550"/>
    <w:rsid w:val="008335C2"/>
    <w:rsid w:val="00833646"/>
    <w:rsid w:val="008336D0"/>
    <w:rsid w:val="008336D4"/>
    <w:rsid w:val="00833702"/>
    <w:rsid w:val="00833734"/>
    <w:rsid w:val="008337A5"/>
    <w:rsid w:val="008337BB"/>
    <w:rsid w:val="00833879"/>
    <w:rsid w:val="00833888"/>
    <w:rsid w:val="008338A6"/>
    <w:rsid w:val="008338E3"/>
    <w:rsid w:val="00833940"/>
    <w:rsid w:val="00833972"/>
    <w:rsid w:val="00833991"/>
    <w:rsid w:val="008339C6"/>
    <w:rsid w:val="008339EE"/>
    <w:rsid w:val="00833A04"/>
    <w:rsid w:val="00833A27"/>
    <w:rsid w:val="00833A65"/>
    <w:rsid w:val="00833A6F"/>
    <w:rsid w:val="00833AED"/>
    <w:rsid w:val="00833B36"/>
    <w:rsid w:val="00833B69"/>
    <w:rsid w:val="00833B8A"/>
    <w:rsid w:val="00833B8B"/>
    <w:rsid w:val="00833BA6"/>
    <w:rsid w:val="00833BCD"/>
    <w:rsid w:val="00833C1B"/>
    <w:rsid w:val="00833C36"/>
    <w:rsid w:val="00833D67"/>
    <w:rsid w:val="00833DA8"/>
    <w:rsid w:val="00833DFF"/>
    <w:rsid w:val="00833E12"/>
    <w:rsid w:val="00833EFB"/>
    <w:rsid w:val="00833F38"/>
    <w:rsid w:val="00833F55"/>
    <w:rsid w:val="00833F84"/>
    <w:rsid w:val="00833FDD"/>
    <w:rsid w:val="0083401D"/>
    <w:rsid w:val="008340C9"/>
    <w:rsid w:val="008340E2"/>
    <w:rsid w:val="00834117"/>
    <w:rsid w:val="0083411F"/>
    <w:rsid w:val="00834121"/>
    <w:rsid w:val="00834151"/>
    <w:rsid w:val="00834192"/>
    <w:rsid w:val="008341A9"/>
    <w:rsid w:val="008341B2"/>
    <w:rsid w:val="0083422C"/>
    <w:rsid w:val="00834230"/>
    <w:rsid w:val="00834243"/>
    <w:rsid w:val="00834296"/>
    <w:rsid w:val="00834312"/>
    <w:rsid w:val="00834372"/>
    <w:rsid w:val="00834396"/>
    <w:rsid w:val="008343BB"/>
    <w:rsid w:val="0083445C"/>
    <w:rsid w:val="008344CC"/>
    <w:rsid w:val="0083452E"/>
    <w:rsid w:val="008345C0"/>
    <w:rsid w:val="008346AD"/>
    <w:rsid w:val="00834771"/>
    <w:rsid w:val="0083478A"/>
    <w:rsid w:val="008347D9"/>
    <w:rsid w:val="00834806"/>
    <w:rsid w:val="00834889"/>
    <w:rsid w:val="008348E0"/>
    <w:rsid w:val="008348F4"/>
    <w:rsid w:val="00834940"/>
    <w:rsid w:val="00834955"/>
    <w:rsid w:val="00834963"/>
    <w:rsid w:val="008349C0"/>
    <w:rsid w:val="008349D6"/>
    <w:rsid w:val="008349F5"/>
    <w:rsid w:val="00834A5A"/>
    <w:rsid w:val="00834A8C"/>
    <w:rsid w:val="00834B27"/>
    <w:rsid w:val="00834B3F"/>
    <w:rsid w:val="00834B76"/>
    <w:rsid w:val="00834BB0"/>
    <w:rsid w:val="00834BD7"/>
    <w:rsid w:val="00834C19"/>
    <w:rsid w:val="00834C21"/>
    <w:rsid w:val="00834C28"/>
    <w:rsid w:val="00834C7E"/>
    <w:rsid w:val="00834C7F"/>
    <w:rsid w:val="00834C92"/>
    <w:rsid w:val="00834CE7"/>
    <w:rsid w:val="00834D8C"/>
    <w:rsid w:val="00834DC6"/>
    <w:rsid w:val="00834DCA"/>
    <w:rsid w:val="00834E1A"/>
    <w:rsid w:val="00834F03"/>
    <w:rsid w:val="0083500B"/>
    <w:rsid w:val="0083505F"/>
    <w:rsid w:val="008350C8"/>
    <w:rsid w:val="008350D5"/>
    <w:rsid w:val="008350FF"/>
    <w:rsid w:val="00835101"/>
    <w:rsid w:val="008351D9"/>
    <w:rsid w:val="0083523E"/>
    <w:rsid w:val="00835243"/>
    <w:rsid w:val="0083527E"/>
    <w:rsid w:val="00835293"/>
    <w:rsid w:val="008352DE"/>
    <w:rsid w:val="00835371"/>
    <w:rsid w:val="008353D3"/>
    <w:rsid w:val="0083540B"/>
    <w:rsid w:val="00835414"/>
    <w:rsid w:val="00835434"/>
    <w:rsid w:val="008354B7"/>
    <w:rsid w:val="008354C0"/>
    <w:rsid w:val="0083550C"/>
    <w:rsid w:val="0083551E"/>
    <w:rsid w:val="00835543"/>
    <w:rsid w:val="0083555E"/>
    <w:rsid w:val="008355EE"/>
    <w:rsid w:val="00835614"/>
    <w:rsid w:val="00835632"/>
    <w:rsid w:val="0083564D"/>
    <w:rsid w:val="00835656"/>
    <w:rsid w:val="00835659"/>
    <w:rsid w:val="008356CC"/>
    <w:rsid w:val="00835701"/>
    <w:rsid w:val="008357DF"/>
    <w:rsid w:val="00835836"/>
    <w:rsid w:val="00835842"/>
    <w:rsid w:val="00835860"/>
    <w:rsid w:val="00835882"/>
    <w:rsid w:val="00835931"/>
    <w:rsid w:val="0083594E"/>
    <w:rsid w:val="00835979"/>
    <w:rsid w:val="008359C2"/>
    <w:rsid w:val="008359DC"/>
    <w:rsid w:val="00835A0C"/>
    <w:rsid w:val="00835A3C"/>
    <w:rsid w:val="00835A6A"/>
    <w:rsid w:val="00835B37"/>
    <w:rsid w:val="00835B64"/>
    <w:rsid w:val="00835BE3"/>
    <w:rsid w:val="00835BF5"/>
    <w:rsid w:val="00835C22"/>
    <w:rsid w:val="00835C44"/>
    <w:rsid w:val="00835C4B"/>
    <w:rsid w:val="00835D54"/>
    <w:rsid w:val="00835DFF"/>
    <w:rsid w:val="00835E1D"/>
    <w:rsid w:val="00835ED7"/>
    <w:rsid w:val="00835F3C"/>
    <w:rsid w:val="00835F3D"/>
    <w:rsid w:val="00835F69"/>
    <w:rsid w:val="00835FC1"/>
    <w:rsid w:val="00835FD3"/>
    <w:rsid w:val="00835FEF"/>
    <w:rsid w:val="00835FF1"/>
    <w:rsid w:val="00835FFD"/>
    <w:rsid w:val="00836008"/>
    <w:rsid w:val="00836023"/>
    <w:rsid w:val="00836085"/>
    <w:rsid w:val="008360A3"/>
    <w:rsid w:val="00836141"/>
    <w:rsid w:val="008361DE"/>
    <w:rsid w:val="00836246"/>
    <w:rsid w:val="00836265"/>
    <w:rsid w:val="00836282"/>
    <w:rsid w:val="008362CB"/>
    <w:rsid w:val="00836317"/>
    <w:rsid w:val="00836332"/>
    <w:rsid w:val="0083634A"/>
    <w:rsid w:val="00836369"/>
    <w:rsid w:val="008363D7"/>
    <w:rsid w:val="00836413"/>
    <w:rsid w:val="0083644C"/>
    <w:rsid w:val="0083644D"/>
    <w:rsid w:val="00836461"/>
    <w:rsid w:val="00836463"/>
    <w:rsid w:val="00836464"/>
    <w:rsid w:val="0083646A"/>
    <w:rsid w:val="00836485"/>
    <w:rsid w:val="0083656E"/>
    <w:rsid w:val="00836582"/>
    <w:rsid w:val="008365A6"/>
    <w:rsid w:val="008365DD"/>
    <w:rsid w:val="008366C1"/>
    <w:rsid w:val="008366E9"/>
    <w:rsid w:val="00836759"/>
    <w:rsid w:val="0083676F"/>
    <w:rsid w:val="00836856"/>
    <w:rsid w:val="00836860"/>
    <w:rsid w:val="0083688F"/>
    <w:rsid w:val="00836909"/>
    <w:rsid w:val="00836914"/>
    <w:rsid w:val="0083697C"/>
    <w:rsid w:val="008369A0"/>
    <w:rsid w:val="008369E1"/>
    <w:rsid w:val="00836A4C"/>
    <w:rsid w:val="00836A8E"/>
    <w:rsid w:val="00836A9C"/>
    <w:rsid w:val="00836AAE"/>
    <w:rsid w:val="00836B74"/>
    <w:rsid w:val="00836C44"/>
    <w:rsid w:val="00836CE7"/>
    <w:rsid w:val="00836D2E"/>
    <w:rsid w:val="00836D67"/>
    <w:rsid w:val="00836DC6"/>
    <w:rsid w:val="00836E06"/>
    <w:rsid w:val="00836E74"/>
    <w:rsid w:val="00836EA4"/>
    <w:rsid w:val="00836EFA"/>
    <w:rsid w:val="00836F52"/>
    <w:rsid w:val="00837036"/>
    <w:rsid w:val="008370A8"/>
    <w:rsid w:val="0083719E"/>
    <w:rsid w:val="008371A3"/>
    <w:rsid w:val="00837209"/>
    <w:rsid w:val="0083728B"/>
    <w:rsid w:val="008372B1"/>
    <w:rsid w:val="00837301"/>
    <w:rsid w:val="00837365"/>
    <w:rsid w:val="00837374"/>
    <w:rsid w:val="008373DE"/>
    <w:rsid w:val="008373DF"/>
    <w:rsid w:val="008373E5"/>
    <w:rsid w:val="0083741D"/>
    <w:rsid w:val="00837444"/>
    <w:rsid w:val="00837453"/>
    <w:rsid w:val="0083746B"/>
    <w:rsid w:val="00837470"/>
    <w:rsid w:val="008374A3"/>
    <w:rsid w:val="008374C4"/>
    <w:rsid w:val="008374DE"/>
    <w:rsid w:val="0083751B"/>
    <w:rsid w:val="008375E5"/>
    <w:rsid w:val="00837659"/>
    <w:rsid w:val="008376A1"/>
    <w:rsid w:val="0083770C"/>
    <w:rsid w:val="00837732"/>
    <w:rsid w:val="00837760"/>
    <w:rsid w:val="008377A8"/>
    <w:rsid w:val="008377AA"/>
    <w:rsid w:val="008377C1"/>
    <w:rsid w:val="008377CE"/>
    <w:rsid w:val="008377FA"/>
    <w:rsid w:val="00837887"/>
    <w:rsid w:val="00837893"/>
    <w:rsid w:val="00837894"/>
    <w:rsid w:val="008378AE"/>
    <w:rsid w:val="008378B3"/>
    <w:rsid w:val="008378C3"/>
    <w:rsid w:val="00837942"/>
    <w:rsid w:val="00837972"/>
    <w:rsid w:val="00837A5F"/>
    <w:rsid w:val="00837AC6"/>
    <w:rsid w:val="00837AE7"/>
    <w:rsid w:val="00837B09"/>
    <w:rsid w:val="00837B6F"/>
    <w:rsid w:val="00837BD8"/>
    <w:rsid w:val="00837BFF"/>
    <w:rsid w:val="00837C9A"/>
    <w:rsid w:val="00837C9C"/>
    <w:rsid w:val="00837CF1"/>
    <w:rsid w:val="00837D00"/>
    <w:rsid w:val="00837D1F"/>
    <w:rsid w:val="00837D63"/>
    <w:rsid w:val="00837D7A"/>
    <w:rsid w:val="00837D9F"/>
    <w:rsid w:val="00837DD4"/>
    <w:rsid w:val="00837DF4"/>
    <w:rsid w:val="00837DFA"/>
    <w:rsid w:val="00837E11"/>
    <w:rsid w:val="00837E65"/>
    <w:rsid w:val="00837F1D"/>
    <w:rsid w:val="00837F20"/>
    <w:rsid w:val="00837F5D"/>
    <w:rsid w:val="00837F8E"/>
    <w:rsid w:val="00840002"/>
    <w:rsid w:val="00840056"/>
    <w:rsid w:val="0084008F"/>
    <w:rsid w:val="008400E4"/>
    <w:rsid w:val="00840108"/>
    <w:rsid w:val="00840139"/>
    <w:rsid w:val="00840194"/>
    <w:rsid w:val="008401A5"/>
    <w:rsid w:val="00840210"/>
    <w:rsid w:val="0084022F"/>
    <w:rsid w:val="00840288"/>
    <w:rsid w:val="00840338"/>
    <w:rsid w:val="0084034B"/>
    <w:rsid w:val="0084038B"/>
    <w:rsid w:val="008403BF"/>
    <w:rsid w:val="0084040B"/>
    <w:rsid w:val="008404A9"/>
    <w:rsid w:val="00840528"/>
    <w:rsid w:val="00840576"/>
    <w:rsid w:val="0084058C"/>
    <w:rsid w:val="0084065E"/>
    <w:rsid w:val="0084068D"/>
    <w:rsid w:val="00840749"/>
    <w:rsid w:val="00840754"/>
    <w:rsid w:val="00840763"/>
    <w:rsid w:val="0084081E"/>
    <w:rsid w:val="00840844"/>
    <w:rsid w:val="008408F1"/>
    <w:rsid w:val="008408F9"/>
    <w:rsid w:val="0084090C"/>
    <w:rsid w:val="0084093A"/>
    <w:rsid w:val="0084093F"/>
    <w:rsid w:val="00840981"/>
    <w:rsid w:val="008409AF"/>
    <w:rsid w:val="008409F5"/>
    <w:rsid w:val="00840A6E"/>
    <w:rsid w:val="00840A92"/>
    <w:rsid w:val="00840B0A"/>
    <w:rsid w:val="00840B18"/>
    <w:rsid w:val="00840C1F"/>
    <w:rsid w:val="00840C4D"/>
    <w:rsid w:val="00840CB1"/>
    <w:rsid w:val="00840D12"/>
    <w:rsid w:val="00840D39"/>
    <w:rsid w:val="00840D3A"/>
    <w:rsid w:val="00840D50"/>
    <w:rsid w:val="00840D52"/>
    <w:rsid w:val="00840DE1"/>
    <w:rsid w:val="00840DFE"/>
    <w:rsid w:val="00840E3D"/>
    <w:rsid w:val="00840E43"/>
    <w:rsid w:val="00840E49"/>
    <w:rsid w:val="00840E4A"/>
    <w:rsid w:val="00840E82"/>
    <w:rsid w:val="00840F45"/>
    <w:rsid w:val="00840FF3"/>
    <w:rsid w:val="00841000"/>
    <w:rsid w:val="00841002"/>
    <w:rsid w:val="00841058"/>
    <w:rsid w:val="0084105E"/>
    <w:rsid w:val="008410D7"/>
    <w:rsid w:val="00841170"/>
    <w:rsid w:val="008411E6"/>
    <w:rsid w:val="0084120F"/>
    <w:rsid w:val="00841285"/>
    <w:rsid w:val="008412D3"/>
    <w:rsid w:val="008412D5"/>
    <w:rsid w:val="008412DA"/>
    <w:rsid w:val="00841306"/>
    <w:rsid w:val="00841346"/>
    <w:rsid w:val="0084136C"/>
    <w:rsid w:val="008413A9"/>
    <w:rsid w:val="00841419"/>
    <w:rsid w:val="00841448"/>
    <w:rsid w:val="008414F1"/>
    <w:rsid w:val="00841505"/>
    <w:rsid w:val="0084154A"/>
    <w:rsid w:val="008415A3"/>
    <w:rsid w:val="008415AF"/>
    <w:rsid w:val="008415D8"/>
    <w:rsid w:val="008415E9"/>
    <w:rsid w:val="008416A5"/>
    <w:rsid w:val="008416B0"/>
    <w:rsid w:val="008417B4"/>
    <w:rsid w:val="008417F1"/>
    <w:rsid w:val="00841825"/>
    <w:rsid w:val="00841883"/>
    <w:rsid w:val="008418F3"/>
    <w:rsid w:val="00841923"/>
    <w:rsid w:val="00841959"/>
    <w:rsid w:val="00841972"/>
    <w:rsid w:val="00841978"/>
    <w:rsid w:val="00841983"/>
    <w:rsid w:val="0084198F"/>
    <w:rsid w:val="0084199D"/>
    <w:rsid w:val="008419F9"/>
    <w:rsid w:val="00841A28"/>
    <w:rsid w:val="00841A4E"/>
    <w:rsid w:val="00841A84"/>
    <w:rsid w:val="00841A87"/>
    <w:rsid w:val="00841ACD"/>
    <w:rsid w:val="00841ADF"/>
    <w:rsid w:val="00841B6F"/>
    <w:rsid w:val="00841C31"/>
    <w:rsid w:val="00841C88"/>
    <w:rsid w:val="00841CDB"/>
    <w:rsid w:val="00841D4A"/>
    <w:rsid w:val="00841D66"/>
    <w:rsid w:val="00841D84"/>
    <w:rsid w:val="00841DEC"/>
    <w:rsid w:val="00841EEC"/>
    <w:rsid w:val="00841F89"/>
    <w:rsid w:val="00842006"/>
    <w:rsid w:val="0084204A"/>
    <w:rsid w:val="0084204D"/>
    <w:rsid w:val="008420B3"/>
    <w:rsid w:val="008420D4"/>
    <w:rsid w:val="008420E7"/>
    <w:rsid w:val="008420F6"/>
    <w:rsid w:val="008421EA"/>
    <w:rsid w:val="0084221D"/>
    <w:rsid w:val="0084223C"/>
    <w:rsid w:val="00842240"/>
    <w:rsid w:val="00842298"/>
    <w:rsid w:val="008422AE"/>
    <w:rsid w:val="008422D3"/>
    <w:rsid w:val="00842324"/>
    <w:rsid w:val="0084232B"/>
    <w:rsid w:val="0084237F"/>
    <w:rsid w:val="00842388"/>
    <w:rsid w:val="0084238B"/>
    <w:rsid w:val="008423E0"/>
    <w:rsid w:val="0084241A"/>
    <w:rsid w:val="008424B3"/>
    <w:rsid w:val="008424C1"/>
    <w:rsid w:val="008424D8"/>
    <w:rsid w:val="00842515"/>
    <w:rsid w:val="00842550"/>
    <w:rsid w:val="00842571"/>
    <w:rsid w:val="008425E3"/>
    <w:rsid w:val="00842611"/>
    <w:rsid w:val="008426CE"/>
    <w:rsid w:val="008426DD"/>
    <w:rsid w:val="0084271F"/>
    <w:rsid w:val="00842722"/>
    <w:rsid w:val="0084274A"/>
    <w:rsid w:val="008427DF"/>
    <w:rsid w:val="00842843"/>
    <w:rsid w:val="0084285F"/>
    <w:rsid w:val="0084287F"/>
    <w:rsid w:val="00842912"/>
    <w:rsid w:val="0084293F"/>
    <w:rsid w:val="00842967"/>
    <w:rsid w:val="00842997"/>
    <w:rsid w:val="008429B0"/>
    <w:rsid w:val="008429C3"/>
    <w:rsid w:val="008429DE"/>
    <w:rsid w:val="00842A3C"/>
    <w:rsid w:val="00842A43"/>
    <w:rsid w:val="00842A6E"/>
    <w:rsid w:val="00842A74"/>
    <w:rsid w:val="00842A83"/>
    <w:rsid w:val="00842A9C"/>
    <w:rsid w:val="00842B0D"/>
    <w:rsid w:val="00842B3D"/>
    <w:rsid w:val="00842B93"/>
    <w:rsid w:val="00842BA1"/>
    <w:rsid w:val="00842BEF"/>
    <w:rsid w:val="00842C1F"/>
    <w:rsid w:val="00842C32"/>
    <w:rsid w:val="00842C78"/>
    <w:rsid w:val="00842CD8"/>
    <w:rsid w:val="00842D16"/>
    <w:rsid w:val="00842D59"/>
    <w:rsid w:val="00842D84"/>
    <w:rsid w:val="00842DB4"/>
    <w:rsid w:val="00842E7F"/>
    <w:rsid w:val="00842E8C"/>
    <w:rsid w:val="00842EB7"/>
    <w:rsid w:val="00842F24"/>
    <w:rsid w:val="00842F8E"/>
    <w:rsid w:val="00842FD4"/>
    <w:rsid w:val="00843004"/>
    <w:rsid w:val="0084301B"/>
    <w:rsid w:val="0084302C"/>
    <w:rsid w:val="0084305B"/>
    <w:rsid w:val="00843069"/>
    <w:rsid w:val="00843077"/>
    <w:rsid w:val="008430E6"/>
    <w:rsid w:val="0084310B"/>
    <w:rsid w:val="00843125"/>
    <w:rsid w:val="0084317A"/>
    <w:rsid w:val="00843180"/>
    <w:rsid w:val="0084319A"/>
    <w:rsid w:val="008431A4"/>
    <w:rsid w:val="008431BD"/>
    <w:rsid w:val="008431C2"/>
    <w:rsid w:val="008431D6"/>
    <w:rsid w:val="008431E4"/>
    <w:rsid w:val="008431F1"/>
    <w:rsid w:val="00843222"/>
    <w:rsid w:val="00843229"/>
    <w:rsid w:val="0084328B"/>
    <w:rsid w:val="0084328C"/>
    <w:rsid w:val="00843357"/>
    <w:rsid w:val="00843382"/>
    <w:rsid w:val="0084341E"/>
    <w:rsid w:val="008434F1"/>
    <w:rsid w:val="00843528"/>
    <w:rsid w:val="00843538"/>
    <w:rsid w:val="00843589"/>
    <w:rsid w:val="00843602"/>
    <w:rsid w:val="00843662"/>
    <w:rsid w:val="0084367B"/>
    <w:rsid w:val="008436A4"/>
    <w:rsid w:val="0084373B"/>
    <w:rsid w:val="008437A4"/>
    <w:rsid w:val="008437E2"/>
    <w:rsid w:val="0084382C"/>
    <w:rsid w:val="00843870"/>
    <w:rsid w:val="008438B3"/>
    <w:rsid w:val="008438E6"/>
    <w:rsid w:val="008438F5"/>
    <w:rsid w:val="0084394E"/>
    <w:rsid w:val="0084399C"/>
    <w:rsid w:val="008439B7"/>
    <w:rsid w:val="008439C0"/>
    <w:rsid w:val="00843A11"/>
    <w:rsid w:val="00843A3B"/>
    <w:rsid w:val="00843A51"/>
    <w:rsid w:val="00843A9C"/>
    <w:rsid w:val="00843AE9"/>
    <w:rsid w:val="00843B7F"/>
    <w:rsid w:val="00843BC5"/>
    <w:rsid w:val="00843BD7"/>
    <w:rsid w:val="00843BE8"/>
    <w:rsid w:val="00843CB5"/>
    <w:rsid w:val="00843D0A"/>
    <w:rsid w:val="00843D5D"/>
    <w:rsid w:val="00843DCB"/>
    <w:rsid w:val="00843E46"/>
    <w:rsid w:val="00843E51"/>
    <w:rsid w:val="00843E74"/>
    <w:rsid w:val="00843F1B"/>
    <w:rsid w:val="00843F38"/>
    <w:rsid w:val="00843FA3"/>
    <w:rsid w:val="00844047"/>
    <w:rsid w:val="0084408D"/>
    <w:rsid w:val="008440B0"/>
    <w:rsid w:val="008440FB"/>
    <w:rsid w:val="0084410E"/>
    <w:rsid w:val="00844167"/>
    <w:rsid w:val="00844176"/>
    <w:rsid w:val="00844177"/>
    <w:rsid w:val="00844184"/>
    <w:rsid w:val="0084420B"/>
    <w:rsid w:val="00844262"/>
    <w:rsid w:val="0084426B"/>
    <w:rsid w:val="0084427D"/>
    <w:rsid w:val="008442A3"/>
    <w:rsid w:val="008442E1"/>
    <w:rsid w:val="008442E2"/>
    <w:rsid w:val="00844307"/>
    <w:rsid w:val="00844339"/>
    <w:rsid w:val="00844468"/>
    <w:rsid w:val="008444B8"/>
    <w:rsid w:val="008444DB"/>
    <w:rsid w:val="008444F8"/>
    <w:rsid w:val="0084453C"/>
    <w:rsid w:val="008446B5"/>
    <w:rsid w:val="0084471A"/>
    <w:rsid w:val="0084475B"/>
    <w:rsid w:val="008447DF"/>
    <w:rsid w:val="00844838"/>
    <w:rsid w:val="008448DF"/>
    <w:rsid w:val="008448FA"/>
    <w:rsid w:val="00844921"/>
    <w:rsid w:val="008449BB"/>
    <w:rsid w:val="008449F5"/>
    <w:rsid w:val="00844A1D"/>
    <w:rsid w:val="00844A9E"/>
    <w:rsid w:val="00844AC1"/>
    <w:rsid w:val="00844B42"/>
    <w:rsid w:val="00844B47"/>
    <w:rsid w:val="00844B6B"/>
    <w:rsid w:val="00844B7C"/>
    <w:rsid w:val="00844BEB"/>
    <w:rsid w:val="00844C17"/>
    <w:rsid w:val="00844C39"/>
    <w:rsid w:val="00844CA4"/>
    <w:rsid w:val="00844CAF"/>
    <w:rsid w:val="00844CDB"/>
    <w:rsid w:val="00844D02"/>
    <w:rsid w:val="00844DB5"/>
    <w:rsid w:val="00844DBA"/>
    <w:rsid w:val="00844E77"/>
    <w:rsid w:val="00844E97"/>
    <w:rsid w:val="00844E99"/>
    <w:rsid w:val="00844EAF"/>
    <w:rsid w:val="00844F1A"/>
    <w:rsid w:val="00844F66"/>
    <w:rsid w:val="00844FB1"/>
    <w:rsid w:val="0084500A"/>
    <w:rsid w:val="0084501A"/>
    <w:rsid w:val="00845030"/>
    <w:rsid w:val="0084509D"/>
    <w:rsid w:val="008450AC"/>
    <w:rsid w:val="008450DA"/>
    <w:rsid w:val="00845100"/>
    <w:rsid w:val="00845136"/>
    <w:rsid w:val="008451CC"/>
    <w:rsid w:val="008451E7"/>
    <w:rsid w:val="00845200"/>
    <w:rsid w:val="0084522D"/>
    <w:rsid w:val="00845248"/>
    <w:rsid w:val="00845258"/>
    <w:rsid w:val="00845290"/>
    <w:rsid w:val="008452F0"/>
    <w:rsid w:val="008452F3"/>
    <w:rsid w:val="00845330"/>
    <w:rsid w:val="00845333"/>
    <w:rsid w:val="00845339"/>
    <w:rsid w:val="008453AD"/>
    <w:rsid w:val="008453E1"/>
    <w:rsid w:val="00845418"/>
    <w:rsid w:val="0084552D"/>
    <w:rsid w:val="00845552"/>
    <w:rsid w:val="0084562E"/>
    <w:rsid w:val="00845671"/>
    <w:rsid w:val="00845683"/>
    <w:rsid w:val="008456D5"/>
    <w:rsid w:val="00845721"/>
    <w:rsid w:val="0084573B"/>
    <w:rsid w:val="0084574C"/>
    <w:rsid w:val="008457D4"/>
    <w:rsid w:val="00845800"/>
    <w:rsid w:val="00845838"/>
    <w:rsid w:val="00845865"/>
    <w:rsid w:val="00845891"/>
    <w:rsid w:val="008458A6"/>
    <w:rsid w:val="008458B8"/>
    <w:rsid w:val="008458C2"/>
    <w:rsid w:val="008458D0"/>
    <w:rsid w:val="008458EA"/>
    <w:rsid w:val="00845914"/>
    <w:rsid w:val="00845922"/>
    <w:rsid w:val="0084597A"/>
    <w:rsid w:val="00845992"/>
    <w:rsid w:val="00845998"/>
    <w:rsid w:val="008459DC"/>
    <w:rsid w:val="00845A0A"/>
    <w:rsid w:val="00845A25"/>
    <w:rsid w:val="00845A4C"/>
    <w:rsid w:val="00845A71"/>
    <w:rsid w:val="00845AA9"/>
    <w:rsid w:val="00845AB2"/>
    <w:rsid w:val="00845B25"/>
    <w:rsid w:val="00845B27"/>
    <w:rsid w:val="00845B4F"/>
    <w:rsid w:val="00845C1F"/>
    <w:rsid w:val="00845C55"/>
    <w:rsid w:val="00845C7E"/>
    <w:rsid w:val="00845CD5"/>
    <w:rsid w:val="00845D1C"/>
    <w:rsid w:val="00845D61"/>
    <w:rsid w:val="00845D86"/>
    <w:rsid w:val="00845DF0"/>
    <w:rsid w:val="00845DF9"/>
    <w:rsid w:val="00845E43"/>
    <w:rsid w:val="00845F37"/>
    <w:rsid w:val="00845F64"/>
    <w:rsid w:val="00845F89"/>
    <w:rsid w:val="00845FAB"/>
    <w:rsid w:val="00846098"/>
    <w:rsid w:val="008460C2"/>
    <w:rsid w:val="0084613F"/>
    <w:rsid w:val="0084614E"/>
    <w:rsid w:val="00846158"/>
    <w:rsid w:val="008461F4"/>
    <w:rsid w:val="00846212"/>
    <w:rsid w:val="00846217"/>
    <w:rsid w:val="008462B6"/>
    <w:rsid w:val="00846404"/>
    <w:rsid w:val="00846455"/>
    <w:rsid w:val="00846475"/>
    <w:rsid w:val="008464B4"/>
    <w:rsid w:val="0084656B"/>
    <w:rsid w:val="008465AA"/>
    <w:rsid w:val="008465EA"/>
    <w:rsid w:val="0084662E"/>
    <w:rsid w:val="00846676"/>
    <w:rsid w:val="008466C5"/>
    <w:rsid w:val="008466D9"/>
    <w:rsid w:val="008466E9"/>
    <w:rsid w:val="008466FA"/>
    <w:rsid w:val="0084674A"/>
    <w:rsid w:val="008467A0"/>
    <w:rsid w:val="008467C2"/>
    <w:rsid w:val="008467F5"/>
    <w:rsid w:val="00846835"/>
    <w:rsid w:val="00846840"/>
    <w:rsid w:val="008468B9"/>
    <w:rsid w:val="0084691B"/>
    <w:rsid w:val="00846932"/>
    <w:rsid w:val="0084694E"/>
    <w:rsid w:val="0084697B"/>
    <w:rsid w:val="0084697F"/>
    <w:rsid w:val="00846A55"/>
    <w:rsid w:val="00846AA0"/>
    <w:rsid w:val="00846AEC"/>
    <w:rsid w:val="00846B11"/>
    <w:rsid w:val="00846B73"/>
    <w:rsid w:val="00846B92"/>
    <w:rsid w:val="00846BD2"/>
    <w:rsid w:val="00846BE6"/>
    <w:rsid w:val="00846C1A"/>
    <w:rsid w:val="00846C24"/>
    <w:rsid w:val="00846C7B"/>
    <w:rsid w:val="00846C91"/>
    <w:rsid w:val="00846C9D"/>
    <w:rsid w:val="00846CA5"/>
    <w:rsid w:val="00846CC2"/>
    <w:rsid w:val="00846D1A"/>
    <w:rsid w:val="00846D40"/>
    <w:rsid w:val="00846D8B"/>
    <w:rsid w:val="00846D8F"/>
    <w:rsid w:val="00846DEC"/>
    <w:rsid w:val="00846E84"/>
    <w:rsid w:val="00846F32"/>
    <w:rsid w:val="00846F8A"/>
    <w:rsid w:val="00847068"/>
    <w:rsid w:val="0084706C"/>
    <w:rsid w:val="00847079"/>
    <w:rsid w:val="0084709A"/>
    <w:rsid w:val="0084709B"/>
    <w:rsid w:val="0084712A"/>
    <w:rsid w:val="0084714A"/>
    <w:rsid w:val="008471A5"/>
    <w:rsid w:val="008471A8"/>
    <w:rsid w:val="008471F9"/>
    <w:rsid w:val="00847206"/>
    <w:rsid w:val="00847361"/>
    <w:rsid w:val="00847374"/>
    <w:rsid w:val="0084739A"/>
    <w:rsid w:val="00847417"/>
    <w:rsid w:val="0084747A"/>
    <w:rsid w:val="00847497"/>
    <w:rsid w:val="00847524"/>
    <w:rsid w:val="0084762A"/>
    <w:rsid w:val="00847631"/>
    <w:rsid w:val="00847669"/>
    <w:rsid w:val="00847695"/>
    <w:rsid w:val="008476E8"/>
    <w:rsid w:val="008477AD"/>
    <w:rsid w:val="00847871"/>
    <w:rsid w:val="008478AA"/>
    <w:rsid w:val="008478B7"/>
    <w:rsid w:val="0084795E"/>
    <w:rsid w:val="00847991"/>
    <w:rsid w:val="008479A0"/>
    <w:rsid w:val="00847A26"/>
    <w:rsid w:val="00847A4A"/>
    <w:rsid w:val="00847A5C"/>
    <w:rsid w:val="00847A9E"/>
    <w:rsid w:val="00847AA3"/>
    <w:rsid w:val="00847AC1"/>
    <w:rsid w:val="00847B1F"/>
    <w:rsid w:val="00847B34"/>
    <w:rsid w:val="00847B82"/>
    <w:rsid w:val="00847BE6"/>
    <w:rsid w:val="00847BE8"/>
    <w:rsid w:val="00847BF0"/>
    <w:rsid w:val="00847C5C"/>
    <w:rsid w:val="00847DB1"/>
    <w:rsid w:val="00847E3C"/>
    <w:rsid w:val="00847E66"/>
    <w:rsid w:val="00847F05"/>
    <w:rsid w:val="00847F8D"/>
    <w:rsid w:val="00847FB5"/>
    <w:rsid w:val="0085002F"/>
    <w:rsid w:val="0085003F"/>
    <w:rsid w:val="00850046"/>
    <w:rsid w:val="00850097"/>
    <w:rsid w:val="008500C6"/>
    <w:rsid w:val="00850137"/>
    <w:rsid w:val="0085016A"/>
    <w:rsid w:val="00850185"/>
    <w:rsid w:val="008501AB"/>
    <w:rsid w:val="008501BB"/>
    <w:rsid w:val="008501E4"/>
    <w:rsid w:val="00850243"/>
    <w:rsid w:val="008502B7"/>
    <w:rsid w:val="008502E5"/>
    <w:rsid w:val="00850300"/>
    <w:rsid w:val="00850345"/>
    <w:rsid w:val="0085034D"/>
    <w:rsid w:val="0085036F"/>
    <w:rsid w:val="008503AE"/>
    <w:rsid w:val="008503C4"/>
    <w:rsid w:val="0085040D"/>
    <w:rsid w:val="0085040E"/>
    <w:rsid w:val="00850426"/>
    <w:rsid w:val="00850482"/>
    <w:rsid w:val="008504D3"/>
    <w:rsid w:val="0085055B"/>
    <w:rsid w:val="00850599"/>
    <w:rsid w:val="0085065B"/>
    <w:rsid w:val="00850698"/>
    <w:rsid w:val="008506B1"/>
    <w:rsid w:val="008506B4"/>
    <w:rsid w:val="008506B9"/>
    <w:rsid w:val="008506C3"/>
    <w:rsid w:val="008506D1"/>
    <w:rsid w:val="0085074F"/>
    <w:rsid w:val="0085077B"/>
    <w:rsid w:val="008507DC"/>
    <w:rsid w:val="00850826"/>
    <w:rsid w:val="0085082B"/>
    <w:rsid w:val="00850853"/>
    <w:rsid w:val="008508A9"/>
    <w:rsid w:val="00850923"/>
    <w:rsid w:val="00850A21"/>
    <w:rsid w:val="00850AEC"/>
    <w:rsid w:val="00850B64"/>
    <w:rsid w:val="00850B75"/>
    <w:rsid w:val="00850B90"/>
    <w:rsid w:val="00850B96"/>
    <w:rsid w:val="00850BC5"/>
    <w:rsid w:val="00850C00"/>
    <w:rsid w:val="00850C0F"/>
    <w:rsid w:val="00850C47"/>
    <w:rsid w:val="00850C48"/>
    <w:rsid w:val="00850C75"/>
    <w:rsid w:val="00850C81"/>
    <w:rsid w:val="00850CA0"/>
    <w:rsid w:val="00850CC4"/>
    <w:rsid w:val="00850D16"/>
    <w:rsid w:val="00850D30"/>
    <w:rsid w:val="00850DC0"/>
    <w:rsid w:val="00850E82"/>
    <w:rsid w:val="00850E9F"/>
    <w:rsid w:val="00850EED"/>
    <w:rsid w:val="00850EF7"/>
    <w:rsid w:val="00850F6E"/>
    <w:rsid w:val="00851013"/>
    <w:rsid w:val="0085105A"/>
    <w:rsid w:val="008510B6"/>
    <w:rsid w:val="008510EB"/>
    <w:rsid w:val="008510FD"/>
    <w:rsid w:val="00851159"/>
    <w:rsid w:val="0085116C"/>
    <w:rsid w:val="0085117F"/>
    <w:rsid w:val="008511AC"/>
    <w:rsid w:val="008511C5"/>
    <w:rsid w:val="008511E8"/>
    <w:rsid w:val="00851245"/>
    <w:rsid w:val="00851246"/>
    <w:rsid w:val="008512A4"/>
    <w:rsid w:val="00851310"/>
    <w:rsid w:val="00851337"/>
    <w:rsid w:val="0085133F"/>
    <w:rsid w:val="00851386"/>
    <w:rsid w:val="008513BD"/>
    <w:rsid w:val="00851401"/>
    <w:rsid w:val="0085154F"/>
    <w:rsid w:val="0085157A"/>
    <w:rsid w:val="008515B4"/>
    <w:rsid w:val="008515D2"/>
    <w:rsid w:val="008515E5"/>
    <w:rsid w:val="008516DB"/>
    <w:rsid w:val="0085170E"/>
    <w:rsid w:val="00851737"/>
    <w:rsid w:val="008517EF"/>
    <w:rsid w:val="00851822"/>
    <w:rsid w:val="00851848"/>
    <w:rsid w:val="00851922"/>
    <w:rsid w:val="00851985"/>
    <w:rsid w:val="008519E5"/>
    <w:rsid w:val="00851AA6"/>
    <w:rsid w:val="00851C05"/>
    <w:rsid w:val="00851C37"/>
    <w:rsid w:val="00851C47"/>
    <w:rsid w:val="00851C49"/>
    <w:rsid w:val="00851C4B"/>
    <w:rsid w:val="00851C88"/>
    <w:rsid w:val="00851CB5"/>
    <w:rsid w:val="00851CDE"/>
    <w:rsid w:val="00851D8F"/>
    <w:rsid w:val="00851E75"/>
    <w:rsid w:val="00851E7F"/>
    <w:rsid w:val="00851F1A"/>
    <w:rsid w:val="00851FBA"/>
    <w:rsid w:val="0085201B"/>
    <w:rsid w:val="00852095"/>
    <w:rsid w:val="008520B8"/>
    <w:rsid w:val="008520D6"/>
    <w:rsid w:val="008521A2"/>
    <w:rsid w:val="008521C3"/>
    <w:rsid w:val="008521F3"/>
    <w:rsid w:val="0085220F"/>
    <w:rsid w:val="00852236"/>
    <w:rsid w:val="00852296"/>
    <w:rsid w:val="008522B3"/>
    <w:rsid w:val="008522BC"/>
    <w:rsid w:val="0085230A"/>
    <w:rsid w:val="00852320"/>
    <w:rsid w:val="008523A0"/>
    <w:rsid w:val="008523F6"/>
    <w:rsid w:val="00852473"/>
    <w:rsid w:val="008524D0"/>
    <w:rsid w:val="008524E4"/>
    <w:rsid w:val="00852551"/>
    <w:rsid w:val="00852558"/>
    <w:rsid w:val="00852570"/>
    <w:rsid w:val="0085259F"/>
    <w:rsid w:val="0085260C"/>
    <w:rsid w:val="00852644"/>
    <w:rsid w:val="008526C5"/>
    <w:rsid w:val="008526D3"/>
    <w:rsid w:val="008526D8"/>
    <w:rsid w:val="00852734"/>
    <w:rsid w:val="008527D1"/>
    <w:rsid w:val="008527D3"/>
    <w:rsid w:val="008527E9"/>
    <w:rsid w:val="00852814"/>
    <w:rsid w:val="0085281B"/>
    <w:rsid w:val="00852830"/>
    <w:rsid w:val="0085283F"/>
    <w:rsid w:val="00852850"/>
    <w:rsid w:val="0085287B"/>
    <w:rsid w:val="008528CB"/>
    <w:rsid w:val="008528E9"/>
    <w:rsid w:val="008529E7"/>
    <w:rsid w:val="00852A82"/>
    <w:rsid w:val="00852AA0"/>
    <w:rsid w:val="00852AA7"/>
    <w:rsid w:val="00852AC6"/>
    <w:rsid w:val="00852B42"/>
    <w:rsid w:val="00852B6E"/>
    <w:rsid w:val="00852BA8"/>
    <w:rsid w:val="00852BB2"/>
    <w:rsid w:val="00852C37"/>
    <w:rsid w:val="00852C46"/>
    <w:rsid w:val="00852C77"/>
    <w:rsid w:val="00852CAA"/>
    <w:rsid w:val="00852CB5"/>
    <w:rsid w:val="00852D19"/>
    <w:rsid w:val="00852DBE"/>
    <w:rsid w:val="00852E08"/>
    <w:rsid w:val="00852E0D"/>
    <w:rsid w:val="00852E2B"/>
    <w:rsid w:val="00852E7C"/>
    <w:rsid w:val="00852E98"/>
    <w:rsid w:val="00852F52"/>
    <w:rsid w:val="00852F54"/>
    <w:rsid w:val="00852F81"/>
    <w:rsid w:val="00852F9F"/>
    <w:rsid w:val="00852FBB"/>
    <w:rsid w:val="00852FDB"/>
    <w:rsid w:val="00852FE3"/>
    <w:rsid w:val="00852FF0"/>
    <w:rsid w:val="0085302B"/>
    <w:rsid w:val="008530EB"/>
    <w:rsid w:val="008530F7"/>
    <w:rsid w:val="008531A5"/>
    <w:rsid w:val="008531B1"/>
    <w:rsid w:val="008531F9"/>
    <w:rsid w:val="008531FE"/>
    <w:rsid w:val="00853259"/>
    <w:rsid w:val="0085331B"/>
    <w:rsid w:val="00853379"/>
    <w:rsid w:val="0085344C"/>
    <w:rsid w:val="00853470"/>
    <w:rsid w:val="00853476"/>
    <w:rsid w:val="00853492"/>
    <w:rsid w:val="008534B7"/>
    <w:rsid w:val="008534CE"/>
    <w:rsid w:val="008534DE"/>
    <w:rsid w:val="008534E2"/>
    <w:rsid w:val="008534E4"/>
    <w:rsid w:val="008534F9"/>
    <w:rsid w:val="0085354C"/>
    <w:rsid w:val="00853709"/>
    <w:rsid w:val="0085370C"/>
    <w:rsid w:val="0085379F"/>
    <w:rsid w:val="008537C7"/>
    <w:rsid w:val="008537D0"/>
    <w:rsid w:val="008537DD"/>
    <w:rsid w:val="008537FE"/>
    <w:rsid w:val="00853807"/>
    <w:rsid w:val="00853819"/>
    <w:rsid w:val="0085389D"/>
    <w:rsid w:val="008538B6"/>
    <w:rsid w:val="008538D5"/>
    <w:rsid w:val="008538E0"/>
    <w:rsid w:val="00853960"/>
    <w:rsid w:val="00853966"/>
    <w:rsid w:val="00853969"/>
    <w:rsid w:val="008539D6"/>
    <w:rsid w:val="00853A17"/>
    <w:rsid w:val="00853A42"/>
    <w:rsid w:val="00853AD7"/>
    <w:rsid w:val="00853AF2"/>
    <w:rsid w:val="00853B63"/>
    <w:rsid w:val="00853C41"/>
    <w:rsid w:val="00853D4E"/>
    <w:rsid w:val="00853DA4"/>
    <w:rsid w:val="00853E04"/>
    <w:rsid w:val="00853ED9"/>
    <w:rsid w:val="00853F14"/>
    <w:rsid w:val="00853F75"/>
    <w:rsid w:val="00853F92"/>
    <w:rsid w:val="00853FA3"/>
    <w:rsid w:val="00853FE2"/>
    <w:rsid w:val="00854046"/>
    <w:rsid w:val="00854069"/>
    <w:rsid w:val="00854095"/>
    <w:rsid w:val="008540AE"/>
    <w:rsid w:val="008540D2"/>
    <w:rsid w:val="0085410F"/>
    <w:rsid w:val="00854115"/>
    <w:rsid w:val="00854130"/>
    <w:rsid w:val="00854146"/>
    <w:rsid w:val="0085416B"/>
    <w:rsid w:val="00854173"/>
    <w:rsid w:val="008541CC"/>
    <w:rsid w:val="008541FF"/>
    <w:rsid w:val="00854281"/>
    <w:rsid w:val="00854286"/>
    <w:rsid w:val="008542B4"/>
    <w:rsid w:val="008542DD"/>
    <w:rsid w:val="00854384"/>
    <w:rsid w:val="008543A5"/>
    <w:rsid w:val="0085441A"/>
    <w:rsid w:val="0085442B"/>
    <w:rsid w:val="0085444E"/>
    <w:rsid w:val="00854484"/>
    <w:rsid w:val="008544E4"/>
    <w:rsid w:val="00854511"/>
    <w:rsid w:val="00854544"/>
    <w:rsid w:val="0085454F"/>
    <w:rsid w:val="00854564"/>
    <w:rsid w:val="00854636"/>
    <w:rsid w:val="00854683"/>
    <w:rsid w:val="00854692"/>
    <w:rsid w:val="0085473A"/>
    <w:rsid w:val="0085478B"/>
    <w:rsid w:val="0085481D"/>
    <w:rsid w:val="00854853"/>
    <w:rsid w:val="008548B3"/>
    <w:rsid w:val="00854917"/>
    <w:rsid w:val="00854938"/>
    <w:rsid w:val="0085495C"/>
    <w:rsid w:val="00854A83"/>
    <w:rsid w:val="00854A87"/>
    <w:rsid w:val="00854AEC"/>
    <w:rsid w:val="00854C06"/>
    <w:rsid w:val="00854C83"/>
    <w:rsid w:val="00854C95"/>
    <w:rsid w:val="00854D05"/>
    <w:rsid w:val="00854D47"/>
    <w:rsid w:val="00854DB1"/>
    <w:rsid w:val="00854DBB"/>
    <w:rsid w:val="00854E41"/>
    <w:rsid w:val="00854E89"/>
    <w:rsid w:val="00854EA0"/>
    <w:rsid w:val="00854F0C"/>
    <w:rsid w:val="00854F36"/>
    <w:rsid w:val="00854F45"/>
    <w:rsid w:val="00854F70"/>
    <w:rsid w:val="00854FE8"/>
    <w:rsid w:val="00855020"/>
    <w:rsid w:val="00855041"/>
    <w:rsid w:val="0085506C"/>
    <w:rsid w:val="008550F8"/>
    <w:rsid w:val="00855174"/>
    <w:rsid w:val="008551B1"/>
    <w:rsid w:val="00855221"/>
    <w:rsid w:val="00855227"/>
    <w:rsid w:val="008552BD"/>
    <w:rsid w:val="008552CF"/>
    <w:rsid w:val="0085530E"/>
    <w:rsid w:val="00855312"/>
    <w:rsid w:val="0085534B"/>
    <w:rsid w:val="00855450"/>
    <w:rsid w:val="00855464"/>
    <w:rsid w:val="00855467"/>
    <w:rsid w:val="008554B3"/>
    <w:rsid w:val="00855562"/>
    <w:rsid w:val="0085556B"/>
    <w:rsid w:val="008555B3"/>
    <w:rsid w:val="008555DB"/>
    <w:rsid w:val="008555DC"/>
    <w:rsid w:val="0085560C"/>
    <w:rsid w:val="008556B3"/>
    <w:rsid w:val="008556DD"/>
    <w:rsid w:val="00855730"/>
    <w:rsid w:val="00855777"/>
    <w:rsid w:val="00855837"/>
    <w:rsid w:val="008558AF"/>
    <w:rsid w:val="008558D1"/>
    <w:rsid w:val="008558E5"/>
    <w:rsid w:val="008558F7"/>
    <w:rsid w:val="00855954"/>
    <w:rsid w:val="00855992"/>
    <w:rsid w:val="008559A9"/>
    <w:rsid w:val="00855A4D"/>
    <w:rsid w:val="00855A70"/>
    <w:rsid w:val="00855AE6"/>
    <w:rsid w:val="00855B52"/>
    <w:rsid w:val="00855B66"/>
    <w:rsid w:val="00855BAE"/>
    <w:rsid w:val="00855C51"/>
    <w:rsid w:val="00855C6E"/>
    <w:rsid w:val="00855CCA"/>
    <w:rsid w:val="00855CDD"/>
    <w:rsid w:val="00855DFF"/>
    <w:rsid w:val="00855E55"/>
    <w:rsid w:val="00855E64"/>
    <w:rsid w:val="00855E76"/>
    <w:rsid w:val="00855E89"/>
    <w:rsid w:val="00855ED9"/>
    <w:rsid w:val="00855F58"/>
    <w:rsid w:val="00855F7C"/>
    <w:rsid w:val="00855F8E"/>
    <w:rsid w:val="00855FB8"/>
    <w:rsid w:val="0085601F"/>
    <w:rsid w:val="00856048"/>
    <w:rsid w:val="00856058"/>
    <w:rsid w:val="0085607D"/>
    <w:rsid w:val="008560BC"/>
    <w:rsid w:val="00856176"/>
    <w:rsid w:val="008561D4"/>
    <w:rsid w:val="0085621C"/>
    <w:rsid w:val="00856220"/>
    <w:rsid w:val="0085622E"/>
    <w:rsid w:val="0085626B"/>
    <w:rsid w:val="0085629E"/>
    <w:rsid w:val="008562BC"/>
    <w:rsid w:val="008562C8"/>
    <w:rsid w:val="008563CE"/>
    <w:rsid w:val="0085643A"/>
    <w:rsid w:val="008564EB"/>
    <w:rsid w:val="00856604"/>
    <w:rsid w:val="008566AA"/>
    <w:rsid w:val="008566C8"/>
    <w:rsid w:val="008566D6"/>
    <w:rsid w:val="008566E2"/>
    <w:rsid w:val="00856727"/>
    <w:rsid w:val="00856767"/>
    <w:rsid w:val="00856795"/>
    <w:rsid w:val="008567E1"/>
    <w:rsid w:val="00856805"/>
    <w:rsid w:val="0085686C"/>
    <w:rsid w:val="00856935"/>
    <w:rsid w:val="00856955"/>
    <w:rsid w:val="00856979"/>
    <w:rsid w:val="008569E3"/>
    <w:rsid w:val="00856A04"/>
    <w:rsid w:val="00856A06"/>
    <w:rsid w:val="00856A9C"/>
    <w:rsid w:val="00856AB1"/>
    <w:rsid w:val="00856B48"/>
    <w:rsid w:val="00856B83"/>
    <w:rsid w:val="00856BB8"/>
    <w:rsid w:val="00856C05"/>
    <w:rsid w:val="00856C1D"/>
    <w:rsid w:val="00856C4A"/>
    <w:rsid w:val="00856C7F"/>
    <w:rsid w:val="00856C8B"/>
    <w:rsid w:val="00856CA4"/>
    <w:rsid w:val="00856D08"/>
    <w:rsid w:val="00856D28"/>
    <w:rsid w:val="00856D97"/>
    <w:rsid w:val="00856DC1"/>
    <w:rsid w:val="00856DE6"/>
    <w:rsid w:val="00856E62"/>
    <w:rsid w:val="00856EF0"/>
    <w:rsid w:val="00856F24"/>
    <w:rsid w:val="00856F2A"/>
    <w:rsid w:val="00856F5E"/>
    <w:rsid w:val="00856F77"/>
    <w:rsid w:val="00856FA3"/>
    <w:rsid w:val="00856FCC"/>
    <w:rsid w:val="00856FF0"/>
    <w:rsid w:val="0085703F"/>
    <w:rsid w:val="008570B0"/>
    <w:rsid w:val="008570E5"/>
    <w:rsid w:val="00857143"/>
    <w:rsid w:val="00857195"/>
    <w:rsid w:val="008571A8"/>
    <w:rsid w:val="00857208"/>
    <w:rsid w:val="00857220"/>
    <w:rsid w:val="0085728E"/>
    <w:rsid w:val="008572DE"/>
    <w:rsid w:val="008573B2"/>
    <w:rsid w:val="008573F9"/>
    <w:rsid w:val="00857403"/>
    <w:rsid w:val="0085740F"/>
    <w:rsid w:val="00857499"/>
    <w:rsid w:val="008574C3"/>
    <w:rsid w:val="008574D5"/>
    <w:rsid w:val="008574D6"/>
    <w:rsid w:val="00857510"/>
    <w:rsid w:val="00857587"/>
    <w:rsid w:val="0085763E"/>
    <w:rsid w:val="00857642"/>
    <w:rsid w:val="00857700"/>
    <w:rsid w:val="0085770D"/>
    <w:rsid w:val="00857766"/>
    <w:rsid w:val="00857768"/>
    <w:rsid w:val="00857796"/>
    <w:rsid w:val="00857897"/>
    <w:rsid w:val="008578B1"/>
    <w:rsid w:val="00857911"/>
    <w:rsid w:val="0085791E"/>
    <w:rsid w:val="00857964"/>
    <w:rsid w:val="00857969"/>
    <w:rsid w:val="008579C6"/>
    <w:rsid w:val="00857A41"/>
    <w:rsid w:val="00857A5B"/>
    <w:rsid w:val="00857B52"/>
    <w:rsid w:val="00857B97"/>
    <w:rsid w:val="00857BF0"/>
    <w:rsid w:val="00857C23"/>
    <w:rsid w:val="00857D5C"/>
    <w:rsid w:val="00857D7D"/>
    <w:rsid w:val="00857D8F"/>
    <w:rsid w:val="00857DD0"/>
    <w:rsid w:val="00857E67"/>
    <w:rsid w:val="00857EAD"/>
    <w:rsid w:val="00857F0A"/>
    <w:rsid w:val="00857F18"/>
    <w:rsid w:val="00860026"/>
    <w:rsid w:val="0086003C"/>
    <w:rsid w:val="0086011A"/>
    <w:rsid w:val="008601C5"/>
    <w:rsid w:val="008601E2"/>
    <w:rsid w:val="00860207"/>
    <w:rsid w:val="0086021B"/>
    <w:rsid w:val="00860265"/>
    <w:rsid w:val="008602E5"/>
    <w:rsid w:val="00860348"/>
    <w:rsid w:val="0086037A"/>
    <w:rsid w:val="00860416"/>
    <w:rsid w:val="00860439"/>
    <w:rsid w:val="008604B6"/>
    <w:rsid w:val="008604CB"/>
    <w:rsid w:val="00860557"/>
    <w:rsid w:val="0086056D"/>
    <w:rsid w:val="00860627"/>
    <w:rsid w:val="00860660"/>
    <w:rsid w:val="00860677"/>
    <w:rsid w:val="008606C9"/>
    <w:rsid w:val="008606CC"/>
    <w:rsid w:val="008606D7"/>
    <w:rsid w:val="008606D8"/>
    <w:rsid w:val="0086072F"/>
    <w:rsid w:val="00860819"/>
    <w:rsid w:val="00860857"/>
    <w:rsid w:val="008608B6"/>
    <w:rsid w:val="008608D4"/>
    <w:rsid w:val="0086090A"/>
    <w:rsid w:val="0086091E"/>
    <w:rsid w:val="00860959"/>
    <w:rsid w:val="00860964"/>
    <w:rsid w:val="00860976"/>
    <w:rsid w:val="0086098D"/>
    <w:rsid w:val="00860B80"/>
    <w:rsid w:val="00860B87"/>
    <w:rsid w:val="00860BAF"/>
    <w:rsid w:val="00860C1F"/>
    <w:rsid w:val="00860C8D"/>
    <w:rsid w:val="00860CB3"/>
    <w:rsid w:val="00860D58"/>
    <w:rsid w:val="00860E24"/>
    <w:rsid w:val="00860E3B"/>
    <w:rsid w:val="00860E6A"/>
    <w:rsid w:val="00860EAC"/>
    <w:rsid w:val="00860EB8"/>
    <w:rsid w:val="00860F00"/>
    <w:rsid w:val="00860F0A"/>
    <w:rsid w:val="00860F81"/>
    <w:rsid w:val="00860FC7"/>
    <w:rsid w:val="00860FD4"/>
    <w:rsid w:val="00860FD9"/>
    <w:rsid w:val="00861035"/>
    <w:rsid w:val="00861068"/>
    <w:rsid w:val="0086108C"/>
    <w:rsid w:val="0086109A"/>
    <w:rsid w:val="008610B3"/>
    <w:rsid w:val="00861109"/>
    <w:rsid w:val="00861119"/>
    <w:rsid w:val="008611A9"/>
    <w:rsid w:val="008611BB"/>
    <w:rsid w:val="00861259"/>
    <w:rsid w:val="0086129C"/>
    <w:rsid w:val="008612A8"/>
    <w:rsid w:val="008612AF"/>
    <w:rsid w:val="0086135B"/>
    <w:rsid w:val="00861360"/>
    <w:rsid w:val="00861388"/>
    <w:rsid w:val="008613B9"/>
    <w:rsid w:val="008613F5"/>
    <w:rsid w:val="00861406"/>
    <w:rsid w:val="0086141C"/>
    <w:rsid w:val="00861462"/>
    <w:rsid w:val="00861472"/>
    <w:rsid w:val="008614D6"/>
    <w:rsid w:val="008614E6"/>
    <w:rsid w:val="0086153F"/>
    <w:rsid w:val="008615CA"/>
    <w:rsid w:val="008615D9"/>
    <w:rsid w:val="008615F8"/>
    <w:rsid w:val="0086162B"/>
    <w:rsid w:val="0086166A"/>
    <w:rsid w:val="0086168D"/>
    <w:rsid w:val="008616C8"/>
    <w:rsid w:val="00861724"/>
    <w:rsid w:val="00861791"/>
    <w:rsid w:val="008617CD"/>
    <w:rsid w:val="0086180D"/>
    <w:rsid w:val="00861830"/>
    <w:rsid w:val="0086183D"/>
    <w:rsid w:val="0086186A"/>
    <w:rsid w:val="008618A5"/>
    <w:rsid w:val="00861972"/>
    <w:rsid w:val="00861A4C"/>
    <w:rsid w:val="00861A82"/>
    <w:rsid w:val="00861B1A"/>
    <w:rsid w:val="00861B42"/>
    <w:rsid w:val="00861B54"/>
    <w:rsid w:val="00861C62"/>
    <w:rsid w:val="00861CB9"/>
    <w:rsid w:val="00861CE5"/>
    <w:rsid w:val="00861CEB"/>
    <w:rsid w:val="00861D23"/>
    <w:rsid w:val="00861D91"/>
    <w:rsid w:val="00861D9E"/>
    <w:rsid w:val="00861E8A"/>
    <w:rsid w:val="00861E8D"/>
    <w:rsid w:val="00861E93"/>
    <w:rsid w:val="00861E98"/>
    <w:rsid w:val="00861F3F"/>
    <w:rsid w:val="00861F4C"/>
    <w:rsid w:val="00861F65"/>
    <w:rsid w:val="00861F76"/>
    <w:rsid w:val="00861FC8"/>
    <w:rsid w:val="00862023"/>
    <w:rsid w:val="00862060"/>
    <w:rsid w:val="0086208C"/>
    <w:rsid w:val="008620C4"/>
    <w:rsid w:val="008620F6"/>
    <w:rsid w:val="0086211A"/>
    <w:rsid w:val="00862149"/>
    <w:rsid w:val="008621AA"/>
    <w:rsid w:val="008621DA"/>
    <w:rsid w:val="00862221"/>
    <w:rsid w:val="00862270"/>
    <w:rsid w:val="0086229A"/>
    <w:rsid w:val="00862304"/>
    <w:rsid w:val="00862308"/>
    <w:rsid w:val="00862317"/>
    <w:rsid w:val="0086231D"/>
    <w:rsid w:val="0086234A"/>
    <w:rsid w:val="0086234D"/>
    <w:rsid w:val="0086236A"/>
    <w:rsid w:val="00862394"/>
    <w:rsid w:val="00862395"/>
    <w:rsid w:val="008623A9"/>
    <w:rsid w:val="008623BE"/>
    <w:rsid w:val="00862482"/>
    <w:rsid w:val="008624AA"/>
    <w:rsid w:val="0086251E"/>
    <w:rsid w:val="00862590"/>
    <w:rsid w:val="00862595"/>
    <w:rsid w:val="00862657"/>
    <w:rsid w:val="008626AF"/>
    <w:rsid w:val="008626BE"/>
    <w:rsid w:val="008626E1"/>
    <w:rsid w:val="00862733"/>
    <w:rsid w:val="00862789"/>
    <w:rsid w:val="0086278A"/>
    <w:rsid w:val="008627A3"/>
    <w:rsid w:val="0086282A"/>
    <w:rsid w:val="0086286C"/>
    <w:rsid w:val="00862906"/>
    <w:rsid w:val="0086296E"/>
    <w:rsid w:val="00862A3F"/>
    <w:rsid w:val="00862A40"/>
    <w:rsid w:val="00862B31"/>
    <w:rsid w:val="00862B54"/>
    <w:rsid w:val="00862C1F"/>
    <w:rsid w:val="00862C37"/>
    <w:rsid w:val="00862CBE"/>
    <w:rsid w:val="00862DC6"/>
    <w:rsid w:val="00862EBB"/>
    <w:rsid w:val="00862EC3"/>
    <w:rsid w:val="00862EE6"/>
    <w:rsid w:val="00862F7D"/>
    <w:rsid w:val="00862FCA"/>
    <w:rsid w:val="00863022"/>
    <w:rsid w:val="0086309C"/>
    <w:rsid w:val="0086309F"/>
    <w:rsid w:val="008630C1"/>
    <w:rsid w:val="008630E4"/>
    <w:rsid w:val="0086311A"/>
    <w:rsid w:val="00863181"/>
    <w:rsid w:val="008631B9"/>
    <w:rsid w:val="008631E8"/>
    <w:rsid w:val="008631FC"/>
    <w:rsid w:val="00863206"/>
    <w:rsid w:val="0086320D"/>
    <w:rsid w:val="0086322E"/>
    <w:rsid w:val="0086328E"/>
    <w:rsid w:val="00863332"/>
    <w:rsid w:val="0086334C"/>
    <w:rsid w:val="00863360"/>
    <w:rsid w:val="008633E9"/>
    <w:rsid w:val="0086342A"/>
    <w:rsid w:val="0086348C"/>
    <w:rsid w:val="008634AC"/>
    <w:rsid w:val="008634D4"/>
    <w:rsid w:val="00863532"/>
    <w:rsid w:val="00863559"/>
    <w:rsid w:val="00863591"/>
    <w:rsid w:val="00863596"/>
    <w:rsid w:val="00863604"/>
    <w:rsid w:val="00863620"/>
    <w:rsid w:val="00863623"/>
    <w:rsid w:val="00863679"/>
    <w:rsid w:val="008636AA"/>
    <w:rsid w:val="00863739"/>
    <w:rsid w:val="00863753"/>
    <w:rsid w:val="00863781"/>
    <w:rsid w:val="008637BF"/>
    <w:rsid w:val="008637D1"/>
    <w:rsid w:val="0086383E"/>
    <w:rsid w:val="00863850"/>
    <w:rsid w:val="0086388A"/>
    <w:rsid w:val="00863897"/>
    <w:rsid w:val="008638AA"/>
    <w:rsid w:val="008638C1"/>
    <w:rsid w:val="008638C8"/>
    <w:rsid w:val="008638E1"/>
    <w:rsid w:val="008638EC"/>
    <w:rsid w:val="00863918"/>
    <w:rsid w:val="00863A09"/>
    <w:rsid w:val="00863A90"/>
    <w:rsid w:val="00863B04"/>
    <w:rsid w:val="00863B1F"/>
    <w:rsid w:val="00863B6F"/>
    <w:rsid w:val="00863B7A"/>
    <w:rsid w:val="00863BBB"/>
    <w:rsid w:val="00863BCE"/>
    <w:rsid w:val="00863BE8"/>
    <w:rsid w:val="00863C6A"/>
    <w:rsid w:val="00863C77"/>
    <w:rsid w:val="00863CAD"/>
    <w:rsid w:val="00863D42"/>
    <w:rsid w:val="00863D71"/>
    <w:rsid w:val="00863D8E"/>
    <w:rsid w:val="00863DBE"/>
    <w:rsid w:val="00863DF4"/>
    <w:rsid w:val="00863E0E"/>
    <w:rsid w:val="00863E62"/>
    <w:rsid w:val="00863EDB"/>
    <w:rsid w:val="00863F0E"/>
    <w:rsid w:val="00863F47"/>
    <w:rsid w:val="00863F53"/>
    <w:rsid w:val="00863F64"/>
    <w:rsid w:val="00863FC9"/>
    <w:rsid w:val="00863FCD"/>
    <w:rsid w:val="00863FF4"/>
    <w:rsid w:val="00863FF5"/>
    <w:rsid w:val="0086404D"/>
    <w:rsid w:val="008640AA"/>
    <w:rsid w:val="0086411C"/>
    <w:rsid w:val="00864194"/>
    <w:rsid w:val="008642BD"/>
    <w:rsid w:val="00864346"/>
    <w:rsid w:val="00864362"/>
    <w:rsid w:val="0086436C"/>
    <w:rsid w:val="0086437F"/>
    <w:rsid w:val="008643A6"/>
    <w:rsid w:val="008643E9"/>
    <w:rsid w:val="00864442"/>
    <w:rsid w:val="0086449A"/>
    <w:rsid w:val="008644B7"/>
    <w:rsid w:val="0086456A"/>
    <w:rsid w:val="0086457A"/>
    <w:rsid w:val="00864586"/>
    <w:rsid w:val="00864605"/>
    <w:rsid w:val="008646A4"/>
    <w:rsid w:val="008646C1"/>
    <w:rsid w:val="008646F0"/>
    <w:rsid w:val="0086470D"/>
    <w:rsid w:val="008647B9"/>
    <w:rsid w:val="00864811"/>
    <w:rsid w:val="00864866"/>
    <w:rsid w:val="00864869"/>
    <w:rsid w:val="008648BB"/>
    <w:rsid w:val="008648F3"/>
    <w:rsid w:val="008649A5"/>
    <w:rsid w:val="00864A1D"/>
    <w:rsid w:val="00864A3B"/>
    <w:rsid w:val="00864A53"/>
    <w:rsid w:val="00864A56"/>
    <w:rsid w:val="00864A58"/>
    <w:rsid w:val="00864A84"/>
    <w:rsid w:val="00864A99"/>
    <w:rsid w:val="00864ABB"/>
    <w:rsid w:val="00864B47"/>
    <w:rsid w:val="00864B98"/>
    <w:rsid w:val="00864B9C"/>
    <w:rsid w:val="00864B9E"/>
    <w:rsid w:val="00864BA8"/>
    <w:rsid w:val="00864BC4"/>
    <w:rsid w:val="00864BEC"/>
    <w:rsid w:val="00864C1F"/>
    <w:rsid w:val="00864C20"/>
    <w:rsid w:val="00864C6E"/>
    <w:rsid w:val="00864CF9"/>
    <w:rsid w:val="00864D4F"/>
    <w:rsid w:val="00864DFA"/>
    <w:rsid w:val="00864E16"/>
    <w:rsid w:val="00864E1E"/>
    <w:rsid w:val="00864E43"/>
    <w:rsid w:val="00864FB9"/>
    <w:rsid w:val="00864FD3"/>
    <w:rsid w:val="00864FDE"/>
    <w:rsid w:val="00864FE2"/>
    <w:rsid w:val="0086501B"/>
    <w:rsid w:val="00865039"/>
    <w:rsid w:val="00865060"/>
    <w:rsid w:val="00865061"/>
    <w:rsid w:val="00865083"/>
    <w:rsid w:val="00865103"/>
    <w:rsid w:val="00865189"/>
    <w:rsid w:val="0086522C"/>
    <w:rsid w:val="008652C3"/>
    <w:rsid w:val="008652D1"/>
    <w:rsid w:val="00865367"/>
    <w:rsid w:val="00865387"/>
    <w:rsid w:val="008653B3"/>
    <w:rsid w:val="008653C1"/>
    <w:rsid w:val="00865406"/>
    <w:rsid w:val="00865481"/>
    <w:rsid w:val="0086549E"/>
    <w:rsid w:val="008654D7"/>
    <w:rsid w:val="008654F6"/>
    <w:rsid w:val="00865561"/>
    <w:rsid w:val="008655B9"/>
    <w:rsid w:val="00865600"/>
    <w:rsid w:val="00865636"/>
    <w:rsid w:val="008656B1"/>
    <w:rsid w:val="008656BC"/>
    <w:rsid w:val="008656CF"/>
    <w:rsid w:val="00865725"/>
    <w:rsid w:val="0086572B"/>
    <w:rsid w:val="00865737"/>
    <w:rsid w:val="0086575B"/>
    <w:rsid w:val="00865797"/>
    <w:rsid w:val="008657C3"/>
    <w:rsid w:val="00865837"/>
    <w:rsid w:val="00865842"/>
    <w:rsid w:val="00865867"/>
    <w:rsid w:val="0086586E"/>
    <w:rsid w:val="00865877"/>
    <w:rsid w:val="0086587C"/>
    <w:rsid w:val="0086589F"/>
    <w:rsid w:val="00865918"/>
    <w:rsid w:val="0086595B"/>
    <w:rsid w:val="00865983"/>
    <w:rsid w:val="008659C7"/>
    <w:rsid w:val="008659E2"/>
    <w:rsid w:val="00865A85"/>
    <w:rsid w:val="00865AA4"/>
    <w:rsid w:val="00865ACE"/>
    <w:rsid w:val="00865B19"/>
    <w:rsid w:val="00865B6A"/>
    <w:rsid w:val="00865BA0"/>
    <w:rsid w:val="00865BB0"/>
    <w:rsid w:val="00865BB3"/>
    <w:rsid w:val="00865BD8"/>
    <w:rsid w:val="00865C33"/>
    <w:rsid w:val="00865C5B"/>
    <w:rsid w:val="00865C84"/>
    <w:rsid w:val="00865CB6"/>
    <w:rsid w:val="00865D10"/>
    <w:rsid w:val="00865D1E"/>
    <w:rsid w:val="00865D27"/>
    <w:rsid w:val="00865D30"/>
    <w:rsid w:val="00865D47"/>
    <w:rsid w:val="00865D60"/>
    <w:rsid w:val="00865D6C"/>
    <w:rsid w:val="00865D8A"/>
    <w:rsid w:val="00865DBA"/>
    <w:rsid w:val="00865DE5"/>
    <w:rsid w:val="00865DFD"/>
    <w:rsid w:val="00865E74"/>
    <w:rsid w:val="00865E8D"/>
    <w:rsid w:val="00865EBA"/>
    <w:rsid w:val="00865F0B"/>
    <w:rsid w:val="00865F39"/>
    <w:rsid w:val="00865F47"/>
    <w:rsid w:val="00865F9B"/>
    <w:rsid w:val="00865F9F"/>
    <w:rsid w:val="00865FB0"/>
    <w:rsid w:val="00865FDE"/>
    <w:rsid w:val="0086600E"/>
    <w:rsid w:val="00866069"/>
    <w:rsid w:val="00866087"/>
    <w:rsid w:val="0086609F"/>
    <w:rsid w:val="008660CA"/>
    <w:rsid w:val="008660CB"/>
    <w:rsid w:val="00866157"/>
    <w:rsid w:val="00866202"/>
    <w:rsid w:val="00866208"/>
    <w:rsid w:val="00866220"/>
    <w:rsid w:val="00866274"/>
    <w:rsid w:val="00866278"/>
    <w:rsid w:val="0086628E"/>
    <w:rsid w:val="008662C7"/>
    <w:rsid w:val="00866305"/>
    <w:rsid w:val="00866344"/>
    <w:rsid w:val="0086634A"/>
    <w:rsid w:val="0086636E"/>
    <w:rsid w:val="00866380"/>
    <w:rsid w:val="00866383"/>
    <w:rsid w:val="008663FD"/>
    <w:rsid w:val="00866463"/>
    <w:rsid w:val="008664B9"/>
    <w:rsid w:val="008664C7"/>
    <w:rsid w:val="0086653F"/>
    <w:rsid w:val="0086655B"/>
    <w:rsid w:val="00866590"/>
    <w:rsid w:val="00866596"/>
    <w:rsid w:val="008665D1"/>
    <w:rsid w:val="00866615"/>
    <w:rsid w:val="00866685"/>
    <w:rsid w:val="0086668C"/>
    <w:rsid w:val="008666B0"/>
    <w:rsid w:val="008666DE"/>
    <w:rsid w:val="008667AD"/>
    <w:rsid w:val="008667B1"/>
    <w:rsid w:val="008667E0"/>
    <w:rsid w:val="00866859"/>
    <w:rsid w:val="008668B0"/>
    <w:rsid w:val="008668D6"/>
    <w:rsid w:val="008668DB"/>
    <w:rsid w:val="008668ED"/>
    <w:rsid w:val="00866925"/>
    <w:rsid w:val="0086694E"/>
    <w:rsid w:val="00866975"/>
    <w:rsid w:val="00866985"/>
    <w:rsid w:val="008669B5"/>
    <w:rsid w:val="00866A16"/>
    <w:rsid w:val="00866AA1"/>
    <w:rsid w:val="00866AFF"/>
    <w:rsid w:val="00866B4D"/>
    <w:rsid w:val="00866B67"/>
    <w:rsid w:val="00866B87"/>
    <w:rsid w:val="00866BB4"/>
    <w:rsid w:val="00866C14"/>
    <w:rsid w:val="00866C16"/>
    <w:rsid w:val="00866C4A"/>
    <w:rsid w:val="00866C7F"/>
    <w:rsid w:val="00866CAF"/>
    <w:rsid w:val="00866CB1"/>
    <w:rsid w:val="00866CE5"/>
    <w:rsid w:val="00866CEE"/>
    <w:rsid w:val="00866DAF"/>
    <w:rsid w:val="00866DF6"/>
    <w:rsid w:val="00866E16"/>
    <w:rsid w:val="00866E4D"/>
    <w:rsid w:val="00866E83"/>
    <w:rsid w:val="00866EB0"/>
    <w:rsid w:val="00866EB6"/>
    <w:rsid w:val="00866EC3"/>
    <w:rsid w:val="00866ECA"/>
    <w:rsid w:val="00866F28"/>
    <w:rsid w:val="00867000"/>
    <w:rsid w:val="00867028"/>
    <w:rsid w:val="00867082"/>
    <w:rsid w:val="00867093"/>
    <w:rsid w:val="00867112"/>
    <w:rsid w:val="00867163"/>
    <w:rsid w:val="00867175"/>
    <w:rsid w:val="0086720D"/>
    <w:rsid w:val="00867225"/>
    <w:rsid w:val="008672BE"/>
    <w:rsid w:val="00867318"/>
    <w:rsid w:val="00867323"/>
    <w:rsid w:val="00867393"/>
    <w:rsid w:val="008673BB"/>
    <w:rsid w:val="0086740B"/>
    <w:rsid w:val="008674AE"/>
    <w:rsid w:val="00867503"/>
    <w:rsid w:val="0086751F"/>
    <w:rsid w:val="0086754C"/>
    <w:rsid w:val="00867550"/>
    <w:rsid w:val="0086755F"/>
    <w:rsid w:val="00867589"/>
    <w:rsid w:val="00867594"/>
    <w:rsid w:val="008675D9"/>
    <w:rsid w:val="008675F1"/>
    <w:rsid w:val="0086761D"/>
    <w:rsid w:val="0086762C"/>
    <w:rsid w:val="00867636"/>
    <w:rsid w:val="0086763C"/>
    <w:rsid w:val="00867657"/>
    <w:rsid w:val="008676C7"/>
    <w:rsid w:val="008676F5"/>
    <w:rsid w:val="00867735"/>
    <w:rsid w:val="0086777C"/>
    <w:rsid w:val="0086778F"/>
    <w:rsid w:val="008677D6"/>
    <w:rsid w:val="008677F8"/>
    <w:rsid w:val="00867819"/>
    <w:rsid w:val="008679E0"/>
    <w:rsid w:val="008679ED"/>
    <w:rsid w:val="00867A1B"/>
    <w:rsid w:val="00867A5A"/>
    <w:rsid w:val="00867A76"/>
    <w:rsid w:val="00867AD1"/>
    <w:rsid w:val="00867B0E"/>
    <w:rsid w:val="00867BE0"/>
    <w:rsid w:val="00867C43"/>
    <w:rsid w:val="00867C88"/>
    <w:rsid w:val="00867D01"/>
    <w:rsid w:val="00867D06"/>
    <w:rsid w:val="00867D58"/>
    <w:rsid w:val="00867DAE"/>
    <w:rsid w:val="00867E14"/>
    <w:rsid w:val="00867E6C"/>
    <w:rsid w:val="00867E74"/>
    <w:rsid w:val="00867E86"/>
    <w:rsid w:val="00867E9C"/>
    <w:rsid w:val="00867F26"/>
    <w:rsid w:val="00867FD8"/>
    <w:rsid w:val="00867FDA"/>
    <w:rsid w:val="00867FEB"/>
    <w:rsid w:val="00870065"/>
    <w:rsid w:val="0087006C"/>
    <w:rsid w:val="00870073"/>
    <w:rsid w:val="008700AC"/>
    <w:rsid w:val="008700C9"/>
    <w:rsid w:val="0087011F"/>
    <w:rsid w:val="00870139"/>
    <w:rsid w:val="0087017B"/>
    <w:rsid w:val="008701A1"/>
    <w:rsid w:val="008701A5"/>
    <w:rsid w:val="008701EC"/>
    <w:rsid w:val="0087029A"/>
    <w:rsid w:val="00870344"/>
    <w:rsid w:val="00870376"/>
    <w:rsid w:val="00870382"/>
    <w:rsid w:val="0087045B"/>
    <w:rsid w:val="00870462"/>
    <w:rsid w:val="00870471"/>
    <w:rsid w:val="008705A5"/>
    <w:rsid w:val="0087062C"/>
    <w:rsid w:val="00870656"/>
    <w:rsid w:val="00870668"/>
    <w:rsid w:val="008706BD"/>
    <w:rsid w:val="008706EA"/>
    <w:rsid w:val="0087073A"/>
    <w:rsid w:val="00870741"/>
    <w:rsid w:val="008707F7"/>
    <w:rsid w:val="00870854"/>
    <w:rsid w:val="00870855"/>
    <w:rsid w:val="00870877"/>
    <w:rsid w:val="00870879"/>
    <w:rsid w:val="0087088B"/>
    <w:rsid w:val="0087092F"/>
    <w:rsid w:val="0087097F"/>
    <w:rsid w:val="00870987"/>
    <w:rsid w:val="00870A12"/>
    <w:rsid w:val="00870A62"/>
    <w:rsid w:val="00870A8F"/>
    <w:rsid w:val="00870AEE"/>
    <w:rsid w:val="00870B22"/>
    <w:rsid w:val="00870B3A"/>
    <w:rsid w:val="00870B7B"/>
    <w:rsid w:val="00870BEC"/>
    <w:rsid w:val="00870C61"/>
    <w:rsid w:val="00870C6F"/>
    <w:rsid w:val="00870C7B"/>
    <w:rsid w:val="00870CBB"/>
    <w:rsid w:val="00870CCC"/>
    <w:rsid w:val="00870CEE"/>
    <w:rsid w:val="00870CFC"/>
    <w:rsid w:val="00870D2A"/>
    <w:rsid w:val="00870D61"/>
    <w:rsid w:val="00870D6F"/>
    <w:rsid w:val="00870D82"/>
    <w:rsid w:val="00870D97"/>
    <w:rsid w:val="00870E07"/>
    <w:rsid w:val="00870E5D"/>
    <w:rsid w:val="00870E98"/>
    <w:rsid w:val="00870EC8"/>
    <w:rsid w:val="00870F49"/>
    <w:rsid w:val="00870F91"/>
    <w:rsid w:val="00870FA9"/>
    <w:rsid w:val="008710F2"/>
    <w:rsid w:val="00871114"/>
    <w:rsid w:val="0087113C"/>
    <w:rsid w:val="0087116A"/>
    <w:rsid w:val="008711A8"/>
    <w:rsid w:val="008711B1"/>
    <w:rsid w:val="008711CC"/>
    <w:rsid w:val="008711FB"/>
    <w:rsid w:val="00871201"/>
    <w:rsid w:val="0087125F"/>
    <w:rsid w:val="008712FC"/>
    <w:rsid w:val="0087132A"/>
    <w:rsid w:val="00871364"/>
    <w:rsid w:val="00871384"/>
    <w:rsid w:val="008713ED"/>
    <w:rsid w:val="0087145C"/>
    <w:rsid w:val="00871463"/>
    <w:rsid w:val="00871467"/>
    <w:rsid w:val="0087149C"/>
    <w:rsid w:val="008714B9"/>
    <w:rsid w:val="00871504"/>
    <w:rsid w:val="00871523"/>
    <w:rsid w:val="0087156A"/>
    <w:rsid w:val="008715B8"/>
    <w:rsid w:val="008715D1"/>
    <w:rsid w:val="008715D9"/>
    <w:rsid w:val="008715DF"/>
    <w:rsid w:val="00871647"/>
    <w:rsid w:val="00871652"/>
    <w:rsid w:val="008716AB"/>
    <w:rsid w:val="008716E3"/>
    <w:rsid w:val="00871791"/>
    <w:rsid w:val="0087183E"/>
    <w:rsid w:val="0087189D"/>
    <w:rsid w:val="008718BD"/>
    <w:rsid w:val="008718FD"/>
    <w:rsid w:val="00871945"/>
    <w:rsid w:val="008719C4"/>
    <w:rsid w:val="00871A13"/>
    <w:rsid w:val="00871A49"/>
    <w:rsid w:val="00871ABC"/>
    <w:rsid w:val="00871ADD"/>
    <w:rsid w:val="00871B23"/>
    <w:rsid w:val="00871B7E"/>
    <w:rsid w:val="00871BA7"/>
    <w:rsid w:val="00871C12"/>
    <w:rsid w:val="00871C19"/>
    <w:rsid w:val="00871C96"/>
    <w:rsid w:val="00871CB3"/>
    <w:rsid w:val="00871CFA"/>
    <w:rsid w:val="00871D16"/>
    <w:rsid w:val="00871D48"/>
    <w:rsid w:val="00871E20"/>
    <w:rsid w:val="00871EAF"/>
    <w:rsid w:val="00871F81"/>
    <w:rsid w:val="00871FAA"/>
    <w:rsid w:val="00871FB4"/>
    <w:rsid w:val="008720E4"/>
    <w:rsid w:val="008720EA"/>
    <w:rsid w:val="00872100"/>
    <w:rsid w:val="0087214D"/>
    <w:rsid w:val="00872183"/>
    <w:rsid w:val="008721A0"/>
    <w:rsid w:val="0087220A"/>
    <w:rsid w:val="0087222E"/>
    <w:rsid w:val="00872244"/>
    <w:rsid w:val="00872250"/>
    <w:rsid w:val="00872313"/>
    <w:rsid w:val="0087231E"/>
    <w:rsid w:val="00872336"/>
    <w:rsid w:val="00872361"/>
    <w:rsid w:val="0087236B"/>
    <w:rsid w:val="0087239D"/>
    <w:rsid w:val="008723E2"/>
    <w:rsid w:val="008723F6"/>
    <w:rsid w:val="008723F7"/>
    <w:rsid w:val="00872493"/>
    <w:rsid w:val="008724AB"/>
    <w:rsid w:val="008724B6"/>
    <w:rsid w:val="008724E8"/>
    <w:rsid w:val="008724F5"/>
    <w:rsid w:val="00872519"/>
    <w:rsid w:val="0087253C"/>
    <w:rsid w:val="008725E9"/>
    <w:rsid w:val="008726C0"/>
    <w:rsid w:val="008726F9"/>
    <w:rsid w:val="0087278B"/>
    <w:rsid w:val="008727EA"/>
    <w:rsid w:val="00872834"/>
    <w:rsid w:val="00872971"/>
    <w:rsid w:val="00872A2C"/>
    <w:rsid w:val="00872A33"/>
    <w:rsid w:val="00872A5C"/>
    <w:rsid w:val="00872A72"/>
    <w:rsid w:val="00872A94"/>
    <w:rsid w:val="00872AAE"/>
    <w:rsid w:val="00872ADB"/>
    <w:rsid w:val="00872B32"/>
    <w:rsid w:val="00872B76"/>
    <w:rsid w:val="00872C37"/>
    <w:rsid w:val="00872C71"/>
    <w:rsid w:val="00872C75"/>
    <w:rsid w:val="00872CE4"/>
    <w:rsid w:val="00872D47"/>
    <w:rsid w:val="00872D51"/>
    <w:rsid w:val="00872D56"/>
    <w:rsid w:val="00872DFF"/>
    <w:rsid w:val="00872E04"/>
    <w:rsid w:val="00872E27"/>
    <w:rsid w:val="00872F14"/>
    <w:rsid w:val="00872F3A"/>
    <w:rsid w:val="00872F3D"/>
    <w:rsid w:val="00872FE1"/>
    <w:rsid w:val="0087301A"/>
    <w:rsid w:val="008730B1"/>
    <w:rsid w:val="008730B4"/>
    <w:rsid w:val="008730B7"/>
    <w:rsid w:val="008730F9"/>
    <w:rsid w:val="0087310F"/>
    <w:rsid w:val="008731DB"/>
    <w:rsid w:val="0087325F"/>
    <w:rsid w:val="00873264"/>
    <w:rsid w:val="0087326E"/>
    <w:rsid w:val="00873277"/>
    <w:rsid w:val="0087329C"/>
    <w:rsid w:val="008732B7"/>
    <w:rsid w:val="00873306"/>
    <w:rsid w:val="0087333C"/>
    <w:rsid w:val="0087338A"/>
    <w:rsid w:val="008733B1"/>
    <w:rsid w:val="008733CD"/>
    <w:rsid w:val="008733EB"/>
    <w:rsid w:val="00873466"/>
    <w:rsid w:val="00873472"/>
    <w:rsid w:val="0087347C"/>
    <w:rsid w:val="008734F9"/>
    <w:rsid w:val="008734FB"/>
    <w:rsid w:val="00873596"/>
    <w:rsid w:val="00873609"/>
    <w:rsid w:val="008736DE"/>
    <w:rsid w:val="008736F7"/>
    <w:rsid w:val="008737CB"/>
    <w:rsid w:val="0087382E"/>
    <w:rsid w:val="008738F9"/>
    <w:rsid w:val="0087396E"/>
    <w:rsid w:val="00873B7A"/>
    <w:rsid w:val="00873B89"/>
    <w:rsid w:val="00873BAC"/>
    <w:rsid w:val="00873C12"/>
    <w:rsid w:val="00873D28"/>
    <w:rsid w:val="00873D6C"/>
    <w:rsid w:val="00873DB8"/>
    <w:rsid w:val="00873DED"/>
    <w:rsid w:val="00873E6D"/>
    <w:rsid w:val="00873E88"/>
    <w:rsid w:val="00873E91"/>
    <w:rsid w:val="00873F76"/>
    <w:rsid w:val="00873F9D"/>
    <w:rsid w:val="00873FA3"/>
    <w:rsid w:val="00873FE6"/>
    <w:rsid w:val="00873FEA"/>
    <w:rsid w:val="0087401F"/>
    <w:rsid w:val="00874041"/>
    <w:rsid w:val="00874056"/>
    <w:rsid w:val="0087407B"/>
    <w:rsid w:val="00874082"/>
    <w:rsid w:val="0087415B"/>
    <w:rsid w:val="0087417E"/>
    <w:rsid w:val="008741AD"/>
    <w:rsid w:val="008741BC"/>
    <w:rsid w:val="008741EB"/>
    <w:rsid w:val="0087420C"/>
    <w:rsid w:val="0087424E"/>
    <w:rsid w:val="0087429A"/>
    <w:rsid w:val="00874365"/>
    <w:rsid w:val="0087437E"/>
    <w:rsid w:val="00874391"/>
    <w:rsid w:val="008743C4"/>
    <w:rsid w:val="00874436"/>
    <w:rsid w:val="008744F6"/>
    <w:rsid w:val="0087450B"/>
    <w:rsid w:val="00874550"/>
    <w:rsid w:val="0087462E"/>
    <w:rsid w:val="00874684"/>
    <w:rsid w:val="00874693"/>
    <w:rsid w:val="008747C9"/>
    <w:rsid w:val="008747D1"/>
    <w:rsid w:val="008747EE"/>
    <w:rsid w:val="00874813"/>
    <w:rsid w:val="00874882"/>
    <w:rsid w:val="008748E3"/>
    <w:rsid w:val="0087491F"/>
    <w:rsid w:val="00874951"/>
    <w:rsid w:val="008749A7"/>
    <w:rsid w:val="008749BC"/>
    <w:rsid w:val="008749DE"/>
    <w:rsid w:val="00874A2C"/>
    <w:rsid w:val="00874A79"/>
    <w:rsid w:val="00874AE6"/>
    <w:rsid w:val="00874BB7"/>
    <w:rsid w:val="00874C8C"/>
    <w:rsid w:val="00874CBB"/>
    <w:rsid w:val="00874DEC"/>
    <w:rsid w:val="00874E65"/>
    <w:rsid w:val="00874EBD"/>
    <w:rsid w:val="00874F50"/>
    <w:rsid w:val="00874F54"/>
    <w:rsid w:val="00874F8B"/>
    <w:rsid w:val="00874F98"/>
    <w:rsid w:val="00874FDB"/>
    <w:rsid w:val="00874FEC"/>
    <w:rsid w:val="0087501B"/>
    <w:rsid w:val="008750C4"/>
    <w:rsid w:val="008751CB"/>
    <w:rsid w:val="00875213"/>
    <w:rsid w:val="00875241"/>
    <w:rsid w:val="00875252"/>
    <w:rsid w:val="00875323"/>
    <w:rsid w:val="00875336"/>
    <w:rsid w:val="00875376"/>
    <w:rsid w:val="00875395"/>
    <w:rsid w:val="008753A9"/>
    <w:rsid w:val="008753D3"/>
    <w:rsid w:val="0087543E"/>
    <w:rsid w:val="00875450"/>
    <w:rsid w:val="00875475"/>
    <w:rsid w:val="008754A2"/>
    <w:rsid w:val="008754AE"/>
    <w:rsid w:val="008754EC"/>
    <w:rsid w:val="008754EE"/>
    <w:rsid w:val="00875500"/>
    <w:rsid w:val="0087551A"/>
    <w:rsid w:val="00875525"/>
    <w:rsid w:val="0087553F"/>
    <w:rsid w:val="00875568"/>
    <w:rsid w:val="00875576"/>
    <w:rsid w:val="0087557E"/>
    <w:rsid w:val="008755EC"/>
    <w:rsid w:val="00875601"/>
    <w:rsid w:val="00875642"/>
    <w:rsid w:val="00875698"/>
    <w:rsid w:val="0087569C"/>
    <w:rsid w:val="0087571C"/>
    <w:rsid w:val="0087579E"/>
    <w:rsid w:val="008757BA"/>
    <w:rsid w:val="00875835"/>
    <w:rsid w:val="00875841"/>
    <w:rsid w:val="00875872"/>
    <w:rsid w:val="00875884"/>
    <w:rsid w:val="008758A5"/>
    <w:rsid w:val="008758CE"/>
    <w:rsid w:val="00875911"/>
    <w:rsid w:val="00875A57"/>
    <w:rsid w:val="00875A6E"/>
    <w:rsid w:val="00875AC0"/>
    <w:rsid w:val="00875ADE"/>
    <w:rsid w:val="00875AEB"/>
    <w:rsid w:val="00875AED"/>
    <w:rsid w:val="00875B2E"/>
    <w:rsid w:val="00875B7C"/>
    <w:rsid w:val="00875BA7"/>
    <w:rsid w:val="00875BB8"/>
    <w:rsid w:val="00875BCC"/>
    <w:rsid w:val="00875C6A"/>
    <w:rsid w:val="00875D4B"/>
    <w:rsid w:val="00875E4C"/>
    <w:rsid w:val="00875EBC"/>
    <w:rsid w:val="00875EFF"/>
    <w:rsid w:val="00875F1C"/>
    <w:rsid w:val="00875F55"/>
    <w:rsid w:val="00875F7C"/>
    <w:rsid w:val="00875F86"/>
    <w:rsid w:val="00875F87"/>
    <w:rsid w:val="00875F90"/>
    <w:rsid w:val="00875FA9"/>
    <w:rsid w:val="00875FDB"/>
    <w:rsid w:val="00876001"/>
    <w:rsid w:val="00876061"/>
    <w:rsid w:val="0087610F"/>
    <w:rsid w:val="00876150"/>
    <w:rsid w:val="00876161"/>
    <w:rsid w:val="00876165"/>
    <w:rsid w:val="008761C1"/>
    <w:rsid w:val="008761EA"/>
    <w:rsid w:val="008761F5"/>
    <w:rsid w:val="00876248"/>
    <w:rsid w:val="008762BE"/>
    <w:rsid w:val="008762C2"/>
    <w:rsid w:val="00876366"/>
    <w:rsid w:val="008763E3"/>
    <w:rsid w:val="0087645A"/>
    <w:rsid w:val="008764AE"/>
    <w:rsid w:val="0087651F"/>
    <w:rsid w:val="00876524"/>
    <w:rsid w:val="0087656D"/>
    <w:rsid w:val="0087659E"/>
    <w:rsid w:val="008765F4"/>
    <w:rsid w:val="008765FA"/>
    <w:rsid w:val="008765FF"/>
    <w:rsid w:val="0087660E"/>
    <w:rsid w:val="0087662E"/>
    <w:rsid w:val="0087664B"/>
    <w:rsid w:val="00876653"/>
    <w:rsid w:val="00876674"/>
    <w:rsid w:val="0087667D"/>
    <w:rsid w:val="0087673F"/>
    <w:rsid w:val="0087678C"/>
    <w:rsid w:val="008767BB"/>
    <w:rsid w:val="008767CF"/>
    <w:rsid w:val="008767D0"/>
    <w:rsid w:val="00876815"/>
    <w:rsid w:val="00876869"/>
    <w:rsid w:val="00876883"/>
    <w:rsid w:val="008768C4"/>
    <w:rsid w:val="008768D2"/>
    <w:rsid w:val="008768DA"/>
    <w:rsid w:val="008768FC"/>
    <w:rsid w:val="00876928"/>
    <w:rsid w:val="00876929"/>
    <w:rsid w:val="00876931"/>
    <w:rsid w:val="008769E4"/>
    <w:rsid w:val="00876A11"/>
    <w:rsid w:val="00876A22"/>
    <w:rsid w:val="00876A4E"/>
    <w:rsid w:val="00876AA9"/>
    <w:rsid w:val="00876AC2"/>
    <w:rsid w:val="00876B0B"/>
    <w:rsid w:val="00876B72"/>
    <w:rsid w:val="00876C30"/>
    <w:rsid w:val="00876C31"/>
    <w:rsid w:val="00876D07"/>
    <w:rsid w:val="00876D7B"/>
    <w:rsid w:val="00876DD7"/>
    <w:rsid w:val="00876E0B"/>
    <w:rsid w:val="00876E33"/>
    <w:rsid w:val="00876E61"/>
    <w:rsid w:val="00876E77"/>
    <w:rsid w:val="00876E81"/>
    <w:rsid w:val="00876EFE"/>
    <w:rsid w:val="00876F2C"/>
    <w:rsid w:val="00876F74"/>
    <w:rsid w:val="00876FDD"/>
    <w:rsid w:val="00877086"/>
    <w:rsid w:val="008770F1"/>
    <w:rsid w:val="0087711A"/>
    <w:rsid w:val="00877166"/>
    <w:rsid w:val="0087718B"/>
    <w:rsid w:val="008771A6"/>
    <w:rsid w:val="00877220"/>
    <w:rsid w:val="00877281"/>
    <w:rsid w:val="00877284"/>
    <w:rsid w:val="008772C9"/>
    <w:rsid w:val="008772DD"/>
    <w:rsid w:val="00877390"/>
    <w:rsid w:val="00877391"/>
    <w:rsid w:val="008773B5"/>
    <w:rsid w:val="00877499"/>
    <w:rsid w:val="00877553"/>
    <w:rsid w:val="008775EC"/>
    <w:rsid w:val="0087760E"/>
    <w:rsid w:val="00877640"/>
    <w:rsid w:val="0087765B"/>
    <w:rsid w:val="00877704"/>
    <w:rsid w:val="0087770D"/>
    <w:rsid w:val="00877745"/>
    <w:rsid w:val="00877748"/>
    <w:rsid w:val="00877778"/>
    <w:rsid w:val="008777B1"/>
    <w:rsid w:val="008777E2"/>
    <w:rsid w:val="00877841"/>
    <w:rsid w:val="00877877"/>
    <w:rsid w:val="0087787B"/>
    <w:rsid w:val="00877889"/>
    <w:rsid w:val="00877923"/>
    <w:rsid w:val="00877931"/>
    <w:rsid w:val="00877952"/>
    <w:rsid w:val="0087795A"/>
    <w:rsid w:val="0087797F"/>
    <w:rsid w:val="008779C2"/>
    <w:rsid w:val="00877A05"/>
    <w:rsid w:val="00877AB9"/>
    <w:rsid w:val="00877AD6"/>
    <w:rsid w:val="00877AEA"/>
    <w:rsid w:val="00877BB0"/>
    <w:rsid w:val="00877BCC"/>
    <w:rsid w:val="00877C0A"/>
    <w:rsid w:val="00877C35"/>
    <w:rsid w:val="00877C71"/>
    <w:rsid w:val="00877CCE"/>
    <w:rsid w:val="00877CD6"/>
    <w:rsid w:val="00877CEB"/>
    <w:rsid w:val="00877CF2"/>
    <w:rsid w:val="00877D69"/>
    <w:rsid w:val="00877D6B"/>
    <w:rsid w:val="00877DAD"/>
    <w:rsid w:val="00877DDB"/>
    <w:rsid w:val="00877DF4"/>
    <w:rsid w:val="00877EC2"/>
    <w:rsid w:val="00877EE3"/>
    <w:rsid w:val="00877EE9"/>
    <w:rsid w:val="00877F8E"/>
    <w:rsid w:val="00877FA2"/>
    <w:rsid w:val="00877FA7"/>
    <w:rsid w:val="00877FE0"/>
    <w:rsid w:val="00880051"/>
    <w:rsid w:val="00880055"/>
    <w:rsid w:val="00880062"/>
    <w:rsid w:val="008800B8"/>
    <w:rsid w:val="008800C4"/>
    <w:rsid w:val="00880107"/>
    <w:rsid w:val="00880195"/>
    <w:rsid w:val="008801C4"/>
    <w:rsid w:val="008801CB"/>
    <w:rsid w:val="008801E9"/>
    <w:rsid w:val="0088021D"/>
    <w:rsid w:val="00880227"/>
    <w:rsid w:val="008802BF"/>
    <w:rsid w:val="008802C2"/>
    <w:rsid w:val="008802EA"/>
    <w:rsid w:val="00880311"/>
    <w:rsid w:val="0088036A"/>
    <w:rsid w:val="008803FA"/>
    <w:rsid w:val="00880420"/>
    <w:rsid w:val="00880424"/>
    <w:rsid w:val="0088049B"/>
    <w:rsid w:val="00880567"/>
    <w:rsid w:val="008805A8"/>
    <w:rsid w:val="008805D1"/>
    <w:rsid w:val="0088063C"/>
    <w:rsid w:val="0088063E"/>
    <w:rsid w:val="00880674"/>
    <w:rsid w:val="00880676"/>
    <w:rsid w:val="008806D9"/>
    <w:rsid w:val="00880726"/>
    <w:rsid w:val="008807FA"/>
    <w:rsid w:val="00880881"/>
    <w:rsid w:val="00880955"/>
    <w:rsid w:val="00880961"/>
    <w:rsid w:val="00880974"/>
    <w:rsid w:val="00880980"/>
    <w:rsid w:val="008809B1"/>
    <w:rsid w:val="008809DB"/>
    <w:rsid w:val="008809FD"/>
    <w:rsid w:val="00880A07"/>
    <w:rsid w:val="00880A17"/>
    <w:rsid w:val="00880AE4"/>
    <w:rsid w:val="00880B54"/>
    <w:rsid w:val="00880B5A"/>
    <w:rsid w:val="00880B9F"/>
    <w:rsid w:val="00880BFA"/>
    <w:rsid w:val="00880C20"/>
    <w:rsid w:val="00880C7D"/>
    <w:rsid w:val="00880CE4"/>
    <w:rsid w:val="00880D21"/>
    <w:rsid w:val="00880D3F"/>
    <w:rsid w:val="00880D5D"/>
    <w:rsid w:val="00880E39"/>
    <w:rsid w:val="00880E78"/>
    <w:rsid w:val="00880E7C"/>
    <w:rsid w:val="00880ED7"/>
    <w:rsid w:val="00880EE8"/>
    <w:rsid w:val="00880F42"/>
    <w:rsid w:val="00880F82"/>
    <w:rsid w:val="00880FC6"/>
    <w:rsid w:val="00880FD2"/>
    <w:rsid w:val="0088106A"/>
    <w:rsid w:val="00881085"/>
    <w:rsid w:val="0088109B"/>
    <w:rsid w:val="008810AA"/>
    <w:rsid w:val="00881170"/>
    <w:rsid w:val="0088118D"/>
    <w:rsid w:val="0088119A"/>
    <w:rsid w:val="008811B1"/>
    <w:rsid w:val="008811E6"/>
    <w:rsid w:val="00881260"/>
    <w:rsid w:val="008813CA"/>
    <w:rsid w:val="008813DF"/>
    <w:rsid w:val="00881469"/>
    <w:rsid w:val="0088147A"/>
    <w:rsid w:val="008814B4"/>
    <w:rsid w:val="008814CD"/>
    <w:rsid w:val="008814D2"/>
    <w:rsid w:val="00881533"/>
    <w:rsid w:val="00881549"/>
    <w:rsid w:val="008815BD"/>
    <w:rsid w:val="008815DA"/>
    <w:rsid w:val="00881672"/>
    <w:rsid w:val="008816CB"/>
    <w:rsid w:val="0088174D"/>
    <w:rsid w:val="00881769"/>
    <w:rsid w:val="00881841"/>
    <w:rsid w:val="00881843"/>
    <w:rsid w:val="0088184D"/>
    <w:rsid w:val="0088186A"/>
    <w:rsid w:val="008818B4"/>
    <w:rsid w:val="00881948"/>
    <w:rsid w:val="0088196C"/>
    <w:rsid w:val="0088197D"/>
    <w:rsid w:val="008819B6"/>
    <w:rsid w:val="008819D3"/>
    <w:rsid w:val="008819DE"/>
    <w:rsid w:val="00881A12"/>
    <w:rsid w:val="00881A4D"/>
    <w:rsid w:val="00881A56"/>
    <w:rsid w:val="00881AE3"/>
    <w:rsid w:val="00881B89"/>
    <w:rsid w:val="00881C42"/>
    <w:rsid w:val="00881C77"/>
    <w:rsid w:val="00881C83"/>
    <w:rsid w:val="00881CB0"/>
    <w:rsid w:val="00881D19"/>
    <w:rsid w:val="00881D39"/>
    <w:rsid w:val="00881D5B"/>
    <w:rsid w:val="00881D6F"/>
    <w:rsid w:val="00881D96"/>
    <w:rsid w:val="00881E48"/>
    <w:rsid w:val="00881E79"/>
    <w:rsid w:val="00881E7E"/>
    <w:rsid w:val="00881EFB"/>
    <w:rsid w:val="00881F39"/>
    <w:rsid w:val="00881F40"/>
    <w:rsid w:val="00881F59"/>
    <w:rsid w:val="00881FC9"/>
    <w:rsid w:val="00882024"/>
    <w:rsid w:val="00882057"/>
    <w:rsid w:val="008820A1"/>
    <w:rsid w:val="008820BD"/>
    <w:rsid w:val="008820C1"/>
    <w:rsid w:val="008820CB"/>
    <w:rsid w:val="008820FA"/>
    <w:rsid w:val="0088212A"/>
    <w:rsid w:val="00882148"/>
    <w:rsid w:val="00882168"/>
    <w:rsid w:val="008821BB"/>
    <w:rsid w:val="00882259"/>
    <w:rsid w:val="00882265"/>
    <w:rsid w:val="0088226A"/>
    <w:rsid w:val="00882276"/>
    <w:rsid w:val="0088229D"/>
    <w:rsid w:val="008822BA"/>
    <w:rsid w:val="008822E1"/>
    <w:rsid w:val="00882310"/>
    <w:rsid w:val="0088234B"/>
    <w:rsid w:val="0088240B"/>
    <w:rsid w:val="00882472"/>
    <w:rsid w:val="008824C3"/>
    <w:rsid w:val="0088250E"/>
    <w:rsid w:val="00882561"/>
    <w:rsid w:val="00882587"/>
    <w:rsid w:val="008825A0"/>
    <w:rsid w:val="00882619"/>
    <w:rsid w:val="00882689"/>
    <w:rsid w:val="008826AD"/>
    <w:rsid w:val="008826EF"/>
    <w:rsid w:val="008826F3"/>
    <w:rsid w:val="0088272F"/>
    <w:rsid w:val="0088276F"/>
    <w:rsid w:val="0088292B"/>
    <w:rsid w:val="0088292C"/>
    <w:rsid w:val="00882956"/>
    <w:rsid w:val="00882969"/>
    <w:rsid w:val="0088298C"/>
    <w:rsid w:val="008829B5"/>
    <w:rsid w:val="008829B6"/>
    <w:rsid w:val="00882A65"/>
    <w:rsid w:val="00882AC5"/>
    <w:rsid w:val="00882B23"/>
    <w:rsid w:val="00882B97"/>
    <w:rsid w:val="00882BC6"/>
    <w:rsid w:val="00882BC9"/>
    <w:rsid w:val="00882BF5"/>
    <w:rsid w:val="00882C93"/>
    <w:rsid w:val="00882CC4"/>
    <w:rsid w:val="00882D40"/>
    <w:rsid w:val="00882DB0"/>
    <w:rsid w:val="00882F46"/>
    <w:rsid w:val="00882F78"/>
    <w:rsid w:val="00882FAF"/>
    <w:rsid w:val="00882FC4"/>
    <w:rsid w:val="0088302C"/>
    <w:rsid w:val="00883119"/>
    <w:rsid w:val="0088313B"/>
    <w:rsid w:val="00883149"/>
    <w:rsid w:val="00883167"/>
    <w:rsid w:val="0088319F"/>
    <w:rsid w:val="008831A7"/>
    <w:rsid w:val="00883200"/>
    <w:rsid w:val="0088321D"/>
    <w:rsid w:val="00883220"/>
    <w:rsid w:val="00883252"/>
    <w:rsid w:val="0088327F"/>
    <w:rsid w:val="008832A0"/>
    <w:rsid w:val="008832BA"/>
    <w:rsid w:val="008832CB"/>
    <w:rsid w:val="0088334D"/>
    <w:rsid w:val="008833E6"/>
    <w:rsid w:val="0088342A"/>
    <w:rsid w:val="0088348D"/>
    <w:rsid w:val="008834AA"/>
    <w:rsid w:val="008834F3"/>
    <w:rsid w:val="00883516"/>
    <w:rsid w:val="00883553"/>
    <w:rsid w:val="00883587"/>
    <w:rsid w:val="00883599"/>
    <w:rsid w:val="0088359D"/>
    <w:rsid w:val="008835AB"/>
    <w:rsid w:val="008835B1"/>
    <w:rsid w:val="008835B8"/>
    <w:rsid w:val="008835E1"/>
    <w:rsid w:val="00883621"/>
    <w:rsid w:val="008836AA"/>
    <w:rsid w:val="008836AD"/>
    <w:rsid w:val="008836F7"/>
    <w:rsid w:val="00883753"/>
    <w:rsid w:val="00883771"/>
    <w:rsid w:val="00883815"/>
    <w:rsid w:val="00883864"/>
    <w:rsid w:val="0088391F"/>
    <w:rsid w:val="008839E0"/>
    <w:rsid w:val="00883A1D"/>
    <w:rsid w:val="00883A2E"/>
    <w:rsid w:val="00883A6A"/>
    <w:rsid w:val="00883A8B"/>
    <w:rsid w:val="00883B2C"/>
    <w:rsid w:val="00883BA9"/>
    <w:rsid w:val="00883BFB"/>
    <w:rsid w:val="00883C9A"/>
    <w:rsid w:val="00883CFE"/>
    <w:rsid w:val="00883D17"/>
    <w:rsid w:val="00883D69"/>
    <w:rsid w:val="00883D80"/>
    <w:rsid w:val="00883E24"/>
    <w:rsid w:val="00883E25"/>
    <w:rsid w:val="00883E28"/>
    <w:rsid w:val="00883E6A"/>
    <w:rsid w:val="00883F2B"/>
    <w:rsid w:val="00883F37"/>
    <w:rsid w:val="00883F70"/>
    <w:rsid w:val="00883F9B"/>
    <w:rsid w:val="00883FA8"/>
    <w:rsid w:val="00883FAE"/>
    <w:rsid w:val="00883FC6"/>
    <w:rsid w:val="00884093"/>
    <w:rsid w:val="008840AB"/>
    <w:rsid w:val="008840BA"/>
    <w:rsid w:val="008841FC"/>
    <w:rsid w:val="008842B5"/>
    <w:rsid w:val="00884313"/>
    <w:rsid w:val="0088436B"/>
    <w:rsid w:val="008843ED"/>
    <w:rsid w:val="00884457"/>
    <w:rsid w:val="008844AA"/>
    <w:rsid w:val="008844AC"/>
    <w:rsid w:val="008844B3"/>
    <w:rsid w:val="008844E4"/>
    <w:rsid w:val="008844F4"/>
    <w:rsid w:val="0088457B"/>
    <w:rsid w:val="00884584"/>
    <w:rsid w:val="008845C5"/>
    <w:rsid w:val="008845EE"/>
    <w:rsid w:val="008845F4"/>
    <w:rsid w:val="008846F0"/>
    <w:rsid w:val="00884717"/>
    <w:rsid w:val="00884782"/>
    <w:rsid w:val="00884826"/>
    <w:rsid w:val="00884828"/>
    <w:rsid w:val="008848B4"/>
    <w:rsid w:val="0088492E"/>
    <w:rsid w:val="00884990"/>
    <w:rsid w:val="00884B0A"/>
    <w:rsid w:val="00884B24"/>
    <w:rsid w:val="00884BA0"/>
    <w:rsid w:val="00884BD5"/>
    <w:rsid w:val="00884C86"/>
    <w:rsid w:val="00884C8F"/>
    <w:rsid w:val="00884CA1"/>
    <w:rsid w:val="00884CE2"/>
    <w:rsid w:val="00884D38"/>
    <w:rsid w:val="00884D7D"/>
    <w:rsid w:val="00884D8F"/>
    <w:rsid w:val="00884E24"/>
    <w:rsid w:val="00884E5C"/>
    <w:rsid w:val="00884E7A"/>
    <w:rsid w:val="00884F3F"/>
    <w:rsid w:val="00884F56"/>
    <w:rsid w:val="00884F6B"/>
    <w:rsid w:val="00884F76"/>
    <w:rsid w:val="00884FBD"/>
    <w:rsid w:val="00884FC5"/>
    <w:rsid w:val="00885016"/>
    <w:rsid w:val="00885020"/>
    <w:rsid w:val="00885039"/>
    <w:rsid w:val="008850AF"/>
    <w:rsid w:val="008850C8"/>
    <w:rsid w:val="008850E1"/>
    <w:rsid w:val="008850EE"/>
    <w:rsid w:val="00885121"/>
    <w:rsid w:val="0088518F"/>
    <w:rsid w:val="008851B2"/>
    <w:rsid w:val="008851D2"/>
    <w:rsid w:val="00885201"/>
    <w:rsid w:val="00885202"/>
    <w:rsid w:val="00885246"/>
    <w:rsid w:val="0088529A"/>
    <w:rsid w:val="008852A9"/>
    <w:rsid w:val="008852B0"/>
    <w:rsid w:val="008852F2"/>
    <w:rsid w:val="00885364"/>
    <w:rsid w:val="0088539F"/>
    <w:rsid w:val="00885400"/>
    <w:rsid w:val="00885486"/>
    <w:rsid w:val="00885492"/>
    <w:rsid w:val="008854AA"/>
    <w:rsid w:val="008854D0"/>
    <w:rsid w:val="008854E4"/>
    <w:rsid w:val="00885512"/>
    <w:rsid w:val="00885582"/>
    <w:rsid w:val="008855DD"/>
    <w:rsid w:val="00885621"/>
    <w:rsid w:val="00885650"/>
    <w:rsid w:val="0088566A"/>
    <w:rsid w:val="0088567C"/>
    <w:rsid w:val="008856AC"/>
    <w:rsid w:val="008856CD"/>
    <w:rsid w:val="008857F1"/>
    <w:rsid w:val="00885856"/>
    <w:rsid w:val="00885878"/>
    <w:rsid w:val="008858AC"/>
    <w:rsid w:val="008858C9"/>
    <w:rsid w:val="008858E4"/>
    <w:rsid w:val="008858F2"/>
    <w:rsid w:val="008858F9"/>
    <w:rsid w:val="00885917"/>
    <w:rsid w:val="00885954"/>
    <w:rsid w:val="0088596F"/>
    <w:rsid w:val="00885A82"/>
    <w:rsid w:val="00885B48"/>
    <w:rsid w:val="00885B5B"/>
    <w:rsid w:val="00885B92"/>
    <w:rsid w:val="00885B9E"/>
    <w:rsid w:val="00885BC0"/>
    <w:rsid w:val="00885BD8"/>
    <w:rsid w:val="00885C6A"/>
    <w:rsid w:val="00885CC6"/>
    <w:rsid w:val="00885D2B"/>
    <w:rsid w:val="00885D38"/>
    <w:rsid w:val="00885D53"/>
    <w:rsid w:val="00885D7F"/>
    <w:rsid w:val="00885EE2"/>
    <w:rsid w:val="00885F31"/>
    <w:rsid w:val="00885F3D"/>
    <w:rsid w:val="00885FB8"/>
    <w:rsid w:val="00885FD1"/>
    <w:rsid w:val="00886025"/>
    <w:rsid w:val="0088602A"/>
    <w:rsid w:val="008861C6"/>
    <w:rsid w:val="008861DF"/>
    <w:rsid w:val="008861EE"/>
    <w:rsid w:val="00886202"/>
    <w:rsid w:val="00886258"/>
    <w:rsid w:val="00886263"/>
    <w:rsid w:val="00886266"/>
    <w:rsid w:val="00886275"/>
    <w:rsid w:val="008862AB"/>
    <w:rsid w:val="008862D4"/>
    <w:rsid w:val="00886349"/>
    <w:rsid w:val="00886370"/>
    <w:rsid w:val="00886389"/>
    <w:rsid w:val="008863C1"/>
    <w:rsid w:val="008863E4"/>
    <w:rsid w:val="0088640B"/>
    <w:rsid w:val="0088640F"/>
    <w:rsid w:val="00886446"/>
    <w:rsid w:val="0088655D"/>
    <w:rsid w:val="008865C1"/>
    <w:rsid w:val="008865EB"/>
    <w:rsid w:val="00886616"/>
    <w:rsid w:val="00886657"/>
    <w:rsid w:val="00886660"/>
    <w:rsid w:val="0088669B"/>
    <w:rsid w:val="0088676F"/>
    <w:rsid w:val="00886822"/>
    <w:rsid w:val="00886865"/>
    <w:rsid w:val="008868A9"/>
    <w:rsid w:val="008868EC"/>
    <w:rsid w:val="0088690A"/>
    <w:rsid w:val="00886943"/>
    <w:rsid w:val="00886949"/>
    <w:rsid w:val="008869CD"/>
    <w:rsid w:val="008869D4"/>
    <w:rsid w:val="00886A03"/>
    <w:rsid w:val="00886AA9"/>
    <w:rsid w:val="00886AB7"/>
    <w:rsid w:val="00886C16"/>
    <w:rsid w:val="00886C43"/>
    <w:rsid w:val="00886C65"/>
    <w:rsid w:val="00886C7E"/>
    <w:rsid w:val="00886C85"/>
    <w:rsid w:val="00886CAF"/>
    <w:rsid w:val="00886D42"/>
    <w:rsid w:val="00886DFF"/>
    <w:rsid w:val="00886E3C"/>
    <w:rsid w:val="00886E58"/>
    <w:rsid w:val="00886EC3"/>
    <w:rsid w:val="00886F0F"/>
    <w:rsid w:val="00886F12"/>
    <w:rsid w:val="00886F2F"/>
    <w:rsid w:val="00886F67"/>
    <w:rsid w:val="00887026"/>
    <w:rsid w:val="00887029"/>
    <w:rsid w:val="008870A2"/>
    <w:rsid w:val="0088717A"/>
    <w:rsid w:val="008871B4"/>
    <w:rsid w:val="0088721F"/>
    <w:rsid w:val="00887286"/>
    <w:rsid w:val="008872B0"/>
    <w:rsid w:val="008872F9"/>
    <w:rsid w:val="00887367"/>
    <w:rsid w:val="00887368"/>
    <w:rsid w:val="0088737B"/>
    <w:rsid w:val="0088748B"/>
    <w:rsid w:val="008874CD"/>
    <w:rsid w:val="0088752A"/>
    <w:rsid w:val="0088752C"/>
    <w:rsid w:val="00887579"/>
    <w:rsid w:val="008875F3"/>
    <w:rsid w:val="008876B7"/>
    <w:rsid w:val="0088775C"/>
    <w:rsid w:val="00887785"/>
    <w:rsid w:val="008877A4"/>
    <w:rsid w:val="00887829"/>
    <w:rsid w:val="0088782F"/>
    <w:rsid w:val="00887835"/>
    <w:rsid w:val="00887844"/>
    <w:rsid w:val="0088784A"/>
    <w:rsid w:val="008878D3"/>
    <w:rsid w:val="00887905"/>
    <w:rsid w:val="008879FF"/>
    <w:rsid w:val="00887A16"/>
    <w:rsid w:val="00887B2F"/>
    <w:rsid w:val="00887B85"/>
    <w:rsid w:val="00887C6E"/>
    <w:rsid w:val="00887CB1"/>
    <w:rsid w:val="00887CB2"/>
    <w:rsid w:val="00887CE3"/>
    <w:rsid w:val="00887CEC"/>
    <w:rsid w:val="00887CED"/>
    <w:rsid w:val="00887D32"/>
    <w:rsid w:val="00887D3D"/>
    <w:rsid w:val="00887DA9"/>
    <w:rsid w:val="00887DAC"/>
    <w:rsid w:val="00887DB9"/>
    <w:rsid w:val="00887DBE"/>
    <w:rsid w:val="00887DD1"/>
    <w:rsid w:val="00887DD5"/>
    <w:rsid w:val="00887E2C"/>
    <w:rsid w:val="00887E58"/>
    <w:rsid w:val="00887EB2"/>
    <w:rsid w:val="00887EB5"/>
    <w:rsid w:val="00887EC3"/>
    <w:rsid w:val="00887F2F"/>
    <w:rsid w:val="00887F47"/>
    <w:rsid w:val="00887F51"/>
    <w:rsid w:val="00887FCC"/>
    <w:rsid w:val="00887FCE"/>
    <w:rsid w:val="00890031"/>
    <w:rsid w:val="0089003F"/>
    <w:rsid w:val="0089006E"/>
    <w:rsid w:val="00890088"/>
    <w:rsid w:val="0089008E"/>
    <w:rsid w:val="00890155"/>
    <w:rsid w:val="0089015C"/>
    <w:rsid w:val="0089015D"/>
    <w:rsid w:val="008901A5"/>
    <w:rsid w:val="008901C2"/>
    <w:rsid w:val="0089023C"/>
    <w:rsid w:val="0089025D"/>
    <w:rsid w:val="0089027A"/>
    <w:rsid w:val="00890329"/>
    <w:rsid w:val="0089032A"/>
    <w:rsid w:val="00890338"/>
    <w:rsid w:val="00890385"/>
    <w:rsid w:val="00890391"/>
    <w:rsid w:val="00890433"/>
    <w:rsid w:val="0089043F"/>
    <w:rsid w:val="008904AE"/>
    <w:rsid w:val="00890502"/>
    <w:rsid w:val="008905C9"/>
    <w:rsid w:val="0089066D"/>
    <w:rsid w:val="00890682"/>
    <w:rsid w:val="00890689"/>
    <w:rsid w:val="008906A4"/>
    <w:rsid w:val="008906B2"/>
    <w:rsid w:val="008906CA"/>
    <w:rsid w:val="008906CC"/>
    <w:rsid w:val="008906F3"/>
    <w:rsid w:val="008906FB"/>
    <w:rsid w:val="008907A8"/>
    <w:rsid w:val="008907BC"/>
    <w:rsid w:val="008907C0"/>
    <w:rsid w:val="008907EA"/>
    <w:rsid w:val="008907F8"/>
    <w:rsid w:val="00890866"/>
    <w:rsid w:val="008908DE"/>
    <w:rsid w:val="00890925"/>
    <w:rsid w:val="00890941"/>
    <w:rsid w:val="00890994"/>
    <w:rsid w:val="008909A2"/>
    <w:rsid w:val="008909C6"/>
    <w:rsid w:val="008909F0"/>
    <w:rsid w:val="00890A11"/>
    <w:rsid w:val="00890A45"/>
    <w:rsid w:val="00890A6D"/>
    <w:rsid w:val="00890AA2"/>
    <w:rsid w:val="00890AC2"/>
    <w:rsid w:val="00890B26"/>
    <w:rsid w:val="00890B33"/>
    <w:rsid w:val="00890B82"/>
    <w:rsid w:val="00890C15"/>
    <w:rsid w:val="00890C17"/>
    <w:rsid w:val="00890C30"/>
    <w:rsid w:val="00890C46"/>
    <w:rsid w:val="00890C4A"/>
    <w:rsid w:val="00890C56"/>
    <w:rsid w:val="00890C6C"/>
    <w:rsid w:val="00890CB1"/>
    <w:rsid w:val="00890CB3"/>
    <w:rsid w:val="00890CCA"/>
    <w:rsid w:val="00890D4B"/>
    <w:rsid w:val="00890DBE"/>
    <w:rsid w:val="00890DD0"/>
    <w:rsid w:val="00890DF7"/>
    <w:rsid w:val="00890E19"/>
    <w:rsid w:val="00890E67"/>
    <w:rsid w:val="00890ECF"/>
    <w:rsid w:val="00890F31"/>
    <w:rsid w:val="00890FB3"/>
    <w:rsid w:val="00890FBF"/>
    <w:rsid w:val="00890FED"/>
    <w:rsid w:val="0089101E"/>
    <w:rsid w:val="00891080"/>
    <w:rsid w:val="008910F9"/>
    <w:rsid w:val="00891104"/>
    <w:rsid w:val="0089110B"/>
    <w:rsid w:val="00891177"/>
    <w:rsid w:val="0089117F"/>
    <w:rsid w:val="008911B2"/>
    <w:rsid w:val="008911EE"/>
    <w:rsid w:val="0089126B"/>
    <w:rsid w:val="0089127F"/>
    <w:rsid w:val="008912D3"/>
    <w:rsid w:val="00891349"/>
    <w:rsid w:val="00891358"/>
    <w:rsid w:val="008913DB"/>
    <w:rsid w:val="008913DE"/>
    <w:rsid w:val="00891427"/>
    <w:rsid w:val="0089146C"/>
    <w:rsid w:val="008914AC"/>
    <w:rsid w:val="008914BF"/>
    <w:rsid w:val="008915AD"/>
    <w:rsid w:val="008915BE"/>
    <w:rsid w:val="0089161B"/>
    <w:rsid w:val="0089168B"/>
    <w:rsid w:val="008916A1"/>
    <w:rsid w:val="008916D8"/>
    <w:rsid w:val="0089173C"/>
    <w:rsid w:val="0089174B"/>
    <w:rsid w:val="00891784"/>
    <w:rsid w:val="008917A3"/>
    <w:rsid w:val="008917BD"/>
    <w:rsid w:val="008917C4"/>
    <w:rsid w:val="0089187C"/>
    <w:rsid w:val="008918AE"/>
    <w:rsid w:val="008918E1"/>
    <w:rsid w:val="00891921"/>
    <w:rsid w:val="00891961"/>
    <w:rsid w:val="008919E4"/>
    <w:rsid w:val="00891A13"/>
    <w:rsid w:val="00891A71"/>
    <w:rsid w:val="00891A72"/>
    <w:rsid w:val="00891A79"/>
    <w:rsid w:val="00891AD7"/>
    <w:rsid w:val="00891B81"/>
    <w:rsid w:val="00891B87"/>
    <w:rsid w:val="00891BA7"/>
    <w:rsid w:val="00891CD8"/>
    <w:rsid w:val="00891CE5"/>
    <w:rsid w:val="00891CE7"/>
    <w:rsid w:val="00891D5F"/>
    <w:rsid w:val="00891D6D"/>
    <w:rsid w:val="00891DAA"/>
    <w:rsid w:val="00891DF6"/>
    <w:rsid w:val="00891E52"/>
    <w:rsid w:val="00891F71"/>
    <w:rsid w:val="00891FF7"/>
    <w:rsid w:val="00892024"/>
    <w:rsid w:val="00892088"/>
    <w:rsid w:val="00892091"/>
    <w:rsid w:val="00892097"/>
    <w:rsid w:val="00892130"/>
    <w:rsid w:val="00892147"/>
    <w:rsid w:val="0089214B"/>
    <w:rsid w:val="008921BD"/>
    <w:rsid w:val="008921E0"/>
    <w:rsid w:val="00892222"/>
    <w:rsid w:val="00892252"/>
    <w:rsid w:val="00892376"/>
    <w:rsid w:val="008923E0"/>
    <w:rsid w:val="00892409"/>
    <w:rsid w:val="00892415"/>
    <w:rsid w:val="00892418"/>
    <w:rsid w:val="008924E8"/>
    <w:rsid w:val="0089254F"/>
    <w:rsid w:val="00892586"/>
    <w:rsid w:val="008925AD"/>
    <w:rsid w:val="008925F1"/>
    <w:rsid w:val="008925FD"/>
    <w:rsid w:val="00892609"/>
    <w:rsid w:val="0089263D"/>
    <w:rsid w:val="008926B4"/>
    <w:rsid w:val="008926C4"/>
    <w:rsid w:val="008926E1"/>
    <w:rsid w:val="00892759"/>
    <w:rsid w:val="008927AC"/>
    <w:rsid w:val="00892891"/>
    <w:rsid w:val="008928C3"/>
    <w:rsid w:val="00892910"/>
    <w:rsid w:val="00892932"/>
    <w:rsid w:val="00892957"/>
    <w:rsid w:val="0089299E"/>
    <w:rsid w:val="008929EE"/>
    <w:rsid w:val="00892A31"/>
    <w:rsid w:val="00892A5B"/>
    <w:rsid w:val="00892AF4"/>
    <w:rsid w:val="00892B05"/>
    <w:rsid w:val="00892BF9"/>
    <w:rsid w:val="00892C69"/>
    <w:rsid w:val="00892D78"/>
    <w:rsid w:val="00892DA1"/>
    <w:rsid w:val="00892DEE"/>
    <w:rsid w:val="00892E01"/>
    <w:rsid w:val="00892EC0"/>
    <w:rsid w:val="00892EDD"/>
    <w:rsid w:val="00892F78"/>
    <w:rsid w:val="00892F7D"/>
    <w:rsid w:val="00892FF5"/>
    <w:rsid w:val="0089305E"/>
    <w:rsid w:val="00893096"/>
    <w:rsid w:val="00893166"/>
    <w:rsid w:val="0089316B"/>
    <w:rsid w:val="0089319C"/>
    <w:rsid w:val="008931E9"/>
    <w:rsid w:val="008931F0"/>
    <w:rsid w:val="00893200"/>
    <w:rsid w:val="00893211"/>
    <w:rsid w:val="00893221"/>
    <w:rsid w:val="0089328B"/>
    <w:rsid w:val="00893297"/>
    <w:rsid w:val="0089329C"/>
    <w:rsid w:val="008932B8"/>
    <w:rsid w:val="008932C8"/>
    <w:rsid w:val="0089331C"/>
    <w:rsid w:val="008933BA"/>
    <w:rsid w:val="008933D5"/>
    <w:rsid w:val="00893466"/>
    <w:rsid w:val="0089346D"/>
    <w:rsid w:val="008934A3"/>
    <w:rsid w:val="0089350E"/>
    <w:rsid w:val="0089353B"/>
    <w:rsid w:val="00893590"/>
    <w:rsid w:val="008935B6"/>
    <w:rsid w:val="008935EC"/>
    <w:rsid w:val="00893641"/>
    <w:rsid w:val="0089365D"/>
    <w:rsid w:val="0089367F"/>
    <w:rsid w:val="0089369F"/>
    <w:rsid w:val="008936C6"/>
    <w:rsid w:val="00893730"/>
    <w:rsid w:val="0089379C"/>
    <w:rsid w:val="008937A6"/>
    <w:rsid w:val="008937C5"/>
    <w:rsid w:val="008937E4"/>
    <w:rsid w:val="008937ED"/>
    <w:rsid w:val="008937FE"/>
    <w:rsid w:val="008938C2"/>
    <w:rsid w:val="008938FE"/>
    <w:rsid w:val="0089393C"/>
    <w:rsid w:val="00893948"/>
    <w:rsid w:val="00893950"/>
    <w:rsid w:val="00893955"/>
    <w:rsid w:val="00893A0C"/>
    <w:rsid w:val="00893A97"/>
    <w:rsid w:val="00893AC1"/>
    <w:rsid w:val="00893AF7"/>
    <w:rsid w:val="00893B66"/>
    <w:rsid w:val="00893BD3"/>
    <w:rsid w:val="00893BF5"/>
    <w:rsid w:val="00893D0D"/>
    <w:rsid w:val="00893D0F"/>
    <w:rsid w:val="00893D50"/>
    <w:rsid w:val="00893D71"/>
    <w:rsid w:val="00893D92"/>
    <w:rsid w:val="00893EC3"/>
    <w:rsid w:val="00893F2D"/>
    <w:rsid w:val="0089404D"/>
    <w:rsid w:val="0089404E"/>
    <w:rsid w:val="00894069"/>
    <w:rsid w:val="00894073"/>
    <w:rsid w:val="008940A0"/>
    <w:rsid w:val="008940BC"/>
    <w:rsid w:val="00894117"/>
    <w:rsid w:val="0089412B"/>
    <w:rsid w:val="0089419A"/>
    <w:rsid w:val="00894239"/>
    <w:rsid w:val="0089423F"/>
    <w:rsid w:val="00894287"/>
    <w:rsid w:val="008942F8"/>
    <w:rsid w:val="0089437F"/>
    <w:rsid w:val="00894381"/>
    <w:rsid w:val="00894394"/>
    <w:rsid w:val="008943F1"/>
    <w:rsid w:val="00894459"/>
    <w:rsid w:val="008944BC"/>
    <w:rsid w:val="008944FD"/>
    <w:rsid w:val="0089452A"/>
    <w:rsid w:val="0089453E"/>
    <w:rsid w:val="00894587"/>
    <w:rsid w:val="008945BA"/>
    <w:rsid w:val="008945C3"/>
    <w:rsid w:val="008945E8"/>
    <w:rsid w:val="00894630"/>
    <w:rsid w:val="00894661"/>
    <w:rsid w:val="008946A5"/>
    <w:rsid w:val="008946C6"/>
    <w:rsid w:val="00894779"/>
    <w:rsid w:val="008947AC"/>
    <w:rsid w:val="008947D6"/>
    <w:rsid w:val="0089480B"/>
    <w:rsid w:val="00894818"/>
    <w:rsid w:val="00894823"/>
    <w:rsid w:val="00894877"/>
    <w:rsid w:val="008948C5"/>
    <w:rsid w:val="0089493F"/>
    <w:rsid w:val="00894949"/>
    <w:rsid w:val="0089496A"/>
    <w:rsid w:val="00894975"/>
    <w:rsid w:val="008949A3"/>
    <w:rsid w:val="008949DF"/>
    <w:rsid w:val="00894A2C"/>
    <w:rsid w:val="00894A3F"/>
    <w:rsid w:val="00894AAB"/>
    <w:rsid w:val="00894B07"/>
    <w:rsid w:val="00894B18"/>
    <w:rsid w:val="00894B23"/>
    <w:rsid w:val="00894B99"/>
    <w:rsid w:val="00894BD5"/>
    <w:rsid w:val="00894C64"/>
    <w:rsid w:val="00894C8C"/>
    <w:rsid w:val="00894CAD"/>
    <w:rsid w:val="00894D7E"/>
    <w:rsid w:val="00894D7F"/>
    <w:rsid w:val="00894DA4"/>
    <w:rsid w:val="00894DB3"/>
    <w:rsid w:val="00894DE4"/>
    <w:rsid w:val="00894DEB"/>
    <w:rsid w:val="00894DF1"/>
    <w:rsid w:val="00894EBE"/>
    <w:rsid w:val="00894F4F"/>
    <w:rsid w:val="00894F5A"/>
    <w:rsid w:val="00894FB0"/>
    <w:rsid w:val="00894FE4"/>
    <w:rsid w:val="0089500F"/>
    <w:rsid w:val="00895050"/>
    <w:rsid w:val="0089505D"/>
    <w:rsid w:val="00895060"/>
    <w:rsid w:val="00895086"/>
    <w:rsid w:val="0089509A"/>
    <w:rsid w:val="008951C9"/>
    <w:rsid w:val="00895257"/>
    <w:rsid w:val="0089528F"/>
    <w:rsid w:val="00895374"/>
    <w:rsid w:val="008953E3"/>
    <w:rsid w:val="00895419"/>
    <w:rsid w:val="00895423"/>
    <w:rsid w:val="00895490"/>
    <w:rsid w:val="008954B3"/>
    <w:rsid w:val="008954D8"/>
    <w:rsid w:val="00895543"/>
    <w:rsid w:val="008955D2"/>
    <w:rsid w:val="0089562D"/>
    <w:rsid w:val="0089564C"/>
    <w:rsid w:val="0089565A"/>
    <w:rsid w:val="00895676"/>
    <w:rsid w:val="008957A2"/>
    <w:rsid w:val="008957C4"/>
    <w:rsid w:val="008957E8"/>
    <w:rsid w:val="00895801"/>
    <w:rsid w:val="008958B8"/>
    <w:rsid w:val="008958EC"/>
    <w:rsid w:val="00895918"/>
    <w:rsid w:val="00895928"/>
    <w:rsid w:val="008959A2"/>
    <w:rsid w:val="008959AF"/>
    <w:rsid w:val="008959CE"/>
    <w:rsid w:val="008959DF"/>
    <w:rsid w:val="00895A00"/>
    <w:rsid w:val="00895A2E"/>
    <w:rsid w:val="00895A9F"/>
    <w:rsid w:val="00895B1A"/>
    <w:rsid w:val="00895B65"/>
    <w:rsid w:val="00895BA6"/>
    <w:rsid w:val="00895BA8"/>
    <w:rsid w:val="00895BAF"/>
    <w:rsid w:val="00895BD1"/>
    <w:rsid w:val="00895C59"/>
    <w:rsid w:val="00895C92"/>
    <w:rsid w:val="00895C94"/>
    <w:rsid w:val="00895CF5"/>
    <w:rsid w:val="00895D1A"/>
    <w:rsid w:val="00895DE4"/>
    <w:rsid w:val="00895DEC"/>
    <w:rsid w:val="00895E0D"/>
    <w:rsid w:val="00895E0F"/>
    <w:rsid w:val="00895E73"/>
    <w:rsid w:val="00895E85"/>
    <w:rsid w:val="00895E93"/>
    <w:rsid w:val="00895EB3"/>
    <w:rsid w:val="00895EC9"/>
    <w:rsid w:val="00895EFC"/>
    <w:rsid w:val="00895F02"/>
    <w:rsid w:val="00895F3D"/>
    <w:rsid w:val="00895F7F"/>
    <w:rsid w:val="00895FA2"/>
    <w:rsid w:val="00896044"/>
    <w:rsid w:val="0089605D"/>
    <w:rsid w:val="00896096"/>
    <w:rsid w:val="008960B8"/>
    <w:rsid w:val="008960FD"/>
    <w:rsid w:val="00896149"/>
    <w:rsid w:val="008961CB"/>
    <w:rsid w:val="00896230"/>
    <w:rsid w:val="008962AA"/>
    <w:rsid w:val="008962BA"/>
    <w:rsid w:val="008962EA"/>
    <w:rsid w:val="0089636B"/>
    <w:rsid w:val="00896376"/>
    <w:rsid w:val="00896396"/>
    <w:rsid w:val="0089639A"/>
    <w:rsid w:val="00896409"/>
    <w:rsid w:val="00896458"/>
    <w:rsid w:val="008964F6"/>
    <w:rsid w:val="00896500"/>
    <w:rsid w:val="00896561"/>
    <w:rsid w:val="00896569"/>
    <w:rsid w:val="0089656E"/>
    <w:rsid w:val="008965D1"/>
    <w:rsid w:val="00896636"/>
    <w:rsid w:val="00896677"/>
    <w:rsid w:val="008966A3"/>
    <w:rsid w:val="008966DE"/>
    <w:rsid w:val="008966F9"/>
    <w:rsid w:val="0089671E"/>
    <w:rsid w:val="00896722"/>
    <w:rsid w:val="008967E4"/>
    <w:rsid w:val="0089681A"/>
    <w:rsid w:val="008968C3"/>
    <w:rsid w:val="0089691A"/>
    <w:rsid w:val="0089699C"/>
    <w:rsid w:val="008969DD"/>
    <w:rsid w:val="00896A13"/>
    <w:rsid w:val="00896A14"/>
    <w:rsid w:val="00896A39"/>
    <w:rsid w:val="00896A63"/>
    <w:rsid w:val="00896A95"/>
    <w:rsid w:val="00896AD1"/>
    <w:rsid w:val="00896AE8"/>
    <w:rsid w:val="00896B0A"/>
    <w:rsid w:val="00896B34"/>
    <w:rsid w:val="00896B38"/>
    <w:rsid w:val="00896BBB"/>
    <w:rsid w:val="00896BE6"/>
    <w:rsid w:val="00896C49"/>
    <w:rsid w:val="00896C51"/>
    <w:rsid w:val="00896C81"/>
    <w:rsid w:val="00896D73"/>
    <w:rsid w:val="00896E41"/>
    <w:rsid w:val="00896E51"/>
    <w:rsid w:val="00896E99"/>
    <w:rsid w:val="00896EEB"/>
    <w:rsid w:val="00896F3A"/>
    <w:rsid w:val="00896F87"/>
    <w:rsid w:val="00896FE0"/>
    <w:rsid w:val="0089706D"/>
    <w:rsid w:val="0089708E"/>
    <w:rsid w:val="0089709B"/>
    <w:rsid w:val="008970BF"/>
    <w:rsid w:val="00897141"/>
    <w:rsid w:val="0089715F"/>
    <w:rsid w:val="008971A8"/>
    <w:rsid w:val="008971CC"/>
    <w:rsid w:val="00897206"/>
    <w:rsid w:val="008972E6"/>
    <w:rsid w:val="00897365"/>
    <w:rsid w:val="00897397"/>
    <w:rsid w:val="00897398"/>
    <w:rsid w:val="008973D1"/>
    <w:rsid w:val="00897410"/>
    <w:rsid w:val="00897426"/>
    <w:rsid w:val="0089753E"/>
    <w:rsid w:val="0089756F"/>
    <w:rsid w:val="00897573"/>
    <w:rsid w:val="00897585"/>
    <w:rsid w:val="00897591"/>
    <w:rsid w:val="008975B5"/>
    <w:rsid w:val="008976CE"/>
    <w:rsid w:val="00897720"/>
    <w:rsid w:val="00897725"/>
    <w:rsid w:val="008977E2"/>
    <w:rsid w:val="008977E4"/>
    <w:rsid w:val="00897811"/>
    <w:rsid w:val="0089785E"/>
    <w:rsid w:val="00897865"/>
    <w:rsid w:val="00897870"/>
    <w:rsid w:val="00897883"/>
    <w:rsid w:val="0089789F"/>
    <w:rsid w:val="008978B4"/>
    <w:rsid w:val="008978C8"/>
    <w:rsid w:val="008978F4"/>
    <w:rsid w:val="008978F5"/>
    <w:rsid w:val="00897904"/>
    <w:rsid w:val="0089793C"/>
    <w:rsid w:val="008979B1"/>
    <w:rsid w:val="008979C2"/>
    <w:rsid w:val="008979E5"/>
    <w:rsid w:val="008979ED"/>
    <w:rsid w:val="00897A21"/>
    <w:rsid w:val="00897A60"/>
    <w:rsid w:val="00897A6F"/>
    <w:rsid w:val="00897AD1"/>
    <w:rsid w:val="00897AEE"/>
    <w:rsid w:val="00897BD1"/>
    <w:rsid w:val="00897BF2"/>
    <w:rsid w:val="00897C07"/>
    <w:rsid w:val="00897C9C"/>
    <w:rsid w:val="00897D2A"/>
    <w:rsid w:val="00897D58"/>
    <w:rsid w:val="00897D63"/>
    <w:rsid w:val="00897D88"/>
    <w:rsid w:val="00897DE0"/>
    <w:rsid w:val="00897DF6"/>
    <w:rsid w:val="00897DFD"/>
    <w:rsid w:val="00897E6B"/>
    <w:rsid w:val="00897EE8"/>
    <w:rsid w:val="00897EF5"/>
    <w:rsid w:val="00897F1B"/>
    <w:rsid w:val="00897F3C"/>
    <w:rsid w:val="00897F46"/>
    <w:rsid w:val="00897FB9"/>
    <w:rsid w:val="00897FF5"/>
    <w:rsid w:val="008A0053"/>
    <w:rsid w:val="008A0061"/>
    <w:rsid w:val="008A0095"/>
    <w:rsid w:val="008A0102"/>
    <w:rsid w:val="008A019D"/>
    <w:rsid w:val="008A01A0"/>
    <w:rsid w:val="008A01FB"/>
    <w:rsid w:val="008A0307"/>
    <w:rsid w:val="008A0327"/>
    <w:rsid w:val="008A037A"/>
    <w:rsid w:val="008A0383"/>
    <w:rsid w:val="008A0405"/>
    <w:rsid w:val="008A040D"/>
    <w:rsid w:val="008A0423"/>
    <w:rsid w:val="008A0487"/>
    <w:rsid w:val="008A04B5"/>
    <w:rsid w:val="008A056B"/>
    <w:rsid w:val="008A056F"/>
    <w:rsid w:val="008A058B"/>
    <w:rsid w:val="008A0616"/>
    <w:rsid w:val="008A0624"/>
    <w:rsid w:val="008A06D0"/>
    <w:rsid w:val="008A0779"/>
    <w:rsid w:val="008A0787"/>
    <w:rsid w:val="008A0810"/>
    <w:rsid w:val="008A0850"/>
    <w:rsid w:val="008A0887"/>
    <w:rsid w:val="008A0917"/>
    <w:rsid w:val="008A09B4"/>
    <w:rsid w:val="008A09FE"/>
    <w:rsid w:val="008A0A00"/>
    <w:rsid w:val="008A0A3E"/>
    <w:rsid w:val="008A0AAD"/>
    <w:rsid w:val="008A0B29"/>
    <w:rsid w:val="008A0BF4"/>
    <w:rsid w:val="008A0BF5"/>
    <w:rsid w:val="008A0BFA"/>
    <w:rsid w:val="008A0C8A"/>
    <w:rsid w:val="008A0C98"/>
    <w:rsid w:val="008A0D99"/>
    <w:rsid w:val="008A0DB4"/>
    <w:rsid w:val="008A0DDB"/>
    <w:rsid w:val="008A0DE7"/>
    <w:rsid w:val="008A0E55"/>
    <w:rsid w:val="008A0E7F"/>
    <w:rsid w:val="008A0E91"/>
    <w:rsid w:val="008A0EB9"/>
    <w:rsid w:val="008A0F27"/>
    <w:rsid w:val="008A0F44"/>
    <w:rsid w:val="008A0F6D"/>
    <w:rsid w:val="008A100A"/>
    <w:rsid w:val="008A1065"/>
    <w:rsid w:val="008A10A4"/>
    <w:rsid w:val="008A112F"/>
    <w:rsid w:val="008A119F"/>
    <w:rsid w:val="008A1234"/>
    <w:rsid w:val="008A1241"/>
    <w:rsid w:val="008A12B3"/>
    <w:rsid w:val="008A12FA"/>
    <w:rsid w:val="008A1379"/>
    <w:rsid w:val="008A1391"/>
    <w:rsid w:val="008A13D8"/>
    <w:rsid w:val="008A1474"/>
    <w:rsid w:val="008A148D"/>
    <w:rsid w:val="008A14CA"/>
    <w:rsid w:val="008A14CE"/>
    <w:rsid w:val="008A1516"/>
    <w:rsid w:val="008A1543"/>
    <w:rsid w:val="008A1556"/>
    <w:rsid w:val="008A156D"/>
    <w:rsid w:val="008A156F"/>
    <w:rsid w:val="008A1603"/>
    <w:rsid w:val="008A162F"/>
    <w:rsid w:val="008A1646"/>
    <w:rsid w:val="008A16BB"/>
    <w:rsid w:val="008A16DB"/>
    <w:rsid w:val="008A170E"/>
    <w:rsid w:val="008A1746"/>
    <w:rsid w:val="008A1749"/>
    <w:rsid w:val="008A1773"/>
    <w:rsid w:val="008A17AF"/>
    <w:rsid w:val="008A17C0"/>
    <w:rsid w:val="008A17D0"/>
    <w:rsid w:val="008A17D1"/>
    <w:rsid w:val="008A188C"/>
    <w:rsid w:val="008A18B5"/>
    <w:rsid w:val="008A1904"/>
    <w:rsid w:val="008A190D"/>
    <w:rsid w:val="008A1999"/>
    <w:rsid w:val="008A1A53"/>
    <w:rsid w:val="008A1B52"/>
    <w:rsid w:val="008A1B53"/>
    <w:rsid w:val="008A1B85"/>
    <w:rsid w:val="008A1BEE"/>
    <w:rsid w:val="008A1BFC"/>
    <w:rsid w:val="008A1C1F"/>
    <w:rsid w:val="008A1C21"/>
    <w:rsid w:val="008A1C67"/>
    <w:rsid w:val="008A1CC9"/>
    <w:rsid w:val="008A1CCA"/>
    <w:rsid w:val="008A1CFB"/>
    <w:rsid w:val="008A1D10"/>
    <w:rsid w:val="008A1D70"/>
    <w:rsid w:val="008A1DD1"/>
    <w:rsid w:val="008A1E06"/>
    <w:rsid w:val="008A1E9C"/>
    <w:rsid w:val="008A1EA9"/>
    <w:rsid w:val="008A1EF6"/>
    <w:rsid w:val="008A1F21"/>
    <w:rsid w:val="008A1FBD"/>
    <w:rsid w:val="008A1FFE"/>
    <w:rsid w:val="008A2020"/>
    <w:rsid w:val="008A207B"/>
    <w:rsid w:val="008A2084"/>
    <w:rsid w:val="008A2089"/>
    <w:rsid w:val="008A20B7"/>
    <w:rsid w:val="008A211B"/>
    <w:rsid w:val="008A2132"/>
    <w:rsid w:val="008A216A"/>
    <w:rsid w:val="008A2203"/>
    <w:rsid w:val="008A2236"/>
    <w:rsid w:val="008A223A"/>
    <w:rsid w:val="008A22E3"/>
    <w:rsid w:val="008A22ED"/>
    <w:rsid w:val="008A2315"/>
    <w:rsid w:val="008A2334"/>
    <w:rsid w:val="008A23D8"/>
    <w:rsid w:val="008A23E1"/>
    <w:rsid w:val="008A23E8"/>
    <w:rsid w:val="008A246A"/>
    <w:rsid w:val="008A251A"/>
    <w:rsid w:val="008A254C"/>
    <w:rsid w:val="008A255D"/>
    <w:rsid w:val="008A25A5"/>
    <w:rsid w:val="008A25DD"/>
    <w:rsid w:val="008A25DF"/>
    <w:rsid w:val="008A25FE"/>
    <w:rsid w:val="008A2602"/>
    <w:rsid w:val="008A2604"/>
    <w:rsid w:val="008A260C"/>
    <w:rsid w:val="008A2647"/>
    <w:rsid w:val="008A2678"/>
    <w:rsid w:val="008A26AE"/>
    <w:rsid w:val="008A26F1"/>
    <w:rsid w:val="008A2764"/>
    <w:rsid w:val="008A2814"/>
    <w:rsid w:val="008A281B"/>
    <w:rsid w:val="008A284D"/>
    <w:rsid w:val="008A2881"/>
    <w:rsid w:val="008A2895"/>
    <w:rsid w:val="008A28A3"/>
    <w:rsid w:val="008A28E1"/>
    <w:rsid w:val="008A2935"/>
    <w:rsid w:val="008A2956"/>
    <w:rsid w:val="008A297C"/>
    <w:rsid w:val="008A298B"/>
    <w:rsid w:val="008A29A3"/>
    <w:rsid w:val="008A29AD"/>
    <w:rsid w:val="008A29B3"/>
    <w:rsid w:val="008A29E0"/>
    <w:rsid w:val="008A29F3"/>
    <w:rsid w:val="008A2A1F"/>
    <w:rsid w:val="008A2A34"/>
    <w:rsid w:val="008A2A6F"/>
    <w:rsid w:val="008A2A82"/>
    <w:rsid w:val="008A2A92"/>
    <w:rsid w:val="008A2AC4"/>
    <w:rsid w:val="008A2B02"/>
    <w:rsid w:val="008A2B99"/>
    <w:rsid w:val="008A2BD1"/>
    <w:rsid w:val="008A2BFA"/>
    <w:rsid w:val="008A2C1D"/>
    <w:rsid w:val="008A2C4D"/>
    <w:rsid w:val="008A2C81"/>
    <w:rsid w:val="008A2CA9"/>
    <w:rsid w:val="008A2CC2"/>
    <w:rsid w:val="008A2CED"/>
    <w:rsid w:val="008A2CEE"/>
    <w:rsid w:val="008A2CFF"/>
    <w:rsid w:val="008A2D0F"/>
    <w:rsid w:val="008A2D42"/>
    <w:rsid w:val="008A2D6A"/>
    <w:rsid w:val="008A2DCF"/>
    <w:rsid w:val="008A2DFF"/>
    <w:rsid w:val="008A2E46"/>
    <w:rsid w:val="008A2EAE"/>
    <w:rsid w:val="008A2F16"/>
    <w:rsid w:val="008A2F93"/>
    <w:rsid w:val="008A2FFA"/>
    <w:rsid w:val="008A3002"/>
    <w:rsid w:val="008A310F"/>
    <w:rsid w:val="008A312E"/>
    <w:rsid w:val="008A316E"/>
    <w:rsid w:val="008A31BB"/>
    <w:rsid w:val="008A31D1"/>
    <w:rsid w:val="008A31F4"/>
    <w:rsid w:val="008A321F"/>
    <w:rsid w:val="008A326C"/>
    <w:rsid w:val="008A329A"/>
    <w:rsid w:val="008A331F"/>
    <w:rsid w:val="008A333D"/>
    <w:rsid w:val="008A335A"/>
    <w:rsid w:val="008A33FA"/>
    <w:rsid w:val="008A3478"/>
    <w:rsid w:val="008A3514"/>
    <w:rsid w:val="008A351F"/>
    <w:rsid w:val="008A35C3"/>
    <w:rsid w:val="008A3615"/>
    <w:rsid w:val="008A362F"/>
    <w:rsid w:val="008A368C"/>
    <w:rsid w:val="008A3699"/>
    <w:rsid w:val="008A36B6"/>
    <w:rsid w:val="008A37AE"/>
    <w:rsid w:val="008A3858"/>
    <w:rsid w:val="008A3866"/>
    <w:rsid w:val="008A38A4"/>
    <w:rsid w:val="008A38B6"/>
    <w:rsid w:val="008A38E9"/>
    <w:rsid w:val="008A38EC"/>
    <w:rsid w:val="008A390A"/>
    <w:rsid w:val="008A39DB"/>
    <w:rsid w:val="008A3A2C"/>
    <w:rsid w:val="008A3A5B"/>
    <w:rsid w:val="008A3A7C"/>
    <w:rsid w:val="008A3A82"/>
    <w:rsid w:val="008A3A9B"/>
    <w:rsid w:val="008A3AA2"/>
    <w:rsid w:val="008A3ADD"/>
    <w:rsid w:val="008A3AFE"/>
    <w:rsid w:val="008A3B16"/>
    <w:rsid w:val="008A3BAD"/>
    <w:rsid w:val="008A3BDB"/>
    <w:rsid w:val="008A3C05"/>
    <w:rsid w:val="008A3C32"/>
    <w:rsid w:val="008A3C4D"/>
    <w:rsid w:val="008A3C7F"/>
    <w:rsid w:val="008A3CB7"/>
    <w:rsid w:val="008A3DA3"/>
    <w:rsid w:val="008A3DD8"/>
    <w:rsid w:val="008A3E0B"/>
    <w:rsid w:val="008A3E1F"/>
    <w:rsid w:val="008A3E56"/>
    <w:rsid w:val="008A3F21"/>
    <w:rsid w:val="008A3F8C"/>
    <w:rsid w:val="008A3FF9"/>
    <w:rsid w:val="008A4038"/>
    <w:rsid w:val="008A4077"/>
    <w:rsid w:val="008A4109"/>
    <w:rsid w:val="008A413D"/>
    <w:rsid w:val="008A4146"/>
    <w:rsid w:val="008A4174"/>
    <w:rsid w:val="008A418A"/>
    <w:rsid w:val="008A41D2"/>
    <w:rsid w:val="008A41E3"/>
    <w:rsid w:val="008A423D"/>
    <w:rsid w:val="008A4252"/>
    <w:rsid w:val="008A4272"/>
    <w:rsid w:val="008A428C"/>
    <w:rsid w:val="008A42A2"/>
    <w:rsid w:val="008A42F6"/>
    <w:rsid w:val="008A4313"/>
    <w:rsid w:val="008A438B"/>
    <w:rsid w:val="008A43C6"/>
    <w:rsid w:val="008A43D6"/>
    <w:rsid w:val="008A43E5"/>
    <w:rsid w:val="008A4415"/>
    <w:rsid w:val="008A4469"/>
    <w:rsid w:val="008A44AD"/>
    <w:rsid w:val="008A44AF"/>
    <w:rsid w:val="008A44C2"/>
    <w:rsid w:val="008A44E6"/>
    <w:rsid w:val="008A4546"/>
    <w:rsid w:val="008A4563"/>
    <w:rsid w:val="008A4570"/>
    <w:rsid w:val="008A4582"/>
    <w:rsid w:val="008A45DF"/>
    <w:rsid w:val="008A4606"/>
    <w:rsid w:val="008A462C"/>
    <w:rsid w:val="008A468B"/>
    <w:rsid w:val="008A4701"/>
    <w:rsid w:val="008A4705"/>
    <w:rsid w:val="008A471C"/>
    <w:rsid w:val="008A47FD"/>
    <w:rsid w:val="008A4835"/>
    <w:rsid w:val="008A4889"/>
    <w:rsid w:val="008A494E"/>
    <w:rsid w:val="008A4952"/>
    <w:rsid w:val="008A496E"/>
    <w:rsid w:val="008A4A3B"/>
    <w:rsid w:val="008A4A44"/>
    <w:rsid w:val="008A4A4D"/>
    <w:rsid w:val="008A4ACD"/>
    <w:rsid w:val="008A4AD5"/>
    <w:rsid w:val="008A4B23"/>
    <w:rsid w:val="008A4B54"/>
    <w:rsid w:val="008A4B5A"/>
    <w:rsid w:val="008A4BD1"/>
    <w:rsid w:val="008A4C12"/>
    <w:rsid w:val="008A4C25"/>
    <w:rsid w:val="008A4C7C"/>
    <w:rsid w:val="008A4CA6"/>
    <w:rsid w:val="008A4D32"/>
    <w:rsid w:val="008A4D96"/>
    <w:rsid w:val="008A4E3C"/>
    <w:rsid w:val="008A4E3E"/>
    <w:rsid w:val="008A4E5A"/>
    <w:rsid w:val="008A4E9B"/>
    <w:rsid w:val="008A4ED5"/>
    <w:rsid w:val="008A4F43"/>
    <w:rsid w:val="008A4F4A"/>
    <w:rsid w:val="008A4FDA"/>
    <w:rsid w:val="008A4FE4"/>
    <w:rsid w:val="008A4FFD"/>
    <w:rsid w:val="008A4FFF"/>
    <w:rsid w:val="008A5045"/>
    <w:rsid w:val="008A5084"/>
    <w:rsid w:val="008A5145"/>
    <w:rsid w:val="008A5187"/>
    <w:rsid w:val="008A518E"/>
    <w:rsid w:val="008A523A"/>
    <w:rsid w:val="008A52A9"/>
    <w:rsid w:val="008A52EB"/>
    <w:rsid w:val="008A52F3"/>
    <w:rsid w:val="008A5366"/>
    <w:rsid w:val="008A5388"/>
    <w:rsid w:val="008A538F"/>
    <w:rsid w:val="008A545B"/>
    <w:rsid w:val="008A5481"/>
    <w:rsid w:val="008A54D4"/>
    <w:rsid w:val="008A556D"/>
    <w:rsid w:val="008A5599"/>
    <w:rsid w:val="008A55A3"/>
    <w:rsid w:val="008A55BA"/>
    <w:rsid w:val="008A55FD"/>
    <w:rsid w:val="008A56E4"/>
    <w:rsid w:val="008A5734"/>
    <w:rsid w:val="008A5795"/>
    <w:rsid w:val="008A57D1"/>
    <w:rsid w:val="008A5809"/>
    <w:rsid w:val="008A5831"/>
    <w:rsid w:val="008A5851"/>
    <w:rsid w:val="008A585A"/>
    <w:rsid w:val="008A5883"/>
    <w:rsid w:val="008A5899"/>
    <w:rsid w:val="008A58CD"/>
    <w:rsid w:val="008A58DC"/>
    <w:rsid w:val="008A58ED"/>
    <w:rsid w:val="008A592B"/>
    <w:rsid w:val="008A593B"/>
    <w:rsid w:val="008A595A"/>
    <w:rsid w:val="008A59B3"/>
    <w:rsid w:val="008A59DD"/>
    <w:rsid w:val="008A59FD"/>
    <w:rsid w:val="008A5A12"/>
    <w:rsid w:val="008A5A71"/>
    <w:rsid w:val="008A5A94"/>
    <w:rsid w:val="008A5ABB"/>
    <w:rsid w:val="008A5AF0"/>
    <w:rsid w:val="008A5AF4"/>
    <w:rsid w:val="008A5C72"/>
    <w:rsid w:val="008A5CD8"/>
    <w:rsid w:val="008A5D11"/>
    <w:rsid w:val="008A5DA4"/>
    <w:rsid w:val="008A5E50"/>
    <w:rsid w:val="008A5E85"/>
    <w:rsid w:val="008A5EA3"/>
    <w:rsid w:val="008A5F06"/>
    <w:rsid w:val="008A5F43"/>
    <w:rsid w:val="008A5F6E"/>
    <w:rsid w:val="008A5F94"/>
    <w:rsid w:val="008A5FA5"/>
    <w:rsid w:val="008A6034"/>
    <w:rsid w:val="008A605D"/>
    <w:rsid w:val="008A6060"/>
    <w:rsid w:val="008A6065"/>
    <w:rsid w:val="008A606E"/>
    <w:rsid w:val="008A6106"/>
    <w:rsid w:val="008A6159"/>
    <w:rsid w:val="008A616C"/>
    <w:rsid w:val="008A623F"/>
    <w:rsid w:val="008A625E"/>
    <w:rsid w:val="008A626A"/>
    <w:rsid w:val="008A62AC"/>
    <w:rsid w:val="008A62C2"/>
    <w:rsid w:val="008A62F8"/>
    <w:rsid w:val="008A6405"/>
    <w:rsid w:val="008A6412"/>
    <w:rsid w:val="008A642B"/>
    <w:rsid w:val="008A6474"/>
    <w:rsid w:val="008A647F"/>
    <w:rsid w:val="008A6505"/>
    <w:rsid w:val="008A651C"/>
    <w:rsid w:val="008A651E"/>
    <w:rsid w:val="008A6533"/>
    <w:rsid w:val="008A6580"/>
    <w:rsid w:val="008A65B7"/>
    <w:rsid w:val="008A65CA"/>
    <w:rsid w:val="008A65E5"/>
    <w:rsid w:val="008A6636"/>
    <w:rsid w:val="008A6715"/>
    <w:rsid w:val="008A67A9"/>
    <w:rsid w:val="008A682F"/>
    <w:rsid w:val="008A6875"/>
    <w:rsid w:val="008A688C"/>
    <w:rsid w:val="008A6899"/>
    <w:rsid w:val="008A68C1"/>
    <w:rsid w:val="008A6953"/>
    <w:rsid w:val="008A696F"/>
    <w:rsid w:val="008A6977"/>
    <w:rsid w:val="008A6A30"/>
    <w:rsid w:val="008A6A99"/>
    <w:rsid w:val="008A6ABD"/>
    <w:rsid w:val="008A6AE9"/>
    <w:rsid w:val="008A6AF6"/>
    <w:rsid w:val="008A6B0C"/>
    <w:rsid w:val="008A6B27"/>
    <w:rsid w:val="008A6C79"/>
    <w:rsid w:val="008A6CD1"/>
    <w:rsid w:val="008A6D2A"/>
    <w:rsid w:val="008A6D8C"/>
    <w:rsid w:val="008A6D92"/>
    <w:rsid w:val="008A6DA3"/>
    <w:rsid w:val="008A6E01"/>
    <w:rsid w:val="008A6E4F"/>
    <w:rsid w:val="008A6ED0"/>
    <w:rsid w:val="008A6EDE"/>
    <w:rsid w:val="008A7124"/>
    <w:rsid w:val="008A7285"/>
    <w:rsid w:val="008A732C"/>
    <w:rsid w:val="008A7336"/>
    <w:rsid w:val="008A7343"/>
    <w:rsid w:val="008A734C"/>
    <w:rsid w:val="008A7354"/>
    <w:rsid w:val="008A7366"/>
    <w:rsid w:val="008A7387"/>
    <w:rsid w:val="008A7396"/>
    <w:rsid w:val="008A7398"/>
    <w:rsid w:val="008A73C1"/>
    <w:rsid w:val="008A73C5"/>
    <w:rsid w:val="008A7413"/>
    <w:rsid w:val="008A75B0"/>
    <w:rsid w:val="008A75CA"/>
    <w:rsid w:val="008A75FE"/>
    <w:rsid w:val="008A7646"/>
    <w:rsid w:val="008A7658"/>
    <w:rsid w:val="008A766E"/>
    <w:rsid w:val="008A7679"/>
    <w:rsid w:val="008A76A6"/>
    <w:rsid w:val="008A77D6"/>
    <w:rsid w:val="008A77E0"/>
    <w:rsid w:val="008A7843"/>
    <w:rsid w:val="008A784B"/>
    <w:rsid w:val="008A785B"/>
    <w:rsid w:val="008A786B"/>
    <w:rsid w:val="008A791A"/>
    <w:rsid w:val="008A7920"/>
    <w:rsid w:val="008A793B"/>
    <w:rsid w:val="008A79ED"/>
    <w:rsid w:val="008A79F9"/>
    <w:rsid w:val="008A7A15"/>
    <w:rsid w:val="008A7A4A"/>
    <w:rsid w:val="008A7A84"/>
    <w:rsid w:val="008A7B15"/>
    <w:rsid w:val="008A7B4C"/>
    <w:rsid w:val="008A7B66"/>
    <w:rsid w:val="008A7BAF"/>
    <w:rsid w:val="008A7BB5"/>
    <w:rsid w:val="008A7BFB"/>
    <w:rsid w:val="008A7C1C"/>
    <w:rsid w:val="008A7CEC"/>
    <w:rsid w:val="008A7D68"/>
    <w:rsid w:val="008A7D7C"/>
    <w:rsid w:val="008A7DC8"/>
    <w:rsid w:val="008A7E7B"/>
    <w:rsid w:val="008A7E82"/>
    <w:rsid w:val="008A7E83"/>
    <w:rsid w:val="008A7EB1"/>
    <w:rsid w:val="008A7F0A"/>
    <w:rsid w:val="008A7F6C"/>
    <w:rsid w:val="008A7F6D"/>
    <w:rsid w:val="008A7FDC"/>
    <w:rsid w:val="008A7FDF"/>
    <w:rsid w:val="008B0021"/>
    <w:rsid w:val="008B003F"/>
    <w:rsid w:val="008B006B"/>
    <w:rsid w:val="008B007D"/>
    <w:rsid w:val="008B00BF"/>
    <w:rsid w:val="008B00C3"/>
    <w:rsid w:val="008B00C5"/>
    <w:rsid w:val="008B00C9"/>
    <w:rsid w:val="008B01DF"/>
    <w:rsid w:val="008B01F9"/>
    <w:rsid w:val="008B01FC"/>
    <w:rsid w:val="008B0227"/>
    <w:rsid w:val="008B022E"/>
    <w:rsid w:val="008B0293"/>
    <w:rsid w:val="008B0377"/>
    <w:rsid w:val="008B037A"/>
    <w:rsid w:val="008B0401"/>
    <w:rsid w:val="008B0516"/>
    <w:rsid w:val="008B051D"/>
    <w:rsid w:val="008B054E"/>
    <w:rsid w:val="008B057E"/>
    <w:rsid w:val="008B05A1"/>
    <w:rsid w:val="008B0600"/>
    <w:rsid w:val="008B0657"/>
    <w:rsid w:val="008B067F"/>
    <w:rsid w:val="008B0698"/>
    <w:rsid w:val="008B06BB"/>
    <w:rsid w:val="008B06CF"/>
    <w:rsid w:val="008B078F"/>
    <w:rsid w:val="008B0816"/>
    <w:rsid w:val="008B0833"/>
    <w:rsid w:val="008B084D"/>
    <w:rsid w:val="008B088C"/>
    <w:rsid w:val="008B08A0"/>
    <w:rsid w:val="008B08D1"/>
    <w:rsid w:val="008B08DE"/>
    <w:rsid w:val="008B09DE"/>
    <w:rsid w:val="008B0A26"/>
    <w:rsid w:val="008B0AD9"/>
    <w:rsid w:val="008B0B05"/>
    <w:rsid w:val="008B0B58"/>
    <w:rsid w:val="008B0B7F"/>
    <w:rsid w:val="008B0BDB"/>
    <w:rsid w:val="008B0BEC"/>
    <w:rsid w:val="008B0C0B"/>
    <w:rsid w:val="008B0C12"/>
    <w:rsid w:val="008B0C8B"/>
    <w:rsid w:val="008B0CBC"/>
    <w:rsid w:val="008B0CCC"/>
    <w:rsid w:val="008B0CDA"/>
    <w:rsid w:val="008B0D8F"/>
    <w:rsid w:val="008B0DBB"/>
    <w:rsid w:val="008B0EB9"/>
    <w:rsid w:val="008B0F2F"/>
    <w:rsid w:val="008B0FAB"/>
    <w:rsid w:val="008B0FBE"/>
    <w:rsid w:val="008B1021"/>
    <w:rsid w:val="008B1031"/>
    <w:rsid w:val="008B1040"/>
    <w:rsid w:val="008B1059"/>
    <w:rsid w:val="008B1066"/>
    <w:rsid w:val="008B1067"/>
    <w:rsid w:val="008B10C7"/>
    <w:rsid w:val="008B110C"/>
    <w:rsid w:val="008B116B"/>
    <w:rsid w:val="008B11A1"/>
    <w:rsid w:val="008B125A"/>
    <w:rsid w:val="008B127E"/>
    <w:rsid w:val="008B1304"/>
    <w:rsid w:val="008B136C"/>
    <w:rsid w:val="008B138D"/>
    <w:rsid w:val="008B13E7"/>
    <w:rsid w:val="008B140E"/>
    <w:rsid w:val="008B1462"/>
    <w:rsid w:val="008B14AF"/>
    <w:rsid w:val="008B14B1"/>
    <w:rsid w:val="008B152A"/>
    <w:rsid w:val="008B15BC"/>
    <w:rsid w:val="008B1680"/>
    <w:rsid w:val="008B1782"/>
    <w:rsid w:val="008B1881"/>
    <w:rsid w:val="008B18EB"/>
    <w:rsid w:val="008B192C"/>
    <w:rsid w:val="008B1980"/>
    <w:rsid w:val="008B1A0C"/>
    <w:rsid w:val="008B1A87"/>
    <w:rsid w:val="008B1B35"/>
    <w:rsid w:val="008B1B63"/>
    <w:rsid w:val="008B1B69"/>
    <w:rsid w:val="008B1B88"/>
    <w:rsid w:val="008B1BAE"/>
    <w:rsid w:val="008B1BB0"/>
    <w:rsid w:val="008B1BC7"/>
    <w:rsid w:val="008B1C18"/>
    <w:rsid w:val="008B1C75"/>
    <w:rsid w:val="008B1CAF"/>
    <w:rsid w:val="008B1CF3"/>
    <w:rsid w:val="008B1D12"/>
    <w:rsid w:val="008B1D13"/>
    <w:rsid w:val="008B1D2D"/>
    <w:rsid w:val="008B1D94"/>
    <w:rsid w:val="008B1DF9"/>
    <w:rsid w:val="008B1E2E"/>
    <w:rsid w:val="008B1E43"/>
    <w:rsid w:val="008B1E46"/>
    <w:rsid w:val="008B1E5B"/>
    <w:rsid w:val="008B1E95"/>
    <w:rsid w:val="008B1F26"/>
    <w:rsid w:val="008B1F4A"/>
    <w:rsid w:val="008B200E"/>
    <w:rsid w:val="008B207B"/>
    <w:rsid w:val="008B209C"/>
    <w:rsid w:val="008B20F6"/>
    <w:rsid w:val="008B21E2"/>
    <w:rsid w:val="008B2203"/>
    <w:rsid w:val="008B222E"/>
    <w:rsid w:val="008B2275"/>
    <w:rsid w:val="008B2340"/>
    <w:rsid w:val="008B2371"/>
    <w:rsid w:val="008B2391"/>
    <w:rsid w:val="008B246E"/>
    <w:rsid w:val="008B24A2"/>
    <w:rsid w:val="008B24EF"/>
    <w:rsid w:val="008B2511"/>
    <w:rsid w:val="008B25BE"/>
    <w:rsid w:val="008B260D"/>
    <w:rsid w:val="008B2682"/>
    <w:rsid w:val="008B26DB"/>
    <w:rsid w:val="008B273D"/>
    <w:rsid w:val="008B2780"/>
    <w:rsid w:val="008B2787"/>
    <w:rsid w:val="008B27C4"/>
    <w:rsid w:val="008B2804"/>
    <w:rsid w:val="008B284E"/>
    <w:rsid w:val="008B2896"/>
    <w:rsid w:val="008B28F3"/>
    <w:rsid w:val="008B2905"/>
    <w:rsid w:val="008B291A"/>
    <w:rsid w:val="008B2952"/>
    <w:rsid w:val="008B2AB4"/>
    <w:rsid w:val="008B2AEE"/>
    <w:rsid w:val="008B2B41"/>
    <w:rsid w:val="008B2B6A"/>
    <w:rsid w:val="008B2BF4"/>
    <w:rsid w:val="008B2CA2"/>
    <w:rsid w:val="008B2CE5"/>
    <w:rsid w:val="008B2CE6"/>
    <w:rsid w:val="008B2CE8"/>
    <w:rsid w:val="008B2D37"/>
    <w:rsid w:val="008B2D68"/>
    <w:rsid w:val="008B2DC4"/>
    <w:rsid w:val="008B2DED"/>
    <w:rsid w:val="008B2DF8"/>
    <w:rsid w:val="008B2E23"/>
    <w:rsid w:val="008B2E75"/>
    <w:rsid w:val="008B2EAE"/>
    <w:rsid w:val="008B2EF5"/>
    <w:rsid w:val="008B2F06"/>
    <w:rsid w:val="008B2F09"/>
    <w:rsid w:val="008B2F55"/>
    <w:rsid w:val="008B2F66"/>
    <w:rsid w:val="008B2F75"/>
    <w:rsid w:val="008B2F9D"/>
    <w:rsid w:val="008B2FBE"/>
    <w:rsid w:val="008B3075"/>
    <w:rsid w:val="008B30E4"/>
    <w:rsid w:val="008B30F1"/>
    <w:rsid w:val="008B30F2"/>
    <w:rsid w:val="008B316F"/>
    <w:rsid w:val="008B3189"/>
    <w:rsid w:val="008B31BB"/>
    <w:rsid w:val="008B31BF"/>
    <w:rsid w:val="008B31CE"/>
    <w:rsid w:val="008B31FA"/>
    <w:rsid w:val="008B321B"/>
    <w:rsid w:val="008B324D"/>
    <w:rsid w:val="008B32C6"/>
    <w:rsid w:val="008B335B"/>
    <w:rsid w:val="008B339F"/>
    <w:rsid w:val="008B33FE"/>
    <w:rsid w:val="008B3460"/>
    <w:rsid w:val="008B34E0"/>
    <w:rsid w:val="008B3569"/>
    <w:rsid w:val="008B3581"/>
    <w:rsid w:val="008B359D"/>
    <w:rsid w:val="008B35C6"/>
    <w:rsid w:val="008B360B"/>
    <w:rsid w:val="008B3619"/>
    <w:rsid w:val="008B3637"/>
    <w:rsid w:val="008B363D"/>
    <w:rsid w:val="008B3640"/>
    <w:rsid w:val="008B364C"/>
    <w:rsid w:val="008B36D7"/>
    <w:rsid w:val="008B36DF"/>
    <w:rsid w:val="008B36ED"/>
    <w:rsid w:val="008B373F"/>
    <w:rsid w:val="008B382E"/>
    <w:rsid w:val="008B3840"/>
    <w:rsid w:val="008B3847"/>
    <w:rsid w:val="008B3852"/>
    <w:rsid w:val="008B38FE"/>
    <w:rsid w:val="008B394C"/>
    <w:rsid w:val="008B3991"/>
    <w:rsid w:val="008B3996"/>
    <w:rsid w:val="008B39C6"/>
    <w:rsid w:val="008B39E8"/>
    <w:rsid w:val="008B3A20"/>
    <w:rsid w:val="008B3A98"/>
    <w:rsid w:val="008B3B07"/>
    <w:rsid w:val="008B3B49"/>
    <w:rsid w:val="008B3B93"/>
    <w:rsid w:val="008B3C38"/>
    <w:rsid w:val="008B3C80"/>
    <w:rsid w:val="008B3C8E"/>
    <w:rsid w:val="008B3CD8"/>
    <w:rsid w:val="008B3CDC"/>
    <w:rsid w:val="008B3D50"/>
    <w:rsid w:val="008B3D82"/>
    <w:rsid w:val="008B3D90"/>
    <w:rsid w:val="008B3E27"/>
    <w:rsid w:val="008B3E52"/>
    <w:rsid w:val="008B3F66"/>
    <w:rsid w:val="008B3FC3"/>
    <w:rsid w:val="008B3FFE"/>
    <w:rsid w:val="008B400F"/>
    <w:rsid w:val="008B4056"/>
    <w:rsid w:val="008B40CB"/>
    <w:rsid w:val="008B40D0"/>
    <w:rsid w:val="008B410B"/>
    <w:rsid w:val="008B412E"/>
    <w:rsid w:val="008B41D2"/>
    <w:rsid w:val="008B4220"/>
    <w:rsid w:val="008B4248"/>
    <w:rsid w:val="008B42BF"/>
    <w:rsid w:val="008B42DC"/>
    <w:rsid w:val="008B4300"/>
    <w:rsid w:val="008B4336"/>
    <w:rsid w:val="008B435B"/>
    <w:rsid w:val="008B43C2"/>
    <w:rsid w:val="008B441D"/>
    <w:rsid w:val="008B4457"/>
    <w:rsid w:val="008B44B7"/>
    <w:rsid w:val="008B44F4"/>
    <w:rsid w:val="008B44F9"/>
    <w:rsid w:val="008B4504"/>
    <w:rsid w:val="008B4516"/>
    <w:rsid w:val="008B4590"/>
    <w:rsid w:val="008B4596"/>
    <w:rsid w:val="008B45A9"/>
    <w:rsid w:val="008B45DB"/>
    <w:rsid w:val="008B4684"/>
    <w:rsid w:val="008B4690"/>
    <w:rsid w:val="008B46B4"/>
    <w:rsid w:val="008B46E7"/>
    <w:rsid w:val="008B4731"/>
    <w:rsid w:val="008B4773"/>
    <w:rsid w:val="008B47F3"/>
    <w:rsid w:val="008B48B8"/>
    <w:rsid w:val="008B4908"/>
    <w:rsid w:val="008B493D"/>
    <w:rsid w:val="008B4964"/>
    <w:rsid w:val="008B497A"/>
    <w:rsid w:val="008B498E"/>
    <w:rsid w:val="008B49A1"/>
    <w:rsid w:val="008B49B8"/>
    <w:rsid w:val="008B4A30"/>
    <w:rsid w:val="008B4AB5"/>
    <w:rsid w:val="008B4B2F"/>
    <w:rsid w:val="008B4B60"/>
    <w:rsid w:val="008B4BF1"/>
    <w:rsid w:val="008B4C52"/>
    <w:rsid w:val="008B4C6D"/>
    <w:rsid w:val="008B4C9C"/>
    <w:rsid w:val="008B4CA9"/>
    <w:rsid w:val="008B4CAA"/>
    <w:rsid w:val="008B4D0E"/>
    <w:rsid w:val="008B4D25"/>
    <w:rsid w:val="008B4D2F"/>
    <w:rsid w:val="008B4D47"/>
    <w:rsid w:val="008B4D83"/>
    <w:rsid w:val="008B4DB5"/>
    <w:rsid w:val="008B4E11"/>
    <w:rsid w:val="008B4E7B"/>
    <w:rsid w:val="008B4E96"/>
    <w:rsid w:val="008B4EA3"/>
    <w:rsid w:val="008B4F0B"/>
    <w:rsid w:val="008B4F29"/>
    <w:rsid w:val="008B4F35"/>
    <w:rsid w:val="008B4F67"/>
    <w:rsid w:val="008B4F88"/>
    <w:rsid w:val="008B4FE5"/>
    <w:rsid w:val="008B4FE7"/>
    <w:rsid w:val="008B4FE8"/>
    <w:rsid w:val="008B5005"/>
    <w:rsid w:val="008B500C"/>
    <w:rsid w:val="008B5026"/>
    <w:rsid w:val="008B50E3"/>
    <w:rsid w:val="008B50F3"/>
    <w:rsid w:val="008B5141"/>
    <w:rsid w:val="008B5153"/>
    <w:rsid w:val="008B517B"/>
    <w:rsid w:val="008B518F"/>
    <w:rsid w:val="008B51B5"/>
    <w:rsid w:val="008B51BD"/>
    <w:rsid w:val="008B51C8"/>
    <w:rsid w:val="008B5269"/>
    <w:rsid w:val="008B52A4"/>
    <w:rsid w:val="008B5343"/>
    <w:rsid w:val="008B5352"/>
    <w:rsid w:val="008B53ED"/>
    <w:rsid w:val="008B53F6"/>
    <w:rsid w:val="008B5428"/>
    <w:rsid w:val="008B54B0"/>
    <w:rsid w:val="008B551D"/>
    <w:rsid w:val="008B552C"/>
    <w:rsid w:val="008B552D"/>
    <w:rsid w:val="008B554B"/>
    <w:rsid w:val="008B5552"/>
    <w:rsid w:val="008B5587"/>
    <w:rsid w:val="008B55AF"/>
    <w:rsid w:val="008B5651"/>
    <w:rsid w:val="008B567C"/>
    <w:rsid w:val="008B569C"/>
    <w:rsid w:val="008B56F7"/>
    <w:rsid w:val="008B56FA"/>
    <w:rsid w:val="008B57AB"/>
    <w:rsid w:val="008B57D2"/>
    <w:rsid w:val="008B57D8"/>
    <w:rsid w:val="008B5827"/>
    <w:rsid w:val="008B5966"/>
    <w:rsid w:val="008B59B2"/>
    <w:rsid w:val="008B5A4A"/>
    <w:rsid w:val="008B5A59"/>
    <w:rsid w:val="008B5AA5"/>
    <w:rsid w:val="008B5ACB"/>
    <w:rsid w:val="008B5AD8"/>
    <w:rsid w:val="008B5ADC"/>
    <w:rsid w:val="008B5AF1"/>
    <w:rsid w:val="008B5B41"/>
    <w:rsid w:val="008B5B6A"/>
    <w:rsid w:val="008B5B6E"/>
    <w:rsid w:val="008B5BD9"/>
    <w:rsid w:val="008B5BEB"/>
    <w:rsid w:val="008B5BFC"/>
    <w:rsid w:val="008B5C29"/>
    <w:rsid w:val="008B5CDA"/>
    <w:rsid w:val="008B5D30"/>
    <w:rsid w:val="008B5D6E"/>
    <w:rsid w:val="008B5DA7"/>
    <w:rsid w:val="008B5E82"/>
    <w:rsid w:val="008B5EE6"/>
    <w:rsid w:val="008B5F02"/>
    <w:rsid w:val="008B5F6E"/>
    <w:rsid w:val="008B5F8F"/>
    <w:rsid w:val="008B6025"/>
    <w:rsid w:val="008B6033"/>
    <w:rsid w:val="008B603E"/>
    <w:rsid w:val="008B61FB"/>
    <w:rsid w:val="008B620A"/>
    <w:rsid w:val="008B623A"/>
    <w:rsid w:val="008B624A"/>
    <w:rsid w:val="008B625F"/>
    <w:rsid w:val="008B62A1"/>
    <w:rsid w:val="008B62CD"/>
    <w:rsid w:val="008B62D9"/>
    <w:rsid w:val="008B6305"/>
    <w:rsid w:val="008B634A"/>
    <w:rsid w:val="008B6350"/>
    <w:rsid w:val="008B635E"/>
    <w:rsid w:val="008B6396"/>
    <w:rsid w:val="008B63DB"/>
    <w:rsid w:val="008B63EC"/>
    <w:rsid w:val="008B6485"/>
    <w:rsid w:val="008B64F2"/>
    <w:rsid w:val="008B6513"/>
    <w:rsid w:val="008B65C2"/>
    <w:rsid w:val="008B6676"/>
    <w:rsid w:val="008B6684"/>
    <w:rsid w:val="008B66A8"/>
    <w:rsid w:val="008B66AF"/>
    <w:rsid w:val="008B6744"/>
    <w:rsid w:val="008B67E1"/>
    <w:rsid w:val="008B67F9"/>
    <w:rsid w:val="008B68D6"/>
    <w:rsid w:val="008B68E7"/>
    <w:rsid w:val="008B6912"/>
    <w:rsid w:val="008B6964"/>
    <w:rsid w:val="008B6984"/>
    <w:rsid w:val="008B69BC"/>
    <w:rsid w:val="008B6A11"/>
    <w:rsid w:val="008B6A88"/>
    <w:rsid w:val="008B6AAE"/>
    <w:rsid w:val="008B6BBF"/>
    <w:rsid w:val="008B6D02"/>
    <w:rsid w:val="008B6D31"/>
    <w:rsid w:val="008B6DD3"/>
    <w:rsid w:val="008B6DD7"/>
    <w:rsid w:val="008B6DF7"/>
    <w:rsid w:val="008B6E14"/>
    <w:rsid w:val="008B6E2D"/>
    <w:rsid w:val="008B6E80"/>
    <w:rsid w:val="008B6F2F"/>
    <w:rsid w:val="008B6FCF"/>
    <w:rsid w:val="008B6FDD"/>
    <w:rsid w:val="008B704D"/>
    <w:rsid w:val="008B7072"/>
    <w:rsid w:val="008B70B8"/>
    <w:rsid w:val="008B70C6"/>
    <w:rsid w:val="008B70E3"/>
    <w:rsid w:val="008B70E8"/>
    <w:rsid w:val="008B710A"/>
    <w:rsid w:val="008B712B"/>
    <w:rsid w:val="008B712E"/>
    <w:rsid w:val="008B7142"/>
    <w:rsid w:val="008B7165"/>
    <w:rsid w:val="008B72A1"/>
    <w:rsid w:val="008B72A2"/>
    <w:rsid w:val="008B72DF"/>
    <w:rsid w:val="008B7357"/>
    <w:rsid w:val="008B7379"/>
    <w:rsid w:val="008B7398"/>
    <w:rsid w:val="008B73A0"/>
    <w:rsid w:val="008B73B9"/>
    <w:rsid w:val="008B7492"/>
    <w:rsid w:val="008B7544"/>
    <w:rsid w:val="008B7564"/>
    <w:rsid w:val="008B75E4"/>
    <w:rsid w:val="008B7646"/>
    <w:rsid w:val="008B7656"/>
    <w:rsid w:val="008B76A0"/>
    <w:rsid w:val="008B776D"/>
    <w:rsid w:val="008B777E"/>
    <w:rsid w:val="008B77A2"/>
    <w:rsid w:val="008B77A4"/>
    <w:rsid w:val="008B77ED"/>
    <w:rsid w:val="008B782D"/>
    <w:rsid w:val="008B7842"/>
    <w:rsid w:val="008B7859"/>
    <w:rsid w:val="008B7867"/>
    <w:rsid w:val="008B78B8"/>
    <w:rsid w:val="008B78CB"/>
    <w:rsid w:val="008B799D"/>
    <w:rsid w:val="008B79A4"/>
    <w:rsid w:val="008B79AC"/>
    <w:rsid w:val="008B79E6"/>
    <w:rsid w:val="008B7A4C"/>
    <w:rsid w:val="008B7A60"/>
    <w:rsid w:val="008B7A63"/>
    <w:rsid w:val="008B7A8E"/>
    <w:rsid w:val="008B7A8F"/>
    <w:rsid w:val="008B7AE5"/>
    <w:rsid w:val="008B7B30"/>
    <w:rsid w:val="008B7B6D"/>
    <w:rsid w:val="008B7BA1"/>
    <w:rsid w:val="008B7C1F"/>
    <w:rsid w:val="008B7CE5"/>
    <w:rsid w:val="008B7D53"/>
    <w:rsid w:val="008B7DA4"/>
    <w:rsid w:val="008B7DBF"/>
    <w:rsid w:val="008B7E03"/>
    <w:rsid w:val="008B7E1B"/>
    <w:rsid w:val="008B7E2F"/>
    <w:rsid w:val="008B7E6B"/>
    <w:rsid w:val="008B7E6C"/>
    <w:rsid w:val="008B7EC8"/>
    <w:rsid w:val="008B7EE1"/>
    <w:rsid w:val="008B7EE7"/>
    <w:rsid w:val="008B7F1B"/>
    <w:rsid w:val="008B7F86"/>
    <w:rsid w:val="008B7FDB"/>
    <w:rsid w:val="008C00B0"/>
    <w:rsid w:val="008C00CB"/>
    <w:rsid w:val="008C0265"/>
    <w:rsid w:val="008C0272"/>
    <w:rsid w:val="008C02BB"/>
    <w:rsid w:val="008C02D5"/>
    <w:rsid w:val="008C0357"/>
    <w:rsid w:val="008C03BE"/>
    <w:rsid w:val="008C0431"/>
    <w:rsid w:val="008C04D9"/>
    <w:rsid w:val="008C05B0"/>
    <w:rsid w:val="008C0603"/>
    <w:rsid w:val="008C060F"/>
    <w:rsid w:val="008C0633"/>
    <w:rsid w:val="008C0700"/>
    <w:rsid w:val="008C0726"/>
    <w:rsid w:val="008C0750"/>
    <w:rsid w:val="008C0782"/>
    <w:rsid w:val="008C07A4"/>
    <w:rsid w:val="008C07BD"/>
    <w:rsid w:val="008C0820"/>
    <w:rsid w:val="008C0847"/>
    <w:rsid w:val="008C086D"/>
    <w:rsid w:val="008C087A"/>
    <w:rsid w:val="008C087B"/>
    <w:rsid w:val="008C08BC"/>
    <w:rsid w:val="008C091F"/>
    <w:rsid w:val="008C095F"/>
    <w:rsid w:val="008C09B6"/>
    <w:rsid w:val="008C09CF"/>
    <w:rsid w:val="008C09E9"/>
    <w:rsid w:val="008C09ED"/>
    <w:rsid w:val="008C0B16"/>
    <w:rsid w:val="008C0B3A"/>
    <w:rsid w:val="008C0BA0"/>
    <w:rsid w:val="008C0BB0"/>
    <w:rsid w:val="008C0BC0"/>
    <w:rsid w:val="008C0BDF"/>
    <w:rsid w:val="008C0C59"/>
    <w:rsid w:val="008C0C62"/>
    <w:rsid w:val="008C0C9A"/>
    <w:rsid w:val="008C0CA0"/>
    <w:rsid w:val="008C0CFE"/>
    <w:rsid w:val="008C0D65"/>
    <w:rsid w:val="008C0D98"/>
    <w:rsid w:val="008C0DA6"/>
    <w:rsid w:val="008C0DCB"/>
    <w:rsid w:val="008C0DF4"/>
    <w:rsid w:val="008C0E01"/>
    <w:rsid w:val="008C0E2B"/>
    <w:rsid w:val="008C0EE4"/>
    <w:rsid w:val="008C0F43"/>
    <w:rsid w:val="008C0F9C"/>
    <w:rsid w:val="008C108C"/>
    <w:rsid w:val="008C10D0"/>
    <w:rsid w:val="008C1195"/>
    <w:rsid w:val="008C11A0"/>
    <w:rsid w:val="008C11BC"/>
    <w:rsid w:val="008C11D8"/>
    <w:rsid w:val="008C1211"/>
    <w:rsid w:val="008C12AF"/>
    <w:rsid w:val="008C1328"/>
    <w:rsid w:val="008C135F"/>
    <w:rsid w:val="008C138B"/>
    <w:rsid w:val="008C13C3"/>
    <w:rsid w:val="008C13CC"/>
    <w:rsid w:val="008C13F7"/>
    <w:rsid w:val="008C14B2"/>
    <w:rsid w:val="008C14C7"/>
    <w:rsid w:val="008C1541"/>
    <w:rsid w:val="008C155E"/>
    <w:rsid w:val="008C1594"/>
    <w:rsid w:val="008C15A7"/>
    <w:rsid w:val="008C15C5"/>
    <w:rsid w:val="008C15CE"/>
    <w:rsid w:val="008C1611"/>
    <w:rsid w:val="008C163B"/>
    <w:rsid w:val="008C1647"/>
    <w:rsid w:val="008C164A"/>
    <w:rsid w:val="008C165D"/>
    <w:rsid w:val="008C17B2"/>
    <w:rsid w:val="008C17DF"/>
    <w:rsid w:val="008C17F5"/>
    <w:rsid w:val="008C184D"/>
    <w:rsid w:val="008C1961"/>
    <w:rsid w:val="008C1A25"/>
    <w:rsid w:val="008C1A51"/>
    <w:rsid w:val="008C1AA9"/>
    <w:rsid w:val="008C1ABE"/>
    <w:rsid w:val="008C1B24"/>
    <w:rsid w:val="008C1C1D"/>
    <w:rsid w:val="008C1C26"/>
    <w:rsid w:val="008C1C57"/>
    <w:rsid w:val="008C1CBB"/>
    <w:rsid w:val="008C1D19"/>
    <w:rsid w:val="008C1D38"/>
    <w:rsid w:val="008C1E08"/>
    <w:rsid w:val="008C1E0A"/>
    <w:rsid w:val="008C1E44"/>
    <w:rsid w:val="008C1F0F"/>
    <w:rsid w:val="008C1F21"/>
    <w:rsid w:val="008C1F44"/>
    <w:rsid w:val="008C1F94"/>
    <w:rsid w:val="008C1FBA"/>
    <w:rsid w:val="008C201A"/>
    <w:rsid w:val="008C204E"/>
    <w:rsid w:val="008C206F"/>
    <w:rsid w:val="008C2075"/>
    <w:rsid w:val="008C209F"/>
    <w:rsid w:val="008C2131"/>
    <w:rsid w:val="008C213F"/>
    <w:rsid w:val="008C214F"/>
    <w:rsid w:val="008C217F"/>
    <w:rsid w:val="008C21DC"/>
    <w:rsid w:val="008C229C"/>
    <w:rsid w:val="008C22BA"/>
    <w:rsid w:val="008C22E4"/>
    <w:rsid w:val="008C2319"/>
    <w:rsid w:val="008C237A"/>
    <w:rsid w:val="008C2390"/>
    <w:rsid w:val="008C2399"/>
    <w:rsid w:val="008C23DA"/>
    <w:rsid w:val="008C244F"/>
    <w:rsid w:val="008C247E"/>
    <w:rsid w:val="008C249F"/>
    <w:rsid w:val="008C24EA"/>
    <w:rsid w:val="008C24FC"/>
    <w:rsid w:val="008C253A"/>
    <w:rsid w:val="008C2586"/>
    <w:rsid w:val="008C25E2"/>
    <w:rsid w:val="008C264A"/>
    <w:rsid w:val="008C2659"/>
    <w:rsid w:val="008C267F"/>
    <w:rsid w:val="008C2698"/>
    <w:rsid w:val="008C270F"/>
    <w:rsid w:val="008C2787"/>
    <w:rsid w:val="008C27A8"/>
    <w:rsid w:val="008C2844"/>
    <w:rsid w:val="008C2848"/>
    <w:rsid w:val="008C284D"/>
    <w:rsid w:val="008C28E3"/>
    <w:rsid w:val="008C291D"/>
    <w:rsid w:val="008C297D"/>
    <w:rsid w:val="008C2A7C"/>
    <w:rsid w:val="008C2AA9"/>
    <w:rsid w:val="008C2ABD"/>
    <w:rsid w:val="008C2ACF"/>
    <w:rsid w:val="008C2AD9"/>
    <w:rsid w:val="008C2B0D"/>
    <w:rsid w:val="008C2B51"/>
    <w:rsid w:val="008C2BBE"/>
    <w:rsid w:val="008C2C72"/>
    <w:rsid w:val="008C2C7D"/>
    <w:rsid w:val="008C2CE1"/>
    <w:rsid w:val="008C2D03"/>
    <w:rsid w:val="008C2D0D"/>
    <w:rsid w:val="008C2D41"/>
    <w:rsid w:val="008C2D74"/>
    <w:rsid w:val="008C2E31"/>
    <w:rsid w:val="008C2EA6"/>
    <w:rsid w:val="008C2ED2"/>
    <w:rsid w:val="008C303C"/>
    <w:rsid w:val="008C306D"/>
    <w:rsid w:val="008C30B8"/>
    <w:rsid w:val="008C30EE"/>
    <w:rsid w:val="008C311E"/>
    <w:rsid w:val="008C3122"/>
    <w:rsid w:val="008C312D"/>
    <w:rsid w:val="008C3176"/>
    <w:rsid w:val="008C31D9"/>
    <w:rsid w:val="008C3201"/>
    <w:rsid w:val="008C329F"/>
    <w:rsid w:val="008C3333"/>
    <w:rsid w:val="008C3358"/>
    <w:rsid w:val="008C33AE"/>
    <w:rsid w:val="008C340C"/>
    <w:rsid w:val="008C344A"/>
    <w:rsid w:val="008C345E"/>
    <w:rsid w:val="008C3465"/>
    <w:rsid w:val="008C349E"/>
    <w:rsid w:val="008C34EF"/>
    <w:rsid w:val="008C3554"/>
    <w:rsid w:val="008C35D6"/>
    <w:rsid w:val="008C364E"/>
    <w:rsid w:val="008C36F2"/>
    <w:rsid w:val="008C3726"/>
    <w:rsid w:val="008C384A"/>
    <w:rsid w:val="008C38BC"/>
    <w:rsid w:val="008C38F8"/>
    <w:rsid w:val="008C38FC"/>
    <w:rsid w:val="008C390E"/>
    <w:rsid w:val="008C3927"/>
    <w:rsid w:val="008C392C"/>
    <w:rsid w:val="008C39A5"/>
    <w:rsid w:val="008C39E5"/>
    <w:rsid w:val="008C3A2E"/>
    <w:rsid w:val="008C3A71"/>
    <w:rsid w:val="008C3A92"/>
    <w:rsid w:val="008C3ABD"/>
    <w:rsid w:val="008C3AEA"/>
    <w:rsid w:val="008C3AF2"/>
    <w:rsid w:val="008C3AF3"/>
    <w:rsid w:val="008C3B0A"/>
    <w:rsid w:val="008C3B6F"/>
    <w:rsid w:val="008C3B8D"/>
    <w:rsid w:val="008C3BBB"/>
    <w:rsid w:val="008C3BD7"/>
    <w:rsid w:val="008C3C07"/>
    <w:rsid w:val="008C3C36"/>
    <w:rsid w:val="008C3C8A"/>
    <w:rsid w:val="008C3CDB"/>
    <w:rsid w:val="008C3CF6"/>
    <w:rsid w:val="008C3D18"/>
    <w:rsid w:val="008C3E77"/>
    <w:rsid w:val="008C3F2B"/>
    <w:rsid w:val="008C3FEF"/>
    <w:rsid w:val="008C4000"/>
    <w:rsid w:val="008C4002"/>
    <w:rsid w:val="008C400C"/>
    <w:rsid w:val="008C4034"/>
    <w:rsid w:val="008C408B"/>
    <w:rsid w:val="008C40A1"/>
    <w:rsid w:val="008C4106"/>
    <w:rsid w:val="008C4109"/>
    <w:rsid w:val="008C4119"/>
    <w:rsid w:val="008C41A7"/>
    <w:rsid w:val="008C41C4"/>
    <w:rsid w:val="008C41F9"/>
    <w:rsid w:val="008C4208"/>
    <w:rsid w:val="008C421C"/>
    <w:rsid w:val="008C42D3"/>
    <w:rsid w:val="008C433F"/>
    <w:rsid w:val="008C43F4"/>
    <w:rsid w:val="008C4408"/>
    <w:rsid w:val="008C4436"/>
    <w:rsid w:val="008C4443"/>
    <w:rsid w:val="008C44AA"/>
    <w:rsid w:val="008C44CF"/>
    <w:rsid w:val="008C4520"/>
    <w:rsid w:val="008C4574"/>
    <w:rsid w:val="008C461D"/>
    <w:rsid w:val="008C462E"/>
    <w:rsid w:val="008C4653"/>
    <w:rsid w:val="008C469D"/>
    <w:rsid w:val="008C46DF"/>
    <w:rsid w:val="008C479B"/>
    <w:rsid w:val="008C47B9"/>
    <w:rsid w:val="008C47CB"/>
    <w:rsid w:val="008C47D1"/>
    <w:rsid w:val="008C47E1"/>
    <w:rsid w:val="008C4836"/>
    <w:rsid w:val="008C4969"/>
    <w:rsid w:val="008C49BA"/>
    <w:rsid w:val="008C49FC"/>
    <w:rsid w:val="008C49FF"/>
    <w:rsid w:val="008C4A5A"/>
    <w:rsid w:val="008C4A67"/>
    <w:rsid w:val="008C4B59"/>
    <w:rsid w:val="008C4BAF"/>
    <w:rsid w:val="008C4BC1"/>
    <w:rsid w:val="008C4BF7"/>
    <w:rsid w:val="008C4BF9"/>
    <w:rsid w:val="008C4C04"/>
    <w:rsid w:val="008C4C91"/>
    <w:rsid w:val="008C4CA2"/>
    <w:rsid w:val="008C4D11"/>
    <w:rsid w:val="008C4D46"/>
    <w:rsid w:val="008C4D85"/>
    <w:rsid w:val="008C4DE9"/>
    <w:rsid w:val="008C4DF0"/>
    <w:rsid w:val="008C4E7C"/>
    <w:rsid w:val="008C4EAE"/>
    <w:rsid w:val="008C4ECB"/>
    <w:rsid w:val="008C4EEE"/>
    <w:rsid w:val="008C4F19"/>
    <w:rsid w:val="008C4F35"/>
    <w:rsid w:val="008C4F45"/>
    <w:rsid w:val="008C4F5B"/>
    <w:rsid w:val="008C4F9D"/>
    <w:rsid w:val="008C4FCA"/>
    <w:rsid w:val="008C504C"/>
    <w:rsid w:val="008C505E"/>
    <w:rsid w:val="008C5077"/>
    <w:rsid w:val="008C50D3"/>
    <w:rsid w:val="008C5121"/>
    <w:rsid w:val="008C513F"/>
    <w:rsid w:val="008C51F9"/>
    <w:rsid w:val="008C5245"/>
    <w:rsid w:val="008C5249"/>
    <w:rsid w:val="008C5255"/>
    <w:rsid w:val="008C52AA"/>
    <w:rsid w:val="008C52B2"/>
    <w:rsid w:val="008C52E9"/>
    <w:rsid w:val="008C5370"/>
    <w:rsid w:val="008C53B8"/>
    <w:rsid w:val="008C53DA"/>
    <w:rsid w:val="008C5410"/>
    <w:rsid w:val="008C546B"/>
    <w:rsid w:val="008C54F5"/>
    <w:rsid w:val="008C5530"/>
    <w:rsid w:val="008C55C8"/>
    <w:rsid w:val="008C5645"/>
    <w:rsid w:val="008C5660"/>
    <w:rsid w:val="008C5662"/>
    <w:rsid w:val="008C5682"/>
    <w:rsid w:val="008C5696"/>
    <w:rsid w:val="008C56A2"/>
    <w:rsid w:val="008C56AB"/>
    <w:rsid w:val="008C57C4"/>
    <w:rsid w:val="008C582C"/>
    <w:rsid w:val="008C586E"/>
    <w:rsid w:val="008C5953"/>
    <w:rsid w:val="008C5957"/>
    <w:rsid w:val="008C596E"/>
    <w:rsid w:val="008C5981"/>
    <w:rsid w:val="008C59B2"/>
    <w:rsid w:val="008C59B9"/>
    <w:rsid w:val="008C5A01"/>
    <w:rsid w:val="008C5A50"/>
    <w:rsid w:val="008C5A5D"/>
    <w:rsid w:val="008C5A72"/>
    <w:rsid w:val="008C5A89"/>
    <w:rsid w:val="008C5AC5"/>
    <w:rsid w:val="008C5ADD"/>
    <w:rsid w:val="008C5B18"/>
    <w:rsid w:val="008C5B20"/>
    <w:rsid w:val="008C5B7E"/>
    <w:rsid w:val="008C5C62"/>
    <w:rsid w:val="008C5C71"/>
    <w:rsid w:val="008C5CB2"/>
    <w:rsid w:val="008C5CD6"/>
    <w:rsid w:val="008C5D46"/>
    <w:rsid w:val="008C5D83"/>
    <w:rsid w:val="008C5DA9"/>
    <w:rsid w:val="008C5E1E"/>
    <w:rsid w:val="008C5E2D"/>
    <w:rsid w:val="008C5EC5"/>
    <w:rsid w:val="008C5EFA"/>
    <w:rsid w:val="008C5F08"/>
    <w:rsid w:val="008C5F2D"/>
    <w:rsid w:val="008C5F98"/>
    <w:rsid w:val="008C5FE4"/>
    <w:rsid w:val="008C602B"/>
    <w:rsid w:val="008C6035"/>
    <w:rsid w:val="008C608B"/>
    <w:rsid w:val="008C6170"/>
    <w:rsid w:val="008C6178"/>
    <w:rsid w:val="008C6185"/>
    <w:rsid w:val="008C61C3"/>
    <w:rsid w:val="008C61E4"/>
    <w:rsid w:val="008C6202"/>
    <w:rsid w:val="008C62A4"/>
    <w:rsid w:val="008C62AE"/>
    <w:rsid w:val="008C62D4"/>
    <w:rsid w:val="008C632F"/>
    <w:rsid w:val="008C6340"/>
    <w:rsid w:val="008C646B"/>
    <w:rsid w:val="008C6471"/>
    <w:rsid w:val="008C648D"/>
    <w:rsid w:val="008C64A3"/>
    <w:rsid w:val="008C64CE"/>
    <w:rsid w:val="008C6589"/>
    <w:rsid w:val="008C659C"/>
    <w:rsid w:val="008C65A4"/>
    <w:rsid w:val="008C65D6"/>
    <w:rsid w:val="008C6624"/>
    <w:rsid w:val="008C6638"/>
    <w:rsid w:val="008C6682"/>
    <w:rsid w:val="008C669D"/>
    <w:rsid w:val="008C6711"/>
    <w:rsid w:val="008C6757"/>
    <w:rsid w:val="008C6798"/>
    <w:rsid w:val="008C67A7"/>
    <w:rsid w:val="008C680F"/>
    <w:rsid w:val="008C6883"/>
    <w:rsid w:val="008C688F"/>
    <w:rsid w:val="008C68FD"/>
    <w:rsid w:val="008C695E"/>
    <w:rsid w:val="008C69B4"/>
    <w:rsid w:val="008C69B7"/>
    <w:rsid w:val="008C6A11"/>
    <w:rsid w:val="008C6AA0"/>
    <w:rsid w:val="008C6AD5"/>
    <w:rsid w:val="008C6B37"/>
    <w:rsid w:val="008C6B43"/>
    <w:rsid w:val="008C6BBD"/>
    <w:rsid w:val="008C6BEF"/>
    <w:rsid w:val="008C6C4C"/>
    <w:rsid w:val="008C6C92"/>
    <w:rsid w:val="008C6CB1"/>
    <w:rsid w:val="008C6D67"/>
    <w:rsid w:val="008C6D8E"/>
    <w:rsid w:val="008C6DCD"/>
    <w:rsid w:val="008C6E13"/>
    <w:rsid w:val="008C6E80"/>
    <w:rsid w:val="008C6E93"/>
    <w:rsid w:val="008C6ED2"/>
    <w:rsid w:val="008C6F08"/>
    <w:rsid w:val="008C6FAA"/>
    <w:rsid w:val="008C6FE7"/>
    <w:rsid w:val="008C704A"/>
    <w:rsid w:val="008C7117"/>
    <w:rsid w:val="008C7123"/>
    <w:rsid w:val="008C712B"/>
    <w:rsid w:val="008C7135"/>
    <w:rsid w:val="008C719A"/>
    <w:rsid w:val="008C71BD"/>
    <w:rsid w:val="008C71CE"/>
    <w:rsid w:val="008C71D6"/>
    <w:rsid w:val="008C7237"/>
    <w:rsid w:val="008C7301"/>
    <w:rsid w:val="008C735C"/>
    <w:rsid w:val="008C7365"/>
    <w:rsid w:val="008C73B2"/>
    <w:rsid w:val="008C73B6"/>
    <w:rsid w:val="008C73C5"/>
    <w:rsid w:val="008C73D8"/>
    <w:rsid w:val="008C73DB"/>
    <w:rsid w:val="008C73E3"/>
    <w:rsid w:val="008C7411"/>
    <w:rsid w:val="008C747F"/>
    <w:rsid w:val="008C74BD"/>
    <w:rsid w:val="008C74C3"/>
    <w:rsid w:val="008C74D6"/>
    <w:rsid w:val="008C74F2"/>
    <w:rsid w:val="008C7547"/>
    <w:rsid w:val="008C760B"/>
    <w:rsid w:val="008C7620"/>
    <w:rsid w:val="008C76A2"/>
    <w:rsid w:val="008C76D7"/>
    <w:rsid w:val="008C7734"/>
    <w:rsid w:val="008C7770"/>
    <w:rsid w:val="008C7807"/>
    <w:rsid w:val="008C7826"/>
    <w:rsid w:val="008C7836"/>
    <w:rsid w:val="008C7855"/>
    <w:rsid w:val="008C7866"/>
    <w:rsid w:val="008C78A7"/>
    <w:rsid w:val="008C78CB"/>
    <w:rsid w:val="008C78DB"/>
    <w:rsid w:val="008C790B"/>
    <w:rsid w:val="008C79AD"/>
    <w:rsid w:val="008C79E7"/>
    <w:rsid w:val="008C7A0D"/>
    <w:rsid w:val="008C7A12"/>
    <w:rsid w:val="008C7A14"/>
    <w:rsid w:val="008C7A31"/>
    <w:rsid w:val="008C7A9E"/>
    <w:rsid w:val="008C7AFF"/>
    <w:rsid w:val="008C7B7D"/>
    <w:rsid w:val="008C7B87"/>
    <w:rsid w:val="008C7BB1"/>
    <w:rsid w:val="008C7BD5"/>
    <w:rsid w:val="008C7C04"/>
    <w:rsid w:val="008C7C2C"/>
    <w:rsid w:val="008C7C52"/>
    <w:rsid w:val="008C7C84"/>
    <w:rsid w:val="008C7CB2"/>
    <w:rsid w:val="008C7CB4"/>
    <w:rsid w:val="008C7CFF"/>
    <w:rsid w:val="008C7D20"/>
    <w:rsid w:val="008C7D33"/>
    <w:rsid w:val="008C7D45"/>
    <w:rsid w:val="008C7DBA"/>
    <w:rsid w:val="008C7DDB"/>
    <w:rsid w:val="008C7E4A"/>
    <w:rsid w:val="008C7E4E"/>
    <w:rsid w:val="008C7E5D"/>
    <w:rsid w:val="008C7EDE"/>
    <w:rsid w:val="008C7EE0"/>
    <w:rsid w:val="008C7F56"/>
    <w:rsid w:val="008C7F6B"/>
    <w:rsid w:val="008C7F71"/>
    <w:rsid w:val="008C7F92"/>
    <w:rsid w:val="008C7FBE"/>
    <w:rsid w:val="008D000E"/>
    <w:rsid w:val="008D002E"/>
    <w:rsid w:val="008D003F"/>
    <w:rsid w:val="008D006F"/>
    <w:rsid w:val="008D00AB"/>
    <w:rsid w:val="008D0158"/>
    <w:rsid w:val="008D019C"/>
    <w:rsid w:val="008D0243"/>
    <w:rsid w:val="008D0258"/>
    <w:rsid w:val="008D0270"/>
    <w:rsid w:val="008D0281"/>
    <w:rsid w:val="008D02B7"/>
    <w:rsid w:val="008D02CD"/>
    <w:rsid w:val="008D02D9"/>
    <w:rsid w:val="008D03E7"/>
    <w:rsid w:val="008D0404"/>
    <w:rsid w:val="008D0414"/>
    <w:rsid w:val="008D042C"/>
    <w:rsid w:val="008D0432"/>
    <w:rsid w:val="008D047B"/>
    <w:rsid w:val="008D0486"/>
    <w:rsid w:val="008D057F"/>
    <w:rsid w:val="008D05E7"/>
    <w:rsid w:val="008D0625"/>
    <w:rsid w:val="008D06AE"/>
    <w:rsid w:val="008D06DD"/>
    <w:rsid w:val="008D06FC"/>
    <w:rsid w:val="008D0774"/>
    <w:rsid w:val="008D0777"/>
    <w:rsid w:val="008D077F"/>
    <w:rsid w:val="008D0795"/>
    <w:rsid w:val="008D07F3"/>
    <w:rsid w:val="008D09F4"/>
    <w:rsid w:val="008D0A1A"/>
    <w:rsid w:val="008D0A60"/>
    <w:rsid w:val="008D0AEF"/>
    <w:rsid w:val="008D0B11"/>
    <w:rsid w:val="008D0B1A"/>
    <w:rsid w:val="008D0B33"/>
    <w:rsid w:val="008D0B79"/>
    <w:rsid w:val="008D0B8B"/>
    <w:rsid w:val="008D0B9A"/>
    <w:rsid w:val="008D0BF3"/>
    <w:rsid w:val="008D0C06"/>
    <w:rsid w:val="008D0C15"/>
    <w:rsid w:val="008D0D25"/>
    <w:rsid w:val="008D0D35"/>
    <w:rsid w:val="008D0D51"/>
    <w:rsid w:val="008D0E4D"/>
    <w:rsid w:val="008D0EF8"/>
    <w:rsid w:val="008D0F54"/>
    <w:rsid w:val="008D0F91"/>
    <w:rsid w:val="008D0F9F"/>
    <w:rsid w:val="008D0FA0"/>
    <w:rsid w:val="008D0FC7"/>
    <w:rsid w:val="008D1040"/>
    <w:rsid w:val="008D1057"/>
    <w:rsid w:val="008D1088"/>
    <w:rsid w:val="008D1097"/>
    <w:rsid w:val="008D10A0"/>
    <w:rsid w:val="008D10AA"/>
    <w:rsid w:val="008D10EF"/>
    <w:rsid w:val="008D1246"/>
    <w:rsid w:val="008D124F"/>
    <w:rsid w:val="008D1264"/>
    <w:rsid w:val="008D12D1"/>
    <w:rsid w:val="008D12D6"/>
    <w:rsid w:val="008D13AF"/>
    <w:rsid w:val="008D13BA"/>
    <w:rsid w:val="008D1424"/>
    <w:rsid w:val="008D1430"/>
    <w:rsid w:val="008D1485"/>
    <w:rsid w:val="008D14AC"/>
    <w:rsid w:val="008D14C8"/>
    <w:rsid w:val="008D14DB"/>
    <w:rsid w:val="008D14EC"/>
    <w:rsid w:val="008D1564"/>
    <w:rsid w:val="008D1575"/>
    <w:rsid w:val="008D1597"/>
    <w:rsid w:val="008D15C2"/>
    <w:rsid w:val="008D162C"/>
    <w:rsid w:val="008D1646"/>
    <w:rsid w:val="008D16B7"/>
    <w:rsid w:val="008D16E5"/>
    <w:rsid w:val="008D1766"/>
    <w:rsid w:val="008D1779"/>
    <w:rsid w:val="008D17A6"/>
    <w:rsid w:val="008D1832"/>
    <w:rsid w:val="008D1866"/>
    <w:rsid w:val="008D186B"/>
    <w:rsid w:val="008D18AD"/>
    <w:rsid w:val="008D18B5"/>
    <w:rsid w:val="008D18F8"/>
    <w:rsid w:val="008D1958"/>
    <w:rsid w:val="008D1A1E"/>
    <w:rsid w:val="008D1A6D"/>
    <w:rsid w:val="008D1A93"/>
    <w:rsid w:val="008D1A9D"/>
    <w:rsid w:val="008D1AA2"/>
    <w:rsid w:val="008D1B19"/>
    <w:rsid w:val="008D1B8F"/>
    <w:rsid w:val="008D1BAA"/>
    <w:rsid w:val="008D1BB0"/>
    <w:rsid w:val="008D1C40"/>
    <w:rsid w:val="008D1C96"/>
    <w:rsid w:val="008D1CB1"/>
    <w:rsid w:val="008D1CF3"/>
    <w:rsid w:val="008D1D8E"/>
    <w:rsid w:val="008D1D9B"/>
    <w:rsid w:val="008D1DD3"/>
    <w:rsid w:val="008D1DDF"/>
    <w:rsid w:val="008D1E05"/>
    <w:rsid w:val="008D1E76"/>
    <w:rsid w:val="008D1EA6"/>
    <w:rsid w:val="008D1ED4"/>
    <w:rsid w:val="008D1F09"/>
    <w:rsid w:val="008D1F1C"/>
    <w:rsid w:val="008D1F3C"/>
    <w:rsid w:val="008D1FBF"/>
    <w:rsid w:val="008D1FCB"/>
    <w:rsid w:val="008D1FD4"/>
    <w:rsid w:val="008D1FD6"/>
    <w:rsid w:val="008D1FFE"/>
    <w:rsid w:val="008D2004"/>
    <w:rsid w:val="008D203C"/>
    <w:rsid w:val="008D2078"/>
    <w:rsid w:val="008D2079"/>
    <w:rsid w:val="008D20A7"/>
    <w:rsid w:val="008D20FD"/>
    <w:rsid w:val="008D2104"/>
    <w:rsid w:val="008D2109"/>
    <w:rsid w:val="008D219B"/>
    <w:rsid w:val="008D21DF"/>
    <w:rsid w:val="008D2210"/>
    <w:rsid w:val="008D2240"/>
    <w:rsid w:val="008D225B"/>
    <w:rsid w:val="008D2260"/>
    <w:rsid w:val="008D22F0"/>
    <w:rsid w:val="008D233C"/>
    <w:rsid w:val="008D237D"/>
    <w:rsid w:val="008D2393"/>
    <w:rsid w:val="008D23F5"/>
    <w:rsid w:val="008D24B1"/>
    <w:rsid w:val="008D24F9"/>
    <w:rsid w:val="008D255E"/>
    <w:rsid w:val="008D2563"/>
    <w:rsid w:val="008D2571"/>
    <w:rsid w:val="008D25B5"/>
    <w:rsid w:val="008D260C"/>
    <w:rsid w:val="008D262F"/>
    <w:rsid w:val="008D2645"/>
    <w:rsid w:val="008D26AA"/>
    <w:rsid w:val="008D26BB"/>
    <w:rsid w:val="008D26D8"/>
    <w:rsid w:val="008D26EB"/>
    <w:rsid w:val="008D27C2"/>
    <w:rsid w:val="008D27E4"/>
    <w:rsid w:val="008D282F"/>
    <w:rsid w:val="008D2877"/>
    <w:rsid w:val="008D2891"/>
    <w:rsid w:val="008D28D0"/>
    <w:rsid w:val="008D2955"/>
    <w:rsid w:val="008D2979"/>
    <w:rsid w:val="008D2A16"/>
    <w:rsid w:val="008D2A1A"/>
    <w:rsid w:val="008D2A38"/>
    <w:rsid w:val="008D2B31"/>
    <w:rsid w:val="008D2B4C"/>
    <w:rsid w:val="008D2B51"/>
    <w:rsid w:val="008D2B5A"/>
    <w:rsid w:val="008D2BA5"/>
    <w:rsid w:val="008D2BD1"/>
    <w:rsid w:val="008D2BD8"/>
    <w:rsid w:val="008D2BDA"/>
    <w:rsid w:val="008D2BEC"/>
    <w:rsid w:val="008D2C59"/>
    <w:rsid w:val="008D2C81"/>
    <w:rsid w:val="008D2CAD"/>
    <w:rsid w:val="008D2CD5"/>
    <w:rsid w:val="008D2CE9"/>
    <w:rsid w:val="008D2D3E"/>
    <w:rsid w:val="008D2DC0"/>
    <w:rsid w:val="008D2DD3"/>
    <w:rsid w:val="008D2E14"/>
    <w:rsid w:val="008D2E7D"/>
    <w:rsid w:val="008D2EA4"/>
    <w:rsid w:val="008D2ECF"/>
    <w:rsid w:val="008D2F52"/>
    <w:rsid w:val="008D2FB9"/>
    <w:rsid w:val="008D2FBB"/>
    <w:rsid w:val="008D2FDA"/>
    <w:rsid w:val="008D3019"/>
    <w:rsid w:val="008D3025"/>
    <w:rsid w:val="008D3049"/>
    <w:rsid w:val="008D3062"/>
    <w:rsid w:val="008D3082"/>
    <w:rsid w:val="008D30A9"/>
    <w:rsid w:val="008D30DA"/>
    <w:rsid w:val="008D316D"/>
    <w:rsid w:val="008D317B"/>
    <w:rsid w:val="008D318A"/>
    <w:rsid w:val="008D321C"/>
    <w:rsid w:val="008D3304"/>
    <w:rsid w:val="008D330B"/>
    <w:rsid w:val="008D332D"/>
    <w:rsid w:val="008D332F"/>
    <w:rsid w:val="008D3356"/>
    <w:rsid w:val="008D335D"/>
    <w:rsid w:val="008D3370"/>
    <w:rsid w:val="008D339F"/>
    <w:rsid w:val="008D33CD"/>
    <w:rsid w:val="008D3477"/>
    <w:rsid w:val="008D3482"/>
    <w:rsid w:val="008D35C3"/>
    <w:rsid w:val="008D3700"/>
    <w:rsid w:val="008D3747"/>
    <w:rsid w:val="008D375B"/>
    <w:rsid w:val="008D3785"/>
    <w:rsid w:val="008D3800"/>
    <w:rsid w:val="008D3812"/>
    <w:rsid w:val="008D389C"/>
    <w:rsid w:val="008D393E"/>
    <w:rsid w:val="008D3945"/>
    <w:rsid w:val="008D39E9"/>
    <w:rsid w:val="008D3A09"/>
    <w:rsid w:val="008D3A95"/>
    <w:rsid w:val="008D3AD6"/>
    <w:rsid w:val="008D3B6D"/>
    <w:rsid w:val="008D3B86"/>
    <w:rsid w:val="008D3B9C"/>
    <w:rsid w:val="008D3BBC"/>
    <w:rsid w:val="008D3BC6"/>
    <w:rsid w:val="008D3C13"/>
    <w:rsid w:val="008D3C91"/>
    <w:rsid w:val="008D3C95"/>
    <w:rsid w:val="008D3CC3"/>
    <w:rsid w:val="008D3D5A"/>
    <w:rsid w:val="008D3D67"/>
    <w:rsid w:val="008D3D79"/>
    <w:rsid w:val="008D3D86"/>
    <w:rsid w:val="008D3DAE"/>
    <w:rsid w:val="008D3DE2"/>
    <w:rsid w:val="008D3F47"/>
    <w:rsid w:val="008D3F62"/>
    <w:rsid w:val="008D3F8F"/>
    <w:rsid w:val="008D4000"/>
    <w:rsid w:val="008D401A"/>
    <w:rsid w:val="008D4041"/>
    <w:rsid w:val="008D4061"/>
    <w:rsid w:val="008D406C"/>
    <w:rsid w:val="008D40DF"/>
    <w:rsid w:val="008D40EC"/>
    <w:rsid w:val="008D412E"/>
    <w:rsid w:val="008D4156"/>
    <w:rsid w:val="008D416A"/>
    <w:rsid w:val="008D4175"/>
    <w:rsid w:val="008D41F6"/>
    <w:rsid w:val="008D4201"/>
    <w:rsid w:val="008D422C"/>
    <w:rsid w:val="008D426A"/>
    <w:rsid w:val="008D4275"/>
    <w:rsid w:val="008D42CD"/>
    <w:rsid w:val="008D42E7"/>
    <w:rsid w:val="008D42F1"/>
    <w:rsid w:val="008D4381"/>
    <w:rsid w:val="008D43D4"/>
    <w:rsid w:val="008D43E6"/>
    <w:rsid w:val="008D43F3"/>
    <w:rsid w:val="008D43F8"/>
    <w:rsid w:val="008D4520"/>
    <w:rsid w:val="008D4534"/>
    <w:rsid w:val="008D4576"/>
    <w:rsid w:val="008D46B2"/>
    <w:rsid w:val="008D46D5"/>
    <w:rsid w:val="008D46D9"/>
    <w:rsid w:val="008D473E"/>
    <w:rsid w:val="008D4746"/>
    <w:rsid w:val="008D4765"/>
    <w:rsid w:val="008D4813"/>
    <w:rsid w:val="008D48BD"/>
    <w:rsid w:val="008D48C7"/>
    <w:rsid w:val="008D497D"/>
    <w:rsid w:val="008D4A20"/>
    <w:rsid w:val="008D4A61"/>
    <w:rsid w:val="008D4A88"/>
    <w:rsid w:val="008D4ABD"/>
    <w:rsid w:val="008D4B4B"/>
    <w:rsid w:val="008D4B87"/>
    <w:rsid w:val="008D4BA0"/>
    <w:rsid w:val="008D4BA5"/>
    <w:rsid w:val="008D4BB2"/>
    <w:rsid w:val="008D4C80"/>
    <w:rsid w:val="008D4C99"/>
    <w:rsid w:val="008D4CB8"/>
    <w:rsid w:val="008D4CB9"/>
    <w:rsid w:val="008D4CE8"/>
    <w:rsid w:val="008D4D6B"/>
    <w:rsid w:val="008D4DCC"/>
    <w:rsid w:val="008D4E76"/>
    <w:rsid w:val="008D4E9C"/>
    <w:rsid w:val="008D4EA1"/>
    <w:rsid w:val="008D4ECA"/>
    <w:rsid w:val="008D4EF3"/>
    <w:rsid w:val="008D4F31"/>
    <w:rsid w:val="008D4FCD"/>
    <w:rsid w:val="008D500A"/>
    <w:rsid w:val="008D5016"/>
    <w:rsid w:val="008D5061"/>
    <w:rsid w:val="008D513A"/>
    <w:rsid w:val="008D516F"/>
    <w:rsid w:val="008D517C"/>
    <w:rsid w:val="008D51AC"/>
    <w:rsid w:val="008D51C4"/>
    <w:rsid w:val="008D5223"/>
    <w:rsid w:val="008D5230"/>
    <w:rsid w:val="008D525F"/>
    <w:rsid w:val="008D52F7"/>
    <w:rsid w:val="008D5385"/>
    <w:rsid w:val="008D539B"/>
    <w:rsid w:val="008D53BC"/>
    <w:rsid w:val="008D53DD"/>
    <w:rsid w:val="008D543B"/>
    <w:rsid w:val="008D548D"/>
    <w:rsid w:val="008D549E"/>
    <w:rsid w:val="008D54F8"/>
    <w:rsid w:val="008D559C"/>
    <w:rsid w:val="008D55E1"/>
    <w:rsid w:val="008D55FB"/>
    <w:rsid w:val="008D5621"/>
    <w:rsid w:val="008D563E"/>
    <w:rsid w:val="008D5670"/>
    <w:rsid w:val="008D56BB"/>
    <w:rsid w:val="008D56C7"/>
    <w:rsid w:val="008D56CA"/>
    <w:rsid w:val="008D5777"/>
    <w:rsid w:val="008D5840"/>
    <w:rsid w:val="008D5848"/>
    <w:rsid w:val="008D587B"/>
    <w:rsid w:val="008D5885"/>
    <w:rsid w:val="008D5952"/>
    <w:rsid w:val="008D5A08"/>
    <w:rsid w:val="008D5A22"/>
    <w:rsid w:val="008D5AAE"/>
    <w:rsid w:val="008D5AB0"/>
    <w:rsid w:val="008D5AB1"/>
    <w:rsid w:val="008D5AB4"/>
    <w:rsid w:val="008D5B11"/>
    <w:rsid w:val="008D5B30"/>
    <w:rsid w:val="008D5B3F"/>
    <w:rsid w:val="008D5BD9"/>
    <w:rsid w:val="008D5C03"/>
    <w:rsid w:val="008D5C36"/>
    <w:rsid w:val="008D5C4F"/>
    <w:rsid w:val="008D5C60"/>
    <w:rsid w:val="008D5C72"/>
    <w:rsid w:val="008D5C75"/>
    <w:rsid w:val="008D5CA2"/>
    <w:rsid w:val="008D5CB7"/>
    <w:rsid w:val="008D5CC0"/>
    <w:rsid w:val="008D5DA7"/>
    <w:rsid w:val="008D5DAC"/>
    <w:rsid w:val="008D5DF0"/>
    <w:rsid w:val="008D5E05"/>
    <w:rsid w:val="008D5E79"/>
    <w:rsid w:val="008D5E9F"/>
    <w:rsid w:val="008D5EC0"/>
    <w:rsid w:val="008D5EE6"/>
    <w:rsid w:val="008D5F79"/>
    <w:rsid w:val="008D5FBC"/>
    <w:rsid w:val="008D5FF4"/>
    <w:rsid w:val="008D600D"/>
    <w:rsid w:val="008D6035"/>
    <w:rsid w:val="008D6077"/>
    <w:rsid w:val="008D6096"/>
    <w:rsid w:val="008D60AC"/>
    <w:rsid w:val="008D60CF"/>
    <w:rsid w:val="008D60ED"/>
    <w:rsid w:val="008D60F1"/>
    <w:rsid w:val="008D6101"/>
    <w:rsid w:val="008D619E"/>
    <w:rsid w:val="008D61C7"/>
    <w:rsid w:val="008D62C9"/>
    <w:rsid w:val="008D6300"/>
    <w:rsid w:val="008D6308"/>
    <w:rsid w:val="008D630C"/>
    <w:rsid w:val="008D6356"/>
    <w:rsid w:val="008D63C0"/>
    <w:rsid w:val="008D63DF"/>
    <w:rsid w:val="008D63F6"/>
    <w:rsid w:val="008D642C"/>
    <w:rsid w:val="008D6464"/>
    <w:rsid w:val="008D6473"/>
    <w:rsid w:val="008D64C5"/>
    <w:rsid w:val="008D64F5"/>
    <w:rsid w:val="008D6519"/>
    <w:rsid w:val="008D653A"/>
    <w:rsid w:val="008D6543"/>
    <w:rsid w:val="008D656B"/>
    <w:rsid w:val="008D65D3"/>
    <w:rsid w:val="008D6647"/>
    <w:rsid w:val="008D6689"/>
    <w:rsid w:val="008D6691"/>
    <w:rsid w:val="008D66EB"/>
    <w:rsid w:val="008D670F"/>
    <w:rsid w:val="008D672B"/>
    <w:rsid w:val="008D6732"/>
    <w:rsid w:val="008D678C"/>
    <w:rsid w:val="008D679C"/>
    <w:rsid w:val="008D67B7"/>
    <w:rsid w:val="008D67B8"/>
    <w:rsid w:val="008D67D6"/>
    <w:rsid w:val="008D683A"/>
    <w:rsid w:val="008D68E7"/>
    <w:rsid w:val="008D690C"/>
    <w:rsid w:val="008D6959"/>
    <w:rsid w:val="008D6960"/>
    <w:rsid w:val="008D6990"/>
    <w:rsid w:val="008D6991"/>
    <w:rsid w:val="008D69CE"/>
    <w:rsid w:val="008D69EC"/>
    <w:rsid w:val="008D6A88"/>
    <w:rsid w:val="008D6AD5"/>
    <w:rsid w:val="008D6B1A"/>
    <w:rsid w:val="008D6B69"/>
    <w:rsid w:val="008D6BC2"/>
    <w:rsid w:val="008D6C50"/>
    <w:rsid w:val="008D6C77"/>
    <w:rsid w:val="008D6C7B"/>
    <w:rsid w:val="008D6CE7"/>
    <w:rsid w:val="008D6D61"/>
    <w:rsid w:val="008D6DB9"/>
    <w:rsid w:val="008D6DCD"/>
    <w:rsid w:val="008D6DDD"/>
    <w:rsid w:val="008D6E0D"/>
    <w:rsid w:val="008D6E2E"/>
    <w:rsid w:val="008D6E30"/>
    <w:rsid w:val="008D6F2A"/>
    <w:rsid w:val="008D6F3A"/>
    <w:rsid w:val="008D6F43"/>
    <w:rsid w:val="008D6F77"/>
    <w:rsid w:val="008D6F89"/>
    <w:rsid w:val="008D6FD0"/>
    <w:rsid w:val="008D6FE0"/>
    <w:rsid w:val="008D6FE7"/>
    <w:rsid w:val="008D7002"/>
    <w:rsid w:val="008D700B"/>
    <w:rsid w:val="008D707F"/>
    <w:rsid w:val="008D70BE"/>
    <w:rsid w:val="008D7170"/>
    <w:rsid w:val="008D7207"/>
    <w:rsid w:val="008D722A"/>
    <w:rsid w:val="008D729D"/>
    <w:rsid w:val="008D72B3"/>
    <w:rsid w:val="008D738A"/>
    <w:rsid w:val="008D73A4"/>
    <w:rsid w:val="008D73D5"/>
    <w:rsid w:val="008D73F7"/>
    <w:rsid w:val="008D7483"/>
    <w:rsid w:val="008D7493"/>
    <w:rsid w:val="008D74B8"/>
    <w:rsid w:val="008D7517"/>
    <w:rsid w:val="008D754B"/>
    <w:rsid w:val="008D755A"/>
    <w:rsid w:val="008D75DD"/>
    <w:rsid w:val="008D7614"/>
    <w:rsid w:val="008D763E"/>
    <w:rsid w:val="008D7696"/>
    <w:rsid w:val="008D76A2"/>
    <w:rsid w:val="008D7738"/>
    <w:rsid w:val="008D77DB"/>
    <w:rsid w:val="008D77E3"/>
    <w:rsid w:val="008D78EA"/>
    <w:rsid w:val="008D7915"/>
    <w:rsid w:val="008D793D"/>
    <w:rsid w:val="008D7958"/>
    <w:rsid w:val="008D7975"/>
    <w:rsid w:val="008D7A2F"/>
    <w:rsid w:val="008D7A40"/>
    <w:rsid w:val="008D7B2C"/>
    <w:rsid w:val="008D7B36"/>
    <w:rsid w:val="008D7BCE"/>
    <w:rsid w:val="008D7C34"/>
    <w:rsid w:val="008D7C3B"/>
    <w:rsid w:val="008D7C4D"/>
    <w:rsid w:val="008D7C76"/>
    <w:rsid w:val="008D7C90"/>
    <w:rsid w:val="008D7D2F"/>
    <w:rsid w:val="008D7D6C"/>
    <w:rsid w:val="008D7D76"/>
    <w:rsid w:val="008D7D9E"/>
    <w:rsid w:val="008D7DEB"/>
    <w:rsid w:val="008D7E4F"/>
    <w:rsid w:val="008D7E7D"/>
    <w:rsid w:val="008D7E8B"/>
    <w:rsid w:val="008D7E9D"/>
    <w:rsid w:val="008D7EFE"/>
    <w:rsid w:val="008D7F06"/>
    <w:rsid w:val="008D7F45"/>
    <w:rsid w:val="008D7FCB"/>
    <w:rsid w:val="008D7FD2"/>
    <w:rsid w:val="008E0007"/>
    <w:rsid w:val="008E009F"/>
    <w:rsid w:val="008E00B4"/>
    <w:rsid w:val="008E010B"/>
    <w:rsid w:val="008E0119"/>
    <w:rsid w:val="008E014B"/>
    <w:rsid w:val="008E018E"/>
    <w:rsid w:val="008E01AD"/>
    <w:rsid w:val="008E0208"/>
    <w:rsid w:val="008E0238"/>
    <w:rsid w:val="008E0285"/>
    <w:rsid w:val="008E028E"/>
    <w:rsid w:val="008E029E"/>
    <w:rsid w:val="008E02D8"/>
    <w:rsid w:val="008E02E4"/>
    <w:rsid w:val="008E02EE"/>
    <w:rsid w:val="008E0372"/>
    <w:rsid w:val="008E03E0"/>
    <w:rsid w:val="008E0514"/>
    <w:rsid w:val="008E055E"/>
    <w:rsid w:val="008E05A5"/>
    <w:rsid w:val="008E05BD"/>
    <w:rsid w:val="008E0644"/>
    <w:rsid w:val="008E065C"/>
    <w:rsid w:val="008E0687"/>
    <w:rsid w:val="008E06A4"/>
    <w:rsid w:val="008E071F"/>
    <w:rsid w:val="008E0746"/>
    <w:rsid w:val="008E0757"/>
    <w:rsid w:val="008E07D7"/>
    <w:rsid w:val="008E07D9"/>
    <w:rsid w:val="008E0821"/>
    <w:rsid w:val="008E082C"/>
    <w:rsid w:val="008E08C3"/>
    <w:rsid w:val="008E08FE"/>
    <w:rsid w:val="008E090B"/>
    <w:rsid w:val="008E09C6"/>
    <w:rsid w:val="008E0A19"/>
    <w:rsid w:val="008E0A1C"/>
    <w:rsid w:val="008E0A32"/>
    <w:rsid w:val="008E0A7E"/>
    <w:rsid w:val="008E0AB9"/>
    <w:rsid w:val="008E0AC1"/>
    <w:rsid w:val="008E0AE3"/>
    <w:rsid w:val="008E0B25"/>
    <w:rsid w:val="008E0B39"/>
    <w:rsid w:val="008E0B85"/>
    <w:rsid w:val="008E0B89"/>
    <w:rsid w:val="008E0BD1"/>
    <w:rsid w:val="008E0C4D"/>
    <w:rsid w:val="008E0C7C"/>
    <w:rsid w:val="008E0CCB"/>
    <w:rsid w:val="008E0CD8"/>
    <w:rsid w:val="008E0D0B"/>
    <w:rsid w:val="008E0D14"/>
    <w:rsid w:val="008E0E29"/>
    <w:rsid w:val="008E0E50"/>
    <w:rsid w:val="008E0E58"/>
    <w:rsid w:val="008E0E72"/>
    <w:rsid w:val="008E0E9A"/>
    <w:rsid w:val="008E0EAD"/>
    <w:rsid w:val="008E0ED3"/>
    <w:rsid w:val="008E0EF5"/>
    <w:rsid w:val="008E0FC9"/>
    <w:rsid w:val="008E0FED"/>
    <w:rsid w:val="008E1020"/>
    <w:rsid w:val="008E1059"/>
    <w:rsid w:val="008E108D"/>
    <w:rsid w:val="008E1099"/>
    <w:rsid w:val="008E10D9"/>
    <w:rsid w:val="008E10E7"/>
    <w:rsid w:val="008E10FB"/>
    <w:rsid w:val="008E10FE"/>
    <w:rsid w:val="008E1126"/>
    <w:rsid w:val="008E1141"/>
    <w:rsid w:val="008E11C1"/>
    <w:rsid w:val="008E121E"/>
    <w:rsid w:val="008E1264"/>
    <w:rsid w:val="008E145A"/>
    <w:rsid w:val="008E1466"/>
    <w:rsid w:val="008E14FA"/>
    <w:rsid w:val="008E1512"/>
    <w:rsid w:val="008E16DC"/>
    <w:rsid w:val="008E1720"/>
    <w:rsid w:val="008E177C"/>
    <w:rsid w:val="008E17BA"/>
    <w:rsid w:val="008E17F6"/>
    <w:rsid w:val="008E1825"/>
    <w:rsid w:val="008E18F7"/>
    <w:rsid w:val="008E1964"/>
    <w:rsid w:val="008E198B"/>
    <w:rsid w:val="008E1992"/>
    <w:rsid w:val="008E1993"/>
    <w:rsid w:val="008E19A2"/>
    <w:rsid w:val="008E19B0"/>
    <w:rsid w:val="008E1A1D"/>
    <w:rsid w:val="008E1AE2"/>
    <w:rsid w:val="008E1B56"/>
    <w:rsid w:val="008E1B7A"/>
    <w:rsid w:val="008E1C03"/>
    <w:rsid w:val="008E1C5A"/>
    <w:rsid w:val="008E1C72"/>
    <w:rsid w:val="008E1C84"/>
    <w:rsid w:val="008E1D37"/>
    <w:rsid w:val="008E1DBD"/>
    <w:rsid w:val="008E1E1A"/>
    <w:rsid w:val="008E1E35"/>
    <w:rsid w:val="008E1E4B"/>
    <w:rsid w:val="008E1E55"/>
    <w:rsid w:val="008E1E8E"/>
    <w:rsid w:val="008E1EA6"/>
    <w:rsid w:val="008E1ED6"/>
    <w:rsid w:val="008E1EE4"/>
    <w:rsid w:val="008E1EFD"/>
    <w:rsid w:val="008E1F4D"/>
    <w:rsid w:val="008E1F5B"/>
    <w:rsid w:val="008E1FB5"/>
    <w:rsid w:val="008E2015"/>
    <w:rsid w:val="008E203D"/>
    <w:rsid w:val="008E205C"/>
    <w:rsid w:val="008E20EA"/>
    <w:rsid w:val="008E2145"/>
    <w:rsid w:val="008E2150"/>
    <w:rsid w:val="008E22A8"/>
    <w:rsid w:val="008E22B4"/>
    <w:rsid w:val="008E22C0"/>
    <w:rsid w:val="008E22C9"/>
    <w:rsid w:val="008E22DA"/>
    <w:rsid w:val="008E2326"/>
    <w:rsid w:val="008E2349"/>
    <w:rsid w:val="008E2370"/>
    <w:rsid w:val="008E23B1"/>
    <w:rsid w:val="008E23EC"/>
    <w:rsid w:val="008E23F3"/>
    <w:rsid w:val="008E23FF"/>
    <w:rsid w:val="008E24D2"/>
    <w:rsid w:val="008E24DA"/>
    <w:rsid w:val="008E253F"/>
    <w:rsid w:val="008E2562"/>
    <w:rsid w:val="008E256F"/>
    <w:rsid w:val="008E2575"/>
    <w:rsid w:val="008E261B"/>
    <w:rsid w:val="008E2636"/>
    <w:rsid w:val="008E2665"/>
    <w:rsid w:val="008E26CC"/>
    <w:rsid w:val="008E26D6"/>
    <w:rsid w:val="008E270F"/>
    <w:rsid w:val="008E276A"/>
    <w:rsid w:val="008E2777"/>
    <w:rsid w:val="008E280E"/>
    <w:rsid w:val="008E2844"/>
    <w:rsid w:val="008E288F"/>
    <w:rsid w:val="008E28A3"/>
    <w:rsid w:val="008E28EC"/>
    <w:rsid w:val="008E293B"/>
    <w:rsid w:val="008E2965"/>
    <w:rsid w:val="008E298D"/>
    <w:rsid w:val="008E29CE"/>
    <w:rsid w:val="008E29FD"/>
    <w:rsid w:val="008E2A33"/>
    <w:rsid w:val="008E2A98"/>
    <w:rsid w:val="008E2B40"/>
    <w:rsid w:val="008E2BA7"/>
    <w:rsid w:val="008E2BEE"/>
    <w:rsid w:val="008E2C1C"/>
    <w:rsid w:val="008E2C2D"/>
    <w:rsid w:val="008E2CAD"/>
    <w:rsid w:val="008E2CE6"/>
    <w:rsid w:val="008E2E93"/>
    <w:rsid w:val="008E2EC7"/>
    <w:rsid w:val="008E2F07"/>
    <w:rsid w:val="008E2FA6"/>
    <w:rsid w:val="008E3174"/>
    <w:rsid w:val="008E317D"/>
    <w:rsid w:val="008E31A3"/>
    <w:rsid w:val="008E31AC"/>
    <w:rsid w:val="008E3211"/>
    <w:rsid w:val="008E3250"/>
    <w:rsid w:val="008E3267"/>
    <w:rsid w:val="008E329C"/>
    <w:rsid w:val="008E32F1"/>
    <w:rsid w:val="008E3313"/>
    <w:rsid w:val="008E3316"/>
    <w:rsid w:val="008E331F"/>
    <w:rsid w:val="008E3418"/>
    <w:rsid w:val="008E346C"/>
    <w:rsid w:val="008E34A7"/>
    <w:rsid w:val="008E34F4"/>
    <w:rsid w:val="008E34F8"/>
    <w:rsid w:val="008E34FE"/>
    <w:rsid w:val="008E352E"/>
    <w:rsid w:val="008E35D5"/>
    <w:rsid w:val="008E3667"/>
    <w:rsid w:val="008E3671"/>
    <w:rsid w:val="008E36C3"/>
    <w:rsid w:val="008E36F9"/>
    <w:rsid w:val="008E3728"/>
    <w:rsid w:val="008E37B2"/>
    <w:rsid w:val="008E37E2"/>
    <w:rsid w:val="008E381C"/>
    <w:rsid w:val="008E3829"/>
    <w:rsid w:val="008E382F"/>
    <w:rsid w:val="008E383E"/>
    <w:rsid w:val="008E3858"/>
    <w:rsid w:val="008E389A"/>
    <w:rsid w:val="008E3913"/>
    <w:rsid w:val="008E3914"/>
    <w:rsid w:val="008E393E"/>
    <w:rsid w:val="008E3983"/>
    <w:rsid w:val="008E398E"/>
    <w:rsid w:val="008E39DB"/>
    <w:rsid w:val="008E3A0B"/>
    <w:rsid w:val="008E3A66"/>
    <w:rsid w:val="008E3A6B"/>
    <w:rsid w:val="008E3A8F"/>
    <w:rsid w:val="008E3AFC"/>
    <w:rsid w:val="008E3B28"/>
    <w:rsid w:val="008E3B50"/>
    <w:rsid w:val="008E3B57"/>
    <w:rsid w:val="008E3BBF"/>
    <w:rsid w:val="008E3BC8"/>
    <w:rsid w:val="008E3C25"/>
    <w:rsid w:val="008E3CBF"/>
    <w:rsid w:val="008E3CDB"/>
    <w:rsid w:val="008E3D15"/>
    <w:rsid w:val="008E3D2A"/>
    <w:rsid w:val="008E3D48"/>
    <w:rsid w:val="008E3D62"/>
    <w:rsid w:val="008E3D73"/>
    <w:rsid w:val="008E3DC6"/>
    <w:rsid w:val="008E3E0A"/>
    <w:rsid w:val="008E3E1B"/>
    <w:rsid w:val="008E3E47"/>
    <w:rsid w:val="008E3ED9"/>
    <w:rsid w:val="008E3F3F"/>
    <w:rsid w:val="008E4068"/>
    <w:rsid w:val="008E4136"/>
    <w:rsid w:val="008E413A"/>
    <w:rsid w:val="008E41FD"/>
    <w:rsid w:val="008E4214"/>
    <w:rsid w:val="008E4227"/>
    <w:rsid w:val="008E4288"/>
    <w:rsid w:val="008E42B6"/>
    <w:rsid w:val="008E42C2"/>
    <w:rsid w:val="008E42E2"/>
    <w:rsid w:val="008E432F"/>
    <w:rsid w:val="008E4344"/>
    <w:rsid w:val="008E4349"/>
    <w:rsid w:val="008E4371"/>
    <w:rsid w:val="008E43A1"/>
    <w:rsid w:val="008E43D3"/>
    <w:rsid w:val="008E43EB"/>
    <w:rsid w:val="008E4477"/>
    <w:rsid w:val="008E4485"/>
    <w:rsid w:val="008E4491"/>
    <w:rsid w:val="008E4540"/>
    <w:rsid w:val="008E4549"/>
    <w:rsid w:val="008E45E5"/>
    <w:rsid w:val="008E462C"/>
    <w:rsid w:val="008E4690"/>
    <w:rsid w:val="008E46DE"/>
    <w:rsid w:val="008E46FD"/>
    <w:rsid w:val="008E47FA"/>
    <w:rsid w:val="008E480B"/>
    <w:rsid w:val="008E4830"/>
    <w:rsid w:val="008E4883"/>
    <w:rsid w:val="008E489D"/>
    <w:rsid w:val="008E48A0"/>
    <w:rsid w:val="008E4907"/>
    <w:rsid w:val="008E4915"/>
    <w:rsid w:val="008E492B"/>
    <w:rsid w:val="008E493E"/>
    <w:rsid w:val="008E4972"/>
    <w:rsid w:val="008E4981"/>
    <w:rsid w:val="008E49D4"/>
    <w:rsid w:val="008E4A62"/>
    <w:rsid w:val="008E4ABC"/>
    <w:rsid w:val="008E4B56"/>
    <w:rsid w:val="008E4B9E"/>
    <w:rsid w:val="008E4BBB"/>
    <w:rsid w:val="008E4CA3"/>
    <w:rsid w:val="008E4CB8"/>
    <w:rsid w:val="008E4CD0"/>
    <w:rsid w:val="008E4D1B"/>
    <w:rsid w:val="008E4D48"/>
    <w:rsid w:val="008E4D53"/>
    <w:rsid w:val="008E4DC1"/>
    <w:rsid w:val="008E4E14"/>
    <w:rsid w:val="008E4E46"/>
    <w:rsid w:val="008E4E7D"/>
    <w:rsid w:val="008E4ED2"/>
    <w:rsid w:val="008E4F0E"/>
    <w:rsid w:val="008E4F66"/>
    <w:rsid w:val="008E4F95"/>
    <w:rsid w:val="008E500A"/>
    <w:rsid w:val="008E5078"/>
    <w:rsid w:val="008E50C3"/>
    <w:rsid w:val="008E50CC"/>
    <w:rsid w:val="008E51EF"/>
    <w:rsid w:val="008E5214"/>
    <w:rsid w:val="008E5228"/>
    <w:rsid w:val="008E5263"/>
    <w:rsid w:val="008E5295"/>
    <w:rsid w:val="008E54DC"/>
    <w:rsid w:val="008E5593"/>
    <w:rsid w:val="008E559D"/>
    <w:rsid w:val="008E55A1"/>
    <w:rsid w:val="008E565B"/>
    <w:rsid w:val="008E5771"/>
    <w:rsid w:val="008E57AE"/>
    <w:rsid w:val="008E57D2"/>
    <w:rsid w:val="008E5836"/>
    <w:rsid w:val="008E585F"/>
    <w:rsid w:val="008E58CB"/>
    <w:rsid w:val="008E58F9"/>
    <w:rsid w:val="008E59DE"/>
    <w:rsid w:val="008E5AB6"/>
    <w:rsid w:val="008E5B09"/>
    <w:rsid w:val="008E5B1A"/>
    <w:rsid w:val="008E5B4D"/>
    <w:rsid w:val="008E5B9C"/>
    <w:rsid w:val="008E5C43"/>
    <w:rsid w:val="008E5CBB"/>
    <w:rsid w:val="008E5CC2"/>
    <w:rsid w:val="008E5CD2"/>
    <w:rsid w:val="008E5CE4"/>
    <w:rsid w:val="008E5CE7"/>
    <w:rsid w:val="008E5D78"/>
    <w:rsid w:val="008E5D8B"/>
    <w:rsid w:val="008E5D94"/>
    <w:rsid w:val="008E5DCA"/>
    <w:rsid w:val="008E5E7E"/>
    <w:rsid w:val="008E5FAC"/>
    <w:rsid w:val="008E602F"/>
    <w:rsid w:val="008E60A9"/>
    <w:rsid w:val="008E60BE"/>
    <w:rsid w:val="008E60C3"/>
    <w:rsid w:val="008E60D5"/>
    <w:rsid w:val="008E610C"/>
    <w:rsid w:val="008E6137"/>
    <w:rsid w:val="008E615A"/>
    <w:rsid w:val="008E617E"/>
    <w:rsid w:val="008E6234"/>
    <w:rsid w:val="008E6286"/>
    <w:rsid w:val="008E6292"/>
    <w:rsid w:val="008E6308"/>
    <w:rsid w:val="008E632A"/>
    <w:rsid w:val="008E6391"/>
    <w:rsid w:val="008E63D5"/>
    <w:rsid w:val="008E6484"/>
    <w:rsid w:val="008E64A6"/>
    <w:rsid w:val="008E64E8"/>
    <w:rsid w:val="008E6508"/>
    <w:rsid w:val="008E6533"/>
    <w:rsid w:val="008E65E1"/>
    <w:rsid w:val="008E65E2"/>
    <w:rsid w:val="008E65E5"/>
    <w:rsid w:val="008E6614"/>
    <w:rsid w:val="008E665E"/>
    <w:rsid w:val="008E666E"/>
    <w:rsid w:val="008E668C"/>
    <w:rsid w:val="008E66B7"/>
    <w:rsid w:val="008E66BF"/>
    <w:rsid w:val="008E6709"/>
    <w:rsid w:val="008E6789"/>
    <w:rsid w:val="008E679A"/>
    <w:rsid w:val="008E67C0"/>
    <w:rsid w:val="008E67D3"/>
    <w:rsid w:val="008E67E6"/>
    <w:rsid w:val="008E6848"/>
    <w:rsid w:val="008E6868"/>
    <w:rsid w:val="008E6954"/>
    <w:rsid w:val="008E6A73"/>
    <w:rsid w:val="008E6A76"/>
    <w:rsid w:val="008E6A85"/>
    <w:rsid w:val="008E6BB7"/>
    <w:rsid w:val="008E6C1F"/>
    <w:rsid w:val="008E6C25"/>
    <w:rsid w:val="008E6C68"/>
    <w:rsid w:val="008E6CBF"/>
    <w:rsid w:val="008E6D26"/>
    <w:rsid w:val="008E6D33"/>
    <w:rsid w:val="008E6DD3"/>
    <w:rsid w:val="008E6E03"/>
    <w:rsid w:val="008E6E21"/>
    <w:rsid w:val="008E6E61"/>
    <w:rsid w:val="008E6E67"/>
    <w:rsid w:val="008E6E81"/>
    <w:rsid w:val="008E6F08"/>
    <w:rsid w:val="008E6FE7"/>
    <w:rsid w:val="008E6FEA"/>
    <w:rsid w:val="008E7030"/>
    <w:rsid w:val="008E709B"/>
    <w:rsid w:val="008E70CC"/>
    <w:rsid w:val="008E70E7"/>
    <w:rsid w:val="008E710A"/>
    <w:rsid w:val="008E7113"/>
    <w:rsid w:val="008E712C"/>
    <w:rsid w:val="008E716C"/>
    <w:rsid w:val="008E7198"/>
    <w:rsid w:val="008E723B"/>
    <w:rsid w:val="008E7271"/>
    <w:rsid w:val="008E72B0"/>
    <w:rsid w:val="008E72BB"/>
    <w:rsid w:val="008E72CF"/>
    <w:rsid w:val="008E7329"/>
    <w:rsid w:val="008E733A"/>
    <w:rsid w:val="008E7374"/>
    <w:rsid w:val="008E7427"/>
    <w:rsid w:val="008E7455"/>
    <w:rsid w:val="008E75D4"/>
    <w:rsid w:val="008E75D7"/>
    <w:rsid w:val="008E75F4"/>
    <w:rsid w:val="008E75FB"/>
    <w:rsid w:val="008E7657"/>
    <w:rsid w:val="008E7704"/>
    <w:rsid w:val="008E776A"/>
    <w:rsid w:val="008E7862"/>
    <w:rsid w:val="008E7869"/>
    <w:rsid w:val="008E7876"/>
    <w:rsid w:val="008E7927"/>
    <w:rsid w:val="008E793D"/>
    <w:rsid w:val="008E79A0"/>
    <w:rsid w:val="008E7A20"/>
    <w:rsid w:val="008E7AD8"/>
    <w:rsid w:val="008E7B1B"/>
    <w:rsid w:val="008E7B4E"/>
    <w:rsid w:val="008E7BB3"/>
    <w:rsid w:val="008E7BB5"/>
    <w:rsid w:val="008E7C1C"/>
    <w:rsid w:val="008E7CA3"/>
    <w:rsid w:val="008E7CCF"/>
    <w:rsid w:val="008E7CF0"/>
    <w:rsid w:val="008E7CF8"/>
    <w:rsid w:val="008E7D42"/>
    <w:rsid w:val="008E7D85"/>
    <w:rsid w:val="008E7D8A"/>
    <w:rsid w:val="008E7DE9"/>
    <w:rsid w:val="008E7E07"/>
    <w:rsid w:val="008E7E11"/>
    <w:rsid w:val="008E7EB8"/>
    <w:rsid w:val="008E7ED7"/>
    <w:rsid w:val="008E7F0F"/>
    <w:rsid w:val="008E7F63"/>
    <w:rsid w:val="008E7F8B"/>
    <w:rsid w:val="008E7FA0"/>
    <w:rsid w:val="008E7FA1"/>
    <w:rsid w:val="008ECFA3"/>
    <w:rsid w:val="008F0092"/>
    <w:rsid w:val="008F0142"/>
    <w:rsid w:val="008F014C"/>
    <w:rsid w:val="008F0175"/>
    <w:rsid w:val="008F01E2"/>
    <w:rsid w:val="008F022B"/>
    <w:rsid w:val="008F0246"/>
    <w:rsid w:val="008F0267"/>
    <w:rsid w:val="008F0269"/>
    <w:rsid w:val="008F0271"/>
    <w:rsid w:val="008F02A2"/>
    <w:rsid w:val="008F02BB"/>
    <w:rsid w:val="008F0374"/>
    <w:rsid w:val="008F038A"/>
    <w:rsid w:val="008F03BE"/>
    <w:rsid w:val="008F03E6"/>
    <w:rsid w:val="008F046D"/>
    <w:rsid w:val="008F0491"/>
    <w:rsid w:val="008F04D4"/>
    <w:rsid w:val="008F051E"/>
    <w:rsid w:val="008F0579"/>
    <w:rsid w:val="008F0585"/>
    <w:rsid w:val="008F05E8"/>
    <w:rsid w:val="008F0668"/>
    <w:rsid w:val="008F06BE"/>
    <w:rsid w:val="008F06D0"/>
    <w:rsid w:val="008F0718"/>
    <w:rsid w:val="008F0797"/>
    <w:rsid w:val="008F07C8"/>
    <w:rsid w:val="008F0817"/>
    <w:rsid w:val="008F083B"/>
    <w:rsid w:val="008F08C1"/>
    <w:rsid w:val="008F08ED"/>
    <w:rsid w:val="008F0903"/>
    <w:rsid w:val="008F0958"/>
    <w:rsid w:val="008F09A2"/>
    <w:rsid w:val="008F09A6"/>
    <w:rsid w:val="008F09DA"/>
    <w:rsid w:val="008F0A10"/>
    <w:rsid w:val="008F0A3B"/>
    <w:rsid w:val="008F0B27"/>
    <w:rsid w:val="008F0B95"/>
    <w:rsid w:val="008F0BB4"/>
    <w:rsid w:val="008F0C37"/>
    <w:rsid w:val="008F0C61"/>
    <w:rsid w:val="008F0C66"/>
    <w:rsid w:val="008F0CD1"/>
    <w:rsid w:val="008F0D35"/>
    <w:rsid w:val="008F0D5D"/>
    <w:rsid w:val="008F0D97"/>
    <w:rsid w:val="008F0D9C"/>
    <w:rsid w:val="008F0DC1"/>
    <w:rsid w:val="008F0E18"/>
    <w:rsid w:val="008F0E6E"/>
    <w:rsid w:val="008F0EE5"/>
    <w:rsid w:val="008F0F1E"/>
    <w:rsid w:val="008F0F20"/>
    <w:rsid w:val="008F0FEA"/>
    <w:rsid w:val="008F1005"/>
    <w:rsid w:val="008F100B"/>
    <w:rsid w:val="008F10A6"/>
    <w:rsid w:val="008F10AB"/>
    <w:rsid w:val="008F10AF"/>
    <w:rsid w:val="008F10B6"/>
    <w:rsid w:val="008F10BE"/>
    <w:rsid w:val="008F10C5"/>
    <w:rsid w:val="008F120D"/>
    <w:rsid w:val="008F128A"/>
    <w:rsid w:val="008F12B3"/>
    <w:rsid w:val="008F12D7"/>
    <w:rsid w:val="008F131A"/>
    <w:rsid w:val="008F1328"/>
    <w:rsid w:val="008F133C"/>
    <w:rsid w:val="008F13E6"/>
    <w:rsid w:val="008F148C"/>
    <w:rsid w:val="008F1492"/>
    <w:rsid w:val="008F14B1"/>
    <w:rsid w:val="008F14DB"/>
    <w:rsid w:val="008F14E3"/>
    <w:rsid w:val="008F1520"/>
    <w:rsid w:val="008F1533"/>
    <w:rsid w:val="008F16D3"/>
    <w:rsid w:val="008F1721"/>
    <w:rsid w:val="008F1771"/>
    <w:rsid w:val="008F1784"/>
    <w:rsid w:val="008F1798"/>
    <w:rsid w:val="008F17B6"/>
    <w:rsid w:val="008F1854"/>
    <w:rsid w:val="008F1865"/>
    <w:rsid w:val="008F18E7"/>
    <w:rsid w:val="008F1A18"/>
    <w:rsid w:val="008F1A57"/>
    <w:rsid w:val="008F1A5E"/>
    <w:rsid w:val="008F1A6C"/>
    <w:rsid w:val="008F1AAA"/>
    <w:rsid w:val="008F1AE7"/>
    <w:rsid w:val="008F1B22"/>
    <w:rsid w:val="008F1B27"/>
    <w:rsid w:val="008F1B34"/>
    <w:rsid w:val="008F1BB8"/>
    <w:rsid w:val="008F1BD0"/>
    <w:rsid w:val="008F1C37"/>
    <w:rsid w:val="008F1C41"/>
    <w:rsid w:val="008F1CA6"/>
    <w:rsid w:val="008F1CC2"/>
    <w:rsid w:val="008F1CCF"/>
    <w:rsid w:val="008F1D44"/>
    <w:rsid w:val="008F1D8D"/>
    <w:rsid w:val="008F1DA8"/>
    <w:rsid w:val="008F1DB4"/>
    <w:rsid w:val="008F1DD2"/>
    <w:rsid w:val="008F1E60"/>
    <w:rsid w:val="008F1EE4"/>
    <w:rsid w:val="008F1F46"/>
    <w:rsid w:val="008F1F5A"/>
    <w:rsid w:val="008F2112"/>
    <w:rsid w:val="008F2158"/>
    <w:rsid w:val="008F2199"/>
    <w:rsid w:val="008F2201"/>
    <w:rsid w:val="008F2206"/>
    <w:rsid w:val="008F2210"/>
    <w:rsid w:val="008F2246"/>
    <w:rsid w:val="008F226F"/>
    <w:rsid w:val="008F2286"/>
    <w:rsid w:val="008F229F"/>
    <w:rsid w:val="008F22CF"/>
    <w:rsid w:val="008F22E2"/>
    <w:rsid w:val="008F22EF"/>
    <w:rsid w:val="008F233B"/>
    <w:rsid w:val="008F2347"/>
    <w:rsid w:val="008F234E"/>
    <w:rsid w:val="008F236F"/>
    <w:rsid w:val="008F2399"/>
    <w:rsid w:val="008F23AC"/>
    <w:rsid w:val="008F23B0"/>
    <w:rsid w:val="008F23EB"/>
    <w:rsid w:val="008F255E"/>
    <w:rsid w:val="008F2581"/>
    <w:rsid w:val="008F25D6"/>
    <w:rsid w:val="008F260B"/>
    <w:rsid w:val="008F2624"/>
    <w:rsid w:val="008F26C5"/>
    <w:rsid w:val="008F2753"/>
    <w:rsid w:val="008F27A4"/>
    <w:rsid w:val="008F27C4"/>
    <w:rsid w:val="008F282A"/>
    <w:rsid w:val="008F282F"/>
    <w:rsid w:val="008F2865"/>
    <w:rsid w:val="008F28A3"/>
    <w:rsid w:val="008F28AF"/>
    <w:rsid w:val="008F28DF"/>
    <w:rsid w:val="008F291B"/>
    <w:rsid w:val="008F291D"/>
    <w:rsid w:val="008F2959"/>
    <w:rsid w:val="008F29C8"/>
    <w:rsid w:val="008F2A3A"/>
    <w:rsid w:val="008F2A7A"/>
    <w:rsid w:val="008F2AC9"/>
    <w:rsid w:val="008F2ADF"/>
    <w:rsid w:val="008F2B1D"/>
    <w:rsid w:val="008F2B9E"/>
    <w:rsid w:val="008F2BA6"/>
    <w:rsid w:val="008F2BCC"/>
    <w:rsid w:val="008F2BDE"/>
    <w:rsid w:val="008F2C0A"/>
    <w:rsid w:val="008F2CD5"/>
    <w:rsid w:val="008F2CF4"/>
    <w:rsid w:val="008F2D5F"/>
    <w:rsid w:val="008F2D88"/>
    <w:rsid w:val="008F2E5B"/>
    <w:rsid w:val="008F2E8B"/>
    <w:rsid w:val="008F2EA3"/>
    <w:rsid w:val="008F2EAE"/>
    <w:rsid w:val="008F2ECD"/>
    <w:rsid w:val="008F2EE8"/>
    <w:rsid w:val="008F2EEA"/>
    <w:rsid w:val="008F2EFC"/>
    <w:rsid w:val="008F2F3D"/>
    <w:rsid w:val="008F2F5C"/>
    <w:rsid w:val="008F2FBE"/>
    <w:rsid w:val="008F300B"/>
    <w:rsid w:val="008F308D"/>
    <w:rsid w:val="008F30BA"/>
    <w:rsid w:val="008F3181"/>
    <w:rsid w:val="008F31F7"/>
    <w:rsid w:val="008F32A9"/>
    <w:rsid w:val="008F32D1"/>
    <w:rsid w:val="008F3339"/>
    <w:rsid w:val="008F335D"/>
    <w:rsid w:val="008F3378"/>
    <w:rsid w:val="008F33E6"/>
    <w:rsid w:val="008F3400"/>
    <w:rsid w:val="008F3480"/>
    <w:rsid w:val="008F34DE"/>
    <w:rsid w:val="008F34F4"/>
    <w:rsid w:val="008F353A"/>
    <w:rsid w:val="008F356A"/>
    <w:rsid w:val="008F35A7"/>
    <w:rsid w:val="008F35B4"/>
    <w:rsid w:val="008F35EA"/>
    <w:rsid w:val="008F35EC"/>
    <w:rsid w:val="008F3613"/>
    <w:rsid w:val="008F3679"/>
    <w:rsid w:val="008F3771"/>
    <w:rsid w:val="008F3804"/>
    <w:rsid w:val="008F383A"/>
    <w:rsid w:val="008F386E"/>
    <w:rsid w:val="008F38D1"/>
    <w:rsid w:val="008F392C"/>
    <w:rsid w:val="008F3981"/>
    <w:rsid w:val="008F39AD"/>
    <w:rsid w:val="008F39D8"/>
    <w:rsid w:val="008F3A63"/>
    <w:rsid w:val="008F3AD4"/>
    <w:rsid w:val="008F3AF7"/>
    <w:rsid w:val="008F3B42"/>
    <w:rsid w:val="008F3B93"/>
    <w:rsid w:val="008F3BAB"/>
    <w:rsid w:val="008F3BD1"/>
    <w:rsid w:val="008F3BF6"/>
    <w:rsid w:val="008F3C34"/>
    <w:rsid w:val="008F3CBA"/>
    <w:rsid w:val="008F3CDE"/>
    <w:rsid w:val="008F3CFC"/>
    <w:rsid w:val="008F3D8C"/>
    <w:rsid w:val="008F3DED"/>
    <w:rsid w:val="008F3EF1"/>
    <w:rsid w:val="008F3F05"/>
    <w:rsid w:val="008F3F64"/>
    <w:rsid w:val="008F3FA6"/>
    <w:rsid w:val="008F4051"/>
    <w:rsid w:val="008F4067"/>
    <w:rsid w:val="008F4206"/>
    <w:rsid w:val="008F4255"/>
    <w:rsid w:val="008F4298"/>
    <w:rsid w:val="008F42A8"/>
    <w:rsid w:val="008F42F1"/>
    <w:rsid w:val="008F4392"/>
    <w:rsid w:val="008F4393"/>
    <w:rsid w:val="008F43E9"/>
    <w:rsid w:val="008F440F"/>
    <w:rsid w:val="008F4416"/>
    <w:rsid w:val="008F445E"/>
    <w:rsid w:val="008F4470"/>
    <w:rsid w:val="008F44BB"/>
    <w:rsid w:val="008F44BE"/>
    <w:rsid w:val="008F4532"/>
    <w:rsid w:val="008F4575"/>
    <w:rsid w:val="008F45A7"/>
    <w:rsid w:val="008F45BD"/>
    <w:rsid w:val="008F45CC"/>
    <w:rsid w:val="008F45E7"/>
    <w:rsid w:val="008F45F3"/>
    <w:rsid w:val="008F4600"/>
    <w:rsid w:val="008F4608"/>
    <w:rsid w:val="008F4714"/>
    <w:rsid w:val="008F4747"/>
    <w:rsid w:val="008F4753"/>
    <w:rsid w:val="008F4791"/>
    <w:rsid w:val="008F47E1"/>
    <w:rsid w:val="008F4857"/>
    <w:rsid w:val="008F4871"/>
    <w:rsid w:val="008F48A6"/>
    <w:rsid w:val="008F4929"/>
    <w:rsid w:val="008F49B4"/>
    <w:rsid w:val="008F49CB"/>
    <w:rsid w:val="008F4A1D"/>
    <w:rsid w:val="008F4A2A"/>
    <w:rsid w:val="008F4A74"/>
    <w:rsid w:val="008F4A7F"/>
    <w:rsid w:val="008F4AD1"/>
    <w:rsid w:val="008F4B50"/>
    <w:rsid w:val="008F4BC5"/>
    <w:rsid w:val="008F4BDC"/>
    <w:rsid w:val="008F4BFD"/>
    <w:rsid w:val="008F4C10"/>
    <w:rsid w:val="008F4CDF"/>
    <w:rsid w:val="008F4D0F"/>
    <w:rsid w:val="008F4DB5"/>
    <w:rsid w:val="008F4DE2"/>
    <w:rsid w:val="008F4E37"/>
    <w:rsid w:val="008F4E54"/>
    <w:rsid w:val="008F4EF7"/>
    <w:rsid w:val="008F4F4E"/>
    <w:rsid w:val="008F4F52"/>
    <w:rsid w:val="008F4F6A"/>
    <w:rsid w:val="008F4F6E"/>
    <w:rsid w:val="008F4F80"/>
    <w:rsid w:val="008F4FA7"/>
    <w:rsid w:val="008F5068"/>
    <w:rsid w:val="008F50B5"/>
    <w:rsid w:val="008F50D1"/>
    <w:rsid w:val="008F50EF"/>
    <w:rsid w:val="008F5107"/>
    <w:rsid w:val="008F510D"/>
    <w:rsid w:val="008F5116"/>
    <w:rsid w:val="008F511E"/>
    <w:rsid w:val="008F5124"/>
    <w:rsid w:val="008F5141"/>
    <w:rsid w:val="008F51CE"/>
    <w:rsid w:val="008F51E5"/>
    <w:rsid w:val="008F5247"/>
    <w:rsid w:val="008F5256"/>
    <w:rsid w:val="008F52D0"/>
    <w:rsid w:val="008F52EE"/>
    <w:rsid w:val="008F531D"/>
    <w:rsid w:val="008F534D"/>
    <w:rsid w:val="008F540E"/>
    <w:rsid w:val="008F547F"/>
    <w:rsid w:val="008F5493"/>
    <w:rsid w:val="008F5530"/>
    <w:rsid w:val="008F554C"/>
    <w:rsid w:val="008F5595"/>
    <w:rsid w:val="008F55A0"/>
    <w:rsid w:val="008F568B"/>
    <w:rsid w:val="008F5694"/>
    <w:rsid w:val="008F56B1"/>
    <w:rsid w:val="008F5729"/>
    <w:rsid w:val="008F572D"/>
    <w:rsid w:val="008F5748"/>
    <w:rsid w:val="008F57D0"/>
    <w:rsid w:val="008F584B"/>
    <w:rsid w:val="008F587A"/>
    <w:rsid w:val="008F592F"/>
    <w:rsid w:val="008F5951"/>
    <w:rsid w:val="008F5B9B"/>
    <w:rsid w:val="008F5BD3"/>
    <w:rsid w:val="008F5CBF"/>
    <w:rsid w:val="008F5E2A"/>
    <w:rsid w:val="008F5E71"/>
    <w:rsid w:val="008F5EA0"/>
    <w:rsid w:val="008F5EE9"/>
    <w:rsid w:val="008F5EEB"/>
    <w:rsid w:val="008F5EEC"/>
    <w:rsid w:val="008F5F19"/>
    <w:rsid w:val="008F5F58"/>
    <w:rsid w:val="008F5F90"/>
    <w:rsid w:val="008F6087"/>
    <w:rsid w:val="008F608D"/>
    <w:rsid w:val="008F6121"/>
    <w:rsid w:val="008F6141"/>
    <w:rsid w:val="008F6157"/>
    <w:rsid w:val="008F616F"/>
    <w:rsid w:val="008F6184"/>
    <w:rsid w:val="008F61A6"/>
    <w:rsid w:val="008F624F"/>
    <w:rsid w:val="008F62B0"/>
    <w:rsid w:val="008F62D6"/>
    <w:rsid w:val="008F6301"/>
    <w:rsid w:val="008F6367"/>
    <w:rsid w:val="008F638F"/>
    <w:rsid w:val="008F640C"/>
    <w:rsid w:val="008F647B"/>
    <w:rsid w:val="008F64B4"/>
    <w:rsid w:val="008F6540"/>
    <w:rsid w:val="008F6543"/>
    <w:rsid w:val="008F6583"/>
    <w:rsid w:val="008F65A6"/>
    <w:rsid w:val="008F65C9"/>
    <w:rsid w:val="008F66C6"/>
    <w:rsid w:val="008F66FF"/>
    <w:rsid w:val="008F6701"/>
    <w:rsid w:val="008F6756"/>
    <w:rsid w:val="008F67A7"/>
    <w:rsid w:val="008F67F6"/>
    <w:rsid w:val="008F6865"/>
    <w:rsid w:val="008F68A6"/>
    <w:rsid w:val="008F68AA"/>
    <w:rsid w:val="008F68B4"/>
    <w:rsid w:val="008F690E"/>
    <w:rsid w:val="008F691B"/>
    <w:rsid w:val="008F695F"/>
    <w:rsid w:val="008F6988"/>
    <w:rsid w:val="008F69C9"/>
    <w:rsid w:val="008F69CF"/>
    <w:rsid w:val="008F69F7"/>
    <w:rsid w:val="008F6A25"/>
    <w:rsid w:val="008F6A34"/>
    <w:rsid w:val="008F6A4F"/>
    <w:rsid w:val="008F6B15"/>
    <w:rsid w:val="008F6B26"/>
    <w:rsid w:val="008F6B49"/>
    <w:rsid w:val="008F6B6C"/>
    <w:rsid w:val="008F6BAF"/>
    <w:rsid w:val="008F6BD6"/>
    <w:rsid w:val="008F6C2E"/>
    <w:rsid w:val="008F6E01"/>
    <w:rsid w:val="008F6E35"/>
    <w:rsid w:val="008F6F39"/>
    <w:rsid w:val="008F6F6C"/>
    <w:rsid w:val="008F6F88"/>
    <w:rsid w:val="008F7053"/>
    <w:rsid w:val="008F7074"/>
    <w:rsid w:val="008F7076"/>
    <w:rsid w:val="008F71DA"/>
    <w:rsid w:val="008F720F"/>
    <w:rsid w:val="008F722D"/>
    <w:rsid w:val="008F7260"/>
    <w:rsid w:val="008F74A2"/>
    <w:rsid w:val="008F7539"/>
    <w:rsid w:val="008F7563"/>
    <w:rsid w:val="008F7565"/>
    <w:rsid w:val="008F756B"/>
    <w:rsid w:val="008F7593"/>
    <w:rsid w:val="008F75AE"/>
    <w:rsid w:val="008F75B8"/>
    <w:rsid w:val="008F75BB"/>
    <w:rsid w:val="008F7616"/>
    <w:rsid w:val="008F7617"/>
    <w:rsid w:val="008F7630"/>
    <w:rsid w:val="008F7696"/>
    <w:rsid w:val="008F76C7"/>
    <w:rsid w:val="008F76D4"/>
    <w:rsid w:val="008F774F"/>
    <w:rsid w:val="008F77BF"/>
    <w:rsid w:val="008F77C2"/>
    <w:rsid w:val="008F7846"/>
    <w:rsid w:val="008F7878"/>
    <w:rsid w:val="008F78C9"/>
    <w:rsid w:val="008F78EA"/>
    <w:rsid w:val="008F79B6"/>
    <w:rsid w:val="008F7A1C"/>
    <w:rsid w:val="008F7A71"/>
    <w:rsid w:val="008F7ACD"/>
    <w:rsid w:val="008F7AE4"/>
    <w:rsid w:val="008F7B19"/>
    <w:rsid w:val="008F7B64"/>
    <w:rsid w:val="008F7C93"/>
    <w:rsid w:val="008F7CD4"/>
    <w:rsid w:val="008F7CEB"/>
    <w:rsid w:val="008F7CF5"/>
    <w:rsid w:val="008F7D20"/>
    <w:rsid w:val="008F7D4F"/>
    <w:rsid w:val="008F7D5C"/>
    <w:rsid w:val="008F7D7C"/>
    <w:rsid w:val="008F7D83"/>
    <w:rsid w:val="008F7DD4"/>
    <w:rsid w:val="008F7DF8"/>
    <w:rsid w:val="008F7E11"/>
    <w:rsid w:val="008F7E66"/>
    <w:rsid w:val="008F7F14"/>
    <w:rsid w:val="008F7F21"/>
    <w:rsid w:val="008F7F45"/>
    <w:rsid w:val="008F7F59"/>
    <w:rsid w:val="008F7F64"/>
    <w:rsid w:val="008F7F9B"/>
    <w:rsid w:val="008F7FCF"/>
    <w:rsid w:val="0090001A"/>
    <w:rsid w:val="00900025"/>
    <w:rsid w:val="00900078"/>
    <w:rsid w:val="0090008C"/>
    <w:rsid w:val="00900099"/>
    <w:rsid w:val="009000E4"/>
    <w:rsid w:val="009000E8"/>
    <w:rsid w:val="009000F7"/>
    <w:rsid w:val="00900137"/>
    <w:rsid w:val="00900141"/>
    <w:rsid w:val="009001A7"/>
    <w:rsid w:val="009001F1"/>
    <w:rsid w:val="009002A1"/>
    <w:rsid w:val="009002C4"/>
    <w:rsid w:val="009003C6"/>
    <w:rsid w:val="009003D4"/>
    <w:rsid w:val="00900435"/>
    <w:rsid w:val="00900455"/>
    <w:rsid w:val="009004F8"/>
    <w:rsid w:val="00900526"/>
    <w:rsid w:val="009005F3"/>
    <w:rsid w:val="0090061B"/>
    <w:rsid w:val="00900640"/>
    <w:rsid w:val="00900657"/>
    <w:rsid w:val="00900716"/>
    <w:rsid w:val="0090073C"/>
    <w:rsid w:val="00900796"/>
    <w:rsid w:val="0090079E"/>
    <w:rsid w:val="00900871"/>
    <w:rsid w:val="009008A7"/>
    <w:rsid w:val="009008E6"/>
    <w:rsid w:val="009008FB"/>
    <w:rsid w:val="00900910"/>
    <w:rsid w:val="00900928"/>
    <w:rsid w:val="00900A48"/>
    <w:rsid w:val="00900A70"/>
    <w:rsid w:val="00900A79"/>
    <w:rsid w:val="00900AA8"/>
    <w:rsid w:val="00900ACC"/>
    <w:rsid w:val="00900B7D"/>
    <w:rsid w:val="00900BC5"/>
    <w:rsid w:val="00900BFE"/>
    <w:rsid w:val="00900C26"/>
    <w:rsid w:val="00900C31"/>
    <w:rsid w:val="00900C3A"/>
    <w:rsid w:val="00900C74"/>
    <w:rsid w:val="00900C78"/>
    <w:rsid w:val="00900D11"/>
    <w:rsid w:val="00900D1E"/>
    <w:rsid w:val="00900D7A"/>
    <w:rsid w:val="00900DFB"/>
    <w:rsid w:val="00900E9E"/>
    <w:rsid w:val="00900EC6"/>
    <w:rsid w:val="00900EF8"/>
    <w:rsid w:val="00900F2A"/>
    <w:rsid w:val="00900FBB"/>
    <w:rsid w:val="00901053"/>
    <w:rsid w:val="00901062"/>
    <w:rsid w:val="009010B0"/>
    <w:rsid w:val="00901134"/>
    <w:rsid w:val="00901163"/>
    <w:rsid w:val="0090118F"/>
    <w:rsid w:val="009011C7"/>
    <w:rsid w:val="009011F1"/>
    <w:rsid w:val="0090121A"/>
    <w:rsid w:val="00901228"/>
    <w:rsid w:val="0090124A"/>
    <w:rsid w:val="00901344"/>
    <w:rsid w:val="009013B7"/>
    <w:rsid w:val="009013F1"/>
    <w:rsid w:val="00901418"/>
    <w:rsid w:val="00901491"/>
    <w:rsid w:val="00901536"/>
    <w:rsid w:val="00901538"/>
    <w:rsid w:val="0090156A"/>
    <w:rsid w:val="009015E9"/>
    <w:rsid w:val="009015FD"/>
    <w:rsid w:val="0090160D"/>
    <w:rsid w:val="00901613"/>
    <w:rsid w:val="009016B1"/>
    <w:rsid w:val="009016B3"/>
    <w:rsid w:val="009016BC"/>
    <w:rsid w:val="0090175E"/>
    <w:rsid w:val="00901788"/>
    <w:rsid w:val="0090179E"/>
    <w:rsid w:val="009017C0"/>
    <w:rsid w:val="009017CC"/>
    <w:rsid w:val="0090184B"/>
    <w:rsid w:val="00901888"/>
    <w:rsid w:val="00901891"/>
    <w:rsid w:val="009018C1"/>
    <w:rsid w:val="009018C5"/>
    <w:rsid w:val="00901922"/>
    <w:rsid w:val="00901929"/>
    <w:rsid w:val="0090197F"/>
    <w:rsid w:val="0090199E"/>
    <w:rsid w:val="009019D4"/>
    <w:rsid w:val="009019FD"/>
    <w:rsid w:val="00901A0D"/>
    <w:rsid w:val="00901A2F"/>
    <w:rsid w:val="00901A75"/>
    <w:rsid w:val="00901BA9"/>
    <w:rsid w:val="00901BBB"/>
    <w:rsid w:val="00901BE6"/>
    <w:rsid w:val="00901BEB"/>
    <w:rsid w:val="00901C05"/>
    <w:rsid w:val="00901C12"/>
    <w:rsid w:val="00901C8D"/>
    <w:rsid w:val="00901C9B"/>
    <w:rsid w:val="00901CAC"/>
    <w:rsid w:val="00901CF4"/>
    <w:rsid w:val="00901D56"/>
    <w:rsid w:val="00901D62"/>
    <w:rsid w:val="00901DA4"/>
    <w:rsid w:val="00901DA8"/>
    <w:rsid w:val="00901DB4"/>
    <w:rsid w:val="00901E0B"/>
    <w:rsid w:val="00901E1B"/>
    <w:rsid w:val="00901E74"/>
    <w:rsid w:val="00901E83"/>
    <w:rsid w:val="00901E87"/>
    <w:rsid w:val="00901EA5"/>
    <w:rsid w:val="00901EBA"/>
    <w:rsid w:val="00901EE0"/>
    <w:rsid w:val="00901EEA"/>
    <w:rsid w:val="00901EFE"/>
    <w:rsid w:val="00901F0D"/>
    <w:rsid w:val="00901F3E"/>
    <w:rsid w:val="00901F44"/>
    <w:rsid w:val="00901F50"/>
    <w:rsid w:val="00901FC8"/>
    <w:rsid w:val="00901FC9"/>
    <w:rsid w:val="00901FDC"/>
    <w:rsid w:val="0090201E"/>
    <w:rsid w:val="0090208D"/>
    <w:rsid w:val="009020E3"/>
    <w:rsid w:val="009020FC"/>
    <w:rsid w:val="0090213E"/>
    <w:rsid w:val="009021F9"/>
    <w:rsid w:val="00902283"/>
    <w:rsid w:val="009022BB"/>
    <w:rsid w:val="009022F6"/>
    <w:rsid w:val="00902303"/>
    <w:rsid w:val="0090234E"/>
    <w:rsid w:val="00902364"/>
    <w:rsid w:val="00902372"/>
    <w:rsid w:val="009023A9"/>
    <w:rsid w:val="009023B2"/>
    <w:rsid w:val="009023EE"/>
    <w:rsid w:val="00902414"/>
    <w:rsid w:val="00902417"/>
    <w:rsid w:val="00902427"/>
    <w:rsid w:val="00902433"/>
    <w:rsid w:val="00902434"/>
    <w:rsid w:val="00902485"/>
    <w:rsid w:val="009024C0"/>
    <w:rsid w:val="009024DE"/>
    <w:rsid w:val="0090255D"/>
    <w:rsid w:val="009025DB"/>
    <w:rsid w:val="00902612"/>
    <w:rsid w:val="00902628"/>
    <w:rsid w:val="0090263F"/>
    <w:rsid w:val="009026AB"/>
    <w:rsid w:val="0090270F"/>
    <w:rsid w:val="0090272C"/>
    <w:rsid w:val="00902763"/>
    <w:rsid w:val="00902792"/>
    <w:rsid w:val="00902799"/>
    <w:rsid w:val="00902803"/>
    <w:rsid w:val="00902875"/>
    <w:rsid w:val="00902894"/>
    <w:rsid w:val="009028C0"/>
    <w:rsid w:val="009028C9"/>
    <w:rsid w:val="0090292B"/>
    <w:rsid w:val="0090293E"/>
    <w:rsid w:val="009029A4"/>
    <w:rsid w:val="009029B7"/>
    <w:rsid w:val="009029CB"/>
    <w:rsid w:val="00902A17"/>
    <w:rsid w:val="00902A49"/>
    <w:rsid w:val="00902A5B"/>
    <w:rsid w:val="00902A73"/>
    <w:rsid w:val="00902AD0"/>
    <w:rsid w:val="00902AF1"/>
    <w:rsid w:val="00902B14"/>
    <w:rsid w:val="00902B44"/>
    <w:rsid w:val="00902B71"/>
    <w:rsid w:val="00902B9F"/>
    <w:rsid w:val="00902BBE"/>
    <w:rsid w:val="00902BC2"/>
    <w:rsid w:val="00902BF9"/>
    <w:rsid w:val="00902BFE"/>
    <w:rsid w:val="00902C99"/>
    <w:rsid w:val="00902CA7"/>
    <w:rsid w:val="00902CB5"/>
    <w:rsid w:val="00902CBF"/>
    <w:rsid w:val="00902CD3"/>
    <w:rsid w:val="00902D0E"/>
    <w:rsid w:val="00902D8B"/>
    <w:rsid w:val="00902E35"/>
    <w:rsid w:val="00902E77"/>
    <w:rsid w:val="00902E98"/>
    <w:rsid w:val="00902EB4"/>
    <w:rsid w:val="00902EC0"/>
    <w:rsid w:val="00902F24"/>
    <w:rsid w:val="00902FA3"/>
    <w:rsid w:val="00902FC9"/>
    <w:rsid w:val="00903046"/>
    <w:rsid w:val="00903064"/>
    <w:rsid w:val="00903076"/>
    <w:rsid w:val="009030ED"/>
    <w:rsid w:val="0090314B"/>
    <w:rsid w:val="00903152"/>
    <w:rsid w:val="00903178"/>
    <w:rsid w:val="0090318A"/>
    <w:rsid w:val="0090322D"/>
    <w:rsid w:val="0090326F"/>
    <w:rsid w:val="0090327F"/>
    <w:rsid w:val="0090329F"/>
    <w:rsid w:val="009032A8"/>
    <w:rsid w:val="009032C3"/>
    <w:rsid w:val="0090339E"/>
    <w:rsid w:val="00903409"/>
    <w:rsid w:val="00903495"/>
    <w:rsid w:val="00903517"/>
    <w:rsid w:val="00903528"/>
    <w:rsid w:val="00903558"/>
    <w:rsid w:val="0090357C"/>
    <w:rsid w:val="009035F8"/>
    <w:rsid w:val="00903616"/>
    <w:rsid w:val="0090364D"/>
    <w:rsid w:val="00903673"/>
    <w:rsid w:val="009036CA"/>
    <w:rsid w:val="009036DC"/>
    <w:rsid w:val="00903743"/>
    <w:rsid w:val="00903770"/>
    <w:rsid w:val="009037FB"/>
    <w:rsid w:val="0090380D"/>
    <w:rsid w:val="00903843"/>
    <w:rsid w:val="00903862"/>
    <w:rsid w:val="00903878"/>
    <w:rsid w:val="009038C0"/>
    <w:rsid w:val="00903908"/>
    <w:rsid w:val="00903925"/>
    <w:rsid w:val="00903928"/>
    <w:rsid w:val="0090398F"/>
    <w:rsid w:val="00903999"/>
    <w:rsid w:val="0090399B"/>
    <w:rsid w:val="00903AC3"/>
    <w:rsid w:val="00903AC8"/>
    <w:rsid w:val="00903B3B"/>
    <w:rsid w:val="00903B82"/>
    <w:rsid w:val="00903BE0"/>
    <w:rsid w:val="00903CAE"/>
    <w:rsid w:val="00903CCC"/>
    <w:rsid w:val="00903CD9"/>
    <w:rsid w:val="00903CFF"/>
    <w:rsid w:val="00903D4A"/>
    <w:rsid w:val="00903D6F"/>
    <w:rsid w:val="00903DAD"/>
    <w:rsid w:val="00903DED"/>
    <w:rsid w:val="00903E87"/>
    <w:rsid w:val="00903ECA"/>
    <w:rsid w:val="00903F2B"/>
    <w:rsid w:val="00903F72"/>
    <w:rsid w:val="00904014"/>
    <w:rsid w:val="0090403C"/>
    <w:rsid w:val="0090409A"/>
    <w:rsid w:val="009040BE"/>
    <w:rsid w:val="009040C4"/>
    <w:rsid w:val="009040C8"/>
    <w:rsid w:val="00904119"/>
    <w:rsid w:val="00904130"/>
    <w:rsid w:val="00904155"/>
    <w:rsid w:val="00904188"/>
    <w:rsid w:val="0090419E"/>
    <w:rsid w:val="009041D9"/>
    <w:rsid w:val="009041DA"/>
    <w:rsid w:val="009041DD"/>
    <w:rsid w:val="00904206"/>
    <w:rsid w:val="0090423E"/>
    <w:rsid w:val="0090424F"/>
    <w:rsid w:val="009042C8"/>
    <w:rsid w:val="009042CF"/>
    <w:rsid w:val="009042E0"/>
    <w:rsid w:val="00904323"/>
    <w:rsid w:val="00904349"/>
    <w:rsid w:val="00904399"/>
    <w:rsid w:val="009043E4"/>
    <w:rsid w:val="00904419"/>
    <w:rsid w:val="0090444F"/>
    <w:rsid w:val="00904482"/>
    <w:rsid w:val="0090449B"/>
    <w:rsid w:val="0090451A"/>
    <w:rsid w:val="00904546"/>
    <w:rsid w:val="0090459C"/>
    <w:rsid w:val="009045D8"/>
    <w:rsid w:val="009045FB"/>
    <w:rsid w:val="00904622"/>
    <w:rsid w:val="00904649"/>
    <w:rsid w:val="009046BB"/>
    <w:rsid w:val="0090475A"/>
    <w:rsid w:val="00904777"/>
    <w:rsid w:val="0090479D"/>
    <w:rsid w:val="009047A0"/>
    <w:rsid w:val="00904911"/>
    <w:rsid w:val="009049BB"/>
    <w:rsid w:val="009049BD"/>
    <w:rsid w:val="00904A18"/>
    <w:rsid w:val="00904A46"/>
    <w:rsid w:val="00904AB1"/>
    <w:rsid w:val="00904AF4"/>
    <w:rsid w:val="00904B1F"/>
    <w:rsid w:val="00904B9E"/>
    <w:rsid w:val="00904BC4"/>
    <w:rsid w:val="00904C20"/>
    <w:rsid w:val="00904C3F"/>
    <w:rsid w:val="00904C70"/>
    <w:rsid w:val="00904C93"/>
    <w:rsid w:val="00904CB1"/>
    <w:rsid w:val="00904D78"/>
    <w:rsid w:val="00904E74"/>
    <w:rsid w:val="00904E7C"/>
    <w:rsid w:val="00904E92"/>
    <w:rsid w:val="00904EB6"/>
    <w:rsid w:val="00904EC7"/>
    <w:rsid w:val="00904F34"/>
    <w:rsid w:val="00904F39"/>
    <w:rsid w:val="00904F41"/>
    <w:rsid w:val="00904F43"/>
    <w:rsid w:val="00904F47"/>
    <w:rsid w:val="00904F4C"/>
    <w:rsid w:val="00904F68"/>
    <w:rsid w:val="00904F79"/>
    <w:rsid w:val="00904F86"/>
    <w:rsid w:val="00905060"/>
    <w:rsid w:val="00905066"/>
    <w:rsid w:val="009050C5"/>
    <w:rsid w:val="009050DA"/>
    <w:rsid w:val="00905128"/>
    <w:rsid w:val="0090512B"/>
    <w:rsid w:val="0090517F"/>
    <w:rsid w:val="009051A8"/>
    <w:rsid w:val="00905287"/>
    <w:rsid w:val="00905385"/>
    <w:rsid w:val="009053EB"/>
    <w:rsid w:val="0090547A"/>
    <w:rsid w:val="009054EA"/>
    <w:rsid w:val="009054F1"/>
    <w:rsid w:val="009054FF"/>
    <w:rsid w:val="00905506"/>
    <w:rsid w:val="00905513"/>
    <w:rsid w:val="00905514"/>
    <w:rsid w:val="009055C7"/>
    <w:rsid w:val="009055CF"/>
    <w:rsid w:val="009055DF"/>
    <w:rsid w:val="0090562E"/>
    <w:rsid w:val="00905635"/>
    <w:rsid w:val="0090565B"/>
    <w:rsid w:val="0090566C"/>
    <w:rsid w:val="009056D6"/>
    <w:rsid w:val="009056D9"/>
    <w:rsid w:val="00905753"/>
    <w:rsid w:val="0090576A"/>
    <w:rsid w:val="00905782"/>
    <w:rsid w:val="009057BC"/>
    <w:rsid w:val="00905844"/>
    <w:rsid w:val="00905846"/>
    <w:rsid w:val="00905859"/>
    <w:rsid w:val="00905911"/>
    <w:rsid w:val="0090591F"/>
    <w:rsid w:val="009059B2"/>
    <w:rsid w:val="009059B7"/>
    <w:rsid w:val="009059D6"/>
    <w:rsid w:val="009059E7"/>
    <w:rsid w:val="009059ED"/>
    <w:rsid w:val="009059FD"/>
    <w:rsid w:val="00905A0B"/>
    <w:rsid w:val="00905A54"/>
    <w:rsid w:val="00905A66"/>
    <w:rsid w:val="00905AD4"/>
    <w:rsid w:val="00905B54"/>
    <w:rsid w:val="00905B5A"/>
    <w:rsid w:val="00905B96"/>
    <w:rsid w:val="00905BC2"/>
    <w:rsid w:val="00905C52"/>
    <w:rsid w:val="00905C6E"/>
    <w:rsid w:val="00905CBF"/>
    <w:rsid w:val="00905CD0"/>
    <w:rsid w:val="00905D0F"/>
    <w:rsid w:val="00905D21"/>
    <w:rsid w:val="00905DBC"/>
    <w:rsid w:val="00905DC6"/>
    <w:rsid w:val="00905DD2"/>
    <w:rsid w:val="00905E5D"/>
    <w:rsid w:val="00905EED"/>
    <w:rsid w:val="00905EFF"/>
    <w:rsid w:val="00905FDC"/>
    <w:rsid w:val="00906006"/>
    <w:rsid w:val="0090600B"/>
    <w:rsid w:val="00906031"/>
    <w:rsid w:val="00906035"/>
    <w:rsid w:val="00906045"/>
    <w:rsid w:val="009060BD"/>
    <w:rsid w:val="009060CD"/>
    <w:rsid w:val="009060D9"/>
    <w:rsid w:val="00906158"/>
    <w:rsid w:val="009061C2"/>
    <w:rsid w:val="009061DE"/>
    <w:rsid w:val="009061F7"/>
    <w:rsid w:val="00906204"/>
    <w:rsid w:val="00906272"/>
    <w:rsid w:val="009062A2"/>
    <w:rsid w:val="009062DF"/>
    <w:rsid w:val="0090635A"/>
    <w:rsid w:val="009063A9"/>
    <w:rsid w:val="00906433"/>
    <w:rsid w:val="00906435"/>
    <w:rsid w:val="00906495"/>
    <w:rsid w:val="00906544"/>
    <w:rsid w:val="00906617"/>
    <w:rsid w:val="00906629"/>
    <w:rsid w:val="0090664B"/>
    <w:rsid w:val="00906658"/>
    <w:rsid w:val="009066A2"/>
    <w:rsid w:val="009066BE"/>
    <w:rsid w:val="009066F3"/>
    <w:rsid w:val="009066FC"/>
    <w:rsid w:val="00906708"/>
    <w:rsid w:val="0090676F"/>
    <w:rsid w:val="009067B7"/>
    <w:rsid w:val="0090687C"/>
    <w:rsid w:val="00906884"/>
    <w:rsid w:val="0090698B"/>
    <w:rsid w:val="009069E7"/>
    <w:rsid w:val="009069F0"/>
    <w:rsid w:val="00906A02"/>
    <w:rsid w:val="00906A23"/>
    <w:rsid w:val="00906AAD"/>
    <w:rsid w:val="00906AC6"/>
    <w:rsid w:val="00906AFE"/>
    <w:rsid w:val="00906B1C"/>
    <w:rsid w:val="00906B4A"/>
    <w:rsid w:val="00906C3C"/>
    <w:rsid w:val="00906C43"/>
    <w:rsid w:val="00906CDB"/>
    <w:rsid w:val="00906CF9"/>
    <w:rsid w:val="00906D20"/>
    <w:rsid w:val="00906D7E"/>
    <w:rsid w:val="00906DF6"/>
    <w:rsid w:val="00906E61"/>
    <w:rsid w:val="00906EB1"/>
    <w:rsid w:val="00906F8D"/>
    <w:rsid w:val="00907002"/>
    <w:rsid w:val="0090700C"/>
    <w:rsid w:val="0090705F"/>
    <w:rsid w:val="00907072"/>
    <w:rsid w:val="0090707E"/>
    <w:rsid w:val="00907144"/>
    <w:rsid w:val="0090714F"/>
    <w:rsid w:val="00907183"/>
    <w:rsid w:val="00907185"/>
    <w:rsid w:val="0090729A"/>
    <w:rsid w:val="009072FF"/>
    <w:rsid w:val="00907311"/>
    <w:rsid w:val="00907314"/>
    <w:rsid w:val="0090735C"/>
    <w:rsid w:val="00907367"/>
    <w:rsid w:val="00907374"/>
    <w:rsid w:val="00907396"/>
    <w:rsid w:val="00907452"/>
    <w:rsid w:val="009074F9"/>
    <w:rsid w:val="0090752B"/>
    <w:rsid w:val="00907533"/>
    <w:rsid w:val="0090756C"/>
    <w:rsid w:val="00907619"/>
    <w:rsid w:val="00907678"/>
    <w:rsid w:val="009076C1"/>
    <w:rsid w:val="009076CA"/>
    <w:rsid w:val="0090771A"/>
    <w:rsid w:val="0090771C"/>
    <w:rsid w:val="00907789"/>
    <w:rsid w:val="0090779D"/>
    <w:rsid w:val="009077AD"/>
    <w:rsid w:val="009077C4"/>
    <w:rsid w:val="009077E4"/>
    <w:rsid w:val="00907838"/>
    <w:rsid w:val="00907871"/>
    <w:rsid w:val="00907877"/>
    <w:rsid w:val="0090789D"/>
    <w:rsid w:val="00907919"/>
    <w:rsid w:val="0090793E"/>
    <w:rsid w:val="00907972"/>
    <w:rsid w:val="0090798A"/>
    <w:rsid w:val="009079A6"/>
    <w:rsid w:val="00907A0D"/>
    <w:rsid w:val="00907A6D"/>
    <w:rsid w:val="00907A8F"/>
    <w:rsid w:val="00907AB5"/>
    <w:rsid w:val="00907AB8"/>
    <w:rsid w:val="00907ADF"/>
    <w:rsid w:val="00907B1E"/>
    <w:rsid w:val="00907B3A"/>
    <w:rsid w:val="00907BB9"/>
    <w:rsid w:val="00907BDF"/>
    <w:rsid w:val="00907C05"/>
    <w:rsid w:val="00907C25"/>
    <w:rsid w:val="00907C42"/>
    <w:rsid w:val="00907C5F"/>
    <w:rsid w:val="00907C97"/>
    <w:rsid w:val="00907CEC"/>
    <w:rsid w:val="00907D28"/>
    <w:rsid w:val="00907D53"/>
    <w:rsid w:val="00907D82"/>
    <w:rsid w:val="00907E74"/>
    <w:rsid w:val="00907EAB"/>
    <w:rsid w:val="00907EE8"/>
    <w:rsid w:val="00907F7F"/>
    <w:rsid w:val="00907FD5"/>
    <w:rsid w:val="00910048"/>
    <w:rsid w:val="00910079"/>
    <w:rsid w:val="009100DA"/>
    <w:rsid w:val="009100E2"/>
    <w:rsid w:val="00910198"/>
    <w:rsid w:val="009101BC"/>
    <w:rsid w:val="00910211"/>
    <w:rsid w:val="00910234"/>
    <w:rsid w:val="00910271"/>
    <w:rsid w:val="009102AF"/>
    <w:rsid w:val="009102C0"/>
    <w:rsid w:val="009102F5"/>
    <w:rsid w:val="0091036D"/>
    <w:rsid w:val="0091038D"/>
    <w:rsid w:val="009103F7"/>
    <w:rsid w:val="00910446"/>
    <w:rsid w:val="00910465"/>
    <w:rsid w:val="0091048C"/>
    <w:rsid w:val="009104AE"/>
    <w:rsid w:val="00910546"/>
    <w:rsid w:val="009105FE"/>
    <w:rsid w:val="00910615"/>
    <w:rsid w:val="00910625"/>
    <w:rsid w:val="009106C9"/>
    <w:rsid w:val="009106D0"/>
    <w:rsid w:val="009106D1"/>
    <w:rsid w:val="009106F3"/>
    <w:rsid w:val="00910700"/>
    <w:rsid w:val="00910744"/>
    <w:rsid w:val="009107DA"/>
    <w:rsid w:val="009107E7"/>
    <w:rsid w:val="0091081E"/>
    <w:rsid w:val="00910873"/>
    <w:rsid w:val="009108A8"/>
    <w:rsid w:val="009108E8"/>
    <w:rsid w:val="00910913"/>
    <w:rsid w:val="00910936"/>
    <w:rsid w:val="0091094E"/>
    <w:rsid w:val="009109C3"/>
    <w:rsid w:val="00910A2E"/>
    <w:rsid w:val="00910AB8"/>
    <w:rsid w:val="00910AC4"/>
    <w:rsid w:val="00910AEC"/>
    <w:rsid w:val="00910B07"/>
    <w:rsid w:val="00910B49"/>
    <w:rsid w:val="00910B8A"/>
    <w:rsid w:val="00910B9D"/>
    <w:rsid w:val="00910BB2"/>
    <w:rsid w:val="00910BEE"/>
    <w:rsid w:val="00910BF7"/>
    <w:rsid w:val="00910C0F"/>
    <w:rsid w:val="00910D22"/>
    <w:rsid w:val="00910D76"/>
    <w:rsid w:val="00910DAA"/>
    <w:rsid w:val="00910ED0"/>
    <w:rsid w:val="00910EE0"/>
    <w:rsid w:val="00910EE7"/>
    <w:rsid w:val="00910EF8"/>
    <w:rsid w:val="00910F00"/>
    <w:rsid w:val="00910F10"/>
    <w:rsid w:val="00910F67"/>
    <w:rsid w:val="00910FAD"/>
    <w:rsid w:val="00910FBD"/>
    <w:rsid w:val="00910FE0"/>
    <w:rsid w:val="00911090"/>
    <w:rsid w:val="009110A1"/>
    <w:rsid w:val="009110F5"/>
    <w:rsid w:val="00911145"/>
    <w:rsid w:val="0091115C"/>
    <w:rsid w:val="0091118B"/>
    <w:rsid w:val="009111E9"/>
    <w:rsid w:val="00911212"/>
    <w:rsid w:val="00911226"/>
    <w:rsid w:val="00911227"/>
    <w:rsid w:val="00911294"/>
    <w:rsid w:val="00911337"/>
    <w:rsid w:val="0091136C"/>
    <w:rsid w:val="0091138A"/>
    <w:rsid w:val="0091141E"/>
    <w:rsid w:val="0091142F"/>
    <w:rsid w:val="0091146B"/>
    <w:rsid w:val="009114A0"/>
    <w:rsid w:val="00911511"/>
    <w:rsid w:val="0091166C"/>
    <w:rsid w:val="0091167D"/>
    <w:rsid w:val="0091167E"/>
    <w:rsid w:val="0091168D"/>
    <w:rsid w:val="0091169B"/>
    <w:rsid w:val="009116D8"/>
    <w:rsid w:val="0091173C"/>
    <w:rsid w:val="00911800"/>
    <w:rsid w:val="00911813"/>
    <w:rsid w:val="009118FA"/>
    <w:rsid w:val="0091198A"/>
    <w:rsid w:val="00911A06"/>
    <w:rsid w:val="00911A13"/>
    <w:rsid w:val="00911A81"/>
    <w:rsid w:val="00911AB4"/>
    <w:rsid w:val="00911AED"/>
    <w:rsid w:val="00911BA0"/>
    <w:rsid w:val="00911BC8"/>
    <w:rsid w:val="00911C40"/>
    <w:rsid w:val="00911C92"/>
    <w:rsid w:val="00911CE9"/>
    <w:rsid w:val="00911CF2"/>
    <w:rsid w:val="00911D45"/>
    <w:rsid w:val="00911D5E"/>
    <w:rsid w:val="00911DEF"/>
    <w:rsid w:val="00911E2C"/>
    <w:rsid w:val="00911E90"/>
    <w:rsid w:val="00911EB8"/>
    <w:rsid w:val="00911EC2"/>
    <w:rsid w:val="00911F54"/>
    <w:rsid w:val="00911F77"/>
    <w:rsid w:val="00911F9B"/>
    <w:rsid w:val="00912012"/>
    <w:rsid w:val="00912055"/>
    <w:rsid w:val="009120A3"/>
    <w:rsid w:val="009120A9"/>
    <w:rsid w:val="0091210A"/>
    <w:rsid w:val="0091211C"/>
    <w:rsid w:val="009121A2"/>
    <w:rsid w:val="009121B0"/>
    <w:rsid w:val="009121C4"/>
    <w:rsid w:val="009122B0"/>
    <w:rsid w:val="009122C4"/>
    <w:rsid w:val="009122F1"/>
    <w:rsid w:val="00912313"/>
    <w:rsid w:val="00912379"/>
    <w:rsid w:val="009123CB"/>
    <w:rsid w:val="009123D1"/>
    <w:rsid w:val="0091249D"/>
    <w:rsid w:val="009124BE"/>
    <w:rsid w:val="00912535"/>
    <w:rsid w:val="00912588"/>
    <w:rsid w:val="00912589"/>
    <w:rsid w:val="009125D2"/>
    <w:rsid w:val="009125DE"/>
    <w:rsid w:val="009125FC"/>
    <w:rsid w:val="009126E9"/>
    <w:rsid w:val="00912748"/>
    <w:rsid w:val="00912782"/>
    <w:rsid w:val="0091286A"/>
    <w:rsid w:val="00912877"/>
    <w:rsid w:val="009128AD"/>
    <w:rsid w:val="009128CA"/>
    <w:rsid w:val="009128EA"/>
    <w:rsid w:val="00912911"/>
    <w:rsid w:val="0091294F"/>
    <w:rsid w:val="0091295D"/>
    <w:rsid w:val="009129E8"/>
    <w:rsid w:val="00912A53"/>
    <w:rsid w:val="00912A8F"/>
    <w:rsid w:val="00912AF6"/>
    <w:rsid w:val="00912B19"/>
    <w:rsid w:val="00912B64"/>
    <w:rsid w:val="00912B73"/>
    <w:rsid w:val="00912BFB"/>
    <w:rsid w:val="00912CD4"/>
    <w:rsid w:val="00912CF2"/>
    <w:rsid w:val="00912D4F"/>
    <w:rsid w:val="00912D58"/>
    <w:rsid w:val="00912D68"/>
    <w:rsid w:val="00912DAB"/>
    <w:rsid w:val="00912DEF"/>
    <w:rsid w:val="00912E0C"/>
    <w:rsid w:val="00912E3B"/>
    <w:rsid w:val="00912FBC"/>
    <w:rsid w:val="00912FCF"/>
    <w:rsid w:val="00913001"/>
    <w:rsid w:val="00913021"/>
    <w:rsid w:val="0091309A"/>
    <w:rsid w:val="009130B5"/>
    <w:rsid w:val="009130CF"/>
    <w:rsid w:val="0091315E"/>
    <w:rsid w:val="00913160"/>
    <w:rsid w:val="00913189"/>
    <w:rsid w:val="0091319A"/>
    <w:rsid w:val="009131D1"/>
    <w:rsid w:val="009131E4"/>
    <w:rsid w:val="00913220"/>
    <w:rsid w:val="00913249"/>
    <w:rsid w:val="009132CA"/>
    <w:rsid w:val="00913364"/>
    <w:rsid w:val="009133C5"/>
    <w:rsid w:val="009133E6"/>
    <w:rsid w:val="00913433"/>
    <w:rsid w:val="00913448"/>
    <w:rsid w:val="0091345F"/>
    <w:rsid w:val="00913498"/>
    <w:rsid w:val="009134EC"/>
    <w:rsid w:val="0091356A"/>
    <w:rsid w:val="00913593"/>
    <w:rsid w:val="009135AF"/>
    <w:rsid w:val="009135FC"/>
    <w:rsid w:val="009136DB"/>
    <w:rsid w:val="009136E6"/>
    <w:rsid w:val="0091371E"/>
    <w:rsid w:val="00913729"/>
    <w:rsid w:val="00913732"/>
    <w:rsid w:val="00913819"/>
    <w:rsid w:val="00913828"/>
    <w:rsid w:val="00913845"/>
    <w:rsid w:val="00913894"/>
    <w:rsid w:val="009138CF"/>
    <w:rsid w:val="009138D9"/>
    <w:rsid w:val="009138DC"/>
    <w:rsid w:val="0091395E"/>
    <w:rsid w:val="00913A12"/>
    <w:rsid w:val="00913A85"/>
    <w:rsid w:val="00913ADC"/>
    <w:rsid w:val="00913B0A"/>
    <w:rsid w:val="00913BE0"/>
    <w:rsid w:val="00913C4C"/>
    <w:rsid w:val="00913C6D"/>
    <w:rsid w:val="00913D66"/>
    <w:rsid w:val="00913DAF"/>
    <w:rsid w:val="00913DC0"/>
    <w:rsid w:val="00913DF3"/>
    <w:rsid w:val="00913F47"/>
    <w:rsid w:val="00913F8F"/>
    <w:rsid w:val="00914029"/>
    <w:rsid w:val="00914053"/>
    <w:rsid w:val="009140BA"/>
    <w:rsid w:val="00914134"/>
    <w:rsid w:val="0091415C"/>
    <w:rsid w:val="00914160"/>
    <w:rsid w:val="0091416E"/>
    <w:rsid w:val="0091418A"/>
    <w:rsid w:val="0091418B"/>
    <w:rsid w:val="00914203"/>
    <w:rsid w:val="00914212"/>
    <w:rsid w:val="00914218"/>
    <w:rsid w:val="009142B2"/>
    <w:rsid w:val="009142C7"/>
    <w:rsid w:val="0091433F"/>
    <w:rsid w:val="009143BB"/>
    <w:rsid w:val="00914403"/>
    <w:rsid w:val="00914450"/>
    <w:rsid w:val="0091445B"/>
    <w:rsid w:val="0091447B"/>
    <w:rsid w:val="00914484"/>
    <w:rsid w:val="00914490"/>
    <w:rsid w:val="009144ED"/>
    <w:rsid w:val="009144F7"/>
    <w:rsid w:val="00914552"/>
    <w:rsid w:val="00914590"/>
    <w:rsid w:val="0091465E"/>
    <w:rsid w:val="0091466B"/>
    <w:rsid w:val="00914671"/>
    <w:rsid w:val="009146E7"/>
    <w:rsid w:val="0091471B"/>
    <w:rsid w:val="00914767"/>
    <w:rsid w:val="0091477A"/>
    <w:rsid w:val="0091479C"/>
    <w:rsid w:val="009147A3"/>
    <w:rsid w:val="009147CE"/>
    <w:rsid w:val="00914998"/>
    <w:rsid w:val="009149D1"/>
    <w:rsid w:val="00914A4C"/>
    <w:rsid w:val="00914A70"/>
    <w:rsid w:val="00914A80"/>
    <w:rsid w:val="00914ACA"/>
    <w:rsid w:val="00914AD4"/>
    <w:rsid w:val="00914AE4"/>
    <w:rsid w:val="00914B26"/>
    <w:rsid w:val="00914B3E"/>
    <w:rsid w:val="00914BCA"/>
    <w:rsid w:val="00914BDE"/>
    <w:rsid w:val="00914C25"/>
    <w:rsid w:val="00914C9C"/>
    <w:rsid w:val="00914CDB"/>
    <w:rsid w:val="00914D79"/>
    <w:rsid w:val="00914DC4"/>
    <w:rsid w:val="00914E4C"/>
    <w:rsid w:val="00914E88"/>
    <w:rsid w:val="00914E95"/>
    <w:rsid w:val="00914F2C"/>
    <w:rsid w:val="00914FAC"/>
    <w:rsid w:val="00914FBF"/>
    <w:rsid w:val="0091501E"/>
    <w:rsid w:val="00915080"/>
    <w:rsid w:val="00915155"/>
    <w:rsid w:val="009151AA"/>
    <w:rsid w:val="009151EF"/>
    <w:rsid w:val="0091523A"/>
    <w:rsid w:val="009152CB"/>
    <w:rsid w:val="009152D8"/>
    <w:rsid w:val="00915340"/>
    <w:rsid w:val="00915394"/>
    <w:rsid w:val="0091548C"/>
    <w:rsid w:val="009154A6"/>
    <w:rsid w:val="009154B7"/>
    <w:rsid w:val="00915530"/>
    <w:rsid w:val="00915538"/>
    <w:rsid w:val="0091555F"/>
    <w:rsid w:val="00915567"/>
    <w:rsid w:val="0091561A"/>
    <w:rsid w:val="0091563F"/>
    <w:rsid w:val="00915650"/>
    <w:rsid w:val="00915689"/>
    <w:rsid w:val="009156E7"/>
    <w:rsid w:val="0091571C"/>
    <w:rsid w:val="0091579F"/>
    <w:rsid w:val="009157EF"/>
    <w:rsid w:val="00915806"/>
    <w:rsid w:val="0091581B"/>
    <w:rsid w:val="00915823"/>
    <w:rsid w:val="009158E8"/>
    <w:rsid w:val="00915903"/>
    <w:rsid w:val="0091594C"/>
    <w:rsid w:val="0091597E"/>
    <w:rsid w:val="009159E1"/>
    <w:rsid w:val="00915A33"/>
    <w:rsid w:val="00915A5F"/>
    <w:rsid w:val="00915A90"/>
    <w:rsid w:val="00915AEE"/>
    <w:rsid w:val="00915AFB"/>
    <w:rsid w:val="00915B45"/>
    <w:rsid w:val="00915B97"/>
    <w:rsid w:val="00915BDB"/>
    <w:rsid w:val="00915BF2"/>
    <w:rsid w:val="00915C1C"/>
    <w:rsid w:val="00915C73"/>
    <w:rsid w:val="00915C74"/>
    <w:rsid w:val="00915C8C"/>
    <w:rsid w:val="00915CEA"/>
    <w:rsid w:val="00915D2E"/>
    <w:rsid w:val="00915E8B"/>
    <w:rsid w:val="00915E8D"/>
    <w:rsid w:val="00915EA0"/>
    <w:rsid w:val="00915EEE"/>
    <w:rsid w:val="00915F24"/>
    <w:rsid w:val="00915F86"/>
    <w:rsid w:val="00915FEB"/>
    <w:rsid w:val="00916076"/>
    <w:rsid w:val="00916116"/>
    <w:rsid w:val="0091617E"/>
    <w:rsid w:val="0091620F"/>
    <w:rsid w:val="00916229"/>
    <w:rsid w:val="0091623C"/>
    <w:rsid w:val="0091623E"/>
    <w:rsid w:val="00916275"/>
    <w:rsid w:val="00916289"/>
    <w:rsid w:val="009162EF"/>
    <w:rsid w:val="00916307"/>
    <w:rsid w:val="00916333"/>
    <w:rsid w:val="0091634A"/>
    <w:rsid w:val="00916397"/>
    <w:rsid w:val="0091639F"/>
    <w:rsid w:val="009163C0"/>
    <w:rsid w:val="009163CA"/>
    <w:rsid w:val="009163D0"/>
    <w:rsid w:val="009163EC"/>
    <w:rsid w:val="009163F2"/>
    <w:rsid w:val="00916429"/>
    <w:rsid w:val="0091646A"/>
    <w:rsid w:val="009164A0"/>
    <w:rsid w:val="009164E3"/>
    <w:rsid w:val="009164ED"/>
    <w:rsid w:val="0091653B"/>
    <w:rsid w:val="009165BC"/>
    <w:rsid w:val="00916675"/>
    <w:rsid w:val="00916742"/>
    <w:rsid w:val="0091676D"/>
    <w:rsid w:val="009167A4"/>
    <w:rsid w:val="009167AD"/>
    <w:rsid w:val="009167BC"/>
    <w:rsid w:val="009167D3"/>
    <w:rsid w:val="009167E8"/>
    <w:rsid w:val="009167FF"/>
    <w:rsid w:val="00916877"/>
    <w:rsid w:val="009168E6"/>
    <w:rsid w:val="009168F4"/>
    <w:rsid w:val="00916915"/>
    <w:rsid w:val="0091691A"/>
    <w:rsid w:val="0091694A"/>
    <w:rsid w:val="0091694C"/>
    <w:rsid w:val="00916954"/>
    <w:rsid w:val="0091695D"/>
    <w:rsid w:val="00916995"/>
    <w:rsid w:val="009169DA"/>
    <w:rsid w:val="00916A0C"/>
    <w:rsid w:val="00916A91"/>
    <w:rsid w:val="00916A9F"/>
    <w:rsid w:val="00916B4A"/>
    <w:rsid w:val="00916B4C"/>
    <w:rsid w:val="00916BB4"/>
    <w:rsid w:val="00916BF8"/>
    <w:rsid w:val="00916C24"/>
    <w:rsid w:val="00916C59"/>
    <w:rsid w:val="00916C7B"/>
    <w:rsid w:val="00916CCC"/>
    <w:rsid w:val="00916D2C"/>
    <w:rsid w:val="00916D39"/>
    <w:rsid w:val="00916D45"/>
    <w:rsid w:val="00916DA4"/>
    <w:rsid w:val="00916DFC"/>
    <w:rsid w:val="00916E26"/>
    <w:rsid w:val="00916E3B"/>
    <w:rsid w:val="00916E5A"/>
    <w:rsid w:val="00916E6A"/>
    <w:rsid w:val="00916ED5"/>
    <w:rsid w:val="00916F1E"/>
    <w:rsid w:val="00916F3A"/>
    <w:rsid w:val="00916F4F"/>
    <w:rsid w:val="00916F52"/>
    <w:rsid w:val="00916F6D"/>
    <w:rsid w:val="00916F8C"/>
    <w:rsid w:val="00916FAA"/>
    <w:rsid w:val="00917036"/>
    <w:rsid w:val="009170E8"/>
    <w:rsid w:val="009170EC"/>
    <w:rsid w:val="00917100"/>
    <w:rsid w:val="00917109"/>
    <w:rsid w:val="00917113"/>
    <w:rsid w:val="0091714F"/>
    <w:rsid w:val="0091718D"/>
    <w:rsid w:val="0091725A"/>
    <w:rsid w:val="00917262"/>
    <w:rsid w:val="009172C7"/>
    <w:rsid w:val="00917346"/>
    <w:rsid w:val="0091737A"/>
    <w:rsid w:val="0091753A"/>
    <w:rsid w:val="0091758D"/>
    <w:rsid w:val="009175A6"/>
    <w:rsid w:val="009175C3"/>
    <w:rsid w:val="0091761D"/>
    <w:rsid w:val="00917683"/>
    <w:rsid w:val="009176CF"/>
    <w:rsid w:val="00917702"/>
    <w:rsid w:val="00917719"/>
    <w:rsid w:val="0091771A"/>
    <w:rsid w:val="00917740"/>
    <w:rsid w:val="00917756"/>
    <w:rsid w:val="00917777"/>
    <w:rsid w:val="00917794"/>
    <w:rsid w:val="009178A8"/>
    <w:rsid w:val="009178BE"/>
    <w:rsid w:val="00917900"/>
    <w:rsid w:val="00917933"/>
    <w:rsid w:val="009179B3"/>
    <w:rsid w:val="009179C8"/>
    <w:rsid w:val="009179CE"/>
    <w:rsid w:val="00917A4E"/>
    <w:rsid w:val="00917A59"/>
    <w:rsid w:val="00917A70"/>
    <w:rsid w:val="00917AC9"/>
    <w:rsid w:val="00917B47"/>
    <w:rsid w:val="00917B4D"/>
    <w:rsid w:val="00917BB0"/>
    <w:rsid w:val="00917BE8"/>
    <w:rsid w:val="00917C07"/>
    <w:rsid w:val="00917C98"/>
    <w:rsid w:val="00917DAF"/>
    <w:rsid w:val="00917DB5"/>
    <w:rsid w:val="00917DE7"/>
    <w:rsid w:val="00917E24"/>
    <w:rsid w:val="00917E28"/>
    <w:rsid w:val="00917E9C"/>
    <w:rsid w:val="00917F7D"/>
    <w:rsid w:val="00917F9E"/>
    <w:rsid w:val="00917FDA"/>
    <w:rsid w:val="00920047"/>
    <w:rsid w:val="009200A4"/>
    <w:rsid w:val="00920158"/>
    <w:rsid w:val="009201AB"/>
    <w:rsid w:val="009201B0"/>
    <w:rsid w:val="009201BE"/>
    <w:rsid w:val="00920201"/>
    <w:rsid w:val="00920217"/>
    <w:rsid w:val="0092023C"/>
    <w:rsid w:val="00920241"/>
    <w:rsid w:val="00920253"/>
    <w:rsid w:val="00920269"/>
    <w:rsid w:val="0092028A"/>
    <w:rsid w:val="009202FF"/>
    <w:rsid w:val="00920301"/>
    <w:rsid w:val="00920359"/>
    <w:rsid w:val="00920374"/>
    <w:rsid w:val="0092037A"/>
    <w:rsid w:val="009203A9"/>
    <w:rsid w:val="009203E1"/>
    <w:rsid w:val="00920400"/>
    <w:rsid w:val="00920436"/>
    <w:rsid w:val="00920542"/>
    <w:rsid w:val="00920626"/>
    <w:rsid w:val="0092063B"/>
    <w:rsid w:val="00920689"/>
    <w:rsid w:val="009206AB"/>
    <w:rsid w:val="009207B0"/>
    <w:rsid w:val="009207D1"/>
    <w:rsid w:val="009207EA"/>
    <w:rsid w:val="009207EC"/>
    <w:rsid w:val="009207F9"/>
    <w:rsid w:val="0092090C"/>
    <w:rsid w:val="00920967"/>
    <w:rsid w:val="00920969"/>
    <w:rsid w:val="0092096D"/>
    <w:rsid w:val="009209D8"/>
    <w:rsid w:val="00920A5B"/>
    <w:rsid w:val="00920A92"/>
    <w:rsid w:val="00920AAA"/>
    <w:rsid w:val="00920AB2"/>
    <w:rsid w:val="00920AF9"/>
    <w:rsid w:val="00920B4F"/>
    <w:rsid w:val="00920B55"/>
    <w:rsid w:val="00920B7D"/>
    <w:rsid w:val="00920B82"/>
    <w:rsid w:val="00920C16"/>
    <w:rsid w:val="00920C6E"/>
    <w:rsid w:val="00920CDC"/>
    <w:rsid w:val="00920D13"/>
    <w:rsid w:val="00920D3C"/>
    <w:rsid w:val="00920D91"/>
    <w:rsid w:val="00920DCD"/>
    <w:rsid w:val="00920DD8"/>
    <w:rsid w:val="00920DF9"/>
    <w:rsid w:val="00920E3C"/>
    <w:rsid w:val="00920E54"/>
    <w:rsid w:val="00920E88"/>
    <w:rsid w:val="00920EFF"/>
    <w:rsid w:val="00920F23"/>
    <w:rsid w:val="00920F74"/>
    <w:rsid w:val="00920FB9"/>
    <w:rsid w:val="00921025"/>
    <w:rsid w:val="009210CA"/>
    <w:rsid w:val="009210E7"/>
    <w:rsid w:val="009210F7"/>
    <w:rsid w:val="009211C4"/>
    <w:rsid w:val="009211F6"/>
    <w:rsid w:val="00921261"/>
    <w:rsid w:val="009212AF"/>
    <w:rsid w:val="009212DA"/>
    <w:rsid w:val="009212FB"/>
    <w:rsid w:val="0092134F"/>
    <w:rsid w:val="00921373"/>
    <w:rsid w:val="00921378"/>
    <w:rsid w:val="00921381"/>
    <w:rsid w:val="009213CF"/>
    <w:rsid w:val="009213D2"/>
    <w:rsid w:val="009213E0"/>
    <w:rsid w:val="0092141F"/>
    <w:rsid w:val="00921463"/>
    <w:rsid w:val="009214CC"/>
    <w:rsid w:val="00921564"/>
    <w:rsid w:val="0092156A"/>
    <w:rsid w:val="0092157E"/>
    <w:rsid w:val="00921593"/>
    <w:rsid w:val="009215B1"/>
    <w:rsid w:val="0092162E"/>
    <w:rsid w:val="009216E8"/>
    <w:rsid w:val="00921755"/>
    <w:rsid w:val="009217DB"/>
    <w:rsid w:val="0092186A"/>
    <w:rsid w:val="009218A4"/>
    <w:rsid w:val="009218F5"/>
    <w:rsid w:val="009219B9"/>
    <w:rsid w:val="00921AF5"/>
    <w:rsid w:val="00921AF8"/>
    <w:rsid w:val="00921B4B"/>
    <w:rsid w:val="00921B4C"/>
    <w:rsid w:val="00921B60"/>
    <w:rsid w:val="00921BB8"/>
    <w:rsid w:val="00921BED"/>
    <w:rsid w:val="00921C3F"/>
    <w:rsid w:val="00921CD9"/>
    <w:rsid w:val="00921D13"/>
    <w:rsid w:val="00921D2D"/>
    <w:rsid w:val="00921DAF"/>
    <w:rsid w:val="00921E17"/>
    <w:rsid w:val="00921E33"/>
    <w:rsid w:val="00921E40"/>
    <w:rsid w:val="00921E59"/>
    <w:rsid w:val="00921EDD"/>
    <w:rsid w:val="00921F54"/>
    <w:rsid w:val="00921F70"/>
    <w:rsid w:val="00921F74"/>
    <w:rsid w:val="00921F7B"/>
    <w:rsid w:val="00921FBA"/>
    <w:rsid w:val="00921FF3"/>
    <w:rsid w:val="00922118"/>
    <w:rsid w:val="00922179"/>
    <w:rsid w:val="009221D2"/>
    <w:rsid w:val="009221E7"/>
    <w:rsid w:val="00922205"/>
    <w:rsid w:val="0092223F"/>
    <w:rsid w:val="00922250"/>
    <w:rsid w:val="00922263"/>
    <w:rsid w:val="009222FA"/>
    <w:rsid w:val="00922319"/>
    <w:rsid w:val="00922363"/>
    <w:rsid w:val="009223D8"/>
    <w:rsid w:val="009223E3"/>
    <w:rsid w:val="0092243D"/>
    <w:rsid w:val="0092245B"/>
    <w:rsid w:val="009224E7"/>
    <w:rsid w:val="0092255B"/>
    <w:rsid w:val="0092258D"/>
    <w:rsid w:val="009225E4"/>
    <w:rsid w:val="0092261A"/>
    <w:rsid w:val="0092263C"/>
    <w:rsid w:val="0092263F"/>
    <w:rsid w:val="00922784"/>
    <w:rsid w:val="00922809"/>
    <w:rsid w:val="00922814"/>
    <w:rsid w:val="0092282C"/>
    <w:rsid w:val="00922883"/>
    <w:rsid w:val="0092289E"/>
    <w:rsid w:val="0092299D"/>
    <w:rsid w:val="0092299E"/>
    <w:rsid w:val="009229B4"/>
    <w:rsid w:val="00922A1D"/>
    <w:rsid w:val="00922A2F"/>
    <w:rsid w:val="00922A5D"/>
    <w:rsid w:val="00922A70"/>
    <w:rsid w:val="00922A73"/>
    <w:rsid w:val="00922B3B"/>
    <w:rsid w:val="00922BBC"/>
    <w:rsid w:val="00922C33"/>
    <w:rsid w:val="00922C87"/>
    <w:rsid w:val="00922CDF"/>
    <w:rsid w:val="00922D05"/>
    <w:rsid w:val="00922D66"/>
    <w:rsid w:val="00922D71"/>
    <w:rsid w:val="00922DAF"/>
    <w:rsid w:val="00922DCE"/>
    <w:rsid w:val="00922E09"/>
    <w:rsid w:val="00922E14"/>
    <w:rsid w:val="00922E63"/>
    <w:rsid w:val="00922ED0"/>
    <w:rsid w:val="00922F27"/>
    <w:rsid w:val="00922F2F"/>
    <w:rsid w:val="00922F74"/>
    <w:rsid w:val="00922FED"/>
    <w:rsid w:val="00923009"/>
    <w:rsid w:val="0092300C"/>
    <w:rsid w:val="0092301E"/>
    <w:rsid w:val="00923038"/>
    <w:rsid w:val="00923045"/>
    <w:rsid w:val="00923079"/>
    <w:rsid w:val="00923089"/>
    <w:rsid w:val="009230A5"/>
    <w:rsid w:val="009230B4"/>
    <w:rsid w:val="009230B5"/>
    <w:rsid w:val="009230C5"/>
    <w:rsid w:val="009230CB"/>
    <w:rsid w:val="0092313B"/>
    <w:rsid w:val="00923143"/>
    <w:rsid w:val="00923166"/>
    <w:rsid w:val="00923174"/>
    <w:rsid w:val="0092327B"/>
    <w:rsid w:val="009232E3"/>
    <w:rsid w:val="009232FF"/>
    <w:rsid w:val="00923389"/>
    <w:rsid w:val="009233AB"/>
    <w:rsid w:val="009233F9"/>
    <w:rsid w:val="0092345E"/>
    <w:rsid w:val="0092346D"/>
    <w:rsid w:val="0092346E"/>
    <w:rsid w:val="00923484"/>
    <w:rsid w:val="009234D2"/>
    <w:rsid w:val="0092352A"/>
    <w:rsid w:val="00923575"/>
    <w:rsid w:val="00923632"/>
    <w:rsid w:val="0092366C"/>
    <w:rsid w:val="009236AF"/>
    <w:rsid w:val="009236FC"/>
    <w:rsid w:val="00923773"/>
    <w:rsid w:val="009237E0"/>
    <w:rsid w:val="009237ED"/>
    <w:rsid w:val="0092382A"/>
    <w:rsid w:val="00923884"/>
    <w:rsid w:val="009238B9"/>
    <w:rsid w:val="009238E6"/>
    <w:rsid w:val="009238F0"/>
    <w:rsid w:val="00923936"/>
    <w:rsid w:val="0092397E"/>
    <w:rsid w:val="009239C2"/>
    <w:rsid w:val="009239C6"/>
    <w:rsid w:val="00923A07"/>
    <w:rsid w:val="00923A0E"/>
    <w:rsid w:val="00923A24"/>
    <w:rsid w:val="00923A29"/>
    <w:rsid w:val="00923A8C"/>
    <w:rsid w:val="00923AEF"/>
    <w:rsid w:val="00923B2F"/>
    <w:rsid w:val="00923B44"/>
    <w:rsid w:val="00923BAB"/>
    <w:rsid w:val="00923C0C"/>
    <w:rsid w:val="00923CC7"/>
    <w:rsid w:val="00923D34"/>
    <w:rsid w:val="00923D6F"/>
    <w:rsid w:val="00923DB2"/>
    <w:rsid w:val="00923E23"/>
    <w:rsid w:val="00923E34"/>
    <w:rsid w:val="00923F4A"/>
    <w:rsid w:val="00923F8A"/>
    <w:rsid w:val="00923FA0"/>
    <w:rsid w:val="00924013"/>
    <w:rsid w:val="00924046"/>
    <w:rsid w:val="00924096"/>
    <w:rsid w:val="009240BF"/>
    <w:rsid w:val="00924137"/>
    <w:rsid w:val="009241A9"/>
    <w:rsid w:val="009241CA"/>
    <w:rsid w:val="009241FA"/>
    <w:rsid w:val="00924224"/>
    <w:rsid w:val="00924234"/>
    <w:rsid w:val="0092428F"/>
    <w:rsid w:val="009242B8"/>
    <w:rsid w:val="009242BB"/>
    <w:rsid w:val="009242CE"/>
    <w:rsid w:val="00924364"/>
    <w:rsid w:val="009243E2"/>
    <w:rsid w:val="00924441"/>
    <w:rsid w:val="00924477"/>
    <w:rsid w:val="009244FF"/>
    <w:rsid w:val="00924563"/>
    <w:rsid w:val="009245A0"/>
    <w:rsid w:val="009245BB"/>
    <w:rsid w:val="00924644"/>
    <w:rsid w:val="009246B7"/>
    <w:rsid w:val="009246BB"/>
    <w:rsid w:val="009246DA"/>
    <w:rsid w:val="0092477D"/>
    <w:rsid w:val="009247A1"/>
    <w:rsid w:val="009247EC"/>
    <w:rsid w:val="00924842"/>
    <w:rsid w:val="00924872"/>
    <w:rsid w:val="009248B6"/>
    <w:rsid w:val="009248CA"/>
    <w:rsid w:val="00924969"/>
    <w:rsid w:val="009249B6"/>
    <w:rsid w:val="009249B9"/>
    <w:rsid w:val="00924A2B"/>
    <w:rsid w:val="00924A8B"/>
    <w:rsid w:val="00924B23"/>
    <w:rsid w:val="00924B33"/>
    <w:rsid w:val="00924BA6"/>
    <w:rsid w:val="00924BAA"/>
    <w:rsid w:val="00924C1D"/>
    <w:rsid w:val="00924C2A"/>
    <w:rsid w:val="00924C47"/>
    <w:rsid w:val="00924CA1"/>
    <w:rsid w:val="00924CCA"/>
    <w:rsid w:val="00924D6C"/>
    <w:rsid w:val="00924D95"/>
    <w:rsid w:val="00924D98"/>
    <w:rsid w:val="00924DB3"/>
    <w:rsid w:val="00924E04"/>
    <w:rsid w:val="00924E21"/>
    <w:rsid w:val="00924E36"/>
    <w:rsid w:val="00924E40"/>
    <w:rsid w:val="00924E71"/>
    <w:rsid w:val="00924EEA"/>
    <w:rsid w:val="00924FFB"/>
    <w:rsid w:val="0092500A"/>
    <w:rsid w:val="00925011"/>
    <w:rsid w:val="00925068"/>
    <w:rsid w:val="009250EF"/>
    <w:rsid w:val="00925130"/>
    <w:rsid w:val="0092515B"/>
    <w:rsid w:val="00925178"/>
    <w:rsid w:val="009251A9"/>
    <w:rsid w:val="009251EE"/>
    <w:rsid w:val="00925234"/>
    <w:rsid w:val="0092526C"/>
    <w:rsid w:val="00925291"/>
    <w:rsid w:val="00925303"/>
    <w:rsid w:val="0092531E"/>
    <w:rsid w:val="00925367"/>
    <w:rsid w:val="00925388"/>
    <w:rsid w:val="0092538B"/>
    <w:rsid w:val="0092539B"/>
    <w:rsid w:val="0092547E"/>
    <w:rsid w:val="00925482"/>
    <w:rsid w:val="009254B5"/>
    <w:rsid w:val="00925509"/>
    <w:rsid w:val="00925510"/>
    <w:rsid w:val="0092559A"/>
    <w:rsid w:val="009255A1"/>
    <w:rsid w:val="009255CE"/>
    <w:rsid w:val="009255E3"/>
    <w:rsid w:val="0092563D"/>
    <w:rsid w:val="009256C8"/>
    <w:rsid w:val="009256E5"/>
    <w:rsid w:val="009256FF"/>
    <w:rsid w:val="00925773"/>
    <w:rsid w:val="0092577E"/>
    <w:rsid w:val="00925792"/>
    <w:rsid w:val="00925829"/>
    <w:rsid w:val="009258C3"/>
    <w:rsid w:val="009258FA"/>
    <w:rsid w:val="0092591B"/>
    <w:rsid w:val="00925922"/>
    <w:rsid w:val="00925923"/>
    <w:rsid w:val="009259A5"/>
    <w:rsid w:val="009259AA"/>
    <w:rsid w:val="00925A38"/>
    <w:rsid w:val="00925A60"/>
    <w:rsid w:val="00925A73"/>
    <w:rsid w:val="00925AA5"/>
    <w:rsid w:val="00925B48"/>
    <w:rsid w:val="00925B5C"/>
    <w:rsid w:val="00925B8D"/>
    <w:rsid w:val="00925BB1"/>
    <w:rsid w:val="00925BEF"/>
    <w:rsid w:val="00925C1D"/>
    <w:rsid w:val="00925C25"/>
    <w:rsid w:val="00925CC3"/>
    <w:rsid w:val="00925CFE"/>
    <w:rsid w:val="00925D0F"/>
    <w:rsid w:val="00925D11"/>
    <w:rsid w:val="00925E2C"/>
    <w:rsid w:val="00925E55"/>
    <w:rsid w:val="00925EAE"/>
    <w:rsid w:val="00925EB9"/>
    <w:rsid w:val="00925EBD"/>
    <w:rsid w:val="00925EF3"/>
    <w:rsid w:val="00925F68"/>
    <w:rsid w:val="0092601B"/>
    <w:rsid w:val="0092609E"/>
    <w:rsid w:val="009260AC"/>
    <w:rsid w:val="009260B6"/>
    <w:rsid w:val="009260C7"/>
    <w:rsid w:val="009260ED"/>
    <w:rsid w:val="0092618D"/>
    <w:rsid w:val="00926198"/>
    <w:rsid w:val="009261E4"/>
    <w:rsid w:val="00926246"/>
    <w:rsid w:val="009262AD"/>
    <w:rsid w:val="009262C5"/>
    <w:rsid w:val="00926360"/>
    <w:rsid w:val="0092639D"/>
    <w:rsid w:val="009263A4"/>
    <w:rsid w:val="009263D7"/>
    <w:rsid w:val="0092644B"/>
    <w:rsid w:val="00926486"/>
    <w:rsid w:val="009264E2"/>
    <w:rsid w:val="009265A8"/>
    <w:rsid w:val="009265C1"/>
    <w:rsid w:val="00926693"/>
    <w:rsid w:val="009266AB"/>
    <w:rsid w:val="009266BE"/>
    <w:rsid w:val="009266D6"/>
    <w:rsid w:val="009267BF"/>
    <w:rsid w:val="0092686C"/>
    <w:rsid w:val="00926870"/>
    <w:rsid w:val="009268B4"/>
    <w:rsid w:val="009268C9"/>
    <w:rsid w:val="00926935"/>
    <w:rsid w:val="00926961"/>
    <w:rsid w:val="0092697F"/>
    <w:rsid w:val="009269AB"/>
    <w:rsid w:val="009269AC"/>
    <w:rsid w:val="009269D0"/>
    <w:rsid w:val="00926A23"/>
    <w:rsid w:val="00926A28"/>
    <w:rsid w:val="00926A76"/>
    <w:rsid w:val="00926A7F"/>
    <w:rsid w:val="00926AA1"/>
    <w:rsid w:val="00926B02"/>
    <w:rsid w:val="00926B0C"/>
    <w:rsid w:val="00926B1C"/>
    <w:rsid w:val="00926B9C"/>
    <w:rsid w:val="00926BA4"/>
    <w:rsid w:val="00926BB7"/>
    <w:rsid w:val="00926BBA"/>
    <w:rsid w:val="00926BC0"/>
    <w:rsid w:val="00926C06"/>
    <w:rsid w:val="00926C2E"/>
    <w:rsid w:val="00926C76"/>
    <w:rsid w:val="00926C7F"/>
    <w:rsid w:val="00926C84"/>
    <w:rsid w:val="00926C88"/>
    <w:rsid w:val="00926CBB"/>
    <w:rsid w:val="00926CFC"/>
    <w:rsid w:val="00926D07"/>
    <w:rsid w:val="00926D22"/>
    <w:rsid w:val="00926D4E"/>
    <w:rsid w:val="00926DB7"/>
    <w:rsid w:val="00926DC0"/>
    <w:rsid w:val="00926E59"/>
    <w:rsid w:val="00926EF4"/>
    <w:rsid w:val="00926F26"/>
    <w:rsid w:val="00926F2A"/>
    <w:rsid w:val="00926F4A"/>
    <w:rsid w:val="00926F74"/>
    <w:rsid w:val="00926FC3"/>
    <w:rsid w:val="0092700B"/>
    <w:rsid w:val="009270D5"/>
    <w:rsid w:val="00927139"/>
    <w:rsid w:val="00927206"/>
    <w:rsid w:val="00927252"/>
    <w:rsid w:val="00927294"/>
    <w:rsid w:val="009272C1"/>
    <w:rsid w:val="009272C8"/>
    <w:rsid w:val="009272E0"/>
    <w:rsid w:val="009272F2"/>
    <w:rsid w:val="009272FB"/>
    <w:rsid w:val="0092739F"/>
    <w:rsid w:val="00927421"/>
    <w:rsid w:val="0092742C"/>
    <w:rsid w:val="00927431"/>
    <w:rsid w:val="009274A0"/>
    <w:rsid w:val="009274CA"/>
    <w:rsid w:val="00927508"/>
    <w:rsid w:val="00927510"/>
    <w:rsid w:val="0092751E"/>
    <w:rsid w:val="00927528"/>
    <w:rsid w:val="009275AC"/>
    <w:rsid w:val="009275FF"/>
    <w:rsid w:val="0092761C"/>
    <w:rsid w:val="00927673"/>
    <w:rsid w:val="009276AD"/>
    <w:rsid w:val="009276BC"/>
    <w:rsid w:val="00927758"/>
    <w:rsid w:val="0092779A"/>
    <w:rsid w:val="0092779F"/>
    <w:rsid w:val="009277A5"/>
    <w:rsid w:val="009277B3"/>
    <w:rsid w:val="009277D1"/>
    <w:rsid w:val="009277F8"/>
    <w:rsid w:val="0092781B"/>
    <w:rsid w:val="0092782B"/>
    <w:rsid w:val="00927831"/>
    <w:rsid w:val="0092788E"/>
    <w:rsid w:val="00927890"/>
    <w:rsid w:val="009278A4"/>
    <w:rsid w:val="009278C6"/>
    <w:rsid w:val="0092791C"/>
    <w:rsid w:val="0092793B"/>
    <w:rsid w:val="00927949"/>
    <w:rsid w:val="0092797C"/>
    <w:rsid w:val="009279E4"/>
    <w:rsid w:val="00927A31"/>
    <w:rsid w:val="00927ADA"/>
    <w:rsid w:val="00927B1C"/>
    <w:rsid w:val="00927B6D"/>
    <w:rsid w:val="00927B90"/>
    <w:rsid w:val="00927BC5"/>
    <w:rsid w:val="00927BDD"/>
    <w:rsid w:val="00927C32"/>
    <w:rsid w:val="00927CC9"/>
    <w:rsid w:val="00927D18"/>
    <w:rsid w:val="00927D30"/>
    <w:rsid w:val="00927D5D"/>
    <w:rsid w:val="00927D94"/>
    <w:rsid w:val="00927DE8"/>
    <w:rsid w:val="00927E15"/>
    <w:rsid w:val="00927E3D"/>
    <w:rsid w:val="00927EFE"/>
    <w:rsid w:val="00927F11"/>
    <w:rsid w:val="00927F42"/>
    <w:rsid w:val="00927F4A"/>
    <w:rsid w:val="00927F4C"/>
    <w:rsid w:val="0093007F"/>
    <w:rsid w:val="009300D0"/>
    <w:rsid w:val="009300E4"/>
    <w:rsid w:val="00930143"/>
    <w:rsid w:val="00930189"/>
    <w:rsid w:val="009301B2"/>
    <w:rsid w:val="009301C8"/>
    <w:rsid w:val="009301E0"/>
    <w:rsid w:val="0093024A"/>
    <w:rsid w:val="009302E6"/>
    <w:rsid w:val="009302EB"/>
    <w:rsid w:val="009303EA"/>
    <w:rsid w:val="00930434"/>
    <w:rsid w:val="00930453"/>
    <w:rsid w:val="00930465"/>
    <w:rsid w:val="009304FC"/>
    <w:rsid w:val="009304FF"/>
    <w:rsid w:val="0093050C"/>
    <w:rsid w:val="0093052B"/>
    <w:rsid w:val="0093054E"/>
    <w:rsid w:val="0093057E"/>
    <w:rsid w:val="009305C6"/>
    <w:rsid w:val="009305CB"/>
    <w:rsid w:val="00930609"/>
    <w:rsid w:val="00930626"/>
    <w:rsid w:val="0093064A"/>
    <w:rsid w:val="009306D6"/>
    <w:rsid w:val="009306E0"/>
    <w:rsid w:val="009306EC"/>
    <w:rsid w:val="00930794"/>
    <w:rsid w:val="009308DA"/>
    <w:rsid w:val="00930917"/>
    <w:rsid w:val="00930924"/>
    <w:rsid w:val="0093092E"/>
    <w:rsid w:val="00930934"/>
    <w:rsid w:val="00930969"/>
    <w:rsid w:val="0093096D"/>
    <w:rsid w:val="00930994"/>
    <w:rsid w:val="009309E1"/>
    <w:rsid w:val="00930A24"/>
    <w:rsid w:val="00930A49"/>
    <w:rsid w:val="00930AF8"/>
    <w:rsid w:val="00930B01"/>
    <w:rsid w:val="00930B08"/>
    <w:rsid w:val="00930B6D"/>
    <w:rsid w:val="00930B78"/>
    <w:rsid w:val="00930BAF"/>
    <w:rsid w:val="00930BB2"/>
    <w:rsid w:val="00930BBC"/>
    <w:rsid w:val="00930BBD"/>
    <w:rsid w:val="00930CE5"/>
    <w:rsid w:val="00930CEA"/>
    <w:rsid w:val="00930D22"/>
    <w:rsid w:val="00930DB7"/>
    <w:rsid w:val="00930DBB"/>
    <w:rsid w:val="00930E06"/>
    <w:rsid w:val="00930E7C"/>
    <w:rsid w:val="00930E90"/>
    <w:rsid w:val="00930EFF"/>
    <w:rsid w:val="00930F17"/>
    <w:rsid w:val="00930F3C"/>
    <w:rsid w:val="00930F7B"/>
    <w:rsid w:val="00930F96"/>
    <w:rsid w:val="00931040"/>
    <w:rsid w:val="0093107A"/>
    <w:rsid w:val="009310CE"/>
    <w:rsid w:val="009310CF"/>
    <w:rsid w:val="009310F9"/>
    <w:rsid w:val="00931130"/>
    <w:rsid w:val="0093114B"/>
    <w:rsid w:val="00931159"/>
    <w:rsid w:val="0093116F"/>
    <w:rsid w:val="0093119D"/>
    <w:rsid w:val="009311CB"/>
    <w:rsid w:val="009311D9"/>
    <w:rsid w:val="0093121C"/>
    <w:rsid w:val="00931230"/>
    <w:rsid w:val="0093128E"/>
    <w:rsid w:val="00931296"/>
    <w:rsid w:val="009312B9"/>
    <w:rsid w:val="00931301"/>
    <w:rsid w:val="00931350"/>
    <w:rsid w:val="00931354"/>
    <w:rsid w:val="00931376"/>
    <w:rsid w:val="0093139A"/>
    <w:rsid w:val="009313D0"/>
    <w:rsid w:val="009313ED"/>
    <w:rsid w:val="009313FE"/>
    <w:rsid w:val="0093142C"/>
    <w:rsid w:val="0093145C"/>
    <w:rsid w:val="00931498"/>
    <w:rsid w:val="00931554"/>
    <w:rsid w:val="009315B3"/>
    <w:rsid w:val="00931634"/>
    <w:rsid w:val="00931656"/>
    <w:rsid w:val="00931663"/>
    <w:rsid w:val="009316AF"/>
    <w:rsid w:val="009316C8"/>
    <w:rsid w:val="009316D4"/>
    <w:rsid w:val="009316D8"/>
    <w:rsid w:val="0093174C"/>
    <w:rsid w:val="009317B5"/>
    <w:rsid w:val="009317B9"/>
    <w:rsid w:val="009317CD"/>
    <w:rsid w:val="0093187E"/>
    <w:rsid w:val="009318AB"/>
    <w:rsid w:val="009318AF"/>
    <w:rsid w:val="009318CD"/>
    <w:rsid w:val="00931919"/>
    <w:rsid w:val="009319C7"/>
    <w:rsid w:val="009319CB"/>
    <w:rsid w:val="009319D6"/>
    <w:rsid w:val="009319F7"/>
    <w:rsid w:val="00931A19"/>
    <w:rsid w:val="00931AAA"/>
    <w:rsid w:val="00931AFA"/>
    <w:rsid w:val="00931B52"/>
    <w:rsid w:val="00931B5A"/>
    <w:rsid w:val="00931B91"/>
    <w:rsid w:val="00931C02"/>
    <w:rsid w:val="00931C06"/>
    <w:rsid w:val="00931C0F"/>
    <w:rsid w:val="00931C32"/>
    <w:rsid w:val="00931CCF"/>
    <w:rsid w:val="00931CE7"/>
    <w:rsid w:val="00931E47"/>
    <w:rsid w:val="00931E6A"/>
    <w:rsid w:val="00931E95"/>
    <w:rsid w:val="00931EE8"/>
    <w:rsid w:val="00931F3A"/>
    <w:rsid w:val="00931F3E"/>
    <w:rsid w:val="00931F65"/>
    <w:rsid w:val="00931F9C"/>
    <w:rsid w:val="00931F9E"/>
    <w:rsid w:val="00931FC2"/>
    <w:rsid w:val="00932011"/>
    <w:rsid w:val="00932084"/>
    <w:rsid w:val="009320D9"/>
    <w:rsid w:val="0093210E"/>
    <w:rsid w:val="00932111"/>
    <w:rsid w:val="0093212E"/>
    <w:rsid w:val="009321AB"/>
    <w:rsid w:val="009321DF"/>
    <w:rsid w:val="00932207"/>
    <w:rsid w:val="0093220D"/>
    <w:rsid w:val="00932266"/>
    <w:rsid w:val="0093226E"/>
    <w:rsid w:val="009322B9"/>
    <w:rsid w:val="009322F8"/>
    <w:rsid w:val="00932304"/>
    <w:rsid w:val="00932326"/>
    <w:rsid w:val="00932339"/>
    <w:rsid w:val="0093233A"/>
    <w:rsid w:val="009323A0"/>
    <w:rsid w:val="00932400"/>
    <w:rsid w:val="00932421"/>
    <w:rsid w:val="00932499"/>
    <w:rsid w:val="009324F2"/>
    <w:rsid w:val="00932587"/>
    <w:rsid w:val="009325B1"/>
    <w:rsid w:val="009325E9"/>
    <w:rsid w:val="009326C5"/>
    <w:rsid w:val="00932702"/>
    <w:rsid w:val="00932742"/>
    <w:rsid w:val="00932766"/>
    <w:rsid w:val="0093278D"/>
    <w:rsid w:val="009327E7"/>
    <w:rsid w:val="009327FA"/>
    <w:rsid w:val="00932839"/>
    <w:rsid w:val="0093287D"/>
    <w:rsid w:val="00932926"/>
    <w:rsid w:val="00932971"/>
    <w:rsid w:val="00932998"/>
    <w:rsid w:val="009329BC"/>
    <w:rsid w:val="009329C1"/>
    <w:rsid w:val="009329CB"/>
    <w:rsid w:val="00932A74"/>
    <w:rsid w:val="00932AC0"/>
    <w:rsid w:val="00932AD7"/>
    <w:rsid w:val="00932B10"/>
    <w:rsid w:val="00932B6B"/>
    <w:rsid w:val="00932B94"/>
    <w:rsid w:val="00932BBF"/>
    <w:rsid w:val="00932C06"/>
    <w:rsid w:val="00932C33"/>
    <w:rsid w:val="00932C75"/>
    <w:rsid w:val="00932CB4"/>
    <w:rsid w:val="00932D10"/>
    <w:rsid w:val="00932D45"/>
    <w:rsid w:val="00932D4D"/>
    <w:rsid w:val="00932DD0"/>
    <w:rsid w:val="00932DE7"/>
    <w:rsid w:val="00932E28"/>
    <w:rsid w:val="00932E52"/>
    <w:rsid w:val="00932E94"/>
    <w:rsid w:val="00932EA6"/>
    <w:rsid w:val="00932F55"/>
    <w:rsid w:val="00932F64"/>
    <w:rsid w:val="00933025"/>
    <w:rsid w:val="0093304E"/>
    <w:rsid w:val="00933069"/>
    <w:rsid w:val="009330EF"/>
    <w:rsid w:val="00933193"/>
    <w:rsid w:val="00933194"/>
    <w:rsid w:val="009331F2"/>
    <w:rsid w:val="009333CE"/>
    <w:rsid w:val="00933463"/>
    <w:rsid w:val="0093347F"/>
    <w:rsid w:val="00933495"/>
    <w:rsid w:val="009334C2"/>
    <w:rsid w:val="00933523"/>
    <w:rsid w:val="00933527"/>
    <w:rsid w:val="00933574"/>
    <w:rsid w:val="009335A3"/>
    <w:rsid w:val="009335C8"/>
    <w:rsid w:val="0093364E"/>
    <w:rsid w:val="00933650"/>
    <w:rsid w:val="0093365E"/>
    <w:rsid w:val="00933692"/>
    <w:rsid w:val="009336BF"/>
    <w:rsid w:val="00933714"/>
    <w:rsid w:val="009337DB"/>
    <w:rsid w:val="009337F7"/>
    <w:rsid w:val="0093380A"/>
    <w:rsid w:val="00933840"/>
    <w:rsid w:val="00933854"/>
    <w:rsid w:val="00933857"/>
    <w:rsid w:val="0093388C"/>
    <w:rsid w:val="009338BD"/>
    <w:rsid w:val="009338D0"/>
    <w:rsid w:val="00933905"/>
    <w:rsid w:val="0093391D"/>
    <w:rsid w:val="00933951"/>
    <w:rsid w:val="0093396B"/>
    <w:rsid w:val="009339AF"/>
    <w:rsid w:val="009339D7"/>
    <w:rsid w:val="009339DF"/>
    <w:rsid w:val="00933A3A"/>
    <w:rsid w:val="00933A4A"/>
    <w:rsid w:val="00933ACE"/>
    <w:rsid w:val="00933AE5"/>
    <w:rsid w:val="00933B2E"/>
    <w:rsid w:val="00933B36"/>
    <w:rsid w:val="00933B43"/>
    <w:rsid w:val="00933B60"/>
    <w:rsid w:val="00933BD2"/>
    <w:rsid w:val="00933C4E"/>
    <w:rsid w:val="00933CBC"/>
    <w:rsid w:val="00933D6D"/>
    <w:rsid w:val="00933DC3"/>
    <w:rsid w:val="00933DD1"/>
    <w:rsid w:val="00933DED"/>
    <w:rsid w:val="00933E18"/>
    <w:rsid w:val="00933E71"/>
    <w:rsid w:val="00933E9D"/>
    <w:rsid w:val="00933EF2"/>
    <w:rsid w:val="00933F03"/>
    <w:rsid w:val="00933F31"/>
    <w:rsid w:val="00933F67"/>
    <w:rsid w:val="00933F6F"/>
    <w:rsid w:val="00933FBB"/>
    <w:rsid w:val="00933FDD"/>
    <w:rsid w:val="00933FFB"/>
    <w:rsid w:val="00934002"/>
    <w:rsid w:val="00934041"/>
    <w:rsid w:val="0093406C"/>
    <w:rsid w:val="009340AD"/>
    <w:rsid w:val="00934105"/>
    <w:rsid w:val="0093411A"/>
    <w:rsid w:val="00934140"/>
    <w:rsid w:val="00934158"/>
    <w:rsid w:val="009341B6"/>
    <w:rsid w:val="009341BC"/>
    <w:rsid w:val="00934227"/>
    <w:rsid w:val="0093428B"/>
    <w:rsid w:val="0093428C"/>
    <w:rsid w:val="009342C0"/>
    <w:rsid w:val="009342CA"/>
    <w:rsid w:val="0093431E"/>
    <w:rsid w:val="00934348"/>
    <w:rsid w:val="00934396"/>
    <w:rsid w:val="009343AF"/>
    <w:rsid w:val="0093441B"/>
    <w:rsid w:val="00934426"/>
    <w:rsid w:val="0093443C"/>
    <w:rsid w:val="0093446D"/>
    <w:rsid w:val="0093447D"/>
    <w:rsid w:val="00934490"/>
    <w:rsid w:val="0093449D"/>
    <w:rsid w:val="009344C8"/>
    <w:rsid w:val="009344F1"/>
    <w:rsid w:val="00934532"/>
    <w:rsid w:val="00934588"/>
    <w:rsid w:val="009345AE"/>
    <w:rsid w:val="009345CD"/>
    <w:rsid w:val="00934641"/>
    <w:rsid w:val="00934642"/>
    <w:rsid w:val="009346AA"/>
    <w:rsid w:val="00934769"/>
    <w:rsid w:val="009347D5"/>
    <w:rsid w:val="009347E2"/>
    <w:rsid w:val="009347E3"/>
    <w:rsid w:val="009347ED"/>
    <w:rsid w:val="0093489C"/>
    <w:rsid w:val="009348A2"/>
    <w:rsid w:val="0093493C"/>
    <w:rsid w:val="009349BB"/>
    <w:rsid w:val="00934A11"/>
    <w:rsid w:val="00934A30"/>
    <w:rsid w:val="00934A39"/>
    <w:rsid w:val="00934A4E"/>
    <w:rsid w:val="00934A55"/>
    <w:rsid w:val="00934A68"/>
    <w:rsid w:val="00934A88"/>
    <w:rsid w:val="00934B06"/>
    <w:rsid w:val="00934BC8"/>
    <w:rsid w:val="00934C14"/>
    <w:rsid w:val="00934C1F"/>
    <w:rsid w:val="00934C37"/>
    <w:rsid w:val="00934CA8"/>
    <w:rsid w:val="00934CD1"/>
    <w:rsid w:val="00934D23"/>
    <w:rsid w:val="00934D77"/>
    <w:rsid w:val="00934DA4"/>
    <w:rsid w:val="00934DCB"/>
    <w:rsid w:val="00934F40"/>
    <w:rsid w:val="00934FD9"/>
    <w:rsid w:val="00935044"/>
    <w:rsid w:val="00935079"/>
    <w:rsid w:val="00935094"/>
    <w:rsid w:val="0093512B"/>
    <w:rsid w:val="00935155"/>
    <w:rsid w:val="00935188"/>
    <w:rsid w:val="00935199"/>
    <w:rsid w:val="009351BE"/>
    <w:rsid w:val="0093521A"/>
    <w:rsid w:val="009352C2"/>
    <w:rsid w:val="009352DF"/>
    <w:rsid w:val="0093533E"/>
    <w:rsid w:val="00935350"/>
    <w:rsid w:val="009353EC"/>
    <w:rsid w:val="0093540D"/>
    <w:rsid w:val="00935413"/>
    <w:rsid w:val="0093543B"/>
    <w:rsid w:val="00935474"/>
    <w:rsid w:val="009354FC"/>
    <w:rsid w:val="00935539"/>
    <w:rsid w:val="0093558B"/>
    <w:rsid w:val="009355AF"/>
    <w:rsid w:val="00935604"/>
    <w:rsid w:val="0093569C"/>
    <w:rsid w:val="009356A0"/>
    <w:rsid w:val="00935713"/>
    <w:rsid w:val="009357C4"/>
    <w:rsid w:val="009357F7"/>
    <w:rsid w:val="009358A2"/>
    <w:rsid w:val="009358A7"/>
    <w:rsid w:val="009358B1"/>
    <w:rsid w:val="009358D8"/>
    <w:rsid w:val="00935921"/>
    <w:rsid w:val="00935A15"/>
    <w:rsid w:val="00935AB4"/>
    <w:rsid w:val="00935AEA"/>
    <w:rsid w:val="00935AF3"/>
    <w:rsid w:val="00935B7A"/>
    <w:rsid w:val="00935BB4"/>
    <w:rsid w:val="00935BB9"/>
    <w:rsid w:val="00935C16"/>
    <w:rsid w:val="00935C29"/>
    <w:rsid w:val="00935C32"/>
    <w:rsid w:val="00935C44"/>
    <w:rsid w:val="00935C6C"/>
    <w:rsid w:val="00935CA8"/>
    <w:rsid w:val="00935D26"/>
    <w:rsid w:val="00935D55"/>
    <w:rsid w:val="00935DF1"/>
    <w:rsid w:val="00935E02"/>
    <w:rsid w:val="00935E47"/>
    <w:rsid w:val="00935EE6"/>
    <w:rsid w:val="00935F22"/>
    <w:rsid w:val="0093600A"/>
    <w:rsid w:val="00936091"/>
    <w:rsid w:val="009360CF"/>
    <w:rsid w:val="0093624F"/>
    <w:rsid w:val="009362B0"/>
    <w:rsid w:val="009362DA"/>
    <w:rsid w:val="00936346"/>
    <w:rsid w:val="009363A7"/>
    <w:rsid w:val="009363C4"/>
    <w:rsid w:val="009363EA"/>
    <w:rsid w:val="00936457"/>
    <w:rsid w:val="00936461"/>
    <w:rsid w:val="00936465"/>
    <w:rsid w:val="009364C1"/>
    <w:rsid w:val="0093651B"/>
    <w:rsid w:val="0093652A"/>
    <w:rsid w:val="00936538"/>
    <w:rsid w:val="0093659F"/>
    <w:rsid w:val="00936646"/>
    <w:rsid w:val="00936692"/>
    <w:rsid w:val="0093669A"/>
    <w:rsid w:val="009366A1"/>
    <w:rsid w:val="009366E3"/>
    <w:rsid w:val="0093673F"/>
    <w:rsid w:val="0093676D"/>
    <w:rsid w:val="00936778"/>
    <w:rsid w:val="00936781"/>
    <w:rsid w:val="009367B3"/>
    <w:rsid w:val="00936806"/>
    <w:rsid w:val="00936813"/>
    <w:rsid w:val="0093684A"/>
    <w:rsid w:val="00936857"/>
    <w:rsid w:val="009368BE"/>
    <w:rsid w:val="009368DB"/>
    <w:rsid w:val="00936999"/>
    <w:rsid w:val="009369AE"/>
    <w:rsid w:val="00936A43"/>
    <w:rsid w:val="00936A47"/>
    <w:rsid w:val="00936A75"/>
    <w:rsid w:val="00936B7E"/>
    <w:rsid w:val="00936C16"/>
    <w:rsid w:val="00936C34"/>
    <w:rsid w:val="00936C46"/>
    <w:rsid w:val="00936C55"/>
    <w:rsid w:val="00936CB6"/>
    <w:rsid w:val="00936D09"/>
    <w:rsid w:val="00936D3B"/>
    <w:rsid w:val="00936DB8"/>
    <w:rsid w:val="00936DE6"/>
    <w:rsid w:val="00936E3A"/>
    <w:rsid w:val="00936E84"/>
    <w:rsid w:val="00936E86"/>
    <w:rsid w:val="00936F45"/>
    <w:rsid w:val="00936FDF"/>
    <w:rsid w:val="00936FE5"/>
    <w:rsid w:val="009370A3"/>
    <w:rsid w:val="009370E9"/>
    <w:rsid w:val="0093712B"/>
    <w:rsid w:val="0093712C"/>
    <w:rsid w:val="0093717E"/>
    <w:rsid w:val="0093718A"/>
    <w:rsid w:val="009371DE"/>
    <w:rsid w:val="00937245"/>
    <w:rsid w:val="00937264"/>
    <w:rsid w:val="0093727E"/>
    <w:rsid w:val="0093728F"/>
    <w:rsid w:val="009372B0"/>
    <w:rsid w:val="009372DE"/>
    <w:rsid w:val="009372EE"/>
    <w:rsid w:val="009372FB"/>
    <w:rsid w:val="00937312"/>
    <w:rsid w:val="00937319"/>
    <w:rsid w:val="00937372"/>
    <w:rsid w:val="00937374"/>
    <w:rsid w:val="009373E8"/>
    <w:rsid w:val="009373F5"/>
    <w:rsid w:val="00937488"/>
    <w:rsid w:val="009374CE"/>
    <w:rsid w:val="009374E1"/>
    <w:rsid w:val="00937527"/>
    <w:rsid w:val="00937592"/>
    <w:rsid w:val="00937598"/>
    <w:rsid w:val="009376A3"/>
    <w:rsid w:val="009376BF"/>
    <w:rsid w:val="009376F4"/>
    <w:rsid w:val="00937717"/>
    <w:rsid w:val="00937754"/>
    <w:rsid w:val="009377E4"/>
    <w:rsid w:val="009377F8"/>
    <w:rsid w:val="00937800"/>
    <w:rsid w:val="009378D4"/>
    <w:rsid w:val="009378FD"/>
    <w:rsid w:val="0093794C"/>
    <w:rsid w:val="0093796D"/>
    <w:rsid w:val="0093798B"/>
    <w:rsid w:val="009379AB"/>
    <w:rsid w:val="009379CE"/>
    <w:rsid w:val="00937A37"/>
    <w:rsid w:val="00937A49"/>
    <w:rsid w:val="00937B15"/>
    <w:rsid w:val="00937B9A"/>
    <w:rsid w:val="00937C22"/>
    <w:rsid w:val="00937CF1"/>
    <w:rsid w:val="00937D00"/>
    <w:rsid w:val="00937D2D"/>
    <w:rsid w:val="00937D6B"/>
    <w:rsid w:val="00937DEF"/>
    <w:rsid w:val="00937E3F"/>
    <w:rsid w:val="00937E43"/>
    <w:rsid w:val="00937E6C"/>
    <w:rsid w:val="00937E82"/>
    <w:rsid w:val="00937F03"/>
    <w:rsid w:val="00937F1B"/>
    <w:rsid w:val="00937F22"/>
    <w:rsid w:val="00937F74"/>
    <w:rsid w:val="00937FB6"/>
    <w:rsid w:val="00940073"/>
    <w:rsid w:val="0094007C"/>
    <w:rsid w:val="00940087"/>
    <w:rsid w:val="00940096"/>
    <w:rsid w:val="009400B0"/>
    <w:rsid w:val="0094012B"/>
    <w:rsid w:val="0094012F"/>
    <w:rsid w:val="0094013F"/>
    <w:rsid w:val="00940151"/>
    <w:rsid w:val="0094019D"/>
    <w:rsid w:val="009401CB"/>
    <w:rsid w:val="009401D6"/>
    <w:rsid w:val="0094024F"/>
    <w:rsid w:val="0094025E"/>
    <w:rsid w:val="00940276"/>
    <w:rsid w:val="009402B5"/>
    <w:rsid w:val="009403AB"/>
    <w:rsid w:val="009403C9"/>
    <w:rsid w:val="009403F8"/>
    <w:rsid w:val="00940464"/>
    <w:rsid w:val="00940467"/>
    <w:rsid w:val="009404BC"/>
    <w:rsid w:val="009404BF"/>
    <w:rsid w:val="009404E9"/>
    <w:rsid w:val="00940513"/>
    <w:rsid w:val="00940518"/>
    <w:rsid w:val="00940537"/>
    <w:rsid w:val="0094053D"/>
    <w:rsid w:val="0094054C"/>
    <w:rsid w:val="009405A8"/>
    <w:rsid w:val="009405B0"/>
    <w:rsid w:val="0094070B"/>
    <w:rsid w:val="0094072F"/>
    <w:rsid w:val="00940735"/>
    <w:rsid w:val="00940774"/>
    <w:rsid w:val="00940865"/>
    <w:rsid w:val="009408FA"/>
    <w:rsid w:val="0094096F"/>
    <w:rsid w:val="009409A5"/>
    <w:rsid w:val="009409D1"/>
    <w:rsid w:val="00940A12"/>
    <w:rsid w:val="00940A53"/>
    <w:rsid w:val="00940AF2"/>
    <w:rsid w:val="00940B4F"/>
    <w:rsid w:val="00940B89"/>
    <w:rsid w:val="00940B95"/>
    <w:rsid w:val="00940BA2"/>
    <w:rsid w:val="00940BC9"/>
    <w:rsid w:val="00940BF0"/>
    <w:rsid w:val="00940C1F"/>
    <w:rsid w:val="00940C40"/>
    <w:rsid w:val="00940C87"/>
    <w:rsid w:val="00940CE4"/>
    <w:rsid w:val="00940D21"/>
    <w:rsid w:val="00940DB1"/>
    <w:rsid w:val="00940E26"/>
    <w:rsid w:val="00940E36"/>
    <w:rsid w:val="00940E70"/>
    <w:rsid w:val="00940EA7"/>
    <w:rsid w:val="00940ED5"/>
    <w:rsid w:val="00940EF4"/>
    <w:rsid w:val="00940F6C"/>
    <w:rsid w:val="00940FAD"/>
    <w:rsid w:val="00940FDC"/>
    <w:rsid w:val="0094106F"/>
    <w:rsid w:val="00941142"/>
    <w:rsid w:val="009412FF"/>
    <w:rsid w:val="00941318"/>
    <w:rsid w:val="00941339"/>
    <w:rsid w:val="009413E5"/>
    <w:rsid w:val="009414A3"/>
    <w:rsid w:val="009414C0"/>
    <w:rsid w:val="009414F0"/>
    <w:rsid w:val="0094150F"/>
    <w:rsid w:val="009415C5"/>
    <w:rsid w:val="0094160C"/>
    <w:rsid w:val="0094165B"/>
    <w:rsid w:val="00941666"/>
    <w:rsid w:val="00941682"/>
    <w:rsid w:val="00941692"/>
    <w:rsid w:val="009416BF"/>
    <w:rsid w:val="009416E6"/>
    <w:rsid w:val="00941743"/>
    <w:rsid w:val="00941744"/>
    <w:rsid w:val="00941788"/>
    <w:rsid w:val="00941794"/>
    <w:rsid w:val="009417B7"/>
    <w:rsid w:val="009417EC"/>
    <w:rsid w:val="00941867"/>
    <w:rsid w:val="00941898"/>
    <w:rsid w:val="00941960"/>
    <w:rsid w:val="00941988"/>
    <w:rsid w:val="009419F9"/>
    <w:rsid w:val="00941A0B"/>
    <w:rsid w:val="00941A49"/>
    <w:rsid w:val="00941ACC"/>
    <w:rsid w:val="00941AF9"/>
    <w:rsid w:val="00941B46"/>
    <w:rsid w:val="00941BC2"/>
    <w:rsid w:val="00941BF0"/>
    <w:rsid w:val="00941BFA"/>
    <w:rsid w:val="00941C58"/>
    <w:rsid w:val="00941C72"/>
    <w:rsid w:val="00941CE6"/>
    <w:rsid w:val="00941CE8"/>
    <w:rsid w:val="00941D35"/>
    <w:rsid w:val="00941D36"/>
    <w:rsid w:val="00941D63"/>
    <w:rsid w:val="00941DE1"/>
    <w:rsid w:val="00941E04"/>
    <w:rsid w:val="00941E31"/>
    <w:rsid w:val="00941E33"/>
    <w:rsid w:val="00941E3D"/>
    <w:rsid w:val="00941E80"/>
    <w:rsid w:val="00941EE8"/>
    <w:rsid w:val="00941F20"/>
    <w:rsid w:val="00941F60"/>
    <w:rsid w:val="00941FD6"/>
    <w:rsid w:val="00941FEA"/>
    <w:rsid w:val="00942024"/>
    <w:rsid w:val="009420A5"/>
    <w:rsid w:val="009420C5"/>
    <w:rsid w:val="00942150"/>
    <w:rsid w:val="00942160"/>
    <w:rsid w:val="00942164"/>
    <w:rsid w:val="00942211"/>
    <w:rsid w:val="00942285"/>
    <w:rsid w:val="0094229D"/>
    <w:rsid w:val="009422C6"/>
    <w:rsid w:val="009422DE"/>
    <w:rsid w:val="009423FB"/>
    <w:rsid w:val="00942418"/>
    <w:rsid w:val="00942459"/>
    <w:rsid w:val="00942487"/>
    <w:rsid w:val="009424C3"/>
    <w:rsid w:val="009424DB"/>
    <w:rsid w:val="009424F8"/>
    <w:rsid w:val="009424FB"/>
    <w:rsid w:val="009425A3"/>
    <w:rsid w:val="009425F5"/>
    <w:rsid w:val="00942669"/>
    <w:rsid w:val="00942680"/>
    <w:rsid w:val="009426CE"/>
    <w:rsid w:val="00942719"/>
    <w:rsid w:val="00942731"/>
    <w:rsid w:val="00942941"/>
    <w:rsid w:val="0094298A"/>
    <w:rsid w:val="009429D0"/>
    <w:rsid w:val="009429E9"/>
    <w:rsid w:val="00942A15"/>
    <w:rsid w:val="00942A4F"/>
    <w:rsid w:val="00942A54"/>
    <w:rsid w:val="00942A69"/>
    <w:rsid w:val="00942A7B"/>
    <w:rsid w:val="00942A99"/>
    <w:rsid w:val="00942A9D"/>
    <w:rsid w:val="00942AFD"/>
    <w:rsid w:val="00942B32"/>
    <w:rsid w:val="00942B8C"/>
    <w:rsid w:val="00942B97"/>
    <w:rsid w:val="00942C11"/>
    <w:rsid w:val="00942D4F"/>
    <w:rsid w:val="00942D84"/>
    <w:rsid w:val="00942E12"/>
    <w:rsid w:val="00942EA7"/>
    <w:rsid w:val="00942EDE"/>
    <w:rsid w:val="00942F2C"/>
    <w:rsid w:val="00942F68"/>
    <w:rsid w:val="0094301F"/>
    <w:rsid w:val="0094302E"/>
    <w:rsid w:val="009430F2"/>
    <w:rsid w:val="0094312F"/>
    <w:rsid w:val="0094313B"/>
    <w:rsid w:val="0094315F"/>
    <w:rsid w:val="009431AC"/>
    <w:rsid w:val="009431C5"/>
    <w:rsid w:val="009431DC"/>
    <w:rsid w:val="009432A9"/>
    <w:rsid w:val="00943362"/>
    <w:rsid w:val="0094338E"/>
    <w:rsid w:val="00943468"/>
    <w:rsid w:val="0094351F"/>
    <w:rsid w:val="009435BE"/>
    <w:rsid w:val="009435C6"/>
    <w:rsid w:val="00943630"/>
    <w:rsid w:val="0094364C"/>
    <w:rsid w:val="009436FC"/>
    <w:rsid w:val="00943712"/>
    <w:rsid w:val="00943778"/>
    <w:rsid w:val="0094379C"/>
    <w:rsid w:val="009437EE"/>
    <w:rsid w:val="0094380E"/>
    <w:rsid w:val="00943814"/>
    <w:rsid w:val="0094384D"/>
    <w:rsid w:val="00943895"/>
    <w:rsid w:val="009438EA"/>
    <w:rsid w:val="0094392D"/>
    <w:rsid w:val="00943952"/>
    <w:rsid w:val="00943963"/>
    <w:rsid w:val="0094397B"/>
    <w:rsid w:val="009439A4"/>
    <w:rsid w:val="009439B1"/>
    <w:rsid w:val="00943A00"/>
    <w:rsid w:val="00943A04"/>
    <w:rsid w:val="00943A14"/>
    <w:rsid w:val="00943A2D"/>
    <w:rsid w:val="00943A47"/>
    <w:rsid w:val="00943B1C"/>
    <w:rsid w:val="00943B6E"/>
    <w:rsid w:val="00943B87"/>
    <w:rsid w:val="00943BC7"/>
    <w:rsid w:val="00943CA8"/>
    <w:rsid w:val="00943CEF"/>
    <w:rsid w:val="00943D22"/>
    <w:rsid w:val="00943D40"/>
    <w:rsid w:val="00943D52"/>
    <w:rsid w:val="00943DA9"/>
    <w:rsid w:val="00943DB8"/>
    <w:rsid w:val="00943DD6"/>
    <w:rsid w:val="00943DD7"/>
    <w:rsid w:val="00943DD8"/>
    <w:rsid w:val="00943E23"/>
    <w:rsid w:val="00943E3C"/>
    <w:rsid w:val="00943E73"/>
    <w:rsid w:val="00943EC0"/>
    <w:rsid w:val="00943F4A"/>
    <w:rsid w:val="00943FE3"/>
    <w:rsid w:val="00944002"/>
    <w:rsid w:val="0094403D"/>
    <w:rsid w:val="0094406C"/>
    <w:rsid w:val="00944086"/>
    <w:rsid w:val="009440A0"/>
    <w:rsid w:val="0094410E"/>
    <w:rsid w:val="00944141"/>
    <w:rsid w:val="00944156"/>
    <w:rsid w:val="00944171"/>
    <w:rsid w:val="009441D5"/>
    <w:rsid w:val="009441E1"/>
    <w:rsid w:val="00944243"/>
    <w:rsid w:val="0094424B"/>
    <w:rsid w:val="00944268"/>
    <w:rsid w:val="00944293"/>
    <w:rsid w:val="009442F8"/>
    <w:rsid w:val="00944301"/>
    <w:rsid w:val="00944316"/>
    <w:rsid w:val="0094433E"/>
    <w:rsid w:val="00944393"/>
    <w:rsid w:val="00944465"/>
    <w:rsid w:val="00944489"/>
    <w:rsid w:val="009444DE"/>
    <w:rsid w:val="0094454B"/>
    <w:rsid w:val="00944581"/>
    <w:rsid w:val="0094464E"/>
    <w:rsid w:val="0094465B"/>
    <w:rsid w:val="009446EA"/>
    <w:rsid w:val="0094479C"/>
    <w:rsid w:val="00944834"/>
    <w:rsid w:val="00944857"/>
    <w:rsid w:val="009448A0"/>
    <w:rsid w:val="009448BA"/>
    <w:rsid w:val="009448C3"/>
    <w:rsid w:val="0094492C"/>
    <w:rsid w:val="0094492E"/>
    <w:rsid w:val="0094492F"/>
    <w:rsid w:val="00944941"/>
    <w:rsid w:val="00944944"/>
    <w:rsid w:val="00944964"/>
    <w:rsid w:val="00944A13"/>
    <w:rsid w:val="00944A62"/>
    <w:rsid w:val="00944ABE"/>
    <w:rsid w:val="00944AC2"/>
    <w:rsid w:val="00944BCD"/>
    <w:rsid w:val="00944C0F"/>
    <w:rsid w:val="00944C60"/>
    <w:rsid w:val="00944CBB"/>
    <w:rsid w:val="00944D03"/>
    <w:rsid w:val="00944D05"/>
    <w:rsid w:val="00944D36"/>
    <w:rsid w:val="00944D56"/>
    <w:rsid w:val="00944E46"/>
    <w:rsid w:val="00944F07"/>
    <w:rsid w:val="00944F3E"/>
    <w:rsid w:val="00944F51"/>
    <w:rsid w:val="00944FC0"/>
    <w:rsid w:val="00945042"/>
    <w:rsid w:val="00945125"/>
    <w:rsid w:val="00945130"/>
    <w:rsid w:val="0094519F"/>
    <w:rsid w:val="009451C5"/>
    <w:rsid w:val="00945221"/>
    <w:rsid w:val="00945223"/>
    <w:rsid w:val="0094526A"/>
    <w:rsid w:val="0094526E"/>
    <w:rsid w:val="009452A9"/>
    <w:rsid w:val="009452C7"/>
    <w:rsid w:val="009452D0"/>
    <w:rsid w:val="00945327"/>
    <w:rsid w:val="00945341"/>
    <w:rsid w:val="0094535B"/>
    <w:rsid w:val="009453EA"/>
    <w:rsid w:val="00945440"/>
    <w:rsid w:val="00945457"/>
    <w:rsid w:val="0094548A"/>
    <w:rsid w:val="009454D6"/>
    <w:rsid w:val="009454FB"/>
    <w:rsid w:val="009456D6"/>
    <w:rsid w:val="009456EA"/>
    <w:rsid w:val="009456F9"/>
    <w:rsid w:val="0094570B"/>
    <w:rsid w:val="0094572C"/>
    <w:rsid w:val="00945797"/>
    <w:rsid w:val="00945815"/>
    <w:rsid w:val="00945822"/>
    <w:rsid w:val="00945850"/>
    <w:rsid w:val="00945859"/>
    <w:rsid w:val="0094589C"/>
    <w:rsid w:val="009458D5"/>
    <w:rsid w:val="009458F5"/>
    <w:rsid w:val="00945924"/>
    <w:rsid w:val="0094594D"/>
    <w:rsid w:val="00945994"/>
    <w:rsid w:val="0094599C"/>
    <w:rsid w:val="009459A3"/>
    <w:rsid w:val="00945A39"/>
    <w:rsid w:val="00945A43"/>
    <w:rsid w:val="00945AE4"/>
    <w:rsid w:val="00945C3A"/>
    <w:rsid w:val="00945CA7"/>
    <w:rsid w:val="00945DBA"/>
    <w:rsid w:val="00945DD3"/>
    <w:rsid w:val="00945DE0"/>
    <w:rsid w:val="00945E0E"/>
    <w:rsid w:val="00945E53"/>
    <w:rsid w:val="00945E82"/>
    <w:rsid w:val="00945EFF"/>
    <w:rsid w:val="00945F0E"/>
    <w:rsid w:val="00945F5B"/>
    <w:rsid w:val="00945F80"/>
    <w:rsid w:val="00945F9B"/>
    <w:rsid w:val="00945FB0"/>
    <w:rsid w:val="00945FB5"/>
    <w:rsid w:val="0094608C"/>
    <w:rsid w:val="00946124"/>
    <w:rsid w:val="00946142"/>
    <w:rsid w:val="00946163"/>
    <w:rsid w:val="0094622D"/>
    <w:rsid w:val="00946255"/>
    <w:rsid w:val="009462EC"/>
    <w:rsid w:val="009462F9"/>
    <w:rsid w:val="0094632B"/>
    <w:rsid w:val="0094632F"/>
    <w:rsid w:val="0094633B"/>
    <w:rsid w:val="00946386"/>
    <w:rsid w:val="0094638D"/>
    <w:rsid w:val="00946413"/>
    <w:rsid w:val="0094644F"/>
    <w:rsid w:val="009464D4"/>
    <w:rsid w:val="009464E5"/>
    <w:rsid w:val="00946521"/>
    <w:rsid w:val="00946549"/>
    <w:rsid w:val="0094656F"/>
    <w:rsid w:val="009465B1"/>
    <w:rsid w:val="009465D1"/>
    <w:rsid w:val="009465F3"/>
    <w:rsid w:val="00946688"/>
    <w:rsid w:val="0094671A"/>
    <w:rsid w:val="0094673A"/>
    <w:rsid w:val="0094676C"/>
    <w:rsid w:val="00946797"/>
    <w:rsid w:val="00946805"/>
    <w:rsid w:val="00946816"/>
    <w:rsid w:val="00946859"/>
    <w:rsid w:val="0094686A"/>
    <w:rsid w:val="0094686C"/>
    <w:rsid w:val="009468A9"/>
    <w:rsid w:val="009468C8"/>
    <w:rsid w:val="009468D9"/>
    <w:rsid w:val="0094693C"/>
    <w:rsid w:val="00946949"/>
    <w:rsid w:val="00946999"/>
    <w:rsid w:val="009469E0"/>
    <w:rsid w:val="00946A1A"/>
    <w:rsid w:val="00946A2E"/>
    <w:rsid w:val="00946B0A"/>
    <w:rsid w:val="00946B0E"/>
    <w:rsid w:val="00946B63"/>
    <w:rsid w:val="00946B6F"/>
    <w:rsid w:val="00946C17"/>
    <w:rsid w:val="00946C31"/>
    <w:rsid w:val="00946C51"/>
    <w:rsid w:val="00946C80"/>
    <w:rsid w:val="00946C92"/>
    <w:rsid w:val="00946CBD"/>
    <w:rsid w:val="00946D14"/>
    <w:rsid w:val="00946D50"/>
    <w:rsid w:val="00946D53"/>
    <w:rsid w:val="00946DB6"/>
    <w:rsid w:val="00946E52"/>
    <w:rsid w:val="00946E76"/>
    <w:rsid w:val="00946E7B"/>
    <w:rsid w:val="00946EBD"/>
    <w:rsid w:val="00947039"/>
    <w:rsid w:val="0094708C"/>
    <w:rsid w:val="009470EF"/>
    <w:rsid w:val="00947164"/>
    <w:rsid w:val="0094726F"/>
    <w:rsid w:val="009472BF"/>
    <w:rsid w:val="00947317"/>
    <w:rsid w:val="00947319"/>
    <w:rsid w:val="00947354"/>
    <w:rsid w:val="00947381"/>
    <w:rsid w:val="009473B1"/>
    <w:rsid w:val="009473CA"/>
    <w:rsid w:val="009473F6"/>
    <w:rsid w:val="0094743D"/>
    <w:rsid w:val="009475B2"/>
    <w:rsid w:val="009475B6"/>
    <w:rsid w:val="009475CE"/>
    <w:rsid w:val="0094760D"/>
    <w:rsid w:val="009476E5"/>
    <w:rsid w:val="00947703"/>
    <w:rsid w:val="0094770C"/>
    <w:rsid w:val="00947848"/>
    <w:rsid w:val="0094785E"/>
    <w:rsid w:val="009478D2"/>
    <w:rsid w:val="00947932"/>
    <w:rsid w:val="00947976"/>
    <w:rsid w:val="0094798A"/>
    <w:rsid w:val="009479BC"/>
    <w:rsid w:val="00947A12"/>
    <w:rsid w:val="00947A34"/>
    <w:rsid w:val="00947A50"/>
    <w:rsid w:val="00947AA7"/>
    <w:rsid w:val="00947ACD"/>
    <w:rsid w:val="00947AD3"/>
    <w:rsid w:val="00947B03"/>
    <w:rsid w:val="00947B5C"/>
    <w:rsid w:val="00947B63"/>
    <w:rsid w:val="00947B76"/>
    <w:rsid w:val="00947C30"/>
    <w:rsid w:val="00947CDA"/>
    <w:rsid w:val="00947D08"/>
    <w:rsid w:val="00947DC5"/>
    <w:rsid w:val="00947E5E"/>
    <w:rsid w:val="00947E60"/>
    <w:rsid w:val="00947E6F"/>
    <w:rsid w:val="00947E96"/>
    <w:rsid w:val="00947EEA"/>
    <w:rsid w:val="00947F34"/>
    <w:rsid w:val="00947F5C"/>
    <w:rsid w:val="00950019"/>
    <w:rsid w:val="0095002E"/>
    <w:rsid w:val="0095009B"/>
    <w:rsid w:val="009500A8"/>
    <w:rsid w:val="009500C5"/>
    <w:rsid w:val="009500DE"/>
    <w:rsid w:val="009500DF"/>
    <w:rsid w:val="009500F0"/>
    <w:rsid w:val="00950107"/>
    <w:rsid w:val="00950133"/>
    <w:rsid w:val="00950151"/>
    <w:rsid w:val="009501AA"/>
    <w:rsid w:val="009501F5"/>
    <w:rsid w:val="0095021F"/>
    <w:rsid w:val="00950231"/>
    <w:rsid w:val="00950271"/>
    <w:rsid w:val="009502B8"/>
    <w:rsid w:val="009502BF"/>
    <w:rsid w:val="009502C9"/>
    <w:rsid w:val="00950341"/>
    <w:rsid w:val="0095035C"/>
    <w:rsid w:val="00950370"/>
    <w:rsid w:val="009503A2"/>
    <w:rsid w:val="00950440"/>
    <w:rsid w:val="00950458"/>
    <w:rsid w:val="009504CD"/>
    <w:rsid w:val="009504D0"/>
    <w:rsid w:val="009504F4"/>
    <w:rsid w:val="009504FF"/>
    <w:rsid w:val="00950528"/>
    <w:rsid w:val="0095057E"/>
    <w:rsid w:val="009505AF"/>
    <w:rsid w:val="0095062D"/>
    <w:rsid w:val="009506AA"/>
    <w:rsid w:val="0095084B"/>
    <w:rsid w:val="00950865"/>
    <w:rsid w:val="0095086D"/>
    <w:rsid w:val="00950889"/>
    <w:rsid w:val="00950939"/>
    <w:rsid w:val="00950960"/>
    <w:rsid w:val="009509D1"/>
    <w:rsid w:val="009509E5"/>
    <w:rsid w:val="009509E6"/>
    <w:rsid w:val="00950A0F"/>
    <w:rsid w:val="00950ABC"/>
    <w:rsid w:val="00950B34"/>
    <w:rsid w:val="00950B6E"/>
    <w:rsid w:val="00950C53"/>
    <w:rsid w:val="00950C93"/>
    <w:rsid w:val="00950CE3"/>
    <w:rsid w:val="00950D7D"/>
    <w:rsid w:val="00950DCB"/>
    <w:rsid w:val="00950E6E"/>
    <w:rsid w:val="00950EB5"/>
    <w:rsid w:val="00950EBC"/>
    <w:rsid w:val="00950ECC"/>
    <w:rsid w:val="00950ED2"/>
    <w:rsid w:val="00950F28"/>
    <w:rsid w:val="00950FA8"/>
    <w:rsid w:val="00950FC3"/>
    <w:rsid w:val="00950FC6"/>
    <w:rsid w:val="00951040"/>
    <w:rsid w:val="0095106A"/>
    <w:rsid w:val="0095108C"/>
    <w:rsid w:val="0095114F"/>
    <w:rsid w:val="009511DD"/>
    <w:rsid w:val="009511F3"/>
    <w:rsid w:val="00951215"/>
    <w:rsid w:val="0095124B"/>
    <w:rsid w:val="0095128A"/>
    <w:rsid w:val="00951294"/>
    <w:rsid w:val="009512D5"/>
    <w:rsid w:val="009512E0"/>
    <w:rsid w:val="009512E6"/>
    <w:rsid w:val="009512F6"/>
    <w:rsid w:val="009512F8"/>
    <w:rsid w:val="00951312"/>
    <w:rsid w:val="0095132D"/>
    <w:rsid w:val="0095139F"/>
    <w:rsid w:val="009513F4"/>
    <w:rsid w:val="00951413"/>
    <w:rsid w:val="0095146C"/>
    <w:rsid w:val="009514C2"/>
    <w:rsid w:val="009514CB"/>
    <w:rsid w:val="009514EA"/>
    <w:rsid w:val="0095150B"/>
    <w:rsid w:val="0095150D"/>
    <w:rsid w:val="00951535"/>
    <w:rsid w:val="00951540"/>
    <w:rsid w:val="0095154D"/>
    <w:rsid w:val="00951550"/>
    <w:rsid w:val="009515B5"/>
    <w:rsid w:val="009515D3"/>
    <w:rsid w:val="0095163F"/>
    <w:rsid w:val="00951653"/>
    <w:rsid w:val="009516DB"/>
    <w:rsid w:val="00951750"/>
    <w:rsid w:val="00951769"/>
    <w:rsid w:val="0095181D"/>
    <w:rsid w:val="00951856"/>
    <w:rsid w:val="0095189C"/>
    <w:rsid w:val="009518B4"/>
    <w:rsid w:val="00951913"/>
    <w:rsid w:val="0095191C"/>
    <w:rsid w:val="00951931"/>
    <w:rsid w:val="0095193A"/>
    <w:rsid w:val="0095193B"/>
    <w:rsid w:val="009519BB"/>
    <w:rsid w:val="00951A56"/>
    <w:rsid w:val="00951A6E"/>
    <w:rsid w:val="00951A99"/>
    <w:rsid w:val="00951AAA"/>
    <w:rsid w:val="00951AE2"/>
    <w:rsid w:val="00951AF5"/>
    <w:rsid w:val="00951B0E"/>
    <w:rsid w:val="00951B58"/>
    <w:rsid w:val="00951B5E"/>
    <w:rsid w:val="00951B8E"/>
    <w:rsid w:val="00951BD9"/>
    <w:rsid w:val="00951BE3"/>
    <w:rsid w:val="00951BF5"/>
    <w:rsid w:val="00951C7F"/>
    <w:rsid w:val="00951D03"/>
    <w:rsid w:val="00951DF8"/>
    <w:rsid w:val="00951E17"/>
    <w:rsid w:val="00951E81"/>
    <w:rsid w:val="00951F01"/>
    <w:rsid w:val="00952033"/>
    <w:rsid w:val="00952038"/>
    <w:rsid w:val="00952066"/>
    <w:rsid w:val="0095206D"/>
    <w:rsid w:val="009520C8"/>
    <w:rsid w:val="009520FD"/>
    <w:rsid w:val="00952108"/>
    <w:rsid w:val="0095212B"/>
    <w:rsid w:val="0095213D"/>
    <w:rsid w:val="0095217B"/>
    <w:rsid w:val="00952194"/>
    <w:rsid w:val="0095220D"/>
    <w:rsid w:val="00952228"/>
    <w:rsid w:val="00952229"/>
    <w:rsid w:val="0095222C"/>
    <w:rsid w:val="00952246"/>
    <w:rsid w:val="0095224C"/>
    <w:rsid w:val="00952250"/>
    <w:rsid w:val="0095226E"/>
    <w:rsid w:val="009523CC"/>
    <w:rsid w:val="00952433"/>
    <w:rsid w:val="0095243B"/>
    <w:rsid w:val="00952441"/>
    <w:rsid w:val="00952454"/>
    <w:rsid w:val="0095246F"/>
    <w:rsid w:val="009525BB"/>
    <w:rsid w:val="009525BD"/>
    <w:rsid w:val="00952618"/>
    <w:rsid w:val="00952669"/>
    <w:rsid w:val="00952699"/>
    <w:rsid w:val="00952772"/>
    <w:rsid w:val="00952827"/>
    <w:rsid w:val="009528BE"/>
    <w:rsid w:val="009528D4"/>
    <w:rsid w:val="00952901"/>
    <w:rsid w:val="00952996"/>
    <w:rsid w:val="0095299A"/>
    <w:rsid w:val="0095299C"/>
    <w:rsid w:val="009529C4"/>
    <w:rsid w:val="009529C5"/>
    <w:rsid w:val="00952A80"/>
    <w:rsid w:val="00952AEF"/>
    <w:rsid w:val="00952B30"/>
    <w:rsid w:val="00952B71"/>
    <w:rsid w:val="00952B94"/>
    <w:rsid w:val="00952C53"/>
    <w:rsid w:val="00952C57"/>
    <w:rsid w:val="00952C5F"/>
    <w:rsid w:val="00952CD1"/>
    <w:rsid w:val="00952D86"/>
    <w:rsid w:val="00952D92"/>
    <w:rsid w:val="00952D98"/>
    <w:rsid w:val="00952DD8"/>
    <w:rsid w:val="00952DE0"/>
    <w:rsid w:val="00952DE8"/>
    <w:rsid w:val="00952DFD"/>
    <w:rsid w:val="00952E76"/>
    <w:rsid w:val="00952E99"/>
    <w:rsid w:val="00952EF0"/>
    <w:rsid w:val="00952F05"/>
    <w:rsid w:val="00952F4E"/>
    <w:rsid w:val="00952FAD"/>
    <w:rsid w:val="00952FE6"/>
    <w:rsid w:val="00953024"/>
    <w:rsid w:val="00953077"/>
    <w:rsid w:val="009530AA"/>
    <w:rsid w:val="009531AC"/>
    <w:rsid w:val="00953224"/>
    <w:rsid w:val="0095323D"/>
    <w:rsid w:val="00953245"/>
    <w:rsid w:val="00953251"/>
    <w:rsid w:val="00953253"/>
    <w:rsid w:val="00953281"/>
    <w:rsid w:val="0095334C"/>
    <w:rsid w:val="00953376"/>
    <w:rsid w:val="009533D0"/>
    <w:rsid w:val="009533E0"/>
    <w:rsid w:val="0095349E"/>
    <w:rsid w:val="009534B4"/>
    <w:rsid w:val="009534BD"/>
    <w:rsid w:val="00953503"/>
    <w:rsid w:val="0095352D"/>
    <w:rsid w:val="00953632"/>
    <w:rsid w:val="00953651"/>
    <w:rsid w:val="00953653"/>
    <w:rsid w:val="00953699"/>
    <w:rsid w:val="0095370C"/>
    <w:rsid w:val="00953713"/>
    <w:rsid w:val="0095373D"/>
    <w:rsid w:val="009537BB"/>
    <w:rsid w:val="009537D3"/>
    <w:rsid w:val="00953808"/>
    <w:rsid w:val="00953810"/>
    <w:rsid w:val="00953814"/>
    <w:rsid w:val="00953840"/>
    <w:rsid w:val="0095384A"/>
    <w:rsid w:val="009538AC"/>
    <w:rsid w:val="009538C7"/>
    <w:rsid w:val="0095390C"/>
    <w:rsid w:val="00953914"/>
    <w:rsid w:val="0095396E"/>
    <w:rsid w:val="009539D0"/>
    <w:rsid w:val="00953A5F"/>
    <w:rsid w:val="00953A66"/>
    <w:rsid w:val="00953AFF"/>
    <w:rsid w:val="00953B02"/>
    <w:rsid w:val="00953B1C"/>
    <w:rsid w:val="00953B6C"/>
    <w:rsid w:val="00953B9E"/>
    <w:rsid w:val="00953BB1"/>
    <w:rsid w:val="00953C1D"/>
    <w:rsid w:val="00953C37"/>
    <w:rsid w:val="00953C7B"/>
    <w:rsid w:val="00953C8C"/>
    <w:rsid w:val="00953C9A"/>
    <w:rsid w:val="00953CE1"/>
    <w:rsid w:val="00953CF5"/>
    <w:rsid w:val="00953DC6"/>
    <w:rsid w:val="00953E42"/>
    <w:rsid w:val="00953E5C"/>
    <w:rsid w:val="00953E7C"/>
    <w:rsid w:val="00953EA7"/>
    <w:rsid w:val="00953EDF"/>
    <w:rsid w:val="00953EE2"/>
    <w:rsid w:val="00953F4B"/>
    <w:rsid w:val="00953FE7"/>
    <w:rsid w:val="0095400A"/>
    <w:rsid w:val="0095403B"/>
    <w:rsid w:val="0095407D"/>
    <w:rsid w:val="009540AF"/>
    <w:rsid w:val="009540CB"/>
    <w:rsid w:val="00954103"/>
    <w:rsid w:val="00954169"/>
    <w:rsid w:val="00954264"/>
    <w:rsid w:val="00954301"/>
    <w:rsid w:val="009543B3"/>
    <w:rsid w:val="009543EE"/>
    <w:rsid w:val="00954436"/>
    <w:rsid w:val="00954457"/>
    <w:rsid w:val="009544B1"/>
    <w:rsid w:val="009544F5"/>
    <w:rsid w:val="0095453F"/>
    <w:rsid w:val="00954581"/>
    <w:rsid w:val="0095459E"/>
    <w:rsid w:val="009545A7"/>
    <w:rsid w:val="009545DA"/>
    <w:rsid w:val="009545FC"/>
    <w:rsid w:val="00954652"/>
    <w:rsid w:val="0095465B"/>
    <w:rsid w:val="0095466C"/>
    <w:rsid w:val="009546A1"/>
    <w:rsid w:val="0095472B"/>
    <w:rsid w:val="009547F8"/>
    <w:rsid w:val="00954801"/>
    <w:rsid w:val="0095484C"/>
    <w:rsid w:val="00954894"/>
    <w:rsid w:val="009548CF"/>
    <w:rsid w:val="0095492B"/>
    <w:rsid w:val="00954986"/>
    <w:rsid w:val="00954A0A"/>
    <w:rsid w:val="00954A91"/>
    <w:rsid w:val="00954AC7"/>
    <w:rsid w:val="00954B64"/>
    <w:rsid w:val="00954BAA"/>
    <w:rsid w:val="00954C04"/>
    <w:rsid w:val="00954C3D"/>
    <w:rsid w:val="00954D51"/>
    <w:rsid w:val="00954D52"/>
    <w:rsid w:val="00954D61"/>
    <w:rsid w:val="00954D8A"/>
    <w:rsid w:val="00954D98"/>
    <w:rsid w:val="00954DCC"/>
    <w:rsid w:val="00954EBF"/>
    <w:rsid w:val="00954F27"/>
    <w:rsid w:val="00954F5C"/>
    <w:rsid w:val="00954FC1"/>
    <w:rsid w:val="0095500F"/>
    <w:rsid w:val="0095513C"/>
    <w:rsid w:val="00955149"/>
    <w:rsid w:val="00955259"/>
    <w:rsid w:val="0095525F"/>
    <w:rsid w:val="00955299"/>
    <w:rsid w:val="009552A1"/>
    <w:rsid w:val="009552C7"/>
    <w:rsid w:val="00955342"/>
    <w:rsid w:val="0095534D"/>
    <w:rsid w:val="00955353"/>
    <w:rsid w:val="0095538B"/>
    <w:rsid w:val="0095544B"/>
    <w:rsid w:val="00955457"/>
    <w:rsid w:val="00955461"/>
    <w:rsid w:val="00955485"/>
    <w:rsid w:val="0095549A"/>
    <w:rsid w:val="009554BA"/>
    <w:rsid w:val="009554C3"/>
    <w:rsid w:val="009554E8"/>
    <w:rsid w:val="0095559A"/>
    <w:rsid w:val="009555DF"/>
    <w:rsid w:val="00955616"/>
    <w:rsid w:val="009556B8"/>
    <w:rsid w:val="0095570E"/>
    <w:rsid w:val="00955727"/>
    <w:rsid w:val="00955764"/>
    <w:rsid w:val="0095577E"/>
    <w:rsid w:val="00955788"/>
    <w:rsid w:val="009557F8"/>
    <w:rsid w:val="0095582A"/>
    <w:rsid w:val="0095583D"/>
    <w:rsid w:val="00955867"/>
    <w:rsid w:val="00955870"/>
    <w:rsid w:val="00955894"/>
    <w:rsid w:val="00955919"/>
    <w:rsid w:val="009559C2"/>
    <w:rsid w:val="00955ABD"/>
    <w:rsid w:val="00955AF8"/>
    <w:rsid w:val="00955B31"/>
    <w:rsid w:val="00955B3D"/>
    <w:rsid w:val="00955B42"/>
    <w:rsid w:val="00955B83"/>
    <w:rsid w:val="00955C8F"/>
    <w:rsid w:val="00955C9F"/>
    <w:rsid w:val="00955CAD"/>
    <w:rsid w:val="00955CAE"/>
    <w:rsid w:val="00955D7B"/>
    <w:rsid w:val="00955D7D"/>
    <w:rsid w:val="00955DCD"/>
    <w:rsid w:val="00955DCF"/>
    <w:rsid w:val="00955DF3"/>
    <w:rsid w:val="00955F37"/>
    <w:rsid w:val="00955F3F"/>
    <w:rsid w:val="00955F74"/>
    <w:rsid w:val="00955F75"/>
    <w:rsid w:val="0095602F"/>
    <w:rsid w:val="00956113"/>
    <w:rsid w:val="00956142"/>
    <w:rsid w:val="009561B0"/>
    <w:rsid w:val="009561EB"/>
    <w:rsid w:val="0095635C"/>
    <w:rsid w:val="0095636B"/>
    <w:rsid w:val="00956376"/>
    <w:rsid w:val="0095644C"/>
    <w:rsid w:val="009564F6"/>
    <w:rsid w:val="00956508"/>
    <w:rsid w:val="009566A0"/>
    <w:rsid w:val="009566E8"/>
    <w:rsid w:val="00956767"/>
    <w:rsid w:val="00956798"/>
    <w:rsid w:val="009567E3"/>
    <w:rsid w:val="0095681D"/>
    <w:rsid w:val="00956849"/>
    <w:rsid w:val="00956895"/>
    <w:rsid w:val="009568E7"/>
    <w:rsid w:val="00956903"/>
    <w:rsid w:val="00956910"/>
    <w:rsid w:val="009569BA"/>
    <w:rsid w:val="009569E3"/>
    <w:rsid w:val="009569E5"/>
    <w:rsid w:val="009569E6"/>
    <w:rsid w:val="00956A09"/>
    <w:rsid w:val="00956A27"/>
    <w:rsid w:val="00956A2B"/>
    <w:rsid w:val="00956A42"/>
    <w:rsid w:val="00956A95"/>
    <w:rsid w:val="00956AB8"/>
    <w:rsid w:val="00956AC0"/>
    <w:rsid w:val="00956AEF"/>
    <w:rsid w:val="00956B00"/>
    <w:rsid w:val="00956B09"/>
    <w:rsid w:val="00956B7F"/>
    <w:rsid w:val="00956BA0"/>
    <w:rsid w:val="00956BF5"/>
    <w:rsid w:val="00956BFD"/>
    <w:rsid w:val="00956C23"/>
    <w:rsid w:val="00956C3A"/>
    <w:rsid w:val="00956C4B"/>
    <w:rsid w:val="00956C81"/>
    <w:rsid w:val="00956CB4"/>
    <w:rsid w:val="00956CBC"/>
    <w:rsid w:val="00956CCF"/>
    <w:rsid w:val="00956CD4"/>
    <w:rsid w:val="00956CDF"/>
    <w:rsid w:val="00956D07"/>
    <w:rsid w:val="00956D2F"/>
    <w:rsid w:val="00956D9E"/>
    <w:rsid w:val="00956DC6"/>
    <w:rsid w:val="00956E11"/>
    <w:rsid w:val="00956E2B"/>
    <w:rsid w:val="00956E57"/>
    <w:rsid w:val="00956EA7"/>
    <w:rsid w:val="00956F0B"/>
    <w:rsid w:val="00956F14"/>
    <w:rsid w:val="00956FC0"/>
    <w:rsid w:val="00956FCD"/>
    <w:rsid w:val="009570F6"/>
    <w:rsid w:val="00957190"/>
    <w:rsid w:val="009571BA"/>
    <w:rsid w:val="009571E0"/>
    <w:rsid w:val="009571F2"/>
    <w:rsid w:val="0095728A"/>
    <w:rsid w:val="009572D2"/>
    <w:rsid w:val="0095730B"/>
    <w:rsid w:val="00957343"/>
    <w:rsid w:val="00957411"/>
    <w:rsid w:val="0095746F"/>
    <w:rsid w:val="009574CD"/>
    <w:rsid w:val="00957500"/>
    <w:rsid w:val="00957590"/>
    <w:rsid w:val="009575B4"/>
    <w:rsid w:val="009575E5"/>
    <w:rsid w:val="009575FE"/>
    <w:rsid w:val="00957605"/>
    <w:rsid w:val="0095760B"/>
    <w:rsid w:val="00957614"/>
    <w:rsid w:val="00957634"/>
    <w:rsid w:val="0095763F"/>
    <w:rsid w:val="00957661"/>
    <w:rsid w:val="00957677"/>
    <w:rsid w:val="0095773A"/>
    <w:rsid w:val="00957788"/>
    <w:rsid w:val="009577A4"/>
    <w:rsid w:val="00957818"/>
    <w:rsid w:val="00957899"/>
    <w:rsid w:val="009578FA"/>
    <w:rsid w:val="009578FC"/>
    <w:rsid w:val="00957964"/>
    <w:rsid w:val="00957970"/>
    <w:rsid w:val="009579FD"/>
    <w:rsid w:val="00957A3E"/>
    <w:rsid w:val="00957A6E"/>
    <w:rsid w:val="00957AD0"/>
    <w:rsid w:val="00957BF0"/>
    <w:rsid w:val="00957C34"/>
    <w:rsid w:val="00957C5E"/>
    <w:rsid w:val="00957C60"/>
    <w:rsid w:val="00957CAA"/>
    <w:rsid w:val="00957D51"/>
    <w:rsid w:val="00957D5A"/>
    <w:rsid w:val="00957DA2"/>
    <w:rsid w:val="00957DD2"/>
    <w:rsid w:val="00957DFF"/>
    <w:rsid w:val="00957E95"/>
    <w:rsid w:val="00957F39"/>
    <w:rsid w:val="00957F59"/>
    <w:rsid w:val="00957F74"/>
    <w:rsid w:val="00957FDF"/>
    <w:rsid w:val="00957FE5"/>
    <w:rsid w:val="00960007"/>
    <w:rsid w:val="00960039"/>
    <w:rsid w:val="0096006C"/>
    <w:rsid w:val="0096007E"/>
    <w:rsid w:val="009600A7"/>
    <w:rsid w:val="009600E0"/>
    <w:rsid w:val="009600F8"/>
    <w:rsid w:val="009601DC"/>
    <w:rsid w:val="00960201"/>
    <w:rsid w:val="00960248"/>
    <w:rsid w:val="00960266"/>
    <w:rsid w:val="009602FF"/>
    <w:rsid w:val="00960303"/>
    <w:rsid w:val="00960448"/>
    <w:rsid w:val="009604EB"/>
    <w:rsid w:val="00960549"/>
    <w:rsid w:val="00960584"/>
    <w:rsid w:val="00960594"/>
    <w:rsid w:val="0096059D"/>
    <w:rsid w:val="009605DB"/>
    <w:rsid w:val="00960606"/>
    <w:rsid w:val="00960621"/>
    <w:rsid w:val="00960647"/>
    <w:rsid w:val="0096068C"/>
    <w:rsid w:val="009606D4"/>
    <w:rsid w:val="009606D7"/>
    <w:rsid w:val="0096070D"/>
    <w:rsid w:val="0096075A"/>
    <w:rsid w:val="0096078A"/>
    <w:rsid w:val="009607C2"/>
    <w:rsid w:val="009607D3"/>
    <w:rsid w:val="009607F1"/>
    <w:rsid w:val="00960863"/>
    <w:rsid w:val="009608D0"/>
    <w:rsid w:val="009608F5"/>
    <w:rsid w:val="00960902"/>
    <w:rsid w:val="00960909"/>
    <w:rsid w:val="00960939"/>
    <w:rsid w:val="0096095E"/>
    <w:rsid w:val="009609A9"/>
    <w:rsid w:val="009609B8"/>
    <w:rsid w:val="009609E8"/>
    <w:rsid w:val="00960AAD"/>
    <w:rsid w:val="00960B78"/>
    <w:rsid w:val="00960C24"/>
    <w:rsid w:val="00960C57"/>
    <w:rsid w:val="00960D02"/>
    <w:rsid w:val="00960D08"/>
    <w:rsid w:val="00960D92"/>
    <w:rsid w:val="00960DB7"/>
    <w:rsid w:val="00960DD5"/>
    <w:rsid w:val="00960E1E"/>
    <w:rsid w:val="00960E68"/>
    <w:rsid w:val="00960EB3"/>
    <w:rsid w:val="00960EC3"/>
    <w:rsid w:val="00960F11"/>
    <w:rsid w:val="00960F4E"/>
    <w:rsid w:val="00960F67"/>
    <w:rsid w:val="00960FB0"/>
    <w:rsid w:val="00960FB1"/>
    <w:rsid w:val="0096106E"/>
    <w:rsid w:val="009610B6"/>
    <w:rsid w:val="0096110D"/>
    <w:rsid w:val="00961117"/>
    <w:rsid w:val="0096114B"/>
    <w:rsid w:val="00961170"/>
    <w:rsid w:val="009611FB"/>
    <w:rsid w:val="00961205"/>
    <w:rsid w:val="00961281"/>
    <w:rsid w:val="00961282"/>
    <w:rsid w:val="00961284"/>
    <w:rsid w:val="009612A3"/>
    <w:rsid w:val="00961317"/>
    <w:rsid w:val="0096133B"/>
    <w:rsid w:val="00961349"/>
    <w:rsid w:val="0096134D"/>
    <w:rsid w:val="0096139F"/>
    <w:rsid w:val="00961551"/>
    <w:rsid w:val="00961569"/>
    <w:rsid w:val="00961591"/>
    <w:rsid w:val="009615C8"/>
    <w:rsid w:val="009615D4"/>
    <w:rsid w:val="00961659"/>
    <w:rsid w:val="0096166F"/>
    <w:rsid w:val="00961672"/>
    <w:rsid w:val="0096168C"/>
    <w:rsid w:val="00961693"/>
    <w:rsid w:val="009616D5"/>
    <w:rsid w:val="0096173D"/>
    <w:rsid w:val="0096177A"/>
    <w:rsid w:val="009617EF"/>
    <w:rsid w:val="00961819"/>
    <w:rsid w:val="00961839"/>
    <w:rsid w:val="00961864"/>
    <w:rsid w:val="00961867"/>
    <w:rsid w:val="0096186B"/>
    <w:rsid w:val="009618B0"/>
    <w:rsid w:val="009618E3"/>
    <w:rsid w:val="0096199A"/>
    <w:rsid w:val="009619DB"/>
    <w:rsid w:val="009619ED"/>
    <w:rsid w:val="00961A23"/>
    <w:rsid w:val="00961A60"/>
    <w:rsid w:val="00961A8E"/>
    <w:rsid w:val="00961A91"/>
    <w:rsid w:val="00961B00"/>
    <w:rsid w:val="00961B2A"/>
    <w:rsid w:val="00961B32"/>
    <w:rsid w:val="00961B60"/>
    <w:rsid w:val="00961C31"/>
    <w:rsid w:val="00961C4C"/>
    <w:rsid w:val="00961CBA"/>
    <w:rsid w:val="00961D29"/>
    <w:rsid w:val="00961D57"/>
    <w:rsid w:val="00961DFD"/>
    <w:rsid w:val="00961E3B"/>
    <w:rsid w:val="00961F56"/>
    <w:rsid w:val="00961FF9"/>
    <w:rsid w:val="00962008"/>
    <w:rsid w:val="00962012"/>
    <w:rsid w:val="00962013"/>
    <w:rsid w:val="0096205E"/>
    <w:rsid w:val="0096206E"/>
    <w:rsid w:val="00962077"/>
    <w:rsid w:val="00962140"/>
    <w:rsid w:val="00962163"/>
    <w:rsid w:val="0096218C"/>
    <w:rsid w:val="009621C8"/>
    <w:rsid w:val="00962265"/>
    <w:rsid w:val="00962267"/>
    <w:rsid w:val="009622F2"/>
    <w:rsid w:val="00962301"/>
    <w:rsid w:val="00962302"/>
    <w:rsid w:val="00962319"/>
    <w:rsid w:val="00962334"/>
    <w:rsid w:val="0096235A"/>
    <w:rsid w:val="00962376"/>
    <w:rsid w:val="0096238D"/>
    <w:rsid w:val="009623D8"/>
    <w:rsid w:val="00962404"/>
    <w:rsid w:val="00962413"/>
    <w:rsid w:val="00962425"/>
    <w:rsid w:val="009624A2"/>
    <w:rsid w:val="0096250F"/>
    <w:rsid w:val="00962578"/>
    <w:rsid w:val="0096267E"/>
    <w:rsid w:val="009626FE"/>
    <w:rsid w:val="0096271D"/>
    <w:rsid w:val="009628A5"/>
    <w:rsid w:val="009628DB"/>
    <w:rsid w:val="00962907"/>
    <w:rsid w:val="0096293F"/>
    <w:rsid w:val="00962944"/>
    <w:rsid w:val="00962975"/>
    <w:rsid w:val="00962994"/>
    <w:rsid w:val="00962A2D"/>
    <w:rsid w:val="00962A6A"/>
    <w:rsid w:val="00962ACF"/>
    <w:rsid w:val="00962B0D"/>
    <w:rsid w:val="00962B59"/>
    <w:rsid w:val="00962BBF"/>
    <w:rsid w:val="00962C26"/>
    <w:rsid w:val="00962C7F"/>
    <w:rsid w:val="00962CCB"/>
    <w:rsid w:val="00962CEC"/>
    <w:rsid w:val="00962CF8"/>
    <w:rsid w:val="00962D0C"/>
    <w:rsid w:val="00962D43"/>
    <w:rsid w:val="00962D7A"/>
    <w:rsid w:val="00962E20"/>
    <w:rsid w:val="00962E6D"/>
    <w:rsid w:val="00962EBA"/>
    <w:rsid w:val="00962F53"/>
    <w:rsid w:val="00962FAA"/>
    <w:rsid w:val="00962FF1"/>
    <w:rsid w:val="009630F6"/>
    <w:rsid w:val="0096311E"/>
    <w:rsid w:val="0096319A"/>
    <w:rsid w:val="009631B5"/>
    <w:rsid w:val="00963205"/>
    <w:rsid w:val="009632D1"/>
    <w:rsid w:val="009632FA"/>
    <w:rsid w:val="0096332B"/>
    <w:rsid w:val="00963340"/>
    <w:rsid w:val="009634FE"/>
    <w:rsid w:val="00963524"/>
    <w:rsid w:val="0096354A"/>
    <w:rsid w:val="0096358F"/>
    <w:rsid w:val="009635A0"/>
    <w:rsid w:val="00963604"/>
    <w:rsid w:val="00963612"/>
    <w:rsid w:val="00963641"/>
    <w:rsid w:val="00963651"/>
    <w:rsid w:val="0096366B"/>
    <w:rsid w:val="009636A3"/>
    <w:rsid w:val="009636A7"/>
    <w:rsid w:val="009637BC"/>
    <w:rsid w:val="009637C4"/>
    <w:rsid w:val="009637EA"/>
    <w:rsid w:val="0096382F"/>
    <w:rsid w:val="00963842"/>
    <w:rsid w:val="00963848"/>
    <w:rsid w:val="0096384E"/>
    <w:rsid w:val="00963871"/>
    <w:rsid w:val="0096387B"/>
    <w:rsid w:val="009638B3"/>
    <w:rsid w:val="009638CB"/>
    <w:rsid w:val="009638DF"/>
    <w:rsid w:val="009638F3"/>
    <w:rsid w:val="00963915"/>
    <w:rsid w:val="00963963"/>
    <w:rsid w:val="00963A03"/>
    <w:rsid w:val="00963A3D"/>
    <w:rsid w:val="00963B12"/>
    <w:rsid w:val="00963BE8"/>
    <w:rsid w:val="00963C8B"/>
    <w:rsid w:val="00963CEC"/>
    <w:rsid w:val="00963CFD"/>
    <w:rsid w:val="00963D19"/>
    <w:rsid w:val="00963DB2"/>
    <w:rsid w:val="00963DDF"/>
    <w:rsid w:val="00963DE9"/>
    <w:rsid w:val="00963E43"/>
    <w:rsid w:val="00963E59"/>
    <w:rsid w:val="00963E7F"/>
    <w:rsid w:val="00963EA6"/>
    <w:rsid w:val="00963EA9"/>
    <w:rsid w:val="00963EB5"/>
    <w:rsid w:val="00963EC8"/>
    <w:rsid w:val="00963F01"/>
    <w:rsid w:val="00963FDE"/>
    <w:rsid w:val="00964014"/>
    <w:rsid w:val="00964099"/>
    <w:rsid w:val="009640C4"/>
    <w:rsid w:val="00964111"/>
    <w:rsid w:val="00964134"/>
    <w:rsid w:val="0096413F"/>
    <w:rsid w:val="00964147"/>
    <w:rsid w:val="0096415D"/>
    <w:rsid w:val="00964190"/>
    <w:rsid w:val="009641F4"/>
    <w:rsid w:val="009641FC"/>
    <w:rsid w:val="00964244"/>
    <w:rsid w:val="00964250"/>
    <w:rsid w:val="00964257"/>
    <w:rsid w:val="00964276"/>
    <w:rsid w:val="009642FB"/>
    <w:rsid w:val="00964365"/>
    <w:rsid w:val="009643D4"/>
    <w:rsid w:val="00964418"/>
    <w:rsid w:val="00964432"/>
    <w:rsid w:val="00964490"/>
    <w:rsid w:val="0096451B"/>
    <w:rsid w:val="00964550"/>
    <w:rsid w:val="00964572"/>
    <w:rsid w:val="0096462A"/>
    <w:rsid w:val="00964659"/>
    <w:rsid w:val="00964672"/>
    <w:rsid w:val="0096470B"/>
    <w:rsid w:val="0096470E"/>
    <w:rsid w:val="00964759"/>
    <w:rsid w:val="0096478E"/>
    <w:rsid w:val="009647DD"/>
    <w:rsid w:val="0096481E"/>
    <w:rsid w:val="0096482A"/>
    <w:rsid w:val="009648A8"/>
    <w:rsid w:val="009648B5"/>
    <w:rsid w:val="009648C1"/>
    <w:rsid w:val="00964920"/>
    <w:rsid w:val="009649B8"/>
    <w:rsid w:val="00964A26"/>
    <w:rsid w:val="00964A6D"/>
    <w:rsid w:val="00964AC1"/>
    <w:rsid w:val="00964C05"/>
    <w:rsid w:val="00964C57"/>
    <w:rsid w:val="00964C86"/>
    <w:rsid w:val="00964D2C"/>
    <w:rsid w:val="00964D39"/>
    <w:rsid w:val="00964D41"/>
    <w:rsid w:val="00964D4B"/>
    <w:rsid w:val="00964DC3"/>
    <w:rsid w:val="00964E79"/>
    <w:rsid w:val="00964E98"/>
    <w:rsid w:val="00964EA0"/>
    <w:rsid w:val="00964EBC"/>
    <w:rsid w:val="00964F19"/>
    <w:rsid w:val="00964F24"/>
    <w:rsid w:val="0096502A"/>
    <w:rsid w:val="0096503B"/>
    <w:rsid w:val="0096509E"/>
    <w:rsid w:val="009650AA"/>
    <w:rsid w:val="009650FC"/>
    <w:rsid w:val="00965105"/>
    <w:rsid w:val="00965114"/>
    <w:rsid w:val="0096517A"/>
    <w:rsid w:val="009651DE"/>
    <w:rsid w:val="009651FA"/>
    <w:rsid w:val="00965215"/>
    <w:rsid w:val="00965228"/>
    <w:rsid w:val="0096527A"/>
    <w:rsid w:val="009652B9"/>
    <w:rsid w:val="009652CE"/>
    <w:rsid w:val="009652F3"/>
    <w:rsid w:val="0096533F"/>
    <w:rsid w:val="00965360"/>
    <w:rsid w:val="00965370"/>
    <w:rsid w:val="00965375"/>
    <w:rsid w:val="0096539C"/>
    <w:rsid w:val="009653B5"/>
    <w:rsid w:val="009653BB"/>
    <w:rsid w:val="009653C1"/>
    <w:rsid w:val="009653E7"/>
    <w:rsid w:val="00965401"/>
    <w:rsid w:val="0096540B"/>
    <w:rsid w:val="00965473"/>
    <w:rsid w:val="0096548C"/>
    <w:rsid w:val="009654A0"/>
    <w:rsid w:val="009654F7"/>
    <w:rsid w:val="009654F9"/>
    <w:rsid w:val="00965580"/>
    <w:rsid w:val="009655D4"/>
    <w:rsid w:val="009655E5"/>
    <w:rsid w:val="009655FB"/>
    <w:rsid w:val="00965634"/>
    <w:rsid w:val="0096563F"/>
    <w:rsid w:val="00965649"/>
    <w:rsid w:val="0096565C"/>
    <w:rsid w:val="009656EA"/>
    <w:rsid w:val="009656ED"/>
    <w:rsid w:val="009656FB"/>
    <w:rsid w:val="0096570B"/>
    <w:rsid w:val="00965713"/>
    <w:rsid w:val="00965751"/>
    <w:rsid w:val="00965778"/>
    <w:rsid w:val="009657D4"/>
    <w:rsid w:val="00965871"/>
    <w:rsid w:val="0096591F"/>
    <w:rsid w:val="0096599A"/>
    <w:rsid w:val="009659BA"/>
    <w:rsid w:val="009659CD"/>
    <w:rsid w:val="00965A17"/>
    <w:rsid w:val="00965A6E"/>
    <w:rsid w:val="00965A74"/>
    <w:rsid w:val="00965ABA"/>
    <w:rsid w:val="00965AF8"/>
    <w:rsid w:val="00965B01"/>
    <w:rsid w:val="00965B53"/>
    <w:rsid w:val="00965C0C"/>
    <w:rsid w:val="00965C0D"/>
    <w:rsid w:val="00965C37"/>
    <w:rsid w:val="00965C45"/>
    <w:rsid w:val="00965C56"/>
    <w:rsid w:val="00965C61"/>
    <w:rsid w:val="00965C64"/>
    <w:rsid w:val="00965CB2"/>
    <w:rsid w:val="00965CCB"/>
    <w:rsid w:val="00965CEE"/>
    <w:rsid w:val="00965CEF"/>
    <w:rsid w:val="00965CFF"/>
    <w:rsid w:val="00965D30"/>
    <w:rsid w:val="00965DA0"/>
    <w:rsid w:val="00965DA9"/>
    <w:rsid w:val="00965DF3"/>
    <w:rsid w:val="00965DF5"/>
    <w:rsid w:val="00965E17"/>
    <w:rsid w:val="00965E51"/>
    <w:rsid w:val="00965E75"/>
    <w:rsid w:val="00965EC6"/>
    <w:rsid w:val="00965EEF"/>
    <w:rsid w:val="00965F24"/>
    <w:rsid w:val="00965F30"/>
    <w:rsid w:val="00965F5D"/>
    <w:rsid w:val="00966026"/>
    <w:rsid w:val="0096603A"/>
    <w:rsid w:val="0096604B"/>
    <w:rsid w:val="00966059"/>
    <w:rsid w:val="0096606B"/>
    <w:rsid w:val="00966076"/>
    <w:rsid w:val="009660D6"/>
    <w:rsid w:val="009660DD"/>
    <w:rsid w:val="009660F8"/>
    <w:rsid w:val="0096613E"/>
    <w:rsid w:val="00966152"/>
    <w:rsid w:val="00966158"/>
    <w:rsid w:val="009661D0"/>
    <w:rsid w:val="00966211"/>
    <w:rsid w:val="0096623A"/>
    <w:rsid w:val="0096623C"/>
    <w:rsid w:val="00966274"/>
    <w:rsid w:val="009662BA"/>
    <w:rsid w:val="0096630E"/>
    <w:rsid w:val="0096633F"/>
    <w:rsid w:val="00966347"/>
    <w:rsid w:val="00966348"/>
    <w:rsid w:val="0096634A"/>
    <w:rsid w:val="009663A3"/>
    <w:rsid w:val="009663A6"/>
    <w:rsid w:val="009663A8"/>
    <w:rsid w:val="009663BF"/>
    <w:rsid w:val="00966413"/>
    <w:rsid w:val="009664A7"/>
    <w:rsid w:val="009664EA"/>
    <w:rsid w:val="00966535"/>
    <w:rsid w:val="0096653C"/>
    <w:rsid w:val="00966544"/>
    <w:rsid w:val="00966553"/>
    <w:rsid w:val="00966556"/>
    <w:rsid w:val="0096657E"/>
    <w:rsid w:val="009665F0"/>
    <w:rsid w:val="00966643"/>
    <w:rsid w:val="00966657"/>
    <w:rsid w:val="0096665D"/>
    <w:rsid w:val="009666AD"/>
    <w:rsid w:val="009666BE"/>
    <w:rsid w:val="009666E8"/>
    <w:rsid w:val="00966717"/>
    <w:rsid w:val="00966745"/>
    <w:rsid w:val="009667A6"/>
    <w:rsid w:val="009667C9"/>
    <w:rsid w:val="0096680A"/>
    <w:rsid w:val="0096680B"/>
    <w:rsid w:val="00966915"/>
    <w:rsid w:val="00966958"/>
    <w:rsid w:val="0096698A"/>
    <w:rsid w:val="00966A18"/>
    <w:rsid w:val="00966A96"/>
    <w:rsid w:val="00966AA7"/>
    <w:rsid w:val="00966ABB"/>
    <w:rsid w:val="00966B02"/>
    <w:rsid w:val="00966B09"/>
    <w:rsid w:val="00966B86"/>
    <w:rsid w:val="00966B9C"/>
    <w:rsid w:val="00966BC3"/>
    <w:rsid w:val="00966C36"/>
    <w:rsid w:val="00966C90"/>
    <w:rsid w:val="00966C93"/>
    <w:rsid w:val="00966D25"/>
    <w:rsid w:val="00966D68"/>
    <w:rsid w:val="00966D8E"/>
    <w:rsid w:val="00966DA1"/>
    <w:rsid w:val="00966DB2"/>
    <w:rsid w:val="00966DBA"/>
    <w:rsid w:val="00966E3A"/>
    <w:rsid w:val="00966E55"/>
    <w:rsid w:val="00966EFE"/>
    <w:rsid w:val="00966F35"/>
    <w:rsid w:val="00966F4F"/>
    <w:rsid w:val="00966F67"/>
    <w:rsid w:val="00966F78"/>
    <w:rsid w:val="0096702F"/>
    <w:rsid w:val="00967066"/>
    <w:rsid w:val="0096707A"/>
    <w:rsid w:val="00967087"/>
    <w:rsid w:val="0096717C"/>
    <w:rsid w:val="00967191"/>
    <w:rsid w:val="0096720C"/>
    <w:rsid w:val="00967236"/>
    <w:rsid w:val="00967327"/>
    <w:rsid w:val="0096732B"/>
    <w:rsid w:val="00967374"/>
    <w:rsid w:val="00967391"/>
    <w:rsid w:val="0096739F"/>
    <w:rsid w:val="009673DB"/>
    <w:rsid w:val="009673F2"/>
    <w:rsid w:val="00967447"/>
    <w:rsid w:val="00967592"/>
    <w:rsid w:val="009675A3"/>
    <w:rsid w:val="009675AE"/>
    <w:rsid w:val="00967607"/>
    <w:rsid w:val="00967608"/>
    <w:rsid w:val="0096760E"/>
    <w:rsid w:val="0096760F"/>
    <w:rsid w:val="00967613"/>
    <w:rsid w:val="00967645"/>
    <w:rsid w:val="00967697"/>
    <w:rsid w:val="009676BF"/>
    <w:rsid w:val="009676CC"/>
    <w:rsid w:val="00967708"/>
    <w:rsid w:val="0096777D"/>
    <w:rsid w:val="009677A9"/>
    <w:rsid w:val="009677AA"/>
    <w:rsid w:val="009677AB"/>
    <w:rsid w:val="009677BB"/>
    <w:rsid w:val="009677FF"/>
    <w:rsid w:val="00967843"/>
    <w:rsid w:val="009679F4"/>
    <w:rsid w:val="00967A31"/>
    <w:rsid w:val="00967A77"/>
    <w:rsid w:val="00967B89"/>
    <w:rsid w:val="00967BCA"/>
    <w:rsid w:val="00967C04"/>
    <w:rsid w:val="00967C21"/>
    <w:rsid w:val="00967C31"/>
    <w:rsid w:val="00967C6C"/>
    <w:rsid w:val="00967C74"/>
    <w:rsid w:val="00967C88"/>
    <w:rsid w:val="00967CA2"/>
    <w:rsid w:val="00967D43"/>
    <w:rsid w:val="00967D74"/>
    <w:rsid w:val="00967DA1"/>
    <w:rsid w:val="00967F11"/>
    <w:rsid w:val="00967F78"/>
    <w:rsid w:val="00967F93"/>
    <w:rsid w:val="00967FB8"/>
    <w:rsid w:val="00967FCF"/>
    <w:rsid w:val="00970027"/>
    <w:rsid w:val="0097026B"/>
    <w:rsid w:val="0097026D"/>
    <w:rsid w:val="00970281"/>
    <w:rsid w:val="009702EC"/>
    <w:rsid w:val="00970305"/>
    <w:rsid w:val="00970341"/>
    <w:rsid w:val="009703FA"/>
    <w:rsid w:val="009703FC"/>
    <w:rsid w:val="0097041D"/>
    <w:rsid w:val="00970460"/>
    <w:rsid w:val="0097048A"/>
    <w:rsid w:val="0097051E"/>
    <w:rsid w:val="0097052E"/>
    <w:rsid w:val="00970644"/>
    <w:rsid w:val="0097064A"/>
    <w:rsid w:val="009706C5"/>
    <w:rsid w:val="009706D2"/>
    <w:rsid w:val="00970715"/>
    <w:rsid w:val="00970719"/>
    <w:rsid w:val="00970766"/>
    <w:rsid w:val="0097078A"/>
    <w:rsid w:val="0097078F"/>
    <w:rsid w:val="00970791"/>
    <w:rsid w:val="009707C9"/>
    <w:rsid w:val="009707FD"/>
    <w:rsid w:val="00970814"/>
    <w:rsid w:val="009708D4"/>
    <w:rsid w:val="009708FA"/>
    <w:rsid w:val="0097091B"/>
    <w:rsid w:val="0097092F"/>
    <w:rsid w:val="00970931"/>
    <w:rsid w:val="00970980"/>
    <w:rsid w:val="009709DF"/>
    <w:rsid w:val="009709EB"/>
    <w:rsid w:val="00970AB4"/>
    <w:rsid w:val="00970AFB"/>
    <w:rsid w:val="00970BB1"/>
    <w:rsid w:val="00970BDC"/>
    <w:rsid w:val="00970C0D"/>
    <w:rsid w:val="00970C2C"/>
    <w:rsid w:val="00970C61"/>
    <w:rsid w:val="00970C74"/>
    <w:rsid w:val="00970C93"/>
    <w:rsid w:val="00970C95"/>
    <w:rsid w:val="00970C9F"/>
    <w:rsid w:val="00970CE5"/>
    <w:rsid w:val="00970CF1"/>
    <w:rsid w:val="00970D08"/>
    <w:rsid w:val="00970D58"/>
    <w:rsid w:val="00970D63"/>
    <w:rsid w:val="00970DBA"/>
    <w:rsid w:val="00970DC6"/>
    <w:rsid w:val="00970E31"/>
    <w:rsid w:val="00970E3E"/>
    <w:rsid w:val="00970E50"/>
    <w:rsid w:val="00970EB4"/>
    <w:rsid w:val="00970F3E"/>
    <w:rsid w:val="00970F5E"/>
    <w:rsid w:val="00970F67"/>
    <w:rsid w:val="00970FBE"/>
    <w:rsid w:val="00970FDB"/>
    <w:rsid w:val="00971017"/>
    <w:rsid w:val="009710DC"/>
    <w:rsid w:val="00971119"/>
    <w:rsid w:val="009712A1"/>
    <w:rsid w:val="009712A9"/>
    <w:rsid w:val="009712C0"/>
    <w:rsid w:val="0097134A"/>
    <w:rsid w:val="00971366"/>
    <w:rsid w:val="00971384"/>
    <w:rsid w:val="00971392"/>
    <w:rsid w:val="00971397"/>
    <w:rsid w:val="009713FC"/>
    <w:rsid w:val="00971409"/>
    <w:rsid w:val="0097146C"/>
    <w:rsid w:val="00971497"/>
    <w:rsid w:val="009714BA"/>
    <w:rsid w:val="0097151A"/>
    <w:rsid w:val="00971532"/>
    <w:rsid w:val="009715C4"/>
    <w:rsid w:val="00971659"/>
    <w:rsid w:val="0097165B"/>
    <w:rsid w:val="009716B3"/>
    <w:rsid w:val="009716F5"/>
    <w:rsid w:val="009716FB"/>
    <w:rsid w:val="00971730"/>
    <w:rsid w:val="00971755"/>
    <w:rsid w:val="0097176E"/>
    <w:rsid w:val="009717E0"/>
    <w:rsid w:val="0097183E"/>
    <w:rsid w:val="0097186F"/>
    <w:rsid w:val="009718B4"/>
    <w:rsid w:val="009718F6"/>
    <w:rsid w:val="00971999"/>
    <w:rsid w:val="00971A21"/>
    <w:rsid w:val="00971A72"/>
    <w:rsid w:val="00971A74"/>
    <w:rsid w:val="00971A93"/>
    <w:rsid w:val="00971AA3"/>
    <w:rsid w:val="00971B41"/>
    <w:rsid w:val="00971B7E"/>
    <w:rsid w:val="00971BC1"/>
    <w:rsid w:val="00971C6C"/>
    <w:rsid w:val="00971C74"/>
    <w:rsid w:val="00971CC4"/>
    <w:rsid w:val="00971CC5"/>
    <w:rsid w:val="00971CEF"/>
    <w:rsid w:val="00971D2D"/>
    <w:rsid w:val="00971D67"/>
    <w:rsid w:val="00971DBE"/>
    <w:rsid w:val="00971DDE"/>
    <w:rsid w:val="00971E0C"/>
    <w:rsid w:val="00971E16"/>
    <w:rsid w:val="00971E28"/>
    <w:rsid w:val="00971E62"/>
    <w:rsid w:val="00971EA4"/>
    <w:rsid w:val="00971F2E"/>
    <w:rsid w:val="00971F41"/>
    <w:rsid w:val="00971F45"/>
    <w:rsid w:val="00971F6F"/>
    <w:rsid w:val="00971F70"/>
    <w:rsid w:val="00972075"/>
    <w:rsid w:val="009720E6"/>
    <w:rsid w:val="009720F7"/>
    <w:rsid w:val="0097214D"/>
    <w:rsid w:val="0097219A"/>
    <w:rsid w:val="009721F8"/>
    <w:rsid w:val="00972216"/>
    <w:rsid w:val="0097226E"/>
    <w:rsid w:val="009722CE"/>
    <w:rsid w:val="00972317"/>
    <w:rsid w:val="00972389"/>
    <w:rsid w:val="00972395"/>
    <w:rsid w:val="009723BC"/>
    <w:rsid w:val="009723F7"/>
    <w:rsid w:val="00972411"/>
    <w:rsid w:val="00972495"/>
    <w:rsid w:val="009724A0"/>
    <w:rsid w:val="009724E5"/>
    <w:rsid w:val="00972505"/>
    <w:rsid w:val="0097259F"/>
    <w:rsid w:val="009725C9"/>
    <w:rsid w:val="009725EF"/>
    <w:rsid w:val="00972635"/>
    <w:rsid w:val="0097267A"/>
    <w:rsid w:val="00972690"/>
    <w:rsid w:val="00972699"/>
    <w:rsid w:val="009726A7"/>
    <w:rsid w:val="009726BF"/>
    <w:rsid w:val="009726E7"/>
    <w:rsid w:val="00972765"/>
    <w:rsid w:val="00972772"/>
    <w:rsid w:val="009727BB"/>
    <w:rsid w:val="009727C6"/>
    <w:rsid w:val="009727D2"/>
    <w:rsid w:val="009727E8"/>
    <w:rsid w:val="009727FB"/>
    <w:rsid w:val="0097285B"/>
    <w:rsid w:val="009728B3"/>
    <w:rsid w:val="009728D0"/>
    <w:rsid w:val="0097290D"/>
    <w:rsid w:val="00972958"/>
    <w:rsid w:val="009729AF"/>
    <w:rsid w:val="009729BC"/>
    <w:rsid w:val="009729D4"/>
    <w:rsid w:val="009729F1"/>
    <w:rsid w:val="00972B35"/>
    <w:rsid w:val="00972B45"/>
    <w:rsid w:val="00972C49"/>
    <w:rsid w:val="00972CC4"/>
    <w:rsid w:val="00972D0A"/>
    <w:rsid w:val="00972D35"/>
    <w:rsid w:val="00972D90"/>
    <w:rsid w:val="00972DB5"/>
    <w:rsid w:val="00972DD9"/>
    <w:rsid w:val="00972E0C"/>
    <w:rsid w:val="00972E27"/>
    <w:rsid w:val="00972E32"/>
    <w:rsid w:val="00972E41"/>
    <w:rsid w:val="00972E5E"/>
    <w:rsid w:val="00972E72"/>
    <w:rsid w:val="00972E8C"/>
    <w:rsid w:val="00972F26"/>
    <w:rsid w:val="00972F29"/>
    <w:rsid w:val="00972FEE"/>
    <w:rsid w:val="00973033"/>
    <w:rsid w:val="0097305C"/>
    <w:rsid w:val="00973062"/>
    <w:rsid w:val="0097307D"/>
    <w:rsid w:val="00973095"/>
    <w:rsid w:val="009730E9"/>
    <w:rsid w:val="0097313C"/>
    <w:rsid w:val="0097314E"/>
    <w:rsid w:val="0097319D"/>
    <w:rsid w:val="009731C8"/>
    <w:rsid w:val="009731F8"/>
    <w:rsid w:val="00973268"/>
    <w:rsid w:val="0097326A"/>
    <w:rsid w:val="009732A2"/>
    <w:rsid w:val="009732C1"/>
    <w:rsid w:val="00973302"/>
    <w:rsid w:val="0097330C"/>
    <w:rsid w:val="0097332F"/>
    <w:rsid w:val="00973344"/>
    <w:rsid w:val="00973356"/>
    <w:rsid w:val="00973389"/>
    <w:rsid w:val="00973415"/>
    <w:rsid w:val="00973440"/>
    <w:rsid w:val="0097348C"/>
    <w:rsid w:val="009734D0"/>
    <w:rsid w:val="00973514"/>
    <w:rsid w:val="009735D7"/>
    <w:rsid w:val="00973644"/>
    <w:rsid w:val="00973654"/>
    <w:rsid w:val="009736CA"/>
    <w:rsid w:val="009736F9"/>
    <w:rsid w:val="00973706"/>
    <w:rsid w:val="00973773"/>
    <w:rsid w:val="00973835"/>
    <w:rsid w:val="00973856"/>
    <w:rsid w:val="00973858"/>
    <w:rsid w:val="0097388A"/>
    <w:rsid w:val="009738F4"/>
    <w:rsid w:val="00973917"/>
    <w:rsid w:val="00973984"/>
    <w:rsid w:val="009739AE"/>
    <w:rsid w:val="009739BD"/>
    <w:rsid w:val="009739C4"/>
    <w:rsid w:val="009739D3"/>
    <w:rsid w:val="00973AB3"/>
    <w:rsid w:val="00973AC1"/>
    <w:rsid w:val="00973AEE"/>
    <w:rsid w:val="00973B0D"/>
    <w:rsid w:val="00973B13"/>
    <w:rsid w:val="00973B27"/>
    <w:rsid w:val="00973B3B"/>
    <w:rsid w:val="00973B94"/>
    <w:rsid w:val="00973BCD"/>
    <w:rsid w:val="00973C00"/>
    <w:rsid w:val="00973C07"/>
    <w:rsid w:val="00973C16"/>
    <w:rsid w:val="00973C67"/>
    <w:rsid w:val="00973C76"/>
    <w:rsid w:val="00973CF7"/>
    <w:rsid w:val="00973D15"/>
    <w:rsid w:val="00973EAD"/>
    <w:rsid w:val="00973EB6"/>
    <w:rsid w:val="00973EEA"/>
    <w:rsid w:val="00973F11"/>
    <w:rsid w:val="00973FF0"/>
    <w:rsid w:val="00973FF5"/>
    <w:rsid w:val="0097400A"/>
    <w:rsid w:val="0097403A"/>
    <w:rsid w:val="0097404C"/>
    <w:rsid w:val="00974083"/>
    <w:rsid w:val="009740E3"/>
    <w:rsid w:val="009740EA"/>
    <w:rsid w:val="0097413B"/>
    <w:rsid w:val="009741A1"/>
    <w:rsid w:val="009741E0"/>
    <w:rsid w:val="0097421B"/>
    <w:rsid w:val="00974261"/>
    <w:rsid w:val="009742B4"/>
    <w:rsid w:val="009742CA"/>
    <w:rsid w:val="009742FE"/>
    <w:rsid w:val="0097433F"/>
    <w:rsid w:val="00974377"/>
    <w:rsid w:val="009743AF"/>
    <w:rsid w:val="009743D4"/>
    <w:rsid w:val="00974443"/>
    <w:rsid w:val="00974449"/>
    <w:rsid w:val="00974496"/>
    <w:rsid w:val="009744FD"/>
    <w:rsid w:val="0097456C"/>
    <w:rsid w:val="0097460D"/>
    <w:rsid w:val="00974610"/>
    <w:rsid w:val="00974611"/>
    <w:rsid w:val="009746A6"/>
    <w:rsid w:val="009746B9"/>
    <w:rsid w:val="009746D4"/>
    <w:rsid w:val="009746DD"/>
    <w:rsid w:val="0097471D"/>
    <w:rsid w:val="00974777"/>
    <w:rsid w:val="009747F0"/>
    <w:rsid w:val="009747F5"/>
    <w:rsid w:val="00974828"/>
    <w:rsid w:val="0097486A"/>
    <w:rsid w:val="009748E9"/>
    <w:rsid w:val="00974977"/>
    <w:rsid w:val="00974998"/>
    <w:rsid w:val="00974A19"/>
    <w:rsid w:val="00974A8B"/>
    <w:rsid w:val="00974AAE"/>
    <w:rsid w:val="00974B10"/>
    <w:rsid w:val="00974B2A"/>
    <w:rsid w:val="00974B7D"/>
    <w:rsid w:val="00974B9D"/>
    <w:rsid w:val="00974C69"/>
    <w:rsid w:val="00974C91"/>
    <w:rsid w:val="00974CED"/>
    <w:rsid w:val="00974D16"/>
    <w:rsid w:val="00974D2E"/>
    <w:rsid w:val="00974D39"/>
    <w:rsid w:val="00974D6A"/>
    <w:rsid w:val="00974D8D"/>
    <w:rsid w:val="00974DD1"/>
    <w:rsid w:val="00974DF3"/>
    <w:rsid w:val="00974EDB"/>
    <w:rsid w:val="00974F0C"/>
    <w:rsid w:val="00974F1E"/>
    <w:rsid w:val="00974FA2"/>
    <w:rsid w:val="00974FA4"/>
    <w:rsid w:val="00974FD6"/>
    <w:rsid w:val="00974FDE"/>
    <w:rsid w:val="00975078"/>
    <w:rsid w:val="009750A8"/>
    <w:rsid w:val="009750E7"/>
    <w:rsid w:val="00975147"/>
    <w:rsid w:val="0097519F"/>
    <w:rsid w:val="009751D3"/>
    <w:rsid w:val="00975221"/>
    <w:rsid w:val="0097529F"/>
    <w:rsid w:val="009752AA"/>
    <w:rsid w:val="00975331"/>
    <w:rsid w:val="0097533E"/>
    <w:rsid w:val="00975348"/>
    <w:rsid w:val="0097535F"/>
    <w:rsid w:val="00975377"/>
    <w:rsid w:val="009753F3"/>
    <w:rsid w:val="00975493"/>
    <w:rsid w:val="009754A2"/>
    <w:rsid w:val="009754BC"/>
    <w:rsid w:val="009754CA"/>
    <w:rsid w:val="00975513"/>
    <w:rsid w:val="00975568"/>
    <w:rsid w:val="0097558E"/>
    <w:rsid w:val="009755BB"/>
    <w:rsid w:val="009755C2"/>
    <w:rsid w:val="009755C5"/>
    <w:rsid w:val="009756A7"/>
    <w:rsid w:val="0097570A"/>
    <w:rsid w:val="0097574E"/>
    <w:rsid w:val="009757B7"/>
    <w:rsid w:val="009758BE"/>
    <w:rsid w:val="009758C8"/>
    <w:rsid w:val="009758E3"/>
    <w:rsid w:val="009758E9"/>
    <w:rsid w:val="00975906"/>
    <w:rsid w:val="00975920"/>
    <w:rsid w:val="0097596D"/>
    <w:rsid w:val="009759C5"/>
    <w:rsid w:val="00975A4E"/>
    <w:rsid w:val="00975A76"/>
    <w:rsid w:val="00975ABD"/>
    <w:rsid w:val="00975AE2"/>
    <w:rsid w:val="00975B98"/>
    <w:rsid w:val="00975B99"/>
    <w:rsid w:val="00975C1C"/>
    <w:rsid w:val="00975C21"/>
    <w:rsid w:val="00975C9A"/>
    <w:rsid w:val="00975D49"/>
    <w:rsid w:val="00975D88"/>
    <w:rsid w:val="00975DF2"/>
    <w:rsid w:val="00975E03"/>
    <w:rsid w:val="00975F9F"/>
    <w:rsid w:val="0097602B"/>
    <w:rsid w:val="009760C0"/>
    <w:rsid w:val="009761F2"/>
    <w:rsid w:val="00976374"/>
    <w:rsid w:val="009763AD"/>
    <w:rsid w:val="0097641F"/>
    <w:rsid w:val="0097657B"/>
    <w:rsid w:val="009765B7"/>
    <w:rsid w:val="0097661C"/>
    <w:rsid w:val="00976669"/>
    <w:rsid w:val="00976683"/>
    <w:rsid w:val="009766DC"/>
    <w:rsid w:val="009766E3"/>
    <w:rsid w:val="00976717"/>
    <w:rsid w:val="009767A4"/>
    <w:rsid w:val="0097680A"/>
    <w:rsid w:val="0097682B"/>
    <w:rsid w:val="00976838"/>
    <w:rsid w:val="00976845"/>
    <w:rsid w:val="0097686E"/>
    <w:rsid w:val="0097688D"/>
    <w:rsid w:val="0097689C"/>
    <w:rsid w:val="00976959"/>
    <w:rsid w:val="009769E7"/>
    <w:rsid w:val="009769F2"/>
    <w:rsid w:val="009769FC"/>
    <w:rsid w:val="00976A11"/>
    <w:rsid w:val="00976A76"/>
    <w:rsid w:val="00976A7C"/>
    <w:rsid w:val="00976A84"/>
    <w:rsid w:val="00976B2A"/>
    <w:rsid w:val="00976B4D"/>
    <w:rsid w:val="00976B59"/>
    <w:rsid w:val="00976B5B"/>
    <w:rsid w:val="00976B94"/>
    <w:rsid w:val="00976BEF"/>
    <w:rsid w:val="00976C65"/>
    <w:rsid w:val="00976C72"/>
    <w:rsid w:val="00976CE1"/>
    <w:rsid w:val="00976D46"/>
    <w:rsid w:val="00976DC0"/>
    <w:rsid w:val="00976DEE"/>
    <w:rsid w:val="00976DF7"/>
    <w:rsid w:val="00976E30"/>
    <w:rsid w:val="00976E52"/>
    <w:rsid w:val="00976E8F"/>
    <w:rsid w:val="00976EC7"/>
    <w:rsid w:val="00976F1C"/>
    <w:rsid w:val="00976F31"/>
    <w:rsid w:val="00976F45"/>
    <w:rsid w:val="00976F67"/>
    <w:rsid w:val="00976F90"/>
    <w:rsid w:val="00976FB6"/>
    <w:rsid w:val="0097705E"/>
    <w:rsid w:val="0097709B"/>
    <w:rsid w:val="0097714F"/>
    <w:rsid w:val="00977154"/>
    <w:rsid w:val="00977232"/>
    <w:rsid w:val="00977239"/>
    <w:rsid w:val="0097725E"/>
    <w:rsid w:val="0097726E"/>
    <w:rsid w:val="00977273"/>
    <w:rsid w:val="009772BE"/>
    <w:rsid w:val="009772C4"/>
    <w:rsid w:val="009772E2"/>
    <w:rsid w:val="009772F2"/>
    <w:rsid w:val="009773D6"/>
    <w:rsid w:val="009773F2"/>
    <w:rsid w:val="009773F3"/>
    <w:rsid w:val="009773F4"/>
    <w:rsid w:val="00977427"/>
    <w:rsid w:val="00977464"/>
    <w:rsid w:val="0097747A"/>
    <w:rsid w:val="00977521"/>
    <w:rsid w:val="009775D9"/>
    <w:rsid w:val="00977605"/>
    <w:rsid w:val="00977676"/>
    <w:rsid w:val="0097768C"/>
    <w:rsid w:val="009776B0"/>
    <w:rsid w:val="009776C4"/>
    <w:rsid w:val="00977712"/>
    <w:rsid w:val="00977783"/>
    <w:rsid w:val="00977796"/>
    <w:rsid w:val="009778A7"/>
    <w:rsid w:val="009778EA"/>
    <w:rsid w:val="00977934"/>
    <w:rsid w:val="00977956"/>
    <w:rsid w:val="009779AB"/>
    <w:rsid w:val="009779B2"/>
    <w:rsid w:val="009779C0"/>
    <w:rsid w:val="009779E5"/>
    <w:rsid w:val="00977A04"/>
    <w:rsid w:val="00977A3B"/>
    <w:rsid w:val="00977A8E"/>
    <w:rsid w:val="00977ABC"/>
    <w:rsid w:val="00977BA9"/>
    <w:rsid w:val="00977BDF"/>
    <w:rsid w:val="00977C06"/>
    <w:rsid w:val="00977C1F"/>
    <w:rsid w:val="00977C91"/>
    <w:rsid w:val="00977C93"/>
    <w:rsid w:val="00977D5B"/>
    <w:rsid w:val="00977D64"/>
    <w:rsid w:val="00977D77"/>
    <w:rsid w:val="00977DB1"/>
    <w:rsid w:val="00977DB2"/>
    <w:rsid w:val="00977E4E"/>
    <w:rsid w:val="00977ED2"/>
    <w:rsid w:val="00977EE4"/>
    <w:rsid w:val="00977EED"/>
    <w:rsid w:val="00977F2C"/>
    <w:rsid w:val="00977F48"/>
    <w:rsid w:val="00977F65"/>
    <w:rsid w:val="00977FD8"/>
    <w:rsid w:val="00980025"/>
    <w:rsid w:val="0098002E"/>
    <w:rsid w:val="00980064"/>
    <w:rsid w:val="009800F3"/>
    <w:rsid w:val="00980165"/>
    <w:rsid w:val="009801C5"/>
    <w:rsid w:val="009801DB"/>
    <w:rsid w:val="0098022F"/>
    <w:rsid w:val="00980319"/>
    <w:rsid w:val="00980397"/>
    <w:rsid w:val="009803B5"/>
    <w:rsid w:val="009803D2"/>
    <w:rsid w:val="0098049F"/>
    <w:rsid w:val="009805A3"/>
    <w:rsid w:val="00980604"/>
    <w:rsid w:val="00980616"/>
    <w:rsid w:val="00980701"/>
    <w:rsid w:val="0098073C"/>
    <w:rsid w:val="00980744"/>
    <w:rsid w:val="00980759"/>
    <w:rsid w:val="0098078B"/>
    <w:rsid w:val="009807A9"/>
    <w:rsid w:val="00980804"/>
    <w:rsid w:val="00980867"/>
    <w:rsid w:val="0098089B"/>
    <w:rsid w:val="009808B6"/>
    <w:rsid w:val="00980A08"/>
    <w:rsid w:val="00980A53"/>
    <w:rsid w:val="00980AAF"/>
    <w:rsid w:val="00980AF8"/>
    <w:rsid w:val="00980B2F"/>
    <w:rsid w:val="00980B4B"/>
    <w:rsid w:val="00980B75"/>
    <w:rsid w:val="00980B7E"/>
    <w:rsid w:val="00980BB2"/>
    <w:rsid w:val="00980BFA"/>
    <w:rsid w:val="00980C8B"/>
    <w:rsid w:val="00980CDB"/>
    <w:rsid w:val="00980D3D"/>
    <w:rsid w:val="00980D73"/>
    <w:rsid w:val="00980D80"/>
    <w:rsid w:val="00980D8D"/>
    <w:rsid w:val="00980DE5"/>
    <w:rsid w:val="00980E26"/>
    <w:rsid w:val="00980E5E"/>
    <w:rsid w:val="00980FA2"/>
    <w:rsid w:val="0098103B"/>
    <w:rsid w:val="00981050"/>
    <w:rsid w:val="00981097"/>
    <w:rsid w:val="00981177"/>
    <w:rsid w:val="009811FF"/>
    <w:rsid w:val="009812CC"/>
    <w:rsid w:val="009812DF"/>
    <w:rsid w:val="00981317"/>
    <w:rsid w:val="0098136E"/>
    <w:rsid w:val="009813B5"/>
    <w:rsid w:val="00981414"/>
    <w:rsid w:val="009814DF"/>
    <w:rsid w:val="0098150C"/>
    <w:rsid w:val="009815A0"/>
    <w:rsid w:val="0098161A"/>
    <w:rsid w:val="009816A8"/>
    <w:rsid w:val="009816D7"/>
    <w:rsid w:val="0098172E"/>
    <w:rsid w:val="00981775"/>
    <w:rsid w:val="009817B0"/>
    <w:rsid w:val="009817B6"/>
    <w:rsid w:val="00981879"/>
    <w:rsid w:val="0098187F"/>
    <w:rsid w:val="009818A6"/>
    <w:rsid w:val="009818DC"/>
    <w:rsid w:val="009818F7"/>
    <w:rsid w:val="0098193C"/>
    <w:rsid w:val="0098194B"/>
    <w:rsid w:val="009819D7"/>
    <w:rsid w:val="00981A3C"/>
    <w:rsid w:val="00981A58"/>
    <w:rsid w:val="00981B73"/>
    <w:rsid w:val="00981BC2"/>
    <w:rsid w:val="00981BF8"/>
    <w:rsid w:val="00981C2F"/>
    <w:rsid w:val="00981C4E"/>
    <w:rsid w:val="00981CBB"/>
    <w:rsid w:val="00981CCF"/>
    <w:rsid w:val="00981D27"/>
    <w:rsid w:val="00981DB7"/>
    <w:rsid w:val="00981E7E"/>
    <w:rsid w:val="00981EAC"/>
    <w:rsid w:val="00981EB4"/>
    <w:rsid w:val="00981EFA"/>
    <w:rsid w:val="00981F5D"/>
    <w:rsid w:val="00981FA2"/>
    <w:rsid w:val="00982030"/>
    <w:rsid w:val="00982085"/>
    <w:rsid w:val="009820C0"/>
    <w:rsid w:val="00982122"/>
    <w:rsid w:val="0098216B"/>
    <w:rsid w:val="00982187"/>
    <w:rsid w:val="009821A7"/>
    <w:rsid w:val="009821BD"/>
    <w:rsid w:val="009821CE"/>
    <w:rsid w:val="0098220F"/>
    <w:rsid w:val="00982230"/>
    <w:rsid w:val="0098225E"/>
    <w:rsid w:val="00982279"/>
    <w:rsid w:val="0098228C"/>
    <w:rsid w:val="009822B7"/>
    <w:rsid w:val="009822C3"/>
    <w:rsid w:val="009822F3"/>
    <w:rsid w:val="00982371"/>
    <w:rsid w:val="00982377"/>
    <w:rsid w:val="00982379"/>
    <w:rsid w:val="00982385"/>
    <w:rsid w:val="009823F3"/>
    <w:rsid w:val="009823F9"/>
    <w:rsid w:val="009824AA"/>
    <w:rsid w:val="009824BD"/>
    <w:rsid w:val="009824D6"/>
    <w:rsid w:val="00982564"/>
    <w:rsid w:val="009825B6"/>
    <w:rsid w:val="0098267D"/>
    <w:rsid w:val="0098268D"/>
    <w:rsid w:val="009826BA"/>
    <w:rsid w:val="00982709"/>
    <w:rsid w:val="009827E9"/>
    <w:rsid w:val="009827ED"/>
    <w:rsid w:val="00982898"/>
    <w:rsid w:val="009828C5"/>
    <w:rsid w:val="009828ED"/>
    <w:rsid w:val="00982933"/>
    <w:rsid w:val="0098299B"/>
    <w:rsid w:val="009829A4"/>
    <w:rsid w:val="009829DA"/>
    <w:rsid w:val="00982A49"/>
    <w:rsid w:val="00982A98"/>
    <w:rsid w:val="00982AB8"/>
    <w:rsid w:val="00982AB9"/>
    <w:rsid w:val="00982B41"/>
    <w:rsid w:val="00982B7B"/>
    <w:rsid w:val="00982B8E"/>
    <w:rsid w:val="00982BB5"/>
    <w:rsid w:val="00982BD5"/>
    <w:rsid w:val="00982CB3"/>
    <w:rsid w:val="00982D0A"/>
    <w:rsid w:val="00982D16"/>
    <w:rsid w:val="00982D37"/>
    <w:rsid w:val="00982DC3"/>
    <w:rsid w:val="00982E57"/>
    <w:rsid w:val="00982EC2"/>
    <w:rsid w:val="00982F4A"/>
    <w:rsid w:val="00983026"/>
    <w:rsid w:val="0098303C"/>
    <w:rsid w:val="0098307A"/>
    <w:rsid w:val="00983137"/>
    <w:rsid w:val="0098314C"/>
    <w:rsid w:val="00983167"/>
    <w:rsid w:val="0098317C"/>
    <w:rsid w:val="009831C3"/>
    <w:rsid w:val="009831CC"/>
    <w:rsid w:val="0098325B"/>
    <w:rsid w:val="009832E9"/>
    <w:rsid w:val="00983317"/>
    <w:rsid w:val="00983371"/>
    <w:rsid w:val="009833EA"/>
    <w:rsid w:val="00983424"/>
    <w:rsid w:val="009834BE"/>
    <w:rsid w:val="009834F7"/>
    <w:rsid w:val="0098351B"/>
    <w:rsid w:val="00983590"/>
    <w:rsid w:val="00983669"/>
    <w:rsid w:val="009836A7"/>
    <w:rsid w:val="00983704"/>
    <w:rsid w:val="00983709"/>
    <w:rsid w:val="00983739"/>
    <w:rsid w:val="0098373C"/>
    <w:rsid w:val="0098382F"/>
    <w:rsid w:val="00983854"/>
    <w:rsid w:val="00983870"/>
    <w:rsid w:val="009838D0"/>
    <w:rsid w:val="009839D0"/>
    <w:rsid w:val="009839E2"/>
    <w:rsid w:val="00983A3E"/>
    <w:rsid w:val="00983A3F"/>
    <w:rsid w:val="00983ADA"/>
    <w:rsid w:val="00983B22"/>
    <w:rsid w:val="00983B9E"/>
    <w:rsid w:val="00983BBD"/>
    <w:rsid w:val="00983C91"/>
    <w:rsid w:val="00983D0B"/>
    <w:rsid w:val="00983D78"/>
    <w:rsid w:val="00983E38"/>
    <w:rsid w:val="00983E88"/>
    <w:rsid w:val="00983EBD"/>
    <w:rsid w:val="00983F28"/>
    <w:rsid w:val="00983F49"/>
    <w:rsid w:val="00983FBB"/>
    <w:rsid w:val="00983FEB"/>
    <w:rsid w:val="00983FF5"/>
    <w:rsid w:val="0098408B"/>
    <w:rsid w:val="0098410A"/>
    <w:rsid w:val="0098413C"/>
    <w:rsid w:val="00984176"/>
    <w:rsid w:val="00984182"/>
    <w:rsid w:val="00984190"/>
    <w:rsid w:val="0098419A"/>
    <w:rsid w:val="009841D1"/>
    <w:rsid w:val="009841DE"/>
    <w:rsid w:val="009841F4"/>
    <w:rsid w:val="00984295"/>
    <w:rsid w:val="009842AD"/>
    <w:rsid w:val="009842DE"/>
    <w:rsid w:val="00984311"/>
    <w:rsid w:val="00984316"/>
    <w:rsid w:val="009843B6"/>
    <w:rsid w:val="009843E9"/>
    <w:rsid w:val="0098445B"/>
    <w:rsid w:val="00984464"/>
    <w:rsid w:val="009844CB"/>
    <w:rsid w:val="00984586"/>
    <w:rsid w:val="0098458F"/>
    <w:rsid w:val="009845D7"/>
    <w:rsid w:val="009845DE"/>
    <w:rsid w:val="0098463A"/>
    <w:rsid w:val="00984655"/>
    <w:rsid w:val="00984683"/>
    <w:rsid w:val="00984689"/>
    <w:rsid w:val="00984721"/>
    <w:rsid w:val="00984766"/>
    <w:rsid w:val="0098478E"/>
    <w:rsid w:val="009847E9"/>
    <w:rsid w:val="009847EF"/>
    <w:rsid w:val="00984803"/>
    <w:rsid w:val="009848A4"/>
    <w:rsid w:val="009848BA"/>
    <w:rsid w:val="009849AA"/>
    <w:rsid w:val="00984A17"/>
    <w:rsid w:val="00984AE8"/>
    <w:rsid w:val="00984AF9"/>
    <w:rsid w:val="00984B18"/>
    <w:rsid w:val="00984B53"/>
    <w:rsid w:val="00984C29"/>
    <w:rsid w:val="00984C55"/>
    <w:rsid w:val="00984C59"/>
    <w:rsid w:val="00984CDE"/>
    <w:rsid w:val="00984D2C"/>
    <w:rsid w:val="00984D7D"/>
    <w:rsid w:val="00984D89"/>
    <w:rsid w:val="00984DC9"/>
    <w:rsid w:val="00984DD8"/>
    <w:rsid w:val="00984EA6"/>
    <w:rsid w:val="00984EA7"/>
    <w:rsid w:val="00984EB3"/>
    <w:rsid w:val="00984F19"/>
    <w:rsid w:val="00984FDA"/>
    <w:rsid w:val="0098502C"/>
    <w:rsid w:val="00985093"/>
    <w:rsid w:val="009850F9"/>
    <w:rsid w:val="0098510D"/>
    <w:rsid w:val="00985128"/>
    <w:rsid w:val="009851AA"/>
    <w:rsid w:val="009851DF"/>
    <w:rsid w:val="00985206"/>
    <w:rsid w:val="00985224"/>
    <w:rsid w:val="00985325"/>
    <w:rsid w:val="009853FF"/>
    <w:rsid w:val="00985445"/>
    <w:rsid w:val="00985447"/>
    <w:rsid w:val="009854DC"/>
    <w:rsid w:val="009854EF"/>
    <w:rsid w:val="0098558A"/>
    <w:rsid w:val="009855B0"/>
    <w:rsid w:val="009855E4"/>
    <w:rsid w:val="009855E7"/>
    <w:rsid w:val="00985648"/>
    <w:rsid w:val="009856A1"/>
    <w:rsid w:val="00985718"/>
    <w:rsid w:val="00985738"/>
    <w:rsid w:val="0098577A"/>
    <w:rsid w:val="009857CC"/>
    <w:rsid w:val="009857D6"/>
    <w:rsid w:val="00985808"/>
    <w:rsid w:val="009858A8"/>
    <w:rsid w:val="0098591B"/>
    <w:rsid w:val="009859B4"/>
    <w:rsid w:val="009859F6"/>
    <w:rsid w:val="00985AA2"/>
    <w:rsid w:val="00985AB0"/>
    <w:rsid w:val="00985AB3"/>
    <w:rsid w:val="00985AF2"/>
    <w:rsid w:val="00985B56"/>
    <w:rsid w:val="00985BDB"/>
    <w:rsid w:val="00985C11"/>
    <w:rsid w:val="00985C1E"/>
    <w:rsid w:val="00985C20"/>
    <w:rsid w:val="00985C74"/>
    <w:rsid w:val="00985CDD"/>
    <w:rsid w:val="00985D25"/>
    <w:rsid w:val="00985D51"/>
    <w:rsid w:val="00985D55"/>
    <w:rsid w:val="00985D67"/>
    <w:rsid w:val="00985D82"/>
    <w:rsid w:val="00985DDB"/>
    <w:rsid w:val="00985DF2"/>
    <w:rsid w:val="00985E2D"/>
    <w:rsid w:val="00985E30"/>
    <w:rsid w:val="00985EC3"/>
    <w:rsid w:val="00985EFC"/>
    <w:rsid w:val="00985F38"/>
    <w:rsid w:val="00985F81"/>
    <w:rsid w:val="00986037"/>
    <w:rsid w:val="009860A6"/>
    <w:rsid w:val="009860C0"/>
    <w:rsid w:val="009860DB"/>
    <w:rsid w:val="009860DC"/>
    <w:rsid w:val="009860E5"/>
    <w:rsid w:val="009860EB"/>
    <w:rsid w:val="009860EF"/>
    <w:rsid w:val="00986108"/>
    <w:rsid w:val="00986109"/>
    <w:rsid w:val="0098615A"/>
    <w:rsid w:val="0098617A"/>
    <w:rsid w:val="009861A7"/>
    <w:rsid w:val="009861F2"/>
    <w:rsid w:val="00986228"/>
    <w:rsid w:val="0098623D"/>
    <w:rsid w:val="00986283"/>
    <w:rsid w:val="009862D8"/>
    <w:rsid w:val="00986300"/>
    <w:rsid w:val="009863A9"/>
    <w:rsid w:val="009863F8"/>
    <w:rsid w:val="0098640D"/>
    <w:rsid w:val="00986410"/>
    <w:rsid w:val="00986480"/>
    <w:rsid w:val="009864CC"/>
    <w:rsid w:val="00986511"/>
    <w:rsid w:val="0098653F"/>
    <w:rsid w:val="009865CA"/>
    <w:rsid w:val="009865F1"/>
    <w:rsid w:val="009865F7"/>
    <w:rsid w:val="0098660E"/>
    <w:rsid w:val="0098661A"/>
    <w:rsid w:val="00986632"/>
    <w:rsid w:val="00986665"/>
    <w:rsid w:val="0098666D"/>
    <w:rsid w:val="00986692"/>
    <w:rsid w:val="00986703"/>
    <w:rsid w:val="0098672D"/>
    <w:rsid w:val="00986756"/>
    <w:rsid w:val="009867CA"/>
    <w:rsid w:val="00986801"/>
    <w:rsid w:val="0098686D"/>
    <w:rsid w:val="009868F0"/>
    <w:rsid w:val="00986916"/>
    <w:rsid w:val="0098697D"/>
    <w:rsid w:val="00986991"/>
    <w:rsid w:val="00986994"/>
    <w:rsid w:val="009869B4"/>
    <w:rsid w:val="00986A0E"/>
    <w:rsid w:val="00986A1C"/>
    <w:rsid w:val="00986B05"/>
    <w:rsid w:val="00986B0C"/>
    <w:rsid w:val="00986B3E"/>
    <w:rsid w:val="00986B51"/>
    <w:rsid w:val="00986BD0"/>
    <w:rsid w:val="00986C39"/>
    <w:rsid w:val="00986CBE"/>
    <w:rsid w:val="00986CF3"/>
    <w:rsid w:val="00986D53"/>
    <w:rsid w:val="00986D5A"/>
    <w:rsid w:val="00986D5C"/>
    <w:rsid w:val="00986D69"/>
    <w:rsid w:val="00986D97"/>
    <w:rsid w:val="00986DB9"/>
    <w:rsid w:val="00986E58"/>
    <w:rsid w:val="00986E5E"/>
    <w:rsid w:val="00986EB2"/>
    <w:rsid w:val="00986EB8"/>
    <w:rsid w:val="00986EC6"/>
    <w:rsid w:val="00986F49"/>
    <w:rsid w:val="00986F95"/>
    <w:rsid w:val="00986FAB"/>
    <w:rsid w:val="00986FC7"/>
    <w:rsid w:val="00986FCE"/>
    <w:rsid w:val="00986FD2"/>
    <w:rsid w:val="00987004"/>
    <w:rsid w:val="0098706F"/>
    <w:rsid w:val="00987071"/>
    <w:rsid w:val="00987078"/>
    <w:rsid w:val="009870B3"/>
    <w:rsid w:val="009870BE"/>
    <w:rsid w:val="00987133"/>
    <w:rsid w:val="00987165"/>
    <w:rsid w:val="00987167"/>
    <w:rsid w:val="009871E7"/>
    <w:rsid w:val="0098723F"/>
    <w:rsid w:val="00987260"/>
    <w:rsid w:val="00987272"/>
    <w:rsid w:val="009872D5"/>
    <w:rsid w:val="009872FC"/>
    <w:rsid w:val="009872FD"/>
    <w:rsid w:val="0098734C"/>
    <w:rsid w:val="0098735C"/>
    <w:rsid w:val="00987361"/>
    <w:rsid w:val="009873AB"/>
    <w:rsid w:val="009873AD"/>
    <w:rsid w:val="009873D3"/>
    <w:rsid w:val="009873D7"/>
    <w:rsid w:val="00987414"/>
    <w:rsid w:val="0098742E"/>
    <w:rsid w:val="009874A3"/>
    <w:rsid w:val="009874E9"/>
    <w:rsid w:val="009874EE"/>
    <w:rsid w:val="00987581"/>
    <w:rsid w:val="009875B9"/>
    <w:rsid w:val="009875CD"/>
    <w:rsid w:val="009875D2"/>
    <w:rsid w:val="009875E1"/>
    <w:rsid w:val="00987731"/>
    <w:rsid w:val="00987770"/>
    <w:rsid w:val="009877B1"/>
    <w:rsid w:val="009877D0"/>
    <w:rsid w:val="009877F6"/>
    <w:rsid w:val="00987869"/>
    <w:rsid w:val="0098788C"/>
    <w:rsid w:val="009878A4"/>
    <w:rsid w:val="009878D4"/>
    <w:rsid w:val="00987908"/>
    <w:rsid w:val="00987945"/>
    <w:rsid w:val="009879ED"/>
    <w:rsid w:val="00987B1C"/>
    <w:rsid w:val="00987B42"/>
    <w:rsid w:val="00987B5B"/>
    <w:rsid w:val="00987BA2"/>
    <w:rsid w:val="00987BE2"/>
    <w:rsid w:val="00987BEA"/>
    <w:rsid w:val="00987CE0"/>
    <w:rsid w:val="00987D01"/>
    <w:rsid w:val="00987D31"/>
    <w:rsid w:val="00987D49"/>
    <w:rsid w:val="00987D7A"/>
    <w:rsid w:val="00987DE1"/>
    <w:rsid w:val="00987DEF"/>
    <w:rsid w:val="00987DF7"/>
    <w:rsid w:val="00987E06"/>
    <w:rsid w:val="00987E27"/>
    <w:rsid w:val="00987E53"/>
    <w:rsid w:val="00987E6C"/>
    <w:rsid w:val="00987E73"/>
    <w:rsid w:val="00987F25"/>
    <w:rsid w:val="0099000C"/>
    <w:rsid w:val="0099007F"/>
    <w:rsid w:val="00990092"/>
    <w:rsid w:val="0099009E"/>
    <w:rsid w:val="009900A2"/>
    <w:rsid w:val="009900D5"/>
    <w:rsid w:val="009900E1"/>
    <w:rsid w:val="00990209"/>
    <w:rsid w:val="00990218"/>
    <w:rsid w:val="00990249"/>
    <w:rsid w:val="00990287"/>
    <w:rsid w:val="009902E4"/>
    <w:rsid w:val="00990394"/>
    <w:rsid w:val="0099039D"/>
    <w:rsid w:val="009903D3"/>
    <w:rsid w:val="00990494"/>
    <w:rsid w:val="009905E1"/>
    <w:rsid w:val="0099062D"/>
    <w:rsid w:val="0099066C"/>
    <w:rsid w:val="009906E8"/>
    <w:rsid w:val="00990773"/>
    <w:rsid w:val="009907C8"/>
    <w:rsid w:val="00990838"/>
    <w:rsid w:val="009908D9"/>
    <w:rsid w:val="00990904"/>
    <w:rsid w:val="00990926"/>
    <w:rsid w:val="0099093C"/>
    <w:rsid w:val="00990949"/>
    <w:rsid w:val="00990982"/>
    <w:rsid w:val="009909D5"/>
    <w:rsid w:val="00990A52"/>
    <w:rsid w:val="00990B2A"/>
    <w:rsid w:val="00990BEC"/>
    <w:rsid w:val="00990CC4"/>
    <w:rsid w:val="00990D08"/>
    <w:rsid w:val="00990D42"/>
    <w:rsid w:val="00990D43"/>
    <w:rsid w:val="00990DAA"/>
    <w:rsid w:val="00990ECD"/>
    <w:rsid w:val="00990FAC"/>
    <w:rsid w:val="00990FDB"/>
    <w:rsid w:val="0099100C"/>
    <w:rsid w:val="00991049"/>
    <w:rsid w:val="0099104D"/>
    <w:rsid w:val="00991054"/>
    <w:rsid w:val="0099109D"/>
    <w:rsid w:val="00991119"/>
    <w:rsid w:val="00991148"/>
    <w:rsid w:val="009911B2"/>
    <w:rsid w:val="009911B7"/>
    <w:rsid w:val="00991200"/>
    <w:rsid w:val="00991201"/>
    <w:rsid w:val="0099120A"/>
    <w:rsid w:val="00991323"/>
    <w:rsid w:val="0099137D"/>
    <w:rsid w:val="00991381"/>
    <w:rsid w:val="009913A5"/>
    <w:rsid w:val="009913B3"/>
    <w:rsid w:val="009913D6"/>
    <w:rsid w:val="0099144F"/>
    <w:rsid w:val="0099146D"/>
    <w:rsid w:val="009914FE"/>
    <w:rsid w:val="00991562"/>
    <w:rsid w:val="00991581"/>
    <w:rsid w:val="009915AA"/>
    <w:rsid w:val="00991611"/>
    <w:rsid w:val="00991686"/>
    <w:rsid w:val="00991717"/>
    <w:rsid w:val="00991755"/>
    <w:rsid w:val="009917A7"/>
    <w:rsid w:val="009917F8"/>
    <w:rsid w:val="00991812"/>
    <w:rsid w:val="00991823"/>
    <w:rsid w:val="00991863"/>
    <w:rsid w:val="00991874"/>
    <w:rsid w:val="009918CD"/>
    <w:rsid w:val="009918F9"/>
    <w:rsid w:val="00991944"/>
    <w:rsid w:val="0099194D"/>
    <w:rsid w:val="009919A0"/>
    <w:rsid w:val="009919BC"/>
    <w:rsid w:val="00991A1A"/>
    <w:rsid w:val="00991A31"/>
    <w:rsid w:val="00991AB2"/>
    <w:rsid w:val="00991AB4"/>
    <w:rsid w:val="00991AB7"/>
    <w:rsid w:val="00991AD2"/>
    <w:rsid w:val="00991AF7"/>
    <w:rsid w:val="00991BAA"/>
    <w:rsid w:val="00991BAB"/>
    <w:rsid w:val="00991C3A"/>
    <w:rsid w:val="00991CB8"/>
    <w:rsid w:val="00991CEE"/>
    <w:rsid w:val="00991CF0"/>
    <w:rsid w:val="00991D2B"/>
    <w:rsid w:val="00991D36"/>
    <w:rsid w:val="00991D43"/>
    <w:rsid w:val="00991DAC"/>
    <w:rsid w:val="00991DD2"/>
    <w:rsid w:val="00991E2F"/>
    <w:rsid w:val="00991E6B"/>
    <w:rsid w:val="00991EEE"/>
    <w:rsid w:val="00991F0E"/>
    <w:rsid w:val="00991F11"/>
    <w:rsid w:val="00991F49"/>
    <w:rsid w:val="00991F4A"/>
    <w:rsid w:val="00991FD9"/>
    <w:rsid w:val="00992047"/>
    <w:rsid w:val="00992055"/>
    <w:rsid w:val="0099206C"/>
    <w:rsid w:val="0099208A"/>
    <w:rsid w:val="0099208E"/>
    <w:rsid w:val="009920F5"/>
    <w:rsid w:val="009920FA"/>
    <w:rsid w:val="0099218D"/>
    <w:rsid w:val="009921B8"/>
    <w:rsid w:val="00992288"/>
    <w:rsid w:val="009922D3"/>
    <w:rsid w:val="009922F8"/>
    <w:rsid w:val="00992310"/>
    <w:rsid w:val="0099231B"/>
    <w:rsid w:val="00992364"/>
    <w:rsid w:val="009923CE"/>
    <w:rsid w:val="00992446"/>
    <w:rsid w:val="009924D1"/>
    <w:rsid w:val="00992575"/>
    <w:rsid w:val="00992578"/>
    <w:rsid w:val="00992579"/>
    <w:rsid w:val="0099259F"/>
    <w:rsid w:val="009925CA"/>
    <w:rsid w:val="0099260A"/>
    <w:rsid w:val="0099262F"/>
    <w:rsid w:val="0099264E"/>
    <w:rsid w:val="00992677"/>
    <w:rsid w:val="00992691"/>
    <w:rsid w:val="00992811"/>
    <w:rsid w:val="00992820"/>
    <w:rsid w:val="0099282D"/>
    <w:rsid w:val="0099289B"/>
    <w:rsid w:val="009928A3"/>
    <w:rsid w:val="009928CF"/>
    <w:rsid w:val="009928E0"/>
    <w:rsid w:val="009929C5"/>
    <w:rsid w:val="00992A0F"/>
    <w:rsid w:val="00992A4C"/>
    <w:rsid w:val="00992A50"/>
    <w:rsid w:val="00992B97"/>
    <w:rsid w:val="00992BBC"/>
    <w:rsid w:val="00992C08"/>
    <w:rsid w:val="00992C48"/>
    <w:rsid w:val="00992C65"/>
    <w:rsid w:val="00992CCA"/>
    <w:rsid w:val="00992CD9"/>
    <w:rsid w:val="00992D28"/>
    <w:rsid w:val="00992DBF"/>
    <w:rsid w:val="00992DDD"/>
    <w:rsid w:val="00992E6C"/>
    <w:rsid w:val="00992E87"/>
    <w:rsid w:val="00992EB3"/>
    <w:rsid w:val="00992EDA"/>
    <w:rsid w:val="00992FB9"/>
    <w:rsid w:val="0099302E"/>
    <w:rsid w:val="00993139"/>
    <w:rsid w:val="00993172"/>
    <w:rsid w:val="009931D0"/>
    <w:rsid w:val="0099328B"/>
    <w:rsid w:val="009932A7"/>
    <w:rsid w:val="009932A8"/>
    <w:rsid w:val="009932C9"/>
    <w:rsid w:val="009932EA"/>
    <w:rsid w:val="009933B6"/>
    <w:rsid w:val="009934D6"/>
    <w:rsid w:val="00993598"/>
    <w:rsid w:val="009935BB"/>
    <w:rsid w:val="009935ED"/>
    <w:rsid w:val="00993609"/>
    <w:rsid w:val="00993624"/>
    <w:rsid w:val="00993639"/>
    <w:rsid w:val="0099367E"/>
    <w:rsid w:val="00993695"/>
    <w:rsid w:val="009936D9"/>
    <w:rsid w:val="0099370A"/>
    <w:rsid w:val="0099379A"/>
    <w:rsid w:val="009937BA"/>
    <w:rsid w:val="00993840"/>
    <w:rsid w:val="00993859"/>
    <w:rsid w:val="009938BF"/>
    <w:rsid w:val="009938D9"/>
    <w:rsid w:val="009939ED"/>
    <w:rsid w:val="00993A02"/>
    <w:rsid w:val="00993A1E"/>
    <w:rsid w:val="00993AE0"/>
    <w:rsid w:val="00993B25"/>
    <w:rsid w:val="00993B32"/>
    <w:rsid w:val="00993B4E"/>
    <w:rsid w:val="00993BB8"/>
    <w:rsid w:val="00993BD5"/>
    <w:rsid w:val="00993BF9"/>
    <w:rsid w:val="00993C34"/>
    <w:rsid w:val="00993C3C"/>
    <w:rsid w:val="00993C40"/>
    <w:rsid w:val="00993C5B"/>
    <w:rsid w:val="00993D7C"/>
    <w:rsid w:val="00993DF2"/>
    <w:rsid w:val="00993E64"/>
    <w:rsid w:val="00993E70"/>
    <w:rsid w:val="00993E71"/>
    <w:rsid w:val="00993E8E"/>
    <w:rsid w:val="00993EC2"/>
    <w:rsid w:val="00993F10"/>
    <w:rsid w:val="00993F34"/>
    <w:rsid w:val="00993FD2"/>
    <w:rsid w:val="00994009"/>
    <w:rsid w:val="0099401F"/>
    <w:rsid w:val="00994026"/>
    <w:rsid w:val="0099407E"/>
    <w:rsid w:val="009940E5"/>
    <w:rsid w:val="00994101"/>
    <w:rsid w:val="00994117"/>
    <w:rsid w:val="0099413D"/>
    <w:rsid w:val="0099414F"/>
    <w:rsid w:val="0099415F"/>
    <w:rsid w:val="009941CC"/>
    <w:rsid w:val="009941D2"/>
    <w:rsid w:val="00994204"/>
    <w:rsid w:val="0099423D"/>
    <w:rsid w:val="0099428D"/>
    <w:rsid w:val="0099429D"/>
    <w:rsid w:val="009942C0"/>
    <w:rsid w:val="009942CD"/>
    <w:rsid w:val="00994311"/>
    <w:rsid w:val="00994363"/>
    <w:rsid w:val="00994382"/>
    <w:rsid w:val="009943AF"/>
    <w:rsid w:val="009943D5"/>
    <w:rsid w:val="009943E3"/>
    <w:rsid w:val="009943F8"/>
    <w:rsid w:val="00994460"/>
    <w:rsid w:val="00994485"/>
    <w:rsid w:val="00994486"/>
    <w:rsid w:val="009944D4"/>
    <w:rsid w:val="00994513"/>
    <w:rsid w:val="00994544"/>
    <w:rsid w:val="0099456D"/>
    <w:rsid w:val="009945C0"/>
    <w:rsid w:val="00994610"/>
    <w:rsid w:val="0099464C"/>
    <w:rsid w:val="0099466F"/>
    <w:rsid w:val="009946AF"/>
    <w:rsid w:val="009946F5"/>
    <w:rsid w:val="00994709"/>
    <w:rsid w:val="009947D9"/>
    <w:rsid w:val="00994842"/>
    <w:rsid w:val="0099487D"/>
    <w:rsid w:val="009948BB"/>
    <w:rsid w:val="00994951"/>
    <w:rsid w:val="0099497F"/>
    <w:rsid w:val="009949A7"/>
    <w:rsid w:val="00994A2E"/>
    <w:rsid w:val="00994A7A"/>
    <w:rsid w:val="00994A90"/>
    <w:rsid w:val="00994AD9"/>
    <w:rsid w:val="00994B23"/>
    <w:rsid w:val="00994B5D"/>
    <w:rsid w:val="00994B9C"/>
    <w:rsid w:val="00994BDD"/>
    <w:rsid w:val="00994BE6"/>
    <w:rsid w:val="00994BEE"/>
    <w:rsid w:val="00994C67"/>
    <w:rsid w:val="00994C92"/>
    <w:rsid w:val="00994C9E"/>
    <w:rsid w:val="00994CDD"/>
    <w:rsid w:val="00994CE8"/>
    <w:rsid w:val="00994D36"/>
    <w:rsid w:val="00994D3D"/>
    <w:rsid w:val="00994D54"/>
    <w:rsid w:val="00994DBB"/>
    <w:rsid w:val="00994DD0"/>
    <w:rsid w:val="00994DED"/>
    <w:rsid w:val="00994E02"/>
    <w:rsid w:val="00994E43"/>
    <w:rsid w:val="00994EAA"/>
    <w:rsid w:val="00994EAF"/>
    <w:rsid w:val="00994F15"/>
    <w:rsid w:val="00994F31"/>
    <w:rsid w:val="00994F3E"/>
    <w:rsid w:val="00994FA9"/>
    <w:rsid w:val="00994FE9"/>
    <w:rsid w:val="00995018"/>
    <w:rsid w:val="0099509B"/>
    <w:rsid w:val="00995127"/>
    <w:rsid w:val="0099514B"/>
    <w:rsid w:val="00995155"/>
    <w:rsid w:val="0099515E"/>
    <w:rsid w:val="0099518E"/>
    <w:rsid w:val="0099525D"/>
    <w:rsid w:val="00995268"/>
    <w:rsid w:val="00995286"/>
    <w:rsid w:val="009952E3"/>
    <w:rsid w:val="009952F8"/>
    <w:rsid w:val="00995318"/>
    <w:rsid w:val="0099531B"/>
    <w:rsid w:val="0099531D"/>
    <w:rsid w:val="00995404"/>
    <w:rsid w:val="0099549D"/>
    <w:rsid w:val="009954D4"/>
    <w:rsid w:val="009954E2"/>
    <w:rsid w:val="009954F2"/>
    <w:rsid w:val="00995506"/>
    <w:rsid w:val="00995523"/>
    <w:rsid w:val="00995526"/>
    <w:rsid w:val="009955A8"/>
    <w:rsid w:val="009955D1"/>
    <w:rsid w:val="009955E4"/>
    <w:rsid w:val="00995712"/>
    <w:rsid w:val="00995737"/>
    <w:rsid w:val="0099578F"/>
    <w:rsid w:val="009957EA"/>
    <w:rsid w:val="00995832"/>
    <w:rsid w:val="00995862"/>
    <w:rsid w:val="009958A3"/>
    <w:rsid w:val="009958E5"/>
    <w:rsid w:val="0099594F"/>
    <w:rsid w:val="009959BC"/>
    <w:rsid w:val="009959CD"/>
    <w:rsid w:val="00995A10"/>
    <w:rsid w:val="00995AB1"/>
    <w:rsid w:val="00995AC7"/>
    <w:rsid w:val="00995AEC"/>
    <w:rsid w:val="00995B2C"/>
    <w:rsid w:val="00995BBC"/>
    <w:rsid w:val="00995BFC"/>
    <w:rsid w:val="00995C19"/>
    <w:rsid w:val="00995C24"/>
    <w:rsid w:val="00995C39"/>
    <w:rsid w:val="00995CAE"/>
    <w:rsid w:val="00995CB2"/>
    <w:rsid w:val="00995D78"/>
    <w:rsid w:val="00995D8C"/>
    <w:rsid w:val="00995DA7"/>
    <w:rsid w:val="00995DA9"/>
    <w:rsid w:val="00995DAB"/>
    <w:rsid w:val="00995DAC"/>
    <w:rsid w:val="00995E4E"/>
    <w:rsid w:val="00995E61"/>
    <w:rsid w:val="00995F23"/>
    <w:rsid w:val="00995F61"/>
    <w:rsid w:val="00995F73"/>
    <w:rsid w:val="00995F80"/>
    <w:rsid w:val="00995F84"/>
    <w:rsid w:val="00996015"/>
    <w:rsid w:val="0099603C"/>
    <w:rsid w:val="0099606D"/>
    <w:rsid w:val="009960D3"/>
    <w:rsid w:val="00996106"/>
    <w:rsid w:val="0099610A"/>
    <w:rsid w:val="0099613E"/>
    <w:rsid w:val="009961B1"/>
    <w:rsid w:val="009961F7"/>
    <w:rsid w:val="0099622C"/>
    <w:rsid w:val="0099627C"/>
    <w:rsid w:val="009962B7"/>
    <w:rsid w:val="009962D7"/>
    <w:rsid w:val="009962E8"/>
    <w:rsid w:val="009962F0"/>
    <w:rsid w:val="00996316"/>
    <w:rsid w:val="00996385"/>
    <w:rsid w:val="009963DA"/>
    <w:rsid w:val="009964BC"/>
    <w:rsid w:val="009964F5"/>
    <w:rsid w:val="00996552"/>
    <w:rsid w:val="009965C3"/>
    <w:rsid w:val="009965F2"/>
    <w:rsid w:val="0099663D"/>
    <w:rsid w:val="00996641"/>
    <w:rsid w:val="009966D6"/>
    <w:rsid w:val="009966F8"/>
    <w:rsid w:val="00996710"/>
    <w:rsid w:val="0099671A"/>
    <w:rsid w:val="00996749"/>
    <w:rsid w:val="00996777"/>
    <w:rsid w:val="009967B9"/>
    <w:rsid w:val="00996809"/>
    <w:rsid w:val="00996861"/>
    <w:rsid w:val="00996921"/>
    <w:rsid w:val="00996971"/>
    <w:rsid w:val="00996980"/>
    <w:rsid w:val="00996985"/>
    <w:rsid w:val="00996A55"/>
    <w:rsid w:val="00996A79"/>
    <w:rsid w:val="00996A8F"/>
    <w:rsid w:val="00996A98"/>
    <w:rsid w:val="00996AD1"/>
    <w:rsid w:val="00996ADC"/>
    <w:rsid w:val="00996B0A"/>
    <w:rsid w:val="00996B59"/>
    <w:rsid w:val="00996B70"/>
    <w:rsid w:val="00996BCF"/>
    <w:rsid w:val="00996D0C"/>
    <w:rsid w:val="00996D52"/>
    <w:rsid w:val="00996D5D"/>
    <w:rsid w:val="00996D70"/>
    <w:rsid w:val="00996E43"/>
    <w:rsid w:val="00996E9E"/>
    <w:rsid w:val="00996EA1"/>
    <w:rsid w:val="00996ED2"/>
    <w:rsid w:val="00996EE3"/>
    <w:rsid w:val="00996EFB"/>
    <w:rsid w:val="00996F25"/>
    <w:rsid w:val="00996F48"/>
    <w:rsid w:val="00996F88"/>
    <w:rsid w:val="00996FA0"/>
    <w:rsid w:val="00997022"/>
    <w:rsid w:val="00997037"/>
    <w:rsid w:val="009971A3"/>
    <w:rsid w:val="00997212"/>
    <w:rsid w:val="0099726B"/>
    <w:rsid w:val="00997272"/>
    <w:rsid w:val="009972B7"/>
    <w:rsid w:val="009972BA"/>
    <w:rsid w:val="009972C6"/>
    <w:rsid w:val="009972DA"/>
    <w:rsid w:val="0099732C"/>
    <w:rsid w:val="0099732E"/>
    <w:rsid w:val="00997349"/>
    <w:rsid w:val="0099734F"/>
    <w:rsid w:val="0099736C"/>
    <w:rsid w:val="009973B1"/>
    <w:rsid w:val="009973F2"/>
    <w:rsid w:val="00997409"/>
    <w:rsid w:val="0099741D"/>
    <w:rsid w:val="00997424"/>
    <w:rsid w:val="00997541"/>
    <w:rsid w:val="00997568"/>
    <w:rsid w:val="0099757C"/>
    <w:rsid w:val="009975F1"/>
    <w:rsid w:val="009975FE"/>
    <w:rsid w:val="0099760C"/>
    <w:rsid w:val="0099772F"/>
    <w:rsid w:val="00997737"/>
    <w:rsid w:val="00997788"/>
    <w:rsid w:val="009977EC"/>
    <w:rsid w:val="00997880"/>
    <w:rsid w:val="009978E4"/>
    <w:rsid w:val="009978EC"/>
    <w:rsid w:val="00997931"/>
    <w:rsid w:val="00997966"/>
    <w:rsid w:val="00997A44"/>
    <w:rsid w:val="00997A6E"/>
    <w:rsid w:val="00997AC6"/>
    <w:rsid w:val="00997AD1"/>
    <w:rsid w:val="00997B7C"/>
    <w:rsid w:val="00997B90"/>
    <w:rsid w:val="00997C04"/>
    <w:rsid w:val="00997C25"/>
    <w:rsid w:val="00997CA6"/>
    <w:rsid w:val="00997CD5"/>
    <w:rsid w:val="00997CE1"/>
    <w:rsid w:val="00997D1D"/>
    <w:rsid w:val="00997D5E"/>
    <w:rsid w:val="00997DCC"/>
    <w:rsid w:val="00997E0A"/>
    <w:rsid w:val="00997E1A"/>
    <w:rsid w:val="00997E23"/>
    <w:rsid w:val="00997E61"/>
    <w:rsid w:val="00997E64"/>
    <w:rsid w:val="00997E6E"/>
    <w:rsid w:val="00997E8A"/>
    <w:rsid w:val="00997ED9"/>
    <w:rsid w:val="00997EEC"/>
    <w:rsid w:val="00997FA1"/>
    <w:rsid w:val="00997FA4"/>
    <w:rsid w:val="00997FF8"/>
    <w:rsid w:val="009A0053"/>
    <w:rsid w:val="009A0090"/>
    <w:rsid w:val="009A00A7"/>
    <w:rsid w:val="009A00F7"/>
    <w:rsid w:val="009A0139"/>
    <w:rsid w:val="009A0141"/>
    <w:rsid w:val="009A0170"/>
    <w:rsid w:val="009A0209"/>
    <w:rsid w:val="009A0222"/>
    <w:rsid w:val="009A0236"/>
    <w:rsid w:val="009A02BA"/>
    <w:rsid w:val="009A02DD"/>
    <w:rsid w:val="009A043F"/>
    <w:rsid w:val="009A044C"/>
    <w:rsid w:val="009A045B"/>
    <w:rsid w:val="009A045E"/>
    <w:rsid w:val="009A04B4"/>
    <w:rsid w:val="009A0541"/>
    <w:rsid w:val="009A0575"/>
    <w:rsid w:val="009A057B"/>
    <w:rsid w:val="009A0581"/>
    <w:rsid w:val="009A05CA"/>
    <w:rsid w:val="009A05DD"/>
    <w:rsid w:val="009A0625"/>
    <w:rsid w:val="009A0634"/>
    <w:rsid w:val="009A065A"/>
    <w:rsid w:val="009A065C"/>
    <w:rsid w:val="009A072E"/>
    <w:rsid w:val="009A073F"/>
    <w:rsid w:val="009A078A"/>
    <w:rsid w:val="009A0827"/>
    <w:rsid w:val="009A0834"/>
    <w:rsid w:val="009A084D"/>
    <w:rsid w:val="009A091A"/>
    <w:rsid w:val="009A096A"/>
    <w:rsid w:val="009A0978"/>
    <w:rsid w:val="009A0990"/>
    <w:rsid w:val="009A0B2D"/>
    <w:rsid w:val="009A0B47"/>
    <w:rsid w:val="009A0B61"/>
    <w:rsid w:val="009A0C14"/>
    <w:rsid w:val="009A0C99"/>
    <w:rsid w:val="009A0CBA"/>
    <w:rsid w:val="009A0D0A"/>
    <w:rsid w:val="009A0E6F"/>
    <w:rsid w:val="009A0EA0"/>
    <w:rsid w:val="009A0ECB"/>
    <w:rsid w:val="009A0ECE"/>
    <w:rsid w:val="009A0F1D"/>
    <w:rsid w:val="009A0F4D"/>
    <w:rsid w:val="009A0F6A"/>
    <w:rsid w:val="009A0F88"/>
    <w:rsid w:val="009A0FA0"/>
    <w:rsid w:val="009A0FC2"/>
    <w:rsid w:val="009A0FE5"/>
    <w:rsid w:val="009A0FEF"/>
    <w:rsid w:val="009A1069"/>
    <w:rsid w:val="009A110E"/>
    <w:rsid w:val="009A1181"/>
    <w:rsid w:val="009A1243"/>
    <w:rsid w:val="009A1271"/>
    <w:rsid w:val="009A1275"/>
    <w:rsid w:val="009A1279"/>
    <w:rsid w:val="009A12A6"/>
    <w:rsid w:val="009A131C"/>
    <w:rsid w:val="009A1356"/>
    <w:rsid w:val="009A13B2"/>
    <w:rsid w:val="009A13DF"/>
    <w:rsid w:val="009A13E4"/>
    <w:rsid w:val="009A14D4"/>
    <w:rsid w:val="009A151C"/>
    <w:rsid w:val="009A1530"/>
    <w:rsid w:val="009A153F"/>
    <w:rsid w:val="009A158A"/>
    <w:rsid w:val="009A15BA"/>
    <w:rsid w:val="009A15C0"/>
    <w:rsid w:val="009A15DC"/>
    <w:rsid w:val="009A1601"/>
    <w:rsid w:val="009A1675"/>
    <w:rsid w:val="009A16B1"/>
    <w:rsid w:val="009A16C4"/>
    <w:rsid w:val="009A173B"/>
    <w:rsid w:val="009A173C"/>
    <w:rsid w:val="009A17A0"/>
    <w:rsid w:val="009A180F"/>
    <w:rsid w:val="009A182E"/>
    <w:rsid w:val="009A188A"/>
    <w:rsid w:val="009A1891"/>
    <w:rsid w:val="009A18E6"/>
    <w:rsid w:val="009A1941"/>
    <w:rsid w:val="009A1992"/>
    <w:rsid w:val="009A19B8"/>
    <w:rsid w:val="009A19D0"/>
    <w:rsid w:val="009A19DB"/>
    <w:rsid w:val="009A19E3"/>
    <w:rsid w:val="009A19F4"/>
    <w:rsid w:val="009A1A93"/>
    <w:rsid w:val="009A1ABB"/>
    <w:rsid w:val="009A1ADD"/>
    <w:rsid w:val="009A1AF0"/>
    <w:rsid w:val="009A1B02"/>
    <w:rsid w:val="009A1C09"/>
    <w:rsid w:val="009A1C67"/>
    <w:rsid w:val="009A1CE8"/>
    <w:rsid w:val="009A1CFA"/>
    <w:rsid w:val="009A1D07"/>
    <w:rsid w:val="009A1D50"/>
    <w:rsid w:val="009A1DBF"/>
    <w:rsid w:val="009A1E94"/>
    <w:rsid w:val="009A1E9F"/>
    <w:rsid w:val="009A1EAA"/>
    <w:rsid w:val="009A1EBB"/>
    <w:rsid w:val="009A1EFC"/>
    <w:rsid w:val="009A1F7E"/>
    <w:rsid w:val="009A1FF8"/>
    <w:rsid w:val="009A2026"/>
    <w:rsid w:val="009A202B"/>
    <w:rsid w:val="009A2036"/>
    <w:rsid w:val="009A2121"/>
    <w:rsid w:val="009A2138"/>
    <w:rsid w:val="009A2153"/>
    <w:rsid w:val="009A21DF"/>
    <w:rsid w:val="009A21F1"/>
    <w:rsid w:val="009A21FC"/>
    <w:rsid w:val="009A2200"/>
    <w:rsid w:val="009A2232"/>
    <w:rsid w:val="009A2257"/>
    <w:rsid w:val="009A225A"/>
    <w:rsid w:val="009A2275"/>
    <w:rsid w:val="009A2281"/>
    <w:rsid w:val="009A22C6"/>
    <w:rsid w:val="009A2327"/>
    <w:rsid w:val="009A23B3"/>
    <w:rsid w:val="009A23B6"/>
    <w:rsid w:val="009A2442"/>
    <w:rsid w:val="009A24D7"/>
    <w:rsid w:val="009A2514"/>
    <w:rsid w:val="009A2526"/>
    <w:rsid w:val="009A254B"/>
    <w:rsid w:val="009A2632"/>
    <w:rsid w:val="009A263B"/>
    <w:rsid w:val="009A263C"/>
    <w:rsid w:val="009A266A"/>
    <w:rsid w:val="009A26A6"/>
    <w:rsid w:val="009A26BC"/>
    <w:rsid w:val="009A26CF"/>
    <w:rsid w:val="009A277C"/>
    <w:rsid w:val="009A27C3"/>
    <w:rsid w:val="009A288B"/>
    <w:rsid w:val="009A28C8"/>
    <w:rsid w:val="009A291D"/>
    <w:rsid w:val="009A293B"/>
    <w:rsid w:val="009A294E"/>
    <w:rsid w:val="009A2962"/>
    <w:rsid w:val="009A2967"/>
    <w:rsid w:val="009A29AE"/>
    <w:rsid w:val="009A2A16"/>
    <w:rsid w:val="009A2A47"/>
    <w:rsid w:val="009A2AC0"/>
    <w:rsid w:val="009A2AF2"/>
    <w:rsid w:val="009A2B13"/>
    <w:rsid w:val="009A2B1A"/>
    <w:rsid w:val="009A2B61"/>
    <w:rsid w:val="009A2BC1"/>
    <w:rsid w:val="009A2BF6"/>
    <w:rsid w:val="009A2C22"/>
    <w:rsid w:val="009A2C48"/>
    <w:rsid w:val="009A2C69"/>
    <w:rsid w:val="009A2CF9"/>
    <w:rsid w:val="009A2D18"/>
    <w:rsid w:val="009A2D34"/>
    <w:rsid w:val="009A2D60"/>
    <w:rsid w:val="009A2DA1"/>
    <w:rsid w:val="009A2DC7"/>
    <w:rsid w:val="009A2E22"/>
    <w:rsid w:val="009A2E67"/>
    <w:rsid w:val="009A2E91"/>
    <w:rsid w:val="009A2ED3"/>
    <w:rsid w:val="009A2F73"/>
    <w:rsid w:val="009A2FB2"/>
    <w:rsid w:val="009A2FB8"/>
    <w:rsid w:val="009A2FED"/>
    <w:rsid w:val="009A30DF"/>
    <w:rsid w:val="009A3107"/>
    <w:rsid w:val="009A312F"/>
    <w:rsid w:val="009A3151"/>
    <w:rsid w:val="009A31E7"/>
    <w:rsid w:val="009A3201"/>
    <w:rsid w:val="009A323C"/>
    <w:rsid w:val="009A3248"/>
    <w:rsid w:val="009A3293"/>
    <w:rsid w:val="009A32E2"/>
    <w:rsid w:val="009A3349"/>
    <w:rsid w:val="009A33D8"/>
    <w:rsid w:val="009A33EF"/>
    <w:rsid w:val="009A3469"/>
    <w:rsid w:val="009A34BF"/>
    <w:rsid w:val="009A3525"/>
    <w:rsid w:val="009A35AB"/>
    <w:rsid w:val="009A35DB"/>
    <w:rsid w:val="009A3628"/>
    <w:rsid w:val="009A364E"/>
    <w:rsid w:val="009A366A"/>
    <w:rsid w:val="009A36C3"/>
    <w:rsid w:val="009A36EA"/>
    <w:rsid w:val="009A36F5"/>
    <w:rsid w:val="009A36F8"/>
    <w:rsid w:val="009A370C"/>
    <w:rsid w:val="009A3725"/>
    <w:rsid w:val="009A372C"/>
    <w:rsid w:val="009A37BF"/>
    <w:rsid w:val="009A384A"/>
    <w:rsid w:val="009A386F"/>
    <w:rsid w:val="009A3889"/>
    <w:rsid w:val="009A38FE"/>
    <w:rsid w:val="009A394C"/>
    <w:rsid w:val="009A399A"/>
    <w:rsid w:val="009A39A8"/>
    <w:rsid w:val="009A3A19"/>
    <w:rsid w:val="009A3A3A"/>
    <w:rsid w:val="009A3AAB"/>
    <w:rsid w:val="009A3AD0"/>
    <w:rsid w:val="009A3ADB"/>
    <w:rsid w:val="009A3B09"/>
    <w:rsid w:val="009A3BC0"/>
    <w:rsid w:val="009A3BE2"/>
    <w:rsid w:val="009A3C5B"/>
    <w:rsid w:val="009A3CBF"/>
    <w:rsid w:val="009A3CC1"/>
    <w:rsid w:val="009A3CFF"/>
    <w:rsid w:val="009A3DB6"/>
    <w:rsid w:val="009A3DDF"/>
    <w:rsid w:val="009A3DE9"/>
    <w:rsid w:val="009A3E28"/>
    <w:rsid w:val="009A3EB3"/>
    <w:rsid w:val="009A3ECC"/>
    <w:rsid w:val="009A3F55"/>
    <w:rsid w:val="009A3F56"/>
    <w:rsid w:val="009A3F96"/>
    <w:rsid w:val="009A3FB9"/>
    <w:rsid w:val="009A3FFB"/>
    <w:rsid w:val="009A40A9"/>
    <w:rsid w:val="009A40B3"/>
    <w:rsid w:val="009A413C"/>
    <w:rsid w:val="009A4274"/>
    <w:rsid w:val="009A42BE"/>
    <w:rsid w:val="009A42EE"/>
    <w:rsid w:val="009A42F6"/>
    <w:rsid w:val="009A432D"/>
    <w:rsid w:val="009A43AD"/>
    <w:rsid w:val="009A43B0"/>
    <w:rsid w:val="009A44E0"/>
    <w:rsid w:val="009A452B"/>
    <w:rsid w:val="009A4539"/>
    <w:rsid w:val="009A4548"/>
    <w:rsid w:val="009A45D6"/>
    <w:rsid w:val="009A45FF"/>
    <w:rsid w:val="009A4649"/>
    <w:rsid w:val="009A470B"/>
    <w:rsid w:val="009A478D"/>
    <w:rsid w:val="009A4874"/>
    <w:rsid w:val="009A48B5"/>
    <w:rsid w:val="009A48B6"/>
    <w:rsid w:val="009A49A7"/>
    <w:rsid w:val="009A49BE"/>
    <w:rsid w:val="009A49C3"/>
    <w:rsid w:val="009A49CE"/>
    <w:rsid w:val="009A4AA6"/>
    <w:rsid w:val="009A4AD1"/>
    <w:rsid w:val="009A4AEA"/>
    <w:rsid w:val="009A4AFF"/>
    <w:rsid w:val="009A4B5A"/>
    <w:rsid w:val="009A4BB3"/>
    <w:rsid w:val="009A4BBD"/>
    <w:rsid w:val="009A4BD3"/>
    <w:rsid w:val="009A4BDE"/>
    <w:rsid w:val="009A4BE0"/>
    <w:rsid w:val="009A4BE5"/>
    <w:rsid w:val="009A4C02"/>
    <w:rsid w:val="009A4C11"/>
    <w:rsid w:val="009A4C24"/>
    <w:rsid w:val="009A4C81"/>
    <w:rsid w:val="009A4CDB"/>
    <w:rsid w:val="009A4D16"/>
    <w:rsid w:val="009A4DB4"/>
    <w:rsid w:val="009A4DED"/>
    <w:rsid w:val="009A4DF4"/>
    <w:rsid w:val="009A4DFF"/>
    <w:rsid w:val="009A4E1B"/>
    <w:rsid w:val="009A4E4A"/>
    <w:rsid w:val="009A4EF7"/>
    <w:rsid w:val="009A4F03"/>
    <w:rsid w:val="009A4F3C"/>
    <w:rsid w:val="009A4F82"/>
    <w:rsid w:val="009A4F8B"/>
    <w:rsid w:val="009A4FFC"/>
    <w:rsid w:val="009A502D"/>
    <w:rsid w:val="009A505A"/>
    <w:rsid w:val="009A50C2"/>
    <w:rsid w:val="009A50D7"/>
    <w:rsid w:val="009A5115"/>
    <w:rsid w:val="009A511D"/>
    <w:rsid w:val="009A5173"/>
    <w:rsid w:val="009A5182"/>
    <w:rsid w:val="009A51A6"/>
    <w:rsid w:val="009A51AF"/>
    <w:rsid w:val="009A51D0"/>
    <w:rsid w:val="009A51D5"/>
    <w:rsid w:val="009A51E6"/>
    <w:rsid w:val="009A5238"/>
    <w:rsid w:val="009A5243"/>
    <w:rsid w:val="009A52F4"/>
    <w:rsid w:val="009A53C6"/>
    <w:rsid w:val="009A540C"/>
    <w:rsid w:val="009A5452"/>
    <w:rsid w:val="009A545C"/>
    <w:rsid w:val="009A546F"/>
    <w:rsid w:val="009A5489"/>
    <w:rsid w:val="009A5494"/>
    <w:rsid w:val="009A54CD"/>
    <w:rsid w:val="009A54D1"/>
    <w:rsid w:val="009A5565"/>
    <w:rsid w:val="009A558C"/>
    <w:rsid w:val="009A55DA"/>
    <w:rsid w:val="009A5610"/>
    <w:rsid w:val="009A5638"/>
    <w:rsid w:val="009A5673"/>
    <w:rsid w:val="009A56B6"/>
    <w:rsid w:val="009A56C4"/>
    <w:rsid w:val="009A56EC"/>
    <w:rsid w:val="009A56ED"/>
    <w:rsid w:val="009A575D"/>
    <w:rsid w:val="009A576D"/>
    <w:rsid w:val="009A5773"/>
    <w:rsid w:val="009A57B5"/>
    <w:rsid w:val="009A57BA"/>
    <w:rsid w:val="009A57BC"/>
    <w:rsid w:val="009A57C3"/>
    <w:rsid w:val="009A5827"/>
    <w:rsid w:val="009A586C"/>
    <w:rsid w:val="009A58AA"/>
    <w:rsid w:val="009A58B5"/>
    <w:rsid w:val="009A58FD"/>
    <w:rsid w:val="009A5939"/>
    <w:rsid w:val="009A5972"/>
    <w:rsid w:val="009A59D7"/>
    <w:rsid w:val="009A5A18"/>
    <w:rsid w:val="009A5AAF"/>
    <w:rsid w:val="009A5AB4"/>
    <w:rsid w:val="009A5AF9"/>
    <w:rsid w:val="009A5BF7"/>
    <w:rsid w:val="009A5C31"/>
    <w:rsid w:val="009A5C54"/>
    <w:rsid w:val="009A5C71"/>
    <w:rsid w:val="009A5CC7"/>
    <w:rsid w:val="009A5CEE"/>
    <w:rsid w:val="009A5CF3"/>
    <w:rsid w:val="009A5D11"/>
    <w:rsid w:val="009A5D21"/>
    <w:rsid w:val="009A5D3F"/>
    <w:rsid w:val="009A5D44"/>
    <w:rsid w:val="009A5DB4"/>
    <w:rsid w:val="009A5EB3"/>
    <w:rsid w:val="009A5F29"/>
    <w:rsid w:val="009A5F57"/>
    <w:rsid w:val="009A5FCB"/>
    <w:rsid w:val="009A5FDF"/>
    <w:rsid w:val="009A603D"/>
    <w:rsid w:val="009A60EB"/>
    <w:rsid w:val="009A6183"/>
    <w:rsid w:val="009A618C"/>
    <w:rsid w:val="009A61B3"/>
    <w:rsid w:val="009A6274"/>
    <w:rsid w:val="009A629C"/>
    <w:rsid w:val="009A629D"/>
    <w:rsid w:val="009A635F"/>
    <w:rsid w:val="009A63A3"/>
    <w:rsid w:val="009A63B9"/>
    <w:rsid w:val="009A63D3"/>
    <w:rsid w:val="009A6436"/>
    <w:rsid w:val="009A646D"/>
    <w:rsid w:val="009A64A6"/>
    <w:rsid w:val="009A64F0"/>
    <w:rsid w:val="009A6547"/>
    <w:rsid w:val="009A655D"/>
    <w:rsid w:val="009A6577"/>
    <w:rsid w:val="009A6586"/>
    <w:rsid w:val="009A658F"/>
    <w:rsid w:val="009A65D0"/>
    <w:rsid w:val="009A65E2"/>
    <w:rsid w:val="009A6629"/>
    <w:rsid w:val="009A6697"/>
    <w:rsid w:val="009A66F4"/>
    <w:rsid w:val="009A6802"/>
    <w:rsid w:val="009A6805"/>
    <w:rsid w:val="009A6868"/>
    <w:rsid w:val="009A6892"/>
    <w:rsid w:val="009A6894"/>
    <w:rsid w:val="009A68D0"/>
    <w:rsid w:val="009A690C"/>
    <w:rsid w:val="009A69A2"/>
    <w:rsid w:val="009A69E7"/>
    <w:rsid w:val="009A69E8"/>
    <w:rsid w:val="009A69F0"/>
    <w:rsid w:val="009A6A47"/>
    <w:rsid w:val="009A6A6B"/>
    <w:rsid w:val="009A6A8B"/>
    <w:rsid w:val="009A6A95"/>
    <w:rsid w:val="009A6B14"/>
    <w:rsid w:val="009A6B1D"/>
    <w:rsid w:val="009A6B4F"/>
    <w:rsid w:val="009A6B5E"/>
    <w:rsid w:val="009A6B6B"/>
    <w:rsid w:val="009A6BCD"/>
    <w:rsid w:val="009A6BDC"/>
    <w:rsid w:val="009A6C70"/>
    <w:rsid w:val="009A6C85"/>
    <w:rsid w:val="009A6CC7"/>
    <w:rsid w:val="009A6CEF"/>
    <w:rsid w:val="009A6CF5"/>
    <w:rsid w:val="009A6D12"/>
    <w:rsid w:val="009A6D22"/>
    <w:rsid w:val="009A6D47"/>
    <w:rsid w:val="009A6D65"/>
    <w:rsid w:val="009A6DA1"/>
    <w:rsid w:val="009A6DC7"/>
    <w:rsid w:val="009A6DFE"/>
    <w:rsid w:val="009A6E5B"/>
    <w:rsid w:val="009A6EAE"/>
    <w:rsid w:val="009A6EC2"/>
    <w:rsid w:val="009A6F05"/>
    <w:rsid w:val="009A6F2A"/>
    <w:rsid w:val="009A6F35"/>
    <w:rsid w:val="009A6F3B"/>
    <w:rsid w:val="009A6F47"/>
    <w:rsid w:val="009A6FD4"/>
    <w:rsid w:val="009A705B"/>
    <w:rsid w:val="009A70AC"/>
    <w:rsid w:val="009A7111"/>
    <w:rsid w:val="009A7117"/>
    <w:rsid w:val="009A713D"/>
    <w:rsid w:val="009A71F6"/>
    <w:rsid w:val="009A71F8"/>
    <w:rsid w:val="009A7210"/>
    <w:rsid w:val="009A7216"/>
    <w:rsid w:val="009A7233"/>
    <w:rsid w:val="009A737D"/>
    <w:rsid w:val="009A7397"/>
    <w:rsid w:val="009A7398"/>
    <w:rsid w:val="009A748A"/>
    <w:rsid w:val="009A74A9"/>
    <w:rsid w:val="009A74B3"/>
    <w:rsid w:val="009A7571"/>
    <w:rsid w:val="009A759D"/>
    <w:rsid w:val="009A75E6"/>
    <w:rsid w:val="009A7605"/>
    <w:rsid w:val="009A763F"/>
    <w:rsid w:val="009A76EF"/>
    <w:rsid w:val="009A76F9"/>
    <w:rsid w:val="009A771A"/>
    <w:rsid w:val="009A7848"/>
    <w:rsid w:val="009A788F"/>
    <w:rsid w:val="009A78B4"/>
    <w:rsid w:val="009A7959"/>
    <w:rsid w:val="009A796C"/>
    <w:rsid w:val="009A79F3"/>
    <w:rsid w:val="009A79F4"/>
    <w:rsid w:val="009A7A39"/>
    <w:rsid w:val="009A7AB0"/>
    <w:rsid w:val="009A7AC1"/>
    <w:rsid w:val="009A7B2F"/>
    <w:rsid w:val="009A7B9C"/>
    <w:rsid w:val="009A7B9D"/>
    <w:rsid w:val="009A7BCA"/>
    <w:rsid w:val="009A7BE7"/>
    <w:rsid w:val="009A7C52"/>
    <w:rsid w:val="009A7D1E"/>
    <w:rsid w:val="009A7D55"/>
    <w:rsid w:val="009A7DB1"/>
    <w:rsid w:val="009A7DEA"/>
    <w:rsid w:val="009A7E7B"/>
    <w:rsid w:val="009A7E7C"/>
    <w:rsid w:val="009A7EFE"/>
    <w:rsid w:val="009A7F48"/>
    <w:rsid w:val="009A7F4E"/>
    <w:rsid w:val="009A7FA6"/>
    <w:rsid w:val="009A7FAE"/>
    <w:rsid w:val="009A7FD0"/>
    <w:rsid w:val="009B0022"/>
    <w:rsid w:val="009B0088"/>
    <w:rsid w:val="009B0113"/>
    <w:rsid w:val="009B0129"/>
    <w:rsid w:val="009B01AB"/>
    <w:rsid w:val="009B01BE"/>
    <w:rsid w:val="009B01C0"/>
    <w:rsid w:val="009B0304"/>
    <w:rsid w:val="009B0310"/>
    <w:rsid w:val="009B03C3"/>
    <w:rsid w:val="009B03CD"/>
    <w:rsid w:val="009B0643"/>
    <w:rsid w:val="009B0652"/>
    <w:rsid w:val="009B0700"/>
    <w:rsid w:val="009B0750"/>
    <w:rsid w:val="009B088F"/>
    <w:rsid w:val="009B0897"/>
    <w:rsid w:val="009B08DE"/>
    <w:rsid w:val="009B0928"/>
    <w:rsid w:val="009B0934"/>
    <w:rsid w:val="009B0977"/>
    <w:rsid w:val="009B09E0"/>
    <w:rsid w:val="009B09FF"/>
    <w:rsid w:val="009B0A2D"/>
    <w:rsid w:val="009B0A36"/>
    <w:rsid w:val="009B0A5E"/>
    <w:rsid w:val="009B0AAB"/>
    <w:rsid w:val="009B0AF2"/>
    <w:rsid w:val="009B0BFA"/>
    <w:rsid w:val="009B0C9D"/>
    <w:rsid w:val="009B0CB4"/>
    <w:rsid w:val="009B0CD2"/>
    <w:rsid w:val="009B0CD6"/>
    <w:rsid w:val="009B0CEC"/>
    <w:rsid w:val="009B0D09"/>
    <w:rsid w:val="009B0D25"/>
    <w:rsid w:val="009B0D60"/>
    <w:rsid w:val="009B0DC1"/>
    <w:rsid w:val="009B0DE3"/>
    <w:rsid w:val="009B0E0D"/>
    <w:rsid w:val="009B0E18"/>
    <w:rsid w:val="009B0E2F"/>
    <w:rsid w:val="009B0E35"/>
    <w:rsid w:val="009B0F19"/>
    <w:rsid w:val="009B0F26"/>
    <w:rsid w:val="009B0F3A"/>
    <w:rsid w:val="009B0F6E"/>
    <w:rsid w:val="009B0FBD"/>
    <w:rsid w:val="009B0FC2"/>
    <w:rsid w:val="009B0FCF"/>
    <w:rsid w:val="009B0FE4"/>
    <w:rsid w:val="009B10A3"/>
    <w:rsid w:val="009B10D8"/>
    <w:rsid w:val="009B117E"/>
    <w:rsid w:val="009B1231"/>
    <w:rsid w:val="009B1249"/>
    <w:rsid w:val="009B12CE"/>
    <w:rsid w:val="009B12E5"/>
    <w:rsid w:val="009B12F3"/>
    <w:rsid w:val="009B1322"/>
    <w:rsid w:val="009B134A"/>
    <w:rsid w:val="009B1477"/>
    <w:rsid w:val="009B1497"/>
    <w:rsid w:val="009B14B2"/>
    <w:rsid w:val="009B1509"/>
    <w:rsid w:val="009B1527"/>
    <w:rsid w:val="009B154E"/>
    <w:rsid w:val="009B15A8"/>
    <w:rsid w:val="009B162E"/>
    <w:rsid w:val="009B1633"/>
    <w:rsid w:val="009B1648"/>
    <w:rsid w:val="009B16AC"/>
    <w:rsid w:val="009B16D3"/>
    <w:rsid w:val="009B172D"/>
    <w:rsid w:val="009B172F"/>
    <w:rsid w:val="009B177B"/>
    <w:rsid w:val="009B183D"/>
    <w:rsid w:val="009B184A"/>
    <w:rsid w:val="009B184E"/>
    <w:rsid w:val="009B18A7"/>
    <w:rsid w:val="009B18C6"/>
    <w:rsid w:val="009B193A"/>
    <w:rsid w:val="009B1944"/>
    <w:rsid w:val="009B1957"/>
    <w:rsid w:val="009B19C3"/>
    <w:rsid w:val="009B19D6"/>
    <w:rsid w:val="009B19FF"/>
    <w:rsid w:val="009B1AC8"/>
    <w:rsid w:val="009B1ADC"/>
    <w:rsid w:val="009B1B91"/>
    <w:rsid w:val="009B1C40"/>
    <w:rsid w:val="009B1CA4"/>
    <w:rsid w:val="009B1CED"/>
    <w:rsid w:val="009B1E3D"/>
    <w:rsid w:val="009B1E5B"/>
    <w:rsid w:val="009B1E6B"/>
    <w:rsid w:val="009B1E83"/>
    <w:rsid w:val="009B1EB0"/>
    <w:rsid w:val="009B1F34"/>
    <w:rsid w:val="009B1F97"/>
    <w:rsid w:val="009B200A"/>
    <w:rsid w:val="009B2040"/>
    <w:rsid w:val="009B204A"/>
    <w:rsid w:val="009B2082"/>
    <w:rsid w:val="009B209B"/>
    <w:rsid w:val="009B20B0"/>
    <w:rsid w:val="009B20EA"/>
    <w:rsid w:val="009B210B"/>
    <w:rsid w:val="009B217A"/>
    <w:rsid w:val="009B217D"/>
    <w:rsid w:val="009B2186"/>
    <w:rsid w:val="009B2208"/>
    <w:rsid w:val="009B222E"/>
    <w:rsid w:val="009B2249"/>
    <w:rsid w:val="009B229F"/>
    <w:rsid w:val="009B2309"/>
    <w:rsid w:val="009B2335"/>
    <w:rsid w:val="009B237B"/>
    <w:rsid w:val="009B23B7"/>
    <w:rsid w:val="009B2417"/>
    <w:rsid w:val="009B24B5"/>
    <w:rsid w:val="009B24D0"/>
    <w:rsid w:val="009B2539"/>
    <w:rsid w:val="009B257C"/>
    <w:rsid w:val="009B25A0"/>
    <w:rsid w:val="009B25DC"/>
    <w:rsid w:val="009B2632"/>
    <w:rsid w:val="009B2654"/>
    <w:rsid w:val="009B2655"/>
    <w:rsid w:val="009B2658"/>
    <w:rsid w:val="009B2686"/>
    <w:rsid w:val="009B2722"/>
    <w:rsid w:val="009B2740"/>
    <w:rsid w:val="009B275A"/>
    <w:rsid w:val="009B27A7"/>
    <w:rsid w:val="009B286D"/>
    <w:rsid w:val="009B28D1"/>
    <w:rsid w:val="009B296D"/>
    <w:rsid w:val="009B29C0"/>
    <w:rsid w:val="009B29E4"/>
    <w:rsid w:val="009B2A2E"/>
    <w:rsid w:val="009B2A47"/>
    <w:rsid w:val="009B2AB9"/>
    <w:rsid w:val="009B2AE0"/>
    <w:rsid w:val="009B2AF1"/>
    <w:rsid w:val="009B2B66"/>
    <w:rsid w:val="009B2B69"/>
    <w:rsid w:val="009B2B75"/>
    <w:rsid w:val="009B2C04"/>
    <w:rsid w:val="009B2C82"/>
    <w:rsid w:val="009B2C89"/>
    <w:rsid w:val="009B2CBE"/>
    <w:rsid w:val="009B2CC7"/>
    <w:rsid w:val="009B2CE3"/>
    <w:rsid w:val="009B2CEA"/>
    <w:rsid w:val="009B2D36"/>
    <w:rsid w:val="009B2D42"/>
    <w:rsid w:val="009B2D66"/>
    <w:rsid w:val="009B2D7C"/>
    <w:rsid w:val="009B2DBE"/>
    <w:rsid w:val="009B2DC1"/>
    <w:rsid w:val="009B2DD0"/>
    <w:rsid w:val="009B2E8B"/>
    <w:rsid w:val="009B2E95"/>
    <w:rsid w:val="009B2F82"/>
    <w:rsid w:val="009B2FAB"/>
    <w:rsid w:val="009B2FF8"/>
    <w:rsid w:val="009B303B"/>
    <w:rsid w:val="009B3044"/>
    <w:rsid w:val="009B3057"/>
    <w:rsid w:val="009B312A"/>
    <w:rsid w:val="009B313A"/>
    <w:rsid w:val="009B3216"/>
    <w:rsid w:val="009B3220"/>
    <w:rsid w:val="009B3258"/>
    <w:rsid w:val="009B333F"/>
    <w:rsid w:val="009B3354"/>
    <w:rsid w:val="009B335E"/>
    <w:rsid w:val="009B3412"/>
    <w:rsid w:val="009B342C"/>
    <w:rsid w:val="009B3442"/>
    <w:rsid w:val="009B34CD"/>
    <w:rsid w:val="009B34D0"/>
    <w:rsid w:val="009B34D8"/>
    <w:rsid w:val="009B34E1"/>
    <w:rsid w:val="009B3524"/>
    <w:rsid w:val="009B359E"/>
    <w:rsid w:val="009B35A1"/>
    <w:rsid w:val="009B360B"/>
    <w:rsid w:val="009B36CC"/>
    <w:rsid w:val="009B370C"/>
    <w:rsid w:val="009B3762"/>
    <w:rsid w:val="009B376A"/>
    <w:rsid w:val="009B37A5"/>
    <w:rsid w:val="009B37CC"/>
    <w:rsid w:val="009B388F"/>
    <w:rsid w:val="009B38E0"/>
    <w:rsid w:val="009B3913"/>
    <w:rsid w:val="009B3993"/>
    <w:rsid w:val="009B39A4"/>
    <w:rsid w:val="009B39FD"/>
    <w:rsid w:val="009B3A32"/>
    <w:rsid w:val="009B3AE5"/>
    <w:rsid w:val="009B3AF2"/>
    <w:rsid w:val="009B3AFF"/>
    <w:rsid w:val="009B3B30"/>
    <w:rsid w:val="009B3C5E"/>
    <w:rsid w:val="009B3C79"/>
    <w:rsid w:val="009B3C95"/>
    <w:rsid w:val="009B3CA3"/>
    <w:rsid w:val="009B3D64"/>
    <w:rsid w:val="009B3D93"/>
    <w:rsid w:val="009B3DA2"/>
    <w:rsid w:val="009B3DB7"/>
    <w:rsid w:val="009B3DF0"/>
    <w:rsid w:val="009B3DFF"/>
    <w:rsid w:val="009B3E09"/>
    <w:rsid w:val="009B3E27"/>
    <w:rsid w:val="009B3EAD"/>
    <w:rsid w:val="009B3EB4"/>
    <w:rsid w:val="009B3EE0"/>
    <w:rsid w:val="009B3F02"/>
    <w:rsid w:val="009B3F16"/>
    <w:rsid w:val="009B3F44"/>
    <w:rsid w:val="009B3F50"/>
    <w:rsid w:val="009B3F8D"/>
    <w:rsid w:val="009B3FB8"/>
    <w:rsid w:val="009B3FF9"/>
    <w:rsid w:val="009B4068"/>
    <w:rsid w:val="009B4158"/>
    <w:rsid w:val="009B416F"/>
    <w:rsid w:val="009B418D"/>
    <w:rsid w:val="009B419C"/>
    <w:rsid w:val="009B41C6"/>
    <w:rsid w:val="009B41C7"/>
    <w:rsid w:val="009B41E9"/>
    <w:rsid w:val="009B4204"/>
    <w:rsid w:val="009B4241"/>
    <w:rsid w:val="009B4242"/>
    <w:rsid w:val="009B4254"/>
    <w:rsid w:val="009B42A1"/>
    <w:rsid w:val="009B4304"/>
    <w:rsid w:val="009B4340"/>
    <w:rsid w:val="009B438F"/>
    <w:rsid w:val="009B4390"/>
    <w:rsid w:val="009B43A8"/>
    <w:rsid w:val="009B43CB"/>
    <w:rsid w:val="009B4512"/>
    <w:rsid w:val="009B455C"/>
    <w:rsid w:val="009B4570"/>
    <w:rsid w:val="009B45ED"/>
    <w:rsid w:val="009B45F2"/>
    <w:rsid w:val="009B46FD"/>
    <w:rsid w:val="009B47C4"/>
    <w:rsid w:val="009B4810"/>
    <w:rsid w:val="009B4903"/>
    <w:rsid w:val="009B49CD"/>
    <w:rsid w:val="009B4A2D"/>
    <w:rsid w:val="009B4A34"/>
    <w:rsid w:val="009B4AA3"/>
    <w:rsid w:val="009B4AB8"/>
    <w:rsid w:val="009B4ABB"/>
    <w:rsid w:val="009B4AFA"/>
    <w:rsid w:val="009B4B0F"/>
    <w:rsid w:val="009B4B55"/>
    <w:rsid w:val="009B4B5D"/>
    <w:rsid w:val="009B4B6F"/>
    <w:rsid w:val="009B4B85"/>
    <w:rsid w:val="009B4B95"/>
    <w:rsid w:val="009B4BD7"/>
    <w:rsid w:val="009B4BDF"/>
    <w:rsid w:val="009B4BFE"/>
    <w:rsid w:val="009B4C2B"/>
    <w:rsid w:val="009B4C56"/>
    <w:rsid w:val="009B4CA2"/>
    <w:rsid w:val="009B4CAB"/>
    <w:rsid w:val="009B4D27"/>
    <w:rsid w:val="009B4D3A"/>
    <w:rsid w:val="009B4D8E"/>
    <w:rsid w:val="009B4DB8"/>
    <w:rsid w:val="009B4DF8"/>
    <w:rsid w:val="009B4E19"/>
    <w:rsid w:val="009B4E29"/>
    <w:rsid w:val="009B4E65"/>
    <w:rsid w:val="009B4EB1"/>
    <w:rsid w:val="009B4ED3"/>
    <w:rsid w:val="009B4F39"/>
    <w:rsid w:val="009B4F55"/>
    <w:rsid w:val="009B4F85"/>
    <w:rsid w:val="009B4FAF"/>
    <w:rsid w:val="009B4FBB"/>
    <w:rsid w:val="009B4FD1"/>
    <w:rsid w:val="009B5074"/>
    <w:rsid w:val="009B507F"/>
    <w:rsid w:val="009B509E"/>
    <w:rsid w:val="009B50AA"/>
    <w:rsid w:val="009B50BC"/>
    <w:rsid w:val="009B50DE"/>
    <w:rsid w:val="009B5182"/>
    <w:rsid w:val="009B5269"/>
    <w:rsid w:val="009B528F"/>
    <w:rsid w:val="009B52CA"/>
    <w:rsid w:val="009B5305"/>
    <w:rsid w:val="009B532C"/>
    <w:rsid w:val="009B536B"/>
    <w:rsid w:val="009B5375"/>
    <w:rsid w:val="009B53FF"/>
    <w:rsid w:val="009B5474"/>
    <w:rsid w:val="009B54D5"/>
    <w:rsid w:val="009B54E2"/>
    <w:rsid w:val="009B54E7"/>
    <w:rsid w:val="009B54F0"/>
    <w:rsid w:val="009B5555"/>
    <w:rsid w:val="009B5638"/>
    <w:rsid w:val="009B5690"/>
    <w:rsid w:val="009B5715"/>
    <w:rsid w:val="009B573F"/>
    <w:rsid w:val="009B5748"/>
    <w:rsid w:val="009B57A4"/>
    <w:rsid w:val="009B57F2"/>
    <w:rsid w:val="009B58DC"/>
    <w:rsid w:val="009B58DE"/>
    <w:rsid w:val="009B5960"/>
    <w:rsid w:val="009B5981"/>
    <w:rsid w:val="009B59E9"/>
    <w:rsid w:val="009B5ABB"/>
    <w:rsid w:val="009B5AC6"/>
    <w:rsid w:val="009B5BB1"/>
    <w:rsid w:val="009B5C7E"/>
    <w:rsid w:val="009B5CF6"/>
    <w:rsid w:val="009B5D24"/>
    <w:rsid w:val="009B5D32"/>
    <w:rsid w:val="009B5DC8"/>
    <w:rsid w:val="009B5DEB"/>
    <w:rsid w:val="009B5E1D"/>
    <w:rsid w:val="009B5E22"/>
    <w:rsid w:val="009B5E2F"/>
    <w:rsid w:val="009B5E7D"/>
    <w:rsid w:val="009B5E91"/>
    <w:rsid w:val="009B5EB0"/>
    <w:rsid w:val="009B5EC8"/>
    <w:rsid w:val="009B5F0C"/>
    <w:rsid w:val="009B5F13"/>
    <w:rsid w:val="009B5F3E"/>
    <w:rsid w:val="009B5F59"/>
    <w:rsid w:val="009B5F64"/>
    <w:rsid w:val="009B5F75"/>
    <w:rsid w:val="009B5FAA"/>
    <w:rsid w:val="009B5FB0"/>
    <w:rsid w:val="009B602C"/>
    <w:rsid w:val="009B6044"/>
    <w:rsid w:val="009B6046"/>
    <w:rsid w:val="009B6087"/>
    <w:rsid w:val="009B60D6"/>
    <w:rsid w:val="009B60DC"/>
    <w:rsid w:val="009B6144"/>
    <w:rsid w:val="009B6149"/>
    <w:rsid w:val="009B61E2"/>
    <w:rsid w:val="009B627F"/>
    <w:rsid w:val="009B62A8"/>
    <w:rsid w:val="009B62D9"/>
    <w:rsid w:val="009B62E4"/>
    <w:rsid w:val="009B63AC"/>
    <w:rsid w:val="009B63BF"/>
    <w:rsid w:val="009B63EA"/>
    <w:rsid w:val="009B6402"/>
    <w:rsid w:val="009B6438"/>
    <w:rsid w:val="009B645E"/>
    <w:rsid w:val="009B6485"/>
    <w:rsid w:val="009B650E"/>
    <w:rsid w:val="009B6556"/>
    <w:rsid w:val="009B657D"/>
    <w:rsid w:val="009B6591"/>
    <w:rsid w:val="009B65F3"/>
    <w:rsid w:val="009B6654"/>
    <w:rsid w:val="009B6655"/>
    <w:rsid w:val="009B66E6"/>
    <w:rsid w:val="009B6722"/>
    <w:rsid w:val="009B6728"/>
    <w:rsid w:val="009B6882"/>
    <w:rsid w:val="009B68AC"/>
    <w:rsid w:val="009B6962"/>
    <w:rsid w:val="009B69BE"/>
    <w:rsid w:val="009B69D3"/>
    <w:rsid w:val="009B6A09"/>
    <w:rsid w:val="009B6AC5"/>
    <w:rsid w:val="009B6AE2"/>
    <w:rsid w:val="009B6AF3"/>
    <w:rsid w:val="009B6B56"/>
    <w:rsid w:val="009B6B5E"/>
    <w:rsid w:val="009B6B97"/>
    <w:rsid w:val="009B6B98"/>
    <w:rsid w:val="009B6BBA"/>
    <w:rsid w:val="009B6BE0"/>
    <w:rsid w:val="009B6C44"/>
    <w:rsid w:val="009B6C64"/>
    <w:rsid w:val="009B6C70"/>
    <w:rsid w:val="009B6CA5"/>
    <w:rsid w:val="009B6CEF"/>
    <w:rsid w:val="009B6E1B"/>
    <w:rsid w:val="009B6E42"/>
    <w:rsid w:val="009B6E7A"/>
    <w:rsid w:val="009B6EB1"/>
    <w:rsid w:val="009B6EBA"/>
    <w:rsid w:val="009B6F3B"/>
    <w:rsid w:val="009B6F47"/>
    <w:rsid w:val="009B6F51"/>
    <w:rsid w:val="009B6F81"/>
    <w:rsid w:val="009B6F98"/>
    <w:rsid w:val="009B6F9A"/>
    <w:rsid w:val="009B7003"/>
    <w:rsid w:val="009B7026"/>
    <w:rsid w:val="009B703A"/>
    <w:rsid w:val="009B706A"/>
    <w:rsid w:val="009B70AD"/>
    <w:rsid w:val="009B713D"/>
    <w:rsid w:val="009B713F"/>
    <w:rsid w:val="009B71E6"/>
    <w:rsid w:val="009B71E7"/>
    <w:rsid w:val="009B7223"/>
    <w:rsid w:val="009B7230"/>
    <w:rsid w:val="009B7249"/>
    <w:rsid w:val="009B7272"/>
    <w:rsid w:val="009B7292"/>
    <w:rsid w:val="009B7299"/>
    <w:rsid w:val="009B72AB"/>
    <w:rsid w:val="009B72F9"/>
    <w:rsid w:val="009B7396"/>
    <w:rsid w:val="009B740E"/>
    <w:rsid w:val="009B7479"/>
    <w:rsid w:val="009B7487"/>
    <w:rsid w:val="009B74AD"/>
    <w:rsid w:val="009B752F"/>
    <w:rsid w:val="009B7557"/>
    <w:rsid w:val="009B75DD"/>
    <w:rsid w:val="009B762C"/>
    <w:rsid w:val="009B76E0"/>
    <w:rsid w:val="009B76E1"/>
    <w:rsid w:val="009B772D"/>
    <w:rsid w:val="009B774B"/>
    <w:rsid w:val="009B77C8"/>
    <w:rsid w:val="009B787C"/>
    <w:rsid w:val="009B789D"/>
    <w:rsid w:val="009B7905"/>
    <w:rsid w:val="009B7A1A"/>
    <w:rsid w:val="009B7A27"/>
    <w:rsid w:val="009B7A4A"/>
    <w:rsid w:val="009B7A4F"/>
    <w:rsid w:val="009B7B63"/>
    <w:rsid w:val="009B7B6A"/>
    <w:rsid w:val="009B7B82"/>
    <w:rsid w:val="009B7C0B"/>
    <w:rsid w:val="009B7C20"/>
    <w:rsid w:val="009B7C3D"/>
    <w:rsid w:val="009B7C82"/>
    <w:rsid w:val="009B7CF4"/>
    <w:rsid w:val="009B7DA3"/>
    <w:rsid w:val="009B7DCF"/>
    <w:rsid w:val="009B7E79"/>
    <w:rsid w:val="009B7EF6"/>
    <w:rsid w:val="009B7F1A"/>
    <w:rsid w:val="009B7F82"/>
    <w:rsid w:val="009B7F84"/>
    <w:rsid w:val="009B7FFA"/>
    <w:rsid w:val="009C005D"/>
    <w:rsid w:val="009C005F"/>
    <w:rsid w:val="009C00A5"/>
    <w:rsid w:val="009C00FC"/>
    <w:rsid w:val="009C019A"/>
    <w:rsid w:val="009C0206"/>
    <w:rsid w:val="009C0299"/>
    <w:rsid w:val="009C02B0"/>
    <w:rsid w:val="009C02E3"/>
    <w:rsid w:val="009C02F9"/>
    <w:rsid w:val="009C02FD"/>
    <w:rsid w:val="009C0357"/>
    <w:rsid w:val="009C03B7"/>
    <w:rsid w:val="009C03D8"/>
    <w:rsid w:val="009C0411"/>
    <w:rsid w:val="009C0425"/>
    <w:rsid w:val="009C042F"/>
    <w:rsid w:val="009C0432"/>
    <w:rsid w:val="009C046C"/>
    <w:rsid w:val="009C0477"/>
    <w:rsid w:val="009C04A4"/>
    <w:rsid w:val="009C057C"/>
    <w:rsid w:val="009C0584"/>
    <w:rsid w:val="009C060A"/>
    <w:rsid w:val="009C0659"/>
    <w:rsid w:val="009C06CD"/>
    <w:rsid w:val="009C071F"/>
    <w:rsid w:val="009C0769"/>
    <w:rsid w:val="009C07A7"/>
    <w:rsid w:val="009C0840"/>
    <w:rsid w:val="009C085C"/>
    <w:rsid w:val="009C0888"/>
    <w:rsid w:val="009C0898"/>
    <w:rsid w:val="009C08B8"/>
    <w:rsid w:val="009C0A18"/>
    <w:rsid w:val="009C0A54"/>
    <w:rsid w:val="009C0AA5"/>
    <w:rsid w:val="009C0AEF"/>
    <w:rsid w:val="009C0B3B"/>
    <w:rsid w:val="009C0B88"/>
    <w:rsid w:val="009C0C07"/>
    <w:rsid w:val="009C0C40"/>
    <w:rsid w:val="009C0C7B"/>
    <w:rsid w:val="009C0CA4"/>
    <w:rsid w:val="009C0CD9"/>
    <w:rsid w:val="009C0D0E"/>
    <w:rsid w:val="009C0D26"/>
    <w:rsid w:val="009C0D3D"/>
    <w:rsid w:val="009C0D6E"/>
    <w:rsid w:val="009C0D92"/>
    <w:rsid w:val="009C0DAB"/>
    <w:rsid w:val="009C0DE1"/>
    <w:rsid w:val="009C0DFB"/>
    <w:rsid w:val="009C0E6A"/>
    <w:rsid w:val="009C0E99"/>
    <w:rsid w:val="009C0EDC"/>
    <w:rsid w:val="009C0F64"/>
    <w:rsid w:val="009C1039"/>
    <w:rsid w:val="009C1073"/>
    <w:rsid w:val="009C11ED"/>
    <w:rsid w:val="009C11EE"/>
    <w:rsid w:val="009C121E"/>
    <w:rsid w:val="009C1370"/>
    <w:rsid w:val="009C1480"/>
    <w:rsid w:val="009C1497"/>
    <w:rsid w:val="009C149D"/>
    <w:rsid w:val="009C14AD"/>
    <w:rsid w:val="009C14C7"/>
    <w:rsid w:val="009C14CD"/>
    <w:rsid w:val="009C14DC"/>
    <w:rsid w:val="009C14FF"/>
    <w:rsid w:val="009C151B"/>
    <w:rsid w:val="009C15D2"/>
    <w:rsid w:val="009C1623"/>
    <w:rsid w:val="009C162B"/>
    <w:rsid w:val="009C1645"/>
    <w:rsid w:val="009C169F"/>
    <w:rsid w:val="009C16C8"/>
    <w:rsid w:val="009C171F"/>
    <w:rsid w:val="009C17BB"/>
    <w:rsid w:val="009C180A"/>
    <w:rsid w:val="009C1816"/>
    <w:rsid w:val="009C183F"/>
    <w:rsid w:val="009C189E"/>
    <w:rsid w:val="009C18C1"/>
    <w:rsid w:val="009C192B"/>
    <w:rsid w:val="009C193A"/>
    <w:rsid w:val="009C1955"/>
    <w:rsid w:val="009C198B"/>
    <w:rsid w:val="009C19A8"/>
    <w:rsid w:val="009C19D1"/>
    <w:rsid w:val="009C1A59"/>
    <w:rsid w:val="009C1A7B"/>
    <w:rsid w:val="009C1AB7"/>
    <w:rsid w:val="009C1B00"/>
    <w:rsid w:val="009C1B1B"/>
    <w:rsid w:val="009C1B51"/>
    <w:rsid w:val="009C1B53"/>
    <w:rsid w:val="009C1BFE"/>
    <w:rsid w:val="009C1C69"/>
    <w:rsid w:val="009C1C7C"/>
    <w:rsid w:val="009C1CA9"/>
    <w:rsid w:val="009C1CD4"/>
    <w:rsid w:val="009C1D34"/>
    <w:rsid w:val="009C1D9B"/>
    <w:rsid w:val="009C1DE9"/>
    <w:rsid w:val="009C1E11"/>
    <w:rsid w:val="009C1EBB"/>
    <w:rsid w:val="009C1F7D"/>
    <w:rsid w:val="009C1FE0"/>
    <w:rsid w:val="009C208D"/>
    <w:rsid w:val="009C20CF"/>
    <w:rsid w:val="009C20F1"/>
    <w:rsid w:val="009C20F5"/>
    <w:rsid w:val="009C2103"/>
    <w:rsid w:val="009C2133"/>
    <w:rsid w:val="009C2141"/>
    <w:rsid w:val="009C2158"/>
    <w:rsid w:val="009C2169"/>
    <w:rsid w:val="009C218A"/>
    <w:rsid w:val="009C2238"/>
    <w:rsid w:val="009C226C"/>
    <w:rsid w:val="009C234E"/>
    <w:rsid w:val="009C2394"/>
    <w:rsid w:val="009C23A5"/>
    <w:rsid w:val="009C2445"/>
    <w:rsid w:val="009C2460"/>
    <w:rsid w:val="009C2498"/>
    <w:rsid w:val="009C252E"/>
    <w:rsid w:val="009C254A"/>
    <w:rsid w:val="009C254C"/>
    <w:rsid w:val="009C25DC"/>
    <w:rsid w:val="009C2601"/>
    <w:rsid w:val="009C266E"/>
    <w:rsid w:val="009C2693"/>
    <w:rsid w:val="009C26B0"/>
    <w:rsid w:val="009C26F1"/>
    <w:rsid w:val="009C2717"/>
    <w:rsid w:val="009C272D"/>
    <w:rsid w:val="009C2776"/>
    <w:rsid w:val="009C2798"/>
    <w:rsid w:val="009C27B5"/>
    <w:rsid w:val="009C27CA"/>
    <w:rsid w:val="009C27D9"/>
    <w:rsid w:val="009C288A"/>
    <w:rsid w:val="009C288C"/>
    <w:rsid w:val="009C289F"/>
    <w:rsid w:val="009C28D8"/>
    <w:rsid w:val="009C28DF"/>
    <w:rsid w:val="009C28F4"/>
    <w:rsid w:val="009C297F"/>
    <w:rsid w:val="009C29B2"/>
    <w:rsid w:val="009C2A4E"/>
    <w:rsid w:val="009C2A5D"/>
    <w:rsid w:val="009C2ADF"/>
    <w:rsid w:val="009C2B4A"/>
    <w:rsid w:val="009C2B54"/>
    <w:rsid w:val="009C2B61"/>
    <w:rsid w:val="009C2BB0"/>
    <w:rsid w:val="009C2C24"/>
    <w:rsid w:val="009C2C45"/>
    <w:rsid w:val="009C2CC1"/>
    <w:rsid w:val="009C2D13"/>
    <w:rsid w:val="009C2D15"/>
    <w:rsid w:val="009C2D32"/>
    <w:rsid w:val="009C2D5B"/>
    <w:rsid w:val="009C2D7A"/>
    <w:rsid w:val="009C2DAB"/>
    <w:rsid w:val="009C2DFB"/>
    <w:rsid w:val="009C2E79"/>
    <w:rsid w:val="009C2E94"/>
    <w:rsid w:val="009C2EE3"/>
    <w:rsid w:val="009C2F21"/>
    <w:rsid w:val="009C2F2F"/>
    <w:rsid w:val="009C2FA6"/>
    <w:rsid w:val="009C2FFB"/>
    <w:rsid w:val="009C301E"/>
    <w:rsid w:val="009C3022"/>
    <w:rsid w:val="009C308A"/>
    <w:rsid w:val="009C309C"/>
    <w:rsid w:val="009C30D0"/>
    <w:rsid w:val="009C30D8"/>
    <w:rsid w:val="009C313C"/>
    <w:rsid w:val="009C3173"/>
    <w:rsid w:val="009C31A3"/>
    <w:rsid w:val="009C31B5"/>
    <w:rsid w:val="009C31F4"/>
    <w:rsid w:val="009C31F9"/>
    <w:rsid w:val="009C3221"/>
    <w:rsid w:val="009C329F"/>
    <w:rsid w:val="009C32EA"/>
    <w:rsid w:val="009C3360"/>
    <w:rsid w:val="009C33AE"/>
    <w:rsid w:val="009C3464"/>
    <w:rsid w:val="009C34A1"/>
    <w:rsid w:val="009C3547"/>
    <w:rsid w:val="009C357B"/>
    <w:rsid w:val="009C358E"/>
    <w:rsid w:val="009C35BB"/>
    <w:rsid w:val="009C35DC"/>
    <w:rsid w:val="009C3678"/>
    <w:rsid w:val="009C3685"/>
    <w:rsid w:val="009C36A3"/>
    <w:rsid w:val="009C3768"/>
    <w:rsid w:val="009C37AB"/>
    <w:rsid w:val="009C37D6"/>
    <w:rsid w:val="009C37DB"/>
    <w:rsid w:val="009C3822"/>
    <w:rsid w:val="009C3888"/>
    <w:rsid w:val="009C38AC"/>
    <w:rsid w:val="009C3968"/>
    <w:rsid w:val="009C39B2"/>
    <w:rsid w:val="009C3A0A"/>
    <w:rsid w:val="009C3A3C"/>
    <w:rsid w:val="009C3A73"/>
    <w:rsid w:val="009C3B50"/>
    <w:rsid w:val="009C3B56"/>
    <w:rsid w:val="009C3BEB"/>
    <w:rsid w:val="009C3BF4"/>
    <w:rsid w:val="009C3C00"/>
    <w:rsid w:val="009C3C28"/>
    <w:rsid w:val="009C3C29"/>
    <w:rsid w:val="009C3C85"/>
    <w:rsid w:val="009C3CF7"/>
    <w:rsid w:val="009C3D4E"/>
    <w:rsid w:val="009C3D6E"/>
    <w:rsid w:val="009C3D70"/>
    <w:rsid w:val="009C3DAD"/>
    <w:rsid w:val="009C3E29"/>
    <w:rsid w:val="009C3E32"/>
    <w:rsid w:val="009C3EC4"/>
    <w:rsid w:val="009C3ED2"/>
    <w:rsid w:val="009C3F36"/>
    <w:rsid w:val="009C3F86"/>
    <w:rsid w:val="009C3F9B"/>
    <w:rsid w:val="009C3FBD"/>
    <w:rsid w:val="009C3FC1"/>
    <w:rsid w:val="009C4019"/>
    <w:rsid w:val="009C403A"/>
    <w:rsid w:val="009C4062"/>
    <w:rsid w:val="009C408D"/>
    <w:rsid w:val="009C41D1"/>
    <w:rsid w:val="009C4234"/>
    <w:rsid w:val="009C4306"/>
    <w:rsid w:val="009C4325"/>
    <w:rsid w:val="009C4336"/>
    <w:rsid w:val="009C4367"/>
    <w:rsid w:val="009C43A7"/>
    <w:rsid w:val="009C43DE"/>
    <w:rsid w:val="009C4405"/>
    <w:rsid w:val="009C4413"/>
    <w:rsid w:val="009C441D"/>
    <w:rsid w:val="009C448E"/>
    <w:rsid w:val="009C44AC"/>
    <w:rsid w:val="009C4500"/>
    <w:rsid w:val="009C458B"/>
    <w:rsid w:val="009C4612"/>
    <w:rsid w:val="009C4638"/>
    <w:rsid w:val="009C4658"/>
    <w:rsid w:val="009C4718"/>
    <w:rsid w:val="009C4790"/>
    <w:rsid w:val="009C479C"/>
    <w:rsid w:val="009C4802"/>
    <w:rsid w:val="009C4819"/>
    <w:rsid w:val="009C487C"/>
    <w:rsid w:val="009C4981"/>
    <w:rsid w:val="009C498A"/>
    <w:rsid w:val="009C49AF"/>
    <w:rsid w:val="009C4A98"/>
    <w:rsid w:val="009C4A9C"/>
    <w:rsid w:val="009C4A9F"/>
    <w:rsid w:val="009C4AB8"/>
    <w:rsid w:val="009C4B08"/>
    <w:rsid w:val="009C4B4B"/>
    <w:rsid w:val="009C4B98"/>
    <w:rsid w:val="009C4BC6"/>
    <w:rsid w:val="009C4BDF"/>
    <w:rsid w:val="009C4D0A"/>
    <w:rsid w:val="009C4D1C"/>
    <w:rsid w:val="009C4E4D"/>
    <w:rsid w:val="009C4E99"/>
    <w:rsid w:val="009C4EAD"/>
    <w:rsid w:val="009C4EB1"/>
    <w:rsid w:val="009C4F23"/>
    <w:rsid w:val="009C4F54"/>
    <w:rsid w:val="009C4F55"/>
    <w:rsid w:val="009C4F77"/>
    <w:rsid w:val="009C4FA3"/>
    <w:rsid w:val="009C4FD7"/>
    <w:rsid w:val="009C4FDB"/>
    <w:rsid w:val="009C5017"/>
    <w:rsid w:val="009C502F"/>
    <w:rsid w:val="009C503F"/>
    <w:rsid w:val="009C5092"/>
    <w:rsid w:val="009C50D8"/>
    <w:rsid w:val="009C50DD"/>
    <w:rsid w:val="009C521A"/>
    <w:rsid w:val="009C5234"/>
    <w:rsid w:val="009C5276"/>
    <w:rsid w:val="009C52FD"/>
    <w:rsid w:val="009C530E"/>
    <w:rsid w:val="009C534D"/>
    <w:rsid w:val="009C535D"/>
    <w:rsid w:val="009C536B"/>
    <w:rsid w:val="009C53B5"/>
    <w:rsid w:val="009C53BD"/>
    <w:rsid w:val="009C54C9"/>
    <w:rsid w:val="009C5506"/>
    <w:rsid w:val="009C55C0"/>
    <w:rsid w:val="009C56D1"/>
    <w:rsid w:val="009C56D6"/>
    <w:rsid w:val="009C56DD"/>
    <w:rsid w:val="009C56F3"/>
    <w:rsid w:val="009C56F5"/>
    <w:rsid w:val="009C570C"/>
    <w:rsid w:val="009C5742"/>
    <w:rsid w:val="009C5771"/>
    <w:rsid w:val="009C5772"/>
    <w:rsid w:val="009C579A"/>
    <w:rsid w:val="009C57BD"/>
    <w:rsid w:val="009C5802"/>
    <w:rsid w:val="009C589A"/>
    <w:rsid w:val="009C58BE"/>
    <w:rsid w:val="009C591E"/>
    <w:rsid w:val="009C598D"/>
    <w:rsid w:val="009C598F"/>
    <w:rsid w:val="009C59E2"/>
    <w:rsid w:val="009C5A3A"/>
    <w:rsid w:val="009C5A4D"/>
    <w:rsid w:val="009C5A63"/>
    <w:rsid w:val="009C5A66"/>
    <w:rsid w:val="009C5A75"/>
    <w:rsid w:val="009C5B1B"/>
    <w:rsid w:val="009C5B1E"/>
    <w:rsid w:val="009C5B87"/>
    <w:rsid w:val="009C5B92"/>
    <w:rsid w:val="009C5C2A"/>
    <w:rsid w:val="009C5C32"/>
    <w:rsid w:val="009C5C86"/>
    <w:rsid w:val="009C5CB5"/>
    <w:rsid w:val="009C5D4F"/>
    <w:rsid w:val="009C5D82"/>
    <w:rsid w:val="009C5DD3"/>
    <w:rsid w:val="009C5E43"/>
    <w:rsid w:val="009C5E56"/>
    <w:rsid w:val="009C5E63"/>
    <w:rsid w:val="009C5ECF"/>
    <w:rsid w:val="009C5F0A"/>
    <w:rsid w:val="009C5FD3"/>
    <w:rsid w:val="009C5FE5"/>
    <w:rsid w:val="009C5FF5"/>
    <w:rsid w:val="009C5FF6"/>
    <w:rsid w:val="009C600B"/>
    <w:rsid w:val="009C6080"/>
    <w:rsid w:val="009C60FE"/>
    <w:rsid w:val="009C6102"/>
    <w:rsid w:val="009C61AC"/>
    <w:rsid w:val="009C61FD"/>
    <w:rsid w:val="009C6200"/>
    <w:rsid w:val="009C6209"/>
    <w:rsid w:val="009C620D"/>
    <w:rsid w:val="009C6341"/>
    <w:rsid w:val="009C6353"/>
    <w:rsid w:val="009C63E9"/>
    <w:rsid w:val="009C644F"/>
    <w:rsid w:val="009C6451"/>
    <w:rsid w:val="009C6452"/>
    <w:rsid w:val="009C6547"/>
    <w:rsid w:val="009C6565"/>
    <w:rsid w:val="009C65A7"/>
    <w:rsid w:val="009C65C3"/>
    <w:rsid w:val="009C6600"/>
    <w:rsid w:val="009C6602"/>
    <w:rsid w:val="009C6622"/>
    <w:rsid w:val="009C6652"/>
    <w:rsid w:val="009C6713"/>
    <w:rsid w:val="009C67C5"/>
    <w:rsid w:val="009C68A2"/>
    <w:rsid w:val="009C68B1"/>
    <w:rsid w:val="009C68F5"/>
    <w:rsid w:val="009C694F"/>
    <w:rsid w:val="009C69A7"/>
    <w:rsid w:val="009C69B5"/>
    <w:rsid w:val="009C69CC"/>
    <w:rsid w:val="009C6A0F"/>
    <w:rsid w:val="009C6A4D"/>
    <w:rsid w:val="009C6A86"/>
    <w:rsid w:val="009C6AF4"/>
    <w:rsid w:val="009C6B02"/>
    <w:rsid w:val="009C6B04"/>
    <w:rsid w:val="009C6B07"/>
    <w:rsid w:val="009C6B32"/>
    <w:rsid w:val="009C6B88"/>
    <w:rsid w:val="009C6BB7"/>
    <w:rsid w:val="009C6C0F"/>
    <w:rsid w:val="009C6C52"/>
    <w:rsid w:val="009C6CCC"/>
    <w:rsid w:val="009C6D11"/>
    <w:rsid w:val="009C6D1E"/>
    <w:rsid w:val="009C6DE9"/>
    <w:rsid w:val="009C6E12"/>
    <w:rsid w:val="009C6E44"/>
    <w:rsid w:val="009C6E60"/>
    <w:rsid w:val="009C6F0E"/>
    <w:rsid w:val="009C6F2F"/>
    <w:rsid w:val="009C6F5E"/>
    <w:rsid w:val="009C6F6B"/>
    <w:rsid w:val="009C6FF1"/>
    <w:rsid w:val="009C700B"/>
    <w:rsid w:val="009C702B"/>
    <w:rsid w:val="009C704E"/>
    <w:rsid w:val="009C7066"/>
    <w:rsid w:val="009C7077"/>
    <w:rsid w:val="009C707C"/>
    <w:rsid w:val="009C708C"/>
    <w:rsid w:val="009C711A"/>
    <w:rsid w:val="009C719A"/>
    <w:rsid w:val="009C7303"/>
    <w:rsid w:val="009C7314"/>
    <w:rsid w:val="009C731A"/>
    <w:rsid w:val="009C7363"/>
    <w:rsid w:val="009C737D"/>
    <w:rsid w:val="009C73C0"/>
    <w:rsid w:val="009C7419"/>
    <w:rsid w:val="009C74A7"/>
    <w:rsid w:val="009C75CB"/>
    <w:rsid w:val="009C75E8"/>
    <w:rsid w:val="009C764B"/>
    <w:rsid w:val="009C7675"/>
    <w:rsid w:val="009C76B1"/>
    <w:rsid w:val="009C76B8"/>
    <w:rsid w:val="009C76D3"/>
    <w:rsid w:val="009C76EE"/>
    <w:rsid w:val="009C7783"/>
    <w:rsid w:val="009C77B3"/>
    <w:rsid w:val="009C780B"/>
    <w:rsid w:val="009C789F"/>
    <w:rsid w:val="009C78CC"/>
    <w:rsid w:val="009C78D7"/>
    <w:rsid w:val="009C7942"/>
    <w:rsid w:val="009C7A11"/>
    <w:rsid w:val="009C7A2A"/>
    <w:rsid w:val="009C7AA4"/>
    <w:rsid w:val="009C7B7B"/>
    <w:rsid w:val="009C7B85"/>
    <w:rsid w:val="009C7BDA"/>
    <w:rsid w:val="009C7C22"/>
    <w:rsid w:val="009C7C35"/>
    <w:rsid w:val="009C7C3B"/>
    <w:rsid w:val="009C7C7F"/>
    <w:rsid w:val="009C7C9D"/>
    <w:rsid w:val="009C7D33"/>
    <w:rsid w:val="009C7D7F"/>
    <w:rsid w:val="009C7DA1"/>
    <w:rsid w:val="009C7E10"/>
    <w:rsid w:val="009C7E4D"/>
    <w:rsid w:val="009C7E86"/>
    <w:rsid w:val="009C7F22"/>
    <w:rsid w:val="009C7FB1"/>
    <w:rsid w:val="009C7FD5"/>
    <w:rsid w:val="009C7FDE"/>
    <w:rsid w:val="009D00A9"/>
    <w:rsid w:val="009D00D5"/>
    <w:rsid w:val="009D0109"/>
    <w:rsid w:val="009D0135"/>
    <w:rsid w:val="009D0154"/>
    <w:rsid w:val="009D0197"/>
    <w:rsid w:val="009D01E7"/>
    <w:rsid w:val="009D022B"/>
    <w:rsid w:val="009D022C"/>
    <w:rsid w:val="009D02CE"/>
    <w:rsid w:val="009D0303"/>
    <w:rsid w:val="009D0320"/>
    <w:rsid w:val="009D0350"/>
    <w:rsid w:val="009D0376"/>
    <w:rsid w:val="009D03C0"/>
    <w:rsid w:val="009D044A"/>
    <w:rsid w:val="009D044D"/>
    <w:rsid w:val="009D047F"/>
    <w:rsid w:val="009D0487"/>
    <w:rsid w:val="009D04A6"/>
    <w:rsid w:val="009D0530"/>
    <w:rsid w:val="009D0551"/>
    <w:rsid w:val="009D0582"/>
    <w:rsid w:val="009D061F"/>
    <w:rsid w:val="009D0652"/>
    <w:rsid w:val="009D06B5"/>
    <w:rsid w:val="009D06DE"/>
    <w:rsid w:val="009D0702"/>
    <w:rsid w:val="009D074E"/>
    <w:rsid w:val="009D0782"/>
    <w:rsid w:val="009D07D6"/>
    <w:rsid w:val="009D07F8"/>
    <w:rsid w:val="009D07FA"/>
    <w:rsid w:val="009D0803"/>
    <w:rsid w:val="009D081A"/>
    <w:rsid w:val="009D0846"/>
    <w:rsid w:val="009D0859"/>
    <w:rsid w:val="009D086E"/>
    <w:rsid w:val="009D0872"/>
    <w:rsid w:val="009D0873"/>
    <w:rsid w:val="009D087F"/>
    <w:rsid w:val="009D0896"/>
    <w:rsid w:val="009D08B5"/>
    <w:rsid w:val="009D08DC"/>
    <w:rsid w:val="009D08E9"/>
    <w:rsid w:val="009D0923"/>
    <w:rsid w:val="009D093B"/>
    <w:rsid w:val="009D09E1"/>
    <w:rsid w:val="009D0A41"/>
    <w:rsid w:val="009D0A60"/>
    <w:rsid w:val="009D0AEC"/>
    <w:rsid w:val="009D0B08"/>
    <w:rsid w:val="009D0B7B"/>
    <w:rsid w:val="009D0C27"/>
    <w:rsid w:val="009D0C93"/>
    <w:rsid w:val="009D0C9C"/>
    <w:rsid w:val="009D0CEA"/>
    <w:rsid w:val="009D0D84"/>
    <w:rsid w:val="009D0E5D"/>
    <w:rsid w:val="009D0F0A"/>
    <w:rsid w:val="009D0F3E"/>
    <w:rsid w:val="009D0FA9"/>
    <w:rsid w:val="009D102D"/>
    <w:rsid w:val="009D1086"/>
    <w:rsid w:val="009D1092"/>
    <w:rsid w:val="009D1094"/>
    <w:rsid w:val="009D10A8"/>
    <w:rsid w:val="009D10C9"/>
    <w:rsid w:val="009D1125"/>
    <w:rsid w:val="009D1163"/>
    <w:rsid w:val="009D1165"/>
    <w:rsid w:val="009D1168"/>
    <w:rsid w:val="009D11A9"/>
    <w:rsid w:val="009D11B3"/>
    <w:rsid w:val="009D11BC"/>
    <w:rsid w:val="009D11E4"/>
    <w:rsid w:val="009D11FD"/>
    <w:rsid w:val="009D121B"/>
    <w:rsid w:val="009D123F"/>
    <w:rsid w:val="009D1357"/>
    <w:rsid w:val="009D1383"/>
    <w:rsid w:val="009D1385"/>
    <w:rsid w:val="009D13D0"/>
    <w:rsid w:val="009D1415"/>
    <w:rsid w:val="009D1446"/>
    <w:rsid w:val="009D146C"/>
    <w:rsid w:val="009D1499"/>
    <w:rsid w:val="009D14A8"/>
    <w:rsid w:val="009D14DE"/>
    <w:rsid w:val="009D14FB"/>
    <w:rsid w:val="009D1510"/>
    <w:rsid w:val="009D1546"/>
    <w:rsid w:val="009D15EB"/>
    <w:rsid w:val="009D15F1"/>
    <w:rsid w:val="009D163E"/>
    <w:rsid w:val="009D1662"/>
    <w:rsid w:val="009D1691"/>
    <w:rsid w:val="009D1693"/>
    <w:rsid w:val="009D16AD"/>
    <w:rsid w:val="009D16D5"/>
    <w:rsid w:val="009D16DE"/>
    <w:rsid w:val="009D16F8"/>
    <w:rsid w:val="009D1706"/>
    <w:rsid w:val="009D1771"/>
    <w:rsid w:val="009D178C"/>
    <w:rsid w:val="009D179C"/>
    <w:rsid w:val="009D17DE"/>
    <w:rsid w:val="009D183F"/>
    <w:rsid w:val="009D1894"/>
    <w:rsid w:val="009D18B3"/>
    <w:rsid w:val="009D192F"/>
    <w:rsid w:val="009D1947"/>
    <w:rsid w:val="009D198C"/>
    <w:rsid w:val="009D19C6"/>
    <w:rsid w:val="009D19D2"/>
    <w:rsid w:val="009D1A04"/>
    <w:rsid w:val="009D1A63"/>
    <w:rsid w:val="009D1AB6"/>
    <w:rsid w:val="009D1AC3"/>
    <w:rsid w:val="009D1ADD"/>
    <w:rsid w:val="009D1B67"/>
    <w:rsid w:val="009D1C4E"/>
    <w:rsid w:val="009D1C50"/>
    <w:rsid w:val="009D1C68"/>
    <w:rsid w:val="009D1C99"/>
    <w:rsid w:val="009D1CF4"/>
    <w:rsid w:val="009D1D2A"/>
    <w:rsid w:val="009D1DFF"/>
    <w:rsid w:val="009D1E0B"/>
    <w:rsid w:val="009D1E26"/>
    <w:rsid w:val="009D1E44"/>
    <w:rsid w:val="009D1E4B"/>
    <w:rsid w:val="009D1E7A"/>
    <w:rsid w:val="009D1EAA"/>
    <w:rsid w:val="009D1EB5"/>
    <w:rsid w:val="009D1EB7"/>
    <w:rsid w:val="009D1ECA"/>
    <w:rsid w:val="009D1F11"/>
    <w:rsid w:val="009D1F31"/>
    <w:rsid w:val="009D1F76"/>
    <w:rsid w:val="009D1FB7"/>
    <w:rsid w:val="009D1FD2"/>
    <w:rsid w:val="009D2000"/>
    <w:rsid w:val="009D2005"/>
    <w:rsid w:val="009D202E"/>
    <w:rsid w:val="009D2079"/>
    <w:rsid w:val="009D207E"/>
    <w:rsid w:val="009D2099"/>
    <w:rsid w:val="009D2104"/>
    <w:rsid w:val="009D2148"/>
    <w:rsid w:val="009D21CC"/>
    <w:rsid w:val="009D21DB"/>
    <w:rsid w:val="009D21EC"/>
    <w:rsid w:val="009D21FA"/>
    <w:rsid w:val="009D21FD"/>
    <w:rsid w:val="009D22AA"/>
    <w:rsid w:val="009D22B6"/>
    <w:rsid w:val="009D22F8"/>
    <w:rsid w:val="009D2416"/>
    <w:rsid w:val="009D2485"/>
    <w:rsid w:val="009D252C"/>
    <w:rsid w:val="009D253B"/>
    <w:rsid w:val="009D2555"/>
    <w:rsid w:val="009D2617"/>
    <w:rsid w:val="009D2648"/>
    <w:rsid w:val="009D2748"/>
    <w:rsid w:val="009D27FB"/>
    <w:rsid w:val="009D2804"/>
    <w:rsid w:val="009D2810"/>
    <w:rsid w:val="009D2816"/>
    <w:rsid w:val="009D28B3"/>
    <w:rsid w:val="009D28BD"/>
    <w:rsid w:val="009D28D5"/>
    <w:rsid w:val="009D28EB"/>
    <w:rsid w:val="009D293C"/>
    <w:rsid w:val="009D2982"/>
    <w:rsid w:val="009D29D1"/>
    <w:rsid w:val="009D29D8"/>
    <w:rsid w:val="009D2A12"/>
    <w:rsid w:val="009D2A39"/>
    <w:rsid w:val="009D2AB1"/>
    <w:rsid w:val="009D2AF5"/>
    <w:rsid w:val="009D2AFC"/>
    <w:rsid w:val="009D2B58"/>
    <w:rsid w:val="009D2B8D"/>
    <w:rsid w:val="009D2B99"/>
    <w:rsid w:val="009D2BE5"/>
    <w:rsid w:val="009D2C53"/>
    <w:rsid w:val="009D2C60"/>
    <w:rsid w:val="009D2C8C"/>
    <w:rsid w:val="009D2CB7"/>
    <w:rsid w:val="009D2CE2"/>
    <w:rsid w:val="009D2CFF"/>
    <w:rsid w:val="009D2D52"/>
    <w:rsid w:val="009D2D6A"/>
    <w:rsid w:val="009D2E78"/>
    <w:rsid w:val="009D2F42"/>
    <w:rsid w:val="009D2F57"/>
    <w:rsid w:val="009D2F64"/>
    <w:rsid w:val="009D2F70"/>
    <w:rsid w:val="009D2F7E"/>
    <w:rsid w:val="009D2F8A"/>
    <w:rsid w:val="009D2FB1"/>
    <w:rsid w:val="009D2FBD"/>
    <w:rsid w:val="009D2FD3"/>
    <w:rsid w:val="009D2FDD"/>
    <w:rsid w:val="009D3021"/>
    <w:rsid w:val="009D3026"/>
    <w:rsid w:val="009D302E"/>
    <w:rsid w:val="009D3054"/>
    <w:rsid w:val="009D30B1"/>
    <w:rsid w:val="009D30DE"/>
    <w:rsid w:val="009D30E0"/>
    <w:rsid w:val="009D30FA"/>
    <w:rsid w:val="009D3108"/>
    <w:rsid w:val="009D3155"/>
    <w:rsid w:val="009D319C"/>
    <w:rsid w:val="009D3212"/>
    <w:rsid w:val="009D3283"/>
    <w:rsid w:val="009D328D"/>
    <w:rsid w:val="009D329B"/>
    <w:rsid w:val="009D32AB"/>
    <w:rsid w:val="009D3393"/>
    <w:rsid w:val="009D339A"/>
    <w:rsid w:val="009D33B9"/>
    <w:rsid w:val="009D3415"/>
    <w:rsid w:val="009D3443"/>
    <w:rsid w:val="009D34C7"/>
    <w:rsid w:val="009D3599"/>
    <w:rsid w:val="009D35CF"/>
    <w:rsid w:val="009D3626"/>
    <w:rsid w:val="009D3636"/>
    <w:rsid w:val="009D3695"/>
    <w:rsid w:val="009D369B"/>
    <w:rsid w:val="009D369D"/>
    <w:rsid w:val="009D3764"/>
    <w:rsid w:val="009D37E6"/>
    <w:rsid w:val="009D37FC"/>
    <w:rsid w:val="009D3814"/>
    <w:rsid w:val="009D382B"/>
    <w:rsid w:val="009D385E"/>
    <w:rsid w:val="009D387C"/>
    <w:rsid w:val="009D38A3"/>
    <w:rsid w:val="009D3912"/>
    <w:rsid w:val="009D397B"/>
    <w:rsid w:val="009D39C1"/>
    <w:rsid w:val="009D39EA"/>
    <w:rsid w:val="009D39ED"/>
    <w:rsid w:val="009D3A25"/>
    <w:rsid w:val="009D3A57"/>
    <w:rsid w:val="009D3A94"/>
    <w:rsid w:val="009D3AFD"/>
    <w:rsid w:val="009D3B45"/>
    <w:rsid w:val="009D3B46"/>
    <w:rsid w:val="009D3B82"/>
    <w:rsid w:val="009D3C8C"/>
    <w:rsid w:val="009D3CC6"/>
    <w:rsid w:val="009D3CD1"/>
    <w:rsid w:val="009D3D19"/>
    <w:rsid w:val="009D3D9A"/>
    <w:rsid w:val="009D3DA5"/>
    <w:rsid w:val="009D3DBB"/>
    <w:rsid w:val="009D3DC7"/>
    <w:rsid w:val="009D3DF2"/>
    <w:rsid w:val="009D3E3F"/>
    <w:rsid w:val="009D3E46"/>
    <w:rsid w:val="009D3E65"/>
    <w:rsid w:val="009D3ED0"/>
    <w:rsid w:val="009D3ED1"/>
    <w:rsid w:val="009D3F66"/>
    <w:rsid w:val="009D3F6D"/>
    <w:rsid w:val="009D3F97"/>
    <w:rsid w:val="009D401A"/>
    <w:rsid w:val="009D40CA"/>
    <w:rsid w:val="009D4114"/>
    <w:rsid w:val="009D4120"/>
    <w:rsid w:val="009D4121"/>
    <w:rsid w:val="009D4194"/>
    <w:rsid w:val="009D41AA"/>
    <w:rsid w:val="009D422E"/>
    <w:rsid w:val="009D4242"/>
    <w:rsid w:val="009D4278"/>
    <w:rsid w:val="009D43DD"/>
    <w:rsid w:val="009D43ED"/>
    <w:rsid w:val="009D446B"/>
    <w:rsid w:val="009D44DC"/>
    <w:rsid w:val="009D4516"/>
    <w:rsid w:val="009D4519"/>
    <w:rsid w:val="009D4578"/>
    <w:rsid w:val="009D45AC"/>
    <w:rsid w:val="009D45CC"/>
    <w:rsid w:val="009D45CD"/>
    <w:rsid w:val="009D4630"/>
    <w:rsid w:val="009D4653"/>
    <w:rsid w:val="009D467C"/>
    <w:rsid w:val="009D4684"/>
    <w:rsid w:val="009D469A"/>
    <w:rsid w:val="009D4739"/>
    <w:rsid w:val="009D4765"/>
    <w:rsid w:val="009D4803"/>
    <w:rsid w:val="009D48EB"/>
    <w:rsid w:val="009D48EC"/>
    <w:rsid w:val="009D4913"/>
    <w:rsid w:val="009D4945"/>
    <w:rsid w:val="009D4974"/>
    <w:rsid w:val="009D4988"/>
    <w:rsid w:val="009D49D3"/>
    <w:rsid w:val="009D49F1"/>
    <w:rsid w:val="009D4A41"/>
    <w:rsid w:val="009D4A73"/>
    <w:rsid w:val="009D4B2D"/>
    <w:rsid w:val="009D4BF3"/>
    <w:rsid w:val="009D4C0B"/>
    <w:rsid w:val="009D4C13"/>
    <w:rsid w:val="009D4C38"/>
    <w:rsid w:val="009D4C4E"/>
    <w:rsid w:val="009D4C9A"/>
    <w:rsid w:val="009D4D3C"/>
    <w:rsid w:val="009D4D50"/>
    <w:rsid w:val="009D4D97"/>
    <w:rsid w:val="009D4D9C"/>
    <w:rsid w:val="009D4DDA"/>
    <w:rsid w:val="009D4ED5"/>
    <w:rsid w:val="009D4EEA"/>
    <w:rsid w:val="009D4F39"/>
    <w:rsid w:val="009D4F3A"/>
    <w:rsid w:val="009D501A"/>
    <w:rsid w:val="009D5027"/>
    <w:rsid w:val="009D5042"/>
    <w:rsid w:val="009D504F"/>
    <w:rsid w:val="009D507A"/>
    <w:rsid w:val="009D508B"/>
    <w:rsid w:val="009D50C5"/>
    <w:rsid w:val="009D50C6"/>
    <w:rsid w:val="009D510F"/>
    <w:rsid w:val="009D5121"/>
    <w:rsid w:val="009D513D"/>
    <w:rsid w:val="009D5196"/>
    <w:rsid w:val="009D51D1"/>
    <w:rsid w:val="009D5224"/>
    <w:rsid w:val="009D5259"/>
    <w:rsid w:val="009D5261"/>
    <w:rsid w:val="009D5263"/>
    <w:rsid w:val="009D52A2"/>
    <w:rsid w:val="009D5328"/>
    <w:rsid w:val="009D53BE"/>
    <w:rsid w:val="009D5436"/>
    <w:rsid w:val="009D54F7"/>
    <w:rsid w:val="009D550C"/>
    <w:rsid w:val="009D5512"/>
    <w:rsid w:val="009D558A"/>
    <w:rsid w:val="009D55C2"/>
    <w:rsid w:val="009D55DC"/>
    <w:rsid w:val="009D55FF"/>
    <w:rsid w:val="009D5613"/>
    <w:rsid w:val="009D5643"/>
    <w:rsid w:val="009D567F"/>
    <w:rsid w:val="009D568E"/>
    <w:rsid w:val="009D5696"/>
    <w:rsid w:val="009D569B"/>
    <w:rsid w:val="009D56DA"/>
    <w:rsid w:val="009D5751"/>
    <w:rsid w:val="009D57D8"/>
    <w:rsid w:val="009D57E6"/>
    <w:rsid w:val="009D5821"/>
    <w:rsid w:val="009D584F"/>
    <w:rsid w:val="009D5860"/>
    <w:rsid w:val="009D58B2"/>
    <w:rsid w:val="009D5909"/>
    <w:rsid w:val="009D5925"/>
    <w:rsid w:val="009D59A2"/>
    <w:rsid w:val="009D5A27"/>
    <w:rsid w:val="009D5A4B"/>
    <w:rsid w:val="009D5A89"/>
    <w:rsid w:val="009D5B9A"/>
    <w:rsid w:val="009D5BCB"/>
    <w:rsid w:val="009D5C2E"/>
    <w:rsid w:val="009D5C5F"/>
    <w:rsid w:val="009D5C64"/>
    <w:rsid w:val="009D5CDE"/>
    <w:rsid w:val="009D5CEA"/>
    <w:rsid w:val="009D5CFD"/>
    <w:rsid w:val="009D5D4F"/>
    <w:rsid w:val="009D5D76"/>
    <w:rsid w:val="009D5D98"/>
    <w:rsid w:val="009D5E25"/>
    <w:rsid w:val="009D5E5C"/>
    <w:rsid w:val="009D5E9C"/>
    <w:rsid w:val="009D5F26"/>
    <w:rsid w:val="009D5FE4"/>
    <w:rsid w:val="009D6065"/>
    <w:rsid w:val="009D6070"/>
    <w:rsid w:val="009D607F"/>
    <w:rsid w:val="009D610C"/>
    <w:rsid w:val="009D6132"/>
    <w:rsid w:val="009D6164"/>
    <w:rsid w:val="009D6165"/>
    <w:rsid w:val="009D61E7"/>
    <w:rsid w:val="009D6265"/>
    <w:rsid w:val="009D626A"/>
    <w:rsid w:val="009D62E7"/>
    <w:rsid w:val="009D6355"/>
    <w:rsid w:val="009D639A"/>
    <w:rsid w:val="009D63AF"/>
    <w:rsid w:val="009D63C4"/>
    <w:rsid w:val="009D63DC"/>
    <w:rsid w:val="009D63F9"/>
    <w:rsid w:val="009D6434"/>
    <w:rsid w:val="009D6440"/>
    <w:rsid w:val="009D6491"/>
    <w:rsid w:val="009D64AF"/>
    <w:rsid w:val="009D64D0"/>
    <w:rsid w:val="009D6557"/>
    <w:rsid w:val="009D6580"/>
    <w:rsid w:val="009D65BC"/>
    <w:rsid w:val="009D6612"/>
    <w:rsid w:val="009D6654"/>
    <w:rsid w:val="009D66FF"/>
    <w:rsid w:val="009D6739"/>
    <w:rsid w:val="009D674C"/>
    <w:rsid w:val="009D6770"/>
    <w:rsid w:val="009D6771"/>
    <w:rsid w:val="009D6792"/>
    <w:rsid w:val="009D6796"/>
    <w:rsid w:val="009D67BA"/>
    <w:rsid w:val="009D6843"/>
    <w:rsid w:val="009D6867"/>
    <w:rsid w:val="009D686D"/>
    <w:rsid w:val="009D68D3"/>
    <w:rsid w:val="009D695C"/>
    <w:rsid w:val="009D699C"/>
    <w:rsid w:val="009D69A9"/>
    <w:rsid w:val="009D69EB"/>
    <w:rsid w:val="009D6A45"/>
    <w:rsid w:val="009D6A89"/>
    <w:rsid w:val="009D6A9F"/>
    <w:rsid w:val="009D6AC6"/>
    <w:rsid w:val="009D6AF7"/>
    <w:rsid w:val="009D6B7C"/>
    <w:rsid w:val="009D6BAD"/>
    <w:rsid w:val="009D6C0A"/>
    <w:rsid w:val="009D6C14"/>
    <w:rsid w:val="009D6C5B"/>
    <w:rsid w:val="009D6CD3"/>
    <w:rsid w:val="009D6D51"/>
    <w:rsid w:val="009D6D71"/>
    <w:rsid w:val="009D6D82"/>
    <w:rsid w:val="009D6D8C"/>
    <w:rsid w:val="009D6DA8"/>
    <w:rsid w:val="009D6DD7"/>
    <w:rsid w:val="009D6E2B"/>
    <w:rsid w:val="009D6E81"/>
    <w:rsid w:val="009D6EB9"/>
    <w:rsid w:val="009D6F1B"/>
    <w:rsid w:val="009D6F8F"/>
    <w:rsid w:val="009D6FA6"/>
    <w:rsid w:val="009D6FCA"/>
    <w:rsid w:val="009D705A"/>
    <w:rsid w:val="009D70A1"/>
    <w:rsid w:val="009D70A3"/>
    <w:rsid w:val="009D70AC"/>
    <w:rsid w:val="009D70B3"/>
    <w:rsid w:val="009D70C7"/>
    <w:rsid w:val="009D710E"/>
    <w:rsid w:val="009D714E"/>
    <w:rsid w:val="009D717B"/>
    <w:rsid w:val="009D7183"/>
    <w:rsid w:val="009D71E5"/>
    <w:rsid w:val="009D725F"/>
    <w:rsid w:val="009D727E"/>
    <w:rsid w:val="009D730A"/>
    <w:rsid w:val="009D7341"/>
    <w:rsid w:val="009D734E"/>
    <w:rsid w:val="009D7366"/>
    <w:rsid w:val="009D7374"/>
    <w:rsid w:val="009D73EF"/>
    <w:rsid w:val="009D7417"/>
    <w:rsid w:val="009D747C"/>
    <w:rsid w:val="009D74DA"/>
    <w:rsid w:val="009D7516"/>
    <w:rsid w:val="009D7527"/>
    <w:rsid w:val="009D75C8"/>
    <w:rsid w:val="009D75F9"/>
    <w:rsid w:val="009D76B8"/>
    <w:rsid w:val="009D76D3"/>
    <w:rsid w:val="009D7721"/>
    <w:rsid w:val="009D7744"/>
    <w:rsid w:val="009D7753"/>
    <w:rsid w:val="009D7784"/>
    <w:rsid w:val="009D77BC"/>
    <w:rsid w:val="009D77F4"/>
    <w:rsid w:val="009D7804"/>
    <w:rsid w:val="009D7843"/>
    <w:rsid w:val="009D787D"/>
    <w:rsid w:val="009D78F1"/>
    <w:rsid w:val="009D7967"/>
    <w:rsid w:val="009D79C9"/>
    <w:rsid w:val="009D7A32"/>
    <w:rsid w:val="009D7A36"/>
    <w:rsid w:val="009D7B88"/>
    <w:rsid w:val="009D7BA2"/>
    <w:rsid w:val="009D7BDC"/>
    <w:rsid w:val="009D7C0D"/>
    <w:rsid w:val="009D7C52"/>
    <w:rsid w:val="009D7C70"/>
    <w:rsid w:val="009D7CC5"/>
    <w:rsid w:val="009D7CC8"/>
    <w:rsid w:val="009D7CE4"/>
    <w:rsid w:val="009D7D74"/>
    <w:rsid w:val="009D7D92"/>
    <w:rsid w:val="009D7E64"/>
    <w:rsid w:val="009D7EA7"/>
    <w:rsid w:val="009D7EB8"/>
    <w:rsid w:val="009D7EC0"/>
    <w:rsid w:val="009D7EFE"/>
    <w:rsid w:val="009D7F1F"/>
    <w:rsid w:val="009D7F3A"/>
    <w:rsid w:val="009D7F68"/>
    <w:rsid w:val="009D7F85"/>
    <w:rsid w:val="009D7F9C"/>
    <w:rsid w:val="009D7FAB"/>
    <w:rsid w:val="009D7FD2"/>
    <w:rsid w:val="009D7FD6"/>
    <w:rsid w:val="009D7FDD"/>
    <w:rsid w:val="009E0020"/>
    <w:rsid w:val="009E00BB"/>
    <w:rsid w:val="009E00C6"/>
    <w:rsid w:val="009E00D0"/>
    <w:rsid w:val="009E00D8"/>
    <w:rsid w:val="009E00E1"/>
    <w:rsid w:val="009E012C"/>
    <w:rsid w:val="009E018B"/>
    <w:rsid w:val="009E02A1"/>
    <w:rsid w:val="009E02F0"/>
    <w:rsid w:val="009E0351"/>
    <w:rsid w:val="009E037E"/>
    <w:rsid w:val="009E03CE"/>
    <w:rsid w:val="009E04C6"/>
    <w:rsid w:val="009E04EE"/>
    <w:rsid w:val="009E055E"/>
    <w:rsid w:val="009E0578"/>
    <w:rsid w:val="009E0586"/>
    <w:rsid w:val="009E05CE"/>
    <w:rsid w:val="009E05EB"/>
    <w:rsid w:val="009E05EE"/>
    <w:rsid w:val="009E061A"/>
    <w:rsid w:val="009E0666"/>
    <w:rsid w:val="009E0670"/>
    <w:rsid w:val="009E068B"/>
    <w:rsid w:val="009E06A7"/>
    <w:rsid w:val="009E06E1"/>
    <w:rsid w:val="009E06E7"/>
    <w:rsid w:val="009E0727"/>
    <w:rsid w:val="009E0733"/>
    <w:rsid w:val="009E0774"/>
    <w:rsid w:val="009E0799"/>
    <w:rsid w:val="009E07CC"/>
    <w:rsid w:val="009E07CD"/>
    <w:rsid w:val="009E0818"/>
    <w:rsid w:val="009E0821"/>
    <w:rsid w:val="009E0839"/>
    <w:rsid w:val="009E0860"/>
    <w:rsid w:val="009E0921"/>
    <w:rsid w:val="009E0965"/>
    <w:rsid w:val="009E0983"/>
    <w:rsid w:val="009E0988"/>
    <w:rsid w:val="009E09CF"/>
    <w:rsid w:val="009E09F4"/>
    <w:rsid w:val="009E0A3F"/>
    <w:rsid w:val="009E0A64"/>
    <w:rsid w:val="009E0B8D"/>
    <w:rsid w:val="009E0BC4"/>
    <w:rsid w:val="009E0BE1"/>
    <w:rsid w:val="009E0C2A"/>
    <w:rsid w:val="009E0C4E"/>
    <w:rsid w:val="009E0C6F"/>
    <w:rsid w:val="009E0C8E"/>
    <w:rsid w:val="009E0CA5"/>
    <w:rsid w:val="009E0CB4"/>
    <w:rsid w:val="009E0CDB"/>
    <w:rsid w:val="009E0D17"/>
    <w:rsid w:val="009E0D1E"/>
    <w:rsid w:val="009E0D57"/>
    <w:rsid w:val="009E0E7B"/>
    <w:rsid w:val="009E0EA9"/>
    <w:rsid w:val="009E0EBB"/>
    <w:rsid w:val="009E0F35"/>
    <w:rsid w:val="009E0F85"/>
    <w:rsid w:val="009E1040"/>
    <w:rsid w:val="009E107E"/>
    <w:rsid w:val="009E10F9"/>
    <w:rsid w:val="009E1113"/>
    <w:rsid w:val="009E111B"/>
    <w:rsid w:val="009E111D"/>
    <w:rsid w:val="009E1138"/>
    <w:rsid w:val="009E1141"/>
    <w:rsid w:val="009E114E"/>
    <w:rsid w:val="009E11EB"/>
    <w:rsid w:val="009E1241"/>
    <w:rsid w:val="009E124C"/>
    <w:rsid w:val="009E124D"/>
    <w:rsid w:val="009E1266"/>
    <w:rsid w:val="009E1279"/>
    <w:rsid w:val="009E129B"/>
    <w:rsid w:val="009E12F0"/>
    <w:rsid w:val="009E1311"/>
    <w:rsid w:val="009E133B"/>
    <w:rsid w:val="009E1360"/>
    <w:rsid w:val="009E1364"/>
    <w:rsid w:val="009E136A"/>
    <w:rsid w:val="009E139C"/>
    <w:rsid w:val="009E1411"/>
    <w:rsid w:val="009E14A1"/>
    <w:rsid w:val="009E14C1"/>
    <w:rsid w:val="009E1511"/>
    <w:rsid w:val="009E15DE"/>
    <w:rsid w:val="009E160D"/>
    <w:rsid w:val="009E1654"/>
    <w:rsid w:val="009E167E"/>
    <w:rsid w:val="009E16E2"/>
    <w:rsid w:val="009E16E3"/>
    <w:rsid w:val="009E171B"/>
    <w:rsid w:val="009E176B"/>
    <w:rsid w:val="009E1783"/>
    <w:rsid w:val="009E17C5"/>
    <w:rsid w:val="009E17DB"/>
    <w:rsid w:val="009E17F0"/>
    <w:rsid w:val="009E1835"/>
    <w:rsid w:val="009E184C"/>
    <w:rsid w:val="009E18C9"/>
    <w:rsid w:val="009E18CA"/>
    <w:rsid w:val="009E18D4"/>
    <w:rsid w:val="009E191E"/>
    <w:rsid w:val="009E1967"/>
    <w:rsid w:val="009E1976"/>
    <w:rsid w:val="009E1989"/>
    <w:rsid w:val="009E1A2F"/>
    <w:rsid w:val="009E1AF7"/>
    <w:rsid w:val="009E1AFE"/>
    <w:rsid w:val="009E1B07"/>
    <w:rsid w:val="009E1B19"/>
    <w:rsid w:val="009E1B20"/>
    <w:rsid w:val="009E1B48"/>
    <w:rsid w:val="009E1B51"/>
    <w:rsid w:val="009E1BAF"/>
    <w:rsid w:val="009E1BE7"/>
    <w:rsid w:val="009E1BF1"/>
    <w:rsid w:val="009E1C37"/>
    <w:rsid w:val="009E1C3B"/>
    <w:rsid w:val="009E1C58"/>
    <w:rsid w:val="009E1CBC"/>
    <w:rsid w:val="009E1D01"/>
    <w:rsid w:val="009E1D28"/>
    <w:rsid w:val="009E1D79"/>
    <w:rsid w:val="009E1DC4"/>
    <w:rsid w:val="009E1E24"/>
    <w:rsid w:val="009E1E43"/>
    <w:rsid w:val="009E1E57"/>
    <w:rsid w:val="009E1E86"/>
    <w:rsid w:val="009E1F4B"/>
    <w:rsid w:val="009E1FA1"/>
    <w:rsid w:val="009E1FFD"/>
    <w:rsid w:val="009E2044"/>
    <w:rsid w:val="009E209A"/>
    <w:rsid w:val="009E20EC"/>
    <w:rsid w:val="009E2117"/>
    <w:rsid w:val="009E215C"/>
    <w:rsid w:val="009E215D"/>
    <w:rsid w:val="009E2166"/>
    <w:rsid w:val="009E21C9"/>
    <w:rsid w:val="009E227F"/>
    <w:rsid w:val="009E22F8"/>
    <w:rsid w:val="009E232D"/>
    <w:rsid w:val="009E2367"/>
    <w:rsid w:val="009E2380"/>
    <w:rsid w:val="009E23BC"/>
    <w:rsid w:val="009E23F9"/>
    <w:rsid w:val="009E2410"/>
    <w:rsid w:val="009E24F4"/>
    <w:rsid w:val="009E254C"/>
    <w:rsid w:val="009E2567"/>
    <w:rsid w:val="009E25B0"/>
    <w:rsid w:val="009E25D7"/>
    <w:rsid w:val="009E2674"/>
    <w:rsid w:val="009E2691"/>
    <w:rsid w:val="009E26E9"/>
    <w:rsid w:val="009E271E"/>
    <w:rsid w:val="009E2795"/>
    <w:rsid w:val="009E286C"/>
    <w:rsid w:val="009E28AD"/>
    <w:rsid w:val="009E28BA"/>
    <w:rsid w:val="009E2947"/>
    <w:rsid w:val="009E29AF"/>
    <w:rsid w:val="009E2AB6"/>
    <w:rsid w:val="009E2AC7"/>
    <w:rsid w:val="009E2ACE"/>
    <w:rsid w:val="009E2B25"/>
    <w:rsid w:val="009E2B5B"/>
    <w:rsid w:val="009E2B65"/>
    <w:rsid w:val="009E2B6C"/>
    <w:rsid w:val="009E2B6F"/>
    <w:rsid w:val="009E2B81"/>
    <w:rsid w:val="009E2BAC"/>
    <w:rsid w:val="009E2BD1"/>
    <w:rsid w:val="009E2BFD"/>
    <w:rsid w:val="009E2C0D"/>
    <w:rsid w:val="009E2C3E"/>
    <w:rsid w:val="009E2C4C"/>
    <w:rsid w:val="009E2C5D"/>
    <w:rsid w:val="009E2C89"/>
    <w:rsid w:val="009E2D8D"/>
    <w:rsid w:val="009E2D8F"/>
    <w:rsid w:val="009E2DBB"/>
    <w:rsid w:val="009E2DDC"/>
    <w:rsid w:val="009E2E4B"/>
    <w:rsid w:val="009E2E7B"/>
    <w:rsid w:val="009E2E8B"/>
    <w:rsid w:val="009E2EBC"/>
    <w:rsid w:val="009E2F13"/>
    <w:rsid w:val="009E2F16"/>
    <w:rsid w:val="009E2F9D"/>
    <w:rsid w:val="009E2F9E"/>
    <w:rsid w:val="009E2FE7"/>
    <w:rsid w:val="009E2FF2"/>
    <w:rsid w:val="009E3011"/>
    <w:rsid w:val="009E3027"/>
    <w:rsid w:val="009E304E"/>
    <w:rsid w:val="009E306C"/>
    <w:rsid w:val="009E308D"/>
    <w:rsid w:val="009E3097"/>
    <w:rsid w:val="009E30A4"/>
    <w:rsid w:val="009E3108"/>
    <w:rsid w:val="009E310E"/>
    <w:rsid w:val="009E311B"/>
    <w:rsid w:val="009E3176"/>
    <w:rsid w:val="009E3188"/>
    <w:rsid w:val="009E31AE"/>
    <w:rsid w:val="009E325D"/>
    <w:rsid w:val="009E32E6"/>
    <w:rsid w:val="009E3359"/>
    <w:rsid w:val="009E3397"/>
    <w:rsid w:val="009E33E4"/>
    <w:rsid w:val="009E33FE"/>
    <w:rsid w:val="009E340B"/>
    <w:rsid w:val="009E3413"/>
    <w:rsid w:val="009E3479"/>
    <w:rsid w:val="009E3496"/>
    <w:rsid w:val="009E34B8"/>
    <w:rsid w:val="009E3527"/>
    <w:rsid w:val="009E353A"/>
    <w:rsid w:val="009E3548"/>
    <w:rsid w:val="009E35C7"/>
    <w:rsid w:val="009E3604"/>
    <w:rsid w:val="009E3613"/>
    <w:rsid w:val="009E3619"/>
    <w:rsid w:val="009E3684"/>
    <w:rsid w:val="009E36C8"/>
    <w:rsid w:val="009E3716"/>
    <w:rsid w:val="009E37BA"/>
    <w:rsid w:val="009E37E5"/>
    <w:rsid w:val="009E37E7"/>
    <w:rsid w:val="009E3823"/>
    <w:rsid w:val="009E38C5"/>
    <w:rsid w:val="009E3906"/>
    <w:rsid w:val="009E3912"/>
    <w:rsid w:val="009E3937"/>
    <w:rsid w:val="009E3959"/>
    <w:rsid w:val="009E39C2"/>
    <w:rsid w:val="009E3A41"/>
    <w:rsid w:val="009E3A42"/>
    <w:rsid w:val="009E3B55"/>
    <w:rsid w:val="009E3B58"/>
    <w:rsid w:val="009E3B8E"/>
    <w:rsid w:val="009E3BCA"/>
    <w:rsid w:val="009E3C00"/>
    <w:rsid w:val="009E3C0E"/>
    <w:rsid w:val="009E3C2A"/>
    <w:rsid w:val="009E3C3F"/>
    <w:rsid w:val="009E3C51"/>
    <w:rsid w:val="009E3C75"/>
    <w:rsid w:val="009E3D3C"/>
    <w:rsid w:val="009E3D96"/>
    <w:rsid w:val="009E3DA6"/>
    <w:rsid w:val="009E3DB3"/>
    <w:rsid w:val="009E3E95"/>
    <w:rsid w:val="009E3ECE"/>
    <w:rsid w:val="009E3F35"/>
    <w:rsid w:val="009E3F9B"/>
    <w:rsid w:val="009E3FA6"/>
    <w:rsid w:val="009E3FE3"/>
    <w:rsid w:val="009E4073"/>
    <w:rsid w:val="009E4086"/>
    <w:rsid w:val="009E40D2"/>
    <w:rsid w:val="009E410A"/>
    <w:rsid w:val="009E41F8"/>
    <w:rsid w:val="009E4294"/>
    <w:rsid w:val="009E429E"/>
    <w:rsid w:val="009E4342"/>
    <w:rsid w:val="009E438F"/>
    <w:rsid w:val="009E43BA"/>
    <w:rsid w:val="009E4406"/>
    <w:rsid w:val="009E443F"/>
    <w:rsid w:val="009E444A"/>
    <w:rsid w:val="009E44A5"/>
    <w:rsid w:val="009E44D4"/>
    <w:rsid w:val="009E44EC"/>
    <w:rsid w:val="009E453B"/>
    <w:rsid w:val="009E4556"/>
    <w:rsid w:val="009E45DC"/>
    <w:rsid w:val="009E4611"/>
    <w:rsid w:val="009E4653"/>
    <w:rsid w:val="009E466F"/>
    <w:rsid w:val="009E468A"/>
    <w:rsid w:val="009E468E"/>
    <w:rsid w:val="009E4691"/>
    <w:rsid w:val="009E471A"/>
    <w:rsid w:val="009E4735"/>
    <w:rsid w:val="009E4783"/>
    <w:rsid w:val="009E47F0"/>
    <w:rsid w:val="009E4802"/>
    <w:rsid w:val="009E480F"/>
    <w:rsid w:val="009E4826"/>
    <w:rsid w:val="009E487C"/>
    <w:rsid w:val="009E4893"/>
    <w:rsid w:val="009E4979"/>
    <w:rsid w:val="009E49D5"/>
    <w:rsid w:val="009E4A70"/>
    <w:rsid w:val="009E4A7D"/>
    <w:rsid w:val="009E4A95"/>
    <w:rsid w:val="009E4AB4"/>
    <w:rsid w:val="009E4ADA"/>
    <w:rsid w:val="009E4AEE"/>
    <w:rsid w:val="009E4B74"/>
    <w:rsid w:val="009E4B92"/>
    <w:rsid w:val="009E4C84"/>
    <w:rsid w:val="009E4D11"/>
    <w:rsid w:val="009E4D6F"/>
    <w:rsid w:val="009E4D71"/>
    <w:rsid w:val="009E4D74"/>
    <w:rsid w:val="009E4DD2"/>
    <w:rsid w:val="009E4E0C"/>
    <w:rsid w:val="009E4E0E"/>
    <w:rsid w:val="009E4E14"/>
    <w:rsid w:val="009E4E6A"/>
    <w:rsid w:val="009E4EE8"/>
    <w:rsid w:val="009E4FBB"/>
    <w:rsid w:val="009E4FEE"/>
    <w:rsid w:val="009E5017"/>
    <w:rsid w:val="009E5054"/>
    <w:rsid w:val="009E5081"/>
    <w:rsid w:val="009E50F6"/>
    <w:rsid w:val="009E5187"/>
    <w:rsid w:val="009E51B8"/>
    <w:rsid w:val="009E5242"/>
    <w:rsid w:val="009E5278"/>
    <w:rsid w:val="009E52DF"/>
    <w:rsid w:val="009E52EC"/>
    <w:rsid w:val="009E535A"/>
    <w:rsid w:val="009E5398"/>
    <w:rsid w:val="009E53AA"/>
    <w:rsid w:val="009E54CE"/>
    <w:rsid w:val="009E54D0"/>
    <w:rsid w:val="009E553E"/>
    <w:rsid w:val="009E55A0"/>
    <w:rsid w:val="009E55AF"/>
    <w:rsid w:val="009E55C2"/>
    <w:rsid w:val="009E55D4"/>
    <w:rsid w:val="009E55D8"/>
    <w:rsid w:val="009E55E2"/>
    <w:rsid w:val="009E55EB"/>
    <w:rsid w:val="009E56B7"/>
    <w:rsid w:val="009E56C3"/>
    <w:rsid w:val="009E56E3"/>
    <w:rsid w:val="009E57B6"/>
    <w:rsid w:val="009E57DB"/>
    <w:rsid w:val="009E57F9"/>
    <w:rsid w:val="009E5801"/>
    <w:rsid w:val="009E580A"/>
    <w:rsid w:val="009E583B"/>
    <w:rsid w:val="009E5846"/>
    <w:rsid w:val="009E5896"/>
    <w:rsid w:val="009E58B9"/>
    <w:rsid w:val="009E58F0"/>
    <w:rsid w:val="009E592E"/>
    <w:rsid w:val="009E5936"/>
    <w:rsid w:val="009E593B"/>
    <w:rsid w:val="009E598E"/>
    <w:rsid w:val="009E59BE"/>
    <w:rsid w:val="009E59DB"/>
    <w:rsid w:val="009E5A09"/>
    <w:rsid w:val="009E5A1A"/>
    <w:rsid w:val="009E5AF2"/>
    <w:rsid w:val="009E5B1C"/>
    <w:rsid w:val="009E5B21"/>
    <w:rsid w:val="009E5BBE"/>
    <w:rsid w:val="009E5CB5"/>
    <w:rsid w:val="009E5CC3"/>
    <w:rsid w:val="009E5D0F"/>
    <w:rsid w:val="009E5D41"/>
    <w:rsid w:val="009E5E8E"/>
    <w:rsid w:val="009E5EA6"/>
    <w:rsid w:val="009E5ECB"/>
    <w:rsid w:val="009E5ED2"/>
    <w:rsid w:val="009E5EE9"/>
    <w:rsid w:val="009E5F32"/>
    <w:rsid w:val="009E5F6E"/>
    <w:rsid w:val="009E5F7F"/>
    <w:rsid w:val="009E5F80"/>
    <w:rsid w:val="009E5FEA"/>
    <w:rsid w:val="009E6002"/>
    <w:rsid w:val="009E60A0"/>
    <w:rsid w:val="009E60AF"/>
    <w:rsid w:val="009E60D6"/>
    <w:rsid w:val="009E612A"/>
    <w:rsid w:val="009E6134"/>
    <w:rsid w:val="009E614B"/>
    <w:rsid w:val="009E618E"/>
    <w:rsid w:val="009E6195"/>
    <w:rsid w:val="009E61EA"/>
    <w:rsid w:val="009E6230"/>
    <w:rsid w:val="009E6264"/>
    <w:rsid w:val="009E629C"/>
    <w:rsid w:val="009E62B5"/>
    <w:rsid w:val="009E62C2"/>
    <w:rsid w:val="009E634E"/>
    <w:rsid w:val="009E63F2"/>
    <w:rsid w:val="009E6409"/>
    <w:rsid w:val="009E6463"/>
    <w:rsid w:val="009E654D"/>
    <w:rsid w:val="009E655A"/>
    <w:rsid w:val="009E65D7"/>
    <w:rsid w:val="009E66CF"/>
    <w:rsid w:val="009E670D"/>
    <w:rsid w:val="009E678C"/>
    <w:rsid w:val="009E67AF"/>
    <w:rsid w:val="009E685C"/>
    <w:rsid w:val="009E686E"/>
    <w:rsid w:val="009E6879"/>
    <w:rsid w:val="009E68BD"/>
    <w:rsid w:val="009E68C4"/>
    <w:rsid w:val="009E68F3"/>
    <w:rsid w:val="009E6963"/>
    <w:rsid w:val="009E6985"/>
    <w:rsid w:val="009E6992"/>
    <w:rsid w:val="009E6995"/>
    <w:rsid w:val="009E69AA"/>
    <w:rsid w:val="009E69C0"/>
    <w:rsid w:val="009E69E8"/>
    <w:rsid w:val="009E6A1A"/>
    <w:rsid w:val="009E6A28"/>
    <w:rsid w:val="009E6A2F"/>
    <w:rsid w:val="009E6A79"/>
    <w:rsid w:val="009E6AA9"/>
    <w:rsid w:val="009E6B6B"/>
    <w:rsid w:val="009E6B74"/>
    <w:rsid w:val="009E6B7E"/>
    <w:rsid w:val="009E6BA1"/>
    <w:rsid w:val="009E6BE4"/>
    <w:rsid w:val="009E6BF0"/>
    <w:rsid w:val="009E6C35"/>
    <w:rsid w:val="009E6C52"/>
    <w:rsid w:val="009E6C80"/>
    <w:rsid w:val="009E6C86"/>
    <w:rsid w:val="009E6C97"/>
    <w:rsid w:val="009E6CA3"/>
    <w:rsid w:val="009E6CA4"/>
    <w:rsid w:val="009E6CBA"/>
    <w:rsid w:val="009E6D4A"/>
    <w:rsid w:val="009E6D83"/>
    <w:rsid w:val="009E6D84"/>
    <w:rsid w:val="009E6DC5"/>
    <w:rsid w:val="009E6DDC"/>
    <w:rsid w:val="009E6E6B"/>
    <w:rsid w:val="009E6E9D"/>
    <w:rsid w:val="009E6F05"/>
    <w:rsid w:val="009E6F2C"/>
    <w:rsid w:val="009E6F50"/>
    <w:rsid w:val="009E6FAE"/>
    <w:rsid w:val="009E6FB8"/>
    <w:rsid w:val="009E7030"/>
    <w:rsid w:val="009E7057"/>
    <w:rsid w:val="009E70FA"/>
    <w:rsid w:val="009E7116"/>
    <w:rsid w:val="009E7137"/>
    <w:rsid w:val="009E7140"/>
    <w:rsid w:val="009E7157"/>
    <w:rsid w:val="009E717B"/>
    <w:rsid w:val="009E728C"/>
    <w:rsid w:val="009E72A4"/>
    <w:rsid w:val="009E731A"/>
    <w:rsid w:val="009E7351"/>
    <w:rsid w:val="009E73A5"/>
    <w:rsid w:val="009E73BC"/>
    <w:rsid w:val="009E7426"/>
    <w:rsid w:val="009E744F"/>
    <w:rsid w:val="009E7479"/>
    <w:rsid w:val="009E750C"/>
    <w:rsid w:val="009E7565"/>
    <w:rsid w:val="009E76DA"/>
    <w:rsid w:val="009E7700"/>
    <w:rsid w:val="009E7734"/>
    <w:rsid w:val="009E77B2"/>
    <w:rsid w:val="009E77D6"/>
    <w:rsid w:val="009E7831"/>
    <w:rsid w:val="009E785E"/>
    <w:rsid w:val="009E7A0E"/>
    <w:rsid w:val="009E7A67"/>
    <w:rsid w:val="009E7A84"/>
    <w:rsid w:val="009E7AB2"/>
    <w:rsid w:val="009E7B32"/>
    <w:rsid w:val="009E7B53"/>
    <w:rsid w:val="009E7BB3"/>
    <w:rsid w:val="009E7BC6"/>
    <w:rsid w:val="009E7C10"/>
    <w:rsid w:val="009E7D06"/>
    <w:rsid w:val="009E7D3D"/>
    <w:rsid w:val="009E7D5A"/>
    <w:rsid w:val="009E7D6C"/>
    <w:rsid w:val="009E7DAD"/>
    <w:rsid w:val="009E7DE9"/>
    <w:rsid w:val="009E7ED0"/>
    <w:rsid w:val="009E7ED8"/>
    <w:rsid w:val="009E7EDE"/>
    <w:rsid w:val="009E7EE2"/>
    <w:rsid w:val="009E7F40"/>
    <w:rsid w:val="009F0026"/>
    <w:rsid w:val="009F0086"/>
    <w:rsid w:val="009F00C3"/>
    <w:rsid w:val="009F00DD"/>
    <w:rsid w:val="009F00F0"/>
    <w:rsid w:val="009F0185"/>
    <w:rsid w:val="009F0189"/>
    <w:rsid w:val="009F01B0"/>
    <w:rsid w:val="009F01DF"/>
    <w:rsid w:val="009F022B"/>
    <w:rsid w:val="009F025D"/>
    <w:rsid w:val="009F0365"/>
    <w:rsid w:val="009F03B8"/>
    <w:rsid w:val="009F03B9"/>
    <w:rsid w:val="009F0451"/>
    <w:rsid w:val="009F04AA"/>
    <w:rsid w:val="009F04AF"/>
    <w:rsid w:val="009F04B6"/>
    <w:rsid w:val="009F04C0"/>
    <w:rsid w:val="009F04D2"/>
    <w:rsid w:val="009F04D7"/>
    <w:rsid w:val="009F04F2"/>
    <w:rsid w:val="009F0552"/>
    <w:rsid w:val="009F05A8"/>
    <w:rsid w:val="009F05D4"/>
    <w:rsid w:val="009F069A"/>
    <w:rsid w:val="009F06F2"/>
    <w:rsid w:val="009F0739"/>
    <w:rsid w:val="009F07D9"/>
    <w:rsid w:val="009F07ED"/>
    <w:rsid w:val="009F085B"/>
    <w:rsid w:val="009F08B3"/>
    <w:rsid w:val="009F08D8"/>
    <w:rsid w:val="009F08ED"/>
    <w:rsid w:val="009F0917"/>
    <w:rsid w:val="009F0967"/>
    <w:rsid w:val="009F0A66"/>
    <w:rsid w:val="009F0B3A"/>
    <w:rsid w:val="009F0B7B"/>
    <w:rsid w:val="009F0B85"/>
    <w:rsid w:val="009F0C4C"/>
    <w:rsid w:val="009F0C76"/>
    <w:rsid w:val="009F0CE7"/>
    <w:rsid w:val="009F0D22"/>
    <w:rsid w:val="009F0D31"/>
    <w:rsid w:val="009F0E14"/>
    <w:rsid w:val="009F0E78"/>
    <w:rsid w:val="009F0E99"/>
    <w:rsid w:val="009F0EF3"/>
    <w:rsid w:val="009F0F8D"/>
    <w:rsid w:val="009F0F93"/>
    <w:rsid w:val="009F0FE7"/>
    <w:rsid w:val="009F1004"/>
    <w:rsid w:val="009F1094"/>
    <w:rsid w:val="009F10CA"/>
    <w:rsid w:val="009F10EB"/>
    <w:rsid w:val="009F1124"/>
    <w:rsid w:val="009F116F"/>
    <w:rsid w:val="009F1188"/>
    <w:rsid w:val="009F1193"/>
    <w:rsid w:val="009F11D7"/>
    <w:rsid w:val="009F1200"/>
    <w:rsid w:val="009F126C"/>
    <w:rsid w:val="009F1292"/>
    <w:rsid w:val="009F131D"/>
    <w:rsid w:val="009F1336"/>
    <w:rsid w:val="009F1384"/>
    <w:rsid w:val="009F13A8"/>
    <w:rsid w:val="009F13BB"/>
    <w:rsid w:val="009F13E0"/>
    <w:rsid w:val="009F142D"/>
    <w:rsid w:val="009F142F"/>
    <w:rsid w:val="009F1433"/>
    <w:rsid w:val="009F144B"/>
    <w:rsid w:val="009F1470"/>
    <w:rsid w:val="009F1549"/>
    <w:rsid w:val="009F154E"/>
    <w:rsid w:val="009F155C"/>
    <w:rsid w:val="009F158C"/>
    <w:rsid w:val="009F15A3"/>
    <w:rsid w:val="009F1633"/>
    <w:rsid w:val="009F1677"/>
    <w:rsid w:val="009F1694"/>
    <w:rsid w:val="009F16F5"/>
    <w:rsid w:val="009F1730"/>
    <w:rsid w:val="009F173A"/>
    <w:rsid w:val="009F17D5"/>
    <w:rsid w:val="009F17D6"/>
    <w:rsid w:val="009F17FA"/>
    <w:rsid w:val="009F182C"/>
    <w:rsid w:val="009F182D"/>
    <w:rsid w:val="009F1862"/>
    <w:rsid w:val="009F18C2"/>
    <w:rsid w:val="009F18C7"/>
    <w:rsid w:val="009F18CE"/>
    <w:rsid w:val="009F1935"/>
    <w:rsid w:val="009F1943"/>
    <w:rsid w:val="009F1964"/>
    <w:rsid w:val="009F196E"/>
    <w:rsid w:val="009F1ACE"/>
    <w:rsid w:val="009F1AD1"/>
    <w:rsid w:val="009F1AD7"/>
    <w:rsid w:val="009F1B21"/>
    <w:rsid w:val="009F1BB0"/>
    <w:rsid w:val="009F1C20"/>
    <w:rsid w:val="009F1C7A"/>
    <w:rsid w:val="009F1C85"/>
    <w:rsid w:val="009F1D09"/>
    <w:rsid w:val="009F1D5C"/>
    <w:rsid w:val="009F1D96"/>
    <w:rsid w:val="009F1E12"/>
    <w:rsid w:val="009F1E5E"/>
    <w:rsid w:val="009F1EA2"/>
    <w:rsid w:val="009F1EED"/>
    <w:rsid w:val="009F1EFC"/>
    <w:rsid w:val="009F1F47"/>
    <w:rsid w:val="009F1F92"/>
    <w:rsid w:val="009F1F9D"/>
    <w:rsid w:val="009F1FB6"/>
    <w:rsid w:val="009F1FBB"/>
    <w:rsid w:val="009F1FBF"/>
    <w:rsid w:val="009F20A2"/>
    <w:rsid w:val="009F20C6"/>
    <w:rsid w:val="009F20DE"/>
    <w:rsid w:val="009F2134"/>
    <w:rsid w:val="009F2176"/>
    <w:rsid w:val="009F2261"/>
    <w:rsid w:val="009F232A"/>
    <w:rsid w:val="009F238B"/>
    <w:rsid w:val="009F23A9"/>
    <w:rsid w:val="009F23DC"/>
    <w:rsid w:val="009F23F3"/>
    <w:rsid w:val="009F2446"/>
    <w:rsid w:val="009F2447"/>
    <w:rsid w:val="009F24C3"/>
    <w:rsid w:val="009F258B"/>
    <w:rsid w:val="009F260C"/>
    <w:rsid w:val="009F2634"/>
    <w:rsid w:val="009F263E"/>
    <w:rsid w:val="009F2659"/>
    <w:rsid w:val="009F265D"/>
    <w:rsid w:val="009F2666"/>
    <w:rsid w:val="009F266B"/>
    <w:rsid w:val="009F268B"/>
    <w:rsid w:val="009F26D4"/>
    <w:rsid w:val="009F26D5"/>
    <w:rsid w:val="009F2730"/>
    <w:rsid w:val="009F2737"/>
    <w:rsid w:val="009F2781"/>
    <w:rsid w:val="009F27A0"/>
    <w:rsid w:val="009F27B2"/>
    <w:rsid w:val="009F2808"/>
    <w:rsid w:val="009F28B6"/>
    <w:rsid w:val="009F28C7"/>
    <w:rsid w:val="009F28F7"/>
    <w:rsid w:val="009F2965"/>
    <w:rsid w:val="009F29C3"/>
    <w:rsid w:val="009F29F4"/>
    <w:rsid w:val="009F2A49"/>
    <w:rsid w:val="009F2BF8"/>
    <w:rsid w:val="009F2C0D"/>
    <w:rsid w:val="009F2C19"/>
    <w:rsid w:val="009F2C3D"/>
    <w:rsid w:val="009F2C57"/>
    <w:rsid w:val="009F2CCB"/>
    <w:rsid w:val="009F2D34"/>
    <w:rsid w:val="009F2DAB"/>
    <w:rsid w:val="009F2E0A"/>
    <w:rsid w:val="009F2E3B"/>
    <w:rsid w:val="009F2E7D"/>
    <w:rsid w:val="009F2E80"/>
    <w:rsid w:val="009F2F14"/>
    <w:rsid w:val="009F2F2C"/>
    <w:rsid w:val="009F2F44"/>
    <w:rsid w:val="009F2F5B"/>
    <w:rsid w:val="009F2F9E"/>
    <w:rsid w:val="009F2FBC"/>
    <w:rsid w:val="009F302E"/>
    <w:rsid w:val="009F3094"/>
    <w:rsid w:val="009F315C"/>
    <w:rsid w:val="009F319C"/>
    <w:rsid w:val="009F31C5"/>
    <w:rsid w:val="009F31C6"/>
    <w:rsid w:val="009F3278"/>
    <w:rsid w:val="009F33C6"/>
    <w:rsid w:val="009F33E6"/>
    <w:rsid w:val="009F341F"/>
    <w:rsid w:val="009F3425"/>
    <w:rsid w:val="009F3445"/>
    <w:rsid w:val="009F3457"/>
    <w:rsid w:val="009F348C"/>
    <w:rsid w:val="009F3491"/>
    <w:rsid w:val="009F34E0"/>
    <w:rsid w:val="009F355B"/>
    <w:rsid w:val="009F35BA"/>
    <w:rsid w:val="009F35C3"/>
    <w:rsid w:val="009F35D7"/>
    <w:rsid w:val="009F3670"/>
    <w:rsid w:val="009F3686"/>
    <w:rsid w:val="009F368E"/>
    <w:rsid w:val="009F36F4"/>
    <w:rsid w:val="009F373F"/>
    <w:rsid w:val="009F376C"/>
    <w:rsid w:val="009F3774"/>
    <w:rsid w:val="009F382D"/>
    <w:rsid w:val="009F386F"/>
    <w:rsid w:val="009F38AE"/>
    <w:rsid w:val="009F38F2"/>
    <w:rsid w:val="009F3A8F"/>
    <w:rsid w:val="009F3AA4"/>
    <w:rsid w:val="009F3ABE"/>
    <w:rsid w:val="009F3B60"/>
    <w:rsid w:val="009F3B74"/>
    <w:rsid w:val="009F3B92"/>
    <w:rsid w:val="009F3BBA"/>
    <w:rsid w:val="009F3BF8"/>
    <w:rsid w:val="009F3CA9"/>
    <w:rsid w:val="009F3CB9"/>
    <w:rsid w:val="009F3CED"/>
    <w:rsid w:val="009F3D86"/>
    <w:rsid w:val="009F3D98"/>
    <w:rsid w:val="009F3E61"/>
    <w:rsid w:val="009F3E6D"/>
    <w:rsid w:val="009F3F5B"/>
    <w:rsid w:val="009F3FB4"/>
    <w:rsid w:val="009F3FC4"/>
    <w:rsid w:val="009F4006"/>
    <w:rsid w:val="009F40CE"/>
    <w:rsid w:val="009F4114"/>
    <w:rsid w:val="009F413D"/>
    <w:rsid w:val="009F414D"/>
    <w:rsid w:val="009F41D5"/>
    <w:rsid w:val="009F41D6"/>
    <w:rsid w:val="009F41E6"/>
    <w:rsid w:val="009F4209"/>
    <w:rsid w:val="009F4230"/>
    <w:rsid w:val="009F42E4"/>
    <w:rsid w:val="009F42FF"/>
    <w:rsid w:val="009F4337"/>
    <w:rsid w:val="009F438D"/>
    <w:rsid w:val="009F4390"/>
    <w:rsid w:val="009F43A9"/>
    <w:rsid w:val="009F43CB"/>
    <w:rsid w:val="009F43D5"/>
    <w:rsid w:val="009F4430"/>
    <w:rsid w:val="009F452D"/>
    <w:rsid w:val="009F4544"/>
    <w:rsid w:val="009F45B6"/>
    <w:rsid w:val="009F45D9"/>
    <w:rsid w:val="009F45F4"/>
    <w:rsid w:val="009F4648"/>
    <w:rsid w:val="009F466E"/>
    <w:rsid w:val="009F4670"/>
    <w:rsid w:val="009F4691"/>
    <w:rsid w:val="009F46A8"/>
    <w:rsid w:val="009F46AF"/>
    <w:rsid w:val="009F46C1"/>
    <w:rsid w:val="009F4768"/>
    <w:rsid w:val="009F4868"/>
    <w:rsid w:val="009F48C4"/>
    <w:rsid w:val="009F4960"/>
    <w:rsid w:val="009F496B"/>
    <w:rsid w:val="009F4982"/>
    <w:rsid w:val="009F49F8"/>
    <w:rsid w:val="009F4A50"/>
    <w:rsid w:val="009F4AA6"/>
    <w:rsid w:val="009F4B43"/>
    <w:rsid w:val="009F4B4C"/>
    <w:rsid w:val="009F4BD6"/>
    <w:rsid w:val="009F4C38"/>
    <w:rsid w:val="009F4D08"/>
    <w:rsid w:val="009F4D1D"/>
    <w:rsid w:val="009F4D37"/>
    <w:rsid w:val="009F4E57"/>
    <w:rsid w:val="009F4EE1"/>
    <w:rsid w:val="009F4F09"/>
    <w:rsid w:val="009F4F32"/>
    <w:rsid w:val="009F4F59"/>
    <w:rsid w:val="009F4F90"/>
    <w:rsid w:val="009F4FD9"/>
    <w:rsid w:val="009F5038"/>
    <w:rsid w:val="009F50E2"/>
    <w:rsid w:val="009F50F0"/>
    <w:rsid w:val="009F50F2"/>
    <w:rsid w:val="009F51E8"/>
    <w:rsid w:val="009F51F1"/>
    <w:rsid w:val="009F525A"/>
    <w:rsid w:val="009F5261"/>
    <w:rsid w:val="009F52F4"/>
    <w:rsid w:val="009F531E"/>
    <w:rsid w:val="009F546B"/>
    <w:rsid w:val="009F5477"/>
    <w:rsid w:val="009F548D"/>
    <w:rsid w:val="009F54F5"/>
    <w:rsid w:val="009F5508"/>
    <w:rsid w:val="009F5555"/>
    <w:rsid w:val="009F558D"/>
    <w:rsid w:val="009F55D6"/>
    <w:rsid w:val="009F55F8"/>
    <w:rsid w:val="009F561F"/>
    <w:rsid w:val="009F564B"/>
    <w:rsid w:val="009F568B"/>
    <w:rsid w:val="009F56EB"/>
    <w:rsid w:val="009F5714"/>
    <w:rsid w:val="009F579F"/>
    <w:rsid w:val="009F57D3"/>
    <w:rsid w:val="009F57F3"/>
    <w:rsid w:val="009F5806"/>
    <w:rsid w:val="009F5881"/>
    <w:rsid w:val="009F5890"/>
    <w:rsid w:val="009F5906"/>
    <w:rsid w:val="009F59E8"/>
    <w:rsid w:val="009F5A04"/>
    <w:rsid w:val="009F5B06"/>
    <w:rsid w:val="009F5B07"/>
    <w:rsid w:val="009F5B93"/>
    <w:rsid w:val="009F5BA0"/>
    <w:rsid w:val="009F5C0E"/>
    <w:rsid w:val="009F5C5B"/>
    <w:rsid w:val="009F5CAD"/>
    <w:rsid w:val="009F5D46"/>
    <w:rsid w:val="009F5DDF"/>
    <w:rsid w:val="009F5E30"/>
    <w:rsid w:val="009F5E52"/>
    <w:rsid w:val="009F5E5D"/>
    <w:rsid w:val="009F5EE8"/>
    <w:rsid w:val="009F5F34"/>
    <w:rsid w:val="009F5F5C"/>
    <w:rsid w:val="009F5F99"/>
    <w:rsid w:val="009F5FD6"/>
    <w:rsid w:val="009F5FE4"/>
    <w:rsid w:val="009F6089"/>
    <w:rsid w:val="009F60B3"/>
    <w:rsid w:val="009F60EA"/>
    <w:rsid w:val="009F6102"/>
    <w:rsid w:val="009F61C2"/>
    <w:rsid w:val="009F634D"/>
    <w:rsid w:val="009F63AF"/>
    <w:rsid w:val="009F63FD"/>
    <w:rsid w:val="009F641E"/>
    <w:rsid w:val="009F6491"/>
    <w:rsid w:val="009F64E7"/>
    <w:rsid w:val="009F650C"/>
    <w:rsid w:val="009F6523"/>
    <w:rsid w:val="009F652E"/>
    <w:rsid w:val="009F6586"/>
    <w:rsid w:val="009F65DD"/>
    <w:rsid w:val="009F6631"/>
    <w:rsid w:val="009F6645"/>
    <w:rsid w:val="009F6684"/>
    <w:rsid w:val="009F6691"/>
    <w:rsid w:val="009F669B"/>
    <w:rsid w:val="009F6758"/>
    <w:rsid w:val="009F6763"/>
    <w:rsid w:val="009F682F"/>
    <w:rsid w:val="009F68C3"/>
    <w:rsid w:val="009F68D5"/>
    <w:rsid w:val="009F68EF"/>
    <w:rsid w:val="009F6924"/>
    <w:rsid w:val="009F6991"/>
    <w:rsid w:val="009F69C2"/>
    <w:rsid w:val="009F69E2"/>
    <w:rsid w:val="009F6A3F"/>
    <w:rsid w:val="009F6ABE"/>
    <w:rsid w:val="009F6B59"/>
    <w:rsid w:val="009F6B98"/>
    <w:rsid w:val="009F6C67"/>
    <w:rsid w:val="009F6CA9"/>
    <w:rsid w:val="009F6CE5"/>
    <w:rsid w:val="009F6CF5"/>
    <w:rsid w:val="009F6D09"/>
    <w:rsid w:val="009F6D24"/>
    <w:rsid w:val="009F6D6F"/>
    <w:rsid w:val="009F6E3F"/>
    <w:rsid w:val="009F6E70"/>
    <w:rsid w:val="009F6EF3"/>
    <w:rsid w:val="009F6F0F"/>
    <w:rsid w:val="009F6F31"/>
    <w:rsid w:val="009F6F3E"/>
    <w:rsid w:val="009F6F5E"/>
    <w:rsid w:val="009F7089"/>
    <w:rsid w:val="009F70D1"/>
    <w:rsid w:val="009F7109"/>
    <w:rsid w:val="009F7134"/>
    <w:rsid w:val="009F7158"/>
    <w:rsid w:val="009F71A4"/>
    <w:rsid w:val="009F71C7"/>
    <w:rsid w:val="009F725E"/>
    <w:rsid w:val="009F72B8"/>
    <w:rsid w:val="009F730B"/>
    <w:rsid w:val="009F731E"/>
    <w:rsid w:val="009F7325"/>
    <w:rsid w:val="009F7356"/>
    <w:rsid w:val="009F735B"/>
    <w:rsid w:val="009F73EA"/>
    <w:rsid w:val="009F73FD"/>
    <w:rsid w:val="009F74B1"/>
    <w:rsid w:val="009F7537"/>
    <w:rsid w:val="009F762A"/>
    <w:rsid w:val="009F764E"/>
    <w:rsid w:val="009F767E"/>
    <w:rsid w:val="009F76A7"/>
    <w:rsid w:val="009F76BB"/>
    <w:rsid w:val="009F76D5"/>
    <w:rsid w:val="009F76D7"/>
    <w:rsid w:val="009F76EB"/>
    <w:rsid w:val="009F7700"/>
    <w:rsid w:val="009F7710"/>
    <w:rsid w:val="009F7714"/>
    <w:rsid w:val="009F775A"/>
    <w:rsid w:val="009F776D"/>
    <w:rsid w:val="009F77DB"/>
    <w:rsid w:val="009F780E"/>
    <w:rsid w:val="009F78A8"/>
    <w:rsid w:val="009F7900"/>
    <w:rsid w:val="009F7928"/>
    <w:rsid w:val="009F7940"/>
    <w:rsid w:val="009F79A7"/>
    <w:rsid w:val="009F79E4"/>
    <w:rsid w:val="009F7A11"/>
    <w:rsid w:val="009F7A94"/>
    <w:rsid w:val="009F7AC5"/>
    <w:rsid w:val="009F7ACA"/>
    <w:rsid w:val="009F7AD0"/>
    <w:rsid w:val="009F7B03"/>
    <w:rsid w:val="009F7B52"/>
    <w:rsid w:val="009F7C50"/>
    <w:rsid w:val="009F7D04"/>
    <w:rsid w:val="009F7D30"/>
    <w:rsid w:val="009F7D71"/>
    <w:rsid w:val="009F7D94"/>
    <w:rsid w:val="009F7E4A"/>
    <w:rsid w:val="009F7E8E"/>
    <w:rsid w:val="009F7EB3"/>
    <w:rsid w:val="009F7F6D"/>
    <w:rsid w:val="009F7F97"/>
    <w:rsid w:val="009F7F9C"/>
    <w:rsid w:val="00A000A2"/>
    <w:rsid w:val="00A000B2"/>
    <w:rsid w:val="00A000BB"/>
    <w:rsid w:val="00A000D3"/>
    <w:rsid w:val="00A000D5"/>
    <w:rsid w:val="00A00147"/>
    <w:rsid w:val="00A0018A"/>
    <w:rsid w:val="00A001C4"/>
    <w:rsid w:val="00A001DF"/>
    <w:rsid w:val="00A0025F"/>
    <w:rsid w:val="00A0027B"/>
    <w:rsid w:val="00A002AA"/>
    <w:rsid w:val="00A002E3"/>
    <w:rsid w:val="00A0030B"/>
    <w:rsid w:val="00A00355"/>
    <w:rsid w:val="00A0036F"/>
    <w:rsid w:val="00A003D8"/>
    <w:rsid w:val="00A003E4"/>
    <w:rsid w:val="00A00407"/>
    <w:rsid w:val="00A004A6"/>
    <w:rsid w:val="00A0050C"/>
    <w:rsid w:val="00A0050D"/>
    <w:rsid w:val="00A0054D"/>
    <w:rsid w:val="00A0054F"/>
    <w:rsid w:val="00A00595"/>
    <w:rsid w:val="00A005C6"/>
    <w:rsid w:val="00A0061C"/>
    <w:rsid w:val="00A006F6"/>
    <w:rsid w:val="00A0073D"/>
    <w:rsid w:val="00A0077E"/>
    <w:rsid w:val="00A0079B"/>
    <w:rsid w:val="00A0086D"/>
    <w:rsid w:val="00A008A2"/>
    <w:rsid w:val="00A008CA"/>
    <w:rsid w:val="00A008DA"/>
    <w:rsid w:val="00A008F1"/>
    <w:rsid w:val="00A00929"/>
    <w:rsid w:val="00A00950"/>
    <w:rsid w:val="00A00955"/>
    <w:rsid w:val="00A00987"/>
    <w:rsid w:val="00A009D6"/>
    <w:rsid w:val="00A009FB"/>
    <w:rsid w:val="00A00A2B"/>
    <w:rsid w:val="00A00A56"/>
    <w:rsid w:val="00A00A6D"/>
    <w:rsid w:val="00A00AD8"/>
    <w:rsid w:val="00A00B52"/>
    <w:rsid w:val="00A00B5D"/>
    <w:rsid w:val="00A00B7A"/>
    <w:rsid w:val="00A00B8C"/>
    <w:rsid w:val="00A00BD3"/>
    <w:rsid w:val="00A00BD4"/>
    <w:rsid w:val="00A00BE3"/>
    <w:rsid w:val="00A00BE6"/>
    <w:rsid w:val="00A00BEB"/>
    <w:rsid w:val="00A00BF7"/>
    <w:rsid w:val="00A00C2D"/>
    <w:rsid w:val="00A00C4F"/>
    <w:rsid w:val="00A00CB4"/>
    <w:rsid w:val="00A00CD6"/>
    <w:rsid w:val="00A00CF8"/>
    <w:rsid w:val="00A00D45"/>
    <w:rsid w:val="00A00DEC"/>
    <w:rsid w:val="00A00DF8"/>
    <w:rsid w:val="00A00E33"/>
    <w:rsid w:val="00A00E85"/>
    <w:rsid w:val="00A00EC9"/>
    <w:rsid w:val="00A00ECB"/>
    <w:rsid w:val="00A0101E"/>
    <w:rsid w:val="00A01020"/>
    <w:rsid w:val="00A010AC"/>
    <w:rsid w:val="00A010B1"/>
    <w:rsid w:val="00A010DB"/>
    <w:rsid w:val="00A01108"/>
    <w:rsid w:val="00A01147"/>
    <w:rsid w:val="00A01193"/>
    <w:rsid w:val="00A0120C"/>
    <w:rsid w:val="00A01219"/>
    <w:rsid w:val="00A0121E"/>
    <w:rsid w:val="00A0123E"/>
    <w:rsid w:val="00A01243"/>
    <w:rsid w:val="00A012DE"/>
    <w:rsid w:val="00A0136A"/>
    <w:rsid w:val="00A013AD"/>
    <w:rsid w:val="00A013F0"/>
    <w:rsid w:val="00A013F7"/>
    <w:rsid w:val="00A01403"/>
    <w:rsid w:val="00A0141B"/>
    <w:rsid w:val="00A01431"/>
    <w:rsid w:val="00A014C0"/>
    <w:rsid w:val="00A01513"/>
    <w:rsid w:val="00A01520"/>
    <w:rsid w:val="00A01537"/>
    <w:rsid w:val="00A015E8"/>
    <w:rsid w:val="00A01661"/>
    <w:rsid w:val="00A01677"/>
    <w:rsid w:val="00A01678"/>
    <w:rsid w:val="00A016C2"/>
    <w:rsid w:val="00A016CB"/>
    <w:rsid w:val="00A01702"/>
    <w:rsid w:val="00A01802"/>
    <w:rsid w:val="00A01816"/>
    <w:rsid w:val="00A0181C"/>
    <w:rsid w:val="00A01872"/>
    <w:rsid w:val="00A018AD"/>
    <w:rsid w:val="00A0195E"/>
    <w:rsid w:val="00A0196E"/>
    <w:rsid w:val="00A019DD"/>
    <w:rsid w:val="00A01A04"/>
    <w:rsid w:val="00A01A05"/>
    <w:rsid w:val="00A01A12"/>
    <w:rsid w:val="00A01A2E"/>
    <w:rsid w:val="00A01A67"/>
    <w:rsid w:val="00A01ADA"/>
    <w:rsid w:val="00A01AE8"/>
    <w:rsid w:val="00A01B12"/>
    <w:rsid w:val="00A01B73"/>
    <w:rsid w:val="00A01B8A"/>
    <w:rsid w:val="00A01B9D"/>
    <w:rsid w:val="00A01C37"/>
    <w:rsid w:val="00A01C4E"/>
    <w:rsid w:val="00A01C5A"/>
    <w:rsid w:val="00A01C7A"/>
    <w:rsid w:val="00A01D57"/>
    <w:rsid w:val="00A01D65"/>
    <w:rsid w:val="00A01DC9"/>
    <w:rsid w:val="00A01E42"/>
    <w:rsid w:val="00A01ED1"/>
    <w:rsid w:val="00A01ED7"/>
    <w:rsid w:val="00A01EF3"/>
    <w:rsid w:val="00A01F5C"/>
    <w:rsid w:val="00A01F74"/>
    <w:rsid w:val="00A01F81"/>
    <w:rsid w:val="00A01FA6"/>
    <w:rsid w:val="00A01FCD"/>
    <w:rsid w:val="00A01FD5"/>
    <w:rsid w:val="00A01FDF"/>
    <w:rsid w:val="00A0202A"/>
    <w:rsid w:val="00A0206B"/>
    <w:rsid w:val="00A02103"/>
    <w:rsid w:val="00A02115"/>
    <w:rsid w:val="00A02116"/>
    <w:rsid w:val="00A02174"/>
    <w:rsid w:val="00A021A2"/>
    <w:rsid w:val="00A021EF"/>
    <w:rsid w:val="00A021F7"/>
    <w:rsid w:val="00A022A0"/>
    <w:rsid w:val="00A022A3"/>
    <w:rsid w:val="00A02322"/>
    <w:rsid w:val="00A02366"/>
    <w:rsid w:val="00A023A0"/>
    <w:rsid w:val="00A023C5"/>
    <w:rsid w:val="00A02433"/>
    <w:rsid w:val="00A02441"/>
    <w:rsid w:val="00A02468"/>
    <w:rsid w:val="00A024BE"/>
    <w:rsid w:val="00A024E0"/>
    <w:rsid w:val="00A024F3"/>
    <w:rsid w:val="00A024FE"/>
    <w:rsid w:val="00A0252A"/>
    <w:rsid w:val="00A02535"/>
    <w:rsid w:val="00A0258C"/>
    <w:rsid w:val="00A025F0"/>
    <w:rsid w:val="00A02600"/>
    <w:rsid w:val="00A02601"/>
    <w:rsid w:val="00A02613"/>
    <w:rsid w:val="00A0261C"/>
    <w:rsid w:val="00A02626"/>
    <w:rsid w:val="00A0263E"/>
    <w:rsid w:val="00A0266D"/>
    <w:rsid w:val="00A02671"/>
    <w:rsid w:val="00A02695"/>
    <w:rsid w:val="00A026DD"/>
    <w:rsid w:val="00A026E5"/>
    <w:rsid w:val="00A02707"/>
    <w:rsid w:val="00A02728"/>
    <w:rsid w:val="00A02735"/>
    <w:rsid w:val="00A02768"/>
    <w:rsid w:val="00A027C1"/>
    <w:rsid w:val="00A027E0"/>
    <w:rsid w:val="00A02842"/>
    <w:rsid w:val="00A0286B"/>
    <w:rsid w:val="00A02925"/>
    <w:rsid w:val="00A0295B"/>
    <w:rsid w:val="00A02968"/>
    <w:rsid w:val="00A0296C"/>
    <w:rsid w:val="00A02990"/>
    <w:rsid w:val="00A029DF"/>
    <w:rsid w:val="00A02A1B"/>
    <w:rsid w:val="00A02A2F"/>
    <w:rsid w:val="00A02A54"/>
    <w:rsid w:val="00A02A5B"/>
    <w:rsid w:val="00A02A84"/>
    <w:rsid w:val="00A02AC6"/>
    <w:rsid w:val="00A02AD1"/>
    <w:rsid w:val="00A02B3D"/>
    <w:rsid w:val="00A02B4E"/>
    <w:rsid w:val="00A02B7D"/>
    <w:rsid w:val="00A02BFA"/>
    <w:rsid w:val="00A02C1F"/>
    <w:rsid w:val="00A02C31"/>
    <w:rsid w:val="00A02C6E"/>
    <w:rsid w:val="00A02C8B"/>
    <w:rsid w:val="00A02CA7"/>
    <w:rsid w:val="00A02D27"/>
    <w:rsid w:val="00A02D90"/>
    <w:rsid w:val="00A02D98"/>
    <w:rsid w:val="00A02DC7"/>
    <w:rsid w:val="00A02DD5"/>
    <w:rsid w:val="00A02DDE"/>
    <w:rsid w:val="00A02E69"/>
    <w:rsid w:val="00A02EAE"/>
    <w:rsid w:val="00A02EEB"/>
    <w:rsid w:val="00A02F07"/>
    <w:rsid w:val="00A03042"/>
    <w:rsid w:val="00A03043"/>
    <w:rsid w:val="00A03109"/>
    <w:rsid w:val="00A03113"/>
    <w:rsid w:val="00A03126"/>
    <w:rsid w:val="00A03158"/>
    <w:rsid w:val="00A0318A"/>
    <w:rsid w:val="00A03197"/>
    <w:rsid w:val="00A03311"/>
    <w:rsid w:val="00A03344"/>
    <w:rsid w:val="00A03372"/>
    <w:rsid w:val="00A03396"/>
    <w:rsid w:val="00A033D3"/>
    <w:rsid w:val="00A033DD"/>
    <w:rsid w:val="00A03429"/>
    <w:rsid w:val="00A03463"/>
    <w:rsid w:val="00A034A6"/>
    <w:rsid w:val="00A034A7"/>
    <w:rsid w:val="00A03529"/>
    <w:rsid w:val="00A0352C"/>
    <w:rsid w:val="00A0353E"/>
    <w:rsid w:val="00A035A9"/>
    <w:rsid w:val="00A035E8"/>
    <w:rsid w:val="00A03628"/>
    <w:rsid w:val="00A03665"/>
    <w:rsid w:val="00A03700"/>
    <w:rsid w:val="00A0370D"/>
    <w:rsid w:val="00A03790"/>
    <w:rsid w:val="00A037F6"/>
    <w:rsid w:val="00A0382D"/>
    <w:rsid w:val="00A038BF"/>
    <w:rsid w:val="00A03907"/>
    <w:rsid w:val="00A0390D"/>
    <w:rsid w:val="00A039D9"/>
    <w:rsid w:val="00A03A4B"/>
    <w:rsid w:val="00A03A9C"/>
    <w:rsid w:val="00A03AA0"/>
    <w:rsid w:val="00A03AC6"/>
    <w:rsid w:val="00A03AD4"/>
    <w:rsid w:val="00A03ADE"/>
    <w:rsid w:val="00A03B3E"/>
    <w:rsid w:val="00A03B84"/>
    <w:rsid w:val="00A03C21"/>
    <w:rsid w:val="00A03C68"/>
    <w:rsid w:val="00A03CAF"/>
    <w:rsid w:val="00A03CD0"/>
    <w:rsid w:val="00A03D25"/>
    <w:rsid w:val="00A03D43"/>
    <w:rsid w:val="00A03D72"/>
    <w:rsid w:val="00A03D76"/>
    <w:rsid w:val="00A03EC4"/>
    <w:rsid w:val="00A03F0A"/>
    <w:rsid w:val="00A03F1C"/>
    <w:rsid w:val="00A03F4D"/>
    <w:rsid w:val="00A03FCD"/>
    <w:rsid w:val="00A04041"/>
    <w:rsid w:val="00A0404F"/>
    <w:rsid w:val="00A0407D"/>
    <w:rsid w:val="00A041A1"/>
    <w:rsid w:val="00A041B3"/>
    <w:rsid w:val="00A041EE"/>
    <w:rsid w:val="00A04228"/>
    <w:rsid w:val="00A0424A"/>
    <w:rsid w:val="00A0430A"/>
    <w:rsid w:val="00A0439E"/>
    <w:rsid w:val="00A04492"/>
    <w:rsid w:val="00A04507"/>
    <w:rsid w:val="00A04576"/>
    <w:rsid w:val="00A0457D"/>
    <w:rsid w:val="00A045C6"/>
    <w:rsid w:val="00A045CE"/>
    <w:rsid w:val="00A045E7"/>
    <w:rsid w:val="00A045F7"/>
    <w:rsid w:val="00A04635"/>
    <w:rsid w:val="00A04636"/>
    <w:rsid w:val="00A04652"/>
    <w:rsid w:val="00A04698"/>
    <w:rsid w:val="00A046F8"/>
    <w:rsid w:val="00A0476D"/>
    <w:rsid w:val="00A04814"/>
    <w:rsid w:val="00A04842"/>
    <w:rsid w:val="00A048B8"/>
    <w:rsid w:val="00A04902"/>
    <w:rsid w:val="00A0491E"/>
    <w:rsid w:val="00A04924"/>
    <w:rsid w:val="00A0499B"/>
    <w:rsid w:val="00A04A61"/>
    <w:rsid w:val="00A04AEF"/>
    <w:rsid w:val="00A04B04"/>
    <w:rsid w:val="00A04B45"/>
    <w:rsid w:val="00A04B94"/>
    <w:rsid w:val="00A04BEB"/>
    <w:rsid w:val="00A04BFA"/>
    <w:rsid w:val="00A04C5C"/>
    <w:rsid w:val="00A04CA2"/>
    <w:rsid w:val="00A04CCA"/>
    <w:rsid w:val="00A04CE1"/>
    <w:rsid w:val="00A04CE9"/>
    <w:rsid w:val="00A04CF5"/>
    <w:rsid w:val="00A04D58"/>
    <w:rsid w:val="00A04D96"/>
    <w:rsid w:val="00A04DC3"/>
    <w:rsid w:val="00A04DE7"/>
    <w:rsid w:val="00A04E10"/>
    <w:rsid w:val="00A04E71"/>
    <w:rsid w:val="00A04E8E"/>
    <w:rsid w:val="00A04EB8"/>
    <w:rsid w:val="00A04EE0"/>
    <w:rsid w:val="00A04EF4"/>
    <w:rsid w:val="00A04F05"/>
    <w:rsid w:val="00A04F38"/>
    <w:rsid w:val="00A04F89"/>
    <w:rsid w:val="00A04FA7"/>
    <w:rsid w:val="00A04FAA"/>
    <w:rsid w:val="00A04FE9"/>
    <w:rsid w:val="00A04FF0"/>
    <w:rsid w:val="00A0507F"/>
    <w:rsid w:val="00A05111"/>
    <w:rsid w:val="00A05120"/>
    <w:rsid w:val="00A05173"/>
    <w:rsid w:val="00A051CF"/>
    <w:rsid w:val="00A051E6"/>
    <w:rsid w:val="00A051F0"/>
    <w:rsid w:val="00A0523C"/>
    <w:rsid w:val="00A0532E"/>
    <w:rsid w:val="00A0536D"/>
    <w:rsid w:val="00A05382"/>
    <w:rsid w:val="00A053E4"/>
    <w:rsid w:val="00A0541A"/>
    <w:rsid w:val="00A054E0"/>
    <w:rsid w:val="00A05511"/>
    <w:rsid w:val="00A05582"/>
    <w:rsid w:val="00A05589"/>
    <w:rsid w:val="00A055C2"/>
    <w:rsid w:val="00A055F6"/>
    <w:rsid w:val="00A056BB"/>
    <w:rsid w:val="00A0577F"/>
    <w:rsid w:val="00A057E2"/>
    <w:rsid w:val="00A057F5"/>
    <w:rsid w:val="00A057F9"/>
    <w:rsid w:val="00A0589F"/>
    <w:rsid w:val="00A058CB"/>
    <w:rsid w:val="00A058E3"/>
    <w:rsid w:val="00A05902"/>
    <w:rsid w:val="00A05964"/>
    <w:rsid w:val="00A059C9"/>
    <w:rsid w:val="00A05A05"/>
    <w:rsid w:val="00A05AB5"/>
    <w:rsid w:val="00A05AE2"/>
    <w:rsid w:val="00A05B04"/>
    <w:rsid w:val="00A05B36"/>
    <w:rsid w:val="00A05BAB"/>
    <w:rsid w:val="00A05BB1"/>
    <w:rsid w:val="00A05D08"/>
    <w:rsid w:val="00A05D0D"/>
    <w:rsid w:val="00A05D31"/>
    <w:rsid w:val="00A05D4D"/>
    <w:rsid w:val="00A05D80"/>
    <w:rsid w:val="00A05DB7"/>
    <w:rsid w:val="00A05DD4"/>
    <w:rsid w:val="00A05DFC"/>
    <w:rsid w:val="00A05E26"/>
    <w:rsid w:val="00A05E39"/>
    <w:rsid w:val="00A05E3D"/>
    <w:rsid w:val="00A05E4B"/>
    <w:rsid w:val="00A05E8E"/>
    <w:rsid w:val="00A05EB0"/>
    <w:rsid w:val="00A05ECD"/>
    <w:rsid w:val="00A05EE2"/>
    <w:rsid w:val="00A05EF1"/>
    <w:rsid w:val="00A05F05"/>
    <w:rsid w:val="00A05F57"/>
    <w:rsid w:val="00A05F8A"/>
    <w:rsid w:val="00A05FAF"/>
    <w:rsid w:val="00A05FCB"/>
    <w:rsid w:val="00A05FD0"/>
    <w:rsid w:val="00A05FD4"/>
    <w:rsid w:val="00A06017"/>
    <w:rsid w:val="00A06064"/>
    <w:rsid w:val="00A06076"/>
    <w:rsid w:val="00A060C7"/>
    <w:rsid w:val="00A060EE"/>
    <w:rsid w:val="00A06118"/>
    <w:rsid w:val="00A06126"/>
    <w:rsid w:val="00A06139"/>
    <w:rsid w:val="00A06157"/>
    <w:rsid w:val="00A061CC"/>
    <w:rsid w:val="00A061D5"/>
    <w:rsid w:val="00A06294"/>
    <w:rsid w:val="00A062EB"/>
    <w:rsid w:val="00A06324"/>
    <w:rsid w:val="00A06371"/>
    <w:rsid w:val="00A0637A"/>
    <w:rsid w:val="00A063AD"/>
    <w:rsid w:val="00A06510"/>
    <w:rsid w:val="00A06577"/>
    <w:rsid w:val="00A065B1"/>
    <w:rsid w:val="00A0666D"/>
    <w:rsid w:val="00A06713"/>
    <w:rsid w:val="00A06765"/>
    <w:rsid w:val="00A06793"/>
    <w:rsid w:val="00A067C4"/>
    <w:rsid w:val="00A067E4"/>
    <w:rsid w:val="00A0680A"/>
    <w:rsid w:val="00A0689F"/>
    <w:rsid w:val="00A068B0"/>
    <w:rsid w:val="00A068B1"/>
    <w:rsid w:val="00A068BE"/>
    <w:rsid w:val="00A06907"/>
    <w:rsid w:val="00A06909"/>
    <w:rsid w:val="00A0694B"/>
    <w:rsid w:val="00A06958"/>
    <w:rsid w:val="00A06972"/>
    <w:rsid w:val="00A069C3"/>
    <w:rsid w:val="00A069D5"/>
    <w:rsid w:val="00A06AA8"/>
    <w:rsid w:val="00A06ACB"/>
    <w:rsid w:val="00A06AF8"/>
    <w:rsid w:val="00A06B2D"/>
    <w:rsid w:val="00A06B2E"/>
    <w:rsid w:val="00A06B6B"/>
    <w:rsid w:val="00A06B98"/>
    <w:rsid w:val="00A06BAA"/>
    <w:rsid w:val="00A06C4D"/>
    <w:rsid w:val="00A06C88"/>
    <w:rsid w:val="00A06C9A"/>
    <w:rsid w:val="00A06CC2"/>
    <w:rsid w:val="00A06DDA"/>
    <w:rsid w:val="00A06DDF"/>
    <w:rsid w:val="00A06DF4"/>
    <w:rsid w:val="00A06E5D"/>
    <w:rsid w:val="00A06E74"/>
    <w:rsid w:val="00A06E87"/>
    <w:rsid w:val="00A06E91"/>
    <w:rsid w:val="00A06EC2"/>
    <w:rsid w:val="00A06F03"/>
    <w:rsid w:val="00A06F32"/>
    <w:rsid w:val="00A06F56"/>
    <w:rsid w:val="00A06FDC"/>
    <w:rsid w:val="00A0706B"/>
    <w:rsid w:val="00A07089"/>
    <w:rsid w:val="00A070A9"/>
    <w:rsid w:val="00A070C4"/>
    <w:rsid w:val="00A071AC"/>
    <w:rsid w:val="00A071EE"/>
    <w:rsid w:val="00A072BC"/>
    <w:rsid w:val="00A072C0"/>
    <w:rsid w:val="00A072DA"/>
    <w:rsid w:val="00A073A5"/>
    <w:rsid w:val="00A073E8"/>
    <w:rsid w:val="00A0740F"/>
    <w:rsid w:val="00A07425"/>
    <w:rsid w:val="00A07433"/>
    <w:rsid w:val="00A0743E"/>
    <w:rsid w:val="00A0744D"/>
    <w:rsid w:val="00A07479"/>
    <w:rsid w:val="00A0749F"/>
    <w:rsid w:val="00A074BC"/>
    <w:rsid w:val="00A0754B"/>
    <w:rsid w:val="00A07583"/>
    <w:rsid w:val="00A075A2"/>
    <w:rsid w:val="00A075BD"/>
    <w:rsid w:val="00A075D2"/>
    <w:rsid w:val="00A075F3"/>
    <w:rsid w:val="00A07620"/>
    <w:rsid w:val="00A07740"/>
    <w:rsid w:val="00A077B3"/>
    <w:rsid w:val="00A07800"/>
    <w:rsid w:val="00A07841"/>
    <w:rsid w:val="00A07855"/>
    <w:rsid w:val="00A07887"/>
    <w:rsid w:val="00A078FA"/>
    <w:rsid w:val="00A0792F"/>
    <w:rsid w:val="00A079A2"/>
    <w:rsid w:val="00A07A71"/>
    <w:rsid w:val="00A07AB5"/>
    <w:rsid w:val="00A07AF6"/>
    <w:rsid w:val="00A07B0E"/>
    <w:rsid w:val="00A07B98"/>
    <w:rsid w:val="00A07CA1"/>
    <w:rsid w:val="00A07CD7"/>
    <w:rsid w:val="00A07CF4"/>
    <w:rsid w:val="00A07D07"/>
    <w:rsid w:val="00A07D13"/>
    <w:rsid w:val="00A07D1A"/>
    <w:rsid w:val="00A07D2D"/>
    <w:rsid w:val="00A07D47"/>
    <w:rsid w:val="00A07D66"/>
    <w:rsid w:val="00A07D79"/>
    <w:rsid w:val="00A07D7F"/>
    <w:rsid w:val="00A07D86"/>
    <w:rsid w:val="00A07D93"/>
    <w:rsid w:val="00A07DB8"/>
    <w:rsid w:val="00A07DE1"/>
    <w:rsid w:val="00A07DFE"/>
    <w:rsid w:val="00A07E13"/>
    <w:rsid w:val="00A07E15"/>
    <w:rsid w:val="00A07E52"/>
    <w:rsid w:val="00A07E9A"/>
    <w:rsid w:val="00A07EB7"/>
    <w:rsid w:val="00A07ED4"/>
    <w:rsid w:val="00A07FAD"/>
    <w:rsid w:val="00A07FD0"/>
    <w:rsid w:val="00A07FE2"/>
    <w:rsid w:val="00A10013"/>
    <w:rsid w:val="00A10020"/>
    <w:rsid w:val="00A1002C"/>
    <w:rsid w:val="00A1014D"/>
    <w:rsid w:val="00A101BE"/>
    <w:rsid w:val="00A101F6"/>
    <w:rsid w:val="00A1026F"/>
    <w:rsid w:val="00A10278"/>
    <w:rsid w:val="00A102BD"/>
    <w:rsid w:val="00A102F0"/>
    <w:rsid w:val="00A1037C"/>
    <w:rsid w:val="00A10391"/>
    <w:rsid w:val="00A10398"/>
    <w:rsid w:val="00A103B5"/>
    <w:rsid w:val="00A103E6"/>
    <w:rsid w:val="00A10464"/>
    <w:rsid w:val="00A10473"/>
    <w:rsid w:val="00A104F1"/>
    <w:rsid w:val="00A104F6"/>
    <w:rsid w:val="00A104FA"/>
    <w:rsid w:val="00A10593"/>
    <w:rsid w:val="00A105B5"/>
    <w:rsid w:val="00A105D4"/>
    <w:rsid w:val="00A105FB"/>
    <w:rsid w:val="00A10626"/>
    <w:rsid w:val="00A1066E"/>
    <w:rsid w:val="00A1067B"/>
    <w:rsid w:val="00A1067C"/>
    <w:rsid w:val="00A106C9"/>
    <w:rsid w:val="00A10749"/>
    <w:rsid w:val="00A10773"/>
    <w:rsid w:val="00A10775"/>
    <w:rsid w:val="00A10797"/>
    <w:rsid w:val="00A10803"/>
    <w:rsid w:val="00A10848"/>
    <w:rsid w:val="00A1087C"/>
    <w:rsid w:val="00A1092D"/>
    <w:rsid w:val="00A1093B"/>
    <w:rsid w:val="00A109B0"/>
    <w:rsid w:val="00A10A01"/>
    <w:rsid w:val="00A10A21"/>
    <w:rsid w:val="00A10A62"/>
    <w:rsid w:val="00A10A8D"/>
    <w:rsid w:val="00A10B46"/>
    <w:rsid w:val="00A10B52"/>
    <w:rsid w:val="00A10BD9"/>
    <w:rsid w:val="00A10C38"/>
    <w:rsid w:val="00A10C5A"/>
    <w:rsid w:val="00A10C68"/>
    <w:rsid w:val="00A10C85"/>
    <w:rsid w:val="00A10C9F"/>
    <w:rsid w:val="00A10D04"/>
    <w:rsid w:val="00A10D0E"/>
    <w:rsid w:val="00A10E09"/>
    <w:rsid w:val="00A10E20"/>
    <w:rsid w:val="00A10E51"/>
    <w:rsid w:val="00A10EEA"/>
    <w:rsid w:val="00A10F00"/>
    <w:rsid w:val="00A10F2D"/>
    <w:rsid w:val="00A10F51"/>
    <w:rsid w:val="00A1103E"/>
    <w:rsid w:val="00A11066"/>
    <w:rsid w:val="00A110B9"/>
    <w:rsid w:val="00A110E8"/>
    <w:rsid w:val="00A1124B"/>
    <w:rsid w:val="00A1128C"/>
    <w:rsid w:val="00A112C4"/>
    <w:rsid w:val="00A112E1"/>
    <w:rsid w:val="00A1130A"/>
    <w:rsid w:val="00A11344"/>
    <w:rsid w:val="00A1134D"/>
    <w:rsid w:val="00A11350"/>
    <w:rsid w:val="00A11363"/>
    <w:rsid w:val="00A11370"/>
    <w:rsid w:val="00A11372"/>
    <w:rsid w:val="00A11373"/>
    <w:rsid w:val="00A11385"/>
    <w:rsid w:val="00A113A2"/>
    <w:rsid w:val="00A113A9"/>
    <w:rsid w:val="00A11494"/>
    <w:rsid w:val="00A11560"/>
    <w:rsid w:val="00A115A3"/>
    <w:rsid w:val="00A116A6"/>
    <w:rsid w:val="00A116E7"/>
    <w:rsid w:val="00A116FE"/>
    <w:rsid w:val="00A11716"/>
    <w:rsid w:val="00A11778"/>
    <w:rsid w:val="00A1177E"/>
    <w:rsid w:val="00A1178A"/>
    <w:rsid w:val="00A11848"/>
    <w:rsid w:val="00A11857"/>
    <w:rsid w:val="00A1186F"/>
    <w:rsid w:val="00A1188F"/>
    <w:rsid w:val="00A118DF"/>
    <w:rsid w:val="00A118EB"/>
    <w:rsid w:val="00A11A7A"/>
    <w:rsid w:val="00A11A83"/>
    <w:rsid w:val="00A11A8F"/>
    <w:rsid w:val="00A11A9E"/>
    <w:rsid w:val="00A11AC2"/>
    <w:rsid w:val="00A11AE0"/>
    <w:rsid w:val="00A11B87"/>
    <w:rsid w:val="00A11C0E"/>
    <w:rsid w:val="00A11C54"/>
    <w:rsid w:val="00A11C77"/>
    <w:rsid w:val="00A11C81"/>
    <w:rsid w:val="00A11CFC"/>
    <w:rsid w:val="00A11D8C"/>
    <w:rsid w:val="00A11DBC"/>
    <w:rsid w:val="00A11ED7"/>
    <w:rsid w:val="00A11F05"/>
    <w:rsid w:val="00A11F16"/>
    <w:rsid w:val="00A11F3B"/>
    <w:rsid w:val="00A11F3C"/>
    <w:rsid w:val="00A11F67"/>
    <w:rsid w:val="00A11FBB"/>
    <w:rsid w:val="00A11FCC"/>
    <w:rsid w:val="00A12031"/>
    <w:rsid w:val="00A120DE"/>
    <w:rsid w:val="00A1213A"/>
    <w:rsid w:val="00A1213B"/>
    <w:rsid w:val="00A12151"/>
    <w:rsid w:val="00A122D6"/>
    <w:rsid w:val="00A12426"/>
    <w:rsid w:val="00A12497"/>
    <w:rsid w:val="00A124DD"/>
    <w:rsid w:val="00A124DF"/>
    <w:rsid w:val="00A124E1"/>
    <w:rsid w:val="00A1252E"/>
    <w:rsid w:val="00A12568"/>
    <w:rsid w:val="00A1256E"/>
    <w:rsid w:val="00A12582"/>
    <w:rsid w:val="00A125BA"/>
    <w:rsid w:val="00A125BE"/>
    <w:rsid w:val="00A12619"/>
    <w:rsid w:val="00A1265C"/>
    <w:rsid w:val="00A12662"/>
    <w:rsid w:val="00A126FC"/>
    <w:rsid w:val="00A1270C"/>
    <w:rsid w:val="00A12746"/>
    <w:rsid w:val="00A12795"/>
    <w:rsid w:val="00A1280E"/>
    <w:rsid w:val="00A12830"/>
    <w:rsid w:val="00A1286E"/>
    <w:rsid w:val="00A12896"/>
    <w:rsid w:val="00A128DD"/>
    <w:rsid w:val="00A12919"/>
    <w:rsid w:val="00A129C3"/>
    <w:rsid w:val="00A129EE"/>
    <w:rsid w:val="00A12A20"/>
    <w:rsid w:val="00A12B50"/>
    <w:rsid w:val="00A12BBF"/>
    <w:rsid w:val="00A12BEB"/>
    <w:rsid w:val="00A12C0E"/>
    <w:rsid w:val="00A12CE6"/>
    <w:rsid w:val="00A12E0A"/>
    <w:rsid w:val="00A12E2B"/>
    <w:rsid w:val="00A12E2F"/>
    <w:rsid w:val="00A12EA2"/>
    <w:rsid w:val="00A12EAC"/>
    <w:rsid w:val="00A12ECF"/>
    <w:rsid w:val="00A12ED5"/>
    <w:rsid w:val="00A12F62"/>
    <w:rsid w:val="00A12FD0"/>
    <w:rsid w:val="00A13009"/>
    <w:rsid w:val="00A1300B"/>
    <w:rsid w:val="00A13043"/>
    <w:rsid w:val="00A1305B"/>
    <w:rsid w:val="00A1311F"/>
    <w:rsid w:val="00A13120"/>
    <w:rsid w:val="00A1313F"/>
    <w:rsid w:val="00A131BC"/>
    <w:rsid w:val="00A131E5"/>
    <w:rsid w:val="00A13260"/>
    <w:rsid w:val="00A1326C"/>
    <w:rsid w:val="00A13324"/>
    <w:rsid w:val="00A1332D"/>
    <w:rsid w:val="00A133A5"/>
    <w:rsid w:val="00A133D3"/>
    <w:rsid w:val="00A13455"/>
    <w:rsid w:val="00A1345B"/>
    <w:rsid w:val="00A1345F"/>
    <w:rsid w:val="00A1347D"/>
    <w:rsid w:val="00A1352F"/>
    <w:rsid w:val="00A1360C"/>
    <w:rsid w:val="00A13654"/>
    <w:rsid w:val="00A136EA"/>
    <w:rsid w:val="00A1380E"/>
    <w:rsid w:val="00A1386D"/>
    <w:rsid w:val="00A1388E"/>
    <w:rsid w:val="00A138AB"/>
    <w:rsid w:val="00A138C8"/>
    <w:rsid w:val="00A138E4"/>
    <w:rsid w:val="00A138EC"/>
    <w:rsid w:val="00A138F6"/>
    <w:rsid w:val="00A13912"/>
    <w:rsid w:val="00A139C9"/>
    <w:rsid w:val="00A13A21"/>
    <w:rsid w:val="00A13A34"/>
    <w:rsid w:val="00A13A8C"/>
    <w:rsid w:val="00A13B3A"/>
    <w:rsid w:val="00A13B57"/>
    <w:rsid w:val="00A13B70"/>
    <w:rsid w:val="00A13B91"/>
    <w:rsid w:val="00A13BA4"/>
    <w:rsid w:val="00A13BD1"/>
    <w:rsid w:val="00A13C1C"/>
    <w:rsid w:val="00A13CF1"/>
    <w:rsid w:val="00A13D14"/>
    <w:rsid w:val="00A13D49"/>
    <w:rsid w:val="00A13D91"/>
    <w:rsid w:val="00A13E19"/>
    <w:rsid w:val="00A13E3D"/>
    <w:rsid w:val="00A13E5D"/>
    <w:rsid w:val="00A13EC9"/>
    <w:rsid w:val="00A13FA9"/>
    <w:rsid w:val="00A14015"/>
    <w:rsid w:val="00A14055"/>
    <w:rsid w:val="00A140AB"/>
    <w:rsid w:val="00A140B6"/>
    <w:rsid w:val="00A141A7"/>
    <w:rsid w:val="00A141BF"/>
    <w:rsid w:val="00A141C4"/>
    <w:rsid w:val="00A141CC"/>
    <w:rsid w:val="00A141CD"/>
    <w:rsid w:val="00A14207"/>
    <w:rsid w:val="00A1423E"/>
    <w:rsid w:val="00A142DC"/>
    <w:rsid w:val="00A1432B"/>
    <w:rsid w:val="00A14346"/>
    <w:rsid w:val="00A14372"/>
    <w:rsid w:val="00A14375"/>
    <w:rsid w:val="00A14386"/>
    <w:rsid w:val="00A1438E"/>
    <w:rsid w:val="00A14394"/>
    <w:rsid w:val="00A143CC"/>
    <w:rsid w:val="00A143D9"/>
    <w:rsid w:val="00A1442B"/>
    <w:rsid w:val="00A1444F"/>
    <w:rsid w:val="00A14464"/>
    <w:rsid w:val="00A14484"/>
    <w:rsid w:val="00A144A1"/>
    <w:rsid w:val="00A144CB"/>
    <w:rsid w:val="00A14505"/>
    <w:rsid w:val="00A1457D"/>
    <w:rsid w:val="00A1462A"/>
    <w:rsid w:val="00A14633"/>
    <w:rsid w:val="00A1465A"/>
    <w:rsid w:val="00A14666"/>
    <w:rsid w:val="00A146B8"/>
    <w:rsid w:val="00A146F6"/>
    <w:rsid w:val="00A1473B"/>
    <w:rsid w:val="00A1476A"/>
    <w:rsid w:val="00A147AD"/>
    <w:rsid w:val="00A147E9"/>
    <w:rsid w:val="00A147EB"/>
    <w:rsid w:val="00A14828"/>
    <w:rsid w:val="00A14831"/>
    <w:rsid w:val="00A1483B"/>
    <w:rsid w:val="00A148C6"/>
    <w:rsid w:val="00A14972"/>
    <w:rsid w:val="00A149BA"/>
    <w:rsid w:val="00A149C1"/>
    <w:rsid w:val="00A149CB"/>
    <w:rsid w:val="00A14A0E"/>
    <w:rsid w:val="00A14A13"/>
    <w:rsid w:val="00A14AC8"/>
    <w:rsid w:val="00A14B1F"/>
    <w:rsid w:val="00A14B41"/>
    <w:rsid w:val="00A14B77"/>
    <w:rsid w:val="00A14BF8"/>
    <w:rsid w:val="00A14C03"/>
    <w:rsid w:val="00A14C05"/>
    <w:rsid w:val="00A14C1D"/>
    <w:rsid w:val="00A14C43"/>
    <w:rsid w:val="00A14C64"/>
    <w:rsid w:val="00A14C97"/>
    <w:rsid w:val="00A14CCA"/>
    <w:rsid w:val="00A14CF6"/>
    <w:rsid w:val="00A14D5B"/>
    <w:rsid w:val="00A14D6D"/>
    <w:rsid w:val="00A14D72"/>
    <w:rsid w:val="00A14D9B"/>
    <w:rsid w:val="00A14DAA"/>
    <w:rsid w:val="00A14DEA"/>
    <w:rsid w:val="00A14E35"/>
    <w:rsid w:val="00A14E41"/>
    <w:rsid w:val="00A14E6D"/>
    <w:rsid w:val="00A14EB4"/>
    <w:rsid w:val="00A14EFB"/>
    <w:rsid w:val="00A14F09"/>
    <w:rsid w:val="00A14F2B"/>
    <w:rsid w:val="00A14F49"/>
    <w:rsid w:val="00A14FE9"/>
    <w:rsid w:val="00A15048"/>
    <w:rsid w:val="00A1508B"/>
    <w:rsid w:val="00A150E7"/>
    <w:rsid w:val="00A150EE"/>
    <w:rsid w:val="00A151FB"/>
    <w:rsid w:val="00A15257"/>
    <w:rsid w:val="00A15312"/>
    <w:rsid w:val="00A15314"/>
    <w:rsid w:val="00A15362"/>
    <w:rsid w:val="00A15369"/>
    <w:rsid w:val="00A15392"/>
    <w:rsid w:val="00A1539E"/>
    <w:rsid w:val="00A153C4"/>
    <w:rsid w:val="00A1542F"/>
    <w:rsid w:val="00A15485"/>
    <w:rsid w:val="00A1548E"/>
    <w:rsid w:val="00A154CC"/>
    <w:rsid w:val="00A154E6"/>
    <w:rsid w:val="00A1554D"/>
    <w:rsid w:val="00A155A6"/>
    <w:rsid w:val="00A155AB"/>
    <w:rsid w:val="00A155F0"/>
    <w:rsid w:val="00A1563B"/>
    <w:rsid w:val="00A1567F"/>
    <w:rsid w:val="00A1569C"/>
    <w:rsid w:val="00A156B7"/>
    <w:rsid w:val="00A156ED"/>
    <w:rsid w:val="00A15706"/>
    <w:rsid w:val="00A15763"/>
    <w:rsid w:val="00A15786"/>
    <w:rsid w:val="00A15886"/>
    <w:rsid w:val="00A158CA"/>
    <w:rsid w:val="00A15939"/>
    <w:rsid w:val="00A1594D"/>
    <w:rsid w:val="00A1597C"/>
    <w:rsid w:val="00A15A58"/>
    <w:rsid w:val="00A15A67"/>
    <w:rsid w:val="00A15AD9"/>
    <w:rsid w:val="00A15AE1"/>
    <w:rsid w:val="00A15B22"/>
    <w:rsid w:val="00A15B57"/>
    <w:rsid w:val="00A15B65"/>
    <w:rsid w:val="00A15B6E"/>
    <w:rsid w:val="00A15B98"/>
    <w:rsid w:val="00A15BCE"/>
    <w:rsid w:val="00A15BE7"/>
    <w:rsid w:val="00A15C06"/>
    <w:rsid w:val="00A15C33"/>
    <w:rsid w:val="00A15CBC"/>
    <w:rsid w:val="00A15D1D"/>
    <w:rsid w:val="00A15D51"/>
    <w:rsid w:val="00A15D6D"/>
    <w:rsid w:val="00A15DC8"/>
    <w:rsid w:val="00A15E14"/>
    <w:rsid w:val="00A15F59"/>
    <w:rsid w:val="00A15FA9"/>
    <w:rsid w:val="00A15FB2"/>
    <w:rsid w:val="00A15FB8"/>
    <w:rsid w:val="00A160E4"/>
    <w:rsid w:val="00A161F5"/>
    <w:rsid w:val="00A16264"/>
    <w:rsid w:val="00A162D6"/>
    <w:rsid w:val="00A162DB"/>
    <w:rsid w:val="00A162F6"/>
    <w:rsid w:val="00A1631C"/>
    <w:rsid w:val="00A1633F"/>
    <w:rsid w:val="00A1636C"/>
    <w:rsid w:val="00A1637E"/>
    <w:rsid w:val="00A163C7"/>
    <w:rsid w:val="00A163DB"/>
    <w:rsid w:val="00A16418"/>
    <w:rsid w:val="00A16429"/>
    <w:rsid w:val="00A1642F"/>
    <w:rsid w:val="00A164B0"/>
    <w:rsid w:val="00A164FE"/>
    <w:rsid w:val="00A16510"/>
    <w:rsid w:val="00A1651E"/>
    <w:rsid w:val="00A16570"/>
    <w:rsid w:val="00A165AE"/>
    <w:rsid w:val="00A165D6"/>
    <w:rsid w:val="00A1661C"/>
    <w:rsid w:val="00A166AB"/>
    <w:rsid w:val="00A166BD"/>
    <w:rsid w:val="00A1672D"/>
    <w:rsid w:val="00A16768"/>
    <w:rsid w:val="00A1678C"/>
    <w:rsid w:val="00A167DC"/>
    <w:rsid w:val="00A1680C"/>
    <w:rsid w:val="00A16821"/>
    <w:rsid w:val="00A168B1"/>
    <w:rsid w:val="00A168B6"/>
    <w:rsid w:val="00A168B9"/>
    <w:rsid w:val="00A168F1"/>
    <w:rsid w:val="00A16929"/>
    <w:rsid w:val="00A16936"/>
    <w:rsid w:val="00A1693F"/>
    <w:rsid w:val="00A16990"/>
    <w:rsid w:val="00A169C1"/>
    <w:rsid w:val="00A169DE"/>
    <w:rsid w:val="00A169F1"/>
    <w:rsid w:val="00A16A01"/>
    <w:rsid w:val="00A16AD5"/>
    <w:rsid w:val="00A16AFF"/>
    <w:rsid w:val="00A16B05"/>
    <w:rsid w:val="00A16B59"/>
    <w:rsid w:val="00A16B71"/>
    <w:rsid w:val="00A16B9D"/>
    <w:rsid w:val="00A16BCE"/>
    <w:rsid w:val="00A16BED"/>
    <w:rsid w:val="00A16C08"/>
    <w:rsid w:val="00A16C46"/>
    <w:rsid w:val="00A16D0C"/>
    <w:rsid w:val="00A16D98"/>
    <w:rsid w:val="00A16D9D"/>
    <w:rsid w:val="00A16DED"/>
    <w:rsid w:val="00A16E4F"/>
    <w:rsid w:val="00A16E9B"/>
    <w:rsid w:val="00A16EBB"/>
    <w:rsid w:val="00A16ED5"/>
    <w:rsid w:val="00A16EDC"/>
    <w:rsid w:val="00A16FCA"/>
    <w:rsid w:val="00A16FE1"/>
    <w:rsid w:val="00A170A7"/>
    <w:rsid w:val="00A17127"/>
    <w:rsid w:val="00A17131"/>
    <w:rsid w:val="00A1714B"/>
    <w:rsid w:val="00A17178"/>
    <w:rsid w:val="00A1721E"/>
    <w:rsid w:val="00A1728B"/>
    <w:rsid w:val="00A172B7"/>
    <w:rsid w:val="00A172F9"/>
    <w:rsid w:val="00A17314"/>
    <w:rsid w:val="00A17356"/>
    <w:rsid w:val="00A1738A"/>
    <w:rsid w:val="00A173C1"/>
    <w:rsid w:val="00A173E3"/>
    <w:rsid w:val="00A173E6"/>
    <w:rsid w:val="00A173F4"/>
    <w:rsid w:val="00A17426"/>
    <w:rsid w:val="00A17427"/>
    <w:rsid w:val="00A17432"/>
    <w:rsid w:val="00A17435"/>
    <w:rsid w:val="00A17462"/>
    <w:rsid w:val="00A174A7"/>
    <w:rsid w:val="00A17514"/>
    <w:rsid w:val="00A175C0"/>
    <w:rsid w:val="00A1762D"/>
    <w:rsid w:val="00A17682"/>
    <w:rsid w:val="00A176E2"/>
    <w:rsid w:val="00A17718"/>
    <w:rsid w:val="00A17729"/>
    <w:rsid w:val="00A17811"/>
    <w:rsid w:val="00A178A9"/>
    <w:rsid w:val="00A178AF"/>
    <w:rsid w:val="00A178CD"/>
    <w:rsid w:val="00A1795E"/>
    <w:rsid w:val="00A17A1A"/>
    <w:rsid w:val="00A17A26"/>
    <w:rsid w:val="00A17A40"/>
    <w:rsid w:val="00A17A9F"/>
    <w:rsid w:val="00A17AAF"/>
    <w:rsid w:val="00A17AB4"/>
    <w:rsid w:val="00A17AE6"/>
    <w:rsid w:val="00A17AED"/>
    <w:rsid w:val="00A17B30"/>
    <w:rsid w:val="00A17B5D"/>
    <w:rsid w:val="00A17B87"/>
    <w:rsid w:val="00A17BB0"/>
    <w:rsid w:val="00A17BBF"/>
    <w:rsid w:val="00A17C1B"/>
    <w:rsid w:val="00A17C21"/>
    <w:rsid w:val="00A17C50"/>
    <w:rsid w:val="00A17C93"/>
    <w:rsid w:val="00A17CBF"/>
    <w:rsid w:val="00A17CDE"/>
    <w:rsid w:val="00A17D07"/>
    <w:rsid w:val="00A17DBF"/>
    <w:rsid w:val="00A17E0F"/>
    <w:rsid w:val="00A17E18"/>
    <w:rsid w:val="00A17E54"/>
    <w:rsid w:val="00A17E5A"/>
    <w:rsid w:val="00A17E8A"/>
    <w:rsid w:val="00A17E8E"/>
    <w:rsid w:val="00A17F1C"/>
    <w:rsid w:val="00A17F26"/>
    <w:rsid w:val="00A17F4B"/>
    <w:rsid w:val="00A17FC8"/>
    <w:rsid w:val="00A2009B"/>
    <w:rsid w:val="00A20112"/>
    <w:rsid w:val="00A20142"/>
    <w:rsid w:val="00A20174"/>
    <w:rsid w:val="00A20178"/>
    <w:rsid w:val="00A20184"/>
    <w:rsid w:val="00A2018D"/>
    <w:rsid w:val="00A2018E"/>
    <w:rsid w:val="00A201E9"/>
    <w:rsid w:val="00A201F1"/>
    <w:rsid w:val="00A2022A"/>
    <w:rsid w:val="00A20250"/>
    <w:rsid w:val="00A2028C"/>
    <w:rsid w:val="00A202D6"/>
    <w:rsid w:val="00A202FF"/>
    <w:rsid w:val="00A20347"/>
    <w:rsid w:val="00A20386"/>
    <w:rsid w:val="00A203AD"/>
    <w:rsid w:val="00A20408"/>
    <w:rsid w:val="00A2044D"/>
    <w:rsid w:val="00A2045E"/>
    <w:rsid w:val="00A2052C"/>
    <w:rsid w:val="00A206C2"/>
    <w:rsid w:val="00A2079D"/>
    <w:rsid w:val="00A2080E"/>
    <w:rsid w:val="00A20945"/>
    <w:rsid w:val="00A20953"/>
    <w:rsid w:val="00A20977"/>
    <w:rsid w:val="00A20A89"/>
    <w:rsid w:val="00A20AFB"/>
    <w:rsid w:val="00A20B1C"/>
    <w:rsid w:val="00A20B30"/>
    <w:rsid w:val="00A20B57"/>
    <w:rsid w:val="00A20BC1"/>
    <w:rsid w:val="00A20C37"/>
    <w:rsid w:val="00A20C51"/>
    <w:rsid w:val="00A20CD7"/>
    <w:rsid w:val="00A20D3B"/>
    <w:rsid w:val="00A20D47"/>
    <w:rsid w:val="00A20D7F"/>
    <w:rsid w:val="00A20D92"/>
    <w:rsid w:val="00A20DB0"/>
    <w:rsid w:val="00A20DE2"/>
    <w:rsid w:val="00A20E2B"/>
    <w:rsid w:val="00A20E30"/>
    <w:rsid w:val="00A20E7A"/>
    <w:rsid w:val="00A20E9D"/>
    <w:rsid w:val="00A20EE5"/>
    <w:rsid w:val="00A20F3E"/>
    <w:rsid w:val="00A20FA7"/>
    <w:rsid w:val="00A20FC5"/>
    <w:rsid w:val="00A20FC6"/>
    <w:rsid w:val="00A20FCF"/>
    <w:rsid w:val="00A21004"/>
    <w:rsid w:val="00A21040"/>
    <w:rsid w:val="00A2104A"/>
    <w:rsid w:val="00A2104B"/>
    <w:rsid w:val="00A21076"/>
    <w:rsid w:val="00A21110"/>
    <w:rsid w:val="00A21126"/>
    <w:rsid w:val="00A21147"/>
    <w:rsid w:val="00A211A7"/>
    <w:rsid w:val="00A211D8"/>
    <w:rsid w:val="00A212C7"/>
    <w:rsid w:val="00A212DF"/>
    <w:rsid w:val="00A21320"/>
    <w:rsid w:val="00A2135B"/>
    <w:rsid w:val="00A21368"/>
    <w:rsid w:val="00A213B7"/>
    <w:rsid w:val="00A21438"/>
    <w:rsid w:val="00A214FE"/>
    <w:rsid w:val="00A21514"/>
    <w:rsid w:val="00A2152B"/>
    <w:rsid w:val="00A2154C"/>
    <w:rsid w:val="00A21560"/>
    <w:rsid w:val="00A215A1"/>
    <w:rsid w:val="00A216EB"/>
    <w:rsid w:val="00A2174E"/>
    <w:rsid w:val="00A217A6"/>
    <w:rsid w:val="00A217DD"/>
    <w:rsid w:val="00A218C8"/>
    <w:rsid w:val="00A21900"/>
    <w:rsid w:val="00A21911"/>
    <w:rsid w:val="00A2192C"/>
    <w:rsid w:val="00A219C9"/>
    <w:rsid w:val="00A21A8B"/>
    <w:rsid w:val="00A21AD1"/>
    <w:rsid w:val="00A21B66"/>
    <w:rsid w:val="00A21B81"/>
    <w:rsid w:val="00A21BD0"/>
    <w:rsid w:val="00A21BDA"/>
    <w:rsid w:val="00A21CA5"/>
    <w:rsid w:val="00A21CBB"/>
    <w:rsid w:val="00A21CD7"/>
    <w:rsid w:val="00A21CF9"/>
    <w:rsid w:val="00A21D07"/>
    <w:rsid w:val="00A21D08"/>
    <w:rsid w:val="00A21D18"/>
    <w:rsid w:val="00A21D7B"/>
    <w:rsid w:val="00A21DF0"/>
    <w:rsid w:val="00A21E03"/>
    <w:rsid w:val="00A21E13"/>
    <w:rsid w:val="00A21E36"/>
    <w:rsid w:val="00A21E39"/>
    <w:rsid w:val="00A21E8B"/>
    <w:rsid w:val="00A21F05"/>
    <w:rsid w:val="00A21F76"/>
    <w:rsid w:val="00A21FB0"/>
    <w:rsid w:val="00A21FB4"/>
    <w:rsid w:val="00A22033"/>
    <w:rsid w:val="00A22045"/>
    <w:rsid w:val="00A22094"/>
    <w:rsid w:val="00A22095"/>
    <w:rsid w:val="00A22129"/>
    <w:rsid w:val="00A22199"/>
    <w:rsid w:val="00A2219C"/>
    <w:rsid w:val="00A221AB"/>
    <w:rsid w:val="00A22244"/>
    <w:rsid w:val="00A22246"/>
    <w:rsid w:val="00A222E1"/>
    <w:rsid w:val="00A22359"/>
    <w:rsid w:val="00A22373"/>
    <w:rsid w:val="00A22393"/>
    <w:rsid w:val="00A2240B"/>
    <w:rsid w:val="00A22421"/>
    <w:rsid w:val="00A2245E"/>
    <w:rsid w:val="00A224A9"/>
    <w:rsid w:val="00A224BC"/>
    <w:rsid w:val="00A2258E"/>
    <w:rsid w:val="00A22594"/>
    <w:rsid w:val="00A22608"/>
    <w:rsid w:val="00A2274E"/>
    <w:rsid w:val="00A22750"/>
    <w:rsid w:val="00A2275D"/>
    <w:rsid w:val="00A22912"/>
    <w:rsid w:val="00A22914"/>
    <w:rsid w:val="00A22958"/>
    <w:rsid w:val="00A22968"/>
    <w:rsid w:val="00A2296D"/>
    <w:rsid w:val="00A22A25"/>
    <w:rsid w:val="00A22AC6"/>
    <w:rsid w:val="00A22AE8"/>
    <w:rsid w:val="00A22B03"/>
    <w:rsid w:val="00A22B98"/>
    <w:rsid w:val="00A22B9B"/>
    <w:rsid w:val="00A22B9C"/>
    <w:rsid w:val="00A22B9D"/>
    <w:rsid w:val="00A22BBF"/>
    <w:rsid w:val="00A22BE4"/>
    <w:rsid w:val="00A22C93"/>
    <w:rsid w:val="00A22CCB"/>
    <w:rsid w:val="00A22E11"/>
    <w:rsid w:val="00A22E6A"/>
    <w:rsid w:val="00A22EBB"/>
    <w:rsid w:val="00A22EFC"/>
    <w:rsid w:val="00A22F0F"/>
    <w:rsid w:val="00A22F13"/>
    <w:rsid w:val="00A23018"/>
    <w:rsid w:val="00A23056"/>
    <w:rsid w:val="00A23068"/>
    <w:rsid w:val="00A230CF"/>
    <w:rsid w:val="00A23123"/>
    <w:rsid w:val="00A23155"/>
    <w:rsid w:val="00A2316E"/>
    <w:rsid w:val="00A23170"/>
    <w:rsid w:val="00A231AD"/>
    <w:rsid w:val="00A231B2"/>
    <w:rsid w:val="00A23232"/>
    <w:rsid w:val="00A2327D"/>
    <w:rsid w:val="00A2329A"/>
    <w:rsid w:val="00A232DF"/>
    <w:rsid w:val="00A23328"/>
    <w:rsid w:val="00A23352"/>
    <w:rsid w:val="00A2335E"/>
    <w:rsid w:val="00A23379"/>
    <w:rsid w:val="00A2338C"/>
    <w:rsid w:val="00A2345F"/>
    <w:rsid w:val="00A234B0"/>
    <w:rsid w:val="00A235A9"/>
    <w:rsid w:val="00A235B4"/>
    <w:rsid w:val="00A235F5"/>
    <w:rsid w:val="00A23619"/>
    <w:rsid w:val="00A23639"/>
    <w:rsid w:val="00A23675"/>
    <w:rsid w:val="00A2367E"/>
    <w:rsid w:val="00A236D3"/>
    <w:rsid w:val="00A236D6"/>
    <w:rsid w:val="00A236E5"/>
    <w:rsid w:val="00A23739"/>
    <w:rsid w:val="00A23771"/>
    <w:rsid w:val="00A238E9"/>
    <w:rsid w:val="00A23905"/>
    <w:rsid w:val="00A23910"/>
    <w:rsid w:val="00A23915"/>
    <w:rsid w:val="00A23957"/>
    <w:rsid w:val="00A2395E"/>
    <w:rsid w:val="00A2396A"/>
    <w:rsid w:val="00A239A2"/>
    <w:rsid w:val="00A239C9"/>
    <w:rsid w:val="00A23A21"/>
    <w:rsid w:val="00A23A57"/>
    <w:rsid w:val="00A23A68"/>
    <w:rsid w:val="00A23B86"/>
    <w:rsid w:val="00A23BCE"/>
    <w:rsid w:val="00A23BD5"/>
    <w:rsid w:val="00A23BF1"/>
    <w:rsid w:val="00A23C02"/>
    <w:rsid w:val="00A23CA4"/>
    <w:rsid w:val="00A23CFA"/>
    <w:rsid w:val="00A23D2F"/>
    <w:rsid w:val="00A23D3A"/>
    <w:rsid w:val="00A23E14"/>
    <w:rsid w:val="00A23E53"/>
    <w:rsid w:val="00A23ECD"/>
    <w:rsid w:val="00A23EF0"/>
    <w:rsid w:val="00A23F26"/>
    <w:rsid w:val="00A23F8C"/>
    <w:rsid w:val="00A23FE6"/>
    <w:rsid w:val="00A24005"/>
    <w:rsid w:val="00A24016"/>
    <w:rsid w:val="00A24052"/>
    <w:rsid w:val="00A2407D"/>
    <w:rsid w:val="00A240B7"/>
    <w:rsid w:val="00A240C8"/>
    <w:rsid w:val="00A2410F"/>
    <w:rsid w:val="00A24123"/>
    <w:rsid w:val="00A24135"/>
    <w:rsid w:val="00A24171"/>
    <w:rsid w:val="00A241DA"/>
    <w:rsid w:val="00A242E7"/>
    <w:rsid w:val="00A24349"/>
    <w:rsid w:val="00A24391"/>
    <w:rsid w:val="00A24438"/>
    <w:rsid w:val="00A244D3"/>
    <w:rsid w:val="00A24562"/>
    <w:rsid w:val="00A24567"/>
    <w:rsid w:val="00A245CC"/>
    <w:rsid w:val="00A2466F"/>
    <w:rsid w:val="00A24688"/>
    <w:rsid w:val="00A246B1"/>
    <w:rsid w:val="00A246B2"/>
    <w:rsid w:val="00A246BC"/>
    <w:rsid w:val="00A24774"/>
    <w:rsid w:val="00A2478A"/>
    <w:rsid w:val="00A247C9"/>
    <w:rsid w:val="00A247D1"/>
    <w:rsid w:val="00A247F8"/>
    <w:rsid w:val="00A24802"/>
    <w:rsid w:val="00A24835"/>
    <w:rsid w:val="00A24849"/>
    <w:rsid w:val="00A2485C"/>
    <w:rsid w:val="00A2485D"/>
    <w:rsid w:val="00A248E1"/>
    <w:rsid w:val="00A248F5"/>
    <w:rsid w:val="00A24963"/>
    <w:rsid w:val="00A249BE"/>
    <w:rsid w:val="00A249D5"/>
    <w:rsid w:val="00A24A46"/>
    <w:rsid w:val="00A24B04"/>
    <w:rsid w:val="00A24BFC"/>
    <w:rsid w:val="00A24C18"/>
    <w:rsid w:val="00A24C36"/>
    <w:rsid w:val="00A24C3E"/>
    <w:rsid w:val="00A24CE9"/>
    <w:rsid w:val="00A24CEC"/>
    <w:rsid w:val="00A24D1E"/>
    <w:rsid w:val="00A24DA9"/>
    <w:rsid w:val="00A24DC8"/>
    <w:rsid w:val="00A24DE2"/>
    <w:rsid w:val="00A24E26"/>
    <w:rsid w:val="00A24EA3"/>
    <w:rsid w:val="00A24FB0"/>
    <w:rsid w:val="00A24FB5"/>
    <w:rsid w:val="00A2512D"/>
    <w:rsid w:val="00A2516E"/>
    <w:rsid w:val="00A25184"/>
    <w:rsid w:val="00A251B6"/>
    <w:rsid w:val="00A251D8"/>
    <w:rsid w:val="00A2522B"/>
    <w:rsid w:val="00A25262"/>
    <w:rsid w:val="00A252A2"/>
    <w:rsid w:val="00A25303"/>
    <w:rsid w:val="00A25304"/>
    <w:rsid w:val="00A2532E"/>
    <w:rsid w:val="00A25372"/>
    <w:rsid w:val="00A25395"/>
    <w:rsid w:val="00A253E1"/>
    <w:rsid w:val="00A253E7"/>
    <w:rsid w:val="00A2542F"/>
    <w:rsid w:val="00A254DD"/>
    <w:rsid w:val="00A25505"/>
    <w:rsid w:val="00A2550D"/>
    <w:rsid w:val="00A25521"/>
    <w:rsid w:val="00A2557A"/>
    <w:rsid w:val="00A2559C"/>
    <w:rsid w:val="00A2569D"/>
    <w:rsid w:val="00A256E0"/>
    <w:rsid w:val="00A2576A"/>
    <w:rsid w:val="00A2579F"/>
    <w:rsid w:val="00A257AF"/>
    <w:rsid w:val="00A257CE"/>
    <w:rsid w:val="00A2580D"/>
    <w:rsid w:val="00A25862"/>
    <w:rsid w:val="00A258A9"/>
    <w:rsid w:val="00A258B0"/>
    <w:rsid w:val="00A258D2"/>
    <w:rsid w:val="00A258D9"/>
    <w:rsid w:val="00A25922"/>
    <w:rsid w:val="00A2592B"/>
    <w:rsid w:val="00A25962"/>
    <w:rsid w:val="00A25A21"/>
    <w:rsid w:val="00A25A25"/>
    <w:rsid w:val="00A25A9B"/>
    <w:rsid w:val="00A25ACD"/>
    <w:rsid w:val="00A25B60"/>
    <w:rsid w:val="00A25C94"/>
    <w:rsid w:val="00A25C95"/>
    <w:rsid w:val="00A25CAD"/>
    <w:rsid w:val="00A25D18"/>
    <w:rsid w:val="00A25D64"/>
    <w:rsid w:val="00A25D68"/>
    <w:rsid w:val="00A25DAE"/>
    <w:rsid w:val="00A25DB3"/>
    <w:rsid w:val="00A25DE9"/>
    <w:rsid w:val="00A25DFA"/>
    <w:rsid w:val="00A25E17"/>
    <w:rsid w:val="00A25E4C"/>
    <w:rsid w:val="00A25E64"/>
    <w:rsid w:val="00A25E6F"/>
    <w:rsid w:val="00A25E86"/>
    <w:rsid w:val="00A25ED9"/>
    <w:rsid w:val="00A25FB0"/>
    <w:rsid w:val="00A25FF7"/>
    <w:rsid w:val="00A26082"/>
    <w:rsid w:val="00A26202"/>
    <w:rsid w:val="00A26262"/>
    <w:rsid w:val="00A26295"/>
    <w:rsid w:val="00A26297"/>
    <w:rsid w:val="00A262E4"/>
    <w:rsid w:val="00A26360"/>
    <w:rsid w:val="00A2636C"/>
    <w:rsid w:val="00A2637A"/>
    <w:rsid w:val="00A2637B"/>
    <w:rsid w:val="00A26380"/>
    <w:rsid w:val="00A26398"/>
    <w:rsid w:val="00A26451"/>
    <w:rsid w:val="00A26458"/>
    <w:rsid w:val="00A264B3"/>
    <w:rsid w:val="00A26567"/>
    <w:rsid w:val="00A26591"/>
    <w:rsid w:val="00A26638"/>
    <w:rsid w:val="00A2667C"/>
    <w:rsid w:val="00A26699"/>
    <w:rsid w:val="00A266A0"/>
    <w:rsid w:val="00A266D1"/>
    <w:rsid w:val="00A266E2"/>
    <w:rsid w:val="00A2675F"/>
    <w:rsid w:val="00A2677B"/>
    <w:rsid w:val="00A267A3"/>
    <w:rsid w:val="00A267DC"/>
    <w:rsid w:val="00A267EF"/>
    <w:rsid w:val="00A26843"/>
    <w:rsid w:val="00A26848"/>
    <w:rsid w:val="00A2686F"/>
    <w:rsid w:val="00A26878"/>
    <w:rsid w:val="00A26908"/>
    <w:rsid w:val="00A26943"/>
    <w:rsid w:val="00A26979"/>
    <w:rsid w:val="00A269E1"/>
    <w:rsid w:val="00A269F6"/>
    <w:rsid w:val="00A26A06"/>
    <w:rsid w:val="00A26A18"/>
    <w:rsid w:val="00A26A46"/>
    <w:rsid w:val="00A26A9F"/>
    <w:rsid w:val="00A26AD8"/>
    <w:rsid w:val="00A26AEB"/>
    <w:rsid w:val="00A26B08"/>
    <w:rsid w:val="00A26B23"/>
    <w:rsid w:val="00A26B40"/>
    <w:rsid w:val="00A26C4E"/>
    <w:rsid w:val="00A26C72"/>
    <w:rsid w:val="00A26C9A"/>
    <w:rsid w:val="00A26CCD"/>
    <w:rsid w:val="00A26D03"/>
    <w:rsid w:val="00A26D9E"/>
    <w:rsid w:val="00A26DD0"/>
    <w:rsid w:val="00A26E0B"/>
    <w:rsid w:val="00A26EB2"/>
    <w:rsid w:val="00A26EB5"/>
    <w:rsid w:val="00A26FC9"/>
    <w:rsid w:val="00A2709E"/>
    <w:rsid w:val="00A27115"/>
    <w:rsid w:val="00A27176"/>
    <w:rsid w:val="00A27183"/>
    <w:rsid w:val="00A27199"/>
    <w:rsid w:val="00A2724B"/>
    <w:rsid w:val="00A27278"/>
    <w:rsid w:val="00A272D7"/>
    <w:rsid w:val="00A27313"/>
    <w:rsid w:val="00A27338"/>
    <w:rsid w:val="00A27386"/>
    <w:rsid w:val="00A273C5"/>
    <w:rsid w:val="00A273E8"/>
    <w:rsid w:val="00A27402"/>
    <w:rsid w:val="00A27466"/>
    <w:rsid w:val="00A2748D"/>
    <w:rsid w:val="00A27493"/>
    <w:rsid w:val="00A2749B"/>
    <w:rsid w:val="00A27523"/>
    <w:rsid w:val="00A2758A"/>
    <w:rsid w:val="00A27595"/>
    <w:rsid w:val="00A275CF"/>
    <w:rsid w:val="00A276D2"/>
    <w:rsid w:val="00A27741"/>
    <w:rsid w:val="00A2780A"/>
    <w:rsid w:val="00A27838"/>
    <w:rsid w:val="00A278D6"/>
    <w:rsid w:val="00A27901"/>
    <w:rsid w:val="00A2790B"/>
    <w:rsid w:val="00A27946"/>
    <w:rsid w:val="00A279A3"/>
    <w:rsid w:val="00A279ED"/>
    <w:rsid w:val="00A27A5A"/>
    <w:rsid w:val="00A27A81"/>
    <w:rsid w:val="00A27A88"/>
    <w:rsid w:val="00A27ACD"/>
    <w:rsid w:val="00A27BCF"/>
    <w:rsid w:val="00A27C1C"/>
    <w:rsid w:val="00A27C5A"/>
    <w:rsid w:val="00A27C84"/>
    <w:rsid w:val="00A27CDA"/>
    <w:rsid w:val="00A27D1D"/>
    <w:rsid w:val="00A27D24"/>
    <w:rsid w:val="00A27D25"/>
    <w:rsid w:val="00A27D38"/>
    <w:rsid w:val="00A27D3B"/>
    <w:rsid w:val="00A27D60"/>
    <w:rsid w:val="00A27D84"/>
    <w:rsid w:val="00A27DC0"/>
    <w:rsid w:val="00A27DCA"/>
    <w:rsid w:val="00A27DDB"/>
    <w:rsid w:val="00A27DDE"/>
    <w:rsid w:val="00A27DF5"/>
    <w:rsid w:val="00A27E6E"/>
    <w:rsid w:val="00A27ED5"/>
    <w:rsid w:val="00A27EFF"/>
    <w:rsid w:val="00A27F3A"/>
    <w:rsid w:val="00A27F84"/>
    <w:rsid w:val="00A30019"/>
    <w:rsid w:val="00A3004D"/>
    <w:rsid w:val="00A30084"/>
    <w:rsid w:val="00A300AD"/>
    <w:rsid w:val="00A30135"/>
    <w:rsid w:val="00A30137"/>
    <w:rsid w:val="00A30158"/>
    <w:rsid w:val="00A30171"/>
    <w:rsid w:val="00A30174"/>
    <w:rsid w:val="00A301AD"/>
    <w:rsid w:val="00A301C4"/>
    <w:rsid w:val="00A3022C"/>
    <w:rsid w:val="00A3027B"/>
    <w:rsid w:val="00A302B6"/>
    <w:rsid w:val="00A302E4"/>
    <w:rsid w:val="00A3031B"/>
    <w:rsid w:val="00A30320"/>
    <w:rsid w:val="00A30328"/>
    <w:rsid w:val="00A3032F"/>
    <w:rsid w:val="00A3033C"/>
    <w:rsid w:val="00A303FB"/>
    <w:rsid w:val="00A3040A"/>
    <w:rsid w:val="00A30465"/>
    <w:rsid w:val="00A30488"/>
    <w:rsid w:val="00A30494"/>
    <w:rsid w:val="00A304CE"/>
    <w:rsid w:val="00A304F8"/>
    <w:rsid w:val="00A30525"/>
    <w:rsid w:val="00A3055E"/>
    <w:rsid w:val="00A30590"/>
    <w:rsid w:val="00A305BF"/>
    <w:rsid w:val="00A305EE"/>
    <w:rsid w:val="00A305F1"/>
    <w:rsid w:val="00A30639"/>
    <w:rsid w:val="00A306A0"/>
    <w:rsid w:val="00A30719"/>
    <w:rsid w:val="00A307BD"/>
    <w:rsid w:val="00A3089D"/>
    <w:rsid w:val="00A308ED"/>
    <w:rsid w:val="00A30986"/>
    <w:rsid w:val="00A30A03"/>
    <w:rsid w:val="00A30A38"/>
    <w:rsid w:val="00A30A8D"/>
    <w:rsid w:val="00A30A9A"/>
    <w:rsid w:val="00A30AA9"/>
    <w:rsid w:val="00A30B5B"/>
    <w:rsid w:val="00A30B74"/>
    <w:rsid w:val="00A30C0A"/>
    <w:rsid w:val="00A30C0D"/>
    <w:rsid w:val="00A30C62"/>
    <w:rsid w:val="00A30D0A"/>
    <w:rsid w:val="00A30D42"/>
    <w:rsid w:val="00A30D96"/>
    <w:rsid w:val="00A30DC9"/>
    <w:rsid w:val="00A30DEC"/>
    <w:rsid w:val="00A30DFE"/>
    <w:rsid w:val="00A30E65"/>
    <w:rsid w:val="00A30E91"/>
    <w:rsid w:val="00A30FDF"/>
    <w:rsid w:val="00A30FF9"/>
    <w:rsid w:val="00A3101A"/>
    <w:rsid w:val="00A3106B"/>
    <w:rsid w:val="00A310C1"/>
    <w:rsid w:val="00A310F6"/>
    <w:rsid w:val="00A310FE"/>
    <w:rsid w:val="00A310FF"/>
    <w:rsid w:val="00A3111D"/>
    <w:rsid w:val="00A31127"/>
    <w:rsid w:val="00A31183"/>
    <w:rsid w:val="00A311AE"/>
    <w:rsid w:val="00A311BD"/>
    <w:rsid w:val="00A311DD"/>
    <w:rsid w:val="00A3121D"/>
    <w:rsid w:val="00A31248"/>
    <w:rsid w:val="00A31288"/>
    <w:rsid w:val="00A312B8"/>
    <w:rsid w:val="00A3131B"/>
    <w:rsid w:val="00A31355"/>
    <w:rsid w:val="00A3139F"/>
    <w:rsid w:val="00A313BF"/>
    <w:rsid w:val="00A3145A"/>
    <w:rsid w:val="00A31472"/>
    <w:rsid w:val="00A314A5"/>
    <w:rsid w:val="00A314FB"/>
    <w:rsid w:val="00A31556"/>
    <w:rsid w:val="00A31588"/>
    <w:rsid w:val="00A31598"/>
    <w:rsid w:val="00A315BA"/>
    <w:rsid w:val="00A315BD"/>
    <w:rsid w:val="00A315F9"/>
    <w:rsid w:val="00A3164F"/>
    <w:rsid w:val="00A3165B"/>
    <w:rsid w:val="00A316EB"/>
    <w:rsid w:val="00A31723"/>
    <w:rsid w:val="00A3178D"/>
    <w:rsid w:val="00A31790"/>
    <w:rsid w:val="00A317D8"/>
    <w:rsid w:val="00A317E2"/>
    <w:rsid w:val="00A317E9"/>
    <w:rsid w:val="00A31808"/>
    <w:rsid w:val="00A3180C"/>
    <w:rsid w:val="00A3181E"/>
    <w:rsid w:val="00A31825"/>
    <w:rsid w:val="00A3184D"/>
    <w:rsid w:val="00A31866"/>
    <w:rsid w:val="00A318DA"/>
    <w:rsid w:val="00A31907"/>
    <w:rsid w:val="00A31947"/>
    <w:rsid w:val="00A3195D"/>
    <w:rsid w:val="00A3199A"/>
    <w:rsid w:val="00A319A5"/>
    <w:rsid w:val="00A31A0E"/>
    <w:rsid w:val="00A31AE3"/>
    <w:rsid w:val="00A31B84"/>
    <w:rsid w:val="00A31BA9"/>
    <w:rsid w:val="00A31BC8"/>
    <w:rsid w:val="00A31C0F"/>
    <w:rsid w:val="00A31C98"/>
    <w:rsid w:val="00A31D00"/>
    <w:rsid w:val="00A31D6C"/>
    <w:rsid w:val="00A31E20"/>
    <w:rsid w:val="00A31E76"/>
    <w:rsid w:val="00A31EE7"/>
    <w:rsid w:val="00A31F43"/>
    <w:rsid w:val="00A32079"/>
    <w:rsid w:val="00A3208E"/>
    <w:rsid w:val="00A320A8"/>
    <w:rsid w:val="00A320B6"/>
    <w:rsid w:val="00A32108"/>
    <w:rsid w:val="00A3215E"/>
    <w:rsid w:val="00A32184"/>
    <w:rsid w:val="00A321E3"/>
    <w:rsid w:val="00A321F0"/>
    <w:rsid w:val="00A3224B"/>
    <w:rsid w:val="00A32282"/>
    <w:rsid w:val="00A32295"/>
    <w:rsid w:val="00A322AD"/>
    <w:rsid w:val="00A322D3"/>
    <w:rsid w:val="00A3232C"/>
    <w:rsid w:val="00A323FD"/>
    <w:rsid w:val="00A324A3"/>
    <w:rsid w:val="00A324BF"/>
    <w:rsid w:val="00A324CA"/>
    <w:rsid w:val="00A324FE"/>
    <w:rsid w:val="00A3253E"/>
    <w:rsid w:val="00A32552"/>
    <w:rsid w:val="00A32578"/>
    <w:rsid w:val="00A325AE"/>
    <w:rsid w:val="00A325C4"/>
    <w:rsid w:val="00A3260C"/>
    <w:rsid w:val="00A3260D"/>
    <w:rsid w:val="00A32652"/>
    <w:rsid w:val="00A3266E"/>
    <w:rsid w:val="00A326E2"/>
    <w:rsid w:val="00A32727"/>
    <w:rsid w:val="00A3272D"/>
    <w:rsid w:val="00A327C6"/>
    <w:rsid w:val="00A32843"/>
    <w:rsid w:val="00A328C1"/>
    <w:rsid w:val="00A328D8"/>
    <w:rsid w:val="00A328D9"/>
    <w:rsid w:val="00A328E0"/>
    <w:rsid w:val="00A3291A"/>
    <w:rsid w:val="00A32991"/>
    <w:rsid w:val="00A329BE"/>
    <w:rsid w:val="00A329E6"/>
    <w:rsid w:val="00A329EF"/>
    <w:rsid w:val="00A329FD"/>
    <w:rsid w:val="00A32A3F"/>
    <w:rsid w:val="00A32A47"/>
    <w:rsid w:val="00A32A55"/>
    <w:rsid w:val="00A32A56"/>
    <w:rsid w:val="00A32A99"/>
    <w:rsid w:val="00A32B07"/>
    <w:rsid w:val="00A32B12"/>
    <w:rsid w:val="00A32B2B"/>
    <w:rsid w:val="00A32B53"/>
    <w:rsid w:val="00A32B57"/>
    <w:rsid w:val="00A32BCB"/>
    <w:rsid w:val="00A32BE0"/>
    <w:rsid w:val="00A32BE8"/>
    <w:rsid w:val="00A32C39"/>
    <w:rsid w:val="00A32CF9"/>
    <w:rsid w:val="00A32D08"/>
    <w:rsid w:val="00A32D12"/>
    <w:rsid w:val="00A32D47"/>
    <w:rsid w:val="00A32DEE"/>
    <w:rsid w:val="00A32E96"/>
    <w:rsid w:val="00A32ECE"/>
    <w:rsid w:val="00A32F0F"/>
    <w:rsid w:val="00A32FC2"/>
    <w:rsid w:val="00A32FF4"/>
    <w:rsid w:val="00A33000"/>
    <w:rsid w:val="00A33062"/>
    <w:rsid w:val="00A3308B"/>
    <w:rsid w:val="00A33091"/>
    <w:rsid w:val="00A33095"/>
    <w:rsid w:val="00A3309F"/>
    <w:rsid w:val="00A33115"/>
    <w:rsid w:val="00A3313F"/>
    <w:rsid w:val="00A3318E"/>
    <w:rsid w:val="00A331B9"/>
    <w:rsid w:val="00A332DF"/>
    <w:rsid w:val="00A33355"/>
    <w:rsid w:val="00A33402"/>
    <w:rsid w:val="00A3342C"/>
    <w:rsid w:val="00A33457"/>
    <w:rsid w:val="00A334D2"/>
    <w:rsid w:val="00A33599"/>
    <w:rsid w:val="00A335FE"/>
    <w:rsid w:val="00A33612"/>
    <w:rsid w:val="00A33633"/>
    <w:rsid w:val="00A33654"/>
    <w:rsid w:val="00A336E7"/>
    <w:rsid w:val="00A336FE"/>
    <w:rsid w:val="00A33794"/>
    <w:rsid w:val="00A3383C"/>
    <w:rsid w:val="00A3386E"/>
    <w:rsid w:val="00A3389D"/>
    <w:rsid w:val="00A33959"/>
    <w:rsid w:val="00A33969"/>
    <w:rsid w:val="00A33989"/>
    <w:rsid w:val="00A339C1"/>
    <w:rsid w:val="00A339D2"/>
    <w:rsid w:val="00A33A52"/>
    <w:rsid w:val="00A33A93"/>
    <w:rsid w:val="00A33AF2"/>
    <w:rsid w:val="00A33B12"/>
    <w:rsid w:val="00A33B80"/>
    <w:rsid w:val="00A33BC8"/>
    <w:rsid w:val="00A33BE6"/>
    <w:rsid w:val="00A33BEF"/>
    <w:rsid w:val="00A33C8D"/>
    <w:rsid w:val="00A33D05"/>
    <w:rsid w:val="00A33D22"/>
    <w:rsid w:val="00A33E01"/>
    <w:rsid w:val="00A33E3C"/>
    <w:rsid w:val="00A33E6F"/>
    <w:rsid w:val="00A33F1B"/>
    <w:rsid w:val="00A33F6F"/>
    <w:rsid w:val="00A33F83"/>
    <w:rsid w:val="00A33F8C"/>
    <w:rsid w:val="00A33FDB"/>
    <w:rsid w:val="00A33FE4"/>
    <w:rsid w:val="00A340DA"/>
    <w:rsid w:val="00A34131"/>
    <w:rsid w:val="00A3416C"/>
    <w:rsid w:val="00A341A1"/>
    <w:rsid w:val="00A341DC"/>
    <w:rsid w:val="00A342B3"/>
    <w:rsid w:val="00A34371"/>
    <w:rsid w:val="00A3438E"/>
    <w:rsid w:val="00A343DB"/>
    <w:rsid w:val="00A343E5"/>
    <w:rsid w:val="00A34446"/>
    <w:rsid w:val="00A34484"/>
    <w:rsid w:val="00A344E1"/>
    <w:rsid w:val="00A3455D"/>
    <w:rsid w:val="00A345AC"/>
    <w:rsid w:val="00A345E0"/>
    <w:rsid w:val="00A345E5"/>
    <w:rsid w:val="00A34626"/>
    <w:rsid w:val="00A34674"/>
    <w:rsid w:val="00A34681"/>
    <w:rsid w:val="00A3471A"/>
    <w:rsid w:val="00A34720"/>
    <w:rsid w:val="00A34726"/>
    <w:rsid w:val="00A34769"/>
    <w:rsid w:val="00A3478A"/>
    <w:rsid w:val="00A3482F"/>
    <w:rsid w:val="00A34870"/>
    <w:rsid w:val="00A3488D"/>
    <w:rsid w:val="00A348E4"/>
    <w:rsid w:val="00A3492D"/>
    <w:rsid w:val="00A34944"/>
    <w:rsid w:val="00A34A8A"/>
    <w:rsid w:val="00A34AEA"/>
    <w:rsid w:val="00A34B0B"/>
    <w:rsid w:val="00A34B3C"/>
    <w:rsid w:val="00A34BD2"/>
    <w:rsid w:val="00A34C21"/>
    <w:rsid w:val="00A34C83"/>
    <w:rsid w:val="00A34CD8"/>
    <w:rsid w:val="00A34CDE"/>
    <w:rsid w:val="00A34D20"/>
    <w:rsid w:val="00A34D40"/>
    <w:rsid w:val="00A34DA9"/>
    <w:rsid w:val="00A34DD3"/>
    <w:rsid w:val="00A34E5D"/>
    <w:rsid w:val="00A34EDC"/>
    <w:rsid w:val="00A34EEC"/>
    <w:rsid w:val="00A34F55"/>
    <w:rsid w:val="00A34F91"/>
    <w:rsid w:val="00A35001"/>
    <w:rsid w:val="00A3502C"/>
    <w:rsid w:val="00A3508A"/>
    <w:rsid w:val="00A35092"/>
    <w:rsid w:val="00A35116"/>
    <w:rsid w:val="00A351A5"/>
    <w:rsid w:val="00A351CE"/>
    <w:rsid w:val="00A351DA"/>
    <w:rsid w:val="00A351E1"/>
    <w:rsid w:val="00A3520B"/>
    <w:rsid w:val="00A3528E"/>
    <w:rsid w:val="00A3532C"/>
    <w:rsid w:val="00A35335"/>
    <w:rsid w:val="00A35366"/>
    <w:rsid w:val="00A35403"/>
    <w:rsid w:val="00A3540F"/>
    <w:rsid w:val="00A3543E"/>
    <w:rsid w:val="00A35473"/>
    <w:rsid w:val="00A3547C"/>
    <w:rsid w:val="00A35488"/>
    <w:rsid w:val="00A35561"/>
    <w:rsid w:val="00A355B1"/>
    <w:rsid w:val="00A355BF"/>
    <w:rsid w:val="00A355EB"/>
    <w:rsid w:val="00A35647"/>
    <w:rsid w:val="00A356F2"/>
    <w:rsid w:val="00A3570D"/>
    <w:rsid w:val="00A35730"/>
    <w:rsid w:val="00A3575C"/>
    <w:rsid w:val="00A35789"/>
    <w:rsid w:val="00A35797"/>
    <w:rsid w:val="00A357CB"/>
    <w:rsid w:val="00A357D5"/>
    <w:rsid w:val="00A35807"/>
    <w:rsid w:val="00A35841"/>
    <w:rsid w:val="00A35889"/>
    <w:rsid w:val="00A35897"/>
    <w:rsid w:val="00A358DA"/>
    <w:rsid w:val="00A358EF"/>
    <w:rsid w:val="00A35914"/>
    <w:rsid w:val="00A3597C"/>
    <w:rsid w:val="00A359D4"/>
    <w:rsid w:val="00A359FA"/>
    <w:rsid w:val="00A35A15"/>
    <w:rsid w:val="00A35A4F"/>
    <w:rsid w:val="00A35A6F"/>
    <w:rsid w:val="00A35A89"/>
    <w:rsid w:val="00A35AC6"/>
    <w:rsid w:val="00A35AF2"/>
    <w:rsid w:val="00A35B5B"/>
    <w:rsid w:val="00A35B78"/>
    <w:rsid w:val="00A35B8B"/>
    <w:rsid w:val="00A35B93"/>
    <w:rsid w:val="00A35BBA"/>
    <w:rsid w:val="00A35BE1"/>
    <w:rsid w:val="00A35BE8"/>
    <w:rsid w:val="00A35C4A"/>
    <w:rsid w:val="00A35DFF"/>
    <w:rsid w:val="00A35E1D"/>
    <w:rsid w:val="00A35E75"/>
    <w:rsid w:val="00A35E9A"/>
    <w:rsid w:val="00A35EAB"/>
    <w:rsid w:val="00A35EE9"/>
    <w:rsid w:val="00A35EF6"/>
    <w:rsid w:val="00A35F73"/>
    <w:rsid w:val="00A35F77"/>
    <w:rsid w:val="00A35F88"/>
    <w:rsid w:val="00A35FDB"/>
    <w:rsid w:val="00A36011"/>
    <w:rsid w:val="00A3601E"/>
    <w:rsid w:val="00A3602D"/>
    <w:rsid w:val="00A36030"/>
    <w:rsid w:val="00A3603C"/>
    <w:rsid w:val="00A36069"/>
    <w:rsid w:val="00A3607E"/>
    <w:rsid w:val="00A3609C"/>
    <w:rsid w:val="00A360DE"/>
    <w:rsid w:val="00A360FC"/>
    <w:rsid w:val="00A3610C"/>
    <w:rsid w:val="00A361F0"/>
    <w:rsid w:val="00A36235"/>
    <w:rsid w:val="00A3623F"/>
    <w:rsid w:val="00A3624A"/>
    <w:rsid w:val="00A362BE"/>
    <w:rsid w:val="00A36326"/>
    <w:rsid w:val="00A36361"/>
    <w:rsid w:val="00A36399"/>
    <w:rsid w:val="00A363F0"/>
    <w:rsid w:val="00A3642B"/>
    <w:rsid w:val="00A364D3"/>
    <w:rsid w:val="00A364F8"/>
    <w:rsid w:val="00A3651D"/>
    <w:rsid w:val="00A36545"/>
    <w:rsid w:val="00A36573"/>
    <w:rsid w:val="00A36588"/>
    <w:rsid w:val="00A365E1"/>
    <w:rsid w:val="00A365FE"/>
    <w:rsid w:val="00A3664D"/>
    <w:rsid w:val="00A366BF"/>
    <w:rsid w:val="00A366F6"/>
    <w:rsid w:val="00A36728"/>
    <w:rsid w:val="00A367A0"/>
    <w:rsid w:val="00A367EC"/>
    <w:rsid w:val="00A36810"/>
    <w:rsid w:val="00A36850"/>
    <w:rsid w:val="00A368AB"/>
    <w:rsid w:val="00A368CD"/>
    <w:rsid w:val="00A368D4"/>
    <w:rsid w:val="00A368E4"/>
    <w:rsid w:val="00A368EE"/>
    <w:rsid w:val="00A36937"/>
    <w:rsid w:val="00A36997"/>
    <w:rsid w:val="00A369A0"/>
    <w:rsid w:val="00A369BB"/>
    <w:rsid w:val="00A36A0B"/>
    <w:rsid w:val="00A36A11"/>
    <w:rsid w:val="00A36A34"/>
    <w:rsid w:val="00A36A97"/>
    <w:rsid w:val="00A36AF4"/>
    <w:rsid w:val="00A36B55"/>
    <w:rsid w:val="00A36B69"/>
    <w:rsid w:val="00A36C02"/>
    <w:rsid w:val="00A36C27"/>
    <w:rsid w:val="00A36C69"/>
    <w:rsid w:val="00A36CBC"/>
    <w:rsid w:val="00A36CC0"/>
    <w:rsid w:val="00A36D1E"/>
    <w:rsid w:val="00A36D7D"/>
    <w:rsid w:val="00A36DAC"/>
    <w:rsid w:val="00A36DDA"/>
    <w:rsid w:val="00A36DE6"/>
    <w:rsid w:val="00A36E46"/>
    <w:rsid w:val="00A36E88"/>
    <w:rsid w:val="00A36ED9"/>
    <w:rsid w:val="00A36F5F"/>
    <w:rsid w:val="00A36FA4"/>
    <w:rsid w:val="00A36FB9"/>
    <w:rsid w:val="00A36FBA"/>
    <w:rsid w:val="00A36FE6"/>
    <w:rsid w:val="00A370C4"/>
    <w:rsid w:val="00A3712D"/>
    <w:rsid w:val="00A37141"/>
    <w:rsid w:val="00A3715A"/>
    <w:rsid w:val="00A371E6"/>
    <w:rsid w:val="00A371EA"/>
    <w:rsid w:val="00A371F8"/>
    <w:rsid w:val="00A3729F"/>
    <w:rsid w:val="00A372F3"/>
    <w:rsid w:val="00A37321"/>
    <w:rsid w:val="00A3732A"/>
    <w:rsid w:val="00A37367"/>
    <w:rsid w:val="00A3736F"/>
    <w:rsid w:val="00A3738E"/>
    <w:rsid w:val="00A37391"/>
    <w:rsid w:val="00A373CD"/>
    <w:rsid w:val="00A37484"/>
    <w:rsid w:val="00A3749B"/>
    <w:rsid w:val="00A374CA"/>
    <w:rsid w:val="00A374CD"/>
    <w:rsid w:val="00A37506"/>
    <w:rsid w:val="00A3751E"/>
    <w:rsid w:val="00A375A0"/>
    <w:rsid w:val="00A3766B"/>
    <w:rsid w:val="00A376DC"/>
    <w:rsid w:val="00A376E3"/>
    <w:rsid w:val="00A376EF"/>
    <w:rsid w:val="00A37743"/>
    <w:rsid w:val="00A3776E"/>
    <w:rsid w:val="00A37774"/>
    <w:rsid w:val="00A377B7"/>
    <w:rsid w:val="00A377CA"/>
    <w:rsid w:val="00A37892"/>
    <w:rsid w:val="00A378A3"/>
    <w:rsid w:val="00A378D3"/>
    <w:rsid w:val="00A3797B"/>
    <w:rsid w:val="00A379AC"/>
    <w:rsid w:val="00A379BE"/>
    <w:rsid w:val="00A379D3"/>
    <w:rsid w:val="00A37A09"/>
    <w:rsid w:val="00A37A91"/>
    <w:rsid w:val="00A37B1F"/>
    <w:rsid w:val="00A37B91"/>
    <w:rsid w:val="00A37B9F"/>
    <w:rsid w:val="00A37BAE"/>
    <w:rsid w:val="00A37BDA"/>
    <w:rsid w:val="00A37C2D"/>
    <w:rsid w:val="00A37C8E"/>
    <w:rsid w:val="00A37C9D"/>
    <w:rsid w:val="00A37CB2"/>
    <w:rsid w:val="00A37D2E"/>
    <w:rsid w:val="00A37D87"/>
    <w:rsid w:val="00A37D98"/>
    <w:rsid w:val="00A37E03"/>
    <w:rsid w:val="00A37E7F"/>
    <w:rsid w:val="00A37E96"/>
    <w:rsid w:val="00A37EA8"/>
    <w:rsid w:val="00A37EE6"/>
    <w:rsid w:val="00A37EFB"/>
    <w:rsid w:val="00A37FA9"/>
    <w:rsid w:val="00A37FAC"/>
    <w:rsid w:val="00A37FD6"/>
    <w:rsid w:val="00A40032"/>
    <w:rsid w:val="00A400DA"/>
    <w:rsid w:val="00A40131"/>
    <w:rsid w:val="00A40157"/>
    <w:rsid w:val="00A40175"/>
    <w:rsid w:val="00A401D7"/>
    <w:rsid w:val="00A40231"/>
    <w:rsid w:val="00A4023B"/>
    <w:rsid w:val="00A40282"/>
    <w:rsid w:val="00A40384"/>
    <w:rsid w:val="00A4038C"/>
    <w:rsid w:val="00A403F8"/>
    <w:rsid w:val="00A4040F"/>
    <w:rsid w:val="00A40413"/>
    <w:rsid w:val="00A40443"/>
    <w:rsid w:val="00A4046B"/>
    <w:rsid w:val="00A4046D"/>
    <w:rsid w:val="00A404A5"/>
    <w:rsid w:val="00A404B6"/>
    <w:rsid w:val="00A404E6"/>
    <w:rsid w:val="00A40578"/>
    <w:rsid w:val="00A40629"/>
    <w:rsid w:val="00A40640"/>
    <w:rsid w:val="00A4064D"/>
    <w:rsid w:val="00A4068E"/>
    <w:rsid w:val="00A4072E"/>
    <w:rsid w:val="00A40733"/>
    <w:rsid w:val="00A4073E"/>
    <w:rsid w:val="00A4075B"/>
    <w:rsid w:val="00A407D0"/>
    <w:rsid w:val="00A407E6"/>
    <w:rsid w:val="00A40811"/>
    <w:rsid w:val="00A40889"/>
    <w:rsid w:val="00A40890"/>
    <w:rsid w:val="00A40893"/>
    <w:rsid w:val="00A408E0"/>
    <w:rsid w:val="00A409B8"/>
    <w:rsid w:val="00A409FE"/>
    <w:rsid w:val="00A40A12"/>
    <w:rsid w:val="00A40A1A"/>
    <w:rsid w:val="00A40A4E"/>
    <w:rsid w:val="00A40A66"/>
    <w:rsid w:val="00A40AB6"/>
    <w:rsid w:val="00A40ABD"/>
    <w:rsid w:val="00A40B1B"/>
    <w:rsid w:val="00A40BF1"/>
    <w:rsid w:val="00A40BF3"/>
    <w:rsid w:val="00A40C3C"/>
    <w:rsid w:val="00A40C4F"/>
    <w:rsid w:val="00A40C61"/>
    <w:rsid w:val="00A40CC8"/>
    <w:rsid w:val="00A40CEF"/>
    <w:rsid w:val="00A40CFD"/>
    <w:rsid w:val="00A40D3C"/>
    <w:rsid w:val="00A40D4C"/>
    <w:rsid w:val="00A40D61"/>
    <w:rsid w:val="00A40DA9"/>
    <w:rsid w:val="00A40DAC"/>
    <w:rsid w:val="00A40DDD"/>
    <w:rsid w:val="00A40DE8"/>
    <w:rsid w:val="00A40E47"/>
    <w:rsid w:val="00A40E54"/>
    <w:rsid w:val="00A40E76"/>
    <w:rsid w:val="00A40EA5"/>
    <w:rsid w:val="00A40F08"/>
    <w:rsid w:val="00A40F16"/>
    <w:rsid w:val="00A40F41"/>
    <w:rsid w:val="00A40F66"/>
    <w:rsid w:val="00A40FAA"/>
    <w:rsid w:val="00A40FB5"/>
    <w:rsid w:val="00A40FD4"/>
    <w:rsid w:val="00A40FDE"/>
    <w:rsid w:val="00A40FE3"/>
    <w:rsid w:val="00A40FE7"/>
    <w:rsid w:val="00A4100C"/>
    <w:rsid w:val="00A41043"/>
    <w:rsid w:val="00A410DE"/>
    <w:rsid w:val="00A4113F"/>
    <w:rsid w:val="00A4115C"/>
    <w:rsid w:val="00A411B4"/>
    <w:rsid w:val="00A411F5"/>
    <w:rsid w:val="00A41216"/>
    <w:rsid w:val="00A41236"/>
    <w:rsid w:val="00A41240"/>
    <w:rsid w:val="00A41250"/>
    <w:rsid w:val="00A4131C"/>
    <w:rsid w:val="00A41367"/>
    <w:rsid w:val="00A413D6"/>
    <w:rsid w:val="00A4149D"/>
    <w:rsid w:val="00A414A4"/>
    <w:rsid w:val="00A41519"/>
    <w:rsid w:val="00A41552"/>
    <w:rsid w:val="00A41576"/>
    <w:rsid w:val="00A41581"/>
    <w:rsid w:val="00A41626"/>
    <w:rsid w:val="00A41656"/>
    <w:rsid w:val="00A4169F"/>
    <w:rsid w:val="00A416FD"/>
    <w:rsid w:val="00A4172A"/>
    <w:rsid w:val="00A4173E"/>
    <w:rsid w:val="00A4174A"/>
    <w:rsid w:val="00A4177A"/>
    <w:rsid w:val="00A4183D"/>
    <w:rsid w:val="00A4187A"/>
    <w:rsid w:val="00A41900"/>
    <w:rsid w:val="00A41925"/>
    <w:rsid w:val="00A4195F"/>
    <w:rsid w:val="00A4199D"/>
    <w:rsid w:val="00A419AD"/>
    <w:rsid w:val="00A419B3"/>
    <w:rsid w:val="00A419EC"/>
    <w:rsid w:val="00A41A05"/>
    <w:rsid w:val="00A41A15"/>
    <w:rsid w:val="00A41A27"/>
    <w:rsid w:val="00A41A42"/>
    <w:rsid w:val="00A41A71"/>
    <w:rsid w:val="00A41A7A"/>
    <w:rsid w:val="00A41AFB"/>
    <w:rsid w:val="00A41B3D"/>
    <w:rsid w:val="00A41B48"/>
    <w:rsid w:val="00A41B62"/>
    <w:rsid w:val="00A41B8C"/>
    <w:rsid w:val="00A41BF4"/>
    <w:rsid w:val="00A41D77"/>
    <w:rsid w:val="00A41D91"/>
    <w:rsid w:val="00A41DBD"/>
    <w:rsid w:val="00A41E34"/>
    <w:rsid w:val="00A41E67"/>
    <w:rsid w:val="00A41EB7"/>
    <w:rsid w:val="00A41EE3"/>
    <w:rsid w:val="00A41EEF"/>
    <w:rsid w:val="00A41F04"/>
    <w:rsid w:val="00A41F31"/>
    <w:rsid w:val="00A41FC6"/>
    <w:rsid w:val="00A41FDA"/>
    <w:rsid w:val="00A41FE3"/>
    <w:rsid w:val="00A4200C"/>
    <w:rsid w:val="00A4202C"/>
    <w:rsid w:val="00A42045"/>
    <w:rsid w:val="00A42047"/>
    <w:rsid w:val="00A42089"/>
    <w:rsid w:val="00A420BF"/>
    <w:rsid w:val="00A420CF"/>
    <w:rsid w:val="00A420E9"/>
    <w:rsid w:val="00A4227B"/>
    <w:rsid w:val="00A422D6"/>
    <w:rsid w:val="00A422FF"/>
    <w:rsid w:val="00A42302"/>
    <w:rsid w:val="00A42388"/>
    <w:rsid w:val="00A42391"/>
    <w:rsid w:val="00A423A6"/>
    <w:rsid w:val="00A423C8"/>
    <w:rsid w:val="00A42570"/>
    <w:rsid w:val="00A42583"/>
    <w:rsid w:val="00A425B3"/>
    <w:rsid w:val="00A42625"/>
    <w:rsid w:val="00A42639"/>
    <w:rsid w:val="00A42692"/>
    <w:rsid w:val="00A42694"/>
    <w:rsid w:val="00A426A2"/>
    <w:rsid w:val="00A426FB"/>
    <w:rsid w:val="00A42700"/>
    <w:rsid w:val="00A4270B"/>
    <w:rsid w:val="00A42740"/>
    <w:rsid w:val="00A42764"/>
    <w:rsid w:val="00A42784"/>
    <w:rsid w:val="00A427BE"/>
    <w:rsid w:val="00A427D5"/>
    <w:rsid w:val="00A4285E"/>
    <w:rsid w:val="00A42883"/>
    <w:rsid w:val="00A428A0"/>
    <w:rsid w:val="00A42A4C"/>
    <w:rsid w:val="00A42A5F"/>
    <w:rsid w:val="00A42A7F"/>
    <w:rsid w:val="00A42AAC"/>
    <w:rsid w:val="00A42AC0"/>
    <w:rsid w:val="00A42AE0"/>
    <w:rsid w:val="00A42B72"/>
    <w:rsid w:val="00A42BA2"/>
    <w:rsid w:val="00A42BD1"/>
    <w:rsid w:val="00A42BD2"/>
    <w:rsid w:val="00A42BE0"/>
    <w:rsid w:val="00A42C39"/>
    <w:rsid w:val="00A42C9B"/>
    <w:rsid w:val="00A42CA7"/>
    <w:rsid w:val="00A42D4C"/>
    <w:rsid w:val="00A42D76"/>
    <w:rsid w:val="00A42D79"/>
    <w:rsid w:val="00A42DB3"/>
    <w:rsid w:val="00A42DC0"/>
    <w:rsid w:val="00A42E19"/>
    <w:rsid w:val="00A42E22"/>
    <w:rsid w:val="00A42E7D"/>
    <w:rsid w:val="00A42F4F"/>
    <w:rsid w:val="00A42F8B"/>
    <w:rsid w:val="00A42FA0"/>
    <w:rsid w:val="00A42FA4"/>
    <w:rsid w:val="00A43006"/>
    <w:rsid w:val="00A43091"/>
    <w:rsid w:val="00A430EE"/>
    <w:rsid w:val="00A43108"/>
    <w:rsid w:val="00A4311D"/>
    <w:rsid w:val="00A43168"/>
    <w:rsid w:val="00A431BE"/>
    <w:rsid w:val="00A431E4"/>
    <w:rsid w:val="00A431E7"/>
    <w:rsid w:val="00A43219"/>
    <w:rsid w:val="00A43243"/>
    <w:rsid w:val="00A43250"/>
    <w:rsid w:val="00A4328D"/>
    <w:rsid w:val="00A4329A"/>
    <w:rsid w:val="00A432C1"/>
    <w:rsid w:val="00A432C2"/>
    <w:rsid w:val="00A432F7"/>
    <w:rsid w:val="00A43313"/>
    <w:rsid w:val="00A43386"/>
    <w:rsid w:val="00A43398"/>
    <w:rsid w:val="00A4347A"/>
    <w:rsid w:val="00A4347F"/>
    <w:rsid w:val="00A434B5"/>
    <w:rsid w:val="00A434C4"/>
    <w:rsid w:val="00A434E0"/>
    <w:rsid w:val="00A43505"/>
    <w:rsid w:val="00A4350A"/>
    <w:rsid w:val="00A4350F"/>
    <w:rsid w:val="00A4352B"/>
    <w:rsid w:val="00A4358F"/>
    <w:rsid w:val="00A43610"/>
    <w:rsid w:val="00A43663"/>
    <w:rsid w:val="00A43669"/>
    <w:rsid w:val="00A4367C"/>
    <w:rsid w:val="00A4383A"/>
    <w:rsid w:val="00A43845"/>
    <w:rsid w:val="00A438BF"/>
    <w:rsid w:val="00A438CC"/>
    <w:rsid w:val="00A438D3"/>
    <w:rsid w:val="00A438EB"/>
    <w:rsid w:val="00A439B0"/>
    <w:rsid w:val="00A439EE"/>
    <w:rsid w:val="00A439F8"/>
    <w:rsid w:val="00A43A18"/>
    <w:rsid w:val="00A43A4C"/>
    <w:rsid w:val="00A43A74"/>
    <w:rsid w:val="00A43A98"/>
    <w:rsid w:val="00A43B72"/>
    <w:rsid w:val="00A43B79"/>
    <w:rsid w:val="00A43BB0"/>
    <w:rsid w:val="00A43BDC"/>
    <w:rsid w:val="00A43C23"/>
    <w:rsid w:val="00A43D59"/>
    <w:rsid w:val="00A43DB0"/>
    <w:rsid w:val="00A43DFF"/>
    <w:rsid w:val="00A43E2E"/>
    <w:rsid w:val="00A43F02"/>
    <w:rsid w:val="00A43F8A"/>
    <w:rsid w:val="00A43FCD"/>
    <w:rsid w:val="00A44059"/>
    <w:rsid w:val="00A4408A"/>
    <w:rsid w:val="00A4411E"/>
    <w:rsid w:val="00A44177"/>
    <w:rsid w:val="00A441D9"/>
    <w:rsid w:val="00A441F7"/>
    <w:rsid w:val="00A4421C"/>
    <w:rsid w:val="00A4423F"/>
    <w:rsid w:val="00A442AE"/>
    <w:rsid w:val="00A443E1"/>
    <w:rsid w:val="00A443FC"/>
    <w:rsid w:val="00A44458"/>
    <w:rsid w:val="00A44507"/>
    <w:rsid w:val="00A44519"/>
    <w:rsid w:val="00A4462E"/>
    <w:rsid w:val="00A4464D"/>
    <w:rsid w:val="00A44672"/>
    <w:rsid w:val="00A446B9"/>
    <w:rsid w:val="00A44749"/>
    <w:rsid w:val="00A4475B"/>
    <w:rsid w:val="00A447B2"/>
    <w:rsid w:val="00A447EE"/>
    <w:rsid w:val="00A447FD"/>
    <w:rsid w:val="00A447FE"/>
    <w:rsid w:val="00A44816"/>
    <w:rsid w:val="00A4481D"/>
    <w:rsid w:val="00A4485D"/>
    <w:rsid w:val="00A44887"/>
    <w:rsid w:val="00A448AF"/>
    <w:rsid w:val="00A448DA"/>
    <w:rsid w:val="00A44962"/>
    <w:rsid w:val="00A449AD"/>
    <w:rsid w:val="00A449B3"/>
    <w:rsid w:val="00A449DF"/>
    <w:rsid w:val="00A44A35"/>
    <w:rsid w:val="00A44A8B"/>
    <w:rsid w:val="00A44AE1"/>
    <w:rsid w:val="00A44AFA"/>
    <w:rsid w:val="00A44B2F"/>
    <w:rsid w:val="00A44B49"/>
    <w:rsid w:val="00A44B61"/>
    <w:rsid w:val="00A44BF2"/>
    <w:rsid w:val="00A44C21"/>
    <w:rsid w:val="00A44CB1"/>
    <w:rsid w:val="00A44D0C"/>
    <w:rsid w:val="00A44D45"/>
    <w:rsid w:val="00A44DD0"/>
    <w:rsid w:val="00A44DEF"/>
    <w:rsid w:val="00A44E22"/>
    <w:rsid w:val="00A44E59"/>
    <w:rsid w:val="00A44E9F"/>
    <w:rsid w:val="00A44EE0"/>
    <w:rsid w:val="00A44F04"/>
    <w:rsid w:val="00A44F0C"/>
    <w:rsid w:val="00A44F57"/>
    <w:rsid w:val="00A44F71"/>
    <w:rsid w:val="00A44FBC"/>
    <w:rsid w:val="00A44FC6"/>
    <w:rsid w:val="00A45059"/>
    <w:rsid w:val="00A4509F"/>
    <w:rsid w:val="00A4511F"/>
    <w:rsid w:val="00A4516A"/>
    <w:rsid w:val="00A451EF"/>
    <w:rsid w:val="00A45207"/>
    <w:rsid w:val="00A45219"/>
    <w:rsid w:val="00A45296"/>
    <w:rsid w:val="00A452C1"/>
    <w:rsid w:val="00A452DA"/>
    <w:rsid w:val="00A452F7"/>
    <w:rsid w:val="00A45378"/>
    <w:rsid w:val="00A453BB"/>
    <w:rsid w:val="00A453BC"/>
    <w:rsid w:val="00A454A1"/>
    <w:rsid w:val="00A454C2"/>
    <w:rsid w:val="00A4551B"/>
    <w:rsid w:val="00A45556"/>
    <w:rsid w:val="00A45572"/>
    <w:rsid w:val="00A4558D"/>
    <w:rsid w:val="00A4559F"/>
    <w:rsid w:val="00A455A6"/>
    <w:rsid w:val="00A455D6"/>
    <w:rsid w:val="00A45635"/>
    <w:rsid w:val="00A45650"/>
    <w:rsid w:val="00A45659"/>
    <w:rsid w:val="00A4572C"/>
    <w:rsid w:val="00A45794"/>
    <w:rsid w:val="00A457FE"/>
    <w:rsid w:val="00A457FF"/>
    <w:rsid w:val="00A45878"/>
    <w:rsid w:val="00A458CC"/>
    <w:rsid w:val="00A458E6"/>
    <w:rsid w:val="00A458FA"/>
    <w:rsid w:val="00A458FD"/>
    <w:rsid w:val="00A45906"/>
    <w:rsid w:val="00A45912"/>
    <w:rsid w:val="00A45952"/>
    <w:rsid w:val="00A4597B"/>
    <w:rsid w:val="00A45991"/>
    <w:rsid w:val="00A459D7"/>
    <w:rsid w:val="00A459F5"/>
    <w:rsid w:val="00A45A5C"/>
    <w:rsid w:val="00A45A98"/>
    <w:rsid w:val="00A45AA8"/>
    <w:rsid w:val="00A45AD4"/>
    <w:rsid w:val="00A45AE2"/>
    <w:rsid w:val="00A45AE9"/>
    <w:rsid w:val="00A45AEB"/>
    <w:rsid w:val="00A45AFF"/>
    <w:rsid w:val="00A45B34"/>
    <w:rsid w:val="00A45BB4"/>
    <w:rsid w:val="00A45C26"/>
    <w:rsid w:val="00A45C41"/>
    <w:rsid w:val="00A45C8D"/>
    <w:rsid w:val="00A45C96"/>
    <w:rsid w:val="00A45CB0"/>
    <w:rsid w:val="00A45D03"/>
    <w:rsid w:val="00A45D10"/>
    <w:rsid w:val="00A45D11"/>
    <w:rsid w:val="00A45D56"/>
    <w:rsid w:val="00A45D5F"/>
    <w:rsid w:val="00A45D90"/>
    <w:rsid w:val="00A45D95"/>
    <w:rsid w:val="00A45D9D"/>
    <w:rsid w:val="00A45DEA"/>
    <w:rsid w:val="00A45E1C"/>
    <w:rsid w:val="00A45E4E"/>
    <w:rsid w:val="00A45EF9"/>
    <w:rsid w:val="00A45F02"/>
    <w:rsid w:val="00A45FEC"/>
    <w:rsid w:val="00A45FF2"/>
    <w:rsid w:val="00A46072"/>
    <w:rsid w:val="00A460CB"/>
    <w:rsid w:val="00A460F7"/>
    <w:rsid w:val="00A460FC"/>
    <w:rsid w:val="00A4610B"/>
    <w:rsid w:val="00A46123"/>
    <w:rsid w:val="00A461D2"/>
    <w:rsid w:val="00A46279"/>
    <w:rsid w:val="00A4628F"/>
    <w:rsid w:val="00A462E7"/>
    <w:rsid w:val="00A46319"/>
    <w:rsid w:val="00A4632A"/>
    <w:rsid w:val="00A4633C"/>
    <w:rsid w:val="00A46344"/>
    <w:rsid w:val="00A46364"/>
    <w:rsid w:val="00A4642C"/>
    <w:rsid w:val="00A46435"/>
    <w:rsid w:val="00A46437"/>
    <w:rsid w:val="00A4647B"/>
    <w:rsid w:val="00A46497"/>
    <w:rsid w:val="00A464A8"/>
    <w:rsid w:val="00A464CF"/>
    <w:rsid w:val="00A46509"/>
    <w:rsid w:val="00A46523"/>
    <w:rsid w:val="00A46526"/>
    <w:rsid w:val="00A46598"/>
    <w:rsid w:val="00A465CF"/>
    <w:rsid w:val="00A465DE"/>
    <w:rsid w:val="00A465E9"/>
    <w:rsid w:val="00A465F3"/>
    <w:rsid w:val="00A4665E"/>
    <w:rsid w:val="00A466B7"/>
    <w:rsid w:val="00A46720"/>
    <w:rsid w:val="00A4679D"/>
    <w:rsid w:val="00A467B6"/>
    <w:rsid w:val="00A467F6"/>
    <w:rsid w:val="00A46808"/>
    <w:rsid w:val="00A46835"/>
    <w:rsid w:val="00A468C1"/>
    <w:rsid w:val="00A46906"/>
    <w:rsid w:val="00A4696F"/>
    <w:rsid w:val="00A46A03"/>
    <w:rsid w:val="00A46A53"/>
    <w:rsid w:val="00A46A71"/>
    <w:rsid w:val="00A46ABA"/>
    <w:rsid w:val="00A46AD9"/>
    <w:rsid w:val="00A46AF6"/>
    <w:rsid w:val="00A46B0B"/>
    <w:rsid w:val="00A46B40"/>
    <w:rsid w:val="00A46B4A"/>
    <w:rsid w:val="00A46C68"/>
    <w:rsid w:val="00A46C69"/>
    <w:rsid w:val="00A46CBA"/>
    <w:rsid w:val="00A46DD8"/>
    <w:rsid w:val="00A46E12"/>
    <w:rsid w:val="00A46E46"/>
    <w:rsid w:val="00A46ED1"/>
    <w:rsid w:val="00A46F2D"/>
    <w:rsid w:val="00A46F61"/>
    <w:rsid w:val="00A46FC7"/>
    <w:rsid w:val="00A47099"/>
    <w:rsid w:val="00A470DF"/>
    <w:rsid w:val="00A470F4"/>
    <w:rsid w:val="00A47111"/>
    <w:rsid w:val="00A4718A"/>
    <w:rsid w:val="00A471A8"/>
    <w:rsid w:val="00A471BA"/>
    <w:rsid w:val="00A471EB"/>
    <w:rsid w:val="00A471F4"/>
    <w:rsid w:val="00A47204"/>
    <w:rsid w:val="00A4721C"/>
    <w:rsid w:val="00A47220"/>
    <w:rsid w:val="00A4722D"/>
    <w:rsid w:val="00A472FA"/>
    <w:rsid w:val="00A47321"/>
    <w:rsid w:val="00A47338"/>
    <w:rsid w:val="00A473B9"/>
    <w:rsid w:val="00A473BB"/>
    <w:rsid w:val="00A473E4"/>
    <w:rsid w:val="00A47425"/>
    <w:rsid w:val="00A4743C"/>
    <w:rsid w:val="00A47497"/>
    <w:rsid w:val="00A474C4"/>
    <w:rsid w:val="00A47587"/>
    <w:rsid w:val="00A475B3"/>
    <w:rsid w:val="00A475BB"/>
    <w:rsid w:val="00A47631"/>
    <w:rsid w:val="00A47689"/>
    <w:rsid w:val="00A4769A"/>
    <w:rsid w:val="00A4771B"/>
    <w:rsid w:val="00A47743"/>
    <w:rsid w:val="00A47797"/>
    <w:rsid w:val="00A477A7"/>
    <w:rsid w:val="00A477B4"/>
    <w:rsid w:val="00A477EC"/>
    <w:rsid w:val="00A4781A"/>
    <w:rsid w:val="00A4786A"/>
    <w:rsid w:val="00A47876"/>
    <w:rsid w:val="00A478D4"/>
    <w:rsid w:val="00A478DF"/>
    <w:rsid w:val="00A478F5"/>
    <w:rsid w:val="00A4796B"/>
    <w:rsid w:val="00A47AD1"/>
    <w:rsid w:val="00A47AF9"/>
    <w:rsid w:val="00A47B18"/>
    <w:rsid w:val="00A47B75"/>
    <w:rsid w:val="00A47B9C"/>
    <w:rsid w:val="00A47C54"/>
    <w:rsid w:val="00A47C5D"/>
    <w:rsid w:val="00A47D2F"/>
    <w:rsid w:val="00A47D7B"/>
    <w:rsid w:val="00A47DDA"/>
    <w:rsid w:val="00A47E89"/>
    <w:rsid w:val="00A47E9F"/>
    <w:rsid w:val="00A47F4F"/>
    <w:rsid w:val="00A47F64"/>
    <w:rsid w:val="00A47F99"/>
    <w:rsid w:val="00A47F9B"/>
    <w:rsid w:val="00A47FE7"/>
    <w:rsid w:val="00A5007B"/>
    <w:rsid w:val="00A50092"/>
    <w:rsid w:val="00A500C1"/>
    <w:rsid w:val="00A5013A"/>
    <w:rsid w:val="00A5017B"/>
    <w:rsid w:val="00A501A7"/>
    <w:rsid w:val="00A501E8"/>
    <w:rsid w:val="00A50207"/>
    <w:rsid w:val="00A50259"/>
    <w:rsid w:val="00A5027B"/>
    <w:rsid w:val="00A502CB"/>
    <w:rsid w:val="00A503E1"/>
    <w:rsid w:val="00A50468"/>
    <w:rsid w:val="00A5048C"/>
    <w:rsid w:val="00A50523"/>
    <w:rsid w:val="00A50531"/>
    <w:rsid w:val="00A50552"/>
    <w:rsid w:val="00A505C6"/>
    <w:rsid w:val="00A505EA"/>
    <w:rsid w:val="00A505F7"/>
    <w:rsid w:val="00A5061D"/>
    <w:rsid w:val="00A5062D"/>
    <w:rsid w:val="00A5068C"/>
    <w:rsid w:val="00A506DF"/>
    <w:rsid w:val="00A5071C"/>
    <w:rsid w:val="00A5072B"/>
    <w:rsid w:val="00A5087C"/>
    <w:rsid w:val="00A50893"/>
    <w:rsid w:val="00A508A7"/>
    <w:rsid w:val="00A508BA"/>
    <w:rsid w:val="00A508FB"/>
    <w:rsid w:val="00A5094F"/>
    <w:rsid w:val="00A50975"/>
    <w:rsid w:val="00A5098B"/>
    <w:rsid w:val="00A509AE"/>
    <w:rsid w:val="00A50A2D"/>
    <w:rsid w:val="00A50A31"/>
    <w:rsid w:val="00A50AC8"/>
    <w:rsid w:val="00A50AF6"/>
    <w:rsid w:val="00A50B8F"/>
    <w:rsid w:val="00A50B99"/>
    <w:rsid w:val="00A50BC4"/>
    <w:rsid w:val="00A50BC6"/>
    <w:rsid w:val="00A50BCE"/>
    <w:rsid w:val="00A50BD4"/>
    <w:rsid w:val="00A50C59"/>
    <w:rsid w:val="00A50C9A"/>
    <w:rsid w:val="00A50D88"/>
    <w:rsid w:val="00A50DAC"/>
    <w:rsid w:val="00A50EDB"/>
    <w:rsid w:val="00A50F63"/>
    <w:rsid w:val="00A50F65"/>
    <w:rsid w:val="00A50FAD"/>
    <w:rsid w:val="00A50FD9"/>
    <w:rsid w:val="00A5103E"/>
    <w:rsid w:val="00A5104E"/>
    <w:rsid w:val="00A51065"/>
    <w:rsid w:val="00A51099"/>
    <w:rsid w:val="00A510AA"/>
    <w:rsid w:val="00A510E3"/>
    <w:rsid w:val="00A51140"/>
    <w:rsid w:val="00A5114B"/>
    <w:rsid w:val="00A5115B"/>
    <w:rsid w:val="00A51164"/>
    <w:rsid w:val="00A511A1"/>
    <w:rsid w:val="00A511AC"/>
    <w:rsid w:val="00A51281"/>
    <w:rsid w:val="00A51331"/>
    <w:rsid w:val="00A51337"/>
    <w:rsid w:val="00A51377"/>
    <w:rsid w:val="00A51384"/>
    <w:rsid w:val="00A513A1"/>
    <w:rsid w:val="00A513B3"/>
    <w:rsid w:val="00A51405"/>
    <w:rsid w:val="00A51408"/>
    <w:rsid w:val="00A51461"/>
    <w:rsid w:val="00A5152A"/>
    <w:rsid w:val="00A51542"/>
    <w:rsid w:val="00A5154A"/>
    <w:rsid w:val="00A5156E"/>
    <w:rsid w:val="00A51579"/>
    <w:rsid w:val="00A51595"/>
    <w:rsid w:val="00A515B9"/>
    <w:rsid w:val="00A515E1"/>
    <w:rsid w:val="00A51642"/>
    <w:rsid w:val="00A51656"/>
    <w:rsid w:val="00A5165B"/>
    <w:rsid w:val="00A516A2"/>
    <w:rsid w:val="00A516BF"/>
    <w:rsid w:val="00A516C8"/>
    <w:rsid w:val="00A516E8"/>
    <w:rsid w:val="00A517BE"/>
    <w:rsid w:val="00A51832"/>
    <w:rsid w:val="00A518BD"/>
    <w:rsid w:val="00A5192A"/>
    <w:rsid w:val="00A51973"/>
    <w:rsid w:val="00A51989"/>
    <w:rsid w:val="00A519EE"/>
    <w:rsid w:val="00A51A0A"/>
    <w:rsid w:val="00A51A0E"/>
    <w:rsid w:val="00A51A15"/>
    <w:rsid w:val="00A51A35"/>
    <w:rsid w:val="00A51A98"/>
    <w:rsid w:val="00A51B45"/>
    <w:rsid w:val="00A51B69"/>
    <w:rsid w:val="00A51BD9"/>
    <w:rsid w:val="00A51BDB"/>
    <w:rsid w:val="00A51C10"/>
    <w:rsid w:val="00A51C1C"/>
    <w:rsid w:val="00A51C39"/>
    <w:rsid w:val="00A51C43"/>
    <w:rsid w:val="00A51C98"/>
    <w:rsid w:val="00A51CB0"/>
    <w:rsid w:val="00A51CB9"/>
    <w:rsid w:val="00A51CEF"/>
    <w:rsid w:val="00A51D67"/>
    <w:rsid w:val="00A51D7B"/>
    <w:rsid w:val="00A51D80"/>
    <w:rsid w:val="00A51E2B"/>
    <w:rsid w:val="00A51E45"/>
    <w:rsid w:val="00A51E64"/>
    <w:rsid w:val="00A51E70"/>
    <w:rsid w:val="00A51E99"/>
    <w:rsid w:val="00A51EC5"/>
    <w:rsid w:val="00A51EC7"/>
    <w:rsid w:val="00A51F40"/>
    <w:rsid w:val="00A51F52"/>
    <w:rsid w:val="00A51F5D"/>
    <w:rsid w:val="00A51FDA"/>
    <w:rsid w:val="00A5204D"/>
    <w:rsid w:val="00A52091"/>
    <w:rsid w:val="00A520EB"/>
    <w:rsid w:val="00A52106"/>
    <w:rsid w:val="00A521C5"/>
    <w:rsid w:val="00A5222A"/>
    <w:rsid w:val="00A5222D"/>
    <w:rsid w:val="00A5223B"/>
    <w:rsid w:val="00A5227A"/>
    <w:rsid w:val="00A5228C"/>
    <w:rsid w:val="00A522A2"/>
    <w:rsid w:val="00A522AA"/>
    <w:rsid w:val="00A523F3"/>
    <w:rsid w:val="00A5247C"/>
    <w:rsid w:val="00A52534"/>
    <w:rsid w:val="00A525E2"/>
    <w:rsid w:val="00A52611"/>
    <w:rsid w:val="00A52656"/>
    <w:rsid w:val="00A5268A"/>
    <w:rsid w:val="00A5269E"/>
    <w:rsid w:val="00A526A7"/>
    <w:rsid w:val="00A526AF"/>
    <w:rsid w:val="00A526E5"/>
    <w:rsid w:val="00A5274E"/>
    <w:rsid w:val="00A5275D"/>
    <w:rsid w:val="00A52778"/>
    <w:rsid w:val="00A5279F"/>
    <w:rsid w:val="00A527CE"/>
    <w:rsid w:val="00A52816"/>
    <w:rsid w:val="00A52880"/>
    <w:rsid w:val="00A52881"/>
    <w:rsid w:val="00A528C7"/>
    <w:rsid w:val="00A52938"/>
    <w:rsid w:val="00A52955"/>
    <w:rsid w:val="00A52969"/>
    <w:rsid w:val="00A5296D"/>
    <w:rsid w:val="00A52976"/>
    <w:rsid w:val="00A5297A"/>
    <w:rsid w:val="00A5297E"/>
    <w:rsid w:val="00A52999"/>
    <w:rsid w:val="00A529EF"/>
    <w:rsid w:val="00A52A2A"/>
    <w:rsid w:val="00A52A3C"/>
    <w:rsid w:val="00A52A81"/>
    <w:rsid w:val="00A52AA5"/>
    <w:rsid w:val="00A52AD5"/>
    <w:rsid w:val="00A52BB6"/>
    <w:rsid w:val="00A52BCB"/>
    <w:rsid w:val="00A52C6E"/>
    <w:rsid w:val="00A52C7A"/>
    <w:rsid w:val="00A52C82"/>
    <w:rsid w:val="00A52C9E"/>
    <w:rsid w:val="00A52CA3"/>
    <w:rsid w:val="00A52CDC"/>
    <w:rsid w:val="00A52CE4"/>
    <w:rsid w:val="00A52D03"/>
    <w:rsid w:val="00A52D24"/>
    <w:rsid w:val="00A52DA0"/>
    <w:rsid w:val="00A52E52"/>
    <w:rsid w:val="00A52E6E"/>
    <w:rsid w:val="00A5301A"/>
    <w:rsid w:val="00A53076"/>
    <w:rsid w:val="00A530A8"/>
    <w:rsid w:val="00A530FE"/>
    <w:rsid w:val="00A5312F"/>
    <w:rsid w:val="00A53178"/>
    <w:rsid w:val="00A53196"/>
    <w:rsid w:val="00A531C1"/>
    <w:rsid w:val="00A531F1"/>
    <w:rsid w:val="00A531FB"/>
    <w:rsid w:val="00A5324E"/>
    <w:rsid w:val="00A53276"/>
    <w:rsid w:val="00A532C8"/>
    <w:rsid w:val="00A532CC"/>
    <w:rsid w:val="00A5333E"/>
    <w:rsid w:val="00A53373"/>
    <w:rsid w:val="00A53374"/>
    <w:rsid w:val="00A5337B"/>
    <w:rsid w:val="00A533A1"/>
    <w:rsid w:val="00A533C4"/>
    <w:rsid w:val="00A533C7"/>
    <w:rsid w:val="00A53407"/>
    <w:rsid w:val="00A53469"/>
    <w:rsid w:val="00A53484"/>
    <w:rsid w:val="00A5349D"/>
    <w:rsid w:val="00A534A1"/>
    <w:rsid w:val="00A534DD"/>
    <w:rsid w:val="00A534EC"/>
    <w:rsid w:val="00A5358D"/>
    <w:rsid w:val="00A535B1"/>
    <w:rsid w:val="00A5365E"/>
    <w:rsid w:val="00A536B2"/>
    <w:rsid w:val="00A537B9"/>
    <w:rsid w:val="00A537F4"/>
    <w:rsid w:val="00A5380C"/>
    <w:rsid w:val="00A53827"/>
    <w:rsid w:val="00A53851"/>
    <w:rsid w:val="00A53860"/>
    <w:rsid w:val="00A53933"/>
    <w:rsid w:val="00A5394F"/>
    <w:rsid w:val="00A53977"/>
    <w:rsid w:val="00A539A1"/>
    <w:rsid w:val="00A539A9"/>
    <w:rsid w:val="00A539B8"/>
    <w:rsid w:val="00A53A18"/>
    <w:rsid w:val="00A53A1F"/>
    <w:rsid w:val="00A53A2A"/>
    <w:rsid w:val="00A53A4C"/>
    <w:rsid w:val="00A53A6B"/>
    <w:rsid w:val="00A53ABD"/>
    <w:rsid w:val="00A53B14"/>
    <w:rsid w:val="00A53B16"/>
    <w:rsid w:val="00A53B1F"/>
    <w:rsid w:val="00A53BFF"/>
    <w:rsid w:val="00A53C22"/>
    <w:rsid w:val="00A53CB0"/>
    <w:rsid w:val="00A53D03"/>
    <w:rsid w:val="00A53D34"/>
    <w:rsid w:val="00A53D6C"/>
    <w:rsid w:val="00A53D70"/>
    <w:rsid w:val="00A53DA4"/>
    <w:rsid w:val="00A53DE8"/>
    <w:rsid w:val="00A53DF2"/>
    <w:rsid w:val="00A53F2A"/>
    <w:rsid w:val="00A53F8D"/>
    <w:rsid w:val="00A53FB5"/>
    <w:rsid w:val="00A5402A"/>
    <w:rsid w:val="00A540AD"/>
    <w:rsid w:val="00A54195"/>
    <w:rsid w:val="00A54232"/>
    <w:rsid w:val="00A5424A"/>
    <w:rsid w:val="00A54274"/>
    <w:rsid w:val="00A54279"/>
    <w:rsid w:val="00A542C1"/>
    <w:rsid w:val="00A542CD"/>
    <w:rsid w:val="00A542DC"/>
    <w:rsid w:val="00A54318"/>
    <w:rsid w:val="00A5432E"/>
    <w:rsid w:val="00A54353"/>
    <w:rsid w:val="00A5437C"/>
    <w:rsid w:val="00A543A2"/>
    <w:rsid w:val="00A543E6"/>
    <w:rsid w:val="00A5444B"/>
    <w:rsid w:val="00A54494"/>
    <w:rsid w:val="00A54504"/>
    <w:rsid w:val="00A54528"/>
    <w:rsid w:val="00A5455C"/>
    <w:rsid w:val="00A54654"/>
    <w:rsid w:val="00A54667"/>
    <w:rsid w:val="00A54699"/>
    <w:rsid w:val="00A5478C"/>
    <w:rsid w:val="00A5479C"/>
    <w:rsid w:val="00A547C8"/>
    <w:rsid w:val="00A547E2"/>
    <w:rsid w:val="00A5485F"/>
    <w:rsid w:val="00A548C8"/>
    <w:rsid w:val="00A5491B"/>
    <w:rsid w:val="00A5499B"/>
    <w:rsid w:val="00A549B1"/>
    <w:rsid w:val="00A549B9"/>
    <w:rsid w:val="00A54A69"/>
    <w:rsid w:val="00A54A71"/>
    <w:rsid w:val="00A54A72"/>
    <w:rsid w:val="00A54A8B"/>
    <w:rsid w:val="00A54AD0"/>
    <w:rsid w:val="00A54AD9"/>
    <w:rsid w:val="00A54AEC"/>
    <w:rsid w:val="00A54B2E"/>
    <w:rsid w:val="00A54B90"/>
    <w:rsid w:val="00A54BAA"/>
    <w:rsid w:val="00A54C02"/>
    <w:rsid w:val="00A54C2C"/>
    <w:rsid w:val="00A54C2E"/>
    <w:rsid w:val="00A54C92"/>
    <w:rsid w:val="00A54D27"/>
    <w:rsid w:val="00A54DC2"/>
    <w:rsid w:val="00A54DF2"/>
    <w:rsid w:val="00A54E55"/>
    <w:rsid w:val="00A54E6E"/>
    <w:rsid w:val="00A54EA5"/>
    <w:rsid w:val="00A54ED4"/>
    <w:rsid w:val="00A54EE9"/>
    <w:rsid w:val="00A54F45"/>
    <w:rsid w:val="00A54F8E"/>
    <w:rsid w:val="00A54FB3"/>
    <w:rsid w:val="00A54FD7"/>
    <w:rsid w:val="00A54FF6"/>
    <w:rsid w:val="00A55088"/>
    <w:rsid w:val="00A5508B"/>
    <w:rsid w:val="00A550C1"/>
    <w:rsid w:val="00A55121"/>
    <w:rsid w:val="00A5513B"/>
    <w:rsid w:val="00A551A7"/>
    <w:rsid w:val="00A551B8"/>
    <w:rsid w:val="00A55270"/>
    <w:rsid w:val="00A552E9"/>
    <w:rsid w:val="00A55325"/>
    <w:rsid w:val="00A553BC"/>
    <w:rsid w:val="00A553CD"/>
    <w:rsid w:val="00A553DE"/>
    <w:rsid w:val="00A553EE"/>
    <w:rsid w:val="00A55430"/>
    <w:rsid w:val="00A55458"/>
    <w:rsid w:val="00A554D1"/>
    <w:rsid w:val="00A55580"/>
    <w:rsid w:val="00A5558E"/>
    <w:rsid w:val="00A555FE"/>
    <w:rsid w:val="00A55602"/>
    <w:rsid w:val="00A55676"/>
    <w:rsid w:val="00A556F3"/>
    <w:rsid w:val="00A556FA"/>
    <w:rsid w:val="00A55740"/>
    <w:rsid w:val="00A55777"/>
    <w:rsid w:val="00A55789"/>
    <w:rsid w:val="00A55793"/>
    <w:rsid w:val="00A5579B"/>
    <w:rsid w:val="00A557D5"/>
    <w:rsid w:val="00A557E9"/>
    <w:rsid w:val="00A557F9"/>
    <w:rsid w:val="00A55889"/>
    <w:rsid w:val="00A559FF"/>
    <w:rsid w:val="00A55A18"/>
    <w:rsid w:val="00A55A6B"/>
    <w:rsid w:val="00A55B9B"/>
    <w:rsid w:val="00A55CBE"/>
    <w:rsid w:val="00A55CCE"/>
    <w:rsid w:val="00A55CFD"/>
    <w:rsid w:val="00A55D11"/>
    <w:rsid w:val="00A55DA4"/>
    <w:rsid w:val="00A55DC9"/>
    <w:rsid w:val="00A55E23"/>
    <w:rsid w:val="00A55E2D"/>
    <w:rsid w:val="00A55E41"/>
    <w:rsid w:val="00A55E4F"/>
    <w:rsid w:val="00A55E5C"/>
    <w:rsid w:val="00A55EF6"/>
    <w:rsid w:val="00A55F05"/>
    <w:rsid w:val="00A55F0A"/>
    <w:rsid w:val="00A55F7D"/>
    <w:rsid w:val="00A55F99"/>
    <w:rsid w:val="00A55FC9"/>
    <w:rsid w:val="00A56013"/>
    <w:rsid w:val="00A56064"/>
    <w:rsid w:val="00A560E9"/>
    <w:rsid w:val="00A561AC"/>
    <w:rsid w:val="00A56291"/>
    <w:rsid w:val="00A562F1"/>
    <w:rsid w:val="00A56341"/>
    <w:rsid w:val="00A5636A"/>
    <w:rsid w:val="00A56376"/>
    <w:rsid w:val="00A5638B"/>
    <w:rsid w:val="00A563F6"/>
    <w:rsid w:val="00A564C9"/>
    <w:rsid w:val="00A564D5"/>
    <w:rsid w:val="00A56546"/>
    <w:rsid w:val="00A565A8"/>
    <w:rsid w:val="00A565C5"/>
    <w:rsid w:val="00A566D6"/>
    <w:rsid w:val="00A566EE"/>
    <w:rsid w:val="00A566FB"/>
    <w:rsid w:val="00A567C4"/>
    <w:rsid w:val="00A567CE"/>
    <w:rsid w:val="00A56842"/>
    <w:rsid w:val="00A5684A"/>
    <w:rsid w:val="00A56854"/>
    <w:rsid w:val="00A568AE"/>
    <w:rsid w:val="00A568D8"/>
    <w:rsid w:val="00A568F8"/>
    <w:rsid w:val="00A56900"/>
    <w:rsid w:val="00A5690B"/>
    <w:rsid w:val="00A5690D"/>
    <w:rsid w:val="00A56923"/>
    <w:rsid w:val="00A569F9"/>
    <w:rsid w:val="00A56AC4"/>
    <w:rsid w:val="00A56B76"/>
    <w:rsid w:val="00A56B97"/>
    <w:rsid w:val="00A56C2C"/>
    <w:rsid w:val="00A56C50"/>
    <w:rsid w:val="00A56C5C"/>
    <w:rsid w:val="00A56C6D"/>
    <w:rsid w:val="00A56C89"/>
    <w:rsid w:val="00A56C8E"/>
    <w:rsid w:val="00A56CA0"/>
    <w:rsid w:val="00A56CDE"/>
    <w:rsid w:val="00A56DA0"/>
    <w:rsid w:val="00A56DB7"/>
    <w:rsid w:val="00A56DC8"/>
    <w:rsid w:val="00A56DED"/>
    <w:rsid w:val="00A56DFD"/>
    <w:rsid w:val="00A56E27"/>
    <w:rsid w:val="00A56E49"/>
    <w:rsid w:val="00A56EEB"/>
    <w:rsid w:val="00A56F41"/>
    <w:rsid w:val="00A56FA0"/>
    <w:rsid w:val="00A56FE2"/>
    <w:rsid w:val="00A56FE4"/>
    <w:rsid w:val="00A56FEC"/>
    <w:rsid w:val="00A57011"/>
    <w:rsid w:val="00A57014"/>
    <w:rsid w:val="00A57074"/>
    <w:rsid w:val="00A5709C"/>
    <w:rsid w:val="00A570DC"/>
    <w:rsid w:val="00A570FA"/>
    <w:rsid w:val="00A5719A"/>
    <w:rsid w:val="00A571F8"/>
    <w:rsid w:val="00A57201"/>
    <w:rsid w:val="00A57260"/>
    <w:rsid w:val="00A5726E"/>
    <w:rsid w:val="00A57288"/>
    <w:rsid w:val="00A5735D"/>
    <w:rsid w:val="00A5735F"/>
    <w:rsid w:val="00A5737F"/>
    <w:rsid w:val="00A573D6"/>
    <w:rsid w:val="00A573FF"/>
    <w:rsid w:val="00A57406"/>
    <w:rsid w:val="00A57487"/>
    <w:rsid w:val="00A574B4"/>
    <w:rsid w:val="00A5755E"/>
    <w:rsid w:val="00A5767B"/>
    <w:rsid w:val="00A5768A"/>
    <w:rsid w:val="00A576C5"/>
    <w:rsid w:val="00A576CD"/>
    <w:rsid w:val="00A5771F"/>
    <w:rsid w:val="00A5777E"/>
    <w:rsid w:val="00A577F4"/>
    <w:rsid w:val="00A5783C"/>
    <w:rsid w:val="00A5785C"/>
    <w:rsid w:val="00A578A5"/>
    <w:rsid w:val="00A578C2"/>
    <w:rsid w:val="00A57907"/>
    <w:rsid w:val="00A5790D"/>
    <w:rsid w:val="00A57916"/>
    <w:rsid w:val="00A579E5"/>
    <w:rsid w:val="00A57A42"/>
    <w:rsid w:val="00A57A75"/>
    <w:rsid w:val="00A57ABF"/>
    <w:rsid w:val="00A57BEE"/>
    <w:rsid w:val="00A57C47"/>
    <w:rsid w:val="00A57C5D"/>
    <w:rsid w:val="00A57CA5"/>
    <w:rsid w:val="00A57CB7"/>
    <w:rsid w:val="00A57D16"/>
    <w:rsid w:val="00A57D39"/>
    <w:rsid w:val="00A57D4F"/>
    <w:rsid w:val="00A57D6A"/>
    <w:rsid w:val="00A57D82"/>
    <w:rsid w:val="00A57D8C"/>
    <w:rsid w:val="00A57D9B"/>
    <w:rsid w:val="00A57EA7"/>
    <w:rsid w:val="00A57EC3"/>
    <w:rsid w:val="00A57EDA"/>
    <w:rsid w:val="00A57EE7"/>
    <w:rsid w:val="00A57F27"/>
    <w:rsid w:val="00A57F33"/>
    <w:rsid w:val="00A57F3D"/>
    <w:rsid w:val="00A57F84"/>
    <w:rsid w:val="00A6005C"/>
    <w:rsid w:val="00A600A9"/>
    <w:rsid w:val="00A6017D"/>
    <w:rsid w:val="00A601D3"/>
    <w:rsid w:val="00A601EA"/>
    <w:rsid w:val="00A60263"/>
    <w:rsid w:val="00A6031E"/>
    <w:rsid w:val="00A603C3"/>
    <w:rsid w:val="00A6049C"/>
    <w:rsid w:val="00A604B0"/>
    <w:rsid w:val="00A604E0"/>
    <w:rsid w:val="00A6051B"/>
    <w:rsid w:val="00A60547"/>
    <w:rsid w:val="00A6054A"/>
    <w:rsid w:val="00A6058D"/>
    <w:rsid w:val="00A605A8"/>
    <w:rsid w:val="00A605E2"/>
    <w:rsid w:val="00A606D9"/>
    <w:rsid w:val="00A60744"/>
    <w:rsid w:val="00A607EA"/>
    <w:rsid w:val="00A60860"/>
    <w:rsid w:val="00A60890"/>
    <w:rsid w:val="00A608CB"/>
    <w:rsid w:val="00A60913"/>
    <w:rsid w:val="00A6096D"/>
    <w:rsid w:val="00A60979"/>
    <w:rsid w:val="00A6097D"/>
    <w:rsid w:val="00A6097F"/>
    <w:rsid w:val="00A60980"/>
    <w:rsid w:val="00A609E2"/>
    <w:rsid w:val="00A609E3"/>
    <w:rsid w:val="00A609EA"/>
    <w:rsid w:val="00A60A07"/>
    <w:rsid w:val="00A60A1C"/>
    <w:rsid w:val="00A60A3E"/>
    <w:rsid w:val="00A60A7A"/>
    <w:rsid w:val="00A60A94"/>
    <w:rsid w:val="00A60AE8"/>
    <w:rsid w:val="00A60B10"/>
    <w:rsid w:val="00A60B69"/>
    <w:rsid w:val="00A60C3C"/>
    <w:rsid w:val="00A60C47"/>
    <w:rsid w:val="00A60C4B"/>
    <w:rsid w:val="00A60C68"/>
    <w:rsid w:val="00A60C76"/>
    <w:rsid w:val="00A60C96"/>
    <w:rsid w:val="00A60CBA"/>
    <w:rsid w:val="00A60CFF"/>
    <w:rsid w:val="00A60DDC"/>
    <w:rsid w:val="00A60DE5"/>
    <w:rsid w:val="00A60E03"/>
    <w:rsid w:val="00A60E3C"/>
    <w:rsid w:val="00A60E55"/>
    <w:rsid w:val="00A60E8C"/>
    <w:rsid w:val="00A60EE1"/>
    <w:rsid w:val="00A60F32"/>
    <w:rsid w:val="00A60F83"/>
    <w:rsid w:val="00A610C3"/>
    <w:rsid w:val="00A610E0"/>
    <w:rsid w:val="00A61116"/>
    <w:rsid w:val="00A61169"/>
    <w:rsid w:val="00A6118A"/>
    <w:rsid w:val="00A6127F"/>
    <w:rsid w:val="00A612AE"/>
    <w:rsid w:val="00A612C1"/>
    <w:rsid w:val="00A61379"/>
    <w:rsid w:val="00A613F8"/>
    <w:rsid w:val="00A61449"/>
    <w:rsid w:val="00A61486"/>
    <w:rsid w:val="00A614B5"/>
    <w:rsid w:val="00A61529"/>
    <w:rsid w:val="00A61562"/>
    <w:rsid w:val="00A61593"/>
    <w:rsid w:val="00A615E0"/>
    <w:rsid w:val="00A61619"/>
    <w:rsid w:val="00A61653"/>
    <w:rsid w:val="00A616D1"/>
    <w:rsid w:val="00A616D3"/>
    <w:rsid w:val="00A61710"/>
    <w:rsid w:val="00A617EE"/>
    <w:rsid w:val="00A6189B"/>
    <w:rsid w:val="00A61918"/>
    <w:rsid w:val="00A61946"/>
    <w:rsid w:val="00A61961"/>
    <w:rsid w:val="00A619E8"/>
    <w:rsid w:val="00A619F9"/>
    <w:rsid w:val="00A619FB"/>
    <w:rsid w:val="00A61A30"/>
    <w:rsid w:val="00A61AF1"/>
    <w:rsid w:val="00A61B5C"/>
    <w:rsid w:val="00A61B76"/>
    <w:rsid w:val="00A61BA5"/>
    <w:rsid w:val="00A61BCE"/>
    <w:rsid w:val="00A61C45"/>
    <w:rsid w:val="00A61C83"/>
    <w:rsid w:val="00A61C85"/>
    <w:rsid w:val="00A61C87"/>
    <w:rsid w:val="00A61C97"/>
    <w:rsid w:val="00A61CCA"/>
    <w:rsid w:val="00A61CE4"/>
    <w:rsid w:val="00A61D60"/>
    <w:rsid w:val="00A61DD6"/>
    <w:rsid w:val="00A61DED"/>
    <w:rsid w:val="00A61F08"/>
    <w:rsid w:val="00A61F5A"/>
    <w:rsid w:val="00A61FBB"/>
    <w:rsid w:val="00A6200E"/>
    <w:rsid w:val="00A62018"/>
    <w:rsid w:val="00A6204F"/>
    <w:rsid w:val="00A62061"/>
    <w:rsid w:val="00A62098"/>
    <w:rsid w:val="00A6216F"/>
    <w:rsid w:val="00A621BD"/>
    <w:rsid w:val="00A62212"/>
    <w:rsid w:val="00A62273"/>
    <w:rsid w:val="00A62289"/>
    <w:rsid w:val="00A62346"/>
    <w:rsid w:val="00A62352"/>
    <w:rsid w:val="00A623C8"/>
    <w:rsid w:val="00A623C9"/>
    <w:rsid w:val="00A62403"/>
    <w:rsid w:val="00A6242D"/>
    <w:rsid w:val="00A624A1"/>
    <w:rsid w:val="00A6253C"/>
    <w:rsid w:val="00A6255A"/>
    <w:rsid w:val="00A625AF"/>
    <w:rsid w:val="00A625E7"/>
    <w:rsid w:val="00A626B0"/>
    <w:rsid w:val="00A627A7"/>
    <w:rsid w:val="00A6283F"/>
    <w:rsid w:val="00A628DA"/>
    <w:rsid w:val="00A628DC"/>
    <w:rsid w:val="00A628FB"/>
    <w:rsid w:val="00A6291F"/>
    <w:rsid w:val="00A62945"/>
    <w:rsid w:val="00A6295D"/>
    <w:rsid w:val="00A629D9"/>
    <w:rsid w:val="00A62A1B"/>
    <w:rsid w:val="00A62A23"/>
    <w:rsid w:val="00A62A42"/>
    <w:rsid w:val="00A62A66"/>
    <w:rsid w:val="00A62A88"/>
    <w:rsid w:val="00A62A98"/>
    <w:rsid w:val="00A62BB3"/>
    <w:rsid w:val="00A62BD7"/>
    <w:rsid w:val="00A62C1F"/>
    <w:rsid w:val="00A62CE4"/>
    <w:rsid w:val="00A62D1F"/>
    <w:rsid w:val="00A62D3B"/>
    <w:rsid w:val="00A62D5E"/>
    <w:rsid w:val="00A62D8F"/>
    <w:rsid w:val="00A62E25"/>
    <w:rsid w:val="00A62E42"/>
    <w:rsid w:val="00A62EAB"/>
    <w:rsid w:val="00A62EB5"/>
    <w:rsid w:val="00A62ED1"/>
    <w:rsid w:val="00A62EE2"/>
    <w:rsid w:val="00A62F12"/>
    <w:rsid w:val="00A62F45"/>
    <w:rsid w:val="00A62F73"/>
    <w:rsid w:val="00A62FBD"/>
    <w:rsid w:val="00A62FFD"/>
    <w:rsid w:val="00A63001"/>
    <w:rsid w:val="00A630F6"/>
    <w:rsid w:val="00A63102"/>
    <w:rsid w:val="00A63156"/>
    <w:rsid w:val="00A631AF"/>
    <w:rsid w:val="00A631B7"/>
    <w:rsid w:val="00A63210"/>
    <w:rsid w:val="00A632D1"/>
    <w:rsid w:val="00A6342B"/>
    <w:rsid w:val="00A63450"/>
    <w:rsid w:val="00A63455"/>
    <w:rsid w:val="00A63496"/>
    <w:rsid w:val="00A634FA"/>
    <w:rsid w:val="00A6350D"/>
    <w:rsid w:val="00A63558"/>
    <w:rsid w:val="00A63577"/>
    <w:rsid w:val="00A6357A"/>
    <w:rsid w:val="00A635B9"/>
    <w:rsid w:val="00A635D3"/>
    <w:rsid w:val="00A6361A"/>
    <w:rsid w:val="00A63655"/>
    <w:rsid w:val="00A63657"/>
    <w:rsid w:val="00A63686"/>
    <w:rsid w:val="00A636DD"/>
    <w:rsid w:val="00A636EA"/>
    <w:rsid w:val="00A6378B"/>
    <w:rsid w:val="00A63792"/>
    <w:rsid w:val="00A6379B"/>
    <w:rsid w:val="00A637D4"/>
    <w:rsid w:val="00A637FF"/>
    <w:rsid w:val="00A63835"/>
    <w:rsid w:val="00A63842"/>
    <w:rsid w:val="00A639A5"/>
    <w:rsid w:val="00A639EB"/>
    <w:rsid w:val="00A63A31"/>
    <w:rsid w:val="00A63A43"/>
    <w:rsid w:val="00A63A65"/>
    <w:rsid w:val="00A63A66"/>
    <w:rsid w:val="00A63A6E"/>
    <w:rsid w:val="00A63B2F"/>
    <w:rsid w:val="00A63BB0"/>
    <w:rsid w:val="00A63BEF"/>
    <w:rsid w:val="00A63C04"/>
    <w:rsid w:val="00A63C10"/>
    <w:rsid w:val="00A63C5F"/>
    <w:rsid w:val="00A63C88"/>
    <w:rsid w:val="00A63CB5"/>
    <w:rsid w:val="00A63CBF"/>
    <w:rsid w:val="00A63D00"/>
    <w:rsid w:val="00A63D09"/>
    <w:rsid w:val="00A63D2E"/>
    <w:rsid w:val="00A63D62"/>
    <w:rsid w:val="00A63D71"/>
    <w:rsid w:val="00A63D73"/>
    <w:rsid w:val="00A63D9D"/>
    <w:rsid w:val="00A63DBE"/>
    <w:rsid w:val="00A63DCB"/>
    <w:rsid w:val="00A63E51"/>
    <w:rsid w:val="00A63E82"/>
    <w:rsid w:val="00A63F05"/>
    <w:rsid w:val="00A63F1B"/>
    <w:rsid w:val="00A63F25"/>
    <w:rsid w:val="00A63F73"/>
    <w:rsid w:val="00A63FBD"/>
    <w:rsid w:val="00A63FD9"/>
    <w:rsid w:val="00A640AA"/>
    <w:rsid w:val="00A640AB"/>
    <w:rsid w:val="00A64169"/>
    <w:rsid w:val="00A6419B"/>
    <w:rsid w:val="00A641D4"/>
    <w:rsid w:val="00A64203"/>
    <w:rsid w:val="00A6424D"/>
    <w:rsid w:val="00A643E7"/>
    <w:rsid w:val="00A64401"/>
    <w:rsid w:val="00A64437"/>
    <w:rsid w:val="00A64474"/>
    <w:rsid w:val="00A644F7"/>
    <w:rsid w:val="00A64541"/>
    <w:rsid w:val="00A645CC"/>
    <w:rsid w:val="00A645EC"/>
    <w:rsid w:val="00A64644"/>
    <w:rsid w:val="00A6466E"/>
    <w:rsid w:val="00A646D4"/>
    <w:rsid w:val="00A646DD"/>
    <w:rsid w:val="00A646F6"/>
    <w:rsid w:val="00A64711"/>
    <w:rsid w:val="00A647F3"/>
    <w:rsid w:val="00A64810"/>
    <w:rsid w:val="00A6481D"/>
    <w:rsid w:val="00A64837"/>
    <w:rsid w:val="00A6484B"/>
    <w:rsid w:val="00A64892"/>
    <w:rsid w:val="00A648D2"/>
    <w:rsid w:val="00A648FE"/>
    <w:rsid w:val="00A6493B"/>
    <w:rsid w:val="00A64983"/>
    <w:rsid w:val="00A649BB"/>
    <w:rsid w:val="00A649D0"/>
    <w:rsid w:val="00A649DE"/>
    <w:rsid w:val="00A649E1"/>
    <w:rsid w:val="00A64A58"/>
    <w:rsid w:val="00A64A71"/>
    <w:rsid w:val="00A64A77"/>
    <w:rsid w:val="00A64ABB"/>
    <w:rsid w:val="00A64AFB"/>
    <w:rsid w:val="00A64B0D"/>
    <w:rsid w:val="00A64B9A"/>
    <w:rsid w:val="00A64BB2"/>
    <w:rsid w:val="00A64BB4"/>
    <w:rsid w:val="00A64BB6"/>
    <w:rsid w:val="00A64BBB"/>
    <w:rsid w:val="00A64C6C"/>
    <w:rsid w:val="00A64C72"/>
    <w:rsid w:val="00A64CE9"/>
    <w:rsid w:val="00A64D27"/>
    <w:rsid w:val="00A64DCD"/>
    <w:rsid w:val="00A64E53"/>
    <w:rsid w:val="00A64EA0"/>
    <w:rsid w:val="00A64F2F"/>
    <w:rsid w:val="00A64F35"/>
    <w:rsid w:val="00A64F45"/>
    <w:rsid w:val="00A64F95"/>
    <w:rsid w:val="00A64FB1"/>
    <w:rsid w:val="00A64FB4"/>
    <w:rsid w:val="00A64FF2"/>
    <w:rsid w:val="00A65033"/>
    <w:rsid w:val="00A65084"/>
    <w:rsid w:val="00A650C8"/>
    <w:rsid w:val="00A6510D"/>
    <w:rsid w:val="00A6511F"/>
    <w:rsid w:val="00A6513C"/>
    <w:rsid w:val="00A6513E"/>
    <w:rsid w:val="00A6518F"/>
    <w:rsid w:val="00A65246"/>
    <w:rsid w:val="00A65269"/>
    <w:rsid w:val="00A65288"/>
    <w:rsid w:val="00A652D4"/>
    <w:rsid w:val="00A65358"/>
    <w:rsid w:val="00A6537E"/>
    <w:rsid w:val="00A653AC"/>
    <w:rsid w:val="00A653C4"/>
    <w:rsid w:val="00A653F9"/>
    <w:rsid w:val="00A6546B"/>
    <w:rsid w:val="00A654DB"/>
    <w:rsid w:val="00A654EA"/>
    <w:rsid w:val="00A654F6"/>
    <w:rsid w:val="00A65507"/>
    <w:rsid w:val="00A65512"/>
    <w:rsid w:val="00A65545"/>
    <w:rsid w:val="00A655AA"/>
    <w:rsid w:val="00A655B6"/>
    <w:rsid w:val="00A655D8"/>
    <w:rsid w:val="00A65601"/>
    <w:rsid w:val="00A65655"/>
    <w:rsid w:val="00A65671"/>
    <w:rsid w:val="00A65701"/>
    <w:rsid w:val="00A6572C"/>
    <w:rsid w:val="00A65744"/>
    <w:rsid w:val="00A65804"/>
    <w:rsid w:val="00A65807"/>
    <w:rsid w:val="00A65838"/>
    <w:rsid w:val="00A65892"/>
    <w:rsid w:val="00A658DD"/>
    <w:rsid w:val="00A658EC"/>
    <w:rsid w:val="00A6596B"/>
    <w:rsid w:val="00A65A37"/>
    <w:rsid w:val="00A65A4F"/>
    <w:rsid w:val="00A65A77"/>
    <w:rsid w:val="00A65AE5"/>
    <w:rsid w:val="00A65B09"/>
    <w:rsid w:val="00A65B27"/>
    <w:rsid w:val="00A65B3A"/>
    <w:rsid w:val="00A65BFB"/>
    <w:rsid w:val="00A65C4C"/>
    <w:rsid w:val="00A65C70"/>
    <w:rsid w:val="00A65CBE"/>
    <w:rsid w:val="00A65CD4"/>
    <w:rsid w:val="00A65CE2"/>
    <w:rsid w:val="00A65D84"/>
    <w:rsid w:val="00A65D9E"/>
    <w:rsid w:val="00A65E36"/>
    <w:rsid w:val="00A65E3A"/>
    <w:rsid w:val="00A65E44"/>
    <w:rsid w:val="00A65E59"/>
    <w:rsid w:val="00A65E64"/>
    <w:rsid w:val="00A65E7F"/>
    <w:rsid w:val="00A65ECD"/>
    <w:rsid w:val="00A65F03"/>
    <w:rsid w:val="00A65F16"/>
    <w:rsid w:val="00A65F1B"/>
    <w:rsid w:val="00A65F79"/>
    <w:rsid w:val="00A65F80"/>
    <w:rsid w:val="00A65F91"/>
    <w:rsid w:val="00A65FAD"/>
    <w:rsid w:val="00A65FD9"/>
    <w:rsid w:val="00A65FE4"/>
    <w:rsid w:val="00A66079"/>
    <w:rsid w:val="00A6613E"/>
    <w:rsid w:val="00A6614C"/>
    <w:rsid w:val="00A66178"/>
    <w:rsid w:val="00A661A0"/>
    <w:rsid w:val="00A6623F"/>
    <w:rsid w:val="00A6624E"/>
    <w:rsid w:val="00A662EF"/>
    <w:rsid w:val="00A662FF"/>
    <w:rsid w:val="00A663CD"/>
    <w:rsid w:val="00A663E7"/>
    <w:rsid w:val="00A66491"/>
    <w:rsid w:val="00A66584"/>
    <w:rsid w:val="00A666CD"/>
    <w:rsid w:val="00A6689A"/>
    <w:rsid w:val="00A66A3B"/>
    <w:rsid w:val="00A66A6F"/>
    <w:rsid w:val="00A66AE2"/>
    <w:rsid w:val="00A66B2A"/>
    <w:rsid w:val="00A66B6B"/>
    <w:rsid w:val="00A66B8D"/>
    <w:rsid w:val="00A66B9D"/>
    <w:rsid w:val="00A66BA2"/>
    <w:rsid w:val="00A66C01"/>
    <w:rsid w:val="00A66C2A"/>
    <w:rsid w:val="00A66C2F"/>
    <w:rsid w:val="00A66CD3"/>
    <w:rsid w:val="00A66D53"/>
    <w:rsid w:val="00A66D5F"/>
    <w:rsid w:val="00A66DD3"/>
    <w:rsid w:val="00A66DEE"/>
    <w:rsid w:val="00A66E19"/>
    <w:rsid w:val="00A66EA8"/>
    <w:rsid w:val="00A66F04"/>
    <w:rsid w:val="00A66F18"/>
    <w:rsid w:val="00A66F79"/>
    <w:rsid w:val="00A66FAA"/>
    <w:rsid w:val="00A66FCD"/>
    <w:rsid w:val="00A66FDD"/>
    <w:rsid w:val="00A670BE"/>
    <w:rsid w:val="00A670C1"/>
    <w:rsid w:val="00A670ED"/>
    <w:rsid w:val="00A6713D"/>
    <w:rsid w:val="00A6717E"/>
    <w:rsid w:val="00A671A8"/>
    <w:rsid w:val="00A671F4"/>
    <w:rsid w:val="00A67209"/>
    <w:rsid w:val="00A67229"/>
    <w:rsid w:val="00A672B2"/>
    <w:rsid w:val="00A672B7"/>
    <w:rsid w:val="00A672ED"/>
    <w:rsid w:val="00A672FF"/>
    <w:rsid w:val="00A673EA"/>
    <w:rsid w:val="00A673FE"/>
    <w:rsid w:val="00A67429"/>
    <w:rsid w:val="00A674C9"/>
    <w:rsid w:val="00A67505"/>
    <w:rsid w:val="00A67542"/>
    <w:rsid w:val="00A67589"/>
    <w:rsid w:val="00A6758B"/>
    <w:rsid w:val="00A6767C"/>
    <w:rsid w:val="00A67681"/>
    <w:rsid w:val="00A676BD"/>
    <w:rsid w:val="00A676D5"/>
    <w:rsid w:val="00A676DA"/>
    <w:rsid w:val="00A6770C"/>
    <w:rsid w:val="00A67721"/>
    <w:rsid w:val="00A67762"/>
    <w:rsid w:val="00A67873"/>
    <w:rsid w:val="00A6792A"/>
    <w:rsid w:val="00A6794E"/>
    <w:rsid w:val="00A6796B"/>
    <w:rsid w:val="00A679D4"/>
    <w:rsid w:val="00A679FC"/>
    <w:rsid w:val="00A679FF"/>
    <w:rsid w:val="00A67A30"/>
    <w:rsid w:val="00A67ACE"/>
    <w:rsid w:val="00A67AD8"/>
    <w:rsid w:val="00A67B13"/>
    <w:rsid w:val="00A67B1B"/>
    <w:rsid w:val="00A67B37"/>
    <w:rsid w:val="00A67B9D"/>
    <w:rsid w:val="00A67BB0"/>
    <w:rsid w:val="00A67C59"/>
    <w:rsid w:val="00A67CCD"/>
    <w:rsid w:val="00A67CDB"/>
    <w:rsid w:val="00A67CEF"/>
    <w:rsid w:val="00A67D1D"/>
    <w:rsid w:val="00A67D42"/>
    <w:rsid w:val="00A67D6F"/>
    <w:rsid w:val="00A67E35"/>
    <w:rsid w:val="00A67E8A"/>
    <w:rsid w:val="00A67EB3"/>
    <w:rsid w:val="00A67ECC"/>
    <w:rsid w:val="00A67EFE"/>
    <w:rsid w:val="00A67F0C"/>
    <w:rsid w:val="00A70041"/>
    <w:rsid w:val="00A70094"/>
    <w:rsid w:val="00A700CD"/>
    <w:rsid w:val="00A70102"/>
    <w:rsid w:val="00A7018A"/>
    <w:rsid w:val="00A7018D"/>
    <w:rsid w:val="00A7019A"/>
    <w:rsid w:val="00A701AD"/>
    <w:rsid w:val="00A70227"/>
    <w:rsid w:val="00A70248"/>
    <w:rsid w:val="00A70254"/>
    <w:rsid w:val="00A702D5"/>
    <w:rsid w:val="00A703BE"/>
    <w:rsid w:val="00A70464"/>
    <w:rsid w:val="00A70469"/>
    <w:rsid w:val="00A7048E"/>
    <w:rsid w:val="00A70533"/>
    <w:rsid w:val="00A7053C"/>
    <w:rsid w:val="00A70589"/>
    <w:rsid w:val="00A7058B"/>
    <w:rsid w:val="00A70599"/>
    <w:rsid w:val="00A705C6"/>
    <w:rsid w:val="00A705C8"/>
    <w:rsid w:val="00A705DF"/>
    <w:rsid w:val="00A70600"/>
    <w:rsid w:val="00A70685"/>
    <w:rsid w:val="00A706F2"/>
    <w:rsid w:val="00A7071B"/>
    <w:rsid w:val="00A70722"/>
    <w:rsid w:val="00A7075F"/>
    <w:rsid w:val="00A70796"/>
    <w:rsid w:val="00A7079F"/>
    <w:rsid w:val="00A707C1"/>
    <w:rsid w:val="00A7080B"/>
    <w:rsid w:val="00A70890"/>
    <w:rsid w:val="00A7098C"/>
    <w:rsid w:val="00A709F4"/>
    <w:rsid w:val="00A70A9E"/>
    <w:rsid w:val="00A70B09"/>
    <w:rsid w:val="00A70B2F"/>
    <w:rsid w:val="00A70B87"/>
    <w:rsid w:val="00A70BA7"/>
    <w:rsid w:val="00A70BBB"/>
    <w:rsid w:val="00A70C1E"/>
    <w:rsid w:val="00A70C3D"/>
    <w:rsid w:val="00A70C64"/>
    <w:rsid w:val="00A70C93"/>
    <w:rsid w:val="00A70CA9"/>
    <w:rsid w:val="00A70D12"/>
    <w:rsid w:val="00A70D15"/>
    <w:rsid w:val="00A70D3A"/>
    <w:rsid w:val="00A70D3D"/>
    <w:rsid w:val="00A70D4F"/>
    <w:rsid w:val="00A70D9C"/>
    <w:rsid w:val="00A70DB0"/>
    <w:rsid w:val="00A70DD3"/>
    <w:rsid w:val="00A70FCF"/>
    <w:rsid w:val="00A70FD9"/>
    <w:rsid w:val="00A71009"/>
    <w:rsid w:val="00A71025"/>
    <w:rsid w:val="00A71051"/>
    <w:rsid w:val="00A7106C"/>
    <w:rsid w:val="00A71073"/>
    <w:rsid w:val="00A710B9"/>
    <w:rsid w:val="00A7117F"/>
    <w:rsid w:val="00A711A3"/>
    <w:rsid w:val="00A711F8"/>
    <w:rsid w:val="00A7123F"/>
    <w:rsid w:val="00A71286"/>
    <w:rsid w:val="00A712A1"/>
    <w:rsid w:val="00A712F3"/>
    <w:rsid w:val="00A712F7"/>
    <w:rsid w:val="00A71313"/>
    <w:rsid w:val="00A71356"/>
    <w:rsid w:val="00A71374"/>
    <w:rsid w:val="00A71381"/>
    <w:rsid w:val="00A713BF"/>
    <w:rsid w:val="00A713C0"/>
    <w:rsid w:val="00A713DB"/>
    <w:rsid w:val="00A71424"/>
    <w:rsid w:val="00A71457"/>
    <w:rsid w:val="00A7155C"/>
    <w:rsid w:val="00A7155E"/>
    <w:rsid w:val="00A715DC"/>
    <w:rsid w:val="00A71629"/>
    <w:rsid w:val="00A71669"/>
    <w:rsid w:val="00A716BD"/>
    <w:rsid w:val="00A71736"/>
    <w:rsid w:val="00A71760"/>
    <w:rsid w:val="00A71780"/>
    <w:rsid w:val="00A71805"/>
    <w:rsid w:val="00A718C6"/>
    <w:rsid w:val="00A719AE"/>
    <w:rsid w:val="00A71A1E"/>
    <w:rsid w:val="00A71A2E"/>
    <w:rsid w:val="00A71A37"/>
    <w:rsid w:val="00A71A97"/>
    <w:rsid w:val="00A71AB5"/>
    <w:rsid w:val="00A71B7C"/>
    <w:rsid w:val="00A71B86"/>
    <w:rsid w:val="00A71B8A"/>
    <w:rsid w:val="00A71BDD"/>
    <w:rsid w:val="00A71BE2"/>
    <w:rsid w:val="00A71C04"/>
    <w:rsid w:val="00A71C20"/>
    <w:rsid w:val="00A71C21"/>
    <w:rsid w:val="00A71C6F"/>
    <w:rsid w:val="00A71DD6"/>
    <w:rsid w:val="00A71E0C"/>
    <w:rsid w:val="00A71E9B"/>
    <w:rsid w:val="00A71F14"/>
    <w:rsid w:val="00A71F34"/>
    <w:rsid w:val="00A71F7C"/>
    <w:rsid w:val="00A71F9C"/>
    <w:rsid w:val="00A71FAC"/>
    <w:rsid w:val="00A72010"/>
    <w:rsid w:val="00A72015"/>
    <w:rsid w:val="00A720E4"/>
    <w:rsid w:val="00A72225"/>
    <w:rsid w:val="00A72268"/>
    <w:rsid w:val="00A722A0"/>
    <w:rsid w:val="00A722A7"/>
    <w:rsid w:val="00A722D7"/>
    <w:rsid w:val="00A7231E"/>
    <w:rsid w:val="00A72349"/>
    <w:rsid w:val="00A7236C"/>
    <w:rsid w:val="00A723DC"/>
    <w:rsid w:val="00A72409"/>
    <w:rsid w:val="00A7240D"/>
    <w:rsid w:val="00A72494"/>
    <w:rsid w:val="00A724D5"/>
    <w:rsid w:val="00A7254F"/>
    <w:rsid w:val="00A72554"/>
    <w:rsid w:val="00A72559"/>
    <w:rsid w:val="00A725B9"/>
    <w:rsid w:val="00A725CD"/>
    <w:rsid w:val="00A725FD"/>
    <w:rsid w:val="00A7263C"/>
    <w:rsid w:val="00A7267E"/>
    <w:rsid w:val="00A7269D"/>
    <w:rsid w:val="00A726CC"/>
    <w:rsid w:val="00A72725"/>
    <w:rsid w:val="00A727DC"/>
    <w:rsid w:val="00A728E8"/>
    <w:rsid w:val="00A7290A"/>
    <w:rsid w:val="00A72941"/>
    <w:rsid w:val="00A7294E"/>
    <w:rsid w:val="00A72960"/>
    <w:rsid w:val="00A72986"/>
    <w:rsid w:val="00A729E2"/>
    <w:rsid w:val="00A72A30"/>
    <w:rsid w:val="00A72A66"/>
    <w:rsid w:val="00A72A88"/>
    <w:rsid w:val="00A72AB7"/>
    <w:rsid w:val="00A72B1C"/>
    <w:rsid w:val="00A72C8F"/>
    <w:rsid w:val="00A72CED"/>
    <w:rsid w:val="00A72D8F"/>
    <w:rsid w:val="00A72D90"/>
    <w:rsid w:val="00A72DB5"/>
    <w:rsid w:val="00A72DF3"/>
    <w:rsid w:val="00A72E74"/>
    <w:rsid w:val="00A72E86"/>
    <w:rsid w:val="00A72F1E"/>
    <w:rsid w:val="00A72F34"/>
    <w:rsid w:val="00A72F41"/>
    <w:rsid w:val="00A72F4C"/>
    <w:rsid w:val="00A72F4E"/>
    <w:rsid w:val="00A72F69"/>
    <w:rsid w:val="00A73029"/>
    <w:rsid w:val="00A73090"/>
    <w:rsid w:val="00A730F7"/>
    <w:rsid w:val="00A73100"/>
    <w:rsid w:val="00A7311B"/>
    <w:rsid w:val="00A7314C"/>
    <w:rsid w:val="00A7317E"/>
    <w:rsid w:val="00A731B3"/>
    <w:rsid w:val="00A731B7"/>
    <w:rsid w:val="00A7323B"/>
    <w:rsid w:val="00A73265"/>
    <w:rsid w:val="00A73272"/>
    <w:rsid w:val="00A73283"/>
    <w:rsid w:val="00A73287"/>
    <w:rsid w:val="00A732A5"/>
    <w:rsid w:val="00A732B4"/>
    <w:rsid w:val="00A732B6"/>
    <w:rsid w:val="00A7331B"/>
    <w:rsid w:val="00A7331E"/>
    <w:rsid w:val="00A73329"/>
    <w:rsid w:val="00A7337A"/>
    <w:rsid w:val="00A733FF"/>
    <w:rsid w:val="00A734A1"/>
    <w:rsid w:val="00A734E6"/>
    <w:rsid w:val="00A734FE"/>
    <w:rsid w:val="00A73512"/>
    <w:rsid w:val="00A7353D"/>
    <w:rsid w:val="00A73588"/>
    <w:rsid w:val="00A73589"/>
    <w:rsid w:val="00A73594"/>
    <w:rsid w:val="00A736C5"/>
    <w:rsid w:val="00A73720"/>
    <w:rsid w:val="00A73721"/>
    <w:rsid w:val="00A7379C"/>
    <w:rsid w:val="00A737ED"/>
    <w:rsid w:val="00A737FC"/>
    <w:rsid w:val="00A737FD"/>
    <w:rsid w:val="00A7382D"/>
    <w:rsid w:val="00A73854"/>
    <w:rsid w:val="00A738D2"/>
    <w:rsid w:val="00A739D9"/>
    <w:rsid w:val="00A73A02"/>
    <w:rsid w:val="00A73A11"/>
    <w:rsid w:val="00A73A29"/>
    <w:rsid w:val="00A73A42"/>
    <w:rsid w:val="00A73B23"/>
    <w:rsid w:val="00A73B44"/>
    <w:rsid w:val="00A73BAA"/>
    <w:rsid w:val="00A73BCA"/>
    <w:rsid w:val="00A73BD7"/>
    <w:rsid w:val="00A73C4F"/>
    <w:rsid w:val="00A73C61"/>
    <w:rsid w:val="00A73CED"/>
    <w:rsid w:val="00A73D3B"/>
    <w:rsid w:val="00A73E8A"/>
    <w:rsid w:val="00A73EC9"/>
    <w:rsid w:val="00A73EDA"/>
    <w:rsid w:val="00A73F25"/>
    <w:rsid w:val="00A73F75"/>
    <w:rsid w:val="00A73F99"/>
    <w:rsid w:val="00A7408B"/>
    <w:rsid w:val="00A740C1"/>
    <w:rsid w:val="00A740E0"/>
    <w:rsid w:val="00A7419D"/>
    <w:rsid w:val="00A7422B"/>
    <w:rsid w:val="00A74234"/>
    <w:rsid w:val="00A74248"/>
    <w:rsid w:val="00A7427C"/>
    <w:rsid w:val="00A742AA"/>
    <w:rsid w:val="00A742B1"/>
    <w:rsid w:val="00A742B3"/>
    <w:rsid w:val="00A742D9"/>
    <w:rsid w:val="00A742DE"/>
    <w:rsid w:val="00A74303"/>
    <w:rsid w:val="00A7434E"/>
    <w:rsid w:val="00A74374"/>
    <w:rsid w:val="00A74376"/>
    <w:rsid w:val="00A74393"/>
    <w:rsid w:val="00A74398"/>
    <w:rsid w:val="00A743D2"/>
    <w:rsid w:val="00A743D7"/>
    <w:rsid w:val="00A743F6"/>
    <w:rsid w:val="00A74457"/>
    <w:rsid w:val="00A7456C"/>
    <w:rsid w:val="00A7456E"/>
    <w:rsid w:val="00A74574"/>
    <w:rsid w:val="00A74581"/>
    <w:rsid w:val="00A745AF"/>
    <w:rsid w:val="00A745DA"/>
    <w:rsid w:val="00A74601"/>
    <w:rsid w:val="00A74671"/>
    <w:rsid w:val="00A74698"/>
    <w:rsid w:val="00A7474E"/>
    <w:rsid w:val="00A74775"/>
    <w:rsid w:val="00A747F9"/>
    <w:rsid w:val="00A74815"/>
    <w:rsid w:val="00A74827"/>
    <w:rsid w:val="00A74A39"/>
    <w:rsid w:val="00A74A5D"/>
    <w:rsid w:val="00A74AFF"/>
    <w:rsid w:val="00A74B6B"/>
    <w:rsid w:val="00A74B73"/>
    <w:rsid w:val="00A74B86"/>
    <w:rsid w:val="00A74B92"/>
    <w:rsid w:val="00A74BDD"/>
    <w:rsid w:val="00A74BE7"/>
    <w:rsid w:val="00A74C36"/>
    <w:rsid w:val="00A74C53"/>
    <w:rsid w:val="00A74C98"/>
    <w:rsid w:val="00A74D90"/>
    <w:rsid w:val="00A74DA5"/>
    <w:rsid w:val="00A74DB1"/>
    <w:rsid w:val="00A74DB7"/>
    <w:rsid w:val="00A74DFF"/>
    <w:rsid w:val="00A74E6D"/>
    <w:rsid w:val="00A74EBA"/>
    <w:rsid w:val="00A74ECD"/>
    <w:rsid w:val="00A74FC9"/>
    <w:rsid w:val="00A74FF2"/>
    <w:rsid w:val="00A7500B"/>
    <w:rsid w:val="00A7503D"/>
    <w:rsid w:val="00A7508A"/>
    <w:rsid w:val="00A75104"/>
    <w:rsid w:val="00A7514F"/>
    <w:rsid w:val="00A751C4"/>
    <w:rsid w:val="00A751C6"/>
    <w:rsid w:val="00A751D7"/>
    <w:rsid w:val="00A75278"/>
    <w:rsid w:val="00A752ED"/>
    <w:rsid w:val="00A75328"/>
    <w:rsid w:val="00A75334"/>
    <w:rsid w:val="00A75354"/>
    <w:rsid w:val="00A75383"/>
    <w:rsid w:val="00A75387"/>
    <w:rsid w:val="00A7539D"/>
    <w:rsid w:val="00A753AF"/>
    <w:rsid w:val="00A753F8"/>
    <w:rsid w:val="00A75493"/>
    <w:rsid w:val="00A75556"/>
    <w:rsid w:val="00A755D4"/>
    <w:rsid w:val="00A7564A"/>
    <w:rsid w:val="00A7566E"/>
    <w:rsid w:val="00A75691"/>
    <w:rsid w:val="00A75733"/>
    <w:rsid w:val="00A75772"/>
    <w:rsid w:val="00A75778"/>
    <w:rsid w:val="00A757AA"/>
    <w:rsid w:val="00A757AB"/>
    <w:rsid w:val="00A757C3"/>
    <w:rsid w:val="00A757EA"/>
    <w:rsid w:val="00A75831"/>
    <w:rsid w:val="00A75841"/>
    <w:rsid w:val="00A758E3"/>
    <w:rsid w:val="00A7594C"/>
    <w:rsid w:val="00A759AF"/>
    <w:rsid w:val="00A759D0"/>
    <w:rsid w:val="00A75A42"/>
    <w:rsid w:val="00A75A4D"/>
    <w:rsid w:val="00A75A71"/>
    <w:rsid w:val="00A75AC0"/>
    <w:rsid w:val="00A75ACC"/>
    <w:rsid w:val="00A75AEC"/>
    <w:rsid w:val="00A75B06"/>
    <w:rsid w:val="00A75B08"/>
    <w:rsid w:val="00A75B39"/>
    <w:rsid w:val="00A75B60"/>
    <w:rsid w:val="00A75B9D"/>
    <w:rsid w:val="00A75BBA"/>
    <w:rsid w:val="00A75C08"/>
    <w:rsid w:val="00A75C16"/>
    <w:rsid w:val="00A75C21"/>
    <w:rsid w:val="00A75C2D"/>
    <w:rsid w:val="00A75C41"/>
    <w:rsid w:val="00A75C98"/>
    <w:rsid w:val="00A75CB5"/>
    <w:rsid w:val="00A75CE5"/>
    <w:rsid w:val="00A75D05"/>
    <w:rsid w:val="00A75DD8"/>
    <w:rsid w:val="00A75DE8"/>
    <w:rsid w:val="00A75E79"/>
    <w:rsid w:val="00A75EDD"/>
    <w:rsid w:val="00A75EEB"/>
    <w:rsid w:val="00A75F0B"/>
    <w:rsid w:val="00A75F4E"/>
    <w:rsid w:val="00A75FBA"/>
    <w:rsid w:val="00A75FC9"/>
    <w:rsid w:val="00A75FE5"/>
    <w:rsid w:val="00A75FFA"/>
    <w:rsid w:val="00A76003"/>
    <w:rsid w:val="00A76088"/>
    <w:rsid w:val="00A76130"/>
    <w:rsid w:val="00A76141"/>
    <w:rsid w:val="00A761AC"/>
    <w:rsid w:val="00A761CE"/>
    <w:rsid w:val="00A761CF"/>
    <w:rsid w:val="00A761F0"/>
    <w:rsid w:val="00A761FB"/>
    <w:rsid w:val="00A762E8"/>
    <w:rsid w:val="00A76342"/>
    <w:rsid w:val="00A7636D"/>
    <w:rsid w:val="00A763A9"/>
    <w:rsid w:val="00A763AA"/>
    <w:rsid w:val="00A763B2"/>
    <w:rsid w:val="00A763B3"/>
    <w:rsid w:val="00A763CC"/>
    <w:rsid w:val="00A763E8"/>
    <w:rsid w:val="00A7647F"/>
    <w:rsid w:val="00A76496"/>
    <w:rsid w:val="00A764C1"/>
    <w:rsid w:val="00A7652D"/>
    <w:rsid w:val="00A76561"/>
    <w:rsid w:val="00A76578"/>
    <w:rsid w:val="00A765AB"/>
    <w:rsid w:val="00A765F5"/>
    <w:rsid w:val="00A76718"/>
    <w:rsid w:val="00A767CF"/>
    <w:rsid w:val="00A767E3"/>
    <w:rsid w:val="00A767F2"/>
    <w:rsid w:val="00A767F4"/>
    <w:rsid w:val="00A7683C"/>
    <w:rsid w:val="00A76848"/>
    <w:rsid w:val="00A768F5"/>
    <w:rsid w:val="00A769A6"/>
    <w:rsid w:val="00A769A9"/>
    <w:rsid w:val="00A76AA4"/>
    <w:rsid w:val="00A76AD0"/>
    <w:rsid w:val="00A76ADE"/>
    <w:rsid w:val="00A76B13"/>
    <w:rsid w:val="00A76B1D"/>
    <w:rsid w:val="00A76B23"/>
    <w:rsid w:val="00A76B36"/>
    <w:rsid w:val="00A76B89"/>
    <w:rsid w:val="00A76BCB"/>
    <w:rsid w:val="00A76BDC"/>
    <w:rsid w:val="00A76BE8"/>
    <w:rsid w:val="00A76BEC"/>
    <w:rsid w:val="00A76C26"/>
    <w:rsid w:val="00A76C5D"/>
    <w:rsid w:val="00A76CA9"/>
    <w:rsid w:val="00A76CFD"/>
    <w:rsid w:val="00A76DC8"/>
    <w:rsid w:val="00A76DE0"/>
    <w:rsid w:val="00A76E37"/>
    <w:rsid w:val="00A76EA6"/>
    <w:rsid w:val="00A76EB6"/>
    <w:rsid w:val="00A76EE1"/>
    <w:rsid w:val="00A76EEB"/>
    <w:rsid w:val="00A76F41"/>
    <w:rsid w:val="00A76F56"/>
    <w:rsid w:val="00A76F8A"/>
    <w:rsid w:val="00A77016"/>
    <w:rsid w:val="00A77059"/>
    <w:rsid w:val="00A7706A"/>
    <w:rsid w:val="00A77071"/>
    <w:rsid w:val="00A77116"/>
    <w:rsid w:val="00A7713B"/>
    <w:rsid w:val="00A7716C"/>
    <w:rsid w:val="00A771E2"/>
    <w:rsid w:val="00A771F8"/>
    <w:rsid w:val="00A77203"/>
    <w:rsid w:val="00A7721E"/>
    <w:rsid w:val="00A77242"/>
    <w:rsid w:val="00A7725A"/>
    <w:rsid w:val="00A772B0"/>
    <w:rsid w:val="00A77323"/>
    <w:rsid w:val="00A77365"/>
    <w:rsid w:val="00A773CF"/>
    <w:rsid w:val="00A773E1"/>
    <w:rsid w:val="00A773F5"/>
    <w:rsid w:val="00A773FE"/>
    <w:rsid w:val="00A7745D"/>
    <w:rsid w:val="00A77545"/>
    <w:rsid w:val="00A77575"/>
    <w:rsid w:val="00A77674"/>
    <w:rsid w:val="00A7768D"/>
    <w:rsid w:val="00A776A9"/>
    <w:rsid w:val="00A776C4"/>
    <w:rsid w:val="00A776CE"/>
    <w:rsid w:val="00A776DB"/>
    <w:rsid w:val="00A7773A"/>
    <w:rsid w:val="00A77742"/>
    <w:rsid w:val="00A777AA"/>
    <w:rsid w:val="00A777AF"/>
    <w:rsid w:val="00A7786A"/>
    <w:rsid w:val="00A778FD"/>
    <w:rsid w:val="00A77927"/>
    <w:rsid w:val="00A77995"/>
    <w:rsid w:val="00A779B3"/>
    <w:rsid w:val="00A779CD"/>
    <w:rsid w:val="00A779CF"/>
    <w:rsid w:val="00A77A06"/>
    <w:rsid w:val="00A77AD6"/>
    <w:rsid w:val="00A77B24"/>
    <w:rsid w:val="00A77B76"/>
    <w:rsid w:val="00A77BB8"/>
    <w:rsid w:val="00A77BEB"/>
    <w:rsid w:val="00A77BEF"/>
    <w:rsid w:val="00A77BFE"/>
    <w:rsid w:val="00A77C0A"/>
    <w:rsid w:val="00A77C16"/>
    <w:rsid w:val="00A77C82"/>
    <w:rsid w:val="00A77D0F"/>
    <w:rsid w:val="00A77D7F"/>
    <w:rsid w:val="00A77DA0"/>
    <w:rsid w:val="00A77DC3"/>
    <w:rsid w:val="00A77E12"/>
    <w:rsid w:val="00A77E15"/>
    <w:rsid w:val="00A77E1A"/>
    <w:rsid w:val="00A77E42"/>
    <w:rsid w:val="00A77E44"/>
    <w:rsid w:val="00A77E71"/>
    <w:rsid w:val="00A77EB0"/>
    <w:rsid w:val="00A77EE2"/>
    <w:rsid w:val="00A77F28"/>
    <w:rsid w:val="00A77F79"/>
    <w:rsid w:val="00A77F93"/>
    <w:rsid w:val="00A77FAA"/>
    <w:rsid w:val="00A77FF5"/>
    <w:rsid w:val="00A77FF6"/>
    <w:rsid w:val="00A8000A"/>
    <w:rsid w:val="00A8004C"/>
    <w:rsid w:val="00A800F2"/>
    <w:rsid w:val="00A80170"/>
    <w:rsid w:val="00A80192"/>
    <w:rsid w:val="00A80222"/>
    <w:rsid w:val="00A8030D"/>
    <w:rsid w:val="00A80343"/>
    <w:rsid w:val="00A8034D"/>
    <w:rsid w:val="00A8039E"/>
    <w:rsid w:val="00A803FF"/>
    <w:rsid w:val="00A80417"/>
    <w:rsid w:val="00A8043B"/>
    <w:rsid w:val="00A80508"/>
    <w:rsid w:val="00A8050A"/>
    <w:rsid w:val="00A8053B"/>
    <w:rsid w:val="00A80562"/>
    <w:rsid w:val="00A805AE"/>
    <w:rsid w:val="00A805BC"/>
    <w:rsid w:val="00A80623"/>
    <w:rsid w:val="00A80662"/>
    <w:rsid w:val="00A8068C"/>
    <w:rsid w:val="00A806BA"/>
    <w:rsid w:val="00A806BD"/>
    <w:rsid w:val="00A806EC"/>
    <w:rsid w:val="00A806FD"/>
    <w:rsid w:val="00A8071B"/>
    <w:rsid w:val="00A80730"/>
    <w:rsid w:val="00A8075D"/>
    <w:rsid w:val="00A807C6"/>
    <w:rsid w:val="00A807EA"/>
    <w:rsid w:val="00A80829"/>
    <w:rsid w:val="00A8089E"/>
    <w:rsid w:val="00A8094F"/>
    <w:rsid w:val="00A8095E"/>
    <w:rsid w:val="00A80968"/>
    <w:rsid w:val="00A80A47"/>
    <w:rsid w:val="00A80ACC"/>
    <w:rsid w:val="00A80B69"/>
    <w:rsid w:val="00A80B7C"/>
    <w:rsid w:val="00A80B8A"/>
    <w:rsid w:val="00A80BDF"/>
    <w:rsid w:val="00A80C1E"/>
    <w:rsid w:val="00A80C92"/>
    <w:rsid w:val="00A80CAA"/>
    <w:rsid w:val="00A80D0A"/>
    <w:rsid w:val="00A80D91"/>
    <w:rsid w:val="00A80DAD"/>
    <w:rsid w:val="00A80E01"/>
    <w:rsid w:val="00A80E65"/>
    <w:rsid w:val="00A80E9E"/>
    <w:rsid w:val="00A80EE7"/>
    <w:rsid w:val="00A80F53"/>
    <w:rsid w:val="00A80F5C"/>
    <w:rsid w:val="00A80F63"/>
    <w:rsid w:val="00A80FBC"/>
    <w:rsid w:val="00A80FC5"/>
    <w:rsid w:val="00A80FFD"/>
    <w:rsid w:val="00A81030"/>
    <w:rsid w:val="00A8106B"/>
    <w:rsid w:val="00A81073"/>
    <w:rsid w:val="00A81101"/>
    <w:rsid w:val="00A81163"/>
    <w:rsid w:val="00A81171"/>
    <w:rsid w:val="00A811BC"/>
    <w:rsid w:val="00A81225"/>
    <w:rsid w:val="00A81282"/>
    <w:rsid w:val="00A81289"/>
    <w:rsid w:val="00A812A1"/>
    <w:rsid w:val="00A812BC"/>
    <w:rsid w:val="00A812C0"/>
    <w:rsid w:val="00A812C7"/>
    <w:rsid w:val="00A812F4"/>
    <w:rsid w:val="00A81308"/>
    <w:rsid w:val="00A81382"/>
    <w:rsid w:val="00A813A5"/>
    <w:rsid w:val="00A813B5"/>
    <w:rsid w:val="00A813BD"/>
    <w:rsid w:val="00A813E5"/>
    <w:rsid w:val="00A81440"/>
    <w:rsid w:val="00A81473"/>
    <w:rsid w:val="00A8149F"/>
    <w:rsid w:val="00A81586"/>
    <w:rsid w:val="00A81592"/>
    <w:rsid w:val="00A815A0"/>
    <w:rsid w:val="00A815B8"/>
    <w:rsid w:val="00A816AA"/>
    <w:rsid w:val="00A816B0"/>
    <w:rsid w:val="00A816DF"/>
    <w:rsid w:val="00A81750"/>
    <w:rsid w:val="00A81861"/>
    <w:rsid w:val="00A81891"/>
    <w:rsid w:val="00A818A3"/>
    <w:rsid w:val="00A818EF"/>
    <w:rsid w:val="00A81936"/>
    <w:rsid w:val="00A81983"/>
    <w:rsid w:val="00A8198E"/>
    <w:rsid w:val="00A819A6"/>
    <w:rsid w:val="00A81A03"/>
    <w:rsid w:val="00A81A2B"/>
    <w:rsid w:val="00A81AAF"/>
    <w:rsid w:val="00A81ABC"/>
    <w:rsid w:val="00A81BBD"/>
    <w:rsid w:val="00A81BC5"/>
    <w:rsid w:val="00A81BDE"/>
    <w:rsid w:val="00A81C2D"/>
    <w:rsid w:val="00A81C73"/>
    <w:rsid w:val="00A81C74"/>
    <w:rsid w:val="00A81C7A"/>
    <w:rsid w:val="00A81D00"/>
    <w:rsid w:val="00A81D45"/>
    <w:rsid w:val="00A81D70"/>
    <w:rsid w:val="00A81DDA"/>
    <w:rsid w:val="00A81E21"/>
    <w:rsid w:val="00A81E93"/>
    <w:rsid w:val="00A81F45"/>
    <w:rsid w:val="00A81F95"/>
    <w:rsid w:val="00A81FA4"/>
    <w:rsid w:val="00A81FD6"/>
    <w:rsid w:val="00A82013"/>
    <w:rsid w:val="00A82018"/>
    <w:rsid w:val="00A82030"/>
    <w:rsid w:val="00A82045"/>
    <w:rsid w:val="00A8204E"/>
    <w:rsid w:val="00A8206E"/>
    <w:rsid w:val="00A82091"/>
    <w:rsid w:val="00A82094"/>
    <w:rsid w:val="00A820DA"/>
    <w:rsid w:val="00A820EA"/>
    <w:rsid w:val="00A82125"/>
    <w:rsid w:val="00A82141"/>
    <w:rsid w:val="00A821CB"/>
    <w:rsid w:val="00A8225E"/>
    <w:rsid w:val="00A822B5"/>
    <w:rsid w:val="00A822C7"/>
    <w:rsid w:val="00A822F6"/>
    <w:rsid w:val="00A8231A"/>
    <w:rsid w:val="00A82331"/>
    <w:rsid w:val="00A82333"/>
    <w:rsid w:val="00A82362"/>
    <w:rsid w:val="00A82432"/>
    <w:rsid w:val="00A82473"/>
    <w:rsid w:val="00A824B4"/>
    <w:rsid w:val="00A824F6"/>
    <w:rsid w:val="00A8252F"/>
    <w:rsid w:val="00A82540"/>
    <w:rsid w:val="00A82572"/>
    <w:rsid w:val="00A825A3"/>
    <w:rsid w:val="00A825BF"/>
    <w:rsid w:val="00A825DF"/>
    <w:rsid w:val="00A825EE"/>
    <w:rsid w:val="00A8260E"/>
    <w:rsid w:val="00A8265D"/>
    <w:rsid w:val="00A82682"/>
    <w:rsid w:val="00A826DA"/>
    <w:rsid w:val="00A8274B"/>
    <w:rsid w:val="00A82779"/>
    <w:rsid w:val="00A82781"/>
    <w:rsid w:val="00A827A7"/>
    <w:rsid w:val="00A8285B"/>
    <w:rsid w:val="00A8289F"/>
    <w:rsid w:val="00A828AB"/>
    <w:rsid w:val="00A82983"/>
    <w:rsid w:val="00A829AC"/>
    <w:rsid w:val="00A829B2"/>
    <w:rsid w:val="00A829E7"/>
    <w:rsid w:val="00A82A0D"/>
    <w:rsid w:val="00A82A6B"/>
    <w:rsid w:val="00A82ABB"/>
    <w:rsid w:val="00A82AD4"/>
    <w:rsid w:val="00A82B3C"/>
    <w:rsid w:val="00A82B46"/>
    <w:rsid w:val="00A82C17"/>
    <w:rsid w:val="00A82C68"/>
    <w:rsid w:val="00A82C99"/>
    <w:rsid w:val="00A82CE4"/>
    <w:rsid w:val="00A82CEC"/>
    <w:rsid w:val="00A82D1B"/>
    <w:rsid w:val="00A82D89"/>
    <w:rsid w:val="00A82DA0"/>
    <w:rsid w:val="00A82DB5"/>
    <w:rsid w:val="00A82DBD"/>
    <w:rsid w:val="00A82DDA"/>
    <w:rsid w:val="00A82F7B"/>
    <w:rsid w:val="00A82F82"/>
    <w:rsid w:val="00A82FC1"/>
    <w:rsid w:val="00A8300F"/>
    <w:rsid w:val="00A83023"/>
    <w:rsid w:val="00A83070"/>
    <w:rsid w:val="00A83080"/>
    <w:rsid w:val="00A8308E"/>
    <w:rsid w:val="00A83092"/>
    <w:rsid w:val="00A830DB"/>
    <w:rsid w:val="00A83112"/>
    <w:rsid w:val="00A8313D"/>
    <w:rsid w:val="00A8315D"/>
    <w:rsid w:val="00A83188"/>
    <w:rsid w:val="00A831CA"/>
    <w:rsid w:val="00A831CB"/>
    <w:rsid w:val="00A831CF"/>
    <w:rsid w:val="00A831DA"/>
    <w:rsid w:val="00A83211"/>
    <w:rsid w:val="00A83261"/>
    <w:rsid w:val="00A8328B"/>
    <w:rsid w:val="00A8332F"/>
    <w:rsid w:val="00A83345"/>
    <w:rsid w:val="00A833AE"/>
    <w:rsid w:val="00A833D9"/>
    <w:rsid w:val="00A83400"/>
    <w:rsid w:val="00A8340F"/>
    <w:rsid w:val="00A83434"/>
    <w:rsid w:val="00A8346C"/>
    <w:rsid w:val="00A834A8"/>
    <w:rsid w:val="00A834A9"/>
    <w:rsid w:val="00A834BD"/>
    <w:rsid w:val="00A834CF"/>
    <w:rsid w:val="00A83553"/>
    <w:rsid w:val="00A8357E"/>
    <w:rsid w:val="00A835F2"/>
    <w:rsid w:val="00A83611"/>
    <w:rsid w:val="00A83612"/>
    <w:rsid w:val="00A83655"/>
    <w:rsid w:val="00A83671"/>
    <w:rsid w:val="00A8376B"/>
    <w:rsid w:val="00A837C9"/>
    <w:rsid w:val="00A837DA"/>
    <w:rsid w:val="00A83813"/>
    <w:rsid w:val="00A83826"/>
    <w:rsid w:val="00A83883"/>
    <w:rsid w:val="00A838EA"/>
    <w:rsid w:val="00A83923"/>
    <w:rsid w:val="00A8395E"/>
    <w:rsid w:val="00A839C1"/>
    <w:rsid w:val="00A839E5"/>
    <w:rsid w:val="00A839F5"/>
    <w:rsid w:val="00A83A44"/>
    <w:rsid w:val="00A83A48"/>
    <w:rsid w:val="00A83A72"/>
    <w:rsid w:val="00A83AAD"/>
    <w:rsid w:val="00A83ABA"/>
    <w:rsid w:val="00A83B1F"/>
    <w:rsid w:val="00A83B52"/>
    <w:rsid w:val="00A83BE2"/>
    <w:rsid w:val="00A83C21"/>
    <w:rsid w:val="00A83C37"/>
    <w:rsid w:val="00A83C54"/>
    <w:rsid w:val="00A83CA6"/>
    <w:rsid w:val="00A83CA8"/>
    <w:rsid w:val="00A83CEA"/>
    <w:rsid w:val="00A83D0F"/>
    <w:rsid w:val="00A83D9E"/>
    <w:rsid w:val="00A83E2F"/>
    <w:rsid w:val="00A83E34"/>
    <w:rsid w:val="00A83FEE"/>
    <w:rsid w:val="00A84034"/>
    <w:rsid w:val="00A8407B"/>
    <w:rsid w:val="00A840B2"/>
    <w:rsid w:val="00A840E1"/>
    <w:rsid w:val="00A84106"/>
    <w:rsid w:val="00A84131"/>
    <w:rsid w:val="00A84148"/>
    <w:rsid w:val="00A842CB"/>
    <w:rsid w:val="00A8438B"/>
    <w:rsid w:val="00A843C4"/>
    <w:rsid w:val="00A8443D"/>
    <w:rsid w:val="00A844C2"/>
    <w:rsid w:val="00A844CA"/>
    <w:rsid w:val="00A844CF"/>
    <w:rsid w:val="00A84523"/>
    <w:rsid w:val="00A8452E"/>
    <w:rsid w:val="00A84537"/>
    <w:rsid w:val="00A8455D"/>
    <w:rsid w:val="00A84588"/>
    <w:rsid w:val="00A845A3"/>
    <w:rsid w:val="00A8461D"/>
    <w:rsid w:val="00A84652"/>
    <w:rsid w:val="00A84689"/>
    <w:rsid w:val="00A846E5"/>
    <w:rsid w:val="00A84711"/>
    <w:rsid w:val="00A8474B"/>
    <w:rsid w:val="00A847DF"/>
    <w:rsid w:val="00A847EF"/>
    <w:rsid w:val="00A84818"/>
    <w:rsid w:val="00A84868"/>
    <w:rsid w:val="00A849AE"/>
    <w:rsid w:val="00A849D9"/>
    <w:rsid w:val="00A849F1"/>
    <w:rsid w:val="00A84A0B"/>
    <w:rsid w:val="00A84A63"/>
    <w:rsid w:val="00A84A74"/>
    <w:rsid w:val="00A84A78"/>
    <w:rsid w:val="00A84A9C"/>
    <w:rsid w:val="00A84AEE"/>
    <w:rsid w:val="00A84B15"/>
    <w:rsid w:val="00A84B23"/>
    <w:rsid w:val="00A84BF8"/>
    <w:rsid w:val="00A84C59"/>
    <w:rsid w:val="00A84C91"/>
    <w:rsid w:val="00A84CB2"/>
    <w:rsid w:val="00A84D05"/>
    <w:rsid w:val="00A84D22"/>
    <w:rsid w:val="00A84D63"/>
    <w:rsid w:val="00A84D6E"/>
    <w:rsid w:val="00A84DA7"/>
    <w:rsid w:val="00A84DB0"/>
    <w:rsid w:val="00A84DC0"/>
    <w:rsid w:val="00A84E2C"/>
    <w:rsid w:val="00A84F0C"/>
    <w:rsid w:val="00A84F9E"/>
    <w:rsid w:val="00A85003"/>
    <w:rsid w:val="00A8504C"/>
    <w:rsid w:val="00A850D4"/>
    <w:rsid w:val="00A850EF"/>
    <w:rsid w:val="00A8518E"/>
    <w:rsid w:val="00A851A0"/>
    <w:rsid w:val="00A851E9"/>
    <w:rsid w:val="00A8524D"/>
    <w:rsid w:val="00A85270"/>
    <w:rsid w:val="00A852BE"/>
    <w:rsid w:val="00A852F0"/>
    <w:rsid w:val="00A8531F"/>
    <w:rsid w:val="00A853C5"/>
    <w:rsid w:val="00A853D6"/>
    <w:rsid w:val="00A853ED"/>
    <w:rsid w:val="00A8540B"/>
    <w:rsid w:val="00A8540F"/>
    <w:rsid w:val="00A85415"/>
    <w:rsid w:val="00A85457"/>
    <w:rsid w:val="00A8546E"/>
    <w:rsid w:val="00A85484"/>
    <w:rsid w:val="00A854AB"/>
    <w:rsid w:val="00A854B2"/>
    <w:rsid w:val="00A85569"/>
    <w:rsid w:val="00A8558D"/>
    <w:rsid w:val="00A85596"/>
    <w:rsid w:val="00A8559B"/>
    <w:rsid w:val="00A855C5"/>
    <w:rsid w:val="00A855E8"/>
    <w:rsid w:val="00A8563A"/>
    <w:rsid w:val="00A85696"/>
    <w:rsid w:val="00A8569C"/>
    <w:rsid w:val="00A856A6"/>
    <w:rsid w:val="00A856B6"/>
    <w:rsid w:val="00A85738"/>
    <w:rsid w:val="00A85775"/>
    <w:rsid w:val="00A85803"/>
    <w:rsid w:val="00A8580E"/>
    <w:rsid w:val="00A85827"/>
    <w:rsid w:val="00A85835"/>
    <w:rsid w:val="00A85847"/>
    <w:rsid w:val="00A85859"/>
    <w:rsid w:val="00A8587B"/>
    <w:rsid w:val="00A8589E"/>
    <w:rsid w:val="00A85917"/>
    <w:rsid w:val="00A859AD"/>
    <w:rsid w:val="00A859B9"/>
    <w:rsid w:val="00A859C0"/>
    <w:rsid w:val="00A859DA"/>
    <w:rsid w:val="00A85A09"/>
    <w:rsid w:val="00A85A4E"/>
    <w:rsid w:val="00A85A53"/>
    <w:rsid w:val="00A85AC8"/>
    <w:rsid w:val="00A85AC9"/>
    <w:rsid w:val="00A85B2D"/>
    <w:rsid w:val="00A85B61"/>
    <w:rsid w:val="00A85C41"/>
    <w:rsid w:val="00A85C67"/>
    <w:rsid w:val="00A85C92"/>
    <w:rsid w:val="00A85CF8"/>
    <w:rsid w:val="00A85D0D"/>
    <w:rsid w:val="00A85D3E"/>
    <w:rsid w:val="00A85DA4"/>
    <w:rsid w:val="00A85E1F"/>
    <w:rsid w:val="00A85E3B"/>
    <w:rsid w:val="00A85E50"/>
    <w:rsid w:val="00A85E9D"/>
    <w:rsid w:val="00A85ED9"/>
    <w:rsid w:val="00A85F69"/>
    <w:rsid w:val="00A85FEC"/>
    <w:rsid w:val="00A8604D"/>
    <w:rsid w:val="00A86053"/>
    <w:rsid w:val="00A86056"/>
    <w:rsid w:val="00A860D5"/>
    <w:rsid w:val="00A8615F"/>
    <w:rsid w:val="00A86219"/>
    <w:rsid w:val="00A8621F"/>
    <w:rsid w:val="00A86289"/>
    <w:rsid w:val="00A862D4"/>
    <w:rsid w:val="00A86314"/>
    <w:rsid w:val="00A8632F"/>
    <w:rsid w:val="00A86373"/>
    <w:rsid w:val="00A8646F"/>
    <w:rsid w:val="00A86485"/>
    <w:rsid w:val="00A8649A"/>
    <w:rsid w:val="00A864AA"/>
    <w:rsid w:val="00A864DA"/>
    <w:rsid w:val="00A86564"/>
    <w:rsid w:val="00A86566"/>
    <w:rsid w:val="00A86594"/>
    <w:rsid w:val="00A865EC"/>
    <w:rsid w:val="00A865EF"/>
    <w:rsid w:val="00A86614"/>
    <w:rsid w:val="00A8677B"/>
    <w:rsid w:val="00A8680B"/>
    <w:rsid w:val="00A86818"/>
    <w:rsid w:val="00A8682F"/>
    <w:rsid w:val="00A8687D"/>
    <w:rsid w:val="00A868ED"/>
    <w:rsid w:val="00A868FD"/>
    <w:rsid w:val="00A869F9"/>
    <w:rsid w:val="00A86A07"/>
    <w:rsid w:val="00A86A22"/>
    <w:rsid w:val="00A86A2C"/>
    <w:rsid w:val="00A86B17"/>
    <w:rsid w:val="00A86B3D"/>
    <w:rsid w:val="00A86B74"/>
    <w:rsid w:val="00A86C38"/>
    <w:rsid w:val="00A86CB7"/>
    <w:rsid w:val="00A86CC8"/>
    <w:rsid w:val="00A86CF8"/>
    <w:rsid w:val="00A86DE5"/>
    <w:rsid w:val="00A86E3F"/>
    <w:rsid w:val="00A86F76"/>
    <w:rsid w:val="00A86FDD"/>
    <w:rsid w:val="00A86FE3"/>
    <w:rsid w:val="00A87054"/>
    <w:rsid w:val="00A8706E"/>
    <w:rsid w:val="00A870AD"/>
    <w:rsid w:val="00A870DD"/>
    <w:rsid w:val="00A870FD"/>
    <w:rsid w:val="00A8714D"/>
    <w:rsid w:val="00A87157"/>
    <w:rsid w:val="00A87167"/>
    <w:rsid w:val="00A87197"/>
    <w:rsid w:val="00A87244"/>
    <w:rsid w:val="00A872D0"/>
    <w:rsid w:val="00A873C1"/>
    <w:rsid w:val="00A873CF"/>
    <w:rsid w:val="00A873D0"/>
    <w:rsid w:val="00A87494"/>
    <w:rsid w:val="00A874A3"/>
    <w:rsid w:val="00A87592"/>
    <w:rsid w:val="00A875AC"/>
    <w:rsid w:val="00A875C1"/>
    <w:rsid w:val="00A87677"/>
    <w:rsid w:val="00A87688"/>
    <w:rsid w:val="00A876A5"/>
    <w:rsid w:val="00A877C3"/>
    <w:rsid w:val="00A877D6"/>
    <w:rsid w:val="00A877E1"/>
    <w:rsid w:val="00A87824"/>
    <w:rsid w:val="00A87861"/>
    <w:rsid w:val="00A87889"/>
    <w:rsid w:val="00A87895"/>
    <w:rsid w:val="00A8791A"/>
    <w:rsid w:val="00A8791B"/>
    <w:rsid w:val="00A87926"/>
    <w:rsid w:val="00A8794A"/>
    <w:rsid w:val="00A87998"/>
    <w:rsid w:val="00A87A0D"/>
    <w:rsid w:val="00A87AB8"/>
    <w:rsid w:val="00A87B05"/>
    <w:rsid w:val="00A87B12"/>
    <w:rsid w:val="00A87B6E"/>
    <w:rsid w:val="00A87B91"/>
    <w:rsid w:val="00A87BE0"/>
    <w:rsid w:val="00A87BEE"/>
    <w:rsid w:val="00A87BF2"/>
    <w:rsid w:val="00A87C79"/>
    <w:rsid w:val="00A87C9B"/>
    <w:rsid w:val="00A87CF4"/>
    <w:rsid w:val="00A87D28"/>
    <w:rsid w:val="00A87D53"/>
    <w:rsid w:val="00A87D93"/>
    <w:rsid w:val="00A87E23"/>
    <w:rsid w:val="00A87E64"/>
    <w:rsid w:val="00A87EAF"/>
    <w:rsid w:val="00A87EFA"/>
    <w:rsid w:val="00A87F41"/>
    <w:rsid w:val="00A87F98"/>
    <w:rsid w:val="00A87FD4"/>
    <w:rsid w:val="00A87FDC"/>
    <w:rsid w:val="00A87FE2"/>
    <w:rsid w:val="00A87FE6"/>
    <w:rsid w:val="00A87FEA"/>
    <w:rsid w:val="00A900E4"/>
    <w:rsid w:val="00A901B2"/>
    <w:rsid w:val="00A901E2"/>
    <w:rsid w:val="00A90206"/>
    <w:rsid w:val="00A9021D"/>
    <w:rsid w:val="00A90221"/>
    <w:rsid w:val="00A902D0"/>
    <w:rsid w:val="00A90344"/>
    <w:rsid w:val="00A9039B"/>
    <w:rsid w:val="00A9039C"/>
    <w:rsid w:val="00A90405"/>
    <w:rsid w:val="00A90420"/>
    <w:rsid w:val="00A904ED"/>
    <w:rsid w:val="00A905B4"/>
    <w:rsid w:val="00A905BD"/>
    <w:rsid w:val="00A90614"/>
    <w:rsid w:val="00A90619"/>
    <w:rsid w:val="00A90662"/>
    <w:rsid w:val="00A90675"/>
    <w:rsid w:val="00A90676"/>
    <w:rsid w:val="00A9068E"/>
    <w:rsid w:val="00A906E2"/>
    <w:rsid w:val="00A90735"/>
    <w:rsid w:val="00A9073C"/>
    <w:rsid w:val="00A90744"/>
    <w:rsid w:val="00A907CB"/>
    <w:rsid w:val="00A907EF"/>
    <w:rsid w:val="00A90835"/>
    <w:rsid w:val="00A90892"/>
    <w:rsid w:val="00A909BD"/>
    <w:rsid w:val="00A909D9"/>
    <w:rsid w:val="00A90A13"/>
    <w:rsid w:val="00A90A74"/>
    <w:rsid w:val="00A90A7C"/>
    <w:rsid w:val="00A90A90"/>
    <w:rsid w:val="00A90AC0"/>
    <w:rsid w:val="00A90ACB"/>
    <w:rsid w:val="00A90CEB"/>
    <w:rsid w:val="00A90CF9"/>
    <w:rsid w:val="00A90D38"/>
    <w:rsid w:val="00A90D92"/>
    <w:rsid w:val="00A90DAA"/>
    <w:rsid w:val="00A90F34"/>
    <w:rsid w:val="00A90F51"/>
    <w:rsid w:val="00A90F5A"/>
    <w:rsid w:val="00A90FBE"/>
    <w:rsid w:val="00A90FE5"/>
    <w:rsid w:val="00A91038"/>
    <w:rsid w:val="00A91059"/>
    <w:rsid w:val="00A9109A"/>
    <w:rsid w:val="00A910A7"/>
    <w:rsid w:val="00A910DA"/>
    <w:rsid w:val="00A91127"/>
    <w:rsid w:val="00A91138"/>
    <w:rsid w:val="00A91151"/>
    <w:rsid w:val="00A91198"/>
    <w:rsid w:val="00A911B2"/>
    <w:rsid w:val="00A9123C"/>
    <w:rsid w:val="00A91242"/>
    <w:rsid w:val="00A91286"/>
    <w:rsid w:val="00A91315"/>
    <w:rsid w:val="00A91367"/>
    <w:rsid w:val="00A91389"/>
    <w:rsid w:val="00A91395"/>
    <w:rsid w:val="00A91494"/>
    <w:rsid w:val="00A91496"/>
    <w:rsid w:val="00A914EF"/>
    <w:rsid w:val="00A914FE"/>
    <w:rsid w:val="00A91501"/>
    <w:rsid w:val="00A91529"/>
    <w:rsid w:val="00A915F4"/>
    <w:rsid w:val="00A916DD"/>
    <w:rsid w:val="00A91702"/>
    <w:rsid w:val="00A917B7"/>
    <w:rsid w:val="00A91874"/>
    <w:rsid w:val="00A918A3"/>
    <w:rsid w:val="00A91902"/>
    <w:rsid w:val="00A91903"/>
    <w:rsid w:val="00A9190C"/>
    <w:rsid w:val="00A9191B"/>
    <w:rsid w:val="00A91986"/>
    <w:rsid w:val="00A9198E"/>
    <w:rsid w:val="00A91995"/>
    <w:rsid w:val="00A919FF"/>
    <w:rsid w:val="00A91A2E"/>
    <w:rsid w:val="00A91AB4"/>
    <w:rsid w:val="00A91AC9"/>
    <w:rsid w:val="00A91BEF"/>
    <w:rsid w:val="00A91BF4"/>
    <w:rsid w:val="00A91CB4"/>
    <w:rsid w:val="00A91CB6"/>
    <w:rsid w:val="00A91E9C"/>
    <w:rsid w:val="00A91F09"/>
    <w:rsid w:val="00A91FEE"/>
    <w:rsid w:val="00A92017"/>
    <w:rsid w:val="00A9204E"/>
    <w:rsid w:val="00A92088"/>
    <w:rsid w:val="00A9208D"/>
    <w:rsid w:val="00A9209D"/>
    <w:rsid w:val="00A920F3"/>
    <w:rsid w:val="00A9211B"/>
    <w:rsid w:val="00A92139"/>
    <w:rsid w:val="00A92147"/>
    <w:rsid w:val="00A9216B"/>
    <w:rsid w:val="00A92186"/>
    <w:rsid w:val="00A92189"/>
    <w:rsid w:val="00A9223E"/>
    <w:rsid w:val="00A92242"/>
    <w:rsid w:val="00A92260"/>
    <w:rsid w:val="00A9227F"/>
    <w:rsid w:val="00A92313"/>
    <w:rsid w:val="00A92354"/>
    <w:rsid w:val="00A92372"/>
    <w:rsid w:val="00A923A3"/>
    <w:rsid w:val="00A923B1"/>
    <w:rsid w:val="00A924D2"/>
    <w:rsid w:val="00A92536"/>
    <w:rsid w:val="00A9254F"/>
    <w:rsid w:val="00A92566"/>
    <w:rsid w:val="00A92581"/>
    <w:rsid w:val="00A9258F"/>
    <w:rsid w:val="00A925C6"/>
    <w:rsid w:val="00A925CF"/>
    <w:rsid w:val="00A92601"/>
    <w:rsid w:val="00A92636"/>
    <w:rsid w:val="00A9268A"/>
    <w:rsid w:val="00A92699"/>
    <w:rsid w:val="00A926B0"/>
    <w:rsid w:val="00A926E6"/>
    <w:rsid w:val="00A927BD"/>
    <w:rsid w:val="00A927FB"/>
    <w:rsid w:val="00A92844"/>
    <w:rsid w:val="00A92850"/>
    <w:rsid w:val="00A92860"/>
    <w:rsid w:val="00A9288C"/>
    <w:rsid w:val="00A928E5"/>
    <w:rsid w:val="00A928F7"/>
    <w:rsid w:val="00A92967"/>
    <w:rsid w:val="00A929DB"/>
    <w:rsid w:val="00A92A05"/>
    <w:rsid w:val="00A92A3F"/>
    <w:rsid w:val="00A92A69"/>
    <w:rsid w:val="00A92AA4"/>
    <w:rsid w:val="00A92AD0"/>
    <w:rsid w:val="00A92AF3"/>
    <w:rsid w:val="00A92B20"/>
    <w:rsid w:val="00A92B24"/>
    <w:rsid w:val="00A92B73"/>
    <w:rsid w:val="00A92BB4"/>
    <w:rsid w:val="00A92BFA"/>
    <w:rsid w:val="00A92C22"/>
    <w:rsid w:val="00A92C5A"/>
    <w:rsid w:val="00A92C5D"/>
    <w:rsid w:val="00A92C6F"/>
    <w:rsid w:val="00A92C8A"/>
    <w:rsid w:val="00A92CEF"/>
    <w:rsid w:val="00A92CF5"/>
    <w:rsid w:val="00A92D66"/>
    <w:rsid w:val="00A92D7F"/>
    <w:rsid w:val="00A92DF4"/>
    <w:rsid w:val="00A92E27"/>
    <w:rsid w:val="00A92E65"/>
    <w:rsid w:val="00A92EC1"/>
    <w:rsid w:val="00A92F7F"/>
    <w:rsid w:val="00A92F93"/>
    <w:rsid w:val="00A92FBB"/>
    <w:rsid w:val="00A92FE1"/>
    <w:rsid w:val="00A93031"/>
    <w:rsid w:val="00A930F9"/>
    <w:rsid w:val="00A930FD"/>
    <w:rsid w:val="00A9322C"/>
    <w:rsid w:val="00A9328F"/>
    <w:rsid w:val="00A932CE"/>
    <w:rsid w:val="00A9330D"/>
    <w:rsid w:val="00A9331F"/>
    <w:rsid w:val="00A9332E"/>
    <w:rsid w:val="00A9333F"/>
    <w:rsid w:val="00A93383"/>
    <w:rsid w:val="00A933FD"/>
    <w:rsid w:val="00A93401"/>
    <w:rsid w:val="00A9348F"/>
    <w:rsid w:val="00A93495"/>
    <w:rsid w:val="00A934C8"/>
    <w:rsid w:val="00A934D5"/>
    <w:rsid w:val="00A9352D"/>
    <w:rsid w:val="00A9355D"/>
    <w:rsid w:val="00A935C3"/>
    <w:rsid w:val="00A935EB"/>
    <w:rsid w:val="00A935FD"/>
    <w:rsid w:val="00A93689"/>
    <w:rsid w:val="00A936CD"/>
    <w:rsid w:val="00A937C5"/>
    <w:rsid w:val="00A937CF"/>
    <w:rsid w:val="00A937DB"/>
    <w:rsid w:val="00A93866"/>
    <w:rsid w:val="00A93880"/>
    <w:rsid w:val="00A938A5"/>
    <w:rsid w:val="00A938C4"/>
    <w:rsid w:val="00A938D4"/>
    <w:rsid w:val="00A938F7"/>
    <w:rsid w:val="00A93976"/>
    <w:rsid w:val="00A939A2"/>
    <w:rsid w:val="00A939E6"/>
    <w:rsid w:val="00A93A98"/>
    <w:rsid w:val="00A93AC9"/>
    <w:rsid w:val="00A93ACE"/>
    <w:rsid w:val="00A93AD9"/>
    <w:rsid w:val="00A93B0C"/>
    <w:rsid w:val="00A93B1B"/>
    <w:rsid w:val="00A93B3B"/>
    <w:rsid w:val="00A93BBD"/>
    <w:rsid w:val="00A93C38"/>
    <w:rsid w:val="00A93C5C"/>
    <w:rsid w:val="00A93C66"/>
    <w:rsid w:val="00A93D34"/>
    <w:rsid w:val="00A93DB1"/>
    <w:rsid w:val="00A93DD7"/>
    <w:rsid w:val="00A93DEA"/>
    <w:rsid w:val="00A93DEE"/>
    <w:rsid w:val="00A93E07"/>
    <w:rsid w:val="00A93E39"/>
    <w:rsid w:val="00A93E97"/>
    <w:rsid w:val="00A93E9A"/>
    <w:rsid w:val="00A93EAA"/>
    <w:rsid w:val="00A93ED6"/>
    <w:rsid w:val="00A93EE9"/>
    <w:rsid w:val="00A93EF9"/>
    <w:rsid w:val="00A93F0B"/>
    <w:rsid w:val="00A93F26"/>
    <w:rsid w:val="00A940BA"/>
    <w:rsid w:val="00A9412B"/>
    <w:rsid w:val="00A9417E"/>
    <w:rsid w:val="00A941B6"/>
    <w:rsid w:val="00A94215"/>
    <w:rsid w:val="00A94223"/>
    <w:rsid w:val="00A9423A"/>
    <w:rsid w:val="00A94243"/>
    <w:rsid w:val="00A9424A"/>
    <w:rsid w:val="00A94259"/>
    <w:rsid w:val="00A9428E"/>
    <w:rsid w:val="00A942FD"/>
    <w:rsid w:val="00A94300"/>
    <w:rsid w:val="00A943CA"/>
    <w:rsid w:val="00A944D2"/>
    <w:rsid w:val="00A94570"/>
    <w:rsid w:val="00A9459A"/>
    <w:rsid w:val="00A945A2"/>
    <w:rsid w:val="00A945B7"/>
    <w:rsid w:val="00A94640"/>
    <w:rsid w:val="00A94671"/>
    <w:rsid w:val="00A9468F"/>
    <w:rsid w:val="00A946B2"/>
    <w:rsid w:val="00A946D8"/>
    <w:rsid w:val="00A94722"/>
    <w:rsid w:val="00A9476C"/>
    <w:rsid w:val="00A9478D"/>
    <w:rsid w:val="00A947FA"/>
    <w:rsid w:val="00A94805"/>
    <w:rsid w:val="00A94831"/>
    <w:rsid w:val="00A9484B"/>
    <w:rsid w:val="00A94866"/>
    <w:rsid w:val="00A94901"/>
    <w:rsid w:val="00A94930"/>
    <w:rsid w:val="00A949F8"/>
    <w:rsid w:val="00A94A15"/>
    <w:rsid w:val="00A94AA8"/>
    <w:rsid w:val="00A94AD2"/>
    <w:rsid w:val="00A94AF7"/>
    <w:rsid w:val="00A94B76"/>
    <w:rsid w:val="00A94C04"/>
    <w:rsid w:val="00A94C15"/>
    <w:rsid w:val="00A94C9F"/>
    <w:rsid w:val="00A94CA2"/>
    <w:rsid w:val="00A94CD6"/>
    <w:rsid w:val="00A94CE3"/>
    <w:rsid w:val="00A94D55"/>
    <w:rsid w:val="00A94D9E"/>
    <w:rsid w:val="00A94DE7"/>
    <w:rsid w:val="00A94DE9"/>
    <w:rsid w:val="00A94EAC"/>
    <w:rsid w:val="00A94ECE"/>
    <w:rsid w:val="00A94EEB"/>
    <w:rsid w:val="00A94F22"/>
    <w:rsid w:val="00A94F3F"/>
    <w:rsid w:val="00A9505C"/>
    <w:rsid w:val="00A95065"/>
    <w:rsid w:val="00A9506C"/>
    <w:rsid w:val="00A95077"/>
    <w:rsid w:val="00A950D6"/>
    <w:rsid w:val="00A951F2"/>
    <w:rsid w:val="00A95224"/>
    <w:rsid w:val="00A9522E"/>
    <w:rsid w:val="00A953C7"/>
    <w:rsid w:val="00A9540C"/>
    <w:rsid w:val="00A95417"/>
    <w:rsid w:val="00A95421"/>
    <w:rsid w:val="00A95425"/>
    <w:rsid w:val="00A954A0"/>
    <w:rsid w:val="00A954B6"/>
    <w:rsid w:val="00A954BF"/>
    <w:rsid w:val="00A954C0"/>
    <w:rsid w:val="00A9551D"/>
    <w:rsid w:val="00A95543"/>
    <w:rsid w:val="00A955AE"/>
    <w:rsid w:val="00A955ED"/>
    <w:rsid w:val="00A95629"/>
    <w:rsid w:val="00A95654"/>
    <w:rsid w:val="00A95675"/>
    <w:rsid w:val="00A956DC"/>
    <w:rsid w:val="00A956FA"/>
    <w:rsid w:val="00A95756"/>
    <w:rsid w:val="00A9575E"/>
    <w:rsid w:val="00A9579F"/>
    <w:rsid w:val="00A957E8"/>
    <w:rsid w:val="00A9581F"/>
    <w:rsid w:val="00A95890"/>
    <w:rsid w:val="00A95968"/>
    <w:rsid w:val="00A959F1"/>
    <w:rsid w:val="00A95A06"/>
    <w:rsid w:val="00A95A1E"/>
    <w:rsid w:val="00A95B51"/>
    <w:rsid w:val="00A95BB8"/>
    <w:rsid w:val="00A95C0F"/>
    <w:rsid w:val="00A95C2F"/>
    <w:rsid w:val="00A95CB9"/>
    <w:rsid w:val="00A95CDC"/>
    <w:rsid w:val="00A95D26"/>
    <w:rsid w:val="00A95D4A"/>
    <w:rsid w:val="00A95E06"/>
    <w:rsid w:val="00A95E65"/>
    <w:rsid w:val="00A95ED5"/>
    <w:rsid w:val="00A95F02"/>
    <w:rsid w:val="00A95F1E"/>
    <w:rsid w:val="00A95F22"/>
    <w:rsid w:val="00A95F75"/>
    <w:rsid w:val="00A9603A"/>
    <w:rsid w:val="00A9603C"/>
    <w:rsid w:val="00A9608C"/>
    <w:rsid w:val="00A96093"/>
    <w:rsid w:val="00A96117"/>
    <w:rsid w:val="00A9612B"/>
    <w:rsid w:val="00A9614E"/>
    <w:rsid w:val="00A9617E"/>
    <w:rsid w:val="00A961AE"/>
    <w:rsid w:val="00A961CD"/>
    <w:rsid w:val="00A961E6"/>
    <w:rsid w:val="00A962CC"/>
    <w:rsid w:val="00A96375"/>
    <w:rsid w:val="00A963C7"/>
    <w:rsid w:val="00A96436"/>
    <w:rsid w:val="00A96558"/>
    <w:rsid w:val="00A9655F"/>
    <w:rsid w:val="00A96575"/>
    <w:rsid w:val="00A965AF"/>
    <w:rsid w:val="00A965BE"/>
    <w:rsid w:val="00A965FE"/>
    <w:rsid w:val="00A96656"/>
    <w:rsid w:val="00A966B2"/>
    <w:rsid w:val="00A966F4"/>
    <w:rsid w:val="00A96742"/>
    <w:rsid w:val="00A9679A"/>
    <w:rsid w:val="00A967D5"/>
    <w:rsid w:val="00A967D9"/>
    <w:rsid w:val="00A96806"/>
    <w:rsid w:val="00A96827"/>
    <w:rsid w:val="00A96855"/>
    <w:rsid w:val="00A96884"/>
    <w:rsid w:val="00A96935"/>
    <w:rsid w:val="00A9696D"/>
    <w:rsid w:val="00A969EC"/>
    <w:rsid w:val="00A96A35"/>
    <w:rsid w:val="00A96A53"/>
    <w:rsid w:val="00A96A94"/>
    <w:rsid w:val="00A96AE4"/>
    <w:rsid w:val="00A96B1A"/>
    <w:rsid w:val="00A96B3D"/>
    <w:rsid w:val="00A96B42"/>
    <w:rsid w:val="00A96BC4"/>
    <w:rsid w:val="00A96C1A"/>
    <w:rsid w:val="00A96C2F"/>
    <w:rsid w:val="00A96C78"/>
    <w:rsid w:val="00A96C88"/>
    <w:rsid w:val="00A96C90"/>
    <w:rsid w:val="00A96C93"/>
    <w:rsid w:val="00A96C9A"/>
    <w:rsid w:val="00A96D6B"/>
    <w:rsid w:val="00A96E01"/>
    <w:rsid w:val="00A96E64"/>
    <w:rsid w:val="00A96E8C"/>
    <w:rsid w:val="00A96EC7"/>
    <w:rsid w:val="00A96F3F"/>
    <w:rsid w:val="00A96F66"/>
    <w:rsid w:val="00A96F6D"/>
    <w:rsid w:val="00A96F92"/>
    <w:rsid w:val="00A96FD6"/>
    <w:rsid w:val="00A96FF3"/>
    <w:rsid w:val="00A9700E"/>
    <w:rsid w:val="00A97025"/>
    <w:rsid w:val="00A97081"/>
    <w:rsid w:val="00A970B3"/>
    <w:rsid w:val="00A970ED"/>
    <w:rsid w:val="00A97108"/>
    <w:rsid w:val="00A97136"/>
    <w:rsid w:val="00A97160"/>
    <w:rsid w:val="00A971C2"/>
    <w:rsid w:val="00A971D5"/>
    <w:rsid w:val="00A971DC"/>
    <w:rsid w:val="00A97249"/>
    <w:rsid w:val="00A97266"/>
    <w:rsid w:val="00A97273"/>
    <w:rsid w:val="00A9730B"/>
    <w:rsid w:val="00A973CA"/>
    <w:rsid w:val="00A9742D"/>
    <w:rsid w:val="00A97508"/>
    <w:rsid w:val="00A97515"/>
    <w:rsid w:val="00A97529"/>
    <w:rsid w:val="00A97536"/>
    <w:rsid w:val="00A97541"/>
    <w:rsid w:val="00A97580"/>
    <w:rsid w:val="00A975AA"/>
    <w:rsid w:val="00A975D6"/>
    <w:rsid w:val="00A975FE"/>
    <w:rsid w:val="00A97632"/>
    <w:rsid w:val="00A97683"/>
    <w:rsid w:val="00A97744"/>
    <w:rsid w:val="00A97754"/>
    <w:rsid w:val="00A977AA"/>
    <w:rsid w:val="00A97838"/>
    <w:rsid w:val="00A9784C"/>
    <w:rsid w:val="00A978A3"/>
    <w:rsid w:val="00A978C7"/>
    <w:rsid w:val="00A978CF"/>
    <w:rsid w:val="00A97936"/>
    <w:rsid w:val="00A9796C"/>
    <w:rsid w:val="00A979F1"/>
    <w:rsid w:val="00A97A14"/>
    <w:rsid w:val="00A97A1D"/>
    <w:rsid w:val="00A97A35"/>
    <w:rsid w:val="00A97A9D"/>
    <w:rsid w:val="00A97B14"/>
    <w:rsid w:val="00A97B16"/>
    <w:rsid w:val="00A97B5D"/>
    <w:rsid w:val="00A97B73"/>
    <w:rsid w:val="00A97B79"/>
    <w:rsid w:val="00A97B7F"/>
    <w:rsid w:val="00A97BD3"/>
    <w:rsid w:val="00A97C09"/>
    <w:rsid w:val="00A97C30"/>
    <w:rsid w:val="00A97C3E"/>
    <w:rsid w:val="00A97C58"/>
    <w:rsid w:val="00A97CBE"/>
    <w:rsid w:val="00A97CCA"/>
    <w:rsid w:val="00A97CCB"/>
    <w:rsid w:val="00A97CD6"/>
    <w:rsid w:val="00A97D25"/>
    <w:rsid w:val="00A97D30"/>
    <w:rsid w:val="00A97DB4"/>
    <w:rsid w:val="00A97DFE"/>
    <w:rsid w:val="00A97E57"/>
    <w:rsid w:val="00A97F28"/>
    <w:rsid w:val="00A97F3E"/>
    <w:rsid w:val="00A97F50"/>
    <w:rsid w:val="00A97FD2"/>
    <w:rsid w:val="00A97FF9"/>
    <w:rsid w:val="00AA00B9"/>
    <w:rsid w:val="00AA00E9"/>
    <w:rsid w:val="00AA0170"/>
    <w:rsid w:val="00AA020C"/>
    <w:rsid w:val="00AA0270"/>
    <w:rsid w:val="00AA0297"/>
    <w:rsid w:val="00AA02DD"/>
    <w:rsid w:val="00AA0332"/>
    <w:rsid w:val="00AA0359"/>
    <w:rsid w:val="00AA037B"/>
    <w:rsid w:val="00AA03AB"/>
    <w:rsid w:val="00AA03BE"/>
    <w:rsid w:val="00AA03E2"/>
    <w:rsid w:val="00AA045B"/>
    <w:rsid w:val="00AA04E1"/>
    <w:rsid w:val="00AA0522"/>
    <w:rsid w:val="00AA052F"/>
    <w:rsid w:val="00AA05CE"/>
    <w:rsid w:val="00AA0622"/>
    <w:rsid w:val="00AA0628"/>
    <w:rsid w:val="00AA062B"/>
    <w:rsid w:val="00AA065C"/>
    <w:rsid w:val="00AA0700"/>
    <w:rsid w:val="00AA071B"/>
    <w:rsid w:val="00AA071D"/>
    <w:rsid w:val="00AA0744"/>
    <w:rsid w:val="00AA0746"/>
    <w:rsid w:val="00AA084F"/>
    <w:rsid w:val="00AA0867"/>
    <w:rsid w:val="00AA0883"/>
    <w:rsid w:val="00AA08B7"/>
    <w:rsid w:val="00AA08B8"/>
    <w:rsid w:val="00AA0953"/>
    <w:rsid w:val="00AA0A28"/>
    <w:rsid w:val="00AA0A9B"/>
    <w:rsid w:val="00AA0AB9"/>
    <w:rsid w:val="00AA0AF8"/>
    <w:rsid w:val="00AA0B10"/>
    <w:rsid w:val="00AA0B27"/>
    <w:rsid w:val="00AA0B45"/>
    <w:rsid w:val="00AA0B64"/>
    <w:rsid w:val="00AA0B85"/>
    <w:rsid w:val="00AA0C28"/>
    <w:rsid w:val="00AA0C3B"/>
    <w:rsid w:val="00AA0CB5"/>
    <w:rsid w:val="00AA0D0B"/>
    <w:rsid w:val="00AA0D0E"/>
    <w:rsid w:val="00AA0D5D"/>
    <w:rsid w:val="00AA0D7F"/>
    <w:rsid w:val="00AA0D81"/>
    <w:rsid w:val="00AA0DAA"/>
    <w:rsid w:val="00AA0DBD"/>
    <w:rsid w:val="00AA0DBF"/>
    <w:rsid w:val="00AA0DCE"/>
    <w:rsid w:val="00AA0E1F"/>
    <w:rsid w:val="00AA0E88"/>
    <w:rsid w:val="00AA0EBF"/>
    <w:rsid w:val="00AA0EE7"/>
    <w:rsid w:val="00AA0FE5"/>
    <w:rsid w:val="00AA1039"/>
    <w:rsid w:val="00AA1048"/>
    <w:rsid w:val="00AA10A3"/>
    <w:rsid w:val="00AA10A4"/>
    <w:rsid w:val="00AA10B4"/>
    <w:rsid w:val="00AA10F7"/>
    <w:rsid w:val="00AA112F"/>
    <w:rsid w:val="00AA115C"/>
    <w:rsid w:val="00AA118A"/>
    <w:rsid w:val="00AA122D"/>
    <w:rsid w:val="00AA14A9"/>
    <w:rsid w:val="00AA154A"/>
    <w:rsid w:val="00AA1551"/>
    <w:rsid w:val="00AA1559"/>
    <w:rsid w:val="00AA1579"/>
    <w:rsid w:val="00AA159B"/>
    <w:rsid w:val="00AA164B"/>
    <w:rsid w:val="00AA1697"/>
    <w:rsid w:val="00AA16B4"/>
    <w:rsid w:val="00AA1712"/>
    <w:rsid w:val="00AA17D9"/>
    <w:rsid w:val="00AA17F9"/>
    <w:rsid w:val="00AA180C"/>
    <w:rsid w:val="00AA1842"/>
    <w:rsid w:val="00AA1852"/>
    <w:rsid w:val="00AA189A"/>
    <w:rsid w:val="00AA18C2"/>
    <w:rsid w:val="00AA18E7"/>
    <w:rsid w:val="00AA1908"/>
    <w:rsid w:val="00AA190B"/>
    <w:rsid w:val="00AA192B"/>
    <w:rsid w:val="00AA19B6"/>
    <w:rsid w:val="00AA19E8"/>
    <w:rsid w:val="00AA1A13"/>
    <w:rsid w:val="00AA1A4F"/>
    <w:rsid w:val="00AA1A51"/>
    <w:rsid w:val="00AA1A6F"/>
    <w:rsid w:val="00AA1A70"/>
    <w:rsid w:val="00AA1ACA"/>
    <w:rsid w:val="00AA1B9C"/>
    <w:rsid w:val="00AA1BD2"/>
    <w:rsid w:val="00AA1C07"/>
    <w:rsid w:val="00AA1C0C"/>
    <w:rsid w:val="00AA1C50"/>
    <w:rsid w:val="00AA1C76"/>
    <w:rsid w:val="00AA1C8B"/>
    <w:rsid w:val="00AA1CCD"/>
    <w:rsid w:val="00AA1CF2"/>
    <w:rsid w:val="00AA1D3F"/>
    <w:rsid w:val="00AA1D4A"/>
    <w:rsid w:val="00AA1D84"/>
    <w:rsid w:val="00AA1D89"/>
    <w:rsid w:val="00AA1DD3"/>
    <w:rsid w:val="00AA1DD8"/>
    <w:rsid w:val="00AA1E46"/>
    <w:rsid w:val="00AA1F84"/>
    <w:rsid w:val="00AA1FEF"/>
    <w:rsid w:val="00AA1FF4"/>
    <w:rsid w:val="00AA1FF7"/>
    <w:rsid w:val="00AA2019"/>
    <w:rsid w:val="00AA2031"/>
    <w:rsid w:val="00AA208A"/>
    <w:rsid w:val="00AA210C"/>
    <w:rsid w:val="00AA213D"/>
    <w:rsid w:val="00AA217B"/>
    <w:rsid w:val="00AA2284"/>
    <w:rsid w:val="00AA22B3"/>
    <w:rsid w:val="00AA23B4"/>
    <w:rsid w:val="00AA23C9"/>
    <w:rsid w:val="00AA23EB"/>
    <w:rsid w:val="00AA23F0"/>
    <w:rsid w:val="00AA2400"/>
    <w:rsid w:val="00AA2403"/>
    <w:rsid w:val="00AA243E"/>
    <w:rsid w:val="00AA24EE"/>
    <w:rsid w:val="00AA24F5"/>
    <w:rsid w:val="00AA254F"/>
    <w:rsid w:val="00AA2599"/>
    <w:rsid w:val="00AA25D2"/>
    <w:rsid w:val="00AA2600"/>
    <w:rsid w:val="00AA2610"/>
    <w:rsid w:val="00AA26AB"/>
    <w:rsid w:val="00AA26B5"/>
    <w:rsid w:val="00AA26DD"/>
    <w:rsid w:val="00AA2707"/>
    <w:rsid w:val="00AA270D"/>
    <w:rsid w:val="00AA2728"/>
    <w:rsid w:val="00AA272C"/>
    <w:rsid w:val="00AA2811"/>
    <w:rsid w:val="00AA2815"/>
    <w:rsid w:val="00AA2831"/>
    <w:rsid w:val="00AA28C7"/>
    <w:rsid w:val="00AA28F9"/>
    <w:rsid w:val="00AA2912"/>
    <w:rsid w:val="00AA2945"/>
    <w:rsid w:val="00AA2946"/>
    <w:rsid w:val="00AA2A00"/>
    <w:rsid w:val="00AA2A25"/>
    <w:rsid w:val="00AA2AE2"/>
    <w:rsid w:val="00AA2B87"/>
    <w:rsid w:val="00AA2C03"/>
    <w:rsid w:val="00AA2C1F"/>
    <w:rsid w:val="00AA2C43"/>
    <w:rsid w:val="00AA2C45"/>
    <w:rsid w:val="00AA2C69"/>
    <w:rsid w:val="00AA2C76"/>
    <w:rsid w:val="00AA2DD4"/>
    <w:rsid w:val="00AA2E4E"/>
    <w:rsid w:val="00AA2E68"/>
    <w:rsid w:val="00AA2EA9"/>
    <w:rsid w:val="00AA2F88"/>
    <w:rsid w:val="00AA2FC5"/>
    <w:rsid w:val="00AA2FCA"/>
    <w:rsid w:val="00AA2FD9"/>
    <w:rsid w:val="00AA3088"/>
    <w:rsid w:val="00AA30DE"/>
    <w:rsid w:val="00AA3114"/>
    <w:rsid w:val="00AA3122"/>
    <w:rsid w:val="00AA3175"/>
    <w:rsid w:val="00AA3214"/>
    <w:rsid w:val="00AA3231"/>
    <w:rsid w:val="00AA3255"/>
    <w:rsid w:val="00AA3298"/>
    <w:rsid w:val="00AA3306"/>
    <w:rsid w:val="00AA333D"/>
    <w:rsid w:val="00AA3356"/>
    <w:rsid w:val="00AA33C1"/>
    <w:rsid w:val="00AA34E0"/>
    <w:rsid w:val="00AA34E9"/>
    <w:rsid w:val="00AA3572"/>
    <w:rsid w:val="00AA35A3"/>
    <w:rsid w:val="00AA3677"/>
    <w:rsid w:val="00AA36E0"/>
    <w:rsid w:val="00AA36EF"/>
    <w:rsid w:val="00AA3742"/>
    <w:rsid w:val="00AA377D"/>
    <w:rsid w:val="00AA37A5"/>
    <w:rsid w:val="00AA37D9"/>
    <w:rsid w:val="00AA37DD"/>
    <w:rsid w:val="00AA3844"/>
    <w:rsid w:val="00AA3882"/>
    <w:rsid w:val="00AA3892"/>
    <w:rsid w:val="00AA38D1"/>
    <w:rsid w:val="00AA3988"/>
    <w:rsid w:val="00AA39B2"/>
    <w:rsid w:val="00AA3A0D"/>
    <w:rsid w:val="00AA3A20"/>
    <w:rsid w:val="00AA3AAF"/>
    <w:rsid w:val="00AA3B44"/>
    <w:rsid w:val="00AA3BF1"/>
    <w:rsid w:val="00AA3C4D"/>
    <w:rsid w:val="00AA3CB5"/>
    <w:rsid w:val="00AA3CED"/>
    <w:rsid w:val="00AA3D1D"/>
    <w:rsid w:val="00AA3D1F"/>
    <w:rsid w:val="00AA3D5D"/>
    <w:rsid w:val="00AA3D8C"/>
    <w:rsid w:val="00AA3DB3"/>
    <w:rsid w:val="00AA3DB6"/>
    <w:rsid w:val="00AA3E76"/>
    <w:rsid w:val="00AA3F63"/>
    <w:rsid w:val="00AA3F67"/>
    <w:rsid w:val="00AA3F9C"/>
    <w:rsid w:val="00AA4015"/>
    <w:rsid w:val="00AA404D"/>
    <w:rsid w:val="00AA408E"/>
    <w:rsid w:val="00AA40F4"/>
    <w:rsid w:val="00AA4124"/>
    <w:rsid w:val="00AA4187"/>
    <w:rsid w:val="00AA4193"/>
    <w:rsid w:val="00AA41E8"/>
    <w:rsid w:val="00AA4226"/>
    <w:rsid w:val="00AA425F"/>
    <w:rsid w:val="00AA427F"/>
    <w:rsid w:val="00AA4288"/>
    <w:rsid w:val="00AA42EC"/>
    <w:rsid w:val="00AA433C"/>
    <w:rsid w:val="00AA4365"/>
    <w:rsid w:val="00AA4366"/>
    <w:rsid w:val="00AA43F9"/>
    <w:rsid w:val="00AA4408"/>
    <w:rsid w:val="00AA444E"/>
    <w:rsid w:val="00AA4497"/>
    <w:rsid w:val="00AA449E"/>
    <w:rsid w:val="00AA44AF"/>
    <w:rsid w:val="00AA4550"/>
    <w:rsid w:val="00AA463A"/>
    <w:rsid w:val="00AA4652"/>
    <w:rsid w:val="00AA4678"/>
    <w:rsid w:val="00AA46C6"/>
    <w:rsid w:val="00AA4715"/>
    <w:rsid w:val="00AA478F"/>
    <w:rsid w:val="00AA4791"/>
    <w:rsid w:val="00AA47A4"/>
    <w:rsid w:val="00AA4800"/>
    <w:rsid w:val="00AA4805"/>
    <w:rsid w:val="00AA4836"/>
    <w:rsid w:val="00AA4843"/>
    <w:rsid w:val="00AA4877"/>
    <w:rsid w:val="00AA48BE"/>
    <w:rsid w:val="00AA4AD4"/>
    <w:rsid w:val="00AA4AF2"/>
    <w:rsid w:val="00AA4B8F"/>
    <w:rsid w:val="00AA4BB8"/>
    <w:rsid w:val="00AA4BB9"/>
    <w:rsid w:val="00AA4C0D"/>
    <w:rsid w:val="00AA4C2F"/>
    <w:rsid w:val="00AA4C7B"/>
    <w:rsid w:val="00AA4CF9"/>
    <w:rsid w:val="00AA4D94"/>
    <w:rsid w:val="00AA4DA3"/>
    <w:rsid w:val="00AA4E40"/>
    <w:rsid w:val="00AA4E64"/>
    <w:rsid w:val="00AA4E76"/>
    <w:rsid w:val="00AA4E95"/>
    <w:rsid w:val="00AA4E99"/>
    <w:rsid w:val="00AA4EA3"/>
    <w:rsid w:val="00AA4F2A"/>
    <w:rsid w:val="00AA4F51"/>
    <w:rsid w:val="00AA4FA4"/>
    <w:rsid w:val="00AA4FC9"/>
    <w:rsid w:val="00AA5075"/>
    <w:rsid w:val="00AA50B3"/>
    <w:rsid w:val="00AA512E"/>
    <w:rsid w:val="00AA514C"/>
    <w:rsid w:val="00AA5173"/>
    <w:rsid w:val="00AA518A"/>
    <w:rsid w:val="00AA51FF"/>
    <w:rsid w:val="00AA5206"/>
    <w:rsid w:val="00AA524C"/>
    <w:rsid w:val="00AA5254"/>
    <w:rsid w:val="00AA52AF"/>
    <w:rsid w:val="00AA5304"/>
    <w:rsid w:val="00AA5317"/>
    <w:rsid w:val="00AA531B"/>
    <w:rsid w:val="00AA5361"/>
    <w:rsid w:val="00AA5368"/>
    <w:rsid w:val="00AA53DE"/>
    <w:rsid w:val="00AA53F7"/>
    <w:rsid w:val="00AA541A"/>
    <w:rsid w:val="00AA54C7"/>
    <w:rsid w:val="00AA54E7"/>
    <w:rsid w:val="00AA5521"/>
    <w:rsid w:val="00AA5523"/>
    <w:rsid w:val="00AA5588"/>
    <w:rsid w:val="00AA55BC"/>
    <w:rsid w:val="00AA55DB"/>
    <w:rsid w:val="00AA563A"/>
    <w:rsid w:val="00AA5668"/>
    <w:rsid w:val="00AA5690"/>
    <w:rsid w:val="00AA5710"/>
    <w:rsid w:val="00AA5724"/>
    <w:rsid w:val="00AA5752"/>
    <w:rsid w:val="00AA5777"/>
    <w:rsid w:val="00AA5812"/>
    <w:rsid w:val="00AA5848"/>
    <w:rsid w:val="00AA5855"/>
    <w:rsid w:val="00AA5907"/>
    <w:rsid w:val="00AA5979"/>
    <w:rsid w:val="00AA59D0"/>
    <w:rsid w:val="00AA5A74"/>
    <w:rsid w:val="00AA5A99"/>
    <w:rsid w:val="00AA5ADD"/>
    <w:rsid w:val="00AA5B10"/>
    <w:rsid w:val="00AA5B52"/>
    <w:rsid w:val="00AA5C35"/>
    <w:rsid w:val="00AA5C7E"/>
    <w:rsid w:val="00AA5CCE"/>
    <w:rsid w:val="00AA5D22"/>
    <w:rsid w:val="00AA5DC4"/>
    <w:rsid w:val="00AA5DE5"/>
    <w:rsid w:val="00AA5E0D"/>
    <w:rsid w:val="00AA5E3D"/>
    <w:rsid w:val="00AA5E45"/>
    <w:rsid w:val="00AA5E7B"/>
    <w:rsid w:val="00AA5EE9"/>
    <w:rsid w:val="00AA5F1C"/>
    <w:rsid w:val="00AA5F41"/>
    <w:rsid w:val="00AA5F55"/>
    <w:rsid w:val="00AA5F90"/>
    <w:rsid w:val="00AA5FA5"/>
    <w:rsid w:val="00AA5FB8"/>
    <w:rsid w:val="00AA5FBE"/>
    <w:rsid w:val="00AA5FD2"/>
    <w:rsid w:val="00AA5FE9"/>
    <w:rsid w:val="00AA600C"/>
    <w:rsid w:val="00AA6051"/>
    <w:rsid w:val="00AA611E"/>
    <w:rsid w:val="00AA6153"/>
    <w:rsid w:val="00AA6154"/>
    <w:rsid w:val="00AA6194"/>
    <w:rsid w:val="00AA61BA"/>
    <w:rsid w:val="00AA62BD"/>
    <w:rsid w:val="00AA633C"/>
    <w:rsid w:val="00AA6384"/>
    <w:rsid w:val="00AA63CB"/>
    <w:rsid w:val="00AA63F9"/>
    <w:rsid w:val="00AA6466"/>
    <w:rsid w:val="00AA646D"/>
    <w:rsid w:val="00AA648B"/>
    <w:rsid w:val="00AA64DC"/>
    <w:rsid w:val="00AA64E3"/>
    <w:rsid w:val="00AA650D"/>
    <w:rsid w:val="00AA651A"/>
    <w:rsid w:val="00AA652E"/>
    <w:rsid w:val="00AA6533"/>
    <w:rsid w:val="00AA658C"/>
    <w:rsid w:val="00AA65B2"/>
    <w:rsid w:val="00AA65CE"/>
    <w:rsid w:val="00AA65E3"/>
    <w:rsid w:val="00AA660C"/>
    <w:rsid w:val="00AA662B"/>
    <w:rsid w:val="00AA666B"/>
    <w:rsid w:val="00AA66BA"/>
    <w:rsid w:val="00AA66E2"/>
    <w:rsid w:val="00AA6796"/>
    <w:rsid w:val="00AA6831"/>
    <w:rsid w:val="00AA68A0"/>
    <w:rsid w:val="00AA68AC"/>
    <w:rsid w:val="00AA68C1"/>
    <w:rsid w:val="00AA68D5"/>
    <w:rsid w:val="00AA68E7"/>
    <w:rsid w:val="00AA695D"/>
    <w:rsid w:val="00AA69AE"/>
    <w:rsid w:val="00AA6A2F"/>
    <w:rsid w:val="00AA6ACF"/>
    <w:rsid w:val="00AA6B30"/>
    <w:rsid w:val="00AA6B48"/>
    <w:rsid w:val="00AA6B93"/>
    <w:rsid w:val="00AA6B9B"/>
    <w:rsid w:val="00AA6BC8"/>
    <w:rsid w:val="00AA6C37"/>
    <w:rsid w:val="00AA6C6E"/>
    <w:rsid w:val="00AA6C9D"/>
    <w:rsid w:val="00AA6D16"/>
    <w:rsid w:val="00AA6DD9"/>
    <w:rsid w:val="00AA6E2A"/>
    <w:rsid w:val="00AA6E45"/>
    <w:rsid w:val="00AA6EB4"/>
    <w:rsid w:val="00AA6EF4"/>
    <w:rsid w:val="00AA6F6F"/>
    <w:rsid w:val="00AA6FB5"/>
    <w:rsid w:val="00AA7010"/>
    <w:rsid w:val="00AA7080"/>
    <w:rsid w:val="00AA7083"/>
    <w:rsid w:val="00AA71AB"/>
    <w:rsid w:val="00AA71EE"/>
    <w:rsid w:val="00AA7239"/>
    <w:rsid w:val="00AA7264"/>
    <w:rsid w:val="00AA72A7"/>
    <w:rsid w:val="00AA730C"/>
    <w:rsid w:val="00AA7319"/>
    <w:rsid w:val="00AA731B"/>
    <w:rsid w:val="00AA73DD"/>
    <w:rsid w:val="00AA73E8"/>
    <w:rsid w:val="00AA743C"/>
    <w:rsid w:val="00AA7457"/>
    <w:rsid w:val="00AA74D7"/>
    <w:rsid w:val="00AA74FD"/>
    <w:rsid w:val="00AA7525"/>
    <w:rsid w:val="00AA75F7"/>
    <w:rsid w:val="00AA766C"/>
    <w:rsid w:val="00AA766F"/>
    <w:rsid w:val="00AA767F"/>
    <w:rsid w:val="00AA76BC"/>
    <w:rsid w:val="00AA76DF"/>
    <w:rsid w:val="00AA76E3"/>
    <w:rsid w:val="00AA7711"/>
    <w:rsid w:val="00AA7724"/>
    <w:rsid w:val="00AA772A"/>
    <w:rsid w:val="00AA777C"/>
    <w:rsid w:val="00AA778B"/>
    <w:rsid w:val="00AA779B"/>
    <w:rsid w:val="00AA77BA"/>
    <w:rsid w:val="00AA781A"/>
    <w:rsid w:val="00AA7873"/>
    <w:rsid w:val="00AA78AD"/>
    <w:rsid w:val="00AA78F9"/>
    <w:rsid w:val="00AA7928"/>
    <w:rsid w:val="00AA799C"/>
    <w:rsid w:val="00AA7A62"/>
    <w:rsid w:val="00AA7B44"/>
    <w:rsid w:val="00AA7B52"/>
    <w:rsid w:val="00AA7B5B"/>
    <w:rsid w:val="00AA7B63"/>
    <w:rsid w:val="00AA7B89"/>
    <w:rsid w:val="00AA7B91"/>
    <w:rsid w:val="00AA7BB9"/>
    <w:rsid w:val="00AA7BCD"/>
    <w:rsid w:val="00AA7BD0"/>
    <w:rsid w:val="00AA7C7B"/>
    <w:rsid w:val="00AA7C88"/>
    <w:rsid w:val="00AA7D01"/>
    <w:rsid w:val="00AA7D3F"/>
    <w:rsid w:val="00AA7D7D"/>
    <w:rsid w:val="00AA7D92"/>
    <w:rsid w:val="00AA7D95"/>
    <w:rsid w:val="00AA7DA6"/>
    <w:rsid w:val="00AA7E3B"/>
    <w:rsid w:val="00AA7E3E"/>
    <w:rsid w:val="00AA7E71"/>
    <w:rsid w:val="00AA7E73"/>
    <w:rsid w:val="00AA7E85"/>
    <w:rsid w:val="00AA7EC5"/>
    <w:rsid w:val="00AA7ECB"/>
    <w:rsid w:val="00AA7F10"/>
    <w:rsid w:val="00AA7F66"/>
    <w:rsid w:val="00AB0093"/>
    <w:rsid w:val="00AB00A4"/>
    <w:rsid w:val="00AB0128"/>
    <w:rsid w:val="00AB014D"/>
    <w:rsid w:val="00AB0164"/>
    <w:rsid w:val="00AB01D0"/>
    <w:rsid w:val="00AB0212"/>
    <w:rsid w:val="00AB0220"/>
    <w:rsid w:val="00AB02D0"/>
    <w:rsid w:val="00AB031E"/>
    <w:rsid w:val="00AB03A4"/>
    <w:rsid w:val="00AB03DF"/>
    <w:rsid w:val="00AB0402"/>
    <w:rsid w:val="00AB0407"/>
    <w:rsid w:val="00AB046D"/>
    <w:rsid w:val="00AB0497"/>
    <w:rsid w:val="00AB04A2"/>
    <w:rsid w:val="00AB0536"/>
    <w:rsid w:val="00AB0562"/>
    <w:rsid w:val="00AB060E"/>
    <w:rsid w:val="00AB0642"/>
    <w:rsid w:val="00AB0647"/>
    <w:rsid w:val="00AB0650"/>
    <w:rsid w:val="00AB0690"/>
    <w:rsid w:val="00AB0691"/>
    <w:rsid w:val="00AB06EE"/>
    <w:rsid w:val="00AB06FE"/>
    <w:rsid w:val="00AB0785"/>
    <w:rsid w:val="00AB0796"/>
    <w:rsid w:val="00AB0798"/>
    <w:rsid w:val="00AB079F"/>
    <w:rsid w:val="00AB07C1"/>
    <w:rsid w:val="00AB0803"/>
    <w:rsid w:val="00AB0808"/>
    <w:rsid w:val="00AB081F"/>
    <w:rsid w:val="00AB0825"/>
    <w:rsid w:val="00AB0868"/>
    <w:rsid w:val="00AB0878"/>
    <w:rsid w:val="00AB088B"/>
    <w:rsid w:val="00AB08CD"/>
    <w:rsid w:val="00AB08EE"/>
    <w:rsid w:val="00AB0928"/>
    <w:rsid w:val="00AB093E"/>
    <w:rsid w:val="00AB0984"/>
    <w:rsid w:val="00AB0A05"/>
    <w:rsid w:val="00AB0A4A"/>
    <w:rsid w:val="00AB0A50"/>
    <w:rsid w:val="00AB0A64"/>
    <w:rsid w:val="00AB0A99"/>
    <w:rsid w:val="00AB0ADC"/>
    <w:rsid w:val="00AB0B0A"/>
    <w:rsid w:val="00AB0B32"/>
    <w:rsid w:val="00AB0B53"/>
    <w:rsid w:val="00AB0B71"/>
    <w:rsid w:val="00AB0B90"/>
    <w:rsid w:val="00AB0C25"/>
    <w:rsid w:val="00AB0C48"/>
    <w:rsid w:val="00AB0C57"/>
    <w:rsid w:val="00AB0C63"/>
    <w:rsid w:val="00AB0C8E"/>
    <w:rsid w:val="00AB0D5A"/>
    <w:rsid w:val="00AB0EA9"/>
    <w:rsid w:val="00AB0EB6"/>
    <w:rsid w:val="00AB0EBF"/>
    <w:rsid w:val="00AB0EFC"/>
    <w:rsid w:val="00AB0F23"/>
    <w:rsid w:val="00AB0F77"/>
    <w:rsid w:val="00AB0FDF"/>
    <w:rsid w:val="00AB1006"/>
    <w:rsid w:val="00AB1046"/>
    <w:rsid w:val="00AB1086"/>
    <w:rsid w:val="00AB108D"/>
    <w:rsid w:val="00AB10BE"/>
    <w:rsid w:val="00AB1104"/>
    <w:rsid w:val="00AB113A"/>
    <w:rsid w:val="00AB1192"/>
    <w:rsid w:val="00AB1194"/>
    <w:rsid w:val="00AB11A6"/>
    <w:rsid w:val="00AB11DC"/>
    <w:rsid w:val="00AB121A"/>
    <w:rsid w:val="00AB1257"/>
    <w:rsid w:val="00AB12DE"/>
    <w:rsid w:val="00AB1397"/>
    <w:rsid w:val="00AB1410"/>
    <w:rsid w:val="00AB1419"/>
    <w:rsid w:val="00AB142B"/>
    <w:rsid w:val="00AB1463"/>
    <w:rsid w:val="00AB149A"/>
    <w:rsid w:val="00AB149F"/>
    <w:rsid w:val="00AB14CB"/>
    <w:rsid w:val="00AB14DC"/>
    <w:rsid w:val="00AB153C"/>
    <w:rsid w:val="00AB1551"/>
    <w:rsid w:val="00AB155F"/>
    <w:rsid w:val="00AB1589"/>
    <w:rsid w:val="00AB15BC"/>
    <w:rsid w:val="00AB15C4"/>
    <w:rsid w:val="00AB15EF"/>
    <w:rsid w:val="00AB1620"/>
    <w:rsid w:val="00AB163F"/>
    <w:rsid w:val="00AB16AA"/>
    <w:rsid w:val="00AB16C4"/>
    <w:rsid w:val="00AB176B"/>
    <w:rsid w:val="00AB176F"/>
    <w:rsid w:val="00AB1789"/>
    <w:rsid w:val="00AB17C5"/>
    <w:rsid w:val="00AB17FB"/>
    <w:rsid w:val="00AB1842"/>
    <w:rsid w:val="00AB18A8"/>
    <w:rsid w:val="00AB1916"/>
    <w:rsid w:val="00AB1992"/>
    <w:rsid w:val="00AB1A76"/>
    <w:rsid w:val="00AB1A9A"/>
    <w:rsid w:val="00AB1AC0"/>
    <w:rsid w:val="00AB1AF9"/>
    <w:rsid w:val="00AB1B2F"/>
    <w:rsid w:val="00AB1B65"/>
    <w:rsid w:val="00AB1B87"/>
    <w:rsid w:val="00AB1BB2"/>
    <w:rsid w:val="00AB1BF0"/>
    <w:rsid w:val="00AB1C28"/>
    <w:rsid w:val="00AB1CBC"/>
    <w:rsid w:val="00AB1CDA"/>
    <w:rsid w:val="00AB1CF4"/>
    <w:rsid w:val="00AB1D82"/>
    <w:rsid w:val="00AB1DDF"/>
    <w:rsid w:val="00AB1E86"/>
    <w:rsid w:val="00AB1ED1"/>
    <w:rsid w:val="00AB1F10"/>
    <w:rsid w:val="00AB1F1F"/>
    <w:rsid w:val="00AB1F48"/>
    <w:rsid w:val="00AB1F71"/>
    <w:rsid w:val="00AB1F88"/>
    <w:rsid w:val="00AB1F93"/>
    <w:rsid w:val="00AB1FC1"/>
    <w:rsid w:val="00AB1FF6"/>
    <w:rsid w:val="00AB22A5"/>
    <w:rsid w:val="00AB2479"/>
    <w:rsid w:val="00AB2491"/>
    <w:rsid w:val="00AB24C6"/>
    <w:rsid w:val="00AB2508"/>
    <w:rsid w:val="00AB258A"/>
    <w:rsid w:val="00AB25B8"/>
    <w:rsid w:val="00AB25D9"/>
    <w:rsid w:val="00AB25E2"/>
    <w:rsid w:val="00AB26C9"/>
    <w:rsid w:val="00AB2719"/>
    <w:rsid w:val="00AB2720"/>
    <w:rsid w:val="00AB276F"/>
    <w:rsid w:val="00AB2779"/>
    <w:rsid w:val="00AB2797"/>
    <w:rsid w:val="00AB27B6"/>
    <w:rsid w:val="00AB27CA"/>
    <w:rsid w:val="00AB27EF"/>
    <w:rsid w:val="00AB27F1"/>
    <w:rsid w:val="00AB280D"/>
    <w:rsid w:val="00AB2813"/>
    <w:rsid w:val="00AB2829"/>
    <w:rsid w:val="00AB2861"/>
    <w:rsid w:val="00AB2928"/>
    <w:rsid w:val="00AB2975"/>
    <w:rsid w:val="00AB29B6"/>
    <w:rsid w:val="00AB29EB"/>
    <w:rsid w:val="00AB29FD"/>
    <w:rsid w:val="00AB2A36"/>
    <w:rsid w:val="00AB2A84"/>
    <w:rsid w:val="00AB2AFD"/>
    <w:rsid w:val="00AB2B64"/>
    <w:rsid w:val="00AB2BCB"/>
    <w:rsid w:val="00AB2C21"/>
    <w:rsid w:val="00AB2C3F"/>
    <w:rsid w:val="00AB2C56"/>
    <w:rsid w:val="00AB2D05"/>
    <w:rsid w:val="00AB2E52"/>
    <w:rsid w:val="00AB2EEA"/>
    <w:rsid w:val="00AB2F61"/>
    <w:rsid w:val="00AB2FB0"/>
    <w:rsid w:val="00AB2FCB"/>
    <w:rsid w:val="00AB2FDC"/>
    <w:rsid w:val="00AB3010"/>
    <w:rsid w:val="00AB3087"/>
    <w:rsid w:val="00AB30AF"/>
    <w:rsid w:val="00AB3163"/>
    <w:rsid w:val="00AB319A"/>
    <w:rsid w:val="00AB3216"/>
    <w:rsid w:val="00AB33B9"/>
    <w:rsid w:val="00AB33E2"/>
    <w:rsid w:val="00AB342C"/>
    <w:rsid w:val="00AB3485"/>
    <w:rsid w:val="00AB34B7"/>
    <w:rsid w:val="00AB35C2"/>
    <w:rsid w:val="00AB35F2"/>
    <w:rsid w:val="00AB367C"/>
    <w:rsid w:val="00AB36AA"/>
    <w:rsid w:val="00AB36F9"/>
    <w:rsid w:val="00AB3701"/>
    <w:rsid w:val="00AB3705"/>
    <w:rsid w:val="00AB3729"/>
    <w:rsid w:val="00AB37CE"/>
    <w:rsid w:val="00AB37EB"/>
    <w:rsid w:val="00AB3812"/>
    <w:rsid w:val="00AB3818"/>
    <w:rsid w:val="00AB383B"/>
    <w:rsid w:val="00AB383E"/>
    <w:rsid w:val="00AB384D"/>
    <w:rsid w:val="00AB3851"/>
    <w:rsid w:val="00AB3852"/>
    <w:rsid w:val="00AB38B0"/>
    <w:rsid w:val="00AB38B5"/>
    <w:rsid w:val="00AB38F6"/>
    <w:rsid w:val="00AB3915"/>
    <w:rsid w:val="00AB392F"/>
    <w:rsid w:val="00AB394E"/>
    <w:rsid w:val="00AB3951"/>
    <w:rsid w:val="00AB39A0"/>
    <w:rsid w:val="00AB39FC"/>
    <w:rsid w:val="00AB3A03"/>
    <w:rsid w:val="00AB3A34"/>
    <w:rsid w:val="00AB3A72"/>
    <w:rsid w:val="00AB3AD7"/>
    <w:rsid w:val="00AB3AFD"/>
    <w:rsid w:val="00AB3B70"/>
    <w:rsid w:val="00AB3BF2"/>
    <w:rsid w:val="00AB3C01"/>
    <w:rsid w:val="00AB3C38"/>
    <w:rsid w:val="00AB3C79"/>
    <w:rsid w:val="00AB3D24"/>
    <w:rsid w:val="00AB3D4E"/>
    <w:rsid w:val="00AB3DEE"/>
    <w:rsid w:val="00AB3E03"/>
    <w:rsid w:val="00AB3E26"/>
    <w:rsid w:val="00AB3EA4"/>
    <w:rsid w:val="00AB3F1A"/>
    <w:rsid w:val="00AB3FBB"/>
    <w:rsid w:val="00AB3FD5"/>
    <w:rsid w:val="00AB3FE3"/>
    <w:rsid w:val="00AB4018"/>
    <w:rsid w:val="00AB4090"/>
    <w:rsid w:val="00AB409E"/>
    <w:rsid w:val="00AB40DE"/>
    <w:rsid w:val="00AB410D"/>
    <w:rsid w:val="00AB417D"/>
    <w:rsid w:val="00AB4204"/>
    <w:rsid w:val="00AB4242"/>
    <w:rsid w:val="00AB42BC"/>
    <w:rsid w:val="00AB42C4"/>
    <w:rsid w:val="00AB42E7"/>
    <w:rsid w:val="00AB4319"/>
    <w:rsid w:val="00AB431F"/>
    <w:rsid w:val="00AB432B"/>
    <w:rsid w:val="00AB438F"/>
    <w:rsid w:val="00AB43D4"/>
    <w:rsid w:val="00AB444F"/>
    <w:rsid w:val="00AB4489"/>
    <w:rsid w:val="00AB4497"/>
    <w:rsid w:val="00AB44E7"/>
    <w:rsid w:val="00AB44F0"/>
    <w:rsid w:val="00AB4527"/>
    <w:rsid w:val="00AB45A4"/>
    <w:rsid w:val="00AB4613"/>
    <w:rsid w:val="00AB4653"/>
    <w:rsid w:val="00AB4669"/>
    <w:rsid w:val="00AB466A"/>
    <w:rsid w:val="00AB4688"/>
    <w:rsid w:val="00AB4752"/>
    <w:rsid w:val="00AB4757"/>
    <w:rsid w:val="00AB47BF"/>
    <w:rsid w:val="00AB47CE"/>
    <w:rsid w:val="00AB480A"/>
    <w:rsid w:val="00AB4841"/>
    <w:rsid w:val="00AB487E"/>
    <w:rsid w:val="00AB4889"/>
    <w:rsid w:val="00AB48A8"/>
    <w:rsid w:val="00AB48C8"/>
    <w:rsid w:val="00AB498F"/>
    <w:rsid w:val="00AB49A5"/>
    <w:rsid w:val="00AB49F5"/>
    <w:rsid w:val="00AB49F8"/>
    <w:rsid w:val="00AB4A8C"/>
    <w:rsid w:val="00AB4B70"/>
    <w:rsid w:val="00AB4B78"/>
    <w:rsid w:val="00AB4BA5"/>
    <w:rsid w:val="00AB4BD9"/>
    <w:rsid w:val="00AB4BF9"/>
    <w:rsid w:val="00AB4C22"/>
    <w:rsid w:val="00AB4C5B"/>
    <w:rsid w:val="00AB4CC2"/>
    <w:rsid w:val="00AB4D21"/>
    <w:rsid w:val="00AB4D63"/>
    <w:rsid w:val="00AB4EB4"/>
    <w:rsid w:val="00AB4ECD"/>
    <w:rsid w:val="00AB4EEB"/>
    <w:rsid w:val="00AB4EFC"/>
    <w:rsid w:val="00AB4FB7"/>
    <w:rsid w:val="00AB500B"/>
    <w:rsid w:val="00AB500D"/>
    <w:rsid w:val="00AB5026"/>
    <w:rsid w:val="00AB5098"/>
    <w:rsid w:val="00AB5139"/>
    <w:rsid w:val="00AB5166"/>
    <w:rsid w:val="00AB519A"/>
    <w:rsid w:val="00AB51D3"/>
    <w:rsid w:val="00AB5213"/>
    <w:rsid w:val="00AB523B"/>
    <w:rsid w:val="00AB5361"/>
    <w:rsid w:val="00AB53A0"/>
    <w:rsid w:val="00AB53AC"/>
    <w:rsid w:val="00AB5409"/>
    <w:rsid w:val="00AB5441"/>
    <w:rsid w:val="00AB5465"/>
    <w:rsid w:val="00AB5549"/>
    <w:rsid w:val="00AB559C"/>
    <w:rsid w:val="00AB55B1"/>
    <w:rsid w:val="00AB55D9"/>
    <w:rsid w:val="00AB5678"/>
    <w:rsid w:val="00AB5681"/>
    <w:rsid w:val="00AB568B"/>
    <w:rsid w:val="00AB56CE"/>
    <w:rsid w:val="00AB56DD"/>
    <w:rsid w:val="00AB570E"/>
    <w:rsid w:val="00AB573C"/>
    <w:rsid w:val="00AB575E"/>
    <w:rsid w:val="00AB577C"/>
    <w:rsid w:val="00AB57A3"/>
    <w:rsid w:val="00AB57DF"/>
    <w:rsid w:val="00AB57F6"/>
    <w:rsid w:val="00AB5856"/>
    <w:rsid w:val="00AB5864"/>
    <w:rsid w:val="00AB5907"/>
    <w:rsid w:val="00AB590F"/>
    <w:rsid w:val="00AB595E"/>
    <w:rsid w:val="00AB596C"/>
    <w:rsid w:val="00AB59D9"/>
    <w:rsid w:val="00AB5A19"/>
    <w:rsid w:val="00AB5AD5"/>
    <w:rsid w:val="00AB5AEE"/>
    <w:rsid w:val="00AB5B02"/>
    <w:rsid w:val="00AB5B23"/>
    <w:rsid w:val="00AB5B3A"/>
    <w:rsid w:val="00AB5BD0"/>
    <w:rsid w:val="00AB5C18"/>
    <w:rsid w:val="00AB5C98"/>
    <w:rsid w:val="00AB5CDA"/>
    <w:rsid w:val="00AB5D99"/>
    <w:rsid w:val="00AB5DA6"/>
    <w:rsid w:val="00AB5E2A"/>
    <w:rsid w:val="00AB5E33"/>
    <w:rsid w:val="00AB5E54"/>
    <w:rsid w:val="00AB5E6C"/>
    <w:rsid w:val="00AB5F02"/>
    <w:rsid w:val="00AB5F21"/>
    <w:rsid w:val="00AB5F3A"/>
    <w:rsid w:val="00AB5F6C"/>
    <w:rsid w:val="00AB5F8A"/>
    <w:rsid w:val="00AB5FC6"/>
    <w:rsid w:val="00AB6056"/>
    <w:rsid w:val="00AB606A"/>
    <w:rsid w:val="00AB6104"/>
    <w:rsid w:val="00AB610E"/>
    <w:rsid w:val="00AB6153"/>
    <w:rsid w:val="00AB6168"/>
    <w:rsid w:val="00AB616A"/>
    <w:rsid w:val="00AB61B4"/>
    <w:rsid w:val="00AB61DD"/>
    <w:rsid w:val="00AB624F"/>
    <w:rsid w:val="00AB6485"/>
    <w:rsid w:val="00AB64BC"/>
    <w:rsid w:val="00AB64FA"/>
    <w:rsid w:val="00AB6512"/>
    <w:rsid w:val="00AB65C0"/>
    <w:rsid w:val="00AB65EC"/>
    <w:rsid w:val="00AB6617"/>
    <w:rsid w:val="00AB661F"/>
    <w:rsid w:val="00AB66AC"/>
    <w:rsid w:val="00AB66C8"/>
    <w:rsid w:val="00AB66D1"/>
    <w:rsid w:val="00AB66DB"/>
    <w:rsid w:val="00AB674D"/>
    <w:rsid w:val="00AB678B"/>
    <w:rsid w:val="00AB6822"/>
    <w:rsid w:val="00AB684E"/>
    <w:rsid w:val="00AB686F"/>
    <w:rsid w:val="00AB6893"/>
    <w:rsid w:val="00AB68CC"/>
    <w:rsid w:val="00AB6904"/>
    <w:rsid w:val="00AB6959"/>
    <w:rsid w:val="00AB69B1"/>
    <w:rsid w:val="00AB6A90"/>
    <w:rsid w:val="00AB6AE8"/>
    <w:rsid w:val="00AB6B3A"/>
    <w:rsid w:val="00AB6B3C"/>
    <w:rsid w:val="00AB6B52"/>
    <w:rsid w:val="00AB6B60"/>
    <w:rsid w:val="00AB6BDE"/>
    <w:rsid w:val="00AB6BEE"/>
    <w:rsid w:val="00AB6C33"/>
    <w:rsid w:val="00AB6C84"/>
    <w:rsid w:val="00AB6CD0"/>
    <w:rsid w:val="00AB6CDD"/>
    <w:rsid w:val="00AB6D04"/>
    <w:rsid w:val="00AB6D0A"/>
    <w:rsid w:val="00AB6D15"/>
    <w:rsid w:val="00AB6D75"/>
    <w:rsid w:val="00AB6DA5"/>
    <w:rsid w:val="00AB6DB6"/>
    <w:rsid w:val="00AB6DCC"/>
    <w:rsid w:val="00AB6DEA"/>
    <w:rsid w:val="00AB6E22"/>
    <w:rsid w:val="00AB6E3D"/>
    <w:rsid w:val="00AB6E53"/>
    <w:rsid w:val="00AB6F02"/>
    <w:rsid w:val="00AB6F6C"/>
    <w:rsid w:val="00AB6F93"/>
    <w:rsid w:val="00AB6FBF"/>
    <w:rsid w:val="00AB6FE7"/>
    <w:rsid w:val="00AB70AD"/>
    <w:rsid w:val="00AB70C0"/>
    <w:rsid w:val="00AB711B"/>
    <w:rsid w:val="00AB7134"/>
    <w:rsid w:val="00AB713D"/>
    <w:rsid w:val="00AB71F9"/>
    <w:rsid w:val="00AB727A"/>
    <w:rsid w:val="00AB72FE"/>
    <w:rsid w:val="00AB7318"/>
    <w:rsid w:val="00AB7329"/>
    <w:rsid w:val="00AB7332"/>
    <w:rsid w:val="00AB7436"/>
    <w:rsid w:val="00AB7457"/>
    <w:rsid w:val="00AB7595"/>
    <w:rsid w:val="00AB75CD"/>
    <w:rsid w:val="00AB75FB"/>
    <w:rsid w:val="00AB76EB"/>
    <w:rsid w:val="00AB76F6"/>
    <w:rsid w:val="00AB7707"/>
    <w:rsid w:val="00AB7718"/>
    <w:rsid w:val="00AB7792"/>
    <w:rsid w:val="00AB7798"/>
    <w:rsid w:val="00AB7805"/>
    <w:rsid w:val="00AB7864"/>
    <w:rsid w:val="00AB78C1"/>
    <w:rsid w:val="00AB78C7"/>
    <w:rsid w:val="00AB78CD"/>
    <w:rsid w:val="00AB7920"/>
    <w:rsid w:val="00AB792D"/>
    <w:rsid w:val="00AB79BD"/>
    <w:rsid w:val="00AB79D0"/>
    <w:rsid w:val="00AB7A0A"/>
    <w:rsid w:val="00AB7A40"/>
    <w:rsid w:val="00AB7A68"/>
    <w:rsid w:val="00AB7A83"/>
    <w:rsid w:val="00AB7B68"/>
    <w:rsid w:val="00AB7CDB"/>
    <w:rsid w:val="00AB7CE4"/>
    <w:rsid w:val="00AB7D60"/>
    <w:rsid w:val="00AB7E37"/>
    <w:rsid w:val="00AB7E97"/>
    <w:rsid w:val="00AB7F37"/>
    <w:rsid w:val="00AC003A"/>
    <w:rsid w:val="00AC0050"/>
    <w:rsid w:val="00AC00B7"/>
    <w:rsid w:val="00AC012A"/>
    <w:rsid w:val="00AC0143"/>
    <w:rsid w:val="00AC018F"/>
    <w:rsid w:val="00AC01AA"/>
    <w:rsid w:val="00AC029E"/>
    <w:rsid w:val="00AC02A6"/>
    <w:rsid w:val="00AC02C1"/>
    <w:rsid w:val="00AC034D"/>
    <w:rsid w:val="00AC0378"/>
    <w:rsid w:val="00AC03A1"/>
    <w:rsid w:val="00AC03B8"/>
    <w:rsid w:val="00AC0430"/>
    <w:rsid w:val="00AC0455"/>
    <w:rsid w:val="00AC045D"/>
    <w:rsid w:val="00AC048D"/>
    <w:rsid w:val="00AC05DE"/>
    <w:rsid w:val="00AC060F"/>
    <w:rsid w:val="00AC06E7"/>
    <w:rsid w:val="00AC0738"/>
    <w:rsid w:val="00AC0757"/>
    <w:rsid w:val="00AC07CC"/>
    <w:rsid w:val="00AC084B"/>
    <w:rsid w:val="00AC0853"/>
    <w:rsid w:val="00AC08BC"/>
    <w:rsid w:val="00AC092C"/>
    <w:rsid w:val="00AC09C9"/>
    <w:rsid w:val="00AC09D6"/>
    <w:rsid w:val="00AC0AC6"/>
    <w:rsid w:val="00AC0AE7"/>
    <w:rsid w:val="00AC0AED"/>
    <w:rsid w:val="00AC0B33"/>
    <w:rsid w:val="00AC0B38"/>
    <w:rsid w:val="00AC0B3A"/>
    <w:rsid w:val="00AC0BB2"/>
    <w:rsid w:val="00AC0BFC"/>
    <w:rsid w:val="00AC0C02"/>
    <w:rsid w:val="00AC0C91"/>
    <w:rsid w:val="00AC0CE8"/>
    <w:rsid w:val="00AC0D27"/>
    <w:rsid w:val="00AC0D40"/>
    <w:rsid w:val="00AC0D9C"/>
    <w:rsid w:val="00AC0DD0"/>
    <w:rsid w:val="00AC0E0A"/>
    <w:rsid w:val="00AC0E19"/>
    <w:rsid w:val="00AC0E32"/>
    <w:rsid w:val="00AC0F2A"/>
    <w:rsid w:val="00AC0F34"/>
    <w:rsid w:val="00AC0F72"/>
    <w:rsid w:val="00AC1027"/>
    <w:rsid w:val="00AC103A"/>
    <w:rsid w:val="00AC1041"/>
    <w:rsid w:val="00AC106B"/>
    <w:rsid w:val="00AC107C"/>
    <w:rsid w:val="00AC1137"/>
    <w:rsid w:val="00AC1178"/>
    <w:rsid w:val="00AC11EA"/>
    <w:rsid w:val="00AC1260"/>
    <w:rsid w:val="00AC129D"/>
    <w:rsid w:val="00AC12F3"/>
    <w:rsid w:val="00AC133D"/>
    <w:rsid w:val="00AC1383"/>
    <w:rsid w:val="00AC13E2"/>
    <w:rsid w:val="00AC1455"/>
    <w:rsid w:val="00AC14D2"/>
    <w:rsid w:val="00AC1532"/>
    <w:rsid w:val="00AC1573"/>
    <w:rsid w:val="00AC15BC"/>
    <w:rsid w:val="00AC15E1"/>
    <w:rsid w:val="00AC1657"/>
    <w:rsid w:val="00AC16AE"/>
    <w:rsid w:val="00AC16EC"/>
    <w:rsid w:val="00AC1703"/>
    <w:rsid w:val="00AC1715"/>
    <w:rsid w:val="00AC172D"/>
    <w:rsid w:val="00AC1793"/>
    <w:rsid w:val="00AC1818"/>
    <w:rsid w:val="00AC184C"/>
    <w:rsid w:val="00AC1860"/>
    <w:rsid w:val="00AC186A"/>
    <w:rsid w:val="00AC1895"/>
    <w:rsid w:val="00AC18A2"/>
    <w:rsid w:val="00AC18DD"/>
    <w:rsid w:val="00AC18FB"/>
    <w:rsid w:val="00AC198D"/>
    <w:rsid w:val="00AC19A9"/>
    <w:rsid w:val="00AC19B4"/>
    <w:rsid w:val="00AC1A27"/>
    <w:rsid w:val="00AC1AD3"/>
    <w:rsid w:val="00AC1B0E"/>
    <w:rsid w:val="00AC1B71"/>
    <w:rsid w:val="00AC1C03"/>
    <w:rsid w:val="00AC1C3E"/>
    <w:rsid w:val="00AC1C91"/>
    <w:rsid w:val="00AC1CBA"/>
    <w:rsid w:val="00AC1D50"/>
    <w:rsid w:val="00AC1D97"/>
    <w:rsid w:val="00AC1DD6"/>
    <w:rsid w:val="00AC1DF4"/>
    <w:rsid w:val="00AC1DFC"/>
    <w:rsid w:val="00AC1E7B"/>
    <w:rsid w:val="00AC1EB5"/>
    <w:rsid w:val="00AC1EC0"/>
    <w:rsid w:val="00AC1EE2"/>
    <w:rsid w:val="00AC1F39"/>
    <w:rsid w:val="00AC1F64"/>
    <w:rsid w:val="00AC1FA2"/>
    <w:rsid w:val="00AC200A"/>
    <w:rsid w:val="00AC2088"/>
    <w:rsid w:val="00AC209D"/>
    <w:rsid w:val="00AC20A0"/>
    <w:rsid w:val="00AC20B4"/>
    <w:rsid w:val="00AC20EF"/>
    <w:rsid w:val="00AC2121"/>
    <w:rsid w:val="00AC2122"/>
    <w:rsid w:val="00AC21A3"/>
    <w:rsid w:val="00AC21AC"/>
    <w:rsid w:val="00AC21E9"/>
    <w:rsid w:val="00AC21F3"/>
    <w:rsid w:val="00AC221E"/>
    <w:rsid w:val="00AC225C"/>
    <w:rsid w:val="00AC2274"/>
    <w:rsid w:val="00AC22D1"/>
    <w:rsid w:val="00AC2307"/>
    <w:rsid w:val="00AC2415"/>
    <w:rsid w:val="00AC2445"/>
    <w:rsid w:val="00AC2479"/>
    <w:rsid w:val="00AC2498"/>
    <w:rsid w:val="00AC24A2"/>
    <w:rsid w:val="00AC24BD"/>
    <w:rsid w:val="00AC24E5"/>
    <w:rsid w:val="00AC2504"/>
    <w:rsid w:val="00AC2546"/>
    <w:rsid w:val="00AC2589"/>
    <w:rsid w:val="00AC25A0"/>
    <w:rsid w:val="00AC25EF"/>
    <w:rsid w:val="00AC2608"/>
    <w:rsid w:val="00AC2658"/>
    <w:rsid w:val="00AC26AC"/>
    <w:rsid w:val="00AC26F1"/>
    <w:rsid w:val="00AC270C"/>
    <w:rsid w:val="00AC271E"/>
    <w:rsid w:val="00AC27CA"/>
    <w:rsid w:val="00AC28C5"/>
    <w:rsid w:val="00AC28D7"/>
    <w:rsid w:val="00AC28EE"/>
    <w:rsid w:val="00AC294D"/>
    <w:rsid w:val="00AC29AA"/>
    <w:rsid w:val="00AC29DA"/>
    <w:rsid w:val="00AC29F5"/>
    <w:rsid w:val="00AC2A07"/>
    <w:rsid w:val="00AC2A45"/>
    <w:rsid w:val="00AC2A57"/>
    <w:rsid w:val="00AC2A58"/>
    <w:rsid w:val="00AC2B15"/>
    <w:rsid w:val="00AC2B24"/>
    <w:rsid w:val="00AC2B78"/>
    <w:rsid w:val="00AC2C08"/>
    <w:rsid w:val="00AC2C10"/>
    <w:rsid w:val="00AC2C1D"/>
    <w:rsid w:val="00AC2C75"/>
    <w:rsid w:val="00AC2CC0"/>
    <w:rsid w:val="00AC2CFE"/>
    <w:rsid w:val="00AC2EC8"/>
    <w:rsid w:val="00AC2ECD"/>
    <w:rsid w:val="00AC2F21"/>
    <w:rsid w:val="00AC2FBF"/>
    <w:rsid w:val="00AC2FCA"/>
    <w:rsid w:val="00AC2FD9"/>
    <w:rsid w:val="00AC3008"/>
    <w:rsid w:val="00AC3059"/>
    <w:rsid w:val="00AC308B"/>
    <w:rsid w:val="00AC30D8"/>
    <w:rsid w:val="00AC3122"/>
    <w:rsid w:val="00AC312B"/>
    <w:rsid w:val="00AC3137"/>
    <w:rsid w:val="00AC313F"/>
    <w:rsid w:val="00AC3143"/>
    <w:rsid w:val="00AC3167"/>
    <w:rsid w:val="00AC3196"/>
    <w:rsid w:val="00AC31A7"/>
    <w:rsid w:val="00AC31E5"/>
    <w:rsid w:val="00AC3207"/>
    <w:rsid w:val="00AC3255"/>
    <w:rsid w:val="00AC325F"/>
    <w:rsid w:val="00AC3290"/>
    <w:rsid w:val="00AC32EE"/>
    <w:rsid w:val="00AC334F"/>
    <w:rsid w:val="00AC3352"/>
    <w:rsid w:val="00AC3376"/>
    <w:rsid w:val="00AC3386"/>
    <w:rsid w:val="00AC338D"/>
    <w:rsid w:val="00AC33C1"/>
    <w:rsid w:val="00AC33CB"/>
    <w:rsid w:val="00AC347C"/>
    <w:rsid w:val="00AC349C"/>
    <w:rsid w:val="00AC34D3"/>
    <w:rsid w:val="00AC3531"/>
    <w:rsid w:val="00AC354C"/>
    <w:rsid w:val="00AC354D"/>
    <w:rsid w:val="00AC3580"/>
    <w:rsid w:val="00AC3605"/>
    <w:rsid w:val="00AC3645"/>
    <w:rsid w:val="00AC3654"/>
    <w:rsid w:val="00AC3698"/>
    <w:rsid w:val="00AC36B8"/>
    <w:rsid w:val="00AC36ED"/>
    <w:rsid w:val="00AC372E"/>
    <w:rsid w:val="00AC377F"/>
    <w:rsid w:val="00AC37DF"/>
    <w:rsid w:val="00AC385B"/>
    <w:rsid w:val="00AC38CC"/>
    <w:rsid w:val="00AC38F6"/>
    <w:rsid w:val="00AC391D"/>
    <w:rsid w:val="00AC3965"/>
    <w:rsid w:val="00AC397D"/>
    <w:rsid w:val="00AC39B3"/>
    <w:rsid w:val="00AC39EB"/>
    <w:rsid w:val="00AC39FA"/>
    <w:rsid w:val="00AC39FB"/>
    <w:rsid w:val="00AC3A48"/>
    <w:rsid w:val="00AC3AB1"/>
    <w:rsid w:val="00AC3AF5"/>
    <w:rsid w:val="00AC3B05"/>
    <w:rsid w:val="00AC3B19"/>
    <w:rsid w:val="00AC3B3C"/>
    <w:rsid w:val="00AC3B54"/>
    <w:rsid w:val="00AC3B62"/>
    <w:rsid w:val="00AC3BB3"/>
    <w:rsid w:val="00AC3BD8"/>
    <w:rsid w:val="00AC3BFD"/>
    <w:rsid w:val="00AC3CA6"/>
    <w:rsid w:val="00AC3DCD"/>
    <w:rsid w:val="00AC3DDA"/>
    <w:rsid w:val="00AC3DF3"/>
    <w:rsid w:val="00AC3DF8"/>
    <w:rsid w:val="00AC3E41"/>
    <w:rsid w:val="00AC3E49"/>
    <w:rsid w:val="00AC3E59"/>
    <w:rsid w:val="00AC3E75"/>
    <w:rsid w:val="00AC3E77"/>
    <w:rsid w:val="00AC3F16"/>
    <w:rsid w:val="00AC3FBD"/>
    <w:rsid w:val="00AC4017"/>
    <w:rsid w:val="00AC4065"/>
    <w:rsid w:val="00AC408E"/>
    <w:rsid w:val="00AC40C1"/>
    <w:rsid w:val="00AC40CA"/>
    <w:rsid w:val="00AC4119"/>
    <w:rsid w:val="00AC4138"/>
    <w:rsid w:val="00AC413F"/>
    <w:rsid w:val="00AC4159"/>
    <w:rsid w:val="00AC4173"/>
    <w:rsid w:val="00AC4174"/>
    <w:rsid w:val="00AC4208"/>
    <w:rsid w:val="00AC423F"/>
    <w:rsid w:val="00AC424D"/>
    <w:rsid w:val="00AC4317"/>
    <w:rsid w:val="00AC433D"/>
    <w:rsid w:val="00AC4380"/>
    <w:rsid w:val="00AC43EB"/>
    <w:rsid w:val="00AC43FC"/>
    <w:rsid w:val="00AC442B"/>
    <w:rsid w:val="00AC4467"/>
    <w:rsid w:val="00AC44A2"/>
    <w:rsid w:val="00AC44C3"/>
    <w:rsid w:val="00AC44EA"/>
    <w:rsid w:val="00AC4506"/>
    <w:rsid w:val="00AC4519"/>
    <w:rsid w:val="00AC4520"/>
    <w:rsid w:val="00AC454C"/>
    <w:rsid w:val="00AC4574"/>
    <w:rsid w:val="00AC459B"/>
    <w:rsid w:val="00AC45CC"/>
    <w:rsid w:val="00AC4794"/>
    <w:rsid w:val="00AC47CD"/>
    <w:rsid w:val="00AC4827"/>
    <w:rsid w:val="00AC4850"/>
    <w:rsid w:val="00AC486F"/>
    <w:rsid w:val="00AC4910"/>
    <w:rsid w:val="00AC4932"/>
    <w:rsid w:val="00AC4950"/>
    <w:rsid w:val="00AC498A"/>
    <w:rsid w:val="00AC49B7"/>
    <w:rsid w:val="00AC49BD"/>
    <w:rsid w:val="00AC49CA"/>
    <w:rsid w:val="00AC4AB1"/>
    <w:rsid w:val="00AC4B08"/>
    <w:rsid w:val="00AC4B2D"/>
    <w:rsid w:val="00AC4B7C"/>
    <w:rsid w:val="00AC4BBB"/>
    <w:rsid w:val="00AC4BBD"/>
    <w:rsid w:val="00AC4C64"/>
    <w:rsid w:val="00AC4C82"/>
    <w:rsid w:val="00AC4C95"/>
    <w:rsid w:val="00AC4CA3"/>
    <w:rsid w:val="00AC4D0E"/>
    <w:rsid w:val="00AC4D1F"/>
    <w:rsid w:val="00AC4D59"/>
    <w:rsid w:val="00AC4D5C"/>
    <w:rsid w:val="00AC4DFF"/>
    <w:rsid w:val="00AC4E5D"/>
    <w:rsid w:val="00AC4ED0"/>
    <w:rsid w:val="00AC4F3F"/>
    <w:rsid w:val="00AC4F91"/>
    <w:rsid w:val="00AC4FAB"/>
    <w:rsid w:val="00AC4FC7"/>
    <w:rsid w:val="00AC506F"/>
    <w:rsid w:val="00AC5087"/>
    <w:rsid w:val="00AC50E3"/>
    <w:rsid w:val="00AC5109"/>
    <w:rsid w:val="00AC5179"/>
    <w:rsid w:val="00AC518B"/>
    <w:rsid w:val="00AC520F"/>
    <w:rsid w:val="00AC524A"/>
    <w:rsid w:val="00AC52CA"/>
    <w:rsid w:val="00AC52FA"/>
    <w:rsid w:val="00AC5302"/>
    <w:rsid w:val="00AC536B"/>
    <w:rsid w:val="00AC5388"/>
    <w:rsid w:val="00AC538B"/>
    <w:rsid w:val="00AC53BF"/>
    <w:rsid w:val="00AC53DD"/>
    <w:rsid w:val="00AC540F"/>
    <w:rsid w:val="00AC541B"/>
    <w:rsid w:val="00AC543C"/>
    <w:rsid w:val="00AC544A"/>
    <w:rsid w:val="00AC544D"/>
    <w:rsid w:val="00AC5467"/>
    <w:rsid w:val="00AC546F"/>
    <w:rsid w:val="00AC54CB"/>
    <w:rsid w:val="00AC54D0"/>
    <w:rsid w:val="00AC54DE"/>
    <w:rsid w:val="00AC5504"/>
    <w:rsid w:val="00AC5552"/>
    <w:rsid w:val="00AC5564"/>
    <w:rsid w:val="00AC55B5"/>
    <w:rsid w:val="00AC55B9"/>
    <w:rsid w:val="00AC55FC"/>
    <w:rsid w:val="00AC55FF"/>
    <w:rsid w:val="00AC5618"/>
    <w:rsid w:val="00AC5631"/>
    <w:rsid w:val="00AC5693"/>
    <w:rsid w:val="00AC56B2"/>
    <w:rsid w:val="00AC5714"/>
    <w:rsid w:val="00AC57EA"/>
    <w:rsid w:val="00AC582E"/>
    <w:rsid w:val="00AC58A3"/>
    <w:rsid w:val="00AC58B3"/>
    <w:rsid w:val="00AC58B5"/>
    <w:rsid w:val="00AC58B9"/>
    <w:rsid w:val="00AC58FD"/>
    <w:rsid w:val="00AC595F"/>
    <w:rsid w:val="00AC598E"/>
    <w:rsid w:val="00AC5A01"/>
    <w:rsid w:val="00AC5A8E"/>
    <w:rsid w:val="00AC5A97"/>
    <w:rsid w:val="00AC5AA8"/>
    <w:rsid w:val="00AC5AD6"/>
    <w:rsid w:val="00AC5B02"/>
    <w:rsid w:val="00AC5B0F"/>
    <w:rsid w:val="00AC5B3F"/>
    <w:rsid w:val="00AC5BB0"/>
    <w:rsid w:val="00AC5BFF"/>
    <w:rsid w:val="00AC5C13"/>
    <w:rsid w:val="00AC5C9C"/>
    <w:rsid w:val="00AC5CBC"/>
    <w:rsid w:val="00AC5CE9"/>
    <w:rsid w:val="00AC5DB4"/>
    <w:rsid w:val="00AC5E08"/>
    <w:rsid w:val="00AC5E26"/>
    <w:rsid w:val="00AC5E4C"/>
    <w:rsid w:val="00AC5EC2"/>
    <w:rsid w:val="00AC5F20"/>
    <w:rsid w:val="00AC5FAC"/>
    <w:rsid w:val="00AC6021"/>
    <w:rsid w:val="00AC6088"/>
    <w:rsid w:val="00AC609E"/>
    <w:rsid w:val="00AC60FC"/>
    <w:rsid w:val="00AC611D"/>
    <w:rsid w:val="00AC613F"/>
    <w:rsid w:val="00AC6181"/>
    <w:rsid w:val="00AC618A"/>
    <w:rsid w:val="00AC618D"/>
    <w:rsid w:val="00AC61AF"/>
    <w:rsid w:val="00AC62E5"/>
    <w:rsid w:val="00AC6308"/>
    <w:rsid w:val="00AC6324"/>
    <w:rsid w:val="00AC6331"/>
    <w:rsid w:val="00AC6376"/>
    <w:rsid w:val="00AC63A9"/>
    <w:rsid w:val="00AC640A"/>
    <w:rsid w:val="00AC6550"/>
    <w:rsid w:val="00AC6569"/>
    <w:rsid w:val="00AC661C"/>
    <w:rsid w:val="00AC661D"/>
    <w:rsid w:val="00AC6666"/>
    <w:rsid w:val="00AC66CA"/>
    <w:rsid w:val="00AC67C6"/>
    <w:rsid w:val="00AC67DC"/>
    <w:rsid w:val="00AC686E"/>
    <w:rsid w:val="00AC6881"/>
    <w:rsid w:val="00AC68E4"/>
    <w:rsid w:val="00AC691F"/>
    <w:rsid w:val="00AC69A4"/>
    <w:rsid w:val="00AC69AE"/>
    <w:rsid w:val="00AC69DA"/>
    <w:rsid w:val="00AC6A06"/>
    <w:rsid w:val="00AC6A6E"/>
    <w:rsid w:val="00AC6A74"/>
    <w:rsid w:val="00AC6A8F"/>
    <w:rsid w:val="00AC6AFA"/>
    <w:rsid w:val="00AC6B03"/>
    <w:rsid w:val="00AC6B23"/>
    <w:rsid w:val="00AC6B67"/>
    <w:rsid w:val="00AC6C10"/>
    <w:rsid w:val="00AC6C2A"/>
    <w:rsid w:val="00AC6DE2"/>
    <w:rsid w:val="00AC6E3C"/>
    <w:rsid w:val="00AC6E62"/>
    <w:rsid w:val="00AC6E8E"/>
    <w:rsid w:val="00AC6ECB"/>
    <w:rsid w:val="00AC6EFC"/>
    <w:rsid w:val="00AC6F6A"/>
    <w:rsid w:val="00AC6F70"/>
    <w:rsid w:val="00AC6F8E"/>
    <w:rsid w:val="00AC6F9B"/>
    <w:rsid w:val="00AC6FC4"/>
    <w:rsid w:val="00AC7031"/>
    <w:rsid w:val="00AC704E"/>
    <w:rsid w:val="00AC706C"/>
    <w:rsid w:val="00AC70B4"/>
    <w:rsid w:val="00AC70CA"/>
    <w:rsid w:val="00AC70D3"/>
    <w:rsid w:val="00AC70EA"/>
    <w:rsid w:val="00AC715A"/>
    <w:rsid w:val="00AC7162"/>
    <w:rsid w:val="00AC7176"/>
    <w:rsid w:val="00AC7182"/>
    <w:rsid w:val="00AC71A1"/>
    <w:rsid w:val="00AC71A8"/>
    <w:rsid w:val="00AC7321"/>
    <w:rsid w:val="00AC7329"/>
    <w:rsid w:val="00AC7362"/>
    <w:rsid w:val="00AC7411"/>
    <w:rsid w:val="00AC7444"/>
    <w:rsid w:val="00AC747B"/>
    <w:rsid w:val="00AC7483"/>
    <w:rsid w:val="00AC7495"/>
    <w:rsid w:val="00AC7496"/>
    <w:rsid w:val="00AC74C2"/>
    <w:rsid w:val="00AC7542"/>
    <w:rsid w:val="00AC75C4"/>
    <w:rsid w:val="00AC75D0"/>
    <w:rsid w:val="00AC75E1"/>
    <w:rsid w:val="00AC75E2"/>
    <w:rsid w:val="00AC760B"/>
    <w:rsid w:val="00AC7675"/>
    <w:rsid w:val="00AC76EF"/>
    <w:rsid w:val="00AC76F9"/>
    <w:rsid w:val="00AC779D"/>
    <w:rsid w:val="00AC7804"/>
    <w:rsid w:val="00AC7809"/>
    <w:rsid w:val="00AC782F"/>
    <w:rsid w:val="00AC789F"/>
    <w:rsid w:val="00AC78D9"/>
    <w:rsid w:val="00AC792A"/>
    <w:rsid w:val="00AC7A0D"/>
    <w:rsid w:val="00AC7A1D"/>
    <w:rsid w:val="00AC7A37"/>
    <w:rsid w:val="00AC7A99"/>
    <w:rsid w:val="00AC7AA2"/>
    <w:rsid w:val="00AC7AD6"/>
    <w:rsid w:val="00AC7AD8"/>
    <w:rsid w:val="00AC7B02"/>
    <w:rsid w:val="00AC7B0C"/>
    <w:rsid w:val="00AC7B0D"/>
    <w:rsid w:val="00AC7B38"/>
    <w:rsid w:val="00AC7B61"/>
    <w:rsid w:val="00AC7C14"/>
    <w:rsid w:val="00AC7C35"/>
    <w:rsid w:val="00AC7C3F"/>
    <w:rsid w:val="00AC7C8E"/>
    <w:rsid w:val="00AC7CD7"/>
    <w:rsid w:val="00AC7D02"/>
    <w:rsid w:val="00AC7D42"/>
    <w:rsid w:val="00AC7DB4"/>
    <w:rsid w:val="00AC7E37"/>
    <w:rsid w:val="00AC7F48"/>
    <w:rsid w:val="00AC7F54"/>
    <w:rsid w:val="00AC7FB0"/>
    <w:rsid w:val="00AC7FC5"/>
    <w:rsid w:val="00AC7FDB"/>
    <w:rsid w:val="00AC7FEE"/>
    <w:rsid w:val="00AD0017"/>
    <w:rsid w:val="00AD0028"/>
    <w:rsid w:val="00AD002F"/>
    <w:rsid w:val="00AD0071"/>
    <w:rsid w:val="00AD0086"/>
    <w:rsid w:val="00AD00DF"/>
    <w:rsid w:val="00AD0161"/>
    <w:rsid w:val="00AD017F"/>
    <w:rsid w:val="00AD0262"/>
    <w:rsid w:val="00AD02AF"/>
    <w:rsid w:val="00AD02C4"/>
    <w:rsid w:val="00AD0346"/>
    <w:rsid w:val="00AD0376"/>
    <w:rsid w:val="00AD0378"/>
    <w:rsid w:val="00AD03E7"/>
    <w:rsid w:val="00AD0427"/>
    <w:rsid w:val="00AD047E"/>
    <w:rsid w:val="00AD04B5"/>
    <w:rsid w:val="00AD04D0"/>
    <w:rsid w:val="00AD054C"/>
    <w:rsid w:val="00AD05F7"/>
    <w:rsid w:val="00AD06B3"/>
    <w:rsid w:val="00AD0722"/>
    <w:rsid w:val="00AD0733"/>
    <w:rsid w:val="00AD07AF"/>
    <w:rsid w:val="00AD07C9"/>
    <w:rsid w:val="00AD0849"/>
    <w:rsid w:val="00AD085F"/>
    <w:rsid w:val="00AD08F0"/>
    <w:rsid w:val="00AD0A0B"/>
    <w:rsid w:val="00AD0A82"/>
    <w:rsid w:val="00AD0A8C"/>
    <w:rsid w:val="00AD0B70"/>
    <w:rsid w:val="00AD0BBA"/>
    <w:rsid w:val="00AD0BE6"/>
    <w:rsid w:val="00AD0C1A"/>
    <w:rsid w:val="00AD0C37"/>
    <w:rsid w:val="00AD0CCB"/>
    <w:rsid w:val="00AD0CE7"/>
    <w:rsid w:val="00AD0D39"/>
    <w:rsid w:val="00AD0D43"/>
    <w:rsid w:val="00AD0D54"/>
    <w:rsid w:val="00AD0D61"/>
    <w:rsid w:val="00AD0D83"/>
    <w:rsid w:val="00AD0D9A"/>
    <w:rsid w:val="00AD0D9B"/>
    <w:rsid w:val="00AD0EDC"/>
    <w:rsid w:val="00AD0F62"/>
    <w:rsid w:val="00AD0F69"/>
    <w:rsid w:val="00AD0F8C"/>
    <w:rsid w:val="00AD0FB0"/>
    <w:rsid w:val="00AD10AA"/>
    <w:rsid w:val="00AD10D7"/>
    <w:rsid w:val="00AD10F6"/>
    <w:rsid w:val="00AD116D"/>
    <w:rsid w:val="00AD1171"/>
    <w:rsid w:val="00AD11F4"/>
    <w:rsid w:val="00AD11F7"/>
    <w:rsid w:val="00AD126F"/>
    <w:rsid w:val="00AD129F"/>
    <w:rsid w:val="00AD12EC"/>
    <w:rsid w:val="00AD1348"/>
    <w:rsid w:val="00AD1379"/>
    <w:rsid w:val="00AD1414"/>
    <w:rsid w:val="00AD1486"/>
    <w:rsid w:val="00AD1496"/>
    <w:rsid w:val="00AD14B4"/>
    <w:rsid w:val="00AD14B6"/>
    <w:rsid w:val="00AD14FC"/>
    <w:rsid w:val="00AD1534"/>
    <w:rsid w:val="00AD1558"/>
    <w:rsid w:val="00AD15C0"/>
    <w:rsid w:val="00AD15D0"/>
    <w:rsid w:val="00AD1696"/>
    <w:rsid w:val="00AD16FB"/>
    <w:rsid w:val="00AD175B"/>
    <w:rsid w:val="00AD1812"/>
    <w:rsid w:val="00AD1867"/>
    <w:rsid w:val="00AD187E"/>
    <w:rsid w:val="00AD188D"/>
    <w:rsid w:val="00AD189C"/>
    <w:rsid w:val="00AD18E2"/>
    <w:rsid w:val="00AD1914"/>
    <w:rsid w:val="00AD194F"/>
    <w:rsid w:val="00AD1A0F"/>
    <w:rsid w:val="00AD1A48"/>
    <w:rsid w:val="00AD1AA8"/>
    <w:rsid w:val="00AD1B27"/>
    <w:rsid w:val="00AD1BF2"/>
    <w:rsid w:val="00AD1BF9"/>
    <w:rsid w:val="00AD1C09"/>
    <w:rsid w:val="00AD1C1F"/>
    <w:rsid w:val="00AD1C40"/>
    <w:rsid w:val="00AD1C6A"/>
    <w:rsid w:val="00AD1C7F"/>
    <w:rsid w:val="00AD1CA9"/>
    <w:rsid w:val="00AD1CAA"/>
    <w:rsid w:val="00AD1D07"/>
    <w:rsid w:val="00AD1D28"/>
    <w:rsid w:val="00AD1D8A"/>
    <w:rsid w:val="00AD1DC3"/>
    <w:rsid w:val="00AD1E3C"/>
    <w:rsid w:val="00AD1E82"/>
    <w:rsid w:val="00AD1ED8"/>
    <w:rsid w:val="00AD1F6A"/>
    <w:rsid w:val="00AD1FAB"/>
    <w:rsid w:val="00AD1FFA"/>
    <w:rsid w:val="00AD2084"/>
    <w:rsid w:val="00AD20AC"/>
    <w:rsid w:val="00AD20AD"/>
    <w:rsid w:val="00AD20B1"/>
    <w:rsid w:val="00AD20C4"/>
    <w:rsid w:val="00AD20FD"/>
    <w:rsid w:val="00AD2122"/>
    <w:rsid w:val="00AD2261"/>
    <w:rsid w:val="00AD229F"/>
    <w:rsid w:val="00AD22BB"/>
    <w:rsid w:val="00AD2318"/>
    <w:rsid w:val="00AD2377"/>
    <w:rsid w:val="00AD238F"/>
    <w:rsid w:val="00AD239B"/>
    <w:rsid w:val="00AD2472"/>
    <w:rsid w:val="00AD2486"/>
    <w:rsid w:val="00AD251F"/>
    <w:rsid w:val="00AD256F"/>
    <w:rsid w:val="00AD25DE"/>
    <w:rsid w:val="00AD2642"/>
    <w:rsid w:val="00AD2652"/>
    <w:rsid w:val="00AD265D"/>
    <w:rsid w:val="00AD267C"/>
    <w:rsid w:val="00AD26E8"/>
    <w:rsid w:val="00AD26F4"/>
    <w:rsid w:val="00AD2709"/>
    <w:rsid w:val="00AD2731"/>
    <w:rsid w:val="00AD279D"/>
    <w:rsid w:val="00AD27E4"/>
    <w:rsid w:val="00AD2805"/>
    <w:rsid w:val="00AD28AA"/>
    <w:rsid w:val="00AD28B7"/>
    <w:rsid w:val="00AD28FF"/>
    <w:rsid w:val="00AD2918"/>
    <w:rsid w:val="00AD2997"/>
    <w:rsid w:val="00AD29FF"/>
    <w:rsid w:val="00AD2A35"/>
    <w:rsid w:val="00AD2A3F"/>
    <w:rsid w:val="00AD2A47"/>
    <w:rsid w:val="00AD2A79"/>
    <w:rsid w:val="00AD2B1F"/>
    <w:rsid w:val="00AD2B3F"/>
    <w:rsid w:val="00AD2B5A"/>
    <w:rsid w:val="00AD2B7D"/>
    <w:rsid w:val="00AD2BAA"/>
    <w:rsid w:val="00AD2BC9"/>
    <w:rsid w:val="00AD2BF1"/>
    <w:rsid w:val="00AD2C0C"/>
    <w:rsid w:val="00AD2C72"/>
    <w:rsid w:val="00AD2C7E"/>
    <w:rsid w:val="00AD2C92"/>
    <w:rsid w:val="00AD2D18"/>
    <w:rsid w:val="00AD2D1E"/>
    <w:rsid w:val="00AD2D6E"/>
    <w:rsid w:val="00AD2DB5"/>
    <w:rsid w:val="00AD2E65"/>
    <w:rsid w:val="00AD2E86"/>
    <w:rsid w:val="00AD2EE7"/>
    <w:rsid w:val="00AD2F06"/>
    <w:rsid w:val="00AD2F83"/>
    <w:rsid w:val="00AD3022"/>
    <w:rsid w:val="00AD3027"/>
    <w:rsid w:val="00AD3039"/>
    <w:rsid w:val="00AD30F7"/>
    <w:rsid w:val="00AD3106"/>
    <w:rsid w:val="00AD3172"/>
    <w:rsid w:val="00AD3212"/>
    <w:rsid w:val="00AD3252"/>
    <w:rsid w:val="00AD3287"/>
    <w:rsid w:val="00AD32CC"/>
    <w:rsid w:val="00AD32D0"/>
    <w:rsid w:val="00AD32D2"/>
    <w:rsid w:val="00AD331F"/>
    <w:rsid w:val="00AD3351"/>
    <w:rsid w:val="00AD3380"/>
    <w:rsid w:val="00AD347D"/>
    <w:rsid w:val="00AD34EC"/>
    <w:rsid w:val="00AD3501"/>
    <w:rsid w:val="00AD350F"/>
    <w:rsid w:val="00AD354B"/>
    <w:rsid w:val="00AD3665"/>
    <w:rsid w:val="00AD36A7"/>
    <w:rsid w:val="00AD36B8"/>
    <w:rsid w:val="00AD36BF"/>
    <w:rsid w:val="00AD36E4"/>
    <w:rsid w:val="00AD377F"/>
    <w:rsid w:val="00AD3780"/>
    <w:rsid w:val="00AD3787"/>
    <w:rsid w:val="00AD37D5"/>
    <w:rsid w:val="00AD38A0"/>
    <w:rsid w:val="00AD38D6"/>
    <w:rsid w:val="00AD3957"/>
    <w:rsid w:val="00AD397C"/>
    <w:rsid w:val="00AD3999"/>
    <w:rsid w:val="00AD399B"/>
    <w:rsid w:val="00AD39B2"/>
    <w:rsid w:val="00AD39DD"/>
    <w:rsid w:val="00AD39EA"/>
    <w:rsid w:val="00AD3AA1"/>
    <w:rsid w:val="00AD3ABD"/>
    <w:rsid w:val="00AD3ABF"/>
    <w:rsid w:val="00AD3AEF"/>
    <w:rsid w:val="00AD3B99"/>
    <w:rsid w:val="00AD3C2F"/>
    <w:rsid w:val="00AD3D21"/>
    <w:rsid w:val="00AD3D36"/>
    <w:rsid w:val="00AD3E1B"/>
    <w:rsid w:val="00AD3E23"/>
    <w:rsid w:val="00AD3E46"/>
    <w:rsid w:val="00AD3E51"/>
    <w:rsid w:val="00AD3E8C"/>
    <w:rsid w:val="00AD3EB6"/>
    <w:rsid w:val="00AD3F19"/>
    <w:rsid w:val="00AD3FDB"/>
    <w:rsid w:val="00AD4068"/>
    <w:rsid w:val="00AD40D6"/>
    <w:rsid w:val="00AD4158"/>
    <w:rsid w:val="00AD415A"/>
    <w:rsid w:val="00AD41C1"/>
    <w:rsid w:val="00AD41D4"/>
    <w:rsid w:val="00AD4223"/>
    <w:rsid w:val="00AD423F"/>
    <w:rsid w:val="00AD429C"/>
    <w:rsid w:val="00AD42E0"/>
    <w:rsid w:val="00AD4300"/>
    <w:rsid w:val="00AD4306"/>
    <w:rsid w:val="00AD4321"/>
    <w:rsid w:val="00AD4380"/>
    <w:rsid w:val="00AD440B"/>
    <w:rsid w:val="00AD4484"/>
    <w:rsid w:val="00AD4489"/>
    <w:rsid w:val="00AD448A"/>
    <w:rsid w:val="00AD454C"/>
    <w:rsid w:val="00AD4572"/>
    <w:rsid w:val="00AD45E7"/>
    <w:rsid w:val="00AD4688"/>
    <w:rsid w:val="00AD46BF"/>
    <w:rsid w:val="00AD46EE"/>
    <w:rsid w:val="00AD4735"/>
    <w:rsid w:val="00AD473A"/>
    <w:rsid w:val="00AD475E"/>
    <w:rsid w:val="00AD4858"/>
    <w:rsid w:val="00AD48DD"/>
    <w:rsid w:val="00AD490F"/>
    <w:rsid w:val="00AD4963"/>
    <w:rsid w:val="00AD4989"/>
    <w:rsid w:val="00AD499D"/>
    <w:rsid w:val="00AD49CC"/>
    <w:rsid w:val="00AD4A7E"/>
    <w:rsid w:val="00AD4AA1"/>
    <w:rsid w:val="00AD4C4C"/>
    <w:rsid w:val="00AD4C58"/>
    <w:rsid w:val="00AD4C73"/>
    <w:rsid w:val="00AD4CC7"/>
    <w:rsid w:val="00AD4CCF"/>
    <w:rsid w:val="00AD4D21"/>
    <w:rsid w:val="00AD4D58"/>
    <w:rsid w:val="00AD4D8A"/>
    <w:rsid w:val="00AD4DB9"/>
    <w:rsid w:val="00AD4E22"/>
    <w:rsid w:val="00AD4E84"/>
    <w:rsid w:val="00AD4E87"/>
    <w:rsid w:val="00AD4EC4"/>
    <w:rsid w:val="00AD4EE1"/>
    <w:rsid w:val="00AD4EF5"/>
    <w:rsid w:val="00AD4F4C"/>
    <w:rsid w:val="00AD4FD7"/>
    <w:rsid w:val="00AD4FE2"/>
    <w:rsid w:val="00AD50A6"/>
    <w:rsid w:val="00AD50B7"/>
    <w:rsid w:val="00AD51A0"/>
    <w:rsid w:val="00AD51CF"/>
    <w:rsid w:val="00AD5218"/>
    <w:rsid w:val="00AD521A"/>
    <w:rsid w:val="00AD52A7"/>
    <w:rsid w:val="00AD52F6"/>
    <w:rsid w:val="00AD52FC"/>
    <w:rsid w:val="00AD5337"/>
    <w:rsid w:val="00AD53A1"/>
    <w:rsid w:val="00AD54A7"/>
    <w:rsid w:val="00AD5534"/>
    <w:rsid w:val="00AD553C"/>
    <w:rsid w:val="00AD554C"/>
    <w:rsid w:val="00AD5566"/>
    <w:rsid w:val="00AD55C3"/>
    <w:rsid w:val="00AD5669"/>
    <w:rsid w:val="00AD566F"/>
    <w:rsid w:val="00AD56B1"/>
    <w:rsid w:val="00AD5742"/>
    <w:rsid w:val="00AD5782"/>
    <w:rsid w:val="00AD57B1"/>
    <w:rsid w:val="00AD5826"/>
    <w:rsid w:val="00AD5873"/>
    <w:rsid w:val="00AD58E9"/>
    <w:rsid w:val="00AD5902"/>
    <w:rsid w:val="00AD596F"/>
    <w:rsid w:val="00AD59AF"/>
    <w:rsid w:val="00AD59DC"/>
    <w:rsid w:val="00AD5A4C"/>
    <w:rsid w:val="00AD5A4F"/>
    <w:rsid w:val="00AD5A5F"/>
    <w:rsid w:val="00AD5A75"/>
    <w:rsid w:val="00AD5A82"/>
    <w:rsid w:val="00AD5A97"/>
    <w:rsid w:val="00AD5B6F"/>
    <w:rsid w:val="00AD5C6D"/>
    <w:rsid w:val="00AD5C7F"/>
    <w:rsid w:val="00AD5C99"/>
    <w:rsid w:val="00AD5CBC"/>
    <w:rsid w:val="00AD5CC7"/>
    <w:rsid w:val="00AD5CED"/>
    <w:rsid w:val="00AD5D7C"/>
    <w:rsid w:val="00AD5E18"/>
    <w:rsid w:val="00AD5E23"/>
    <w:rsid w:val="00AD5E32"/>
    <w:rsid w:val="00AD5EC5"/>
    <w:rsid w:val="00AD5F01"/>
    <w:rsid w:val="00AD5F58"/>
    <w:rsid w:val="00AD5F6E"/>
    <w:rsid w:val="00AD5F79"/>
    <w:rsid w:val="00AD5FB8"/>
    <w:rsid w:val="00AD5FBB"/>
    <w:rsid w:val="00AD5FEA"/>
    <w:rsid w:val="00AD600A"/>
    <w:rsid w:val="00AD6012"/>
    <w:rsid w:val="00AD6036"/>
    <w:rsid w:val="00AD6054"/>
    <w:rsid w:val="00AD6095"/>
    <w:rsid w:val="00AD60C0"/>
    <w:rsid w:val="00AD60E9"/>
    <w:rsid w:val="00AD610F"/>
    <w:rsid w:val="00AD6168"/>
    <w:rsid w:val="00AD618F"/>
    <w:rsid w:val="00AD61A4"/>
    <w:rsid w:val="00AD61DB"/>
    <w:rsid w:val="00AD625D"/>
    <w:rsid w:val="00AD62C0"/>
    <w:rsid w:val="00AD62C7"/>
    <w:rsid w:val="00AD6312"/>
    <w:rsid w:val="00AD6328"/>
    <w:rsid w:val="00AD6465"/>
    <w:rsid w:val="00AD6479"/>
    <w:rsid w:val="00AD64D2"/>
    <w:rsid w:val="00AD64FC"/>
    <w:rsid w:val="00AD6518"/>
    <w:rsid w:val="00AD6566"/>
    <w:rsid w:val="00AD6579"/>
    <w:rsid w:val="00AD6595"/>
    <w:rsid w:val="00AD668A"/>
    <w:rsid w:val="00AD6719"/>
    <w:rsid w:val="00AD672B"/>
    <w:rsid w:val="00AD67CA"/>
    <w:rsid w:val="00AD683E"/>
    <w:rsid w:val="00AD6890"/>
    <w:rsid w:val="00AD68E6"/>
    <w:rsid w:val="00AD690B"/>
    <w:rsid w:val="00AD6948"/>
    <w:rsid w:val="00AD6974"/>
    <w:rsid w:val="00AD69B3"/>
    <w:rsid w:val="00AD69D3"/>
    <w:rsid w:val="00AD69F0"/>
    <w:rsid w:val="00AD6AE0"/>
    <w:rsid w:val="00AD6AEB"/>
    <w:rsid w:val="00AD6B10"/>
    <w:rsid w:val="00AD6B15"/>
    <w:rsid w:val="00AD6B37"/>
    <w:rsid w:val="00AD6BA6"/>
    <w:rsid w:val="00AD6BCF"/>
    <w:rsid w:val="00AD6BFB"/>
    <w:rsid w:val="00AD6C9B"/>
    <w:rsid w:val="00AD6C9C"/>
    <w:rsid w:val="00AD6CA6"/>
    <w:rsid w:val="00AD6CD7"/>
    <w:rsid w:val="00AD6CDE"/>
    <w:rsid w:val="00AD6D2A"/>
    <w:rsid w:val="00AD6DAF"/>
    <w:rsid w:val="00AD6DC2"/>
    <w:rsid w:val="00AD6DC5"/>
    <w:rsid w:val="00AD6E5E"/>
    <w:rsid w:val="00AD6EAA"/>
    <w:rsid w:val="00AD6EB9"/>
    <w:rsid w:val="00AD6F33"/>
    <w:rsid w:val="00AD6F65"/>
    <w:rsid w:val="00AD6F7D"/>
    <w:rsid w:val="00AD703E"/>
    <w:rsid w:val="00AD7074"/>
    <w:rsid w:val="00AD70C1"/>
    <w:rsid w:val="00AD7114"/>
    <w:rsid w:val="00AD7144"/>
    <w:rsid w:val="00AD716C"/>
    <w:rsid w:val="00AD71AF"/>
    <w:rsid w:val="00AD71F7"/>
    <w:rsid w:val="00AD722B"/>
    <w:rsid w:val="00AD7273"/>
    <w:rsid w:val="00AD7333"/>
    <w:rsid w:val="00AD7356"/>
    <w:rsid w:val="00AD73CD"/>
    <w:rsid w:val="00AD73F4"/>
    <w:rsid w:val="00AD74A6"/>
    <w:rsid w:val="00AD74E2"/>
    <w:rsid w:val="00AD755E"/>
    <w:rsid w:val="00AD756C"/>
    <w:rsid w:val="00AD7571"/>
    <w:rsid w:val="00AD75F2"/>
    <w:rsid w:val="00AD75F6"/>
    <w:rsid w:val="00AD7607"/>
    <w:rsid w:val="00AD7635"/>
    <w:rsid w:val="00AD7658"/>
    <w:rsid w:val="00AD7672"/>
    <w:rsid w:val="00AD7682"/>
    <w:rsid w:val="00AD770E"/>
    <w:rsid w:val="00AD7711"/>
    <w:rsid w:val="00AD77C7"/>
    <w:rsid w:val="00AD781A"/>
    <w:rsid w:val="00AD7834"/>
    <w:rsid w:val="00AD78C2"/>
    <w:rsid w:val="00AD78DE"/>
    <w:rsid w:val="00AD78EE"/>
    <w:rsid w:val="00AD7974"/>
    <w:rsid w:val="00AD797D"/>
    <w:rsid w:val="00AD7983"/>
    <w:rsid w:val="00AD799A"/>
    <w:rsid w:val="00AD7A61"/>
    <w:rsid w:val="00AD7B0A"/>
    <w:rsid w:val="00AD7B19"/>
    <w:rsid w:val="00AD7BC6"/>
    <w:rsid w:val="00AD7BE1"/>
    <w:rsid w:val="00AD7BE9"/>
    <w:rsid w:val="00AD7C47"/>
    <w:rsid w:val="00AD7CB8"/>
    <w:rsid w:val="00AD7CE9"/>
    <w:rsid w:val="00AD7D22"/>
    <w:rsid w:val="00AD7DB9"/>
    <w:rsid w:val="00AD7DC2"/>
    <w:rsid w:val="00AD7DE4"/>
    <w:rsid w:val="00AD7E01"/>
    <w:rsid w:val="00AD7EF1"/>
    <w:rsid w:val="00AD7F3F"/>
    <w:rsid w:val="00AD7F81"/>
    <w:rsid w:val="00AD7F89"/>
    <w:rsid w:val="00AD7FA4"/>
    <w:rsid w:val="00AD7FE8"/>
    <w:rsid w:val="00AE0031"/>
    <w:rsid w:val="00AE00A6"/>
    <w:rsid w:val="00AE00EF"/>
    <w:rsid w:val="00AE016D"/>
    <w:rsid w:val="00AE01A3"/>
    <w:rsid w:val="00AE01D8"/>
    <w:rsid w:val="00AE0259"/>
    <w:rsid w:val="00AE0261"/>
    <w:rsid w:val="00AE0288"/>
    <w:rsid w:val="00AE029C"/>
    <w:rsid w:val="00AE02A4"/>
    <w:rsid w:val="00AE02A6"/>
    <w:rsid w:val="00AE02BF"/>
    <w:rsid w:val="00AE02C7"/>
    <w:rsid w:val="00AE02E9"/>
    <w:rsid w:val="00AE0322"/>
    <w:rsid w:val="00AE03E7"/>
    <w:rsid w:val="00AE03EB"/>
    <w:rsid w:val="00AE046F"/>
    <w:rsid w:val="00AE0479"/>
    <w:rsid w:val="00AE0492"/>
    <w:rsid w:val="00AE049F"/>
    <w:rsid w:val="00AE04A2"/>
    <w:rsid w:val="00AE0506"/>
    <w:rsid w:val="00AE050F"/>
    <w:rsid w:val="00AE0522"/>
    <w:rsid w:val="00AE0549"/>
    <w:rsid w:val="00AE0562"/>
    <w:rsid w:val="00AE059D"/>
    <w:rsid w:val="00AE05B8"/>
    <w:rsid w:val="00AE0628"/>
    <w:rsid w:val="00AE0639"/>
    <w:rsid w:val="00AE063F"/>
    <w:rsid w:val="00AE0676"/>
    <w:rsid w:val="00AE06C9"/>
    <w:rsid w:val="00AE0764"/>
    <w:rsid w:val="00AE07B0"/>
    <w:rsid w:val="00AE07F2"/>
    <w:rsid w:val="00AE0842"/>
    <w:rsid w:val="00AE08F4"/>
    <w:rsid w:val="00AE0A93"/>
    <w:rsid w:val="00AE0AD4"/>
    <w:rsid w:val="00AE0B25"/>
    <w:rsid w:val="00AE0BA3"/>
    <w:rsid w:val="00AE0BD5"/>
    <w:rsid w:val="00AE0C5E"/>
    <w:rsid w:val="00AE0C63"/>
    <w:rsid w:val="00AE0CC2"/>
    <w:rsid w:val="00AE0CF5"/>
    <w:rsid w:val="00AE0D4A"/>
    <w:rsid w:val="00AE0D53"/>
    <w:rsid w:val="00AE0D5B"/>
    <w:rsid w:val="00AE0D75"/>
    <w:rsid w:val="00AE0D92"/>
    <w:rsid w:val="00AE0DA3"/>
    <w:rsid w:val="00AE0E53"/>
    <w:rsid w:val="00AE0E69"/>
    <w:rsid w:val="00AE0EAA"/>
    <w:rsid w:val="00AE0EBA"/>
    <w:rsid w:val="00AE0EC2"/>
    <w:rsid w:val="00AE0F2F"/>
    <w:rsid w:val="00AE0F54"/>
    <w:rsid w:val="00AE0F92"/>
    <w:rsid w:val="00AE0FCA"/>
    <w:rsid w:val="00AE1007"/>
    <w:rsid w:val="00AE1009"/>
    <w:rsid w:val="00AE1026"/>
    <w:rsid w:val="00AE1047"/>
    <w:rsid w:val="00AE1074"/>
    <w:rsid w:val="00AE107C"/>
    <w:rsid w:val="00AE1141"/>
    <w:rsid w:val="00AE116F"/>
    <w:rsid w:val="00AE11AE"/>
    <w:rsid w:val="00AE1241"/>
    <w:rsid w:val="00AE126D"/>
    <w:rsid w:val="00AE12AD"/>
    <w:rsid w:val="00AE12DF"/>
    <w:rsid w:val="00AE12F9"/>
    <w:rsid w:val="00AE1369"/>
    <w:rsid w:val="00AE138A"/>
    <w:rsid w:val="00AE13AD"/>
    <w:rsid w:val="00AE13BD"/>
    <w:rsid w:val="00AE140D"/>
    <w:rsid w:val="00AE1467"/>
    <w:rsid w:val="00AE149F"/>
    <w:rsid w:val="00AE14A3"/>
    <w:rsid w:val="00AE14ED"/>
    <w:rsid w:val="00AE1521"/>
    <w:rsid w:val="00AE156B"/>
    <w:rsid w:val="00AE157A"/>
    <w:rsid w:val="00AE1587"/>
    <w:rsid w:val="00AE15F6"/>
    <w:rsid w:val="00AE15F8"/>
    <w:rsid w:val="00AE1614"/>
    <w:rsid w:val="00AE1682"/>
    <w:rsid w:val="00AE16C9"/>
    <w:rsid w:val="00AE16D4"/>
    <w:rsid w:val="00AE16E7"/>
    <w:rsid w:val="00AE1719"/>
    <w:rsid w:val="00AE1798"/>
    <w:rsid w:val="00AE17F8"/>
    <w:rsid w:val="00AE1891"/>
    <w:rsid w:val="00AE193F"/>
    <w:rsid w:val="00AE1944"/>
    <w:rsid w:val="00AE19A6"/>
    <w:rsid w:val="00AE19E1"/>
    <w:rsid w:val="00AE19F9"/>
    <w:rsid w:val="00AE1A2A"/>
    <w:rsid w:val="00AE1A54"/>
    <w:rsid w:val="00AE1A79"/>
    <w:rsid w:val="00AE1A85"/>
    <w:rsid w:val="00AE1A90"/>
    <w:rsid w:val="00AE1B14"/>
    <w:rsid w:val="00AE1B2B"/>
    <w:rsid w:val="00AE1B5E"/>
    <w:rsid w:val="00AE1BC5"/>
    <w:rsid w:val="00AE1BDD"/>
    <w:rsid w:val="00AE1BFD"/>
    <w:rsid w:val="00AE1C09"/>
    <w:rsid w:val="00AE1C5E"/>
    <w:rsid w:val="00AE1CF1"/>
    <w:rsid w:val="00AE1E22"/>
    <w:rsid w:val="00AE1E4F"/>
    <w:rsid w:val="00AE1E88"/>
    <w:rsid w:val="00AE1E96"/>
    <w:rsid w:val="00AE1EE6"/>
    <w:rsid w:val="00AE1EE9"/>
    <w:rsid w:val="00AE1F24"/>
    <w:rsid w:val="00AE1F33"/>
    <w:rsid w:val="00AE1F5E"/>
    <w:rsid w:val="00AE1F98"/>
    <w:rsid w:val="00AE1FB7"/>
    <w:rsid w:val="00AE1FF2"/>
    <w:rsid w:val="00AE2016"/>
    <w:rsid w:val="00AE20E6"/>
    <w:rsid w:val="00AE20F7"/>
    <w:rsid w:val="00AE2111"/>
    <w:rsid w:val="00AE21BC"/>
    <w:rsid w:val="00AE21F6"/>
    <w:rsid w:val="00AE2232"/>
    <w:rsid w:val="00AE228C"/>
    <w:rsid w:val="00AE228D"/>
    <w:rsid w:val="00AE22CA"/>
    <w:rsid w:val="00AE22E6"/>
    <w:rsid w:val="00AE233B"/>
    <w:rsid w:val="00AE23DC"/>
    <w:rsid w:val="00AE2411"/>
    <w:rsid w:val="00AE2445"/>
    <w:rsid w:val="00AE24AB"/>
    <w:rsid w:val="00AE24B8"/>
    <w:rsid w:val="00AE24CE"/>
    <w:rsid w:val="00AE24E2"/>
    <w:rsid w:val="00AE24EC"/>
    <w:rsid w:val="00AE2508"/>
    <w:rsid w:val="00AE2518"/>
    <w:rsid w:val="00AE25B5"/>
    <w:rsid w:val="00AE25D0"/>
    <w:rsid w:val="00AE265B"/>
    <w:rsid w:val="00AE2694"/>
    <w:rsid w:val="00AE26A2"/>
    <w:rsid w:val="00AE271E"/>
    <w:rsid w:val="00AE272A"/>
    <w:rsid w:val="00AE2731"/>
    <w:rsid w:val="00AE2740"/>
    <w:rsid w:val="00AE281D"/>
    <w:rsid w:val="00AE287D"/>
    <w:rsid w:val="00AE290D"/>
    <w:rsid w:val="00AE2925"/>
    <w:rsid w:val="00AE292B"/>
    <w:rsid w:val="00AE2941"/>
    <w:rsid w:val="00AE299D"/>
    <w:rsid w:val="00AE2A40"/>
    <w:rsid w:val="00AE2AB4"/>
    <w:rsid w:val="00AE2AB5"/>
    <w:rsid w:val="00AE2AF8"/>
    <w:rsid w:val="00AE2B21"/>
    <w:rsid w:val="00AE2B58"/>
    <w:rsid w:val="00AE2BD6"/>
    <w:rsid w:val="00AE2C4A"/>
    <w:rsid w:val="00AE2C8C"/>
    <w:rsid w:val="00AE2CAB"/>
    <w:rsid w:val="00AE2CDD"/>
    <w:rsid w:val="00AE2D1D"/>
    <w:rsid w:val="00AE2D88"/>
    <w:rsid w:val="00AE2D9D"/>
    <w:rsid w:val="00AE2DED"/>
    <w:rsid w:val="00AE2E1A"/>
    <w:rsid w:val="00AE2E22"/>
    <w:rsid w:val="00AE2E76"/>
    <w:rsid w:val="00AE2E8E"/>
    <w:rsid w:val="00AE2EA5"/>
    <w:rsid w:val="00AE2ECC"/>
    <w:rsid w:val="00AE2F12"/>
    <w:rsid w:val="00AE2F90"/>
    <w:rsid w:val="00AE2FD2"/>
    <w:rsid w:val="00AE2FF3"/>
    <w:rsid w:val="00AE305D"/>
    <w:rsid w:val="00AE3070"/>
    <w:rsid w:val="00AE3090"/>
    <w:rsid w:val="00AE30EE"/>
    <w:rsid w:val="00AE3188"/>
    <w:rsid w:val="00AE31A4"/>
    <w:rsid w:val="00AE3212"/>
    <w:rsid w:val="00AE325C"/>
    <w:rsid w:val="00AE327F"/>
    <w:rsid w:val="00AE329A"/>
    <w:rsid w:val="00AE329E"/>
    <w:rsid w:val="00AE32A7"/>
    <w:rsid w:val="00AE32F5"/>
    <w:rsid w:val="00AE3300"/>
    <w:rsid w:val="00AE335C"/>
    <w:rsid w:val="00AE336A"/>
    <w:rsid w:val="00AE337C"/>
    <w:rsid w:val="00AE337F"/>
    <w:rsid w:val="00AE33B5"/>
    <w:rsid w:val="00AE3428"/>
    <w:rsid w:val="00AE3476"/>
    <w:rsid w:val="00AE348C"/>
    <w:rsid w:val="00AE348D"/>
    <w:rsid w:val="00AE3493"/>
    <w:rsid w:val="00AE354D"/>
    <w:rsid w:val="00AE3569"/>
    <w:rsid w:val="00AE3576"/>
    <w:rsid w:val="00AE3585"/>
    <w:rsid w:val="00AE35A4"/>
    <w:rsid w:val="00AE369D"/>
    <w:rsid w:val="00AE36BC"/>
    <w:rsid w:val="00AE3706"/>
    <w:rsid w:val="00AE373E"/>
    <w:rsid w:val="00AE3766"/>
    <w:rsid w:val="00AE378E"/>
    <w:rsid w:val="00AE3829"/>
    <w:rsid w:val="00AE3868"/>
    <w:rsid w:val="00AE3874"/>
    <w:rsid w:val="00AE3886"/>
    <w:rsid w:val="00AE388F"/>
    <w:rsid w:val="00AE38B4"/>
    <w:rsid w:val="00AE38D9"/>
    <w:rsid w:val="00AE3930"/>
    <w:rsid w:val="00AE3937"/>
    <w:rsid w:val="00AE3988"/>
    <w:rsid w:val="00AE3AA4"/>
    <w:rsid w:val="00AE3B05"/>
    <w:rsid w:val="00AE3B2E"/>
    <w:rsid w:val="00AE3B9E"/>
    <w:rsid w:val="00AE3BCC"/>
    <w:rsid w:val="00AE3BCD"/>
    <w:rsid w:val="00AE3BDD"/>
    <w:rsid w:val="00AE3BF1"/>
    <w:rsid w:val="00AE3BF5"/>
    <w:rsid w:val="00AE3C27"/>
    <w:rsid w:val="00AE3C5B"/>
    <w:rsid w:val="00AE3C67"/>
    <w:rsid w:val="00AE3C6B"/>
    <w:rsid w:val="00AE3CA5"/>
    <w:rsid w:val="00AE3CB2"/>
    <w:rsid w:val="00AE3D20"/>
    <w:rsid w:val="00AE3D2A"/>
    <w:rsid w:val="00AE3D37"/>
    <w:rsid w:val="00AE3D46"/>
    <w:rsid w:val="00AE3E25"/>
    <w:rsid w:val="00AE3E2A"/>
    <w:rsid w:val="00AE3E38"/>
    <w:rsid w:val="00AE3E4A"/>
    <w:rsid w:val="00AE3E85"/>
    <w:rsid w:val="00AE3EA1"/>
    <w:rsid w:val="00AE3EA8"/>
    <w:rsid w:val="00AE3EDB"/>
    <w:rsid w:val="00AE3F4B"/>
    <w:rsid w:val="00AE3FE0"/>
    <w:rsid w:val="00AE401D"/>
    <w:rsid w:val="00AE403C"/>
    <w:rsid w:val="00AE40BA"/>
    <w:rsid w:val="00AE40C0"/>
    <w:rsid w:val="00AE4111"/>
    <w:rsid w:val="00AE411F"/>
    <w:rsid w:val="00AE4121"/>
    <w:rsid w:val="00AE415B"/>
    <w:rsid w:val="00AE41EC"/>
    <w:rsid w:val="00AE4225"/>
    <w:rsid w:val="00AE4237"/>
    <w:rsid w:val="00AE42EC"/>
    <w:rsid w:val="00AE430B"/>
    <w:rsid w:val="00AE433E"/>
    <w:rsid w:val="00AE4372"/>
    <w:rsid w:val="00AE43B7"/>
    <w:rsid w:val="00AE43D3"/>
    <w:rsid w:val="00AE441E"/>
    <w:rsid w:val="00AE442B"/>
    <w:rsid w:val="00AE4438"/>
    <w:rsid w:val="00AE446C"/>
    <w:rsid w:val="00AE4475"/>
    <w:rsid w:val="00AE44F6"/>
    <w:rsid w:val="00AE450D"/>
    <w:rsid w:val="00AE450F"/>
    <w:rsid w:val="00AE4525"/>
    <w:rsid w:val="00AE4549"/>
    <w:rsid w:val="00AE454A"/>
    <w:rsid w:val="00AE458C"/>
    <w:rsid w:val="00AE466A"/>
    <w:rsid w:val="00AE46CE"/>
    <w:rsid w:val="00AE4712"/>
    <w:rsid w:val="00AE4722"/>
    <w:rsid w:val="00AE474C"/>
    <w:rsid w:val="00AE4769"/>
    <w:rsid w:val="00AE47C9"/>
    <w:rsid w:val="00AE47FA"/>
    <w:rsid w:val="00AE47FD"/>
    <w:rsid w:val="00AE4806"/>
    <w:rsid w:val="00AE4807"/>
    <w:rsid w:val="00AE48D9"/>
    <w:rsid w:val="00AE492A"/>
    <w:rsid w:val="00AE4A51"/>
    <w:rsid w:val="00AE4A76"/>
    <w:rsid w:val="00AE4AA2"/>
    <w:rsid w:val="00AE4B07"/>
    <w:rsid w:val="00AE4B45"/>
    <w:rsid w:val="00AE4B51"/>
    <w:rsid w:val="00AE4B64"/>
    <w:rsid w:val="00AE4BB5"/>
    <w:rsid w:val="00AE4C13"/>
    <w:rsid w:val="00AE4C52"/>
    <w:rsid w:val="00AE4C92"/>
    <w:rsid w:val="00AE4CD3"/>
    <w:rsid w:val="00AE4D33"/>
    <w:rsid w:val="00AE4D47"/>
    <w:rsid w:val="00AE4D5E"/>
    <w:rsid w:val="00AE4E0C"/>
    <w:rsid w:val="00AE4E40"/>
    <w:rsid w:val="00AE4E82"/>
    <w:rsid w:val="00AE4E88"/>
    <w:rsid w:val="00AE4E9A"/>
    <w:rsid w:val="00AE4F01"/>
    <w:rsid w:val="00AE4F08"/>
    <w:rsid w:val="00AE4F41"/>
    <w:rsid w:val="00AE4F55"/>
    <w:rsid w:val="00AE5056"/>
    <w:rsid w:val="00AE5093"/>
    <w:rsid w:val="00AE50F4"/>
    <w:rsid w:val="00AE5179"/>
    <w:rsid w:val="00AE518E"/>
    <w:rsid w:val="00AE51D9"/>
    <w:rsid w:val="00AE5217"/>
    <w:rsid w:val="00AE5240"/>
    <w:rsid w:val="00AE5251"/>
    <w:rsid w:val="00AE52A3"/>
    <w:rsid w:val="00AE52E8"/>
    <w:rsid w:val="00AE5305"/>
    <w:rsid w:val="00AE53AE"/>
    <w:rsid w:val="00AE5442"/>
    <w:rsid w:val="00AE546D"/>
    <w:rsid w:val="00AE549E"/>
    <w:rsid w:val="00AE54B8"/>
    <w:rsid w:val="00AE54D2"/>
    <w:rsid w:val="00AE552B"/>
    <w:rsid w:val="00AE55A9"/>
    <w:rsid w:val="00AE5645"/>
    <w:rsid w:val="00AE5672"/>
    <w:rsid w:val="00AE56A7"/>
    <w:rsid w:val="00AE56AE"/>
    <w:rsid w:val="00AE56B7"/>
    <w:rsid w:val="00AE570C"/>
    <w:rsid w:val="00AE578E"/>
    <w:rsid w:val="00AE5790"/>
    <w:rsid w:val="00AE57AB"/>
    <w:rsid w:val="00AE5803"/>
    <w:rsid w:val="00AE585A"/>
    <w:rsid w:val="00AE5878"/>
    <w:rsid w:val="00AE589D"/>
    <w:rsid w:val="00AE59A5"/>
    <w:rsid w:val="00AE59D9"/>
    <w:rsid w:val="00AE59E0"/>
    <w:rsid w:val="00AE5A61"/>
    <w:rsid w:val="00AE5AF4"/>
    <w:rsid w:val="00AE5B1E"/>
    <w:rsid w:val="00AE5B22"/>
    <w:rsid w:val="00AE5B9A"/>
    <w:rsid w:val="00AE5B9F"/>
    <w:rsid w:val="00AE5C34"/>
    <w:rsid w:val="00AE5CA1"/>
    <w:rsid w:val="00AE5D15"/>
    <w:rsid w:val="00AE5D3D"/>
    <w:rsid w:val="00AE5D83"/>
    <w:rsid w:val="00AE5DA7"/>
    <w:rsid w:val="00AE5DDE"/>
    <w:rsid w:val="00AE5F26"/>
    <w:rsid w:val="00AE5F38"/>
    <w:rsid w:val="00AE5F58"/>
    <w:rsid w:val="00AE5F76"/>
    <w:rsid w:val="00AE5F8A"/>
    <w:rsid w:val="00AE5F9B"/>
    <w:rsid w:val="00AE6006"/>
    <w:rsid w:val="00AE60F1"/>
    <w:rsid w:val="00AE6119"/>
    <w:rsid w:val="00AE6124"/>
    <w:rsid w:val="00AE6153"/>
    <w:rsid w:val="00AE61CB"/>
    <w:rsid w:val="00AE61EA"/>
    <w:rsid w:val="00AE6261"/>
    <w:rsid w:val="00AE62FB"/>
    <w:rsid w:val="00AE632C"/>
    <w:rsid w:val="00AE6340"/>
    <w:rsid w:val="00AE6358"/>
    <w:rsid w:val="00AE6396"/>
    <w:rsid w:val="00AE640E"/>
    <w:rsid w:val="00AE6431"/>
    <w:rsid w:val="00AE643F"/>
    <w:rsid w:val="00AE644D"/>
    <w:rsid w:val="00AE64D3"/>
    <w:rsid w:val="00AE64FE"/>
    <w:rsid w:val="00AE651A"/>
    <w:rsid w:val="00AE6526"/>
    <w:rsid w:val="00AE658F"/>
    <w:rsid w:val="00AE6591"/>
    <w:rsid w:val="00AE65BA"/>
    <w:rsid w:val="00AE65CB"/>
    <w:rsid w:val="00AE65D6"/>
    <w:rsid w:val="00AE6600"/>
    <w:rsid w:val="00AE6651"/>
    <w:rsid w:val="00AE6721"/>
    <w:rsid w:val="00AE6830"/>
    <w:rsid w:val="00AE68C3"/>
    <w:rsid w:val="00AE68ED"/>
    <w:rsid w:val="00AE68F5"/>
    <w:rsid w:val="00AE6957"/>
    <w:rsid w:val="00AE697C"/>
    <w:rsid w:val="00AE69A2"/>
    <w:rsid w:val="00AE69E5"/>
    <w:rsid w:val="00AE6A76"/>
    <w:rsid w:val="00AE6ACA"/>
    <w:rsid w:val="00AE6ADB"/>
    <w:rsid w:val="00AE6B08"/>
    <w:rsid w:val="00AE6B1F"/>
    <w:rsid w:val="00AE6B76"/>
    <w:rsid w:val="00AE6BE1"/>
    <w:rsid w:val="00AE6BFC"/>
    <w:rsid w:val="00AE6C15"/>
    <w:rsid w:val="00AE6C5F"/>
    <w:rsid w:val="00AE6C99"/>
    <w:rsid w:val="00AE6CAF"/>
    <w:rsid w:val="00AE6D38"/>
    <w:rsid w:val="00AE6D49"/>
    <w:rsid w:val="00AE6DCA"/>
    <w:rsid w:val="00AE6DE6"/>
    <w:rsid w:val="00AE6DF1"/>
    <w:rsid w:val="00AE6E12"/>
    <w:rsid w:val="00AE6E63"/>
    <w:rsid w:val="00AE6EAE"/>
    <w:rsid w:val="00AE6EBD"/>
    <w:rsid w:val="00AE6ECB"/>
    <w:rsid w:val="00AE6F16"/>
    <w:rsid w:val="00AE6F2D"/>
    <w:rsid w:val="00AE7024"/>
    <w:rsid w:val="00AE706F"/>
    <w:rsid w:val="00AE70F3"/>
    <w:rsid w:val="00AE7133"/>
    <w:rsid w:val="00AE71EF"/>
    <w:rsid w:val="00AE7218"/>
    <w:rsid w:val="00AE7231"/>
    <w:rsid w:val="00AE726E"/>
    <w:rsid w:val="00AE7287"/>
    <w:rsid w:val="00AE7292"/>
    <w:rsid w:val="00AE72AD"/>
    <w:rsid w:val="00AE7342"/>
    <w:rsid w:val="00AE7345"/>
    <w:rsid w:val="00AE7390"/>
    <w:rsid w:val="00AE73BE"/>
    <w:rsid w:val="00AE73D5"/>
    <w:rsid w:val="00AE73FB"/>
    <w:rsid w:val="00AE74B7"/>
    <w:rsid w:val="00AE7515"/>
    <w:rsid w:val="00AE753A"/>
    <w:rsid w:val="00AE753E"/>
    <w:rsid w:val="00AE755A"/>
    <w:rsid w:val="00AE758D"/>
    <w:rsid w:val="00AE75EA"/>
    <w:rsid w:val="00AE7600"/>
    <w:rsid w:val="00AE7606"/>
    <w:rsid w:val="00AE7678"/>
    <w:rsid w:val="00AE7716"/>
    <w:rsid w:val="00AE7731"/>
    <w:rsid w:val="00AE7762"/>
    <w:rsid w:val="00AE7778"/>
    <w:rsid w:val="00AE7831"/>
    <w:rsid w:val="00AE786C"/>
    <w:rsid w:val="00AE786E"/>
    <w:rsid w:val="00AE787D"/>
    <w:rsid w:val="00AE78CE"/>
    <w:rsid w:val="00AE78FD"/>
    <w:rsid w:val="00AE7973"/>
    <w:rsid w:val="00AE7977"/>
    <w:rsid w:val="00AE79B5"/>
    <w:rsid w:val="00AE7A20"/>
    <w:rsid w:val="00AE7A36"/>
    <w:rsid w:val="00AE7A5F"/>
    <w:rsid w:val="00AE7AD7"/>
    <w:rsid w:val="00AE7B7C"/>
    <w:rsid w:val="00AE7BA6"/>
    <w:rsid w:val="00AE7BF7"/>
    <w:rsid w:val="00AE7C00"/>
    <w:rsid w:val="00AE7C1F"/>
    <w:rsid w:val="00AE7C6A"/>
    <w:rsid w:val="00AE7C85"/>
    <w:rsid w:val="00AE7C9F"/>
    <w:rsid w:val="00AE7CA7"/>
    <w:rsid w:val="00AE7CA9"/>
    <w:rsid w:val="00AE7CB9"/>
    <w:rsid w:val="00AE7CDA"/>
    <w:rsid w:val="00AE7DA9"/>
    <w:rsid w:val="00AE7DDC"/>
    <w:rsid w:val="00AE7E32"/>
    <w:rsid w:val="00AE7E5F"/>
    <w:rsid w:val="00AE7ED5"/>
    <w:rsid w:val="00AE7F01"/>
    <w:rsid w:val="00AE7F9A"/>
    <w:rsid w:val="00AE7F9C"/>
    <w:rsid w:val="00AE7FCA"/>
    <w:rsid w:val="00AE7FFB"/>
    <w:rsid w:val="00AF0008"/>
    <w:rsid w:val="00AF0025"/>
    <w:rsid w:val="00AF0053"/>
    <w:rsid w:val="00AF005A"/>
    <w:rsid w:val="00AF0074"/>
    <w:rsid w:val="00AF00AE"/>
    <w:rsid w:val="00AF0130"/>
    <w:rsid w:val="00AF024E"/>
    <w:rsid w:val="00AF036A"/>
    <w:rsid w:val="00AF039E"/>
    <w:rsid w:val="00AF03D4"/>
    <w:rsid w:val="00AF03D7"/>
    <w:rsid w:val="00AF03F0"/>
    <w:rsid w:val="00AF0414"/>
    <w:rsid w:val="00AF043B"/>
    <w:rsid w:val="00AF0549"/>
    <w:rsid w:val="00AF0566"/>
    <w:rsid w:val="00AF0576"/>
    <w:rsid w:val="00AF0585"/>
    <w:rsid w:val="00AF05B4"/>
    <w:rsid w:val="00AF05B5"/>
    <w:rsid w:val="00AF05EA"/>
    <w:rsid w:val="00AF0619"/>
    <w:rsid w:val="00AF064A"/>
    <w:rsid w:val="00AF065E"/>
    <w:rsid w:val="00AF0669"/>
    <w:rsid w:val="00AF0679"/>
    <w:rsid w:val="00AF0684"/>
    <w:rsid w:val="00AF0693"/>
    <w:rsid w:val="00AF06B4"/>
    <w:rsid w:val="00AF0701"/>
    <w:rsid w:val="00AF079F"/>
    <w:rsid w:val="00AF07C2"/>
    <w:rsid w:val="00AF07DD"/>
    <w:rsid w:val="00AF0819"/>
    <w:rsid w:val="00AF083E"/>
    <w:rsid w:val="00AF08B4"/>
    <w:rsid w:val="00AF08EF"/>
    <w:rsid w:val="00AF095F"/>
    <w:rsid w:val="00AF09C4"/>
    <w:rsid w:val="00AF09CA"/>
    <w:rsid w:val="00AF09E1"/>
    <w:rsid w:val="00AF0A1F"/>
    <w:rsid w:val="00AF0A25"/>
    <w:rsid w:val="00AF0A45"/>
    <w:rsid w:val="00AF0A9C"/>
    <w:rsid w:val="00AF0AC5"/>
    <w:rsid w:val="00AF0AD8"/>
    <w:rsid w:val="00AF0ADF"/>
    <w:rsid w:val="00AF0B00"/>
    <w:rsid w:val="00AF0B3D"/>
    <w:rsid w:val="00AF0D07"/>
    <w:rsid w:val="00AF0D2C"/>
    <w:rsid w:val="00AF0D53"/>
    <w:rsid w:val="00AF0D9E"/>
    <w:rsid w:val="00AF0DB9"/>
    <w:rsid w:val="00AF0E0E"/>
    <w:rsid w:val="00AF0E9D"/>
    <w:rsid w:val="00AF0EA9"/>
    <w:rsid w:val="00AF0ECB"/>
    <w:rsid w:val="00AF0ECD"/>
    <w:rsid w:val="00AF0EFD"/>
    <w:rsid w:val="00AF0F4D"/>
    <w:rsid w:val="00AF0F7F"/>
    <w:rsid w:val="00AF0F82"/>
    <w:rsid w:val="00AF0F8F"/>
    <w:rsid w:val="00AF0F9D"/>
    <w:rsid w:val="00AF1001"/>
    <w:rsid w:val="00AF1049"/>
    <w:rsid w:val="00AF10AB"/>
    <w:rsid w:val="00AF10AD"/>
    <w:rsid w:val="00AF10BF"/>
    <w:rsid w:val="00AF10CE"/>
    <w:rsid w:val="00AF1156"/>
    <w:rsid w:val="00AF1161"/>
    <w:rsid w:val="00AF116F"/>
    <w:rsid w:val="00AF11B8"/>
    <w:rsid w:val="00AF11EF"/>
    <w:rsid w:val="00AF1239"/>
    <w:rsid w:val="00AF123A"/>
    <w:rsid w:val="00AF1257"/>
    <w:rsid w:val="00AF1259"/>
    <w:rsid w:val="00AF128C"/>
    <w:rsid w:val="00AF128D"/>
    <w:rsid w:val="00AF12AE"/>
    <w:rsid w:val="00AF1325"/>
    <w:rsid w:val="00AF140F"/>
    <w:rsid w:val="00AF1434"/>
    <w:rsid w:val="00AF143E"/>
    <w:rsid w:val="00AF144D"/>
    <w:rsid w:val="00AF1475"/>
    <w:rsid w:val="00AF1481"/>
    <w:rsid w:val="00AF14B4"/>
    <w:rsid w:val="00AF14DB"/>
    <w:rsid w:val="00AF1547"/>
    <w:rsid w:val="00AF1569"/>
    <w:rsid w:val="00AF1571"/>
    <w:rsid w:val="00AF15BE"/>
    <w:rsid w:val="00AF15F3"/>
    <w:rsid w:val="00AF1645"/>
    <w:rsid w:val="00AF170B"/>
    <w:rsid w:val="00AF1728"/>
    <w:rsid w:val="00AF175A"/>
    <w:rsid w:val="00AF17CB"/>
    <w:rsid w:val="00AF17EB"/>
    <w:rsid w:val="00AF17FF"/>
    <w:rsid w:val="00AF1828"/>
    <w:rsid w:val="00AF1829"/>
    <w:rsid w:val="00AF18FB"/>
    <w:rsid w:val="00AF1974"/>
    <w:rsid w:val="00AF19AE"/>
    <w:rsid w:val="00AF19DC"/>
    <w:rsid w:val="00AF1A9F"/>
    <w:rsid w:val="00AF1AAC"/>
    <w:rsid w:val="00AF1AC1"/>
    <w:rsid w:val="00AF1AD8"/>
    <w:rsid w:val="00AF1B25"/>
    <w:rsid w:val="00AF1B72"/>
    <w:rsid w:val="00AF1BC4"/>
    <w:rsid w:val="00AF1BF5"/>
    <w:rsid w:val="00AF1C02"/>
    <w:rsid w:val="00AF1C65"/>
    <w:rsid w:val="00AF1C67"/>
    <w:rsid w:val="00AF1C87"/>
    <w:rsid w:val="00AF1CC4"/>
    <w:rsid w:val="00AF1D09"/>
    <w:rsid w:val="00AF1D9B"/>
    <w:rsid w:val="00AF1D9D"/>
    <w:rsid w:val="00AF1DBB"/>
    <w:rsid w:val="00AF1DFB"/>
    <w:rsid w:val="00AF1E8F"/>
    <w:rsid w:val="00AF1F7F"/>
    <w:rsid w:val="00AF1FBD"/>
    <w:rsid w:val="00AF1FBF"/>
    <w:rsid w:val="00AF1FD1"/>
    <w:rsid w:val="00AF1FFD"/>
    <w:rsid w:val="00AF2042"/>
    <w:rsid w:val="00AF211A"/>
    <w:rsid w:val="00AF21B3"/>
    <w:rsid w:val="00AF2238"/>
    <w:rsid w:val="00AF2239"/>
    <w:rsid w:val="00AF2248"/>
    <w:rsid w:val="00AF2265"/>
    <w:rsid w:val="00AF227E"/>
    <w:rsid w:val="00AF229E"/>
    <w:rsid w:val="00AF22D5"/>
    <w:rsid w:val="00AF22DF"/>
    <w:rsid w:val="00AF22F9"/>
    <w:rsid w:val="00AF22FA"/>
    <w:rsid w:val="00AF2351"/>
    <w:rsid w:val="00AF2360"/>
    <w:rsid w:val="00AF2385"/>
    <w:rsid w:val="00AF23C7"/>
    <w:rsid w:val="00AF2406"/>
    <w:rsid w:val="00AF240E"/>
    <w:rsid w:val="00AF2469"/>
    <w:rsid w:val="00AF248E"/>
    <w:rsid w:val="00AF25A6"/>
    <w:rsid w:val="00AF25C5"/>
    <w:rsid w:val="00AF25D0"/>
    <w:rsid w:val="00AF2647"/>
    <w:rsid w:val="00AF268E"/>
    <w:rsid w:val="00AF26E6"/>
    <w:rsid w:val="00AF2727"/>
    <w:rsid w:val="00AF272B"/>
    <w:rsid w:val="00AF273D"/>
    <w:rsid w:val="00AF278F"/>
    <w:rsid w:val="00AF27A2"/>
    <w:rsid w:val="00AF27C6"/>
    <w:rsid w:val="00AF2842"/>
    <w:rsid w:val="00AF28F4"/>
    <w:rsid w:val="00AF2903"/>
    <w:rsid w:val="00AF2926"/>
    <w:rsid w:val="00AF2935"/>
    <w:rsid w:val="00AF294B"/>
    <w:rsid w:val="00AF2969"/>
    <w:rsid w:val="00AF29A5"/>
    <w:rsid w:val="00AF2A90"/>
    <w:rsid w:val="00AF2AEE"/>
    <w:rsid w:val="00AF2AFA"/>
    <w:rsid w:val="00AF2B10"/>
    <w:rsid w:val="00AF2B13"/>
    <w:rsid w:val="00AF2B4F"/>
    <w:rsid w:val="00AF2B8C"/>
    <w:rsid w:val="00AF2B92"/>
    <w:rsid w:val="00AF2B98"/>
    <w:rsid w:val="00AF2BAB"/>
    <w:rsid w:val="00AF2C0B"/>
    <w:rsid w:val="00AF2C2E"/>
    <w:rsid w:val="00AF2CBB"/>
    <w:rsid w:val="00AF2CE0"/>
    <w:rsid w:val="00AF2D1B"/>
    <w:rsid w:val="00AF2D86"/>
    <w:rsid w:val="00AF2DA2"/>
    <w:rsid w:val="00AF2DB5"/>
    <w:rsid w:val="00AF2DD4"/>
    <w:rsid w:val="00AF2E31"/>
    <w:rsid w:val="00AF2E59"/>
    <w:rsid w:val="00AF2E63"/>
    <w:rsid w:val="00AF2E6E"/>
    <w:rsid w:val="00AF2EAC"/>
    <w:rsid w:val="00AF2EB4"/>
    <w:rsid w:val="00AF2EB5"/>
    <w:rsid w:val="00AF2ECA"/>
    <w:rsid w:val="00AF2EF4"/>
    <w:rsid w:val="00AF2EFE"/>
    <w:rsid w:val="00AF2F0D"/>
    <w:rsid w:val="00AF2F45"/>
    <w:rsid w:val="00AF2FC8"/>
    <w:rsid w:val="00AF2FCD"/>
    <w:rsid w:val="00AF30E6"/>
    <w:rsid w:val="00AF3181"/>
    <w:rsid w:val="00AF31BC"/>
    <w:rsid w:val="00AF31E2"/>
    <w:rsid w:val="00AF31F2"/>
    <w:rsid w:val="00AF3274"/>
    <w:rsid w:val="00AF329A"/>
    <w:rsid w:val="00AF32C0"/>
    <w:rsid w:val="00AF32DE"/>
    <w:rsid w:val="00AF32E6"/>
    <w:rsid w:val="00AF333A"/>
    <w:rsid w:val="00AF333C"/>
    <w:rsid w:val="00AF335D"/>
    <w:rsid w:val="00AF33DA"/>
    <w:rsid w:val="00AF3490"/>
    <w:rsid w:val="00AF3513"/>
    <w:rsid w:val="00AF3525"/>
    <w:rsid w:val="00AF354C"/>
    <w:rsid w:val="00AF357A"/>
    <w:rsid w:val="00AF358E"/>
    <w:rsid w:val="00AF35B6"/>
    <w:rsid w:val="00AF3663"/>
    <w:rsid w:val="00AF36FF"/>
    <w:rsid w:val="00AF3778"/>
    <w:rsid w:val="00AF37CC"/>
    <w:rsid w:val="00AF38D5"/>
    <w:rsid w:val="00AF3924"/>
    <w:rsid w:val="00AF396B"/>
    <w:rsid w:val="00AF3976"/>
    <w:rsid w:val="00AF39BE"/>
    <w:rsid w:val="00AF3A3A"/>
    <w:rsid w:val="00AF3A7B"/>
    <w:rsid w:val="00AF3B0C"/>
    <w:rsid w:val="00AF3C07"/>
    <w:rsid w:val="00AF3C1D"/>
    <w:rsid w:val="00AF3C4F"/>
    <w:rsid w:val="00AF3C83"/>
    <w:rsid w:val="00AF3C9B"/>
    <w:rsid w:val="00AF3CE8"/>
    <w:rsid w:val="00AF3D9E"/>
    <w:rsid w:val="00AF3E3D"/>
    <w:rsid w:val="00AF3E42"/>
    <w:rsid w:val="00AF3E8A"/>
    <w:rsid w:val="00AF3ED0"/>
    <w:rsid w:val="00AF3EE5"/>
    <w:rsid w:val="00AF3EF5"/>
    <w:rsid w:val="00AF3EF6"/>
    <w:rsid w:val="00AF3F4C"/>
    <w:rsid w:val="00AF3F52"/>
    <w:rsid w:val="00AF3F91"/>
    <w:rsid w:val="00AF4039"/>
    <w:rsid w:val="00AF404A"/>
    <w:rsid w:val="00AF4068"/>
    <w:rsid w:val="00AF408C"/>
    <w:rsid w:val="00AF40C1"/>
    <w:rsid w:val="00AF40F5"/>
    <w:rsid w:val="00AF410B"/>
    <w:rsid w:val="00AF411D"/>
    <w:rsid w:val="00AF4193"/>
    <w:rsid w:val="00AF4194"/>
    <w:rsid w:val="00AF41EF"/>
    <w:rsid w:val="00AF41FF"/>
    <w:rsid w:val="00AF420A"/>
    <w:rsid w:val="00AF4271"/>
    <w:rsid w:val="00AF42DD"/>
    <w:rsid w:val="00AF42F6"/>
    <w:rsid w:val="00AF43DF"/>
    <w:rsid w:val="00AF44C0"/>
    <w:rsid w:val="00AF44DC"/>
    <w:rsid w:val="00AF44E0"/>
    <w:rsid w:val="00AF451F"/>
    <w:rsid w:val="00AF45D7"/>
    <w:rsid w:val="00AF4609"/>
    <w:rsid w:val="00AF469A"/>
    <w:rsid w:val="00AF46A3"/>
    <w:rsid w:val="00AF46D7"/>
    <w:rsid w:val="00AF46DF"/>
    <w:rsid w:val="00AF485F"/>
    <w:rsid w:val="00AF4899"/>
    <w:rsid w:val="00AF48FA"/>
    <w:rsid w:val="00AF4907"/>
    <w:rsid w:val="00AF490A"/>
    <w:rsid w:val="00AF4922"/>
    <w:rsid w:val="00AF4966"/>
    <w:rsid w:val="00AF49B3"/>
    <w:rsid w:val="00AF49BD"/>
    <w:rsid w:val="00AF49BE"/>
    <w:rsid w:val="00AF49D4"/>
    <w:rsid w:val="00AF4A0E"/>
    <w:rsid w:val="00AF4A3B"/>
    <w:rsid w:val="00AF4AD1"/>
    <w:rsid w:val="00AF4AE3"/>
    <w:rsid w:val="00AF4B3B"/>
    <w:rsid w:val="00AF4BDF"/>
    <w:rsid w:val="00AF4CBC"/>
    <w:rsid w:val="00AF4CED"/>
    <w:rsid w:val="00AF4D81"/>
    <w:rsid w:val="00AF4DEB"/>
    <w:rsid w:val="00AF4E08"/>
    <w:rsid w:val="00AF4E58"/>
    <w:rsid w:val="00AF4E5D"/>
    <w:rsid w:val="00AF4F5A"/>
    <w:rsid w:val="00AF4F87"/>
    <w:rsid w:val="00AF4F96"/>
    <w:rsid w:val="00AF4FF0"/>
    <w:rsid w:val="00AF502C"/>
    <w:rsid w:val="00AF50A5"/>
    <w:rsid w:val="00AF50D9"/>
    <w:rsid w:val="00AF5100"/>
    <w:rsid w:val="00AF5137"/>
    <w:rsid w:val="00AF527D"/>
    <w:rsid w:val="00AF527F"/>
    <w:rsid w:val="00AF5293"/>
    <w:rsid w:val="00AF52B6"/>
    <w:rsid w:val="00AF52FB"/>
    <w:rsid w:val="00AF5318"/>
    <w:rsid w:val="00AF5345"/>
    <w:rsid w:val="00AF538E"/>
    <w:rsid w:val="00AF53E4"/>
    <w:rsid w:val="00AF53E5"/>
    <w:rsid w:val="00AF546B"/>
    <w:rsid w:val="00AF54CD"/>
    <w:rsid w:val="00AF54DA"/>
    <w:rsid w:val="00AF552F"/>
    <w:rsid w:val="00AF5573"/>
    <w:rsid w:val="00AF5586"/>
    <w:rsid w:val="00AF558F"/>
    <w:rsid w:val="00AF55A6"/>
    <w:rsid w:val="00AF566B"/>
    <w:rsid w:val="00AF5673"/>
    <w:rsid w:val="00AF5740"/>
    <w:rsid w:val="00AF57E7"/>
    <w:rsid w:val="00AF57EC"/>
    <w:rsid w:val="00AF5858"/>
    <w:rsid w:val="00AF58DC"/>
    <w:rsid w:val="00AF58FD"/>
    <w:rsid w:val="00AF597F"/>
    <w:rsid w:val="00AF59DB"/>
    <w:rsid w:val="00AF5A25"/>
    <w:rsid w:val="00AF5A2B"/>
    <w:rsid w:val="00AF5A68"/>
    <w:rsid w:val="00AF5A77"/>
    <w:rsid w:val="00AF5A9F"/>
    <w:rsid w:val="00AF5AB6"/>
    <w:rsid w:val="00AF5B0E"/>
    <w:rsid w:val="00AF5B47"/>
    <w:rsid w:val="00AF5B51"/>
    <w:rsid w:val="00AF5B8F"/>
    <w:rsid w:val="00AF5B96"/>
    <w:rsid w:val="00AF5BE3"/>
    <w:rsid w:val="00AF5BF7"/>
    <w:rsid w:val="00AF5C20"/>
    <w:rsid w:val="00AF5C21"/>
    <w:rsid w:val="00AF5CC4"/>
    <w:rsid w:val="00AF5CCA"/>
    <w:rsid w:val="00AF5CE6"/>
    <w:rsid w:val="00AF5D06"/>
    <w:rsid w:val="00AF5DC5"/>
    <w:rsid w:val="00AF5E0B"/>
    <w:rsid w:val="00AF5E38"/>
    <w:rsid w:val="00AF5E68"/>
    <w:rsid w:val="00AF5EA3"/>
    <w:rsid w:val="00AF5F3E"/>
    <w:rsid w:val="00AF5F48"/>
    <w:rsid w:val="00AF5F64"/>
    <w:rsid w:val="00AF5F7A"/>
    <w:rsid w:val="00AF5F98"/>
    <w:rsid w:val="00AF5FA1"/>
    <w:rsid w:val="00AF6020"/>
    <w:rsid w:val="00AF6042"/>
    <w:rsid w:val="00AF605C"/>
    <w:rsid w:val="00AF6076"/>
    <w:rsid w:val="00AF6080"/>
    <w:rsid w:val="00AF60A5"/>
    <w:rsid w:val="00AF60C9"/>
    <w:rsid w:val="00AF60F9"/>
    <w:rsid w:val="00AF60FE"/>
    <w:rsid w:val="00AF6123"/>
    <w:rsid w:val="00AF6163"/>
    <w:rsid w:val="00AF61B9"/>
    <w:rsid w:val="00AF61C0"/>
    <w:rsid w:val="00AF621A"/>
    <w:rsid w:val="00AF6271"/>
    <w:rsid w:val="00AF62D2"/>
    <w:rsid w:val="00AF6330"/>
    <w:rsid w:val="00AF634A"/>
    <w:rsid w:val="00AF6355"/>
    <w:rsid w:val="00AF641C"/>
    <w:rsid w:val="00AF6456"/>
    <w:rsid w:val="00AF6474"/>
    <w:rsid w:val="00AF6478"/>
    <w:rsid w:val="00AF6479"/>
    <w:rsid w:val="00AF649A"/>
    <w:rsid w:val="00AF64A6"/>
    <w:rsid w:val="00AF6502"/>
    <w:rsid w:val="00AF650F"/>
    <w:rsid w:val="00AF6532"/>
    <w:rsid w:val="00AF6639"/>
    <w:rsid w:val="00AF664B"/>
    <w:rsid w:val="00AF6680"/>
    <w:rsid w:val="00AF66AE"/>
    <w:rsid w:val="00AF671E"/>
    <w:rsid w:val="00AF6723"/>
    <w:rsid w:val="00AF6736"/>
    <w:rsid w:val="00AF676A"/>
    <w:rsid w:val="00AF6794"/>
    <w:rsid w:val="00AF67BD"/>
    <w:rsid w:val="00AF682F"/>
    <w:rsid w:val="00AF6833"/>
    <w:rsid w:val="00AF6899"/>
    <w:rsid w:val="00AF6948"/>
    <w:rsid w:val="00AF6994"/>
    <w:rsid w:val="00AF69C1"/>
    <w:rsid w:val="00AF6A06"/>
    <w:rsid w:val="00AF6A62"/>
    <w:rsid w:val="00AF6A96"/>
    <w:rsid w:val="00AF6ABB"/>
    <w:rsid w:val="00AF6AC3"/>
    <w:rsid w:val="00AF6B10"/>
    <w:rsid w:val="00AF6B22"/>
    <w:rsid w:val="00AF6B64"/>
    <w:rsid w:val="00AF6C30"/>
    <w:rsid w:val="00AF6CD3"/>
    <w:rsid w:val="00AF6CF1"/>
    <w:rsid w:val="00AF6D94"/>
    <w:rsid w:val="00AF6E3E"/>
    <w:rsid w:val="00AF6E64"/>
    <w:rsid w:val="00AF6E71"/>
    <w:rsid w:val="00AF6F7F"/>
    <w:rsid w:val="00AF6FCE"/>
    <w:rsid w:val="00AF7024"/>
    <w:rsid w:val="00AF7059"/>
    <w:rsid w:val="00AF7108"/>
    <w:rsid w:val="00AF7120"/>
    <w:rsid w:val="00AF7135"/>
    <w:rsid w:val="00AF7139"/>
    <w:rsid w:val="00AF71E1"/>
    <w:rsid w:val="00AF71FD"/>
    <w:rsid w:val="00AF7249"/>
    <w:rsid w:val="00AF729A"/>
    <w:rsid w:val="00AF72F6"/>
    <w:rsid w:val="00AF730A"/>
    <w:rsid w:val="00AF7338"/>
    <w:rsid w:val="00AF733A"/>
    <w:rsid w:val="00AF738E"/>
    <w:rsid w:val="00AF739B"/>
    <w:rsid w:val="00AF74ED"/>
    <w:rsid w:val="00AF75E5"/>
    <w:rsid w:val="00AF7688"/>
    <w:rsid w:val="00AF76A8"/>
    <w:rsid w:val="00AF76B4"/>
    <w:rsid w:val="00AF76DB"/>
    <w:rsid w:val="00AF76F4"/>
    <w:rsid w:val="00AF7754"/>
    <w:rsid w:val="00AF778E"/>
    <w:rsid w:val="00AF785E"/>
    <w:rsid w:val="00AF7945"/>
    <w:rsid w:val="00AF7961"/>
    <w:rsid w:val="00AF7A2D"/>
    <w:rsid w:val="00AF7A47"/>
    <w:rsid w:val="00AF7A63"/>
    <w:rsid w:val="00AF7A8E"/>
    <w:rsid w:val="00AF7AF6"/>
    <w:rsid w:val="00AF7AF8"/>
    <w:rsid w:val="00AF7B3C"/>
    <w:rsid w:val="00AF7B50"/>
    <w:rsid w:val="00AF7C7F"/>
    <w:rsid w:val="00AF7CCE"/>
    <w:rsid w:val="00AF7D10"/>
    <w:rsid w:val="00AF7D20"/>
    <w:rsid w:val="00AF7D77"/>
    <w:rsid w:val="00AF7D8A"/>
    <w:rsid w:val="00AF7DAC"/>
    <w:rsid w:val="00AF7DFD"/>
    <w:rsid w:val="00AF7E1F"/>
    <w:rsid w:val="00AF7E43"/>
    <w:rsid w:val="00AF7E6E"/>
    <w:rsid w:val="00AF7EDC"/>
    <w:rsid w:val="00AF7F14"/>
    <w:rsid w:val="00AF7F32"/>
    <w:rsid w:val="00AF7F79"/>
    <w:rsid w:val="00AF7FA9"/>
    <w:rsid w:val="00B00017"/>
    <w:rsid w:val="00B0004D"/>
    <w:rsid w:val="00B000ED"/>
    <w:rsid w:val="00B00143"/>
    <w:rsid w:val="00B00185"/>
    <w:rsid w:val="00B001C4"/>
    <w:rsid w:val="00B001D8"/>
    <w:rsid w:val="00B001E9"/>
    <w:rsid w:val="00B00298"/>
    <w:rsid w:val="00B0029C"/>
    <w:rsid w:val="00B002D9"/>
    <w:rsid w:val="00B002E3"/>
    <w:rsid w:val="00B002F4"/>
    <w:rsid w:val="00B00360"/>
    <w:rsid w:val="00B0042E"/>
    <w:rsid w:val="00B00486"/>
    <w:rsid w:val="00B00497"/>
    <w:rsid w:val="00B0052A"/>
    <w:rsid w:val="00B0054C"/>
    <w:rsid w:val="00B00594"/>
    <w:rsid w:val="00B0059D"/>
    <w:rsid w:val="00B0065A"/>
    <w:rsid w:val="00B00660"/>
    <w:rsid w:val="00B006D7"/>
    <w:rsid w:val="00B006E5"/>
    <w:rsid w:val="00B006F3"/>
    <w:rsid w:val="00B0078E"/>
    <w:rsid w:val="00B00818"/>
    <w:rsid w:val="00B00838"/>
    <w:rsid w:val="00B00A00"/>
    <w:rsid w:val="00B00A13"/>
    <w:rsid w:val="00B00A35"/>
    <w:rsid w:val="00B00A5B"/>
    <w:rsid w:val="00B00A7A"/>
    <w:rsid w:val="00B00AA5"/>
    <w:rsid w:val="00B00AD0"/>
    <w:rsid w:val="00B00B13"/>
    <w:rsid w:val="00B00B90"/>
    <w:rsid w:val="00B00BA8"/>
    <w:rsid w:val="00B00BA9"/>
    <w:rsid w:val="00B00BBF"/>
    <w:rsid w:val="00B00BD4"/>
    <w:rsid w:val="00B00C2C"/>
    <w:rsid w:val="00B00C34"/>
    <w:rsid w:val="00B00C68"/>
    <w:rsid w:val="00B00C6B"/>
    <w:rsid w:val="00B00C7D"/>
    <w:rsid w:val="00B00CC8"/>
    <w:rsid w:val="00B00CE9"/>
    <w:rsid w:val="00B00CF6"/>
    <w:rsid w:val="00B00D00"/>
    <w:rsid w:val="00B00D16"/>
    <w:rsid w:val="00B00D21"/>
    <w:rsid w:val="00B00D2F"/>
    <w:rsid w:val="00B00D83"/>
    <w:rsid w:val="00B00DA4"/>
    <w:rsid w:val="00B00DCD"/>
    <w:rsid w:val="00B00DE4"/>
    <w:rsid w:val="00B00DF6"/>
    <w:rsid w:val="00B00DF8"/>
    <w:rsid w:val="00B00E11"/>
    <w:rsid w:val="00B00E2C"/>
    <w:rsid w:val="00B00E6E"/>
    <w:rsid w:val="00B00E85"/>
    <w:rsid w:val="00B00E90"/>
    <w:rsid w:val="00B00EDB"/>
    <w:rsid w:val="00B00F58"/>
    <w:rsid w:val="00B00F91"/>
    <w:rsid w:val="00B00FDE"/>
    <w:rsid w:val="00B00FF6"/>
    <w:rsid w:val="00B01008"/>
    <w:rsid w:val="00B01068"/>
    <w:rsid w:val="00B01074"/>
    <w:rsid w:val="00B01155"/>
    <w:rsid w:val="00B01181"/>
    <w:rsid w:val="00B011CC"/>
    <w:rsid w:val="00B011E8"/>
    <w:rsid w:val="00B011ED"/>
    <w:rsid w:val="00B01215"/>
    <w:rsid w:val="00B01222"/>
    <w:rsid w:val="00B01230"/>
    <w:rsid w:val="00B01284"/>
    <w:rsid w:val="00B0129A"/>
    <w:rsid w:val="00B0134B"/>
    <w:rsid w:val="00B0134E"/>
    <w:rsid w:val="00B01371"/>
    <w:rsid w:val="00B01446"/>
    <w:rsid w:val="00B01471"/>
    <w:rsid w:val="00B01476"/>
    <w:rsid w:val="00B014AB"/>
    <w:rsid w:val="00B01506"/>
    <w:rsid w:val="00B01547"/>
    <w:rsid w:val="00B01573"/>
    <w:rsid w:val="00B015B4"/>
    <w:rsid w:val="00B015FF"/>
    <w:rsid w:val="00B0161B"/>
    <w:rsid w:val="00B016A5"/>
    <w:rsid w:val="00B01705"/>
    <w:rsid w:val="00B0171F"/>
    <w:rsid w:val="00B01731"/>
    <w:rsid w:val="00B01761"/>
    <w:rsid w:val="00B0177C"/>
    <w:rsid w:val="00B01782"/>
    <w:rsid w:val="00B0178B"/>
    <w:rsid w:val="00B017D0"/>
    <w:rsid w:val="00B0181C"/>
    <w:rsid w:val="00B01823"/>
    <w:rsid w:val="00B018B9"/>
    <w:rsid w:val="00B0196D"/>
    <w:rsid w:val="00B0197C"/>
    <w:rsid w:val="00B019B8"/>
    <w:rsid w:val="00B01A3F"/>
    <w:rsid w:val="00B01A99"/>
    <w:rsid w:val="00B01AB6"/>
    <w:rsid w:val="00B01B56"/>
    <w:rsid w:val="00B01BBE"/>
    <w:rsid w:val="00B01D0D"/>
    <w:rsid w:val="00B01D15"/>
    <w:rsid w:val="00B01D2A"/>
    <w:rsid w:val="00B01D86"/>
    <w:rsid w:val="00B01DD9"/>
    <w:rsid w:val="00B01E46"/>
    <w:rsid w:val="00B01E70"/>
    <w:rsid w:val="00B01EBD"/>
    <w:rsid w:val="00B01EC7"/>
    <w:rsid w:val="00B01ECB"/>
    <w:rsid w:val="00B01F56"/>
    <w:rsid w:val="00B01F6A"/>
    <w:rsid w:val="00B01F71"/>
    <w:rsid w:val="00B01F8E"/>
    <w:rsid w:val="00B01FD9"/>
    <w:rsid w:val="00B0203C"/>
    <w:rsid w:val="00B02064"/>
    <w:rsid w:val="00B0206A"/>
    <w:rsid w:val="00B02071"/>
    <w:rsid w:val="00B02077"/>
    <w:rsid w:val="00B0209B"/>
    <w:rsid w:val="00B020DB"/>
    <w:rsid w:val="00B02125"/>
    <w:rsid w:val="00B0213D"/>
    <w:rsid w:val="00B02146"/>
    <w:rsid w:val="00B02180"/>
    <w:rsid w:val="00B021A7"/>
    <w:rsid w:val="00B021AF"/>
    <w:rsid w:val="00B021D7"/>
    <w:rsid w:val="00B02244"/>
    <w:rsid w:val="00B02273"/>
    <w:rsid w:val="00B022CB"/>
    <w:rsid w:val="00B022E3"/>
    <w:rsid w:val="00B022FE"/>
    <w:rsid w:val="00B02393"/>
    <w:rsid w:val="00B023D8"/>
    <w:rsid w:val="00B0248E"/>
    <w:rsid w:val="00B024C1"/>
    <w:rsid w:val="00B02515"/>
    <w:rsid w:val="00B0259C"/>
    <w:rsid w:val="00B025F9"/>
    <w:rsid w:val="00B026D1"/>
    <w:rsid w:val="00B026E1"/>
    <w:rsid w:val="00B02712"/>
    <w:rsid w:val="00B0272E"/>
    <w:rsid w:val="00B027B1"/>
    <w:rsid w:val="00B027C9"/>
    <w:rsid w:val="00B0288C"/>
    <w:rsid w:val="00B02942"/>
    <w:rsid w:val="00B0294D"/>
    <w:rsid w:val="00B029AF"/>
    <w:rsid w:val="00B029CE"/>
    <w:rsid w:val="00B029F4"/>
    <w:rsid w:val="00B02A00"/>
    <w:rsid w:val="00B02A40"/>
    <w:rsid w:val="00B02A42"/>
    <w:rsid w:val="00B02A6E"/>
    <w:rsid w:val="00B02B92"/>
    <w:rsid w:val="00B02BC1"/>
    <w:rsid w:val="00B02BC4"/>
    <w:rsid w:val="00B02BD9"/>
    <w:rsid w:val="00B02BFA"/>
    <w:rsid w:val="00B02C2E"/>
    <w:rsid w:val="00B02CA8"/>
    <w:rsid w:val="00B02D02"/>
    <w:rsid w:val="00B02D4D"/>
    <w:rsid w:val="00B02D4F"/>
    <w:rsid w:val="00B02DC0"/>
    <w:rsid w:val="00B02DE4"/>
    <w:rsid w:val="00B02E32"/>
    <w:rsid w:val="00B02E36"/>
    <w:rsid w:val="00B02EB1"/>
    <w:rsid w:val="00B02EF8"/>
    <w:rsid w:val="00B02F2E"/>
    <w:rsid w:val="00B02F6E"/>
    <w:rsid w:val="00B03007"/>
    <w:rsid w:val="00B0300D"/>
    <w:rsid w:val="00B03039"/>
    <w:rsid w:val="00B0304F"/>
    <w:rsid w:val="00B030D6"/>
    <w:rsid w:val="00B03120"/>
    <w:rsid w:val="00B03156"/>
    <w:rsid w:val="00B031A6"/>
    <w:rsid w:val="00B031C9"/>
    <w:rsid w:val="00B031F7"/>
    <w:rsid w:val="00B03223"/>
    <w:rsid w:val="00B03293"/>
    <w:rsid w:val="00B032AA"/>
    <w:rsid w:val="00B032B2"/>
    <w:rsid w:val="00B032B4"/>
    <w:rsid w:val="00B032B5"/>
    <w:rsid w:val="00B032BE"/>
    <w:rsid w:val="00B03348"/>
    <w:rsid w:val="00B0339A"/>
    <w:rsid w:val="00B03418"/>
    <w:rsid w:val="00B0343E"/>
    <w:rsid w:val="00B03471"/>
    <w:rsid w:val="00B034B5"/>
    <w:rsid w:val="00B034CA"/>
    <w:rsid w:val="00B034E9"/>
    <w:rsid w:val="00B0365F"/>
    <w:rsid w:val="00B03668"/>
    <w:rsid w:val="00B0366A"/>
    <w:rsid w:val="00B03680"/>
    <w:rsid w:val="00B036D0"/>
    <w:rsid w:val="00B036F4"/>
    <w:rsid w:val="00B03717"/>
    <w:rsid w:val="00B03790"/>
    <w:rsid w:val="00B037A8"/>
    <w:rsid w:val="00B037A9"/>
    <w:rsid w:val="00B03827"/>
    <w:rsid w:val="00B03837"/>
    <w:rsid w:val="00B03875"/>
    <w:rsid w:val="00B0394F"/>
    <w:rsid w:val="00B03971"/>
    <w:rsid w:val="00B039B7"/>
    <w:rsid w:val="00B03A08"/>
    <w:rsid w:val="00B03A1F"/>
    <w:rsid w:val="00B03A73"/>
    <w:rsid w:val="00B03B25"/>
    <w:rsid w:val="00B03B2E"/>
    <w:rsid w:val="00B03B7A"/>
    <w:rsid w:val="00B03B86"/>
    <w:rsid w:val="00B03BAE"/>
    <w:rsid w:val="00B03BC7"/>
    <w:rsid w:val="00B03C72"/>
    <w:rsid w:val="00B03C78"/>
    <w:rsid w:val="00B03D9F"/>
    <w:rsid w:val="00B03DA5"/>
    <w:rsid w:val="00B03DD6"/>
    <w:rsid w:val="00B03DDE"/>
    <w:rsid w:val="00B03E6B"/>
    <w:rsid w:val="00B03EA7"/>
    <w:rsid w:val="00B03EAC"/>
    <w:rsid w:val="00B03EC5"/>
    <w:rsid w:val="00B03F2D"/>
    <w:rsid w:val="00B03F88"/>
    <w:rsid w:val="00B03FBE"/>
    <w:rsid w:val="00B03FDC"/>
    <w:rsid w:val="00B0403A"/>
    <w:rsid w:val="00B0405B"/>
    <w:rsid w:val="00B040D9"/>
    <w:rsid w:val="00B04151"/>
    <w:rsid w:val="00B041AF"/>
    <w:rsid w:val="00B041E6"/>
    <w:rsid w:val="00B04273"/>
    <w:rsid w:val="00B04290"/>
    <w:rsid w:val="00B042AE"/>
    <w:rsid w:val="00B042AF"/>
    <w:rsid w:val="00B04305"/>
    <w:rsid w:val="00B04312"/>
    <w:rsid w:val="00B04424"/>
    <w:rsid w:val="00B0447B"/>
    <w:rsid w:val="00B044AE"/>
    <w:rsid w:val="00B04504"/>
    <w:rsid w:val="00B0451B"/>
    <w:rsid w:val="00B0453D"/>
    <w:rsid w:val="00B04587"/>
    <w:rsid w:val="00B04595"/>
    <w:rsid w:val="00B0461C"/>
    <w:rsid w:val="00B04669"/>
    <w:rsid w:val="00B04716"/>
    <w:rsid w:val="00B047D4"/>
    <w:rsid w:val="00B04896"/>
    <w:rsid w:val="00B048D5"/>
    <w:rsid w:val="00B049AC"/>
    <w:rsid w:val="00B04A0C"/>
    <w:rsid w:val="00B04A1D"/>
    <w:rsid w:val="00B04A87"/>
    <w:rsid w:val="00B04B79"/>
    <w:rsid w:val="00B04C02"/>
    <w:rsid w:val="00B04C83"/>
    <w:rsid w:val="00B04C89"/>
    <w:rsid w:val="00B04D15"/>
    <w:rsid w:val="00B04D62"/>
    <w:rsid w:val="00B04DD2"/>
    <w:rsid w:val="00B04DE4"/>
    <w:rsid w:val="00B04E17"/>
    <w:rsid w:val="00B04E7D"/>
    <w:rsid w:val="00B04E97"/>
    <w:rsid w:val="00B04EB1"/>
    <w:rsid w:val="00B04EEF"/>
    <w:rsid w:val="00B04F6F"/>
    <w:rsid w:val="00B04FF3"/>
    <w:rsid w:val="00B05016"/>
    <w:rsid w:val="00B05063"/>
    <w:rsid w:val="00B05075"/>
    <w:rsid w:val="00B050DD"/>
    <w:rsid w:val="00B05149"/>
    <w:rsid w:val="00B0514A"/>
    <w:rsid w:val="00B0517E"/>
    <w:rsid w:val="00B05189"/>
    <w:rsid w:val="00B0518D"/>
    <w:rsid w:val="00B051AD"/>
    <w:rsid w:val="00B051AF"/>
    <w:rsid w:val="00B05251"/>
    <w:rsid w:val="00B052DE"/>
    <w:rsid w:val="00B05314"/>
    <w:rsid w:val="00B053DE"/>
    <w:rsid w:val="00B053E3"/>
    <w:rsid w:val="00B0545C"/>
    <w:rsid w:val="00B0549C"/>
    <w:rsid w:val="00B054A4"/>
    <w:rsid w:val="00B054AC"/>
    <w:rsid w:val="00B05506"/>
    <w:rsid w:val="00B055DE"/>
    <w:rsid w:val="00B05693"/>
    <w:rsid w:val="00B05694"/>
    <w:rsid w:val="00B056BA"/>
    <w:rsid w:val="00B058CE"/>
    <w:rsid w:val="00B058E2"/>
    <w:rsid w:val="00B058F5"/>
    <w:rsid w:val="00B0593D"/>
    <w:rsid w:val="00B05941"/>
    <w:rsid w:val="00B0595B"/>
    <w:rsid w:val="00B0599F"/>
    <w:rsid w:val="00B059EE"/>
    <w:rsid w:val="00B059FC"/>
    <w:rsid w:val="00B05A0B"/>
    <w:rsid w:val="00B05A47"/>
    <w:rsid w:val="00B05AED"/>
    <w:rsid w:val="00B05B35"/>
    <w:rsid w:val="00B05B3D"/>
    <w:rsid w:val="00B05B74"/>
    <w:rsid w:val="00B05BE8"/>
    <w:rsid w:val="00B05C51"/>
    <w:rsid w:val="00B05D0B"/>
    <w:rsid w:val="00B05D39"/>
    <w:rsid w:val="00B05D8E"/>
    <w:rsid w:val="00B05DD8"/>
    <w:rsid w:val="00B05DFD"/>
    <w:rsid w:val="00B05E2A"/>
    <w:rsid w:val="00B05E4C"/>
    <w:rsid w:val="00B05E96"/>
    <w:rsid w:val="00B05EBC"/>
    <w:rsid w:val="00B05EC3"/>
    <w:rsid w:val="00B05EFD"/>
    <w:rsid w:val="00B05FA0"/>
    <w:rsid w:val="00B05FA1"/>
    <w:rsid w:val="00B05FE9"/>
    <w:rsid w:val="00B0607E"/>
    <w:rsid w:val="00B06086"/>
    <w:rsid w:val="00B0609F"/>
    <w:rsid w:val="00B060B2"/>
    <w:rsid w:val="00B060DC"/>
    <w:rsid w:val="00B060DD"/>
    <w:rsid w:val="00B061EC"/>
    <w:rsid w:val="00B0623A"/>
    <w:rsid w:val="00B06338"/>
    <w:rsid w:val="00B063B9"/>
    <w:rsid w:val="00B06468"/>
    <w:rsid w:val="00B0649A"/>
    <w:rsid w:val="00B0651A"/>
    <w:rsid w:val="00B0652E"/>
    <w:rsid w:val="00B06537"/>
    <w:rsid w:val="00B0654C"/>
    <w:rsid w:val="00B06569"/>
    <w:rsid w:val="00B0659C"/>
    <w:rsid w:val="00B065B5"/>
    <w:rsid w:val="00B065CF"/>
    <w:rsid w:val="00B0664B"/>
    <w:rsid w:val="00B0664C"/>
    <w:rsid w:val="00B06679"/>
    <w:rsid w:val="00B0668C"/>
    <w:rsid w:val="00B066C5"/>
    <w:rsid w:val="00B06705"/>
    <w:rsid w:val="00B06763"/>
    <w:rsid w:val="00B06785"/>
    <w:rsid w:val="00B06787"/>
    <w:rsid w:val="00B0680A"/>
    <w:rsid w:val="00B06823"/>
    <w:rsid w:val="00B06851"/>
    <w:rsid w:val="00B06877"/>
    <w:rsid w:val="00B0689F"/>
    <w:rsid w:val="00B0692C"/>
    <w:rsid w:val="00B0695D"/>
    <w:rsid w:val="00B069C5"/>
    <w:rsid w:val="00B069CE"/>
    <w:rsid w:val="00B069E3"/>
    <w:rsid w:val="00B069FA"/>
    <w:rsid w:val="00B069FC"/>
    <w:rsid w:val="00B06A0D"/>
    <w:rsid w:val="00B06B18"/>
    <w:rsid w:val="00B06B44"/>
    <w:rsid w:val="00B06B64"/>
    <w:rsid w:val="00B06BC7"/>
    <w:rsid w:val="00B06C65"/>
    <w:rsid w:val="00B06C6E"/>
    <w:rsid w:val="00B06CCC"/>
    <w:rsid w:val="00B06CFB"/>
    <w:rsid w:val="00B06D41"/>
    <w:rsid w:val="00B06DA2"/>
    <w:rsid w:val="00B06DC3"/>
    <w:rsid w:val="00B06DCA"/>
    <w:rsid w:val="00B06E03"/>
    <w:rsid w:val="00B06E0B"/>
    <w:rsid w:val="00B06E18"/>
    <w:rsid w:val="00B06E49"/>
    <w:rsid w:val="00B06E5E"/>
    <w:rsid w:val="00B06F05"/>
    <w:rsid w:val="00B06F2D"/>
    <w:rsid w:val="00B0707A"/>
    <w:rsid w:val="00B07083"/>
    <w:rsid w:val="00B070B1"/>
    <w:rsid w:val="00B070DF"/>
    <w:rsid w:val="00B07108"/>
    <w:rsid w:val="00B07129"/>
    <w:rsid w:val="00B0712A"/>
    <w:rsid w:val="00B07166"/>
    <w:rsid w:val="00B07183"/>
    <w:rsid w:val="00B07274"/>
    <w:rsid w:val="00B07344"/>
    <w:rsid w:val="00B07355"/>
    <w:rsid w:val="00B0738D"/>
    <w:rsid w:val="00B07493"/>
    <w:rsid w:val="00B074CA"/>
    <w:rsid w:val="00B07532"/>
    <w:rsid w:val="00B0754B"/>
    <w:rsid w:val="00B075D2"/>
    <w:rsid w:val="00B075EF"/>
    <w:rsid w:val="00B075F1"/>
    <w:rsid w:val="00B07643"/>
    <w:rsid w:val="00B07682"/>
    <w:rsid w:val="00B0770A"/>
    <w:rsid w:val="00B07722"/>
    <w:rsid w:val="00B07751"/>
    <w:rsid w:val="00B077D9"/>
    <w:rsid w:val="00B07801"/>
    <w:rsid w:val="00B07822"/>
    <w:rsid w:val="00B07835"/>
    <w:rsid w:val="00B07843"/>
    <w:rsid w:val="00B07879"/>
    <w:rsid w:val="00B0789D"/>
    <w:rsid w:val="00B078D7"/>
    <w:rsid w:val="00B07A71"/>
    <w:rsid w:val="00B07AE0"/>
    <w:rsid w:val="00B07AE3"/>
    <w:rsid w:val="00B07B2F"/>
    <w:rsid w:val="00B07B9A"/>
    <w:rsid w:val="00B07BA4"/>
    <w:rsid w:val="00B07BF2"/>
    <w:rsid w:val="00B07C04"/>
    <w:rsid w:val="00B07C7F"/>
    <w:rsid w:val="00B07C82"/>
    <w:rsid w:val="00B07CB1"/>
    <w:rsid w:val="00B07D78"/>
    <w:rsid w:val="00B07D97"/>
    <w:rsid w:val="00B07DAF"/>
    <w:rsid w:val="00B07DDC"/>
    <w:rsid w:val="00B07E71"/>
    <w:rsid w:val="00B07ED5"/>
    <w:rsid w:val="00B07EE3"/>
    <w:rsid w:val="00B07F86"/>
    <w:rsid w:val="00B10002"/>
    <w:rsid w:val="00B10009"/>
    <w:rsid w:val="00B10029"/>
    <w:rsid w:val="00B1004F"/>
    <w:rsid w:val="00B1005B"/>
    <w:rsid w:val="00B1006E"/>
    <w:rsid w:val="00B1007B"/>
    <w:rsid w:val="00B100F7"/>
    <w:rsid w:val="00B10103"/>
    <w:rsid w:val="00B1010C"/>
    <w:rsid w:val="00B10132"/>
    <w:rsid w:val="00B101A7"/>
    <w:rsid w:val="00B10228"/>
    <w:rsid w:val="00B10257"/>
    <w:rsid w:val="00B1035D"/>
    <w:rsid w:val="00B10381"/>
    <w:rsid w:val="00B103D8"/>
    <w:rsid w:val="00B10419"/>
    <w:rsid w:val="00B10448"/>
    <w:rsid w:val="00B1048D"/>
    <w:rsid w:val="00B104C4"/>
    <w:rsid w:val="00B104DA"/>
    <w:rsid w:val="00B1056C"/>
    <w:rsid w:val="00B105A9"/>
    <w:rsid w:val="00B105DE"/>
    <w:rsid w:val="00B105EB"/>
    <w:rsid w:val="00B105F6"/>
    <w:rsid w:val="00B10662"/>
    <w:rsid w:val="00B10685"/>
    <w:rsid w:val="00B106A3"/>
    <w:rsid w:val="00B106B6"/>
    <w:rsid w:val="00B106D6"/>
    <w:rsid w:val="00B10735"/>
    <w:rsid w:val="00B1074B"/>
    <w:rsid w:val="00B107AB"/>
    <w:rsid w:val="00B107B5"/>
    <w:rsid w:val="00B107C1"/>
    <w:rsid w:val="00B10810"/>
    <w:rsid w:val="00B108DE"/>
    <w:rsid w:val="00B109AE"/>
    <w:rsid w:val="00B109C1"/>
    <w:rsid w:val="00B109C2"/>
    <w:rsid w:val="00B109F1"/>
    <w:rsid w:val="00B10A11"/>
    <w:rsid w:val="00B10A22"/>
    <w:rsid w:val="00B10A9B"/>
    <w:rsid w:val="00B10ADA"/>
    <w:rsid w:val="00B10AF7"/>
    <w:rsid w:val="00B10BA4"/>
    <w:rsid w:val="00B10BB2"/>
    <w:rsid w:val="00B10C00"/>
    <w:rsid w:val="00B10C7F"/>
    <w:rsid w:val="00B10CAF"/>
    <w:rsid w:val="00B10D13"/>
    <w:rsid w:val="00B10E09"/>
    <w:rsid w:val="00B10E3B"/>
    <w:rsid w:val="00B10E49"/>
    <w:rsid w:val="00B10F4A"/>
    <w:rsid w:val="00B10FB2"/>
    <w:rsid w:val="00B10FDA"/>
    <w:rsid w:val="00B10FE6"/>
    <w:rsid w:val="00B11056"/>
    <w:rsid w:val="00B110D1"/>
    <w:rsid w:val="00B110D9"/>
    <w:rsid w:val="00B1110B"/>
    <w:rsid w:val="00B111C8"/>
    <w:rsid w:val="00B11212"/>
    <w:rsid w:val="00B11240"/>
    <w:rsid w:val="00B11252"/>
    <w:rsid w:val="00B1128A"/>
    <w:rsid w:val="00B1137C"/>
    <w:rsid w:val="00B11402"/>
    <w:rsid w:val="00B11463"/>
    <w:rsid w:val="00B11472"/>
    <w:rsid w:val="00B11557"/>
    <w:rsid w:val="00B1164B"/>
    <w:rsid w:val="00B1166E"/>
    <w:rsid w:val="00B11721"/>
    <w:rsid w:val="00B11749"/>
    <w:rsid w:val="00B11798"/>
    <w:rsid w:val="00B11813"/>
    <w:rsid w:val="00B118B0"/>
    <w:rsid w:val="00B118B6"/>
    <w:rsid w:val="00B118C7"/>
    <w:rsid w:val="00B11A4F"/>
    <w:rsid w:val="00B11AAA"/>
    <w:rsid w:val="00B11AF0"/>
    <w:rsid w:val="00B11AFA"/>
    <w:rsid w:val="00B11B0A"/>
    <w:rsid w:val="00B11C0D"/>
    <w:rsid w:val="00B11C21"/>
    <w:rsid w:val="00B11C23"/>
    <w:rsid w:val="00B11C8B"/>
    <w:rsid w:val="00B11CDD"/>
    <w:rsid w:val="00B11D8B"/>
    <w:rsid w:val="00B11DEA"/>
    <w:rsid w:val="00B11E28"/>
    <w:rsid w:val="00B11E81"/>
    <w:rsid w:val="00B11EAA"/>
    <w:rsid w:val="00B11EB0"/>
    <w:rsid w:val="00B11EB6"/>
    <w:rsid w:val="00B11F38"/>
    <w:rsid w:val="00B11FD7"/>
    <w:rsid w:val="00B1200E"/>
    <w:rsid w:val="00B1200F"/>
    <w:rsid w:val="00B1201C"/>
    <w:rsid w:val="00B1207D"/>
    <w:rsid w:val="00B12086"/>
    <w:rsid w:val="00B120F4"/>
    <w:rsid w:val="00B12117"/>
    <w:rsid w:val="00B1211F"/>
    <w:rsid w:val="00B1213E"/>
    <w:rsid w:val="00B12154"/>
    <w:rsid w:val="00B12186"/>
    <w:rsid w:val="00B121A4"/>
    <w:rsid w:val="00B121AF"/>
    <w:rsid w:val="00B12236"/>
    <w:rsid w:val="00B122A7"/>
    <w:rsid w:val="00B123E8"/>
    <w:rsid w:val="00B1247F"/>
    <w:rsid w:val="00B12493"/>
    <w:rsid w:val="00B12530"/>
    <w:rsid w:val="00B1253D"/>
    <w:rsid w:val="00B1255F"/>
    <w:rsid w:val="00B12567"/>
    <w:rsid w:val="00B12608"/>
    <w:rsid w:val="00B12673"/>
    <w:rsid w:val="00B12675"/>
    <w:rsid w:val="00B12683"/>
    <w:rsid w:val="00B127B3"/>
    <w:rsid w:val="00B12822"/>
    <w:rsid w:val="00B12868"/>
    <w:rsid w:val="00B1288B"/>
    <w:rsid w:val="00B1288C"/>
    <w:rsid w:val="00B128B8"/>
    <w:rsid w:val="00B129DE"/>
    <w:rsid w:val="00B129E5"/>
    <w:rsid w:val="00B129E7"/>
    <w:rsid w:val="00B129FF"/>
    <w:rsid w:val="00B12B04"/>
    <w:rsid w:val="00B12B15"/>
    <w:rsid w:val="00B12B98"/>
    <w:rsid w:val="00B12BA4"/>
    <w:rsid w:val="00B12BB4"/>
    <w:rsid w:val="00B12C28"/>
    <w:rsid w:val="00B12C31"/>
    <w:rsid w:val="00B12C71"/>
    <w:rsid w:val="00B12CF9"/>
    <w:rsid w:val="00B12DC0"/>
    <w:rsid w:val="00B12DDA"/>
    <w:rsid w:val="00B12E96"/>
    <w:rsid w:val="00B12F6E"/>
    <w:rsid w:val="00B13035"/>
    <w:rsid w:val="00B13065"/>
    <w:rsid w:val="00B130EC"/>
    <w:rsid w:val="00B131B4"/>
    <w:rsid w:val="00B131C8"/>
    <w:rsid w:val="00B131C9"/>
    <w:rsid w:val="00B131CC"/>
    <w:rsid w:val="00B131D7"/>
    <w:rsid w:val="00B131E4"/>
    <w:rsid w:val="00B1323F"/>
    <w:rsid w:val="00B13253"/>
    <w:rsid w:val="00B132C9"/>
    <w:rsid w:val="00B13307"/>
    <w:rsid w:val="00B1330F"/>
    <w:rsid w:val="00B13314"/>
    <w:rsid w:val="00B133A2"/>
    <w:rsid w:val="00B133D6"/>
    <w:rsid w:val="00B1341C"/>
    <w:rsid w:val="00B1345B"/>
    <w:rsid w:val="00B13487"/>
    <w:rsid w:val="00B134AC"/>
    <w:rsid w:val="00B134C9"/>
    <w:rsid w:val="00B134E2"/>
    <w:rsid w:val="00B13520"/>
    <w:rsid w:val="00B13528"/>
    <w:rsid w:val="00B13562"/>
    <w:rsid w:val="00B13597"/>
    <w:rsid w:val="00B1359C"/>
    <w:rsid w:val="00B135D6"/>
    <w:rsid w:val="00B135E0"/>
    <w:rsid w:val="00B13776"/>
    <w:rsid w:val="00B13790"/>
    <w:rsid w:val="00B13794"/>
    <w:rsid w:val="00B137AC"/>
    <w:rsid w:val="00B137DE"/>
    <w:rsid w:val="00B13835"/>
    <w:rsid w:val="00B1388C"/>
    <w:rsid w:val="00B13985"/>
    <w:rsid w:val="00B13A0D"/>
    <w:rsid w:val="00B13A52"/>
    <w:rsid w:val="00B13A5F"/>
    <w:rsid w:val="00B13A67"/>
    <w:rsid w:val="00B13A81"/>
    <w:rsid w:val="00B13A9F"/>
    <w:rsid w:val="00B13AC7"/>
    <w:rsid w:val="00B13AEB"/>
    <w:rsid w:val="00B13AFE"/>
    <w:rsid w:val="00B13B53"/>
    <w:rsid w:val="00B13C13"/>
    <w:rsid w:val="00B13C1B"/>
    <w:rsid w:val="00B13C3F"/>
    <w:rsid w:val="00B13C46"/>
    <w:rsid w:val="00B13C86"/>
    <w:rsid w:val="00B13C96"/>
    <w:rsid w:val="00B13C9C"/>
    <w:rsid w:val="00B13D1A"/>
    <w:rsid w:val="00B13D4D"/>
    <w:rsid w:val="00B13D83"/>
    <w:rsid w:val="00B13D9B"/>
    <w:rsid w:val="00B13DC3"/>
    <w:rsid w:val="00B13DF4"/>
    <w:rsid w:val="00B13E06"/>
    <w:rsid w:val="00B13E0F"/>
    <w:rsid w:val="00B13E15"/>
    <w:rsid w:val="00B13E89"/>
    <w:rsid w:val="00B13E94"/>
    <w:rsid w:val="00B13EC8"/>
    <w:rsid w:val="00B13F14"/>
    <w:rsid w:val="00B13F42"/>
    <w:rsid w:val="00B13F57"/>
    <w:rsid w:val="00B13FBF"/>
    <w:rsid w:val="00B1402D"/>
    <w:rsid w:val="00B140A9"/>
    <w:rsid w:val="00B140AB"/>
    <w:rsid w:val="00B1410C"/>
    <w:rsid w:val="00B1410F"/>
    <w:rsid w:val="00B14112"/>
    <w:rsid w:val="00B14148"/>
    <w:rsid w:val="00B1419C"/>
    <w:rsid w:val="00B1421D"/>
    <w:rsid w:val="00B1423E"/>
    <w:rsid w:val="00B1425C"/>
    <w:rsid w:val="00B1427A"/>
    <w:rsid w:val="00B14285"/>
    <w:rsid w:val="00B1428E"/>
    <w:rsid w:val="00B142CD"/>
    <w:rsid w:val="00B14376"/>
    <w:rsid w:val="00B1437A"/>
    <w:rsid w:val="00B143B8"/>
    <w:rsid w:val="00B1447C"/>
    <w:rsid w:val="00B144E3"/>
    <w:rsid w:val="00B144E9"/>
    <w:rsid w:val="00B144EC"/>
    <w:rsid w:val="00B14507"/>
    <w:rsid w:val="00B14547"/>
    <w:rsid w:val="00B14575"/>
    <w:rsid w:val="00B1458A"/>
    <w:rsid w:val="00B1459B"/>
    <w:rsid w:val="00B14903"/>
    <w:rsid w:val="00B1497B"/>
    <w:rsid w:val="00B14ACD"/>
    <w:rsid w:val="00B14B4B"/>
    <w:rsid w:val="00B14C01"/>
    <w:rsid w:val="00B14D48"/>
    <w:rsid w:val="00B14D60"/>
    <w:rsid w:val="00B14DC3"/>
    <w:rsid w:val="00B14DDF"/>
    <w:rsid w:val="00B14E9B"/>
    <w:rsid w:val="00B14ECA"/>
    <w:rsid w:val="00B14F7B"/>
    <w:rsid w:val="00B14FEB"/>
    <w:rsid w:val="00B15006"/>
    <w:rsid w:val="00B1501C"/>
    <w:rsid w:val="00B15037"/>
    <w:rsid w:val="00B15059"/>
    <w:rsid w:val="00B150B1"/>
    <w:rsid w:val="00B15111"/>
    <w:rsid w:val="00B15152"/>
    <w:rsid w:val="00B15210"/>
    <w:rsid w:val="00B1521E"/>
    <w:rsid w:val="00B1522F"/>
    <w:rsid w:val="00B1525F"/>
    <w:rsid w:val="00B1527C"/>
    <w:rsid w:val="00B15323"/>
    <w:rsid w:val="00B1532C"/>
    <w:rsid w:val="00B15365"/>
    <w:rsid w:val="00B15394"/>
    <w:rsid w:val="00B153DE"/>
    <w:rsid w:val="00B15416"/>
    <w:rsid w:val="00B15425"/>
    <w:rsid w:val="00B1543E"/>
    <w:rsid w:val="00B15468"/>
    <w:rsid w:val="00B1548A"/>
    <w:rsid w:val="00B154B8"/>
    <w:rsid w:val="00B15505"/>
    <w:rsid w:val="00B1553B"/>
    <w:rsid w:val="00B15555"/>
    <w:rsid w:val="00B1555F"/>
    <w:rsid w:val="00B15578"/>
    <w:rsid w:val="00B155C2"/>
    <w:rsid w:val="00B15657"/>
    <w:rsid w:val="00B1565B"/>
    <w:rsid w:val="00B1567C"/>
    <w:rsid w:val="00B156CF"/>
    <w:rsid w:val="00B15717"/>
    <w:rsid w:val="00B15764"/>
    <w:rsid w:val="00B157AD"/>
    <w:rsid w:val="00B157C8"/>
    <w:rsid w:val="00B157C9"/>
    <w:rsid w:val="00B1581C"/>
    <w:rsid w:val="00B1583E"/>
    <w:rsid w:val="00B1587E"/>
    <w:rsid w:val="00B158C2"/>
    <w:rsid w:val="00B15934"/>
    <w:rsid w:val="00B159CC"/>
    <w:rsid w:val="00B159D8"/>
    <w:rsid w:val="00B15A63"/>
    <w:rsid w:val="00B15AA6"/>
    <w:rsid w:val="00B15AAC"/>
    <w:rsid w:val="00B15AB2"/>
    <w:rsid w:val="00B15ACE"/>
    <w:rsid w:val="00B15AD5"/>
    <w:rsid w:val="00B15B66"/>
    <w:rsid w:val="00B15B8D"/>
    <w:rsid w:val="00B15BF9"/>
    <w:rsid w:val="00B15C84"/>
    <w:rsid w:val="00B15CB4"/>
    <w:rsid w:val="00B15CD2"/>
    <w:rsid w:val="00B15CF2"/>
    <w:rsid w:val="00B15D9C"/>
    <w:rsid w:val="00B15DC4"/>
    <w:rsid w:val="00B15DFD"/>
    <w:rsid w:val="00B15E50"/>
    <w:rsid w:val="00B15E65"/>
    <w:rsid w:val="00B15EC7"/>
    <w:rsid w:val="00B15FCB"/>
    <w:rsid w:val="00B1605B"/>
    <w:rsid w:val="00B16079"/>
    <w:rsid w:val="00B1609C"/>
    <w:rsid w:val="00B160A6"/>
    <w:rsid w:val="00B160B5"/>
    <w:rsid w:val="00B160B6"/>
    <w:rsid w:val="00B160DA"/>
    <w:rsid w:val="00B16102"/>
    <w:rsid w:val="00B1613D"/>
    <w:rsid w:val="00B16147"/>
    <w:rsid w:val="00B161F9"/>
    <w:rsid w:val="00B16210"/>
    <w:rsid w:val="00B16237"/>
    <w:rsid w:val="00B1625B"/>
    <w:rsid w:val="00B16287"/>
    <w:rsid w:val="00B16299"/>
    <w:rsid w:val="00B162A6"/>
    <w:rsid w:val="00B162E6"/>
    <w:rsid w:val="00B1637F"/>
    <w:rsid w:val="00B163BB"/>
    <w:rsid w:val="00B16454"/>
    <w:rsid w:val="00B1646A"/>
    <w:rsid w:val="00B164A9"/>
    <w:rsid w:val="00B164BE"/>
    <w:rsid w:val="00B1652C"/>
    <w:rsid w:val="00B1654C"/>
    <w:rsid w:val="00B16589"/>
    <w:rsid w:val="00B165E3"/>
    <w:rsid w:val="00B165F9"/>
    <w:rsid w:val="00B16600"/>
    <w:rsid w:val="00B16607"/>
    <w:rsid w:val="00B166A7"/>
    <w:rsid w:val="00B166CC"/>
    <w:rsid w:val="00B166D6"/>
    <w:rsid w:val="00B167FE"/>
    <w:rsid w:val="00B16825"/>
    <w:rsid w:val="00B16841"/>
    <w:rsid w:val="00B1686D"/>
    <w:rsid w:val="00B16882"/>
    <w:rsid w:val="00B168AF"/>
    <w:rsid w:val="00B168B4"/>
    <w:rsid w:val="00B168D5"/>
    <w:rsid w:val="00B16913"/>
    <w:rsid w:val="00B16995"/>
    <w:rsid w:val="00B16998"/>
    <w:rsid w:val="00B169BF"/>
    <w:rsid w:val="00B16A37"/>
    <w:rsid w:val="00B16A7B"/>
    <w:rsid w:val="00B16A91"/>
    <w:rsid w:val="00B16AF1"/>
    <w:rsid w:val="00B16B80"/>
    <w:rsid w:val="00B16B81"/>
    <w:rsid w:val="00B16B91"/>
    <w:rsid w:val="00B16BAD"/>
    <w:rsid w:val="00B16CA3"/>
    <w:rsid w:val="00B16D0B"/>
    <w:rsid w:val="00B16D66"/>
    <w:rsid w:val="00B16D8B"/>
    <w:rsid w:val="00B16DAD"/>
    <w:rsid w:val="00B16E92"/>
    <w:rsid w:val="00B16E9E"/>
    <w:rsid w:val="00B16F38"/>
    <w:rsid w:val="00B16F4C"/>
    <w:rsid w:val="00B17044"/>
    <w:rsid w:val="00B1711D"/>
    <w:rsid w:val="00B17153"/>
    <w:rsid w:val="00B17238"/>
    <w:rsid w:val="00B17254"/>
    <w:rsid w:val="00B17257"/>
    <w:rsid w:val="00B172A0"/>
    <w:rsid w:val="00B172E8"/>
    <w:rsid w:val="00B17310"/>
    <w:rsid w:val="00B17328"/>
    <w:rsid w:val="00B17356"/>
    <w:rsid w:val="00B173C8"/>
    <w:rsid w:val="00B174FE"/>
    <w:rsid w:val="00B17505"/>
    <w:rsid w:val="00B17559"/>
    <w:rsid w:val="00B17579"/>
    <w:rsid w:val="00B175C0"/>
    <w:rsid w:val="00B175C4"/>
    <w:rsid w:val="00B175E8"/>
    <w:rsid w:val="00B175FC"/>
    <w:rsid w:val="00B1769F"/>
    <w:rsid w:val="00B176CC"/>
    <w:rsid w:val="00B17726"/>
    <w:rsid w:val="00B177BB"/>
    <w:rsid w:val="00B17802"/>
    <w:rsid w:val="00B1782C"/>
    <w:rsid w:val="00B178AB"/>
    <w:rsid w:val="00B178F5"/>
    <w:rsid w:val="00B17989"/>
    <w:rsid w:val="00B179AD"/>
    <w:rsid w:val="00B17A21"/>
    <w:rsid w:val="00B17A4F"/>
    <w:rsid w:val="00B17AC5"/>
    <w:rsid w:val="00B17AE6"/>
    <w:rsid w:val="00B17B30"/>
    <w:rsid w:val="00B17C10"/>
    <w:rsid w:val="00B17C22"/>
    <w:rsid w:val="00B17C58"/>
    <w:rsid w:val="00B17CF3"/>
    <w:rsid w:val="00B17D17"/>
    <w:rsid w:val="00B17D1D"/>
    <w:rsid w:val="00B17D86"/>
    <w:rsid w:val="00B17D9C"/>
    <w:rsid w:val="00B17DD8"/>
    <w:rsid w:val="00B17DDC"/>
    <w:rsid w:val="00B17E40"/>
    <w:rsid w:val="00B17E8C"/>
    <w:rsid w:val="00B17ED0"/>
    <w:rsid w:val="00B17F68"/>
    <w:rsid w:val="00B17F86"/>
    <w:rsid w:val="00B17FD9"/>
    <w:rsid w:val="00B2002E"/>
    <w:rsid w:val="00B2005E"/>
    <w:rsid w:val="00B20068"/>
    <w:rsid w:val="00B2006A"/>
    <w:rsid w:val="00B200AD"/>
    <w:rsid w:val="00B200AE"/>
    <w:rsid w:val="00B200BB"/>
    <w:rsid w:val="00B20135"/>
    <w:rsid w:val="00B20156"/>
    <w:rsid w:val="00B2016F"/>
    <w:rsid w:val="00B201A1"/>
    <w:rsid w:val="00B2027E"/>
    <w:rsid w:val="00B2031D"/>
    <w:rsid w:val="00B2035D"/>
    <w:rsid w:val="00B203AC"/>
    <w:rsid w:val="00B20452"/>
    <w:rsid w:val="00B204A8"/>
    <w:rsid w:val="00B204B5"/>
    <w:rsid w:val="00B204D1"/>
    <w:rsid w:val="00B204DB"/>
    <w:rsid w:val="00B20503"/>
    <w:rsid w:val="00B2051C"/>
    <w:rsid w:val="00B20595"/>
    <w:rsid w:val="00B205DB"/>
    <w:rsid w:val="00B20628"/>
    <w:rsid w:val="00B2065F"/>
    <w:rsid w:val="00B2069B"/>
    <w:rsid w:val="00B2072D"/>
    <w:rsid w:val="00B2079E"/>
    <w:rsid w:val="00B208A3"/>
    <w:rsid w:val="00B208DE"/>
    <w:rsid w:val="00B208EA"/>
    <w:rsid w:val="00B208EE"/>
    <w:rsid w:val="00B20978"/>
    <w:rsid w:val="00B2097C"/>
    <w:rsid w:val="00B2099B"/>
    <w:rsid w:val="00B209C2"/>
    <w:rsid w:val="00B209EF"/>
    <w:rsid w:val="00B20A60"/>
    <w:rsid w:val="00B20A86"/>
    <w:rsid w:val="00B20AE4"/>
    <w:rsid w:val="00B20B03"/>
    <w:rsid w:val="00B20B09"/>
    <w:rsid w:val="00B20B2F"/>
    <w:rsid w:val="00B20C1D"/>
    <w:rsid w:val="00B20C47"/>
    <w:rsid w:val="00B20C91"/>
    <w:rsid w:val="00B20C98"/>
    <w:rsid w:val="00B20DD0"/>
    <w:rsid w:val="00B20DF8"/>
    <w:rsid w:val="00B20E3E"/>
    <w:rsid w:val="00B20E73"/>
    <w:rsid w:val="00B20E94"/>
    <w:rsid w:val="00B20ED2"/>
    <w:rsid w:val="00B20EFD"/>
    <w:rsid w:val="00B20F13"/>
    <w:rsid w:val="00B20F1D"/>
    <w:rsid w:val="00B20F32"/>
    <w:rsid w:val="00B20F75"/>
    <w:rsid w:val="00B2105E"/>
    <w:rsid w:val="00B21074"/>
    <w:rsid w:val="00B210DD"/>
    <w:rsid w:val="00B2112C"/>
    <w:rsid w:val="00B2112F"/>
    <w:rsid w:val="00B21144"/>
    <w:rsid w:val="00B2115F"/>
    <w:rsid w:val="00B21179"/>
    <w:rsid w:val="00B2118F"/>
    <w:rsid w:val="00B211AC"/>
    <w:rsid w:val="00B21210"/>
    <w:rsid w:val="00B21277"/>
    <w:rsid w:val="00B21308"/>
    <w:rsid w:val="00B21395"/>
    <w:rsid w:val="00B21398"/>
    <w:rsid w:val="00B2139E"/>
    <w:rsid w:val="00B213AC"/>
    <w:rsid w:val="00B2145B"/>
    <w:rsid w:val="00B214C6"/>
    <w:rsid w:val="00B214D7"/>
    <w:rsid w:val="00B21580"/>
    <w:rsid w:val="00B215D4"/>
    <w:rsid w:val="00B215DD"/>
    <w:rsid w:val="00B215F7"/>
    <w:rsid w:val="00B2161A"/>
    <w:rsid w:val="00B21625"/>
    <w:rsid w:val="00B2170E"/>
    <w:rsid w:val="00B2173E"/>
    <w:rsid w:val="00B21746"/>
    <w:rsid w:val="00B2177B"/>
    <w:rsid w:val="00B2178D"/>
    <w:rsid w:val="00B21792"/>
    <w:rsid w:val="00B2184E"/>
    <w:rsid w:val="00B2186C"/>
    <w:rsid w:val="00B21871"/>
    <w:rsid w:val="00B21879"/>
    <w:rsid w:val="00B21898"/>
    <w:rsid w:val="00B2189F"/>
    <w:rsid w:val="00B218B0"/>
    <w:rsid w:val="00B21909"/>
    <w:rsid w:val="00B21975"/>
    <w:rsid w:val="00B219A8"/>
    <w:rsid w:val="00B219CF"/>
    <w:rsid w:val="00B21B55"/>
    <w:rsid w:val="00B21BB6"/>
    <w:rsid w:val="00B21BDE"/>
    <w:rsid w:val="00B21C23"/>
    <w:rsid w:val="00B21C48"/>
    <w:rsid w:val="00B21C4E"/>
    <w:rsid w:val="00B21C6B"/>
    <w:rsid w:val="00B21C79"/>
    <w:rsid w:val="00B21CCF"/>
    <w:rsid w:val="00B21CFF"/>
    <w:rsid w:val="00B21D65"/>
    <w:rsid w:val="00B21D66"/>
    <w:rsid w:val="00B21D94"/>
    <w:rsid w:val="00B21DAE"/>
    <w:rsid w:val="00B21E8C"/>
    <w:rsid w:val="00B21E95"/>
    <w:rsid w:val="00B21F1C"/>
    <w:rsid w:val="00B21F2B"/>
    <w:rsid w:val="00B21F51"/>
    <w:rsid w:val="00B21FE8"/>
    <w:rsid w:val="00B21FF5"/>
    <w:rsid w:val="00B22051"/>
    <w:rsid w:val="00B22082"/>
    <w:rsid w:val="00B220D8"/>
    <w:rsid w:val="00B220DB"/>
    <w:rsid w:val="00B220E7"/>
    <w:rsid w:val="00B220ED"/>
    <w:rsid w:val="00B22135"/>
    <w:rsid w:val="00B221B7"/>
    <w:rsid w:val="00B221F6"/>
    <w:rsid w:val="00B2221D"/>
    <w:rsid w:val="00B22237"/>
    <w:rsid w:val="00B22271"/>
    <w:rsid w:val="00B222B7"/>
    <w:rsid w:val="00B2238E"/>
    <w:rsid w:val="00B223FC"/>
    <w:rsid w:val="00B22433"/>
    <w:rsid w:val="00B22483"/>
    <w:rsid w:val="00B22552"/>
    <w:rsid w:val="00B225ED"/>
    <w:rsid w:val="00B2260E"/>
    <w:rsid w:val="00B2262A"/>
    <w:rsid w:val="00B22633"/>
    <w:rsid w:val="00B22637"/>
    <w:rsid w:val="00B2267A"/>
    <w:rsid w:val="00B22727"/>
    <w:rsid w:val="00B22759"/>
    <w:rsid w:val="00B22783"/>
    <w:rsid w:val="00B22796"/>
    <w:rsid w:val="00B227BD"/>
    <w:rsid w:val="00B227F6"/>
    <w:rsid w:val="00B2286A"/>
    <w:rsid w:val="00B2286B"/>
    <w:rsid w:val="00B22888"/>
    <w:rsid w:val="00B228A6"/>
    <w:rsid w:val="00B228CA"/>
    <w:rsid w:val="00B22972"/>
    <w:rsid w:val="00B2297B"/>
    <w:rsid w:val="00B22ACD"/>
    <w:rsid w:val="00B22ADA"/>
    <w:rsid w:val="00B22AF8"/>
    <w:rsid w:val="00B22B86"/>
    <w:rsid w:val="00B22B9E"/>
    <w:rsid w:val="00B22BD5"/>
    <w:rsid w:val="00B22C1A"/>
    <w:rsid w:val="00B22CAD"/>
    <w:rsid w:val="00B22D0E"/>
    <w:rsid w:val="00B22D1D"/>
    <w:rsid w:val="00B22D24"/>
    <w:rsid w:val="00B22D44"/>
    <w:rsid w:val="00B22D57"/>
    <w:rsid w:val="00B22D6C"/>
    <w:rsid w:val="00B22D73"/>
    <w:rsid w:val="00B22D9D"/>
    <w:rsid w:val="00B22DEC"/>
    <w:rsid w:val="00B22E2C"/>
    <w:rsid w:val="00B22E3A"/>
    <w:rsid w:val="00B22E3B"/>
    <w:rsid w:val="00B22EA1"/>
    <w:rsid w:val="00B22ED3"/>
    <w:rsid w:val="00B22F4B"/>
    <w:rsid w:val="00B22FE0"/>
    <w:rsid w:val="00B23023"/>
    <w:rsid w:val="00B230BE"/>
    <w:rsid w:val="00B230C1"/>
    <w:rsid w:val="00B23117"/>
    <w:rsid w:val="00B231BF"/>
    <w:rsid w:val="00B231D8"/>
    <w:rsid w:val="00B23225"/>
    <w:rsid w:val="00B2322C"/>
    <w:rsid w:val="00B23236"/>
    <w:rsid w:val="00B23256"/>
    <w:rsid w:val="00B2325F"/>
    <w:rsid w:val="00B232D4"/>
    <w:rsid w:val="00B232DC"/>
    <w:rsid w:val="00B232F5"/>
    <w:rsid w:val="00B23337"/>
    <w:rsid w:val="00B233CF"/>
    <w:rsid w:val="00B233E0"/>
    <w:rsid w:val="00B23415"/>
    <w:rsid w:val="00B234AB"/>
    <w:rsid w:val="00B234C9"/>
    <w:rsid w:val="00B234E7"/>
    <w:rsid w:val="00B23524"/>
    <w:rsid w:val="00B23528"/>
    <w:rsid w:val="00B23560"/>
    <w:rsid w:val="00B2357C"/>
    <w:rsid w:val="00B235CE"/>
    <w:rsid w:val="00B23634"/>
    <w:rsid w:val="00B23645"/>
    <w:rsid w:val="00B2374E"/>
    <w:rsid w:val="00B23772"/>
    <w:rsid w:val="00B237E3"/>
    <w:rsid w:val="00B237ED"/>
    <w:rsid w:val="00B23873"/>
    <w:rsid w:val="00B23946"/>
    <w:rsid w:val="00B23998"/>
    <w:rsid w:val="00B23A4C"/>
    <w:rsid w:val="00B23A4D"/>
    <w:rsid w:val="00B23A67"/>
    <w:rsid w:val="00B23A6F"/>
    <w:rsid w:val="00B23B47"/>
    <w:rsid w:val="00B23B99"/>
    <w:rsid w:val="00B23BAD"/>
    <w:rsid w:val="00B23C70"/>
    <w:rsid w:val="00B23C79"/>
    <w:rsid w:val="00B23CC6"/>
    <w:rsid w:val="00B23CFC"/>
    <w:rsid w:val="00B23D37"/>
    <w:rsid w:val="00B23D67"/>
    <w:rsid w:val="00B23D8B"/>
    <w:rsid w:val="00B23DB3"/>
    <w:rsid w:val="00B23DD6"/>
    <w:rsid w:val="00B23E06"/>
    <w:rsid w:val="00B23E37"/>
    <w:rsid w:val="00B23E3B"/>
    <w:rsid w:val="00B23E52"/>
    <w:rsid w:val="00B23EA7"/>
    <w:rsid w:val="00B23EC8"/>
    <w:rsid w:val="00B23F06"/>
    <w:rsid w:val="00B2402B"/>
    <w:rsid w:val="00B24086"/>
    <w:rsid w:val="00B240C3"/>
    <w:rsid w:val="00B240D1"/>
    <w:rsid w:val="00B240D9"/>
    <w:rsid w:val="00B2411C"/>
    <w:rsid w:val="00B24193"/>
    <w:rsid w:val="00B241CC"/>
    <w:rsid w:val="00B24222"/>
    <w:rsid w:val="00B24242"/>
    <w:rsid w:val="00B24293"/>
    <w:rsid w:val="00B242A1"/>
    <w:rsid w:val="00B242C0"/>
    <w:rsid w:val="00B242DF"/>
    <w:rsid w:val="00B242FC"/>
    <w:rsid w:val="00B24318"/>
    <w:rsid w:val="00B24319"/>
    <w:rsid w:val="00B2435E"/>
    <w:rsid w:val="00B2436F"/>
    <w:rsid w:val="00B243B8"/>
    <w:rsid w:val="00B243BF"/>
    <w:rsid w:val="00B244A5"/>
    <w:rsid w:val="00B244F6"/>
    <w:rsid w:val="00B2453C"/>
    <w:rsid w:val="00B24549"/>
    <w:rsid w:val="00B24586"/>
    <w:rsid w:val="00B24595"/>
    <w:rsid w:val="00B245E3"/>
    <w:rsid w:val="00B245E8"/>
    <w:rsid w:val="00B2460F"/>
    <w:rsid w:val="00B24619"/>
    <w:rsid w:val="00B246F5"/>
    <w:rsid w:val="00B24794"/>
    <w:rsid w:val="00B24798"/>
    <w:rsid w:val="00B247BB"/>
    <w:rsid w:val="00B247E5"/>
    <w:rsid w:val="00B24838"/>
    <w:rsid w:val="00B2485D"/>
    <w:rsid w:val="00B24879"/>
    <w:rsid w:val="00B24893"/>
    <w:rsid w:val="00B248CD"/>
    <w:rsid w:val="00B248DF"/>
    <w:rsid w:val="00B2492D"/>
    <w:rsid w:val="00B24948"/>
    <w:rsid w:val="00B2495D"/>
    <w:rsid w:val="00B24975"/>
    <w:rsid w:val="00B249DD"/>
    <w:rsid w:val="00B24A31"/>
    <w:rsid w:val="00B24A3A"/>
    <w:rsid w:val="00B24AB5"/>
    <w:rsid w:val="00B24ACD"/>
    <w:rsid w:val="00B24AD5"/>
    <w:rsid w:val="00B24B2E"/>
    <w:rsid w:val="00B24BF2"/>
    <w:rsid w:val="00B24C78"/>
    <w:rsid w:val="00B24CDB"/>
    <w:rsid w:val="00B24D57"/>
    <w:rsid w:val="00B24D9D"/>
    <w:rsid w:val="00B24DAE"/>
    <w:rsid w:val="00B24DD3"/>
    <w:rsid w:val="00B24E03"/>
    <w:rsid w:val="00B24E2A"/>
    <w:rsid w:val="00B24E55"/>
    <w:rsid w:val="00B24EF3"/>
    <w:rsid w:val="00B24F48"/>
    <w:rsid w:val="00B24F56"/>
    <w:rsid w:val="00B24F7C"/>
    <w:rsid w:val="00B24F7E"/>
    <w:rsid w:val="00B24F83"/>
    <w:rsid w:val="00B24FB1"/>
    <w:rsid w:val="00B24FB7"/>
    <w:rsid w:val="00B24FD8"/>
    <w:rsid w:val="00B24FEA"/>
    <w:rsid w:val="00B2503B"/>
    <w:rsid w:val="00B25070"/>
    <w:rsid w:val="00B250ED"/>
    <w:rsid w:val="00B2512C"/>
    <w:rsid w:val="00B2513A"/>
    <w:rsid w:val="00B25144"/>
    <w:rsid w:val="00B25146"/>
    <w:rsid w:val="00B251AA"/>
    <w:rsid w:val="00B251E3"/>
    <w:rsid w:val="00B25221"/>
    <w:rsid w:val="00B25301"/>
    <w:rsid w:val="00B25329"/>
    <w:rsid w:val="00B25336"/>
    <w:rsid w:val="00B25339"/>
    <w:rsid w:val="00B2538A"/>
    <w:rsid w:val="00B25513"/>
    <w:rsid w:val="00B2555D"/>
    <w:rsid w:val="00B2558D"/>
    <w:rsid w:val="00B255C6"/>
    <w:rsid w:val="00B2563F"/>
    <w:rsid w:val="00B256BE"/>
    <w:rsid w:val="00B256C4"/>
    <w:rsid w:val="00B256D3"/>
    <w:rsid w:val="00B256E4"/>
    <w:rsid w:val="00B25708"/>
    <w:rsid w:val="00B25733"/>
    <w:rsid w:val="00B25819"/>
    <w:rsid w:val="00B25872"/>
    <w:rsid w:val="00B25897"/>
    <w:rsid w:val="00B258D1"/>
    <w:rsid w:val="00B258DC"/>
    <w:rsid w:val="00B25AAF"/>
    <w:rsid w:val="00B25B45"/>
    <w:rsid w:val="00B25B5F"/>
    <w:rsid w:val="00B25B8C"/>
    <w:rsid w:val="00B25BA9"/>
    <w:rsid w:val="00B25C05"/>
    <w:rsid w:val="00B25C4E"/>
    <w:rsid w:val="00B25CAD"/>
    <w:rsid w:val="00B25CD1"/>
    <w:rsid w:val="00B25CD7"/>
    <w:rsid w:val="00B25D3E"/>
    <w:rsid w:val="00B25DB8"/>
    <w:rsid w:val="00B25DCC"/>
    <w:rsid w:val="00B25E80"/>
    <w:rsid w:val="00B25EDA"/>
    <w:rsid w:val="00B25F49"/>
    <w:rsid w:val="00B25F4F"/>
    <w:rsid w:val="00B25F78"/>
    <w:rsid w:val="00B25FF0"/>
    <w:rsid w:val="00B2600D"/>
    <w:rsid w:val="00B2601F"/>
    <w:rsid w:val="00B26062"/>
    <w:rsid w:val="00B2607E"/>
    <w:rsid w:val="00B260E5"/>
    <w:rsid w:val="00B2612F"/>
    <w:rsid w:val="00B26154"/>
    <w:rsid w:val="00B2616F"/>
    <w:rsid w:val="00B2619C"/>
    <w:rsid w:val="00B261B6"/>
    <w:rsid w:val="00B261CA"/>
    <w:rsid w:val="00B26226"/>
    <w:rsid w:val="00B2637F"/>
    <w:rsid w:val="00B263B2"/>
    <w:rsid w:val="00B2643E"/>
    <w:rsid w:val="00B26487"/>
    <w:rsid w:val="00B264B4"/>
    <w:rsid w:val="00B264F1"/>
    <w:rsid w:val="00B26509"/>
    <w:rsid w:val="00B26574"/>
    <w:rsid w:val="00B26591"/>
    <w:rsid w:val="00B2659C"/>
    <w:rsid w:val="00B265CF"/>
    <w:rsid w:val="00B265EA"/>
    <w:rsid w:val="00B26605"/>
    <w:rsid w:val="00B266A0"/>
    <w:rsid w:val="00B266D5"/>
    <w:rsid w:val="00B26756"/>
    <w:rsid w:val="00B26791"/>
    <w:rsid w:val="00B267BF"/>
    <w:rsid w:val="00B267ED"/>
    <w:rsid w:val="00B2680E"/>
    <w:rsid w:val="00B26810"/>
    <w:rsid w:val="00B26821"/>
    <w:rsid w:val="00B2682D"/>
    <w:rsid w:val="00B26851"/>
    <w:rsid w:val="00B2685B"/>
    <w:rsid w:val="00B268AE"/>
    <w:rsid w:val="00B268B6"/>
    <w:rsid w:val="00B26906"/>
    <w:rsid w:val="00B2699B"/>
    <w:rsid w:val="00B269D4"/>
    <w:rsid w:val="00B26A0B"/>
    <w:rsid w:val="00B26A3C"/>
    <w:rsid w:val="00B26AD1"/>
    <w:rsid w:val="00B26B67"/>
    <w:rsid w:val="00B26BA0"/>
    <w:rsid w:val="00B26BA1"/>
    <w:rsid w:val="00B26BB2"/>
    <w:rsid w:val="00B26C87"/>
    <w:rsid w:val="00B26CCD"/>
    <w:rsid w:val="00B26D25"/>
    <w:rsid w:val="00B26D6D"/>
    <w:rsid w:val="00B26D7C"/>
    <w:rsid w:val="00B26DBE"/>
    <w:rsid w:val="00B26DCA"/>
    <w:rsid w:val="00B26DDD"/>
    <w:rsid w:val="00B26E14"/>
    <w:rsid w:val="00B26ECC"/>
    <w:rsid w:val="00B26F57"/>
    <w:rsid w:val="00B26F64"/>
    <w:rsid w:val="00B26F73"/>
    <w:rsid w:val="00B26F8F"/>
    <w:rsid w:val="00B26FE5"/>
    <w:rsid w:val="00B2701A"/>
    <w:rsid w:val="00B2703D"/>
    <w:rsid w:val="00B27062"/>
    <w:rsid w:val="00B270FB"/>
    <w:rsid w:val="00B2714D"/>
    <w:rsid w:val="00B27207"/>
    <w:rsid w:val="00B2723E"/>
    <w:rsid w:val="00B27249"/>
    <w:rsid w:val="00B2729F"/>
    <w:rsid w:val="00B272CF"/>
    <w:rsid w:val="00B272E4"/>
    <w:rsid w:val="00B272ED"/>
    <w:rsid w:val="00B272EF"/>
    <w:rsid w:val="00B27335"/>
    <w:rsid w:val="00B2734D"/>
    <w:rsid w:val="00B2738D"/>
    <w:rsid w:val="00B273F6"/>
    <w:rsid w:val="00B2742D"/>
    <w:rsid w:val="00B27461"/>
    <w:rsid w:val="00B27477"/>
    <w:rsid w:val="00B2749D"/>
    <w:rsid w:val="00B274B5"/>
    <w:rsid w:val="00B274DE"/>
    <w:rsid w:val="00B27506"/>
    <w:rsid w:val="00B2755F"/>
    <w:rsid w:val="00B27657"/>
    <w:rsid w:val="00B276A1"/>
    <w:rsid w:val="00B276DE"/>
    <w:rsid w:val="00B27717"/>
    <w:rsid w:val="00B2771F"/>
    <w:rsid w:val="00B27772"/>
    <w:rsid w:val="00B277E4"/>
    <w:rsid w:val="00B277FB"/>
    <w:rsid w:val="00B27854"/>
    <w:rsid w:val="00B278E2"/>
    <w:rsid w:val="00B27934"/>
    <w:rsid w:val="00B27938"/>
    <w:rsid w:val="00B2799B"/>
    <w:rsid w:val="00B279EA"/>
    <w:rsid w:val="00B27A22"/>
    <w:rsid w:val="00B27A26"/>
    <w:rsid w:val="00B27A9D"/>
    <w:rsid w:val="00B27AAC"/>
    <w:rsid w:val="00B27AD1"/>
    <w:rsid w:val="00B27ADC"/>
    <w:rsid w:val="00B27B06"/>
    <w:rsid w:val="00B27BE1"/>
    <w:rsid w:val="00B27C54"/>
    <w:rsid w:val="00B27CBA"/>
    <w:rsid w:val="00B27CC7"/>
    <w:rsid w:val="00B27D4C"/>
    <w:rsid w:val="00B27D7C"/>
    <w:rsid w:val="00B27DB7"/>
    <w:rsid w:val="00B27DFC"/>
    <w:rsid w:val="00B27EE1"/>
    <w:rsid w:val="00B27F1B"/>
    <w:rsid w:val="00B27F23"/>
    <w:rsid w:val="00B27F52"/>
    <w:rsid w:val="00B27F73"/>
    <w:rsid w:val="00B27FED"/>
    <w:rsid w:val="00B27FF9"/>
    <w:rsid w:val="00B300C2"/>
    <w:rsid w:val="00B300D2"/>
    <w:rsid w:val="00B3014C"/>
    <w:rsid w:val="00B30194"/>
    <w:rsid w:val="00B301A1"/>
    <w:rsid w:val="00B30204"/>
    <w:rsid w:val="00B3026C"/>
    <w:rsid w:val="00B30273"/>
    <w:rsid w:val="00B3029A"/>
    <w:rsid w:val="00B302A0"/>
    <w:rsid w:val="00B302AA"/>
    <w:rsid w:val="00B302C6"/>
    <w:rsid w:val="00B302F3"/>
    <w:rsid w:val="00B3036F"/>
    <w:rsid w:val="00B303AE"/>
    <w:rsid w:val="00B303DB"/>
    <w:rsid w:val="00B3042D"/>
    <w:rsid w:val="00B3046A"/>
    <w:rsid w:val="00B30489"/>
    <w:rsid w:val="00B304EB"/>
    <w:rsid w:val="00B304ED"/>
    <w:rsid w:val="00B30500"/>
    <w:rsid w:val="00B30556"/>
    <w:rsid w:val="00B305A7"/>
    <w:rsid w:val="00B305EA"/>
    <w:rsid w:val="00B30671"/>
    <w:rsid w:val="00B3069A"/>
    <w:rsid w:val="00B306B0"/>
    <w:rsid w:val="00B306E2"/>
    <w:rsid w:val="00B30810"/>
    <w:rsid w:val="00B30834"/>
    <w:rsid w:val="00B30885"/>
    <w:rsid w:val="00B308B1"/>
    <w:rsid w:val="00B308F1"/>
    <w:rsid w:val="00B30951"/>
    <w:rsid w:val="00B30978"/>
    <w:rsid w:val="00B30A4C"/>
    <w:rsid w:val="00B30A50"/>
    <w:rsid w:val="00B30A6B"/>
    <w:rsid w:val="00B30ADF"/>
    <w:rsid w:val="00B30AF7"/>
    <w:rsid w:val="00B30B0B"/>
    <w:rsid w:val="00B30B66"/>
    <w:rsid w:val="00B30B70"/>
    <w:rsid w:val="00B30BA7"/>
    <w:rsid w:val="00B30BAE"/>
    <w:rsid w:val="00B30BB5"/>
    <w:rsid w:val="00B30BC3"/>
    <w:rsid w:val="00B30BFD"/>
    <w:rsid w:val="00B30C5C"/>
    <w:rsid w:val="00B30C65"/>
    <w:rsid w:val="00B30D0C"/>
    <w:rsid w:val="00B30D12"/>
    <w:rsid w:val="00B30D23"/>
    <w:rsid w:val="00B30D31"/>
    <w:rsid w:val="00B30D7D"/>
    <w:rsid w:val="00B30DDF"/>
    <w:rsid w:val="00B30DE0"/>
    <w:rsid w:val="00B30E6A"/>
    <w:rsid w:val="00B30F2C"/>
    <w:rsid w:val="00B30F2F"/>
    <w:rsid w:val="00B30F35"/>
    <w:rsid w:val="00B30F43"/>
    <w:rsid w:val="00B30FB6"/>
    <w:rsid w:val="00B30FBA"/>
    <w:rsid w:val="00B30FCE"/>
    <w:rsid w:val="00B30FF0"/>
    <w:rsid w:val="00B31049"/>
    <w:rsid w:val="00B31061"/>
    <w:rsid w:val="00B31109"/>
    <w:rsid w:val="00B311E5"/>
    <w:rsid w:val="00B312AF"/>
    <w:rsid w:val="00B31355"/>
    <w:rsid w:val="00B31372"/>
    <w:rsid w:val="00B3139E"/>
    <w:rsid w:val="00B31466"/>
    <w:rsid w:val="00B31511"/>
    <w:rsid w:val="00B31566"/>
    <w:rsid w:val="00B3165B"/>
    <w:rsid w:val="00B316CC"/>
    <w:rsid w:val="00B3173B"/>
    <w:rsid w:val="00B31740"/>
    <w:rsid w:val="00B31751"/>
    <w:rsid w:val="00B31788"/>
    <w:rsid w:val="00B3179A"/>
    <w:rsid w:val="00B317BD"/>
    <w:rsid w:val="00B317E9"/>
    <w:rsid w:val="00B317ED"/>
    <w:rsid w:val="00B31854"/>
    <w:rsid w:val="00B3197E"/>
    <w:rsid w:val="00B319CE"/>
    <w:rsid w:val="00B31B22"/>
    <w:rsid w:val="00B31B63"/>
    <w:rsid w:val="00B31BD6"/>
    <w:rsid w:val="00B31C06"/>
    <w:rsid w:val="00B31C42"/>
    <w:rsid w:val="00B31C47"/>
    <w:rsid w:val="00B31CB9"/>
    <w:rsid w:val="00B31D19"/>
    <w:rsid w:val="00B31DA2"/>
    <w:rsid w:val="00B31DF9"/>
    <w:rsid w:val="00B31E24"/>
    <w:rsid w:val="00B31E6C"/>
    <w:rsid w:val="00B31EA7"/>
    <w:rsid w:val="00B31ECA"/>
    <w:rsid w:val="00B31EF7"/>
    <w:rsid w:val="00B31F2C"/>
    <w:rsid w:val="00B31F5D"/>
    <w:rsid w:val="00B32016"/>
    <w:rsid w:val="00B32043"/>
    <w:rsid w:val="00B32070"/>
    <w:rsid w:val="00B3209D"/>
    <w:rsid w:val="00B320E7"/>
    <w:rsid w:val="00B32157"/>
    <w:rsid w:val="00B3217A"/>
    <w:rsid w:val="00B32220"/>
    <w:rsid w:val="00B32295"/>
    <w:rsid w:val="00B322A4"/>
    <w:rsid w:val="00B32315"/>
    <w:rsid w:val="00B323BC"/>
    <w:rsid w:val="00B323BD"/>
    <w:rsid w:val="00B32407"/>
    <w:rsid w:val="00B324BA"/>
    <w:rsid w:val="00B324C0"/>
    <w:rsid w:val="00B3251B"/>
    <w:rsid w:val="00B32522"/>
    <w:rsid w:val="00B32536"/>
    <w:rsid w:val="00B3255C"/>
    <w:rsid w:val="00B32599"/>
    <w:rsid w:val="00B325B8"/>
    <w:rsid w:val="00B3260E"/>
    <w:rsid w:val="00B326A5"/>
    <w:rsid w:val="00B326C1"/>
    <w:rsid w:val="00B32705"/>
    <w:rsid w:val="00B32756"/>
    <w:rsid w:val="00B3275F"/>
    <w:rsid w:val="00B32890"/>
    <w:rsid w:val="00B32903"/>
    <w:rsid w:val="00B32905"/>
    <w:rsid w:val="00B32911"/>
    <w:rsid w:val="00B32916"/>
    <w:rsid w:val="00B32A3D"/>
    <w:rsid w:val="00B32A3F"/>
    <w:rsid w:val="00B32A7D"/>
    <w:rsid w:val="00B32B23"/>
    <w:rsid w:val="00B32B83"/>
    <w:rsid w:val="00B32B87"/>
    <w:rsid w:val="00B32BB1"/>
    <w:rsid w:val="00B32BE7"/>
    <w:rsid w:val="00B32BFB"/>
    <w:rsid w:val="00B32C6F"/>
    <w:rsid w:val="00B32CD8"/>
    <w:rsid w:val="00B32CE8"/>
    <w:rsid w:val="00B32E70"/>
    <w:rsid w:val="00B32EAE"/>
    <w:rsid w:val="00B32F29"/>
    <w:rsid w:val="00B32F2E"/>
    <w:rsid w:val="00B32FC7"/>
    <w:rsid w:val="00B32FF1"/>
    <w:rsid w:val="00B33019"/>
    <w:rsid w:val="00B33089"/>
    <w:rsid w:val="00B330A7"/>
    <w:rsid w:val="00B330B0"/>
    <w:rsid w:val="00B330F1"/>
    <w:rsid w:val="00B3311D"/>
    <w:rsid w:val="00B33174"/>
    <w:rsid w:val="00B3319F"/>
    <w:rsid w:val="00B3322C"/>
    <w:rsid w:val="00B332BE"/>
    <w:rsid w:val="00B333BE"/>
    <w:rsid w:val="00B333C2"/>
    <w:rsid w:val="00B333C5"/>
    <w:rsid w:val="00B3340A"/>
    <w:rsid w:val="00B3340E"/>
    <w:rsid w:val="00B3342D"/>
    <w:rsid w:val="00B3344D"/>
    <w:rsid w:val="00B33459"/>
    <w:rsid w:val="00B334C0"/>
    <w:rsid w:val="00B33557"/>
    <w:rsid w:val="00B33562"/>
    <w:rsid w:val="00B33564"/>
    <w:rsid w:val="00B3356B"/>
    <w:rsid w:val="00B33580"/>
    <w:rsid w:val="00B335AC"/>
    <w:rsid w:val="00B33614"/>
    <w:rsid w:val="00B336CB"/>
    <w:rsid w:val="00B33765"/>
    <w:rsid w:val="00B3376D"/>
    <w:rsid w:val="00B3377A"/>
    <w:rsid w:val="00B33790"/>
    <w:rsid w:val="00B3382C"/>
    <w:rsid w:val="00B338CB"/>
    <w:rsid w:val="00B338E1"/>
    <w:rsid w:val="00B339A6"/>
    <w:rsid w:val="00B339EB"/>
    <w:rsid w:val="00B33B69"/>
    <w:rsid w:val="00B33BFA"/>
    <w:rsid w:val="00B33C1F"/>
    <w:rsid w:val="00B33CA1"/>
    <w:rsid w:val="00B33CA3"/>
    <w:rsid w:val="00B33D8A"/>
    <w:rsid w:val="00B33EBB"/>
    <w:rsid w:val="00B33EDA"/>
    <w:rsid w:val="00B33F8A"/>
    <w:rsid w:val="00B34031"/>
    <w:rsid w:val="00B34053"/>
    <w:rsid w:val="00B34062"/>
    <w:rsid w:val="00B34067"/>
    <w:rsid w:val="00B3408D"/>
    <w:rsid w:val="00B34094"/>
    <w:rsid w:val="00B34096"/>
    <w:rsid w:val="00B34112"/>
    <w:rsid w:val="00B34171"/>
    <w:rsid w:val="00B34177"/>
    <w:rsid w:val="00B34199"/>
    <w:rsid w:val="00B341C3"/>
    <w:rsid w:val="00B34258"/>
    <w:rsid w:val="00B342F6"/>
    <w:rsid w:val="00B3437D"/>
    <w:rsid w:val="00B343F8"/>
    <w:rsid w:val="00B34445"/>
    <w:rsid w:val="00B344B4"/>
    <w:rsid w:val="00B344F3"/>
    <w:rsid w:val="00B34533"/>
    <w:rsid w:val="00B3453D"/>
    <w:rsid w:val="00B34545"/>
    <w:rsid w:val="00B34549"/>
    <w:rsid w:val="00B3454A"/>
    <w:rsid w:val="00B345AB"/>
    <w:rsid w:val="00B345B4"/>
    <w:rsid w:val="00B34635"/>
    <w:rsid w:val="00B34644"/>
    <w:rsid w:val="00B346F6"/>
    <w:rsid w:val="00B346F8"/>
    <w:rsid w:val="00B34713"/>
    <w:rsid w:val="00B34761"/>
    <w:rsid w:val="00B347BB"/>
    <w:rsid w:val="00B34843"/>
    <w:rsid w:val="00B3485C"/>
    <w:rsid w:val="00B34889"/>
    <w:rsid w:val="00B349B9"/>
    <w:rsid w:val="00B34A48"/>
    <w:rsid w:val="00B34AB0"/>
    <w:rsid w:val="00B34AB4"/>
    <w:rsid w:val="00B34B0E"/>
    <w:rsid w:val="00B34B26"/>
    <w:rsid w:val="00B34B54"/>
    <w:rsid w:val="00B34BC3"/>
    <w:rsid w:val="00B34BE1"/>
    <w:rsid w:val="00B34C61"/>
    <w:rsid w:val="00B34C62"/>
    <w:rsid w:val="00B34C7F"/>
    <w:rsid w:val="00B34D20"/>
    <w:rsid w:val="00B34DA8"/>
    <w:rsid w:val="00B34E08"/>
    <w:rsid w:val="00B34E53"/>
    <w:rsid w:val="00B34E77"/>
    <w:rsid w:val="00B34E7F"/>
    <w:rsid w:val="00B34ECC"/>
    <w:rsid w:val="00B34EE8"/>
    <w:rsid w:val="00B34F5C"/>
    <w:rsid w:val="00B34FE3"/>
    <w:rsid w:val="00B35014"/>
    <w:rsid w:val="00B35034"/>
    <w:rsid w:val="00B35076"/>
    <w:rsid w:val="00B3507C"/>
    <w:rsid w:val="00B35090"/>
    <w:rsid w:val="00B350D8"/>
    <w:rsid w:val="00B3518D"/>
    <w:rsid w:val="00B35195"/>
    <w:rsid w:val="00B351AF"/>
    <w:rsid w:val="00B35203"/>
    <w:rsid w:val="00B35205"/>
    <w:rsid w:val="00B3527D"/>
    <w:rsid w:val="00B3530A"/>
    <w:rsid w:val="00B3534F"/>
    <w:rsid w:val="00B35377"/>
    <w:rsid w:val="00B353A3"/>
    <w:rsid w:val="00B353AD"/>
    <w:rsid w:val="00B3541B"/>
    <w:rsid w:val="00B3541D"/>
    <w:rsid w:val="00B35439"/>
    <w:rsid w:val="00B354CF"/>
    <w:rsid w:val="00B35523"/>
    <w:rsid w:val="00B3554E"/>
    <w:rsid w:val="00B35579"/>
    <w:rsid w:val="00B3560A"/>
    <w:rsid w:val="00B3566A"/>
    <w:rsid w:val="00B35701"/>
    <w:rsid w:val="00B3571A"/>
    <w:rsid w:val="00B3572F"/>
    <w:rsid w:val="00B35748"/>
    <w:rsid w:val="00B3579F"/>
    <w:rsid w:val="00B35812"/>
    <w:rsid w:val="00B3583B"/>
    <w:rsid w:val="00B35850"/>
    <w:rsid w:val="00B358CA"/>
    <w:rsid w:val="00B358CB"/>
    <w:rsid w:val="00B358E9"/>
    <w:rsid w:val="00B3594C"/>
    <w:rsid w:val="00B3595A"/>
    <w:rsid w:val="00B359C0"/>
    <w:rsid w:val="00B359C8"/>
    <w:rsid w:val="00B359E8"/>
    <w:rsid w:val="00B35A41"/>
    <w:rsid w:val="00B35B5F"/>
    <w:rsid w:val="00B35B62"/>
    <w:rsid w:val="00B35B78"/>
    <w:rsid w:val="00B35B83"/>
    <w:rsid w:val="00B35BA0"/>
    <w:rsid w:val="00B35BB0"/>
    <w:rsid w:val="00B35C05"/>
    <w:rsid w:val="00B35C20"/>
    <w:rsid w:val="00B35C2C"/>
    <w:rsid w:val="00B35CA2"/>
    <w:rsid w:val="00B35CBA"/>
    <w:rsid w:val="00B35CE4"/>
    <w:rsid w:val="00B35D27"/>
    <w:rsid w:val="00B35D5C"/>
    <w:rsid w:val="00B35D91"/>
    <w:rsid w:val="00B35DB3"/>
    <w:rsid w:val="00B35DCA"/>
    <w:rsid w:val="00B35DCD"/>
    <w:rsid w:val="00B35DD7"/>
    <w:rsid w:val="00B35DEE"/>
    <w:rsid w:val="00B35DF7"/>
    <w:rsid w:val="00B35E1D"/>
    <w:rsid w:val="00B35E3B"/>
    <w:rsid w:val="00B35E65"/>
    <w:rsid w:val="00B35EA1"/>
    <w:rsid w:val="00B35F1C"/>
    <w:rsid w:val="00B35F5D"/>
    <w:rsid w:val="00B35F7F"/>
    <w:rsid w:val="00B35F84"/>
    <w:rsid w:val="00B35FDD"/>
    <w:rsid w:val="00B36000"/>
    <w:rsid w:val="00B36014"/>
    <w:rsid w:val="00B36087"/>
    <w:rsid w:val="00B360C0"/>
    <w:rsid w:val="00B360D6"/>
    <w:rsid w:val="00B36104"/>
    <w:rsid w:val="00B3611A"/>
    <w:rsid w:val="00B3611F"/>
    <w:rsid w:val="00B36133"/>
    <w:rsid w:val="00B36152"/>
    <w:rsid w:val="00B3615A"/>
    <w:rsid w:val="00B361A4"/>
    <w:rsid w:val="00B361BC"/>
    <w:rsid w:val="00B3625C"/>
    <w:rsid w:val="00B36328"/>
    <w:rsid w:val="00B36387"/>
    <w:rsid w:val="00B36439"/>
    <w:rsid w:val="00B3645D"/>
    <w:rsid w:val="00B364A7"/>
    <w:rsid w:val="00B364E6"/>
    <w:rsid w:val="00B36512"/>
    <w:rsid w:val="00B36552"/>
    <w:rsid w:val="00B36612"/>
    <w:rsid w:val="00B36621"/>
    <w:rsid w:val="00B366A2"/>
    <w:rsid w:val="00B366B6"/>
    <w:rsid w:val="00B366E9"/>
    <w:rsid w:val="00B36703"/>
    <w:rsid w:val="00B36725"/>
    <w:rsid w:val="00B3675A"/>
    <w:rsid w:val="00B36780"/>
    <w:rsid w:val="00B367C6"/>
    <w:rsid w:val="00B367DA"/>
    <w:rsid w:val="00B367FA"/>
    <w:rsid w:val="00B36841"/>
    <w:rsid w:val="00B368AA"/>
    <w:rsid w:val="00B368D2"/>
    <w:rsid w:val="00B368E7"/>
    <w:rsid w:val="00B3690D"/>
    <w:rsid w:val="00B36960"/>
    <w:rsid w:val="00B36AB2"/>
    <w:rsid w:val="00B36AE7"/>
    <w:rsid w:val="00B36B63"/>
    <w:rsid w:val="00B36B74"/>
    <w:rsid w:val="00B36C14"/>
    <w:rsid w:val="00B36C35"/>
    <w:rsid w:val="00B36C38"/>
    <w:rsid w:val="00B36C64"/>
    <w:rsid w:val="00B36CEE"/>
    <w:rsid w:val="00B36D3E"/>
    <w:rsid w:val="00B36D6E"/>
    <w:rsid w:val="00B36E1F"/>
    <w:rsid w:val="00B36E63"/>
    <w:rsid w:val="00B36E89"/>
    <w:rsid w:val="00B36EE6"/>
    <w:rsid w:val="00B36F38"/>
    <w:rsid w:val="00B36F72"/>
    <w:rsid w:val="00B36F9B"/>
    <w:rsid w:val="00B3701A"/>
    <w:rsid w:val="00B37031"/>
    <w:rsid w:val="00B3708A"/>
    <w:rsid w:val="00B37090"/>
    <w:rsid w:val="00B3709D"/>
    <w:rsid w:val="00B370B7"/>
    <w:rsid w:val="00B370D6"/>
    <w:rsid w:val="00B3710A"/>
    <w:rsid w:val="00B371C1"/>
    <w:rsid w:val="00B37266"/>
    <w:rsid w:val="00B37297"/>
    <w:rsid w:val="00B372C1"/>
    <w:rsid w:val="00B372FD"/>
    <w:rsid w:val="00B37359"/>
    <w:rsid w:val="00B3738F"/>
    <w:rsid w:val="00B373B7"/>
    <w:rsid w:val="00B373CA"/>
    <w:rsid w:val="00B37451"/>
    <w:rsid w:val="00B37493"/>
    <w:rsid w:val="00B3749D"/>
    <w:rsid w:val="00B374B8"/>
    <w:rsid w:val="00B374E0"/>
    <w:rsid w:val="00B374F1"/>
    <w:rsid w:val="00B374F6"/>
    <w:rsid w:val="00B374FB"/>
    <w:rsid w:val="00B37556"/>
    <w:rsid w:val="00B3763A"/>
    <w:rsid w:val="00B3764C"/>
    <w:rsid w:val="00B3769F"/>
    <w:rsid w:val="00B376A4"/>
    <w:rsid w:val="00B376E1"/>
    <w:rsid w:val="00B376FD"/>
    <w:rsid w:val="00B377A9"/>
    <w:rsid w:val="00B377AA"/>
    <w:rsid w:val="00B37835"/>
    <w:rsid w:val="00B37866"/>
    <w:rsid w:val="00B3789D"/>
    <w:rsid w:val="00B378F1"/>
    <w:rsid w:val="00B378FD"/>
    <w:rsid w:val="00B37907"/>
    <w:rsid w:val="00B37929"/>
    <w:rsid w:val="00B3794A"/>
    <w:rsid w:val="00B3796E"/>
    <w:rsid w:val="00B3798F"/>
    <w:rsid w:val="00B379D2"/>
    <w:rsid w:val="00B379FE"/>
    <w:rsid w:val="00B37A2E"/>
    <w:rsid w:val="00B37A8F"/>
    <w:rsid w:val="00B37AD7"/>
    <w:rsid w:val="00B37B2F"/>
    <w:rsid w:val="00B37B70"/>
    <w:rsid w:val="00B37BEF"/>
    <w:rsid w:val="00B37BF9"/>
    <w:rsid w:val="00B37C21"/>
    <w:rsid w:val="00B37CD9"/>
    <w:rsid w:val="00B37CE2"/>
    <w:rsid w:val="00B37D23"/>
    <w:rsid w:val="00B37D48"/>
    <w:rsid w:val="00B37D5C"/>
    <w:rsid w:val="00B37DCA"/>
    <w:rsid w:val="00B37DFF"/>
    <w:rsid w:val="00B37E09"/>
    <w:rsid w:val="00B37E0F"/>
    <w:rsid w:val="00B37E13"/>
    <w:rsid w:val="00B37E21"/>
    <w:rsid w:val="00B37E2C"/>
    <w:rsid w:val="00B37E4F"/>
    <w:rsid w:val="00B37ED8"/>
    <w:rsid w:val="00B37EDB"/>
    <w:rsid w:val="00B37EED"/>
    <w:rsid w:val="00B37F0D"/>
    <w:rsid w:val="00B37F13"/>
    <w:rsid w:val="00B37F1F"/>
    <w:rsid w:val="00B37F83"/>
    <w:rsid w:val="00B37F94"/>
    <w:rsid w:val="00B37FAF"/>
    <w:rsid w:val="00B4000C"/>
    <w:rsid w:val="00B40027"/>
    <w:rsid w:val="00B40045"/>
    <w:rsid w:val="00B4011D"/>
    <w:rsid w:val="00B4015F"/>
    <w:rsid w:val="00B402C8"/>
    <w:rsid w:val="00B402ED"/>
    <w:rsid w:val="00B40313"/>
    <w:rsid w:val="00B4034A"/>
    <w:rsid w:val="00B40383"/>
    <w:rsid w:val="00B403E3"/>
    <w:rsid w:val="00B4052F"/>
    <w:rsid w:val="00B40569"/>
    <w:rsid w:val="00B40597"/>
    <w:rsid w:val="00B4059F"/>
    <w:rsid w:val="00B405E4"/>
    <w:rsid w:val="00B40635"/>
    <w:rsid w:val="00B4063C"/>
    <w:rsid w:val="00B40673"/>
    <w:rsid w:val="00B40677"/>
    <w:rsid w:val="00B4068E"/>
    <w:rsid w:val="00B406DF"/>
    <w:rsid w:val="00B40739"/>
    <w:rsid w:val="00B40775"/>
    <w:rsid w:val="00B407B2"/>
    <w:rsid w:val="00B4082A"/>
    <w:rsid w:val="00B40849"/>
    <w:rsid w:val="00B4089B"/>
    <w:rsid w:val="00B408C2"/>
    <w:rsid w:val="00B408E6"/>
    <w:rsid w:val="00B408FD"/>
    <w:rsid w:val="00B40967"/>
    <w:rsid w:val="00B40A18"/>
    <w:rsid w:val="00B40A62"/>
    <w:rsid w:val="00B40A7B"/>
    <w:rsid w:val="00B40AB2"/>
    <w:rsid w:val="00B40B31"/>
    <w:rsid w:val="00B40B41"/>
    <w:rsid w:val="00B40B49"/>
    <w:rsid w:val="00B40B5B"/>
    <w:rsid w:val="00B40B68"/>
    <w:rsid w:val="00B40B6E"/>
    <w:rsid w:val="00B40B71"/>
    <w:rsid w:val="00B40B93"/>
    <w:rsid w:val="00B40C07"/>
    <w:rsid w:val="00B40CDA"/>
    <w:rsid w:val="00B40D72"/>
    <w:rsid w:val="00B40DD3"/>
    <w:rsid w:val="00B40E35"/>
    <w:rsid w:val="00B40E41"/>
    <w:rsid w:val="00B40E90"/>
    <w:rsid w:val="00B40EAA"/>
    <w:rsid w:val="00B40F09"/>
    <w:rsid w:val="00B40F6A"/>
    <w:rsid w:val="00B4105B"/>
    <w:rsid w:val="00B41069"/>
    <w:rsid w:val="00B4111A"/>
    <w:rsid w:val="00B4114F"/>
    <w:rsid w:val="00B41155"/>
    <w:rsid w:val="00B4117F"/>
    <w:rsid w:val="00B411D3"/>
    <w:rsid w:val="00B41217"/>
    <w:rsid w:val="00B41246"/>
    <w:rsid w:val="00B41258"/>
    <w:rsid w:val="00B41276"/>
    <w:rsid w:val="00B412A5"/>
    <w:rsid w:val="00B4146A"/>
    <w:rsid w:val="00B4146C"/>
    <w:rsid w:val="00B4156A"/>
    <w:rsid w:val="00B415B3"/>
    <w:rsid w:val="00B415F1"/>
    <w:rsid w:val="00B416E0"/>
    <w:rsid w:val="00B4170A"/>
    <w:rsid w:val="00B41716"/>
    <w:rsid w:val="00B4171A"/>
    <w:rsid w:val="00B41727"/>
    <w:rsid w:val="00B4177A"/>
    <w:rsid w:val="00B41804"/>
    <w:rsid w:val="00B41814"/>
    <w:rsid w:val="00B41824"/>
    <w:rsid w:val="00B41887"/>
    <w:rsid w:val="00B4188B"/>
    <w:rsid w:val="00B41946"/>
    <w:rsid w:val="00B41952"/>
    <w:rsid w:val="00B41970"/>
    <w:rsid w:val="00B4197C"/>
    <w:rsid w:val="00B41999"/>
    <w:rsid w:val="00B419C5"/>
    <w:rsid w:val="00B41A8B"/>
    <w:rsid w:val="00B41A9B"/>
    <w:rsid w:val="00B41AD5"/>
    <w:rsid w:val="00B41AF1"/>
    <w:rsid w:val="00B41AFA"/>
    <w:rsid w:val="00B41B06"/>
    <w:rsid w:val="00B41B3E"/>
    <w:rsid w:val="00B41BE3"/>
    <w:rsid w:val="00B41CB8"/>
    <w:rsid w:val="00B41CBE"/>
    <w:rsid w:val="00B41D0A"/>
    <w:rsid w:val="00B41D26"/>
    <w:rsid w:val="00B41D2A"/>
    <w:rsid w:val="00B41D44"/>
    <w:rsid w:val="00B41D4C"/>
    <w:rsid w:val="00B41E14"/>
    <w:rsid w:val="00B41E1A"/>
    <w:rsid w:val="00B41E9C"/>
    <w:rsid w:val="00B41EAD"/>
    <w:rsid w:val="00B41EAF"/>
    <w:rsid w:val="00B41EB0"/>
    <w:rsid w:val="00B41EB1"/>
    <w:rsid w:val="00B41EBF"/>
    <w:rsid w:val="00B41ED7"/>
    <w:rsid w:val="00B41F2E"/>
    <w:rsid w:val="00B41F5F"/>
    <w:rsid w:val="00B41FE6"/>
    <w:rsid w:val="00B41FE9"/>
    <w:rsid w:val="00B42003"/>
    <w:rsid w:val="00B42011"/>
    <w:rsid w:val="00B4206B"/>
    <w:rsid w:val="00B42100"/>
    <w:rsid w:val="00B42136"/>
    <w:rsid w:val="00B42161"/>
    <w:rsid w:val="00B42177"/>
    <w:rsid w:val="00B4220C"/>
    <w:rsid w:val="00B42216"/>
    <w:rsid w:val="00B42219"/>
    <w:rsid w:val="00B42259"/>
    <w:rsid w:val="00B4227A"/>
    <w:rsid w:val="00B422CC"/>
    <w:rsid w:val="00B42357"/>
    <w:rsid w:val="00B423B0"/>
    <w:rsid w:val="00B423B4"/>
    <w:rsid w:val="00B423EA"/>
    <w:rsid w:val="00B42404"/>
    <w:rsid w:val="00B42428"/>
    <w:rsid w:val="00B4245C"/>
    <w:rsid w:val="00B4249B"/>
    <w:rsid w:val="00B424CC"/>
    <w:rsid w:val="00B42518"/>
    <w:rsid w:val="00B4252B"/>
    <w:rsid w:val="00B4252F"/>
    <w:rsid w:val="00B4254B"/>
    <w:rsid w:val="00B42596"/>
    <w:rsid w:val="00B425A5"/>
    <w:rsid w:val="00B425AA"/>
    <w:rsid w:val="00B425AB"/>
    <w:rsid w:val="00B4263C"/>
    <w:rsid w:val="00B42659"/>
    <w:rsid w:val="00B42662"/>
    <w:rsid w:val="00B42679"/>
    <w:rsid w:val="00B4267E"/>
    <w:rsid w:val="00B4271F"/>
    <w:rsid w:val="00B4276B"/>
    <w:rsid w:val="00B42783"/>
    <w:rsid w:val="00B42787"/>
    <w:rsid w:val="00B427AB"/>
    <w:rsid w:val="00B427BD"/>
    <w:rsid w:val="00B427EA"/>
    <w:rsid w:val="00B42813"/>
    <w:rsid w:val="00B42834"/>
    <w:rsid w:val="00B42839"/>
    <w:rsid w:val="00B4287B"/>
    <w:rsid w:val="00B428FF"/>
    <w:rsid w:val="00B42966"/>
    <w:rsid w:val="00B42968"/>
    <w:rsid w:val="00B4297E"/>
    <w:rsid w:val="00B429BE"/>
    <w:rsid w:val="00B429FE"/>
    <w:rsid w:val="00B42A16"/>
    <w:rsid w:val="00B42A64"/>
    <w:rsid w:val="00B42ABA"/>
    <w:rsid w:val="00B42AFC"/>
    <w:rsid w:val="00B42C6C"/>
    <w:rsid w:val="00B42C9E"/>
    <w:rsid w:val="00B42CD0"/>
    <w:rsid w:val="00B42CDA"/>
    <w:rsid w:val="00B42D17"/>
    <w:rsid w:val="00B42D4D"/>
    <w:rsid w:val="00B42D7E"/>
    <w:rsid w:val="00B42D83"/>
    <w:rsid w:val="00B42DF2"/>
    <w:rsid w:val="00B42E2D"/>
    <w:rsid w:val="00B42E75"/>
    <w:rsid w:val="00B42F06"/>
    <w:rsid w:val="00B42F92"/>
    <w:rsid w:val="00B42FD3"/>
    <w:rsid w:val="00B42FEE"/>
    <w:rsid w:val="00B43018"/>
    <w:rsid w:val="00B4307A"/>
    <w:rsid w:val="00B430D0"/>
    <w:rsid w:val="00B431D7"/>
    <w:rsid w:val="00B4322F"/>
    <w:rsid w:val="00B43299"/>
    <w:rsid w:val="00B432D5"/>
    <w:rsid w:val="00B432FF"/>
    <w:rsid w:val="00B4331A"/>
    <w:rsid w:val="00B4332A"/>
    <w:rsid w:val="00B4333E"/>
    <w:rsid w:val="00B43382"/>
    <w:rsid w:val="00B4340E"/>
    <w:rsid w:val="00B43422"/>
    <w:rsid w:val="00B434C1"/>
    <w:rsid w:val="00B434E7"/>
    <w:rsid w:val="00B43571"/>
    <w:rsid w:val="00B4357A"/>
    <w:rsid w:val="00B43587"/>
    <w:rsid w:val="00B435DD"/>
    <w:rsid w:val="00B436B0"/>
    <w:rsid w:val="00B436D6"/>
    <w:rsid w:val="00B436DD"/>
    <w:rsid w:val="00B436EA"/>
    <w:rsid w:val="00B43713"/>
    <w:rsid w:val="00B43722"/>
    <w:rsid w:val="00B4374B"/>
    <w:rsid w:val="00B43846"/>
    <w:rsid w:val="00B43860"/>
    <w:rsid w:val="00B438E9"/>
    <w:rsid w:val="00B438EB"/>
    <w:rsid w:val="00B43981"/>
    <w:rsid w:val="00B43988"/>
    <w:rsid w:val="00B439A6"/>
    <w:rsid w:val="00B439C1"/>
    <w:rsid w:val="00B439E1"/>
    <w:rsid w:val="00B43A0D"/>
    <w:rsid w:val="00B43A1A"/>
    <w:rsid w:val="00B43A2C"/>
    <w:rsid w:val="00B43A4A"/>
    <w:rsid w:val="00B43A57"/>
    <w:rsid w:val="00B43A6C"/>
    <w:rsid w:val="00B43B04"/>
    <w:rsid w:val="00B43B2A"/>
    <w:rsid w:val="00B43B50"/>
    <w:rsid w:val="00B43B55"/>
    <w:rsid w:val="00B43C25"/>
    <w:rsid w:val="00B43CBC"/>
    <w:rsid w:val="00B43CDF"/>
    <w:rsid w:val="00B43D0F"/>
    <w:rsid w:val="00B43D6A"/>
    <w:rsid w:val="00B43D6D"/>
    <w:rsid w:val="00B43D83"/>
    <w:rsid w:val="00B43F34"/>
    <w:rsid w:val="00B43F46"/>
    <w:rsid w:val="00B4402D"/>
    <w:rsid w:val="00B44048"/>
    <w:rsid w:val="00B4404F"/>
    <w:rsid w:val="00B440F4"/>
    <w:rsid w:val="00B4415B"/>
    <w:rsid w:val="00B4418C"/>
    <w:rsid w:val="00B441C5"/>
    <w:rsid w:val="00B44238"/>
    <w:rsid w:val="00B4425A"/>
    <w:rsid w:val="00B4426D"/>
    <w:rsid w:val="00B442C7"/>
    <w:rsid w:val="00B442CC"/>
    <w:rsid w:val="00B44309"/>
    <w:rsid w:val="00B44352"/>
    <w:rsid w:val="00B44370"/>
    <w:rsid w:val="00B44437"/>
    <w:rsid w:val="00B4448D"/>
    <w:rsid w:val="00B444B2"/>
    <w:rsid w:val="00B444FF"/>
    <w:rsid w:val="00B44539"/>
    <w:rsid w:val="00B4455E"/>
    <w:rsid w:val="00B44564"/>
    <w:rsid w:val="00B4458B"/>
    <w:rsid w:val="00B445C2"/>
    <w:rsid w:val="00B445FD"/>
    <w:rsid w:val="00B4466D"/>
    <w:rsid w:val="00B446B1"/>
    <w:rsid w:val="00B44748"/>
    <w:rsid w:val="00B4477D"/>
    <w:rsid w:val="00B447DE"/>
    <w:rsid w:val="00B44849"/>
    <w:rsid w:val="00B44861"/>
    <w:rsid w:val="00B44881"/>
    <w:rsid w:val="00B4489B"/>
    <w:rsid w:val="00B448AA"/>
    <w:rsid w:val="00B448DB"/>
    <w:rsid w:val="00B448ED"/>
    <w:rsid w:val="00B44924"/>
    <w:rsid w:val="00B4493B"/>
    <w:rsid w:val="00B44992"/>
    <w:rsid w:val="00B44A18"/>
    <w:rsid w:val="00B44A64"/>
    <w:rsid w:val="00B44AA8"/>
    <w:rsid w:val="00B44AD0"/>
    <w:rsid w:val="00B44C28"/>
    <w:rsid w:val="00B44C6F"/>
    <w:rsid w:val="00B44D30"/>
    <w:rsid w:val="00B44D42"/>
    <w:rsid w:val="00B44D70"/>
    <w:rsid w:val="00B44D83"/>
    <w:rsid w:val="00B44E77"/>
    <w:rsid w:val="00B44EBA"/>
    <w:rsid w:val="00B44EF2"/>
    <w:rsid w:val="00B44F32"/>
    <w:rsid w:val="00B44F47"/>
    <w:rsid w:val="00B44FC8"/>
    <w:rsid w:val="00B4500E"/>
    <w:rsid w:val="00B45015"/>
    <w:rsid w:val="00B4505D"/>
    <w:rsid w:val="00B4507D"/>
    <w:rsid w:val="00B45091"/>
    <w:rsid w:val="00B450BA"/>
    <w:rsid w:val="00B450D2"/>
    <w:rsid w:val="00B45141"/>
    <w:rsid w:val="00B4514A"/>
    <w:rsid w:val="00B45165"/>
    <w:rsid w:val="00B4516B"/>
    <w:rsid w:val="00B4517F"/>
    <w:rsid w:val="00B451C7"/>
    <w:rsid w:val="00B45241"/>
    <w:rsid w:val="00B45296"/>
    <w:rsid w:val="00B45314"/>
    <w:rsid w:val="00B45319"/>
    <w:rsid w:val="00B4531D"/>
    <w:rsid w:val="00B453B4"/>
    <w:rsid w:val="00B453E3"/>
    <w:rsid w:val="00B45402"/>
    <w:rsid w:val="00B4542C"/>
    <w:rsid w:val="00B45435"/>
    <w:rsid w:val="00B45438"/>
    <w:rsid w:val="00B45467"/>
    <w:rsid w:val="00B454B3"/>
    <w:rsid w:val="00B454EC"/>
    <w:rsid w:val="00B45574"/>
    <w:rsid w:val="00B45586"/>
    <w:rsid w:val="00B455C2"/>
    <w:rsid w:val="00B455C5"/>
    <w:rsid w:val="00B455E7"/>
    <w:rsid w:val="00B4560E"/>
    <w:rsid w:val="00B4562A"/>
    <w:rsid w:val="00B456D2"/>
    <w:rsid w:val="00B456E2"/>
    <w:rsid w:val="00B4579B"/>
    <w:rsid w:val="00B457E3"/>
    <w:rsid w:val="00B457F2"/>
    <w:rsid w:val="00B45805"/>
    <w:rsid w:val="00B45819"/>
    <w:rsid w:val="00B45860"/>
    <w:rsid w:val="00B45885"/>
    <w:rsid w:val="00B458A0"/>
    <w:rsid w:val="00B45903"/>
    <w:rsid w:val="00B45926"/>
    <w:rsid w:val="00B45966"/>
    <w:rsid w:val="00B459AA"/>
    <w:rsid w:val="00B45A2C"/>
    <w:rsid w:val="00B45A6C"/>
    <w:rsid w:val="00B45B09"/>
    <w:rsid w:val="00B45B8F"/>
    <w:rsid w:val="00B45BE8"/>
    <w:rsid w:val="00B45BFF"/>
    <w:rsid w:val="00B45C31"/>
    <w:rsid w:val="00B45CEB"/>
    <w:rsid w:val="00B45CFB"/>
    <w:rsid w:val="00B45D1A"/>
    <w:rsid w:val="00B45D55"/>
    <w:rsid w:val="00B45DFC"/>
    <w:rsid w:val="00B45E00"/>
    <w:rsid w:val="00B45E09"/>
    <w:rsid w:val="00B45E24"/>
    <w:rsid w:val="00B45E53"/>
    <w:rsid w:val="00B45E6E"/>
    <w:rsid w:val="00B45F26"/>
    <w:rsid w:val="00B45F4F"/>
    <w:rsid w:val="00B45FA5"/>
    <w:rsid w:val="00B45FA9"/>
    <w:rsid w:val="00B46023"/>
    <w:rsid w:val="00B46035"/>
    <w:rsid w:val="00B46077"/>
    <w:rsid w:val="00B4608C"/>
    <w:rsid w:val="00B46094"/>
    <w:rsid w:val="00B460F7"/>
    <w:rsid w:val="00B4610C"/>
    <w:rsid w:val="00B46175"/>
    <w:rsid w:val="00B461CF"/>
    <w:rsid w:val="00B46276"/>
    <w:rsid w:val="00B462D0"/>
    <w:rsid w:val="00B462E0"/>
    <w:rsid w:val="00B462E2"/>
    <w:rsid w:val="00B462F9"/>
    <w:rsid w:val="00B462FF"/>
    <w:rsid w:val="00B4634A"/>
    <w:rsid w:val="00B4634D"/>
    <w:rsid w:val="00B463F6"/>
    <w:rsid w:val="00B463F8"/>
    <w:rsid w:val="00B46436"/>
    <w:rsid w:val="00B46455"/>
    <w:rsid w:val="00B464A5"/>
    <w:rsid w:val="00B464E8"/>
    <w:rsid w:val="00B464EB"/>
    <w:rsid w:val="00B46550"/>
    <w:rsid w:val="00B46562"/>
    <w:rsid w:val="00B4667D"/>
    <w:rsid w:val="00B4670A"/>
    <w:rsid w:val="00B46744"/>
    <w:rsid w:val="00B467FD"/>
    <w:rsid w:val="00B46841"/>
    <w:rsid w:val="00B4688E"/>
    <w:rsid w:val="00B468BA"/>
    <w:rsid w:val="00B468C4"/>
    <w:rsid w:val="00B468F1"/>
    <w:rsid w:val="00B46948"/>
    <w:rsid w:val="00B46964"/>
    <w:rsid w:val="00B4699D"/>
    <w:rsid w:val="00B469B9"/>
    <w:rsid w:val="00B469BE"/>
    <w:rsid w:val="00B46A66"/>
    <w:rsid w:val="00B46A78"/>
    <w:rsid w:val="00B46A83"/>
    <w:rsid w:val="00B46BFE"/>
    <w:rsid w:val="00B46C57"/>
    <w:rsid w:val="00B46C72"/>
    <w:rsid w:val="00B46C8E"/>
    <w:rsid w:val="00B46C8F"/>
    <w:rsid w:val="00B46CDF"/>
    <w:rsid w:val="00B46CE5"/>
    <w:rsid w:val="00B46D29"/>
    <w:rsid w:val="00B46D38"/>
    <w:rsid w:val="00B46DDA"/>
    <w:rsid w:val="00B46DDD"/>
    <w:rsid w:val="00B46DEF"/>
    <w:rsid w:val="00B46E9A"/>
    <w:rsid w:val="00B46E9E"/>
    <w:rsid w:val="00B46EE3"/>
    <w:rsid w:val="00B46EEF"/>
    <w:rsid w:val="00B46F1B"/>
    <w:rsid w:val="00B46FD8"/>
    <w:rsid w:val="00B46FDF"/>
    <w:rsid w:val="00B46FFC"/>
    <w:rsid w:val="00B47056"/>
    <w:rsid w:val="00B4708F"/>
    <w:rsid w:val="00B470C4"/>
    <w:rsid w:val="00B47108"/>
    <w:rsid w:val="00B47135"/>
    <w:rsid w:val="00B47139"/>
    <w:rsid w:val="00B4713A"/>
    <w:rsid w:val="00B47164"/>
    <w:rsid w:val="00B4717E"/>
    <w:rsid w:val="00B4724B"/>
    <w:rsid w:val="00B472A6"/>
    <w:rsid w:val="00B472E2"/>
    <w:rsid w:val="00B4734B"/>
    <w:rsid w:val="00B4736F"/>
    <w:rsid w:val="00B473F2"/>
    <w:rsid w:val="00B4741B"/>
    <w:rsid w:val="00B474AE"/>
    <w:rsid w:val="00B474EE"/>
    <w:rsid w:val="00B47533"/>
    <w:rsid w:val="00B47562"/>
    <w:rsid w:val="00B47620"/>
    <w:rsid w:val="00B47621"/>
    <w:rsid w:val="00B47637"/>
    <w:rsid w:val="00B4764A"/>
    <w:rsid w:val="00B47665"/>
    <w:rsid w:val="00B47682"/>
    <w:rsid w:val="00B476F3"/>
    <w:rsid w:val="00B47747"/>
    <w:rsid w:val="00B4789F"/>
    <w:rsid w:val="00B479A2"/>
    <w:rsid w:val="00B479CB"/>
    <w:rsid w:val="00B479F0"/>
    <w:rsid w:val="00B47A01"/>
    <w:rsid w:val="00B47AE6"/>
    <w:rsid w:val="00B47B02"/>
    <w:rsid w:val="00B47B37"/>
    <w:rsid w:val="00B47C31"/>
    <w:rsid w:val="00B47C9F"/>
    <w:rsid w:val="00B47CCE"/>
    <w:rsid w:val="00B47D0D"/>
    <w:rsid w:val="00B47D4A"/>
    <w:rsid w:val="00B47D8A"/>
    <w:rsid w:val="00B47DB0"/>
    <w:rsid w:val="00B47DB5"/>
    <w:rsid w:val="00B47E15"/>
    <w:rsid w:val="00B47E76"/>
    <w:rsid w:val="00B47EB9"/>
    <w:rsid w:val="00B47F6D"/>
    <w:rsid w:val="00B47F84"/>
    <w:rsid w:val="00B47FAD"/>
    <w:rsid w:val="00B50027"/>
    <w:rsid w:val="00B50045"/>
    <w:rsid w:val="00B500DB"/>
    <w:rsid w:val="00B5014A"/>
    <w:rsid w:val="00B5019A"/>
    <w:rsid w:val="00B50210"/>
    <w:rsid w:val="00B5027F"/>
    <w:rsid w:val="00B5028D"/>
    <w:rsid w:val="00B5029D"/>
    <w:rsid w:val="00B50389"/>
    <w:rsid w:val="00B50396"/>
    <w:rsid w:val="00B503E8"/>
    <w:rsid w:val="00B503F2"/>
    <w:rsid w:val="00B503FD"/>
    <w:rsid w:val="00B5043E"/>
    <w:rsid w:val="00B504F5"/>
    <w:rsid w:val="00B50517"/>
    <w:rsid w:val="00B50520"/>
    <w:rsid w:val="00B5052A"/>
    <w:rsid w:val="00B50542"/>
    <w:rsid w:val="00B50568"/>
    <w:rsid w:val="00B50609"/>
    <w:rsid w:val="00B5068B"/>
    <w:rsid w:val="00B5076D"/>
    <w:rsid w:val="00B5077E"/>
    <w:rsid w:val="00B507B0"/>
    <w:rsid w:val="00B507FD"/>
    <w:rsid w:val="00B5082E"/>
    <w:rsid w:val="00B508F2"/>
    <w:rsid w:val="00B50953"/>
    <w:rsid w:val="00B50999"/>
    <w:rsid w:val="00B509C7"/>
    <w:rsid w:val="00B50A80"/>
    <w:rsid w:val="00B50A8E"/>
    <w:rsid w:val="00B50BA1"/>
    <w:rsid w:val="00B50C0D"/>
    <w:rsid w:val="00B50C54"/>
    <w:rsid w:val="00B50CCF"/>
    <w:rsid w:val="00B50CFB"/>
    <w:rsid w:val="00B50CFF"/>
    <w:rsid w:val="00B50D7A"/>
    <w:rsid w:val="00B50DB6"/>
    <w:rsid w:val="00B50E20"/>
    <w:rsid w:val="00B50EB5"/>
    <w:rsid w:val="00B50EC8"/>
    <w:rsid w:val="00B50ED8"/>
    <w:rsid w:val="00B50F7F"/>
    <w:rsid w:val="00B50FA0"/>
    <w:rsid w:val="00B50FB4"/>
    <w:rsid w:val="00B51031"/>
    <w:rsid w:val="00B5108E"/>
    <w:rsid w:val="00B51092"/>
    <w:rsid w:val="00B510B9"/>
    <w:rsid w:val="00B510C9"/>
    <w:rsid w:val="00B510E1"/>
    <w:rsid w:val="00B51158"/>
    <w:rsid w:val="00B511EE"/>
    <w:rsid w:val="00B511F7"/>
    <w:rsid w:val="00B51217"/>
    <w:rsid w:val="00B5125B"/>
    <w:rsid w:val="00B51285"/>
    <w:rsid w:val="00B5128C"/>
    <w:rsid w:val="00B512E5"/>
    <w:rsid w:val="00B512F5"/>
    <w:rsid w:val="00B5133C"/>
    <w:rsid w:val="00B51400"/>
    <w:rsid w:val="00B5142F"/>
    <w:rsid w:val="00B514AD"/>
    <w:rsid w:val="00B514DF"/>
    <w:rsid w:val="00B5151B"/>
    <w:rsid w:val="00B51613"/>
    <w:rsid w:val="00B51651"/>
    <w:rsid w:val="00B516CB"/>
    <w:rsid w:val="00B51704"/>
    <w:rsid w:val="00B51715"/>
    <w:rsid w:val="00B51758"/>
    <w:rsid w:val="00B51768"/>
    <w:rsid w:val="00B51771"/>
    <w:rsid w:val="00B5177D"/>
    <w:rsid w:val="00B51799"/>
    <w:rsid w:val="00B517BC"/>
    <w:rsid w:val="00B51836"/>
    <w:rsid w:val="00B51864"/>
    <w:rsid w:val="00B518BF"/>
    <w:rsid w:val="00B518E1"/>
    <w:rsid w:val="00B51908"/>
    <w:rsid w:val="00B5193E"/>
    <w:rsid w:val="00B519AE"/>
    <w:rsid w:val="00B519DA"/>
    <w:rsid w:val="00B519FF"/>
    <w:rsid w:val="00B51AFC"/>
    <w:rsid w:val="00B51B21"/>
    <w:rsid w:val="00B51B2A"/>
    <w:rsid w:val="00B51C06"/>
    <w:rsid w:val="00B51C14"/>
    <w:rsid w:val="00B51C3D"/>
    <w:rsid w:val="00B51EA1"/>
    <w:rsid w:val="00B51F39"/>
    <w:rsid w:val="00B51F78"/>
    <w:rsid w:val="00B51F8D"/>
    <w:rsid w:val="00B51FA3"/>
    <w:rsid w:val="00B52035"/>
    <w:rsid w:val="00B52054"/>
    <w:rsid w:val="00B5206E"/>
    <w:rsid w:val="00B520CD"/>
    <w:rsid w:val="00B52162"/>
    <w:rsid w:val="00B521D8"/>
    <w:rsid w:val="00B521FA"/>
    <w:rsid w:val="00B52284"/>
    <w:rsid w:val="00B522B0"/>
    <w:rsid w:val="00B52361"/>
    <w:rsid w:val="00B52370"/>
    <w:rsid w:val="00B523F0"/>
    <w:rsid w:val="00B523FA"/>
    <w:rsid w:val="00B52404"/>
    <w:rsid w:val="00B5246F"/>
    <w:rsid w:val="00B524F0"/>
    <w:rsid w:val="00B52538"/>
    <w:rsid w:val="00B5259C"/>
    <w:rsid w:val="00B525FC"/>
    <w:rsid w:val="00B5260F"/>
    <w:rsid w:val="00B5263F"/>
    <w:rsid w:val="00B52650"/>
    <w:rsid w:val="00B52674"/>
    <w:rsid w:val="00B52677"/>
    <w:rsid w:val="00B52688"/>
    <w:rsid w:val="00B526ED"/>
    <w:rsid w:val="00B52719"/>
    <w:rsid w:val="00B52810"/>
    <w:rsid w:val="00B5285F"/>
    <w:rsid w:val="00B5289E"/>
    <w:rsid w:val="00B528CB"/>
    <w:rsid w:val="00B528E8"/>
    <w:rsid w:val="00B5292E"/>
    <w:rsid w:val="00B529C5"/>
    <w:rsid w:val="00B529F8"/>
    <w:rsid w:val="00B52A03"/>
    <w:rsid w:val="00B52A7F"/>
    <w:rsid w:val="00B52AB1"/>
    <w:rsid w:val="00B52AE5"/>
    <w:rsid w:val="00B52AF2"/>
    <w:rsid w:val="00B52B0B"/>
    <w:rsid w:val="00B52B0F"/>
    <w:rsid w:val="00B52B9C"/>
    <w:rsid w:val="00B52BB1"/>
    <w:rsid w:val="00B52C32"/>
    <w:rsid w:val="00B52C85"/>
    <w:rsid w:val="00B52C9D"/>
    <w:rsid w:val="00B52CB0"/>
    <w:rsid w:val="00B52D0F"/>
    <w:rsid w:val="00B52D69"/>
    <w:rsid w:val="00B52D6A"/>
    <w:rsid w:val="00B52D8A"/>
    <w:rsid w:val="00B52DEA"/>
    <w:rsid w:val="00B52DFD"/>
    <w:rsid w:val="00B52E0D"/>
    <w:rsid w:val="00B52ED5"/>
    <w:rsid w:val="00B52ED7"/>
    <w:rsid w:val="00B52FE8"/>
    <w:rsid w:val="00B5303A"/>
    <w:rsid w:val="00B53044"/>
    <w:rsid w:val="00B53054"/>
    <w:rsid w:val="00B5305A"/>
    <w:rsid w:val="00B53076"/>
    <w:rsid w:val="00B530B7"/>
    <w:rsid w:val="00B5315B"/>
    <w:rsid w:val="00B53161"/>
    <w:rsid w:val="00B531F0"/>
    <w:rsid w:val="00B531F6"/>
    <w:rsid w:val="00B53270"/>
    <w:rsid w:val="00B53293"/>
    <w:rsid w:val="00B5329C"/>
    <w:rsid w:val="00B532C2"/>
    <w:rsid w:val="00B532DD"/>
    <w:rsid w:val="00B532EF"/>
    <w:rsid w:val="00B532F3"/>
    <w:rsid w:val="00B53321"/>
    <w:rsid w:val="00B533AB"/>
    <w:rsid w:val="00B533B0"/>
    <w:rsid w:val="00B533CC"/>
    <w:rsid w:val="00B53467"/>
    <w:rsid w:val="00B534A1"/>
    <w:rsid w:val="00B534C2"/>
    <w:rsid w:val="00B534FE"/>
    <w:rsid w:val="00B53585"/>
    <w:rsid w:val="00B535BD"/>
    <w:rsid w:val="00B535C1"/>
    <w:rsid w:val="00B535CB"/>
    <w:rsid w:val="00B5362F"/>
    <w:rsid w:val="00B53651"/>
    <w:rsid w:val="00B5375E"/>
    <w:rsid w:val="00B537AF"/>
    <w:rsid w:val="00B5395F"/>
    <w:rsid w:val="00B5397E"/>
    <w:rsid w:val="00B539DF"/>
    <w:rsid w:val="00B53A0E"/>
    <w:rsid w:val="00B53AEC"/>
    <w:rsid w:val="00B53B83"/>
    <w:rsid w:val="00B53BBE"/>
    <w:rsid w:val="00B53BC4"/>
    <w:rsid w:val="00B53C15"/>
    <w:rsid w:val="00B53C32"/>
    <w:rsid w:val="00B53C9C"/>
    <w:rsid w:val="00B53D1D"/>
    <w:rsid w:val="00B53D1F"/>
    <w:rsid w:val="00B53D26"/>
    <w:rsid w:val="00B53D5A"/>
    <w:rsid w:val="00B53D95"/>
    <w:rsid w:val="00B53DBB"/>
    <w:rsid w:val="00B53DDC"/>
    <w:rsid w:val="00B53DDE"/>
    <w:rsid w:val="00B53E15"/>
    <w:rsid w:val="00B53E34"/>
    <w:rsid w:val="00B53EEC"/>
    <w:rsid w:val="00B53F20"/>
    <w:rsid w:val="00B53F2F"/>
    <w:rsid w:val="00B53FB1"/>
    <w:rsid w:val="00B53FBE"/>
    <w:rsid w:val="00B54004"/>
    <w:rsid w:val="00B540B2"/>
    <w:rsid w:val="00B540BC"/>
    <w:rsid w:val="00B540D9"/>
    <w:rsid w:val="00B540DB"/>
    <w:rsid w:val="00B54112"/>
    <w:rsid w:val="00B5417E"/>
    <w:rsid w:val="00B5418C"/>
    <w:rsid w:val="00B541BC"/>
    <w:rsid w:val="00B541F5"/>
    <w:rsid w:val="00B54252"/>
    <w:rsid w:val="00B542F6"/>
    <w:rsid w:val="00B5437D"/>
    <w:rsid w:val="00B543C3"/>
    <w:rsid w:val="00B543E4"/>
    <w:rsid w:val="00B54462"/>
    <w:rsid w:val="00B54467"/>
    <w:rsid w:val="00B544A1"/>
    <w:rsid w:val="00B544AE"/>
    <w:rsid w:val="00B544C3"/>
    <w:rsid w:val="00B544D3"/>
    <w:rsid w:val="00B54540"/>
    <w:rsid w:val="00B5455D"/>
    <w:rsid w:val="00B545B0"/>
    <w:rsid w:val="00B54603"/>
    <w:rsid w:val="00B54699"/>
    <w:rsid w:val="00B546A3"/>
    <w:rsid w:val="00B546FC"/>
    <w:rsid w:val="00B5474D"/>
    <w:rsid w:val="00B54799"/>
    <w:rsid w:val="00B5482E"/>
    <w:rsid w:val="00B54843"/>
    <w:rsid w:val="00B54884"/>
    <w:rsid w:val="00B5488D"/>
    <w:rsid w:val="00B54A07"/>
    <w:rsid w:val="00B54A0A"/>
    <w:rsid w:val="00B54A1B"/>
    <w:rsid w:val="00B54A3A"/>
    <w:rsid w:val="00B54A64"/>
    <w:rsid w:val="00B54B35"/>
    <w:rsid w:val="00B54B72"/>
    <w:rsid w:val="00B54BDA"/>
    <w:rsid w:val="00B54C56"/>
    <w:rsid w:val="00B54C6D"/>
    <w:rsid w:val="00B54CA9"/>
    <w:rsid w:val="00B54CAE"/>
    <w:rsid w:val="00B54CD2"/>
    <w:rsid w:val="00B54CEB"/>
    <w:rsid w:val="00B54D0A"/>
    <w:rsid w:val="00B54D5C"/>
    <w:rsid w:val="00B54DA5"/>
    <w:rsid w:val="00B54DAA"/>
    <w:rsid w:val="00B54DE6"/>
    <w:rsid w:val="00B54E71"/>
    <w:rsid w:val="00B54EDD"/>
    <w:rsid w:val="00B54F4F"/>
    <w:rsid w:val="00B54F61"/>
    <w:rsid w:val="00B54F6D"/>
    <w:rsid w:val="00B54FE2"/>
    <w:rsid w:val="00B54FFC"/>
    <w:rsid w:val="00B55113"/>
    <w:rsid w:val="00B55194"/>
    <w:rsid w:val="00B55229"/>
    <w:rsid w:val="00B55268"/>
    <w:rsid w:val="00B552AF"/>
    <w:rsid w:val="00B552B8"/>
    <w:rsid w:val="00B55307"/>
    <w:rsid w:val="00B55420"/>
    <w:rsid w:val="00B5542D"/>
    <w:rsid w:val="00B5544E"/>
    <w:rsid w:val="00B5546A"/>
    <w:rsid w:val="00B55491"/>
    <w:rsid w:val="00B554C1"/>
    <w:rsid w:val="00B554E6"/>
    <w:rsid w:val="00B554EB"/>
    <w:rsid w:val="00B55528"/>
    <w:rsid w:val="00B55561"/>
    <w:rsid w:val="00B55570"/>
    <w:rsid w:val="00B55576"/>
    <w:rsid w:val="00B5558D"/>
    <w:rsid w:val="00B555A6"/>
    <w:rsid w:val="00B55625"/>
    <w:rsid w:val="00B5568B"/>
    <w:rsid w:val="00B5568C"/>
    <w:rsid w:val="00B556A3"/>
    <w:rsid w:val="00B556B1"/>
    <w:rsid w:val="00B556E2"/>
    <w:rsid w:val="00B55746"/>
    <w:rsid w:val="00B557CB"/>
    <w:rsid w:val="00B557D2"/>
    <w:rsid w:val="00B557F1"/>
    <w:rsid w:val="00B55823"/>
    <w:rsid w:val="00B55893"/>
    <w:rsid w:val="00B558AA"/>
    <w:rsid w:val="00B55923"/>
    <w:rsid w:val="00B559A0"/>
    <w:rsid w:val="00B559C1"/>
    <w:rsid w:val="00B55AC8"/>
    <w:rsid w:val="00B55B04"/>
    <w:rsid w:val="00B55B2A"/>
    <w:rsid w:val="00B55B40"/>
    <w:rsid w:val="00B55BBE"/>
    <w:rsid w:val="00B55CA2"/>
    <w:rsid w:val="00B55CCA"/>
    <w:rsid w:val="00B55CCF"/>
    <w:rsid w:val="00B55CFE"/>
    <w:rsid w:val="00B55D2A"/>
    <w:rsid w:val="00B55D48"/>
    <w:rsid w:val="00B55E32"/>
    <w:rsid w:val="00B55E3E"/>
    <w:rsid w:val="00B55EC3"/>
    <w:rsid w:val="00B55F0F"/>
    <w:rsid w:val="00B55F21"/>
    <w:rsid w:val="00B55F4A"/>
    <w:rsid w:val="00B55F8A"/>
    <w:rsid w:val="00B55FA2"/>
    <w:rsid w:val="00B55FAB"/>
    <w:rsid w:val="00B55FB3"/>
    <w:rsid w:val="00B55FB9"/>
    <w:rsid w:val="00B56009"/>
    <w:rsid w:val="00B56017"/>
    <w:rsid w:val="00B5606A"/>
    <w:rsid w:val="00B560D2"/>
    <w:rsid w:val="00B5610D"/>
    <w:rsid w:val="00B5611E"/>
    <w:rsid w:val="00B56148"/>
    <w:rsid w:val="00B561C4"/>
    <w:rsid w:val="00B5621E"/>
    <w:rsid w:val="00B5623D"/>
    <w:rsid w:val="00B56253"/>
    <w:rsid w:val="00B562B2"/>
    <w:rsid w:val="00B563A8"/>
    <w:rsid w:val="00B563D7"/>
    <w:rsid w:val="00B56423"/>
    <w:rsid w:val="00B56530"/>
    <w:rsid w:val="00B56550"/>
    <w:rsid w:val="00B5656C"/>
    <w:rsid w:val="00B56580"/>
    <w:rsid w:val="00B565AF"/>
    <w:rsid w:val="00B56658"/>
    <w:rsid w:val="00B5667D"/>
    <w:rsid w:val="00B5675A"/>
    <w:rsid w:val="00B567CE"/>
    <w:rsid w:val="00B567DC"/>
    <w:rsid w:val="00B567E0"/>
    <w:rsid w:val="00B567E4"/>
    <w:rsid w:val="00B56804"/>
    <w:rsid w:val="00B56835"/>
    <w:rsid w:val="00B56895"/>
    <w:rsid w:val="00B568C6"/>
    <w:rsid w:val="00B568FE"/>
    <w:rsid w:val="00B56906"/>
    <w:rsid w:val="00B5696F"/>
    <w:rsid w:val="00B5699A"/>
    <w:rsid w:val="00B569D4"/>
    <w:rsid w:val="00B56A1C"/>
    <w:rsid w:val="00B56B30"/>
    <w:rsid w:val="00B56B52"/>
    <w:rsid w:val="00B56B68"/>
    <w:rsid w:val="00B56BBE"/>
    <w:rsid w:val="00B56BE2"/>
    <w:rsid w:val="00B56BF0"/>
    <w:rsid w:val="00B56BF7"/>
    <w:rsid w:val="00B56C09"/>
    <w:rsid w:val="00B56C9B"/>
    <w:rsid w:val="00B56CF0"/>
    <w:rsid w:val="00B56D81"/>
    <w:rsid w:val="00B56D8A"/>
    <w:rsid w:val="00B56DB4"/>
    <w:rsid w:val="00B56E2D"/>
    <w:rsid w:val="00B56E55"/>
    <w:rsid w:val="00B56EB8"/>
    <w:rsid w:val="00B56EDF"/>
    <w:rsid w:val="00B56F0D"/>
    <w:rsid w:val="00B56FE0"/>
    <w:rsid w:val="00B56FE6"/>
    <w:rsid w:val="00B57041"/>
    <w:rsid w:val="00B57128"/>
    <w:rsid w:val="00B57163"/>
    <w:rsid w:val="00B57190"/>
    <w:rsid w:val="00B5722A"/>
    <w:rsid w:val="00B5724C"/>
    <w:rsid w:val="00B5732B"/>
    <w:rsid w:val="00B57334"/>
    <w:rsid w:val="00B573AB"/>
    <w:rsid w:val="00B57431"/>
    <w:rsid w:val="00B57450"/>
    <w:rsid w:val="00B574C4"/>
    <w:rsid w:val="00B574D9"/>
    <w:rsid w:val="00B57572"/>
    <w:rsid w:val="00B5759F"/>
    <w:rsid w:val="00B575D3"/>
    <w:rsid w:val="00B576F3"/>
    <w:rsid w:val="00B577A9"/>
    <w:rsid w:val="00B57850"/>
    <w:rsid w:val="00B5786A"/>
    <w:rsid w:val="00B57893"/>
    <w:rsid w:val="00B578B5"/>
    <w:rsid w:val="00B5790A"/>
    <w:rsid w:val="00B579A7"/>
    <w:rsid w:val="00B579D3"/>
    <w:rsid w:val="00B57A5C"/>
    <w:rsid w:val="00B57A70"/>
    <w:rsid w:val="00B57AC9"/>
    <w:rsid w:val="00B57AE0"/>
    <w:rsid w:val="00B57B49"/>
    <w:rsid w:val="00B57B6B"/>
    <w:rsid w:val="00B57BDC"/>
    <w:rsid w:val="00B57BF8"/>
    <w:rsid w:val="00B57C0F"/>
    <w:rsid w:val="00B57C21"/>
    <w:rsid w:val="00B57C34"/>
    <w:rsid w:val="00B57C35"/>
    <w:rsid w:val="00B57C45"/>
    <w:rsid w:val="00B57C4D"/>
    <w:rsid w:val="00B57C6C"/>
    <w:rsid w:val="00B57CFC"/>
    <w:rsid w:val="00B57D0F"/>
    <w:rsid w:val="00B57D22"/>
    <w:rsid w:val="00B57DAC"/>
    <w:rsid w:val="00B57E1C"/>
    <w:rsid w:val="00B57E63"/>
    <w:rsid w:val="00B57E94"/>
    <w:rsid w:val="00B57EAF"/>
    <w:rsid w:val="00B57EFF"/>
    <w:rsid w:val="00B57FD6"/>
    <w:rsid w:val="00B57FDC"/>
    <w:rsid w:val="00B57FE6"/>
    <w:rsid w:val="00B60050"/>
    <w:rsid w:val="00B60055"/>
    <w:rsid w:val="00B6006B"/>
    <w:rsid w:val="00B60164"/>
    <w:rsid w:val="00B6017E"/>
    <w:rsid w:val="00B6018D"/>
    <w:rsid w:val="00B60190"/>
    <w:rsid w:val="00B6019A"/>
    <w:rsid w:val="00B601FD"/>
    <w:rsid w:val="00B6029C"/>
    <w:rsid w:val="00B602BC"/>
    <w:rsid w:val="00B602F3"/>
    <w:rsid w:val="00B602F5"/>
    <w:rsid w:val="00B60315"/>
    <w:rsid w:val="00B60317"/>
    <w:rsid w:val="00B6033E"/>
    <w:rsid w:val="00B60348"/>
    <w:rsid w:val="00B60396"/>
    <w:rsid w:val="00B603A9"/>
    <w:rsid w:val="00B60471"/>
    <w:rsid w:val="00B604B3"/>
    <w:rsid w:val="00B604CE"/>
    <w:rsid w:val="00B604F7"/>
    <w:rsid w:val="00B60514"/>
    <w:rsid w:val="00B60541"/>
    <w:rsid w:val="00B6057B"/>
    <w:rsid w:val="00B605FA"/>
    <w:rsid w:val="00B6060B"/>
    <w:rsid w:val="00B60611"/>
    <w:rsid w:val="00B60636"/>
    <w:rsid w:val="00B6066F"/>
    <w:rsid w:val="00B6068A"/>
    <w:rsid w:val="00B606A0"/>
    <w:rsid w:val="00B606E4"/>
    <w:rsid w:val="00B606F3"/>
    <w:rsid w:val="00B60702"/>
    <w:rsid w:val="00B6071A"/>
    <w:rsid w:val="00B60756"/>
    <w:rsid w:val="00B60769"/>
    <w:rsid w:val="00B6087E"/>
    <w:rsid w:val="00B608EC"/>
    <w:rsid w:val="00B6097B"/>
    <w:rsid w:val="00B60985"/>
    <w:rsid w:val="00B609DC"/>
    <w:rsid w:val="00B609F9"/>
    <w:rsid w:val="00B60A66"/>
    <w:rsid w:val="00B60A6F"/>
    <w:rsid w:val="00B60A71"/>
    <w:rsid w:val="00B60ABF"/>
    <w:rsid w:val="00B60ADB"/>
    <w:rsid w:val="00B60AF4"/>
    <w:rsid w:val="00B60B06"/>
    <w:rsid w:val="00B60B1F"/>
    <w:rsid w:val="00B60B58"/>
    <w:rsid w:val="00B60B73"/>
    <w:rsid w:val="00B60BC0"/>
    <w:rsid w:val="00B60C37"/>
    <w:rsid w:val="00B60CFE"/>
    <w:rsid w:val="00B60D4E"/>
    <w:rsid w:val="00B60D72"/>
    <w:rsid w:val="00B60D76"/>
    <w:rsid w:val="00B60E14"/>
    <w:rsid w:val="00B60E3E"/>
    <w:rsid w:val="00B60EDB"/>
    <w:rsid w:val="00B60F2B"/>
    <w:rsid w:val="00B60FAA"/>
    <w:rsid w:val="00B60FC9"/>
    <w:rsid w:val="00B60FD5"/>
    <w:rsid w:val="00B61011"/>
    <w:rsid w:val="00B61054"/>
    <w:rsid w:val="00B61184"/>
    <w:rsid w:val="00B6118A"/>
    <w:rsid w:val="00B611C4"/>
    <w:rsid w:val="00B61265"/>
    <w:rsid w:val="00B61269"/>
    <w:rsid w:val="00B6129F"/>
    <w:rsid w:val="00B612D7"/>
    <w:rsid w:val="00B612E9"/>
    <w:rsid w:val="00B6132E"/>
    <w:rsid w:val="00B61340"/>
    <w:rsid w:val="00B6140E"/>
    <w:rsid w:val="00B6141E"/>
    <w:rsid w:val="00B614A7"/>
    <w:rsid w:val="00B61586"/>
    <w:rsid w:val="00B61692"/>
    <w:rsid w:val="00B616A5"/>
    <w:rsid w:val="00B616CB"/>
    <w:rsid w:val="00B616E8"/>
    <w:rsid w:val="00B61727"/>
    <w:rsid w:val="00B6174C"/>
    <w:rsid w:val="00B61856"/>
    <w:rsid w:val="00B61870"/>
    <w:rsid w:val="00B618B8"/>
    <w:rsid w:val="00B61907"/>
    <w:rsid w:val="00B619F4"/>
    <w:rsid w:val="00B61A1D"/>
    <w:rsid w:val="00B61A4B"/>
    <w:rsid w:val="00B61A69"/>
    <w:rsid w:val="00B61AA7"/>
    <w:rsid w:val="00B61AA9"/>
    <w:rsid w:val="00B61AAE"/>
    <w:rsid w:val="00B61AE4"/>
    <w:rsid w:val="00B61B7D"/>
    <w:rsid w:val="00B61BC1"/>
    <w:rsid w:val="00B61BC4"/>
    <w:rsid w:val="00B61BE5"/>
    <w:rsid w:val="00B61DBB"/>
    <w:rsid w:val="00B61EA1"/>
    <w:rsid w:val="00B61F16"/>
    <w:rsid w:val="00B61F29"/>
    <w:rsid w:val="00B61F43"/>
    <w:rsid w:val="00B6200D"/>
    <w:rsid w:val="00B62015"/>
    <w:rsid w:val="00B62030"/>
    <w:rsid w:val="00B62089"/>
    <w:rsid w:val="00B6212C"/>
    <w:rsid w:val="00B62179"/>
    <w:rsid w:val="00B62196"/>
    <w:rsid w:val="00B621AD"/>
    <w:rsid w:val="00B621DD"/>
    <w:rsid w:val="00B621DE"/>
    <w:rsid w:val="00B62226"/>
    <w:rsid w:val="00B62326"/>
    <w:rsid w:val="00B62330"/>
    <w:rsid w:val="00B62350"/>
    <w:rsid w:val="00B62366"/>
    <w:rsid w:val="00B62376"/>
    <w:rsid w:val="00B62390"/>
    <w:rsid w:val="00B623B9"/>
    <w:rsid w:val="00B624E9"/>
    <w:rsid w:val="00B62521"/>
    <w:rsid w:val="00B6252A"/>
    <w:rsid w:val="00B6263C"/>
    <w:rsid w:val="00B62778"/>
    <w:rsid w:val="00B62890"/>
    <w:rsid w:val="00B628D7"/>
    <w:rsid w:val="00B628EF"/>
    <w:rsid w:val="00B6296F"/>
    <w:rsid w:val="00B629E8"/>
    <w:rsid w:val="00B62A93"/>
    <w:rsid w:val="00B62A96"/>
    <w:rsid w:val="00B62ADD"/>
    <w:rsid w:val="00B62AE9"/>
    <w:rsid w:val="00B62B29"/>
    <w:rsid w:val="00B62BB6"/>
    <w:rsid w:val="00B62C68"/>
    <w:rsid w:val="00B62C72"/>
    <w:rsid w:val="00B62CA1"/>
    <w:rsid w:val="00B62D14"/>
    <w:rsid w:val="00B62D3A"/>
    <w:rsid w:val="00B62D53"/>
    <w:rsid w:val="00B62D81"/>
    <w:rsid w:val="00B62DBB"/>
    <w:rsid w:val="00B62DCD"/>
    <w:rsid w:val="00B62E06"/>
    <w:rsid w:val="00B62E10"/>
    <w:rsid w:val="00B62ECE"/>
    <w:rsid w:val="00B62EE2"/>
    <w:rsid w:val="00B62FC4"/>
    <w:rsid w:val="00B62FE5"/>
    <w:rsid w:val="00B63031"/>
    <w:rsid w:val="00B630A4"/>
    <w:rsid w:val="00B630EF"/>
    <w:rsid w:val="00B6310E"/>
    <w:rsid w:val="00B63184"/>
    <w:rsid w:val="00B631AD"/>
    <w:rsid w:val="00B631C3"/>
    <w:rsid w:val="00B63251"/>
    <w:rsid w:val="00B63287"/>
    <w:rsid w:val="00B63295"/>
    <w:rsid w:val="00B632D0"/>
    <w:rsid w:val="00B63343"/>
    <w:rsid w:val="00B6336D"/>
    <w:rsid w:val="00B63370"/>
    <w:rsid w:val="00B633AE"/>
    <w:rsid w:val="00B6346A"/>
    <w:rsid w:val="00B63496"/>
    <w:rsid w:val="00B634D1"/>
    <w:rsid w:val="00B6358E"/>
    <w:rsid w:val="00B63605"/>
    <w:rsid w:val="00B6360B"/>
    <w:rsid w:val="00B63638"/>
    <w:rsid w:val="00B63645"/>
    <w:rsid w:val="00B636CB"/>
    <w:rsid w:val="00B636CD"/>
    <w:rsid w:val="00B636F3"/>
    <w:rsid w:val="00B6371A"/>
    <w:rsid w:val="00B63726"/>
    <w:rsid w:val="00B6372E"/>
    <w:rsid w:val="00B63758"/>
    <w:rsid w:val="00B637E1"/>
    <w:rsid w:val="00B637EF"/>
    <w:rsid w:val="00B638CF"/>
    <w:rsid w:val="00B6391B"/>
    <w:rsid w:val="00B63966"/>
    <w:rsid w:val="00B6396A"/>
    <w:rsid w:val="00B63986"/>
    <w:rsid w:val="00B63A27"/>
    <w:rsid w:val="00B63A85"/>
    <w:rsid w:val="00B63AC7"/>
    <w:rsid w:val="00B63AF6"/>
    <w:rsid w:val="00B63B07"/>
    <w:rsid w:val="00B63B6A"/>
    <w:rsid w:val="00B63B8D"/>
    <w:rsid w:val="00B63C16"/>
    <w:rsid w:val="00B63C5F"/>
    <w:rsid w:val="00B63C99"/>
    <w:rsid w:val="00B63CBF"/>
    <w:rsid w:val="00B63CFA"/>
    <w:rsid w:val="00B63D1F"/>
    <w:rsid w:val="00B63D31"/>
    <w:rsid w:val="00B63D54"/>
    <w:rsid w:val="00B63D95"/>
    <w:rsid w:val="00B63DBE"/>
    <w:rsid w:val="00B63E11"/>
    <w:rsid w:val="00B63EB2"/>
    <w:rsid w:val="00B63EBA"/>
    <w:rsid w:val="00B63F65"/>
    <w:rsid w:val="00B63F76"/>
    <w:rsid w:val="00B63FA6"/>
    <w:rsid w:val="00B63FF8"/>
    <w:rsid w:val="00B64013"/>
    <w:rsid w:val="00B640B8"/>
    <w:rsid w:val="00B64126"/>
    <w:rsid w:val="00B641BB"/>
    <w:rsid w:val="00B641C3"/>
    <w:rsid w:val="00B641DB"/>
    <w:rsid w:val="00B641F7"/>
    <w:rsid w:val="00B6421A"/>
    <w:rsid w:val="00B6424D"/>
    <w:rsid w:val="00B64261"/>
    <w:rsid w:val="00B6429B"/>
    <w:rsid w:val="00B6429C"/>
    <w:rsid w:val="00B642E7"/>
    <w:rsid w:val="00B6432D"/>
    <w:rsid w:val="00B64364"/>
    <w:rsid w:val="00B643E0"/>
    <w:rsid w:val="00B643F5"/>
    <w:rsid w:val="00B6440A"/>
    <w:rsid w:val="00B6449A"/>
    <w:rsid w:val="00B644DC"/>
    <w:rsid w:val="00B64556"/>
    <w:rsid w:val="00B64557"/>
    <w:rsid w:val="00B64574"/>
    <w:rsid w:val="00B6458A"/>
    <w:rsid w:val="00B645DC"/>
    <w:rsid w:val="00B64633"/>
    <w:rsid w:val="00B6464B"/>
    <w:rsid w:val="00B646ED"/>
    <w:rsid w:val="00B646F8"/>
    <w:rsid w:val="00B6473E"/>
    <w:rsid w:val="00B6481C"/>
    <w:rsid w:val="00B648C2"/>
    <w:rsid w:val="00B64937"/>
    <w:rsid w:val="00B64955"/>
    <w:rsid w:val="00B64981"/>
    <w:rsid w:val="00B64A26"/>
    <w:rsid w:val="00B64A8E"/>
    <w:rsid w:val="00B64ACA"/>
    <w:rsid w:val="00B64B27"/>
    <w:rsid w:val="00B64B4E"/>
    <w:rsid w:val="00B64B8A"/>
    <w:rsid w:val="00B64B91"/>
    <w:rsid w:val="00B64BA5"/>
    <w:rsid w:val="00B64BB4"/>
    <w:rsid w:val="00B64BC7"/>
    <w:rsid w:val="00B64BD3"/>
    <w:rsid w:val="00B64C22"/>
    <w:rsid w:val="00B64C52"/>
    <w:rsid w:val="00B64CB6"/>
    <w:rsid w:val="00B64CC1"/>
    <w:rsid w:val="00B64D20"/>
    <w:rsid w:val="00B64D21"/>
    <w:rsid w:val="00B64D43"/>
    <w:rsid w:val="00B64D7E"/>
    <w:rsid w:val="00B64DA6"/>
    <w:rsid w:val="00B64E1A"/>
    <w:rsid w:val="00B64E30"/>
    <w:rsid w:val="00B64E4A"/>
    <w:rsid w:val="00B64E5F"/>
    <w:rsid w:val="00B64E61"/>
    <w:rsid w:val="00B64E9D"/>
    <w:rsid w:val="00B64EC1"/>
    <w:rsid w:val="00B64EE7"/>
    <w:rsid w:val="00B64F43"/>
    <w:rsid w:val="00B64F5E"/>
    <w:rsid w:val="00B64F72"/>
    <w:rsid w:val="00B64FB5"/>
    <w:rsid w:val="00B64FF9"/>
    <w:rsid w:val="00B6501F"/>
    <w:rsid w:val="00B65020"/>
    <w:rsid w:val="00B65037"/>
    <w:rsid w:val="00B6504A"/>
    <w:rsid w:val="00B6505B"/>
    <w:rsid w:val="00B650C4"/>
    <w:rsid w:val="00B650E4"/>
    <w:rsid w:val="00B6514B"/>
    <w:rsid w:val="00B651F2"/>
    <w:rsid w:val="00B65224"/>
    <w:rsid w:val="00B65240"/>
    <w:rsid w:val="00B65247"/>
    <w:rsid w:val="00B65347"/>
    <w:rsid w:val="00B653DE"/>
    <w:rsid w:val="00B65450"/>
    <w:rsid w:val="00B65463"/>
    <w:rsid w:val="00B6546C"/>
    <w:rsid w:val="00B65471"/>
    <w:rsid w:val="00B654B6"/>
    <w:rsid w:val="00B655A8"/>
    <w:rsid w:val="00B655C0"/>
    <w:rsid w:val="00B655D9"/>
    <w:rsid w:val="00B655F1"/>
    <w:rsid w:val="00B65600"/>
    <w:rsid w:val="00B65615"/>
    <w:rsid w:val="00B656B4"/>
    <w:rsid w:val="00B65701"/>
    <w:rsid w:val="00B65762"/>
    <w:rsid w:val="00B657A3"/>
    <w:rsid w:val="00B65835"/>
    <w:rsid w:val="00B65889"/>
    <w:rsid w:val="00B658A4"/>
    <w:rsid w:val="00B65948"/>
    <w:rsid w:val="00B659F4"/>
    <w:rsid w:val="00B65A4C"/>
    <w:rsid w:val="00B65ABB"/>
    <w:rsid w:val="00B65AEA"/>
    <w:rsid w:val="00B65B3C"/>
    <w:rsid w:val="00B65C04"/>
    <w:rsid w:val="00B65C2E"/>
    <w:rsid w:val="00B65CB1"/>
    <w:rsid w:val="00B65CC6"/>
    <w:rsid w:val="00B65D02"/>
    <w:rsid w:val="00B65D09"/>
    <w:rsid w:val="00B65D27"/>
    <w:rsid w:val="00B65D47"/>
    <w:rsid w:val="00B65D4D"/>
    <w:rsid w:val="00B65DB6"/>
    <w:rsid w:val="00B65DE1"/>
    <w:rsid w:val="00B65DEE"/>
    <w:rsid w:val="00B65DF8"/>
    <w:rsid w:val="00B65E24"/>
    <w:rsid w:val="00B65EAA"/>
    <w:rsid w:val="00B65EB7"/>
    <w:rsid w:val="00B65EEA"/>
    <w:rsid w:val="00B65EEC"/>
    <w:rsid w:val="00B65F2E"/>
    <w:rsid w:val="00B65F96"/>
    <w:rsid w:val="00B65FD4"/>
    <w:rsid w:val="00B6601A"/>
    <w:rsid w:val="00B6603D"/>
    <w:rsid w:val="00B660F7"/>
    <w:rsid w:val="00B660FC"/>
    <w:rsid w:val="00B66104"/>
    <w:rsid w:val="00B66139"/>
    <w:rsid w:val="00B6613A"/>
    <w:rsid w:val="00B66159"/>
    <w:rsid w:val="00B661B8"/>
    <w:rsid w:val="00B6621E"/>
    <w:rsid w:val="00B66250"/>
    <w:rsid w:val="00B6632C"/>
    <w:rsid w:val="00B663A8"/>
    <w:rsid w:val="00B66431"/>
    <w:rsid w:val="00B6644C"/>
    <w:rsid w:val="00B6647A"/>
    <w:rsid w:val="00B66497"/>
    <w:rsid w:val="00B665A0"/>
    <w:rsid w:val="00B665DD"/>
    <w:rsid w:val="00B6662A"/>
    <w:rsid w:val="00B66699"/>
    <w:rsid w:val="00B666A2"/>
    <w:rsid w:val="00B666E4"/>
    <w:rsid w:val="00B66883"/>
    <w:rsid w:val="00B668A7"/>
    <w:rsid w:val="00B668A8"/>
    <w:rsid w:val="00B668B3"/>
    <w:rsid w:val="00B668C7"/>
    <w:rsid w:val="00B6690D"/>
    <w:rsid w:val="00B6694F"/>
    <w:rsid w:val="00B66951"/>
    <w:rsid w:val="00B669C9"/>
    <w:rsid w:val="00B669FC"/>
    <w:rsid w:val="00B66A3E"/>
    <w:rsid w:val="00B66AAC"/>
    <w:rsid w:val="00B66ABC"/>
    <w:rsid w:val="00B66AD4"/>
    <w:rsid w:val="00B66B8F"/>
    <w:rsid w:val="00B66BE0"/>
    <w:rsid w:val="00B66D01"/>
    <w:rsid w:val="00B66E29"/>
    <w:rsid w:val="00B66E84"/>
    <w:rsid w:val="00B66FD3"/>
    <w:rsid w:val="00B6705E"/>
    <w:rsid w:val="00B6705F"/>
    <w:rsid w:val="00B67066"/>
    <w:rsid w:val="00B6707C"/>
    <w:rsid w:val="00B670DD"/>
    <w:rsid w:val="00B67211"/>
    <w:rsid w:val="00B67243"/>
    <w:rsid w:val="00B6725B"/>
    <w:rsid w:val="00B672B7"/>
    <w:rsid w:val="00B6734A"/>
    <w:rsid w:val="00B6734C"/>
    <w:rsid w:val="00B67361"/>
    <w:rsid w:val="00B6736D"/>
    <w:rsid w:val="00B67372"/>
    <w:rsid w:val="00B6740D"/>
    <w:rsid w:val="00B67434"/>
    <w:rsid w:val="00B6745A"/>
    <w:rsid w:val="00B67470"/>
    <w:rsid w:val="00B67476"/>
    <w:rsid w:val="00B674DC"/>
    <w:rsid w:val="00B674FD"/>
    <w:rsid w:val="00B67524"/>
    <w:rsid w:val="00B6752A"/>
    <w:rsid w:val="00B67588"/>
    <w:rsid w:val="00B675A0"/>
    <w:rsid w:val="00B675C0"/>
    <w:rsid w:val="00B675C5"/>
    <w:rsid w:val="00B67619"/>
    <w:rsid w:val="00B6761C"/>
    <w:rsid w:val="00B67699"/>
    <w:rsid w:val="00B676D8"/>
    <w:rsid w:val="00B67716"/>
    <w:rsid w:val="00B67775"/>
    <w:rsid w:val="00B677B6"/>
    <w:rsid w:val="00B677D4"/>
    <w:rsid w:val="00B677EC"/>
    <w:rsid w:val="00B6785E"/>
    <w:rsid w:val="00B6786C"/>
    <w:rsid w:val="00B678A6"/>
    <w:rsid w:val="00B678C8"/>
    <w:rsid w:val="00B678CC"/>
    <w:rsid w:val="00B678EE"/>
    <w:rsid w:val="00B6791B"/>
    <w:rsid w:val="00B67942"/>
    <w:rsid w:val="00B67976"/>
    <w:rsid w:val="00B6797E"/>
    <w:rsid w:val="00B6798E"/>
    <w:rsid w:val="00B679F1"/>
    <w:rsid w:val="00B67A48"/>
    <w:rsid w:val="00B67A5F"/>
    <w:rsid w:val="00B67AA7"/>
    <w:rsid w:val="00B67ABA"/>
    <w:rsid w:val="00B67B52"/>
    <w:rsid w:val="00B67B70"/>
    <w:rsid w:val="00B67BAF"/>
    <w:rsid w:val="00B67BE8"/>
    <w:rsid w:val="00B67BFE"/>
    <w:rsid w:val="00B67C40"/>
    <w:rsid w:val="00B67C54"/>
    <w:rsid w:val="00B67C7D"/>
    <w:rsid w:val="00B67CFB"/>
    <w:rsid w:val="00B67D30"/>
    <w:rsid w:val="00B67D44"/>
    <w:rsid w:val="00B67D8D"/>
    <w:rsid w:val="00B67DB1"/>
    <w:rsid w:val="00B67DB9"/>
    <w:rsid w:val="00B67E04"/>
    <w:rsid w:val="00B67E12"/>
    <w:rsid w:val="00B67E42"/>
    <w:rsid w:val="00B67E92"/>
    <w:rsid w:val="00B67EA2"/>
    <w:rsid w:val="00B67F4D"/>
    <w:rsid w:val="00B67FC0"/>
    <w:rsid w:val="00B67FF1"/>
    <w:rsid w:val="00B70020"/>
    <w:rsid w:val="00B70082"/>
    <w:rsid w:val="00B70096"/>
    <w:rsid w:val="00B700CB"/>
    <w:rsid w:val="00B701AE"/>
    <w:rsid w:val="00B701C2"/>
    <w:rsid w:val="00B701DD"/>
    <w:rsid w:val="00B701EB"/>
    <w:rsid w:val="00B7022F"/>
    <w:rsid w:val="00B70247"/>
    <w:rsid w:val="00B702A1"/>
    <w:rsid w:val="00B702DD"/>
    <w:rsid w:val="00B70338"/>
    <w:rsid w:val="00B7037F"/>
    <w:rsid w:val="00B70460"/>
    <w:rsid w:val="00B70470"/>
    <w:rsid w:val="00B7049A"/>
    <w:rsid w:val="00B704D8"/>
    <w:rsid w:val="00B7055D"/>
    <w:rsid w:val="00B70598"/>
    <w:rsid w:val="00B705AD"/>
    <w:rsid w:val="00B70638"/>
    <w:rsid w:val="00B7064B"/>
    <w:rsid w:val="00B7066D"/>
    <w:rsid w:val="00B706CC"/>
    <w:rsid w:val="00B70777"/>
    <w:rsid w:val="00B7077F"/>
    <w:rsid w:val="00B707D6"/>
    <w:rsid w:val="00B7080C"/>
    <w:rsid w:val="00B708F3"/>
    <w:rsid w:val="00B7098E"/>
    <w:rsid w:val="00B709D1"/>
    <w:rsid w:val="00B709D4"/>
    <w:rsid w:val="00B709E9"/>
    <w:rsid w:val="00B70A5B"/>
    <w:rsid w:val="00B70A5C"/>
    <w:rsid w:val="00B70A8C"/>
    <w:rsid w:val="00B70ACE"/>
    <w:rsid w:val="00B70B63"/>
    <w:rsid w:val="00B70B73"/>
    <w:rsid w:val="00B70B8A"/>
    <w:rsid w:val="00B70B93"/>
    <w:rsid w:val="00B70BF6"/>
    <w:rsid w:val="00B70C20"/>
    <w:rsid w:val="00B70C29"/>
    <w:rsid w:val="00B70C35"/>
    <w:rsid w:val="00B70C36"/>
    <w:rsid w:val="00B70C77"/>
    <w:rsid w:val="00B70CAD"/>
    <w:rsid w:val="00B70D31"/>
    <w:rsid w:val="00B70DB2"/>
    <w:rsid w:val="00B70DC0"/>
    <w:rsid w:val="00B70E08"/>
    <w:rsid w:val="00B70E7D"/>
    <w:rsid w:val="00B70E84"/>
    <w:rsid w:val="00B70E95"/>
    <w:rsid w:val="00B70F4D"/>
    <w:rsid w:val="00B70F77"/>
    <w:rsid w:val="00B71084"/>
    <w:rsid w:val="00B710B0"/>
    <w:rsid w:val="00B71160"/>
    <w:rsid w:val="00B71167"/>
    <w:rsid w:val="00B711B5"/>
    <w:rsid w:val="00B71239"/>
    <w:rsid w:val="00B7126A"/>
    <w:rsid w:val="00B71388"/>
    <w:rsid w:val="00B713C5"/>
    <w:rsid w:val="00B713EA"/>
    <w:rsid w:val="00B713EB"/>
    <w:rsid w:val="00B71411"/>
    <w:rsid w:val="00B7145C"/>
    <w:rsid w:val="00B714EE"/>
    <w:rsid w:val="00B71516"/>
    <w:rsid w:val="00B715A5"/>
    <w:rsid w:val="00B71625"/>
    <w:rsid w:val="00B71665"/>
    <w:rsid w:val="00B71684"/>
    <w:rsid w:val="00B716A1"/>
    <w:rsid w:val="00B716AE"/>
    <w:rsid w:val="00B71704"/>
    <w:rsid w:val="00B71738"/>
    <w:rsid w:val="00B717D7"/>
    <w:rsid w:val="00B717E4"/>
    <w:rsid w:val="00B7180B"/>
    <w:rsid w:val="00B71829"/>
    <w:rsid w:val="00B71837"/>
    <w:rsid w:val="00B71902"/>
    <w:rsid w:val="00B71A30"/>
    <w:rsid w:val="00B71A3C"/>
    <w:rsid w:val="00B71AA3"/>
    <w:rsid w:val="00B71AFA"/>
    <w:rsid w:val="00B71BD1"/>
    <w:rsid w:val="00B71BE0"/>
    <w:rsid w:val="00B71C14"/>
    <w:rsid w:val="00B71D0D"/>
    <w:rsid w:val="00B71D31"/>
    <w:rsid w:val="00B71D8E"/>
    <w:rsid w:val="00B71DD2"/>
    <w:rsid w:val="00B71E0B"/>
    <w:rsid w:val="00B71E10"/>
    <w:rsid w:val="00B71E2A"/>
    <w:rsid w:val="00B71E6C"/>
    <w:rsid w:val="00B71E79"/>
    <w:rsid w:val="00B71E7F"/>
    <w:rsid w:val="00B71E9A"/>
    <w:rsid w:val="00B71F0A"/>
    <w:rsid w:val="00B71F70"/>
    <w:rsid w:val="00B71FE8"/>
    <w:rsid w:val="00B7205A"/>
    <w:rsid w:val="00B72079"/>
    <w:rsid w:val="00B72082"/>
    <w:rsid w:val="00B720E3"/>
    <w:rsid w:val="00B72120"/>
    <w:rsid w:val="00B72132"/>
    <w:rsid w:val="00B7216B"/>
    <w:rsid w:val="00B721E9"/>
    <w:rsid w:val="00B721EE"/>
    <w:rsid w:val="00B7224A"/>
    <w:rsid w:val="00B7231A"/>
    <w:rsid w:val="00B7231E"/>
    <w:rsid w:val="00B7233A"/>
    <w:rsid w:val="00B72397"/>
    <w:rsid w:val="00B723B1"/>
    <w:rsid w:val="00B72415"/>
    <w:rsid w:val="00B7244A"/>
    <w:rsid w:val="00B724DF"/>
    <w:rsid w:val="00B72570"/>
    <w:rsid w:val="00B72599"/>
    <w:rsid w:val="00B725E4"/>
    <w:rsid w:val="00B7262E"/>
    <w:rsid w:val="00B7263C"/>
    <w:rsid w:val="00B7265D"/>
    <w:rsid w:val="00B7265F"/>
    <w:rsid w:val="00B72681"/>
    <w:rsid w:val="00B726CE"/>
    <w:rsid w:val="00B7275A"/>
    <w:rsid w:val="00B7276A"/>
    <w:rsid w:val="00B727A1"/>
    <w:rsid w:val="00B727A7"/>
    <w:rsid w:val="00B727DA"/>
    <w:rsid w:val="00B7285A"/>
    <w:rsid w:val="00B7289A"/>
    <w:rsid w:val="00B728E1"/>
    <w:rsid w:val="00B72911"/>
    <w:rsid w:val="00B7291D"/>
    <w:rsid w:val="00B7299F"/>
    <w:rsid w:val="00B729D8"/>
    <w:rsid w:val="00B72A5C"/>
    <w:rsid w:val="00B72AAE"/>
    <w:rsid w:val="00B72AB3"/>
    <w:rsid w:val="00B72AF0"/>
    <w:rsid w:val="00B72B22"/>
    <w:rsid w:val="00B72B5A"/>
    <w:rsid w:val="00B72B90"/>
    <w:rsid w:val="00B72BD1"/>
    <w:rsid w:val="00B72BF4"/>
    <w:rsid w:val="00B72BFB"/>
    <w:rsid w:val="00B72CEE"/>
    <w:rsid w:val="00B72D15"/>
    <w:rsid w:val="00B72D8C"/>
    <w:rsid w:val="00B72DC0"/>
    <w:rsid w:val="00B72DDF"/>
    <w:rsid w:val="00B72E0A"/>
    <w:rsid w:val="00B72E18"/>
    <w:rsid w:val="00B72E27"/>
    <w:rsid w:val="00B72E40"/>
    <w:rsid w:val="00B72E5C"/>
    <w:rsid w:val="00B72E64"/>
    <w:rsid w:val="00B72F1F"/>
    <w:rsid w:val="00B72F96"/>
    <w:rsid w:val="00B7300D"/>
    <w:rsid w:val="00B73058"/>
    <w:rsid w:val="00B73060"/>
    <w:rsid w:val="00B7307C"/>
    <w:rsid w:val="00B730A9"/>
    <w:rsid w:val="00B730C7"/>
    <w:rsid w:val="00B730DC"/>
    <w:rsid w:val="00B730EA"/>
    <w:rsid w:val="00B73111"/>
    <w:rsid w:val="00B73179"/>
    <w:rsid w:val="00B7318B"/>
    <w:rsid w:val="00B731D3"/>
    <w:rsid w:val="00B73373"/>
    <w:rsid w:val="00B73383"/>
    <w:rsid w:val="00B73391"/>
    <w:rsid w:val="00B733A0"/>
    <w:rsid w:val="00B733D6"/>
    <w:rsid w:val="00B73490"/>
    <w:rsid w:val="00B734CD"/>
    <w:rsid w:val="00B734E9"/>
    <w:rsid w:val="00B73510"/>
    <w:rsid w:val="00B7351B"/>
    <w:rsid w:val="00B73550"/>
    <w:rsid w:val="00B73589"/>
    <w:rsid w:val="00B735E4"/>
    <w:rsid w:val="00B735FB"/>
    <w:rsid w:val="00B73601"/>
    <w:rsid w:val="00B7361D"/>
    <w:rsid w:val="00B7367E"/>
    <w:rsid w:val="00B73727"/>
    <w:rsid w:val="00B7377C"/>
    <w:rsid w:val="00B7379F"/>
    <w:rsid w:val="00B737E9"/>
    <w:rsid w:val="00B737EB"/>
    <w:rsid w:val="00B7380D"/>
    <w:rsid w:val="00B7386B"/>
    <w:rsid w:val="00B73929"/>
    <w:rsid w:val="00B73945"/>
    <w:rsid w:val="00B739D2"/>
    <w:rsid w:val="00B739E1"/>
    <w:rsid w:val="00B739FD"/>
    <w:rsid w:val="00B73A04"/>
    <w:rsid w:val="00B73A67"/>
    <w:rsid w:val="00B73AB9"/>
    <w:rsid w:val="00B73AF9"/>
    <w:rsid w:val="00B73B40"/>
    <w:rsid w:val="00B73BBB"/>
    <w:rsid w:val="00B73C07"/>
    <w:rsid w:val="00B73C8B"/>
    <w:rsid w:val="00B73CDD"/>
    <w:rsid w:val="00B73D10"/>
    <w:rsid w:val="00B73D2E"/>
    <w:rsid w:val="00B73D35"/>
    <w:rsid w:val="00B73DDF"/>
    <w:rsid w:val="00B73E34"/>
    <w:rsid w:val="00B73E50"/>
    <w:rsid w:val="00B73EEC"/>
    <w:rsid w:val="00B73F11"/>
    <w:rsid w:val="00B73F3B"/>
    <w:rsid w:val="00B73F4A"/>
    <w:rsid w:val="00B73FD2"/>
    <w:rsid w:val="00B74058"/>
    <w:rsid w:val="00B740AC"/>
    <w:rsid w:val="00B740B5"/>
    <w:rsid w:val="00B740C5"/>
    <w:rsid w:val="00B7411A"/>
    <w:rsid w:val="00B7412F"/>
    <w:rsid w:val="00B74144"/>
    <w:rsid w:val="00B741DA"/>
    <w:rsid w:val="00B741E4"/>
    <w:rsid w:val="00B74225"/>
    <w:rsid w:val="00B74279"/>
    <w:rsid w:val="00B74283"/>
    <w:rsid w:val="00B74300"/>
    <w:rsid w:val="00B7430F"/>
    <w:rsid w:val="00B74371"/>
    <w:rsid w:val="00B74399"/>
    <w:rsid w:val="00B743A6"/>
    <w:rsid w:val="00B743CF"/>
    <w:rsid w:val="00B74485"/>
    <w:rsid w:val="00B744A3"/>
    <w:rsid w:val="00B744B9"/>
    <w:rsid w:val="00B744E7"/>
    <w:rsid w:val="00B744F5"/>
    <w:rsid w:val="00B74516"/>
    <w:rsid w:val="00B74525"/>
    <w:rsid w:val="00B7453A"/>
    <w:rsid w:val="00B7453B"/>
    <w:rsid w:val="00B74578"/>
    <w:rsid w:val="00B74601"/>
    <w:rsid w:val="00B7460F"/>
    <w:rsid w:val="00B74697"/>
    <w:rsid w:val="00B746E7"/>
    <w:rsid w:val="00B7472C"/>
    <w:rsid w:val="00B747F2"/>
    <w:rsid w:val="00B74865"/>
    <w:rsid w:val="00B748C3"/>
    <w:rsid w:val="00B74915"/>
    <w:rsid w:val="00B74938"/>
    <w:rsid w:val="00B74977"/>
    <w:rsid w:val="00B749DC"/>
    <w:rsid w:val="00B74AC7"/>
    <w:rsid w:val="00B74ACC"/>
    <w:rsid w:val="00B74AE0"/>
    <w:rsid w:val="00B74AFE"/>
    <w:rsid w:val="00B74B38"/>
    <w:rsid w:val="00B74B41"/>
    <w:rsid w:val="00B74B4B"/>
    <w:rsid w:val="00B74BA1"/>
    <w:rsid w:val="00B74BF3"/>
    <w:rsid w:val="00B74BFF"/>
    <w:rsid w:val="00B74C0B"/>
    <w:rsid w:val="00B74C41"/>
    <w:rsid w:val="00B74C82"/>
    <w:rsid w:val="00B74CB4"/>
    <w:rsid w:val="00B74CCE"/>
    <w:rsid w:val="00B74D14"/>
    <w:rsid w:val="00B74D18"/>
    <w:rsid w:val="00B74D7F"/>
    <w:rsid w:val="00B74E32"/>
    <w:rsid w:val="00B74E62"/>
    <w:rsid w:val="00B74EA6"/>
    <w:rsid w:val="00B74F8E"/>
    <w:rsid w:val="00B74FF5"/>
    <w:rsid w:val="00B75030"/>
    <w:rsid w:val="00B750EC"/>
    <w:rsid w:val="00B75108"/>
    <w:rsid w:val="00B75158"/>
    <w:rsid w:val="00B75196"/>
    <w:rsid w:val="00B751AF"/>
    <w:rsid w:val="00B75248"/>
    <w:rsid w:val="00B75277"/>
    <w:rsid w:val="00B75287"/>
    <w:rsid w:val="00B752E7"/>
    <w:rsid w:val="00B7532C"/>
    <w:rsid w:val="00B75349"/>
    <w:rsid w:val="00B75406"/>
    <w:rsid w:val="00B75441"/>
    <w:rsid w:val="00B7551B"/>
    <w:rsid w:val="00B75569"/>
    <w:rsid w:val="00B755CD"/>
    <w:rsid w:val="00B7561A"/>
    <w:rsid w:val="00B75634"/>
    <w:rsid w:val="00B7564B"/>
    <w:rsid w:val="00B75652"/>
    <w:rsid w:val="00B756FB"/>
    <w:rsid w:val="00B7570C"/>
    <w:rsid w:val="00B75711"/>
    <w:rsid w:val="00B75719"/>
    <w:rsid w:val="00B75725"/>
    <w:rsid w:val="00B75726"/>
    <w:rsid w:val="00B75733"/>
    <w:rsid w:val="00B75746"/>
    <w:rsid w:val="00B75747"/>
    <w:rsid w:val="00B7574C"/>
    <w:rsid w:val="00B757E5"/>
    <w:rsid w:val="00B757EA"/>
    <w:rsid w:val="00B7581F"/>
    <w:rsid w:val="00B75831"/>
    <w:rsid w:val="00B75863"/>
    <w:rsid w:val="00B75883"/>
    <w:rsid w:val="00B758D0"/>
    <w:rsid w:val="00B7597A"/>
    <w:rsid w:val="00B75A4B"/>
    <w:rsid w:val="00B75B72"/>
    <w:rsid w:val="00B75B85"/>
    <w:rsid w:val="00B75B99"/>
    <w:rsid w:val="00B75BCA"/>
    <w:rsid w:val="00B75C02"/>
    <w:rsid w:val="00B75C29"/>
    <w:rsid w:val="00B75C32"/>
    <w:rsid w:val="00B75C4D"/>
    <w:rsid w:val="00B75CC9"/>
    <w:rsid w:val="00B75D02"/>
    <w:rsid w:val="00B75D6E"/>
    <w:rsid w:val="00B75DB5"/>
    <w:rsid w:val="00B75E20"/>
    <w:rsid w:val="00B75E38"/>
    <w:rsid w:val="00B75E88"/>
    <w:rsid w:val="00B75F21"/>
    <w:rsid w:val="00B75F2A"/>
    <w:rsid w:val="00B75F42"/>
    <w:rsid w:val="00B75F57"/>
    <w:rsid w:val="00B75FA3"/>
    <w:rsid w:val="00B75FC4"/>
    <w:rsid w:val="00B75FD9"/>
    <w:rsid w:val="00B760DB"/>
    <w:rsid w:val="00B7610D"/>
    <w:rsid w:val="00B761A7"/>
    <w:rsid w:val="00B761AE"/>
    <w:rsid w:val="00B761B4"/>
    <w:rsid w:val="00B761BB"/>
    <w:rsid w:val="00B761CB"/>
    <w:rsid w:val="00B761F1"/>
    <w:rsid w:val="00B7621A"/>
    <w:rsid w:val="00B76253"/>
    <w:rsid w:val="00B76288"/>
    <w:rsid w:val="00B762EE"/>
    <w:rsid w:val="00B76308"/>
    <w:rsid w:val="00B7632D"/>
    <w:rsid w:val="00B763A2"/>
    <w:rsid w:val="00B7640A"/>
    <w:rsid w:val="00B7645F"/>
    <w:rsid w:val="00B764C4"/>
    <w:rsid w:val="00B76521"/>
    <w:rsid w:val="00B7656C"/>
    <w:rsid w:val="00B765B3"/>
    <w:rsid w:val="00B765C0"/>
    <w:rsid w:val="00B76605"/>
    <w:rsid w:val="00B76618"/>
    <w:rsid w:val="00B7662F"/>
    <w:rsid w:val="00B766BE"/>
    <w:rsid w:val="00B7670F"/>
    <w:rsid w:val="00B76724"/>
    <w:rsid w:val="00B76772"/>
    <w:rsid w:val="00B767DD"/>
    <w:rsid w:val="00B7685C"/>
    <w:rsid w:val="00B7689F"/>
    <w:rsid w:val="00B768B5"/>
    <w:rsid w:val="00B76901"/>
    <w:rsid w:val="00B76936"/>
    <w:rsid w:val="00B769B2"/>
    <w:rsid w:val="00B769B5"/>
    <w:rsid w:val="00B769D2"/>
    <w:rsid w:val="00B769FD"/>
    <w:rsid w:val="00B76A46"/>
    <w:rsid w:val="00B76AC0"/>
    <w:rsid w:val="00B76ACD"/>
    <w:rsid w:val="00B76B03"/>
    <w:rsid w:val="00B76B2C"/>
    <w:rsid w:val="00B76B43"/>
    <w:rsid w:val="00B76B73"/>
    <w:rsid w:val="00B76B96"/>
    <w:rsid w:val="00B76BFA"/>
    <w:rsid w:val="00B76C6C"/>
    <w:rsid w:val="00B76D47"/>
    <w:rsid w:val="00B76D4B"/>
    <w:rsid w:val="00B76D7D"/>
    <w:rsid w:val="00B76DED"/>
    <w:rsid w:val="00B76DF5"/>
    <w:rsid w:val="00B76E03"/>
    <w:rsid w:val="00B76E14"/>
    <w:rsid w:val="00B76EAC"/>
    <w:rsid w:val="00B76EC7"/>
    <w:rsid w:val="00B76F91"/>
    <w:rsid w:val="00B76FAE"/>
    <w:rsid w:val="00B76FCD"/>
    <w:rsid w:val="00B77013"/>
    <w:rsid w:val="00B7706A"/>
    <w:rsid w:val="00B770FC"/>
    <w:rsid w:val="00B77108"/>
    <w:rsid w:val="00B77181"/>
    <w:rsid w:val="00B771F9"/>
    <w:rsid w:val="00B7723D"/>
    <w:rsid w:val="00B7727B"/>
    <w:rsid w:val="00B7729E"/>
    <w:rsid w:val="00B7731C"/>
    <w:rsid w:val="00B77330"/>
    <w:rsid w:val="00B77345"/>
    <w:rsid w:val="00B7736E"/>
    <w:rsid w:val="00B77374"/>
    <w:rsid w:val="00B773AD"/>
    <w:rsid w:val="00B773C0"/>
    <w:rsid w:val="00B77448"/>
    <w:rsid w:val="00B7745C"/>
    <w:rsid w:val="00B774D2"/>
    <w:rsid w:val="00B774E8"/>
    <w:rsid w:val="00B77522"/>
    <w:rsid w:val="00B7753E"/>
    <w:rsid w:val="00B77557"/>
    <w:rsid w:val="00B77576"/>
    <w:rsid w:val="00B77589"/>
    <w:rsid w:val="00B775EE"/>
    <w:rsid w:val="00B7765A"/>
    <w:rsid w:val="00B7768A"/>
    <w:rsid w:val="00B77706"/>
    <w:rsid w:val="00B7779E"/>
    <w:rsid w:val="00B777DD"/>
    <w:rsid w:val="00B77822"/>
    <w:rsid w:val="00B7787E"/>
    <w:rsid w:val="00B7788E"/>
    <w:rsid w:val="00B778A3"/>
    <w:rsid w:val="00B7790D"/>
    <w:rsid w:val="00B779F0"/>
    <w:rsid w:val="00B77A48"/>
    <w:rsid w:val="00B77A50"/>
    <w:rsid w:val="00B77AEA"/>
    <w:rsid w:val="00B77B7C"/>
    <w:rsid w:val="00B77BB4"/>
    <w:rsid w:val="00B77BB8"/>
    <w:rsid w:val="00B77BEC"/>
    <w:rsid w:val="00B77C18"/>
    <w:rsid w:val="00B77C1D"/>
    <w:rsid w:val="00B77C6E"/>
    <w:rsid w:val="00B77C82"/>
    <w:rsid w:val="00B77CA2"/>
    <w:rsid w:val="00B77CE8"/>
    <w:rsid w:val="00B77D06"/>
    <w:rsid w:val="00B77D43"/>
    <w:rsid w:val="00B77D55"/>
    <w:rsid w:val="00B77DD2"/>
    <w:rsid w:val="00B77DE2"/>
    <w:rsid w:val="00B77DE3"/>
    <w:rsid w:val="00B77E0D"/>
    <w:rsid w:val="00B77E10"/>
    <w:rsid w:val="00B77E15"/>
    <w:rsid w:val="00B77E1E"/>
    <w:rsid w:val="00B77E29"/>
    <w:rsid w:val="00B77E41"/>
    <w:rsid w:val="00B77F25"/>
    <w:rsid w:val="00B77FC9"/>
    <w:rsid w:val="00B79892"/>
    <w:rsid w:val="00B800A9"/>
    <w:rsid w:val="00B800BE"/>
    <w:rsid w:val="00B800C7"/>
    <w:rsid w:val="00B800E9"/>
    <w:rsid w:val="00B800F3"/>
    <w:rsid w:val="00B800FF"/>
    <w:rsid w:val="00B8010B"/>
    <w:rsid w:val="00B80133"/>
    <w:rsid w:val="00B8015B"/>
    <w:rsid w:val="00B8016B"/>
    <w:rsid w:val="00B80239"/>
    <w:rsid w:val="00B80255"/>
    <w:rsid w:val="00B802A6"/>
    <w:rsid w:val="00B802D1"/>
    <w:rsid w:val="00B802D5"/>
    <w:rsid w:val="00B802E7"/>
    <w:rsid w:val="00B803BA"/>
    <w:rsid w:val="00B803E6"/>
    <w:rsid w:val="00B80423"/>
    <w:rsid w:val="00B80465"/>
    <w:rsid w:val="00B80473"/>
    <w:rsid w:val="00B804B4"/>
    <w:rsid w:val="00B804E0"/>
    <w:rsid w:val="00B804E7"/>
    <w:rsid w:val="00B80522"/>
    <w:rsid w:val="00B8055F"/>
    <w:rsid w:val="00B8056A"/>
    <w:rsid w:val="00B805B4"/>
    <w:rsid w:val="00B80602"/>
    <w:rsid w:val="00B80607"/>
    <w:rsid w:val="00B80629"/>
    <w:rsid w:val="00B8062A"/>
    <w:rsid w:val="00B8067D"/>
    <w:rsid w:val="00B8068B"/>
    <w:rsid w:val="00B806BB"/>
    <w:rsid w:val="00B806BD"/>
    <w:rsid w:val="00B8073B"/>
    <w:rsid w:val="00B807BE"/>
    <w:rsid w:val="00B807BF"/>
    <w:rsid w:val="00B807C7"/>
    <w:rsid w:val="00B80828"/>
    <w:rsid w:val="00B8085E"/>
    <w:rsid w:val="00B80957"/>
    <w:rsid w:val="00B80958"/>
    <w:rsid w:val="00B8099C"/>
    <w:rsid w:val="00B809B1"/>
    <w:rsid w:val="00B809B9"/>
    <w:rsid w:val="00B80A03"/>
    <w:rsid w:val="00B80A2C"/>
    <w:rsid w:val="00B80A63"/>
    <w:rsid w:val="00B80A91"/>
    <w:rsid w:val="00B80B12"/>
    <w:rsid w:val="00B80B4F"/>
    <w:rsid w:val="00B80C60"/>
    <w:rsid w:val="00B80D0D"/>
    <w:rsid w:val="00B80D53"/>
    <w:rsid w:val="00B80D6D"/>
    <w:rsid w:val="00B80D77"/>
    <w:rsid w:val="00B80D79"/>
    <w:rsid w:val="00B80D7F"/>
    <w:rsid w:val="00B80DF3"/>
    <w:rsid w:val="00B80DF9"/>
    <w:rsid w:val="00B80E0A"/>
    <w:rsid w:val="00B80E27"/>
    <w:rsid w:val="00B80E2F"/>
    <w:rsid w:val="00B80E40"/>
    <w:rsid w:val="00B80EDB"/>
    <w:rsid w:val="00B80EE7"/>
    <w:rsid w:val="00B80EEE"/>
    <w:rsid w:val="00B80F3D"/>
    <w:rsid w:val="00B81031"/>
    <w:rsid w:val="00B8103A"/>
    <w:rsid w:val="00B81055"/>
    <w:rsid w:val="00B81058"/>
    <w:rsid w:val="00B81080"/>
    <w:rsid w:val="00B810E8"/>
    <w:rsid w:val="00B81142"/>
    <w:rsid w:val="00B811A2"/>
    <w:rsid w:val="00B811D7"/>
    <w:rsid w:val="00B8122D"/>
    <w:rsid w:val="00B8123C"/>
    <w:rsid w:val="00B8128A"/>
    <w:rsid w:val="00B813E5"/>
    <w:rsid w:val="00B8150B"/>
    <w:rsid w:val="00B8151F"/>
    <w:rsid w:val="00B81536"/>
    <w:rsid w:val="00B81583"/>
    <w:rsid w:val="00B815EE"/>
    <w:rsid w:val="00B815FF"/>
    <w:rsid w:val="00B8167A"/>
    <w:rsid w:val="00B81713"/>
    <w:rsid w:val="00B8171A"/>
    <w:rsid w:val="00B8175B"/>
    <w:rsid w:val="00B817A6"/>
    <w:rsid w:val="00B817DF"/>
    <w:rsid w:val="00B81806"/>
    <w:rsid w:val="00B81828"/>
    <w:rsid w:val="00B81831"/>
    <w:rsid w:val="00B81839"/>
    <w:rsid w:val="00B818AF"/>
    <w:rsid w:val="00B81999"/>
    <w:rsid w:val="00B81A0C"/>
    <w:rsid w:val="00B81A3E"/>
    <w:rsid w:val="00B81A52"/>
    <w:rsid w:val="00B81A72"/>
    <w:rsid w:val="00B81ADB"/>
    <w:rsid w:val="00B81B5C"/>
    <w:rsid w:val="00B81B75"/>
    <w:rsid w:val="00B81B92"/>
    <w:rsid w:val="00B81BAE"/>
    <w:rsid w:val="00B81BD7"/>
    <w:rsid w:val="00B81BDB"/>
    <w:rsid w:val="00B81C0B"/>
    <w:rsid w:val="00B81CB1"/>
    <w:rsid w:val="00B81D4E"/>
    <w:rsid w:val="00B81D8C"/>
    <w:rsid w:val="00B81D91"/>
    <w:rsid w:val="00B81D9F"/>
    <w:rsid w:val="00B81DD6"/>
    <w:rsid w:val="00B81DDD"/>
    <w:rsid w:val="00B81DFC"/>
    <w:rsid w:val="00B81E10"/>
    <w:rsid w:val="00B81E38"/>
    <w:rsid w:val="00B81ED1"/>
    <w:rsid w:val="00B81EE7"/>
    <w:rsid w:val="00B81F15"/>
    <w:rsid w:val="00B82097"/>
    <w:rsid w:val="00B820B4"/>
    <w:rsid w:val="00B820DB"/>
    <w:rsid w:val="00B820F3"/>
    <w:rsid w:val="00B82105"/>
    <w:rsid w:val="00B82179"/>
    <w:rsid w:val="00B821B1"/>
    <w:rsid w:val="00B821DD"/>
    <w:rsid w:val="00B82242"/>
    <w:rsid w:val="00B82306"/>
    <w:rsid w:val="00B8235E"/>
    <w:rsid w:val="00B823C9"/>
    <w:rsid w:val="00B823EB"/>
    <w:rsid w:val="00B82469"/>
    <w:rsid w:val="00B824A2"/>
    <w:rsid w:val="00B8250A"/>
    <w:rsid w:val="00B82511"/>
    <w:rsid w:val="00B82512"/>
    <w:rsid w:val="00B82535"/>
    <w:rsid w:val="00B82560"/>
    <w:rsid w:val="00B82571"/>
    <w:rsid w:val="00B825C8"/>
    <w:rsid w:val="00B825CD"/>
    <w:rsid w:val="00B825DD"/>
    <w:rsid w:val="00B825E7"/>
    <w:rsid w:val="00B825FD"/>
    <w:rsid w:val="00B82666"/>
    <w:rsid w:val="00B82682"/>
    <w:rsid w:val="00B826A8"/>
    <w:rsid w:val="00B826CA"/>
    <w:rsid w:val="00B82753"/>
    <w:rsid w:val="00B82760"/>
    <w:rsid w:val="00B827A5"/>
    <w:rsid w:val="00B82809"/>
    <w:rsid w:val="00B82884"/>
    <w:rsid w:val="00B82896"/>
    <w:rsid w:val="00B82910"/>
    <w:rsid w:val="00B82946"/>
    <w:rsid w:val="00B82972"/>
    <w:rsid w:val="00B829B0"/>
    <w:rsid w:val="00B829F1"/>
    <w:rsid w:val="00B82A49"/>
    <w:rsid w:val="00B82A52"/>
    <w:rsid w:val="00B82A69"/>
    <w:rsid w:val="00B82AD6"/>
    <w:rsid w:val="00B82B1C"/>
    <w:rsid w:val="00B82B25"/>
    <w:rsid w:val="00B82B3A"/>
    <w:rsid w:val="00B82B8A"/>
    <w:rsid w:val="00B82B8D"/>
    <w:rsid w:val="00B82BFA"/>
    <w:rsid w:val="00B82C8D"/>
    <w:rsid w:val="00B82C9C"/>
    <w:rsid w:val="00B82CBA"/>
    <w:rsid w:val="00B82CBC"/>
    <w:rsid w:val="00B82CC2"/>
    <w:rsid w:val="00B82CD3"/>
    <w:rsid w:val="00B82CDF"/>
    <w:rsid w:val="00B82CE8"/>
    <w:rsid w:val="00B82D03"/>
    <w:rsid w:val="00B82D0A"/>
    <w:rsid w:val="00B82D76"/>
    <w:rsid w:val="00B82D8F"/>
    <w:rsid w:val="00B82DD2"/>
    <w:rsid w:val="00B82E03"/>
    <w:rsid w:val="00B82E6A"/>
    <w:rsid w:val="00B82E6B"/>
    <w:rsid w:val="00B82E6C"/>
    <w:rsid w:val="00B82E85"/>
    <w:rsid w:val="00B82EA4"/>
    <w:rsid w:val="00B82EB5"/>
    <w:rsid w:val="00B82EF4"/>
    <w:rsid w:val="00B82F23"/>
    <w:rsid w:val="00B82F50"/>
    <w:rsid w:val="00B82F5B"/>
    <w:rsid w:val="00B82F98"/>
    <w:rsid w:val="00B83036"/>
    <w:rsid w:val="00B8308B"/>
    <w:rsid w:val="00B830B9"/>
    <w:rsid w:val="00B83160"/>
    <w:rsid w:val="00B831CD"/>
    <w:rsid w:val="00B83209"/>
    <w:rsid w:val="00B83254"/>
    <w:rsid w:val="00B8325C"/>
    <w:rsid w:val="00B832A3"/>
    <w:rsid w:val="00B832C1"/>
    <w:rsid w:val="00B83301"/>
    <w:rsid w:val="00B83328"/>
    <w:rsid w:val="00B833CA"/>
    <w:rsid w:val="00B833E7"/>
    <w:rsid w:val="00B8345A"/>
    <w:rsid w:val="00B83461"/>
    <w:rsid w:val="00B83470"/>
    <w:rsid w:val="00B834CE"/>
    <w:rsid w:val="00B83595"/>
    <w:rsid w:val="00B835BE"/>
    <w:rsid w:val="00B835E3"/>
    <w:rsid w:val="00B835F4"/>
    <w:rsid w:val="00B835FE"/>
    <w:rsid w:val="00B83618"/>
    <w:rsid w:val="00B83639"/>
    <w:rsid w:val="00B8367C"/>
    <w:rsid w:val="00B836C3"/>
    <w:rsid w:val="00B836DE"/>
    <w:rsid w:val="00B836F9"/>
    <w:rsid w:val="00B8372D"/>
    <w:rsid w:val="00B83783"/>
    <w:rsid w:val="00B837BA"/>
    <w:rsid w:val="00B837CD"/>
    <w:rsid w:val="00B837E3"/>
    <w:rsid w:val="00B838BE"/>
    <w:rsid w:val="00B838C2"/>
    <w:rsid w:val="00B838F5"/>
    <w:rsid w:val="00B83900"/>
    <w:rsid w:val="00B83918"/>
    <w:rsid w:val="00B83946"/>
    <w:rsid w:val="00B83991"/>
    <w:rsid w:val="00B83992"/>
    <w:rsid w:val="00B839BC"/>
    <w:rsid w:val="00B83A31"/>
    <w:rsid w:val="00B83A61"/>
    <w:rsid w:val="00B83ADB"/>
    <w:rsid w:val="00B83AFA"/>
    <w:rsid w:val="00B83B1D"/>
    <w:rsid w:val="00B83B74"/>
    <w:rsid w:val="00B83B7D"/>
    <w:rsid w:val="00B83C22"/>
    <w:rsid w:val="00B83C62"/>
    <w:rsid w:val="00B83C94"/>
    <w:rsid w:val="00B83D15"/>
    <w:rsid w:val="00B83D52"/>
    <w:rsid w:val="00B83D7F"/>
    <w:rsid w:val="00B83DCD"/>
    <w:rsid w:val="00B83DED"/>
    <w:rsid w:val="00B83E03"/>
    <w:rsid w:val="00B83E14"/>
    <w:rsid w:val="00B83E65"/>
    <w:rsid w:val="00B83EBE"/>
    <w:rsid w:val="00B83EE6"/>
    <w:rsid w:val="00B83F03"/>
    <w:rsid w:val="00B83F42"/>
    <w:rsid w:val="00B83F62"/>
    <w:rsid w:val="00B83FAD"/>
    <w:rsid w:val="00B83FC9"/>
    <w:rsid w:val="00B83FF2"/>
    <w:rsid w:val="00B84008"/>
    <w:rsid w:val="00B84018"/>
    <w:rsid w:val="00B840A9"/>
    <w:rsid w:val="00B840B8"/>
    <w:rsid w:val="00B840B9"/>
    <w:rsid w:val="00B8415E"/>
    <w:rsid w:val="00B841FF"/>
    <w:rsid w:val="00B8424D"/>
    <w:rsid w:val="00B84257"/>
    <w:rsid w:val="00B84259"/>
    <w:rsid w:val="00B84277"/>
    <w:rsid w:val="00B8427E"/>
    <w:rsid w:val="00B84293"/>
    <w:rsid w:val="00B842AD"/>
    <w:rsid w:val="00B8435D"/>
    <w:rsid w:val="00B843F5"/>
    <w:rsid w:val="00B84409"/>
    <w:rsid w:val="00B8441D"/>
    <w:rsid w:val="00B844A3"/>
    <w:rsid w:val="00B844B7"/>
    <w:rsid w:val="00B84525"/>
    <w:rsid w:val="00B845EE"/>
    <w:rsid w:val="00B846DC"/>
    <w:rsid w:val="00B846DE"/>
    <w:rsid w:val="00B84722"/>
    <w:rsid w:val="00B84731"/>
    <w:rsid w:val="00B84738"/>
    <w:rsid w:val="00B84767"/>
    <w:rsid w:val="00B847A5"/>
    <w:rsid w:val="00B8483D"/>
    <w:rsid w:val="00B8484F"/>
    <w:rsid w:val="00B84851"/>
    <w:rsid w:val="00B8488A"/>
    <w:rsid w:val="00B84891"/>
    <w:rsid w:val="00B848FB"/>
    <w:rsid w:val="00B8495B"/>
    <w:rsid w:val="00B849BD"/>
    <w:rsid w:val="00B84A30"/>
    <w:rsid w:val="00B84A35"/>
    <w:rsid w:val="00B84A73"/>
    <w:rsid w:val="00B84A92"/>
    <w:rsid w:val="00B84B40"/>
    <w:rsid w:val="00B84C19"/>
    <w:rsid w:val="00B84C43"/>
    <w:rsid w:val="00B84C7B"/>
    <w:rsid w:val="00B84C85"/>
    <w:rsid w:val="00B84D14"/>
    <w:rsid w:val="00B84D17"/>
    <w:rsid w:val="00B84D44"/>
    <w:rsid w:val="00B84D83"/>
    <w:rsid w:val="00B84DAE"/>
    <w:rsid w:val="00B84DBF"/>
    <w:rsid w:val="00B84DCF"/>
    <w:rsid w:val="00B84E0E"/>
    <w:rsid w:val="00B84E22"/>
    <w:rsid w:val="00B84E88"/>
    <w:rsid w:val="00B84E94"/>
    <w:rsid w:val="00B84E99"/>
    <w:rsid w:val="00B84EB9"/>
    <w:rsid w:val="00B84F2E"/>
    <w:rsid w:val="00B84FD6"/>
    <w:rsid w:val="00B85049"/>
    <w:rsid w:val="00B8504F"/>
    <w:rsid w:val="00B850A1"/>
    <w:rsid w:val="00B850D8"/>
    <w:rsid w:val="00B850EB"/>
    <w:rsid w:val="00B851AD"/>
    <w:rsid w:val="00B851B7"/>
    <w:rsid w:val="00B851C1"/>
    <w:rsid w:val="00B851EE"/>
    <w:rsid w:val="00B851F6"/>
    <w:rsid w:val="00B851FB"/>
    <w:rsid w:val="00B85309"/>
    <w:rsid w:val="00B853E9"/>
    <w:rsid w:val="00B85404"/>
    <w:rsid w:val="00B854A8"/>
    <w:rsid w:val="00B854FB"/>
    <w:rsid w:val="00B85503"/>
    <w:rsid w:val="00B8552A"/>
    <w:rsid w:val="00B8556E"/>
    <w:rsid w:val="00B8557D"/>
    <w:rsid w:val="00B855A9"/>
    <w:rsid w:val="00B855CE"/>
    <w:rsid w:val="00B855D6"/>
    <w:rsid w:val="00B855E3"/>
    <w:rsid w:val="00B8562D"/>
    <w:rsid w:val="00B8565F"/>
    <w:rsid w:val="00B856AD"/>
    <w:rsid w:val="00B856B5"/>
    <w:rsid w:val="00B856DB"/>
    <w:rsid w:val="00B85771"/>
    <w:rsid w:val="00B85787"/>
    <w:rsid w:val="00B857A1"/>
    <w:rsid w:val="00B857C0"/>
    <w:rsid w:val="00B857C1"/>
    <w:rsid w:val="00B8582B"/>
    <w:rsid w:val="00B8587E"/>
    <w:rsid w:val="00B8593D"/>
    <w:rsid w:val="00B859DF"/>
    <w:rsid w:val="00B859FA"/>
    <w:rsid w:val="00B85A1E"/>
    <w:rsid w:val="00B85AA2"/>
    <w:rsid w:val="00B85B37"/>
    <w:rsid w:val="00B85B3C"/>
    <w:rsid w:val="00B85BC5"/>
    <w:rsid w:val="00B85BC7"/>
    <w:rsid w:val="00B85BCD"/>
    <w:rsid w:val="00B85C00"/>
    <w:rsid w:val="00B85C0B"/>
    <w:rsid w:val="00B85C29"/>
    <w:rsid w:val="00B85C57"/>
    <w:rsid w:val="00B85C65"/>
    <w:rsid w:val="00B85CBF"/>
    <w:rsid w:val="00B85D45"/>
    <w:rsid w:val="00B85E09"/>
    <w:rsid w:val="00B85E0E"/>
    <w:rsid w:val="00B85E9D"/>
    <w:rsid w:val="00B85EB7"/>
    <w:rsid w:val="00B85F34"/>
    <w:rsid w:val="00B85F58"/>
    <w:rsid w:val="00B86017"/>
    <w:rsid w:val="00B86031"/>
    <w:rsid w:val="00B86071"/>
    <w:rsid w:val="00B8609B"/>
    <w:rsid w:val="00B860AF"/>
    <w:rsid w:val="00B860B3"/>
    <w:rsid w:val="00B860E8"/>
    <w:rsid w:val="00B861A7"/>
    <w:rsid w:val="00B861B4"/>
    <w:rsid w:val="00B86267"/>
    <w:rsid w:val="00B8627D"/>
    <w:rsid w:val="00B8636F"/>
    <w:rsid w:val="00B86452"/>
    <w:rsid w:val="00B86497"/>
    <w:rsid w:val="00B864EC"/>
    <w:rsid w:val="00B864FA"/>
    <w:rsid w:val="00B86583"/>
    <w:rsid w:val="00B865CD"/>
    <w:rsid w:val="00B86622"/>
    <w:rsid w:val="00B8664C"/>
    <w:rsid w:val="00B86689"/>
    <w:rsid w:val="00B866DE"/>
    <w:rsid w:val="00B86701"/>
    <w:rsid w:val="00B86767"/>
    <w:rsid w:val="00B86793"/>
    <w:rsid w:val="00B867A6"/>
    <w:rsid w:val="00B86841"/>
    <w:rsid w:val="00B8685E"/>
    <w:rsid w:val="00B868C6"/>
    <w:rsid w:val="00B868FB"/>
    <w:rsid w:val="00B86900"/>
    <w:rsid w:val="00B86950"/>
    <w:rsid w:val="00B8698A"/>
    <w:rsid w:val="00B869D3"/>
    <w:rsid w:val="00B86A56"/>
    <w:rsid w:val="00B86A76"/>
    <w:rsid w:val="00B86A8A"/>
    <w:rsid w:val="00B86AEB"/>
    <w:rsid w:val="00B86B3C"/>
    <w:rsid w:val="00B86B51"/>
    <w:rsid w:val="00B86B66"/>
    <w:rsid w:val="00B86BBF"/>
    <w:rsid w:val="00B86BC8"/>
    <w:rsid w:val="00B86BD6"/>
    <w:rsid w:val="00B86C00"/>
    <w:rsid w:val="00B86C7F"/>
    <w:rsid w:val="00B86C8A"/>
    <w:rsid w:val="00B86CD6"/>
    <w:rsid w:val="00B86D62"/>
    <w:rsid w:val="00B86D67"/>
    <w:rsid w:val="00B86EC7"/>
    <w:rsid w:val="00B86F0C"/>
    <w:rsid w:val="00B86F1C"/>
    <w:rsid w:val="00B86F73"/>
    <w:rsid w:val="00B86FAC"/>
    <w:rsid w:val="00B86FC8"/>
    <w:rsid w:val="00B87011"/>
    <w:rsid w:val="00B8701D"/>
    <w:rsid w:val="00B870F2"/>
    <w:rsid w:val="00B870FC"/>
    <w:rsid w:val="00B8711E"/>
    <w:rsid w:val="00B87127"/>
    <w:rsid w:val="00B87137"/>
    <w:rsid w:val="00B87148"/>
    <w:rsid w:val="00B87174"/>
    <w:rsid w:val="00B871BE"/>
    <w:rsid w:val="00B87228"/>
    <w:rsid w:val="00B872D2"/>
    <w:rsid w:val="00B872F8"/>
    <w:rsid w:val="00B87360"/>
    <w:rsid w:val="00B87385"/>
    <w:rsid w:val="00B8747D"/>
    <w:rsid w:val="00B874FE"/>
    <w:rsid w:val="00B87555"/>
    <w:rsid w:val="00B8758E"/>
    <w:rsid w:val="00B875C2"/>
    <w:rsid w:val="00B875D8"/>
    <w:rsid w:val="00B875FA"/>
    <w:rsid w:val="00B87612"/>
    <w:rsid w:val="00B8765A"/>
    <w:rsid w:val="00B87777"/>
    <w:rsid w:val="00B87788"/>
    <w:rsid w:val="00B8778A"/>
    <w:rsid w:val="00B877A7"/>
    <w:rsid w:val="00B87807"/>
    <w:rsid w:val="00B87835"/>
    <w:rsid w:val="00B87867"/>
    <w:rsid w:val="00B87889"/>
    <w:rsid w:val="00B878F8"/>
    <w:rsid w:val="00B87904"/>
    <w:rsid w:val="00B87927"/>
    <w:rsid w:val="00B8795B"/>
    <w:rsid w:val="00B879C8"/>
    <w:rsid w:val="00B87A04"/>
    <w:rsid w:val="00B87A36"/>
    <w:rsid w:val="00B87A61"/>
    <w:rsid w:val="00B87B06"/>
    <w:rsid w:val="00B87B30"/>
    <w:rsid w:val="00B87B6B"/>
    <w:rsid w:val="00B87B8F"/>
    <w:rsid w:val="00B87C92"/>
    <w:rsid w:val="00B87CE8"/>
    <w:rsid w:val="00B87D5C"/>
    <w:rsid w:val="00B87D98"/>
    <w:rsid w:val="00B87DA5"/>
    <w:rsid w:val="00B87DCC"/>
    <w:rsid w:val="00B87E2C"/>
    <w:rsid w:val="00B87EB4"/>
    <w:rsid w:val="00B87EE8"/>
    <w:rsid w:val="00B87EEE"/>
    <w:rsid w:val="00B87F1A"/>
    <w:rsid w:val="00B87F2A"/>
    <w:rsid w:val="00B90002"/>
    <w:rsid w:val="00B9010F"/>
    <w:rsid w:val="00B902AC"/>
    <w:rsid w:val="00B902B4"/>
    <w:rsid w:val="00B90345"/>
    <w:rsid w:val="00B90381"/>
    <w:rsid w:val="00B903A5"/>
    <w:rsid w:val="00B903C0"/>
    <w:rsid w:val="00B903FE"/>
    <w:rsid w:val="00B90409"/>
    <w:rsid w:val="00B90414"/>
    <w:rsid w:val="00B90458"/>
    <w:rsid w:val="00B904C1"/>
    <w:rsid w:val="00B90585"/>
    <w:rsid w:val="00B905B9"/>
    <w:rsid w:val="00B905EC"/>
    <w:rsid w:val="00B905F0"/>
    <w:rsid w:val="00B9065A"/>
    <w:rsid w:val="00B906CF"/>
    <w:rsid w:val="00B906FB"/>
    <w:rsid w:val="00B90783"/>
    <w:rsid w:val="00B90981"/>
    <w:rsid w:val="00B909E9"/>
    <w:rsid w:val="00B90A33"/>
    <w:rsid w:val="00B90A84"/>
    <w:rsid w:val="00B90AA5"/>
    <w:rsid w:val="00B90ABF"/>
    <w:rsid w:val="00B90BC7"/>
    <w:rsid w:val="00B90C1F"/>
    <w:rsid w:val="00B90C25"/>
    <w:rsid w:val="00B90C26"/>
    <w:rsid w:val="00B90C4F"/>
    <w:rsid w:val="00B90D0E"/>
    <w:rsid w:val="00B90D10"/>
    <w:rsid w:val="00B90D1B"/>
    <w:rsid w:val="00B90DB4"/>
    <w:rsid w:val="00B90DE6"/>
    <w:rsid w:val="00B90E05"/>
    <w:rsid w:val="00B90E2D"/>
    <w:rsid w:val="00B90E65"/>
    <w:rsid w:val="00B90F1F"/>
    <w:rsid w:val="00B90F5E"/>
    <w:rsid w:val="00B90F69"/>
    <w:rsid w:val="00B90FA6"/>
    <w:rsid w:val="00B90FA9"/>
    <w:rsid w:val="00B91002"/>
    <w:rsid w:val="00B91030"/>
    <w:rsid w:val="00B9108B"/>
    <w:rsid w:val="00B910A5"/>
    <w:rsid w:val="00B910D7"/>
    <w:rsid w:val="00B9111A"/>
    <w:rsid w:val="00B9112F"/>
    <w:rsid w:val="00B9115B"/>
    <w:rsid w:val="00B91177"/>
    <w:rsid w:val="00B9117D"/>
    <w:rsid w:val="00B91195"/>
    <w:rsid w:val="00B911CD"/>
    <w:rsid w:val="00B911E9"/>
    <w:rsid w:val="00B91246"/>
    <w:rsid w:val="00B91254"/>
    <w:rsid w:val="00B91263"/>
    <w:rsid w:val="00B91275"/>
    <w:rsid w:val="00B9127B"/>
    <w:rsid w:val="00B9131C"/>
    <w:rsid w:val="00B91330"/>
    <w:rsid w:val="00B91414"/>
    <w:rsid w:val="00B91466"/>
    <w:rsid w:val="00B914D0"/>
    <w:rsid w:val="00B91566"/>
    <w:rsid w:val="00B9158C"/>
    <w:rsid w:val="00B915B2"/>
    <w:rsid w:val="00B915B3"/>
    <w:rsid w:val="00B9164B"/>
    <w:rsid w:val="00B91684"/>
    <w:rsid w:val="00B916A1"/>
    <w:rsid w:val="00B916B9"/>
    <w:rsid w:val="00B916F4"/>
    <w:rsid w:val="00B9171B"/>
    <w:rsid w:val="00B91739"/>
    <w:rsid w:val="00B917A0"/>
    <w:rsid w:val="00B917A2"/>
    <w:rsid w:val="00B917E5"/>
    <w:rsid w:val="00B9187E"/>
    <w:rsid w:val="00B91925"/>
    <w:rsid w:val="00B91941"/>
    <w:rsid w:val="00B91970"/>
    <w:rsid w:val="00B9197A"/>
    <w:rsid w:val="00B919A5"/>
    <w:rsid w:val="00B91AC8"/>
    <w:rsid w:val="00B91AF4"/>
    <w:rsid w:val="00B91BCF"/>
    <w:rsid w:val="00B91BD5"/>
    <w:rsid w:val="00B91BEE"/>
    <w:rsid w:val="00B91C03"/>
    <w:rsid w:val="00B91C06"/>
    <w:rsid w:val="00B91C1F"/>
    <w:rsid w:val="00B91C29"/>
    <w:rsid w:val="00B91C2A"/>
    <w:rsid w:val="00B91CAF"/>
    <w:rsid w:val="00B91CC5"/>
    <w:rsid w:val="00B91D16"/>
    <w:rsid w:val="00B91D93"/>
    <w:rsid w:val="00B91D9A"/>
    <w:rsid w:val="00B91DBB"/>
    <w:rsid w:val="00B91DE4"/>
    <w:rsid w:val="00B91DE6"/>
    <w:rsid w:val="00B91DE9"/>
    <w:rsid w:val="00B91E38"/>
    <w:rsid w:val="00B91E54"/>
    <w:rsid w:val="00B91EC1"/>
    <w:rsid w:val="00B91ED6"/>
    <w:rsid w:val="00B91EF3"/>
    <w:rsid w:val="00B91EFE"/>
    <w:rsid w:val="00B91F65"/>
    <w:rsid w:val="00B91FE1"/>
    <w:rsid w:val="00B91FF0"/>
    <w:rsid w:val="00B92043"/>
    <w:rsid w:val="00B92049"/>
    <w:rsid w:val="00B92052"/>
    <w:rsid w:val="00B9205F"/>
    <w:rsid w:val="00B92087"/>
    <w:rsid w:val="00B920C1"/>
    <w:rsid w:val="00B92127"/>
    <w:rsid w:val="00B9216F"/>
    <w:rsid w:val="00B921E8"/>
    <w:rsid w:val="00B92212"/>
    <w:rsid w:val="00B92227"/>
    <w:rsid w:val="00B92299"/>
    <w:rsid w:val="00B922F9"/>
    <w:rsid w:val="00B9231D"/>
    <w:rsid w:val="00B92397"/>
    <w:rsid w:val="00B92414"/>
    <w:rsid w:val="00B9242C"/>
    <w:rsid w:val="00B924F1"/>
    <w:rsid w:val="00B9255D"/>
    <w:rsid w:val="00B92598"/>
    <w:rsid w:val="00B925B9"/>
    <w:rsid w:val="00B925BC"/>
    <w:rsid w:val="00B92623"/>
    <w:rsid w:val="00B926C6"/>
    <w:rsid w:val="00B926D7"/>
    <w:rsid w:val="00B926E8"/>
    <w:rsid w:val="00B92722"/>
    <w:rsid w:val="00B92781"/>
    <w:rsid w:val="00B9278E"/>
    <w:rsid w:val="00B927B4"/>
    <w:rsid w:val="00B927CB"/>
    <w:rsid w:val="00B927CC"/>
    <w:rsid w:val="00B927D6"/>
    <w:rsid w:val="00B9282A"/>
    <w:rsid w:val="00B92865"/>
    <w:rsid w:val="00B928C3"/>
    <w:rsid w:val="00B928E7"/>
    <w:rsid w:val="00B928E9"/>
    <w:rsid w:val="00B92955"/>
    <w:rsid w:val="00B9297E"/>
    <w:rsid w:val="00B929AC"/>
    <w:rsid w:val="00B929BC"/>
    <w:rsid w:val="00B92A11"/>
    <w:rsid w:val="00B92A38"/>
    <w:rsid w:val="00B92ACE"/>
    <w:rsid w:val="00B92AF3"/>
    <w:rsid w:val="00B92B03"/>
    <w:rsid w:val="00B92B35"/>
    <w:rsid w:val="00B92B68"/>
    <w:rsid w:val="00B92C56"/>
    <w:rsid w:val="00B92C65"/>
    <w:rsid w:val="00B92CCF"/>
    <w:rsid w:val="00B92D22"/>
    <w:rsid w:val="00B92D32"/>
    <w:rsid w:val="00B92DB6"/>
    <w:rsid w:val="00B92DBB"/>
    <w:rsid w:val="00B92DD3"/>
    <w:rsid w:val="00B92EB0"/>
    <w:rsid w:val="00B92EC0"/>
    <w:rsid w:val="00B92EEC"/>
    <w:rsid w:val="00B92F07"/>
    <w:rsid w:val="00B92F41"/>
    <w:rsid w:val="00B92F5B"/>
    <w:rsid w:val="00B92F6A"/>
    <w:rsid w:val="00B92F9E"/>
    <w:rsid w:val="00B92FA7"/>
    <w:rsid w:val="00B92FB3"/>
    <w:rsid w:val="00B93014"/>
    <w:rsid w:val="00B9305B"/>
    <w:rsid w:val="00B93065"/>
    <w:rsid w:val="00B9306C"/>
    <w:rsid w:val="00B93077"/>
    <w:rsid w:val="00B930AB"/>
    <w:rsid w:val="00B930B6"/>
    <w:rsid w:val="00B93102"/>
    <w:rsid w:val="00B93142"/>
    <w:rsid w:val="00B93161"/>
    <w:rsid w:val="00B931C8"/>
    <w:rsid w:val="00B93201"/>
    <w:rsid w:val="00B93277"/>
    <w:rsid w:val="00B932B7"/>
    <w:rsid w:val="00B9330C"/>
    <w:rsid w:val="00B93388"/>
    <w:rsid w:val="00B933A8"/>
    <w:rsid w:val="00B933BC"/>
    <w:rsid w:val="00B933E9"/>
    <w:rsid w:val="00B93412"/>
    <w:rsid w:val="00B93446"/>
    <w:rsid w:val="00B93473"/>
    <w:rsid w:val="00B93531"/>
    <w:rsid w:val="00B93587"/>
    <w:rsid w:val="00B9358D"/>
    <w:rsid w:val="00B935CC"/>
    <w:rsid w:val="00B93606"/>
    <w:rsid w:val="00B9360C"/>
    <w:rsid w:val="00B93654"/>
    <w:rsid w:val="00B93694"/>
    <w:rsid w:val="00B9369E"/>
    <w:rsid w:val="00B93710"/>
    <w:rsid w:val="00B9372A"/>
    <w:rsid w:val="00B9372C"/>
    <w:rsid w:val="00B9373F"/>
    <w:rsid w:val="00B937AB"/>
    <w:rsid w:val="00B937CC"/>
    <w:rsid w:val="00B9382D"/>
    <w:rsid w:val="00B9382E"/>
    <w:rsid w:val="00B9383D"/>
    <w:rsid w:val="00B9386C"/>
    <w:rsid w:val="00B93881"/>
    <w:rsid w:val="00B93938"/>
    <w:rsid w:val="00B9394D"/>
    <w:rsid w:val="00B939A1"/>
    <w:rsid w:val="00B939A7"/>
    <w:rsid w:val="00B939CA"/>
    <w:rsid w:val="00B93A16"/>
    <w:rsid w:val="00B93AB0"/>
    <w:rsid w:val="00B93B06"/>
    <w:rsid w:val="00B93B16"/>
    <w:rsid w:val="00B93B1B"/>
    <w:rsid w:val="00B93C29"/>
    <w:rsid w:val="00B93C88"/>
    <w:rsid w:val="00B93CCC"/>
    <w:rsid w:val="00B93CF3"/>
    <w:rsid w:val="00B93D12"/>
    <w:rsid w:val="00B93D1B"/>
    <w:rsid w:val="00B93D2D"/>
    <w:rsid w:val="00B93D31"/>
    <w:rsid w:val="00B93D34"/>
    <w:rsid w:val="00B93DBB"/>
    <w:rsid w:val="00B93DD4"/>
    <w:rsid w:val="00B93DE0"/>
    <w:rsid w:val="00B93E37"/>
    <w:rsid w:val="00B93E4E"/>
    <w:rsid w:val="00B93F0D"/>
    <w:rsid w:val="00B93FC0"/>
    <w:rsid w:val="00B94081"/>
    <w:rsid w:val="00B94084"/>
    <w:rsid w:val="00B9416D"/>
    <w:rsid w:val="00B942B4"/>
    <w:rsid w:val="00B94358"/>
    <w:rsid w:val="00B9435C"/>
    <w:rsid w:val="00B943D4"/>
    <w:rsid w:val="00B943E6"/>
    <w:rsid w:val="00B94420"/>
    <w:rsid w:val="00B94443"/>
    <w:rsid w:val="00B9446B"/>
    <w:rsid w:val="00B94475"/>
    <w:rsid w:val="00B9447B"/>
    <w:rsid w:val="00B944E4"/>
    <w:rsid w:val="00B944EB"/>
    <w:rsid w:val="00B9453E"/>
    <w:rsid w:val="00B945A1"/>
    <w:rsid w:val="00B945CF"/>
    <w:rsid w:val="00B9462F"/>
    <w:rsid w:val="00B94670"/>
    <w:rsid w:val="00B946A8"/>
    <w:rsid w:val="00B946B2"/>
    <w:rsid w:val="00B946BE"/>
    <w:rsid w:val="00B946EB"/>
    <w:rsid w:val="00B946F2"/>
    <w:rsid w:val="00B9470E"/>
    <w:rsid w:val="00B94721"/>
    <w:rsid w:val="00B94727"/>
    <w:rsid w:val="00B947FA"/>
    <w:rsid w:val="00B94805"/>
    <w:rsid w:val="00B94812"/>
    <w:rsid w:val="00B94837"/>
    <w:rsid w:val="00B9489A"/>
    <w:rsid w:val="00B948AB"/>
    <w:rsid w:val="00B948DD"/>
    <w:rsid w:val="00B9491C"/>
    <w:rsid w:val="00B94971"/>
    <w:rsid w:val="00B949A7"/>
    <w:rsid w:val="00B949D0"/>
    <w:rsid w:val="00B94A21"/>
    <w:rsid w:val="00B94A31"/>
    <w:rsid w:val="00B94A70"/>
    <w:rsid w:val="00B94AA4"/>
    <w:rsid w:val="00B94AE3"/>
    <w:rsid w:val="00B94AF8"/>
    <w:rsid w:val="00B94B04"/>
    <w:rsid w:val="00B94B34"/>
    <w:rsid w:val="00B94B47"/>
    <w:rsid w:val="00B94B4A"/>
    <w:rsid w:val="00B94B81"/>
    <w:rsid w:val="00B94B95"/>
    <w:rsid w:val="00B94BC2"/>
    <w:rsid w:val="00B94BFA"/>
    <w:rsid w:val="00B94C6E"/>
    <w:rsid w:val="00B94C71"/>
    <w:rsid w:val="00B94C86"/>
    <w:rsid w:val="00B94D5D"/>
    <w:rsid w:val="00B94D69"/>
    <w:rsid w:val="00B94DC3"/>
    <w:rsid w:val="00B94DF0"/>
    <w:rsid w:val="00B94E48"/>
    <w:rsid w:val="00B94F2A"/>
    <w:rsid w:val="00B9501B"/>
    <w:rsid w:val="00B95035"/>
    <w:rsid w:val="00B95072"/>
    <w:rsid w:val="00B95078"/>
    <w:rsid w:val="00B95084"/>
    <w:rsid w:val="00B9508E"/>
    <w:rsid w:val="00B950DB"/>
    <w:rsid w:val="00B950DD"/>
    <w:rsid w:val="00B95116"/>
    <w:rsid w:val="00B95138"/>
    <w:rsid w:val="00B951DF"/>
    <w:rsid w:val="00B951E1"/>
    <w:rsid w:val="00B95209"/>
    <w:rsid w:val="00B952F4"/>
    <w:rsid w:val="00B9532E"/>
    <w:rsid w:val="00B95341"/>
    <w:rsid w:val="00B95353"/>
    <w:rsid w:val="00B95399"/>
    <w:rsid w:val="00B9539C"/>
    <w:rsid w:val="00B953A9"/>
    <w:rsid w:val="00B953E2"/>
    <w:rsid w:val="00B95437"/>
    <w:rsid w:val="00B95445"/>
    <w:rsid w:val="00B95446"/>
    <w:rsid w:val="00B9544C"/>
    <w:rsid w:val="00B9545F"/>
    <w:rsid w:val="00B95465"/>
    <w:rsid w:val="00B95489"/>
    <w:rsid w:val="00B95496"/>
    <w:rsid w:val="00B954E8"/>
    <w:rsid w:val="00B954E9"/>
    <w:rsid w:val="00B9553F"/>
    <w:rsid w:val="00B95590"/>
    <w:rsid w:val="00B95643"/>
    <w:rsid w:val="00B956DA"/>
    <w:rsid w:val="00B957AD"/>
    <w:rsid w:val="00B957B2"/>
    <w:rsid w:val="00B957BB"/>
    <w:rsid w:val="00B95810"/>
    <w:rsid w:val="00B95812"/>
    <w:rsid w:val="00B9590A"/>
    <w:rsid w:val="00B95953"/>
    <w:rsid w:val="00B95956"/>
    <w:rsid w:val="00B95989"/>
    <w:rsid w:val="00B959A8"/>
    <w:rsid w:val="00B959AB"/>
    <w:rsid w:val="00B959B7"/>
    <w:rsid w:val="00B95A13"/>
    <w:rsid w:val="00B95ADE"/>
    <w:rsid w:val="00B95B57"/>
    <w:rsid w:val="00B95C2C"/>
    <w:rsid w:val="00B95C71"/>
    <w:rsid w:val="00B95CB0"/>
    <w:rsid w:val="00B95CE2"/>
    <w:rsid w:val="00B95CED"/>
    <w:rsid w:val="00B95D03"/>
    <w:rsid w:val="00B95D2C"/>
    <w:rsid w:val="00B95DBD"/>
    <w:rsid w:val="00B95E3B"/>
    <w:rsid w:val="00B95E53"/>
    <w:rsid w:val="00B95F2C"/>
    <w:rsid w:val="00B960A6"/>
    <w:rsid w:val="00B960C7"/>
    <w:rsid w:val="00B960CF"/>
    <w:rsid w:val="00B96114"/>
    <w:rsid w:val="00B961A7"/>
    <w:rsid w:val="00B961AA"/>
    <w:rsid w:val="00B96219"/>
    <w:rsid w:val="00B96237"/>
    <w:rsid w:val="00B9624C"/>
    <w:rsid w:val="00B96260"/>
    <w:rsid w:val="00B9627C"/>
    <w:rsid w:val="00B9631C"/>
    <w:rsid w:val="00B963CC"/>
    <w:rsid w:val="00B963E2"/>
    <w:rsid w:val="00B9644A"/>
    <w:rsid w:val="00B96462"/>
    <w:rsid w:val="00B964A7"/>
    <w:rsid w:val="00B96504"/>
    <w:rsid w:val="00B9651F"/>
    <w:rsid w:val="00B96573"/>
    <w:rsid w:val="00B96660"/>
    <w:rsid w:val="00B96691"/>
    <w:rsid w:val="00B966B0"/>
    <w:rsid w:val="00B966B6"/>
    <w:rsid w:val="00B966B9"/>
    <w:rsid w:val="00B96720"/>
    <w:rsid w:val="00B96780"/>
    <w:rsid w:val="00B967BD"/>
    <w:rsid w:val="00B9685D"/>
    <w:rsid w:val="00B96892"/>
    <w:rsid w:val="00B968A6"/>
    <w:rsid w:val="00B968A9"/>
    <w:rsid w:val="00B96921"/>
    <w:rsid w:val="00B96957"/>
    <w:rsid w:val="00B9696A"/>
    <w:rsid w:val="00B969DD"/>
    <w:rsid w:val="00B96A0B"/>
    <w:rsid w:val="00B96A78"/>
    <w:rsid w:val="00B96AC3"/>
    <w:rsid w:val="00B96B8A"/>
    <w:rsid w:val="00B96BB9"/>
    <w:rsid w:val="00B96C0F"/>
    <w:rsid w:val="00B96C29"/>
    <w:rsid w:val="00B96C59"/>
    <w:rsid w:val="00B96CB7"/>
    <w:rsid w:val="00B96CCB"/>
    <w:rsid w:val="00B96CE6"/>
    <w:rsid w:val="00B96D3D"/>
    <w:rsid w:val="00B96D43"/>
    <w:rsid w:val="00B96DA7"/>
    <w:rsid w:val="00B96DC9"/>
    <w:rsid w:val="00B96DEC"/>
    <w:rsid w:val="00B96E5F"/>
    <w:rsid w:val="00B96EB3"/>
    <w:rsid w:val="00B96EC1"/>
    <w:rsid w:val="00B96F0A"/>
    <w:rsid w:val="00B96F1C"/>
    <w:rsid w:val="00B96F31"/>
    <w:rsid w:val="00B96F8D"/>
    <w:rsid w:val="00B96FB9"/>
    <w:rsid w:val="00B96FD2"/>
    <w:rsid w:val="00B96FE1"/>
    <w:rsid w:val="00B97009"/>
    <w:rsid w:val="00B97017"/>
    <w:rsid w:val="00B970E6"/>
    <w:rsid w:val="00B9713F"/>
    <w:rsid w:val="00B97153"/>
    <w:rsid w:val="00B971CF"/>
    <w:rsid w:val="00B971F0"/>
    <w:rsid w:val="00B97253"/>
    <w:rsid w:val="00B97328"/>
    <w:rsid w:val="00B9736F"/>
    <w:rsid w:val="00B973D2"/>
    <w:rsid w:val="00B97409"/>
    <w:rsid w:val="00B97429"/>
    <w:rsid w:val="00B97455"/>
    <w:rsid w:val="00B97475"/>
    <w:rsid w:val="00B974BD"/>
    <w:rsid w:val="00B97520"/>
    <w:rsid w:val="00B97547"/>
    <w:rsid w:val="00B9759D"/>
    <w:rsid w:val="00B975B3"/>
    <w:rsid w:val="00B97605"/>
    <w:rsid w:val="00B976A0"/>
    <w:rsid w:val="00B976B6"/>
    <w:rsid w:val="00B9773B"/>
    <w:rsid w:val="00B97773"/>
    <w:rsid w:val="00B977EF"/>
    <w:rsid w:val="00B97801"/>
    <w:rsid w:val="00B97803"/>
    <w:rsid w:val="00B97832"/>
    <w:rsid w:val="00B97839"/>
    <w:rsid w:val="00B97853"/>
    <w:rsid w:val="00B97889"/>
    <w:rsid w:val="00B9788D"/>
    <w:rsid w:val="00B978F8"/>
    <w:rsid w:val="00B97904"/>
    <w:rsid w:val="00B97958"/>
    <w:rsid w:val="00B97A90"/>
    <w:rsid w:val="00B97AF2"/>
    <w:rsid w:val="00B97B39"/>
    <w:rsid w:val="00B97B89"/>
    <w:rsid w:val="00B97BC3"/>
    <w:rsid w:val="00B97BCD"/>
    <w:rsid w:val="00B97C12"/>
    <w:rsid w:val="00B97C39"/>
    <w:rsid w:val="00B97C66"/>
    <w:rsid w:val="00B97C7C"/>
    <w:rsid w:val="00B97D18"/>
    <w:rsid w:val="00B97D52"/>
    <w:rsid w:val="00B97D67"/>
    <w:rsid w:val="00B97D81"/>
    <w:rsid w:val="00B97DA7"/>
    <w:rsid w:val="00B97DF8"/>
    <w:rsid w:val="00B97E57"/>
    <w:rsid w:val="00B97E90"/>
    <w:rsid w:val="00B97EB0"/>
    <w:rsid w:val="00B97EDD"/>
    <w:rsid w:val="00B97F25"/>
    <w:rsid w:val="00B97FC1"/>
    <w:rsid w:val="00B97FF9"/>
    <w:rsid w:val="00B97FFD"/>
    <w:rsid w:val="00BA001A"/>
    <w:rsid w:val="00BA001B"/>
    <w:rsid w:val="00BA00F2"/>
    <w:rsid w:val="00BA00F8"/>
    <w:rsid w:val="00BA0178"/>
    <w:rsid w:val="00BA0197"/>
    <w:rsid w:val="00BA01A0"/>
    <w:rsid w:val="00BA01B0"/>
    <w:rsid w:val="00BA01DA"/>
    <w:rsid w:val="00BA01E0"/>
    <w:rsid w:val="00BA0295"/>
    <w:rsid w:val="00BA02B2"/>
    <w:rsid w:val="00BA02B3"/>
    <w:rsid w:val="00BA02C5"/>
    <w:rsid w:val="00BA0346"/>
    <w:rsid w:val="00BA0348"/>
    <w:rsid w:val="00BA03DD"/>
    <w:rsid w:val="00BA0410"/>
    <w:rsid w:val="00BA0462"/>
    <w:rsid w:val="00BA04A0"/>
    <w:rsid w:val="00BA04D8"/>
    <w:rsid w:val="00BA04EA"/>
    <w:rsid w:val="00BA04F7"/>
    <w:rsid w:val="00BA05A7"/>
    <w:rsid w:val="00BA05C9"/>
    <w:rsid w:val="00BA0621"/>
    <w:rsid w:val="00BA0639"/>
    <w:rsid w:val="00BA0644"/>
    <w:rsid w:val="00BA06CB"/>
    <w:rsid w:val="00BA0702"/>
    <w:rsid w:val="00BA0742"/>
    <w:rsid w:val="00BA07B8"/>
    <w:rsid w:val="00BA0806"/>
    <w:rsid w:val="00BA0898"/>
    <w:rsid w:val="00BA08DB"/>
    <w:rsid w:val="00BA091D"/>
    <w:rsid w:val="00BA0949"/>
    <w:rsid w:val="00BA09A1"/>
    <w:rsid w:val="00BA09A7"/>
    <w:rsid w:val="00BA0A58"/>
    <w:rsid w:val="00BA0A76"/>
    <w:rsid w:val="00BA0AA1"/>
    <w:rsid w:val="00BA0AA4"/>
    <w:rsid w:val="00BA0B70"/>
    <w:rsid w:val="00BA0B76"/>
    <w:rsid w:val="00BA0B93"/>
    <w:rsid w:val="00BA0BAD"/>
    <w:rsid w:val="00BA0BB7"/>
    <w:rsid w:val="00BA0BF9"/>
    <w:rsid w:val="00BA0C24"/>
    <w:rsid w:val="00BA0C45"/>
    <w:rsid w:val="00BA0C75"/>
    <w:rsid w:val="00BA0C91"/>
    <w:rsid w:val="00BA0CDB"/>
    <w:rsid w:val="00BA0D31"/>
    <w:rsid w:val="00BA0D94"/>
    <w:rsid w:val="00BA0E0C"/>
    <w:rsid w:val="00BA0EAC"/>
    <w:rsid w:val="00BA0EC1"/>
    <w:rsid w:val="00BA0EC4"/>
    <w:rsid w:val="00BA0F91"/>
    <w:rsid w:val="00BA0FD9"/>
    <w:rsid w:val="00BA1014"/>
    <w:rsid w:val="00BA1016"/>
    <w:rsid w:val="00BA1074"/>
    <w:rsid w:val="00BA1081"/>
    <w:rsid w:val="00BA10BF"/>
    <w:rsid w:val="00BA1118"/>
    <w:rsid w:val="00BA1175"/>
    <w:rsid w:val="00BA1222"/>
    <w:rsid w:val="00BA1228"/>
    <w:rsid w:val="00BA12C5"/>
    <w:rsid w:val="00BA12E1"/>
    <w:rsid w:val="00BA1355"/>
    <w:rsid w:val="00BA1374"/>
    <w:rsid w:val="00BA13A3"/>
    <w:rsid w:val="00BA13A5"/>
    <w:rsid w:val="00BA13D5"/>
    <w:rsid w:val="00BA13EA"/>
    <w:rsid w:val="00BA1409"/>
    <w:rsid w:val="00BA1460"/>
    <w:rsid w:val="00BA1472"/>
    <w:rsid w:val="00BA147B"/>
    <w:rsid w:val="00BA1490"/>
    <w:rsid w:val="00BA14E0"/>
    <w:rsid w:val="00BA14FD"/>
    <w:rsid w:val="00BA1562"/>
    <w:rsid w:val="00BA158E"/>
    <w:rsid w:val="00BA15C3"/>
    <w:rsid w:val="00BA16A2"/>
    <w:rsid w:val="00BA1705"/>
    <w:rsid w:val="00BA1706"/>
    <w:rsid w:val="00BA1712"/>
    <w:rsid w:val="00BA172C"/>
    <w:rsid w:val="00BA17BB"/>
    <w:rsid w:val="00BA180B"/>
    <w:rsid w:val="00BA186F"/>
    <w:rsid w:val="00BA1892"/>
    <w:rsid w:val="00BA18F6"/>
    <w:rsid w:val="00BA18FC"/>
    <w:rsid w:val="00BA1979"/>
    <w:rsid w:val="00BA19B3"/>
    <w:rsid w:val="00BA19D0"/>
    <w:rsid w:val="00BA1A40"/>
    <w:rsid w:val="00BA1A80"/>
    <w:rsid w:val="00BA1ADE"/>
    <w:rsid w:val="00BA1B0A"/>
    <w:rsid w:val="00BA1B40"/>
    <w:rsid w:val="00BA1B41"/>
    <w:rsid w:val="00BA1B74"/>
    <w:rsid w:val="00BA1BCA"/>
    <w:rsid w:val="00BA1C65"/>
    <w:rsid w:val="00BA1D2F"/>
    <w:rsid w:val="00BA1D38"/>
    <w:rsid w:val="00BA1D43"/>
    <w:rsid w:val="00BA1D4E"/>
    <w:rsid w:val="00BA1DBD"/>
    <w:rsid w:val="00BA1DD5"/>
    <w:rsid w:val="00BA1DFE"/>
    <w:rsid w:val="00BA1E12"/>
    <w:rsid w:val="00BA1E51"/>
    <w:rsid w:val="00BA1E63"/>
    <w:rsid w:val="00BA1E75"/>
    <w:rsid w:val="00BA1ECF"/>
    <w:rsid w:val="00BA1EE0"/>
    <w:rsid w:val="00BA1EF6"/>
    <w:rsid w:val="00BA1F2B"/>
    <w:rsid w:val="00BA1F9D"/>
    <w:rsid w:val="00BA1FF3"/>
    <w:rsid w:val="00BA2068"/>
    <w:rsid w:val="00BA20BD"/>
    <w:rsid w:val="00BA2122"/>
    <w:rsid w:val="00BA214B"/>
    <w:rsid w:val="00BA214F"/>
    <w:rsid w:val="00BA2154"/>
    <w:rsid w:val="00BA218A"/>
    <w:rsid w:val="00BA218F"/>
    <w:rsid w:val="00BA23B2"/>
    <w:rsid w:val="00BA2419"/>
    <w:rsid w:val="00BA2420"/>
    <w:rsid w:val="00BA2460"/>
    <w:rsid w:val="00BA247F"/>
    <w:rsid w:val="00BA2550"/>
    <w:rsid w:val="00BA256C"/>
    <w:rsid w:val="00BA25C6"/>
    <w:rsid w:val="00BA25CC"/>
    <w:rsid w:val="00BA2669"/>
    <w:rsid w:val="00BA266F"/>
    <w:rsid w:val="00BA2750"/>
    <w:rsid w:val="00BA275B"/>
    <w:rsid w:val="00BA2777"/>
    <w:rsid w:val="00BA27A8"/>
    <w:rsid w:val="00BA282B"/>
    <w:rsid w:val="00BA2837"/>
    <w:rsid w:val="00BA28AC"/>
    <w:rsid w:val="00BA28B6"/>
    <w:rsid w:val="00BA290F"/>
    <w:rsid w:val="00BA293F"/>
    <w:rsid w:val="00BA294A"/>
    <w:rsid w:val="00BA29EF"/>
    <w:rsid w:val="00BA2A7A"/>
    <w:rsid w:val="00BA2B5B"/>
    <w:rsid w:val="00BA2C08"/>
    <w:rsid w:val="00BA2C2E"/>
    <w:rsid w:val="00BA2C79"/>
    <w:rsid w:val="00BA2C87"/>
    <w:rsid w:val="00BA2CAD"/>
    <w:rsid w:val="00BA2CB3"/>
    <w:rsid w:val="00BA2CD5"/>
    <w:rsid w:val="00BA2D1E"/>
    <w:rsid w:val="00BA2E68"/>
    <w:rsid w:val="00BA2EB9"/>
    <w:rsid w:val="00BA2ECB"/>
    <w:rsid w:val="00BA2F00"/>
    <w:rsid w:val="00BA2FBE"/>
    <w:rsid w:val="00BA3074"/>
    <w:rsid w:val="00BA3092"/>
    <w:rsid w:val="00BA309C"/>
    <w:rsid w:val="00BA30EA"/>
    <w:rsid w:val="00BA3143"/>
    <w:rsid w:val="00BA31F7"/>
    <w:rsid w:val="00BA3202"/>
    <w:rsid w:val="00BA326A"/>
    <w:rsid w:val="00BA3272"/>
    <w:rsid w:val="00BA32AD"/>
    <w:rsid w:val="00BA3302"/>
    <w:rsid w:val="00BA3330"/>
    <w:rsid w:val="00BA3394"/>
    <w:rsid w:val="00BA33F4"/>
    <w:rsid w:val="00BA342D"/>
    <w:rsid w:val="00BA3454"/>
    <w:rsid w:val="00BA348A"/>
    <w:rsid w:val="00BA34A9"/>
    <w:rsid w:val="00BA34AC"/>
    <w:rsid w:val="00BA34F5"/>
    <w:rsid w:val="00BA3510"/>
    <w:rsid w:val="00BA354B"/>
    <w:rsid w:val="00BA35C1"/>
    <w:rsid w:val="00BA3655"/>
    <w:rsid w:val="00BA366C"/>
    <w:rsid w:val="00BA3671"/>
    <w:rsid w:val="00BA36B0"/>
    <w:rsid w:val="00BA3711"/>
    <w:rsid w:val="00BA3728"/>
    <w:rsid w:val="00BA3754"/>
    <w:rsid w:val="00BA3758"/>
    <w:rsid w:val="00BA375E"/>
    <w:rsid w:val="00BA3772"/>
    <w:rsid w:val="00BA37F7"/>
    <w:rsid w:val="00BA3831"/>
    <w:rsid w:val="00BA383C"/>
    <w:rsid w:val="00BA38F0"/>
    <w:rsid w:val="00BA3938"/>
    <w:rsid w:val="00BA3968"/>
    <w:rsid w:val="00BA39A6"/>
    <w:rsid w:val="00BA39DE"/>
    <w:rsid w:val="00BA39E0"/>
    <w:rsid w:val="00BA3A04"/>
    <w:rsid w:val="00BA3A26"/>
    <w:rsid w:val="00BA3A47"/>
    <w:rsid w:val="00BA3AA1"/>
    <w:rsid w:val="00BA3AAE"/>
    <w:rsid w:val="00BA3ACA"/>
    <w:rsid w:val="00BA3BB4"/>
    <w:rsid w:val="00BA3BBB"/>
    <w:rsid w:val="00BA3BC7"/>
    <w:rsid w:val="00BA3BE9"/>
    <w:rsid w:val="00BA3BFF"/>
    <w:rsid w:val="00BA3C2E"/>
    <w:rsid w:val="00BA3C2F"/>
    <w:rsid w:val="00BA3CAD"/>
    <w:rsid w:val="00BA3CB4"/>
    <w:rsid w:val="00BA3CFC"/>
    <w:rsid w:val="00BA3D02"/>
    <w:rsid w:val="00BA3D57"/>
    <w:rsid w:val="00BA3DE6"/>
    <w:rsid w:val="00BA3DEA"/>
    <w:rsid w:val="00BA3E19"/>
    <w:rsid w:val="00BA3E3C"/>
    <w:rsid w:val="00BA3E4D"/>
    <w:rsid w:val="00BA3E5A"/>
    <w:rsid w:val="00BA3E88"/>
    <w:rsid w:val="00BA3F11"/>
    <w:rsid w:val="00BA3F28"/>
    <w:rsid w:val="00BA3FCD"/>
    <w:rsid w:val="00BA3FD5"/>
    <w:rsid w:val="00BA40A9"/>
    <w:rsid w:val="00BA4175"/>
    <w:rsid w:val="00BA4189"/>
    <w:rsid w:val="00BA4199"/>
    <w:rsid w:val="00BA41B6"/>
    <w:rsid w:val="00BA41BB"/>
    <w:rsid w:val="00BA41CF"/>
    <w:rsid w:val="00BA4227"/>
    <w:rsid w:val="00BA42D1"/>
    <w:rsid w:val="00BA433D"/>
    <w:rsid w:val="00BA43C5"/>
    <w:rsid w:val="00BA440C"/>
    <w:rsid w:val="00BA4436"/>
    <w:rsid w:val="00BA44DC"/>
    <w:rsid w:val="00BA453C"/>
    <w:rsid w:val="00BA4585"/>
    <w:rsid w:val="00BA4586"/>
    <w:rsid w:val="00BA459D"/>
    <w:rsid w:val="00BA45A8"/>
    <w:rsid w:val="00BA45D6"/>
    <w:rsid w:val="00BA45E5"/>
    <w:rsid w:val="00BA45E9"/>
    <w:rsid w:val="00BA464F"/>
    <w:rsid w:val="00BA465B"/>
    <w:rsid w:val="00BA468C"/>
    <w:rsid w:val="00BA46D7"/>
    <w:rsid w:val="00BA4727"/>
    <w:rsid w:val="00BA4777"/>
    <w:rsid w:val="00BA4788"/>
    <w:rsid w:val="00BA47F8"/>
    <w:rsid w:val="00BA4811"/>
    <w:rsid w:val="00BA4839"/>
    <w:rsid w:val="00BA48B2"/>
    <w:rsid w:val="00BA48CE"/>
    <w:rsid w:val="00BA48D4"/>
    <w:rsid w:val="00BA48FE"/>
    <w:rsid w:val="00BA491C"/>
    <w:rsid w:val="00BA4926"/>
    <w:rsid w:val="00BA4965"/>
    <w:rsid w:val="00BA4980"/>
    <w:rsid w:val="00BA4985"/>
    <w:rsid w:val="00BA4A46"/>
    <w:rsid w:val="00BA4A69"/>
    <w:rsid w:val="00BA4A9B"/>
    <w:rsid w:val="00BA4ABE"/>
    <w:rsid w:val="00BA4AC1"/>
    <w:rsid w:val="00BA4B00"/>
    <w:rsid w:val="00BA4B33"/>
    <w:rsid w:val="00BA4BD3"/>
    <w:rsid w:val="00BA4C90"/>
    <w:rsid w:val="00BA4C9E"/>
    <w:rsid w:val="00BA4CB2"/>
    <w:rsid w:val="00BA4CFF"/>
    <w:rsid w:val="00BA4D6B"/>
    <w:rsid w:val="00BA4DA2"/>
    <w:rsid w:val="00BA4DD5"/>
    <w:rsid w:val="00BA4DE1"/>
    <w:rsid w:val="00BA4F0E"/>
    <w:rsid w:val="00BA4F15"/>
    <w:rsid w:val="00BA4F85"/>
    <w:rsid w:val="00BA4FBD"/>
    <w:rsid w:val="00BA4FCC"/>
    <w:rsid w:val="00BA4FE2"/>
    <w:rsid w:val="00BA5092"/>
    <w:rsid w:val="00BA50EB"/>
    <w:rsid w:val="00BA510A"/>
    <w:rsid w:val="00BA517F"/>
    <w:rsid w:val="00BA51A8"/>
    <w:rsid w:val="00BA51BD"/>
    <w:rsid w:val="00BA51CC"/>
    <w:rsid w:val="00BA521A"/>
    <w:rsid w:val="00BA5239"/>
    <w:rsid w:val="00BA5271"/>
    <w:rsid w:val="00BA52CC"/>
    <w:rsid w:val="00BA5475"/>
    <w:rsid w:val="00BA54E7"/>
    <w:rsid w:val="00BA5547"/>
    <w:rsid w:val="00BA562C"/>
    <w:rsid w:val="00BA5650"/>
    <w:rsid w:val="00BA5751"/>
    <w:rsid w:val="00BA57A9"/>
    <w:rsid w:val="00BA57C8"/>
    <w:rsid w:val="00BA57D1"/>
    <w:rsid w:val="00BA57FB"/>
    <w:rsid w:val="00BA5828"/>
    <w:rsid w:val="00BA583B"/>
    <w:rsid w:val="00BA58F6"/>
    <w:rsid w:val="00BA5903"/>
    <w:rsid w:val="00BA598B"/>
    <w:rsid w:val="00BA5A40"/>
    <w:rsid w:val="00BA5A49"/>
    <w:rsid w:val="00BA5A53"/>
    <w:rsid w:val="00BA5A5F"/>
    <w:rsid w:val="00BA5A63"/>
    <w:rsid w:val="00BA5B1A"/>
    <w:rsid w:val="00BA5B73"/>
    <w:rsid w:val="00BA5B74"/>
    <w:rsid w:val="00BA5B8E"/>
    <w:rsid w:val="00BA5BCE"/>
    <w:rsid w:val="00BA5C2C"/>
    <w:rsid w:val="00BA5C74"/>
    <w:rsid w:val="00BA5CCE"/>
    <w:rsid w:val="00BA5CE3"/>
    <w:rsid w:val="00BA5CF7"/>
    <w:rsid w:val="00BA5D89"/>
    <w:rsid w:val="00BA5DCF"/>
    <w:rsid w:val="00BA5E08"/>
    <w:rsid w:val="00BA5E1C"/>
    <w:rsid w:val="00BA5E30"/>
    <w:rsid w:val="00BA5F29"/>
    <w:rsid w:val="00BA5F75"/>
    <w:rsid w:val="00BA5F9D"/>
    <w:rsid w:val="00BA6021"/>
    <w:rsid w:val="00BA607A"/>
    <w:rsid w:val="00BA60DD"/>
    <w:rsid w:val="00BA6148"/>
    <w:rsid w:val="00BA6150"/>
    <w:rsid w:val="00BA61B5"/>
    <w:rsid w:val="00BA6223"/>
    <w:rsid w:val="00BA623E"/>
    <w:rsid w:val="00BA6326"/>
    <w:rsid w:val="00BA6331"/>
    <w:rsid w:val="00BA6356"/>
    <w:rsid w:val="00BA6363"/>
    <w:rsid w:val="00BA6377"/>
    <w:rsid w:val="00BA6389"/>
    <w:rsid w:val="00BA6395"/>
    <w:rsid w:val="00BA639D"/>
    <w:rsid w:val="00BA6427"/>
    <w:rsid w:val="00BA645A"/>
    <w:rsid w:val="00BA6534"/>
    <w:rsid w:val="00BA65A0"/>
    <w:rsid w:val="00BA65A9"/>
    <w:rsid w:val="00BA65B7"/>
    <w:rsid w:val="00BA65BC"/>
    <w:rsid w:val="00BA65C7"/>
    <w:rsid w:val="00BA6626"/>
    <w:rsid w:val="00BA6653"/>
    <w:rsid w:val="00BA668A"/>
    <w:rsid w:val="00BA6690"/>
    <w:rsid w:val="00BA6731"/>
    <w:rsid w:val="00BA6741"/>
    <w:rsid w:val="00BA677E"/>
    <w:rsid w:val="00BA67F3"/>
    <w:rsid w:val="00BA67FC"/>
    <w:rsid w:val="00BA682E"/>
    <w:rsid w:val="00BA6838"/>
    <w:rsid w:val="00BA688C"/>
    <w:rsid w:val="00BA68EF"/>
    <w:rsid w:val="00BA697C"/>
    <w:rsid w:val="00BA6982"/>
    <w:rsid w:val="00BA6A9D"/>
    <w:rsid w:val="00BA6B01"/>
    <w:rsid w:val="00BA6B26"/>
    <w:rsid w:val="00BA6B2C"/>
    <w:rsid w:val="00BA6B73"/>
    <w:rsid w:val="00BA6BDC"/>
    <w:rsid w:val="00BA6C98"/>
    <w:rsid w:val="00BA6C9B"/>
    <w:rsid w:val="00BA6CA1"/>
    <w:rsid w:val="00BA6CBA"/>
    <w:rsid w:val="00BA6CC4"/>
    <w:rsid w:val="00BA6CD6"/>
    <w:rsid w:val="00BA6CD8"/>
    <w:rsid w:val="00BA6CDC"/>
    <w:rsid w:val="00BA6CE3"/>
    <w:rsid w:val="00BA6D57"/>
    <w:rsid w:val="00BA6D5C"/>
    <w:rsid w:val="00BA6D71"/>
    <w:rsid w:val="00BA6DF1"/>
    <w:rsid w:val="00BA6E72"/>
    <w:rsid w:val="00BA6EAC"/>
    <w:rsid w:val="00BA6EBC"/>
    <w:rsid w:val="00BA6ED8"/>
    <w:rsid w:val="00BA6EF7"/>
    <w:rsid w:val="00BA6F54"/>
    <w:rsid w:val="00BA6F56"/>
    <w:rsid w:val="00BA6F64"/>
    <w:rsid w:val="00BA6F72"/>
    <w:rsid w:val="00BA6F9F"/>
    <w:rsid w:val="00BA6FF0"/>
    <w:rsid w:val="00BA7009"/>
    <w:rsid w:val="00BA700F"/>
    <w:rsid w:val="00BA707B"/>
    <w:rsid w:val="00BA70AF"/>
    <w:rsid w:val="00BA70EC"/>
    <w:rsid w:val="00BA715E"/>
    <w:rsid w:val="00BA717C"/>
    <w:rsid w:val="00BA718D"/>
    <w:rsid w:val="00BA71DB"/>
    <w:rsid w:val="00BA71FD"/>
    <w:rsid w:val="00BA72BD"/>
    <w:rsid w:val="00BA72DB"/>
    <w:rsid w:val="00BA72FA"/>
    <w:rsid w:val="00BA7308"/>
    <w:rsid w:val="00BA73C0"/>
    <w:rsid w:val="00BA73C9"/>
    <w:rsid w:val="00BA73DD"/>
    <w:rsid w:val="00BA7448"/>
    <w:rsid w:val="00BA7456"/>
    <w:rsid w:val="00BA748B"/>
    <w:rsid w:val="00BA74B6"/>
    <w:rsid w:val="00BA7555"/>
    <w:rsid w:val="00BA75D4"/>
    <w:rsid w:val="00BA75E3"/>
    <w:rsid w:val="00BA75E8"/>
    <w:rsid w:val="00BA762A"/>
    <w:rsid w:val="00BA764D"/>
    <w:rsid w:val="00BA765F"/>
    <w:rsid w:val="00BA779C"/>
    <w:rsid w:val="00BA77A1"/>
    <w:rsid w:val="00BA77B2"/>
    <w:rsid w:val="00BA7831"/>
    <w:rsid w:val="00BA783A"/>
    <w:rsid w:val="00BA78C1"/>
    <w:rsid w:val="00BA78CD"/>
    <w:rsid w:val="00BA78F9"/>
    <w:rsid w:val="00BA7915"/>
    <w:rsid w:val="00BA7930"/>
    <w:rsid w:val="00BA793F"/>
    <w:rsid w:val="00BA7952"/>
    <w:rsid w:val="00BA7959"/>
    <w:rsid w:val="00BA79A1"/>
    <w:rsid w:val="00BA79B0"/>
    <w:rsid w:val="00BA79E4"/>
    <w:rsid w:val="00BA7A15"/>
    <w:rsid w:val="00BA7A7D"/>
    <w:rsid w:val="00BA7ABE"/>
    <w:rsid w:val="00BA7AF9"/>
    <w:rsid w:val="00BA7B02"/>
    <w:rsid w:val="00BA7B52"/>
    <w:rsid w:val="00BA7B8B"/>
    <w:rsid w:val="00BA7BA2"/>
    <w:rsid w:val="00BA7BBB"/>
    <w:rsid w:val="00BA7BC0"/>
    <w:rsid w:val="00BA7BC8"/>
    <w:rsid w:val="00BA7C40"/>
    <w:rsid w:val="00BA7CA0"/>
    <w:rsid w:val="00BA7CB8"/>
    <w:rsid w:val="00BA7CDA"/>
    <w:rsid w:val="00BA7CDC"/>
    <w:rsid w:val="00BA7CE4"/>
    <w:rsid w:val="00BA7D08"/>
    <w:rsid w:val="00BA7D26"/>
    <w:rsid w:val="00BA7D32"/>
    <w:rsid w:val="00BA7D73"/>
    <w:rsid w:val="00BA7DD6"/>
    <w:rsid w:val="00BA7DE4"/>
    <w:rsid w:val="00BA7DFA"/>
    <w:rsid w:val="00BA7E18"/>
    <w:rsid w:val="00BA7E27"/>
    <w:rsid w:val="00BA7E34"/>
    <w:rsid w:val="00BA7E36"/>
    <w:rsid w:val="00BA7E8B"/>
    <w:rsid w:val="00BA7EE7"/>
    <w:rsid w:val="00BA7F5C"/>
    <w:rsid w:val="00BA7F8D"/>
    <w:rsid w:val="00BA7FF1"/>
    <w:rsid w:val="00BB001B"/>
    <w:rsid w:val="00BB0035"/>
    <w:rsid w:val="00BB0076"/>
    <w:rsid w:val="00BB0098"/>
    <w:rsid w:val="00BB00F3"/>
    <w:rsid w:val="00BB01F8"/>
    <w:rsid w:val="00BB01FC"/>
    <w:rsid w:val="00BB0215"/>
    <w:rsid w:val="00BB0225"/>
    <w:rsid w:val="00BB0256"/>
    <w:rsid w:val="00BB0267"/>
    <w:rsid w:val="00BB027F"/>
    <w:rsid w:val="00BB02CF"/>
    <w:rsid w:val="00BB02D8"/>
    <w:rsid w:val="00BB02FE"/>
    <w:rsid w:val="00BB0315"/>
    <w:rsid w:val="00BB0320"/>
    <w:rsid w:val="00BB0357"/>
    <w:rsid w:val="00BB03A3"/>
    <w:rsid w:val="00BB03B4"/>
    <w:rsid w:val="00BB0517"/>
    <w:rsid w:val="00BB051D"/>
    <w:rsid w:val="00BB0523"/>
    <w:rsid w:val="00BB0581"/>
    <w:rsid w:val="00BB05C3"/>
    <w:rsid w:val="00BB05DE"/>
    <w:rsid w:val="00BB05F9"/>
    <w:rsid w:val="00BB060F"/>
    <w:rsid w:val="00BB062C"/>
    <w:rsid w:val="00BB0703"/>
    <w:rsid w:val="00BB0709"/>
    <w:rsid w:val="00BB0712"/>
    <w:rsid w:val="00BB0775"/>
    <w:rsid w:val="00BB0777"/>
    <w:rsid w:val="00BB07C5"/>
    <w:rsid w:val="00BB07D9"/>
    <w:rsid w:val="00BB081E"/>
    <w:rsid w:val="00BB08E5"/>
    <w:rsid w:val="00BB090D"/>
    <w:rsid w:val="00BB0961"/>
    <w:rsid w:val="00BB0968"/>
    <w:rsid w:val="00BB097A"/>
    <w:rsid w:val="00BB0A06"/>
    <w:rsid w:val="00BB0A7B"/>
    <w:rsid w:val="00BB0AB2"/>
    <w:rsid w:val="00BB0C2E"/>
    <w:rsid w:val="00BB0C4F"/>
    <w:rsid w:val="00BB0D43"/>
    <w:rsid w:val="00BB0D57"/>
    <w:rsid w:val="00BB0D62"/>
    <w:rsid w:val="00BB0D8A"/>
    <w:rsid w:val="00BB0DC9"/>
    <w:rsid w:val="00BB0DFE"/>
    <w:rsid w:val="00BB0E0A"/>
    <w:rsid w:val="00BB0E2B"/>
    <w:rsid w:val="00BB0E34"/>
    <w:rsid w:val="00BB0ECC"/>
    <w:rsid w:val="00BB0EDA"/>
    <w:rsid w:val="00BB0F09"/>
    <w:rsid w:val="00BB0F1B"/>
    <w:rsid w:val="00BB0FBB"/>
    <w:rsid w:val="00BB0FE1"/>
    <w:rsid w:val="00BB1017"/>
    <w:rsid w:val="00BB1030"/>
    <w:rsid w:val="00BB1033"/>
    <w:rsid w:val="00BB109E"/>
    <w:rsid w:val="00BB1104"/>
    <w:rsid w:val="00BB1105"/>
    <w:rsid w:val="00BB111C"/>
    <w:rsid w:val="00BB114B"/>
    <w:rsid w:val="00BB119D"/>
    <w:rsid w:val="00BB11BC"/>
    <w:rsid w:val="00BB11F7"/>
    <w:rsid w:val="00BB1203"/>
    <w:rsid w:val="00BB1215"/>
    <w:rsid w:val="00BB128B"/>
    <w:rsid w:val="00BB12CA"/>
    <w:rsid w:val="00BB1362"/>
    <w:rsid w:val="00BB1387"/>
    <w:rsid w:val="00BB1391"/>
    <w:rsid w:val="00BB13A0"/>
    <w:rsid w:val="00BB13A7"/>
    <w:rsid w:val="00BB13F9"/>
    <w:rsid w:val="00BB1407"/>
    <w:rsid w:val="00BB147B"/>
    <w:rsid w:val="00BB14ED"/>
    <w:rsid w:val="00BB153A"/>
    <w:rsid w:val="00BB1547"/>
    <w:rsid w:val="00BB15EC"/>
    <w:rsid w:val="00BB1638"/>
    <w:rsid w:val="00BB1641"/>
    <w:rsid w:val="00BB1661"/>
    <w:rsid w:val="00BB1662"/>
    <w:rsid w:val="00BB16B1"/>
    <w:rsid w:val="00BB16C7"/>
    <w:rsid w:val="00BB1738"/>
    <w:rsid w:val="00BB1762"/>
    <w:rsid w:val="00BB1791"/>
    <w:rsid w:val="00BB1867"/>
    <w:rsid w:val="00BB1883"/>
    <w:rsid w:val="00BB1922"/>
    <w:rsid w:val="00BB198F"/>
    <w:rsid w:val="00BB1A08"/>
    <w:rsid w:val="00BB1AAE"/>
    <w:rsid w:val="00BB1ACE"/>
    <w:rsid w:val="00BB1B01"/>
    <w:rsid w:val="00BB1BC1"/>
    <w:rsid w:val="00BB1C88"/>
    <w:rsid w:val="00BB1D05"/>
    <w:rsid w:val="00BB1D19"/>
    <w:rsid w:val="00BB1D2F"/>
    <w:rsid w:val="00BB1DEE"/>
    <w:rsid w:val="00BB1EBD"/>
    <w:rsid w:val="00BB1F1F"/>
    <w:rsid w:val="00BB1F2A"/>
    <w:rsid w:val="00BB1F3E"/>
    <w:rsid w:val="00BB1F5B"/>
    <w:rsid w:val="00BB1FDF"/>
    <w:rsid w:val="00BB1FF8"/>
    <w:rsid w:val="00BB200D"/>
    <w:rsid w:val="00BB202F"/>
    <w:rsid w:val="00BB2060"/>
    <w:rsid w:val="00BB2087"/>
    <w:rsid w:val="00BB2089"/>
    <w:rsid w:val="00BB20C4"/>
    <w:rsid w:val="00BB2100"/>
    <w:rsid w:val="00BB2131"/>
    <w:rsid w:val="00BB2151"/>
    <w:rsid w:val="00BB218E"/>
    <w:rsid w:val="00BB21B0"/>
    <w:rsid w:val="00BB21B2"/>
    <w:rsid w:val="00BB21F0"/>
    <w:rsid w:val="00BB2217"/>
    <w:rsid w:val="00BB2228"/>
    <w:rsid w:val="00BB2281"/>
    <w:rsid w:val="00BB22B5"/>
    <w:rsid w:val="00BB22D8"/>
    <w:rsid w:val="00BB22EE"/>
    <w:rsid w:val="00BB22F3"/>
    <w:rsid w:val="00BB230C"/>
    <w:rsid w:val="00BB2316"/>
    <w:rsid w:val="00BB2361"/>
    <w:rsid w:val="00BB236F"/>
    <w:rsid w:val="00BB23A2"/>
    <w:rsid w:val="00BB23A3"/>
    <w:rsid w:val="00BB23BA"/>
    <w:rsid w:val="00BB23D7"/>
    <w:rsid w:val="00BB2426"/>
    <w:rsid w:val="00BB242F"/>
    <w:rsid w:val="00BB2447"/>
    <w:rsid w:val="00BB24CD"/>
    <w:rsid w:val="00BB24DF"/>
    <w:rsid w:val="00BB2570"/>
    <w:rsid w:val="00BB257E"/>
    <w:rsid w:val="00BB25E2"/>
    <w:rsid w:val="00BB268A"/>
    <w:rsid w:val="00BB26D1"/>
    <w:rsid w:val="00BB26F8"/>
    <w:rsid w:val="00BB272F"/>
    <w:rsid w:val="00BB2735"/>
    <w:rsid w:val="00BB2736"/>
    <w:rsid w:val="00BB274D"/>
    <w:rsid w:val="00BB2757"/>
    <w:rsid w:val="00BB277C"/>
    <w:rsid w:val="00BB27B4"/>
    <w:rsid w:val="00BB27BB"/>
    <w:rsid w:val="00BB27C3"/>
    <w:rsid w:val="00BB27C8"/>
    <w:rsid w:val="00BB27E8"/>
    <w:rsid w:val="00BB2879"/>
    <w:rsid w:val="00BB28A3"/>
    <w:rsid w:val="00BB28CB"/>
    <w:rsid w:val="00BB28EC"/>
    <w:rsid w:val="00BB28FD"/>
    <w:rsid w:val="00BB290B"/>
    <w:rsid w:val="00BB2918"/>
    <w:rsid w:val="00BB291B"/>
    <w:rsid w:val="00BB2957"/>
    <w:rsid w:val="00BB295C"/>
    <w:rsid w:val="00BB2995"/>
    <w:rsid w:val="00BB2996"/>
    <w:rsid w:val="00BB2A24"/>
    <w:rsid w:val="00BB2A8E"/>
    <w:rsid w:val="00BB2A95"/>
    <w:rsid w:val="00BB2ADC"/>
    <w:rsid w:val="00BB2B70"/>
    <w:rsid w:val="00BB2B74"/>
    <w:rsid w:val="00BB2B9C"/>
    <w:rsid w:val="00BB2BE0"/>
    <w:rsid w:val="00BB2BE2"/>
    <w:rsid w:val="00BB2BFE"/>
    <w:rsid w:val="00BB2C44"/>
    <w:rsid w:val="00BB2CAF"/>
    <w:rsid w:val="00BB2CB2"/>
    <w:rsid w:val="00BB2CE2"/>
    <w:rsid w:val="00BB2D09"/>
    <w:rsid w:val="00BB2D38"/>
    <w:rsid w:val="00BB2D8E"/>
    <w:rsid w:val="00BB2D98"/>
    <w:rsid w:val="00BB2F11"/>
    <w:rsid w:val="00BB2F1D"/>
    <w:rsid w:val="00BB2F71"/>
    <w:rsid w:val="00BB2F7F"/>
    <w:rsid w:val="00BB2FCF"/>
    <w:rsid w:val="00BB3024"/>
    <w:rsid w:val="00BB3055"/>
    <w:rsid w:val="00BB3087"/>
    <w:rsid w:val="00BB30BF"/>
    <w:rsid w:val="00BB30E2"/>
    <w:rsid w:val="00BB30FD"/>
    <w:rsid w:val="00BB3130"/>
    <w:rsid w:val="00BB313C"/>
    <w:rsid w:val="00BB31F1"/>
    <w:rsid w:val="00BB323E"/>
    <w:rsid w:val="00BB3261"/>
    <w:rsid w:val="00BB3269"/>
    <w:rsid w:val="00BB329D"/>
    <w:rsid w:val="00BB3300"/>
    <w:rsid w:val="00BB3329"/>
    <w:rsid w:val="00BB332E"/>
    <w:rsid w:val="00BB3331"/>
    <w:rsid w:val="00BB3359"/>
    <w:rsid w:val="00BB3380"/>
    <w:rsid w:val="00BB3393"/>
    <w:rsid w:val="00BB33B1"/>
    <w:rsid w:val="00BB341C"/>
    <w:rsid w:val="00BB344D"/>
    <w:rsid w:val="00BB3456"/>
    <w:rsid w:val="00BB350F"/>
    <w:rsid w:val="00BB351A"/>
    <w:rsid w:val="00BB353E"/>
    <w:rsid w:val="00BB35B5"/>
    <w:rsid w:val="00BB35B7"/>
    <w:rsid w:val="00BB35BD"/>
    <w:rsid w:val="00BB3621"/>
    <w:rsid w:val="00BB364B"/>
    <w:rsid w:val="00BB366C"/>
    <w:rsid w:val="00BB3675"/>
    <w:rsid w:val="00BB36AB"/>
    <w:rsid w:val="00BB3745"/>
    <w:rsid w:val="00BB374D"/>
    <w:rsid w:val="00BB374E"/>
    <w:rsid w:val="00BB3755"/>
    <w:rsid w:val="00BB37E9"/>
    <w:rsid w:val="00BB3801"/>
    <w:rsid w:val="00BB3811"/>
    <w:rsid w:val="00BB3815"/>
    <w:rsid w:val="00BB385B"/>
    <w:rsid w:val="00BB3884"/>
    <w:rsid w:val="00BB3892"/>
    <w:rsid w:val="00BB39AF"/>
    <w:rsid w:val="00BB39F3"/>
    <w:rsid w:val="00BB3A24"/>
    <w:rsid w:val="00BB3A72"/>
    <w:rsid w:val="00BB3A83"/>
    <w:rsid w:val="00BB3A89"/>
    <w:rsid w:val="00BB3AB6"/>
    <w:rsid w:val="00BB3ABF"/>
    <w:rsid w:val="00BB3AC0"/>
    <w:rsid w:val="00BB3AD0"/>
    <w:rsid w:val="00BB3AEA"/>
    <w:rsid w:val="00BB3AEE"/>
    <w:rsid w:val="00BB3AF3"/>
    <w:rsid w:val="00BB3B72"/>
    <w:rsid w:val="00BB3BDD"/>
    <w:rsid w:val="00BB3C72"/>
    <w:rsid w:val="00BB3CFB"/>
    <w:rsid w:val="00BB3D01"/>
    <w:rsid w:val="00BB3D14"/>
    <w:rsid w:val="00BB3D16"/>
    <w:rsid w:val="00BB3D5F"/>
    <w:rsid w:val="00BB3E29"/>
    <w:rsid w:val="00BB3E31"/>
    <w:rsid w:val="00BB3E36"/>
    <w:rsid w:val="00BB3E73"/>
    <w:rsid w:val="00BB3F06"/>
    <w:rsid w:val="00BB3F88"/>
    <w:rsid w:val="00BB3F9C"/>
    <w:rsid w:val="00BB4049"/>
    <w:rsid w:val="00BB4062"/>
    <w:rsid w:val="00BB40BC"/>
    <w:rsid w:val="00BB40D1"/>
    <w:rsid w:val="00BB417E"/>
    <w:rsid w:val="00BB418F"/>
    <w:rsid w:val="00BB41B7"/>
    <w:rsid w:val="00BB4296"/>
    <w:rsid w:val="00BB42C0"/>
    <w:rsid w:val="00BB42C6"/>
    <w:rsid w:val="00BB42DE"/>
    <w:rsid w:val="00BB42E2"/>
    <w:rsid w:val="00BB43BC"/>
    <w:rsid w:val="00BB43C7"/>
    <w:rsid w:val="00BB447F"/>
    <w:rsid w:val="00BB4489"/>
    <w:rsid w:val="00BB449D"/>
    <w:rsid w:val="00BB4521"/>
    <w:rsid w:val="00BB454A"/>
    <w:rsid w:val="00BB457F"/>
    <w:rsid w:val="00BB45B8"/>
    <w:rsid w:val="00BB464B"/>
    <w:rsid w:val="00BB4697"/>
    <w:rsid w:val="00BB4728"/>
    <w:rsid w:val="00BB482F"/>
    <w:rsid w:val="00BB4842"/>
    <w:rsid w:val="00BB4849"/>
    <w:rsid w:val="00BB48B5"/>
    <w:rsid w:val="00BB48B7"/>
    <w:rsid w:val="00BB4921"/>
    <w:rsid w:val="00BB4928"/>
    <w:rsid w:val="00BB494C"/>
    <w:rsid w:val="00BB4992"/>
    <w:rsid w:val="00BB49D5"/>
    <w:rsid w:val="00BB4A06"/>
    <w:rsid w:val="00BB4A1F"/>
    <w:rsid w:val="00BB4AAD"/>
    <w:rsid w:val="00BB4B54"/>
    <w:rsid w:val="00BB4B5F"/>
    <w:rsid w:val="00BB4B89"/>
    <w:rsid w:val="00BB4B9B"/>
    <w:rsid w:val="00BB4BAC"/>
    <w:rsid w:val="00BB4BC2"/>
    <w:rsid w:val="00BB4C35"/>
    <w:rsid w:val="00BB4C93"/>
    <w:rsid w:val="00BB4CBC"/>
    <w:rsid w:val="00BB4CFB"/>
    <w:rsid w:val="00BB4D06"/>
    <w:rsid w:val="00BB4D4C"/>
    <w:rsid w:val="00BB4D56"/>
    <w:rsid w:val="00BB4D6C"/>
    <w:rsid w:val="00BB4DAD"/>
    <w:rsid w:val="00BB4E43"/>
    <w:rsid w:val="00BB4E51"/>
    <w:rsid w:val="00BB4E55"/>
    <w:rsid w:val="00BB4EFB"/>
    <w:rsid w:val="00BB4F35"/>
    <w:rsid w:val="00BB4F94"/>
    <w:rsid w:val="00BB50A1"/>
    <w:rsid w:val="00BB50C0"/>
    <w:rsid w:val="00BB50DF"/>
    <w:rsid w:val="00BB50E7"/>
    <w:rsid w:val="00BB5121"/>
    <w:rsid w:val="00BB5147"/>
    <w:rsid w:val="00BB51AD"/>
    <w:rsid w:val="00BB51B6"/>
    <w:rsid w:val="00BB5234"/>
    <w:rsid w:val="00BB525A"/>
    <w:rsid w:val="00BB52B4"/>
    <w:rsid w:val="00BB5302"/>
    <w:rsid w:val="00BB535F"/>
    <w:rsid w:val="00BB536D"/>
    <w:rsid w:val="00BB537D"/>
    <w:rsid w:val="00BB538E"/>
    <w:rsid w:val="00BB5426"/>
    <w:rsid w:val="00BB5440"/>
    <w:rsid w:val="00BB5447"/>
    <w:rsid w:val="00BB5512"/>
    <w:rsid w:val="00BB554F"/>
    <w:rsid w:val="00BB55A5"/>
    <w:rsid w:val="00BB55B5"/>
    <w:rsid w:val="00BB5609"/>
    <w:rsid w:val="00BB5613"/>
    <w:rsid w:val="00BB5649"/>
    <w:rsid w:val="00BB5699"/>
    <w:rsid w:val="00BB572E"/>
    <w:rsid w:val="00BB5753"/>
    <w:rsid w:val="00BB5762"/>
    <w:rsid w:val="00BB5797"/>
    <w:rsid w:val="00BB57A7"/>
    <w:rsid w:val="00BB57B8"/>
    <w:rsid w:val="00BB5883"/>
    <w:rsid w:val="00BB5893"/>
    <w:rsid w:val="00BB58B5"/>
    <w:rsid w:val="00BB58DE"/>
    <w:rsid w:val="00BB5913"/>
    <w:rsid w:val="00BB592B"/>
    <w:rsid w:val="00BB597D"/>
    <w:rsid w:val="00BB59A8"/>
    <w:rsid w:val="00BB59F5"/>
    <w:rsid w:val="00BB5A33"/>
    <w:rsid w:val="00BB5A60"/>
    <w:rsid w:val="00BB5AD4"/>
    <w:rsid w:val="00BB5AFD"/>
    <w:rsid w:val="00BB5B73"/>
    <w:rsid w:val="00BB5B7F"/>
    <w:rsid w:val="00BB5BA1"/>
    <w:rsid w:val="00BB5BD3"/>
    <w:rsid w:val="00BB5BE2"/>
    <w:rsid w:val="00BB5C2F"/>
    <w:rsid w:val="00BB5C70"/>
    <w:rsid w:val="00BB5CC7"/>
    <w:rsid w:val="00BB5D45"/>
    <w:rsid w:val="00BB5D68"/>
    <w:rsid w:val="00BB5DBA"/>
    <w:rsid w:val="00BB5DC2"/>
    <w:rsid w:val="00BB5DC8"/>
    <w:rsid w:val="00BB5DD5"/>
    <w:rsid w:val="00BB5E15"/>
    <w:rsid w:val="00BB5EAB"/>
    <w:rsid w:val="00BB5EBB"/>
    <w:rsid w:val="00BB5FC6"/>
    <w:rsid w:val="00BB6015"/>
    <w:rsid w:val="00BB6039"/>
    <w:rsid w:val="00BB610F"/>
    <w:rsid w:val="00BB61A9"/>
    <w:rsid w:val="00BB61D8"/>
    <w:rsid w:val="00BB6259"/>
    <w:rsid w:val="00BB62F8"/>
    <w:rsid w:val="00BB645F"/>
    <w:rsid w:val="00BB64BB"/>
    <w:rsid w:val="00BB64CA"/>
    <w:rsid w:val="00BB651B"/>
    <w:rsid w:val="00BB651E"/>
    <w:rsid w:val="00BB6562"/>
    <w:rsid w:val="00BB663D"/>
    <w:rsid w:val="00BB66DD"/>
    <w:rsid w:val="00BB66E2"/>
    <w:rsid w:val="00BB66EE"/>
    <w:rsid w:val="00BB6722"/>
    <w:rsid w:val="00BB6730"/>
    <w:rsid w:val="00BB673D"/>
    <w:rsid w:val="00BB6748"/>
    <w:rsid w:val="00BB6749"/>
    <w:rsid w:val="00BB6804"/>
    <w:rsid w:val="00BB6821"/>
    <w:rsid w:val="00BB6838"/>
    <w:rsid w:val="00BB695F"/>
    <w:rsid w:val="00BB6970"/>
    <w:rsid w:val="00BB69C1"/>
    <w:rsid w:val="00BB6ABC"/>
    <w:rsid w:val="00BB6B5D"/>
    <w:rsid w:val="00BB6B77"/>
    <w:rsid w:val="00BB6B7A"/>
    <w:rsid w:val="00BB6BBF"/>
    <w:rsid w:val="00BB6BDE"/>
    <w:rsid w:val="00BB6C54"/>
    <w:rsid w:val="00BB6D33"/>
    <w:rsid w:val="00BB6D63"/>
    <w:rsid w:val="00BB6DBF"/>
    <w:rsid w:val="00BB6E6A"/>
    <w:rsid w:val="00BB6E6F"/>
    <w:rsid w:val="00BB6E82"/>
    <w:rsid w:val="00BB6F38"/>
    <w:rsid w:val="00BB6F5D"/>
    <w:rsid w:val="00BB6FB5"/>
    <w:rsid w:val="00BB6FD3"/>
    <w:rsid w:val="00BB702E"/>
    <w:rsid w:val="00BB7044"/>
    <w:rsid w:val="00BB706B"/>
    <w:rsid w:val="00BB70D3"/>
    <w:rsid w:val="00BB70EC"/>
    <w:rsid w:val="00BB711C"/>
    <w:rsid w:val="00BB7137"/>
    <w:rsid w:val="00BB7176"/>
    <w:rsid w:val="00BB7193"/>
    <w:rsid w:val="00BB71F1"/>
    <w:rsid w:val="00BB7229"/>
    <w:rsid w:val="00BB7289"/>
    <w:rsid w:val="00BB7297"/>
    <w:rsid w:val="00BB7298"/>
    <w:rsid w:val="00BB72A2"/>
    <w:rsid w:val="00BB7351"/>
    <w:rsid w:val="00BB7375"/>
    <w:rsid w:val="00BB7394"/>
    <w:rsid w:val="00BB73AF"/>
    <w:rsid w:val="00BB73C9"/>
    <w:rsid w:val="00BB73E3"/>
    <w:rsid w:val="00BB73EE"/>
    <w:rsid w:val="00BB73FA"/>
    <w:rsid w:val="00BB73FD"/>
    <w:rsid w:val="00BB7422"/>
    <w:rsid w:val="00BB748A"/>
    <w:rsid w:val="00BB753E"/>
    <w:rsid w:val="00BB7549"/>
    <w:rsid w:val="00BB756E"/>
    <w:rsid w:val="00BB75A1"/>
    <w:rsid w:val="00BB75B5"/>
    <w:rsid w:val="00BB75EA"/>
    <w:rsid w:val="00BB7631"/>
    <w:rsid w:val="00BB7640"/>
    <w:rsid w:val="00BB766A"/>
    <w:rsid w:val="00BB766B"/>
    <w:rsid w:val="00BB769B"/>
    <w:rsid w:val="00BB76D4"/>
    <w:rsid w:val="00BB7709"/>
    <w:rsid w:val="00BB771D"/>
    <w:rsid w:val="00BB77A9"/>
    <w:rsid w:val="00BB77ED"/>
    <w:rsid w:val="00BB77FB"/>
    <w:rsid w:val="00BB7813"/>
    <w:rsid w:val="00BB7844"/>
    <w:rsid w:val="00BB7879"/>
    <w:rsid w:val="00BB788B"/>
    <w:rsid w:val="00BB78DD"/>
    <w:rsid w:val="00BB795A"/>
    <w:rsid w:val="00BB7A2F"/>
    <w:rsid w:val="00BB7B50"/>
    <w:rsid w:val="00BB7B5E"/>
    <w:rsid w:val="00BB7B83"/>
    <w:rsid w:val="00BB7C1E"/>
    <w:rsid w:val="00BB7C59"/>
    <w:rsid w:val="00BB7C91"/>
    <w:rsid w:val="00BB7CC1"/>
    <w:rsid w:val="00BB7CFA"/>
    <w:rsid w:val="00BB7D06"/>
    <w:rsid w:val="00BB7D2E"/>
    <w:rsid w:val="00BB7E4B"/>
    <w:rsid w:val="00BB7E76"/>
    <w:rsid w:val="00BB7E8E"/>
    <w:rsid w:val="00BB7E9D"/>
    <w:rsid w:val="00BB7EDF"/>
    <w:rsid w:val="00BB7EF0"/>
    <w:rsid w:val="00BB7F9B"/>
    <w:rsid w:val="00BB7FB9"/>
    <w:rsid w:val="00BB7FC1"/>
    <w:rsid w:val="00BC003C"/>
    <w:rsid w:val="00BC0044"/>
    <w:rsid w:val="00BC004C"/>
    <w:rsid w:val="00BC0070"/>
    <w:rsid w:val="00BC0077"/>
    <w:rsid w:val="00BC0090"/>
    <w:rsid w:val="00BC0092"/>
    <w:rsid w:val="00BC013A"/>
    <w:rsid w:val="00BC0170"/>
    <w:rsid w:val="00BC0184"/>
    <w:rsid w:val="00BC01B2"/>
    <w:rsid w:val="00BC01C2"/>
    <w:rsid w:val="00BC01E0"/>
    <w:rsid w:val="00BC0244"/>
    <w:rsid w:val="00BC0281"/>
    <w:rsid w:val="00BC02A6"/>
    <w:rsid w:val="00BC02AB"/>
    <w:rsid w:val="00BC02AD"/>
    <w:rsid w:val="00BC02F5"/>
    <w:rsid w:val="00BC0366"/>
    <w:rsid w:val="00BC03CB"/>
    <w:rsid w:val="00BC03D9"/>
    <w:rsid w:val="00BC03E1"/>
    <w:rsid w:val="00BC0429"/>
    <w:rsid w:val="00BC04AE"/>
    <w:rsid w:val="00BC051C"/>
    <w:rsid w:val="00BC05F6"/>
    <w:rsid w:val="00BC0601"/>
    <w:rsid w:val="00BC062E"/>
    <w:rsid w:val="00BC069A"/>
    <w:rsid w:val="00BC06CA"/>
    <w:rsid w:val="00BC06EA"/>
    <w:rsid w:val="00BC06EB"/>
    <w:rsid w:val="00BC0700"/>
    <w:rsid w:val="00BC0735"/>
    <w:rsid w:val="00BC0777"/>
    <w:rsid w:val="00BC07D8"/>
    <w:rsid w:val="00BC07FF"/>
    <w:rsid w:val="00BC080C"/>
    <w:rsid w:val="00BC082D"/>
    <w:rsid w:val="00BC0854"/>
    <w:rsid w:val="00BC0856"/>
    <w:rsid w:val="00BC0861"/>
    <w:rsid w:val="00BC088E"/>
    <w:rsid w:val="00BC0893"/>
    <w:rsid w:val="00BC09CF"/>
    <w:rsid w:val="00BC0A6F"/>
    <w:rsid w:val="00BC0A87"/>
    <w:rsid w:val="00BC0AE0"/>
    <w:rsid w:val="00BC0B16"/>
    <w:rsid w:val="00BC0BC6"/>
    <w:rsid w:val="00BC0C98"/>
    <w:rsid w:val="00BC0DC9"/>
    <w:rsid w:val="00BC0DD0"/>
    <w:rsid w:val="00BC0DE2"/>
    <w:rsid w:val="00BC0EB5"/>
    <w:rsid w:val="00BC0F3D"/>
    <w:rsid w:val="00BC0F6A"/>
    <w:rsid w:val="00BC0FBF"/>
    <w:rsid w:val="00BC0FD5"/>
    <w:rsid w:val="00BC1013"/>
    <w:rsid w:val="00BC1038"/>
    <w:rsid w:val="00BC1078"/>
    <w:rsid w:val="00BC108E"/>
    <w:rsid w:val="00BC10A4"/>
    <w:rsid w:val="00BC10AB"/>
    <w:rsid w:val="00BC10F8"/>
    <w:rsid w:val="00BC110F"/>
    <w:rsid w:val="00BC1120"/>
    <w:rsid w:val="00BC1148"/>
    <w:rsid w:val="00BC1179"/>
    <w:rsid w:val="00BC117A"/>
    <w:rsid w:val="00BC1187"/>
    <w:rsid w:val="00BC1197"/>
    <w:rsid w:val="00BC11D4"/>
    <w:rsid w:val="00BC11E8"/>
    <w:rsid w:val="00BC1220"/>
    <w:rsid w:val="00BC1256"/>
    <w:rsid w:val="00BC125E"/>
    <w:rsid w:val="00BC1260"/>
    <w:rsid w:val="00BC1269"/>
    <w:rsid w:val="00BC1283"/>
    <w:rsid w:val="00BC129E"/>
    <w:rsid w:val="00BC12A2"/>
    <w:rsid w:val="00BC12D0"/>
    <w:rsid w:val="00BC12E7"/>
    <w:rsid w:val="00BC12FC"/>
    <w:rsid w:val="00BC1398"/>
    <w:rsid w:val="00BC1415"/>
    <w:rsid w:val="00BC1438"/>
    <w:rsid w:val="00BC1478"/>
    <w:rsid w:val="00BC15F3"/>
    <w:rsid w:val="00BC1603"/>
    <w:rsid w:val="00BC1688"/>
    <w:rsid w:val="00BC16AA"/>
    <w:rsid w:val="00BC16BF"/>
    <w:rsid w:val="00BC16F6"/>
    <w:rsid w:val="00BC1704"/>
    <w:rsid w:val="00BC1745"/>
    <w:rsid w:val="00BC177E"/>
    <w:rsid w:val="00BC17C0"/>
    <w:rsid w:val="00BC17E5"/>
    <w:rsid w:val="00BC1867"/>
    <w:rsid w:val="00BC18A2"/>
    <w:rsid w:val="00BC18C3"/>
    <w:rsid w:val="00BC18DA"/>
    <w:rsid w:val="00BC18E5"/>
    <w:rsid w:val="00BC1922"/>
    <w:rsid w:val="00BC196C"/>
    <w:rsid w:val="00BC19B0"/>
    <w:rsid w:val="00BC19D7"/>
    <w:rsid w:val="00BC1A7C"/>
    <w:rsid w:val="00BC1ACC"/>
    <w:rsid w:val="00BC1B18"/>
    <w:rsid w:val="00BC1B6E"/>
    <w:rsid w:val="00BC1BC2"/>
    <w:rsid w:val="00BC1BD3"/>
    <w:rsid w:val="00BC1C3D"/>
    <w:rsid w:val="00BC1C78"/>
    <w:rsid w:val="00BC1C98"/>
    <w:rsid w:val="00BC1C9C"/>
    <w:rsid w:val="00BC1C9F"/>
    <w:rsid w:val="00BC1CB1"/>
    <w:rsid w:val="00BC1CB9"/>
    <w:rsid w:val="00BC1CD3"/>
    <w:rsid w:val="00BC1D03"/>
    <w:rsid w:val="00BC1D18"/>
    <w:rsid w:val="00BC1D85"/>
    <w:rsid w:val="00BC1DCF"/>
    <w:rsid w:val="00BC1DE5"/>
    <w:rsid w:val="00BC1E7D"/>
    <w:rsid w:val="00BC1ED9"/>
    <w:rsid w:val="00BC1F28"/>
    <w:rsid w:val="00BC1FAC"/>
    <w:rsid w:val="00BC1FE2"/>
    <w:rsid w:val="00BC213E"/>
    <w:rsid w:val="00BC2170"/>
    <w:rsid w:val="00BC2185"/>
    <w:rsid w:val="00BC2186"/>
    <w:rsid w:val="00BC2196"/>
    <w:rsid w:val="00BC2202"/>
    <w:rsid w:val="00BC220F"/>
    <w:rsid w:val="00BC2210"/>
    <w:rsid w:val="00BC2256"/>
    <w:rsid w:val="00BC226E"/>
    <w:rsid w:val="00BC233C"/>
    <w:rsid w:val="00BC238C"/>
    <w:rsid w:val="00BC2443"/>
    <w:rsid w:val="00BC24AD"/>
    <w:rsid w:val="00BC2574"/>
    <w:rsid w:val="00BC25AA"/>
    <w:rsid w:val="00BC25B1"/>
    <w:rsid w:val="00BC2670"/>
    <w:rsid w:val="00BC26DB"/>
    <w:rsid w:val="00BC26EE"/>
    <w:rsid w:val="00BC272D"/>
    <w:rsid w:val="00BC2748"/>
    <w:rsid w:val="00BC2780"/>
    <w:rsid w:val="00BC27D0"/>
    <w:rsid w:val="00BC27F4"/>
    <w:rsid w:val="00BC2874"/>
    <w:rsid w:val="00BC2875"/>
    <w:rsid w:val="00BC287F"/>
    <w:rsid w:val="00BC2888"/>
    <w:rsid w:val="00BC2947"/>
    <w:rsid w:val="00BC2997"/>
    <w:rsid w:val="00BC29BA"/>
    <w:rsid w:val="00BC29C2"/>
    <w:rsid w:val="00BC29D2"/>
    <w:rsid w:val="00BC2A60"/>
    <w:rsid w:val="00BC2A88"/>
    <w:rsid w:val="00BC2ACF"/>
    <w:rsid w:val="00BC2B86"/>
    <w:rsid w:val="00BC2BD8"/>
    <w:rsid w:val="00BC2CB5"/>
    <w:rsid w:val="00BC2CD0"/>
    <w:rsid w:val="00BC2D63"/>
    <w:rsid w:val="00BC2D8A"/>
    <w:rsid w:val="00BC2DFB"/>
    <w:rsid w:val="00BC2E5C"/>
    <w:rsid w:val="00BC2E69"/>
    <w:rsid w:val="00BC2FAF"/>
    <w:rsid w:val="00BC2FB5"/>
    <w:rsid w:val="00BC3014"/>
    <w:rsid w:val="00BC302D"/>
    <w:rsid w:val="00BC3073"/>
    <w:rsid w:val="00BC30E1"/>
    <w:rsid w:val="00BC30F2"/>
    <w:rsid w:val="00BC312B"/>
    <w:rsid w:val="00BC3174"/>
    <w:rsid w:val="00BC318F"/>
    <w:rsid w:val="00BC3197"/>
    <w:rsid w:val="00BC31D4"/>
    <w:rsid w:val="00BC31DA"/>
    <w:rsid w:val="00BC31DC"/>
    <w:rsid w:val="00BC3269"/>
    <w:rsid w:val="00BC32C2"/>
    <w:rsid w:val="00BC32CE"/>
    <w:rsid w:val="00BC3338"/>
    <w:rsid w:val="00BC333D"/>
    <w:rsid w:val="00BC348E"/>
    <w:rsid w:val="00BC34A9"/>
    <w:rsid w:val="00BC34B7"/>
    <w:rsid w:val="00BC3500"/>
    <w:rsid w:val="00BC3509"/>
    <w:rsid w:val="00BC3520"/>
    <w:rsid w:val="00BC356D"/>
    <w:rsid w:val="00BC35A0"/>
    <w:rsid w:val="00BC362A"/>
    <w:rsid w:val="00BC3688"/>
    <w:rsid w:val="00BC36F2"/>
    <w:rsid w:val="00BC36F3"/>
    <w:rsid w:val="00BC3703"/>
    <w:rsid w:val="00BC375A"/>
    <w:rsid w:val="00BC376E"/>
    <w:rsid w:val="00BC382D"/>
    <w:rsid w:val="00BC385B"/>
    <w:rsid w:val="00BC388D"/>
    <w:rsid w:val="00BC3890"/>
    <w:rsid w:val="00BC3910"/>
    <w:rsid w:val="00BC391D"/>
    <w:rsid w:val="00BC3927"/>
    <w:rsid w:val="00BC3946"/>
    <w:rsid w:val="00BC3958"/>
    <w:rsid w:val="00BC3982"/>
    <w:rsid w:val="00BC39A1"/>
    <w:rsid w:val="00BC3A05"/>
    <w:rsid w:val="00BC3A36"/>
    <w:rsid w:val="00BC3A65"/>
    <w:rsid w:val="00BC3B21"/>
    <w:rsid w:val="00BC3B94"/>
    <w:rsid w:val="00BC3C49"/>
    <w:rsid w:val="00BC3CB4"/>
    <w:rsid w:val="00BC3CDA"/>
    <w:rsid w:val="00BC3D09"/>
    <w:rsid w:val="00BC3D30"/>
    <w:rsid w:val="00BC3D43"/>
    <w:rsid w:val="00BC3D4C"/>
    <w:rsid w:val="00BC3DEA"/>
    <w:rsid w:val="00BC3E63"/>
    <w:rsid w:val="00BC3EC2"/>
    <w:rsid w:val="00BC3EE7"/>
    <w:rsid w:val="00BC3EF0"/>
    <w:rsid w:val="00BC3F75"/>
    <w:rsid w:val="00BC3F77"/>
    <w:rsid w:val="00BC3F90"/>
    <w:rsid w:val="00BC4036"/>
    <w:rsid w:val="00BC404A"/>
    <w:rsid w:val="00BC40C6"/>
    <w:rsid w:val="00BC4130"/>
    <w:rsid w:val="00BC4161"/>
    <w:rsid w:val="00BC41CF"/>
    <w:rsid w:val="00BC41EB"/>
    <w:rsid w:val="00BC423F"/>
    <w:rsid w:val="00BC4336"/>
    <w:rsid w:val="00BC4364"/>
    <w:rsid w:val="00BC43FC"/>
    <w:rsid w:val="00BC4484"/>
    <w:rsid w:val="00BC44A4"/>
    <w:rsid w:val="00BC4513"/>
    <w:rsid w:val="00BC4531"/>
    <w:rsid w:val="00BC4539"/>
    <w:rsid w:val="00BC456B"/>
    <w:rsid w:val="00BC458F"/>
    <w:rsid w:val="00BC45B9"/>
    <w:rsid w:val="00BC463E"/>
    <w:rsid w:val="00BC4675"/>
    <w:rsid w:val="00BC4694"/>
    <w:rsid w:val="00BC4752"/>
    <w:rsid w:val="00BC4768"/>
    <w:rsid w:val="00BC476C"/>
    <w:rsid w:val="00BC478B"/>
    <w:rsid w:val="00BC4793"/>
    <w:rsid w:val="00BC479B"/>
    <w:rsid w:val="00BC47C4"/>
    <w:rsid w:val="00BC4805"/>
    <w:rsid w:val="00BC4837"/>
    <w:rsid w:val="00BC487E"/>
    <w:rsid w:val="00BC48A4"/>
    <w:rsid w:val="00BC48C4"/>
    <w:rsid w:val="00BC48E6"/>
    <w:rsid w:val="00BC491A"/>
    <w:rsid w:val="00BC4947"/>
    <w:rsid w:val="00BC4959"/>
    <w:rsid w:val="00BC49D9"/>
    <w:rsid w:val="00BC4A91"/>
    <w:rsid w:val="00BC4AA8"/>
    <w:rsid w:val="00BC4AAC"/>
    <w:rsid w:val="00BC4ABB"/>
    <w:rsid w:val="00BC4B4E"/>
    <w:rsid w:val="00BC4BC6"/>
    <w:rsid w:val="00BC4BE2"/>
    <w:rsid w:val="00BC4C4E"/>
    <w:rsid w:val="00BC4CCA"/>
    <w:rsid w:val="00BC4CCE"/>
    <w:rsid w:val="00BC4D04"/>
    <w:rsid w:val="00BC4D33"/>
    <w:rsid w:val="00BC4DCA"/>
    <w:rsid w:val="00BC4E11"/>
    <w:rsid w:val="00BC4E2C"/>
    <w:rsid w:val="00BC4E34"/>
    <w:rsid w:val="00BC4E83"/>
    <w:rsid w:val="00BC4FC1"/>
    <w:rsid w:val="00BC4FCA"/>
    <w:rsid w:val="00BC4FF7"/>
    <w:rsid w:val="00BC5041"/>
    <w:rsid w:val="00BC5077"/>
    <w:rsid w:val="00BC509B"/>
    <w:rsid w:val="00BC50A9"/>
    <w:rsid w:val="00BC513C"/>
    <w:rsid w:val="00BC5180"/>
    <w:rsid w:val="00BC5189"/>
    <w:rsid w:val="00BC5193"/>
    <w:rsid w:val="00BC51AC"/>
    <w:rsid w:val="00BC51B7"/>
    <w:rsid w:val="00BC51BE"/>
    <w:rsid w:val="00BC5211"/>
    <w:rsid w:val="00BC52CD"/>
    <w:rsid w:val="00BC5346"/>
    <w:rsid w:val="00BC5445"/>
    <w:rsid w:val="00BC546C"/>
    <w:rsid w:val="00BC54F7"/>
    <w:rsid w:val="00BC5521"/>
    <w:rsid w:val="00BC554B"/>
    <w:rsid w:val="00BC55F8"/>
    <w:rsid w:val="00BC564D"/>
    <w:rsid w:val="00BC56AE"/>
    <w:rsid w:val="00BC56E7"/>
    <w:rsid w:val="00BC579F"/>
    <w:rsid w:val="00BC57AA"/>
    <w:rsid w:val="00BC57AF"/>
    <w:rsid w:val="00BC5816"/>
    <w:rsid w:val="00BC586E"/>
    <w:rsid w:val="00BC5891"/>
    <w:rsid w:val="00BC589C"/>
    <w:rsid w:val="00BC58A0"/>
    <w:rsid w:val="00BC58D8"/>
    <w:rsid w:val="00BC58DC"/>
    <w:rsid w:val="00BC591B"/>
    <w:rsid w:val="00BC5989"/>
    <w:rsid w:val="00BC5A0D"/>
    <w:rsid w:val="00BC5A35"/>
    <w:rsid w:val="00BC5A40"/>
    <w:rsid w:val="00BC5AFB"/>
    <w:rsid w:val="00BC5AFD"/>
    <w:rsid w:val="00BC5B49"/>
    <w:rsid w:val="00BC5B5D"/>
    <w:rsid w:val="00BC5BA5"/>
    <w:rsid w:val="00BC5BF1"/>
    <w:rsid w:val="00BC5C0D"/>
    <w:rsid w:val="00BC5C35"/>
    <w:rsid w:val="00BC5C36"/>
    <w:rsid w:val="00BC5C99"/>
    <w:rsid w:val="00BC5D14"/>
    <w:rsid w:val="00BC5D18"/>
    <w:rsid w:val="00BC5D48"/>
    <w:rsid w:val="00BC5DAB"/>
    <w:rsid w:val="00BC5DAC"/>
    <w:rsid w:val="00BC5DC7"/>
    <w:rsid w:val="00BC5E8A"/>
    <w:rsid w:val="00BC5E9D"/>
    <w:rsid w:val="00BC5EA8"/>
    <w:rsid w:val="00BC5EBB"/>
    <w:rsid w:val="00BC5EBD"/>
    <w:rsid w:val="00BC5EC1"/>
    <w:rsid w:val="00BC5F12"/>
    <w:rsid w:val="00BC5F69"/>
    <w:rsid w:val="00BC5F7F"/>
    <w:rsid w:val="00BC5FC1"/>
    <w:rsid w:val="00BC603B"/>
    <w:rsid w:val="00BC6047"/>
    <w:rsid w:val="00BC608F"/>
    <w:rsid w:val="00BC609B"/>
    <w:rsid w:val="00BC60C7"/>
    <w:rsid w:val="00BC60F7"/>
    <w:rsid w:val="00BC612E"/>
    <w:rsid w:val="00BC614D"/>
    <w:rsid w:val="00BC61BF"/>
    <w:rsid w:val="00BC61EC"/>
    <w:rsid w:val="00BC61F9"/>
    <w:rsid w:val="00BC62CE"/>
    <w:rsid w:val="00BC630B"/>
    <w:rsid w:val="00BC63BD"/>
    <w:rsid w:val="00BC63CA"/>
    <w:rsid w:val="00BC645D"/>
    <w:rsid w:val="00BC649D"/>
    <w:rsid w:val="00BC651E"/>
    <w:rsid w:val="00BC6537"/>
    <w:rsid w:val="00BC6588"/>
    <w:rsid w:val="00BC65A7"/>
    <w:rsid w:val="00BC6609"/>
    <w:rsid w:val="00BC662C"/>
    <w:rsid w:val="00BC6672"/>
    <w:rsid w:val="00BC6682"/>
    <w:rsid w:val="00BC6720"/>
    <w:rsid w:val="00BC6749"/>
    <w:rsid w:val="00BC6786"/>
    <w:rsid w:val="00BC678E"/>
    <w:rsid w:val="00BC679E"/>
    <w:rsid w:val="00BC679F"/>
    <w:rsid w:val="00BC67B6"/>
    <w:rsid w:val="00BC67CE"/>
    <w:rsid w:val="00BC6820"/>
    <w:rsid w:val="00BC68BD"/>
    <w:rsid w:val="00BC68CD"/>
    <w:rsid w:val="00BC68E5"/>
    <w:rsid w:val="00BC68F4"/>
    <w:rsid w:val="00BC6955"/>
    <w:rsid w:val="00BC6965"/>
    <w:rsid w:val="00BC69A1"/>
    <w:rsid w:val="00BC6B21"/>
    <w:rsid w:val="00BC6BC6"/>
    <w:rsid w:val="00BC6C1B"/>
    <w:rsid w:val="00BC6C55"/>
    <w:rsid w:val="00BC6C75"/>
    <w:rsid w:val="00BC6CCF"/>
    <w:rsid w:val="00BC6CDD"/>
    <w:rsid w:val="00BC6CF2"/>
    <w:rsid w:val="00BC6D1B"/>
    <w:rsid w:val="00BC6D37"/>
    <w:rsid w:val="00BC6D6E"/>
    <w:rsid w:val="00BC6D9E"/>
    <w:rsid w:val="00BC6DDE"/>
    <w:rsid w:val="00BC6E69"/>
    <w:rsid w:val="00BC6E89"/>
    <w:rsid w:val="00BC6EB5"/>
    <w:rsid w:val="00BC6EE6"/>
    <w:rsid w:val="00BC6F4E"/>
    <w:rsid w:val="00BC6FE9"/>
    <w:rsid w:val="00BC70D8"/>
    <w:rsid w:val="00BC70FB"/>
    <w:rsid w:val="00BC7179"/>
    <w:rsid w:val="00BC7181"/>
    <w:rsid w:val="00BC7190"/>
    <w:rsid w:val="00BC7196"/>
    <w:rsid w:val="00BC72C9"/>
    <w:rsid w:val="00BC72DC"/>
    <w:rsid w:val="00BC72FE"/>
    <w:rsid w:val="00BC7333"/>
    <w:rsid w:val="00BC73BF"/>
    <w:rsid w:val="00BC73DF"/>
    <w:rsid w:val="00BC7426"/>
    <w:rsid w:val="00BC7454"/>
    <w:rsid w:val="00BC7456"/>
    <w:rsid w:val="00BC745D"/>
    <w:rsid w:val="00BC746F"/>
    <w:rsid w:val="00BC7476"/>
    <w:rsid w:val="00BC74B7"/>
    <w:rsid w:val="00BC74E6"/>
    <w:rsid w:val="00BC753D"/>
    <w:rsid w:val="00BC7556"/>
    <w:rsid w:val="00BC75B6"/>
    <w:rsid w:val="00BC7615"/>
    <w:rsid w:val="00BC7624"/>
    <w:rsid w:val="00BC763F"/>
    <w:rsid w:val="00BC7644"/>
    <w:rsid w:val="00BC7724"/>
    <w:rsid w:val="00BC7744"/>
    <w:rsid w:val="00BC776C"/>
    <w:rsid w:val="00BC7851"/>
    <w:rsid w:val="00BC7997"/>
    <w:rsid w:val="00BC7A71"/>
    <w:rsid w:val="00BC7AAC"/>
    <w:rsid w:val="00BC7ACA"/>
    <w:rsid w:val="00BC7BDE"/>
    <w:rsid w:val="00BC7C0A"/>
    <w:rsid w:val="00BC7CF3"/>
    <w:rsid w:val="00BC7D03"/>
    <w:rsid w:val="00BC7D2D"/>
    <w:rsid w:val="00BC7D54"/>
    <w:rsid w:val="00BC7D60"/>
    <w:rsid w:val="00BC7D61"/>
    <w:rsid w:val="00BC7D7A"/>
    <w:rsid w:val="00BC7DB3"/>
    <w:rsid w:val="00BC7DD9"/>
    <w:rsid w:val="00BC7E27"/>
    <w:rsid w:val="00BC7EB6"/>
    <w:rsid w:val="00BC7EDA"/>
    <w:rsid w:val="00BC7F21"/>
    <w:rsid w:val="00BC7F71"/>
    <w:rsid w:val="00BC7F85"/>
    <w:rsid w:val="00BD000E"/>
    <w:rsid w:val="00BD0045"/>
    <w:rsid w:val="00BD004D"/>
    <w:rsid w:val="00BD005A"/>
    <w:rsid w:val="00BD0069"/>
    <w:rsid w:val="00BD008E"/>
    <w:rsid w:val="00BD009D"/>
    <w:rsid w:val="00BD00A4"/>
    <w:rsid w:val="00BD00B3"/>
    <w:rsid w:val="00BD0121"/>
    <w:rsid w:val="00BD0166"/>
    <w:rsid w:val="00BD01A6"/>
    <w:rsid w:val="00BD01B8"/>
    <w:rsid w:val="00BD0245"/>
    <w:rsid w:val="00BD025C"/>
    <w:rsid w:val="00BD0273"/>
    <w:rsid w:val="00BD0274"/>
    <w:rsid w:val="00BD0297"/>
    <w:rsid w:val="00BD02C9"/>
    <w:rsid w:val="00BD02DD"/>
    <w:rsid w:val="00BD02F3"/>
    <w:rsid w:val="00BD032F"/>
    <w:rsid w:val="00BD0348"/>
    <w:rsid w:val="00BD0481"/>
    <w:rsid w:val="00BD04E9"/>
    <w:rsid w:val="00BD04EC"/>
    <w:rsid w:val="00BD04F0"/>
    <w:rsid w:val="00BD0522"/>
    <w:rsid w:val="00BD0574"/>
    <w:rsid w:val="00BD0577"/>
    <w:rsid w:val="00BD0588"/>
    <w:rsid w:val="00BD05B1"/>
    <w:rsid w:val="00BD05BF"/>
    <w:rsid w:val="00BD065A"/>
    <w:rsid w:val="00BD06D4"/>
    <w:rsid w:val="00BD06D6"/>
    <w:rsid w:val="00BD06E7"/>
    <w:rsid w:val="00BD07BE"/>
    <w:rsid w:val="00BD0813"/>
    <w:rsid w:val="00BD0835"/>
    <w:rsid w:val="00BD0878"/>
    <w:rsid w:val="00BD0888"/>
    <w:rsid w:val="00BD08B4"/>
    <w:rsid w:val="00BD08BC"/>
    <w:rsid w:val="00BD08D9"/>
    <w:rsid w:val="00BD09D1"/>
    <w:rsid w:val="00BD09E7"/>
    <w:rsid w:val="00BD0A5E"/>
    <w:rsid w:val="00BD0A65"/>
    <w:rsid w:val="00BD0A7C"/>
    <w:rsid w:val="00BD0A95"/>
    <w:rsid w:val="00BD0B02"/>
    <w:rsid w:val="00BD0B1B"/>
    <w:rsid w:val="00BD0BBA"/>
    <w:rsid w:val="00BD0BE8"/>
    <w:rsid w:val="00BD0C03"/>
    <w:rsid w:val="00BD0C0F"/>
    <w:rsid w:val="00BD0C37"/>
    <w:rsid w:val="00BD0C6F"/>
    <w:rsid w:val="00BD0CFB"/>
    <w:rsid w:val="00BD0D23"/>
    <w:rsid w:val="00BD0D6D"/>
    <w:rsid w:val="00BD0DD9"/>
    <w:rsid w:val="00BD0DEE"/>
    <w:rsid w:val="00BD0DF9"/>
    <w:rsid w:val="00BD0E51"/>
    <w:rsid w:val="00BD0E77"/>
    <w:rsid w:val="00BD0ED1"/>
    <w:rsid w:val="00BD0F7B"/>
    <w:rsid w:val="00BD0FE7"/>
    <w:rsid w:val="00BD1034"/>
    <w:rsid w:val="00BD107F"/>
    <w:rsid w:val="00BD1083"/>
    <w:rsid w:val="00BD109D"/>
    <w:rsid w:val="00BD10AE"/>
    <w:rsid w:val="00BD10EA"/>
    <w:rsid w:val="00BD10F2"/>
    <w:rsid w:val="00BD1155"/>
    <w:rsid w:val="00BD11C7"/>
    <w:rsid w:val="00BD11F7"/>
    <w:rsid w:val="00BD1226"/>
    <w:rsid w:val="00BD1260"/>
    <w:rsid w:val="00BD1326"/>
    <w:rsid w:val="00BD135E"/>
    <w:rsid w:val="00BD139E"/>
    <w:rsid w:val="00BD13C2"/>
    <w:rsid w:val="00BD13E5"/>
    <w:rsid w:val="00BD1445"/>
    <w:rsid w:val="00BD1451"/>
    <w:rsid w:val="00BD1480"/>
    <w:rsid w:val="00BD1494"/>
    <w:rsid w:val="00BD15AC"/>
    <w:rsid w:val="00BD15D7"/>
    <w:rsid w:val="00BD15F8"/>
    <w:rsid w:val="00BD1639"/>
    <w:rsid w:val="00BD167E"/>
    <w:rsid w:val="00BD16D7"/>
    <w:rsid w:val="00BD16F6"/>
    <w:rsid w:val="00BD16F8"/>
    <w:rsid w:val="00BD1706"/>
    <w:rsid w:val="00BD1781"/>
    <w:rsid w:val="00BD17B1"/>
    <w:rsid w:val="00BD1800"/>
    <w:rsid w:val="00BD1847"/>
    <w:rsid w:val="00BD1853"/>
    <w:rsid w:val="00BD18D2"/>
    <w:rsid w:val="00BD1969"/>
    <w:rsid w:val="00BD196E"/>
    <w:rsid w:val="00BD19D5"/>
    <w:rsid w:val="00BD19FE"/>
    <w:rsid w:val="00BD1A0D"/>
    <w:rsid w:val="00BD1A29"/>
    <w:rsid w:val="00BD1A34"/>
    <w:rsid w:val="00BD1AE2"/>
    <w:rsid w:val="00BD1B23"/>
    <w:rsid w:val="00BD1B67"/>
    <w:rsid w:val="00BD1BD1"/>
    <w:rsid w:val="00BD1C6E"/>
    <w:rsid w:val="00BD1D16"/>
    <w:rsid w:val="00BD1D8B"/>
    <w:rsid w:val="00BD1DA2"/>
    <w:rsid w:val="00BD1DD9"/>
    <w:rsid w:val="00BD1EB1"/>
    <w:rsid w:val="00BD1EB2"/>
    <w:rsid w:val="00BD1EC5"/>
    <w:rsid w:val="00BD1F1F"/>
    <w:rsid w:val="00BD1F4D"/>
    <w:rsid w:val="00BD1F6A"/>
    <w:rsid w:val="00BD200C"/>
    <w:rsid w:val="00BD2029"/>
    <w:rsid w:val="00BD213C"/>
    <w:rsid w:val="00BD214C"/>
    <w:rsid w:val="00BD215C"/>
    <w:rsid w:val="00BD2170"/>
    <w:rsid w:val="00BD221B"/>
    <w:rsid w:val="00BD2264"/>
    <w:rsid w:val="00BD229B"/>
    <w:rsid w:val="00BD229D"/>
    <w:rsid w:val="00BD2331"/>
    <w:rsid w:val="00BD2359"/>
    <w:rsid w:val="00BD24AE"/>
    <w:rsid w:val="00BD2557"/>
    <w:rsid w:val="00BD25CE"/>
    <w:rsid w:val="00BD25DD"/>
    <w:rsid w:val="00BD25E2"/>
    <w:rsid w:val="00BD2633"/>
    <w:rsid w:val="00BD2658"/>
    <w:rsid w:val="00BD26AA"/>
    <w:rsid w:val="00BD26BF"/>
    <w:rsid w:val="00BD26C2"/>
    <w:rsid w:val="00BD2701"/>
    <w:rsid w:val="00BD2799"/>
    <w:rsid w:val="00BD27C8"/>
    <w:rsid w:val="00BD27EB"/>
    <w:rsid w:val="00BD2888"/>
    <w:rsid w:val="00BD2894"/>
    <w:rsid w:val="00BD2978"/>
    <w:rsid w:val="00BD2990"/>
    <w:rsid w:val="00BD29A6"/>
    <w:rsid w:val="00BD2A90"/>
    <w:rsid w:val="00BD2AA0"/>
    <w:rsid w:val="00BD2B12"/>
    <w:rsid w:val="00BD2B2E"/>
    <w:rsid w:val="00BD2B52"/>
    <w:rsid w:val="00BD2B71"/>
    <w:rsid w:val="00BD2BA8"/>
    <w:rsid w:val="00BD2C18"/>
    <w:rsid w:val="00BD2C1C"/>
    <w:rsid w:val="00BD2C45"/>
    <w:rsid w:val="00BD2C5B"/>
    <w:rsid w:val="00BD2C69"/>
    <w:rsid w:val="00BD2CF6"/>
    <w:rsid w:val="00BD2D2F"/>
    <w:rsid w:val="00BD2D42"/>
    <w:rsid w:val="00BD2D6A"/>
    <w:rsid w:val="00BD2E22"/>
    <w:rsid w:val="00BD2E53"/>
    <w:rsid w:val="00BD2E7B"/>
    <w:rsid w:val="00BD2EC6"/>
    <w:rsid w:val="00BD2ECC"/>
    <w:rsid w:val="00BD2F32"/>
    <w:rsid w:val="00BD2F48"/>
    <w:rsid w:val="00BD2F77"/>
    <w:rsid w:val="00BD2FAB"/>
    <w:rsid w:val="00BD2FC7"/>
    <w:rsid w:val="00BD2FE2"/>
    <w:rsid w:val="00BD3039"/>
    <w:rsid w:val="00BD31B6"/>
    <w:rsid w:val="00BD31C1"/>
    <w:rsid w:val="00BD322F"/>
    <w:rsid w:val="00BD328B"/>
    <w:rsid w:val="00BD332A"/>
    <w:rsid w:val="00BD33B4"/>
    <w:rsid w:val="00BD33BB"/>
    <w:rsid w:val="00BD33C1"/>
    <w:rsid w:val="00BD33C3"/>
    <w:rsid w:val="00BD3437"/>
    <w:rsid w:val="00BD3459"/>
    <w:rsid w:val="00BD349D"/>
    <w:rsid w:val="00BD353A"/>
    <w:rsid w:val="00BD359B"/>
    <w:rsid w:val="00BD361A"/>
    <w:rsid w:val="00BD3670"/>
    <w:rsid w:val="00BD36B4"/>
    <w:rsid w:val="00BD3732"/>
    <w:rsid w:val="00BD373B"/>
    <w:rsid w:val="00BD3767"/>
    <w:rsid w:val="00BD3813"/>
    <w:rsid w:val="00BD3888"/>
    <w:rsid w:val="00BD396F"/>
    <w:rsid w:val="00BD3989"/>
    <w:rsid w:val="00BD39EC"/>
    <w:rsid w:val="00BD3A13"/>
    <w:rsid w:val="00BD3AC0"/>
    <w:rsid w:val="00BD3AF8"/>
    <w:rsid w:val="00BD3B16"/>
    <w:rsid w:val="00BD3B40"/>
    <w:rsid w:val="00BD3B43"/>
    <w:rsid w:val="00BD3BA0"/>
    <w:rsid w:val="00BD3BAB"/>
    <w:rsid w:val="00BD3BD8"/>
    <w:rsid w:val="00BD3C26"/>
    <w:rsid w:val="00BD3C3F"/>
    <w:rsid w:val="00BD3C69"/>
    <w:rsid w:val="00BD3C8D"/>
    <w:rsid w:val="00BD3CDB"/>
    <w:rsid w:val="00BD3CF9"/>
    <w:rsid w:val="00BD3D3F"/>
    <w:rsid w:val="00BD3D78"/>
    <w:rsid w:val="00BD3D9D"/>
    <w:rsid w:val="00BD3DD4"/>
    <w:rsid w:val="00BD3E30"/>
    <w:rsid w:val="00BD3FD4"/>
    <w:rsid w:val="00BD4035"/>
    <w:rsid w:val="00BD4094"/>
    <w:rsid w:val="00BD40A2"/>
    <w:rsid w:val="00BD40B0"/>
    <w:rsid w:val="00BD40D6"/>
    <w:rsid w:val="00BD410F"/>
    <w:rsid w:val="00BD414C"/>
    <w:rsid w:val="00BD4152"/>
    <w:rsid w:val="00BD41ED"/>
    <w:rsid w:val="00BD4249"/>
    <w:rsid w:val="00BD424A"/>
    <w:rsid w:val="00BD42D0"/>
    <w:rsid w:val="00BD42DF"/>
    <w:rsid w:val="00BD42ED"/>
    <w:rsid w:val="00BD4358"/>
    <w:rsid w:val="00BD4463"/>
    <w:rsid w:val="00BD452F"/>
    <w:rsid w:val="00BD454F"/>
    <w:rsid w:val="00BD4576"/>
    <w:rsid w:val="00BD4595"/>
    <w:rsid w:val="00BD4597"/>
    <w:rsid w:val="00BD45B1"/>
    <w:rsid w:val="00BD4612"/>
    <w:rsid w:val="00BD4631"/>
    <w:rsid w:val="00BD4639"/>
    <w:rsid w:val="00BD4647"/>
    <w:rsid w:val="00BD468B"/>
    <w:rsid w:val="00BD46AF"/>
    <w:rsid w:val="00BD46C5"/>
    <w:rsid w:val="00BD475B"/>
    <w:rsid w:val="00BD4786"/>
    <w:rsid w:val="00BD47DE"/>
    <w:rsid w:val="00BD480F"/>
    <w:rsid w:val="00BD481D"/>
    <w:rsid w:val="00BD486B"/>
    <w:rsid w:val="00BD489C"/>
    <w:rsid w:val="00BD4954"/>
    <w:rsid w:val="00BD4A35"/>
    <w:rsid w:val="00BD4A68"/>
    <w:rsid w:val="00BD4AA0"/>
    <w:rsid w:val="00BD4AD9"/>
    <w:rsid w:val="00BD4B05"/>
    <w:rsid w:val="00BD4B20"/>
    <w:rsid w:val="00BD4B7C"/>
    <w:rsid w:val="00BD4B83"/>
    <w:rsid w:val="00BD4B84"/>
    <w:rsid w:val="00BD4BE5"/>
    <w:rsid w:val="00BD4C36"/>
    <w:rsid w:val="00BD4C37"/>
    <w:rsid w:val="00BD4CDB"/>
    <w:rsid w:val="00BD4CEB"/>
    <w:rsid w:val="00BD4D02"/>
    <w:rsid w:val="00BD4D0C"/>
    <w:rsid w:val="00BD4D35"/>
    <w:rsid w:val="00BD4D4E"/>
    <w:rsid w:val="00BD4E2E"/>
    <w:rsid w:val="00BD4E35"/>
    <w:rsid w:val="00BD4E53"/>
    <w:rsid w:val="00BD4EE7"/>
    <w:rsid w:val="00BD4F83"/>
    <w:rsid w:val="00BD4F9B"/>
    <w:rsid w:val="00BD4FBB"/>
    <w:rsid w:val="00BD4FEF"/>
    <w:rsid w:val="00BD505D"/>
    <w:rsid w:val="00BD506C"/>
    <w:rsid w:val="00BD50A3"/>
    <w:rsid w:val="00BD50B0"/>
    <w:rsid w:val="00BD50DB"/>
    <w:rsid w:val="00BD510E"/>
    <w:rsid w:val="00BD5130"/>
    <w:rsid w:val="00BD5142"/>
    <w:rsid w:val="00BD5191"/>
    <w:rsid w:val="00BD51E0"/>
    <w:rsid w:val="00BD51E1"/>
    <w:rsid w:val="00BD5257"/>
    <w:rsid w:val="00BD52D7"/>
    <w:rsid w:val="00BD5356"/>
    <w:rsid w:val="00BD539F"/>
    <w:rsid w:val="00BD5485"/>
    <w:rsid w:val="00BD553F"/>
    <w:rsid w:val="00BD554A"/>
    <w:rsid w:val="00BD55C9"/>
    <w:rsid w:val="00BD5676"/>
    <w:rsid w:val="00BD56F2"/>
    <w:rsid w:val="00BD56F9"/>
    <w:rsid w:val="00BD56FC"/>
    <w:rsid w:val="00BD5726"/>
    <w:rsid w:val="00BD573D"/>
    <w:rsid w:val="00BD57BD"/>
    <w:rsid w:val="00BD57DD"/>
    <w:rsid w:val="00BD57EF"/>
    <w:rsid w:val="00BD587F"/>
    <w:rsid w:val="00BD5902"/>
    <w:rsid w:val="00BD5957"/>
    <w:rsid w:val="00BD59B8"/>
    <w:rsid w:val="00BD5AD7"/>
    <w:rsid w:val="00BD5B1E"/>
    <w:rsid w:val="00BD5BA5"/>
    <w:rsid w:val="00BD5BF3"/>
    <w:rsid w:val="00BD5C7B"/>
    <w:rsid w:val="00BD5C92"/>
    <w:rsid w:val="00BD5C93"/>
    <w:rsid w:val="00BD5D25"/>
    <w:rsid w:val="00BD5DE5"/>
    <w:rsid w:val="00BD5EB7"/>
    <w:rsid w:val="00BD5ED3"/>
    <w:rsid w:val="00BD5F09"/>
    <w:rsid w:val="00BD5F84"/>
    <w:rsid w:val="00BD5F94"/>
    <w:rsid w:val="00BD6000"/>
    <w:rsid w:val="00BD601B"/>
    <w:rsid w:val="00BD6030"/>
    <w:rsid w:val="00BD6050"/>
    <w:rsid w:val="00BD607D"/>
    <w:rsid w:val="00BD6094"/>
    <w:rsid w:val="00BD60CE"/>
    <w:rsid w:val="00BD60E5"/>
    <w:rsid w:val="00BD60F7"/>
    <w:rsid w:val="00BD610C"/>
    <w:rsid w:val="00BD612E"/>
    <w:rsid w:val="00BD6139"/>
    <w:rsid w:val="00BD616E"/>
    <w:rsid w:val="00BD6220"/>
    <w:rsid w:val="00BD6248"/>
    <w:rsid w:val="00BD6249"/>
    <w:rsid w:val="00BD6297"/>
    <w:rsid w:val="00BD6298"/>
    <w:rsid w:val="00BD62AE"/>
    <w:rsid w:val="00BD62B0"/>
    <w:rsid w:val="00BD62D3"/>
    <w:rsid w:val="00BD631A"/>
    <w:rsid w:val="00BD6334"/>
    <w:rsid w:val="00BD6373"/>
    <w:rsid w:val="00BD6393"/>
    <w:rsid w:val="00BD639B"/>
    <w:rsid w:val="00BD648D"/>
    <w:rsid w:val="00BD64E1"/>
    <w:rsid w:val="00BD64F8"/>
    <w:rsid w:val="00BD659A"/>
    <w:rsid w:val="00BD6673"/>
    <w:rsid w:val="00BD66AE"/>
    <w:rsid w:val="00BD66DD"/>
    <w:rsid w:val="00BD671F"/>
    <w:rsid w:val="00BD6757"/>
    <w:rsid w:val="00BD6776"/>
    <w:rsid w:val="00BD6798"/>
    <w:rsid w:val="00BD67B8"/>
    <w:rsid w:val="00BD6877"/>
    <w:rsid w:val="00BD68B4"/>
    <w:rsid w:val="00BD68BF"/>
    <w:rsid w:val="00BD6909"/>
    <w:rsid w:val="00BD693E"/>
    <w:rsid w:val="00BD698C"/>
    <w:rsid w:val="00BD6993"/>
    <w:rsid w:val="00BD69A5"/>
    <w:rsid w:val="00BD6A51"/>
    <w:rsid w:val="00BD6A6A"/>
    <w:rsid w:val="00BD6ABA"/>
    <w:rsid w:val="00BD6AC8"/>
    <w:rsid w:val="00BD6AFF"/>
    <w:rsid w:val="00BD6B55"/>
    <w:rsid w:val="00BD6B5C"/>
    <w:rsid w:val="00BD6B99"/>
    <w:rsid w:val="00BD6B9A"/>
    <w:rsid w:val="00BD6BB9"/>
    <w:rsid w:val="00BD6C84"/>
    <w:rsid w:val="00BD6CCC"/>
    <w:rsid w:val="00BD6D26"/>
    <w:rsid w:val="00BD6D36"/>
    <w:rsid w:val="00BD6D48"/>
    <w:rsid w:val="00BD6D55"/>
    <w:rsid w:val="00BD6D84"/>
    <w:rsid w:val="00BD6DC5"/>
    <w:rsid w:val="00BD6DC8"/>
    <w:rsid w:val="00BD6EA6"/>
    <w:rsid w:val="00BD6EE9"/>
    <w:rsid w:val="00BD6F4F"/>
    <w:rsid w:val="00BD6FFA"/>
    <w:rsid w:val="00BD7115"/>
    <w:rsid w:val="00BD7125"/>
    <w:rsid w:val="00BD715D"/>
    <w:rsid w:val="00BD718D"/>
    <w:rsid w:val="00BD71DE"/>
    <w:rsid w:val="00BD71EB"/>
    <w:rsid w:val="00BD7208"/>
    <w:rsid w:val="00BD7285"/>
    <w:rsid w:val="00BD72A8"/>
    <w:rsid w:val="00BD72C0"/>
    <w:rsid w:val="00BD72F1"/>
    <w:rsid w:val="00BD7350"/>
    <w:rsid w:val="00BD7379"/>
    <w:rsid w:val="00BD73C5"/>
    <w:rsid w:val="00BD73CA"/>
    <w:rsid w:val="00BD7427"/>
    <w:rsid w:val="00BD7454"/>
    <w:rsid w:val="00BD746B"/>
    <w:rsid w:val="00BD7473"/>
    <w:rsid w:val="00BD74D6"/>
    <w:rsid w:val="00BD7548"/>
    <w:rsid w:val="00BD75B9"/>
    <w:rsid w:val="00BD75F7"/>
    <w:rsid w:val="00BD7605"/>
    <w:rsid w:val="00BD760A"/>
    <w:rsid w:val="00BD761F"/>
    <w:rsid w:val="00BD7664"/>
    <w:rsid w:val="00BD76D6"/>
    <w:rsid w:val="00BD76E1"/>
    <w:rsid w:val="00BD7700"/>
    <w:rsid w:val="00BD7705"/>
    <w:rsid w:val="00BD770C"/>
    <w:rsid w:val="00BD77C3"/>
    <w:rsid w:val="00BD77C7"/>
    <w:rsid w:val="00BD7869"/>
    <w:rsid w:val="00BD78AC"/>
    <w:rsid w:val="00BD78D5"/>
    <w:rsid w:val="00BD78F9"/>
    <w:rsid w:val="00BD7986"/>
    <w:rsid w:val="00BD79AC"/>
    <w:rsid w:val="00BD79EC"/>
    <w:rsid w:val="00BD7A4B"/>
    <w:rsid w:val="00BD7B09"/>
    <w:rsid w:val="00BD7B58"/>
    <w:rsid w:val="00BD7C52"/>
    <w:rsid w:val="00BD7C7D"/>
    <w:rsid w:val="00BD7D10"/>
    <w:rsid w:val="00BD7D1A"/>
    <w:rsid w:val="00BD7D3A"/>
    <w:rsid w:val="00BD7D56"/>
    <w:rsid w:val="00BD7D59"/>
    <w:rsid w:val="00BD7D7D"/>
    <w:rsid w:val="00BD7D98"/>
    <w:rsid w:val="00BD7DEC"/>
    <w:rsid w:val="00BD7E54"/>
    <w:rsid w:val="00BD7EDE"/>
    <w:rsid w:val="00BD7F34"/>
    <w:rsid w:val="00BD7F6D"/>
    <w:rsid w:val="00BD7FAA"/>
    <w:rsid w:val="00BE0004"/>
    <w:rsid w:val="00BE005C"/>
    <w:rsid w:val="00BE0106"/>
    <w:rsid w:val="00BE0170"/>
    <w:rsid w:val="00BE0198"/>
    <w:rsid w:val="00BE01BF"/>
    <w:rsid w:val="00BE021B"/>
    <w:rsid w:val="00BE035B"/>
    <w:rsid w:val="00BE03BB"/>
    <w:rsid w:val="00BE0404"/>
    <w:rsid w:val="00BE0418"/>
    <w:rsid w:val="00BE045C"/>
    <w:rsid w:val="00BE045E"/>
    <w:rsid w:val="00BE047C"/>
    <w:rsid w:val="00BE04A3"/>
    <w:rsid w:val="00BE0501"/>
    <w:rsid w:val="00BE050F"/>
    <w:rsid w:val="00BE0518"/>
    <w:rsid w:val="00BE0550"/>
    <w:rsid w:val="00BE056D"/>
    <w:rsid w:val="00BE05C9"/>
    <w:rsid w:val="00BE05F6"/>
    <w:rsid w:val="00BE061D"/>
    <w:rsid w:val="00BE06B5"/>
    <w:rsid w:val="00BE06B9"/>
    <w:rsid w:val="00BE06F1"/>
    <w:rsid w:val="00BE07AF"/>
    <w:rsid w:val="00BE07BF"/>
    <w:rsid w:val="00BE07EE"/>
    <w:rsid w:val="00BE0818"/>
    <w:rsid w:val="00BE081F"/>
    <w:rsid w:val="00BE088F"/>
    <w:rsid w:val="00BE08BC"/>
    <w:rsid w:val="00BE08F0"/>
    <w:rsid w:val="00BE0933"/>
    <w:rsid w:val="00BE0962"/>
    <w:rsid w:val="00BE098E"/>
    <w:rsid w:val="00BE0A6D"/>
    <w:rsid w:val="00BE0A85"/>
    <w:rsid w:val="00BE0A8E"/>
    <w:rsid w:val="00BE0AA7"/>
    <w:rsid w:val="00BE0AC4"/>
    <w:rsid w:val="00BE0B52"/>
    <w:rsid w:val="00BE0B60"/>
    <w:rsid w:val="00BE0B94"/>
    <w:rsid w:val="00BE0BDF"/>
    <w:rsid w:val="00BE0C4A"/>
    <w:rsid w:val="00BE0C9F"/>
    <w:rsid w:val="00BE0CA2"/>
    <w:rsid w:val="00BE0CD7"/>
    <w:rsid w:val="00BE0D29"/>
    <w:rsid w:val="00BE0D2F"/>
    <w:rsid w:val="00BE0DC7"/>
    <w:rsid w:val="00BE0DFA"/>
    <w:rsid w:val="00BE0ECD"/>
    <w:rsid w:val="00BE0EF1"/>
    <w:rsid w:val="00BE0FC0"/>
    <w:rsid w:val="00BE0FC8"/>
    <w:rsid w:val="00BE1057"/>
    <w:rsid w:val="00BE106A"/>
    <w:rsid w:val="00BE106B"/>
    <w:rsid w:val="00BE10C9"/>
    <w:rsid w:val="00BE10DF"/>
    <w:rsid w:val="00BE10F1"/>
    <w:rsid w:val="00BE10FA"/>
    <w:rsid w:val="00BE1108"/>
    <w:rsid w:val="00BE1145"/>
    <w:rsid w:val="00BE1199"/>
    <w:rsid w:val="00BE11BE"/>
    <w:rsid w:val="00BE1222"/>
    <w:rsid w:val="00BE1231"/>
    <w:rsid w:val="00BE1249"/>
    <w:rsid w:val="00BE1262"/>
    <w:rsid w:val="00BE12AF"/>
    <w:rsid w:val="00BE12E4"/>
    <w:rsid w:val="00BE134E"/>
    <w:rsid w:val="00BE1371"/>
    <w:rsid w:val="00BE13C2"/>
    <w:rsid w:val="00BE13C4"/>
    <w:rsid w:val="00BE13CD"/>
    <w:rsid w:val="00BE1400"/>
    <w:rsid w:val="00BE144F"/>
    <w:rsid w:val="00BE1463"/>
    <w:rsid w:val="00BE14A0"/>
    <w:rsid w:val="00BE14E6"/>
    <w:rsid w:val="00BE1588"/>
    <w:rsid w:val="00BE15EB"/>
    <w:rsid w:val="00BE1622"/>
    <w:rsid w:val="00BE164A"/>
    <w:rsid w:val="00BE166A"/>
    <w:rsid w:val="00BE169E"/>
    <w:rsid w:val="00BE16D8"/>
    <w:rsid w:val="00BE1729"/>
    <w:rsid w:val="00BE1742"/>
    <w:rsid w:val="00BE1873"/>
    <w:rsid w:val="00BE18A4"/>
    <w:rsid w:val="00BE1980"/>
    <w:rsid w:val="00BE1999"/>
    <w:rsid w:val="00BE19A3"/>
    <w:rsid w:val="00BE19B5"/>
    <w:rsid w:val="00BE19DB"/>
    <w:rsid w:val="00BE19ED"/>
    <w:rsid w:val="00BE19FC"/>
    <w:rsid w:val="00BE1A10"/>
    <w:rsid w:val="00BE1A4B"/>
    <w:rsid w:val="00BE1A5D"/>
    <w:rsid w:val="00BE1AB9"/>
    <w:rsid w:val="00BE1AC6"/>
    <w:rsid w:val="00BE1AF7"/>
    <w:rsid w:val="00BE1B0D"/>
    <w:rsid w:val="00BE1B2A"/>
    <w:rsid w:val="00BE1B78"/>
    <w:rsid w:val="00BE1B79"/>
    <w:rsid w:val="00BE1B9E"/>
    <w:rsid w:val="00BE1C11"/>
    <w:rsid w:val="00BE1C19"/>
    <w:rsid w:val="00BE1C6E"/>
    <w:rsid w:val="00BE1D05"/>
    <w:rsid w:val="00BE1D11"/>
    <w:rsid w:val="00BE1D1F"/>
    <w:rsid w:val="00BE1D3E"/>
    <w:rsid w:val="00BE1D6B"/>
    <w:rsid w:val="00BE1DA2"/>
    <w:rsid w:val="00BE1DC4"/>
    <w:rsid w:val="00BE1E13"/>
    <w:rsid w:val="00BE1EB7"/>
    <w:rsid w:val="00BE1EEB"/>
    <w:rsid w:val="00BE1F10"/>
    <w:rsid w:val="00BE1F1B"/>
    <w:rsid w:val="00BE201D"/>
    <w:rsid w:val="00BE2090"/>
    <w:rsid w:val="00BE209E"/>
    <w:rsid w:val="00BE20C0"/>
    <w:rsid w:val="00BE21A0"/>
    <w:rsid w:val="00BE21A5"/>
    <w:rsid w:val="00BE224A"/>
    <w:rsid w:val="00BE22BE"/>
    <w:rsid w:val="00BE22CB"/>
    <w:rsid w:val="00BE22CE"/>
    <w:rsid w:val="00BE22F9"/>
    <w:rsid w:val="00BE2347"/>
    <w:rsid w:val="00BE2378"/>
    <w:rsid w:val="00BE2380"/>
    <w:rsid w:val="00BE23C9"/>
    <w:rsid w:val="00BE23EE"/>
    <w:rsid w:val="00BE2496"/>
    <w:rsid w:val="00BE24A2"/>
    <w:rsid w:val="00BE24C7"/>
    <w:rsid w:val="00BE2504"/>
    <w:rsid w:val="00BE2512"/>
    <w:rsid w:val="00BE2522"/>
    <w:rsid w:val="00BE2540"/>
    <w:rsid w:val="00BE2578"/>
    <w:rsid w:val="00BE259B"/>
    <w:rsid w:val="00BE25F5"/>
    <w:rsid w:val="00BE2632"/>
    <w:rsid w:val="00BE270E"/>
    <w:rsid w:val="00BE2751"/>
    <w:rsid w:val="00BE2790"/>
    <w:rsid w:val="00BE27ED"/>
    <w:rsid w:val="00BE2816"/>
    <w:rsid w:val="00BE285B"/>
    <w:rsid w:val="00BE286E"/>
    <w:rsid w:val="00BE289C"/>
    <w:rsid w:val="00BE28E7"/>
    <w:rsid w:val="00BE2905"/>
    <w:rsid w:val="00BE2926"/>
    <w:rsid w:val="00BE293A"/>
    <w:rsid w:val="00BE29C3"/>
    <w:rsid w:val="00BE29DD"/>
    <w:rsid w:val="00BE29E5"/>
    <w:rsid w:val="00BE29FE"/>
    <w:rsid w:val="00BE2A0D"/>
    <w:rsid w:val="00BE2A8B"/>
    <w:rsid w:val="00BE2ABF"/>
    <w:rsid w:val="00BE2B22"/>
    <w:rsid w:val="00BE2B24"/>
    <w:rsid w:val="00BE2B2F"/>
    <w:rsid w:val="00BE2B3A"/>
    <w:rsid w:val="00BE2B45"/>
    <w:rsid w:val="00BE2B4B"/>
    <w:rsid w:val="00BE2BB6"/>
    <w:rsid w:val="00BE2CC8"/>
    <w:rsid w:val="00BE2CD5"/>
    <w:rsid w:val="00BE2CD9"/>
    <w:rsid w:val="00BE2D00"/>
    <w:rsid w:val="00BE2D19"/>
    <w:rsid w:val="00BE2D3A"/>
    <w:rsid w:val="00BE2D98"/>
    <w:rsid w:val="00BE2DC2"/>
    <w:rsid w:val="00BE2DC6"/>
    <w:rsid w:val="00BE2E30"/>
    <w:rsid w:val="00BE2E4A"/>
    <w:rsid w:val="00BE2EB0"/>
    <w:rsid w:val="00BE2ECC"/>
    <w:rsid w:val="00BE2F53"/>
    <w:rsid w:val="00BE2F64"/>
    <w:rsid w:val="00BE2F9D"/>
    <w:rsid w:val="00BE2FB5"/>
    <w:rsid w:val="00BE2FCF"/>
    <w:rsid w:val="00BE2FE4"/>
    <w:rsid w:val="00BE3041"/>
    <w:rsid w:val="00BE3045"/>
    <w:rsid w:val="00BE30D8"/>
    <w:rsid w:val="00BE30EA"/>
    <w:rsid w:val="00BE311C"/>
    <w:rsid w:val="00BE3264"/>
    <w:rsid w:val="00BE3296"/>
    <w:rsid w:val="00BE32B6"/>
    <w:rsid w:val="00BE32D6"/>
    <w:rsid w:val="00BE32EA"/>
    <w:rsid w:val="00BE3341"/>
    <w:rsid w:val="00BE33A3"/>
    <w:rsid w:val="00BE33D5"/>
    <w:rsid w:val="00BE345C"/>
    <w:rsid w:val="00BE34D6"/>
    <w:rsid w:val="00BE3532"/>
    <w:rsid w:val="00BE3601"/>
    <w:rsid w:val="00BE3625"/>
    <w:rsid w:val="00BE364F"/>
    <w:rsid w:val="00BE3652"/>
    <w:rsid w:val="00BE3690"/>
    <w:rsid w:val="00BE370A"/>
    <w:rsid w:val="00BE370F"/>
    <w:rsid w:val="00BE377F"/>
    <w:rsid w:val="00BE379F"/>
    <w:rsid w:val="00BE37FA"/>
    <w:rsid w:val="00BE385D"/>
    <w:rsid w:val="00BE389A"/>
    <w:rsid w:val="00BE389B"/>
    <w:rsid w:val="00BE390D"/>
    <w:rsid w:val="00BE3991"/>
    <w:rsid w:val="00BE39BD"/>
    <w:rsid w:val="00BE3A2D"/>
    <w:rsid w:val="00BE3A33"/>
    <w:rsid w:val="00BE3A48"/>
    <w:rsid w:val="00BE3A4B"/>
    <w:rsid w:val="00BE3AB1"/>
    <w:rsid w:val="00BE3ADD"/>
    <w:rsid w:val="00BE3AEF"/>
    <w:rsid w:val="00BE3B3E"/>
    <w:rsid w:val="00BE3B88"/>
    <w:rsid w:val="00BE3B99"/>
    <w:rsid w:val="00BE3BB8"/>
    <w:rsid w:val="00BE3C06"/>
    <w:rsid w:val="00BE3C48"/>
    <w:rsid w:val="00BE3C84"/>
    <w:rsid w:val="00BE3CA5"/>
    <w:rsid w:val="00BE3CB4"/>
    <w:rsid w:val="00BE3CCE"/>
    <w:rsid w:val="00BE3D4B"/>
    <w:rsid w:val="00BE3DEC"/>
    <w:rsid w:val="00BE3DFD"/>
    <w:rsid w:val="00BE3E2A"/>
    <w:rsid w:val="00BE3E38"/>
    <w:rsid w:val="00BE3E8B"/>
    <w:rsid w:val="00BE3EE0"/>
    <w:rsid w:val="00BE3F38"/>
    <w:rsid w:val="00BE3F8E"/>
    <w:rsid w:val="00BE3F98"/>
    <w:rsid w:val="00BE3FAE"/>
    <w:rsid w:val="00BE3FCE"/>
    <w:rsid w:val="00BE4004"/>
    <w:rsid w:val="00BE4024"/>
    <w:rsid w:val="00BE4029"/>
    <w:rsid w:val="00BE4095"/>
    <w:rsid w:val="00BE409D"/>
    <w:rsid w:val="00BE40C4"/>
    <w:rsid w:val="00BE4146"/>
    <w:rsid w:val="00BE4148"/>
    <w:rsid w:val="00BE4160"/>
    <w:rsid w:val="00BE4163"/>
    <w:rsid w:val="00BE4189"/>
    <w:rsid w:val="00BE41DC"/>
    <w:rsid w:val="00BE41E4"/>
    <w:rsid w:val="00BE41F9"/>
    <w:rsid w:val="00BE42CE"/>
    <w:rsid w:val="00BE4308"/>
    <w:rsid w:val="00BE430B"/>
    <w:rsid w:val="00BE4348"/>
    <w:rsid w:val="00BE4352"/>
    <w:rsid w:val="00BE43DF"/>
    <w:rsid w:val="00BE43F6"/>
    <w:rsid w:val="00BE445C"/>
    <w:rsid w:val="00BE44CB"/>
    <w:rsid w:val="00BE44E3"/>
    <w:rsid w:val="00BE4521"/>
    <w:rsid w:val="00BE4525"/>
    <w:rsid w:val="00BE4526"/>
    <w:rsid w:val="00BE4548"/>
    <w:rsid w:val="00BE454E"/>
    <w:rsid w:val="00BE4564"/>
    <w:rsid w:val="00BE456B"/>
    <w:rsid w:val="00BE4584"/>
    <w:rsid w:val="00BE4597"/>
    <w:rsid w:val="00BE45F8"/>
    <w:rsid w:val="00BE4650"/>
    <w:rsid w:val="00BE466C"/>
    <w:rsid w:val="00BE4696"/>
    <w:rsid w:val="00BE477E"/>
    <w:rsid w:val="00BE479B"/>
    <w:rsid w:val="00BE4885"/>
    <w:rsid w:val="00BE48FF"/>
    <w:rsid w:val="00BE492A"/>
    <w:rsid w:val="00BE495C"/>
    <w:rsid w:val="00BE4968"/>
    <w:rsid w:val="00BE49A7"/>
    <w:rsid w:val="00BE49DC"/>
    <w:rsid w:val="00BE49FF"/>
    <w:rsid w:val="00BE4B17"/>
    <w:rsid w:val="00BE4B4F"/>
    <w:rsid w:val="00BE4B6F"/>
    <w:rsid w:val="00BE4B94"/>
    <w:rsid w:val="00BE4BA0"/>
    <w:rsid w:val="00BE4BBC"/>
    <w:rsid w:val="00BE4BD9"/>
    <w:rsid w:val="00BE4BDC"/>
    <w:rsid w:val="00BE4BF2"/>
    <w:rsid w:val="00BE4CB7"/>
    <w:rsid w:val="00BE4D5A"/>
    <w:rsid w:val="00BE4DB2"/>
    <w:rsid w:val="00BE4DF2"/>
    <w:rsid w:val="00BE4E1A"/>
    <w:rsid w:val="00BE4EF8"/>
    <w:rsid w:val="00BE4F88"/>
    <w:rsid w:val="00BE4F8A"/>
    <w:rsid w:val="00BE4F8E"/>
    <w:rsid w:val="00BE5092"/>
    <w:rsid w:val="00BE5123"/>
    <w:rsid w:val="00BE516E"/>
    <w:rsid w:val="00BE5182"/>
    <w:rsid w:val="00BE51E1"/>
    <w:rsid w:val="00BE524D"/>
    <w:rsid w:val="00BE5327"/>
    <w:rsid w:val="00BE5379"/>
    <w:rsid w:val="00BE53BA"/>
    <w:rsid w:val="00BE53CA"/>
    <w:rsid w:val="00BE54D6"/>
    <w:rsid w:val="00BE551E"/>
    <w:rsid w:val="00BE553F"/>
    <w:rsid w:val="00BE559F"/>
    <w:rsid w:val="00BE55A6"/>
    <w:rsid w:val="00BE55D2"/>
    <w:rsid w:val="00BE5670"/>
    <w:rsid w:val="00BE567F"/>
    <w:rsid w:val="00BE56A3"/>
    <w:rsid w:val="00BE5725"/>
    <w:rsid w:val="00BE572E"/>
    <w:rsid w:val="00BE5753"/>
    <w:rsid w:val="00BE5760"/>
    <w:rsid w:val="00BE576C"/>
    <w:rsid w:val="00BE5773"/>
    <w:rsid w:val="00BE57B1"/>
    <w:rsid w:val="00BE57EF"/>
    <w:rsid w:val="00BE57F4"/>
    <w:rsid w:val="00BE582F"/>
    <w:rsid w:val="00BE5833"/>
    <w:rsid w:val="00BE5926"/>
    <w:rsid w:val="00BE592D"/>
    <w:rsid w:val="00BE59D4"/>
    <w:rsid w:val="00BE59F4"/>
    <w:rsid w:val="00BE5AA8"/>
    <w:rsid w:val="00BE5ABD"/>
    <w:rsid w:val="00BE5B03"/>
    <w:rsid w:val="00BE5BC4"/>
    <w:rsid w:val="00BE5C2C"/>
    <w:rsid w:val="00BE5C44"/>
    <w:rsid w:val="00BE5C8C"/>
    <w:rsid w:val="00BE5C96"/>
    <w:rsid w:val="00BE5CC7"/>
    <w:rsid w:val="00BE5CFA"/>
    <w:rsid w:val="00BE5D35"/>
    <w:rsid w:val="00BE5D4E"/>
    <w:rsid w:val="00BE5DA2"/>
    <w:rsid w:val="00BE5EC7"/>
    <w:rsid w:val="00BE5ED2"/>
    <w:rsid w:val="00BE5EF0"/>
    <w:rsid w:val="00BE5EF9"/>
    <w:rsid w:val="00BE5F0E"/>
    <w:rsid w:val="00BE5F1E"/>
    <w:rsid w:val="00BE6031"/>
    <w:rsid w:val="00BE6038"/>
    <w:rsid w:val="00BE6118"/>
    <w:rsid w:val="00BE6142"/>
    <w:rsid w:val="00BE618C"/>
    <w:rsid w:val="00BE61F8"/>
    <w:rsid w:val="00BE61FB"/>
    <w:rsid w:val="00BE61FF"/>
    <w:rsid w:val="00BE622C"/>
    <w:rsid w:val="00BE626D"/>
    <w:rsid w:val="00BE6270"/>
    <w:rsid w:val="00BE62A1"/>
    <w:rsid w:val="00BE62AA"/>
    <w:rsid w:val="00BE62BD"/>
    <w:rsid w:val="00BE6302"/>
    <w:rsid w:val="00BE6341"/>
    <w:rsid w:val="00BE63AF"/>
    <w:rsid w:val="00BE63F0"/>
    <w:rsid w:val="00BE6412"/>
    <w:rsid w:val="00BE64AA"/>
    <w:rsid w:val="00BE64D2"/>
    <w:rsid w:val="00BE6555"/>
    <w:rsid w:val="00BE6593"/>
    <w:rsid w:val="00BE65B6"/>
    <w:rsid w:val="00BE6660"/>
    <w:rsid w:val="00BE666D"/>
    <w:rsid w:val="00BE66AD"/>
    <w:rsid w:val="00BE66BB"/>
    <w:rsid w:val="00BE66E5"/>
    <w:rsid w:val="00BE67DA"/>
    <w:rsid w:val="00BE67FC"/>
    <w:rsid w:val="00BE6827"/>
    <w:rsid w:val="00BE688A"/>
    <w:rsid w:val="00BE68F1"/>
    <w:rsid w:val="00BE6908"/>
    <w:rsid w:val="00BE6917"/>
    <w:rsid w:val="00BE6A25"/>
    <w:rsid w:val="00BE6A8C"/>
    <w:rsid w:val="00BE6B07"/>
    <w:rsid w:val="00BE6B4D"/>
    <w:rsid w:val="00BE6B51"/>
    <w:rsid w:val="00BE6B6D"/>
    <w:rsid w:val="00BE6B80"/>
    <w:rsid w:val="00BE6BF0"/>
    <w:rsid w:val="00BE6BF2"/>
    <w:rsid w:val="00BE6CF8"/>
    <w:rsid w:val="00BE6D0B"/>
    <w:rsid w:val="00BE6D51"/>
    <w:rsid w:val="00BE6D82"/>
    <w:rsid w:val="00BE6E17"/>
    <w:rsid w:val="00BE6E6A"/>
    <w:rsid w:val="00BE6F01"/>
    <w:rsid w:val="00BE6F55"/>
    <w:rsid w:val="00BE70CE"/>
    <w:rsid w:val="00BE7103"/>
    <w:rsid w:val="00BE714C"/>
    <w:rsid w:val="00BE718B"/>
    <w:rsid w:val="00BE71B7"/>
    <w:rsid w:val="00BE71C5"/>
    <w:rsid w:val="00BE71CE"/>
    <w:rsid w:val="00BE71EC"/>
    <w:rsid w:val="00BE7226"/>
    <w:rsid w:val="00BE7227"/>
    <w:rsid w:val="00BE725A"/>
    <w:rsid w:val="00BE72C3"/>
    <w:rsid w:val="00BE72D0"/>
    <w:rsid w:val="00BE7308"/>
    <w:rsid w:val="00BE7316"/>
    <w:rsid w:val="00BE734E"/>
    <w:rsid w:val="00BE7369"/>
    <w:rsid w:val="00BE73C2"/>
    <w:rsid w:val="00BE73CD"/>
    <w:rsid w:val="00BE73E8"/>
    <w:rsid w:val="00BE7417"/>
    <w:rsid w:val="00BE745F"/>
    <w:rsid w:val="00BE7477"/>
    <w:rsid w:val="00BE74AD"/>
    <w:rsid w:val="00BE74D4"/>
    <w:rsid w:val="00BE7556"/>
    <w:rsid w:val="00BE756D"/>
    <w:rsid w:val="00BE767E"/>
    <w:rsid w:val="00BE76A1"/>
    <w:rsid w:val="00BE77DF"/>
    <w:rsid w:val="00BE77E7"/>
    <w:rsid w:val="00BE7875"/>
    <w:rsid w:val="00BE78B5"/>
    <w:rsid w:val="00BE7951"/>
    <w:rsid w:val="00BE7971"/>
    <w:rsid w:val="00BE79FD"/>
    <w:rsid w:val="00BE79FE"/>
    <w:rsid w:val="00BE7A20"/>
    <w:rsid w:val="00BE7A34"/>
    <w:rsid w:val="00BE7A3A"/>
    <w:rsid w:val="00BE7A7A"/>
    <w:rsid w:val="00BE7AC9"/>
    <w:rsid w:val="00BE7B23"/>
    <w:rsid w:val="00BE7B58"/>
    <w:rsid w:val="00BE7B7E"/>
    <w:rsid w:val="00BE7B81"/>
    <w:rsid w:val="00BE7BDB"/>
    <w:rsid w:val="00BE7BF2"/>
    <w:rsid w:val="00BE7BF5"/>
    <w:rsid w:val="00BE7BF6"/>
    <w:rsid w:val="00BE7BFE"/>
    <w:rsid w:val="00BE7C01"/>
    <w:rsid w:val="00BE7C4A"/>
    <w:rsid w:val="00BE7C5F"/>
    <w:rsid w:val="00BE7CDB"/>
    <w:rsid w:val="00BE7CEC"/>
    <w:rsid w:val="00BE7D5B"/>
    <w:rsid w:val="00BE7D75"/>
    <w:rsid w:val="00BE7DAF"/>
    <w:rsid w:val="00BE7E07"/>
    <w:rsid w:val="00BE7E08"/>
    <w:rsid w:val="00BE7EA5"/>
    <w:rsid w:val="00BE7EC9"/>
    <w:rsid w:val="00BE7F12"/>
    <w:rsid w:val="00BE7F87"/>
    <w:rsid w:val="00BE7FCC"/>
    <w:rsid w:val="00BE7FDF"/>
    <w:rsid w:val="00BF002D"/>
    <w:rsid w:val="00BF00F5"/>
    <w:rsid w:val="00BF0113"/>
    <w:rsid w:val="00BF0178"/>
    <w:rsid w:val="00BF019D"/>
    <w:rsid w:val="00BF01A6"/>
    <w:rsid w:val="00BF0214"/>
    <w:rsid w:val="00BF027C"/>
    <w:rsid w:val="00BF0288"/>
    <w:rsid w:val="00BF02D9"/>
    <w:rsid w:val="00BF02F8"/>
    <w:rsid w:val="00BF0393"/>
    <w:rsid w:val="00BF03BB"/>
    <w:rsid w:val="00BF03BF"/>
    <w:rsid w:val="00BF040F"/>
    <w:rsid w:val="00BF0449"/>
    <w:rsid w:val="00BF04CB"/>
    <w:rsid w:val="00BF0512"/>
    <w:rsid w:val="00BF051C"/>
    <w:rsid w:val="00BF0520"/>
    <w:rsid w:val="00BF0530"/>
    <w:rsid w:val="00BF0595"/>
    <w:rsid w:val="00BF05F7"/>
    <w:rsid w:val="00BF071A"/>
    <w:rsid w:val="00BF0748"/>
    <w:rsid w:val="00BF0772"/>
    <w:rsid w:val="00BF07FE"/>
    <w:rsid w:val="00BF0809"/>
    <w:rsid w:val="00BF081B"/>
    <w:rsid w:val="00BF0822"/>
    <w:rsid w:val="00BF0835"/>
    <w:rsid w:val="00BF0860"/>
    <w:rsid w:val="00BF092D"/>
    <w:rsid w:val="00BF095D"/>
    <w:rsid w:val="00BF099E"/>
    <w:rsid w:val="00BF09DF"/>
    <w:rsid w:val="00BF0A3B"/>
    <w:rsid w:val="00BF0A44"/>
    <w:rsid w:val="00BF0A5A"/>
    <w:rsid w:val="00BF0A77"/>
    <w:rsid w:val="00BF0AC6"/>
    <w:rsid w:val="00BF0AF1"/>
    <w:rsid w:val="00BF0B51"/>
    <w:rsid w:val="00BF0B5B"/>
    <w:rsid w:val="00BF0BB3"/>
    <w:rsid w:val="00BF0BC9"/>
    <w:rsid w:val="00BF0BD0"/>
    <w:rsid w:val="00BF0BE6"/>
    <w:rsid w:val="00BF0BF4"/>
    <w:rsid w:val="00BF0C6D"/>
    <w:rsid w:val="00BF0CD3"/>
    <w:rsid w:val="00BF0D55"/>
    <w:rsid w:val="00BF0D8B"/>
    <w:rsid w:val="00BF0D9A"/>
    <w:rsid w:val="00BF0DC0"/>
    <w:rsid w:val="00BF0DEC"/>
    <w:rsid w:val="00BF0E22"/>
    <w:rsid w:val="00BF0E29"/>
    <w:rsid w:val="00BF0E3E"/>
    <w:rsid w:val="00BF0EBE"/>
    <w:rsid w:val="00BF0EF9"/>
    <w:rsid w:val="00BF0F1D"/>
    <w:rsid w:val="00BF0F66"/>
    <w:rsid w:val="00BF0F76"/>
    <w:rsid w:val="00BF0F89"/>
    <w:rsid w:val="00BF0FC0"/>
    <w:rsid w:val="00BF103D"/>
    <w:rsid w:val="00BF104D"/>
    <w:rsid w:val="00BF1056"/>
    <w:rsid w:val="00BF109A"/>
    <w:rsid w:val="00BF10AB"/>
    <w:rsid w:val="00BF10CE"/>
    <w:rsid w:val="00BF10D3"/>
    <w:rsid w:val="00BF10E6"/>
    <w:rsid w:val="00BF10EE"/>
    <w:rsid w:val="00BF10FC"/>
    <w:rsid w:val="00BF1101"/>
    <w:rsid w:val="00BF1158"/>
    <w:rsid w:val="00BF1181"/>
    <w:rsid w:val="00BF1188"/>
    <w:rsid w:val="00BF1196"/>
    <w:rsid w:val="00BF1217"/>
    <w:rsid w:val="00BF12E4"/>
    <w:rsid w:val="00BF12ED"/>
    <w:rsid w:val="00BF13D3"/>
    <w:rsid w:val="00BF13E4"/>
    <w:rsid w:val="00BF1486"/>
    <w:rsid w:val="00BF14FE"/>
    <w:rsid w:val="00BF1538"/>
    <w:rsid w:val="00BF15FD"/>
    <w:rsid w:val="00BF164C"/>
    <w:rsid w:val="00BF16B0"/>
    <w:rsid w:val="00BF16DA"/>
    <w:rsid w:val="00BF17F2"/>
    <w:rsid w:val="00BF1871"/>
    <w:rsid w:val="00BF190E"/>
    <w:rsid w:val="00BF192D"/>
    <w:rsid w:val="00BF1986"/>
    <w:rsid w:val="00BF19A3"/>
    <w:rsid w:val="00BF19C4"/>
    <w:rsid w:val="00BF19CB"/>
    <w:rsid w:val="00BF1A70"/>
    <w:rsid w:val="00BF1ABE"/>
    <w:rsid w:val="00BF1ADB"/>
    <w:rsid w:val="00BF1AE1"/>
    <w:rsid w:val="00BF1B1C"/>
    <w:rsid w:val="00BF1B2F"/>
    <w:rsid w:val="00BF1B67"/>
    <w:rsid w:val="00BF1BA1"/>
    <w:rsid w:val="00BF1BAB"/>
    <w:rsid w:val="00BF1BB3"/>
    <w:rsid w:val="00BF1C51"/>
    <w:rsid w:val="00BF1CA4"/>
    <w:rsid w:val="00BF1CC9"/>
    <w:rsid w:val="00BF1D81"/>
    <w:rsid w:val="00BF1DFC"/>
    <w:rsid w:val="00BF1E32"/>
    <w:rsid w:val="00BF1E6B"/>
    <w:rsid w:val="00BF1E9C"/>
    <w:rsid w:val="00BF1F05"/>
    <w:rsid w:val="00BF1F3B"/>
    <w:rsid w:val="00BF1F55"/>
    <w:rsid w:val="00BF1F8A"/>
    <w:rsid w:val="00BF1FCA"/>
    <w:rsid w:val="00BF2036"/>
    <w:rsid w:val="00BF2096"/>
    <w:rsid w:val="00BF20D7"/>
    <w:rsid w:val="00BF2130"/>
    <w:rsid w:val="00BF2183"/>
    <w:rsid w:val="00BF21A8"/>
    <w:rsid w:val="00BF21CC"/>
    <w:rsid w:val="00BF21DB"/>
    <w:rsid w:val="00BF21DF"/>
    <w:rsid w:val="00BF221B"/>
    <w:rsid w:val="00BF2229"/>
    <w:rsid w:val="00BF224D"/>
    <w:rsid w:val="00BF2260"/>
    <w:rsid w:val="00BF22A4"/>
    <w:rsid w:val="00BF230F"/>
    <w:rsid w:val="00BF240C"/>
    <w:rsid w:val="00BF242F"/>
    <w:rsid w:val="00BF243C"/>
    <w:rsid w:val="00BF2499"/>
    <w:rsid w:val="00BF24B0"/>
    <w:rsid w:val="00BF2514"/>
    <w:rsid w:val="00BF2530"/>
    <w:rsid w:val="00BF2544"/>
    <w:rsid w:val="00BF2551"/>
    <w:rsid w:val="00BF267D"/>
    <w:rsid w:val="00BF2687"/>
    <w:rsid w:val="00BF2721"/>
    <w:rsid w:val="00BF274A"/>
    <w:rsid w:val="00BF2778"/>
    <w:rsid w:val="00BF27A9"/>
    <w:rsid w:val="00BF27D5"/>
    <w:rsid w:val="00BF2804"/>
    <w:rsid w:val="00BF280C"/>
    <w:rsid w:val="00BF280E"/>
    <w:rsid w:val="00BF2825"/>
    <w:rsid w:val="00BF283D"/>
    <w:rsid w:val="00BF2846"/>
    <w:rsid w:val="00BF2864"/>
    <w:rsid w:val="00BF28D4"/>
    <w:rsid w:val="00BF2920"/>
    <w:rsid w:val="00BF2941"/>
    <w:rsid w:val="00BF2982"/>
    <w:rsid w:val="00BF299C"/>
    <w:rsid w:val="00BF29CA"/>
    <w:rsid w:val="00BF2A4E"/>
    <w:rsid w:val="00BF2AFE"/>
    <w:rsid w:val="00BF2B01"/>
    <w:rsid w:val="00BF2B07"/>
    <w:rsid w:val="00BF2B3C"/>
    <w:rsid w:val="00BF2B40"/>
    <w:rsid w:val="00BF2BA3"/>
    <w:rsid w:val="00BF2BC8"/>
    <w:rsid w:val="00BF2BCD"/>
    <w:rsid w:val="00BF2C3B"/>
    <w:rsid w:val="00BF2C82"/>
    <w:rsid w:val="00BF2CF3"/>
    <w:rsid w:val="00BF2D10"/>
    <w:rsid w:val="00BF2D3C"/>
    <w:rsid w:val="00BF2D78"/>
    <w:rsid w:val="00BF2E0C"/>
    <w:rsid w:val="00BF2E0D"/>
    <w:rsid w:val="00BF2F0B"/>
    <w:rsid w:val="00BF2F33"/>
    <w:rsid w:val="00BF2F72"/>
    <w:rsid w:val="00BF2F93"/>
    <w:rsid w:val="00BF2F96"/>
    <w:rsid w:val="00BF2FE9"/>
    <w:rsid w:val="00BF303E"/>
    <w:rsid w:val="00BF30A0"/>
    <w:rsid w:val="00BF30B2"/>
    <w:rsid w:val="00BF30EB"/>
    <w:rsid w:val="00BF311D"/>
    <w:rsid w:val="00BF3126"/>
    <w:rsid w:val="00BF31B3"/>
    <w:rsid w:val="00BF31F4"/>
    <w:rsid w:val="00BF3268"/>
    <w:rsid w:val="00BF326F"/>
    <w:rsid w:val="00BF327F"/>
    <w:rsid w:val="00BF32B6"/>
    <w:rsid w:val="00BF32EB"/>
    <w:rsid w:val="00BF3319"/>
    <w:rsid w:val="00BF3322"/>
    <w:rsid w:val="00BF3341"/>
    <w:rsid w:val="00BF3395"/>
    <w:rsid w:val="00BF33D1"/>
    <w:rsid w:val="00BF3438"/>
    <w:rsid w:val="00BF3459"/>
    <w:rsid w:val="00BF3498"/>
    <w:rsid w:val="00BF34A0"/>
    <w:rsid w:val="00BF34A6"/>
    <w:rsid w:val="00BF34EE"/>
    <w:rsid w:val="00BF3543"/>
    <w:rsid w:val="00BF3551"/>
    <w:rsid w:val="00BF35A6"/>
    <w:rsid w:val="00BF35D9"/>
    <w:rsid w:val="00BF361A"/>
    <w:rsid w:val="00BF365B"/>
    <w:rsid w:val="00BF37FC"/>
    <w:rsid w:val="00BF38C6"/>
    <w:rsid w:val="00BF38D4"/>
    <w:rsid w:val="00BF3947"/>
    <w:rsid w:val="00BF394F"/>
    <w:rsid w:val="00BF3958"/>
    <w:rsid w:val="00BF3A0A"/>
    <w:rsid w:val="00BF3A2E"/>
    <w:rsid w:val="00BF3A83"/>
    <w:rsid w:val="00BF3B05"/>
    <w:rsid w:val="00BF3B48"/>
    <w:rsid w:val="00BF3C30"/>
    <w:rsid w:val="00BF3C90"/>
    <w:rsid w:val="00BF3CC8"/>
    <w:rsid w:val="00BF3D24"/>
    <w:rsid w:val="00BF3D40"/>
    <w:rsid w:val="00BF3D51"/>
    <w:rsid w:val="00BF3D82"/>
    <w:rsid w:val="00BF3E0A"/>
    <w:rsid w:val="00BF3E2D"/>
    <w:rsid w:val="00BF3E4F"/>
    <w:rsid w:val="00BF3E6D"/>
    <w:rsid w:val="00BF3EE8"/>
    <w:rsid w:val="00BF3F1B"/>
    <w:rsid w:val="00BF3F34"/>
    <w:rsid w:val="00BF3FE5"/>
    <w:rsid w:val="00BF402C"/>
    <w:rsid w:val="00BF403C"/>
    <w:rsid w:val="00BF407E"/>
    <w:rsid w:val="00BF40AC"/>
    <w:rsid w:val="00BF412B"/>
    <w:rsid w:val="00BF41A2"/>
    <w:rsid w:val="00BF41B8"/>
    <w:rsid w:val="00BF428B"/>
    <w:rsid w:val="00BF43B8"/>
    <w:rsid w:val="00BF43E9"/>
    <w:rsid w:val="00BF445D"/>
    <w:rsid w:val="00BF4464"/>
    <w:rsid w:val="00BF448E"/>
    <w:rsid w:val="00BF45D5"/>
    <w:rsid w:val="00BF460F"/>
    <w:rsid w:val="00BF46F9"/>
    <w:rsid w:val="00BF473D"/>
    <w:rsid w:val="00BF4762"/>
    <w:rsid w:val="00BF47D0"/>
    <w:rsid w:val="00BF47FD"/>
    <w:rsid w:val="00BF4814"/>
    <w:rsid w:val="00BF489A"/>
    <w:rsid w:val="00BF48D6"/>
    <w:rsid w:val="00BF4908"/>
    <w:rsid w:val="00BF4916"/>
    <w:rsid w:val="00BF492F"/>
    <w:rsid w:val="00BF49CC"/>
    <w:rsid w:val="00BF49E1"/>
    <w:rsid w:val="00BF49EE"/>
    <w:rsid w:val="00BF4A17"/>
    <w:rsid w:val="00BF4A65"/>
    <w:rsid w:val="00BF4A92"/>
    <w:rsid w:val="00BF4AC8"/>
    <w:rsid w:val="00BF4ADB"/>
    <w:rsid w:val="00BF4B82"/>
    <w:rsid w:val="00BF4B96"/>
    <w:rsid w:val="00BF4BC0"/>
    <w:rsid w:val="00BF4BC9"/>
    <w:rsid w:val="00BF4C19"/>
    <w:rsid w:val="00BF4CE5"/>
    <w:rsid w:val="00BF4D30"/>
    <w:rsid w:val="00BF4D33"/>
    <w:rsid w:val="00BF4D5F"/>
    <w:rsid w:val="00BF4D98"/>
    <w:rsid w:val="00BF4E0D"/>
    <w:rsid w:val="00BF4E38"/>
    <w:rsid w:val="00BF4E43"/>
    <w:rsid w:val="00BF4E4B"/>
    <w:rsid w:val="00BF4EBA"/>
    <w:rsid w:val="00BF4F21"/>
    <w:rsid w:val="00BF4F5C"/>
    <w:rsid w:val="00BF4F9E"/>
    <w:rsid w:val="00BF4FC6"/>
    <w:rsid w:val="00BF5003"/>
    <w:rsid w:val="00BF5037"/>
    <w:rsid w:val="00BF5077"/>
    <w:rsid w:val="00BF50C2"/>
    <w:rsid w:val="00BF50F9"/>
    <w:rsid w:val="00BF5158"/>
    <w:rsid w:val="00BF5168"/>
    <w:rsid w:val="00BF51BC"/>
    <w:rsid w:val="00BF51CB"/>
    <w:rsid w:val="00BF51EA"/>
    <w:rsid w:val="00BF5335"/>
    <w:rsid w:val="00BF535E"/>
    <w:rsid w:val="00BF53B9"/>
    <w:rsid w:val="00BF53C9"/>
    <w:rsid w:val="00BF5403"/>
    <w:rsid w:val="00BF5409"/>
    <w:rsid w:val="00BF543E"/>
    <w:rsid w:val="00BF547F"/>
    <w:rsid w:val="00BF54C2"/>
    <w:rsid w:val="00BF54CF"/>
    <w:rsid w:val="00BF54FB"/>
    <w:rsid w:val="00BF5537"/>
    <w:rsid w:val="00BF5548"/>
    <w:rsid w:val="00BF5568"/>
    <w:rsid w:val="00BF55C7"/>
    <w:rsid w:val="00BF55CB"/>
    <w:rsid w:val="00BF55D2"/>
    <w:rsid w:val="00BF561B"/>
    <w:rsid w:val="00BF5631"/>
    <w:rsid w:val="00BF5634"/>
    <w:rsid w:val="00BF5691"/>
    <w:rsid w:val="00BF56C1"/>
    <w:rsid w:val="00BF56DA"/>
    <w:rsid w:val="00BF56F0"/>
    <w:rsid w:val="00BF5729"/>
    <w:rsid w:val="00BF577A"/>
    <w:rsid w:val="00BF57A9"/>
    <w:rsid w:val="00BF57F5"/>
    <w:rsid w:val="00BF580F"/>
    <w:rsid w:val="00BF5810"/>
    <w:rsid w:val="00BF587A"/>
    <w:rsid w:val="00BF5886"/>
    <w:rsid w:val="00BF588F"/>
    <w:rsid w:val="00BF58B6"/>
    <w:rsid w:val="00BF5903"/>
    <w:rsid w:val="00BF5953"/>
    <w:rsid w:val="00BF5960"/>
    <w:rsid w:val="00BF59BA"/>
    <w:rsid w:val="00BF5A9E"/>
    <w:rsid w:val="00BF5B3B"/>
    <w:rsid w:val="00BF5C4C"/>
    <w:rsid w:val="00BF5C8B"/>
    <w:rsid w:val="00BF5C9A"/>
    <w:rsid w:val="00BF5CE9"/>
    <w:rsid w:val="00BF5D03"/>
    <w:rsid w:val="00BF5D0C"/>
    <w:rsid w:val="00BF5DC0"/>
    <w:rsid w:val="00BF5DD8"/>
    <w:rsid w:val="00BF5E34"/>
    <w:rsid w:val="00BF5E5D"/>
    <w:rsid w:val="00BF5E79"/>
    <w:rsid w:val="00BF5E80"/>
    <w:rsid w:val="00BF5F0D"/>
    <w:rsid w:val="00BF5F65"/>
    <w:rsid w:val="00BF5F68"/>
    <w:rsid w:val="00BF5F82"/>
    <w:rsid w:val="00BF5F92"/>
    <w:rsid w:val="00BF5FE7"/>
    <w:rsid w:val="00BF6009"/>
    <w:rsid w:val="00BF60FA"/>
    <w:rsid w:val="00BF6125"/>
    <w:rsid w:val="00BF6141"/>
    <w:rsid w:val="00BF61C5"/>
    <w:rsid w:val="00BF61D0"/>
    <w:rsid w:val="00BF61E5"/>
    <w:rsid w:val="00BF6247"/>
    <w:rsid w:val="00BF625A"/>
    <w:rsid w:val="00BF6294"/>
    <w:rsid w:val="00BF6297"/>
    <w:rsid w:val="00BF632A"/>
    <w:rsid w:val="00BF6331"/>
    <w:rsid w:val="00BF6385"/>
    <w:rsid w:val="00BF63BC"/>
    <w:rsid w:val="00BF6416"/>
    <w:rsid w:val="00BF6428"/>
    <w:rsid w:val="00BF643C"/>
    <w:rsid w:val="00BF64E0"/>
    <w:rsid w:val="00BF653A"/>
    <w:rsid w:val="00BF657C"/>
    <w:rsid w:val="00BF658A"/>
    <w:rsid w:val="00BF659E"/>
    <w:rsid w:val="00BF65F2"/>
    <w:rsid w:val="00BF6622"/>
    <w:rsid w:val="00BF66D3"/>
    <w:rsid w:val="00BF66F8"/>
    <w:rsid w:val="00BF672D"/>
    <w:rsid w:val="00BF6753"/>
    <w:rsid w:val="00BF67D5"/>
    <w:rsid w:val="00BF682D"/>
    <w:rsid w:val="00BF684C"/>
    <w:rsid w:val="00BF6855"/>
    <w:rsid w:val="00BF68D5"/>
    <w:rsid w:val="00BF6990"/>
    <w:rsid w:val="00BF6991"/>
    <w:rsid w:val="00BF6995"/>
    <w:rsid w:val="00BF69A9"/>
    <w:rsid w:val="00BF6A88"/>
    <w:rsid w:val="00BF6B1B"/>
    <w:rsid w:val="00BF6B23"/>
    <w:rsid w:val="00BF6B6F"/>
    <w:rsid w:val="00BF6BA8"/>
    <w:rsid w:val="00BF6BB0"/>
    <w:rsid w:val="00BF6BB5"/>
    <w:rsid w:val="00BF6BC3"/>
    <w:rsid w:val="00BF6BD7"/>
    <w:rsid w:val="00BF6C3D"/>
    <w:rsid w:val="00BF6C49"/>
    <w:rsid w:val="00BF6C55"/>
    <w:rsid w:val="00BF6C64"/>
    <w:rsid w:val="00BF6D17"/>
    <w:rsid w:val="00BF6D38"/>
    <w:rsid w:val="00BF6D75"/>
    <w:rsid w:val="00BF6DC0"/>
    <w:rsid w:val="00BF6E08"/>
    <w:rsid w:val="00BF6E27"/>
    <w:rsid w:val="00BF6EAC"/>
    <w:rsid w:val="00BF6EC3"/>
    <w:rsid w:val="00BF6ED2"/>
    <w:rsid w:val="00BF6F97"/>
    <w:rsid w:val="00BF6FCF"/>
    <w:rsid w:val="00BF7013"/>
    <w:rsid w:val="00BF7084"/>
    <w:rsid w:val="00BF70A5"/>
    <w:rsid w:val="00BF7104"/>
    <w:rsid w:val="00BF715C"/>
    <w:rsid w:val="00BF7164"/>
    <w:rsid w:val="00BF71C4"/>
    <w:rsid w:val="00BF71EB"/>
    <w:rsid w:val="00BF729F"/>
    <w:rsid w:val="00BF72E7"/>
    <w:rsid w:val="00BF7318"/>
    <w:rsid w:val="00BF7323"/>
    <w:rsid w:val="00BF734E"/>
    <w:rsid w:val="00BF7381"/>
    <w:rsid w:val="00BF7394"/>
    <w:rsid w:val="00BF73B0"/>
    <w:rsid w:val="00BF741B"/>
    <w:rsid w:val="00BF7425"/>
    <w:rsid w:val="00BF7445"/>
    <w:rsid w:val="00BF745A"/>
    <w:rsid w:val="00BF7479"/>
    <w:rsid w:val="00BF74F6"/>
    <w:rsid w:val="00BF752A"/>
    <w:rsid w:val="00BF7539"/>
    <w:rsid w:val="00BF75DE"/>
    <w:rsid w:val="00BF760D"/>
    <w:rsid w:val="00BF7633"/>
    <w:rsid w:val="00BF7638"/>
    <w:rsid w:val="00BF7654"/>
    <w:rsid w:val="00BF7695"/>
    <w:rsid w:val="00BF76CC"/>
    <w:rsid w:val="00BF774B"/>
    <w:rsid w:val="00BF792F"/>
    <w:rsid w:val="00BF793F"/>
    <w:rsid w:val="00BF7942"/>
    <w:rsid w:val="00BF794A"/>
    <w:rsid w:val="00BF796A"/>
    <w:rsid w:val="00BF79CC"/>
    <w:rsid w:val="00BF79DC"/>
    <w:rsid w:val="00BF79E7"/>
    <w:rsid w:val="00BF7A22"/>
    <w:rsid w:val="00BF7A71"/>
    <w:rsid w:val="00BF7A8A"/>
    <w:rsid w:val="00BF7B0C"/>
    <w:rsid w:val="00BF7B3C"/>
    <w:rsid w:val="00BF7B45"/>
    <w:rsid w:val="00BF7B78"/>
    <w:rsid w:val="00BF7BC0"/>
    <w:rsid w:val="00BF7D0D"/>
    <w:rsid w:val="00BF7D1B"/>
    <w:rsid w:val="00BF7D44"/>
    <w:rsid w:val="00BF7D4F"/>
    <w:rsid w:val="00BF7D5D"/>
    <w:rsid w:val="00BF7D92"/>
    <w:rsid w:val="00BF7D9F"/>
    <w:rsid w:val="00BF7DA9"/>
    <w:rsid w:val="00BF7DCB"/>
    <w:rsid w:val="00BF7DE1"/>
    <w:rsid w:val="00BF7DF0"/>
    <w:rsid w:val="00BF7DF1"/>
    <w:rsid w:val="00BF7E04"/>
    <w:rsid w:val="00BF7E1B"/>
    <w:rsid w:val="00BF7E71"/>
    <w:rsid w:val="00BF7E7F"/>
    <w:rsid w:val="00BF7F17"/>
    <w:rsid w:val="00BF7F6C"/>
    <w:rsid w:val="00BF7F8A"/>
    <w:rsid w:val="00BF7F8B"/>
    <w:rsid w:val="00BF7FA9"/>
    <w:rsid w:val="00C00021"/>
    <w:rsid w:val="00C00052"/>
    <w:rsid w:val="00C00069"/>
    <w:rsid w:val="00C00101"/>
    <w:rsid w:val="00C001A6"/>
    <w:rsid w:val="00C001DC"/>
    <w:rsid w:val="00C00214"/>
    <w:rsid w:val="00C00269"/>
    <w:rsid w:val="00C002C4"/>
    <w:rsid w:val="00C003DB"/>
    <w:rsid w:val="00C0043D"/>
    <w:rsid w:val="00C00486"/>
    <w:rsid w:val="00C004BE"/>
    <w:rsid w:val="00C004D0"/>
    <w:rsid w:val="00C004E9"/>
    <w:rsid w:val="00C00552"/>
    <w:rsid w:val="00C0057B"/>
    <w:rsid w:val="00C005AD"/>
    <w:rsid w:val="00C005B0"/>
    <w:rsid w:val="00C005CF"/>
    <w:rsid w:val="00C005F1"/>
    <w:rsid w:val="00C005FE"/>
    <w:rsid w:val="00C00614"/>
    <w:rsid w:val="00C0061A"/>
    <w:rsid w:val="00C0063E"/>
    <w:rsid w:val="00C006AA"/>
    <w:rsid w:val="00C006F6"/>
    <w:rsid w:val="00C00727"/>
    <w:rsid w:val="00C00731"/>
    <w:rsid w:val="00C00805"/>
    <w:rsid w:val="00C00847"/>
    <w:rsid w:val="00C00866"/>
    <w:rsid w:val="00C008D6"/>
    <w:rsid w:val="00C00928"/>
    <w:rsid w:val="00C00934"/>
    <w:rsid w:val="00C00945"/>
    <w:rsid w:val="00C00961"/>
    <w:rsid w:val="00C009B5"/>
    <w:rsid w:val="00C00A42"/>
    <w:rsid w:val="00C00A7F"/>
    <w:rsid w:val="00C00A97"/>
    <w:rsid w:val="00C00AE4"/>
    <w:rsid w:val="00C00B1D"/>
    <w:rsid w:val="00C00B66"/>
    <w:rsid w:val="00C00BE5"/>
    <w:rsid w:val="00C00C56"/>
    <w:rsid w:val="00C00C75"/>
    <w:rsid w:val="00C00CA0"/>
    <w:rsid w:val="00C00CC6"/>
    <w:rsid w:val="00C00CED"/>
    <w:rsid w:val="00C00DAA"/>
    <w:rsid w:val="00C00F12"/>
    <w:rsid w:val="00C00F70"/>
    <w:rsid w:val="00C00FBD"/>
    <w:rsid w:val="00C00FD0"/>
    <w:rsid w:val="00C01034"/>
    <w:rsid w:val="00C0106C"/>
    <w:rsid w:val="00C010D0"/>
    <w:rsid w:val="00C0110F"/>
    <w:rsid w:val="00C01119"/>
    <w:rsid w:val="00C01188"/>
    <w:rsid w:val="00C0118B"/>
    <w:rsid w:val="00C011B4"/>
    <w:rsid w:val="00C011B7"/>
    <w:rsid w:val="00C011BA"/>
    <w:rsid w:val="00C011C1"/>
    <w:rsid w:val="00C0122E"/>
    <w:rsid w:val="00C01231"/>
    <w:rsid w:val="00C0128B"/>
    <w:rsid w:val="00C012C1"/>
    <w:rsid w:val="00C012E3"/>
    <w:rsid w:val="00C012E5"/>
    <w:rsid w:val="00C012FD"/>
    <w:rsid w:val="00C0132B"/>
    <w:rsid w:val="00C01333"/>
    <w:rsid w:val="00C01381"/>
    <w:rsid w:val="00C013FE"/>
    <w:rsid w:val="00C0140D"/>
    <w:rsid w:val="00C01444"/>
    <w:rsid w:val="00C01459"/>
    <w:rsid w:val="00C014E8"/>
    <w:rsid w:val="00C01503"/>
    <w:rsid w:val="00C01541"/>
    <w:rsid w:val="00C01595"/>
    <w:rsid w:val="00C01596"/>
    <w:rsid w:val="00C015E0"/>
    <w:rsid w:val="00C015E2"/>
    <w:rsid w:val="00C0162D"/>
    <w:rsid w:val="00C01748"/>
    <w:rsid w:val="00C01787"/>
    <w:rsid w:val="00C017BA"/>
    <w:rsid w:val="00C01834"/>
    <w:rsid w:val="00C018D8"/>
    <w:rsid w:val="00C018FD"/>
    <w:rsid w:val="00C0198A"/>
    <w:rsid w:val="00C01A27"/>
    <w:rsid w:val="00C01A45"/>
    <w:rsid w:val="00C01A54"/>
    <w:rsid w:val="00C01A7D"/>
    <w:rsid w:val="00C01AA9"/>
    <w:rsid w:val="00C01AF3"/>
    <w:rsid w:val="00C01BAC"/>
    <w:rsid w:val="00C01CAB"/>
    <w:rsid w:val="00C01CDF"/>
    <w:rsid w:val="00C01D00"/>
    <w:rsid w:val="00C01D18"/>
    <w:rsid w:val="00C01D3A"/>
    <w:rsid w:val="00C01D5D"/>
    <w:rsid w:val="00C01DCC"/>
    <w:rsid w:val="00C01E91"/>
    <w:rsid w:val="00C01F7D"/>
    <w:rsid w:val="00C01FC1"/>
    <w:rsid w:val="00C01FEC"/>
    <w:rsid w:val="00C02023"/>
    <w:rsid w:val="00C02088"/>
    <w:rsid w:val="00C020CF"/>
    <w:rsid w:val="00C02145"/>
    <w:rsid w:val="00C0223A"/>
    <w:rsid w:val="00C0224E"/>
    <w:rsid w:val="00C0232A"/>
    <w:rsid w:val="00C023A2"/>
    <w:rsid w:val="00C023D3"/>
    <w:rsid w:val="00C023E4"/>
    <w:rsid w:val="00C02441"/>
    <w:rsid w:val="00C024FC"/>
    <w:rsid w:val="00C0250F"/>
    <w:rsid w:val="00C0251C"/>
    <w:rsid w:val="00C02520"/>
    <w:rsid w:val="00C02556"/>
    <w:rsid w:val="00C02561"/>
    <w:rsid w:val="00C025E9"/>
    <w:rsid w:val="00C025FF"/>
    <w:rsid w:val="00C02667"/>
    <w:rsid w:val="00C0266B"/>
    <w:rsid w:val="00C02784"/>
    <w:rsid w:val="00C027CF"/>
    <w:rsid w:val="00C027D7"/>
    <w:rsid w:val="00C027F5"/>
    <w:rsid w:val="00C02812"/>
    <w:rsid w:val="00C0288B"/>
    <w:rsid w:val="00C02923"/>
    <w:rsid w:val="00C02971"/>
    <w:rsid w:val="00C0298D"/>
    <w:rsid w:val="00C0299D"/>
    <w:rsid w:val="00C029A3"/>
    <w:rsid w:val="00C02A00"/>
    <w:rsid w:val="00C02B4C"/>
    <w:rsid w:val="00C02BAA"/>
    <w:rsid w:val="00C02C0F"/>
    <w:rsid w:val="00C02C45"/>
    <w:rsid w:val="00C02C4A"/>
    <w:rsid w:val="00C02C5C"/>
    <w:rsid w:val="00C02CA7"/>
    <w:rsid w:val="00C02CBD"/>
    <w:rsid w:val="00C02CEC"/>
    <w:rsid w:val="00C02D99"/>
    <w:rsid w:val="00C02DAE"/>
    <w:rsid w:val="00C02E03"/>
    <w:rsid w:val="00C02E12"/>
    <w:rsid w:val="00C02E37"/>
    <w:rsid w:val="00C02E5C"/>
    <w:rsid w:val="00C02E75"/>
    <w:rsid w:val="00C02ED0"/>
    <w:rsid w:val="00C02F0D"/>
    <w:rsid w:val="00C02FA1"/>
    <w:rsid w:val="00C03004"/>
    <w:rsid w:val="00C03018"/>
    <w:rsid w:val="00C03023"/>
    <w:rsid w:val="00C0306A"/>
    <w:rsid w:val="00C03088"/>
    <w:rsid w:val="00C030B9"/>
    <w:rsid w:val="00C030E6"/>
    <w:rsid w:val="00C031AB"/>
    <w:rsid w:val="00C031AD"/>
    <w:rsid w:val="00C031D7"/>
    <w:rsid w:val="00C031FB"/>
    <w:rsid w:val="00C031FF"/>
    <w:rsid w:val="00C0328F"/>
    <w:rsid w:val="00C032A0"/>
    <w:rsid w:val="00C032D0"/>
    <w:rsid w:val="00C032DC"/>
    <w:rsid w:val="00C032FD"/>
    <w:rsid w:val="00C03312"/>
    <w:rsid w:val="00C03383"/>
    <w:rsid w:val="00C03394"/>
    <w:rsid w:val="00C033C1"/>
    <w:rsid w:val="00C0345A"/>
    <w:rsid w:val="00C03463"/>
    <w:rsid w:val="00C034BE"/>
    <w:rsid w:val="00C034C9"/>
    <w:rsid w:val="00C034D0"/>
    <w:rsid w:val="00C034EA"/>
    <w:rsid w:val="00C03523"/>
    <w:rsid w:val="00C03527"/>
    <w:rsid w:val="00C03528"/>
    <w:rsid w:val="00C0354B"/>
    <w:rsid w:val="00C03588"/>
    <w:rsid w:val="00C035BB"/>
    <w:rsid w:val="00C0369F"/>
    <w:rsid w:val="00C036A6"/>
    <w:rsid w:val="00C036E6"/>
    <w:rsid w:val="00C0375D"/>
    <w:rsid w:val="00C037B2"/>
    <w:rsid w:val="00C037F8"/>
    <w:rsid w:val="00C03880"/>
    <w:rsid w:val="00C0399F"/>
    <w:rsid w:val="00C03A6D"/>
    <w:rsid w:val="00C03AB0"/>
    <w:rsid w:val="00C03B29"/>
    <w:rsid w:val="00C03B34"/>
    <w:rsid w:val="00C03B3A"/>
    <w:rsid w:val="00C03B3F"/>
    <w:rsid w:val="00C03B45"/>
    <w:rsid w:val="00C03BAA"/>
    <w:rsid w:val="00C03CB6"/>
    <w:rsid w:val="00C03D13"/>
    <w:rsid w:val="00C03D38"/>
    <w:rsid w:val="00C03D6B"/>
    <w:rsid w:val="00C03DCB"/>
    <w:rsid w:val="00C03DDC"/>
    <w:rsid w:val="00C03DFF"/>
    <w:rsid w:val="00C03E1B"/>
    <w:rsid w:val="00C03E69"/>
    <w:rsid w:val="00C03EB0"/>
    <w:rsid w:val="00C03EB5"/>
    <w:rsid w:val="00C03ED3"/>
    <w:rsid w:val="00C03FAE"/>
    <w:rsid w:val="00C03FB4"/>
    <w:rsid w:val="00C0401D"/>
    <w:rsid w:val="00C040DF"/>
    <w:rsid w:val="00C040E7"/>
    <w:rsid w:val="00C040F1"/>
    <w:rsid w:val="00C040FA"/>
    <w:rsid w:val="00C0414B"/>
    <w:rsid w:val="00C041D8"/>
    <w:rsid w:val="00C0421F"/>
    <w:rsid w:val="00C04225"/>
    <w:rsid w:val="00C0423A"/>
    <w:rsid w:val="00C04242"/>
    <w:rsid w:val="00C042CD"/>
    <w:rsid w:val="00C042FE"/>
    <w:rsid w:val="00C043D4"/>
    <w:rsid w:val="00C043F9"/>
    <w:rsid w:val="00C04418"/>
    <w:rsid w:val="00C04451"/>
    <w:rsid w:val="00C04497"/>
    <w:rsid w:val="00C04516"/>
    <w:rsid w:val="00C04542"/>
    <w:rsid w:val="00C04626"/>
    <w:rsid w:val="00C046BA"/>
    <w:rsid w:val="00C04746"/>
    <w:rsid w:val="00C04772"/>
    <w:rsid w:val="00C047B9"/>
    <w:rsid w:val="00C047F4"/>
    <w:rsid w:val="00C0481B"/>
    <w:rsid w:val="00C04865"/>
    <w:rsid w:val="00C04887"/>
    <w:rsid w:val="00C048BC"/>
    <w:rsid w:val="00C048C3"/>
    <w:rsid w:val="00C048F3"/>
    <w:rsid w:val="00C04907"/>
    <w:rsid w:val="00C04923"/>
    <w:rsid w:val="00C0492D"/>
    <w:rsid w:val="00C04933"/>
    <w:rsid w:val="00C04934"/>
    <w:rsid w:val="00C04951"/>
    <w:rsid w:val="00C049C8"/>
    <w:rsid w:val="00C04A7B"/>
    <w:rsid w:val="00C04AD8"/>
    <w:rsid w:val="00C04BAD"/>
    <w:rsid w:val="00C04BB6"/>
    <w:rsid w:val="00C04C01"/>
    <w:rsid w:val="00C04C43"/>
    <w:rsid w:val="00C04C56"/>
    <w:rsid w:val="00C04C6F"/>
    <w:rsid w:val="00C04C88"/>
    <w:rsid w:val="00C04CA7"/>
    <w:rsid w:val="00C04D66"/>
    <w:rsid w:val="00C04D79"/>
    <w:rsid w:val="00C04DBA"/>
    <w:rsid w:val="00C04DC6"/>
    <w:rsid w:val="00C04E79"/>
    <w:rsid w:val="00C04ECE"/>
    <w:rsid w:val="00C04F8D"/>
    <w:rsid w:val="00C04F93"/>
    <w:rsid w:val="00C0500D"/>
    <w:rsid w:val="00C05011"/>
    <w:rsid w:val="00C05022"/>
    <w:rsid w:val="00C05050"/>
    <w:rsid w:val="00C0508D"/>
    <w:rsid w:val="00C0509A"/>
    <w:rsid w:val="00C0512C"/>
    <w:rsid w:val="00C0516F"/>
    <w:rsid w:val="00C0520E"/>
    <w:rsid w:val="00C05211"/>
    <w:rsid w:val="00C0525E"/>
    <w:rsid w:val="00C05265"/>
    <w:rsid w:val="00C052AA"/>
    <w:rsid w:val="00C052D9"/>
    <w:rsid w:val="00C0538E"/>
    <w:rsid w:val="00C0539B"/>
    <w:rsid w:val="00C053FD"/>
    <w:rsid w:val="00C05408"/>
    <w:rsid w:val="00C05498"/>
    <w:rsid w:val="00C0553F"/>
    <w:rsid w:val="00C05573"/>
    <w:rsid w:val="00C055D8"/>
    <w:rsid w:val="00C05601"/>
    <w:rsid w:val="00C05667"/>
    <w:rsid w:val="00C0569D"/>
    <w:rsid w:val="00C056C9"/>
    <w:rsid w:val="00C056E1"/>
    <w:rsid w:val="00C05773"/>
    <w:rsid w:val="00C057B0"/>
    <w:rsid w:val="00C057D0"/>
    <w:rsid w:val="00C057DB"/>
    <w:rsid w:val="00C05805"/>
    <w:rsid w:val="00C05868"/>
    <w:rsid w:val="00C05885"/>
    <w:rsid w:val="00C05895"/>
    <w:rsid w:val="00C058DD"/>
    <w:rsid w:val="00C0590E"/>
    <w:rsid w:val="00C05952"/>
    <w:rsid w:val="00C059B2"/>
    <w:rsid w:val="00C059D5"/>
    <w:rsid w:val="00C059FE"/>
    <w:rsid w:val="00C05A22"/>
    <w:rsid w:val="00C05A34"/>
    <w:rsid w:val="00C05A3B"/>
    <w:rsid w:val="00C05A58"/>
    <w:rsid w:val="00C05AD4"/>
    <w:rsid w:val="00C05AF1"/>
    <w:rsid w:val="00C05B1C"/>
    <w:rsid w:val="00C05B32"/>
    <w:rsid w:val="00C05B39"/>
    <w:rsid w:val="00C05BD7"/>
    <w:rsid w:val="00C05BE0"/>
    <w:rsid w:val="00C05BF0"/>
    <w:rsid w:val="00C05BF4"/>
    <w:rsid w:val="00C05C19"/>
    <w:rsid w:val="00C05C4E"/>
    <w:rsid w:val="00C05C67"/>
    <w:rsid w:val="00C05CB0"/>
    <w:rsid w:val="00C05CB3"/>
    <w:rsid w:val="00C05CD7"/>
    <w:rsid w:val="00C05D21"/>
    <w:rsid w:val="00C05D45"/>
    <w:rsid w:val="00C05D59"/>
    <w:rsid w:val="00C05D83"/>
    <w:rsid w:val="00C05DA2"/>
    <w:rsid w:val="00C05DB7"/>
    <w:rsid w:val="00C05E51"/>
    <w:rsid w:val="00C05E54"/>
    <w:rsid w:val="00C05EEA"/>
    <w:rsid w:val="00C05F04"/>
    <w:rsid w:val="00C05F10"/>
    <w:rsid w:val="00C05F3E"/>
    <w:rsid w:val="00C05FA2"/>
    <w:rsid w:val="00C05FD5"/>
    <w:rsid w:val="00C05FDF"/>
    <w:rsid w:val="00C06027"/>
    <w:rsid w:val="00C06097"/>
    <w:rsid w:val="00C060F7"/>
    <w:rsid w:val="00C06166"/>
    <w:rsid w:val="00C061F1"/>
    <w:rsid w:val="00C06221"/>
    <w:rsid w:val="00C06258"/>
    <w:rsid w:val="00C06268"/>
    <w:rsid w:val="00C0629C"/>
    <w:rsid w:val="00C062A3"/>
    <w:rsid w:val="00C062A8"/>
    <w:rsid w:val="00C062E9"/>
    <w:rsid w:val="00C06371"/>
    <w:rsid w:val="00C063B2"/>
    <w:rsid w:val="00C063BD"/>
    <w:rsid w:val="00C063C9"/>
    <w:rsid w:val="00C063D4"/>
    <w:rsid w:val="00C0643D"/>
    <w:rsid w:val="00C0645C"/>
    <w:rsid w:val="00C06479"/>
    <w:rsid w:val="00C06488"/>
    <w:rsid w:val="00C064DB"/>
    <w:rsid w:val="00C064E4"/>
    <w:rsid w:val="00C065E1"/>
    <w:rsid w:val="00C0660C"/>
    <w:rsid w:val="00C0665C"/>
    <w:rsid w:val="00C06795"/>
    <w:rsid w:val="00C0679D"/>
    <w:rsid w:val="00C067B3"/>
    <w:rsid w:val="00C067DE"/>
    <w:rsid w:val="00C0685D"/>
    <w:rsid w:val="00C068C5"/>
    <w:rsid w:val="00C068C6"/>
    <w:rsid w:val="00C06993"/>
    <w:rsid w:val="00C06998"/>
    <w:rsid w:val="00C06A8F"/>
    <w:rsid w:val="00C06B35"/>
    <w:rsid w:val="00C06B5C"/>
    <w:rsid w:val="00C06B8E"/>
    <w:rsid w:val="00C06BB8"/>
    <w:rsid w:val="00C06BC0"/>
    <w:rsid w:val="00C06BC4"/>
    <w:rsid w:val="00C06BE0"/>
    <w:rsid w:val="00C06C0B"/>
    <w:rsid w:val="00C06C1A"/>
    <w:rsid w:val="00C06CA9"/>
    <w:rsid w:val="00C06CD6"/>
    <w:rsid w:val="00C06CFD"/>
    <w:rsid w:val="00C06D0C"/>
    <w:rsid w:val="00C06D0F"/>
    <w:rsid w:val="00C06D34"/>
    <w:rsid w:val="00C06D8C"/>
    <w:rsid w:val="00C06DB1"/>
    <w:rsid w:val="00C06DDB"/>
    <w:rsid w:val="00C06E27"/>
    <w:rsid w:val="00C06EA0"/>
    <w:rsid w:val="00C06F07"/>
    <w:rsid w:val="00C06F39"/>
    <w:rsid w:val="00C06F69"/>
    <w:rsid w:val="00C06F7B"/>
    <w:rsid w:val="00C06F98"/>
    <w:rsid w:val="00C06FC1"/>
    <w:rsid w:val="00C06FEB"/>
    <w:rsid w:val="00C07021"/>
    <w:rsid w:val="00C07039"/>
    <w:rsid w:val="00C07061"/>
    <w:rsid w:val="00C070C6"/>
    <w:rsid w:val="00C070FA"/>
    <w:rsid w:val="00C0710A"/>
    <w:rsid w:val="00C0714F"/>
    <w:rsid w:val="00C07184"/>
    <w:rsid w:val="00C07197"/>
    <w:rsid w:val="00C07247"/>
    <w:rsid w:val="00C072AA"/>
    <w:rsid w:val="00C072C8"/>
    <w:rsid w:val="00C0736C"/>
    <w:rsid w:val="00C073B8"/>
    <w:rsid w:val="00C073FB"/>
    <w:rsid w:val="00C07416"/>
    <w:rsid w:val="00C0741B"/>
    <w:rsid w:val="00C07448"/>
    <w:rsid w:val="00C074B6"/>
    <w:rsid w:val="00C07514"/>
    <w:rsid w:val="00C07551"/>
    <w:rsid w:val="00C0756D"/>
    <w:rsid w:val="00C075C9"/>
    <w:rsid w:val="00C075DB"/>
    <w:rsid w:val="00C075E0"/>
    <w:rsid w:val="00C0760F"/>
    <w:rsid w:val="00C0761E"/>
    <w:rsid w:val="00C076D3"/>
    <w:rsid w:val="00C076FD"/>
    <w:rsid w:val="00C07733"/>
    <w:rsid w:val="00C0774B"/>
    <w:rsid w:val="00C07799"/>
    <w:rsid w:val="00C077A7"/>
    <w:rsid w:val="00C07828"/>
    <w:rsid w:val="00C0784F"/>
    <w:rsid w:val="00C07869"/>
    <w:rsid w:val="00C0789B"/>
    <w:rsid w:val="00C078A0"/>
    <w:rsid w:val="00C07903"/>
    <w:rsid w:val="00C0795A"/>
    <w:rsid w:val="00C07967"/>
    <w:rsid w:val="00C07978"/>
    <w:rsid w:val="00C07A30"/>
    <w:rsid w:val="00C07A38"/>
    <w:rsid w:val="00C07A5C"/>
    <w:rsid w:val="00C07A76"/>
    <w:rsid w:val="00C07AB5"/>
    <w:rsid w:val="00C07B81"/>
    <w:rsid w:val="00C07B94"/>
    <w:rsid w:val="00C07BC2"/>
    <w:rsid w:val="00C07C31"/>
    <w:rsid w:val="00C07C3E"/>
    <w:rsid w:val="00C07C55"/>
    <w:rsid w:val="00C07D01"/>
    <w:rsid w:val="00C07D42"/>
    <w:rsid w:val="00C07D5C"/>
    <w:rsid w:val="00C07D73"/>
    <w:rsid w:val="00C07D9D"/>
    <w:rsid w:val="00C07DAC"/>
    <w:rsid w:val="00C07E28"/>
    <w:rsid w:val="00C07E70"/>
    <w:rsid w:val="00C07ECC"/>
    <w:rsid w:val="00C07F75"/>
    <w:rsid w:val="00C07FA8"/>
    <w:rsid w:val="00C07FDB"/>
    <w:rsid w:val="00C100C9"/>
    <w:rsid w:val="00C10141"/>
    <w:rsid w:val="00C1019C"/>
    <w:rsid w:val="00C101DA"/>
    <w:rsid w:val="00C10234"/>
    <w:rsid w:val="00C10245"/>
    <w:rsid w:val="00C1027E"/>
    <w:rsid w:val="00C102AA"/>
    <w:rsid w:val="00C102B8"/>
    <w:rsid w:val="00C102BC"/>
    <w:rsid w:val="00C10399"/>
    <w:rsid w:val="00C10456"/>
    <w:rsid w:val="00C10517"/>
    <w:rsid w:val="00C10561"/>
    <w:rsid w:val="00C105BA"/>
    <w:rsid w:val="00C105ED"/>
    <w:rsid w:val="00C105F1"/>
    <w:rsid w:val="00C1065A"/>
    <w:rsid w:val="00C1069C"/>
    <w:rsid w:val="00C106B7"/>
    <w:rsid w:val="00C106B8"/>
    <w:rsid w:val="00C106C5"/>
    <w:rsid w:val="00C10727"/>
    <w:rsid w:val="00C10762"/>
    <w:rsid w:val="00C1076D"/>
    <w:rsid w:val="00C10771"/>
    <w:rsid w:val="00C107AC"/>
    <w:rsid w:val="00C107BE"/>
    <w:rsid w:val="00C109E1"/>
    <w:rsid w:val="00C109F5"/>
    <w:rsid w:val="00C109FF"/>
    <w:rsid w:val="00C10A08"/>
    <w:rsid w:val="00C10A74"/>
    <w:rsid w:val="00C10A92"/>
    <w:rsid w:val="00C10A9D"/>
    <w:rsid w:val="00C10B13"/>
    <w:rsid w:val="00C10BB3"/>
    <w:rsid w:val="00C10BFE"/>
    <w:rsid w:val="00C10C18"/>
    <w:rsid w:val="00C10C1E"/>
    <w:rsid w:val="00C10C21"/>
    <w:rsid w:val="00C10CC5"/>
    <w:rsid w:val="00C10D03"/>
    <w:rsid w:val="00C10D67"/>
    <w:rsid w:val="00C10DB6"/>
    <w:rsid w:val="00C10EB0"/>
    <w:rsid w:val="00C10EC8"/>
    <w:rsid w:val="00C10F2C"/>
    <w:rsid w:val="00C10F4A"/>
    <w:rsid w:val="00C11062"/>
    <w:rsid w:val="00C11096"/>
    <w:rsid w:val="00C110B2"/>
    <w:rsid w:val="00C110BF"/>
    <w:rsid w:val="00C110ED"/>
    <w:rsid w:val="00C11123"/>
    <w:rsid w:val="00C1115E"/>
    <w:rsid w:val="00C11198"/>
    <w:rsid w:val="00C111F5"/>
    <w:rsid w:val="00C11213"/>
    <w:rsid w:val="00C11291"/>
    <w:rsid w:val="00C112A4"/>
    <w:rsid w:val="00C112C9"/>
    <w:rsid w:val="00C112CA"/>
    <w:rsid w:val="00C112F3"/>
    <w:rsid w:val="00C11303"/>
    <w:rsid w:val="00C11333"/>
    <w:rsid w:val="00C11384"/>
    <w:rsid w:val="00C11391"/>
    <w:rsid w:val="00C113A7"/>
    <w:rsid w:val="00C113B2"/>
    <w:rsid w:val="00C1149E"/>
    <w:rsid w:val="00C114A4"/>
    <w:rsid w:val="00C1150F"/>
    <w:rsid w:val="00C1154F"/>
    <w:rsid w:val="00C115DC"/>
    <w:rsid w:val="00C1161B"/>
    <w:rsid w:val="00C11628"/>
    <w:rsid w:val="00C11685"/>
    <w:rsid w:val="00C1169A"/>
    <w:rsid w:val="00C116BB"/>
    <w:rsid w:val="00C116C4"/>
    <w:rsid w:val="00C116D2"/>
    <w:rsid w:val="00C1172C"/>
    <w:rsid w:val="00C1173C"/>
    <w:rsid w:val="00C11799"/>
    <w:rsid w:val="00C11834"/>
    <w:rsid w:val="00C11857"/>
    <w:rsid w:val="00C11880"/>
    <w:rsid w:val="00C11883"/>
    <w:rsid w:val="00C118C8"/>
    <w:rsid w:val="00C118CC"/>
    <w:rsid w:val="00C11A5F"/>
    <w:rsid w:val="00C11A65"/>
    <w:rsid w:val="00C11A8A"/>
    <w:rsid w:val="00C11B0B"/>
    <w:rsid w:val="00C11B10"/>
    <w:rsid w:val="00C11B5B"/>
    <w:rsid w:val="00C11B7C"/>
    <w:rsid w:val="00C11BA6"/>
    <w:rsid w:val="00C11BD9"/>
    <w:rsid w:val="00C11C9F"/>
    <w:rsid w:val="00C11CA5"/>
    <w:rsid w:val="00C11CA8"/>
    <w:rsid w:val="00C11CEC"/>
    <w:rsid w:val="00C11D54"/>
    <w:rsid w:val="00C11D98"/>
    <w:rsid w:val="00C11E98"/>
    <w:rsid w:val="00C11EB8"/>
    <w:rsid w:val="00C11F1C"/>
    <w:rsid w:val="00C11F45"/>
    <w:rsid w:val="00C11F76"/>
    <w:rsid w:val="00C11F85"/>
    <w:rsid w:val="00C11FAF"/>
    <w:rsid w:val="00C1200A"/>
    <w:rsid w:val="00C1200F"/>
    <w:rsid w:val="00C1209B"/>
    <w:rsid w:val="00C12185"/>
    <w:rsid w:val="00C121C2"/>
    <w:rsid w:val="00C1221A"/>
    <w:rsid w:val="00C122AE"/>
    <w:rsid w:val="00C12316"/>
    <w:rsid w:val="00C12318"/>
    <w:rsid w:val="00C12362"/>
    <w:rsid w:val="00C1239B"/>
    <w:rsid w:val="00C12409"/>
    <w:rsid w:val="00C1247F"/>
    <w:rsid w:val="00C12565"/>
    <w:rsid w:val="00C125A5"/>
    <w:rsid w:val="00C12608"/>
    <w:rsid w:val="00C1268B"/>
    <w:rsid w:val="00C126AE"/>
    <w:rsid w:val="00C126C9"/>
    <w:rsid w:val="00C12707"/>
    <w:rsid w:val="00C12744"/>
    <w:rsid w:val="00C12754"/>
    <w:rsid w:val="00C127BB"/>
    <w:rsid w:val="00C12804"/>
    <w:rsid w:val="00C1280F"/>
    <w:rsid w:val="00C12818"/>
    <w:rsid w:val="00C128E1"/>
    <w:rsid w:val="00C12996"/>
    <w:rsid w:val="00C12ADF"/>
    <w:rsid w:val="00C12AEA"/>
    <w:rsid w:val="00C12B9C"/>
    <w:rsid w:val="00C12BF9"/>
    <w:rsid w:val="00C12C1E"/>
    <w:rsid w:val="00C12C69"/>
    <w:rsid w:val="00C12CFA"/>
    <w:rsid w:val="00C12DA8"/>
    <w:rsid w:val="00C12DD0"/>
    <w:rsid w:val="00C12E1F"/>
    <w:rsid w:val="00C12E7B"/>
    <w:rsid w:val="00C12E81"/>
    <w:rsid w:val="00C12E82"/>
    <w:rsid w:val="00C12F18"/>
    <w:rsid w:val="00C12F7F"/>
    <w:rsid w:val="00C13030"/>
    <w:rsid w:val="00C13081"/>
    <w:rsid w:val="00C130B3"/>
    <w:rsid w:val="00C130B8"/>
    <w:rsid w:val="00C130E2"/>
    <w:rsid w:val="00C1319B"/>
    <w:rsid w:val="00C132E8"/>
    <w:rsid w:val="00C1332D"/>
    <w:rsid w:val="00C1336A"/>
    <w:rsid w:val="00C13370"/>
    <w:rsid w:val="00C133DC"/>
    <w:rsid w:val="00C13435"/>
    <w:rsid w:val="00C13452"/>
    <w:rsid w:val="00C1346D"/>
    <w:rsid w:val="00C13498"/>
    <w:rsid w:val="00C135A2"/>
    <w:rsid w:val="00C13657"/>
    <w:rsid w:val="00C1365C"/>
    <w:rsid w:val="00C13691"/>
    <w:rsid w:val="00C136B1"/>
    <w:rsid w:val="00C136BC"/>
    <w:rsid w:val="00C136F8"/>
    <w:rsid w:val="00C1374F"/>
    <w:rsid w:val="00C137D5"/>
    <w:rsid w:val="00C1382B"/>
    <w:rsid w:val="00C13835"/>
    <w:rsid w:val="00C1388B"/>
    <w:rsid w:val="00C138A4"/>
    <w:rsid w:val="00C138B9"/>
    <w:rsid w:val="00C13923"/>
    <w:rsid w:val="00C13935"/>
    <w:rsid w:val="00C1393D"/>
    <w:rsid w:val="00C13943"/>
    <w:rsid w:val="00C1394E"/>
    <w:rsid w:val="00C139E7"/>
    <w:rsid w:val="00C13A2A"/>
    <w:rsid w:val="00C13A4E"/>
    <w:rsid w:val="00C13AB7"/>
    <w:rsid w:val="00C13ABF"/>
    <w:rsid w:val="00C13B0E"/>
    <w:rsid w:val="00C13B40"/>
    <w:rsid w:val="00C13BCB"/>
    <w:rsid w:val="00C13C4E"/>
    <w:rsid w:val="00C13C5C"/>
    <w:rsid w:val="00C13C8D"/>
    <w:rsid w:val="00C13CA6"/>
    <w:rsid w:val="00C13CD1"/>
    <w:rsid w:val="00C13D16"/>
    <w:rsid w:val="00C13D50"/>
    <w:rsid w:val="00C13D51"/>
    <w:rsid w:val="00C13E6F"/>
    <w:rsid w:val="00C13EF1"/>
    <w:rsid w:val="00C13F0D"/>
    <w:rsid w:val="00C13F96"/>
    <w:rsid w:val="00C13FC4"/>
    <w:rsid w:val="00C13FE7"/>
    <w:rsid w:val="00C13FFF"/>
    <w:rsid w:val="00C14047"/>
    <w:rsid w:val="00C14069"/>
    <w:rsid w:val="00C14089"/>
    <w:rsid w:val="00C140B0"/>
    <w:rsid w:val="00C14143"/>
    <w:rsid w:val="00C141CF"/>
    <w:rsid w:val="00C14206"/>
    <w:rsid w:val="00C1425C"/>
    <w:rsid w:val="00C14291"/>
    <w:rsid w:val="00C14324"/>
    <w:rsid w:val="00C14330"/>
    <w:rsid w:val="00C1440C"/>
    <w:rsid w:val="00C14471"/>
    <w:rsid w:val="00C14476"/>
    <w:rsid w:val="00C144EC"/>
    <w:rsid w:val="00C144F6"/>
    <w:rsid w:val="00C1456A"/>
    <w:rsid w:val="00C145A1"/>
    <w:rsid w:val="00C145D3"/>
    <w:rsid w:val="00C1462A"/>
    <w:rsid w:val="00C14657"/>
    <w:rsid w:val="00C14666"/>
    <w:rsid w:val="00C1474D"/>
    <w:rsid w:val="00C14792"/>
    <w:rsid w:val="00C14861"/>
    <w:rsid w:val="00C14869"/>
    <w:rsid w:val="00C148D1"/>
    <w:rsid w:val="00C148D6"/>
    <w:rsid w:val="00C14909"/>
    <w:rsid w:val="00C14932"/>
    <w:rsid w:val="00C1498C"/>
    <w:rsid w:val="00C149C4"/>
    <w:rsid w:val="00C149FD"/>
    <w:rsid w:val="00C14A4C"/>
    <w:rsid w:val="00C14AA1"/>
    <w:rsid w:val="00C14AA6"/>
    <w:rsid w:val="00C14ACB"/>
    <w:rsid w:val="00C14B31"/>
    <w:rsid w:val="00C14BD1"/>
    <w:rsid w:val="00C14BD8"/>
    <w:rsid w:val="00C14C83"/>
    <w:rsid w:val="00C14C98"/>
    <w:rsid w:val="00C14E0B"/>
    <w:rsid w:val="00C14E32"/>
    <w:rsid w:val="00C14E56"/>
    <w:rsid w:val="00C14E71"/>
    <w:rsid w:val="00C14E75"/>
    <w:rsid w:val="00C14FB1"/>
    <w:rsid w:val="00C14FE1"/>
    <w:rsid w:val="00C15063"/>
    <w:rsid w:val="00C150AA"/>
    <w:rsid w:val="00C150CD"/>
    <w:rsid w:val="00C150E1"/>
    <w:rsid w:val="00C150E9"/>
    <w:rsid w:val="00C15166"/>
    <w:rsid w:val="00C1516C"/>
    <w:rsid w:val="00C151EA"/>
    <w:rsid w:val="00C15219"/>
    <w:rsid w:val="00C1522F"/>
    <w:rsid w:val="00C152CE"/>
    <w:rsid w:val="00C15340"/>
    <w:rsid w:val="00C1535A"/>
    <w:rsid w:val="00C153FD"/>
    <w:rsid w:val="00C15427"/>
    <w:rsid w:val="00C1546A"/>
    <w:rsid w:val="00C154A0"/>
    <w:rsid w:val="00C15531"/>
    <w:rsid w:val="00C15538"/>
    <w:rsid w:val="00C1553A"/>
    <w:rsid w:val="00C15546"/>
    <w:rsid w:val="00C15551"/>
    <w:rsid w:val="00C1559E"/>
    <w:rsid w:val="00C155FA"/>
    <w:rsid w:val="00C15613"/>
    <w:rsid w:val="00C156C9"/>
    <w:rsid w:val="00C156E2"/>
    <w:rsid w:val="00C156F9"/>
    <w:rsid w:val="00C156FB"/>
    <w:rsid w:val="00C1575C"/>
    <w:rsid w:val="00C15779"/>
    <w:rsid w:val="00C15818"/>
    <w:rsid w:val="00C15823"/>
    <w:rsid w:val="00C15830"/>
    <w:rsid w:val="00C15895"/>
    <w:rsid w:val="00C158F3"/>
    <w:rsid w:val="00C158F9"/>
    <w:rsid w:val="00C15903"/>
    <w:rsid w:val="00C15943"/>
    <w:rsid w:val="00C159B2"/>
    <w:rsid w:val="00C159F4"/>
    <w:rsid w:val="00C15A24"/>
    <w:rsid w:val="00C15B49"/>
    <w:rsid w:val="00C15B8A"/>
    <w:rsid w:val="00C15B8E"/>
    <w:rsid w:val="00C15C10"/>
    <w:rsid w:val="00C15C4A"/>
    <w:rsid w:val="00C15C5A"/>
    <w:rsid w:val="00C15C69"/>
    <w:rsid w:val="00C15CB0"/>
    <w:rsid w:val="00C15CC6"/>
    <w:rsid w:val="00C15D2C"/>
    <w:rsid w:val="00C15D62"/>
    <w:rsid w:val="00C15DD6"/>
    <w:rsid w:val="00C15E17"/>
    <w:rsid w:val="00C15ED8"/>
    <w:rsid w:val="00C15FAD"/>
    <w:rsid w:val="00C15FF0"/>
    <w:rsid w:val="00C16019"/>
    <w:rsid w:val="00C1607A"/>
    <w:rsid w:val="00C1608C"/>
    <w:rsid w:val="00C160CA"/>
    <w:rsid w:val="00C161D9"/>
    <w:rsid w:val="00C161DA"/>
    <w:rsid w:val="00C161E3"/>
    <w:rsid w:val="00C16201"/>
    <w:rsid w:val="00C16210"/>
    <w:rsid w:val="00C16228"/>
    <w:rsid w:val="00C1622A"/>
    <w:rsid w:val="00C1622E"/>
    <w:rsid w:val="00C16247"/>
    <w:rsid w:val="00C16281"/>
    <w:rsid w:val="00C162B4"/>
    <w:rsid w:val="00C162D3"/>
    <w:rsid w:val="00C162EC"/>
    <w:rsid w:val="00C1631B"/>
    <w:rsid w:val="00C16333"/>
    <w:rsid w:val="00C163F7"/>
    <w:rsid w:val="00C16411"/>
    <w:rsid w:val="00C164D1"/>
    <w:rsid w:val="00C164F0"/>
    <w:rsid w:val="00C16514"/>
    <w:rsid w:val="00C1652F"/>
    <w:rsid w:val="00C16618"/>
    <w:rsid w:val="00C16668"/>
    <w:rsid w:val="00C16696"/>
    <w:rsid w:val="00C166C5"/>
    <w:rsid w:val="00C166CE"/>
    <w:rsid w:val="00C16760"/>
    <w:rsid w:val="00C167A7"/>
    <w:rsid w:val="00C167AE"/>
    <w:rsid w:val="00C167D7"/>
    <w:rsid w:val="00C16808"/>
    <w:rsid w:val="00C1681A"/>
    <w:rsid w:val="00C16886"/>
    <w:rsid w:val="00C168BA"/>
    <w:rsid w:val="00C1692A"/>
    <w:rsid w:val="00C1694B"/>
    <w:rsid w:val="00C16980"/>
    <w:rsid w:val="00C16990"/>
    <w:rsid w:val="00C16991"/>
    <w:rsid w:val="00C169AB"/>
    <w:rsid w:val="00C169F8"/>
    <w:rsid w:val="00C16A30"/>
    <w:rsid w:val="00C16A79"/>
    <w:rsid w:val="00C16AFE"/>
    <w:rsid w:val="00C16B00"/>
    <w:rsid w:val="00C16B50"/>
    <w:rsid w:val="00C16B6C"/>
    <w:rsid w:val="00C16B83"/>
    <w:rsid w:val="00C16BEB"/>
    <w:rsid w:val="00C16C5E"/>
    <w:rsid w:val="00C16C69"/>
    <w:rsid w:val="00C16C7C"/>
    <w:rsid w:val="00C16CA9"/>
    <w:rsid w:val="00C16D5C"/>
    <w:rsid w:val="00C16D60"/>
    <w:rsid w:val="00C16DCB"/>
    <w:rsid w:val="00C16E3A"/>
    <w:rsid w:val="00C16E4E"/>
    <w:rsid w:val="00C16EAF"/>
    <w:rsid w:val="00C16EB3"/>
    <w:rsid w:val="00C16EC1"/>
    <w:rsid w:val="00C16F10"/>
    <w:rsid w:val="00C16F6A"/>
    <w:rsid w:val="00C16F6B"/>
    <w:rsid w:val="00C16F85"/>
    <w:rsid w:val="00C16FFA"/>
    <w:rsid w:val="00C1700B"/>
    <w:rsid w:val="00C1701F"/>
    <w:rsid w:val="00C17032"/>
    <w:rsid w:val="00C1703B"/>
    <w:rsid w:val="00C17056"/>
    <w:rsid w:val="00C17072"/>
    <w:rsid w:val="00C1707E"/>
    <w:rsid w:val="00C1709D"/>
    <w:rsid w:val="00C170AF"/>
    <w:rsid w:val="00C170BF"/>
    <w:rsid w:val="00C17104"/>
    <w:rsid w:val="00C1717B"/>
    <w:rsid w:val="00C17194"/>
    <w:rsid w:val="00C1719F"/>
    <w:rsid w:val="00C171A7"/>
    <w:rsid w:val="00C1720A"/>
    <w:rsid w:val="00C1724F"/>
    <w:rsid w:val="00C172A1"/>
    <w:rsid w:val="00C172B0"/>
    <w:rsid w:val="00C172D9"/>
    <w:rsid w:val="00C172E7"/>
    <w:rsid w:val="00C1731B"/>
    <w:rsid w:val="00C1731E"/>
    <w:rsid w:val="00C17367"/>
    <w:rsid w:val="00C1737D"/>
    <w:rsid w:val="00C17380"/>
    <w:rsid w:val="00C173E3"/>
    <w:rsid w:val="00C17424"/>
    <w:rsid w:val="00C17435"/>
    <w:rsid w:val="00C17437"/>
    <w:rsid w:val="00C17492"/>
    <w:rsid w:val="00C174E9"/>
    <w:rsid w:val="00C17548"/>
    <w:rsid w:val="00C17572"/>
    <w:rsid w:val="00C175A1"/>
    <w:rsid w:val="00C17616"/>
    <w:rsid w:val="00C17628"/>
    <w:rsid w:val="00C17641"/>
    <w:rsid w:val="00C17647"/>
    <w:rsid w:val="00C1768B"/>
    <w:rsid w:val="00C176A2"/>
    <w:rsid w:val="00C176FD"/>
    <w:rsid w:val="00C1770D"/>
    <w:rsid w:val="00C1778B"/>
    <w:rsid w:val="00C17958"/>
    <w:rsid w:val="00C1796B"/>
    <w:rsid w:val="00C179D0"/>
    <w:rsid w:val="00C17A5E"/>
    <w:rsid w:val="00C17ACE"/>
    <w:rsid w:val="00C17B8B"/>
    <w:rsid w:val="00C17C08"/>
    <w:rsid w:val="00C17C6E"/>
    <w:rsid w:val="00C17C89"/>
    <w:rsid w:val="00C17CB8"/>
    <w:rsid w:val="00C17CD9"/>
    <w:rsid w:val="00C17D6E"/>
    <w:rsid w:val="00C17D82"/>
    <w:rsid w:val="00C17D91"/>
    <w:rsid w:val="00C17DAE"/>
    <w:rsid w:val="00C17DE6"/>
    <w:rsid w:val="00C17EFE"/>
    <w:rsid w:val="00C17F70"/>
    <w:rsid w:val="00C17F84"/>
    <w:rsid w:val="00C17F96"/>
    <w:rsid w:val="00C17FA4"/>
    <w:rsid w:val="00C20055"/>
    <w:rsid w:val="00C2005A"/>
    <w:rsid w:val="00C20065"/>
    <w:rsid w:val="00C200A2"/>
    <w:rsid w:val="00C20114"/>
    <w:rsid w:val="00C2020E"/>
    <w:rsid w:val="00C2024C"/>
    <w:rsid w:val="00C202B3"/>
    <w:rsid w:val="00C202BA"/>
    <w:rsid w:val="00C202C3"/>
    <w:rsid w:val="00C20319"/>
    <w:rsid w:val="00C2033A"/>
    <w:rsid w:val="00C20343"/>
    <w:rsid w:val="00C20392"/>
    <w:rsid w:val="00C203E7"/>
    <w:rsid w:val="00C2043E"/>
    <w:rsid w:val="00C20555"/>
    <w:rsid w:val="00C205CE"/>
    <w:rsid w:val="00C2063B"/>
    <w:rsid w:val="00C20661"/>
    <w:rsid w:val="00C206BA"/>
    <w:rsid w:val="00C206F9"/>
    <w:rsid w:val="00C20719"/>
    <w:rsid w:val="00C2073F"/>
    <w:rsid w:val="00C20754"/>
    <w:rsid w:val="00C20771"/>
    <w:rsid w:val="00C20772"/>
    <w:rsid w:val="00C20806"/>
    <w:rsid w:val="00C2089D"/>
    <w:rsid w:val="00C20A21"/>
    <w:rsid w:val="00C20A48"/>
    <w:rsid w:val="00C20A6A"/>
    <w:rsid w:val="00C20A89"/>
    <w:rsid w:val="00C20AA7"/>
    <w:rsid w:val="00C20ABF"/>
    <w:rsid w:val="00C20AC6"/>
    <w:rsid w:val="00C20BF3"/>
    <w:rsid w:val="00C20C33"/>
    <w:rsid w:val="00C20C93"/>
    <w:rsid w:val="00C20C97"/>
    <w:rsid w:val="00C20CD7"/>
    <w:rsid w:val="00C20CDE"/>
    <w:rsid w:val="00C20CE6"/>
    <w:rsid w:val="00C20D1B"/>
    <w:rsid w:val="00C20D52"/>
    <w:rsid w:val="00C20D64"/>
    <w:rsid w:val="00C20D7F"/>
    <w:rsid w:val="00C20EA1"/>
    <w:rsid w:val="00C20EBF"/>
    <w:rsid w:val="00C20F6D"/>
    <w:rsid w:val="00C20F83"/>
    <w:rsid w:val="00C210A6"/>
    <w:rsid w:val="00C210F4"/>
    <w:rsid w:val="00C210FE"/>
    <w:rsid w:val="00C2116C"/>
    <w:rsid w:val="00C21278"/>
    <w:rsid w:val="00C212A5"/>
    <w:rsid w:val="00C2130C"/>
    <w:rsid w:val="00C21347"/>
    <w:rsid w:val="00C21353"/>
    <w:rsid w:val="00C2136D"/>
    <w:rsid w:val="00C2136F"/>
    <w:rsid w:val="00C213E5"/>
    <w:rsid w:val="00C213E6"/>
    <w:rsid w:val="00C21434"/>
    <w:rsid w:val="00C214AA"/>
    <w:rsid w:val="00C214B1"/>
    <w:rsid w:val="00C21542"/>
    <w:rsid w:val="00C21554"/>
    <w:rsid w:val="00C21585"/>
    <w:rsid w:val="00C215B1"/>
    <w:rsid w:val="00C21639"/>
    <w:rsid w:val="00C21672"/>
    <w:rsid w:val="00C21691"/>
    <w:rsid w:val="00C216F3"/>
    <w:rsid w:val="00C21723"/>
    <w:rsid w:val="00C21738"/>
    <w:rsid w:val="00C21773"/>
    <w:rsid w:val="00C21795"/>
    <w:rsid w:val="00C217AF"/>
    <w:rsid w:val="00C217F2"/>
    <w:rsid w:val="00C21815"/>
    <w:rsid w:val="00C2183B"/>
    <w:rsid w:val="00C2184D"/>
    <w:rsid w:val="00C21869"/>
    <w:rsid w:val="00C218EA"/>
    <w:rsid w:val="00C218FA"/>
    <w:rsid w:val="00C21930"/>
    <w:rsid w:val="00C219A9"/>
    <w:rsid w:val="00C219E1"/>
    <w:rsid w:val="00C219E4"/>
    <w:rsid w:val="00C21AE2"/>
    <w:rsid w:val="00C21B1A"/>
    <w:rsid w:val="00C21B3F"/>
    <w:rsid w:val="00C21B4E"/>
    <w:rsid w:val="00C21B96"/>
    <w:rsid w:val="00C21B9E"/>
    <w:rsid w:val="00C21BBA"/>
    <w:rsid w:val="00C21BC1"/>
    <w:rsid w:val="00C21C4D"/>
    <w:rsid w:val="00C21C8A"/>
    <w:rsid w:val="00C21C90"/>
    <w:rsid w:val="00C21C9C"/>
    <w:rsid w:val="00C21CC0"/>
    <w:rsid w:val="00C21CD7"/>
    <w:rsid w:val="00C21D1F"/>
    <w:rsid w:val="00C21D29"/>
    <w:rsid w:val="00C21E3A"/>
    <w:rsid w:val="00C21E3C"/>
    <w:rsid w:val="00C21E5F"/>
    <w:rsid w:val="00C21EE0"/>
    <w:rsid w:val="00C21FA6"/>
    <w:rsid w:val="00C22003"/>
    <w:rsid w:val="00C22033"/>
    <w:rsid w:val="00C22039"/>
    <w:rsid w:val="00C22043"/>
    <w:rsid w:val="00C22047"/>
    <w:rsid w:val="00C2209D"/>
    <w:rsid w:val="00C220AC"/>
    <w:rsid w:val="00C22139"/>
    <w:rsid w:val="00C221CA"/>
    <w:rsid w:val="00C22214"/>
    <w:rsid w:val="00C2221A"/>
    <w:rsid w:val="00C2223C"/>
    <w:rsid w:val="00C222E9"/>
    <w:rsid w:val="00C2237E"/>
    <w:rsid w:val="00C223DB"/>
    <w:rsid w:val="00C223E4"/>
    <w:rsid w:val="00C223F3"/>
    <w:rsid w:val="00C224A2"/>
    <w:rsid w:val="00C224B7"/>
    <w:rsid w:val="00C224CF"/>
    <w:rsid w:val="00C2257F"/>
    <w:rsid w:val="00C2258C"/>
    <w:rsid w:val="00C225BC"/>
    <w:rsid w:val="00C22604"/>
    <w:rsid w:val="00C22630"/>
    <w:rsid w:val="00C226C4"/>
    <w:rsid w:val="00C226DB"/>
    <w:rsid w:val="00C22771"/>
    <w:rsid w:val="00C22839"/>
    <w:rsid w:val="00C22871"/>
    <w:rsid w:val="00C228FD"/>
    <w:rsid w:val="00C2293A"/>
    <w:rsid w:val="00C2293E"/>
    <w:rsid w:val="00C22960"/>
    <w:rsid w:val="00C22962"/>
    <w:rsid w:val="00C229D4"/>
    <w:rsid w:val="00C229FE"/>
    <w:rsid w:val="00C22A09"/>
    <w:rsid w:val="00C22AB5"/>
    <w:rsid w:val="00C22AB8"/>
    <w:rsid w:val="00C22B08"/>
    <w:rsid w:val="00C22B17"/>
    <w:rsid w:val="00C22B35"/>
    <w:rsid w:val="00C22B77"/>
    <w:rsid w:val="00C22BA7"/>
    <w:rsid w:val="00C22BAB"/>
    <w:rsid w:val="00C22C74"/>
    <w:rsid w:val="00C22D3D"/>
    <w:rsid w:val="00C22D85"/>
    <w:rsid w:val="00C22E07"/>
    <w:rsid w:val="00C22E5E"/>
    <w:rsid w:val="00C22F32"/>
    <w:rsid w:val="00C22F4D"/>
    <w:rsid w:val="00C22FDD"/>
    <w:rsid w:val="00C22FE2"/>
    <w:rsid w:val="00C22FFF"/>
    <w:rsid w:val="00C2307A"/>
    <w:rsid w:val="00C2308A"/>
    <w:rsid w:val="00C230E9"/>
    <w:rsid w:val="00C23148"/>
    <w:rsid w:val="00C231A6"/>
    <w:rsid w:val="00C23235"/>
    <w:rsid w:val="00C2323C"/>
    <w:rsid w:val="00C23240"/>
    <w:rsid w:val="00C23271"/>
    <w:rsid w:val="00C23343"/>
    <w:rsid w:val="00C2339A"/>
    <w:rsid w:val="00C233B5"/>
    <w:rsid w:val="00C233C9"/>
    <w:rsid w:val="00C2345F"/>
    <w:rsid w:val="00C23465"/>
    <w:rsid w:val="00C23527"/>
    <w:rsid w:val="00C23564"/>
    <w:rsid w:val="00C235E9"/>
    <w:rsid w:val="00C235F4"/>
    <w:rsid w:val="00C235F5"/>
    <w:rsid w:val="00C23678"/>
    <w:rsid w:val="00C236D2"/>
    <w:rsid w:val="00C236F8"/>
    <w:rsid w:val="00C2370D"/>
    <w:rsid w:val="00C23787"/>
    <w:rsid w:val="00C237A3"/>
    <w:rsid w:val="00C237BB"/>
    <w:rsid w:val="00C237D7"/>
    <w:rsid w:val="00C237E0"/>
    <w:rsid w:val="00C2381B"/>
    <w:rsid w:val="00C23867"/>
    <w:rsid w:val="00C23879"/>
    <w:rsid w:val="00C2390B"/>
    <w:rsid w:val="00C2394F"/>
    <w:rsid w:val="00C239B6"/>
    <w:rsid w:val="00C239CD"/>
    <w:rsid w:val="00C23AA6"/>
    <w:rsid w:val="00C23B3E"/>
    <w:rsid w:val="00C23BC3"/>
    <w:rsid w:val="00C23C2A"/>
    <w:rsid w:val="00C23C82"/>
    <w:rsid w:val="00C23D14"/>
    <w:rsid w:val="00C23DAD"/>
    <w:rsid w:val="00C23DE7"/>
    <w:rsid w:val="00C23E43"/>
    <w:rsid w:val="00C23E95"/>
    <w:rsid w:val="00C23F2A"/>
    <w:rsid w:val="00C23F30"/>
    <w:rsid w:val="00C23F31"/>
    <w:rsid w:val="00C24064"/>
    <w:rsid w:val="00C240A1"/>
    <w:rsid w:val="00C240CD"/>
    <w:rsid w:val="00C240F2"/>
    <w:rsid w:val="00C240F6"/>
    <w:rsid w:val="00C240F7"/>
    <w:rsid w:val="00C24160"/>
    <w:rsid w:val="00C241E4"/>
    <w:rsid w:val="00C2423C"/>
    <w:rsid w:val="00C24249"/>
    <w:rsid w:val="00C242C1"/>
    <w:rsid w:val="00C2437E"/>
    <w:rsid w:val="00C24385"/>
    <w:rsid w:val="00C24396"/>
    <w:rsid w:val="00C243A3"/>
    <w:rsid w:val="00C243A7"/>
    <w:rsid w:val="00C24425"/>
    <w:rsid w:val="00C24427"/>
    <w:rsid w:val="00C24473"/>
    <w:rsid w:val="00C244F0"/>
    <w:rsid w:val="00C24554"/>
    <w:rsid w:val="00C24557"/>
    <w:rsid w:val="00C24571"/>
    <w:rsid w:val="00C2457C"/>
    <w:rsid w:val="00C245A5"/>
    <w:rsid w:val="00C245E3"/>
    <w:rsid w:val="00C24605"/>
    <w:rsid w:val="00C2460D"/>
    <w:rsid w:val="00C24624"/>
    <w:rsid w:val="00C24628"/>
    <w:rsid w:val="00C246B9"/>
    <w:rsid w:val="00C246C2"/>
    <w:rsid w:val="00C2470B"/>
    <w:rsid w:val="00C24759"/>
    <w:rsid w:val="00C24769"/>
    <w:rsid w:val="00C24770"/>
    <w:rsid w:val="00C24790"/>
    <w:rsid w:val="00C247A4"/>
    <w:rsid w:val="00C247BC"/>
    <w:rsid w:val="00C24834"/>
    <w:rsid w:val="00C2484F"/>
    <w:rsid w:val="00C24860"/>
    <w:rsid w:val="00C2487D"/>
    <w:rsid w:val="00C24903"/>
    <w:rsid w:val="00C24965"/>
    <w:rsid w:val="00C2496E"/>
    <w:rsid w:val="00C249A2"/>
    <w:rsid w:val="00C24AA3"/>
    <w:rsid w:val="00C24ADD"/>
    <w:rsid w:val="00C24AEE"/>
    <w:rsid w:val="00C24AF2"/>
    <w:rsid w:val="00C24B0C"/>
    <w:rsid w:val="00C24B2F"/>
    <w:rsid w:val="00C24B37"/>
    <w:rsid w:val="00C24B84"/>
    <w:rsid w:val="00C24B8B"/>
    <w:rsid w:val="00C24C90"/>
    <w:rsid w:val="00C24D32"/>
    <w:rsid w:val="00C24D37"/>
    <w:rsid w:val="00C24D82"/>
    <w:rsid w:val="00C24E22"/>
    <w:rsid w:val="00C24E4A"/>
    <w:rsid w:val="00C24E5C"/>
    <w:rsid w:val="00C24E5D"/>
    <w:rsid w:val="00C24E6C"/>
    <w:rsid w:val="00C24E6E"/>
    <w:rsid w:val="00C24EA1"/>
    <w:rsid w:val="00C24FA3"/>
    <w:rsid w:val="00C24FE1"/>
    <w:rsid w:val="00C25005"/>
    <w:rsid w:val="00C25035"/>
    <w:rsid w:val="00C250B0"/>
    <w:rsid w:val="00C250D2"/>
    <w:rsid w:val="00C250ED"/>
    <w:rsid w:val="00C25187"/>
    <w:rsid w:val="00C25199"/>
    <w:rsid w:val="00C251E7"/>
    <w:rsid w:val="00C2521B"/>
    <w:rsid w:val="00C25239"/>
    <w:rsid w:val="00C2527B"/>
    <w:rsid w:val="00C252E9"/>
    <w:rsid w:val="00C252EF"/>
    <w:rsid w:val="00C2530F"/>
    <w:rsid w:val="00C25324"/>
    <w:rsid w:val="00C2532B"/>
    <w:rsid w:val="00C2537B"/>
    <w:rsid w:val="00C253D6"/>
    <w:rsid w:val="00C25466"/>
    <w:rsid w:val="00C254AB"/>
    <w:rsid w:val="00C254D1"/>
    <w:rsid w:val="00C2550F"/>
    <w:rsid w:val="00C2554F"/>
    <w:rsid w:val="00C255B9"/>
    <w:rsid w:val="00C255F6"/>
    <w:rsid w:val="00C25627"/>
    <w:rsid w:val="00C2565D"/>
    <w:rsid w:val="00C25679"/>
    <w:rsid w:val="00C25681"/>
    <w:rsid w:val="00C25686"/>
    <w:rsid w:val="00C256A0"/>
    <w:rsid w:val="00C2578B"/>
    <w:rsid w:val="00C257BC"/>
    <w:rsid w:val="00C257F6"/>
    <w:rsid w:val="00C2580F"/>
    <w:rsid w:val="00C25811"/>
    <w:rsid w:val="00C258B5"/>
    <w:rsid w:val="00C258CF"/>
    <w:rsid w:val="00C258E7"/>
    <w:rsid w:val="00C25901"/>
    <w:rsid w:val="00C25922"/>
    <w:rsid w:val="00C25991"/>
    <w:rsid w:val="00C25A14"/>
    <w:rsid w:val="00C25B11"/>
    <w:rsid w:val="00C25B13"/>
    <w:rsid w:val="00C25B72"/>
    <w:rsid w:val="00C25C2B"/>
    <w:rsid w:val="00C25C47"/>
    <w:rsid w:val="00C25C52"/>
    <w:rsid w:val="00C25CCF"/>
    <w:rsid w:val="00C25D05"/>
    <w:rsid w:val="00C25DCB"/>
    <w:rsid w:val="00C25E84"/>
    <w:rsid w:val="00C25E8A"/>
    <w:rsid w:val="00C25EA6"/>
    <w:rsid w:val="00C25F12"/>
    <w:rsid w:val="00C25F56"/>
    <w:rsid w:val="00C25F73"/>
    <w:rsid w:val="00C25F99"/>
    <w:rsid w:val="00C25FBA"/>
    <w:rsid w:val="00C26015"/>
    <w:rsid w:val="00C26057"/>
    <w:rsid w:val="00C260AF"/>
    <w:rsid w:val="00C26107"/>
    <w:rsid w:val="00C26131"/>
    <w:rsid w:val="00C2617A"/>
    <w:rsid w:val="00C261BE"/>
    <w:rsid w:val="00C261F0"/>
    <w:rsid w:val="00C2630E"/>
    <w:rsid w:val="00C26311"/>
    <w:rsid w:val="00C2632F"/>
    <w:rsid w:val="00C2634D"/>
    <w:rsid w:val="00C2636C"/>
    <w:rsid w:val="00C2648A"/>
    <w:rsid w:val="00C2655F"/>
    <w:rsid w:val="00C265A0"/>
    <w:rsid w:val="00C265D3"/>
    <w:rsid w:val="00C26674"/>
    <w:rsid w:val="00C266E2"/>
    <w:rsid w:val="00C266E7"/>
    <w:rsid w:val="00C266FD"/>
    <w:rsid w:val="00C2671E"/>
    <w:rsid w:val="00C26743"/>
    <w:rsid w:val="00C26768"/>
    <w:rsid w:val="00C26769"/>
    <w:rsid w:val="00C2676E"/>
    <w:rsid w:val="00C267C4"/>
    <w:rsid w:val="00C26826"/>
    <w:rsid w:val="00C26874"/>
    <w:rsid w:val="00C26896"/>
    <w:rsid w:val="00C2689E"/>
    <w:rsid w:val="00C268D1"/>
    <w:rsid w:val="00C268F9"/>
    <w:rsid w:val="00C26921"/>
    <w:rsid w:val="00C2695A"/>
    <w:rsid w:val="00C2697F"/>
    <w:rsid w:val="00C26998"/>
    <w:rsid w:val="00C269E3"/>
    <w:rsid w:val="00C26A07"/>
    <w:rsid w:val="00C26A6B"/>
    <w:rsid w:val="00C26A6F"/>
    <w:rsid w:val="00C26A78"/>
    <w:rsid w:val="00C26ABA"/>
    <w:rsid w:val="00C26B55"/>
    <w:rsid w:val="00C26B8A"/>
    <w:rsid w:val="00C26C06"/>
    <w:rsid w:val="00C26C13"/>
    <w:rsid w:val="00C26C77"/>
    <w:rsid w:val="00C26CAB"/>
    <w:rsid w:val="00C26D27"/>
    <w:rsid w:val="00C26EAE"/>
    <w:rsid w:val="00C26EB0"/>
    <w:rsid w:val="00C26FB0"/>
    <w:rsid w:val="00C26FD9"/>
    <w:rsid w:val="00C270C7"/>
    <w:rsid w:val="00C270CB"/>
    <w:rsid w:val="00C270D1"/>
    <w:rsid w:val="00C27101"/>
    <w:rsid w:val="00C27113"/>
    <w:rsid w:val="00C27166"/>
    <w:rsid w:val="00C27179"/>
    <w:rsid w:val="00C271F6"/>
    <w:rsid w:val="00C27235"/>
    <w:rsid w:val="00C27301"/>
    <w:rsid w:val="00C2730C"/>
    <w:rsid w:val="00C27313"/>
    <w:rsid w:val="00C27354"/>
    <w:rsid w:val="00C27376"/>
    <w:rsid w:val="00C2737C"/>
    <w:rsid w:val="00C27424"/>
    <w:rsid w:val="00C27437"/>
    <w:rsid w:val="00C27446"/>
    <w:rsid w:val="00C274CE"/>
    <w:rsid w:val="00C275E9"/>
    <w:rsid w:val="00C2761D"/>
    <w:rsid w:val="00C27645"/>
    <w:rsid w:val="00C2767D"/>
    <w:rsid w:val="00C276C5"/>
    <w:rsid w:val="00C276C9"/>
    <w:rsid w:val="00C27768"/>
    <w:rsid w:val="00C27775"/>
    <w:rsid w:val="00C277CB"/>
    <w:rsid w:val="00C277E8"/>
    <w:rsid w:val="00C2781B"/>
    <w:rsid w:val="00C2782C"/>
    <w:rsid w:val="00C2783D"/>
    <w:rsid w:val="00C2785A"/>
    <w:rsid w:val="00C27878"/>
    <w:rsid w:val="00C278BF"/>
    <w:rsid w:val="00C278D1"/>
    <w:rsid w:val="00C278D3"/>
    <w:rsid w:val="00C278FE"/>
    <w:rsid w:val="00C279BB"/>
    <w:rsid w:val="00C27A07"/>
    <w:rsid w:val="00C27A16"/>
    <w:rsid w:val="00C27A5F"/>
    <w:rsid w:val="00C27A88"/>
    <w:rsid w:val="00C27AC9"/>
    <w:rsid w:val="00C27AE9"/>
    <w:rsid w:val="00C27B5D"/>
    <w:rsid w:val="00C27B8F"/>
    <w:rsid w:val="00C27C11"/>
    <w:rsid w:val="00C27C1A"/>
    <w:rsid w:val="00C27D51"/>
    <w:rsid w:val="00C27D77"/>
    <w:rsid w:val="00C27DCB"/>
    <w:rsid w:val="00C27E7A"/>
    <w:rsid w:val="00C27EA6"/>
    <w:rsid w:val="00C27EEB"/>
    <w:rsid w:val="00C27EF4"/>
    <w:rsid w:val="00C27F7D"/>
    <w:rsid w:val="00C27FD2"/>
    <w:rsid w:val="00C27FE3"/>
    <w:rsid w:val="00C3000A"/>
    <w:rsid w:val="00C3001A"/>
    <w:rsid w:val="00C30024"/>
    <w:rsid w:val="00C30061"/>
    <w:rsid w:val="00C30073"/>
    <w:rsid w:val="00C30082"/>
    <w:rsid w:val="00C30145"/>
    <w:rsid w:val="00C30158"/>
    <w:rsid w:val="00C301A8"/>
    <w:rsid w:val="00C301C6"/>
    <w:rsid w:val="00C301CE"/>
    <w:rsid w:val="00C301CF"/>
    <w:rsid w:val="00C30297"/>
    <w:rsid w:val="00C30298"/>
    <w:rsid w:val="00C302F0"/>
    <w:rsid w:val="00C302F5"/>
    <w:rsid w:val="00C30302"/>
    <w:rsid w:val="00C30311"/>
    <w:rsid w:val="00C3035F"/>
    <w:rsid w:val="00C303B8"/>
    <w:rsid w:val="00C3045F"/>
    <w:rsid w:val="00C30475"/>
    <w:rsid w:val="00C3049E"/>
    <w:rsid w:val="00C304A7"/>
    <w:rsid w:val="00C30537"/>
    <w:rsid w:val="00C30550"/>
    <w:rsid w:val="00C30564"/>
    <w:rsid w:val="00C305BE"/>
    <w:rsid w:val="00C305CC"/>
    <w:rsid w:val="00C3060B"/>
    <w:rsid w:val="00C30611"/>
    <w:rsid w:val="00C306AD"/>
    <w:rsid w:val="00C306C2"/>
    <w:rsid w:val="00C306F4"/>
    <w:rsid w:val="00C30744"/>
    <w:rsid w:val="00C3076F"/>
    <w:rsid w:val="00C30774"/>
    <w:rsid w:val="00C3079B"/>
    <w:rsid w:val="00C307D7"/>
    <w:rsid w:val="00C307DF"/>
    <w:rsid w:val="00C30856"/>
    <w:rsid w:val="00C308FF"/>
    <w:rsid w:val="00C30911"/>
    <w:rsid w:val="00C30991"/>
    <w:rsid w:val="00C30A47"/>
    <w:rsid w:val="00C30AF3"/>
    <w:rsid w:val="00C30B9D"/>
    <w:rsid w:val="00C30B9F"/>
    <w:rsid w:val="00C30BF9"/>
    <w:rsid w:val="00C30C01"/>
    <w:rsid w:val="00C30C7B"/>
    <w:rsid w:val="00C30D36"/>
    <w:rsid w:val="00C30DCB"/>
    <w:rsid w:val="00C30DD8"/>
    <w:rsid w:val="00C30E1C"/>
    <w:rsid w:val="00C30E8A"/>
    <w:rsid w:val="00C30E96"/>
    <w:rsid w:val="00C30ECB"/>
    <w:rsid w:val="00C30F93"/>
    <w:rsid w:val="00C30FCA"/>
    <w:rsid w:val="00C31002"/>
    <w:rsid w:val="00C3100B"/>
    <w:rsid w:val="00C31013"/>
    <w:rsid w:val="00C310A5"/>
    <w:rsid w:val="00C310A8"/>
    <w:rsid w:val="00C310B7"/>
    <w:rsid w:val="00C310E2"/>
    <w:rsid w:val="00C31114"/>
    <w:rsid w:val="00C31119"/>
    <w:rsid w:val="00C31123"/>
    <w:rsid w:val="00C31197"/>
    <w:rsid w:val="00C3120F"/>
    <w:rsid w:val="00C31221"/>
    <w:rsid w:val="00C3122D"/>
    <w:rsid w:val="00C31256"/>
    <w:rsid w:val="00C31260"/>
    <w:rsid w:val="00C31292"/>
    <w:rsid w:val="00C312D9"/>
    <w:rsid w:val="00C312DF"/>
    <w:rsid w:val="00C31303"/>
    <w:rsid w:val="00C31337"/>
    <w:rsid w:val="00C31386"/>
    <w:rsid w:val="00C313DC"/>
    <w:rsid w:val="00C313E1"/>
    <w:rsid w:val="00C31430"/>
    <w:rsid w:val="00C31451"/>
    <w:rsid w:val="00C31524"/>
    <w:rsid w:val="00C315DD"/>
    <w:rsid w:val="00C315F9"/>
    <w:rsid w:val="00C31615"/>
    <w:rsid w:val="00C316A9"/>
    <w:rsid w:val="00C316F9"/>
    <w:rsid w:val="00C3170D"/>
    <w:rsid w:val="00C31711"/>
    <w:rsid w:val="00C31818"/>
    <w:rsid w:val="00C3188A"/>
    <w:rsid w:val="00C318DB"/>
    <w:rsid w:val="00C31947"/>
    <w:rsid w:val="00C319A3"/>
    <w:rsid w:val="00C31A13"/>
    <w:rsid w:val="00C31A15"/>
    <w:rsid w:val="00C31A7A"/>
    <w:rsid w:val="00C31A87"/>
    <w:rsid w:val="00C31B13"/>
    <w:rsid w:val="00C31C07"/>
    <w:rsid w:val="00C31C30"/>
    <w:rsid w:val="00C31C3D"/>
    <w:rsid w:val="00C31C40"/>
    <w:rsid w:val="00C31C47"/>
    <w:rsid w:val="00C31C50"/>
    <w:rsid w:val="00C31C74"/>
    <w:rsid w:val="00C31C9E"/>
    <w:rsid w:val="00C31CE5"/>
    <w:rsid w:val="00C31D00"/>
    <w:rsid w:val="00C31D03"/>
    <w:rsid w:val="00C31D2C"/>
    <w:rsid w:val="00C31D3F"/>
    <w:rsid w:val="00C31D40"/>
    <w:rsid w:val="00C31D4D"/>
    <w:rsid w:val="00C31D7A"/>
    <w:rsid w:val="00C31E7B"/>
    <w:rsid w:val="00C31ECE"/>
    <w:rsid w:val="00C31F0E"/>
    <w:rsid w:val="00C31F29"/>
    <w:rsid w:val="00C31F2C"/>
    <w:rsid w:val="00C31F88"/>
    <w:rsid w:val="00C31FBB"/>
    <w:rsid w:val="00C31FBE"/>
    <w:rsid w:val="00C3200F"/>
    <w:rsid w:val="00C3202D"/>
    <w:rsid w:val="00C320AC"/>
    <w:rsid w:val="00C320F6"/>
    <w:rsid w:val="00C32130"/>
    <w:rsid w:val="00C32155"/>
    <w:rsid w:val="00C32188"/>
    <w:rsid w:val="00C3219B"/>
    <w:rsid w:val="00C3219F"/>
    <w:rsid w:val="00C321AA"/>
    <w:rsid w:val="00C321EE"/>
    <w:rsid w:val="00C3220F"/>
    <w:rsid w:val="00C3226E"/>
    <w:rsid w:val="00C322A1"/>
    <w:rsid w:val="00C322D8"/>
    <w:rsid w:val="00C3230E"/>
    <w:rsid w:val="00C32344"/>
    <w:rsid w:val="00C32352"/>
    <w:rsid w:val="00C323B5"/>
    <w:rsid w:val="00C323F5"/>
    <w:rsid w:val="00C3246F"/>
    <w:rsid w:val="00C3248D"/>
    <w:rsid w:val="00C324F3"/>
    <w:rsid w:val="00C32580"/>
    <w:rsid w:val="00C3259D"/>
    <w:rsid w:val="00C32674"/>
    <w:rsid w:val="00C326AE"/>
    <w:rsid w:val="00C326C7"/>
    <w:rsid w:val="00C32712"/>
    <w:rsid w:val="00C32714"/>
    <w:rsid w:val="00C32724"/>
    <w:rsid w:val="00C32777"/>
    <w:rsid w:val="00C327B9"/>
    <w:rsid w:val="00C327BE"/>
    <w:rsid w:val="00C3288E"/>
    <w:rsid w:val="00C32894"/>
    <w:rsid w:val="00C32902"/>
    <w:rsid w:val="00C32934"/>
    <w:rsid w:val="00C3295E"/>
    <w:rsid w:val="00C329B4"/>
    <w:rsid w:val="00C32AF4"/>
    <w:rsid w:val="00C32AFD"/>
    <w:rsid w:val="00C32B0E"/>
    <w:rsid w:val="00C32B19"/>
    <w:rsid w:val="00C32B45"/>
    <w:rsid w:val="00C32C28"/>
    <w:rsid w:val="00C32C61"/>
    <w:rsid w:val="00C32CD4"/>
    <w:rsid w:val="00C32D0E"/>
    <w:rsid w:val="00C32D50"/>
    <w:rsid w:val="00C32D5E"/>
    <w:rsid w:val="00C32DC4"/>
    <w:rsid w:val="00C32DC8"/>
    <w:rsid w:val="00C32E2B"/>
    <w:rsid w:val="00C32E3A"/>
    <w:rsid w:val="00C32E40"/>
    <w:rsid w:val="00C32E60"/>
    <w:rsid w:val="00C32E91"/>
    <w:rsid w:val="00C32EEC"/>
    <w:rsid w:val="00C32EEF"/>
    <w:rsid w:val="00C32F7E"/>
    <w:rsid w:val="00C32F93"/>
    <w:rsid w:val="00C32FD8"/>
    <w:rsid w:val="00C33006"/>
    <w:rsid w:val="00C3307B"/>
    <w:rsid w:val="00C3308D"/>
    <w:rsid w:val="00C3309E"/>
    <w:rsid w:val="00C330A6"/>
    <w:rsid w:val="00C33149"/>
    <w:rsid w:val="00C33164"/>
    <w:rsid w:val="00C3319D"/>
    <w:rsid w:val="00C33213"/>
    <w:rsid w:val="00C3323C"/>
    <w:rsid w:val="00C332BD"/>
    <w:rsid w:val="00C333DB"/>
    <w:rsid w:val="00C33405"/>
    <w:rsid w:val="00C33438"/>
    <w:rsid w:val="00C33443"/>
    <w:rsid w:val="00C334CA"/>
    <w:rsid w:val="00C334D2"/>
    <w:rsid w:val="00C334E0"/>
    <w:rsid w:val="00C3350B"/>
    <w:rsid w:val="00C33584"/>
    <w:rsid w:val="00C335B8"/>
    <w:rsid w:val="00C335D8"/>
    <w:rsid w:val="00C335F3"/>
    <w:rsid w:val="00C3364E"/>
    <w:rsid w:val="00C3368B"/>
    <w:rsid w:val="00C33717"/>
    <w:rsid w:val="00C33721"/>
    <w:rsid w:val="00C33728"/>
    <w:rsid w:val="00C3379A"/>
    <w:rsid w:val="00C337AB"/>
    <w:rsid w:val="00C33801"/>
    <w:rsid w:val="00C3382E"/>
    <w:rsid w:val="00C3393F"/>
    <w:rsid w:val="00C3394D"/>
    <w:rsid w:val="00C339C7"/>
    <w:rsid w:val="00C339F5"/>
    <w:rsid w:val="00C339FC"/>
    <w:rsid w:val="00C33A0F"/>
    <w:rsid w:val="00C33A48"/>
    <w:rsid w:val="00C33AA2"/>
    <w:rsid w:val="00C33AC0"/>
    <w:rsid w:val="00C33B81"/>
    <w:rsid w:val="00C33BFF"/>
    <w:rsid w:val="00C33C27"/>
    <w:rsid w:val="00C33C78"/>
    <w:rsid w:val="00C33C80"/>
    <w:rsid w:val="00C33C93"/>
    <w:rsid w:val="00C33CF0"/>
    <w:rsid w:val="00C33D09"/>
    <w:rsid w:val="00C33D23"/>
    <w:rsid w:val="00C33DA8"/>
    <w:rsid w:val="00C33DBB"/>
    <w:rsid w:val="00C33DDA"/>
    <w:rsid w:val="00C33E99"/>
    <w:rsid w:val="00C33F09"/>
    <w:rsid w:val="00C33F66"/>
    <w:rsid w:val="00C33FDA"/>
    <w:rsid w:val="00C33FE8"/>
    <w:rsid w:val="00C34083"/>
    <w:rsid w:val="00C340C8"/>
    <w:rsid w:val="00C34110"/>
    <w:rsid w:val="00C341F4"/>
    <w:rsid w:val="00C34208"/>
    <w:rsid w:val="00C3420F"/>
    <w:rsid w:val="00C3422C"/>
    <w:rsid w:val="00C342B2"/>
    <w:rsid w:val="00C342C7"/>
    <w:rsid w:val="00C34302"/>
    <w:rsid w:val="00C343E0"/>
    <w:rsid w:val="00C34421"/>
    <w:rsid w:val="00C34449"/>
    <w:rsid w:val="00C344B3"/>
    <w:rsid w:val="00C344E4"/>
    <w:rsid w:val="00C34657"/>
    <w:rsid w:val="00C346EB"/>
    <w:rsid w:val="00C3470D"/>
    <w:rsid w:val="00C3472C"/>
    <w:rsid w:val="00C34773"/>
    <w:rsid w:val="00C34784"/>
    <w:rsid w:val="00C34789"/>
    <w:rsid w:val="00C3482B"/>
    <w:rsid w:val="00C34837"/>
    <w:rsid w:val="00C34846"/>
    <w:rsid w:val="00C3488A"/>
    <w:rsid w:val="00C34913"/>
    <w:rsid w:val="00C34941"/>
    <w:rsid w:val="00C3494F"/>
    <w:rsid w:val="00C349E2"/>
    <w:rsid w:val="00C349EB"/>
    <w:rsid w:val="00C34A55"/>
    <w:rsid w:val="00C34A59"/>
    <w:rsid w:val="00C34A94"/>
    <w:rsid w:val="00C34A9F"/>
    <w:rsid w:val="00C34BE8"/>
    <w:rsid w:val="00C34BF9"/>
    <w:rsid w:val="00C34C01"/>
    <w:rsid w:val="00C34C3A"/>
    <w:rsid w:val="00C34C3D"/>
    <w:rsid w:val="00C34D7B"/>
    <w:rsid w:val="00C34DA3"/>
    <w:rsid w:val="00C34E2D"/>
    <w:rsid w:val="00C34EA3"/>
    <w:rsid w:val="00C34ED3"/>
    <w:rsid w:val="00C34EE4"/>
    <w:rsid w:val="00C34F01"/>
    <w:rsid w:val="00C34F10"/>
    <w:rsid w:val="00C34F2D"/>
    <w:rsid w:val="00C34F40"/>
    <w:rsid w:val="00C35034"/>
    <w:rsid w:val="00C35061"/>
    <w:rsid w:val="00C35087"/>
    <w:rsid w:val="00C3508B"/>
    <w:rsid w:val="00C35093"/>
    <w:rsid w:val="00C35099"/>
    <w:rsid w:val="00C350D7"/>
    <w:rsid w:val="00C3513E"/>
    <w:rsid w:val="00C35144"/>
    <w:rsid w:val="00C3516E"/>
    <w:rsid w:val="00C351AF"/>
    <w:rsid w:val="00C35210"/>
    <w:rsid w:val="00C35239"/>
    <w:rsid w:val="00C3528F"/>
    <w:rsid w:val="00C352D8"/>
    <w:rsid w:val="00C35304"/>
    <w:rsid w:val="00C35394"/>
    <w:rsid w:val="00C353B9"/>
    <w:rsid w:val="00C35457"/>
    <w:rsid w:val="00C35476"/>
    <w:rsid w:val="00C354ED"/>
    <w:rsid w:val="00C35571"/>
    <w:rsid w:val="00C355C1"/>
    <w:rsid w:val="00C35622"/>
    <w:rsid w:val="00C35653"/>
    <w:rsid w:val="00C3566E"/>
    <w:rsid w:val="00C356E7"/>
    <w:rsid w:val="00C3578D"/>
    <w:rsid w:val="00C357FB"/>
    <w:rsid w:val="00C35813"/>
    <w:rsid w:val="00C35876"/>
    <w:rsid w:val="00C3587A"/>
    <w:rsid w:val="00C35918"/>
    <w:rsid w:val="00C359A2"/>
    <w:rsid w:val="00C35A01"/>
    <w:rsid w:val="00C35A05"/>
    <w:rsid w:val="00C35A2D"/>
    <w:rsid w:val="00C35A7E"/>
    <w:rsid w:val="00C35ADB"/>
    <w:rsid w:val="00C35B2E"/>
    <w:rsid w:val="00C35B68"/>
    <w:rsid w:val="00C35BE6"/>
    <w:rsid w:val="00C35C08"/>
    <w:rsid w:val="00C35C22"/>
    <w:rsid w:val="00C35C2A"/>
    <w:rsid w:val="00C35C3F"/>
    <w:rsid w:val="00C35C79"/>
    <w:rsid w:val="00C35C95"/>
    <w:rsid w:val="00C35CA8"/>
    <w:rsid w:val="00C35CDB"/>
    <w:rsid w:val="00C35CF7"/>
    <w:rsid w:val="00C35D03"/>
    <w:rsid w:val="00C35DDD"/>
    <w:rsid w:val="00C35DF4"/>
    <w:rsid w:val="00C35DF9"/>
    <w:rsid w:val="00C35E38"/>
    <w:rsid w:val="00C35E65"/>
    <w:rsid w:val="00C35EAD"/>
    <w:rsid w:val="00C35EC8"/>
    <w:rsid w:val="00C35EE4"/>
    <w:rsid w:val="00C35F9C"/>
    <w:rsid w:val="00C35FA5"/>
    <w:rsid w:val="00C35FF4"/>
    <w:rsid w:val="00C36053"/>
    <w:rsid w:val="00C36059"/>
    <w:rsid w:val="00C360C9"/>
    <w:rsid w:val="00C3617E"/>
    <w:rsid w:val="00C3619F"/>
    <w:rsid w:val="00C361A8"/>
    <w:rsid w:val="00C361F3"/>
    <w:rsid w:val="00C36219"/>
    <w:rsid w:val="00C36239"/>
    <w:rsid w:val="00C362A8"/>
    <w:rsid w:val="00C362A9"/>
    <w:rsid w:val="00C362B9"/>
    <w:rsid w:val="00C362BC"/>
    <w:rsid w:val="00C362EE"/>
    <w:rsid w:val="00C36312"/>
    <w:rsid w:val="00C36329"/>
    <w:rsid w:val="00C36471"/>
    <w:rsid w:val="00C364B2"/>
    <w:rsid w:val="00C36502"/>
    <w:rsid w:val="00C36578"/>
    <w:rsid w:val="00C365B5"/>
    <w:rsid w:val="00C365C9"/>
    <w:rsid w:val="00C3661D"/>
    <w:rsid w:val="00C36637"/>
    <w:rsid w:val="00C36656"/>
    <w:rsid w:val="00C3668F"/>
    <w:rsid w:val="00C36715"/>
    <w:rsid w:val="00C3672B"/>
    <w:rsid w:val="00C36758"/>
    <w:rsid w:val="00C36778"/>
    <w:rsid w:val="00C367EA"/>
    <w:rsid w:val="00C36807"/>
    <w:rsid w:val="00C36876"/>
    <w:rsid w:val="00C3694B"/>
    <w:rsid w:val="00C36967"/>
    <w:rsid w:val="00C36971"/>
    <w:rsid w:val="00C3697C"/>
    <w:rsid w:val="00C369E1"/>
    <w:rsid w:val="00C369F7"/>
    <w:rsid w:val="00C36A0E"/>
    <w:rsid w:val="00C36A48"/>
    <w:rsid w:val="00C36A71"/>
    <w:rsid w:val="00C36A9C"/>
    <w:rsid w:val="00C36AC8"/>
    <w:rsid w:val="00C36B50"/>
    <w:rsid w:val="00C36B96"/>
    <w:rsid w:val="00C36BA6"/>
    <w:rsid w:val="00C36C0E"/>
    <w:rsid w:val="00C36C0F"/>
    <w:rsid w:val="00C36C57"/>
    <w:rsid w:val="00C36C8E"/>
    <w:rsid w:val="00C36DCA"/>
    <w:rsid w:val="00C36DF4"/>
    <w:rsid w:val="00C36E2E"/>
    <w:rsid w:val="00C36E34"/>
    <w:rsid w:val="00C36E4E"/>
    <w:rsid w:val="00C36E5E"/>
    <w:rsid w:val="00C36E7B"/>
    <w:rsid w:val="00C36F17"/>
    <w:rsid w:val="00C36F4B"/>
    <w:rsid w:val="00C36F6C"/>
    <w:rsid w:val="00C36F9D"/>
    <w:rsid w:val="00C37052"/>
    <w:rsid w:val="00C37083"/>
    <w:rsid w:val="00C37088"/>
    <w:rsid w:val="00C370A4"/>
    <w:rsid w:val="00C370AB"/>
    <w:rsid w:val="00C37117"/>
    <w:rsid w:val="00C37123"/>
    <w:rsid w:val="00C37129"/>
    <w:rsid w:val="00C3712F"/>
    <w:rsid w:val="00C371BF"/>
    <w:rsid w:val="00C371D6"/>
    <w:rsid w:val="00C371F0"/>
    <w:rsid w:val="00C3720B"/>
    <w:rsid w:val="00C37314"/>
    <w:rsid w:val="00C3732A"/>
    <w:rsid w:val="00C37374"/>
    <w:rsid w:val="00C3739E"/>
    <w:rsid w:val="00C373DB"/>
    <w:rsid w:val="00C373E3"/>
    <w:rsid w:val="00C374A3"/>
    <w:rsid w:val="00C374A7"/>
    <w:rsid w:val="00C37535"/>
    <w:rsid w:val="00C37581"/>
    <w:rsid w:val="00C375B1"/>
    <w:rsid w:val="00C375BE"/>
    <w:rsid w:val="00C375C8"/>
    <w:rsid w:val="00C3760A"/>
    <w:rsid w:val="00C37668"/>
    <w:rsid w:val="00C376A9"/>
    <w:rsid w:val="00C376C3"/>
    <w:rsid w:val="00C376C5"/>
    <w:rsid w:val="00C376DC"/>
    <w:rsid w:val="00C3770F"/>
    <w:rsid w:val="00C377A7"/>
    <w:rsid w:val="00C377FA"/>
    <w:rsid w:val="00C3780A"/>
    <w:rsid w:val="00C37872"/>
    <w:rsid w:val="00C3787C"/>
    <w:rsid w:val="00C37986"/>
    <w:rsid w:val="00C37B36"/>
    <w:rsid w:val="00C37B50"/>
    <w:rsid w:val="00C37B78"/>
    <w:rsid w:val="00C37BA2"/>
    <w:rsid w:val="00C37BCF"/>
    <w:rsid w:val="00C37C17"/>
    <w:rsid w:val="00C37C20"/>
    <w:rsid w:val="00C37CF5"/>
    <w:rsid w:val="00C37EAF"/>
    <w:rsid w:val="00C37F48"/>
    <w:rsid w:val="00C37F86"/>
    <w:rsid w:val="00C37FEF"/>
    <w:rsid w:val="00C40098"/>
    <w:rsid w:val="00C400EA"/>
    <w:rsid w:val="00C400EC"/>
    <w:rsid w:val="00C401C3"/>
    <w:rsid w:val="00C401E2"/>
    <w:rsid w:val="00C4028D"/>
    <w:rsid w:val="00C402B8"/>
    <w:rsid w:val="00C4032F"/>
    <w:rsid w:val="00C40335"/>
    <w:rsid w:val="00C403A2"/>
    <w:rsid w:val="00C403B7"/>
    <w:rsid w:val="00C403C7"/>
    <w:rsid w:val="00C403F9"/>
    <w:rsid w:val="00C40434"/>
    <w:rsid w:val="00C404E1"/>
    <w:rsid w:val="00C40500"/>
    <w:rsid w:val="00C40514"/>
    <w:rsid w:val="00C40535"/>
    <w:rsid w:val="00C405B5"/>
    <w:rsid w:val="00C40600"/>
    <w:rsid w:val="00C40694"/>
    <w:rsid w:val="00C406F9"/>
    <w:rsid w:val="00C40719"/>
    <w:rsid w:val="00C4071E"/>
    <w:rsid w:val="00C40740"/>
    <w:rsid w:val="00C4080C"/>
    <w:rsid w:val="00C40851"/>
    <w:rsid w:val="00C4091A"/>
    <w:rsid w:val="00C4094E"/>
    <w:rsid w:val="00C40978"/>
    <w:rsid w:val="00C4098A"/>
    <w:rsid w:val="00C40A18"/>
    <w:rsid w:val="00C40A5E"/>
    <w:rsid w:val="00C40AF4"/>
    <w:rsid w:val="00C40B64"/>
    <w:rsid w:val="00C40B98"/>
    <w:rsid w:val="00C40BE7"/>
    <w:rsid w:val="00C40C46"/>
    <w:rsid w:val="00C40C63"/>
    <w:rsid w:val="00C40C74"/>
    <w:rsid w:val="00C40CE7"/>
    <w:rsid w:val="00C40D34"/>
    <w:rsid w:val="00C40E73"/>
    <w:rsid w:val="00C40E75"/>
    <w:rsid w:val="00C40EE6"/>
    <w:rsid w:val="00C40F21"/>
    <w:rsid w:val="00C40F2D"/>
    <w:rsid w:val="00C40F61"/>
    <w:rsid w:val="00C41009"/>
    <w:rsid w:val="00C41010"/>
    <w:rsid w:val="00C41031"/>
    <w:rsid w:val="00C41085"/>
    <w:rsid w:val="00C4108B"/>
    <w:rsid w:val="00C41103"/>
    <w:rsid w:val="00C4116D"/>
    <w:rsid w:val="00C411A9"/>
    <w:rsid w:val="00C411E9"/>
    <w:rsid w:val="00C4122A"/>
    <w:rsid w:val="00C41254"/>
    <w:rsid w:val="00C4125C"/>
    <w:rsid w:val="00C412BC"/>
    <w:rsid w:val="00C412DB"/>
    <w:rsid w:val="00C41333"/>
    <w:rsid w:val="00C41367"/>
    <w:rsid w:val="00C41395"/>
    <w:rsid w:val="00C413B6"/>
    <w:rsid w:val="00C41415"/>
    <w:rsid w:val="00C414E0"/>
    <w:rsid w:val="00C4151E"/>
    <w:rsid w:val="00C4154C"/>
    <w:rsid w:val="00C41562"/>
    <w:rsid w:val="00C4156F"/>
    <w:rsid w:val="00C41574"/>
    <w:rsid w:val="00C41597"/>
    <w:rsid w:val="00C415B2"/>
    <w:rsid w:val="00C415DC"/>
    <w:rsid w:val="00C415E9"/>
    <w:rsid w:val="00C4161E"/>
    <w:rsid w:val="00C416E9"/>
    <w:rsid w:val="00C416FD"/>
    <w:rsid w:val="00C416FF"/>
    <w:rsid w:val="00C41762"/>
    <w:rsid w:val="00C41768"/>
    <w:rsid w:val="00C41775"/>
    <w:rsid w:val="00C41785"/>
    <w:rsid w:val="00C4179D"/>
    <w:rsid w:val="00C417A6"/>
    <w:rsid w:val="00C417CA"/>
    <w:rsid w:val="00C417F3"/>
    <w:rsid w:val="00C4180C"/>
    <w:rsid w:val="00C41857"/>
    <w:rsid w:val="00C41861"/>
    <w:rsid w:val="00C418A3"/>
    <w:rsid w:val="00C418B5"/>
    <w:rsid w:val="00C418B9"/>
    <w:rsid w:val="00C418E8"/>
    <w:rsid w:val="00C4193B"/>
    <w:rsid w:val="00C41947"/>
    <w:rsid w:val="00C419F8"/>
    <w:rsid w:val="00C41A06"/>
    <w:rsid w:val="00C41A16"/>
    <w:rsid w:val="00C41A5D"/>
    <w:rsid w:val="00C41A9B"/>
    <w:rsid w:val="00C41AA1"/>
    <w:rsid w:val="00C41ADD"/>
    <w:rsid w:val="00C41B68"/>
    <w:rsid w:val="00C41B9B"/>
    <w:rsid w:val="00C41D42"/>
    <w:rsid w:val="00C41D5D"/>
    <w:rsid w:val="00C41DA4"/>
    <w:rsid w:val="00C41E2D"/>
    <w:rsid w:val="00C41E5E"/>
    <w:rsid w:val="00C41F8B"/>
    <w:rsid w:val="00C41FCB"/>
    <w:rsid w:val="00C42050"/>
    <w:rsid w:val="00C42053"/>
    <w:rsid w:val="00C4215A"/>
    <w:rsid w:val="00C4217E"/>
    <w:rsid w:val="00C42199"/>
    <w:rsid w:val="00C421E1"/>
    <w:rsid w:val="00C4223F"/>
    <w:rsid w:val="00C42289"/>
    <w:rsid w:val="00C422F3"/>
    <w:rsid w:val="00C42342"/>
    <w:rsid w:val="00C423A8"/>
    <w:rsid w:val="00C423EC"/>
    <w:rsid w:val="00C423FA"/>
    <w:rsid w:val="00C423FF"/>
    <w:rsid w:val="00C42415"/>
    <w:rsid w:val="00C42468"/>
    <w:rsid w:val="00C424D3"/>
    <w:rsid w:val="00C424D9"/>
    <w:rsid w:val="00C4253D"/>
    <w:rsid w:val="00C42542"/>
    <w:rsid w:val="00C42590"/>
    <w:rsid w:val="00C425AA"/>
    <w:rsid w:val="00C42621"/>
    <w:rsid w:val="00C426B6"/>
    <w:rsid w:val="00C426ED"/>
    <w:rsid w:val="00C427A4"/>
    <w:rsid w:val="00C427A8"/>
    <w:rsid w:val="00C42898"/>
    <w:rsid w:val="00C428AF"/>
    <w:rsid w:val="00C428CC"/>
    <w:rsid w:val="00C42910"/>
    <w:rsid w:val="00C4294C"/>
    <w:rsid w:val="00C4295A"/>
    <w:rsid w:val="00C42962"/>
    <w:rsid w:val="00C429AC"/>
    <w:rsid w:val="00C429AD"/>
    <w:rsid w:val="00C429AE"/>
    <w:rsid w:val="00C429DF"/>
    <w:rsid w:val="00C42A36"/>
    <w:rsid w:val="00C42AA4"/>
    <w:rsid w:val="00C42AD5"/>
    <w:rsid w:val="00C42B09"/>
    <w:rsid w:val="00C42B85"/>
    <w:rsid w:val="00C42B87"/>
    <w:rsid w:val="00C42BC3"/>
    <w:rsid w:val="00C42BDC"/>
    <w:rsid w:val="00C42C13"/>
    <w:rsid w:val="00C42C3B"/>
    <w:rsid w:val="00C42C51"/>
    <w:rsid w:val="00C42C61"/>
    <w:rsid w:val="00C42CDE"/>
    <w:rsid w:val="00C42D3A"/>
    <w:rsid w:val="00C42D3B"/>
    <w:rsid w:val="00C42DE0"/>
    <w:rsid w:val="00C42E2A"/>
    <w:rsid w:val="00C42E31"/>
    <w:rsid w:val="00C42E60"/>
    <w:rsid w:val="00C42E9F"/>
    <w:rsid w:val="00C42F20"/>
    <w:rsid w:val="00C42F25"/>
    <w:rsid w:val="00C42F75"/>
    <w:rsid w:val="00C42FF0"/>
    <w:rsid w:val="00C43028"/>
    <w:rsid w:val="00C43070"/>
    <w:rsid w:val="00C430CF"/>
    <w:rsid w:val="00C4316D"/>
    <w:rsid w:val="00C4319E"/>
    <w:rsid w:val="00C432AA"/>
    <w:rsid w:val="00C432B9"/>
    <w:rsid w:val="00C432DE"/>
    <w:rsid w:val="00C432F7"/>
    <w:rsid w:val="00C432F9"/>
    <w:rsid w:val="00C43333"/>
    <w:rsid w:val="00C43344"/>
    <w:rsid w:val="00C4336C"/>
    <w:rsid w:val="00C433F6"/>
    <w:rsid w:val="00C434BF"/>
    <w:rsid w:val="00C434E1"/>
    <w:rsid w:val="00C43507"/>
    <w:rsid w:val="00C4358D"/>
    <w:rsid w:val="00C435D1"/>
    <w:rsid w:val="00C43624"/>
    <w:rsid w:val="00C4363E"/>
    <w:rsid w:val="00C43662"/>
    <w:rsid w:val="00C43679"/>
    <w:rsid w:val="00C43681"/>
    <w:rsid w:val="00C4370C"/>
    <w:rsid w:val="00C43722"/>
    <w:rsid w:val="00C43739"/>
    <w:rsid w:val="00C43837"/>
    <w:rsid w:val="00C4383A"/>
    <w:rsid w:val="00C4385E"/>
    <w:rsid w:val="00C4388A"/>
    <w:rsid w:val="00C4389F"/>
    <w:rsid w:val="00C438D4"/>
    <w:rsid w:val="00C438F6"/>
    <w:rsid w:val="00C43945"/>
    <w:rsid w:val="00C4396C"/>
    <w:rsid w:val="00C43970"/>
    <w:rsid w:val="00C43992"/>
    <w:rsid w:val="00C43A75"/>
    <w:rsid w:val="00C43A8B"/>
    <w:rsid w:val="00C43B39"/>
    <w:rsid w:val="00C43B9C"/>
    <w:rsid w:val="00C43BD5"/>
    <w:rsid w:val="00C43C12"/>
    <w:rsid w:val="00C43C5B"/>
    <w:rsid w:val="00C43C77"/>
    <w:rsid w:val="00C43CF8"/>
    <w:rsid w:val="00C43D52"/>
    <w:rsid w:val="00C43D57"/>
    <w:rsid w:val="00C43D6D"/>
    <w:rsid w:val="00C43D99"/>
    <w:rsid w:val="00C43D9B"/>
    <w:rsid w:val="00C43D9C"/>
    <w:rsid w:val="00C43DAB"/>
    <w:rsid w:val="00C43DCA"/>
    <w:rsid w:val="00C43E6F"/>
    <w:rsid w:val="00C43E73"/>
    <w:rsid w:val="00C43EBB"/>
    <w:rsid w:val="00C43F12"/>
    <w:rsid w:val="00C43F47"/>
    <w:rsid w:val="00C43F6F"/>
    <w:rsid w:val="00C43F86"/>
    <w:rsid w:val="00C43FF2"/>
    <w:rsid w:val="00C44009"/>
    <w:rsid w:val="00C4405C"/>
    <w:rsid w:val="00C440A0"/>
    <w:rsid w:val="00C44107"/>
    <w:rsid w:val="00C44137"/>
    <w:rsid w:val="00C441C3"/>
    <w:rsid w:val="00C441E3"/>
    <w:rsid w:val="00C44251"/>
    <w:rsid w:val="00C4425D"/>
    <w:rsid w:val="00C44272"/>
    <w:rsid w:val="00C44294"/>
    <w:rsid w:val="00C442EC"/>
    <w:rsid w:val="00C44310"/>
    <w:rsid w:val="00C44392"/>
    <w:rsid w:val="00C443B5"/>
    <w:rsid w:val="00C443B9"/>
    <w:rsid w:val="00C443D6"/>
    <w:rsid w:val="00C443E9"/>
    <w:rsid w:val="00C44420"/>
    <w:rsid w:val="00C44475"/>
    <w:rsid w:val="00C444E5"/>
    <w:rsid w:val="00C4450B"/>
    <w:rsid w:val="00C445BD"/>
    <w:rsid w:val="00C44676"/>
    <w:rsid w:val="00C446A2"/>
    <w:rsid w:val="00C446DE"/>
    <w:rsid w:val="00C44733"/>
    <w:rsid w:val="00C44771"/>
    <w:rsid w:val="00C4477B"/>
    <w:rsid w:val="00C44796"/>
    <w:rsid w:val="00C44841"/>
    <w:rsid w:val="00C44961"/>
    <w:rsid w:val="00C4497B"/>
    <w:rsid w:val="00C44990"/>
    <w:rsid w:val="00C4499C"/>
    <w:rsid w:val="00C449DA"/>
    <w:rsid w:val="00C449DC"/>
    <w:rsid w:val="00C44A08"/>
    <w:rsid w:val="00C44A18"/>
    <w:rsid w:val="00C44A3E"/>
    <w:rsid w:val="00C44A6D"/>
    <w:rsid w:val="00C44AC7"/>
    <w:rsid w:val="00C44AFA"/>
    <w:rsid w:val="00C44B80"/>
    <w:rsid w:val="00C44B8D"/>
    <w:rsid w:val="00C44B8E"/>
    <w:rsid w:val="00C44BFB"/>
    <w:rsid w:val="00C44C12"/>
    <w:rsid w:val="00C44C39"/>
    <w:rsid w:val="00C44C42"/>
    <w:rsid w:val="00C44C55"/>
    <w:rsid w:val="00C44C65"/>
    <w:rsid w:val="00C44CAB"/>
    <w:rsid w:val="00C44CB0"/>
    <w:rsid w:val="00C44D22"/>
    <w:rsid w:val="00C44D68"/>
    <w:rsid w:val="00C44DEE"/>
    <w:rsid w:val="00C44EF5"/>
    <w:rsid w:val="00C44F06"/>
    <w:rsid w:val="00C44FBB"/>
    <w:rsid w:val="00C44FD4"/>
    <w:rsid w:val="00C45008"/>
    <w:rsid w:val="00C45027"/>
    <w:rsid w:val="00C45059"/>
    <w:rsid w:val="00C4511F"/>
    <w:rsid w:val="00C45147"/>
    <w:rsid w:val="00C45179"/>
    <w:rsid w:val="00C45297"/>
    <w:rsid w:val="00C452C6"/>
    <w:rsid w:val="00C452CA"/>
    <w:rsid w:val="00C452EA"/>
    <w:rsid w:val="00C4536C"/>
    <w:rsid w:val="00C45399"/>
    <w:rsid w:val="00C45449"/>
    <w:rsid w:val="00C45481"/>
    <w:rsid w:val="00C454FD"/>
    <w:rsid w:val="00C45555"/>
    <w:rsid w:val="00C45566"/>
    <w:rsid w:val="00C4559D"/>
    <w:rsid w:val="00C4564E"/>
    <w:rsid w:val="00C45674"/>
    <w:rsid w:val="00C4569B"/>
    <w:rsid w:val="00C456AE"/>
    <w:rsid w:val="00C456DE"/>
    <w:rsid w:val="00C4574D"/>
    <w:rsid w:val="00C45788"/>
    <w:rsid w:val="00C45797"/>
    <w:rsid w:val="00C457A9"/>
    <w:rsid w:val="00C457B5"/>
    <w:rsid w:val="00C457F2"/>
    <w:rsid w:val="00C457FB"/>
    <w:rsid w:val="00C4581E"/>
    <w:rsid w:val="00C45888"/>
    <w:rsid w:val="00C458AD"/>
    <w:rsid w:val="00C458B7"/>
    <w:rsid w:val="00C45A12"/>
    <w:rsid w:val="00C45A88"/>
    <w:rsid w:val="00C45A9B"/>
    <w:rsid w:val="00C45ABE"/>
    <w:rsid w:val="00C45B00"/>
    <w:rsid w:val="00C45B08"/>
    <w:rsid w:val="00C45BE7"/>
    <w:rsid w:val="00C45C0A"/>
    <w:rsid w:val="00C45C17"/>
    <w:rsid w:val="00C45C64"/>
    <w:rsid w:val="00C45C89"/>
    <w:rsid w:val="00C45CDA"/>
    <w:rsid w:val="00C45D3A"/>
    <w:rsid w:val="00C45DBD"/>
    <w:rsid w:val="00C45F99"/>
    <w:rsid w:val="00C45FDC"/>
    <w:rsid w:val="00C46001"/>
    <w:rsid w:val="00C46128"/>
    <w:rsid w:val="00C46152"/>
    <w:rsid w:val="00C46167"/>
    <w:rsid w:val="00C461F8"/>
    <w:rsid w:val="00C461FE"/>
    <w:rsid w:val="00C46214"/>
    <w:rsid w:val="00C4628E"/>
    <w:rsid w:val="00C462C0"/>
    <w:rsid w:val="00C46367"/>
    <w:rsid w:val="00C463A5"/>
    <w:rsid w:val="00C463B3"/>
    <w:rsid w:val="00C463B9"/>
    <w:rsid w:val="00C46483"/>
    <w:rsid w:val="00C464CA"/>
    <w:rsid w:val="00C46524"/>
    <w:rsid w:val="00C4654E"/>
    <w:rsid w:val="00C46593"/>
    <w:rsid w:val="00C465C5"/>
    <w:rsid w:val="00C465E2"/>
    <w:rsid w:val="00C4662C"/>
    <w:rsid w:val="00C4665A"/>
    <w:rsid w:val="00C4677B"/>
    <w:rsid w:val="00C46794"/>
    <w:rsid w:val="00C46845"/>
    <w:rsid w:val="00C46859"/>
    <w:rsid w:val="00C46862"/>
    <w:rsid w:val="00C4691F"/>
    <w:rsid w:val="00C46921"/>
    <w:rsid w:val="00C4692E"/>
    <w:rsid w:val="00C469CE"/>
    <w:rsid w:val="00C469F4"/>
    <w:rsid w:val="00C46A12"/>
    <w:rsid w:val="00C46A31"/>
    <w:rsid w:val="00C46ABE"/>
    <w:rsid w:val="00C46B74"/>
    <w:rsid w:val="00C46B87"/>
    <w:rsid w:val="00C46C22"/>
    <w:rsid w:val="00C46C44"/>
    <w:rsid w:val="00C46CC4"/>
    <w:rsid w:val="00C46CC7"/>
    <w:rsid w:val="00C46D4F"/>
    <w:rsid w:val="00C46D5C"/>
    <w:rsid w:val="00C46D6F"/>
    <w:rsid w:val="00C46DC8"/>
    <w:rsid w:val="00C46DCB"/>
    <w:rsid w:val="00C46E54"/>
    <w:rsid w:val="00C46EC5"/>
    <w:rsid w:val="00C46F3E"/>
    <w:rsid w:val="00C46FE8"/>
    <w:rsid w:val="00C47003"/>
    <w:rsid w:val="00C47067"/>
    <w:rsid w:val="00C470DD"/>
    <w:rsid w:val="00C470FA"/>
    <w:rsid w:val="00C47173"/>
    <w:rsid w:val="00C471B7"/>
    <w:rsid w:val="00C4723B"/>
    <w:rsid w:val="00C47275"/>
    <w:rsid w:val="00C472AF"/>
    <w:rsid w:val="00C472CF"/>
    <w:rsid w:val="00C47345"/>
    <w:rsid w:val="00C473A5"/>
    <w:rsid w:val="00C47426"/>
    <w:rsid w:val="00C474F1"/>
    <w:rsid w:val="00C474FA"/>
    <w:rsid w:val="00C4751B"/>
    <w:rsid w:val="00C4754F"/>
    <w:rsid w:val="00C47557"/>
    <w:rsid w:val="00C4756A"/>
    <w:rsid w:val="00C47577"/>
    <w:rsid w:val="00C475AD"/>
    <w:rsid w:val="00C4763C"/>
    <w:rsid w:val="00C47642"/>
    <w:rsid w:val="00C476B9"/>
    <w:rsid w:val="00C476E8"/>
    <w:rsid w:val="00C47721"/>
    <w:rsid w:val="00C4773F"/>
    <w:rsid w:val="00C47773"/>
    <w:rsid w:val="00C477BE"/>
    <w:rsid w:val="00C477BF"/>
    <w:rsid w:val="00C4781A"/>
    <w:rsid w:val="00C47884"/>
    <w:rsid w:val="00C47886"/>
    <w:rsid w:val="00C478A9"/>
    <w:rsid w:val="00C478AB"/>
    <w:rsid w:val="00C478C3"/>
    <w:rsid w:val="00C478D7"/>
    <w:rsid w:val="00C4792A"/>
    <w:rsid w:val="00C47979"/>
    <w:rsid w:val="00C47A4C"/>
    <w:rsid w:val="00C47A6B"/>
    <w:rsid w:val="00C47A85"/>
    <w:rsid w:val="00C47AB0"/>
    <w:rsid w:val="00C47ABA"/>
    <w:rsid w:val="00C47B36"/>
    <w:rsid w:val="00C47C5F"/>
    <w:rsid w:val="00C47C85"/>
    <w:rsid w:val="00C47D0E"/>
    <w:rsid w:val="00C47D11"/>
    <w:rsid w:val="00C47D5B"/>
    <w:rsid w:val="00C47D6C"/>
    <w:rsid w:val="00C47D73"/>
    <w:rsid w:val="00C47DA0"/>
    <w:rsid w:val="00C47DD6"/>
    <w:rsid w:val="00C47DDB"/>
    <w:rsid w:val="00C47DE3"/>
    <w:rsid w:val="00C47DF1"/>
    <w:rsid w:val="00C47E25"/>
    <w:rsid w:val="00C47E74"/>
    <w:rsid w:val="00C47F40"/>
    <w:rsid w:val="00C47F4D"/>
    <w:rsid w:val="00C47FBF"/>
    <w:rsid w:val="00C47FD7"/>
    <w:rsid w:val="00C50060"/>
    <w:rsid w:val="00C50110"/>
    <w:rsid w:val="00C5013B"/>
    <w:rsid w:val="00C50159"/>
    <w:rsid w:val="00C50175"/>
    <w:rsid w:val="00C50207"/>
    <w:rsid w:val="00C50247"/>
    <w:rsid w:val="00C50278"/>
    <w:rsid w:val="00C5029C"/>
    <w:rsid w:val="00C502C6"/>
    <w:rsid w:val="00C502D9"/>
    <w:rsid w:val="00C50306"/>
    <w:rsid w:val="00C5032E"/>
    <w:rsid w:val="00C50370"/>
    <w:rsid w:val="00C503BA"/>
    <w:rsid w:val="00C50439"/>
    <w:rsid w:val="00C5043C"/>
    <w:rsid w:val="00C50483"/>
    <w:rsid w:val="00C504A3"/>
    <w:rsid w:val="00C504B3"/>
    <w:rsid w:val="00C504FA"/>
    <w:rsid w:val="00C50516"/>
    <w:rsid w:val="00C50567"/>
    <w:rsid w:val="00C505AD"/>
    <w:rsid w:val="00C5061A"/>
    <w:rsid w:val="00C5065D"/>
    <w:rsid w:val="00C50664"/>
    <w:rsid w:val="00C50671"/>
    <w:rsid w:val="00C506A8"/>
    <w:rsid w:val="00C50726"/>
    <w:rsid w:val="00C50790"/>
    <w:rsid w:val="00C5079E"/>
    <w:rsid w:val="00C50851"/>
    <w:rsid w:val="00C5092B"/>
    <w:rsid w:val="00C50954"/>
    <w:rsid w:val="00C50962"/>
    <w:rsid w:val="00C5096E"/>
    <w:rsid w:val="00C50974"/>
    <w:rsid w:val="00C50A51"/>
    <w:rsid w:val="00C50ACA"/>
    <w:rsid w:val="00C50B08"/>
    <w:rsid w:val="00C50B0E"/>
    <w:rsid w:val="00C50B48"/>
    <w:rsid w:val="00C50BA1"/>
    <w:rsid w:val="00C50C0B"/>
    <w:rsid w:val="00C50C1B"/>
    <w:rsid w:val="00C50C38"/>
    <w:rsid w:val="00C50C3F"/>
    <w:rsid w:val="00C50CA2"/>
    <w:rsid w:val="00C50CA5"/>
    <w:rsid w:val="00C50CB8"/>
    <w:rsid w:val="00C50CEE"/>
    <w:rsid w:val="00C50D06"/>
    <w:rsid w:val="00C50D39"/>
    <w:rsid w:val="00C50E13"/>
    <w:rsid w:val="00C50E1E"/>
    <w:rsid w:val="00C50E54"/>
    <w:rsid w:val="00C50ED6"/>
    <w:rsid w:val="00C50FF8"/>
    <w:rsid w:val="00C5104E"/>
    <w:rsid w:val="00C51065"/>
    <w:rsid w:val="00C51067"/>
    <w:rsid w:val="00C5108F"/>
    <w:rsid w:val="00C5111E"/>
    <w:rsid w:val="00C51154"/>
    <w:rsid w:val="00C5116B"/>
    <w:rsid w:val="00C51184"/>
    <w:rsid w:val="00C511D0"/>
    <w:rsid w:val="00C51233"/>
    <w:rsid w:val="00C5129B"/>
    <w:rsid w:val="00C5129C"/>
    <w:rsid w:val="00C51324"/>
    <w:rsid w:val="00C5139C"/>
    <w:rsid w:val="00C513CC"/>
    <w:rsid w:val="00C513DB"/>
    <w:rsid w:val="00C513DF"/>
    <w:rsid w:val="00C51466"/>
    <w:rsid w:val="00C514E4"/>
    <w:rsid w:val="00C51510"/>
    <w:rsid w:val="00C51598"/>
    <w:rsid w:val="00C5159A"/>
    <w:rsid w:val="00C51635"/>
    <w:rsid w:val="00C51645"/>
    <w:rsid w:val="00C5168C"/>
    <w:rsid w:val="00C516AC"/>
    <w:rsid w:val="00C516D0"/>
    <w:rsid w:val="00C51743"/>
    <w:rsid w:val="00C5175F"/>
    <w:rsid w:val="00C51777"/>
    <w:rsid w:val="00C5178B"/>
    <w:rsid w:val="00C5178D"/>
    <w:rsid w:val="00C517D2"/>
    <w:rsid w:val="00C517F8"/>
    <w:rsid w:val="00C51819"/>
    <w:rsid w:val="00C5186F"/>
    <w:rsid w:val="00C51879"/>
    <w:rsid w:val="00C51916"/>
    <w:rsid w:val="00C5196C"/>
    <w:rsid w:val="00C519E9"/>
    <w:rsid w:val="00C51A2D"/>
    <w:rsid w:val="00C51A3C"/>
    <w:rsid w:val="00C51A4B"/>
    <w:rsid w:val="00C51A64"/>
    <w:rsid w:val="00C51A91"/>
    <w:rsid w:val="00C51AA2"/>
    <w:rsid w:val="00C51AEB"/>
    <w:rsid w:val="00C51AEC"/>
    <w:rsid w:val="00C51B45"/>
    <w:rsid w:val="00C51BDC"/>
    <w:rsid w:val="00C51BF8"/>
    <w:rsid w:val="00C51C0F"/>
    <w:rsid w:val="00C51C26"/>
    <w:rsid w:val="00C51C27"/>
    <w:rsid w:val="00C51C2A"/>
    <w:rsid w:val="00C51C38"/>
    <w:rsid w:val="00C51C4D"/>
    <w:rsid w:val="00C51CAE"/>
    <w:rsid w:val="00C51CEC"/>
    <w:rsid w:val="00C51D0A"/>
    <w:rsid w:val="00C51DF3"/>
    <w:rsid w:val="00C51E0D"/>
    <w:rsid w:val="00C51E7C"/>
    <w:rsid w:val="00C51EEF"/>
    <w:rsid w:val="00C51F15"/>
    <w:rsid w:val="00C51F5F"/>
    <w:rsid w:val="00C51FAB"/>
    <w:rsid w:val="00C520D6"/>
    <w:rsid w:val="00C520DE"/>
    <w:rsid w:val="00C520FE"/>
    <w:rsid w:val="00C521DD"/>
    <w:rsid w:val="00C5224B"/>
    <w:rsid w:val="00C52251"/>
    <w:rsid w:val="00C52374"/>
    <w:rsid w:val="00C523E3"/>
    <w:rsid w:val="00C523E6"/>
    <w:rsid w:val="00C524DA"/>
    <w:rsid w:val="00C52580"/>
    <w:rsid w:val="00C52689"/>
    <w:rsid w:val="00C526C3"/>
    <w:rsid w:val="00C526CA"/>
    <w:rsid w:val="00C526F4"/>
    <w:rsid w:val="00C526FF"/>
    <w:rsid w:val="00C5270B"/>
    <w:rsid w:val="00C527E7"/>
    <w:rsid w:val="00C527E9"/>
    <w:rsid w:val="00C5282C"/>
    <w:rsid w:val="00C52886"/>
    <w:rsid w:val="00C52892"/>
    <w:rsid w:val="00C528BA"/>
    <w:rsid w:val="00C528E2"/>
    <w:rsid w:val="00C52936"/>
    <w:rsid w:val="00C5293D"/>
    <w:rsid w:val="00C52989"/>
    <w:rsid w:val="00C529B4"/>
    <w:rsid w:val="00C52B19"/>
    <w:rsid w:val="00C52B32"/>
    <w:rsid w:val="00C52B5B"/>
    <w:rsid w:val="00C52B81"/>
    <w:rsid w:val="00C52BC4"/>
    <w:rsid w:val="00C52BC8"/>
    <w:rsid w:val="00C52BFC"/>
    <w:rsid w:val="00C52C24"/>
    <w:rsid w:val="00C52C7D"/>
    <w:rsid w:val="00C52C9A"/>
    <w:rsid w:val="00C52CCB"/>
    <w:rsid w:val="00C52CDC"/>
    <w:rsid w:val="00C52CEC"/>
    <w:rsid w:val="00C52CF8"/>
    <w:rsid w:val="00C52D5E"/>
    <w:rsid w:val="00C52F0B"/>
    <w:rsid w:val="00C52F65"/>
    <w:rsid w:val="00C52F9E"/>
    <w:rsid w:val="00C52FB5"/>
    <w:rsid w:val="00C52FBF"/>
    <w:rsid w:val="00C52FF2"/>
    <w:rsid w:val="00C53055"/>
    <w:rsid w:val="00C530AB"/>
    <w:rsid w:val="00C53155"/>
    <w:rsid w:val="00C53185"/>
    <w:rsid w:val="00C53189"/>
    <w:rsid w:val="00C531C6"/>
    <w:rsid w:val="00C532F7"/>
    <w:rsid w:val="00C53318"/>
    <w:rsid w:val="00C5332E"/>
    <w:rsid w:val="00C533C7"/>
    <w:rsid w:val="00C534C3"/>
    <w:rsid w:val="00C534D6"/>
    <w:rsid w:val="00C534F0"/>
    <w:rsid w:val="00C53503"/>
    <w:rsid w:val="00C5362C"/>
    <w:rsid w:val="00C5362D"/>
    <w:rsid w:val="00C53652"/>
    <w:rsid w:val="00C53694"/>
    <w:rsid w:val="00C53721"/>
    <w:rsid w:val="00C5374B"/>
    <w:rsid w:val="00C53797"/>
    <w:rsid w:val="00C537BA"/>
    <w:rsid w:val="00C537C6"/>
    <w:rsid w:val="00C537E5"/>
    <w:rsid w:val="00C53841"/>
    <w:rsid w:val="00C5385F"/>
    <w:rsid w:val="00C53875"/>
    <w:rsid w:val="00C5388A"/>
    <w:rsid w:val="00C5388C"/>
    <w:rsid w:val="00C53895"/>
    <w:rsid w:val="00C5392D"/>
    <w:rsid w:val="00C539A3"/>
    <w:rsid w:val="00C53A09"/>
    <w:rsid w:val="00C53AB5"/>
    <w:rsid w:val="00C53AC8"/>
    <w:rsid w:val="00C53AF3"/>
    <w:rsid w:val="00C53B34"/>
    <w:rsid w:val="00C53B5F"/>
    <w:rsid w:val="00C53BB0"/>
    <w:rsid w:val="00C53C25"/>
    <w:rsid w:val="00C53C2A"/>
    <w:rsid w:val="00C53C3E"/>
    <w:rsid w:val="00C53CA1"/>
    <w:rsid w:val="00C53CCB"/>
    <w:rsid w:val="00C53D0C"/>
    <w:rsid w:val="00C53D1B"/>
    <w:rsid w:val="00C53D30"/>
    <w:rsid w:val="00C53D87"/>
    <w:rsid w:val="00C53D9E"/>
    <w:rsid w:val="00C53DD5"/>
    <w:rsid w:val="00C53E01"/>
    <w:rsid w:val="00C53E84"/>
    <w:rsid w:val="00C53F04"/>
    <w:rsid w:val="00C53F33"/>
    <w:rsid w:val="00C54024"/>
    <w:rsid w:val="00C54098"/>
    <w:rsid w:val="00C540C6"/>
    <w:rsid w:val="00C54115"/>
    <w:rsid w:val="00C5413A"/>
    <w:rsid w:val="00C5419D"/>
    <w:rsid w:val="00C5424B"/>
    <w:rsid w:val="00C5426E"/>
    <w:rsid w:val="00C5437B"/>
    <w:rsid w:val="00C54396"/>
    <w:rsid w:val="00C543A1"/>
    <w:rsid w:val="00C543B2"/>
    <w:rsid w:val="00C543E2"/>
    <w:rsid w:val="00C54467"/>
    <w:rsid w:val="00C544ED"/>
    <w:rsid w:val="00C54512"/>
    <w:rsid w:val="00C54569"/>
    <w:rsid w:val="00C545FB"/>
    <w:rsid w:val="00C5468A"/>
    <w:rsid w:val="00C546AC"/>
    <w:rsid w:val="00C546D1"/>
    <w:rsid w:val="00C546D3"/>
    <w:rsid w:val="00C546F3"/>
    <w:rsid w:val="00C54705"/>
    <w:rsid w:val="00C54743"/>
    <w:rsid w:val="00C547DA"/>
    <w:rsid w:val="00C54819"/>
    <w:rsid w:val="00C54830"/>
    <w:rsid w:val="00C548D5"/>
    <w:rsid w:val="00C5491E"/>
    <w:rsid w:val="00C54920"/>
    <w:rsid w:val="00C54A0B"/>
    <w:rsid w:val="00C54A41"/>
    <w:rsid w:val="00C54A43"/>
    <w:rsid w:val="00C54A52"/>
    <w:rsid w:val="00C54A68"/>
    <w:rsid w:val="00C54A9F"/>
    <w:rsid w:val="00C54AD4"/>
    <w:rsid w:val="00C54AF1"/>
    <w:rsid w:val="00C54B07"/>
    <w:rsid w:val="00C54B0C"/>
    <w:rsid w:val="00C54B21"/>
    <w:rsid w:val="00C54B2A"/>
    <w:rsid w:val="00C54BFE"/>
    <w:rsid w:val="00C54C88"/>
    <w:rsid w:val="00C54C8A"/>
    <w:rsid w:val="00C54CA6"/>
    <w:rsid w:val="00C54D11"/>
    <w:rsid w:val="00C54D91"/>
    <w:rsid w:val="00C54DC6"/>
    <w:rsid w:val="00C54DF2"/>
    <w:rsid w:val="00C54E67"/>
    <w:rsid w:val="00C54F28"/>
    <w:rsid w:val="00C54F80"/>
    <w:rsid w:val="00C54FB0"/>
    <w:rsid w:val="00C5503B"/>
    <w:rsid w:val="00C550EF"/>
    <w:rsid w:val="00C55168"/>
    <w:rsid w:val="00C5520C"/>
    <w:rsid w:val="00C55233"/>
    <w:rsid w:val="00C552D2"/>
    <w:rsid w:val="00C55343"/>
    <w:rsid w:val="00C55365"/>
    <w:rsid w:val="00C553C6"/>
    <w:rsid w:val="00C55412"/>
    <w:rsid w:val="00C55416"/>
    <w:rsid w:val="00C55475"/>
    <w:rsid w:val="00C554A1"/>
    <w:rsid w:val="00C55509"/>
    <w:rsid w:val="00C555AC"/>
    <w:rsid w:val="00C555F2"/>
    <w:rsid w:val="00C55600"/>
    <w:rsid w:val="00C55628"/>
    <w:rsid w:val="00C55629"/>
    <w:rsid w:val="00C55646"/>
    <w:rsid w:val="00C55698"/>
    <w:rsid w:val="00C556BF"/>
    <w:rsid w:val="00C556CB"/>
    <w:rsid w:val="00C556EF"/>
    <w:rsid w:val="00C55726"/>
    <w:rsid w:val="00C55751"/>
    <w:rsid w:val="00C55792"/>
    <w:rsid w:val="00C557C1"/>
    <w:rsid w:val="00C557D7"/>
    <w:rsid w:val="00C55817"/>
    <w:rsid w:val="00C55819"/>
    <w:rsid w:val="00C55850"/>
    <w:rsid w:val="00C5588B"/>
    <w:rsid w:val="00C55912"/>
    <w:rsid w:val="00C5591B"/>
    <w:rsid w:val="00C55977"/>
    <w:rsid w:val="00C55A16"/>
    <w:rsid w:val="00C55A21"/>
    <w:rsid w:val="00C55A2A"/>
    <w:rsid w:val="00C55ABE"/>
    <w:rsid w:val="00C55AEA"/>
    <w:rsid w:val="00C55B9A"/>
    <w:rsid w:val="00C55BCE"/>
    <w:rsid w:val="00C55C46"/>
    <w:rsid w:val="00C55D05"/>
    <w:rsid w:val="00C55D09"/>
    <w:rsid w:val="00C55D16"/>
    <w:rsid w:val="00C55D1F"/>
    <w:rsid w:val="00C55D7C"/>
    <w:rsid w:val="00C55D82"/>
    <w:rsid w:val="00C55DD5"/>
    <w:rsid w:val="00C55DD8"/>
    <w:rsid w:val="00C55E3D"/>
    <w:rsid w:val="00C55E46"/>
    <w:rsid w:val="00C55F3E"/>
    <w:rsid w:val="00C55FB8"/>
    <w:rsid w:val="00C56041"/>
    <w:rsid w:val="00C56063"/>
    <w:rsid w:val="00C56099"/>
    <w:rsid w:val="00C560C2"/>
    <w:rsid w:val="00C560CE"/>
    <w:rsid w:val="00C56137"/>
    <w:rsid w:val="00C5613F"/>
    <w:rsid w:val="00C56162"/>
    <w:rsid w:val="00C56168"/>
    <w:rsid w:val="00C5617A"/>
    <w:rsid w:val="00C5617D"/>
    <w:rsid w:val="00C561A1"/>
    <w:rsid w:val="00C561CB"/>
    <w:rsid w:val="00C56215"/>
    <w:rsid w:val="00C56220"/>
    <w:rsid w:val="00C562B6"/>
    <w:rsid w:val="00C562DC"/>
    <w:rsid w:val="00C562F2"/>
    <w:rsid w:val="00C56315"/>
    <w:rsid w:val="00C56317"/>
    <w:rsid w:val="00C5634C"/>
    <w:rsid w:val="00C56361"/>
    <w:rsid w:val="00C56375"/>
    <w:rsid w:val="00C5637D"/>
    <w:rsid w:val="00C563A4"/>
    <w:rsid w:val="00C563C2"/>
    <w:rsid w:val="00C5641E"/>
    <w:rsid w:val="00C5645C"/>
    <w:rsid w:val="00C5646F"/>
    <w:rsid w:val="00C56528"/>
    <w:rsid w:val="00C5653C"/>
    <w:rsid w:val="00C5654F"/>
    <w:rsid w:val="00C5655D"/>
    <w:rsid w:val="00C5657C"/>
    <w:rsid w:val="00C56617"/>
    <w:rsid w:val="00C56626"/>
    <w:rsid w:val="00C56631"/>
    <w:rsid w:val="00C56653"/>
    <w:rsid w:val="00C566BC"/>
    <w:rsid w:val="00C56752"/>
    <w:rsid w:val="00C56780"/>
    <w:rsid w:val="00C5679F"/>
    <w:rsid w:val="00C567C1"/>
    <w:rsid w:val="00C567CE"/>
    <w:rsid w:val="00C567D4"/>
    <w:rsid w:val="00C56835"/>
    <w:rsid w:val="00C568EE"/>
    <w:rsid w:val="00C569CC"/>
    <w:rsid w:val="00C56A7A"/>
    <w:rsid w:val="00C56AB7"/>
    <w:rsid w:val="00C56AC3"/>
    <w:rsid w:val="00C56B47"/>
    <w:rsid w:val="00C56B81"/>
    <w:rsid w:val="00C56BC8"/>
    <w:rsid w:val="00C56BEF"/>
    <w:rsid w:val="00C56BF8"/>
    <w:rsid w:val="00C56C04"/>
    <w:rsid w:val="00C56C29"/>
    <w:rsid w:val="00C56C6E"/>
    <w:rsid w:val="00C56C87"/>
    <w:rsid w:val="00C56C91"/>
    <w:rsid w:val="00C56D70"/>
    <w:rsid w:val="00C56D77"/>
    <w:rsid w:val="00C56D9D"/>
    <w:rsid w:val="00C56E1A"/>
    <w:rsid w:val="00C56E25"/>
    <w:rsid w:val="00C56E71"/>
    <w:rsid w:val="00C56F06"/>
    <w:rsid w:val="00C56F10"/>
    <w:rsid w:val="00C56F40"/>
    <w:rsid w:val="00C56FA0"/>
    <w:rsid w:val="00C56FB9"/>
    <w:rsid w:val="00C57009"/>
    <w:rsid w:val="00C57037"/>
    <w:rsid w:val="00C57094"/>
    <w:rsid w:val="00C570C7"/>
    <w:rsid w:val="00C57102"/>
    <w:rsid w:val="00C5711C"/>
    <w:rsid w:val="00C5713E"/>
    <w:rsid w:val="00C57185"/>
    <w:rsid w:val="00C571CB"/>
    <w:rsid w:val="00C57204"/>
    <w:rsid w:val="00C5721A"/>
    <w:rsid w:val="00C5725B"/>
    <w:rsid w:val="00C572A4"/>
    <w:rsid w:val="00C572B3"/>
    <w:rsid w:val="00C57336"/>
    <w:rsid w:val="00C57341"/>
    <w:rsid w:val="00C5745B"/>
    <w:rsid w:val="00C574CB"/>
    <w:rsid w:val="00C57573"/>
    <w:rsid w:val="00C57575"/>
    <w:rsid w:val="00C575DB"/>
    <w:rsid w:val="00C5760B"/>
    <w:rsid w:val="00C576AD"/>
    <w:rsid w:val="00C57731"/>
    <w:rsid w:val="00C577C8"/>
    <w:rsid w:val="00C578C8"/>
    <w:rsid w:val="00C578DA"/>
    <w:rsid w:val="00C578EA"/>
    <w:rsid w:val="00C57997"/>
    <w:rsid w:val="00C579CA"/>
    <w:rsid w:val="00C579D0"/>
    <w:rsid w:val="00C579DB"/>
    <w:rsid w:val="00C579DE"/>
    <w:rsid w:val="00C57A07"/>
    <w:rsid w:val="00C57A2F"/>
    <w:rsid w:val="00C57ADF"/>
    <w:rsid w:val="00C57B20"/>
    <w:rsid w:val="00C57B4D"/>
    <w:rsid w:val="00C57B81"/>
    <w:rsid w:val="00C57B96"/>
    <w:rsid w:val="00C57BFD"/>
    <w:rsid w:val="00C57C09"/>
    <w:rsid w:val="00C57C70"/>
    <w:rsid w:val="00C57C78"/>
    <w:rsid w:val="00C57CDF"/>
    <w:rsid w:val="00C57D53"/>
    <w:rsid w:val="00C57D66"/>
    <w:rsid w:val="00C57D73"/>
    <w:rsid w:val="00C57E14"/>
    <w:rsid w:val="00C57E32"/>
    <w:rsid w:val="00C57E49"/>
    <w:rsid w:val="00C57E5F"/>
    <w:rsid w:val="00C57E64"/>
    <w:rsid w:val="00C57EBB"/>
    <w:rsid w:val="00C57ED2"/>
    <w:rsid w:val="00C57F17"/>
    <w:rsid w:val="00C57F3B"/>
    <w:rsid w:val="00C57F6C"/>
    <w:rsid w:val="00C57F8D"/>
    <w:rsid w:val="00C6007A"/>
    <w:rsid w:val="00C60086"/>
    <w:rsid w:val="00C60116"/>
    <w:rsid w:val="00C60148"/>
    <w:rsid w:val="00C60193"/>
    <w:rsid w:val="00C60197"/>
    <w:rsid w:val="00C6020A"/>
    <w:rsid w:val="00C60219"/>
    <w:rsid w:val="00C60281"/>
    <w:rsid w:val="00C60284"/>
    <w:rsid w:val="00C602DB"/>
    <w:rsid w:val="00C602FE"/>
    <w:rsid w:val="00C60373"/>
    <w:rsid w:val="00C60395"/>
    <w:rsid w:val="00C603AF"/>
    <w:rsid w:val="00C603B3"/>
    <w:rsid w:val="00C603C5"/>
    <w:rsid w:val="00C603E5"/>
    <w:rsid w:val="00C604AC"/>
    <w:rsid w:val="00C604EF"/>
    <w:rsid w:val="00C60521"/>
    <w:rsid w:val="00C60526"/>
    <w:rsid w:val="00C6052E"/>
    <w:rsid w:val="00C605C0"/>
    <w:rsid w:val="00C605E7"/>
    <w:rsid w:val="00C605FF"/>
    <w:rsid w:val="00C606D4"/>
    <w:rsid w:val="00C60702"/>
    <w:rsid w:val="00C60729"/>
    <w:rsid w:val="00C6078C"/>
    <w:rsid w:val="00C60792"/>
    <w:rsid w:val="00C607BA"/>
    <w:rsid w:val="00C607C9"/>
    <w:rsid w:val="00C60803"/>
    <w:rsid w:val="00C60827"/>
    <w:rsid w:val="00C60855"/>
    <w:rsid w:val="00C608F9"/>
    <w:rsid w:val="00C609A0"/>
    <w:rsid w:val="00C609AD"/>
    <w:rsid w:val="00C60A30"/>
    <w:rsid w:val="00C60B0F"/>
    <w:rsid w:val="00C60B9C"/>
    <w:rsid w:val="00C60BF5"/>
    <w:rsid w:val="00C60CC5"/>
    <w:rsid w:val="00C60CDD"/>
    <w:rsid w:val="00C60CE8"/>
    <w:rsid w:val="00C60D2E"/>
    <w:rsid w:val="00C60D87"/>
    <w:rsid w:val="00C60ED5"/>
    <w:rsid w:val="00C60F9E"/>
    <w:rsid w:val="00C61012"/>
    <w:rsid w:val="00C610A3"/>
    <w:rsid w:val="00C610D6"/>
    <w:rsid w:val="00C61108"/>
    <w:rsid w:val="00C61149"/>
    <w:rsid w:val="00C61195"/>
    <w:rsid w:val="00C611B8"/>
    <w:rsid w:val="00C611B9"/>
    <w:rsid w:val="00C611E7"/>
    <w:rsid w:val="00C61216"/>
    <w:rsid w:val="00C61230"/>
    <w:rsid w:val="00C612CC"/>
    <w:rsid w:val="00C61324"/>
    <w:rsid w:val="00C613D4"/>
    <w:rsid w:val="00C6141A"/>
    <w:rsid w:val="00C614AF"/>
    <w:rsid w:val="00C6156D"/>
    <w:rsid w:val="00C615B5"/>
    <w:rsid w:val="00C61623"/>
    <w:rsid w:val="00C61629"/>
    <w:rsid w:val="00C61694"/>
    <w:rsid w:val="00C61698"/>
    <w:rsid w:val="00C616AC"/>
    <w:rsid w:val="00C616CB"/>
    <w:rsid w:val="00C616D5"/>
    <w:rsid w:val="00C6173D"/>
    <w:rsid w:val="00C61754"/>
    <w:rsid w:val="00C6175B"/>
    <w:rsid w:val="00C617B1"/>
    <w:rsid w:val="00C617C5"/>
    <w:rsid w:val="00C61816"/>
    <w:rsid w:val="00C61823"/>
    <w:rsid w:val="00C618A1"/>
    <w:rsid w:val="00C6192E"/>
    <w:rsid w:val="00C619F0"/>
    <w:rsid w:val="00C61A48"/>
    <w:rsid w:val="00C61AA4"/>
    <w:rsid w:val="00C61AC4"/>
    <w:rsid w:val="00C61B32"/>
    <w:rsid w:val="00C61B3C"/>
    <w:rsid w:val="00C61B5B"/>
    <w:rsid w:val="00C61B6E"/>
    <w:rsid w:val="00C61BC0"/>
    <w:rsid w:val="00C61BFF"/>
    <w:rsid w:val="00C61C2F"/>
    <w:rsid w:val="00C61CCF"/>
    <w:rsid w:val="00C61CE3"/>
    <w:rsid w:val="00C61CFC"/>
    <w:rsid w:val="00C61D36"/>
    <w:rsid w:val="00C61DC8"/>
    <w:rsid w:val="00C61DE0"/>
    <w:rsid w:val="00C61E31"/>
    <w:rsid w:val="00C61F56"/>
    <w:rsid w:val="00C61F8B"/>
    <w:rsid w:val="00C61FC0"/>
    <w:rsid w:val="00C61FDC"/>
    <w:rsid w:val="00C6202B"/>
    <w:rsid w:val="00C62052"/>
    <w:rsid w:val="00C62114"/>
    <w:rsid w:val="00C62174"/>
    <w:rsid w:val="00C621E9"/>
    <w:rsid w:val="00C621F2"/>
    <w:rsid w:val="00C6221E"/>
    <w:rsid w:val="00C62225"/>
    <w:rsid w:val="00C6227E"/>
    <w:rsid w:val="00C622F7"/>
    <w:rsid w:val="00C62303"/>
    <w:rsid w:val="00C6235B"/>
    <w:rsid w:val="00C62379"/>
    <w:rsid w:val="00C62410"/>
    <w:rsid w:val="00C62420"/>
    <w:rsid w:val="00C62430"/>
    <w:rsid w:val="00C62433"/>
    <w:rsid w:val="00C62434"/>
    <w:rsid w:val="00C624ED"/>
    <w:rsid w:val="00C62519"/>
    <w:rsid w:val="00C6256A"/>
    <w:rsid w:val="00C6258A"/>
    <w:rsid w:val="00C625A7"/>
    <w:rsid w:val="00C625B1"/>
    <w:rsid w:val="00C62673"/>
    <w:rsid w:val="00C62691"/>
    <w:rsid w:val="00C626CE"/>
    <w:rsid w:val="00C62753"/>
    <w:rsid w:val="00C62855"/>
    <w:rsid w:val="00C628D1"/>
    <w:rsid w:val="00C6290C"/>
    <w:rsid w:val="00C62950"/>
    <w:rsid w:val="00C62958"/>
    <w:rsid w:val="00C6295C"/>
    <w:rsid w:val="00C6295F"/>
    <w:rsid w:val="00C6297A"/>
    <w:rsid w:val="00C6297D"/>
    <w:rsid w:val="00C629AE"/>
    <w:rsid w:val="00C62A46"/>
    <w:rsid w:val="00C62A4E"/>
    <w:rsid w:val="00C62ACB"/>
    <w:rsid w:val="00C62ADA"/>
    <w:rsid w:val="00C62AE1"/>
    <w:rsid w:val="00C62AF1"/>
    <w:rsid w:val="00C62B1A"/>
    <w:rsid w:val="00C62B9B"/>
    <w:rsid w:val="00C62BB0"/>
    <w:rsid w:val="00C62BCC"/>
    <w:rsid w:val="00C62BFE"/>
    <w:rsid w:val="00C62C57"/>
    <w:rsid w:val="00C62CA0"/>
    <w:rsid w:val="00C62CBF"/>
    <w:rsid w:val="00C62CCA"/>
    <w:rsid w:val="00C62CCF"/>
    <w:rsid w:val="00C62CDF"/>
    <w:rsid w:val="00C62CFC"/>
    <w:rsid w:val="00C62D18"/>
    <w:rsid w:val="00C62D19"/>
    <w:rsid w:val="00C62D58"/>
    <w:rsid w:val="00C62D97"/>
    <w:rsid w:val="00C62D9A"/>
    <w:rsid w:val="00C62DBA"/>
    <w:rsid w:val="00C62E4F"/>
    <w:rsid w:val="00C62E62"/>
    <w:rsid w:val="00C62E6A"/>
    <w:rsid w:val="00C62F19"/>
    <w:rsid w:val="00C62FD0"/>
    <w:rsid w:val="00C63037"/>
    <w:rsid w:val="00C6307F"/>
    <w:rsid w:val="00C630B3"/>
    <w:rsid w:val="00C630CE"/>
    <w:rsid w:val="00C630F5"/>
    <w:rsid w:val="00C6310C"/>
    <w:rsid w:val="00C63129"/>
    <w:rsid w:val="00C631C5"/>
    <w:rsid w:val="00C63214"/>
    <w:rsid w:val="00C63221"/>
    <w:rsid w:val="00C6324E"/>
    <w:rsid w:val="00C63277"/>
    <w:rsid w:val="00C632B2"/>
    <w:rsid w:val="00C63334"/>
    <w:rsid w:val="00C6340E"/>
    <w:rsid w:val="00C6341A"/>
    <w:rsid w:val="00C6345C"/>
    <w:rsid w:val="00C6345E"/>
    <w:rsid w:val="00C63498"/>
    <w:rsid w:val="00C634EF"/>
    <w:rsid w:val="00C6350C"/>
    <w:rsid w:val="00C63546"/>
    <w:rsid w:val="00C63575"/>
    <w:rsid w:val="00C63638"/>
    <w:rsid w:val="00C63658"/>
    <w:rsid w:val="00C636A3"/>
    <w:rsid w:val="00C6371C"/>
    <w:rsid w:val="00C63732"/>
    <w:rsid w:val="00C637B7"/>
    <w:rsid w:val="00C637C4"/>
    <w:rsid w:val="00C63810"/>
    <w:rsid w:val="00C6382B"/>
    <w:rsid w:val="00C63887"/>
    <w:rsid w:val="00C6389C"/>
    <w:rsid w:val="00C638DB"/>
    <w:rsid w:val="00C63902"/>
    <w:rsid w:val="00C6391D"/>
    <w:rsid w:val="00C63967"/>
    <w:rsid w:val="00C639FC"/>
    <w:rsid w:val="00C63A05"/>
    <w:rsid w:val="00C63ADC"/>
    <w:rsid w:val="00C63B34"/>
    <w:rsid w:val="00C63B7D"/>
    <w:rsid w:val="00C63BBB"/>
    <w:rsid w:val="00C63C33"/>
    <w:rsid w:val="00C63C47"/>
    <w:rsid w:val="00C63C5D"/>
    <w:rsid w:val="00C63C6D"/>
    <w:rsid w:val="00C63C9B"/>
    <w:rsid w:val="00C63CAE"/>
    <w:rsid w:val="00C63D53"/>
    <w:rsid w:val="00C63D8C"/>
    <w:rsid w:val="00C63DF7"/>
    <w:rsid w:val="00C63EF6"/>
    <w:rsid w:val="00C63F66"/>
    <w:rsid w:val="00C63F8C"/>
    <w:rsid w:val="00C64011"/>
    <w:rsid w:val="00C6407A"/>
    <w:rsid w:val="00C640B2"/>
    <w:rsid w:val="00C640D0"/>
    <w:rsid w:val="00C64156"/>
    <w:rsid w:val="00C64157"/>
    <w:rsid w:val="00C64162"/>
    <w:rsid w:val="00C64165"/>
    <w:rsid w:val="00C6418A"/>
    <w:rsid w:val="00C6418C"/>
    <w:rsid w:val="00C64197"/>
    <w:rsid w:val="00C641A5"/>
    <w:rsid w:val="00C64286"/>
    <w:rsid w:val="00C64350"/>
    <w:rsid w:val="00C64356"/>
    <w:rsid w:val="00C64363"/>
    <w:rsid w:val="00C64382"/>
    <w:rsid w:val="00C643E6"/>
    <w:rsid w:val="00C6440A"/>
    <w:rsid w:val="00C64438"/>
    <w:rsid w:val="00C6449C"/>
    <w:rsid w:val="00C644F2"/>
    <w:rsid w:val="00C64549"/>
    <w:rsid w:val="00C645F4"/>
    <w:rsid w:val="00C64607"/>
    <w:rsid w:val="00C64652"/>
    <w:rsid w:val="00C64683"/>
    <w:rsid w:val="00C64702"/>
    <w:rsid w:val="00C64704"/>
    <w:rsid w:val="00C6474A"/>
    <w:rsid w:val="00C647AA"/>
    <w:rsid w:val="00C647CC"/>
    <w:rsid w:val="00C64852"/>
    <w:rsid w:val="00C6486A"/>
    <w:rsid w:val="00C64878"/>
    <w:rsid w:val="00C648EE"/>
    <w:rsid w:val="00C64914"/>
    <w:rsid w:val="00C64963"/>
    <w:rsid w:val="00C64980"/>
    <w:rsid w:val="00C6499C"/>
    <w:rsid w:val="00C649DD"/>
    <w:rsid w:val="00C64A10"/>
    <w:rsid w:val="00C64A3F"/>
    <w:rsid w:val="00C64AE5"/>
    <w:rsid w:val="00C64AE9"/>
    <w:rsid w:val="00C64B87"/>
    <w:rsid w:val="00C64C18"/>
    <w:rsid w:val="00C64C25"/>
    <w:rsid w:val="00C64CE1"/>
    <w:rsid w:val="00C64DDE"/>
    <w:rsid w:val="00C64EB2"/>
    <w:rsid w:val="00C64F10"/>
    <w:rsid w:val="00C64F27"/>
    <w:rsid w:val="00C64F2F"/>
    <w:rsid w:val="00C64F81"/>
    <w:rsid w:val="00C64FF0"/>
    <w:rsid w:val="00C65095"/>
    <w:rsid w:val="00C651A1"/>
    <w:rsid w:val="00C651E3"/>
    <w:rsid w:val="00C6523C"/>
    <w:rsid w:val="00C65247"/>
    <w:rsid w:val="00C652E2"/>
    <w:rsid w:val="00C653D2"/>
    <w:rsid w:val="00C653EB"/>
    <w:rsid w:val="00C653F8"/>
    <w:rsid w:val="00C65407"/>
    <w:rsid w:val="00C6546D"/>
    <w:rsid w:val="00C65470"/>
    <w:rsid w:val="00C654B3"/>
    <w:rsid w:val="00C654B7"/>
    <w:rsid w:val="00C654D7"/>
    <w:rsid w:val="00C654E8"/>
    <w:rsid w:val="00C6554A"/>
    <w:rsid w:val="00C65592"/>
    <w:rsid w:val="00C655A8"/>
    <w:rsid w:val="00C655C8"/>
    <w:rsid w:val="00C655F9"/>
    <w:rsid w:val="00C6565E"/>
    <w:rsid w:val="00C656DF"/>
    <w:rsid w:val="00C65723"/>
    <w:rsid w:val="00C6579B"/>
    <w:rsid w:val="00C657A7"/>
    <w:rsid w:val="00C657D3"/>
    <w:rsid w:val="00C65817"/>
    <w:rsid w:val="00C6583A"/>
    <w:rsid w:val="00C65883"/>
    <w:rsid w:val="00C65935"/>
    <w:rsid w:val="00C65953"/>
    <w:rsid w:val="00C659B8"/>
    <w:rsid w:val="00C659B9"/>
    <w:rsid w:val="00C65A15"/>
    <w:rsid w:val="00C65AC2"/>
    <w:rsid w:val="00C65B1C"/>
    <w:rsid w:val="00C65C54"/>
    <w:rsid w:val="00C65C66"/>
    <w:rsid w:val="00C65C6C"/>
    <w:rsid w:val="00C65C8B"/>
    <w:rsid w:val="00C65C8F"/>
    <w:rsid w:val="00C65D85"/>
    <w:rsid w:val="00C65DC3"/>
    <w:rsid w:val="00C65DF7"/>
    <w:rsid w:val="00C65DF9"/>
    <w:rsid w:val="00C65E05"/>
    <w:rsid w:val="00C65E2C"/>
    <w:rsid w:val="00C65EA6"/>
    <w:rsid w:val="00C65F63"/>
    <w:rsid w:val="00C65F6B"/>
    <w:rsid w:val="00C65FC2"/>
    <w:rsid w:val="00C66062"/>
    <w:rsid w:val="00C660D3"/>
    <w:rsid w:val="00C660F0"/>
    <w:rsid w:val="00C660F4"/>
    <w:rsid w:val="00C6614B"/>
    <w:rsid w:val="00C66191"/>
    <w:rsid w:val="00C6619C"/>
    <w:rsid w:val="00C661C3"/>
    <w:rsid w:val="00C661EE"/>
    <w:rsid w:val="00C661FD"/>
    <w:rsid w:val="00C66242"/>
    <w:rsid w:val="00C662AA"/>
    <w:rsid w:val="00C662C6"/>
    <w:rsid w:val="00C662EC"/>
    <w:rsid w:val="00C6632B"/>
    <w:rsid w:val="00C6638B"/>
    <w:rsid w:val="00C6639D"/>
    <w:rsid w:val="00C663C6"/>
    <w:rsid w:val="00C6642F"/>
    <w:rsid w:val="00C66475"/>
    <w:rsid w:val="00C6649C"/>
    <w:rsid w:val="00C664D1"/>
    <w:rsid w:val="00C66564"/>
    <w:rsid w:val="00C66571"/>
    <w:rsid w:val="00C6658A"/>
    <w:rsid w:val="00C66672"/>
    <w:rsid w:val="00C66697"/>
    <w:rsid w:val="00C666ED"/>
    <w:rsid w:val="00C66720"/>
    <w:rsid w:val="00C667A7"/>
    <w:rsid w:val="00C667CF"/>
    <w:rsid w:val="00C66842"/>
    <w:rsid w:val="00C66859"/>
    <w:rsid w:val="00C6686A"/>
    <w:rsid w:val="00C6689D"/>
    <w:rsid w:val="00C668AD"/>
    <w:rsid w:val="00C668F1"/>
    <w:rsid w:val="00C6694B"/>
    <w:rsid w:val="00C66951"/>
    <w:rsid w:val="00C6696C"/>
    <w:rsid w:val="00C6699C"/>
    <w:rsid w:val="00C669E1"/>
    <w:rsid w:val="00C66A38"/>
    <w:rsid w:val="00C66ACE"/>
    <w:rsid w:val="00C66ADA"/>
    <w:rsid w:val="00C66AEF"/>
    <w:rsid w:val="00C66B6B"/>
    <w:rsid w:val="00C66BB3"/>
    <w:rsid w:val="00C66CCA"/>
    <w:rsid w:val="00C66CF4"/>
    <w:rsid w:val="00C66D5C"/>
    <w:rsid w:val="00C66DA4"/>
    <w:rsid w:val="00C66DEE"/>
    <w:rsid w:val="00C66E62"/>
    <w:rsid w:val="00C66E80"/>
    <w:rsid w:val="00C66EAE"/>
    <w:rsid w:val="00C66F17"/>
    <w:rsid w:val="00C66F32"/>
    <w:rsid w:val="00C66F3E"/>
    <w:rsid w:val="00C66F55"/>
    <w:rsid w:val="00C66F64"/>
    <w:rsid w:val="00C66F97"/>
    <w:rsid w:val="00C66FC7"/>
    <w:rsid w:val="00C66FD7"/>
    <w:rsid w:val="00C67008"/>
    <w:rsid w:val="00C670CD"/>
    <w:rsid w:val="00C670F9"/>
    <w:rsid w:val="00C67117"/>
    <w:rsid w:val="00C67160"/>
    <w:rsid w:val="00C67191"/>
    <w:rsid w:val="00C671B4"/>
    <w:rsid w:val="00C67232"/>
    <w:rsid w:val="00C67233"/>
    <w:rsid w:val="00C6726E"/>
    <w:rsid w:val="00C672D3"/>
    <w:rsid w:val="00C672DA"/>
    <w:rsid w:val="00C672E3"/>
    <w:rsid w:val="00C672F3"/>
    <w:rsid w:val="00C67348"/>
    <w:rsid w:val="00C67357"/>
    <w:rsid w:val="00C6736A"/>
    <w:rsid w:val="00C673D9"/>
    <w:rsid w:val="00C67425"/>
    <w:rsid w:val="00C6742B"/>
    <w:rsid w:val="00C6745B"/>
    <w:rsid w:val="00C6745E"/>
    <w:rsid w:val="00C6747B"/>
    <w:rsid w:val="00C674DD"/>
    <w:rsid w:val="00C674EE"/>
    <w:rsid w:val="00C674F5"/>
    <w:rsid w:val="00C674F8"/>
    <w:rsid w:val="00C67512"/>
    <w:rsid w:val="00C6751C"/>
    <w:rsid w:val="00C67540"/>
    <w:rsid w:val="00C67551"/>
    <w:rsid w:val="00C675F8"/>
    <w:rsid w:val="00C67619"/>
    <w:rsid w:val="00C67625"/>
    <w:rsid w:val="00C67639"/>
    <w:rsid w:val="00C6765D"/>
    <w:rsid w:val="00C67698"/>
    <w:rsid w:val="00C676B0"/>
    <w:rsid w:val="00C676F4"/>
    <w:rsid w:val="00C6777F"/>
    <w:rsid w:val="00C677D1"/>
    <w:rsid w:val="00C678E5"/>
    <w:rsid w:val="00C6791B"/>
    <w:rsid w:val="00C67954"/>
    <w:rsid w:val="00C67992"/>
    <w:rsid w:val="00C679AE"/>
    <w:rsid w:val="00C67C54"/>
    <w:rsid w:val="00C67C7C"/>
    <w:rsid w:val="00C67CB6"/>
    <w:rsid w:val="00C67CD5"/>
    <w:rsid w:val="00C67D14"/>
    <w:rsid w:val="00C67D20"/>
    <w:rsid w:val="00C67D52"/>
    <w:rsid w:val="00C67DB8"/>
    <w:rsid w:val="00C67E42"/>
    <w:rsid w:val="00C67E5D"/>
    <w:rsid w:val="00C67EE6"/>
    <w:rsid w:val="00C67F7E"/>
    <w:rsid w:val="00C67F9A"/>
    <w:rsid w:val="00C67FF2"/>
    <w:rsid w:val="00C7006F"/>
    <w:rsid w:val="00C700E6"/>
    <w:rsid w:val="00C7011C"/>
    <w:rsid w:val="00C70167"/>
    <w:rsid w:val="00C7018C"/>
    <w:rsid w:val="00C701BE"/>
    <w:rsid w:val="00C701DD"/>
    <w:rsid w:val="00C7020D"/>
    <w:rsid w:val="00C7020E"/>
    <w:rsid w:val="00C702D3"/>
    <w:rsid w:val="00C70306"/>
    <w:rsid w:val="00C703EC"/>
    <w:rsid w:val="00C703FA"/>
    <w:rsid w:val="00C70471"/>
    <w:rsid w:val="00C7047B"/>
    <w:rsid w:val="00C704E0"/>
    <w:rsid w:val="00C70563"/>
    <w:rsid w:val="00C705BB"/>
    <w:rsid w:val="00C705CC"/>
    <w:rsid w:val="00C705D5"/>
    <w:rsid w:val="00C706B8"/>
    <w:rsid w:val="00C706E2"/>
    <w:rsid w:val="00C70716"/>
    <w:rsid w:val="00C70763"/>
    <w:rsid w:val="00C7079F"/>
    <w:rsid w:val="00C70892"/>
    <w:rsid w:val="00C70896"/>
    <w:rsid w:val="00C708AC"/>
    <w:rsid w:val="00C708EF"/>
    <w:rsid w:val="00C70946"/>
    <w:rsid w:val="00C709E7"/>
    <w:rsid w:val="00C70A82"/>
    <w:rsid w:val="00C70A9D"/>
    <w:rsid w:val="00C70AB8"/>
    <w:rsid w:val="00C70ACF"/>
    <w:rsid w:val="00C70B38"/>
    <w:rsid w:val="00C70B4E"/>
    <w:rsid w:val="00C70B52"/>
    <w:rsid w:val="00C70C16"/>
    <w:rsid w:val="00C70C18"/>
    <w:rsid w:val="00C70C31"/>
    <w:rsid w:val="00C70C53"/>
    <w:rsid w:val="00C70C80"/>
    <w:rsid w:val="00C70CC5"/>
    <w:rsid w:val="00C70CEB"/>
    <w:rsid w:val="00C70D1C"/>
    <w:rsid w:val="00C70D50"/>
    <w:rsid w:val="00C70DB8"/>
    <w:rsid w:val="00C70DBF"/>
    <w:rsid w:val="00C70DDC"/>
    <w:rsid w:val="00C70E58"/>
    <w:rsid w:val="00C70E6D"/>
    <w:rsid w:val="00C70E89"/>
    <w:rsid w:val="00C70E9A"/>
    <w:rsid w:val="00C70F01"/>
    <w:rsid w:val="00C70F48"/>
    <w:rsid w:val="00C70F62"/>
    <w:rsid w:val="00C70FA9"/>
    <w:rsid w:val="00C70FDD"/>
    <w:rsid w:val="00C71003"/>
    <w:rsid w:val="00C71011"/>
    <w:rsid w:val="00C710C0"/>
    <w:rsid w:val="00C710EB"/>
    <w:rsid w:val="00C71123"/>
    <w:rsid w:val="00C71135"/>
    <w:rsid w:val="00C71142"/>
    <w:rsid w:val="00C71160"/>
    <w:rsid w:val="00C7116B"/>
    <w:rsid w:val="00C7119B"/>
    <w:rsid w:val="00C711D7"/>
    <w:rsid w:val="00C711E0"/>
    <w:rsid w:val="00C711FD"/>
    <w:rsid w:val="00C7129B"/>
    <w:rsid w:val="00C71381"/>
    <w:rsid w:val="00C71398"/>
    <w:rsid w:val="00C713BC"/>
    <w:rsid w:val="00C713D6"/>
    <w:rsid w:val="00C713ED"/>
    <w:rsid w:val="00C71405"/>
    <w:rsid w:val="00C71475"/>
    <w:rsid w:val="00C71641"/>
    <w:rsid w:val="00C7164F"/>
    <w:rsid w:val="00C716DF"/>
    <w:rsid w:val="00C71713"/>
    <w:rsid w:val="00C71718"/>
    <w:rsid w:val="00C71722"/>
    <w:rsid w:val="00C7174B"/>
    <w:rsid w:val="00C717C2"/>
    <w:rsid w:val="00C717CF"/>
    <w:rsid w:val="00C717D5"/>
    <w:rsid w:val="00C717FE"/>
    <w:rsid w:val="00C71816"/>
    <w:rsid w:val="00C7186C"/>
    <w:rsid w:val="00C7193B"/>
    <w:rsid w:val="00C719CE"/>
    <w:rsid w:val="00C719F5"/>
    <w:rsid w:val="00C71A21"/>
    <w:rsid w:val="00C71A5F"/>
    <w:rsid w:val="00C71A83"/>
    <w:rsid w:val="00C71AA7"/>
    <w:rsid w:val="00C71AB7"/>
    <w:rsid w:val="00C71AE5"/>
    <w:rsid w:val="00C71AFA"/>
    <w:rsid w:val="00C71B0B"/>
    <w:rsid w:val="00C71B2F"/>
    <w:rsid w:val="00C71B9A"/>
    <w:rsid w:val="00C71BF6"/>
    <w:rsid w:val="00C71C07"/>
    <w:rsid w:val="00C71C3C"/>
    <w:rsid w:val="00C71C7A"/>
    <w:rsid w:val="00C71CA0"/>
    <w:rsid w:val="00C71CA8"/>
    <w:rsid w:val="00C71D4B"/>
    <w:rsid w:val="00C71DF4"/>
    <w:rsid w:val="00C71DFB"/>
    <w:rsid w:val="00C71E1E"/>
    <w:rsid w:val="00C71E61"/>
    <w:rsid w:val="00C71F2E"/>
    <w:rsid w:val="00C71F55"/>
    <w:rsid w:val="00C71F69"/>
    <w:rsid w:val="00C71F99"/>
    <w:rsid w:val="00C71FB4"/>
    <w:rsid w:val="00C71FC7"/>
    <w:rsid w:val="00C71FE2"/>
    <w:rsid w:val="00C72001"/>
    <w:rsid w:val="00C72032"/>
    <w:rsid w:val="00C72070"/>
    <w:rsid w:val="00C7209C"/>
    <w:rsid w:val="00C720AF"/>
    <w:rsid w:val="00C720C1"/>
    <w:rsid w:val="00C720EA"/>
    <w:rsid w:val="00C72123"/>
    <w:rsid w:val="00C721DA"/>
    <w:rsid w:val="00C72308"/>
    <w:rsid w:val="00C72318"/>
    <w:rsid w:val="00C72358"/>
    <w:rsid w:val="00C72363"/>
    <w:rsid w:val="00C723BA"/>
    <w:rsid w:val="00C723E4"/>
    <w:rsid w:val="00C7240B"/>
    <w:rsid w:val="00C72493"/>
    <w:rsid w:val="00C724C2"/>
    <w:rsid w:val="00C724C5"/>
    <w:rsid w:val="00C724E6"/>
    <w:rsid w:val="00C72501"/>
    <w:rsid w:val="00C7250F"/>
    <w:rsid w:val="00C725C5"/>
    <w:rsid w:val="00C72621"/>
    <w:rsid w:val="00C72647"/>
    <w:rsid w:val="00C7265A"/>
    <w:rsid w:val="00C7267F"/>
    <w:rsid w:val="00C7269B"/>
    <w:rsid w:val="00C726EB"/>
    <w:rsid w:val="00C72728"/>
    <w:rsid w:val="00C727B3"/>
    <w:rsid w:val="00C72803"/>
    <w:rsid w:val="00C72813"/>
    <w:rsid w:val="00C7282F"/>
    <w:rsid w:val="00C7287A"/>
    <w:rsid w:val="00C728C3"/>
    <w:rsid w:val="00C728F2"/>
    <w:rsid w:val="00C72967"/>
    <w:rsid w:val="00C72969"/>
    <w:rsid w:val="00C72971"/>
    <w:rsid w:val="00C729A6"/>
    <w:rsid w:val="00C729A8"/>
    <w:rsid w:val="00C729D6"/>
    <w:rsid w:val="00C72A44"/>
    <w:rsid w:val="00C72A98"/>
    <w:rsid w:val="00C72AD2"/>
    <w:rsid w:val="00C72AD3"/>
    <w:rsid w:val="00C72AE9"/>
    <w:rsid w:val="00C72B30"/>
    <w:rsid w:val="00C72B59"/>
    <w:rsid w:val="00C72B97"/>
    <w:rsid w:val="00C72BBE"/>
    <w:rsid w:val="00C72CE1"/>
    <w:rsid w:val="00C72CE3"/>
    <w:rsid w:val="00C72CEA"/>
    <w:rsid w:val="00C72D5E"/>
    <w:rsid w:val="00C72DFB"/>
    <w:rsid w:val="00C72E65"/>
    <w:rsid w:val="00C72E78"/>
    <w:rsid w:val="00C72E9C"/>
    <w:rsid w:val="00C72EB0"/>
    <w:rsid w:val="00C72EFE"/>
    <w:rsid w:val="00C72EFF"/>
    <w:rsid w:val="00C72FB0"/>
    <w:rsid w:val="00C72FDE"/>
    <w:rsid w:val="00C73026"/>
    <w:rsid w:val="00C73054"/>
    <w:rsid w:val="00C730B2"/>
    <w:rsid w:val="00C730B6"/>
    <w:rsid w:val="00C730CC"/>
    <w:rsid w:val="00C7313D"/>
    <w:rsid w:val="00C731BC"/>
    <w:rsid w:val="00C731C4"/>
    <w:rsid w:val="00C73213"/>
    <w:rsid w:val="00C73218"/>
    <w:rsid w:val="00C73228"/>
    <w:rsid w:val="00C7328F"/>
    <w:rsid w:val="00C73306"/>
    <w:rsid w:val="00C7330C"/>
    <w:rsid w:val="00C73326"/>
    <w:rsid w:val="00C7338E"/>
    <w:rsid w:val="00C733AC"/>
    <w:rsid w:val="00C733BD"/>
    <w:rsid w:val="00C73460"/>
    <w:rsid w:val="00C73490"/>
    <w:rsid w:val="00C73533"/>
    <w:rsid w:val="00C73557"/>
    <w:rsid w:val="00C73574"/>
    <w:rsid w:val="00C7358A"/>
    <w:rsid w:val="00C735D0"/>
    <w:rsid w:val="00C736DF"/>
    <w:rsid w:val="00C7371F"/>
    <w:rsid w:val="00C73726"/>
    <w:rsid w:val="00C7376C"/>
    <w:rsid w:val="00C737B3"/>
    <w:rsid w:val="00C737B6"/>
    <w:rsid w:val="00C737E9"/>
    <w:rsid w:val="00C73831"/>
    <w:rsid w:val="00C73861"/>
    <w:rsid w:val="00C738F5"/>
    <w:rsid w:val="00C738FA"/>
    <w:rsid w:val="00C739A8"/>
    <w:rsid w:val="00C739AD"/>
    <w:rsid w:val="00C739B5"/>
    <w:rsid w:val="00C73A61"/>
    <w:rsid w:val="00C73B1B"/>
    <w:rsid w:val="00C73B4F"/>
    <w:rsid w:val="00C73B72"/>
    <w:rsid w:val="00C73BF1"/>
    <w:rsid w:val="00C73C37"/>
    <w:rsid w:val="00C73C60"/>
    <w:rsid w:val="00C73C97"/>
    <w:rsid w:val="00C73CC9"/>
    <w:rsid w:val="00C73CDE"/>
    <w:rsid w:val="00C73CE1"/>
    <w:rsid w:val="00C73D0D"/>
    <w:rsid w:val="00C73D21"/>
    <w:rsid w:val="00C73D27"/>
    <w:rsid w:val="00C73D2B"/>
    <w:rsid w:val="00C73D67"/>
    <w:rsid w:val="00C73DD8"/>
    <w:rsid w:val="00C73DDB"/>
    <w:rsid w:val="00C73E01"/>
    <w:rsid w:val="00C73E96"/>
    <w:rsid w:val="00C73EDA"/>
    <w:rsid w:val="00C73F8B"/>
    <w:rsid w:val="00C73FA5"/>
    <w:rsid w:val="00C7402F"/>
    <w:rsid w:val="00C7405D"/>
    <w:rsid w:val="00C740DF"/>
    <w:rsid w:val="00C7410F"/>
    <w:rsid w:val="00C7413A"/>
    <w:rsid w:val="00C741AF"/>
    <w:rsid w:val="00C7421E"/>
    <w:rsid w:val="00C7424B"/>
    <w:rsid w:val="00C742A5"/>
    <w:rsid w:val="00C742C8"/>
    <w:rsid w:val="00C742F6"/>
    <w:rsid w:val="00C74314"/>
    <w:rsid w:val="00C74370"/>
    <w:rsid w:val="00C743A1"/>
    <w:rsid w:val="00C743CB"/>
    <w:rsid w:val="00C743DC"/>
    <w:rsid w:val="00C74418"/>
    <w:rsid w:val="00C7445D"/>
    <w:rsid w:val="00C74482"/>
    <w:rsid w:val="00C74486"/>
    <w:rsid w:val="00C744DE"/>
    <w:rsid w:val="00C74524"/>
    <w:rsid w:val="00C7453A"/>
    <w:rsid w:val="00C74553"/>
    <w:rsid w:val="00C745E5"/>
    <w:rsid w:val="00C74717"/>
    <w:rsid w:val="00C7473F"/>
    <w:rsid w:val="00C747A5"/>
    <w:rsid w:val="00C747BF"/>
    <w:rsid w:val="00C7480D"/>
    <w:rsid w:val="00C74810"/>
    <w:rsid w:val="00C74824"/>
    <w:rsid w:val="00C74831"/>
    <w:rsid w:val="00C74842"/>
    <w:rsid w:val="00C74882"/>
    <w:rsid w:val="00C74893"/>
    <w:rsid w:val="00C748A4"/>
    <w:rsid w:val="00C748B9"/>
    <w:rsid w:val="00C748CF"/>
    <w:rsid w:val="00C748D9"/>
    <w:rsid w:val="00C748F4"/>
    <w:rsid w:val="00C7496F"/>
    <w:rsid w:val="00C749CD"/>
    <w:rsid w:val="00C74A07"/>
    <w:rsid w:val="00C74A45"/>
    <w:rsid w:val="00C74A72"/>
    <w:rsid w:val="00C74AD6"/>
    <w:rsid w:val="00C74AF7"/>
    <w:rsid w:val="00C74B26"/>
    <w:rsid w:val="00C74B67"/>
    <w:rsid w:val="00C74B8A"/>
    <w:rsid w:val="00C74C04"/>
    <w:rsid w:val="00C74C2C"/>
    <w:rsid w:val="00C74CA6"/>
    <w:rsid w:val="00C74CDA"/>
    <w:rsid w:val="00C74D24"/>
    <w:rsid w:val="00C74D40"/>
    <w:rsid w:val="00C74D71"/>
    <w:rsid w:val="00C74E05"/>
    <w:rsid w:val="00C74F53"/>
    <w:rsid w:val="00C74F84"/>
    <w:rsid w:val="00C74FB5"/>
    <w:rsid w:val="00C74FC7"/>
    <w:rsid w:val="00C74FD6"/>
    <w:rsid w:val="00C75000"/>
    <w:rsid w:val="00C75022"/>
    <w:rsid w:val="00C75045"/>
    <w:rsid w:val="00C750A0"/>
    <w:rsid w:val="00C750B3"/>
    <w:rsid w:val="00C750F8"/>
    <w:rsid w:val="00C7517E"/>
    <w:rsid w:val="00C751AC"/>
    <w:rsid w:val="00C751C7"/>
    <w:rsid w:val="00C751F0"/>
    <w:rsid w:val="00C7520D"/>
    <w:rsid w:val="00C7524D"/>
    <w:rsid w:val="00C752CA"/>
    <w:rsid w:val="00C75304"/>
    <w:rsid w:val="00C7531A"/>
    <w:rsid w:val="00C7531D"/>
    <w:rsid w:val="00C7536F"/>
    <w:rsid w:val="00C75384"/>
    <w:rsid w:val="00C75415"/>
    <w:rsid w:val="00C75437"/>
    <w:rsid w:val="00C754E0"/>
    <w:rsid w:val="00C7558D"/>
    <w:rsid w:val="00C7559B"/>
    <w:rsid w:val="00C7563B"/>
    <w:rsid w:val="00C75654"/>
    <w:rsid w:val="00C756D4"/>
    <w:rsid w:val="00C756F7"/>
    <w:rsid w:val="00C75734"/>
    <w:rsid w:val="00C7578E"/>
    <w:rsid w:val="00C7579C"/>
    <w:rsid w:val="00C757E8"/>
    <w:rsid w:val="00C7583A"/>
    <w:rsid w:val="00C7584E"/>
    <w:rsid w:val="00C75874"/>
    <w:rsid w:val="00C758B7"/>
    <w:rsid w:val="00C758F4"/>
    <w:rsid w:val="00C75936"/>
    <w:rsid w:val="00C759AC"/>
    <w:rsid w:val="00C75A23"/>
    <w:rsid w:val="00C75A62"/>
    <w:rsid w:val="00C75A69"/>
    <w:rsid w:val="00C75A6B"/>
    <w:rsid w:val="00C75AE6"/>
    <w:rsid w:val="00C75AEF"/>
    <w:rsid w:val="00C75B3D"/>
    <w:rsid w:val="00C75B8F"/>
    <w:rsid w:val="00C75BD4"/>
    <w:rsid w:val="00C75BE1"/>
    <w:rsid w:val="00C75C0E"/>
    <w:rsid w:val="00C75C4C"/>
    <w:rsid w:val="00C75DA0"/>
    <w:rsid w:val="00C75DC8"/>
    <w:rsid w:val="00C75E05"/>
    <w:rsid w:val="00C75E0E"/>
    <w:rsid w:val="00C75EA4"/>
    <w:rsid w:val="00C75EDF"/>
    <w:rsid w:val="00C75F0C"/>
    <w:rsid w:val="00C75F10"/>
    <w:rsid w:val="00C75F15"/>
    <w:rsid w:val="00C75F63"/>
    <w:rsid w:val="00C75FAD"/>
    <w:rsid w:val="00C75FD4"/>
    <w:rsid w:val="00C75FDC"/>
    <w:rsid w:val="00C76077"/>
    <w:rsid w:val="00C7607A"/>
    <w:rsid w:val="00C76121"/>
    <w:rsid w:val="00C7613E"/>
    <w:rsid w:val="00C76144"/>
    <w:rsid w:val="00C761F1"/>
    <w:rsid w:val="00C7622C"/>
    <w:rsid w:val="00C762B9"/>
    <w:rsid w:val="00C76385"/>
    <w:rsid w:val="00C763D5"/>
    <w:rsid w:val="00C7644C"/>
    <w:rsid w:val="00C76456"/>
    <w:rsid w:val="00C764C3"/>
    <w:rsid w:val="00C7650F"/>
    <w:rsid w:val="00C7651E"/>
    <w:rsid w:val="00C765B3"/>
    <w:rsid w:val="00C765E1"/>
    <w:rsid w:val="00C76608"/>
    <w:rsid w:val="00C76658"/>
    <w:rsid w:val="00C7667B"/>
    <w:rsid w:val="00C766D2"/>
    <w:rsid w:val="00C76767"/>
    <w:rsid w:val="00C767E7"/>
    <w:rsid w:val="00C7687A"/>
    <w:rsid w:val="00C768C6"/>
    <w:rsid w:val="00C76917"/>
    <w:rsid w:val="00C76976"/>
    <w:rsid w:val="00C76979"/>
    <w:rsid w:val="00C7698A"/>
    <w:rsid w:val="00C769A7"/>
    <w:rsid w:val="00C769B3"/>
    <w:rsid w:val="00C769B5"/>
    <w:rsid w:val="00C76B05"/>
    <w:rsid w:val="00C76B35"/>
    <w:rsid w:val="00C76B5A"/>
    <w:rsid w:val="00C76B8C"/>
    <w:rsid w:val="00C76BBB"/>
    <w:rsid w:val="00C76C83"/>
    <w:rsid w:val="00C76C9C"/>
    <w:rsid w:val="00C76D00"/>
    <w:rsid w:val="00C76D6A"/>
    <w:rsid w:val="00C76D80"/>
    <w:rsid w:val="00C76D96"/>
    <w:rsid w:val="00C76E4C"/>
    <w:rsid w:val="00C76E53"/>
    <w:rsid w:val="00C76E8F"/>
    <w:rsid w:val="00C76E9E"/>
    <w:rsid w:val="00C76EBD"/>
    <w:rsid w:val="00C76EC0"/>
    <w:rsid w:val="00C76F72"/>
    <w:rsid w:val="00C76F7C"/>
    <w:rsid w:val="00C76F7D"/>
    <w:rsid w:val="00C76FA2"/>
    <w:rsid w:val="00C76FBC"/>
    <w:rsid w:val="00C76FDF"/>
    <w:rsid w:val="00C77045"/>
    <w:rsid w:val="00C7710B"/>
    <w:rsid w:val="00C77133"/>
    <w:rsid w:val="00C77143"/>
    <w:rsid w:val="00C7717A"/>
    <w:rsid w:val="00C77213"/>
    <w:rsid w:val="00C7721E"/>
    <w:rsid w:val="00C77266"/>
    <w:rsid w:val="00C77272"/>
    <w:rsid w:val="00C7727E"/>
    <w:rsid w:val="00C772C9"/>
    <w:rsid w:val="00C773CF"/>
    <w:rsid w:val="00C77466"/>
    <w:rsid w:val="00C77489"/>
    <w:rsid w:val="00C77498"/>
    <w:rsid w:val="00C774E6"/>
    <w:rsid w:val="00C7752E"/>
    <w:rsid w:val="00C77584"/>
    <w:rsid w:val="00C77614"/>
    <w:rsid w:val="00C77656"/>
    <w:rsid w:val="00C776AC"/>
    <w:rsid w:val="00C776D9"/>
    <w:rsid w:val="00C77756"/>
    <w:rsid w:val="00C777DA"/>
    <w:rsid w:val="00C777DD"/>
    <w:rsid w:val="00C77887"/>
    <w:rsid w:val="00C77992"/>
    <w:rsid w:val="00C779CD"/>
    <w:rsid w:val="00C77A26"/>
    <w:rsid w:val="00C77A43"/>
    <w:rsid w:val="00C77AA2"/>
    <w:rsid w:val="00C77AC8"/>
    <w:rsid w:val="00C77BEE"/>
    <w:rsid w:val="00C77BF2"/>
    <w:rsid w:val="00C77BF9"/>
    <w:rsid w:val="00C77C6B"/>
    <w:rsid w:val="00C77C8C"/>
    <w:rsid w:val="00C77CFD"/>
    <w:rsid w:val="00C77D36"/>
    <w:rsid w:val="00C77D6F"/>
    <w:rsid w:val="00C77DD9"/>
    <w:rsid w:val="00C77DF0"/>
    <w:rsid w:val="00C77DFA"/>
    <w:rsid w:val="00C77F7F"/>
    <w:rsid w:val="00C77FB1"/>
    <w:rsid w:val="00C77FC2"/>
    <w:rsid w:val="00C800F0"/>
    <w:rsid w:val="00C800F8"/>
    <w:rsid w:val="00C80127"/>
    <w:rsid w:val="00C80153"/>
    <w:rsid w:val="00C80159"/>
    <w:rsid w:val="00C8015B"/>
    <w:rsid w:val="00C801A5"/>
    <w:rsid w:val="00C801CD"/>
    <w:rsid w:val="00C801D6"/>
    <w:rsid w:val="00C801D7"/>
    <w:rsid w:val="00C8021C"/>
    <w:rsid w:val="00C80224"/>
    <w:rsid w:val="00C80282"/>
    <w:rsid w:val="00C8028C"/>
    <w:rsid w:val="00C802FB"/>
    <w:rsid w:val="00C80318"/>
    <w:rsid w:val="00C8035B"/>
    <w:rsid w:val="00C8036E"/>
    <w:rsid w:val="00C80377"/>
    <w:rsid w:val="00C80389"/>
    <w:rsid w:val="00C803C8"/>
    <w:rsid w:val="00C803D6"/>
    <w:rsid w:val="00C803E9"/>
    <w:rsid w:val="00C80571"/>
    <w:rsid w:val="00C80581"/>
    <w:rsid w:val="00C80586"/>
    <w:rsid w:val="00C805AF"/>
    <w:rsid w:val="00C8062A"/>
    <w:rsid w:val="00C80640"/>
    <w:rsid w:val="00C80653"/>
    <w:rsid w:val="00C8066E"/>
    <w:rsid w:val="00C8069C"/>
    <w:rsid w:val="00C8075F"/>
    <w:rsid w:val="00C8077F"/>
    <w:rsid w:val="00C807CB"/>
    <w:rsid w:val="00C807DB"/>
    <w:rsid w:val="00C8081C"/>
    <w:rsid w:val="00C80824"/>
    <w:rsid w:val="00C80832"/>
    <w:rsid w:val="00C8086F"/>
    <w:rsid w:val="00C80875"/>
    <w:rsid w:val="00C808A3"/>
    <w:rsid w:val="00C808BA"/>
    <w:rsid w:val="00C808BF"/>
    <w:rsid w:val="00C808E7"/>
    <w:rsid w:val="00C8091D"/>
    <w:rsid w:val="00C80928"/>
    <w:rsid w:val="00C80A06"/>
    <w:rsid w:val="00C80A0D"/>
    <w:rsid w:val="00C80A0E"/>
    <w:rsid w:val="00C80A1D"/>
    <w:rsid w:val="00C80A23"/>
    <w:rsid w:val="00C80AA2"/>
    <w:rsid w:val="00C80B2D"/>
    <w:rsid w:val="00C80B85"/>
    <w:rsid w:val="00C80BEB"/>
    <w:rsid w:val="00C80C0F"/>
    <w:rsid w:val="00C80C55"/>
    <w:rsid w:val="00C80CED"/>
    <w:rsid w:val="00C80D40"/>
    <w:rsid w:val="00C80DCB"/>
    <w:rsid w:val="00C80E8D"/>
    <w:rsid w:val="00C80EB4"/>
    <w:rsid w:val="00C80EFB"/>
    <w:rsid w:val="00C80F37"/>
    <w:rsid w:val="00C80F4F"/>
    <w:rsid w:val="00C80F6B"/>
    <w:rsid w:val="00C8106C"/>
    <w:rsid w:val="00C81089"/>
    <w:rsid w:val="00C8108D"/>
    <w:rsid w:val="00C8109E"/>
    <w:rsid w:val="00C811A4"/>
    <w:rsid w:val="00C811BA"/>
    <w:rsid w:val="00C811E8"/>
    <w:rsid w:val="00C812A4"/>
    <w:rsid w:val="00C8133C"/>
    <w:rsid w:val="00C813CE"/>
    <w:rsid w:val="00C814E4"/>
    <w:rsid w:val="00C8153A"/>
    <w:rsid w:val="00C81541"/>
    <w:rsid w:val="00C815F8"/>
    <w:rsid w:val="00C8163D"/>
    <w:rsid w:val="00C81691"/>
    <w:rsid w:val="00C816C6"/>
    <w:rsid w:val="00C8171A"/>
    <w:rsid w:val="00C8172A"/>
    <w:rsid w:val="00C8174E"/>
    <w:rsid w:val="00C817FB"/>
    <w:rsid w:val="00C81814"/>
    <w:rsid w:val="00C81843"/>
    <w:rsid w:val="00C8184E"/>
    <w:rsid w:val="00C8189F"/>
    <w:rsid w:val="00C81972"/>
    <w:rsid w:val="00C819FB"/>
    <w:rsid w:val="00C81A51"/>
    <w:rsid w:val="00C81A59"/>
    <w:rsid w:val="00C81A6B"/>
    <w:rsid w:val="00C81AA4"/>
    <w:rsid w:val="00C81AFB"/>
    <w:rsid w:val="00C81B23"/>
    <w:rsid w:val="00C81B56"/>
    <w:rsid w:val="00C81B6D"/>
    <w:rsid w:val="00C81BAC"/>
    <w:rsid w:val="00C81BBD"/>
    <w:rsid w:val="00C81BEC"/>
    <w:rsid w:val="00C81C3C"/>
    <w:rsid w:val="00C81C45"/>
    <w:rsid w:val="00C81C8F"/>
    <w:rsid w:val="00C81CEA"/>
    <w:rsid w:val="00C81D3C"/>
    <w:rsid w:val="00C81D9F"/>
    <w:rsid w:val="00C81E3A"/>
    <w:rsid w:val="00C81ED1"/>
    <w:rsid w:val="00C81F21"/>
    <w:rsid w:val="00C81F50"/>
    <w:rsid w:val="00C81F58"/>
    <w:rsid w:val="00C81FF3"/>
    <w:rsid w:val="00C8213F"/>
    <w:rsid w:val="00C8217F"/>
    <w:rsid w:val="00C82187"/>
    <w:rsid w:val="00C821A5"/>
    <w:rsid w:val="00C821B0"/>
    <w:rsid w:val="00C821BE"/>
    <w:rsid w:val="00C821D2"/>
    <w:rsid w:val="00C821D8"/>
    <w:rsid w:val="00C822D2"/>
    <w:rsid w:val="00C82339"/>
    <w:rsid w:val="00C823A9"/>
    <w:rsid w:val="00C823F0"/>
    <w:rsid w:val="00C8240A"/>
    <w:rsid w:val="00C82416"/>
    <w:rsid w:val="00C82485"/>
    <w:rsid w:val="00C824C0"/>
    <w:rsid w:val="00C824D7"/>
    <w:rsid w:val="00C82506"/>
    <w:rsid w:val="00C82512"/>
    <w:rsid w:val="00C8252C"/>
    <w:rsid w:val="00C8254E"/>
    <w:rsid w:val="00C82564"/>
    <w:rsid w:val="00C825D2"/>
    <w:rsid w:val="00C825F0"/>
    <w:rsid w:val="00C82603"/>
    <w:rsid w:val="00C8262A"/>
    <w:rsid w:val="00C82632"/>
    <w:rsid w:val="00C82639"/>
    <w:rsid w:val="00C8264F"/>
    <w:rsid w:val="00C82684"/>
    <w:rsid w:val="00C826C1"/>
    <w:rsid w:val="00C826C3"/>
    <w:rsid w:val="00C826DB"/>
    <w:rsid w:val="00C8271E"/>
    <w:rsid w:val="00C8276C"/>
    <w:rsid w:val="00C827F8"/>
    <w:rsid w:val="00C8280E"/>
    <w:rsid w:val="00C82831"/>
    <w:rsid w:val="00C8284A"/>
    <w:rsid w:val="00C82891"/>
    <w:rsid w:val="00C828B2"/>
    <w:rsid w:val="00C828D9"/>
    <w:rsid w:val="00C828DC"/>
    <w:rsid w:val="00C828E4"/>
    <w:rsid w:val="00C828F6"/>
    <w:rsid w:val="00C82952"/>
    <w:rsid w:val="00C8297B"/>
    <w:rsid w:val="00C8297D"/>
    <w:rsid w:val="00C82A34"/>
    <w:rsid w:val="00C82A70"/>
    <w:rsid w:val="00C82B1D"/>
    <w:rsid w:val="00C82B2F"/>
    <w:rsid w:val="00C82C21"/>
    <w:rsid w:val="00C82C57"/>
    <w:rsid w:val="00C82C83"/>
    <w:rsid w:val="00C82CB1"/>
    <w:rsid w:val="00C82CC5"/>
    <w:rsid w:val="00C82D04"/>
    <w:rsid w:val="00C82D0B"/>
    <w:rsid w:val="00C82D2F"/>
    <w:rsid w:val="00C82D62"/>
    <w:rsid w:val="00C82D64"/>
    <w:rsid w:val="00C82D82"/>
    <w:rsid w:val="00C82D85"/>
    <w:rsid w:val="00C82D9D"/>
    <w:rsid w:val="00C82DCC"/>
    <w:rsid w:val="00C82DDA"/>
    <w:rsid w:val="00C82E38"/>
    <w:rsid w:val="00C82E76"/>
    <w:rsid w:val="00C82E9B"/>
    <w:rsid w:val="00C82EA1"/>
    <w:rsid w:val="00C82EDF"/>
    <w:rsid w:val="00C82F17"/>
    <w:rsid w:val="00C82F5C"/>
    <w:rsid w:val="00C82FB7"/>
    <w:rsid w:val="00C82FC2"/>
    <w:rsid w:val="00C82FCA"/>
    <w:rsid w:val="00C830B6"/>
    <w:rsid w:val="00C8321D"/>
    <w:rsid w:val="00C8326B"/>
    <w:rsid w:val="00C8328D"/>
    <w:rsid w:val="00C832D5"/>
    <w:rsid w:val="00C832F2"/>
    <w:rsid w:val="00C83310"/>
    <w:rsid w:val="00C83322"/>
    <w:rsid w:val="00C83345"/>
    <w:rsid w:val="00C83396"/>
    <w:rsid w:val="00C833A3"/>
    <w:rsid w:val="00C83410"/>
    <w:rsid w:val="00C834D1"/>
    <w:rsid w:val="00C834E8"/>
    <w:rsid w:val="00C83511"/>
    <w:rsid w:val="00C83520"/>
    <w:rsid w:val="00C8352D"/>
    <w:rsid w:val="00C83547"/>
    <w:rsid w:val="00C8357C"/>
    <w:rsid w:val="00C83585"/>
    <w:rsid w:val="00C83590"/>
    <w:rsid w:val="00C835A8"/>
    <w:rsid w:val="00C835AB"/>
    <w:rsid w:val="00C83605"/>
    <w:rsid w:val="00C8361C"/>
    <w:rsid w:val="00C8363D"/>
    <w:rsid w:val="00C8366E"/>
    <w:rsid w:val="00C836DA"/>
    <w:rsid w:val="00C836FC"/>
    <w:rsid w:val="00C836FE"/>
    <w:rsid w:val="00C8376E"/>
    <w:rsid w:val="00C83797"/>
    <w:rsid w:val="00C837CC"/>
    <w:rsid w:val="00C83844"/>
    <w:rsid w:val="00C83852"/>
    <w:rsid w:val="00C83855"/>
    <w:rsid w:val="00C8389B"/>
    <w:rsid w:val="00C838A7"/>
    <w:rsid w:val="00C839A5"/>
    <w:rsid w:val="00C839C2"/>
    <w:rsid w:val="00C839EE"/>
    <w:rsid w:val="00C83A10"/>
    <w:rsid w:val="00C83A30"/>
    <w:rsid w:val="00C83A72"/>
    <w:rsid w:val="00C83B02"/>
    <w:rsid w:val="00C83B30"/>
    <w:rsid w:val="00C83B97"/>
    <w:rsid w:val="00C83BA8"/>
    <w:rsid w:val="00C83C4B"/>
    <w:rsid w:val="00C83C5B"/>
    <w:rsid w:val="00C83C64"/>
    <w:rsid w:val="00C83C89"/>
    <w:rsid w:val="00C83CD5"/>
    <w:rsid w:val="00C83CEA"/>
    <w:rsid w:val="00C83CFF"/>
    <w:rsid w:val="00C83D62"/>
    <w:rsid w:val="00C83D73"/>
    <w:rsid w:val="00C83E36"/>
    <w:rsid w:val="00C83E3D"/>
    <w:rsid w:val="00C83E5D"/>
    <w:rsid w:val="00C83EF9"/>
    <w:rsid w:val="00C83FBE"/>
    <w:rsid w:val="00C8402A"/>
    <w:rsid w:val="00C84074"/>
    <w:rsid w:val="00C840A8"/>
    <w:rsid w:val="00C840CB"/>
    <w:rsid w:val="00C84164"/>
    <w:rsid w:val="00C84198"/>
    <w:rsid w:val="00C841DD"/>
    <w:rsid w:val="00C84218"/>
    <w:rsid w:val="00C84259"/>
    <w:rsid w:val="00C842A5"/>
    <w:rsid w:val="00C84351"/>
    <w:rsid w:val="00C8438B"/>
    <w:rsid w:val="00C843E5"/>
    <w:rsid w:val="00C8442C"/>
    <w:rsid w:val="00C84440"/>
    <w:rsid w:val="00C84468"/>
    <w:rsid w:val="00C844F9"/>
    <w:rsid w:val="00C8450F"/>
    <w:rsid w:val="00C8453F"/>
    <w:rsid w:val="00C846A6"/>
    <w:rsid w:val="00C846C5"/>
    <w:rsid w:val="00C847DA"/>
    <w:rsid w:val="00C847FE"/>
    <w:rsid w:val="00C8483F"/>
    <w:rsid w:val="00C84858"/>
    <w:rsid w:val="00C848CE"/>
    <w:rsid w:val="00C848EB"/>
    <w:rsid w:val="00C84919"/>
    <w:rsid w:val="00C8491B"/>
    <w:rsid w:val="00C8493D"/>
    <w:rsid w:val="00C84950"/>
    <w:rsid w:val="00C84978"/>
    <w:rsid w:val="00C84985"/>
    <w:rsid w:val="00C84987"/>
    <w:rsid w:val="00C849DB"/>
    <w:rsid w:val="00C84A08"/>
    <w:rsid w:val="00C84A25"/>
    <w:rsid w:val="00C84A86"/>
    <w:rsid w:val="00C84AB7"/>
    <w:rsid w:val="00C84AF2"/>
    <w:rsid w:val="00C84AF6"/>
    <w:rsid w:val="00C84B3A"/>
    <w:rsid w:val="00C84BB2"/>
    <w:rsid w:val="00C84C62"/>
    <w:rsid w:val="00C84CD5"/>
    <w:rsid w:val="00C84D09"/>
    <w:rsid w:val="00C84DC5"/>
    <w:rsid w:val="00C84DC9"/>
    <w:rsid w:val="00C84E13"/>
    <w:rsid w:val="00C84E2F"/>
    <w:rsid w:val="00C84E6D"/>
    <w:rsid w:val="00C84E83"/>
    <w:rsid w:val="00C84EAD"/>
    <w:rsid w:val="00C84EB4"/>
    <w:rsid w:val="00C84EF0"/>
    <w:rsid w:val="00C84EF9"/>
    <w:rsid w:val="00C84F11"/>
    <w:rsid w:val="00C84F44"/>
    <w:rsid w:val="00C84F9A"/>
    <w:rsid w:val="00C84FEC"/>
    <w:rsid w:val="00C8501F"/>
    <w:rsid w:val="00C850C6"/>
    <w:rsid w:val="00C850DC"/>
    <w:rsid w:val="00C850DD"/>
    <w:rsid w:val="00C8513E"/>
    <w:rsid w:val="00C8514E"/>
    <w:rsid w:val="00C8516C"/>
    <w:rsid w:val="00C85195"/>
    <w:rsid w:val="00C851B5"/>
    <w:rsid w:val="00C851CC"/>
    <w:rsid w:val="00C851E5"/>
    <w:rsid w:val="00C851FF"/>
    <w:rsid w:val="00C8526F"/>
    <w:rsid w:val="00C852F9"/>
    <w:rsid w:val="00C85314"/>
    <w:rsid w:val="00C85366"/>
    <w:rsid w:val="00C85390"/>
    <w:rsid w:val="00C85392"/>
    <w:rsid w:val="00C853AB"/>
    <w:rsid w:val="00C853ED"/>
    <w:rsid w:val="00C853F7"/>
    <w:rsid w:val="00C8542F"/>
    <w:rsid w:val="00C85458"/>
    <w:rsid w:val="00C8545C"/>
    <w:rsid w:val="00C8546D"/>
    <w:rsid w:val="00C8547A"/>
    <w:rsid w:val="00C854D6"/>
    <w:rsid w:val="00C8555D"/>
    <w:rsid w:val="00C8558D"/>
    <w:rsid w:val="00C8558F"/>
    <w:rsid w:val="00C855C7"/>
    <w:rsid w:val="00C8562E"/>
    <w:rsid w:val="00C8566C"/>
    <w:rsid w:val="00C85749"/>
    <w:rsid w:val="00C85757"/>
    <w:rsid w:val="00C8576A"/>
    <w:rsid w:val="00C8589B"/>
    <w:rsid w:val="00C858A9"/>
    <w:rsid w:val="00C85928"/>
    <w:rsid w:val="00C8595F"/>
    <w:rsid w:val="00C859D4"/>
    <w:rsid w:val="00C85A1E"/>
    <w:rsid w:val="00C85AC3"/>
    <w:rsid w:val="00C85B1A"/>
    <w:rsid w:val="00C85BF1"/>
    <w:rsid w:val="00C85C97"/>
    <w:rsid w:val="00C85CC6"/>
    <w:rsid w:val="00C85E1E"/>
    <w:rsid w:val="00C85E2C"/>
    <w:rsid w:val="00C85EA2"/>
    <w:rsid w:val="00C85F09"/>
    <w:rsid w:val="00C85F35"/>
    <w:rsid w:val="00C85F52"/>
    <w:rsid w:val="00C85FDD"/>
    <w:rsid w:val="00C86023"/>
    <w:rsid w:val="00C86076"/>
    <w:rsid w:val="00C86078"/>
    <w:rsid w:val="00C860E0"/>
    <w:rsid w:val="00C8622C"/>
    <w:rsid w:val="00C8629B"/>
    <w:rsid w:val="00C862C3"/>
    <w:rsid w:val="00C862CD"/>
    <w:rsid w:val="00C862F7"/>
    <w:rsid w:val="00C86329"/>
    <w:rsid w:val="00C8632B"/>
    <w:rsid w:val="00C8637B"/>
    <w:rsid w:val="00C8637E"/>
    <w:rsid w:val="00C8639A"/>
    <w:rsid w:val="00C863BC"/>
    <w:rsid w:val="00C863D5"/>
    <w:rsid w:val="00C8643F"/>
    <w:rsid w:val="00C864B4"/>
    <w:rsid w:val="00C8652E"/>
    <w:rsid w:val="00C8659F"/>
    <w:rsid w:val="00C86636"/>
    <w:rsid w:val="00C8682A"/>
    <w:rsid w:val="00C868A5"/>
    <w:rsid w:val="00C868B0"/>
    <w:rsid w:val="00C868F0"/>
    <w:rsid w:val="00C86933"/>
    <w:rsid w:val="00C86950"/>
    <w:rsid w:val="00C8697E"/>
    <w:rsid w:val="00C869AB"/>
    <w:rsid w:val="00C869AC"/>
    <w:rsid w:val="00C869FC"/>
    <w:rsid w:val="00C86A4A"/>
    <w:rsid w:val="00C86AC9"/>
    <w:rsid w:val="00C86B3E"/>
    <w:rsid w:val="00C86BC1"/>
    <w:rsid w:val="00C86BE9"/>
    <w:rsid w:val="00C86C9A"/>
    <w:rsid w:val="00C86CC9"/>
    <w:rsid w:val="00C86CD7"/>
    <w:rsid w:val="00C86CE1"/>
    <w:rsid w:val="00C86CE6"/>
    <w:rsid w:val="00C86D27"/>
    <w:rsid w:val="00C86D5A"/>
    <w:rsid w:val="00C86F42"/>
    <w:rsid w:val="00C86F59"/>
    <w:rsid w:val="00C86F92"/>
    <w:rsid w:val="00C87057"/>
    <w:rsid w:val="00C870B1"/>
    <w:rsid w:val="00C870D1"/>
    <w:rsid w:val="00C87109"/>
    <w:rsid w:val="00C87121"/>
    <w:rsid w:val="00C8715A"/>
    <w:rsid w:val="00C87175"/>
    <w:rsid w:val="00C8718A"/>
    <w:rsid w:val="00C871A0"/>
    <w:rsid w:val="00C871EF"/>
    <w:rsid w:val="00C87202"/>
    <w:rsid w:val="00C87226"/>
    <w:rsid w:val="00C8723D"/>
    <w:rsid w:val="00C87290"/>
    <w:rsid w:val="00C872AA"/>
    <w:rsid w:val="00C8730E"/>
    <w:rsid w:val="00C87349"/>
    <w:rsid w:val="00C87395"/>
    <w:rsid w:val="00C873FE"/>
    <w:rsid w:val="00C87404"/>
    <w:rsid w:val="00C874CE"/>
    <w:rsid w:val="00C874E8"/>
    <w:rsid w:val="00C874F3"/>
    <w:rsid w:val="00C8750E"/>
    <w:rsid w:val="00C8753D"/>
    <w:rsid w:val="00C87545"/>
    <w:rsid w:val="00C87556"/>
    <w:rsid w:val="00C8755C"/>
    <w:rsid w:val="00C875F3"/>
    <w:rsid w:val="00C8760A"/>
    <w:rsid w:val="00C87652"/>
    <w:rsid w:val="00C876AB"/>
    <w:rsid w:val="00C876D2"/>
    <w:rsid w:val="00C87727"/>
    <w:rsid w:val="00C8775D"/>
    <w:rsid w:val="00C877EA"/>
    <w:rsid w:val="00C87873"/>
    <w:rsid w:val="00C87989"/>
    <w:rsid w:val="00C879CC"/>
    <w:rsid w:val="00C87A49"/>
    <w:rsid w:val="00C87AED"/>
    <w:rsid w:val="00C87B51"/>
    <w:rsid w:val="00C87B63"/>
    <w:rsid w:val="00C87BA7"/>
    <w:rsid w:val="00C87BC1"/>
    <w:rsid w:val="00C87C06"/>
    <w:rsid w:val="00C87C42"/>
    <w:rsid w:val="00C87C64"/>
    <w:rsid w:val="00C87CAE"/>
    <w:rsid w:val="00C87CB2"/>
    <w:rsid w:val="00C87D2C"/>
    <w:rsid w:val="00C87D75"/>
    <w:rsid w:val="00C87DA6"/>
    <w:rsid w:val="00C87ED5"/>
    <w:rsid w:val="00C87F3E"/>
    <w:rsid w:val="00C87F70"/>
    <w:rsid w:val="00C87FB7"/>
    <w:rsid w:val="00C87FCC"/>
    <w:rsid w:val="00C8BBB6"/>
    <w:rsid w:val="00C90039"/>
    <w:rsid w:val="00C900AC"/>
    <w:rsid w:val="00C900B5"/>
    <w:rsid w:val="00C900BB"/>
    <w:rsid w:val="00C900E9"/>
    <w:rsid w:val="00C90142"/>
    <w:rsid w:val="00C90177"/>
    <w:rsid w:val="00C9018B"/>
    <w:rsid w:val="00C90222"/>
    <w:rsid w:val="00C9029A"/>
    <w:rsid w:val="00C9029B"/>
    <w:rsid w:val="00C902F1"/>
    <w:rsid w:val="00C90315"/>
    <w:rsid w:val="00C9033B"/>
    <w:rsid w:val="00C9033D"/>
    <w:rsid w:val="00C90350"/>
    <w:rsid w:val="00C9039E"/>
    <w:rsid w:val="00C903C9"/>
    <w:rsid w:val="00C9047E"/>
    <w:rsid w:val="00C904F0"/>
    <w:rsid w:val="00C90517"/>
    <w:rsid w:val="00C9054B"/>
    <w:rsid w:val="00C9055D"/>
    <w:rsid w:val="00C905A9"/>
    <w:rsid w:val="00C90611"/>
    <w:rsid w:val="00C9062B"/>
    <w:rsid w:val="00C90684"/>
    <w:rsid w:val="00C90694"/>
    <w:rsid w:val="00C906D5"/>
    <w:rsid w:val="00C90772"/>
    <w:rsid w:val="00C907C4"/>
    <w:rsid w:val="00C907CD"/>
    <w:rsid w:val="00C9086F"/>
    <w:rsid w:val="00C90878"/>
    <w:rsid w:val="00C908BA"/>
    <w:rsid w:val="00C90946"/>
    <w:rsid w:val="00C90971"/>
    <w:rsid w:val="00C909ED"/>
    <w:rsid w:val="00C90A78"/>
    <w:rsid w:val="00C90AA8"/>
    <w:rsid w:val="00C90AD4"/>
    <w:rsid w:val="00C90B14"/>
    <w:rsid w:val="00C90BE4"/>
    <w:rsid w:val="00C90D4C"/>
    <w:rsid w:val="00C90D70"/>
    <w:rsid w:val="00C90DEC"/>
    <w:rsid w:val="00C90DF0"/>
    <w:rsid w:val="00C90E35"/>
    <w:rsid w:val="00C90E43"/>
    <w:rsid w:val="00C90F58"/>
    <w:rsid w:val="00C90FDB"/>
    <w:rsid w:val="00C90FE9"/>
    <w:rsid w:val="00C90FFD"/>
    <w:rsid w:val="00C91004"/>
    <w:rsid w:val="00C91010"/>
    <w:rsid w:val="00C9101D"/>
    <w:rsid w:val="00C910AC"/>
    <w:rsid w:val="00C9112E"/>
    <w:rsid w:val="00C9116F"/>
    <w:rsid w:val="00C91175"/>
    <w:rsid w:val="00C91181"/>
    <w:rsid w:val="00C9119F"/>
    <w:rsid w:val="00C911BE"/>
    <w:rsid w:val="00C911FD"/>
    <w:rsid w:val="00C91229"/>
    <w:rsid w:val="00C9123E"/>
    <w:rsid w:val="00C9130A"/>
    <w:rsid w:val="00C9136F"/>
    <w:rsid w:val="00C91390"/>
    <w:rsid w:val="00C91424"/>
    <w:rsid w:val="00C9143D"/>
    <w:rsid w:val="00C91449"/>
    <w:rsid w:val="00C91464"/>
    <w:rsid w:val="00C914BE"/>
    <w:rsid w:val="00C914DD"/>
    <w:rsid w:val="00C91542"/>
    <w:rsid w:val="00C9157F"/>
    <w:rsid w:val="00C9159E"/>
    <w:rsid w:val="00C915EA"/>
    <w:rsid w:val="00C91606"/>
    <w:rsid w:val="00C9162B"/>
    <w:rsid w:val="00C916F3"/>
    <w:rsid w:val="00C9174C"/>
    <w:rsid w:val="00C9175A"/>
    <w:rsid w:val="00C91805"/>
    <w:rsid w:val="00C91946"/>
    <w:rsid w:val="00C919A0"/>
    <w:rsid w:val="00C919A6"/>
    <w:rsid w:val="00C919D8"/>
    <w:rsid w:val="00C91A1C"/>
    <w:rsid w:val="00C91A3E"/>
    <w:rsid w:val="00C91A43"/>
    <w:rsid w:val="00C91A5E"/>
    <w:rsid w:val="00C91A90"/>
    <w:rsid w:val="00C91AA8"/>
    <w:rsid w:val="00C91ACB"/>
    <w:rsid w:val="00C91AD4"/>
    <w:rsid w:val="00C91B23"/>
    <w:rsid w:val="00C91B52"/>
    <w:rsid w:val="00C91B64"/>
    <w:rsid w:val="00C91BCF"/>
    <w:rsid w:val="00C91C14"/>
    <w:rsid w:val="00C91C4A"/>
    <w:rsid w:val="00C91C5D"/>
    <w:rsid w:val="00C91C7D"/>
    <w:rsid w:val="00C91C85"/>
    <w:rsid w:val="00C91CC7"/>
    <w:rsid w:val="00C91D43"/>
    <w:rsid w:val="00C91D4C"/>
    <w:rsid w:val="00C91D4D"/>
    <w:rsid w:val="00C91D95"/>
    <w:rsid w:val="00C91E8A"/>
    <w:rsid w:val="00C91EC6"/>
    <w:rsid w:val="00C91EEA"/>
    <w:rsid w:val="00C91F03"/>
    <w:rsid w:val="00C91F0E"/>
    <w:rsid w:val="00C91FA9"/>
    <w:rsid w:val="00C920CB"/>
    <w:rsid w:val="00C920CD"/>
    <w:rsid w:val="00C9210E"/>
    <w:rsid w:val="00C9214A"/>
    <w:rsid w:val="00C92155"/>
    <w:rsid w:val="00C92197"/>
    <w:rsid w:val="00C921DD"/>
    <w:rsid w:val="00C922AE"/>
    <w:rsid w:val="00C9238E"/>
    <w:rsid w:val="00C9241A"/>
    <w:rsid w:val="00C92436"/>
    <w:rsid w:val="00C9247C"/>
    <w:rsid w:val="00C924D6"/>
    <w:rsid w:val="00C9252C"/>
    <w:rsid w:val="00C92560"/>
    <w:rsid w:val="00C92565"/>
    <w:rsid w:val="00C9259C"/>
    <w:rsid w:val="00C925CE"/>
    <w:rsid w:val="00C925CF"/>
    <w:rsid w:val="00C92620"/>
    <w:rsid w:val="00C926A0"/>
    <w:rsid w:val="00C926FA"/>
    <w:rsid w:val="00C9272E"/>
    <w:rsid w:val="00C92747"/>
    <w:rsid w:val="00C9276D"/>
    <w:rsid w:val="00C92786"/>
    <w:rsid w:val="00C927A7"/>
    <w:rsid w:val="00C927B1"/>
    <w:rsid w:val="00C927E5"/>
    <w:rsid w:val="00C92804"/>
    <w:rsid w:val="00C9280D"/>
    <w:rsid w:val="00C9281B"/>
    <w:rsid w:val="00C92850"/>
    <w:rsid w:val="00C92894"/>
    <w:rsid w:val="00C928C8"/>
    <w:rsid w:val="00C92969"/>
    <w:rsid w:val="00C929BA"/>
    <w:rsid w:val="00C929E1"/>
    <w:rsid w:val="00C929E9"/>
    <w:rsid w:val="00C929EE"/>
    <w:rsid w:val="00C92A28"/>
    <w:rsid w:val="00C92A92"/>
    <w:rsid w:val="00C92B5F"/>
    <w:rsid w:val="00C92BF0"/>
    <w:rsid w:val="00C92C27"/>
    <w:rsid w:val="00C92C33"/>
    <w:rsid w:val="00C92C6B"/>
    <w:rsid w:val="00C92C89"/>
    <w:rsid w:val="00C92C8B"/>
    <w:rsid w:val="00C92CFC"/>
    <w:rsid w:val="00C92D2D"/>
    <w:rsid w:val="00C92D3C"/>
    <w:rsid w:val="00C92D64"/>
    <w:rsid w:val="00C92D91"/>
    <w:rsid w:val="00C92E1E"/>
    <w:rsid w:val="00C92E30"/>
    <w:rsid w:val="00C92E61"/>
    <w:rsid w:val="00C92EAF"/>
    <w:rsid w:val="00C92F1C"/>
    <w:rsid w:val="00C92F3B"/>
    <w:rsid w:val="00C92F4B"/>
    <w:rsid w:val="00C92F7E"/>
    <w:rsid w:val="00C92F9F"/>
    <w:rsid w:val="00C92FBA"/>
    <w:rsid w:val="00C92FF1"/>
    <w:rsid w:val="00C92FF5"/>
    <w:rsid w:val="00C93005"/>
    <w:rsid w:val="00C930A7"/>
    <w:rsid w:val="00C930C0"/>
    <w:rsid w:val="00C930C1"/>
    <w:rsid w:val="00C930DD"/>
    <w:rsid w:val="00C931C6"/>
    <w:rsid w:val="00C931FB"/>
    <w:rsid w:val="00C93217"/>
    <w:rsid w:val="00C93256"/>
    <w:rsid w:val="00C9328C"/>
    <w:rsid w:val="00C93290"/>
    <w:rsid w:val="00C932C7"/>
    <w:rsid w:val="00C932F5"/>
    <w:rsid w:val="00C932FF"/>
    <w:rsid w:val="00C9334D"/>
    <w:rsid w:val="00C93364"/>
    <w:rsid w:val="00C9336A"/>
    <w:rsid w:val="00C9336F"/>
    <w:rsid w:val="00C933AD"/>
    <w:rsid w:val="00C93435"/>
    <w:rsid w:val="00C9346C"/>
    <w:rsid w:val="00C9349C"/>
    <w:rsid w:val="00C934CD"/>
    <w:rsid w:val="00C934DF"/>
    <w:rsid w:val="00C934F6"/>
    <w:rsid w:val="00C93602"/>
    <w:rsid w:val="00C93618"/>
    <w:rsid w:val="00C93639"/>
    <w:rsid w:val="00C9363A"/>
    <w:rsid w:val="00C9363D"/>
    <w:rsid w:val="00C93658"/>
    <w:rsid w:val="00C936B7"/>
    <w:rsid w:val="00C936CB"/>
    <w:rsid w:val="00C936D1"/>
    <w:rsid w:val="00C936FE"/>
    <w:rsid w:val="00C93714"/>
    <w:rsid w:val="00C93729"/>
    <w:rsid w:val="00C93898"/>
    <w:rsid w:val="00C938A6"/>
    <w:rsid w:val="00C938C1"/>
    <w:rsid w:val="00C9391F"/>
    <w:rsid w:val="00C93921"/>
    <w:rsid w:val="00C9395B"/>
    <w:rsid w:val="00C9398D"/>
    <w:rsid w:val="00C93A37"/>
    <w:rsid w:val="00C93A60"/>
    <w:rsid w:val="00C93A67"/>
    <w:rsid w:val="00C93ABD"/>
    <w:rsid w:val="00C93AE0"/>
    <w:rsid w:val="00C93B1B"/>
    <w:rsid w:val="00C93B2C"/>
    <w:rsid w:val="00C93B34"/>
    <w:rsid w:val="00C93BB5"/>
    <w:rsid w:val="00C93C01"/>
    <w:rsid w:val="00C93C1E"/>
    <w:rsid w:val="00C93C2F"/>
    <w:rsid w:val="00C93C3F"/>
    <w:rsid w:val="00C93C47"/>
    <w:rsid w:val="00C93D55"/>
    <w:rsid w:val="00C93D72"/>
    <w:rsid w:val="00C93DF3"/>
    <w:rsid w:val="00C93E81"/>
    <w:rsid w:val="00C93E85"/>
    <w:rsid w:val="00C93EAD"/>
    <w:rsid w:val="00C93EDF"/>
    <w:rsid w:val="00C93EF7"/>
    <w:rsid w:val="00C93F70"/>
    <w:rsid w:val="00C93FB5"/>
    <w:rsid w:val="00C93FD9"/>
    <w:rsid w:val="00C93FE2"/>
    <w:rsid w:val="00C94001"/>
    <w:rsid w:val="00C9404A"/>
    <w:rsid w:val="00C94140"/>
    <w:rsid w:val="00C94166"/>
    <w:rsid w:val="00C94175"/>
    <w:rsid w:val="00C94182"/>
    <w:rsid w:val="00C9418F"/>
    <w:rsid w:val="00C94195"/>
    <w:rsid w:val="00C941F3"/>
    <w:rsid w:val="00C94236"/>
    <w:rsid w:val="00C94262"/>
    <w:rsid w:val="00C94265"/>
    <w:rsid w:val="00C9429B"/>
    <w:rsid w:val="00C942A7"/>
    <w:rsid w:val="00C942D3"/>
    <w:rsid w:val="00C94324"/>
    <w:rsid w:val="00C9437C"/>
    <w:rsid w:val="00C943B2"/>
    <w:rsid w:val="00C943F2"/>
    <w:rsid w:val="00C94414"/>
    <w:rsid w:val="00C94433"/>
    <w:rsid w:val="00C94450"/>
    <w:rsid w:val="00C94465"/>
    <w:rsid w:val="00C944A4"/>
    <w:rsid w:val="00C94505"/>
    <w:rsid w:val="00C94553"/>
    <w:rsid w:val="00C94579"/>
    <w:rsid w:val="00C9457D"/>
    <w:rsid w:val="00C945F8"/>
    <w:rsid w:val="00C9460F"/>
    <w:rsid w:val="00C946B6"/>
    <w:rsid w:val="00C94719"/>
    <w:rsid w:val="00C94755"/>
    <w:rsid w:val="00C94798"/>
    <w:rsid w:val="00C947D0"/>
    <w:rsid w:val="00C947D1"/>
    <w:rsid w:val="00C947D5"/>
    <w:rsid w:val="00C947E0"/>
    <w:rsid w:val="00C947EE"/>
    <w:rsid w:val="00C9488C"/>
    <w:rsid w:val="00C94894"/>
    <w:rsid w:val="00C9491C"/>
    <w:rsid w:val="00C9495F"/>
    <w:rsid w:val="00C949BE"/>
    <w:rsid w:val="00C94A09"/>
    <w:rsid w:val="00C94A51"/>
    <w:rsid w:val="00C94A78"/>
    <w:rsid w:val="00C94A99"/>
    <w:rsid w:val="00C94AA9"/>
    <w:rsid w:val="00C94B85"/>
    <w:rsid w:val="00C94B8C"/>
    <w:rsid w:val="00C94C14"/>
    <w:rsid w:val="00C94C4B"/>
    <w:rsid w:val="00C94C4C"/>
    <w:rsid w:val="00C94C91"/>
    <w:rsid w:val="00C94C97"/>
    <w:rsid w:val="00C94CC5"/>
    <w:rsid w:val="00C94D33"/>
    <w:rsid w:val="00C94D36"/>
    <w:rsid w:val="00C94DD9"/>
    <w:rsid w:val="00C94DEC"/>
    <w:rsid w:val="00C94E13"/>
    <w:rsid w:val="00C94E48"/>
    <w:rsid w:val="00C94E49"/>
    <w:rsid w:val="00C94EEA"/>
    <w:rsid w:val="00C94F17"/>
    <w:rsid w:val="00C94F77"/>
    <w:rsid w:val="00C94F97"/>
    <w:rsid w:val="00C94FFC"/>
    <w:rsid w:val="00C9503D"/>
    <w:rsid w:val="00C95068"/>
    <w:rsid w:val="00C950DC"/>
    <w:rsid w:val="00C950F5"/>
    <w:rsid w:val="00C95166"/>
    <w:rsid w:val="00C95191"/>
    <w:rsid w:val="00C951A3"/>
    <w:rsid w:val="00C9526E"/>
    <w:rsid w:val="00C95273"/>
    <w:rsid w:val="00C95274"/>
    <w:rsid w:val="00C95280"/>
    <w:rsid w:val="00C9528E"/>
    <w:rsid w:val="00C95301"/>
    <w:rsid w:val="00C95309"/>
    <w:rsid w:val="00C9533B"/>
    <w:rsid w:val="00C953A2"/>
    <w:rsid w:val="00C9541F"/>
    <w:rsid w:val="00C95430"/>
    <w:rsid w:val="00C9549A"/>
    <w:rsid w:val="00C954A3"/>
    <w:rsid w:val="00C954A6"/>
    <w:rsid w:val="00C9550D"/>
    <w:rsid w:val="00C95592"/>
    <w:rsid w:val="00C95596"/>
    <w:rsid w:val="00C95614"/>
    <w:rsid w:val="00C95635"/>
    <w:rsid w:val="00C9568C"/>
    <w:rsid w:val="00C956D0"/>
    <w:rsid w:val="00C956DA"/>
    <w:rsid w:val="00C956E6"/>
    <w:rsid w:val="00C9572A"/>
    <w:rsid w:val="00C95732"/>
    <w:rsid w:val="00C95756"/>
    <w:rsid w:val="00C957E5"/>
    <w:rsid w:val="00C957FF"/>
    <w:rsid w:val="00C95806"/>
    <w:rsid w:val="00C95857"/>
    <w:rsid w:val="00C95918"/>
    <w:rsid w:val="00C959EC"/>
    <w:rsid w:val="00C95A03"/>
    <w:rsid w:val="00C95A0F"/>
    <w:rsid w:val="00C95A47"/>
    <w:rsid w:val="00C95A7B"/>
    <w:rsid w:val="00C95B48"/>
    <w:rsid w:val="00C95B7D"/>
    <w:rsid w:val="00C95B9F"/>
    <w:rsid w:val="00C95BB6"/>
    <w:rsid w:val="00C95C21"/>
    <w:rsid w:val="00C95C41"/>
    <w:rsid w:val="00C95C49"/>
    <w:rsid w:val="00C95CFC"/>
    <w:rsid w:val="00C95D48"/>
    <w:rsid w:val="00C95E2C"/>
    <w:rsid w:val="00C95E98"/>
    <w:rsid w:val="00C95EAB"/>
    <w:rsid w:val="00C95ED5"/>
    <w:rsid w:val="00C95F3A"/>
    <w:rsid w:val="00C95F3E"/>
    <w:rsid w:val="00C95F57"/>
    <w:rsid w:val="00C960CA"/>
    <w:rsid w:val="00C960DF"/>
    <w:rsid w:val="00C96141"/>
    <w:rsid w:val="00C96156"/>
    <w:rsid w:val="00C9615B"/>
    <w:rsid w:val="00C961AD"/>
    <w:rsid w:val="00C96206"/>
    <w:rsid w:val="00C96276"/>
    <w:rsid w:val="00C9627E"/>
    <w:rsid w:val="00C962C8"/>
    <w:rsid w:val="00C962E9"/>
    <w:rsid w:val="00C96301"/>
    <w:rsid w:val="00C96317"/>
    <w:rsid w:val="00C9634B"/>
    <w:rsid w:val="00C96368"/>
    <w:rsid w:val="00C96369"/>
    <w:rsid w:val="00C9639B"/>
    <w:rsid w:val="00C963D7"/>
    <w:rsid w:val="00C96418"/>
    <w:rsid w:val="00C9645C"/>
    <w:rsid w:val="00C96491"/>
    <w:rsid w:val="00C964A7"/>
    <w:rsid w:val="00C964E0"/>
    <w:rsid w:val="00C964F9"/>
    <w:rsid w:val="00C96536"/>
    <w:rsid w:val="00C96549"/>
    <w:rsid w:val="00C9654A"/>
    <w:rsid w:val="00C96574"/>
    <w:rsid w:val="00C9659F"/>
    <w:rsid w:val="00C965AF"/>
    <w:rsid w:val="00C96610"/>
    <w:rsid w:val="00C966DD"/>
    <w:rsid w:val="00C96769"/>
    <w:rsid w:val="00C96782"/>
    <w:rsid w:val="00C967E1"/>
    <w:rsid w:val="00C96800"/>
    <w:rsid w:val="00C96821"/>
    <w:rsid w:val="00C96822"/>
    <w:rsid w:val="00C96840"/>
    <w:rsid w:val="00C9685E"/>
    <w:rsid w:val="00C96881"/>
    <w:rsid w:val="00C96882"/>
    <w:rsid w:val="00C968F6"/>
    <w:rsid w:val="00C9690C"/>
    <w:rsid w:val="00C9698E"/>
    <w:rsid w:val="00C96A34"/>
    <w:rsid w:val="00C96A64"/>
    <w:rsid w:val="00C96A69"/>
    <w:rsid w:val="00C96B68"/>
    <w:rsid w:val="00C96B6E"/>
    <w:rsid w:val="00C96BC3"/>
    <w:rsid w:val="00C96BEA"/>
    <w:rsid w:val="00C96BF8"/>
    <w:rsid w:val="00C96C38"/>
    <w:rsid w:val="00C96D18"/>
    <w:rsid w:val="00C96D79"/>
    <w:rsid w:val="00C96D8B"/>
    <w:rsid w:val="00C96DA0"/>
    <w:rsid w:val="00C96DC2"/>
    <w:rsid w:val="00C96DED"/>
    <w:rsid w:val="00C96E3B"/>
    <w:rsid w:val="00C96E3D"/>
    <w:rsid w:val="00C96E6E"/>
    <w:rsid w:val="00C96EAE"/>
    <w:rsid w:val="00C96EBB"/>
    <w:rsid w:val="00C96F22"/>
    <w:rsid w:val="00C96F50"/>
    <w:rsid w:val="00C96F6F"/>
    <w:rsid w:val="00C96F8C"/>
    <w:rsid w:val="00C96F90"/>
    <w:rsid w:val="00C96FAE"/>
    <w:rsid w:val="00C96FBA"/>
    <w:rsid w:val="00C96FC2"/>
    <w:rsid w:val="00C96FF4"/>
    <w:rsid w:val="00C97007"/>
    <w:rsid w:val="00C97040"/>
    <w:rsid w:val="00C970C9"/>
    <w:rsid w:val="00C970F2"/>
    <w:rsid w:val="00C9718A"/>
    <w:rsid w:val="00C9718F"/>
    <w:rsid w:val="00C97191"/>
    <w:rsid w:val="00C97198"/>
    <w:rsid w:val="00C971CF"/>
    <w:rsid w:val="00C9720E"/>
    <w:rsid w:val="00C97212"/>
    <w:rsid w:val="00C97265"/>
    <w:rsid w:val="00C97287"/>
    <w:rsid w:val="00C972ED"/>
    <w:rsid w:val="00C972EF"/>
    <w:rsid w:val="00C9730B"/>
    <w:rsid w:val="00C9736F"/>
    <w:rsid w:val="00C97374"/>
    <w:rsid w:val="00C9737D"/>
    <w:rsid w:val="00C973A3"/>
    <w:rsid w:val="00C973E4"/>
    <w:rsid w:val="00C9741B"/>
    <w:rsid w:val="00C97468"/>
    <w:rsid w:val="00C974A8"/>
    <w:rsid w:val="00C974FD"/>
    <w:rsid w:val="00C975D2"/>
    <w:rsid w:val="00C97631"/>
    <w:rsid w:val="00C9764D"/>
    <w:rsid w:val="00C9773B"/>
    <w:rsid w:val="00C97746"/>
    <w:rsid w:val="00C97782"/>
    <w:rsid w:val="00C97785"/>
    <w:rsid w:val="00C977FB"/>
    <w:rsid w:val="00C9780E"/>
    <w:rsid w:val="00C97847"/>
    <w:rsid w:val="00C97858"/>
    <w:rsid w:val="00C97891"/>
    <w:rsid w:val="00C978C2"/>
    <w:rsid w:val="00C97908"/>
    <w:rsid w:val="00C97968"/>
    <w:rsid w:val="00C979AF"/>
    <w:rsid w:val="00C979BD"/>
    <w:rsid w:val="00C979CC"/>
    <w:rsid w:val="00C97A28"/>
    <w:rsid w:val="00C97AB4"/>
    <w:rsid w:val="00C97ABD"/>
    <w:rsid w:val="00C97ACB"/>
    <w:rsid w:val="00C97B3A"/>
    <w:rsid w:val="00C97B4E"/>
    <w:rsid w:val="00C97C56"/>
    <w:rsid w:val="00C97D88"/>
    <w:rsid w:val="00C97D95"/>
    <w:rsid w:val="00C97E04"/>
    <w:rsid w:val="00C97E14"/>
    <w:rsid w:val="00C97E67"/>
    <w:rsid w:val="00C97EA7"/>
    <w:rsid w:val="00C97F5F"/>
    <w:rsid w:val="00C97FD9"/>
    <w:rsid w:val="00C97FF4"/>
    <w:rsid w:val="00CA000D"/>
    <w:rsid w:val="00CA001C"/>
    <w:rsid w:val="00CA003D"/>
    <w:rsid w:val="00CA0053"/>
    <w:rsid w:val="00CA0072"/>
    <w:rsid w:val="00CA00B4"/>
    <w:rsid w:val="00CA00BB"/>
    <w:rsid w:val="00CA0116"/>
    <w:rsid w:val="00CA014A"/>
    <w:rsid w:val="00CA01D2"/>
    <w:rsid w:val="00CA0217"/>
    <w:rsid w:val="00CA0235"/>
    <w:rsid w:val="00CA02A8"/>
    <w:rsid w:val="00CA02CB"/>
    <w:rsid w:val="00CA02D0"/>
    <w:rsid w:val="00CA02D5"/>
    <w:rsid w:val="00CA02E8"/>
    <w:rsid w:val="00CA02F9"/>
    <w:rsid w:val="00CA032C"/>
    <w:rsid w:val="00CA036C"/>
    <w:rsid w:val="00CA036D"/>
    <w:rsid w:val="00CA03B0"/>
    <w:rsid w:val="00CA03DD"/>
    <w:rsid w:val="00CA0418"/>
    <w:rsid w:val="00CA04E4"/>
    <w:rsid w:val="00CA051C"/>
    <w:rsid w:val="00CA0534"/>
    <w:rsid w:val="00CA054A"/>
    <w:rsid w:val="00CA058D"/>
    <w:rsid w:val="00CA05AE"/>
    <w:rsid w:val="00CA05CC"/>
    <w:rsid w:val="00CA0604"/>
    <w:rsid w:val="00CA0608"/>
    <w:rsid w:val="00CA0631"/>
    <w:rsid w:val="00CA0672"/>
    <w:rsid w:val="00CA06F8"/>
    <w:rsid w:val="00CA07B5"/>
    <w:rsid w:val="00CA080E"/>
    <w:rsid w:val="00CA08B3"/>
    <w:rsid w:val="00CA08D4"/>
    <w:rsid w:val="00CA090B"/>
    <w:rsid w:val="00CA0920"/>
    <w:rsid w:val="00CA092B"/>
    <w:rsid w:val="00CA093F"/>
    <w:rsid w:val="00CA095D"/>
    <w:rsid w:val="00CA0A0C"/>
    <w:rsid w:val="00CA0A12"/>
    <w:rsid w:val="00CA0A83"/>
    <w:rsid w:val="00CA0A87"/>
    <w:rsid w:val="00CA0AB8"/>
    <w:rsid w:val="00CA0AD5"/>
    <w:rsid w:val="00CA0B04"/>
    <w:rsid w:val="00CA0B50"/>
    <w:rsid w:val="00CA0BC6"/>
    <w:rsid w:val="00CA0BD4"/>
    <w:rsid w:val="00CA0C42"/>
    <w:rsid w:val="00CA0C5E"/>
    <w:rsid w:val="00CA0C7B"/>
    <w:rsid w:val="00CA0C7D"/>
    <w:rsid w:val="00CA0CB8"/>
    <w:rsid w:val="00CA0CC2"/>
    <w:rsid w:val="00CA0CFA"/>
    <w:rsid w:val="00CA0D0F"/>
    <w:rsid w:val="00CA0D2A"/>
    <w:rsid w:val="00CA0D4D"/>
    <w:rsid w:val="00CA0D4E"/>
    <w:rsid w:val="00CA0DCE"/>
    <w:rsid w:val="00CA0DD3"/>
    <w:rsid w:val="00CA0DDE"/>
    <w:rsid w:val="00CA0E10"/>
    <w:rsid w:val="00CA0E7E"/>
    <w:rsid w:val="00CA0EAA"/>
    <w:rsid w:val="00CA0EFF"/>
    <w:rsid w:val="00CA0F9C"/>
    <w:rsid w:val="00CA0FA6"/>
    <w:rsid w:val="00CA0FB3"/>
    <w:rsid w:val="00CA0FF7"/>
    <w:rsid w:val="00CA102C"/>
    <w:rsid w:val="00CA104C"/>
    <w:rsid w:val="00CA1081"/>
    <w:rsid w:val="00CA10A3"/>
    <w:rsid w:val="00CA10AE"/>
    <w:rsid w:val="00CA10B5"/>
    <w:rsid w:val="00CA1193"/>
    <w:rsid w:val="00CA1202"/>
    <w:rsid w:val="00CA1261"/>
    <w:rsid w:val="00CA1276"/>
    <w:rsid w:val="00CA1292"/>
    <w:rsid w:val="00CA12BC"/>
    <w:rsid w:val="00CA12CA"/>
    <w:rsid w:val="00CA1317"/>
    <w:rsid w:val="00CA1325"/>
    <w:rsid w:val="00CA13AA"/>
    <w:rsid w:val="00CA13B2"/>
    <w:rsid w:val="00CA13BB"/>
    <w:rsid w:val="00CA13EE"/>
    <w:rsid w:val="00CA1417"/>
    <w:rsid w:val="00CA14BD"/>
    <w:rsid w:val="00CA1568"/>
    <w:rsid w:val="00CA157F"/>
    <w:rsid w:val="00CA158B"/>
    <w:rsid w:val="00CA1603"/>
    <w:rsid w:val="00CA16C1"/>
    <w:rsid w:val="00CA16FB"/>
    <w:rsid w:val="00CA17F7"/>
    <w:rsid w:val="00CA1817"/>
    <w:rsid w:val="00CA184B"/>
    <w:rsid w:val="00CA18DC"/>
    <w:rsid w:val="00CA18EB"/>
    <w:rsid w:val="00CA18FD"/>
    <w:rsid w:val="00CA194B"/>
    <w:rsid w:val="00CA1958"/>
    <w:rsid w:val="00CA197F"/>
    <w:rsid w:val="00CA1980"/>
    <w:rsid w:val="00CA19F9"/>
    <w:rsid w:val="00CA1A0D"/>
    <w:rsid w:val="00CA1AD6"/>
    <w:rsid w:val="00CA1B6B"/>
    <w:rsid w:val="00CA1B87"/>
    <w:rsid w:val="00CA1BD0"/>
    <w:rsid w:val="00CA1C4B"/>
    <w:rsid w:val="00CA1CBD"/>
    <w:rsid w:val="00CA1D2B"/>
    <w:rsid w:val="00CA1D39"/>
    <w:rsid w:val="00CA1E01"/>
    <w:rsid w:val="00CA1E2D"/>
    <w:rsid w:val="00CA1F01"/>
    <w:rsid w:val="00CA1F7C"/>
    <w:rsid w:val="00CA2027"/>
    <w:rsid w:val="00CA205A"/>
    <w:rsid w:val="00CA207B"/>
    <w:rsid w:val="00CA20C7"/>
    <w:rsid w:val="00CA2121"/>
    <w:rsid w:val="00CA2143"/>
    <w:rsid w:val="00CA2273"/>
    <w:rsid w:val="00CA237D"/>
    <w:rsid w:val="00CA2399"/>
    <w:rsid w:val="00CA23B9"/>
    <w:rsid w:val="00CA241B"/>
    <w:rsid w:val="00CA249E"/>
    <w:rsid w:val="00CA24E2"/>
    <w:rsid w:val="00CA2543"/>
    <w:rsid w:val="00CA25BE"/>
    <w:rsid w:val="00CA25E3"/>
    <w:rsid w:val="00CA2668"/>
    <w:rsid w:val="00CA2766"/>
    <w:rsid w:val="00CA27BA"/>
    <w:rsid w:val="00CA280D"/>
    <w:rsid w:val="00CA2836"/>
    <w:rsid w:val="00CA289E"/>
    <w:rsid w:val="00CA28BA"/>
    <w:rsid w:val="00CA28D5"/>
    <w:rsid w:val="00CA29BC"/>
    <w:rsid w:val="00CA29F1"/>
    <w:rsid w:val="00CA2A40"/>
    <w:rsid w:val="00CA2A69"/>
    <w:rsid w:val="00CA2AA2"/>
    <w:rsid w:val="00CA2ABE"/>
    <w:rsid w:val="00CA2B05"/>
    <w:rsid w:val="00CA2B17"/>
    <w:rsid w:val="00CA2B42"/>
    <w:rsid w:val="00CA2BCA"/>
    <w:rsid w:val="00CA2BEA"/>
    <w:rsid w:val="00CA2BEC"/>
    <w:rsid w:val="00CA2C48"/>
    <w:rsid w:val="00CA2C71"/>
    <w:rsid w:val="00CA2CD1"/>
    <w:rsid w:val="00CA2CD8"/>
    <w:rsid w:val="00CA2CF9"/>
    <w:rsid w:val="00CA2D73"/>
    <w:rsid w:val="00CA2E96"/>
    <w:rsid w:val="00CA2EE5"/>
    <w:rsid w:val="00CA2FC5"/>
    <w:rsid w:val="00CA3010"/>
    <w:rsid w:val="00CA3038"/>
    <w:rsid w:val="00CA3129"/>
    <w:rsid w:val="00CA3138"/>
    <w:rsid w:val="00CA3153"/>
    <w:rsid w:val="00CA319A"/>
    <w:rsid w:val="00CA31DC"/>
    <w:rsid w:val="00CA3370"/>
    <w:rsid w:val="00CA3377"/>
    <w:rsid w:val="00CA3391"/>
    <w:rsid w:val="00CA3427"/>
    <w:rsid w:val="00CA3430"/>
    <w:rsid w:val="00CA34B9"/>
    <w:rsid w:val="00CA34CA"/>
    <w:rsid w:val="00CA34D1"/>
    <w:rsid w:val="00CA3507"/>
    <w:rsid w:val="00CA3519"/>
    <w:rsid w:val="00CA3522"/>
    <w:rsid w:val="00CA354B"/>
    <w:rsid w:val="00CA3588"/>
    <w:rsid w:val="00CA35B9"/>
    <w:rsid w:val="00CA35BF"/>
    <w:rsid w:val="00CA35E6"/>
    <w:rsid w:val="00CA3600"/>
    <w:rsid w:val="00CA3602"/>
    <w:rsid w:val="00CA3613"/>
    <w:rsid w:val="00CA36E5"/>
    <w:rsid w:val="00CA371A"/>
    <w:rsid w:val="00CA3731"/>
    <w:rsid w:val="00CA37C6"/>
    <w:rsid w:val="00CA37E8"/>
    <w:rsid w:val="00CA3A2D"/>
    <w:rsid w:val="00CA3A33"/>
    <w:rsid w:val="00CA3A36"/>
    <w:rsid w:val="00CA3A3A"/>
    <w:rsid w:val="00CA3AA8"/>
    <w:rsid w:val="00CA3AC1"/>
    <w:rsid w:val="00CA3B26"/>
    <w:rsid w:val="00CA3B34"/>
    <w:rsid w:val="00CA3B7A"/>
    <w:rsid w:val="00CA3BA1"/>
    <w:rsid w:val="00CA3BE4"/>
    <w:rsid w:val="00CA3C13"/>
    <w:rsid w:val="00CA3C58"/>
    <w:rsid w:val="00CA3C76"/>
    <w:rsid w:val="00CA3CCE"/>
    <w:rsid w:val="00CA3D24"/>
    <w:rsid w:val="00CA3D79"/>
    <w:rsid w:val="00CA3DA4"/>
    <w:rsid w:val="00CA3DD0"/>
    <w:rsid w:val="00CA3DEF"/>
    <w:rsid w:val="00CA3E5B"/>
    <w:rsid w:val="00CA3E8D"/>
    <w:rsid w:val="00CA3EE5"/>
    <w:rsid w:val="00CA3EFC"/>
    <w:rsid w:val="00CA3F35"/>
    <w:rsid w:val="00CA3F80"/>
    <w:rsid w:val="00CA3FC6"/>
    <w:rsid w:val="00CA401B"/>
    <w:rsid w:val="00CA407F"/>
    <w:rsid w:val="00CA40A7"/>
    <w:rsid w:val="00CA40C2"/>
    <w:rsid w:val="00CA4114"/>
    <w:rsid w:val="00CA4142"/>
    <w:rsid w:val="00CA414B"/>
    <w:rsid w:val="00CA4211"/>
    <w:rsid w:val="00CA423C"/>
    <w:rsid w:val="00CA4244"/>
    <w:rsid w:val="00CA427C"/>
    <w:rsid w:val="00CA42D5"/>
    <w:rsid w:val="00CA42D8"/>
    <w:rsid w:val="00CA434F"/>
    <w:rsid w:val="00CA4423"/>
    <w:rsid w:val="00CA44D6"/>
    <w:rsid w:val="00CA4553"/>
    <w:rsid w:val="00CA4578"/>
    <w:rsid w:val="00CA45BE"/>
    <w:rsid w:val="00CA465E"/>
    <w:rsid w:val="00CA46E5"/>
    <w:rsid w:val="00CA4790"/>
    <w:rsid w:val="00CA47A0"/>
    <w:rsid w:val="00CA47F8"/>
    <w:rsid w:val="00CA4807"/>
    <w:rsid w:val="00CA4847"/>
    <w:rsid w:val="00CA4870"/>
    <w:rsid w:val="00CA4950"/>
    <w:rsid w:val="00CA498E"/>
    <w:rsid w:val="00CA49A7"/>
    <w:rsid w:val="00CA49AB"/>
    <w:rsid w:val="00CA49D0"/>
    <w:rsid w:val="00CA49DC"/>
    <w:rsid w:val="00CA4A02"/>
    <w:rsid w:val="00CA4A3D"/>
    <w:rsid w:val="00CA4A74"/>
    <w:rsid w:val="00CA4A7B"/>
    <w:rsid w:val="00CA4AB0"/>
    <w:rsid w:val="00CA4B10"/>
    <w:rsid w:val="00CA4B4F"/>
    <w:rsid w:val="00CA4B5C"/>
    <w:rsid w:val="00CA4BC0"/>
    <w:rsid w:val="00CA4CE3"/>
    <w:rsid w:val="00CA4D0C"/>
    <w:rsid w:val="00CA4D32"/>
    <w:rsid w:val="00CA4D59"/>
    <w:rsid w:val="00CA4E22"/>
    <w:rsid w:val="00CA4E3C"/>
    <w:rsid w:val="00CA4E8D"/>
    <w:rsid w:val="00CA4EEA"/>
    <w:rsid w:val="00CA4F13"/>
    <w:rsid w:val="00CA4F7D"/>
    <w:rsid w:val="00CA4FE0"/>
    <w:rsid w:val="00CA4FED"/>
    <w:rsid w:val="00CA502E"/>
    <w:rsid w:val="00CA50E9"/>
    <w:rsid w:val="00CA50FB"/>
    <w:rsid w:val="00CA5152"/>
    <w:rsid w:val="00CA5163"/>
    <w:rsid w:val="00CA51A4"/>
    <w:rsid w:val="00CA5244"/>
    <w:rsid w:val="00CA52B2"/>
    <w:rsid w:val="00CA52C6"/>
    <w:rsid w:val="00CA52D5"/>
    <w:rsid w:val="00CA5329"/>
    <w:rsid w:val="00CA535F"/>
    <w:rsid w:val="00CA543C"/>
    <w:rsid w:val="00CA5461"/>
    <w:rsid w:val="00CA547E"/>
    <w:rsid w:val="00CA5570"/>
    <w:rsid w:val="00CA566C"/>
    <w:rsid w:val="00CA56C0"/>
    <w:rsid w:val="00CA56EA"/>
    <w:rsid w:val="00CA581F"/>
    <w:rsid w:val="00CA5837"/>
    <w:rsid w:val="00CA5946"/>
    <w:rsid w:val="00CA5988"/>
    <w:rsid w:val="00CA59A3"/>
    <w:rsid w:val="00CA59C1"/>
    <w:rsid w:val="00CA59FF"/>
    <w:rsid w:val="00CA5AB3"/>
    <w:rsid w:val="00CA5AC2"/>
    <w:rsid w:val="00CA5AFF"/>
    <w:rsid w:val="00CA5B22"/>
    <w:rsid w:val="00CA5B64"/>
    <w:rsid w:val="00CA5B6C"/>
    <w:rsid w:val="00CA5B83"/>
    <w:rsid w:val="00CA5BC9"/>
    <w:rsid w:val="00CA5BEB"/>
    <w:rsid w:val="00CA5C35"/>
    <w:rsid w:val="00CA5C53"/>
    <w:rsid w:val="00CA5C79"/>
    <w:rsid w:val="00CA5C88"/>
    <w:rsid w:val="00CA5CA8"/>
    <w:rsid w:val="00CA5CBC"/>
    <w:rsid w:val="00CA5D0B"/>
    <w:rsid w:val="00CA5D38"/>
    <w:rsid w:val="00CA5D5B"/>
    <w:rsid w:val="00CA5E66"/>
    <w:rsid w:val="00CA5EAD"/>
    <w:rsid w:val="00CA5EB9"/>
    <w:rsid w:val="00CA5EDE"/>
    <w:rsid w:val="00CA5F89"/>
    <w:rsid w:val="00CA612D"/>
    <w:rsid w:val="00CA619E"/>
    <w:rsid w:val="00CA61F3"/>
    <w:rsid w:val="00CA6220"/>
    <w:rsid w:val="00CA62AF"/>
    <w:rsid w:val="00CA6382"/>
    <w:rsid w:val="00CA63BD"/>
    <w:rsid w:val="00CA63F3"/>
    <w:rsid w:val="00CA6415"/>
    <w:rsid w:val="00CA6435"/>
    <w:rsid w:val="00CA6521"/>
    <w:rsid w:val="00CA6529"/>
    <w:rsid w:val="00CA652C"/>
    <w:rsid w:val="00CA652D"/>
    <w:rsid w:val="00CA654D"/>
    <w:rsid w:val="00CA6665"/>
    <w:rsid w:val="00CA668E"/>
    <w:rsid w:val="00CA669E"/>
    <w:rsid w:val="00CA6769"/>
    <w:rsid w:val="00CA6796"/>
    <w:rsid w:val="00CA679C"/>
    <w:rsid w:val="00CA6811"/>
    <w:rsid w:val="00CA687C"/>
    <w:rsid w:val="00CA6891"/>
    <w:rsid w:val="00CA6904"/>
    <w:rsid w:val="00CA692D"/>
    <w:rsid w:val="00CA6974"/>
    <w:rsid w:val="00CA699C"/>
    <w:rsid w:val="00CA69A4"/>
    <w:rsid w:val="00CA6A0C"/>
    <w:rsid w:val="00CA6A2F"/>
    <w:rsid w:val="00CA6A4B"/>
    <w:rsid w:val="00CA6A76"/>
    <w:rsid w:val="00CA6A91"/>
    <w:rsid w:val="00CA6B41"/>
    <w:rsid w:val="00CA6C04"/>
    <w:rsid w:val="00CA6C8F"/>
    <w:rsid w:val="00CA6CB9"/>
    <w:rsid w:val="00CA6D20"/>
    <w:rsid w:val="00CA6D73"/>
    <w:rsid w:val="00CA6D93"/>
    <w:rsid w:val="00CA6E45"/>
    <w:rsid w:val="00CA6E72"/>
    <w:rsid w:val="00CA6EDC"/>
    <w:rsid w:val="00CA6F15"/>
    <w:rsid w:val="00CA6F9D"/>
    <w:rsid w:val="00CA700B"/>
    <w:rsid w:val="00CA7018"/>
    <w:rsid w:val="00CA718E"/>
    <w:rsid w:val="00CA71E4"/>
    <w:rsid w:val="00CA7209"/>
    <w:rsid w:val="00CA7279"/>
    <w:rsid w:val="00CA7370"/>
    <w:rsid w:val="00CA737D"/>
    <w:rsid w:val="00CA7385"/>
    <w:rsid w:val="00CA73EF"/>
    <w:rsid w:val="00CA73F2"/>
    <w:rsid w:val="00CA743F"/>
    <w:rsid w:val="00CA7459"/>
    <w:rsid w:val="00CA7466"/>
    <w:rsid w:val="00CA74A1"/>
    <w:rsid w:val="00CA74B2"/>
    <w:rsid w:val="00CA74CC"/>
    <w:rsid w:val="00CA751B"/>
    <w:rsid w:val="00CA7538"/>
    <w:rsid w:val="00CA7548"/>
    <w:rsid w:val="00CA7573"/>
    <w:rsid w:val="00CA7618"/>
    <w:rsid w:val="00CA7644"/>
    <w:rsid w:val="00CA766E"/>
    <w:rsid w:val="00CA76BB"/>
    <w:rsid w:val="00CA771F"/>
    <w:rsid w:val="00CA7745"/>
    <w:rsid w:val="00CA7772"/>
    <w:rsid w:val="00CA7781"/>
    <w:rsid w:val="00CA779E"/>
    <w:rsid w:val="00CA7800"/>
    <w:rsid w:val="00CA7818"/>
    <w:rsid w:val="00CA7895"/>
    <w:rsid w:val="00CA78C1"/>
    <w:rsid w:val="00CA7986"/>
    <w:rsid w:val="00CA79FC"/>
    <w:rsid w:val="00CA7A79"/>
    <w:rsid w:val="00CA7AB3"/>
    <w:rsid w:val="00CA7AC2"/>
    <w:rsid w:val="00CA7B29"/>
    <w:rsid w:val="00CA7B8C"/>
    <w:rsid w:val="00CA7C0B"/>
    <w:rsid w:val="00CA7C1A"/>
    <w:rsid w:val="00CA7C2B"/>
    <w:rsid w:val="00CA7CB5"/>
    <w:rsid w:val="00CA7CFE"/>
    <w:rsid w:val="00CA7D24"/>
    <w:rsid w:val="00CA7D56"/>
    <w:rsid w:val="00CA7DEA"/>
    <w:rsid w:val="00CA7DEB"/>
    <w:rsid w:val="00CA7E38"/>
    <w:rsid w:val="00CA7EA1"/>
    <w:rsid w:val="00CA7F35"/>
    <w:rsid w:val="00CA7F7D"/>
    <w:rsid w:val="00CA7FC3"/>
    <w:rsid w:val="00CA7FD0"/>
    <w:rsid w:val="00CB0012"/>
    <w:rsid w:val="00CB001F"/>
    <w:rsid w:val="00CB002C"/>
    <w:rsid w:val="00CB0045"/>
    <w:rsid w:val="00CB005D"/>
    <w:rsid w:val="00CB0157"/>
    <w:rsid w:val="00CB0174"/>
    <w:rsid w:val="00CB01EB"/>
    <w:rsid w:val="00CB02BA"/>
    <w:rsid w:val="00CB0322"/>
    <w:rsid w:val="00CB0363"/>
    <w:rsid w:val="00CB052A"/>
    <w:rsid w:val="00CB0538"/>
    <w:rsid w:val="00CB0540"/>
    <w:rsid w:val="00CB055D"/>
    <w:rsid w:val="00CB059E"/>
    <w:rsid w:val="00CB0639"/>
    <w:rsid w:val="00CB0710"/>
    <w:rsid w:val="00CB0724"/>
    <w:rsid w:val="00CB076B"/>
    <w:rsid w:val="00CB07AA"/>
    <w:rsid w:val="00CB0801"/>
    <w:rsid w:val="00CB084A"/>
    <w:rsid w:val="00CB0853"/>
    <w:rsid w:val="00CB0867"/>
    <w:rsid w:val="00CB0874"/>
    <w:rsid w:val="00CB089E"/>
    <w:rsid w:val="00CB08C7"/>
    <w:rsid w:val="00CB08E5"/>
    <w:rsid w:val="00CB0903"/>
    <w:rsid w:val="00CB0911"/>
    <w:rsid w:val="00CB092F"/>
    <w:rsid w:val="00CB093A"/>
    <w:rsid w:val="00CB094F"/>
    <w:rsid w:val="00CB0A54"/>
    <w:rsid w:val="00CB0A7A"/>
    <w:rsid w:val="00CB0AC9"/>
    <w:rsid w:val="00CB0B5F"/>
    <w:rsid w:val="00CB0B62"/>
    <w:rsid w:val="00CB0B6E"/>
    <w:rsid w:val="00CB0B88"/>
    <w:rsid w:val="00CB0BBC"/>
    <w:rsid w:val="00CB0C0E"/>
    <w:rsid w:val="00CB0C11"/>
    <w:rsid w:val="00CB0C16"/>
    <w:rsid w:val="00CB0C26"/>
    <w:rsid w:val="00CB0C4C"/>
    <w:rsid w:val="00CB0CBD"/>
    <w:rsid w:val="00CB0CC3"/>
    <w:rsid w:val="00CB0CC6"/>
    <w:rsid w:val="00CB0D26"/>
    <w:rsid w:val="00CB0D57"/>
    <w:rsid w:val="00CB0DA4"/>
    <w:rsid w:val="00CB0E61"/>
    <w:rsid w:val="00CB0E7C"/>
    <w:rsid w:val="00CB0EAF"/>
    <w:rsid w:val="00CB0EDB"/>
    <w:rsid w:val="00CB0F1E"/>
    <w:rsid w:val="00CB0F64"/>
    <w:rsid w:val="00CB0FA1"/>
    <w:rsid w:val="00CB0FDE"/>
    <w:rsid w:val="00CB1014"/>
    <w:rsid w:val="00CB101E"/>
    <w:rsid w:val="00CB1039"/>
    <w:rsid w:val="00CB1053"/>
    <w:rsid w:val="00CB10A7"/>
    <w:rsid w:val="00CB11B7"/>
    <w:rsid w:val="00CB11BF"/>
    <w:rsid w:val="00CB1229"/>
    <w:rsid w:val="00CB12A8"/>
    <w:rsid w:val="00CB12CA"/>
    <w:rsid w:val="00CB1335"/>
    <w:rsid w:val="00CB133E"/>
    <w:rsid w:val="00CB1393"/>
    <w:rsid w:val="00CB141B"/>
    <w:rsid w:val="00CB1452"/>
    <w:rsid w:val="00CB1494"/>
    <w:rsid w:val="00CB149C"/>
    <w:rsid w:val="00CB14CC"/>
    <w:rsid w:val="00CB1555"/>
    <w:rsid w:val="00CB1564"/>
    <w:rsid w:val="00CB1566"/>
    <w:rsid w:val="00CB1663"/>
    <w:rsid w:val="00CB1682"/>
    <w:rsid w:val="00CB16B5"/>
    <w:rsid w:val="00CB171B"/>
    <w:rsid w:val="00CB173E"/>
    <w:rsid w:val="00CB181E"/>
    <w:rsid w:val="00CB18AA"/>
    <w:rsid w:val="00CB18CA"/>
    <w:rsid w:val="00CB18EC"/>
    <w:rsid w:val="00CB190D"/>
    <w:rsid w:val="00CB1986"/>
    <w:rsid w:val="00CB19A1"/>
    <w:rsid w:val="00CB1A06"/>
    <w:rsid w:val="00CB1A59"/>
    <w:rsid w:val="00CB1ABE"/>
    <w:rsid w:val="00CB1AD5"/>
    <w:rsid w:val="00CB1B38"/>
    <w:rsid w:val="00CB1B52"/>
    <w:rsid w:val="00CB1B61"/>
    <w:rsid w:val="00CB1B67"/>
    <w:rsid w:val="00CB1B89"/>
    <w:rsid w:val="00CB1BAA"/>
    <w:rsid w:val="00CB1BC9"/>
    <w:rsid w:val="00CB1C0B"/>
    <w:rsid w:val="00CB1C86"/>
    <w:rsid w:val="00CB1C9D"/>
    <w:rsid w:val="00CB1CC0"/>
    <w:rsid w:val="00CB1CCE"/>
    <w:rsid w:val="00CB1D29"/>
    <w:rsid w:val="00CB1D38"/>
    <w:rsid w:val="00CB1D6D"/>
    <w:rsid w:val="00CB1D71"/>
    <w:rsid w:val="00CB1D93"/>
    <w:rsid w:val="00CB1DD8"/>
    <w:rsid w:val="00CB1F1E"/>
    <w:rsid w:val="00CB2009"/>
    <w:rsid w:val="00CB2030"/>
    <w:rsid w:val="00CB2037"/>
    <w:rsid w:val="00CB206A"/>
    <w:rsid w:val="00CB20AF"/>
    <w:rsid w:val="00CB210E"/>
    <w:rsid w:val="00CB213B"/>
    <w:rsid w:val="00CB217F"/>
    <w:rsid w:val="00CB2229"/>
    <w:rsid w:val="00CB2247"/>
    <w:rsid w:val="00CB2266"/>
    <w:rsid w:val="00CB2303"/>
    <w:rsid w:val="00CB2335"/>
    <w:rsid w:val="00CB2409"/>
    <w:rsid w:val="00CB24CE"/>
    <w:rsid w:val="00CB24FD"/>
    <w:rsid w:val="00CB2530"/>
    <w:rsid w:val="00CB2622"/>
    <w:rsid w:val="00CB26CA"/>
    <w:rsid w:val="00CB2789"/>
    <w:rsid w:val="00CB27D7"/>
    <w:rsid w:val="00CB27E0"/>
    <w:rsid w:val="00CB2861"/>
    <w:rsid w:val="00CB28E9"/>
    <w:rsid w:val="00CB28F6"/>
    <w:rsid w:val="00CB290B"/>
    <w:rsid w:val="00CB295A"/>
    <w:rsid w:val="00CB299B"/>
    <w:rsid w:val="00CB29CF"/>
    <w:rsid w:val="00CB2A24"/>
    <w:rsid w:val="00CB2AA0"/>
    <w:rsid w:val="00CB2AA4"/>
    <w:rsid w:val="00CB2AD3"/>
    <w:rsid w:val="00CB2AE4"/>
    <w:rsid w:val="00CB2B54"/>
    <w:rsid w:val="00CB2B7F"/>
    <w:rsid w:val="00CB2B8F"/>
    <w:rsid w:val="00CB2BC5"/>
    <w:rsid w:val="00CB2C23"/>
    <w:rsid w:val="00CB2C27"/>
    <w:rsid w:val="00CB2C31"/>
    <w:rsid w:val="00CB2C53"/>
    <w:rsid w:val="00CB2C7F"/>
    <w:rsid w:val="00CB2D47"/>
    <w:rsid w:val="00CB2D6F"/>
    <w:rsid w:val="00CB2DCE"/>
    <w:rsid w:val="00CB2E79"/>
    <w:rsid w:val="00CB2E8A"/>
    <w:rsid w:val="00CB2ED9"/>
    <w:rsid w:val="00CB2F0D"/>
    <w:rsid w:val="00CB2F21"/>
    <w:rsid w:val="00CB2F75"/>
    <w:rsid w:val="00CB305B"/>
    <w:rsid w:val="00CB305D"/>
    <w:rsid w:val="00CB3134"/>
    <w:rsid w:val="00CB316F"/>
    <w:rsid w:val="00CB3196"/>
    <w:rsid w:val="00CB320E"/>
    <w:rsid w:val="00CB337F"/>
    <w:rsid w:val="00CB33A3"/>
    <w:rsid w:val="00CB33B4"/>
    <w:rsid w:val="00CB33C6"/>
    <w:rsid w:val="00CB33E5"/>
    <w:rsid w:val="00CB3410"/>
    <w:rsid w:val="00CB3449"/>
    <w:rsid w:val="00CB344E"/>
    <w:rsid w:val="00CB346C"/>
    <w:rsid w:val="00CB348B"/>
    <w:rsid w:val="00CB3496"/>
    <w:rsid w:val="00CB34AD"/>
    <w:rsid w:val="00CB3558"/>
    <w:rsid w:val="00CB3622"/>
    <w:rsid w:val="00CB363E"/>
    <w:rsid w:val="00CB36CC"/>
    <w:rsid w:val="00CB3772"/>
    <w:rsid w:val="00CB37A8"/>
    <w:rsid w:val="00CB383F"/>
    <w:rsid w:val="00CB388C"/>
    <w:rsid w:val="00CB3934"/>
    <w:rsid w:val="00CB3942"/>
    <w:rsid w:val="00CB3AA5"/>
    <w:rsid w:val="00CB3B06"/>
    <w:rsid w:val="00CB3B42"/>
    <w:rsid w:val="00CB3BE8"/>
    <w:rsid w:val="00CB3C02"/>
    <w:rsid w:val="00CB3C58"/>
    <w:rsid w:val="00CB3C89"/>
    <w:rsid w:val="00CB3D9E"/>
    <w:rsid w:val="00CB3DD7"/>
    <w:rsid w:val="00CB3DF3"/>
    <w:rsid w:val="00CB3E34"/>
    <w:rsid w:val="00CB3E90"/>
    <w:rsid w:val="00CB3EFF"/>
    <w:rsid w:val="00CB3F21"/>
    <w:rsid w:val="00CB3F9F"/>
    <w:rsid w:val="00CB3FA6"/>
    <w:rsid w:val="00CB3FEC"/>
    <w:rsid w:val="00CB4025"/>
    <w:rsid w:val="00CB407A"/>
    <w:rsid w:val="00CB40A6"/>
    <w:rsid w:val="00CB40E9"/>
    <w:rsid w:val="00CB413E"/>
    <w:rsid w:val="00CB4189"/>
    <w:rsid w:val="00CB41C3"/>
    <w:rsid w:val="00CB4202"/>
    <w:rsid w:val="00CB422F"/>
    <w:rsid w:val="00CB4254"/>
    <w:rsid w:val="00CB4269"/>
    <w:rsid w:val="00CB427F"/>
    <w:rsid w:val="00CB4348"/>
    <w:rsid w:val="00CB4391"/>
    <w:rsid w:val="00CB4485"/>
    <w:rsid w:val="00CB4495"/>
    <w:rsid w:val="00CB44B1"/>
    <w:rsid w:val="00CB44D4"/>
    <w:rsid w:val="00CB44E3"/>
    <w:rsid w:val="00CB44EF"/>
    <w:rsid w:val="00CB4519"/>
    <w:rsid w:val="00CB4558"/>
    <w:rsid w:val="00CB458D"/>
    <w:rsid w:val="00CB45DE"/>
    <w:rsid w:val="00CB463F"/>
    <w:rsid w:val="00CB465A"/>
    <w:rsid w:val="00CB469A"/>
    <w:rsid w:val="00CB46B1"/>
    <w:rsid w:val="00CB46BF"/>
    <w:rsid w:val="00CB477A"/>
    <w:rsid w:val="00CB4786"/>
    <w:rsid w:val="00CB47BB"/>
    <w:rsid w:val="00CB4833"/>
    <w:rsid w:val="00CB4843"/>
    <w:rsid w:val="00CB4875"/>
    <w:rsid w:val="00CB48C4"/>
    <w:rsid w:val="00CB4900"/>
    <w:rsid w:val="00CB496B"/>
    <w:rsid w:val="00CB4993"/>
    <w:rsid w:val="00CB4A02"/>
    <w:rsid w:val="00CB4A67"/>
    <w:rsid w:val="00CB4A68"/>
    <w:rsid w:val="00CB4AE6"/>
    <w:rsid w:val="00CB4B08"/>
    <w:rsid w:val="00CB4B23"/>
    <w:rsid w:val="00CB4B46"/>
    <w:rsid w:val="00CB4BE1"/>
    <w:rsid w:val="00CB4C01"/>
    <w:rsid w:val="00CB4C0D"/>
    <w:rsid w:val="00CB4CC1"/>
    <w:rsid w:val="00CB4CDC"/>
    <w:rsid w:val="00CB4D20"/>
    <w:rsid w:val="00CB4D32"/>
    <w:rsid w:val="00CB4DCF"/>
    <w:rsid w:val="00CB4DE8"/>
    <w:rsid w:val="00CB4DE9"/>
    <w:rsid w:val="00CB4E08"/>
    <w:rsid w:val="00CB4E30"/>
    <w:rsid w:val="00CB4EB3"/>
    <w:rsid w:val="00CB4F27"/>
    <w:rsid w:val="00CB4F63"/>
    <w:rsid w:val="00CB4F6F"/>
    <w:rsid w:val="00CB4F78"/>
    <w:rsid w:val="00CB4F82"/>
    <w:rsid w:val="00CB4FD2"/>
    <w:rsid w:val="00CB4FEB"/>
    <w:rsid w:val="00CB5024"/>
    <w:rsid w:val="00CB50E3"/>
    <w:rsid w:val="00CB5117"/>
    <w:rsid w:val="00CB5128"/>
    <w:rsid w:val="00CB5185"/>
    <w:rsid w:val="00CB51BB"/>
    <w:rsid w:val="00CB5205"/>
    <w:rsid w:val="00CB5206"/>
    <w:rsid w:val="00CB5214"/>
    <w:rsid w:val="00CB5272"/>
    <w:rsid w:val="00CB5277"/>
    <w:rsid w:val="00CB5281"/>
    <w:rsid w:val="00CB532A"/>
    <w:rsid w:val="00CB5360"/>
    <w:rsid w:val="00CB53A8"/>
    <w:rsid w:val="00CB53FF"/>
    <w:rsid w:val="00CB5461"/>
    <w:rsid w:val="00CB5494"/>
    <w:rsid w:val="00CB54CE"/>
    <w:rsid w:val="00CB551C"/>
    <w:rsid w:val="00CB55AC"/>
    <w:rsid w:val="00CB55EF"/>
    <w:rsid w:val="00CB55FF"/>
    <w:rsid w:val="00CB5616"/>
    <w:rsid w:val="00CB5620"/>
    <w:rsid w:val="00CB5657"/>
    <w:rsid w:val="00CB56B8"/>
    <w:rsid w:val="00CB56E5"/>
    <w:rsid w:val="00CB579B"/>
    <w:rsid w:val="00CB57A9"/>
    <w:rsid w:val="00CB57B5"/>
    <w:rsid w:val="00CB583E"/>
    <w:rsid w:val="00CB590B"/>
    <w:rsid w:val="00CB5915"/>
    <w:rsid w:val="00CB593A"/>
    <w:rsid w:val="00CB596B"/>
    <w:rsid w:val="00CB5976"/>
    <w:rsid w:val="00CB5992"/>
    <w:rsid w:val="00CB5998"/>
    <w:rsid w:val="00CB59BF"/>
    <w:rsid w:val="00CB59C2"/>
    <w:rsid w:val="00CB5A22"/>
    <w:rsid w:val="00CB5A59"/>
    <w:rsid w:val="00CB5A63"/>
    <w:rsid w:val="00CB5A64"/>
    <w:rsid w:val="00CB5A6A"/>
    <w:rsid w:val="00CB5A7E"/>
    <w:rsid w:val="00CB5A81"/>
    <w:rsid w:val="00CB5A8B"/>
    <w:rsid w:val="00CB5A90"/>
    <w:rsid w:val="00CB5BA3"/>
    <w:rsid w:val="00CB5CD8"/>
    <w:rsid w:val="00CB5CE5"/>
    <w:rsid w:val="00CB5CF0"/>
    <w:rsid w:val="00CB5D5D"/>
    <w:rsid w:val="00CB5D69"/>
    <w:rsid w:val="00CB5D6B"/>
    <w:rsid w:val="00CB5DC9"/>
    <w:rsid w:val="00CB5E0D"/>
    <w:rsid w:val="00CB5E10"/>
    <w:rsid w:val="00CB5E37"/>
    <w:rsid w:val="00CB5EAC"/>
    <w:rsid w:val="00CB5EC7"/>
    <w:rsid w:val="00CB5EFE"/>
    <w:rsid w:val="00CB5F33"/>
    <w:rsid w:val="00CB5F82"/>
    <w:rsid w:val="00CB5F91"/>
    <w:rsid w:val="00CB6009"/>
    <w:rsid w:val="00CB60DC"/>
    <w:rsid w:val="00CB6161"/>
    <w:rsid w:val="00CB617F"/>
    <w:rsid w:val="00CB61D8"/>
    <w:rsid w:val="00CB6264"/>
    <w:rsid w:val="00CB627F"/>
    <w:rsid w:val="00CB62E4"/>
    <w:rsid w:val="00CB630A"/>
    <w:rsid w:val="00CB6317"/>
    <w:rsid w:val="00CB6369"/>
    <w:rsid w:val="00CB6436"/>
    <w:rsid w:val="00CB6455"/>
    <w:rsid w:val="00CB6474"/>
    <w:rsid w:val="00CB64BC"/>
    <w:rsid w:val="00CB6512"/>
    <w:rsid w:val="00CB656D"/>
    <w:rsid w:val="00CB65DE"/>
    <w:rsid w:val="00CB6643"/>
    <w:rsid w:val="00CB664C"/>
    <w:rsid w:val="00CB6655"/>
    <w:rsid w:val="00CB6706"/>
    <w:rsid w:val="00CB67BE"/>
    <w:rsid w:val="00CB682F"/>
    <w:rsid w:val="00CB683C"/>
    <w:rsid w:val="00CB692C"/>
    <w:rsid w:val="00CB695C"/>
    <w:rsid w:val="00CB6967"/>
    <w:rsid w:val="00CB697B"/>
    <w:rsid w:val="00CB69B2"/>
    <w:rsid w:val="00CB69ED"/>
    <w:rsid w:val="00CB6A0F"/>
    <w:rsid w:val="00CB6A31"/>
    <w:rsid w:val="00CB6B5E"/>
    <w:rsid w:val="00CB6BC1"/>
    <w:rsid w:val="00CB6BCB"/>
    <w:rsid w:val="00CB6C73"/>
    <w:rsid w:val="00CB6C89"/>
    <w:rsid w:val="00CB6CAD"/>
    <w:rsid w:val="00CB6CF3"/>
    <w:rsid w:val="00CB6D65"/>
    <w:rsid w:val="00CB6DA8"/>
    <w:rsid w:val="00CB6DB2"/>
    <w:rsid w:val="00CB6E1A"/>
    <w:rsid w:val="00CB6E2F"/>
    <w:rsid w:val="00CB6E46"/>
    <w:rsid w:val="00CB6E75"/>
    <w:rsid w:val="00CB6EA7"/>
    <w:rsid w:val="00CB6EC9"/>
    <w:rsid w:val="00CB6EF8"/>
    <w:rsid w:val="00CB6F5A"/>
    <w:rsid w:val="00CB6F6D"/>
    <w:rsid w:val="00CB6F9F"/>
    <w:rsid w:val="00CB6FC1"/>
    <w:rsid w:val="00CB6FD6"/>
    <w:rsid w:val="00CB6FE4"/>
    <w:rsid w:val="00CB7001"/>
    <w:rsid w:val="00CB7003"/>
    <w:rsid w:val="00CB7038"/>
    <w:rsid w:val="00CB70A0"/>
    <w:rsid w:val="00CB70F5"/>
    <w:rsid w:val="00CB7119"/>
    <w:rsid w:val="00CB712E"/>
    <w:rsid w:val="00CB7187"/>
    <w:rsid w:val="00CB71AC"/>
    <w:rsid w:val="00CB71AE"/>
    <w:rsid w:val="00CB71C5"/>
    <w:rsid w:val="00CB7241"/>
    <w:rsid w:val="00CB727E"/>
    <w:rsid w:val="00CB72A6"/>
    <w:rsid w:val="00CB72CD"/>
    <w:rsid w:val="00CB72DD"/>
    <w:rsid w:val="00CB7301"/>
    <w:rsid w:val="00CB7373"/>
    <w:rsid w:val="00CB73CA"/>
    <w:rsid w:val="00CB7414"/>
    <w:rsid w:val="00CB7471"/>
    <w:rsid w:val="00CB7475"/>
    <w:rsid w:val="00CB748D"/>
    <w:rsid w:val="00CB74B6"/>
    <w:rsid w:val="00CB7573"/>
    <w:rsid w:val="00CB75C3"/>
    <w:rsid w:val="00CB75C4"/>
    <w:rsid w:val="00CB763A"/>
    <w:rsid w:val="00CB769D"/>
    <w:rsid w:val="00CB76A1"/>
    <w:rsid w:val="00CB76BF"/>
    <w:rsid w:val="00CB7728"/>
    <w:rsid w:val="00CB7757"/>
    <w:rsid w:val="00CB7794"/>
    <w:rsid w:val="00CB77BB"/>
    <w:rsid w:val="00CB77F8"/>
    <w:rsid w:val="00CB7820"/>
    <w:rsid w:val="00CB7872"/>
    <w:rsid w:val="00CB78A2"/>
    <w:rsid w:val="00CB78B0"/>
    <w:rsid w:val="00CB7912"/>
    <w:rsid w:val="00CB7965"/>
    <w:rsid w:val="00CB7A05"/>
    <w:rsid w:val="00CB7A3B"/>
    <w:rsid w:val="00CB7A6E"/>
    <w:rsid w:val="00CB7AA8"/>
    <w:rsid w:val="00CB7AFF"/>
    <w:rsid w:val="00CB7B8C"/>
    <w:rsid w:val="00CB7BC2"/>
    <w:rsid w:val="00CB7BC8"/>
    <w:rsid w:val="00CB7C44"/>
    <w:rsid w:val="00CB7C60"/>
    <w:rsid w:val="00CB7CEA"/>
    <w:rsid w:val="00CB7D55"/>
    <w:rsid w:val="00CB7D62"/>
    <w:rsid w:val="00CB7DA8"/>
    <w:rsid w:val="00CB7DE7"/>
    <w:rsid w:val="00CB7E35"/>
    <w:rsid w:val="00CB7E93"/>
    <w:rsid w:val="00CB7EA8"/>
    <w:rsid w:val="00CB7EB9"/>
    <w:rsid w:val="00CB7F40"/>
    <w:rsid w:val="00CB7F65"/>
    <w:rsid w:val="00CB7F6E"/>
    <w:rsid w:val="00CB7F83"/>
    <w:rsid w:val="00CB7FB5"/>
    <w:rsid w:val="00CB7FB7"/>
    <w:rsid w:val="00CB7FEF"/>
    <w:rsid w:val="00CC0017"/>
    <w:rsid w:val="00CC00BF"/>
    <w:rsid w:val="00CC0138"/>
    <w:rsid w:val="00CC013E"/>
    <w:rsid w:val="00CC0159"/>
    <w:rsid w:val="00CC01A3"/>
    <w:rsid w:val="00CC01B6"/>
    <w:rsid w:val="00CC01CE"/>
    <w:rsid w:val="00CC01F6"/>
    <w:rsid w:val="00CC028A"/>
    <w:rsid w:val="00CC028B"/>
    <w:rsid w:val="00CC02B7"/>
    <w:rsid w:val="00CC032A"/>
    <w:rsid w:val="00CC034D"/>
    <w:rsid w:val="00CC0376"/>
    <w:rsid w:val="00CC0399"/>
    <w:rsid w:val="00CC03F1"/>
    <w:rsid w:val="00CC03F4"/>
    <w:rsid w:val="00CC0471"/>
    <w:rsid w:val="00CC0481"/>
    <w:rsid w:val="00CC04BE"/>
    <w:rsid w:val="00CC0546"/>
    <w:rsid w:val="00CC0559"/>
    <w:rsid w:val="00CC055A"/>
    <w:rsid w:val="00CC05C3"/>
    <w:rsid w:val="00CC05D6"/>
    <w:rsid w:val="00CC05DF"/>
    <w:rsid w:val="00CC05F5"/>
    <w:rsid w:val="00CC065E"/>
    <w:rsid w:val="00CC06EE"/>
    <w:rsid w:val="00CC073A"/>
    <w:rsid w:val="00CC073B"/>
    <w:rsid w:val="00CC07E2"/>
    <w:rsid w:val="00CC0811"/>
    <w:rsid w:val="00CC0839"/>
    <w:rsid w:val="00CC0870"/>
    <w:rsid w:val="00CC08F4"/>
    <w:rsid w:val="00CC0917"/>
    <w:rsid w:val="00CC093C"/>
    <w:rsid w:val="00CC0948"/>
    <w:rsid w:val="00CC0949"/>
    <w:rsid w:val="00CC094E"/>
    <w:rsid w:val="00CC0966"/>
    <w:rsid w:val="00CC09E7"/>
    <w:rsid w:val="00CC0A22"/>
    <w:rsid w:val="00CC0A4B"/>
    <w:rsid w:val="00CC0A5E"/>
    <w:rsid w:val="00CC0A77"/>
    <w:rsid w:val="00CC0AD1"/>
    <w:rsid w:val="00CC0AEA"/>
    <w:rsid w:val="00CC0AF7"/>
    <w:rsid w:val="00CC0B6A"/>
    <w:rsid w:val="00CC0BD9"/>
    <w:rsid w:val="00CC0C16"/>
    <w:rsid w:val="00CC0CA7"/>
    <w:rsid w:val="00CC0CE9"/>
    <w:rsid w:val="00CC0D10"/>
    <w:rsid w:val="00CC0D17"/>
    <w:rsid w:val="00CC0D1D"/>
    <w:rsid w:val="00CC0D3D"/>
    <w:rsid w:val="00CC0D61"/>
    <w:rsid w:val="00CC0D9B"/>
    <w:rsid w:val="00CC0DA8"/>
    <w:rsid w:val="00CC0E23"/>
    <w:rsid w:val="00CC0EA6"/>
    <w:rsid w:val="00CC0EB3"/>
    <w:rsid w:val="00CC0EFD"/>
    <w:rsid w:val="00CC0F79"/>
    <w:rsid w:val="00CC0FA1"/>
    <w:rsid w:val="00CC0FEE"/>
    <w:rsid w:val="00CC1000"/>
    <w:rsid w:val="00CC1035"/>
    <w:rsid w:val="00CC1093"/>
    <w:rsid w:val="00CC115A"/>
    <w:rsid w:val="00CC11DE"/>
    <w:rsid w:val="00CC121E"/>
    <w:rsid w:val="00CC12A8"/>
    <w:rsid w:val="00CC12D7"/>
    <w:rsid w:val="00CC1324"/>
    <w:rsid w:val="00CC137F"/>
    <w:rsid w:val="00CC13F8"/>
    <w:rsid w:val="00CC1472"/>
    <w:rsid w:val="00CC1475"/>
    <w:rsid w:val="00CC15C0"/>
    <w:rsid w:val="00CC15C4"/>
    <w:rsid w:val="00CC15E4"/>
    <w:rsid w:val="00CC15E8"/>
    <w:rsid w:val="00CC171A"/>
    <w:rsid w:val="00CC1773"/>
    <w:rsid w:val="00CC17C4"/>
    <w:rsid w:val="00CC17CB"/>
    <w:rsid w:val="00CC17E9"/>
    <w:rsid w:val="00CC1819"/>
    <w:rsid w:val="00CC182A"/>
    <w:rsid w:val="00CC183B"/>
    <w:rsid w:val="00CC1849"/>
    <w:rsid w:val="00CC185F"/>
    <w:rsid w:val="00CC187B"/>
    <w:rsid w:val="00CC1939"/>
    <w:rsid w:val="00CC198D"/>
    <w:rsid w:val="00CC19AB"/>
    <w:rsid w:val="00CC1B3C"/>
    <w:rsid w:val="00CC1C54"/>
    <w:rsid w:val="00CC1C7C"/>
    <w:rsid w:val="00CC1CBD"/>
    <w:rsid w:val="00CC1CBE"/>
    <w:rsid w:val="00CC1CFA"/>
    <w:rsid w:val="00CC1D15"/>
    <w:rsid w:val="00CC1D5D"/>
    <w:rsid w:val="00CC1D84"/>
    <w:rsid w:val="00CC1D8F"/>
    <w:rsid w:val="00CC1DA3"/>
    <w:rsid w:val="00CC1DF9"/>
    <w:rsid w:val="00CC1E74"/>
    <w:rsid w:val="00CC1E77"/>
    <w:rsid w:val="00CC1E82"/>
    <w:rsid w:val="00CC1EB8"/>
    <w:rsid w:val="00CC1EE1"/>
    <w:rsid w:val="00CC1F3E"/>
    <w:rsid w:val="00CC1FB9"/>
    <w:rsid w:val="00CC2083"/>
    <w:rsid w:val="00CC2112"/>
    <w:rsid w:val="00CC2194"/>
    <w:rsid w:val="00CC21CA"/>
    <w:rsid w:val="00CC21FF"/>
    <w:rsid w:val="00CC2236"/>
    <w:rsid w:val="00CC223A"/>
    <w:rsid w:val="00CC2264"/>
    <w:rsid w:val="00CC22A4"/>
    <w:rsid w:val="00CC22C8"/>
    <w:rsid w:val="00CC22E3"/>
    <w:rsid w:val="00CC22EA"/>
    <w:rsid w:val="00CC22F0"/>
    <w:rsid w:val="00CC2320"/>
    <w:rsid w:val="00CC233F"/>
    <w:rsid w:val="00CC2347"/>
    <w:rsid w:val="00CC23D1"/>
    <w:rsid w:val="00CC23EB"/>
    <w:rsid w:val="00CC242A"/>
    <w:rsid w:val="00CC255D"/>
    <w:rsid w:val="00CC25D9"/>
    <w:rsid w:val="00CC25FD"/>
    <w:rsid w:val="00CC267A"/>
    <w:rsid w:val="00CC269E"/>
    <w:rsid w:val="00CC273A"/>
    <w:rsid w:val="00CC2745"/>
    <w:rsid w:val="00CC2770"/>
    <w:rsid w:val="00CC2777"/>
    <w:rsid w:val="00CC2794"/>
    <w:rsid w:val="00CC27A9"/>
    <w:rsid w:val="00CC27AA"/>
    <w:rsid w:val="00CC27D2"/>
    <w:rsid w:val="00CC27F9"/>
    <w:rsid w:val="00CC284E"/>
    <w:rsid w:val="00CC2890"/>
    <w:rsid w:val="00CC28BF"/>
    <w:rsid w:val="00CC28D0"/>
    <w:rsid w:val="00CC28FA"/>
    <w:rsid w:val="00CC2934"/>
    <w:rsid w:val="00CC2963"/>
    <w:rsid w:val="00CC2965"/>
    <w:rsid w:val="00CC2968"/>
    <w:rsid w:val="00CC297E"/>
    <w:rsid w:val="00CC2997"/>
    <w:rsid w:val="00CC2A3C"/>
    <w:rsid w:val="00CC2A93"/>
    <w:rsid w:val="00CC2A9F"/>
    <w:rsid w:val="00CC2AD1"/>
    <w:rsid w:val="00CC2B17"/>
    <w:rsid w:val="00CC2B47"/>
    <w:rsid w:val="00CC2B7B"/>
    <w:rsid w:val="00CC2B86"/>
    <w:rsid w:val="00CC2BBF"/>
    <w:rsid w:val="00CC2BCA"/>
    <w:rsid w:val="00CC2CD5"/>
    <w:rsid w:val="00CC2D65"/>
    <w:rsid w:val="00CC2D7D"/>
    <w:rsid w:val="00CC2DAA"/>
    <w:rsid w:val="00CC2DE9"/>
    <w:rsid w:val="00CC2EFF"/>
    <w:rsid w:val="00CC2F56"/>
    <w:rsid w:val="00CC2F69"/>
    <w:rsid w:val="00CC2F8F"/>
    <w:rsid w:val="00CC2FA0"/>
    <w:rsid w:val="00CC2FED"/>
    <w:rsid w:val="00CC3000"/>
    <w:rsid w:val="00CC3016"/>
    <w:rsid w:val="00CC3023"/>
    <w:rsid w:val="00CC302E"/>
    <w:rsid w:val="00CC3032"/>
    <w:rsid w:val="00CC30BB"/>
    <w:rsid w:val="00CC30E1"/>
    <w:rsid w:val="00CC31CA"/>
    <w:rsid w:val="00CC31CB"/>
    <w:rsid w:val="00CC31DC"/>
    <w:rsid w:val="00CC32D4"/>
    <w:rsid w:val="00CC32DB"/>
    <w:rsid w:val="00CC339B"/>
    <w:rsid w:val="00CC339D"/>
    <w:rsid w:val="00CC33B8"/>
    <w:rsid w:val="00CC3429"/>
    <w:rsid w:val="00CC34AB"/>
    <w:rsid w:val="00CC3594"/>
    <w:rsid w:val="00CC35C3"/>
    <w:rsid w:val="00CC3624"/>
    <w:rsid w:val="00CC365D"/>
    <w:rsid w:val="00CC367F"/>
    <w:rsid w:val="00CC3698"/>
    <w:rsid w:val="00CC36F1"/>
    <w:rsid w:val="00CC370F"/>
    <w:rsid w:val="00CC374A"/>
    <w:rsid w:val="00CC375E"/>
    <w:rsid w:val="00CC37D0"/>
    <w:rsid w:val="00CC383B"/>
    <w:rsid w:val="00CC3854"/>
    <w:rsid w:val="00CC3860"/>
    <w:rsid w:val="00CC388A"/>
    <w:rsid w:val="00CC38AC"/>
    <w:rsid w:val="00CC38BF"/>
    <w:rsid w:val="00CC3903"/>
    <w:rsid w:val="00CC393A"/>
    <w:rsid w:val="00CC396A"/>
    <w:rsid w:val="00CC39B6"/>
    <w:rsid w:val="00CC39C1"/>
    <w:rsid w:val="00CC39CE"/>
    <w:rsid w:val="00CC3A3B"/>
    <w:rsid w:val="00CC3A8F"/>
    <w:rsid w:val="00CC3A9D"/>
    <w:rsid w:val="00CC3AFD"/>
    <w:rsid w:val="00CC3B05"/>
    <w:rsid w:val="00CC3B49"/>
    <w:rsid w:val="00CC3B5C"/>
    <w:rsid w:val="00CC3BAC"/>
    <w:rsid w:val="00CC3BDD"/>
    <w:rsid w:val="00CC3BFA"/>
    <w:rsid w:val="00CC3C91"/>
    <w:rsid w:val="00CC3CB5"/>
    <w:rsid w:val="00CC3CEE"/>
    <w:rsid w:val="00CC3D81"/>
    <w:rsid w:val="00CC3D89"/>
    <w:rsid w:val="00CC3DEC"/>
    <w:rsid w:val="00CC3E00"/>
    <w:rsid w:val="00CC3E3D"/>
    <w:rsid w:val="00CC3E47"/>
    <w:rsid w:val="00CC3E9B"/>
    <w:rsid w:val="00CC3EB9"/>
    <w:rsid w:val="00CC3EC4"/>
    <w:rsid w:val="00CC3ED3"/>
    <w:rsid w:val="00CC3F21"/>
    <w:rsid w:val="00CC3F24"/>
    <w:rsid w:val="00CC3F5F"/>
    <w:rsid w:val="00CC3F7D"/>
    <w:rsid w:val="00CC3F80"/>
    <w:rsid w:val="00CC402D"/>
    <w:rsid w:val="00CC4083"/>
    <w:rsid w:val="00CC40BB"/>
    <w:rsid w:val="00CC4127"/>
    <w:rsid w:val="00CC4165"/>
    <w:rsid w:val="00CC417B"/>
    <w:rsid w:val="00CC41DD"/>
    <w:rsid w:val="00CC4262"/>
    <w:rsid w:val="00CC426C"/>
    <w:rsid w:val="00CC4296"/>
    <w:rsid w:val="00CC42AF"/>
    <w:rsid w:val="00CC42CD"/>
    <w:rsid w:val="00CC4300"/>
    <w:rsid w:val="00CC4336"/>
    <w:rsid w:val="00CC435A"/>
    <w:rsid w:val="00CC4372"/>
    <w:rsid w:val="00CC4395"/>
    <w:rsid w:val="00CC43A6"/>
    <w:rsid w:val="00CC43A9"/>
    <w:rsid w:val="00CC43EC"/>
    <w:rsid w:val="00CC4403"/>
    <w:rsid w:val="00CC440C"/>
    <w:rsid w:val="00CC4430"/>
    <w:rsid w:val="00CC44BA"/>
    <w:rsid w:val="00CC451F"/>
    <w:rsid w:val="00CC4520"/>
    <w:rsid w:val="00CC4558"/>
    <w:rsid w:val="00CC455A"/>
    <w:rsid w:val="00CC4561"/>
    <w:rsid w:val="00CC45E4"/>
    <w:rsid w:val="00CC463D"/>
    <w:rsid w:val="00CC467E"/>
    <w:rsid w:val="00CC467F"/>
    <w:rsid w:val="00CC46A0"/>
    <w:rsid w:val="00CC46A3"/>
    <w:rsid w:val="00CC46C2"/>
    <w:rsid w:val="00CC46E1"/>
    <w:rsid w:val="00CC46E3"/>
    <w:rsid w:val="00CC473F"/>
    <w:rsid w:val="00CC4747"/>
    <w:rsid w:val="00CC4790"/>
    <w:rsid w:val="00CC47CE"/>
    <w:rsid w:val="00CC47E0"/>
    <w:rsid w:val="00CC4862"/>
    <w:rsid w:val="00CC486F"/>
    <w:rsid w:val="00CC487A"/>
    <w:rsid w:val="00CC4887"/>
    <w:rsid w:val="00CC48B3"/>
    <w:rsid w:val="00CC490C"/>
    <w:rsid w:val="00CC491D"/>
    <w:rsid w:val="00CC492B"/>
    <w:rsid w:val="00CC4977"/>
    <w:rsid w:val="00CC498F"/>
    <w:rsid w:val="00CC499F"/>
    <w:rsid w:val="00CC4A0C"/>
    <w:rsid w:val="00CC4A25"/>
    <w:rsid w:val="00CC4A3D"/>
    <w:rsid w:val="00CC4A6A"/>
    <w:rsid w:val="00CC4A84"/>
    <w:rsid w:val="00CC4B21"/>
    <w:rsid w:val="00CC4B79"/>
    <w:rsid w:val="00CC4BF0"/>
    <w:rsid w:val="00CC4C10"/>
    <w:rsid w:val="00CC4C16"/>
    <w:rsid w:val="00CC4C7F"/>
    <w:rsid w:val="00CC4D05"/>
    <w:rsid w:val="00CC4D4A"/>
    <w:rsid w:val="00CC4D75"/>
    <w:rsid w:val="00CC4DA1"/>
    <w:rsid w:val="00CC4DD7"/>
    <w:rsid w:val="00CC4DF1"/>
    <w:rsid w:val="00CC4E00"/>
    <w:rsid w:val="00CC4E06"/>
    <w:rsid w:val="00CC4E14"/>
    <w:rsid w:val="00CC4EE1"/>
    <w:rsid w:val="00CC4F2D"/>
    <w:rsid w:val="00CC4F6F"/>
    <w:rsid w:val="00CC4F77"/>
    <w:rsid w:val="00CC4FC9"/>
    <w:rsid w:val="00CC503D"/>
    <w:rsid w:val="00CC507D"/>
    <w:rsid w:val="00CC507F"/>
    <w:rsid w:val="00CC50DF"/>
    <w:rsid w:val="00CC50E9"/>
    <w:rsid w:val="00CC50F3"/>
    <w:rsid w:val="00CC511A"/>
    <w:rsid w:val="00CC513C"/>
    <w:rsid w:val="00CC5188"/>
    <w:rsid w:val="00CC5189"/>
    <w:rsid w:val="00CC51D9"/>
    <w:rsid w:val="00CC5211"/>
    <w:rsid w:val="00CC5272"/>
    <w:rsid w:val="00CC5294"/>
    <w:rsid w:val="00CC52BF"/>
    <w:rsid w:val="00CC52C6"/>
    <w:rsid w:val="00CC52EE"/>
    <w:rsid w:val="00CC52FF"/>
    <w:rsid w:val="00CC538E"/>
    <w:rsid w:val="00CC53E9"/>
    <w:rsid w:val="00CC540E"/>
    <w:rsid w:val="00CC544C"/>
    <w:rsid w:val="00CC5489"/>
    <w:rsid w:val="00CC54DF"/>
    <w:rsid w:val="00CC54F4"/>
    <w:rsid w:val="00CC5524"/>
    <w:rsid w:val="00CC5531"/>
    <w:rsid w:val="00CC554F"/>
    <w:rsid w:val="00CC559D"/>
    <w:rsid w:val="00CC55D4"/>
    <w:rsid w:val="00CC56C0"/>
    <w:rsid w:val="00CC56D7"/>
    <w:rsid w:val="00CC56FF"/>
    <w:rsid w:val="00CC5759"/>
    <w:rsid w:val="00CC57BD"/>
    <w:rsid w:val="00CC5861"/>
    <w:rsid w:val="00CC58AF"/>
    <w:rsid w:val="00CC58BC"/>
    <w:rsid w:val="00CC58EF"/>
    <w:rsid w:val="00CC5A22"/>
    <w:rsid w:val="00CC5A50"/>
    <w:rsid w:val="00CC5A7B"/>
    <w:rsid w:val="00CC5AF2"/>
    <w:rsid w:val="00CC5B0B"/>
    <w:rsid w:val="00CC5B39"/>
    <w:rsid w:val="00CC5B87"/>
    <w:rsid w:val="00CC5B8B"/>
    <w:rsid w:val="00CC5C7C"/>
    <w:rsid w:val="00CC5C9A"/>
    <w:rsid w:val="00CC5CB0"/>
    <w:rsid w:val="00CC5D27"/>
    <w:rsid w:val="00CC5D5F"/>
    <w:rsid w:val="00CC5D86"/>
    <w:rsid w:val="00CC5D8A"/>
    <w:rsid w:val="00CC5D91"/>
    <w:rsid w:val="00CC5DA8"/>
    <w:rsid w:val="00CC5E43"/>
    <w:rsid w:val="00CC5E76"/>
    <w:rsid w:val="00CC5E91"/>
    <w:rsid w:val="00CC5F09"/>
    <w:rsid w:val="00CC5F60"/>
    <w:rsid w:val="00CC5F70"/>
    <w:rsid w:val="00CC5FC1"/>
    <w:rsid w:val="00CC6008"/>
    <w:rsid w:val="00CC601B"/>
    <w:rsid w:val="00CC6047"/>
    <w:rsid w:val="00CC606C"/>
    <w:rsid w:val="00CC6071"/>
    <w:rsid w:val="00CC60DC"/>
    <w:rsid w:val="00CC60E4"/>
    <w:rsid w:val="00CC612C"/>
    <w:rsid w:val="00CC6160"/>
    <w:rsid w:val="00CC61DF"/>
    <w:rsid w:val="00CC61E5"/>
    <w:rsid w:val="00CC6235"/>
    <w:rsid w:val="00CC6236"/>
    <w:rsid w:val="00CC62A8"/>
    <w:rsid w:val="00CC62C5"/>
    <w:rsid w:val="00CC6353"/>
    <w:rsid w:val="00CC635C"/>
    <w:rsid w:val="00CC6360"/>
    <w:rsid w:val="00CC6378"/>
    <w:rsid w:val="00CC6384"/>
    <w:rsid w:val="00CC639E"/>
    <w:rsid w:val="00CC63CC"/>
    <w:rsid w:val="00CC63E9"/>
    <w:rsid w:val="00CC6446"/>
    <w:rsid w:val="00CC6459"/>
    <w:rsid w:val="00CC6496"/>
    <w:rsid w:val="00CC653C"/>
    <w:rsid w:val="00CC6546"/>
    <w:rsid w:val="00CC6564"/>
    <w:rsid w:val="00CC661B"/>
    <w:rsid w:val="00CC6707"/>
    <w:rsid w:val="00CC6742"/>
    <w:rsid w:val="00CC6743"/>
    <w:rsid w:val="00CC6761"/>
    <w:rsid w:val="00CC6763"/>
    <w:rsid w:val="00CC677C"/>
    <w:rsid w:val="00CC6792"/>
    <w:rsid w:val="00CC67C7"/>
    <w:rsid w:val="00CC67DD"/>
    <w:rsid w:val="00CC681A"/>
    <w:rsid w:val="00CC6823"/>
    <w:rsid w:val="00CC68A0"/>
    <w:rsid w:val="00CC692E"/>
    <w:rsid w:val="00CC693F"/>
    <w:rsid w:val="00CC6954"/>
    <w:rsid w:val="00CC6968"/>
    <w:rsid w:val="00CC6997"/>
    <w:rsid w:val="00CC6A05"/>
    <w:rsid w:val="00CC6A2D"/>
    <w:rsid w:val="00CC6AC8"/>
    <w:rsid w:val="00CC6B24"/>
    <w:rsid w:val="00CC6B2D"/>
    <w:rsid w:val="00CC6B74"/>
    <w:rsid w:val="00CC6BA0"/>
    <w:rsid w:val="00CC6BC6"/>
    <w:rsid w:val="00CC6BD7"/>
    <w:rsid w:val="00CC6CAE"/>
    <w:rsid w:val="00CC6CC5"/>
    <w:rsid w:val="00CC6CD8"/>
    <w:rsid w:val="00CC6D3E"/>
    <w:rsid w:val="00CC6D91"/>
    <w:rsid w:val="00CC6DBB"/>
    <w:rsid w:val="00CC6DC6"/>
    <w:rsid w:val="00CC6EAA"/>
    <w:rsid w:val="00CC6F17"/>
    <w:rsid w:val="00CC6FA8"/>
    <w:rsid w:val="00CC6FD6"/>
    <w:rsid w:val="00CC7009"/>
    <w:rsid w:val="00CC7047"/>
    <w:rsid w:val="00CC7068"/>
    <w:rsid w:val="00CC70D2"/>
    <w:rsid w:val="00CC711F"/>
    <w:rsid w:val="00CC7163"/>
    <w:rsid w:val="00CC718A"/>
    <w:rsid w:val="00CC71E3"/>
    <w:rsid w:val="00CC71F6"/>
    <w:rsid w:val="00CC72AC"/>
    <w:rsid w:val="00CC7303"/>
    <w:rsid w:val="00CC7335"/>
    <w:rsid w:val="00CC7377"/>
    <w:rsid w:val="00CC73BE"/>
    <w:rsid w:val="00CC73E2"/>
    <w:rsid w:val="00CC743B"/>
    <w:rsid w:val="00CC7441"/>
    <w:rsid w:val="00CC745E"/>
    <w:rsid w:val="00CC750A"/>
    <w:rsid w:val="00CC7519"/>
    <w:rsid w:val="00CC754C"/>
    <w:rsid w:val="00CC75EC"/>
    <w:rsid w:val="00CC7657"/>
    <w:rsid w:val="00CC76D7"/>
    <w:rsid w:val="00CC777B"/>
    <w:rsid w:val="00CC777C"/>
    <w:rsid w:val="00CC77C3"/>
    <w:rsid w:val="00CC77F1"/>
    <w:rsid w:val="00CC7829"/>
    <w:rsid w:val="00CC7837"/>
    <w:rsid w:val="00CC78FA"/>
    <w:rsid w:val="00CC7916"/>
    <w:rsid w:val="00CC7921"/>
    <w:rsid w:val="00CC7940"/>
    <w:rsid w:val="00CC7942"/>
    <w:rsid w:val="00CC7982"/>
    <w:rsid w:val="00CC7991"/>
    <w:rsid w:val="00CC799A"/>
    <w:rsid w:val="00CC79D2"/>
    <w:rsid w:val="00CC79E8"/>
    <w:rsid w:val="00CC7A4A"/>
    <w:rsid w:val="00CC7A55"/>
    <w:rsid w:val="00CC7A87"/>
    <w:rsid w:val="00CC7B4E"/>
    <w:rsid w:val="00CC7B75"/>
    <w:rsid w:val="00CC7B8B"/>
    <w:rsid w:val="00CC7BA0"/>
    <w:rsid w:val="00CC7BC3"/>
    <w:rsid w:val="00CC7C26"/>
    <w:rsid w:val="00CC7CCC"/>
    <w:rsid w:val="00CC7D89"/>
    <w:rsid w:val="00CC7DE6"/>
    <w:rsid w:val="00CC7DF4"/>
    <w:rsid w:val="00CC7E3A"/>
    <w:rsid w:val="00CC7EA7"/>
    <w:rsid w:val="00CC7EAF"/>
    <w:rsid w:val="00CC7EE3"/>
    <w:rsid w:val="00CC7EFE"/>
    <w:rsid w:val="00CC7F1D"/>
    <w:rsid w:val="00CC7F32"/>
    <w:rsid w:val="00CC7F33"/>
    <w:rsid w:val="00CC7FD0"/>
    <w:rsid w:val="00CD00E5"/>
    <w:rsid w:val="00CD0145"/>
    <w:rsid w:val="00CD0146"/>
    <w:rsid w:val="00CD0216"/>
    <w:rsid w:val="00CD021D"/>
    <w:rsid w:val="00CD023E"/>
    <w:rsid w:val="00CD029E"/>
    <w:rsid w:val="00CD02D3"/>
    <w:rsid w:val="00CD0311"/>
    <w:rsid w:val="00CD0331"/>
    <w:rsid w:val="00CD0332"/>
    <w:rsid w:val="00CD0336"/>
    <w:rsid w:val="00CD034C"/>
    <w:rsid w:val="00CD0382"/>
    <w:rsid w:val="00CD03AD"/>
    <w:rsid w:val="00CD042D"/>
    <w:rsid w:val="00CD04E1"/>
    <w:rsid w:val="00CD0503"/>
    <w:rsid w:val="00CD0581"/>
    <w:rsid w:val="00CD058E"/>
    <w:rsid w:val="00CD05D7"/>
    <w:rsid w:val="00CD0664"/>
    <w:rsid w:val="00CD066E"/>
    <w:rsid w:val="00CD07A1"/>
    <w:rsid w:val="00CD07BF"/>
    <w:rsid w:val="00CD0814"/>
    <w:rsid w:val="00CD08B6"/>
    <w:rsid w:val="00CD08F3"/>
    <w:rsid w:val="00CD097B"/>
    <w:rsid w:val="00CD09D8"/>
    <w:rsid w:val="00CD0A0A"/>
    <w:rsid w:val="00CD0A5B"/>
    <w:rsid w:val="00CD0A77"/>
    <w:rsid w:val="00CD0ADA"/>
    <w:rsid w:val="00CD0B2D"/>
    <w:rsid w:val="00CD0B2E"/>
    <w:rsid w:val="00CD0B35"/>
    <w:rsid w:val="00CD0B91"/>
    <w:rsid w:val="00CD0BB6"/>
    <w:rsid w:val="00CD0BC9"/>
    <w:rsid w:val="00CD0BF7"/>
    <w:rsid w:val="00CD0C13"/>
    <w:rsid w:val="00CD0C35"/>
    <w:rsid w:val="00CD0C7D"/>
    <w:rsid w:val="00CD0CA4"/>
    <w:rsid w:val="00CD0CB2"/>
    <w:rsid w:val="00CD0CF1"/>
    <w:rsid w:val="00CD0D1E"/>
    <w:rsid w:val="00CD0DB9"/>
    <w:rsid w:val="00CD0DE3"/>
    <w:rsid w:val="00CD0F3A"/>
    <w:rsid w:val="00CD0F5A"/>
    <w:rsid w:val="00CD0F5C"/>
    <w:rsid w:val="00CD0FA3"/>
    <w:rsid w:val="00CD103F"/>
    <w:rsid w:val="00CD1106"/>
    <w:rsid w:val="00CD113D"/>
    <w:rsid w:val="00CD1167"/>
    <w:rsid w:val="00CD11B8"/>
    <w:rsid w:val="00CD11C6"/>
    <w:rsid w:val="00CD11EA"/>
    <w:rsid w:val="00CD128F"/>
    <w:rsid w:val="00CD12E6"/>
    <w:rsid w:val="00CD1304"/>
    <w:rsid w:val="00CD1321"/>
    <w:rsid w:val="00CD1324"/>
    <w:rsid w:val="00CD1343"/>
    <w:rsid w:val="00CD136F"/>
    <w:rsid w:val="00CD13CE"/>
    <w:rsid w:val="00CD13D0"/>
    <w:rsid w:val="00CD1459"/>
    <w:rsid w:val="00CD14CE"/>
    <w:rsid w:val="00CD157A"/>
    <w:rsid w:val="00CD158E"/>
    <w:rsid w:val="00CD15BB"/>
    <w:rsid w:val="00CD15DB"/>
    <w:rsid w:val="00CD1601"/>
    <w:rsid w:val="00CD1651"/>
    <w:rsid w:val="00CD167C"/>
    <w:rsid w:val="00CD1693"/>
    <w:rsid w:val="00CD16B4"/>
    <w:rsid w:val="00CD173E"/>
    <w:rsid w:val="00CD1740"/>
    <w:rsid w:val="00CD17EF"/>
    <w:rsid w:val="00CD1818"/>
    <w:rsid w:val="00CD1842"/>
    <w:rsid w:val="00CD1858"/>
    <w:rsid w:val="00CD185C"/>
    <w:rsid w:val="00CD1894"/>
    <w:rsid w:val="00CD189D"/>
    <w:rsid w:val="00CD18AF"/>
    <w:rsid w:val="00CD18FB"/>
    <w:rsid w:val="00CD1925"/>
    <w:rsid w:val="00CD1937"/>
    <w:rsid w:val="00CD1A23"/>
    <w:rsid w:val="00CD1A36"/>
    <w:rsid w:val="00CD1A39"/>
    <w:rsid w:val="00CD1AAB"/>
    <w:rsid w:val="00CD1B7B"/>
    <w:rsid w:val="00CD1B8D"/>
    <w:rsid w:val="00CD1B9C"/>
    <w:rsid w:val="00CD1BE5"/>
    <w:rsid w:val="00CD1BE8"/>
    <w:rsid w:val="00CD1BFD"/>
    <w:rsid w:val="00CD1D12"/>
    <w:rsid w:val="00CD1D14"/>
    <w:rsid w:val="00CD1DC1"/>
    <w:rsid w:val="00CD1E06"/>
    <w:rsid w:val="00CD1E3E"/>
    <w:rsid w:val="00CD1E55"/>
    <w:rsid w:val="00CD1EBB"/>
    <w:rsid w:val="00CD1EF3"/>
    <w:rsid w:val="00CD1F0A"/>
    <w:rsid w:val="00CD1F57"/>
    <w:rsid w:val="00CD1F73"/>
    <w:rsid w:val="00CD1F9A"/>
    <w:rsid w:val="00CD1FF2"/>
    <w:rsid w:val="00CD2003"/>
    <w:rsid w:val="00CD2096"/>
    <w:rsid w:val="00CD209E"/>
    <w:rsid w:val="00CD20C8"/>
    <w:rsid w:val="00CD20DF"/>
    <w:rsid w:val="00CD20FF"/>
    <w:rsid w:val="00CD215B"/>
    <w:rsid w:val="00CD2162"/>
    <w:rsid w:val="00CD2192"/>
    <w:rsid w:val="00CD21A5"/>
    <w:rsid w:val="00CD21AF"/>
    <w:rsid w:val="00CD21CD"/>
    <w:rsid w:val="00CD21E2"/>
    <w:rsid w:val="00CD21E7"/>
    <w:rsid w:val="00CD2254"/>
    <w:rsid w:val="00CD2261"/>
    <w:rsid w:val="00CD2285"/>
    <w:rsid w:val="00CD2289"/>
    <w:rsid w:val="00CD22C0"/>
    <w:rsid w:val="00CD230E"/>
    <w:rsid w:val="00CD233A"/>
    <w:rsid w:val="00CD233E"/>
    <w:rsid w:val="00CD2340"/>
    <w:rsid w:val="00CD2346"/>
    <w:rsid w:val="00CD2353"/>
    <w:rsid w:val="00CD2386"/>
    <w:rsid w:val="00CD238A"/>
    <w:rsid w:val="00CD2423"/>
    <w:rsid w:val="00CD242A"/>
    <w:rsid w:val="00CD247A"/>
    <w:rsid w:val="00CD24F8"/>
    <w:rsid w:val="00CD2516"/>
    <w:rsid w:val="00CD25C5"/>
    <w:rsid w:val="00CD2643"/>
    <w:rsid w:val="00CD26B3"/>
    <w:rsid w:val="00CD26B6"/>
    <w:rsid w:val="00CD2722"/>
    <w:rsid w:val="00CD27A4"/>
    <w:rsid w:val="00CD286F"/>
    <w:rsid w:val="00CD28A4"/>
    <w:rsid w:val="00CD28CF"/>
    <w:rsid w:val="00CD2920"/>
    <w:rsid w:val="00CD292B"/>
    <w:rsid w:val="00CD2934"/>
    <w:rsid w:val="00CD2960"/>
    <w:rsid w:val="00CD2964"/>
    <w:rsid w:val="00CD2965"/>
    <w:rsid w:val="00CD2A15"/>
    <w:rsid w:val="00CD2A66"/>
    <w:rsid w:val="00CD2A71"/>
    <w:rsid w:val="00CD2A86"/>
    <w:rsid w:val="00CD2A96"/>
    <w:rsid w:val="00CD2AE0"/>
    <w:rsid w:val="00CD2B19"/>
    <w:rsid w:val="00CD2B24"/>
    <w:rsid w:val="00CD2B29"/>
    <w:rsid w:val="00CD2B7F"/>
    <w:rsid w:val="00CD2BC1"/>
    <w:rsid w:val="00CD2BE7"/>
    <w:rsid w:val="00CD2BEB"/>
    <w:rsid w:val="00CD2C47"/>
    <w:rsid w:val="00CD2CBE"/>
    <w:rsid w:val="00CD2CF6"/>
    <w:rsid w:val="00CD2CFF"/>
    <w:rsid w:val="00CD2D25"/>
    <w:rsid w:val="00CD2D34"/>
    <w:rsid w:val="00CD2D57"/>
    <w:rsid w:val="00CD2D71"/>
    <w:rsid w:val="00CD2D81"/>
    <w:rsid w:val="00CD2DFF"/>
    <w:rsid w:val="00CD2E19"/>
    <w:rsid w:val="00CD2E7A"/>
    <w:rsid w:val="00CD2E8C"/>
    <w:rsid w:val="00CD2F45"/>
    <w:rsid w:val="00CD2FFF"/>
    <w:rsid w:val="00CD3028"/>
    <w:rsid w:val="00CD3056"/>
    <w:rsid w:val="00CD3093"/>
    <w:rsid w:val="00CD3098"/>
    <w:rsid w:val="00CD3103"/>
    <w:rsid w:val="00CD3153"/>
    <w:rsid w:val="00CD3197"/>
    <w:rsid w:val="00CD31AB"/>
    <w:rsid w:val="00CD31B3"/>
    <w:rsid w:val="00CD31F6"/>
    <w:rsid w:val="00CD31F8"/>
    <w:rsid w:val="00CD3216"/>
    <w:rsid w:val="00CD3248"/>
    <w:rsid w:val="00CD3347"/>
    <w:rsid w:val="00CD3358"/>
    <w:rsid w:val="00CD33A3"/>
    <w:rsid w:val="00CD33B3"/>
    <w:rsid w:val="00CD33BF"/>
    <w:rsid w:val="00CD342C"/>
    <w:rsid w:val="00CD3452"/>
    <w:rsid w:val="00CD3487"/>
    <w:rsid w:val="00CD34A4"/>
    <w:rsid w:val="00CD34B6"/>
    <w:rsid w:val="00CD34C0"/>
    <w:rsid w:val="00CD34F0"/>
    <w:rsid w:val="00CD3542"/>
    <w:rsid w:val="00CD3548"/>
    <w:rsid w:val="00CD356B"/>
    <w:rsid w:val="00CD3614"/>
    <w:rsid w:val="00CD3615"/>
    <w:rsid w:val="00CD3639"/>
    <w:rsid w:val="00CD3694"/>
    <w:rsid w:val="00CD36B0"/>
    <w:rsid w:val="00CD36CC"/>
    <w:rsid w:val="00CD36D2"/>
    <w:rsid w:val="00CD36EC"/>
    <w:rsid w:val="00CD36FE"/>
    <w:rsid w:val="00CD3719"/>
    <w:rsid w:val="00CD371F"/>
    <w:rsid w:val="00CD374F"/>
    <w:rsid w:val="00CD37C8"/>
    <w:rsid w:val="00CD37DB"/>
    <w:rsid w:val="00CD381C"/>
    <w:rsid w:val="00CD384A"/>
    <w:rsid w:val="00CD3855"/>
    <w:rsid w:val="00CD38C3"/>
    <w:rsid w:val="00CD3909"/>
    <w:rsid w:val="00CD3927"/>
    <w:rsid w:val="00CD396E"/>
    <w:rsid w:val="00CD3982"/>
    <w:rsid w:val="00CD39C5"/>
    <w:rsid w:val="00CD39EF"/>
    <w:rsid w:val="00CD3ADF"/>
    <w:rsid w:val="00CD3BB4"/>
    <w:rsid w:val="00CD3C16"/>
    <w:rsid w:val="00CD3CD3"/>
    <w:rsid w:val="00CD3D89"/>
    <w:rsid w:val="00CD3DA6"/>
    <w:rsid w:val="00CD3E00"/>
    <w:rsid w:val="00CD3E59"/>
    <w:rsid w:val="00CD3EEA"/>
    <w:rsid w:val="00CD3F0B"/>
    <w:rsid w:val="00CD3F3F"/>
    <w:rsid w:val="00CD3F4C"/>
    <w:rsid w:val="00CD3FC4"/>
    <w:rsid w:val="00CD4022"/>
    <w:rsid w:val="00CD4097"/>
    <w:rsid w:val="00CD4158"/>
    <w:rsid w:val="00CD416A"/>
    <w:rsid w:val="00CD4172"/>
    <w:rsid w:val="00CD41CA"/>
    <w:rsid w:val="00CD4270"/>
    <w:rsid w:val="00CD4282"/>
    <w:rsid w:val="00CD4303"/>
    <w:rsid w:val="00CD4316"/>
    <w:rsid w:val="00CD437B"/>
    <w:rsid w:val="00CD43AE"/>
    <w:rsid w:val="00CD447D"/>
    <w:rsid w:val="00CD44B9"/>
    <w:rsid w:val="00CD44C6"/>
    <w:rsid w:val="00CD4515"/>
    <w:rsid w:val="00CD4598"/>
    <w:rsid w:val="00CD45FD"/>
    <w:rsid w:val="00CD45FF"/>
    <w:rsid w:val="00CD4606"/>
    <w:rsid w:val="00CD463B"/>
    <w:rsid w:val="00CD464D"/>
    <w:rsid w:val="00CD4650"/>
    <w:rsid w:val="00CD4684"/>
    <w:rsid w:val="00CD4693"/>
    <w:rsid w:val="00CD46CE"/>
    <w:rsid w:val="00CD474E"/>
    <w:rsid w:val="00CD474F"/>
    <w:rsid w:val="00CD4771"/>
    <w:rsid w:val="00CD47BE"/>
    <w:rsid w:val="00CD47E5"/>
    <w:rsid w:val="00CD4813"/>
    <w:rsid w:val="00CD4818"/>
    <w:rsid w:val="00CD486A"/>
    <w:rsid w:val="00CD4998"/>
    <w:rsid w:val="00CD4A88"/>
    <w:rsid w:val="00CD4A9C"/>
    <w:rsid w:val="00CD4AF7"/>
    <w:rsid w:val="00CD4C10"/>
    <w:rsid w:val="00CD4D43"/>
    <w:rsid w:val="00CD4D65"/>
    <w:rsid w:val="00CD4D88"/>
    <w:rsid w:val="00CD4DE5"/>
    <w:rsid w:val="00CD4E0A"/>
    <w:rsid w:val="00CD4E0D"/>
    <w:rsid w:val="00CD4E16"/>
    <w:rsid w:val="00CD4E75"/>
    <w:rsid w:val="00CD4ED0"/>
    <w:rsid w:val="00CD4F4C"/>
    <w:rsid w:val="00CD4F81"/>
    <w:rsid w:val="00CD4FA4"/>
    <w:rsid w:val="00CD4FC3"/>
    <w:rsid w:val="00CD4FCE"/>
    <w:rsid w:val="00CD4FDA"/>
    <w:rsid w:val="00CD501C"/>
    <w:rsid w:val="00CD505E"/>
    <w:rsid w:val="00CD506B"/>
    <w:rsid w:val="00CD50D1"/>
    <w:rsid w:val="00CD50D5"/>
    <w:rsid w:val="00CD5113"/>
    <w:rsid w:val="00CD513E"/>
    <w:rsid w:val="00CD523F"/>
    <w:rsid w:val="00CD52D5"/>
    <w:rsid w:val="00CD5318"/>
    <w:rsid w:val="00CD5340"/>
    <w:rsid w:val="00CD5365"/>
    <w:rsid w:val="00CD536C"/>
    <w:rsid w:val="00CD5384"/>
    <w:rsid w:val="00CD53F4"/>
    <w:rsid w:val="00CD54CB"/>
    <w:rsid w:val="00CD54EE"/>
    <w:rsid w:val="00CD5544"/>
    <w:rsid w:val="00CD5565"/>
    <w:rsid w:val="00CD5597"/>
    <w:rsid w:val="00CD55AD"/>
    <w:rsid w:val="00CD55B4"/>
    <w:rsid w:val="00CD561F"/>
    <w:rsid w:val="00CD5695"/>
    <w:rsid w:val="00CD5721"/>
    <w:rsid w:val="00CD5751"/>
    <w:rsid w:val="00CD575C"/>
    <w:rsid w:val="00CD57B7"/>
    <w:rsid w:val="00CD5818"/>
    <w:rsid w:val="00CD581E"/>
    <w:rsid w:val="00CD5840"/>
    <w:rsid w:val="00CD5848"/>
    <w:rsid w:val="00CD5850"/>
    <w:rsid w:val="00CD586A"/>
    <w:rsid w:val="00CD5910"/>
    <w:rsid w:val="00CD59C8"/>
    <w:rsid w:val="00CD5A8F"/>
    <w:rsid w:val="00CD5A90"/>
    <w:rsid w:val="00CD5B01"/>
    <w:rsid w:val="00CD5B55"/>
    <w:rsid w:val="00CD5B69"/>
    <w:rsid w:val="00CD5BE2"/>
    <w:rsid w:val="00CD5C02"/>
    <w:rsid w:val="00CD5C5E"/>
    <w:rsid w:val="00CD5C68"/>
    <w:rsid w:val="00CD5C72"/>
    <w:rsid w:val="00CD5C96"/>
    <w:rsid w:val="00CD5CF7"/>
    <w:rsid w:val="00CD5D50"/>
    <w:rsid w:val="00CD5DEB"/>
    <w:rsid w:val="00CD5DFA"/>
    <w:rsid w:val="00CD5E10"/>
    <w:rsid w:val="00CD5E16"/>
    <w:rsid w:val="00CD5E58"/>
    <w:rsid w:val="00CD5E97"/>
    <w:rsid w:val="00CD5ECC"/>
    <w:rsid w:val="00CD603B"/>
    <w:rsid w:val="00CD604E"/>
    <w:rsid w:val="00CD606E"/>
    <w:rsid w:val="00CD60F5"/>
    <w:rsid w:val="00CD612E"/>
    <w:rsid w:val="00CD6135"/>
    <w:rsid w:val="00CD617C"/>
    <w:rsid w:val="00CD6181"/>
    <w:rsid w:val="00CD6199"/>
    <w:rsid w:val="00CD626E"/>
    <w:rsid w:val="00CD6271"/>
    <w:rsid w:val="00CD62C0"/>
    <w:rsid w:val="00CD62E0"/>
    <w:rsid w:val="00CD62E3"/>
    <w:rsid w:val="00CD6348"/>
    <w:rsid w:val="00CD63A8"/>
    <w:rsid w:val="00CD63D1"/>
    <w:rsid w:val="00CD644D"/>
    <w:rsid w:val="00CD648D"/>
    <w:rsid w:val="00CD649B"/>
    <w:rsid w:val="00CD654B"/>
    <w:rsid w:val="00CD65CC"/>
    <w:rsid w:val="00CD6795"/>
    <w:rsid w:val="00CD67E2"/>
    <w:rsid w:val="00CD67E6"/>
    <w:rsid w:val="00CD68FF"/>
    <w:rsid w:val="00CD6936"/>
    <w:rsid w:val="00CD699F"/>
    <w:rsid w:val="00CD69BF"/>
    <w:rsid w:val="00CD69D8"/>
    <w:rsid w:val="00CD6A09"/>
    <w:rsid w:val="00CD6A1E"/>
    <w:rsid w:val="00CD6B31"/>
    <w:rsid w:val="00CD6B71"/>
    <w:rsid w:val="00CD6B97"/>
    <w:rsid w:val="00CD6BEA"/>
    <w:rsid w:val="00CD6C0E"/>
    <w:rsid w:val="00CD6C77"/>
    <w:rsid w:val="00CD6CDC"/>
    <w:rsid w:val="00CD6D49"/>
    <w:rsid w:val="00CD6D79"/>
    <w:rsid w:val="00CD6D91"/>
    <w:rsid w:val="00CD6E1F"/>
    <w:rsid w:val="00CD6E50"/>
    <w:rsid w:val="00CD6E71"/>
    <w:rsid w:val="00CD6F06"/>
    <w:rsid w:val="00CD6F0D"/>
    <w:rsid w:val="00CD6F3A"/>
    <w:rsid w:val="00CD6F4A"/>
    <w:rsid w:val="00CD6F5B"/>
    <w:rsid w:val="00CD7058"/>
    <w:rsid w:val="00CD707D"/>
    <w:rsid w:val="00CD70B6"/>
    <w:rsid w:val="00CD70C5"/>
    <w:rsid w:val="00CD70E7"/>
    <w:rsid w:val="00CD7142"/>
    <w:rsid w:val="00CD7155"/>
    <w:rsid w:val="00CD718A"/>
    <w:rsid w:val="00CD71BA"/>
    <w:rsid w:val="00CD7208"/>
    <w:rsid w:val="00CD7250"/>
    <w:rsid w:val="00CD7270"/>
    <w:rsid w:val="00CD72B1"/>
    <w:rsid w:val="00CD72F2"/>
    <w:rsid w:val="00CD735C"/>
    <w:rsid w:val="00CD7381"/>
    <w:rsid w:val="00CD73F0"/>
    <w:rsid w:val="00CD74AD"/>
    <w:rsid w:val="00CD74DC"/>
    <w:rsid w:val="00CD7521"/>
    <w:rsid w:val="00CD75B7"/>
    <w:rsid w:val="00CD75BC"/>
    <w:rsid w:val="00CD75C3"/>
    <w:rsid w:val="00CD75D6"/>
    <w:rsid w:val="00CD763B"/>
    <w:rsid w:val="00CD7646"/>
    <w:rsid w:val="00CD7652"/>
    <w:rsid w:val="00CD7655"/>
    <w:rsid w:val="00CD765F"/>
    <w:rsid w:val="00CD768D"/>
    <w:rsid w:val="00CD7704"/>
    <w:rsid w:val="00CD772F"/>
    <w:rsid w:val="00CD7731"/>
    <w:rsid w:val="00CD7758"/>
    <w:rsid w:val="00CD7786"/>
    <w:rsid w:val="00CD78E0"/>
    <w:rsid w:val="00CD7946"/>
    <w:rsid w:val="00CD7965"/>
    <w:rsid w:val="00CD79E2"/>
    <w:rsid w:val="00CD79F8"/>
    <w:rsid w:val="00CD7A1D"/>
    <w:rsid w:val="00CD7A34"/>
    <w:rsid w:val="00CD7A5F"/>
    <w:rsid w:val="00CD7AF3"/>
    <w:rsid w:val="00CD7B9E"/>
    <w:rsid w:val="00CD7BDF"/>
    <w:rsid w:val="00CD7D40"/>
    <w:rsid w:val="00CD7D68"/>
    <w:rsid w:val="00CD7D94"/>
    <w:rsid w:val="00CD7DAE"/>
    <w:rsid w:val="00CD7EBE"/>
    <w:rsid w:val="00CD7EBF"/>
    <w:rsid w:val="00CD7ED4"/>
    <w:rsid w:val="00CD7F34"/>
    <w:rsid w:val="00CD7F8D"/>
    <w:rsid w:val="00CD7F8E"/>
    <w:rsid w:val="00CE005B"/>
    <w:rsid w:val="00CE00F0"/>
    <w:rsid w:val="00CE0155"/>
    <w:rsid w:val="00CE0217"/>
    <w:rsid w:val="00CE024A"/>
    <w:rsid w:val="00CE0283"/>
    <w:rsid w:val="00CE02BA"/>
    <w:rsid w:val="00CE02C0"/>
    <w:rsid w:val="00CE030D"/>
    <w:rsid w:val="00CE0313"/>
    <w:rsid w:val="00CE034A"/>
    <w:rsid w:val="00CE036B"/>
    <w:rsid w:val="00CE0394"/>
    <w:rsid w:val="00CE03EA"/>
    <w:rsid w:val="00CE0404"/>
    <w:rsid w:val="00CE043F"/>
    <w:rsid w:val="00CE044A"/>
    <w:rsid w:val="00CE0463"/>
    <w:rsid w:val="00CE0584"/>
    <w:rsid w:val="00CE058A"/>
    <w:rsid w:val="00CE05C2"/>
    <w:rsid w:val="00CE05C8"/>
    <w:rsid w:val="00CE05CE"/>
    <w:rsid w:val="00CE0629"/>
    <w:rsid w:val="00CE063D"/>
    <w:rsid w:val="00CE069D"/>
    <w:rsid w:val="00CE06B5"/>
    <w:rsid w:val="00CE0704"/>
    <w:rsid w:val="00CE0774"/>
    <w:rsid w:val="00CE07BE"/>
    <w:rsid w:val="00CE0845"/>
    <w:rsid w:val="00CE084A"/>
    <w:rsid w:val="00CE0862"/>
    <w:rsid w:val="00CE0873"/>
    <w:rsid w:val="00CE08FC"/>
    <w:rsid w:val="00CE0907"/>
    <w:rsid w:val="00CE0945"/>
    <w:rsid w:val="00CE09BC"/>
    <w:rsid w:val="00CE09CB"/>
    <w:rsid w:val="00CE09D7"/>
    <w:rsid w:val="00CE0A05"/>
    <w:rsid w:val="00CE0A0D"/>
    <w:rsid w:val="00CE0A3C"/>
    <w:rsid w:val="00CE0A44"/>
    <w:rsid w:val="00CE0A87"/>
    <w:rsid w:val="00CE0ADB"/>
    <w:rsid w:val="00CE0B2B"/>
    <w:rsid w:val="00CE0B41"/>
    <w:rsid w:val="00CE0B98"/>
    <w:rsid w:val="00CE0BFF"/>
    <w:rsid w:val="00CE0C34"/>
    <w:rsid w:val="00CE0D3F"/>
    <w:rsid w:val="00CE0D6D"/>
    <w:rsid w:val="00CE0DD0"/>
    <w:rsid w:val="00CE0DF1"/>
    <w:rsid w:val="00CE0E0D"/>
    <w:rsid w:val="00CE0E22"/>
    <w:rsid w:val="00CE0F11"/>
    <w:rsid w:val="00CE0F18"/>
    <w:rsid w:val="00CE0F42"/>
    <w:rsid w:val="00CE0FA2"/>
    <w:rsid w:val="00CE1017"/>
    <w:rsid w:val="00CE1095"/>
    <w:rsid w:val="00CE10A9"/>
    <w:rsid w:val="00CE10C5"/>
    <w:rsid w:val="00CE1106"/>
    <w:rsid w:val="00CE1147"/>
    <w:rsid w:val="00CE11F4"/>
    <w:rsid w:val="00CE11FE"/>
    <w:rsid w:val="00CE120D"/>
    <w:rsid w:val="00CE128B"/>
    <w:rsid w:val="00CE139D"/>
    <w:rsid w:val="00CE13B8"/>
    <w:rsid w:val="00CE144F"/>
    <w:rsid w:val="00CE14CE"/>
    <w:rsid w:val="00CE14D5"/>
    <w:rsid w:val="00CE14E7"/>
    <w:rsid w:val="00CE1590"/>
    <w:rsid w:val="00CE15C2"/>
    <w:rsid w:val="00CE15DE"/>
    <w:rsid w:val="00CE160C"/>
    <w:rsid w:val="00CE1664"/>
    <w:rsid w:val="00CE16CF"/>
    <w:rsid w:val="00CE16EA"/>
    <w:rsid w:val="00CE17D2"/>
    <w:rsid w:val="00CE183F"/>
    <w:rsid w:val="00CE187F"/>
    <w:rsid w:val="00CE18D0"/>
    <w:rsid w:val="00CE1983"/>
    <w:rsid w:val="00CE19EB"/>
    <w:rsid w:val="00CE19ED"/>
    <w:rsid w:val="00CE1A56"/>
    <w:rsid w:val="00CE1A8F"/>
    <w:rsid w:val="00CE1B16"/>
    <w:rsid w:val="00CE1B2A"/>
    <w:rsid w:val="00CE1B2E"/>
    <w:rsid w:val="00CE1B52"/>
    <w:rsid w:val="00CE1B5F"/>
    <w:rsid w:val="00CE1B7A"/>
    <w:rsid w:val="00CE1B8C"/>
    <w:rsid w:val="00CE1B9C"/>
    <w:rsid w:val="00CE1BA0"/>
    <w:rsid w:val="00CE1C24"/>
    <w:rsid w:val="00CE1CE8"/>
    <w:rsid w:val="00CE1D1C"/>
    <w:rsid w:val="00CE1D31"/>
    <w:rsid w:val="00CE1D46"/>
    <w:rsid w:val="00CE1D59"/>
    <w:rsid w:val="00CE1DC9"/>
    <w:rsid w:val="00CE1E31"/>
    <w:rsid w:val="00CE1E3B"/>
    <w:rsid w:val="00CE1EC5"/>
    <w:rsid w:val="00CE1F28"/>
    <w:rsid w:val="00CE1F36"/>
    <w:rsid w:val="00CE1F7D"/>
    <w:rsid w:val="00CE1F93"/>
    <w:rsid w:val="00CE1FDA"/>
    <w:rsid w:val="00CE2016"/>
    <w:rsid w:val="00CE2036"/>
    <w:rsid w:val="00CE2042"/>
    <w:rsid w:val="00CE205F"/>
    <w:rsid w:val="00CE2134"/>
    <w:rsid w:val="00CE223E"/>
    <w:rsid w:val="00CE228D"/>
    <w:rsid w:val="00CE22A9"/>
    <w:rsid w:val="00CE2327"/>
    <w:rsid w:val="00CE2355"/>
    <w:rsid w:val="00CE23FC"/>
    <w:rsid w:val="00CE2406"/>
    <w:rsid w:val="00CE2436"/>
    <w:rsid w:val="00CE24AE"/>
    <w:rsid w:val="00CE24C4"/>
    <w:rsid w:val="00CE2504"/>
    <w:rsid w:val="00CE254D"/>
    <w:rsid w:val="00CE2598"/>
    <w:rsid w:val="00CE26E6"/>
    <w:rsid w:val="00CE2777"/>
    <w:rsid w:val="00CE279E"/>
    <w:rsid w:val="00CE27BD"/>
    <w:rsid w:val="00CE2836"/>
    <w:rsid w:val="00CE28EF"/>
    <w:rsid w:val="00CE2979"/>
    <w:rsid w:val="00CE29A6"/>
    <w:rsid w:val="00CE29A9"/>
    <w:rsid w:val="00CE29DD"/>
    <w:rsid w:val="00CE29FB"/>
    <w:rsid w:val="00CE2A47"/>
    <w:rsid w:val="00CE2A48"/>
    <w:rsid w:val="00CE2A57"/>
    <w:rsid w:val="00CE2AB4"/>
    <w:rsid w:val="00CE2B4A"/>
    <w:rsid w:val="00CE2BB1"/>
    <w:rsid w:val="00CE2C09"/>
    <w:rsid w:val="00CE2CEA"/>
    <w:rsid w:val="00CE2D25"/>
    <w:rsid w:val="00CE2D2F"/>
    <w:rsid w:val="00CE2D42"/>
    <w:rsid w:val="00CE2D6A"/>
    <w:rsid w:val="00CE2DC5"/>
    <w:rsid w:val="00CE2E03"/>
    <w:rsid w:val="00CE2EAF"/>
    <w:rsid w:val="00CE2F04"/>
    <w:rsid w:val="00CE2F29"/>
    <w:rsid w:val="00CE2F5B"/>
    <w:rsid w:val="00CE2FC5"/>
    <w:rsid w:val="00CE2FE2"/>
    <w:rsid w:val="00CE3079"/>
    <w:rsid w:val="00CE30AA"/>
    <w:rsid w:val="00CE30B5"/>
    <w:rsid w:val="00CE30E6"/>
    <w:rsid w:val="00CE311B"/>
    <w:rsid w:val="00CE315E"/>
    <w:rsid w:val="00CE3160"/>
    <w:rsid w:val="00CE3179"/>
    <w:rsid w:val="00CE3204"/>
    <w:rsid w:val="00CE321B"/>
    <w:rsid w:val="00CE325A"/>
    <w:rsid w:val="00CE32BC"/>
    <w:rsid w:val="00CE32F5"/>
    <w:rsid w:val="00CE332B"/>
    <w:rsid w:val="00CE33E0"/>
    <w:rsid w:val="00CE3407"/>
    <w:rsid w:val="00CE3438"/>
    <w:rsid w:val="00CE345E"/>
    <w:rsid w:val="00CE3466"/>
    <w:rsid w:val="00CE3505"/>
    <w:rsid w:val="00CE357E"/>
    <w:rsid w:val="00CE3590"/>
    <w:rsid w:val="00CE3593"/>
    <w:rsid w:val="00CE35F2"/>
    <w:rsid w:val="00CE35FB"/>
    <w:rsid w:val="00CE3686"/>
    <w:rsid w:val="00CE3789"/>
    <w:rsid w:val="00CE37FD"/>
    <w:rsid w:val="00CE3896"/>
    <w:rsid w:val="00CE3899"/>
    <w:rsid w:val="00CE389B"/>
    <w:rsid w:val="00CE38A5"/>
    <w:rsid w:val="00CE38B5"/>
    <w:rsid w:val="00CE3951"/>
    <w:rsid w:val="00CE3986"/>
    <w:rsid w:val="00CE3A55"/>
    <w:rsid w:val="00CE3ABE"/>
    <w:rsid w:val="00CE3AD0"/>
    <w:rsid w:val="00CE3AE2"/>
    <w:rsid w:val="00CE3B1E"/>
    <w:rsid w:val="00CE3BC2"/>
    <w:rsid w:val="00CE3BF4"/>
    <w:rsid w:val="00CE3BF7"/>
    <w:rsid w:val="00CE3C86"/>
    <w:rsid w:val="00CE3D54"/>
    <w:rsid w:val="00CE3D5D"/>
    <w:rsid w:val="00CE3D9E"/>
    <w:rsid w:val="00CE3E04"/>
    <w:rsid w:val="00CE3E4B"/>
    <w:rsid w:val="00CE3E5A"/>
    <w:rsid w:val="00CE3F0C"/>
    <w:rsid w:val="00CE3F7C"/>
    <w:rsid w:val="00CE3FF4"/>
    <w:rsid w:val="00CE4022"/>
    <w:rsid w:val="00CE4044"/>
    <w:rsid w:val="00CE4045"/>
    <w:rsid w:val="00CE408B"/>
    <w:rsid w:val="00CE4185"/>
    <w:rsid w:val="00CE41DF"/>
    <w:rsid w:val="00CE4287"/>
    <w:rsid w:val="00CE42B9"/>
    <w:rsid w:val="00CE42BD"/>
    <w:rsid w:val="00CE42D5"/>
    <w:rsid w:val="00CE4349"/>
    <w:rsid w:val="00CE4355"/>
    <w:rsid w:val="00CE43CA"/>
    <w:rsid w:val="00CE441E"/>
    <w:rsid w:val="00CE44A3"/>
    <w:rsid w:val="00CE44EF"/>
    <w:rsid w:val="00CE451C"/>
    <w:rsid w:val="00CE4541"/>
    <w:rsid w:val="00CE461B"/>
    <w:rsid w:val="00CE46B8"/>
    <w:rsid w:val="00CE4726"/>
    <w:rsid w:val="00CE4730"/>
    <w:rsid w:val="00CE4741"/>
    <w:rsid w:val="00CE475B"/>
    <w:rsid w:val="00CE479A"/>
    <w:rsid w:val="00CE4818"/>
    <w:rsid w:val="00CE4826"/>
    <w:rsid w:val="00CE4858"/>
    <w:rsid w:val="00CE4868"/>
    <w:rsid w:val="00CE48B2"/>
    <w:rsid w:val="00CE48C4"/>
    <w:rsid w:val="00CE48EC"/>
    <w:rsid w:val="00CE4961"/>
    <w:rsid w:val="00CE49C4"/>
    <w:rsid w:val="00CE4A20"/>
    <w:rsid w:val="00CE4A7F"/>
    <w:rsid w:val="00CE4B36"/>
    <w:rsid w:val="00CE4B3A"/>
    <w:rsid w:val="00CE4B43"/>
    <w:rsid w:val="00CE4BB7"/>
    <w:rsid w:val="00CE4C52"/>
    <w:rsid w:val="00CE4C6D"/>
    <w:rsid w:val="00CE4CA1"/>
    <w:rsid w:val="00CE4D1F"/>
    <w:rsid w:val="00CE4DD7"/>
    <w:rsid w:val="00CE4E6A"/>
    <w:rsid w:val="00CE4E84"/>
    <w:rsid w:val="00CE4E88"/>
    <w:rsid w:val="00CE4ED0"/>
    <w:rsid w:val="00CE4ED4"/>
    <w:rsid w:val="00CE4F6E"/>
    <w:rsid w:val="00CE4F74"/>
    <w:rsid w:val="00CE4F8D"/>
    <w:rsid w:val="00CE4FFB"/>
    <w:rsid w:val="00CE502C"/>
    <w:rsid w:val="00CE503F"/>
    <w:rsid w:val="00CE509A"/>
    <w:rsid w:val="00CE50A2"/>
    <w:rsid w:val="00CE50A6"/>
    <w:rsid w:val="00CE50CC"/>
    <w:rsid w:val="00CE50E6"/>
    <w:rsid w:val="00CE50F1"/>
    <w:rsid w:val="00CE5101"/>
    <w:rsid w:val="00CE5113"/>
    <w:rsid w:val="00CE514A"/>
    <w:rsid w:val="00CE5159"/>
    <w:rsid w:val="00CE5163"/>
    <w:rsid w:val="00CE51AD"/>
    <w:rsid w:val="00CE51C7"/>
    <w:rsid w:val="00CE52A7"/>
    <w:rsid w:val="00CE5323"/>
    <w:rsid w:val="00CE538C"/>
    <w:rsid w:val="00CE53C3"/>
    <w:rsid w:val="00CE53F3"/>
    <w:rsid w:val="00CE542A"/>
    <w:rsid w:val="00CE5445"/>
    <w:rsid w:val="00CE5457"/>
    <w:rsid w:val="00CE5488"/>
    <w:rsid w:val="00CE5497"/>
    <w:rsid w:val="00CE5498"/>
    <w:rsid w:val="00CE549E"/>
    <w:rsid w:val="00CE54DB"/>
    <w:rsid w:val="00CE54F0"/>
    <w:rsid w:val="00CE5503"/>
    <w:rsid w:val="00CE55F0"/>
    <w:rsid w:val="00CE562A"/>
    <w:rsid w:val="00CE5674"/>
    <w:rsid w:val="00CE5680"/>
    <w:rsid w:val="00CE56A4"/>
    <w:rsid w:val="00CE56FD"/>
    <w:rsid w:val="00CE5718"/>
    <w:rsid w:val="00CE5720"/>
    <w:rsid w:val="00CE572E"/>
    <w:rsid w:val="00CE57B1"/>
    <w:rsid w:val="00CE57DD"/>
    <w:rsid w:val="00CE57ED"/>
    <w:rsid w:val="00CE581B"/>
    <w:rsid w:val="00CE5825"/>
    <w:rsid w:val="00CE5875"/>
    <w:rsid w:val="00CE58FD"/>
    <w:rsid w:val="00CE5941"/>
    <w:rsid w:val="00CE5998"/>
    <w:rsid w:val="00CE5A88"/>
    <w:rsid w:val="00CE5A99"/>
    <w:rsid w:val="00CE5BB5"/>
    <w:rsid w:val="00CE5BFB"/>
    <w:rsid w:val="00CE5C09"/>
    <w:rsid w:val="00CE5C23"/>
    <w:rsid w:val="00CE5C2E"/>
    <w:rsid w:val="00CE5C56"/>
    <w:rsid w:val="00CE5C66"/>
    <w:rsid w:val="00CE5C71"/>
    <w:rsid w:val="00CE5C7E"/>
    <w:rsid w:val="00CE5D08"/>
    <w:rsid w:val="00CE5D2F"/>
    <w:rsid w:val="00CE5D48"/>
    <w:rsid w:val="00CE5DB9"/>
    <w:rsid w:val="00CE5E2C"/>
    <w:rsid w:val="00CE5EB1"/>
    <w:rsid w:val="00CE5F1A"/>
    <w:rsid w:val="00CE5F21"/>
    <w:rsid w:val="00CE5F6F"/>
    <w:rsid w:val="00CE5FC0"/>
    <w:rsid w:val="00CE5FDB"/>
    <w:rsid w:val="00CE6027"/>
    <w:rsid w:val="00CE603E"/>
    <w:rsid w:val="00CE60EC"/>
    <w:rsid w:val="00CE6139"/>
    <w:rsid w:val="00CE615D"/>
    <w:rsid w:val="00CE618B"/>
    <w:rsid w:val="00CE61C5"/>
    <w:rsid w:val="00CE6259"/>
    <w:rsid w:val="00CE6263"/>
    <w:rsid w:val="00CE6296"/>
    <w:rsid w:val="00CE62E5"/>
    <w:rsid w:val="00CE62EA"/>
    <w:rsid w:val="00CE641E"/>
    <w:rsid w:val="00CE656A"/>
    <w:rsid w:val="00CE6595"/>
    <w:rsid w:val="00CE65AC"/>
    <w:rsid w:val="00CE6634"/>
    <w:rsid w:val="00CE665D"/>
    <w:rsid w:val="00CE6675"/>
    <w:rsid w:val="00CE667A"/>
    <w:rsid w:val="00CE66D1"/>
    <w:rsid w:val="00CE670E"/>
    <w:rsid w:val="00CE680C"/>
    <w:rsid w:val="00CE686E"/>
    <w:rsid w:val="00CE68C6"/>
    <w:rsid w:val="00CE68D3"/>
    <w:rsid w:val="00CE68F9"/>
    <w:rsid w:val="00CE697B"/>
    <w:rsid w:val="00CE6987"/>
    <w:rsid w:val="00CE698B"/>
    <w:rsid w:val="00CE699D"/>
    <w:rsid w:val="00CE69CA"/>
    <w:rsid w:val="00CE69FA"/>
    <w:rsid w:val="00CE6A7F"/>
    <w:rsid w:val="00CE6AE5"/>
    <w:rsid w:val="00CE6B43"/>
    <w:rsid w:val="00CE6BB2"/>
    <w:rsid w:val="00CE6BDB"/>
    <w:rsid w:val="00CE6C58"/>
    <w:rsid w:val="00CE6C6D"/>
    <w:rsid w:val="00CE6C9A"/>
    <w:rsid w:val="00CE6CEE"/>
    <w:rsid w:val="00CE6D48"/>
    <w:rsid w:val="00CE6D58"/>
    <w:rsid w:val="00CE6D6E"/>
    <w:rsid w:val="00CE6E2A"/>
    <w:rsid w:val="00CE6E56"/>
    <w:rsid w:val="00CE6E9E"/>
    <w:rsid w:val="00CE6EA0"/>
    <w:rsid w:val="00CE6EC9"/>
    <w:rsid w:val="00CE6ED4"/>
    <w:rsid w:val="00CE6EDE"/>
    <w:rsid w:val="00CE6F2E"/>
    <w:rsid w:val="00CE6F6B"/>
    <w:rsid w:val="00CE6FBB"/>
    <w:rsid w:val="00CE707A"/>
    <w:rsid w:val="00CE70FC"/>
    <w:rsid w:val="00CE7105"/>
    <w:rsid w:val="00CE711B"/>
    <w:rsid w:val="00CE7125"/>
    <w:rsid w:val="00CE7167"/>
    <w:rsid w:val="00CE7182"/>
    <w:rsid w:val="00CE7190"/>
    <w:rsid w:val="00CE71C6"/>
    <w:rsid w:val="00CE71CD"/>
    <w:rsid w:val="00CE71D8"/>
    <w:rsid w:val="00CE720D"/>
    <w:rsid w:val="00CE720F"/>
    <w:rsid w:val="00CE7248"/>
    <w:rsid w:val="00CE7287"/>
    <w:rsid w:val="00CE7291"/>
    <w:rsid w:val="00CE7298"/>
    <w:rsid w:val="00CE72B8"/>
    <w:rsid w:val="00CE72C2"/>
    <w:rsid w:val="00CE7300"/>
    <w:rsid w:val="00CE730A"/>
    <w:rsid w:val="00CE730E"/>
    <w:rsid w:val="00CE7317"/>
    <w:rsid w:val="00CE733C"/>
    <w:rsid w:val="00CE7387"/>
    <w:rsid w:val="00CE73A0"/>
    <w:rsid w:val="00CE7420"/>
    <w:rsid w:val="00CE744A"/>
    <w:rsid w:val="00CE745B"/>
    <w:rsid w:val="00CE7496"/>
    <w:rsid w:val="00CE74B4"/>
    <w:rsid w:val="00CE74E5"/>
    <w:rsid w:val="00CE7519"/>
    <w:rsid w:val="00CE7570"/>
    <w:rsid w:val="00CE7588"/>
    <w:rsid w:val="00CE758D"/>
    <w:rsid w:val="00CE75CF"/>
    <w:rsid w:val="00CE75D2"/>
    <w:rsid w:val="00CE75D6"/>
    <w:rsid w:val="00CE7657"/>
    <w:rsid w:val="00CE7693"/>
    <w:rsid w:val="00CE76C6"/>
    <w:rsid w:val="00CE7727"/>
    <w:rsid w:val="00CE7793"/>
    <w:rsid w:val="00CE77A0"/>
    <w:rsid w:val="00CE783C"/>
    <w:rsid w:val="00CE7868"/>
    <w:rsid w:val="00CE78FF"/>
    <w:rsid w:val="00CE7925"/>
    <w:rsid w:val="00CE7979"/>
    <w:rsid w:val="00CE79CF"/>
    <w:rsid w:val="00CE79E6"/>
    <w:rsid w:val="00CE79F1"/>
    <w:rsid w:val="00CE7A2A"/>
    <w:rsid w:val="00CE7A57"/>
    <w:rsid w:val="00CE7B58"/>
    <w:rsid w:val="00CE7BFC"/>
    <w:rsid w:val="00CE7C36"/>
    <w:rsid w:val="00CE7C45"/>
    <w:rsid w:val="00CE7CD5"/>
    <w:rsid w:val="00CE7CEF"/>
    <w:rsid w:val="00CE7D38"/>
    <w:rsid w:val="00CE7D6A"/>
    <w:rsid w:val="00CE7D85"/>
    <w:rsid w:val="00CE7E02"/>
    <w:rsid w:val="00CE7E1F"/>
    <w:rsid w:val="00CE7EF0"/>
    <w:rsid w:val="00CE7F1C"/>
    <w:rsid w:val="00CE7F40"/>
    <w:rsid w:val="00CE7F94"/>
    <w:rsid w:val="00CE7FA5"/>
    <w:rsid w:val="00CE7FCD"/>
    <w:rsid w:val="00CE7FF8"/>
    <w:rsid w:val="00CF0006"/>
    <w:rsid w:val="00CF0008"/>
    <w:rsid w:val="00CF007F"/>
    <w:rsid w:val="00CF0115"/>
    <w:rsid w:val="00CF0151"/>
    <w:rsid w:val="00CF0156"/>
    <w:rsid w:val="00CF0181"/>
    <w:rsid w:val="00CF0210"/>
    <w:rsid w:val="00CF0218"/>
    <w:rsid w:val="00CF0221"/>
    <w:rsid w:val="00CF0298"/>
    <w:rsid w:val="00CF02CB"/>
    <w:rsid w:val="00CF02E1"/>
    <w:rsid w:val="00CF02E5"/>
    <w:rsid w:val="00CF0302"/>
    <w:rsid w:val="00CF0310"/>
    <w:rsid w:val="00CF035B"/>
    <w:rsid w:val="00CF035D"/>
    <w:rsid w:val="00CF03A7"/>
    <w:rsid w:val="00CF03B2"/>
    <w:rsid w:val="00CF03F8"/>
    <w:rsid w:val="00CF044E"/>
    <w:rsid w:val="00CF0452"/>
    <w:rsid w:val="00CF049E"/>
    <w:rsid w:val="00CF0572"/>
    <w:rsid w:val="00CF05FA"/>
    <w:rsid w:val="00CF062B"/>
    <w:rsid w:val="00CF0647"/>
    <w:rsid w:val="00CF064C"/>
    <w:rsid w:val="00CF06C3"/>
    <w:rsid w:val="00CF06EF"/>
    <w:rsid w:val="00CF071C"/>
    <w:rsid w:val="00CF0753"/>
    <w:rsid w:val="00CF0785"/>
    <w:rsid w:val="00CF07A4"/>
    <w:rsid w:val="00CF07AE"/>
    <w:rsid w:val="00CF07E0"/>
    <w:rsid w:val="00CF07ED"/>
    <w:rsid w:val="00CF0827"/>
    <w:rsid w:val="00CF082F"/>
    <w:rsid w:val="00CF0833"/>
    <w:rsid w:val="00CF088D"/>
    <w:rsid w:val="00CF089B"/>
    <w:rsid w:val="00CF08CC"/>
    <w:rsid w:val="00CF08DB"/>
    <w:rsid w:val="00CF09CC"/>
    <w:rsid w:val="00CF0A28"/>
    <w:rsid w:val="00CF0AB7"/>
    <w:rsid w:val="00CF0ACB"/>
    <w:rsid w:val="00CF0ACD"/>
    <w:rsid w:val="00CF0AE3"/>
    <w:rsid w:val="00CF0B11"/>
    <w:rsid w:val="00CF0B22"/>
    <w:rsid w:val="00CF0B40"/>
    <w:rsid w:val="00CF0BD2"/>
    <w:rsid w:val="00CF0C09"/>
    <w:rsid w:val="00CF0C12"/>
    <w:rsid w:val="00CF0C19"/>
    <w:rsid w:val="00CF0C55"/>
    <w:rsid w:val="00CF0C7E"/>
    <w:rsid w:val="00CF0CA8"/>
    <w:rsid w:val="00CF0CEF"/>
    <w:rsid w:val="00CF0D07"/>
    <w:rsid w:val="00CF0D15"/>
    <w:rsid w:val="00CF0D27"/>
    <w:rsid w:val="00CF0D95"/>
    <w:rsid w:val="00CF0DEA"/>
    <w:rsid w:val="00CF0E18"/>
    <w:rsid w:val="00CF0E27"/>
    <w:rsid w:val="00CF0E5A"/>
    <w:rsid w:val="00CF0E7E"/>
    <w:rsid w:val="00CF0EA6"/>
    <w:rsid w:val="00CF0F02"/>
    <w:rsid w:val="00CF0FC1"/>
    <w:rsid w:val="00CF0FC3"/>
    <w:rsid w:val="00CF0FE4"/>
    <w:rsid w:val="00CF0FEE"/>
    <w:rsid w:val="00CF1049"/>
    <w:rsid w:val="00CF106A"/>
    <w:rsid w:val="00CF1088"/>
    <w:rsid w:val="00CF109F"/>
    <w:rsid w:val="00CF10CC"/>
    <w:rsid w:val="00CF1126"/>
    <w:rsid w:val="00CF119D"/>
    <w:rsid w:val="00CF11F8"/>
    <w:rsid w:val="00CF1207"/>
    <w:rsid w:val="00CF12AB"/>
    <w:rsid w:val="00CF12B6"/>
    <w:rsid w:val="00CF12D9"/>
    <w:rsid w:val="00CF12FB"/>
    <w:rsid w:val="00CF1446"/>
    <w:rsid w:val="00CF1464"/>
    <w:rsid w:val="00CF146C"/>
    <w:rsid w:val="00CF14A1"/>
    <w:rsid w:val="00CF156B"/>
    <w:rsid w:val="00CF1586"/>
    <w:rsid w:val="00CF15BE"/>
    <w:rsid w:val="00CF15E4"/>
    <w:rsid w:val="00CF169C"/>
    <w:rsid w:val="00CF171C"/>
    <w:rsid w:val="00CF1789"/>
    <w:rsid w:val="00CF17A3"/>
    <w:rsid w:val="00CF17E5"/>
    <w:rsid w:val="00CF17FE"/>
    <w:rsid w:val="00CF185B"/>
    <w:rsid w:val="00CF185E"/>
    <w:rsid w:val="00CF189B"/>
    <w:rsid w:val="00CF18D2"/>
    <w:rsid w:val="00CF18D4"/>
    <w:rsid w:val="00CF195D"/>
    <w:rsid w:val="00CF1991"/>
    <w:rsid w:val="00CF1A1B"/>
    <w:rsid w:val="00CF1A89"/>
    <w:rsid w:val="00CF1A93"/>
    <w:rsid w:val="00CF1ABA"/>
    <w:rsid w:val="00CF1AC9"/>
    <w:rsid w:val="00CF1ADA"/>
    <w:rsid w:val="00CF1B1A"/>
    <w:rsid w:val="00CF1B1F"/>
    <w:rsid w:val="00CF1B28"/>
    <w:rsid w:val="00CF1B30"/>
    <w:rsid w:val="00CF1B4F"/>
    <w:rsid w:val="00CF1B62"/>
    <w:rsid w:val="00CF1B75"/>
    <w:rsid w:val="00CF1BC5"/>
    <w:rsid w:val="00CF1C17"/>
    <w:rsid w:val="00CF1C30"/>
    <w:rsid w:val="00CF1C7C"/>
    <w:rsid w:val="00CF1C8C"/>
    <w:rsid w:val="00CF1CD5"/>
    <w:rsid w:val="00CF1D20"/>
    <w:rsid w:val="00CF1D28"/>
    <w:rsid w:val="00CF1D44"/>
    <w:rsid w:val="00CF1D4E"/>
    <w:rsid w:val="00CF1D51"/>
    <w:rsid w:val="00CF1D70"/>
    <w:rsid w:val="00CF1D78"/>
    <w:rsid w:val="00CF1DCF"/>
    <w:rsid w:val="00CF1DE6"/>
    <w:rsid w:val="00CF1E75"/>
    <w:rsid w:val="00CF1EEE"/>
    <w:rsid w:val="00CF1F28"/>
    <w:rsid w:val="00CF1F71"/>
    <w:rsid w:val="00CF1F97"/>
    <w:rsid w:val="00CF2007"/>
    <w:rsid w:val="00CF208F"/>
    <w:rsid w:val="00CF2098"/>
    <w:rsid w:val="00CF20D6"/>
    <w:rsid w:val="00CF20FB"/>
    <w:rsid w:val="00CF2118"/>
    <w:rsid w:val="00CF2134"/>
    <w:rsid w:val="00CF21E0"/>
    <w:rsid w:val="00CF2205"/>
    <w:rsid w:val="00CF2277"/>
    <w:rsid w:val="00CF227C"/>
    <w:rsid w:val="00CF22FD"/>
    <w:rsid w:val="00CF2388"/>
    <w:rsid w:val="00CF23A5"/>
    <w:rsid w:val="00CF23A8"/>
    <w:rsid w:val="00CF23F4"/>
    <w:rsid w:val="00CF24BC"/>
    <w:rsid w:val="00CF24C9"/>
    <w:rsid w:val="00CF253B"/>
    <w:rsid w:val="00CF25FF"/>
    <w:rsid w:val="00CF263A"/>
    <w:rsid w:val="00CF263E"/>
    <w:rsid w:val="00CF269F"/>
    <w:rsid w:val="00CF26E8"/>
    <w:rsid w:val="00CF2745"/>
    <w:rsid w:val="00CF2782"/>
    <w:rsid w:val="00CF2783"/>
    <w:rsid w:val="00CF27A8"/>
    <w:rsid w:val="00CF28CE"/>
    <w:rsid w:val="00CF2900"/>
    <w:rsid w:val="00CF296E"/>
    <w:rsid w:val="00CF2A45"/>
    <w:rsid w:val="00CF2A68"/>
    <w:rsid w:val="00CF2A6B"/>
    <w:rsid w:val="00CF2B2A"/>
    <w:rsid w:val="00CF2C08"/>
    <w:rsid w:val="00CF2C3E"/>
    <w:rsid w:val="00CF2C7C"/>
    <w:rsid w:val="00CF2C86"/>
    <w:rsid w:val="00CF2D2C"/>
    <w:rsid w:val="00CF2D50"/>
    <w:rsid w:val="00CF2DCB"/>
    <w:rsid w:val="00CF2DDA"/>
    <w:rsid w:val="00CF2E01"/>
    <w:rsid w:val="00CF2E4F"/>
    <w:rsid w:val="00CF2E68"/>
    <w:rsid w:val="00CF2EF6"/>
    <w:rsid w:val="00CF2F45"/>
    <w:rsid w:val="00CF2FAA"/>
    <w:rsid w:val="00CF2FB2"/>
    <w:rsid w:val="00CF3088"/>
    <w:rsid w:val="00CF3098"/>
    <w:rsid w:val="00CF30B2"/>
    <w:rsid w:val="00CF3100"/>
    <w:rsid w:val="00CF3208"/>
    <w:rsid w:val="00CF3217"/>
    <w:rsid w:val="00CF3224"/>
    <w:rsid w:val="00CF3251"/>
    <w:rsid w:val="00CF32B3"/>
    <w:rsid w:val="00CF32B6"/>
    <w:rsid w:val="00CF32B7"/>
    <w:rsid w:val="00CF3329"/>
    <w:rsid w:val="00CF3381"/>
    <w:rsid w:val="00CF33B4"/>
    <w:rsid w:val="00CF3481"/>
    <w:rsid w:val="00CF349C"/>
    <w:rsid w:val="00CF3509"/>
    <w:rsid w:val="00CF3566"/>
    <w:rsid w:val="00CF36A7"/>
    <w:rsid w:val="00CF36C3"/>
    <w:rsid w:val="00CF3794"/>
    <w:rsid w:val="00CF3798"/>
    <w:rsid w:val="00CF37AA"/>
    <w:rsid w:val="00CF3825"/>
    <w:rsid w:val="00CF382C"/>
    <w:rsid w:val="00CF3834"/>
    <w:rsid w:val="00CF390F"/>
    <w:rsid w:val="00CF3962"/>
    <w:rsid w:val="00CF39EC"/>
    <w:rsid w:val="00CF39FF"/>
    <w:rsid w:val="00CF3A70"/>
    <w:rsid w:val="00CF3A7E"/>
    <w:rsid w:val="00CF3AB1"/>
    <w:rsid w:val="00CF3AD8"/>
    <w:rsid w:val="00CF3ADE"/>
    <w:rsid w:val="00CF3AF9"/>
    <w:rsid w:val="00CF3AFE"/>
    <w:rsid w:val="00CF3B8C"/>
    <w:rsid w:val="00CF3BF5"/>
    <w:rsid w:val="00CF3C30"/>
    <w:rsid w:val="00CF3C7A"/>
    <w:rsid w:val="00CF3CAA"/>
    <w:rsid w:val="00CF3CD9"/>
    <w:rsid w:val="00CF3D09"/>
    <w:rsid w:val="00CF3D2E"/>
    <w:rsid w:val="00CF3D44"/>
    <w:rsid w:val="00CF3DD1"/>
    <w:rsid w:val="00CF3DDE"/>
    <w:rsid w:val="00CF3DE4"/>
    <w:rsid w:val="00CF3E28"/>
    <w:rsid w:val="00CF3E3C"/>
    <w:rsid w:val="00CF3E7A"/>
    <w:rsid w:val="00CF3EAD"/>
    <w:rsid w:val="00CF3F0D"/>
    <w:rsid w:val="00CF3F38"/>
    <w:rsid w:val="00CF3F49"/>
    <w:rsid w:val="00CF403D"/>
    <w:rsid w:val="00CF404A"/>
    <w:rsid w:val="00CF405A"/>
    <w:rsid w:val="00CF4068"/>
    <w:rsid w:val="00CF40F1"/>
    <w:rsid w:val="00CF4103"/>
    <w:rsid w:val="00CF4183"/>
    <w:rsid w:val="00CF41A4"/>
    <w:rsid w:val="00CF420A"/>
    <w:rsid w:val="00CF4214"/>
    <w:rsid w:val="00CF4250"/>
    <w:rsid w:val="00CF426E"/>
    <w:rsid w:val="00CF42C0"/>
    <w:rsid w:val="00CF434E"/>
    <w:rsid w:val="00CF4371"/>
    <w:rsid w:val="00CF43A1"/>
    <w:rsid w:val="00CF43AC"/>
    <w:rsid w:val="00CF4438"/>
    <w:rsid w:val="00CF4468"/>
    <w:rsid w:val="00CF44B2"/>
    <w:rsid w:val="00CF4524"/>
    <w:rsid w:val="00CF455B"/>
    <w:rsid w:val="00CF4684"/>
    <w:rsid w:val="00CF468F"/>
    <w:rsid w:val="00CF46BA"/>
    <w:rsid w:val="00CF4770"/>
    <w:rsid w:val="00CF4778"/>
    <w:rsid w:val="00CF47B4"/>
    <w:rsid w:val="00CF47B6"/>
    <w:rsid w:val="00CF47DF"/>
    <w:rsid w:val="00CF480F"/>
    <w:rsid w:val="00CF483C"/>
    <w:rsid w:val="00CF483E"/>
    <w:rsid w:val="00CF486A"/>
    <w:rsid w:val="00CF48EE"/>
    <w:rsid w:val="00CF4957"/>
    <w:rsid w:val="00CF498F"/>
    <w:rsid w:val="00CF4995"/>
    <w:rsid w:val="00CF49BA"/>
    <w:rsid w:val="00CF49DB"/>
    <w:rsid w:val="00CF4A31"/>
    <w:rsid w:val="00CF4A5C"/>
    <w:rsid w:val="00CF4B29"/>
    <w:rsid w:val="00CF4B70"/>
    <w:rsid w:val="00CF4B95"/>
    <w:rsid w:val="00CF4C68"/>
    <w:rsid w:val="00CF4D57"/>
    <w:rsid w:val="00CF4D97"/>
    <w:rsid w:val="00CF4DB0"/>
    <w:rsid w:val="00CF4DFA"/>
    <w:rsid w:val="00CF4E28"/>
    <w:rsid w:val="00CF4E4A"/>
    <w:rsid w:val="00CF4E51"/>
    <w:rsid w:val="00CF4E5D"/>
    <w:rsid w:val="00CF4E61"/>
    <w:rsid w:val="00CF4E89"/>
    <w:rsid w:val="00CF4F31"/>
    <w:rsid w:val="00CF4F91"/>
    <w:rsid w:val="00CF4FC2"/>
    <w:rsid w:val="00CF4FCC"/>
    <w:rsid w:val="00CF509E"/>
    <w:rsid w:val="00CF50E3"/>
    <w:rsid w:val="00CF50F1"/>
    <w:rsid w:val="00CF511A"/>
    <w:rsid w:val="00CF513C"/>
    <w:rsid w:val="00CF5172"/>
    <w:rsid w:val="00CF518D"/>
    <w:rsid w:val="00CF51AF"/>
    <w:rsid w:val="00CF51C6"/>
    <w:rsid w:val="00CF51EC"/>
    <w:rsid w:val="00CF520F"/>
    <w:rsid w:val="00CF523A"/>
    <w:rsid w:val="00CF525B"/>
    <w:rsid w:val="00CF52C2"/>
    <w:rsid w:val="00CF5445"/>
    <w:rsid w:val="00CF547C"/>
    <w:rsid w:val="00CF54AE"/>
    <w:rsid w:val="00CF54D4"/>
    <w:rsid w:val="00CF54E5"/>
    <w:rsid w:val="00CF554B"/>
    <w:rsid w:val="00CF558D"/>
    <w:rsid w:val="00CF55CF"/>
    <w:rsid w:val="00CF5659"/>
    <w:rsid w:val="00CF566A"/>
    <w:rsid w:val="00CF5683"/>
    <w:rsid w:val="00CF56AC"/>
    <w:rsid w:val="00CF56B9"/>
    <w:rsid w:val="00CF56BA"/>
    <w:rsid w:val="00CF56CE"/>
    <w:rsid w:val="00CF5764"/>
    <w:rsid w:val="00CF5806"/>
    <w:rsid w:val="00CF58B7"/>
    <w:rsid w:val="00CF58B8"/>
    <w:rsid w:val="00CF58BB"/>
    <w:rsid w:val="00CF590E"/>
    <w:rsid w:val="00CF59D6"/>
    <w:rsid w:val="00CF5A55"/>
    <w:rsid w:val="00CF5A67"/>
    <w:rsid w:val="00CF5B03"/>
    <w:rsid w:val="00CF5B08"/>
    <w:rsid w:val="00CF5B41"/>
    <w:rsid w:val="00CF5B5F"/>
    <w:rsid w:val="00CF5B66"/>
    <w:rsid w:val="00CF5B76"/>
    <w:rsid w:val="00CF5B94"/>
    <w:rsid w:val="00CF5B97"/>
    <w:rsid w:val="00CF5BAB"/>
    <w:rsid w:val="00CF5BBA"/>
    <w:rsid w:val="00CF5BD2"/>
    <w:rsid w:val="00CF5BE0"/>
    <w:rsid w:val="00CF5C1B"/>
    <w:rsid w:val="00CF5C1D"/>
    <w:rsid w:val="00CF5C4D"/>
    <w:rsid w:val="00CF5C9B"/>
    <w:rsid w:val="00CF5CB9"/>
    <w:rsid w:val="00CF5CCA"/>
    <w:rsid w:val="00CF5DA7"/>
    <w:rsid w:val="00CF5DAF"/>
    <w:rsid w:val="00CF5DFD"/>
    <w:rsid w:val="00CF5E48"/>
    <w:rsid w:val="00CF5E75"/>
    <w:rsid w:val="00CF5F50"/>
    <w:rsid w:val="00CF5F6C"/>
    <w:rsid w:val="00CF5F6F"/>
    <w:rsid w:val="00CF5FD1"/>
    <w:rsid w:val="00CF5FF4"/>
    <w:rsid w:val="00CF5FF5"/>
    <w:rsid w:val="00CF6046"/>
    <w:rsid w:val="00CF6079"/>
    <w:rsid w:val="00CF60B8"/>
    <w:rsid w:val="00CF60D3"/>
    <w:rsid w:val="00CF614E"/>
    <w:rsid w:val="00CF6164"/>
    <w:rsid w:val="00CF616E"/>
    <w:rsid w:val="00CF61C5"/>
    <w:rsid w:val="00CF621C"/>
    <w:rsid w:val="00CF6274"/>
    <w:rsid w:val="00CF62A1"/>
    <w:rsid w:val="00CF62FF"/>
    <w:rsid w:val="00CF6331"/>
    <w:rsid w:val="00CF63C1"/>
    <w:rsid w:val="00CF63F5"/>
    <w:rsid w:val="00CF6429"/>
    <w:rsid w:val="00CF643F"/>
    <w:rsid w:val="00CF6467"/>
    <w:rsid w:val="00CF6580"/>
    <w:rsid w:val="00CF65CD"/>
    <w:rsid w:val="00CF65FC"/>
    <w:rsid w:val="00CF6613"/>
    <w:rsid w:val="00CF6645"/>
    <w:rsid w:val="00CF6646"/>
    <w:rsid w:val="00CF66D6"/>
    <w:rsid w:val="00CF66DE"/>
    <w:rsid w:val="00CF6707"/>
    <w:rsid w:val="00CF681A"/>
    <w:rsid w:val="00CF682A"/>
    <w:rsid w:val="00CF688B"/>
    <w:rsid w:val="00CF688F"/>
    <w:rsid w:val="00CF68F6"/>
    <w:rsid w:val="00CF696B"/>
    <w:rsid w:val="00CF697C"/>
    <w:rsid w:val="00CF69B3"/>
    <w:rsid w:val="00CF69DB"/>
    <w:rsid w:val="00CF6A65"/>
    <w:rsid w:val="00CF6A94"/>
    <w:rsid w:val="00CF6AF7"/>
    <w:rsid w:val="00CF6BDF"/>
    <w:rsid w:val="00CF6BE9"/>
    <w:rsid w:val="00CF6BF0"/>
    <w:rsid w:val="00CF6C35"/>
    <w:rsid w:val="00CF6C9A"/>
    <w:rsid w:val="00CF6D51"/>
    <w:rsid w:val="00CF6E60"/>
    <w:rsid w:val="00CF6E63"/>
    <w:rsid w:val="00CF6EB0"/>
    <w:rsid w:val="00CF6EB5"/>
    <w:rsid w:val="00CF6F3E"/>
    <w:rsid w:val="00CF6F57"/>
    <w:rsid w:val="00CF6F8A"/>
    <w:rsid w:val="00CF7018"/>
    <w:rsid w:val="00CF7027"/>
    <w:rsid w:val="00CF707A"/>
    <w:rsid w:val="00CF70ED"/>
    <w:rsid w:val="00CF710A"/>
    <w:rsid w:val="00CF71C6"/>
    <w:rsid w:val="00CF71DB"/>
    <w:rsid w:val="00CF720C"/>
    <w:rsid w:val="00CF7250"/>
    <w:rsid w:val="00CF7279"/>
    <w:rsid w:val="00CF728C"/>
    <w:rsid w:val="00CF732B"/>
    <w:rsid w:val="00CF73BA"/>
    <w:rsid w:val="00CF7435"/>
    <w:rsid w:val="00CF744F"/>
    <w:rsid w:val="00CF748B"/>
    <w:rsid w:val="00CF7542"/>
    <w:rsid w:val="00CF7568"/>
    <w:rsid w:val="00CF7591"/>
    <w:rsid w:val="00CF75A6"/>
    <w:rsid w:val="00CF7677"/>
    <w:rsid w:val="00CF7679"/>
    <w:rsid w:val="00CF76B1"/>
    <w:rsid w:val="00CF7766"/>
    <w:rsid w:val="00CF777C"/>
    <w:rsid w:val="00CF77DB"/>
    <w:rsid w:val="00CF7900"/>
    <w:rsid w:val="00CF7A03"/>
    <w:rsid w:val="00CF7A2B"/>
    <w:rsid w:val="00CF7A6E"/>
    <w:rsid w:val="00CF7AD5"/>
    <w:rsid w:val="00CF7B8C"/>
    <w:rsid w:val="00CF7BDA"/>
    <w:rsid w:val="00CF7CE9"/>
    <w:rsid w:val="00CF7D07"/>
    <w:rsid w:val="00CF7D29"/>
    <w:rsid w:val="00CF7D66"/>
    <w:rsid w:val="00CF7D6E"/>
    <w:rsid w:val="00CF7DD9"/>
    <w:rsid w:val="00CF7DE0"/>
    <w:rsid w:val="00CF7EDF"/>
    <w:rsid w:val="00CF7EF8"/>
    <w:rsid w:val="00CF7F3B"/>
    <w:rsid w:val="00CF7FDB"/>
    <w:rsid w:val="00D00000"/>
    <w:rsid w:val="00D00039"/>
    <w:rsid w:val="00D0004A"/>
    <w:rsid w:val="00D00068"/>
    <w:rsid w:val="00D0008C"/>
    <w:rsid w:val="00D000E3"/>
    <w:rsid w:val="00D00115"/>
    <w:rsid w:val="00D0016A"/>
    <w:rsid w:val="00D0017A"/>
    <w:rsid w:val="00D00193"/>
    <w:rsid w:val="00D001E5"/>
    <w:rsid w:val="00D00215"/>
    <w:rsid w:val="00D00222"/>
    <w:rsid w:val="00D00282"/>
    <w:rsid w:val="00D002F9"/>
    <w:rsid w:val="00D00316"/>
    <w:rsid w:val="00D00341"/>
    <w:rsid w:val="00D00365"/>
    <w:rsid w:val="00D003B7"/>
    <w:rsid w:val="00D00461"/>
    <w:rsid w:val="00D004CD"/>
    <w:rsid w:val="00D004D2"/>
    <w:rsid w:val="00D00511"/>
    <w:rsid w:val="00D005E8"/>
    <w:rsid w:val="00D0063C"/>
    <w:rsid w:val="00D00739"/>
    <w:rsid w:val="00D0074F"/>
    <w:rsid w:val="00D00775"/>
    <w:rsid w:val="00D00777"/>
    <w:rsid w:val="00D007EC"/>
    <w:rsid w:val="00D007FA"/>
    <w:rsid w:val="00D00860"/>
    <w:rsid w:val="00D00881"/>
    <w:rsid w:val="00D008A2"/>
    <w:rsid w:val="00D00982"/>
    <w:rsid w:val="00D009D4"/>
    <w:rsid w:val="00D00AFA"/>
    <w:rsid w:val="00D00B49"/>
    <w:rsid w:val="00D00B5F"/>
    <w:rsid w:val="00D00BA4"/>
    <w:rsid w:val="00D00BCE"/>
    <w:rsid w:val="00D00BFB"/>
    <w:rsid w:val="00D00D6D"/>
    <w:rsid w:val="00D00D92"/>
    <w:rsid w:val="00D00DB8"/>
    <w:rsid w:val="00D00E36"/>
    <w:rsid w:val="00D00EDA"/>
    <w:rsid w:val="00D00F58"/>
    <w:rsid w:val="00D00F59"/>
    <w:rsid w:val="00D00F9F"/>
    <w:rsid w:val="00D00FF3"/>
    <w:rsid w:val="00D01195"/>
    <w:rsid w:val="00D011AD"/>
    <w:rsid w:val="00D011C9"/>
    <w:rsid w:val="00D0125F"/>
    <w:rsid w:val="00D012A4"/>
    <w:rsid w:val="00D012B3"/>
    <w:rsid w:val="00D01305"/>
    <w:rsid w:val="00D013CF"/>
    <w:rsid w:val="00D013FC"/>
    <w:rsid w:val="00D01411"/>
    <w:rsid w:val="00D01415"/>
    <w:rsid w:val="00D0145F"/>
    <w:rsid w:val="00D01492"/>
    <w:rsid w:val="00D01566"/>
    <w:rsid w:val="00D01569"/>
    <w:rsid w:val="00D01661"/>
    <w:rsid w:val="00D016B1"/>
    <w:rsid w:val="00D0170C"/>
    <w:rsid w:val="00D018F7"/>
    <w:rsid w:val="00D0191C"/>
    <w:rsid w:val="00D01945"/>
    <w:rsid w:val="00D019CF"/>
    <w:rsid w:val="00D019FB"/>
    <w:rsid w:val="00D01A7D"/>
    <w:rsid w:val="00D01A85"/>
    <w:rsid w:val="00D01AA4"/>
    <w:rsid w:val="00D01AE7"/>
    <w:rsid w:val="00D01AF3"/>
    <w:rsid w:val="00D01B51"/>
    <w:rsid w:val="00D01BE6"/>
    <w:rsid w:val="00D01C09"/>
    <w:rsid w:val="00D01C21"/>
    <w:rsid w:val="00D01C53"/>
    <w:rsid w:val="00D01C64"/>
    <w:rsid w:val="00D01CB2"/>
    <w:rsid w:val="00D01CB6"/>
    <w:rsid w:val="00D01CE4"/>
    <w:rsid w:val="00D01CFA"/>
    <w:rsid w:val="00D01D11"/>
    <w:rsid w:val="00D01DE4"/>
    <w:rsid w:val="00D01DEF"/>
    <w:rsid w:val="00D01E62"/>
    <w:rsid w:val="00D01ECF"/>
    <w:rsid w:val="00D01EE6"/>
    <w:rsid w:val="00D01F08"/>
    <w:rsid w:val="00D01FDF"/>
    <w:rsid w:val="00D020E6"/>
    <w:rsid w:val="00D020F1"/>
    <w:rsid w:val="00D020F2"/>
    <w:rsid w:val="00D020FD"/>
    <w:rsid w:val="00D021B5"/>
    <w:rsid w:val="00D0221C"/>
    <w:rsid w:val="00D02227"/>
    <w:rsid w:val="00D0222B"/>
    <w:rsid w:val="00D023DF"/>
    <w:rsid w:val="00D0246B"/>
    <w:rsid w:val="00D0248E"/>
    <w:rsid w:val="00D024E7"/>
    <w:rsid w:val="00D024EF"/>
    <w:rsid w:val="00D02528"/>
    <w:rsid w:val="00D0255C"/>
    <w:rsid w:val="00D0256F"/>
    <w:rsid w:val="00D025B5"/>
    <w:rsid w:val="00D025BB"/>
    <w:rsid w:val="00D025DD"/>
    <w:rsid w:val="00D02665"/>
    <w:rsid w:val="00D0269A"/>
    <w:rsid w:val="00D026E4"/>
    <w:rsid w:val="00D02722"/>
    <w:rsid w:val="00D02732"/>
    <w:rsid w:val="00D027A0"/>
    <w:rsid w:val="00D027AC"/>
    <w:rsid w:val="00D027CD"/>
    <w:rsid w:val="00D02813"/>
    <w:rsid w:val="00D02815"/>
    <w:rsid w:val="00D0281C"/>
    <w:rsid w:val="00D028E2"/>
    <w:rsid w:val="00D02956"/>
    <w:rsid w:val="00D02957"/>
    <w:rsid w:val="00D0296F"/>
    <w:rsid w:val="00D029E7"/>
    <w:rsid w:val="00D02A67"/>
    <w:rsid w:val="00D02A6A"/>
    <w:rsid w:val="00D02AA6"/>
    <w:rsid w:val="00D02B91"/>
    <w:rsid w:val="00D02B9D"/>
    <w:rsid w:val="00D02CAA"/>
    <w:rsid w:val="00D02CC4"/>
    <w:rsid w:val="00D02CEB"/>
    <w:rsid w:val="00D02D08"/>
    <w:rsid w:val="00D02D0E"/>
    <w:rsid w:val="00D02D1E"/>
    <w:rsid w:val="00D02D58"/>
    <w:rsid w:val="00D02D63"/>
    <w:rsid w:val="00D02E05"/>
    <w:rsid w:val="00D02E44"/>
    <w:rsid w:val="00D02E87"/>
    <w:rsid w:val="00D02F57"/>
    <w:rsid w:val="00D02F69"/>
    <w:rsid w:val="00D02F6A"/>
    <w:rsid w:val="00D02F6C"/>
    <w:rsid w:val="00D02FA5"/>
    <w:rsid w:val="00D02FA8"/>
    <w:rsid w:val="00D02FC6"/>
    <w:rsid w:val="00D03051"/>
    <w:rsid w:val="00D03060"/>
    <w:rsid w:val="00D03099"/>
    <w:rsid w:val="00D030B9"/>
    <w:rsid w:val="00D03115"/>
    <w:rsid w:val="00D03168"/>
    <w:rsid w:val="00D03174"/>
    <w:rsid w:val="00D03187"/>
    <w:rsid w:val="00D031A1"/>
    <w:rsid w:val="00D031BF"/>
    <w:rsid w:val="00D03211"/>
    <w:rsid w:val="00D03251"/>
    <w:rsid w:val="00D032FC"/>
    <w:rsid w:val="00D03331"/>
    <w:rsid w:val="00D03340"/>
    <w:rsid w:val="00D033DE"/>
    <w:rsid w:val="00D03402"/>
    <w:rsid w:val="00D03505"/>
    <w:rsid w:val="00D0354E"/>
    <w:rsid w:val="00D03557"/>
    <w:rsid w:val="00D0356D"/>
    <w:rsid w:val="00D03630"/>
    <w:rsid w:val="00D036A7"/>
    <w:rsid w:val="00D03847"/>
    <w:rsid w:val="00D038DF"/>
    <w:rsid w:val="00D03942"/>
    <w:rsid w:val="00D0396C"/>
    <w:rsid w:val="00D039A1"/>
    <w:rsid w:val="00D039D0"/>
    <w:rsid w:val="00D03A8B"/>
    <w:rsid w:val="00D03B0E"/>
    <w:rsid w:val="00D03B18"/>
    <w:rsid w:val="00D03B19"/>
    <w:rsid w:val="00D03B33"/>
    <w:rsid w:val="00D03B34"/>
    <w:rsid w:val="00D03B40"/>
    <w:rsid w:val="00D03BC3"/>
    <w:rsid w:val="00D03C43"/>
    <w:rsid w:val="00D03C51"/>
    <w:rsid w:val="00D03C7D"/>
    <w:rsid w:val="00D03CED"/>
    <w:rsid w:val="00D03CFD"/>
    <w:rsid w:val="00D03DD5"/>
    <w:rsid w:val="00D03DDE"/>
    <w:rsid w:val="00D03E04"/>
    <w:rsid w:val="00D03E4F"/>
    <w:rsid w:val="00D03E90"/>
    <w:rsid w:val="00D03EC2"/>
    <w:rsid w:val="00D03EE3"/>
    <w:rsid w:val="00D03F06"/>
    <w:rsid w:val="00D03F56"/>
    <w:rsid w:val="00D0400E"/>
    <w:rsid w:val="00D04010"/>
    <w:rsid w:val="00D0404B"/>
    <w:rsid w:val="00D0404E"/>
    <w:rsid w:val="00D0406C"/>
    <w:rsid w:val="00D04092"/>
    <w:rsid w:val="00D040E1"/>
    <w:rsid w:val="00D0411D"/>
    <w:rsid w:val="00D04125"/>
    <w:rsid w:val="00D04148"/>
    <w:rsid w:val="00D0414B"/>
    <w:rsid w:val="00D04167"/>
    <w:rsid w:val="00D041C4"/>
    <w:rsid w:val="00D041E7"/>
    <w:rsid w:val="00D04257"/>
    <w:rsid w:val="00D0427C"/>
    <w:rsid w:val="00D04293"/>
    <w:rsid w:val="00D0437C"/>
    <w:rsid w:val="00D043AC"/>
    <w:rsid w:val="00D043AE"/>
    <w:rsid w:val="00D043AF"/>
    <w:rsid w:val="00D043D9"/>
    <w:rsid w:val="00D043E8"/>
    <w:rsid w:val="00D043F3"/>
    <w:rsid w:val="00D04405"/>
    <w:rsid w:val="00D0443D"/>
    <w:rsid w:val="00D04489"/>
    <w:rsid w:val="00D044A8"/>
    <w:rsid w:val="00D044D2"/>
    <w:rsid w:val="00D0461C"/>
    <w:rsid w:val="00D04627"/>
    <w:rsid w:val="00D046B3"/>
    <w:rsid w:val="00D0474D"/>
    <w:rsid w:val="00D04786"/>
    <w:rsid w:val="00D04789"/>
    <w:rsid w:val="00D047B2"/>
    <w:rsid w:val="00D04808"/>
    <w:rsid w:val="00D04883"/>
    <w:rsid w:val="00D048A2"/>
    <w:rsid w:val="00D048B5"/>
    <w:rsid w:val="00D04917"/>
    <w:rsid w:val="00D0495C"/>
    <w:rsid w:val="00D04966"/>
    <w:rsid w:val="00D049E3"/>
    <w:rsid w:val="00D04A26"/>
    <w:rsid w:val="00D04A4A"/>
    <w:rsid w:val="00D04A5A"/>
    <w:rsid w:val="00D04B56"/>
    <w:rsid w:val="00D04B79"/>
    <w:rsid w:val="00D04B8B"/>
    <w:rsid w:val="00D04BAC"/>
    <w:rsid w:val="00D04C8C"/>
    <w:rsid w:val="00D04CA0"/>
    <w:rsid w:val="00D04CC6"/>
    <w:rsid w:val="00D04CD6"/>
    <w:rsid w:val="00D04D15"/>
    <w:rsid w:val="00D04D22"/>
    <w:rsid w:val="00D04D3F"/>
    <w:rsid w:val="00D04D68"/>
    <w:rsid w:val="00D04D91"/>
    <w:rsid w:val="00D04DAB"/>
    <w:rsid w:val="00D04DAE"/>
    <w:rsid w:val="00D04DF6"/>
    <w:rsid w:val="00D04E3B"/>
    <w:rsid w:val="00D04EF3"/>
    <w:rsid w:val="00D04F1D"/>
    <w:rsid w:val="00D0503B"/>
    <w:rsid w:val="00D05049"/>
    <w:rsid w:val="00D05066"/>
    <w:rsid w:val="00D050D0"/>
    <w:rsid w:val="00D05103"/>
    <w:rsid w:val="00D05107"/>
    <w:rsid w:val="00D05133"/>
    <w:rsid w:val="00D05137"/>
    <w:rsid w:val="00D05179"/>
    <w:rsid w:val="00D05181"/>
    <w:rsid w:val="00D051E5"/>
    <w:rsid w:val="00D051FA"/>
    <w:rsid w:val="00D05257"/>
    <w:rsid w:val="00D0526B"/>
    <w:rsid w:val="00D05283"/>
    <w:rsid w:val="00D052F2"/>
    <w:rsid w:val="00D05324"/>
    <w:rsid w:val="00D05336"/>
    <w:rsid w:val="00D0533B"/>
    <w:rsid w:val="00D0533D"/>
    <w:rsid w:val="00D05342"/>
    <w:rsid w:val="00D05369"/>
    <w:rsid w:val="00D053AE"/>
    <w:rsid w:val="00D053C5"/>
    <w:rsid w:val="00D053C7"/>
    <w:rsid w:val="00D053DE"/>
    <w:rsid w:val="00D0540D"/>
    <w:rsid w:val="00D05490"/>
    <w:rsid w:val="00D05499"/>
    <w:rsid w:val="00D05528"/>
    <w:rsid w:val="00D05544"/>
    <w:rsid w:val="00D055B7"/>
    <w:rsid w:val="00D055F3"/>
    <w:rsid w:val="00D0563C"/>
    <w:rsid w:val="00D05658"/>
    <w:rsid w:val="00D05670"/>
    <w:rsid w:val="00D056E2"/>
    <w:rsid w:val="00D0571F"/>
    <w:rsid w:val="00D0572F"/>
    <w:rsid w:val="00D05735"/>
    <w:rsid w:val="00D05767"/>
    <w:rsid w:val="00D0577C"/>
    <w:rsid w:val="00D057AF"/>
    <w:rsid w:val="00D0585E"/>
    <w:rsid w:val="00D058A7"/>
    <w:rsid w:val="00D058C9"/>
    <w:rsid w:val="00D058F6"/>
    <w:rsid w:val="00D0590B"/>
    <w:rsid w:val="00D05919"/>
    <w:rsid w:val="00D05936"/>
    <w:rsid w:val="00D05950"/>
    <w:rsid w:val="00D05977"/>
    <w:rsid w:val="00D05980"/>
    <w:rsid w:val="00D0599F"/>
    <w:rsid w:val="00D059AD"/>
    <w:rsid w:val="00D05A11"/>
    <w:rsid w:val="00D05A17"/>
    <w:rsid w:val="00D05A87"/>
    <w:rsid w:val="00D05AE6"/>
    <w:rsid w:val="00D05B1B"/>
    <w:rsid w:val="00D05BC6"/>
    <w:rsid w:val="00D05C09"/>
    <w:rsid w:val="00D05CB8"/>
    <w:rsid w:val="00D05CEC"/>
    <w:rsid w:val="00D05CF7"/>
    <w:rsid w:val="00D05D13"/>
    <w:rsid w:val="00D05D2F"/>
    <w:rsid w:val="00D05D54"/>
    <w:rsid w:val="00D05D55"/>
    <w:rsid w:val="00D05D5B"/>
    <w:rsid w:val="00D05DB1"/>
    <w:rsid w:val="00D05DCD"/>
    <w:rsid w:val="00D05DCF"/>
    <w:rsid w:val="00D05DD9"/>
    <w:rsid w:val="00D05E66"/>
    <w:rsid w:val="00D05E87"/>
    <w:rsid w:val="00D05FB1"/>
    <w:rsid w:val="00D05FD4"/>
    <w:rsid w:val="00D05FE1"/>
    <w:rsid w:val="00D05FE8"/>
    <w:rsid w:val="00D05FF3"/>
    <w:rsid w:val="00D05FF6"/>
    <w:rsid w:val="00D06018"/>
    <w:rsid w:val="00D060B0"/>
    <w:rsid w:val="00D06128"/>
    <w:rsid w:val="00D061B5"/>
    <w:rsid w:val="00D061CA"/>
    <w:rsid w:val="00D06228"/>
    <w:rsid w:val="00D06230"/>
    <w:rsid w:val="00D06276"/>
    <w:rsid w:val="00D06296"/>
    <w:rsid w:val="00D062ED"/>
    <w:rsid w:val="00D062FF"/>
    <w:rsid w:val="00D0633D"/>
    <w:rsid w:val="00D06371"/>
    <w:rsid w:val="00D063E3"/>
    <w:rsid w:val="00D064AF"/>
    <w:rsid w:val="00D064BF"/>
    <w:rsid w:val="00D0653F"/>
    <w:rsid w:val="00D06600"/>
    <w:rsid w:val="00D06681"/>
    <w:rsid w:val="00D066AC"/>
    <w:rsid w:val="00D066C9"/>
    <w:rsid w:val="00D06717"/>
    <w:rsid w:val="00D06743"/>
    <w:rsid w:val="00D0674F"/>
    <w:rsid w:val="00D06767"/>
    <w:rsid w:val="00D06791"/>
    <w:rsid w:val="00D067AA"/>
    <w:rsid w:val="00D067B3"/>
    <w:rsid w:val="00D0685A"/>
    <w:rsid w:val="00D06885"/>
    <w:rsid w:val="00D068A0"/>
    <w:rsid w:val="00D068CD"/>
    <w:rsid w:val="00D06906"/>
    <w:rsid w:val="00D0691C"/>
    <w:rsid w:val="00D06948"/>
    <w:rsid w:val="00D06971"/>
    <w:rsid w:val="00D069C7"/>
    <w:rsid w:val="00D06A10"/>
    <w:rsid w:val="00D06A54"/>
    <w:rsid w:val="00D06A6C"/>
    <w:rsid w:val="00D06A84"/>
    <w:rsid w:val="00D06AAC"/>
    <w:rsid w:val="00D06AE5"/>
    <w:rsid w:val="00D06B1D"/>
    <w:rsid w:val="00D06B71"/>
    <w:rsid w:val="00D06BCC"/>
    <w:rsid w:val="00D06C12"/>
    <w:rsid w:val="00D06C9A"/>
    <w:rsid w:val="00D06CC4"/>
    <w:rsid w:val="00D06D44"/>
    <w:rsid w:val="00D06DB7"/>
    <w:rsid w:val="00D06DBD"/>
    <w:rsid w:val="00D06DC6"/>
    <w:rsid w:val="00D06DE4"/>
    <w:rsid w:val="00D06E76"/>
    <w:rsid w:val="00D06E9B"/>
    <w:rsid w:val="00D06E9F"/>
    <w:rsid w:val="00D06ED5"/>
    <w:rsid w:val="00D06EE9"/>
    <w:rsid w:val="00D06F87"/>
    <w:rsid w:val="00D06F92"/>
    <w:rsid w:val="00D06FF3"/>
    <w:rsid w:val="00D06FFC"/>
    <w:rsid w:val="00D07006"/>
    <w:rsid w:val="00D07010"/>
    <w:rsid w:val="00D07029"/>
    <w:rsid w:val="00D0704F"/>
    <w:rsid w:val="00D0705F"/>
    <w:rsid w:val="00D070B4"/>
    <w:rsid w:val="00D07143"/>
    <w:rsid w:val="00D07162"/>
    <w:rsid w:val="00D0717D"/>
    <w:rsid w:val="00D071EE"/>
    <w:rsid w:val="00D07222"/>
    <w:rsid w:val="00D07293"/>
    <w:rsid w:val="00D072AB"/>
    <w:rsid w:val="00D072C6"/>
    <w:rsid w:val="00D072E6"/>
    <w:rsid w:val="00D07322"/>
    <w:rsid w:val="00D0736C"/>
    <w:rsid w:val="00D0741A"/>
    <w:rsid w:val="00D07557"/>
    <w:rsid w:val="00D075FC"/>
    <w:rsid w:val="00D07633"/>
    <w:rsid w:val="00D0763A"/>
    <w:rsid w:val="00D07653"/>
    <w:rsid w:val="00D07680"/>
    <w:rsid w:val="00D076B2"/>
    <w:rsid w:val="00D07747"/>
    <w:rsid w:val="00D07797"/>
    <w:rsid w:val="00D077CE"/>
    <w:rsid w:val="00D07878"/>
    <w:rsid w:val="00D0789F"/>
    <w:rsid w:val="00D078F3"/>
    <w:rsid w:val="00D07945"/>
    <w:rsid w:val="00D07980"/>
    <w:rsid w:val="00D0799C"/>
    <w:rsid w:val="00D079E1"/>
    <w:rsid w:val="00D07A97"/>
    <w:rsid w:val="00D07AE1"/>
    <w:rsid w:val="00D07AE5"/>
    <w:rsid w:val="00D07B09"/>
    <w:rsid w:val="00D07B31"/>
    <w:rsid w:val="00D07B6C"/>
    <w:rsid w:val="00D07C23"/>
    <w:rsid w:val="00D07C43"/>
    <w:rsid w:val="00D07C50"/>
    <w:rsid w:val="00D07C96"/>
    <w:rsid w:val="00D07CFA"/>
    <w:rsid w:val="00D07D16"/>
    <w:rsid w:val="00D07D77"/>
    <w:rsid w:val="00D07DA2"/>
    <w:rsid w:val="00D07DCE"/>
    <w:rsid w:val="00D07DD6"/>
    <w:rsid w:val="00D07EB5"/>
    <w:rsid w:val="00D07EE2"/>
    <w:rsid w:val="00D07EFA"/>
    <w:rsid w:val="00D07F18"/>
    <w:rsid w:val="00D07F3B"/>
    <w:rsid w:val="00D07F3D"/>
    <w:rsid w:val="00D10041"/>
    <w:rsid w:val="00D10048"/>
    <w:rsid w:val="00D10049"/>
    <w:rsid w:val="00D100CD"/>
    <w:rsid w:val="00D10131"/>
    <w:rsid w:val="00D10146"/>
    <w:rsid w:val="00D10152"/>
    <w:rsid w:val="00D10158"/>
    <w:rsid w:val="00D1016B"/>
    <w:rsid w:val="00D10186"/>
    <w:rsid w:val="00D101F0"/>
    <w:rsid w:val="00D101F1"/>
    <w:rsid w:val="00D101F7"/>
    <w:rsid w:val="00D10202"/>
    <w:rsid w:val="00D1023E"/>
    <w:rsid w:val="00D102AD"/>
    <w:rsid w:val="00D102D8"/>
    <w:rsid w:val="00D102E9"/>
    <w:rsid w:val="00D1030F"/>
    <w:rsid w:val="00D10334"/>
    <w:rsid w:val="00D10349"/>
    <w:rsid w:val="00D1038B"/>
    <w:rsid w:val="00D103EF"/>
    <w:rsid w:val="00D10470"/>
    <w:rsid w:val="00D104AC"/>
    <w:rsid w:val="00D10514"/>
    <w:rsid w:val="00D10533"/>
    <w:rsid w:val="00D105ED"/>
    <w:rsid w:val="00D10636"/>
    <w:rsid w:val="00D10677"/>
    <w:rsid w:val="00D106AB"/>
    <w:rsid w:val="00D106C4"/>
    <w:rsid w:val="00D106D0"/>
    <w:rsid w:val="00D1070F"/>
    <w:rsid w:val="00D1073E"/>
    <w:rsid w:val="00D10773"/>
    <w:rsid w:val="00D1079B"/>
    <w:rsid w:val="00D107A1"/>
    <w:rsid w:val="00D1080F"/>
    <w:rsid w:val="00D108B3"/>
    <w:rsid w:val="00D108E3"/>
    <w:rsid w:val="00D10944"/>
    <w:rsid w:val="00D10A4A"/>
    <w:rsid w:val="00D10A58"/>
    <w:rsid w:val="00D10A6B"/>
    <w:rsid w:val="00D10ACF"/>
    <w:rsid w:val="00D10AEB"/>
    <w:rsid w:val="00D10AEF"/>
    <w:rsid w:val="00D10B64"/>
    <w:rsid w:val="00D10BB8"/>
    <w:rsid w:val="00D10CD7"/>
    <w:rsid w:val="00D10D7E"/>
    <w:rsid w:val="00D10DEA"/>
    <w:rsid w:val="00D10E28"/>
    <w:rsid w:val="00D10E84"/>
    <w:rsid w:val="00D10E87"/>
    <w:rsid w:val="00D10E8B"/>
    <w:rsid w:val="00D10F59"/>
    <w:rsid w:val="00D10F6A"/>
    <w:rsid w:val="00D10FA5"/>
    <w:rsid w:val="00D10FB0"/>
    <w:rsid w:val="00D1102A"/>
    <w:rsid w:val="00D1111A"/>
    <w:rsid w:val="00D11124"/>
    <w:rsid w:val="00D1118D"/>
    <w:rsid w:val="00D1122B"/>
    <w:rsid w:val="00D1122C"/>
    <w:rsid w:val="00D11239"/>
    <w:rsid w:val="00D112A6"/>
    <w:rsid w:val="00D112DA"/>
    <w:rsid w:val="00D1130D"/>
    <w:rsid w:val="00D1138C"/>
    <w:rsid w:val="00D11410"/>
    <w:rsid w:val="00D1149B"/>
    <w:rsid w:val="00D114FE"/>
    <w:rsid w:val="00D11554"/>
    <w:rsid w:val="00D11584"/>
    <w:rsid w:val="00D115BC"/>
    <w:rsid w:val="00D115C3"/>
    <w:rsid w:val="00D11660"/>
    <w:rsid w:val="00D11689"/>
    <w:rsid w:val="00D116C7"/>
    <w:rsid w:val="00D116F5"/>
    <w:rsid w:val="00D117B8"/>
    <w:rsid w:val="00D117CE"/>
    <w:rsid w:val="00D1188C"/>
    <w:rsid w:val="00D1189A"/>
    <w:rsid w:val="00D1189B"/>
    <w:rsid w:val="00D118D6"/>
    <w:rsid w:val="00D11950"/>
    <w:rsid w:val="00D1196E"/>
    <w:rsid w:val="00D11993"/>
    <w:rsid w:val="00D1199A"/>
    <w:rsid w:val="00D119A3"/>
    <w:rsid w:val="00D11A38"/>
    <w:rsid w:val="00D11A51"/>
    <w:rsid w:val="00D11A5B"/>
    <w:rsid w:val="00D11A90"/>
    <w:rsid w:val="00D11ACC"/>
    <w:rsid w:val="00D11ADF"/>
    <w:rsid w:val="00D11AF1"/>
    <w:rsid w:val="00D11B00"/>
    <w:rsid w:val="00D11B04"/>
    <w:rsid w:val="00D11BF6"/>
    <w:rsid w:val="00D11C1C"/>
    <w:rsid w:val="00D11C22"/>
    <w:rsid w:val="00D11C68"/>
    <w:rsid w:val="00D11C92"/>
    <w:rsid w:val="00D11CB1"/>
    <w:rsid w:val="00D11D77"/>
    <w:rsid w:val="00D11DEA"/>
    <w:rsid w:val="00D11E32"/>
    <w:rsid w:val="00D11E42"/>
    <w:rsid w:val="00D11E49"/>
    <w:rsid w:val="00D11ED3"/>
    <w:rsid w:val="00D11F30"/>
    <w:rsid w:val="00D12005"/>
    <w:rsid w:val="00D1208A"/>
    <w:rsid w:val="00D120A3"/>
    <w:rsid w:val="00D120E1"/>
    <w:rsid w:val="00D120E2"/>
    <w:rsid w:val="00D1218B"/>
    <w:rsid w:val="00D121E3"/>
    <w:rsid w:val="00D121EB"/>
    <w:rsid w:val="00D1224C"/>
    <w:rsid w:val="00D1225F"/>
    <w:rsid w:val="00D1229B"/>
    <w:rsid w:val="00D1234B"/>
    <w:rsid w:val="00D1237E"/>
    <w:rsid w:val="00D12385"/>
    <w:rsid w:val="00D123F9"/>
    <w:rsid w:val="00D12404"/>
    <w:rsid w:val="00D1242F"/>
    <w:rsid w:val="00D12474"/>
    <w:rsid w:val="00D1247F"/>
    <w:rsid w:val="00D124FA"/>
    <w:rsid w:val="00D1250C"/>
    <w:rsid w:val="00D1252D"/>
    <w:rsid w:val="00D12533"/>
    <w:rsid w:val="00D125CB"/>
    <w:rsid w:val="00D1265D"/>
    <w:rsid w:val="00D12694"/>
    <w:rsid w:val="00D12706"/>
    <w:rsid w:val="00D1277B"/>
    <w:rsid w:val="00D1278E"/>
    <w:rsid w:val="00D12793"/>
    <w:rsid w:val="00D1286F"/>
    <w:rsid w:val="00D12873"/>
    <w:rsid w:val="00D128D1"/>
    <w:rsid w:val="00D1294B"/>
    <w:rsid w:val="00D12998"/>
    <w:rsid w:val="00D12A01"/>
    <w:rsid w:val="00D12A68"/>
    <w:rsid w:val="00D12A6E"/>
    <w:rsid w:val="00D12A77"/>
    <w:rsid w:val="00D12A83"/>
    <w:rsid w:val="00D12A96"/>
    <w:rsid w:val="00D12ACE"/>
    <w:rsid w:val="00D12ADB"/>
    <w:rsid w:val="00D12AFE"/>
    <w:rsid w:val="00D12B03"/>
    <w:rsid w:val="00D12B2E"/>
    <w:rsid w:val="00D12B3E"/>
    <w:rsid w:val="00D12B45"/>
    <w:rsid w:val="00D12B8C"/>
    <w:rsid w:val="00D12BC6"/>
    <w:rsid w:val="00D12C02"/>
    <w:rsid w:val="00D12C56"/>
    <w:rsid w:val="00D12D01"/>
    <w:rsid w:val="00D12D7B"/>
    <w:rsid w:val="00D12D95"/>
    <w:rsid w:val="00D12DB2"/>
    <w:rsid w:val="00D12DD8"/>
    <w:rsid w:val="00D12ECC"/>
    <w:rsid w:val="00D12FCE"/>
    <w:rsid w:val="00D12FEB"/>
    <w:rsid w:val="00D12FFB"/>
    <w:rsid w:val="00D13081"/>
    <w:rsid w:val="00D130A2"/>
    <w:rsid w:val="00D13138"/>
    <w:rsid w:val="00D1314E"/>
    <w:rsid w:val="00D13158"/>
    <w:rsid w:val="00D13176"/>
    <w:rsid w:val="00D131B1"/>
    <w:rsid w:val="00D13210"/>
    <w:rsid w:val="00D1324C"/>
    <w:rsid w:val="00D13299"/>
    <w:rsid w:val="00D132FD"/>
    <w:rsid w:val="00D13321"/>
    <w:rsid w:val="00D13370"/>
    <w:rsid w:val="00D13385"/>
    <w:rsid w:val="00D13407"/>
    <w:rsid w:val="00D13443"/>
    <w:rsid w:val="00D134A2"/>
    <w:rsid w:val="00D134F4"/>
    <w:rsid w:val="00D1352B"/>
    <w:rsid w:val="00D13566"/>
    <w:rsid w:val="00D1357B"/>
    <w:rsid w:val="00D1358E"/>
    <w:rsid w:val="00D13590"/>
    <w:rsid w:val="00D135F8"/>
    <w:rsid w:val="00D13626"/>
    <w:rsid w:val="00D13644"/>
    <w:rsid w:val="00D13724"/>
    <w:rsid w:val="00D1372B"/>
    <w:rsid w:val="00D1372C"/>
    <w:rsid w:val="00D1375E"/>
    <w:rsid w:val="00D137B2"/>
    <w:rsid w:val="00D1380F"/>
    <w:rsid w:val="00D13828"/>
    <w:rsid w:val="00D1393D"/>
    <w:rsid w:val="00D13947"/>
    <w:rsid w:val="00D13952"/>
    <w:rsid w:val="00D1395A"/>
    <w:rsid w:val="00D13970"/>
    <w:rsid w:val="00D139A7"/>
    <w:rsid w:val="00D139AD"/>
    <w:rsid w:val="00D13A01"/>
    <w:rsid w:val="00D13A92"/>
    <w:rsid w:val="00D13AD4"/>
    <w:rsid w:val="00D13B1E"/>
    <w:rsid w:val="00D13B47"/>
    <w:rsid w:val="00D13BE5"/>
    <w:rsid w:val="00D13BF5"/>
    <w:rsid w:val="00D13BF7"/>
    <w:rsid w:val="00D13C50"/>
    <w:rsid w:val="00D13C51"/>
    <w:rsid w:val="00D13C7C"/>
    <w:rsid w:val="00D13CAB"/>
    <w:rsid w:val="00D13CE5"/>
    <w:rsid w:val="00D13D1F"/>
    <w:rsid w:val="00D13DBA"/>
    <w:rsid w:val="00D13DC9"/>
    <w:rsid w:val="00D13DF3"/>
    <w:rsid w:val="00D13E3A"/>
    <w:rsid w:val="00D13F2B"/>
    <w:rsid w:val="00D13F50"/>
    <w:rsid w:val="00D13F78"/>
    <w:rsid w:val="00D13FBE"/>
    <w:rsid w:val="00D14037"/>
    <w:rsid w:val="00D140B4"/>
    <w:rsid w:val="00D14108"/>
    <w:rsid w:val="00D14131"/>
    <w:rsid w:val="00D141D9"/>
    <w:rsid w:val="00D141DF"/>
    <w:rsid w:val="00D141F8"/>
    <w:rsid w:val="00D14273"/>
    <w:rsid w:val="00D14284"/>
    <w:rsid w:val="00D14322"/>
    <w:rsid w:val="00D1437D"/>
    <w:rsid w:val="00D144B6"/>
    <w:rsid w:val="00D144C3"/>
    <w:rsid w:val="00D14505"/>
    <w:rsid w:val="00D1450E"/>
    <w:rsid w:val="00D145A9"/>
    <w:rsid w:val="00D145C4"/>
    <w:rsid w:val="00D145E0"/>
    <w:rsid w:val="00D145F5"/>
    <w:rsid w:val="00D1463E"/>
    <w:rsid w:val="00D1467A"/>
    <w:rsid w:val="00D146BF"/>
    <w:rsid w:val="00D146C9"/>
    <w:rsid w:val="00D146D5"/>
    <w:rsid w:val="00D146FA"/>
    <w:rsid w:val="00D1472D"/>
    <w:rsid w:val="00D14730"/>
    <w:rsid w:val="00D1479D"/>
    <w:rsid w:val="00D14827"/>
    <w:rsid w:val="00D1484F"/>
    <w:rsid w:val="00D1497B"/>
    <w:rsid w:val="00D149DF"/>
    <w:rsid w:val="00D14A32"/>
    <w:rsid w:val="00D14A44"/>
    <w:rsid w:val="00D14A4F"/>
    <w:rsid w:val="00D14B3C"/>
    <w:rsid w:val="00D14B8C"/>
    <w:rsid w:val="00D14B8D"/>
    <w:rsid w:val="00D14C84"/>
    <w:rsid w:val="00D14C90"/>
    <w:rsid w:val="00D14D0A"/>
    <w:rsid w:val="00D14D84"/>
    <w:rsid w:val="00D14D91"/>
    <w:rsid w:val="00D14DB2"/>
    <w:rsid w:val="00D14E2E"/>
    <w:rsid w:val="00D14E5C"/>
    <w:rsid w:val="00D14E80"/>
    <w:rsid w:val="00D14EA4"/>
    <w:rsid w:val="00D14F69"/>
    <w:rsid w:val="00D14FEA"/>
    <w:rsid w:val="00D14FF5"/>
    <w:rsid w:val="00D150C4"/>
    <w:rsid w:val="00D15193"/>
    <w:rsid w:val="00D151AD"/>
    <w:rsid w:val="00D151AF"/>
    <w:rsid w:val="00D151C3"/>
    <w:rsid w:val="00D151CD"/>
    <w:rsid w:val="00D151D0"/>
    <w:rsid w:val="00D151D6"/>
    <w:rsid w:val="00D151F1"/>
    <w:rsid w:val="00D15206"/>
    <w:rsid w:val="00D1520F"/>
    <w:rsid w:val="00D15213"/>
    <w:rsid w:val="00D15299"/>
    <w:rsid w:val="00D152B3"/>
    <w:rsid w:val="00D152F7"/>
    <w:rsid w:val="00D1530A"/>
    <w:rsid w:val="00D1534A"/>
    <w:rsid w:val="00D15377"/>
    <w:rsid w:val="00D1538D"/>
    <w:rsid w:val="00D153D8"/>
    <w:rsid w:val="00D153E3"/>
    <w:rsid w:val="00D15443"/>
    <w:rsid w:val="00D15454"/>
    <w:rsid w:val="00D15456"/>
    <w:rsid w:val="00D1545F"/>
    <w:rsid w:val="00D15512"/>
    <w:rsid w:val="00D15591"/>
    <w:rsid w:val="00D155B5"/>
    <w:rsid w:val="00D155E0"/>
    <w:rsid w:val="00D155E4"/>
    <w:rsid w:val="00D15619"/>
    <w:rsid w:val="00D15637"/>
    <w:rsid w:val="00D15666"/>
    <w:rsid w:val="00D15692"/>
    <w:rsid w:val="00D156E9"/>
    <w:rsid w:val="00D15724"/>
    <w:rsid w:val="00D1572A"/>
    <w:rsid w:val="00D15738"/>
    <w:rsid w:val="00D15750"/>
    <w:rsid w:val="00D15785"/>
    <w:rsid w:val="00D15790"/>
    <w:rsid w:val="00D157E6"/>
    <w:rsid w:val="00D1581F"/>
    <w:rsid w:val="00D15837"/>
    <w:rsid w:val="00D159E7"/>
    <w:rsid w:val="00D15A05"/>
    <w:rsid w:val="00D15A0C"/>
    <w:rsid w:val="00D15A8A"/>
    <w:rsid w:val="00D15AC5"/>
    <w:rsid w:val="00D15AF7"/>
    <w:rsid w:val="00D15B07"/>
    <w:rsid w:val="00D15B59"/>
    <w:rsid w:val="00D15B99"/>
    <w:rsid w:val="00D15BAE"/>
    <w:rsid w:val="00D15BBC"/>
    <w:rsid w:val="00D15BFE"/>
    <w:rsid w:val="00D15C3A"/>
    <w:rsid w:val="00D15C3F"/>
    <w:rsid w:val="00D15D09"/>
    <w:rsid w:val="00D15D0A"/>
    <w:rsid w:val="00D15D1A"/>
    <w:rsid w:val="00D15D2F"/>
    <w:rsid w:val="00D15D63"/>
    <w:rsid w:val="00D15DD1"/>
    <w:rsid w:val="00D15DDF"/>
    <w:rsid w:val="00D15E19"/>
    <w:rsid w:val="00D15E1C"/>
    <w:rsid w:val="00D15E36"/>
    <w:rsid w:val="00D15EAB"/>
    <w:rsid w:val="00D15F5A"/>
    <w:rsid w:val="00D15F6A"/>
    <w:rsid w:val="00D16028"/>
    <w:rsid w:val="00D16036"/>
    <w:rsid w:val="00D16038"/>
    <w:rsid w:val="00D1603C"/>
    <w:rsid w:val="00D1605B"/>
    <w:rsid w:val="00D16094"/>
    <w:rsid w:val="00D16117"/>
    <w:rsid w:val="00D161DF"/>
    <w:rsid w:val="00D1626B"/>
    <w:rsid w:val="00D162E9"/>
    <w:rsid w:val="00D1632D"/>
    <w:rsid w:val="00D1636B"/>
    <w:rsid w:val="00D163E5"/>
    <w:rsid w:val="00D1640C"/>
    <w:rsid w:val="00D16496"/>
    <w:rsid w:val="00D16497"/>
    <w:rsid w:val="00D16499"/>
    <w:rsid w:val="00D165A3"/>
    <w:rsid w:val="00D165E1"/>
    <w:rsid w:val="00D165F3"/>
    <w:rsid w:val="00D16628"/>
    <w:rsid w:val="00D16641"/>
    <w:rsid w:val="00D166AE"/>
    <w:rsid w:val="00D166ED"/>
    <w:rsid w:val="00D16786"/>
    <w:rsid w:val="00D167C8"/>
    <w:rsid w:val="00D16817"/>
    <w:rsid w:val="00D1683E"/>
    <w:rsid w:val="00D1687B"/>
    <w:rsid w:val="00D16885"/>
    <w:rsid w:val="00D168B3"/>
    <w:rsid w:val="00D168C1"/>
    <w:rsid w:val="00D16909"/>
    <w:rsid w:val="00D1690D"/>
    <w:rsid w:val="00D16958"/>
    <w:rsid w:val="00D16974"/>
    <w:rsid w:val="00D169B5"/>
    <w:rsid w:val="00D169E7"/>
    <w:rsid w:val="00D16A21"/>
    <w:rsid w:val="00D16A37"/>
    <w:rsid w:val="00D16A3B"/>
    <w:rsid w:val="00D16AF0"/>
    <w:rsid w:val="00D16B07"/>
    <w:rsid w:val="00D16B32"/>
    <w:rsid w:val="00D16B33"/>
    <w:rsid w:val="00D16B34"/>
    <w:rsid w:val="00D16B5F"/>
    <w:rsid w:val="00D16BB6"/>
    <w:rsid w:val="00D16BCF"/>
    <w:rsid w:val="00D16BF7"/>
    <w:rsid w:val="00D16C03"/>
    <w:rsid w:val="00D16C3F"/>
    <w:rsid w:val="00D16C4C"/>
    <w:rsid w:val="00D16C51"/>
    <w:rsid w:val="00D16D30"/>
    <w:rsid w:val="00D16D78"/>
    <w:rsid w:val="00D16D7A"/>
    <w:rsid w:val="00D16DE7"/>
    <w:rsid w:val="00D16DEB"/>
    <w:rsid w:val="00D16E70"/>
    <w:rsid w:val="00D16E8F"/>
    <w:rsid w:val="00D16ED6"/>
    <w:rsid w:val="00D16EE1"/>
    <w:rsid w:val="00D16F8A"/>
    <w:rsid w:val="00D16F99"/>
    <w:rsid w:val="00D16FE5"/>
    <w:rsid w:val="00D16FFC"/>
    <w:rsid w:val="00D17132"/>
    <w:rsid w:val="00D17159"/>
    <w:rsid w:val="00D1716C"/>
    <w:rsid w:val="00D1717F"/>
    <w:rsid w:val="00D17191"/>
    <w:rsid w:val="00D171EC"/>
    <w:rsid w:val="00D17228"/>
    <w:rsid w:val="00D17253"/>
    <w:rsid w:val="00D17286"/>
    <w:rsid w:val="00D17299"/>
    <w:rsid w:val="00D172B4"/>
    <w:rsid w:val="00D172F1"/>
    <w:rsid w:val="00D17305"/>
    <w:rsid w:val="00D1731C"/>
    <w:rsid w:val="00D17324"/>
    <w:rsid w:val="00D17337"/>
    <w:rsid w:val="00D17342"/>
    <w:rsid w:val="00D17366"/>
    <w:rsid w:val="00D173EE"/>
    <w:rsid w:val="00D173EF"/>
    <w:rsid w:val="00D1741C"/>
    <w:rsid w:val="00D17438"/>
    <w:rsid w:val="00D174BF"/>
    <w:rsid w:val="00D174CA"/>
    <w:rsid w:val="00D174F5"/>
    <w:rsid w:val="00D17518"/>
    <w:rsid w:val="00D17521"/>
    <w:rsid w:val="00D1754B"/>
    <w:rsid w:val="00D1760C"/>
    <w:rsid w:val="00D1761B"/>
    <w:rsid w:val="00D17691"/>
    <w:rsid w:val="00D176A0"/>
    <w:rsid w:val="00D176B4"/>
    <w:rsid w:val="00D176C1"/>
    <w:rsid w:val="00D1770C"/>
    <w:rsid w:val="00D1773E"/>
    <w:rsid w:val="00D1776E"/>
    <w:rsid w:val="00D17780"/>
    <w:rsid w:val="00D177AB"/>
    <w:rsid w:val="00D17852"/>
    <w:rsid w:val="00D1787C"/>
    <w:rsid w:val="00D178A1"/>
    <w:rsid w:val="00D179C5"/>
    <w:rsid w:val="00D17A16"/>
    <w:rsid w:val="00D17B09"/>
    <w:rsid w:val="00D17B0D"/>
    <w:rsid w:val="00D17B15"/>
    <w:rsid w:val="00D17B4C"/>
    <w:rsid w:val="00D17BF0"/>
    <w:rsid w:val="00D17C33"/>
    <w:rsid w:val="00D17C68"/>
    <w:rsid w:val="00D17C8D"/>
    <w:rsid w:val="00D17CB6"/>
    <w:rsid w:val="00D17CF2"/>
    <w:rsid w:val="00D17D07"/>
    <w:rsid w:val="00D17D34"/>
    <w:rsid w:val="00D17D4B"/>
    <w:rsid w:val="00D17D92"/>
    <w:rsid w:val="00D17D9E"/>
    <w:rsid w:val="00D17DB3"/>
    <w:rsid w:val="00D17DEC"/>
    <w:rsid w:val="00D17E09"/>
    <w:rsid w:val="00D17E1B"/>
    <w:rsid w:val="00D17E34"/>
    <w:rsid w:val="00D17E51"/>
    <w:rsid w:val="00D17EED"/>
    <w:rsid w:val="00D17EF9"/>
    <w:rsid w:val="00D17F08"/>
    <w:rsid w:val="00D17F0C"/>
    <w:rsid w:val="00D17F31"/>
    <w:rsid w:val="00D20003"/>
    <w:rsid w:val="00D2006E"/>
    <w:rsid w:val="00D200E0"/>
    <w:rsid w:val="00D200E6"/>
    <w:rsid w:val="00D20120"/>
    <w:rsid w:val="00D20145"/>
    <w:rsid w:val="00D20153"/>
    <w:rsid w:val="00D201B0"/>
    <w:rsid w:val="00D201B7"/>
    <w:rsid w:val="00D201D2"/>
    <w:rsid w:val="00D201E1"/>
    <w:rsid w:val="00D201FF"/>
    <w:rsid w:val="00D2022A"/>
    <w:rsid w:val="00D202ED"/>
    <w:rsid w:val="00D202F7"/>
    <w:rsid w:val="00D20362"/>
    <w:rsid w:val="00D203EE"/>
    <w:rsid w:val="00D2044D"/>
    <w:rsid w:val="00D2045D"/>
    <w:rsid w:val="00D2048F"/>
    <w:rsid w:val="00D20492"/>
    <w:rsid w:val="00D2049F"/>
    <w:rsid w:val="00D20531"/>
    <w:rsid w:val="00D20557"/>
    <w:rsid w:val="00D205DD"/>
    <w:rsid w:val="00D205E2"/>
    <w:rsid w:val="00D20614"/>
    <w:rsid w:val="00D20687"/>
    <w:rsid w:val="00D20692"/>
    <w:rsid w:val="00D206FE"/>
    <w:rsid w:val="00D20738"/>
    <w:rsid w:val="00D20794"/>
    <w:rsid w:val="00D2083E"/>
    <w:rsid w:val="00D2086A"/>
    <w:rsid w:val="00D208E9"/>
    <w:rsid w:val="00D208FA"/>
    <w:rsid w:val="00D2090A"/>
    <w:rsid w:val="00D2090C"/>
    <w:rsid w:val="00D20952"/>
    <w:rsid w:val="00D20B39"/>
    <w:rsid w:val="00D20B4F"/>
    <w:rsid w:val="00D20B6F"/>
    <w:rsid w:val="00D20BA2"/>
    <w:rsid w:val="00D20C17"/>
    <w:rsid w:val="00D20C19"/>
    <w:rsid w:val="00D20C58"/>
    <w:rsid w:val="00D20C92"/>
    <w:rsid w:val="00D20CA7"/>
    <w:rsid w:val="00D20CBF"/>
    <w:rsid w:val="00D20D27"/>
    <w:rsid w:val="00D20DAE"/>
    <w:rsid w:val="00D20DF7"/>
    <w:rsid w:val="00D20ECB"/>
    <w:rsid w:val="00D20F33"/>
    <w:rsid w:val="00D20F4E"/>
    <w:rsid w:val="00D20FAB"/>
    <w:rsid w:val="00D20FE6"/>
    <w:rsid w:val="00D21022"/>
    <w:rsid w:val="00D2105B"/>
    <w:rsid w:val="00D21101"/>
    <w:rsid w:val="00D21170"/>
    <w:rsid w:val="00D211C1"/>
    <w:rsid w:val="00D2127D"/>
    <w:rsid w:val="00D2129F"/>
    <w:rsid w:val="00D2132A"/>
    <w:rsid w:val="00D2136D"/>
    <w:rsid w:val="00D213CC"/>
    <w:rsid w:val="00D214A2"/>
    <w:rsid w:val="00D214AA"/>
    <w:rsid w:val="00D214B2"/>
    <w:rsid w:val="00D214B7"/>
    <w:rsid w:val="00D214DA"/>
    <w:rsid w:val="00D21561"/>
    <w:rsid w:val="00D2157B"/>
    <w:rsid w:val="00D215B4"/>
    <w:rsid w:val="00D215E0"/>
    <w:rsid w:val="00D21650"/>
    <w:rsid w:val="00D21670"/>
    <w:rsid w:val="00D21710"/>
    <w:rsid w:val="00D21727"/>
    <w:rsid w:val="00D21739"/>
    <w:rsid w:val="00D21742"/>
    <w:rsid w:val="00D21752"/>
    <w:rsid w:val="00D21760"/>
    <w:rsid w:val="00D21784"/>
    <w:rsid w:val="00D217AB"/>
    <w:rsid w:val="00D217B3"/>
    <w:rsid w:val="00D217ED"/>
    <w:rsid w:val="00D21811"/>
    <w:rsid w:val="00D2183C"/>
    <w:rsid w:val="00D2187F"/>
    <w:rsid w:val="00D218A0"/>
    <w:rsid w:val="00D218CB"/>
    <w:rsid w:val="00D21915"/>
    <w:rsid w:val="00D2194A"/>
    <w:rsid w:val="00D2197E"/>
    <w:rsid w:val="00D219C9"/>
    <w:rsid w:val="00D219E3"/>
    <w:rsid w:val="00D21A1E"/>
    <w:rsid w:val="00D21A46"/>
    <w:rsid w:val="00D21A64"/>
    <w:rsid w:val="00D21A98"/>
    <w:rsid w:val="00D21B3C"/>
    <w:rsid w:val="00D21C09"/>
    <w:rsid w:val="00D21C2E"/>
    <w:rsid w:val="00D21CAC"/>
    <w:rsid w:val="00D21CEB"/>
    <w:rsid w:val="00D21D1F"/>
    <w:rsid w:val="00D21D6F"/>
    <w:rsid w:val="00D21D7B"/>
    <w:rsid w:val="00D21D98"/>
    <w:rsid w:val="00D21E02"/>
    <w:rsid w:val="00D21E40"/>
    <w:rsid w:val="00D21EB0"/>
    <w:rsid w:val="00D21EBA"/>
    <w:rsid w:val="00D21F35"/>
    <w:rsid w:val="00D21F3C"/>
    <w:rsid w:val="00D21F94"/>
    <w:rsid w:val="00D2201C"/>
    <w:rsid w:val="00D2202C"/>
    <w:rsid w:val="00D22052"/>
    <w:rsid w:val="00D22072"/>
    <w:rsid w:val="00D220A0"/>
    <w:rsid w:val="00D220AF"/>
    <w:rsid w:val="00D220FA"/>
    <w:rsid w:val="00D22115"/>
    <w:rsid w:val="00D22147"/>
    <w:rsid w:val="00D2217A"/>
    <w:rsid w:val="00D22273"/>
    <w:rsid w:val="00D22297"/>
    <w:rsid w:val="00D222CB"/>
    <w:rsid w:val="00D22372"/>
    <w:rsid w:val="00D223E1"/>
    <w:rsid w:val="00D223F3"/>
    <w:rsid w:val="00D22436"/>
    <w:rsid w:val="00D2249A"/>
    <w:rsid w:val="00D2249C"/>
    <w:rsid w:val="00D224B3"/>
    <w:rsid w:val="00D224CA"/>
    <w:rsid w:val="00D224D2"/>
    <w:rsid w:val="00D224D5"/>
    <w:rsid w:val="00D22511"/>
    <w:rsid w:val="00D2252A"/>
    <w:rsid w:val="00D22561"/>
    <w:rsid w:val="00D2256C"/>
    <w:rsid w:val="00D22595"/>
    <w:rsid w:val="00D225A7"/>
    <w:rsid w:val="00D225AD"/>
    <w:rsid w:val="00D2264C"/>
    <w:rsid w:val="00D22669"/>
    <w:rsid w:val="00D226CA"/>
    <w:rsid w:val="00D226D7"/>
    <w:rsid w:val="00D226E8"/>
    <w:rsid w:val="00D226FE"/>
    <w:rsid w:val="00D2276F"/>
    <w:rsid w:val="00D227C1"/>
    <w:rsid w:val="00D2284B"/>
    <w:rsid w:val="00D2289B"/>
    <w:rsid w:val="00D228B3"/>
    <w:rsid w:val="00D2292A"/>
    <w:rsid w:val="00D22941"/>
    <w:rsid w:val="00D22952"/>
    <w:rsid w:val="00D22A49"/>
    <w:rsid w:val="00D22AA0"/>
    <w:rsid w:val="00D22AF0"/>
    <w:rsid w:val="00D22AF2"/>
    <w:rsid w:val="00D22BDE"/>
    <w:rsid w:val="00D22C61"/>
    <w:rsid w:val="00D22C9E"/>
    <w:rsid w:val="00D22CAB"/>
    <w:rsid w:val="00D22CC1"/>
    <w:rsid w:val="00D22CC6"/>
    <w:rsid w:val="00D22CE6"/>
    <w:rsid w:val="00D22D3E"/>
    <w:rsid w:val="00D22D44"/>
    <w:rsid w:val="00D22D4D"/>
    <w:rsid w:val="00D22D68"/>
    <w:rsid w:val="00D22E0A"/>
    <w:rsid w:val="00D22E47"/>
    <w:rsid w:val="00D22E4D"/>
    <w:rsid w:val="00D22E89"/>
    <w:rsid w:val="00D22EA3"/>
    <w:rsid w:val="00D22F87"/>
    <w:rsid w:val="00D22F94"/>
    <w:rsid w:val="00D22F9E"/>
    <w:rsid w:val="00D22FA9"/>
    <w:rsid w:val="00D23014"/>
    <w:rsid w:val="00D23020"/>
    <w:rsid w:val="00D23022"/>
    <w:rsid w:val="00D23045"/>
    <w:rsid w:val="00D230C2"/>
    <w:rsid w:val="00D230D7"/>
    <w:rsid w:val="00D230F2"/>
    <w:rsid w:val="00D2314A"/>
    <w:rsid w:val="00D2316F"/>
    <w:rsid w:val="00D231A4"/>
    <w:rsid w:val="00D23302"/>
    <w:rsid w:val="00D23305"/>
    <w:rsid w:val="00D2332C"/>
    <w:rsid w:val="00D2336B"/>
    <w:rsid w:val="00D233E1"/>
    <w:rsid w:val="00D233F0"/>
    <w:rsid w:val="00D2340D"/>
    <w:rsid w:val="00D23414"/>
    <w:rsid w:val="00D23466"/>
    <w:rsid w:val="00D23483"/>
    <w:rsid w:val="00D2353B"/>
    <w:rsid w:val="00D23542"/>
    <w:rsid w:val="00D235C4"/>
    <w:rsid w:val="00D23636"/>
    <w:rsid w:val="00D23696"/>
    <w:rsid w:val="00D236B5"/>
    <w:rsid w:val="00D2370D"/>
    <w:rsid w:val="00D2377A"/>
    <w:rsid w:val="00D2377B"/>
    <w:rsid w:val="00D23782"/>
    <w:rsid w:val="00D237A0"/>
    <w:rsid w:val="00D237F3"/>
    <w:rsid w:val="00D23846"/>
    <w:rsid w:val="00D238A4"/>
    <w:rsid w:val="00D238BA"/>
    <w:rsid w:val="00D238E9"/>
    <w:rsid w:val="00D23902"/>
    <w:rsid w:val="00D2393C"/>
    <w:rsid w:val="00D2395B"/>
    <w:rsid w:val="00D239B0"/>
    <w:rsid w:val="00D239CA"/>
    <w:rsid w:val="00D239CB"/>
    <w:rsid w:val="00D239CF"/>
    <w:rsid w:val="00D23A4E"/>
    <w:rsid w:val="00D23B13"/>
    <w:rsid w:val="00D23B9C"/>
    <w:rsid w:val="00D23BA7"/>
    <w:rsid w:val="00D23D28"/>
    <w:rsid w:val="00D23E16"/>
    <w:rsid w:val="00D23E42"/>
    <w:rsid w:val="00D23E4E"/>
    <w:rsid w:val="00D23E5C"/>
    <w:rsid w:val="00D23EB3"/>
    <w:rsid w:val="00D23EB6"/>
    <w:rsid w:val="00D23EF1"/>
    <w:rsid w:val="00D23F24"/>
    <w:rsid w:val="00D23F3E"/>
    <w:rsid w:val="00D23F5A"/>
    <w:rsid w:val="00D23F75"/>
    <w:rsid w:val="00D23F93"/>
    <w:rsid w:val="00D23FB3"/>
    <w:rsid w:val="00D23FFB"/>
    <w:rsid w:val="00D240E9"/>
    <w:rsid w:val="00D241E5"/>
    <w:rsid w:val="00D241FE"/>
    <w:rsid w:val="00D24258"/>
    <w:rsid w:val="00D242D6"/>
    <w:rsid w:val="00D2431E"/>
    <w:rsid w:val="00D24364"/>
    <w:rsid w:val="00D243BC"/>
    <w:rsid w:val="00D24438"/>
    <w:rsid w:val="00D244B7"/>
    <w:rsid w:val="00D244F8"/>
    <w:rsid w:val="00D2451D"/>
    <w:rsid w:val="00D24542"/>
    <w:rsid w:val="00D2455F"/>
    <w:rsid w:val="00D245D6"/>
    <w:rsid w:val="00D2462B"/>
    <w:rsid w:val="00D24672"/>
    <w:rsid w:val="00D2467D"/>
    <w:rsid w:val="00D246DE"/>
    <w:rsid w:val="00D2470D"/>
    <w:rsid w:val="00D247A4"/>
    <w:rsid w:val="00D247F6"/>
    <w:rsid w:val="00D24816"/>
    <w:rsid w:val="00D24817"/>
    <w:rsid w:val="00D2487A"/>
    <w:rsid w:val="00D248B6"/>
    <w:rsid w:val="00D248B9"/>
    <w:rsid w:val="00D248CD"/>
    <w:rsid w:val="00D248FA"/>
    <w:rsid w:val="00D248FE"/>
    <w:rsid w:val="00D2490E"/>
    <w:rsid w:val="00D24911"/>
    <w:rsid w:val="00D24919"/>
    <w:rsid w:val="00D24A3C"/>
    <w:rsid w:val="00D24A47"/>
    <w:rsid w:val="00D24A4C"/>
    <w:rsid w:val="00D24B23"/>
    <w:rsid w:val="00D24B65"/>
    <w:rsid w:val="00D24B91"/>
    <w:rsid w:val="00D24B9F"/>
    <w:rsid w:val="00D24C9B"/>
    <w:rsid w:val="00D24CE5"/>
    <w:rsid w:val="00D24CF1"/>
    <w:rsid w:val="00D24D74"/>
    <w:rsid w:val="00D24E0E"/>
    <w:rsid w:val="00D24E19"/>
    <w:rsid w:val="00D24E1A"/>
    <w:rsid w:val="00D24E24"/>
    <w:rsid w:val="00D24E76"/>
    <w:rsid w:val="00D24E99"/>
    <w:rsid w:val="00D24ECA"/>
    <w:rsid w:val="00D24F03"/>
    <w:rsid w:val="00D24F28"/>
    <w:rsid w:val="00D24FCF"/>
    <w:rsid w:val="00D24FEC"/>
    <w:rsid w:val="00D250EE"/>
    <w:rsid w:val="00D250F2"/>
    <w:rsid w:val="00D25106"/>
    <w:rsid w:val="00D25190"/>
    <w:rsid w:val="00D251CD"/>
    <w:rsid w:val="00D25222"/>
    <w:rsid w:val="00D25225"/>
    <w:rsid w:val="00D2526E"/>
    <w:rsid w:val="00D2526F"/>
    <w:rsid w:val="00D252A9"/>
    <w:rsid w:val="00D25302"/>
    <w:rsid w:val="00D25313"/>
    <w:rsid w:val="00D2536D"/>
    <w:rsid w:val="00D2537D"/>
    <w:rsid w:val="00D25386"/>
    <w:rsid w:val="00D253A1"/>
    <w:rsid w:val="00D2542D"/>
    <w:rsid w:val="00D25434"/>
    <w:rsid w:val="00D2545E"/>
    <w:rsid w:val="00D25493"/>
    <w:rsid w:val="00D254D2"/>
    <w:rsid w:val="00D254DD"/>
    <w:rsid w:val="00D254F2"/>
    <w:rsid w:val="00D25577"/>
    <w:rsid w:val="00D255C4"/>
    <w:rsid w:val="00D255DB"/>
    <w:rsid w:val="00D255E4"/>
    <w:rsid w:val="00D255F7"/>
    <w:rsid w:val="00D25667"/>
    <w:rsid w:val="00D25675"/>
    <w:rsid w:val="00D2570A"/>
    <w:rsid w:val="00D2571A"/>
    <w:rsid w:val="00D25749"/>
    <w:rsid w:val="00D25754"/>
    <w:rsid w:val="00D25766"/>
    <w:rsid w:val="00D25819"/>
    <w:rsid w:val="00D25866"/>
    <w:rsid w:val="00D2586B"/>
    <w:rsid w:val="00D258B0"/>
    <w:rsid w:val="00D25914"/>
    <w:rsid w:val="00D25940"/>
    <w:rsid w:val="00D259D3"/>
    <w:rsid w:val="00D259DB"/>
    <w:rsid w:val="00D259FF"/>
    <w:rsid w:val="00D25A8B"/>
    <w:rsid w:val="00D25AAF"/>
    <w:rsid w:val="00D25AE8"/>
    <w:rsid w:val="00D25B3D"/>
    <w:rsid w:val="00D25C0F"/>
    <w:rsid w:val="00D25C4F"/>
    <w:rsid w:val="00D25C66"/>
    <w:rsid w:val="00D25D17"/>
    <w:rsid w:val="00D25DB3"/>
    <w:rsid w:val="00D25DE8"/>
    <w:rsid w:val="00D25E49"/>
    <w:rsid w:val="00D25E54"/>
    <w:rsid w:val="00D25E7E"/>
    <w:rsid w:val="00D25F38"/>
    <w:rsid w:val="00D25FA4"/>
    <w:rsid w:val="00D26013"/>
    <w:rsid w:val="00D26033"/>
    <w:rsid w:val="00D26074"/>
    <w:rsid w:val="00D260FE"/>
    <w:rsid w:val="00D26111"/>
    <w:rsid w:val="00D2614D"/>
    <w:rsid w:val="00D26155"/>
    <w:rsid w:val="00D26270"/>
    <w:rsid w:val="00D262A5"/>
    <w:rsid w:val="00D262F6"/>
    <w:rsid w:val="00D26339"/>
    <w:rsid w:val="00D26350"/>
    <w:rsid w:val="00D26381"/>
    <w:rsid w:val="00D26394"/>
    <w:rsid w:val="00D263A3"/>
    <w:rsid w:val="00D264A4"/>
    <w:rsid w:val="00D264F1"/>
    <w:rsid w:val="00D26512"/>
    <w:rsid w:val="00D26555"/>
    <w:rsid w:val="00D2657E"/>
    <w:rsid w:val="00D2657F"/>
    <w:rsid w:val="00D265D3"/>
    <w:rsid w:val="00D26606"/>
    <w:rsid w:val="00D26613"/>
    <w:rsid w:val="00D26630"/>
    <w:rsid w:val="00D2669D"/>
    <w:rsid w:val="00D266D7"/>
    <w:rsid w:val="00D26709"/>
    <w:rsid w:val="00D2671C"/>
    <w:rsid w:val="00D267A0"/>
    <w:rsid w:val="00D267B0"/>
    <w:rsid w:val="00D267D9"/>
    <w:rsid w:val="00D267E6"/>
    <w:rsid w:val="00D267EC"/>
    <w:rsid w:val="00D267ED"/>
    <w:rsid w:val="00D26859"/>
    <w:rsid w:val="00D269E7"/>
    <w:rsid w:val="00D269F1"/>
    <w:rsid w:val="00D26A45"/>
    <w:rsid w:val="00D26A47"/>
    <w:rsid w:val="00D26A88"/>
    <w:rsid w:val="00D26A8A"/>
    <w:rsid w:val="00D26AD8"/>
    <w:rsid w:val="00D26B8F"/>
    <w:rsid w:val="00D26BA8"/>
    <w:rsid w:val="00D26BDF"/>
    <w:rsid w:val="00D26C5B"/>
    <w:rsid w:val="00D26C65"/>
    <w:rsid w:val="00D26C78"/>
    <w:rsid w:val="00D26C7C"/>
    <w:rsid w:val="00D26C9D"/>
    <w:rsid w:val="00D26CD6"/>
    <w:rsid w:val="00D26CE5"/>
    <w:rsid w:val="00D26D67"/>
    <w:rsid w:val="00D26DAD"/>
    <w:rsid w:val="00D26DC5"/>
    <w:rsid w:val="00D26DD0"/>
    <w:rsid w:val="00D26E1A"/>
    <w:rsid w:val="00D26E28"/>
    <w:rsid w:val="00D26E29"/>
    <w:rsid w:val="00D26E41"/>
    <w:rsid w:val="00D26ED2"/>
    <w:rsid w:val="00D26EE9"/>
    <w:rsid w:val="00D26F5A"/>
    <w:rsid w:val="00D26F97"/>
    <w:rsid w:val="00D26FCA"/>
    <w:rsid w:val="00D27024"/>
    <w:rsid w:val="00D27053"/>
    <w:rsid w:val="00D27072"/>
    <w:rsid w:val="00D2713D"/>
    <w:rsid w:val="00D27221"/>
    <w:rsid w:val="00D272A6"/>
    <w:rsid w:val="00D272C0"/>
    <w:rsid w:val="00D272FC"/>
    <w:rsid w:val="00D27306"/>
    <w:rsid w:val="00D27321"/>
    <w:rsid w:val="00D27355"/>
    <w:rsid w:val="00D273B7"/>
    <w:rsid w:val="00D27541"/>
    <w:rsid w:val="00D27569"/>
    <w:rsid w:val="00D27581"/>
    <w:rsid w:val="00D275D5"/>
    <w:rsid w:val="00D275EF"/>
    <w:rsid w:val="00D27686"/>
    <w:rsid w:val="00D276C9"/>
    <w:rsid w:val="00D276DE"/>
    <w:rsid w:val="00D276EF"/>
    <w:rsid w:val="00D27735"/>
    <w:rsid w:val="00D2773A"/>
    <w:rsid w:val="00D27752"/>
    <w:rsid w:val="00D2775B"/>
    <w:rsid w:val="00D277DD"/>
    <w:rsid w:val="00D27827"/>
    <w:rsid w:val="00D27881"/>
    <w:rsid w:val="00D27891"/>
    <w:rsid w:val="00D278FE"/>
    <w:rsid w:val="00D27983"/>
    <w:rsid w:val="00D27996"/>
    <w:rsid w:val="00D27997"/>
    <w:rsid w:val="00D27A5C"/>
    <w:rsid w:val="00D27B67"/>
    <w:rsid w:val="00D27B84"/>
    <w:rsid w:val="00D27BA0"/>
    <w:rsid w:val="00D27C3D"/>
    <w:rsid w:val="00D27C75"/>
    <w:rsid w:val="00D27C8E"/>
    <w:rsid w:val="00D27CB5"/>
    <w:rsid w:val="00D27D77"/>
    <w:rsid w:val="00D27E20"/>
    <w:rsid w:val="00D27E7B"/>
    <w:rsid w:val="00D27EDB"/>
    <w:rsid w:val="00D27EDC"/>
    <w:rsid w:val="00D27FBB"/>
    <w:rsid w:val="00D3012B"/>
    <w:rsid w:val="00D3017A"/>
    <w:rsid w:val="00D30229"/>
    <w:rsid w:val="00D30277"/>
    <w:rsid w:val="00D30289"/>
    <w:rsid w:val="00D30296"/>
    <w:rsid w:val="00D302A5"/>
    <w:rsid w:val="00D302CC"/>
    <w:rsid w:val="00D303A9"/>
    <w:rsid w:val="00D303C2"/>
    <w:rsid w:val="00D30432"/>
    <w:rsid w:val="00D30483"/>
    <w:rsid w:val="00D304BB"/>
    <w:rsid w:val="00D304D4"/>
    <w:rsid w:val="00D304E2"/>
    <w:rsid w:val="00D304EF"/>
    <w:rsid w:val="00D3052D"/>
    <w:rsid w:val="00D305B3"/>
    <w:rsid w:val="00D305FD"/>
    <w:rsid w:val="00D30634"/>
    <w:rsid w:val="00D3067E"/>
    <w:rsid w:val="00D30693"/>
    <w:rsid w:val="00D306DB"/>
    <w:rsid w:val="00D306E5"/>
    <w:rsid w:val="00D307FC"/>
    <w:rsid w:val="00D30895"/>
    <w:rsid w:val="00D30897"/>
    <w:rsid w:val="00D308D5"/>
    <w:rsid w:val="00D308E8"/>
    <w:rsid w:val="00D3090B"/>
    <w:rsid w:val="00D3093D"/>
    <w:rsid w:val="00D3096A"/>
    <w:rsid w:val="00D309AB"/>
    <w:rsid w:val="00D309BD"/>
    <w:rsid w:val="00D309E6"/>
    <w:rsid w:val="00D30A1B"/>
    <w:rsid w:val="00D30A22"/>
    <w:rsid w:val="00D30A31"/>
    <w:rsid w:val="00D30A79"/>
    <w:rsid w:val="00D30B85"/>
    <w:rsid w:val="00D30BAB"/>
    <w:rsid w:val="00D30C22"/>
    <w:rsid w:val="00D30C56"/>
    <w:rsid w:val="00D30C63"/>
    <w:rsid w:val="00D30C75"/>
    <w:rsid w:val="00D30C79"/>
    <w:rsid w:val="00D30C80"/>
    <w:rsid w:val="00D30CAA"/>
    <w:rsid w:val="00D30D20"/>
    <w:rsid w:val="00D30D29"/>
    <w:rsid w:val="00D30DAA"/>
    <w:rsid w:val="00D30DF6"/>
    <w:rsid w:val="00D30DFD"/>
    <w:rsid w:val="00D30E58"/>
    <w:rsid w:val="00D30E86"/>
    <w:rsid w:val="00D30EDF"/>
    <w:rsid w:val="00D30EE0"/>
    <w:rsid w:val="00D30F56"/>
    <w:rsid w:val="00D30F6B"/>
    <w:rsid w:val="00D31045"/>
    <w:rsid w:val="00D3105D"/>
    <w:rsid w:val="00D310CB"/>
    <w:rsid w:val="00D310D4"/>
    <w:rsid w:val="00D311CA"/>
    <w:rsid w:val="00D31202"/>
    <w:rsid w:val="00D31228"/>
    <w:rsid w:val="00D31308"/>
    <w:rsid w:val="00D3132B"/>
    <w:rsid w:val="00D31372"/>
    <w:rsid w:val="00D3138F"/>
    <w:rsid w:val="00D31392"/>
    <w:rsid w:val="00D313E2"/>
    <w:rsid w:val="00D3147B"/>
    <w:rsid w:val="00D31504"/>
    <w:rsid w:val="00D31533"/>
    <w:rsid w:val="00D31572"/>
    <w:rsid w:val="00D3158C"/>
    <w:rsid w:val="00D315EF"/>
    <w:rsid w:val="00D315F4"/>
    <w:rsid w:val="00D31601"/>
    <w:rsid w:val="00D31603"/>
    <w:rsid w:val="00D31682"/>
    <w:rsid w:val="00D316A1"/>
    <w:rsid w:val="00D316AE"/>
    <w:rsid w:val="00D31719"/>
    <w:rsid w:val="00D3174A"/>
    <w:rsid w:val="00D31780"/>
    <w:rsid w:val="00D317A7"/>
    <w:rsid w:val="00D317F3"/>
    <w:rsid w:val="00D31825"/>
    <w:rsid w:val="00D3184E"/>
    <w:rsid w:val="00D31889"/>
    <w:rsid w:val="00D31984"/>
    <w:rsid w:val="00D319F6"/>
    <w:rsid w:val="00D31A1E"/>
    <w:rsid w:val="00D31A3B"/>
    <w:rsid w:val="00D31A5E"/>
    <w:rsid w:val="00D31AEE"/>
    <w:rsid w:val="00D31B07"/>
    <w:rsid w:val="00D31B4D"/>
    <w:rsid w:val="00D31B52"/>
    <w:rsid w:val="00D31B68"/>
    <w:rsid w:val="00D31BE6"/>
    <w:rsid w:val="00D31C18"/>
    <w:rsid w:val="00D31CFF"/>
    <w:rsid w:val="00D31D08"/>
    <w:rsid w:val="00D31D49"/>
    <w:rsid w:val="00D31D8D"/>
    <w:rsid w:val="00D31DC3"/>
    <w:rsid w:val="00D31DCE"/>
    <w:rsid w:val="00D31E8D"/>
    <w:rsid w:val="00D31E93"/>
    <w:rsid w:val="00D31E96"/>
    <w:rsid w:val="00D31ED1"/>
    <w:rsid w:val="00D31EE6"/>
    <w:rsid w:val="00D31EF9"/>
    <w:rsid w:val="00D31F1A"/>
    <w:rsid w:val="00D31F44"/>
    <w:rsid w:val="00D31F4C"/>
    <w:rsid w:val="00D31F6C"/>
    <w:rsid w:val="00D31F9F"/>
    <w:rsid w:val="00D31FDA"/>
    <w:rsid w:val="00D32087"/>
    <w:rsid w:val="00D3208B"/>
    <w:rsid w:val="00D320B0"/>
    <w:rsid w:val="00D320F7"/>
    <w:rsid w:val="00D321F1"/>
    <w:rsid w:val="00D321FF"/>
    <w:rsid w:val="00D32225"/>
    <w:rsid w:val="00D32296"/>
    <w:rsid w:val="00D323B9"/>
    <w:rsid w:val="00D3245C"/>
    <w:rsid w:val="00D32558"/>
    <w:rsid w:val="00D3257A"/>
    <w:rsid w:val="00D325D1"/>
    <w:rsid w:val="00D326EE"/>
    <w:rsid w:val="00D32708"/>
    <w:rsid w:val="00D32709"/>
    <w:rsid w:val="00D327B7"/>
    <w:rsid w:val="00D32811"/>
    <w:rsid w:val="00D3285F"/>
    <w:rsid w:val="00D328C0"/>
    <w:rsid w:val="00D32914"/>
    <w:rsid w:val="00D329F1"/>
    <w:rsid w:val="00D32A01"/>
    <w:rsid w:val="00D32A35"/>
    <w:rsid w:val="00D32A68"/>
    <w:rsid w:val="00D32AD9"/>
    <w:rsid w:val="00D32AED"/>
    <w:rsid w:val="00D32B1B"/>
    <w:rsid w:val="00D32B77"/>
    <w:rsid w:val="00D32BF8"/>
    <w:rsid w:val="00D32C7D"/>
    <w:rsid w:val="00D32D61"/>
    <w:rsid w:val="00D32D69"/>
    <w:rsid w:val="00D32D84"/>
    <w:rsid w:val="00D32D9E"/>
    <w:rsid w:val="00D32E80"/>
    <w:rsid w:val="00D32EB4"/>
    <w:rsid w:val="00D32FE1"/>
    <w:rsid w:val="00D33002"/>
    <w:rsid w:val="00D33020"/>
    <w:rsid w:val="00D330C6"/>
    <w:rsid w:val="00D330F0"/>
    <w:rsid w:val="00D33122"/>
    <w:rsid w:val="00D3322B"/>
    <w:rsid w:val="00D33230"/>
    <w:rsid w:val="00D33258"/>
    <w:rsid w:val="00D3328E"/>
    <w:rsid w:val="00D332C3"/>
    <w:rsid w:val="00D33300"/>
    <w:rsid w:val="00D33383"/>
    <w:rsid w:val="00D333D1"/>
    <w:rsid w:val="00D333E3"/>
    <w:rsid w:val="00D33417"/>
    <w:rsid w:val="00D3344B"/>
    <w:rsid w:val="00D3344C"/>
    <w:rsid w:val="00D334CF"/>
    <w:rsid w:val="00D334E5"/>
    <w:rsid w:val="00D33530"/>
    <w:rsid w:val="00D33572"/>
    <w:rsid w:val="00D33630"/>
    <w:rsid w:val="00D3365A"/>
    <w:rsid w:val="00D33724"/>
    <w:rsid w:val="00D33729"/>
    <w:rsid w:val="00D337A6"/>
    <w:rsid w:val="00D337EA"/>
    <w:rsid w:val="00D337FC"/>
    <w:rsid w:val="00D33829"/>
    <w:rsid w:val="00D33885"/>
    <w:rsid w:val="00D338AF"/>
    <w:rsid w:val="00D338F1"/>
    <w:rsid w:val="00D339D2"/>
    <w:rsid w:val="00D339D7"/>
    <w:rsid w:val="00D339F5"/>
    <w:rsid w:val="00D33A58"/>
    <w:rsid w:val="00D33A61"/>
    <w:rsid w:val="00D33AB9"/>
    <w:rsid w:val="00D33AD5"/>
    <w:rsid w:val="00D33AF7"/>
    <w:rsid w:val="00D33C06"/>
    <w:rsid w:val="00D33D40"/>
    <w:rsid w:val="00D33D68"/>
    <w:rsid w:val="00D33DC8"/>
    <w:rsid w:val="00D33DDF"/>
    <w:rsid w:val="00D33E8E"/>
    <w:rsid w:val="00D33ED7"/>
    <w:rsid w:val="00D33F1C"/>
    <w:rsid w:val="00D33F6F"/>
    <w:rsid w:val="00D33F8A"/>
    <w:rsid w:val="00D33FBA"/>
    <w:rsid w:val="00D33FE3"/>
    <w:rsid w:val="00D33FFD"/>
    <w:rsid w:val="00D34028"/>
    <w:rsid w:val="00D34067"/>
    <w:rsid w:val="00D3407D"/>
    <w:rsid w:val="00D3408E"/>
    <w:rsid w:val="00D340E2"/>
    <w:rsid w:val="00D34124"/>
    <w:rsid w:val="00D341CE"/>
    <w:rsid w:val="00D34220"/>
    <w:rsid w:val="00D3430F"/>
    <w:rsid w:val="00D34371"/>
    <w:rsid w:val="00D34379"/>
    <w:rsid w:val="00D3438A"/>
    <w:rsid w:val="00D343E1"/>
    <w:rsid w:val="00D343E2"/>
    <w:rsid w:val="00D34403"/>
    <w:rsid w:val="00D34424"/>
    <w:rsid w:val="00D3452D"/>
    <w:rsid w:val="00D34685"/>
    <w:rsid w:val="00D347C5"/>
    <w:rsid w:val="00D347CF"/>
    <w:rsid w:val="00D347F2"/>
    <w:rsid w:val="00D34827"/>
    <w:rsid w:val="00D34836"/>
    <w:rsid w:val="00D3487D"/>
    <w:rsid w:val="00D348BD"/>
    <w:rsid w:val="00D34963"/>
    <w:rsid w:val="00D34980"/>
    <w:rsid w:val="00D349CD"/>
    <w:rsid w:val="00D349DC"/>
    <w:rsid w:val="00D34AD4"/>
    <w:rsid w:val="00D34AEE"/>
    <w:rsid w:val="00D34B0C"/>
    <w:rsid w:val="00D34B8E"/>
    <w:rsid w:val="00D34BA3"/>
    <w:rsid w:val="00D34D9F"/>
    <w:rsid w:val="00D34E15"/>
    <w:rsid w:val="00D34E93"/>
    <w:rsid w:val="00D34F03"/>
    <w:rsid w:val="00D34F0B"/>
    <w:rsid w:val="00D34F7E"/>
    <w:rsid w:val="00D34FF5"/>
    <w:rsid w:val="00D34FFD"/>
    <w:rsid w:val="00D35032"/>
    <w:rsid w:val="00D3503E"/>
    <w:rsid w:val="00D3515D"/>
    <w:rsid w:val="00D35169"/>
    <w:rsid w:val="00D35192"/>
    <w:rsid w:val="00D3523C"/>
    <w:rsid w:val="00D3529B"/>
    <w:rsid w:val="00D352D6"/>
    <w:rsid w:val="00D352E0"/>
    <w:rsid w:val="00D35320"/>
    <w:rsid w:val="00D353A6"/>
    <w:rsid w:val="00D353BB"/>
    <w:rsid w:val="00D35426"/>
    <w:rsid w:val="00D35432"/>
    <w:rsid w:val="00D354FC"/>
    <w:rsid w:val="00D35511"/>
    <w:rsid w:val="00D355BA"/>
    <w:rsid w:val="00D355C8"/>
    <w:rsid w:val="00D355F0"/>
    <w:rsid w:val="00D35654"/>
    <w:rsid w:val="00D35684"/>
    <w:rsid w:val="00D356C6"/>
    <w:rsid w:val="00D356F2"/>
    <w:rsid w:val="00D35750"/>
    <w:rsid w:val="00D3577F"/>
    <w:rsid w:val="00D357AB"/>
    <w:rsid w:val="00D35804"/>
    <w:rsid w:val="00D35832"/>
    <w:rsid w:val="00D3583D"/>
    <w:rsid w:val="00D358DC"/>
    <w:rsid w:val="00D358E8"/>
    <w:rsid w:val="00D3593A"/>
    <w:rsid w:val="00D35971"/>
    <w:rsid w:val="00D35A35"/>
    <w:rsid w:val="00D35A84"/>
    <w:rsid w:val="00D35AED"/>
    <w:rsid w:val="00D35B3F"/>
    <w:rsid w:val="00D35B51"/>
    <w:rsid w:val="00D35B74"/>
    <w:rsid w:val="00D35BD8"/>
    <w:rsid w:val="00D35C17"/>
    <w:rsid w:val="00D35C18"/>
    <w:rsid w:val="00D35C4E"/>
    <w:rsid w:val="00D35CC4"/>
    <w:rsid w:val="00D35CCA"/>
    <w:rsid w:val="00D35CF5"/>
    <w:rsid w:val="00D35CF8"/>
    <w:rsid w:val="00D35D0A"/>
    <w:rsid w:val="00D35D23"/>
    <w:rsid w:val="00D35D41"/>
    <w:rsid w:val="00D35D5C"/>
    <w:rsid w:val="00D35D71"/>
    <w:rsid w:val="00D35DB5"/>
    <w:rsid w:val="00D35E0B"/>
    <w:rsid w:val="00D35E20"/>
    <w:rsid w:val="00D35E4D"/>
    <w:rsid w:val="00D35E77"/>
    <w:rsid w:val="00D35EA3"/>
    <w:rsid w:val="00D35F28"/>
    <w:rsid w:val="00D35FF9"/>
    <w:rsid w:val="00D36041"/>
    <w:rsid w:val="00D36119"/>
    <w:rsid w:val="00D36124"/>
    <w:rsid w:val="00D3620C"/>
    <w:rsid w:val="00D3626E"/>
    <w:rsid w:val="00D36277"/>
    <w:rsid w:val="00D36301"/>
    <w:rsid w:val="00D36327"/>
    <w:rsid w:val="00D36339"/>
    <w:rsid w:val="00D36357"/>
    <w:rsid w:val="00D36366"/>
    <w:rsid w:val="00D3637C"/>
    <w:rsid w:val="00D363B0"/>
    <w:rsid w:val="00D36407"/>
    <w:rsid w:val="00D364D8"/>
    <w:rsid w:val="00D3659B"/>
    <w:rsid w:val="00D366DC"/>
    <w:rsid w:val="00D36724"/>
    <w:rsid w:val="00D36775"/>
    <w:rsid w:val="00D367EB"/>
    <w:rsid w:val="00D36841"/>
    <w:rsid w:val="00D36850"/>
    <w:rsid w:val="00D3687F"/>
    <w:rsid w:val="00D368E7"/>
    <w:rsid w:val="00D36907"/>
    <w:rsid w:val="00D36935"/>
    <w:rsid w:val="00D3698E"/>
    <w:rsid w:val="00D36A0A"/>
    <w:rsid w:val="00D36A54"/>
    <w:rsid w:val="00D36A6D"/>
    <w:rsid w:val="00D36A6F"/>
    <w:rsid w:val="00D36AC4"/>
    <w:rsid w:val="00D36BA7"/>
    <w:rsid w:val="00D36BB4"/>
    <w:rsid w:val="00D36BBB"/>
    <w:rsid w:val="00D36BDC"/>
    <w:rsid w:val="00D36C0E"/>
    <w:rsid w:val="00D36C1A"/>
    <w:rsid w:val="00D36C1D"/>
    <w:rsid w:val="00D36C3E"/>
    <w:rsid w:val="00D36C64"/>
    <w:rsid w:val="00D36D08"/>
    <w:rsid w:val="00D36D09"/>
    <w:rsid w:val="00D36D59"/>
    <w:rsid w:val="00D36D82"/>
    <w:rsid w:val="00D36DAF"/>
    <w:rsid w:val="00D36DC4"/>
    <w:rsid w:val="00D36DC9"/>
    <w:rsid w:val="00D36DCA"/>
    <w:rsid w:val="00D36E12"/>
    <w:rsid w:val="00D36E1F"/>
    <w:rsid w:val="00D36E24"/>
    <w:rsid w:val="00D36E57"/>
    <w:rsid w:val="00D36EA4"/>
    <w:rsid w:val="00D36EB0"/>
    <w:rsid w:val="00D36EE9"/>
    <w:rsid w:val="00D36F2F"/>
    <w:rsid w:val="00D36FA7"/>
    <w:rsid w:val="00D36FB7"/>
    <w:rsid w:val="00D3700D"/>
    <w:rsid w:val="00D37089"/>
    <w:rsid w:val="00D3709D"/>
    <w:rsid w:val="00D370D5"/>
    <w:rsid w:val="00D370E1"/>
    <w:rsid w:val="00D370E3"/>
    <w:rsid w:val="00D3716E"/>
    <w:rsid w:val="00D371E1"/>
    <w:rsid w:val="00D37221"/>
    <w:rsid w:val="00D3728D"/>
    <w:rsid w:val="00D37318"/>
    <w:rsid w:val="00D373A5"/>
    <w:rsid w:val="00D373AD"/>
    <w:rsid w:val="00D373E5"/>
    <w:rsid w:val="00D37411"/>
    <w:rsid w:val="00D3741C"/>
    <w:rsid w:val="00D37421"/>
    <w:rsid w:val="00D37450"/>
    <w:rsid w:val="00D37464"/>
    <w:rsid w:val="00D3748A"/>
    <w:rsid w:val="00D374E3"/>
    <w:rsid w:val="00D37523"/>
    <w:rsid w:val="00D3754E"/>
    <w:rsid w:val="00D3755C"/>
    <w:rsid w:val="00D37631"/>
    <w:rsid w:val="00D37645"/>
    <w:rsid w:val="00D376E6"/>
    <w:rsid w:val="00D37704"/>
    <w:rsid w:val="00D3772C"/>
    <w:rsid w:val="00D37773"/>
    <w:rsid w:val="00D37793"/>
    <w:rsid w:val="00D377E2"/>
    <w:rsid w:val="00D377F8"/>
    <w:rsid w:val="00D3784F"/>
    <w:rsid w:val="00D3785A"/>
    <w:rsid w:val="00D37887"/>
    <w:rsid w:val="00D37889"/>
    <w:rsid w:val="00D3788E"/>
    <w:rsid w:val="00D37931"/>
    <w:rsid w:val="00D37952"/>
    <w:rsid w:val="00D379D6"/>
    <w:rsid w:val="00D379DA"/>
    <w:rsid w:val="00D37A3B"/>
    <w:rsid w:val="00D37A7D"/>
    <w:rsid w:val="00D37B02"/>
    <w:rsid w:val="00D37B43"/>
    <w:rsid w:val="00D37BA8"/>
    <w:rsid w:val="00D37BC4"/>
    <w:rsid w:val="00D37BD2"/>
    <w:rsid w:val="00D37C70"/>
    <w:rsid w:val="00D37C86"/>
    <w:rsid w:val="00D37CA6"/>
    <w:rsid w:val="00D37CCB"/>
    <w:rsid w:val="00D37D55"/>
    <w:rsid w:val="00D37D6F"/>
    <w:rsid w:val="00D37D7A"/>
    <w:rsid w:val="00D37DFE"/>
    <w:rsid w:val="00D37E6E"/>
    <w:rsid w:val="00D37F17"/>
    <w:rsid w:val="00D37F4A"/>
    <w:rsid w:val="00D37F50"/>
    <w:rsid w:val="00D37FDB"/>
    <w:rsid w:val="00D40019"/>
    <w:rsid w:val="00D4008B"/>
    <w:rsid w:val="00D400A5"/>
    <w:rsid w:val="00D400EA"/>
    <w:rsid w:val="00D4010C"/>
    <w:rsid w:val="00D40137"/>
    <w:rsid w:val="00D401A7"/>
    <w:rsid w:val="00D401EC"/>
    <w:rsid w:val="00D401FE"/>
    <w:rsid w:val="00D4021A"/>
    <w:rsid w:val="00D402DF"/>
    <w:rsid w:val="00D4031A"/>
    <w:rsid w:val="00D40455"/>
    <w:rsid w:val="00D4051E"/>
    <w:rsid w:val="00D40547"/>
    <w:rsid w:val="00D405B9"/>
    <w:rsid w:val="00D405D7"/>
    <w:rsid w:val="00D405E3"/>
    <w:rsid w:val="00D4060D"/>
    <w:rsid w:val="00D40624"/>
    <w:rsid w:val="00D40651"/>
    <w:rsid w:val="00D406DB"/>
    <w:rsid w:val="00D40703"/>
    <w:rsid w:val="00D40740"/>
    <w:rsid w:val="00D40766"/>
    <w:rsid w:val="00D4076A"/>
    <w:rsid w:val="00D4082D"/>
    <w:rsid w:val="00D4082F"/>
    <w:rsid w:val="00D40852"/>
    <w:rsid w:val="00D4087C"/>
    <w:rsid w:val="00D408A9"/>
    <w:rsid w:val="00D408D1"/>
    <w:rsid w:val="00D40901"/>
    <w:rsid w:val="00D40924"/>
    <w:rsid w:val="00D4092C"/>
    <w:rsid w:val="00D4092E"/>
    <w:rsid w:val="00D409AA"/>
    <w:rsid w:val="00D409B4"/>
    <w:rsid w:val="00D409D8"/>
    <w:rsid w:val="00D409ED"/>
    <w:rsid w:val="00D40A77"/>
    <w:rsid w:val="00D40A93"/>
    <w:rsid w:val="00D40AE4"/>
    <w:rsid w:val="00D40B05"/>
    <w:rsid w:val="00D40B4E"/>
    <w:rsid w:val="00D40B8B"/>
    <w:rsid w:val="00D40BAE"/>
    <w:rsid w:val="00D40BBC"/>
    <w:rsid w:val="00D40CD8"/>
    <w:rsid w:val="00D40D8D"/>
    <w:rsid w:val="00D40DA0"/>
    <w:rsid w:val="00D40DF3"/>
    <w:rsid w:val="00D40E04"/>
    <w:rsid w:val="00D40E9F"/>
    <w:rsid w:val="00D40EB1"/>
    <w:rsid w:val="00D40EB7"/>
    <w:rsid w:val="00D40ED6"/>
    <w:rsid w:val="00D40FDD"/>
    <w:rsid w:val="00D40FE2"/>
    <w:rsid w:val="00D41005"/>
    <w:rsid w:val="00D410BC"/>
    <w:rsid w:val="00D410C5"/>
    <w:rsid w:val="00D410EB"/>
    <w:rsid w:val="00D41134"/>
    <w:rsid w:val="00D41148"/>
    <w:rsid w:val="00D41210"/>
    <w:rsid w:val="00D41213"/>
    <w:rsid w:val="00D4121B"/>
    <w:rsid w:val="00D4139E"/>
    <w:rsid w:val="00D4141D"/>
    <w:rsid w:val="00D4143B"/>
    <w:rsid w:val="00D414AC"/>
    <w:rsid w:val="00D414B6"/>
    <w:rsid w:val="00D414DA"/>
    <w:rsid w:val="00D414DF"/>
    <w:rsid w:val="00D415C4"/>
    <w:rsid w:val="00D415E6"/>
    <w:rsid w:val="00D415F3"/>
    <w:rsid w:val="00D415F6"/>
    <w:rsid w:val="00D41620"/>
    <w:rsid w:val="00D41640"/>
    <w:rsid w:val="00D4169E"/>
    <w:rsid w:val="00D416A8"/>
    <w:rsid w:val="00D416D6"/>
    <w:rsid w:val="00D416DD"/>
    <w:rsid w:val="00D41715"/>
    <w:rsid w:val="00D4175A"/>
    <w:rsid w:val="00D417CF"/>
    <w:rsid w:val="00D41836"/>
    <w:rsid w:val="00D41843"/>
    <w:rsid w:val="00D418D5"/>
    <w:rsid w:val="00D4191A"/>
    <w:rsid w:val="00D4191F"/>
    <w:rsid w:val="00D419E5"/>
    <w:rsid w:val="00D41A47"/>
    <w:rsid w:val="00D41AC7"/>
    <w:rsid w:val="00D41B13"/>
    <w:rsid w:val="00D41B72"/>
    <w:rsid w:val="00D41B79"/>
    <w:rsid w:val="00D41C2C"/>
    <w:rsid w:val="00D41C38"/>
    <w:rsid w:val="00D41C57"/>
    <w:rsid w:val="00D41D51"/>
    <w:rsid w:val="00D41D67"/>
    <w:rsid w:val="00D41DB3"/>
    <w:rsid w:val="00D41E0C"/>
    <w:rsid w:val="00D41E3A"/>
    <w:rsid w:val="00D41E44"/>
    <w:rsid w:val="00D41E6C"/>
    <w:rsid w:val="00D41EA6"/>
    <w:rsid w:val="00D41EA7"/>
    <w:rsid w:val="00D41F29"/>
    <w:rsid w:val="00D4203F"/>
    <w:rsid w:val="00D42067"/>
    <w:rsid w:val="00D4209C"/>
    <w:rsid w:val="00D420F0"/>
    <w:rsid w:val="00D42178"/>
    <w:rsid w:val="00D4218B"/>
    <w:rsid w:val="00D4218F"/>
    <w:rsid w:val="00D42211"/>
    <w:rsid w:val="00D4231E"/>
    <w:rsid w:val="00D42335"/>
    <w:rsid w:val="00D4233B"/>
    <w:rsid w:val="00D423B1"/>
    <w:rsid w:val="00D42416"/>
    <w:rsid w:val="00D4244B"/>
    <w:rsid w:val="00D42473"/>
    <w:rsid w:val="00D4247E"/>
    <w:rsid w:val="00D42491"/>
    <w:rsid w:val="00D4249D"/>
    <w:rsid w:val="00D424CE"/>
    <w:rsid w:val="00D424FB"/>
    <w:rsid w:val="00D4250B"/>
    <w:rsid w:val="00D42520"/>
    <w:rsid w:val="00D42558"/>
    <w:rsid w:val="00D42577"/>
    <w:rsid w:val="00D4258C"/>
    <w:rsid w:val="00D4260B"/>
    <w:rsid w:val="00D42651"/>
    <w:rsid w:val="00D4269D"/>
    <w:rsid w:val="00D42721"/>
    <w:rsid w:val="00D4272A"/>
    <w:rsid w:val="00D4274B"/>
    <w:rsid w:val="00D42751"/>
    <w:rsid w:val="00D42775"/>
    <w:rsid w:val="00D42846"/>
    <w:rsid w:val="00D42850"/>
    <w:rsid w:val="00D429AB"/>
    <w:rsid w:val="00D42A78"/>
    <w:rsid w:val="00D42A91"/>
    <w:rsid w:val="00D42A9B"/>
    <w:rsid w:val="00D42B08"/>
    <w:rsid w:val="00D42B11"/>
    <w:rsid w:val="00D42B14"/>
    <w:rsid w:val="00D42B4A"/>
    <w:rsid w:val="00D42B59"/>
    <w:rsid w:val="00D42B71"/>
    <w:rsid w:val="00D42BF5"/>
    <w:rsid w:val="00D42BF6"/>
    <w:rsid w:val="00D42C4F"/>
    <w:rsid w:val="00D42D14"/>
    <w:rsid w:val="00D42D26"/>
    <w:rsid w:val="00D42D44"/>
    <w:rsid w:val="00D42D98"/>
    <w:rsid w:val="00D42DB6"/>
    <w:rsid w:val="00D42DED"/>
    <w:rsid w:val="00D42E73"/>
    <w:rsid w:val="00D42EA5"/>
    <w:rsid w:val="00D42F53"/>
    <w:rsid w:val="00D42F96"/>
    <w:rsid w:val="00D43072"/>
    <w:rsid w:val="00D430D7"/>
    <w:rsid w:val="00D431CD"/>
    <w:rsid w:val="00D431DC"/>
    <w:rsid w:val="00D432E6"/>
    <w:rsid w:val="00D432F4"/>
    <w:rsid w:val="00D43312"/>
    <w:rsid w:val="00D4331B"/>
    <w:rsid w:val="00D4337E"/>
    <w:rsid w:val="00D43380"/>
    <w:rsid w:val="00D433C0"/>
    <w:rsid w:val="00D43445"/>
    <w:rsid w:val="00D43466"/>
    <w:rsid w:val="00D434BB"/>
    <w:rsid w:val="00D434D5"/>
    <w:rsid w:val="00D43539"/>
    <w:rsid w:val="00D43546"/>
    <w:rsid w:val="00D43571"/>
    <w:rsid w:val="00D43594"/>
    <w:rsid w:val="00D43659"/>
    <w:rsid w:val="00D43669"/>
    <w:rsid w:val="00D4367E"/>
    <w:rsid w:val="00D436F3"/>
    <w:rsid w:val="00D43712"/>
    <w:rsid w:val="00D43717"/>
    <w:rsid w:val="00D43751"/>
    <w:rsid w:val="00D4375D"/>
    <w:rsid w:val="00D437A3"/>
    <w:rsid w:val="00D437A8"/>
    <w:rsid w:val="00D437E4"/>
    <w:rsid w:val="00D4393C"/>
    <w:rsid w:val="00D43999"/>
    <w:rsid w:val="00D43A79"/>
    <w:rsid w:val="00D43A93"/>
    <w:rsid w:val="00D43AC8"/>
    <w:rsid w:val="00D43B41"/>
    <w:rsid w:val="00D43B82"/>
    <w:rsid w:val="00D43BC9"/>
    <w:rsid w:val="00D43C27"/>
    <w:rsid w:val="00D43C48"/>
    <w:rsid w:val="00D43C52"/>
    <w:rsid w:val="00D43C7C"/>
    <w:rsid w:val="00D43CC5"/>
    <w:rsid w:val="00D43D12"/>
    <w:rsid w:val="00D43D5F"/>
    <w:rsid w:val="00D43DFD"/>
    <w:rsid w:val="00D43E1B"/>
    <w:rsid w:val="00D43E71"/>
    <w:rsid w:val="00D43E7B"/>
    <w:rsid w:val="00D43F88"/>
    <w:rsid w:val="00D43F9D"/>
    <w:rsid w:val="00D43FBE"/>
    <w:rsid w:val="00D43FFE"/>
    <w:rsid w:val="00D44023"/>
    <w:rsid w:val="00D44032"/>
    <w:rsid w:val="00D4404B"/>
    <w:rsid w:val="00D440D6"/>
    <w:rsid w:val="00D440E9"/>
    <w:rsid w:val="00D4411E"/>
    <w:rsid w:val="00D44186"/>
    <w:rsid w:val="00D441C0"/>
    <w:rsid w:val="00D441C3"/>
    <w:rsid w:val="00D441C6"/>
    <w:rsid w:val="00D441CD"/>
    <w:rsid w:val="00D441E2"/>
    <w:rsid w:val="00D441F3"/>
    <w:rsid w:val="00D44254"/>
    <w:rsid w:val="00D4428B"/>
    <w:rsid w:val="00D442C7"/>
    <w:rsid w:val="00D44324"/>
    <w:rsid w:val="00D44345"/>
    <w:rsid w:val="00D44361"/>
    <w:rsid w:val="00D443A2"/>
    <w:rsid w:val="00D443E1"/>
    <w:rsid w:val="00D44456"/>
    <w:rsid w:val="00D44557"/>
    <w:rsid w:val="00D4455F"/>
    <w:rsid w:val="00D4457E"/>
    <w:rsid w:val="00D44667"/>
    <w:rsid w:val="00D4468C"/>
    <w:rsid w:val="00D446A1"/>
    <w:rsid w:val="00D446D3"/>
    <w:rsid w:val="00D44747"/>
    <w:rsid w:val="00D44768"/>
    <w:rsid w:val="00D44781"/>
    <w:rsid w:val="00D44797"/>
    <w:rsid w:val="00D447BC"/>
    <w:rsid w:val="00D4482D"/>
    <w:rsid w:val="00D44870"/>
    <w:rsid w:val="00D44876"/>
    <w:rsid w:val="00D4488F"/>
    <w:rsid w:val="00D448AF"/>
    <w:rsid w:val="00D4490E"/>
    <w:rsid w:val="00D44937"/>
    <w:rsid w:val="00D44965"/>
    <w:rsid w:val="00D4498C"/>
    <w:rsid w:val="00D449D0"/>
    <w:rsid w:val="00D44A69"/>
    <w:rsid w:val="00D44A6B"/>
    <w:rsid w:val="00D44A96"/>
    <w:rsid w:val="00D44AA6"/>
    <w:rsid w:val="00D44AAB"/>
    <w:rsid w:val="00D44AE9"/>
    <w:rsid w:val="00D44B5E"/>
    <w:rsid w:val="00D44BDE"/>
    <w:rsid w:val="00D44C02"/>
    <w:rsid w:val="00D44C98"/>
    <w:rsid w:val="00D44CA8"/>
    <w:rsid w:val="00D44CDE"/>
    <w:rsid w:val="00D44D51"/>
    <w:rsid w:val="00D44D59"/>
    <w:rsid w:val="00D44D78"/>
    <w:rsid w:val="00D44D79"/>
    <w:rsid w:val="00D44D95"/>
    <w:rsid w:val="00D44E43"/>
    <w:rsid w:val="00D44E5C"/>
    <w:rsid w:val="00D44EBB"/>
    <w:rsid w:val="00D44EFC"/>
    <w:rsid w:val="00D44F1F"/>
    <w:rsid w:val="00D44F2F"/>
    <w:rsid w:val="00D44FB6"/>
    <w:rsid w:val="00D44FF6"/>
    <w:rsid w:val="00D4500E"/>
    <w:rsid w:val="00D450E9"/>
    <w:rsid w:val="00D4518C"/>
    <w:rsid w:val="00D45194"/>
    <w:rsid w:val="00D451CE"/>
    <w:rsid w:val="00D45293"/>
    <w:rsid w:val="00D452A5"/>
    <w:rsid w:val="00D452CB"/>
    <w:rsid w:val="00D452E4"/>
    <w:rsid w:val="00D4536C"/>
    <w:rsid w:val="00D45387"/>
    <w:rsid w:val="00D453BB"/>
    <w:rsid w:val="00D45462"/>
    <w:rsid w:val="00D454D6"/>
    <w:rsid w:val="00D45571"/>
    <w:rsid w:val="00D455B1"/>
    <w:rsid w:val="00D455BA"/>
    <w:rsid w:val="00D455C4"/>
    <w:rsid w:val="00D455FE"/>
    <w:rsid w:val="00D4561E"/>
    <w:rsid w:val="00D4569B"/>
    <w:rsid w:val="00D456CD"/>
    <w:rsid w:val="00D456CF"/>
    <w:rsid w:val="00D4571E"/>
    <w:rsid w:val="00D45727"/>
    <w:rsid w:val="00D457DC"/>
    <w:rsid w:val="00D45868"/>
    <w:rsid w:val="00D4589F"/>
    <w:rsid w:val="00D458CC"/>
    <w:rsid w:val="00D4593A"/>
    <w:rsid w:val="00D459C2"/>
    <w:rsid w:val="00D459DB"/>
    <w:rsid w:val="00D459DE"/>
    <w:rsid w:val="00D45A25"/>
    <w:rsid w:val="00D45A5D"/>
    <w:rsid w:val="00D45A7F"/>
    <w:rsid w:val="00D45A82"/>
    <w:rsid w:val="00D45A96"/>
    <w:rsid w:val="00D45AA7"/>
    <w:rsid w:val="00D45ABE"/>
    <w:rsid w:val="00D45AC8"/>
    <w:rsid w:val="00D45ADC"/>
    <w:rsid w:val="00D45C1C"/>
    <w:rsid w:val="00D45C53"/>
    <w:rsid w:val="00D45C64"/>
    <w:rsid w:val="00D45CC6"/>
    <w:rsid w:val="00D45D06"/>
    <w:rsid w:val="00D45D1F"/>
    <w:rsid w:val="00D45D5E"/>
    <w:rsid w:val="00D45D75"/>
    <w:rsid w:val="00D45D82"/>
    <w:rsid w:val="00D45DCE"/>
    <w:rsid w:val="00D45DD1"/>
    <w:rsid w:val="00D45DD3"/>
    <w:rsid w:val="00D45E05"/>
    <w:rsid w:val="00D45E36"/>
    <w:rsid w:val="00D45E3A"/>
    <w:rsid w:val="00D45E42"/>
    <w:rsid w:val="00D45E90"/>
    <w:rsid w:val="00D45F40"/>
    <w:rsid w:val="00D45FD8"/>
    <w:rsid w:val="00D46018"/>
    <w:rsid w:val="00D4602B"/>
    <w:rsid w:val="00D46077"/>
    <w:rsid w:val="00D460D7"/>
    <w:rsid w:val="00D461D3"/>
    <w:rsid w:val="00D461E8"/>
    <w:rsid w:val="00D4620D"/>
    <w:rsid w:val="00D46287"/>
    <w:rsid w:val="00D46371"/>
    <w:rsid w:val="00D4639C"/>
    <w:rsid w:val="00D463C5"/>
    <w:rsid w:val="00D463EF"/>
    <w:rsid w:val="00D46400"/>
    <w:rsid w:val="00D4641E"/>
    <w:rsid w:val="00D46427"/>
    <w:rsid w:val="00D4647A"/>
    <w:rsid w:val="00D4648A"/>
    <w:rsid w:val="00D4649A"/>
    <w:rsid w:val="00D464B3"/>
    <w:rsid w:val="00D464CD"/>
    <w:rsid w:val="00D464DF"/>
    <w:rsid w:val="00D464F3"/>
    <w:rsid w:val="00D46506"/>
    <w:rsid w:val="00D46508"/>
    <w:rsid w:val="00D4652A"/>
    <w:rsid w:val="00D4658A"/>
    <w:rsid w:val="00D465B9"/>
    <w:rsid w:val="00D465D9"/>
    <w:rsid w:val="00D465F1"/>
    <w:rsid w:val="00D4664B"/>
    <w:rsid w:val="00D466CD"/>
    <w:rsid w:val="00D466E8"/>
    <w:rsid w:val="00D46727"/>
    <w:rsid w:val="00D46760"/>
    <w:rsid w:val="00D46789"/>
    <w:rsid w:val="00D46791"/>
    <w:rsid w:val="00D467B3"/>
    <w:rsid w:val="00D467D0"/>
    <w:rsid w:val="00D467D7"/>
    <w:rsid w:val="00D46820"/>
    <w:rsid w:val="00D4682E"/>
    <w:rsid w:val="00D46834"/>
    <w:rsid w:val="00D4687A"/>
    <w:rsid w:val="00D468E2"/>
    <w:rsid w:val="00D468FD"/>
    <w:rsid w:val="00D46904"/>
    <w:rsid w:val="00D46945"/>
    <w:rsid w:val="00D46966"/>
    <w:rsid w:val="00D4696B"/>
    <w:rsid w:val="00D4698D"/>
    <w:rsid w:val="00D469FE"/>
    <w:rsid w:val="00D46A0D"/>
    <w:rsid w:val="00D46A6A"/>
    <w:rsid w:val="00D46BB7"/>
    <w:rsid w:val="00D46BBD"/>
    <w:rsid w:val="00D46C35"/>
    <w:rsid w:val="00D46C61"/>
    <w:rsid w:val="00D46C89"/>
    <w:rsid w:val="00D46CBD"/>
    <w:rsid w:val="00D46D36"/>
    <w:rsid w:val="00D46DBE"/>
    <w:rsid w:val="00D46E0F"/>
    <w:rsid w:val="00D46E4B"/>
    <w:rsid w:val="00D46E67"/>
    <w:rsid w:val="00D46E8D"/>
    <w:rsid w:val="00D46EB9"/>
    <w:rsid w:val="00D46EBA"/>
    <w:rsid w:val="00D46F82"/>
    <w:rsid w:val="00D46FB6"/>
    <w:rsid w:val="00D46FD9"/>
    <w:rsid w:val="00D47009"/>
    <w:rsid w:val="00D47033"/>
    <w:rsid w:val="00D47058"/>
    <w:rsid w:val="00D470AA"/>
    <w:rsid w:val="00D47152"/>
    <w:rsid w:val="00D47167"/>
    <w:rsid w:val="00D4719B"/>
    <w:rsid w:val="00D47279"/>
    <w:rsid w:val="00D47288"/>
    <w:rsid w:val="00D472B1"/>
    <w:rsid w:val="00D47395"/>
    <w:rsid w:val="00D473CE"/>
    <w:rsid w:val="00D47415"/>
    <w:rsid w:val="00D47463"/>
    <w:rsid w:val="00D47489"/>
    <w:rsid w:val="00D474A2"/>
    <w:rsid w:val="00D474F4"/>
    <w:rsid w:val="00D47517"/>
    <w:rsid w:val="00D4752A"/>
    <w:rsid w:val="00D47592"/>
    <w:rsid w:val="00D475B7"/>
    <w:rsid w:val="00D475CD"/>
    <w:rsid w:val="00D47663"/>
    <w:rsid w:val="00D476B9"/>
    <w:rsid w:val="00D476DA"/>
    <w:rsid w:val="00D4770D"/>
    <w:rsid w:val="00D47757"/>
    <w:rsid w:val="00D47762"/>
    <w:rsid w:val="00D47797"/>
    <w:rsid w:val="00D477A5"/>
    <w:rsid w:val="00D477F9"/>
    <w:rsid w:val="00D47801"/>
    <w:rsid w:val="00D47849"/>
    <w:rsid w:val="00D47895"/>
    <w:rsid w:val="00D478C1"/>
    <w:rsid w:val="00D47908"/>
    <w:rsid w:val="00D47909"/>
    <w:rsid w:val="00D47925"/>
    <w:rsid w:val="00D479C3"/>
    <w:rsid w:val="00D47A75"/>
    <w:rsid w:val="00D47A9C"/>
    <w:rsid w:val="00D47AB2"/>
    <w:rsid w:val="00D47B0E"/>
    <w:rsid w:val="00D47C42"/>
    <w:rsid w:val="00D47C8A"/>
    <w:rsid w:val="00D47CB1"/>
    <w:rsid w:val="00D47CDD"/>
    <w:rsid w:val="00D47D15"/>
    <w:rsid w:val="00D47D9A"/>
    <w:rsid w:val="00D47DB2"/>
    <w:rsid w:val="00D47DCB"/>
    <w:rsid w:val="00D47ED5"/>
    <w:rsid w:val="00D47F47"/>
    <w:rsid w:val="00D47F5B"/>
    <w:rsid w:val="00D47FAF"/>
    <w:rsid w:val="00D500C0"/>
    <w:rsid w:val="00D50120"/>
    <w:rsid w:val="00D50139"/>
    <w:rsid w:val="00D50141"/>
    <w:rsid w:val="00D5023A"/>
    <w:rsid w:val="00D502D3"/>
    <w:rsid w:val="00D502F1"/>
    <w:rsid w:val="00D5033D"/>
    <w:rsid w:val="00D503C0"/>
    <w:rsid w:val="00D5043A"/>
    <w:rsid w:val="00D504A0"/>
    <w:rsid w:val="00D50529"/>
    <w:rsid w:val="00D5055E"/>
    <w:rsid w:val="00D5059A"/>
    <w:rsid w:val="00D5069E"/>
    <w:rsid w:val="00D506A3"/>
    <w:rsid w:val="00D506F6"/>
    <w:rsid w:val="00D5071D"/>
    <w:rsid w:val="00D5072D"/>
    <w:rsid w:val="00D50744"/>
    <w:rsid w:val="00D50759"/>
    <w:rsid w:val="00D50795"/>
    <w:rsid w:val="00D507D3"/>
    <w:rsid w:val="00D507E8"/>
    <w:rsid w:val="00D5082A"/>
    <w:rsid w:val="00D5082C"/>
    <w:rsid w:val="00D50849"/>
    <w:rsid w:val="00D50879"/>
    <w:rsid w:val="00D5088B"/>
    <w:rsid w:val="00D508AA"/>
    <w:rsid w:val="00D5098C"/>
    <w:rsid w:val="00D509A8"/>
    <w:rsid w:val="00D509E6"/>
    <w:rsid w:val="00D50A26"/>
    <w:rsid w:val="00D50A27"/>
    <w:rsid w:val="00D50A44"/>
    <w:rsid w:val="00D50A78"/>
    <w:rsid w:val="00D50A8D"/>
    <w:rsid w:val="00D50B21"/>
    <w:rsid w:val="00D50B6D"/>
    <w:rsid w:val="00D50BB0"/>
    <w:rsid w:val="00D50BB5"/>
    <w:rsid w:val="00D50C31"/>
    <w:rsid w:val="00D50C79"/>
    <w:rsid w:val="00D50CAA"/>
    <w:rsid w:val="00D50CE8"/>
    <w:rsid w:val="00D50D97"/>
    <w:rsid w:val="00D50DBE"/>
    <w:rsid w:val="00D50DD5"/>
    <w:rsid w:val="00D50DF8"/>
    <w:rsid w:val="00D50E46"/>
    <w:rsid w:val="00D50E7F"/>
    <w:rsid w:val="00D50ED6"/>
    <w:rsid w:val="00D50EE4"/>
    <w:rsid w:val="00D50F13"/>
    <w:rsid w:val="00D50F2C"/>
    <w:rsid w:val="00D50F30"/>
    <w:rsid w:val="00D50F74"/>
    <w:rsid w:val="00D50F89"/>
    <w:rsid w:val="00D50FFB"/>
    <w:rsid w:val="00D51054"/>
    <w:rsid w:val="00D510B4"/>
    <w:rsid w:val="00D51104"/>
    <w:rsid w:val="00D51112"/>
    <w:rsid w:val="00D51177"/>
    <w:rsid w:val="00D511D0"/>
    <w:rsid w:val="00D51213"/>
    <w:rsid w:val="00D51223"/>
    <w:rsid w:val="00D51243"/>
    <w:rsid w:val="00D51244"/>
    <w:rsid w:val="00D51257"/>
    <w:rsid w:val="00D51293"/>
    <w:rsid w:val="00D512BB"/>
    <w:rsid w:val="00D512C3"/>
    <w:rsid w:val="00D512D5"/>
    <w:rsid w:val="00D51306"/>
    <w:rsid w:val="00D51324"/>
    <w:rsid w:val="00D51391"/>
    <w:rsid w:val="00D513A0"/>
    <w:rsid w:val="00D513AE"/>
    <w:rsid w:val="00D513F3"/>
    <w:rsid w:val="00D5144C"/>
    <w:rsid w:val="00D5144F"/>
    <w:rsid w:val="00D5146C"/>
    <w:rsid w:val="00D514CE"/>
    <w:rsid w:val="00D515DF"/>
    <w:rsid w:val="00D51610"/>
    <w:rsid w:val="00D5165F"/>
    <w:rsid w:val="00D5167B"/>
    <w:rsid w:val="00D516BB"/>
    <w:rsid w:val="00D516DC"/>
    <w:rsid w:val="00D516ED"/>
    <w:rsid w:val="00D516F6"/>
    <w:rsid w:val="00D51704"/>
    <w:rsid w:val="00D5171E"/>
    <w:rsid w:val="00D5177A"/>
    <w:rsid w:val="00D51782"/>
    <w:rsid w:val="00D518C5"/>
    <w:rsid w:val="00D518D6"/>
    <w:rsid w:val="00D518DB"/>
    <w:rsid w:val="00D518DF"/>
    <w:rsid w:val="00D51936"/>
    <w:rsid w:val="00D5193A"/>
    <w:rsid w:val="00D51946"/>
    <w:rsid w:val="00D51981"/>
    <w:rsid w:val="00D519C7"/>
    <w:rsid w:val="00D51A5A"/>
    <w:rsid w:val="00D51AD9"/>
    <w:rsid w:val="00D51B0A"/>
    <w:rsid w:val="00D51B0D"/>
    <w:rsid w:val="00D51B3E"/>
    <w:rsid w:val="00D51B6D"/>
    <w:rsid w:val="00D51B6F"/>
    <w:rsid w:val="00D51B9F"/>
    <w:rsid w:val="00D51BAA"/>
    <w:rsid w:val="00D51BCB"/>
    <w:rsid w:val="00D51CB9"/>
    <w:rsid w:val="00D51D09"/>
    <w:rsid w:val="00D51DE4"/>
    <w:rsid w:val="00D51E63"/>
    <w:rsid w:val="00D51E65"/>
    <w:rsid w:val="00D51E86"/>
    <w:rsid w:val="00D51EBF"/>
    <w:rsid w:val="00D51EEB"/>
    <w:rsid w:val="00D51EF0"/>
    <w:rsid w:val="00D51EFF"/>
    <w:rsid w:val="00D51F2B"/>
    <w:rsid w:val="00D51F49"/>
    <w:rsid w:val="00D51F74"/>
    <w:rsid w:val="00D51FE2"/>
    <w:rsid w:val="00D52028"/>
    <w:rsid w:val="00D5209A"/>
    <w:rsid w:val="00D520E7"/>
    <w:rsid w:val="00D52134"/>
    <w:rsid w:val="00D52139"/>
    <w:rsid w:val="00D52146"/>
    <w:rsid w:val="00D52162"/>
    <w:rsid w:val="00D5216E"/>
    <w:rsid w:val="00D5217E"/>
    <w:rsid w:val="00D5219F"/>
    <w:rsid w:val="00D521D6"/>
    <w:rsid w:val="00D52261"/>
    <w:rsid w:val="00D52268"/>
    <w:rsid w:val="00D522AE"/>
    <w:rsid w:val="00D522FC"/>
    <w:rsid w:val="00D52372"/>
    <w:rsid w:val="00D523C6"/>
    <w:rsid w:val="00D523D5"/>
    <w:rsid w:val="00D523D7"/>
    <w:rsid w:val="00D523F3"/>
    <w:rsid w:val="00D523FB"/>
    <w:rsid w:val="00D52400"/>
    <w:rsid w:val="00D52437"/>
    <w:rsid w:val="00D5247C"/>
    <w:rsid w:val="00D52502"/>
    <w:rsid w:val="00D5250E"/>
    <w:rsid w:val="00D52582"/>
    <w:rsid w:val="00D52589"/>
    <w:rsid w:val="00D525CD"/>
    <w:rsid w:val="00D525FE"/>
    <w:rsid w:val="00D52643"/>
    <w:rsid w:val="00D52705"/>
    <w:rsid w:val="00D52714"/>
    <w:rsid w:val="00D5278A"/>
    <w:rsid w:val="00D527B4"/>
    <w:rsid w:val="00D52824"/>
    <w:rsid w:val="00D528E3"/>
    <w:rsid w:val="00D52A4A"/>
    <w:rsid w:val="00D52A8D"/>
    <w:rsid w:val="00D52AB5"/>
    <w:rsid w:val="00D52AB7"/>
    <w:rsid w:val="00D52AD2"/>
    <w:rsid w:val="00D52AFE"/>
    <w:rsid w:val="00D52B1B"/>
    <w:rsid w:val="00D52B20"/>
    <w:rsid w:val="00D52B5D"/>
    <w:rsid w:val="00D52BDD"/>
    <w:rsid w:val="00D52C12"/>
    <w:rsid w:val="00D52C4D"/>
    <w:rsid w:val="00D52C6E"/>
    <w:rsid w:val="00D52CC7"/>
    <w:rsid w:val="00D52CE2"/>
    <w:rsid w:val="00D52D13"/>
    <w:rsid w:val="00D52D34"/>
    <w:rsid w:val="00D52D51"/>
    <w:rsid w:val="00D52D60"/>
    <w:rsid w:val="00D52D6A"/>
    <w:rsid w:val="00D52D70"/>
    <w:rsid w:val="00D52D75"/>
    <w:rsid w:val="00D52DF0"/>
    <w:rsid w:val="00D52ED6"/>
    <w:rsid w:val="00D52EDA"/>
    <w:rsid w:val="00D52F0A"/>
    <w:rsid w:val="00D52F5B"/>
    <w:rsid w:val="00D52F86"/>
    <w:rsid w:val="00D52F8D"/>
    <w:rsid w:val="00D52F99"/>
    <w:rsid w:val="00D5303F"/>
    <w:rsid w:val="00D5306D"/>
    <w:rsid w:val="00D530A5"/>
    <w:rsid w:val="00D530B2"/>
    <w:rsid w:val="00D530B9"/>
    <w:rsid w:val="00D530C8"/>
    <w:rsid w:val="00D530CB"/>
    <w:rsid w:val="00D531A3"/>
    <w:rsid w:val="00D531E0"/>
    <w:rsid w:val="00D531F5"/>
    <w:rsid w:val="00D5322B"/>
    <w:rsid w:val="00D5326D"/>
    <w:rsid w:val="00D53286"/>
    <w:rsid w:val="00D53297"/>
    <w:rsid w:val="00D532B2"/>
    <w:rsid w:val="00D532F2"/>
    <w:rsid w:val="00D5331C"/>
    <w:rsid w:val="00D5336A"/>
    <w:rsid w:val="00D53399"/>
    <w:rsid w:val="00D533D0"/>
    <w:rsid w:val="00D533EB"/>
    <w:rsid w:val="00D5345C"/>
    <w:rsid w:val="00D5347F"/>
    <w:rsid w:val="00D53523"/>
    <w:rsid w:val="00D53593"/>
    <w:rsid w:val="00D535B1"/>
    <w:rsid w:val="00D535BD"/>
    <w:rsid w:val="00D535CB"/>
    <w:rsid w:val="00D53602"/>
    <w:rsid w:val="00D5371D"/>
    <w:rsid w:val="00D53820"/>
    <w:rsid w:val="00D53836"/>
    <w:rsid w:val="00D53844"/>
    <w:rsid w:val="00D538ED"/>
    <w:rsid w:val="00D53919"/>
    <w:rsid w:val="00D53979"/>
    <w:rsid w:val="00D5398C"/>
    <w:rsid w:val="00D53990"/>
    <w:rsid w:val="00D53996"/>
    <w:rsid w:val="00D53999"/>
    <w:rsid w:val="00D539C8"/>
    <w:rsid w:val="00D539F7"/>
    <w:rsid w:val="00D53A7D"/>
    <w:rsid w:val="00D53AFD"/>
    <w:rsid w:val="00D53BA6"/>
    <w:rsid w:val="00D53CAD"/>
    <w:rsid w:val="00D53D07"/>
    <w:rsid w:val="00D53D2B"/>
    <w:rsid w:val="00D53D93"/>
    <w:rsid w:val="00D53DAC"/>
    <w:rsid w:val="00D53DE4"/>
    <w:rsid w:val="00D53E4F"/>
    <w:rsid w:val="00D53E57"/>
    <w:rsid w:val="00D53E6F"/>
    <w:rsid w:val="00D53EC0"/>
    <w:rsid w:val="00D53FB6"/>
    <w:rsid w:val="00D53FC8"/>
    <w:rsid w:val="00D53FE7"/>
    <w:rsid w:val="00D54080"/>
    <w:rsid w:val="00D54193"/>
    <w:rsid w:val="00D541F0"/>
    <w:rsid w:val="00D54207"/>
    <w:rsid w:val="00D5423F"/>
    <w:rsid w:val="00D5425B"/>
    <w:rsid w:val="00D54264"/>
    <w:rsid w:val="00D54285"/>
    <w:rsid w:val="00D54294"/>
    <w:rsid w:val="00D542B2"/>
    <w:rsid w:val="00D54321"/>
    <w:rsid w:val="00D54355"/>
    <w:rsid w:val="00D54382"/>
    <w:rsid w:val="00D54397"/>
    <w:rsid w:val="00D54459"/>
    <w:rsid w:val="00D54468"/>
    <w:rsid w:val="00D544B6"/>
    <w:rsid w:val="00D54514"/>
    <w:rsid w:val="00D54518"/>
    <w:rsid w:val="00D5456E"/>
    <w:rsid w:val="00D5457A"/>
    <w:rsid w:val="00D545F4"/>
    <w:rsid w:val="00D5464E"/>
    <w:rsid w:val="00D54650"/>
    <w:rsid w:val="00D54662"/>
    <w:rsid w:val="00D54691"/>
    <w:rsid w:val="00D54702"/>
    <w:rsid w:val="00D54723"/>
    <w:rsid w:val="00D54753"/>
    <w:rsid w:val="00D5477D"/>
    <w:rsid w:val="00D54795"/>
    <w:rsid w:val="00D54798"/>
    <w:rsid w:val="00D5479F"/>
    <w:rsid w:val="00D5480A"/>
    <w:rsid w:val="00D54847"/>
    <w:rsid w:val="00D54885"/>
    <w:rsid w:val="00D5493D"/>
    <w:rsid w:val="00D5495A"/>
    <w:rsid w:val="00D549AA"/>
    <w:rsid w:val="00D549BD"/>
    <w:rsid w:val="00D549D8"/>
    <w:rsid w:val="00D54A65"/>
    <w:rsid w:val="00D54AA6"/>
    <w:rsid w:val="00D54ABC"/>
    <w:rsid w:val="00D54B12"/>
    <w:rsid w:val="00D54B13"/>
    <w:rsid w:val="00D54C05"/>
    <w:rsid w:val="00D54C7E"/>
    <w:rsid w:val="00D54CE9"/>
    <w:rsid w:val="00D54D95"/>
    <w:rsid w:val="00D54DC2"/>
    <w:rsid w:val="00D54DE2"/>
    <w:rsid w:val="00D54E65"/>
    <w:rsid w:val="00D54E74"/>
    <w:rsid w:val="00D54E9D"/>
    <w:rsid w:val="00D54EA4"/>
    <w:rsid w:val="00D54EDF"/>
    <w:rsid w:val="00D54F22"/>
    <w:rsid w:val="00D54F25"/>
    <w:rsid w:val="00D54F44"/>
    <w:rsid w:val="00D54FAE"/>
    <w:rsid w:val="00D55006"/>
    <w:rsid w:val="00D55027"/>
    <w:rsid w:val="00D5506C"/>
    <w:rsid w:val="00D55093"/>
    <w:rsid w:val="00D550B1"/>
    <w:rsid w:val="00D55124"/>
    <w:rsid w:val="00D5516D"/>
    <w:rsid w:val="00D551C2"/>
    <w:rsid w:val="00D55220"/>
    <w:rsid w:val="00D552D3"/>
    <w:rsid w:val="00D552F0"/>
    <w:rsid w:val="00D55322"/>
    <w:rsid w:val="00D5535D"/>
    <w:rsid w:val="00D5536F"/>
    <w:rsid w:val="00D55379"/>
    <w:rsid w:val="00D553E5"/>
    <w:rsid w:val="00D553F1"/>
    <w:rsid w:val="00D553FF"/>
    <w:rsid w:val="00D55407"/>
    <w:rsid w:val="00D5543E"/>
    <w:rsid w:val="00D554B9"/>
    <w:rsid w:val="00D554BB"/>
    <w:rsid w:val="00D554D1"/>
    <w:rsid w:val="00D55516"/>
    <w:rsid w:val="00D5551E"/>
    <w:rsid w:val="00D55529"/>
    <w:rsid w:val="00D5552D"/>
    <w:rsid w:val="00D555FB"/>
    <w:rsid w:val="00D556A8"/>
    <w:rsid w:val="00D557A1"/>
    <w:rsid w:val="00D557B6"/>
    <w:rsid w:val="00D557C7"/>
    <w:rsid w:val="00D557DC"/>
    <w:rsid w:val="00D55857"/>
    <w:rsid w:val="00D5587C"/>
    <w:rsid w:val="00D558A2"/>
    <w:rsid w:val="00D5594F"/>
    <w:rsid w:val="00D5597E"/>
    <w:rsid w:val="00D5599E"/>
    <w:rsid w:val="00D559B1"/>
    <w:rsid w:val="00D559F8"/>
    <w:rsid w:val="00D559FB"/>
    <w:rsid w:val="00D55A69"/>
    <w:rsid w:val="00D55AF1"/>
    <w:rsid w:val="00D55B84"/>
    <w:rsid w:val="00D55B91"/>
    <w:rsid w:val="00D55BE4"/>
    <w:rsid w:val="00D55C52"/>
    <w:rsid w:val="00D55C6A"/>
    <w:rsid w:val="00D55CB2"/>
    <w:rsid w:val="00D55DA7"/>
    <w:rsid w:val="00D55DF7"/>
    <w:rsid w:val="00D55DF9"/>
    <w:rsid w:val="00D55E16"/>
    <w:rsid w:val="00D55E36"/>
    <w:rsid w:val="00D55EAB"/>
    <w:rsid w:val="00D55EC0"/>
    <w:rsid w:val="00D55EF4"/>
    <w:rsid w:val="00D55F11"/>
    <w:rsid w:val="00D55F2A"/>
    <w:rsid w:val="00D55F96"/>
    <w:rsid w:val="00D55FA0"/>
    <w:rsid w:val="00D55FFE"/>
    <w:rsid w:val="00D56001"/>
    <w:rsid w:val="00D56051"/>
    <w:rsid w:val="00D56076"/>
    <w:rsid w:val="00D5608C"/>
    <w:rsid w:val="00D56113"/>
    <w:rsid w:val="00D56141"/>
    <w:rsid w:val="00D561A0"/>
    <w:rsid w:val="00D561E1"/>
    <w:rsid w:val="00D56208"/>
    <w:rsid w:val="00D5620C"/>
    <w:rsid w:val="00D5621C"/>
    <w:rsid w:val="00D5622C"/>
    <w:rsid w:val="00D5623A"/>
    <w:rsid w:val="00D56262"/>
    <w:rsid w:val="00D5627A"/>
    <w:rsid w:val="00D56330"/>
    <w:rsid w:val="00D56371"/>
    <w:rsid w:val="00D563F7"/>
    <w:rsid w:val="00D5644D"/>
    <w:rsid w:val="00D56452"/>
    <w:rsid w:val="00D5645A"/>
    <w:rsid w:val="00D5645C"/>
    <w:rsid w:val="00D56477"/>
    <w:rsid w:val="00D564E3"/>
    <w:rsid w:val="00D56524"/>
    <w:rsid w:val="00D56550"/>
    <w:rsid w:val="00D56561"/>
    <w:rsid w:val="00D56594"/>
    <w:rsid w:val="00D565BB"/>
    <w:rsid w:val="00D565DB"/>
    <w:rsid w:val="00D5660A"/>
    <w:rsid w:val="00D5663D"/>
    <w:rsid w:val="00D5664E"/>
    <w:rsid w:val="00D566BC"/>
    <w:rsid w:val="00D566F6"/>
    <w:rsid w:val="00D566F9"/>
    <w:rsid w:val="00D5671E"/>
    <w:rsid w:val="00D56725"/>
    <w:rsid w:val="00D5676B"/>
    <w:rsid w:val="00D56872"/>
    <w:rsid w:val="00D56890"/>
    <w:rsid w:val="00D56950"/>
    <w:rsid w:val="00D56957"/>
    <w:rsid w:val="00D56985"/>
    <w:rsid w:val="00D56A09"/>
    <w:rsid w:val="00D56B26"/>
    <w:rsid w:val="00D56BBF"/>
    <w:rsid w:val="00D56BEF"/>
    <w:rsid w:val="00D56C37"/>
    <w:rsid w:val="00D56C83"/>
    <w:rsid w:val="00D56E0B"/>
    <w:rsid w:val="00D56E47"/>
    <w:rsid w:val="00D56E79"/>
    <w:rsid w:val="00D56EDE"/>
    <w:rsid w:val="00D56F27"/>
    <w:rsid w:val="00D56F7A"/>
    <w:rsid w:val="00D56F9B"/>
    <w:rsid w:val="00D56FA8"/>
    <w:rsid w:val="00D57011"/>
    <w:rsid w:val="00D57043"/>
    <w:rsid w:val="00D570CE"/>
    <w:rsid w:val="00D5714C"/>
    <w:rsid w:val="00D5718B"/>
    <w:rsid w:val="00D571B6"/>
    <w:rsid w:val="00D571B8"/>
    <w:rsid w:val="00D571F8"/>
    <w:rsid w:val="00D572AA"/>
    <w:rsid w:val="00D57339"/>
    <w:rsid w:val="00D5735C"/>
    <w:rsid w:val="00D573F0"/>
    <w:rsid w:val="00D57424"/>
    <w:rsid w:val="00D5742C"/>
    <w:rsid w:val="00D57442"/>
    <w:rsid w:val="00D574E5"/>
    <w:rsid w:val="00D57536"/>
    <w:rsid w:val="00D57546"/>
    <w:rsid w:val="00D57558"/>
    <w:rsid w:val="00D57567"/>
    <w:rsid w:val="00D5758F"/>
    <w:rsid w:val="00D57678"/>
    <w:rsid w:val="00D576D1"/>
    <w:rsid w:val="00D57760"/>
    <w:rsid w:val="00D5777A"/>
    <w:rsid w:val="00D5780B"/>
    <w:rsid w:val="00D5788B"/>
    <w:rsid w:val="00D57896"/>
    <w:rsid w:val="00D57971"/>
    <w:rsid w:val="00D5797A"/>
    <w:rsid w:val="00D5799B"/>
    <w:rsid w:val="00D579DC"/>
    <w:rsid w:val="00D57A17"/>
    <w:rsid w:val="00D57A2E"/>
    <w:rsid w:val="00D57A3F"/>
    <w:rsid w:val="00D57A45"/>
    <w:rsid w:val="00D57B91"/>
    <w:rsid w:val="00D57BE3"/>
    <w:rsid w:val="00D57CFC"/>
    <w:rsid w:val="00D57D7A"/>
    <w:rsid w:val="00D57D83"/>
    <w:rsid w:val="00D57D92"/>
    <w:rsid w:val="00D57D94"/>
    <w:rsid w:val="00D57D99"/>
    <w:rsid w:val="00D57DD4"/>
    <w:rsid w:val="00D57DFA"/>
    <w:rsid w:val="00D57E18"/>
    <w:rsid w:val="00D57E27"/>
    <w:rsid w:val="00D57E35"/>
    <w:rsid w:val="00D57E40"/>
    <w:rsid w:val="00D57E63"/>
    <w:rsid w:val="00D57F0F"/>
    <w:rsid w:val="00D57F46"/>
    <w:rsid w:val="00D57F92"/>
    <w:rsid w:val="00D6002F"/>
    <w:rsid w:val="00D6009D"/>
    <w:rsid w:val="00D600B6"/>
    <w:rsid w:val="00D600D5"/>
    <w:rsid w:val="00D6013E"/>
    <w:rsid w:val="00D601BB"/>
    <w:rsid w:val="00D60285"/>
    <w:rsid w:val="00D602A7"/>
    <w:rsid w:val="00D603A5"/>
    <w:rsid w:val="00D603CC"/>
    <w:rsid w:val="00D603E3"/>
    <w:rsid w:val="00D6040B"/>
    <w:rsid w:val="00D6050A"/>
    <w:rsid w:val="00D6053C"/>
    <w:rsid w:val="00D6055D"/>
    <w:rsid w:val="00D60592"/>
    <w:rsid w:val="00D60595"/>
    <w:rsid w:val="00D605EC"/>
    <w:rsid w:val="00D6065E"/>
    <w:rsid w:val="00D60684"/>
    <w:rsid w:val="00D606F5"/>
    <w:rsid w:val="00D60737"/>
    <w:rsid w:val="00D6074C"/>
    <w:rsid w:val="00D6076C"/>
    <w:rsid w:val="00D6079C"/>
    <w:rsid w:val="00D607A1"/>
    <w:rsid w:val="00D607DE"/>
    <w:rsid w:val="00D60815"/>
    <w:rsid w:val="00D6081D"/>
    <w:rsid w:val="00D608A1"/>
    <w:rsid w:val="00D608A4"/>
    <w:rsid w:val="00D608BD"/>
    <w:rsid w:val="00D608F4"/>
    <w:rsid w:val="00D60900"/>
    <w:rsid w:val="00D60945"/>
    <w:rsid w:val="00D609A7"/>
    <w:rsid w:val="00D609CE"/>
    <w:rsid w:val="00D609E1"/>
    <w:rsid w:val="00D60ABE"/>
    <w:rsid w:val="00D60AC2"/>
    <w:rsid w:val="00D60AE6"/>
    <w:rsid w:val="00D60B03"/>
    <w:rsid w:val="00D60B72"/>
    <w:rsid w:val="00D60B9B"/>
    <w:rsid w:val="00D60BF3"/>
    <w:rsid w:val="00D60C1C"/>
    <w:rsid w:val="00D60D4F"/>
    <w:rsid w:val="00D60D6D"/>
    <w:rsid w:val="00D60DD8"/>
    <w:rsid w:val="00D60E1C"/>
    <w:rsid w:val="00D60E64"/>
    <w:rsid w:val="00D60E78"/>
    <w:rsid w:val="00D60E80"/>
    <w:rsid w:val="00D60EA9"/>
    <w:rsid w:val="00D60EBC"/>
    <w:rsid w:val="00D60EEF"/>
    <w:rsid w:val="00D60F08"/>
    <w:rsid w:val="00D60F7E"/>
    <w:rsid w:val="00D60FCD"/>
    <w:rsid w:val="00D6100E"/>
    <w:rsid w:val="00D6105D"/>
    <w:rsid w:val="00D61079"/>
    <w:rsid w:val="00D6107A"/>
    <w:rsid w:val="00D610B9"/>
    <w:rsid w:val="00D610E1"/>
    <w:rsid w:val="00D6112D"/>
    <w:rsid w:val="00D61163"/>
    <w:rsid w:val="00D61193"/>
    <w:rsid w:val="00D611E1"/>
    <w:rsid w:val="00D6125A"/>
    <w:rsid w:val="00D6126F"/>
    <w:rsid w:val="00D61280"/>
    <w:rsid w:val="00D612F5"/>
    <w:rsid w:val="00D612FC"/>
    <w:rsid w:val="00D6136E"/>
    <w:rsid w:val="00D61436"/>
    <w:rsid w:val="00D61447"/>
    <w:rsid w:val="00D61581"/>
    <w:rsid w:val="00D615B7"/>
    <w:rsid w:val="00D615F3"/>
    <w:rsid w:val="00D61656"/>
    <w:rsid w:val="00D61674"/>
    <w:rsid w:val="00D6169D"/>
    <w:rsid w:val="00D616BF"/>
    <w:rsid w:val="00D6176D"/>
    <w:rsid w:val="00D61795"/>
    <w:rsid w:val="00D61799"/>
    <w:rsid w:val="00D617C5"/>
    <w:rsid w:val="00D618B1"/>
    <w:rsid w:val="00D618EA"/>
    <w:rsid w:val="00D61902"/>
    <w:rsid w:val="00D61970"/>
    <w:rsid w:val="00D61996"/>
    <w:rsid w:val="00D6199A"/>
    <w:rsid w:val="00D619A7"/>
    <w:rsid w:val="00D619E0"/>
    <w:rsid w:val="00D61A0C"/>
    <w:rsid w:val="00D61A4A"/>
    <w:rsid w:val="00D61A85"/>
    <w:rsid w:val="00D61A97"/>
    <w:rsid w:val="00D61AA9"/>
    <w:rsid w:val="00D61B4B"/>
    <w:rsid w:val="00D61BA5"/>
    <w:rsid w:val="00D61CD0"/>
    <w:rsid w:val="00D61CD5"/>
    <w:rsid w:val="00D61D6C"/>
    <w:rsid w:val="00D61E00"/>
    <w:rsid w:val="00D61E41"/>
    <w:rsid w:val="00D61E43"/>
    <w:rsid w:val="00D61E6C"/>
    <w:rsid w:val="00D61E70"/>
    <w:rsid w:val="00D61E87"/>
    <w:rsid w:val="00D61E93"/>
    <w:rsid w:val="00D61E95"/>
    <w:rsid w:val="00D61E9D"/>
    <w:rsid w:val="00D61EA0"/>
    <w:rsid w:val="00D61EB0"/>
    <w:rsid w:val="00D61EB1"/>
    <w:rsid w:val="00D61EE6"/>
    <w:rsid w:val="00D61F0F"/>
    <w:rsid w:val="00D61F48"/>
    <w:rsid w:val="00D61FEA"/>
    <w:rsid w:val="00D620B0"/>
    <w:rsid w:val="00D6210C"/>
    <w:rsid w:val="00D62112"/>
    <w:rsid w:val="00D6216C"/>
    <w:rsid w:val="00D62175"/>
    <w:rsid w:val="00D6217B"/>
    <w:rsid w:val="00D62208"/>
    <w:rsid w:val="00D62292"/>
    <w:rsid w:val="00D622B7"/>
    <w:rsid w:val="00D622F7"/>
    <w:rsid w:val="00D62357"/>
    <w:rsid w:val="00D6236E"/>
    <w:rsid w:val="00D623C4"/>
    <w:rsid w:val="00D623EF"/>
    <w:rsid w:val="00D62405"/>
    <w:rsid w:val="00D62409"/>
    <w:rsid w:val="00D62447"/>
    <w:rsid w:val="00D62478"/>
    <w:rsid w:val="00D62498"/>
    <w:rsid w:val="00D624B3"/>
    <w:rsid w:val="00D624B8"/>
    <w:rsid w:val="00D624F4"/>
    <w:rsid w:val="00D62548"/>
    <w:rsid w:val="00D62607"/>
    <w:rsid w:val="00D626BC"/>
    <w:rsid w:val="00D6271B"/>
    <w:rsid w:val="00D62732"/>
    <w:rsid w:val="00D6274A"/>
    <w:rsid w:val="00D62763"/>
    <w:rsid w:val="00D6278F"/>
    <w:rsid w:val="00D6284F"/>
    <w:rsid w:val="00D6289D"/>
    <w:rsid w:val="00D628C6"/>
    <w:rsid w:val="00D62910"/>
    <w:rsid w:val="00D62B1F"/>
    <w:rsid w:val="00D62B43"/>
    <w:rsid w:val="00D62B50"/>
    <w:rsid w:val="00D62B72"/>
    <w:rsid w:val="00D62B80"/>
    <w:rsid w:val="00D62BB7"/>
    <w:rsid w:val="00D62BF6"/>
    <w:rsid w:val="00D62BFC"/>
    <w:rsid w:val="00D62C3F"/>
    <w:rsid w:val="00D62C9E"/>
    <w:rsid w:val="00D62CA1"/>
    <w:rsid w:val="00D62D5A"/>
    <w:rsid w:val="00D62D6D"/>
    <w:rsid w:val="00D62D7C"/>
    <w:rsid w:val="00D62DC8"/>
    <w:rsid w:val="00D62DD3"/>
    <w:rsid w:val="00D62DEF"/>
    <w:rsid w:val="00D62E04"/>
    <w:rsid w:val="00D62E81"/>
    <w:rsid w:val="00D62EA0"/>
    <w:rsid w:val="00D62EA6"/>
    <w:rsid w:val="00D62EBE"/>
    <w:rsid w:val="00D62EC9"/>
    <w:rsid w:val="00D62EDB"/>
    <w:rsid w:val="00D62EE0"/>
    <w:rsid w:val="00D62F77"/>
    <w:rsid w:val="00D62FC6"/>
    <w:rsid w:val="00D62FD5"/>
    <w:rsid w:val="00D63031"/>
    <w:rsid w:val="00D63064"/>
    <w:rsid w:val="00D63078"/>
    <w:rsid w:val="00D6308D"/>
    <w:rsid w:val="00D630E2"/>
    <w:rsid w:val="00D630F3"/>
    <w:rsid w:val="00D630F6"/>
    <w:rsid w:val="00D6311A"/>
    <w:rsid w:val="00D6311E"/>
    <w:rsid w:val="00D63149"/>
    <w:rsid w:val="00D6318E"/>
    <w:rsid w:val="00D631CA"/>
    <w:rsid w:val="00D6320A"/>
    <w:rsid w:val="00D6324A"/>
    <w:rsid w:val="00D632C4"/>
    <w:rsid w:val="00D633A7"/>
    <w:rsid w:val="00D633C1"/>
    <w:rsid w:val="00D634BD"/>
    <w:rsid w:val="00D6352D"/>
    <w:rsid w:val="00D6359C"/>
    <w:rsid w:val="00D63607"/>
    <w:rsid w:val="00D63666"/>
    <w:rsid w:val="00D63687"/>
    <w:rsid w:val="00D636B9"/>
    <w:rsid w:val="00D636BC"/>
    <w:rsid w:val="00D636CE"/>
    <w:rsid w:val="00D636D5"/>
    <w:rsid w:val="00D63708"/>
    <w:rsid w:val="00D6379C"/>
    <w:rsid w:val="00D637B4"/>
    <w:rsid w:val="00D637BA"/>
    <w:rsid w:val="00D637CD"/>
    <w:rsid w:val="00D6382B"/>
    <w:rsid w:val="00D6382D"/>
    <w:rsid w:val="00D6383B"/>
    <w:rsid w:val="00D638DD"/>
    <w:rsid w:val="00D638E4"/>
    <w:rsid w:val="00D6391A"/>
    <w:rsid w:val="00D6393A"/>
    <w:rsid w:val="00D6399C"/>
    <w:rsid w:val="00D639AA"/>
    <w:rsid w:val="00D63A51"/>
    <w:rsid w:val="00D63A98"/>
    <w:rsid w:val="00D63ADC"/>
    <w:rsid w:val="00D63AEA"/>
    <w:rsid w:val="00D63B02"/>
    <w:rsid w:val="00D63B03"/>
    <w:rsid w:val="00D63B1D"/>
    <w:rsid w:val="00D63B50"/>
    <w:rsid w:val="00D63C0F"/>
    <w:rsid w:val="00D63C1C"/>
    <w:rsid w:val="00D63C38"/>
    <w:rsid w:val="00D63C85"/>
    <w:rsid w:val="00D63CA7"/>
    <w:rsid w:val="00D63CC9"/>
    <w:rsid w:val="00D63D33"/>
    <w:rsid w:val="00D63D3E"/>
    <w:rsid w:val="00D63D4F"/>
    <w:rsid w:val="00D63D75"/>
    <w:rsid w:val="00D63E0A"/>
    <w:rsid w:val="00D63E5E"/>
    <w:rsid w:val="00D63EE1"/>
    <w:rsid w:val="00D63FBF"/>
    <w:rsid w:val="00D64020"/>
    <w:rsid w:val="00D6404B"/>
    <w:rsid w:val="00D64067"/>
    <w:rsid w:val="00D6407F"/>
    <w:rsid w:val="00D640C9"/>
    <w:rsid w:val="00D640D8"/>
    <w:rsid w:val="00D641E7"/>
    <w:rsid w:val="00D64240"/>
    <w:rsid w:val="00D64257"/>
    <w:rsid w:val="00D642C4"/>
    <w:rsid w:val="00D64349"/>
    <w:rsid w:val="00D6439D"/>
    <w:rsid w:val="00D643D7"/>
    <w:rsid w:val="00D643F4"/>
    <w:rsid w:val="00D6440F"/>
    <w:rsid w:val="00D645BC"/>
    <w:rsid w:val="00D645D0"/>
    <w:rsid w:val="00D645D6"/>
    <w:rsid w:val="00D645DC"/>
    <w:rsid w:val="00D64624"/>
    <w:rsid w:val="00D64677"/>
    <w:rsid w:val="00D646AE"/>
    <w:rsid w:val="00D646E9"/>
    <w:rsid w:val="00D64728"/>
    <w:rsid w:val="00D64736"/>
    <w:rsid w:val="00D64774"/>
    <w:rsid w:val="00D64795"/>
    <w:rsid w:val="00D6480B"/>
    <w:rsid w:val="00D64811"/>
    <w:rsid w:val="00D6481E"/>
    <w:rsid w:val="00D64839"/>
    <w:rsid w:val="00D6488B"/>
    <w:rsid w:val="00D648BC"/>
    <w:rsid w:val="00D648D0"/>
    <w:rsid w:val="00D64999"/>
    <w:rsid w:val="00D649AC"/>
    <w:rsid w:val="00D649B7"/>
    <w:rsid w:val="00D649C3"/>
    <w:rsid w:val="00D649F6"/>
    <w:rsid w:val="00D64A2D"/>
    <w:rsid w:val="00D64A6F"/>
    <w:rsid w:val="00D64A94"/>
    <w:rsid w:val="00D64AA2"/>
    <w:rsid w:val="00D64ADE"/>
    <w:rsid w:val="00D64B78"/>
    <w:rsid w:val="00D64CB2"/>
    <w:rsid w:val="00D64CEC"/>
    <w:rsid w:val="00D64D07"/>
    <w:rsid w:val="00D64D1F"/>
    <w:rsid w:val="00D64D3A"/>
    <w:rsid w:val="00D64D6E"/>
    <w:rsid w:val="00D64E16"/>
    <w:rsid w:val="00D64E1A"/>
    <w:rsid w:val="00D64E35"/>
    <w:rsid w:val="00D64EEC"/>
    <w:rsid w:val="00D64F1A"/>
    <w:rsid w:val="00D64F1F"/>
    <w:rsid w:val="00D64F29"/>
    <w:rsid w:val="00D64F3C"/>
    <w:rsid w:val="00D64F40"/>
    <w:rsid w:val="00D64FA1"/>
    <w:rsid w:val="00D65000"/>
    <w:rsid w:val="00D65057"/>
    <w:rsid w:val="00D6505E"/>
    <w:rsid w:val="00D65071"/>
    <w:rsid w:val="00D650B5"/>
    <w:rsid w:val="00D650DE"/>
    <w:rsid w:val="00D650EF"/>
    <w:rsid w:val="00D65118"/>
    <w:rsid w:val="00D65121"/>
    <w:rsid w:val="00D651A8"/>
    <w:rsid w:val="00D6521D"/>
    <w:rsid w:val="00D65232"/>
    <w:rsid w:val="00D65260"/>
    <w:rsid w:val="00D65273"/>
    <w:rsid w:val="00D6531F"/>
    <w:rsid w:val="00D65336"/>
    <w:rsid w:val="00D6534C"/>
    <w:rsid w:val="00D65353"/>
    <w:rsid w:val="00D6537B"/>
    <w:rsid w:val="00D65386"/>
    <w:rsid w:val="00D653CA"/>
    <w:rsid w:val="00D653D2"/>
    <w:rsid w:val="00D653DA"/>
    <w:rsid w:val="00D65407"/>
    <w:rsid w:val="00D65412"/>
    <w:rsid w:val="00D65461"/>
    <w:rsid w:val="00D65468"/>
    <w:rsid w:val="00D6548C"/>
    <w:rsid w:val="00D654B6"/>
    <w:rsid w:val="00D6550C"/>
    <w:rsid w:val="00D65595"/>
    <w:rsid w:val="00D655A3"/>
    <w:rsid w:val="00D655F2"/>
    <w:rsid w:val="00D655F8"/>
    <w:rsid w:val="00D656CE"/>
    <w:rsid w:val="00D6574D"/>
    <w:rsid w:val="00D657A7"/>
    <w:rsid w:val="00D657C7"/>
    <w:rsid w:val="00D6586F"/>
    <w:rsid w:val="00D658A3"/>
    <w:rsid w:val="00D658AD"/>
    <w:rsid w:val="00D65927"/>
    <w:rsid w:val="00D6593D"/>
    <w:rsid w:val="00D659F3"/>
    <w:rsid w:val="00D65A14"/>
    <w:rsid w:val="00D65A16"/>
    <w:rsid w:val="00D65A1D"/>
    <w:rsid w:val="00D65A24"/>
    <w:rsid w:val="00D65A3E"/>
    <w:rsid w:val="00D65B06"/>
    <w:rsid w:val="00D65B09"/>
    <w:rsid w:val="00D65BBE"/>
    <w:rsid w:val="00D65C00"/>
    <w:rsid w:val="00D65C71"/>
    <w:rsid w:val="00D65C80"/>
    <w:rsid w:val="00D65CB6"/>
    <w:rsid w:val="00D65CDD"/>
    <w:rsid w:val="00D65D5A"/>
    <w:rsid w:val="00D65D60"/>
    <w:rsid w:val="00D65DA4"/>
    <w:rsid w:val="00D65DE2"/>
    <w:rsid w:val="00D65E13"/>
    <w:rsid w:val="00D65E41"/>
    <w:rsid w:val="00D65E6B"/>
    <w:rsid w:val="00D65EEB"/>
    <w:rsid w:val="00D65F90"/>
    <w:rsid w:val="00D65F9A"/>
    <w:rsid w:val="00D65FE6"/>
    <w:rsid w:val="00D65FFD"/>
    <w:rsid w:val="00D6601C"/>
    <w:rsid w:val="00D6604C"/>
    <w:rsid w:val="00D66082"/>
    <w:rsid w:val="00D66156"/>
    <w:rsid w:val="00D66188"/>
    <w:rsid w:val="00D66197"/>
    <w:rsid w:val="00D661C5"/>
    <w:rsid w:val="00D6625C"/>
    <w:rsid w:val="00D66273"/>
    <w:rsid w:val="00D66290"/>
    <w:rsid w:val="00D662B0"/>
    <w:rsid w:val="00D662EC"/>
    <w:rsid w:val="00D66354"/>
    <w:rsid w:val="00D6637C"/>
    <w:rsid w:val="00D66432"/>
    <w:rsid w:val="00D66434"/>
    <w:rsid w:val="00D66448"/>
    <w:rsid w:val="00D664C0"/>
    <w:rsid w:val="00D664D5"/>
    <w:rsid w:val="00D66523"/>
    <w:rsid w:val="00D6654D"/>
    <w:rsid w:val="00D665D3"/>
    <w:rsid w:val="00D6663C"/>
    <w:rsid w:val="00D66649"/>
    <w:rsid w:val="00D66653"/>
    <w:rsid w:val="00D66663"/>
    <w:rsid w:val="00D6668F"/>
    <w:rsid w:val="00D666D9"/>
    <w:rsid w:val="00D66739"/>
    <w:rsid w:val="00D66758"/>
    <w:rsid w:val="00D6675D"/>
    <w:rsid w:val="00D66777"/>
    <w:rsid w:val="00D66810"/>
    <w:rsid w:val="00D66834"/>
    <w:rsid w:val="00D66841"/>
    <w:rsid w:val="00D66862"/>
    <w:rsid w:val="00D66873"/>
    <w:rsid w:val="00D6687C"/>
    <w:rsid w:val="00D66923"/>
    <w:rsid w:val="00D66A07"/>
    <w:rsid w:val="00D66A3A"/>
    <w:rsid w:val="00D66A59"/>
    <w:rsid w:val="00D66AA6"/>
    <w:rsid w:val="00D66AB1"/>
    <w:rsid w:val="00D66AB2"/>
    <w:rsid w:val="00D66AB6"/>
    <w:rsid w:val="00D66ACD"/>
    <w:rsid w:val="00D66AE2"/>
    <w:rsid w:val="00D66AF2"/>
    <w:rsid w:val="00D66AFF"/>
    <w:rsid w:val="00D66B32"/>
    <w:rsid w:val="00D66B9A"/>
    <w:rsid w:val="00D66C26"/>
    <w:rsid w:val="00D66D10"/>
    <w:rsid w:val="00D66D13"/>
    <w:rsid w:val="00D66D19"/>
    <w:rsid w:val="00D66D1B"/>
    <w:rsid w:val="00D66D2A"/>
    <w:rsid w:val="00D66D2D"/>
    <w:rsid w:val="00D66D44"/>
    <w:rsid w:val="00D66D54"/>
    <w:rsid w:val="00D66DB2"/>
    <w:rsid w:val="00D66E52"/>
    <w:rsid w:val="00D66EA8"/>
    <w:rsid w:val="00D66ED4"/>
    <w:rsid w:val="00D66F15"/>
    <w:rsid w:val="00D66F2D"/>
    <w:rsid w:val="00D66F32"/>
    <w:rsid w:val="00D66FC2"/>
    <w:rsid w:val="00D670F1"/>
    <w:rsid w:val="00D670F4"/>
    <w:rsid w:val="00D67101"/>
    <w:rsid w:val="00D671C4"/>
    <w:rsid w:val="00D671D9"/>
    <w:rsid w:val="00D67215"/>
    <w:rsid w:val="00D67222"/>
    <w:rsid w:val="00D67245"/>
    <w:rsid w:val="00D67254"/>
    <w:rsid w:val="00D6725D"/>
    <w:rsid w:val="00D6726A"/>
    <w:rsid w:val="00D672BB"/>
    <w:rsid w:val="00D6730E"/>
    <w:rsid w:val="00D67341"/>
    <w:rsid w:val="00D6734C"/>
    <w:rsid w:val="00D6738D"/>
    <w:rsid w:val="00D6739D"/>
    <w:rsid w:val="00D673A6"/>
    <w:rsid w:val="00D673C0"/>
    <w:rsid w:val="00D67400"/>
    <w:rsid w:val="00D67401"/>
    <w:rsid w:val="00D67419"/>
    <w:rsid w:val="00D67495"/>
    <w:rsid w:val="00D6752D"/>
    <w:rsid w:val="00D67539"/>
    <w:rsid w:val="00D67592"/>
    <w:rsid w:val="00D67594"/>
    <w:rsid w:val="00D675F0"/>
    <w:rsid w:val="00D67619"/>
    <w:rsid w:val="00D6762E"/>
    <w:rsid w:val="00D67737"/>
    <w:rsid w:val="00D67743"/>
    <w:rsid w:val="00D67785"/>
    <w:rsid w:val="00D677D4"/>
    <w:rsid w:val="00D6787E"/>
    <w:rsid w:val="00D678F7"/>
    <w:rsid w:val="00D678FB"/>
    <w:rsid w:val="00D6791E"/>
    <w:rsid w:val="00D6793D"/>
    <w:rsid w:val="00D6796A"/>
    <w:rsid w:val="00D67988"/>
    <w:rsid w:val="00D679A5"/>
    <w:rsid w:val="00D679A9"/>
    <w:rsid w:val="00D679C9"/>
    <w:rsid w:val="00D679DD"/>
    <w:rsid w:val="00D679E1"/>
    <w:rsid w:val="00D679EF"/>
    <w:rsid w:val="00D679F2"/>
    <w:rsid w:val="00D67A85"/>
    <w:rsid w:val="00D67A92"/>
    <w:rsid w:val="00D67AA2"/>
    <w:rsid w:val="00D67AB8"/>
    <w:rsid w:val="00D67B22"/>
    <w:rsid w:val="00D67B39"/>
    <w:rsid w:val="00D67B56"/>
    <w:rsid w:val="00D67B67"/>
    <w:rsid w:val="00D67B81"/>
    <w:rsid w:val="00D67BC2"/>
    <w:rsid w:val="00D67BDC"/>
    <w:rsid w:val="00D67C21"/>
    <w:rsid w:val="00D67C44"/>
    <w:rsid w:val="00D67C83"/>
    <w:rsid w:val="00D67C90"/>
    <w:rsid w:val="00D67CCD"/>
    <w:rsid w:val="00D67D06"/>
    <w:rsid w:val="00D67DC4"/>
    <w:rsid w:val="00D67E1E"/>
    <w:rsid w:val="00D67E8F"/>
    <w:rsid w:val="00D67E9B"/>
    <w:rsid w:val="00D67EBB"/>
    <w:rsid w:val="00D67F3C"/>
    <w:rsid w:val="00D67F54"/>
    <w:rsid w:val="00D67F5B"/>
    <w:rsid w:val="00D67FD8"/>
    <w:rsid w:val="00D70091"/>
    <w:rsid w:val="00D7016C"/>
    <w:rsid w:val="00D7017E"/>
    <w:rsid w:val="00D701C4"/>
    <w:rsid w:val="00D70247"/>
    <w:rsid w:val="00D70297"/>
    <w:rsid w:val="00D702A8"/>
    <w:rsid w:val="00D702DB"/>
    <w:rsid w:val="00D702EE"/>
    <w:rsid w:val="00D703A6"/>
    <w:rsid w:val="00D703BB"/>
    <w:rsid w:val="00D703C0"/>
    <w:rsid w:val="00D70467"/>
    <w:rsid w:val="00D70505"/>
    <w:rsid w:val="00D70554"/>
    <w:rsid w:val="00D705E0"/>
    <w:rsid w:val="00D705F6"/>
    <w:rsid w:val="00D70742"/>
    <w:rsid w:val="00D707CC"/>
    <w:rsid w:val="00D70846"/>
    <w:rsid w:val="00D709A9"/>
    <w:rsid w:val="00D709DF"/>
    <w:rsid w:val="00D70A3E"/>
    <w:rsid w:val="00D70A64"/>
    <w:rsid w:val="00D70A9F"/>
    <w:rsid w:val="00D70BB4"/>
    <w:rsid w:val="00D70BDD"/>
    <w:rsid w:val="00D70BF7"/>
    <w:rsid w:val="00D70C5A"/>
    <w:rsid w:val="00D70C99"/>
    <w:rsid w:val="00D70D26"/>
    <w:rsid w:val="00D70D38"/>
    <w:rsid w:val="00D70D41"/>
    <w:rsid w:val="00D70D65"/>
    <w:rsid w:val="00D70DA8"/>
    <w:rsid w:val="00D70E59"/>
    <w:rsid w:val="00D70E61"/>
    <w:rsid w:val="00D70E82"/>
    <w:rsid w:val="00D70EA6"/>
    <w:rsid w:val="00D70EDA"/>
    <w:rsid w:val="00D70EF9"/>
    <w:rsid w:val="00D70F23"/>
    <w:rsid w:val="00D70F4B"/>
    <w:rsid w:val="00D71033"/>
    <w:rsid w:val="00D71048"/>
    <w:rsid w:val="00D71068"/>
    <w:rsid w:val="00D710BB"/>
    <w:rsid w:val="00D710BC"/>
    <w:rsid w:val="00D710C0"/>
    <w:rsid w:val="00D710D4"/>
    <w:rsid w:val="00D710E4"/>
    <w:rsid w:val="00D71106"/>
    <w:rsid w:val="00D7112A"/>
    <w:rsid w:val="00D7112E"/>
    <w:rsid w:val="00D711A8"/>
    <w:rsid w:val="00D711F9"/>
    <w:rsid w:val="00D712F2"/>
    <w:rsid w:val="00D713B3"/>
    <w:rsid w:val="00D7143B"/>
    <w:rsid w:val="00D71467"/>
    <w:rsid w:val="00D71506"/>
    <w:rsid w:val="00D7155F"/>
    <w:rsid w:val="00D7156B"/>
    <w:rsid w:val="00D715C6"/>
    <w:rsid w:val="00D71635"/>
    <w:rsid w:val="00D71648"/>
    <w:rsid w:val="00D71783"/>
    <w:rsid w:val="00D717B1"/>
    <w:rsid w:val="00D717C0"/>
    <w:rsid w:val="00D71860"/>
    <w:rsid w:val="00D718D3"/>
    <w:rsid w:val="00D71908"/>
    <w:rsid w:val="00D71935"/>
    <w:rsid w:val="00D7194A"/>
    <w:rsid w:val="00D7198A"/>
    <w:rsid w:val="00D719BF"/>
    <w:rsid w:val="00D71A12"/>
    <w:rsid w:val="00D71AA7"/>
    <w:rsid w:val="00D71AE3"/>
    <w:rsid w:val="00D71AEB"/>
    <w:rsid w:val="00D71B48"/>
    <w:rsid w:val="00D71B62"/>
    <w:rsid w:val="00D71B6C"/>
    <w:rsid w:val="00D71C0B"/>
    <w:rsid w:val="00D71C1F"/>
    <w:rsid w:val="00D71C6B"/>
    <w:rsid w:val="00D71D13"/>
    <w:rsid w:val="00D71D1F"/>
    <w:rsid w:val="00D71D90"/>
    <w:rsid w:val="00D71D98"/>
    <w:rsid w:val="00D71DCE"/>
    <w:rsid w:val="00D71ECD"/>
    <w:rsid w:val="00D71EEB"/>
    <w:rsid w:val="00D71EED"/>
    <w:rsid w:val="00D71F04"/>
    <w:rsid w:val="00D71F44"/>
    <w:rsid w:val="00D71F91"/>
    <w:rsid w:val="00D72055"/>
    <w:rsid w:val="00D72056"/>
    <w:rsid w:val="00D7205A"/>
    <w:rsid w:val="00D720D4"/>
    <w:rsid w:val="00D720E3"/>
    <w:rsid w:val="00D72113"/>
    <w:rsid w:val="00D72114"/>
    <w:rsid w:val="00D72120"/>
    <w:rsid w:val="00D722AC"/>
    <w:rsid w:val="00D722B7"/>
    <w:rsid w:val="00D72400"/>
    <w:rsid w:val="00D7245B"/>
    <w:rsid w:val="00D7249E"/>
    <w:rsid w:val="00D724C0"/>
    <w:rsid w:val="00D724CF"/>
    <w:rsid w:val="00D72535"/>
    <w:rsid w:val="00D72567"/>
    <w:rsid w:val="00D72588"/>
    <w:rsid w:val="00D7262A"/>
    <w:rsid w:val="00D72673"/>
    <w:rsid w:val="00D7272A"/>
    <w:rsid w:val="00D727AB"/>
    <w:rsid w:val="00D727CD"/>
    <w:rsid w:val="00D72814"/>
    <w:rsid w:val="00D7282C"/>
    <w:rsid w:val="00D72894"/>
    <w:rsid w:val="00D7289C"/>
    <w:rsid w:val="00D72915"/>
    <w:rsid w:val="00D7294C"/>
    <w:rsid w:val="00D72988"/>
    <w:rsid w:val="00D72995"/>
    <w:rsid w:val="00D729A0"/>
    <w:rsid w:val="00D72A62"/>
    <w:rsid w:val="00D72AD7"/>
    <w:rsid w:val="00D72AF6"/>
    <w:rsid w:val="00D72B05"/>
    <w:rsid w:val="00D72B0D"/>
    <w:rsid w:val="00D72B60"/>
    <w:rsid w:val="00D72B7E"/>
    <w:rsid w:val="00D72BB1"/>
    <w:rsid w:val="00D72BB9"/>
    <w:rsid w:val="00D72BCF"/>
    <w:rsid w:val="00D72C0E"/>
    <w:rsid w:val="00D72C14"/>
    <w:rsid w:val="00D72C32"/>
    <w:rsid w:val="00D72C4E"/>
    <w:rsid w:val="00D72C56"/>
    <w:rsid w:val="00D72C58"/>
    <w:rsid w:val="00D72C81"/>
    <w:rsid w:val="00D72CBB"/>
    <w:rsid w:val="00D72D12"/>
    <w:rsid w:val="00D72D40"/>
    <w:rsid w:val="00D72D92"/>
    <w:rsid w:val="00D72DB2"/>
    <w:rsid w:val="00D72E42"/>
    <w:rsid w:val="00D72E9F"/>
    <w:rsid w:val="00D72F11"/>
    <w:rsid w:val="00D72F8C"/>
    <w:rsid w:val="00D72FB7"/>
    <w:rsid w:val="00D72FCE"/>
    <w:rsid w:val="00D72FD8"/>
    <w:rsid w:val="00D73076"/>
    <w:rsid w:val="00D7315A"/>
    <w:rsid w:val="00D73197"/>
    <w:rsid w:val="00D731A0"/>
    <w:rsid w:val="00D73203"/>
    <w:rsid w:val="00D73234"/>
    <w:rsid w:val="00D73297"/>
    <w:rsid w:val="00D73313"/>
    <w:rsid w:val="00D7331F"/>
    <w:rsid w:val="00D73380"/>
    <w:rsid w:val="00D73395"/>
    <w:rsid w:val="00D73426"/>
    <w:rsid w:val="00D73488"/>
    <w:rsid w:val="00D734F0"/>
    <w:rsid w:val="00D73503"/>
    <w:rsid w:val="00D73534"/>
    <w:rsid w:val="00D735AF"/>
    <w:rsid w:val="00D735B7"/>
    <w:rsid w:val="00D735CE"/>
    <w:rsid w:val="00D735EC"/>
    <w:rsid w:val="00D73659"/>
    <w:rsid w:val="00D7367B"/>
    <w:rsid w:val="00D736A9"/>
    <w:rsid w:val="00D736AB"/>
    <w:rsid w:val="00D73745"/>
    <w:rsid w:val="00D7374D"/>
    <w:rsid w:val="00D73757"/>
    <w:rsid w:val="00D737AD"/>
    <w:rsid w:val="00D73811"/>
    <w:rsid w:val="00D738E2"/>
    <w:rsid w:val="00D73957"/>
    <w:rsid w:val="00D7395E"/>
    <w:rsid w:val="00D739A3"/>
    <w:rsid w:val="00D739D7"/>
    <w:rsid w:val="00D73A45"/>
    <w:rsid w:val="00D73AD0"/>
    <w:rsid w:val="00D73AE3"/>
    <w:rsid w:val="00D73B2D"/>
    <w:rsid w:val="00D73BC5"/>
    <w:rsid w:val="00D73BF0"/>
    <w:rsid w:val="00D73C02"/>
    <w:rsid w:val="00D73C08"/>
    <w:rsid w:val="00D73C14"/>
    <w:rsid w:val="00D73C80"/>
    <w:rsid w:val="00D73CA3"/>
    <w:rsid w:val="00D73CD4"/>
    <w:rsid w:val="00D73DD0"/>
    <w:rsid w:val="00D73DE8"/>
    <w:rsid w:val="00D73EBE"/>
    <w:rsid w:val="00D73ECF"/>
    <w:rsid w:val="00D73F49"/>
    <w:rsid w:val="00D73F6A"/>
    <w:rsid w:val="00D73FE6"/>
    <w:rsid w:val="00D73FEA"/>
    <w:rsid w:val="00D74033"/>
    <w:rsid w:val="00D74035"/>
    <w:rsid w:val="00D74064"/>
    <w:rsid w:val="00D74071"/>
    <w:rsid w:val="00D74073"/>
    <w:rsid w:val="00D740C9"/>
    <w:rsid w:val="00D740E0"/>
    <w:rsid w:val="00D74120"/>
    <w:rsid w:val="00D74127"/>
    <w:rsid w:val="00D7413F"/>
    <w:rsid w:val="00D7416E"/>
    <w:rsid w:val="00D74191"/>
    <w:rsid w:val="00D74194"/>
    <w:rsid w:val="00D741CA"/>
    <w:rsid w:val="00D741EC"/>
    <w:rsid w:val="00D74200"/>
    <w:rsid w:val="00D74232"/>
    <w:rsid w:val="00D74240"/>
    <w:rsid w:val="00D742B4"/>
    <w:rsid w:val="00D742E8"/>
    <w:rsid w:val="00D7432E"/>
    <w:rsid w:val="00D743ED"/>
    <w:rsid w:val="00D743F1"/>
    <w:rsid w:val="00D74433"/>
    <w:rsid w:val="00D7443F"/>
    <w:rsid w:val="00D74461"/>
    <w:rsid w:val="00D7447C"/>
    <w:rsid w:val="00D7447E"/>
    <w:rsid w:val="00D7452D"/>
    <w:rsid w:val="00D745C6"/>
    <w:rsid w:val="00D7461F"/>
    <w:rsid w:val="00D74688"/>
    <w:rsid w:val="00D746B7"/>
    <w:rsid w:val="00D74711"/>
    <w:rsid w:val="00D74770"/>
    <w:rsid w:val="00D747B1"/>
    <w:rsid w:val="00D747EE"/>
    <w:rsid w:val="00D747F0"/>
    <w:rsid w:val="00D7480D"/>
    <w:rsid w:val="00D74860"/>
    <w:rsid w:val="00D74875"/>
    <w:rsid w:val="00D748F3"/>
    <w:rsid w:val="00D74A02"/>
    <w:rsid w:val="00D74A07"/>
    <w:rsid w:val="00D74A1A"/>
    <w:rsid w:val="00D74A4E"/>
    <w:rsid w:val="00D74A5D"/>
    <w:rsid w:val="00D74AA2"/>
    <w:rsid w:val="00D74AFB"/>
    <w:rsid w:val="00D74B05"/>
    <w:rsid w:val="00D74BD3"/>
    <w:rsid w:val="00D74C18"/>
    <w:rsid w:val="00D74C25"/>
    <w:rsid w:val="00D74C9F"/>
    <w:rsid w:val="00D74DDA"/>
    <w:rsid w:val="00D74E30"/>
    <w:rsid w:val="00D74E76"/>
    <w:rsid w:val="00D74E78"/>
    <w:rsid w:val="00D74EBB"/>
    <w:rsid w:val="00D74EC4"/>
    <w:rsid w:val="00D74F28"/>
    <w:rsid w:val="00D74F4A"/>
    <w:rsid w:val="00D74F93"/>
    <w:rsid w:val="00D75007"/>
    <w:rsid w:val="00D7500A"/>
    <w:rsid w:val="00D750EC"/>
    <w:rsid w:val="00D75180"/>
    <w:rsid w:val="00D7525A"/>
    <w:rsid w:val="00D752BC"/>
    <w:rsid w:val="00D75301"/>
    <w:rsid w:val="00D7533A"/>
    <w:rsid w:val="00D75375"/>
    <w:rsid w:val="00D753E2"/>
    <w:rsid w:val="00D753FB"/>
    <w:rsid w:val="00D753FE"/>
    <w:rsid w:val="00D75414"/>
    <w:rsid w:val="00D75434"/>
    <w:rsid w:val="00D754EE"/>
    <w:rsid w:val="00D75549"/>
    <w:rsid w:val="00D75566"/>
    <w:rsid w:val="00D75567"/>
    <w:rsid w:val="00D7559E"/>
    <w:rsid w:val="00D75607"/>
    <w:rsid w:val="00D756D6"/>
    <w:rsid w:val="00D75758"/>
    <w:rsid w:val="00D7575B"/>
    <w:rsid w:val="00D7577B"/>
    <w:rsid w:val="00D757BF"/>
    <w:rsid w:val="00D757CE"/>
    <w:rsid w:val="00D757FD"/>
    <w:rsid w:val="00D75919"/>
    <w:rsid w:val="00D75930"/>
    <w:rsid w:val="00D7594B"/>
    <w:rsid w:val="00D759B7"/>
    <w:rsid w:val="00D759C7"/>
    <w:rsid w:val="00D75A09"/>
    <w:rsid w:val="00D75A68"/>
    <w:rsid w:val="00D75A8D"/>
    <w:rsid w:val="00D75AAA"/>
    <w:rsid w:val="00D75AC4"/>
    <w:rsid w:val="00D75AF1"/>
    <w:rsid w:val="00D75B1B"/>
    <w:rsid w:val="00D75B21"/>
    <w:rsid w:val="00D75B53"/>
    <w:rsid w:val="00D75B58"/>
    <w:rsid w:val="00D75B6F"/>
    <w:rsid w:val="00D75BF0"/>
    <w:rsid w:val="00D75C79"/>
    <w:rsid w:val="00D75C88"/>
    <w:rsid w:val="00D75C9E"/>
    <w:rsid w:val="00D75CD4"/>
    <w:rsid w:val="00D75CF0"/>
    <w:rsid w:val="00D75D42"/>
    <w:rsid w:val="00D75D4A"/>
    <w:rsid w:val="00D75DA1"/>
    <w:rsid w:val="00D75E15"/>
    <w:rsid w:val="00D75E2B"/>
    <w:rsid w:val="00D75E34"/>
    <w:rsid w:val="00D75EF0"/>
    <w:rsid w:val="00D75F4C"/>
    <w:rsid w:val="00D75F5C"/>
    <w:rsid w:val="00D75F69"/>
    <w:rsid w:val="00D75F8D"/>
    <w:rsid w:val="00D75F98"/>
    <w:rsid w:val="00D75FD3"/>
    <w:rsid w:val="00D75FF5"/>
    <w:rsid w:val="00D75FFD"/>
    <w:rsid w:val="00D76012"/>
    <w:rsid w:val="00D76027"/>
    <w:rsid w:val="00D7604B"/>
    <w:rsid w:val="00D76076"/>
    <w:rsid w:val="00D760C4"/>
    <w:rsid w:val="00D760FF"/>
    <w:rsid w:val="00D76176"/>
    <w:rsid w:val="00D7618C"/>
    <w:rsid w:val="00D7621B"/>
    <w:rsid w:val="00D76230"/>
    <w:rsid w:val="00D76259"/>
    <w:rsid w:val="00D76278"/>
    <w:rsid w:val="00D7631F"/>
    <w:rsid w:val="00D76340"/>
    <w:rsid w:val="00D7635C"/>
    <w:rsid w:val="00D763AD"/>
    <w:rsid w:val="00D763BB"/>
    <w:rsid w:val="00D763F3"/>
    <w:rsid w:val="00D7644B"/>
    <w:rsid w:val="00D7647C"/>
    <w:rsid w:val="00D764DA"/>
    <w:rsid w:val="00D76510"/>
    <w:rsid w:val="00D765F7"/>
    <w:rsid w:val="00D76683"/>
    <w:rsid w:val="00D766E4"/>
    <w:rsid w:val="00D76734"/>
    <w:rsid w:val="00D767CA"/>
    <w:rsid w:val="00D76833"/>
    <w:rsid w:val="00D76860"/>
    <w:rsid w:val="00D76880"/>
    <w:rsid w:val="00D768C6"/>
    <w:rsid w:val="00D768EC"/>
    <w:rsid w:val="00D768F2"/>
    <w:rsid w:val="00D76955"/>
    <w:rsid w:val="00D7698C"/>
    <w:rsid w:val="00D769B9"/>
    <w:rsid w:val="00D769CA"/>
    <w:rsid w:val="00D769CC"/>
    <w:rsid w:val="00D769DF"/>
    <w:rsid w:val="00D769F4"/>
    <w:rsid w:val="00D76A35"/>
    <w:rsid w:val="00D76AAB"/>
    <w:rsid w:val="00D76B28"/>
    <w:rsid w:val="00D76B39"/>
    <w:rsid w:val="00D76B3C"/>
    <w:rsid w:val="00D76B91"/>
    <w:rsid w:val="00D76BCC"/>
    <w:rsid w:val="00D76C84"/>
    <w:rsid w:val="00D76CBA"/>
    <w:rsid w:val="00D76DBC"/>
    <w:rsid w:val="00D76DD8"/>
    <w:rsid w:val="00D76E54"/>
    <w:rsid w:val="00D76F07"/>
    <w:rsid w:val="00D76FC1"/>
    <w:rsid w:val="00D76FC6"/>
    <w:rsid w:val="00D76FF2"/>
    <w:rsid w:val="00D76FFC"/>
    <w:rsid w:val="00D77007"/>
    <w:rsid w:val="00D77015"/>
    <w:rsid w:val="00D77045"/>
    <w:rsid w:val="00D77074"/>
    <w:rsid w:val="00D77076"/>
    <w:rsid w:val="00D77078"/>
    <w:rsid w:val="00D770A1"/>
    <w:rsid w:val="00D770CF"/>
    <w:rsid w:val="00D770E2"/>
    <w:rsid w:val="00D7715A"/>
    <w:rsid w:val="00D77173"/>
    <w:rsid w:val="00D7719C"/>
    <w:rsid w:val="00D771B0"/>
    <w:rsid w:val="00D771FA"/>
    <w:rsid w:val="00D77200"/>
    <w:rsid w:val="00D7723C"/>
    <w:rsid w:val="00D77264"/>
    <w:rsid w:val="00D772AC"/>
    <w:rsid w:val="00D7735D"/>
    <w:rsid w:val="00D7739F"/>
    <w:rsid w:val="00D77413"/>
    <w:rsid w:val="00D77464"/>
    <w:rsid w:val="00D7747F"/>
    <w:rsid w:val="00D7752B"/>
    <w:rsid w:val="00D775F9"/>
    <w:rsid w:val="00D77686"/>
    <w:rsid w:val="00D776BE"/>
    <w:rsid w:val="00D776DB"/>
    <w:rsid w:val="00D7785A"/>
    <w:rsid w:val="00D778C3"/>
    <w:rsid w:val="00D7793E"/>
    <w:rsid w:val="00D7794C"/>
    <w:rsid w:val="00D7796A"/>
    <w:rsid w:val="00D77999"/>
    <w:rsid w:val="00D779A9"/>
    <w:rsid w:val="00D779C9"/>
    <w:rsid w:val="00D779CF"/>
    <w:rsid w:val="00D779D8"/>
    <w:rsid w:val="00D779E4"/>
    <w:rsid w:val="00D77A57"/>
    <w:rsid w:val="00D77A6C"/>
    <w:rsid w:val="00D77A72"/>
    <w:rsid w:val="00D77AEA"/>
    <w:rsid w:val="00D77B02"/>
    <w:rsid w:val="00D77B0C"/>
    <w:rsid w:val="00D77B5C"/>
    <w:rsid w:val="00D77B70"/>
    <w:rsid w:val="00D77BCB"/>
    <w:rsid w:val="00D77BEF"/>
    <w:rsid w:val="00D77CE1"/>
    <w:rsid w:val="00D77D06"/>
    <w:rsid w:val="00D77D55"/>
    <w:rsid w:val="00D77D5B"/>
    <w:rsid w:val="00D77D76"/>
    <w:rsid w:val="00D77E59"/>
    <w:rsid w:val="00D77E5D"/>
    <w:rsid w:val="00D77E8D"/>
    <w:rsid w:val="00D77F5E"/>
    <w:rsid w:val="00D77F99"/>
    <w:rsid w:val="00D77FBB"/>
    <w:rsid w:val="00D80028"/>
    <w:rsid w:val="00D80051"/>
    <w:rsid w:val="00D80077"/>
    <w:rsid w:val="00D80085"/>
    <w:rsid w:val="00D80088"/>
    <w:rsid w:val="00D80130"/>
    <w:rsid w:val="00D801A5"/>
    <w:rsid w:val="00D801CE"/>
    <w:rsid w:val="00D801FC"/>
    <w:rsid w:val="00D80215"/>
    <w:rsid w:val="00D80220"/>
    <w:rsid w:val="00D80291"/>
    <w:rsid w:val="00D802AF"/>
    <w:rsid w:val="00D802DC"/>
    <w:rsid w:val="00D803A8"/>
    <w:rsid w:val="00D803BC"/>
    <w:rsid w:val="00D8041B"/>
    <w:rsid w:val="00D80453"/>
    <w:rsid w:val="00D804D4"/>
    <w:rsid w:val="00D80500"/>
    <w:rsid w:val="00D80512"/>
    <w:rsid w:val="00D80578"/>
    <w:rsid w:val="00D8062B"/>
    <w:rsid w:val="00D806A2"/>
    <w:rsid w:val="00D806E8"/>
    <w:rsid w:val="00D8078C"/>
    <w:rsid w:val="00D8083C"/>
    <w:rsid w:val="00D808B7"/>
    <w:rsid w:val="00D808BD"/>
    <w:rsid w:val="00D808BE"/>
    <w:rsid w:val="00D808E0"/>
    <w:rsid w:val="00D808E4"/>
    <w:rsid w:val="00D8094A"/>
    <w:rsid w:val="00D8094B"/>
    <w:rsid w:val="00D8094C"/>
    <w:rsid w:val="00D80956"/>
    <w:rsid w:val="00D8099F"/>
    <w:rsid w:val="00D809FB"/>
    <w:rsid w:val="00D80A38"/>
    <w:rsid w:val="00D80A5C"/>
    <w:rsid w:val="00D80A88"/>
    <w:rsid w:val="00D80AF2"/>
    <w:rsid w:val="00D80BA1"/>
    <w:rsid w:val="00D80BBB"/>
    <w:rsid w:val="00D80BF6"/>
    <w:rsid w:val="00D80C38"/>
    <w:rsid w:val="00D80C5F"/>
    <w:rsid w:val="00D80CC2"/>
    <w:rsid w:val="00D80CD7"/>
    <w:rsid w:val="00D80CE3"/>
    <w:rsid w:val="00D80CFA"/>
    <w:rsid w:val="00D80D78"/>
    <w:rsid w:val="00D80D8C"/>
    <w:rsid w:val="00D80D97"/>
    <w:rsid w:val="00D80DE7"/>
    <w:rsid w:val="00D80E23"/>
    <w:rsid w:val="00D80E28"/>
    <w:rsid w:val="00D80E3A"/>
    <w:rsid w:val="00D80E50"/>
    <w:rsid w:val="00D80F42"/>
    <w:rsid w:val="00D80F6F"/>
    <w:rsid w:val="00D80FA2"/>
    <w:rsid w:val="00D81003"/>
    <w:rsid w:val="00D8103B"/>
    <w:rsid w:val="00D8109C"/>
    <w:rsid w:val="00D8116E"/>
    <w:rsid w:val="00D81265"/>
    <w:rsid w:val="00D812ED"/>
    <w:rsid w:val="00D8134C"/>
    <w:rsid w:val="00D8134E"/>
    <w:rsid w:val="00D8136A"/>
    <w:rsid w:val="00D81373"/>
    <w:rsid w:val="00D813A6"/>
    <w:rsid w:val="00D813DD"/>
    <w:rsid w:val="00D813ED"/>
    <w:rsid w:val="00D8145D"/>
    <w:rsid w:val="00D81468"/>
    <w:rsid w:val="00D814B4"/>
    <w:rsid w:val="00D814B6"/>
    <w:rsid w:val="00D81574"/>
    <w:rsid w:val="00D81616"/>
    <w:rsid w:val="00D8165E"/>
    <w:rsid w:val="00D81676"/>
    <w:rsid w:val="00D816F6"/>
    <w:rsid w:val="00D8179F"/>
    <w:rsid w:val="00D817B4"/>
    <w:rsid w:val="00D818BB"/>
    <w:rsid w:val="00D81935"/>
    <w:rsid w:val="00D81973"/>
    <w:rsid w:val="00D819AF"/>
    <w:rsid w:val="00D81A21"/>
    <w:rsid w:val="00D81A7F"/>
    <w:rsid w:val="00D81B2D"/>
    <w:rsid w:val="00D81C05"/>
    <w:rsid w:val="00D81C62"/>
    <w:rsid w:val="00D81C86"/>
    <w:rsid w:val="00D81CF1"/>
    <w:rsid w:val="00D81D09"/>
    <w:rsid w:val="00D81D36"/>
    <w:rsid w:val="00D81D76"/>
    <w:rsid w:val="00D81DE7"/>
    <w:rsid w:val="00D81E2B"/>
    <w:rsid w:val="00D81E6E"/>
    <w:rsid w:val="00D81E74"/>
    <w:rsid w:val="00D81E9F"/>
    <w:rsid w:val="00D81EF2"/>
    <w:rsid w:val="00D81EFB"/>
    <w:rsid w:val="00D81F1C"/>
    <w:rsid w:val="00D81F1D"/>
    <w:rsid w:val="00D81F2A"/>
    <w:rsid w:val="00D81F3A"/>
    <w:rsid w:val="00D81F44"/>
    <w:rsid w:val="00D81FAD"/>
    <w:rsid w:val="00D81FB2"/>
    <w:rsid w:val="00D81FCE"/>
    <w:rsid w:val="00D81FD0"/>
    <w:rsid w:val="00D81FF1"/>
    <w:rsid w:val="00D8201E"/>
    <w:rsid w:val="00D8201F"/>
    <w:rsid w:val="00D82022"/>
    <w:rsid w:val="00D8202A"/>
    <w:rsid w:val="00D820D6"/>
    <w:rsid w:val="00D820DF"/>
    <w:rsid w:val="00D8210C"/>
    <w:rsid w:val="00D82115"/>
    <w:rsid w:val="00D82125"/>
    <w:rsid w:val="00D82140"/>
    <w:rsid w:val="00D821CF"/>
    <w:rsid w:val="00D82253"/>
    <w:rsid w:val="00D822A1"/>
    <w:rsid w:val="00D822A5"/>
    <w:rsid w:val="00D822AC"/>
    <w:rsid w:val="00D8243B"/>
    <w:rsid w:val="00D82485"/>
    <w:rsid w:val="00D824B2"/>
    <w:rsid w:val="00D824DA"/>
    <w:rsid w:val="00D82500"/>
    <w:rsid w:val="00D8250C"/>
    <w:rsid w:val="00D82518"/>
    <w:rsid w:val="00D8253A"/>
    <w:rsid w:val="00D82577"/>
    <w:rsid w:val="00D825E0"/>
    <w:rsid w:val="00D8265A"/>
    <w:rsid w:val="00D8266B"/>
    <w:rsid w:val="00D8269A"/>
    <w:rsid w:val="00D82746"/>
    <w:rsid w:val="00D82778"/>
    <w:rsid w:val="00D827AE"/>
    <w:rsid w:val="00D827B9"/>
    <w:rsid w:val="00D82822"/>
    <w:rsid w:val="00D828C1"/>
    <w:rsid w:val="00D82974"/>
    <w:rsid w:val="00D829EF"/>
    <w:rsid w:val="00D82A2D"/>
    <w:rsid w:val="00D82A6D"/>
    <w:rsid w:val="00D82A83"/>
    <w:rsid w:val="00D82AB9"/>
    <w:rsid w:val="00D82AD0"/>
    <w:rsid w:val="00D82B00"/>
    <w:rsid w:val="00D82B06"/>
    <w:rsid w:val="00D82B4C"/>
    <w:rsid w:val="00D82B8C"/>
    <w:rsid w:val="00D82BC2"/>
    <w:rsid w:val="00D82BEC"/>
    <w:rsid w:val="00D82C00"/>
    <w:rsid w:val="00D82C26"/>
    <w:rsid w:val="00D82C2F"/>
    <w:rsid w:val="00D82C57"/>
    <w:rsid w:val="00D82C98"/>
    <w:rsid w:val="00D82CA6"/>
    <w:rsid w:val="00D82CAB"/>
    <w:rsid w:val="00D82CB4"/>
    <w:rsid w:val="00D82DB0"/>
    <w:rsid w:val="00D82DC0"/>
    <w:rsid w:val="00D82E9A"/>
    <w:rsid w:val="00D82EAC"/>
    <w:rsid w:val="00D82ED8"/>
    <w:rsid w:val="00D82EF5"/>
    <w:rsid w:val="00D82F0A"/>
    <w:rsid w:val="00D82F1C"/>
    <w:rsid w:val="00D82F40"/>
    <w:rsid w:val="00D82FD6"/>
    <w:rsid w:val="00D82FFD"/>
    <w:rsid w:val="00D83059"/>
    <w:rsid w:val="00D8308B"/>
    <w:rsid w:val="00D830B1"/>
    <w:rsid w:val="00D830C9"/>
    <w:rsid w:val="00D83116"/>
    <w:rsid w:val="00D8312A"/>
    <w:rsid w:val="00D83148"/>
    <w:rsid w:val="00D831A2"/>
    <w:rsid w:val="00D83262"/>
    <w:rsid w:val="00D832E5"/>
    <w:rsid w:val="00D832FC"/>
    <w:rsid w:val="00D83301"/>
    <w:rsid w:val="00D83368"/>
    <w:rsid w:val="00D833BD"/>
    <w:rsid w:val="00D833CB"/>
    <w:rsid w:val="00D833D9"/>
    <w:rsid w:val="00D834C4"/>
    <w:rsid w:val="00D83502"/>
    <w:rsid w:val="00D83579"/>
    <w:rsid w:val="00D8363A"/>
    <w:rsid w:val="00D83687"/>
    <w:rsid w:val="00D8372D"/>
    <w:rsid w:val="00D83834"/>
    <w:rsid w:val="00D83845"/>
    <w:rsid w:val="00D83847"/>
    <w:rsid w:val="00D83854"/>
    <w:rsid w:val="00D8388D"/>
    <w:rsid w:val="00D8389D"/>
    <w:rsid w:val="00D8398C"/>
    <w:rsid w:val="00D839AE"/>
    <w:rsid w:val="00D83A42"/>
    <w:rsid w:val="00D83A74"/>
    <w:rsid w:val="00D83A81"/>
    <w:rsid w:val="00D83A82"/>
    <w:rsid w:val="00D83AB6"/>
    <w:rsid w:val="00D83AEC"/>
    <w:rsid w:val="00D83B0D"/>
    <w:rsid w:val="00D83B4C"/>
    <w:rsid w:val="00D83B69"/>
    <w:rsid w:val="00D83BD9"/>
    <w:rsid w:val="00D83C57"/>
    <w:rsid w:val="00D83C81"/>
    <w:rsid w:val="00D83CB5"/>
    <w:rsid w:val="00D83CCE"/>
    <w:rsid w:val="00D83D41"/>
    <w:rsid w:val="00D83D43"/>
    <w:rsid w:val="00D83D4A"/>
    <w:rsid w:val="00D83DCA"/>
    <w:rsid w:val="00D83DF3"/>
    <w:rsid w:val="00D83E0F"/>
    <w:rsid w:val="00D83E61"/>
    <w:rsid w:val="00D83E9E"/>
    <w:rsid w:val="00D83EC7"/>
    <w:rsid w:val="00D83F30"/>
    <w:rsid w:val="00D84076"/>
    <w:rsid w:val="00D840C7"/>
    <w:rsid w:val="00D84112"/>
    <w:rsid w:val="00D84148"/>
    <w:rsid w:val="00D841A8"/>
    <w:rsid w:val="00D841E0"/>
    <w:rsid w:val="00D841EE"/>
    <w:rsid w:val="00D84288"/>
    <w:rsid w:val="00D8429B"/>
    <w:rsid w:val="00D842B5"/>
    <w:rsid w:val="00D842DD"/>
    <w:rsid w:val="00D8430F"/>
    <w:rsid w:val="00D84330"/>
    <w:rsid w:val="00D84355"/>
    <w:rsid w:val="00D84363"/>
    <w:rsid w:val="00D843BA"/>
    <w:rsid w:val="00D843CD"/>
    <w:rsid w:val="00D843D2"/>
    <w:rsid w:val="00D843F8"/>
    <w:rsid w:val="00D844AE"/>
    <w:rsid w:val="00D844C7"/>
    <w:rsid w:val="00D84528"/>
    <w:rsid w:val="00D8453B"/>
    <w:rsid w:val="00D84587"/>
    <w:rsid w:val="00D845AD"/>
    <w:rsid w:val="00D845FB"/>
    <w:rsid w:val="00D8464E"/>
    <w:rsid w:val="00D8469D"/>
    <w:rsid w:val="00D846DE"/>
    <w:rsid w:val="00D846EE"/>
    <w:rsid w:val="00D846EF"/>
    <w:rsid w:val="00D84761"/>
    <w:rsid w:val="00D84782"/>
    <w:rsid w:val="00D847E1"/>
    <w:rsid w:val="00D847E3"/>
    <w:rsid w:val="00D8484F"/>
    <w:rsid w:val="00D848BC"/>
    <w:rsid w:val="00D848ED"/>
    <w:rsid w:val="00D848F0"/>
    <w:rsid w:val="00D84913"/>
    <w:rsid w:val="00D84931"/>
    <w:rsid w:val="00D84956"/>
    <w:rsid w:val="00D849CC"/>
    <w:rsid w:val="00D84A5B"/>
    <w:rsid w:val="00D84AFD"/>
    <w:rsid w:val="00D84B7A"/>
    <w:rsid w:val="00D84BE4"/>
    <w:rsid w:val="00D84C2F"/>
    <w:rsid w:val="00D84C74"/>
    <w:rsid w:val="00D84CFE"/>
    <w:rsid w:val="00D84D22"/>
    <w:rsid w:val="00D84D35"/>
    <w:rsid w:val="00D84D43"/>
    <w:rsid w:val="00D84D48"/>
    <w:rsid w:val="00D84DA3"/>
    <w:rsid w:val="00D84DAE"/>
    <w:rsid w:val="00D84DB4"/>
    <w:rsid w:val="00D84DF8"/>
    <w:rsid w:val="00D84E78"/>
    <w:rsid w:val="00D84EE5"/>
    <w:rsid w:val="00D84F3B"/>
    <w:rsid w:val="00D84F3D"/>
    <w:rsid w:val="00D84F4E"/>
    <w:rsid w:val="00D84F60"/>
    <w:rsid w:val="00D84FC5"/>
    <w:rsid w:val="00D84FD0"/>
    <w:rsid w:val="00D85034"/>
    <w:rsid w:val="00D85081"/>
    <w:rsid w:val="00D85098"/>
    <w:rsid w:val="00D850D6"/>
    <w:rsid w:val="00D85179"/>
    <w:rsid w:val="00D85182"/>
    <w:rsid w:val="00D8519B"/>
    <w:rsid w:val="00D851B0"/>
    <w:rsid w:val="00D851B2"/>
    <w:rsid w:val="00D851E4"/>
    <w:rsid w:val="00D851F9"/>
    <w:rsid w:val="00D8520F"/>
    <w:rsid w:val="00D85216"/>
    <w:rsid w:val="00D852BB"/>
    <w:rsid w:val="00D85338"/>
    <w:rsid w:val="00D8535C"/>
    <w:rsid w:val="00D85377"/>
    <w:rsid w:val="00D8537F"/>
    <w:rsid w:val="00D85436"/>
    <w:rsid w:val="00D85478"/>
    <w:rsid w:val="00D8547C"/>
    <w:rsid w:val="00D854F9"/>
    <w:rsid w:val="00D85513"/>
    <w:rsid w:val="00D855A3"/>
    <w:rsid w:val="00D85649"/>
    <w:rsid w:val="00D8564B"/>
    <w:rsid w:val="00D85651"/>
    <w:rsid w:val="00D856F8"/>
    <w:rsid w:val="00D85712"/>
    <w:rsid w:val="00D8583D"/>
    <w:rsid w:val="00D8586F"/>
    <w:rsid w:val="00D85885"/>
    <w:rsid w:val="00D858E9"/>
    <w:rsid w:val="00D858EC"/>
    <w:rsid w:val="00D858F2"/>
    <w:rsid w:val="00D858F6"/>
    <w:rsid w:val="00D85909"/>
    <w:rsid w:val="00D85996"/>
    <w:rsid w:val="00D859AA"/>
    <w:rsid w:val="00D859AF"/>
    <w:rsid w:val="00D859C5"/>
    <w:rsid w:val="00D859CE"/>
    <w:rsid w:val="00D85A17"/>
    <w:rsid w:val="00D85A20"/>
    <w:rsid w:val="00D85A2A"/>
    <w:rsid w:val="00D85A55"/>
    <w:rsid w:val="00D85A9F"/>
    <w:rsid w:val="00D85AAF"/>
    <w:rsid w:val="00D85AC5"/>
    <w:rsid w:val="00D85ADB"/>
    <w:rsid w:val="00D85AE9"/>
    <w:rsid w:val="00D85B22"/>
    <w:rsid w:val="00D85B4B"/>
    <w:rsid w:val="00D85B65"/>
    <w:rsid w:val="00D85B95"/>
    <w:rsid w:val="00D85B9B"/>
    <w:rsid w:val="00D85BDB"/>
    <w:rsid w:val="00D85BF8"/>
    <w:rsid w:val="00D85C13"/>
    <w:rsid w:val="00D85C49"/>
    <w:rsid w:val="00D85CD8"/>
    <w:rsid w:val="00D85D8A"/>
    <w:rsid w:val="00D85F18"/>
    <w:rsid w:val="00D85F3E"/>
    <w:rsid w:val="00D85FA9"/>
    <w:rsid w:val="00D85FDD"/>
    <w:rsid w:val="00D86029"/>
    <w:rsid w:val="00D8607C"/>
    <w:rsid w:val="00D86094"/>
    <w:rsid w:val="00D860D7"/>
    <w:rsid w:val="00D860D8"/>
    <w:rsid w:val="00D8610F"/>
    <w:rsid w:val="00D86142"/>
    <w:rsid w:val="00D861A1"/>
    <w:rsid w:val="00D861DD"/>
    <w:rsid w:val="00D8621C"/>
    <w:rsid w:val="00D862B4"/>
    <w:rsid w:val="00D862DB"/>
    <w:rsid w:val="00D8631B"/>
    <w:rsid w:val="00D86354"/>
    <w:rsid w:val="00D86379"/>
    <w:rsid w:val="00D86399"/>
    <w:rsid w:val="00D863B3"/>
    <w:rsid w:val="00D8640A"/>
    <w:rsid w:val="00D8645F"/>
    <w:rsid w:val="00D86475"/>
    <w:rsid w:val="00D86489"/>
    <w:rsid w:val="00D864A5"/>
    <w:rsid w:val="00D864EF"/>
    <w:rsid w:val="00D86518"/>
    <w:rsid w:val="00D8654A"/>
    <w:rsid w:val="00D865CB"/>
    <w:rsid w:val="00D8661A"/>
    <w:rsid w:val="00D8662F"/>
    <w:rsid w:val="00D86652"/>
    <w:rsid w:val="00D8666C"/>
    <w:rsid w:val="00D86698"/>
    <w:rsid w:val="00D866A5"/>
    <w:rsid w:val="00D86773"/>
    <w:rsid w:val="00D867E4"/>
    <w:rsid w:val="00D8681A"/>
    <w:rsid w:val="00D86869"/>
    <w:rsid w:val="00D868F7"/>
    <w:rsid w:val="00D868FE"/>
    <w:rsid w:val="00D869E2"/>
    <w:rsid w:val="00D869EB"/>
    <w:rsid w:val="00D86A19"/>
    <w:rsid w:val="00D86A39"/>
    <w:rsid w:val="00D86A50"/>
    <w:rsid w:val="00D86AF4"/>
    <w:rsid w:val="00D86AFE"/>
    <w:rsid w:val="00D86B7C"/>
    <w:rsid w:val="00D86B7E"/>
    <w:rsid w:val="00D86B88"/>
    <w:rsid w:val="00D86BB1"/>
    <w:rsid w:val="00D86BB4"/>
    <w:rsid w:val="00D86CBF"/>
    <w:rsid w:val="00D86CC8"/>
    <w:rsid w:val="00D86CDF"/>
    <w:rsid w:val="00D86D29"/>
    <w:rsid w:val="00D86D55"/>
    <w:rsid w:val="00D86D5C"/>
    <w:rsid w:val="00D86DB3"/>
    <w:rsid w:val="00D86DCF"/>
    <w:rsid w:val="00D86E9B"/>
    <w:rsid w:val="00D86EA5"/>
    <w:rsid w:val="00D86EC9"/>
    <w:rsid w:val="00D86F53"/>
    <w:rsid w:val="00D86F6E"/>
    <w:rsid w:val="00D86F80"/>
    <w:rsid w:val="00D86FBF"/>
    <w:rsid w:val="00D87049"/>
    <w:rsid w:val="00D870B0"/>
    <w:rsid w:val="00D87114"/>
    <w:rsid w:val="00D87198"/>
    <w:rsid w:val="00D871CD"/>
    <w:rsid w:val="00D871D1"/>
    <w:rsid w:val="00D871E9"/>
    <w:rsid w:val="00D87233"/>
    <w:rsid w:val="00D87247"/>
    <w:rsid w:val="00D87256"/>
    <w:rsid w:val="00D872B8"/>
    <w:rsid w:val="00D872BF"/>
    <w:rsid w:val="00D872F5"/>
    <w:rsid w:val="00D8732A"/>
    <w:rsid w:val="00D873B9"/>
    <w:rsid w:val="00D873D1"/>
    <w:rsid w:val="00D87465"/>
    <w:rsid w:val="00D87474"/>
    <w:rsid w:val="00D874D2"/>
    <w:rsid w:val="00D874F7"/>
    <w:rsid w:val="00D875E3"/>
    <w:rsid w:val="00D875F5"/>
    <w:rsid w:val="00D87622"/>
    <w:rsid w:val="00D8764D"/>
    <w:rsid w:val="00D876C9"/>
    <w:rsid w:val="00D876F4"/>
    <w:rsid w:val="00D87769"/>
    <w:rsid w:val="00D878D1"/>
    <w:rsid w:val="00D8796C"/>
    <w:rsid w:val="00D879E3"/>
    <w:rsid w:val="00D87A62"/>
    <w:rsid w:val="00D87A67"/>
    <w:rsid w:val="00D87A6B"/>
    <w:rsid w:val="00D87A74"/>
    <w:rsid w:val="00D87AD0"/>
    <w:rsid w:val="00D87AE0"/>
    <w:rsid w:val="00D87AF3"/>
    <w:rsid w:val="00D87B2A"/>
    <w:rsid w:val="00D87B6C"/>
    <w:rsid w:val="00D87BF2"/>
    <w:rsid w:val="00D87C4B"/>
    <w:rsid w:val="00D87C65"/>
    <w:rsid w:val="00D87C91"/>
    <w:rsid w:val="00D87CA7"/>
    <w:rsid w:val="00D87CD0"/>
    <w:rsid w:val="00D87D50"/>
    <w:rsid w:val="00D87D73"/>
    <w:rsid w:val="00D87D8A"/>
    <w:rsid w:val="00D87DAE"/>
    <w:rsid w:val="00D87DC1"/>
    <w:rsid w:val="00D87DCE"/>
    <w:rsid w:val="00D87DD0"/>
    <w:rsid w:val="00D87DE2"/>
    <w:rsid w:val="00D87E16"/>
    <w:rsid w:val="00D87E6B"/>
    <w:rsid w:val="00D87EC5"/>
    <w:rsid w:val="00D87EC8"/>
    <w:rsid w:val="00D87EFA"/>
    <w:rsid w:val="00D87F01"/>
    <w:rsid w:val="00D87F1E"/>
    <w:rsid w:val="00D87F61"/>
    <w:rsid w:val="00D87FB8"/>
    <w:rsid w:val="00D87FC6"/>
    <w:rsid w:val="00D900A8"/>
    <w:rsid w:val="00D900CF"/>
    <w:rsid w:val="00D9016E"/>
    <w:rsid w:val="00D901CC"/>
    <w:rsid w:val="00D90272"/>
    <w:rsid w:val="00D902C9"/>
    <w:rsid w:val="00D90303"/>
    <w:rsid w:val="00D90323"/>
    <w:rsid w:val="00D90324"/>
    <w:rsid w:val="00D90377"/>
    <w:rsid w:val="00D9037A"/>
    <w:rsid w:val="00D90387"/>
    <w:rsid w:val="00D9043D"/>
    <w:rsid w:val="00D904B1"/>
    <w:rsid w:val="00D904C9"/>
    <w:rsid w:val="00D9054A"/>
    <w:rsid w:val="00D9055F"/>
    <w:rsid w:val="00D905C9"/>
    <w:rsid w:val="00D90633"/>
    <w:rsid w:val="00D90697"/>
    <w:rsid w:val="00D907E5"/>
    <w:rsid w:val="00D907ED"/>
    <w:rsid w:val="00D9084D"/>
    <w:rsid w:val="00D908FD"/>
    <w:rsid w:val="00D90936"/>
    <w:rsid w:val="00D90999"/>
    <w:rsid w:val="00D909BB"/>
    <w:rsid w:val="00D90A0A"/>
    <w:rsid w:val="00D90A32"/>
    <w:rsid w:val="00D90A79"/>
    <w:rsid w:val="00D90A7C"/>
    <w:rsid w:val="00D90ACE"/>
    <w:rsid w:val="00D90AEC"/>
    <w:rsid w:val="00D90AF6"/>
    <w:rsid w:val="00D90B1C"/>
    <w:rsid w:val="00D90B35"/>
    <w:rsid w:val="00D90B38"/>
    <w:rsid w:val="00D90B4E"/>
    <w:rsid w:val="00D90BA9"/>
    <w:rsid w:val="00D90BCE"/>
    <w:rsid w:val="00D90C26"/>
    <w:rsid w:val="00D90C4A"/>
    <w:rsid w:val="00D90CD6"/>
    <w:rsid w:val="00D90D0A"/>
    <w:rsid w:val="00D90D16"/>
    <w:rsid w:val="00D90D25"/>
    <w:rsid w:val="00D90D62"/>
    <w:rsid w:val="00D90DC2"/>
    <w:rsid w:val="00D90DD1"/>
    <w:rsid w:val="00D90DF7"/>
    <w:rsid w:val="00D90E2D"/>
    <w:rsid w:val="00D90E37"/>
    <w:rsid w:val="00D90E7F"/>
    <w:rsid w:val="00D90ED9"/>
    <w:rsid w:val="00D90EF8"/>
    <w:rsid w:val="00D90F14"/>
    <w:rsid w:val="00D90F37"/>
    <w:rsid w:val="00D90F86"/>
    <w:rsid w:val="00D90F91"/>
    <w:rsid w:val="00D90FB2"/>
    <w:rsid w:val="00D90FE2"/>
    <w:rsid w:val="00D90FE5"/>
    <w:rsid w:val="00D91026"/>
    <w:rsid w:val="00D910B2"/>
    <w:rsid w:val="00D910CD"/>
    <w:rsid w:val="00D910D6"/>
    <w:rsid w:val="00D91175"/>
    <w:rsid w:val="00D91208"/>
    <w:rsid w:val="00D91214"/>
    <w:rsid w:val="00D912A6"/>
    <w:rsid w:val="00D9140A"/>
    <w:rsid w:val="00D914A8"/>
    <w:rsid w:val="00D914C9"/>
    <w:rsid w:val="00D914DD"/>
    <w:rsid w:val="00D914F6"/>
    <w:rsid w:val="00D914F7"/>
    <w:rsid w:val="00D91541"/>
    <w:rsid w:val="00D91588"/>
    <w:rsid w:val="00D91620"/>
    <w:rsid w:val="00D9163D"/>
    <w:rsid w:val="00D9165E"/>
    <w:rsid w:val="00D916B2"/>
    <w:rsid w:val="00D916D2"/>
    <w:rsid w:val="00D91709"/>
    <w:rsid w:val="00D917AA"/>
    <w:rsid w:val="00D9182F"/>
    <w:rsid w:val="00D9187C"/>
    <w:rsid w:val="00D918BE"/>
    <w:rsid w:val="00D9194A"/>
    <w:rsid w:val="00D919A0"/>
    <w:rsid w:val="00D919B6"/>
    <w:rsid w:val="00D919CB"/>
    <w:rsid w:val="00D919CC"/>
    <w:rsid w:val="00D91A2D"/>
    <w:rsid w:val="00D91A59"/>
    <w:rsid w:val="00D91AE6"/>
    <w:rsid w:val="00D91AF7"/>
    <w:rsid w:val="00D91B2B"/>
    <w:rsid w:val="00D91B62"/>
    <w:rsid w:val="00D91BFB"/>
    <w:rsid w:val="00D91C49"/>
    <w:rsid w:val="00D91C4D"/>
    <w:rsid w:val="00D91C81"/>
    <w:rsid w:val="00D91CC9"/>
    <w:rsid w:val="00D91D8B"/>
    <w:rsid w:val="00D91D9E"/>
    <w:rsid w:val="00D91DFE"/>
    <w:rsid w:val="00D91E3D"/>
    <w:rsid w:val="00D91EAE"/>
    <w:rsid w:val="00D91ED7"/>
    <w:rsid w:val="00D91F14"/>
    <w:rsid w:val="00D91F50"/>
    <w:rsid w:val="00D91F88"/>
    <w:rsid w:val="00D9201B"/>
    <w:rsid w:val="00D9205F"/>
    <w:rsid w:val="00D92077"/>
    <w:rsid w:val="00D92160"/>
    <w:rsid w:val="00D92241"/>
    <w:rsid w:val="00D9228E"/>
    <w:rsid w:val="00D92290"/>
    <w:rsid w:val="00D922A2"/>
    <w:rsid w:val="00D922D8"/>
    <w:rsid w:val="00D92300"/>
    <w:rsid w:val="00D9231A"/>
    <w:rsid w:val="00D923BF"/>
    <w:rsid w:val="00D923D1"/>
    <w:rsid w:val="00D923D8"/>
    <w:rsid w:val="00D923DA"/>
    <w:rsid w:val="00D92464"/>
    <w:rsid w:val="00D92546"/>
    <w:rsid w:val="00D925E0"/>
    <w:rsid w:val="00D92648"/>
    <w:rsid w:val="00D926F8"/>
    <w:rsid w:val="00D9274A"/>
    <w:rsid w:val="00D927CA"/>
    <w:rsid w:val="00D927FC"/>
    <w:rsid w:val="00D9282B"/>
    <w:rsid w:val="00D92830"/>
    <w:rsid w:val="00D928A0"/>
    <w:rsid w:val="00D928D3"/>
    <w:rsid w:val="00D92912"/>
    <w:rsid w:val="00D9292D"/>
    <w:rsid w:val="00D9296B"/>
    <w:rsid w:val="00D9296E"/>
    <w:rsid w:val="00D929A7"/>
    <w:rsid w:val="00D92A7C"/>
    <w:rsid w:val="00D92A9A"/>
    <w:rsid w:val="00D92AA9"/>
    <w:rsid w:val="00D92ABD"/>
    <w:rsid w:val="00D92AE6"/>
    <w:rsid w:val="00D92AFB"/>
    <w:rsid w:val="00D92BAF"/>
    <w:rsid w:val="00D92C33"/>
    <w:rsid w:val="00D92C4B"/>
    <w:rsid w:val="00D92C82"/>
    <w:rsid w:val="00D92C92"/>
    <w:rsid w:val="00D92CF4"/>
    <w:rsid w:val="00D92D7C"/>
    <w:rsid w:val="00D92DB5"/>
    <w:rsid w:val="00D92E60"/>
    <w:rsid w:val="00D92E97"/>
    <w:rsid w:val="00D92EB5"/>
    <w:rsid w:val="00D92F13"/>
    <w:rsid w:val="00D92F4F"/>
    <w:rsid w:val="00D92F99"/>
    <w:rsid w:val="00D92FCB"/>
    <w:rsid w:val="00D92FD1"/>
    <w:rsid w:val="00D930AF"/>
    <w:rsid w:val="00D93118"/>
    <w:rsid w:val="00D9313C"/>
    <w:rsid w:val="00D9315C"/>
    <w:rsid w:val="00D93188"/>
    <w:rsid w:val="00D9325B"/>
    <w:rsid w:val="00D93386"/>
    <w:rsid w:val="00D9339A"/>
    <w:rsid w:val="00D933A7"/>
    <w:rsid w:val="00D933BC"/>
    <w:rsid w:val="00D933C5"/>
    <w:rsid w:val="00D93477"/>
    <w:rsid w:val="00D934F6"/>
    <w:rsid w:val="00D93567"/>
    <w:rsid w:val="00D9358A"/>
    <w:rsid w:val="00D935B4"/>
    <w:rsid w:val="00D935D7"/>
    <w:rsid w:val="00D935E7"/>
    <w:rsid w:val="00D935F7"/>
    <w:rsid w:val="00D93698"/>
    <w:rsid w:val="00D936D5"/>
    <w:rsid w:val="00D936E8"/>
    <w:rsid w:val="00D936E9"/>
    <w:rsid w:val="00D9373C"/>
    <w:rsid w:val="00D9379B"/>
    <w:rsid w:val="00D937C6"/>
    <w:rsid w:val="00D937DA"/>
    <w:rsid w:val="00D93809"/>
    <w:rsid w:val="00D93813"/>
    <w:rsid w:val="00D93837"/>
    <w:rsid w:val="00D93852"/>
    <w:rsid w:val="00D93865"/>
    <w:rsid w:val="00D93984"/>
    <w:rsid w:val="00D939FF"/>
    <w:rsid w:val="00D93A29"/>
    <w:rsid w:val="00D93A58"/>
    <w:rsid w:val="00D93A5A"/>
    <w:rsid w:val="00D93AE1"/>
    <w:rsid w:val="00D93B06"/>
    <w:rsid w:val="00D93B39"/>
    <w:rsid w:val="00D93B6D"/>
    <w:rsid w:val="00D93C08"/>
    <w:rsid w:val="00D93C30"/>
    <w:rsid w:val="00D93C53"/>
    <w:rsid w:val="00D93C5F"/>
    <w:rsid w:val="00D93C61"/>
    <w:rsid w:val="00D93C92"/>
    <w:rsid w:val="00D93CE5"/>
    <w:rsid w:val="00D93D02"/>
    <w:rsid w:val="00D93D07"/>
    <w:rsid w:val="00D93D80"/>
    <w:rsid w:val="00D93DB6"/>
    <w:rsid w:val="00D93DD9"/>
    <w:rsid w:val="00D93E26"/>
    <w:rsid w:val="00D93EC6"/>
    <w:rsid w:val="00D93EFA"/>
    <w:rsid w:val="00D93F06"/>
    <w:rsid w:val="00D93F21"/>
    <w:rsid w:val="00D93F58"/>
    <w:rsid w:val="00D94008"/>
    <w:rsid w:val="00D94022"/>
    <w:rsid w:val="00D9405F"/>
    <w:rsid w:val="00D94089"/>
    <w:rsid w:val="00D9408F"/>
    <w:rsid w:val="00D94098"/>
    <w:rsid w:val="00D940A9"/>
    <w:rsid w:val="00D940FC"/>
    <w:rsid w:val="00D94143"/>
    <w:rsid w:val="00D94178"/>
    <w:rsid w:val="00D941BA"/>
    <w:rsid w:val="00D94218"/>
    <w:rsid w:val="00D94279"/>
    <w:rsid w:val="00D94286"/>
    <w:rsid w:val="00D942EE"/>
    <w:rsid w:val="00D942F3"/>
    <w:rsid w:val="00D942FA"/>
    <w:rsid w:val="00D943B5"/>
    <w:rsid w:val="00D943C1"/>
    <w:rsid w:val="00D943CD"/>
    <w:rsid w:val="00D944BE"/>
    <w:rsid w:val="00D944D7"/>
    <w:rsid w:val="00D94527"/>
    <w:rsid w:val="00D945F8"/>
    <w:rsid w:val="00D945FB"/>
    <w:rsid w:val="00D94670"/>
    <w:rsid w:val="00D9469C"/>
    <w:rsid w:val="00D94754"/>
    <w:rsid w:val="00D94781"/>
    <w:rsid w:val="00D947B1"/>
    <w:rsid w:val="00D947B4"/>
    <w:rsid w:val="00D947D5"/>
    <w:rsid w:val="00D947DF"/>
    <w:rsid w:val="00D94818"/>
    <w:rsid w:val="00D94834"/>
    <w:rsid w:val="00D9487A"/>
    <w:rsid w:val="00D948EF"/>
    <w:rsid w:val="00D94946"/>
    <w:rsid w:val="00D949A8"/>
    <w:rsid w:val="00D949FB"/>
    <w:rsid w:val="00D94A42"/>
    <w:rsid w:val="00D94A68"/>
    <w:rsid w:val="00D94A93"/>
    <w:rsid w:val="00D94B06"/>
    <w:rsid w:val="00D94B83"/>
    <w:rsid w:val="00D94BAF"/>
    <w:rsid w:val="00D94C5B"/>
    <w:rsid w:val="00D94C83"/>
    <w:rsid w:val="00D94D5C"/>
    <w:rsid w:val="00D94DAA"/>
    <w:rsid w:val="00D94DCF"/>
    <w:rsid w:val="00D94DEE"/>
    <w:rsid w:val="00D94E17"/>
    <w:rsid w:val="00D94E32"/>
    <w:rsid w:val="00D94E38"/>
    <w:rsid w:val="00D94E82"/>
    <w:rsid w:val="00D94EAE"/>
    <w:rsid w:val="00D94EB0"/>
    <w:rsid w:val="00D94FDA"/>
    <w:rsid w:val="00D95035"/>
    <w:rsid w:val="00D9505D"/>
    <w:rsid w:val="00D950CA"/>
    <w:rsid w:val="00D950D2"/>
    <w:rsid w:val="00D950F4"/>
    <w:rsid w:val="00D95110"/>
    <w:rsid w:val="00D9517B"/>
    <w:rsid w:val="00D951E0"/>
    <w:rsid w:val="00D9523D"/>
    <w:rsid w:val="00D952B7"/>
    <w:rsid w:val="00D9535D"/>
    <w:rsid w:val="00D9538C"/>
    <w:rsid w:val="00D9539A"/>
    <w:rsid w:val="00D953B8"/>
    <w:rsid w:val="00D9542F"/>
    <w:rsid w:val="00D9549B"/>
    <w:rsid w:val="00D9551B"/>
    <w:rsid w:val="00D95528"/>
    <w:rsid w:val="00D95544"/>
    <w:rsid w:val="00D95553"/>
    <w:rsid w:val="00D955B3"/>
    <w:rsid w:val="00D955C2"/>
    <w:rsid w:val="00D955E0"/>
    <w:rsid w:val="00D955F7"/>
    <w:rsid w:val="00D95648"/>
    <w:rsid w:val="00D95670"/>
    <w:rsid w:val="00D9567A"/>
    <w:rsid w:val="00D95693"/>
    <w:rsid w:val="00D9569F"/>
    <w:rsid w:val="00D956B2"/>
    <w:rsid w:val="00D95786"/>
    <w:rsid w:val="00D95817"/>
    <w:rsid w:val="00D95818"/>
    <w:rsid w:val="00D95839"/>
    <w:rsid w:val="00D9587A"/>
    <w:rsid w:val="00D958D5"/>
    <w:rsid w:val="00D9590B"/>
    <w:rsid w:val="00D95925"/>
    <w:rsid w:val="00D95937"/>
    <w:rsid w:val="00D95988"/>
    <w:rsid w:val="00D959E4"/>
    <w:rsid w:val="00D95A00"/>
    <w:rsid w:val="00D95A09"/>
    <w:rsid w:val="00D95A2A"/>
    <w:rsid w:val="00D95AAF"/>
    <w:rsid w:val="00D95AEF"/>
    <w:rsid w:val="00D95B04"/>
    <w:rsid w:val="00D95B42"/>
    <w:rsid w:val="00D95BB3"/>
    <w:rsid w:val="00D95BD9"/>
    <w:rsid w:val="00D95C2D"/>
    <w:rsid w:val="00D95C85"/>
    <w:rsid w:val="00D95D56"/>
    <w:rsid w:val="00D95E07"/>
    <w:rsid w:val="00D95E33"/>
    <w:rsid w:val="00D95E4E"/>
    <w:rsid w:val="00D95E69"/>
    <w:rsid w:val="00D95EB9"/>
    <w:rsid w:val="00D95F95"/>
    <w:rsid w:val="00D96033"/>
    <w:rsid w:val="00D9603E"/>
    <w:rsid w:val="00D960C1"/>
    <w:rsid w:val="00D960ED"/>
    <w:rsid w:val="00D96112"/>
    <w:rsid w:val="00D96129"/>
    <w:rsid w:val="00D96141"/>
    <w:rsid w:val="00D9616D"/>
    <w:rsid w:val="00D9618F"/>
    <w:rsid w:val="00D961B5"/>
    <w:rsid w:val="00D96205"/>
    <w:rsid w:val="00D96225"/>
    <w:rsid w:val="00D962AC"/>
    <w:rsid w:val="00D962BE"/>
    <w:rsid w:val="00D96333"/>
    <w:rsid w:val="00D96348"/>
    <w:rsid w:val="00D963AA"/>
    <w:rsid w:val="00D963F6"/>
    <w:rsid w:val="00D963FA"/>
    <w:rsid w:val="00D96412"/>
    <w:rsid w:val="00D96449"/>
    <w:rsid w:val="00D96465"/>
    <w:rsid w:val="00D964E5"/>
    <w:rsid w:val="00D9651B"/>
    <w:rsid w:val="00D96551"/>
    <w:rsid w:val="00D96562"/>
    <w:rsid w:val="00D96571"/>
    <w:rsid w:val="00D965AB"/>
    <w:rsid w:val="00D965B3"/>
    <w:rsid w:val="00D9662E"/>
    <w:rsid w:val="00D96662"/>
    <w:rsid w:val="00D96684"/>
    <w:rsid w:val="00D96694"/>
    <w:rsid w:val="00D966C0"/>
    <w:rsid w:val="00D967C1"/>
    <w:rsid w:val="00D967CA"/>
    <w:rsid w:val="00D967F1"/>
    <w:rsid w:val="00D967F7"/>
    <w:rsid w:val="00D9680C"/>
    <w:rsid w:val="00D96857"/>
    <w:rsid w:val="00D9685F"/>
    <w:rsid w:val="00D968F1"/>
    <w:rsid w:val="00D96A16"/>
    <w:rsid w:val="00D96A48"/>
    <w:rsid w:val="00D96A55"/>
    <w:rsid w:val="00D96A8E"/>
    <w:rsid w:val="00D96AD7"/>
    <w:rsid w:val="00D96AFE"/>
    <w:rsid w:val="00D96B69"/>
    <w:rsid w:val="00D96B9C"/>
    <w:rsid w:val="00D96C24"/>
    <w:rsid w:val="00D96C2D"/>
    <w:rsid w:val="00D96CB1"/>
    <w:rsid w:val="00D96D5F"/>
    <w:rsid w:val="00D96D85"/>
    <w:rsid w:val="00D96DE5"/>
    <w:rsid w:val="00D96DF3"/>
    <w:rsid w:val="00D96E0E"/>
    <w:rsid w:val="00D96E90"/>
    <w:rsid w:val="00D96EA6"/>
    <w:rsid w:val="00D96F7E"/>
    <w:rsid w:val="00D9702A"/>
    <w:rsid w:val="00D97046"/>
    <w:rsid w:val="00D9704E"/>
    <w:rsid w:val="00D97075"/>
    <w:rsid w:val="00D970E1"/>
    <w:rsid w:val="00D9710A"/>
    <w:rsid w:val="00D9710D"/>
    <w:rsid w:val="00D9715F"/>
    <w:rsid w:val="00D971DD"/>
    <w:rsid w:val="00D9720E"/>
    <w:rsid w:val="00D97222"/>
    <w:rsid w:val="00D9723C"/>
    <w:rsid w:val="00D97292"/>
    <w:rsid w:val="00D972BD"/>
    <w:rsid w:val="00D972D1"/>
    <w:rsid w:val="00D972D6"/>
    <w:rsid w:val="00D97331"/>
    <w:rsid w:val="00D97335"/>
    <w:rsid w:val="00D97339"/>
    <w:rsid w:val="00D97368"/>
    <w:rsid w:val="00D973F0"/>
    <w:rsid w:val="00D97492"/>
    <w:rsid w:val="00D974A0"/>
    <w:rsid w:val="00D974A9"/>
    <w:rsid w:val="00D97612"/>
    <w:rsid w:val="00D97627"/>
    <w:rsid w:val="00D97655"/>
    <w:rsid w:val="00D9769A"/>
    <w:rsid w:val="00D976A2"/>
    <w:rsid w:val="00D976B5"/>
    <w:rsid w:val="00D976D5"/>
    <w:rsid w:val="00D97711"/>
    <w:rsid w:val="00D97793"/>
    <w:rsid w:val="00D977CD"/>
    <w:rsid w:val="00D97872"/>
    <w:rsid w:val="00D978DB"/>
    <w:rsid w:val="00D97908"/>
    <w:rsid w:val="00D97947"/>
    <w:rsid w:val="00D97969"/>
    <w:rsid w:val="00D97982"/>
    <w:rsid w:val="00D97987"/>
    <w:rsid w:val="00D979AC"/>
    <w:rsid w:val="00D97A29"/>
    <w:rsid w:val="00D97A71"/>
    <w:rsid w:val="00D97A99"/>
    <w:rsid w:val="00D97AE5"/>
    <w:rsid w:val="00D97B04"/>
    <w:rsid w:val="00D97B46"/>
    <w:rsid w:val="00D97B4D"/>
    <w:rsid w:val="00D97B72"/>
    <w:rsid w:val="00D97BBC"/>
    <w:rsid w:val="00D97BDE"/>
    <w:rsid w:val="00D97C65"/>
    <w:rsid w:val="00D97C69"/>
    <w:rsid w:val="00D97C9E"/>
    <w:rsid w:val="00D97CD1"/>
    <w:rsid w:val="00D97D17"/>
    <w:rsid w:val="00D97D79"/>
    <w:rsid w:val="00D97E79"/>
    <w:rsid w:val="00D97F1C"/>
    <w:rsid w:val="00D97F92"/>
    <w:rsid w:val="00DA0014"/>
    <w:rsid w:val="00DA00D7"/>
    <w:rsid w:val="00DA0129"/>
    <w:rsid w:val="00DA0188"/>
    <w:rsid w:val="00DA01A2"/>
    <w:rsid w:val="00DA01AE"/>
    <w:rsid w:val="00DA01D6"/>
    <w:rsid w:val="00DA01EC"/>
    <w:rsid w:val="00DA0267"/>
    <w:rsid w:val="00DA02CB"/>
    <w:rsid w:val="00DA02E6"/>
    <w:rsid w:val="00DA03EA"/>
    <w:rsid w:val="00DA045B"/>
    <w:rsid w:val="00DA045D"/>
    <w:rsid w:val="00DA0465"/>
    <w:rsid w:val="00DA0467"/>
    <w:rsid w:val="00DA04BC"/>
    <w:rsid w:val="00DA04C6"/>
    <w:rsid w:val="00DA04C9"/>
    <w:rsid w:val="00DA04D6"/>
    <w:rsid w:val="00DA04E4"/>
    <w:rsid w:val="00DA0504"/>
    <w:rsid w:val="00DA0525"/>
    <w:rsid w:val="00DA05D6"/>
    <w:rsid w:val="00DA05EA"/>
    <w:rsid w:val="00DA05FC"/>
    <w:rsid w:val="00DA061E"/>
    <w:rsid w:val="00DA0679"/>
    <w:rsid w:val="00DA0733"/>
    <w:rsid w:val="00DA0752"/>
    <w:rsid w:val="00DA079E"/>
    <w:rsid w:val="00DA07A0"/>
    <w:rsid w:val="00DA07C5"/>
    <w:rsid w:val="00DA0844"/>
    <w:rsid w:val="00DA087B"/>
    <w:rsid w:val="00DA088B"/>
    <w:rsid w:val="00DA08EA"/>
    <w:rsid w:val="00DA0914"/>
    <w:rsid w:val="00DA0923"/>
    <w:rsid w:val="00DA0953"/>
    <w:rsid w:val="00DA0959"/>
    <w:rsid w:val="00DA09F7"/>
    <w:rsid w:val="00DA0AA8"/>
    <w:rsid w:val="00DA0ADD"/>
    <w:rsid w:val="00DA0AFF"/>
    <w:rsid w:val="00DA0B38"/>
    <w:rsid w:val="00DA0C98"/>
    <w:rsid w:val="00DA0CCA"/>
    <w:rsid w:val="00DA0CD3"/>
    <w:rsid w:val="00DA0D31"/>
    <w:rsid w:val="00DA0E93"/>
    <w:rsid w:val="00DA0EA7"/>
    <w:rsid w:val="00DA0FD3"/>
    <w:rsid w:val="00DA1004"/>
    <w:rsid w:val="00DA102A"/>
    <w:rsid w:val="00DA102C"/>
    <w:rsid w:val="00DA118D"/>
    <w:rsid w:val="00DA1190"/>
    <w:rsid w:val="00DA11B0"/>
    <w:rsid w:val="00DA1210"/>
    <w:rsid w:val="00DA12CE"/>
    <w:rsid w:val="00DA139A"/>
    <w:rsid w:val="00DA13C1"/>
    <w:rsid w:val="00DA13C8"/>
    <w:rsid w:val="00DA141B"/>
    <w:rsid w:val="00DA1425"/>
    <w:rsid w:val="00DA1441"/>
    <w:rsid w:val="00DA1595"/>
    <w:rsid w:val="00DA15C9"/>
    <w:rsid w:val="00DA15CF"/>
    <w:rsid w:val="00DA1605"/>
    <w:rsid w:val="00DA1663"/>
    <w:rsid w:val="00DA167C"/>
    <w:rsid w:val="00DA1699"/>
    <w:rsid w:val="00DA16D2"/>
    <w:rsid w:val="00DA16FB"/>
    <w:rsid w:val="00DA1748"/>
    <w:rsid w:val="00DA1752"/>
    <w:rsid w:val="00DA17EE"/>
    <w:rsid w:val="00DA180C"/>
    <w:rsid w:val="00DA1835"/>
    <w:rsid w:val="00DA183E"/>
    <w:rsid w:val="00DA1848"/>
    <w:rsid w:val="00DA1858"/>
    <w:rsid w:val="00DA185C"/>
    <w:rsid w:val="00DA1877"/>
    <w:rsid w:val="00DA18A6"/>
    <w:rsid w:val="00DA1A07"/>
    <w:rsid w:val="00DA1A18"/>
    <w:rsid w:val="00DA1A61"/>
    <w:rsid w:val="00DA1A67"/>
    <w:rsid w:val="00DA1A85"/>
    <w:rsid w:val="00DA1AA9"/>
    <w:rsid w:val="00DA1B42"/>
    <w:rsid w:val="00DA1B8E"/>
    <w:rsid w:val="00DA1BEE"/>
    <w:rsid w:val="00DA1C0E"/>
    <w:rsid w:val="00DA1CB2"/>
    <w:rsid w:val="00DA1CBB"/>
    <w:rsid w:val="00DA1CEA"/>
    <w:rsid w:val="00DA1D2B"/>
    <w:rsid w:val="00DA1DC0"/>
    <w:rsid w:val="00DA1DC8"/>
    <w:rsid w:val="00DA1DCE"/>
    <w:rsid w:val="00DA1DF8"/>
    <w:rsid w:val="00DA1E12"/>
    <w:rsid w:val="00DA1E33"/>
    <w:rsid w:val="00DA1E92"/>
    <w:rsid w:val="00DA1EE7"/>
    <w:rsid w:val="00DA1F08"/>
    <w:rsid w:val="00DA1F55"/>
    <w:rsid w:val="00DA1FAD"/>
    <w:rsid w:val="00DA1FC3"/>
    <w:rsid w:val="00DA2056"/>
    <w:rsid w:val="00DA2078"/>
    <w:rsid w:val="00DA2195"/>
    <w:rsid w:val="00DA2245"/>
    <w:rsid w:val="00DA22EA"/>
    <w:rsid w:val="00DA2355"/>
    <w:rsid w:val="00DA2363"/>
    <w:rsid w:val="00DA236F"/>
    <w:rsid w:val="00DA2396"/>
    <w:rsid w:val="00DA240A"/>
    <w:rsid w:val="00DA240F"/>
    <w:rsid w:val="00DA24F3"/>
    <w:rsid w:val="00DA2545"/>
    <w:rsid w:val="00DA254B"/>
    <w:rsid w:val="00DA2566"/>
    <w:rsid w:val="00DA25B3"/>
    <w:rsid w:val="00DA261D"/>
    <w:rsid w:val="00DA262C"/>
    <w:rsid w:val="00DA2635"/>
    <w:rsid w:val="00DA2666"/>
    <w:rsid w:val="00DA2700"/>
    <w:rsid w:val="00DA2803"/>
    <w:rsid w:val="00DA281A"/>
    <w:rsid w:val="00DA2822"/>
    <w:rsid w:val="00DA2878"/>
    <w:rsid w:val="00DA287E"/>
    <w:rsid w:val="00DA2900"/>
    <w:rsid w:val="00DA292E"/>
    <w:rsid w:val="00DA2961"/>
    <w:rsid w:val="00DA2970"/>
    <w:rsid w:val="00DA29B6"/>
    <w:rsid w:val="00DA2A4A"/>
    <w:rsid w:val="00DA2A7F"/>
    <w:rsid w:val="00DA2B17"/>
    <w:rsid w:val="00DA2B31"/>
    <w:rsid w:val="00DA2B79"/>
    <w:rsid w:val="00DA2B95"/>
    <w:rsid w:val="00DA2BBA"/>
    <w:rsid w:val="00DA2BD8"/>
    <w:rsid w:val="00DA2C39"/>
    <w:rsid w:val="00DA2CF4"/>
    <w:rsid w:val="00DA2D00"/>
    <w:rsid w:val="00DA2D22"/>
    <w:rsid w:val="00DA2D53"/>
    <w:rsid w:val="00DA2D63"/>
    <w:rsid w:val="00DA2D70"/>
    <w:rsid w:val="00DA2DF2"/>
    <w:rsid w:val="00DA2E03"/>
    <w:rsid w:val="00DA2E81"/>
    <w:rsid w:val="00DA2EAA"/>
    <w:rsid w:val="00DA2EC3"/>
    <w:rsid w:val="00DA2ECE"/>
    <w:rsid w:val="00DA2F0A"/>
    <w:rsid w:val="00DA2F4C"/>
    <w:rsid w:val="00DA2F76"/>
    <w:rsid w:val="00DA2FAE"/>
    <w:rsid w:val="00DA2FB5"/>
    <w:rsid w:val="00DA3007"/>
    <w:rsid w:val="00DA302A"/>
    <w:rsid w:val="00DA3085"/>
    <w:rsid w:val="00DA30C8"/>
    <w:rsid w:val="00DA3100"/>
    <w:rsid w:val="00DA3151"/>
    <w:rsid w:val="00DA3164"/>
    <w:rsid w:val="00DA3169"/>
    <w:rsid w:val="00DA3175"/>
    <w:rsid w:val="00DA31B7"/>
    <w:rsid w:val="00DA31C5"/>
    <w:rsid w:val="00DA31E3"/>
    <w:rsid w:val="00DA322C"/>
    <w:rsid w:val="00DA3296"/>
    <w:rsid w:val="00DA32A7"/>
    <w:rsid w:val="00DA331D"/>
    <w:rsid w:val="00DA3325"/>
    <w:rsid w:val="00DA3339"/>
    <w:rsid w:val="00DA333B"/>
    <w:rsid w:val="00DA3340"/>
    <w:rsid w:val="00DA3357"/>
    <w:rsid w:val="00DA346D"/>
    <w:rsid w:val="00DA34EF"/>
    <w:rsid w:val="00DA35C4"/>
    <w:rsid w:val="00DA366D"/>
    <w:rsid w:val="00DA366F"/>
    <w:rsid w:val="00DA3683"/>
    <w:rsid w:val="00DA368C"/>
    <w:rsid w:val="00DA36DF"/>
    <w:rsid w:val="00DA36E6"/>
    <w:rsid w:val="00DA370C"/>
    <w:rsid w:val="00DA3722"/>
    <w:rsid w:val="00DA3758"/>
    <w:rsid w:val="00DA375F"/>
    <w:rsid w:val="00DA378B"/>
    <w:rsid w:val="00DA3835"/>
    <w:rsid w:val="00DA388D"/>
    <w:rsid w:val="00DA3908"/>
    <w:rsid w:val="00DA3920"/>
    <w:rsid w:val="00DA393E"/>
    <w:rsid w:val="00DA399E"/>
    <w:rsid w:val="00DA39D1"/>
    <w:rsid w:val="00DA39D7"/>
    <w:rsid w:val="00DA3A1D"/>
    <w:rsid w:val="00DA3A25"/>
    <w:rsid w:val="00DA3A44"/>
    <w:rsid w:val="00DA3A49"/>
    <w:rsid w:val="00DA3AD3"/>
    <w:rsid w:val="00DA3AE2"/>
    <w:rsid w:val="00DA3B1B"/>
    <w:rsid w:val="00DA3B5F"/>
    <w:rsid w:val="00DA3BBD"/>
    <w:rsid w:val="00DA3BEB"/>
    <w:rsid w:val="00DA3C45"/>
    <w:rsid w:val="00DA3C50"/>
    <w:rsid w:val="00DA3C8A"/>
    <w:rsid w:val="00DA3C90"/>
    <w:rsid w:val="00DA3CAA"/>
    <w:rsid w:val="00DA3CD8"/>
    <w:rsid w:val="00DA3CF1"/>
    <w:rsid w:val="00DA3CFC"/>
    <w:rsid w:val="00DA3D3B"/>
    <w:rsid w:val="00DA3DEC"/>
    <w:rsid w:val="00DA3E35"/>
    <w:rsid w:val="00DA3E38"/>
    <w:rsid w:val="00DA3EA5"/>
    <w:rsid w:val="00DA3F65"/>
    <w:rsid w:val="00DA4056"/>
    <w:rsid w:val="00DA40B4"/>
    <w:rsid w:val="00DA40DC"/>
    <w:rsid w:val="00DA4107"/>
    <w:rsid w:val="00DA4120"/>
    <w:rsid w:val="00DA415E"/>
    <w:rsid w:val="00DA4197"/>
    <w:rsid w:val="00DA41C1"/>
    <w:rsid w:val="00DA41D1"/>
    <w:rsid w:val="00DA41F7"/>
    <w:rsid w:val="00DA428C"/>
    <w:rsid w:val="00DA428E"/>
    <w:rsid w:val="00DA429D"/>
    <w:rsid w:val="00DA42B3"/>
    <w:rsid w:val="00DA42C4"/>
    <w:rsid w:val="00DA433B"/>
    <w:rsid w:val="00DA442D"/>
    <w:rsid w:val="00DA4455"/>
    <w:rsid w:val="00DA44D9"/>
    <w:rsid w:val="00DA452E"/>
    <w:rsid w:val="00DA4602"/>
    <w:rsid w:val="00DA462A"/>
    <w:rsid w:val="00DA46AB"/>
    <w:rsid w:val="00DA475B"/>
    <w:rsid w:val="00DA477C"/>
    <w:rsid w:val="00DA47FC"/>
    <w:rsid w:val="00DA4806"/>
    <w:rsid w:val="00DA481D"/>
    <w:rsid w:val="00DA4877"/>
    <w:rsid w:val="00DA4903"/>
    <w:rsid w:val="00DA4927"/>
    <w:rsid w:val="00DA4928"/>
    <w:rsid w:val="00DA4980"/>
    <w:rsid w:val="00DA49FA"/>
    <w:rsid w:val="00DA4AB0"/>
    <w:rsid w:val="00DA4AD6"/>
    <w:rsid w:val="00DA4AEA"/>
    <w:rsid w:val="00DA4B14"/>
    <w:rsid w:val="00DA4BD9"/>
    <w:rsid w:val="00DA4BDC"/>
    <w:rsid w:val="00DA4C99"/>
    <w:rsid w:val="00DA4CB6"/>
    <w:rsid w:val="00DA4CC5"/>
    <w:rsid w:val="00DA4D55"/>
    <w:rsid w:val="00DA4D8F"/>
    <w:rsid w:val="00DA4DC1"/>
    <w:rsid w:val="00DA4DDA"/>
    <w:rsid w:val="00DA4E19"/>
    <w:rsid w:val="00DA4E6B"/>
    <w:rsid w:val="00DA4EB9"/>
    <w:rsid w:val="00DA4EF8"/>
    <w:rsid w:val="00DA4FDC"/>
    <w:rsid w:val="00DA502E"/>
    <w:rsid w:val="00DA506B"/>
    <w:rsid w:val="00DA506F"/>
    <w:rsid w:val="00DA5081"/>
    <w:rsid w:val="00DA5087"/>
    <w:rsid w:val="00DA512A"/>
    <w:rsid w:val="00DA5132"/>
    <w:rsid w:val="00DA5173"/>
    <w:rsid w:val="00DA520A"/>
    <w:rsid w:val="00DA5259"/>
    <w:rsid w:val="00DA5285"/>
    <w:rsid w:val="00DA530E"/>
    <w:rsid w:val="00DA538C"/>
    <w:rsid w:val="00DA539B"/>
    <w:rsid w:val="00DA53C9"/>
    <w:rsid w:val="00DA53D6"/>
    <w:rsid w:val="00DA53E1"/>
    <w:rsid w:val="00DA5432"/>
    <w:rsid w:val="00DA5487"/>
    <w:rsid w:val="00DA54B4"/>
    <w:rsid w:val="00DA54BC"/>
    <w:rsid w:val="00DA553B"/>
    <w:rsid w:val="00DA55C7"/>
    <w:rsid w:val="00DA55F2"/>
    <w:rsid w:val="00DA5620"/>
    <w:rsid w:val="00DA5621"/>
    <w:rsid w:val="00DA565E"/>
    <w:rsid w:val="00DA577F"/>
    <w:rsid w:val="00DA5829"/>
    <w:rsid w:val="00DA5837"/>
    <w:rsid w:val="00DA5840"/>
    <w:rsid w:val="00DA5856"/>
    <w:rsid w:val="00DA586F"/>
    <w:rsid w:val="00DA587E"/>
    <w:rsid w:val="00DA5886"/>
    <w:rsid w:val="00DA5892"/>
    <w:rsid w:val="00DA5893"/>
    <w:rsid w:val="00DA58BF"/>
    <w:rsid w:val="00DA5911"/>
    <w:rsid w:val="00DA595C"/>
    <w:rsid w:val="00DA5965"/>
    <w:rsid w:val="00DA5975"/>
    <w:rsid w:val="00DA5991"/>
    <w:rsid w:val="00DA59B9"/>
    <w:rsid w:val="00DA5B2E"/>
    <w:rsid w:val="00DA5B96"/>
    <w:rsid w:val="00DA5C02"/>
    <w:rsid w:val="00DA5C84"/>
    <w:rsid w:val="00DA5CCE"/>
    <w:rsid w:val="00DA5D30"/>
    <w:rsid w:val="00DA5D47"/>
    <w:rsid w:val="00DA5D69"/>
    <w:rsid w:val="00DA5D6C"/>
    <w:rsid w:val="00DA5D70"/>
    <w:rsid w:val="00DA5E34"/>
    <w:rsid w:val="00DA5E40"/>
    <w:rsid w:val="00DA5E86"/>
    <w:rsid w:val="00DA5F38"/>
    <w:rsid w:val="00DA5F6F"/>
    <w:rsid w:val="00DA5F89"/>
    <w:rsid w:val="00DA5FF6"/>
    <w:rsid w:val="00DA6004"/>
    <w:rsid w:val="00DA601D"/>
    <w:rsid w:val="00DA60FA"/>
    <w:rsid w:val="00DA6115"/>
    <w:rsid w:val="00DA6126"/>
    <w:rsid w:val="00DA6146"/>
    <w:rsid w:val="00DA61A2"/>
    <w:rsid w:val="00DA623E"/>
    <w:rsid w:val="00DA6258"/>
    <w:rsid w:val="00DA629C"/>
    <w:rsid w:val="00DA62C5"/>
    <w:rsid w:val="00DA62C6"/>
    <w:rsid w:val="00DA62F0"/>
    <w:rsid w:val="00DA6311"/>
    <w:rsid w:val="00DA6317"/>
    <w:rsid w:val="00DA632C"/>
    <w:rsid w:val="00DA636E"/>
    <w:rsid w:val="00DA644F"/>
    <w:rsid w:val="00DA654E"/>
    <w:rsid w:val="00DA6577"/>
    <w:rsid w:val="00DA6593"/>
    <w:rsid w:val="00DA65E3"/>
    <w:rsid w:val="00DA6645"/>
    <w:rsid w:val="00DA6688"/>
    <w:rsid w:val="00DA669D"/>
    <w:rsid w:val="00DA66B2"/>
    <w:rsid w:val="00DA66D5"/>
    <w:rsid w:val="00DA678F"/>
    <w:rsid w:val="00DA68B3"/>
    <w:rsid w:val="00DA68C1"/>
    <w:rsid w:val="00DA694C"/>
    <w:rsid w:val="00DA69F1"/>
    <w:rsid w:val="00DA6B74"/>
    <w:rsid w:val="00DA6BA5"/>
    <w:rsid w:val="00DA6C89"/>
    <w:rsid w:val="00DA6CBA"/>
    <w:rsid w:val="00DA6D34"/>
    <w:rsid w:val="00DA6D44"/>
    <w:rsid w:val="00DA6D79"/>
    <w:rsid w:val="00DA6D9E"/>
    <w:rsid w:val="00DA6DBF"/>
    <w:rsid w:val="00DA6E56"/>
    <w:rsid w:val="00DA6FA5"/>
    <w:rsid w:val="00DA6FA9"/>
    <w:rsid w:val="00DA6FE6"/>
    <w:rsid w:val="00DA7002"/>
    <w:rsid w:val="00DA700D"/>
    <w:rsid w:val="00DA7015"/>
    <w:rsid w:val="00DA7031"/>
    <w:rsid w:val="00DA70D2"/>
    <w:rsid w:val="00DA718F"/>
    <w:rsid w:val="00DA7213"/>
    <w:rsid w:val="00DA7221"/>
    <w:rsid w:val="00DA7249"/>
    <w:rsid w:val="00DA725E"/>
    <w:rsid w:val="00DA72B6"/>
    <w:rsid w:val="00DA7344"/>
    <w:rsid w:val="00DA738E"/>
    <w:rsid w:val="00DA73D8"/>
    <w:rsid w:val="00DA7434"/>
    <w:rsid w:val="00DA7447"/>
    <w:rsid w:val="00DA74FE"/>
    <w:rsid w:val="00DA7505"/>
    <w:rsid w:val="00DA7507"/>
    <w:rsid w:val="00DA7537"/>
    <w:rsid w:val="00DA7609"/>
    <w:rsid w:val="00DA762B"/>
    <w:rsid w:val="00DA762D"/>
    <w:rsid w:val="00DA7636"/>
    <w:rsid w:val="00DA764C"/>
    <w:rsid w:val="00DA771F"/>
    <w:rsid w:val="00DA774B"/>
    <w:rsid w:val="00DA77BE"/>
    <w:rsid w:val="00DA77FF"/>
    <w:rsid w:val="00DA7801"/>
    <w:rsid w:val="00DA780A"/>
    <w:rsid w:val="00DA7820"/>
    <w:rsid w:val="00DA7898"/>
    <w:rsid w:val="00DA78A6"/>
    <w:rsid w:val="00DA78B2"/>
    <w:rsid w:val="00DA78E0"/>
    <w:rsid w:val="00DA7957"/>
    <w:rsid w:val="00DA79A2"/>
    <w:rsid w:val="00DA79CB"/>
    <w:rsid w:val="00DA79E5"/>
    <w:rsid w:val="00DA79EC"/>
    <w:rsid w:val="00DA7A0D"/>
    <w:rsid w:val="00DA7A66"/>
    <w:rsid w:val="00DA7A72"/>
    <w:rsid w:val="00DA7A92"/>
    <w:rsid w:val="00DA7B80"/>
    <w:rsid w:val="00DA7B9F"/>
    <w:rsid w:val="00DA7BB1"/>
    <w:rsid w:val="00DA7C85"/>
    <w:rsid w:val="00DA7D18"/>
    <w:rsid w:val="00DA7D3B"/>
    <w:rsid w:val="00DA7DFD"/>
    <w:rsid w:val="00DA7E19"/>
    <w:rsid w:val="00DA7E87"/>
    <w:rsid w:val="00DA7ED8"/>
    <w:rsid w:val="00DA7EE7"/>
    <w:rsid w:val="00DA7F04"/>
    <w:rsid w:val="00DA7F9A"/>
    <w:rsid w:val="00DA7FE0"/>
    <w:rsid w:val="00DA7FEA"/>
    <w:rsid w:val="00DB00EB"/>
    <w:rsid w:val="00DB012D"/>
    <w:rsid w:val="00DB01CA"/>
    <w:rsid w:val="00DB01CE"/>
    <w:rsid w:val="00DB027A"/>
    <w:rsid w:val="00DB02F2"/>
    <w:rsid w:val="00DB0379"/>
    <w:rsid w:val="00DB03F3"/>
    <w:rsid w:val="00DB0415"/>
    <w:rsid w:val="00DB04C0"/>
    <w:rsid w:val="00DB04DF"/>
    <w:rsid w:val="00DB0567"/>
    <w:rsid w:val="00DB05C3"/>
    <w:rsid w:val="00DB05D3"/>
    <w:rsid w:val="00DB0601"/>
    <w:rsid w:val="00DB061A"/>
    <w:rsid w:val="00DB0656"/>
    <w:rsid w:val="00DB0673"/>
    <w:rsid w:val="00DB0732"/>
    <w:rsid w:val="00DB076C"/>
    <w:rsid w:val="00DB07A6"/>
    <w:rsid w:val="00DB07AE"/>
    <w:rsid w:val="00DB07B2"/>
    <w:rsid w:val="00DB07B9"/>
    <w:rsid w:val="00DB07F7"/>
    <w:rsid w:val="00DB0850"/>
    <w:rsid w:val="00DB087F"/>
    <w:rsid w:val="00DB08DA"/>
    <w:rsid w:val="00DB0967"/>
    <w:rsid w:val="00DB0984"/>
    <w:rsid w:val="00DB09B3"/>
    <w:rsid w:val="00DB0A6E"/>
    <w:rsid w:val="00DB0AD6"/>
    <w:rsid w:val="00DB0B04"/>
    <w:rsid w:val="00DB0BE2"/>
    <w:rsid w:val="00DB0C21"/>
    <w:rsid w:val="00DB0C4A"/>
    <w:rsid w:val="00DB0C6E"/>
    <w:rsid w:val="00DB0C91"/>
    <w:rsid w:val="00DB0C9D"/>
    <w:rsid w:val="00DB0CF8"/>
    <w:rsid w:val="00DB0D7D"/>
    <w:rsid w:val="00DB0D95"/>
    <w:rsid w:val="00DB0E11"/>
    <w:rsid w:val="00DB0E27"/>
    <w:rsid w:val="00DB0ED7"/>
    <w:rsid w:val="00DB0F9C"/>
    <w:rsid w:val="00DB0FDC"/>
    <w:rsid w:val="00DB1017"/>
    <w:rsid w:val="00DB1068"/>
    <w:rsid w:val="00DB1079"/>
    <w:rsid w:val="00DB10AD"/>
    <w:rsid w:val="00DB10ED"/>
    <w:rsid w:val="00DB10FA"/>
    <w:rsid w:val="00DB11AF"/>
    <w:rsid w:val="00DB11CA"/>
    <w:rsid w:val="00DB1202"/>
    <w:rsid w:val="00DB1205"/>
    <w:rsid w:val="00DB1218"/>
    <w:rsid w:val="00DB12C4"/>
    <w:rsid w:val="00DB12ED"/>
    <w:rsid w:val="00DB12F3"/>
    <w:rsid w:val="00DB12FD"/>
    <w:rsid w:val="00DB132E"/>
    <w:rsid w:val="00DB1385"/>
    <w:rsid w:val="00DB13AB"/>
    <w:rsid w:val="00DB13B6"/>
    <w:rsid w:val="00DB1471"/>
    <w:rsid w:val="00DB14A7"/>
    <w:rsid w:val="00DB14F6"/>
    <w:rsid w:val="00DB153F"/>
    <w:rsid w:val="00DB1573"/>
    <w:rsid w:val="00DB164E"/>
    <w:rsid w:val="00DB1651"/>
    <w:rsid w:val="00DB167D"/>
    <w:rsid w:val="00DB1737"/>
    <w:rsid w:val="00DB1753"/>
    <w:rsid w:val="00DB1809"/>
    <w:rsid w:val="00DB1825"/>
    <w:rsid w:val="00DB183F"/>
    <w:rsid w:val="00DB1880"/>
    <w:rsid w:val="00DB1888"/>
    <w:rsid w:val="00DB18D0"/>
    <w:rsid w:val="00DB18D5"/>
    <w:rsid w:val="00DB18D8"/>
    <w:rsid w:val="00DB1914"/>
    <w:rsid w:val="00DB1940"/>
    <w:rsid w:val="00DB1A44"/>
    <w:rsid w:val="00DB1B0D"/>
    <w:rsid w:val="00DB1B4C"/>
    <w:rsid w:val="00DB1B68"/>
    <w:rsid w:val="00DB1BFE"/>
    <w:rsid w:val="00DB1C2E"/>
    <w:rsid w:val="00DB1C54"/>
    <w:rsid w:val="00DB1C81"/>
    <w:rsid w:val="00DB1CD9"/>
    <w:rsid w:val="00DB1CE5"/>
    <w:rsid w:val="00DB1CF9"/>
    <w:rsid w:val="00DB1D8A"/>
    <w:rsid w:val="00DB1DC2"/>
    <w:rsid w:val="00DB1DEE"/>
    <w:rsid w:val="00DB1E8E"/>
    <w:rsid w:val="00DB1F5C"/>
    <w:rsid w:val="00DB1F70"/>
    <w:rsid w:val="00DB1F80"/>
    <w:rsid w:val="00DB1FD0"/>
    <w:rsid w:val="00DB2076"/>
    <w:rsid w:val="00DB210B"/>
    <w:rsid w:val="00DB21A4"/>
    <w:rsid w:val="00DB21F0"/>
    <w:rsid w:val="00DB21FD"/>
    <w:rsid w:val="00DB2214"/>
    <w:rsid w:val="00DB2216"/>
    <w:rsid w:val="00DB221A"/>
    <w:rsid w:val="00DB22A1"/>
    <w:rsid w:val="00DB22D2"/>
    <w:rsid w:val="00DB22E7"/>
    <w:rsid w:val="00DB230F"/>
    <w:rsid w:val="00DB2352"/>
    <w:rsid w:val="00DB23BA"/>
    <w:rsid w:val="00DB23FB"/>
    <w:rsid w:val="00DB240F"/>
    <w:rsid w:val="00DB2478"/>
    <w:rsid w:val="00DB247E"/>
    <w:rsid w:val="00DB248A"/>
    <w:rsid w:val="00DB2499"/>
    <w:rsid w:val="00DB24B9"/>
    <w:rsid w:val="00DB2559"/>
    <w:rsid w:val="00DB255E"/>
    <w:rsid w:val="00DB2583"/>
    <w:rsid w:val="00DB25EA"/>
    <w:rsid w:val="00DB262C"/>
    <w:rsid w:val="00DB2641"/>
    <w:rsid w:val="00DB267A"/>
    <w:rsid w:val="00DB26E2"/>
    <w:rsid w:val="00DB271C"/>
    <w:rsid w:val="00DB27CB"/>
    <w:rsid w:val="00DB28B0"/>
    <w:rsid w:val="00DB28B6"/>
    <w:rsid w:val="00DB2917"/>
    <w:rsid w:val="00DB29AC"/>
    <w:rsid w:val="00DB29D8"/>
    <w:rsid w:val="00DB29E8"/>
    <w:rsid w:val="00DB2A03"/>
    <w:rsid w:val="00DB2A6C"/>
    <w:rsid w:val="00DB2AA5"/>
    <w:rsid w:val="00DB2AAE"/>
    <w:rsid w:val="00DB2ACE"/>
    <w:rsid w:val="00DB2B5C"/>
    <w:rsid w:val="00DB2B61"/>
    <w:rsid w:val="00DB2B89"/>
    <w:rsid w:val="00DB2BC0"/>
    <w:rsid w:val="00DB2C7E"/>
    <w:rsid w:val="00DB2CBB"/>
    <w:rsid w:val="00DB2CBE"/>
    <w:rsid w:val="00DB2D6E"/>
    <w:rsid w:val="00DB2DE5"/>
    <w:rsid w:val="00DB2E74"/>
    <w:rsid w:val="00DB2E7D"/>
    <w:rsid w:val="00DB2E82"/>
    <w:rsid w:val="00DB2E85"/>
    <w:rsid w:val="00DB2EFC"/>
    <w:rsid w:val="00DB2F66"/>
    <w:rsid w:val="00DB2F6F"/>
    <w:rsid w:val="00DB2FBF"/>
    <w:rsid w:val="00DB3077"/>
    <w:rsid w:val="00DB3091"/>
    <w:rsid w:val="00DB30A6"/>
    <w:rsid w:val="00DB30FD"/>
    <w:rsid w:val="00DB3102"/>
    <w:rsid w:val="00DB315A"/>
    <w:rsid w:val="00DB3167"/>
    <w:rsid w:val="00DB3190"/>
    <w:rsid w:val="00DB31BE"/>
    <w:rsid w:val="00DB3248"/>
    <w:rsid w:val="00DB3269"/>
    <w:rsid w:val="00DB32BE"/>
    <w:rsid w:val="00DB32F8"/>
    <w:rsid w:val="00DB332A"/>
    <w:rsid w:val="00DB3331"/>
    <w:rsid w:val="00DB33C3"/>
    <w:rsid w:val="00DB33DB"/>
    <w:rsid w:val="00DB33FC"/>
    <w:rsid w:val="00DB3449"/>
    <w:rsid w:val="00DB3493"/>
    <w:rsid w:val="00DB3530"/>
    <w:rsid w:val="00DB3571"/>
    <w:rsid w:val="00DB357B"/>
    <w:rsid w:val="00DB35B8"/>
    <w:rsid w:val="00DB368C"/>
    <w:rsid w:val="00DB36C3"/>
    <w:rsid w:val="00DB37C2"/>
    <w:rsid w:val="00DB381C"/>
    <w:rsid w:val="00DB384D"/>
    <w:rsid w:val="00DB387F"/>
    <w:rsid w:val="00DB38E8"/>
    <w:rsid w:val="00DB38FC"/>
    <w:rsid w:val="00DB3A58"/>
    <w:rsid w:val="00DB3AC8"/>
    <w:rsid w:val="00DB3ACF"/>
    <w:rsid w:val="00DB3B4E"/>
    <w:rsid w:val="00DB3B7D"/>
    <w:rsid w:val="00DB3BAA"/>
    <w:rsid w:val="00DB3BB7"/>
    <w:rsid w:val="00DB3BEC"/>
    <w:rsid w:val="00DB3C00"/>
    <w:rsid w:val="00DB3C4B"/>
    <w:rsid w:val="00DB3C61"/>
    <w:rsid w:val="00DB3C6C"/>
    <w:rsid w:val="00DB3CBA"/>
    <w:rsid w:val="00DB3CC6"/>
    <w:rsid w:val="00DB3CCB"/>
    <w:rsid w:val="00DB3CE0"/>
    <w:rsid w:val="00DB3CF8"/>
    <w:rsid w:val="00DB3D79"/>
    <w:rsid w:val="00DB3D82"/>
    <w:rsid w:val="00DB3DAF"/>
    <w:rsid w:val="00DB3DEB"/>
    <w:rsid w:val="00DB3DFC"/>
    <w:rsid w:val="00DB3E01"/>
    <w:rsid w:val="00DB3E6E"/>
    <w:rsid w:val="00DB3E89"/>
    <w:rsid w:val="00DB3EB6"/>
    <w:rsid w:val="00DB3ED3"/>
    <w:rsid w:val="00DB3F28"/>
    <w:rsid w:val="00DB3F67"/>
    <w:rsid w:val="00DB3FEB"/>
    <w:rsid w:val="00DB40D9"/>
    <w:rsid w:val="00DB40DD"/>
    <w:rsid w:val="00DB40F1"/>
    <w:rsid w:val="00DB412C"/>
    <w:rsid w:val="00DB412D"/>
    <w:rsid w:val="00DB4136"/>
    <w:rsid w:val="00DB4194"/>
    <w:rsid w:val="00DB41DF"/>
    <w:rsid w:val="00DB4211"/>
    <w:rsid w:val="00DB423C"/>
    <w:rsid w:val="00DB4338"/>
    <w:rsid w:val="00DB436F"/>
    <w:rsid w:val="00DB4399"/>
    <w:rsid w:val="00DB43CA"/>
    <w:rsid w:val="00DB43E6"/>
    <w:rsid w:val="00DB43EE"/>
    <w:rsid w:val="00DB4406"/>
    <w:rsid w:val="00DB4457"/>
    <w:rsid w:val="00DB4485"/>
    <w:rsid w:val="00DB44E1"/>
    <w:rsid w:val="00DB4538"/>
    <w:rsid w:val="00DB461D"/>
    <w:rsid w:val="00DB463F"/>
    <w:rsid w:val="00DB467F"/>
    <w:rsid w:val="00DB46A8"/>
    <w:rsid w:val="00DB4703"/>
    <w:rsid w:val="00DB480A"/>
    <w:rsid w:val="00DB483D"/>
    <w:rsid w:val="00DB485F"/>
    <w:rsid w:val="00DB4870"/>
    <w:rsid w:val="00DB4885"/>
    <w:rsid w:val="00DB48A3"/>
    <w:rsid w:val="00DB48B5"/>
    <w:rsid w:val="00DB48D6"/>
    <w:rsid w:val="00DB493A"/>
    <w:rsid w:val="00DB4955"/>
    <w:rsid w:val="00DB49BC"/>
    <w:rsid w:val="00DB4A6E"/>
    <w:rsid w:val="00DB4AA1"/>
    <w:rsid w:val="00DB4B49"/>
    <w:rsid w:val="00DB4C22"/>
    <w:rsid w:val="00DB4CFF"/>
    <w:rsid w:val="00DB4EED"/>
    <w:rsid w:val="00DB4F34"/>
    <w:rsid w:val="00DB4F4A"/>
    <w:rsid w:val="00DB4F50"/>
    <w:rsid w:val="00DB4F53"/>
    <w:rsid w:val="00DB4FBC"/>
    <w:rsid w:val="00DB4FCA"/>
    <w:rsid w:val="00DB4FD3"/>
    <w:rsid w:val="00DB5068"/>
    <w:rsid w:val="00DB509C"/>
    <w:rsid w:val="00DB50C1"/>
    <w:rsid w:val="00DB50C7"/>
    <w:rsid w:val="00DB50CD"/>
    <w:rsid w:val="00DB515B"/>
    <w:rsid w:val="00DB5192"/>
    <w:rsid w:val="00DB51F2"/>
    <w:rsid w:val="00DB51F7"/>
    <w:rsid w:val="00DB5211"/>
    <w:rsid w:val="00DB527E"/>
    <w:rsid w:val="00DB52C9"/>
    <w:rsid w:val="00DB52DF"/>
    <w:rsid w:val="00DB52F7"/>
    <w:rsid w:val="00DB534E"/>
    <w:rsid w:val="00DB5356"/>
    <w:rsid w:val="00DB53AF"/>
    <w:rsid w:val="00DB5473"/>
    <w:rsid w:val="00DB5478"/>
    <w:rsid w:val="00DB5479"/>
    <w:rsid w:val="00DB54B4"/>
    <w:rsid w:val="00DB5501"/>
    <w:rsid w:val="00DB5502"/>
    <w:rsid w:val="00DB5518"/>
    <w:rsid w:val="00DB5531"/>
    <w:rsid w:val="00DB5535"/>
    <w:rsid w:val="00DB5670"/>
    <w:rsid w:val="00DB5673"/>
    <w:rsid w:val="00DB56E4"/>
    <w:rsid w:val="00DB5718"/>
    <w:rsid w:val="00DB574C"/>
    <w:rsid w:val="00DB57AA"/>
    <w:rsid w:val="00DB57AF"/>
    <w:rsid w:val="00DB57B6"/>
    <w:rsid w:val="00DB582A"/>
    <w:rsid w:val="00DB5873"/>
    <w:rsid w:val="00DB5883"/>
    <w:rsid w:val="00DB589B"/>
    <w:rsid w:val="00DB59C4"/>
    <w:rsid w:val="00DB5AA4"/>
    <w:rsid w:val="00DB5AAC"/>
    <w:rsid w:val="00DB5AFB"/>
    <w:rsid w:val="00DB5B09"/>
    <w:rsid w:val="00DB5B0F"/>
    <w:rsid w:val="00DB5B13"/>
    <w:rsid w:val="00DB5B19"/>
    <w:rsid w:val="00DB5B48"/>
    <w:rsid w:val="00DB5B65"/>
    <w:rsid w:val="00DB5B72"/>
    <w:rsid w:val="00DB5BB8"/>
    <w:rsid w:val="00DB5BC8"/>
    <w:rsid w:val="00DB5C41"/>
    <w:rsid w:val="00DB5CB2"/>
    <w:rsid w:val="00DB5D31"/>
    <w:rsid w:val="00DB5D45"/>
    <w:rsid w:val="00DB5D52"/>
    <w:rsid w:val="00DB5DC8"/>
    <w:rsid w:val="00DB5E02"/>
    <w:rsid w:val="00DB5E94"/>
    <w:rsid w:val="00DB5EED"/>
    <w:rsid w:val="00DB5F4D"/>
    <w:rsid w:val="00DB610C"/>
    <w:rsid w:val="00DB61A5"/>
    <w:rsid w:val="00DB61F3"/>
    <w:rsid w:val="00DB6222"/>
    <w:rsid w:val="00DB6282"/>
    <w:rsid w:val="00DB628C"/>
    <w:rsid w:val="00DB62D9"/>
    <w:rsid w:val="00DB62E7"/>
    <w:rsid w:val="00DB6403"/>
    <w:rsid w:val="00DB6428"/>
    <w:rsid w:val="00DB6443"/>
    <w:rsid w:val="00DB6450"/>
    <w:rsid w:val="00DB6469"/>
    <w:rsid w:val="00DB6481"/>
    <w:rsid w:val="00DB6514"/>
    <w:rsid w:val="00DB6517"/>
    <w:rsid w:val="00DB659B"/>
    <w:rsid w:val="00DB65AD"/>
    <w:rsid w:val="00DB65F7"/>
    <w:rsid w:val="00DB661E"/>
    <w:rsid w:val="00DB6661"/>
    <w:rsid w:val="00DB6671"/>
    <w:rsid w:val="00DB66A8"/>
    <w:rsid w:val="00DB66CA"/>
    <w:rsid w:val="00DB679B"/>
    <w:rsid w:val="00DB68A9"/>
    <w:rsid w:val="00DB68D5"/>
    <w:rsid w:val="00DB6947"/>
    <w:rsid w:val="00DB69F6"/>
    <w:rsid w:val="00DB6A80"/>
    <w:rsid w:val="00DB6AA4"/>
    <w:rsid w:val="00DB6ADF"/>
    <w:rsid w:val="00DB6B01"/>
    <w:rsid w:val="00DB6B16"/>
    <w:rsid w:val="00DB6B24"/>
    <w:rsid w:val="00DB6B93"/>
    <w:rsid w:val="00DB6BB3"/>
    <w:rsid w:val="00DB6BC4"/>
    <w:rsid w:val="00DB6C0C"/>
    <w:rsid w:val="00DB6C37"/>
    <w:rsid w:val="00DB6C54"/>
    <w:rsid w:val="00DB6D21"/>
    <w:rsid w:val="00DB6D35"/>
    <w:rsid w:val="00DB6D54"/>
    <w:rsid w:val="00DB6D81"/>
    <w:rsid w:val="00DB6DC8"/>
    <w:rsid w:val="00DB6DD3"/>
    <w:rsid w:val="00DB6DFE"/>
    <w:rsid w:val="00DB6E17"/>
    <w:rsid w:val="00DB6E39"/>
    <w:rsid w:val="00DB6E4E"/>
    <w:rsid w:val="00DB6E60"/>
    <w:rsid w:val="00DB6E6C"/>
    <w:rsid w:val="00DB6E7D"/>
    <w:rsid w:val="00DB6F0B"/>
    <w:rsid w:val="00DB6F13"/>
    <w:rsid w:val="00DB6F3E"/>
    <w:rsid w:val="00DB6F7F"/>
    <w:rsid w:val="00DB6FD3"/>
    <w:rsid w:val="00DB7011"/>
    <w:rsid w:val="00DB701F"/>
    <w:rsid w:val="00DB702C"/>
    <w:rsid w:val="00DB70DD"/>
    <w:rsid w:val="00DB712A"/>
    <w:rsid w:val="00DB71A6"/>
    <w:rsid w:val="00DB722B"/>
    <w:rsid w:val="00DB723A"/>
    <w:rsid w:val="00DB724E"/>
    <w:rsid w:val="00DB725B"/>
    <w:rsid w:val="00DB72FC"/>
    <w:rsid w:val="00DB7358"/>
    <w:rsid w:val="00DB7397"/>
    <w:rsid w:val="00DB73D6"/>
    <w:rsid w:val="00DB7472"/>
    <w:rsid w:val="00DB751C"/>
    <w:rsid w:val="00DB756C"/>
    <w:rsid w:val="00DB7587"/>
    <w:rsid w:val="00DB75A1"/>
    <w:rsid w:val="00DB7752"/>
    <w:rsid w:val="00DB7777"/>
    <w:rsid w:val="00DB7801"/>
    <w:rsid w:val="00DB7809"/>
    <w:rsid w:val="00DB7856"/>
    <w:rsid w:val="00DB787C"/>
    <w:rsid w:val="00DB7932"/>
    <w:rsid w:val="00DB793C"/>
    <w:rsid w:val="00DB7A05"/>
    <w:rsid w:val="00DB7AD5"/>
    <w:rsid w:val="00DB7B45"/>
    <w:rsid w:val="00DB7BB2"/>
    <w:rsid w:val="00DB7C1C"/>
    <w:rsid w:val="00DB7C2A"/>
    <w:rsid w:val="00DB7CAE"/>
    <w:rsid w:val="00DB7CEA"/>
    <w:rsid w:val="00DB7CEE"/>
    <w:rsid w:val="00DB7D74"/>
    <w:rsid w:val="00DB7D8A"/>
    <w:rsid w:val="00DB7D98"/>
    <w:rsid w:val="00DB7E97"/>
    <w:rsid w:val="00DB7EC1"/>
    <w:rsid w:val="00DB7EC7"/>
    <w:rsid w:val="00DB7EDA"/>
    <w:rsid w:val="00DB7EF1"/>
    <w:rsid w:val="00DB7F09"/>
    <w:rsid w:val="00DB7F1B"/>
    <w:rsid w:val="00DB7F7F"/>
    <w:rsid w:val="00DB7F96"/>
    <w:rsid w:val="00DB7FE7"/>
    <w:rsid w:val="00DC0025"/>
    <w:rsid w:val="00DC0084"/>
    <w:rsid w:val="00DC00E8"/>
    <w:rsid w:val="00DC0114"/>
    <w:rsid w:val="00DC0176"/>
    <w:rsid w:val="00DC018F"/>
    <w:rsid w:val="00DC019E"/>
    <w:rsid w:val="00DC01A4"/>
    <w:rsid w:val="00DC0208"/>
    <w:rsid w:val="00DC021F"/>
    <w:rsid w:val="00DC0239"/>
    <w:rsid w:val="00DC0295"/>
    <w:rsid w:val="00DC02B5"/>
    <w:rsid w:val="00DC02D1"/>
    <w:rsid w:val="00DC02F0"/>
    <w:rsid w:val="00DC02F9"/>
    <w:rsid w:val="00DC036A"/>
    <w:rsid w:val="00DC0399"/>
    <w:rsid w:val="00DC03A8"/>
    <w:rsid w:val="00DC03D7"/>
    <w:rsid w:val="00DC03F5"/>
    <w:rsid w:val="00DC0402"/>
    <w:rsid w:val="00DC0451"/>
    <w:rsid w:val="00DC0460"/>
    <w:rsid w:val="00DC047F"/>
    <w:rsid w:val="00DC048F"/>
    <w:rsid w:val="00DC04A7"/>
    <w:rsid w:val="00DC04BE"/>
    <w:rsid w:val="00DC0550"/>
    <w:rsid w:val="00DC059D"/>
    <w:rsid w:val="00DC066C"/>
    <w:rsid w:val="00DC06CE"/>
    <w:rsid w:val="00DC0741"/>
    <w:rsid w:val="00DC075D"/>
    <w:rsid w:val="00DC0765"/>
    <w:rsid w:val="00DC079B"/>
    <w:rsid w:val="00DC07EA"/>
    <w:rsid w:val="00DC080D"/>
    <w:rsid w:val="00DC0840"/>
    <w:rsid w:val="00DC0861"/>
    <w:rsid w:val="00DC088F"/>
    <w:rsid w:val="00DC08DC"/>
    <w:rsid w:val="00DC08E1"/>
    <w:rsid w:val="00DC0912"/>
    <w:rsid w:val="00DC093A"/>
    <w:rsid w:val="00DC095E"/>
    <w:rsid w:val="00DC0964"/>
    <w:rsid w:val="00DC097F"/>
    <w:rsid w:val="00DC09CB"/>
    <w:rsid w:val="00DC0A56"/>
    <w:rsid w:val="00DC0A7A"/>
    <w:rsid w:val="00DC0A86"/>
    <w:rsid w:val="00DC0AB6"/>
    <w:rsid w:val="00DC0AEB"/>
    <w:rsid w:val="00DC0B40"/>
    <w:rsid w:val="00DC0BAA"/>
    <w:rsid w:val="00DC0BFC"/>
    <w:rsid w:val="00DC0CB4"/>
    <w:rsid w:val="00DC0CD7"/>
    <w:rsid w:val="00DC0D0D"/>
    <w:rsid w:val="00DC0D80"/>
    <w:rsid w:val="00DC0E8B"/>
    <w:rsid w:val="00DC0F9B"/>
    <w:rsid w:val="00DC0FE9"/>
    <w:rsid w:val="00DC1019"/>
    <w:rsid w:val="00DC1028"/>
    <w:rsid w:val="00DC1075"/>
    <w:rsid w:val="00DC10EE"/>
    <w:rsid w:val="00DC1146"/>
    <w:rsid w:val="00DC119C"/>
    <w:rsid w:val="00DC11AF"/>
    <w:rsid w:val="00DC128A"/>
    <w:rsid w:val="00DC12A6"/>
    <w:rsid w:val="00DC12DA"/>
    <w:rsid w:val="00DC1301"/>
    <w:rsid w:val="00DC1329"/>
    <w:rsid w:val="00DC1337"/>
    <w:rsid w:val="00DC13A3"/>
    <w:rsid w:val="00DC13B5"/>
    <w:rsid w:val="00DC13D6"/>
    <w:rsid w:val="00DC13E8"/>
    <w:rsid w:val="00DC144E"/>
    <w:rsid w:val="00DC1466"/>
    <w:rsid w:val="00DC14FB"/>
    <w:rsid w:val="00DC1641"/>
    <w:rsid w:val="00DC16A6"/>
    <w:rsid w:val="00DC16AA"/>
    <w:rsid w:val="00DC16C1"/>
    <w:rsid w:val="00DC16C3"/>
    <w:rsid w:val="00DC16CA"/>
    <w:rsid w:val="00DC1723"/>
    <w:rsid w:val="00DC1730"/>
    <w:rsid w:val="00DC18B3"/>
    <w:rsid w:val="00DC18F0"/>
    <w:rsid w:val="00DC19D2"/>
    <w:rsid w:val="00DC1A2A"/>
    <w:rsid w:val="00DC1A56"/>
    <w:rsid w:val="00DC1A78"/>
    <w:rsid w:val="00DC1AA1"/>
    <w:rsid w:val="00DC1AB2"/>
    <w:rsid w:val="00DC1AB9"/>
    <w:rsid w:val="00DC1AC5"/>
    <w:rsid w:val="00DC1BAD"/>
    <w:rsid w:val="00DC1C3A"/>
    <w:rsid w:val="00DC1C4A"/>
    <w:rsid w:val="00DC1C56"/>
    <w:rsid w:val="00DC1C7D"/>
    <w:rsid w:val="00DC1C81"/>
    <w:rsid w:val="00DC1CE1"/>
    <w:rsid w:val="00DC1CF1"/>
    <w:rsid w:val="00DC1D5C"/>
    <w:rsid w:val="00DC1DBD"/>
    <w:rsid w:val="00DC1DE1"/>
    <w:rsid w:val="00DC1FB3"/>
    <w:rsid w:val="00DC1FCA"/>
    <w:rsid w:val="00DC202B"/>
    <w:rsid w:val="00DC204D"/>
    <w:rsid w:val="00DC20B0"/>
    <w:rsid w:val="00DC20CD"/>
    <w:rsid w:val="00DC212B"/>
    <w:rsid w:val="00DC21A6"/>
    <w:rsid w:val="00DC2236"/>
    <w:rsid w:val="00DC225F"/>
    <w:rsid w:val="00DC22F2"/>
    <w:rsid w:val="00DC232E"/>
    <w:rsid w:val="00DC23A4"/>
    <w:rsid w:val="00DC23DC"/>
    <w:rsid w:val="00DC23EB"/>
    <w:rsid w:val="00DC2462"/>
    <w:rsid w:val="00DC24B3"/>
    <w:rsid w:val="00DC2542"/>
    <w:rsid w:val="00DC2563"/>
    <w:rsid w:val="00DC257A"/>
    <w:rsid w:val="00DC25CD"/>
    <w:rsid w:val="00DC26B8"/>
    <w:rsid w:val="00DC26F9"/>
    <w:rsid w:val="00DC26FD"/>
    <w:rsid w:val="00DC2705"/>
    <w:rsid w:val="00DC2748"/>
    <w:rsid w:val="00DC2759"/>
    <w:rsid w:val="00DC2784"/>
    <w:rsid w:val="00DC27CD"/>
    <w:rsid w:val="00DC2804"/>
    <w:rsid w:val="00DC280A"/>
    <w:rsid w:val="00DC2816"/>
    <w:rsid w:val="00DC2838"/>
    <w:rsid w:val="00DC289C"/>
    <w:rsid w:val="00DC28D0"/>
    <w:rsid w:val="00DC28DD"/>
    <w:rsid w:val="00DC2909"/>
    <w:rsid w:val="00DC2A48"/>
    <w:rsid w:val="00DC2A65"/>
    <w:rsid w:val="00DC2A81"/>
    <w:rsid w:val="00DC2AC7"/>
    <w:rsid w:val="00DC2ADE"/>
    <w:rsid w:val="00DC2B5B"/>
    <w:rsid w:val="00DC2B71"/>
    <w:rsid w:val="00DC2B8D"/>
    <w:rsid w:val="00DC2BAF"/>
    <w:rsid w:val="00DC2BFD"/>
    <w:rsid w:val="00DC2C11"/>
    <w:rsid w:val="00DC2C22"/>
    <w:rsid w:val="00DC2C45"/>
    <w:rsid w:val="00DC2C46"/>
    <w:rsid w:val="00DC2DAA"/>
    <w:rsid w:val="00DC2DDE"/>
    <w:rsid w:val="00DC2E47"/>
    <w:rsid w:val="00DC2F2D"/>
    <w:rsid w:val="00DC2F3C"/>
    <w:rsid w:val="00DC2F49"/>
    <w:rsid w:val="00DC2FAD"/>
    <w:rsid w:val="00DC2FF3"/>
    <w:rsid w:val="00DC2FF4"/>
    <w:rsid w:val="00DC310B"/>
    <w:rsid w:val="00DC3136"/>
    <w:rsid w:val="00DC31E2"/>
    <w:rsid w:val="00DC3261"/>
    <w:rsid w:val="00DC32AE"/>
    <w:rsid w:val="00DC3325"/>
    <w:rsid w:val="00DC3390"/>
    <w:rsid w:val="00DC33C4"/>
    <w:rsid w:val="00DC3406"/>
    <w:rsid w:val="00DC341D"/>
    <w:rsid w:val="00DC3442"/>
    <w:rsid w:val="00DC348B"/>
    <w:rsid w:val="00DC349A"/>
    <w:rsid w:val="00DC34A1"/>
    <w:rsid w:val="00DC34C4"/>
    <w:rsid w:val="00DC34C5"/>
    <w:rsid w:val="00DC34D9"/>
    <w:rsid w:val="00DC352D"/>
    <w:rsid w:val="00DC3587"/>
    <w:rsid w:val="00DC363F"/>
    <w:rsid w:val="00DC36D1"/>
    <w:rsid w:val="00DC36E0"/>
    <w:rsid w:val="00DC3779"/>
    <w:rsid w:val="00DC37AD"/>
    <w:rsid w:val="00DC3842"/>
    <w:rsid w:val="00DC3849"/>
    <w:rsid w:val="00DC3873"/>
    <w:rsid w:val="00DC3879"/>
    <w:rsid w:val="00DC38AA"/>
    <w:rsid w:val="00DC38EE"/>
    <w:rsid w:val="00DC395A"/>
    <w:rsid w:val="00DC3A54"/>
    <w:rsid w:val="00DC3A9F"/>
    <w:rsid w:val="00DC3AB7"/>
    <w:rsid w:val="00DC3B1B"/>
    <w:rsid w:val="00DC3B6E"/>
    <w:rsid w:val="00DC3BBA"/>
    <w:rsid w:val="00DC3CED"/>
    <w:rsid w:val="00DC3D5E"/>
    <w:rsid w:val="00DC3DCC"/>
    <w:rsid w:val="00DC3DDB"/>
    <w:rsid w:val="00DC3E8C"/>
    <w:rsid w:val="00DC3EC6"/>
    <w:rsid w:val="00DC3EC7"/>
    <w:rsid w:val="00DC3F0A"/>
    <w:rsid w:val="00DC3F6A"/>
    <w:rsid w:val="00DC3FA6"/>
    <w:rsid w:val="00DC3FBD"/>
    <w:rsid w:val="00DC3FCF"/>
    <w:rsid w:val="00DC400E"/>
    <w:rsid w:val="00DC404C"/>
    <w:rsid w:val="00DC4060"/>
    <w:rsid w:val="00DC4080"/>
    <w:rsid w:val="00DC4086"/>
    <w:rsid w:val="00DC4099"/>
    <w:rsid w:val="00DC40FE"/>
    <w:rsid w:val="00DC4110"/>
    <w:rsid w:val="00DC4124"/>
    <w:rsid w:val="00DC4175"/>
    <w:rsid w:val="00DC41A9"/>
    <w:rsid w:val="00DC41FA"/>
    <w:rsid w:val="00DC42FB"/>
    <w:rsid w:val="00DC431D"/>
    <w:rsid w:val="00DC434B"/>
    <w:rsid w:val="00DC438A"/>
    <w:rsid w:val="00DC4398"/>
    <w:rsid w:val="00DC43A9"/>
    <w:rsid w:val="00DC4408"/>
    <w:rsid w:val="00DC4415"/>
    <w:rsid w:val="00DC4457"/>
    <w:rsid w:val="00DC445A"/>
    <w:rsid w:val="00DC4467"/>
    <w:rsid w:val="00DC452B"/>
    <w:rsid w:val="00DC4583"/>
    <w:rsid w:val="00DC4590"/>
    <w:rsid w:val="00DC45A1"/>
    <w:rsid w:val="00DC45C0"/>
    <w:rsid w:val="00DC45C4"/>
    <w:rsid w:val="00DC4618"/>
    <w:rsid w:val="00DC4619"/>
    <w:rsid w:val="00DC4635"/>
    <w:rsid w:val="00DC463C"/>
    <w:rsid w:val="00DC46D7"/>
    <w:rsid w:val="00DC472F"/>
    <w:rsid w:val="00DC4756"/>
    <w:rsid w:val="00DC4815"/>
    <w:rsid w:val="00DC4846"/>
    <w:rsid w:val="00DC4899"/>
    <w:rsid w:val="00DC48D0"/>
    <w:rsid w:val="00DC4903"/>
    <w:rsid w:val="00DC4910"/>
    <w:rsid w:val="00DC4998"/>
    <w:rsid w:val="00DC49C3"/>
    <w:rsid w:val="00DC49E4"/>
    <w:rsid w:val="00DC4A94"/>
    <w:rsid w:val="00DC4B16"/>
    <w:rsid w:val="00DC4B9D"/>
    <w:rsid w:val="00DC4BDF"/>
    <w:rsid w:val="00DC4C12"/>
    <w:rsid w:val="00DC4C8A"/>
    <w:rsid w:val="00DC4CED"/>
    <w:rsid w:val="00DC4D7F"/>
    <w:rsid w:val="00DC4DA8"/>
    <w:rsid w:val="00DC4E6A"/>
    <w:rsid w:val="00DC4F5C"/>
    <w:rsid w:val="00DC4F72"/>
    <w:rsid w:val="00DC4FE6"/>
    <w:rsid w:val="00DC4FF7"/>
    <w:rsid w:val="00DC5016"/>
    <w:rsid w:val="00DC503D"/>
    <w:rsid w:val="00DC5071"/>
    <w:rsid w:val="00DC5075"/>
    <w:rsid w:val="00DC5093"/>
    <w:rsid w:val="00DC50B3"/>
    <w:rsid w:val="00DC50B5"/>
    <w:rsid w:val="00DC50B9"/>
    <w:rsid w:val="00DC50F9"/>
    <w:rsid w:val="00DC50FB"/>
    <w:rsid w:val="00DC5101"/>
    <w:rsid w:val="00DC5146"/>
    <w:rsid w:val="00DC5166"/>
    <w:rsid w:val="00DC5179"/>
    <w:rsid w:val="00DC51B2"/>
    <w:rsid w:val="00DC51BA"/>
    <w:rsid w:val="00DC51DC"/>
    <w:rsid w:val="00DC51E5"/>
    <w:rsid w:val="00DC5272"/>
    <w:rsid w:val="00DC52A7"/>
    <w:rsid w:val="00DC52B8"/>
    <w:rsid w:val="00DC5308"/>
    <w:rsid w:val="00DC5338"/>
    <w:rsid w:val="00DC53AD"/>
    <w:rsid w:val="00DC5413"/>
    <w:rsid w:val="00DC5448"/>
    <w:rsid w:val="00DC5509"/>
    <w:rsid w:val="00DC555E"/>
    <w:rsid w:val="00DC5659"/>
    <w:rsid w:val="00DC568F"/>
    <w:rsid w:val="00DC56AC"/>
    <w:rsid w:val="00DC577C"/>
    <w:rsid w:val="00DC577E"/>
    <w:rsid w:val="00DC57FA"/>
    <w:rsid w:val="00DC5822"/>
    <w:rsid w:val="00DC58A7"/>
    <w:rsid w:val="00DC58F9"/>
    <w:rsid w:val="00DC58FC"/>
    <w:rsid w:val="00DC591E"/>
    <w:rsid w:val="00DC5933"/>
    <w:rsid w:val="00DC5943"/>
    <w:rsid w:val="00DC595C"/>
    <w:rsid w:val="00DC5963"/>
    <w:rsid w:val="00DC59C2"/>
    <w:rsid w:val="00DC59C8"/>
    <w:rsid w:val="00DC59CE"/>
    <w:rsid w:val="00DC5A46"/>
    <w:rsid w:val="00DC5AB1"/>
    <w:rsid w:val="00DC5AF7"/>
    <w:rsid w:val="00DC5B34"/>
    <w:rsid w:val="00DC5B75"/>
    <w:rsid w:val="00DC5B79"/>
    <w:rsid w:val="00DC5C33"/>
    <w:rsid w:val="00DC5C4B"/>
    <w:rsid w:val="00DC5C59"/>
    <w:rsid w:val="00DC5C5A"/>
    <w:rsid w:val="00DC5D1A"/>
    <w:rsid w:val="00DC5D33"/>
    <w:rsid w:val="00DC5D3E"/>
    <w:rsid w:val="00DC5DD2"/>
    <w:rsid w:val="00DC5E1B"/>
    <w:rsid w:val="00DC5E6D"/>
    <w:rsid w:val="00DC5E76"/>
    <w:rsid w:val="00DC5E97"/>
    <w:rsid w:val="00DC5EF5"/>
    <w:rsid w:val="00DC5F10"/>
    <w:rsid w:val="00DC5F1E"/>
    <w:rsid w:val="00DC5F35"/>
    <w:rsid w:val="00DC5F8F"/>
    <w:rsid w:val="00DC5FC4"/>
    <w:rsid w:val="00DC5FDD"/>
    <w:rsid w:val="00DC5FE9"/>
    <w:rsid w:val="00DC5FFB"/>
    <w:rsid w:val="00DC6021"/>
    <w:rsid w:val="00DC6029"/>
    <w:rsid w:val="00DC604F"/>
    <w:rsid w:val="00DC6054"/>
    <w:rsid w:val="00DC6082"/>
    <w:rsid w:val="00DC60BA"/>
    <w:rsid w:val="00DC60BD"/>
    <w:rsid w:val="00DC612C"/>
    <w:rsid w:val="00DC6161"/>
    <w:rsid w:val="00DC6197"/>
    <w:rsid w:val="00DC6198"/>
    <w:rsid w:val="00DC6213"/>
    <w:rsid w:val="00DC62A6"/>
    <w:rsid w:val="00DC62BB"/>
    <w:rsid w:val="00DC62E6"/>
    <w:rsid w:val="00DC6339"/>
    <w:rsid w:val="00DC6340"/>
    <w:rsid w:val="00DC6379"/>
    <w:rsid w:val="00DC6441"/>
    <w:rsid w:val="00DC6444"/>
    <w:rsid w:val="00DC660E"/>
    <w:rsid w:val="00DC6618"/>
    <w:rsid w:val="00DC667E"/>
    <w:rsid w:val="00DC6689"/>
    <w:rsid w:val="00DC66A1"/>
    <w:rsid w:val="00DC67B1"/>
    <w:rsid w:val="00DC6864"/>
    <w:rsid w:val="00DC6877"/>
    <w:rsid w:val="00DC692F"/>
    <w:rsid w:val="00DC6961"/>
    <w:rsid w:val="00DC69C8"/>
    <w:rsid w:val="00DC6A16"/>
    <w:rsid w:val="00DC6A20"/>
    <w:rsid w:val="00DC6A47"/>
    <w:rsid w:val="00DC6A4C"/>
    <w:rsid w:val="00DC6AAD"/>
    <w:rsid w:val="00DC6B00"/>
    <w:rsid w:val="00DC6B04"/>
    <w:rsid w:val="00DC6C0E"/>
    <w:rsid w:val="00DC6CA0"/>
    <w:rsid w:val="00DC6D2A"/>
    <w:rsid w:val="00DC6D65"/>
    <w:rsid w:val="00DC6D76"/>
    <w:rsid w:val="00DC6D7F"/>
    <w:rsid w:val="00DC6DB7"/>
    <w:rsid w:val="00DC6DEB"/>
    <w:rsid w:val="00DC6E54"/>
    <w:rsid w:val="00DC6E85"/>
    <w:rsid w:val="00DC6EC7"/>
    <w:rsid w:val="00DC6F25"/>
    <w:rsid w:val="00DC6F3B"/>
    <w:rsid w:val="00DC6F43"/>
    <w:rsid w:val="00DC6F88"/>
    <w:rsid w:val="00DC6F8F"/>
    <w:rsid w:val="00DC7007"/>
    <w:rsid w:val="00DC7051"/>
    <w:rsid w:val="00DC70A9"/>
    <w:rsid w:val="00DC70EC"/>
    <w:rsid w:val="00DC70FA"/>
    <w:rsid w:val="00DC7190"/>
    <w:rsid w:val="00DC720C"/>
    <w:rsid w:val="00DC7262"/>
    <w:rsid w:val="00DC726F"/>
    <w:rsid w:val="00DC7290"/>
    <w:rsid w:val="00DC72DA"/>
    <w:rsid w:val="00DC72E7"/>
    <w:rsid w:val="00DC7305"/>
    <w:rsid w:val="00DC73C1"/>
    <w:rsid w:val="00DC73D7"/>
    <w:rsid w:val="00DC73F2"/>
    <w:rsid w:val="00DC73F6"/>
    <w:rsid w:val="00DC7409"/>
    <w:rsid w:val="00DC7429"/>
    <w:rsid w:val="00DC7450"/>
    <w:rsid w:val="00DC749D"/>
    <w:rsid w:val="00DC74D8"/>
    <w:rsid w:val="00DC754B"/>
    <w:rsid w:val="00DC760C"/>
    <w:rsid w:val="00DC762E"/>
    <w:rsid w:val="00DC7639"/>
    <w:rsid w:val="00DC7779"/>
    <w:rsid w:val="00DC777E"/>
    <w:rsid w:val="00DC779B"/>
    <w:rsid w:val="00DC77C5"/>
    <w:rsid w:val="00DC77F7"/>
    <w:rsid w:val="00DC7800"/>
    <w:rsid w:val="00DC7832"/>
    <w:rsid w:val="00DC7853"/>
    <w:rsid w:val="00DC78D6"/>
    <w:rsid w:val="00DC78D8"/>
    <w:rsid w:val="00DC793C"/>
    <w:rsid w:val="00DC7948"/>
    <w:rsid w:val="00DC7962"/>
    <w:rsid w:val="00DC79FE"/>
    <w:rsid w:val="00DC7A83"/>
    <w:rsid w:val="00DC7B06"/>
    <w:rsid w:val="00DC7B3B"/>
    <w:rsid w:val="00DC7B89"/>
    <w:rsid w:val="00DC7BED"/>
    <w:rsid w:val="00DC7C31"/>
    <w:rsid w:val="00DC7C32"/>
    <w:rsid w:val="00DC7C35"/>
    <w:rsid w:val="00DC7C49"/>
    <w:rsid w:val="00DC7CAA"/>
    <w:rsid w:val="00DC7CFA"/>
    <w:rsid w:val="00DC7D06"/>
    <w:rsid w:val="00DC7DA9"/>
    <w:rsid w:val="00DC7E5A"/>
    <w:rsid w:val="00DC7EBA"/>
    <w:rsid w:val="00DC7EDC"/>
    <w:rsid w:val="00DC7EF6"/>
    <w:rsid w:val="00DC7F58"/>
    <w:rsid w:val="00DC7F5E"/>
    <w:rsid w:val="00DC7F7B"/>
    <w:rsid w:val="00DC7FC6"/>
    <w:rsid w:val="00DD0011"/>
    <w:rsid w:val="00DD002F"/>
    <w:rsid w:val="00DD0048"/>
    <w:rsid w:val="00DD0071"/>
    <w:rsid w:val="00DD00E7"/>
    <w:rsid w:val="00DD0129"/>
    <w:rsid w:val="00DD0162"/>
    <w:rsid w:val="00DD0187"/>
    <w:rsid w:val="00DD023B"/>
    <w:rsid w:val="00DD025B"/>
    <w:rsid w:val="00DD0284"/>
    <w:rsid w:val="00DD02BC"/>
    <w:rsid w:val="00DD030B"/>
    <w:rsid w:val="00DD0367"/>
    <w:rsid w:val="00DD0372"/>
    <w:rsid w:val="00DD037C"/>
    <w:rsid w:val="00DD038A"/>
    <w:rsid w:val="00DD0396"/>
    <w:rsid w:val="00DD03CD"/>
    <w:rsid w:val="00DD03EC"/>
    <w:rsid w:val="00DD03FF"/>
    <w:rsid w:val="00DD044B"/>
    <w:rsid w:val="00DD0453"/>
    <w:rsid w:val="00DD046E"/>
    <w:rsid w:val="00DD04AD"/>
    <w:rsid w:val="00DD04BA"/>
    <w:rsid w:val="00DD04C5"/>
    <w:rsid w:val="00DD04FE"/>
    <w:rsid w:val="00DD0521"/>
    <w:rsid w:val="00DD0569"/>
    <w:rsid w:val="00DD0575"/>
    <w:rsid w:val="00DD0580"/>
    <w:rsid w:val="00DD058A"/>
    <w:rsid w:val="00DD05A6"/>
    <w:rsid w:val="00DD05EC"/>
    <w:rsid w:val="00DD0603"/>
    <w:rsid w:val="00DD0669"/>
    <w:rsid w:val="00DD066D"/>
    <w:rsid w:val="00DD06C0"/>
    <w:rsid w:val="00DD0715"/>
    <w:rsid w:val="00DD07D4"/>
    <w:rsid w:val="00DD0823"/>
    <w:rsid w:val="00DD086A"/>
    <w:rsid w:val="00DD0872"/>
    <w:rsid w:val="00DD08DD"/>
    <w:rsid w:val="00DD0969"/>
    <w:rsid w:val="00DD096F"/>
    <w:rsid w:val="00DD09D1"/>
    <w:rsid w:val="00DD09E4"/>
    <w:rsid w:val="00DD0A00"/>
    <w:rsid w:val="00DD0A0F"/>
    <w:rsid w:val="00DD0A22"/>
    <w:rsid w:val="00DD0A47"/>
    <w:rsid w:val="00DD0B3E"/>
    <w:rsid w:val="00DD0BC6"/>
    <w:rsid w:val="00DD0BFA"/>
    <w:rsid w:val="00DD0C30"/>
    <w:rsid w:val="00DD0CB1"/>
    <w:rsid w:val="00DD0CCF"/>
    <w:rsid w:val="00DD0D67"/>
    <w:rsid w:val="00DD0D96"/>
    <w:rsid w:val="00DD0DCD"/>
    <w:rsid w:val="00DD0E78"/>
    <w:rsid w:val="00DD0F47"/>
    <w:rsid w:val="00DD0F5D"/>
    <w:rsid w:val="00DD0FA8"/>
    <w:rsid w:val="00DD0FF0"/>
    <w:rsid w:val="00DD10AE"/>
    <w:rsid w:val="00DD10BA"/>
    <w:rsid w:val="00DD1162"/>
    <w:rsid w:val="00DD1181"/>
    <w:rsid w:val="00DD11A5"/>
    <w:rsid w:val="00DD122C"/>
    <w:rsid w:val="00DD123E"/>
    <w:rsid w:val="00DD1292"/>
    <w:rsid w:val="00DD12A0"/>
    <w:rsid w:val="00DD1385"/>
    <w:rsid w:val="00DD1490"/>
    <w:rsid w:val="00DD1495"/>
    <w:rsid w:val="00DD14E8"/>
    <w:rsid w:val="00DD15DC"/>
    <w:rsid w:val="00DD1646"/>
    <w:rsid w:val="00DD1697"/>
    <w:rsid w:val="00DD169D"/>
    <w:rsid w:val="00DD16A6"/>
    <w:rsid w:val="00DD16AF"/>
    <w:rsid w:val="00DD16B4"/>
    <w:rsid w:val="00DD1704"/>
    <w:rsid w:val="00DD1722"/>
    <w:rsid w:val="00DD176F"/>
    <w:rsid w:val="00DD177A"/>
    <w:rsid w:val="00DD1799"/>
    <w:rsid w:val="00DD1869"/>
    <w:rsid w:val="00DD18DD"/>
    <w:rsid w:val="00DD18FC"/>
    <w:rsid w:val="00DD195F"/>
    <w:rsid w:val="00DD1974"/>
    <w:rsid w:val="00DD1979"/>
    <w:rsid w:val="00DD1993"/>
    <w:rsid w:val="00DD19F8"/>
    <w:rsid w:val="00DD1A4B"/>
    <w:rsid w:val="00DD1A8B"/>
    <w:rsid w:val="00DD1A8D"/>
    <w:rsid w:val="00DD1A91"/>
    <w:rsid w:val="00DD1A9A"/>
    <w:rsid w:val="00DD1AF2"/>
    <w:rsid w:val="00DD1B56"/>
    <w:rsid w:val="00DD1B57"/>
    <w:rsid w:val="00DD1B65"/>
    <w:rsid w:val="00DD1BAE"/>
    <w:rsid w:val="00DD1BF6"/>
    <w:rsid w:val="00DD1C1D"/>
    <w:rsid w:val="00DD1C88"/>
    <w:rsid w:val="00DD1CC5"/>
    <w:rsid w:val="00DD1D7E"/>
    <w:rsid w:val="00DD1DC3"/>
    <w:rsid w:val="00DD1DD9"/>
    <w:rsid w:val="00DD1DFA"/>
    <w:rsid w:val="00DD1E41"/>
    <w:rsid w:val="00DD1E7F"/>
    <w:rsid w:val="00DD1EC8"/>
    <w:rsid w:val="00DD1FA9"/>
    <w:rsid w:val="00DD1FCB"/>
    <w:rsid w:val="00DD1FF8"/>
    <w:rsid w:val="00DD2035"/>
    <w:rsid w:val="00DD204D"/>
    <w:rsid w:val="00DD2052"/>
    <w:rsid w:val="00DD2086"/>
    <w:rsid w:val="00DD209E"/>
    <w:rsid w:val="00DD210C"/>
    <w:rsid w:val="00DD217C"/>
    <w:rsid w:val="00DD2180"/>
    <w:rsid w:val="00DD2189"/>
    <w:rsid w:val="00DD2278"/>
    <w:rsid w:val="00DD22A2"/>
    <w:rsid w:val="00DD22BF"/>
    <w:rsid w:val="00DD22DC"/>
    <w:rsid w:val="00DD22E1"/>
    <w:rsid w:val="00DD2364"/>
    <w:rsid w:val="00DD23FD"/>
    <w:rsid w:val="00DD2425"/>
    <w:rsid w:val="00DD243A"/>
    <w:rsid w:val="00DD2501"/>
    <w:rsid w:val="00DD2515"/>
    <w:rsid w:val="00DD2520"/>
    <w:rsid w:val="00DD253E"/>
    <w:rsid w:val="00DD2569"/>
    <w:rsid w:val="00DD25C9"/>
    <w:rsid w:val="00DD25E0"/>
    <w:rsid w:val="00DD2620"/>
    <w:rsid w:val="00DD2645"/>
    <w:rsid w:val="00DD269C"/>
    <w:rsid w:val="00DD269E"/>
    <w:rsid w:val="00DD26B4"/>
    <w:rsid w:val="00DD26F1"/>
    <w:rsid w:val="00DD26FA"/>
    <w:rsid w:val="00DD2718"/>
    <w:rsid w:val="00DD2785"/>
    <w:rsid w:val="00DD2791"/>
    <w:rsid w:val="00DD2845"/>
    <w:rsid w:val="00DD284E"/>
    <w:rsid w:val="00DD287F"/>
    <w:rsid w:val="00DD288F"/>
    <w:rsid w:val="00DD28AC"/>
    <w:rsid w:val="00DD29D5"/>
    <w:rsid w:val="00DD2A07"/>
    <w:rsid w:val="00DD2A99"/>
    <w:rsid w:val="00DD2AA3"/>
    <w:rsid w:val="00DD2AF9"/>
    <w:rsid w:val="00DD2B1F"/>
    <w:rsid w:val="00DD2BC8"/>
    <w:rsid w:val="00DD2BD4"/>
    <w:rsid w:val="00DD2C5C"/>
    <w:rsid w:val="00DD2C75"/>
    <w:rsid w:val="00DD2D0E"/>
    <w:rsid w:val="00DD2D1F"/>
    <w:rsid w:val="00DD2D54"/>
    <w:rsid w:val="00DD2D6B"/>
    <w:rsid w:val="00DD2D95"/>
    <w:rsid w:val="00DD2DB8"/>
    <w:rsid w:val="00DD2DFC"/>
    <w:rsid w:val="00DD2E80"/>
    <w:rsid w:val="00DD2F04"/>
    <w:rsid w:val="00DD2F97"/>
    <w:rsid w:val="00DD2F9C"/>
    <w:rsid w:val="00DD3031"/>
    <w:rsid w:val="00DD305C"/>
    <w:rsid w:val="00DD30E8"/>
    <w:rsid w:val="00DD3148"/>
    <w:rsid w:val="00DD318B"/>
    <w:rsid w:val="00DD3227"/>
    <w:rsid w:val="00DD32A2"/>
    <w:rsid w:val="00DD32BF"/>
    <w:rsid w:val="00DD32C0"/>
    <w:rsid w:val="00DD32E5"/>
    <w:rsid w:val="00DD3311"/>
    <w:rsid w:val="00DD3313"/>
    <w:rsid w:val="00DD334B"/>
    <w:rsid w:val="00DD3354"/>
    <w:rsid w:val="00DD3371"/>
    <w:rsid w:val="00DD33B1"/>
    <w:rsid w:val="00DD33E2"/>
    <w:rsid w:val="00DD347B"/>
    <w:rsid w:val="00DD34AB"/>
    <w:rsid w:val="00DD34B4"/>
    <w:rsid w:val="00DD34CA"/>
    <w:rsid w:val="00DD359D"/>
    <w:rsid w:val="00DD3602"/>
    <w:rsid w:val="00DD3614"/>
    <w:rsid w:val="00DD3694"/>
    <w:rsid w:val="00DD36A9"/>
    <w:rsid w:val="00DD36D2"/>
    <w:rsid w:val="00DD3720"/>
    <w:rsid w:val="00DD375D"/>
    <w:rsid w:val="00DD381A"/>
    <w:rsid w:val="00DD388A"/>
    <w:rsid w:val="00DD390F"/>
    <w:rsid w:val="00DD391F"/>
    <w:rsid w:val="00DD3973"/>
    <w:rsid w:val="00DD398E"/>
    <w:rsid w:val="00DD39EC"/>
    <w:rsid w:val="00DD3A6F"/>
    <w:rsid w:val="00DD3B33"/>
    <w:rsid w:val="00DD3B62"/>
    <w:rsid w:val="00DD3B72"/>
    <w:rsid w:val="00DD3BAD"/>
    <w:rsid w:val="00DD3BDC"/>
    <w:rsid w:val="00DD3BE7"/>
    <w:rsid w:val="00DD3BFC"/>
    <w:rsid w:val="00DD3C32"/>
    <w:rsid w:val="00DD3C3B"/>
    <w:rsid w:val="00DD3C8D"/>
    <w:rsid w:val="00DD3CA6"/>
    <w:rsid w:val="00DD3CC1"/>
    <w:rsid w:val="00DD3D03"/>
    <w:rsid w:val="00DD3D07"/>
    <w:rsid w:val="00DD3D1A"/>
    <w:rsid w:val="00DD3D39"/>
    <w:rsid w:val="00DD3D50"/>
    <w:rsid w:val="00DD3D9F"/>
    <w:rsid w:val="00DD3DDB"/>
    <w:rsid w:val="00DD3E1A"/>
    <w:rsid w:val="00DD3E20"/>
    <w:rsid w:val="00DD3E56"/>
    <w:rsid w:val="00DD3E9E"/>
    <w:rsid w:val="00DD3F81"/>
    <w:rsid w:val="00DD3FB5"/>
    <w:rsid w:val="00DD3FE2"/>
    <w:rsid w:val="00DD3FE4"/>
    <w:rsid w:val="00DD4013"/>
    <w:rsid w:val="00DD405D"/>
    <w:rsid w:val="00DD4068"/>
    <w:rsid w:val="00DD4084"/>
    <w:rsid w:val="00DD408B"/>
    <w:rsid w:val="00DD40F7"/>
    <w:rsid w:val="00DD4149"/>
    <w:rsid w:val="00DD416E"/>
    <w:rsid w:val="00DD41BC"/>
    <w:rsid w:val="00DD4209"/>
    <w:rsid w:val="00DD426F"/>
    <w:rsid w:val="00DD4290"/>
    <w:rsid w:val="00DD4305"/>
    <w:rsid w:val="00DD4388"/>
    <w:rsid w:val="00DD43DC"/>
    <w:rsid w:val="00DD440F"/>
    <w:rsid w:val="00DD4438"/>
    <w:rsid w:val="00DD4448"/>
    <w:rsid w:val="00DD44B1"/>
    <w:rsid w:val="00DD44F8"/>
    <w:rsid w:val="00DD44FD"/>
    <w:rsid w:val="00DD4501"/>
    <w:rsid w:val="00DD459B"/>
    <w:rsid w:val="00DD45BD"/>
    <w:rsid w:val="00DD45FD"/>
    <w:rsid w:val="00DD463A"/>
    <w:rsid w:val="00DD4655"/>
    <w:rsid w:val="00DD4667"/>
    <w:rsid w:val="00DD46D5"/>
    <w:rsid w:val="00DD46EB"/>
    <w:rsid w:val="00DD4739"/>
    <w:rsid w:val="00DD4741"/>
    <w:rsid w:val="00DD486A"/>
    <w:rsid w:val="00DD495F"/>
    <w:rsid w:val="00DD4995"/>
    <w:rsid w:val="00DD49B4"/>
    <w:rsid w:val="00DD49F7"/>
    <w:rsid w:val="00DD4A03"/>
    <w:rsid w:val="00DD4A3A"/>
    <w:rsid w:val="00DD4A46"/>
    <w:rsid w:val="00DD4A6C"/>
    <w:rsid w:val="00DD4AA4"/>
    <w:rsid w:val="00DD4AAE"/>
    <w:rsid w:val="00DD4AEA"/>
    <w:rsid w:val="00DD4C47"/>
    <w:rsid w:val="00DD4C4D"/>
    <w:rsid w:val="00DD4C71"/>
    <w:rsid w:val="00DD4C7C"/>
    <w:rsid w:val="00DD4CE7"/>
    <w:rsid w:val="00DD4D01"/>
    <w:rsid w:val="00DD4D09"/>
    <w:rsid w:val="00DD4D1C"/>
    <w:rsid w:val="00DD4D23"/>
    <w:rsid w:val="00DD4D42"/>
    <w:rsid w:val="00DD4D5C"/>
    <w:rsid w:val="00DD4D5E"/>
    <w:rsid w:val="00DD4D6B"/>
    <w:rsid w:val="00DD4D83"/>
    <w:rsid w:val="00DD4D92"/>
    <w:rsid w:val="00DD4E33"/>
    <w:rsid w:val="00DD4E7F"/>
    <w:rsid w:val="00DD4EA9"/>
    <w:rsid w:val="00DD4F00"/>
    <w:rsid w:val="00DD4F90"/>
    <w:rsid w:val="00DD4F95"/>
    <w:rsid w:val="00DD5001"/>
    <w:rsid w:val="00DD509C"/>
    <w:rsid w:val="00DD50EB"/>
    <w:rsid w:val="00DD5169"/>
    <w:rsid w:val="00DD518E"/>
    <w:rsid w:val="00DD51E3"/>
    <w:rsid w:val="00DD51FA"/>
    <w:rsid w:val="00DD5277"/>
    <w:rsid w:val="00DD52CB"/>
    <w:rsid w:val="00DD52FB"/>
    <w:rsid w:val="00DD5332"/>
    <w:rsid w:val="00DD539C"/>
    <w:rsid w:val="00DD53C0"/>
    <w:rsid w:val="00DD53C5"/>
    <w:rsid w:val="00DD5456"/>
    <w:rsid w:val="00DD5484"/>
    <w:rsid w:val="00DD5485"/>
    <w:rsid w:val="00DD54B0"/>
    <w:rsid w:val="00DD54C5"/>
    <w:rsid w:val="00DD5519"/>
    <w:rsid w:val="00DD553F"/>
    <w:rsid w:val="00DD5552"/>
    <w:rsid w:val="00DD5555"/>
    <w:rsid w:val="00DD558B"/>
    <w:rsid w:val="00DD55B2"/>
    <w:rsid w:val="00DD5603"/>
    <w:rsid w:val="00DD563D"/>
    <w:rsid w:val="00DD565B"/>
    <w:rsid w:val="00DD56C9"/>
    <w:rsid w:val="00DD5707"/>
    <w:rsid w:val="00DD57FC"/>
    <w:rsid w:val="00DD587E"/>
    <w:rsid w:val="00DD5898"/>
    <w:rsid w:val="00DD58D3"/>
    <w:rsid w:val="00DD58D5"/>
    <w:rsid w:val="00DD58FD"/>
    <w:rsid w:val="00DD5905"/>
    <w:rsid w:val="00DD598A"/>
    <w:rsid w:val="00DD598B"/>
    <w:rsid w:val="00DD598E"/>
    <w:rsid w:val="00DD59AD"/>
    <w:rsid w:val="00DD5A35"/>
    <w:rsid w:val="00DD5A85"/>
    <w:rsid w:val="00DD5A9D"/>
    <w:rsid w:val="00DD5AAC"/>
    <w:rsid w:val="00DD5AC1"/>
    <w:rsid w:val="00DD5ACF"/>
    <w:rsid w:val="00DD5AF4"/>
    <w:rsid w:val="00DD5B49"/>
    <w:rsid w:val="00DD5B64"/>
    <w:rsid w:val="00DD5B92"/>
    <w:rsid w:val="00DD5BB6"/>
    <w:rsid w:val="00DD5C2F"/>
    <w:rsid w:val="00DD5C3F"/>
    <w:rsid w:val="00DD5CA6"/>
    <w:rsid w:val="00DD5CEA"/>
    <w:rsid w:val="00DD5CF1"/>
    <w:rsid w:val="00DD5D38"/>
    <w:rsid w:val="00DD5D3D"/>
    <w:rsid w:val="00DD5D45"/>
    <w:rsid w:val="00DD5D58"/>
    <w:rsid w:val="00DD5D67"/>
    <w:rsid w:val="00DD5DB0"/>
    <w:rsid w:val="00DD5DD6"/>
    <w:rsid w:val="00DD5DED"/>
    <w:rsid w:val="00DD5E2E"/>
    <w:rsid w:val="00DD5E4C"/>
    <w:rsid w:val="00DD5EE1"/>
    <w:rsid w:val="00DD5EED"/>
    <w:rsid w:val="00DD5F88"/>
    <w:rsid w:val="00DD5F9C"/>
    <w:rsid w:val="00DD5FA9"/>
    <w:rsid w:val="00DD5FAE"/>
    <w:rsid w:val="00DD6004"/>
    <w:rsid w:val="00DD6072"/>
    <w:rsid w:val="00DD608A"/>
    <w:rsid w:val="00DD609E"/>
    <w:rsid w:val="00DD60A6"/>
    <w:rsid w:val="00DD60BC"/>
    <w:rsid w:val="00DD60E2"/>
    <w:rsid w:val="00DD613E"/>
    <w:rsid w:val="00DD614D"/>
    <w:rsid w:val="00DD61A3"/>
    <w:rsid w:val="00DD61AF"/>
    <w:rsid w:val="00DD61D9"/>
    <w:rsid w:val="00DD6214"/>
    <w:rsid w:val="00DD6238"/>
    <w:rsid w:val="00DD6290"/>
    <w:rsid w:val="00DD62A0"/>
    <w:rsid w:val="00DD62D0"/>
    <w:rsid w:val="00DD62E6"/>
    <w:rsid w:val="00DD62ED"/>
    <w:rsid w:val="00DD6351"/>
    <w:rsid w:val="00DD63A0"/>
    <w:rsid w:val="00DD6419"/>
    <w:rsid w:val="00DD648E"/>
    <w:rsid w:val="00DD64D2"/>
    <w:rsid w:val="00DD64EC"/>
    <w:rsid w:val="00DD64F4"/>
    <w:rsid w:val="00DD6509"/>
    <w:rsid w:val="00DD65B9"/>
    <w:rsid w:val="00DD65D1"/>
    <w:rsid w:val="00DD6675"/>
    <w:rsid w:val="00DD6683"/>
    <w:rsid w:val="00DD668F"/>
    <w:rsid w:val="00DD6690"/>
    <w:rsid w:val="00DD66DE"/>
    <w:rsid w:val="00DD66FF"/>
    <w:rsid w:val="00DD6719"/>
    <w:rsid w:val="00DD67A5"/>
    <w:rsid w:val="00DD67A8"/>
    <w:rsid w:val="00DD67D7"/>
    <w:rsid w:val="00DD6833"/>
    <w:rsid w:val="00DD688D"/>
    <w:rsid w:val="00DD6940"/>
    <w:rsid w:val="00DD699D"/>
    <w:rsid w:val="00DD69CB"/>
    <w:rsid w:val="00DD6ABC"/>
    <w:rsid w:val="00DD6ABE"/>
    <w:rsid w:val="00DD6ADC"/>
    <w:rsid w:val="00DD6B32"/>
    <w:rsid w:val="00DD6B92"/>
    <w:rsid w:val="00DD6BF6"/>
    <w:rsid w:val="00DD6C2B"/>
    <w:rsid w:val="00DD6C3B"/>
    <w:rsid w:val="00DD6C8C"/>
    <w:rsid w:val="00DD6C9C"/>
    <w:rsid w:val="00DD6CE2"/>
    <w:rsid w:val="00DD6D26"/>
    <w:rsid w:val="00DD6D54"/>
    <w:rsid w:val="00DD6DB6"/>
    <w:rsid w:val="00DD6DE1"/>
    <w:rsid w:val="00DD6E43"/>
    <w:rsid w:val="00DD6F66"/>
    <w:rsid w:val="00DD6F97"/>
    <w:rsid w:val="00DD6FDF"/>
    <w:rsid w:val="00DD702F"/>
    <w:rsid w:val="00DD7059"/>
    <w:rsid w:val="00DD707B"/>
    <w:rsid w:val="00DD7128"/>
    <w:rsid w:val="00DD715E"/>
    <w:rsid w:val="00DD7173"/>
    <w:rsid w:val="00DD71C6"/>
    <w:rsid w:val="00DD71F7"/>
    <w:rsid w:val="00DD7219"/>
    <w:rsid w:val="00DD7228"/>
    <w:rsid w:val="00DD7316"/>
    <w:rsid w:val="00DD73C5"/>
    <w:rsid w:val="00DD7435"/>
    <w:rsid w:val="00DD7499"/>
    <w:rsid w:val="00DD74B9"/>
    <w:rsid w:val="00DD74C4"/>
    <w:rsid w:val="00DD7513"/>
    <w:rsid w:val="00DD7515"/>
    <w:rsid w:val="00DD751E"/>
    <w:rsid w:val="00DD752B"/>
    <w:rsid w:val="00DD7616"/>
    <w:rsid w:val="00DD763F"/>
    <w:rsid w:val="00DD7666"/>
    <w:rsid w:val="00DD76CD"/>
    <w:rsid w:val="00DD771C"/>
    <w:rsid w:val="00DD77A2"/>
    <w:rsid w:val="00DD77DA"/>
    <w:rsid w:val="00DD77EB"/>
    <w:rsid w:val="00DD784C"/>
    <w:rsid w:val="00DD7885"/>
    <w:rsid w:val="00DD792A"/>
    <w:rsid w:val="00DD7983"/>
    <w:rsid w:val="00DD79E8"/>
    <w:rsid w:val="00DD7A4B"/>
    <w:rsid w:val="00DD7AB2"/>
    <w:rsid w:val="00DD7AB5"/>
    <w:rsid w:val="00DD7B16"/>
    <w:rsid w:val="00DD7B20"/>
    <w:rsid w:val="00DD7B51"/>
    <w:rsid w:val="00DD7B88"/>
    <w:rsid w:val="00DD7C30"/>
    <w:rsid w:val="00DD7C93"/>
    <w:rsid w:val="00DD7CCF"/>
    <w:rsid w:val="00DD7D10"/>
    <w:rsid w:val="00DD7D92"/>
    <w:rsid w:val="00DD7DEF"/>
    <w:rsid w:val="00DD7E4A"/>
    <w:rsid w:val="00DD7E88"/>
    <w:rsid w:val="00DD7ECB"/>
    <w:rsid w:val="00DD7ED9"/>
    <w:rsid w:val="00DD7F75"/>
    <w:rsid w:val="00DD7F91"/>
    <w:rsid w:val="00DD7FBD"/>
    <w:rsid w:val="00DD7FC0"/>
    <w:rsid w:val="00DD7FD8"/>
    <w:rsid w:val="00DD7FE4"/>
    <w:rsid w:val="00DD7FFE"/>
    <w:rsid w:val="00DE0003"/>
    <w:rsid w:val="00DE0092"/>
    <w:rsid w:val="00DE00DF"/>
    <w:rsid w:val="00DE00FD"/>
    <w:rsid w:val="00DE010D"/>
    <w:rsid w:val="00DE011D"/>
    <w:rsid w:val="00DE0142"/>
    <w:rsid w:val="00DE016A"/>
    <w:rsid w:val="00DE016C"/>
    <w:rsid w:val="00DE018F"/>
    <w:rsid w:val="00DE0228"/>
    <w:rsid w:val="00DE0258"/>
    <w:rsid w:val="00DE02A8"/>
    <w:rsid w:val="00DE02E0"/>
    <w:rsid w:val="00DE0363"/>
    <w:rsid w:val="00DE0381"/>
    <w:rsid w:val="00DE0390"/>
    <w:rsid w:val="00DE03F1"/>
    <w:rsid w:val="00DE046F"/>
    <w:rsid w:val="00DE04BB"/>
    <w:rsid w:val="00DE0542"/>
    <w:rsid w:val="00DE0547"/>
    <w:rsid w:val="00DE054D"/>
    <w:rsid w:val="00DE0558"/>
    <w:rsid w:val="00DE055B"/>
    <w:rsid w:val="00DE059F"/>
    <w:rsid w:val="00DE0680"/>
    <w:rsid w:val="00DE07D9"/>
    <w:rsid w:val="00DE07E8"/>
    <w:rsid w:val="00DE07F4"/>
    <w:rsid w:val="00DE0888"/>
    <w:rsid w:val="00DE08D7"/>
    <w:rsid w:val="00DE09C0"/>
    <w:rsid w:val="00DE09E4"/>
    <w:rsid w:val="00DE0A25"/>
    <w:rsid w:val="00DE0A82"/>
    <w:rsid w:val="00DE0AA8"/>
    <w:rsid w:val="00DE0AB7"/>
    <w:rsid w:val="00DE0B35"/>
    <w:rsid w:val="00DE0BA0"/>
    <w:rsid w:val="00DE0BD2"/>
    <w:rsid w:val="00DE0C10"/>
    <w:rsid w:val="00DE0C3B"/>
    <w:rsid w:val="00DE0C46"/>
    <w:rsid w:val="00DE0CE0"/>
    <w:rsid w:val="00DE0D0B"/>
    <w:rsid w:val="00DE0D2D"/>
    <w:rsid w:val="00DE0D63"/>
    <w:rsid w:val="00DE0D8B"/>
    <w:rsid w:val="00DE0DC6"/>
    <w:rsid w:val="00DE0FA1"/>
    <w:rsid w:val="00DE1006"/>
    <w:rsid w:val="00DE101F"/>
    <w:rsid w:val="00DE10C2"/>
    <w:rsid w:val="00DE112A"/>
    <w:rsid w:val="00DE1145"/>
    <w:rsid w:val="00DE11D9"/>
    <w:rsid w:val="00DE1203"/>
    <w:rsid w:val="00DE124D"/>
    <w:rsid w:val="00DE125D"/>
    <w:rsid w:val="00DE1265"/>
    <w:rsid w:val="00DE129E"/>
    <w:rsid w:val="00DE1342"/>
    <w:rsid w:val="00DE1374"/>
    <w:rsid w:val="00DE13AC"/>
    <w:rsid w:val="00DE13E3"/>
    <w:rsid w:val="00DE14BB"/>
    <w:rsid w:val="00DE14F9"/>
    <w:rsid w:val="00DE1540"/>
    <w:rsid w:val="00DE1694"/>
    <w:rsid w:val="00DE16A9"/>
    <w:rsid w:val="00DE1706"/>
    <w:rsid w:val="00DE1710"/>
    <w:rsid w:val="00DE171D"/>
    <w:rsid w:val="00DE1722"/>
    <w:rsid w:val="00DE1741"/>
    <w:rsid w:val="00DE1758"/>
    <w:rsid w:val="00DE1870"/>
    <w:rsid w:val="00DE197A"/>
    <w:rsid w:val="00DE197D"/>
    <w:rsid w:val="00DE19B0"/>
    <w:rsid w:val="00DE1A01"/>
    <w:rsid w:val="00DE1A94"/>
    <w:rsid w:val="00DE1AAA"/>
    <w:rsid w:val="00DE1ACC"/>
    <w:rsid w:val="00DE1AD0"/>
    <w:rsid w:val="00DE1B5B"/>
    <w:rsid w:val="00DE1BBB"/>
    <w:rsid w:val="00DE1BDE"/>
    <w:rsid w:val="00DE1C28"/>
    <w:rsid w:val="00DE1CC1"/>
    <w:rsid w:val="00DE1CCC"/>
    <w:rsid w:val="00DE1CCE"/>
    <w:rsid w:val="00DE1CD1"/>
    <w:rsid w:val="00DE1CE3"/>
    <w:rsid w:val="00DE1D37"/>
    <w:rsid w:val="00DE1D79"/>
    <w:rsid w:val="00DE1DCD"/>
    <w:rsid w:val="00DE1E34"/>
    <w:rsid w:val="00DE1E58"/>
    <w:rsid w:val="00DE1F4B"/>
    <w:rsid w:val="00DE1F64"/>
    <w:rsid w:val="00DE1F89"/>
    <w:rsid w:val="00DE1F9C"/>
    <w:rsid w:val="00DE202A"/>
    <w:rsid w:val="00DE203C"/>
    <w:rsid w:val="00DE2079"/>
    <w:rsid w:val="00DE2127"/>
    <w:rsid w:val="00DE2154"/>
    <w:rsid w:val="00DE2169"/>
    <w:rsid w:val="00DE218C"/>
    <w:rsid w:val="00DE2202"/>
    <w:rsid w:val="00DE2231"/>
    <w:rsid w:val="00DE2248"/>
    <w:rsid w:val="00DE224B"/>
    <w:rsid w:val="00DE22D2"/>
    <w:rsid w:val="00DE2399"/>
    <w:rsid w:val="00DE23C2"/>
    <w:rsid w:val="00DE23C7"/>
    <w:rsid w:val="00DE2410"/>
    <w:rsid w:val="00DE2426"/>
    <w:rsid w:val="00DE24A3"/>
    <w:rsid w:val="00DE258B"/>
    <w:rsid w:val="00DE2600"/>
    <w:rsid w:val="00DE2601"/>
    <w:rsid w:val="00DE261D"/>
    <w:rsid w:val="00DE2646"/>
    <w:rsid w:val="00DE2660"/>
    <w:rsid w:val="00DE2669"/>
    <w:rsid w:val="00DE26AE"/>
    <w:rsid w:val="00DE2752"/>
    <w:rsid w:val="00DE2763"/>
    <w:rsid w:val="00DE27B3"/>
    <w:rsid w:val="00DE27BA"/>
    <w:rsid w:val="00DE27D1"/>
    <w:rsid w:val="00DE2881"/>
    <w:rsid w:val="00DE28A9"/>
    <w:rsid w:val="00DE28CD"/>
    <w:rsid w:val="00DE2963"/>
    <w:rsid w:val="00DE2994"/>
    <w:rsid w:val="00DE29CC"/>
    <w:rsid w:val="00DE29E5"/>
    <w:rsid w:val="00DE2A42"/>
    <w:rsid w:val="00DE2AB8"/>
    <w:rsid w:val="00DE2ABE"/>
    <w:rsid w:val="00DE2BE1"/>
    <w:rsid w:val="00DE2C45"/>
    <w:rsid w:val="00DE2C77"/>
    <w:rsid w:val="00DE2C8F"/>
    <w:rsid w:val="00DE2CBE"/>
    <w:rsid w:val="00DE2D0D"/>
    <w:rsid w:val="00DE2D1D"/>
    <w:rsid w:val="00DE2D5C"/>
    <w:rsid w:val="00DE2D62"/>
    <w:rsid w:val="00DE2D69"/>
    <w:rsid w:val="00DE2DBC"/>
    <w:rsid w:val="00DE2DE4"/>
    <w:rsid w:val="00DE2E45"/>
    <w:rsid w:val="00DE2E8B"/>
    <w:rsid w:val="00DE2F81"/>
    <w:rsid w:val="00DE2FD2"/>
    <w:rsid w:val="00DE3036"/>
    <w:rsid w:val="00DE30B0"/>
    <w:rsid w:val="00DE30C4"/>
    <w:rsid w:val="00DE30F1"/>
    <w:rsid w:val="00DE30FD"/>
    <w:rsid w:val="00DE3107"/>
    <w:rsid w:val="00DE3124"/>
    <w:rsid w:val="00DE3127"/>
    <w:rsid w:val="00DE3131"/>
    <w:rsid w:val="00DE31B1"/>
    <w:rsid w:val="00DE31F6"/>
    <w:rsid w:val="00DE322D"/>
    <w:rsid w:val="00DE32C1"/>
    <w:rsid w:val="00DE32CF"/>
    <w:rsid w:val="00DE3327"/>
    <w:rsid w:val="00DE335F"/>
    <w:rsid w:val="00DE33A2"/>
    <w:rsid w:val="00DE33B5"/>
    <w:rsid w:val="00DE3452"/>
    <w:rsid w:val="00DE34B0"/>
    <w:rsid w:val="00DE34BE"/>
    <w:rsid w:val="00DE3580"/>
    <w:rsid w:val="00DE35BA"/>
    <w:rsid w:val="00DE3610"/>
    <w:rsid w:val="00DE36CF"/>
    <w:rsid w:val="00DE370A"/>
    <w:rsid w:val="00DE372A"/>
    <w:rsid w:val="00DE3757"/>
    <w:rsid w:val="00DE3769"/>
    <w:rsid w:val="00DE3790"/>
    <w:rsid w:val="00DE3794"/>
    <w:rsid w:val="00DE37D5"/>
    <w:rsid w:val="00DE3839"/>
    <w:rsid w:val="00DE3864"/>
    <w:rsid w:val="00DE3892"/>
    <w:rsid w:val="00DE38E1"/>
    <w:rsid w:val="00DE391F"/>
    <w:rsid w:val="00DE395E"/>
    <w:rsid w:val="00DE3971"/>
    <w:rsid w:val="00DE398C"/>
    <w:rsid w:val="00DE3A53"/>
    <w:rsid w:val="00DE3A60"/>
    <w:rsid w:val="00DE3A87"/>
    <w:rsid w:val="00DE3AFA"/>
    <w:rsid w:val="00DE3B51"/>
    <w:rsid w:val="00DE3B60"/>
    <w:rsid w:val="00DE3B9C"/>
    <w:rsid w:val="00DE3C58"/>
    <w:rsid w:val="00DE3C60"/>
    <w:rsid w:val="00DE3C70"/>
    <w:rsid w:val="00DE3C77"/>
    <w:rsid w:val="00DE3C86"/>
    <w:rsid w:val="00DE3D09"/>
    <w:rsid w:val="00DE3D6B"/>
    <w:rsid w:val="00DE3DC8"/>
    <w:rsid w:val="00DE3DD8"/>
    <w:rsid w:val="00DE3DDB"/>
    <w:rsid w:val="00DE3E89"/>
    <w:rsid w:val="00DE3E9C"/>
    <w:rsid w:val="00DE3EBA"/>
    <w:rsid w:val="00DE3F09"/>
    <w:rsid w:val="00DE3F36"/>
    <w:rsid w:val="00DE3F4D"/>
    <w:rsid w:val="00DE3F94"/>
    <w:rsid w:val="00DE3FFF"/>
    <w:rsid w:val="00DE402E"/>
    <w:rsid w:val="00DE4030"/>
    <w:rsid w:val="00DE406F"/>
    <w:rsid w:val="00DE4079"/>
    <w:rsid w:val="00DE4084"/>
    <w:rsid w:val="00DE408B"/>
    <w:rsid w:val="00DE40FF"/>
    <w:rsid w:val="00DE412E"/>
    <w:rsid w:val="00DE421D"/>
    <w:rsid w:val="00DE422E"/>
    <w:rsid w:val="00DE4247"/>
    <w:rsid w:val="00DE424C"/>
    <w:rsid w:val="00DE4276"/>
    <w:rsid w:val="00DE42DB"/>
    <w:rsid w:val="00DE43CF"/>
    <w:rsid w:val="00DE44A6"/>
    <w:rsid w:val="00DE44B7"/>
    <w:rsid w:val="00DE44E0"/>
    <w:rsid w:val="00DE44E6"/>
    <w:rsid w:val="00DE453A"/>
    <w:rsid w:val="00DE4573"/>
    <w:rsid w:val="00DE45A3"/>
    <w:rsid w:val="00DE45F2"/>
    <w:rsid w:val="00DE45F4"/>
    <w:rsid w:val="00DE4602"/>
    <w:rsid w:val="00DE4645"/>
    <w:rsid w:val="00DE475F"/>
    <w:rsid w:val="00DE47FC"/>
    <w:rsid w:val="00DE48A7"/>
    <w:rsid w:val="00DE48B9"/>
    <w:rsid w:val="00DE48C2"/>
    <w:rsid w:val="00DE48D6"/>
    <w:rsid w:val="00DE48E8"/>
    <w:rsid w:val="00DE48ED"/>
    <w:rsid w:val="00DE4917"/>
    <w:rsid w:val="00DE492E"/>
    <w:rsid w:val="00DE495B"/>
    <w:rsid w:val="00DE49C8"/>
    <w:rsid w:val="00DE4A24"/>
    <w:rsid w:val="00DE4B13"/>
    <w:rsid w:val="00DE4B3C"/>
    <w:rsid w:val="00DE4B90"/>
    <w:rsid w:val="00DE4BEC"/>
    <w:rsid w:val="00DE4C6A"/>
    <w:rsid w:val="00DE4CB9"/>
    <w:rsid w:val="00DE4D7A"/>
    <w:rsid w:val="00DE4DAF"/>
    <w:rsid w:val="00DE4E07"/>
    <w:rsid w:val="00DE4E10"/>
    <w:rsid w:val="00DE4E39"/>
    <w:rsid w:val="00DE4EC4"/>
    <w:rsid w:val="00DE4F13"/>
    <w:rsid w:val="00DE4F22"/>
    <w:rsid w:val="00DE4F30"/>
    <w:rsid w:val="00DE4F92"/>
    <w:rsid w:val="00DE4FCC"/>
    <w:rsid w:val="00DE4FD3"/>
    <w:rsid w:val="00DE4FD6"/>
    <w:rsid w:val="00DE500C"/>
    <w:rsid w:val="00DE501B"/>
    <w:rsid w:val="00DE5040"/>
    <w:rsid w:val="00DE5107"/>
    <w:rsid w:val="00DE514A"/>
    <w:rsid w:val="00DE5161"/>
    <w:rsid w:val="00DE51AD"/>
    <w:rsid w:val="00DE51B2"/>
    <w:rsid w:val="00DE51E2"/>
    <w:rsid w:val="00DE51E8"/>
    <w:rsid w:val="00DE5297"/>
    <w:rsid w:val="00DE5393"/>
    <w:rsid w:val="00DE53B0"/>
    <w:rsid w:val="00DE53D3"/>
    <w:rsid w:val="00DE53E3"/>
    <w:rsid w:val="00DE5450"/>
    <w:rsid w:val="00DE5494"/>
    <w:rsid w:val="00DE54AA"/>
    <w:rsid w:val="00DE54FC"/>
    <w:rsid w:val="00DE54FE"/>
    <w:rsid w:val="00DE5506"/>
    <w:rsid w:val="00DE551D"/>
    <w:rsid w:val="00DE552E"/>
    <w:rsid w:val="00DE5538"/>
    <w:rsid w:val="00DE5573"/>
    <w:rsid w:val="00DE5695"/>
    <w:rsid w:val="00DE56E6"/>
    <w:rsid w:val="00DE56F4"/>
    <w:rsid w:val="00DE5752"/>
    <w:rsid w:val="00DE5762"/>
    <w:rsid w:val="00DE578A"/>
    <w:rsid w:val="00DE57A7"/>
    <w:rsid w:val="00DE57E4"/>
    <w:rsid w:val="00DE580B"/>
    <w:rsid w:val="00DE582D"/>
    <w:rsid w:val="00DE5863"/>
    <w:rsid w:val="00DE590C"/>
    <w:rsid w:val="00DE5A21"/>
    <w:rsid w:val="00DE5A5A"/>
    <w:rsid w:val="00DE5A8C"/>
    <w:rsid w:val="00DE5AB8"/>
    <w:rsid w:val="00DE5ADC"/>
    <w:rsid w:val="00DE5AFF"/>
    <w:rsid w:val="00DE5B5C"/>
    <w:rsid w:val="00DE5B99"/>
    <w:rsid w:val="00DE5BD0"/>
    <w:rsid w:val="00DE5BE7"/>
    <w:rsid w:val="00DE5BEC"/>
    <w:rsid w:val="00DE5CA5"/>
    <w:rsid w:val="00DE5CC7"/>
    <w:rsid w:val="00DE5D06"/>
    <w:rsid w:val="00DE5D5D"/>
    <w:rsid w:val="00DE5D6E"/>
    <w:rsid w:val="00DE5DFF"/>
    <w:rsid w:val="00DE5E05"/>
    <w:rsid w:val="00DE5E48"/>
    <w:rsid w:val="00DE5E66"/>
    <w:rsid w:val="00DE5E9A"/>
    <w:rsid w:val="00DE5F01"/>
    <w:rsid w:val="00DE5F3C"/>
    <w:rsid w:val="00DE5F61"/>
    <w:rsid w:val="00DE5F99"/>
    <w:rsid w:val="00DE5FA1"/>
    <w:rsid w:val="00DE600D"/>
    <w:rsid w:val="00DE6032"/>
    <w:rsid w:val="00DE6047"/>
    <w:rsid w:val="00DE6048"/>
    <w:rsid w:val="00DE60CD"/>
    <w:rsid w:val="00DE60F0"/>
    <w:rsid w:val="00DE6139"/>
    <w:rsid w:val="00DE6150"/>
    <w:rsid w:val="00DE61D7"/>
    <w:rsid w:val="00DE61E2"/>
    <w:rsid w:val="00DE61EB"/>
    <w:rsid w:val="00DE624A"/>
    <w:rsid w:val="00DE626C"/>
    <w:rsid w:val="00DE6319"/>
    <w:rsid w:val="00DE631D"/>
    <w:rsid w:val="00DE6345"/>
    <w:rsid w:val="00DE63B5"/>
    <w:rsid w:val="00DE63F9"/>
    <w:rsid w:val="00DE6448"/>
    <w:rsid w:val="00DE64D6"/>
    <w:rsid w:val="00DE65BB"/>
    <w:rsid w:val="00DE65FF"/>
    <w:rsid w:val="00DE660C"/>
    <w:rsid w:val="00DE6630"/>
    <w:rsid w:val="00DE6660"/>
    <w:rsid w:val="00DE66D2"/>
    <w:rsid w:val="00DE6703"/>
    <w:rsid w:val="00DE6718"/>
    <w:rsid w:val="00DE6724"/>
    <w:rsid w:val="00DE6735"/>
    <w:rsid w:val="00DE6787"/>
    <w:rsid w:val="00DE6847"/>
    <w:rsid w:val="00DE685F"/>
    <w:rsid w:val="00DE6883"/>
    <w:rsid w:val="00DE689E"/>
    <w:rsid w:val="00DE68DF"/>
    <w:rsid w:val="00DE696E"/>
    <w:rsid w:val="00DE699A"/>
    <w:rsid w:val="00DE69AF"/>
    <w:rsid w:val="00DE69B4"/>
    <w:rsid w:val="00DE69C5"/>
    <w:rsid w:val="00DE6A06"/>
    <w:rsid w:val="00DE6AFB"/>
    <w:rsid w:val="00DE6B70"/>
    <w:rsid w:val="00DE6B87"/>
    <w:rsid w:val="00DE6BA9"/>
    <w:rsid w:val="00DE6BE3"/>
    <w:rsid w:val="00DE6C5C"/>
    <w:rsid w:val="00DE6D1F"/>
    <w:rsid w:val="00DE6D2C"/>
    <w:rsid w:val="00DE6D77"/>
    <w:rsid w:val="00DE6DBA"/>
    <w:rsid w:val="00DE6DE8"/>
    <w:rsid w:val="00DE6DFB"/>
    <w:rsid w:val="00DE6EB0"/>
    <w:rsid w:val="00DE6ED6"/>
    <w:rsid w:val="00DE6EDA"/>
    <w:rsid w:val="00DE6EFE"/>
    <w:rsid w:val="00DE6FBB"/>
    <w:rsid w:val="00DE6FC5"/>
    <w:rsid w:val="00DE6FC6"/>
    <w:rsid w:val="00DE6FCC"/>
    <w:rsid w:val="00DE70F1"/>
    <w:rsid w:val="00DE711F"/>
    <w:rsid w:val="00DE7122"/>
    <w:rsid w:val="00DE716D"/>
    <w:rsid w:val="00DE71A7"/>
    <w:rsid w:val="00DE7202"/>
    <w:rsid w:val="00DE7209"/>
    <w:rsid w:val="00DE7246"/>
    <w:rsid w:val="00DE7277"/>
    <w:rsid w:val="00DE727D"/>
    <w:rsid w:val="00DE736D"/>
    <w:rsid w:val="00DE738D"/>
    <w:rsid w:val="00DE73AC"/>
    <w:rsid w:val="00DE73C8"/>
    <w:rsid w:val="00DE73E6"/>
    <w:rsid w:val="00DE73FF"/>
    <w:rsid w:val="00DE7472"/>
    <w:rsid w:val="00DE7476"/>
    <w:rsid w:val="00DE7482"/>
    <w:rsid w:val="00DE74C8"/>
    <w:rsid w:val="00DE7519"/>
    <w:rsid w:val="00DE754B"/>
    <w:rsid w:val="00DE7594"/>
    <w:rsid w:val="00DE75E6"/>
    <w:rsid w:val="00DE75EF"/>
    <w:rsid w:val="00DE7647"/>
    <w:rsid w:val="00DE7677"/>
    <w:rsid w:val="00DE768E"/>
    <w:rsid w:val="00DE76A8"/>
    <w:rsid w:val="00DE76CC"/>
    <w:rsid w:val="00DE76E4"/>
    <w:rsid w:val="00DE7772"/>
    <w:rsid w:val="00DE7786"/>
    <w:rsid w:val="00DE7799"/>
    <w:rsid w:val="00DE77A5"/>
    <w:rsid w:val="00DE7801"/>
    <w:rsid w:val="00DE7878"/>
    <w:rsid w:val="00DE7897"/>
    <w:rsid w:val="00DE78C7"/>
    <w:rsid w:val="00DE78EB"/>
    <w:rsid w:val="00DE7907"/>
    <w:rsid w:val="00DE79BE"/>
    <w:rsid w:val="00DE79D8"/>
    <w:rsid w:val="00DE7A9C"/>
    <w:rsid w:val="00DE7B58"/>
    <w:rsid w:val="00DE7B96"/>
    <w:rsid w:val="00DE7C39"/>
    <w:rsid w:val="00DE7CA0"/>
    <w:rsid w:val="00DE7CCB"/>
    <w:rsid w:val="00DE7D23"/>
    <w:rsid w:val="00DE7D44"/>
    <w:rsid w:val="00DE7D49"/>
    <w:rsid w:val="00DE7D79"/>
    <w:rsid w:val="00DE7D9D"/>
    <w:rsid w:val="00DE7DA5"/>
    <w:rsid w:val="00DE7DAC"/>
    <w:rsid w:val="00DE7E9D"/>
    <w:rsid w:val="00DE7EB5"/>
    <w:rsid w:val="00DE7EB9"/>
    <w:rsid w:val="00DE7EC4"/>
    <w:rsid w:val="00DE7F3B"/>
    <w:rsid w:val="00DE7FA8"/>
    <w:rsid w:val="00DE7FBF"/>
    <w:rsid w:val="00DF0012"/>
    <w:rsid w:val="00DF0027"/>
    <w:rsid w:val="00DF0063"/>
    <w:rsid w:val="00DF0064"/>
    <w:rsid w:val="00DF0125"/>
    <w:rsid w:val="00DF0130"/>
    <w:rsid w:val="00DF0166"/>
    <w:rsid w:val="00DF017C"/>
    <w:rsid w:val="00DF01CF"/>
    <w:rsid w:val="00DF01EF"/>
    <w:rsid w:val="00DF020D"/>
    <w:rsid w:val="00DF021A"/>
    <w:rsid w:val="00DF0224"/>
    <w:rsid w:val="00DF024D"/>
    <w:rsid w:val="00DF0270"/>
    <w:rsid w:val="00DF0289"/>
    <w:rsid w:val="00DF030A"/>
    <w:rsid w:val="00DF033B"/>
    <w:rsid w:val="00DF0345"/>
    <w:rsid w:val="00DF0347"/>
    <w:rsid w:val="00DF0405"/>
    <w:rsid w:val="00DF0408"/>
    <w:rsid w:val="00DF0423"/>
    <w:rsid w:val="00DF0428"/>
    <w:rsid w:val="00DF045A"/>
    <w:rsid w:val="00DF04A9"/>
    <w:rsid w:val="00DF04CF"/>
    <w:rsid w:val="00DF0504"/>
    <w:rsid w:val="00DF051A"/>
    <w:rsid w:val="00DF0556"/>
    <w:rsid w:val="00DF059A"/>
    <w:rsid w:val="00DF05B4"/>
    <w:rsid w:val="00DF064B"/>
    <w:rsid w:val="00DF06D0"/>
    <w:rsid w:val="00DF06D9"/>
    <w:rsid w:val="00DF0714"/>
    <w:rsid w:val="00DF0742"/>
    <w:rsid w:val="00DF0756"/>
    <w:rsid w:val="00DF07A7"/>
    <w:rsid w:val="00DF087B"/>
    <w:rsid w:val="00DF0883"/>
    <w:rsid w:val="00DF08F6"/>
    <w:rsid w:val="00DF092B"/>
    <w:rsid w:val="00DF092F"/>
    <w:rsid w:val="00DF0951"/>
    <w:rsid w:val="00DF09B2"/>
    <w:rsid w:val="00DF09D0"/>
    <w:rsid w:val="00DF0A14"/>
    <w:rsid w:val="00DF0A2D"/>
    <w:rsid w:val="00DF0ABF"/>
    <w:rsid w:val="00DF0AD0"/>
    <w:rsid w:val="00DF0B77"/>
    <w:rsid w:val="00DF0BA0"/>
    <w:rsid w:val="00DF0BDC"/>
    <w:rsid w:val="00DF0BFA"/>
    <w:rsid w:val="00DF0C32"/>
    <w:rsid w:val="00DF0CCF"/>
    <w:rsid w:val="00DF0D77"/>
    <w:rsid w:val="00DF0DA8"/>
    <w:rsid w:val="00DF0DC7"/>
    <w:rsid w:val="00DF0E23"/>
    <w:rsid w:val="00DF0E34"/>
    <w:rsid w:val="00DF0E3A"/>
    <w:rsid w:val="00DF0E81"/>
    <w:rsid w:val="00DF0EC1"/>
    <w:rsid w:val="00DF0ED7"/>
    <w:rsid w:val="00DF0EF1"/>
    <w:rsid w:val="00DF0F58"/>
    <w:rsid w:val="00DF0F5A"/>
    <w:rsid w:val="00DF0F7A"/>
    <w:rsid w:val="00DF0F7D"/>
    <w:rsid w:val="00DF102E"/>
    <w:rsid w:val="00DF10F9"/>
    <w:rsid w:val="00DF113B"/>
    <w:rsid w:val="00DF123D"/>
    <w:rsid w:val="00DF12A5"/>
    <w:rsid w:val="00DF12A8"/>
    <w:rsid w:val="00DF1309"/>
    <w:rsid w:val="00DF132C"/>
    <w:rsid w:val="00DF1355"/>
    <w:rsid w:val="00DF1385"/>
    <w:rsid w:val="00DF13CF"/>
    <w:rsid w:val="00DF144B"/>
    <w:rsid w:val="00DF1470"/>
    <w:rsid w:val="00DF1499"/>
    <w:rsid w:val="00DF1541"/>
    <w:rsid w:val="00DF157B"/>
    <w:rsid w:val="00DF1588"/>
    <w:rsid w:val="00DF159B"/>
    <w:rsid w:val="00DF15AE"/>
    <w:rsid w:val="00DF164E"/>
    <w:rsid w:val="00DF166E"/>
    <w:rsid w:val="00DF1671"/>
    <w:rsid w:val="00DF16EA"/>
    <w:rsid w:val="00DF1715"/>
    <w:rsid w:val="00DF178E"/>
    <w:rsid w:val="00DF1796"/>
    <w:rsid w:val="00DF17BD"/>
    <w:rsid w:val="00DF17DB"/>
    <w:rsid w:val="00DF18A1"/>
    <w:rsid w:val="00DF18C9"/>
    <w:rsid w:val="00DF1911"/>
    <w:rsid w:val="00DF195B"/>
    <w:rsid w:val="00DF195E"/>
    <w:rsid w:val="00DF196D"/>
    <w:rsid w:val="00DF1A06"/>
    <w:rsid w:val="00DF1A21"/>
    <w:rsid w:val="00DF1A36"/>
    <w:rsid w:val="00DF1AEC"/>
    <w:rsid w:val="00DF1B3A"/>
    <w:rsid w:val="00DF1BDE"/>
    <w:rsid w:val="00DF1C53"/>
    <w:rsid w:val="00DF1C5A"/>
    <w:rsid w:val="00DF1C64"/>
    <w:rsid w:val="00DF1C92"/>
    <w:rsid w:val="00DF1C98"/>
    <w:rsid w:val="00DF1CB5"/>
    <w:rsid w:val="00DF1CD6"/>
    <w:rsid w:val="00DF1CF4"/>
    <w:rsid w:val="00DF1D2B"/>
    <w:rsid w:val="00DF1D6A"/>
    <w:rsid w:val="00DF1DD8"/>
    <w:rsid w:val="00DF1DDE"/>
    <w:rsid w:val="00DF1E26"/>
    <w:rsid w:val="00DF1EAC"/>
    <w:rsid w:val="00DF1EE8"/>
    <w:rsid w:val="00DF1F73"/>
    <w:rsid w:val="00DF1FB2"/>
    <w:rsid w:val="00DF1FCC"/>
    <w:rsid w:val="00DF1FD3"/>
    <w:rsid w:val="00DF2070"/>
    <w:rsid w:val="00DF207A"/>
    <w:rsid w:val="00DF2085"/>
    <w:rsid w:val="00DF20DD"/>
    <w:rsid w:val="00DF20F4"/>
    <w:rsid w:val="00DF2157"/>
    <w:rsid w:val="00DF2178"/>
    <w:rsid w:val="00DF217F"/>
    <w:rsid w:val="00DF2198"/>
    <w:rsid w:val="00DF22E2"/>
    <w:rsid w:val="00DF2304"/>
    <w:rsid w:val="00DF230E"/>
    <w:rsid w:val="00DF232D"/>
    <w:rsid w:val="00DF237B"/>
    <w:rsid w:val="00DF2395"/>
    <w:rsid w:val="00DF24D9"/>
    <w:rsid w:val="00DF24EA"/>
    <w:rsid w:val="00DF2517"/>
    <w:rsid w:val="00DF255C"/>
    <w:rsid w:val="00DF2565"/>
    <w:rsid w:val="00DF2591"/>
    <w:rsid w:val="00DF2658"/>
    <w:rsid w:val="00DF2687"/>
    <w:rsid w:val="00DF26AC"/>
    <w:rsid w:val="00DF26C3"/>
    <w:rsid w:val="00DF27C1"/>
    <w:rsid w:val="00DF27E7"/>
    <w:rsid w:val="00DF27F8"/>
    <w:rsid w:val="00DF27FD"/>
    <w:rsid w:val="00DF281C"/>
    <w:rsid w:val="00DF284E"/>
    <w:rsid w:val="00DF28C2"/>
    <w:rsid w:val="00DF2900"/>
    <w:rsid w:val="00DF2920"/>
    <w:rsid w:val="00DF2926"/>
    <w:rsid w:val="00DF295B"/>
    <w:rsid w:val="00DF2962"/>
    <w:rsid w:val="00DF2A05"/>
    <w:rsid w:val="00DF2A29"/>
    <w:rsid w:val="00DF2A49"/>
    <w:rsid w:val="00DF2A62"/>
    <w:rsid w:val="00DF2A66"/>
    <w:rsid w:val="00DF2A73"/>
    <w:rsid w:val="00DF2AA3"/>
    <w:rsid w:val="00DF2B40"/>
    <w:rsid w:val="00DF2BB4"/>
    <w:rsid w:val="00DF2BD5"/>
    <w:rsid w:val="00DF2BF5"/>
    <w:rsid w:val="00DF2C0C"/>
    <w:rsid w:val="00DF2C3C"/>
    <w:rsid w:val="00DF2C4D"/>
    <w:rsid w:val="00DF2C77"/>
    <w:rsid w:val="00DF2CDD"/>
    <w:rsid w:val="00DF2D26"/>
    <w:rsid w:val="00DF2D63"/>
    <w:rsid w:val="00DF2D70"/>
    <w:rsid w:val="00DF2DC3"/>
    <w:rsid w:val="00DF2E47"/>
    <w:rsid w:val="00DF2E74"/>
    <w:rsid w:val="00DF2E86"/>
    <w:rsid w:val="00DF2F2B"/>
    <w:rsid w:val="00DF2F89"/>
    <w:rsid w:val="00DF2F97"/>
    <w:rsid w:val="00DF2FB5"/>
    <w:rsid w:val="00DF2FE1"/>
    <w:rsid w:val="00DF3021"/>
    <w:rsid w:val="00DF3061"/>
    <w:rsid w:val="00DF30B4"/>
    <w:rsid w:val="00DF3114"/>
    <w:rsid w:val="00DF3127"/>
    <w:rsid w:val="00DF317E"/>
    <w:rsid w:val="00DF3182"/>
    <w:rsid w:val="00DF31D1"/>
    <w:rsid w:val="00DF32A3"/>
    <w:rsid w:val="00DF32B8"/>
    <w:rsid w:val="00DF32FE"/>
    <w:rsid w:val="00DF334B"/>
    <w:rsid w:val="00DF338A"/>
    <w:rsid w:val="00DF3405"/>
    <w:rsid w:val="00DF3434"/>
    <w:rsid w:val="00DF348B"/>
    <w:rsid w:val="00DF3499"/>
    <w:rsid w:val="00DF34AC"/>
    <w:rsid w:val="00DF34C7"/>
    <w:rsid w:val="00DF35E9"/>
    <w:rsid w:val="00DF35F6"/>
    <w:rsid w:val="00DF360C"/>
    <w:rsid w:val="00DF3613"/>
    <w:rsid w:val="00DF361A"/>
    <w:rsid w:val="00DF36E3"/>
    <w:rsid w:val="00DF3772"/>
    <w:rsid w:val="00DF37C5"/>
    <w:rsid w:val="00DF37E7"/>
    <w:rsid w:val="00DF37EC"/>
    <w:rsid w:val="00DF389A"/>
    <w:rsid w:val="00DF3908"/>
    <w:rsid w:val="00DF3931"/>
    <w:rsid w:val="00DF3959"/>
    <w:rsid w:val="00DF3995"/>
    <w:rsid w:val="00DF399F"/>
    <w:rsid w:val="00DF39B3"/>
    <w:rsid w:val="00DF39CE"/>
    <w:rsid w:val="00DF39E9"/>
    <w:rsid w:val="00DF3A04"/>
    <w:rsid w:val="00DF3A5C"/>
    <w:rsid w:val="00DF3A8B"/>
    <w:rsid w:val="00DF3AA9"/>
    <w:rsid w:val="00DF3B17"/>
    <w:rsid w:val="00DF3BC2"/>
    <w:rsid w:val="00DF3C6B"/>
    <w:rsid w:val="00DF3C76"/>
    <w:rsid w:val="00DF3C79"/>
    <w:rsid w:val="00DF3C97"/>
    <w:rsid w:val="00DF3CB8"/>
    <w:rsid w:val="00DF3CD5"/>
    <w:rsid w:val="00DF3CFF"/>
    <w:rsid w:val="00DF3DAE"/>
    <w:rsid w:val="00DF3EE2"/>
    <w:rsid w:val="00DF3F29"/>
    <w:rsid w:val="00DF3F31"/>
    <w:rsid w:val="00DF3F6F"/>
    <w:rsid w:val="00DF3FB6"/>
    <w:rsid w:val="00DF4008"/>
    <w:rsid w:val="00DF4090"/>
    <w:rsid w:val="00DF40B3"/>
    <w:rsid w:val="00DF40E8"/>
    <w:rsid w:val="00DF4180"/>
    <w:rsid w:val="00DF41A7"/>
    <w:rsid w:val="00DF41C6"/>
    <w:rsid w:val="00DF41CB"/>
    <w:rsid w:val="00DF41E0"/>
    <w:rsid w:val="00DF4288"/>
    <w:rsid w:val="00DF42B1"/>
    <w:rsid w:val="00DF42B7"/>
    <w:rsid w:val="00DF42FA"/>
    <w:rsid w:val="00DF435B"/>
    <w:rsid w:val="00DF439C"/>
    <w:rsid w:val="00DF4468"/>
    <w:rsid w:val="00DF4493"/>
    <w:rsid w:val="00DF44B1"/>
    <w:rsid w:val="00DF44D3"/>
    <w:rsid w:val="00DF44D4"/>
    <w:rsid w:val="00DF4531"/>
    <w:rsid w:val="00DF4550"/>
    <w:rsid w:val="00DF455A"/>
    <w:rsid w:val="00DF45BE"/>
    <w:rsid w:val="00DF45D0"/>
    <w:rsid w:val="00DF461C"/>
    <w:rsid w:val="00DF4660"/>
    <w:rsid w:val="00DF469A"/>
    <w:rsid w:val="00DF46CC"/>
    <w:rsid w:val="00DF46E9"/>
    <w:rsid w:val="00DF4725"/>
    <w:rsid w:val="00DF47A2"/>
    <w:rsid w:val="00DF4814"/>
    <w:rsid w:val="00DF4817"/>
    <w:rsid w:val="00DF4835"/>
    <w:rsid w:val="00DF4842"/>
    <w:rsid w:val="00DF487D"/>
    <w:rsid w:val="00DF48D8"/>
    <w:rsid w:val="00DF4976"/>
    <w:rsid w:val="00DF4981"/>
    <w:rsid w:val="00DF49B3"/>
    <w:rsid w:val="00DF49C8"/>
    <w:rsid w:val="00DF49CF"/>
    <w:rsid w:val="00DF4B07"/>
    <w:rsid w:val="00DF4B4C"/>
    <w:rsid w:val="00DF4B54"/>
    <w:rsid w:val="00DF4B68"/>
    <w:rsid w:val="00DF4BB4"/>
    <w:rsid w:val="00DF4BCA"/>
    <w:rsid w:val="00DF4C62"/>
    <w:rsid w:val="00DF4C9F"/>
    <w:rsid w:val="00DF4CBC"/>
    <w:rsid w:val="00DF4CD5"/>
    <w:rsid w:val="00DF4CE6"/>
    <w:rsid w:val="00DF4D45"/>
    <w:rsid w:val="00DF4D55"/>
    <w:rsid w:val="00DF4E34"/>
    <w:rsid w:val="00DF4E3A"/>
    <w:rsid w:val="00DF4E63"/>
    <w:rsid w:val="00DF4E9E"/>
    <w:rsid w:val="00DF4EA9"/>
    <w:rsid w:val="00DF4EEB"/>
    <w:rsid w:val="00DF4F1C"/>
    <w:rsid w:val="00DF4F42"/>
    <w:rsid w:val="00DF4FB7"/>
    <w:rsid w:val="00DF4FC1"/>
    <w:rsid w:val="00DF4FC2"/>
    <w:rsid w:val="00DF4FF9"/>
    <w:rsid w:val="00DF5156"/>
    <w:rsid w:val="00DF521A"/>
    <w:rsid w:val="00DF52CC"/>
    <w:rsid w:val="00DF5328"/>
    <w:rsid w:val="00DF5345"/>
    <w:rsid w:val="00DF5356"/>
    <w:rsid w:val="00DF539E"/>
    <w:rsid w:val="00DF53B6"/>
    <w:rsid w:val="00DF5455"/>
    <w:rsid w:val="00DF5474"/>
    <w:rsid w:val="00DF5523"/>
    <w:rsid w:val="00DF5524"/>
    <w:rsid w:val="00DF553A"/>
    <w:rsid w:val="00DF5577"/>
    <w:rsid w:val="00DF55AA"/>
    <w:rsid w:val="00DF55BE"/>
    <w:rsid w:val="00DF55CE"/>
    <w:rsid w:val="00DF55D3"/>
    <w:rsid w:val="00DF55F6"/>
    <w:rsid w:val="00DF5683"/>
    <w:rsid w:val="00DF568A"/>
    <w:rsid w:val="00DF5694"/>
    <w:rsid w:val="00DF569E"/>
    <w:rsid w:val="00DF56A6"/>
    <w:rsid w:val="00DF56BB"/>
    <w:rsid w:val="00DF56CB"/>
    <w:rsid w:val="00DF56E8"/>
    <w:rsid w:val="00DF57AA"/>
    <w:rsid w:val="00DF57E7"/>
    <w:rsid w:val="00DF580F"/>
    <w:rsid w:val="00DF5813"/>
    <w:rsid w:val="00DF581E"/>
    <w:rsid w:val="00DF5881"/>
    <w:rsid w:val="00DF588E"/>
    <w:rsid w:val="00DF58E4"/>
    <w:rsid w:val="00DF58F0"/>
    <w:rsid w:val="00DF5903"/>
    <w:rsid w:val="00DF5906"/>
    <w:rsid w:val="00DF5933"/>
    <w:rsid w:val="00DF598E"/>
    <w:rsid w:val="00DF5AA4"/>
    <w:rsid w:val="00DF5AB6"/>
    <w:rsid w:val="00DF5B09"/>
    <w:rsid w:val="00DF5B36"/>
    <w:rsid w:val="00DF5B69"/>
    <w:rsid w:val="00DF5B77"/>
    <w:rsid w:val="00DF5B86"/>
    <w:rsid w:val="00DF5BA5"/>
    <w:rsid w:val="00DF5BB3"/>
    <w:rsid w:val="00DF5BD9"/>
    <w:rsid w:val="00DF5BE7"/>
    <w:rsid w:val="00DF5C28"/>
    <w:rsid w:val="00DF5C2C"/>
    <w:rsid w:val="00DF5C3D"/>
    <w:rsid w:val="00DF5C51"/>
    <w:rsid w:val="00DF5CF2"/>
    <w:rsid w:val="00DF5D32"/>
    <w:rsid w:val="00DF5D54"/>
    <w:rsid w:val="00DF5DA9"/>
    <w:rsid w:val="00DF5DB1"/>
    <w:rsid w:val="00DF5E1B"/>
    <w:rsid w:val="00DF5E3A"/>
    <w:rsid w:val="00DF5E81"/>
    <w:rsid w:val="00DF5EBF"/>
    <w:rsid w:val="00DF5EC6"/>
    <w:rsid w:val="00DF5EDA"/>
    <w:rsid w:val="00DF5EFB"/>
    <w:rsid w:val="00DF5F0C"/>
    <w:rsid w:val="00DF5F89"/>
    <w:rsid w:val="00DF5FF2"/>
    <w:rsid w:val="00DF6045"/>
    <w:rsid w:val="00DF604E"/>
    <w:rsid w:val="00DF60BB"/>
    <w:rsid w:val="00DF60F5"/>
    <w:rsid w:val="00DF6101"/>
    <w:rsid w:val="00DF6149"/>
    <w:rsid w:val="00DF615E"/>
    <w:rsid w:val="00DF6168"/>
    <w:rsid w:val="00DF6179"/>
    <w:rsid w:val="00DF6184"/>
    <w:rsid w:val="00DF61C6"/>
    <w:rsid w:val="00DF6226"/>
    <w:rsid w:val="00DF6238"/>
    <w:rsid w:val="00DF6260"/>
    <w:rsid w:val="00DF6276"/>
    <w:rsid w:val="00DF627A"/>
    <w:rsid w:val="00DF6344"/>
    <w:rsid w:val="00DF6394"/>
    <w:rsid w:val="00DF63E2"/>
    <w:rsid w:val="00DF6477"/>
    <w:rsid w:val="00DF64A4"/>
    <w:rsid w:val="00DF6505"/>
    <w:rsid w:val="00DF6543"/>
    <w:rsid w:val="00DF6555"/>
    <w:rsid w:val="00DF65B5"/>
    <w:rsid w:val="00DF65CE"/>
    <w:rsid w:val="00DF6610"/>
    <w:rsid w:val="00DF6641"/>
    <w:rsid w:val="00DF6673"/>
    <w:rsid w:val="00DF668A"/>
    <w:rsid w:val="00DF6692"/>
    <w:rsid w:val="00DF66F0"/>
    <w:rsid w:val="00DF6712"/>
    <w:rsid w:val="00DF6717"/>
    <w:rsid w:val="00DF6725"/>
    <w:rsid w:val="00DF6770"/>
    <w:rsid w:val="00DF6807"/>
    <w:rsid w:val="00DF6814"/>
    <w:rsid w:val="00DF6845"/>
    <w:rsid w:val="00DF6922"/>
    <w:rsid w:val="00DF698B"/>
    <w:rsid w:val="00DF69A9"/>
    <w:rsid w:val="00DF69E6"/>
    <w:rsid w:val="00DF6ADC"/>
    <w:rsid w:val="00DF6AEB"/>
    <w:rsid w:val="00DF6B3C"/>
    <w:rsid w:val="00DF6BFE"/>
    <w:rsid w:val="00DF6C00"/>
    <w:rsid w:val="00DF6C91"/>
    <w:rsid w:val="00DF6CB2"/>
    <w:rsid w:val="00DF6CE2"/>
    <w:rsid w:val="00DF6D78"/>
    <w:rsid w:val="00DF6D86"/>
    <w:rsid w:val="00DF6DC0"/>
    <w:rsid w:val="00DF6E02"/>
    <w:rsid w:val="00DF6E03"/>
    <w:rsid w:val="00DF6ED9"/>
    <w:rsid w:val="00DF6F12"/>
    <w:rsid w:val="00DF6F25"/>
    <w:rsid w:val="00DF6F5C"/>
    <w:rsid w:val="00DF6F61"/>
    <w:rsid w:val="00DF6FDF"/>
    <w:rsid w:val="00DF7008"/>
    <w:rsid w:val="00DF705F"/>
    <w:rsid w:val="00DF7080"/>
    <w:rsid w:val="00DF708E"/>
    <w:rsid w:val="00DF712C"/>
    <w:rsid w:val="00DF7143"/>
    <w:rsid w:val="00DF718A"/>
    <w:rsid w:val="00DF71B9"/>
    <w:rsid w:val="00DF71BE"/>
    <w:rsid w:val="00DF71C8"/>
    <w:rsid w:val="00DF720B"/>
    <w:rsid w:val="00DF7220"/>
    <w:rsid w:val="00DF72DD"/>
    <w:rsid w:val="00DF72FF"/>
    <w:rsid w:val="00DF7318"/>
    <w:rsid w:val="00DF732B"/>
    <w:rsid w:val="00DF7376"/>
    <w:rsid w:val="00DF74C9"/>
    <w:rsid w:val="00DF7579"/>
    <w:rsid w:val="00DF7618"/>
    <w:rsid w:val="00DF7627"/>
    <w:rsid w:val="00DF7687"/>
    <w:rsid w:val="00DF76E9"/>
    <w:rsid w:val="00DF772F"/>
    <w:rsid w:val="00DF7739"/>
    <w:rsid w:val="00DF774A"/>
    <w:rsid w:val="00DF776D"/>
    <w:rsid w:val="00DF777D"/>
    <w:rsid w:val="00DF7783"/>
    <w:rsid w:val="00DF77AC"/>
    <w:rsid w:val="00DF77B4"/>
    <w:rsid w:val="00DF77CB"/>
    <w:rsid w:val="00DF77CD"/>
    <w:rsid w:val="00DF77E2"/>
    <w:rsid w:val="00DF77EA"/>
    <w:rsid w:val="00DF77ED"/>
    <w:rsid w:val="00DF77FD"/>
    <w:rsid w:val="00DF7808"/>
    <w:rsid w:val="00DF7846"/>
    <w:rsid w:val="00DF7855"/>
    <w:rsid w:val="00DF78A9"/>
    <w:rsid w:val="00DF78F9"/>
    <w:rsid w:val="00DF791C"/>
    <w:rsid w:val="00DF7927"/>
    <w:rsid w:val="00DF797A"/>
    <w:rsid w:val="00DF798C"/>
    <w:rsid w:val="00DF79AB"/>
    <w:rsid w:val="00DF7A0E"/>
    <w:rsid w:val="00DF7AE4"/>
    <w:rsid w:val="00DF7AF3"/>
    <w:rsid w:val="00DF7B9E"/>
    <w:rsid w:val="00DF7BB2"/>
    <w:rsid w:val="00DF7BDC"/>
    <w:rsid w:val="00DF7C58"/>
    <w:rsid w:val="00DF7CBD"/>
    <w:rsid w:val="00DF7CFB"/>
    <w:rsid w:val="00DF7D37"/>
    <w:rsid w:val="00DF7D81"/>
    <w:rsid w:val="00DF7D83"/>
    <w:rsid w:val="00DF7DE9"/>
    <w:rsid w:val="00DF7DF0"/>
    <w:rsid w:val="00DF7EAE"/>
    <w:rsid w:val="00DF7F1B"/>
    <w:rsid w:val="00DF7F74"/>
    <w:rsid w:val="00DF7F86"/>
    <w:rsid w:val="00DF7FBD"/>
    <w:rsid w:val="00DF7FDD"/>
    <w:rsid w:val="00DF7FDF"/>
    <w:rsid w:val="00DF7FE1"/>
    <w:rsid w:val="00E00002"/>
    <w:rsid w:val="00E00022"/>
    <w:rsid w:val="00E00063"/>
    <w:rsid w:val="00E000B3"/>
    <w:rsid w:val="00E00175"/>
    <w:rsid w:val="00E001D6"/>
    <w:rsid w:val="00E001F1"/>
    <w:rsid w:val="00E001FD"/>
    <w:rsid w:val="00E0020F"/>
    <w:rsid w:val="00E00291"/>
    <w:rsid w:val="00E002D8"/>
    <w:rsid w:val="00E0035D"/>
    <w:rsid w:val="00E0036E"/>
    <w:rsid w:val="00E003C7"/>
    <w:rsid w:val="00E003CC"/>
    <w:rsid w:val="00E0041A"/>
    <w:rsid w:val="00E00481"/>
    <w:rsid w:val="00E0049A"/>
    <w:rsid w:val="00E004B5"/>
    <w:rsid w:val="00E004C4"/>
    <w:rsid w:val="00E004D0"/>
    <w:rsid w:val="00E0050D"/>
    <w:rsid w:val="00E005DC"/>
    <w:rsid w:val="00E0064A"/>
    <w:rsid w:val="00E00695"/>
    <w:rsid w:val="00E00708"/>
    <w:rsid w:val="00E00769"/>
    <w:rsid w:val="00E0077B"/>
    <w:rsid w:val="00E007B7"/>
    <w:rsid w:val="00E00884"/>
    <w:rsid w:val="00E008F7"/>
    <w:rsid w:val="00E0093C"/>
    <w:rsid w:val="00E0093D"/>
    <w:rsid w:val="00E009FA"/>
    <w:rsid w:val="00E00A49"/>
    <w:rsid w:val="00E00AE1"/>
    <w:rsid w:val="00E00AF7"/>
    <w:rsid w:val="00E00B5D"/>
    <w:rsid w:val="00E00BB1"/>
    <w:rsid w:val="00E00BD9"/>
    <w:rsid w:val="00E00BF5"/>
    <w:rsid w:val="00E00C2B"/>
    <w:rsid w:val="00E00C89"/>
    <w:rsid w:val="00E00CA9"/>
    <w:rsid w:val="00E00D0A"/>
    <w:rsid w:val="00E00D11"/>
    <w:rsid w:val="00E00D19"/>
    <w:rsid w:val="00E00D2C"/>
    <w:rsid w:val="00E00D2D"/>
    <w:rsid w:val="00E00D2E"/>
    <w:rsid w:val="00E00D50"/>
    <w:rsid w:val="00E00D9B"/>
    <w:rsid w:val="00E00DFC"/>
    <w:rsid w:val="00E00E7C"/>
    <w:rsid w:val="00E00E9E"/>
    <w:rsid w:val="00E00F58"/>
    <w:rsid w:val="00E00F5B"/>
    <w:rsid w:val="00E01005"/>
    <w:rsid w:val="00E0102C"/>
    <w:rsid w:val="00E01046"/>
    <w:rsid w:val="00E01078"/>
    <w:rsid w:val="00E0108C"/>
    <w:rsid w:val="00E01131"/>
    <w:rsid w:val="00E01178"/>
    <w:rsid w:val="00E0119F"/>
    <w:rsid w:val="00E01277"/>
    <w:rsid w:val="00E0127F"/>
    <w:rsid w:val="00E01284"/>
    <w:rsid w:val="00E012A3"/>
    <w:rsid w:val="00E012AE"/>
    <w:rsid w:val="00E012F7"/>
    <w:rsid w:val="00E01333"/>
    <w:rsid w:val="00E0135E"/>
    <w:rsid w:val="00E0139B"/>
    <w:rsid w:val="00E0143F"/>
    <w:rsid w:val="00E0146C"/>
    <w:rsid w:val="00E0153F"/>
    <w:rsid w:val="00E015F2"/>
    <w:rsid w:val="00E01613"/>
    <w:rsid w:val="00E0164E"/>
    <w:rsid w:val="00E01684"/>
    <w:rsid w:val="00E016DC"/>
    <w:rsid w:val="00E01711"/>
    <w:rsid w:val="00E0176D"/>
    <w:rsid w:val="00E01876"/>
    <w:rsid w:val="00E01909"/>
    <w:rsid w:val="00E01919"/>
    <w:rsid w:val="00E0197E"/>
    <w:rsid w:val="00E01A0B"/>
    <w:rsid w:val="00E01A1F"/>
    <w:rsid w:val="00E01A2E"/>
    <w:rsid w:val="00E01A4F"/>
    <w:rsid w:val="00E01A5C"/>
    <w:rsid w:val="00E01A60"/>
    <w:rsid w:val="00E01A88"/>
    <w:rsid w:val="00E01AA0"/>
    <w:rsid w:val="00E01AD8"/>
    <w:rsid w:val="00E01AE6"/>
    <w:rsid w:val="00E01B12"/>
    <w:rsid w:val="00E01B51"/>
    <w:rsid w:val="00E01BFF"/>
    <w:rsid w:val="00E01CA5"/>
    <w:rsid w:val="00E01D40"/>
    <w:rsid w:val="00E01E56"/>
    <w:rsid w:val="00E01E7C"/>
    <w:rsid w:val="00E01F30"/>
    <w:rsid w:val="00E01F48"/>
    <w:rsid w:val="00E01F61"/>
    <w:rsid w:val="00E01F76"/>
    <w:rsid w:val="00E01FA4"/>
    <w:rsid w:val="00E02081"/>
    <w:rsid w:val="00E020EF"/>
    <w:rsid w:val="00E02165"/>
    <w:rsid w:val="00E02276"/>
    <w:rsid w:val="00E0228A"/>
    <w:rsid w:val="00E022E6"/>
    <w:rsid w:val="00E022F8"/>
    <w:rsid w:val="00E02304"/>
    <w:rsid w:val="00E02311"/>
    <w:rsid w:val="00E02315"/>
    <w:rsid w:val="00E023A7"/>
    <w:rsid w:val="00E023AC"/>
    <w:rsid w:val="00E02407"/>
    <w:rsid w:val="00E02440"/>
    <w:rsid w:val="00E024AE"/>
    <w:rsid w:val="00E02535"/>
    <w:rsid w:val="00E02559"/>
    <w:rsid w:val="00E02568"/>
    <w:rsid w:val="00E025BC"/>
    <w:rsid w:val="00E025BD"/>
    <w:rsid w:val="00E025F0"/>
    <w:rsid w:val="00E025F1"/>
    <w:rsid w:val="00E0261C"/>
    <w:rsid w:val="00E0262B"/>
    <w:rsid w:val="00E02655"/>
    <w:rsid w:val="00E026B2"/>
    <w:rsid w:val="00E026EC"/>
    <w:rsid w:val="00E02897"/>
    <w:rsid w:val="00E02901"/>
    <w:rsid w:val="00E02973"/>
    <w:rsid w:val="00E0299B"/>
    <w:rsid w:val="00E029D5"/>
    <w:rsid w:val="00E029FD"/>
    <w:rsid w:val="00E02B36"/>
    <w:rsid w:val="00E02B49"/>
    <w:rsid w:val="00E02B66"/>
    <w:rsid w:val="00E02B68"/>
    <w:rsid w:val="00E02BF3"/>
    <w:rsid w:val="00E02C22"/>
    <w:rsid w:val="00E02C85"/>
    <w:rsid w:val="00E02C9F"/>
    <w:rsid w:val="00E02CD1"/>
    <w:rsid w:val="00E02CF8"/>
    <w:rsid w:val="00E02D2D"/>
    <w:rsid w:val="00E02E4A"/>
    <w:rsid w:val="00E02EB5"/>
    <w:rsid w:val="00E02EDC"/>
    <w:rsid w:val="00E02F14"/>
    <w:rsid w:val="00E02F9B"/>
    <w:rsid w:val="00E0300C"/>
    <w:rsid w:val="00E0301C"/>
    <w:rsid w:val="00E0305A"/>
    <w:rsid w:val="00E03127"/>
    <w:rsid w:val="00E0313F"/>
    <w:rsid w:val="00E031F3"/>
    <w:rsid w:val="00E03207"/>
    <w:rsid w:val="00E0324D"/>
    <w:rsid w:val="00E0329E"/>
    <w:rsid w:val="00E032A6"/>
    <w:rsid w:val="00E032DA"/>
    <w:rsid w:val="00E03303"/>
    <w:rsid w:val="00E03326"/>
    <w:rsid w:val="00E03349"/>
    <w:rsid w:val="00E033BC"/>
    <w:rsid w:val="00E033C8"/>
    <w:rsid w:val="00E03431"/>
    <w:rsid w:val="00E0343C"/>
    <w:rsid w:val="00E03505"/>
    <w:rsid w:val="00E0354E"/>
    <w:rsid w:val="00E03567"/>
    <w:rsid w:val="00E035EF"/>
    <w:rsid w:val="00E035F2"/>
    <w:rsid w:val="00E0369B"/>
    <w:rsid w:val="00E036A1"/>
    <w:rsid w:val="00E036CF"/>
    <w:rsid w:val="00E036ED"/>
    <w:rsid w:val="00E037F0"/>
    <w:rsid w:val="00E03830"/>
    <w:rsid w:val="00E03886"/>
    <w:rsid w:val="00E0388D"/>
    <w:rsid w:val="00E03890"/>
    <w:rsid w:val="00E038BA"/>
    <w:rsid w:val="00E038C8"/>
    <w:rsid w:val="00E038F0"/>
    <w:rsid w:val="00E03913"/>
    <w:rsid w:val="00E03927"/>
    <w:rsid w:val="00E03956"/>
    <w:rsid w:val="00E039D3"/>
    <w:rsid w:val="00E03A39"/>
    <w:rsid w:val="00E03A62"/>
    <w:rsid w:val="00E03A9F"/>
    <w:rsid w:val="00E03AD7"/>
    <w:rsid w:val="00E03AEB"/>
    <w:rsid w:val="00E03B45"/>
    <w:rsid w:val="00E03BAA"/>
    <w:rsid w:val="00E03BAB"/>
    <w:rsid w:val="00E03C4C"/>
    <w:rsid w:val="00E03CEF"/>
    <w:rsid w:val="00E03DBD"/>
    <w:rsid w:val="00E03DD8"/>
    <w:rsid w:val="00E03E81"/>
    <w:rsid w:val="00E03EF3"/>
    <w:rsid w:val="00E03F1A"/>
    <w:rsid w:val="00E03F89"/>
    <w:rsid w:val="00E03FBF"/>
    <w:rsid w:val="00E03FD4"/>
    <w:rsid w:val="00E04017"/>
    <w:rsid w:val="00E04024"/>
    <w:rsid w:val="00E040C3"/>
    <w:rsid w:val="00E040F4"/>
    <w:rsid w:val="00E04122"/>
    <w:rsid w:val="00E04157"/>
    <w:rsid w:val="00E04169"/>
    <w:rsid w:val="00E0418E"/>
    <w:rsid w:val="00E0424B"/>
    <w:rsid w:val="00E042E5"/>
    <w:rsid w:val="00E04316"/>
    <w:rsid w:val="00E04330"/>
    <w:rsid w:val="00E0437D"/>
    <w:rsid w:val="00E04382"/>
    <w:rsid w:val="00E04470"/>
    <w:rsid w:val="00E04501"/>
    <w:rsid w:val="00E0450C"/>
    <w:rsid w:val="00E04552"/>
    <w:rsid w:val="00E0459C"/>
    <w:rsid w:val="00E045AC"/>
    <w:rsid w:val="00E045F2"/>
    <w:rsid w:val="00E04669"/>
    <w:rsid w:val="00E04693"/>
    <w:rsid w:val="00E046A5"/>
    <w:rsid w:val="00E046B8"/>
    <w:rsid w:val="00E046BD"/>
    <w:rsid w:val="00E046D4"/>
    <w:rsid w:val="00E046EB"/>
    <w:rsid w:val="00E0472E"/>
    <w:rsid w:val="00E0472F"/>
    <w:rsid w:val="00E04739"/>
    <w:rsid w:val="00E0474A"/>
    <w:rsid w:val="00E0475D"/>
    <w:rsid w:val="00E0478F"/>
    <w:rsid w:val="00E04796"/>
    <w:rsid w:val="00E047E5"/>
    <w:rsid w:val="00E047E9"/>
    <w:rsid w:val="00E04889"/>
    <w:rsid w:val="00E048E0"/>
    <w:rsid w:val="00E048FB"/>
    <w:rsid w:val="00E0492A"/>
    <w:rsid w:val="00E04973"/>
    <w:rsid w:val="00E04995"/>
    <w:rsid w:val="00E04ABD"/>
    <w:rsid w:val="00E04B3A"/>
    <w:rsid w:val="00E04B57"/>
    <w:rsid w:val="00E04BF1"/>
    <w:rsid w:val="00E04C03"/>
    <w:rsid w:val="00E04CAE"/>
    <w:rsid w:val="00E04CAF"/>
    <w:rsid w:val="00E04D6A"/>
    <w:rsid w:val="00E04D6F"/>
    <w:rsid w:val="00E04D99"/>
    <w:rsid w:val="00E04DAC"/>
    <w:rsid w:val="00E04E0A"/>
    <w:rsid w:val="00E04EBE"/>
    <w:rsid w:val="00E04EF6"/>
    <w:rsid w:val="00E04F1F"/>
    <w:rsid w:val="00E04F50"/>
    <w:rsid w:val="00E04F7C"/>
    <w:rsid w:val="00E04FA9"/>
    <w:rsid w:val="00E05061"/>
    <w:rsid w:val="00E050B0"/>
    <w:rsid w:val="00E0511C"/>
    <w:rsid w:val="00E05195"/>
    <w:rsid w:val="00E051A0"/>
    <w:rsid w:val="00E051A9"/>
    <w:rsid w:val="00E051CB"/>
    <w:rsid w:val="00E05226"/>
    <w:rsid w:val="00E05297"/>
    <w:rsid w:val="00E052E1"/>
    <w:rsid w:val="00E0535E"/>
    <w:rsid w:val="00E05391"/>
    <w:rsid w:val="00E053B0"/>
    <w:rsid w:val="00E053B8"/>
    <w:rsid w:val="00E054C2"/>
    <w:rsid w:val="00E054C6"/>
    <w:rsid w:val="00E055A0"/>
    <w:rsid w:val="00E055AE"/>
    <w:rsid w:val="00E0566C"/>
    <w:rsid w:val="00E05691"/>
    <w:rsid w:val="00E056DE"/>
    <w:rsid w:val="00E056F9"/>
    <w:rsid w:val="00E0571F"/>
    <w:rsid w:val="00E057A7"/>
    <w:rsid w:val="00E0582D"/>
    <w:rsid w:val="00E058A6"/>
    <w:rsid w:val="00E0592B"/>
    <w:rsid w:val="00E05977"/>
    <w:rsid w:val="00E059A0"/>
    <w:rsid w:val="00E059C8"/>
    <w:rsid w:val="00E059E2"/>
    <w:rsid w:val="00E059F5"/>
    <w:rsid w:val="00E05A06"/>
    <w:rsid w:val="00E05ACE"/>
    <w:rsid w:val="00E05B8F"/>
    <w:rsid w:val="00E05BBF"/>
    <w:rsid w:val="00E05D1A"/>
    <w:rsid w:val="00E05D71"/>
    <w:rsid w:val="00E05E1A"/>
    <w:rsid w:val="00E05E8F"/>
    <w:rsid w:val="00E05E91"/>
    <w:rsid w:val="00E05EEA"/>
    <w:rsid w:val="00E05EF6"/>
    <w:rsid w:val="00E05F58"/>
    <w:rsid w:val="00E05FB2"/>
    <w:rsid w:val="00E05FC0"/>
    <w:rsid w:val="00E06007"/>
    <w:rsid w:val="00E0605C"/>
    <w:rsid w:val="00E06066"/>
    <w:rsid w:val="00E060A8"/>
    <w:rsid w:val="00E060D6"/>
    <w:rsid w:val="00E060FE"/>
    <w:rsid w:val="00E0610E"/>
    <w:rsid w:val="00E0613B"/>
    <w:rsid w:val="00E061B7"/>
    <w:rsid w:val="00E061BD"/>
    <w:rsid w:val="00E061E6"/>
    <w:rsid w:val="00E0621A"/>
    <w:rsid w:val="00E0626C"/>
    <w:rsid w:val="00E06274"/>
    <w:rsid w:val="00E0633E"/>
    <w:rsid w:val="00E0636C"/>
    <w:rsid w:val="00E0640E"/>
    <w:rsid w:val="00E06412"/>
    <w:rsid w:val="00E06510"/>
    <w:rsid w:val="00E06513"/>
    <w:rsid w:val="00E06587"/>
    <w:rsid w:val="00E06657"/>
    <w:rsid w:val="00E06786"/>
    <w:rsid w:val="00E067B2"/>
    <w:rsid w:val="00E067BB"/>
    <w:rsid w:val="00E067CC"/>
    <w:rsid w:val="00E067D2"/>
    <w:rsid w:val="00E067D3"/>
    <w:rsid w:val="00E067ED"/>
    <w:rsid w:val="00E06810"/>
    <w:rsid w:val="00E06823"/>
    <w:rsid w:val="00E0682A"/>
    <w:rsid w:val="00E06853"/>
    <w:rsid w:val="00E0686B"/>
    <w:rsid w:val="00E0686C"/>
    <w:rsid w:val="00E068C0"/>
    <w:rsid w:val="00E06918"/>
    <w:rsid w:val="00E06944"/>
    <w:rsid w:val="00E06957"/>
    <w:rsid w:val="00E069A6"/>
    <w:rsid w:val="00E069FF"/>
    <w:rsid w:val="00E06A29"/>
    <w:rsid w:val="00E06A39"/>
    <w:rsid w:val="00E06A49"/>
    <w:rsid w:val="00E06A89"/>
    <w:rsid w:val="00E06AD1"/>
    <w:rsid w:val="00E06B77"/>
    <w:rsid w:val="00E06BE4"/>
    <w:rsid w:val="00E06BFE"/>
    <w:rsid w:val="00E06C12"/>
    <w:rsid w:val="00E06C19"/>
    <w:rsid w:val="00E06C24"/>
    <w:rsid w:val="00E06C59"/>
    <w:rsid w:val="00E06C8A"/>
    <w:rsid w:val="00E06CDA"/>
    <w:rsid w:val="00E06CFE"/>
    <w:rsid w:val="00E06D15"/>
    <w:rsid w:val="00E06D2E"/>
    <w:rsid w:val="00E06D39"/>
    <w:rsid w:val="00E06D44"/>
    <w:rsid w:val="00E06D5D"/>
    <w:rsid w:val="00E06D68"/>
    <w:rsid w:val="00E06D90"/>
    <w:rsid w:val="00E06D9E"/>
    <w:rsid w:val="00E06DF3"/>
    <w:rsid w:val="00E06DF9"/>
    <w:rsid w:val="00E06E14"/>
    <w:rsid w:val="00E06E89"/>
    <w:rsid w:val="00E06EE3"/>
    <w:rsid w:val="00E06F90"/>
    <w:rsid w:val="00E06FB0"/>
    <w:rsid w:val="00E07009"/>
    <w:rsid w:val="00E0706C"/>
    <w:rsid w:val="00E070EF"/>
    <w:rsid w:val="00E07158"/>
    <w:rsid w:val="00E07269"/>
    <w:rsid w:val="00E07293"/>
    <w:rsid w:val="00E072A6"/>
    <w:rsid w:val="00E072B7"/>
    <w:rsid w:val="00E072C3"/>
    <w:rsid w:val="00E0731B"/>
    <w:rsid w:val="00E073A8"/>
    <w:rsid w:val="00E073E3"/>
    <w:rsid w:val="00E07478"/>
    <w:rsid w:val="00E0759A"/>
    <w:rsid w:val="00E075B4"/>
    <w:rsid w:val="00E075FA"/>
    <w:rsid w:val="00E0762C"/>
    <w:rsid w:val="00E076AB"/>
    <w:rsid w:val="00E076DC"/>
    <w:rsid w:val="00E076E5"/>
    <w:rsid w:val="00E07709"/>
    <w:rsid w:val="00E0771D"/>
    <w:rsid w:val="00E0775E"/>
    <w:rsid w:val="00E077CF"/>
    <w:rsid w:val="00E077EB"/>
    <w:rsid w:val="00E078DE"/>
    <w:rsid w:val="00E07906"/>
    <w:rsid w:val="00E0792E"/>
    <w:rsid w:val="00E07938"/>
    <w:rsid w:val="00E07A42"/>
    <w:rsid w:val="00E07AAC"/>
    <w:rsid w:val="00E07AC7"/>
    <w:rsid w:val="00E07AEF"/>
    <w:rsid w:val="00E07C67"/>
    <w:rsid w:val="00E07CC0"/>
    <w:rsid w:val="00E07CFC"/>
    <w:rsid w:val="00E07D03"/>
    <w:rsid w:val="00E07D26"/>
    <w:rsid w:val="00E07D4E"/>
    <w:rsid w:val="00E07D58"/>
    <w:rsid w:val="00E07D8F"/>
    <w:rsid w:val="00E07D99"/>
    <w:rsid w:val="00E07DD6"/>
    <w:rsid w:val="00E07DF2"/>
    <w:rsid w:val="00E07E37"/>
    <w:rsid w:val="00E07E4A"/>
    <w:rsid w:val="00E07F0E"/>
    <w:rsid w:val="00E07F49"/>
    <w:rsid w:val="00E07F6F"/>
    <w:rsid w:val="00E07F80"/>
    <w:rsid w:val="00E07FB1"/>
    <w:rsid w:val="00E07FE8"/>
    <w:rsid w:val="00E10045"/>
    <w:rsid w:val="00E10090"/>
    <w:rsid w:val="00E10094"/>
    <w:rsid w:val="00E10107"/>
    <w:rsid w:val="00E10117"/>
    <w:rsid w:val="00E1011E"/>
    <w:rsid w:val="00E10127"/>
    <w:rsid w:val="00E10186"/>
    <w:rsid w:val="00E101C6"/>
    <w:rsid w:val="00E10210"/>
    <w:rsid w:val="00E10266"/>
    <w:rsid w:val="00E1027A"/>
    <w:rsid w:val="00E10298"/>
    <w:rsid w:val="00E102A6"/>
    <w:rsid w:val="00E102D9"/>
    <w:rsid w:val="00E102ED"/>
    <w:rsid w:val="00E10304"/>
    <w:rsid w:val="00E1031B"/>
    <w:rsid w:val="00E1034A"/>
    <w:rsid w:val="00E10435"/>
    <w:rsid w:val="00E1045C"/>
    <w:rsid w:val="00E104B5"/>
    <w:rsid w:val="00E104E2"/>
    <w:rsid w:val="00E104FF"/>
    <w:rsid w:val="00E10563"/>
    <w:rsid w:val="00E105C9"/>
    <w:rsid w:val="00E105EB"/>
    <w:rsid w:val="00E10612"/>
    <w:rsid w:val="00E10623"/>
    <w:rsid w:val="00E10655"/>
    <w:rsid w:val="00E1074A"/>
    <w:rsid w:val="00E107D1"/>
    <w:rsid w:val="00E108AD"/>
    <w:rsid w:val="00E1090E"/>
    <w:rsid w:val="00E1091C"/>
    <w:rsid w:val="00E10930"/>
    <w:rsid w:val="00E1098C"/>
    <w:rsid w:val="00E109A8"/>
    <w:rsid w:val="00E109BF"/>
    <w:rsid w:val="00E109D4"/>
    <w:rsid w:val="00E10A15"/>
    <w:rsid w:val="00E10A3E"/>
    <w:rsid w:val="00E10A79"/>
    <w:rsid w:val="00E10A81"/>
    <w:rsid w:val="00E10A9F"/>
    <w:rsid w:val="00E10AF9"/>
    <w:rsid w:val="00E10B97"/>
    <w:rsid w:val="00E10C22"/>
    <w:rsid w:val="00E10C7A"/>
    <w:rsid w:val="00E10C84"/>
    <w:rsid w:val="00E10C87"/>
    <w:rsid w:val="00E10D4D"/>
    <w:rsid w:val="00E10D7E"/>
    <w:rsid w:val="00E10DA5"/>
    <w:rsid w:val="00E10DF5"/>
    <w:rsid w:val="00E10EAA"/>
    <w:rsid w:val="00E10EB2"/>
    <w:rsid w:val="00E10ECF"/>
    <w:rsid w:val="00E10EEF"/>
    <w:rsid w:val="00E10F91"/>
    <w:rsid w:val="00E10FAB"/>
    <w:rsid w:val="00E10FE0"/>
    <w:rsid w:val="00E1104B"/>
    <w:rsid w:val="00E1108C"/>
    <w:rsid w:val="00E110B0"/>
    <w:rsid w:val="00E110E5"/>
    <w:rsid w:val="00E11132"/>
    <w:rsid w:val="00E11162"/>
    <w:rsid w:val="00E1119C"/>
    <w:rsid w:val="00E111E4"/>
    <w:rsid w:val="00E11220"/>
    <w:rsid w:val="00E1125F"/>
    <w:rsid w:val="00E112A5"/>
    <w:rsid w:val="00E112B0"/>
    <w:rsid w:val="00E112EB"/>
    <w:rsid w:val="00E1133E"/>
    <w:rsid w:val="00E1134E"/>
    <w:rsid w:val="00E1135F"/>
    <w:rsid w:val="00E11381"/>
    <w:rsid w:val="00E11389"/>
    <w:rsid w:val="00E113ED"/>
    <w:rsid w:val="00E11412"/>
    <w:rsid w:val="00E11433"/>
    <w:rsid w:val="00E1147F"/>
    <w:rsid w:val="00E11552"/>
    <w:rsid w:val="00E11566"/>
    <w:rsid w:val="00E11571"/>
    <w:rsid w:val="00E1162B"/>
    <w:rsid w:val="00E116B3"/>
    <w:rsid w:val="00E116C2"/>
    <w:rsid w:val="00E116D0"/>
    <w:rsid w:val="00E116E6"/>
    <w:rsid w:val="00E116F9"/>
    <w:rsid w:val="00E1178C"/>
    <w:rsid w:val="00E11798"/>
    <w:rsid w:val="00E117E1"/>
    <w:rsid w:val="00E117E5"/>
    <w:rsid w:val="00E1180A"/>
    <w:rsid w:val="00E11811"/>
    <w:rsid w:val="00E1182A"/>
    <w:rsid w:val="00E118D2"/>
    <w:rsid w:val="00E11910"/>
    <w:rsid w:val="00E11937"/>
    <w:rsid w:val="00E1193A"/>
    <w:rsid w:val="00E119B4"/>
    <w:rsid w:val="00E119D8"/>
    <w:rsid w:val="00E119DD"/>
    <w:rsid w:val="00E119F4"/>
    <w:rsid w:val="00E11A41"/>
    <w:rsid w:val="00E11A50"/>
    <w:rsid w:val="00E11A63"/>
    <w:rsid w:val="00E11A64"/>
    <w:rsid w:val="00E11A69"/>
    <w:rsid w:val="00E11B65"/>
    <w:rsid w:val="00E11C1A"/>
    <w:rsid w:val="00E11C54"/>
    <w:rsid w:val="00E11CA9"/>
    <w:rsid w:val="00E11CB1"/>
    <w:rsid w:val="00E11DBF"/>
    <w:rsid w:val="00E11E22"/>
    <w:rsid w:val="00E11E26"/>
    <w:rsid w:val="00E11ED2"/>
    <w:rsid w:val="00E11F24"/>
    <w:rsid w:val="00E11F85"/>
    <w:rsid w:val="00E12020"/>
    <w:rsid w:val="00E1202B"/>
    <w:rsid w:val="00E1203E"/>
    <w:rsid w:val="00E120F8"/>
    <w:rsid w:val="00E12140"/>
    <w:rsid w:val="00E12155"/>
    <w:rsid w:val="00E12161"/>
    <w:rsid w:val="00E1219E"/>
    <w:rsid w:val="00E121CD"/>
    <w:rsid w:val="00E121D0"/>
    <w:rsid w:val="00E121F5"/>
    <w:rsid w:val="00E12228"/>
    <w:rsid w:val="00E12256"/>
    <w:rsid w:val="00E1229F"/>
    <w:rsid w:val="00E122BF"/>
    <w:rsid w:val="00E12300"/>
    <w:rsid w:val="00E12351"/>
    <w:rsid w:val="00E123B9"/>
    <w:rsid w:val="00E123DE"/>
    <w:rsid w:val="00E1241C"/>
    <w:rsid w:val="00E12437"/>
    <w:rsid w:val="00E12440"/>
    <w:rsid w:val="00E1256B"/>
    <w:rsid w:val="00E12580"/>
    <w:rsid w:val="00E12604"/>
    <w:rsid w:val="00E12669"/>
    <w:rsid w:val="00E126E4"/>
    <w:rsid w:val="00E126EE"/>
    <w:rsid w:val="00E126F6"/>
    <w:rsid w:val="00E12729"/>
    <w:rsid w:val="00E12751"/>
    <w:rsid w:val="00E12768"/>
    <w:rsid w:val="00E127A5"/>
    <w:rsid w:val="00E127BD"/>
    <w:rsid w:val="00E127D4"/>
    <w:rsid w:val="00E127E6"/>
    <w:rsid w:val="00E127FB"/>
    <w:rsid w:val="00E12800"/>
    <w:rsid w:val="00E12805"/>
    <w:rsid w:val="00E1281B"/>
    <w:rsid w:val="00E128BC"/>
    <w:rsid w:val="00E12900"/>
    <w:rsid w:val="00E12911"/>
    <w:rsid w:val="00E12926"/>
    <w:rsid w:val="00E12986"/>
    <w:rsid w:val="00E129B1"/>
    <w:rsid w:val="00E129BA"/>
    <w:rsid w:val="00E129C4"/>
    <w:rsid w:val="00E129DD"/>
    <w:rsid w:val="00E129FE"/>
    <w:rsid w:val="00E12A0F"/>
    <w:rsid w:val="00E12A30"/>
    <w:rsid w:val="00E12A40"/>
    <w:rsid w:val="00E12AB6"/>
    <w:rsid w:val="00E12AFE"/>
    <w:rsid w:val="00E12B51"/>
    <w:rsid w:val="00E12BAA"/>
    <w:rsid w:val="00E12BDE"/>
    <w:rsid w:val="00E12C04"/>
    <w:rsid w:val="00E12C12"/>
    <w:rsid w:val="00E12C28"/>
    <w:rsid w:val="00E12CE4"/>
    <w:rsid w:val="00E12D08"/>
    <w:rsid w:val="00E12D2C"/>
    <w:rsid w:val="00E12D57"/>
    <w:rsid w:val="00E12D9D"/>
    <w:rsid w:val="00E12DB9"/>
    <w:rsid w:val="00E12DC2"/>
    <w:rsid w:val="00E12DEF"/>
    <w:rsid w:val="00E12E08"/>
    <w:rsid w:val="00E12E60"/>
    <w:rsid w:val="00E12EC3"/>
    <w:rsid w:val="00E12EFB"/>
    <w:rsid w:val="00E12F09"/>
    <w:rsid w:val="00E12F0D"/>
    <w:rsid w:val="00E12F46"/>
    <w:rsid w:val="00E12FA9"/>
    <w:rsid w:val="00E12FEE"/>
    <w:rsid w:val="00E1309F"/>
    <w:rsid w:val="00E130AB"/>
    <w:rsid w:val="00E130CD"/>
    <w:rsid w:val="00E130D1"/>
    <w:rsid w:val="00E131B1"/>
    <w:rsid w:val="00E131E6"/>
    <w:rsid w:val="00E131E9"/>
    <w:rsid w:val="00E13215"/>
    <w:rsid w:val="00E13218"/>
    <w:rsid w:val="00E1321D"/>
    <w:rsid w:val="00E13240"/>
    <w:rsid w:val="00E13245"/>
    <w:rsid w:val="00E1325B"/>
    <w:rsid w:val="00E132B2"/>
    <w:rsid w:val="00E132C2"/>
    <w:rsid w:val="00E13334"/>
    <w:rsid w:val="00E13354"/>
    <w:rsid w:val="00E13399"/>
    <w:rsid w:val="00E134ED"/>
    <w:rsid w:val="00E134F4"/>
    <w:rsid w:val="00E13529"/>
    <w:rsid w:val="00E1353F"/>
    <w:rsid w:val="00E1360B"/>
    <w:rsid w:val="00E13611"/>
    <w:rsid w:val="00E1361B"/>
    <w:rsid w:val="00E1363E"/>
    <w:rsid w:val="00E1367D"/>
    <w:rsid w:val="00E1369E"/>
    <w:rsid w:val="00E136A9"/>
    <w:rsid w:val="00E136D4"/>
    <w:rsid w:val="00E136DF"/>
    <w:rsid w:val="00E136FC"/>
    <w:rsid w:val="00E13714"/>
    <w:rsid w:val="00E13728"/>
    <w:rsid w:val="00E1372F"/>
    <w:rsid w:val="00E1375A"/>
    <w:rsid w:val="00E137B5"/>
    <w:rsid w:val="00E137E2"/>
    <w:rsid w:val="00E13899"/>
    <w:rsid w:val="00E13952"/>
    <w:rsid w:val="00E13AB8"/>
    <w:rsid w:val="00E13B80"/>
    <w:rsid w:val="00E13BA9"/>
    <w:rsid w:val="00E13C0F"/>
    <w:rsid w:val="00E13CBA"/>
    <w:rsid w:val="00E13CE5"/>
    <w:rsid w:val="00E13CF8"/>
    <w:rsid w:val="00E13D18"/>
    <w:rsid w:val="00E13D68"/>
    <w:rsid w:val="00E13DD7"/>
    <w:rsid w:val="00E13E2B"/>
    <w:rsid w:val="00E13E2C"/>
    <w:rsid w:val="00E13E6D"/>
    <w:rsid w:val="00E13E9D"/>
    <w:rsid w:val="00E13EA2"/>
    <w:rsid w:val="00E13EC7"/>
    <w:rsid w:val="00E13F36"/>
    <w:rsid w:val="00E13F5A"/>
    <w:rsid w:val="00E13F9E"/>
    <w:rsid w:val="00E13FD7"/>
    <w:rsid w:val="00E1400C"/>
    <w:rsid w:val="00E14066"/>
    <w:rsid w:val="00E14067"/>
    <w:rsid w:val="00E1407B"/>
    <w:rsid w:val="00E1407D"/>
    <w:rsid w:val="00E14085"/>
    <w:rsid w:val="00E140EB"/>
    <w:rsid w:val="00E14117"/>
    <w:rsid w:val="00E14149"/>
    <w:rsid w:val="00E1414A"/>
    <w:rsid w:val="00E1422B"/>
    <w:rsid w:val="00E1423C"/>
    <w:rsid w:val="00E14307"/>
    <w:rsid w:val="00E14342"/>
    <w:rsid w:val="00E14383"/>
    <w:rsid w:val="00E1438F"/>
    <w:rsid w:val="00E143DB"/>
    <w:rsid w:val="00E1445E"/>
    <w:rsid w:val="00E14465"/>
    <w:rsid w:val="00E14472"/>
    <w:rsid w:val="00E1448C"/>
    <w:rsid w:val="00E144B4"/>
    <w:rsid w:val="00E144CA"/>
    <w:rsid w:val="00E145BF"/>
    <w:rsid w:val="00E14660"/>
    <w:rsid w:val="00E14726"/>
    <w:rsid w:val="00E147EE"/>
    <w:rsid w:val="00E147F4"/>
    <w:rsid w:val="00E14829"/>
    <w:rsid w:val="00E148C3"/>
    <w:rsid w:val="00E1492B"/>
    <w:rsid w:val="00E14970"/>
    <w:rsid w:val="00E149DB"/>
    <w:rsid w:val="00E14A08"/>
    <w:rsid w:val="00E14A22"/>
    <w:rsid w:val="00E14A62"/>
    <w:rsid w:val="00E14ABB"/>
    <w:rsid w:val="00E14AF4"/>
    <w:rsid w:val="00E14B40"/>
    <w:rsid w:val="00E14BAD"/>
    <w:rsid w:val="00E14BDA"/>
    <w:rsid w:val="00E14BFD"/>
    <w:rsid w:val="00E14C0B"/>
    <w:rsid w:val="00E14C14"/>
    <w:rsid w:val="00E14C85"/>
    <w:rsid w:val="00E14CDD"/>
    <w:rsid w:val="00E14D2F"/>
    <w:rsid w:val="00E14D3D"/>
    <w:rsid w:val="00E14D5D"/>
    <w:rsid w:val="00E14D66"/>
    <w:rsid w:val="00E14D7F"/>
    <w:rsid w:val="00E14D81"/>
    <w:rsid w:val="00E14DD4"/>
    <w:rsid w:val="00E14DE0"/>
    <w:rsid w:val="00E14E55"/>
    <w:rsid w:val="00E14E57"/>
    <w:rsid w:val="00E14E93"/>
    <w:rsid w:val="00E14EA9"/>
    <w:rsid w:val="00E14EC9"/>
    <w:rsid w:val="00E14ECC"/>
    <w:rsid w:val="00E14ED6"/>
    <w:rsid w:val="00E14F20"/>
    <w:rsid w:val="00E14F22"/>
    <w:rsid w:val="00E14FAE"/>
    <w:rsid w:val="00E1501E"/>
    <w:rsid w:val="00E15025"/>
    <w:rsid w:val="00E1503C"/>
    <w:rsid w:val="00E15040"/>
    <w:rsid w:val="00E1504E"/>
    <w:rsid w:val="00E15076"/>
    <w:rsid w:val="00E150B1"/>
    <w:rsid w:val="00E150EA"/>
    <w:rsid w:val="00E1510B"/>
    <w:rsid w:val="00E15156"/>
    <w:rsid w:val="00E15197"/>
    <w:rsid w:val="00E152BD"/>
    <w:rsid w:val="00E152CB"/>
    <w:rsid w:val="00E153A6"/>
    <w:rsid w:val="00E153B2"/>
    <w:rsid w:val="00E1540E"/>
    <w:rsid w:val="00E15424"/>
    <w:rsid w:val="00E15443"/>
    <w:rsid w:val="00E1544B"/>
    <w:rsid w:val="00E154AD"/>
    <w:rsid w:val="00E154D2"/>
    <w:rsid w:val="00E154EB"/>
    <w:rsid w:val="00E15534"/>
    <w:rsid w:val="00E1556A"/>
    <w:rsid w:val="00E15591"/>
    <w:rsid w:val="00E155F4"/>
    <w:rsid w:val="00E155F8"/>
    <w:rsid w:val="00E15646"/>
    <w:rsid w:val="00E1566A"/>
    <w:rsid w:val="00E15755"/>
    <w:rsid w:val="00E15772"/>
    <w:rsid w:val="00E157B6"/>
    <w:rsid w:val="00E157C6"/>
    <w:rsid w:val="00E157D6"/>
    <w:rsid w:val="00E157F4"/>
    <w:rsid w:val="00E15860"/>
    <w:rsid w:val="00E158A6"/>
    <w:rsid w:val="00E158D6"/>
    <w:rsid w:val="00E15921"/>
    <w:rsid w:val="00E15979"/>
    <w:rsid w:val="00E15A9E"/>
    <w:rsid w:val="00E15B00"/>
    <w:rsid w:val="00E15B37"/>
    <w:rsid w:val="00E15B86"/>
    <w:rsid w:val="00E15C9C"/>
    <w:rsid w:val="00E15CBC"/>
    <w:rsid w:val="00E15CD7"/>
    <w:rsid w:val="00E15D10"/>
    <w:rsid w:val="00E15D60"/>
    <w:rsid w:val="00E15DBC"/>
    <w:rsid w:val="00E15E76"/>
    <w:rsid w:val="00E15ECB"/>
    <w:rsid w:val="00E15F12"/>
    <w:rsid w:val="00E15F4C"/>
    <w:rsid w:val="00E15F9A"/>
    <w:rsid w:val="00E16004"/>
    <w:rsid w:val="00E16085"/>
    <w:rsid w:val="00E160C8"/>
    <w:rsid w:val="00E160D7"/>
    <w:rsid w:val="00E160F0"/>
    <w:rsid w:val="00E1611B"/>
    <w:rsid w:val="00E1612B"/>
    <w:rsid w:val="00E161A0"/>
    <w:rsid w:val="00E161C7"/>
    <w:rsid w:val="00E16201"/>
    <w:rsid w:val="00E16228"/>
    <w:rsid w:val="00E1625A"/>
    <w:rsid w:val="00E16278"/>
    <w:rsid w:val="00E162C5"/>
    <w:rsid w:val="00E162FE"/>
    <w:rsid w:val="00E16345"/>
    <w:rsid w:val="00E163A6"/>
    <w:rsid w:val="00E163AB"/>
    <w:rsid w:val="00E163F9"/>
    <w:rsid w:val="00E16455"/>
    <w:rsid w:val="00E16472"/>
    <w:rsid w:val="00E16528"/>
    <w:rsid w:val="00E16531"/>
    <w:rsid w:val="00E16587"/>
    <w:rsid w:val="00E166C8"/>
    <w:rsid w:val="00E166FE"/>
    <w:rsid w:val="00E1671A"/>
    <w:rsid w:val="00E1672F"/>
    <w:rsid w:val="00E16787"/>
    <w:rsid w:val="00E1683C"/>
    <w:rsid w:val="00E16867"/>
    <w:rsid w:val="00E168BB"/>
    <w:rsid w:val="00E168C0"/>
    <w:rsid w:val="00E168CF"/>
    <w:rsid w:val="00E1690A"/>
    <w:rsid w:val="00E16918"/>
    <w:rsid w:val="00E16973"/>
    <w:rsid w:val="00E16AAA"/>
    <w:rsid w:val="00E16AE6"/>
    <w:rsid w:val="00E16B09"/>
    <w:rsid w:val="00E16B1A"/>
    <w:rsid w:val="00E16B40"/>
    <w:rsid w:val="00E16D19"/>
    <w:rsid w:val="00E16D64"/>
    <w:rsid w:val="00E16D6B"/>
    <w:rsid w:val="00E16D78"/>
    <w:rsid w:val="00E16D7F"/>
    <w:rsid w:val="00E16E21"/>
    <w:rsid w:val="00E16E34"/>
    <w:rsid w:val="00E16E5C"/>
    <w:rsid w:val="00E16E66"/>
    <w:rsid w:val="00E16E96"/>
    <w:rsid w:val="00E16F19"/>
    <w:rsid w:val="00E16F5C"/>
    <w:rsid w:val="00E16F5F"/>
    <w:rsid w:val="00E16FA8"/>
    <w:rsid w:val="00E16FAB"/>
    <w:rsid w:val="00E16FC0"/>
    <w:rsid w:val="00E1701F"/>
    <w:rsid w:val="00E17035"/>
    <w:rsid w:val="00E170A9"/>
    <w:rsid w:val="00E1710B"/>
    <w:rsid w:val="00E171B2"/>
    <w:rsid w:val="00E17218"/>
    <w:rsid w:val="00E17234"/>
    <w:rsid w:val="00E17245"/>
    <w:rsid w:val="00E17280"/>
    <w:rsid w:val="00E17381"/>
    <w:rsid w:val="00E17396"/>
    <w:rsid w:val="00E173B7"/>
    <w:rsid w:val="00E173E9"/>
    <w:rsid w:val="00E173F6"/>
    <w:rsid w:val="00E1743C"/>
    <w:rsid w:val="00E1745F"/>
    <w:rsid w:val="00E1747C"/>
    <w:rsid w:val="00E174E0"/>
    <w:rsid w:val="00E17525"/>
    <w:rsid w:val="00E175CB"/>
    <w:rsid w:val="00E175D4"/>
    <w:rsid w:val="00E17657"/>
    <w:rsid w:val="00E17694"/>
    <w:rsid w:val="00E1779C"/>
    <w:rsid w:val="00E1784F"/>
    <w:rsid w:val="00E179A5"/>
    <w:rsid w:val="00E179C4"/>
    <w:rsid w:val="00E179F1"/>
    <w:rsid w:val="00E17A09"/>
    <w:rsid w:val="00E17A67"/>
    <w:rsid w:val="00E17A8F"/>
    <w:rsid w:val="00E17A91"/>
    <w:rsid w:val="00E17A9D"/>
    <w:rsid w:val="00E17B10"/>
    <w:rsid w:val="00E17B92"/>
    <w:rsid w:val="00E17C0F"/>
    <w:rsid w:val="00E17C2E"/>
    <w:rsid w:val="00E17C59"/>
    <w:rsid w:val="00E17C76"/>
    <w:rsid w:val="00E17CB2"/>
    <w:rsid w:val="00E17CBB"/>
    <w:rsid w:val="00E17CCD"/>
    <w:rsid w:val="00E17CEE"/>
    <w:rsid w:val="00E17D11"/>
    <w:rsid w:val="00E17D6C"/>
    <w:rsid w:val="00E17DB2"/>
    <w:rsid w:val="00E17E05"/>
    <w:rsid w:val="00E17E3A"/>
    <w:rsid w:val="00E17E4F"/>
    <w:rsid w:val="00E17E59"/>
    <w:rsid w:val="00E17E69"/>
    <w:rsid w:val="00E17EA2"/>
    <w:rsid w:val="00E17EA8"/>
    <w:rsid w:val="00E17F08"/>
    <w:rsid w:val="00E20006"/>
    <w:rsid w:val="00E2004A"/>
    <w:rsid w:val="00E2004D"/>
    <w:rsid w:val="00E200CD"/>
    <w:rsid w:val="00E201A2"/>
    <w:rsid w:val="00E201B1"/>
    <w:rsid w:val="00E201E2"/>
    <w:rsid w:val="00E20222"/>
    <w:rsid w:val="00E20228"/>
    <w:rsid w:val="00E20286"/>
    <w:rsid w:val="00E202A7"/>
    <w:rsid w:val="00E202C5"/>
    <w:rsid w:val="00E202F7"/>
    <w:rsid w:val="00E20388"/>
    <w:rsid w:val="00E2039C"/>
    <w:rsid w:val="00E203AE"/>
    <w:rsid w:val="00E203C2"/>
    <w:rsid w:val="00E203F1"/>
    <w:rsid w:val="00E20421"/>
    <w:rsid w:val="00E20433"/>
    <w:rsid w:val="00E20435"/>
    <w:rsid w:val="00E2049B"/>
    <w:rsid w:val="00E2055E"/>
    <w:rsid w:val="00E20568"/>
    <w:rsid w:val="00E20572"/>
    <w:rsid w:val="00E20586"/>
    <w:rsid w:val="00E20587"/>
    <w:rsid w:val="00E205AB"/>
    <w:rsid w:val="00E20600"/>
    <w:rsid w:val="00E206B1"/>
    <w:rsid w:val="00E206D1"/>
    <w:rsid w:val="00E206D4"/>
    <w:rsid w:val="00E206F4"/>
    <w:rsid w:val="00E2070F"/>
    <w:rsid w:val="00E20741"/>
    <w:rsid w:val="00E20747"/>
    <w:rsid w:val="00E2079D"/>
    <w:rsid w:val="00E207A3"/>
    <w:rsid w:val="00E20866"/>
    <w:rsid w:val="00E20875"/>
    <w:rsid w:val="00E208B2"/>
    <w:rsid w:val="00E208C8"/>
    <w:rsid w:val="00E208F1"/>
    <w:rsid w:val="00E2092B"/>
    <w:rsid w:val="00E20A0D"/>
    <w:rsid w:val="00E20AB5"/>
    <w:rsid w:val="00E20AC5"/>
    <w:rsid w:val="00E20B25"/>
    <w:rsid w:val="00E20B8F"/>
    <w:rsid w:val="00E20BB0"/>
    <w:rsid w:val="00E20BB3"/>
    <w:rsid w:val="00E20C4A"/>
    <w:rsid w:val="00E20C6C"/>
    <w:rsid w:val="00E20C7D"/>
    <w:rsid w:val="00E20C85"/>
    <w:rsid w:val="00E20D03"/>
    <w:rsid w:val="00E20D43"/>
    <w:rsid w:val="00E20D8B"/>
    <w:rsid w:val="00E20DE7"/>
    <w:rsid w:val="00E20E0C"/>
    <w:rsid w:val="00E20E52"/>
    <w:rsid w:val="00E20E87"/>
    <w:rsid w:val="00E20F05"/>
    <w:rsid w:val="00E20F44"/>
    <w:rsid w:val="00E20F55"/>
    <w:rsid w:val="00E20F6B"/>
    <w:rsid w:val="00E20FA3"/>
    <w:rsid w:val="00E20FAD"/>
    <w:rsid w:val="00E21007"/>
    <w:rsid w:val="00E2100D"/>
    <w:rsid w:val="00E2100E"/>
    <w:rsid w:val="00E21042"/>
    <w:rsid w:val="00E21129"/>
    <w:rsid w:val="00E211BC"/>
    <w:rsid w:val="00E211CD"/>
    <w:rsid w:val="00E211DC"/>
    <w:rsid w:val="00E212BB"/>
    <w:rsid w:val="00E212DE"/>
    <w:rsid w:val="00E21325"/>
    <w:rsid w:val="00E2134C"/>
    <w:rsid w:val="00E213E9"/>
    <w:rsid w:val="00E2140D"/>
    <w:rsid w:val="00E21417"/>
    <w:rsid w:val="00E2142E"/>
    <w:rsid w:val="00E21446"/>
    <w:rsid w:val="00E2149F"/>
    <w:rsid w:val="00E214B8"/>
    <w:rsid w:val="00E214F7"/>
    <w:rsid w:val="00E21523"/>
    <w:rsid w:val="00E21525"/>
    <w:rsid w:val="00E215B2"/>
    <w:rsid w:val="00E215BA"/>
    <w:rsid w:val="00E215DF"/>
    <w:rsid w:val="00E215E4"/>
    <w:rsid w:val="00E215EF"/>
    <w:rsid w:val="00E21632"/>
    <w:rsid w:val="00E2166E"/>
    <w:rsid w:val="00E21670"/>
    <w:rsid w:val="00E21684"/>
    <w:rsid w:val="00E2168A"/>
    <w:rsid w:val="00E2174D"/>
    <w:rsid w:val="00E2178A"/>
    <w:rsid w:val="00E217BC"/>
    <w:rsid w:val="00E217E5"/>
    <w:rsid w:val="00E2188F"/>
    <w:rsid w:val="00E218C0"/>
    <w:rsid w:val="00E218E1"/>
    <w:rsid w:val="00E218FB"/>
    <w:rsid w:val="00E21920"/>
    <w:rsid w:val="00E21967"/>
    <w:rsid w:val="00E21981"/>
    <w:rsid w:val="00E2198A"/>
    <w:rsid w:val="00E219AB"/>
    <w:rsid w:val="00E219AF"/>
    <w:rsid w:val="00E21A35"/>
    <w:rsid w:val="00E21A62"/>
    <w:rsid w:val="00E21A85"/>
    <w:rsid w:val="00E21AE7"/>
    <w:rsid w:val="00E21B23"/>
    <w:rsid w:val="00E21B6C"/>
    <w:rsid w:val="00E21BF4"/>
    <w:rsid w:val="00E21C6D"/>
    <w:rsid w:val="00E21CE2"/>
    <w:rsid w:val="00E21CEE"/>
    <w:rsid w:val="00E21D04"/>
    <w:rsid w:val="00E21DA8"/>
    <w:rsid w:val="00E21DE2"/>
    <w:rsid w:val="00E21E50"/>
    <w:rsid w:val="00E21EAD"/>
    <w:rsid w:val="00E21EBC"/>
    <w:rsid w:val="00E21F1C"/>
    <w:rsid w:val="00E21F98"/>
    <w:rsid w:val="00E2202D"/>
    <w:rsid w:val="00E22034"/>
    <w:rsid w:val="00E22092"/>
    <w:rsid w:val="00E220C4"/>
    <w:rsid w:val="00E22130"/>
    <w:rsid w:val="00E2214C"/>
    <w:rsid w:val="00E22160"/>
    <w:rsid w:val="00E221DB"/>
    <w:rsid w:val="00E22234"/>
    <w:rsid w:val="00E2226A"/>
    <w:rsid w:val="00E2229A"/>
    <w:rsid w:val="00E222C4"/>
    <w:rsid w:val="00E2235C"/>
    <w:rsid w:val="00E22392"/>
    <w:rsid w:val="00E223DE"/>
    <w:rsid w:val="00E22429"/>
    <w:rsid w:val="00E2245B"/>
    <w:rsid w:val="00E22477"/>
    <w:rsid w:val="00E224F2"/>
    <w:rsid w:val="00E225A6"/>
    <w:rsid w:val="00E225D9"/>
    <w:rsid w:val="00E22645"/>
    <w:rsid w:val="00E22673"/>
    <w:rsid w:val="00E226FE"/>
    <w:rsid w:val="00E22757"/>
    <w:rsid w:val="00E227C0"/>
    <w:rsid w:val="00E227D9"/>
    <w:rsid w:val="00E22885"/>
    <w:rsid w:val="00E228A1"/>
    <w:rsid w:val="00E228DB"/>
    <w:rsid w:val="00E22930"/>
    <w:rsid w:val="00E22941"/>
    <w:rsid w:val="00E2294C"/>
    <w:rsid w:val="00E22984"/>
    <w:rsid w:val="00E22986"/>
    <w:rsid w:val="00E229A4"/>
    <w:rsid w:val="00E229C2"/>
    <w:rsid w:val="00E22BAA"/>
    <w:rsid w:val="00E22C5F"/>
    <w:rsid w:val="00E22C78"/>
    <w:rsid w:val="00E22CA8"/>
    <w:rsid w:val="00E22CD5"/>
    <w:rsid w:val="00E22CD8"/>
    <w:rsid w:val="00E22CDA"/>
    <w:rsid w:val="00E22CFF"/>
    <w:rsid w:val="00E22D0B"/>
    <w:rsid w:val="00E22D51"/>
    <w:rsid w:val="00E22D9A"/>
    <w:rsid w:val="00E22DE9"/>
    <w:rsid w:val="00E22DF7"/>
    <w:rsid w:val="00E22DFF"/>
    <w:rsid w:val="00E22E0A"/>
    <w:rsid w:val="00E22E3E"/>
    <w:rsid w:val="00E22EBF"/>
    <w:rsid w:val="00E22EFB"/>
    <w:rsid w:val="00E22F0D"/>
    <w:rsid w:val="00E22F2F"/>
    <w:rsid w:val="00E22F97"/>
    <w:rsid w:val="00E2303D"/>
    <w:rsid w:val="00E23049"/>
    <w:rsid w:val="00E2305A"/>
    <w:rsid w:val="00E2306A"/>
    <w:rsid w:val="00E2307A"/>
    <w:rsid w:val="00E230E6"/>
    <w:rsid w:val="00E2315E"/>
    <w:rsid w:val="00E231B7"/>
    <w:rsid w:val="00E231FA"/>
    <w:rsid w:val="00E23222"/>
    <w:rsid w:val="00E23232"/>
    <w:rsid w:val="00E23274"/>
    <w:rsid w:val="00E232AB"/>
    <w:rsid w:val="00E232CE"/>
    <w:rsid w:val="00E232D4"/>
    <w:rsid w:val="00E23395"/>
    <w:rsid w:val="00E233CE"/>
    <w:rsid w:val="00E23418"/>
    <w:rsid w:val="00E2351F"/>
    <w:rsid w:val="00E23598"/>
    <w:rsid w:val="00E235DE"/>
    <w:rsid w:val="00E23621"/>
    <w:rsid w:val="00E23688"/>
    <w:rsid w:val="00E23703"/>
    <w:rsid w:val="00E237DA"/>
    <w:rsid w:val="00E237FE"/>
    <w:rsid w:val="00E23810"/>
    <w:rsid w:val="00E2386A"/>
    <w:rsid w:val="00E23909"/>
    <w:rsid w:val="00E23940"/>
    <w:rsid w:val="00E23949"/>
    <w:rsid w:val="00E23A48"/>
    <w:rsid w:val="00E23AE0"/>
    <w:rsid w:val="00E23B2A"/>
    <w:rsid w:val="00E23BBE"/>
    <w:rsid w:val="00E23D23"/>
    <w:rsid w:val="00E23D54"/>
    <w:rsid w:val="00E23D76"/>
    <w:rsid w:val="00E23DD1"/>
    <w:rsid w:val="00E23DD4"/>
    <w:rsid w:val="00E23DD6"/>
    <w:rsid w:val="00E23DFA"/>
    <w:rsid w:val="00E23E03"/>
    <w:rsid w:val="00E23E07"/>
    <w:rsid w:val="00E23E28"/>
    <w:rsid w:val="00E23E59"/>
    <w:rsid w:val="00E23E9B"/>
    <w:rsid w:val="00E23EE6"/>
    <w:rsid w:val="00E23F26"/>
    <w:rsid w:val="00E23F36"/>
    <w:rsid w:val="00E23FAB"/>
    <w:rsid w:val="00E24045"/>
    <w:rsid w:val="00E240C4"/>
    <w:rsid w:val="00E240CF"/>
    <w:rsid w:val="00E2411F"/>
    <w:rsid w:val="00E24136"/>
    <w:rsid w:val="00E2414F"/>
    <w:rsid w:val="00E24159"/>
    <w:rsid w:val="00E24175"/>
    <w:rsid w:val="00E2417F"/>
    <w:rsid w:val="00E241A5"/>
    <w:rsid w:val="00E241CE"/>
    <w:rsid w:val="00E24248"/>
    <w:rsid w:val="00E24253"/>
    <w:rsid w:val="00E24270"/>
    <w:rsid w:val="00E2427C"/>
    <w:rsid w:val="00E242CD"/>
    <w:rsid w:val="00E24342"/>
    <w:rsid w:val="00E24364"/>
    <w:rsid w:val="00E24373"/>
    <w:rsid w:val="00E2438F"/>
    <w:rsid w:val="00E243EF"/>
    <w:rsid w:val="00E24457"/>
    <w:rsid w:val="00E2445C"/>
    <w:rsid w:val="00E244EE"/>
    <w:rsid w:val="00E24575"/>
    <w:rsid w:val="00E245A3"/>
    <w:rsid w:val="00E245ED"/>
    <w:rsid w:val="00E2460F"/>
    <w:rsid w:val="00E24632"/>
    <w:rsid w:val="00E24639"/>
    <w:rsid w:val="00E2463D"/>
    <w:rsid w:val="00E246CD"/>
    <w:rsid w:val="00E246F6"/>
    <w:rsid w:val="00E24710"/>
    <w:rsid w:val="00E2474F"/>
    <w:rsid w:val="00E2478D"/>
    <w:rsid w:val="00E247CD"/>
    <w:rsid w:val="00E24838"/>
    <w:rsid w:val="00E248D6"/>
    <w:rsid w:val="00E248D8"/>
    <w:rsid w:val="00E24902"/>
    <w:rsid w:val="00E24987"/>
    <w:rsid w:val="00E249ED"/>
    <w:rsid w:val="00E24A3B"/>
    <w:rsid w:val="00E24A5D"/>
    <w:rsid w:val="00E24AAB"/>
    <w:rsid w:val="00E24ADA"/>
    <w:rsid w:val="00E24B34"/>
    <w:rsid w:val="00E24B37"/>
    <w:rsid w:val="00E24BD1"/>
    <w:rsid w:val="00E24C0D"/>
    <w:rsid w:val="00E24C13"/>
    <w:rsid w:val="00E24C52"/>
    <w:rsid w:val="00E24C86"/>
    <w:rsid w:val="00E24CB9"/>
    <w:rsid w:val="00E24EBC"/>
    <w:rsid w:val="00E24F49"/>
    <w:rsid w:val="00E24F99"/>
    <w:rsid w:val="00E24FD0"/>
    <w:rsid w:val="00E24FD2"/>
    <w:rsid w:val="00E24FEE"/>
    <w:rsid w:val="00E25037"/>
    <w:rsid w:val="00E250A6"/>
    <w:rsid w:val="00E250B4"/>
    <w:rsid w:val="00E25128"/>
    <w:rsid w:val="00E25143"/>
    <w:rsid w:val="00E25170"/>
    <w:rsid w:val="00E25177"/>
    <w:rsid w:val="00E251D7"/>
    <w:rsid w:val="00E25276"/>
    <w:rsid w:val="00E252C7"/>
    <w:rsid w:val="00E252C9"/>
    <w:rsid w:val="00E25310"/>
    <w:rsid w:val="00E2532A"/>
    <w:rsid w:val="00E2536D"/>
    <w:rsid w:val="00E25386"/>
    <w:rsid w:val="00E253A8"/>
    <w:rsid w:val="00E253D3"/>
    <w:rsid w:val="00E253E7"/>
    <w:rsid w:val="00E2544A"/>
    <w:rsid w:val="00E2549F"/>
    <w:rsid w:val="00E254A7"/>
    <w:rsid w:val="00E25503"/>
    <w:rsid w:val="00E25549"/>
    <w:rsid w:val="00E2560B"/>
    <w:rsid w:val="00E25623"/>
    <w:rsid w:val="00E25673"/>
    <w:rsid w:val="00E256B7"/>
    <w:rsid w:val="00E256B9"/>
    <w:rsid w:val="00E25793"/>
    <w:rsid w:val="00E257BD"/>
    <w:rsid w:val="00E2581E"/>
    <w:rsid w:val="00E2584F"/>
    <w:rsid w:val="00E25864"/>
    <w:rsid w:val="00E25875"/>
    <w:rsid w:val="00E25884"/>
    <w:rsid w:val="00E258CB"/>
    <w:rsid w:val="00E25954"/>
    <w:rsid w:val="00E2597D"/>
    <w:rsid w:val="00E25987"/>
    <w:rsid w:val="00E25992"/>
    <w:rsid w:val="00E259A3"/>
    <w:rsid w:val="00E259F5"/>
    <w:rsid w:val="00E25A38"/>
    <w:rsid w:val="00E25A58"/>
    <w:rsid w:val="00E25A5A"/>
    <w:rsid w:val="00E25A8D"/>
    <w:rsid w:val="00E25A96"/>
    <w:rsid w:val="00E25AD7"/>
    <w:rsid w:val="00E25AF8"/>
    <w:rsid w:val="00E25B25"/>
    <w:rsid w:val="00E25C67"/>
    <w:rsid w:val="00E25D74"/>
    <w:rsid w:val="00E25DAF"/>
    <w:rsid w:val="00E25DCE"/>
    <w:rsid w:val="00E25DDC"/>
    <w:rsid w:val="00E25DFB"/>
    <w:rsid w:val="00E25E12"/>
    <w:rsid w:val="00E25E5D"/>
    <w:rsid w:val="00E25EB7"/>
    <w:rsid w:val="00E25ED3"/>
    <w:rsid w:val="00E25EF5"/>
    <w:rsid w:val="00E25F43"/>
    <w:rsid w:val="00E25F4B"/>
    <w:rsid w:val="00E25F8D"/>
    <w:rsid w:val="00E25F99"/>
    <w:rsid w:val="00E25FAD"/>
    <w:rsid w:val="00E25FF6"/>
    <w:rsid w:val="00E26046"/>
    <w:rsid w:val="00E2605A"/>
    <w:rsid w:val="00E26062"/>
    <w:rsid w:val="00E26095"/>
    <w:rsid w:val="00E260BE"/>
    <w:rsid w:val="00E260F8"/>
    <w:rsid w:val="00E260FA"/>
    <w:rsid w:val="00E26115"/>
    <w:rsid w:val="00E2612E"/>
    <w:rsid w:val="00E2614A"/>
    <w:rsid w:val="00E261A7"/>
    <w:rsid w:val="00E261C0"/>
    <w:rsid w:val="00E261FF"/>
    <w:rsid w:val="00E26217"/>
    <w:rsid w:val="00E2632C"/>
    <w:rsid w:val="00E263BD"/>
    <w:rsid w:val="00E263D1"/>
    <w:rsid w:val="00E263F9"/>
    <w:rsid w:val="00E2641B"/>
    <w:rsid w:val="00E2647E"/>
    <w:rsid w:val="00E26489"/>
    <w:rsid w:val="00E264B6"/>
    <w:rsid w:val="00E264BF"/>
    <w:rsid w:val="00E264D1"/>
    <w:rsid w:val="00E264E5"/>
    <w:rsid w:val="00E2657A"/>
    <w:rsid w:val="00E2658A"/>
    <w:rsid w:val="00E265A4"/>
    <w:rsid w:val="00E26612"/>
    <w:rsid w:val="00E2666C"/>
    <w:rsid w:val="00E26679"/>
    <w:rsid w:val="00E2668C"/>
    <w:rsid w:val="00E2671D"/>
    <w:rsid w:val="00E26735"/>
    <w:rsid w:val="00E2676A"/>
    <w:rsid w:val="00E267A3"/>
    <w:rsid w:val="00E2686B"/>
    <w:rsid w:val="00E26884"/>
    <w:rsid w:val="00E268A8"/>
    <w:rsid w:val="00E268AD"/>
    <w:rsid w:val="00E268BF"/>
    <w:rsid w:val="00E268D2"/>
    <w:rsid w:val="00E26999"/>
    <w:rsid w:val="00E26ACF"/>
    <w:rsid w:val="00E26AE8"/>
    <w:rsid w:val="00E26AEC"/>
    <w:rsid w:val="00E26B75"/>
    <w:rsid w:val="00E26B7C"/>
    <w:rsid w:val="00E26B85"/>
    <w:rsid w:val="00E26C03"/>
    <w:rsid w:val="00E26C52"/>
    <w:rsid w:val="00E26C7D"/>
    <w:rsid w:val="00E26D0C"/>
    <w:rsid w:val="00E26DCD"/>
    <w:rsid w:val="00E26E57"/>
    <w:rsid w:val="00E26F40"/>
    <w:rsid w:val="00E26F97"/>
    <w:rsid w:val="00E27037"/>
    <w:rsid w:val="00E27086"/>
    <w:rsid w:val="00E270B7"/>
    <w:rsid w:val="00E270D6"/>
    <w:rsid w:val="00E27113"/>
    <w:rsid w:val="00E27130"/>
    <w:rsid w:val="00E27138"/>
    <w:rsid w:val="00E2714E"/>
    <w:rsid w:val="00E272A0"/>
    <w:rsid w:val="00E272BB"/>
    <w:rsid w:val="00E2733C"/>
    <w:rsid w:val="00E27341"/>
    <w:rsid w:val="00E27354"/>
    <w:rsid w:val="00E27370"/>
    <w:rsid w:val="00E27371"/>
    <w:rsid w:val="00E273AA"/>
    <w:rsid w:val="00E273C1"/>
    <w:rsid w:val="00E2749C"/>
    <w:rsid w:val="00E274AC"/>
    <w:rsid w:val="00E274F9"/>
    <w:rsid w:val="00E2751D"/>
    <w:rsid w:val="00E27540"/>
    <w:rsid w:val="00E2755F"/>
    <w:rsid w:val="00E27579"/>
    <w:rsid w:val="00E27591"/>
    <w:rsid w:val="00E275CE"/>
    <w:rsid w:val="00E27604"/>
    <w:rsid w:val="00E2760D"/>
    <w:rsid w:val="00E27752"/>
    <w:rsid w:val="00E27775"/>
    <w:rsid w:val="00E277A1"/>
    <w:rsid w:val="00E2780F"/>
    <w:rsid w:val="00E2783F"/>
    <w:rsid w:val="00E27867"/>
    <w:rsid w:val="00E27930"/>
    <w:rsid w:val="00E2793B"/>
    <w:rsid w:val="00E279E3"/>
    <w:rsid w:val="00E27A2E"/>
    <w:rsid w:val="00E27ADD"/>
    <w:rsid w:val="00E27B13"/>
    <w:rsid w:val="00E27B86"/>
    <w:rsid w:val="00E27BBC"/>
    <w:rsid w:val="00E27BC4"/>
    <w:rsid w:val="00E27BE1"/>
    <w:rsid w:val="00E27BEC"/>
    <w:rsid w:val="00E27C02"/>
    <w:rsid w:val="00E27D06"/>
    <w:rsid w:val="00E27D5D"/>
    <w:rsid w:val="00E27D66"/>
    <w:rsid w:val="00E27D67"/>
    <w:rsid w:val="00E27D70"/>
    <w:rsid w:val="00E27D88"/>
    <w:rsid w:val="00E27E71"/>
    <w:rsid w:val="00E27FAB"/>
    <w:rsid w:val="00E30011"/>
    <w:rsid w:val="00E30021"/>
    <w:rsid w:val="00E3005A"/>
    <w:rsid w:val="00E300F4"/>
    <w:rsid w:val="00E3010E"/>
    <w:rsid w:val="00E30139"/>
    <w:rsid w:val="00E3021A"/>
    <w:rsid w:val="00E30235"/>
    <w:rsid w:val="00E30238"/>
    <w:rsid w:val="00E3026B"/>
    <w:rsid w:val="00E302E8"/>
    <w:rsid w:val="00E30322"/>
    <w:rsid w:val="00E3047E"/>
    <w:rsid w:val="00E30481"/>
    <w:rsid w:val="00E30487"/>
    <w:rsid w:val="00E30497"/>
    <w:rsid w:val="00E304D0"/>
    <w:rsid w:val="00E304FD"/>
    <w:rsid w:val="00E30509"/>
    <w:rsid w:val="00E3052A"/>
    <w:rsid w:val="00E30530"/>
    <w:rsid w:val="00E30554"/>
    <w:rsid w:val="00E305E6"/>
    <w:rsid w:val="00E30640"/>
    <w:rsid w:val="00E3066F"/>
    <w:rsid w:val="00E306DA"/>
    <w:rsid w:val="00E3071C"/>
    <w:rsid w:val="00E30725"/>
    <w:rsid w:val="00E30787"/>
    <w:rsid w:val="00E30790"/>
    <w:rsid w:val="00E3079E"/>
    <w:rsid w:val="00E307D7"/>
    <w:rsid w:val="00E30839"/>
    <w:rsid w:val="00E3087E"/>
    <w:rsid w:val="00E309EB"/>
    <w:rsid w:val="00E30A45"/>
    <w:rsid w:val="00E30A5D"/>
    <w:rsid w:val="00E30A73"/>
    <w:rsid w:val="00E30ADA"/>
    <w:rsid w:val="00E30B50"/>
    <w:rsid w:val="00E30BC8"/>
    <w:rsid w:val="00E30BCA"/>
    <w:rsid w:val="00E30BD4"/>
    <w:rsid w:val="00E30C19"/>
    <w:rsid w:val="00E30C41"/>
    <w:rsid w:val="00E30C46"/>
    <w:rsid w:val="00E30C57"/>
    <w:rsid w:val="00E30C7A"/>
    <w:rsid w:val="00E30CAE"/>
    <w:rsid w:val="00E30CD0"/>
    <w:rsid w:val="00E30CD8"/>
    <w:rsid w:val="00E30D10"/>
    <w:rsid w:val="00E30D18"/>
    <w:rsid w:val="00E30D38"/>
    <w:rsid w:val="00E30D3A"/>
    <w:rsid w:val="00E30D68"/>
    <w:rsid w:val="00E30DE2"/>
    <w:rsid w:val="00E30E02"/>
    <w:rsid w:val="00E30E17"/>
    <w:rsid w:val="00E30E66"/>
    <w:rsid w:val="00E30E71"/>
    <w:rsid w:val="00E30E77"/>
    <w:rsid w:val="00E30EA8"/>
    <w:rsid w:val="00E30F09"/>
    <w:rsid w:val="00E30F1A"/>
    <w:rsid w:val="00E30FA7"/>
    <w:rsid w:val="00E31040"/>
    <w:rsid w:val="00E3104A"/>
    <w:rsid w:val="00E3105F"/>
    <w:rsid w:val="00E310E9"/>
    <w:rsid w:val="00E310EB"/>
    <w:rsid w:val="00E310F8"/>
    <w:rsid w:val="00E310FC"/>
    <w:rsid w:val="00E31103"/>
    <w:rsid w:val="00E31115"/>
    <w:rsid w:val="00E3114E"/>
    <w:rsid w:val="00E31155"/>
    <w:rsid w:val="00E31226"/>
    <w:rsid w:val="00E31242"/>
    <w:rsid w:val="00E31253"/>
    <w:rsid w:val="00E31258"/>
    <w:rsid w:val="00E3126E"/>
    <w:rsid w:val="00E312C0"/>
    <w:rsid w:val="00E31318"/>
    <w:rsid w:val="00E31356"/>
    <w:rsid w:val="00E3136A"/>
    <w:rsid w:val="00E313BC"/>
    <w:rsid w:val="00E313C4"/>
    <w:rsid w:val="00E31441"/>
    <w:rsid w:val="00E31450"/>
    <w:rsid w:val="00E31474"/>
    <w:rsid w:val="00E31507"/>
    <w:rsid w:val="00E315BD"/>
    <w:rsid w:val="00E315D9"/>
    <w:rsid w:val="00E315DB"/>
    <w:rsid w:val="00E31601"/>
    <w:rsid w:val="00E31671"/>
    <w:rsid w:val="00E31691"/>
    <w:rsid w:val="00E316BB"/>
    <w:rsid w:val="00E31738"/>
    <w:rsid w:val="00E31765"/>
    <w:rsid w:val="00E31796"/>
    <w:rsid w:val="00E317AF"/>
    <w:rsid w:val="00E317D2"/>
    <w:rsid w:val="00E31810"/>
    <w:rsid w:val="00E3188E"/>
    <w:rsid w:val="00E31909"/>
    <w:rsid w:val="00E3198D"/>
    <w:rsid w:val="00E319AB"/>
    <w:rsid w:val="00E31A03"/>
    <w:rsid w:val="00E31A1C"/>
    <w:rsid w:val="00E31A25"/>
    <w:rsid w:val="00E31A2A"/>
    <w:rsid w:val="00E31A4C"/>
    <w:rsid w:val="00E31A92"/>
    <w:rsid w:val="00E31AF6"/>
    <w:rsid w:val="00E31B1C"/>
    <w:rsid w:val="00E31B6C"/>
    <w:rsid w:val="00E31B79"/>
    <w:rsid w:val="00E31B9D"/>
    <w:rsid w:val="00E31BF7"/>
    <w:rsid w:val="00E31C55"/>
    <w:rsid w:val="00E31C6F"/>
    <w:rsid w:val="00E31C8E"/>
    <w:rsid w:val="00E31CD2"/>
    <w:rsid w:val="00E31CF0"/>
    <w:rsid w:val="00E31D4F"/>
    <w:rsid w:val="00E31DAC"/>
    <w:rsid w:val="00E31DF2"/>
    <w:rsid w:val="00E32072"/>
    <w:rsid w:val="00E32076"/>
    <w:rsid w:val="00E32080"/>
    <w:rsid w:val="00E32095"/>
    <w:rsid w:val="00E320A6"/>
    <w:rsid w:val="00E320B3"/>
    <w:rsid w:val="00E32117"/>
    <w:rsid w:val="00E32120"/>
    <w:rsid w:val="00E32145"/>
    <w:rsid w:val="00E3217D"/>
    <w:rsid w:val="00E321A2"/>
    <w:rsid w:val="00E321C2"/>
    <w:rsid w:val="00E321CF"/>
    <w:rsid w:val="00E3229E"/>
    <w:rsid w:val="00E322E8"/>
    <w:rsid w:val="00E322F2"/>
    <w:rsid w:val="00E32318"/>
    <w:rsid w:val="00E3232C"/>
    <w:rsid w:val="00E32351"/>
    <w:rsid w:val="00E3238E"/>
    <w:rsid w:val="00E323DF"/>
    <w:rsid w:val="00E32407"/>
    <w:rsid w:val="00E32453"/>
    <w:rsid w:val="00E32462"/>
    <w:rsid w:val="00E324B6"/>
    <w:rsid w:val="00E324CE"/>
    <w:rsid w:val="00E32546"/>
    <w:rsid w:val="00E3254A"/>
    <w:rsid w:val="00E3257E"/>
    <w:rsid w:val="00E325CF"/>
    <w:rsid w:val="00E326CA"/>
    <w:rsid w:val="00E3280C"/>
    <w:rsid w:val="00E3280E"/>
    <w:rsid w:val="00E32878"/>
    <w:rsid w:val="00E32889"/>
    <w:rsid w:val="00E32893"/>
    <w:rsid w:val="00E328BC"/>
    <w:rsid w:val="00E32913"/>
    <w:rsid w:val="00E32932"/>
    <w:rsid w:val="00E3297D"/>
    <w:rsid w:val="00E329C0"/>
    <w:rsid w:val="00E32A17"/>
    <w:rsid w:val="00E32A55"/>
    <w:rsid w:val="00E32A7E"/>
    <w:rsid w:val="00E32A92"/>
    <w:rsid w:val="00E32AA6"/>
    <w:rsid w:val="00E32ACF"/>
    <w:rsid w:val="00E32AD0"/>
    <w:rsid w:val="00E32AE3"/>
    <w:rsid w:val="00E32AF8"/>
    <w:rsid w:val="00E32B31"/>
    <w:rsid w:val="00E32B7D"/>
    <w:rsid w:val="00E32BAB"/>
    <w:rsid w:val="00E32C02"/>
    <w:rsid w:val="00E32C41"/>
    <w:rsid w:val="00E32C95"/>
    <w:rsid w:val="00E32CC1"/>
    <w:rsid w:val="00E32CC4"/>
    <w:rsid w:val="00E32CC8"/>
    <w:rsid w:val="00E32D35"/>
    <w:rsid w:val="00E32D68"/>
    <w:rsid w:val="00E32D90"/>
    <w:rsid w:val="00E32D96"/>
    <w:rsid w:val="00E32E9E"/>
    <w:rsid w:val="00E32F3B"/>
    <w:rsid w:val="00E32FE7"/>
    <w:rsid w:val="00E3302A"/>
    <w:rsid w:val="00E33033"/>
    <w:rsid w:val="00E33038"/>
    <w:rsid w:val="00E33090"/>
    <w:rsid w:val="00E330AB"/>
    <w:rsid w:val="00E330D8"/>
    <w:rsid w:val="00E330D9"/>
    <w:rsid w:val="00E33160"/>
    <w:rsid w:val="00E3320A"/>
    <w:rsid w:val="00E3326A"/>
    <w:rsid w:val="00E3331B"/>
    <w:rsid w:val="00E33333"/>
    <w:rsid w:val="00E33339"/>
    <w:rsid w:val="00E3335A"/>
    <w:rsid w:val="00E33365"/>
    <w:rsid w:val="00E33367"/>
    <w:rsid w:val="00E3339E"/>
    <w:rsid w:val="00E333D9"/>
    <w:rsid w:val="00E33456"/>
    <w:rsid w:val="00E33567"/>
    <w:rsid w:val="00E335D5"/>
    <w:rsid w:val="00E335E9"/>
    <w:rsid w:val="00E33610"/>
    <w:rsid w:val="00E33659"/>
    <w:rsid w:val="00E33727"/>
    <w:rsid w:val="00E3372F"/>
    <w:rsid w:val="00E3379D"/>
    <w:rsid w:val="00E337D9"/>
    <w:rsid w:val="00E337E5"/>
    <w:rsid w:val="00E337ED"/>
    <w:rsid w:val="00E33851"/>
    <w:rsid w:val="00E3385B"/>
    <w:rsid w:val="00E33945"/>
    <w:rsid w:val="00E3397F"/>
    <w:rsid w:val="00E3398D"/>
    <w:rsid w:val="00E3399F"/>
    <w:rsid w:val="00E339AC"/>
    <w:rsid w:val="00E339B2"/>
    <w:rsid w:val="00E33A1C"/>
    <w:rsid w:val="00E33A2F"/>
    <w:rsid w:val="00E33A3C"/>
    <w:rsid w:val="00E33A68"/>
    <w:rsid w:val="00E33AE2"/>
    <w:rsid w:val="00E33AE7"/>
    <w:rsid w:val="00E33B51"/>
    <w:rsid w:val="00E33B52"/>
    <w:rsid w:val="00E33BD9"/>
    <w:rsid w:val="00E33BDB"/>
    <w:rsid w:val="00E33C06"/>
    <w:rsid w:val="00E33C1B"/>
    <w:rsid w:val="00E33C46"/>
    <w:rsid w:val="00E33CD6"/>
    <w:rsid w:val="00E33D02"/>
    <w:rsid w:val="00E33D8F"/>
    <w:rsid w:val="00E33E1D"/>
    <w:rsid w:val="00E33E6C"/>
    <w:rsid w:val="00E33EE5"/>
    <w:rsid w:val="00E33EE8"/>
    <w:rsid w:val="00E33EE9"/>
    <w:rsid w:val="00E33F10"/>
    <w:rsid w:val="00E33F2E"/>
    <w:rsid w:val="00E33FAF"/>
    <w:rsid w:val="00E33FCB"/>
    <w:rsid w:val="00E33FDD"/>
    <w:rsid w:val="00E33FEB"/>
    <w:rsid w:val="00E33FF1"/>
    <w:rsid w:val="00E34085"/>
    <w:rsid w:val="00E3409C"/>
    <w:rsid w:val="00E340B7"/>
    <w:rsid w:val="00E340E8"/>
    <w:rsid w:val="00E34119"/>
    <w:rsid w:val="00E3411E"/>
    <w:rsid w:val="00E3414A"/>
    <w:rsid w:val="00E3417A"/>
    <w:rsid w:val="00E341A5"/>
    <w:rsid w:val="00E341D9"/>
    <w:rsid w:val="00E34209"/>
    <w:rsid w:val="00E3425E"/>
    <w:rsid w:val="00E342F7"/>
    <w:rsid w:val="00E34309"/>
    <w:rsid w:val="00E34375"/>
    <w:rsid w:val="00E3447F"/>
    <w:rsid w:val="00E344CD"/>
    <w:rsid w:val="00E34515"/>
    <w:rsid w:val="00E34544"/>
    <w:rsid w:val="00E34563"/>
    <w:rsid w:val="00E345CC"/>
    <w:rsid w:val="00E34652"/>
    <w:rsid w:val="00E3465E"/>
    <w:rsid w:val="00E346E3"/>
    <w:rsid w:val="00E34851"/>
    <w:rsid w:val="00E34864"/>
    <w:rsid w:val="00E3487C"/>
    <w:rsid w:val="00E348CE"/>
    <w:rsid w:val="00E348E6"/>
    <w:rsid w:val="00E348EE"/>
    <w:rsid w:val="00E348EF"/>
    <w:rsid w:val="00E34918"/>
    <w:rsid w:val="00E3494C"/>
    <w:rsid w:val="00E34972"/>
    <w:rsid w:val="00E34991"/>
    <w:rsid w:val="00E349A7"/>
    <w:rsid w:val="00E349C3"/>
    <w:rsid w:val="00E349E8"/>
    <w:rsid w:val="00E34A10"/>
    <w:rsid w:val="00E34B24"/>
    <w:rsid w:val="00E34B34"/>
    <w:rsid w:val="00E34B3C"/>
    <w:rsid w:val="00E34BBE"/>
    <w:rsid w:val="00E34C52"/>
    <w:rsid w:val="00E34CD6"/>
    <w:rsid w:val="00E34D0C"/>
    <w:rsid w:val="00E34DC0"/>
    <w:rsid w:val="00E34DFA"/>
    <w:rsid w:val="00E34E7B"/>
    <w:rsid w:val="00E34ECE"/>
    <w:rsid w:val="00E34EEF"/>
    <w:rsid w:val="00E34F8C"/>
    <w:rsid w:val="00E34FC4"/>
    <w:rsid w:val="00E34FDC"/>
    <w:rsid w:val="00E3506F"/>
    <w:rsid w:val="00E35138"/>
    <w:rsid w:val="00E35174"/>
    <w:rsid w:val="00E351AE"/>
    <w:rsid w:val="00E35268"/>
    <w:rsid w:val="00E3526E"/>
    <w:rsid w:val="00E35286"/>
    <w:rsid w:val="00E352E6"/>
    <w:rsid w:val="00E35309"/>
    <w:rsid w:val="00E35335"/>
    <w:rsid w:val="00E3539E"/>
    <w:rsid w:val="00E353C9"/>
    <w:rsid w:val="00E35406"/>
    <w:rsid w:val="00E3540C"/>
    <w:rsid w:val="00E3544F"/>
    <w:rsid w:val="00E35469"/>
    <w:rsid w:val="00E35476"/>
    <w:rsid w:val="00E354A9"/>
    <w:rsid w:val="00E354C0"/>
    <w:rsid w:val="00E3556F"/>
    <w:rsid w:val="00E355DB"/>
    <w:rsid w:val="00E35613"/>
    <w:rsid w:val="00E35664"/>
    <w:rsid w:val="00E35689"/>
    <w:rsid w:val="00E356C3"/>
    <w:rsid w:val="00E356F1"/>
    <w:rsid w:val="00E35753"/>
    <w:rsid w:val="00E3578B"/>
    <w:rsid w:val="00E3579E"/>
    <w:rsid w:val="00E35812"/>
    <w:rsid w:val="00E35815"/>
    <w:rsid w:val="00E35866"/>
    <w:rsid w:val="00E35876"/>
    <w:rsid w:val="00E35918"/>
    <w:rsid w:val="00E35952"/>
    <w:rsid w:val="00E359B4"/>
    <w:rsid w:val="00E35A6A"/>
    <w:rsid w:val="00E35AE4"/>
    <w:rsid w:val="00E35B29"/>
    <w:rsid w:val="00E35B61"/>
    <w:rsid w:val="00E35B65"/>
    <w:rsid w:val="00E35B7F"/>
    <w:rsid w:val="00E35C02"/>
    <w:rsid w:val="00E35C13"/>
    <w:rsid w:val="00E35C51"/>
    <w:rsid w:val="00E35C8B"/>
    <w:rsid w:val="00E35CFC"/>
    <w:rsid w:val="00E35D21"/>
    <w:rsid w:val="00E35D37"/>
    <w:rsid w:val="00E35D44"/>
    <w:rsid w:val="00E35D67"/>
    <w:rsid w:val="00E35D83"/>
    <w:rsid w:val="00E35DBA"/>
    <w:rsid w:val="00E35DBD"/>
    <w:rsid w:val="00E35DCF"/>
    <w:rsid w:val="00E35DEB"/>
    <w:rsid w:val="00E35DFF"/>
    <w:rsid w:val="00E35E03"/>
    <w:rsid w:val="00E35E2F"/>
    <w:rsid w:val="00E35E4C"/>
    <w:rsid w:val="00E35E6E"/>
    <w:rsid w:val="00E35E8C"/>
    <w:rsid w:val="00E35F2C"/>
    <w:rsid w:val="00E35F82"/>
    <w:rsid w:val="00E3602C"/>
    <w:rsid w:val="00E36041"/>
    <w:rsid w:val="00E36080"/>
    <w:rsid w:val="00E360A9"/>
    <w:rsid w:val="00E360B4"/>
    <w:rsid w:val="00E360D5"/>
    <w:rsid w:val="00E36153"/>
    <w:rsid w:val="00E3617A"/>
    <w:rsid w:val="00E36196"/>
    <w:rsid w:val="00E361AE"/>
    <w:rsid w:val="00E361F3"/>
    <w:rsid w:val="00E36269"/>
    <w:rsid w:val="00E362CE"/>
    <w:rsid w:val="00E362F2"/>
    <w:rsid w:val="00E36325"/>
    <w:rsid w:val="00E36375"/>
    <w:rsid w:val="00E363DD"/>
    <w:rsid w:val="00E3640E"/>
    <w:rsid w:val="00E3643F"/>
    <w:rsid w:val="00E36479"/>
    <w:rsid w:val="00E36513"/>
    <w:rsid w:val="00E36599"/>
    <w:rsid w:val="00E365A1"/>
    <w:rsid w:val="00E365A7"/>
    <w:rsid w:val="00E365A9"/>
    <w:rsid w:val="00E365B4"/>
    <w:rsid w:val="00E365D1"/>
    <w:rsid w:val="00E36658"/>
    <w:rsid w:val="00E3668A"/>
    <w:rsid w:val="00E36701"/>
    <w:rsid w:val="00E36702"/>
    <w:rsid w:val="00E367DE"/>
    <w:rsid w:val="00E36847"/>
    <w:rsid w:val="00E3687D"/>
    <w:rsid w:val="00E368BF"/>
    <w:rsid w:val="00E368CA"/>
    <w:rsid w:val="00E36901"/>
    <w:rsid w:val="00E36916"/>
    <w:rsid w:val="00E36945"/>
    <w:rsid w:val="00E3695F"/>
    <w:rsid w:val="00E3698A"/>
    <w:rsid w:val="00E3699C"/>
    <w:rsid w:val="00E369E9"/>
    <w:rsid w:val="00E369F2"/>
    <w:rsid w:val="00E36A8E"/>
    <w:rsid w:val="00E36ABA"/>
    <w:rsid w:val="00E36AC7"/>
    <w:rsid w:val="00E36AE7"/>
    <w:rsid w:val="00E36B31"/>
    <w:rsid w:val="00E36B46"/>
    <w:rsid w:val="00E36B75"/>
    <w:rsid w:val="00E36B7C"/>
    <w:rsid w:val="00E36BA1"/>
    <w:rsid w:val="00E36C00"/>
    <w:rsid w:val="00E36C28"/>
    <w:rsid w:val="00E36D06"/>
    <w:rsid w:val="00E36D11"/>
    <w:rsid w:val="00E36D2E"/>
    <w:rsid w:val="00E36E26"/>
    <w:rsid w:val="00E36E4F"/>
    <w:rsid w:val="00E36E6E"/>
    <w:rsid w:val="00E36E8F"/>
    <w:rsid w:val="00E36EB5"/>
    <w:rsid w:val="00E36EF5"/>
    <w:rsid w:val="00E36F2E"/>
    <w:rsid w:val="00E36F57"/>
    <w:rsid w:val="00E36F75"/>
    <w:rsid w:val="00E36FDD"/>
    <w:rsid w:val="00E36FE4"/>
    <w:rsid w:val="00E37050"/>
    <w:rsid w:val="00E37068"/>
    <w:rsid w:val="00E37087"/>
    <w:rsid w:val="00E370BA"/>
    <w:rsid w:val="00E370D0"/>
    <w:rsid w:val="00E370D6"/>
    <w:rsid w:val="00E370F4"/>
    <w:rsid w:val="00E3716B"/>
    <w:rsid w:val="00E37184"/>
    <w:rsid w:val="00E37197"/>
    <w:rsid w:val="00E371A7"/>
    <w:rsid w:val="00E371CB"/>
    <w:rsid w:val="00E3721C"/>
    <w:rsid w:val="00E37252"/>
    <w:rsid w:val="00E37279"/>
    <w:rsid w:val="00E3729C"/>
    <w:rsid w:val="00E3732A"/>
    <w:rsid w:val="00E3735C"/>
    <w:rsid w:val="00E373EB"/>
    <w:rsid w:val="00E374EB"/>
    <w:rsid w:val="00E374F6"/>
    <w:rsid w:val="00E3755C"/>
    <w:rsid w:val="00E37575"/>
    <w:rsid w:val="00E37600"/>
    <w:rsid w:val="00E377EC"/>
    <w:rsid w:val="00E37809"/>
    <w:rsid w:val="00E3786A"/>
    <w:rsid w:val="00E37898"/>
    <w:rsid w:val="00E378B0"/>
    <w:rsid w:val="00E378E3"/>
    <w:rsid w:val="00E379FA"/>
    <w:rsid w:val="00E37A9D"/>
    <w:rsid w:val="00E37B40"/>
    <w:rsid w:val="00E37B84"/>
    <w:rsid w:val="00E37BA1"/>
    <w:rsid w:val="00E37C5D"/>
    <w:rsid w:val="00E37C71"/>
    <w:rsid w:val="00E37C73"/>
    <w:rsid w:val="00E37C8A"/>
    <w:rsid w:val="00E37CA1"/>
    <w:rsid w:val="00E37CB8"/>
    <w:rsid w:val="00E37CDD"/>
    <w:rsid w:val="00E37D28"/>
    <w:rsid w:val="00E37D81"/>
    <w:rsid w:val="00E37DCB"/>
    <w:rsid w:val="00E37E40"/>
    <w:rsid w:val="00E37EC6"/>
    <w:rsid w:val="00E37F41"/>
    <w:rsid w:val="00E37F61"/>
    <w:rsid w:val="00E37F89"/>
    <w:rsid w:val="00E37FF1"/>
    <w:rsid w:val="00E40005"/>
    <w:rsid w:val="00E400B7"/>
    <w:rsid w:val="00E40108"/>
    <w:rsid w:val="00E40178"/>
    <w:rsid w:val="00E401A7"/>
    <w:rsid w:val="00E40285"/>
    <w:rsid w:val="00E402F4"/>
    <w:rsid w:val="00E402F8"/>
    <w:rsid w:val="00E4031A"/>
    <w:rsid w:val="00E4032E"/>
    <w:rsid w:val="00E40438"/>
    <w:rsid w:val="00E40445"/>
    <w:rsid w:val="00E40462"/>
    <w:rsid w:val="00E40497"/>
    <w:rsid w:val="00E404E9"/>
    <w:rsid w:val="00E4051B"/>
    <w:rsid w:val="00E40521"/>
    <w:rsid w:val="00E4054F"/>
    <w:rsid w:val="00E405AD"/>
    <w:rsid w:val="00E405C0"/>
    <w:rsid w:val="00E405D7"/>
    <w:rsid w:val="00E4066E"/>
    <w:rsid w:val="00E40686"/>
    <w:rsid w:val="00E406DF"/>
    <w:rsid w:val="00E40704"/>
    <w:rsid w:val="00E40708"/>
    <w:rsid w:val="00E40711"/>
    <w:rsid w:val="00E40727"/>
    <w:rsid w:val="00E40761"/>
    <w:rsid w:val="00E4084D"/>
    <w:rsid w:val="00E4085D"/>
    <w:rsid w:val="00E408DE"/>
    <w:rsid w:val="00E40906"/>
    <w:rsid w:val="00E4093F"/>
    <w:rsid w:val="00E40963"/>
    <w:rsid w:val="00E4099B"/>
    <w:rsid w:val="00E409E4"/>
    <w:rsid w:val="00E409E9"/>
    <w:rsid w:val="00E40A22"/>
    <w:rsid w:val="00E40A2D"/>
    <w:rsid w:val="00E40A36"/>
    <w:rsid w:val="00E40A77"/>
    <w:rsid w:val="00E40A98"/>
    <w:rsid w:val="00E40AC0"/>
    <w:rsid w:val="00E40AD2"/>
    <w:rsid w:val="00E40AE1"/>
    <w:rsid w:val="00E40AEF"/>
    <w:rsid w:val="00E40B28"/>
    <w:rsid w:val="00E40B71"/>
    <w:rsid w:val="00E40C3A"/>
    <w:rsid w:val="00E40CF2"/>
    <w:rsid w:val="00E40D39"/>
    <w:rsid w:val="00E40DD3"/>
    <w:rsid w:val="00E40E35"/>
    <w:rsid w:val="00E40E56"/>
    <w:rsid w:val="00E40E59"/>
    <w:rsid w:val="00E40E74"/>
    <w:rsid w:val="00E40EBC"/>
    <w:rsid w:val="00E40F28"/>
    <w:rsid w:val="00E40F4F"/>
    <w:rsid w:val="00E40F6F"/>
    <w:rsid w:val="00E40FDB"/>
    <w:rsid w:val="00E40FF6"/>
    <w:rsid w:val="00E40FF7"/>
    <w:rsid w:val="00E41044"/>
    <w:rsid w:val="00E4107C"/>
    <w:rsid w:val="00E410B6"/>
    <w:rsid w:val="00E410D3"/>
    <w:rsid w:val="00E410E2"/>
    <w:rsid w:val="00E410F5"/>
    <w:rsid w:val="00E41199"/>
    <w:rsid w:val="00E41202"/>
    <w:rsid w:val="00E4122B"/>
    <w:rsid w:val="00E41234"/>
    <w:rsid w:val="00E41270"/>
    <w:rsid w:val="00E41272"/>
    <w:rsid w:val="00E412A7"/>
    <w:rsid w:val="00E412C0"/>
    <w:rsid w:val="00E41313"/>
    <w:rsid w:val="00E4131D"/>
    <w:rsid w:val="00E41326"/>
    <w:rsid w:val="00E4133E"/>
    <w:rsid w:val="00E41340"/>
    <w:rsid w:val="00E413C2"/>
    <w:rsid w:val="00E413D2"/>
    <w:rsid w:val="00E41404"/>
    <w:rsid w:val="00E41405"/>
    <w:rsid w:val="00E41425"/>
    <w:rsid w:val="00E4148B"/>
    <w:rsid w:val="00E414ED"/>
    <w:rsid w:val="00E4150B"/>
    <w:rsid w:val="00E41598"/>
    <w:rsid w:val="00E415C6"/>
    <w:rsid w:val="00E415E9"/>
    <w:rsid w:val="00E41631"/>
    <w:rsid w:val="00E41720"/>
    <w:rsid w:val="00E41733"/>
    <w:rsid w:val="00E41753"/>
    <w:rsid w:val="00E41762"/>
    <w:rsid w:val="00E418A4"/>
    <w:rsid w:val="00E41921"/>
    <w:rsid w:val="00E41961"/>
    <w:rsid w:val="00E41977"/>
    <w:rsid w:val="00E4197F"/>
    <w:rsid w:val="00E419AA"/>
    <w:rsid w:val="00E41A0A"/>
    <w:rsid w:val="00E41A1E"/>
    <w:rsid w:val="00E41A2E"/>
    <w:rsid w:val="00E41A41"/>
    <w:rsid w:val="00E41AB4"/>
    <w:rsid w:val="00E41AF6"/>
    <w:rsid w:val="00E41B06"/>
    <w:rsid w:val="00E41B12"/>
    <w:rsid w:val="00E41B55"/>
    <w:rsid w:val="00E41B86"/>
    <w:rsid w:val="00E41C33"/>
    <w:rsid w:val="00E41C4A"/>
    <w:rsid w:val="00E41C58"/>
    <w:rsid w:val="00E41C66"/>
    <w:rsid w:val="00E41C77"/>
    <w:rsid w:val="00E41D58"/>
    <w:rsid w:val="00E41DA8"/>
    <w:rsid w:val="00E41E50"/>
    <w:rsid w:val="00E41F65"/>
    <w:rsid w:val="00E41FFE"/>
    <w:rsid w:val="00E42069"/>
    <w:rsid w:val="00E420CF"/>
    <w:rsid w:val="00E420F4"/>
    <w:rsid w:val="00E42180"/>
    <w:rsid w:val="00E42187"/>
    <w:rsid w:val="00E42208"/>
    <w:rsid w:val="00E42222"/>
    <w:rsid w:val="00E4222F"/>
    <w:rsid w:val="00E42235"/>
    <w:rsid w:val="00E42241"/>
    <w:rsid w:val="00E42316"/>
    <w:rsid w:val="00E42454"/>
    <w:rsid w:val="00E42461"/>
    <w:rsid w:val="00E42589"/>
    <w:rsid w:val="00E425E3"/>
    <w:rsid w:val="00E42649"/>
    <w:rsid w:val="00E4266D"/>
    <w:rsid w:val="00E42681"/>
    <w:rsid w:val="00E426E7"/>
    <w:rsid w:val="00E4270B"/>
    <w:rsid w:val="00E427D7"/>
    <w:rsid w:val="00E427DD"/>
    <w:rsid w:val="00E427F2"/>
    <w:rsid w:val="00E42822"/>
    <w:rsid w:val="00E4284A"/>
    <w:rsid w:val="00E428BF"/>
    <w:rsid w:val="00E428F6"/>
    <w:rsid w:val="00E42952"/>
    <w:rsid w:val="00E4296D"/>
    <w:rsid w:val="00E42996"/>
    <w:rsid w:val="00E4299A"/>
    <w:rsid w:val="00E42A13"/>
    <w:rsid w:val="00E42ABE"/>
    <w:rsid w:val="00E42B0F"/>
    <w:rsid w:val="00E42B12"/>
    <w:rsid w:val="00E42B26"/>
    <w:rsid w:val="00E42B39"/>
    <w:rsid w:val="00E42B3C"/>
    <w:rsid w:val="00E42B44"/>
    <w:rsid w:val="00E42B5F"/>
    <w:rsid w:val="00E42B9E"/>
    <w:rsid w:val="00E42BB6"/>
    <w:rsid w:val="00E42C05"/>
    <w:rsid w:val="00E42C95"/>
    <w:rsid w:val="00E42C9D"/>
    <w:rsid w:val="00E42CFA"/>
    <w:rsid w:val="00E42DEB"/>
    <w:rsid w:val="00E42E02"/>
    <w:rsid w:val="00E42E64"/>
    <w:rsid w:val="00E42E96"/>
    <w:rsid w:val="00E42F04"/>
    <w:rsid w:val="00E42F3D"/>
    <w:rsid w:val="00E42FD8"/>
    <w:rsid w:val="00E4304D"/>
    <w:rsid w:val="00E43055"/>
    <w:rsid w:val="00E43076"/>
    <w:rsid w:val="00E430A3"/>
    <w:rsid w:val="00E431C0"/>
    <w:rsid w:val="00E43224"/>
    <w:rsid w:val="00E4328A"/>
    <w:rsid w:val="00E4328C"/>
    <w:rsid w:val="00E432AF"/>
    <w:rsid w:val="00E432C7"/>
    <w:rsid w:val="00E432CE"/>
    <w:rsid w:val="00E4331B"/>
    <w:rsid w:val="00E43336"/>
    <w:rsid w:val="00E433AA"/>
    <w:rsid w:val="00E433BF"/>
    <w:rsid w:val="00E43456"/>
    <w:rsid w:val="00E4345D"/>
    <w:rsid w:val="00E43495"/>
    <w:rsid w:val="00E434B4"/>
    <w:rsid w:val="00E4350C"/>
    <w:rsid w:val="00E4351A"/>
    <w:rsid w:val="00E4357B"/>
    <w:rsid w:val="00E435A9"/>
    <w:rsid w:val="00E435AE"/>
    <w:rsid w:val="00E435AF"/>
    <w:rsid w:val="00E435B6"/>
    <w:rsid w:val="00E435DC"/>
    <w:rsid w:val="00E435EB"/>
    <w:rsid w:val="00E436F7"/>
    <w:rsid w:val="00E43702"/>
    <w:rsid w:val="00E4371E"/>
    <w:rsid w:val="00E4373B"/>
    <w:rsid w:val="00E4373F"/>
    <w:rsid w:val="00E43794"/>
    <w:rsid w:val="00E43798"/>
    <w:rsid w:val="00E4389E"/>
    <w:rsid w:val="00E438F7"/>
    <w:rsid w:val="00E43901"/>
    <w:rsid w:val="00E43934"/>
    <w:rsid w:val="00E439FB"/>
    <w:rsid w:val="00E43A3F"/>
    <w:rsid w:val="00E43A45"/>
    <w:rsid w:val="00E43A77"/>
    <w:rsid w:val="00E43AFE"/>
    <w:rsid w:val="00E43B32"/>
    <w:rsid w:val="00E43B3F"/>
    <w:rsid w:val="00E43B4A"/>
    <w:rsid w:val="00E43B4F"/>
    <w:rsid w:val="00E43B59"/>
    <w:rsid w:val="00E43B73"/>
    <w:rsid w:val="00E43BE8"/>
    <w:rsid w:val="00E43C2A"/>
    <w:rsid w:val="00E43C30"/>
    <w:rsid w:val="00E43C97"/>
    <w:rsid w:val="00E43CAD"/>
    <w:rsid w:val="00E43CCC"/>
    <w:rsid w:val="00E43CDC"/>
    <w:rsid w:val="00E43D31"/>
    <w:rsid w:val="00E43D3A"/>
    <w:rsid w:val="00E43D57"/>
    <w:rsid w:val="00E43DD0"/>
    <w:rsid w:val="00E43E1E"/>
    <w:rsid w:val="00E43E97"/>
    <w:rsid w:val="00E43EB7"/>
    <w:rsid w:val="00E43F09"/>
    <w:rsid w:val="00E43F4D"/>
    <w:rsid w:val="00E43F51"/>
    <w:rsid w:val="00E43F58"/>
    <w:rsid w:val="00E43F84"/>
    <w:rsid w:val="00E440BF"/>
    <w:rsid w:val="00E440FB"/>
    <w:rsid w:val="00E44117"/>
    <w:rsid w:val="00E4417F"/>
    <w:rsid w:val="00E441C0"/>
    <w:rsid w:val="00E44266"/>
    <w:rsid w:val="00E4430E"/>
    <w:rsid w:val="00E4434D"/>
    <w:rsid w:val="00E4435B"/>
    <w:rsid w:val="00E4435F"/>
    <w:rsid w:val="00E44382"/>
    <w:rsid w:val="00E4438B"/>
    <w:rsid w:val="00E44393"/>
    <w:rsid w:val="00E443F8"/>
    <w:rsid w:val="00E44465"/>
    <w:rsid w:val="00E444B2"/>
    <w:rsid w:val="00E444DE"/>
    <w:rsid w:val="00E44536"/>
    <w:rsid w:val="00E4453C"/>
    <w:rsid w:val="00E44540"/>
    <w:rsid w:val="00E44548"/>
    <w:rsid w:val="00E44595"/>
    <w:rsid w:val="00E44599"/>
    <w:rsid w:val="00E445C4"/>
    <w:rsid w:val="00E445C9"/>
    <w:rsid w:val="00E445CB"/>
    <w:rsid w:val="00E44634"/>
    <w:rsid w:val="00E446CB"/>
    <w:rsid w:val="00E4476E"/>
    <w:rsid w:val="00E44810"/>
    <w:rsid w:val="00E44834"/>
    <w:rsid w:val="00E4483C"/>
    <w:rsid w:val="00E44890"/>
    <w:rsid w:val="00E448BC"/>
    <w:rsid w:val="00E448ED"/>
    <w:rsid w:val="00E44905"/>
    <w:rsid w:val="00E4493E"/>
    <w:rsid w:val="00E44994"/>
    <w:rsid w:val="00E44B27"/>
    <w:rsid w:val="00E44B75"/>
    <w:rsid w:val="00E44B7D"/>
    <w:rsid w:val="00E44BC3"/>
    <w:rsid w:val="00E44C00"/>
    <w:rsid w:val="00E44C6F"/>
    <w:rsid w:val="00E44C7F"/>
    <w:rsid w:val="00E44CA7"/>
    <w:rsid w:val="00E44CE2"/>
    <w:rsid w:val="00E44CF4"/>
    <w:rsid w:val="00E44D0F"/>
    <w:rsid w:val="00E44DBE"/>
    <w:rsid w:val="00E44DC3"/>
    <w:rsid w:val="00E44DD7"/>
    <w:rsid w:val="00E44DDA"/>
    <w:rsid w:val="00E44DED"/>
    <w:rsid w:val="00E44E39"/>
    <w:rsid w:val="00E44E42"/>
    <w:rsid w:val="00E44E61"/>
    <w:rsid w:val="00E44E64"/>
    <w:rsid w:val="00E44EAB"/>
    <w:rsid w:val="00E44F14"/>
    <w:rsid w:val="00E44F3D"/>
    <w:rsid w:val="00E44F5F"/>
    <w:rsid w:val="00E44FDA"/>
    <w:rsid w:val="00E44FE0"/>
    <w:rsid w:val="00E4501D"/>
    <w:rsid w:val="00E45057"/>
    <w:rsid w:val="00E45187"/>
    <w:rsid w:val="00E451A3"/>
    <w:rsid w:val="00E451FC"/>
    <w:rsid w:val="00E45246"/>
    <w:rsid w:val="00E45379"/>
    <w:rsid w:val="00E45387"/>
    <w:rsid w:val="00E4539A"/>
    <w:rsid w:val="00E453C5"/>
    <w:rsid w:val="00E4540C"/>
    <w:rsid w:val="00E45411"/>
    <w:rsid w:val="00E4541E"/>
    <w:rsid w:val="00E45446"/>
    <w:rsid w:val="00E45481"/>
    <w:rsid w:val="00E454E8"/>
    <w:rsid w:val="00E4552A"/>
    <w:rsid w:val="00E4552B"/>
    <w:rsid w:val="00E4555C"/>
    <w:rsid w:val="00E45609"/>
    <w:rsid w:val="00E4560C"/>
    <w:rsid w:val="00E45677"/>
    <w:rsid w:val="00E456D6"/>
    <w:rsid w:val="00E45731"/>
    <w:rsid w:val="00E4575F"/>
    <w:rsid w:val="00E4577B"/>
    <w:rsid w:val="00E457D2"/>
    <w:rsid w:val="00E4581F"/>
    <w:rsid w:val="00E4585D"/>
    <w:rsid w:val="00E4585E"/>
    <w:rsid w:val="00E45870"/>
    <w:rsid w:val="00E45899"/>
    <w:rsid w:val="00E458CC"/>
    <w:rsid w:val="00E458D4"/>
    <w:rsid w:val="00E4596C"/>
    <w:rsid w:val="00E459E3"/>
    <w:rsid w:val="00E45A27"/>
    <w:rsid w:val="00E45A8D"/>
    <w:rsid w:val="00E45A99"/>
    <w:rsid w:val="00E45B14"/>
    <w:rsid w:val="00E45B6F"/>
    <w:rsid w:val="00E45BFD"/>
    <w:rsid w:val="00E45C40"/>
    <w:rsid w:val="00E45C7A"/>
    <w:rsid w:val="00E45D1D"/>
    <w:rsid w:val="00E45D50"/>
    <w:rsid w:val="00E45D70"/>
    <w:rsid w:val="00E45DEE"/>
    <w:rsid w:val="00E45E6B"/>
    <w:rsid w:val="00E45EA6"/>
    <w:rsid w:val="00E45EAB"/>
    <w:rsid w:val="00E45ECD"/>
    <w:rsid w:val="00E45F04"/>
    <w:rsid w:val="00E45F35"/>
    <w:rsid w:val="00E4608A"/>
    <w:rsid w:val="00E46095"/>
    <w:rsid w:val="00E460A6"/>
    <w:rsid w:val="00E460AD"/>
    <w:rsid w:val="00E460CE"/>
    <w:rsid w:val="00E4612E"/>
    <w:rsid w:val="00E46157"/>
    <w:rsid w:val="00E461BE"/>
    <w:rsid w:val="00E4620B"/>
    <w:rsid w:val="00E4632B"/>
    <w:rsid w:val="00E46331"/>
    <w:rsid w:val="00E463AC"/>
    <w:rsid w:val="00E463B3"/>
    <w:rsid w:val="00E463D4"/>
    <w:rsid w:val="00E463DE"/>
    <w:rsid w:val="00E46416"/>
    <w:rsid w:val="00E46458"/>
    <w:rsid w:val="00E464A5"/>
    <w:rsid w:val="00E46547"/>
    <w:rsid w:val="00E46552"/>
    <w:rsid w:val="00E4659E"/>
    <w:rsid w:val="00E465A6"/>
    <w:rsid w:val="00E465FE"/>
    <w:rsid w:val="00E4664C"/>
    <w:rsid w:val="00E466FD"/>
    <w:rsid w:val="00E46722"/>
    <w:rsid w:val="00E4676F"/>
    <w:rsid w:val="00E467D2"/>
    <w:rsid w:val="00E46807"/>
    <w:rsid w:val="00E4689B"/>
    <w:rsid w:val="00E4691E"/>
    <w:rsid w:val="00E46958"/>
    <w:rsid w:val="00E4696B"/>
    <w:rsid w:val="00E46A51"/>
    <w:rsid w:val="00E46A5A"/>
    <w:rsid w:val="00E46A6D"/>
    <w:rsid w:val="00E46A8F"/>
    <w:rsid w:val="00E46AC6"/>
    <w:rsid w:val="00E46ACC"/>
    <w:rsid w:val="00E46AD0"/>
    <w:rsid w:val="00E46B16"/>
    <w:rsid w:val="00E46C16"/>
    <w:rsid w:val="00E46C4C"/>
    <w:rsid w:val="00E46C52"/>
    <w:rsid w:val="00E46C55"/>
    <w:rsid w:val="00E46CE8"/>
    <w:rsid w:val="00E46D50"/>
    <w:rsid w:val="00E46D70"/>
    <w:rsid w:val="00E46DAF"/>
    <w:rsid w:val="00E46E62"/>
    <w:rsid w:val="00E46F0D"/>
    <w:rsid w:val="00E46F19"/>
    <w:rsid w:val="00E46F48"/>
    <w:rsid w:val="00E46FCA"/>
    <w:rsid w:val="00E46FF9"/>
    <w:rsid w:val="00E4700C"/>
    <w:rsid w:val="00E4701F"/>
    <w:rsid w:val="00E47066"/>
    <w:rsid w:val="00E47096"/>
    <w:rsid w:val="00E470D0"/>
    <w:rsid w:val="00E470DD"/>
    <w:rsid w:val="00E470F1"/>
    <w:rsid w:val="00E471E3"/>
    <w:rsid w:val="00E471EA"/>
    <w:rsid w:val="00E47271"/>
    <w:rsid w:val="00E47283"/>
    <w:rsid w:val="00E4729E"/>
    <w:rsid w:val="00E472BB"/>
    <w:rsid w:val="00E472DA"/>
    <w:rsid w:val="00E472E3"/>
    <w:rsid w:val="00E4731F"/>
    <w:rsid w:val="00E473DC"/>
    <w:rsid w:val="00E4743F"/>
    <w:rsid w:val="00E47449"/>
    <w:rsid w:val="00E4758C"/>
    <w:rsid w:val="00E4759C"/>
    <w:rsid w:val="00E475B3"/>
    <w:rsid w:val="00E475EF"/>
    <w:rsid w:val="00E475F1"/>
    <w:rsid w:val="00E475F4"/>
    <w:rsid w:val="00E47617"/>
    <w:rsid w:val="00E47628"/>
    <w:rsid w:val="00E47655"/>
    <w:rsid w:val="00E476EE"/>
    <w:rsid w:val="00E47703"/>
    <w:rsid w:val="00E4775E"/>
    <w:rsid w:val="00E47761"/>
    <w:rsid w:val="00E4776F"/>
    <w:rsid w:val="00E4781F"/>
    <w:rsid w:val="00E47838"/>
    <w:rsid w:val="00E4784C"/>
    <w:rsid w:val="00E47886"/>
    <w:rsid w:val="00E4788C"/>
    <w:rsid w:val="00E4790E"/>
    <w:rsid w:val="00E47919"/>
    <w:rsid w:val="00E47929"/>
    <w:rsid w:val="00E47941"/>
    <w:rsid w:val="00E4795B"/>
    <w:rsid w:val="00E4797B"/>
    <w:rsid w:val="00E479FE"/>
    <w:rsid w:val="00E47A27"/>
    <w:rsid w:val="00E47A35"/>
    <w:rsid w:val="00E47A73"/>
    <w:rsid w:val="00E47B16"/>
    <w:rsid w:val="00E47B7D"/>
    <w:rsid w:val="00E47B8F"/>
    <w:rsid w:val="00E47B9E"/>
    <w:rsid w:val="00E47BA3"/>
    <w:rsid w:val="00E47BA6"/>
    <w:rsid w:val="00E47BD5"/>
    <w:rsid w:val="00E47BDC"/>
    <w:rsid w:val="00E47BE6"/>
    <w:rsid w:val="00E47BE7"/>
    <w:rsid w:val="00E47C09"/>
    <w:rsid w:val="00E47C58"/>
    <w:rsid w:val="00E47CB9"/>
    <w:rsid w:val="00E47CD4"/>
    <w:rsid w:val="00E47CDB"/>
    <w:rsid w:val="00E47D13"/>
    <w:rsid w:val="00E47DA8"/>
    <w:rsid w:val="00E47DE3"/>
    <w:rsid w:val="00E47DE7"/>
    <w:rsid w:val="00E47E0C"/>
    <w:rsid w:val="00E47E16"/>
    <w:rsid w:val="00E47ED1"/>
    <w:rsid w:val="00E47F01"/>
    <w:rsid w:val="00E47F14"/>
    <w:rsid w:val="00E47F8E"/>
    <w:rsid w:val="00E47F99"/>
    <w:rsid w:val="00E50022"/>
    <w:rsid w:val="00E50038"/>
    <w:rsid w:val="00E5009D"/>
    <w:rsid w:val="00E5010B"/>
    <w:rsid w:val="00E5014F"/>
    <w:rsid w:val="00E5019E"/>
    <w:rsid w:val="00E501AC"/>
    <w:rsid w:val="00E50201"/>
    <w:rsid w:val="00E50230"/>
    <w:rsid w:val="00E50292"/>
    <w:rsid w:val="00E502C6"/>
    <w:rsid w:val="00E5043D"/>
    <w:rsid w:val="00E504C7"/>
    <w:rsid w:val="00E504E2"/>
    <w:rsid w:val="00E50511"/>
    <w:rsid w:val="00E5058C"/>
    <w:rsid w:val="00E505DE"/>
    <w:rsid w:val="00E506C8"/>
    <w:rsid w:val="00E50759"/>
    <w:rsid w:val="00E5077A"/>
    <w:rsid w:val="00E50783"/>
    <w:rsid w:val="00E507A8"/>
    <w:rsid w:val="00E507CC"/>
    <w:rsid w:val="00E507D0"/>
    <w:rsid w:val="00E507D9"/>
    <w:rsid w:val="00E507F6"/>
    <w:rsid w:val="00E50867"/>
    <w:rsid w:val="00E5087E"/>
    <w:rsid w:val="00E508BA"/>
    <w:rsid w:val="00E508C9"/>
    <w:rsid w:val="00E50905"/>
    <w:rsid w:val="00E50973"/>
    <w:rsid w:val="00E509CF"/>
    <w:rsid w:val="00E509F6"/>
    <w:rsid w:val="00E50A97"/>
    <w:rsid w:val="00E50A9C"/>
    <w:rsid w:val="00E50AAD"/>
    <w:rsid w:val="00E50AD6"/>
    <w:rsid w:val="00E50ADF"/>
    <w:rsid w:val="00E50B42"/>
    <w:rsid w:val="00E50B5A"/>
    <w:rsid w:val="00E50B70"/>
    <w:rsid w:val="00E50BAA"/>
    <w:rsid w:val="00E50C7E"/>
    <w:rsid w:val="00E50CA4"/>
    <w:rsid w:val="00E50CB3"/>
    <w:rsid w:val="00E50D0A"/>
    <w:rsid w:val="00E50D3E"/>
    <w:rsid w:val="00E50E53"/>
    <w:rsid w:val="00E50E7C"/>
    <w:rsid w:val="00E50F1B"/>
    <w:rsid w:val="00E50F21"/>
    <w:rsid w:val="00E50F51"/>
    <w:rsid w:val="00E50F67"/>
    <w:rsid w:val="00E51011"/>
    <w:rsid w:val="00E51031"/>
    <w:rsid w:val="00E510B4"/>
    <w:rsid w:val="00E51102"/>
    <w:rsid w:val="00E5110E"/>
    <w:rsid w:val="00E5111A"/>
    <w:rsid w:val="00E5111B"/>
    <w:rsid w:val="00E5117F"/>
    <w:rsid w:val="00E511F7"/>
    <w:rsid w:val="00E51201"/>
    <w:rsid w:val="00E5125F"/>
    <w:rsid w:val="00E51286"/>
    <w:rsid w:val="00E512C6"/>
    <w:rsid w:val="00E512CA"/>
    <w:rsid w:val="00E5130B"/>
    <w:rsid w:val="00E51374"/>
    <w:rsid w:val="00E51431"/>
    <w:rsid w:val="00E51439"/>
    <w:rsid w:val="00E51470"/>
    <w:rsid w:val="00E514CC"/>
    <w:rsid w:val="00E51545"/>
    <w:rsid w:val="00E515AF"/>
    <w:rsid w:val="00E515FD"/>
    <w:rsid w:val="00E51639"/>
    <w:rsid w:val="00E51675"/>
    <w:rsid w:val="00E5169E"/>
    <w:rsid w:val="00E51733"/>
    <w:rsid w:val="00E51743"/>
    <w:rsid w:val="00E5174A"/>
    <w:rsid w:val="00E5175C"/>
    <w:rsid w:val="00E51828"/>
    <w:rsid w:val="00E51837"/>
    <w:rsid w:val="00E518E8"/>
    <w:rsid w:val="00E5194D"/>
    <w:rsid w:val="00E51967"/>
    <w:rsid w:val="00E51970"/>
    <w:rsid w:val="00E519AC"/>
    <w:rsid w:val="00E519D9"/>
    <w:rsid w:val="00E51A74"/>
    <w:rsid w:val="00E51A8B"/>
    <w:rsid w:val="00E51AD6"/>
    <w:rsid w:val="00E51B1E"/>
    <w:rsid w:val="00E51B6A"/>
    <w:rsid w:val="00E51BD7"/>
    <w:rsid w:val="00E51BD8"/>
    <w:rsid w:val="00E51BEB"/>
    <w:rsid w:val="00E51C35"/>
    <w:rsid w:val="00E51C3F"/>
    <w:rsid w:val="00E51CD1"/>
    <w:rsid w:val="00E51D12"/>
    <w:rsid w:val="00E51D26"/>
    <w:rsid w:val="00E51D9E"/>
    <w:rsid w:val="00E51DC7"/>
    <w:rsid w:val="00E51E20"/>
    <w:rsid w:val="00E51E25"/>
    <w:rsid w:val="00E51E3C"/>
    <w:rsid w:val="00E51E73"/>
    <w:rsid w:val="00E51EE0"/>
    <w:rsid w:val="00E51EF1"/>
    <w:rsid w:val="00E51F10"/>
    <w:rsid w:val="00E51F3F"/>
    <w:rsid w:val="00E51FB6"/>
    <w:rsid w:val="00E51FC0"/>
    <w:rsid w:val="00E5204E"/>
    <w:rsid w:val="00E520FE"/>
    <w:rsid w:val="00E52275"/>
    <w:rsid w:val="00E52382"/>
    <w:rsid w:val="00E523B3"/>
    <w:rsid w:val="00E5254F"/>
    <w:rsid w:val="00E52564"/>
    <w:rsid w:val="00E525D1"/>
    <w:rsid w:val="00E526A3"/>
    <w:rsid w:val="00E526D7"/>
    <w:rsid w:val="00E526FD"/>
    <w:rsid w:val="00E527E0"/>
    <w:rsid w:val="00E527E5"/>
    <w:rsid w:val="00E527EF"/>
    <w:rsid w:val="00E52810"/>
    <w:rsid w:val="00E5285F"/>
    <w:rsid w:val="00E528B6"/>
    <w:rsid w:val="00E528B7"/>
    <w:rsid w:val="00E528D9"/>
    <w:rsid w:val="00E528FE"/>
    <w:rsid w:val="00E52989"/>
    <w:rsid w:val="00E5298A"/>
    <w:rsid w:val="00E5298B"/>
    <w:rsid w:val="00E529CF"/>
    <w:rsid w:val="00E52A0E"/>
    <w:rsid w:val="00E52A3D"/>
    <w:rsid w:val="00E52A77"/>
    <w:rsid w:val="00E52AC4"/>
    <w:rsid w:val="00E52AD0"/>
    <w:rsid w:val="00E52AD3"/>
    <w:rsid w:val="00E52AF0"/>
    <w:rsid w:val="00E52B15"/>
    <w:rsid w:val="00E52B1C"/>
    <w:rsid w:val="00E52C31"/>
    <w:rsid w:val="00E52C38"/>
    <w:rsid w:val="00E52D71"/>
    <w:rsid w:val="00E52F7C"/>
    <w:rsid w:val="00E52FB3"/>
    <w:rsid w:val="00E530D1"/>
    <w:rsid w:val="00E530D9"/>
    <w:rsid w:val="00E53123"/>
    <w:rsid w:val="00E5321F"/>
    <w:rsid w:val="00E5323A"/>
    <w:rsid w:val="00E53251"/>
    <w:rsid w:val="00E53265"/>
    <w:rsid w:val="00E53272"/>
    <w:rsid w:val="00E53373"/>
    <w:rsid w:val="00E53394"/>
    <w:rsid w:val="00E533D4"/>
    <w:rsid w:val="00E533F1"/>
    <w:rsid w:val="00E53413"/>
    <w:rsid w:val="00E5349A"/>
    <w:rsid w:val="00E534DB"/>
    <w:rsid w:val="00E534DE"/>
    <w:rsid w:val="00E535E0"/>
    <w:rsid w:val="00E53640"/>
    <w:rsid w:val="00E5365D"/>
    <w:rsid w:val="00E53664"/>
    <w:rsid w:val="00E5368A"/>
    <w:rsid w:val="00E536BF"/>
    <w:rsid w:val="00E536EA"/>
    <w:rsid w:val="00E536F8"/>
    <w:rsid w:val="00E53718"/>
    <w:rsid w:val="00E53731"/>
    <w:rsid w:val="00E537A5"/>
    <w:rsid w:val="00E537D1"/>
    <w:rsid w:val="00E537E0"/>
    <w:rsid w:val="00E537EA"/>
    <w:rsid w:val="00E5382B"/>
    <w:rsid w:val="00E5385A"/>
    <w:rsid w:val="00E53886"/>
    <w:rsid w:val="00E53924"/>
    <w:rsid w:val="00E5392E"/>
    <w:rsid w:val="00E53940"/>
    <w:rsid w:val="00E539C9"/>
    <w:rsid w:val="00E53A15"/>
    <w:rsid w:val="00E53A9F"/>
    <w:rsid w:val="00E53B5A"/>
    <w:rsid w:val="00E53C03"/>
    <w:rsid w:val="00E53C42"/>
    <w:rsid w:val="00E53C85"/>
    <w:rsid w:val="00E53C8D"/>
    <w:rsid w:val="00E53CA4"/>
    <w:rsid w:val="00E53CBC"/>
    <w:rsid w:val="00E53D1D"/>
    <w:rsid w:val="00E53D2A"/>
    <w:rsid w:val="00E53D5D"/>
    <w:rsid w:val="00E53DB3"/>
    <w:rsid w:val="00E53DBA"/>
    <w:rsid w:val="00E53E63"/>
    <w:rsid w:val="00E53EC1"/>
    <w:rsid w:val="00E53EC7"/>
    <w:rsid w:val="00E53F2E"/>
    <w:rsid w:val="00E53F40"/>
    <w:rsid w:val="00E53F5F"/>
    <w:rsid w:val="00E53F75"/>
    <w:rsid w:val="00E53FFA"/>
    <w:rsid w:val="00E5402B"/>
    <w:rsid w:val="00E5405B"/>
    <w:rsid w:val="00E5409C"/>
    <w:rsid w:val="00E540FA"/>
    <w:rsid w:val="00E5417E"/>
    <w:rsid w:val="00E54274"/>
    <w:rsid w:val="00E5428F"/>
    <w:rsid w:val="00E542DA"/>
    <w:rsid w:val="00E5431D"/>
    <w:rsid w:val="00E54333"/>
    <w:rsid w:val="00E54369"/>
    <w:rsid w:val="00E54375"/>
    <w:rsid w:val="00E54398"/>
    <w:rsid w:val="00E5452B"/>
    <w:rsid w:val="00E54558"/>
    <w:rsid w:val="00E54587"/>
    <w:rsid w:val="00E5459A"/>
    <w:rsid w:val="00E545B4"/>
    <w:rsid w:val="00E545CF"/>
    <w:rsid w:val="00E545F9"/>
    <w:rsid w:val="00E54629"/>
    <w:rsid w:val="00E54678"/>
    <w:rsid w:val="00E546ED"/>
    <w:rsid w:val="00E5476B"/>
    <w:rsid w:val="00E547B4"/>
    <w:rsid w:val="00E547FB"/>
    <w:rsid w:val="00E5481E"/>
    <w:rsid w:val="00E548B1"/>
    <w:rsid w:val="00E548F4"/>
    <w:rsid w:val="00E54975"/>
    <w:rsid w:val="00E54A6C"/>
    <w:rsid w:val="00E54A89"/>
    <w:rsid w:val="00E54B15"/>
    <w:rsid w:val="00E54B33"/>
    <w:rsid w:val="00E54B45"/>
    <w:rsid w:val="00E54B7A"/>
    <w:rsid w:val="00E54B9F"/>
    <w:rsid w:val="00E54BA9"/>
    <w:rsid w:val="00E54C57"/>
    <w:rsid w:val="00E54CE4"/>
    <w:rsid w:val="00E54D15"/>
    <w:rsid w:val="00E54D44"/>
    <w:rsid w:val="00E54D63"/>
    <w:rsid w:val="00E54D8E"/>
    <w:rsid w:val="00E54DCD"/>
    <w:rsid w:val="00E54E0E"/>
    <w:rsid w:val="00E54EAE"/>
    <w:rsid w:val="00E54EF9"/>
    <w:rsid w:val="00E54F15"/>
    <w:rsid w:val="00E54F48"/>
    <w:rsid w:val="00E54F4E"/>
    <w:rsid w:val="00E54F88"/>
    <w:rsid w:val="00E54FDA"/>
    <w:rsid w:val="00E54FDC"/>
    <w:rsid w:val="00E54FE4"/>
    <w:rsid w:val="00E54FEF"/>
    <w:rsid w:val="00E54FFE"/>
    <w:rsid w:val="00E5507B"/>
    <w:rsid w:val="00E550CE"/>
    <w:rsid w:val="00E55114"/>
    <w:rsid w:val="00E5512C"/>
    <w:rsid w:val="00E55169"/>
    <w:rsid w:val="00E55220"/>
    <w:rsid w:val="00E55262"/>
    <w:rsid w:val="00E55277"/>
    <w:rsid w:val="00E552DD"/>
    <w:rsid w:val="00E552FC"/>
    <w:rsid w:val="00E5532F"/>
    <w:rsid w:val="00E55335"/>
    <w:rsid w:val="00E5538F"/>
    <w:rsid w:val="00E553F4"/>
    <w:rsid w:val="00E5543B"/>
    <w:rsid w:val="00E5546A"/>
    <w:rsid w:val="00E554B7"/>
    <w:rsid w:val="00E554C8"/>
    <w:rsid w:val="00E5551B"/>
    <w:rsid w:val="00E55593"/>
    <w:rsid w:val="00E555C5"/>
    <w:rsid w:val="00E55653"/>
    <w:rsid w:val="00E55655"/>
    <w:rsid w:val="00E55665"/>
    <w:rsid w:val="00E55671"/>
    <w:rsid w:val="00E556A2"/>
    <w:rsid w:val="00E556D1"/>
    <w:rsid w:val="00E55705"/>
    <w:rsid w:val="00E5572F"/>
    <w:rsid w:val="00E55741"/>
    <w:rsid w:val="00E5575A"/>
    <w:rsid w:val="00E557F7"/>
    <w:rsid w:val="00E55882"/>
    <w:rsid w:val="00E55982"/>
    <w:rsid w:val="00E55A09"/>
    <w:rsid w:val="00E55A1F"/>
    <w:rsid w:val="00E55A3E"/>
    <w:rsid w:val="00E55A66"/>
    <w:rsid w:val="00E55A8A"/>
    <w:rsid w:val="00E55AC2"/>
    <w:rsid w:val="00E55B01"/>
    <w:rsid w:val="00E55B21"/>
    <w:rsid w:val="00E55B7B"/>
    <w:rsid w:val="00E55BA0"/>
    <w:rsid w:val="00E55BCF"/>
    <w:rsid w:val="00E55C57"/>
    <w:rsid w:val="00E55C59"/>
    <w:rsid w:val="00E55C84"/>
    <w:rsid w:val="00E55C8D"/>
    <w:rsid w:val="00E55C99"/>
    <w:rsid w:val="00E55D26"/>
    <w:rsid w:val="00E55D39"/>
    <w:rsid w:val="00E55D6D"/>
    <w:rsid w:val="00E55D90"/>
    <w:rsid w:val="00E55DDA"/>
    <w:rsid w:val="00E55DF1"/>
    <w:rsid w:val="00E55DF8"/>
    <w:rsid w:val="00E55DFF"/>
    <w:rsid w:val="00E55E93"/>
    <w:rsid w:val="00E55E99"/>
    <w:rsid w:val="00E55EBD"/>
    <w:rsid w:val="00E55F76"/>
    <w:rsid w:val="00E55F81"/>
    <w:rsid w:val="00E55FC7"/>
    <w:rsid w:val="00E55FDD"/>
    <w:rsid w:val="00E55FF3"/>
    <w:rsid w:val="00E56044"/>
    <w:rsid w:val="00E56071"/>
    <w:rsid w:val="00E5611F"/>
    <w:rsid w:val="00E5614B"/>
    <w:rsid w:val="00E5617E"/>
    <w:rsid w:val="00E561D3"/>
    <w:rsid w:val="00E561DA"/>
    <w:rsid w:val="00E5622B"/>
    <w:rsid w:val="00E5623C"/>
    <w:rsid w:val="00E56240"/>
    <w:rsid w:val="00E56256"/>
    <w:rsid w:val="00E562CF"/>
    <w:rsid w:val="00E56395"/>
    <w:rsid w:val="00E563E2"/>
    <w:rsid w:val="00E5643D"/>
    <w:rsid w:val="00E56485"/>
    <w:rsid w:val="00E564D9"/>
    <w:rsid w:val="00E564E7"/>
    <w:rsid w:val="00E564EC"/>
    <w:rsid w:val="00E565B0"/>
    <w:rsid w:val="00E565B6"/>
    <w:rsid w:val="00E565EA"/>
    <w:rsid w:val="00E56609"/>
    <w:rsid w:val="00E56693"/>
    <w:rsid w:val="00E566C8"/>
    <w:rsid w:val="00E566CD"/>
    <w:rsid w:val="00E566D0"/>
    <w:rsid w:val="00E566EF"/>
    <w:rsid w:val="00E566F9"/>
    <w:rsid w:val="00E56799"/>
    <w:rsid w:val="00E567E6"/>
    <w:rsid w:val="00E567FA"/>
    <w:rsid w:val="00E5681B"/>
    <w:rsid w:val="00E568AC"/>
    <w:rsid w:val="00E56914"/>
    <w:rsid w:val="00E5693B"/>
    <w:rsid w:val="00E5693C"/>
    <w:rsid w:val="00E56971"/>
    <w:rsid w:val="00E56A18"/>
    <w:rsid w:val="00E56A24"/>
    <w:rsid w:val="00E56A42"/>
    <w:rsid w:val="00E56AD4"/>
    <w:rsid w:val="00E56C17"/>
    <w:rsid w:val="00E56CEA"/>
    <w:rsid w:val="00E56D39"/>
    <w:rsid w:val="00E56D3F"/>
    <w:rsid w:val="00E56D4E"/>
    <w:rsid w:val="00E56D84"/>
    <w:rsid w:val="00E56E33"/>
    <w:rsid w:val="00E56EDB"/>
    <w:rsid w:val="00E56F03"/>
    <w:rsid w:val="00E56F43"/>
    <w:rsid w:val="00E56F4A"/>
    <w:rsid w:val="00E56FA0"/>
    <w:rsid w:val="00E56FA3"/>
    <w:rsid w:val="00E56FDA"/>
    <w:rsid w:val="00E56FE2"/>
    <w:rsid w:val="00E56FFF"/>
    <w:rsid w:val="00E5723F"/>
    <w:rsid w:val="00E572AE"/>
    <w:rsid w:val="00E572B4"/>
    <w:rsid w:val="00E5732F"/>
    <w:rsid w:val="00E5737F"/>
    <w:rsid w:val="00E57401"/>
    <w:rsid w:val="00E57432"/>
    <w:rsid w:val="00E57441"/>
    <w:rsid w:val="00E57476"/>
    <w:rsid w:val="00E574DD"/>
    <w:rsid w:val="00E574F2"/>
    <w:rsid w:val="00E57555"/>
    <w:rsid w:val="00E57569"/>
    <w:rsid w:val="00E575B8"/>
    <w:rsid w:val="00E575BD"/>
    <w:rsid w:val="00E575CF"/>
    <w:rsid w:val="00E575D1"/>
    <w:rsid w:val="00E5761C"/>
    <w:rsid w:val="00E57691"/>
    <w:rsid w:val="00E576A5"/>
    <w:rsid w:val="00E576CC"/>
    <w:rsid w:val="00E57718"/>
    <w:rsid w:val="00E57737"/>
    <w:rsid w:val="00E5778F"/>
    <w:rsid w:val="00E57790"/>
    <w:rsid w:val="00E577CB"/>
    <w:rsid w:val="00E577D7"/>
    <w:rsid w:val="00E577FE"/>
    <w:rsid w:val="00E57821"/>
    <w:rsid w:val="00E57837"/>
    <w:rsid w:val="00E57873"/>
    <w:rsid w:val="00E578F1"/>
    <w:rsid w:val="00E57946"/>
    <w:rsid w:val="00E579B0"/>
    <w:rsid w:val="00E57A20"/>
    <w:rsid w:val="00E57AA7"/>
    <w:rsid w:val="00E57ACE"/>
    <w:rsid w:val="00E57AD2"/>
    <w:rsid w:val="00E57B39"/>
    <w:rsid w:val="00E57BB5"/>
    <w:rsid w:val="00E57BC0"/>
    <w:rsid w:val="00E57BC2"/>
    <w:rsid w:val="00E57C4B"/>
    <w:rsid w:val="00E57C4F"/>
    <w:rsid w:val="00E57C6C"/>
    <w:rsid w:val="00E57C7D"/>
    <w:rsid w:val="00E57C82"/>
    <w:rsid w:val="00E57CA9"/>
    <w:rsid w:val="00E57D12"/>
    <w:rsid w:val="00E57D34"/>
    <w:rsid w:val="00E57E0E"/>
    <w:rsid w:val="00E57E29"/>
    <w:rsid w:val="00E57E5A"/>
    <w:rsid w:val="00E57EFE"/>
    <w:rsid w:val="00E57F05"/>
    <w:rsid w:val="00E57F50"/>
    <w:rsid w:val="00E57FB3"/>
    <w:rsid w:val="00E57FB9"/>
    <w:rsid w:val="00E6000F"/>
    <w:rsid w:val="00E60094"/>
    <w:rsid w:val="00E60096"/>
    <w:rsid w:val="00E60145"/>
    <w:rsid w:val="00E601B1"/>
    <w:rsid w:val="00E601C1"/>
    <w:rsid w:val="00E601F7"/>
    <w:rsid w:val="00E602F5"/>
    <w:rsid w:val="00E602FB"/>
    <w:rsid w:val="00E6030E"/>
    <w:rsid w:val="00E60335"/>
    <w:rsid w:val="00E60368"/>
    <w:rsid w:val="00E6037C"/>
    <w:rsid w:val="00E6051B"/>
    <w:rsid w:val="00E6054F"/>
    <w:rsid w:val="00E60562"/>
    <w:rsid w:val="00E6059B"/>
    <w:rsid w:val="00E605DE"/>
    <w:rsid w:val="00E60647"/>
    <w:rsid w:val="00E606C9"/>
    <w:rsid w:val="00E606F6"/>
    <w:rsid w:val="00E60710"/>
    <w:rsid w:val="00E60717"/>
    <w:rsid w:val="00E607BB"/>
    <w:rsid w:val="00E607CE"/>
    <w:rsid w:val="00E607E2"/>
    <w:rsid w:val="00E607EA"/>
    <w:rsid w:val="00E6082F"/>
    <w:rsid w:val="00E60832"/>
    <w:rsid w:val="00E6083B"/>
    <w:rsid w:val="00E6089B"/>
    <w:rsid w:val="00E608B8"/>
    <w:rsid w:val="00E608F1"/>
    <w:rsid w:val="00E608FF"/>
    <w:rsid w:val="00E60914"/>
    <w:rsid w:val="00E6098E"/>
    <w:rsid w:val="00E609F1"/>
    <w:rsid w:val="00E60A29"/>
    <w:rsid w:val="00E60A3F"/>
    <w:rsid w:val="00E60A90"/>
    <w:rsid w:val="00E60B4B"/>
    <w:rsid w:val="00E60BD0"/>
    <w:rsid w:val="00E60C07"/>
    <w:rsid w:val="00E60D44"/>
    <w:rsid w:val="00E60D5A"/>
    <w:rsid w:val="00E60D7F"/>
    <w:rsid w:val="00E60DAC"/>
    <w:rsid w:val="00E60DD9"/>
    <w:rsid w:val="00E60E1F"/>
    <w:rsid w:val="00E60F2D"/>
    <w:rsid w:val="00E60F2E"/>
    <w:rsid w:val="00E60F49"/>
    <w:rsid w:val="00E60F8A"/>
    <w:rsid w:val="00E60FA2"/>
    <w:rsid w:val="00E60FAC"/>
    <w:rsid w:val="00E60FC1"/>
    <w:rsid w:val="00E60FDB"/>
    <w:rsid w:val="00E61009"/>
    <w:rsid w:val="00E6100F"/>
    <w:rsid w:val="00E61018"/>
    <w:rsid w:val="00E610D3"/>
    <w:rsid w:val="00E611D6"/>
    <w:rsid w:val="00E611DA"/>
    <w:rsid w:val="00E611E6"/>
    <w:rsid w:val="00E611EE"/>
    <w:rsid w:val="00E6121F"/>
    <w:rsid w:val="00E61233"/>
    <w:rsid w:val="00E6127C"/>
    <w:rsid w:val="00E61308"/>
    <w:rsid w:val="00E61365"/>
    <w:rsid w:val="00E613B2"/>
    <w:rsid w:val="00E61469"/>
    <w:rsid w:val="00E61484"/>
    <w:rsid w:val="00E61485"/>
    <w:rsid w:val="00E614BA"/>
    <w:rsid w:val="00E614FE"/>
    <w:rsid w:val="00E61594"/>
    <w:rsid w:val="00E615A7"/>
    <w:rsid w:val="00E61616"/>
    <w:rsid w:val="00E6164A"/>
    <w:rsid w:val="00E61675"/>
    <w:rsid w:val="00E6173D"/>
    <w:rsid w:val="00E6177A"/>
    <w:rsid w:val="00E617F5"/>
    <w:rsid w:val="00E61859"/>
    <w:rsid w:val="00E6188F"/>
    <w:rsid w:val="00E61896"/>
    <w:rsid w:val="00E618C5"/>
    <w:rsid w:val="00E618E6"/>
    <w:rsid w:val="00E619A1"/>
    <w:rsid w:val="00E619C7"/>
    <w:rsid w:val="00E61B28"/>
    <w:rsid w:val="00E61BA7"/>
    <w:rsid w:val="00E61BAD"/>
    <w:rsid w:val="00E61C28"/>
    <w:rsid w:val="00E61C4D"/>
    <w:rsid w:val="00E61C77"/>
    <w:rsid w:val="00E61D4F"/>
    <w:rsid w:val="00E61DEA"/>
    <w:rsid w:val="00E61E38"/>
    <w:rsid w:val="00E61E50"/>
    <w:rsid w:val="00E61F02"/>
    <w:rsid w:val="00E61F0A"/>
    <w:rsid w:val="00E61F31"/>
    <w:rsid w:val="00E61FC0"/>
    <w:rsid w:val="00E62007"/>
    <w:rsid w:val="00E6205C"/>
    <w:rsid w:val="00E6205E"/>
    <w:rsid w:val="00E620B1"/>
    <w:rsid w:val="00E620D3"/>
    <w:rsid w:val="00E620F8"/>
    <w:rsid w:val="00E62101"/>
    <w:rsid w:val="00E62115"/>
    <w:rsid w:val="00E62169"/>
    <w:rsid w:val="00E6217F"/>
    <w:rsid w:val="00E62206"/>
    <w:rsid w:val="00E6224A"/>
    <w:rsid w:val="00E62294"/>
    <w:rsid w:val="00E622F0"/>
    <w:rsid w:val="00E6231F"/>
    <w:rsid w:val="00E6233C"/>
    <w:rsid w:val="00E62373"/>
    <w:rsid w:val="00E62380"/>
    <w:rsid w:val="00E62397"/>
    <w:rsid w:val="00E6244A"/>
    <w:rsid w:val="00E624E7"/>
    <w:rsid w:val="00E6255A"/>
    <w:rsid w:val="00E6255E"/>
    <w:rsid w:val="00E625EB"/>
    <w:rsid w:val="00E62623"/>
    <w:rsid w:val="00E6264C"/>
    <w:rsid w:val="00E626FF"/>
    <w:rsid w:val="00E62780"/>
    <w:rsid w:val="00E627B7"/>
    <w:rsid w:val="00E62810"/>
    <w:rsid w:val="00E62828"/>
    <w:rsid w:val="00E62838"/>
    <w:rsid w:val="00E62902"/>
    <w:rsid w:val="00E62967"/>
    <w:rsid w:val="00E62997"/>
    <w:rsid w:val="00E629AC"/>
    <w:rsid w:val="00E629FC"/>
    <w:rsid w:val="00E62AAC"/>
    <w:rsid w:val="00E62AB0"/>
    <w:rsid w:val="00E62AF9"/>
    <w:rsid w:val="00E62B2A"/>
    <w:rsid w:val="00E62B34"/>
    <w:rsid w:val="00E62B4A"/>
    <w:rsid w:val="00E62BA1"/>
    <w:rsid w:val="00E62CCD"/>
    <w:rsid w:val="00E62D38"/>
    <w:rsid w:val="00E62D3C"/>
    <w:rsid w:val="00E62D5F"/>
    <w:rsid w:val="00E62D6E"/>
    <w:rsid w:val="00E62DD2"/>
    <w:rsid w:val="00E62DE4"/>
    <w:rsid w:val="00E62E05"/>
    <w:rsid w:val="00E62E57"/>
    <w:rsid w:val="00E62EA7"/>
    <w:rsid w:val="00E62EAA"/>
    <w:rsid w:val="00E62EBF"/>
    <w:rsid w:val="00E62F73"/>
    <w:rsid w:val="00E62FC4"/>
    <w:rsid w:val="00E63008"/>
    <w:rsid w:val="00E63026"/>
    <w:rsid w:val="00E63027"/>
    <w:rsid w:val="00E63030"/>
    <w:rsid w:val="00E63079"/>
    <w:rsid w:val="00E630D4"/>
    <w:rsid w:val="00E630FF"/>
    <w:rsid w:val="00E63129"/>
    <w:rsid w:val="00E6312F"/>
    <w:rsid w:val="00E6314D"/>
    <w:rsid w:val="00E63179"/>
    <w:rsid w:val="00E63254"/>
    <w:rsid w:val="00E6327B"/>
    <w:rsid w:val="00E63287"/>
    <w:rsid w:val="00E632CE"/>
    <w:rsid w:val="00E632E2"/>
    <w:rsid w:val="00E63321"/>
    <w:rsid w:val="00E63393"/>
    <w:rsid w:val="00E633C8"/>
    <w:rsid w:val="00E63400"/>
    <w:rsid w:val="00E63422"/>
    <w:rsid w:val="00E63473"/>
    <w:rsid w:val="00E634E2"/>
    <w:rsid w:val="00E634F3"/>
    <w:rsid w:val="00E63512"/>
    <w:rsid w:val="00E63518"/>
    <w:rsid w:val="00E6352F"/>
    <w:rsid w:val="00E63540"/>
    <w:rsid w:val="00E63545"/>
    <w:rsid w:val="00E63550"/>
    <w:rsid w:val="00E635BD"/>
    <w:rsid w:val="00E6365C"/>
    <w:rsid w:val="00E636EF"/>
    <w:rsid w:val="00E63732"/>
    <w:rsid w:val="00E63798"/>
    <w:rsid w:val="00E637B3"/>
    <w:rsid w:val="00E637DE"/>
    <w:rsid w:val="00E637FC"/>
    <w:rsid w:val="00E63875"/>
    <w:rsid w:val="00E63880"/>
    <w:rsid w:val="00E638C1"/>
    <w:rsid w:val="00E638EC"/>
    <w:rsid w:val="00E63945"/>
    <w:rsid w:val="00E63978"/>
    <w:rsid w:val="00E63990"/>
    <w:rsid w:val="00E63A1C"/>
    <w:rsid w:val="00E63A7B"/>
    <w:rsid w:val="00E63AFD"/>
    <w:rsid w:val="00E63B17"/>
    <w:rsid w:val="00E63B18"/>
    <w:rsid w:val="00E63BC2"/>
    <w:rsid w:val="00E63BD0"/>
    <w:rsid w:val="00E63BD5"/>
    <w:rsid w:val="00E63BE0"/>
    <w:rsid w:val="00E63C26"/>
    <w:rsid w:val="00E63C39"/>
    <w:rsid w:val="00E63D22"/>
    <w:rsid w:val="00E63D2F"/>
    <w:rsid w:val="00E63D3B"/>
    <w:rsid w:val="00E63D72"/>
    <w:rsid w:val="00E63DA3"/>
    <w:rsid w:val="00E63E4C"/>
    <w:rsid w:val="00E63F69"/>
    <w:rsid w:val="00E63F83"/>
    <w:rsid w:val="00E63FAC"/>
    <w:rsid w:val="00E63FC7"/>
    <w:rsid w:val="00E63FE3"/>
    <w:rsid w:val="00E63FE9"/>
    <w:rsid w:val="00E63FFD"/>
    <w:rsid w:val="00E6400A"/>
    <w:rsid w:val="00E6405F"/>
    <w:rsid w:val="00E64074"/>
    <w:rsid w:val="00E6408C"/>
    <w:rsid w:val="00E6415D"/>
    <w:rsid w:val="00E6416C"/>
    <w:rsid w:val="00E641E1"/>
    <w:rsid w:val="00E64203"/>
    <w:rsid w:val="00E6423A"/>
    <w:rsid w:val="00E6425B"/>
    <w:rsid w:val="00E6427F"/>
    <w:rsid w:val="00E642A2"/>
    <w:rsid w:val="00E642D1"/>
    <w:rsid w:val="00E642D3"/>
    <w:rsid w:val="00E6431B"/>
    <w:rsid w:val="00E6436C"/>
    <w:rsid w:val="00E643F4"/>
    <w:rsid w:val="00E643FF"/>
    <w:rsid w:val="00E6445F"/>
    <w:rsid w:val="00E6447B"/>
    <w:rsid w:val="00E6447F"/>
    <w:rsid w:val="00E64529"/>
    <w:rsid w:val="00E64547"/>
    <w:rsid w:val="00E64657"/>
    <w:rsid w:val="00E64710"/>
    <w:rsid w:val="00E64755"/>
    <w:rsid w:val="00E647B4"/>
    <w:rsid w:val="00E647D6"/>
    <w:rsid w:val="00E647DE"/>
    <w:rsid w:val="00E6480F"/>
    <w:rsid w:val="00E64855"/>
    <w:rsid w:val="00E64860"/>
    <w:rsid w:val="00E648B0"/>
    <w:rsid w:val="00E6493E"/>
    <w:rsid w:val="00E649FF"/>
    <w:rsid w:val="00E64A8E"/>
    <w:rsid w:val="00E64A96"/>
    <w:rsid w:val="00E64B27"/>
    <w:rsid w:val="00E64B55"/>
    <w:rsid w:val="00E64BA0"/>
    <w:rsid w:val="00E64BA7"/>
    <w:rsid w:val="00E64BCA"/>
    <w:rsid w:val="00E64BDD"/>
    <w:rsid w:val="00E64BDE"/>
    <w:rsid w:val="00E64C3A"/>
    <w:rsid w:val="00E64C8B"/>
    <w:rsid w:val="00E64CB9"/>
    <w:rsid w:val="00E64CD5"/>
    <w:rsid w:val="00E64CEE"/>
    <w:rsid w:val="00E64D09"/>
    <w:rsid w:val="00E64D0A"/>
    <w:rsid w:val="00E64D65"/>
    <w:rsid w:val="00E64DF9"/>
    <w:rsid w:val="00E64E4A"/>
    <w:rsid w:val="00E64E60"/>
    <w:rsid w:val="00E64E78"/>
    <w:rsid w:val="00E64EAB"/>
    <w:rsid w:val="00E64ECD"/>
    <w:rsid w:val="00E64ED9"/>
    <w:rsid w:val="00E64EF0"/>
    <w:rsid w:val="00E64F38"/>
    <w:rsid w:val="00E64FB5"/>
    <w:rsid w:val="00E64FCD"/>
    <w:rsid w:val="00E6502B"/>
    <w:rsid w:val="00E6504D"/>
    <w:rsid w:val="00E650B3"/>
    <w:rsid w:val="00E650CB"/>
    <w:rsid w:val="00E651EB"/>
    <w:rsid w:val="00E65203"/>
    <w:rsid w:val="00E65258"/>
    <w:rsid w:val="00E65273"/>
    <w:rsid w:val="00E65295"/>
    <w:rsid w:val="00E6529C"/>
    <w:rsid w:val="00E652AA"/>
    <w:rsid w:val="00E652C7"/>
    <w:rsid w:val="00E652F5"/>
    <w:rsid w:val="00E6530C"/>
    <w:rsid w:val="00E65361"/>
    <w:rsid w:val="00E65373"/>
    <w:rsid w:val="00E653C8"/>
    <w:rsid w:val="00E6543D"/>
    <w:rsid w:val="00E65452"/>
    <w:rsid w:val="00E6547C"/>
    <w:rsid w:val="00E654A1"/>
    <w:rsid w:val="00E6556E"/>
    <w:rsid w:val="00E655A4"/>
    <w:rsid w:val="00E655C2"/>
    <w:rsid w:val="00E65652"/>
    <w:rsid w:val="00E6567D"/>
    <w:rsid w:val="00E6568D"/>
    <w:rsid w:val="00E657EF"/>
    <w:rsid w:val="00E65804"/>
    <w:rsid w:val="00E65827"/>
    <w:rsid w:val="00E65841"/>
    <w:rsid w:val="00E65849"/>
    <w:rsid w:val="00E6584A"/>
    <w:rsid w:val="00E6586A"/>
    <w:rsid w:val="00E658C6"/>
    <w:rsid w:val="00E6593D"/>
    <w:rsid w:val="00E6594D"/>
    <w:rsid w:val="00E65954"/>
    <w:rsid w:val="00E65984"/>
    <w:rsid w:val="00E659C7"/>
    <w:rsid w:val="00E659CF"/>
    <w:rsid w:val="00E65A05"/>
    <w:rsid w:val="00E65A21"/>
    <w:rsid w:val="00E65A48"/>
    <w:rsid w:val="00E65A67"/>
    <w:rsid w:val="00E65A79"/>
    <w:rsid w:val="00E65B40"/>
    <w:rsid w:val="00E65B47"/>
    <w:rsid w:val="00E65BC1"/>
    <w:rsid w:val="00E65C05"/>
    <w:rsid w:val="00E65CF8"/>
    <w:rsid w:val="00E65D8D"/>
    <w:rsid w:val="00E65DAF"/>
    <w:rsid w:val="00E65E2F"/>
    <w:rsid w:val="00E65E3A"/>
    <w:rsid w:val="00E65EAE"/>
    <w:rsid w:val="00E65F34"/>
    <w:rsid w:val="00E65F7B"/>
    <w:rsid w:val="00E65F9C"/>
    <w:rsid w:val="00E65FA9"/>
    <w:rsid w:val="00E65FE9"/>
    <w:rsid w:val="00E66094"/>
    <w:rsid w:val="00E660FE"/>
    <w:rsid w:val="00E6614B"/>
    <w:rsid w:val="00E6615B"/>
    <w:rsid w:val="00E661B5"/>
    <w:rsid w:val="00E661D5"/>
    <w:rsid w:val="00E66299"/>
    <w:rsid w:val="00E662C4"/>
    <w:rsid w:val="00E663DD"/>
    <w:rsid w:val="00E663EA"/>
    <w:rsid w:val="00E66401"/>
    <w:rsid w:val="00E6640A"/>
    <w:rsid w:val="00E66462"/>
    <w:rsid w:val="00E6656A"/>
    <w:rsid w:val="00E66607"/>
    <w:rsid w:val="00E66634"/>
    <w:rsid w:val="00E6668E"/>
    <w:rsid w:val="00E666EA"/>
    <w:rsid w:val="00E66772"/>
    <w:rsid w:val="00E667E8"/>
    <w:rsid w:val="00E66860"/>
    <w:rsid w:val="00E668BE"/>
    <w:rsid w:val="00E668FC"/>
    <w:rsid w:val="00E6690E"/>
    <w:rsid w:val="00E669AD"/>
    <w:rsid w:val="00E669DC"/>
    <w:rsid w:val="00E66A01"/>
    <w:rsid w:val="00E66B14"/>
    <w:rsid w:val="00E66B54"/>
    <w:rsid w:val="00E66B57"/>
    <w:rsid w:val="00E66BA7"/>
    <w:rsid w:val="00E66BCE"/>
    <w:rsid w:val="00E66C03"/>
    <w:rsid w:val="00E66C22"/>
    <w:rsid w:val="00E66C81"/>
    <w:rsid w:val="00E66CC2"/>
    <w:rsid w:val="00E66CDE"/>
    <w:rsid w:val="00E66D56"/>
    <w:rsid w:val="00E66D67"/>
    <w:rsid w:val="00E66D6F"/>
    <w:rsid w:val="00E66E33"/>
    <w:rsid w:val="00E66E53"/>
    <w:rsid w:val="00E66F1E"/>
    <w:rsid w:val="00E66F27"/>
    <w:rsid w:val="00E66F67"/>
    <w:rsid w:val="00E66FE6"/>
    <w:rsid w:val="00E67051"/>
    <w:rsid w:val="00E6706B"/>
    <w:rsid w:val="00E67088"/>
    <w:rsid w:val="00E670A5"/>
    <w:rsid w:val="00E670AB"/>
    <w:rsid w:val="00E670EC"/>
    <w:rsid w:val="00E670F3"/>
    <w:rsid w:val="00E671B2"/>
    <w:rsid w:val="00E671F7"/>
    <w:rsid w:val="00E67209"/>
    <w:rsid w:val="00E67249"/>
    <w:rsid w:val="00E67272"/>
    <w:rsid w:val="00E672BD"/>
    <w:rsid w:val="00E672C1"/>
    <w:rsid w:val="00E672ED"/>
    <w:rsid w:val="00E6734D"/>
    <w:rsid w:val="00E6738A"/>
    <w:rsid w:val="00E6739C"/>
    <w:rsid w:val="00E673D8"/>
    <w:rsid w:val="00E6743A"/>
    <w:rsid w:val="00E6748A"/>
    <w:rsid w:val="00E67496"/>
    <w:rsid w:val="00E674D2"/>
    <w:rsid w:val="00E674F1"/>
    <w:rsid w:val="00E674F3"/>
    <w:rsid w:val="00E67515"/>
    <w:rsid w:val="00E67533"/>
    <w:rsid w:val="00E67563"/>
    <w:rsid w:val="00E67576"/>
    <w:rsid w:val="00E67601"/>
    <w:rsid w:val="00E67661"/>
    <w:rsid w:val="00E676AB"/>
    <w:rsid w:val="00E67708"/>
    <w:rsid w:val="00E67741"/>
    <w:rsid w:val="00E677D9"/>
    <w:rsid w:val="00E677E3"/>
    <w:rsid w:val="00E677FD"/>
    <w:rsid w:val="00E67843"/>
    <w:rsid w:val="00E67846"/>
    <w:rsid w:val="00E6784E"/>
    <w:rsid w:val="00E678AD"/>
    <w:rsid w:val="00E678D5"/>
    <w:rsid w:val="00E67922"/>
    <w:rsid w:val="00E67952"/>
    <w:rsid w:val="00E67963"/>
    <w:rsid w:val="00E6799E"/>
    <w:rsid w:val="00E679FA"/>
    <w:rsid w:val="00E67A2C"/>
    <w:rsid w:val="00E67A3F"/>
    <w:rsid w:val="00E67A45"/>
    <w:rsid w:val="00E67A90"/>
    <w:rsid w:val="00E67AE5"/>
    <w:rsid w:val="00E67B0C"/>
    <w:rsid w:val="00E67B53"/>
    <w:rsid w:val="00E67B6D"/>
    <w:rsid w:val="00E67B7D"/>
    <w:rsid w:val="00E67BA9"/>
    <w:rsid w:val="00E67C6D"/>
    <w:rsid w:val="00E67C9F"/>
    <w:rsid w:val="00E67D13"/>
    <w:rsid w:val="00E67D7F"/>
    <w:rsid w:val="00E67DEC"/>
    <w:rsid w:val="00E67E71"/>
    <w:rsid w:val="00E67E87"/>
    <w:rsid w:val="00E67E9A"/>
    <w:rsid w:val="00E67F6F"/>
    <w:rsid w:val="00E67FAC"/>
    <w:rsid w:val="00E67FBB"/>
    <w:rsid w:val="00E67FF4"/>
    <w:rsid w:val="00E67FFC"/>
    <w:rsid w:val="00E7008B"/>
    <w:rsid w:val="00E700AC"/>
    <w:rsid w:val="00E700CD"/>
    <w:rsid w:val="00E70150"/>
    <w:rsid w:val="00E70168"/>
    <w:rsid w:val="00E7017C"/>
    <w:rsid w:val="00E701A4"/>
    <w:rsid w:val="00E701E6"/>
    <w:rsid w:val="00E70227"/>
    <w:rsid w:val="00E70264"/>
    <w:rsid w:val="00E702A3"/>
    <w:rsid w:val="00E702D4"/>
    <w:rsid w:val="00E702F8"/>
    <w:rsid w:val="00E7036F"/>
    <w:rsid w:val="00E703E4"/>
    <w:rsid w:val="00E7047F"/>
    <w:rsid w:val="00E7049F"/>
    <w:rsid w:val="00E704A4"/>
    <w:rsid w:val="00E704F5"/>
    <w:rsid w:val="00E70501"/>
    <w:rsid w:val="00E70517"/>
    <w:rsid w:val="00E7058A"/>
    <w:rsid w:val="00E7059B"/>
    <w:rsid w:val="00E705CA"/>
    <w:rsid w:val="00E7061E"/>
    <w:rsid w:val="00E70674"/>
    <w:rsid w:val="00E70676"/>
    <w:rsid w:val="00E70709"/>
    <w:rsid w:val="00E7074A"/>
    <w:rsid w:val="00E70758"/>
    <w:rsid w:val="00E70768"/>
    <w:rsid w:val="00E707B8"/>
    <w:rsid w:val="00E707BE"/>
    <w:rsid w:val="00E7088E"/>
    <w:rsid w:val="00E7090D"/>
    <w:rsid w:val="00E7092B"/>
    <w:rsid w:val="00E709F0"/>
    <w:rsid w:val="00E70A02"/>
    <w:rsid w:val="00E70AA3"/>
    <w:rsid w:val="00E70AE7"/>
    <w:rsid w:val="00E70B30"/>
    <w:rsid w:val="00E70B45"/>
    <w:rsid w:val="00E70B9A"/>
    <w:rsid w:val="00E70BA1"/>
    <w:rsid w:val="00E70C01"/>
    <w:rsid w:val="00E70CA0"/>
    <w:rsid w:val="00E70D14"/>
    <w:rsid w:val="00E70D7A"/>
    <w:rsid w:val="00E70E71"/>
    <w:rsid w:val="00E70EBF"/>
    <w:rsid w:val="00E70FB5"/>
    <w:rsid w:val="00E7109E"/>
    <w:rsid w:val="00E710A0"/>
    <w:rsid w:val="00E71132"/>
    <w:rsid w:val="00E711A4"/>
    <w:rsid w:val="00E711A5"/>
    <w:rsid w:val="00E711D7"/>
    <w:rsid w:val="00E711E2"/>
    <w:rsid w:val="00E7123B"/>
    <w:rsid w:val="00E7125B"/>
    <w:rsid w:val="00E71278"/>
    <w:rsid w:val="00E7127E"/>
    <w:rsid w:val="00E712A4"/>
    <w:rsid w:val="00E71307"/>
    <w:rsid w:val="00E7130C"/>
    <w:rsid w:val="00E7137C"/>
    <w:rsid w:val="00E713B2"/>
    <w:rsid w:val="00E713D4"/>
    <w:rsid w:val="00E7143E"/>
    <w:rsid w:val="00E71468"/>
    <w:rsid w:val="00E71478"/>
    <w:rsid w:val="00E714BF"/>
    <w:rsid w:val="00E714C6"/>
    <w:rsid w:val="00E714CF"/>
    <w:rsid w:val="00E71549"/>
    <w:rsid w:val="00E715C3"/>
    <w:rsid w:val="00E715DD"/>
    <w:rsid w:val="00E715F8"/>
    <w:rsid w:val="00E71605"/>
    <w:rsid w:val="00E716DC"/>
    <w:rsid w:val="00E717C5"/>
    <w:rsid w:val="00E717C7"/>
    <w:rsid w:val="00E717F9"/>
    <w:rsid w:val="00E71812"/>
    <w:rsid w:val="00E71898"/>
    <w:rsid w:val="00E7198D"/>
    <w:rsid w:val="00E71A07"/>
    <w:rsid w:val="00E71A24"/>
    <w:rsid w:val="00E71AA3"/>
    <w:rsid w:val="00E71AA6"/>
    <w:rsid w:val="00E71ACE"/>
    <w:rsid w:val="00E71AD2"/>
    <w:rsid w:val="00E71AE3"/>
    <w:rsid w:val="00E71B26"/>
    <w:rsid w:val="00E71B78"/>
    <w:rsid w:val="00E71B8C"/>
    <w:rsid w:val="00E71B8D"/>
    <w:rsid w:val="00E71BA3"/>
    <w:rsid w:val="00E71BBA"/>
    <w:rsid w:val="00E71BED"/>
    <w:rsid w:val="00E71CD7"/>
    <w:rsid w:val="00E71D12"/>
    <w:rsid w:val="00E71D2B"/>
    <w:rsid w:val="00E71DB3"/>
    <w:rsid w:val="00E71DE2"/>
    <w:rsid w:val="00E71E0A"/>
    <w:rsid w:val="00E71EDC"/>
    <w:rsid w:val="00E71F0B"/>
    <w:rsid w:val="00E71F2A"/>
    <w:rsid w:val="00E71F2E"/>
    <w:rsid w:val="00E71F35"/>
    <w:rsid w:val="00E71F45"/>
    <w:rsid w:val="00E71F4F"/>
    <w:rsid w:val="00E71FA6"/>
    <w:rsid w:val="00E71FB8"/>
    <w:rsid w:val="00E71FC8"/>
    <w:rsid w:val="00E71FD6"/>
    <w:rsid w:val="00E72044"/>
    <w:rsid w:val="00E720FA"/>
    <w:rsid w:val="00E72105"/>
    <w:rsid w:val="00E7216E"/>
    <w:rsid w:val="00E72179"/>
    <w:rsid w:val="00E7217D"/>
    <w:rsid w:val="00E72214"/>
    <w:rsid w:val="00E72230"/>
    <w:rsid w:val="00E722C3"/>
    <w:rsid w:val="00E722D5"/>
    <w:rsid w:val="00E722F8"/>
    <w:rsid w:val="00E722FE"/>
    <w:rsid w:val="00E7234B"/>
    <w:rsid w:val="00E7234C"/>
    <w:rsid w:val="00E7235D"/>
    <w:rsid w:val="00E7239D"/>
    <w:rsid w:val="00E723BA"/>
    <w:rsid w:val="00E723CD"/>
    <w:rsid w:val="00E723F2"/>
    <w:rsid w:val="00E72420"/>
    <w:rsid w:val="00E724F7"/>
    <w:rsid w:val="00E72544"/>
    <w:rsid w:val="00E725EF"/>
    <w:rsid w:val="00E7265C"/>
    <w:rsid w:val="00E726B7"/>
    <w:rsid w:val="00E726FB"/>
    <w:rsid w:val="00E72710"/>
    <w:rsid w:val="00E72722"/>
    <w:rsid w:val="00E72813"/>
    <w:rsid w:val="00E729A3"/>
    <w:rsid w:val="00E72A06"/>
    <w:rsid w:val="00E72A10"/>
    <w:rsid w:val="00E72A41"/>
    <w:rsid w:val="00E72ADD"/>
    <w:rsid w:val="00E72B39"/>
    <w:rsid w:val="00E72B55"/>
    <w:rsid w:val="00E72B9C"/>
    <w:rsid w:val="00E72BE9"/>
    <w:rsid w:val="00E72C1E"/>
    <w:rsid w:val="00E72D1D"/>
    <w:rsid w:val="00E72D76"/>
    <w:rsid w:val="00E72DBB"/>
    <w:rsid w:val="00E72E56"/>
    <w:rsid w:val="00E72E6A"/>
    <w:rsid w:val="00E72E78"/>
    <w:rsid w:val="00E72E8B"/>
    <w:rsid w:val="00E72E93"/>
    <w:rsid w:val="00E72E98"/>
    <w:rsid w:val="00E72F34"/>
    <w:rsid w:val="00E72F93"/>
    <w:rsid w:val="00E72FB9"/>
    <w:rsid w:val="00E72FEA"/>
    <w:rsid w:val="00E72FF9"/>
    <w:rsid w:val="00E73106"/>
    <w:rsid w:val="00E7318C"/>
    <w:rsid w:val="00E731C3"/>
    <w:rsid w:val="00E73203"/>
    <w:rsid w:val="00E732AB"/>
    <w:rsid w:val="00E73312"/>
    <w:rsid w:val="00E7333C"/>
    <w:rsid w:val="00E73366"/>
    <w:rsid w:val="00E733BA"/>
    <w:rsid w:val="00E733CB"/>
    <w:rsid w:val="00E733F7"/>
    <w:rsid w:val="00E734F0"/>
    <w:rsid w:val="00E73515"/>
    <w:rsid w:val="00E7353D"/>
    <w:rsid w:val="00E7354F"/>
    <w:rsid w:val="00E73557"/>
    <w:rsid w:val="00E7357D"/>
    <w:rsid w:val="00E735EF"/>
    <w:rsid w:val="00E73639"/>
    <w:rsid w:val="00E736AB"/>
    <w:rsid w:val="00E736C7"/>
    <w:rsid w:val="00E73749"/>
    <w:rsid w:val="00E737C0"/>
    <w:rsid w:val="00E737EC"/>
    <w:rsid w:val="00E737F6"/>
    <w:rsid w:val="00E7381A"/>
    <w:rsid w:val="00E7387F"/>
    <w:rsid w:val="00E738D2"/>
    <w:rsid w:val="00E73941"/>
    <w:rsid w:val="00E73949"/>
    <w:rsid w:val="00E7398A"/>
    <w:rsid w:val="00E7398E"/>
    <w:rsid w:val="00E7399D"/>
    <w:rsid w:val="00E73A28"/>
    <w:rsid w:val="00E73A53"/>
    <w:rsid w:val="00E73A96"/>
    <w:rsid w:val="00E73ACE"/>
    <w:rsid w:val="00E73AEA"/>
    <w:rsid w:val="00E73AF0"/>
    <w:rsid w:val="00E73B61"/>
    <w:rsid w:val="00E73B86"/>
    <w:rsid w:val="00E73BA5"/>
    <w:rsid w:val="00E73C2D"/>
    <w:rsid w:val="00E73C42"/>
    <w:rsid w:val="00E73C46"/>
    <w:rsid w:val="00E73C55"/>
    <w:rsid w:val="00E73C5B"/>
    <w:rsid w:val="00E73C82"/>
    <w:rsid w:val="00E73D12"/>
    <w:rsid w:val="00E73E2F"/>
    <w:rsid w:val="00E73E36"/>
    <w:rsid w:val="00E73E38"/>
    <w:rsid w:val="00E73E53"/>
    <w:rsid w:val="00E73EA3"/>
    <w:rsid w:val="00E73EA8"/>
    <w:rsid w:val="00E73EF5"/>
    <w:rsid w:val="00E73F4F"/>
    <w:rsid w:val="00E73F6D"/>
    <w:rsid w:val="00E73FC5"/>
    <w:rsid w:val="00E74025"/>
    <w:rsid w:val="00E740CD"/>
    <w:rsid w:val="00E74108"/>
    <w:rsid w:val="00E741CB"/>
    <w:rsid w:val="00E741F2"/>
    <w:rsid w:val="00E74216"/>
    <w:rsid w:val="00E7424A"/>
    <w:rsid w:val="00E74282"/>
    <w:rsid w:val="00E742D2"/>
    <w:rsid w:val="00E743D9"/>
    <w:rsid w:val="00E74401"/>
    <w:rsid w:val="00E7442B"/>
    <w:rsid w:val="00E74458"/>
    <w:rsid w:val="00E744FE"/>
    <w:rsid w:val="00E74543"/>
    <w:rsid w:val="00E745AF"/>
    <w:rsid w:val="00E745EA"/>
    <w:rsid w:val="00E745EB"/>
    <w:rsid w:val="00E745F0"/>
    <w:rsid w:val="00E7466D"/>
    <w:rsid w:val="00E746F2"/>
    <w:rsid w:val="00E7473E"/>
    <w:rsid w:val="00E74795"/>
    <w:rsid w:val="00E74820"/>
    <w:rsid w:val="00E74955"/>
    <w:rsid w:val="00E74966"/>
    <w:rsid w:val="00E7496B"/>
    <w:rsid w:val="00E749C5"/>
    <w:rsid w:val="00E74A35"/>
    <w:rsid w:val="00E74A79"/>
    <w:rsid w:val="00E74ACB"/>
    <w:rsid w:val="00E74AD8"/>
    <w:rsid w:val="00E74B7B"/>
    <w:rsid w:val="00E74C6D"/>
    <w:rsid w:val="00E74CB9"/>
    <w:rsid w:val="00E74CD2"/>
    <w:rsid w:val="00E74CDC"/>
    <w:rsid w:val="00E74CEB"/>
    <w:rsid w:val="00E74D1C"/>
    <w:rsid w:val="00E74D7D"/>
    <w:rsid w:val="00E74D86"/>
    <w:rsid w:val="00E74D9C"/>
    <w:rsid w:val="00E74DBE"/>
    <w:rsid w:val="00E74DC9"/>
    <w:rsid w:val="00E74DD6"/>
    <w:rsid w:val="00E74DDA"/>
    <w:rsid w:val="00E74DF9"/>
    <w:rsid w:val="00E74E3B"/>
    <w:rsid w:val="00E74E5F"/>
    <w:rsid w:val="00E74E7A"/>
    <w:rsid w:val="00E74EE8"/>
    <w:rsid w:val="00E74EEA"/>
    <w:rsid w:val="00E74F36"/>
    <w:rsid w:val="00E74F73"/>
    <w:rsid w:val="00E74F9F"/>
    <w:rsid w:val="00E74FB7"/>
    <w:rsid w:val="00E74FD4"/>
    <w:rsid w:val="00E74FEE"/>
    <w:rsid w:val="00E75067"/>
    <w:rsid w:val="00E75076"/>
    <w:rsid w:val="00E750A5"/>
    <w:rsid w:val="00E75104"/>
    <w:rsid w:val="00E7515A"/>
    <w:rsid w:val="00E75176"/>
    <w:rsid w:val="00E751E2"/>
    <w:rsid w:val="00E751E3"/>
    <w:rsid w:val="00E75280"/>
    <w:rsid w:val="00E75298"/>
    <w:rsid w:val="00E75414"/>
    <w:rsid w:val="00E75435"/>
    <w:rsid w:val="00E75460"/>
    <w:rsid w:val="00E7548C"/>
    <w:rsid w:val="00E755B8"/>
    <w:rsid w:val="00E755D2"/>
    <w:rsid w:val="00E75608"/>
    <w:rsid w:val="00E7565C"/>
    <w:rsid w:val="00E756A9"/>
    <w:rsid w:val="00E756E7"/>
    <w:rsid w:val="00E75783"/>
    <w:rsid w:val="00E757A8"/>
    <w:rsid w:val="00E7585A"/>
    <w:rsid w:val="00E7585F"/>
    <w:rsid w:val="00E758AD"/>
    <w:rsid w:val="00E758C3"/>
    <w:rsid w:val="00E75991"/>
    <w:rsid w:val="00E759B5"/>
    <w:rsid w:val="00E759B7"/>
    <w:rsid w:val="00E75A7A"/>
    <w:rsid w:val="00E75AB4"/>
    <w:rsid w:val="00E75B4B"/>
    <w:rsid w:val="00E75BA2"/>
    <w:rsid w:val="00E75BE0"/>
    <w:rsid w:val="00E75C43"/>
    <w:rsid w:val="00E75C58"/>
    <w:rsid w:val="00E75C64"/>
    <w:rsid w:val="00E75C9A"/>
    <w:rsid w:val="00E75CD0"/>
    <w:rsid w:val="00E75D79"/>
    <w:rsid w:val="00E75D9D"/>
    <w:rsid w:val="00E75DAA"/>
    <w:rsid w:val="00E75DAD"/>
    <w:rsid w:val="00E75E73"/>
    <w:rsid w:val="00E75EA7"/>
    <w:rsid w:val="00E75EA8"/>
    <w:rsid w:val="00E75F07"/>
    <w:rsid w:val="00E75F41"/>
    <w:rsid w:val="00E75F7A"/>
    <w:rsid w:val="00E76016"/>
    <w:rsid w:val="00E760D6"/>
    <w:rsid w:val="00E76103"/>
    <w:rsid w:val="00E7615F"/>
    <w:rsid w:val="00E761D3"/>
    <w:rsid w:val="00E76203"/>
    <w:rsid w:val="00E7620D"/>
    <w:rsid w:val="00E76243"/>
    <w:rsid w:val="00E762D8"/>
    <w:rsid w:val="00E76381"/>
    <w:rsid w:val="00E7639E"/>
    <w:rsid w:val="00E763A7"/>
    <w:rsid w:val="00E763BC"/>
    <w:rsid w:val="00E76417"/>
    <w:rsid w:val="00E76424"/>
    <w:rsid w:val="00E764A5"/>
    <w:rsid w:val="00E764C4"/>
    <w:rsid w:val="00E764E9"/>
    <w:rsid w:val="00E764FB"/>
    <w:rsid w:val="00E76503"/>
    <w:rsid w:val="00E76518"/>
    <w:rsid w:val="00E7655B"/>
    <w:rsid w:val="00E7655E"/>
    <w:rsid w:val="00E76697"/>
    <w:rsid w:val="00E766E7"/>
    <w:rsid w:val="00E76737"/>
    <w:rsid w:val="00E767A3"/>
    <w:rsid w:val="00E767AA"/>
    <w:rsid w:val="00E767AC"/>
    <w:rsid w:val="00E767EC"/>
    <w:rsid w:val="00E76806"/>
    <w:rsid w:val="00E76839"/>
    <w:rsid w:val="00E7687D"/>
    <w:rsid w:val="00E768E3"/>
    <w:rsid w:val="00E76937"/>
    <w:rsid w:val="00E7694D"/>
    <w:rsid w:val="00E76976"/>
    <w:rsid w:val="00E76985"/>
    <w:rsid w:val="00E769AB"/>
    <w:rsid w:val="00E769D5"/>
    <w:rsid w:val="00E769DF"/>
    <w:rsid w:val="00E769F2"/>
    <w:rsid w:val="00E769F7"/>
    <w:rsid w:val="00E76A26"/>
    <w:rsid w:val="00E76B18"/>
    <w:rsid w:val="00E76B1A"/>
    <w:rsid w:val="00E76BA4"/>
    <w:rsid w:val="00E76BF8"/>
    <w:rsid w:val="00E76C01"/>
    <w:rsid w:val="00E76C4B"/>
    <w:rsid w:val="00E76C72"/>
    <w:rsid w:val="00E76C90"/>
    <w:rsid w:val="00E76CF8"/>
    <w:rsid w:val="00E76D8B"/>
    <w:rsid w:val="00E76D99"/>
    <w:rsid w:val="00E76E06"/>
    <w:rsid w:val="00E76E55"/>
    <w:rsid w:val="00E76E7A"/>
    <w:rsid w:val="00E76E87"/>
    <w:rsid w:val="00E76EAC"/>
    <w:rsid w:val="00E76F3D"/>
    <w:rsid w:val="00E76F4C"/>
    <w:rsid w:val="00E76FCA"/>
    <w:rsid w:val="00E76FD5"/>
    <w:rsid w:val="00E76FED"/>
    <w:rsid w:val="00E76FF1"/>
    <w:rsid w:val="00E76FF4"/>
    <w:rsid w:val="00E770D8"/>
    <w:rsid w:val="00E77126"/>
    <w:rsid w:val="00E77218"/>
    <w:rsid w:val="00E77255"/>
    <w:rsid w:val="00E772D0"/>
    <w:rsid w:val="00E77388"/>
    <w:rsid w:val="00E774E5"/>
    <w:rsid w:val="00E77530"/>
    <w:rsid w:val="00E77592"/>
    <w:rsid w:val="00E77625"/>
    <w:rsid w:val="00E77657"/>
    <w:rsid w:val="00E7767F"/>
    <w:rsid w:val="00E77681"/>
    <w:rsid w:val="00E77699"/>
    <w:rsid w:val="00E776B4"/>
    <w:rsid w:val="00E776F7"/>
    <w:rsid w:val="00E77727"/>
    <w:rsid w:val="00E77728"/>
    <w:rsid w:val="00E777E3"/>
    <w:rsid w:val="00E77838"/>
    <w:rsid w:val="00E778C1"/>
    <w:rsid w:val="00E778D9"/>
    <w:rsid w:val="00E77902"/>
    <w:rsid w:val="00E77914"/>
    <w:rsid w:val="00E77931"/>
    <w:rsid w:val="00E77939"/>
    <w:rsid w:val="00E7793F"/>
    <w:rsid w:val="00E77945"/>
    <w:rsid w:val="00E77947"/>
    <w:rsid w:val="00E77970"/>
    <w:rsid w:val="00E77987"/>
    <w:rsid w:val="00E77988"/>
    <w:rsid w:val="00E779A8"/>
    <w:rsid w:val="00E779CA"/>
    <w:rsid w:val="00E77A09"/>
    <w:rsid w:val="00E77AAC"/>
    <w:rsid w:val="00E77B0A"/>
    <w:rsid w:val="00E77B68"/>
    <w:rsid w:val="00E77BDD"/>
    <w:rsid w:val="00E77C4B"/>
    <w:rsid w:val="00E77C6C"/>
    <w:rsid w:val="00E77C82"/>
    <w:rsid w:val="00E77C85"/>
    <w:rsid w:val="00E77C91"/>
    <w:rsid w:val="00E77C9F"/>
    <w:rsid w:val="00E77CDD"/>
    <w:rsid w:val="00E77D6C"/>
    <w:rsid w:val="00E77DFA"/>
    <w:rsid w:val="00E77E03"/>
    <w:rsid w:val="00E77E5A"/>
    <w:rsid w:val="00E77EF1"/>
    <w:rsid w:val="00E77F2D"/>
    <w:rsid w:val="00E80064"/>
    <w:rsid w:val="00E8006B"/>
    <w:rsid w:val="00E801E1"/>
    <w:rsid w:val="00E8035B"/>
    <w:rsid w:val="00E80438"/>
    <w:rsid w:val="00E804D5"/>
    <w:rsid w:val="00E804FE"/>
    <w:rsid w:val="00E80519"/>
    <w:rsid w:val="00E80548"/>
    <w:rsid w:val="00E80563"/>
    <w:rsid w:val="00E80588"/>
    <w:rsid w:val="00E80594"/>
    <w:rsid w:val="00E805DD"/>
    <w:rsid w:val="00E805FE"/>
    <w:rsid w:val="00E8061C"/>
    <w:rsid w:val="00E8068D"/>
    <w:rsid w:val="00E80726"/>
    <w:rsid w:val="00E8072F"/>
    <w:rsid w:val="00E80739"/>
    <w:rsid w:val="00E80853"/>
    <w:rsid w:val="00E808BE"/>
    <w:rsid w:val="00E80953"/>
    <w:rsid w:val="00E8095B"/>
    <w:rsid w:val="00E809AF"/>
    <w:rsid w:val="00E809C4"/>
    <w:rsid w:val="00E80A19"/>
    <w:rsid w:val="00E80A1B"/>
    <w:rsid w:val="00E80A30"/>
    <w:rsid w:val="00E80AB4"/>
    <w:rsid w:val="00E80ABB"/>
    <w:rsid w:val="00E80B43"/>
    <w:rsid w:val="00E80B6A"/>
    <w:rsid w:val="00E80BB0"/>
    <w:rsid w:val="00E80BEE"/>
    <w:rsid w:val="00E80CEE"/>
    <w:rsid w:val="00E80D11"/>
    <w:rsid w:val="00E80D21"/>
    <w:rsid w:val="00E80E23"/>
    <w:rsid w:val="00E80E3E"/>
    <w:rsid w:val="00E80E6C"/>
    <w:rsid w:val="00E80EEA"/>
    <w:rsid w:val="00E80EEF"/>
    <w:rsid w:val="00E80EFD"/>
    <w:rsid w:val="00E80F0C"/>
    <w:rsid w:val="00E80F54"/>
    <w:rsid w:val="00E80F61"/>
    <w:rsid w:val="00E81051"/>
    <w:rsid w:val="00E8105A"/>
    <w:rsid w:val="00E810AE"/>
    <w:rsid w:val="00E81134"/>
    <w:rsid w:val="00E81170"/>
    <w:rsid w:val="00E811BB"/>
    <w:rsid w:val="00E811C4"/>
    <w:rsid w:val="00E81217"/>
    <w:rsid w:val="00E81220"/>
    <w:rsid w:val="00E8124D"/>
    <w:rsid w:val="00E812C1"/>
    <w:rsid w:val="00E812C7"/>
    <w:rsid w:val="00E812E9"/>
    <w:rsid w:val="00E81306"/>
    <w:rsid w:val="00E8131B"/>
    <w:rsid w:val="00E8135E"/>
    <w:rsid w:val="00E813D2"/>
    <w:rsid w:val="00E8143E"/>
    <w:rsid w:val="00E8145C"/>
    <w:rsid w:val="00E81472"/>
    <w:rsid w:val="00E81477"/>
    <w:rsid w:val="00E81496"/>
    <w:rsid w:val="00E814D9"/>
    <w:rsid w:val="00E814DD"/>
    <w:rsid w:val="00E81506"/>
    <w:rsid w:val="00E8156E"/>
    <w:rsid w:val="00E81578"/>
    <w:rsid w:val="00E81593"/>
    <w:rsid w:val="00E815C7"/>
    <w:rsid w:val="00E815E1"/>
    <w:rsid w:val="00E815F5"/>
    <w:rsid w:val="00E81611"/>
    <w:rsid w:val="00E8162D"/>
    <w:rsid w:val="00E81644"/>
    <w:rsid w:val="00E81669"/>
    <w:rsid w:val="00E816CF"/>
    <w:rsid w:val="00E81767"/>
    <w:rsid w:val="00E8179A"/>
    <w:rsid w:val="00E817E6"/>
    <w:rsid w:val="00E818B8"/>
    <w:rsid w:val="00E818DC"/>
    <w:rsid w:val="00E818E1"/>
    <w:rsid w:val="00E81919"/>
    <w:rsid w:val="00E81965"/>
    <w:rsid w:val="00E8198C"/>
    <w:rsid w:val="00E81A38"/>
    <w:rsid w:val="00E81AB1"/>
    <w:rsid w:val="00E81ABA"/>
    <w:rsid w:val="00E81AF1"/>
    <w:rsid w:val="00E81B1C"/>
    <w:rsid w:val="00E81B2D"/>
    <w:rsid w:val="00E81B45"/>
    <w:rsid w:val="00E81B48"/>
    <w:rsid w:val="00E81B95"/>
    <w:rsid w:val="00E81B98"/>
    <w:rsid w:val="00E81C13"/>
    <w:rsid w:val="00E81C4B"/>
    <w:rsid w:val="00E81CB1"/>
    <w:rsid w:val="00E81CBE"/>
    <w:rsid w:val="00E81CE7"/>
    <w:rsid w:val="00E81E18"/>
    <w:rsid w:val="00E81E5D"/>
    <w:rsid w:val="00E81E90"/>
    <w:rsid w:val="00E81ECF"/>
    <w:rsid w:val="00E81ED7"/>
    <w:rsid w:val="00E81EE3"/>
    <w:rsid w:val="00E81FAC"/>
    <w:rsid w:val="00E81FC4"/>
    <w:rsid w:val="00E81FCD"/>
    <w:rsid w:val="00E820F7"/>
    <w:rsid w:val="00E82190"/>
    <w:rsid w:val="00E821A0"/>
    <w:rsid w:val="00E8220C"/>
    <w:rsid w:val="00E8220F"/>
    <w:rsid w:val="00E82214"/>
    <w:rsid w:val="00E82233"/>
    <w:rsid w:val="00E8227A"/>
    <w:rsid w:val="00E822B8"/>
    <w:rsid w:val="00E822FC"/>
    <w:rsid w:val="00E8239C"/>
    <w:rsid w:val="00E823E6"/>
    <w:rsid w:val="00E823EC"/>
    <w:rsid w:val="00E823FC"/>
    <w:rsid w:val="00E82419"/>
    <w:rsid w:val="00E824CE"/>
    <w:rsid w:val="00E82506"/>
    <w:rsid w:val="00E82518"/>
    <w:rsid w:val="00E82532"/>
    <w:rsid w:val="00E8254A"/>
    <w:rsid w:val="00E825A6"/>
    <w:rsid w:val="00E825F3"/>
    <w:rsid w:val="00E825F9"/>
    <w:rsid w:val="00E8263E"/>
    <w:rsid w:val="00E826AD"/>
    <w:rsid w:val="00E826B5"/>
    <w:rsid w:val="00E82734"/>
    <w:rsid w:val="00E82737"/>
    <w:rsid w:val="00E82756"/>
    <w:rsid w:val="00E82764"/>
    <w:rsid w:val="00E827E4"/>
    <w:rsid w:val="00E82839"/>
    <w:rsid w:val="00E82885"/>
    <w:rsid w:val="00E82899"/>
    <w:rsid w:val="00E8289F"/>
    <w:rsid w:val="00E828CA"/>
    <w:rsid w:val="00E828D9"/>
    <w:rsid w:val="00E8291E"/>
    <w:rsid w:val="00E8296A"/>
    <w:rsid w:val="00E829D2"/>
    <w:rsid w:val="00E829EB"/>
    <w:rsid w:val="00E82A29"/>
    <w:rsid w:val="00E82A49"/>
    <w:rsid w:val="00E82ABC"/>
    <w:rsid w:val="00E82AEE"/>
    <w:rsid w:val="00E82B31"/>
    <w:rsid w:val="00E82B55"/>
    <w:rsid w:val="00E82B67"/>
    <w:rsid w:val="00E82BE3"/>
    <w:rsid w:val="00E82C02"/>
    <w:rsid w:val="00E82C08"/>
    <w:rsid w:val="00E82C3D"/>
    <w:rsid w:val="00E82CA1"/>
    <w:rsid w:val="00E82CD4"/>
    <w:rsid w:val="00E82CE7"/>
    <w:rsid w:val="00E82D6E"/>
    <w:rsid w:val="00E82DE8"/>
    <w:rsid w:val="00E82E08"/>
    <w:rsid w:val="00E82E1C"/>
    <w:rsid w:val="00E82E3B"/>
    <w:rsid w:val="00E82E8E"/>
    <w:rsid w:val="00E82E94"/>
    <w:rsid w:val="00E82EDB"/>
    <w:rsid w:val="00E82F4D"/>
    <w:rsid w:val="00E82F81"/>
    <w:rsid w:val="00E82FBD"/>
    <w:rsid w:val="00E82FF6"/>
    <w:rsid w:val="00E830AB"/>
    <w:rsid w:val="00E83126"/>
    <w:rsid w:val="00E8313E"/>
    <w:rsid w:val="00E8317A"/>
    <w:rsid w:val="00E831C1"/>
    <w:rsid w:val="00E831EA"/>
    <w:rsid w:val="00E8321C"/>
    <w:rsid w:val="00E83249"/>
    <w:rsid w:val="00E832C5"/>
    <w:rsid w:val="00E83300"/>
    <w:rsid w:val="00E8330F"/>
    <w:rsid w:val="00E8334C"/>
    <w:rsid w:val="00E833E5"/>
    <w:rsid w:val="00E8340F"/>
    <w:rsid w:val="00E8342E"/>
    <w:rsid w:val="00E834BA"/>
    <w:rsid w:val="00E83519"/>
    <w:rsid w:val="00E83524"/>
    <w:rsid w:val="00E8360F"/>
    <w:rsid w:val="00E83615"/>
    <w:rsid w:val="00E83682"/>
    <w:rsid w:val="00E836B7"/>
    <w:rsid w:val="00E837D7"/>
    <w:rsid w:val="00E837DB"/>
    <w:rsid w:val="00E837FE"/>
    <w:rsid w:val="00E83805"/>
    <w:rsid w:val="00E8381D"/>
    <w:rsid w:val="00E83840"/>
    <w:rsid w:val="00E83882"/>
    <w:rsid w:val="00E83893"/>
    <w:rsid w:val="00E838B9"/>
    <w:rsid w:val="00E838D2"/>
    <w:rsid w:val="00E838DE"/>
    <w:rsid w:val="00E8391C"/>
    <w:rsid w:val="00E83989"/>
    <w:rsid w:val="00E83A06"/>
    <w:rsid w:val="00E83A67"/>
    <w:rsid w:val="00E83A89"/>
    <w:rsid w:val="00E83B16"/>
    <w:rsid w:val="00E83B37"/>
    <w:rsid w:val="00E83B3D"/>
    <w:rsid w:val="00E83BC3"/>
    <w:rsid w:val="00E83BC5"/>
    <w:rsid w:val="00E83BE0"/>
    <w:rsid w:val="00E83C27"/>
    <w:rsid w:val="00E83C30"/>
    <w:rsid w:val="00E83C88"/>
    <w:rsid w:val="00E83CDD"/>
    <w:rsid w:val="00E83DBD"/>
    <w:rsid w:val="00E83DDA"/>
    <w:rsid w:val="00E83E2A"/>
    <w:rsid w:val="00E83E4C"/>
    <w:rsid w:val="00E83EC7"/>
    <w:rsid w:val="00E83ED2"/>
    <w:rsid w:val="00E83F23"/>
    <w:rsid w:val="00E83F34"/>
    <w:rsid w:val="00E83F64"/>
    <w:rsid w:val="00E83F6E"/>
    <w:rsid w:val="00E83F84"/>
    <w:rsid w:val="00E83F85"/>
    <w:rsid w:val="00E83FB6"/>
    <w:rsid w:val="00E84015"/>
    <w:rsid w:val="00E8403A"/>
    <w:rsid w:val="00E84048"/>
    <w:rsid w:val="00E8406B"/>
    <w:rsid w:val="00E84086"/>
    <w:rsid w:val="00E840A3"/>
    <w:rsid w:val="00E840AD"/>
    <w:rsid w:val="00E840AE"/>
    <w:rsid w:val="00E840D0"/>
    <w:rsid w:val="00E840FB"/>
    <w:rsid w:val="00E8416D"/>
    <w:rsid w:val="00E84193"/>
    <w:rsid w:val="00E8419C"/>
    <w:rsid w:val="00E841BB"/>
    <w:rsid w:val="00E841C6"/>
    <w:rsid w:val="00E841E0"/>
    <w:rsid w:val="00E8421D"/>
    <w:rsid w:val="00E84242"/>
    <w:rsid w:val="00E84266"/>
    <w:rsid w:val="00E84272"/>
    <w:rsid w:val="00E842C6"/>
    <w:rsid w:val="00E8432C"/>
    <w:rsid w:val="00E8433D"/>
    <w:rsid w:val="00E8433F"/>
    <w:rsid w:val="00E84368"/>
    <w:rsid w:val="00E8437C"/>
    <w:rsid w:val="00E8439F"/>
    <w:rsid w:val="00E843B0"/>
    <w:rsid w:val="00E843C3"/>
    <w:rsid w:val="00E843D9"/>
    <w:rsid w:val="00E84441"/>
    <w:rsid w:val="00E84462"/>
    <w:rsid w:val="00E84484"/>
    <w:rsid w:val="00E844BF"/>
    <w:rsid w:val="00E844F9"/>
    <w:rsid w:val="00E84527"/>
    <w:rsid w:val="00E8463F"/>
    <w:rsid w:val="00E8468F"/>
    <w:rsid w:val="00E84693"/>
    <w:rsid w:val="00E846FD"/>
    <w:rsid w:val="00E84719"/>
    <w:rsid w:val="00E84720"/>
    <w:rsid w:val="00E847B4"/>
    <w:rsid w:val="00E8480B"/>
    <w:rsid w:val="00E84819"/>
    <w:rsid w:val="00E848C4"/>
    <w:rsid w:val="00E84947"/>
    <w:rsid w:val="00E84963"/>
    <w:rsid w:val="00E8497C"/>
    <w:rsid w:val="00E8499A"/>
    <w:rsid w:val="00E849B4"/>
    <w:rsid w:val="00E849CB"/>
    <w:rsid w:val="00E849F5"/>
    <w:rsid w:val="00E84A08"/>
    <w:rsid w:val="00E84A16"/>
    <w:rsid w:val="00E84A1B"/>
    <w:rsid w:val="00E84ABD"/>
    <w:rsid w:val="00E84ACC"/>
    <w:rsid w:val="00E84B01"/>
    <w:rsid w:val="00E84B86"/>
    <w:rsid w:val="00E84BA4"/>
    <w:rsid w:val="00E84BCD"/>
    <w:rsid w:val="00E84BD1"/>
    <w:rsid w:val="00E84C31"/>
    <w:rsid w:val="00E84C8A"/>
    <w:rsid w:val="00E84CE7"/>
    <w:rsid w:val="00E84DBD"/>
    <w:rsid w:val="00E84E3D"/>
    <w:rsid w:val="00E84E57"/>
    <w:rsid w:val="00E84E59"/>
    <w:rsid w:val="00E84E90"/>
    <w:rsid w:val="00E84EB1"/>
    <w:rsid w:val="00E84F09"/>
    <w:rsid w:val="00E84F48"/>
    <w:rsid w:val="00E84F50"/>
    <w:rsid w:val="00E8500A"/>
    <w:rsid w:val="00E8508D"/>
    <w:rsid w:val="00E850D1"/>
    <w:rsid w:val="00E850DC"/>
    <w:rsid w:val="00E85161"/>
    <w:rsid w:val="00E851E5"/>
    <w:rsid w:val="00E85293"/>
    <w:rsid w:val="00E852F6"/>
    <w:rsid w:val="00E85332"/>
    <w:rsid w:val="00E8548A"/>
    <w:rsid w:val="00E854A0"/>
    <w:rsid w:val="00E85501"/>
    <w:rsid w:val="00E85541"/>
    <w:rsid w:val="00E855CD"/>
    <w:rsid w:val="00E855D8"/>
    <w:rsid w:val="00E85662"/>
    <w:rsid w:val="00E85688"/>
    <w:rsid w:val="00E856A1"/>
    <w:rsid w:val="00E85783"/>
    <w:rsid w:val="00E857D0"/>
    <w:rsid w:val="00E858E5"/>
    <w:rsid w:val="00E8591B"/>
    <w:rsid w:val="00E85956"/>
    <w:rsid w:val="00E85962"/>
    <w:rsid w:val="00E85A26"/>
    <w:rsid w:val="00E85A4F"/>
    <w:rsid w:val="00E85A90"/>
    <w:rsid w:val="00E85AC4"/>
    <w:rsid w:val="00E85AD0"/>
    <w:rsid w:val="00E85AD7"/>
    <w:rsid w:val="00E85ADC"/>
    <w:rsid w:val="00E85AE1"/>
    <w:rsid w:val="00E85AEA"/>
    <w:rsid w:val="00E85B0F"/>
    <w:rsid w:val="00E85B2A"/>
    <w:rsid w:val="00E85B3C"/>
    <w:rsid w:val="00E85B5E"/>
    <w:rsid w:val="00E85B95"/>
    <w:rsid w:val="00E85C03"/>
    <w:rsid w:val="00E85CE4"/>
    <w:rsid w:val="00E85D10"/>
    <w:rsid w:val="00E85D75"/>
    <w:rsid w:val="00E85DD6"/>
    <w:rsid w:val="00E85EC2"/>
    <w:rsid w:val="00E85EC4"/>
    <w:rsid w:val="00E85EEE"/>
    <w:rsid w:val="00E85F0F"/>
    <w:rsid w:val="00E85F43"/>
    <w:rsid w:val="00E85F5C"/>
    <w:rsid w:val="00E85FA3"/>
    <w:rsid w:val="00E85FA6"/>
    <w:rsid w:val="00E85FB6"/>
    <w:rsid w:val="00E85FC8"/>
    <w:rsid w:val="00E86011"/>
    <w:rsid w:val="00E86041"/>
    <w:rsid w:val="00E8607A"/>
    <w:rsid w:val="00E8607F"/>
    <w:rsid w:val="00E862A3"/>
    <w:rsid w:val="00E86358"/>
    <w:rsid w:val="00E86406"/>
    <w:rsid w:val="00E86458"/>
    <w:rsid w:val="00E8646B"/>
    <w:rsid w:val="00E86484"/>
    <w:rsid w:val="00E86503"/>
    <w:rsid w:val="00E8656F"/>
    <w:rsid w:val="00E865A7"/>
    <w:rsid w:val="00E86636"/>
    <w:rsid w:val="00E8664E"/>
    <w:rsid w:val="00E86656"/>
    <w:rsid w:val="00E8666A"/>
    <w:rsid w:val="00E866B2"/>
    <w:rsid w:val="00E8672F"/>
    <w:rsid w:val="00E8677F"/>
    <w:rsid w:val="00E86841"/>
    <w:rsid w:val="00E868A4"/>
    <w:rsid w:val="00E868F2"/>
    <w:rsid w:val="00E86928"/>
    <w:rsid w:val="00E869D6"/>
    <w:rsid w:val="00E869DD"/>
    <w:rsid w:val="00E86A35"/>
    <w:rsid w:val="00E86ADD"/>
    <w:rsid w:val="00E86B76"/>
    <w:rsid w:val="00E86B99"/>
    <w:rsid w:val="00E86BDD"/>
    <w:rsid w:val="00E86C40"/>
    <w:rsid w:val="00E86C53"/>
    <w:rsid w:val="00E86C79"/>
    <w:rsid w:val="00E86C84"/>
    <w:rsid w:val="00E86CE9"/>
    <w:rsid w:val="00E86D59"/>
    <w:rsid w:val="00E86DB0"/>
    <w:rsid w:val="00E86E0F"/>
    <w:rsid w:val="00E86E11"/>
    <w:rsid w:val="00E86E15"/>
    <w:rsid w:val="00E86E52"/>
    <w:rsid w:val="00E86E54"/>
    <w:rsid w:val="00E86E7D"/>
    <w:rsid w:val="00E86E99"/>
    <w:rsid w:val="00E86EFA"/>
    <w:rsid w:val="00E86EFC"/>
    <w:rsid w:val="00E86F74"/>
    <w:rsid w:val="00E87009"/>
    <w:rsid w:val="00E87051"/>
    <w:rsid w:val="00E87092"/>
    <w:rsid w:val="00E870CA"/>
    <w:rsid w:val="00E87121"/>
    <w:rsid w:val="00E8712D"/>
    <w:rsid w:val="00E8712E"/>
    <w:rsid w:val="00E8714E"/>
    <w:rsid w:val="00E871BC"/>
    <w:rsid w:val="00E87210"/>
    <w:rsid w:val="00E87216"/>
    <w:rsid w:val="00E8721D"/>
    <w:rsid w:val="00E8733B"/>
    <w:rsid w:val="00E8737F"/>
    <w:rsid w:val="00E873A0"/>
    <w:rsid w:val="00E873A4"/>
    <w:rsid w:val="00E8745F"/>
    <w:rsid w:val="00E87464"/>
    <w:rsid w:val="00E8749B"/>
    <w:rsid w:val="00E87524"/>
    <w:rsid w:val="00E8755A"/>
    <w:rsid w:val="00E8758A"/>
    <w:rsid w:val="00E875C8"/>
    <w:rsid w:val="00E87687"/>
    <w:rsid w:val="00E87693"/>
    <w:rsid w:val="00E876E6"/>
    <w:rsid w:val="00E87788"/>
    <w:rsid w:val="00E877B1"/>
    <w:rsid w:val="00E877BF"/>
    <w:rsid w:val="00E877C3"/>
    <w:rsid w:val="00E877EC"/>
    <w:rsid w:val="00E8784B"/>
    <w:rsid w:val="00E87881"/>
    <w:rsid w:val="00E87885"/>
    <w:rsid w:val="00E8788E"/>
    <w:rsid w:val="00E8789E"/>
    <w:rsid w:val="00E878E0"/>
    <w:rsid w:val="00E878E8"/>
    <w:rsid w:val="00E87912"/>
    <w:rsid w:val="00E87936"/>
    <w:rsid w:val="00E879A3"/>
    <w:rsid w:val="00E879BF"/>
    <w:rsid w:val="00E879C0"/>
    <w:rsid w:val="00E87A2F"/>
    <w:rsid w:val="00E87A54"/>
    <w:rsid w:val="00E87A69"/>
    <w:rsid w:val="00E87B45"/>
    <w:rsid w:val="00E87B67"/>
    <w:rsid w:val="00E87C48"/>
    <w:rsid w:val="00E87C70"/>
    <w:rsid w:val="00E87C77"/>
    <w:rsid w:val="00E87CA3"/>
    <w:rsid w:val="00E87CAC"/>
    <w:rsid w:val="00E87CDE"/>
    <w:rsid w:val="00E87CF8"/>
    <w:rsid w:val="00E87D10"/>
    <w:rsid w:val="00E87DC5"/>
    <w:rsid w:val="00E87E0F"/>
    <w:rsid w:val="00E87E4A"/>
    <w:rsid w:val="00E87E69"/>
    <w:rsid w:val="00E87EA6"/>
    <w:rsid w:val="00E87EB6"/>
    <w:rsid w:val="00E87F51"/>
    <w:rsid w:val="00E90011"/>
    <w:rsid w:val="00E90031"/>
    <w:rsid w:val="00E9009F"/>
    <w:rsid w:val="00E900AD"/>
    <w:rsid w:val="00E900B9"/>
    <w:rsid w:val="00E90125"/>
    <w:rsid w:val="00E90151"/>
    <w:rsid w:val="00E901B5"/>
    <w:rsid w:val="00E90213"/>
    <w:rsid w:val="00E9021F"/>
    <w:rsid w:val="00E90236"/>
    <w:rsid w:val="00E9024C"/>
    <w:rsid w:val="00E90272"/>
    <w:rsid w:val="00E9028D"/>
    <w:rsid w:val="00E90292"/>
    <w:rsid w:val="00E902AC"/>
    <w:rsid w:val="00E902B0"/>
    <w:rsid w:val="00E902DA"/>
    <w:rsid w:val="00E902E8"/>
    <w:rsid w:val="00E9036C"/>
    <w:rsid w:val="00E90396"/>
    <w:rsid w:val="00E903B4"/>
    <w:rsid w:val="00E903FF"/>
    <w:rsid w:val="00E9046D"/>
    <w:rsid w:val="00E90514"/>
    <w:rsid w:val="00E9052A"/>
    <w:rsid w:val="00E905D9"/>
    <w:rsid w:val="00E90634"/>
    <w:rsid w:val="00E9063C"/>
    <w:rsid w:val="00E9069E"/>
    <w:rsid w:val="00E906E2"/>
    <w:rsid w:val="00E90772"/>
    <w:rsid w:val="00E907CA"/>
    <w:rsid w:val="00E907EB"/>
    <w:rsid w:val="00E9081E"/>
    <w:rsid w:val="00E908DF"/>
    <w:rsid w:val="00E908E4"/>
    <w:rsid w:val="00E908EE"/>
    <w:rsid w:val="00E908F8"/>
    <w:rsid w:val="00E90931"/>
    <w:rsid w:val="00E90938"/>
    <w:rsid w:val="00E90953"/>
    <w:rsid w:val="00E90959"/>
    <w:rsid w:val="00E9097D"/>
    <w:rsid w:val="00E90994"/>
    <w:rsid w:val="00E909AA"/>
    <w:rsid w:val="00E909BF"/>
    <w:rsid w:val="00E909D3"/>
    <w:rsid w:val="00E909F7"/>
    <w:rsid w:val="00E90A36"/>
    <w:rsid w:val="00E90A4A"/>
    <w:rsid w:val="00E90A97"/>
    <w:rsid w:val="00E90A98"/>
    <w:rsid w:val="00E90A99"/>
    <w:rsid w:val="00E90AAE"/>
    <w:rsid w:val="00E90B83"/>
    <w:rsid w:val="00E90B9A"/>
    <w:rsid w:val="00E90BA9"/>
    <w:rsid w:val="00E90BB4"/>
    <w:rsid w:val="00E90BC4"/>
    <w:rsid w:val="00E90CB2"/>
    <w:rsid w:val="00E90CB6"/>
    <w:rsid w:val="00E90CEF"/>
    <w:rsid w:val="00E90D66"/>
    <w:rsid w:val="00E90D80"/>
    <w:rsid w:val="00E90D8F"/>
    <w:rsid w:val="00E90DB4"/>
    <w:rsid w:val="00E90E3A"/>
    <w:rsid w:val="00E90E86"/>
    <w:rsid w:val="00E90E9A"/>
    <w:rsid w:val="00E90E9C"/>
    <w:rsid w:val="00E90F17"/>
    <w:rsid w:val="00E90F1D"/>
    <w:rsid w:val="00E90F20"/>
    <w:rsid w:val="00E90FC5"/>
    <w:rsid w:val="00E90FE8"/>
    <w:rsid w:val="00E9104F"/>
    <w:rsid w:val="00E91080"/>
    <w:rsid w:val="00E910CF"/>
    <w:rsid w:val="00E91107"/>
    <w:rsid w:val="00E91183"/>
    <w:rsid w:val="00E9118D"/>
    <w:rsid w:val="00E91207"/>
    <w:rsid w:val="00E91243"/>
    <w:rsid w:val="00E9130E"/>
    <w:rsid w:val="00E91346"/>
    <w:rsid w:val="00E913CA"/>
    <w:rsid w:val="00E913DB"/>
    <w:rsid w:val="00E9144A"/>
    <w:rsid w:val="00E91452"/>
    <w:rsid w:val="00E914B0"/>
    <w:rsid w:val="00E914B1"/>
    <w:rsid w:val="00E914D4"/>
    <w:rsid w:val="00E914DE"/>
    <w:rsid w:val="00E91505"/>
    <w:rsid w:val="00E91524"/>
    <w:rsid w:val="00E9152F"/>
    <w:rsid w:val="00E9156A"/>
    <w:rsid w:val="00E915D7"/>
    <w:rsid w:val="00E9160D"/>
    <w:rsid w:val="00E91686"/>
    <w:rsid w:val="00E91733"/>
    <w:rsid w:val="00E91763"/>
    <w:rsid w:val="00E9176A"/>
    <w:rsid w:val="00E91820"/>
    <w:rsid w:val="00E91899"/>
    <w:rsid w:val="00E918CA"/>
    <w:rsid w:val="00E91974"/>
    <w:rsid w:val="00E9199B"/>
    <w:rsid w:val="00E91A46"/>
    <w:rsid w:val="00E91A79"/>
    <w:rsid w:val="00E91A89"/>
    <w:rsid w:val="00E91A91"/>
    <w:rsid w:val="00E91AE7"/>
    <w:rsid w:val="00E91B9B"/>
    <w:rsid w:val="00E91B9F"/>
    <w:rsid w:val="00E91BD3"/>
    <w:rsid w:val="00E91BE9"/>
    <w:rsid w:val="00E91C69"/>
    <w:rsid w:val="00E91D4C"/>
    <w:rsid w:val="00E91D72"/>
    <w:rsid w:val="00E91D9E"/>
    <w:rsid w:val="00E91E3F"/>
    <w:rsid w:val="00E91E9F"/>
    <w:rsid w:val="00E91EB0"/>
    <w:rsid w:val="00E91EDF"/>
    <w:rsid w:val="00E91F32"/>
    <w:rsid w:val="00E91FF9"/>
    <w:rsid w:val="00E92046"/>
    <w:rsid w:val="00E920EA"/>
    <w:rsid w:val="00E920F0"/>
    <w:rsid w:val="00E92148"/>
    <w:rsid w:val="00E921E3"/>
    <w:rsid w:val="00E92238"/>
    <w:rsid w:val="00E92270"/>
    <w:rsid w:val="00E922DE"/>
    <w:rsid w:val="00E9233C"/>
    <w:rsid w:val="00E92345"/>
    <w:rsid w:val="00E9234D"/>
    <w:rsid w:val="00E923EE"/>
    <w:rsid w:val="00E9243C"/>
    <w:rsid w:val="00E9244B"/>
    <w:rsid w:val="00E92493"/>
    <w:rsid w:val="00E924A9"/>
    <w:rsid w:val="00E924E5"/>
    <w:rsid w:val="00E92503"/>
    <w:rsid w:val="00E92507"/>
    <w:rsid w:val="00E92570"/>
    <w:rsid w:val="00E9257F"/>
    <w:rsid w:val="00E925A2"/>
    <w:rsid w:val="00E925BF"/>
    <w:rsid w:val="00E92607"/>
    <w:rsid w:val="00E92611"/>
    <w:rsid w:val="00E92656"/>
    <w:rsid w:val="00E926C8"/>
    <w:rsid w:val="00E9277A"/>
    <w:rsid w:val="00E92785"/>
    <w:rsid w:val="00E927C1"/>
    <w:rsid w:val="00E927E2"/>
    <w:rsid w:val="00E9281D"/>
    <w:rsid w:val="00E9282F"/>
    <w:rsid w:val="00E92837"/>
    <w:rsid w:val="00E928B0"/>
    <w:rsid w:val="00E92948"/>
    <w:rsid w:val="00E92957"/>
    <w:rsid w:val="00E9296B"/>
    <w:rsid w:val="00E929BD"/>
    <w:rsid w:val="00E92A10"/>
    <w:rsid w:val="00E92A39"/>
    <w:rsid w:val="00E92A55"/>
    <w:rsid w:val="00E92B34"/>
    <w:rsid w:val="00E92B4B"/>
    <w:rsid w:val="00E92BCC"/>
    <w:rsid w:val="00E92C2E"/>
    <w:rsid w:val="00E92CAE"/>
    <w:rsid w:val="00E92CB3"/>
    <w:rsid w:val="00E92CD2"/>
    <w:rsid w:val="00E92D29"/>
    <w:rsid w:val="00E92D78"/>
    <w:rsid w:val="00E92DA3"/>
    <w:rsid w:val="00E92E75"/>
    <w:rsid w:val="00E92E88"/>
    <w:rsid w:val="00E92F64"/>
    <w:rsid w:val="00E92F96"/>
    <w:rsid w:val="00E92FB7"/>
    <w:rsid w:val="00E9303D"/>
    <w:rsid w:val="00E9306F"/>
    <w:rsid w:val="00E93075"/>
    <w:rsid w:val="00E930DA"/>
    <w:rsid w:val="00E93104"/>
    <w:rsid w:val="00E9310D"/>
    <w:rsid w:val="00E9313F"/>
    <w:rsid w:val="00E931F8"/>
    <w:rsid w:val="00E93209"/>
    <w:rsid w:val="00E93266"/>
    <w:rsid w:val="00E9327A"/>
    <w:rsid w:val="00E9328D"/>
    <w:rsid w:val="00E93294"/>
    <w:rsid w:val="00E932E4"/>
    <w:rsid w:val="00E93301"/>
    <w:rsid w:val="00E93329"/>
    <w:rsid w:val="00E93393"/>
    <w:rsid w:val="00E9341F"/>
    <w:rsid w:val="00E93465"/>
    <w:rsid w:val="00E9357D"/>
    <w:rsid w:val="00E9358A"/>
    <w:rsid w:val="00E93592"/>
    <w:rsid w:val="00E935DA"/>
    <w:rsid w:val="00E93670"/>
    <w:rsid w:val="00E93691"/>
    <w:rsid w:val="00E936F6"/>
    <w:rsid w:val="00E93742"/>
    <w:rsid w:val="00E9384D"/>
    <w:rsid w:val="00E93876"/>
    <w:rsid w:val="00E938B4"/>
    <w:rsid w:val="00E938D2"/>
    <w:rsid w:val="00E938F4"/>
    <w:rsid w:val="00E93918"/>
    <w:rsid w:val="00E9395B"/>
    <w:rsid w:val="00E93A1B"/>
    <w:rsid w:val="00E93A5C"/>
    <w:rsid w:val="00E93A8B"/>
    <w:rsid w:val="00E93A8E"/>
    <w:rsid w:val="00E93AB4"/>
    <w:rsid w:val="00E93AB9"/>
    <w:rsid w:val="00E93AF5"/>
    <w:rsid w:val="00E93B2F"/>
    <w:rsid w:val="00E93B30"/>
    <w:rsid w:val="00E93B82"/>
    <w:rsid w:val="00E93BDF"/>
    <w:rsid w:val="00E93BEA"/>
    <w:rsid w:val="00E93BFF"/>
    <w:rsid w:val="00E93C0D"/>
    <w:rsid w:val="00E93C30"/>
    <w:rsid w:val="00E93C49"/>
    <w:rsid w:val="00E93C4F"/>
    <w:rsid w:val="00E93C54"/>
    <w:rsid w:val="00E93C69"/>
    <w:rsid w:val="00E93E1A"/>
    <w:rsid w:val="00E93E4B"/>
    <w:rsid w:val="00E93E60"/>
    <w:rsid w:val="00E93E62"/>
    <w:rsid w:val="00E93E7F"/>
    <w:rsid w:val="00E93EEE"/>
    <w:rsid w:val="00E93F31"/>
    <w:rsid w:val="00E93FB8"/>
    <w:rsid w:val="00E93FDA"/>
    <w:rsid w:val="00E93FE3"/>
    <w:rsid w:val="00E94049"/>
    <w:rsid w:val="00E940AD"/>
    <w:rsid w:val="00E940B7"/>
    <w:rsid w:val="00E940BA"/>
    <w:rsid w:val="00E94140"/>
    <w:rsid w:val="00E94142"/>
    <w:rsid w:val="00E94244"/>
    <w:rsid w:val="00E9428C"/>
    <w:rsid w:val="00E94292"/>
    <w:rsid w:val="00E942FA"/>
    <w:rsid w:val="00E94335"/>
    <w:rsid w:val="00E94367"/>
    <w:rsid w:val="00E9439A"/>
    <w:rsid w:val="00E9441F"/>
    <w:rsid w:val="00E94428"/>
    <w:rsid w:val="00E94442"/>
    <w:rsid w:val="00E9450A"/>
    <w:rsid w:val="00E94553"/>
    <w:rsid w:val="00E94566"/>
    <w:rsid w:val="00E94572"/>
    <w:rsid w:val="00E94582"/>
    <w:rsid w:val="00E945D0"/>
    <w:rsid w:val="00E945D4"/>
    <w:rsid w:val="00E945FE"/>
    <w:rsid w:val="00E9464D"/>
    <w:rsid w:val="00E94679"/>
    <w:rsid w:val="00E94783"/>
    <w:rsid w:val="00E94792"/>
    <w:rsid w:val="00E94794"/>
    <w:rsid w:val="00E947E9"/>
    <w:rsid w:val="00E9482A"/>
    <w:rsid w:val="00E94849"/>
    <w:rsid w:val="00E94869"/>
    <w:rsid w:val="00E9486A"/>
    <w:rsid w:val="00E94938"/>
    <w:rsid w:val="00E94941"/>
    <w:rsid w:val="00E949B0"/>
    <w:rsid w:val="00E94A3C"/>
    <w:rsid w:val="00E94A64"/>
    <w:rsid w:val="00E94AB8"/>
    <w:rsid w:val="00E94B7F"/>
    <w:rsid w:val="00E94BA2"/>
    <w:rsid w:val="00E94C68"/>
    <w:rsid w:val="00E94CDC"/>
    <w:rsid w:val="00E94CFE"/>
    <w:rsid w:val="00E94D18"/>
    <w:rsid w:val="00E94D1A"/>
    <w:rsid w:val="00E94D1C"/>
    <w:rsid w:val="00E94D87"/>
    <w:rsid w:val="00E94DB5"/>
    <w:rsid w:val="00E94DE3"/>
    <w:rsid w:val="00E94DFE"/>
    <w:rsid w:val="00E94E62"/>
    <w:rsid w:val="00E94E98"/>
    <w:rsid w:val="00E94EBC"/>
    <w:rsid w:val="00E94ECC"/>
    <w:rsid w:val="00E94EEE"/>
    <w:rsid w:val="00E94F3D"/>
    <w:rsid w:val="00E94F84"/>
    <w:rsid w:val="00E94F8A"/>
    <w:rsid w:val="00E94F97"/>
    <w:rsid w:val="00E94FAE"/>
    <w:rsid w:val="00E94FE4"/>
    <w:rsid w:val="00E94FFD"/>
    <w:rsid w:val="00E95030"/>
    <w:rsid w:val="00E95104"/>
    <w:rsid w:val="00E95153"/>
    <w:rsid w:val="00E9517A"/>
    <w:rsid w:val="00E9518E"/>
    <w:rsid w:val="00E951E3"/>
    <w:rsid w:val="00E951EE"/>
    <w:rsid w:val="00E951F6"/>
    <w:rsid w:val="00E95254"/>
    <w:rsid w:val="00E95269"/>
    <w:rsid w:val="00E9529D"/>
    <w:rsid w:val="00E952A9"/>
    <w:rsid w:val="00E9534D"/>
    <w:rsid w:val="00E953F8"/>
    <w:rsid w:val="00E95433"/>
    <w:rsid w:val="00E95481"/>
    <w:rsid w:val="00E9548E"/>
    <w:rsid w:val="00E954EB"/>
    <w:rsid w:val="00E9556D"/>
    <w:rsid w:val="00E956CA"/>
    <w:rsid w:val="00E956D1"/>
    <w:rsid w:val="00E95727"/>
    <w:rsid w:val="00E95775"/>
    <w:rsid w:val="00E957BD"/>
    <w:rsid w:val="00E957F8"/>
    <w:rsid w:val="00E95806"/>
    <w:rsid w:val="00E95860"/>
    <w:rsid w:val="00E9586A"/>
    <w:rsid w:val="00E958DC"/>
    <w:rsid w:val="00E958F2"/>
    <w:rsid w:val="00E9590C"/>
    <w:rsid w:val="00E95A5C"/>
    <w:rsid w:val="00E95A6D"/>
    <w:rsid w:val="00E95AAE"/>
    <w:rsid w:val="00E95AE0"/>
    <w:rsid w:val="00E95B05"/>
    <w:rsid w:val="00E95B4D"/>
    <w:rsid w:val="00E95BA4"/>
    <w:rsid w:val="00E95BB2"/>
    <w:rsid w:val="00E95C14"/>
    <w:rsid w:val="00E95C39"/>
    <w:rsid w:val="00E95C9F"/>
    <w:rsid w:val="00E95D19"/>
    <w:rsid w:val="00E95DC5"/>
    <w:rsid w:val="00E95DCC"/>
    <w:rsid w:val="00E95E44"/>
    <w:rsid w:val="00E95EC5"/>
    <w:rsid w:val="00E95F7E"/>
    <w:rsid w:val="00E96030"/>
    <w:rsid w:val="00E961E7"/>
    <w:rsid w:val="00E96212"/>
    <w:rsid w:val="00E9621E"/>
    <w:rsid w:val="00E9623E"/>
    <w:rsid w:val="00E96247"/>
    <w:rsid w:val="00E96271"/>
    <w:rsid w:val="00E962B4"/>
    <w:rsid w:val="00E962BD"/>
    <w:rsid w:val="00E962F9"/>
    <w:rsid w:val="00E96311"/>
    <w:rsid w:val="00E96318"/>
    <w:rsid w:val="00E96319"/>
    <w:rsid w:val="00E96324"/>
    <w:rsid w:val="00E96363"/>
    <w:rsid w:val="00E963D2"/>
    <w:rsid w:val="00E963E0"/>
    <w:rsid w:val="00E96406"/>
    <w:rsid w:val="00E9645C"/>
    <w:rsid w:val="00E96474"/>
    <w:rsid w:val="00E964D5"/>
    <w:rsid w:val="00E9656F"/>
    <w:rsid w:val="00E965BA"/>
    <w:rsid w:val="00E96631"/>
    <w:rsid w:val="00E966B2"/>
    <w:rsid w:val="00E966B7"/>
    <w:rsid w:val="00E966EF"/>
    <w:rsid w:val="00E96759"/>
    <w:rsid w:val="00E96789"/>
    <w:rsid w:val="00E967BF"/>
    <w:rsid w:val="00E9681D"/>
    <w:rsid w:val="00E96865"/>
    <w:rsid w:val="00E96895"/>
    <w:rsid w:val="00E968CD"/>
    <w:rsid w:val="00E96939"/>
    <w:rsid w:val="00E96A30"/>
    <w:rsid w:val="00E96A36"/>
    <w:rsid w:val="00E96AFC"/>
    <w:rsid w:val="00E96B0B"/>
    <w:rsid w:val="00E96B85"/>
    <w:rsid w:val="00E96B9F"/>
    <w:rsid w:val="00E96BAE"/>
    <w:rsid w:val="00E96BB9"/>
    <w:rsid w:val="00E96C06"/>
    <w:rsid w:val="00E96C23"/>
    <w:rsid w:val="00E96C80"/>
    <w:rsid w:val="00E96C81"/>
    <w:rsid w:val="00E96DB5"/>
    <w:rsid w:val="00E96DFE"/>
    <w:rsid w:val="00E96E85"/>
    <w:rsid w:val="00E96EE7"/>
    <w:rsid w:val="00E96F25"/>
    <w:rsid w:val="00E96F48"/>
    <w:rsid w:val="00E96F98"/>
    <w:rsid w:val="00E96F9E"/>
    <w:rsid w:val="00E970A7"/>
    <w:rsid w:val="00E97109"/>
    <w:rsid w:val="00E9719C"/>
    <w:rsid w:val="00E971ED"/>
    <w:rsid w:val="00E971EF"/>
    <w:rsid w:val="00E97281"/>
    <w:rsid w:val="00E972FA"/>
    <w:rsid w:val="00E97323"/>
    <w:rsid w:val="00E9735D"/>
    <w:rsid w:val="00E9736F"/>
    <w:rsid w:val="00E973BA"/>
    <w:rsid w:val="00E973CF"/>
    <w:rsid w:val="00E973FC"/>
    <w:rsid w:val="00E97406"/>
    <w:rsid w:val="00E97493"/>
    <w:rsid w:val="00E974B8"/>
    <w:rsid w:val="00E974D6"/>
    <w:rsid w:val="00E97507"/>
    <w:rsid w:val="00E975A1"/>
    <w:rsid w:val="00E975AA"/>
    <w:rsid w:val="00E975EE"/>
    <w:rsid w:val="00E976DD"/>
    <w:rsid w:val="00E976FE"/>
    <w:rsid w:val="00E97768"/>
    <w:rsid w:val="00E9778A"/>
    <w:rsid w:val="00E97796"/>
    <w:rsid w:val="00E977C5"/>
    <w:rsid w:val="00E977EB"/>
    <w:rsid w:val="00E977F2"/>
    <w:rsid w:val="00E9780E"/>
    <w:rsid w:val="00E97816"/>
    <w:rsid w:val="00E9781D"/>
    <w:rsid w:val="00E9783E"/>
    <w:rsid w:val="00E97867"/>
    <w:rsid w:val="00E97886"/>
    <w:rsid w:val="00E978B8"/>
    <w:rsid w:val="00E979AE"/>
    <w:rsid w:val="00E97A14"/>
    <w:rsid w:val="00E97A24"/>
    <w:rsid w:val="00E97A9F"/>
    <w:rsid w:val="00E97B65"/>
    <w:rsid w:val="00E97B98"/>
    <w:rsid w:val="00E97C09"/>
    <w:rsid w:val="00E97C19"/>
    <w:rsid w:val="00E97C4C"/>
    <w:rsid w:val="00E97D22"/>
    <w:rsid w:val="00E97D85"/>
    <w:rsid w:val="00E97D91"/>
    <w:rsid w:val="00E97E40"/>
    <w:rsid w:val="00E97E6F"/>
    <w:rsid w:val="00E97E98"/>
    <w:rsid w:val="00E97EA9"/>
    <w:rsid w:val="00E97EC0"/>
    <w:rsid w:val="00E97F5A"/>
    <w:rsid w:val="00E97F62"/>
    <w:rsid w:val="00E97FB5"/>
    <w:rsid w:val="00EA0045"/>
    <w:rsid w:val="00EA00AE"/>
    <w:rsid w:val="00EA0156"/>
    <w:rsid w:val="00EA015C"/>
    <w:rsid w:val="00EA01FC"/>
    <w:rsid w:val="00EA020B"/>
    <w:rsid w:val="00EA02E2"/>
    <w:rsid w:val="00EA02FF"/>
    <w:rsid w:val="00EA0319"/>
    <w:rsid w:val="00EA0347"/>
    <w:rsid w:val="00EA03DC"/>
    <w:rsid w:val="00EA0458"/>
    <w:rsid w:val="00EA045A"/>
    <w:rsid w:val="00EA045D"/>
    <w:rsid w:val="00EA0474"/>
    <w:rsid w:val="00EA047E"/>
    <w:rsid w:val="00EA04A1"/>
    <w:rsid w:val="00EA04A3"/>
    <w:rsid w:val="00EA04BA"/>
    <w:rsid w:val="00EA057B"/>
    <w:rsid w:val="00EA0625"/>
    <w:rsid w:val="00EA077E"/>
    <w:rsid w:val="00EA0797"/>
    <w:rsid w:val="00EA07B2"/>
    <w:rsid w:val="00EA07F3"/>
    <w:rsid w:val="00EA0836"/>
    <w:rsid w:val="00EA0841"/>
    <w:rsid w:val="00EA084E"/>
    <w:rsid w:val="00EA08DC"/>
    <w:rsid w:val="00EA090E"/>
    <w:rsid w:val="00EA093C"/>
    <w:rsid w:val="00EA0953"/>
    <w:rsid w:val="00EA0A42"/>
    <w:rsid w:val="00EA0ABF"/>
    <w:rsid w:val="00EA0AC3"/>
    <w:rsid w:val="00EA0AEF"/>
    <w:rsid w:val="00EA0B27"/>
    <w:rsid w:val="00EA0B6E"/>
    <w:rsid w:val="00EA0B71"/>
    <w:rsid w:val="00EA0B81"/>
    <w:rsid w:val="00EA0BD9"/>
    <w:rsid w:val="00EA0C1E"/>
    <w:rsid w:val="00EA0C29"/>
    <w:rsid w:val="00EA0C57"/>
    <w:rsid w:val="00EA0C6F"/>
    <w:rsid w:val="00EA0C81"/>
    <w:rsid w:val="00EA0CA6"/>
    <w:rsid w:val="00EA0CC2"/>
    <w:rsid w:val="00EA0D19"/>
    <w:rsid w:val="00EA0D25"/>
    <w:rsid w:val="00EA0D5F"/>
    <w:rsid w:val="00EA0D60"/>
    <w:rsid w:val="00EA0D85"/>
    <w:rsid w:val="00EA0E00"/>
    <w:rsid w:val="00EA0E93"/>
    <w:rsid w:val="00EA0ED1"/>
    <w:rsid w:val="00EA0EE2"/>
    <w:rsid w:val="00EA0F11"/>
    <w:rsid w:val="00EA0F34"/>
    <w:rsid w:val="00EA0FE9"/>
    <w:rsid w:val="00EA106C"/>
    <w:rsid w:val="00EA1093"/>
    <w:rsid w:val="00EA109B"/>
    <w:rsid w:val="00EA10C9"/>
    <w:rsid w:val="00EA10E0"/>
    <w:rsid w:val="00EA10F0"/>
    <w:rsid w:val="00EA1119"/>
    <w:rsid w:val="00EA1161"/>
    <w:rsid w:val="00EA11C6"/>
    <w:rsid w:val="00EA1250"/>
    <w:rsid w:val="00EA125E"/>
    <w:rsid w:val="00EA1260"/>
    <w:rsid w:val="00EA12C6"/>
    <w:rsid w:val="00EA12DB"/>
    <w:rsid w:val="00EA12E1"/>
    <w:rsid w:val="00EA1307"/>
    <w:rsid w:val="00EA137C"/>
    <w:rsid w:val="00EA13F8"/>
    <w:rsid w:val="00EA1480"/>
    <w:rsid w:val="00EA14FC"/>
    <w:rsid w:val="00EA1510"/>
    <w:rsid w:val="00EA1534"/>
    <w:rsid w:val="00EA1541"/>
    <w:rsid w:val="00EA155C"/>
    <w:rsid w:val="00EA15CB"/>
    <w:rsid w:val="00EA1650"/>
    <w:rsid w:val="00EA16B8"/>
    <w:rsid w:val="00EA16D1"/>
    <w:rsid w:val="00EA175C"/>
    <w:rsid w:val="00EA17EF"/>
    <w:rsid w:val="00EA1817"/>
    <w:rsid w:val="00EA182A"/>
    <w:rsid w:val="00EA18C9"/>
    <w:rsid w:val="00EA18E7"/>
    <w:rsid w:val="00EA190C"/>
    <w:rsid w:val="00EA1927"/>
    <w:rsid w:val="00EA1933"/>
    <w:rsid w:val="00EA197C"/>
    <w:rsid w:val="00EA1AA0"/>
    <w:rsid w:val="00EA1AA4"/>
    <w:rsid w:val="00EA1B02"/>
    <w:rsid w:val="00EA1B8F"/>
    <w:rsid w:val="00EA1BAA"/>
    <w:rsid w:val="00EA1BC3"/>
    <w:rsid w:val="00EA1C1D"/>
    <w:rsid w:val="00EA1C29"/>
    <w:rsid w:val="00EA1C2D"/>
    <w:rsid w:val="00EA1CAB"/>
    <w:rsid w:val="00EA1CF1"/>
    <w:rsid w:val="00EA1CF9"/>
    <w:rsid w:val="00EA1D12"/>
    <w:rsid w:val="00EA1E1C"/>
    <w:rsid w:val="00EA1E57"/>
    <w:rsid w:val="00EA1E69"/>
    <w:rsid w:val="00EA1E88"/>
    <w:rsid w:val="00EA1E8F"/>
    <w:rsid w:val="00EA1FB3"/>
    <w:rsid w:val="00EA1FF2"/>
    <w:rsid w:val="00EA1FF7"/>
    <w:rsid w:val="00EA200F"/>
    <w:rsid w:val="00EA2094"/>
    <w:rsid w:val="00EA20A8"/>
    <w:rsid w:val="00EA2115"/>
    <w:rsid w:val="00EA2125"/>
    <w:rsid w:val="00EA2194"/>
    <w:rsid w:val="00EA21EC"/>
    <w:rsid w:val="00EA2208"/>
    <w:rsid w:val="00EA223D"/>
    <w:rsid w:val="00EA2245"/>
    <w:rsid w:val="00EA2257"/>
    <w:rsid w:val="00EA2284"/>
    <w:rsid w:val="00EA228B"/>
    <w:rsid w:val="00EA229A"/>
    <w:rsid w:val="00EA2321"/>
    <w:rsid w:val="00EA23A8"/>
    <w:rsid w:val="00EA23AA"/>
    <w:rsid w:val="00EA23AC"/>
    <w:rsid w:val="00EA2406"/>
    <w:rsid w:val="00EA2434"/>
    <w:rsid w:val="00EA24E0"/>
    <w:rsid w:val="00EA24F8"/>
    <w:rsid w:val="00EA2533"/>
    <w:rsid w:val="00EA2649"/>
    <w:rsid w:val="00EA2717"/>
    <w:rsid w:val="00EA27ED"/>
    <w:rsid w:val="00EA2833"/>
    <w:rsid w:val="00EA28D6"/>
    <w:rsid w:val="00EA28D7"/>
    <w:rsid w:val="00EA28E7"/>
    <w:rsid w:val="00EA2907"/>
    <w:rsid w:val="00EA290C"/>
    <w:rsid w:val="00EA29B3"/>
    <w:rsid w:val="00EA29F4"/>
    <w:rsid w:val="00EA2A0C"/>
    <w:rsid w:val="00EA2A15"/>
    <w:rsid w:val="00EA2A17"/>
    <w:rsid w:val="00EA2A2C"/>
    <w:rsid w:val="00EA2A7C"/>
    <w:rsid w:val="00EA2AEF"/>
    <w:rsid w:val="00EA2B51"/>
    <w:rsid w:val="00EA2B9F"/>
    <w:rsid w:val="00EA2BAD"/>
    <w:rsid w:val="00EA2C03"/>
    <w:rsid w:val="00EA2C4B"/>
    <w:rsid w:val="00EA2C7C"/>
    <w:rsid w:val="00EA2C87"/>
    <w:rsid w:val="00EA2CEA"/>
    <w:rsid w:val="00EA2E48"/>
    <w:rsid w:val="00EA2EBF"/>
    <w:rsid w:val="00EA2F23"/>
    <w:rsid w:val="00EA2F27"/>
    <w:rsid w:val="00EA2F5E"/>
    <w:rsid w:val="00EA2FA6"/>
    <w:rsid w:val="00EA3036"/>
    <w:rsid w:val="00EA3064"/>
    <w:rsid w:val="00EA307E"/>
    <w:rsid w:val="00EA3099"/>
    <w:rsid w:val="00EA30A0"/>
    <w:rsid w:val="00EA30A6"/>
    <w:rsid w:val="00EA31AB"/>
    <w:rsid w:val="00EA31EE"/>
    <w:rsid w:val="00EA322D"/>
    <w:rsid w:val="00EA3264"/>
    <w:rsid w:val="00EA334F"/>
    <w:rsid w:val="00EA335A"/>
    <w:rsid w:val="00EA33B6"/>
    <w:rsid w:val="00EA33C7"/>
    <w:rsid w:val="00EA340E"/>
    <w:rsid w:val="00EA3480"/>
    <w:rsid w:val="00EA34CB"/>
    <w:rsid w:val="00EA34ED"/>
    <w:rsid w:val="00EA3524"/>
    <w:rsid w:val="00EA3548"/>
    <w:rsid w:val="00EA354D"/>
    <w:rsid w:val="00EA35A6"/>
    <w:rsid w:val="00EA36C6"/>
    <w:rsid w:val="00EA36F9"/>
    <w:rsid w:val="00EA373E"/>
    <w:rsid w:val="00EA37BE"/>
    <w:rsid w:val="00EA384A"/>
    <w:rsid w:val="00EA385D"/>
    <w:rsid w:val="00EA385E"/>
    <w:rsid w:val="00EA3860"/>
    <w:rsid w:val="00EA3865"/>
    <w:rsid w:val="00EA3883"/>
    <w:rsid w:val="00EA38CE"/>
    <w:rsid w:val="00EA390A"/>
    <w:rsid w:val="00EA396B"/>
    <w:rsid w:val="00EA398F"/>
    <w:rsid w:val="00EA39A0"/>
    <w:rsid w:val="00EA39A1"/>
    <w:rsid w:val="00EA39F3"/>
    <w:rsid w:val="00EA3AA1"/>
    <w:rsid w:val="00EA3AB5"/>
    <w:rsid w:val="00EA3B01"/>
    <w:rsid w:val="00EA3B39"/>
    <w:rsid w:val="00EA3C3E"/>
    <w:rsid w:val="00EA3C3F"/>
    <w:rsid w:val="00EA3C68"/>
    <w:rsid w:val="00EA3D01"/>
    <w:rsid w:val="00EA3D05"/>
    <w:rsid w:val="00EA3D50"/>
    <w:rsid w:val="00EA3D8C"/>
    <w:rsid w:val="00EA3DDC"/>
    <w:rsid w:val="00EA3DE2"/>
    <w:rsid w:val="00EA3DF6"/>
    <w:rsid w:val="00EA3E08"/>
    <w:rsid w:val="00EA3E2E"/>
    <w:rsid w:val="00EA3EAD"/>
    <w:rsid w:val="00EA3EBD"/>
    <w:rsid w:val="00EA3EC4"/>
    <w:rsid w:val="00EA3EED"/>
    <w:rsid w:val="00EA3F11"/>
    <w:rsid w:val="00EA3FE7"/>
    <w:rsid w:val="00EA407C"/>
    <w:rsid w:val="00EA410A"/>
    <w:rsid w:val="00EA4124"/>
    <w:rsid w:val="00EA4155"/>
    <w:rsid w:val="00EA419B"/>
    <w:rsid w:val="00EA41A8"/>
    <w:rsid w:val="00EA41F6"/>
    <w:rsid w:val="00EA4288"/>
    <w:rsid w:val="00EA4331"/>
    <w:rsid w:val="00EA4369"/>
    <w:rsid w:val="00EA43EF"/>
    <w:rsid w:val="00EA442A"/>
    <w:rsid w:val="00EA44A4"/>
    <w:rsid w:val="00EA44B1"/>
    <w:rsid w:val="00EA44CF"/>
    <w:rsid w:val="00EA45A7"/>
    <w:rsid w:val="00EA4639"/>
    <w:rsid w:val="00EA470F"/>
    <w:rsid w:val="00EA473B"/>
    <w:rsid w:val="00EA47CF"/>
    <w:rsid w:val="00EA47DF"/>
    <w:rsid w:val="00EA47FD"/>
    <w:rsid w:val="00EA4885"/>
    <w:rsid w:val="00EA493F"/>
    <w:rsid w:val="00EA494C"/>
    <w:rsid w:val="00EA498A"/>
    <w:rsid w:val="00EA4AE1"/>
    <w:rsid w:val="00EA4AE3"/>
    <w:rsid w:val="00EA4B06"/>
    <w:rsid w:val="00EA4B5F"/>
    <w:rsid w:val="00EA4BC8"/>
    <w:rsid w:val="00EA4BDB"/>
    <w:rsid w:val="00EA4BF3"/>
    <w:rsid w:val="00EA4C06"/>
    <w:rsid w:val="00EA4C11"/>
    <w:rsid w:val="00EA4C3C"/>
    <w:rsid w:val="00EA4C42"/>
    <w:rsid w:val="00EA4C95"/>
    <w:rsid w:val="00EA4D1A"/>
    <w:rsid w:val="00EA4D2A"/>
    <w:rsid w:val="00EA4DAD"/>
    <w:rsid w:val="00EA4DC6"/>
    <w:rsid w:val="00EA4E11"/>
    <w:rsid w:val="00EA4E34"/>
    <w:rsid w:val="00EA4E45"/>
    <w:rsid w:val="00EA4E65"/>
    <w:rsid w:val="00EA4E98"/>
    <w:rsid w:val="00EA4E9C"/>
    <w:rsid w:val="00EA4EA0"/>
    <w:rsid w:val="00EA4F4B"/>
    <w:rsid w:val="00EA4F82"/>
    <w:rsid w:val="00EA4FB7"/>
    <w:rsid w:val="00EA5014"/>
    <w:rsid w:val="00EA5076"/>
    <w:rsid w:val="00EA50DC"/>
    <w:rsid w:val="00EA50E2"/>
    <w:rsid w:val="00EA51D5"/>
    <w:rsid w:val="00EA51DC"/>
    <w:rsid w:val="00EA520C"/>
    <w:rsid w:val="00EA5276"/>
    <w:rsid w:val="00EA527B"/>
    <w:rsid w:val="00EA534C"/>
    <w:rsid w:val="00EA5439"/>
    <w:rsid w:val="00EA54AC"/>
    <w:rsid w:val="00EA54F7"/>
    <w:rsid w:val="00EA5519"/>
    <w:rsid w:val="00EA556D"/>
    <w:rsid w:val="00EA5594"/>
    <w:rsid w:val="00EA5609"/>
    <w:rsid w:val="00EA560F"/>
    <w:rsid w:val="00EA5631"/>
    <w:rsid w:val="00EA5691"/>
    <w:rsid w:val="00EA5721"/>
    <w:rsid w:val="00EA5770"/>
    <w:rsid w:val="00EA578F"/>
    <w:rsid w:val="00EA579C"/>
    <w:rsid w:val="00EA57B5"/>
    <w:rsid w:val="00EA5821"/>
    <w:rsid w:val="00EA589B"/>
    <w:rsid w:val="00EA593D"/>
    <w:rsid w:val="00EA5963"/>
    <w:rsid w:val="00EA59CC"/>
    <w:rsid w:val="00EA59FA"/>
    <w:rsid w:val="00EA5A06"/>
    <w:rsid w:val="00EA5A6F"/>
    <w:rsid w:val="00EA5AA0"/>
    <w:rsid w:val="00EA5B15"/>
    <w:rsid w:val="00EA5B2D"/>
    <w:rsid w:val="00EA5B56"/>
    <w:rsid w:val="00EA5C1C"/>
    <w:rsid w:val="00EA5C89"/>
    <w:rsid w:val="00EA5CDC"/>
    <w:rsid w:val="00EA5D08"/>
    <w:rsid w:val="00EA5D14"/>
    <w:rsid w:val="00EA5D83"/>
    <w:rsid w:val="00EA5DCE"/>
    <w:rsid w:val="00EA5DD3"/>
    <w:rsid w:val="00EA5DFF"/>
    <w:rsid w:val="00EA5E57"/>
    <w:rsid w:val="00EA5E81"/>
    <w:rsid w:val="00EA5F67"/>
    <w:rsid w:val="00EA5FD6"/>
    <w:rsid w:val="00EA5FFB"/>
    <w:rsid w:val="00EA603A"/>
    <w:rsid w:val="00EA607C"/>
    <w:rsid w:val="00EA60AD"/>
    <w:rsid w:val="00EA60CC"/>
    <w:rsid w:val="00EA60E2"/>
    <w:rsid w:val="00EA60EE"/>
    <w:rsid w:val="00EA6100"/>
    <w:rsid w:val="00EA61AC"/>
    <w:rsid w:val="00EA6273"/>
    <w:rsid w:val="00EA629B"/>
    <w:rsid w:val="00EA62ED"/>
    <w:rsid w:val="00EA6342"/>
    <w:rsid w:val="00EA6383"/>
    <w:rsid w:val="00EA63C3"/>
    <w:rsid w:val="00EA63D3"/>
    <w:rsid w:val="00EA63E3"/>
    <w:rsid w:val="00EA6448"/>
    <w:rsid w:val="00EA645E"/>
    <w:rsid w:val="00EA6484"/>
    <w:rsid w:val="00EA64A9"/>
    <w:rsid w:val="00EA64D7"/>
    <w:rsid w:val="00EA64E4"/>
    <w:rsid w:val="00EA64EA"/>
    <w:rsid w:val="00EA652B"/>
    <w:rsid w:val="00EA65B9"/>
    <w:rsid w:val="00EA660B"/>
    <w:rsid w:val="00EA665D"/>
    <w:rsid w:val="00EA66B3"/>
    <w:rsid w:val="00EA66FA"/>
    <w:rsid w:val="00EA6747"/>
    <w:rsid w:val="00EA67B9"/>
    <w:rsid w:val="00EA67E1"/>
    <w:rsid w:val="00EA67F5"/>
    <w:rsid w:val="00EA682F"/>
    <w:rsid w:val="00EA6836"/>
    <w:rsid w:val="00EA69C5"/>
    <w:rsid w:val="00EA6A19"/>
    <w:rsid w:val="00EA6A1E"/>
    <w:rsid w:val="00EA6A20"/>
    <w:rsid w:val="00EA6A3B"/>
    <w:rsid w:val="00EA6A98"/>
    <w:rsid w:val="00EA6AB4"/>
    <w:rsid w:val="00EA6AD8"/>
    <w:rsid w:val="00EA6B0A"/>
    <w:rsid w:val="00EA6B0F"/>
    <w:rsid w:val="00EA6B22"/>
    <w:rsid w:val="00EA6B30"/>
    <w:rsid w:val="00EA6B9E"/>
    <w:rsid w:val="00EA6BD9"/>
    <w:rsid w:val="00EA6BFA"/>
    <w:rsid w:val="00EA6C4D"/>
    <w:rsid w:val="00EA6C84"/>
    <w:rsid w:val="00EA6C9C"/>
    <w:rsid w:val="00EA6CE1"/>
    <w:rsid w:val="00EA6CEC"/>
    <w:rsid w:val="00EA6D78"/>
    <w:rsid w:val="00EA6DB5"/>
    <w:rsid w:val="00EA6E36"/>
    <w:rsid w:val="00EA6EA7"/>
    <w:rsid w:val="00EA6EB2"/>
    <w:rsid w:val="00EA6F1C"/>
    <w:rsid w:val="00EA6F94"/>
    <w:rsid w:val="00EA6FCB"/>
    <w:rsid w:val="00EA7016"/>
    <w:rsid w:val="00EA701A"/>
    <w:rsid w:val="00EA7155"/>
    <w:rsid w:val="00EA716B"/>
    <w:rsid w:val="00EA7187"/>
    <w:rsid w:val="00EA719F"/>
    <w:rsid w:val="00EA71C1"/>
    <w:rsid w:val="00EA7231"/>
    <w:rsid w:val="00EA72B2"/>
    <w:rsid w:val="00EA7304"/>
    <w:rsid w:val="00EA7365"/>
    <w:rsid w:val="00EA73DD"/>
    <w:rsid w:val="00EA73E5"/>
    <w:rsid w:val="00EA740D"/>
    <w:rsid w:val="00EA7429"/>
    <w:rsid w:val="00EA7477"/>
    <w:rsid w:val="00EA748D"/>
    <w:rsid w:val="00EA74E9"/>
    <w:rsid w:val="00EA7506"/>
    <w:rsid w:val="00EA7540"/>
    <w:rsid w:val="00EA7559"/>
    <w:rsid w:val="00EA75A8"/>
    <w:rsid w:val="00EA75C0"/>
    <w:rsid w:val="00EA75F4"/>
    <w:rsid w:val="00EA764E"/>
    <w:rsid w:val="00EA76C8"/>
    <w:rsid w:val="00EA76F5"/>
    <w:rsid w:val="00EA7729"/>
    <w:rsid w:val="00EA772E"/>
    <w:rsid w:val="00EA77AD"/>
    <w:rsid w:val="00EA77D8"/>
    <w:rsid w:val="00EA77FC"/>
    <w:rsid w:val="00EA780E"/>
    <w:rsid w:val="00EA7829"/>
    <w:rsid w:val="00EA786F"/>
    <w:rsid w:val="00EA78FA"/>
    <w:rsid w:val="00EA7982"/>
    <w:rsid w:val="00EA799A"/>
    <w:rsid w:val="00EA7A6F"/>
    <w:rsid w:val="00EA7A74"/>
    <w:rsid w:val="00EA7A9E"/>
    <w:rsid w:val="00EA7B26"/>
    <w:rsid w:val="00EA7B76"/>
    <w:rsid w:val="00EA7B82"/>
    <w:rsid w:val="00EA7BA6"/>
    <w:rsid w:val="00EA7BD3"/>
    <w:rsid w:val="00EA7C2B"/>
    <w:rsid w:val="00EA7C3D"/>
    <w:rsid w:val="00EA7C95"/>
    <w:rsid w:val="00EA7CB0"/>
    <w:rsid w:val="00EA7CE1"/>
    <w:rsid w:val="00EA7CE5"/>
    <w:rsid w:val="00EA7D4E"/>
    <w:rsid w:val="00EA7D6E"/>
    <w:rsid w:val="00EA7DB6"/>
    <w:rsid w:val="00EA7DE7"/>
    <w:rsid w:val="00EA7F39"/>
    <w:rsid w:val="00EA7F3B"/>
    <w:rsid w:val="00EA7F6E"/>
    <w:rsid w:val="00EA7F9F"/>
    <w:rsid w:val="00EA7FD6"/>
    <w:rsid w:val="00EB0005"/>
    <w:rsid w:val="00EB0044"/>
    <w:rsid w:val="00EB009D"/>
    <w:rsid w:val="00EB00BA"/>
    <w:rsid w:val="00EB00D8"/>
    <w:rsid w:val="00EB015A"/>
    <w:rsid w:val="00EB0168"/>
    <w:rsid w:val="00EB01CF"/>
    <w:rsid w:val="00EB025C"/>
    <w:rsid w:val="00EB02BB"/>
    <w:rsid w:val="00EB02F5"/>
    <w:rsid w:val="00EB03B3"/>
    <w:rsid w:val="00EB03E7"/>
    <w:rsid w:val="00EB040C"/>
    <w:rsid w:val="00EB0435"/>
    <w:rsid w:val="00EB04E1"/>
    <w:rsid w:val="00EB0538"/>
    <w:rsid w:val="00EB05D2"/>
    <w:rsid w:val="00EB0605"/>
    <w:rsid w:val="00EB0636"/>
    <w:rsid w:val="00EB0643"/>
    <w:rsid w:val="00EB0647"/>
    <w:rsid w:val="00EB0670"/>
    <w:rsid w:val="00EB06B8"/>
    <w:rsid w:val="00EB075F"/>
    <w:rsid w:val="00EB084A"/>
    <w:rsid w:val="00EB0886"/>
    <w:rsid w:val="00EB0899"/>
    <w:rsid w:val="00EB08E8"/>
    <w:rsid w:val="00EB091A"/>
    <w:rsid w:val="00EB0922"/>
    <w:rsid w:val="00EB0925"/>
    <w:rsid w:val="00EB0939"/>
    <w:rsid w:val="00EB09A0"/>
    <w:rsid w:val="00EB09A3"/>
    <w:rsid w:val="00EB09B1"/>
    <w:rsid w:val="00EB0B51"/>
    <w:rsid w:val="00EB0B82"/>
    <w:rsid w:val="00EB0B94"/>
    <w:rsid w:val="00EB0BB9"/>
    <w:rsid w:val="00EB0C14"/>
    <w:rsid w:val="00EB0C22"/>
    <w:rsid w:val="00EB0C75"/>
    <w:rsid w:val="00EB0CA9"/>
    <w:rsid w:val="00EB0CFA"/>
    <w:rsid w:val="00EB0D3D"/>
    <w:rsid w:val="00EB0D49"/>
    <w:rsid w:val="00EB0D8D"/>
    <w:rsid w:val="00EB0DCE"/>
    <w:rsid w:val="00EB0E80"/>
    <w:rsid w:val="00EB0EFC"/>
    <w:rsid w:val="00EB0F43"/>
    <w:rsid w:val="00EB0FD3"/>
    <w:rsid w:val="00EB1038"/>
    <w:rsid w:val="00EB1049"/>
    <w:rsid w:val="00EB1098"/>
    <w:rsid w:val="00EB10C0"/>
    <w:rsid w:val="00EB1148"/>
    <w:rsid w:val="00EB1171"/>
    <w:rsid w:val="00EB1185"/>
    <w:rsid w:val="00EB11A4"/>
    <w:rsid w:val="00EB11B4"/>
    <w:rsid w:val="00EB11B6"/>
    <w:rsid w:val="00EB12A3"/>
    <w:rsid w:val="00EB12E1"/>
    <w:rsid w:val="00EB12E8"/>
    <w:rsid w:val="00EB12E9"/>
    <w:rsid w:val="00EB12EE"/>
    <w:rsid w:val="00EB1316"/>
    <w:rsid w:val="00EB13B5"/>
    <w:rsid w:val="00EB13BD"/>
    <w:rsid w:val="00EB13C6"/>
    <w:rsid w:val="00EB1505"/>
    <w:rsid w:val="00EB153D"/>
    <w:rsid w:val="00EB1572"/>
    <w:rsid w:val="00EB1608"/>
    <w:rsid w:val="00EB160C"/>
    <w:rsid w:val="00EB162F"/>
    <w:rsid w:val="00EB1646"/>
    <w:rsid w:val="00EB16A9"/>
    <w:rsid w:val="00EB16CE"/>
    <w:rsid w:val="00EB170A"/>
    <w:rsid w:val="00EB1720"/>
    <w:rsid w:val="00EB17A1"/>
    <w:rsid w:val="00EB17AF"/>
    <w:rsid w:val="00EB1820"/>
    <w:rsid w:val="00EB183D"/>
    <w:rsid w:val="00EB1873"/>
    <w:rsid w:val="00EB1892"/>
    <w:rsid w:val="00EB19AF"/>
    <w:rsid w:val="00EB1A0A"/>
    <w:rsid w:val="00EB1A78"/>
    <w:rsid w:val="00EB1A97"/>
    <w:rsid w:val="00EB1ADA"/>
    <w:rsid w:val="00EB1BC8"/>
    <w:rsid w:val="00EB1C1A"/>
    <w:rsid w:val="00EB1C62"/>
    <w:rsid w:val="00EB1C97"/>
    <w:rsid w:val="00EB1D20"/>
    <w:rsid w:val="00EB1D21"/>
    <w:rsid w:val="00EB1D57"/>
    <w:rsid w:val="00EB1D7C"/>
    <w:rsid w:val="00EB1DB1"/>
    <w:rsid w:val="00EB1DBA"/>
    <w:rsid w:val="00EB1E62"/>
    <w:rsid w:val="00EB1EBE"/>
    <w:rsid w:val="00EB1F07"/>
    <w:rsid w:val="00EB1F59"/>
    <w:rsid w:val="00EB1F65"/>
    <w:rsid w:val="00EB1FB6"/>
    <w:rsid w:val="00EB1FBE"/>
    <w:rsid w:val="00EB1FC2"/>
    <w:rsid w:val="00EB203F"/>
    <w:rsid w:val="00EB2137"/>
    <w:rsid w:val="00EB21CD"/>
    <w:rsid w:val="00EB21D1"/>
    <w:rsid w:val="00EB21E1"/>
    <w:rsid w:val="00EB21EF"/>
    <w:rsid w:val="00EB21FF"/>
    <w:rsid w:val="00EB2248"/>
    <w:rsid w:val="00EB2253"/>
    <w:rsid w:val="00EB2436"/>
    <w:rsid w:val="00EB2501"/>
    <w:rsid w:val="00EB2542"/>
    <w:rsid w:val="00EB2547"/>
    <w:rsid w:val="00EB25E9"/>
    <w:rsid w:val="00EB2615"/>
    <w:rsid w:val="00EB2617"/>
    <w:rsid w:val="00EB2644"/>
    <w:rsid w:val="00EB26D6"/>
    <w:rsid w:val="00EB2716"/>
    <w:rsid w:val="00EB2721"/>
    <w:rsid w:val="00EB2799"/>
    <w:rsid w:val="00EB27F1"/>
    <w:rsid w:val="00EB2808"/>
    <w:rsid w:val="00EB2809"/>
    <w:rsid w:val="00EB2815"/>
    <w:rsid w:val="00EB2849"/>
    <w:rsid w:val="00EB28BB"/>
    <w:rsid w:val="00EB2948"/>
    <w:rsid w:val="00EB2974"/>
    <w:rsid w:val="00EB29D6"/>
    <w:rsid w:val="00EB29DD"/>
    <w:rsid w:val="00EB29E0"/>
    <w:rsid w:val="00EB2A05"/>
    <w:rsid w:val="00EB2A4C"/>
    <w:rsid w:val="00EB2A6E"/>
    <w:rsid w:val="00EB2A9D"/>
    <w:rsid w:val="00EB2BA4"/>
    <w:rsid w:val="00EB2C68"/>
    <w:rsid w:val="00EB2C7C"/>
    <w:rsid w:val="00EB2C98"/>
    <w:rsid w:val="00EB2CDE"/>
    <w:rsid w:val="00EB2CF3"/>
    <w:rsid w:val="00EB2DA7"/>
    <w:rsid w:val="00EB2DFD"/>
    <w:rsid w:val="00EB2E40"/>
    <w:rsid w:val="00EB2E50"/>
    <w:rsid w:val="00EB2E5D"/>
    <w:rsid w:val="00EB2E83"/>
    <w:rsid w:val="00EB2F13"/>
    <w:rsid w:val="00EB2F9F"/>
    <w:rsid w:val="00EB2FC3"/>
    <w:rsid w:val="00EB2FD5"/>
    <w:rsid w:val="00EB305E"/>
    <w:rsid w:val="00EB3060"/>
    <w:rsid w:val="00EB306C"/>
    <w:rsid w:val="00EB309D"/>
    <w:rsid w:val="00EB30B4"/>
    <w:rsid w:val="00EB30C8"/>
    <w:rsid w:val="00EB3107"/>
    <w:rsid w:val="00EB3136"/>
    <w:rsid w:val="00EB316F"/>
    <w:rsid w:val="00EB3175"/>
    <w:rsid w:val="00EB3210"/>
    <w:rsid w:val="00EB3219"/>
    <w:rsid w:val="00EB3220"/>
    <w:rsid w:val="00EB32B5"/>
    <w:rsid w:val="00EB32CA"/>
    <w:rsid w:val="00EB3431"/>
    <w:rsid w:val="00EB356D"/>
    <w:rsid w:val="00EB3570"/>
    <w:rsid w:val="00EB3620"/>
    <w:rsid w:val="00EB36BB"/>
    <w:rsid w:val="00EB36EA"/>
    <w:rsid w:val="00EB3887"/>
    <w:rsid w:val="00EB3895"/>
    <w:rsid w:val="00EB38C2"/>
    <w:rsid w:val="00EB38EB"/>
    <w:rsid w:val="00EB38F4"/>
    <w:rsid w:val="00EB3920"/>
    <w:rsid w:val="00EB3979"/>
    <w:rsid w:val="00EB39A4"/>
    <w:rsid w:val="00EB39AF"/>
    <w:rsid w:val="00EB39EC"/>
    <w:rsid w:val="00EB3A07"/>
    <w:rsid w:val="00EB3A23"/>
    <w:rsid w:val="00EB3A4F"/>
    <w:rsid w:val="00EB3A57"/>
    <w:rsid w:val="00EB3AE7"/>
    <w:rsid w:val="00EB3B51"/>
    <w:rsid w:val="00EB3C18"/>
    <w:rsid w:val="00EB3C5D"/>
    <w:rsid w:val="00EB3D11"/>
    <w:rsid w:val="00EB3D48"/>
    <w:rsid w:val="00EB3D58"/>
    <w:rsid w:val="00EB3D6C"/>
    <w:rsid w:val="00EB3DBF"/>
    <w:rsid w:val="00EB3DD1"/>
    <w:rsid w:val="00EB3DE2"/>
    <w:rsid w:val="00EB3ECE"/>
    <w:rsid w:val="00EB3EEF"/>
    <w:rsid w:val="00EB3F3D"/>
    <w:rsid w:val="00EB3F4C"/>
    <w:rsid w:val="00EB3F6C"/>
    <w:rsid w:val="00EB4048"/>
    <w:rsid w:val="00EB4088"/>
    <w:rsid w:val="00EB4095"/>
    <w:rsid w:val="00EB40B4"/>
    <w:rsid w:val="00EB40C8"/>
    <w:rsid w:val="00EB412C"/>
    <w:rsid w:val="00EB4131"/>
    <w:rsid w:val="00EB41C2"/>
    <w:rsid w:val="00EB42FD"/>
    <w:rsid w:val="00EB4349"/>
    <w:rsid w:val="00EB434A"/>
    <w:rsid w:val="00EB436A"/>
    <w:rsid w:val="00EB437F"/>
    <w:rsid w:val="00EB444B"/>
    <w:rsid w:val="00EB44EA"/>
    <w:rsid w:val="00EB44FE"/>
    <w:rsid w:val="00EB4587"/>
    <w:rsid w:val="00EB46FB"/>
    <w:rsid w:val="00EB4701"/>
    <w:rsid w:val="00EB4740"/>
    <w:rsid w:val="00EB4746"/>
    <w:rsid w:val="00EB4773"/>
    <w:rsid w:val="00EB4797"/>
    <w:rsid w:val="00EB4799"/>
    <w:rsid w:val="00EB47AA"/>
    <w:rsid w:val="00EB47B2"/>
    <w:rsid w:val="00EB492B"/>
    <w:rsid w:val="00EB498B"/>
    <w:rsid w:val="00EB4A8C"/>
    <w:rsid w:val="00EB4ABA"/>
    <w:rsid w:val="00EB4AEF"/>
    <w:rsid w:val="00EB4B0B"/>
    <w:rsid w:val="00EB4BB9"/>
    <w:rsid w:val="00EB4C72"/>
    <w:rsid w:val="00EB4CDE"/>
    <w:rsid w:val="00EB4D1D"/>
    <w:rsid w:val="00EB4DF4"/>
    <w:rsid w:val="00EB4E99"/>
    <w:rsid w:val="00EB4F05"/>
    <w:rsid w:val="00EB4FEF"/>
    <w:rsid w:val="00EB502A"/>
    <w:rsid w:val="00EB5058"/>
    <w:rsid w:val="00EB5086"/>
    <w:rsid w:val="00EB5097"/>
    <w:rsid w:val="00EB5161"/>
    <w:rsid w:val="00EB5163"/>
    <w:rsid w:val="00EB5216"/>
    <w:rsid w:val="00EB524C"/>
    <w:rsid w:val="00EB525B"/>
    <w:rsid w:val="00EB52F1"/>
    <w:rsid w:val="00EB537A"/>
    <w:rsid w:val="00EB53AD"/>
    <w:rsid w:val="00EB542C"/>
    <w:rsid w:val="00EB5458"/>
    <w:rsid w:val="00EB5467"/>
    <w:rsid w:val="00EB5480"/>
    <w:rsid w:val="00EB54EC"/>
    <w:rsid w:val="00EB5568"/>
    <w:rsid w:val="00EB55B1"/>
    <w:rsid w:val="00EB55B5"/>
    <w:rsid w:val="00EB55E0"/>
    <w:rsid w:val="00EB5605"/>
    <w:rsid w:val="00EB5636"/>
    <w:rsid w:val="00EB564D"/>
    <w:rsid w:val="00EB5693"/>
    <w:rsid w:val="00EB5707"/>
    <w:rsid w:val="00EB5746"/>
    <w:rsid w:val="00EB574D"/>
    <w:rsid w:val="00EB57A5"/>
    <w:rsid w:val="00EB58AF"/>
    <w:rsid w:val="00EB5909"/>
    <w:rsid w:val="00EB5911"/>
    <w:rsid w:val="00EB591C"/>
    <w:rsid w:val="00EB5943"/>
    <w:rsid w:val="00EB598F"/>
    <w:rsid w:val="00EB59A9"/>
    <w:rsid w:val="00EB59CD"/>
    <w:rsid w:val="00EB5A13"/>
    <w:rsid w:val="00EB5A1B"/>
    <w:rsid w:val="00EB5A3F"/>
    <w:rsid w:val="00EB5A45"/>
    <w:rsid w:val="00EB5A48"/>
    <w:rsid w:val="00EB5A5E"/>
    <w:rsid w:val="00EB5AC7"/>
    <w:rsid w:val="00EB5ACC"/>
    <w:rsid w:val="00EB5AD5"/>
    <w:rsid w:val="00EB5AE5"/>
    <w:rsid w:val="00EB5AEB"/>
    <w:rsid w:val="00EB5B41"/>
    <w:rsid w:val="00EB5B85"/>
    <w:rsid w:val="00EB5B9B"/>
    <w:rsid w:val="00EB5C64"/>
    <w:rsid w:val="00EB5CD2"/>
    <w:rsid w:val="00EB5D2E"/>
    <w:rsid w:val="00EB5D44"/>
    <w:rsid w:val="00EB5D8E"/>
    <w:rsid w:val="00EB5DA1"/>
    <w:rsid w:val="00EB5DB0"/>
    <w:rsid w:val="00EB5DF9"/>
    <w:rsid w:val="00EB5E3C"/>
    <w:rsid w:val="00EB5E5F"/>
    <w:rsid w:val="00EB5EA1"/>
    <w:rsid w:val="00EB5EF9"/>
    <w:rsid w:val="00EB5F18"/>
    <w:rsid w:val="00EB5F2C"/>
    <w:rsid w:val="00EB5FCB"/>
    <w:rsid w:val="00EB6045"/>
    <w:rsid w:val="00EB6074"/>
    <w:rsid w:val="00EB608C"/>
    <w:rsid w:val="00EB608F"/>
    <w:rsid w:val="00EB60A9"/>
    <w:rsid w:val="00EB60B6"/>
    <w:rsid w:val="00EB60D9"/>
    <w:rsid w:val="00EB60DD"/>
    <w:rsid w:val="00EB60FB"/>
    <w:rsid w:val="00EB6131"/>
    <w:rsid w:val="00EB615F"/>
    <w:rsid w:val="00EB618C"/>
    <w:rsid w:val="00EB61A8"/>
    <w:rsid w:val="00EB61D4"/>
    <w:rsid w:val="00EB61E4"/>
    <w:rsid w:val="00EB62C0"/>
    <w:rsid w:val="00EB643E"/>
    <w:rsid w:val="00EB6465"/>
    <w:rsid w:val="00EB6470"/>
    <w:rsid w:val="00EB656B"/>
    <w:rsid w:val="00EB6576"/>
    <w:rsid w:val="00EB65BA"/>
    <w:rsid w:val="00EB65DC"/>
    <w:rsid w:val="00EB6670"/>
    <w:rsid w:val="00EB6677"/>
    <w:rsid w:val="00EB6689"/>
    <w:rsid w:val="00EB6697"/>
    <w:rsid w:val="00EB673C"/>
    <w:rsid w:val="00EB674B"/>
    <w:rsid w:val="00EB675D"/>
    <w:rsid w:val="00EB6768"/>
    <w:rsid w:val="00EB6787"/>
    <w:rsid w:val="00EB67CD"/>
    <w:rsid w:val="00EB6841"/>
    <w:rsid w:val="00EB6878"/>
    <w:rsid w:val="00EB68D2"/>
    <w:rsid w:val="00EB68F5"/>
    <w:rsid w:val="00EB6944"/>
    <w:rsid w:val="00EB6955"/>
    <w:rsid w:val="00EB6A69"/>
    <w:rsid w:val="00EB6A88"/>
    <w:rsid w:val="00EB6ACE"/>
    <w:rsid w:val="00EB6AE6"/>
    <w:rsid w:val="00EB6AEC"/>
    <w:rsid w:val="00EB6B2B"/>
    <w:rsid w:val="00EB6B37"/>
    <w:rsid w:val="00EB6B4C"/>
    <w:rsid w:val="00EB6B8D"/>
    <w:rsid w:val="00EB6B9F"/>
    <w:rsid w:val="00EB6BA8"/>
    <w:rsid w:val="00EB6BAB"/>
    <w:rsid w:val="00EB6BCA"/>
    <w:rsid w:val="00EB6BD3"/>
    <w:rsid w:val="00EB6CDB"/>
    <w:rsid w:val="00EB6D04"/>
    <w:rsid w:val="00EB6D43"/>
    <w:rsid w:val="00EB6D5D"/>
    <w:rsid w:val="00EB6D73"/>
    <w:rsid w:val="00EB6D77"/>
    <w:rsid w:val="00EB6E40"/>
    <w:rsid w:val="00EB6E56"/>
    <w:rsid w:val="00EB6EC9"/>
    <w:rsid w:val="00EB6F55"/>
    <w:rsid w:val="00EB6FB1"/>
    <w:rsid w:val="00EB7098"/>
    <w:rsid w:val="00EB709F"/>
    <w:rsid w:val="00EB70D6"/>
    <w:rsid w:val="00EB70DC"/>
    <w:rsid w:val="00EB70E2"/>
    <w:rsid w:val="00EB7117"/>
    <w:rsid w:val="00EB7158"/>
    <w:rsid w:val="00EB717F"/>
    <w:rsid w:val="00EB7212"/>
    <w:rsid w:val="00EB7219"/>
    <w:rsid w:val="00EB7248"/>
    <w:rsid w:val="00EB7264"/>
    <w:rsid w:val="00EB7341"/>
    <w:rsid w:val="00EB7344"/>
    <w:rsid w:val="00EB7345"/>
    <w:rsid w:val="00EB7352"/>
    <w:rsid w:val="00EB7364"/>
    <w:rsid w:val="00EB736D"/>
    <w:rsid w:val="00EB73C7"/>
    <w:rsid w:val="00EB740E"/>
    <w:rsid w:val="00EB7420"/>
    <w:rsid w:val="00EB7431"/>
    <w:rsid w:val="00EB745B"/>
    <w:rsid w:val="00EB7470"/>
    <w:rsid w:val="00EB74D9"/>
    <w:rsid w:val="00EB7521"/>
    <w:rsid w:val="00EB753C"/>
    <w:rsid w:val="00EB7594"/>
    <w:rsid w:val="00EB7640"/>
    <w:rsid w:val="00EB767F"/>
    <w:rsid w:val="00EB76EC"/>
    <w:rsid w:val="00EB76F7"/>
    <w:rsid w:val="00EB773D"/>
    <w:rsid w:val="00EB7773"/>
    <w:rsid w:val="00EB780D"/>
    <w:rsid w:val="00EB7814"/>
    <w:rsid w:val="00EB7845"/>
    <w:rsid w:val="00EB7888"/>
    <w:rsid w:val="00EB788E"/>
    <w:rsid w:val="00EB78F2"/>
    <w:rsid w:val="00EB7931"/>
    <w:rsid w:val="00EB7954"/>
    <w:rsid w:val="00EB7968"/>
    <w:rsid w:val="00EB796B"/>
    <w:rsid w:val="00EB797C"/>
    <w:rsid w:val="00EB7987"/>
    <w:rsid w:val="00EB7A37"/>
    <w:rsid w:val="00EB7A6B"/>
    <w:rsid w:val="00EB7AC0"/>
    <w:rsid w:val="00EB7AE2"/>
    <w:rsid w:val="00EB7AEA"/>
    <w:rsid w:val="00EB7B67"/>
    <w:rsid w:val="00EB7C10"/>
    <w:rsid w:val="00EB7C1C"/>
    <w:rsid w:val="00EB7C7B"/>
    <w:rsid w:val="00EB7D6E"/>
    <w:rsid w:val="00EB7DAF"/>
    <w:rsid w:val="00EB7DE2"/>
    <w:rsid w:val="00EB7DF3"/>
    <w:rsid w:val="00EB7E49"/>
    <w:rsid w:val="00EB7E8F"/>
    <w:rsid w:val="00EB7F0F"/>
    <w:rsid w:val="00EB7F11"/>
    <w:rsid w:val="00EB7F49"/>
    <w:rsid w:val="00EC002B"/>
    <w:rsid w:val="00EC0065"/>
    <w:rsid w:val="00EC007D"/>
    <w:rsid w:val="00EC00EE"/>
    <w:rsid w:val="00EC01A8"/>
    <w:rsid w:val="00EC020C"/>
    <w:rsid w:val="00EC0214"/>
    <w:rsid w:val="00EC0215"/>
    <w:rsid w:val="00EC0369"/>
    <w:rsid w:val="00EC03CB"/>
    <w:rsid w:val="00EC0425"/>
    <w:rsid w:val="00EC0437"/>
    <w:rsid w:val="00EC04AC"/>
    <w:rsid w:val="00EC04CB"/>
    <w:rsid w:val="00EC05D4"/>
    <w:rsid w:val="00EC0676"/>
    <w:rsid w:val="00EC069B"/>
    <w:rsid w:val="00EC06F8"/>
    <w:rsid w:val="00EC077A"/>
    <w:rsid w:val="00EC07DD"/>
    <w:rsid w:val="00EC07F2"/>
    <w:rsid w:val="00EC08BC"/>
    <w:rsid w:val="00EC08E8"/>
    <w:rsid w:val="00EC08EC"/>
    <w:rsid w:val="00EC08F4"/>
    <w:rsid w:val="00EC0925"/>
    <w:rsid w:val="00EC0935"/>
    <w:rsid w:val="00EC0940"/>
    <w:rsid w:val="00EC0A5F"/>
    <w:rsid w:val="00EC0A78"/>
    <w:rsid w:val="00EC0A8A"/>
    <w:rsid w:val="00EC0AAD"/>
    <w:rsid w:val="00EC0AD9"/>
    <w:rsid w:val="00EC0B70"/>
    <w:rsid w:val="00EC0C38"/>
    <w:rsid w:val="00EC0C3C"/>
    <w:rsid w:val="00EC0C9F"/>
    <w:rsid w:val="00EC0CAC"/>
    <w:rsid w:val="00EC0CB7"/>
    <w:rsid w:val="00EC0CCC"/>
    <w:rsid w:val="00EC0D6A"/>
    <w:rsid w:val="00EC0D78"/>
    <w:rsid w:val="00EC0D80"/>
    <w:rsid w:val="00EC0E62"/>
    <w:rsid w:val="00EC0EA6"/>
    <w:rsid w:val="00EC0EB0"/>
    <w:rsid w:val="00EC0EF8"/>
    <w:rsid w:val="00EC0F96"/>
    <w:rsid w:val="00EC0F9E"/>
    <w:rsid w:val="00EC100C"/>
    <w:rsid w:val="00EC102E"/>
    <w:rsid w:val="00EC1061"/>
    <w:rsid w:val="00EC10C2"/>
    <w:rsid w:val="00EC1107"/>
    <w:rsid w:val="00EC1129"/>
    <w:rsid w:val="00EC1133"/>
    <w:rsid w:val="00EC1191"/>
    <w:rsid w:val="00EC11D7"/>
    <w:rsid w:val="00EC1212"/>
    <w:rsid w:val="00EC1256"/>
    <w:rsid w:val="00EC1276"/>
    <w:rsid w:val="00EC128E"/>
    <w:rsid w:val="00EC1291"/>
    <w:rsid w:val="00EC12D6"/>
    <w:rsid w:val="00EC1366"/>
    <w:rsid w:val="00EC1385"/>
    <w:rsid w:val="00EC1414"/>
    <w:rsid w:val="00EC143B"/>
    <w:rsid w:val="00EC1442"/>
    <w:rsid w:val="00EC1477"/>
    <w:rsid w:val="00EC14F0"/>
    <w:rsid w:val="00EC154D"/>
    <w:rsid w:val="00EC154F"/>
    <w:rsid w:val="00EC1581"/>
    <w:rsid w:val="00EC15C4"/>
    <w:rsid w:val="00EC1652"/>
    <w:rsid w:val="00EC1654"/>
    <w:rsid w:val="00EC1676"/>
    <w:rsid w:val="00EC167B"/>
    <w:rsid w:val="00EC167C"/>
    <w:rsid w:val="00EC16BC"/>
    <w:rsid w:val="00EC16D9"/>
    <w:rsid w:val="00EC16F9"/>
    <w:rsid w:val="00EC170A"/>
    <w:rsid w:val="00EC1716"/>
    <w:rsid w:val="00EC1746"/>
    <w:rsid w:val="00EC174D"/>
    <w:rsid w:val="00EC1754"/>
    <w:rsid w:val="00EC1868"/>
    <w:rsid w:val="00EC18BE"/>
    <w:rsid w:val="00EC18F2"/>
    <w:rsid w:val="00EC19D6"/>
    <w:rsid w:val="00EC19F4"/>
    <w:rsid w:val="00EC1A1A"/>
    <w:rsid w:val="00EC1A68"/>
    <w:rsid w:val="00EC1AEB"/>
    <w:rsid w:val="00EC1AFA"/>
    <w:rsid w:val="00EC1B28"/>
    <w:rsid w:val="00EC1B40"/>
    <w:rsid w:val="00EC1C06"/>
    <w:rsid w:val="00EC1C35"/>
    <w:rsid w:val="00EC1CCF"/>
    <w:rsid w:val="00EC1D1B"/>
    <w:rsid w:val="00EC1D8E"/>
    <w:rsid w:val="00EC1D9F"/>
    <w:rsid w:val="00EC1E0E"/>
    <w:rsid w:val="00EC1E1D"/>
    <w:rsid w:val="00EC1E28"/>
    <w:rsid w:val="00EC1EA9"/>
    <w:rsid w:val="00EC1EDE"/>
    <w:rsid w:val="00EC1F2D"/>
    <w:rsid w:val="00EC1FD8"/>
    <w:rsid w:val="00EC2044"/>
    <w:rsid w:val="00EC20B4"/>
    <w:rsid w:val="00EC20C7"/>
    <w:rsid w:val="00EC2106"/>
    <w:rsid w:val="00EC2195"/>
    <w:rsid w:val="00EC219C"/>
    <w:rsid w:val="00EC21A3"/>
    <w:rsid w:val="00EC21B8"/>
    <w:rsid w:val="00EC21D1"/>
    <w:rsid w:val="00EC2206"/>
    <w:rsid w:val="00EC2249"/>
    <w:rsid w:val="00EC22D1"/>
    <w:rsid w:val="00EC2366"/>
    <w:rsid w:val="00EC236D"/>
    <w:rsid w:val="00EC237A"/>
    <w:rsid w:val="00EC2394"/>
    <w:rsid w:val="00EC2411"/>
    <w:rsid w:val="00EC2422"/>
    <w:rsid w:val="00EC24A7"/>
    <w:rsid w:val="00EC254F"/>
    <w:rsid w:val="00EC2600"/>
    <w:rsid w:val="00EC264B"/>
    <w:rsid w:val="00EC267C"/>
    <w:rsid w:val="00EC26A1"/>
    <w:rsid w:val="00EC26B2"/>
    <w:rsid w:val="00EC26D3"/>
    <w:rsid w:val="00EC26D7"/>
    <w:rsid w:val="00EC2702"/>
    <w:rsid w:val="00EC2771"/>
    <w:rsid w:val="00EC27B9"/>
    <w:rsid w:val="00EC27C9"/>
    <w:rsid w:val="00EC27ED"/>
    <w:rsid w:val="00EC2802"/>
    <w:rsid w:val="00EC2834"/>
    <w:rsid w:val="00EC28B9"/>
    <w:rsid w:val="00EC28D8"/>
    <w:rsid w:val="00EC28DF"/>
    <w:rsid w:val="00EC2961"/>
    <w:rsid w:val="00EC2966"/>
    <w:rsid w:val="00EC2A44"/>
    <w:rsid w:val="00EC2AFB"/>
    <w:rsid w:val="00EC2B02"/>
    <w:rsid w:val="00EC2BDB"/>
    <w:rsid w:val="00EC2BF1"/>
    <w:rsid w:val="00EC2BF3"/>
    <w:rsid w:val="00EC2D3E"/>
    <w:rsid w:val="00EC2D60"/>
    <w:rsid w:val="00EC2E46"/>
    <w:rsid w:val="00EC2E71"/>
    <w:rsid w:val="00EC2E76"/>
    <w:rsid w:val="00EC2E92"/>
    <w:rsid w:val="00EC2F1E"/>
    <w:rsid w:val="00EC2F47"/>
    <w:rsid w:val="00EC2F55"/>
    <w:rsid w:val="00EC2F7E"/>
    <w:rsid w:val="00EC2FCA"/>
    <w:rsid w:val="00EC2FDA"/>
    <w:rsid w:val="00EC3016"/>
    <w:rsid w:val="00EC304F"/>
    <w:rsid w:val="00EC315B"/>
    <w:rsid w:val="00EC31A2"/>
    <w:rsid w:val="00EC31A7"/>
    <w:rsid w:val="00EC31AD"/>
    <w:rsid w:val="00EC31BF"/>
    <w:rsid w:val="00EC31E2"/>
    <w:rsid w:val="00EC3224"/>
    <w:rsid w:val="00EC32CF"/>
    <w:rsid w:val="00EC32F9"/>
    <w:rsid w:val="00EC3300"/>
    <w:rsid w:val="00EC3336"/>
    <w:rsid w:val="00EC3345"/>
    <w:rsid w:val="00EC334E"/>
    <w:rsid w:val="00EC3370"/>
    <w:rsid w:val="00EC33E4"/>
    <w:rsid w:val="00EC3413"/>
    <w:rsid w:val="00EC3434"/>
    <w:rsid w:val="00EC343B"/>
    <w:rsid w:val="00EC345E"/>
    <w:rsid w:val="00EC34F6"/>
    <w:rsid w:val="00EC3518"/>
    <w:rsid w:val="00EC35C2"/>
    <w:rsid w:val="00EC35C6"/>
    <w:rsid w:val="00EC35C9"/>
    <w:rsid w:val="00EC35F1"/>
    <w:rsid w:val="00EC3629"/>
    <w:rsid w:val="00EC3690"/>
    <w:rsid w:val="00EC3694"/>
    <w:rsid w:val="00EC370F"/>
    <w:rsid w:val="00EC37A7"/>
    <w:rsid w:val="00EC37E3"/>
    <w:rsid w:val="00EC3894"/>
    <w:rsid w:val="00EC38E7"/>
    <w:rsid w:val="00EC397B"/>
    <w:rsid w:val="00EC39DA"/>
    <w:rsid w:val="00EC39FA"/>
    <w:rsid w:val="00EC39FF"/>
    <w:rsid w:val="00EC3A06"/>
    <w:rsid w:val="00EC3A5D"/>
    <w:rsid w:val="00EC3A72"/>
    <w:rsid w:val="00EC3ACF"/>
    <w:rsid w:val="00EC3B30"/>
    <w:rsid w:val="00EC3B57"/>
    <w:rsid w:val="00EC3BE2"/>
    <w:rsid w:val="00EC3BEE"/>
    <w:rsid w:val="00EC3C08"/>
    <w:rsid w:val="00EC3C0E"/>
    <w:rsid w:val="00EC3C1E"/>
    <w:rsid w:val="00EC3C66"/>
    <w:rsid w:val="00EC3C8E"/>
    <w:rsid w:val="00EC3CB0"/>
    <w:rsid w:val="00EC3CD4"/>
    <w:rsid w:val="00EC3DCD"/>
    <w:rsid w:val="00EC3E9D"/>
    <w:rsid w:val="00EC3EBE"/>
    <w:rsid w:val="00EC3ECE"/>
    <w:rsid w:val="00EC3F06"/>
    <w:rsid w:val="00EC3F5B"/>
    <w:rsid w:val="00EC3FB6"/>
    <w:rsid w:val="00EC3FE7"/>
    <w:rsid w:val="00EC3FFD"/>
    <w:rsid w:val="00EC404E"/>
    <w:rsid w:val="00EC40BD"/>
    <w:rsid w:val="00EC40E4"/>
    <w:rsid w:val="00EC40E9"/>
    <w:rsid w:val="00EC40F0"/>
    <w:rsid w:val="00EC4125"/>
    <w:rsid w:val="00EC4131"/>
    <w:rsid w:val="00EC4135"/>
    <w:rsid w:val="00EC4138"/>
    <w:rsid w:val="00EC41FA"/>
    <w:rsid w:val="00EC41FE"/>
    <w:rsid w:val="00EC420C"/>
    <w:rsid w:val="00EC421B"/>
    <w:rsid w:val="00EC425B"/>
    <w:rsid w:val="00EC42A4"/>
    <w:rsid w:val="00EC42ED"/>
    <w:rsid w:val="00EC433D"/>
    <w:rsid w:val="00EC4389"/>
    <w:rsid w:val="00EC43B4"/>
    <w:rsid w:val="00EC43DE"/>
    <w:rsid w:val="00EC444D"/>
    <w:rsid w:val="00EC4463"/>
    <w:rsid w:val="00EC4464"/>
    <w:rsid w:val="00EC44A9"/>
    <w:rsid w:val="00EC44D5"/>
    <w:rsid w:val="00EC4513"/>
    <w:rsid w:val="00EC45A8"/>
    <w:rsid w:val="00EC45B0"/>
    <w:rsid w:val="00EC45B9"/>
    <w:rsid w:val="00EC4656"/>
    <w:rsid w:val="00EC468C"/>
    <w:rsid w:val="00EC46E8"/>
    <w:rsid w:val="00EC46ED"/>
    <w:rsid w:val="00EC46FA"/>
    <w:rsid w:val="00EC47A0"/>
    <w:rsid w:val="00EC4870"/>
    <w:rsid w:val="00EC4884"/>
    <w:rsid w:val="00EC4898"/>
    <w:rsid w:val="00EC48B6"/>
    <w:rsid w:val="00EC48E1"/>
    <w:rsid w:val="00EC4977"/>
    <w:rsid w:val="00EC4988"/>
    <w:rsid w:val="00EC49D5"/>
    <w:rsid w:val="00EC49ED"/>
    <w:rsid w:val="00EC4A66"/>
    <w:rsid w:val="00EC4A7F"/>
    <w:rsid w:val="00EC4A8A"/>
    <w:rsid w:val="00EC4AAF"/>
    <w:rsid w:val="00EC4BE3"/>
    <w:rsid w:val="00EC4C11"/>
    <w:rsid w:val="00EC4C2F"/>
    <w:rsid w:val="00EC4C32"/>
    <w:rsid w:val="00EC4CFF"/>
    <w:rsid w:val="00EC4D51"/>
    <w:rsid w:val="00EC4D60"/>
    <w:rsid w:val="00EC4D7C"/>
    <w:rsid w:val="00EC4D89"/>
    <w:rsid w:val="00EC4DA7"/>
    <w:rsid w:val="00EC4DAE"/>
    <w:rsid w:val="00EC4DFE"/>
    <w:rsid w:val="00EC4E09"/>
    <w:rsid w:val="00EC4E27"/>
    <w:rsid w:val="00EC4E33"/>
    <w:rsid w:val="00EC4E4F"/>
    <w:rsid w:val="00EC4E74"/>
    <w:rsid w:val="00EC4EEE"/>
    <w:rsid w:val="00EC4F0B"/>
    <w:rsid w:val="00EC4F62"/>
    <w:rsid w:val="00EC4FB0"/>
    <w:rsid w:val="00EC4FC4"/>
    <w:rsid w:val="00EC4FF6"/>
    <w:rsid w:val="00EC500B"/>
    <w:rsid w:val="00EC504A"/>
    <w:rsid w:val="00EC5090"/>
    <w:rsid w:val="00EC509B"/>
    <w:rsid w:val="00EC50AC"/>
    <w:rsid w:val="00EC514A"/>
    <w:rsid w:val="00EC5172"/>
    <w:rsid w:val="00EC517E"/>
    <w:rsid w:val="00EC51E7"/>
    <w:rsid w:val="00EC51EC"/>
    <w:rsid w:val="00EC5290"/>
    <w:rsid w:val="00EC5333"/>
    <w:rsid w:val="00EC53E6"/>
    <w:rsid w:val="00EC540D"/>
    <w:rsid w:val="00EC54B5"/>
    <w:rsid w:val="00EC54DA"/>
    <w:rsid w:val="00EC54E1"/>
    <w:rsid w:val="00EC54FC"/>
    <w:rsid w:val="00EC5513"/>
    <w:rsid w:val="00EC551A"/>
    <w:rsid w:val="00EC552F"/>
    <w:rsid w:val="00EC562E"/>
    <w:rsid w:val="00EC563B"/>
    <w:rsid w:val="00EC5719"/>
    <w:rsid w:val="00EC5729"/>
    <w:rsid w:val="00EC573E"/>
    <w:rsid w:val="00EC57EA"/>
    <w:rsid w:val="00EC582C"/>
    <w:rsid w:val="00EC58B5"/>
    <w:rsid w:val="00EC58E0"/>
    <w:rsid w:val="00EC595B"/>
    <w:rsid w:val="00EC5986"/>
    <w:rsid w:val="00EC59C7"/>
    <w:rsid w:val="00EC5A64"/>
    <w:rsid w:val="00EC5B08"/>
    <w:rsid w:val="00EC5B60"/>
    <w:rsid w:val="00EC5B98"/>
    <w:rsid w:val="00EC5BCB"/>
    <w:rsid w:val="00EC5C2E"/>
    <w:rsid w:val="00EC5C53"/>
    <w:rsid w:val="00EC5C5B"/>
    <w:rsid w:val="00EC5C65"/>
    <w:rsid w:val="00EC5CA9"/>
    <w:rsid w:val="00EC5CD8"/>
    <w:rsid w:val="00EC5D0D"/>
    <w:rsid w:val="00EC5D43"/>
    <w:rsid w:val="00EC5D6B"/>
    <w:rsid w:val="00EC5D6C"/>
    <w:rsid w:val="00EC5D7D"/>
    <w:rsid w:val="00EC5D87"/>
    <w:rsid w:val="00EC5D91"/>
    <w:rsid w:val="00EC5DAA"/>
    <w:rsid w:val="00EC5DCB"/>
    <w:rsid w:val="00EC5E3C"/>
    <w:rsid w:val="00EC5E90"/>
    <w:rsid w:val="00EC5F26"/>
    <w:rsid w:val="00EC5F49"/>
    <w:rsid w:val="00EC5F5B"/>
    <w:rsid w:val="00EC5F6D"/>
    <w:rsid w:val="00EC5FAF"/>
    <w:rsid w:val="00EC602B"/>
    <w:rsid w:val="00EC606F"/>
    <w:rsid w:val="00EC607B"/>
    <w:rsid w:val="00EC6094"/>
    <w:rsid w:val="00EC6096"/>
    <w:rsid w:val="00EC60E1"/>
    <w:rsid w:val="00EC60E8"/>
    <w:rsid w:val="00EC6170"/>
    <w:rsid w:val="00EC62AB"/>
    <w:rsid w:val="00EC62F1"/>
    <w:rsid w:val="00EC63B6"/>
    <w:rsid w:val="00EC6403"/>
    <w:rsid w:val="00EC6414"/>
    <w:rsid w:val="00EC6421"/>
    <w:rsid w:val="00EC646A"/>
    <w:rsid w:val="00EC648C"/>
    <w:rsid w:val="00EC6492"/>
    <w:rsid w:val="00EC64A7"/>
    <w:rsid w:val="00EC64D1"/>
    <w:rsid w:val="00EC65B7"/>
    <w:rsid w:val="00EC665B"/>
    <w:rsid w:val="00EC66FC"/>
    <w:rsid w:val="00EC6728"/>
    <w:rsid w:val="00EC677B"/>
    <w:rsid w:val="00EC6788"/>
    <w:rsid w:val="00EC6836"/>
    <w:rsid w:val="00EC686A"/>
    <w:rsid w:val="00EC6874"/>
    <w:rsid w:val="00EC688C"/>
    <w:rsid w:val="00EC68A0"/>
    <w:rsid w:val="00EC68F1"/>
    <w:rsid w:val="00EC69CC"/>
    <w:rsid w:val="00EC6A01"/>
    <w:rsid w:val="00EC6A1F"/>
    <w:rsid w:val="00EC6A54"/>
    <w:rsid w:val="00EC6AA0"/>
    <w:rsid w:val="00EC6AA9"/>
    <w:rsid w:val="00EC6AF8"/>
    <w:rsid w:val="00EC6B16"/>
    <w:rsid w:val="00EC6B49"/>
    <w:rsid w:val="00EC6B61"/>
    <w:rsid w:val="00EC6C0F"/>
    <w:rsid w:val="00EC6C22"/>
    <w:rsid w:val="00EC6CFE"/>
    <w:rsid w:val="00EC6CFF"/>
    <w:rsid w:val="00EC6D24"/>
    <w:rsid w:val="00EC6DA7"/>
    <w:rsid w:val="00EC6DE1"/>
    <w:rsid w:val="00EC6DF3"/>
    <w:rsid w:val="00EC6E66"/>
    <w:rsid w:val="00EC6E92"/>
    <w:rsid w:val="00EC6EB0"/>
    <w:rsid w:val="00EC6EB3"/>
    <w:rsid w:val="00EC6F8E"/>
    <w:rsid w:val="00EC704D"/>
    <w:rsid w:val="00EC705A"/>
    <w:rsid w:val="00EC7078"/>
    <w:rsid w:val="00EC70AA"/>
    <w:rsid w:val="00EC70D0"/>
    <w:rsid w:val="00EC710B"/>
    <w:rsid w:val="00EC712E"/>
    <w:rsid w:val="00EC7139"/>
    <w:rsid w:val="00EC715D"/>
    <w:rsid w:val="00EC7173"/>
    <w:rsid w:val="00EC7199"/>
    <w:rsid w:val="00EC71B6"/>
    <w:rsid w:val="00EC7208"/>
    <w:rsid w:val="00EC722E"/>
    <w:rsid w:val="00EC7282"/>
    <w:rsid w:val="00EC72AA"/>
    <w:rsid w:val="00EC72D3"/>
    <w:rsid w:val="00EC72DE"/>
    <w:rsid w:val="00EC7364"/>
    <w:rsid w:val="00EC738A"/>
    <w:rsid w:val="00EC73BB"/>
    <w:rsid w:val="00EC73DF"/>
    <w:rsid w:val="00EC73EA"/>
    <w:rsid w:val="00EC7418"/>
    <w:rsid w:val="00EC7427"/>
    <w:rsid w:val="00EC74C2"/>
    <w:rsid w:val="00EC74EC"/>
    <w:rsid w:val="00EC7518"/>
    <w:rsid w:val="00EC75C4"/>
    <w:rsid w:val="00EC769B"/>
    <w:rsid w:val="00EC76AC"/>
    <w:rsid w:val="00EC76EB"/>
    <w:rsid w:val="00EC76F0"/>
    <w:rsid w:val="00EC7731"/>
    <w:rsid w:val="00EC7754"/>
    <w:rsid w:val="00EC775D"/>
    <w:rsid w:val="00EC77B1"/>
    <w:rsid w:val="00EC77FB"/>
    <w:rsid w:val="00EC784B"/>
    <w:rsid w:val="00EC7851"/>
    <w:rsid w:val="00EC7860"/>
    <w:rsid w:val="00EC7868"/>
    <w:rsid w:val="00EC78A1"/>
    <w:rsid w:val="00EC78F4"/>
    <w:rsid w:val="00EC792F"/>
    <w:rsid w:val="00EC796F"/>
    <w:rsid w:val="00EC79B8"/>
    <w:rsid w:val="00EC7A09"/>
    <w:rsid w:val="00EC7A0F"/>
    <w:rsid w:val="00EC7A17"/>
    <w:rsid w:val="00EC7A27"/>
    <w:rsid w:val="00EC7A2F"/>
    <w:rsid w:val="00EC7A3E"/>
    <w:rsid w:val="00EC7A4C"/>
    <w:rsid w:val="00EC7A6F"/>
    <w:rsid w:val="00EC7AA8"/>
    <w:rsid w:val="00EC7B28"/>
    <w:rsid w:val="00EC7BAB"/>
    <w:rsid w:val="00EC7C1B"/>
    <w:rsid w:val="00EC7C34"/>
    <w:rsid w:val="00EC7C5A"/>
    <w:rsid w:val="00EC7C87"/>
    <w:rsid w:val="00EC7CD0"/>
    <w:rsid w:val="00EC7D03"/>
    <w:rsid w:val="00EC7D1F"/>
    <w:rsid w:val="00EC7D24"/>
    <w:rsid w:val="00EC7D90"/>
    <w:rsid w:val="00EC7DDB"/>
    <w:rsid w:val="00EC7DE1"/>
    <w:rsid w:val="00EC7E49"/>
    <w:rsid w:val="00EC7E68"/>
    <w:rsid w:val="00EC7F08"/>
    <w:rsid w:val="00EC7F1E"/>
    <w:rsid w:val="00EC7F29"/>
    <w:rsid w:val="00EC7F6A"/>
    <w:rsid w:val="00EC7F95"/>
    <w:rsid w:val="00ED000B"/>
    <w:rsid w:val="00ED0010"/>
    <w:rsid w:val="00ED0091"/>
    <w:rsid w:val="00ED0096"/>
    <w:rsid w:val="00ED009F"/>
    <w:rsid w:val="00ED00B7"/>
    <w:rsid w:val="00ED00E2"/>
    <w:rsid w:val="00ED00F5"/>
    <w:rsid w:val="00ED011D"/>
    <w:rsid w:val="00ED0190"/>
    <w:rsid w:val="00ED01A9"/>
    <w:rsid w:val="00ED01BE"/>
    <w:rsid w:val="00ED01F8"/>
    <w:rsid w:val="00ED0222"/>
    <w:rsid w:val="00ED0224"/>
    <w:rsid w:val="00ED0253"/>
    <w:rsid w:val="00ED025B"/>
    <w:rsid w:val="00ED028C"/>
    <w:rsid w:val="00ED02BD"/>
    <w:rsid w:val="00ED02CE"/>
    <w:rsid w:val="00ED0342"/>
    <w:rsid w:val="00ED035C"/>
    <w:rsid w:val="00ED03BE"/>
    <w:rsid w:val="00ED04B7"/>
    <w:rsid w:val="00ED04C6"/>
    <w:rsid w:val="00ED054A"/>
    <w:rsid w:val="00ED054E"/>
    <w:rsid w:val="00ED0553"/>
    <w:rsid w:val="00ED0577"/>
    <w:rsid w:val="00ED05C2"/>
    <w:rsid w:val="00ED05C4"/>
    <w:rsid w:val="00ED0610"/>
    <w:rsid w:val="00ED061B"/>
    <w:rsid w:val="00ED0627"/>
    <w:rsid w:val="00ED0682"/>
    <w:rsid w:val="00ED069E"/>
    <w:rsid w:val="00ED06C5"/>
    <w:rsid w:val="00ED0763"/>
    <w:rsid w:val="00ED0818"/>
    <w:rsid w:val="00ED0856"/>
    <w:rsid w:val="00ED087A"/>
    <w:rsid w:val="00ED0888"/>
    <w:rsid w:val="00ED08F5"/>
    <w:rsid w:val="00ED08F9"/>
    <w:rsid w:val="00ED0994"/>
    <w:rsid w:val="00ED09C4"/>
    <w:rsid w:val="00ED0A5A"/>
    <w:rsid w:val="00ED0A63"/>
    <w:rsid w:val="00ED0AC5"/>
    <w:rsid w:val="00ED0B11"/>
    <w:rsid w:val="00ED0B76"/>
    <w:rsid w:val="00ED0C56"/>
    <w:rsid w:val="00ED0C8F"/>
    <w:rsid w:val="00ED0CB6"/>
    <w:rsid w:val="00ED0CEB"/>
    <w:rsid w:val="00ED0D6E"/>
    <w:rsid w:val="00ED0D8D"/>
    <w:rsid w:val="00ED0DD1"/>
    <w:rsid w:val="00ED0E07"/>
    <w:rsid w:val="00ED0E6B"/>
    <w:rsid w:val="00ED0E94"/>
    <w:rsid w:val="00ED0EFD"/>
    <w:rsid w:val="00ED0F74"/>
    <w:rsid w:val="00ED0F8A"/>
    <w:rsid w:val="00ED0F8E"/>
    <w:rsid w:val="00ED0FD5"/>
    <w:rsid w:val="00ED0FF5"/>
    <w:rsid w:val="00ED1028"/>
    <w:rsid w:val="00ED110F"/>
    <w:rsid w:val="00ED11A9"/>
    <w:rsid w:val="00ED11BE"/>
    <w:rsid w:val="00ED1252"/>
    <w:rsid w:val="00ED1259"/>
    <w:rsid w:val="00ED12E6"/>
    <w:rsid w:val="00ED13E1"/>
    <w:rsid w:val="00ED13E7"/>
    <w:rsid w:val="00ED13E9"/>
    <w:rsid w:val="00ED13F3"/>
    <w:rsid w:val="00ED14D6"/>
    <w:rsid w:val="00ED1504"/>
    <w:rsid w:val="00ED1558"/>
    <w:rsid w:val="00ED1593"/>
    <w:rsid w:val="00ED15E2"/>
    <w:rsid w:val="00ED15F2"/>
    <w:rsid w:val="00ED1614"/>
    <w:rsid w:val="00ED16A8"/>
    <w:rsid w:val="00ED1702"/>
    <w:rsid w:val="00ED1724"/>
    <w:rsid w:val="00ED1731"/>
    <w:rsid w:val="00ED176F"/>
    <w:rsid w:val="00ED1770"/>
    <w:rsid w:val="00ED17A1"/>
    <w:rsid w:val="00ED17D4"/>
    <w:rsid w:val="00ED18C0"/>
    <w:rsid w:val="00ED18C3"/>
    <w:rsid w:val="00ED18F1"/>
    <w:rsid w:val="00ED190A"/>
    <w:rsid w:val="00ED1921"/>
    <w:rsid w:val="00ED1972"/>
    <w:rsid w:val="00ED19C2"/>
    <w:rsid w:val="00ED19CE"/>
    <w:rsid w:val="00ED19DA"/>
    <w:rsid w:val="00ED19FD"/>
    <w:rsid w:val="00ED1A4C"/>
    <w:rsid w:val="00ED1AB4"/>
    <w:rsid w:val="00ED1AED"/>
    <w:rsid w:val="00ED1B14"/>
    <w:rsid w:val="00ED1B7F"/>
    <w:rsid w:val="00ED1BE9"/>
    <w:rsid w:val="00ED1C0E"/>
    <w:rsid w:val="00ED1C62"/>
    <w:rsid w:val="00ED1CDB"/>
    <w:rsid w:val="00ED1D72"/>
    <w:rsid w:val="00ED1D88"/>
    <w:rsid w:val="00ED1DD0"/>
    <w:rsid w:val="00ED1E24"/>
    <w:rsid w:val="00ED1E3F"/>
    <w:rsid w:val="00ED1E59"/>
    <w:rsid w:val="00ED1E85"/>
    <w:rsid w:val="00ED1F21"/>
    <w:rsid w:val="00ED1FCB"/>
    <w:rsid w:val="00ED204C"/>
    <w:rsid w:val="00ED2060"/>
    <w:rsid w:val="00ED2063"/>
    <w:rsid w:val="00ED2066"/>
    <w:rsid w:val="00ED2071"/>
    <w:rsid w:val="00ED20E9"/>
    <w:rsid w:val="00ED2168"/>
    <w:rsid w:val="00ED225B"/>
    <w:rsid w:val="00ED2279"/>
    <w:rsid w:val="00ED2282"/>
    <w:rsid w:val="00ED22FA"/>
    <w:rsid w:val="00ED2332"/>
    <w:rsid w:val="00ED2397"/>
    <w:rsid w:val="00ED23A4"/>
    <w:rsid w:val="00ED2401"/>
    <w:rsid w:val="00ED24A4"/>
    <w:rsid w:val="00ED24C0"/>
    <w:rsid w:val="00ED24F0"/>
    <w:rsid w:val="00ED2512"/>
    <w:rsid w:val="00ED2559"/>
    <w:rsid w:val="00ED255C"/>
    <w:rsid w:val="00ED26D6"/>
    <w:rsid w:val="00ED274F"/>
    <w:rsid w:val="00ED278A"/>
    <w:rsid w:val="00ED278D"/>
    <w:rsid w:val="00ED27AA"/>
    <w:rsid w:val="00ED27EA"/>
    <w:rsid w:val="00ED27FA"/>
    <w:rsid w:val="00ED2831"/>
    <w:rsid w:val="00ED2882"/>
    <w:rsid w:val="00ED28A1"/>
    <w:rsid w:val="00ED28A8"/>
    <w:rsid w:val="00ED28E2"/>
    <w:rsid w:val="00ED2908"/>
    <w:rsid w:val="00ED2912"/>
    <w:rsid w:val="00ED29AD"/>
    <w:rsid w:val="00ED29BC"/>
    <w:rsid w:val="00ED29EA"/>
    <w:rsid w:val="00ED2A2E"/>
    <w:rsid w:val="00ED2A41"/>
    <w:rsid w:val="00ED2A7E"/>
    <w:rsid w:val="00ED2A9E"/>
    <w:rsid w:val="00ED2B22"/>
    <w:rsid w:val="00ED2B33"/>
    <w:rsid w:val="00ED2B54"/>
    <w:rsid w:val="00ED2B9D"/>
    <w:rsid w:val="00ED2BB1"/>
    <w:rsid w:val="00ED2BE2"/>
    <w:rsid w:val="00ED2C18"/>
    <w:rsid w:val="00ED2C40"/>
    <w:rsid w:val="00ED2C59"/>
    <w:rsid w:val="00ED2C70"/>
    <w:rsid w:val="00ED2CC2"/>
    <w:rsid w:val="00ED2CE2"/>
    <w:rsid w:val="00ED2D48"/>
    <w:rsid w:val="00ED2DB9"/>
    <w:rsid w:val="00ED2DC9"/>
    <w:rsid w:val="00ED2DCD"/>
    <w:rsid w:val="00ED2DDC"/>
    <w:rsid w:val="00ED2DEB"/>
    <w:rsid w:val="00ED2E0A"/>
    <w:rsid w:val="00ED2E50"/>
    <w:rsid w:val="00ED2E57"/>
    <w:rsid w:val="00ED2EB0"/>
    <w:rsid w:val="00ED2F10"/>
    <w:rsid w:val="00ED2F88"/>
    <w:rsid w:val="00ED2FD6"/>
    <w:rsid w:val="00ED3072"/>
    <w:rsid w:val="00ED3086"/>
    <w:rsid w:val="00ED30EB"/>
    <w:rsid w:val="00ED30F9"/>
    <w:rsid w:val="00ED3186"/>
    <w:rsid w:val="00ED31C5"/>
    <w:rsid w:val="00ED3279"/>
    <w:rsid w:val="00ED32C0"/>
    <w:rsid w:val="00ED32F8"/>
    <w:rsid w:val="00ED3362"/>
    <w:rsid w:val="00ED3389"/>
    <w:rsid w:val="00ED33F4"/>
    <w:rsid w:val="00ED341A"/>
    <w:rsid w:val="00ED346A"/>
    <w:rsid w:val="00ED347D"/>
    <w:rsid w:val="00ED34B8"/>
    <w:rsid w:val="00ED34C5"/>
    <w:rsid w:val="00ED34F7"/>
    <w:rsid w:val="00ED3516"/>
    <w:rsid w:val="00ED3540"/>
    <w:rsid w:val="00ED35DA"/>
    <w:rsid w:val="00ED3604"/>
    <w:rsid w:val="00ED3632"/>
    <w:rsid w:val="00ED363B"/>
    <w:rsid w:val="00ED364A"/>
    <w:rsid w:val="00ED36C0"/>
    <w:rsid w:val="00ED3744"/>
    <w:rsid w:val="00ED3776"/>
    <w:rsid w:val="00ED3850"/>
    <w:rsid w:val="00ED3897"/>
    <w:rsid w:val="00ED38AF"/>
    <w:rsid w:val="00ED38B8"/>
    <w:rsid w:val="00ED38CD"/>
    <w:rsid w:val="00ED38D4"/>
    <w:rsid w:val="00ED3939"/>
    <w:rsid w:val="00ED3987"/>
    <w:rsid w:val="00ED39F2"/>
    <w:rsid w:val="00ED3A70"/>
    <w:rsid w:val="00ED3A72"/>
    <w:rsid w:val="00ED3AD5"/>
    <w:rsid w:val="00ED3AE2"/>
    <w:rsid w:val="00ED3AEE"/>
    <w:rsid w:val="00ED3B77"/>
    <w:rsid w:val="00ED3BE1"/>
    <w:rsid w:val="00ED3C92"/>
    <w:rsid w:val="00ED3C94"/>
    <w:rsid w:val="00ED3CF5"/>
    <w:rsid w:val="00ED3D03"/>
    <w:rsid w:val="00ED3D0D"/>
    <w:rsid w:val="00ED3D35"/>
    <w:rsid w:val="00ED3D3F"/>
    <w:rsid w:val="00ED3D5D"/>
    <w:rsid w:val="00ED3E94"/>
    <w:rsid w:val="00ED3EB7"/>
    <w:rsid w:val="00ED3ED8"/>
    <w:rsid w:val="00ED3F00"/>
    <w:rsid w:val="00ED4008"/>
    <w:rsid w:val="00ED4054"/>
    <w:rsid w:val="00ED405B"/>
    <w:rsid w:val="00ED4069"/>
    <w:rsid w:val="00ED4095"/>
    <w:rsid w:val="00ED4101"/>
    <w:rsid w:val="00ED413C"/>
    <w:rsid w:val="00ED415F"/>
    <w:rsid w:val="00ED4188"/>
    <w:rsid w:val="00ED4193"/>
    <w:rsid w:val="00ED41D2"/>
    <w:rsid w:val="00ED4287"/>
    <w:rsid w:val="00ED42E1"/>
    <w:rsid w:val="00ED4358"/>
    <w:rsid w:val="00ED43A3"/>
    <w:rsid w:val="00ED43B5"/>
    <w:rsid w:val="00ED43E7"/>
    <w:rsid w:val="00ED4490"/>
    <w:rsid w:val="00ED44D1"/>
    <w:rsid w:val="00ED44D4"/>
    <w:rsid w:val="00ED44DD"/>
    <w:rsid w:val="00ED4599"/>
    <w:rsid w:val="00ED4699"/>
    <w:rsid w:val="00ED46CD"/>
    <w:rsid w:val="00ED46EB"/>
    <w:rsid w:val="00ED47ED"/>
    <w:rsid w:val="00ED488B"/>
    <w:rsid w:val="00ED48D6"/>
    <w:rsid w:val="00ED4927"/>
    <w:rsid w:val="00ED494B"/>
    <w:rsid w:val="00ED4A40"/>
    <w:rsid w:val="00ED4A69"/>
    <w:rsid w:val="00ED4ADD"/>
    <w:rsid w:val="00ED4B48"/>
    <w:rsid w:val="00ED4B95"/>
    <w:rsid w:val="00ED4C03"/>
    <w:rsid w:val="00ED4C13"/>
    <w:rsid w:val="00ED4C59"/>
    <w:rsid w:val="00ED4CBB"/>
    <w:rsid w:val="00ED4CBD"/>
    <w:rsid w:val="00ED4D37"/>
    <w:rsid w:val="00ED4D4D"/>
    <w:rsid w:val="00ED4D79"/>
    <w:rsid w:val="00ED4DEE"/>
    <w:rsid w:val="00ED4E33"/>
    <w:rsid w:val="00ED4E45"/>
    <w:rsid w:val="00ED4E48"/>
    <w:rsid w:val="00ED4E7C"/>
    <w:rsid w:val="00ED4EBC"/>
    <w:rsid w:val="00ED4EE4"/>
    <w:rsid w:val="00ED503B"/>
    <w:rsid w:val="00ED503D"/>
    <w:rsid w:val="00ED5079"/>
    <w:rsid w:val="00ED507B"/>
    <w:rsid w:val="00ED5096"/>
    <w:rsid w:val="00ED50C3"/>
    <w:rsid w:val="00ED50CD"/>
    <w:rsid w:val="00ED51BD"/>
    <w:rsid w:val="00ED5200"/>
    <w:rsid w:val="00ED5210"/>
    <w:rsid w:val="00ED5224"/>
    <w:rsid w:val="00ED532E"/>
    <w:rsid w:val="00ED534F"/>
    <w:rsid w:val="00ED5373"/>
    <w:rsid w:val="00ED53B7"/>
    <w:rsid w:val="00ED5430"/>
    <w:rsid w:val="00ED5448"/>
    <w:rsid w:val="00ED548E"/>
    <w:rsid w:val="00ED54D5"/>
    <w:rsid w:val="00ED552C"/>
    <w:rsid w:val="00ED5553"/>
    <w:rsid w:val="00ED55AA"/>
    <w:rsid w:val="00ED55BC"/>
    <w:rsid w:val="00ED55E6"/>
    <w:rsid w:val="00ED5616"/>
    <w:rsid w:val="00ED5632"/>
    <w:rsid w:val="00ED56A1"/>
    <w:rsid w:val="00ED5732"/>
    <w:rsid w:val="00ED574A"/>
    <w:rsid w:val="00ED5757"/>
    <w:rsid w:val="00ED575E"/>
    <w:rsid w:val="00ED57A9"/>
    <w:rsid w:val="00ED57BE"/>
    <w:rsid w:val="00ED57EA"/>
    <w:rsid w:val="00ED57EC"/>
    <w:rsid w:val="00ED5847"/>
    <w:rsid w:val="00ED585B"/>
    <w:rsid w:val="00ED592D"/>
    <w:rsid w:val="00ED59A6"/>
    <w:rsid w:val="00ED59B3"/>
    <w:rsid w:val="00ED59F2"/>
    <w:rsid w:val="00ED5A09"/>
    <w:rsid w:val="00ED5A20"/>
    <w:rsid w:val="00ED5A5E"/>
    <w:rsid w:val="00ED5A70"/>
    <w:rsid w:val="00ED5A74"/>
    <w:rsid w:val="00ED5AAE"/>
    <w:rsid w:val="00ED5AB4"/>
    <w:rsid w:val="00ED5B9B"/>
    <w:rsid w:val="00ED5C13"/>
    <w:rsid w:val="00ED5C41"/>
    <w:rsid w:val="00ED5C76"/>
    <w:rsid w:val="00ED5C82"/>
    <w:rsid w:val="00ED5C84"/>
    <w:rsid w:val="00ED5CF0"/>
    <w:rsid w:val="00ED5D2C"/>
    <w:rsid w:val="00ED5D34"/>
    <w:rsid w:val="00ED5D4D"/>
    <w:rsid w:val="00ED5D9C"/>
    <w:rsid w:val="00ED5DF4"/>
    <w:rsid w:val="00ED5E32"/>
    <w:rsid w:val="00ED5EB3"/>
    <w:rsid w:val="00ED5ECF"/>
    <w:rsid w:val="00ED5EF4"/>
    <w:rsid w:val="00ED5F19"/>
    <w:rsid w:val="00ED5F47"/>
    <w:rsid w:val="00ED5F75"/>
    <w:rsid w:val="00ED5FF5"/>
    <w:rsid w:val="00ED5FFB"/>
    <w:rsid w:val="00ED6037"/>
    <w:rsid w:val="00ED6069"/>
    <w:rsid w:val="00ED6079"/>
    <w:rsid w:val="00ED6092"/>
    <w:rsid w:val="00ED60B6"/>
    <w:rsid w:val="00ED60E7"/>
    <w:rsid w:val="00ED611F"/>
    <w:rsid w:val="00ED6129"/>
    <w:rsid w:val="00ED620C"/>
    <w:rsid w:val="00ED6219"/>
    <w:rsid w:val="00ED62D6"/>
    <w:rsid w:val="00ED634E"/>
    <w:rsid w:val="00ED6377"/>
    <w:rsid w:val="00ED63E1"/>
    <w:rsid w:val="00ED6427"/>
    <w:rsid w:val="00ED64A1"/>
    <w:rsid w:val="00ED64CA"/>
    <w:rsid w:val="00ED651C"/>
    <w:rsid w:val="00ED6559"/>
    <w:rsid w:val="00ED6569"/>
    <w:rsid w:val="00ED65D8"/>
    <w:rsid w:val="00ED65E2"/>
    <w:rsid w:val="00ED65FD"/>
    <w:rsid w:val="00ED661E"/>
    <w:rsid w:val="00ED6696"/>
    <w:rsid w:val="00ED669F"/>
    <w:rsid w:val="00ED66A8"/>
    <w:rsid w:val="00ED66D4"/>
    <w:rsid w:val="00ED6715"/>
    <w:rsid w:val="00ED6722"/>
    <w:rsid w:val="00ED6782"/>
    <w:rsid w:val="00ED67D0"/>
    <w:rsid w:val="00ED67EB"/>
    <w:rsid w:val="00ED680D"/>
    <w:rsid w:val="00ED682B"/>
    <w:rsid w:val="00ED6855"/>
    <w:rsid w:val="00ED686F"/>
    <w:rsid w:val="00ED68D6"/>
    <w:rsid w:val="00ED697F"/>
    <w:rsid w:val="00ED6999"/>
    <w:rsid w:val="00ED69B7"/>
    <w:rsid w:val="00ED69E6"/>
    <w:rsid w:val="00ED69F6"/>
    <w:rsid w:val="00ED6A1A"/>
    <w:rsid w:val="00ED6ACE"/>
    <w:rsid w:val="00ED6AE2"/>
    <w:rsid w:val="00ED6B39"/>
    <w:rsid w:val="00ED6B9F"/>
    <w:rsid w:val="00ED6C0E"/>
    <w:rsid w:val="00ED6C10"/>
    <w:rsid w:val="00ED6C77"/>
    <w:rsid w:val="00ED6C9B"/>
    <w:rsid w:val="00ED6CA3"/>
    <w:rsid w:val="00ED6D45"/>
    <w:rsid w:val="00ED6E9D"/>
    <w:rsid w:val="00ED6F1F"/>
    <w:rsid w:val="00ED6F26"/>
    <w:rsid w:val="00ED6F2B"/>
    <w:rsid w:val="00ED6F37"/>
    <w:rsid w:val="00ED6F5F"/>
    <w:rsid w:val="00ED6FB9"/>
    <w:rsid w:val="00ED7027"/>
    <w:rsid w:val="00ED702F"/>
    <w:rsid w:val="00ED7065"/>
    <w:rsid w:val="00ED70A0"/>
    <w:rsid w:val="00ED70DB"/>
    <w:rsid w:val="00ED7147"/>
    <w:rsid w:val="00ED717D"/>
    <w:rsid w:val="00ED71A7"/>
    <w:rsid w:val="00ED71BC"/>
    <w:rsid w:val="00ED722E"/>
    <w:rsid w:val="00ED7270"/>
    <w:rsid w:val="00ED728F"/>
    <w:rsid w:val="00ED72AE"/>
    <w:rsid w:val="00ED72C7"/>
    <w:rsid w:val="00ED72F8"/>
    <w:rsid w:val="00ED7312"/>
    <w:rsid w:val="00ED7315"/>
    <w:rsid w:val="00ED733E"/>
    <w:rsid w:val="00ED73A6"/>
    <w:rsid w:val="00ED74AE"/>
    <w:rsid w:val="00ED7518"/>
    <w:rsid w:val="00ED7590"/>
    <w:rsid w:val="00ED7679"/>
    <w:rsid w:val="00ED771F"/>
    <w:rsid w:val="00ED779B"/>
    <w:rsid w:val="00ED783A"/>
    <w:rsid w:val="00ED7891"/>
    <w:rsid w:val="00ED789D"/>
    <w:rsid w:val="00ED78B8"/>
    <w:rsid w:val="00ED78E3"/>
    <w:rsid w:val="00ED78F6"/>
    <w:rsid w:val="00ED7946"/>
    <w:rsid w:val="00ED7958"/>
    <w:rsid w:val="00ED796B"/>
    <w:rsid w:val="00ED799A"/>
    <w:rsid w:val="00ED79BA"/>
    <w:rsid w:val="00ED79CE"/>
    <w:rsid w:val="00ED79ED"/>
    <w:rsid w:val="00ED7B4F"/>
    <w:rsid w:val="00ED7BCD"/>
    <w:rsid w:val="00ED7C19"/>
    <w:rsid w:val="00ED7C35"/>
    <w:rsid w:val="00ED7CDC"/>
    <w:rsid w:val="00ED7CF2"/>
    <w:rsid w:val="00ED7D6C"/>
    <w:rsid w:val="00ED7D97"/>
    <w:rsid w:val="00ED7E12"/>
    <w:rsid w:val="00ED7E32"/>
    <w:rsid w:val="00ED7EA1"/>
    <w:rsid w:val="00ED7F00"/>
    <w:rsid w:val="00ED7F17"/>
    <w:rsid w:val="00ED7F52"/>
    <w:rsid w:val="00ED7F6A"/>
    <w:rsid w:val="00ED7F6E"/>
    <w:rsid w:val="00ED7FB7"/>
    <w:rsid w:val="00EE0027"/>
    <w:rsid w:val="00EE0050"/>
    <w:rsid w:val="00EE009E"/>
    <w:rsid w:val="00EE00DD"/>
    <w:rsid w:val="00EE0123"/>
    <w:rsid w:val="00EE015A"/>
    <w:rsid w:val="00EE0233"/>
    <w:rsid w:val="00EE02BC"/>
    <w:rsid w:val="00EE02FB"/>
    <w:rsid w:val="00EE0353"/>
    <w:rsid w:val="00EE036C"/>
    <w:rsid w:val="00EE0391"/>
    <w:rsid w:val="00EE03D2"/>
    <w:rsid w:val="00EE03D6"/>
    <w:rsid w:val="00EE0419"/>
    <w:rsid w:val="00EE0447"/>
    <w:rsid w:val="00EE04D0"/>
    <w:rsid w:val="00EE04E5"/>
    <w:rsid w:val="00EE053B"/>
    <w:rsid w:val="00EE05FF"/>
    <w:rsid w:val="00EE0617"/>
    <w:rsid w:val="00EE0692"/>
    <w:rsid w:val="00EE0708"/>
    <w:rsid w:val="00EE0824"/>
    <w:rsid w:val="00EE0840"/>
    <w:rsid w:val="00EE085F"/>
    <w:rsid w:val="00EE0863"/>
    <w:rsid w:val="00EE09AC"/>
    <w:rsid w:val="00EE09DD"/>
    <w:rsid w:val="00EE0A5C"/>
    <w:rsid w:val="00EE0B19"/>
    <w:rsid w:val="00EE0B2C"/>
    <w:rsid w:val="00EE0B81"/>
    <w:rsid w:val="00EE0BF7"/>
    <w:rsid w:val="00EE0C08"/>
    <w:rsid w:val="00EE0C5A"/>
    <w:rsid w:val="00EE0D1B"/>
    <w:rsid w:val="00EE0D52"/>
    <w:rsid w:val="00EE0D6A"/>
    <w:rsid w:val="00EE0D7C"/>
    <w:rsid w:val="00EE0DC5"/>
    <w:rsid w:val="00EE0DE2"/>
    <w:rsid w:val="00EE0DF1"/>
    <w:rsid w:val="00EE0E31"/>
    <w:rsid w:val="00EE0E95"/>
    <w:rsid w:val="00EE0ED2"/>
    <w:rsid w:val="00EE0EF3"/>
    <w:rsid w:val="00EE0F67"/>
    <w:rsid w:val="00EE10A2"/>
    <w:rsid w:val="00EE10F4"/>
    <w:rsid w:val="00EE111E"/>
    <w:rsid w:val="00EE1183"/>
    <w:rsid w:val="00EE12EB"/>
    <w:rsid w:val="00EE1420"/>
    <w:rsid w:val="00EE1447"/>
    <w:rsid w:val="00EE14B7"/>
    <w:rsid w:val="00EE14DE"/>
    <w:rsid w:val="00EE14FF"/>
    <w:rsid w:val="00EE1559"/>
    <w:rsid w:val="00EE1594"/>
    <w:rsid w:val="00EE1613"/>
    <w:rsid w:val="00EE16C2"/>
    <w:rsid w:val="00EE178A"/>
    <w:rsid w:val="00EE17A3"/>
    <w:rsid w:val="00EE17B0"/>
    <w:rsid w:val="00EE17C1"/>
    <w:rsid w:val="00EE1811"/>
    <w:rsid w:val="00EE182E"/>
    <w:rsid w:val="00EE183B"/>
    <w:rsid w:val="00EE18C1"/>
    <w:rsid w:val="00EE19B7"/>
    <w:rsid w:val="00EE19DD"/>
    <w:rsid w:val="00EE19E4"/>
    <w:rsid w:val="00EE1A11"/>
    <w:rsid w:val="00EE1A1B"/>
    <w:rsid w:val="00EE1A3F"/>
    <w:rsid w:val="00EE1A8E"/>
    <w:rsid w:val="00EE1AF1"/>
    <w:rsid w:val="00EE1B06"/>
    <w:rsid w:val="00EE1B71"/>
    <w:rsid w:val="00EE1B7D"/>
    <w:rsid w:val="00EE1B87"/>
    <w:rsid w:val="00EE1BA8"/>
    <w:rsid w:val="00EE1BD0"/>
    <w:rsid w:val="00EE1BF1"/>
    <w:rsid w:val="00EE1BF5"/>
    <w:rsid w:val="00EE1BFA"/>
    <w:rsid w:val="00EE1C5D"/>
    <w:rsid w:val="00EE1C60"/>
    <w:rsid w:val="00EE1C71"/>
    <w:rsid w:val="00EE1D08"/>
    <w:rsid w:val="00EE1D3B"/>
    <w:rsid w:val="00EE1D47"/>
    <w:rsid w:val="00EE1D99"/>
    <w:rsid w:val="00EE1E1D"/>
    <w:rsid w:val="00EE1E46"/>
    <w:rsid w:val="00EE1E71"/>
    <w:rsid w:val="00EE1EC3"/>
    <w:rsid w:val="00EE1EED"/>
    <w:rsid w:val="00EE1F0F"/>
    <w:rsid w:val="00EE1F1C"/>
    <w:rsid w:val="00EE1F41"/>
    <w:rsid w:val="00EE1F64"/>
    <w:rsid w:val="00EE1FA2"/>
    <w:rsid w:val="00EE20B0"/>
    <w:rsid w:val="00EE2192"/>
    <w:rsid w:val="00EE2197"/>
    <w:rsid w:val="00EE2252"/>
    <w:rsid w:val="00EE2260"/>
    <w:rsid w:val="00EE22B3"/>
    <w:rsid w:val="00EE22C7"/>
    <w:rsid w:val="00EE2316"/>
    <w:rsid w:val="00EE2357"/>
    <w:rsid w:val="00EE238D"/>
    <w:rsid w:val="00EE23C1"/>
    <w:rsid w:val="00EE2496"/>
    <w:rsid w:val="00EE254F"/>
    <w:rsid w:val="00EE25C1"/>
    <w:rsid w:val="00EE25ED"/>
    <w:rsid w:val="00EE2643"/>
    <w:rsid w:val="00EE27BE"/>
    <w:rsid w:val="00EE27C6"/>
    <w:rsid w:val="00EE2806"/>
    <w:rsid w:val="00EE28AB"/>
    <w:rsid w:val="00EE28D2"/>
    <w:rsid w:val="00EE293E"/>
    <w:rsid w:val="00EE295E"/>
    <w:rsid w:val="00EE2B3B"/>
    <w:rsid w:val="00EE2B5F"/>
    <w:rsid w:val="00EE2B89"/>
    <w:rsid w:val="00EE2B8D"/>
    <w:rsid w:val="00EE2B9C"/>
    <w:rsid w:val="00EE2BB2"/>
    <w:rsid w:val="00EE2BE3"/>
    <w:rsid w:val="00EE2BEB"/>
    <w:rsid w:val="00EE2D02"/>
    <w:rsid w:val="00EE2D1C"/>
    <w:rsid w:val="00EE2D32"/>
    <w:rsid w:val="00EE2E5B"/>
    <w:rsid w:val="00EE2E71"/>
    <w:rsid w:val="00EE2E99"/>
    <w:rsid w:val="00EE2F21"/>
    <w:rsid w:val="00EE2F7D"/>
    <w:rsid w:val="00EE3019"/>
    <w:rsid w:val="00EE3047"/>
    <w:rsid w:val="00EE3065"/>
    <w:rsid w:val="00EE30C1"/>
    <w:rsid w:val="00EE3134"/>
    <w:rsid w:val="00EE31B2"/>
    <w:rsid w:val="00EE3228"/>
    <w:rsid w:val="00EE3240"/>
    <w:rsid w:val="00EE329C"/>
    <w:rsid w:val="00EE32DB"/>
    <w:rsid w:val="00EE32F3"/>
    <w:rsid w:val="00EE32F9"/>
    <w:rsid w:val="00EE32FD"/>
    <w:rsid w:val="00EE3306"/>
    <w:rsid w:val="00EE3316"/>
    <w:rsid w:val="00EE33EC"/>
    <w:rsid w:val="00EE33F0"/>
    <w:rsid w:val="00EE344A"/>
    <w:rsid w:val="00EE3475"/>
    <w:rsid w:val="00EE34A7"/>
    <w:rsid w:val="00EE34DA"/>
    <w:rsid w:val="00EE34DF"/>
    <w:rsid w:val="00EE34F3"/>
    <w:rsid w:val="00EE3500"/>
    <w:rsid w:val="00EE35AC"/>
    <w:rsid w:val="00EE35E9"/>
    <w:rsid w:val="00EE3608"/>
    <w:rsid w:val="00EE367F"/>
    <w:rsid w:val="00EE368F"/>
    <w:rsid w:val="00EE3728"/>
    <w:rsid w:val="00EE3763"/>
    <w:rsid w:val="00EE37FF"/>
    <w:rsid w:val="00EE380E"/>
    <w:rsid w:val="00EE3815"/>
    <w:rsid w:val="00EE38AB"/>
    <w:rsid w:val="00EE38CA"/>
    <w:rsid w:val="00EE3937"/>
    <w:rsid w:val="00EE395B"/>
    <w:rsid w:val="00EE399C"/>
    <w:rsid w:val="00EE39CC"/>
    <w:rsid w:val="00EE3A3F"/>
    <w:rsid w:val="00EE3A77"/>
    <w:rsid w:val="00EE3B14"/>
    <w:rsid w:val="00EE3BB2"/>
    <w:rsid w:val="00EE3BE2"/>
    <w:rsid w:val="00EE3CAE"/>
    <w:rsid w:val="00EE3CEC"/>
    <w:rsid w:val="00EE3DAD"/>
    <w:rsid w:val="00EE3DD7"/>
    <w:rsid w:val="00EE3DD9"/>
    <w:rsid w:val="00EE3E0F"/>
    <w:rsid w:val="00EE3E1B"/>
    <w:rsid w:val="00EE3E51"/>
    <w:rsid w:val="00EE3E5F"/>
    <w:rsid w:val="00EE3EA2"/>
    <w:rsid w:val="00EE3EFE"/>
    <w:rsid w:val="00EE3F73"/>
    <w:rsid w:val="00EE3F8E"/>
    <w:rsid w:val="00EE3FE3"/>
    <w:rsid w:val="00EE3FFE"/>
    <w:rsid w:val="00EE4019"/>
    <w:rsid w:val="00EE4063"/>
    <w:rsid w:val="00EE407D"/>
    <w:rsid w:val="00EE40BD"/>
    <w:rsid w:val="00EE40C6"/>
    <w:rsid w:val="00EE40DC"/>
    <w:rsid w:val="00EE411D"/>
    <w:rsid w:val="00EE4147"/>
    <w:rsid w:val="00EE4192"/>
    <w:rsid w:val="00EE41AC"/>
    <w:rsid w:val="00EE41B3"/>
    <w:rsid w:val="00EE41DB"/>
    <w:rsid w:val="00EE4221"/>
    <w:rsid w:val="00EE428D"/>
    <w:rsid w:val="00EE42B2"/>
    <w:rsid w:val="00EE431A"/>
    <w:rsid w:val="00EE4367"/>
    <w:rsid w:val="00EE4384"/>
    <w:rsid w:val="00EE43A3"/>
    <w:rsid w:val="00EE4431"/>
    <w:rsid w:val="00EE4451"/>
    <w:rsid w:val="00EE44E4"/>
    <w:rsid w:val="00EE44F9"/>
    <w:rsid w:val="00EE4544"/>
    <w:rsid w:val="00EE4552"/>
    <w:rsid w:val="00EE4618"/>
    <w:rsid w:val="00EE4653"/>
    <w:rsid w:val="00EE465F"/>
    <w:rsid w:val="00EE4666"/>
    <w:rsid w:val="00EE4677"/>
    <w:rsid w:val="00EE4686"/>
    <w:rsid w:val="00EE46A9"/>
    <w:rsid w:val="00EE46D0"/>
    <w:rsid w:val="00EE46D7"/>
    <w:rsid w:val="00EE46F2"/>
    <w:rsid w:val="00EE4703"/>
    <w:rsid w:val="00EE4790"/>
    <w:rsid w:val="00EE4799"/>
    <w:rsid w:val="00EE484A"/>
    <w:rsid w:val="00EE485C"/>
    <w:rsid w:val="00EE4864"/>
    <w:rsid w:val="00EE48EF"/>
    <w:rsid w:val="00EE48FD"/>
    <w:rsid w:val="00EE4902"/>
    <w:rsid w:val="00EE4953"/>
    <w:rsid w:val="00EE49B2"/>
    <w:rsid w:val="00EE49B8"/>
    <w:rsid w:val="00EE4A22"/>
    <w:rsid w:val="00EE4A4A"/>
    <w:rsid w:val="00EE4A8A"/>
    <w:rsid w:val="00EE4C0A"/>
    <w:rsid w:val="00EE4C20"/>
    <w:rsid w:val="00EE4C5C"/>
    <w:rsid w:val="00EE4CED"/>
    <w:rsid w:val="00EE4D38"/>
    <w:rsid w:val="00EE4D40"/>
    <w:rsid w:val="00EE4D44"/>
    <w:rsid w:val="00EE4D80"/>
    <w:rsid w:val="00EE4DA5"/>
    <w:rsid w:val="00EE4DAC"/>
    <w:rsid w:val="00EE4DC0"/>
    <w:rsid w:val="00EE4F26"/>
    <w:rsid w:val="00EE4F2A"/>
    <w:rsid w:val="00EE4F3B"/>
    <w:rsid w:val="00EE4F70"/>
    <w:rsid w:val="00EE4F74"/>
    <w:rsid w:val="00EE4F82"/>
    <w:rsid w:val="00EE50F2"/>
    <w:rsid w:val="00EE518E"/>
    <w:rsid w:val="00EE51D3"/>
    <w:rsid w:val="00EE51FA"/>
    <w:rsid w:val="00EE5206"/>
    <w:rsid w:val="00EE52A9"/>
    <w:rsid w:val="00EE52BB"/>
    <w:rsid w:val="00EE52DA"/>
    <w:rsid w:val="00EE52F7"/>
    <w:rsid w:val="00EE5368"/>
    <w:rsid w:val="00EE5373"/>
    <w:rsid w:val="00EE53A8"/>
    <w:rsid w:val="00EE53C1"/>
    <w:rsid w:val="00EE540A"/>
    <w:rsid w:val="00EE5418"/>
    <w:rsid w:val="00EE544D"/>
    <w:rsid w:val="00EE54B7"/>
    <w:rsid w:val="00EE54ED"/>
    <w:rsid w:val="00EE54FC"/>
    <w:rsid w:val="00EE5503"/>
    <w:rsid w:val="00EE5511"/>
    <w:rsid w:val="00EE553A"/>
    <w:rsid w:val="00EE55A0"/>
    <w:rsid w:val="00EE564D"/>
    <w:rsid w:val="00EE566A"/>
    <w:rsid w:val="00EE5693"/>
    <w:rsid w:val="00EE56AC"/>
    <w:rsid w:val="00EE56B1"/>
    <w:rsid w:val="00EE5731"/>
    <w:rsid w:val="00EE5738"/>
    <w:rsid w:val="00EE57D9"/>
    <w:rsid w:val="00EE57E4"/>
    <w:rsid w:val="00EE57EB"/>
    <w:rsid w:val="00EE5835"/>
    <w:rsid w:val="00EE584B"/>
    <w:rsid w:val="00EE5877"/>
    <w:rsid w:val="00EE58D6"/>
    <w:rsid w:val="00EE58D8"/>
    <w:rsid w:val="00EE5978"/>
    <w:rsid w:val="00EE59B1"/>
    <w:rsid w:val="00EE59E5"/>
    <w:rsid w:val="00EE5A48"/>
    <w:rsid w:val="00EE5A6F"/>
    <w:rsid w:val="00EE5A9E"/>
    <w:rsid w:val="00EE5AB1"/>
    <w:rsid w:val="00EE5AE3"/>
    <w:rsid w:val="00EE5AEE"/>
    <w:rsid w:val="00EE5B00"/>
    <w:rsid w:val="00EE5B10"/>
    <w:rsid w:val="00EE5B46"/>
    <w:rsid w:val="00EE5B89"/>
    <w:rsid w:val="00EE5B9A"/>
    <w:rsid w:val="00EE5BC7"/>
    <w:rsid w:val="00EE5BEE"/>
    <w:rsid w:val="00EE5C15"/>
    <w:rsid w:val="00EE5CAE"/>
    <w:rsid w:val="00EE5CD2"/>
    <w:rsid w:val="00EE5CE4"/>
    <w:rsid w:val="00EE5CFA"/>
    <w:rsid w:val="00EE5D12"/>
    <w:rsid w:val="00EE5D8A"/>
    <w:rsid w:val="00EE5D8E"/>
    <w:rsid w:val="00EE5DD9"/>
    <w:rsid w:val="00EE5DE8"/>
    <w:rsid w:val="00EE5DF0"/>
    <w:rsid w:val="00EE5E15"/>
    <w:rsid w:val="00EE5E60"/>
    <w:rsid w:val="00EE5E97"/>
    <w:rsid w:val="00EE5F31"/>
    <w:rsid w:val="00EE5F5C"/>
    <w:rsid w:val="00EE6007"/>
    <w:rsid w:val="00EE6047"/>
    <w:rsid w:val="00EE6051"/>
    <w:rsid w:val="00EE6077"/>
    <w:rsid w:val="00EE6096"/>
    <w:rsid w:val="00EE60DE"/>
    <w:rsid w:val="00EE6114"/>
    <w:rsid w:val="00EE622C"/>
    <w:rsid w:val="00EE629C"/>
    <w:rsid w:val="00EE62C7"/>
    <w:rsid w:val="00EE62FF"/>
    <w:rsid w:val="00EE6308"/>
    <w:rsid w:val="00EE63F0"/>
    <w:rsid w:val="00EE6447"/>
    <w:rsid w:val="00EE64A1"/>
    <w:rsid w:val="00EE64AA"/>
    <w:rsid w:val="00EE64BE"/>
    <w:rsid w:val="00EE64D6"/>
    <w:rsid w:val="00EE64DD"/>
    <w:rsid w:val="00EE6514"/>
    <w:rsid w:val="00EE6545"/>
    <w:rsid w:val="00EE6546"/>
    <w:rsid w:val="00EE654E"/>
    <w:rsid w:val="00EE65A2"/>
    <w:rsid w:val="00EE65A8"/>
    <w:rsid w:val="00EE6623"/>
    <w:rsid w:val="00EE6658"/>
    <w:rsid w:val="00EE6688"/>
    <w:rsid w:val="00EE668E"/>
    <w:rsid w:val="00EE669E"/>
    <w:rsid w:val="00EE66DC"/>
    <w:rsid w:val="00EE66F3"/>
    <w:rsid w:val="00EE670D"/>
    <w:rsid w:val="00EE6739"/>
    <w:rsid w:val="00EE6745"/>
    <w:rsid w:val="00EE6786"/>
    <w:rsid w:val="00EE6891"/>
    <w:rsid w:val="00EE68A4"/>
    <w:rsid w:val="00EE68F7"/>
    <w:rsid w:val="00EE692F"/>
    <w:rsid w:val="00EE6943"/>
    <w:rsid w:val="00EE6960"/>
    <w:rsid w:val="00EE69B4"/>
    <w:rsid w:val="00EE69BB"/>
    <w:rsid w:val="00EE6A2E"/>
    <w:rsid w:val="00EE6A3C"/>
    <w:rsid w:val="00EE6A3E"/>
    <w:rsid w:val="00EE6A86"/>
    <w:rsid w:val="00EE6B51"/>
    <w:rsid w:val="00EE6B6C"/>
    <w:rsid w:val="00EE6BD0"/>
    <w:rsid w:val="00EE6C44"/>
    <w:rsid w:val="00EE6C4E"/>
    <w:rsid w:val="00EE6C51"/>
    <w:rsid w:val="00EE6CCD"/>
    <w:rsid w:val="00EE6D03"/>
    <w:rsid w:val="00EE6D0B"/>
    <w:rsid w:val="00EE6D0E"/>
    <w:rsid w:val="00EE6D76"/>
    <w:rsid w:val="00EE6E05"/>
    <w:rsid w:val="00EE6E1B"/>
    <w:rsid w:val="00EE6E62"/>
    <w:rsid w:val="00EE6E6F"/>
    <w:rsid w:val="00EE6EDA"/>
    <w:rsid w:val="00EE6EF3"/>
    <w:rsid w:val="00EE6F5D"/>
    <w:rsid w:val="00EE700A"/>
    <w:rsid w:val="00EE7035"/>
    <w:rsid w:val="00EE7036"/>
    <w:rsid w:val="00EE706F"/>
    <w:rsid w:val="00EE716C"/>
    <w:rsid w:val="00EE7204"/>
    <w:rsid w:val="00EE7268"/>
    <w:rsid w:val="00EE72A4"/>
    <w:rsid w:val="00EE73D5"/>
    <w:rsid w:val="00EE73ED"/>
    <w:rsid w:val="00EE740A"/>
    <w:rsid w:val="00EE745A"/>
    <w:rsid w:val="00EE747A"/>
    <w:rsid w:val="00EE749A"/>
    <w:rsid w:val="00EE74D7"/>
    <w:rsid w:val="00EE7545"/>
    <w:rsid w:val="00EE7564"/>
    <w:rsid w:val="00EE759A"/>
    <w:rsid w:val="00EE75B7"/>
    <w:rsid w:val="00EE75CF"/>
    <w:rsid w:val="00EE763E"/>
    <w:rsid w:val="00EE767C"/>
    <w:rsid w:val="00EE7683"/>
    <w:rsid w:val="00EE770F"/>
    <w:rsid w:val="00EE7744"/>
    <w:rsid w:val="00EE7752"/>
    <w:rsid w:val="00EE783E"/>
    <w:rsid w:val="00EE7866"/>
    <w:rsid w:val="00EE79E1"/>
    <w:rsid w:val="00EE79E8"/>
    <w:rsid w:val="00EE7A13"/>
    <w:rsid w:val="00EE7A90"/>
    <w:rsid w:val="00EE7A9A"/>
    <w:rsid w:val="00EE7BC5"/>
    <w:rsid w:val="00EE7C0B"/>
    <w:rsid w:val="00EE7C33"/>
    <w:rsid w:val="00EE7C63"/>
    <w:rsid w:val="00EE7CB6"/>
    <w:rsid w:val="00EE7D11"/>
    <w:rsid w:val="00EE7D31"/>
    <w:rsid w:val="00EE7D32"/>
    <w:rsid w:val="00EE7D3A"/>
    <w:rsid w:val="00EE7DB1"/>
    <w:rsid w:val="00EE7DB5"/>
    <w:rsid w:val="00EE7E20"/>
    <w:rsid w:val="00EE7EDB"/>
    <w:rsid w:val="00EE7EFD"/>
    <w:rsid w:val="00EE7F15"/>
    <w:rsid w:val="00EE7F23"/>
    <w:rsid w:val="00EE7FAA"/>
    <w:rsid w:val="00EE7FBA"/>
    <w:rsid w:val="00EE7FDE"/>
    <w:rsid w:val="00EE7FE0"/>
    <w:rsid w:val="00EF0049"/>
    <w:rsid w:val="00EF0089"/>
    <w:rsid w:val="00EF00D0"/>
    <w:rsid w:val="00EF0126"/>
    <w:rsid w:val="00EF012A"/>
    <w:rsid w:val="00EF017C"/>
    <w:rsid w:val="00EF024D"/>
    <w:rsid w:val="00EF02B6"/>
    <w:rsid w:val="00EF02C0"/>
    <w:rsid w:val="00EF0343"/>
    <w:rsid w:val="00EF03D2"/>
    <w:rsid w:val="00EF03E1"/>
    <w:rsid w:val="00EF040C"/>
    <w:rsid w:val="00EF0427"/>
    <w:rsid w:val="00EF043D"/>
    <w:rsid w:val="00EF051E"/>
    <w:rsid w:val="00EF0586"/>
    <w:rsid w:val="00EF05CC"/>
    <w:rsid w:val="00EF0640"/>
    <w:rsid w:val="00EF064C"/>
    <w:rsid w:val="00EF0681"/>
    <w:rsid w:val="00EF0690"/>
    <w:rsid w:val="00EF06A2"/>
    <w:rsid w:val="00EF06B9"/>
    <w:rsid w:val="00EF06C1"/>
    <w:rsid w:val="00EF06E1"/>
    <w:rsid w:val="00EF071C"/>
    <w:rsid w:val="00EF0773"/>
    <w:rsid w:val="00EF0890"/>
    <w:rsid w:val="00EF08EE"/>
    <w:rsid w:val="00EF092A"/>
    <w:rsid w:val="00EF0940"/>
    <w:rsid w:val="00EF097F"/>
    <w:rsid w:val="00EF09AB"/>
    <w:rsid w:val="00EF09AC"/>
    <w:rsid w:val="00EF09E8"/>
    <w:rsid w:val="00EF09FC"/>
    <w:rsid w:val="00EF0A61"/>
    <w:rsid w:val="00EF0B27"/>
    <w:rsid w:val="00EF0BC7"/>
    <w:rsid w:val="00EF0C04"/>
    <w:rsid w:val="00EF0C52"/>
    <w:rsid w:val="00EF0C54"/>
    <w:rsid w:val="00EF0C80"/>
    <w:rsid w:val="00EF0CC4"/>
    <w:rsid w:val="00EF0CD8"/>
    <w:rsid w:val="00EF0CE3"/>
    <w:rsid w:val="00EF0CE5"/>
    <w:rsid w:val="00EF0CF1"/>
    <w:rsid w:val="00EF0D15"/>
    <w:rsid w:val="00EF0D8A"/>
    <w:rsid w:val="00EF0D97"/>
    <w:rsid w:val="00EF0D98"/>
    <w:rsid w:val="00EF0DCE"/>
    <w:rsid w:val="00EF0DDB"/>
    <w:rsid w:val="00EF0DEF"/>
    <w:rsid w:val="00EF0E9C"/>
    <w:rsid w:val="00EF0EB3"/>
    <w:rsid w:val="00EF0EB7"/>
    <w:rsid w:val="00EF0ECF"/>
    <w:rsid w:val="00EF0EF4"/>
    <w:rsid w:val="00EF0F80"/>
    <w:rsid w:val="00EF0FEF"/>
    <w:rsid w:val="00EF106B"/>
    <w:rsid w:val="00EF1073"/>
    <w:rsid w:val="00EF10AF"/>
    <w:rsid w:val="00EF1194"/>
    <w:rsid w:val="00EF11A4"/>
    <w:rsid w:val="00EF11A5"/>
    <w:rsid w:val="00EF11C3"/>
    <w:rsid w:val="00EF122D"/>
    <w:rsid w:val="00EF1230"/>
    <w:rsid w:val="00EF1261"/>
    <w:rsid w:val="00EF126E"/>
    <w:rsid w:val="00EF12C8"/>
    <w:rsid w:val="00EF12E6"/>
    <w:rsid w:val="00EF12EA"/>
    <w:rsid w:val="00EF1442"/>
    <w:rsid w:val="00EF144E"/>
    <w:rsid w:val="00EF145E"/>
    <w:rsid w:val="00EF1489"/>
    <w:rsid w:val="00EF1527"/>
    <w:rsid w:val="00EF1532"/>
    <w:rsid w:val="00EF1567"/>
    <w:rsid w:val="00EF15A2"/>
    <w:rsid w:val="00EF1616"/>
    <w:rsid w:val="00EF1619"/>
    <w:rsid w:val="00EF161D"/>
    <w:rsid w:val="00EF16C4"/>
    <w:rsid w:val="00EF1701"/>
    <w:rsid w:val="00EF1883"/>
    <w:rsid w:val="00EF188E"/>
    <w:rsid w:val="00EF189B"/>
    <w:rsid w:val="00EF18B7"/>
    <w:rsid w:val="00EF18EC"/>
    <w:rsid w:val="00EF18F1"/>
    <w:rsid w:val="00EF1931"/>
    <w:rsid w:val="00EF1938"/>
    <w:rsid w:val="00EF1960"/>
    <w:rsid w:val="00EF19C5"/>
    <w:rsid w:val="00EF19E1"/>
    <w:rsid w:val="00EF19E3"/>
    <w:rsid w:val="00EF19E6"/>
    <w:rsid w:val="00EF19FC"/>
    <w:rsid w:val="00EF1A4C"/>
    <w:rsid w:val="00EF1A68"/>
    <w:rsid w:val="00EF1A72"/>
    <w:rsid w:val="00EF1AB1"/>
    <w:rsid w:val="00EF1B06"/>
    <w:rsid w:val="00EF1B63"/>
    <w:rsid w:val="00EF1B7F"/>
    <w:rsid w:val="00EF1C1A"/>
    <w:rsid w:val="00EF1C75"/>
    <w:rsid w:val="00EF1D0D"/>
    <w:rsid w:val="00EF1D9B"/>
    <w:rsid w:val="00EF1DA6"/>
    <w:rsid w:val="00EF1DAF"/>
    <w:rsid w:val="00EF1DE0"/>
    <w:rsid w:val="00EF1DEF"/>
    <w:rsid w:val="00EF1E1C"/>
    <w:rsid w:val="00EF1E2C"/>
    <w:rsid w:val="00EF1E77"/>
    <w:rsid w:val="00EF1E7B"/>
    <w:rsid w:val="00EF1E99"/>
    <w:rsid w:val="00EF1F2D"/>
    <w:rsid w:val="00EF1F43"/>
    <w:rsid w:val="00EF1F5B"/>
    <w:rsid w:val="00EF1FC7"/>
    <w:rsid w:val="00EF2036"/>
    <w:rsid w:val="00EF203F"/>
    <w:rsid w:val="00EF204F"/>
    <w:rsid w:val="00EF208F"/>
    <w:rsid w:val="00EF2090"/>
    <w:rsid w:val="00EF2107"/>
    <w:rsid w:val="00EF2120"/>
    <w:rsid w:val="00EF213F"/>
    <w:rsid w:val="00EF216E"/>
    <w:rsid w:val="00EF2182"/>
    <w:rsid w:val="00EF219D"/>
    <w:rsid w:val="00EF21AF"/>
    <w:rsid w:val="00EF21C7"/>
    <w:rsid w:val="00EF21DA"/>
    <w:rsid w:val="00EF2231"/>
    <w:rsid w:val="00EF2278"/>
    <w:rsid w:val="00EF229A"/>
    <w:rsid w:val="00EF22E8"/>
    <w:rsid w:val="00EF230B"/>
    <w:rsid w:val="00EF2343"/>
    <w:rsid w:val="00EF2398"/>
    <w:rsid w:val="00EF23EB"/>
    <w:rsid w:val="00EF2481"/>
    <w:rsid w:val="00EF24A3"/>
    <w:rsid w:val="00EF2538"/>
    <w:rsid w:val="00EF255F"/>
    <w:rsid w:val="00EF2585"/>
    <w:rsid w:val="00EF25ED"/>
    <w:rsid w:val="00EF261D"/>
    <w:rsid w:val="00EF2658"/>
    <w:rsid w:val="00EF26C7"/>
    <w:rsid w:val="00EF26D5"/>
    <w:rsid w:val="00EF26F3"/>
    <w:rsid w:val="00EF2806"/>
    <w:rsid w:val="00EF2836"/>
    <w:rsid w:val="00EF28AE"/>
    <w:rsid w:val="00EF2901"/>
    <w:rsid w:val="00EF2985"/>
    <w:rsid w:val="00EF299D"/>
    <w:rsid w:val="00EF2A0C"/>
    <w:rsid w:val="00EF2A15"/>
    <w:rsid w:val="00EF2A25"/>
    <w:rsid w:val="00EF2A41"/>
    <w:rsid w:val="00EF2AAC"/>
    <w:rsid w:val="00EF2ABA"/>
    <w:rsid w:val="00EF2BBB"/>
    <w:rsid w:val="00EF2BBD"/>
    <w:rsid w:val="00EF2BF0"/>
    <w:rsid w:val="00EF2C2F"/>
    <w:rsid w:val="00EF2CA0"/>
    <w:rsid w:val="00EF2CAD"/>
    <w:rsid w:val="00EF2CDF"/>
    <w:rsid w:val="00EF2DDB"/>
    <w:rsid w:val="00EF2E00"/>
    <w:rsid w:val="00EF2E33"/>
    <w:rsid w:val="00EF2E62"/>
    <w:rsid w:val="00EF2E6F"/>
    <w:rsid w:val="00EF2EC7"/>
    <w:rsid w:val="00EF2ED8"/>
    <w:rsid w:val="00EF2EDF"/>
    <w:rsid w:val="00EF2F77"/>
    <w:rsid w:val="00EF2FB5"/>
    <w:rsid w:val="00EF3140"/>
    <w:rsid w:val="00EF3177"/>
    <w:rsid w:val="00EF3275"/>
    <w:rsid w:val="00EF331D"/>
    <w:rsid w:val="00EF3397"/>
    <w:rsid w:val="00EF33AF"/>
    <w:rsid w:val="00EF33BD"/>
    <w:rsid w:val="00EF3411"/>
    <w:rsid w:val="00EF341F"/>
    <w:rsid w:val="00EF351C"/>
    <w:rsid w:val="00EF353E"/>
    <w:rsid w:val="00EF3559"/>
    <w:rsid w:val="00EF358A"/>
    <w:rsid w:val="00EF3593"/>
    <w:rsid w:val="00EF359D"/>
    <w:rsid w:val="00EF3662"/>
    <w:rsid w:val="00EF36DE"/>
    <w:rsid w:val="00EF370B"/>
    <w:rsid w:val="00EF3753"/>
    <w:rsid w:val="00EF376C"/>
    <w:rsid w:val="00EF3888"/>
    <w:rsid w:val="00EF38C2"/>
    <w:rsid w:val="00EF38CD"/>
    <w:rsid w:val="00EF3970"/>
    <w:rsid w:val="00EF3973"/>
    <w:rsid w:val="00EF399F"/>
    <w:rsid w:val="00EF39E8"/>
    <w:rsid w:val="00EF3A27"/>
    <w:rsid w:val="00EF3A92"/>
    <w:rsid w:val="00EF3B10"/>
    <w:rsid w:val="00EF3B13"/>
    <w:rsid w:val="00EF3B41"/>
    <w:rsid w:val="00EF3B4C"/>
    <w:rsid w:val="00EF3B8F"/>
    <w:rsid w:val="00EF3B99"/>
    <w:rsid w:val="00EF3BE1"/>
    <w:rsid w:val="00EF3C01"/>
    <w:rsid w:val="00EF3C11"/>
    <w:rsid w:val="00EF3C32"/>
    <w:rsid w:val="00EF3C93"/>
    <w:rsid w:val="00EF3C9C"/>
    <w:rsid w:val="00EF3CA1"/>
    <w:rsid w:val="00EF3D55"/>
    <w:rsid w:val="00EF3D61"/>
    <w:rsid w:val="00EF3D95"/>
    <w:rsid w:val="00EF3DF7"/>
    <w:rsid w:val="00EF3E8C"/>
    <w:rsid w:val="00EF3EC2"/>
    <w:rsid w:val="00EF3F46"/>
    <w:rsid w:val="00EF3F64"/>
    <w:rsid w:val="00EF3F66"/>
    <w:rsid w:val="00EF3F87"/>
    <w:rsid w:val="00EF4091"/>
    <w:rsid w:val="00EF4121"/>
    <w:rsid w:val="00EF4158"/>
    <w:rsid w:val="00EF4163"/>
    <w:rsid w:val="00EF4172"/>
    <w:rsid w:val="00EF41AC"/>
    <w:rsid w:val="00EF4260"/>
    <w:rsid w:val="00EF42FA"/>
    <w:rsid w:val="00EF431E"/>
    <w:rsid w:val="00EF434A"/>
    <w:rsid w:val="00EF43BB"/>
    <w:rsid w:val="00EF4404"/>
    <w:rsid w:val="00EF44C7"/>
    <w:rsid w:val="00EF4569"/>
    <w:rsid w:val="00EF4667"/>
    <w:rsid w:val="00EF46AD"/>
    <w:rsid w:val="00EF46BD"/>
    <w:rsid w:val="00EF4746"/>
    <w:rsid w:val="00EF474B"/>
    <w:rsid w:val="00EF484D"/>
    <w:rsid w:val="00EF4874"/>
    <w:rsid w:val="00EF4896"/>
    <w:rsid w:val="00EF48AB"/>
    <w:rsid w:val="00EF48CD"/>
    <w:rsid w:val="00EF48E0"/>
    <w:rsid w:val="00EF492A"/>
    <w:rsid w:val="00EF4A07"/>
    <w:rsid w:val="00EF4A34"/>
    <w:rsid w:val="00EF4A4B"/>
    <w:rsid w:val="00EF4ACA"/>
    <w:rsid w:val="00EF4B99"/>
    <w:rsid w:val="00EF4C21"/>
    <w:rsid w:val="00EF4C34"/>
    <w:rsid w:val="00EF4CB1"/>
    <w:rsid w:val="00EF4CFF"/>
    <w:rsid w:val="00EF4D5C"/>
    <w:rsid w:val="00EF4D6E"/>
    <w:rsid w:val="00EF4D76"/>
    <w:rsid w:val="00EF4DBD"/>
    <w:rsid w:val="00EF4DEE"/>
    <w:rsid w:val="00EF4E3E"/>
    <w:rsid w:val="00EF4E66"/>
    <w:rsid w:val="00EF4E91"/>
    <w:rsid w:val="00EF4EA9"/>
    <w:rsid w:val="00EF4EC5"/>
    <w:rsid w:val="00EF4F25"/>
    <w:rsid w:val="00EF4FBE"/>
    <w:rsid w:val="00EF500A"/>
    <w:rsid w:val="00EF5027"/>
    <w:rsid w:val="00EF5073"/>
    <w:rsid w:val="00EF50A9"/>
    <w:rsid w:val="00EF5123"/>
    <w:rsid w:val="00EF5171"/>
    <w:rsid w:val="00EF519B"/>
    <w:rsid w:val="00EF51ED"/>
    <w:rsid w:val="00EF51EE"/>
    <w:rsid w:val="00EF5258"/>
    <w:rsid w:val="00EF526F"/>
    <w:rsid w:val="00EF52CD"/>
    <w:rsid w:val="00EF5311"/>
    <w:rsid w:val="00EF5354"/>
    <w:rsid w:val="00EF5364"/>
    <w:rsid w:val="00EF538E"/>
    <w:rsid w:val="00EF53AA"/>
    <w:rsid w:val="00EF53AC"/>
    <w:rsid w:val="00EF5434"/>
    <w:rsid w:val="00EF5496"/>
    <w:rsid w:val="00EF54A8"/>
    <w:rsid w:val="00EF54C4"/>
    <w:rsid w:val="00EF54D0"/>
    <w:rsid w:val="00EF551D"/>
    <w:rsid w:val="00EF5533"/>
    <w:rsid w:val="00EF5593"/>
    <w:rsid w:val="00EF561D"/>
    <w:rsid w:val="00EF5626"/>
    <w:rsid w:val="00EF56A0"/>
    <w:rsid w:val="00EF56B4"/>
    <w:rsid w:val="00EF56E1"/>
    <w:rsid w:val="00EF571C"/>
    <w:rsid w:val="00EF57B9"/>
    <w:rsid w:val="00EF57C0"/>
    <w:rsid w:val="00EF5895"/>
    <w:rsid w:val="00EF58AD"/>
    <w:rsid w:val="00EF58AE"/>
    <w:rsid w:val="00EF58E7"/>
    <w:rsid w:val="00EF5909"/>
    <w:rsid w:val="00EF590F"/>
    <w:rsid w:val="00EF5980"/>
    <w:rsid w:val="00EF5991"/>
    <w:rsid w:val="00EF5A08"/>
    <w:rsid w:val="00EF5A63"/>
    <w:rsid w:val="00EF5AE9"/>
    <w:rsid w:val="00EF5AF4"/>
    <w:rsid w:val="00EF5BCB"/>
    <w:rsid w:val="00EF5C03"/>
    <w:rsid w:val="00EF5C42"/>
    <w:rsid w:val="00EF5C5D"/>
    <w:rsid w:val="00EF5C65"/>
    <w:rsid w:val="00EF5C92"/>
    <w:rsid w:val="00EF5CBA"/>
    <w:rsid w:val="00EF5CBF"/>
    <w:rsid w:val="00EF5CDD"/>
    <w:rsid w:val="00EF5D18"/>
    <w:rsid w:val="00EF5D49"/>
    <w:rsid w:val="00EF5D6E"/>
    <w:rsid w:val="00EF5DAA"/>
    <w:rsid w:val="00EF5DFD"/>
    <w:rsid w:val="00EF5E11"/>
    <w:rsid w:val="00EF5E3B"/>
    <w:rsid w:val="00EF5E81"/>
    <w:rsid w:val="00EF5EF5"/>
    <w:rsid w:val="00EF5F24"/>
    <w:rsid w:val="00EF5FDF"/>
    <w:rsid w:val="00EF5FF3"/>
    <w:rsid w:val="00EF6146"/>
    <w:rsid w:val="00EF616C"/>
    <w:rsid w:val="00EF623E"/>
    <w:rsid w:val="00EF626D"/>
    <w:rsid w:val="00EF6280"/>
    <w:rsid w:val="00EF6286"/>
    <w:rsid w:val="00EF62DC"/>
    <w:rsid w:val="00EF62E5"/>
    <w:rsid w:val="00EF6323"/>
    <w:rsid w:val="00EF634C"/>
    <w:rsid w:val="00EF6373"/>
    <w:rsid w:val="00EF63AE"/>
    <w:rsid w:val="00EF63DE"/>
    <w:rsid w:val="00EF6403"/>
    <w:rsid w:val="00EF658F"/>
    <w:rsid w:val="00EF65D1"/>
    <w:rsid w:val="00EF65D3"/>
    <w:rsid w:val="00EF6617"/>
    <w:rsid w:val="00EF66AE"/>
    <w:rsid w:val="00EF66C9"/>
    <w:rsid w:val="00EF66EC"/>
    <w:rsid w:val="00EF672D"/>
    <w:rsid w:val="00EF673E"/>
    <w:rsid w:val="00EF6773"/>
    <w:rsid w:val="00EF677D"/>
    <w:rsid w:val="00EF6782"/>
    <w:rsid w:val="00EF67BD"/>
    <w:rsid w:val="00EF67D2"/>
    <w:rsid w:val="00EF67FA"/>
    <w:rsid w:val="00EF67FD"/>
    <w:rsid w:val="00EF6828"/>
    <w:rsid w:val="00EF689E"/>
    <w:rsid w:val="00EF6936"/>
    <w:rsid w:val="00EF694E"/>
    <w:rsid w:val="00EF69AC"/>
    <w:rsid w:val="00EF69B4"/>
    <w:rsid w:val="00EF69DF"/>
    <w:rsid w:val="00EF6A12"/>
    <w:rsid w:val="00EF6B5C"/>
    <w:rsid w:val="00EF6C6F"/>
    <w:rsid w:val="00EF6CD1"/>
    <w:rsid w:val="00EF6EB9"/>
    <w:rsid w:val="00EF6EE8"/>
    <w:rsid w:val="00EF6F02"/>
    <w:rsid w:val="00EF6F8F"/>
    <w:rsid w:val="00EF6FBA"/>
    <w:rsid w:val="00EF700D"/>
    <w:rsid w:val="00EF7062"/>
    <w:rsid w:val="00EF7075"/>
    <w:rsid w:val="00EF70A2"/>
    <w:rsid w:val="00EF7104"/>
    <w:rsid w:val="00EF715A"/>
    <w:rsid w:val="00EF7176"/>
    <w:rsid w:val="00EF718E"/>
    <w:rsid w:val="00EF71F0"/>
    <w:rsid w:val="00EF72C0"/>
    <w:rsid w:val="00EF734E"/>
    <w:rsid w:val="00EF7354"/>
    <w:rsid w:val="00EF7373"/>
    <w:rsid w:val="00EF737D"/>
    <w:rsid w:val="00EF73A9"/>
    <w:rsid w:val="00EF73BC"/>
    <w:rsid w:val="00EF7469"/>
    <w:rsid w:val="00EF749C"/>
    <w:rsid w:val="00EF755F"/>
    <w:rsid w:val="00EF75A0"/>
    <w:rsid w:val="00EF75F2"/>
    <w:rsid w:val="00EF75F7"/>
    <w:rsid w:val="00EF767B"/>
    <w:rsid w:val="00EF76B1"/>
    <w:rsid w:val="00EF77DE"/>
    <w:rsid w:val="00EF77F7"/>
    <w:rsid w:val="00EF7883"/>
    <w:rsid w:val="00EF78A5"/>
    <w:rsid w:val="00EF78CC"/>
    <w:rsid w:val="00EF78F3"/>
    <w:rsid w:val="00EF78F9"/>
    <w:rsid w:val="00EF7955"/>
    <w:rsid w:val="00EF7A06"/>
    <w:rsid w:val="00EF7A13"/>
    <w:rsid w:val="00EF7A32"/>
    <w:rsid w:val="00EF7A67"/>
    <w:rsid w:val="00EF7A79"/>
    <w:rsid w:val="00EF7A7A"/>
    <w:rsid w:val="00EF7AA5"/>
    <w:rsid w:val="00EF7ADE"/>
    <w:rsid w:val="00EF7AE4"/>
    <w:rsid w:val="00EF7AEB"/>
    <w:rsid w:val="00EF7B10"/>
    <w:rsid w:val="00EF7C3D"/>
    <w:rsid w:val="00EF7C48"/>
    <w:rsid w:val="00EF7C71"/>
    <w:rsid w:val="00EF7CC1"/>
    <w:rsid w:val="00EF7D22"/>
    <w:rsid w:val="00EF7D6F"/>
    <w:rsid w:val="00EF7E0A"/>
    <w:rsid w:val="00EF7EB5"/>
    <w:rsid w:val="00EF7F1F"/>
    <w:rsid w:val="00EF7F8A"/>
    <w:rsid w:val="00EF7FDC"/>
    <w:rsid w:val="00F00018"/>
    <w:rsid w:val="00F00062"/>
    <w:rsid w:val="00F00070"/>
    <w:rsid w:val="00F00082"/>
    <w:rsid w:val="00F000B4"/>
    <w:rsid w:val="00F00118"/>
    <w:rsid w:val="00F00121"/>
    <w:rsid w:val="00F00197"/>
    <w:rsid w:val="00F001D2"/>
    <w:rsid w:val="00F0029A"/>
    <w:rsid w:val="00F00333"/>
    <w:rsid w:val="00F0033F"/>
    <w:rsid w:val="00F00343"/>
    <w:rsid w:val="00F0038C"/>
    <w:rsid w:val="00F0039F"/>
    <w:rsid w:val="00F003C7"/>
    <w:rsid w:val="00F003E8"/>
    <w:rsid w:val="00F0043C"/>
    <w:rsid w:val="00F0046A"/>
    <w:rsid w:val="00F00480"/>
    <w:rsid w:val="00F004B1"/>
    <w:rsid w:val="00F004BE"/>
    <w:rsid w:val="00F004F4"/>
    <w:rsid w:val="00F0053C"/>
    <w:rsid w:val="00F0059A"/>
    <w:rsid w:val="00F005AF"/>
    <w:rsid w:val="00F005BA"/>
    <w:rsid w:val="00F005F1"/>
    <w:rsid w:val="00F006E2"/>
    <w:rsid w:val="00F006EB"/>
    <w:rsid w:val="00F0072F"/>
    <w:rsid w:val="00F00770"/>
    <w:rsid w:val="00F007A6"/>
    <w:rsid w:val="00F007FC"/>
    <w:rsid w:val="00F00803"/>
    <w:rsid w:val="00F0082D"/>
    <w:rsid w:val="00F00873"/>
    <w:rsid w:val="00F00892"/>
    <w:rsid w:val="00F008A6"/>
    <w:rsid w:val="00F008BC"/>
    <w:rsid w:val="00F008EC"/>
    <w:rsid w:val="00F008FC"/>
    <w:rsid w:val="00F0092F"/>
    <w:rsid w:val="00F00958"/>
    <w:rsid w:val="00F00A8B"/>
    <w:rsid w:val="00F00A9E"/>
    <w:rsid w:val="00F00ADC"/>
    <w:rsid w:val="00F00B74"/>
    <w:rsid w:val="00F00B97"/>
    <w:rsid w:val="00F00C1F"/>
    <w:rsid w:val="00F00C3C"/>
    <w:rsid w:val="00F00C49"/>
    <w:rsid w:val="00F00C4A"/>
    <w:rsid w:val="00F00C63"/>
    <w:rsid w:val="00F00C66"/>
    <w:rsid w:val="00F00C7C"/>
    <w:rsid w:val="00F00CB4"/>
    <w:rsid w:val="00F00D7B"/>
    <w:rsid w:val="00F00DB4"/>
    <w:rsid w:val="00F00DD3"/>
    <w:rsid w:val="00F00DDA"/>
    <w:rsid w:val="00F00E30"/>
    <w:rsid w:val="00F00E89"/>
    <w:rsid w:val="00F00E93"/>
    <w:rsid w:val="00F00E94"/>
    <w:rsid w:val="00F00EA9"/>
    <w:rsid w:val="00F01042"/>
    <w:rsid w:val="00F01055"/>
    <w:rsid w:val="00F01091"/>
    <w:rsid w:val="00F010BD"/>
    <w:rsid w:val="00F01106"/>
    <w:rsid w:val="00F0110E"/>
    <w:rsid w:val="00F011BC"/>
    <w:rsid w:val="00F01253"/>
    <w:rsid w:val="00F0128C"/>
    <w:rsid w:val="00F01353"/>
    <w:rsid w:val="00F013D8"/>
    <w:rsid w:val="00F013E1"/>
    <w:rsid w:val="00F01434"/>
    <w:rsid w:val="00F014D9"/>
    <w:rsid w:val="00F014DD"/>
    <w:rsid w:val="00F01501"/>
    <w:rsid w:val="00F01524"/>
    <w:rsid w:val="00F015AB"/>
    <w:rsid w:val="00F0161F"/>
    <w:rsid w:val="00F01632"/>
    <w:rsid w:val="00F0163A"/>
    <w:rsid w:val="00F01694"/>
    <w:rsid w:val="00F016D9"/>
    <w:rsid w:val="00F01728"/>
    <w:rsid w:val="00F0176E"/>
    <w:rsid w:val="00F01783"/>
    <w:rsid w:val="00F01904"/>
    <w:rsid w:val="00F0195D"/>
    <w:rsid w:val="00F0199D"/>
    <w:rsid w:val="00F019DB"/>
    <w:rsid w:val="00F01A3A"/>
    <w:rsid w:val="00F01A42"/>
    <w:rsid w:val="00F01A7B"/>
    <w:rsid w:val="00F01A88"/>
    <w:rsid w:val="00F01AC8"/>
    <w:rsid w:val="00F01B15"/>
    <w:rsid w:val="00F01B28"/>
    <w:rsid w:val="00F01CA2"/>
    <w:rsid w:val="00F01CC3"/>
    <w:rsid w:val="00F01CCD"/>
    <w:rsid w:val="00F01D07"/>
    <w:rsid w:val="00F01D2D"/>
    <w:rsid w:val="00F01D57"/>
    <w:rsid w:val="00F01D9C"/>
    <w:rsid w:val="00F01E1B"/>
    <w:rsid w:val="00F01E24"/>
    <w:rsid w:val="00F01E64"/>
    <w:rsid w:val="00F01E9C"/>
    <w:rsid w:val="00F01F19"/>
    <w:rsid w:val="00F01F23"/>
    <w:rsid w:val="00F01F78"/>
    <w:rsid w:val="00F01F87"/>
    <w:rsid w:val="00F01F92"/>
    <w:rsid w:val="00F01FC2"/>
    <w:rsid w:val="00F01FCC"/>
    <w:rsid w:val="00F02061"/>
    <w:rsid w:val="00F020BD"/>
    <w:rsid w:val="00F02180"/>
    <w:rsid w:val="00F021B5"/>
    <w:rsid w:val="00F02235"/>
    <w:rsid w:val="00F02252"/>
    <w:rsid w:val="00F02266"/>
    <w:rsid w:val="00F02270"/>
    <w:rsid w:val="00F022C4"/>
    <w:rsid w:val="00F022E9"/>
    <w:rsid w:val="00F02305"/>
    <w:rsid w:val="00F02310"/>
    <w:rsid w:val="00F02348"/>
    <w:rsid w:val="00F0245B"/>
    <w:rsid w:val="00F02480"/>
    <w:rsid w:val="00F0248D"/>
    <w:rsid w:val="00F024BD"/>
    <w:rsid w:val="00F024F9"/>
    <w:rsid w:val="00F02552"/>
    <w:rsid w:val="00F02578"/>
    <w:rsid w:val="00F025AF"/>
    <w:rsid w:val="00F025D2"/>
    <w:rsid w:val="00F02622"/>
    <w:rsid w:val="00F0263E"/>
    <w:rsid w:val="00F0269A"/>
    <w:rsid w:val="00F026CF"/>
    <w:rsid w:val="00F0271F"/>
    <w:rsid w:val="00F02745"/>
    <w:rsid w:val="00F02780"/>
    <w:rsid w:val="00F027BC"/>
    <w:rsid w:val="00F027C3"/>
    <w:rsid w:val="00F0280D"/>
    <w:rsid w:val="00F0281F"/>
    <w:rsid w:val="00F0286C"/>
    <w:rsid w:val="00F0286E"/>
    <w:rsid w:val="00F02884"/>
    <w:rsid w:val="00F0293B"/>
    <w:rsid w:val="00F0293D"/>
    <w:rsid w:val="00F029B7"/>
    <w:rsid w:val="00F029C6"/>
    <w:rsid w:val="00F02A10"/>
    <w:rsid w:val="00F02AC0"/>
    <w:rsid w:val="00F02ACD"/>
    <w:rsid w:val="00F02B70"/>
    <w:rsid w:val="00F02B7B"/>
    <w:rsid w:val="00F02B92"/>
    <w:rsid w:val="00F02B9D"/>
    <w:rsid w:val="00F02BB0"/>
    <w:rsid w:val="00F02BCD"/>
    <w:rsid w:val="00F02C65"/>
    <w:rsid w:val="00F02C6E"/>
    <w:rsid w:val="00F02C7B"/>
    <w:rsid w:val="00F02CA6"/>
    <w:rsid w:val="00F02D42"/>
    <w:rsid w:val="00F02DB5"/>
    <w:rsid w:val="00F02DC3"/>
    <w:rsid w:val="00F02E29"/>
    <w:rsid w:val="00F02EA1"/>
    <w:rsid w:val="00F02EE7"/>
    <w:rsid w:val="00F02F37"/>
    <w:rsid w:val="00F02F92"/>
    <w:rsid w:val="00F02FCC"/>
    <w:rsid w:val="00F02FE4"/>
    <w:rsid w:val="00F03040"/>
    <w:rsid w:val="00F0304E"/>
    <w:rsid w:val="00F030B5"/>
    <w:rsid w:val="00F030D4"/>
    <w:rsid w:val="00F0311C"/>
    <w:rsid w:val="00F03134"/>
    <w:rsid w:val="00F03158"/>
    <w:rsid w:val="00F03233"/>
    <w:rsid w:val="00F0326B"/>
    <w:rsid w:val="00F03329"/>
    <w:rsid w:val="00F033E9"/>
    <w:rsid w:val="00F0345B"/>
    <w:rsid w:val="00F0347D"/>
    <w:rsid w:val="00F034CB"/>
    <w:rsid w:val="00F034F8"/>
    <w:rsid w:val="00F035C7"/>
    <w:rsid w:val="00F035F4"/>
    <w:rsid w:val="00F0367E"/>
    <w:rsid w:val="00F036D5"/>
    <w:rsid w:val="00F036DE"/>
    <w:rsid w:val="00F036E1"/>
    <w:rsid w:val="00F03729"/>
    <w:rsid w:val="00F0376A"/>
    <w:rsid w:val="00F037B1"/>
    <w:rsid w:val="00F037C9"/>
    <w:rsid w:val="00F037CB"/>
    <w:rsid w:val="00F0383A"/>
    <w:rsid w:val="00F038D6"/>
    <w:rsid w:val="00F038EB"/>
    <w:rsid w:val="00F0392D"/>
    <w:rsid w:val="00F03996"/>
    <w:rsid w:val="00F03BED"/>
    <w:rsid w:val="00F03C2C"/>
    <w:rsid w:val="00F03C65"/>
    <w:rsid w:val="00F03C9C"/>
    <w:rsid w:val="00F03CAB"/>
    <w:rsid w:val="00F03CC6"/>
    <w:rsid w:val="00F03CE8"/>
    <w:rsid w:val="00F03D5B"/>
    <w:rsid w:val="00F03D7E"/>
    <w:rsid w:val="00F03DD2"/>
    <w:rsid w:val="00F03F5D"/>
    <w:rsid w:val="00F0404C"/>
    <w:rsid w:val="00F04050"/>
    <w:rsid w:val="00F04071"/>
    <w:rsid w:val="00F040A3"/>
    <w:rsid w:val="00F04127"/>
    <w:rsid w:val="00F0416E"/>
    <w:rsid w:val="00F041C0"/>
    <w:rsid w:val="00F041F3"/>
    <w:rsid w:val="00F04241"/>
    <w:rsid w:val="00F0426A"/>
    <w:rsid w:val="00F04272"/>
    <w:rsid w:val="00F042FD"/>
    <w:rsid w:val="00F0438A"/>
    <w:rsid w:val="00F043E3"/>
    <w:rsid w:val="00F043F7"/>
    <w:rsid w:val="00F0440F"/>
    <w:rsid w:val="00F04430"/>
    <w:rsid w:val="00F04431"/>
    <w:rsid w:val="00F04432"/>
    <w:rsid w:val="00F0447F"/>
    <w:rsid w:val="00F044D5"/>
    <w:rsid w:val="00F04540"/>
    <w:rsid w:val="00F04541"/>
    <w:rsid w:val="00F0458A"/>
    <w:rsid w:val="00F045A3"/>
    <w:rsid w:val="00F045C6"/>
    <w:rsid w:val="00F045E0"/>
    <w:rsid w:val="00F0465D"/>
    <w:rsid w:val="00F04686"/>
    <w:rsid w:val="00F046B2"/>
    <w:rsid w:val="00F046C2"/>
    <w:rsid w:val="00F046DF"/>
    <w:rsid w:val="00F04713"/>
    <w:rsid w:val="00F04750"/>
    <w:rsid w:val="00F04782"/>
    <w:rsid w:val="00F047BC"/>
    <w:rsid w:val="00F047DC"/>
    <w:rsid w:val="00F048A3"/>
    <w:rsid w:val="00F048DC"/>
    <w:rsid w:val="00F04929"/>
    <w:rsid w:val="00F049A3"/>
    <w:rsid w:val="00F049CE"/>
    <w:rsid w:val="00F04A3C"/>
    <w:rsid w:val="00F04A71"/>
    <w:rsid w:val="00F04A8B"/>
    <w:rsid w:val="00F04A9D"/>
    <w:rsid w:val="00F04A9F"/>
    <w:rsid w:val="00F04AB3"/>
    <w:rsid w:val="00F04AC9"/>
    <w:rsid w:val="00F04B24"/>
    <w:rsid w:val="00F04B2A"/>
    <w:rsid w:val="00F04B5F"/>
    <w:rsid w:val="00F04B7D"/>
    <w:rsid w:val="00F04BDD"/>
    <w:rsid w:val="00F04C33"/>
    <w:rsid w:val="00F04C83"/>
    <w:rsid w:val="00F04D2D"/>
    <w:rsid w:val="00F04D6A"/>
    <w:rsid w:val="00F04D8A"/>
    <w:rsid w:val="00F04DF2"/>
    <w:rsid w:val="00F04E0C"/>
    <w:rsid w:val="00F04E15"/>
    <w:rsid w:val="00F04E22"/>
    <w:rsid w:val="00F04E32"/>
    <w:rsid w:val="00F04E97"/>
    <w:rsid w:val="00F04ECC"/>
    <w:rsid w:val="00F04F7D"/>
    <w:rsid w:val="00F04FA8"/>
    <w:rsid w:val="00F04FD2"/>
    <w:rsid w:val="00F04FEA"/>
    <w:rsid w:val="00F04FF7"/>
    <w:rsid w:val="00F0500F"/>
    <w:rsid w:val="00F05024"/>
    <w:rsid w:val="00F05044"/>
    <w:rsid w:val="00F0505B"/>
    <w:rsid w:val="00F05071"/>
    <w:rsid w:val="00F050A7"/>
    <w:rsid w:val="00F050F3"/>
    <w:rsid w:val="00F050F8"/>
    <w:rsid w:val="00F05101"/>
    <w:rsid w:val="00F0511C"/>
    <w:rsid w:val="00F05122"/>
    <w:rsid w:val="00F05130"/>
    <w:rsid w:val="00F0517A"/>
    <w:rsid w:val="00F051AB"/>
    <w:rsid w:val="00F051AD"/>
    <w:rsid w:val="00F051D4"/>
    <w:rsid w:val="00F051E0"/>
    <w:rsid w:val="00F051E7"/>
    <w:rsid w:val="00F051F0"/>
    <w:rsid w:val="00F0521E"/>
    <w:rsid w:val="00F05280"/>
    <w:rsid w:val="00F052CE"/>
    <w:rsid w:val="00F052CF"/>
    <w:rsid w:val="00F052E6"/>
    <w:rsid w:val="00F053C1"/>
    <w:rsid w:val="00F05410"/>
    <w:rsid w:val="00F05437"/>
    <w:rsid w:val="00F0546C"/>
    <w:rsid w:val="00F0547B"/>
    <w:rsid w:val="00F055A7"/>
    <w:rsid w:val="00F055EB"/>
    <w:rsid w:val="00F05661"/>
    <w:rsid w:val="00F05736"/>
    <w:rsid w:val="00F057F0"/>
    <w:rsid w:val="00F058AB"/>
    <w:rsid w:val="00F058EA"/>
    <w:rsid w:val="00F05904"/>
    <w:rsid w:val="00F05928"/>
    <w:rsid w:val="00F0596D"/>
    <w:rsid w:val="00F059D7"/>
    <w:rsid w:val="00F05A77"/>
    <w:rsid w:val="00F05A85"/>
    <w:rsid w:val="00F05AD9"/>
    <w:rsid w:val="00F05B15"/>
    <w:rsid w:val="00F05B1C"/>
    <w:rsid w:val="00F05B26"/>
    <w:rsid w:val="00F05B6B"/>
    <w:rsid w:val="00F05B6F"/>
    <w:rsid w:val="00F05C82"/>
    <w:rsid w:val="00F05C9F"/>
    <w:rsid w:val="00F05CF8"/>
    <w:rsid w:val="00F05E11"/>
    <w:rsid w:val="00F05E28"/>
    <w:rsid w:val="00F05E4B"/>
    <w:rsid w:val="00F05EBA"/>
    <w:rsid w:val="00F05EBF"/>
    <w:rsid w:val="00F05EE2"/>
    <w:rsid w:val="00F05F6B"/>
    <w:rsid w:val="00F05FEB"/>
    <w:rsid w:val="00F05FEC"/>
    <w:rsid w:val="00F05FFB"/>
    <w:rsid w:val="00F06014"/>
    <w:rsid w:val="00F0601D"/>
    <w:rsid w:val="00F060D6"/>
    <w:rsid w:val="00F06156"/>
    <w:rsid w:val="00F061E9"/>
    <w:rsid w:val="00F0620C"/>
    <w:rsid w:val="00F0627D"/>
    <w:rsid w:val="00F062B4"/>
    <w:rsid w:val="00F062DF"/>
    <w:rsid w:val="00F063F9"/>
    <w:rsid w:val="00F0640D"/>
    <w:rsid w:val="00F06454"/>
    <w:rsid w:val="00F06473"/>
    <w:rsid w:val="00F064C3"/>
    <w:rsid w:val="00F064CC"/>
    <w:rsid w:val="00F064EC"/>
    <w:rsid w:val="00F0654F"/>
    <w:rsid w:val="00F06554"/>
    <w:rsid w:val="00F065DE"/>
    <w:rsid w:val="00F06656"/>
    <w:rsid w:val="00F06676"/>
    <w:rsid w:val="00F066F7"/>
    <w:rsid w:val="00F0672F"/>
    <w:rsid w:val="00F06865"/>
    <w:rsid w:val="00F06886"/>
    <w:rsid w:val="00F068BA"/>
    <w:rsid w:val="00F0699F"/>
    <w:rsid w:val="00F069BD"/>
    <w:rsid w:val="00F06A47"/>
    <w:rsid w:val="00F06A6D"/>
    <w:rsid w:val="00F06A8C"/>
    <w:rsid w:val="00F06AA5"/>
    <w:rsid w:val="00F06AB6"/>
    <w:rsid w:val="00F06B25"/>
    <w:rsid w:val="00F06B8C"/>
    <w:rsid w:val="00F06BBC"/>
    <w:rsid w:val="00F06BDC"/>
    <w:rsid w:val="00F06BFC"/>
    <w:rsid w:val="00F06C62"/>
    <w:rsid w:val="00F06C93"/>
    <w:rsid w:val="00F06CDD"/>
    <w:rsid w:val="00F06CE5"/>
    <w:rsid w:val="00F06CED"/>
    <w:rsid w:val="00F06CF3"/>
    <w:rsid w:val="00F06D34"/>
    <w:rsid w:val="00F06D50"/>
    <w:rsid w:val="00F06D7E"/>
    <w:rsid w:val="00F06DB5"/>
    <w:rsid w:val="00F06E0A"/>
    <w:rsid w:val="00F06E11"/>
    <w:rsid w:val="00F06E5F"/>
    <w:rsid w:val="00F06F41"/>
    <w:rsid w:val="00F06F47"/>
    <w:rsid w:val="00F06FA3"/>
    <w:rsid w:val="00F06FC9"/>
    <w:rsid w:val="00F07056"/>
    <w:rsid w:val="00F07060"/>
    <w:rsid w:val="00F0706E"/>
    <w:rsid w:val="00F07098"/>
    <w:rsid w:val="00F071D4"/>
    <w:rsid w:val="00F071F8"/>
    <w:rsid w:val="00F0725C"/>
    <w:rsid w:val="00F07294"/>
    <w:rsid w:val="00F072BD"/>
    <w:rsid w:val="00F072BE"/>
    <w:rsid w:val="00F072D2"/>
    <w:rsid w:val="00F072D3"/>
    <w:rsid w:val="00F072D6"/>
    <w:rsid w:val="00F0730C"/>
    <w:rsid w:val="00F07369"/>
    <w:rsid w:val="00F07390"/>
    <w:rsid w:val="00F07402"/>
    <w:rsid w:val="00F07425"/>
    <w:rsid w:val="00F0742C"/>
    <w:rsid w:val="00F0744A"/>
    <w:rsid w:val="00F0747D"/>
    <w:rsid w:val="00F07486"/>
    <w:rsid w:val="00F07497"/>
    <w:rsid w:val="00F074BB"/>
    <w:rsid w:val="00F07544"/>
    <w:rsid w:val="00F07568"/>
    <w:rsid w:val="00F07595"/>
    <w:rsid w:val="00F0759A"/>
    <w:rsid w:val="00F075CB"/>
    <w:rsid w:val="00F076E9"/>
    <w:rsid w:val="00F07758"/>
    <w:rsid w:val="00F0776F"/>
    <w:rsid w:val="00F077B0"/>
    <w:rsid w:val="00F077C9"/>
    <w:rsid w:val="00F07804"/>
    <w:rsid w:val="00F078F1"/>
    <w:rsid w:val="00F078F5"/>
    <w:rsid w:val="00F07937"/>
    <w:rsid w:val="00F0796E"/>
    <w:rsid w:val="00F079D0"/>
    <w:rsid w:val="00F079F6"/>
    <w:rsid w:val="00F07A05"/>
    <w:rsid w:val="00F07A12"/>
    <w:rsid w:val="00F07A55"/>
    <w:rsid w:val="00F07A5A"/>
    <w:rsid w:val="00F07A63"/>
    <w:rsid w:val="00F07A87"/>
    <w:rsid w:val="00F07AF6"/>
    <w:rsid w:val="00F07B5C"/>
    <w:rsid w:val="00F07B69"/>
    <w:rsid w:val="00F07BC8"/>
    <w:rsid w:val="00F07BE6"/>
    <w:rsid w:val="00F07C4B"/>
    <w:rsid w:val="00F07C5F"/>
    <w:rsid w:val="00F07C90"/>
    <w:rsid w:val="00F07CAB"/>
    <w:rsid w:val="00F07CCB"/>
    <w:rsid w:val="00F07CF4"/>
    <w:rsid w:val="00F07D07"/>
    <w:rsid w:val="00F07D09"/>
    <w:rsid w:val="00F07D30"/>
    <w:rsid w:val="00F07D42"/>
    <w:rsid w:val="00F07D4A"/>
    <w:rsid w:val="00F07D6B"/>
    <w:rsid w:val="00F07D6C"/>
    <w:rsid w:val="00F07DDC"/>
    <w:rsid w:val="00F07DE2"/>
    <w:rsid w:val="00F07E09"/>
    <w:rsid w:val="00F07E39"/>
    <w:rsid w:val="00F07EB3"/>
    <w:rsid w:val="00F07F1D"/>
    <w:rsid w:val="00F07F43"/>
    <w:rsid w:val="00F07F79"/>
    <w:rsid w:val="00F07F92"/>
    <w:rsid w:val="00F07FC9"/>
    <w:rsid w:val="00F10041"/>
    <w:rsid w:val="00F1004F"/>
    <w:rsid w:val="00F100BE"/>
    <w:rsid w:val="00F100F1"/>
    <w:rsid w:val="00F10128"/>
    <w:rsid w:val="00F10143"/>
    <w:rsid w:val="00F10189"/>
    <w:rsid w:val="00F10200"/>
    <w:rsid w:val="00F10209"/>
    <w:rsid w:val="00F10220"/>
    <w:rsid w:val="00F10230"/>
    <w:rsid w:val="00F10252"/>
    <w:rsid w:val="00F102E5"/>
    <w:rsid w:val="00F103A8"/>
    <w:rsid w:val="00F10424"/>
    <w:rsid w:val="00F10489"/>
    <w:rsid w:val="00F104CE"/>
    <w:rsid w:val="00F104F6"/>
    <w:rsid w:val="00F1054C"/>
    <w:rsid w:val="00F10571"/>
    <w:rsid w:val="00F10598"/>
    <w:rsid w:val="00F105A7"/>
    <w:rsid w:val="00F10619"/>
    <w:rsid w:val="00F1062A"/>
    <w:rsid w:val="00F1065D"/>
    <w:rsid w:val="00F106F5"/>
    <w:rsid w:val="00F10724"/>
    <w:rsid w:val="00F10739"/>
    <w:rsid w:val="00F107C9"/>
    <w:rsid w:val="00F10817"/>
    <w:rsid w:val="00F10822"/>
    <w:rsid w:val="00F1083D"/>
    <w:rsid w:val="00F10A4F"/>
    <w:rsid w:val="00F10A5F"/>
    <w:rsid w:val="00F10A89"/>
    <w:rsid w:val="00F10AF6"/>
    <w:rsid w:val="00F10B74"/>
    <w:rsid w:val="00F10C77"/>
    <w:rsid w:val="00F10CDF"/>
    <w:rsid w:val="00F10D18"/>
    <w:rsid w:val="00F10DDC"/>
    <w:rsid w:val="00F10E1A"/>
    <w:rsid w:val="00F10E2D"/>
    <w:rsid w:val="00F10E67"/>
    <w:rsid w:val="00F10E6B"/>
    <w:rsid w:val="00F10E78"/>
    <w:rsid w:val="00F10E88"/>
    <w:rsid w:val="00F10F0F"/>
    <w:rsid w:val="00F10F33"/>
    <w:rsid w:val="00F10F63"/>
    <w:rsid w:val="00F10F6E"/>
    <w:rsid w:val="00F10F88"/>
    <w:rsid w:val="00F11039"/>
    <w:rsid w:val="00F1113B"/>
    <w:rsid w:val="00F111AA"/>
    <w:rsid w:val="00F11271"/>
    <w:rsid w:val="00F112E4"/>
    <w:rsid w:val="00F11303"/>
    <w:rsid w:val="00F11330"/>
    <w:rsid w:val="00F1136D"/>
    <w:rsid w:val="00F11392"/>
    <w:rsid w:val="00F113BA"/>
    <w:rsid w:val="00F11436"/>
    <w:rsid w:val="00F11451"/>
    <w:rsid w:val="00F11548"/>
    <w:rsid w:val="00F11549"/>
    <w:rsid w:val="00F115B2"/>
    <w:rsid w:val="00F1167C"/>
    <w:rsid w:val="00F11687"/>
    <w:rsid w:val="00F11698"/>
    <w:rsid w:val="00F116C7"/>
    <w:rsid w:val="00F116C9"/>
    <w:rsid w:val="00F116CC"/>
    <w:rsid w:val="00F116F2"/>
    <w:rsid w:val="00F1170D"/>
    <w:rsid w:val="00F1170F"/>
    <w:rsid w:val="00F1171B"/>
    <w:rsid w:val="00F11724"/>
    <w:rsid w:val="00F117D4"/>
    <w:rsid w:val="00F11847"/>
    <w:rsid w:val="00F118C9"/>
    <w:rsid w:val="00F118DF"/>
    <w:rsid w:val="00F118F3"/>
    <w:rsid w:val="00F11935"/>
    <w:rsid w:val="00F11980"/>
    <w:rsid w:val="00F119B4"/>
    <w:rsid w:val="00F119E7"/>
    <w:rsid w:val="00F11A24"/>
    <w:rsid w:val="00F11A60"/>
    <w:rsid w:val="00F11A9A"/>
    <w:rsid w:val="00F11AA3"/>
    <w:rsid w:val="00F11B3B"/>
    <w:rsid w:val="00F11B5C"/>
    <w:rsid w:val="00F11B64"/>
    <w:rsid w:val="00F11B8A"/>
    <w:rsid w:val="00F11B96"/>
    <w:rsid w:val="00F11BBD"/>
    <w:rsid w:val="00F11BCE"/>
    <w:rsid w:val="00F11BEF"/>
    <w:rsid w:val="00F11BF3"/>
    <w:rsid w:val="00F11C16"/>
    <w:rsid w:val="00F11C1B"/>
    <w:rsid w:val="00F11C2E"/>
    <w:rsid w:val="00F11C57"/>
    <w:rsid w:val="00F11C5E"/>
    <w:rsid w:val="00F11CB9"/>
    <w:rsid w:val="00F11CD3"/>
    <w:rsid w:val="00F11D60"/>
    <w:rsid w:val="00F11D76"/>
    <w:rsid w:val="00F11DA5"/>
    <w:rsid w:val="00F11DDB"/>
    <w:rsid w:val="00F11DDC"/>
    <w:rsid w:val="00F11E04"/>
    <w:rsid w:val="00F11E70"/>
    <w:rsid w:val="00F11E75"/>
    <w:rsid w:val="00F11F56"/>
    <w:rsid w:val="00F11F58"/>
    <w:rsid w:val="00F11F8E"/>
    <w:rsid w:val="00F11FA3"/>
    <w:rsid w:val="00F12032"/>
    <w:rsid w:val="00F1216D"/>
    <w:rsid w:val="00F121D6"/>
    <w:rsid w:val="00F121F3"/>
    <w:rsid w:val="00F121F7"/>
    <w:rsid w:val="00F1225E"/>
    <w:rsid w:val="00F12317"/>
    <w:rsid w:val="00F12330"/>
    <w:rsid w:val="00F12331"/>
    <w:rsid w:val="00F12381"/>
    <w:rsid w:val="00F123AB"/>
    <w:rsid w:val="00F12447"/>
    <w:rsid w:val="00F12474"/>
    <w:rsid w:val="00F124A4"/>
    <w:rsid w:val="00F12547"/>
    <w:rsid w:val="00F125D0"/>
    <w:rsid w:val="00F125DF"/>
    <w:rsid w:val="00F12707"/>
    <w:rsid w:val="00F12740"/>
    <w:rsid w:val="00F12747"/>
    <w:rsid w:val="00F127BB"/>
    <w:rsid w:val="00F127FB"/>
    <w:rsid w:val="00F12816"/>
    <w:rsid w:val="00F128B6"/>
    <w:rsid w:val="00F128D8"/>
    <w:rsid w:val="00F128F8"/>
    <w:rsid w:val="00F129E3"/>
    <w:rsid w:val="00F12A32"/>
    <w:rsid w:val="00F12A55"/>
    <w:rsid w:val="00F12B1C"/>
    <w:rsid w:val="00F12B22"/>
    <w:rsid w:val="00F12BB7"/>
    <w:rsid w:val="00F12BE9"/>
    <w:rsid w:val="00F12C33"/>
    <w:rsid w:val="00F12C69"/>
    <w:rsid w:val="00F12CBF"/>
    <w:rsid w:val="00F12CC7"/>
    <w:rsid w:val="00F12D16"/>
    <w:rsid w:val="00F12D52"/>
    <w:rsid w:val="00F12D7D"/>
    <w:rsid w:val="00F12E00"/>
    <w:rsid w:val="00F12E7D"/>
    <w:rsid w:val="00F12E91"/>
    <w:rsid w:val="00F12EAB"/>
    <w:rsid w:val="00F12EB7"/>
    <w:rsid w:val="00F12EBD"/>
    <w:rsid w:val="00F12FCD"/>
    <w:rsid w:val="00F12FE9"/>
    <w:rsid w:val="00F13011"/>
    <w:rsid w:val="00F13022"/>
    <w:rsid w:val="00F13053"/>
    <w:rsid w:val="00F13081"/>
    <w:rsid w:val="00F1309F"/>
    <w:rsid w:val="00F130A2"/>
    <w:rsid w:val="00F130CD"/>
    <w:rsid w:val="00F130F2"/>
    <w:rsid w:val="00F13110"/>
    <w:rsid w:val="00F1312A"/>
    <w:rsid w:val="00F131A5"/>
    <w:rsid w:val="00F131C7"/>
    <w:rsid w:val="00F131CB"/>
    <w:rsid w:val="00F131E8"/>
    <w:rsid w:val="00F132FB"/>
    <w:rsid w:val="00F13360"/>
    <w:rsid w:val="00F133D1"/>
    <w:rsid w:val="00F13441"/>
    <w:rsid w:val="00F13443"/>
    <w:rsid w:val="00F1346A"/>
    <w:rsid w:val="00F13480"/>
    <w:rsid w:val="00F134B9"/>
    <w:rsid w:val="00F134C4"/>
    <w:rsid w:val="00F13594"/>
    <w:rsid w:val="00F135B3"/>
    <w:rsid w:val="00F13679"/>
    <w:rsid w:val="00F136A3"/>
    <w:rsid w:val="00F136BB"/>
    <w:rsid w:val="00F13722"/>
    <w:rsid w:val="00F13723"/>
    <w:rsid w:val="00F13744"/>
    <w:rsid w:val="00F137E9"/>
    <w:rsid w:val="00F13850"/>
    <w:rsid w:val="00F13857"/>
    <w:rsid w:val="00F13892"/>
    <w:rsid w:val="00F13893"/>
    <w:rsid w:val="00F138C6"/>
    <w:rsid w:val="00F138E8"/>
    <w:rsid w:val="00F13917"/>
    <w:rsid w:val="00F13981"/>
    <w:rsid w:val="00F1399A"/>
    <w:rsid w:val="00F139B0"/>
    <w:rsid w:val="00F139D5"/>
    <w:rsid w:val="00F13A02"/>
    <w:rsid w:val="00F13A23"/>
    <w:rsid w:val="00F13A8B"/>
    <w:rsid w:val="00F13A8C"/>
    <w:rsid w:val="00F13A91"/>
    <w:rsid w:val="00F13AF2"/>
    <w:rsid w:val="00F13AF8"/>
    <w:rsid w:val="00F13AFF"/>
    <w:rsid w:val="00F13B7D"/>
    <w:rsid w:val="00F13B95"/>
    <w:rsid w:val="00F13C10"/>
    <w:rsid w:val="00F13C3C"/>
    <w:rsid w:val="00F13C50"/>
    <w:rsid w:val="00F13C6A"/>
    <w:rsid w:val="00F13C6B"/>
    <w:rsid w:val="00F13D30"/>
    <w:rsid w:val="00F13DAB"/>
    <w:rsid w:val="00F13DCA"/>
    <w:rsid w:val="00F13DE1"/>
    <w:rsid w:val="00F13F8E"/>
    <w:rsid w:val="00F13F8F"/>
    <w:rsid w:val="00F14002"/>
    <w:rsid w:val="00F14018"/>
    <w:rsid w:val="00F14026"/>
    <w:rsid w:val="00F1403D"/>
    <w:rsid w:val="00F14092"/>
    <w:rsid w:val="00F14097"/>
    <w:rsid w:val="00F1409D"/>
    <w:rsid w:val="00F14123"/>
    <w:rsid w:val="00F141C3"/>
    <w:rsid w:val="00F141F3"/>
    <w:rsid w:val="00F14246"/>
    <w:rsid w:val="00F14286"/>
    <w:rsid w:val="00F14293"/>
    <w:rsid w:val="00F1433E"/>
    <w:rsid w:val="00F14393"/>
    <w:rsid w:val="00F143EA"/>
    <w:rsid w:val="00F14451"/>
    <w:rsid w:val="00F1445C"/>
    <w:rsid w:val="00F1448E"/>
    <w:rsid w:val="00F144A3"/>
    <w:rsid w:val="00F144A7"/>
    <w:rsid w:val="00F144E9"/>
    <w:rsid w:val="00F144F3"/>
    <w:rsid w:val="00F1452B"/>
    <w:rsid w:val="00F14547"/>
    <w:rsid w:val="00F14569"/>
    <w:rsid w:val="00F1457C"/>
    <w:rsid w:val="00F145B0"/>
    <w:rsid w:val="00F1465F"/>
    <w:rsid w:val="00F1466C"/>
    <w:rsid w:val="00F1467A"/>
    <w:rsid w:val="00F146AE"/>
    <w:rsid w:val="00F146DF"/>
    <w:rsid w:val="00F14713"/>
    <w:rsid w:val="00F1477B"/>
    <w:rsid w:val="00F147A6"/>
    <w:rsid w:val="00F147D7"/>
    <w:rsid w:val="00F147E3"/>
    <w:rsid w:val="00F14848"/>
    <w:rsid w:val="00F1490B"/>
    <w:rsid w:val="00F14934"/>
    <w:rsid w:val="00F14936"/>
    <w:rsid w:val="00F1495B"/>
    <w:rsid w:val="00F1495F"/>
    <w:rsid w:val="00F14974"/>
    <w:rsid w:val="00F149D8"/>
    <w:rsid w:val="00F149F2"/>
    <w:rsid w:val="00F14A79"/>
    <w:rsid w:val="00F14B1A"/>
    <w:rsid w:val="00F14B1C"/>
    <w:rsid w:val="00F14B63"/>
    <w:rsid w:val="00F14BD0"/>
    <w:rsid w:val="00F14BF4"/>
    <w:rsid w:val="00F14C10"/>
    <w:rsid w:val="00F14C93"/>
    <w:rsid w:val="00F14CD1"/>
    <w:rsid w:val="00F14D1C"/>
    <w:rsid w:val="00F14D63"/>
    <w:rsid w:val="00F14D8B"/>
    <w:rsid w:val="00F14E42"/>
    <w:rsid w:val="00F14E6E"/>
    <w:rsid w:val="00F14E80"/>
    <w:rsid w:val="00F14F3B"/>
    <w:rsid w:val="00F14F77"/>
    <w:rsid w:val="00F14F95"/>
    <w:rsid w:val="00F14FC1"/>
    <w:rsid w:val="00F14FE6"/>
    <w:rsid w:val="00F1502B"/>
    <w:rsid w:val="00F150E0"/>
    <w:rsid w:val="00F150EE"/>
    <w:rsid w:val="00F1510A"/>
    <w:rsid w:val="00F15217"/>
    <w:rsid w:val="00F15232"/>
    <w:rsid w:val="00F15245"/>
    <w:rsid w:val="00F152A9"/>
    <w:rsid w:val="00F152BD"/>
    <w:rsid w:val="00F152C7"/>
    <w:rsid w:val="00F15355"/>
    <w:rsid w:val="00F1537A"/>
    <w:rsid w:val="00F153BF"/>
    <w:rsid w:val="00F153DD"/>
    <w:rsid w:val="00F1549E"/>
    <w:rsid w:val="00F154DC"/>
    <w:rsid w:val="00F1551D"/>
    <w:rsid w:val="00F15551"/>
    <w:rsid w:val="00F155C9"/>
    <w:rsid w:val="00F1566D"/>
    <w:rsid w:val="00F15685"/>
    <w:rsid w:val="00F156C4"/>
    <w:rsid w:val="00F156CF"/>
    <w:rsid w:val="00F15717"/>
    <w:rsid w:val="00F1572A"/>
    <w:rsid w:val="00F157D0"/>
    <w:rsid w:val="00F157F1"/>
    <w:rsid w:val="00F15883"/>
    <w:rsid w:val="00F158D0"/>
    <w:rsid w:val="00F15967"/>
    <w:rsid w:val="00F159B6"/>
    <w:rsid w:val="00F15A8D"/>
    <w:rsid w:val="00F15B91"/>
    <w:rsid w:val="00F15BA5"/>
    <w:rsid w:val="00F15BC2"/>
    <w:rsid w:val="00F15BFE"/>
    <w:rsid w:val="00F15C36"/>
    <w:rsid w:val="00F15D19"/>
    <w:rsid w:val="00F15D50"/>
    <w:rsid w:val="00F15D7C"/>
    <w:rsid w:val="00F15DBB"/>
    <w:rsid w:val="00F15DD6"/>
    <w:rsid w:val="00F15E01"/>
    <w:rsid w:val="00F15E4A"/>
    <w:rsid w:val="00F15EC6"/>
    <w:rsid w:val="00F15F04"/>
    <w:rsid w:val="00F15F14"/>
    <w:rsid w:val="00F15F2F"/>
    <w:rsid w:val="00F15F54"/>
    <w:rsid w:val="00F15F8D"/>
    <w:rsid w:val="00F15FB7"/>
    <w:rsid w:val="00F15FD1"/>
    <w:rsid w:val="00F15FDE"/>
    <w:rsid w:val="00F16046"/>
    <w:rsid w:val="00F1606E"/>
    <w:rsid w:val="00F160E8"/>
    <w:rsid w:val="00F1610E"/>
    <w:rsid w:val="00F16141"/>
    <w:rsid w:val="00F161AF"/>
    <w:rsid w:val="00F1622B"/>
    <w:rsid w:val="00F1627E"/>
    <w:rsid w:val="00F16298"/>
    <w:rsid w:val="00F1634D"/>
    <w:rsid w:val="00F1638E"/>
    <w:rsid w:val="00F163CC"/>
    <w:rsid w:val="00F163E6"/>
    <w:rsid w:val="00F16455"/>
    <w:rsid w:val="00F16458"/>
    <w:rsid w:val="00F1648D"/>
    <w:rsid w:val="00F16499"/>
    <w:rsid w:val="00F1656D"/>
    <w:rsid w:val="00F16577"/>
    <w:rsid w:val="00F165EC"/>
    <w:rsid w:val="00F166C0"/>
    <w:rsid w:val="00F166D8"/>
    <w:rsid w:val="00F167B2"/>
    <w:rsid w:val="00F167C5"/>
    <w:rsid w:val="00F167EE"/>
    <w:rsid w:val="00F167FA"/>
    <w:rsid w:val="00F16840"/>
    <w:rsid w:val="00F16879"/>
    <w:rsid w:val="00F1687C"/>
    <w:rsid w:val="00F168D1"/>
    <w:rsid w:val="00F16943"/>
    <w:rsid w:val="00F16970"/>
    <w:rsid w:val="00F1698D"/>
    <w:rsid w:val="00F16992"/>
    <w:rsid w:val="00F169A2"/>
    <w:rsid w:val="00F169A9"/>
    <w:rsid w:val="00F169DE"/>
    <w:rsid w:val="00F16B72"/>
    <w:rsid w:val="00F16B79"/>
    <w:rsid w:val="00F16BBA"/>
    <w:rsid w:val="00F16C6F"/>
    <w:rsid w:val="00F16C99"/>
    <w:rsid w:val="00F16CCA"/>
    <w:rsid w:val="00F16D18"/>
    <w:rsid w:val="00F16D29"/>
    <w:rsid w:val="00F16D49"/>
    <w:rsid w:val="00F16D5B"/>
    <w:rsid w:val="00F16DC1"/>
    <w:rsid w:val="00F16DF9"/>
    <w:rsid w:val="00F16E5D"/>
    <w:rsid w:val="00F16ED7"/>
    <w:rsid w:val="00F16EE6"/>
    <w:rsid w:val="00F16EEA"/>
    <w:rsid w:val="00F16EF4"/>
    <w:rsid w:val="00F16F3E"/>
    <w:rsid w:val="00F16FA1"/>
    <w:rsid w:val="00F16FB5"/>
    <w:rsid w:val="00F16FEE"/>
    <w:rsid w:val="00F1703E"/>
    <w:rsid w:val="00F170F8"/>
    <w:rsid w:val="00F1710A"/>
    <w:rsid w:val="00F171B1"/>
    <w:rsid w:val="00F171B8"/>
    <w:rsid w:val="00F172B1"/>
    <w:rsid w:val="00F17352"/>
    <w:rsid w:val="00F17379"/>
    <w:rsid w:val="00F1744A"/>
    <w:rsid w:val="00F1765C"/>
    <w:rsid w:val="00F1767C"/>
    <w:rsid w:val="00F1767F"/>
    <w:rsid w:val="00F176CF"/>
    <w:rsid w:val="00F17701"/>
    <w:rsid w:val="00F17742"/>
    <w:rsid w:val="00F17756"/>
    <w:rsid w:val="00F17771"/>
    <w:rsid w:val="00F177CF"/>
    <w:rsid w:val="00F178AD"/>
    <w:rsid w:val="00F178B1"/>
    <w:rsid w:val="00F178EB"/>
    <w:rsid w:val="00F17947"/>
    <w:rsid w:val="00F1795A"/>
    <w:rsid w:val="00F17A1C"/>
    <w:rsid w:val="00F17A28"/>
    <w:rsid w:val="00F17A98"/>
    <w:rsid w:val="00F17B4B"/>
    <w:rsid w:val="00F17B67"/>
    <w:rsid w:val="00F17B93"/>
    <w:rsid w:val="00F17BAF"/>
    <w:rsid w:val="00F17BDA"/>
    <w:rsid w:val="00F17C0D"/>
    <w:rsid w:val="00F17C60"/>
    <w:rsid w:val="00F17CF2"/>
    <w:rsid w:val="00F17CF9"/>
    <w:rsid w:val="00F17D20"/>
    <w:rsid w:val="00F17D5D"/>
    <w:rsid w:val="00F17D67"/>
    <w:rsid w:val="00F17D87"/>
    <w:rsid w:val="00F17D93"/>
    <w:rsid w:val="00F17DA4"/>
    <w:rsid w:val="00F17DB8"/>
    <w:rsid w:val="00F17F0E"/>
    <w:rsid w:val="00F17F31"/>
    <w:rsid w:val="00F17F97"/>
    <w:rsid w:val="00F17FD0"/>
    <w:rsid w:val="00F17FF4"/>
    <w:rsid w:val="00F17FFD"/>
    <w:rsid w:val="00F20056"/>
    <w:rsid w:val="00F20061"/>
    <w:rsid w:val="00F20076"/>
    <w:rsid w:val="00F2009C"/>
    <w:rsid w:val="00F200C0"/>
    <w:rsid w:val="00F200E3"/>
    <w:rsid w:val="00F2010D"/>
    <w:rsid w:val="00F20238"/>
    <w:rsid w:val="00F20257"/>
    <w:rsid w:val="00F20265"/>
    <w:rsid w:val="00F2032A"/>
    <w:rsid w:val="00F203FE"/>
    <w:rsid w:val="00F20434"/>
    <w:rsid w:val="00F2043A"/>
    <w:rsid w:val="00F204B2"/>
    <w:rsid w:val="00F2055B"/>
    <w:rsid w:val="00F20569"/>
    <w:rsid w:val="00F20583"/>
    <w:rsid w:val="00F205B6"/>
    <w:rsid w:val="00F205D7"/>
    <w:rsid w:val="00F205F3"/>
    <w:rsid w:val="00F20662"/>
    <w:rsid w:val="00F206D4"/>
    <w:rsid w:val="00F206E9"/>
    <w:rsid w:val="00F20774"/>
    <w:rsid w:val="00F2077C"/>
    <w:rsid w:val="00F207AE"/>
    <w:rsid w:val="00F207B3"/>
    <w:rsid w:val="00F2080D"/>
    <w:rsid w:val="00F2082D"/>
    <w:rsid w:val="00F20960"/>
    <w:rsid w:val="00F209A5"/>
    <w:rsid w:val="00F209E2"/>
    <w:rsid w:val="00F209EF"/>
    <w:rsid w:val="00F20A91"/>
    <w:rsid w:val="00F20B4F"/>
    <w:rsid w:val="00F20B78"/>
    <w:rsid w:val="00F20BAA"/>
    <w:rsid w:val="00F20BD9"/>
    <w:rsid w:val="00F20BF2"/>
    <w:rsid w:val="00F20BF4"/>
    <w:rsid w:val="00F20C04"/>
    <w:rsid w:val="00F20C45"/>
    <w:rsid w:val="00F20C60"/>
    <w:rsid w:val="00F20C6C"/>
    <w:rsid w:val="00F20D02"/>
    <w:rsid w:val="00F20E8D"/>
    <w:rsid w:val="00F20EC7"/>
    <w:rsid w:val="00F20F2D"/>
    <w:rsid w:val="00F20F41"/>
    <w:rsid w:val="00F20F8A"/>
    <w:rsid w:val="00F210C8"/>
    <w:rsid w:val="00F2111E"/>
    <w:rsid w:val="00F21155"/>
    <w:rsid w:val="00F21164"/>
    <w:rsid w:val="00F2117F"/>
    <w:rsid w:val="00F21181"/>
    <w:rsid w:val="00F211E6"/>
    <w:rsid w:val="00F21215"/>
    <w:rsid w:val="00F2127F"/>
    <w:rsid w:val="00F21290"/>
    <w:rsid w:val="00F21397"/>
    <w:rsid w:val="00F213F1"/>
    <w:rsid w:val="00F2142D"/>
    <w:rsid w:val="00F2143B"/>
    <w:rsid w:val="00F214A8"/>
    <w:rsid w:val="00F214C3"/>
    <w:rsid w:val="00F214DC"/>
    <w:rsid w:val="00F21548"/>
    <w:rsid w:val="00F2156D"/>
    <w:rsid w:val="00F215F4"/>
    <w:rsid w:val="00F21621"/>
    <w:rsid w:val="00F21640"/>
    <w:rsid w:val="00F21670"/>
    <w:rsid w:val="00F216F3"/>
    <w:rsid w:val="00F2175B"/>
    <w:rsid w:val="00F217ED"/>
    <w:rsid w:val="00F218A1"/>
    <w:rsid w:val="00F218FD"/>
    <w:rsid w:val="00F21909"/>
    <w:rsid w:val="00F2191C"/>
    <w:rsid w:val="00F21947"/>
    <w:rsid w:val="00F2194F"/>
    <w:rsid w:val="00F219AF"/>
    <w:rsid w:val="00F21A8F"/>
    <w:rsid w:val="00F21A9A"/>
    <w:rsid w:val="00F21ABC"/>
    <w:rsid w:val="00F21ADF"/>
    <w:rsid w:val="00F21B19"/>
    <w:rsid w:val="00F21B28"/>
    <w:rsid w:val="00F21BA4"/>
    <w:rsid w:val="00F21BCE"/>
    <w:rsid w:val="00F21C10"/>
    <w:rsid w:val="00F21C1E"/>
    <w:rsid w:val="00F21C46"/>
    <w:rsid w:val="00F21C74"/>
    <w:rsid w:val="00F21C7E"/>
    <w:rsid w:val="00F21C9F"/>
    <w:rsid w:val="00F21D9C"/>
    <w:rsid w:val="00F21DDE"/>
    <w:rsid w:val="00F21E10"/>
    <w:rsid w:val="00F21E2E"/>
    <w:rsid w:val="00F21E80"/>
    <w:rsid w:val="00F21EB7"/>
    <w:rsid w:val="00F21F09"/>
    <w:rsid w:val="00F21F13"/>
    <w:rsid w:val="00F21F2C"/>
    <w:rsid w:val="00F21FAF"/>
    <w:rsid w:val="00F21FBD"/>
    <w:rsid w:val="00F21FC7"/>
    <w:rsid w:val="00F21FD0"/>
    <w:rsid w:val="00F22009"/>
    <w:rsid w:val="00F22183"/>
    <w:rsid w:val="00F222C9"/>
    <w:rsid w:val="00F222F3"/>
    <w:rsid w:val="00F22311"/>
    <w:rsid w:val="00F22314"/>
    <w:rsid w:val="00F223B2"/>
    <w:rsid w:val="00F223BD"/>
    <w:rsid w:val="00F223D6"/>
    <w:rsid w:val="00F22465"/>
    <w:rsid w:val="00F22475"/>
    <w:rsid w:val="00F224BC"/>
    <w:rsid w:val="00F2251B"/>
    <w:rsid w:val="00F225F5"/>
    <w:rsid w:val="00F22618"/>
    <w:rsid w:val="00F22667"/>
    <w:rsid w:val="00F22713"/>
    <w:rsid w:val="00F2283D"/>
    <w:rsid w:val="00F22870"/>
    <w:rsid w:val="00F2289E"/>
    <w:rsid w:val="00F22919"/>
    <w:rsid w:val="00F2293C"/>
    <w:rsid w:val="00F2295B"/>
    <w:rsid w:val="00F22995"/>
    <w:rsid w:val="00F229A5"/>
    <w:rsid w:val="00F229BA"/>
    <w:rsid w:val="00F229D9"/>
    <w:rsid w:val="00F229EF"/>
    <w:rsid w:val="00F22A04"/>
    <w:rsid w:val="00F22A26"/>
    <w:rsid w:val="00F22A4F"/>
    <w:rsid w:val="00F22A92"/>
    <w:rsid w:val="00F22AB7"/>
    <w:rsid w:val="00F22B88"/>
    <w:rsid w:val="00F22BB9"/>
    <w:rsid w:val="00F22BFF"/>
    <w:rsid w:val="00F22C18"/>
    <w:rsid w:val="00F22C5A"/>
    <w:rsid w:val="00F22C8D"/>
    <w:rsid w:val="00F22C94"/>
    <w:rsid w:val="00F22CBC"/>
    <w:rsid w:val="00F22CC2"/>
    <w:rsid w:val="00F22D3D"/>
    <w:rsid w:val="00F22E1B"/>
    <w:rsid w:val="00F22E4E"/>
    <w:rsid w:val="00F22E5F"/>
    <w:rsid w:val="00F22EBF"/>
    <w:rsid w:val="00F22EE3"/>
    <w:rsid w:val="00F22EE4"/>
    <w:rsid w:val="00F22EF2"/>
    <w:rsid w:val="00F22EF8"/>
    <w:rsid w:val="00F22F42"/>
    <w:rsid w:val="00F22F8D"/>
    <w:rsid w:val="00F22FA2"/>
    <w:rsid w:val="00F22FAE"/>
    <w:rsid w:val="00F22FD8"/>
    <w:rsid w:val="00F23064"/>
    <w:rsid w:val="00F23088"/>
    <w:rsid w:val="00F23117"/>
    <w:rsid w:val="00F23127"/>
    <w:rsid w:val="00F2313D"/>
    <w:rsid w:val="00F23187"/>
    <w:rsid w:val="00F2318D"/>
    <w:rsid w:val="00F231F5"/>
    <w:rsid w:val="00F2322B"/>
    <w:rsid w:val="00F232AD"/>
    <w:rsid w:val="00F23383"/>
    <w:rsid w:val="00F23395"/>
    <w:rsid w:val="00F233A2"/>
    <w:rsid w:val="00F233D2"/>
    <w:rsid w:val="00F233DF"/>
    <w:rsid w:val="00F233FD"/>
    <w:rsid w:val="00F23410"/>
    <w:rsid w:val="00F23426"/>
    <w:rsid w:val="00F234F8"/>
    <w:rsid w:val="00F234F9"/>
    <w:rsid w:val="00F23527"/>
    <w:rsid w:val="00F23538"/>
    <w:rsid w:val="00F2355B"/>
    <w:rsid w:val="00F23563"/>
    <w:rsid w:val="00F2359B"/>
    <w:rsid w:val="00F235A0"/>
    <w:rsid w:val="00F23606"/>
    <w:rsid w:val="00F23626"/>
    <w:rsid w:val="00F236CB"/>
    <w:rsid w:val="00F23830"/>
    <w:rsid w:val="00F238E7"/>
    <w:rsid w:val="00F238F6"/>
    <w:rsid w:val="00F238FD"/>
    <w:rsid w:val="00F23902"/>
    <w:rsid w:val="00F23941"/>
    <w:rsid w:val="00F23962"/>
    <w:rsid w:val="00F239EE"/>
    <w:rsid w:val="00F239F9"/>
    <w:rsid w:val="00F23A27"/>
    <w:rsid w:val="00F23B1A"/>
    <w:rsid w:val="00F23B81"/>
    <w:rsid w:val="00F23B9B"/>
    <w:rsid w:val="00F23BE7"/>
    <w:rsid w:val="00F23C49"/>
    <w:rsid w:val="00F23C73"/>
    <w:rsid w:val="00F23CA0"/>
    <w:rsid w:val="00F23CDA"/>
    <w:rsid w:val="00F23CF0"/>
    <w:rsid w:val="00F23D1D"/>
    <w:rsid w:val="00F23D55"/>
    <w:rsid w:val="00F23DE9"/>
    <w:rsid w:val="00F23EC1"/>
    <w:rsid w:val="00F23F1C"/>
    <w:rsid w:val="00F23F84"/>
    <w:rsid w:val="00F23FEC"/>
    <w:rsid w:val="00F24004"/>
    <w:rsid w:val="00F2404C"/>
    <w:rsid w:val="00F240A4"/>
    <w:rsid w:val="00F240AF"/>
    <w:rsid w:val="00F240CE"/>
    <w:rsid w:val="00F240F1"/>
    <w:rsid w:val="00F24105"/>
    <w:rsid w:val="00F24190"/>
    <w:rsid w:val="00F241E0"/>
    <w:rsid w:val="00F241EF"/>
    <w:rsid w:val="00F24214"/>
    <w:rsid w:val="00F24224"/>
    <w:rsid w:val="00F242AD"/>
    <w:rsid w:val="00F242BF"/>
    <w:rsid w:val="00F24351"/>
    <w:rsid w:val="00F2436A"/>
    <w:rsid w:val="00F24387"/>
    <w:rsid w:val="00F24399"/>
    <w:rsid w:val="00F2441D"/>
    <w:rsid w:val="00F24421"/>
    <w:rsid w:val="00F24433"/>
    <w:rsid w:val="00F24460"/>
    <w:rsid w:val="00F244A9"/>
    <w:rsid w:val="00F244F3"/>
    <w:rsid w:val="00F24590"/>
    <w:rsid w:val="00F245C1"/>
    <w:rsid w:val="00F245CB"/>
    <w:rsid w:val="00F24692"/>
    <w:rsid w:val="00F246CF"/>
    <w:rsid w:val="00F246F8"/>
    <w:rsid w:val="00F2474C"/>
    <w:rsid w:val="00F247BE"/>
    <w:rsid w:val="00F2484E"/>
    <w:rsid w:val="00F24894"/>
    <w:rsid w:val="00F24939"/>
    <w:rsid w:val="00F24A39"/>
    <w:rsid w:val="00F24A7E"/>
    <w:rsid w:val="00F24AEA"/>
    <w:rsid w:val="00F24B0A"/>
    <w:rsid w:val="00F24B0F"/>
    <w:rsid w:val="00F24B6C"/>
    <w:rsid w:val="00F24B6D"/>
    <w:rsid w:val="00F24B92"/>
    <w:rsid w:val="00F24BBB"/>
    <w:rsid w:val="00F24C13"/>
    <w:rsid w:val="00F24C1A"/>
    <w:rsid w:val="00F24C5F"/>
    <w:rsid w:val="00F24C7B"/>
    <w:rsid w:val="00F24C84"/>
    <w:rsid w:val="00F24CAB"/>
    <w:rsid w:val="00F24CC2"/>
    <w:rsid w:val="00F24DBE"/>
    <w:rsid w:val="00F24E2D"/>
    <w:rsid w:val="00F24EB5"/>
    <w:rsid w:val="00F24F04"/>
    <w:rsid w:val="00F24F19"/>
    <w:rsid w:val="00F24F7A"/>
    <w:rsid w:val="00F24F83"/>
    <w:rsid w:val="00F24F94"/>
    <w:rsid w:val="00F24FA6"/>
    <w:rsid w:val="00F24FAD"/>
    <w:rsid w:val="00F24FF8"/>
    <w:rsid w:val="00F2500E"/>
    <w:rsid w:val="00F25076"/>
    <w:rsid w:val="00F250E8"/>
    <w:rsid w:val="00F25148"/>
    <w:rsid w:val="00F25172"/>
    <w:rsid w:val="00F2517B"/>
    <w:rsid w:val="00F251BB"/>
    <w:rsid w:val="00F251C0"/>
    <w:rsid w:val="00F25206"/>
    <w:rsid w:val="00F252BA"/>
    <w:rsid w:val="00F2535D"/>
    <w:rsid w:val="00F253D5"/>
    <w:rsid w:val="00F2543E"/>
    <w:rsid w:val="00F25463"/>
    <w:rsid w:val="00F25466"/>
    <w:rsid w:val="00F2546B"/>
    <w:rsid w:val="00F254A4"/>
    <w:rsid w:val="00F254BF"/>
    <w:rsid w:val="00F254DD"/>
    <w:rsid w:val="00F25522"/>
    <w:rsid w:val="00F25550"/>
    <w:rsid w:val="00F255D3"/>
    <w:rsid w:val="00F256A6"/>
    <w:rsid w:val="00F256EC"/>
    <w:rsid w:val="00F256F2"/>
    <w:rsid w:val="00F25700"/>
    <w:rsid w:val="00F25703"/>
    <w:rsid w:val="00F2572C"/>
    <w:rsid w:val="00F25732"/>
    <w:rsid w:val="00F25776"/>
    <w:rsid w:val="00F257B5"/>
    <w:rsid w:val="00F257EB"/>
    <w:rsid w:val="00F25861"/>
    <w:rsid w:val="00F2588C"/>
    <w:rsid w:val="00F258E6"/>
    <w:rsid w:val="00F259CD"/>
    <w:rsid w:val="00F259CF"/>
    <w:rsid w:val="00F25A57"/>
    <w:rsid w:val="00F25AEC"/>
    <w:rsid w:val="00F25AF5"/>
    <w:rsid w:val="00F25B23"/>
    <w:rsid w:val="00F25BBF"/>
    <w:rsid w:val="00F25C17"/>
    <w:rsid w:val="00F25C30"/>
    <w:rsid w:val="00F25C75"/>
    <w:rsid w:val="00F25CCE"/>
    <w:rsid w:val="00F25D0F"/>
    <w:rsid w:val="00F25D41"/>
    <w:rsid w:val="00F25D89"/>
    <w:rsid w:val="00F25DD1"/>
    <w:rsid w:val="00F25DE0"/>
    <w:rsid w:val="00F25DE9"/>
    <w:rsid w:val="00F25DF3"/>
    <w:rsid w:val="00F25E0C"/>
    <w:rsid w:val="00F25E1B"/>
    <w:rsid w:val="00F25E4D"/>
    <w:rsid w:val="00F25ED8"/>
    <w:rsid w:val="00F25EFE"/>
    <w:rsid w:val="00F25F3D"/>
    <w:rsid w:val="00F25F8F"/>
    <w:rsid w:val="00F26002"/>
    <w:rsid w:val="00F26034"/>
    <w:rsid w:val="00F260A1"/>
    <w:rsid w:val="00F260D3"/>
    <w:rsid w:val="00F26126"/>
    <w:rsid w:val="00F26178"/>
    <w:rsid w:val="00F26199"/>
    <w:rsid w:val="00F261C0"/>
    <w:rsid w:val="00F261D4"/>
    <w:rsid w:val="00F26222"/>
    <w:rsid w:val="00F26228"/>
    <w:rsid w:val="00F2622A"/>
    <w:rsid w:val="00F26466"/>
    <w:rsid w:val="00F2646E"/>
    <w:rsid w:val="00F264B7"/>
    <w:rsid w:val="00F26521"/>
    <w:rsid w:val="00F26549"/>
    <w:rsid w:val="00F2655E"/>
    <w:rsid w:val="00F2656B"/>
    <w:rsid w:val="00F26610"/>
    <w:rsid w:val="00F2663A"/>
    <w:rsid w:val="00F266CC"/>
    <w:rsid w:val="00F266F7"/>
    <w:rsid w:val="00F26752"/>
    <w:rsid w:val="00F26793"/>
    <w:rsid w:val="00F267D2"/>
    <w:rsid w:val="00F267DA"/>
    <w:rsid w:val="00F26899"/>
    <w:rsid w:val="00F268A6"/>
    <w:rsid w:val="00F26945"/>
    <w:rsid w:val="00F26977"/>
    <w:rsid w:val="00F26988"/>
    <w:rsid w:val="00F269E9"/>
    <w:rsid w:val="00F26A43"/>
    <w:rsid w:val="00F26B0C"/>
    <w:rsid w:val="00F26B27"/>
    <w:rsid w:val="00F26B53"/>
    <w:rsid w:val="00F26B54"/>
    <w:rsid w:val="00F26BD7"/>
    <w:rsid w:val="00F26BF9"/>
    <w:rsid w:val="00F26C0D"/>
    <w:rsid w:val="00F26C2A"/>
    <w:rsid w:val="00F26C33"/>
    <w:rsid w:val="00F26C9C"/>
    <w:rsid w:val="00F26CFA"/>
    <w:rsid w:val="00F26D22"/>
    <w:rsid w:val="00F26D26"/>
    <w:rsid w:val="00F26D3A"/>
    <w:rsid w:val="00F26D5F"/>
    <w:rsid w:val="00F26D81"/>
    <w:rsid w:val="00F26E01"/>
    <w:rsid w:val="00F26E29"/>
    <w:rsid w:val="00F26E99"/>
    <w:rsid w:val="00F26F0D"/>
    <w:rsid w:val="00F26F8D"/>
    <w:rsid w:val="00F26FE1"/>
    <w:rsid w:val="00F26FEF"/>
    <w:rsid w:val="00F26FFF"/>
    <w:rsid w:val="00F27002"/>
    <w:rsid w:val="00F2702F"/>
    <w:rsid w:val="00F27048"/>
    <w:rsid w:val="00F2709F"/>
    <w:rsid w:val="00F270A5"/>
    <w:rsid w:val="00F270BE"/>
    <w:rsid w:val="00F271A6"/>
    <w:rsid w:val="00F271C2"/>
    <w:rsid w:val="00F271DF"/>
    <w:rsid w:val="00F271F7"/>
    <w:rsid w:val="00F27215"/>
    <w:rsid w:val="00F27243"/>
    <w:rsid w:val="00F2724D"/>
    <w:rsid w:val="00F2729F"/>
    <w:rsid w:val="00F272C6"/>
    <w:rsid w:val="00F2733D"/>
    <w:rsid w:val="00F27379"/>
    <w:rsid w:val="00F27390"/>
    <w:rsid w:val="00F273FB"/>
    <w:rsid w:val="00F27400"/>
    <w:rsid w:val="00F27417"/>
    <w:rsid w:val="00F2742D"/>
    <w:rsid w:val="00F2744B"/>
    <w:rsid w:val="00F27465"/>
    <w:rsid w:val="00F2747E"/>
    <w:rsid w:val="00F27490"/>
    <w:rsid w:val="00F27494"/>
    <w:rsid w:val="00F274B3"/>
    <w:rsid w:val="00F274D7"/>
    <w:rsid w:val="00F274F3"/>
    <w:rsid w:val="00F275E0"/>
    <w:rsid w:val="00F27607"/>
    <w:rsid w:val="00F27622"/>
    <w:rsid w:val="00F2762B"/>
    <w:rsid w:val="00F2764B"/>
    <w:rsid w:val="00F27669"/>
    <w:rsid w:val="00F27678"/>
    <w:rsid w:val="00F2769E"/>
    <w:rsid w:val="00F276F4"/>
    <w:rsid w:val="00F27764"/>
    <w:rsid w:val="00F27804"/>
    <w:rsid w:val="00F27837"/>
    <w:rsid w:val="00F2783D"/>
    <w:rsid w:val="00F27874"/>
    <w:rsid w:val="00F27879"/>
    <w:rsid w:val="00F278B0"/>
    <w:rsid w:val="00F278F7"/>
    <w:rsid w:val="00F27906"/>
    <w:rsid w:val="00F27914"/>
    <w:rsid w:val="00F2795E"/>
    <w:rsid w:val="00F27975"/>
    <w:rsid w:val="00F279F2"/>
    <w:rsid w:val="00F27A93"/>
    <w:rsid w:val="00F27A9A"/>
    <w:rsid w:val="00F27AAD"/>
    <w:rsid w:val="00F27AD2"/>
    <w:rsid w:val="00F27AD9"/>
    <w:rsid w:val="00F27B4A"/>
    <w:rsid w:val="00F27BDD"/>
    <w:rsid w:val="00F27C6A"/>
    <w:rsid w:val="00F27D72"/>
    <w:rsid w:val="00F27DA6"/>
    <w:rsid w:val="00F27DA8"/>
    <w:rsid w:val="00F27DEA"/>
    <w:rsid w:val="00F27E17"/>
    <w:rsid w:val="00F27E71"/>
    <w:rsid w:val="00F27E90"/>
    <w:rsid w:val="00F27F07"/>
    <w:rsid w:val="00F27F16"/>
    <w:rsid w:val="00F27F37"/>
    <w:rsid w:val="00F27F45"/>
    <w:rsid w:val="00F27F85"/>
    <w:rsid w:val="00F30046"/>
    <w:rsid w:val="00F30065"/>
    <w:rsid w:val="00F30079"/>
    <w:rsid w:val="00F300C4"/>
    <w:rsid w:val="00F30186"/>
    <w:rsid w:val="00F301AD"/>
    <w:rsid w:val="00F301DB"/>
    <w:rsid w:val="00F301FB"/>
    <w:rsid w:val="00F30262"/>
    <w:rsid w:val="00F30282"/>
    <w:rsid w:val="00F302A0"/>
    <w:rsid w:val="00F302ED"/>
    <w:rsid w:val="00F3032E"/>
    <w:rsid w:val="00F3035E"/>
    <w:rsid w:val="00F3038B"/>
    <w:rsid w:val="00F30394"/>
    <w:rsid w:val="00F303D2"/>
    <w:rsid w:val="00F303F5"/>
    <w:rsid w:val="00F30464"/>
    <w:rsid w:val="00F304A4"/>
    <w:rsid w:val="00F304DA"/>
    <w:rsid w:val="00F304F6"/>
    <w:rsid w:val="00F305C1"/>
    <w:rsid w:val="00F3061C"/>
    <w:rsid w:val="00F30660"/>
    <w:rsid w:val="00F30686"/>
    <w:rsid w:val="00F30687"/>
    <w:rsid w:val="00F30691"/>
    <w:rsid w:val="00F306A6"/>
    <w:rsid w:val="00F306C1"/>
    <w:rsid w:val="00F306FD"/>
    <w:rsid w:val="00F3070D"/>
    <w:rsid w:val="00F30741"/>
    <w:rsid w:val="00F3074F"/>
    <w:rsid w:val="00F30750"/>
    <w:rsid w:val="00F3075A"/>
    <w:rsid w:val="00F30769"/>
    <w:rsid w:val="00F3078E"/>
    <w:rsid w:val="00F307CC"/>
    <w:rsid w:val="00F307DE"/>
    <w:rsid w:val="00F30820"/>
    <w:rsid w:val="00F3082A"/>
    <w:rsid w:val="00F30884"/>
    <w:rsid w:val="00F30897"/>
    <w:rsid w:val="00F308B7"/>
    <w:rsid w:val="00F30903"/>
    <w:rsid w:val="00F30978"/>
    <w:rsid w:val="00F309A2"/>
    <w:rsid w:val="00F309BB"/>
    <w:rsid w:val="00F30A46"/>
    <w:rsid w:val="00F30A57"/>
    <w:rsid w:val="00F30A7B"/>
    <w:rsid w:val="00F30B53"/>
    <w:rsid w:val="00F30BAA"/>
    <w:rsid w:val="00F30BDA"/>
    <w:rsid w:val="00F30C06"/>
    <w:rsid w:val="00F30CBA"/>
    <w:rsid w:val="00F30D64"/>
    <w:rsid w:val="00F30D6F"/>
    <w:rsid w:val="00F30D8B"/>
    <w:rsid w:val="00F30DD1"/>
    <w:rsid w:val="00F30E1F"/>
    <w:rsid w:val="00F30E43"/>
    <w:rsid w:val="00F30E98"/>
    <w:rsid w:val="00F30EAD"/>
    <w:rsid w:val="00F30EDD"/>
    <w:rsid w:val="00F30FC0"/>
    <w:rsid w:val="00F3104E"/>
    <w:rsid w:val="00F3105E"/>
    <w:rsid w:val="00F3109B"/>
    <w:rsid w:val="00F31110"/>
    <w:rsid w:val="00F31122"/>
    <w:rsid w:val="00F3114C"/>
    <w:rsid w:val="00F31227"/>
    <w:rsid w:val="00F3124B"/>
    <w:rsid w:val="00F31264"/>
    <w:rsid w:val="00F312C7"/>
    <w:rsid w:val="00F3138B"/>
    <w:rsid w:val="00F313C5"/>
    <w:rsid w:val="00F3141C"/>
    <w:rsid w:val="00F31493"/>
    <w:rsid w:val="00F3149C"/>
    <w:rsid w:val="00F314C8"/>
    <w:rsid w:val="00F314D9"/>
    <w:rsid w:val="00F31509"/>
    <w:rsid w:val="00F31530"/>
    <w:rsid w:val="00F31558"/>
    <w:rsid w:val="00F315F2"/>
    <w:rsid w:val="00F31639"/>
    <w:rsid w:val="00F316B1"/>
    <w:rsid w:val="00F316B8"/>
    <w:rsid w:val="00F3170D"/>
    <w:rsid w:val="00F3188C"/>
    <w:rsid w:val="00F318BC"/>
    <w:rsid w:val="00F31943"/>
    <w:rsid w:val="00F31957"/>
    <w:rsid w:val="00F319BC"/>
    <w:rsid w:val="00F319D3"/>
    <w:rsid w:val="00F319ED"/>
    <w:rsid w:val="00F31A50"/>
    <w:rsid w:val="00F31A54"/>
    <w:rsid w:val="00F31A99"/>
    <w:rsid w:val="00F31A9D"/>
    <w:rsid w:val="00F31B34"/>
    <w:rsid w:val="00F31B92"/>
    <w:rsid w:val="00F31BC2"/>
    <w:rsid w:val="00F31C11"/>
    <w:rsid w:val="00F31C4E"/>
    <w:rsid w:val="00F31CB9"/>
    <w:rsid w:val="00F31D54"/>
    <w:rsid w:val="00F31D7F"/>
    <w:rsid w:val="00F31E03"/>
    <w:rsid w:val="00F31E0F"/>
    <w:rsid w:val="00F31E35"/>
    <w:rsid w:val="00F31E54"/>
    <w:rsid w:val="00F31E93"/>
    <w:rsid w:val="00F31F12"/>
    <w:rsid w:val="00F31F42"/>
    <w:rsid w:val="00F31F46"/>
    <w:rsid w:val="00F31F72"/>
    <w:rsid w:val="00F31F74"/>
    <w:rsid w:val="00F31F8D"/>
    <w:rsid w:val="00F31FA8"/>
    <w:rsid w:val="00F31FE1"/>
    <w:rsid w:val="00F31FFB"/>
    <w:rsid w:val="00F32022"/>
    <w:rsid w:val="00F320AA"/>
    <w:rsid w:val="00F320B9"/>
    <w:rsid w:val="00F320C9"/>
    <w:rsid w:val="00F32140"/>
    <w:rsid w:val="00F32171"/>
    <w:rsid w:val="00F321C4"/>
    <w:rsid w:val="00F32232"/>
    <w:rsid w:val="00F3227E"/>
    <w:rsid w:val="00F322A5"/>
    <w:rsid w:val="00F32369"/>
    <w:rsid w:val="00F3239A"/>
    <w:rsid w:val="00F323F0"/>
    <w:rsid w:val="00F32461"/>
    <w:rsid w:val="00F3252F"/>
    <w:rsid w:val="00F3259A"/>
    <w:rsid w:val="00F325A5"/>
    <w:rsid w:val="00F325D6"/>
    <w:rsid w:val="00F3264C"/>
    <w:rsid w:val="00F3264D"/>
    <w:rsid w:val="00F326A9"/>
    <w:rsid w:val="00F326C1"/>
    <w:rsid w:val="00F326FF"/>
    <w:rsid w:val="00F3278C"/>
    <w:rsid w:val="00F327FC"/>
    <w:rsid w:val="00F32805"/>
    <w:rsid w:val="00F32831"/>
    <w:rsid w:val="00F3287F"/>
    <w:rsid w:val="00F328B7"/>
    <w:rsid w:val="00F328DF"/>
    <w:rsid w:val="00F32934"/>
    <w:rsid w:val="00F32978"/>
    <w:rsid w:val="00F329CF"/>
    <w:rsid w:val="00F32A0E"/>
    <w:rsid w:val="00F32A67"/>
    <w:rsid w:val="00F32AAD"/>
    <w:rsid w:val="00F32AE5"/>
    <w:rsid w:val="00F32B08"/>
    <w:rsid w:val="00F32C5C"/>
    <w:rsid w:val="00F32CC0"/>
    <w:rsid w:val="00F32D4C"/>
    <w:rsid w:val="00F32D4D"/>
    <w:rsid w:val="00F32D6C"/>
    <w:rsid w:val="00F32D6D"/>
    <w:rsid w:val="00F32DE5"/>
    <w:rsid w:val="00F32DF7"/>
    <w:rsid w:val="00F32E2C"/>
    <w:rsid w:val="00F32EE0"/>
    <w:rsid w:val="00F32EF5"/>
    <w:rsid w:val="00F32EFA"/>
    <w:rsid w:val="00F32F26"/>
    <w:rsid w:val="00F32FB5"/>
    <w:rsid w:val="00F32FBE"/>
    <w:rsid w:val="00F33026"/>
    <w:rsid w:val="00F3309A"/>
    <w:rsid w:val="00F3309B"/>
    <w:rsid w:val="00F330AD"/>
    <w:rsid w:val="00F330B6"/>
    <w:rsid w:val="00F33111"/>
    <w:rsid w:val="00F33134"/>
    <w:rsid w:val="00F3313F"/>
    <w:rsid w:val="00F33155"/>
    <w:rsid w:val="00F331A6"/>
    <w:rsid w:val="00F331B2"/>
    <w:rsid w:val="00F331EF"/>
    <w:rsid w:val="00F33241"/>
    <w:rsid w:val="00F33268"/>
    <w:rsid w:val="00F332A7"/>
    <w:rsid w:val="00F332C2"/>
    <w:rsid w:val="00F332C9"/>
    <w:rsid w:val="00F3333B"/>
    <w:rsid w:val="00F33381"/>
    <w:rsid w:val="00F333BC"/>
    <w:rsid w:val="00F333D3"/>
    <w:rsid w:val="00F3345B"/>
    <w:rsid w:val="00F33463"/>
    <w:rsid w:val="00F33493"/>
    <w:rsid w:val="00F334CE"/>
    <w:rsid w:val="00F334E2"/>
    <w:rsid w:val="00F334FC"/>
    <w:rsid w:val="00F33559"/>
    <w:rsid w:val="00F33561"/>
    <w:rsid w:val="00F3356A"/>
    <w:rsid w:val="00F33571"/>
    <w:rsid w:val="00F335DA"/>
    <w:rsid w:val="00F33619"/>
    <w:rsid w:val="00F3363E"/>
    <w:rsid w:val="00F3364C"/>
    <w:rsid w:val="00F33686"/>
    <w:rsid w:val="00F33699"/>
    <w:rsid w:val="00F336D3"/>
    <w:rsid w:val="00F336D8"/>
    <w:rsid w:val="00F33850"/>
    <w:rsid w:val="00F3385E"/>
    <w:rsid w:val="00F3386A"/>
    <w:rsid w:val="00F3390A"/>
    <w:rsid w:val="00F33958"/>
    <w:rsid w:val="00F33A07"/>
    <w:rsid w:val="00F33AA7"/>
    <w:rsid w:val="00F33AC4"/>
    <w:rsid w:val="00F33AC7"/>
    <w:rsid w:val="00F33ADD"/>
    <w:rsid w:val="00F33B05"/>
    <w:rsid w:val="00F33B2C"/>
    <w:rsid w:val="00F33C49"/>
    <w:rsid w:val="00F33C4E"/>
    <w:rsid w:val="00F33C55"/>
    <w:rsid w:val="00F33C56"/>
    <w:rsid w:val="00F33CEC"/>
    <w:rsid w:val="00F33CFB"/>
    <w:rsid w:val="00F33D77"/>
    <w:rsid w:val="00F33DB5"/>
    <w:rsid w:val="00F33DB8"/>
    <w:rsid w:val="00F33DE4"/>
    <w:rsid w:val="00F33EA9"/>
    <w:rsid w:val="00F33EF5"/>
    <w:rsid w:val="00F33F3B"/>
    <w:rsid w:val="00F33F3E"/>
    <w:rsid w:val="00F33F6E"/>
    <w:rsid w:val="00F33FE6"/>
    <w:rsid w:val="00F33FF6"/>
    <w:rsid w:val="00F34013"/>
    <w:rsid w:val="00F34091"/>
    <w:rsid w:val="00F340FD"/>
    <w:rsid w:val="00F3410C"/>
    <w:rsid w:val="00F34177"/>
    <w:rsid w:val="00F341E7"/>
    <w:rsid w:val="00F34252"/>
    <w:rsid w:val="00F342E3"/>
    <w:rsid w:val="00F34383"/>
    <w:rsid w:val="00F343A5"/>
    <w:rsid w:val="00F343B5"/>
    <w:rsid w:val="00F343ED"/>
    <w:rsid w:val="00F3449A"/>
    <w:rsid w:val="00F344FF"/>
    <w:rsid w:val="00F34540"/>
    <w:rsid w:val="00F34579"/>
    <w:rsid w:val="00F34587"/>
    <w:rsid w:val="00F34657"/>
    <w:rsid w:val="00F346A6"/>
    <w:rsid w:val="00F346BA"/>
    <w:rsid w:val="00F346E7"/>
    <w:rsid w:val="00F346FC"/>
    <w:rsid w:val="00F3476C"/>
    <w:rsid w:val="00F3483C"/>
    <w:rsid w:val="00F348C2"/>
    <w:rsid w:val="00F348E4"/>
    <w:rsid w:val="00F3495D"/>
    <w:rsid w:val="00F349C2"/>
    <w:rsid w:val="00F349CE"/>
    <w:rsid w:val="00F349F4"/>
    <w:rsid w:val="00F34A04"/>
    <w:rsid w:val="00F34AB7"/>
    <w:rsid w:val="00F34B5C"/>
    <w:rsid w:val="00F34BC3"/>
    <w:rsid w:val="00F34C15"/>
    <w:rsid w:val="00F34C26"/>
    <w:rsid w:val="00F34CA1"/>
    <w:rsid w:val="00F34CC0"/>
    <w:rsid w:val="00F34CC9"/>
    <w:rsid w:val="00F34D51"/>
    <w:rsid w:val="00F34DA8"/>
    <w:rsid w:val="00F34DD9"/>
    <w:rsid w:val="00F34DF4"/>
    <w:rsid w:val="00F34E95"/>
    <w:rsid w:val="00F34F13"/>
    <w:rsid w:val="00F34FA2"/>
    <w:rsid w:val="00F34FB5"/>
    <w:rsid w:val="00F34FEB"/>
    <w:rsid w:val="00F34FF4"/>
    <w:rsid w:val="00F35006"/>
    <w:rsid w:val="00F350A2"/>
    <w:rsid w:val="00F350B0"/>
    <w:rsid w:val="00F350B3"/>
    <w:rsid w:val="00F350C5"/>
    <w:rsid w:val="00F350FB"/>
    <w:rsid w:val="00F35150"/>
    <w:rsid w:val="00F35158"/>
    <w:rsid w:val="00F35186"/>
    <w:rsid w:val="00F351A6"/>
    <w:rsid w:val="00F351DD"/>
    <w:rsid w:val="00F35370"/>
    <w:rsid w:val="00F3538F"/>
    <w:rsid w:val="00F35393"/>
    <w:rsid w:val="00F353C7"/>
    <w:rsid w:val="00F3543B"/>
    <w:rsid w:val="00F35480"/>
    <w:rsid w:val="00F35483"/>
    <w:rsid w:val="00F35511"/>
    <w:rsid w:val="00F3553F"/>
    <w:rsid w:val="00F355CE"/>
    <w:rsid w:val="00F3560A"/>
    <w:rsid w:val="00F35622"/>
    <w:rsid w:val="00F35659"/>
    <w:rsid w:val="00F35684"/>
    <w:rsid w:val="00F356D9"/>
    <w:rsid w:val="00F356FE"/>
    <w:rsid w:val="00F3577E"/>
    <w:rsid w:val="00F357D2"/>
    <w:rsid w:val="00F3584A"/>
    <w:rsid w:val="00F35852"/>
    <w:rsid w:val="00F35879"/>
    <w:rsid w:val="00F3587D"/>
    <w:rsid w:val="00F358F1"/>
    <w:rsid w:val="00F35912"/>
    <w:rsid w:val="00F3597D"/>
    <w:rsid w:val="00F35993"/>
    <w:rsid w:val="00F359F9"/>
    <w:rsid w:val="00F35A25"/>
    <w:rsid w:val="00F35A34"/>
    <w:rsid w:val="00F35A80"/>
    <w:rsid w:val="00F35B33"/>
    <w:rsid w:val="00F35B8A"/>
    <w:rsid w:val="00F35B93"/>
    <w:rsid w:val="00F35BA6"/>
    <w:rsid w:val="00F35BBD"/>
    <w:rsid w:val="00F35BF7"/>
    <w:rsid w:val="00F35C1A"/>
    <w:rsid w:val="00F35C5A"/>
    <w:rsid w:val="00F35CA1"/>
    <w:rsid w:val="00F35CB8"/>
    <w:rsid w:val="00F35CEC"/>
    <w:rsid w:val="00F35D2F"/>
    <w:rsid w:val="00F35DD3"/>
    <w:rsid w:val="00F35E4C"/>
    <w:rsid w:val="00F35E50"/>
    <w:rsid w:val="00F35E78"/>
    <w:rsid w:val="00F35F2D"/>
    <w:rsid w:val="00F36116"/>
    <w:rsid w:val="00F36130"/>
    <w:rsid w:val="00F3614D"/>
    <w:rsid w:val="00F3620A"/>
    <w:rsid w:val="00F3625D"/>
    <w:rsid w:val="00F362E8"/>
    <w:rsid w:val="00F362F0"/>
    <w:rsid w:val="00F362F2"/>
    <w:rsid w:val="00F36362"/>
    <w:rsid w:val="00F36402"/>
    <w:rsid w:val="00F36485"/>
    <w:rsid w:val="00F364E5"/>
    <w:rsid w:val="00F3655E"/>
    <w:rsid w:val="00F36588"/>
    <w:rsid w:val="00F36593"/>
    <w:rsid w:val="00F365AA"/>
    <w:rsid w:val="00F365DC"/>
    <w:rsid w:val="00F3663D"/>
    <w:rsid w:val="00F366B4"/>
    <w:rsid w:val="00F3670F"/>
    <w:rsid w:val="00F36770"/>
    <w:rsid w:val="00F36796"/>
    <w:rsid w:val="00F367DB"/>
    <w:rsid w:val="00F36803"/>
    <w:rsid w:val="00F36816"/>
    <w:rsid w:val="00F3685A"/>
    <w:rsid w:val="00F36871"/>
    <w:rsid w:val="00F36894"/>
    <w:rsid w:val="00F368BA"/>
    <w:rsid w:val="00F368E1"/>
    <w:rsid w:val="00F3695A"/>
    <w:rsid w:val="00F36AFF"/>
    <w:rsid w:val="00F36BC1"/>
    <w:rsid w:val="00F36C62"/>
    <w:rsid w:val="00F36CC0"/>
    <w:rsid w:val="00F36CEE"/>
    <w:rsid w:val="00F36CF3"/>
    <w:rsid w:val="00F36D0C"/>
    <w:rsid w:val="00F36DC6"/>
    <w:rsid w:val="00F36DD6"/>
    <w:rsid w:val="00F36E20"/>
    <w:rsid w:val="00F36E43"/>
    <w:rsid w:val="00F36E6C"/>
    <w:rsid w:val="00F36E70"/>
    <w:rsid w:val="00F36EA1"/>
    <w:rsid w:val="00F36F4F"/>
    <w:rsid w:val="00F36F9E"/>
    <w:rsid w:val="00F36FF7"/>
    <w:rsid w:val="00F370AD"/>
    <w:rsid w:val="00F370DA"/>
    <w:rsid w:val="00F370EB"/>
    <w:rsid w:val="00F3713E"/>
    <w:rsid w:val="00F371BB"/>
    <w:rsid w:val="00F371FF"/>
    <w:rsid w:val="00F3723B"/>
    <w:rsid w:val="00F37247"/>
    <w:rsid w:val="00F37291"/>
    <w:rsid w:val="00F37300"/>
    <w:rsid w:val="00F37307"/>
    <w:rsid w:val="00F37365"/>
    <w:rsid w:val="00F3737A"/>
    <w:rsid w:val="00F3743F"/>
    <w:rsid w:val="00F37516"/>
    <w:rsid w:val="00F37517"/>
    <w:rsid w:val="00F3754B"/>
    <w:rsid w:val="00F375AF"/>
    <w:rsid w:val="00F375F9"/>
    <w:rsid w:val="00F3765A"/>
    <w:rsid w:val="00F37683"/>
    <w:rsid w:val="00F3771A"/>
    <w:rsid w:val="00F3778F"/>
    <w:rsid w:val="00F37879"/>
    <w:rsid w:val="00F37885"/>
    <w:rsid w:val="00F378BA"/>
    <w:rsid w:val="00F3792D"/>
    <w:rsid w:val="00F379C9"/>
    <w:rsid w:val="00F379DA"/>
    <w:rsid w:val="00F379F5"/>
    <w:rsid w:val="00F37A3E"/>
    <w:rsid w:val="00F37AD0"/>
    <w:rsid w:val="00F37B65"/>
    <w:rsid w:val="00F37BAB"/>
    <w:rsid w:val="00F37BB5"/>
    <w:rsid w:val="00F37BD8"/>
    <w:rsid w:val="00F37BF3"/>
    <w:rsid w:val="00F37C1F"/>
    <w:rsid w:val="00F37C25"/>
    <w:rsid w:val="00F37C46"/>
    <w:rsid w:val="00F37CC5"/>
    <w:rsid w:val="00F37D02"/>
    <w:rsid w:val="00F37D2B"/>
    <w:rsid w:val="00F37D3A"/>
    <w:rsid w:val="00F37D48"/>
    <w:rsid w:val="00F37DA1"/>
    <w:rsid w:val="00F37E03"/>
    <w:rsid w:val="00F37E0B"/>
    <w:rsid w:val="00F37E53"/>
    <w:rsid w:val="00F37F09"/>
    <w:rsid w:val="00F37F11"/>
    <w:rsid w:val="00F37F3D"/>
    <w:rsid w:val="00F37F52"/>
    <w:rsid w:val="00F37F60"/>
    <w:rsid w:val="00F37FA0"/>
    <w:rsid w:val="00F37FB4"/>
    <w:rsid w:val="00F37FB6"/>
    <w:rsid w:val="00F37FC4"/>
    <w:rsid w:val="00F4006C"/>
    <w:rsid w:val="00F400A7"/>
    <w:rsid w:val="00F400B4"/>
    <w:rsid w:val="00F40209"/>
    <w:rsid w:val="00F40212"/>
    <w:rsid w:val="00F40237"/>
    <w:rsid w:val="00F40412"/>
    <w:rsid w:val="00F404D4"/>
    <w:rsid w:val="00F4055A"/>
    <w:rsid w:val="00F4057E"/>
    <w:rsid w:val="00F40599"/>
    <w:rsid w:val="00F4059D"/>
    <w:rsid w:val="00F405AF"/>
    <w:rsid w:val="00F405D5"/>
    <w:rsid w:val="00F40603"/>
    <w:rsid w:val="00F40641"/>
    <w:rsid w:val="00F40658"/>
    <w:rsid w:val="00F4065C"/>
    <w:rsid w:val="00F4066F"/>
    <w:rsid w:val="00F4069A"/>
    <w:rsid w:val="00F40703"/>
    <w:rsid w:val="00F407B7"/>
    <w:rsid w:val="00F407FF"/>
    <w:rsid w:val="00F40849"/>
    <w:rsid w:val="00F40861"/>
    <w:rsid w:val="00F40929"/>
    <w:rsid w:val="00F40964"/>
    <w:rsid w:val="00F409E1"/>
    <w:rsid w:val="00F40AD4"/>
    <w:rsid w:val="00F40C59"/>
    <w:rsid w:val="00F40D1C"/>
    <w:rsid w:val="00F40D59"/>
    <w:rsid w:val="00F40DB9"/>
    <w:rsid w:val="00F40E21"/>
    <w:rsid w:val="00F40E30"/>
    <w:rsid w:val="00F40E6A"/>
    <w:rsid w:val="00F40E7B"/>
    <w:rsid w:val="00F40ECF"/>
    <w:rsid w:val="00F40F48"/>
    <w:rsid w:val="00F40F68"/>
    <w:rsid w:val="00F41018"/>
    <w:rsid w:val="00F410B1"/>
    <w:rsid w:val="00F410B2"/>
    <w:rsid w:val="00F4115F"/>
    <w:rsid w:val="00F41260"/>
    <w:rsid w:val="00F412D9"/>
    <w:rsid w:val="00F4130D"/>
    <w:rsid w:val="00F41361"/>
    <w:rsid w:val="00F41434"/>
    <w:rsid w:val="00F414D1"/>
    <w:rsid w:val="00F414D2"/>
    <w:rsid w:val="00F414DF"/>
    <w:rsid w:val="00F41526"/>
    <w:rsid w:val="00F41530"/>
    <w:rsid w:val="00F41594"/>
    <w:rsid w:val="00F415A2"/>
    <w:rsid w:val="00F415B6"/>
    <w:rsid w:val="00F415FC"/>
    <w:rsid w:val="00F416F7"/>
    <w:rsid w:val="00F41798"/>
    <w:rsid w:val="00F41857"/>
    <w:rsid w:val="00F41866"/>
    <w:rsid w:val="00F418AD"/>
    <w:rsid w:val="00F41913"/>
    <w:rsid w:val="00F4191C"/>
    <w:rsid w:val="00F4195B"/>
    <w:rsid w:val="00F41964"/>
    <w:rsid w:val="00F419CF"/>
    <w:rsid w:val="00F41A13"/>
    <w:rsid w:val="00F41A26"/>
    <w:rsid w:val="00F41A84"/>
    <w:rsid w:val="00F41A9D"/>
    <w:rsid w:val="00F41ACA"/>
    <w:rsid w:val="00F41B3F"/>
    <w:rsid w:val="00F41BD3"/>
    <w:rsid w:val="00F41CE4"/>
    <w:rsid w:val="00F41E79"/>
    <w:rsid w:val="00F41EBC"/>
    <w:rsid w:val="00F41F2B"/>
    <w:rsid w:val="00F41F57"/>
    <w:rsid w:val="00F41FB1"/>
    <w:rsid w:val="00F41FC8"/>
    <w:rsid w:val="00F41FDD"/>
    <w:rsid w:val="00F420CC"/>
    <w:rsid w:val="00F4214B"/>
    <w:rsid w:val="00F421DD"/>
    <w:rsid w:val="00F421E3"/>
    <w:rsid w:val="00F42217"/>
    <w:rsid w:val="00F422A1"/>
    <w:rsid w:val="00F422F6"/>
    <w:rsid w:val="00F42303"/>
    <w:rsid w:val="00F42399"/>
    <w:rsid w:val="00F423CC"/>
    <w:rsid w:val="00F42513"/>
    <w:rsid w:val="00F425AB"/>
    <w:rsid w:val="00F42612"/>
    <w:rsid w:val="00F42679"/>
    <w:rsid w:val="00F4273E"/>
    <w:rsid w:val="00F42740"/>
    <w:rsid w:val="00F4274B"/>
    <w:rsid w:val="00F42781"/>
    <w:rsid w:val="00F427B3"/>
    <w:rsid w:val="00F42806"/>
    <w:rsid w:val="00F42879"/>
    <w:rsid w:val="00F42889"/>
    <w:rsid w:val="00F428A1"/>
    <w:rsid w:val="00F428A9"/>
    <w:rsid w:val="00F42910"/>
    <w:rsid w:val="00F4292B"/>
    <w:rsid w:val="00F429EF"/>
    <w:rsid w:val="00F42A2B"/>
    <w:rsid w:val="00F42A40"/>
    <w:rsid w:val="00F42A75"/>
    <w:rsid w:val="00F42A85"/>
    <w:rsid w:val="00F42A9D"/>
    <w:rsid w:val="00F42B19"/>
    <w:rsid w:val="00F42B57"/>
    <w:rsid w:val="00F42BE6"/>
    <w:rsid w:val="00F42C29"/>
    <w:rsid w:val="00F42C95"/>
    <w:rsid w:val="00F42C9A"/>
    <w:rsid w:val="00F42CB7"/>
    <w:rsid w:val="00F42CBE"/>
    <w:rsid w:val="00F42DD1"/>
    <w:rsid w:val="00F42E38"/>
    <w:rsid w:val="00F42E6D"/>
    <w:rsid w:val="00F42E9A"/>
    <w:rsid w:val="00F42EBD"/>
    <w:rsid w:val="00F42F14"/>
    <w:rsid w:val="00F42F37"/>
    <w:rsid w:val="00F42F3C"/>
    <w:rsid w:val="00F42FDC"/>
    <w:rsid w:val="00F42FE8"/>
    <w:rsid w:val="00F43015"/>
    <w:rsid w:val="00F4304F"/>
    <w:rsid w:val="00F43125"/>
    <w:rsid w:val="00F431C2"/>
    <w:rsid w:val="00F4321D"/>
    <w:rsid w:val="00F43286"/>
    <w:rsid w:val="00F4336F"/>
    <w:rsid w:val="00F433A3"/>
    <w:rsid w:val="00F433E6"/>
    <w:rsid w:val="00F43433"/>
    <w:rsid w:val="00F434A1"/>
    <w:rsid w:val="00F435A1"/>
    <w:rsid w:val="00F435F0"/>
    <w:rsid w:val="00F4362A"/>
    <w:rsid w:val="00F43659"/>
    <w:rsid w:val="00F43670"/>
    <w:rsid w:val="00F43693"/>
    <w:rsid w:val="00F436C4"/>
    <w:rsid w:val="00F436EE"/>
    <w:rsid w:val="00F43701"/>
    <w:rsid w:val="00F4377D"/>
    <w:rsid w:val="00F43791"/>
    <w:rsid w:val="00F43847"/>
    <w:rsid w:val="00F43861"/>
    <w:rsid w:val="00F4389A"/>
    <w:rsid w:val="00F43920"/>
    <w:rsid w:val="00F43959"/>
    <w:rsid w:val="00F439C0"/>
    <w:rsid w:val="00F439C6"/>
    <w:rsid w:val="00F439D8"/>
    <w:rsid w:val="00F43A5C"/>
    <w:rsid w:val="00F43A5F"/>
    <w:rsid w:val="00F43A8C"/>
    <w:rsid w:val="00F43A94"/>
    <w:rsid w:val="00F43A9D"/>
    <w:rsid w:val="00F43AC8"/>
    <w:rsid w:val="00F43ACD"/>
    <w:rsid w:val="00F43AF4"/>
    <w:rsid w:val="00F43B41"/>
    <w:rsid w:val="00F43B85"/>
    <w:rsid w:val="00F43BCC"/>
    <w:rsid w:val="00F43C07"/>
    <w:rsid w:val="00F43C38"/>
    <w:rsid w:val="00F43C57"/>
    <w:rsid w:val="00F43C74"/>
    <w:rsid w:val="00F43CCF"/>
    <w:rsid w:val="00F43D27"/>
    <w:rsid w:val="00F43D47"/>
    <w:rsid w:val="00F43D4F"/>
    <w:rsid w:val="00F43D5B"/>
    <w:rsid w:val="00F43E05"/>
    <w:rsid w:val="00F43E1D"/>
    <w:rsid w:val="00F43E78"/>
    <w:rsid w:val="00F43EAA"/>
    <w:rsid w:val="00F43F55"/>
    <w:rsid w:val="00F43F9B"/>
    <w:rsid w:val="00F43FC9"/>
    <w:rsid w:val="00F4402D"/>
    <w:rsid w:val="00F4404A"/>
    <w:rsid w:val="00F4406C"/>
    <w:rsid w:val="00F44091"/>
    <w:rsid w:val="00F440CF"/>
    <w:rsid w:val="00F440D7"/>
    <w:rsid w:val="00F44135"/>
    <w:rsid w:val="00F44145"/>
    <w:rsid w:val="00F4418A"/>
    <w:rsid w:val="00F441E2"/>
    <w:rsid w:val="00F44207"/>
    <w:rsid w:val="00F442C0"/>
    <w:rsid w:val="00F442FF"/>
    <w:rsid w:val="00F44311"/>
    <w:rsid w:val="00F44328"/>
    <w:rsid w:val="00F44390"/>
    <w:rsid w:val="00F443B8"/>
    <w:rsid w:val="00F44414"/>
    <w:rsid w:val="00F44438"/>
    <w:rsid w:val="00F44535"/>
    <w:rsid w:val="00F44549"/>
    <w:rsid w:val="00F4457E"/>
    <w:rsid w:val="00F445D5"/>
    <w:rsid w:val="00F4460C"/>
    <w:rsid w:val="00F44655"/>
    <w:rsid w:val="00F4465E"/>
    <w:rsid w:val="00F4467F"/>
    <w:rsid w:val="00F4468B"/>
    <w:rsid w:val="00F44707"/>
    <w:rsid w:val="00F4475C"/>
    <w:rsid w:val="00F4476A"/>
    <w:rsid w:val="00F447C6"/>
    <w:rsid w:val="00F447CF"/>
    <w:rsid w:val="00F44924"/>
    <w:rsid w:val="00F44962"/>
    <w:rsid w:val="00F449CD"/>
    <w:rsid w:val="00F449D6"/>
    <w:rsid w:val="00F449DF"/>
    <w:rsid w:val="00F44A48"/>
    <w:rsid w:val="00F44A65"/>
    <w:rsid w:val="00F44B2C"/>
    <w:rsid w:val="00F44B31"/>
    <w:rsid w:val="00F44B7C"/>
    <w:rsid w:val="00F44BC2"/>
    <w:rsid w:val="00F44C02"/>
    <w:rsid w:val="00F44C0D"/>
    <w:rsid w:val="00F44CAD"/>
    <w:rsid w:val="00F44D55"/>
    <w:rsid w:val="00F44D81"/>
    <w:rsid w:val="00F44DA8"/>
    <w:rsid w:val="00F44DD2"/>
    <w:rsid w:val="00F44E8F"/>
    <w:rsid w:val="00F44E96"/>
    <w:rsid w:val="00F44EAD"/>
    <w:rsid w:val="00F44EE9"/>
    <w:rsid w:val="00F44F1E"/>
    <w:rsid w:val="00F44F73"/>
    <w:rsid w:val="00F44F89"/>
    <w:rsid w:val="00F44FCA"/>
    <w:rsid w:val="00F45008"/>
    <w:rsid w:val="00F450CC"/>
    <w:rsid w:val="00F45175"/>
    <w:rsid w:val="00F45178"/>
    <w:rsid w:val="00F451A8"/>
    <w:rsid w:val="00F451BD"/>
    <w:rsid w:val="00F451C6"/>
    <w:rsid w:val="00F451CC"/>
    <w:rsid w:val="00F45259"/>
    <w:rsid w:val="00F45317"/>
    <w:rsid w:val="00F45326"/>
    <w:rsid w:val="00F45376"/>
    <w:rsid w:val="00F4537C"/>
    <w:rsid w:val="00F45397"/>
    <w:rsid w:val="00F453AF"/>
    <w:rsid w:val="00F453B8"/>
    <w:rsid w:val="00F453E2"/>
    <w:rsid w:val="00F45470"/>
    <w:rsid w:val="00F454C5"/>
    <w:rsid w:val="00F454C7"/>
    <w:rsid w:val="00F4550B"/>
    <w:rsid w:val="00F4557D"/>
    <w:rsid w:val="00F456B4"/>
    <w:rsid w:val="00F4572C"/>
    <w:rsid w:val="00F4585D"/>
    <w:rsid w:val="00F4586E"/>
    <w:rsid w:val="00F45885"/>
    <w:rsid w:val="00F458B1"/>
    <w:rsid w:val="00F45900"/>
    <w:rsid w:val="00F45938"/>
    <w:rsid w:val="00F45967"/>
    <w:rsid w:val="00F4596A"/>
    <w:rsid w:val="00F459BC"/>
    <w:rsid w:val="00F459EF"/>
    <w:rsid w:val="00F45AD2"/>
    <w:rsid w:val="00F45B2E"/>
    <w:rsid w:val="00F45B32"/>
    <w:rsid w:val="00F45B8B"/>
    <w:rsid w:val="00F45C13"/>
    <w:rsid w:val="00F45C76"/>
    <w:rsid w:val="00F45C77"/>
    <w:rsid w:val="00F45CB8"/>
    <w:rsid w:val="00F45CFB"/>
    <w:rsid w:val="00F45D38"/>
    <w:rsid w:val="00F45D5F"/>
    <w:rsid w:val="00F45D88"/>
    <w:rsid w:val="00F45DA3"/>
    <w:rsid w:val="00F45E07"/>
    <w:rsid w:val="00F45E2F"/>
    <w:rsid w:val="00F45E40"/>
    <w:rsid w:val="00F45E56"/>
    <w:rsid w:val="00F45E6A"/>
    <w:rsid w:val="00F45E79"/>
    <w:rsid w:val="00F45F00"/>
    <w:rsid w:val="00F45F0B"/>
    <w:rsid w:val="00F45F6A"/>
    <w:rsid w:val="00F46028"/>
    <w:rsid w:val="00F4607D"/>
    <w:rsid w:val="00F46096"/>
    <w:rsid w:val="00F460B3"/>
    <w:rsid w:val="00F4614D"/>
    <w:rsid w:val="00F461BC"/>
    <w:rsid w:val="00F46238"/>
    <w:rsid w:val="00F46248"/>
    <w:rsid w:val="00F4624E"/>
    <w:rsid w:val="00F46288"/>
    <w:rsid w:val="00F462B2"/>
    <w:rsid w:val="00F462B3"/>
    <w:rsid w:val="00F462C5"/>
    <w:rsid w:val="00F463FA"/>
    <w:rsid w:val="00F46416"/>
    <w:rsid w:val="00F46499"/>
    <w:rsid w:val="00F464B1"/>
    <w:rsid w:val="00F464D4"/>
    <w:rsid w:val="00F464FB"/>
    <w:rsid w:val="00F46518"/>
    <w:rsid w:val="00F46535"/>
    <w:rsid w:val="00F4654A"/>
    <w:rsid w:val="00F465AE"/>
    <w:rsid w:val="00F4661B"/>
    <w:rsid w:val="00F46673"/>
    <w:rsid w:val="00F4669D"/>
    <w:rsid w:val="00F466E0"/>
    <w:rsid w:val="00F4670B"/>
    <w:rsid w:val="00F4673F"/>
    <w:rsid w:val="00F46779"/>
    <w:rsid w:val="00F467BA"/>
    <w:rsid w:val="00F467CB"/>
    <w:rsid w:val="00F4686C"/>
    <w:rsid w:val="00F468F1"/>
    <w:rsid w:val="00F468FE"/>
    <w:rsid w:val="00F46979"/>
    <w:rsid w:val="00F4698E"/>
    <w:rsid w:val="00F469FA"/>
    <w:rsid w:val="00F46AAE"/>
    <w:rsid w:val="00F46AC3"/>
    <w:rsid w:val="00F46AE6"/>
    <w:rsid w:val="00F46AFE"/>
    <w:rsid w:val="00F46B61"/>
    <w:rsid w:val="00F46B92"/>
    <w:rsid w:val="00F46BBC"/>
    <w:rsid w:val="00F46C2E"/>
    <w:rsid w:val="00F46CD1"/>
    <w:rsid w:val="00F46DA9"/>
    <w:rsid w:val="00F46DCB"/>
    <w:rsid w:val="00F46DFE"/>
    <w:rsid w:val="00F46E5F"/>
    <w:rsid w:val="00F46E68"/>
    <w:rsid w:val="00F46EA6"/>
    <w:rsid w:val="00F46EAB"/>
    <w:rsid w:val="00F46EB4"/>
    <w:rsid w:val="00F46F2E"/>
    <w:rsid w:val="00F46FD0"/>
    <w:rsid w:val="00F46FE2"/>
    <w:rsid w:val="00F4702B"/>
    <w:rsid w:val="00F47064"/>
    <w:rsid w:val="00F470A7"/>
    <w:rsid w:val="00F4714D"/>
    <w:rsid w:val="00F47171"/>
    <w:rsid w:val="00F4717B"/>
    <w:rsid w:val="00F4718B"/>
    <w:rsid w:val="00F471D4"/>
    <w:rsid w:val="00F4721E"/>
    <w:rsid w:val="00F47228"/>
    <w:rsid w:val="00F47265"/>
    <w:rsid w:val="00F472CA"/>
    <w:rsid w:val="00F472DD"/>
    <w:rsid w:val="00F47313"/>
    <w:rsid w:val="00F47317"/>
    <w:rsid w:val="00F4735A"/>
    <w:rsid w:val="00F4739D"/>
    <w:rsid w:val="00F473FB"/>
    <w:rsid w:val="00F47422"/>
    <w:rsid w:val="00F47436"/>
    <w:rsid w:val="00F47468"/>
    <w:rsid w:val="00F474B5"/>
    <w:rsid w:val="00F474DD"/>
    <w:rsid w:val="00F474FD"/>
    <w:rsid w:val="00F47578"/>
    <w:rsid w:val="00F475D9"/>
    <w:rsid w:val="00F475E1"/>
    <w:rsid w:val="00F475F3"/>
    <w:rsid w:val="00F47620"/>
    <w:rsid w:val="00F47630"/>
    <w:rsid w:val="00F476BA"/>
    <w:rsid w:val="00F476E8"/>
    <w:rsid w:val="00F476EE"/>
    <w:rsid w:val="00F47735"/>
    <w:rsid w:val="00F47751"/>
    <w:rsid w:val="00F477BF"/>
    <w:rsid w:val="00F477D3"/>
    <w:rsid w:val="00F4780E"/>
    <w:rsid w:val="00F47852"/>
    <w:rsid w:val="00F478BD"/>
    <w:rsid w:val="00F478C8"/>
    <w:rsid w:val="00F478CB"/>
    <w:rsid w:val="00F47900"/>
    <w:rsid w:val="00F47929"/>
    <w:rsid w:val="00F4794A"/>
    <w:rsid w:val="00F47997"/>
    <w:rsid w:val="00F479F4"/>
    <w:rsid w:val="00F47A67"/>
    <w:rsid w:val="00F47A86"/>
    <w:rsid w:val="00F47A91"/>
    <w:rsid w:val="00F47A94"/>
    <w:rsid w:val="00F47B25"/>
    <w:rsid w:val="00F47B84"/>
    <w:rsid w:val="00F47B8D"/>
    <w:rsid w:val="00F47B9F"/>
    <w:rsid w:val="00F47BCB"/>
    <w:rsid w:val="00F47C74"/>
    <w:rsid w:val="00F47CBB"/>
    <w:rsid w:val="00F47CF1"/>
    <w:rsid w:val="00F47CF6"/>
    <w:rsid w:val="00F47D32"/>
    <w:rsid w:val="00F47D84"/>
    <w:rsid w:val="00F47D89"/>
    <w:rsid w:val="00F47DD3"/>
    <w:rsid w:val="00F47DF2"/>
    <w:rsid w:val="00F47E06"/>
    <w:rsid w:val="00F47E45"/>
    <w:rsid w:val="00F47E7E"/>
    <w:rsid w:val="00F47E8D"/>
    <w:rsid w:val="00F47ECA"/>
    <w:rsid w:val="00F47ECD"/>
    <w:rsid w:val="00F47ED5"/>
    <w:rsid w:val="00F47F18"/>
    <w:rsid w:val="00F47F2C"/>
    <w:rsid w:val="00F47F52"/>
    <w:rsid w:val="00F47FB1"/>
    <w:rsid w:val="00F47FF0"/>
    <w:rsid w:val="00F50070"/>
    <w:rsid w:val="00F500AB"/>
    <w:rsid w:val="00F50143"/>
    <w:rsid w:val="00F5018E"/>
    <w:rsid w:val="00F50234"/>
    <w:rsid w:val="00F50243"/>
    <w:rsid w:val="00F502BA"/>
    <w:rsid w:val="00F502BE"/>
    <w:rsid w:val="00F502E3"/>
    <w:rsid w:val="00F5031B"/>
    <w:rsid w:val="00F50347"/>
    <w:rsid w:val="00F50374"/>
    <w:rsid w:val="00F50414"/>
    <w:rsid w:val="00F5042A"/>
    <w:rsid w:val="00F50433"/>
    <w:rsid w:val="00F5043C"/>
    <w:rsid w:val="00F5043F"/>
    <w:rsid w:val="00F5046C"/>
    <w:rsid w:val="00F50481"/>
    <w:rsid w:val="00F504AA"/>
    <w:rsid w:val="00F504C5"/>
    <w:rsid w:val="00F504FB"/>
    <w:rsid w:val="00F50599"/>
    <w:rsid w:val="00F505A6"/>
    <w:rsid w:val="00F505D4"/>
    <w:rsid w:val="00F505FC"/>
    <w:rsid w:val="00F506C5"/>
    <w:rsid w:val="00F506CA"/>
    <w:rsid w:val="00F5073F"/>
    <w:rsid w:val="00F50745"/>
    <w:rsid w:val="00F50767"/>
    <w:rsid w:val="00F50769"/>
    <w:rsid w:val="00F5076F"/>
    <w:rsid w:val="00F50783"/>
    <w:rsid w:val="00F5078F"/>
    <w:rsid w:val="00F507B4"/>
    <w:rsid w:val="00F507F2"/>
    <w:rsid w:val="00F50864"/>
    <w:rsid w:val="00F50880"/>
    <w:rsid w:val="00F50907"/>
    <w:rsid w:val="00F50957"/>
    <w:rsid w:val="00F50988"/>
    <w:rsid w:val="00F5098B"/>
    <w:rsid w:val="00F509B0"/>
    <w:rsid w:val="00F509BB"/>
    <w:rsid w:val="00F50A56"/>
    <w:rsid w:val="00F50A6D"/>
    <w:rsid w:val="00F50B47"/>
    <w:rsid w:val="00F50B57"/>
    <w:rsid w:val="00F50BFC"/>
    <w:rsid w:val="00F50C21"/>
    <w:rsid w:val="00F50C31"/>
    <w:rsid w:val="00F50C8A"/>
    <w:rsid w:val="00F50CD5"/>
    <w:rsid w:val="00F50CF9"/>
    <w:rsid w:val="00F50D06"/>
    <w:rsid w:val="00F50D66"/>
    <w:rsid w:val="00F50DD7"/>
    <w:rsid w:val="00F50E20"/>
    <w:rsid w:val="00F50ECA"/>
    <w:rsid w:val="00F50EF4"/>
    <w:rsid w:val="00F50F69"/>
    <w:rsid w:val="00F50FD3"/>
    <w:rsid w:val="00F50FEC"/>
    <w:rsid w:val="00F51075"/>
    <w:rsid w:val="00F5112C"/>
    <w:rsid w:val="00F511A5"/>
    <w:rsid w:val="00F511B5"/>
    <w:rsid w:val="00F5120D"/>
    <w:rsid w:val="00F51240"/>
    <w:rsid w:val="00F51268"/>
    <w:rsid w:val="00F51290"/>
    <w:rsid w:val="00F512E7"/>
    <w:rsid w:val="00F51316"/>
    <w:rsid w:val="00F51369"/>
    <w:rsid w:val="00F513EF"/>
    <w:rsid w:val="00F51451"/>
    <w:rsid w:val="00F5148E"/>
    <w:rsid w:val="00F514BF"/>
    <w:rsid w:val="00F5150B"/>
    <w:rsid w:val="00F51562"/>
    <w:rsid w:val="00F51564"/>
    <w:rsid w:val="00F516EA"/>
    <w:rsid w:val="00F51709"/>
    <w:rsid w:val="00F51730"/>
    <w:rsid w:val="00F51764"/>
    <w:rsid w:val="00F517E8"/>
    <w:rsid w:val="00F517F7"/>
    <w:rsid w:val="00F51835"/>
    <w:rsid w:val="00F51841"/>
    <w:rsid w:val="00F5184F"/>
    <w:rsid w:val="00F51852"/>
    <w:rsid w:val="00F518D0"/>
    <w:rsid w:val="00F51936"/>
    <w:rsid w:val="00F51937"/>
    <w:rsid w:val="00F51961"/>
    <w:rsid w:val="00F5196B"/>
    <w:rsid w:val="00F519D3"/>
    <w:rsid w:val="00F51A02"/>
    <w:rsid w:val="00F51A41"/>
    <w:rsid w:val="00F51A4F"/>
    <w:rsid w:val="00F51A79"/>
    <w:rsid w:val="00F51A80"/>
    <w:rsid w:val="00F51A9F"/>
    <w:rsid w:val="00F51AE0"/>
    <w:rsid w:val="00F51BB2"/>
    <w:rsid w:val="00F51C14"/>
    <w:rsid w:val="00F51C1A"/>
    <w:rsid w:val="00F51C20"/>
    <w:rsid w:val="00F51C55"/>
    <w:rsid w:val="00F51D7F"/>
    <w:rsid w:val="00F51D8A"/>
    <w:rsid w:val="00F51DD5"/>
    <w:rsid w:val="00F51DF5"/>
    <w:rsid w:val="00F51DF7"/>
    <w:rsid w:val="00F51E40"/>
    <w:rsid w:val="00F51E4B"/>
    <w:rsid w:val="00F51EA5"/>
    <w:rsid w:val="00F51EBA"/>
    <w:rsid w:val="00F51EDB"/>
    <w:rsid w:val="00F51F4B"/>
    <w:rsid w:val="00F51F7D"/>
    <w:rsid w:val="00F51F98"/>
    <w:rsid w:val="00F51F9F"/>
    <w:rsid w:val="00F51FD2"/>
    <w:rsid w:val="00F51FD9"/>
    <w:rsid w:val="00F5203C"/>
    <w:rsid w:val="00F5208F"/>
    <w:rsid w:val="00F520BA"/>
    <w:rsid w:val="00F52140"/>
    <w:rsid w:val="00F52151"/>
    <w:rsid w:val="00F52163"/>
    <w:rsid w:val="00F521A5"/>
    <w:rsid w:val="00F521A8"/>
    <w:rsid w:val="00F521BB"/>
    <w:rsid w:val="00F5222C"/>
    <w:rsid w:val="00F522AA"/>
    <w:rsid w:val="00F522E8"/>
    <w:rsid w:val="00F522F8"/>
    <w:rsid w:val="00F52302"/>
    <w:rsid w:val="00F5234F"/>
    <w:rsid w:val="00F5235E"/>
    <w:rsid w:val="00F52381"/>
    <w:rsid w:val="00F523BB"/>
    <w:rsid w:val="00F523CA"/>
    <w:rsid w:val="00F523D7"/>
    <w:rsid w:val="00F5244F"/>
    <w:rsid w:val="00F524B1"/>
    <w:rsid w:val="00F52509"/>
    <w:rsid w:val="00F52613"/>
    <w:rsid w:val="00F5272B"/>
    <w:rsid w:val="00F5279E"/>
    <w:rsid w:val="00F5280D"/>
    <w:rsid w:val="00F52839"/>
    <w:rsid w:val="00F52868"/>
    <w:rsid w:val="00F528D0"/>
    <w:rsid w:val="00F52905"/>
    <w:rsid w:val="00F52909"/>
    <w:rsid w:val="00F52948"/>
    <w:rsid w:val="00F5297B"/>
    <w:rsid w:val="00F52993"/>
    <w:rsid w:val="00F529A7"/>
    <w:rsid w:val="00F529AE"/>
    <w:rsid w:val="00F529FB"/>
    <w:rsid w:val="00F52A23"/>
    <w:rsid w:val="00F52A9F"/>
    <w:rsid w:val="00F52AC9"/>
    <w:rsid w:val="00F52ACE"/>
    <w:rsid w:val="00F52ADD"/>
    <w:rsid w:val="00F52AF4"/>
    <w:rsid w:val="00F52B84"/>
    <w:rsid w:val="00F52B8B"/>
    <w:rsid w:val="00F52B8E"/>
    <w:rsid w:val="00F52CAA"/>
    <w:rsid w:val="00F52CBC"/>
    <w:rsid w:val="00F52CF2"/>
    <w:rsid w:val="00F52D5E"/>
    <w:rsid w:val="00F52DD8"/>
    <w:rsid w:val="00F52E46"/>
    <w:rsid w:val="00F52EEB"/>
    <w:rsid w:val="00F52F25"/>
    <w:rsid w:val="00F52F46"/>
    <w:rsid w:val="00F52F7F"/>
    <w:rsid w:val="00F52F97"/>
    <w:rsid w:val="00F52FDD"/>
    <w:rsid w:val="00F531FC"/>
    <w:rsid w:val="00F531FF"/>
    <w:rsid w:val="00F53226"/>
    <w:rsid w:val="00F5322F"/>
    <w:rsid w:val="00F53243"/>
    <w:rsid w:val="00F5327A"/>
    <w:rsid w:val="00F5327B"/>
    <w:rsid w:val="00F534B9"/>
    <w:rsid w:val="00F534E6"/>
    <w:rsid w:val="00F53547"/>
    <w:rsid w:val="00F535C1"/>
    <w:rsid w:val="00F535F6"/>
    <w:rsid w:val="00F5365A"/>
    <w:rsid w:val="00F5368A"/>
    <w:rsid w:val="00F536D3"/>
    <w:rsid w:val="00F537DA"/>
    <w:rsid w:val="00F53889"/>
    <w:rsid w:val="00F53891"/>
    <w:rsid w:val="00F5389F"/>
    <w:rsid w:val="00F53923"/>
    <w:rsid w:val="00F53966"/>
    <w:rsid w:val="00F539C6"/>
    <w:rsid w:val="00F53A04"/>
    <w:rsid w:val="00F53A07"/>
    <w:rsid w:val="00F53A14"/>
    <w:rsid w:val="00F53AF9"/>
    <w:rsid w:val="00F53BB1"/>
    <w:rsid w:val="00F53BC0"/>
    <w:rsid w:val="00F53BEB"/>
    <w:rsid w:val="00F53C28"/>
    <w:rsid w:val="00F53C43"/>
    <w:rsid w:val="00F53C6A"/>
    <w:rsid w:val="00F53CA4"/>
    <w:rsid w:val="00F53DDB"/>
    <w:rsid w:val="00F53DDC"/>
    <w:rsid w:val="00F53E27"/>
    <w:rsid w:val="00F53E9F"/>
    <w:rsid w:val="00F53EA8"/>
    <w:rsid w:val="00F53EB4"/>
    <w:rsid w:val="00F53EB9"/>
    <w:rsid w:val="00F53ED5"/>
    <w:rsid w:val="00F53F6D"/>
    <w:rsid w:val="00F53F9A"/>
    <w:rsid w:val="00F53FA0"/>
    <w:rsid w:val="00F53FA3"/>
    <w:rsid w:val="00F53FB2"/>
    <w:rsid w:val="00F54014"/>
    <w:rsid w:val="00F54082"/>
    <w:rsid w:val="00F5408D"/>
    <w:rsid w:val="00F540B9"/>
    <w:rsid w:val="00F54101"/>
    <w:rsid w:val="00F54104"/>
    <w:rsid w:val="00F5417E"/>
    <w:rsid w:val="00F541BA"/>
    <w:rsid w:val="00F541DD"/>
    <w:rsid w:val="00F54271"/>
    <w:rsid w:val="00F54289"/>
    <w:rsid w:val="00F54393"/>
    <w:rsid w:val="00F543CE"/>
    <w:rsid w:val="00F54424"/>
    <w:rsid w:val="00F54471"/>
    <w:rsid w:val="00F544B2"/>
    <w:rsid w:val="00F544B9"/>
    <w:rsid w:val="00F544DC"/>
    <w:rsid w:val="00F54515"/>
    <w:rsid w:val="00F54537"/>
    <w:rsid w:val="00F5454D"/>
    <w:rsid w:val="00F5455A"/>
    <w:rsid w:val="00F54569"/>
    <w:rsid w:val="00F546B6"/>
    <w:rsid w:val="00F546C3"/>
    <w:rsid w:val="00F546F6"/>
    <w:rsid w:val="00F54719"/>
    <w:rsid w:val="00F54733"/>
    <w:rsid w:val="00F54741"/>
    <w:rsid w:val="00F547AB"/>
    <w:rsid w:val="00F5480E"/>
    <w:rsid w:val="00F54853"/>
    <w:rsid w:val="00F54865"/>
    <w:rsid w:val="00F548DB"/>
    <w:rsid w:val="00F54924"/>
    <w:rsid w:val="00F54948"/>
    <w:rsid w:val="00F5494B"/>
    <w:rsid w:val="00F54972"/>
    <w:rsid w:val="00F549E4"/>
    <w:rsid w:val="00F549F4"/>
    <w:rsid w:val="00F54AB9"/>
    <w:rsid w:val="00F54AD3"/>
    <w:rsid w:val="00F54AE3"/>
    <w:rsid w:val="00F54B09"/>
    <w:rsid w:val="00F54B8C"/>
    <w:rsid w:val="00F54C0E"/>
    <w:rsid w:val="00F54C6A"/>
    <w:rsid w:val="00F54C75"/>
    <w:rsid w:val="00F54C97"/>
    <w:rsid w:val="00F54CAC"/>
    <w:rsid w:val="00F54CBC"/>
    <w:rsid w:val="00F54DC4"/>
    <w:rsid w:val="00F54DE6"/>
    <w:rsid w:val="00F54E34"/>
    <w:rsid w:val="00F54E60"/>
    <w:rsid w:val="00F54E8A"/>
    <w:rsid w:val="00F54EA7"/>
    <w:rsid w:val="00F54EE3"/>
    <w:rsid w:val="00F54EE4"/>
    <w:rsid w:val="00F54F06"/>
    <w:rsid w:val="00F54F52"/>
    <w:rsid w:val="00F55037"/>
    <w:rsid w:val="00F5508E"/>
    <w:rsid w:val="00F55096"/>
    <w:rsid w:val="00F550AD"/>
    <w:rsid w:val="00F550B5"/>
    <w:rsid w:val="00F5510D"/>
    <w:rsid w:val="00F55153"/>
    <w:rsid w:val="00F5519E"/>
    <w:rsid w:val="00F551FE"/>
    <w:rsid w:val="00F55234"/>
    <w:rsid w:val="00F55268"/>
    <w:rsid w:val="00F55354"/>
    <w:rsid w:val="00F55379"/>
    <w:rsid w:val="00F5537A"/>
    <w:rsid w:val="00F55385"/>
    <w:rsid w:val="00F55393"/>
    <w:rsid w:val="00F553C4"/>
    <w:rsid w:val="00F553E2"/>
    <w:rsid w:val="00F553EB"/>
    <w:rsid w:val="00F553F1"/>
    <w:rsid w:val="00F55488"/>
    <w:rsid w:val="00F554A4"/>
    <w:rsid w:val="00F554A6"/>
    <w:rsid w:val="00F5557C"/>
    <w:rsid w:val="00F555B0"/>
    <w:rsid w:val="00F555B7"/>
    <w:rsid w:val="00F55610"/>
    <w:rsid w:val="00F55617"/>
    <w:rsid w:val="00F5561C"/>
    <w:rsid w:val="00F55668"/>
    <w:rsid w:val="00F556FE"/>
    <w:rsid w:val="00F5572A"/>
    <w:rsid w:val="00F55732"/>
    <w:rsid w:val="00F55757"/>
    <w:rsid w:val="00F55763"/>
    <w:rsid w:val="00F5578C"/>
    <w:rsid w:val="00F557C2"/>
    <w:rsid w:val="00F557C6"/>
    <w:rsid w:val="00F55836"/>
    <w:rsid w:val="00F5584E"/>
    <w:rsid w:val="00F55861"/>
    <w:rsid w:val="00F5589D"/>
    <w:rsid w:val="00F558AE"/>
    <w:rsid w:val="00F558D1"/>
    <w:rsid w:val="00F5590A"/>
    <w:rsid w:val="00F5591C"/>
    <w:rsid w:val="00F559C8"/>
    <w:rsid w:val="00F559E7"/>
    <w:rsid w:val="00F55A45"/>
    <w:rsid w:val="00F55AA7"/>
    <w:rsid w:val="00F55ADD"/>
    <w:rsid w:val="00F55AF5"/>
    <w:rsid w:val="00F55B21"/>
    <w:rsid w:val="00F55B24"/>
    <w:rsid w:val="00F55B4D"/>
    <w:rsid w:val="00F55B76"/>
    <w:rsid w:val="00F55B8D"/>
    <w:rsid w:val="00F55B91"/>
    <w:rsid w:val="00F55B97"/>
    <w:rsid w:val="00F55C3D"/>
    <w:rsid w:val="00F55C7F"/>
    <w:rsid w:val="00F55C86"/>
    <w:rsid w:val="00F55C97"/>
    <w:rsid w:val="00F55CF3"/>
    <w:rsid w:val="00F55D1D"/>
    <w:rsid w:val="00F55DF2"/>
    <w:rsid w:val="00F55E38"/>
    <w:rsid w:val="00F55E8E"/>
    <w:rsid w:val="00F55FD7"/>
    <w:rsid w:val="00F55FDC"/>
    <w:rsid w:val="00F55FE1"/>
    <w:rsid w:val="00F55FF3"/>
    <w:rsid w:val="00F56077"/>
    <w:rsid w:val="00F56097"/>
    <w:rsid w:val="00F560CE"/>
    <w:rsid w:val="00F560D7"/>
    <w:rsid w:val="00F5611A"/>
    <w:rsid w:val="00F56121"/>
    <w:rsid w:val="00F56161"/>
    <w:rsid w:val="00F56178"/>
    <w:rsid w:val="00F561B0"/>
    <w:rsid w:val="00F56286"/>
    <w:rsid w:val="00F562BE"/>
    <w:rsid w:val="00F562D9"/>
    <w:rsid w:val="00F5633C"/>
    <w:rsid w:val="00F5634C"/>
    <w:rsid w:val="00F56386"/>
    <w:rsid w:val="00F5639B"/>
    <w:rsid w:val="00F563AD"/>
    <w:rsid w:val="00F563BF"/>
    <w:rsid w:val="00F56431"/>
    <w:rsid w:val="00F5647E"/>
    <w:rsid w:val="00F56487"/>
    <w:rsid w:val="00F564F0"/>
    <w:rsid w:val="00F5650A"/>
    <w:rsid w:val="00F56522"/>
    <w:rsid w:val="00F5652F"/>
    <w:rsid w:val="00F56568"/>
    <w:rsid w:val="00F5656A"/>
    <w:rsid w:val="00F565A2"/>
    <w:rsid w:val="00F56674"/>
    <w:rsid w:val="00F56702"/>
    <w:rsid w:val="00F567A9"/>
    <w:rsid w:val="00F567DC"/>
    <w:rsid w:val="00F567DD"/>
    <w:rsid w:val="00F567EF"/>
    <w:rsid w:val="00F56881"/>
    <w:rsid w:val="00F568E7"/>
    <w:rsid w:val="00F568F9"/>
    <w:rsid w:val="00F5692C"/>
    <w:rsid w:val="00F5692D"/>
    <w:rsid w:val="00F56947"/>
    <w:rsid w:val="00F56973"/>
    <w:rsid w:val="00F569A2"/>
    <w:rsid w:val="00F569A6"/>
    <w:rsid w:val="00F569E1"/>
    <w:rsid w:val="00F569F8"/>
    <w:rsid w:val="00F56A2C"/>
    <w:rsid w:val="00F56A4B"/>
    <w:rsid w:val="00F56A9A"/>
    <w:rsid w:val="00F56AA6"/>
    <w:rsid w:val="00F56AB8"/>
    <w:rsid w:val="00F56ABA"/>
    <w:rsid w:val="00F56AE2"/>
    <w:rsid w:val="00F56BA2"/>
    <w:rsid w:val="00F56BBB"/>
    <w:rsid w:val="00F56BE9"/>
    <w:rsid w:val="00F56BF4"/>
    <w:rsid w:val="00F56C56"/>
    <w:rsid w:val="00F56C80"/>
    <w:rsid w:val="00F56CAF"/>
    <w:rsid w:val="00F56CB0"/>
    <w:rsid w:val="00F56CB8"/>
    <w:rsid w:val="00F56CCF"/>
    <w:rsid w:val="00F56CF8"/>
    <w:rsid w:val="00F56D82"/>
    <w:rsid w:val="00F56E19"/>
    <w:rsid w:val="00F56E3F"/>
    <w:rsid w:val="00F56E8E"/>
    <w:rsid w:val="00F56E9D"/>
    <w:rsid w:val="00F56EF4"/>
    <w:rsid w:val="00F56EF7"/>
    <w:rsid w:val="00F56F08"/>
    <w:rsid w:val="00F56FAB"/>
    <w:rsid w:val="00F56FBD"/>
    <w:rsid w:val="00F5702C"/>
    <w:rsid w:val="00F570A5"/>
    <w:rsid w:val="00F570B9"/>
    <w:rsid w:val="00F570C9"/>
    <w:rsid w:val="00F57134"/>
    <w:rsid w:val="00F57148"/>
    <w:rsid w:val="00F571DD"/>
    <w:rsid w:val="00F57230"/>
    <w:rsid w:val="00F5725E"/>
    <w:rsid w:val="00F5731C"/>
    <w:rsid w:val="00F5732B"/>
    <w:rsid w:val="00F5735F"/>
    <w:rsid w:val="00F5736F"/>
    <w:rsid w:val="00F57422"/>
    <w:rsid w:val="00F57486"/>
    <w:rsid w:val="00F574D0"/>
    <w:rsid w:val="00F57506"/>
    <w:rsid w:val="00F57550"/>
    <w:rsid w:val="00F57563"/>
    <w:rsid w:val="00F57565"/>
    <w:rsid w:val="00F57594"/>
    <w:rsid w:val="00F575E4"/>
    <w:rsid w:val="00F57656"/>
    <w:rsid w:val="00F5766F"/>
    <w:rsid w:val="00F576C2"/>
    <w:rsid w:val="00F576DB"/>
    <w:rsid w:val="00F577A8"/>
    <w:rsid w:val="00F577F4"/>
    <w:rsid w:val="00F57835"/>
    <w:rsid w:val="00F5788E"/>
    <w:rsid w:val="00F578A0"/>
    <w:rsid w:val="00F578D7"/>
    <w:rsid w:val="00F5792B"/>
    <w:rsid w:val="00F5794F"/>
    <w:rsid w:val="00F57957"/>
    <w:rsid w:val="00F5795B"/>
    <w:rsid w:val="00F57A15"/>
    <w:rsid w:val="00F57A6E"/>
    <w:rsid w:val="00F57A75"/>
    <w:rsid w:val="00F57AF7"/>
    <w:rsid w:val="00F57B91"/>
    <w:rsid w:val="00F57BCB"/>
    <w:rsid w:val="00F57BED"/>
    <w:rsid w:val="00F57C15"/>
    <w:rsid w:val="00F57CA9"/>
    <w:rsid w:val="00F57CED"/>
    <w:rsid w:val="00F57CF2"/>
    <w:rsid w:val="00F57D18"/>
    <w:rsid w:val="00F57D68"/>
    <w:rsid w:val="00F57D7E"/>
    <w:rsid w:val="00F57E36"/>
    <w:rsid w:val="00F57E76"/>
    <w:rsid w:val="00F57E96"/>
    <w:rsid w:val="00F57EF3"/>
    <w:rsid w:val="00F57EF7"/>
    <w:rsid w:val="00F57F35"/>
    <w:rsid w:val="00F57FA8"/>
    <w:rsid w:val="00F57FAA"/>
    <w:rsid w:val="00F60052"/>
    <w:rsid w:val="00F6009F"/>
    <w:rsid w:val="00F600B8"/>
    <w:rsid w:val="00F600D8"/>
    <w:rsid w:val="00F600E0"/>
    <w:rsid w:val="00F600EA"/>
    <w:rsid w:val="00F60147"/>
    <w:rsid w:val="00F6016B"/>
    <w:rsid w:val="00F60198"/>
    <w:rsid w:val="00F601F5"/>
    <w:rsid w:val="00F6023A"/>
    <w:rsid w:val="00F60274"/>
    <w:rsid w:val="00F602B4"/>
    <w:rsid w:val="00F602C2"/>
    <w:rsid w:val="00F6031D"/>
    <w:rsid w:val="00F60336"/>
    <w:rsid w:val="00F60360"/>
    <w:rsid w:val="00F60368"/>
    <w:rsid w:val="00F603F9"/>
    <w:rsid w:val="00F60424"/>
    <w:rsid w:val="00F604C2"/>
    <w:rsid w:val="00F60557"/>
    <w:rsid w:val="00F605B2"/>
    <w:rsid w:val="00F605D3"/>
    <w:rsid w:val="00F605DB"/>
    <w:rsid w:val="00F6062D"/>
    <w:rsid w:val="00F6065D"/>
    <w:rsid w:val="00F606C5"/>
    <w:rsid w:val="00F606C8"/>
    <w:rsid w:val="00F606F7"/>
    <w:rsid w:val="00F607B8"/>
    <w:rsid w:val="00F6083A"/>
    <w:rsid w:val="00F6085B"/>
    <w:rsid w:val="00F609C6"/>
    <w:rsid w:val="00F60A01"/>
    <w:rsid w:val="00F60A65"/>
    <w:rsid w:val="00F60AA1"/>
    <w:rsid w:val="00F60AB2"/>
    <w:rsid w:val="00F60B0C"/>
    <w:rsid w:val="00F60B19"/>
    <w:rsid w:val="00F60B91"/>
    <w:rsid w:val="00F60BD7"/>
    <w:rsid w:val="00F60BF8"/>
    <w:rsid w:val="00F60C0A"/>
    <w:rsid w:val="00F60C1D"/>
    <w:rsid w:val="00F60C89"/>
    <w:rsid w:val="00F60CBB"/>
    <w:rsid w:val="00F60CC6"/>
    <w:rsid w:val="00F60CF3"/>
    <w:rsid w:val="00F60D70"/>
    <w:rsid w:val="00F60D84"/>
    <w:rsid w:val="00F60DA8"/>
    <w:rsid w:val="00F60DBA"/>
    <w:rsid w:val="00F60DD1"/>
    <w:rsid w:val="00F60DE0"/>
    <w:rsid w:val="00F60DEA"/>
    <w:rsid w:val="00F60E13"/>
    <w:rsid w:val="00F60E5C"/>
    <w:rsid w:val="00F60ED1"/>
    <w:rsid w:val="00F60EFF"/>
    <w:rsid w:val="00F60F31"/>
    <w:rsid w:val="00F60F38"/>
    <w:rsid w:val="00F60F5C"/>
    <w:rsid w:val="00F60FBC"/>
    <w:rsid w:val="00F610EC"/>
    <w:rsid w:val="00F610EE"/>
    <w:rsid w:val="00F61140"/>
    <w:rsid w:val="00F6114F"/>
    <w:rsid w:val="00F6117B"/>
    <w:rsid w:val="00F61197"/>
    <w:rsid w:val="00F611A1"/>
    <w:rsid w:val="00F611DE"/>
    <w:rsid w:val="00F61205"/>
    <w:rsid w:val="00F61287"/>
    <w:rsid w:val="00F612C9"/>
    <w:rsid w:val="00F612F7"/>
    <w:rsid w:val="00F61334"/>
    <w:rsid w:val="00F61354"/>
    <w:rsid w:val="00F6141A"/>
    <w:rsid w:val="00F61427"/>
    <w:rsid w:val="00F6142A"/>
    <w:rsid w:val="00F61469"/>
    <w:rsid w:val="00F614B9"/>
    <w:rsid w:val="00F614F3"/>
    <w:rsid w:val="00F61569"/>
    <w:rsid w:val="00F61595"/>
    <w:rsid w:val="00F615CA"/>
    <w:rsid w:val="00F61640"/>
    <w:rsid w:val="00F61668"/>
    <w:rsid w:val="00F616A4"/>
    <w:rsid w:val="00F616F4"/>
    <w:rsid w:val="00F61794"/>
    <w:rsid w:val="00F617DF"/>
    <w:rsid w:val="00F61814"/>
    <w:rsid w:val="00F61857"/>
    <w:rsid w:val="00F618AF"/>
    <w:rsid w:val="00F618CD"/>
    <w:rsid w:val="00F61917"/>
    <w:rsid w:val="00F61925"/>
    <w:rsid w:val="00F61926"/>
    <w:rsid w:val="00F61A11"/>
    <w:rsid w:val="00F61A31"/>
    <w:rsid w:val="00F61A3F"/>
    <w:rsid w:val="00F61AE7"/>
    <w:rsid w:val="00F61B31"/>
    <w:rsid w:val="00F61B6E"/>
    <w:rsid w:val="00F61B7D"/>
    <w:rsid w:val="00F61B94"/>
    <w:rsid w:val="00F61BB1"/>
    <w:rsid w:val="00F61BCA"/>
    <w:rsid w:val="00F61C3D"/>
    <w:rsid w:val="00F61C8A"/>
    <w:rsid w:val="00F61CAA"/>
    <w:rsid w:val="00F61CCE"/>
    <w:rsid w:val="00F61D35"/>
    <w:rsid w:val="00F61DB4"/>
    <w:rsid w:val="00F61E91"/>
    <w:rsid w:val="00F61EB9"/>
    <w:rsid w:val="00F61EEB"/>
    <w:rsid w:val="00F61FA9"/>
    <w:rsid w:val="00F61FB6"/>
    <w:rsid w:val="00F61FC5"/>
    <w:rsid w:val="00F61FD1"/>
    <w:rsid w:val="00F61FEA"/>
    <w:rsid w:val="00F61FFD"/>
    <w:rsid w:val="00F62016"/>
    <w:rsid w:val="00F6211D"/>
    <w:rsid w:val="00F6215E"/>
    <w:rsid w:val="00F62181"/>
    <w:rsid w:val="00F62186"/>
    <w:rsid w:val="00F621D5"/>
    <w:rsid w:val="00F621DA"/>
    <w:rsid w:val="00F621DC"/>
    <w:rsid w:val="00F62293"/>
    <w:rsid w:val="00F622DE"/>
    <w:rsid w:val="00F62316"/>
    <w:rsid w:val="00F62320"/>
    <w:rsid w:val="00F62325"/>
    <w:rsid w:val="00F623BD"/>
    <w:rsid w:val="00F623C7"/>
    <w:rsid w:val="00F6241E"/>
    <w:rsid w:val="00F6244C"/>
    <w:rsid w:val="00F6248E"/>
    <w:rsid w:val="00F624DC"/>
    <w:rsid w:val="00F624DF"/>
    <w:rsid w:val="00F6256A"/>
    <w:rsid w:val="00F62572"/>
    <w:rsid w:val="00F6258D"/>
    <w:rsid w:val="00F625C8"/>
    <w:rsid w:val="00F6261D"/>
    <w:rsid w:val="00F62679"/>
    <w:rsid w:val="00F62722"/>
    <w:rsid w:val="00F62746"/>
    <w:rsid w:val="00F62792"/>
    <w:rsid w:val="00F628BA"/>
    <w:rsid w:val="00F6294B"/>
    <w:rsid w:val="00F629A2"/>
    <w:rsid w:val="00F629C0"/>
    <w:rsid w:val="00F629E4"/>
    <w:rsid w:val="00F62ABF"/>
    <w:rsid w:val="00F62ACF"/>
    <w:rsid w:val="00F62ADA"/>
    <w:rsid w:val="00F62B39"/>
    <w:rsid w:val="00F62B8D"/>
    <w:rsid w:val="00F62B9A"/>
    <w:rsid w:val="00F62C28"/>
    <w:rsid w:val="00F62C38"/>
    <w:rsid w:val="00F62C54"/>
    <w:rsid w:val="00F62CB5"/>
    <w:rsid w:val="00F62D1D"/>
    <w:rsid w:val="00F62D5E"/>
    <w:rsid w:val="00F62D82"/>
    <w:rsid w:val="00F62D8E"/>
    <w:rsid w:val="00F62D99"/>
    <w:rsid w:val="00F62DAF"/>
    <w:rsid w:val="00F62DBF"/>
    <w:rsid w:val="00F62E34"/>
    <w:rsid w:val="00F62E41"/>
    <w:rsid w:val="00F62E78"/>
    <w:rsid w:val="00F62F90"/>
    <w:rsid w:val="00F62FA0"/>
    <w:rsid w:val="00F62FCC"/>
    <w:rsid w:val="00F62FFA"/>
    <w:rsid w:val="00F6305F"/>
    <w:rsid w:val="00F63091"/>
    <w:rsid w:val="00F630D3"/>
    <w:rsid w:val="00F630E4"/>
    <w:rsid w:val="00F631AA"/>
    <w:rsid w:val="00F63218"/>
    <w:rsid w:val="00F6322A"/>
    <w:rsid w:val="00F6325D"/>
    <w:rsid w:val="00F63289"/>
    <w:rsid w:val="00F632CB"/>
    <w:rsid w:val="00F632D8"/>
    <w:rsid w:val="00F63368"/>
    <w:rsid w:val="00F63383"/>
    <w:rsid w:val="00F633BD"/>
    <w:rsid w:val="00F633D2"/>
    <w:rsid w:val="00F633FC"/>
    <w:rsid w:val="00F6345A"/>
    <w:rsid w:val="00F634FB"/>
    <w:rsid w:val="00F63504"/>
    <w:rsid w:val="00F63555"/>
    <w:rsid w:val="00F63698"/>
    <w:rsid w:val="00F636D5"/>
    <w:rsid w:val="00F6371B"/>
    <w:rsid w:val="00F63722"/>
    <w:rsid w:val="00F6376A"/>
    <w:rsid w:val="00F63778"/>
    <w:rsid w:val="00F63785"/>
    <w:rsid w:val="00F637B0"/>
    <w:rsid w:val="00F637CF"/>
    <w:rsid w:val="00F637E0"/>
    <w:rsid w:val="00F637ED"/>
    <w:rsid w:val="00F63804"/>
    <w:rsid w:val="00F63821"/>
    <w:rsid w:val="00F63857"/>
    <w:rsid w:val="00F6390B"/>
    <w:rsid w:val="00F63938"/>
    <w:rsid w:val="00F639C0"/>
    <w:rsid w:val="00F639D5"/>
    <w:rsid w:val="00F63A6A"/>
    <w:rsid w:val="00F63C0D"/>
    <w:rsid w:val="00F63C52"/>
    <w:rsid w:val="00F63C92"/>
    <w:rsid w:val="00F63CEB"/>
    <w:rsid w:val="00F63CFD"/>
    <w:rsid w:val="00F63D98"/>
    <w:rsid w:val="00F63E12"/>
    <w:rsid w:val="00F63E87"/>
    <w:rsid w:val="00F63E8D"/>
    <w:rsid w:val="00F63F4B"/>
    <w:rsid w:val="00F63F6B"/>
    <w:rsid w:val="00F63F88"/>
    <w:rsid w:val="00F63FB8"/>
    <w:rsid w:val="00F63FD4"/>
    <w:rsid w:val="00F63FD5"/>
    <w:rsid w:val="00F63FF4"/>
    <w:rsid w:val="00F64069"/>
    <w:rsid w:val="00F640D2"/>
    <w:rsid w:val="00F6417D"/>
    <w:rsid w:val="00F6419B"/>
    <w:rsid w:val="00F641CA"/>
    <w:rsid w:val="00F641EE"/>
    <w:rsid w:val="00F64200"/>
    <w:rsid w:val="00F64201"/>
    <w:rsid w:val="00F64279"/>
    <w:rsid w:val="00F64295"/>
    <w:rsid w:val="00F64326"/>
    <w:rsid w:val="00F64363"/>
    <w:rsid w:val="00F643D7"/>
    <w:rsid w:val="00F643DD"/>
    <w:rsid w:val="00F64427"/>
    <w:rsid w:val="00F6443D"/>
    <w:rsid w:val="00F64477"/>
    <w:rsid w:val="00F644A5"/>
    <w:rsid w:val="00F645D8"/>
    <w:rsid w:val="00F645F3"/>
    <w:rsid w:val="00F6463D"/>
    <w:rsid w:val="00F6467C"/>
    <w:rsid w:val="00F64688"/>
    <w:rsid w:val="00F6468B"/>
    <w:rsid w:val="00F646FE"/>
    <w:rsid w:val="00F64741"/>
    <w:rsid w:val="00F6474B"/>
    <w:rsid w:val="00F6478D"/>
    <w:rsid w:val="00F647F7"/>
    <w:rsid w:val="00F64844"/>
    <w:rsid w:val="00F64854"/>
    <w:rsid w:val="00F648EB"/>
    <w:rsid w:val="00F64968"/>
    <w:rsid w:val="00F64977"/>
    <w:rsid w:val="00F64A41"/>
    <w:rsid w:val="00F64B09"/>
    <w:rsid w:val="00F64B17"/>
    <w:rsid w:val="00F64BE0"/>
    <w:rsid w:val="00F64D7B"/>
    <w:rsid w:val="00F64D96"/>
    <w:rsid w:val="00F64DDA"/>
    <w:rsid w:val="00F64EA0"/>
    <w:rsid w:val="00F64EDD"/>
    <w:rsid w:val="00F64F89"/>
    <w:rsid w:val="00F64FA4"/>
    <w:rsid w:val="00F65051"/>
    <w:rsid w:val="00F65071"/>
    <w:rsid w:val="00F650FD"/>
    <w:rsid w:val="00F65126"/>
    <w:rsid w:val="00F6523E"/>
    <w:rsid w:val="00F65282"/>
    <w:rsid w:val="00F65477"/>
    <w:rsid w:val="00F654A5"/>
    <w:rsid w:val="00F654BF"/>
    <w:rsid w:val="00F65540"/>
    <w:rsid w:val="00F655ED"/>
    <w:rsid w:val="00F65648"/>
    <w:rsid w:val="00F65650"/>
    <w:rsid w:val="00F65654"/>
    <w:rsid w:val="00F65667"/>
    <w:rsid w:val="00F656FF"/>
    <w:rsid w:val="00F65788"/>
    <w:rsid w:val="00F657A3"/>
    <w:rsid w:val="00F657C0"/>
    <w:rsid w:val="00F657E7"/>
    <w:rsid w:val="00F65819"/>
    <w:rsid w:val="00F6582D"/>
    <w:rsid w:val="00F65830"/>
    <w:rsid w:val="00F658E9"/>
    <w:rsid w:val="00F6591E"/>
    <w:rsid w:val="00F65924"/>
    <w:rsid w:val="00F6593A"/>
    <w:rsid w:val="00F65954"/>
    <w:rsid w:val="00F65972"/>
    <w:rsid w:val="00F659B3"/>
    <w:rsid w:val="00F659BE"/>
    <w:rsid w:val="00F659D1"/>
    <w:rsid w:val="00F659E2"/>
    <w:rsid w:val="00F65A72"/>
    <w:rsid w:val="00F65A7F"/>
    <w:rsid w:val="00F65A8B"/>
    <w:rsid w:val="00F65AA5"/>
    <w:rsid w:val="00F65AB5"/>
    <w:rsid w:val="00F65B21"/>
    <w:rsid w:val="00F65B51"/>
    <w:rsid w:val="00F65B74"/>
    <w:rsid w:val="00F65B9B"/>
    <w:rsid w:val="00F65BCB"/>
    <w:rsid w:val="00F65C64"/>
    <w:rsid w:val="00F65C90"/>
    <w:rsid w:val="00F65D1C"/>
    <w:rsid w:val="00F65D73"/>
    <w:rsid w:val="00F65DB3"/>
    <w:rsid w:val="00F65DBC"/>
    <w:rsid w:val="00F65DC9"/>
    <w:rsid w:val="00F65E85"/>
    <w:rsid w:val="00F65EB4"/>
    <w:rsid w:val="00F65ECF"/>
    <w:rsid w:val="00F65F11"/>
    <w:rsid w:val="00F65F15"/>
    <w:rsid w:val="00F65FCD"/>
    <w:rsid w:val="00F65FD2"/>
    <w:rsid w:val="00F66124"/>
    <w:rsid w:val="00F6615A"/>
    <w:rsid w:val="00F66160"/>
    <w:rsid w:val="00F66291"/>
    <w:rsid w:val="00F6639C"/>
    <w:rsid w:val="00F663E1"/>
    <w:rsid w:val="00F6642D"/>
    <w:rsid w:val="00F66432"/>
    <w:rsid w:val="00F66433"/>
    <w:rsid w:val="00F66455"/>
    <w:rsid w:val="00F664AA"/>
    <w:rsid w:val="00F6652E"/>
    <w:rsid w:val="00F665A8"/>
    <w:rsid w:val="00F665BC"/>
    <w:rsid w:val="00F665D5"/>
    <w:rsid w:val="00F666A2"/>
    <w:rsid w:val="00F666B1"/>
    <w:rsid w:val="00F6676F"/>
    <w:rsid w:val="00F6677B"/>
    <w:rsid w:val="00F667B3"/>
    <w:rsid w:val="00F667C3"/>
    <w:rsid w:val="00F6683E"/>
    <w:rsid w:val="00F6685E"/>
    <w:rsid w:val="00F668C7"/>
    <w:rsid w:val="00F668E6"/>
    <w:rsid w:val="00F66937"/>
    <w:rsid w:val="00F66960"/>
    <w:rsid w:val="00F66991"/>
    <w:rsid w:val="00F6699A"/>
    <w:rsid w:val="00F669CD"/>
    <w:rsid w:val="00F669FF"/>
    <w:rsid w:val="00F66A15"/>
    <w:rsid w:val="00F66A30"/>
    <w:rsid w:val="00F66A89"/>
    <w:rsid w:val="00F66ACA"/>
    <w:rsid w:val="00F66ADE"/>
    <w:rsid w:val="00F66AF3"/>
    <w:rsid w:val="00F66B25"/>
    <w:rsid w:val="00F66BA7"/>
    <w:rsid w:val="00F66BE9"/>
    <w:rsid w:val="00F66C72"/>
    <w:rsid w:val="00F66CBB"/>
    <w:rsid w:val="00F66CD5"/>
    <w:rsid w:val="00F66D20"/>
    <w:rsid w:val="00F66D87"/>
    <w:rsid w:val="00F66DAF"/>
    <w:rsid w:val="00F66E0A"/>
    <w:rsid w:val="00F66E3F"/>
    <w:rsid w:val="00F66EBF"/>
    <w:rsid w:val="00F66ECF"/>
    <w:rsid w:val="00F66F6F"/>
    <w:rsid w:val="00F66F90"/>
    <w:rsid w:val="00F66FDA"/>
    <w:rsid w:val="00F66FE9"/>
    <w:rsid w:val="00F66FFD"/>
    <w:rsid w:val="00F670AE"/>
    <w:rsid w:val="00F670FB"/>
    <w:rsid w:val="00F67115"/>
    <w:rsid w:val="00F67194"/>
    <w:rsid w:val="00F671A4"/>
    <w:rsid w:val="00F671D6"/>
    <w:rsid w:val="00F6720D"/>
    <w:rsid w:val="00F67212"/>
    <w:rsid w:val="00F67238"/>
    <w:rsid w:val="00F6724C"/>
    <w:rsid w:val="00F67252"/>
    <w:rsid w:val="00F67262"/>
    <w:rsid w:val="00F672C4"/>
    <w:rsid w:val="00F67370"/>
    <w:rsid w:val="00F673C3"/>
    <w:rsid w:val="00F6741E"/>
    <w:rsid w:val="00F67478"/>
    <w:rsid w:val="00F6747B"/>
    <w:rsid w:val="00F67499"/>
    <w:rsid w:val="00F674F5"/>
    <w:rsid w:val="00F674F9"/>
    <w:rsid w:val="00F674FA"/>
    <w:rsid w:val="00F67504"/>
    <w:rsid w:val="00F67536"/>
    <w:rsid w:val="00F6753D"/>
    <w:rsid w:val="00F6755C"/>
    <w:rsid w:val="00F675F5"/>
    <w:rsid w:val="00F675F6"/>
    <w:rsid w:val="00F67613"/>
    <w:rsid w:val="00F67626"/>
    <w:rsid w:val="00F67699"/>
    <w:rsid w:val="00F676AA"/>
    <w:rsid w:val="00F676CF"/>
    <w:rsid w:val="00F6771F"/>
    <w:rsid w:val="00F6777D"/>
    <w:rsid w:val="00F677FA"/>
    <w:rsid w:val="00F6784B"/>
    <w:rsid w:val="00F6785B"/>
    <w:rsid w:val="00F678A5"/>
    <w:rsid w:val="00F678C7"/>
    <w:rsid w:val="00F678D4"/>
    <w:rsid w:val="00F67915"/>
    <w:rsid w:val="00F67918"/>
    <w:rsid w:val="00F6798E"/>
    <w:rsid w:val="00F67A35"/>
    <w:rsid w:val="00F67AD9"/>
    <w:rsid w:val="00F67B54"/>
    <w:rsid w:val="00F67B70"/>
    <w:rsid w:val="00F67B72"/>
    <w:rsid w:val="00F67B79"/>
    <w:rsid w:val="00F67BAE"/>
    <w:rsid w:val="00F67BBB"/>
    <w:rsid w:val="00F67BDC"/>
    <w:rsid w:val="00F67BEC"/>
    <w:rsid w:val="00F67C3E"/>
    <w:rsid w:val="00F67C41"/>
    <w:rsid w:val="00F67C5D"/>
    <w:rsid w:val="00F67C63"/>
    <w:rsid w:val="00F67C65"/>
    <w:rsid w:val="00F67D70"/>
    <w:rsid w:val="00F67E36"/>
    <w:rsid w:val="00F67E3F"/>
    <w:rsid w:val="00F67EE1"/>
    <w:rsid w:val="00F67EF6"/>
    <w:rsid w:val="00F67F1E"/>
    <w:rsid w:val="00F67F75"/>
    <w:rsid w:val="00F67FD7"/>
    <w:rsid w:val="00F7006B"/>
    <w:rsid w:val="00F700C9"/>
    <w:rsid w:val="00F700DB"/>
    <w:rsid w:val="00F700F8"/>
    <w:rsid w:val="00F70141"/>
    <w:rsid w:val="00F7014D"/>
    <w:rsid w:val="00F701EF"/>
    <w:rsid w:val="00F7024E"/>
    <w:rsid w:val="00F702E8"/>
    <w:rsid w:val="00F7041A"/>
    <w:rsid w:val="00F7041F"/>
    <w:rsid w:val="00F70487"/>
    <w:rsid w:val="00F704B5"/>
    <w:rsid w:val="00F7051D"/>
    <w:rsid w:val="00F7051F"/>
    <w:rsid w:val="00F70587"/>
    <w:rsid w:val="00F705C2"/>
    <w:rsid w:val="00F705D9"/>
    <w:rsid w:val="00F705E6"/>
    <w:rsid w:val="00F70653"/>
    <w:rsid w:val="00F70692"/>
    <w:rsid w:val="00F706A9"/>
    <w:rsid w:val="00F706AE"/>
    <w:rsid w:val="00F70721"/>
    <w:rsid w:val="00F70728"/>
    <w:rsid w:val="00F70788"/>
    <w:rsid w:val="00F70805"/>
    <w:rsid w:val="00F70841"/>
    <w:rsid w:val="00F70856"/>
    <w:rsid w:val="00F7089A"/>
    <w:rsid w:val="00F7089D"/>
    <w:rsid w:val="00F70917"/>
    <w:rsid w:val="00F70964"/>
    <w:rsid w:val="00F709D6"/>
    <w:rsid w:val="00F709DE"/>
    <w:rsid w:val="00F709EF"/>
    <w:rsid w:val="00F70A03"/>
    <w:rsid w:val="00F70AD1"/>
    <w:rsid w:val="00F70AD4"/>
    <w:rsid w:val="00F70AEA"/>
    <w:rsid w:val="00F70B1B"/>
    <w:rsid w:val="00F70B22"/>
    <w:rsid w:val="00F70B66"/>
    <w:rsid w:val="00F70BCE"/>
    <w:rsid w:val="00F70C0B"/>
    <w:rsid w:val="00F70C39"/>
    <w:rsid w:val="00F70C72"/>
    <w:rsid w:val="00F70CB5"/>
    <w:rsid w:val="00F70CD6"/>
    <w:rsid w:val="00F70CFC"/>
    <w:rsid w:val="00F70D09"/>
    <w:rsid w:val="00F70D45"/>
    <w:rsid w:val="00F70D6C"/>
    <w:rsid w:val="00F70E4A"/>
    <w:rsid w:val="00F70E96"/>
    <w:rsid w:val="00F70ECC"/>
    <w:rsid w:val="00F70EF6"/>
    <w:rsid w:val="00F70F15"/>
    <w:rsid w:val="00F70F2D"/>
    <w:rsid w:val="00F70F8D"/>
    <w:rsid w:val="00F70FC3"/>
    <w:rsid w:val="00F710B3"/>
    <w:rsid w:val="00F710DE"/>
    <w:rsid w:val="00F710E8"/>
    <w:rsid w:val="00F71136"/>
    <w:rsid w:val="00F71155"/>
    <w:rsid w:val="00F71173"/>
    <w:rsid w:val="00F711C6"/>
    <w:rsid w:val="00F71245"/>
    <w:rsid w:val="00F71281"/>
    <w:rsid w:val="00F712A8"/>
    <w:rsid w:val="00F71317"/>
    <w:rsid w:val="00F71333"/>
    <w:rsid w:val="00F71335"/>
    <w:rsid w:val="00F71350"/>
    <w:rsid w:val="00F71395"/>
    <w:rsid w:val="00F713AD"/>
    <w:rsid w:val="00F7140D"/>
    <w:rsid w:val="00F71483"/>
    <w:rsid w:val="00F71557"/>
    <w:rsid w:val="00F7158A"/>
    <w:rsid w:val="00F71599"/>
    <w:rsid w:val="00F71693"/>
    <w:rsid w:val="00F71767"/>
    <w:rsid w:val="00F7179E"/>
    <w:rsid w:val="00F717B4"/>
    <w:rsid w:val="00F717FB"/>
    <w:rsid w:val="00F7180B"/>
    <w:rsid w:val="00F71892"/>
    <w:rsid w:val="00F718A5"/>
    <w:rsid w:val="00F718CB"/>
    <w:rsid w:val="00F718F1"/>
    <w:rsid w:val="00F71A5F"/>
    <w:rsid w:val="00F71A62"/>
    <w:rsid w:val="00F71AC6"/>
    <w:rsid w:val="00F71B66"/>
    <w:rsid w:val="00F71B6A"/>
    <w:rsid w:val="00F71B98"/>
    <w:rsid w:val="00F71BCC"/>
    <w:rsid w:val="00F71C53"/>
    <w:rsid w:val="00F71C54"/>
    <w:rsid w:val="00F71C7B"/>
    <w:rsid w:val="00F71C97"/>
    <w:rsid w:val="00F71CF7"/>
    <w:rsid w:val="00F71D2F"/>
    <w:rsid w:val="00F71D4C"/>
    <w:rsid w:val="00F71D4D"/>
    <w:rsid w:val="00F71D73"/>
    <w:rsid w:val="00F71D8F"/>
    <w:rsid w:val="00F71E1D"/>
    <w:rsid w:val="00F71E52"/>
    <w:rsid w:val="00F71EA9"/>
    <w:rsid w:val="00F71F0D"/>
    <w:rsid w:val="00F71F26"/>
    <w:rsid w:val="00F71F51"/>
    <w:rsid w:val="00F71F57"/>
    <w:rsid w:val="00F71FEE"/>
    <w:rsid w:val="00F71FF9"/>
    <w:rsid w:val="00F72016"/>
    <w:rsid w:val="00F7202E"/>
    <w:rsid w:val="00F7205E"/>
    <w:rsid w:val="00F720B2"/>
    <w:rsid w:val="00F720BB"/>
    <w:rsid w:val="00F720D0"/>
    <w:rsid w:val="00F720DD"/>
    <w:rsid w:val="00F721A6"/>
    <w:rsid w:val="00F721D7"/>
    <w:rsid w:val="00F722A1"/>
    <w:rsid w:val="00F7230C"/>
    <w:rsid w:val="00F72345"/>
    <w:rsid w:val="00F72407"/>
    <w:rsid w:val="00F7242E"/>
    <w:rsid w:val="00F72452"/>
    <w:rsid w:val="00F7245A"/>
    <w:rsid w:val="00F724F8"/>
    <w:rsid w:val="00F724FC"/>
    <w:rsid w:val="00F72503"/>
    <w:rsid w:val="00F7254F"/>
    <w:rsid w:val="00F725EF"/>
    <w:rsid w:val="00F7260C"/>
    <w:rsid w:val="00F72628"/>
    <w:rsid w:val="00F7278D"/>
    <w:rsid w:val="00F7283F"/>
    <w:rsid w:val="00F72840"/>
    <w:rsid w:val="00F7288C"/>
    <w:rsid w:val="00F728A4"/>
    <w:rsid w:val="00F728FD"/>
    <w:rsid w:val="00F72918"/>
    <w:rsid w:val="00F72990"/>
    <w:rsid w:val="00F72998"/>
    <w:rsid w:val="00F729BE"/>
    <w:rsid w:val="00F729C5"/>
    <w:rsid w:val="00F72A77"/>
    <w:rsid w:val="00F72AC2"/>
    <w:rsid w:val="00F72AFD"/>
    <w:rsid w:val="00F72B1D"/>
    <w:rsid w:val="00F72B2B"/>
    <w:rsid w:val="00F72B7B"/>
    <w:rsid w:val="00F72B7C"/>
    <w:rsid w:val="00F72B8A"/>
    <w:rsid w:val="00F72C8A"/>
    <w:rsid w:val="00F72CAF"/>
    <w:rsid w:val="00F72DCF"/>
    <w:rsid w:val="00F72DD6"/>
    <w:rsid w:val="00F72DDA"/>
    <w:rsid w:val="00F72DDD"/>
    <w:rsid w:val="00F72EF3"/>
    <w:rsid w:val="00F72F1A"/>
    <w:rsid w:val="00F72F47"/>
    <w:rsid w:val="00F72F63"/>
    <w:rsid w:val="00F72FF3"/>
    <w:rsid w:val="00F7306D"/>
    <w:rsid w:val="00F7306F"/>
    <w:rsid w:val="00F7308B"/>
    <w:rsid w:val="00F730D3"/>
    <w:rsid w:val="00F730DD"/>
    <w:rsid w:val="00F73135"/>
    <w:rsid w:val="00F73180"/>
    <w:rsid w:val="00F73198"/>
    <w:rsid w:val="00F731A7"/>
    <w:rsid w:val="00F731D4"/>
    <w:rsid w:val="00F731F3"/>
    <w:rsid w:val="00F73259"/>
    <w:rsid w:val="00F73264"/>
    <w:rsid w:val="00F732BF"/>
    <w:rsid w:val="00F73310"/>
    <w:rsid w:val="00F7331B"/>
    <w:rsid w:val="00F73338"/>
    <w:rsid w:val="00F733B9"/>
    <w:rsid w:val="00F734DB"/>
    <w:rsid w:val="00F734FC"/>
    <w:rsid w:val="00F734FE"/>
    <w:rsid w:val="00F73508"/>
    <w:rsid w:val="00F7359A"/>
    <w:rsid w:val="00F735C9"/>
    <w:rsid w:val="00F73631"/>
    <w:rsid w:val="00F7364A"/>
    <w:rsid w:val="00F7371A"/>
    <w:rsid w:val="00F73741"/>
    <w:rsid w:val="00F7375F"/>
    <w:rsid w:val="00F73760"/>
    <w:rsid w:val="00F737BA"/>
    <w:rsid w:val="00F737DB"/>
    <w:rsid w:val="00F7385D"/>
    <w:rsid w:val="00F7388E"/>
    <w:rsid w:val="00F73891"/>
    <w:rsid w:val="00F738AF"/>
    <w:rsid w:val="00F73915"/>
    <w:rsid w:val="00F739EC"/>
    <w:rsid w:val="00F73A8E"/>
    <w:rsid w:val="00F73AF4"/>
    <w:rsid w:val="00F73AFB"/>
    <w:rsid w:val="00F73B08"/>
    <w:rsid w:val="00F73B12"/>
    <w:rsid w:val="00F73B33"/>
    <w:rsid w:val="00F73B9B"/>
    <w:rsid w:val="00F73B9E"/>
    <w:rsid w:val="00F73BDF"/>
    <w:rsid w:val="00F73C5C"/>
    <w:rsid w:val="00F73C84"/>
    <w:rsid w:val="00F73C9B"/>
    <w:rsid w:val="00F73CD6"/>
    <w:rsid w:val="00F73D2B"/>
    <w:rsid w:val="00F73DBB"/>
    <w:rsid w:val="00F73DF1"/>
    <w:rsid w:val="00F73E15"/>
    <w:rsid w:val="00F73EBD"/>
    <w:rsid w:val="00F73F11"/>
    <w:rsid w:val="00F73F6D"/>
    <w:rsid w:val="00F7401F"/>
    <w:rsid w:val="00F74020"/>
    <w:rsid w:val="00F74087"/>
    <w:rsid w:val="00F740A9"/>
    <w:rsid w:val="00F740C5"/>
    <w:rsid w:val="00F740CC"/>
    <w:rsid w:val="00F740DB"/>
    <w:rsid w:val="00F7414F"/>
    <w:rsid w:val="00F74153"/>
    <w:rsid w:val="00F74181"/>
    <w:rsid w:val="00F741A4"/>
    <w:rsid w:val="00F741C9"/>
    <w:rsid w:val="00F742D8"/>
    <w:rsid w:val="00F7430F"/>
    <w:rsid w:val="00F743B3"/>
    <w:rsid w:val="00F743C0"/>
    <w:rsid w:val="00F743F0"/>
    <w:rsid w:val="00F743F8"/>
    <w:rsid w:val="00F74405"/>
    <w:rsid w:val="00F74413"/>
    <w:rsid w:val="00F74445"/>
    <w:rsid w:val="00F7448A"/>
    <w:rsid w:val="00F744A4"/>
    <w:rsid w:val="00F7450E"/>
    <w:rsid w:val="00F7451D"/>
    <w:rsid w:val="00F74532"/>
    <w:rsid w:val="00F745F3"/>
    <w:rsid w:val="00F74649"/>
    <w:rsid w:val="00F7465F"/>
    <w:rsid w:val="00F7470A"/>
    <w:rsid w:val="00F74725"/>
    <w:rsid w:val="00F7474D"/>
    <w:rsid w:val="00F74764"/>
    <w:rsid w:val="00F74779"/>
    <w:rsid w:val="00F7477E"/>
    <w:rsid w:val="00F748D2"/>
    <w:rsid w:val="00F748FF"/>
    <w:rsid w:val="00F7490F"/>
    <w:rsid w:val="00F74953"/>
    <w:rsid w:val="00F749FB"/>
    <w:rsid w:val="00F74B1A"/>
    <w:rsid w:val="00F74B5F"/>
    <w:rsid w:val="00F74B81"/>
    <w:rsid w:val="00F74B8D"/>
    <w:rsid w:val="00F74B9F"/>
    <w:rsid w:val="00F74D68"/>
    <w:rsid w:val="00F74D7C"/>
    <w:rsid w:val="00F74DA2"/>
    <w:rsid w:val="00F74DF2"/>
    <w:rsid w:val="00F74DF5"/>
    <w:rsid w:val="00F74E22"/>
    <w:rsid w:val="00F74E65"/>
    <w:rsid w:val="00F74F09"/>
    <w:rsid w:val="00F74F1F"/>
    <w:rsid w:val="00F74F55"/>
    <w:rsid w:val="00F74F6E"/>
    <w:rsid w:val="00F74F8A"/>
    <w:rsid w:val="00F74FB0"/>
    <w:rsid w:val="00F74FD3"/>
    <w:rsid w:val="00F75138"/>
    <w:rsid w:val="00F7513F"/>
    <w:rsid w:val="00F75173"/>
    <w:rsid w:val="00F751AD"/>
    <w:rsid w:val="00F751D4"/>
    <w:rsid w:val="00F7525B"/>
    <w:rsid w:val="00F752B3"/>
    <w:rsid w:val="00F752E5"/>
    <w:rsid w:val="00F753E3"/>
    <w:rsid w:val="00F753F0"/>
    <w:rsid w:val="00F75458"/>
    <w:rsid w:val="00F75541"/>
    <w:rsid w:val="00F7556A"/>
    <w:rsid w:val="00F7557F"/>
    <w:rsid w:val="00F75592"/>
    <w:rsid w:val="00F755F7"/>
    <w:rsid w:val="00F7563C"/>
    <w:rsid w:val="00F756D8"/>
    <w:rsid w:val="00F756E7"/>
    <w:rsid w:val="00F757EB"/>
    <w:rsid w:val="00F758D7"/>
    <w:rsid w:val="00F75956"/>
    <w:rsid w:val="00F7596B"/>
    <w:rsid w:val="00F7599F"/>
    <w:rsid w:val="00F759A5"/>
    <w:rsid w:val="00F759D3"/>
    <w:rsid w:val="00F759F4"/>
    <w:rsid w:val="00F75A5A"/>
    <w:rsid w:val="00F75A6F"/>
    <w:rsid w:val="00F75A98"/>
    <w:rsid w:val="00F75B57"/>
    <w:rsid w:val="00F75BB8"/>
    <w:rsid w:val="00F75BD6"/>
    <w:rsid w:val="00F75BFC"/>
    <w:rsid w:val="00F75CBE"/>
    <w:rsid w:val="00F75D53"/>
    <w:rsid w:val="00F75DC5"/>
    <w:rsid w:val="00F75DF3"/>
    <w:rsid w:val="00F75E11"/>
    <w:rsid w:val="00F75E50"/>
    <w:rsid w:val="00F75E55"/>
    <w:rsid w:val="00F75EE5"/>
    <w:rsid w:val="00F75EF4"/>
    <w:rsid w:val="00F75F30"/>
    <w:rsid w:val="00F75F42"/>
    <w:rsid w:val="00F75F87"/>
    <w:rsid w:val="00F76039"/>
    <w:rsid w:val="00F7607B"/>
    <w:rsid w:val="00F760DB"/>
    <w:rsid w:val="00F760F2"/>
    <w:rsid w:val="00F7613A"/>
    <w:rsid w:val="00F76145"/>
    <w:rsid w:val="00F761E6"/>
    <w:rsid w:val="00F761F9"/>
    <w:rsid w:val="00F76202"/>
    <w:rsid w:val="00F76290"/>
    <w:rsid w:val="00F7635D"/>
    <w:rsid w:val="00F763B6"/>
    <w:rsid w:val="00F7640A"/>
    <w:rsid w:val="00F76410"/>
    <w:rsid w:val="00F76479"/>
    <w:rsid w:val="00F7647E"/>
    <w:rsid w:val="00F764BB"/>
    <w:rsid w:val="00F765A8"/>
    <w:rsid w:val="00F765C0"/>
    <w:rsid w:val="00F765D4"/>
    <w:rsid w:val="00F765DF"/>
    <w:rsid w:val="00F76653"/>
    <w:rsid w:val="00F766AC"/>
    <w:rsid w:val="00F766B6"/>
    <w:rsid w:val="00F76700"/>
    <w:rsid w:val="00F767D6"/>
    <w:rsid w:val="00F7681A"/>
    <w:rsid w:val="00F76859"/>
    <w:rsid w:val="00F76869"/>
    <w:rsid w:val="00F768BB"/>
    <w:rsid w:val="00F768E8"/>
    <w:rsid w:val="00F76914"/>
    <w:rsid w:val="00F76933"/>
    <w:rsid w:val="00F7693F"/>
    <w:rsid w:val="00F76972"/>
    <w:rsid w:val="00F7697E"/>
    <w:rsid w:val="00F769CC"/>
    <w:rsid w:val="00F76A3D"/>
    <w:rsid w:val="00F76A48"/>
    <w:rsid w:val="00F76ACD"/>
    <w:rsid w:val="00F76AD4"/>
    <w:rsid w:val="00F76B10"/>
    <w:rsid w:val="00F76B60"/>
    <w:rsid w:val="00F76B61"/>
    <w:rsid w:val="00F76B89"/>
    <w:rsid w:val="00F76BD2"/>
    <w:rsid w:val="00F76BE3"/>
    <w:rsid w:val="00F76BF4"/>
    <w:rsid w:val="00F76C31"/>
    <w:rsid w:val="00F76C8A"/>
    <w:rsid w:val="00F76C9D"/>
    <w:rsid w:val="00F76D9D"/>
    <w:rsid w:val="00F76E2A"/>
    <w:rsid w:val="00F76E67"/>
    <w:rsid w:val="00F76EE5"/>
    <w:rsid w:val="00F76EEF"/>
    <w:rsid w:val="00F76F97"/>
    <w:rsid w:val="00F77055"/>
    <w:rsid w:val="00F77098"/>
    <w:rsid w:val="00F77129"/>
    <w:rsid w:val="00F77136"/>
    <w:rsid w:val="00F771F4"/>
    <w:rsid w:val="00F771F9"/>
    <w:rsid w:val="00F772F2"/>
    <w:rsid w:val="00F7732E"/>
    <w:rsid w:val="00F77384"/>
    <w:rsid w:val="00F7738B"/>
    <w:rsid w:val="00F77447"/>
    <w:rsid w:val="00F77472"/>
    <w:rsid w:val="00F774AA"/>
    <w:rsid w:val="00F77546"/>
    <w:rsid w:val="00F77591"/>
    <w:rsid w:val="00F775D4"/>
    <w:rsid w:val="00F77617"/>
    <w:rsid w:val="00F77656"/>
    <w:rsid w:val="00F7766F"/>
    <w:rsid w:val="00F776F1"/>
    <w:rsid w:val="00F7771B"/>
    <w:rsid w:val="00F77760"/>
    <w:rsid w:val="00F77859"/>
    <w:rsid w:val="00F77877"/>
    <w:rsid w:val="00F778B0"/>
    <w:rsid w:val="00F779A5"/>
    <w:rsid w:val="00F779CB"/>
    <w:rsid w:val="00F779D2"/>
    <w:rsid w:val="00F779F5"/>
    <w:rsid w:val="00F77A52"/>
    <w:rsid w:val="00F77A91"/>
    <w:rsid w:val="00F77AB3"/>
    <w:rsid w:val="00F77B3F"/>
    <w:rsid w:val="00F77B69"/>
    <w:rsid w:val="00F77BA9"/>
    <w:rsid w:val="00F77BDC"/>
    <w:rsid w:val="00F77C17"/>
    <w:rsid w:val="00F77C70"/>
    <w:rsid w:val="00F77D61"/>
    <w:rsid w:val="00F77D8E"/>
    <w:rsid w:val="00F77DEE"/>
    <w:rsid w:val="00F77E3E"/>
    <w:rsid w:val="00F77E8B"/>
    <w:rsid w:val="00F77EE9"/>
    <w:rsid w:val="00F77FB5"/>
    <w:rsid w:val="00F77FB7"/>
    <w:rsid w:val="00F8006D"/>
    <w:rsid w:val="00F80080"/>
    <w:rsid w:val="00F800B0"/>
    <w:rsid w:val="00F80107"/>
    <w:rsid w:val="00F8010C"/>
    <w:rsid w:val="00F8010D"/>
    <w:rsid w:val="00F80249"/>
    <w:rsid w:val="00F80287"/>
    <w:rsid w:val="00F80297"/>
    <w:rsid w:val="00F802D4"/>
    <w:rsid w:val="00F8034F"/>
    <w:rsid w:val="00F803BD"/>
    <w:rsid w:val="00F803C5"/>
    <w:rsid w:val="00F803CD"/>
    <w:rsid w:val="00F8043D"/>
    <w:rsid w:val="00F80468"/>
    <w:rsid w:val="00F80508"/>
    <w:rsid w:val="00F80527"/>
    <w:rsid w:val="00F8064A"/>
    <w:rsid w:val="00F806A9"/>
    <w:rsid w:val="00F806DB"/>
    <w:rsid w:val="00F80712"/>
    <w:rsid w:val="00F80717"/>
    <w:rsid w:val="00F8073F"/>
    <w:rsid w:val="00F80745"/>
    <w:rsid w:val="00F8077F"/>
    <w:rsid w:val="00F807C9"/>
    <w:rsid w:val="00F807E9"/>
    <w:rsid w:val="00F807F2"/>
    <w:rsid w:val="00F8087F"/>
    <w:rsid w:val="00F80890"/>
    <w:rsid w:val="00F808E6"/>
    <w:rsid w:val="00F80946"/>
    <w:rsid w:val="00F80976"/>
    <w:rsid w:val="00F809B0"/>
    <w:rsid w:val="00F80A8E"/>
    <w:rsid w:val="00F80A9C"/>
    <w:rsid w:val="00F80AFA"/>
    <w:rsid w:val="00F80BA1"/>
    <w:rsid w:val="00F80BC8"/>
    <w:rsid w:val="00F80BD7"/>
    <w:rsid w:val="00F80CC3"/>
    <w:rsid w:val="00F80CF2"/>
    <w:rsid w:val="00F80E06"/>
    <w:rsid w:val="00F80E13"/>
    <w:rsid w:val="00F80E1D"/>
    <w:rsid w:val="00F80E2F"/>
    <w:rsid w:val="00F80E39"/>
    <w:rsid w:val="00F80ECF"/>
    <w:rsid w:val="00F80EF1"/>
    <w:rsid w:val="00F80F3F"/>
    <w:rsid w:val="00F80F79"/>
    <w:rsid w:val="00F80F93"/>
    <w:rsid w:val="00F80F94"/>
    <w:rsid w:val="00F80FB6"/>
    <w:rsid w:val="00F80FD8"/>
    <w:rsid w:val="00F81027"/>
    <w:rsid w:val="00F81037"/>
    <w:rsid w:val="00F8106E"/>
    <w:rsid w:val="00F81075"/>
    <w:rsid w:val="00F8107E"/>
    <w:rsid w:val="00F81107"/>
    <w:rsid w:val="00F8112E"/>
    <w:rsid w:val="00F8114E"/>
    <w:rsid w:val="00F811A8"/>
    <w:rsid w:val="00F811B4"/>
    <w:rsid w:val="00F81297"/>
    <w:rsid w:val="00F812B4"/>
    <w:rsid w:val="00F812C3"/>
    <w:rsid w:val="00F81380"/>
    <w:rsid w:val="00F8139D"/>
    <w:rsid w:val="00F813A1"/>
    <w:rsid w:val="00F813DF"/>
    <w:rsid w:val="00F81432"/>
    <w:rsid w:val="00F81492"/>
    <w:rsid w:val="00F81527"/>
    <w:rsid w:val="00F81540"/>
    <w:rsid w:val="00F815CE"/>
    <w:rsid w:val="00F815F1"/>
    <w:rsid w:val="00F815FE"/>
    <w:rsid w:val="00F81607"/>
    <w:rsid w:val="00F816EB"/>
    <w:rsid w:val="00F8170D"/>
    <w:rsid w:val="00F81748"/>
    <w:rsid w:val="00F81793"/>
    <w:rsid w:val="00F817C9"/>
    <w:rsid w:val="00F817CE"/>
    <w:rsid w:val="00F817E3"/>
    <w:rsid w:val="00F81829"/>
    <w:rsid w:val="00F8182D"/>
    <w:rsid w:val="00F81838"/>
    <w:rsid w:val="00F818BA"/>
    <w:rsid w:val="00F81936"/>
    <w:rsid w:val="00F81956"/>
    <w:rsid w:val="00F819E6"/>
    <w:rsid w:val="00F81A6A"/>
    <w:rsid w:val="00F81ADF"/>
    <w:rsid w:val="00F81AE8"/>
    <w:rsid w:val="00F81B0A"/>
    <w:rsid w:val="00F81B51"/>
    <w:rsid w:val="00F81C38"/>
    <w:rsid w:val="00F81CF6"/>
    <w:rsid w:val="00F81D25"/>
    <w:rsid w:val="00F81D35"/>
    <w:rsid w:val="00F81D3C"/>
    <w:rsid w:val="00F81D4B"/>
    <w:rsid w:val="00F81DB0"/>
    <w:rsid w:val="00F81DDD"/>
    <w:rsid w:val="00F81DF2"/>
    <w:rsid w:val="00F81DF8"/>
    <w:rsid w:val="00F81F15"/>
    <w:rsid w:val="00F81F60"/>
    <w:rsid w:val="00F81FFA"/>
    <w:rsid w:val="00F8201D"/>
    <w:rsid w:val="00F82046"/>
    <w:rsid w:val="00F8204E"/>
    <w:rsid w:val="00F82060"/>
    <w:rsid w:val="00F8214B"/>
    <w:rsid w:val="00F82154"/>
    <w:rsid w:val="00F82159"/>
    <w:rsid w:val="00F82210"/>
    <w:rsid w:val="00F8224E"/>
    <w:rsid w:val="00F8230B"/>
    <w:rsid w:val="00F8232C"/>
    <w:rsid w:val="00F82344"/>
    <w:rsid w:val="00F8234D"/>
    <w:rsid w:val="00F823C5"/>
    <w:rsid w:val="00F8240B"/>
    <w:rsid w:val="00F82411"/>
    <w:rsid w:val="00F82476"/>
    <w:rsid w:val="00F82498"/>
    <w:rsid w:val="00F824EF"/>
    <w:rsid w:val="00F8256A"/>
    <w:rsid w:val="00F825CD"/>
    <w:rsid w:val="00F825ED"/>
    <w:rsid w:val="00F82622"/>
    <w:rsid w:val="00F826F0"/>
    <w:rsid w:val="00F82742"/>
    <w:rsid w:val="00F82746"/>
    <w:rsid w:val="00F82811"/>
    <w:rsid w:val="00F8282F"/>
    <w:rsid w:val="00F8289F"/>
    <w:rsid w:val="00F828A9"/>
    <w:rsid w:val="00F828BD"/>
    <w:rsid w:val="00F828C2"/>
    <w:rsid w:val="00F82906"/>
    <w:rsid w:val="00F8291D"/>
    <w:rsid w:val="00F82991"/>
    <w:rsid w:val="00F829AF"/>
    <w:rsid w:val="00F829DC"/>
    <w:rsid w:val="00F82A31"/>
    <w:rsid w:val="00F82A5B"/>
    <w:rsid w:val="00F82A69"/>
    <w:rsid w:val="00F82B3B"/>
    <w:rsid w:val="00F82B3F"/>
    <w:rsid w:val="00F82B7C"/>
    <w:rsid w:val="00F82B85"/>
    <w:rsid w:val="00F82BCE"/>
    <w:rsid w:val="00F82C4C"/>
    <w:rsid w:val="00F82CC6"/>
    <w:rsid w:val="00F82E7C"/>
    <w:rsid w:val="00F82EC7"/>
    <w:rsid w:val="00F82ECB"/>
    <w:rsid w:val="00F82EDD"/>
    <w:rsid w:val="00F82F29"/>
    <w:rsid w:val="00F82F9E"/>
    <w:rsid w:val="00F82FAB"/>
    <w:rsid w:val="00F82FC1"/>
    <w:rsid w:val="00F82FF5"/>
    <w:rsid w:val="00F8300F"/>
    <w:rsid w:val="00F83020"/>
    <w:rsid w:val="00F83195"/>
    <w:rsid w:val="00F831A1"/>
    <w:rsid w:val="00F831DE"/>
    <w:rsid w:val="00F831FE"/>
    <w:rsid w:val="00F83259"/>
    <w:rsid w:val="00F832B4"/>
    <w:rsid w:val="00F832D2"/>
    <w:rsid w:val="00F832D4"/>
    <w:rsid w:val="00F832FD"/>
    <w:rsid w:val="00F8330A"/>
    <w:rsid w:val="00F8333D"/>
    <w:rsid w:val="00F8336D"/>
    <w:rsid w:val="00F83371"/>
    <w:rsid w:val="00F833B0"/>
    <w:rsid w:val="00F833C8"/>
    <w:rsid w:val="00F833C9"/>
    <w:rsid w:val="00F83455"/>
    <w:rsid w:val="00F83472"/>
    <w:rsid w:val="00F8354B"/>
    <w:rsid w:val="00F8355F"/>
    <w:rsid w:val="00F83575"/>
    <w:rsid w:val="00F8359B"/>
    <w:rsid w:val="00F8359C"/>
    <w:rsid w:val="00F8359D"/>
    <w:rsid w:val="00F8361F"/>
    <w:rsid w:val="00F8368D"/>
    <w:rsid w:val="00F836C8"/>
    <w:rsid w:val="00F836D4"/>
    <w:rsid w:val="00F836F9"/>
    <w:rsid w:val="00F8375B"/>
    <w:rsid w:val="00F837C4"/>
    <w:rsid w:val="00F83815"/>
    <w:rsid w:val="00F8384A"/>
    <w:rsid w:val="00F8388F"/>
    <w:rsid w:val="00F838A5"/>
    <w:rsid w:val="00F838BF"/>
    <w:rsid w:val="00F83943"/>
    <w:rsid w:val="00F8397A"/>
    <w:rsid w:val="00F839C0"/>
    <w:rsid w:val="00F839FA"/>
    <w:rsid w:val="00F83A24"/>
    <w:rsid w:val="00F83A40"/>
    <w:rsid w:val="00F83C5D"/>
    <w:rsid w:val="00F83D10"/>
    <w:rsid w:val="00F83D39"/>
    <w:rsid w:val="00F83D43"/>
    <w:rsid w:val="00F83D93"/>
    <w:rsid w:val="00F83DC3"/>
    <w:rsid w:val="00F83DDC"/>
    <w:rsid w:val="00F83DEB"/>
    <w:rsid w:val="00F83E27"/>
    <w:rsid w:val="00F83E60"/>
    <w:rsid w:val="00F83EBF"/>
    <w:rsid w:val="00F83ED1"/>
    <w:rsid w:val="00F83F0A"/>
    <w:rsid w:val="00F83F13"/>
    <w:rsid w:val="00F83F80"/>
    <w:rsid w:val="00F83FA2"/>
    <w:rsid w:val="00F83FD5"/>
    <w:rsid w:val="00F8407B"/>
    <w:rsid w:val="00F84093"/>
    <w:rsid w:val="00F840F5"/>
    <w:rsid w:val="00F840FA"/>
    <w:rsid w:val="00F84158"/>
    <w:rsid w:val="00F84174"/>
    <w:rsid w:val="00F84239"/>
    <w:rsid w:val="00F84254"/>
    <w:rsid w:val="00F842B5"/>
    <w:rsid w:val="00F842BA"/>
    <w:rsid w:val="00F842C0"/>
    <w:rsid w:val="00F842C8"/>
    <w:rsid w:val="00F842E3"/>
    <w:rsid w:val="00F84321"/>
    <w:rsid w:val="00F84333"/>
    <w:rsid w:val="00F8442C"/>
    <w:rsid w:val="00F8446E"/>
    <w:rsid w:val="00F8449D"/>
    <w:rsid w:val="00F8450E"/>
    <w:rsid w:val="00F84529"/>
    <w:rsid w:val="00F84583"/>
    <w:rsid w:val="00F845D7"/>
    <w:rsid w:val="00F845DF"/>
    <w:rsid w:val="00F8460D"/>
    <w:rsid w:val="00F84681"/>
    <w:rsid w:val="00F8468D"/>
    <w:rsid w:val="00F84698"/>
    <w:rsid w:val="00F846F2"/>
    <w:rsid w:val="00F84701"/>
    <w:rsid w:val="00F847A7"/>
    <w:rsid w:val="00F847C4"/>
    <w:rsid w:val="00F847D1"/>
    <w:rsid w:val="00F847D2"/>
    <w:rsid w:val="00F84818"/>
    <w:rsid w:val="00F84822"/>
    <w:rsid w:val="00F84825"/>
    <w:rsid w:val="00F84897"/>
    <w:rsid w:val="00F84900"/>
    <w:rsid w:val="00F84948"/>
    <w:rsid w:val="00F84950"/>
    <w:rsid w:val="00F84960"/>
    <w:rsid w:val="00F8496A"/>
    <w:rsid w:val="00F84974"/>
    <w:rsid w:val="00F8498A"/>
    <w:rsid w:val="00F84993"/>
    <w:rsid w:val="00F849F5"/>
    <w:rsid w:val="00F84A7A"/>
    <w:rsid w:val="00F84A88"/>
    <w:rsid w:val="00F84A95"/>
    <w:rsid w:val="00F84AA3"/>
    <w:rsid w:val="00F84AB6"/>
    <w:rsid w:val="00F84AF1"/>
    <w:rsid w:val="00F84AF5"/>
    <w:rsid w:val="00F84AFD"/>
    <w:rsid w:val="00F84B62"/>
    <w:rsid w:val="00F84B6D"/>
    <w:rsid w:val="00F84D75"/>
    <w:rsid w:val="00F84D8B"/>
    <w:rsid w:val="00F84E26"/>
    <w:rsid w:val="00F84E91"/>
    <w:rsid w:val="00F84E94"/>
    <w:rsid w:val="00F84EAE"/>
    <w:rsid w:val="00F84EB1"/>
    <w:rsid w:val="00F84EC3"/>
    <w:rsid w:val="00F84EC4"/>
    <w:rsid w:val="00F84EF8"/>
    <w:rsid w:val="00F84F14"/>
    <w:rsid w:val="00F84F39"/>
    <w:rsid w:val="00F84F3F"/>
    <w:rsid w:val="00F84F4B"/>
    <w:rsid w:val="00F84FF6"/>
    <w:rsid w:val="00F85012"/>
    <w:rsid w:val="00F8506E"/>
    <w:rsid w:val="00F850B1"/>
    <w:rsid w:val="00F850B2"/>
    <w:rsid w:val="00F850C2"/>
    <w:rsid w:val="00F85125"/>
    <w:rsid w:val="00F85164"/>
    <w:rsid w:val="00F8517E"/>
    <w:rsid w:val="00F851BF"/>
    <w:rsid w:val="00F851CC"/>
    <w:rsid w:val="00F8520F"/>
    <w:rsid w:val="00F8529D"/>
    <w:rsid w:val="00F852A4"/>
    <w:rsid w:val="00F8532A"/>
    <w:rsid w:val="00F853CE"/>
    <w:rsid w:val="00F85489"/>
    <w:rsid w:val="00F854A2"/>
    <w:rsid w:val="00F854B9"/>
    <w:rsid w:val="00F85594"/>
    <w:rsid w:val="00F855B9"/>
    <w:rsid w:val="00F85651"/>
    <w:rsid w:val="00F85677"/>
    <w:rsid w:val="00F85692"/>
    <w:rsid w:val="00F856F4"/>
    <w:rsid w:val="00F8570F"/>
    <w:rsid w:val="00F85717"/>
    <w:rsid w:val="00F857B8"/>
    <w:rsid w:val="00F8583A"/>
    <w:rsid w:val="00F85863"/>
    <w:rsid w:val="00F8595D"/>
    <w:rsid w:val="00F859B8"/>
    <w:rsid w:val="00F859D6"/>
    <w:rsid w:val="00F859DA"/>
    <w:rsid w:val="00F85A66"/>
    <w:rsid w:val="00F85AAF"/>
    <w:rsid w:val="00F85B05"/>
    <w:rsid w:val="00F85B43"/>
    <w:rsid w:val="00F85BF1"/>
    <w:rsid w:val="00F85C7E"/>
    <w:rsid w:val="00F85C96"/>
    <w:rsid w:val="00F85C99"/>
    <w:rsid w:val="00F85CDF"/>
    <w:rsid w:val="00F85CE8"/>
    <w:rsid w:val="00F85CFA"/>
    <w:rsid w:val="00F85D08"/>
    <w:rsid w:val="00F85D66"/>
    <w:rsid w:val="00F85D74"/>
    <w:rsid w:val="00F85DAA"/>
    <w:rsid w:val="00F85DF3"/>
    <w:rsid w:val="00F85E29"/>
    <w:rsid w:val="00F85E6D"/>
    <w:rsid w:val="00F85E8E"/>
    <w:rsid w:val="00F85EA3"/>
    <w:rsid w:val="00F85F30"/>
    <w:rsid w:val="00F85F35"/>
    <w:rsid w:val="00F86028"/>
    <w:rsid w:val="00F8604D"/>
    <w:rsid w:val="00F86082"/>
    <w:rsid w:val="00F86087"/>
    <w:rsid w:val="00F8610D"/>
    <w:rsid w:val="00F86156"/>
    <w:rsid w:val="00F861C9"/>
    <w:rsid w:val="00F861DF"/>
    <w:rsid w:val="00F8620D"/>
    <w:rsid w:val="00F86226"/>
    <w:rsid w:val="00F86263"/>
    <w:rsid w:val="00F862B2"/>
    <w:rsid w:val="00F862C1"/>
    <w:rsid w:val="00F862F5"/>
    <w:rsid w:val="00F86310"/>
    <w:rsid w:val="00F86352"/>
    <w:rsid w:val="00F86365"/>
    <w:rsid w:val="00F8639A"/>
    <w:rsid w:val="00F86403"/>
    <w:rsid w:val="00F8640B"/>
    <w:rsid w:val="00F864B4"/>
    <w:rsid w:val="00F864E4"/>
    <w:rsid w:val="00F864FD"/>
    <w:rsid w:val="00F86503"/>
    <w:rsid w:val="00F8653F"/>
    <w:rsid w:val="00F865D7"/>
    <w:rsid w:val="00F865F6"/>
    <w:rsid w:val="00F8668C"/>
    <w:rsid w:val="00F86720"/>
    <w:rsid w:val="00F8676F"/>
    <w:rsid w:val="00F867C5"/>
    <w:rsid w:val="00F867FF"/>
    <w:rsid w:val="00F86873"/>
    <w:rsid w:val="00F86875"/>
    <w:rsid w:val="00F86883"/>
    <w:rsid w:val="00F86924"/>
    <w:rsid w:val="00F86971"/>
    <w:rsid w:val="00F86A0D"/>
    <w:rsid w:val="00F86A10"/>
    <w:rsid w:val="00F86A18"/>
    <w:rsid w:val="00F86B36"/>
    <w:rsid w:val="00F86B84"/>
    <w:rsid w:val="00F86C5B"/>
    <w:rsid w:val="00F86CB5"/>
    <w:rsid w:val="00F86D2B"/>
    <w:rsid w:val="00F86D3B"/>
    <w:rsid w:val="00F86DBF"/>
    <w:rsid w:val="00F86DCA"/>
    <w:rsid w:val="00F86DD6"/>
    <w:rsid w:val="00F86DEE"/>
    <w:rsid w:val="00F86E02"/>
    <w:rsid w:val="00F86E5B"/>
    <w:rsid w:val="00F86ECD"/>
    <w:rsid w:val="00F86F2F"/>
    <w:rsid w:val="00F86F4F"/>
    <w:rsid w:val="00F86FCD"/>
    <w:rsid w:val="00F87008"/>
    <w:rsid w:val="00F87055"/>
    <w:rsid w:val="00F870AC"/>
    <w:rsid w:val="00F870D1"/>
    <w:rsid w:val="00F870DD"/>
    <w:rsid w:val="00F87101"/>
    <w:rsid w:val="00F87180"/>
    <w:rsid w:val="00F871C1"/>
    <w:rsid w:val="00F8722F"/>
    <w:rsid w:val="00F87261"/>
    <w:rsid w:val="00F8727B"/>
    <w:rsid w:val="00F8728F"/>
    <w:rsid w:val="00F8729C"/>
    <w:rsid w:val="00F872DE"/>
    <w:rsid w:val="00F8733E"/>
    <w:rsid w:val="00F8736B"/>
    <w:rsid w:val="00F8737C"/>
    <w:rsid w:val="00F873B6"/>
    <w:rsid w:val="00F873CB"/>
    <w:rsid w:val="00F873E9"/>
    <w:rsid w:val="00F873ED"/>
    <w:rsid w:val="00F87443"/>
    <w:rsid w:val="00F87583"/>
    <w:rsid w:val="00F8760F"/>
    <w:rsid w:val="00F87614"/>
    <w:rsid w:val="00F87665"/>
    <w:rsid w:val="00F876CC"/>
    <w:rsid w:val="00F8770C"/>
    <w:rsid w:val="00F8771D"/>
    <w:rsid w:val="00F87726"/>
    <w:rsid w:val="00F87759"/>
    <w:rsid w:val="00F877D9"/>
    <w:rsid w:val="00F877F4"/>
    <w:rsid w:val="00F87801"/>
    <w:rsid w:val="00F87846"/>
    <w:rsid w:val="00F878C7"/>
    <w:rsid w:val="00F878CB"/>
    <w:rsid w:val="00F878EA"/>
    <w:rsid w:val="00F8790A"/>
    <w:rsid w:val="00F87946"/>
    <w:rsid w:val="00F8796D"/>
    <w:rsid w:val="00F87A1A"/>
    <w:rsid w:val="00F87A1E"/>
    <w:rsid w:val="00F87A24"/>
    <w:rsid w:val="00F87AFE"/>
    <w:rsid w:val="00F87BA4"/>
    <w:rsid w:val="00F87BDD"/>
    <w:rsid w:val="00F87BF0"/>
    <w:rsid w:val="00F87C2E"/>
    <w:rsid w:val="00F87C4D"/>
    <w:rsid w:val="00F87C99"/>
    <w:rsid w:val="00F87CA1"/>
    <w:rsid w:val="00F87CBD"/>
    <w:rsid w:val="00F87CD7"/>
    <w:rsid w:val="00F87DA1"/>
    <w:rsid w:val="00F87DD7"/>
    <w:rsid w:val="00F87E70"/>
    <w:rsid w:val="00F87EB1"/>
    <w:rsid w:val="00F87EFF"/>
    <w:rsid w:val="00F87FB2"/>
    <w:rsid w:val="00F87FF3"/>
    <w:rsid w:val="00F90004"/>
    <w:rsid w:val="00F90019"/>
    <w:rsid w:val="00F9001E"/>
    <w:rsid w:val="00F90066"/>
    <w:rsid w:val="00F900C0"/>
    <w:rsid w:val="00F900D1"/>
    <w:rsid w:val="00F90143"/>
    <w:rsid w:val="00F90172"/>
    <w:rsid w:val="00F90175"/>
    <w:rsid w:val="00F901E5"/>
    <w:rsid w:val="00F9022F"/>
    <w:rsid w:val="00F9029B"/>
    <w:rsid w:val="00F9029E"/>
    <w:rsid w:val="00F902AD"/>
    <w:rsid w:val="00F9031B"/>
    <w:rsid w:val="00F903D6"/>
    <w:rsid w:val="00F903ED"/>
    <w:rsid w:val="00F90467"/>
    <w:rsid w:val="00F904CB"/>
    <w:rsid w:val="00F9057B"/>
    <w:rsid w:val="00F9058B"/>
    <w:rsid w:val="00F905B7"/>
    <w:rsid w:val="00F905F3"/>
    <w:rsid w:val="00F905F4"/>
    <w:rsid w:val="00F90633"/>
    <w:rsid w:val="00F9065F"/>
    <w:rsid w:val="00F90739"/>
    <w:rsid w:val="00F90746"/>
    <w:rsid w:val="00F90868"/>
    <w:rsid w:val="00F908AE"/>
    <w:rsid w:val="00F908CF"/>
    <w:rsid w:val="00F90936"/>
    <w:rsid w:val="00F90966"/>
    <w:rsid w:val="00F90970"/>
    <w:rsid w:val="00F90999"/>
    <w:rsid w:val="00F909BF"/>
    <w:rsid w:val="00F90A2F"/>
    <w:rsid w:val="00F90A61"/>
    <w:rsid w:val="00F90AE6"/>
    <w:rsid w:val="00F90AFE"/>
    <w:rsid w:val="00F90B2B"/>
    <w:rsid w:val="00F90B5D"/>
    <w:rsid w:val="00F90BAF"/>
    <w:rsid w:val="00F90BC4"/>
    <w:rsid w:val="00F90C06"/>
    <w:rsid w:val="00F90C0D"/>
    <w:rsid w:val="00F90C10"/>
    <w:rsid w:val="00F90C92"/>
    <w:rsid w:val="00F90CB7"/>
    <w:rsid w:val="00F90CEF"/>
    <w:rsid w:val="00F90CFA"/>
    <w:rsid w:val="00F90D11"/>
    <w:rsid w:val="00F90D4F"/>
    <w:rsid w:val="00F90D6E"/>
    <w:rsid w:val="00F90E5B"/>
    <w:rsid w:val="00F90EAE"/>
    <w:rsid w:val="00F90EFD"/>
    <w:rsid w:val="00F90FCF"/>
    <w:rsid w:val="00F91004"/>
    <w:rsid w:val="00F91006"/>
    <w:rsid w:val="00F9104D"/>
    <w:rsid w:val="00F910DB"/>
    <w:rsid w:val="00F91120"/>
    <w:rsid w:val="00F91161"/>
    <w:rsid w:val="00F91185"/>
    <w:rsid w:val="00F911A9"/>
    <w:rsid w:val="00F91215"/>
    <w:rsid w:val="00F9127A"/>
    <w:rsid w:val="00F912BA"/>
    <w:rsid w:val="00F912CD"/>
    <w:rsid w:val="00F91306"/>
    <w:rsid w:val="00F91307"/>
    <w:rsid w:val="00F9134C"/>
    <w:rsid w:val="00F91381"/>
    <w:rsid w:val="00F91387"/>
    <w:rsid w:val="00F913AA"/>
    <w:rsid w:val="00F913B3"/>
    <w:rsid w:val="00F91486"/>
    <w:rsid w:val="00F914B2"/>
    <w:rsid w:val="00F914C4"/>
    <w:rsid w:val="00F9160F"/>
    <w:rsid w:val="00F9161D"/>
    <w:rsid w:val="00F91626"/>
    <w:rsid w:val="00F91640"/>
    <w:rsid w:val="00F9169C"/>
    <w:rsid w:val="00F91701"/>
    <w:rsid w:val="00F917A8"/>
    <w:rsid w:val="00F917DA"/>
    <w:rsid w:val="00F91843"/>
    <w:rsid w:val="00F91850"/>
    <w:rsid w:val="00F918AA"/>
    <w:rsid w:val="00F918B5"/>
    <w:rsid w:val="00F918D5"/>
    <w:rsid w:val="00F91925"/>
    <w:rsid w:val="00F9193D"/>
    <w:rsid w:val="00F919AF"/>
    <w:rsid w:val="00F91A32"/>
    <w:rsid w:val="00F91A37"/>
    <w:rsid w:val="00F91B1E"/>
    <w:rsid w:val="00F91B44"/>
    <w:rsid w:val="00F91B7A"/>
    <w:rsid w:val="00F91BB8"/>
    <w:rsid w:val="00F91C70"/>
    <w:rsid w:val="00F91CF3"/>
    <w:rsid w:val="00F91DD0"/>
    <w:rsid w:val="00F91E1C"/>
    <w:rsid w:val="00F91E3A"/>
    <w:rsid w:val="00F91EC1"/>
    <w:rsid w:val="00F91ED0"/>
    <w:rsid w:val="00F91F36"/>
    <w:rsid w:val="00F91F49"/>
    <w:rsid w:val="00F91F8F"/>
    <w:rsid w:val="00F91FF5"/>
    <w:rsid w:val="00F9201F"/>
    <w:rsid w:val="00F9204A"/>
    <w:rsid w:val="00F92052"/>
    <w:rsid w:val="00F92066"/>
    <w:rsid w:val="00F920BF"/>
    <w:rsid w:val="00F920E7"/>
    <w:rsid w:val="00F92181"/>
    <w:rsid w:val="00F92217"/>
    <w:rsid w:val="00F92218"/>
    <w:rsid w:val="00F92279"/>
    <w:rsid w:val="00F9228C"/>
    <w:rsid w:val="00F92299"/>
    <w:rsid w:val="00F9231A"/>
    <w:rsid w:val="00F92333"/>
    <w:rsid w:val="00F92410"/>
    <w:rsid w:val="00F9244D"/>
    <w:rsid w:val="00F9245D"/>
    <w:rsid w:val="00F92511"/>
    <w:rsid w:val="00F92521"/>
    <w:rsid w:val="00F92557"/>
    <w:rsid w:val="00F92558"/>
    <w:rsid w:val="00F925F7"/>
    <w:rsid w:val="00F92607"/>
    <w:rsid w:val="00F9263F"/>
    <w:rsid w:val="00F92663"/>
    <w:rsid w:val="00F926A6"/>
    <w:rsid w:val="00F926E8"/>
    <w:rsid w:val="00F9272B"/>
    <w:rsid w:val="00F927C5"/>
    <w:rsid w:val="00F927D8"/>
    <w:rsid w:val="00F92808"/>
    <w:rsid w:val="00F928CD"/>
    <w:rsid w:val="00F9290B"/>
    <w:rsid w:val="00F929C1"/>
    <w:rsid w:val="00F92A77"/>
    <w:rsid w:val="00F92A79"/>
    <w:rsid w:val="00F92AE4"/>
    <w:rsid w:val="00F92AFD"/>
    <w:rsid w:val="00F92B38"/>
    <w:rsid w:val="00F92BBB"/>
    <w:rsid w:val="00F92BE7"/>
    <w:rsid w:val="00F92C0D"/>
    <w:rsid w:val="00F92C92"/>
    <w:rsid w:val="00F92CA0"/>
    <w:rsid w:val="00F92CA4"/>
    <w:rsid w:val="00F92CAD"/>
    <w:rsid w:val="00F92CD7"/>
    <w:rsid w:val="00F92D89"/>
    <w:rsid w:val="00F92DA7"/>
    <w:rsid w:val="00F92E26"/>
    <w:rsid w:val="00F92E40"/>
    <w:rsid w:val="00F92E5C"/>
    <w:rsid w:val="00F92EF0"/>
    <w:rsid w:val="00F92F2B"/>
    <w:rsid w:val="00F92FB0"/>
    <w:rsid w:val="00F92FC0"/>
    <w:rsid w:val="00F92FE6"/>
    <w:rsid w:val="00F93030"/>
    <w:rsid w:val="00F93062"/>
    <w:rsid w:val="00F9306A"/>
    <w:rsid w:val="00F930BB"/>
    <w:rsid w:val="00F930C3"/>
    <w:rsid w:val="00F931AA"/>
    <w:rsid w:val="00F93213"/>
    <w:rsid w:val="00F93263"/>
    <w:rsid w:val="00F9326D"/>
    <w:rsid w:val="00F93281"/>
    <w:rsid w:val="00F932EB"/>
    <w:rsid w:val="00F932F3"/>
    <w:rsid w:val="00F932FB"/>
    <w:rsid w:val="00F933A1"/>
    <w:rsid w:val="00F933B0"/>
    <w:rsid w:val="00F9340E"/>
    <w:rsid w:val="00F9349E"/>
    <w:rsid w:val="00F934BE"/>
    <w:rsid w:val="00F934E9"/>
    <w:rsid w:val="00F934EC"/>
    <w:rsid w:val="00F9354B"/>
    <w:rsid w:val="00F9355B"/>
    <w:rsid w:val="00F93563"/>
    <w:rsid w:val="00F935A9"/>
    <w:rsid w:val="00F935F5"/>
    <w:rsid w:val="00F93611"/>
    <w:rsid w:val="00F93638"/>
    <w:rsid w:val="00F9364A"/>
    <w:rsid w:val="00F9369A"/>
    <w:rsid w:val="00F936D8"/>
    <w:rsid w:val="00F93734"/>
    <w:rsid w:val="00F9375D"/>
    <w:rsid w:val="00F93766"/>
    <w:rsid w:val="00F9383D"/>
    <w:rsid w:val="00F9385F"/>
    <w:rsid w:val="00F938B2"/>
    <w:rsid w:val="00F938BC"/>
    <w:rsid w:val="00F93921"/>
    <w:rsid w:val="00F93933"/>
    <w:rsid w:val="00F93A2B"/>
    <w:rsid w:val="00F93A71"/>
    <w:rsid w:val="00F93B0F"/>
    <w:rsid w:val="00F93C74"/>
    <w:rsid w:val="00F93D32"/>
    <w:rsid w:val="00F93E74"/>
    <w:rsid w:val="00F93F1A"/>
    <w:rsid w:val="00F93F25"/>
    <w:rsid w:val="00F93FDE"/>
    <w:rsid w:val="00F940BB"/>
    <w:rsid w:val="00F940EE"/>
    <w:rsid w:val="00F940FE"/>
    <w:rsid w:val="00F94187"/>
    <w:rsid w:val="00F94197"/>
    <w:rsid w:val="00F9419C"/>
    <w:rsid w:val="00F941A2"/>
    <w:rsid w:val="00F941B8"/>
    <w:rsid w:val="00F94203"/>
    <w:rsid w:val="00F94212"/>
    <w:rsid w:val="00F9421C"/>
    <w:rsid w:val="00F9426F"/>
    <w:rsid w:val="00F9432E"/>
    <w:rsid w:val="00F94340"/>
    <w:rsid w:val="00F94378"/>
    <w:rsid w:val="00F9438E"/>
    <w:rsid w:val="00F94393"/>
    <w:rsid w:val="00F94399"/>
    <w:rsid w:val="00F943A8"/>
    <w:rsid w:val="00F943C1"/>
    <w:rsid w:val="00F943CC"/>
    <w:rsid w:val="00F943F3"/>
    <w:rsid w:val="00F94408"/>
    <w:rsid w:val="00F9440C"/>
    <w:rsid w:val="00F94421"/>
    <w:rsid w:val="00F944E6"/>
    <w:rsid w:val="00F945AD"/>
    <w:rsid w:val="00F94600"/>
    <w:rsid w:val="00F946AC"/>
    <w:rsid w:val="00F94710"/>
    <w:rsid w:val="00F9474B"/>
    <w:rsid w:val="00F94759"/>
    <w:rsid w:val="00F947BE"/>
    <w:rsid w:val="00F94803"/>
    <w:rsid w:val="00F94865"/>
    <w:rsid w:val="00F9489E"/>
    <w:rsid w:val="00F94941"/>
    <w:rsid w:val="00F94955"/>
    <w:rsid w:val="00F94974"/>
    <w:rsid w:val="00F949E5"/>
    <w:rsid w:val="00F949F8"/>
    <w:rsid w:val="00F94B35"/>
    <w:rsid w:val="00F94B44"/>
    <w:rsid w:val="00F94B66"/>
    <w:rsid w:val="00F94BA9"/>
    <w:rsid w:val="00F94C0D"/>
    <w:rsid w:val="00F94C3E"/>
    <w:rsid w:val="00F94C58"/>
    <w:rsid w:val="00F94C7D"/>
    <w:rsid w:val="00F94C8F"/>
    <w:rsid w:val="00F94C9E"/>
    <w:rsid w:val="00F94CF8"/>
    <w:rsid w:val="00F94D46"/>
    <w:rsid w:val="00F94D78"/>
    <w:rsid w:val="00F94DFF"/>
    <w:rsid w:val="00F94E0B"/>
    <w:rsid w:val="00F94E0C"/>
    <w:rsid w:val="00F94EB1"/>
    <w:rsid w:val="00F94EC6"/>
    <w:rsid w:val="00F94EDC"/>
    <w:rsid w:val="00F94EFC"/>
    <w:rsid w:val="00F94F13"/>
    <w:rsid w:val="00F94F47"/>
    <w:rsid w:val="00F94F6A"/>
    <w:rsid w:val="00F94FDB"/>
    <w:rsid w:val="00F95006"/>
    <w:rsid w:val="00F950B7"/>
    <w:rsid w:val="00F950B9"/>
    <w:rsid w:val="00F950BD"/>
    <w:rsid w:val="00F950F7"/>
    <w:rsid w:val="00F9511C"/>
    <w:rsid w:val="00F9515B"/>
    <w:rsid w:val="00F951C4"/>
    <w:rsid w:val="00F95238"/>
    <w:rsid w:val="00F95256"/>
    <w:rsid w:val="00F95285"/>
    <w:rsid w:val="00F9538A"/>
    <w:rsid w:val="00F9539D"/>
    <w:rsid w:val="00F953AB"/>
    <w:rsid w:val="00F9541F"/>
    <w:rsid w:val="00F95482"/>
    <w:rsid w:val="00F954D3"/>
    <w:rsid w:val="00F95517"/>
    <w:rsid w:val="00F955CE"/>
    <w:rsid w:val="00F95622"/>
    <w:rsid w:val="00F95672"/>
    <w:rsid w:val="00F956AA"/>
    <w:rsid w:val="00F956AE"/>
    <w:rsid w:val="00F956CF"/>
    <w:rsid w:val="00F956D8"/>
    <w:rsid w:val="00F956E5"/>
    <w:rsid w:val="00F95757"/>
    <w:rsid w:val="00F957B0"/>
    <w:rsid w:val="00F95872"/>
    <w:rsid w:val="00F958C4"/>
    <w:rsid w:val="00F958E2"/>
    <w:rsid w:val="00F958F2"/>
    <w:rsid w:val="00F95908"/>
    <w:rsid w:val="00F9590E"/>
    <w:rsid w:val="00F95976"/>
    <w:rsid w:val="00F95A17"/>
    <w:rsid w:val="00F95A26"/>
    <w:rsid w:val="00F95A48"/>
    <w:rsid w:val="00F95A72"/>
    <w:rsid w:val="00F95A76"/>
    <w:rsid w:val="00F95ADB"/>
    <w:rsid w:val="00F95B3F"/>
    <w:rsid w:val="00F95B44"/>
    <w:rsid w:val="00F95B72"/>
    <w:rsid w:val="00F95C22"/>
    <w:rsid w:val="00F95CB4"/>
    <w:rsid w:val="00F95D0B"/>
    <w:rsid w:val="00F95D61"/>
    <w:rsid w:val="00F95DBF"/>
    <w:rsid w:val="00F95DC9"/>
    <w:rsid w:val="00F95E00"/>
    <w:rsid w:val="00F95E66"/>
    <w:rsid w:val="00F95E6A"/>
    <w:rsid w:val="00F95E91"/>
    <w:rsid w:val="00F95E97"/>
    <w:rsid w:val="00F95F27"/>
    <w:rsid w:val="00F95F2C"/>
    <w:rsid w:val="00F95F6F"/>
    <w:rsid w:val="00F95F7A"/>
    <w:rsid w:val="00F95FCD"/>
    <w:rsid w:val="00F96044"/>
    <w:rsid w:val="00F96077"/>
    <w:rsid w:val="00F960A5"/>
    <w:rsid w:val="00F960C0"/>
    <w:rsid w:val="00F960F5"/>
    <w:rsid w:val="00F96127"/>
    <w:rsid w:val="00F96153"/>
    <w:rsid w:val="00F9615F"/>
    <w:rsid w:val="00F96161"/>
    <w:rsid w:val="00F9616C"/>
    <w:rsid w:val="00F9616D"/>
    <w:rsid w:val="00F961D8"/>
    <w:rsid w:val="00F96205"/>
    <w:rsid w:val="00F96206"/>
    <w:rsid w:val="00F962AC"/>
    <w:rsid w:val="00F962EF"/>
    <w:rsid w:val="00F962F0"/>
    <w:rsid w:val="00F963AD"/>
    <w:rsid w:val="00F963D7"/>
    <w:rsid w:val="00F963E9"/>
    <w:rsid w:val="00F96483"/>
    <w:rsid w:val="00F9651E"/>
    <w:rsid w:val="00F965A7"/>
    <w:rsid w:val="00F96625"/>
    <w:rsid w:val="00F96639"/>
    <w:rsid w:val="00F9666E"/>
    <w:rsid w:val="00F966B4"/>
    <w:rsid w:val="00F966D7"/>
    <w:rsid w:val="00F96760"/>
    <w:rsid w:val="00F967B3"/>
    <w:rsid w:val="00F967C0"/>
    <w:rsid w:val="00F967C3"/>
    <w:rsid w:val="00F968C7"/>
    <w:rsid w:val="00F968CA"/>
    <w:rsid w:val="00F968DF"/>
    <w:rsid w:val="00F9692E"/>
    <w:rsid w:val="00F9699B"/>
    <w:rsid w:val="00F96A80"/>
    <w:rsid w:val="00F96A8F"/>
    <w:rsid w:val="00F96AB5"/>
    <w:rsid w:val="00F96AF9"/>
    <w:rsid w:val="00F96B28"/>
    <w:rsid w:val="00F96B2F"/>
    <w:rsid w:val="00F96BC8"/>
    <w:rsid w:val="00F96BFE"/>
    <w:rsid w:val="00F96C2F"/>
    <w:rsid w:val="00F96C55"/>
    <w:rsid w:val="00F96CA9"/>
    <w:rsid w:val="00F96CB6"/>
    <w:rsid w:val="00F96CB9"/>
    <w:rsid w:val="00F96CC3"/>
    <w:rsid w:val="00F96CE0"/>
    <w:rsid w:val="00F96D00"/>
    <w:rsid w:val="00F96D14"/>
    <w:rsid w:val="00F96D3B"/>
    <w:rsid w:val="00F96D65"/>
    <w:rsid w:val="00F96DDC"/>
    <w:rsid w:val="00F96DE1"/>
    <w:rsid w:val="00F96E7E"/>
    <w:rsid w:val="00F96EE6"/>
    <w:rsid w:val="00F96EF5"/>
    <w:rsid w:val="00F96F07"/>
    <w:rsid w:val="00F96F23"/>
    <w:rsid w:val="00F96F25"/>
    <w:rsid w:val="00F96F38"/>
    <w:rsid w:val="00F96F46"/>
    <w:rsid w:val="00F96F8E"/>
    <w:rsid w:val="00F96FE7"/>
    <w:rsid w:val="00F97017"/>
    <w:rsid w:val="00F9706F"/>
    <w:rsid w:val="00F9719A"/>
    <w:rsid w:val="00F971B4"/>
    <w:rsid w:val="00F971C1"/>
    <w:rsid w:val="00F971E1"/>
    <w:rsid w:val="00F97366"/>
    <w:rsid w:val="00F97369"/>
    <w:rsid w:val="00F9741E"/>
    <w:rsid w:val="00F974B3"/>
    <w:rsid w:val="00F974DC"/>
    <w:rsid w:val="00F97514"/>
    <w:rsid w:val="00F97566"/>
    <w:rsid w:val="00F9757A"/>
    <w:rsid w:val="00F975A9"/>
    <w:rsid w:val="00F97646"/>
    <w:rsid w:val="00F97673"/>
    <w:rsid w:val="00F97681"/>
    <w:rsid w:val="00F9768C"/>
    <w:rsid w:val="00F976B3"/>
    <w:rsid w:val="00F976DC"/>
    <w:rsid w:val="00F97795"/>
    <w:rsid w:val="00F977DF"/>
    <w:rsid w:val="00F977F9"/>
    <w:rsid w:val="00F97890"/>
    <w:rsid w:val="00F978C4"/>
    <w:rsid w:val="00F9794A"/>
    <w:rsid w:val="00F979AA"/>
    <w:rsid w:val="00F979FF"/>
    <w:rsid w:val="00F97AB4"/>
    <w:rsid w:val="00F97AC9"/>
    <w:rsid w:val="00F97B0A"/>
    <w:rsid w:val="00F97BDB"/>
    <w:rsid w:val="00F97BE9"/>
    <w:rsid w:val="00F97BF2"/>
    <w:rsid w:val="00F97C51"/>
    <w:rsid w:val="00F97C8F"/>
    <w:rsid w:val="00F97CF4"/>
    <w:rsid w:val="00F97D47"/>
    <w:rsid w:val="00F97D60"/>
    <w:rsid w:val="00F97DA6"/>
    <w:rsid w:val="00F97DB6"/>
    <w:rsid w:val="00F97E19"/>
    <w:rsid w:val="00F97E82"/>
    <w:rsid w:val="00F97EB7"/>
    <w:rsid w:val="00F97EE0"/>
    <w:rsid w:val="00F97F5A"/>
    <w:rsid w:val="00F97F6C"/>
    <w:rsid w:val="00F97F71"/>
    <w:rsid w:val="00F97FEE"/>
    <w:rsid w:val="00FA006C"/>
    <w:rsid w:val="00FA0083"/>
    <w:rsid w:val="00FA0093"/>
    <w:rsid w:val="00FA010C"/>
    <w:rsid w:val="00FA0110"/>
    <w:rsid w:val="00FA013C"/>
    <w:rsid w:val="00FA0166"/>
    <w:rsid w:val="00FA01A6"/>
    <w:rsid w:val="00FA0203"/>
    <w:rsid w:val="00FA0226"/>
    <w:rsid w:val="00FA02A9"/>
    <w:rsid w:val="00FA02BA"/>
    <w:rsid w:val="00FA02C4"/>
    <w:rsid w:val="00FA02D6"/>
    <w:rsid w:val="00FA02DF"/>
    <w:rsid w:val="00FA03A2"/>
    <w:rsid w:val="00FA03CE"/>
    <w:rsid w:val="00FA03DC"/>
    <w:rsid w:val="00FA03DE"/>
    <w:rsid w:val="00FA0572"/>
    <w:rsid w:val="00FA05B0"/>
    <w:rsid w:val="00FA05B5"/>
    <w:rsid w:val="00FA05D6"/>
    <w:rsid w:val="00FA0612"/>
    <w:rsid w:val="00FA061C"/>
    <w:rsid w:val="00FA067D"/>
    <w:rsid w:val="00FA0706"/>
    <w:rsid w:val="00FA0716"/>
    <w:rsid w:val="00FA073F"/>
    <w:rsid w:val="00FA0743"/>
    <w:rsid w:val="00FA075A"/>
    <w:rsid w:val="00FA0833"/>
    <w:rsid w:val="00FA0847"/>
    <w:rsid w:val="00FA0887"/>
    <w:rsid w:val="00FA08D8"/>
    <w:rsid w:val="00FA0912"/>
    <w:rsid w:val="00FA0915"/>
    <w:rsid w:val="00FA091F"/>
    <w:rsid w:val="00FA0920"/>
    <w:rsid w:val="00FA0A8B"/>
    <w:rsid w:val="00FA0AA5"/>
    <w:rsid w:val="00FA0AAB"/>
    <w:rsid w:val="00FA0AF1"/>
    <w:rsid w:val="00FA0AFB"/>
    <w:rsid w:val="00FA0B10"/>
    <w:rsid w:val="00FA0B7E"/>
    <w:rsid w:val="00FA0B94"/>
    <w:rsid w:val="00FA0B9F"/>
    <w:rsid w:val="00FA0BA8"/>
    <w:rsid w:val="00FA0BAC"/>
    <w:rsid w:val="00FA0BB4"/>
    <w:rsid w:val="00FA0BD0"/>
    <w:rsid w:val="00FA0BD7"/>
    <w:rsid w:val="00FA0C3E"/>
    <w:rsid w:val="00FA0C47"/>
    <w:rsid w:val="00FA0C6C"/>
    <w:rsid w:val="00FA0CAA"/>
    <w:rsid w:val="00FA0CB8"/>
    <w:rsid w:val="00FA0CD1"/>
    <w:rsid w:val="00FA0CFD"/>
    <w:rsid w:val="00FA0D7A"/>
    <w:rsid w:val="00FA0D88"/>
    <w:rsid w:val="00FA0D9E"/>
    <w:rsid w:val="00FA0DBF"/>
    <w:rsid w:val="00FA0DD7"/>
    <w:rsid w:val="00FA0DDA"/>
    <w:rsid w:val="00FA0DE6"/>
    <w:rsid w:val="00FA0DFD"/>
    <w:rsid w:val="00FA0E25"/>
    <w:rsid w:val="00FA0E3E"/>
    <w:rsid w:val="00FA0E9A"/>
    <w:rsid w:val="00FA0F08"/>
    <w:rsid w:val="00FA0F63"/>
    <w:rsid w:val="00FA0F7C"/>
    <w:rsid w:val="00FA0FC2"/>
    <w:rsid w:val="00FA0FFD"/>
    <w:rsid w:val="00FA111F"/>
    <w:rsid w:val="00FA112B"/>
    <w:rsid w:val="00FA114A"/>
    <w:rsid w:val="00FA11C2"/>
    <w:rsid w:val="00FA1226"/>
    <w:rsid w:val="00FA1252"/>
    <w:rsid w:val="00FA12B1"/>
    <w:rsid w:val="00FA131E"/>
    <w:rsid w:val="00FA1330"/>
    <w:rsid w:val="00FA1375"/>
    <w:rsid w:val="00FA1382"/>
    <w:rsid w:val="00FA139B"/>
    <w:rsid w:val="00FA13D5"/>
    <w:rsid w:val="00FA13D9"/>
    <w:rsid w:val="00FA1426"/>
    <w:rsid w:val="00FA1440"/>
    <w:rsid w:val="00FA152A"/>
    <w:rsid w:val="00FA1545"/>
    <w:rsid w:val="00FA157E"/>
    <w:rsid w:val="00FA158F"/>
    <w:rsid w:val="00FA1591"/>
    <w:rsid w:val="00FA15EC"/>
    <w:rsid w:val="00FA15F0"/>
    <w:rsid w:val="00FA15F3"/>
    <w:rsid w:val="00FA1667"/>
    <w:rsid w:val="00FA16AC"/>
    <w:rsid w:val="00FA16B1"/>
    <w:rsid w:val="00FA16DD"/>
    <w:rsid w:val="00FA16FB"/>
    <w:rsid w:val="00FA16FE"/>
    <w:rsid w:val="00FA171F"/>
    <w:rsid w:val="00FA1730"/>
    <w:rsid w:val="00FA1762"/>
    <w:rsid w:val="00FA17A4"/>
    <w:rsid w:val="00FA17EB"/>
    <w:rsid w:val="00FA17F9"/>
    <w:rsid w:val="00FA1802"/>
    <w:rsid w:val="00FA1810"/>
    <w:rsid w:val="00FA1894"/>
    <w:rsid w:val="00FA18B0"/>
    <w:rsid w:val="00FA1924"/>
    <w:rsid w:val="00FA1932"/>
    <w:rsid w:val="00FA195B"/>
    <w:rsid w:val="00FA195E"/>
    <w:rsid w:val="00FA1962"/>
    <w:rsid w:val="00FA19E8"/>
    <w:rsid w:val="00FA1A26"/>
    <w:rsid w:val="00FA1A4B"/>
    <w:rsid w:val="00FA1A90"/>
    <w:rsid w:val="00FA1AB5"/>
    <w:rsid w:val="00FA1AC2"/>
    <w:rsid w:val="00FA1B16"/>
    <w:rsid w:val="00FA1B36"/>
    <w:rsid w:val="00FA1BFC"/>
    <w:rsid w:val="00FA1C63"/>
    <w:rsid w:val="00FA1C64"/>
    <w:rsid w:val="00FA1C9C"/>
    <w:rsid w:val="00FA1CCD"/>
    <w:rsid w:val="00FA1D16"/>
    <w:rsid w:val="00FA1D3A"/>
    <w:rsid w:val="00FA1D68"/>
    <w:rsid w:val="00FA1D77"/>
    <w:rsid w:val="00FA1DB3"/>
    <w:rsid w:val="00FA1DDE"/>
    <w:rsid w:val="00FA1EC7"/>
    <w:rsid w:val="00FA1ECE"/>
    <w:rsid w:val="00FA1EFA"/>
    <w:rsid w:val="00FA1FDF"/>
    <w:rsid w:val="00FA1FE3"/>
    <w:rsid w:val="00FA2014"/>
    <w:rsid w:val="00FA210C"/>
    <w:rsid w:val="00FA214A"/>
    <w:rsid w:val="00FA214C"/>
    <w:rsid w:val="00FA2158"/>
    <w:rsid w:val="00FA218F"/>
    <w:rsid w:val="00FA21B5"/>
    <w:rsid w:val="00FA2225"/>
    <w:rsid w:val="00FA222E"/>
    <w:rsid w:val="00FA2253"/>
    <w:rsid w:val="00FA2302"/>
    <w:rsid w:val="00FA2321"/>
    <w:rsid w:val="00FA2344"/>
    <w:rsid w:val="00FA234B"/>
    <w:rsid w:val="00FA2385"/>
    <w:rsid w:val="00FA2387"/>
    <w:rsid w:val="00FA239A"/>
    <w:rsid w:val="00FA23F8"/>
    <w:rsid w:val="00FA2400"/>
    <w:rsid w:val="00FA24FB"/>
    <w:rsid w:val="00FA255A"/>
    <w:rsid w:val="00FA25B6"/>
    <w:rsid w:val="00FA25BE"/>
    <w:rsid w:val="00FA25CD"/>
    <w:rsid w:val="00FA25CE"/>
    <w:rsid w:val="00FA25FB"/>
    <w:rsid w:val="00FA26CA"/>
    <w:rsid w:val="00FA2709"/>
    <w:rsid w:val="00FA2716"/>
    <w:rsid w:val="00FA2743"/>
    <w:rsid w:val="00FA27CC"/>
    <w:rsid w:val="00FA27DA"/>
    <w:rsid w:val="00FA27E6"/>
    <w:rsid w:val="00FA2847"/>
    <w:rsid w:val="00FA288C"/>
    <w:rsid w:val="00FA28AD"/>
    <w:rsid w:val="00FA28CD"/>
    <w:rsid w:val="00FA296F"/>
    <w:rsid w:val="00FA298B"/>
    <w:rsid w:val="00FA29B0"/>
    <w:rsid w:val="00FA29D9"/>
    <w:rsid w:val="00FA29EE"/>
    <w:rsid w:val="00FA29F8"/>
    <w:rsid w:val="00FA2A25"/>
    <w:rsid w:val="00FA2A49"/>
    <w:rsid w:val="00FA2AA0"/>
    <w:rsid w:val="00FA2AC3"/>
    <w:rsid w:val="00FA2B35"/>
    <w:rsid w:val="00FA2B8E"/>
    <w:rsid w:val="00FA2BA4"/>
    <w:rsid w:val="00FA2BCE"/>
    <w:rsid w:val="00FA2BF6"/>
    <w:rsid w:val="00FA2C31"/>
    <w:rsid w:val="00FA2C88"/>
    <w:rsid w:val="00FA2CAB"/>
    <w:rsid w:val="00FA2CEA"/>
    <w:rsid w:val="00FA2CF8"/>
    <w:rsid w:val="00FA2DE9"/>
    <w:rsid w:val="00FA2E05"/>
    <w:rsid w:val="00FA2E4B"/>
    <w:rsid w:val="00FA2E91"/>
    <w:rsid w:val="00FA2E97"/>
    <w:rsid w:val="00FA2EEA"/>
    <w:rsid w:val="00FA2F03"/>
    <w:rsid w:val="00FA2F63"/>
    <w:rsid w:val="00FA2F80"/>
    <w:rsid w:val="00FA2FF2"/>
    <w:rsid w:val="00FA303D"/>
    <w:rsid w:val="00FA305A"/>
    <w:rsid w:val="00FA3074"/>
    <w:rsid w:val="00FA3081"/>
    <w:rsid w:val="00FA3091"/>
    <w:rsid w:val="00FA30C5"/>
    <w:rsid w:val="00FA3165"/>
    <w:rsid w:val="00FA3175"/>
    <w:rsid w:val="00FA318E"/>
    <w:rsid w:val="00FA31DA"/>
    <w:rsid w:val="00FA3226"/>
    <w:rsid w:val="00FA3231"/>
    <w:rsid w:val="00FA3292"/>
    <w:rsid w:val="00FA331D"/>
    <w:rsid w:val="00FA3357"/>
    <w:rsid w:val="00FA3398"/>
    <w:rsid w:val="00FA33E4"/>
    <w:rsid w:val="00FA3444"/>
    <w:rsid w:val="00FA34AC"/>
    <w:rsid w:val="00FA34E2"/>
    <w:rsid w:val="00FA34EA"/>
    <w:rsid w:val="00FA34FA"/>
    <w:rsid w:val="00FA350F"/>
    <w:rsid w:val="00FA3544"/>
    <w:rsid w:val="00FA3559"/>
    <w:rsid w:val="00FA35FE"/>
    <w:rsid w:val="00FA3636"/>
    <w:rsid w:val="00FA3648"/>
    <w:rsid w:val="00FA365A"/>
    <w:rsid w:val="00FA3683"/>
    <w:rsid w:val="00FA3703"/>
    <w:rsid w:val="00FA3737"/>
    <w:rsid w:val="00FA3749"/>
    <w:rsid w:val="00FA3757"/>
    <w:rsid w:val="00FA3775"/>
    <w:rsid w:val="00FA381D"/>
    <w:rsid w:val="00FA38D2"/>
    <w:rsid w:val="00FA38EC"/>
    <w:rsid w:val="00FA3908"/>
    <w:rsid w:val="00FA3911"/>
    <w:rsid w:val="00FA3917"/>
    <w:rsid w:val="00FA3932"/>
    <w:rsid w:val="00FA393A"/>
    <w:rsid w:val="00FA395D"/>
    <w:rsid w:val="00FA3964"/>
    <w:rsid w:val="00FA3A6E"/>
    <w:rsid w:val="00FA3B10"/>
    <w:rsid w:val="00FA3B1F"/>
    <w:rsid w:val="00FA3B4B"/>
    <w:rsid w:val="00FA3B4D"/>
    <w:rsid w:val="00FA3BE1"/>
    <w:rsid w:val="00FA3C30"/>
    <w:rsid w:val="00FA3D1A"/>
    <w:rsid w:val="00FA3D22"/>
    <w:rsid w:val="00FA3D37"/>
    <w:rsid w:val="00FA3D4A"/>
    <w:rsid w:val="00FA3D68"/>
    <w:rsid w:val="00FA3D75"/>
    <w:rsid w:val="00FA3E3B"/>
    <w:rsid w:val="00FA3E69"/>
    <w:rsid w:val="00FA3E74"/>
    <w:rsid w:val="00FA3EBC"/>
    <w:rsid w:val="00FA3EE9"/>
    <w:rsid w:val="00FA3F4B"/>
    <w:rsid w:val="00FA3F63"/>
    <w:rsid w:val="00FA3FB0"/>
    <w:rsid w:val="00FA3FBA"/>
    <w:rsid w:val="00FA403C"/>
    <w:rsid w:val="00FA4052"/>
    <w:rsid w:val="00FA4076"/>
    <w:rsid w:val="00FA40DE"/>
    <w:rsid w:val="00FA4118"/>
    <w:rsid w:val="00FA4125"/>
    <w:rsid w:val="00FA41A8"/>
    <w:rsid w:val="00FA41F4"/>
    <w:rsid w:val="00FA4246"/>
    <w:rsid w:val="00FA424F"/>
    <w:rsid w:val="00FA42BA"/>
    <w:rsid w:val="00FA42C7"/>
    <w:rsid w:val="00FA42C8"/>
    <w:rsid w:val="00FA42CA"/>
    <w:rsid w:val="00FA42D9"/>
    <w:rsid w:val="00FA42DE"/>
    <w:rsid w:val="00FA4313"/>
    <w:rsid w:val="00FA4352"/>
    <w:rsid w:val="00FA435D"/>
    <w:rsid w:val="00FA43B2"/>
    <w:rsid w:val="00FA43C1"/>
    <w:rsid w:val="00FA43C7"/>
    <w:rsid w:val="00FA43E7"/>
    <w:rsid w:val="00FA44A9"/>
    <w:rsid w:val="00FA457D"/>
    <w:rsid w:val="00FA45C1"/>
    <w:rsid w:val="00FA45C2"/>
    <w:rsid w:val="00FA4608"/>
    <w:rsid w:val="00FA464C"/>
    <w:rsid w:val="00FA46BD"/>
    <w:rsid w:val="00FA46C4"/>
    <w:rsid w:val="00FA46CA"/>
    <w:rsid w:val="00FA4707"/>
    <w:rsid w:val="00FA474A"/>
    <w:rsid w:val="00FA478A"/>
    <w:rsid w:val="00FA47D2"/>
    <w:rsid w:val="00FA47DC"/>
    <w:rsid w:val="00FA4807"/>
    <w:rsid w:val="00FA484F"/>
    <w:rsid w:val="00FA4865"/>
    <w:rsid w:val="00FA4880"/>
    <w:rsid w:val="00FA4890"/>
    <w:rsid w:val="00FA48AB"/>
    <w:rsid w:val="00FA48C8"/>
    <w:rsid w:val="00FA49A2"/>
    <w:rsid w:val="00FA49DD"/>
    <w:rsid w:val="00FA49E5"/>
    <w:rsid w:val="00FA49EE"/>
    <w:rsid w:val="00FA4A0C"/>
    <w:rsid w:val="00FA4A24"/>
    <w:rsid w:val="00FA4A2A"/>
    <w:rsid w:val="00FA4A6C"/>
    <w:rsid w:val="00FA4AB0"/>
    <w:rsid w:val="00FA4AD2"/>
    <w:rsid w:val="00FA4AF6"/>
    <w:rsid w:val="00FA4B54"/>
    <w:rsid w:val="00FA4B57"/>
    <w:rsid w:val="00FA4B65"/>
    <w:rsid w:val="00FA4B7A"/>
    <w:rsid w:val="00FA4B81"/>
    <w:rsid w:val="00FA4BBC"/>
    <w:rsid w:val="00FA4BC0"/>
    <w:rsid w:val="00FA4BE2"/>
    <w:rsid w:val="00FA4BEB"/>
    <w:rsid w:val="00FA4C18"/>
    <w:rsid w:val="00FA4C47"/>
    <w:rsid w:val="00FA4D2B"/>
    <w:rsid w:val="00FA4D36"/>
    <w:rsid w:val="00FA4D69"/>
    <w:rsid w:val="00FA4D6A"/>
    <w:rsid w:val="00FA4DBE"/>
    <w:rsid w:val="00FA4E07"/>
    <w:rsid w:val="00FA4E22"/>
    <w:rsid w:val="00FA4E38"/>
    <w:rsid w:val="00FA4E4A"/>
    <w:rsid w:val="00FA4EA3"/>
    <w:rsid w:val="00FA4EC8"/>
    <w:rsid w:val="00FA4EED"/>
    <w:rsid w:val="00FA4F4F"/>
    <w:rsid w:val="00FA4F8B"/>
    <w:rsid w:val="00FA4FA6"/>
    <w:rsid w:val="00FA4FAA"/>
    <w:rsid w:val="00FA5004"/>
    <w:rsid w:val="00FA500F"/>
    <w:rsid w:val="00FA5064"/>
    <w:rsid w:val="00FA506A"/>
    <w:rsid w:val="00FA5095"/>
    <w:rsid w:val="00FA5097"/>
    <w:rsid w:val="00FA50AF"/>
    <w:rsid w:val="00FA50B9"/>
    <w:rsid w:val="00FA50E1"/>
    <w:rsid w:val="00FA5108"/>
    <w:rsid w:val="00FA519D"/>
    <w:rsid w:val="00FA51B4"/>
    <w:rsid w:val="00FA5207"/>
    <w:rsid w:val="00FA523F"/>
    <w:rsid w:val="00FA5244"/>
    <w:rsid w:val="00FA52EF"/>
    <w:rsid w:val="00FA5318"/>
    <w:rsid w:val="00FA533E"/>
    <w:rsid w:val="00FA53C8"/>
    <w:rsid w:val="00FA5436"/>
    <w:rsid w:val="00FA5496"/>
    <w:rsid w:val="00FA54EA"/>
    <w:rsid w:val="00FA54ED"/>
    <w:rsid w:val="00FA5518"/>
    <w:rsid w:val="00FA5520"/>
    <w:rsid w:val="00FA552E"/>
    <w:rsid w:val="00FA554E"/>
    <w:rsid w:val="00FA5597"/>
    <w:rsid w:val="00FA55ED"/>
    <w:rsid w:val="00FA561E"/>
    <w:rsid w:val="00FA563F"/>
    <w:rsid w:val="00FA5736"/>
    <w:rsid w:val="00FA5760"/>
    <w:rsid w:val="00FA580D"/>
    <w:rsid w:val="00FA5820"/>
    <w:rsid w:val="00FA5831"/>
    <w:rsid w:val="00FA587E"/>
    <w:rsid w:val="00FA58EE"/>
    <w:rsid w:val="00FA5960"/>
    <w:rsid w:val="00FA5978"/>
    <w:rsid w:val="00FA5987"/>
    <w:rsid w:val="00FA59B6"/>
    <w:rsid w:val="00FA5A4A"/>
    <w:rsid w:val="00FA5A58"/>
    <w:rsid w:val="00FA5AA1"/>
    <w:rsid w:val="00FA5B00"/>
    <w:rsid w:val="00FA5B20"/>
    <w:rsid w:val="00FA5B29"/>
    <w:rsid w:val="00FA5B7D"/>
    <w:rsid w:val="00FA5B8F"/>
    <w:rsid w:val="00FA5BB9"/>
    <w:rsid w:val="00FA5BE3"/>
    <w:rsid w:val="00FA5BF7"/>
    <w:rsid w:val="00FA5C7D"/>
    <w:rsid w:val="00FA5C82"/>
    <w:rsid w:val="00FA5D0B"/>
    <w:rsid w:val="00FA5D0D"/>
    <w:rsid w:val="00FA5D19"/>
    <w:rsid w:val="00FA5D3A"/>
    <w:rsid w:val="00FA5D60"/>
    <w:rsid w:val="00FA5D65"/>
    <w:rsid w:val="00FA5D68"/>
    <w:rsid w:val="00FA5D97"/>
    <w:rsid w:val="00FA5DAE"/>
    <w:rsid w:val="00FA5EAD"/>
    <w:rsid w:val="00FA5F10"/>
    <w:rsid w:val="00FA5F18"/>
    <w:rsid w:val="00FA5F49"/>
    <w:rsid w:val="00FA5F6D"/>
    <w:rsid w:val="00FA5FBF"/>
    <w:rsid w:val="00FA6003"/>
    <w:rsid w:val="00FA60B0"/>
    <w:rsid w:val="00FA60C0"/>
    <w:rsid w:val="00FA60E0"/>
    <w:rsid w:val="00FA61A2"/>
    <w:rsid w:val="00FA61F2"/>
    <w:rsid w:val="00FA6220"/>
    <w:rsid w:val="00FA6242"/>
    <w:rsid w:val="00FA62A1"/>
    <w:rsid w:val="00FA62CD"/>
    <w:rsid w:val="00FA62F9"/>
    <w:rsid w:val="00FA6328"/>
    <w:rsid w:val="00FA6348"/>
    <w:rsid w:val="00FA63B1"/>
    <w:rsid w:val="00FA63C8"/>
    <w:rsid w:val="00FA63D1"/>
    <w:rsid w:val="00FA63ED"/>
    <w:rsid w:val="00FA6491"/>
    <w:rsid w:val="00FA649F"/>
    <w:rsid w:val="00FA64E7"/>
    <w:rsid w:val="00FA64EA"/>
    <w:rsid w:val="00FA6510"/>
    <w:rsid w:val="00FA65F7"/>
    <w:rsid w:val="00FA65FB"/>
    <w:rsid w:val="00FA6610"/>
    <w:rsid w:val="00FA6639"/>
    <w:rsid w:val="00FA6689"/>
    <w:rsid w:val="00FA66E8"/>
    <w:rsid w:val="00FA6727"/>
    <w:rsid w:val="00FA6781"/>
    <w:rsid w:val="00FA68B6"/>
    <w:rsid w:val="00FA698A"/>
    <w:rsid w:val="00FA699B"/>
    <w:rsid w:val="00FA69AA"/>
    <w:rsid w:val="00FA69EC"/>
    <w:rsid w:val="00FA6A79"/>
    <w:rsid w:val="00FA6A86"/>
    <w:rsid w:val="00FA6A90"/>
    <w:rsid w:val="00FA6ABD"/>
    <w:rsid w:val="00FA6AE5"/>
    <w:rsid w:val="00FA6B0A"/>
    <w:rsid w:val="00FA6B57"/>
    <w:rsid w:val="00FA6BD5"/>
    <w:rsid w:val="00FA6C07"/>
    <w:rsid w:val="00FA6C90"/>
    <w:rsid w:val="00FA6CB3"/>
    <w:rsid w:val="00FA6D44"/>
    <w:rsid w:val="00FA6D6F"/>
    <w:rsid w:val="00FA6DC5"/>
    <w:rsid w:val="00FA6DEE"/>
    <w:rsid w:val="00FA6DF7"/>
    <w:rsid w:val="00FA6E09"/>
    <w:rsid w:val="00FA6E38"/>
    <w:rsid w:val="00FA6E44"/>
    <w:rsid w:val="00FA6E78"/>
    <w:rsid w:val="00FA6EB3"/>
    <w:rsid w:val="00FA6ECA"/>
    <w:rsid w:val="00FA6FA2"/>
    <w:rsid w:val="00FA7029"/>
    <w:rsid w:val="00FA7040"/>
    <w:rsid w:val="00FA711D"/>
    <w:rsid w:val="00FA7127"/>
    <w:rsid w:val="00FA7128"/>
    <w:rsid w:val="00FA7130"/>
    <w:rsid w:val="00FA716C"/>
    <w:rsid w:val="00FA718E"/>
    <w:rsid w:val="00FA71A1"/>
    <w:rsid w:val="00FA71B2"/>
    <w:rsid w:val="00FA71D2"/>
    <w:rsid w:val="00FA7210"/>
    <w:rsid w:val="00FA7225"/>
    <w:rsid w:val="00FA729D"/>
    <w:rsid w:val="00FA72AE"/>
    <w:rsid w:val="00FA7397"/>
    <w:rsid w:val="00FA73CA"/>
    <w:rsid w:val="00FA73D0"/>
    <w:rsid w:val="00FA7404"/>
    <w:rsid w:val="00FA740D"/>
    <w:rsid w:val="00FA7416"/>
    <w:rsid w:val="00FA7468"/>
    <w:rsid w:val="00FA750E"/>
    <w:rsid w:val="00FA7520"/>
    <w:rsid w:val="00FA7646"/>
    <w:rsid w:val="00FA76F6"/>
    <w:rsid w:val="00FA774A"/>
    <w:rsid w:val="00FA7797"/>
    <w:rsid w:val="00FA77E4"/>
    <w:rsid w:val="00FA77E8"/>
    <w:rsid w:val="00FA7830"/>
    <w:rsid w:val="00FA7883"/>
    <w:rsid w:val="00FA78A0"/>
    <w:rsid w:val="00FA78B2"/>
    <w:rsid w:val="00FA792C"/>
    <w:rsid w:val="00FA7939"/>
    <w:rsid w:val="00FA7943"/>
    <w:rsid w:val="00FA797B"/>
    <w:rsid w:val="00FA798D"/>
    <w:rsid w:val="00FA79ED"/>
    <w:rsid w:val="00FA7A44"/>
    <w:rsid w:val="00FA7A92"/>
    <w:rsid w:val="00FA7AB4"/>
    <w:rsid w:val="00FA7AC0"/>
    <w:rsid w:val="00FA7AC6"/>
    <w:rsid w:val="00FA7ADF"/>
    <w:rsid w:val="00FA7B79"/>
    <w:rsid w:val="00FA7B7A"/>
    <w:rsid w:val="00FA7BD4"/>
    <w:rsid w:val="00FA7C26"/>
    <w:rsid w:val="00FA7CB3"/>
    <w:rsid w:val="00FA7D3A"/>
    <w:rsid w:val="00FA7D8F"/>
    <w:rsid w:val="00FA7D9D"/>
    <w:rsid w:val="00FA7DC9"/>
    <w:rsid w:val="00FA7DF2"/>
    <w:rsid w:val="00FA7E02"/>
    <w:rsid w:val="00FA7E98"/>
    <w:rsid w:val="00FA7EAD"/>
    <w:rsid w:val="00FA7ECF"/>
    <w:rsid w:val="00FA7F66"/>
    <w:rsid w:val="00FB004E"/>
    <w:rsid w:val="00FB00E2"/>
    <w:rsid w:val="00FB0103"/>
    <w:rsid w:val="00FB0129"/>
    <w:rsid w:val="00FB0146"/>
    <w:rsid w:val="00FB017F"/>
    <w:rsid w:val="00FB0196"/>
    <w:rsid w:val="00FB01C6"/>
    <w:rsid w:val="00FB0247"/>
    <w:rsid w:val="00FB02C7"/>
    <w:rsid w:val="00FB031C"/>
    <w:rsid w:val="00FB0321"/>
    <w:rsid w:val="00FB038C"/>
    <w:rsid w:val="00FB038D"/>
    <w:rsid w:val="00FB0395"/>
    <w:rsid w:val="00FB03AE"/>
    <w:rsid w:val="00FB03D6"/>
    <w:rsid w:val="00FB0429"/>
    <w:rsid w:val="00FB046F"/>
    <w:rsid w:val="00FB0492"/>
    <w:rsid w:val="00FB04C0"/>
    <w:rsid w:val="00FB0533"/>
    <w:rsid w:val="00FB0542"/>
    <w:rsid w:val="00FB0579"/>
    <w:rsid w:val="00FB0590"/>
    <w:rsid w:val="00FB05BF"/>
    <w:rsid w:val="00FB0643"/>
    <w:rsid w:val="00FB0689"/>
    <w:rsid w:val="00FB06B8"/>
    <w:rsid w:val="00FB06E4"/>
    <w:rsid w:val="00FB0703"/>
    <w:rsid w:val="00FB0748"/>
    <w:rsid w:val="00FB077C"/>
    <w:rsid w:val="00FB077E"/>
    <w:rsid w:val="00FB0787"/>
    <w:rsid w:val="00FB07C4"/>
    <w:rsid w:val="00FB07E3"/>
    <w:rsid w:val="00FB07FA"/>
    <w:rsid w:val="00FB0802"/>
    <w:rsid w:val="00FB0853"/>
    <w:rsid w:val="00FB089F"/>
    <w:rsid w:val="00FB08B7"/>
    <w:rsid w:val="00FB097E"/>
    <w:rsid w:val="00FB098F"/>
    <w:rsid w:val="00FB09C1"/>
    <w:rsid w:val="00FB09C3"/>
    <w:rsid w:val="00FB0A24"/>
    <w:rsid w:val="00FB0AA3"/>
    <w:rsid w:val="00FB0AB1"/>
    <w:rsid w:val="00FB0ACC"/>
    <w:rsid w:val="00FB0B1F"/>
    <w:rsid w:val="00FB0B4D"/>
    <w:rsid w:val="00FB0BB3"/>
    <w:rsid w:val="00FB0C05"/>
    <w:rsid w:val="00FB0C08"/>
    <w:rsid w:val="00FB0C54"/>
    <w:rsid w:val="00FB0C82"/>
    <w:rsid w:val="00FB0C9F"/>
    <w:rsid w:val="00FB0D04"/>
    <w:rsid w:val="00FB0D06"/>
    <w:rsid w:val="00FB0D1F"/>
    <w:rsid w:val="00FB0D94"/>
    <w:rsid w:val="00FB0DEC"/>
    <w:rsid w:val="00FB0E22"/>
    <w:rsid w:val="00FB0E54"/>
    <w:rsid w:val="00FB0EB9"/>
    <w:rsid w:val="00FB0ED8"/>
    <w:rsid w:val="00FB0F67"/>
    <w:rsid w:val="00FB1017"/>
    <w:rsid w:val="00FB1034"/>
    <w:rsid w:val="00FB1080"/>
    <w:rsid w:val="00FB10B6"/>
    <w:rsid w:val="00FB10E3"/>
    <w:rsid w:val="00FB10E8"/>
    <w:rsid w:val="00FB10EE"/>
    <w:rsid w:val="00FB1131"/>
    <w:rsid w:val="00FB1175"/>
    <w:rsid w:val="00FB1186"/>
    <w:rsid w:val="00FB1195"/>
    <w:rsid w:val="00FB11A6"/>
    <w:rsid w:val="00FB11CC"/>
    <w:rsid w:val="00FB11EF"/>
    <w:rsid w:val="00FB124A"/>
    <w:rsid w:val="00FB12BC"/>
    <w:rsid w:val="00FB12CA"/>
    <w:rsid w:val="00FB12D2"/>
    <w:rsid w:val="00FB12D7"/>
    <w:rsid w:val="00FB12E1"/>
    <w:rsid w:val="00FB12E3"/>
    <w:rsid w:val="00FB131E"/>
    <w:rsid w:val="00FB133F"/>
    <w:rsid w:val="00FB1373"/>
    <w:rsid w:val="00FB139D"/>
    <w:rsid w:val="00FB13BE"/>
    <w:rsid w:val="00FB1412"/>
    <w:rsid w:val="00FB14A0"/>
    <w:rsid w:val="00FB14AD"/>
    <w:rsid w:val="00FB14B5"/>
    <w:rsid w:val="00FB14BC"/>
    <w:rsid w:val="00FB14E5"/>
    <w:rsid w:val="00FB14EF"/>
    <w:rsid w:val="00FB14FF"/>
    <w:rsid w:val="00FB1529"/>
    <w:rsid w:val="00FB1562"/>
    <w:rsid w:val="00FB162F"/>
    <w:rsid w:val="00FB169F"/>
    <w:rsid w:val="00FB16DC"/>
    <w:rsid w:val="00FB1759"/>
    <w:rsid w:val="00FB1795"/>
    <w:rsid w:val="00FB1863"/>
    <w:rsid w:val="00FB1895"/>
    <w:rsid w:val="00FB18F8"/>
    <w:rsid w:val="00FB192A"/>
    <w:rsid w:val="00FB1933"/>
    <w:rsid w:val="00FB19D9"/>
    <w:rsid w:val="00FB1A03"/>
    <w:rsid w:val="00FB1A50"/>
    <w:rsid w:val="00FB1A8B"/>
    <w:rsid w:val="00FB1ACA"/>
    <w:rsid w:val="00FB1AED"/>
    <w:rsid w:val="00FB1AFB"/>
    <w:rsid w:val="00FB1B23"/>
    <w:rsid w:val="00FB1B45"/>
    <w:rsid w:val="00FB1B9A"/>
    <w:rsid w:val="00FB1BC0"/>
    <w:rsid w:val="00FB1BD3"/>
    <w:rsid w:val="00FB1CFA"/>
    <w:rsid w:val="00FB1D43"/>
    <w:rsid w:val="00FB1DA8"/>
    <w:rsid w:val="00FB1E47"/>
    <w:rsid w:val="00FB1EC1"/>
    <w:rsid w:val="00FB1EE7"/>
    <w:rsid w:val="00FB1F6A"/>
    <w:rsid w:val="00FB2042"/>
    <w:rsid w:val="00FB204D"/>
    <w:rsid w:val="00FB206F"/>
    <w:rsid w:val="00FB20C3"/>
    <w:rsid w:val="00FB20E6"/>
    <w:rsid w:val="00FB2128"/>
    <w:rsid w:val="00FB214A"/>
    <w:rsid w:val="00FB219B"/>
    <w:rsid w:val="00FB21CF"/>
    <w:rsid w:val="00FB21FE"/>
    <w:rsid w:val="00FB225A"/>
    <w:rsid w:val="00FB2294"/>
    <w:rsid w:val="00FB232B"/>
    <w:rsid w:val="00FB232E"/>
    <w:rsid w:val="00FB2333"/>
    <w:rsid w:val="00FB2362"/>
    <w:rsid w:val="00FB2407"/>
    <w:rsid w:val="00FB240C"/>
    <w:rsid w:val="00FB2435"/>
    <w:rsid w:val="00FB243D"/>
    <w:rsid w:val="00FB2451"/>
    <w:rsid w:val="00FB2489"/>
    <w:rsid w:val="00FB24A0"/>
    <w:rsid w:val="00FB2510"/>
    <w:rsid w:val="00FB2593"/>
    <w:rsid w:val="00FB25CD"/>
    <w:rsid w:val="00FB25DF"/>
    <w:rsid w:val="00FB25E4"/>
    <w:rsid w:val="00FB2616"/>
    <w:rsid w:val="00FB2626"/>
    <w:rsid w:val="00FB2683"/>
    <w:rsid w:val="00FB26FC"/>
    <w:rsid w:val="00FB2788"/>
    <w:rsid w:val="00FB27C9"/>
    <w:rsid w:val="00FB2818"/>
    <w:rsid w:val="00FB281B"/>
    <w:rsid w:val="00FB2832"/>
    <w:rsid w:val="00FB289E"/>
    <w:rsid w:val="00FB28BE"/>
    <w:rsid w:val="00FB28D5"/>
    <w:rsid w:val="00FB2970"/>
    <w:rsid w:val="00FB298B"/>
    <w:rsid w:val="00FB29E6"/>
    <w:rsid w:val="00FB2A15"/>
    <w:rsid w:val="00FB2A63"/>
    <w:rsid w:val="00FB2A70"/>
    <w:rsid w:val="00FB2A78"/>
    <w:rsid w:val="00FB2A9D"/>
    <w:rsid w:val="00FB2B45"/>
    <w:rsid w:val="00FB2B54"/>
    <w:rsid w:val="00FB2C3F"/>
    <w:rsid w:val="00FB2C66"/>
    <w:rsid w:val="00FB2C97"/>
    <w:rsid w:val="00FB2CFB"/>
    <w:rsid w:val="00FB2D07"/>
    <w:rsid w:val="00FB2D0A"/>
    <w:rsid w:val="00FB2D0F"/>
    <w:rsid w:val="00FB2D59"/>
    <w:rsid w:val="00FB2D69"/>
    <w:rsid w:val="00FB2D6D"/>
    <w:rsid w:val="00FB2D97"/>
    <w:rsid w:val="00FB2FFE"/>
    <w:rsid w:val="00FB3077"/>
    <w:rsid w:val="00FB309C"/>
    <w:rsid w:val="00FB30DD"/>
    <w:rsid w:val="00FB30F9"/>
    <w:rsid w:val="00FB3133"/>
    <w:rsid w:val="00FB31BA"/>
    <w:rsid w:val="00FB31C5"/>
    <w:rsid w:val="00FB31CC"/>
    <w:rsid w:val="00FB331B"/>
    <w:rsid w:val="00FB33CA"/>
    <w:rsid w:val="00FB33F4"/>
    <w:rsid w:val="00FB3406"/>
    <w:rsid w:val="00FB3423"/>
    <w:rsid w:val="00FB344F"/>
    <w:rsid w:val="00FB349F"/>
    <w:rsid w:val="00FB34AF"/>
    <w:rsid w:val="00FB34F4"/>
    <w:rsid w:val="00FB3525"/>
    <w:rsid w:val="00FB3602"/>
    <w:rsid w:val="00FB36F3"/>
    <w:rsid w:val="00FB37A9"/>
    <w:rsid w:val="00FB37CB"/>
    <w:rsid w:val="00FB3833"/>
    <w:rsid w:val="00FB39D7"/>
    <w:rsid w:val="00FB3A37"/>
    <w:rsid w:val="00FB3A5C"/>
    <w:rsid w:val="00FB3A98"/>
    <w:rsid w:val="00FB3B00"/>
    <w:rsid w:val="00FB3B08"/>
    <w:rsid w:val="00FB3B3C"/>
    <w:rsid w:val="00FB3C1F"/>
    <w:rsid w:val="00FB3C58"/>
    <w:rsid w:val="00FB3C66"/>
    <w:rsid w:val="00FB3CB8"/>
    <w:rsid w:val="00FB3CEB"/>
    <w:rsid w:val="00FB3CEE"/>
    <w:rsid w:val="00FB3D83"/>
    <w:rsid w:val="00FB3E4A"/>
    <w:rsid w:val="00FB3F09"/>
    <w:rsid w:val="00FB3F25"/>
    <w:rsid w:val="00FB3F26"/>
    <w:rsid w:val="00FB3F29"/>
    <w:rsid w:val="00FB3F43"/>
    <w:rsid w:val="00FB3F99"/>
    <w:rsid w:val="00FB3FC7"/>
    <w:rsid w:val="00FB3FCA"/>
    <w:rsid w:val="00FB3FCC"/>
    <w:rsid w:val="00FB40A0"/>
    <w:rsid w:val="00FB4165"/>
    <w:rsid w:val="00FB4183"/>
    <w:rsid w:val="00FB41B7"/>
    <w:rsid w:val="00FB41F7"/>
    <w:rsid w:val="00FB424E"/>
    <w:rsid w:val="00FB4289"/>
    <w:rsid w:val="00FB4295"/>
    <w:rsid w:val="00FB42B0"/>
    <w:rsid w:val="00FB439C"/>
    <w:rsid w:val="00FB43C2"/>
    <w:rsid w:val="00FB43EB"/>
    <w:rsid w:val="00FB43EE"/>
    <w:rsid w:val="00FB44D8"/>
    <w:rsid w:val="00FB44EA"/>
    <w:rsid w:val="00FB4599"/>
    <w:rsid w:val="00FB45BF"/>
    <w:rsid w:val="00FB460E"/>
    <w:rsid w:val="00FB4670"/>
    <w:rsid w:val="00FB4678"/>
    <w:rsid w:val="00FB4683"/>
    <w:rsid w:val="00FB469A"/>
    <w:rsid w:val="00FB46BC"/>
    <w:rsid w:val="00FB46D2"/>
    <w:rsid w:val="00FB470F"/>
    <w:rsid w:val="00FB4723"/>
    <w:rsid w:val="00FB4744"/>
    <w:rsid w:val="00FB474D"/>
    <w:rsid w:val="00FB47B7"/>
    <w:rsid w:val="00FB47EC"/>
    <w:rsid w:val="00FB4820"/>
    <w:rsid w:val="00FB4895"/>
    <w:rsid w:val="00FB48BB"/>
    <w:rsid w:val="00FB4906"/>
    <w:rsid w:val="00FB4934"/>
    <w:rsid w:val="00FB4942"/>
    <w:rsid w:val="00FB497C"/>
    <w:rsid w:val="00FB49A0"/>
    <w:rsid w:val="00FB4AB8"/>
    <w:rsid w:val="00FB4ACC"/>
    <w:rsid w:val="00FB4ACD"/>
    <w:rsid w:val="00FB4B11"/>
    <w:rsid w:val="00FB4B15"/>
    <w:rsid w:val="00FB4B1F"/>
    <w:rsid w:val="00FB4B38"/>
    <w:rsid w:val="00FB4B6D"/>
    <w:rsid w:val="00FB4BF2"/>
    <w:rsid w:val="00FB4C43"/>
    <w:rsid w:val="00FB4C68"/>
    <w:rsid w:val="00FB4CC1"/>
    <w:rsid w:val="00FB4D03"/>
    <w:rsid w:val="00FB4D21"/>
    <w:rsid w:val="00FB4D5B"/>
    <w:rsid w:val="00FB4D91"/>
    <w:rsid w:val="00FB4EB4"/>
    <w:rsid w:val="00FB4F00"/>
    <w:rsid w:val="00FB4F96"/>
    <w:rsid w:val="00FB4FD2"/>
    <w:rsid w:val="00FB5059"/>
    <w:rsid w:val="00FB50A1"/>
    <w:rsid w:val="00FB5148"/>
    <w:rsid w:val="00FB51FF"/>
    <w:rsid w:val="00FB520D"/>
    <w:rsid w:val="00FB522A"/>
    <w:rsid w:val="00FB528B"/>
    <w:rsid w:val="00FB52FB"/>
    <w:rsid w:val="00FB52FD"/>
    <w:rsid w:val="00FB5331"/>
    <w:rsid w:val="00FB5363"/>
    <w:rsid w:val="00FB53D9"/>
    <w:rsid w:val="00FB53DC"/>
    <w:rsid w:val="00FB53FB"/>
    <w:rsid w:val="00FB5425"/>
    <w:rsid w:val="00FB5456"/>
    <w:rsid w:val="00FB547E"/>
    <w:rsid w:val="00FB5485"/>
    <w:rsid w:val="00FB551C"/>
    <w:rsid w:val="00FB5557"/>
    <w:rsid w:val="00FB55B0"/>
    <w:rsid w:val="00FB5616"/>
    <w:rsid w:val="00FB5642"/>
    <w:rsid w:val="00FB5676"/>
    <w:rsid w:val="00FB5686"/>
    <w:rsid w:val="00FB569D"/>
    <w:rsid w:val="00FB56BE"/>
    <w:rsid w:val="00FB56D2"/>
    <w:rsid w:val="00FB570A"/>
    <w:rsid w:val="00FB571A"/>
    <w:rsid w:val="00FB5820"/>
    <w:rsid w:val="00FB5825"/>
    <w:rsid w:val="00FB582A"/>
    <w:rsid w:val="00FB582B"/>
    <w:rsid w:val="00FB58C4"/>
    <w:rsid w:val="00FB5928"/>
    <w:rsid w:val="00FB592F"/>
    <w:rsid w:val="00FB596F"/>
    <w:rsid w:val="00FB59C8"/>
    <w:rsid w:val="00FB5AD6"/>
    <w:rsid w:val="00FB5ADC"/>
    <w:rsid w:val="00FB5B81"/>
    <w:rsid w:val="00FB5B95"/>
    <w:rsid w:val="00FB5B9C"/>
    <w:rsid w:val="00FB5BDD"/>
    <w:rsid w:val="00FB5BF4"/>
    <w:rsid w:val="00FB5C12"/>
    <w:rsid w:val="00FB5C92"/>
    <w:rsid w:val="00FB5CD5"/>
    <w:rsid w:val="00FB5D80"/>
    <w:rsid w:val="00FB5D9D"/>
    <w:rsid w:val="00FB5DB3"/>
    <w:rsid w:val="00FB5EE9"/>
    <w:rsid w:val="00FB5F76"/>
    <w:rsid w:val="00FB5F87"/>
    <w:rsid w:val="00FB5FC9"/>
    <w:rsid w:val="00FB6030"/>
    <w:rsid w:val="00FB6077"/>
    <w:rsid w:val="00FB60AC"/>
    <w:rsid w:val="00FB60DF"/>
    <w:rsid w:val="00FB6115"/>
    <w:rsid w:val="00FB6126"/>
    <w:rsid w:val="00FB61E7"/>
    <w:rsid w:val="00FB62F9"/>
    <w:rsid w:val="00FB6306"/>
    <w:rsid w:val="00FB6308"/>
    <w:rsid w:val="00FB630D"/>
    <w:rsid w:val="00FB6312"/>
    <w:rsid w:val="00FB6363"/>
    <w:rsid w:val="00FB6404"/>
    <w:rsid w:val="00FB6408"/>
    <w:rsid w:val="00FB6426"/>
    <w:rsid w:val="00FB647A"/>
    <w:rsid w:val="00FB64C3"/>
    <w:rsid w:val="00FB64E2"/>
    <w:rsid w:val="00FB64F3"/>
    <w:rsid w:val="00FB655B"/>
    <w:rsid w:val="00FB6594"/>
    <w:rsid w:val="00FB65BD"/>
    <w:rsid w:val="00FB662A"/>
    <w:rsid w:val="00FB6643"/>
    <w:rsid w:val="00FB66B1"/>
    <w:rsid w:val="00FB66CF"/>
    <w:rsid w:val="00FB6763"/>
    <w:rsid w:val="00FB68D1"/>
    <w:rsid w:val="00FB6910"/>
    <w:rsid w:val="00FB6946"/>
    <w:rsid w:val="00FB69AD"/>
    <w:rsid w:val="00FB69AF"/>
    <w:rsid w:val="00FB69CF"/>
    <w:rsid w:val="00FB69DC"/>
    <w:rsid w:val="00FB69DD"/>
    <w:rsid w:val="00FB6A15"/>
    <w:rsid w:val="00FB6A6C"/>
    <w:rsid w:val="00FB6A91"/>
    <w:rsid w:val="00FB6ADD"/>
    <w:rsid w:val="00FB6B16"/>
    <w:rsid w:val="00FB6B23"/>
    <w:rsid w:val="00FB6B79"/>
    <w:rsid w:val="00FB6C17"/>
    <w:rsid w:val="00FB6C4E"/>
    <w:rsid w:val="00FB6C5D"/>
    <w:rsid w:val="00FB6C80"/>
    <w:rsid w:val="00FB6C8E"/>
    <w:rsid w:val="00FB6CF1"/>
    <w:rsid w:val="00FB6CFB"/>
    <w:rsid w:val="00FB6D52"/>
    <w:rsid w:val="00FB6D79"/>
    <w:rsid w:val="00FB6D81"/>
    <w:rsid w:val="00FB6DED"/>
    <w:rsid w:val="00FB6E09"/>
    <w:rsid w:val="00FB6E49"/>
    <w:rsid w:val="00FB6E98"/>
    <w:rsid w:val="00FB6EA9"/>
    <w:rsid w:val="00FB6EAB"/>
    <w:rsid w:val="00FB6F5F"/>
    <w:rsid w:val="00FB6F6C"/>
    <w:rsid w:val="00FB6FCF"/>
    <w:rsid w:val="00FB6FF8"/>
    <w:rsid w:val="00FB700C"/>
    <w:rsid w:val="00FB703C"/>
    <w:rsid w:val="00FB70AC"/>
    <w:rsid w:val="00FB7141"/>
    <w:rsid w:val="00FB715B"/>
    <w:rsid w:val="00FB71E6"/>
    <w:rsid w:val="00FB7247"/>
    <w:rsid w:val="00FB7267"/>
    <w:rsid w:val="00FB7379"/>
    <w:rsid w:val="00FB738A"/>
    <w:rsid w:val="00FB746B"/>
    <w:rsid w:val="00FB7493"/>
    <w:rsid w:val="00FB74A5"/>
    <w:rsid w:val="00FB74B8"/>
    <w:rsid w:val="00FB752B"/>
    <w:rsid w:val="00FB7571"/>
    <w:rsid w:val="00FB7575"/>
    <w:rsid w:val="00FB7583"/>
    <w:rsid w:val="00FB75B5"/>
    <w:rsid w:val="00FB7615"/>
    <w:rsid w:val="00FB762A"/>
    <w:rsid w:val="00FB762B"/>
    <w:rsid w:val="00FB7643"/>
    <w:rsid w:val="00FB76EE"/>
    <w:rsid w:val="00FB777D"/>
    <w:rsid w:val="00FB7793"/>
    <w:rsid w:val="00FB779D"/>
    <w:rsid w:val="00FB77A5"/>
    <w:rsid w:val="00FB77C3"/>
    <w:rsid w:val="00FB77D8"/>
    <w:rsid w:val="00FB77F9"/>
    <w:rsid w:val="00FB785F"/>
    <w:rsid w:val="00FB7874"/>
    <w:rsid w:val="00FB787F"/>
    <w:rsid w:val="00FB78DB"/>
    <w:rsid w:val="00FB78E8"/>
    <w:rsid w:val="00FB7950"/>
    <w:rsid w:val="00FB798A"/>
    <w:rsid w:val="00FB7A31"/>
    <w:rsid w:val="00FB7A6A"/>
    <w:rsid w:val="00FB7B48"/>
    <w:rsid w:val="00FB7C56"/>
    <w:rsid w:val="00FB7C79"/>
    <w:rsid w:val="00FB7C7B"/>
    <w:rsid w:val="00FB7CE7"/>
    <w:rsid w:val="00FB7CF6"/>
    <w:rsid w:val="00FB7DA5"/>
    <w:rsid w:val="00FB7DAD"/>
    <w:rsid w:val="00FB7DD0"/>
    <w:rsid w:val="00FB7DD5"/>
    <w:rsid w:val="00FB7E26"/>
    <w:rsid w:val="00FB7E96"/>
    <w:rsid w:val="00FB7EA2"/>
    <w:rsid w:val="00FB7EE7"/>
    <w:rsid w:val="00FB7EFD"/>
    <w:rsid w:val="00FB7F22"/>
    <w:rsid w:val="00FB7F61"/>
    <w:rsid w:val="00FB7F65"/>
    <w:rsid w:val="00FB7F7B"/>
    <w:rsid w:val="00FB7F8A"/>
    <w:rsid w:val="00FB7FAA"/>
    <w:rsid w:val="00FB7FCA"/>
    <w:rsid w:val="00FB7FD0"/>
    <w:rsid w:val="00FB7FD4"/>
    <w:rsid w:val="00FC0001"/>
    <w:rsid w:val="00FC0029"/>
    <w:rsid w:val="00FC006A"/>
    <w:rsid w:val="00FC0073"/>
    <w:rsid w:val="00FC0124"/>
    <w:rsid w:val="00FC0166"/>
    <w:rsid w:val="00FC0207"/>
    <w:rsid w:val="00FC026A"/>
    <w:rsid w:val="00FC02AE"/>
    <w:rsid w:val="00FC0304"/>
    <w:rsid w:val="00FC0305"/>
    <w:rsid w:val="00FC034D"/>
    <w:rsid w:val="00FC0371"/>
    <w:rsid w:val="00FC03D5"/>
    <w:rsid w:val="00FC03F2"/>
    <w:rsid w:val="00FC0430"/>
    <w:rsid w:val="00FC0438"/>
    <w:rsid w:val="00FC0489"/>
    <w:rsid w:val="00FC04A7"/>
    <w:rsid w:val="00FC052C"/>
    <w:rsid w:val="00FC056E"/>
    <w:rsid w:val="00FC05B2"/>
    <w:rsid w:val="00FC05E7"/>
    <w:rsid w:val="00FC0601"/>
    <w:rsid w:val="00FC0623"/>
    <w:rsid w:val="00FC063B"/>
    <w:rsid w:val="00FC063D"/>
    <w:rsid w:val="00FC0677"/>
    <w:rsid w:val="00FC0788"/>
    <w:rsid w:val="00FC07C3"/>
    <w:rsid w:val="00FC07FC"/>
    <w:rsid w:val="00FC0808"/>
    <w:rsid w:val="00FC0836"/>
    <w:rsid w:val="00FC0847"/>
    <w:rsid w:val="00FC0893"/>
    <w:rsid w:val="00FC08C4"/>
    <w:rsid w:val="00FC08EC"/>
    <w:rsid w:val="00FC091A"/>
    <w:rsid w:val="00FC0927"/>
    <w:rsid w:val="00FC0941"/>
    <w:rsid w:val="00FC09D3"/>
    <w:rsid w:val="00FC09D8"/>
    <w:rsid w:val="00FC0A57"/>
    <w:rsid w:val="00FC0A5B"/>
    <w:rsid w:val="00FC0AA3"/>
    <w:rsid w:val="00FC0AD2"/>
    <w:rsid w:val="00FC0AD9"/>
    <w:rsid w:val="00FC0B16"/>
    <w:rsid w:val="00FC0B22"/>
    <w:rsid w:val="00FC0BDD"/>
    <w:rsid w:val="00FC0BEE"/>
    <w:rsid w:val="00FC0C0C"/>
    <w:rsid w:val="00FC0C49"/>
    <w:rsid w:val="00FC0C8E"/>
    <w:rsid w:val="00FC0C9C"/>
    <w:rsid w:val="00FC0CA0"/>
    <w:rsid w:val="00FC0CA1"/>
    <w:rsid w:val="00FC0CD2"/>
    <w:rsid w:val="00FC0D5D"/>
    <w:rsid w:val="00FC0DB8"/>
    <w:rsid w:val="00FC0E2C"/>
    <w:rsid w:val="00FC0E4D"/>
    <w:rsid w:val="00FC0E7B"/>
    <w:rsid w:val="00FC0E9F"/>
    <w:rsid w:val="00FC0ECA"/>
    <w:rsid w:val="00FC0ECF"/>
    <w:rsid w:val="00FC0F12"/>
    <w:rsid w:val="00FC0F27"/>
    <w:rsid w:val="00FC0FDE"/>
    <w:rsid w:val="00FC101B"/>
    <w:rsid w:val="00FC1024"/>
    <w:rsid w:val="00FC103D"/>
    <w:rsid w:val="00FC10D8"/>
    <w:rsid w:val="00FC1102"/>
    <w:rsid w:val="00FC110F"/>
    <w:rsid w:val="00FC1125"/>
    <w:rsid w:val="00FC1134"/>
    <w:rsid w:val="00FC1152"/>
    <w:rsid w:val="00FC11EB"/>
    <w:rsid w:val="00FC12E3"/>
    <w:rsid w:val="00FC12EC"/>
    <w:rsid w:val="00FC1308"/>
    <w:rsid w:val="00FC1323"/>
    <w:rsid w:val="00FC1344"/>
    <w:rsid w:val="00FC1361"/>
    <w:rsid w:val="00FC1385"/>
    <w:rsid w:val="00FC13DE"/>
    <w:rsid w:val="00FC1403"/>
    <w:rsid w:val="00FC140C"/>
    <w:rsid w:val="00FC1423"/>
    <w:rsid w:val="00FC1443"/>
    <w:rsid w:val="00FC1467"/>
    <w:rsid w:val="00FC14F1"/>
    <w:rsid w:val="00FC1574"/>
    <w:rsid w:val="00FC1621"/>
    <w:rsid w:val="00FC1652"/>
    <w:rsid w:val="00FC1665"/>
    <w:rsid w:val="00FC1702"/>
    <w:rsid w:val="00FC1721"/>
    <w:rsid w:val="00FC1781"/>
    <w:rsid w:val="00FC1788"/>
    <w:rsid w:val="00FC17D0"/>
    <w:rsid w:val="00FC185C"/>
    <w:rsid w:val="00FC18B1"/>
    <w:rsid w:val="00FC18CA"/>
    <w:rsid w:val="00FC18DB"/>
    <w:rsid w:val="00FC1919"/>
    <w:rsid w:val="00FC1962"/>
    <w:rsid w:val="00FC19D3"/>
    <w:rsid w:val="00FC1A50"/>
    <w:rsid w:val="00FC1A8F"/>
    <w:rsid w:val="00FC1A99"/>
    <w:rsid w:val="00FC1AAF"/>
    <w:rsid w:val="00FC1B9F"/>
    <w:rsid w:val="00FC1BCB"/>
    <w:rsid w:val="00FC1C01"/>
    <w:rsid w:val="00FC1C61"/>
    <w:rsid w:val="00FC1C84"/>
    <w:rsid w:val="00FC1CD2"/>
    <w:rsid w:val="00FC1D8D"/>
    <w:rsid w:val="00FC1DAA"/>
    <w:rsid w:val="00FC1DC3"/>
    <w:rsid w:val="00FC1DDA"/>
    <w:rsid w:val="00FC1DF2"/>
    <w:rsid w:val="00FC1E11"/>
    <w:rsid w:val="00FC1EE1"/>
    <w:rsid w:val="00FC1EFD"/>
    <w:rsid w:val="00FC1F7F"/>
    <w:rsid w:val="00FC1FA1"/>
    <w:rsid w:val="00FC1FD9"/>
    <w:rsid w:val="00FC1FE3"/>
    <w:rsid w:val="00FC1FF0"/>
    <w:rsid w:val="00FC2031"/>
    <w:rsid w:val="00FC2062"/>
    <w:rsid w:val="00FC20AF"/>
    <w:rsid w:val="00FC20DD"/>
    <w:rsid w:val="00FC20DF"/>
    <w:rsid w:val="00FC215D"/>
    <w:rsid w:val="00FC21DD"/>
    <w:rsid w:val="00FC221B"/>
    <w:rsid w:val="00FC224C"/>
    <w:rsid w:val="00FC2307"/>
    <w:rsid w:val="00FC2357"/>
    <w:rsid w:val="00FC23DE"/>
    <w:rsid w:val="00FC23F3"/>
    <w:rsid w:val="00FC2406"/>
    <w:rsid w:val="00FC2514"/>
    <w:rsid w:val="00FC255F"/>
    <w:rsid w:val="00FC2574"/>
    <w:rsid w:val="00FC2657"/>
    <w:rsid w:val="00FC2688"/>
    <w:rsid w:val="00FC2691"/>
    <w:rsid w:val="00FC2711"/>
    <w:rsid w:val="00FC2722"/>
    <w:rsid w:val="00FC2758"/>
    <w:rsid w:val="00FC27E6"/>
    <w:rsid w:val="00FC280B"/>
    <w:rsid w:val="00FC283E"/>
    <w:rsid w:val="00FC284B"/>
    <w:rsid w:val="00FC285F"/>
    <w:rsid w:val="00FC2894"/>
    <w:rsid w:val="00FC289F"/>
    <w:rsid w:val="00FC28D0"/>
    <w:rsid w:val="00FC28FE"/>
    <w:rsid w:val="00FC2931"/>
    <w:rsid w:val="00FC296F"/>
    <w:rsid w:val="00FC2A24"/>
    <w:rsid w:val="00FC2AAB"/>
    <w:rsid w:val="00FC2AB2"/>
    <w:rsid w:val="00FC2B33"/>
    <w:rsid w:val="00FC2B35"/>
    <w:rsid w:val="00FC2B69"/>
    <w:rsid w:val="00FC2BAC"/>
    <w:rsid w:val="00FC2BEA"/>
    <w:rsid w:val="00FC2C0D"/>
    <w:rsid w:val="00FC2C65"/>
    <w:rsid w:val="00FC2C79"/>
    <w:rsid w:val="00FC2D0E"/>
    <w:rsid w:val="00FC2D10"/>
    <w:rsid w:val="00FC2D17"/>
    <w:rsid w:val="00FC2D37"/>
    <w:rsid w:val="00FC2DAA"/>
    <w:rsid w:val="00FC2ED8"/>
    <w:rsid w:val="00FC2F06"/>
    <w:rsid w:val="00FC2F10"/>
    <w:rsid w:val="00FC2F33"/>
    <w:rsid w:val="00FC2F77"/>
    <w:rsid w:val="00FC2FA6"/>
    <w:rsid w:val="00FC3028"/>
    <w:rsid w:val="00FC3090"/>
    <w:rsid w:val="00FC30A3"/>
    <w:rsid w:val="00FC3164"/>
    <w:rsid w:val="00FC3240"/>
    <w:rsid w:val="00FC32C6"/>
    <w:rsid w:val="00FC330B"/>
    <w:rsid w:val="00FC3347"/>
    <w:rsid w:val="00FC338C"/>
    <w:rsid w:val="00FC3392"/>
    <w:rsid w:val="00FC33E4"/>
    <w:rsid w:val="00FC33F4"/>
    <w:rsid w:val="00FC3446"/>
    <w:rsid w:val="00FC349F"/>
    <w:rsid w:val="00FC3529"/>
    <w:rsid w:val="00FC353B"/>
    <w:rsid w:val="00FC354E"/>
    <w:rsid w:val="00FC35C4"/>
    <w:rsid w:val="00FC3624"/>
    <w:rsid w:val="00FC365D"/>
    <w:rsid w:val="00FC36B7"/>
    <w:rsid w:val="00FC36B8"/>
    <w:rsid w:val="00FC36DE"/>
    <w:rsid w:val="00FC36FE"/>
    <w:rsid w:val="00FC3798"/>
    <w:rsid w:val="00FC3833"/>
    <w:rsid w:val="00FC3840"/>
    <w:rsid w:val="00FC387C"/>
    <w:rsid w:val="00FC38BE"/>
    <w:rsid w:val="00FC39E6"/>
    <w:rsid w:val="00FC3C5B"/>
    <w:rsid w:val="00FC3C60"/>
    <w:rsid w:val="00FC3C6A"/>
    <w:rsid w:val="00FC3C82"/>
    <w:rsid w:val="00FC3C89"/>
    <w:rsid w:val="00FC3D33"/>
    <w:rsid w:val="00FC3DD3"/>
    <w:rsid w:val="00FC3EDC"/>
    <w:rsid w:val="00FC3F06"/>
    <w:rsid w:val="00FC3F45"/>
    <w:rsid w:val="00FC3FCF"/>
    <w:rsid w:val="00FC3FFE"/>
    <w:rsid w:val="00FC4011"/>
    <w:rsid w:val="00FC4026"/>
    <w:rsid w:val="00FC40CE"/>
    <w:rsid w:val="00FC40EF"/>
    <w:rsid w:val="00FC416A"/>
    <w:rsid w:val="00FC4226"/>
    <w:rsid w:val="00FC4227"/>
    <w:rsid w:val="00FC4281"/>
    <w:rsid w:val="00FC4315"/>
    <w:rsid w:val="00FC4333"/>
    <w:rsid w:val="00FC43DF"/>
    <w:rsid w:val="00FC4403"/>
    <w:rsid w:val="00FC4522"/>
    <w:rsid w:val="00FC458A"/>
    <w:rsid w:val="00FC45D0"/>
    <w:rsid w:val="00FC45DD"/>
    <w:rsid w:val="00FC469B"/>
    <w:rsid w:val="00FC46E2"/>
    <w:rsid w:val="00FC4733"/>
    <w:rsid w:val="00FC4752"/>
    <w:rsid w:val="00FC4792"/>
    <w:rsid w:val="00FC479E"/>
    <w:rsid w:val="00FC4806"/>
    <w:rsid w:val="00FC4814"/>
    <w:rsid w:val="00FC48AF"/>
    <w:rsid w:val="00FC4911"/>
    <w:rsid w:val="00FC4920"/>
    <w:rsid w:val="00FC49C2"/>
    <w:rsid w:val="00FC49E3"/>
    <w:rsid w:val="00FC4A75"/>
    <w:rsid w:val="00FC4AAD"/>
    <w:rsid w:val="00FC4B1F"/>
    <w:rsid w:val="00FC4B52"/>
    <w:rsid w:val="00FC4BB9"/>
    <w:rsid w:val="00FC4BD2"/>
    <w:rsid w:val="00FC4C02"/>
    <w:rsid w:val="00FC4C29"/>
    <w:rsid w:val="00FC4C44"/>
    <w:rsid w:val="00FC4C95"/>
    <w:rsid w:val="00FC4C98"/>
    <w:rsid w:val="00FC4D38"/>
    <w:rsid w:val="00FC4D4E"/>
    <w:rsid w:val="00FC4DA4"/>
    <w:rsid w:val="00FC4DF7"/>
    <w:rsid w:val="00FC4E3F"/>
    <w:rsid w:val="00FC4E78"/>
    <w:rsid w:val="00FC4ED0"/>
    <w:rsid w:val="00FC4F27"/>
    <w:rsid w:val="00FC4F94"/>
    <w:rsid w:val="00FC4FB4"/>
    <w:rsid w:val="00FC4FBC"/>
    <w:rsid w:val="00FC4FCC"/>
    <w:rsid w:val="00FC4FDA"/>
    <w:rsid w:val="00FC5021"/>
    <w:rsid w:val="00FC509C"/>
    <w:rsid w:val="00FC50A3"/>
    <w:rsid w:val="00FC50C3"/>
    <w:rsid w:val="00FC5105"/>
    <w:rsid w:val="00FC5126"/>
    <w:rsid w:val="00FC5166"/>
    <w:rsid w:val="00FC5276"/>
    <w:rsid w:val="00FC52D6"/>
    <w:rsid w:val="00FC53D7"/>
    <w:rsid w:val="00FC53F8"/>
    <w:rsid w:val="00FC5469"/>
    <w:rsid w:val="00FC5480"/>
    <w:rsid w:val="00FC549B"/>
    <w:rsid w:val="00FC5513"/>
    <w:rsid w:val="00FC55A6"/>
    <w:rsid w:val="00FC55DE"/>
    <w:rsid w:val="00FC5632"/>
    <w:rsid w:val="00FC5794"/>
    <w:rsid w:val="00FC57B7"/>
    <w:rsid w:val="00FC57E3"/>
    <w:rsid w:val="00FC5806"/>
    <w:rsid w:val="00FC5828"/>
    <w:rsid w:val="00FC5865"/>
    <w:rsid w:val="00FC5877"/>
    <w:rsid w:val="00FC5898"/>
    <w:rsid w:val="00FC58BD"/>
    <w:rsid w:val="00FC5918"/>
    <w:rsid w:val="00FC591D"/>
    <w:rsid w:val="00FC5984"/>
    <w:rsid w:val="00FC599C"/>
    <w:rsid w:val="00FC5A04"/>
    <w:rsid w:val="00FC5A53"/>
    <w:rsid w:val="00FC5BB1"/>
    <w:rsid w:val="00FC5BDD"/>
    <w:rsid w:val="00FC5BE2"/>
    <w:rsid w:val="00FC5BE4"/>
    <w:rsid w:val="00FC5CDE"/>
    <w:rsid w:val="00FC5CEB"/>
    <w:rsid w:val="00FC5D57"/>
    <w:rsid w:val="00FC5D67"/>
    <w:rsid w:val="00FC5DBB"/>
    <w:rsid w:val="00FC5DE0"/>
    <w:rsid w:val="00FC5DE8"/>
    <w:rsid w:val="00FC5E45"/>
    <w:rsid w:val="00FC5E69"/>
    <w:rsid w:val="00FC5F33"/>
    <w:rsid w:val="00FC5F41"/>
    <w:rsid w:val="00FC5F4D"/>
    <w:rsid w:val="00FC5F88"/>
    <w:rsid w:val="00FC5FC1"/>
    <w:rsid w:val="00FC5FCE"/>
    <w:rsid w:val="00FC602E"/>
    <w:rsid w:val="00FC6076"/>
    <w:rsid w:val="00FC6083"/>
    <w:rsid w:val="00FC60FA"/>
    <w:rsid w:val="00FC6133"/>
    <w:rsid w:val="00FC614F"/>
    <w:rsid w:val="00FC6158"/>
    <w:rsid w:val="00FC61A0"/>
    <w:rsid w:val="00FC61B9"/>
    <w:rsid w:val="00FC61F8"/>
    <w:rsid w:val="00FC6200"/>
    <w:rsid w:val="00FC6212"/>
    <w:rsid w:val="00FC621E"/>
    <w:rsid w:val="00FC6263"/>
    <w:rsid w:val="00FC626F"/>
    <w:rsid w:val="00FC62DB"/>
    <w:rsid w:val="00FC631D"/>
    <w:rsid w:val="00FC6326"/>
    <w:rsid w:val="00FC63DE"/>
    <w:rsid w:val="00FC63EF"/>
    <w:rsid w:val="00FC63FD"/>
    <w:rsid w:val="00FC642B"/>
    <w:rsid w:val="00FC64B4"/>
    <w:rsid w:val="00FC64E9"/>
    <w:rsid w:val="00FC653A"/>
    <w:rsid w:val="00FC660D"/>
    <w:rsid w:val="00FC664C"/>
    <w:rsid w:val="00FC6685"/>
    <w:rsid w:val="00FC672A"/>
    <w:rsid w:val="00FC6742"/>
    <w:rsid w:val="00FC674F"/>
    <w:rsid w:val="00FC6758"/>
    <w:rsid w:val="00FC67CD"/>
    <w:rsid w:val="00FC6809"/>
    <w:rsid w:val="00FC6842"/>
    <w:rsid w:val="00FC6868"/>
    <w:rsid w:val="00FC6876"/>
    <w:rsid w:val="00FC68CC"/>
    <w:rsid w:val="00FC697C"/>
    <w:rsid w:val="00FC69CA"/>
    <w:rsid w:val="00FC6A3C"/>
    <w:rsid w:val="00FC6A98"/>
    <w:rsid w:val="00FC6AD0"/>
    <w:rsid w:val="00FC6ADA"/>
    <w:rsid w:val="00FC6AE1"/>
    <w:rsid w:val="00FC6AEB"/>
    <w:rsid w:val="00FC6B02"/>
    <w:rsid w:val="00FC6B0E"/>
    <w:rsid w:val="00FC6B62"/>
    <w:rsid w:val="00FC6B6E"/>
    <w:rsid w:val="00FC6BA1"/>
    <w:rsid w:val="00FC6C34"/>
    <w:rsid w:val="00FC6C36"/>
    <w:rsid w:val="00FC6C77"/>
    <w:rsid w:val="00FC6C78"/>
    <w:rsid w:val="00FC6CB7"/>
    <w:rsid w:val="00FC6CEF"/>
    <w:rsid w:val="00FC6D1E"/>
    <w:rsid w:val="00FC6D7A"/>
    <w:rsid w:val="00FC6D83"/>
    <w:rsid w:val="00FC6DFB"/>
    <w:rsid w:val="00FC6E2C"/>
    <w:rsid w:val="00FC6E79"/>
    <w:rsid w:val="00FC6EE1"/>
    <w:rsid w:val="00FC6F73"/>
    <w:rsid w:val="00FC6FC8"/>
    <w:rsid w:val="00FC7093"/>
    <w:rsid w:val="00FC70A2"/>
    <w:rsid w:val="00FC70EB"/>
    <w:rsid w:val="00FC7184"/>
    <w:rsid w:val="00FC720F"/>
    <w:rsid w:val="00FC721E"/>
    <w:rsid w:val="00FC7247"/>
    <w:rsid w:val="00FC7250"/>
    <w:rsid w:val="00FC7256"/>
    <w:rsid w:val="00FC7267"/>
    <w:rsid w:val="00FC72EA"/>
    <w:rsid w:val="00FC72FA"/>
    <w:rsid w:val="00FC732E"/>
    <w:rsid w:val="00FC7345"/>
    <w:rsid w:val="00FC734C"/>
    <w:rsid w:val="00FC73BF"/>
    <w:rsid w:val="00FC73C0"/>
    <w:rsid w:val="00FC73CB"/>
    <w:rsid w:val="00FC73E8"/>
    <w:rsid w:val="00FC740C"/>
    <w:rsid w:val="00FC7436"/>
    <w:rsid w:val="00FC7467"/>
    <w:rsid w:val="00FC748E"/>
    <w:rsid w:val="00FC7496"/>
    <w:rsid w:val="00FC7559"/>
    <w:rsid w:val="00FC75A5"/>
    <w:rsid w:val="00FC7635"/>
    <w:rsid w:val="00FC765A"/>
    <w:rsid w:val="00FC7662"/>
    <w:rsid w:val="00FC7679"/>
    <w:rsid w:val="00FC7691"/>
    <w:rsid w:val="00FC76E7"/>
    <w:rsid w:val="00FC7715"/>
    <w:rsid w:val="00FC771C"/>
    <w:rsid w:val="00FC773B"/>
    <w:rsid w:val="00FC7786"/>
    <w:rsid w:val="00FC77A4"/>
    <w:rsid w:val="00FC77D8"/>
    <w:rsid w:val="00FC77E9"/>
    <w:rsid w:val="00FC7819"/>
    <w:rsid w:val="00FC78A0"/>
    <w:rsid w:val="00FC78D6"/>
    <w:rsid w:val="00FC7949"/>
    <w:rsid w:val="00FC794B"/>
    <w:rsid w:val="00FC79A4"/>
    <w:rsid w:val="00FC7A87"/>
    <w:rsid w:val="00FC7B6C"/>
    <w:rsid w:val="00FC7C55"/>
    <w:rsid w:val="00FC7D2C"/>
    <w:rsid w:val="00FC7D4B"/>
    <w:rsid w:val="00FC7D52"/>
    <w:rsid w:val="00FC7D94"/>
    <w:rsid w:val="00FC7DA5"/>
    <w:rsid w:val="00FC7E3C"/>
    <w:rsid w:val="00FC7E3D"/>
    <w:rsid w:val="00FC7E80"/>
    <w:rsid w:val="00FC7E87"/>
    <w:rsid w:val="00FC7F1F"/>
    <w:rsid w:val="00FC7F40"/>
    <w:rsid w:val="00FD003C"/>
    <w:rsid w:val="00FD005C"/>
    <w:rsid w:val="00FD0060"/>
    <w:rsid w:val="00FD00F4"/>
    <w:rsid w:val="00FD0108"/>
    <w:rsid w:val="00FD01BF"/>
    <w:rsid w:val="00FD01EB"/>
    <w:rsid w:val="00FD01FF"/>
    <w:rsid w:val="00FD02AE"/>
    <w:rsid w:val="00FD02CC"/>
    <w:rsid w:val="00FD02EB"/>
    <w:rsid w:val="00FD03AA"/>
    <w:rsid w:val="00FD0414"/>
    <w:rsid w:val="00FD044C"/>
    <w:rsid w:val="00FD0489"/>
    <w:rsid w:val="00FD04B5"/>
    <w:rsid w:val="00FD04EC"/>
    <w:rsid w:val="00FD052F"/>
    <w:rsid w:val="00FD0580"/>
    <w:rsid w:val="00FD05E1"/>
    <w:rsid w:val="00FD05FE"/>
    <w:rsid w:val="00FD062A"/>
    <w:rsid w:val="00FD06AD"/>
    <w:rsid w:val="00FD0736"/>
    <w:rsid w:val="00FD0739"/>
    <w:rsid w:val="00FD0740"/>
    <w:rsid w:val="00FD078F"/>
    <w:rsid w:val="00FD079F"/>
    <w:rsid w:val="00FD08E2"/>
    <w:rsid w:val="00FD0A55"/>
    <w:rsid w:val="00FD0A78"/>
    <w:rsid w:val="00FD0C60"/>
    <w:rsid w:val="00FD0D72"/>
    <w:rsid w:val="00FD0D75"/>
    <w:rsid w:val="00FD0D83"/>
    <w:rsid w:val="00FD0E01"/>
    <w:rsid w:val="00FD0E33"/>
    <w:rsid w:val="00FD0E88"/>
    <w:rsid w:val="00FD0EAD"/>
    <w:rsid w:val="00FD0EC2"/>
    <w:rsid w:val="00FD0F6C"/>
    <w:rsid w:val="00FD0F6E"/>
    <w:rsid w:val="00FD0FC1"/>
    <w:rsid w:val="00FD100E"/>
    <w:rsid w:val="00FD1059"/>
    <w:rsid w:val="00FD10A7"/>
    <w:rsid w:val="00FD10BB"/>
    <w:rsid w:val="00FD10D6"/>
    <w:rsid w:val="00FD111F"/>
    <w:rsid w:val="00FD113A"/>
    <w:rsid w:val="00FD113E"/>
    <w:rsid w:val="00FD1149"/>
    <w:rsid w:val="00FD11B8"/>
    <w:rsid w:val="00FD11E0"/>
    <w:rsid w:val="00FD1213"/>
    <w:rsid w:val="00FD122C"/>
    <w:rsid w:val="00FD1249"/>
    <w:rsid w:val="00FD132E"/>
    <w:rsid w:val="00FD1346"/>
    <w:rsid w:val="00FD13D6"/>
    <w:rsid w:val="00FD13E3"/>
    <w:rsid w:val="00FD1407"/>
    <w:rsid w:val="00FD142F"/>
    <w:rsid w:val="00FD1479"/>
    <w:rsid w:val="00FD147F"/>
    <w:rsid w:val="00FD152E"/>
    <w:rsid w:val="00FD155B"/>
    <w:rsid w:val="00FD1619"/>
    <w:rsid w:val="00FD1626"/>
    <w:rsid w:val="00FD162A"/>
    <w:rsid w:val="00FD1681"/>
    <w:rsid w:val="00FD1682"/>
    <w:rsid w:val="00FD16A3"/>
    <w:rsid w:val="00FD16CF"/>
    <w:rsid w:val="00FD16EB"/>
    <w:rsid w:val="00FD1714"/>
    <w:rsid w:val="00FD180D"/>
    <w:rsid w:val="00FD1824"/>
    <w:rsid w:val="00FD182B"/>
    <w:rsid w:val="00FD1868"/>
    <w:rsid w:val="00FD18FC"/>
    <w:rsid w:val="00FD1904"/>
    <w:rsid w:val="00FD191B"/>
    <w:rsid w:val="00FD1939"/>
    <w:rsid w:val="00FD197F"/>
    <w:rsid w:val="00FD19D7"/>
    <w:rsid w:val="00FD19F7"/>
    <w:rsid w:val="00FD1A28"/>
    <w:rsid w:val="00FD1A75"/>
    <w:rsid w:val="00FD1A82"/>
    <w:rsid w:val="00FD1AA3"/>
    <w:rsid w:val="00FD1ABB"/>
    <w:rsid w:val="00FD1AD8"/>
    <w:rsid w:val="00FD1B25"/>
    <w:rsid w:val="00FD1B7A"/>
    <w:rsid w:val="00FD1C1B"/>
    <w:rsid w:val="00FD1CC2"/>
    <w:rsid w:val="00FD1D25"/>
    <w:rsid w:val="00FD1D82"/>
    <w:rsid w:val="00FD1DEE"/>
    <w:rsid w:val="00FD1E1C"/>
    <w:rsid w:val="00FD1E46"/>
    <w:rsid w:val="00FD1E71"/>
    <w:rsid w:val="00FD1E86"/>
    <w:rsid w:val="00FD1EC0"/>
    <w:rsid w:val="00FD1F41"/>
    <w:rsid w:val="00FD1F56"/>
    <w:rsid w:val="00FD1F5C"/>
    <w:rsid w:val="00FD210E"/>
    <w:rsid w:val="00FD213E"/>
    <w:rsid w:val="00FD21BC"/>
    <w:rsid w:val="00FD21E1"/>
    <w:rsid w:val="00FD2264"/>
    <w:rsid w:val="00FD2316"/>
    <w:rsid w:val="00FD2353"/>
    <w:rsid w:val="00FD2357"/>
    <w:rsid w:val="00FD2383"/>
    <w:rsid w:val="00FD23B5"/>
    <w:rsid w:val="00FD23C9"/>
    <w:rsid w:val="00FD23F7"/>
    <w:rsid w:val="00FD23FC"/>
    <w:rsid w:val="00FD2404"/>
    <w:rsid w:val="00FD2413"/>
    <w:rsid w:val="00FD2449"/>
    <w:rsid w:val="00FD2450"/>
    <w:rsid w:val="00FD24B0"/>
    <w:rsid w:val="00FD24E2"/>
    <w:rsid w:val="00FD24E8"/>
    <w:rsid w:val="00FD252A"/>
    <w:rsid w:val="00FD253E"/>
    <w:rsid w:val="00FD25E2"/>
    <w:rsid w:val="00FD25FE"/>
    <w:rsid w:val="00FD2614"/>
    <w:rsid w:val="00FD2672"/>
    <w:rsid w:val="00FD273E"/>
    <w:rsid w:val="00FD2761"/>
    <w:rsid w:val="00FD27DA"/>
    <w:rsid w:val="00FD27E9"/>
    <w:rsid w:val="00FD2827"/>
    <w:rsid w:val="00FD282E"/>
    <w:rsid w:val="00FD2833"/>
    <w:rsid w:val="00FD28EB"/>
    <w:rsid w:val="00FD291E"/>
    <w:rsid w:val="00FD2955"/>
    <w:rsid w:val="00FD2983"/>
    <w:rsid w:val="00FD299F"/>
    <w:rsid w:val="00FD29A1"/>
    <w:rsid w:val="00FD29C5"/>
    <w:rsid w:val="00FD29DF"/>
    <w:rsid w:val="00FD2A52"/>
    <w:rsid w:val="00FD2AAC"/>
    <w:rsid w:val="00FD2ACF"/>
    <w:rsid w:val="00FD2B05"/>
    <w:rsid w:val="00FD2B2C"/>
    <w:rsid w:val="00FD2B5F"/>
    <w:rsid w:val="00FD2B7B"/>
    <w:rsid w:val="00FD2BDC"/>
    <w:rsid w:val="00FD2BFA"/>
    <w:rsid w:val="00FD2C0E"/>
    <w:rsid w:val="00FD2C3C"/>
    <w:rsid w:val="00FD2CC3"/>
    <w:rsid w:val="00FD2D5A"/>
    <w:rsid w:val="00FD2D6F"/>
    <w:rsid w:val="00FD2D71"/>
    <w:rsid w:val="00FD2D79"/>
    <w:rsid w:val="00FD2DBF"/>
    <w:rsid w:val="00FD2DDB"/>
    <w:rsid w:val="00FD2E01"/>
    <w:rsid w:val="00FD2EE0"/>
    <w:rsid w:val="00FD2F4F"/>
    <w:rsid w:val="00FD2F53"/>
    <w:rsid w:val="00FD2FBF"/>
    <w:rsid w:val="00FD2FC4"/>
    <w:rsid w:val="00FD2FC9"/>
    <w:rsid w:val="00FD3083"/>
    <w:rsid w:val="00FD30B5"/>
    <w:rsid w:val="00FD30E8"/>
    <w:rsid w:val="00FD30ED"/>
    <w:rsid w:val="00FD314C"/>
    <w:rsid w:val="00FD316B"/>
    <w:rsid w:val="00FD317B"/>
    <w:rsid w:val="00FD3185"/>
    <w:rsid w:val="00FD31B6"/>
    <w:rsid w:val="00FD3203"/>
    <w:rsid w:val="00FD3231"/>
    <w:rsid w:val="00FD323F"/>
    <w:rsid w:val="00FD32EB"/>
    <w:rsid w:val="00FD336C"/>
    <w:rsid w:val="00FD3370"/>
    <w:rsid w:val="00FD3377"/>
    <w:rsid w:val="00FD337F"/>
    <w:rsid w:val="00FD338D"/>
    <w:rsid w:val="00FD3390"/>
    <w:rsid w:val="00FD340F"/>
    <w:rsid w:val="00FD342C"/>
    <w:rsid w:val="00FD3442"/>
    <w:rsid w:val="00FD3459"/>
    <w:rsid w:val="00FD347B"/>
    <w:rsid w:val="00FD35CC"/>
    <w:rsid w:val="00FD3609"/>
    <w:rsid w:val="00FD3617"/>
    <w:rsid w:val="00FD365F"/>
    <w:rsid w:val="00FD36BE"/>
    <w:rsid w:val="00FD36F2"/>
    <w:rsid w:val="00FD374D"/>
    <w:rsid w:val="00FD37F7"/>
    <w:rsid w:val="00FD3840"/>
    <w:rsid w:val="00FD3841"/>
    <w:rsid w:val="00FD38E2"/>
    <w:rsid w:val="00FD3924"/>
    <w:rsid w:val="00FD3952"/>
    <w:rsid w:val="00FD39E8"/>
    <w:rsid w:val="00FD3A94"/>
    <w:rsid w:val="00FD3AC5"/>
    <w:rsid w:val="00FD3ACC"/>
    <w:rsid w:val="00FD3B2D"/>
    <w:rsid w:val="00FD3B33"/>
    <w:rsid w:val="00FD3B55"/>
    <w:rsid w:val="00FD3B57"/>
    <w:rsid w:val="00FD3C4D"/>
    <w:rsid w:val="00FD3C92"/>
    <w:rsid w:val="00FD3CC6"/>
    <w:rsid w:val="00FD3CF9"/>
    <w:rsid w:val="00FD3D55"/>
    <w:rsid w:val="00FD3D91"/>
    <w:rsid w:val="00FD3E15"/>
    <w:rsid w:val="00FD3E1F"/>
    <w:rsid w:val="00FD3E3B"/>
    <w:rsid w:val="00FD3E44"/>
    <w:rsid w:val="00FD3E53"/>
    <w:rsid w:val="00FD3E94"/>
    <w:rsid w:val="00FD3EBF"/>
    <w:rsid w:val="00FD3EDA"/>
    <w:rsid w:val="00FD3EF4"/>
    <w:rsid w:val="00FD3F9C"/>
    <w:rsid w:val="00FD3FB8"/>
    <w:rsid w:val="00FD3FD5"/>
    <w:rsid w:val="00FD3FE2"/>
    <w:rsid w:val="00FD401F"/>
    <w:rsid w:val="00FD4031"/>
    <w:rsid w:val="00FD4076"/>
    <w:rsid w:val="00FD413F"/>
    <w:rsid w:val="00FD4143"/>
    <w:rsid w:val="00FD414D"/>
    <w:rsid w:val="00FD418C"/>
    <w:rsid w:val="00FD424A"/>
    <w:rsid w:val="00FD424D"/>
    <w:rsid w:val="00FD4292"/>
    <w:rsid w:val="00FD4293"/>
    <w:rsid w:val="00FD42AD"/>
    <w:rsid w:val="00FD42B1"/>
    <w:rsid w:val="00FD4351"/>
    <w:rsid w:val="00FD43C8"/>
    <w:rsid w:val="00FD43F8"/>
    <w:rsid w:val="00FD4413"/>
    <w:rsid w:val="00FD4416"/>
    <w:rsid w:val="00FD452B"/>
    <w:rsid w:val="00FD466D"/>
    <w:rsid w:val="00FD46BE"/>
    <w:rsid w:val="00FD46C2"/>
    <w:rsid w:val="00FD46D7"/>
    <w:rsid w:val="00FD46DC"/>
    <w:rsid w:val="00FD4701"/>
    <w:rsid w:val="00FD4771"/>
    <w:rsid w:val="00FD47E5"/>
    <w:rsid w:val="00FD481D"/>
    <w:rsid w:val="00FD4890"/>
    <w:rsid w:val="00FD48EA"/>
    <w:rsid w:val="00FD492D"/>
    <w:rsid w:val="00FD4A17"/>
    <w:rsid w:val="00FD4A54"/>
    <w:rsid w:val="00FD4A85"/>
    <w:rsid w:val="00FD4A8C"/>
    <w:rsid w:val="00FD4AAB"/>
    <w:rsid w:val="00FD4AAF"/>
    <w:rsid w:val="00FD4AD0"/>
    <w:rsid w:val="00FD4AF5"/>
    <w:rsid w:val="00FD4B31"/>
    <w:rsid w:val="00FD4B74"/>
    <w:rsid w:val="00FD4C6B"/>
    <w:rsid w:val="00FD4CE3"/>
    <w:rsid w:val="00FD4D12"/>
    <w:rsid w:val="00FD4D13"/>
    <w:rsid w:val="00FD4D35"/>
    <w:rsid w:val="00FD4D50"/>
    <w:rsid w:val="00FD4DFB"/>
    <w:rsid w:val="00FD4E0B"/>
    <w:rsid w:val="00FD4E12"/>
    <w:rsid w:val="00FD4E37"/>
    <w:rsid w:val="00FD4E87"/>
    <w:rsid w:val="00FD4F4C"/>
    <w:rsid w:val="00FD4F97"/>
    <w:rsid w:val="00FD4F9F"/>
    <w:rsid w:val="00FD50B2"/>
    <w:rsid w:val="00FD50C9"/>
    <w:rsid w:val="00FD514C"/>
    <w:rsid w:val="00FD51A0"/>
    <w:rsid w:val="00FD5358"/>
    <w:rsid w:val="00FD53FA"/>
    <w:rsid w:val="00FD542E"/>
    <w:rsid w:val="00FD54A0"/>
    <w:rsid w:val="00FD54B3"/>
    <w:rsid w:val="00FD54ED"/>
    <w:rsid w:val="00FD54EE"/>
    <w:rsid w:val="00FD550D"/>
    <w:rsid w:val="00FD55D0"/>
    <w:rsid w:val="00FD55EF"/>
    <w:rsid w:val="00FD5613"/>
    <w:rsid w:val="00FD561C"/>
    <w:rsid w:val="00FD564B"/>
    <w:rsid w:val="00FD564C"/>
    <w:rsid w:val="00FD564D"/>
    <w:rsid w:val="00FD56CC"/>
    <w:rsid w:val="00FD5757"/>
    <w:rsid w:val="00FD5770"/>
    <w:rsid w:val="00FD57BA"/>
    <w:rsid w:val="00FD58BF"/>
    <w:rsid w:val="00FD5926"/>
    <w:rsid w:val="00FD5945"/>
    <w:rsid w:val="00FD5964"/>
    <w:rsid w:val="00FD596B"/>
    <w:rsid w:val="00FD5981"/>
    <w:rsid w:val="00FD5A6E"/>
    <w:rsid w:val="00FD5A86"/>
    <w:rsid w:val="00FD5AFF"/>
    <w:rsid w:val="00FD5B0B"/>
    <w:rsid w:val="00FD5B50"/>
    <w:rsid w:val="00FD5BA9"/>
    <w:rsid w:val="00FD5BAF"/>
    <w:rsid w:val="00FD5C83"/>
    <w:rsid w:val="00FD5C94"/>
    <w:rsid w:val="00FD5C9B"/>
    <w:rsid w:val="00FD5CC5"/>
    <w:rsid w:val="00FD5CE1"/>
    <w:rsid w:val="00FD5CED"/>
    <w:rsid w:val="00FD5D22"/>
    <w:rsid w:val="00FD5E3D"/>
    <w:rsid w:val="00FD5EE4"/>
    <w:rsid w:val="00FD5F18"/>
    <w:rsid w:val="00FD5F1A"/>
    <w:rsid w:val="00FD5F2D"/>
    <w:rsid w:val="00FD6023"/>
    <w:rsid w:val="00FD603B"/>
    <w:rsid w:val="00FD6085"/>
    <w:rsid w:val="00FD60E5"/>
    <w:rsid w:val="00FD60F2"/>
    <w:rsid w:val="00FD60F4"/>
    <w:rsid w:val="00FD6121"/>
    <w:rsid w:val="00FD6144"/>
    <w:rsid w:val="00FD61AC"/>
    <w:rsid w:val="00FD61DA"/>
    <w:rsid w:val="00FD622E"/>
    <w:rsid w:val="00FD624E"/>
    <w:rsid w:val="00FD62F5"/>
    <w:rsid w:val="00FD6313"/>
    <w:rsid w:val="00FD6350"/>
    <w:rsid w:val="00FD6360"/>
    <w:rsid w:val="00FD6398"/>
    <w:rsid w:val="00FD6424"/>
    <w:rsid w:val="00FD6490"/>
    <w:rsid w:val="00FD65C5"/>
    <w:rsid w:val="00FD65E3"/>
    <w:rsid w:val="00FD65F1"/>
    <w:rsid w:val="00FD664B"/>
    <w:rsid w:val="00FD665F"/>
    <w:rsid w:val="00FD6663"/>
    <w:rsid w:val="00FD666E"/>
    <w:rsid w:val="00FD66C4"/>
    <w:rsid w:val="00FD67EE"/>
    <w:rsid w:val="00FD67F0"/>
    <w:rsid w:val="00FD67F2"/>
    <w:rsid w:val="00FD6864"/>
    <w:rsid w:val="00FD6882"/>
    <w:rsid w:val="00FD68A0"/>
    <w:rsid w:val="00FD68E2"/>
    <w:rsid w:val="00FD68EB"/>
    <w:rsid w:val="00FD6916"/>
    <w:rsid w:val="00FD6935"/>
    <w:rsid w:val="00FD693C"/>
    <w:rsid w:val="00FD6A05"/>
    <w:rsid w:val="00FD6A4B"/>
    <w:rsid w:val="00FD6A78"/>
    <w:rsid w:val="00FD6B1B"/>
    <w:rsid w:val="00FD6B7D"/>
    <w:rsid w:val="00FD6BBC"/>
    <w:rsid w:val="00FD6C80"/>
    <w:rsid w:val="00FD6CE7"/>
    <w:rsid w:val="00FD6CFF"/>
    <w:rsid w:val="00FD6D3D"/>
    <w:rsid w:val="00FD6D64"/>
    <w:rsid w:val="00FD6D7D"/>
    <w:rsid w:val="00FD6DD4"/>
    <w:rsid w:val="00FD6DD9"/>
    <w:rsid w:val="00FD6DF4"/>
    <w:rsid w:val="00FD6E24"/>
    <w:rsid w:val="00FD6E2E"/>
    <w:rsid w:val="00FD6E75"/>
    <w:rsid w:val="00FD6E85"/>
    <w:rsid w:val="00FD6EAA"/>
    <w:rsid w:val="00FD6ED1"/>
    <w:rsid w:val="00FD6ED6"/>
    <w:rsid w:val="00FD6EFA"/>
    <w:rsid w:val="00FD6F3C"/>
    <w:rsid w:val="00FD6F88"/>
    <w:rsid w:val="00FD6FD0"/>
    <w:rsid w:val="00FD6FE0"/>
    <w:rsid w:val="00FD6FF0"/>
    <w:rsid w:val="00FD700E"/>
    <w:rsid w:val="00FD7018"/>
    <w:rsid w:val="00FD704D"/>
    <w:rsid w:val="00FD7068"/>
    <w:rsid w:val="00FD707E"/>
    <w:rsid w:val="00FD71BC"/>
    <w:rsid w:val="00FD721C"/>
    <w:rsid w:val="00FD7248"/>
    <w:rsid w:val="00FD72A6"/>
    <w:rsid w:val="00FD7335"/>
    <w:rsid w:val="00FD733A"/>
    <w:rsid w:val="00FD7414"/>
    <w:rsid w:val="00FD7454"/>
    <w:rsid w:val="00FD7462"/>
    <w:rsid w:val="00FD7485"/>
    <w:rsid w:val="00FD74B6"/>
    <w:rsid w:val="00FD74EA"/>
    <w:rsid w:val="00FD7512"/>
    <w:rsid w:val="00FD7595"/>
    <w:rsid w:val="00FD759E"/>
    <w:rsid w:val="00FD76C9"/>
    <w:rsid w:val="00FD76E9"/>
    <w:rsid w:val="00FD7715"/>
    <w:rsid w:val="00FD7759"/>
    <w:rsid w:val="00FD7771"/>
    <w:rsid w:val="00FD7776"/>
    <w:rsid w:val="00FD77D6"/>
    <w:rsid w:val="00FD780C"/>
    <w:rsid w:val="00FD781A"/>
    <w:rsid w:val="00FD7896"/>
    <w:rsid w:val="00FD78F3"/>
    <w:rsid w:val="00FD7911"/>
    <w:rsid w:val="00FD7932"/>
    <w:rsid w:val="00FD7972"/>
    <w:rsid w:val="00FD7975"/>
    <w:rsid w:val="00FD7AA7"/>
    <w:rsid w:val="00FD7AB8"/>
    <w:rsid w:val="00FD7AD9"/>
    <w:rsid w:val="00FD7AF0"/>
    <w:rsid w:val="00FD7B4F"/>
    <w:rsid w:val="00FD7B69"/>
    <w:rsid w:val="00FD7B85"/>
    <w:rsid w:val="00FD7BC0"/>
    <w:rsid w:val="00FD7BDA"/>
    <w:rsid w:val="00FD7C04"/>
    <w:rsid w:val="00FD7C07"/>
    <w:rsid w:val="00FD7C0D"/>
    <w:rsid w:val="00FD7C19"/>
    <w:rsid w:val="00FD7C65"/>
    <w:rsid w:val="00FD7C8F"/>
    <w:rsid w:val="00FD7C95"/>
    <w:rsid w:val="00FD7D32"/>
    <w:rsid w:val="00FD7D81"/>
    <w:rsid w:val="00FD7DF0"/>
    <w:rsid w:val="00FD7EAF"/>
    <w:rsid w:val="00FD7EDB"/>
    <w:rsid w:val="00FD7F06"/>
    <w:rsid w:val="00FD7F0A"/>
    <w:rsid w:val="00FD7F18"/>
    <w:rsid w:val="00FD7F1E"/>
    <w:rsid w:val="00FD7F24"/>
    <w:rsid w:val="00FD7F61"/>
    <w:rsid w:val="00FD7FDC"/>
    <w:rsid w:val="00FD7FF1"/>
    <w:rsid w:val="00FD7FF8"/>
    <w:rsid w:val="00FE003A"/>
    <w:rsid w:val="00FE005A"/>
    <w:rsid w:val="00FE008C"/>
    <w:rsid w:val="00FE00B6"/>
    <w:rsid w:val="00FE00F5"/>
    <w:rsid w:val="00FE012A"/>
    <w:rsid w:val="00FE0135"/>
    <w:rsid w:val="00FE013A"/>
    <w:rsid w:val="00FE01B4"/>
    <w:rsid w:val="00FE01FA"/>
    <w:rsid w:val="00FE020D"/>
    <w:rsid w:val="00FE020F"/>
    <w:rsid w:val="00FE0252"/>
    <w:rsid w:val="00FE025C"/>
    <w:rsid w:val="00FE027D"/>
    <w:rsid w:val="00FE0349"/>
    <w:rsid w:val="00FE0355"/>
    <w:rsid w:val="00FE039B"/>
    <w:rsid w:val="00FE03E4"/>
    <w:rsid w:val="00FE03E8"/>
    <w:rsid w:val="00FE03FE"/>
    <w:rsid w:val="00FE040D"/>
    <w:rsid w:val="00FE0431"/>
    <w:rsid w:val="00FE0444"/>
    <w:rsid w:val="00FE046F"/>
    <w:rsid w:val="00FE0484"/>
    <w:rsid w:val="00FE0509"/>
    <w:rsid w:val="00FE0529"/>
    <w:rsid w:val="00FE053E"/>
    <w:rsid w:val="00FE0554"/>
    <w:rsid w:val="00FE055D"/>
    <w:rsid w:val="00FE05C5"/>
    <w:rsid w:val="00FE05E8"/>
    <w:rsid w:val="00FE0600"/>
    <w:rsid w:val="00FE064F"/>
    <w:rsid w:val="00FE0699"/>
    <w:rsid w:val="00FE072B"/>
    <w:rsid w:val="00FE0762"/>
    <w:rsid w:val="00FE081F"/>
    <w:rsid w:val="00FE092E"/>
    <w:rsid w:val="00FE0990"/>
    <w:rsid w:val="00FE09A1"/>
    <w:rsid w:val="00FE0A08"/>
    <w:rsid w:val="00FE0A9B"/>
    <w:rsid w:val="00FE0AD5"/>
    <w:rsid w:val="00FE0B97"/>
    <w:rsid w:val="00FE0BCC"/>
    <w:rsid w:val="00FE0C00"/>
    <w:rsid w:val="00FE0C0B"/>
    <w:rsid w:val="00FE0CCB"/>
    <w:rsid w:val="00FE0D2B"/>
    <w:rsid w:val="00FE0D60"/>
    <w:rsid w:val="00FE0E4D"/>
    <w:rsid w:val="00FE0E9F"/>
    <w:rsid w:val="00FE0EB7"/>
    <w:rsid w:val="00FE0F4A"/>
    <w:rsid w:val="00FE0F9C"/>
    <w:rsid w:val="00FE1002"/>
    <w:rsid w:val="00FE1018"/>
    <w:rsid w:val="00FE1051"/>
    <w:rsid w:val="00FE107C"/>
    <w:rsid w:val="00FE10A7"/>
    <w:rsid w:val="00FE11C9"/>
    <w:rsid w:val="00FE1204"/>
    <w:rsid w:val="00FE1212"/>
    <w:rsid w:val="00FE1262"/>
    <w:rsid w:val="00FE12C5"/>
    <w:rsid w:val="00FE12E6"/>
    <w:rsid w:val="00FE1345"/>
    <w:rsid w:val="00FE1348"/>
    <w:rsid w:val="00FE1422"/>
    <w:rsid w:val="00FE147E"/>
    <w:rsid w:val="00FE14B2"/>
    <w:rsid w:val="00FE14FB"/>
    <w:rsid w:val="00FE1500"/>
    <w:rsid w:val="00FE1513"/>
    <w:rsid w:val="00FE1626"/>
    <w:rsid w:val="00FE1662"/>
    <w:rsid w:val="00FE1695"/>
    <w:rsid w:val="00FE169C"/>
    <w:rsid w:val="00FE16B1"/>
    <w:rsid w:val="00FE16C0"/>
    <w:rsid w:val="00FE16F3"/>
    <w:rsid w:val="00FE16F7"/>
    <w:rsid w:val="00FE1769"/>
    <w:rsid w:val="00FE17F8"/>
    <w:rsid w:val="00FE1804"/>
    <w:rsid w:val="00FE1848"/>
    <w:rsid w:val="00FE18B6"/>
    <w:rsid w:val="00FE1919"/>
    <w:rsid w:val="00FE1983"/>
    <w:rsid w:val="00FE1989"/>
    <w:rsid w:val="00FE19C7"/>
    <w:rsid w:val="00FE19F5"/>
    <w:rsid w:val="00FE1A17"/>
    <w:rsid w:val="00FE1A70"/>
    <w:rsid w:val="00FE1A89"/>
    <w:rsid w:val="00FE1B7D"/>
    <w:rsid w:val="00FE1B89"/>
    <w:rsid w:val="00FE1BAC"/>
    <w:rsid w:val="00FE1CCA"/>
    <w:rsid w:val="00FE1CCD"/>
    <w:rsid w:val="00FE1D15"/>
    <w:rsid w:val="00FE1D5D"/>
    <w:rsid w:val="00FE1D78"/>
    <w:rsid w:val="00FE1D90"/>
    <w:rsid w:val="00FE1E11"/>
    <w:rsid w:val="00FE1E39"/>
    <w:rsid w:val="00FE1E91"/>
    <w:rsid w:val="00FE1EA5"/>
    <w:rsid w:val="00FE1F6E"/>
    <w:rsid w:val="00FE1FFC"/>
    <w:rsid w:val="00FE2002"/>
    <w:rsid w:val="00FE2099"/>
    <w:rsid w:val="00FE20AA"/>
    <w:rsid w:val="00FE21D7"/>
    <w:rsid w:val="00FE2235"/>
    <w:rsid w:val="00FE2258"/>
    <w:rsid w:val="00FE228A"/>
    <w:rsid w:val="00FE22B4"/>
    <w:rsid w:val="00FE22B5"/>
    <w:rsid w:val="00FE22C4"/>
    <w:rsid w:val="00FE2323"/>
    <w:rsid w:val="00FE234C"/>
    <w:rsid w:val="00FE237D"/>
    <w:rsid w:val="00FE239D"/>
    <w:rsid w:val="00FE23A8"/>
    <w:rsid w:val="00FE23C7"/>
    <w:rsid w:val="00FE2406"/>
    <w:rsid w:val="00FE247E"/>
    <w:rsid w:val="00FE2482"/>
    <w:rsid w:val="00FE2499"/>
    <w:rsid w:val="00FE2504"/>
    <w:rsid w:val="00FE2526"/>
    <w:rsid w:val="00FE2535"/>
    <w:rsid w:val="00FE2552"/>
    <w:rsid w:val="00FE2595"/>
    <w:rsid w:val="00FE25FA"/>
    <w:rsid w:val="00FE2665"/>
    <w:rsid w:val="00FE2673"/>
    <w:rsid w:val="00FE2690"/>
    <w:rsid w:val="00FE270A"/>
    <w:rsid w:val="00FE2717"/>
    <w:rsid w:val="00FE2788"/>
    <w:rsid w:val="00FE2839"/>
    <w:rsid w:val="00FE28BF"/>
    <w:rsid w:val="00FE28C0"/>
    <w:rsid w:val="00FE28F4"/>
    <w:rsid w:val="00FE2931"/>
    <w:rsid w:val="00FE295A"/>
    <w:rsid w:val="00FE297C"/>
    <w:rsid w:val="00FE29C5"/>
    <w:rsid w:val="00FE2A09"/>
    <w:rsid w:val="00FE2A67"/>
    <w:rsid w:val="00FE2A7D"/>
    <w:rsid w:val="00FE2ABD"/>
    <w:rsid w:val="00FE2AEF"/>
    <w:rsid w:val="00FE2B5A"/>
    <w:rsid w:val="00FE2B72"/>
    <w:rsid w:val="00FE2BB0"/>
    <w:rsid w:val="00FE2C06"/>
    <w:rsid w:val="00FE2C98"/>
    <w:rsid w:val="00FE2C9C"/>
    <w:rsid w:val="00FE2CE1"/>
    <w:rsid w:val="00FE2D74"/>
    <w:rsid w:val="00FE2D85"/>
    <w:rsid w:val="00FE2D99"/>
    <w:rsid w:val="00FE2DE7"/>
    <w:rsid w:val="00FE2E23"/>
    <w:rsid w:val="00FE2E4F"/>
    <w:rsid w:val="00FE2E52"/>
    <w:rsid w:val="00FE2EE1"/>
    <w:rsid w:val="00FE2EE4"/>
    <w:rsid w:val="00FE2F1A"/>
    <w:rsid w:val="00FE2F60"/>
    <w:rsid w:val="00FE2F91"/>
    <w:rsid w:val="00FE2F96"/>
    <w:rsid w:val="00FE2FBA"/>
    <w:rsid w:val="00FE2FD4"/>
    <w:rsid w:val="00FE2FD7"/>
    <w:rsid w:val="00FE2FFD"/>
    <w:rsid w:val="00FE3060"/>
    <w:rsid w:val="00FE3085"/>
    <w:rsid w:val="00FE30B5"/>
    <w:rsid w:val="00FE30BF"/>
    <w:rsid w:val="00FE30E7"/>
    <w:rsid w:val="00FE3100"/>
    <w:rsid w:val="00FE3216"/>
    <w:rsid w:val="00FE322F"/>
    <w:rsid w:val="00FE3283"/>
    <w:rsid w:val="00FE3287"/>
    <w:rsid w:val="00FE3295"/>
    <w:rsid w:val="00FE32D2"/>
    <w:rsid w:val="00FE339E"/>
    <w:rsid w:val="00FE33C7"/>
    <w:rsid w:val="00FE33CD"/>
    <w:rsid w:val="00FE33EF"/>
    <w:rsid w:val="00FE3408"/>
    <w:rsid w:val="00FE3428"/>
    <w:rsid w:val="00FE3479"/>
    <w:rsid w:val="00FE34A4"/>
    <w:rsid w:val="00FE34CA"/>
    <w:rsid w:val="00FE34E6"/>
    <w:rsid w:val="00FE34F1"/>
    <w:rsid w:val="00FE3526"/>
    <w:rsid w:val="00FE3530"/>
    <w:rsid w:val="00FE3534"/>
    <w:rsid w:val="00FE35D6"/>
    <w:rsid w:val="00FE3603"/>
    <w:rsid w:val="00FE369D"/>
    <w:rsid w:val="00FE36D5"/>
    <w:rsid w:val="00FE372D"/>
    <w:rsid w:val="00FE373F"/>
    <w:rsid w:val="00FE3801"/>
    <w:rsid w:val="00FE3845"/>
    <w:rsid w:val="00FE3856"/>
    <w:rsid w:val="00FE388A"/>
    <w:rsid w:val="00FE38AD"/>
    <w:rsid w:val="00FE38DD"/>
    <w:rsid w:val="00FE39E3"/>
    <w:rsid w:val="00FE39E6"/>
    <w:rsid w:val="00FE39E8"/>
    <w:rsid w:val="00FE3A6D"/>
    <w:rsid w:val="00FE3AA2"/>
    <w:rsid w:val="00FE3AFB"/>
    <w:rsid w:val="00FE3B08"/>
    <w:rsid w:val="00FE3B0A"/>
    <w:rsid w:val="00FE3B20"/>
    <w:rsid w:val="00FE3B46"/>
    <w:rsid w:val="00FE3B81"/>
    <w:rsid w:val="00FE3B85"/>
    <w:rsid w:val="00FE3C43"/>
    <w:rsid w:val="00FE3C44"/>
    <w:rsid w:val="00FE3C59"/>
    <w:rsid w:val="00FE3C5B"/>
    <w:rsid w:val="00FE3CC3"/>
    <w:rsid w:val="00FE3CF7"/>
    <w:rsid w:val="00FE3CFA"/>
    <w:rsid w:val="00FE3D05"/>
    <w:rsid w:val="00FE3D47"/>
    <w:rsid w:val="00FE3D6F"/>
    <w:rsid w:val="00FE3D85"/>
    <w:rsid w:val="00FE3DA0"/>
    <w:rsid w:val="00FE3DA1"/>
    <w:rsid w:val="00FE3DE1"/>
    <w:rsid w:val="00FE3E0D"/>
    <w:rsid w:val="00FE3E15"/>
    <w:rsid w:val="00FE3EF3"/>
    <w:rsid w:val="00FE3F26"/>
    <w:rsid w:val="00FE401D"/>
    <w:rsid w:val="00FE40D4"/>
    <w:rsid w:val="00FE4177"/>
    <w:rsid w:val="00FE425F"/>
    <w:rsid w:val="00FE42FC"/>
    <w:rsid w:val="00FE4390"/>
    <w:rsid w:val="00FE43CA"/>
    <w:rsid w:val="00FE4416"/>
    <w:rsid w:val="00FE4464"/>
    <w:rsid w:val="00FE44A2"/>
    <w:rsid w:val="00FE44CD"/>
    <w:rsid w:val="00FE44E3"/>
    <w:rsid w:val="00FE44E8"/>
    <w:rsid w:val="00FE4503"/>
    <w:rsid w:val="00FE4519"/>
    <w:rsid w:val="00FE4574"/>
    <w:rsid w:val="00FE4577"/>
    <w:rsid w:val="00FE4594"/>
    <w:rsid w:val="00FE45C9"/>
    <w:rsid w:val="00FE460B"/>
    <w:rsid w:val="00FE4617"/>
    <w:rsid w:val="00FE46F0"/>
    <w:rsid w:val="00FE4729"/>
    <w:rsid w:val="00FE479C"/>
    <w:rsid w:val="00FE47E0"/>
    <w:rsid w:val="00FE47FB"/>
    <w:rsid w:val="00FE4823"/>
    <w:rsid w:val="00FE489A"/>
    <w:rsid w:val="00FE48DE"/>
    <w:rsid w:val="00FE4929"/>
    <w:rsid w:val="00FE492F"/>
    <w:rsid w:val="00FE49B0"/>
    <w:rsid w:val="00FE49F1"/>
    <w:rsid w:val="00FE4A3D"/>
    <w:rsid w:val="00FE4A42"/>
    <w:rsid w:val="00FE4A8D"/>
    <w:rsid w:val="00FE4A8F"/>
    <w:rsid w:val="00FE4A99"/>
    <w:rsid w:val="00FE4ACE"/>
    <w:rsid w:val="00FE4AF0"/>
    <w:rsid w:val="00FE4B5B"/>
    <w:rsid w:val="00FE4B9B"/>
    <w:rsid w:val="00FE4BBE"/>
    <w:rsid w:val="00FE4C61"/>
    <w:rsid w:val="00FE4C73"/>
    <w:rsid w:val="00FE4DA5"/>
    <w:rsid w:val="00FE4DA8"/>
    <w:rsid w:val="00FE4DC1"/>
    <w:rsid w:val="00FE4DF4"/>
    <w:rsid w:val="00FE4E93"/>
    <w:rsid w:val="00FE4E97"/>
    <w:rsid w:val="00FE4EC9"/>
    <w:rsid w:val="00FE4F22"/>
    <w:rsid w:val="00FE4F6C"/>
    <w:rsid w:val="00FE4FB4"/>
    <w:rsid w:val="00FE4FBB"/>
    <w:rsid w:val="00FE4FD6"/>
    <w:rsid w:val="00FE4FEB"/>
    <w:rsid w:val="00FE4FF9"/>
    <w:rsid w:val="00FE5024"/>
    <w:rsid w:val="00FE5025"/>
    <w:rsid w:val="00FE5057"/>
    <w:rsid w:val="00FE50C9"/>
    <w:rsid w:val="00FE528C"/>
    <w:rsid w:val="00FE5293"/>
    <w:rsid w:val="00FE52C8"/>
    <w:rsid w:val="00FE52F8"/>
    <w:rsid w:val="00FE5336"/>
    <w:rsid w:val="00FE53EF"/>
    <w:rsid w:val="00FE5433"/>
    <w:rsid w:val="00FE54C5"/>
    <w:rsid w:val="00FE5500"/>
    <w:rsid w:val="00FE554F"/>
    <w:rsid w:val="00FE5553"/>
    <w:rsid w:val="00FE55A7"/>
    <w:rsid w:val="00FE5619"/>
    <w:rsid w:val="00FE5656"/>
    <w:rsid w:val="00FE5665"/>
    <w:rsid w:val="00FE56BB"/>
    <w:rsid w:val="00FE5726"/>
    <w:rsid w:val="00FE57B4"/>
    <w:rsid w:val="00FE580A"/>
    <w:rsid w:val="00FE584C"/>
    <w:rsid w:val="00FE591D"/>
    <w:rsid w:val="00FE5930"/>
    <w:rsid w:val="00FE5968"/>
    <w:rsid w:val="00FE599F"/>
    <w:rsid w:val="00FE59A7"/>
    <w:rsid w:val="00FE59C2"/>
    <w:rsid w:val="00FE59C5"/>
    <w:rsid w:val="00FE59F8"/>
    <w:rsid w:val="00FE5A32"/>
    <w:rsid w:val="00FE5A43"/>
    <w:rsid w:val="00FE5A4E"/>
    <w:rsid w:val="00FE5A54"/>
    <w:rsid w:val="00FE5B0B"/>
    <w:rsid w:val="00FE5B21"/>
    <w:rsid w:val="00FE5B39"/>
    <w:rsid w:val="00FE5B9A"/>
    <w:rsid w:val="00FE5B9C"/>
    <w:rsid w:val="00FE5BB7"/>
    <w:rsid w:val="00FE5C3B"/>
    <w:rsid w:val="00FE5C9E"/>
    <w:rsid w:val="00FE5CE3"/>
    <w:rsid w:val="00FE5D0D"/>
    <w:rsid w:val="00FE5D25"/>
    <w:rsid w:val="00FE5DD0"/>
    <w:rsid w:val="00FE5DFB"/>
    <w:rsid w:val="00FE5E2C"/>
    <w:rsid w:val="00FE5E65"/>
    <w:rsid w:val="00FE5EAB"/>
    <w:rsid w:val="00FE5EFE"/>
    <w:rsid w:val="00FE5FE2"/>
    <w:rsid w:val="00FE602E"/>
    <w:rsid w:val="00FE6067"/>
    <w:rsid w:val="00FE6078"/>
    <w:rsid w:val="00FE6094"/>
    <w:rsid w:val="00FE6099"/>
    <w:rsid w:val="00FE6159"/>
    <w:rsid w:val="00FE6176"/>
    <w:rsid w:val="00FE617F"/>
    <w:rsid w:val="00FE61D8"/>
    <w:rsid w:val="00FE623F"/>
    <w:rsid w:val="00FE62BB"/>
    <w:rsid w:val="00FE6330"/>
    <w:rsid w:val="00FE633C"/>
    <w:rsid w:val="00FE6344"/>
    <w:rsid w:val="00FE6368"/>
    <w:rsid w:val="00FE6376"/>
    <w:rsid w:val="00FE637E"/>
    <w:rsid w:val="00FE63D9"/>
    <w:rsid w:val="00FE63FA"/>
    <w:rsid w:val="00FE64AE"/>
    <w:rsid w:val="00FE64B6"/>
    <w:rsid w:val="00FE64F8"/>
    <w:rsid w:val="00FE654C"/>
    <w:rsid w:val="00FE65BF"/>
    <w:rsid w:val="00FE6647"/>
    <w:rsid w:val="00FE664A"/>
    <w:rsid w:val="00FE666D"/>
    <w:rsid w:val="00FE669C"/>
    <w:rsid w:val="00FE66BF"/>
    <w:rsid w:val="00FE66FB"/>
    <w:rsid w:val="00FE671B"/>
    <w:rsid w:val="00FE6800"/>
    <w:rsid w:val="00FE681D"/>
    <w:rsid w:val="00FE6862"/>
    <w:rsid w:val="00FE6892"/>
    <w:rsid w:val="00FE68D5"/>
    <w:rsid w:val="00FE68DA"/>
    <w:rsid w:val="00FE6948"/>
    <w:rsid w:val="00FE6970"/>
    <w:rsid w:val="00FE6973"/>
    <w:rsid w:val="00FE69B8"/>
    <w:rsid w:val="00FE69F1"/>
    <w:rsid w:val="00FE6A09"/>
    <w:rsid w:val="00FE6A18"/>
    <w:rsid w:val="00FE6B32"/>
    <w:rsid w:val="00FE6B6A"/>
    <w:rsid w:val="00FE6C2C"/>
    <w:rsid w:val="00FE6C5A"/>
    <w:rsid w:val="00FE6D37"/>
    <w:rsid w:val="00FE6D4B"/>
    <w:rsid w:val="00FE6D70"/>
    <w:rsid w:val="00FE6D80"/>
    <w:rsid w:val="00FE6DBC"/>
    <w:rsid w:val="00FE6DFB"/>
    <w:rsid w:val="00FE6E63"/>
    <w:rsid w:val="00FE6E6E"/>
    <w:rsid w:val="00FE6F45"/>
    <w:rsid w:val="00FE6F47"/>
    <w:rsid w:val="00FE6F52"/>
    <w:rsid w:val="00FE6F75"/>
    <w:rsid w:val="00FE6F7B"/>
    <w:rsid w:val="00FE70C2"/>
    <w:rsid w:val="00FE7122"/>
    <w:rsid w:val="00FE718D"/>
    <w:rsid w:val="00FE71DE"/>
    <w:rsid w:val="00FE7276"/>
    <w:rsid w:val="00FE731F"/>
    <w:rsid w:val="00FE7347"/>
    <w:rsid w:val="00FE7449"/>
    <w:rsid w:val="00FE74F6"/>
    <w:rsid w:val="00FE762F"/>
    <w:rsid w:val="00FE763B"/>
    <w:rsid w:val="00FE7687"/>
    <w:rsid w:val="00FE769C"/>
    <w:rsid w:val="00FE76B5"/>
    <w:rsid w:val="00FE7725"/>
    <w:rsid w:val="00FE7737"/>
    <w:rsid w:val="00FE7819"/>
    <w:rsid w:val="00FE7827"/>
    <w:rsid w:val="00FE789E"/>
    <w:rsid w:val="00FE78B5"/>
    <w:rsid w:val="00FE78EE"/>
    <w:rsid w:val="00FE7911"/>
    <w:rsid w:val="00FE7954"/>
    <w:rsid w:val="00FE7973"/>
    <w:rsid w:val="00FE798E"/>
    <w:rsid w:val="00FE79E8"/>
    <w:rsid w:val="00FE7A43"/>
    <w:rsid w:val="00FE7A96"/>
    <w:rsid w:val="00FE7B0C"/>
    <w:rsid w:val="00FE7B89"/>
    <w:rsid w:val="00FE7BCE"/>
    <w:rsid w:val="00FE7C40"/>
    <w:rsid w:val="00FE7C8A"/>
    <w:rsid w:val="00FE7CA2"/>
    <w:rsid w:val="00FE7D5E"/>
    <w:rsid w:val="00FE7DC6"/>
    <w:rsid w:val="00FE7E55"/>
    <w:rsid w:val="00FE7EF4"/>
    <w:rsid w:val="00FE7EFA"/>
    <w:rsid w:val="00FE7F34"/>
    <w:rsid w:val="00FE7F56"/>
    <w:rsid w:val="00FE7FD1"/>
    <w:rsid w:val="00FF001B"/>
    <w:rsid w:val="00FF005A"/>
    <w:rsid w:val="00FF007B"/>
    <w:rsid w:val="00FF00B2"/>
    <w:rsid w:val="00FF00D7"/>
    <w:rsid w:val="00FF013F"/>
    <w:rsid w:val="00FF0206"/>
    <w:rsid w:val="00FF020F"/>
    <w:rsid w:val="00FF0267"/>
    <w:rsid w:val="00FF02CE"/>
    <w:rsid w:val="00FF02E3"/>
    <w:rsid w:val="00FF039F"/>
    <w:rsid w:val="00FF03A0"/>
    <w:rsid w:val="00FF03EC"/>
    <w:rsid w:val="00FF03ED"/>
    <w:rsid w:val="00FF0472"/>
    <w:rsid w:val="00FF04A1"/>
    <w:rsid w:val="00FF04AA"/>
    <w:rsid w:val="00FF04C5"/>
    <w:rsid w:val="00FF04EA"/>
    <w:rsid w:val="00FF055A"/>
    <w:rsid w:val="00FF05A0"/>
    <w:rsid w:val="00FF05BB"/>
    <w:rsid w:val="00FF0615"/>
    <w:rsid w:val="00FF0657"/>
    <w:rsid w:val="00FF0691"/>
    <w:rsid w:val="00FF06FA"/>
    <w:rsid w:val="00FF07DC"/>
    <w:rsid w:val="00FF0821"/>
    <w:rsid w:val="00FF083F"/>
    <w:rsid w:val="00FF085F"/>
    <w:rsid w:val="00FF08A5"/>
    <w:rsid w:val="00FF0971"/>
    <w:rsid w:val="00FF0A33"/>
    <w:rsid w:val="00FF0A4B"/>
    <w:rsid w:val="00FF0BA9"/>
    <w:rsid w:val="00FF0BE7"/>
    <w:rsid w:val="00FF0C1D"/>
    <w:rsid w:val="00FF0C20"/>
    <w:rsid w:val="00FF0C34"/>
    <w:rsid w:val="00FF0C5C"/>
    <w:rsid w:val="00FF0C7A"/>
    <w:rsid w:val="00FF0C8E"/>
    <w:rsid w:val="00FF0D34"/>
    <w:rsid w:val="00FF0D9B"/>
    <w:rsid w:val="00FF0DD6"/>
    <w:rsid w:val="00FF0DD9"/>
    <w:rsid w:val="00FF0E06"/>
    <w:rsid w:val="00FF0E1E"/>
    <w:rsid w:val="00FF0F09"/>
    <w:rsid w:val="00FF0F88"/>
    <w:rsid w:val="00FF0FAA"/>
    <w:rsid w:val="00FF0FCC"/>
    <w:rsid w:val="00FF1005"/>
    <w:rsid w:val="00FF1018"/>
    <w:rsid w:val="00FF1028"/>
    <w:rsid w:val="00FF104F"/>
    <w:rsid w:val="00FF1192"/>
    <w:rsid w:val="00FF11C0"/>
    <w:rsid w:val="00FF11D9"/>
    <w:rsid w:val="00FF11DF"/>
    <w:rsid w:val="00FF11EC"/>
    <w:rsid w:val="00FF1243"/>
    <w:rsid w:val="00FF1325"/>
    <w:rsid w:val="00FF1352"/>
    <w:rsid w:val="00FF138D"/>
    <w:rsid w:val="00FF13E4"/>
    <w:rsid w:val="00FF141C"/>
    <w:rsid w:val="00FF144B"/>
    <w:rsid w:val="00FF14B3"/>
    <w:rsid w:val="00FF14C4"/>
    <w:rsid w:val="00FF15D8"/>
    <w:rsid w:val="00FF15EC"/>
    <w:rsid w:val="00FF1639"/>
    <w:rsid w:val="00FF1695"/>
    <w:rsid w:val="00FF16D0"/>
    <w:rsid w:val="00FF176C"/>
    <w:rsid w:val="00FF1800"/>
    <w:rsid w:val="00FF1832"/>
    <w:rsid w:val="00FF1892"/>
    <w:rsid w:val="00FF1981"/>
    <w:rsid w:val="00FF19AC"/>
    <w:rsid w:val="00FF1A3A"/>
    <w:rsid w:val="00FF1A74"/>
    <w:rsid w:val="00FF1A76"/>
    <w:rsid w:val="00FF1AF1"/>
    <w:rsid w:val="00FF1B34"/>
    <w:rsid w:val="00FF1C00"/>
    <w:rsid w:val="00FF1C32"/>
    <w:rsid w:val="00FF1CA1"/>
    <w:rsid w:val="00FF1CC2"/>
    <w:rsid w:val="00FF1CC3"/>
    <w:rsid w:val="00FF1CCC"/>
    <w:rsid w:val="00FF1CD2"/>
    <w:rsid w:val="00FF1CD5"/>
    <w:rsid w:val="00FF1D10"/>
    <w:rsid w:val="00FF1D26"/>
    <w:rsid w:val="00FF1D27"/>
    <w:rsid w:val="00FF1D64"/>
    <w:rsid w:val="00FF1D6B"/>
    <w:rsid w:val="00FF1DA8"/>
    <w:rsid w:val="00FF1DC8"/>
    <w:rsid w:val="00FF1DE7"/>
    <w:rsid w:val="00FF1DEE"/>
    <w:rsid w:val="00FF1EB6"/>
    <w:rsid w:val="00FF1ED6"/>
    <w:rsid w:val="00FF1EEE"/>
    <w:rsid w:val="00FF1EF7"/>
    <w:rsid w:val="00FF1F0F"/>
    <w:rsid w:val="00FF1F13"/>
    <w:rsid w:val="00FF1F91"/>
    <w:rsid w:val="00FF1FDD"/>
    <w:rsid w:val="00FF2069"/>
    <w:rsid w:val="00FF2094"/>
    <w:rsid w:val="00FF2096"/>
    <w:rsid w:val="00FF20EB"/>
    <w:rsid w:val="00FF20F6"/>
    <w:rsid w:val="00FF2155"/>
    <w:rsid w:val="00FF2171"/>
    <w:rsid w:val="00FF2198"/>
    <w:rsid w:val="00FF2218"/>
    <w:rsid w:val="00FF2262"/>
    <w:rsid w:val="00FF22EC"/>
    <w:rsid w:val="00FF22F0"/>
    <w:rsid w:val="00FF2300"/>
    <w:rsid w:val="00FF237C"/>
    <w:rsid w:val="00FF23B5"/>
    <w:rsid w:val="00FF23F1"/>
    <w:rsid w:val="00FF241C"/>
    <w:rsid w:val="00FF242F"/>
    <w:rsid w:val="00FF243A"/>
    <w:rsid w:val="00FF244A"/>
    <w:rsid w:val="00FF244D"/>
    <w:rsid w:val="00FF246C"/>
    <w:rsid w:val="00FF2565"/>
    <w:rsid w:val="00FF25B3"/>
    <w:rsid w:val="00FF25DA"/>
    <w:rsid w:val="00FF25F9"/>
    <w:rsid w:val="00FF260E"/>
    <w:rsid w:val="00FF2651"/>
    <w:rsid w:val="00FF26B9"/>
    <w:rsid w:val="00FF2740"/>
    <w:rsid w:val="00FF2779"/>
    <w:rsid w:val="00FF27AF"/>
    <w:rsid w:val="00FF27B6"/>
    <w:rsid w:val="00FF27D3"/>
    <w:rsid w:val="00FF2800"/>
    <w:rsid w:val="00FF2836"/>
    <w:rsid w:val="00FF2855"/>
    <w:rsid w:val="00FF2882"/>
    <w:rsid w:val="00FF28C2"/>
    <w:rsid w:val="00FF297B"/>
    <w:rsid w:val="00FF297D"/>
    <w:rsid w:val="00FF29B8"/>
    <w:rsid w:val="00FF2A64"/>
    <w:rsid w:val="00FF2B43"/>
    <w:rsid w:val="00FF2B50"/>
    <w:rsid w:val="00FF2BBD"/>
    <w:rsid w:val="00FF2BEB"/>
    <w:rsid w:val="00FF2C05"/>
    <w:rsid w:val="00FF2C07"/>
    <w:rsid w:val="00FF2C4A"/>
    <w:rsid w:val="00FF2D00"/>
    <w:rsid w:val="00FF2D31"/>
    <w:rsid w:val="00FF2D89"/>
    <w:rsid w:val="00FF2D9D"/>
    <w:rsid w:val="00FF2E17"/>
    <w:rsid w:val="00FF2E20"/>
    <w:rsid w:val="00FF2E33"/>
    <w:rsid w:val="00FF2E79"/>
    <w:rsid w:val="00FF2F35"/>
    <w:rsid w:val="00FF2F44"/>
    <w:rsid w:val="00FF2F56"/>
    <w:rsid w:val="00FF2F9E"/>
    <w:rsid w:val="00FF2FBB"/>
    <w:rsid w:val="00FF2FF8"/>
    <w:rsid w:val="00FF301B"/>
    <w:rsid w:val="00FF303A"/>
    <w:rsid w:val="00FF311F"/>
    <w:rsid w:val="00FF3139"/>
    <w:rsid w:val="00FF313F"/>
    <w:rsid w:val="00FF315F"/>
    <w:rsid w:val="00FF316E"/>
    <w:rsid w:val="00FF323F"/>
    <w:rsid w:val="00FF327F"/>
    <w:rsid w:val="00FF32C0"/>
    <w:rsid w:val="00FF330A"/>
    <w:rsid w:val="00FF332A"/>
    <w:rsid w:val="00FF3398"/>
    <w:rsid w:val="00FF33C0"/>
    <w:rsid w:val="00FF34AA"/>
    <w:rsid w:val="00FF34E5"/>
    <w:rsid w:val="00FF35CD"/>
    <w:rsid w:val="00FF370E"/>
    <w:rsid w:val="00FF372E"/>
    <w:rsid w:val="00FF3774"/>
    <w:rsid w:val="00FF37B9"/>
    <w:rsid w:val="00FF37E4"/>
    <w:rsid w:val="00FF3878"/>
    <w:rsid w:val="00FF387A"/>
    <w:rsid w:val="00FF3883"/>
    <w:rsid w:val="00FF3891"/>
    <w:rsid w:val="00FF38B4"/>
    <w:rsid w:val="00FF38D6"/>
    <w:rsid w:val="00FF3929"/>
    <w:rsid w:val="00FF39A8"/>
    <w:rsid w:val="00FF39B1"/>
    <w:rsid w:val="00FF39D3"/>
    <w:rsid w:val="00FF39E9"/>
    <w:rsid w:val="00FF3A42"/>
    <w:rsid w:val="00FF3A85"/>
    <w:rsid w:val="00FF3AAE"/>
    <w:rsid w:val="00FF3AB2"/>
    <w:rsid w:val="00FF3AC2"/>
    <w:rsid w:val="00FF3B21"/>
    <w:rsid w:val="00FF3B3B"/>
    <w:rsid w:val="00FF3C19"/>
    <w:rsid w:val="00FF3C44"/>
    <w:rsid w:val="00FF3CD3"/>
    <w:rsid w:val="00FF3CDC"/>
    <w:rsid w:val="00FF3D19"/>
    <w:rsid w:val="00FF3D34"/>
    <w:rsid w:val="00FF3D8F"/>
    <w:rsid w:val="00FF3DA3"/>
    <w:rsid w:val="00FF3E11"/>
    <w:rsid w:val="00FF3E4B"/>
    <w:rsid w:val="00FF3EAD"/>
    <w:rsid w:val="00FF3F18"/>
    <w:rsid w:val="00FF3F3D"/>
    <w:rsid w:val="00FF3FAF"/>
    <w:rsid w:val="00FF3FB7"/>
    <w:rsid w:val="00FF4031"/>
    <w:rsid w:val="00FF4055"/>
    <w:rsid w:val="00FF4058"/>
    <w:rsid w:val="00FF4175"/>
    <w:rsid w:val="00FF419E"/>
    <w:rsid w:val="00FF41D4"/>
    <w:rsid w:val="00FF41E0"/>
    <w:rsid w:val="00FF41E1"/>
    <w:rsid w:val="00FF4215"/>
    <w:rsid w:val="00FF4267"/>
    <w:rsid w:val="00FF426F"/>
    <w:rsid w:val="00FF42B6"/>
    <w:rsid w:val="00FF430B"/>
    <w:rsid w:val="00FF4311"/>
    <w:rsid w:val="00FF4362"/>
    <w:rsid w:val="00FF43BD"/>
    <w:rsid w:val="00FF43D9"/>
    <w:rsid w:val="00FF4453"/>
    <w:rsid w:val="00FF452E"/>
    <w:rsid w:val="00FF4532"/>
    <w:rsid w:val="00FF453D"/>
    <w:rsid w:val="00FF45C3"/>
    <w:rsid w:val="00FF45D4"/>
    <w:rsid w:val="00FF4625"/>
    <w:rsid w:val="00FF465E"/>
    <w:rsid w:val="00FF46B8"/>
    <w:rsid w:val="00FF46CC"/>
    <w:rsid w:val="00FF46FC"/>
    <w:rsid w:val="00FF4712"/>
    <w:rsid w:val="00FF471B"/>
    <w:rsid w:val="00FF475A"/>
    <w:rsid w:val="00FF4766"/>
    <w:rsid w:val="00FF4773"/>
    <w:rsid w:val="00FF479D"/>
    <w:rsid w:val="00FF4853"/>
    <w:rsid w:val="00FF489F"/>
    <w:rsid w:val="00FF48AA"/>
    <w:rsid w:val="00FF48FC"/>
    <w:rsid w:val="00FF49C6"/>
    <w:rsid w:val="00FF49D7"/>
    <w:rsid w:val="00FF4A5C"/>
    <w:rsid w:val="00FF4A71"/>
    <w:rsid w:val="00FF4AA8"/>
    <w:rsid w:val="00FF4AAD"/>
    <w:rsid w:val="00FF4AFC"/>
    <w:rsid w:val="00FF4B11"/>
    <w:rsid w:val="00FF4B7B"/>
    <w:rsid w:val="00FF4BCA"/>
    <w:rsid w:val="00FF4BE5"/>
    <w:rsid w:val="00FF4C1D"/>
    <w:rsid w:val="00FF4C32"/>
    <w:rsid w:val="00FF4C7E"/>
    <w:rsid w:val="00FF4CB2"/>
    <w:rsid w:val="00FF4CCF"/>
    <w:rsid w:val="00FF4CF3"/>
    <w:rsid w:val="00FF4CF9"/>
    <w:rsid w:val="00FF4D66"/>
    <w:rsid w:val="00FF4D8A"/>
    <w:rsid w:val="00FF4DFE"/>
    <w:rsid w:val="00FF4E42"/>
    <w:rsid w:val="00FF4E7C"/>
    <w:rsid w:val="00FF4EAF"/>
    <w:rsid w:val="00FF4EB8"/>
    <w:rsid w:val="00FF4EFA"/>
    <w:rsid w:val="00FF4F1B"/>
    <w:rsid w:val="00FF4F39"/>
    <w:rsid w:val="00FF4F94"/>
    <w:rsid w:val="00FF507C"/>
    <w:rsid w:val="00FF508D"/>
    <w:rsid w:val="00FF50E5"/>
    <w:rsid w:val="00FF50ED"/>
    <w:rsid w:val="00FF50EF"/>
    <w:rsid w:val="00FF50FA"/>
    <w:rsid w:val="00FF512C"/>
    <w:rsid w:val="00FF5183"/>
    <w:rsid w:val="00FF51A6"/>
    <w:rsid w:val="00FF51CC"/>
    <w:rsid w:val="00FF51F1"/>
    <w:rsid w:val="00FF5221"/>
    <w:rsid w:val="00FF525E"/>
    <w:rsid w:val="00FF5319"/>
    <w:rsid w:val="00FF5385"/>
    <w:rsid w:val="00FF53C4"/>
    <w:rsid w:val="00FF540F"/>
    <w:rsid w:val="00FF546A"/>
    <w:rsid w:val="00FF54A6"/>
    <w:rsid w:val="00FF54AE"/>
    <w:rsid w:val="00FF54DC"/>
    <w:rsid w:val="00FF54DF"/>
    <w:rsid w:val="00FF553F"/>
    <w:rsid w:val="00FF557D"/>
    <w:rsid w:val="00FF5593"/>
    <w:rsid w:val="00FF55E0"/>
    <w:rsid w:val="00FF5615"/>
    <w:rsid w:val="00FF5688"/>
    <w:rsid w:val="00FF5709"/>
    <w:rsid w:val="00FF5711"/>
    <w:rsid w:val="00FF5722"/>
    <w:rsid w:val="00FF5745"/>
    <w:rsid w:val="00FF5790"/>
    <w:rsid w:val="00FF579E"/>
    <w:rsid w:val="00FF57B0"/>
    <w:rsid w:val="00FF5849"/>
    <w:rsid w:val="00FF587C"/>
    <w:rsid w:val="00FF58B6"/>
    <w:rsid w:val="00FF5942"/>
    <w:rsid w:val="00FF5962"/>
    <w:rsid w:val="00FF5966"/>
    <w:rsid w:val="00FF5991"/>
    <w:rsid w:val="00FF59E5"/>
    <w:rsid w:val="00FF5A11"/>
    <w:rsid w:val="00FF5AB0"/>
    <w:rsid w:val="00FF5AB6"/>
    <w:rsid w:val="00FF5B09"/>
    <w:rsid w:val="00FF5B11"/>
    <w:rsid w:val="00FF5B94"/>
    <w:rsid w:val="00FF5B97"/>
    <w:rsid w:val="00FF5BBB"/>
    <w:rsid w:val="00FF5BC2"/>
    <w:rsid w:val="00FF5C1A"/>
    <w:rsid w:val="00FF5D1E"/>
    <w:rsid w:val="00FF5D6B"/>
    <w:rsid w:val="00FF5D87"/>
    <w:rsid w:val="00FF5DD7"/>
    <w:rsid w:val="00FF5E09"/>
    <w:rsid w:val="00FF5E26"/>
    <w:rsid w:val="00FF5E41"/>
    <w:rsid w:val="00FF5EAE"/>
    <w:rsid w:val="00FF5EF7"/>
    <w:rsid w:val="00FF5F26"/>
    <w:rsid w:val="00FF5F43"/>
    <w:rsid w:val="00FF5F61"/>
    <w:rsid w:val="00FF5FB1"/>
    <w:rsid w:val="00FF5FC7"/>
    <w:rsid w:val="00FF5FF4"/>
    <w:rsid w:val="00FF6048"/>
    <w:rsid w:val="00FF605C"/>
    <w:rsid w:val="00FF610F"/>
    <w:rsid w:val="00FF6142"/>
    <w:rsid w:val="00FF6205"/>
    <w:rsid w:val="00FF62FD"/>
    <w:rsid w:val="00FF6300"/>
    <w:rsid w:val="00FF633A"/>
    <w:rsid w:val="00FF635A"/>
    <w:rsid w:val="00FF63A2"/>
    <w:rsid w:val="00FF63D5"/>
    <w:rsid w:val="00FF6411"/>
    <w:rsid w:val="00FF644A"/>
    <w:rsid w:val="00FF64C9"/>
    <w:rsid w:val="00FF65D1"/>
    <w:rsid w:val="00FF65F7"/>
    <w:rsid w:val="00FF6634"/>
    <w:rsid w:val="00FF664A"/>
    <w:rsid w:val="00FF6672"/>
    <w:rsid w:val="00FF66A1"/>
    <w:rsid w:val="00FF66A8"/>
    <w:rsid w:val="00FF6723"/>
    <w:rsid w:val="00FF6729"/>
    <w:rsid w:val="00FF6783"/>
    <w:rsid w:val="00FF6795"/>
    <w:rsid w:val="00FF683F"/>
    <w:rsid w:val="00FF6862"/>
    <w:rsid w:val="00FF68A6"/>
    <w:rsid w:val="00FF690E"/>
    <w:rsid w:val="00FF6916"/>
    <w:rsid w:val="00FF6960"/>
    <w:rsid w:val="00FF697B"/>
    <w:rsid w:val="00FF698C"/>
    <w:rsid w:val="00FF6A4C"/>
    <w:rsid w:val="00FF6A64"/>
    <w:rsid w:val="00FF6A8C"/>
    <w:rsid w:val="00FF6B11"/>
    <w:rsid w:val="00FF6B35"/>
    <w:rsid w:val="00FF6BAE"/>
    <w:rsid w:val="00FF6D13"/>
    <w:rsid w:val="00FF6D3C"/>
    <w:rsid w:val="00FF6D83"/>
    <w:rsid w:val="00FF6DC8"/>
    <w:rsid w:val="00FF6E12"/>
    <w:rsid w:val="00FF6E66"/>
    <w:rsid w:val="00FF6EA1"/>
    <w:rsid w:val="00FF6F6E"/>
    <w:rsid w:val="00FF6F98"/>
    <w:rsid w:val="00FF6F9C"/>
    <w:rsid w:val="00FF6FFF"/>
    <w:rsid w:val="00FF7076"/>
    <w:rsid w:val="00FF710F"/>
    <w:rsid w:val="00FF7175"/>
    <w:rsid w:val="00FF7252"/>
    <w:rsid w:val="00FF727B"/>
    <w:rsid w:val="00FF72D5"/>
    <w:rsid w:val="00FF7302"/>
    <w:rsid w:val="00FF7304"/>
    <w:rsid w:val="00FF7320"/>
    <w:rsid w:val="00FF73E7"/>
    <w:rsid w:val="00FF74CB"/>
    <w:rsid w:val="00FF7550"/>
    <w:rsid w:val="00FF75A6"/>
    <w:rsid w:val="00FF7669"/>
    <w:rsid w:val="00FF766C"/>
    <w:rsid w:val="00FF7690"/>
    <w:rsid w:val="00FF76A1"/>
    <w:rsid w:val="00FF76B0"/>
    <w:rsid w:val="00FF77BA"/>
    <w:rsid w:val="00FF7892"/>
    <w:rsid w:val="00FF78BA"/>
    <w:rsid w:val="00FF78E6"/>
    <w:rsid w:val="00FF793B"/>
    <w:rsid w:val="00FF79C4"/>
    <w:rsid w:val="00FF7AF3"/>
    <w:rsid w:val="00FF7AFA"/>
    <w:rsid w:val="00FF7B4D"/>
    <w:rsid w:val="00FF7B7F"/>
    <w:rsid w:val="00FF7B81"/>
    <w:rsid w:val="00FF7B8D"/>
    <w:rsid w:val="00FF7BDC"/>
    <w:rsid w:val="00FF7C63"/>
    <w:rsid w:val="00FF7CD9"/>
    <w:rsid w:val="00FF7CE2"/>
    <w:rsid w:val="00FF7D1E"/>
    <w:rsid w:val="00FF7D6B"/>
    <w:rsid w:val="00FF7EA2"/>
    <w:rsid w:val="00FF7EBA"/>
    <w:rsid w:val="00FF7ECF"/>
    <w:rsid w:val="00FF7F7A"/>
    <w:rsid w:val="0109F88C"/>
    <w:rsid w:val="015B788C"/>
    <w:rsid w:val="016408CF"/>
    <w:rsid w:val="0187D0F5"/>
    <w:rsid w:val="01AF2C4E"/>
    <w:rsid w:val="01CF7F87"/>
    <w:rsid w:val="01F12983"/>
    <w:rsid w:val="01F46E8F"/>
    <w:rsid w:val="020C5073"/>
    <w:rsid w:val="0276332D"/>
    <w:rsid w:val="02ABBDA5"/>
    <w:rsid w:val="02C357D4"/>
    <w:rsid w:val="02CABC32"/>
    <w:rsid w:val="02EEE2AB"/>
    <w:rsid w:val="0305B426"/>
    <w:rsid w:val="0319F77E"/>
    <w:rsid w:val="03217E5F"/>
    <w:rsid w:val="0350F38E"/>
    <w:rsid w:val="037D0A57"/>
    <w:rsid w:val="03B40C3E"/>
    <w:rsid w:val="03D6FED7"/>
    <w:rsid w:val="047CFD1E"/>
    <w:rsid w:val="048F9C74"/>
    <w:rsid w:val="0497BC54"/>
    <w:rsid w:val="04B33246"/>
    <w:rsid w:val="04CB1875"/>
    <w:rsid w:val="051BF6A1"/>
    <w:rsid w:val="053DF1AB"/>
    <w:rsid w:val="055CA059"/>
    <w:rsid w:val="05692619"/>
    <w:rsid w:val="05946590"/>
    <w:rsid w:val="05FDE005"/>
    <w:rsid w:val="0624362C"/>
    <w:rsid w:val="0663F6B6"/>
    <w:rsid w:val="066C6351"/>
    <w:rsid w:val="06713DB6"/>
    <w:rsid w:val="067D105C"/>
    <w:rsid w:val="06C8E5BA"/>
    <w:rsid w:val="06E7BABE"/>
    <w:rsid w:val="06F7E3D4"/>
    <w:rsid w:val="076A53E9"/>
    <w:rsid w:val="07706361"/>
    <w:rsid w:val="07835397"/>
    <w:rsid w:val="07848257"/>
    <w:rsid w:val="079D0FBB"/>
    <w:rsid w:val="07ADF47F"/>
    <w:rsid w:val="07EF93FF"/>
    <w:rsid w:val="07F137E3"/>
    <w:rsid w:val="0802FC6C"/>
    <w:rsid w:val="08210DD2"/>
    <w:rsid w:val="08F3FBFB"/>
    <w:rsid w:val="08F4CDCE"/>
    <w:rsid w:val="0913999E"/>
    <w:rsid w:val="09844B2F"/>
    <w:rsid w:val="0985A87F"/>
    <w:rsid w:val="09BD3FA4"/>
    <w:rsid w:val="09C03D4B"/>
    <w:rsid w:val="0A08AB7B"/>
    <w:rsid w:val="0A1D8A9B"/>
    <w:rsid w:val="0A41A262"/>
    <w:rsid w:val="0A4E6A3E"/>
    <w:rsid w:val="0A7F84BD"/>
    <w:rsid w:val="0A890E75"/>
    <w:rsid w:val="0B3C342A"/>
    <w:rsid w:val="0C2719A3"/>
    <w:rsid w:val="0C275FB3"/>
    <w:rsid w:val="0C4ED591"/>
    <w:rsid w:val="0C59DE21"/>
    <w:rsid w:val="0C81B202"/>
    <w:rsid w:val="0C81F6D1"/>
    <w:rsid w:val="0C825FA4"/>
    <w:rsid w:val="0C975A5C"/>
    <w:rsid w:val="0CB83FA8"/>
    <w:rsid w:val="0CDAF459"/>
    <w:rsid w:val="0D1FD0B3"/>
    <w:rsid w:val="0D78AADC"/>
    <w:rsid w:val="0D842E14"/>
    <w:rsid w:val="0DD40383"/>
    <w:rsid w:val="0DF507E0"/>
    <w:rsid w:val="0DF5609E"/>
    <w:rsid w:val="0E0B2309"/>
    <w:rsid w:val="0E44BF0C"/>
    <w:rsid w:val="0E505F80"/>
    <w:rsid w:val="0E8A4D5F"/>
    <w:rsid w:val="0E9C7EC4"/>
    <w:rsid w:val="0EA6001B"/>
    <w:rsid w:val="0EAF184A"/>
    <w:rsid w:val="0EAF4373"/>
    <w:rsid w:val="0EB1D139"/>
    <w:rsid w:val="0EB58F20"/>
    <w:rsid w:val="0EDB2F2C"/>
    <w:rsid w:val="0F264573"/>
    <w:rsid w:val="0F534BED"/>
    <w:rsid w:val="0F7BE666"/>
    <w:rsid w:val="0FE9F39A"/>
    <w:rsid w:val="100658E0"/>
    <w:rsid w:val="100B419C"/>
    <w:rsid w:val="100DF0EC"/>
    <w:rsid w:val="102B0D0F"/>
    <w:rsid w:val="1048F64E"/>
    <w:rsid w:val="104B70B7"/>
    <w:rsid w:val="108A683A"/>
    <w:rsid w:val="10AE9E5D"/>
    <w:rsid w:val="10DAB887"/>
    <w:rsid w:val="10FB7DE8"/>
    <w:rsid w:val="11269DA7"/>
    <w:rsid w:val="113B9635"/>
    <w:rsid w:val="11457FCB"/>
    <w:rsid w:val="114AD899"/>
    <w:rsid w:val="115192B4"/>
    <w:rsid w:val="11780E44"/>
    <w:rsid w:val="11B577FC"/>
    <w:rsid w:val="11D0F03B"/>
    <w:rsid w:val="11D3393B"/>
    <w:rsid w:val="11F4F5FC"/>
    <w:rsid w:val="12105B09"/>
    <w:rsid w:val="12243AE3"/>
    <w:rsid w:val="123E6E86"/>
    <w:rsid w:val="128F783D"/>
    <w:rsid w:val="12A044F9"/>
    <w:rsid w:val="12DA693B"/>
    <w:rsid w:val="12F54CCC"/>
    <w:rsid w:val="133447B5"/>
    <w:rsid w:val="1344CEAE"/>
    <w:rsid w:val="1389C725"/>
    <w:rsid w:val="138A6021"/>
    <w:rsid w:val="141332FE"/>
    <w:rsid w:val="1424EF22"/>
    <w:rsid w:val="143DBD0D"/>
    <w:rsid w:val="146E35D6"/>
    <w:rsid w:val="149C0134"/>
    <w:rsid w:val="14F879DB"/>
    <w:rsid w:val="14FD660B"/>
    <w:rsid w:val="1533D824"/>
    <w:rsid w:val="15384480"/>
    <w:rsid w:val="1568A395"/>
    <w:rsid w:val="156B4CA8"/>
    <w:rsid w:val="157F2435"/>
    <w:rsid w:val="158310ED"/>
    <w:rsid w:val="15BA3C2C"/>
    <w:rsid w:val="15DA9F3F"/>
    <w:rsid w:val="15EB1AF7"/>
    <w:rsid w:val="16005EE7"/>
    <w:rsid w:val="16380A57"/>
    <w:rsid w:val="166F9F06"/>
    <w:rsid w:val="1674B288"/>
    <w:rsid w:val="1681588C"/>
    <w:rsid w:val="16B4C155"/>
    <w:rsid w:val="16E4DF4A"/>
    <w:rsid w:val="16F1FFCE"/>
    <w:rsid w:val="174A9F49"/>
    <w:rsid w:val="183F150B"/>
    <w:rsid w:val="187D72C3"/>
    <w:rsid w:val="18BCF958"/>
    <w:rsid w:val="18CF0DE1"/>
    <w:rsid w:val="1901AB7D"/>
    <w:rsid w:val="192A344B"/>
    <w:rsid w:val="193174BD"/>
    <w:rsid w:val="1938F220"/>
    <w:rsid w:val="193ACE17"/>
    <w:rsid w:val="1963E244"/>
    <w:rsid w:val="19AC8AD1"/>
    <w:rsid w:val="19B27709"/>
    <w:rsid w:val="19C2ADCD"/>
    <w:rsid w:val="19E94F47"/>
    <w:rsid w:val="1A65B3F9"/>
    <w:rsid w:val="1AE73230"/>
    <w:rsid w:val="1AFCBC67"/>
    <w:rsid w:val="1B160C32"/>
    <w:rsid w:val="1B1B6FAB"/>
    <w:rsid w:val="1B314E54"/>
    <w:rsid w:val="1B55AE16"/>
    <w:rsid w:val="1B81BAF4"/>
    <w:rsid w:val="1BB02A8F"/>
    <w:rsid w:val="1BC05E53"/>
    <w:rsid w:val="1BCB38BF"/>
    <w:rsid w:val="1BCEEACC"/>
    <w:rsid w:val="1BD6E0C7"/>
    <w:rsid w:val="1C04D8E3"/>
    <w:rsid w:val="1C7E3983"/>
    <w:rsid w:val="1CBA50A7"/>
    <w:rsid w:val="1CC5F4C4"/>
    <w:rsid w:val="1CDE3C77"/>
    <w:rsid w:val="1D6CA7A3"/>
    <w:rsid w:val="1E4B9067"/>
    <w:rsid w:val="1E4FD3BA"/>
    <w:rsid w:val="1E60F34F"/>
    <w:rsid w:val="1E674A95"/>
    <w:rsid w:val="1E7CD561"/>
    <w:rsid w:val="1EA3796D"/>
    <w:rsid w:val="1EBEF8AE"/>
    <w:rsid w:val="1ED82880"/>
    <w:rsid w:val="1EE9B109"/>
    <w:rsid w:val="1EFFDE64"/>
    <w:rsid w:val="1F14DEA5"/>
    <w:rsid w:val="1F17865B"/>
    <w:rsid w:val="1F2E6D6A"/>
    <w:rsid w:val="1F8C0AC0"/>
    <w:rsid w:val="1FBF90F7"/>
    <w:rsid w:val="1FC0660B"/>
    <w:rsid w:val="200520CA"/>
    <w:rsid w:val="20403C02"/>
    <w:rsid w:val="204A2BBF"/>
    <w:rsid w:val="207CC6AC"/>
    <w:rsid w:val="209E01FE"/>
    <w:rsid w:val="20B06C70"/>
    <w:rsid w:val="20CAC9F2"/>
    <w:rsid w:val="20CEF40D"/>
    <w:rsid w:val="20E870F2"/>
    <w:rsid w:val="21193B1F"/>
    <w:rsid w:val="21746857"/>
    <w:rsid w:val="217D44B4"/>
    <w:rsid w:val="21A072E7"/>
    <w:rsid w:val="21C27C32"/>
    <w:rsid w:val="21EE8939"/>
    <w:rsid w:val="2202CE6E"/>
    <w:rsid w:val="2247BA20"/>
    <w:rsid w:val="2251CAEF"/>
    <w:rsid w:val="22871E95"/>
    <w:rsid w:val="228F2ABB"/>
    <w:rsid w:val="229CC0EB"/>
    <w:rsid w:val="22A55143"/>
    <w:rsid w:val="22AD293C"/>
    <w:rsid w:val="22CBB9CC"/>
    <w:rsid w:val="22D268D3"/>
    <w:rsid w:val="231456C0"/>
    <w:rsid w:val="233244C6"/>
    <w:rsid w:val="234A6124"/>
    <w:rsid w:val="23515FF0"/>
    <w:rsid w:val="2362E5FC"/>
    <w:rsid w:val="236B95B3"/>
    <w:rsid w:val="237B4C63"/>
    <w:rsid w:val="238A32D9"/>
    <w:rsid w:val="23AA774B"/>
    <w:rsid w:val="23E3FACB"/>
    <w:rsid w:val="23E8E0E0"/>
    <w:rsid w:val="23F30AAA"/>
    <w:rsid w:val="23FC4E28"/>
    <w:rsid w:val="23FF21EC"/>
    <w:rsid w:val="2404B3B5"/>
    <w:rsid w:val="242C6014"/>
    <w:rsid w:val="242F45CC"/>
    <w:rsid w:val="24534EAF"/>
    <w:rsid w:val="24CC4B7B"/>
    <w:rsid w:val="2510F3EF"/>
    <w:rsid w:val="251B587E"/>
    <w:rsid w:val="252156E9"/>
    <w:rsid w:val="2527586B"/>
    <w:rsid w:val="253D68D2"/>
    <w:rsid w:val="254336A3"/>
    <w:rsid w:val="254D2314"/>
    <w:rsid w:val="258AE0AB"/>
    <w:rsid w:val="25CFE12F"/>
    <w:rsid w:val="26633B4A"/>
    <w:rsid w:val="267F8CC8"/>
    <w:rsid w:val="26C10976"/>
    <w:rsid w:val="26C2FE48"/>
    <w:rsid w:val="26D45461"/>
    <w:rsid w:val="27216B43"/>
    <w:rsid w:val="27582F83"/>
    <w:rsid w:val="2783AF4B"/>
    <w:rsid w:val="2794B546"/>
    <w:rsid w:val="27E4B915"/>
    <w:rsid w:val="27E5E75E"/>
    <w:rsid w:val="27E8E2CC"/>
    <w:rsid w:val="28396092"/>
    <w:rsid w:val="28504BE2"/>
    <w:rsid w:val="285D1EAE"/>
    <w:rsid w:val="2868F193"/>
    <w:rsid w:val="287A8739"/>
    <w:rsid w:val="28BECA17"/>
    <w:rsid w:val="28DE7625"/>
    <w:rsid w:val="28F8A665"/>
    <w:rsid w:val="291A4CB1"/>
    <w:rsid w:val="294C750D"/>
    <w:rsid w:val="2975596E"/>
    <w:rsid w:val="29875B5B"/>
    <w:rsid w:val="298775B8"/>
    <w:rsid w:val="298F36CC"/>
    <w:rsid w:val="299D9AA3"/>
    <w:rsid w:val="29A91412"/>
    <w:rsid w:val="29AD6A8F"/>
    <w:rsid w:val="29B59FE5"/>
    <w:rsid w:val="29D3B1E2"/>
    <w:rsid w:val="2A0A42E1"/>
    <w:rsid w:val="2A319378"/>
    <w:rsid w:val="2A57D1AB"/>
    <w:rsid w:val="2A74FE47"/>
    <w:rsid w:val="2A7CCDD4"/>
    <w:rsid w:val="2A901908"/>
    <w:rsid w:val="2AA80A2E"/>
    <w:rsid w:val="2AEF018E"/>
    <w:rsid w:val="2B1F3E82"/>
    <w:rsid w:val="2B2CEFE0"/>
    <w:rsid w:val="2B3436AF"/>
    <w:rsid w:val="2B4539CF"/>
    <w:rsid w:val="2B5DFF3A"/>
    <w:rsid w:val="2B7A7B0D"/>
    <w:rsid w:val="2BD62245"/>
    <w:rsid w:val="2C4F4909"/>
    <w:rsid w:val="2C7512D8"/>
    <w:rsid w:val="2C909AE3"/>
    <w:rsid w:val="2CD5BD4A"/>
    <w:rsid w:val="2CEFDBC2"/>
    <w:rsid w:val="2D3034F1"/>
    <w:rsid w:val="2D458D56"/>
    <w:rsid w:val="2D5FABB9"/>
    <w:rsid w:val="2DC8332D"/>
    <w:rsid w:val="2DE60268"/>
    <w:rsid w:val="2DFDF81C"/>
    <w:rsid w:val="2E154AF2"/>
    <w:rsid w:val="2E3FB75A"/>
    <w:rsid w:val="2E585AB7"/>
    <w:rsid w:val="2E7702EC"/>
    <w:rsid w:val="2EE062DD"/>
    <w:rsid w:val="2EFB4853"/>
    <w:rsid w:val="2F0034B5"/>
    <w:rsid w:val="2F25BA1B"/>
    <w:rsid w:val="2F7991FC"/>
    <w:rsid w:val="2F9922B0"/>
    <w:rsid w:val="2FBB234D"/>
    <w:rsid w:val="2FC85263"/>
    <w:rsid w:val="2FCB6B23"/>
    <w:rsid w:val="2FD1D2D7"/>
    <w:rsid w:val="2FEFAB22"/>
    <w:rsid w:val="3004332B"/>
    <w:rsid w:val="3004446C"/>
    <w:rsid w:val="300C5EE1"/>
    <w:rsid w:val="3010FCCD"/>
    <w:rsid w:val="3032D0ED"/>
    <w:rsid w:val="30B5FD5F"/>
    <w:rsid w:val="30FE525B"/>
    <w:rsid w:val="311821ED"/>
    <w:rsid w:val="314DBE6B"/>
    <w:rsid w:val="31812655"/>
    <w:rsid w:val="31BB5244"/>
    <w:rsid w:val="3208FDF9"/>
    <w:rsid w:val="32484E4D"/>
    <w:rsid w:val="325A5F6F"/>
    <w:rsid w:val="325A7CD6"/>
    <w:rsid w:val="326E450E"/>
    <w:rsid w:val="32C203F7"/>
    <w:rsid w:val="3303CE8E"/>
    <w:rsid w:val="3303E8F8"/>
    <w:rsid w:val="330E4494"/>
    <w:rsid w:val="3320904C"/>
    <w:rsid w:val="33732A09"/>
    <w:rsid w:val="338A0373"/>
    <w:rsid w:val="33B81295"/>
    <w:rsid w:val="341C5F07"/>
    <w:rsid w:val="344F34AE"/>
    <w:rsid w:val="345474FD"/>
    <w:rsid w:val="3470965E"/>
    <w:rsid w:val="34734F4F"/>
    <w:rsid w:val="348708CA"/>
    <w:rsid w:val="35A63B20"/>
    <w:rsid w:val="35E56E9F"/>
    <w:rsid w:val="35FDD6DE"/>
    <w:rsid w:val="3627D2CE"/>
    <w:rsid w:val="363771B4"/>
    <w:rsid w:val="366846CD"/>
    <w:rsid w:val="367F604C"/>
    <w:rsid w:val="36F064D7"/>
    <w:rsid w:val="374EF278"/>
    <w:rsid w:val="37502B14"/>
    <w:rsid w:val="37680A8E"/>
    <w:rsid w:val="378A1FFD"/>
    <w:rsid w:val="379CF1DD"/>
    <w:rsid w:val="37D764AC"/>
    <w:rsid w:val="37DDC722"/>
    <w:rsid w:val="37E65CFA"/>
    <w:rsid w:val="37FCDFF2"/>
    <w:rsid w:val="380229EC"/>
    <w:rsid w:val="3827D6C5"/>
    <w:rsid w:val="38F27421"/>
    <w:rsid w:val="3935D2D9"/>
    <w:rsid w:val="393B295E"/>
    <w:rsid w:val="39457A4D"/>
    <w:rsid w:val="39511721"/>
    <w:rsid w:val="396F72DC"/>
    <w:rsid w:val="39720736"/>
    <w:rsid w:val="39B06588"/>
    <w:rsid w:val="39C5561F"/>
    <w:rsid w:val="3A15CD98"/>
    <w:rsid w:val="3A18E9EB"/>
    <w:rsid w:val="3A1BC3ED"/>
    <w:rsid w:val="3A3B90A8"/>
    <w:rsid w:val="3A5435E0"/>
    <w:rsid w:val="3A591F78"/>
    <w:rsid w:val="3A5D0D74"/>
    <w:rsid w:val="3A5DFD31"/>
    <w:rsid w:val="3A888716"/>
    <w:rsid w:val="3AACA261"/>
    <w:rsid w:val="3ABA0F07"/>
    <w:rsid w:val="3AC1C19B"/>
    <w:rsid w:val="3B0AC354"/>
    <w:rsid w:val="3B519571"/>
    <w:rsid w:val="3B8290E9"/>
    <w:rsid w:val="3B8ED584"/>
    <w:rsid w:val="3BC1520F"/>
    <w:rsid w:val="3BC43597"/>
    <w:rsid w:val="3BD16CDF"/>
    <w:rsid w:val="3BF8C742"/>
    <w:rsid w:val="3BFFB32C"/>
    <w:rsid w:val="3C1122B6"/>
    <w:rsid w:val="3C2E5FF5"/>
    <w:rsid w:val="3C65E5BB"/>
    <w:rsid w:val="3C8A1B9D"/>
    <w:rsid w:val="3CC119DF"/>
    <w:rsid w:val="3CD782DB"/>
    <w:rsid w:val="3CED9160"/>
    <w:rsid w:val="3D23FA3B"/>
    <w:rsid w:val="3D45F750"/>
    <w:rsid w:val="3D6314A6"/>
    <w:rsid w:val="3D6A5B7B"/>
    <w:rsid w:val="3D746F0D"/>
    <w:rsid w:val="3D7CDCE4"/>
    <w:rsid w:val="3D861AC4"/>
    <w:rsid w:val="3D87B86B"/>
    <w:rsid w:val="3DEB6BE3"/>
    <w:rsid w:val="3E1576FE"/>
    <w:rsid w:val="3E2B4C5C"/>
    <w:rsid w:val="3E2C208F"/>
    <w:rsid w:val="3E74F5F1"/>
    <w:rsid w:val="3E855DD9"/>
    <w:rsid w:val="3E8710F2"/>
    <w:rsid w:val="3EC28872"/>
    <w:rsid w:val="3EF9A64F"/>
    <w:rsid w:val="3F331E8F"/>
    <w:rsid w:val="403CD3A9"/>
    <w:rsid w:val="405096AE"/>
    <w:rsid w:val="409C5075"/>
    <w:rsid w:val="40D09CDA"/>
    <w:rsid w:val="40D95FEF"/>
    <w:rsid w:val="41164385"/>
    <w:rsid w:val="411A25D2"/>
    <w:rsid w:val="413763C0"/>
    <w:rsid w:val="41872CA0"/>
    <w:rsid w:val="418E2827"/>
    <w:rsid w:val="4199DCA6"/>
    <w:rsid w:val="42D5111E"/>
    <w:rsid w:val="434D05FF"/>
    <w:rsid w:val="437E4002"/>
    <w:rsid w:val="4394293B"/>
    <w:rsid w:val="440A522F"/>
    <w:rsid w:val="44258005"/>
    <w:rsid w:val="4492E2CA"/>
    <w:rsid w:val="44A54571"/>
    <w:rsid w:val="44CC79F7"/>
    <w:rsid w:val="44F9AA17"/>
    <w:rsid w:val="44FB830C"/>
    <w:rsid w:val="450182CC"/>
    <w:rsid w:val="4549DD77"/>
    <w:rsid w:val="459D0E80"/>
    <w:rsid w:val="45AFE4B6"/>
    <w:rsid w:val="462225F7"/>
    <w:rsid w:val="46251C3F"/>
    <w:rsid w:val="462BF434"/>
    <w:rsid w:val="4643807B"/>
    <w:rsid w:val="4680CF83"/>
    <w:rsid w:val="46A5DB40"/>
    <w:rsid w:val="46C8F2FB"/>
    <w:rsid w:val="46CBA06B"/>
    <w:rsid w:val="46E9EAB5"/>
    <w:rsid w:val="46ECCC6D"/>
    <w:rsid w:val="47032323"/>
    <w:rsid w:val="475B9DB9"/>
    <w:rsid w:val="47713EA3"/>
    <w:rsid w:val="4793F3DE"/>
    <w:rsid w:val="47C45B00"/>
    <w:rsid w:val="47E3B10B"/>
    <w:rsid w:val="481459A1"/>
    <w:rsid w:val="48328033"/>
    <w:rsid w:val="483CA0E9"/>
    <w:rsid w:val="484B8718"/>
    <w:rsid w:val="484FE099"/>
    <w:rsid w:val="4866A6C1"/>
    <w:rsid w:val="486F9985"/>
    <w:rsid w:val="487457C7"/>
    <w:rsid w:val="4877F8D8"/>
    <w:rsid w:val="48A15210"/>
    <w:rsid w:val="48EC4404"/>
    <w:rsid w:val="48F6BDE6"/>
    <w:rsid w:val="490A5802"/>
    <w:rsid w:val="490EAF33"/>
    <w:rsid w:val="4914EEC6"/>
    <w:rsid w:val="49160EEA"/>
    <w:rsid w:val="49281F95"/>
    <w:rsid w:val="495FB828"/>
    <w:rsid w:val="496D2A9E"/>
    <w:rsid w:val="498A6B1A"/>
    <w:rsid w:val="4999B67D"/>
    <w:rsid w:val="49B09458"/>
    <w:rsid w:val="49FA2422"/>
    <w:rsid w:val="4A116FA9"/>
    <w:rsid w:val="4A2FBC5F"/>
    <w:rsid w:val="4A378893"/>
    <w:rsid w:val="4A394FE7"/>
    <w:rsid w:val="4B092146"/>
    <w:rsid w:val="4B0D7F7E"/>
    <w:rsid w:val="4B1E144E"/>
    <w:rsid w:val="4B2B4971"/>
    <w:rsid w:val="4B3936BD"/>
    <w:rsid w:val="4B8C01C8"/>
    <w:rsid w:val="4B91358F"/>
    <w:rsid w:val="4BD0A032"/>
    <w:rsid w:val="4C00AB95"/>
    <w:rsid w:val="4C0359FF"/>
    <w:rsid w:val="4C2BF51A"/>
    <w:rsid w:val="4C4892C0"/>
    <w:rsid w:val="4CB6C101"/>
    <w:rsid w:val="4D3F4E31"/>
    <w:rsid w:val="4D4325F6"/>
    <w:rsid w:val="4D480E54"/>
    <w:rsid w:val="4D80B3FA"/>
    <w:rsid w:val="4D97582E"/>
    <w:rsid w:val="4DAD45B5"/>
    <w:rsid w:val="4DB46900"/>
    <w:rsid w:val="4E207F3F"/>
    <w:rsid w:val="4E24DA90"/>
    <w:rsid w:val="4E87BE0F"/>
    <w:rsid w:val="4EAE9110"/>
    <w:rsid w:val="4F1D89F3"/>
    <w:rsid w:val="4F38CED5"/>
    <w:rsid w:val="4F3AE1AC"/>
    <w:rsid w:val="4F828D46"/>
    <w:rsid w:val="4F9CB7DB"/>
    <w:rsid w:val="4FDB5270"/>
    <w:rsid w:val="4FE681EB"/>
    <w:rsid w:val="4FF8BF98"/>
    <w:rsid w:val="5003C4F9"/>
    <w:rsid w:val="5049B450"/>
    <w:rsid w:val="5055D1F9"/>
    <w:rsid w:val="5093CBFF"/>
    <w:rsid w:val="5094E9AE"/>
    <w:rsid w:val="50B36D04"/>
    <w:rsid w:val="50BF40CA"/>
    <w:rsid w:val="50E8F570"/>
    <w:rsid w:val="50FF62D8"/>
    <w:rsid w:val="51247D08"/>
    <w:rsid w:val="51261CFC"/>
    <w:rsid w:val="512D5C44"/>
    <w:rsid w:val="513621CD"/>
    <w:rsid w:val="5158C60F"/>
    <w:rsid w:val="515AC526"/>
    <w:rsid w:val="515C7E09"/>
    <w:rsid w:val="5163BC85"/>
    <w:rsid w:val="5175E90D"/>
    <w:rsid w:val="51D435D9"/>
    <w:rsid w:val="51D9098C"/>
    <w:rsid w:val="520ACEFC"/>
    <w:rsid w:val="5238B063"/>
    <w:rsid w:val="52402EA0"/>
    <w:rsid w:val="52533423"/>
    <w:rsid w:val="52603016"/>
    <w:rsid w:val="5283F144"/>
    <w:rsid w:val="529A330A"/>
    <w:rsid w:val="52AFC17B"/>
    <w:rsid w:val="52B1FC1E"/>
    <w:rsid w:val="52B3EEA9"/>
    <w:rsid w:val="52B55DF2"/>
    <w:rsid w:val="52C572A5"/>
    <w:rsid w:val="52D4F7DA"/>
    <w:rsid w:val="532764F3"/>
    <w:rsid w:val="538BCE96"/>
    <w:rsid w:val="53AC04BA"/>
    <w:rsid w:val="53F76077"/>
    <w:rsid w:val="540069AF"/>
    <w:rsid w:val="541CF299"/>
    <w:rsid w:val="54B3C8DB"/>
    <w:rsid w:val="54D1F397"/>
    <w:rsid w:val="54E7D401"/>
    <w:rsid w:val="54FD8941"/>
    <w:rsid w:val="550614E1"/>
    <w:rsid w:val="5540F7BC"/>
    <w:rsid w:val="554AB7DA"/>
    <w:rsid w:val="557FD35D"/>
    <w:rsid w:val="55EF613C"/>
    <w:rsid w:val="55F5F1FF"/>
    <w:rsid w:val="560A216A"/>
    <w:rsid w:val="560CE2B0"/>
    <w:rsid w:val="5613E42B"/>
    <w:rsid w:val="562DEF54"/>
    <w:rsid w:val="56302219"/>
    <w:rsid w:val="56428D99"/>
    <w:rsid w:val="566D9CE7"/>
    <w:rsid w:val="56CC24E9"/>
    <w:rsid w:val="56DFFBD8"/>
    <w:rsid w:val="56F47B1B"/>
    <w:rsid w:val="56FDFDB1"/>
    <w:rsid w:val="5715D85E"/>
    <w:rsid w:val="5721A820"/>
    <w:rsid w:val="5754F126"/>
    <w:rsid w:val="5757A86E"/>
    <w:rsid w:val="57687D1D"/>
    <w:rsid w:val="5788F5D4"/>
    <w:rsid w:val="57981DD2"/>
    <w:rsid w:val="57D7D3E1"/>
    <w:rsid w:val="581F3647"/>
    <w:rsid w:val="582BA785"/>
    <w:rsid w:val="58601017"/>
    <w:rsid w:val="586A60B2"/>
    <w:rsid w:val="588F466E"/>
    <w:rsid w:val="5898DEE5"/>
    <w:rsid w:val="58C6395C"/>
    <w:rsid w:val="58D2AE91"/>
    <w:rsid w:val="59A3017B"/>
    <w:rsid w:val="59BF0ECA"/>
    <w:rsid w:val="59C1C188"/>
    <w:rsid w:val="59F8E613"/>
    <w:rsid w:val="5A36D6C4"/>
    <w:rsid w:val="5A5127D3"/>
    <w:rsid w:val="5A7480E1"/>
    <w:rsid w:val="5A803A72"/>
    <w:rsid w:val="5A8448CA"/>
    <w:rsid w:val="5AE3065A"/>
    <w:rsid w:val="5B25430F"/>
    <w:rsid w:val="5B472915"/>
    <w:rsid w:val="5B4A91B0"/>
    <w:rsid w:val="5B5F5578"/>
    <w:rsid w:val="5B604D78"/>
    <w:rsid w:val="5B68B2A3"/>
    <w:rsid w:val="5B7D61E6"/>
    <w:rsid w:val="5B8A3E77"/>
    <w:rsid w:val="5BB8105D"/>
    <w:rsid w:val="5BB91189"/>
    <w:rsid w:val="5BD49306"/>
    <w:rsid w:val="5C27A1E2"/>
    <w:rsid w:val="5C33B80A"/>
    <w:rsid w:val="5C697074"/>
    <w:rsid w:val="5C93DC0E"/>
    <w:rsid w:val="5C9A497A"/>
    <w:rsid w:val="5C9D9CB5"/>
    <w:rsid w:val="5CA6826E"/>
    <w:rsid w:val="5CAA0EA8"/>
    <w:rsid w:val="5CB71C8A"/>
    <w:rsid w:val="5CC414C2"/>
    <w:rsid w:val="5CCC6CF3"/>
    <w:rsid w:val="5CF4D1E6"/>
    <w:rsid w:val="5D5689FB"/>
    <w:rsid w:val="5D643B79"/>
    <w:rsid w:val="5D854BFC"/>
    <w:rsid w:val="5D9AADA6"/>
    <w:rsid w:val="5DB5A942"/>
    <w:rsid w:val="5DC2E6BA"/>
    <w:rsid w:val="5DD3FD78"/>
    <w:rsid w:val="5E09B167"/>
    <w:rsid w:val="5E198AEC"/>
    <w:rsid w:val="5E3CDFA2"/>
    <w:rsid w:val="5E54A902"/>
    <w:rsid w:val="5E7A08DA"/>
    <w:rsid w:val="5E93A0AD"/>
    <w:rsid w:val="5E9EA070"/>
    <w:rsid w:val="5EA973D3"/>
    <w:rsid w:val="5ECB3023"/>
    <w:rsid w:val="5ED13556"/>
    <w:rsid w:val="5EFFD366"/>
    <w:rsid w:val="5F4F7EE4"/>
    <w:rsid w:val="5F71DEA7"/>
    <w:rsid w:val="5F78B25D"/>
    <w:rsid w:val="5F887E3F"/>
    <w:rsid w:val="5F92FD3D"/>
    <w:rsid w:val="5F94BC13"/>
    <w:rsid w:val="5F95461E"/>
    <w:rsid w:val="5F9C51F4"/>
    <w:rsid w:val="5FAC0FD6"/>
    <w:rsid w:val="5FBCB955"/>
    <w:rsid w:val="60400EB2"/>
    <w:rsid w:val="60445AC6"/>
    <w:rsid w:val="606B022B"/>
    <w:rsid w:val="607E917B"/>
    <w:rsid w:val="609E146B"/>
    <w:rsid w:val="60A9DCBC"/>
    <w:rsid w:val="60C49F7F"/>
    <w:rsid w:val="60D6ACEB"/>
    <w:rsid w:val="615C9E89"/>
    <w:rsid w:val="615E5C84"/>
    <w:rsid w:val="616D97C6"/>
    <w:rsid w:val="628CD89D"/>
    <w:rsid w:val="629B6638"/>
    <w:rsid w:val="62A69C90"/>
    <w:rsid w:val="62E53F1E"/>
    <w:rsid w:val="62E5A95C"/>
    <w:rsid w:val="62ED4FBD"/>
    <w:rsid w:val="62F58A0B"/>
    <w:rsid w:val="631838E6"/>
    <w:rsid w:val="6336F5E7"/>
    <w:rsid w:val="635BB02A"/>
    <w:rsid w:val="6369EEE8"/>
    <w:rsid w:val="6378FE61"/>
    <w:rsid w:val="6391335B"/>
    <w:rsid w:val="63B408D5"/>
    <w:rsid w:val="640B759A"/>
    <w:rsid w:val="6450F691"/>
    <w:rsid w:val="64587685"/>
    <w:rsid w:val="645E37E4"/>
    <w:rsid w:val="646C1182"/>
    <w:rsid w:val="646CBD1B"/>
    <w:rsid w:val="649CFF7A"/>
    <w:rsid w:val="64A42BB5"/>
    <w:rsid w:val="64F2E7D7"/>
    <w:rsid w:val="64F469B9"/>
    <w:rsid w:val="65093A50"/>
    <w:rsid w:val="6512710B"/>
    <w:rsid w:val="65170734"/>
    <w:rsid w:val="654145CA"/>
    <w:rsid w:val="655F57FA"/>
    <w:rsid w:val="65E6C853"/>
    <w:rsid w:val="65EFEAE3"/>
    <w:rsid w:val="662FF164"/>
    <w:rsid w:val="66730BDF"/>
    <w:rsid w:val="669A7710"/>
    <w:rsid w:val="66F9A75C"/>
    <w:rsid w:val="679286DD"/>
    <w:rsid w:val="679CCC54"/>
    <w:rsid w:val="67CEC7A9"/>
    <w:rsid w:val="67DE27C2"/>
    <w:rsid w:val="67F42433"/>
    <w:rsid w:val="6862DAA0"/>
    <w:rsid w:val="6884D756"/>
    <w:rsid w:val="689B6F34"/>
    <w:rsid w:val="68A4A342"/>
    <w:rsid w:val="68B9C116"/>
    <w:rsid w:val="69062814"/>
    <w:rsid w:val="690D896A"/>
    <w:rsid w:val="690F2816"/>
    <w:rsid w:val="69185D37"/>
    <w:rsid w:val="6927FE47"/>
    <w:rsid w:val="69320EFB"/>
    <w:rsid w:val="6968E868"/>
    <w:rsid w:val="69A54E66"/>
    <w:rsid w:val="69BB81A1"/>
    <w:rsid w:val="69CC6DEF"/>
    <w:rsid w:val="69E16597"/>
    <w:rsid w:val="69F77BEE"/>
    <w:rsid w:val="6A040CCF"/>
    <w:rsid w:val="6A26EADD"/>
    <w:rsid w:val="6A3C7C1A"/>
    <w:rsid w:val="6A6E857E"/>
    <w:rsid w:val="6A71FAAC"/>
    <w:rsid w:val="6A85E87B"/>
    <w:rsid w:val="6AA76560"/>
    <w:rsid w:val="6AD9A25E"/>
    <w:rsid w:val="6ADA9E59"/>
    <w:rsid w:val="6AE32132"/>
    <w:rsid w:val="6B301762"/>
    <w:rsid w:val="6B815A8B"/>
    <w:rsid w:val="6B8A6BDA"/>
    <w:rsid w:val="6BA8ACA3"/>
    <w:rsid w:val="6BF35988"/>
    <w:rsid w:val="6BF67441"/>
    <w:rsid w:val="6BF67E17"/>
    <w:rsid w:val="6C404E02"/>
    <w:rsid w:val="6C817EE7"/>
    <w:rsid w:val="6CA1DBBF"/>
    <w:rsid w:val="6D07E949"/>
    <w:rsid w:val="6D23E5D9"/>
    <w:rsid w:val="6D2B3A45"/>
    <w:rsid w:val="6D4CC42A"/>
    <w:rsid w:val="6D6DC81D"/>
    <w:rsid w:val="6D6E4A0A"/>
    <w:rsid w:val="6D858019"/>
    <w:rsid w:val="6D99C6CE"/>
    <w:rsid w:val="6D9EDC3B"/>
    <w:rsid w:val="6DB47F4E"/>
    <w:rsid w:val="6DDAC64C"/>
    <w:rsid w:val="6E3B7B05"/>
    <w:rsid w:val="6E4B28E9"/>
    <w:rsid w:val="6E975332"/>
    <w:rsid w:val="6E97AA9C"/>
    <w:rsid w:val="6EC3D350"/>
    <w:rsid w:val="6F037E33"/>
    <w:rsid w:val="6F32A992"/>
    <w:rsid w:val="6F40448A"/>
    <w:rsid w:val="6F5FD053"/>
    <w:rsid w:val="6F75055F"/>
    <w:rsid w:val="6F79F91A"/>
    <w:rsid w:val="6FC3F400"/>
    <w:rsid w:val="6FCBB2C5"/>
    <w:rsid w:val="6FDD7637"/>
    <w:rsid w:val="6FFEA0EB"/>
    <w:rsid w:val="700276BD"/>
    <w:rsid w:val="703F5217"/>
    <w:rsid w:val="7088F71B"/>
    <w:rsid w:val="70A1F4DA"/>
    <w:rsid w:val="70B0BAF5"/>
    <w:rsid w:val="70B6A679"/>
    <w:rsid w:val="70BEBE27"/>
    <w:rsid w:val="70FD81F5"/>
    <w:rsid w:val="7102D7D8"/>
    <w:rsid w:val="710EBD89"/>
    <w:rsid w:val="712ED114"/>
    <w:rsid w:val="71453123"/>
    <w:rsid w:val="7166062C"/>
    <w:rsid w:val="7191298E"/>
    <w:rsid w:val="71AE246D"/>
    <w:rsid w:val="71DC68E7"/>
    <w:rsid w:val="71E6510A"/>
    <w:rsid w:val="71F2A284"/>
    <w:rsid w:val="720B514E"/>
    <w:rsid w:val="724F3474"/>
    <w:rsid w:val="726DF52B"/>
    <w:rsid w:val="7281E928"/>
    <w:rsid w:val="72A286E7"/>
    <w:rsid w:val="72C47B6E"/>
    <w:rsid w:val="72E2B22A"/>
    <w:rsid w:val="731906AB"/>
    <w:rsid w:val="734BD9A0"/>
    <w:rsid w:val="739A1F9B"/>
    <w:rsid w:val="73A232C9"/>
    <w:rsid w:val="740CAC00"/>
    <w:rsid w:val="74279D06"/>
    <w:rsid w:val="743A8AD5"/>
    <w:rsid w:val="743D0672"/>
    <w:rsid w:val="74466E9D"/>
    <w:rsid w:val="74689F0E"/>
    <w:rsid w:val="74B14DE5"/>
    <w:rsid w:val="74D61F5D"/>
    <w:rsid w:val="74F09D95"/>
    <w:rsid w:val="74F144F8"/>
    <w:rsid w:val="74F45EF6"/>
    <w:rsid w:val="74FC93B5"/>
    <w:rsid w:val="74FD8DEA"/>
    <w:rsid w:val="75117912"/>
    <w:rsid w:val="7534A437"/>
    <w:rsid w:val="754779D1"/>
    <w:rsid w:val="755385A1"/>
    <w:rsid w:val="75856D63"/>
    <w:rsid w:val="7596C686"/>
    <w:rsid w:val="7599C944"/>
    <w:rsid w:val="75B994BD"/>
    <w:rsid w:val="760D6C5E"/>
    <w:rsid w:val="762216D0"/>
    <w:rsid w:val="766220F3"/>
    <w:rsid w:val="76A546F6"/>
    <w:rsid w:val="76BAA122"/>
    <w:rsid w:val="76F9ADCC"/>
    <w:rsid w:val="770B2EAC"/>
    <w:rsid w:val="772EE248"/>
    <w:rsid w:val="7731EE9B"/>
    <w:rsid w:val="775DD817"/>
    <w:rsid w:val="7772CFE5"/>
    <w:rsid w:val="777A7088"/>
    <w:rsid w:val="779F4D1E"/>
    <w:rsid w:val="77AB666F"/>
    <w:rsid w:val="77B695DD"/>
    <w:rsid w:val="77BE8CB5"/>
    <w:rsid w:val="77CBF446"/>
    <w:rsid w:val="77E5E577"/>
    <w:rsid w:val="7814F244"/>
    <w:rsid w:val="7838A9B7"/>
    <w:rsid w:val="78481077"/>
    <w:rsid w:val="78682BDC"/>
    <w:rsid w:val="787D5AF7"/>
    <w:rsid w:val="78A71E95"/>
    <w:rsid w:val="78B6BE92"/>
    <w:rsid w:val="78F629E6"/>
    <w:rsid w:val="790C50F9"/>
    <w:rsid w:val="79335332"/>
    <w:rsid w:val="7957A8F1"/>
    <w:rsid w:val="7975E359"/>
    <w:rsid w:val="797EF23E"/>
    <w:rsid w:val="798BDCE7"/>
    <w:rsid w:val="799FEE7D"/>
    <w:rsid w:val="79A93B89"/>
    <w:rsid w:val="7A0405AA"/>
    <w:rsid w:val="7A3ED878"/>
    <w:rsid w:val="7A74D60C"/>
    <w:rsid w:val="7A8C918D"/>
    <w:rsid w:val="7AA2EEFB"/>
    <w:rsid w:val="7AB948E9"/>
    <w:rsid w:val="7ABEBDF1"/>
    <w:rsid w:val="7AFC7274"/>
    <w:rsid w:val="7B05D112"/>
    <w:rsid w:val="7B4941BA"/>
    <w:rsid w:val="7B501B39"/>
    <w:rsid w:val="7B96EB70"/>
    <w:rsid w:val="7C0697A1"/>
    <w:rsid w:val="7C0D1F8D"/>
    <w:rsid w:val="7C1CE5F6"/>
    <w:rsid w:val="7C1F87CB"/>
    <w:rsid w:val="7C4A4FDF"/>
    <w:rsid w:val="7C55BF95"/>
    <w:rsid w:val="7C67E623"/>
    <w:rsid w:val="7C7CE560"/>
    <w:rsid w:val="7CD78596"/>
    <w:rsid w:val="7CDFC737"/>
    <w:rsid w:val="7D4431BD"/>
    <w:rsid w:val="7D82F822"/>
    <w:rsid w:val="7DAB2064"/>
    <w:rsid w:val="7DCB7C7D"/>
    <w:rsid w:val="7DD383C5"/>
    <w:rsid w:val="7DF60305"/>
    <w:rsid w:val="7E11AD53"/>
    <w:rsid w:val="7E124696"/>
    <w:rsid w:val="7E6D82F1"/>
    <w:rsid w:val="7E6FBBE6"/>
    <w:rsid w:val="7E7598E6"/>
    <w:rsid w:val="7E78147E"/>
    <w:rsid w:val="7EBA2797"/>
    <w:rsid w:val="7ED306EE"/>
    <w:rsid w:val="7F03C50C"/>
    <w:rsid w:val="7F07E48D"/>
    <w:rsid w:val="7F62FDBB"/>
    <w:rsid w:val="7F8C0B08"/>
    <w:rsid w:val="7FA8B656"/>
    <w:rsid w:val="7FD6C861"/>
    <w:rsid w:val="7FE11E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82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42B"/>
    <w:pPr>
      <w:spacing w:before="120" w:after="120" w:line="240" w:lineRule="auto"/>
    </w:pPr>
    <w:rPr>
      <w:rFonts w:ascii="Calibri Light" w:eastAsia="Times New Roman" w:hAnsi="Calibri Light" w:cs="Times New Roman"/>
      <w:szCs w:val="20"/>
      <w:lang w:eastAsia="en-AU"/>
    </w:rPr>
  </w:style>
  <w:style w:type="paragraph" w:styleId="Heading1">
    <w:name w:val="heading 1"/>
    <w:basedOn w:val="HeadingBase"/>
    <w:next w:val="Normal"/>
    <w:link w:val="Heading1Char"/>
    <w:qFormat/>
    <w:rsid w:val="00D73DD0"/>
    <w:pPr>
      <w:spacing w:before="600" w:line="460" w:lineRule="exact"/>
      <w:outlineLvl w:val="0"/>
    </w:pPr>
    <w:rPr>
      <w:b/>
      <w:bCs w:val="0"/>
      <w:color w:val="5D779D" w:themeColor="accent3"/>
      <w:sz w:val="44"/>
    </w:rPr>
  </w:style>
  <w:style w:type="paragraph" w:styleId="Heading2">
    <w:name w:val="heading 2"/>
    <w:basedOn w:val="HeadingBase"/>
    <w:next w:val="Normal"/>
    <w:link w:val="Heading2Char"/>
    <w:qFormat/>
    <w:rsid w:val="00D73DD0"/>
    <w:pPr>
      <w:spacing w:before="360" w:line="460" w:lineRule="exact"/>
      <w:outlineLvl w:val="1"/>
    </w:pPr>
    <w:rPr>
      <w:bCs w:val="0"/>
      <w:iCs/>
      <w:color w:val="2C384A" w:themeColor="accent1"/>
      <w:sz w:val="36"/>
      <w:szCs w:val="28"/>
    </w:rPr>
  </w:style>
  <w:style w:type="paragraph" w:styleId="Heading3">
    <w:name w:val="heading 3"/>
    <w:basedOn w:val="HeadingBase"/>
    <w:next w:val="Normal"/>
    <w:link w:val="Heading3Char"/>
    <w:qFormat/>
    <w:rsid w:val="00D73DD0"/>
    <w:pPr>
      <w:spacing w:before="320" w:after="0" w:line="276" w:lineRule="auto"/>
      <w:outlineLvl w:val="2"/>
    </w:pPr>
    <w:rPr>
      <w:b/>
      <w:bCs w:val="0"/>
      <w:color w:val="4D7861" w:themeColor="accent2"/>
      <w:sz w:val="28"/>
      <w:szCs w:val="26"/>
    </w:rPr>
  </w:style>
  <w:style w:type="paragraph" w:styleId="Heading4">
    <w:name w:val="heading 4"/>
    <w:basedOn w:val="HeadingBase"/>
    <w:next w:val="Normal"/>
    <w:link w:val="Heading4Char"/>
    <w:qFormat/>
    <w:rsid w:val="00CF119D"/>
    <w:pPr>
      <w:spacing w:before="280" w:after="0" w:line="276" w:lineRule="auto"/>
      <w:outlineLvl w:val="3"/>
    </w:pPr>
    <w:rPr>
      <w:rFonts w:ascii="Calibri Light" w:hAnsi="Calibri Light"/>
      <w:b/>
      <w:bCs w:val="0"/>
      <w:color w:val="2C384A" w:themeColor="accent1"/>
      <w:sz w:val="24"/>
      <w:szCs w:val="26"/>
    </w:rPr>
  </w:style>
  <w:style w:type="paragraph" w:styleId="Heading5">
    <w:name w:val="heading 5"/>
    <w:basedOn w:val="HeadingBase"/>
    <w:next w:val="Normal"/>
    <w:link w:val="Heading5Char"/>
    <w:rsid w:val="00D73DD0"/>
    <w:pPr>
      <w:spacing w:before="240" w:after="0" w:line="276" w:lineRule="auto"/>
      <w:outlineLvl w:val="4"/>
    </w:pPr>
    <w:rPr>
      <w:rFonts w:asciiTheme="majorHAnsi" w:hAnsiTheme="majorHAnsi"/>
      <w:b/>
      <w:bCs w:val="0"/>
      <w:iCs/>
      <w:color w:val="000000" w:themeColor="text1"/>
      <w:sz w:val="22"/>
    </w:rPr>
  </w:style>
  <w:style w:type="paragraph" w:styleId="Heading6">
    <w:name w:val="heading 6"/>
    <w:basedOn w:val="HeadingBase"/>
    <w:next w:val="Normal"/>
    <w:link w:val="Heading6Char"/>
    <w:rsid w:val="00D73DD0"/>
    <w:pPr>
      <w:spacing w:before="120" w:after="0" w:line="276" w:lineRule="auto"/>
      <w:outlineLvl w:val="5"/>
    </w:pPr>
    <w:rPr>
      <w:rFonts w:ascii="Calibri Light" w:hAnsi="Calibri Light"/>
      <w:bCs w:val="0"/>
      <w:color w:val="000000" w:themeColor="text1"/>
      <w:sz w:val="22"/>
      <w:szCs w:val="22"/>
    </w:rPr>
  </w:style>
  <w:style w:type="paragraph" w:styleId="Heading7">
    <w:name w:val="heading 7"/>
    <w:basedOn w:val="Normal"/>
    <w:next w:val="Normal"/>
    <w:link w:val="Heading7Char"/>
    <w:uiPriority w:val="9"/>
    <w:semiHidden/>
    <w:unhideWhenUsed/>
    <w:rsid w:val="00C02971"/>
    <w:pPr>
      <w:keepNext/>
      <w:keepLines/>
      <w:numPr>
        <w:ilvl w:val="6"/>
        <w:numId w:val="10"/>
      </w:numPr>
      <w:spacing w:before="40" w:after="0"/>
      <w:outlineLvl w:val="6"/>
    </w:pPr>
    <w:rPr>
      <w:rFonts w:asciiTheme="majorHAnsi" w:eastAsiaTheme="majorEastAsia" w:hAnsiTheme="majorHAnsi" w:cstheme="majorBidi"/>
      <w:i/>
      <w:iCs/>
      <w:color w:val="161B24" w:themeColor="accent1" w:themeShade="7F"/>
    </w:rPr>
  </w:style>
  <w:style w:type="paragraph" w:styleId="Heading8">
    <w:name w:val="heading 8"/>
    <w:basedOn w:val="Normal"/>
    <w:next w:val="Normal"/>
    <w:link w:val="Heading8Char"/>
    <w:uiPriority w:val="9"/>
    <w:semiHidden/>
    <w:unhideWhenUsed/>
    <w:qFormat/>
    <w:rsid w:val="00C02971"/>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2971"/>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DD0"/>
    <w:rPr>
      <w:rFonts w:ascii="Calibri" w:eastAsia="Times New Roman" w:hAnsi="Calibri" w:cs="Arial"/>
      <w:b/>
      <w:color w:val="5D779D" w:themeColor="accent3"/>
      <w:kern w:val="32"/>
      <w:sz w:val="44"/>
      <w:szCs w:val="36"/>
      <w:lang w:eastAsia="en-AU"/>
    </w:rPr>
  </w:style>
  <w:style w:type="character" w:customStyle="1" w:styleId="Heading2Char">
    <w:name w:val="Heading 2 Char"/>
    <w:basedOn w:val="DefaultParagraphFont"/>
    <w:link w:val="Heading2"/>
    <w:rsid w:val="00D73DD0"/>
    <w:rPr>
      <w:rFonts w:ascii="Calibri" w:eastAsia="Times New Roman" w:hAnsi="Calibri" w:cs="Arial"/>
      <w:iCs/>
      <w:color w:val="2C384A" w:themeColor="accent1"/>
      <w:kern w:val="32"/>
      <w:sz w:val="36"/>
      <w:szCs w:val="28"/>
      <w:lang w:eastAsia="en-AU"/>
    </w:rPr>
  </w:style>
  <w:style w:type="character" w:customStyle="1" w:styleId="Heading3Char">
    <w:name w:val="Heading 3 Char"/>
    <w:basedOn w:val="DefaultParagraphFont"/>
    <w:link w:val="Heading3"/>
    <w:rsid w:val="00D73DD0"/>
    <w:rPr>
      <w:rFonts w:ascii="Calibri" w:eastAsia="Times New Roman" w:hAnsi="Calibri" w:cs="Arial"/>
      <w:b/>
      <w:color w:val="4D7861" w:themeColor="accent2"/>
      <w:kern w:val="32"/>
      <w:sz w:val="28"/>
      <w:szCs w:val="26"/>
      <w:lang w:eastAsia="en-AU"/>
    </w:rPr>
  </w:style>
  <w:style w:type="character" w:customStyle="1" w:styleId="Heading4Char">
    <w:name w:val="Heading 4 Char"/>
    <w:basedOn w:val="DefaultParagraphFont"/>
    <w:link w:val="Heading4"/>
    <w:rsid w:val="00CF119D"/>
    <w:rPr>
      <w:rFonts w:ascii="Calibri Light" w:eastAsia="Times New Roman" w:hAnsi="Calibri Light" w:cs="Arial"/>
      <w:b/>
      <w:color w:val="2C384A" w:themeColor="accent1"/>
      <w:kern w:val="32"/>
      <w:sz w:val="24"/>
      <w:szCs w:val="26"/>
      <w:lang w:eastAsia="en-AU"/>
    </w:rPr>
  </w:style>
  <w:style w:type="character" w:customStyle="1" w:styleId="Heading5Char">
    <w:name w:val="Heading 5 Char"/>
    <w:basedOn w:val="DefaultParagraphFont"/>
    <w:link w:val="Heading5"/>
    <w:rsid w:val="00D73DD0"/>
    <w:rPr>
      <w:rFonts w:asciiTheme="majorHAnsi" w:eastAsia="Times New Roman" w:hAnsiTheme="majorHAnsi" w:cs="Arial"/>
      <w:b/>
      <w:iCs/>
      <w:color w:val="000000" w:themeColor="text1"/>
      <w:kern w:val="32"/>
      <w:szCs w:val="36"/>
      <w:lang w:eastAsia="en-AU"/>
    </w:rPr>
  </w:style>
  <w:style w:type="character" w:customStyle="1" w:styleId="Heading6Char">
    <w:name w:val="Heading 6 Char"/>
    <w:basedOn w:val="DefaultParagraphFont"/>
    <w:link w:val="Heading6"/>
    <w:rsid w:val="00D73DD0"/>
    <w:rPr>
      <w:rFonts w:ascii="Calibri Light" w:eastAsia="Times New Roman" w:hAnsi="Calibri Light" w:cs="Arial"/>
      <w:color w:val="000000" w:themeColor="text1"/>
      <w:kern w:val="32"/>
      <w:lang w:eastAsia="en-AU"/>
    </w:rPr>
  </w:style>
  <w:style w:type="paragraph" w:customStyle="1" w:styleId="ChartGraphic">
    <w:name w:val="Chart Graphic"/>
    <w:basedOn w:val="Normal"/>
    <w:next w:val="Normal"/>
    <w:rsid w:val="00D73DD0"/>
    <w:pPr>
      <w:keepNext/>
      <w:spacing w:before="0" w:after="0"/>
      <w:jc w:val="center"/>
    </w:pPr>
    <w:rPr>
      <w:color w:val="004A7F"/>
      <w:sz w:val="20"/>
    </w:rPr>
  </w:style>
  <w:style w:type="paragraph" w:customStyle="1" w:styleId="AlphaParagraph">
    <w:name w:val="Alpha Paragraph"/>
    <w:basedOn w:val="Normal"/>
    <w:qFormat/>
    <w:rsid w:val="00D73DD0"/>
    <w:pPr>
      <w:numPr>
        <w:ilvl w:val="1"/>
        <w:numId w:val="5"/>
      </w:numPr>
      <w:spacing w:before="0"/>
    </w:pPr>
  </w:style>
  <w:style w:type="character" w:customStyle="1" w:styleId="DashChar">
    <w:name w:val="Dash Char"/>
    <w:basedOn w:val="DefaultParagraphFont"/>
    <w:link w:val="Dash"/>
    <w:uiPriority w:val="99"/>
    <w:locked/>
    <w:rsid w:val="00D73DD0"/>
    <w:rPr>
      <w:rFonts w:ascii="Calibri Light" w:eastAsia="Times New Roman" w:hAnsi="Calibri Light" w:cs="Times New Roman"/>
      <w:szCs w:val="20"/>
      <w:lang w:eastAsia="en-AU"/>
    </w:rPr>
  </w:style>
  <w:style w:type="character" w:customStyle="1" w:styleId="DoubleDotChar">
    <w:name w:val="Double Dot Char"/>
    <w:basedOn w:val="DefaultParagraphFont"/>
    <w:link w:val="DoubleDot"/>
    <w:uiPriority w:val="99"/>
    <w:locked/>
    <w:rsid w:val="00D73DD0"/>
    <w:rPr>
      <w:rFonts w:ascii="Calibri Light" w:eastAsia="Times New Roman" w:hAnsi="Calibri Light" w:cs="Times New Roman"/>
      <w:szCs w:val="20"/>
      <w:lang w:eastAsia="en-AU"/>
    </w:rPr>
  </w:style>
  <w:style w:type="character" w:customStyle="1" w:styleId="BulletChar">
    <w:name w:val="Bullet Char"/>
    <w:basedOn w:val="DefaultParagraphFont"/>
    <w:link w:val="Bullet"/>
    <w:locked/>
    <w:rsid w:val="00DB6514"/>
    <w:rPr>
      <w:rFonts w:ascii="Calibri Light" w:eastAsia="Times New Roman" w:hAnsi="Calibri Light" w:cs="Times New Roman"/>
      <w:szCs w:val="20"/>
      <w:lang w:eastAsia="en-AU"/>
    </w:rPr>
  </w:style>
  <w:style w:type="paragraph" w:customStyle="1" w:styleId="BoxHeading">
    <w:name w:val="Box Heading"/>
    <w:basedOn w:val="Normal"/>
    <w:next w:val="Normal"/>
    <w:rsid w:val="00D73DD0"/>
    <w:pPr>
      <w:keepNext/>
      <w:spacing w:before="240"/>
    </w:pPr>
    <w:rPr>
      <w:b/>
      <w:color w:val="2C384A" w:themeColor="accent1"/>
      <w:sz w:val="26"/>
      <w:szCs w:val="26"/>
    </w:rPr>
  </w:style>
  <w:style w:type="paragraph" w:customStyle="1" w:styleId="BoxText">
    <w:name w:val="Box Text"/>
    <w:basedOn w:val="Normal"/>
    <w:link w:val="BoxTextChar"/>
    <w:rsid w:val="00D73DD0"/>
  </w:style>
  <w:style w:type="paragraph" w:customStyle="1" w:styleId="Bullet">
    <w:name w:val="Bullet"/>
    <w:basedOn w:val="Normal"/>
    <w:link w:val="BulletChar"/>
    <w:autoRedefine/>
    <w:qFormat/>
    <w:rsid w:val="00DB6514"/>
    <w:pPr>
      <w:numPr>
        <w:numId w:val="8"/>
      </w:numPr>
      <w:tabs>
        <w:tab w:val="left" w:pos="720"/>
      </w:tabs>
      <w:spacing w:before="0"/>
    </w:pPr>
  </w:style>
  <w:style w:type="paragraph" w:customStyle="1" w:styleId="ChartandTableFootnoteAlpha">
    <w:name w:val="Chart and Table Footnote Alpha"/>
    <w:rsid w:val="00D73DD0"/>
    <w:pPr>
      <w:numPr>
        <w:numId w:val="6"/>
      </w:numPr>
      <w:spacing w:after="0" w:line="240" w:lineRule="auto"/>
      <w:jc w:val="both"/>
    </w:pPr>
    <w:rPr>
      <w:rFonts w:ascii="Calibri" w:eastAsia="Times New Roman" w:hAnsi="Calibri" w:cs="Times New Roman"/>
      <w:color w:val="000000"/>
      <w:sz w:val="18"/>
      <w:szCs w:val="16"/>
      <w:lang w:eastAsia="en-AU"/>
    </w:rPr>
  </w:style>
  <w:style w:type="paragraph" w:customStyle="1" w:styleId="ChartMainHeading">
    <w:name w:val="Chart Main Heading"/>
    <w:basedOn w:val="TableMainHeading"/>
    <w:next w:val="ChartGraphic"/>
    <w:rsid w:val="00D65E41"/>
    <w:pPr>
      <w:spacing w:after="60" w:line="240" w:lineRule="auto"/>
    </w:pPr>
  </w:style>
  <w:style w:type="paragraph" w:customStyle="1" w:styleId="ChartorTableNote">
    <w:name w:val="Chart or Table Note"/>
    <w:next w:val="Normal"/>
    <w:rsid w:val="00A64FB4"/>
    <w:pPr>
      <w:spacing w:before="60" w:after="0" w:line="240" w:lineRule="auto"/>
    </w:pPr>
    <w:rPr>
      <w:rFonts w:ascii="Calibri Light" w:eastAsia="Times New Roman" w:hAnsi="Calibri Light" w:cs="Times New Roman"/>
      <w:color w:val="000000"/>
      <w:sz w:val="18"/>
      <w:szCs w:val="20"/>
      <w:lang w:eastAsia="en-AU"/>
    </w:rPr>
  </w:style>
  <w:style w:type="paragraph" w:customStyle="1" w:styleId="ChartSecondHeading">
    <w:name w:val="Chart Second Heading"/>
    <w:basedOn w:val="TableSecondHeading"/>
    <w:next w:val="ChartGraphic"/>
    <w:rsid w:val="00D73DD0"/>
    <w:pPr>
      <w:jc w:val="center"/>
    </w:pPr>
    <w:rPr>
      <w:b w:val="0"/>
      <w:bCs/>
    </w:rPr>
  </w:style>
  <w:style w:type="paragraph" w:customStyle="1" w:styleId="ReportDate">
    <w:name w:val="Report Date"/>
    <w:basedOn w:val="Normal"/>
    <w:link w:val="ReportDateChar"/>
    <w:rsid w:val="00D73DD0"/>
    <w:pPr>
      <w:keepNext/>
      <w:spacing w:before="0" w:after="360"/>
    </w:pPr>
    <w:rPr>
      <w:color w:val="90B6F0"/>
      <w:sz w:val="32"/>
    </w:rPr>
  </w:style>
  <w:style w:type="paragraph" w:customStyle="1" w:styleId="Dash">
    <w:name w:val="Dash"/>
    <w:basedOn w:val="Normal"/>
    <w:link w:val="DashChar"/>
    <w:uiPriority w:val="99"/>
    <w:qFormat/>
    <w:rsid w:val="00D73DD0"/>
    <w:pPr>
      <w:numPr>
        <w:ilvl w:val="1"/>
        <w:numId w:val="8"/>
      </w:numPr>
      <w:spacing w:before="0"/>
    </w:pPr>
  </w:style>
  <w:style w:type="paragraph" w:customStyle="1" w:styleId="DoubleDot">
    <w:name w:val="Double Dot"/>
    <w:basedOn w:val="Normal"/>
    <w:link w:val="DoubleDotChar"/>
    <w:uiPriority w:val="99"/>
    <w:qFormat/>
    <w:rsid w:val="00D73DD0"/>
    <w:pPr>
      <w:numPr>
        <w:ilvl w:val="2"/>
        <w:numId w:val="8"/>
      </w:numPr>
      <w:spacing w:before="0"/>
    </w:pPr>
  </w:style>
  <w:style w:type="paragraph" w:customStyle="1" w:styleId="TableMainHeading">
    <w:name w:val="Table Main Heading"/>
    <w:basedOn w:val="Heading3"/>
    <w:next w:val="Normal"/>
    <w:rsid w:val="00F90CEF"/>
    <w:pPr>
      <w:spacing w:before="120"/>
      <w:outlineLvl w:val="9"/>
    </w:pPr>
    <w:rPr>
      <w:b w:val="0"/>
      <w:color w:val="2C384A" w:themeColor="accent1"/>
      <w:sz w:val="26"/>
    </w:rPr>
  </w:style>
  <w:style w:type="paragraph" w:customStyle="1" w:styleId="FooterEven">
    <w:name w:val="Footer Even"/>
    <w:basedOn w:val="Footer"/>
    <w:rsid w:val="00D73DD0"/>
    <w:pPr>
      <w:keepNext/>
      <w:tabs>
        <w:tab w:val="clear" w:pos="4513"/>
        <w:tab w:val="clear" w:pos="9026"/>
        <w:tab w:val="right" w:pos="9072"/>
      </w:tabs>
      <w:jc w:val="left"/>
    </w:pPr>
    <w:rPr>
      <w:noProof/>
      <w:color w:val="2C384A" w:themeColor="accent1"/>
    </w:rPr>
  </w:style>
  <w:style w:type="paragraph" w:customStyle="1" w:styleId="FooterOdd">
    <w:name w:val="Footer Odd"/>
    <w:basedOn w:val="Footer"/>
    <w:rsid w:val="00D73DD0"/>
    <w:pPr>
      <w:keepNext/>
      <w:tabs>
        <w:tab w:val="clear" w:pos="4513"/>
        <w:tab w:val="clear" w:pos="9026"/>
        <w:tab w:val="right" w:pos="9072"/>
      </w:tabs>
      <w:jc w:val="right"/>
    </w:pPr>
    <w:rPr>
      <w:color w:val="2C384A" w:themeColor="accent1"/>
    </w:rPr>
  </w:style>
  <w:style w:type="character" w:styleId="Hyperlink">
    <w:name w:val="Hyperlink"/>
    <w:basedOn w:val="DefaultParagraphFont"/>
    <w:uiPriority w:val="99"/>
    <w:rsid w:val="005D583B"/>
    <w:rPr>
      <w:color w:val="2C5484"/>
      <w:u w:val="none"/>
    </w:rPr>
  </w:style>
  <w:style w:type="paragraph" w:customStyle="1" w:styleId="OutlineNumbered1">
    <w:name w:val="Outline Numbered 1"/>
    <w:basedOn w:val="Normal"/>
    <w:rsid w:val="00D73DD0"/>
    <w:pPr>
      <w:numPr>
        <w:numId w:val="14"/>
      </w:numPr>
      <w:spacing w:before="0"/>
    </w:pPr>
  </w:style>
  <w:style w:type="paragraph" w:customStyle="1" w:styleId="OutlineNumbered2">
    <w:name w:val="Outline Numbered 2"/>
    <w:basedOn w:val="Normal"/>
    <w:rsid w:val="00D73DD0"/>
    <w:pPr>
      <w:numPr>
        <w:ilvl w:val="1"/>
        <w:numId w:val="14"/>
      </w:numPr>
      <w:spacing w:before="0"/>
    </w:pPr>
  </w:style>
  <w:style w:type="paragraph" w:customStyle="1" w:styleId="OutlineNumbered3">
    <w:name w:val="Outline Numbered 3"/>
    <w:basedOn w:val="Normal"/>
    <w:rsid w:val="00D73DD0"/>
    <w:pPr>
      <w:numPr>
        <w:ilvl w:val="2"/>
        <w:numId w:val="14"/>
      </w:numPr>
      <w:spacing w:before="0"/>
    </w:pPr>
  </w:style>
  <w:style w:type="paragraph" w:customStyle="1" w:styleId="SingleParagraph">
    <w:name w:val="Single Paragraph"/>
    <w:basedOn w:val="Normal"/>
    <w:next w:val="Normal"/>
    <w:link w:val="SingleParagraphChar"/>
    <w:rsid w:val="00D73DD0"/>
    <w:pPr>
      <w:spacing w:before="0" w:after="0"/>
    </w:pPr>
  </w:style>
  <w:style w:type="paragraph" w:customStyle="1" w:styleId="TableSecondHeading">
    <w:name w:val="Table Second Heading"/>
    <w:basedOn w:val="Normal"/>
    <w:next w:val="Normal"/>
    <w:rsid w:val="00D73DD0"/>
    <w:pPr>
      <w:keepNext/>
      <w:spacing w:before="0" w:after="20"/>
    </w:pPr>
    <w:rPr>
      <w:b/>
      <w:color w:val="004A7F"/>
    </w:rPr>
  </w:style>
  <w:style w:type="paragraph" w:customStyle="1" w:styleId="TableColumnHeadingCentred">
    <w:name w:val="Table Column Heading Centred"/>
    <w:basedOn w:val="TableTextLeft"/>
    <w:rsid w:val="00D73DD0"/>
    <w:pPr>
      <w:jc w:val="center"/>
    </w:pPr>
    <w:rPr>
      <w:b/>
      <w:color w:val="2C384A" w:themeColor="accent1"/>
      <w:sz w:val="20"/>
    </w:rPr>
  </w:style>
  <w:style w:type="paragraph" w:customStyle="1" w:styleId="TableColumnHeadingLeft">
    <w:name w:val="Table Column Heading Left"/>
    <w:basedOn w:val="TableTextLeft"/>
    <w:rsid w:val="00D73DD0"/>
    <w:rPr>
      <w:b/>
      <w:color w:val="2C384A" w:themeColor="accent1"/>
      <w:sz w:val="20"/>
    </w:rPr>
  </w:style>
  <w:style w:type="paragraph" w:customStyle="1" w:styleId="TableColumnHeadingRight">
    <w:name w:val="Table Column Heading Right"/>
    <w:basedOn w:val="TableTextLeft"/>
    <w:rsid w:val="00D73DD0"/>
    <w:pPr>
      <w:jc w:val="right"/>
    </w:pPr>
    <w:rPr>
      <w:b/>
      <w:color w:val="2C384A" w:themeColor="accent1"/>
      <w:sz w:val="20"/>
    </w:rPr>
  </w:style>
  <w:style w:type="table" w:styleId="TableGrid">
    <w:name w:val="Table Grid"/>
    <w:basedOn w:val="TableNormal"/>
    <w:rsid w:val="00D73DD0"/>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2C384A" w:themeColor="accent1"/>
        <w:sz w:val="20"/>
      </w:rPr>
      <w:tblPr/>
      <w:tcPr>
        <w:shd w:val="clear" w:color="auto" w:fill="EEEEEE" w:themeFill="background2"/>
      </w:tcPr>
    </w:tblStylePr>
  </w:style>
  <w:style w:type="paragraph" w:customStyle="1" w:styleId="TableTextCentered">
    <w:name w:val="Table Text Centered"/>
    <w:basedOn w:val="TableTextRight"/>
    <w:rsid w:val="00D73DD0"/>
    <w:pPr>
      <w:jc w:val="center"/>
    </w:pPr>
  </w:style>
  <w:style w:type="paragraph" w:customStyle="1" w:styleId="TableTextLeft">
    <w:name w:val="Table Text Left"/>
    <w:basedOn w:val="TableTextRight"/>
    <w:rsid w:val="00D73DD0"/>
    <w:pPr>
      <w:jc w:val="left"/>
    </w:pPr>
  </w:style>
  <w:style w:type="paragraph" w:customStyle="1" w:styleId="TableTextRight">
    <w:name w:val="Table Text Right"/>
    <w:basedOn w:val="Normal"/>
    <w:rsid w:val="00D73DD0"/>
    <w:pPr>
      <w:spacing w:before="40" w:after="40"/>
      <w:jc w:val="right"/>
    </w:pPr>
    <w:rPr>
      <w:color w:val="000000"/>
      <w:sz w:val="18"/>
    </w:rPr>
  </w:style>
  <w:style w:type="paragraph" w:styleId="TOC1">
    <w:name w:val="toc 1"/>
    <w:basedOn w:val="Normal"/>
    <w:next w:val="Normal"/>
    <w:uiPriority w:val="39"/>
    <w:rsid w:val="00D73DD0"/>
    <w:pPr>
      <w:keepNext/>
      <w:tabs>
        <w:tab w:val="right" w:leader="dot" w:pos="9072"/>
      </w:tabs>
      <w:spacing w:before="180" w:after="0"/>
      <w:ind w:right="-2"/>
    </w:pPr>
    <w:rPr>
      <w:b/>
      <w:noProof/>
      <w:color w:val="2C384A" w:themeColor="accent1"/>
      <w:szCs w:val="22"/>
    </w:rPr>
  </w:style>
  <w:style w:type="paragraph" w:styleId="TOC2">
    <w:name w:val="toc 2"/>
    <w:basedOn w:val="Normal"/>
    <w:next w:val="Normal"/>
    <w:uiPriority w:val="39"/>
    <w:rsid w:val="00D73DD0"/>
    <w:pPr>
      <w:keepNext/>
      <w:tabs>
        <w:tab w:val="right" w:leader="dot" w:pos="9072"/>
      </w:tabs>
      <w:spacing w:before="40" w:after="20"/>
      <w:ind w:right="-2"/>
    </w:pPr>
    <w:rPr>
      <w:noProof/>
      <w:color w:val="5D779D" w:themeColor="accent3"/>
    </w:rPr>
  </w:style>
  <w:style w:type="paragraph" w:styleId="TOC3">
    <w:name w:val="toc 3"/>
    <w:basedOn w:val="Normal"/>
    <w:next w:val="Normal"/>
    <w:uiPriority w:val="39"/>
    <w:rsid w:val="00D73DD0"/>
    <w:pPr>
      <w:tabs>
        <w:tab w:val="right" w:leader="dot" w:pos="9072"/>
      </w:tabs>
      <w:spacing w:before="20" w:after="0"/>
      <w:ind w:left="284" w:right="-2"/>
    </w:pPr>
    <w:rPr>
      <w:rFonts w:cs="Calibri"/>
      <w:noProof/>
    </w:rPr>
  </w:style>
  <w:style w:type="numbering" w:customStyle="1" w:styleId="OutlineList">
    <w:name w:val="OutlineList"/>
    <w:uiPriority w:val="99"/>
    <w:rsid w:val="00D73DD0"/>
    <w:pPr>
      <w:numPr>
        <w:numId w:val="4"/>
      </w:numPr>
    </w:pPr>
  </w:style>
  <w:style w:type="numbering" w:customStyle="1" w:styleId="BulletedList">
    <w:name w:val="Bulleted List"/>
    <w:uiPriority w:val="99"/>
    <w:rsid w:val="00D73DD0"/>
    <w:pPr>
      <w:numPr>
        <w:numId w:val="1"/>
      </w:numPr>
    </w:pPr>
  </w:style>
  <w:style w:type="numbering" w:customStyle="1" w:styleId="BoxBulletedList">
    <w:name w:val="Box Bulleted List"/>
    <w:uiPriority w:val="99"/>
    <w:rsid w:val="00D73DD0"/>
    <w:pPr>
      <w:numPr>
        <w:numId w:val="2"/>
      </w:numPr>
    </w:pPr>
  </w:style>
  <w:style w:type="numbering" w:customStyle="1" w:styleId="OneLevelList">
    <w:name w:val="OneLevelList"/>
    <w:uiPriority w:val="99"/>
    <w:rsid w:val="00D73DD0"/>
    <w:pPr>
      <w:numPr>
        <w:numId w:val="3"/>
      </w:numPr>
    </w:pPr>
  </w:style>
  <w:style w:type="numbering" w:customStyle="1" w:styleId="ChartandTableFootnoteAlphaList">
    <w:name w:val="ChartandTableFootnoteAlphaList"/>
    <w:uiPriority w:val="99"/>
    <w:rsid w:val="00D73DD0"/>
    <w:pPr>
      <w:numPr>
        <w:numId w:val="9"/>
      </w:numPr>
    </w:pPr>
  </w:style>
  <w:style w:type="paragraph" w:customStyle="1" w:styleId="Heading1Numbered">
    <w:name w:val="Heading 1 Numbered"/>
    <w:basedOn w:val="Heading1"/>
    <w:next w:val="Normal"/>
    <w:rsid w:val="00D73DD0"/>
    <w:pPr>
      <w:numPr>
        <w:numId w:val="11"/>
      </w:numPr>
    </w:pPr>
  </w:style>
  <w:style w:type="character" w:customStyle="1" w:styleId="SingleParagraphChar">
    <w:name w:val="Single Paragraph Char"/>
    <w:basedOn w:val="DefaultParagraphFont"/>
    <w:link w:val="SingleParagraph"/>
    <w:rsid w:val="00D73DD0"/>
    <w:rPr>
      <w:rFonts w:ascii="Calibri Light" w:eastAsia="Times New Roman" w:hAnsi="Calibri Light" w:cs="Times New Roman"/>
      <w:szCs w:val="20"/>
      <w:lang w:eastAsia="en-AU"/>
    </w:rPr>
  </w:style>
  <w:style w:type="paragraph" w:customStyle="1" w:styleId="Heading2Numbered">
    <w:name w:val="Heading 2 Numbered"/>
    <w:basedOn w:val="Heading2"/>
    <w:next w:val="Normal"/>
    <w:rsid w:val="00725E43"/>
    <w:pPr>
      <w:numPr>
        <w:ilvl w:val="1"/>
        <w:numId w:val="15"/>
      </w:numPr>
      <w:ind w:left="357" w:hanging="357"/>
    </w:pPr>
  </w:style>
  <w:style w:type="paragraph" w:customStyle="1" w:styleId="Heading3Numbered">
    <w:name w:val="Heading 3 Numbered"/>
    <w:basedOn w:val="Heading3"/>
    <w:rsid w:val="00D73DD0"/>
    <w:pPr>
      <w:numPr>
        <w:ilvl w:val="2"/>
        <w:numId w:val="15"/>
      </w:numPr>
    </w:pPr>
  </w:style>
  <w:style w:type="paragraph" w:styleId="Title">
    <w:name w:val="Title"/>
    <w:basedOn w:val="Normal"/>
    <w:next w:val="Normal"/>
    <w:link w:val="TitleChar"/>
    <w:uiPriority w:val="10"/>
    <w:rsid w:val="00D73DD0"/>
    <w:pPr>
      <w:spacing w:before="0" w:after="300"/>
      <w:contextualSpacing/>
    </w:pPr>
    <w:rPr>
      <w:rFonts w:eastAsiaTheme="majorEastAsia" w:cstheme="majorBidi"/>
      <w:b/>
      <w:color w:val="FFFFFF" w:themeColor="background1"/>
      <w:spacing w:val="5"/>
      <w:kern w:val="28"/>
      <w:sz w:val="72"/>
      <w:szCs w:val="52"/>
    </w:rPr>
  </w:style>
  <w:style w:type="character" w:customStyle="1" w:styleId="TitleChar">
    <w:name w:val="Title Char"/>
    <w:basedOn w:val="DefaultParagraphFont"/>
    <w:link w:val="Title"/>
    <w:uiPriority w:val="10"/>
    <w:rsid w:val="00D73DD0"/>
    <w:rPr>
      <w:rFonts w:ascii="Calibri Light" w:eastAsiaTheme="majorEastAsia" w:hAnsi="Calibri Light" w:cstheme="majorBidi"/>
      <w:b/>
      <w:color w:val="FFFFFF" w:themeColor="background1"/>
      <w:spacing w:val="5"/>
      <w:kern w:val="28"/>
      <w:sz w:val="72"/>
      <w:szCs w:val="52"/>
      <w:lang w:eastAsia="en-AU"/>
    </w:rPr>
  </w:style>
  <w:style w:type="paragraph" w:styleId="Subtitle">
    <w:name w:val="Subtitle"/>
    <w:basedOn w:val="Normal"/>
    <w:next w:val="Normal"/>
    <w:link w:val="SubtitleChar"/>
    <w:uiPriority w:val="11"/>
    <w:rsid w:val="00D73DD0"/>
    <w:pPr>
      <w:numPr>
        <w:ilvl w:val="1"/>
      </w:numPr>
    </w:pPr>
    <w:rPr>
      <w:rFonts w:eastAsiaTheme="majorEastAsia" w:cstheme="majorBidi"/>
      <w:iCs/>
      <w:color w:val="EEEEEE"/>
      <w:sz w:val="44"/>
      <w:szCs w:val="44"/>
    </w:rPr>
  </w:style>
  <w:style w:type="character" w:customStyle="1" w:styleId="SubtitleChar">
    <w:name w:val="Subtitle Char"/>
    <w:basedOn w:val="DefaultParagraphFont"/>
    <w:link w:val="Subtitle"/>
    <w:uiPriority w:val="11"/>
    <w:rsid w:val="00D73DD0"/>
    <w:rPr>
      <w:rFonts w:ascii="Calibri Light" w:eastAsiaTheme="majorEastAsia" w:hAnsi="Calibri Light" w:cstheme="majorBidi"/>
      <w:iCs/>
      <w:color w:val="EEEEEE"/>
      <w:sz w:val="44"/>
      <w:szCs w:val="44"/>
      <w:lang w:eastAsia="en-AU"/>
    </w:rPr>
  </w:style>
  <w:style w:type="character" w:styleId="SubtleEmphasis">
    <w:name w:val="Subtle Emphasis"/>
    <w:basedOn w:val="DefaultParagraphFont"/>
    <w:uiPriority w:val="19"/>
    <w:rsid w:val="00D73DD0"/>
    <w:rPr>
      <w:i/>
      <w:iCs/>
      <w:color w:val="808080" w:themeColor="text1" w:themeTint="7F"/>
    </w:rPr>
  </w:style>
  <w:style w:type="paragraph" w:styleId="Footer">
    <w:name w:val="footer"/>
    <w:basedOn w:val="Normal"/>
    <w:link w:val="FooterChar"/>
    <w:unhideWhenUsed/>
    <w:rsid w:val="00D73DD0"/>
    <w:pPr>
      <w:tabs>
        <w:tab w:val="center" w:pos="4513"/>
        <w:tab w:val="right" w:pos="9026"/>
      </w:tabs>
      <w:spacing w:before="0" w:after="0"/>
      <w:jc w:val="center"/>
    </w:pPr>
    <w:rPr>
      <w:color w:val="002C47"/>
      <w:sz w:val="20"/>
    </w:rPr>
  </w:style>
  <w:style w:type="character" w:customStyle="1" w:styleId="FooterChar">
    <w:name w:val="Footer Char"/>
    <w:basedOn w:val="DefaultParagraphFont"/>
    <w:link w:val="Footer"/>
    <w:rsid w:val="00D73DD0"/>
    <w:rPr>
      <w:rFonts w:ascii="Calibri Light" w:eastAsia="Times New Roman" w:hAnsi="Calibri Light" w:cs="Times New Roman"/>
      <w:color w:val="002C47"/>
      <w:sz w:val="20"/>
      <w:szCs w:val="20"/>
      <w:lang w:eastAsia="en-AU"/>
    </w:rPr>
  </w:style>
  <w:style w:type="paragraph" w:styleId="Header">
    <w:name w:val="header"/>
    <w:basedOn w:val="Normal"/>
    <w:link w:val="HeaderChar"/>
    <w:uiPriority w:val="99"/>
    <w:unhideWhenUsed/>
    <w:rsid w:val="00D73DD0"/>
    <w:pPr>
      <w:keepNext/>
      <w:spacing w:before="0" w:after="0"/>
      <w:jc w:val="right"/>
    </w:pPr>
    <w:rPr>
      <w:color w:val="004A7F"/>
      <w:sz w:val="20"/>
    </w:rPr>
  </w:style>
  <w:style w:type="character" w:customStyle="1" w:styleId="HeaderChar">
    <w:name w:val="Header Char"/>
    <w:basedOn w:val="DefaultParagraphFont"/>
    <w:link w:val="Header"/>
    <w:uiPriority w:val="99"/>
    <w:rsid w:val="00D73DD0"/>
    <w:rPr>
      <w:rFonts w:ascii="Calibri Light" w:eastAsia="Times New Roman" w:hAnsi="Calibri Light" w:cs="Times New Roman"/>
      <w:color w:val="004A7F"/>
      <w:sz w:val="20"/>
      <w:szCs w:val="20"/>
      <w:lang w:eastAsia="en-AU"/>
    </w:rPr>
  </w:style>
  <w:style w:type="character" w:styleId="PlaceholderText">
    <w:name w:val="Placeholder Text"/>
    <w:basedOn w:val="DefaultParagraphFont"/>
    <w:uiPriority w:val="99"/>
    <w:semiHidden/>
    <w:rsid w:val="00D73DD0"/>
    <w:rPr>
      <w:color w:val="808080"/>
    </w:rPr>
  </w:style>
  <w:style w:type="paragraph" w:customStyle="1" w:styleId="AppendixHeading">
    <w:name w:val="Appendix Heading"/>
    <w:basedOn w:val="Heading1"/>
    <w:next w:val="Normal"/>
    <w:rsid w:val="00D73DD0"/>
  </w:style>
  <w:style w:type="paragraph" w:customStyle="1" w:styleId="HeadingBase">
    <w:name w:val="Heading Base"/>
    <w:rsid w:val="00D73DD0"/>
    <w:pPr>
      <w:keepNext/>
      <w:spacing w:after="120" w:line="240" w:lineRule="auto"/>
    </w:pPr>
    <w:rPr>
      <w:rFonts w:ascii="Calibri" w:eastAsia="Times New Roman" w:hAnsi="Calibri" w:cs="Arial"/>
      <w:bCs/>
      <w:color w:val="002C4A"/>
      <w:kern w:val="32"/>
      <w:sz w:val="48"/>
      <w:szCs w:val="36"/>
      <w:lang w:eastAsia="en-AU"/>
    </w:rPr>
  </w:style>
  <w:style w:type="character" w:customStyle="1" w:styleId="ReportDateChar">
    <w:name w:val="Report Date Char"/>
    <w:basedOn w:val="DefaultParagraphFont"/>
    <w:link w:val="ReportDate"/>
    <w:rsid w:val="00D73DD0"/>
    <w:rPr>
      <w:rFonts w:ascii="Calibri Light" w:eastAsia="Times New Roman" w:hAnsi="Calibri Light" w:cs="Times New Roman"/>
      <w:color w:val="90B6F0"/>
      <w:sz w:val="32"/>
      <w:szCs w:val="20"/>
      <w:lang w:eastAsia="en-AU"/>
    </w:rPr>
  </w:style>
  <w:style w:type="paragraph" w:customStyle="1" w:styleId="NotesHeading">
    <w:name w:val="Notes Heading"/>
    <w:basedOn w:val="Normal"/>
    <w:rsid w:val="00D73DD0"/>
    <w:pPr>
      <w:keepNext/>
      <w:spacing w:before="240" w:after="360"/>
      <w:jc w:val="center"/>
    </w:pPr>
    <w:rPr>
      <w:rFonts w:ascii="Century Gothic" w:hAnsi="Century Gothic"/>
      <w:smallCaps/>
      <w:color w:val="5F5F5F" w:themeColor="text2"/>
      <w:sz w:val="36"/>
      <w:szCs w:val="36"/>
    </w:rPr>
  </w:style>
  <w:style w:type="paragraph" w:styleId="ListParagraph">
    <w:name w:val="List Paragraph"/>
    <w:basedOn w:val="Normal"/>
    <w:uiPriority w:val="34"/>
    <w:rsid w:val="00D73DD0"/>
    <w:pPr>
      <w:ind w:left="720"/>
      <w:contextualSpacing/>
    </w:pPr>
  </w:style>
  <w:style w:type="paragraph" w:customStyle="1" w:styleId="TableTextIndented">
    <w:name w:val="Table Text Indented"/>
    <w:basedOn w:val="TableTextLeft"/>
    <w:rsid w:val="00D73DD0"/>
    <w:pPr>
      <w:ind w:left="284"/>
    </w:pPr>
  </w:style>
  <w:style w:type="paragraph" w:customStyle="1" w:styleId="TableHeadingContinued">
    <w:name w:val="Table Heading Continued"/>
    <w:basedOn w:val="TableMainHeading"/>
    <w:next w:val="TableGraphic"/>
    <w:rsid w:val="00D73DD0"/>
  </w:style>
  <w:style w:type="paragraph" w:customStyle="1" w:styleId="TableGraphic">
    <w:name w:val="Table Graphic"/>
    <w:basedOn w:val="HeadingBase"/>
    <w:next w:val="Normal"/>
    <w:rsid w:val="00D73DD0"/>
    <w:pPr>
      <w:spacing w:after="0"/>
    </w:pPr>
  </w:style>
  <w:style w:type="paragraph" w:customStyle="1" w:styleId="HeaderEven">
    <w:name w:val="Header Even"/>
    <w:basedOn w:val="Header"/>
    <w:qFormat/>
    <w:rsid w:val="00D73DD0"/>
    <w:pPr>
      <w:jc w:val="left"/>
    </w:pPr>
    <w:rPr>
      <w:color w:val="002C47"/>
    </w:rPr>
  </w:style>
  <w:style w:type="paragraph" w:customStyle="1" w:styleId="HeaderOdd">
    <w:name w:val="Header Odd"/>
    <w:basedOn w:val="Header"/>
    <w:qFormat/>
    <w:rsid w:val="00D73DD0"/>
    <w:rPr>
      <w:color w:val="002C47"/>
    </w:rPr>
  </w:style>
  <w:style w:type="paragraph" w:styleId="FootnoteText">
    <w:name w:val="footnote text"/>
    <w:basedOn w:val="Normal"/>
    <w:link w:val="FootnoteTextChar"/>
    <w:uiPriority w:val="99"/>
    <w:rsid w:val="00D73DD0"/>
    <w:pPr>
      <w:spacing w:before="0" w:after="0"/>
      <w:ind w:left="397" w:hanging="397"/>
    </w:pPr>
    <w:rPr>
      <w:sz w:val="20"/>
    </w:rPr>
  </w:style>
  <w:style w:type="character" w:customStyle="1" w:styleId="FootnoteTextChar">
    <w:name w:val="Footnote Text Char"/>
    <w:basedOn w:val="DefaultParagraphFont"/>
    <w:link w:val="FootnoteText"/>
    <w:uiPriority w:val="99"/>
    <w:rsid w:val="00D73DD0"/>
    <w:rPr>
      <w:rFonts w:ascii="Calibri Light" w:eastAsia="Times New Roman" w:hAnsi="Calibri Light" w:cs="Times New Roman"/>
      <w:sz w:val="20"/>
      <w:szCs w:val="20"/>
      <w:lang w:eastAsia="en-AU"/>
    </w:rPr>
  </w:style>
  <w:style w:type="character" w:styleId="FootnoteReference">
    <w:name w:val="footnote reference"/>
    <w:basedOn w:val="DefaultParagraphFont"/>
    <w:uiPriority w:val="99"/>
    <w:rsid w:val="00DC3879"/>
    <w:rPr>
      <w:sz w:val="18"/>
      <w:vertAlign w:val="superscript"/>
    </w:rPr>
  </w:style>
  <w:style w:type="paragraph" w:styleId="BalloonText">
    <w:name w:val="Balloon Text"/>
    <w:basedOn w:val="Normal"/>
    <w:link w:val="BalloonTextChar"/>
    <w:uiPriority w:val="99"/>
    <w:semiHidden/>
    <w:unhideWhenUsed/>
    <w:rsid w:val="00D73DD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DD0"/>
    <w:rPr>
      <w:rFonts w:ascii="Tahoma" w:eastAsia="Times New Roman" w:hAnsi="Tahoma" w:cs="Tahoma"/>
      <w:sz w:val="16"/>
      <w:szCs w:val="16"/>
      <w:lang w:eastAsia="en-AU"/>
    </w:rPr>
  </w:style>
  <w:style w:type="character" w:customStyle="1" w:styleId="BoxTextChar">
    <w:name w:val="Box Text Char"/>
    <w:basedOn w:val="DefaultParagraphFont"/>
    <w:link w:val="BoxText"/>
    <w:locked/>
    <w:rsid w:val="00D73DD0"/>
    <w:rPr>
      <w:rFonts w:ascii="Calibri Light" w:eastAsia="Times New Roman" w:hAnsi="Calibri Light" w:cs="Times New Roman"/>
      <w:szCs w:val="20"/>
      <w:lang w:eastAsia="en-AU"/>
    </w:rPr>
  </w:style>
  <w:style w:type="paragraph" w:customStyle="1" w:styleId="Boxbullet">
    <w:name w:val="Box bullet"/>
    <w:basedOn w:val="Bullet"/>
    <w:rsid w:val="00D73DD0"/>
    <w:pPr>
      <w:numPr>
        <w:numId w:val="7"/>
      </w:numPr>
      <w:tabs>
        <w:tab w:val="num" w:pos="520"/>
      </w:tabs>
      <w:spacing w:before="60"/>
    </w:pPr>
    <w:rPr>
      <w:color w:val="0D0D0D" w:themeColor="text1" w:themeTint="F2"/>
    </w:rPr>
  </w:style>
  <w:style w:type="paragraph" w:customStyle="1" w:styleId="Boxdash">
    <w:name w:val="Box dash"/>
    <w:basedOn w:val="Dash"/>
    <w:rsid w:val="00D73DD0"/>
    <w:pPr>
      <w:numPr>
        <w:numId w:val="7"/>
      </w:numPr>
      <w:tabs>
        <w:tab w:val="clear" w:pos="567"/>
        <w:tab w:val="num" w:pos="1040"/>
      </w:tabs>
      <w:spacing w:before="60" w:after="0" w:line="276" w:lineRule="auto"/>
    </w:pPr>
    <w:rPr>
      <w:rFonts w:eastAsiaTheme="minorHAnsi"/>
      <w:color w:val="0D0D0D" w:themeColor="text1" w:themeTint="F2"/>
      <w:lang w:eastAsia="en-US"/>
    </w:rPr>
  </w:style>
  <w:style w:type="paragraph" w:customStyle="1" w:styleId="Boxdoubledot">
    <w:name w:val="Box double dot"/>
    <w:basedOn w:val="DoubleDot"/>
    <w:rsid w:val="00D73DD0"/>
    <w:pPr>
      <w:numPr>
        <w:numId w:val="7"/>
      </w:numPr>
      <w:tabs>
        <w:tab w:val="clear" w:pos="851"/>
        <w:tab w:val="left" w:pos="567"/>
        <w:tab w:val="num" w:pos="1560"/>
      </w:tabs>
      <w:spacing w:before="60" w:after="0" w:line="276" w:lineRule="auto"/>
    </w:pPr>
    <w:rPr>
      <w:rFonts w:eastAsiaTheme="minorHAnsi"/>
      <w:color w:val="0D0D0D" w:themeColor="text1" w:themeTint="F2"/>
      <w:lang w:eastAsia="en-US"/>
    </w:rPr>
  </w:style>
  <w:style w:type="paragraph" w:customStyle="1" w:styleId="Instructions">
    <w:name w:val="Instructions"/>
    <w:basedOn w:val="Normal"/>
    <w:uiPriority w:val="1"/>
    <w:qFormat/>
    <w:rsid w:val="00D73DD0"/>
    <w:pPr>
      <w:shd w:val="clear" w:color="auto" w:fill="FFFF00"/>
      <w:ind w:left="170" w:hanging="170"/>
    </w:pPr>
    <w:rPr>
      <w:rFonts w:asciiTheme="minorHAnsi" w:hAnsiTheme="minorHAnsi"/>
      <w:sz w:val="20"/>
      <w:szCs w:val="24"/>
    </w:rPr>
  </w:style>
  <w:style w:type="character" w:styleId="CommentReference">
    <w:name w:val="annotation reference"/>
    <w:basedOn w:val="DefaultParagraphFont"/>
    <w:uiPriority w:val="99"/>
    <w:semiHidden/>
    <w:unhideWhenUsed/>
    <w:rsid w:val="00D73DD0"/>
    <w:rPr>
      <w:sz w:val="16"/>
      <w:szCs w:val="16"/>
    </w:rPr>
  </w:style>
  <w:style w:type="paragraph" w:styleId="CommentText">
    <w:name w:val="annotation text"/>
    <w:basedOn w:val="Normal"/>
    <w:link w:val="CommentTextChar"/>
    <w:uiPriority w:val="99"/>
    <w:unhideWhenUsed/>
    <w:rsid w:val="00D73DD0"/>
    <w:rPr>
      <w:rFonts w:ascii="Calibri" w:hAnsi="Calibri"/>
      <w:sz w:val="20"/>
    </w:rPr>
  </w:style>
  <w:style w:type="character" w:customStyle="1" w:styleId="CommentTextChar">
    <w:name w:val="Comment Text Char"/>
    <w:basedOn w:val="DefaultParagraphFont"/>
    <w:link w:val="CommentText"/>
    <w:uiPriority w:val="99"/>
    <w:rsid w:val="00D73DD0"/>
    <w:rPr>
      <w:rFonts w:ascii="Calibri" w:eastAsia="Times New Roman" w:hAnsi="Calibri" w:cs="Times New Roman"/>
      <w:sz w:val="20"/>
      <w:szCs w:val="20"/>
      <w:lang w:eastAsia="en-AU"/>
    </w:rPr>
  </w:style>
  <w:style w:type="paragraph" w:customStyle="1" w:styleId="SecurityClassificationHeader">
    <w:name w:val="Security Classification Header"/>
    <w:link w:val="SecurityClassificationHeaderChar"/>
    <w:rsid w:val="00D73DD0"/>
    <w:pPr>
      <w:spacing w:before="360" w:after="60"/>
      <w:jc w:val="center"/>
    </w:pPr>
    <w:rPr>
      <w:rFonts w:ascii="Calibri" w:eastAsia="Times New Roman" w:hAnsi="Calibri" w:cs="Calibri"/>
      <w:b/>
      <w:color w:val="FF0000"/>
      <w:sz w:val="24"/>
      <w:szCs w:val="20"/>
      <w:lang w:eastAsia="en-AU"/>
    </w:rPr>
  </w:style>
  <w:style w:type="character" w:customStyle="1" w:styleId="SecurityClassificationHeaderChar">
    <w:name w:val="Security Classification Header Char"/>
    <w:basedOn w:val="HeaderChar"/>
    <w:link w:val="SecurityClassificationHeader"/>
    <w:rsid w:val="00D73DD0"/>
    <w:rPr>
      <w:rFonts w:ascii="Calibri" w:eastAsia="Times New Roman" w:hAnsi="Calibri" w:cs="Calibri"/>
      <w:b/>
      <w:color w:val="FF0000"/>
      <w:sz w:val="24"/>
      <w:szCs w:val="20"/>
      <w:lang w:eastAsia="en-AU"/>
    </w:rPr>
  </w:style>
  <w:style w:type="paragraph" w:customStyle="1" w:styleId="SecurityClassificationFooter">
    <w:name w:val="Security Classification Footer"/>
    <w:link w:val="SecurityClassificationFooterChar"/>
    <w:rsid w:val="00D73DD0"/>
    <w:pPr>
      <w:spacing w:before="360" w:after="60"/>
      <w:jc w:val="center"/>
    </w:pPr>
    <w:rPr>
      <w:rFonts w:ascii="Calibri" w:eastAsia="Times New Roman" w:hAnsi="Calibri" w:cs="Calibri"/>
      <w:b/>
      <w:color w:val="FF0000"/>
      <w:sz w:val="24"/>
      <w:szCs w:val="20"/>
      <w:lang w:eastAsia="en-AU"/>
    </w:rPr>
  </w:style>
  <w:style w:type="character" w:customStyle="1" w:styleId="SecurityClassificationFooterChar">
    <w:name w:val="Security Classification Footer Char"/>
    <w:basedOn w:val="HeaderChar"/>
    <w:link w:val="SecurityClassificationFooter"/>
    <w:rsid w:val="00D73DD0"/>
    <w:rPr>
      <w:rFonts w:ascii="Calibri" w:eastAsia="Times New Roman" w:hAnsi="Calibri" w:cs="Calibri"/>
      <w:b/>
      <w:color w:val="FF0000"/>
      <w:sz w:val="24"/>
      <w:szCs w:val="20"/>
      <w:lang w:eastAsia="en-AU"/>
    </w:rPr>
  </w:style>
  <w:style w:type="paragraph" w:customStyle="1" w:styleId="DLMSecurityHeader">
    <w:name w:val="DLM Security Header"/>
    <w:link w:val="DLMSecurityHeaderChar"/>
    <w:rsid w:val="00D73DD0"/>
    <w:pPr>
      <w:spacing w:before="60" w:after="240"/>
      <w:jc w:val="center"/>
    </w:pPr>
    <w:rPr>
      <w:rFonts w:ascii="Calibri" w:eastAsia="Times New Roman" w:hAnsi="Calibri" w:cs="Calibri"/>
      <w:b/>
      <w:color w:val="FF0000"/>
      <w:sz w:val="24"/>
      <w:szCs w:val="20"/>
      <w:lang w:eastAsia="en-AU"/>
    </w:rPr>
  </w:style>
  <w:style w:type="character" w:customStyle="1" w:styleId="DLMSecurityHeaderChar">
    <w:name w:val="DLM Security Header Char"/>
    <w:basedOn w:val="HeaderChar"/>
    <w:link w:val="DLMSecurityHeader"/>
    <w:rsid w:val="00D73DD0"/>
    <w:rPr>
      <w:rFonts w:ascii="Calibri" w:eastAsia="Times New Roman" w:hAnsi="Calibri" w:cs="Calibri"/>
      <w:b/>
      <w:color w:val="FF0000"/>
      <w:sz w:val="24"/>
      <w:szCs w:val="20"/>
      <w:lang w:eastAsia="en-AU"/>
    </w:rPr>
  </w:style>
  <w:style w:type="paragraph" w:customStyle="1" w:styleId="DLMSecurityFooter">
    <w:name w:val="DLM Security Footer"/>
    <w:link w:val="DLMSecurityFooterChar"/>
    <w:rsid w:val="00D73DD0"/>
    <w:pPr>
      <w:spacing w:before="240" w:after="60"/>
      <w:jc w:val="center"/>
    </w:pPr>
    <w:rPr>
      <w:rFonts w:ascii="Calibri" w:eastAsia="Times New Roman" w:hAnsi="Calibri" w:cs="Calibri"/>
      <w:b/>
      <w:color w:val="FF0000"/>
      <w:sz w:val="24"/>
      <w:szCs w:val="20"/>
      <w:lang w:eastAsia="en-AU"/>
    </w:rPr>
  </w:style>
  <w:style w:type="character" w:customStyle="1" w:styleId="DLMSecurityFooterChar">
    <w:name w:val="DLM Security Footer Char"/>
    <w:basedOn w:val="HeaderChar"/>
    <w:link w:val="DLMSecurityFooter"/>
    <w:rsid w:val="00D73DD0"/>
    <w:rPr>
      <w:rFonts w:ascii="Calibri" w:eastAsia="Times New Roman" w:hAnsi="Calibri" w:cs="Calibri"/>
      <w:b/>
      <w:color w:val="FF0000"/>
      <w:sz w:val="24"/>
      <w:szCs w:val="20"/>
      <w:lang w:eastAsia="en-AU"/>
    </w:rPr>
  </w:style>
  <w:style w:type="character" w:styleId="Emphasis">
    <w:name w:val="Emphasis"/>
    <w:basedOn w:val="DefaultParagraphFont"/>
    <w:uiPriority w:val="20"/>
    <w:rsid w:val="0067403B"/>
    <w:rPr>
      <w:i/>
      <w:iCs/>
    </w:rPr>
  </w:style>
  <w:style w:type="character" w:styleId="Strong">
    <w:name w:val="Strong"/>
    <w:basedOn w:val="DefaultParagraphFont"/>
    <w:qFormat/>
    <w:rsid w:val="0067403B"/>
    <w:rPr>
      <w:b/>
      <w:bCs/>
    </w:rPr>
  </w:style>
  <w:style w:type="paragraph" w:styleId="CommentSubject">
    <w:name w:val="annotation subject"/>
    <w:basedOn w:val="CommentText"/>
    <w:next w:val="CommentText"/>
    <w:link w:val="CommentSubjectChar"/>
    <w:uiPriority w:val="99"/>
    <w:semiHidden/>
    <w:unhideWhenUsed/>
    <w:rsid w:val="00916C7B"/>
    <w:rPr>
      <w:rFonts w:ascii="Calibri Light" w:hAnsi="Calibri Light"/>
      <w:b/>
      <w:bCs/>
    </w:rPr>
  </w:style>
  <w:style w:type="character" w:customStyle="1" w:styleId="CommentSubjectChar">
    <w:name w:val="Comment Subject Char"/>
    <w:basedOn w:val="CommentTextChar"/>
    <w:link w:val="CommentSubject"/>
    <w:uiPriority w:val="99"/>
    <w:semiHidden/>
    <w:rsid w:val="00916C7B"/>
    <w:rPr>
      <w:rFonts w:ascii="Calibri Light" w:eastAsia="Times New Roman" w:hAnsi="Calibri Light" w:cs="Times New Roman"/>
      <w:b/>
      <w:bCs/>
      <w:sz w:val="20"/>
      <w:szCs w:val="20"/>
      <w:lang w:eastAsia="en-AU"/>
    </w:rPr>
  </w:style>
  <w:style w:type="paragraph" w:styleId="Caption">
    <w:name w:val="caption"/>
    <w:basedOn w:val="Normal"/>
    <w:next w:val="Normal"/>
    <w:uiPriority w:val="35"/>
    <w:unhideWhenUsed/>
    <w:qFormat/>
    <w:rsid w:val="00916C7B"/>
    <w:pPr>
      <w:spacing w:before="0" w:after="200"/>
    </w:pPr>
    <w:rPr>
      <w:i/>
      <w:iCs/>
      <w:color w:val="5F5F5F" w:themeColor="text2"/>
      <w:sz w:val="18"/>
      <w:szCs w:val="18"/>
    </w:rPr>
  </w:style>
  <w:style w:type="numbering" w:customStyle="1" w:styleId="OneLevelList1">
    <w:name w:val="OneLevelList1"/>
    <w:uiPriority w:val="99"/>
    <w:rsid w:val="00916C7B"/>
  </w:style>
  <w:style w:type="character" w:styleId="UnresolvedMention">
    <w:name w:val="Unresolved Mention"/>
    <w:basedOn w:val="DefaultParagraphFont"/>
    <w:uiPriority w:val="99"/>
    <w:semiHidden/>
    <w:unhideWhenUsed/>
    <w:rsid w:val="00261E05"/>
    <w:rPr>
      <w:color w:val="605E5C"/>
      <w:shd w:val="clear" w:color="auto" w:fill="E1DFDD"/>
    </w:rPr>
  </w:style>
  <w:style w:type="character" w:styleId="FollowedHyperlink">
    <w:name w:val="FollowedHyperlink"/>
    <w:basedOn w:val="DefaultParagraphFont"/>
    <w:uiPriority w:val="99"/>
    <w:semiHidden/>
    <w:unhideWhenUsed/>
    <w:rsid w:val="00FB25E4"/>
    <w:rPr>
      <w:color w:val="844D9E" w:themeColor="followedHyperlink"/>
      <w:u w:val="single"/>
    </w:rPr>
  </w:style>
  <w:style w:type="paragraph" w:styleId="Revision">
    <w:name w:val="Revision"/>
    <w:hidden/>
    <w:uiPriority w:val="99"/>
    <w:semiHidden/>
    <w:rsid w:val="0070364E"/>
    <w:pPr>
      <w:spacing w:after="0" w:line="240" w:lineRule="auto"/>
    </w:pPr>
    <w:rPr>
      <w:rFonts w:ascii="Calibri Light" w:eastAsia="Times New Roman" w:hAnsi="Calibri Light" w:cs="Times New Roman"/>
      <w:szCs w:val="20"/>
      <w:lang w:eastAsia="en-AU"/>
    </w:rPr>
  </w:style>
  <w:style w:type="table" w:styleId="TableGridLight">
    <w:name w:val="Grid Table Light"/>
    <w:basedOn w:val="TableNormal"/>
    <w:uiPriority w:val="40"/>
    <w:rsid w:val="00A864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C16FFA"/>
    <w:rPr>
      <w:color w:val="2B579A"/>
      <w:shd w:val="clear" w:color="auto" w:fill="E1DFDD"/>
    </w:rPr>
  </w:style>
  <w:style w:type="paragraph" w:customStyle="1" w:styleId="Headingnonnumber">
    <w:name w:val="Heading (non number)"/>
    <w:basedOn w:val="Heading1"/>
    <w:link w:val="HeadingnonnumberChar"/>
    <w:qFormat/>
    <w:rsid w:val="00CE451C"/>
    <w:rPr>
      <w:rFonts w:ascii="Calibri Light" w:hAnsi="Calibri Light" w:cs="Times New Roman"/>
      <w:bCs/>
      <w:kern w:val="0"/>
      <w:szCs w:val="20"/>
    </w:rPr>
  </w:style>
  <w:style w:type="character" w:customStyle="1" w:styleId="HeadingnonnumberChar">
    <w:name w:val="Heading (non number) Char"/>
    <w:basedOn w:val="Heading1Char"/>
    <w:link w:val="Headingnonnumber"/>
    <w:rsid w:val="00B41CBE"/>
    <w:rPr>
      <w:rFonts w:ascii="Calibri Light" w:eastAsia="Times New Roman" w:hAnsi="Calibri Light" w:cs="Times New Roman"/>
      <w:b/>
      <w:bCs/>
      <w:color w:val="5D779D" w:themeColor="accent3"/>
      <w:kern w:val="32"/>
      <w:sz w:val="44"/>
      <w:szCs w:val="20"/>
      <w:lang w:eastAsia="en-AU"/>
    </w:rPr>
  </w:style>
  <w:style w:type="character" w:customStyle="1" w:styleId="Heading7Char">
    <w:name w:val="Heading 7 Char"/>
    <w:basedOn w:val="DefaultParagraphFont"/>
    <w:link w:val="Heading7"/>
    <w:uiPriority w:val="9"/>
    <w:semiHidden/>
    <w:rsid w:val="00911E90"/>
    <w:rPr>
      <w:rFonts w:asciiTheme="majorHAnsi" w:eastAsiaTheme="majorEastAsia" w:hAnsiTheme="majorHAnsi" w:cstheme="majorBidi"/>
      <w:i/>
      <w:iCs/>
      <w:color w:val="161B24" w:themeColor="accent1" w:themeShade="7F"/>
      <w:szCs w:val="20"/>
      <w:lang w:eastAsia="en-AU"/>
    </w:rPr>
  </w:style>
  <w:style w:type="character" w:customStyle="1" w:styleId="Heading8Char">
    <w:name w:val="Heading 8 Char"/>
    <w:basedOn w:val="DefaultParagraphFont"/>
    <w:link w:val="Heading8"/>
    <w:uiPriority w:val="9"/>
    <w:semiHidden/>
    <w:rsid w:val="00911E90"/>
    <w:rPr>
      <w:rFonts w:asciiTheme="majorHAnsi" w:eastAsiaTheme="majorEastAsia" w:hAnsiTheme="majorHAnsi" w:cstheme="majorBidi"/>
      <w:color w:val="272727" w:themeColor="text1" w:themeTint="D8"/>
      <w:sz w:val="21"/>
      <w:szCs w:val="21"/>
      <w:lang w:eastAsia="en-AU"/>
    </w:rPr>
  </w:style>
  <w:style w:type="character" w:customStyle="1" w:styleId="Heading9Char">
    <w:name w:val="Heading 9 Char"/>
    <w:basedOn w:val="DefaultParagraphFont"/>
    <w:link w:val="Heading9"/>
    <w:uiPriority w:val="9"/>
    <w:semiHidden/>
    <w:rsid w:val="00911E90"/>
    <w:rPr>
      <w:rFonts w:asciiTheme="majorHAnsi" w:eastAsiaTheme="majorEastAsia" w:hAnsiTheme="majorHAnsi" w:cstheme="majorBidi"/>
      <w:i/>
      <w:iCs/>
      <w:color w:val="272727" w:themeColor="text1" w:themeTint="D8"/>
      <w:sz w:val="21"/>
      <w:szCs w:val="21"/>
      <w:lang w:eastAsia="en-AU"/>
    </w:rPr>
  </w:style>
  <w:style w:type="table" w:styleId="PlainTable1">
    <w:name w:val="Plain Table 1"/>
    <w:basedOn w:val="TableNormal"/>
    <w:uiPriority w:val="41"/>
    <w:rsid w:val="00DB55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Quote">
    <w:name w:val="Quote"/>
    <w:basedOn w:val="Normal"/>
    <w:next w:val="Normal"/>
    <w:link w:val="QuoteChar"/>
    <w:uiPriority w:val="29"/>
    <w:qFormat/>
    <w:rsid w:val="00F94F47"/>
    <w:pPr>
      <w:spacing w:before="160"/>
      <w:jc w:val="center"/>
    </w:pPr>
    <w:rPr>
      <w:i/>
      <w:iCs/>
      <w:color w:val="404040" w:themeColor="text1" w:themeTint="BF"/>
    </w:rPr>
  </w:style>
  <w:style w:type="character" w:customStyle="1" w:styleId="QuoteChar">
    <w:name w:val="Quote Char"/>
    <w:basedOn w:val="DefaultParagraphFont"/>
    <w:link w:val="Quote"/>
    <w:uiPriority w:val="29"/>
    <w:rsid w:val="00F94F47"/>
    <w:rPr>
      <w:rFonts w:ascii="Calibri Light" w:eastAsia="Times New Roman" w:hAnsi="Calibri Light" w:cs="Times New Roman"/>
      <w:i/>
      <w:iCs/>
      <w:color w:val="404040" w:themeColor="text1" w:themeTint="BF"/>
      <w:szCs w:val="20"/>
      <w:lang w:eastAsia="en-AU"/>
    </w:rPr>
  </w:style>
  <w:style w:type="paragraph" w:styleId="NormalWeb">
    <w:name w:val="Normal (Web)"/>
    <w:basedOn w:val="Normal"/>
    <w:uiPriority w:val="99"/>
    <w:semiHidden/>
    <w:unhideWhenUsed/>
    <w:rsid w:val="00AC704E"/>
    <w:pPr>
      <w:spacing w:before="100" w:beforeAutospacing="1" w:after="100" w:afterAutospacing="1"/>
    </w:pPr>
    <w:rPr>
      <w:rFonts w:ascii="Times New Roman" w:hAnsi="Times New Roman"/>
      <w:sz w:val="24"/>
      <w:szCs w:val="24"/>
    </w:rPr>
  </w:style>
  <w:style w:type="paragraph" w:styleId="EndnoteText">
    <w:name w:val="endnote text"/>
    <w:basedOn w:val="Normal"/>
    <w:link w:val="EndnoteTextChar"/>
    <w:uiPriority w:val="99"/>
    <w:semiHidden/>
    <w:unhideWhenUsed/>
    <w:rsid w:val="006A715C"/>
    <w:pPr>
      <w:spacing w:before="0" w:after="0"/>
    </w:pPr>
    <w:rPr>
      <w:sz w:val="20"/>
    </w:rPr>
  </w:style>
  <w:style w:type="character" w:customStyle="1" w:styleId="EndnoteTextChar">
    <w:name w:val="Endnote Text Char"/>
    <w:basedOn w:val="DefaultParagraphFont"/>
    <w:link w:val="EndnoteText"/>
    <w:uiPriority w:val="99"/>
    <w:semiHidden/>
    <w:rsid w:val="006A715C"/>
    <w:rPr>
      <w:rFonts w:ascii="Calibri Light" w:eastAsia="Times New Roman" w:hAnsi="Calibri Light" w:cs="Times New Roman"/>
      <w:sz w:val="20"/>
      <w:szCs w:val="20"/>
      <w:lang w:eastAsia="en-AU"/>
    </w:rPr>
  </w:style>
  <w:style w:type="character" w:styleId="EndnoteReference">
    <w:name w:val="endnote reference"/>
    <w:basedOn w:val="DefaultParagraphFont"/>
    <w:uiPriority w:val="99"/>
    <w:semiHidden/>
    <w:unhideWhenUsed/>
    <w:rsid w:val="006A715C"/>
    <w:rPr>
      <w:vertAlign w:val="superscript"/>
    </w:rPr>
  </w:style>
  <w:style w:type="paragraph" w:styleId="Date">
    <w:name w:val="Date"/>
    <w:basedOn w:val="Normal"/>
    <w:next w:val="Normal"/>
    <w:link w:val="DateChar"/>
    <w:uiPriority w:val="99"/>
    <w:semiHidden/>
    <w:unhideWhenUsed/>
    <w:rsid w:val="004F70D7"/>
  </w:style>
  <w:style w:type="character" w:customStyle="1" w:styleId="DateChar">
    <w:name w:val="Date Char"/>
    <w:basedOn w:val="DefaultParagraphFont"/>
    <w:link w:val="Date"/>
    <w:uiPriority w:val="99"/>
    <w:semiHidden/>
    <w:rsid w:val="004F70D7"/>
    <w:rPr>
      <w:rFonts w:ascii="Calibri Light" w:eastAsia="Times New Roman" w:hAnsi="Calibri Light" w:cs="Times New Roman"/>
      <w:szCs w:val="20"/>
      <w:lang w:eastAsia="en-AU"/>
    </w:rPr>
  </w:style>
  <w:style w:type="paragraph" w:customStyle="1" w:styleId="pf0">
    <w:name w:val="pf0"/>
    <w:basedOn w:val="Normal"/>
    <w:rsid w:val="00EB788E"/>
    <w:pPr>
      <w:spacing w:before="100" w:beforeAutospacing="1" w:after="100" w:afterAutospacing="1"/>
    </w:pPr>
    <w:rPr>
      <w:rFonts w:ascii="Times New Roman" w:hAnsi="Times New Roman"/>
      <w:sz w:val="24"/>
      <w:szCs w:val="24"/>
      <w:lang w:eastAsia="zh-CN"/>
    </w:rPr>
  </w:style>
  <w:style w:type="character" w:customStyle="1" w:styleId="cf01">
    <w:name w:val="cf01"/>
    <w:basedOn w:val="DefaultParagraphFont"/>
    <w:rsid w:val="00EB788E"/>
    <w:rPr>
      <w:rFonts w:ascii="Segoe UI" w:hAnsi="Segoe UI" w:cs="Segoe UI" w:hint="default"/>
      <w:sz w:val="18"/>
      <w:szCs w:val="18"/>
    </w:rPr>
  </w:style>
  <w:style w:type="numbering" w:customStyle="1" w:styleId="Style1">
    <w:name w:val="Style1"/>
    <w:uiPriority w:val="99"/>
    <w:rsid w:val="007C7531"/>
    <w:pPr>
      <w:numPr>
        <w:numId w:val="13"/>
      </w:numPr>
    </w:pPr>
  </w:style>
  <w:style w:type="paragraph" w:customStyle="1" w:styleId="Heading50">
    <w:name w:val="Heading5"/>
    <w:basedOn w:val="Heading5"/>
    <w:link w:val="Heading5Char0"/>
    <w:qFormat/>
    <w:rsid w:val="007A1920"/>
    <w:rPr>
      <w:rFonts w:ascii="Calibri Light" w:hAnsi="Calibri Light"/>
      <w:sz w:val="26"/>
    </w:rPr>
  </w:style>
  <w:style w:type="character" w:customStyle="1" w:styleId="Heading5Char0">
    <w:name w:val="Heading5 Char"/>
    <w:basedOn w:val="DefaultParagraphFont"/>
    <w:link w:val="Heading50"/>
    <w:rsid w:val="0028742B"/>
    <w:rPr>
      <w:rFonts w:ascii="Calibri Light" w:eastAsia="Times New Roman" w:hAnsi="Calibri Light" w:cs="Arial"/>
      <w:b/>
      <w:iCs/>
      <w:color w:val="000000" w:themeColor="text1"/>
      <w:kern w:val="32"/>
      <w:sz w:val="26"/>
      <w:szCs w:val="36"/>
      <w:lang w:eastAsia="en-AU"/>
    </w:rPr>
  </w:style>
  <w:style w:type="paragraph" w:styleId="TOCHeading">
    <w:name w:val="TOC Heading"/>
    <w:basedOn w:val="Heading1"/>
    <w:next w:val="Normal"/>
    <w:uiPriority w:val="39"/>
    <w:unhideWhenUsed/>
    <w:qFormat/>
    <w:rsid w:val="00247DD4"/>
    <w:pPr>
      <w:keepLines/>
      <w:spacing w:before="240" w:after="0" w:line="259" w:lineRule="auto"/>
      <w:outlineLvl w:val="9"/>
    </w:pPr>
    <w:rPr>
      <w:rFonts w:asciiTheme="majorHAnsi" w:eastAsiaTheme="majorEastAsia" w:hAnsiTheme="majorHAnsi" w:cstheme="majorBidi"/>
      <w:b w:val="0"/>
      <w:color w:val="212937" w:themeColor="accent1" w:themeShade="BF"/>
      <w:kern w:val="0"/>
      <w:sz w:val="32"/>
      <w:szCs w:val="32"/>
      <w:lang w:val="en-US" w:eastAsia="en-US"/>
    </w:rPr>
  </w:style>
  <w:style w:type="paragraph" w:styleId="TOC4">
    <w:name w:val="toc 4"/>
    <w:basedOn w:val="Normal"/>
    <w:next w:val="Normal"/>
    <w:autoRedefine/>
    <w:uiPriority w:val="39"/>
    <w:unhideWhenUsed/>
    <w:rsid w:val="00862A40"/>
    <w:pPr>
      <w:spacing w:before="0"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862A40"/>
    <w:pPr>
      <w:spacing w:before="0"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862A40"/>
    <w:pPr>
      <w:spacing w:before="0"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862A40"/>
    <w:pPr>
      <w:spacing w:before="0"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862A40"/>
    <w:pPr>
      <w:spacing w:before="0"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862A40"/>
    <w:pPr>
      <w:spacing w:before="0" w:after="100" w:line="278" w:lineRule="auto"/>
      <w:ind w:left="1920"/>
    </w:pPr>
    <w:rPr>
      <w:rFonts w:asciiTheme="minorHAnsi" w:eastAsiaTheme="minorEastAsia"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1188">
      <w:bodyDiv w:val="1"/>
      <w:marLeft w:val="0"/>
      <w:marRight w:val="0"/>
      <w:marTop w:val="0"/>
      <w:marBottom w:val="0"/>
      <w:divBdr>
        <w:top w:val="none" w:sz="0" w:space="0" w:color="auto"/>
        <w:left w:val="none" w:sz="0" w:space="0" w:color="auto"/>
        <w:bottom w:val="none" w:sz="0" w:space="0" w:color="auto"/>
        <w:right w:val="none" w:sz="0" w:space="0" w:color="auto"/>
      </w:divBdr>
    </w:div>
    <w:div w:id="29187232">
      <w:bodyDiv w:val="1"/>
      <w:marLeft w:val="0"/>
      <w:marRight w:val="0"/>
      <w:marTop w:val="0"/>
      <w:marBottom w:val="0"/>
      <w:divBdr>
        <w:top w:val="none" w:sz="0" w:space="0" w:color="auto"/>
        <w:left w:val="none" w:sz="0" w:space="0" w:color="auto"/>
        <w:bottom w:val="none" w:sz="0" w:space="0" w:color="auto"/>
        <w:right w:val="none" w:sz="0" w:space="0" w:color="auto"/>
      </w:divBdr>
      <w:divsChild>
        <w:div w:id="1207988048">
          <w:marLeft w:val="0"/>
          <w:marRight w:val="0"/>
          <w:marTop w:val="0"/>
          <w:marBottom w:val="0"/>
          <w:divBdr>
            <w:top w:val="none" w:sz="0" w:space="0" w:color="auto"/>
            <w:left w:val="none" w:sz="0" w:space="0" w:color="auto"/>
            <w:bottom w:val="none" w:sz="0" w:space="0" w:color="auto"/>
            <w:right w:val="none" w:sz="0" w:space="0" w:color="auto"/>
          </w:divBdr>
        </w:div>
      </w:divsChild>
    </w:div>
    <w:div w:id="29229377">
      <w:bodyDiv w:val="1"/>
      <w:marLeft w:val="0"/>
      <w:marRight w:val="0"/>
      <w:marTop w:val="0"/>
      <w:marBottom w:val="0"/>
      <w:divBdr>
        <w:top w:val="none" w:sz="0" w:space="0" w:color="auto"/>
        <w:left w:val="none" w:sz="0" w:space="0" w:color="auto"/>
        <w:bottom w:val="none" w:sz="0" w:space="0" w:color="auto"/>
        <w:right w:val="none" w:sz="0" w:space="0" w:color="auto"/>
      </w:divBdr>
    </w:div>
    <w:div w:id="67508965">
      <w:bodyDiv w:val="1"/>
      <w:marLeft w:val="0"/>
      <w:marRight w:val="0"/>
      <w:marTop w:val="0"/>
      <w:marBottom w:val="0"/>
      <w:divBdr>
        <w:top w:val="none" w:sz="0" w:space="0" w:color="auto"/>
        <w:left w:val="none" w:sz="0" w:space="0" w:color="auto"/>
        <w:bottom w:val="none" w:sz="0" w:space="0" w:color="auto"/>
        <w:right w:val="none" w:sz="0" w:space="0" w:color="auto"/>
      </w:divBdr>
      <w:divsChild>
        <w:div w:id="217280316">
          <w:marLeft w:val="0"/>
          <w:marRight w:val="0"/>
          <w:marTop w:val="0"/>
          <w:marBottom w:val="0"/>
          <w:divBdr>
            <w:top w:val="none" w:sz="0" w:space="0" w:color="auto"/>
            <w:left w:val="none" w:sz="0" w:space="0" w:color="auto"/>
            <w:bottom w:val="none" w:sz="0" w:space="0" w:color="auto"/>
            <w:right w:val="none" w:sz="0" w:space="0" w:color="auto"/>
          </w:divBdr>
        </w:div>
      </w:divsChild>
    </w:div>
    <w:div w:id="68161700">
      <w:bodyDiv w:val="1"/>
      <w:marLeft w:val="0"/>
      <w:marRight w:val="0"/>
      <w:marTop w:val="0"/>
      <w:marBottom w:val="0"/>
      <w:divBdr>
        <w:top w:val="none" w:sz="0" w:space="0" w:color="auto"/>
        <w:left w:val="none" w:sz="0" w:space="0" w:color="auto"/>
        <w:bottom w:val="none" w:sz="0" w:space="0" w:color="auto"/>
        <w:right w:val="none" w:sz="0" w:space="0" w:color="auto"/>
      </w:divBdr>
    </w:div>
    <w:div w:id="73165492">
      <w:bodyDiv w:val="1"/>
      <w:marLeft w:val="0"/>
      <w:marRight w:val="0"/>
      <w:marTop w:val="0"/>
      <w:marBottom w:val="0"/>
      <w:divBdr>
        <w:top w:val="none" w:sz="0" w:space="0" w:color="auto"/>
        <w:left w:val="none" w:sz="0" w:space="0" w:color="auto"/>
        <w:bottom w:val="none" w:sz="0" w:space="0" w:color="auto"/>
        <w:right w:val="none" w:sz="0" w:space="0" w:color="auto"/>
      </w:divBdr>
    </w:div>
    <w:div w:id="74716018">
      <w:bodyDiv w:val="1"/>
      <w:marLeft w:val="0"/>
      <w:marRight w:val="0"/>
      <w:marTop w:val="0"/>
      <w:marBottom w:val="0"/>
      <w:divBdr>
        <w:top w:val="none" w:sz="0" w:space="0" w:color="auto"/>
        <w:left w:val="none" w:sz="0" w:space="0" w:color="auto"/>
        <w:bottom w:val="none" w:sz="0" w:space="0" w:color="auto"/>
        <w:right w:val="none" w:sz="0" w:space="0" w:color="auto"/>
      </w:divBdr>
    </w:div>
    <w:div w:id="92484569">
      <w:bodyDiv w:val="1"/>
      <w:marLeft w:val="0"/>
      <w:marRight w:val="0"/>
      <w:marTop w:val="0"/>
      <w:marBottom w:val="0"/>
      <w:divBdr>
        <w:top w:val="none" w:sz="0" w:space="0" w:color="auto"/>
        <w:left w:val="none" w:sz="0" w:space="0" w:color="auto"/>
        <w:bottom w:val="none" w:sz="0" w:space="0" w:color="auto"/>
        <w:right w:val="none" w:sz="0" w:space="0" w:color="auto"/>
      </w:divBdr>
    </w:div>
    <w:div w:id="100105592">
      <w:bodyDiv w:val="1"/>
      <w:marLeft w:val="0"/>
      <w:marRight w:val="0"/>
      <w:marTop w:val="0"/>
      <w:marBottom w:val="0"/>
      <w:divBdr>
        <w:top w:val="none" w:sz="0" w:space="0" w:color="auto"/>
        <w:left w:val="none" w:sz="0" w:space="0" w:color="auto"/>
        <w:bottom w:val="none" w:sz="0" w:space="0" w:color="auto"/>
        <w:right w:val="none" w:sz="0" w:space="0" w:color="auto"/>
      </w:divBdr>
    </w:div>
    <w:div w:id="103577431">
      <w:bodyDiv w:val="1"/>
      <w:marLeft w:val="0"/>
      <w:marRight w:val="0"/>
      <w:marTop w:val="0"/>
      <w:marBottom w:val="0"/>
      <w:divBdr>
        <w:top w:val="none" w:sz="0" w:space="0" w:color="auto"/>
        <w:left w:val="none" w:sz="0" w:space="0" w:color="auto"/>
        <w:bottom w:val="none" w:sz="0" w:space="0" w:color="auto"/>
        <w:right w:val="none" w:sz="0" w:space="0" w:color="auto"/>
      </w:divBdr>
    </w:div>
    <w:div w:id="109208281">
      <w:bodyDiv w:val="1"/>
      <w:marLeft w:val="0"/>
      <w:marRight w:val="0"/>
      <w:marTop w:val="0"/>
      <w:marBottom w:val="0"/>
      <w:divBdr>
        <w:top w:val="none" w:sz="0" w:space="0" w:color="auto"/>
        <w:left w:val="none" w:sz="0" w:space="0" w:color="auto"/>
        <w:bottom w:val="none" w:sz="0" w:space="0" w:color="auto"/>
        <w:right w:val="none" w:sz="0" w:space="0" w:color="auto"/>
      </w:divBdr>
      <w:divsChild>
        <w:div w:id="1932159314">
          <w:marLeft w:val="0"/>
          <w:marRight w:val="0"/>
          <w:marTop w:val="0"/>
          <w:marBottom w:val="0"/>
          <w:divBdr>
            <w:top w:val="none" w:sz="0" w:space="0" w:color="auto"/>
            <w:left w:val="none" w:sz="0" w:space="0" w:color="auto"/>
            <w:bottom w:val="none" w:sz="0" w:space="0" w:color="auto"/>
            <w:right w:val="none" w:sz="0" w:space="0" w:color="auto"/>
          </w:divBdr>
        </w:div>
      </w:divsChild>
    </w:div>
    <w:div w:id="118501609">
      <w:bodyDiv w:val="1"/>
      <w:marLeft w:val="0"/>
      <w:marRight w:val="0"/>
      <w:marTop w:val="0"/>
      <w:marBottom w:val="0"/>
      <w:divBdr>
        <w:top w:val="none" w:sz="0" w:space="0" w:color="auto"/>
        <w:left w:val="none" w:sz="0" w:space="0" w:color="auto"/>
        <w:bottom w:val="none" w:sz="0" w:space="0" w:color="auto"/>
        <w:right w:val="none" w:sz="0" w:space="0" w:color="auto"/>
      </w:divBdr>
    </w:div>
    <w:div w:id="133571424">
      <w:bodyDiv w:val="1"/>
      <w:marLeft w:val="0"/>
      <w:marRight w:val="0"/>
      <w:marTop w:val="0"/>
      <w:marBottom w:val="0"/>
      <w:divBdr>
        <w:top w:val="none" w:sz="0" w:space="0" w:color="auto"/>
        <w:left w:val="none" w:sz="0" w:space="0" w:color="auto"/>
        <w:bottom w:val="none" w:sz="0" w:space="0" w:color="auto"/>
        <w:right w:val="none" w:sz="0" w:space="0" w:color="auto"/>
      </w:divBdr>
      <w:divsChild>
        <w:div w:id="1812167282">
          <w:marLeft w:val="0"/>
          <w:marRight w:val="0"/>
          <w:marTop w:val="0"/>
          <w:marBottom w:val="0"/>
          <w:divBdr>
            <w:top w:val="none" w:sz="0" w:space="0" w:color="auto"/>
            <w:left w:val="none" w:sz="0" w:space="0" w:color="auto"/>
            <w:bottom w:val="none" w:sz="0" w:space="0" w:color="auto"/>
            <w:right w:val="none" w:sz="0" w:space="0" w:color="auto"/>
          </w:divBdr>
        </w:div>
      </w:divsChild>
    </w:div>
    <w:div w:id="139540945">
      <w:bodyDiv w:val="1"/>
      <w:marLeft w:val="0"/>
      <w:marRight w:val="0"/>
      <w:marTop w:val="0"/>
      <w:marBottom w:val="0"/>
      <w:divBdr>
        <w:top w:val="none" w:sz="0" w:space="0" w:color="auto"/>
        <w:left w:val="none" w:sz="0" w:space="0" w:color="auto"/>
        <w:bottom w:val="none" w:sz="0" w:space="0" w:color="auto"/>
        <w:right w:val="none" w:sz="0" w:space="0" w:color="auto"/>
      </w:divBdr>
    </w:div>
    <w:div w:id="153450881">
      <w:bodyDiv w:val="1"/>
      <w:marLeft w:val="0"/>
      <w:marRight w:val="0"/>
      <w:marTop w:val="0"/>
      <w:marBottom w:val="0"/>
      <w:divBdr>
        <w:top w:val="none" w:sz="0" w:space="0" w:color="auto"/>
        <w:left w:val="none" w:sz="0" w:space="0" w:color="auto"/>
        <w:bottom w:val="none" w:sz="0" w:space="0" w:color="auto"/>
        <w:right w:val="none" w:sz="0" w:space="0" w:color="auto"/>
      </w:divBdr>
    </w:div>
    <w:div w:id="158735526">
      <w:bodyDiv w:val="1"/>
      <w:marLeft w:val="0"/>
      <w:marRight w:val="0"/>
      <w:marTop w:val="0"/>
      <w:marBottom w:val="0"/>
      <w:divBdr>
        <w:top w:val="none" w:sz="0" w:space="0" w:color="auto"/>
        <w:left w:val="none" w:sz="0" w:space="0" w:color="auto"/>
        <w:bottom w:val="none" w:sz="0" w:space="0" w:color="auto"/>
        <w:right w:val="none" w:sz="0" w:space="0" w:color="auto"/>
      </w:divBdr>
    </w:div>
    <w:div w:id="159127706">
      <w:bodyDiv w:val="1"/>
      <w:marLeft w:val="0"/>
      <w:marRight w:val="0"/>
      <w:marTop w:val="0"/>
      <w:marBottom w:val="0"/>
      <w:divBdr>
        <w:top w:val="none" w:sz="0" w:space="0" w:color="auto"/>
        <w:left w:val="none" w:sz="0" w:space="0" w:color="auto"/>
        <w:bottom w:val="none" w:sz="0" w:space="0" w:color="auto"/>
        <w:right w:val="none" w:sz="0" w:space="0" w:color="auto"/>
      </w:divBdr>
      <w:divsChild>
        <w:div w:id="2106874853">
          <w:marLeft w:val="0"/>
          <w:marRight w:val="0"/>
          <w:marTop w:val="0"/>
          <w:marBottom w:val="0"/>
          <w:divBdr>
            <w:top w:val="none" w:sz="0" w:space="0" w:color="auto"/>
            <w:left w:val="none" w:sz="0" w:space="0" w:color="auto"/>
            <w:bottom w:val="none" w:sz="0" w:space="0" w:color="auto"/>
            <w:right w:val="none" w:sz="0" w:space="0" w:color="auto"/>
          </w:divBdr>
          <w:divsChild>
            <w:div w:id="1678772274">
              <w:marLeft w:val="0"/>
              <w:marRight w:val="0"/>
              <w:marTop w:val="0"/>
              <w:marBottom w:val="0"/>
              <w:divBdr>
                <w:top w:val="none" w:sz="0" w:space="0" w:color="auto"/>
                <w:left w:val="none" w:sz="0" w:space="0" w:color="auto"/>
                <w:bottom w:val="none" w:sz="0" w:space="0" w:color="auto"/>
                <w:right w:val="none" w:sz="0" w:space="0" w:color="auto"/>
              </w:divBdr>
              <w:divsChild>
                <w:div w:id="563105540">
                  <w:marLeft w:val="0"/>
                  <w:marRight w:val="0"/>
                  <w:marTop w:val="0"/>
                  <w:marBottom w:val="0"/>
                  <w:divBdr>
                    <w:top w:val="none" w:sz="0" w:space="0" w:color="auto"/>
                    <w:left w:val="none" w:sz="0" w:space="0" w:color="auto"/>
                    <w:bottom w:val="none" w:sz="0" w:space="0" w:color="auto"/>
                    <w:right w:val="none" w:sz="0" w:space="0" w:color="auto"/>
                  </w:divBdr>
                  <w:divsChild>
                    <w:div w:id="1148203166">
                      <w:marLeft w:val="0"/>
                      <w:marRight w:val="0"/>
                      <w:marTop w:val="0"/>
                      <w:marBottom w:val="0"/>
                      <w:divBdr>
                        <w:top w:val="none" w:sz="0" w:space="0" w:color="auto"/>
                        <w:left w:val="none" w:sz="0" w:space="0" w:color="auto"/>
                        <w:bottom w:val="none" w:sz="0" w:space="0" w:color="auto"/>
                        <w:right w:val="none" w:sz="0" w:space="0" w:color="auto"/>
                      </w:divBdr>
                      <w:divsChild>
                        <w:div w:id="1856917354">
                          <w:marLeft w:val="0"/>
                          <w:marRight w:val="0"/>
                          <w:marTop w:val="0"/>
                          <w:marBottom w:val="0"/>
                          <w:divBdr>
                            <w:top w:val="none" w:sz="0" w:space="0" w:color="auto"/>
                            <w:left w:val="none" w:sz="0" w:space="0" w:color="auto"/>
                            <w:bottom w:val="none" w:sz="0" w:space="0" w:color="auto"/>
                            <w:right w:val="none" w:sz="0" w:space="0" w:color="auto"/>
                          </w:divBdr>
                          <w:divsChild>
                            <w:div w:id="47075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46545">
      <w:bodyDiv w:val="1"/>
      <w:marLeft w:val="0"/>
      <w:marRight w:val="0"/>
      <w:marTop w:val="0"/>
      <w:marBottom w:val="0"/>
      <w:divBdr>
        <w:top w:val="none" w:sz="0" w:space="0" w:color="auto"/>
        <w:left w:val="none" w:sz="0" w:space="0" w:color="auto"/>
        <w:bottom w:val="none" w:sz="0" w:space="0" w:color="auto"/>
        <w:right w:val="none" w:sz="0" w:space="0" w:color="auto"/>
      </w:divBdr>
      <w:divsChild>
        <w:div w:id="503782282">
          <w:marLeft w:val="0"/>
          <w:marRight w:val="0"/>
          <w:marTop w:val="0"/>
          <w:marBottom w:val="0"/>
          <w:divBdr>
            <w:top w:val="none" w:sz="0" w:space="0" w:color="auto"/>
            <w:left w:val="none" w:sz="0" w:space="0" w:color="auto"/>
            <w:bottom w:val="none" w:sz="0" w:space="0" w:color="auto"/>
            <w:right w:val="none" w:sz="0" w:space="0" w:color="auto"/>
          </w:divBdr>
        </w:div>
      </w:divsChild>
    </w:div>
    <w:div w:id="175776659">
      <w:bodyDiv w:val="1"/>
      <w:marLeft w:val="0"/>
      <w:marRight w:val="0"/>
      <w:marTop w:val="0"/>
      <w:marBottom w:val="0"/>
      <w:divBdr>
        <w:top w:val="none" w:sz="0" w:space="0" w:color="auto"/>
        <w:left w:val="none" w:sz="0" w:space="0" w:color="auto"/>
        <w:bottom w:val="none" w:sz="0" w:space="0" w:color="auto"/>
        <w:right w:val="none" w:sz="0" w:space="0" w:color="auto"/>
      </w:divBdr>
    </w:div>
    <w:div w:id="182090747">
      <w:bodyDiv w:val="1"/>
      <w:marLeft w:val="0"/>
      <w:marRight w:val="0"/>
      <w:marTop w:val="0"/>
      <w:marBottom w:val="0"/>
      <w:divBdr>
        <w:top w:val="none" w:sz="0" w:space="0" w:color="auto"/>
        <w:left w:val="none" w:sz="0" w:space="0" w:color="auto"/>
        <w:bottom w:val="none" w:sz="0" w:space="0" w:color="auto"/>
        <w:right w:val="none" w:sz="0" w:space="0" w:color="auto"/>
      </w:divBdr>
    </w:div>
    <w:div w:id="183909044">
      <w:bodyDiv w:val="1"/>
      <w:marLeft w:val="0"/>
      <w:marRight w:val="0"/>
      <w:marTop w:val="0"/>
      <w:marBottom w:val="0"/>
      <w:divBdr>
        <w:top w:val="none" w:sz="0" w:space="0" w:color="auto"/>
        <w:left w:val="none" w:sz="0" w:space="0" w:color="auto"/>
        <w:bottom w:val="none" w:sz="0" w:space="0" w:color="auto"/>
        <w:right w:val="none" w:sz="0" w:space="0" w:color="auto"/>
      </w:divBdr>
    </w:div>
    <w:div w:id="207184485">
      <w:bodyDiv w:val="1"/>
      <w:marLeft w:val="0"/>
      <w:marRight w:val="0"/>
      <w:marTop w:val="0"/>
      <w:marBottom w:val="0"/>
      <w:divBdr>
        <w:top w:val="none" w:sz="0" w:space="0" w:color="auto"/>
        <w:left w:val="none" w:sz="0" w:space="0" w:color="auto"/>
        <w:bottom w:val="none" w:sz="0" w:space="0" w:color="auto"/>
        <w:right w:val="none" w:sz="0" w:space="0" w:color="auto"/>
      </w:divBdr>
    </w:div>
    <w:div w:id="208343857">
      <w:bodyDiv w:val="1"/>
      <w:marLeft w:val="0"/>
      <w:marRight w:val="0"/>
      <w:marTop w:val="0"/>
      <w:marBottom w:val="0"/>
      <w:divBdr>
        <w:top w:val="none" w:sz="0" w:space="0" w:color="auto"/>
        <w:left w:val="none" w:sz="0" w:space="0" w:color="auto"/>
        <w:bottom w:val="none" w:sz="0" w:space="0" w:color="auto"/>
        <w:right w:val="none" w:sz="0" w:space="0" w:color="auto"/>
      </w:divBdr>
    </w:div>
    <w:div w:id="209391489">
      <w:bodyDiv w:val="1"/>
      <w:marLeft w:val="0"/>
      <w:marRight w:val="0"/>
      <w:marTop w:val="0"/>
      <w:marBottom w:val="0"/>
      <w:divBdr>
        <w:top w:val="none" w:sz="0" w:space="0" w:color="auto"/>
        <w:left w:val="none" w:sz="0" w:space="0" w:color="auto"/>
        <w:bottom w:val="none" w:sz="0" w:space="0" w:color="auto"/>
        <w:right w:val="none" w:sz="0" w:space="0" w:color="auto"/>
      </w:divBdr>
    </w:div>
    <w:div w:id="222906936">
      <w:bodyDiv w:val="1"/>
      <w:marLeft w:val="0"/>
      <w:marRight w:val="0"/>
      <w:marTop w:val="0"/>
      <w:marBottom w:val="0"/>
      <w:divBdr>
        <w:top w:val="none" w:sz="0" w:space="0" w:color="auto"/>
        <w:left w:val="none" w:sz="0" w:space="0" w:color="auto"/>
        <w:bottom w:val="none" w:sz="0" w:space="0" w:color="auto"/>
        <w:right w:val="none" w:sz="0" w:space="0" w:color="auto"/>
      </w:divBdr>
    </w:div>
    <w:div w:id="232200848">
      <w:bodyDiv w:val="1"/>
      <w:marLeft w:val="0"/>
      <w:marRight w:val="0"/>
      <w:marTop w:val="0"/>
      <w:marBottom w:val="0"/>
      <w:divBdr>
        <w:top w:val="none" w:sz="0" w:space="0" w:color="auto"/>
        <w:left w:val="none" w:sz="0" w:space="0" w:color="auto"/>
        <w:bottom w:val="none" w:sz="0" w:space="0" w:color="auto"/>
        <w:right w:val="none" w:sz="0" w:space="0" w:color="auto"/>
      </w:divBdr>
    </w:div>
    <w:div w:id="248738796">
      <w:bodyDiv w:val="1"/>
      <w:marLeft w:val="0"/>
      <w:marRight w:val="0"/>
      <w:marTop w:val="0"/>
      <w:marBottom w:val="0"/>
      <w:divBdr>
        <w:top w:val="none" w:sz="0" w:space="0" w:color="auto"/>
        <w:left w:val="none" w:sz="0" w:space="0" w:color="auto"/>
        <w:bottom w:val="none" w:sz="0" w:space="0" w:color="auto"/>
        <w:right w:val="none" w:sz="0" w:space="0" w:color="auto"/>
      </w:divBdr>
    </w:div>
    <w:div w:id="255552866">
      <w:bodyDiv w:val="1"/>
      <w:marLeft w:val="0"/>
      <w:marRight w:val="0"/>
      <w:marTop w:val="0"/>
      <w:marBottom w:val="0"/>
      <w:divBdr>
        <w:top w:val="none" w:sz="0" w:space="0" w:color="auto"/>
        <w:left w:val="none" w:sz="0" w:space="0" w:color="auto"/>
        <w:bottom w:val="none" w:sz="0" w:space="0" w:color="auto"/>
        <w:right w:val="none" w:sz="0" w:space="0" w:color="auto"/>
      </w:divBdr>
    </w:div>
    <w:div w:id="269439619">
      <w:bodyDiv w:val="1"/>
      <w:marLeft w:val="0"/>
      <w:marRight w:val="0"/>
      <w:marTop w:val="0"/>
      <w:marBottom w:val="0"/>
      <w:divBdr>
        <w:top w:val="none" w:sz="0" w:space="0" w:color="auto"/>
        <w:left w:val="none" w:sz="0" w:space="0" w:color="auto"/>
        <w:bottom w:val="none" w:sz="0" w:space="0" w:color="auto"/>
        <w:right w:val="none" w:sz="0" w:space="0" w:color="auto"/>
      </w:divBdr>
    </w:div>
    <w:div w:id="275530345">
      <w:bodyDiv w:val="1"/>
      <w:marLeft w:val="0"/>
      <w:marRight w:val="0"/>
      <w:marTop w:val="0"/>
      <w:marBottom w:val="0"/>
      <w:divBdr>
        <w:top w:val="none" w:sz="0" w:space="0" w:color="auto"/>
        <w:left w:val="none" w:sz="0" w:space="0" w:color="auto"/>
        <w:bottom w:val="none" w:sz="0" w:space="0" w:color="auto"/>
        <w:right w:val="none" w:sz="0" w:space="0" w:color="auto"/>
      </w:divBdr>
    </w:div>
    <w:div w:id="285544836">
      <w:bodyDiv w:val="1"/>
      <w:marLeft w:val="0"/>
      <w:marRight w:val="0"/>
      <w:marTop w:val="0"/>
      <w:marBottom w:val="0"/>
      <w:divBdr>
        <w:top w:val="none" w:sz="0" w:space="0" w:color="auto"/>
        <w:left w:val="none" w:sz="0" w:space="0" w:color="auto"/>
        <w:bottom w:val="none" w:sz="0" w:space="0" w:color="auto"/>
        <w:right w:val="none" w:sz="0" w:space="0" w:color="auto"/>
      </w:divBdr>
    </w:div>
    <w:div w:id="306711406">
      <w:bodyDiv w:val="1"/>
      <w:marLeft w:val="0"/>
      <w:marRight w:val="0"/>
      <w:marTop w:val="0"/>
      <w:marBottom w:val="0"/>
      <w:divBdr>
        <w:top w:val="none" w:sz="0" w:space="0" w:color="auto"/>
        <w:left w:val="none" w:sz="0" w:space="0" w:color="auto"/>
        <w:bottom w:val="none" w:sz="0" w:space="0" w:color="auto"/>
        <w:right w:val="none" w:sz="0" w:space="0" w:color="auto"/>
      </w:divBdr>
    </w:div>
    <w:div w:id="343560104">
      <w:bodyDiv w:val="1"/>
      <w:marLeft w:val="0"/>
      <w:marRight w:val="0"/>
      <w:marTop w:val="0"/>
      <w:marBottom w:val="0"/>
      <w:divBdr>
        <w:top w:val="none" w:sz="0" w:space="0" w:color="auto"/>
        <w:left w:val="none" w:sz="0" w:space="0" w:color="auto"/>
        <w:bottom w:val="none" w:sz="0" w:space="0" w:color="auto"/>
        <w:right w:val="none" w:sz="0" w:space="0" w:color="auto"/>
      </w:divBdr>
    </w:div>
    <w:div w:id="350644251">
      <w:bodyDiv w:val="1"/>
      <w:marLeft w:val="0"/>
      <w:marRight w:val="0"/>
      <w:marTop w:val="0"/>
      <w:marBottom w:val="0"/>
      <w:divBdr>
        <w:top w:val="none" w:sz="0" w:space="0" w:color="auto"/>
        <w:left w:val="none" w:sz="0" w:space="0" w:color="auto"/>
        <w:bottom w:val="none" w:sz="0" w:space="0" w:color="auto"/>
        <w:right w:val="none" w:sz="0" w:space="0" w:color="auto"/>
      </w:divBdr>
      <w:divsChild>
        <w:div w:id="1584799483">
          <w:marLeft w:val="0"/>
          <w:marRight w:val="0"/>
          <w:marTop w:val="0"/>
          <w:marBottom w:val="0"/>
          <w:divBdr>
            <w:top w:val="none" w:sz="0" w:space="0" w:color="auto"/>
            <w:left w:val="none" w:sz="0" w:space="0" w:color="auto"/>
            <w:bottom w:val="none" w:sz="0" w:space="0" w:color="auto"/>
            <w:right w:val="none" w:sz="0" w:space="0" w:color="auto"/>
          </w:divBdr>
        </w:div>
      </w:divsChild>
    </w:div>
    <w:div w:id="377245665">
      <w:bodyDiv w:val="1"/>
      <w:marLeft w:val="0"/>
      <w:marRight w:val="0"/>
      <w:marTop w:val="0"/>
      <w:marBottom w:val="0"/>
      <w:divBdr>
        <w:top w:val="none" w:sz="0" w:space="0" w:color="auto"/>
        <w:left w:val="none" w:sz="0" w:space="0" w:color="auto"/>
        <w:bottom w:val="none" w:sz="0" w:space="0" w:color="auto"/>
        <w:right w:val="none" w:sz="0" w:space="0" w:color="auto"/>
      </w:divBdr>
    </w:div>
    <w:div w:id="380371161">
      <w:bodyDiv w:val="1"/>
      <w:marLeft w:val="0"/>
      <w:marRight w:val="0"/>
      <w:marTop w:val="0"/>
      <w:marBottom w:val="0"/>
      <w:divBdr>
        <w:top w:val="none" w:sz="0" w:space="0" w:color="auto"/>
        <w:left w:val="none" w:sz="0" w:space="0" w:color="auto"/>
        <w:bottom w:val="none" w:sz="0" w:space="0" w:color="auto"/>
        <w:right w:val="none" w:sz="0" w:space="0" w:color="auto"/>
      </w:divBdr>
      <w:divsChild>
        <w:div w:id="1147671827">
          <w:marLeft w:val="0"/>
          <w:marRight w:val="0"/>
          <w:marTop w:val="0"/>
          <w:marBottom w:val="0"/>
          <w:divBdr>
            <w:top w:val="none" w:sz="0" w:space="0" w:color="auto"/>
            <w:left w:val="none" w:sz="0" w:space="0" w:color="auto"/>
            <w:bottom w:val="none" w:sz="0" w:space="0" w:color="auto"/>
            <w:right w:val="none" w:sz="0" w:space="0" w:color="auto"/>
          </w:divBdr>
          <w:divsChild>
            <w:div w:id="733629617">
              <w:marLeft w:val="0"/>
              <w:marRight w:val="0"/>
              <w:marTop w:val="0"/>
              <w:marBottom w:val="0"/>
              <w:divBdr>
                <w:top w:val="none" w:sz="0" w:space="0" w:color="auto"/>
                <w:left w:val="none" w:sz="0" w:space="0" w:color="auto"/>
                <w:bottom w:val="none" w:sz="0" w:space="0" w:color="auto"/>
                <w:right w:val="none" w:sz="0" w:space="0" w:color="auto"/>
              </w:divBdr>
              <w:divsChild>
                <w:div w:id="812866414">
                  <w:marLeft w:val="0"/>
                  <w:marRight w:val="0"/>
                  <w:marTop w:val="0"/>
                  <w:marBottom w:val="0"/>
                  <w:divBdr>
                    <w:top w:val="none" w:sz="0" w:space="0" w:color="auto"/>
                    <w:left w:val="none" w:sz="0" w:space="0" w:color="auto"/>
                    <w:bottom w:val="none" w:sz="0" w:space="0" w:color="auto"/>
                    <w:right w:val="none" w:sz="0" w:space="0" w:color="auto"/>
                  </w:divBdr>
                  <w:divsChild>
                    <w:div w:id="653874637">
                      <w:marLeft w:val="0"/>
                      <w:marRight w:val="0"/>
                      <w:marTop w:val="0"/>
                      <w:marBottom w:val="0"/>
                      <w:divBdr>
                        <w:top w:val="none" w:sz="0" w:space="0" w:color="auto"/>
                        <w:left w:val="none" w:sz="0" w:space="0" w:color="auto"/>
                        <w:bottom w:val="none" w:sz="0" w:space="0" w:color="auto"/>
                        <w:right w:val="none" w:sz="0" w:space="0" w:color="auto"/>
                      </w:divBdr>
                      <w:divsChild>
                        <w:div w:id="1240404470">
                          <w:marLeft w:val="0"/>
                          <w:marRight w:val="0"/>
                          <w:marTop w:val="0"/>
                          <w:marBottom w:val="0"/>
                          <w:divBdr>
                            <w:top w:val="none" w:sz="0" w:space="0" w:color="auto"/>
                            <w:left w:val="none" w:sz="0" w:space="0" w:color="auto"/>
                            <w:bottom w:val="none" w:sz="0" w:space="0" w:color="auto"/>
                            <w:right w:val="none" w:sz="0" w:space="0" w:color="auto"/>
                          </w:divBdr>
                          <w:divsChild>
                            <w:div w:id="1247227759">
                              <w:marLeft w:val="0"/>
                              <w:marRight w:val="0"/>
                              <w:marTop w:val="0"/>
                              <w:marBottom w:val="0"/>
                              <w:divBdr>
                                <w:top w:val="none" w:sz="0" w:space="0" w:color="auto"/>
                                <w:left w:val="none" w:sz="0" w:space="0" w:color="auto"/>
                                <w:bottom w:val="none" w:sz="0" w:space="0" w:color="auto"/>
                                <w:right w:val="none" w:sz="0" w:space="0" w:color="auto"/>
                              </w:divBdr>
                              <w:divsChild>
                                <w:div w:id="47270832">
                                  <w:marLeft w:val="0"/>
                                  <w:marRight w:val="0"/>
                                  <w:marTop w:val="0"/>
                                  <w:marBottom w:val="0"/>
                                  <w:divBdr>
                                    <w:top w:val="none" w:sz="0" w:space="0" w:color="auto"/>
                                    <w:left w:val="none" w:sz="0" w:space="0" w:color="auto"/>
                                    <w:bottom w:val="none" w:sz="0" w:space="0" w:color="auto"/>
                                    <w:right w:val="none" w:sz="0" w:space="0" w:color="auto"/>
                                  </w:divBdr>
                                  <w:divsChild>
                                    <w:div w:id="1426606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941336">
      <w:bodyDiv w:val="1"/>
      <w:marLeft w:val="0"/>
      <w:marRight w:val="0"/>
      <w:marTop w:val="0"/>
      <w:marBottom w:val="0"/>
      <w:divBdr>
        <w:top w:val="none" w:sz="0" w:space="0" w:color="auto"/>
        <w:left w:val="none" w:sz="0" w:space="0" w:color="auto"/>
        <w:bottom w:val="none" w:sz="0" w:space="0" w:color="auto"/>
        <w:right w:val="none" w:sz="0" w:space="0" w:color="auto"/>
      </w:divBdr>
    </w:div>
    <w:div w:id="411004366">
      <w:bodyDiv w:val="1"/>
      <w:marLeft w:val="0"/>
      <w:marRight w:val="0"/>
      <w:marTop w:val="0"/>
      <w:marBottom w:val="0"/>
      <w:divBdr>
        <w:top w:val="none" w:sz="0" w:space="0" w:color="auto"/>
        <w:left w:val="none" w:sz="0" w:space="0" w:color="auto"/>
        <w:bottom w:val="none" w:sz="0" w:space="0" w:color="auto"/>
        <w:right w:val="none" w:sz="0" w:space="0" w:color="auto"/>
      </w:divBdr>
    </w:div>
    <w:div w:id="448815406">
      <w:bodyDiv w:val="1"/>
      <w:marLeft w:val="0"/>
      <w:marRight w:val="0"/>
      <w:marTop w:val="0"/>
      <w:marBottom w:val="0"/>
      <w:divBdr>
        <w:top w:val="none" w:sz="0" w:space="0" w:color="auto"/>
        <w:left w:val="none" w:sz="0" w:space="0" w:color="auto"/>
        <w:bottom w:val="none" w:sz="0" w:space="0" w:color="auto"/>
        <w:right w:val="none" w:sz="0" w:space="0" w:color="auto"/>
      </w:divBdr>
    </w:div>
    <w:div w:id="450520388">
      <w:bodyDiv w:val="1"/>
      <w:marLeft w:val="0"/>
      <w:marRight w:val="0"/>
      <w:marTop w:val="0"/>
      <w:marBottom w:val="0"/>
      <w:divBdr>
        <w:top w:val="none" w:sz="0" w:space="0" w:color="auto"/>
        <w:left w:val="none" w:sz="0" w:space="0" w:color="auto"/>
        <w:bottom w:val="none" w:sz="0" w:space="0" w:color="auto"/>
        <w:right w:val="none" w:sz="0" w:space="0" w:color="auto"/>
      </w:divBdr>
    </w:div>
    <w:div w:id="451022649">
      <w:bodyDiv w:val="1"/>
      <w:marLeft w:val="0"/>
      <w:marRight w:val="0"/>
      <w:marTop w:val="0"/>
      <w:marBottom w:val="0"/>
      <w:divBdr>
        <w:top w:val="none" w:sz="0" w:space="0" w:color="auto"/>
        <w:left w:val="none" w:sz="0" w:space="0" w:color="auto"/>
        <w:bottom w:val="none" w:sz="0" w:space="0" w:color="auto"/>
        <w:right w:val="none" w:sz="0" w:space="0" w:color="auto"/>
      </w:divBdr>
    </w:div>
    <w:div w:id="479152296">
      <w:bodyDiv w:val="1"/>
      <w:marLeft w:val="0"/>
      <w:marRight w:val="0"/>
      <w:marTop w:val="0"/>
      <w:marBottom w:val="0"/>
      <w:divBdr>
        <w:top w:val="none" w:sz="0" w:space="0" w:color="auto"/>
        <w:left w:val="none" w:sz="0" w:space="0" w:color="auto"/>
        <w:bottom w:val="none" w:sz="0" w:space="0" w:color="auto"/>
        <w:right w:val="none" w:sz="0" w:space="0" w:color="auto"/>
      </w:divBdr>
    </w:div>
    <w:div w:id="481699414">
      <w:bodyDiv w:val="1"/>
      <w:marLeft w:val="0"/>
      <w:marRight w:val="0"/>
      <w:marTop w:val="0"/>
      <w:marBottom w:val="0"/>
      <w:divBdr>
        <w:top w:val="none" w:sz="0" w:space="0" w:color="auto"/>
        <w:left w:val="none" w:sz="0" w:space="0" w:color="auto"/>
        <w:bottom w:val="none" w:sz="0" w:space="0" w:color="auto"/>
        <w:right w:val="none" w:sz="0" w:space="0" w:color="auto"/>
      </w:divBdr>
    </w:div>
    <w:div w:id="502866771">
      <w:bodyDiv w:val="1"/>
      <w:marLeft w:val="0"/>
      <w:marRight w:val="0"/>
      <w:marTop w:val="0"/>
      <w:marBottom w:val="0"/>
      <w:divBdr>
        <w:top w:val="none" w:sz="0" w:space="0" w:color="auto"/>
        <w:left w:val="none" w:sz="0" w:space="0" w:color="auto"/>
        <w:bottom w:val="none" w:sz="0" w:space="0" w:color="auto"/>
        <w:right w:val="none" w:sz="0" w:space="0" w:color="auto"/>
      </w:divBdr>
    </w:div>
    <w:div w:id="519659789">
      <w:bodyDiv w:val="1"/>
      <w:marLeft w:val="0"/>
      <w:marRight w:val="0"/>
      <w:marTop w:val="0"/>
      <w:marBottom w:val="0"/>
      <w:divBdr>
        <w:top w:val="none" w:sz="0" w:space="0" w:color="auto"/>
        <w:left w:val="none" w:sz="0" w:space="0" w:color="auto"/>
        <w:bottom w:val="none" w:sz="0" w:space="0" w:color="auto"/>
        <w:right w:val="none" w:sz="0" w:space="0" w:color="auto"/>
      </w:divBdr>
    </w:div>
    <w:div w:id="529026340">
      <w:bodyDiv w:val="1"/>
      <w:marLeft w:val="0"/>
      <w:marRight w:val="0"/>
      <w:marTop w:val="0"/>
      <w:marBottom w:val="0"/>
      <w:divBdr>
        <w:top w:val="none" w:sz="0" w:space="0" w:color="auto"/>
        <w:left w:val="none" w:sz="0" w:space="0" w:color="auto"/>
        <w:bottom w:val="none" w:sz="0" w:space="0" w:color="auto"/>
        <w:right w:val="none" w:sz="0" w:space="0" w:color="auto"/>
      </w:divBdr>
    </w:div>
    <w:div w:id="541553794">
      <w:bodyDiv w:val="1"/>
      <w:marLeft w:val="0"/>
      <w:marRight w:val="0"/>
      <w:marTop w:val="0"/>
      <w:marBottom w:val="0"/>
      <w:divBdr>
        <w:top w:val="none" w:sz="0" w:space="0" w:color="auto"/>
        <w:left w:val="none" w:sz="0" w:space="0" w:color="auto"/>
        <w:bottom w:val="none" w:sz="0" w:space="0" w:color="auto"/>
        <w:right w:val="none" w:sz="0" w:space="0" w:color="auto"/>
      </w:divBdr>
    </w:div>
    <w:div w:id="544027545">
      <w:bodyDiv w:val="1"/>
      <w:marLeft w:val="0"/>
      <w:marRight w:val="0"/>
      <w:marTop w:val="0"/>
      <w:marBottom w:val="0"/>
      <w:divBdr>
        <w:top w:val="none" w:sz="0" w:space="0" w:color="auto"/>
        <w:left w:val="none" w:sz="0" w:space="0" w:color="auto"/>
        <w:bottom w:val="none" w:sz="0" w:space="0" w:color="auto"/>
        <w:right w:val="none" w:sz="0" w:space="0" w:color="auto"/>
      </w:divBdr>
    </w:div>
    <w:div w:id="550504205">
      <w:bodyDiv w:val="1"/>
      <w:marLeft w:val="0"/>
      <w:marRight w:val="0"/>
      <w:marTop w:val="0"/>
      <w:marBottom w:val="0"/>
      <w:divBdr>
        <w:top w:val="none" w:sz="0" w:space="0" w:color="auto"/>
        <w:left w:val="none" w:sz="0" w:space="0" w:color="auto"/>
        <w:bottom w:val="none" w:sz="0" w:space="0" w:color="auto"/>
        <w:right w:val="none" w:sz="0" w:space="0" w:color="auto"/>
      </w:divBdr>
    </w:div>
    <w:div w:id="562182556">
      <w:bodyDiv w:val="1"/>
      <w:marLeft w:val="0"/>
      <w:marRight w:val="0"/>
      <w:marTop w:val="0"/>
      <w:marBottom w:val="0"/>
      <w:divBdr>
        <w:top w:val="none" w:sz="0" w:space="0" w:color="auto"/>
        <w:left w:val="none" w:sz="0" w:space="0" w:color="auto"/>
        <w:bottom w:val="none" w:sz="0" w:space="0" w:color="auto"/>
        <w:right w:val="none" w:sz="0" w:space="0" w:color="auto"/>
      </w:divBdr>
    </w:div>
    <w:div w:id="573857731">
      <w:bodyDiv w:val="1"/>
      <w:marLeft w:val="0"/>
      <w:marRight w:val="0"/>
      <w:marTop w:val="0"/>
      <w:marBottom w:val="0"/>
      <w:divBdr>
        <w:top w:val="none" w:sz="0" w:space="0" w:color="auto"/>
        <w:left w:val="none" w:sz="0" w:space="0" w:color="auto"/>
        <w:bottom w:val="none" w:sz="0" w:space="0" w:color="auto"/>
        <w:right w:val="none" w:sz="0" w:space="0" w:color="auto"/>
      </w:divBdr>
    </w:div>
    <w:div w:id="585310862">
      <w:bodyDiv w:val="1"/>
      <w:marLeft w:val="0"/>
      <w:marRight w:val="0"/>
      <w:marTop w:val="0"/>
      <w:marBottom w:val="0"/>
      <w:divBdr>
        <w:top w:val="none" w:sz="0" w:space="0" w:color="auto"/>
        <w:left w:val="none" w:sz="0" w:space="0" w:color="auto"/>
        <w:bottom w:val="none" w:sz="0" w:space="0" w:color="auto"/>
        <w:right w:val="none" w:sz="0" w:space="0" w:color="auto"/>
      </w:divBdr>
      <w:divsChild>
        <w:div w:id="1875337879">
          <w:marLeft w:val="0"/>
          <w:marRight w:val="0"/>
          <w:marTop w:val="180"/>
          <w:marBottom w:val="240"/>
          <w:divBdr>
            <w:top w:val="none" w:sz="0" w:space="0" w:color="auto"/>
            <w:left w:val="none" w:sz="0" w:space="0" w:color="auto"/>
            <w:bottom w:val="none" w:sz="0" w:space="0" w:color="auto"/>
            <w:right w:val="none" w:sz="0" w:space="0" w:color="auto"/>
          </w:divBdr>
        </w:div>
      </w:divsChild>
    </w:div>
    <w:div w:id="601231759">
      <w:bodyDiv w:val="1"/>
      <w:marLeft w:val="0"/>
      <w:marRight w:val="0"/>
      <w:marTop w:val="0"/>
      <w:marBottom w:val="0"/>
      <w:divBdr>
        <w:top w:val="none" w:sz="0" w:space="0" w:color="auto"/>
        <w:left w:val="none" w:sz="0" w:space="0" w:color="auto"/>
        <w:bottom w:val="none" w:sz="0" w:space="0" w:color="auto"/>
        <w:right w:val="none" w:sz="0" w:space="0" w:color="auto"/>
      </w:divBdr>
    </w:div>
    <w:div w:id="602959082">
      <w:bodyDiv w:val="1"/>
      <w:marLeft w:val="0"/>
      <w:marRight w:val="0"/>
      <w:marTop w:val="0"/>
      <w:marBottom w:val="0"/>
      <w:divBdr>
        <w:top w:val="none" w:sz="0" w:space="0" w:color="auto"/>
        <w:left w:val="none" w:sz="0" w:space="0" w:color="auto"/>
        <w:bottom w:val="none" w:sz="0" w:space="0" w:color="auto"/>
        <w:right w:val="none" w:sz="0" w:space="0" w:color="auto"/>
      </w:divBdr>
    </w:div>
    <w:div w:id="606163237">
      <w:bodyDiv w:val="1"/>
      <w:marLeft w:val="0"/>
      <w:marRight w:val="0"/>
      <w:marTop w:val="0"/>
      <w:marBottom w:val="0"/>
      <w:divBdr>
        <w:top w:val="none" w:sz="0" w:space="0" w:color="auto"/>
        <w:left w:val="none" w:sz="0" w:space="0" w:color="auto"/>
        <w:bottom w:val="none" w:sz="0" w:space="0" w:color="auto"/>
        <w:right w:val="none" w:sz="0" w:space="0" w:color="auto"/>
      </w:divBdr>
    </w:div>
    <w:div w:id="606236347">
      <w:bodyDiv w:val="1"/>
      <w:marLeft w:val="0"/>
      <w:marRight w:val="0"/>
      <w:marTop w:val="0"/>
      <w:marBottom w:val="0"/>
      <w:divBdr>
        <w:top w:val="none" w:sz="0" w:space="0" w:color="auto"/>
        <w:left w:val="none" w:sz="0" w:space="0" w:color="auto"/>
        <w:bottom w:val="none" w:sz="0" w:space="0" w:color="auto"/>
        <w:right w:val="none" w:sz="0" w:space="0" w:color="auto"/>
      </w:divBdr>
    </w:div>
    <w:div w:id="620068489">
      <w:bodyDiv w:val="1"/>
      <w:marLeft w:val="0"/>
      <w:marRight w:val="0"/>
      <w:marTop w:val="0"/>
      <w:marBottom w:val="0"/>
      <w:divBdr>
        <w:top w:val="none" w:sz="0" w:space="0" w:color="auto"/>
        <w:left w:val="none" w:sz="0" w:space="0" w:color="auto"/>
        <w:bottom w:val="none" w:sz="0" w:space="0" w:color="auto"/>
        <w:right w:val="none" w:sz="0" w:space="0" w:color="auto"/>
      </w:divBdr>
    </w:div>
    <w:div w:id="621153288">
      <w:bodyDiv w:val="1"/>
      <w:marLeft w:val="0"/>
      <w:marRight w:val="0"/>
      <w:marTop w:val="0"/>
      <w:marBottom w:val="0"/>
      <w:divBdr>
        <w:top w:val="none" w:sz="0" w:space="0" w:color="auto"/>
        <w:left w:val="none" w:sz="0" w:space="0" w:color="auto"/>
        <w:bottom w:val="none" w:sz="0" w:space="0" w:color="auto"/>
        <w:right w:val="none" w:sz="0" w:space="0" w:color="auto"/>
      </w:divBdr>
    </w:div>
    <w:div w:id="622809022">
      <w:bodyDiv w:val="1"/>
      <w:marLeft w:val="0"/>
      <w:marRight w:val="0"/>
      <w:marTop w:val="0"/>
      <w:marBottom w:val="0"/>
      <w:divBdr>
        <w:top w:val="none" w:sz="0" w:space="0" w:color="auto"/>
        <w:left w:val="none" w:sz="0" w:space="0" w:color="auto"/>
        <w:bottom w:val="none" w:sz="0" w:space="0" w:color="auto"/>
        <w:right w:val="none" w:sz="0" w:space="0" w:color="auto"/>
      </w:divBdr>
    </w:div>
    <w:div w:id="625433954">
      <w:bodyDiv w:val="1"/>
      <w:marLeft w:val="0"/>
      <w:marRight w:val="0"/>
      <w:marTop w:val="0"/>
      <w:marBottom w:val="0"/>
      <w:divBdr>
        <w:top w:val="none" w:sz="0" w:space="0" w:color="auto"/>
        <w:left w:val="none" w:sz="0" w:space="0" w:color="auto"/>
        <w:bottom w:val="none" w:sz="0" w:space="0" w:color="auto"/>
        <w:right w:val="none" w:sz="0" w:space="0" w:color="auto"/>
      </w:divBdr>
    </w:div>
    <w:div w:id="630130063">
      <w:bodyDiv w:val="1"/>
      <w:marLeft w:val="0"/>
      <w:marRight w:val="0"/>
      <w:marTop w:val="0"/>
      <w:marBottom w:val="0"/>
      <w:divBdr>
        <w:top w:val="none" w:sz="0" w:space="0" w:color="auto"/>
        <w:left w:val="none" w:sz="0" w:space="0" w:color="auto"/>
        <w:bottom w:val="none" w:sz="0" w:space="0" w:color="auto"/>
        <w:right w:val="none" w:sz="0" w:space="0" w:color="auto"/>
      </w:divBdr>
    </w:div>
    <w:div w:id="633876853">
      <w:bodyDiv w:val="1"/>
      <w:marLeft w:val="0"/>
      <w:marRight w:val="0"/>
      <w:marTop w:val="0"/>
      <w:marBottom w:val="0"/>
      <w:divBdr>
        <w:top w:val="none" w:sz="0" w:space="0" w:color="auto"/>
        <w:left w:val="none" w:sz="0" w:space="0" w:color="auto"/>
        <w:bottom w:val="none" w:sz="0" w:space="0" w:color="auto"/>
        <w:right w:val="none" w:sz="0" w:space="0" w:color="auto"/>
      </w:divBdr>
    </w:div>
    <w:div w:id="666978627">
      <w:bodyDiv w:val="1"/>
      <w:marLeft w:val="0"/>
      <w:marRight w:val="0"/>
      <w:marTop w:val="0"/>
      <w:marBottom w:val="0"/>
      <w:divBdr>
        <w:top w:val="none" w:sz="0" w:space="0" w:color="auto"/>
        <w:left w:val="none" w:sz="0" w:space="0" w:color="auto"/>
        <w:bottom w:val="none" w:sz="0" w:space="0" w:color="auto"/>
        <w:right w:val="none" w:sz="0" w:space="0" w:color="auto"/>
      </w:divBdr>
    </w:div>
    <w:div w:id="671907757">
      <w:bodyDiv w:val="1"/>
      <w:marLeft w:val="0"/>
      <w:marRight w:val="0"/>
      <w:marTop w:val="0"/>
      <w:marBottom w:val="0"/>
      <w:divBdr>
        <w:top w:val="none" w:sz="0" w:space="0" w:color="auto"/>
        <w:left w:val="none" w:sz="0" w:space="0" w:color="auto"/>
        <w:bottom w:val="none" w:sz="0" w:space="0" w:color="auto"/>
        <w:right w:val="none" w:sz="0" w:space="0" w:color="auto"/>
      </w:divBdr>
    </w:div>
    <w:div w:id="688919990">
      <w:bodyDiv w:val="1"/>
      <w:marLeft w:val="0"/>
      <w:marRight w:val="0"/>
      <w:marTop w:val="0"/>
      <w:marBottom w:val="0"/>
      <w:divBdr>
        <w:top w:val="none" w:sz="0" w:space="0" w:color="auto"/>
        <w:left w:val="none" w:sz="0" w:space="0" w:color="auto"/>
        <w:bottom w:val="none" w:sz="0" w:space="0" w:color="auto"/>
        <w:right w:val="none" w:sz="0" w:space="0" w:color="auto"/>
      </w:divBdr>
    </w:div>
    <w:div w:id="689646399">
      <w:bodyDiv w:val="1"/>
      <w:marLeft w:val="0"/>
      <w:marRight w:val="0"/>
      <w:marTop w:val="0"/>
      <w:marBottom w:val="0"/>
      <w:divBdr>
        <w:top w:val="none" w:sz="0" w:space="0" w:color="auto"/>
        <w:left w:val="none" w:sz="0" w:space="0" w:color="auto"/>
        <w:bottom w:val="none" w:sz="0" w:space="0" w:color="auto"/>
        <w:right w:val="none" w:sz="0" w:space="0" w:color="auto"/>
      </w:divBdr>
    </w:div>
    <w:div w:id="722681647">
      <w:bodyDiv w:val="1"/>
      <w:marLeft w:val="0"/>
      <w:marRight w:val="0"/>
      <w:marTop w:val="0"/>
      <w:marBottom w:val="0"/>
      <w:divBdr>
        <w:top w:val="none" w:sz="0" w:space="0" w:color="auto"/>
        <w:left w:val="none" w:sz="0" w:space="0" w:color="auto"/>
        <w:bottom w:val="none" w:sz="0" w:space="0" w:color="auto"/>
        <w:right w:val="none" w:sz="0" w:space="0" w:color="auto"/>
      </w:divBdr>
      <w:divsChild>
        <w:div w:id="630133409">
          <w:marLeft w:val="0"/>
          <w:marRight w:val="0"/>
          <w:marTop w:val="0"/>
          <w:marBottom w:val="0"/>
          <w:divBdr>
            <w:top w:val="none" w:sz="0" w:space="0" w:color="auto"/>
            <w:left w:val="none" w:sz="0" w:space="0" w:color="auto"/>
            <w:bottom w:val="none" w:sz="0" w:space="0" w:color="auto"/>
            <w:right w:val="none" w:sz="0" w:space="0" w:color="auto"/>
          </w:divBdr>
        </w:div>
      </w:divsChild>
    </w:div>
    <w:div w:id="724521626">
      <w:bodyDiv w:val="1"/>
      <w:marLeft w:val="0"/>
      <w:marRight w:val="0"/>
      <w:marTop w:val="0"/>
      <w:marBottom w:val="0"/>
      <w:divBdr>
        <w:top w:val="none" w:sz="0" w:space="0" w:color="auto"/>
        <w:left w:val="none" w:sz="0" w:space="0" w:color="auto"/>
        <w:bottom w:val="none" w:sz="0" w:space="0" w:color="auto"/>
        <w:right w:val="none" w:sz="0" w:space="0" w:color="auto"/>
      </w:divBdr>
      <w:divsChild>
        <w:div w:id="1349138073">
          <w:marLeft w:val="0"/>
          <w:marRight w:val="0"/>
          <w:marTop w:val="0"/>
          <w:marBottom w:val="0"/>
          <w:divBdr>
            <w:top w:val="none" w:sz="0" w:space="0" w:color="auto"/>
            <w:left w:val="none" w:sz="0" w:space="0" w:color="auto"/>
            <w:bottom w:val="none" w:sz="0" w:space="0" w:color="auto"/>
            <w:right w:val="none" w:sz="0" w:space="0" w:color="auto"/>
          </w:divBdr>
        </w:div>
      </w:divsChild>
    </w:div>
    <w:div w:id="741215040">
      <w:bodyDiv w:val="1"/>
      <w:marLeft w:val="0"/>
      <w:marRight w:val="0"/>
      <w:marTop w:val="0"/>
      <w:marBottom w:val="0"/>
      <w:divBdr>
        <w:top w:val="none" w:sz="0" w:space="0" w:color="auto"/>
        <w:left w:val="none" w:sz="0" w:space="0" w:color="auto"/>
        <w:bottom w:val="none" w:sz="0" w:space="0" w:color="auto"/>
        <w:right w:val="none" w:sz="0" w:space="0" w:color="auto"/>
      </w:divBdr>
      <w:divsChild>
        <w:div w:id="1271275056">
          <w:marLeft w:val="0"/>
          <w:marRight w:val="0"/>
          <w:marTop w:val="0"/>
          <w:marBottom w:val="0"/>
          <w:divBdr>
            <w:top w:val="none" w:sz="0" w:space="0" w:color="auto"/>
            <w:left w:val="none" w:sz="0" w:space="0" w:color="auto"/>
            <w:bottom w:val="none" w:sz="0" w:space="0" w:color="auto"/>
            <w:right w:val="none" w:sz="0" w:space="0" w:color="auto"/>
          </w:divBdr>
        </w:div>
      </w:divsChild>
    </w:div>
    <w:div w:id="744188769">
      <w:bodyDiv w:val="1"/>
      <w:marLeft w:val="0"/>
      <w:marRight w:val="0"/>
      <w:marTop w:val="0"/>
      <w:marBottom w:val="0"/>
      <w:divBdr>
        <w:top w:val="none" w:sz="0" w:space="0" w:color="auto"/>
        <w:left w:val="none" w:sz="0" w:space="0" w:color="auto"/>
        <w:bottom w:val="none" w:sz="0" w:space="0" w:color="auto"/>
        <w:right w:val="none" w:sz="0" w:space="0" w:color="auto"/>
      </w:divBdr>
    </w:div>
    <w:div w:id="786310644">
      <w:bodyDiv w:val="1"/>
      <w:marLeft w:val="0"/>
      <w:marRight w:val="0"/>
      <w:marTop w:val="0"/>
      <w:marBottom w:val="0"/>
      <w:divBdr>
        <w:top w:val="none" w:sz="0" w:space="0" w:color="auto"/>
        <w:left w:val="none" w:sz="0" w:space="0" w:color="auto"/>
        <w:bottom w:val="none" w:sz="0" w:space="0" w:color="auto"/>
        <w:right w:val="none" w:sz="0" w:space="0" w:color="auto"/>
      </w:divBdr>
    </w:div>
    <w:div w:id="787969415">
      <w:bodyDiv w:val="1"/>
      <w:marLeft w:val="0"/>
      <w:marRight w:val="0"/>
      <w:marTop w:val="0"/>
      <w:marBottom w:val="0"/>
      <w:divBdr>
        <w:top w:val="none" w:sz="0" w:space="0" w:color="auto"/>
        <w:left w:val="none" w:sz="0" w:space="0" w:color="auto"/>
        <w:bottom w:val="none" w:sz="0" w:space="0" w:color="auto"/>
        <w:right w:val="none" w:sz="0" w:space="0" w:color="auto"/>
      </w:divBdr>
    </w:div>
    <w:div w:id="791094916">
      <w:bodyDiv w:val="1"/>
      <w:marLeft w:val="0"/>
      <w:marRight w:val="0"/>
      <w:marTop w:val="0"/>
      <w:marBottom w:val="0"/>
      <w:divBdr>
        <w:top w:val="none" w:sz="0" w:space="0" w:color="auto"/>
        <w:left w:val="none" w:sz="0" w:space="0" w:color="auto"/>
        <w:bottom w:val="none" w:sz="0" w:space="0" w:color="auto"/>
        <w:right w:val="none" w:sz="0" w:space="0" w:color="auto"/>
      </w:divBdr>
    </w:div>
    <w:div w:id="810555610">
      <w:bodyDiv w:val="1"/>
      <w:marLeft w:val="0"/>
      <w:marRight w:val="0"/>
      <w:marTop w:val="0"/>
      <w:marBottom w:val="0"/>
      <w:divBdr>
        <w:top w:val="none" w:sz="0" w:space="0" w:color="auto"/>
        <w:left w:val="none" w:sz="0" w:space="0" w:color="auto"/>
        <w:bottom w:val="none" w:sz="0" w:space="0" w:color="auto"/>
        <w:right w:val="none" w:sz="0" w:space="0" w:color="auto"/>
      </w:divBdr>
    </w:div>
    <w:div w:id="825361482">
      <w:bodyDiv w:val="1"/>
      <w:marLeft w:val="0"/>
      <w:marRight w:val="0"/>
      <w:marTop w:val="0"/>
      <w:marBottom w:val="0"/>
      <w:divBdr>
        <w:top w:val="none" w:sz="0" w:space="0" w:color="auto"/>
        <w:left w:val="none" w:sz="0" w:space="0" w:color="auto"/>
        <w:bottom w:val="none" w:sz="0" w:space="0" w:color="auto"/>
        <w:right w:val="none" w:sz="0" w:space="0" w:color="auto"/>
      </w:divBdr>
      <w:divsChild>
        <w:div w:id="829833515">
          <w:marLeft w:val="0"/>
          <w:marRight w:val="0"/>
          <w:marTop w:val="0"/>
          <w:marBottom w:val="0"/>
          <w:divBdr>
            <w:top w:val="none" w:sz="0" w:space="0" w:color="auto"/>
            <w:left w:val="none" w:sz="0" w:space="0" w:color="auto"/>
            <w:bottom w:val="none" w:sz="0" w:space="0" w:color="auto"/>
            <w:right w:val="none" w:sz="0" w:space="0" w:color="auto"/>
          </w:divBdr>
        </w:div>
      </w:divsChild>
    </w:div>
    <w:div w:id="827862913">
      <w:bodyDiv w:val="1"/>
      <w:marLeft w:val="0"/>
      <w:marRight w:val="0"/>
      <w:marTop w:val="0"/>
      <w:marBottom w:val="0"/>
      <w:divBdr>
        <w:top w:val="none" w:sz="0" w:space="0" w:color="auto"/>
        <w:left w:val="none" w:sz="0" w:space="0" w:color="auto"/>
        <w:bottom w:val="none" w:sz="0" w:space="0" w:color="auto"/>
        <w:right w:val="none" w:sz="0" w:space="0" w:color="auto"/>
      </w:divBdr>
    </w:div>
    <w:div w:id="831024279">
      <w:bodyDiv w:val="1"/>
      <w:marLeft w:val="0"/>
      <w:marRight w:val="0"/>
      <w:marTop w:val="0"/>
      <w:marBottom w:val="0"/>
      <w:divBdr>
        <w:top w:val="none" w:sz="0" w:space="0" w:color="auto"/>
        <w:left w:val="none" w:sz="0" w:space="0" w:color="auto"/>
        <w:bottom w:val="none" w:sz="0" w:space="0" w:color="auto"/>
        <w:right w:val="none" w:sz="0" w:space="0" w:color="auto"/>
      </w:divBdr>
      <w:divsChild>
        <w:div w:id="101465180">
          <w:marLeft w:val="0"/>
          <w:marRight w:val="0"/>
          <w:marTop w:val="0"/>
          <w:marBottom w:val="0"/>
          <w:divBdr>
            <w:top w:val="none" w:sz="0" w:space="0" w:color="auto"/>
            <w:left w:val="none" w:sz="0" w:space="0" w:color="auto"/>
            <w:bottom w:val="none" w:sz="0" w:space="0" w:color="auto"/>
            <w:right w:val="none" w:sz="0" w:space="0" w:color="auto"/>
          </w:divBdr>
        </w:div>
      </w:divsChild>
    </w:div>
    <w:div w:id="832376202">
      <w:bodyDiv w:val="1"/>
      <w:marLeft w:val="0"/>
      <w:marRight w:val="0"/>
      <w:marTop w:val="0"/>
      <w:marBottom w:val="0"/>
      <w:divBdr>
        <w:top w:val="none" w:sz="0" w:space="0" w:color="auto"/>
        <w:left w:val="none" w:sz="0" w:space="0" w:color="auto"/>
        <w:bottom w:val="none" w:sz="0" w:space="0" w:color="auto"/>
        <w:right w:val="none" w:sz="0" w:space="0" w:color="auto"/>
      </w:divBdr>
    </w:div>
    <w:div w:id="840967675">
      <w:bodyDiv w:val="1"/>
      <w:marLeft w:val="0"/>
      <w:marRight w:val="0"/>
      <w:marTop w:val="0"/>
      <w:marBottom w:val="0"/>
      <w:divBdr>
        <w:top w:val="none" w:sz="0" w:space="0" w:color="auto"/>
        <w:left w:val="none" w:sz="0" w:space="0" w:color="auto"/>
        <w:bottom w:val="none" w:sz="0" w:space="0" w:color="auto"/>
        <w:right w:val="none" w:sz="0" w:space="0" w:color="auto"/>
      </w:divBdr>
      <w:divsChild>
        <w:div w:id="900288812">
          <w:marLeft w:val="0"/>
          <w:marRight w:val="0"/>
          <w:marTop w:val="0"/>
          <w:marBottom w:val="0"/>
          <w:divBdr>
            <w:top w:val="none" w:sz="0" w:space="0" w:color="auto"/>
            <w:left w:val="none" w:sz="0" w:space="0" w:color="auto"/>
            <w:bottom w:val="none" w:sz="0" w:space="0" w:color="auto"/>
            <w:right w:val="none" w:sz="0" w:space="0" w:color="auto"/>
          </w:divBdr>
          <w:divsChild>
            <w:div w:id="1519537095">
              <w:marLeft w:val="0"/>
              <w:marRight w:val="0"/>
              <w:marTop w:val="0"/>
              <w:marBottom w:val="0"/>
              <w:divBdr>
                <w:top w:val="none" w:sz="0" w:space="0" w:color="auto"/>
                <w:left w:val="none" w:sz="0" w:space="0" w:color="auto"/>
                <w:bottom w:val="none" w:sz="0" w:space="0" w:color="auto"/>
                <w:right w:val="none" w:sz="0" w:space="0" w:color="auto"/>
              </w:divBdr>
              <w:divsChild>
                <w:div w:id="82536377">
                  <w:marLeft w:val="0"/>
                  <w:marRight w:val="0"/>
                  <w:marTop w:val="0"/>
                  <w:marBottom w:val="0"/>
                  <w:divBdr>
                    <w:top w:val="none" w:sz="0" w:space="0" w:color="auto"/>
                    <w:left w:val="none" w:sz="0" w:space="0" w:color="auto"/>
                    <w:bottom w:val="none" w:sz="0" w:space="0" w:color="auto"/>
                    <w:right w:val="none" w:sz="0" w:space="0" w:color="auto"/>
                  </w:divBdr>
                  <w:divsChild>
                    <w:div w:id="568033122">
                      <w:marLeft w:val="0"/>
                      <w:marRight w:val="0"/>
                      <w:marTop w:val="0"/>
                      <w:marBottom w:val="0"/>
                      <w:divBdr>
                        <w:top w:val="none" w:sz="0" w:space="0" w:color="auto"/>
                        <w:left w:val="none" w:sz="0" w:space="0" w:color="auto"/>
                        <w:bottom w:val="none" w:sz="0" w:space="0" w:color="auto"/>
                        <w:right w:val="none" w:sz="0" w:space="0" w:color="auto"/>
                      </w:divBdr>
                      <w:divsChild>
                        <w:div w:id="1751271563">
                          <w:marLeft w:val="0"/>
                          <w:marRight w:val="0"/>
                          <w:marTop w:val="0"/>
                          <w:marBottom w:val="0"/>
                          <w:divBdr>
                            <w:top w:val="none" w:sz="0" w:space="0" w:color="auto"/>
                            <w:left w:val="none" w:sz="0" w:space="0" w:color="auto"/>
                            <w:bottom w:val="none" w:sz="0" w:space="0" w:color="auto"/>
                            <w:right w:val="none" w:sz="0" w:space="0" w:color="auto"/>
                          </w:divBdr>
                          <w:divsChild>
                            <w:div w:id="55844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795024">
      <w:bodyDiv w:val="1"/>
      <w:marLeft w:val="0"/>
      <w:marRight w:val="0"/>
      <w:marTop w:val="0"/>
      <w:marBottom w:val="0"/>
      <w:divBdr>
        <w:top w:val="none" w:sz="0" w:space="0" w:color="auto"/>
        <w:left w:val="none" w:sz="0" w:space="0" w:color="auto"/>
        <w:bottom w:val="none" w:sz="0" w:space="0" w:color="auto"/>
        <w:right w:val="none" w:sz="0" w:space="0" w:color="auto"/>
      </w:divBdr>
    </w:div>
    <w:div w:id="883638989">
      <w:bodyDiv w:val="1"/>
      <w:marLeft w:val="0"/>
      <w:marRight w:val="0"/>
      <w:marTop w:val="0"/>
      <w:marBottom w:val="0"/>
      <w:divBdr>
        <w:top w:val="none" w:sz="0" w:space="0" w:color="auto"/>
        <w:left w:val="none" w:sz="0" w:space="0" w:color="auto"/>
        <w:bottom w:val="none" w:sz="0" w:space="0" w:color="auto"/>
        <w:right w:val="none" w:sz="0" w:space="0" w:color="auto"/>
      </w:divBdr>
    </w:div>
    <w:div w:id="900869591">
      <w:bodyDiv w:val="1"/>
      <w:marLeft w:val="0"/>
      <w:marRight w:val="0"/>
      <w:marTop w:val="0"/>
      <w:marBottom w:val="0"/>
      <w:divBdr>
        <w:top w:val="none" w:sz="0" w:space="0" w:color="auto"/>
        <w:left w:val="none" w:sz="0" w:space="0" w:color="auto"/>
        <w:bottom w:val="none" w:sz="0" w:space="0" w:color="auto"/>
        <w:right w:val="none" w:sz="0" w:space="0" w:color="auto"/>
      </w:divBdr>
    </w:div>
    <w:div w:id="917595032">
      <w:bodyDiv w:val="1"/>
      <w:marLeft w:val="0"/>
      <w:marRight w:val="0"/>
      <w:marTop w:val="0"/>
      <w:marBottom w:val="0"/>
      <w:divBdr>
        <w:top w:val="none" w:sz="0" w:space="0" w:color="auto"/>
        <w:left w:val="none" w:sz="0" w:space="0" w:color="auto"/>
        <w:bottom w:val="none" w:sz="0" w:space="0" w:color="auto"/>
        <w:right w:val="none" w:sz="0" w:space="0" w:color="auto"/>
      </w:divBdr>
    </w:div>
    <w:div w:id="923685452">
      <w:bodyDiv w:val="1"/>
      <w:marLeft w:val="0"/>
      <w:marRight w:val="0"/>
      <w:marTop w:val="0"/>
      <w:marBottom w:val="0"/>
      <w:divBdr>
        <w:top w:val="none" w:sz="0" w:space="0" w:color="auto"/>
        <w:left w:val="none" w:sz="0" w:space="0" w:color="auto"/>
        <w:bottom w:val="none" w:sz="0" w:space="0" w:color="auto"/>
        <w:right w:val="none" w:sz="0" w:space="0" w:color="auto"/>
      </w:divBdr>
    </w:div>
    <w:div w:id="948656633">
      <w:bodyDiv w:val="1"/>
      <w:marLeft w:val="0"/>
      <w:marRight w:val="0"/>
      <w:marTop w:val="0"/>
      <w:marBottom w:val="0"/>
      <w:divBdr>
        <w:top w:val="none" w:sz="0" w:space="0" w:color="auto"/>
        <w:left w:val="none" w:sz="0" w:space="0" w:color="auto"/>
        <w:bottom w:val="none" w:sz="0" w:space="0" w:color="auto"/>
        <w:right w:val="none" w:sz="0" w:space="0" w:color="auto"/>
      </w:divBdr>
    </w:div>
    <w:div w:id="981538281">
      <w:bodyDiv w:val="1"/>
      <w:marLeft w:val="0"/>
      <w:marRight w:val="0"/>
      <w:marTop w:val="0"/>
      <w:marBottom w:val="0"/>
      <w:divBdr>
        <w:top w:val="none" w:sz="0" w:space="0" w:color="auto"/>
        <w:left w:val="none" w:sz="0" w:space="0" w:color="auto"/>
        <w:bottom w:val="none" w:sz="0" w:space="0" w:color="auto"/>
        <w:right w:val="none" w:sz="0" w:space="0" w:color="auto"/>
      </w:divBdr>
    </w:div>
    <w:div w:id="988746345">
      <w:bodyDiv w:val="1"/>
      <w:marLeft w:val="0"/>
      <w:marRight w:val="0"/>
      <w:marTop w:val="0"/>
      <w:marBottom w:val="0"/>
      <w:divBdr>
        <w:top w:val="none" w:sz="0" w:space="0" w:color="auto"/>
        <w:left w:val="none" w:sz="0" w:space="0" w:color="auto"/>
        <w:bottom w:val="none" w:sz="0" w:space="0" w:color="auto"/>
        <w:right w:val="none" w:sz="0" w:space="0" w:color="auto"/>
      </w:divBdr>
    </w:div>
    <w:div w:id="1004477658">
      <w:bodyDiv w:val="1"/>
      <w:marLeft w:val="0"/>
      <w:marRight w:val="0"/>
      <w:marTop w:val="0"/>
      <w:marBottom w:val="0"/>
      <w:divBdr>
        <w:top w:val="none" w:sz="0" w:space="0" w:color="auto"/>
        <w:left w:val="none" w:sz="0" w:space="0" w:color="auto"/>
        <w:bottom w:val="none" w:sz="0" w:space="0" w:color="auto"/>
        <w:right w:val="none" w:sz="0" w:space="0" w:color="auto"/>
      </w:divBdr>
    </w:div>
    <w:div w:id="1006597711">
      <w:bodyDiv w:val="1"/>
      <w:marLeft w:val="0"/>
      <w:marRight w:val="0"/>
      <w:marTop w:val="0"/>
      <w:marBottom w:val="0"/>
      <w:divBdr>
        <w:top w:val="none" w:sz="0" w:space="0" w:color="auto"/>
        <w:left w:val="none" w:sz="0" w:space="0" w:color="auto"/>
        <w:bottom w:val="none" w:sz="0" w:space="0" w:color="auto"/>
        <w:right w:val="none" w:sz="0" w:space="0" w:color="auto"/>
      </w:divBdr>
    </w:div>
    <w:div w:id="1006861366">
      <w:bodyDiv w:val="1"/>
      <w:marLeft w:val="0"/>
      <w:marRight w:val="0"/>
      <w:marTop w:val="0"/>
      <w:marBottom w:val="0"/>
      <w:divBdr>
        <w:top w:val="none" w:sz="0" w:space="0" w:color="auto"/>
        <w:left w:val="none" w:sz="0" w:space="0" w:color="auto"/>
        <w:bottom w:val="none" w:sz="0" w:space="0" w:color="auto"/>
        <w:right w:val="none" w:sz="0" w:space="0" w:color="auto"/>
      </w:divBdr>
    </w:div>
    <w:div w:id="1013192971">
      <w:bodyDiv w:val="1"/>
      <w:marLeft w:val="0"/>
      <w:marRight w:val="0"/>
      <w:marTop w:val="0"/>
      <w:marBottom w:val="0"/>
      <w:divBdr>
        <w:top w:val="none" w:sz="0" w:space="0" w:color="auto"/>
        <w:left w:val="none" w:sz="0" w:space="0" w:color="auto"/>
        <w:bottom w:val="none" w:sz="0" w:space="0" w:color="auto"/>
        <w:right w:val="none" w:sz="0" w:space="0" w:color="auto"/>
      </w:divBdr>
    </w:div>
    <w:div w:id="1031150895">
      <w:bodyDiv w:val="1"/>
      <w:marLeft w:val="0"/>
      <w:marRight w:val="0"/>
      <w:marTop w:val="0"/>
      <w:marBottom w:val="0"/>
      <w:divBdr>
        <w:top w:val="none" w:sz="0" w:space="0" w:color="auto"/>
        <w:left w:val="none" w:sz="0" w:space="0" w:color="auto"/>
        <w:bottom w:val="none" w:sz="0" w:space="0" w:color="auto"/>
        <w:right w:val="none" w:sz="0" w:space="0" w:color="auto"/>
      </w:divBdr>
    </w:div>
    <w:div w:id="1041201391">
      <w:bodyDiv w:val="1"/>
      <w:marLeft w:val="0"/>
      <w:marRight w:val="0"/>
      <w:marTop w:val="0"/>
      <w:marBottom w:val="0"/>
      <w:divBdr>
        <w:top w:val="none" w:sz="0" w:space="0" w:color="auto"/>
        <w:left w:val="none" w:sz="0" w:space="0" w:color="auto"/>
        <w:bottom w:val="none" w:sz="0" w:space="0" w:color="auto"/>
        <w:right w:val="none" w:sz="0" w:space="0" w:color="auto"/>
      </w:divBdr>
      <w:divsChild>
        <w:div w:id="168059899">
          <w:marLeft w:val="0"/>
          <w:marRight w:val="0"/>
          <w:marTop w:val="0"/>
          <w:marBottom w:val="0"/>
          <w:divBdr>
            <w:top w:val="none" w:sz="0" w:space="0" w:color="auto"/>
            <w:left w:val="none" w:sz="0" w:space="0" w:color="auto"/>
            <w:bottom w:val="none" w:sz="0" w:space="0" w:color="auto"/>
            <w:right w:val="none" w:sz="0" w:space="0" w:color="auto"/>
          </w:divBdr>
        </w:div>
      </w:divsChild>
    </w:div>
    <w:div w:id="1051536965">
      <w:bodyDiv w:val="1"/>
      <w:marLeft w:val="0"/>
      <w:marRight w:val="0"/>
      <w:marTop w:val="0"/>
      <w:marBottom w:val="0"/>
      <w:divBdr>
        <w:top w:val="none" w:sz="0" w:space="0" w:color="auto"/>
        <w:left w:val="none" w:sz="0" w:space="0" w:color="auto"/>
        <w:bottom w:val="none" w:sz="0" w:space="0" w:color="auto"/>
        <w:right w:val="none" w:sz="0" w:space="0" w:color="auto"/>
      </w:divBdr>
    </w:div>
    <w:div w:id="1059476974">
      <w:bodyDiv w:val="1"/>
      <w:marLeft w:val="0"/>
      <w:marRight w:val="0"/>
      <w:marTop w:val="0"/>
      <w:marBottom w:val="0"/>
      <w:divBdr>
        <w:top w:val="none" w:sz="0" w:space="0" w:color="auto"/>
        <w:left w:val="none" w:sz="0" w:space="0" w:color="auto"/>
        <w:bottom w:val="none" w:sz="0" w:space="0" w:color="auto"/>
        <w:right w:val="none" w:sz="0" w:space="0" w:color="auto"/>
      </w:divBdr>
    </w:div>
    <w:div w:id="1060708082">
      <w:bodyDiv w:val="1"/>
      <w:marLeft w:val="0"/>
      <w:marRight w:val="0"/>
      <w:marTop w:val="0"/>
      <w:marBottom w:val="0"/>
      <w:divBdr>
        <w:top w:val="none" w:sz="0" w:space="0" w:color="auto"/>
        <w:left w:val="none" w:sz="0" w:space="0" w:color="auto"/>
        <w:bottom w:val="none" w:sz="0" w:space="0" w:color="auto"/>
        <w:right w:val="none" w:sz="0" w:space="0" w:color="auto"/>
      </w:divBdr>
    </w:div>
    <w:div w:id="1070931742">
      <w:bodyDiv w:val="1"/>
      <w:marLeft w:val="0"/>
      <w:marRight w:val="0"/>
      <w:marTop w:val="0"/>
      <w:marBottom w:val="0"/>
      <w:divBdr>
        <w:top w:val="none" w:sz="0" w:space="0" w:color="auto"/>
        <w:left w:val="none" w:sz="0" w:space="0" w:color="auto"/>
        <w:bottom w:val="none" w:sz="0" w:space="0" w:color="auto"/>
        <w:right w:val="none" w:sz="0" w:space="0" w:color="auto"/>
      </w:divBdr>
    </w:div>
    <w:div w:id="1097091463">
      <w:bodyDiv w:val="1"/>
      <w:marLeft w:val="0"/>
      <w:marRight w:val="0"/>
      <w:marTop w:val="0"/>
      <w:marBottom w:val="0"/>
      <w:divBdr>
        <w:top w:val="none" w:sz="0" w:space="0" w:color="auto"/>
        <w:left w:val="none" w:sz="0" w:space="0" w:color="auto"/>
        <w:bottom w:val="none" w:sz="0" w:space="0" w:color="auto"/>
        <w:right w:val="none" w:sz="0" w:space="0" w:color="auto"/>
      </w:divBdr>
    </w:div>
    <w:div w:id="1109276125">
      <w:bodyDiv w:val="1"/>
      <w:marLeft w:val="0"/>
      <w:marRight w:val="0"/>
      <w:marTop w:val="0"/>
      <w:marBottom w:val="0"/>
      <w:divBdr>
        <w:top w:val="none" w:sz="0" w:space="0" w:color="auto"/>
        <w:left w:val="none" w:sz="0" w:space="0" w:color="auto"/>
        <w:bottom w:val="none" w:sz="0" w:space="0" w:color="auto"/>
        <w:right w:val="none" w:sz="0" w:space="0" w:color="auto"/>
      </w:divBdr>
    </w:div>
    <w:div w:id="1111582856">
      <w:bodyDiv w:val="1"/>
      <w:marLeft w:val="0"/>
      <w:marRight w:val="0"/>
      <w:marTop w:val="0"/>
      <w:marBottom w:val="0"/>
      <w:divBdr>
        <w:top w:val="none" w:sz="0" w:space="0" w:color="auto"/>
        <w:left w:val="none" w:sz="0" w:space="0" w:color="auto"/>
        <w:bottom w:val="none" w:sz="0" w:space="0" w:color="auto"/>
        <w:right w:val="none" w:sz="0" w:space="0" w:color="auto"/>
      </w:divBdr>
    </w:div>
    <w:div w:id="1119565037">
      <w:bodyDiv w:val="1"/>
      <w:marLeft w:val="0"/>
      <w:marRight w:val="0"/>
      <w:marTop w:val="0"/>
      <w:marBottom w:val="0"/>
      <w:divBdr>
        <w:top w:val="none" w:sz="0" w:space="0" w:color="auto"/>
        <w:left w:val="none" w:sz="0" w:space="0" w:color="auto"/>
        <w:bottom w:val="none" w:sz="0" w:space="0" w:color="auto"/>
        <w:right w:val="none" w:sz="0" w:space="0" w:color="auto"/>
      </w:divBdr>
    </w:div>
    <w:div w:id="1137917268">
      <w:bodyDiv w:val="1"/>
      <w:marLeft w:val="0"/>
      <w:marRight w:val="0"/>
      <w:marTop w:val="0"/>
      <w:marBottom w:val="0"/>
      <w:divBdr>
        <w:top w:val="none" w:sz="0" w:space="0" w:color="auto"/>
        <w:left w:val="none" w:sz="0" w:space="0" w:color="auto"/>
        <w:bottom w:val="none" w:sz="0" w:space="0" w:color="auto"/>
        <w:right w:val="none" w:sz="0" w:space="0" w:color="auto"/>
      </w:divBdr>
    </w:div>
    <w:div w:id="1182742045">
      <w:bodyDiv w:val="1"/>
      <w:marLeft w:val="0"/>
      <w:marRight w:val="0"/>
      <w:marTop w:val="0"/>
      <w:marBottom w:val="0"/>
      <w:divBdr>
        <w:top w:val="none" w:sz="0" w:space="0" w:color="auto"/>
        <w:left w:val="none" w:sz="0" w:space="0" w:color="auto"/>
        <w:bottom w:val="none" w:sz="0" w:space="0" w:color="auto"/>
        <w:right w:val="none" w:sz="0" w:space="0" w:color="auto"/>
      </w:divBdr>
    </w:div>
    <w:div w:id="1195079091">
      <w:bodyDiv w:val="1"/>
      <w:marLeft w:val="0"/>
      <w:marRight w:val="0"/>
      <w:marTop w:val="0"/>
      <w:marBottom w:val="0"/>
      <w:divBdr>
        <w:top w:val="none" w:sz="0" w:space="0" w:color="auto"/>
        <w:left w:val="none" w:sz="0" w:space="0" w:color="auto"/>
        <w:bottom w:val="none" w:sz="0" w:space="0" w:color="auto"/>
        <w:right w:val="none" w:sz="0" w:space="0" w:color="auto"/>
      </w:divBdr>
      <w:divsChild>
        <w:div w:id="333995391">
          <w:marLeft w:val="0"/>
          <w:marRight w:val="0"/>
          <w:marTop w:val="180"/>
          <w:marBottom w:val="240"/>
          <w:divBdr>
            <w:top w:val="none" w:sz="0" w:space="0" w:color="auto"/>
            <w:left w:val="none" w:sz="0" w:space="0" w:color="auto"/>
            <w:bottom w:val="none" w:sz="0" w:space="0" w:color="auto"/>
            <w:right w:val="none" w:sz="0" w:space="0" w:color="auto"/>
          </w:divBdr>
        </w:div>
      </w:divsChild>
    </w:div>
    <w:div w:id="1233388877">
      <w:bodyDiv w:val="1"/>
      <w:marLeft w:val="0"/>
      <w:marRight w:val="0"/>
      <w:marTop w:val="0"/>
      <w:marBottom w:val="0"/>
      <w:divBdr>
        <w:top w:val="none" w:sz="0" w:space="0" w:color="auto"/>
        <w:left w:val="none" w:sz="0" w:space="0" w:color="auto"/>
        <w:bottom w:val="none" w:sz="0" w:space="0" w:color="auto"/>
        <w:right w:val="none" w:sz="0" w:space="0" w:color="auto"/>
      </w:divBdr>
    </w:div>
    <w:div w:id="1237472509">
      <w:bodyDiv w:val="1"/>
      <w:marLeft w:val="0"/>
      <w:marRight w:val="0"/>
      <w:marTop w:val="0"/>
      <w:marBottom w:val="0"/>
      <w:divBdr>
        <w:top w:val="none" w:sz="0" w:space="0" w:color="auto"/>
        <w:left w:val="none" w:sz="0" w:space="0" w:color="auto"/>
        <w:bottom w:val="none" w:sz="0" w:space="0" w:color="auto"/>
        <w:right w:val="none" w:sz="0" w:space="0" w:color="auto"/>
      </w:divBdr>
    </w:div>
    <w:div w:id="1273438675">
      <w:bodyDiv w:val="1"/>
      <w:marLeft w:val="0"/>
      <w:marRight w:val="0"/>
      <w:marTop w:val="0"/>
      <w:marBottom w:val="0"/>
      <w:divBdr>
        <w:top w:val="none" w:sz="0" w:space="0" w:color="auto"/>
        <w:left w:val="none" w:sz="0" w:space="0" w:color="auto"/>
        <w:bottom w:val="none" w:sz="0" w:space="0" w:color="auto"/>
        <w:right w:val="none" w:sz="0" w:space="0" w:color="auto"/>
      </w:divBdr>
    </w:div>
    <w:div w:id="1280262667">
      <w:bodyDiv w:val="1"/>
      <w:marLeft w:val="0"/>
      <w:marRight w:val="0"/>
      <w:marTop w:val="0"/>
      <w:marBottom w:val="0"/>
      <w:divBdr>
        <w:top w:val="none" w:sz="0" w:space="0" w:color="auto"/>
        <w:left w:val="none" w:sz="0" w:space="0" w:color="auto"/>
        <w:bottom w:val="none" w:sz="0" w:space="0" w:color="auto"/>
        <w:right w:val="none" w:sz="0" w:space="0" w:color="auto"/>
      </w:divBdr>
    </w:div>
    <w:div w:id="1299722341">
      <w:bodyDiv w:val="1"/>
      <w:marLeft w:val="0"/>
      <w:marRight w:val="0"/>
      <w:marTop w:val="0"/>
      <w:marBottom w:val="0"/>
      <w:divBdr>
        <w:top w:val="none" w:sz="0" w:space="0" w:color="auto"/>
        <w:left w:val="none" w:sz="0" w:space="0" w:color="auto"/>
        <w:bottom w:val="none" w:sz="0" w:space="0" w:color="auto"/>
        <w:right w:val="none" w:sz="0" w:space="0" w:color="auto"/>
      </w:divBdr>
    </w:div>
    <w:div w:id="1307856378">
      <w:bodyDiv w:val="1"/>
      <w:marLeft w:val="0"/>
      <w:marRight w:val="0"/>
      <w:marTop w:val="0"/>
      <w:marBottom w:val="0"/>
      <w:divBdr>
        <w:top w:val="none" w:sz="0" w:space="0" w:color="auto"/>
        <w:left w:val="none" w:sz="0" w:space="0" w:color="auto"/>
        <w:bottom w:val="none" w:sz="0" w:space="0" w:color="auto"/>
        <w:right w:val="none" w:sz="0" w:space="0" w:color="auto"/>
      </w:divBdr>
    </w:div>
    <w:div w:id="1320426244">
      <w:bodyDiv w:val="1"/>
      <w:marLeft w:val="0"/>
      <w:marRight w:val="0"/>
      <w:marTop w:val="0"/>
      <w:marBottom w:val="0"/>
      <w:divBdr>
        <w:top w:val="none" w:sz="0" w:space="0" w:color="auto"/>
        <w:left w:val="none" w:sz="0" w:space="0" w:color="auto"/>
        <w:bottom w:val="none" w:sz="0" w:space="0" w:color="auto"/>
        <w:right w:val="none" w:sz="0" w:space="0" w:color="auto"/>
      </w:divBdr>
    </w:div>
    <w:div w:id="1326976603">
      <w:bodyDiv w:val="1"/>
      <w:marLeft w:val="0"/>
      <w:marRight w:val="0"/>
      <w:marTop w:val="0"/>
      <w:marBottom w:val="0"/>
      <w:divBdr>
        <w:top w:val="none" w:sz="0" w:space="0" w:color="auto"/>
        <w:left w:val="none" w:sz="0" w:space="0" w:color="auto"/>
        <w:bottom w:val="none" w:sz="0" w:space="0" w:color="auto"/>
        <w:right w:val="none" w:sz="0" w:space="0" w:color="auto"/>
      </w:divBdr>
    </w:div>
    <w:div w:id="1334257534">
      <w:bodyDiv w:val="1"/>
      <w:marLeft w:val="0"/>
      <w:marRight w:val="0"/>
      <w:marTop w:val="0"/>
      <w:marBottom w:val="0"/>
      <w:divBdr>
        <w:top w:val="none" w:sz="0" w:space="0" w:color="auto"/>
        <w:left w:val="none" w:sz="0" w:space="0" w:color="auto"/>
        <w:bottom w:val="none" w:sz="0" w:space="0" w:color="auto"/>
        <w:right w:val="none" w:sz="0" w:space="0" w:color="auto"/>
      </w:divBdr>
    </w:div>
    <w:div w:id="1340162895">
      <w:bodyDiv w:val="1"/>
      <w:marLeft w:val="0"/>
      <w:marRight w:val="0"/>
      <w:marTop w:val="0"/>
      <w:marBottom w:val="0"/>
      <w:divBdr>
        <w:top w:val="none" w:sz="0" w:space="0" w:color="auto"/>
        <w:left w:val="none" w:sz="0" w:space="0" w:color="auto"/>
        <w:bottom w:val="none" w:sz="0" w:space="0" w:color="auto"/>
        <w:right w:val="none" w:sz="0" w:space="0" w:color="auto"/>
      </w:divBdr>
    </w:div>
    <w:div w:id="1377581590">
      <w:bodyDiv w:val="1"/>
      <w:marLeft w:val="0"/>
      <w:marRight w:val="0"/>
      <w:marTop w:val="0"/>
      <w:marBottom w:val="0"/>
      <w:divBdr>
        <w:top w:val="none" w:sz="0" w:space="0" w:color="auto"/>
        <w:left w:val="none" w:sz="0" w:space="0" w:color="auto"/>
        <w:bottom w:val="none" w:sz="0" w:space="0" w:color="auto"/>
        <w:right w:val="none" w:sz="0" w:space="0" w:color="auto"/>
      </w:divBdr>
    </w:div>
    <w:div w:id="1380861522">
      <w:bodyDiv w:val="1"/>
      <w:marLeft w:val="0"/>
      <w:marRight w:val="0"/>
      <w:marTop w:val="0"/>
      <w:marBottom w:val="0"/>
      <w:divBdr>
        <w:top w:val="none" w:sz="0" w:space="0" w:color="auto"/>
        <w:left w:val="none" w:sz="0" w:space="0" w:color="auto"/>
        <w:bottom w:val="none" w:sz="0" w:space="0" w:color="auto"/>
        <w:right w:val="none" w:sz="0" w:space="0" w:color="auto"/>
      </w:divBdr>
    </w:div>
    <w:div w:id="1395927377">
      <w:bodyDiv w:val="1"/>
      <w:marLeft w:val="0"/>
      <w:marRight w:val="0"/>
      <w:marTop w:val="0"/>
      <w:marBottom w:val="0"/>
      <w:divBdr>
        <w:top w:val="none" w:sz="0" w:space="0" w:color="auto"/>
        <w:left w:val="none" w:sz="0" w:space="0" w:color="auto"/>
        <w:bottom w:val="none" w:sz="0" w:space="0" w:color="auto"/>
        <w:right w:val="none" w:sz="0" w:space="0" w:color="auto"/>
      </w:divBdr>
    </w:div>
    <w:div w:id="1402949197">
      <w:bodyDiv w:val="1"/>
      <w:marLeft w:val="0"/>
      <w:marRight w:val="0"/>
      <w:marTop w:val="0"/>
      <w:marBottom w:val="0"/>
      <w:divBdr>
        <w:top w:val="none" w:sz="0" w:space="0" w:color="auto"/>
        <w:left w:val="none" w:sz="0" w:space="0" w:color="auto"/>
        <w:bottom w:val="none" w:sz="0" w:space="0" w:color="auto"/>
        <w:right w:val="none" w:sz="0" w:space="0" w:color="auto"/>
      </w:divBdr>
    </w:div>
    <w:div w:id="1406151408">
      <w:bodyDiv w:val="1"/>
      <w:marLeft w:val="0"/>
      <w:marRight w:val="0"/>
      <w:marTop w:val="0"/>
      <w:marBottom w:val="0"/>
      <w:divBdr>
        <w:top w:val="none" w:sz="0" w:space="0" w:color="auto"/>
        <w:left w:val="none" w:sz="0" w:space="0" w:color="auto"/>
        <w:bottom w:val="none" w:sz="0" w:space="0" w:color="auto"/>
        <w:right w:val="none" w:sz="0" w:space="0" w:color="auto"/>
      </w:divBdr>
    </w:div>
    <w:div w:id="1407730475">
      <w:bodyDiv w:val="1"/>
      <w:marLeft w:val="0"/>
      <w:marRight w:val="0"/>
      <w:marTop w:val="0"/>
      <w:marBottom w:val="0"/>
      <w:divBdr>
        <w:top w:val="none" w:sz="0" w:space="0" w:color="auto"/>
        <w:left w:val="none" w:sz="0" w:space="0" w:color="auto"/>
        <w:bottom w:val="none" w:sz="0" w:space="0" w:color="auto"/>
        <w:right w:val="none" w:sz="0" w:space="0" w:color="auto"/>
      </w:divBdr>
    </w:div>
    <w:div w:id="1419402697">
      <w:bodyDiv w:val="1"/>
      <w:marLeft w:val="0"/>
      <w:marRight w:val="0"/>
      <w:marTop w:val="0"/>
      <w:marBottom w:val="0"/>
      <w:divBdr>
        <w:top w:val="none" w:sz="0" w:space="0" w:color="auto"/>
        <w:left w:val="none" w:sz="0" w:space="0" w:color="auto"/>
        <w:bottom w:val="none" w:sz="0" w:space="0" w:color="auto"/>
        <w:right w:val="none" w:sz="0" w:space="0" w:color="auto"/>
      </w:divBdr>
    </w:div>
    <w:div w:id="1424105218">
      <w:bodyDiv w:val="1"/>
      <w:marLeft w:val="0"/>
      <w:marRight w:val="0"/>
      <w:marTop w:val="0"/>
      <w:marBottom w:val="0"/>
      <w:divBdr>
        <w:top w:val="none" w:sz="0" w:space="0" w:color="auto"/>
        <w:left w:val="none" w:sz="0" w:space="0" w:color="auto"/>
        <w:bottom w:val="none" w:sz="0" w:space="0" w:color="auto"/>
        <w:right w:val="none" w:sz="0" w:space="0" w:color="auto"/>
      </w:divBdr>
      <w:divsChild>
        <w:div w:id="984049547">
          <w:marLeft w:val="0"/>
          <w:marRight w:val="0"/>
          <w:marTop w:val="0"/>
          <w:marBottom w:val="0"/>
          <w:divBdr>
            <w:top w:val="none" w:sz="0" w:space="0" w:color="auto"/>
            <w:left w:val="none" w:sz="0" w:space="0" w:color="auto"/>
            <w:bottom w:val="none" w:sz="0" w:space="0" w:color="auto"/>
            <w:right w:val="none" w:sz="0" w:space="0" w:color="auto"/>
          </w:divBdr>
        </w:div>
      </w:divsChild>
    </w:div>
    <w:div w:id="1429695233">
      <w:bodyDiv w:val="1"/>
      <w:marLeft w:val="0"/>
      <w:marRight w:val="0"/>
      <w:marTop w:val="0"/>
      <w:marBottom w:val="0"/>
      <w:divBdr>
        <w:top w:val="none" w:sz="0" w:space="0" w:color="auto"/>
        <w:left w:val="none" w:sz="0" w:space="0" w:color="auto"/>
        <w:bottom w:val="none" w:sz="0" w:space="0" w:color="auto"/>
        <w:right w:val="none" w:sz="0" w:space="0" w:color="auto"/>
      </w:divBdr>
    </w:div>
    <w:div w:id="1438480364">
      <w:bodyDiv w:val="1"/>
      <w:marLeft w:val="0"/>
      <w:marRight w:val="0"/>
      <w:marTop w:val="0"/>
      <w:marBottom w:val="0"/>
      <w:divBdr>
        <w:top w:val="none" w:sz="0" w:space="0" w:color="auto"/>
        <w:left w:val="none" w:sz="0" w:space="0" w:color="auto"/>
        <w:bottom w:val="none" w:sz="0" w:space="0" w:color="auto"/>
        <w:right w:val="none" w:sz="0" w:space="0" w:color="auto"/>
      </w:divBdr>
    </w:div>
    <w:div w:id="1450708500">
      <w:bodyDiv w:val="1"/>
      <w:marLeft w:val="0"/>
      <w:marRight w:val="0"/>
      <w:marTop w:val="0"/>
      <w:marBottom w:val="0"/>
      <w:divBdr>
        <w:top w:val="none" w:sz="0" w:space="0" w:color="auto"/>
        <w:left w:val="none" w:sz="0" w:space="0" w:color="auto"/>
        <w:bottom w:val="none" w:sz="0" w:space="0" w:color="auto"/>
        <w:right w:val="none" w:sz="0" w:space="0" w:color="auto"/>
      </w:divBdr>
    </w:div>
    <w:div w:id="1476339389">
      <w:bodyDiv w:val="1"/>
      <w:marLeft w:val="0"/>
      <w:marRight w:val="0"/>
      <w:marTop w:val="0"/>
      <w:marBottom w:val="0"/>
      <w:divBdr>
        <w:top w:val="none" w:sz="0" w:space="0" w:color="auto"/>
        <w:left w:val="none" w:sz="0" w:space="0" w:color="auto"/>
        <w:bottom w:val="none" w:sz="0" w:space="0" w:color="auto"/>
        <w:right w:val="none" w:sz="0" w:space="0" w:color="auto"/>
      </w:divBdr>
    </w:div>
    <w:div w:id="1478456115">
      <w:bodyDiv w:val="1"/>
      <w:marLeft w:val="0"/>
      <w:marRight w:val="0"/>
      <w:marTop w:val="0"/>
      <w:marBottom w:val="0"/>
      <w:divBdr>
        <w:top w:val="none" w:sz="0" w:space="0" w:color="auto"/>
        <w:left w:val="none" w:sz="0" w:space="0" w:color="auto"/>
        <w:bottom w:val="none" w:sz="0" w:space="0" w:color="auto"/>
        <w:right w:val="none" w:sz="0" w:space="0" w:color="auto"/>
      </w:divBdr>
      <w:divsChild>
        <w:div w:id="994796683">
          <w:marLeft w:val="0"/>
          <w:marRight w:val="0"/>
          <w:marTop w:val="0"/>
          <w:marBottom w:val="0"/>
          <w:divBdr>
            <w:top w:val="none" w:sz="0" w:space="0" w:color="auto"/>
            <w:left w:val="none" w:sz="0" w:space="0" w:color="auto"/>
            <w:bottom w:val="none" w:sz="0" w:space="0" w:color="auto"/>
            <w:right w:val="none" w:sz="0" w:space="0" w:color="auto"/>
          </w:divBdr>
        </w:div>
      </w:divsChild>
    </w:div>
    <w:div w:id="1516380576">
      <w:bodyDiv w:val="1"/>
      <w:marLeft w:val="0"/>
      <w:marRight w:val="0"/>
      <w:marTop w:val="0"/>
      <w:marBottom w:val="0"/>
      <w:divBdr>
        <w:top w:val="none" w:sz="0" w:space="0" w:color="auto"/>
        <w:left w:val="none" w:sz="0" w:space="0" w:color="auto"/>
        <w:bottom w:val="none" w:sz="0" w:space="0" w:color="auto"/>
        <w:right w:val="none" w:sz="0" w:space="0" w:color="auto"/>
      </w:divBdr>
      <w:divsChild>
        <w:div w:id="1611545623">
          <w:marLeft w:val="0"/>
          <w:marRight w:val="0"/>
          <w:marTop w:val="0"/>
          <w:marBottom w:val="0"/>
          <w:divBdr>
            <w:top w:val="none" w:sz="0" w:space="0" w:color="auto"/>
            <w:left w:val="none" w:sz="0" w:space="0" w:color="auto"/>
            <w:bottom w:val="none" w:sz="0" w:space="0" w:color="auto"/>
            <w:right w:val="none" w:sz="0" w:space="0" w:color="auto"/>
          </w:divBdr>
        </w:div>
      </w:divsChild>
    </w:div>
    <w:div w:id="1517190097">
      <w:bodyDiv w:val="1"/>
      <w:marLeft w:val="0"/>
      <w:marRight w:val="0"/>
      <w:marTop w:val="0"/>
      <w:marBottom w:val="0"/>
      <w:divBdr>
        <w:top w:val="none" w:sz="0" w:space="0" w:color="auto"/>
        <w:left w:val="none" w:sz="0" w:space="0" w:color="auto"/>
        <w:bottom w:val="none" w:sz="0" w:space="0" w:color="auto"/>
        <w:right w:val="none" w:sz="0" w:space="0" w:color="auto"/>
      </w:divBdr>
    </w:div>
    <w:div w:id="1523013635">
      <w:bodyDiv w:val="1"/>
      <w:marLeft w:val="0"/>
      <w:marRight w:val="0"/>
      <w:marTop w:val="0"/>
      <w:marBottom w:val="0"/>
      <w:divBdr>
        <w:top w:val="none" w:sz="0" w:space="0" w:color="auto"/>
        <w:left w:val="none" w:sz="0" w:space="0" w:color="auto"/>
        <w:bottom w:val="none" w:sz="0" w:space="0" w:color="auto"/>
        <w:right w:val="none" w:sz="0" w:space="0" w:color="auto"/>
      </w:divBdr>
    </w:div>
    <w:div w:id="1523782492">
      <w:bodyDiv w:val="1"/>
      <w:marLeft w:val="0"/>
      <w:marRight w:val="0"/>
      <w:marTop w:val="0"/>
      <w:marBottom w:val="0"/>
      <w:divBdr>
        <w:top w:val="none" w:sz="0" w:space="0" w:color="auto"/>
        <w:left w:val="none" w:sz="0" w:space="0" w:color="auto"/>
        <w:bottom w:val="none" w:sz="0" w:space="0" w:color="auto"/>
        <w:right w:val="none" w:sz="0" w:space="0" w:color="auto"/>
      </w:divBdr>
    </w:div>
    <w:div w:id="1536189569">
      <w:bodyDiv w:val="1"/>
      <w:marLeft w:val="0"/>
      <w:marRight w:val="0"/>
      <w:marTop w:val="0"/>
      <w:marBottom w:val="0"/>
      <w:divBdr>
        <w:top w:val="none" w:sz="0" w:space="0" w:color="auto"/>
        <w:left w:val="none" w:sz="0" w:space="0" w:color="auto"/>
        <w:bottom w:val="none" w:sz="0" w:space="0" w:color="auto"/>
        <w:right w:val="none" w:sz="0" w:space="0" w:color="auto"/>
      </w:divBdr>
    </w:div>
    <w:div w:id="1539202628">
      <w:bodyDiv w:val="1"/>
      <w:marLeft w:val="0"/>
      <w:marRight w:val="0"/>
      <w:marTop w:val="0"/>
      <w:marBottom w:val="0"/>
      <w:divBdr>
        <w:top w:val="none" w:sz="0" w:space="0" w:color="auto"/>
        <w:left w:val="none" w:sz="0" w:space="0" w:color="auto"/>
        <w:bottom w:val="none" w:sz="0" w:space="0" w:color="auto"/>
        <w:right w:val="none" w:sz="0" w:space="0" w:color="auto"/>
      </w:divBdr>
    </w:div>
    <w:div w:id="1540362091">
      <w:bodyDiv w:val="1"/>
      <w:marLeft w:val="0"/>
      <w:marRight w:val="0"/>
      <w:marTop w:val="0"/>
      <w:marBottom w:val="0"/>
      <w:divBdr>
        <w:top w:val="none" w:sz="0" w:space="0" w:color="auto"/>
        <w:left w:val="none" w:sz="0" w:space="0" w:color="auto"/>
        <w:bottom w:val="none" w:sz="0" w:space="0" w:color="auto"/>
        <w:right w:val="none" w:sz="0" w:space="0" w:color="auto"/>
      </w:divBdr>
    </w:div>
    <w:div w:id="1571190925">
      <w:bodyDiv w:val="1"/>
      <w:marLeft w:val="0"/>
      <w:marRight w:val="0"/>
      <w:marTop w:val="0"/>
      <w:marBottom w:val="0"/>
      <w:divBdr>
        <w:top w:val="none" w:sz="0" w:space="0" w:color="auto"/>
        <w:left w:val="none" w:sz="0" w:space="0" w:color="auto"/>
        <w:bottom w:val="none" w:sz="0" w:space="0" w:color="auto"/>
        <w:right w:val="none" w:sz="0" w:space="0" w:color="auto"/>
      </w:divBdr>
    </w:div>
    <w:div w:id="1588879891">
      <w:bodyDiv w:val="1"/>
      <w:marLeft w:val="0"/>
      <w:marRight w:val="0"/>
      <w:marTop w:val="0"/>
      <w:marBottom w:val="0"/>
      <w:divBdr>
        <w:top w:val="none" w:sz="0" w:space="0" w:color="auto"/>
        <w:left w:val="none" w:sz="0" w:space="0" w:color="auto"/>
        <w:bottom w:val="none" w:sz="0" w:space="0" w:color="auto"/>
        <w:right w:val="none" w:sz="0" w:space="0" w:color="auto"/>
      </w:divBdr>
    </w:div>
    <w:div w:id="1589731472">
      <w:bodyDiv w:val="1"/>
      <w:marLeft w:val="0"/>
      <w:marRight w:val="0"/>
      <w:marTop w:val="0"/>
      <w:marBottom w:val="0"/>
      <w:divBdr>
        <w:top w:val="none" w:sz="0" w:space="0" w:color="auto"/>
        <w:left w:val="none" w:sz="0" w:space="0" w:color="auto"/>
        <w:bottom w:val="none" w:sz="0" w:space="0" w:color="auto"/>
        <w:right w:val="none" w:sz="0" w:space="0" w:color="auto"/>
      </w:divBdr>
    </w:div>
    <w:div w:id="1592622065">
      <w:bodyDiv w:val="1"/>
      <w:marLeft w:val="0"/>
      <w:marRight w:val="0"/>
      <w:marTop w:val="0"/>
      <w:marBottom w:val="0"/>
      <w:divBdr>
        <w:top w:val="none" w:sz="0" w:space="0" w:color="auto"/>
        <w:left w:val="none" w:sz="0" w:space="0" w:color="auto"/>
        <w:bottom w:val="none" w:sz="0" w:space="0" w:color="auto"/>
        <w:right w:val="none" w:sz="0" w:space="0" w:color="auto"/>
      </w:divBdr>
    </w:div>
    <w:div w:id="1605070753">
      <w:bodyDiv w:val="1"/>
      <w:marLeft w:val="0"/>
      <w:marRight w:val="0"/>
      <w:marTop w:val="0"/>
      <w:marBottom w:val="0"/>
      <w:divBdr>
        <w:top w:val="none" w:sz="0" w:space="0" w:color="auto"/>
        <w:left w:val="none" w:sz="0" w:space="0" w:color="auto"/>
        <w:bottom w:val="none" w:sz="0" w:space="0" w:color="auto"/>
        <w:right w:val="none" w:sz="0" w:space="0" w:color="auto"/>
      </w:divBdr>
    </w:div>
    <w:div w:id="1609043108">
      <w:bodyDiv w:val="1"/>
      <w:marLeft w:val="0"/>
      <w:marRight w:val="0"/>
      <w:marTop w:val="0"/>
      <w:marBottom w:val="0"/>
      <w:divBdr>
        <w:top w:val="none" w:sz="0" w:space="0" w:color="auto"/>
        <w:left w:val="none" w:sz="0" w:space="0" w:color="auto"/>
        <w:bottom w:val="none" w:sz="0" w:space="0" w:color="auto"/>
        <w:right w:val="none" w:sz="0" w:space="0" w:color="auto"/>
      </w:divBdr>
      <w:divsChild>
        <w:div w:id="1902667315">
          <w:marLeft w:val="0"/>
          <w:marRight w:val="0"/>
          <w:marTop w:val="0"/>
          <w:marBottom w:val="0"/>
          <w:divBdr>
            <w:top w:val="none" w:sz="0" w:space="0" w:color="auto"/>
            <w:left w:val="none" w:sz="0" w:space="0" w:color="auto"/>
            <w:bottom w:val="none" w:sz="0" w:space="0" w:color="auto"/>
            <w:right w:val="none" w:sz="0" w:space="0" w:color="auto"/>
          </w:divBdr>
        </w:div>
      </w:divsChild>
    </w:div>
    <w:div w:id="1616596471">
      <w:bodyDiv w:val="1"/>
      <w:marLeft w:val="0"/>
      <w:marRight w:val="0"/>
      <w:marTop w:val="0"/>
      <w:marBottom w:val="0"/>
      <w:divBdr>
        <w:top w:val="none" w:sz="0" w:space="0" w:color="auto"/>
        <w:left w:val="none" w:sz="0" w:space="0" w:color="auto"/>
        <w:bottom w:val="none" w:sz="0" w:space="0" w:color="auto"/>
        <w:right w:val="none" w:sz="0" w:space="0" w:color="auto"/>
      </w:divBdr>
    </w:div>
    <w:div w:id="1629892564">
      <w:bodyDiv w:val="1"/>
      <w:marLeft w:val="0"/>
      <w:marRight w:val="0"/>
      <w:marTop w:val="0"/>
      <w:marBottom w:val="0"/>
      <w:divBdr>
        <w:top w:val="none" w:sz="0" w:space="0" w:color="auto"/>
        <w:left w:val="none" w:sz="0" w:space="0" w:color="auto"/>
        <w:bottom w:val="none" w:sz="0" w:space="0" w:color="auto"/>
        <w:right w:val="none" w:sz="0" w:space="0" w:color="auto"/>
      </w:divBdr>
    </w:div>
    <w:div w:id="1657877093">
      <w:bodyDiv w:val="1"/>
      <w:marLeft w:val="0"/>
      <w:marRight w:val="0"/>
      <w:marTop w:val="0"/>
      <w:marBottom w:val="0"/>
      <w:divBdr>
        <w:top w:val="none" w:sz="0" w:space="0" w:color="auto"/>
        <w:left w:val="none" w:sz="0" w:space="0" w:color="auto"/>
        <w:bottom w:val="none" w:sz="0" w:space="0" w:color="auto"/>
        <w:right w:val="none" w:sz="0" w:space="0" w:color="auto"/>
      </w:divBdr>
    </w:div>
    <w:div w:id="1666863117">
      <w:bodyDiv w:val="1"/>
      <w:marLeft w:val="0"/>
      <w:marRight w:val="0"/>
      <w:marTop w:val="0"/>
      <w:marBottom w:val="0"/>
      <w:divBdr>
        <w:top w:val="none" w:sz="0" w:space="0" w:color="auto"/>
        <w:left w:val="none" w:sz="0" w:space="0" w:color="auto"/>
        <w:bottom w:val="none" w:sz="0" w:space="0" w:color="auto"/>
        <w:right w:val="none" w:sz="0" w:space="0" w:color="auto"/>
      </w:divBdr>
    </w:div>
    <w:div w:id="1668245313">
      <w:bodyDiv w:val="1"/>
      <w:marLeft w:val="0"/>
      <w:marRight w:val="0"/>
      <w:marTop w:val="0"/>
      <w:marBottom w:val="0"/>
      <w:divBdr>
        <w:top w:val="none" w:sz="0" w:space="0" w:color="auto"/>
        <w:left w:val="none" w:sz="0" w:space="0" w:color="auto"/>
        <w:bottom w:val="none" w:sz="0" w:space="0" w:color="auto"/>
        <w:right w:val="none" w:sz="0" w:space="0" w:color="auto"/>
      </w:divBdr>
    </w:div>
    <w:div w:id="1675646102">
      <w:bodyDiv w:val="1"/>
      <w:marLeft w:val="0"/>
      <w:marRight w:val="0"/>
      <w:marTop w:val="0"/>
      <w:marBottom w:val="0"/>
      <w:divBdr>
        <w:top w:val="none" w:sz="0" w:space="0" w:color="auto"/>
        <w:left w:val="none" w:sz="0" w:space="0" w:color="auto"/>
        <w:bottom w:val="none" w:sz="0" w:space="0" w:color="auto"/>
        <w:right w:val="none" w:sz="0" w:space="0" w:color="auto"/>
      </w:divBdr>
    </w:div>
    <w:div w:id="1684740888">
      <w:bodyDiv w:val="1"/>
      <w:marLeft w:val="0"/>
      <w:marRight w:val="0"/>
      <w:marTop w:val="0"/>
      <w:marBottom w:val="0"/>
      <w:divBdr>
        <w:top w:val="none" w:sz="0" w:space="0" w:color="auto"/>
        <w:left w:val="none" w:sz="0" w:space="0" w:color="auto"/>
        <w:bottom w:val="none" w:sz="0" w:space="0" w:color="auto"/>
        <w:right w:val="none" w:sz="0" w:space="0" w:color="auto"/>
      </w:divBdr>
    </w:div>
    <w:div w:id="1704789042">
      <w:bodyDiv w:val="1"/>
      <w:marLeft w:val="0"/>
      <w:marRight w:val="0"/>
      <w:marTop w:val="0"/>
      <w:marBottom w:val="0"/>
      <w:divBdr>
        <w:top w:val="none" w:sz="0" w:space="0" w:color="auto"/>
        <w:left w:val="none" w:sz="0" w:space="0" w:color="auto"/>
        <w:bottom w:val="none" w:sz="0" w:space="0" w:color="auto"/>
        <w:right w:val="none" w:sz="0" w:space="0" w:color="auto"/>
      </w:divBdr>
    </w:div>
    <w:div w:id="1707875510">
      <w:bodyDiv w:val="1"/>
      <w:marLeft w:val="0"/>
      <w:marRight w:val="0"/>
      <w:marTop w:val="0"/>
      <w:marBottom w:val="0"/>
      <w:divBdr>
        <w:top w:val="none" w:sz="0" w:space="0" w:color="auto"/>
        <w:left w:val="none" w:sz="0" w:space="0" w:color="auto"/>
        <w:bottom w:val="none" w:sz="0" w:space="0" w:color="auto"/>
        <w:right w:val="none" w:sz="0" w:space="0" w:color="auto"/>
      </w:divBdr>
      <w:divsChild>
        <w:div w:id="191769342">
          <w:marLeft w:val="0"/>
          <w:marRight w:val="0"/>
          <w:marTop w:val="0"/>
          <w:marBottom w:val="0"/>
          <w:divBdr>
            <w:top w:val="none" w:sz="0" w:space="0" w:color="auto"/>
            <w:left w:val="none" w:sz="0" w:space="0" w:color="auto"/>
            <w:bottom w:val="none" w:sz="0" w:space="0" w:color="auto"/>
            <w:right w:val="none" w:sz="0" w:space="0" w:color="auto"/>
          </w:divBdr>
        </w:div>
      </w:divsChild>
    </w:div>
    <w:div w:id="1724135293">
      <w:bodyDiv w:val="1"/>
      <w:marLeft w:val="0"/>
      <w:marRight w:val="0"/>
      <w:marTop w:val="0"/>
      <w:marBottom w:val="0"/>
      <w:divBdr>
        <w:top w:val="none" w:sz="0" w:space="0" w:color="auto"/>
        <w:left w:val="none" w:sz="0" w:space="0" w:color="auto"/>
        <w:bottom w:val="none" w:sz="0" w:space="0" w:color="auto"/>
        <w:right w:val="none" w:sz="0" w:space="0" w:color="auto"/>
      </w:divBdr>
    </w:div>
    <w:div w:id="1724982036">
      <w:bodyDiv w:val="1"/>
      <w:marLeft w:val="0"/>
      <w:marRight w:val="0"/>
      <w:marTop w:val="0"/>
      <w:marBottom w:val="0"/>
      <w:divBdr>
        <w:top w:val="none" w:sz="0" w:space="0" w:color="auto"/>
        <w:left w:val="none" w:sz="0" w:space="0" w:color="auto"/>
        <w:bottom w:val="none" w:sz="0" w:space="0" w:color="auto"/>
        <w:right w:val="none" w:sz="0" w:space="0" w:color="auto"/>
      </w:divBdr>
    </w:div>
    <w:div w:id="1740982337">
      <w:bodyDiv w:val="1"/>
      <w:marLeft w:val="0"/>
      <w:marRight w:val="0"/>
      <w:marTop w:val="0"/>
      <w:marBottom w:val="0"/>
      <w:divBdr>
        <w:top w:val="none" w:sz="0" w:space="0" w:color="auto"/>
        <w:left w:val="none" w:sz="0" w:space="0" w:color="auto"/>
        <w:bottom w:val="none" w:sz="0" w:space="0" w:color="auto"/>
        <w:right w:val="none" w:sz="0" w:space="0" w:color="auto"/>
      </w:divBdr>
    </w:div>
    <w:div w:id="1747609726">
      <w:bodyDiv w:val="1"/>
      <w:marLeft w:val="0"/>
      <w:marRight w:val="0"/>
      <w:marTop w:val="0"/>
      <w:marBottom w:val="0"/>
      <w:divBdr>
        <w:top w:val="none" w:sz="0" w:space="0" w:color="auto"/>
        <w:left w:val="none" w:sz="0" w:space="0" w:color="auto"/>
        <w:bottom w:val="none" w:sz="0" w:space="0" w:color="auto"/>
        <w:right w:val="none" w:sz="0" w:space="0" w:color="auto"/>
      </w:divBdr>
      <w:divsChild>
        <w:div w:id="1394154908">
          <w:marLeft w:val="0"/>
          <w:marRight w:val="0"/>
          <w:marTop w:val="0"/>
          <w:marBottom w:val="0"/>
          <w:divBdr>
            <w:top w:val="none" w:sz="0" w:space="0" w:color="auto"/>
            <w:left w:val="none" w:sz="0" w:space="0" w:color="auto"/>
            <w:bottom w:val="none" w:sz="0" w:space="0" w:color="auto"/>
            <w:right w:val="none" w:sz="0" w:space="0" w:color="auto"/>
          </w:divBdr>
        </w:div>
      </w:divsChild>
    </w:div>
    <w:div w:id="1772774294">
      <w:bodyDiv w:val="1"/>
      <w:marLeft w:val="0"/>
      <w:marRight w:val="0"/>
      <w:marTop w:val="0"/>
      <w:marBottom w:val="0"/>
      <w:divBdr>
        <w:top w:val="none" w:sz="0" w:space="0" w:color="auto"/>
        <w:left w:val="none" w:sz="0" w:space="0" w:color="auto"/>
        <w:bottom w:val="none" w:sz="0" w:space="0" w:color="auto"/>
        <w:right w:val="none" w:sz="0" w:space="0" w:color="auto"/>
      </w:divBdr>
    </w:div>
    <w:div w:id="1787894837">
      <w:bodyDiv w:val="1"/>
      <w:marLeft w:val="0"/>
      <w:marRight w:val="0"/>
      <w:marTop w:val="0"/>
      <w:marBottom w:val="0"/>
      <w:divBdr>
        <w:top w:val="none" w:sz="0" w:space="0" w:color="auto"/>
        <w:left w:val="none" w:sz="0" w:space="0" w:color="auto"/>
        <w:bottom w:val="none" w:sz="0" w:space="0" w:color="auto"/>
        <w:right w:val="none" w:sz="0" w:space="0" w:color="auto"/>
      </w:divBdr>
      <w:divsChild>
        <w:div w:id="1077746933">
          <w:marLeft w:val="0"/>
          <w:marRight w:val="0"/>
          <w:marTop w:val="0"/>
          <w:marBottom w:val="0"/>
          <w:divBdr>
            <w:top w:val="none" w:sz="0" w:space="0" w:color="auto"/>
            <w:left w:val="none" w:sz="0" w:space="0" w:color="auto"/>
            <w:bottom w:val="none" w:sz="0" w:space="0" w:color="auto"/>
            <w:right w:val="none" w:sz="0" w:space="0" w:color="auto"/>
          </w:divBdr>
        </w:div>
      </w:divsChild>
    </w:div>
    <w:div w:id="1789161829">
      <w:bodyDiv w:val="1"/>
      <w:marLeft w:val="0"/>
      <w:marRight w:val="0"/>
      <w:marTop w:val="0"/>
      <w:marBottom w:val="0"/>
      <w:divBdr>
        <w:top w:val="none" w:sz="0" w:space="0" w:color="auto"/>
        <w:left w:val="none" w:sz="0" w:space="0" w:color="auto"/>
        <w:bottom w:val="none" w:sz="0" w:space="0" w:color="auto"/>
        <w:right w:val="none" w:sz="0" w:space="0" w:color="auto"/>
      </w:divBdr>
    </w:div>
    <w:div w:id="1790663268">
      <w:bodyDiv w:val="1"/>
      <w:marLeft w:val="0"/>
      <w:marRight w:val="0"/>
      <w:marTop w:val="0"/>
      <w:marBottom w:val="0"/>
      <w:divBdr>
        <w:top w:val="none" w:sz="0" w:space="0" w:color="auto"/>
        <w:left w:val="none" w:sz="0" w:space="0" w:color="auto"/>
        <w:bottom w:val="none" w:sz="0" w:space="0" w:color="auto"/>
        <w:right w:val="none" w:sz="0" w:space="0" w:color="auto"/>
      </w:divBdr>
    </w:div>
    <w:div w:id="1790851090">
      <w:bodyDiv w:val="1"/>
      <w:marLeft w:val="0"/>
      <w:marRight w:val="0"/>
      <w:marTop w:val="0"/>
      <w:marBottom w:val="0"/>
      <w:divBdr>
        <w:top w:val="none" w:sz="0" w:space="0" w:color="auto"/>
        <w:left w:val="none" w:sz="0" w:space="0" w:color="auto"/>
        <w:bottom w:val="none" w:sz="0" w:space="0" w:color="auto"/>
        <w:right w:val="none" w:sz="0" w:space="0" w:color="auto"/>
      </w:divBdr>
    </w:div>
    <w:div w:id="1797866334">
      <w:bodyDiv w:val="1"/>
      <w:marLeft w:val="0"/>
      <w:marRight w:val="0"/>
      <w:marTop w:val="0"/>
      <w:marBottom w:val="0"/>
      <w:divBdr>
        <w:top w:val="none" w:sz="0" w:space="0" w:color="auto"/>
        <w:left w:val="none" w:sz="0" w:space="0" w:color="auto"/>
        <w:bottom w:val="none" w:sz="0" w:space="0" w:color="auto"/>
        <w:right w:val="none" w:sz="0" w:space="0" w:color="auto"/>
      </w:divBdr>
    </w:div>
    <w:div w:id="1798718328">
      <w:bodyDiv w:val="1"/>
      <w:marLeft w:val="0"/>
      <w:marRight w:val="0"/>
      <w:marTop w:val="0"/>
      <w:marBottom w:val="0"/>
      <w:divBdr>
        <w:top w:val="none" w:sz="0" w:space="0" w:color="auto"/>
        <w:left w:val="none" w:sz="0" w:space="0" w:color="auto"/>
        <w:bottom w:val="none" w:sz="0" w:space="0" w:color="auto"/>
        <w:right w:val="none" w:sz="0" w:space="0" w:color="auto"/>
      </w:divBdr>
      <w:divsChild>
        <w:div w:id="554857256">
          <w:marLeft w:val="0"/>
          <w:marRight w:val="0"/>
          <w:marTop w:val="0"/>
          <w:marBottom w:val="0"/>
          <w:divBdr>
            <w:top w:val="none" w:sz="0" w:space="0" w:color="auto"/>
            <w:left w:val="none" w:sz="0" w:space="0" w:color="auto"/>
            <w:bottom w:val="none" w:sz="0" w:space="0" w:color="auto"/>
            <w:right w:val="none" w:sz="0" w:space="0" w:color="auto"/>
          </w:divBdr>
        </w:div>
      </w:divsChild>
    </w:div>
    <w:div w:id="1805193310">
      <w:bodyDiv w:val="1"/>
      <w:marLeft w:val="0"/>
      <w:marRight w:val="0"/>
      <w:marTop w:val="0"/>
      <w:marBottom w:val="0"/>
      <w:divBdr>
        <w:top w:val="none" w:sz="0" w:space="0" w:color="auto"/>
        <w:left w:val="none" w:sz="0" w:space="0" w:color="auto"/>
        <w:bottom w:val="none" w:sz="0" w:space="0" w:color="auto"/>
        <w:right w:val="none" w:sz="0" w:space="0" w:color="auto"/>
      </w:divBdr>
    </w:div>
    <w:div w:id="1818691223">
      <w:bodyDiv w:val="1"/>
      <w:marLeft w:val="0"/>
      <w:marRight w:val="0"/>
      <w:marTop w:val="0"/>
      <w:marBottom w:val="0"/>
      <w:divBdr>
        <w:top w:val="none" w:sz="0" w:space="0" w:color="auto"/>
        <w:left w:val="none" w:sz="0" w:space="0" w:color="auto"/>
        <w:bottom w:val="none" w:sz="0" w:space="0" w:color="auto"/>
        <w:right w:val="none" w:sz="0" w:space="0" w:color="auto"/>
      </w:divBdr>
      <w:divsChild>
        <w:div w:id="217596008">
          <w:marLeft w:val="0"/>
          <w:marRight w:val="0"/>
          <w:marTop w:val="0"/>
          <w:marBottom w:val="0"/>
          <w:divBdr>
            <w:top w:val="none" w:sz="0" w:space="0" w:color="auto"/>
            <w:left w:val="none" w:sz="0" w:space="0" w:color="auto"/>
            <w:bottom w:val="none" w:sz="0" w:space="0" w:color="auto"/>
            <w:right w:val="none" w:sz="0" w:space="0" w:color="auto"/>
          </w:divBdr>
        </w:div>
      </w:divsChild>
    </w:div>
    <w:div w:id="1841457491">
      <w:bodyDiv w:val="1"/>
      <w:marLeft w:val="0"/>
      <w:marRight w:val="0"/>
      <w:marTop w:val="0"/>
      <w:marBottom w:val="0"/>
      <w:divBdr>
        <w:top w:val="none" w:sz="0" w:space="0" w:color="auto"/>
        <w:left w:val="none" w:sz="0" w:space="0" w:color="auto"/>
        <w:bottom w:val="none" w:sz="0" w:space="0" w:color="auto"/>
        <w:right w:val="none" w:sz="0" w:space="0" w:color="auto"/>
      </w:divBdr>
    </w:div>
    <w:div w:id="1855415901">
      <w:bodyDiv w:val="1"/>
      <w:marLeft w:val="0"/>
      <w:marRight w:val="0"/>
      <w:marTop w:val="0"/>
      <w:marBottom w:val="0"/>
      <w:divBdr>
        <w:top w:val="none" w:sz="0" w:space="0" w:color="auto"/>
        <w:left w:val="none" w:sz="0" w:space="0" w:color="auto"/>
        <w:bottom w:val="none" w:sz="0" w:space="0" w:color="auto"/>
        <w:right w:val="none" w:sz="0" w:space="0" w:color="auto"/>
      </w:divBdr>
    </w:div>
    <w:div w:id="1855873399">
      <w:bodyDiv w:val="1"/>
      <w:marLeft w:val="0"/>
      <w:marRight w:val="0"/>
      <w:marTop w:val="0"/>
      <w:marBottom w:val="0"/>
      <w:divBdr>
        <w:top w:val="none" w:sz="0" w:space="0" w:color="auto"/>
        <w:left w:val="none" w:sz="0" w:space="0" w:color="auto"/>
        <w:bottom w:val="none" w:sz="0" w:space="0" w:color="auto"/>
        <w:right w:val="none" w:sz="0" w:space="0" w:color="auto"/>
      </w:divBdr>
    </w:div>
    <w:div w:id="1867517840">
      <w:bodyDiv w:val="1"/>
      <w:marLeft w:val="0"/>
      <w:marRight w:val="0"/>
      <w:marTop w:val="0"/>
      <w:marBottom w:val="0"/>
      <w:divBdr>
        <w:top w:val="none" w:sz="0" w:space="0" w:color="auto"/>
        <w:left w:val="none" w:sz="0" w:space="0" w:color="auto"/>
        <w:bottom w:val="none" w:sz="0" w:space="0" w:color="auto"/>
        <w:right w:val="none" w:sz="0" w:space="0" w:color="auto"/>
      </w:divBdr>
      <w:divsChild>
        <w:div w:id="1764492434">
          <w:marLeft w:val="0"/>
          <w:marRight w:val="0"/>
          <w:marTop w:val="0"/>
          <w:marBottom w:val="0"/>
          <w:divBdr>
            <w:top w:val="none" w:sz="0" w:space="0" w:color="auto"/>
            <w:left w:val="none" w:sz="0" w:space="0" w:color="auto"/>
            <w:bottom w:val="none" w:sz="0" w:space="0" w:color="auto"/>
            <w:right w:val="none" w:sz="0" w:space="0" w:color="auto"/>
          </w:divBdr>
        </w:div>
      </w:divsChild>
    </w:div>
    <w:div w:id="1868444803">
      <w:bodyDiv w:val="1"/>
      <w:marLeft w:val="0"/>
      <w:marRight w:val="0"/>
      <w:marTop w:val="0"/>
      <w:marBottom w:val="0"/>
      <w:divBdr>
        <w:top w:val="none" w:sz="0" w:space="0" w:color="auto"/>
        <w:left w:val="none" w:sz="0" w:space="0" w:color="auto"/>
        <w:bottom w:val="none" w:sz="0" w:space="0" w:color="auto"/>
        <w:right w:val="none" w:sz="0" w:space="0" w:color="auto"/>
      </w:divBdr>
      <w:divsChild>
        <w:div w:id="65736791">
          <w:marLeft w:val="0"/>
          <w:marRight w:val="0"/>
          <w:marTop w:val="0"/>
          <w:marBottom w:val="0"/>
          <w:divBdr>
            <w:top w:val="none" w:sz="0" w:space="0" w:color="auto"/>
            <w:left w:val="none" w:sz="0" w:space="0" w:color="auto"/>
            <w:bottom w:val="none" w:sz="0" w:space="0" w:color="auto"/>
            <w:right w:val="none" w:sz="0" w:space="0" w:color="auto"/>
          </w:divBdr>
        </w:div>
      </w:divsChild>
    </w:div>
    <w:div w:id="1878277132">
      <w:bodyDiv w:val="1"/>
      <w:marLeft w:val="0"/>
      <w:marRight w:val="0"/>
      <w:marTop w:val="0"/>
      <w:marBottom w:val="0"/>
      <w:divBdr>
        <w:top w:val="none" w:sz="0" w:space="0" w:color="auto"/>
        <w:left w:val="none" w:sz="0" w:space="0" w:color="auto"/>
        <w:bottom w:val="none" w:sz="0" w:space="0" w:color="auto"/>
        <w:right w:val="none" w:sz="0" w:space="0" w:color="auto"/>
      </w:divBdr>
    </w:div>
    <w:div w:id="1878346170">
      <w:bodyDiv w:val="1"/>
      <w:marLeft w:val="0"/>
      <w:marRight w:val="0"/>
      <w:marTop w:val="0"/>
      <w:marBottom w:val="0"/>
      <w:divBdr>
        <w:top w:val="none" w:sz="0" w:space="0" w:color="auto"/>
        <w:left w:val="none" w:sz="0" w:space="0" w:color="auto"/>
        <w:bottom w:val="none" w:sz="0" w:space="0" w:color="auto"/>
        <w:right w:val="none" w:sz="0" w:space="0" w:color="auto"/>
      </w:divBdr>
      <w:divsChild>
        <w:div w:id="1420709579">
          <w:marLeft w:val="0"/>
          <w:marRight w:val="0"/>
          <w:marTop w:val="0"/>
          <w:marBottom w:val="0"/>
          <w:divBdr>
            <w:top w:val="none" w:sz="0" w:space="0" w:color="auto"/>
            <w:left w:val="none" w:sz="0" w:space="0" w:color="auto"/>
            <w:bottom w:val="none" w:sz="0" w:space="0" w:color="auto"/>
            <w:right w:val="none" w:sz="0" w:space="0" w:color="auto"/>
          </w:divBdr>
        </w:div>
      </w:divsChild>
    </w:div>
    <w:div w:id="1882592007">
      <w:bodyDiv w:val="1"/>
      <w:marLeft w:val="0"/>
      <w:marRight w:val="0"/>
      <w:marTop w:val="0"/>
      <w:marBottom w:val="0"/>
      <w:divBdr>
        <w:top w:val="none" w:sz="0" w:space="0" w:color="auto"/>
        <w:left w:val="none" w:sz="0" w:space="0" w:color="auto"/>
        <w:bottom w:val="none" w:sz="0" w:space="0" w:color="auto"/>
        <w:right w:val="none" w:sz="0" w:space="0" w:color="auto"/>
      </w:divBdr>
    </w:div>
    <w:div w:id="1901939304">
      <w:bodyDiv w:val="1"/>
      <w:marLeft w:val="0"/>
      <w:marRight w:val="0"/>
      <w:marTop w:val="0"/>
      <w:marBottom w:val="0"/>
      <w:divBdr>
        <w:top w:val="none" w:sz="0" w:space="0" w:color="auto"/>
        <w:left w:val="none" w:sz="0" w:space="0" w:color="auto"/>
        <w:bottom w:val="none" w:sz="0" w:space="0" w:color="auto"/>
        <w:right w:val="none" w:sz="0" w:space="0" w:color="auto"/>
      </w:divBdr>
    </w:div>
    <w:div w:id="1935166147">
      <w:bodyDiv w:val="1"/>
      <w:marLeft w:val="0"/>
      <w:marRight w:val="0"/>
      <w:marTop w:val="0"/>
      <w:marBottom w:val="0"/>
      <w:divBdr>
        <w:top w:val="none" w:sz="0" w:space="0" w:color="auto"/>
        <w:left w:val="none" w:sz="0" w:space="0" w:color="auto"/>
        <w:bottom w:val="none" w:sz="0" w:space="0" w:color="auto"/>
        <w:right w:val="none" w:sz="0" w:space="0" w:color="auto"/>
      </w:divBdr>
    </w:div>
    <w:div w:id="1943877539">
      <w:bodyDiv w:val="1"/>
      <w:marLeft w:val="0"/>
      <w:marRight w:val="0"/>
      <w:marTop w:val="0"/>
      <w:marBottom w:val="0"/>
      <w:divBdr>
        <w:top w:val="none" w:sz="0" w:space="0" w:color="auto"/>
        <w:left w:val="none" w:sz="0" w:space="0" w:color="auto"/>
        <w:bottom w:val="none" w:sz="0" w:space="0" w:color="auto"/>
        <w:right w:val="none" w:sz="0" w:space="0" w:color="auto"/>
      </w:divBdr>
      <w:divsChild>
        <w:div w:id="1596010919">
          <w:marLeft w:val="0"/>
          <w:marRight w:val="0"/>
          <w:marTop w:val="0"/>
          <w:marBottom w:val="0"/>
          <w:divBdr>
            <w:top w:val="none" w:sz="0" w:space="0" w:color="auto"/>
            <w:left w:val="none" w:sz="0" w:space="0" w:color="auto"/>
            <w:bottom w:val="none" w:sz="0" w:space="0" w:color="auto"/>
            <w:right w:val="none" w:sz="0" w:space="0" w:color="auto"/>
          </w:divBdr>
        </w:div>
      </w:divsChild>
    </w:div>
    <w:div w:id="1946765998">
      <w:bodyDiv w:val="1"/>
      <w:marLeft w:val="0"/>
      <w:marRight w:val="0"/>
      <w:marTop w:val="0"/>
      <w:marBottom w:val="0"/>
      <w:divBdr>
        <w:top w:val="none" w:sz="0" w:space="0" w:color="auto"/>
        <w:left w:val="none" w:sz="0" w:space="0" w:color="auto"/>
        <w:bottom w:val="none" w:sz="0" w:space="0" w:color="auto"/>
        <w:right w:val="none" w:sz="0" w:space="0" w:color="auto"/>
      </w:divBdr>
    </w:div>
    <w:div w:id="1949461457">
      <w:bodyDiv w:val="1"/>
      <w:marLeft w:val="0"/>
      <w:marRight w:val="0"/>
      <w:marTop w:val="0"/>
      <w:marBottom w:val="0"/>
      <w:divBdr>
        <w:top w:val="none" w:sz="0" w:space="0" w:color="auto"/>
        <w:left w:val="none" w:sz="0" w:space="0" w:color="auto"/>
        <w:bottom w:val="none" w:sz="0" w:space="0" w:color="auto"/>
        <w:right w:val="none" w:sz="0" w:space="0" w:color="auto"/>
      </w:divBdr>
    </w:div>
    <w:div w:id="1957636550">
      <w:bodyDiv w:val="1"/>
      <w:marLeft w:val="0"/>
      <w:marRight w:val="0"/>
      <w:marTop w:val="0"/>
      <w:marBottom w:val="0"/>
      <w:divBdr>
        <w:top w:val="none" w:sz="0" w:space="0" w:color="auto"/>
        <w:left w:val="none" w:sz="0" w:space="0" w:color="auto"/>
        <w:bottom w:val="none" w:sz="0" w:space="0" w:color="auto"/>
        <w:right w:val="none" w:sz="0" w:space="0" w:color="auto"/>
      </w:divBdr>
      <w:divsChild>
        <w:div w:id="1157766823">
          <w:marLeft w:val="0"/>
          <w:marRight w:val="0"/>
          <w:marTop w:val="0"/>
          <w:marBottom w:val="0"/>
          <w:divBdr>
            <w:top w:val="none" w:sz="0" w:space="0" w:color="auto"/>
            <w:left w:val="none" w:sz="0" w:space="0" w:color="auto"/>
            <w:bottom w:val="none" w:sz="0" w:space="0" w:color="auto"/>
            <w:right w:val="none" w:sz="0" w:space="0" w:color="auto"/>
          </w:divBdr>
        </w:div>
      </w:divsChild>
    </w:div>
    <w:div w:id="1964264238">
      <w:bodyDiv w:val="1"/>
      <w:marLeft w:val="0"/>
      <w:marRight w:val="0"/>
      <w:marTop w:val="0"/>
      <w:marBottom w:val="0"/>
      <w:divBdr>
        <w:top w:val="none" w:sz="0" w:space="0" w:color="auto"/>
        <w:left w:val="none" w:sz="0" w:space="0" w:color="auto"/>
        <w:bottom w:val="none" w:sz="0" w:space="0" w:color="auto"/>
        <w:right w:val="none" w:sz="0" w:space="0" w:color="auto"/>
      </w:divBdr>
    </w:div>
    <w:div w:id="1970627426">
      <w:bodyDiv w:val="1"/>
      <w:marLeft w:val="0"/>
      <w:marRight w:val="0"/>
      <w:marTop w:val="0"/>
      <w:marBottom w:val="0"/>
      <w:divBdr>
        <w:top w:val="none" w:sz="0" w:space="0" w:color="auto"/>
        <w:left w:val="none" w:sz="0" w:space="0" w:color="auto"/>
        <w:bottom w:val="none" w:sz="0" w:space="0" w:color="auto"/>
        <w:right w:val="none" w:sz="0" w:space="0" w:color="auto"/>
      </w:divBdr>
    </w:div>
    <w:div w:id="1981763897">
      <w:bodyDiv w:val="1"/>
      <w:marLeft w:val="0"/>
      <w:marRight w:val="0"/>
      <w:marTop w:val="0"/>
      <w:marBottom w:val="0"/>
      <w:divBdr>
        <w:top w:val="none" w:sz="0" w:space="0" w:color="auto"/>
        <w:left w:val="none" w:sz="0" w:space="0" w:color="auto"/>
        <w:bottom w:val="none" w:sz="0" w:space="0" w:color="auto"/>
        <w:right w:val="none" w:sz="0" w:space="0" w:color="auto"/>
      </w:divBdr>
    </w:div>
    <w:div w:id="1990474748">
      <w:bodyDiv w:val="1"/>
      <w:marLeft w:val="0"/>
      <w:marRight w:val="0"/>
      <w:marTop w:val="0"/>
      <w:marBottom w:val="0"/>
      <w:divBdr>
        <w:top w:val="none" w:sz="0" w:space="0" w:color="auto"/>
        <w:left w:val="none" w:sz="0" w:space="0" w:color="auto"/>
        <w:bottom w:val="none" w:sz="0" w:space="0" w:color="auto"/>
        <w:right w:val="none" w:sz="0" w:space="0" w:color="auto"/>
      </w:divBdr>
      <w:divsChild>
        <w:div w:id="1280336682">
          <w:marLeft w:val="0"/>
          <w:marRight w:val="0"/>
          <w:marTop w:val="0"/>
          <w:marBottom w:val="0"/>
          <w:divBdr>
            <w:top w:val="none" w:sz="0" w:space="0" w:color="auto"/>
            <w:left w:val="none" w:sz="0" w:space="0" w:color="auto"/>
            <w:bottom w:val="none" w:sz="0" w:space="0" w:color="auto"/>
            <w:right w:val="none" w:sz="0" w:space="0" w:color="auto"/>
          </w:divBdr>
        </w:div>
      </w:divsChild>
    </w:div>
    <w:div w:id="1992364737">
      <w:bodyDiv w:val="1"/>
      <w:marLeft w:val="0"/>
      <w:marRight w:val="0"/>
      <w:marTop w:val="0"/>
      <w:marBottom w:val="0"/>
      <w:divBdr>
        <w:top w:val="none" w:sz="0" w:space="0" w:color="auto"/>
        <w:left w:val="none" w:sz="0" w:space="0" w:color="auto"/>
        <w:bottom w:val="none" w:sz="0" w:space="0" w:color="auto"/>
        <w:right w:val="none" w:sz="0" w:space="0" w:color="auto"/>
      </w:divBdr>
    </w:div>
    <w:div w:id="2032685934">
      <w:bodyDiv w:val="1"/>
      <w:marLeft w:val="0"/>
      <w:marRight w:val="0"/>
      <w:marTop w:val="0"/>
      <w:marBottom w:val="0"/>
      <w:divBdr>
        <w:top w:val="none" w:sz="0" w:space="0" w:color="auto"/>
        <w:left w:val="none" w:sz="0" w:space="0" w:color="auto"/>
        <w:bottom w:val="none" w:sz="0" w:space="0" w:color="auto"/>
        <w:right w:val="none" w:sz="0" w:space="0" w:color="auto"/>
      </w:divBdr>
      <w:divsChild>
        <w:div w:id="1755931858">
          <w:marLeft w:val="0"/>
          <w:marRight w:val="0"/>
          <w:marTop w:val="0"/>
          <w:marBottom w:val="0"/>
          <w:divBdr>
            <w:top w:val="none" w:sz="0" w:space="0" w:color="auto"/>
            <w:left w:val="none" w:sz="0" w:space="0" w:color="auto"/>
            <w:bottom w:val="none" w:sz="0" w:space="0" w:color="auto"/>
            <w:right w:val="none" w:sz="0" w:space="0" w:color="auto"/>
          </w:divBdr>
        </w:div>
      </w:divsChild>
    </w:div>
    <w:div w:id="2060860804">
      <w:bodyDiv w:val="1"/>
      <w:marLeft w:val="0"/>
      <w:marRight w:val="0"/>
      <w:marTop w:val="0"/>
      <w:marBottom w:val="0"/>
      <w:divBdr>
        <w:top w:val="none" w:sz="0" w:space="0" w:color="auto"/>
        <w:left w:val="none" w:sz="0" w:space="0" w:color="auto"/>
        <w:bottom w:val="none" w:sz="0" w:space="0" w:color="auto"/>
        <w:right w:val="none" w:sz="0" w:space="0" w:color="auto"/>
      </w:divBdr>
      <w:divsChild>
        <w:div w:id="621619249">
          <w:marLeft w:val="0"/>
          <w:marRight w:val="0"/>
          <w:marTop w:val="0"/>
          <w:marBottom w:val="0"/>
          <w:divBdr>
            <w:top w:val="none" w:sz="0" w:space="0" w:color="auto"/>
            <w:left w:val="none" w:sz="0" w:space="0" w:color="auto"/>
            <w:bottom w:val="none" w:sz="0" w:space="0" w:color="auto"/>
            <w:right w:val="none" w:sz="0" w:space="0" w:color="auto"/>
          </w:divBdr>
          <w:divsChild>
            <w:div w:id="1186018602">
              <w:marLeft w:val="0"/>
              <w:marRight w:val="0"/>
              <w:marTop w:val="0"/>
              <w:marBottom w:val="0"/>
              <w:divBdr>
                <w:top w:val="none" w:sz="0" w:space="0" w:color="auto"/>
                <w:left w:val="none" w:sz="0" w:space="0" w:color="auto"/>
                <w:bottom w:val="none" w:sz="0" w:space="0" w:color="auto"/>
                <w:right w:val="none" w:sz="0" w:space="0" w:color="auto"/>
              </w:divBdr>
              <w:divsChild>
                <w:div w:id="1113211553">
                  <w:marLeft w:val="0"/>
                  <w:marRight w:val="0"/>
                  <w:marTop w:val="0"/>
                  <w:marBottom w:val="0"/>
                  <w:divBdr>
                    <w:top w:val="none" w:sz="0" w:space="0" w:color="auto"/>
                    <w:left w:val="none" w:sz="0" w:space="0" w:color="auto"/>
                    <w:bottom w:val="none" w:sz="0" w:space="0" w:color="auto"/>
                    <w:right w:val="none" w:sz="0" w:space="0" w:color="auto"/>
                  </w:divBdr>
                  <w:divsChild>
                    <w:div w:id="575748755">
                      <w:marLeft w:val="0"/>
                      <w:marRight w:val="0"/>
                      <w:marTop w:val="0"/>
                      <w:marBottom w:val="0"/>
                      <w:divBdr>
                        <w:top w:val="none" w:sz="0" w:space="0" w:color="auto"/>
                        <w:left w:val="none" w:sz="0" w:space="0" w:color="auto"/>
                        <w:bottom w:val="none" w:sz="0" w:space="0" w:color="auto"/>
                        <w:right w:val="none" w:sz="0" w:space="0" w:color="auto"/>
                      </w:divBdr>
                      <w:divsChild>
                        <w:div w:id="1979608212">
                          <w:marLeft w:val="0"/>
                          <w:marRight w:val="0"/>
                          <w:marTop w:val="0"/>
                          <w:marBottom w:val="0"/>
                          <w:divBdr>
                            <w:top w:val="none" w:sz="0" w:space="0" w:color="auto"/>
                            <w:left w:val="none" w:sz="0" w:space="0" w:color="auto"/>
                            <w:bottom w:val="none" w:sz="0" w:space="0" w:color="auto"/>
                            <w:right w:val="none" w:sz="0" w:space="0" w:color="auto"/>
                          </w:divBdr>
                          <w:divsChild>
                            <w:div w:id="1443836678">
                              <w:marLeft w:val="0"/>
                              <w:marRight w:val="0"/>
                              <w:marTop w:val="0"/>
                              <w:marBottom w:val="0"/>
                              <w:divBdr>
                                <w:top w:val="none" w:sz="0" w:space="0" w:color="auto"/>
                                <w:left w:val="none" w:sz="0" w:space="0" w:color="auto"/>
                                <w:bottom w:val="none" w:sz="0" w:space="0" w:color="auto"/>
                                <w:right w:val="none" w:sz="0" w:space="0" w:color="auto"/>
                              </w:divBdr>
                              <w:divsChild>
                                <w:div w:id="1198157891">
                                  <w:marLeft w:val="0"/>
                                  <w:marRight w:val="0"/>
                                  <w:marTop w:val="0"/>
                                  <w:marBottom w:val="0"/>
                                  <w:divBdr>
                                    <w:top w:val="none" w:sz="0" w:space="0" w:color="auto"/>
                                    <w:left w:val="none" w:sz="0" w:space="0" w:color="auto"/>
                                    <w:bottom w:val="none" w:sz="0" w:space="0" w:color="auto"/>
                                    <w:right w:val="none" w:sz="0" w:space="0" w:color="auto"/>
                                  </w:divBdr>
                                  <w:divsChild>
                                    <w:div w:id="55251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176820">
      <w:bodyDiv w:val="1"/>
      <w:marLeft w:val="0"/>
      <w:marRight w:val="0"/>
      <w:marTop w:val="0"/>
      <w:marBottom w:val="0"/>
      <w:divBdr>
        <w:top w:val="none" w:sz="0" w:space="0" w:color="auto"/>
        <w:left w:val="none" w:sz="0" w:space="0" w:color="auto"/>
        <w:bottom w:val="none" w:sz="0" w:space="0" w:color="auto"/>
        <w:right w:val="none" w:sz="0" w:space="0" w:color="auto"/>
      </w:divBdr>
    </w:div>
    <w:div w:id="2072538936">
      <w:bodyDiv w:val="1"/>
      <w:marLeft w:val="0"/>
      <w:marRight w:val="0"/>
      <w:marTop w:val="0"/>
      <w:marBottom w:val="0"/>
      <w:divBdr>
        <w:top w:val="none" w:sz="0" w:space="0" w:color="auto"/>
        <w:left w:val="none" w:sz="0" w:space="0" w:color="auto"/>
        <w:bottom w:val="none" w:sz="0" w:space="0" w:color="auto"/>
        <w:right w:val="none" w:sz="0" w:space="0" w:color="auto"/>
      </w:divBdr>
    </w:div>
    <w:div w:id="2072540007">
      <w:bodyDiv w:val="1"/>
      <w:marLeft w:val="0"/>
      <w:marRight w:val="0"/>
      <w:marTop w:val="0"/>
      <w:marBottom w:val="0"/>
      <w:divBdr>
        <w:top w:val="none" w:sz="0" w:space="0" w:color="auto"/>
        <w:left w:val="none" w:sz="0" w:space="0" w:color="auto"/>
        <w:bottom w:val="none" w:sz="0" w:space="0" w:color="auto"/>
        <w:right w:val="none" w:sz="0" w:space="0" w:color="auto"/>
      </w:divBdr>
    </w:div>
    <w:div w:id="2072658581">
      <w:bodyDiv w:val="1"/>
      <w:marLeft w:val="0"/>
      <w:marRight w:val="0"/>
      <w:marTop w:val="0"/>
      <w:marBottom w:val="0"/>
      <w:divBdr>
        <w:top w:val="none" w:sz="0" w:space="0" w:color="auto"/>
        <w:left w:val="none" w:sz="0" w:space="0" w:color="auto"/>
        <w:bottom w:val="none" w:sz="0" w:space="0" w:color="auto"/>
        <w:right w:val="none" w:sz="0" w:space="0" w:color="auto"/>
      </w:divBdr>
      <w:divsChild>
        <w:div w:id="1449811057">
          <w:marLeft w:val="0"/>
          <w:marRight w:val="0"/>
          <w:marTop w:val="0"/>
          <w:marBottom w:val="0"/>
          <w:divBdr>
            <w:top w:val="none" w:sz="0" w:space="0" w:color="auto"/>
            <w:left w:val="none" w:sz="0" w:space="0" w:color="auto"/>
            <w:bottom w:val="none" w:sz="0" w:space="0" w:color="auto"/>
            <w:right w:val="none" w:sz="0" w:space="0" w:color="auto"/>
          </w:divBdr>
        </w:div>
      </w:divsChild>
    </w:div>
    <w:div w:id="2093046660">
      <w:bodyDiv w:val="1"/>
      <w:marLeft w:val="0"/>
      <w:marRight w:val="0"/>
      <w:marTop w:val="0"/>
      <w:marBottom w:val="0"/>
      <w:divBdr>
        <w:top w:val="none" w:sz="0" w:space="0" w:color="auto"/>
        <w:left w:val="none" w:sz="0" w:space="0" w:color="auto"/>
        <w:bottom w:val="none" w:sz="0" w:space="0" w:color="auto"/>
        <w:right w:val="none" w:sz="0" w:space="0" w:color="auto"/>
      </w:divBdr>
    </w:div>
    <w:div w:id="2093965325">
      <w:bodyDiv w:val="1"/>
      <w:marLeft w:val="0"/>
      <w:marRight w:val="0"/>
      <w:marTop w:val="0"/>
      <w:marBottom w:val="0"/>
      <w:divBdr>
        <w:top w:val="none" w:sz="0" w:space="0" w:color="auto"/>
        <w:left w:val="none" w:sz="0" w:space="0" w:color="auto"/>
        <w:bottom w:val="none" w:sz="0" w:space="0" w:color="auto"/>
        <w:right w:val="none" w:sz="0" w:space="0" w:color="auto"/>
      </w:divBdr>
    </w:div>
    <w:div w:id="2131581890">
      <w:bodyDiv w:val="1"/>
      <w:marLeft w:val="0"/>
      <w:marRight w:val="0"/>
      <w:marTop w:val="0"/>
      <w:marBottom w:val="0"/>
      <w:divBdr>
        <w:top w:val="none" w:sz="0" w:space="0" w:color="auto"/>
        <w:left w:val="none" w:sz="0" w:space="0" w:color="auto"/>
        <w:bottom w:val="none" w:sz="0" w:space="0" w:color="auto"/>
        <w:right w:val="none" w:sz="0" w:space="0" w:color="auto"/>
      </w:divBdr>
    </w:div>
    <w:div w:id="2137327360">
      <w:bodyDiv w:val="1"/>
      <w:marLeft w:val="0"/>
      <w:marRight w:val="0"/>
      <w:marTop w:val="0"/>
      <w:marBottom w:val="0"/>
      <w:divBdr>
        <w:top w:val="none" w:sz="0" w:space="0" w:color="auto"/>
        <w:left w:val="none" w:sz="0" w:space="0" w:color="auto"/>
        <w:bottom w:val="none" w:sz="0" w:space="0" w:color="auto"/>
        <w:right w:val="none" w:sz="0" w:space="0" w:color="auto"/>
      </w:divBdr>
    </w:div>
    <w:div w:id="2139953180">
      <w:bodyDiv w:val="1"/>
      <w:marLeft w:val="0"/>
      <w:marRight w:val="0"/>
      <w:marTop w:val="0"/>
      <w:marBottom w:val="0"/>
      <w:divBdr>
        <w:top w:val="none" w:sz="0" w:space="0" w:color="auto"/>
        <w:left w:val="none" w:sz="0" w:space="0" w:color="auto"/>
        <w:bottom w:val="none" w:sz="0" w:space="0" w:color="auto"/>
        <w:right w:val="none" w:sz="0" w:space="0" w:color="auto"/>
      </w:divBdr>
      <w:divsChild>
        <w:div w:id="729116263">
          <w:marLeft w:val="0"/>
          <w:marRight w:val="0"/>
          <w:marTop w:val="0"/>
          <w:marBottom w:val="0"/>
          <w:divBdr>
            <w:top w:val="none" w:sz="0" w:space="0" w:color="auto"/>
            <w:left w:val="none" w:sz="0" w:space="0" w:color="auto"/>
            <w:bottom w:val="none" w:sz="0" w:space="0" w:color="auto"/>
            <w:right w:val="none" w:sz="0" w:space="0" w:color="auto"/>
          </w:divBdr>
        </w:div>
      </w:divsChild>
    </w:div>
    <w:div w:id="214034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oastadapt.com.au/" TargetMode="External"/><Relationship Id="rId21" Type="http://schemas.openxmlformats.org/officeDocument/2006/relationships/hyperlink" Target="https://treasury.gov.au/publication/p2024-536290" TargetMode="External"/><Relationship Id="rId42" Type="http://schemas.openxmlformats.org/officeDocument/2006/relationships/hyperlink" Target="https://www.climateleaders.org.au/clc/projects/credible-transition-to-net-zero-2/" TargetMode="External"/><Relationship Id="rId63" Type="http://schemas.openxmlformats.org/officeDocument/2006/relationships/hyperlink" Target="https://www.iso.org/standard/65694.html" TargetMode="External"/><Relationship Id="rId84" Type="http://schemas.openxmlformats.org/officeDocument/2006/relationships/hyperlink" Target="https://ghgprotocol.org/corporate-standard" TargetMode="External"/><Relationship Id="rId138" Type="http://schemas.openxmlformats.org/officeDocument/2006/relationships/hyperlink" Target="https://itpn.global/tpt-transition-planning-cycle/" TargetMode="External"/><Relationship Id="rId159" Type="http://schemas.openxmlformats.org/officeDocument/2006/relationships/hyperlink" Target="https://www.aicd.com.au/risk-management/framework/climate/governing-for-net-zero.html" TargetMode="External"/><Relationship Id="rId170" Type="http://schemas.openxmlformats.org/officeDocument/2006/relationships/hyperlink" Target="https://www.energy.gov.au/sites/default/files/2024-12/First%20Nations%20Clean%20Energy%20Strategy.pdf" TargetMode="External"/><Relationship Id="rId191" Type="http://schemas.openxmlformats.org/officeDocument/2006/relationships/hyperlink" Target="https://sciencebasedtargets.org/beyond-value-chain-mitigation" TargetMode="External"/><Relationship Id="rId107" Type="http://schemas.openxmlformats.org/officeDocument/2006/relationships/hyperlink" Target="https://www.energy.nsw.gov.au/nsw-plans-and-progress/government-strategies-and-frameworks/taking-action-climate-change/nsw" TargetMode="External"/><Relationship Id="rId11" Type="http://schemas.openxmlformats.org/officeDocument/2006/relationships/hyperlink" Target="https://creativecommons.org/licenses/by/4.0/legalcode" TargetMode="External"/><Relationship Id="rId32" Type="http://schemas.openxmlformats.org/officeDocument/2006/relationships/hyperlink" Target="https://itpn.global/tpt-transition-planning-cycle/" TargetMode="External"/><Relationship Id="rId53" Type="http://schemas.openxmlformats.org/officeDocument/2006/relationships/hyperlink" Target="https://www.aicd.com.au/risk-management/framework/climate/governing-for-net-zero.html" TargetMode="External"/><Relationship Id="rId74" Type="http://schemas.openxmlformats.org/officeDocument/2006/relationships/hyperlink" Target="https://www.dcceew.gov.au/environment/environmental-markets/investing-in-nature" TargetMode="External"/><Relationship Id="rId128" Type="http://schemas.openxmlformats.org/officeDocument/2006/relationships/hyperlink" Target="https://www.dcceew.gov.au/about/news/first-nations-clean-energy-strategy" TargetMode="External"/><Relationship Id="rId149" Type="http://schemas.openxmlformats.org/officeDocument/2006/relationships/hyperlink" Target="https://igcc.org.au/just-transition-report/" TargetMode="External"/><Relationship Id="rId5" Type="http://schemas.openxmlformats.org/officeDocument/2006/relationships/webSettings" Target="webSettings.xml"/><Relationship Id="rId95" Type="http://schemas.openxmlformats.org/officeDocument/2006/relationships/hyperlink" Target="https://www.industry.gov.au/publications/industry-sector-plan" TargetMode="External"/><Relationship Id="rId160" Type="http://schemas.openxmlformats.org/officeDocument/2006/relationships/hyperlink" Target="https://igcc.org.au/rem-report/" TargetMode="External"/><Relationship Id="rId181" Type="http://schemas.openxmlformats.org/officeDocument/2006/relationships/hyperlink" Target="https://sciencebasedtargets.org/corporate-net-zero-standard-v2" TargetMode="External"/><Relationship Id="rId22" Type="http://schemas.openxmlformats.org/officeDocument/2006/relationships/footer" Target="footer7.xml"/><Relationship Id="rId43" Type="http://schemas.openxmlformats.org/officeDocument/2006/relationships/hyperlink" Target="https://aasb.gov.au/research-resources/knowledge-hub/aasb-s2-knowledge-hub/" TargetMode="External"/><Relationship Id="rId64" Type="http://schemas.openxmlformats.org/officeDocument/2006/relationships/hyperlink" Target="https://www.asic.gov.au/regulatory-resources/sustainability-reporting/educational-modules/" TargetMode="External"/><Relationship Id="rId118" Type="http://schemas.openxmlformats.org/officeDocument/2006/relationships/hyperlink" Target="https://australianadaptationdatabase.unimelb.edu.au/" TargetMode="External"/><Relationship Id="rId139" Type="http://schemas.openxmlformats.org/officeDocument/2006/relationships/hyperlink" Target="https://www.iso.org/netzero" TargetMode="External"/><Relationship Id="rId85" Type="http://schemas.openxmlformats.org/officeDocument/2006/relationships/hyperlink" Target="https://ghgprotocol.org/corporate-value-chain-scope-3-standard" TargetMode="External"/><Relationship Id="rId150" Type="http://schemas.openxmlformats.org/officeDocument/2006/relationships/hyperlink" Target="https://www.netzero.gov.au/energy-industry-jobs-plan" TargetMode="External"/><Relationship Id="rId171" Type="http://schemas.openxmlformats.org/officeDocument/2006/relationships/hyperlink" Target="https://culturalheritage.org.au/resource/dhawura-ngilan-business-and-investor-guide/" TargetMode="External"/><Relationship Id="rId192" Type="http://schemas.openxmlformats.org/officeDocument/2006/relationships/hyperlink" Target="https://cer.gov.au/schemes/renewable-energy-target/large-scale-renewable-energy-target/large-scale-generation-certificates" TargetMode="External"/><Relationship Id="rId12" Type="http://schemas.openxmlformats.org/officeDocument/2006/relationships/image" Target="media/image4.wmf"/><Relationship Id="rId33" Type="http://schemas.openxmlformats.org/officeDocument/2006/relationships/hyperlink" Target="https://www.ifrs.org/sustainability/knowledge-hub/" TargetMode="External"/><Relationship Id="rId108" Type="http://schemas.openxmlformats.org/officeDocument/2006/relationships/hyperlink" Target="https://www.recfit.tas.gov.au/grants_programs/climate-change/business_and_industry" TargetMode="External"/><Relationship Id="rId129" Type="http://schemas.openxmlformats.org/officeDocument/2006/relationships/hyperlink" Target="https://snapshotclimate.com.au/explore/?utm_source=chatgpt.com" TargetMode="External"/><Relationship Id="rId54" Type="http://schemas.openxmlformats.org/officeDocument/2006/relationships/image" Target="media/image6.png"/><Relationship Id="rId75" Type="http://schemas.openxmlformats.org/officeDocument/2006/relationships/hyperlink" Target="https://tnfd.global/publication/guidance-on-nature-in-transition-plans/" TargetMode="External"/><Relationship Id="rId96" Type="http://schemas.openxmlformats.org/officeDocument/2006/relationships/hyperlink" Target="https://treasury.gov.au/publication/p2025-698821" TargetMode="External"/><Relationship Id="rId140" Type="http://schemas.openxmlformats.org/officeDocument/2006/relationships/hyperlink" Target="https://www.dcceew.gov.au/climate-change/emissions-reduction/accu-scheme/methods/savanna-fire-management-emissions-avoidance" TargetMode="External"/><Relationship Id="rId161" Type="http://schemas.openxmlformats.org/officeDocument/2006/relationships/hyperlink" Target="https://www.climateleaders.org.au/clc/projects/scope-3-leadership-and-driving-change/" TargetMode="External"/><Relationship Id="rId182" Type="http://schemas.openxmlformats.org/officeDocument/2006/relationships/hyperlink" Target="https://sciencebasedtargets.org/financial-institutions" TargetMode="External"/><Relationship Id="rId6" Type="http://schemas.openxmlformats.org/officeDocument/2006/relationships/footnotes" Target="footnotes.xml"/><Relationship Id="rId23" Type="http://schemas.openxmlformats.org/officeDocument/2006/relationships/image" Target="media/image5.png"/><Relationship Id="rId119" Type="http://schemas.openxmlformats.org/officeDocument/2006/relationships/hyperlink" Target="https://www.climatebonds.net/data-insights/publications/climate-bonds-resilience-taxonomy" TargetMode="External"/><Relationship Id="rId44" Type="http://schemas.openxmlformats.org/officeDocument/2006/relationships/hyperlink" Target="https://www.asic.gov.au/regulatory-resources/sustainability-reporting/" TargetMode="External"/><Relationship Id="rId65" Type="http://schemas.openxmlformats.org/officeDocument/2006/relationships/hyperlink" Target="https://www.ipcc.ch/assessment-report/ar6/" TargetMode="External"/><Relationship Id="rId86" Type="http://schemas.openxmlformats.org/officeDocument/2006/relationships/hyperlink" Target="https://ghgprotocol.org/land-sector-and-removals-standard" TargetMode="External"/><Relationship Id="rId130" Type="http://schemas.openxmlformats.org/officeDocument/2006/relationships/hyperlink" Target="https://www.climatechangeauthority.gov.au/climate-policy-tracker?utm_source=chatgpt.com" TargetMode="External"/><Relationship Id="rId151" Type="http://schemas.openxmlformats.org/officeDocument/2006/relationships/hyperlink" Target="https://www.reconciliation.org.au/reconciliation-action-plans/about-raps/" TargetMode="External"/><Relationship Id="rId172" Type="http://schemas.openxmlformats.org/officeDocument/2006/relationships/hyperlink" Target="https://www.firstnationscleanenergy.org.au/network_guides" TargetMode="External"/><Relationship Id="rId193" Type="http://schemas.openxmlformats.org/officeDocument/2006/relationships/hyperlink" Target="https://cer.gov.au/schemes/guarantee-origin-scheme/renewable-electricity-guarantee-origin" TargetMode="External"/><Relationship Id="rId13" Type="http://schemas.openxmlformats.org/officeDocument/2006/relationships/hyperlink" Target="https://creativecommons.org/licenses/by/4.0/" TargetMode="External"/><Relationship Id="rId109" Type="http://schemas.openxmlformats.org/officeDocument/2006/relationships/hyperlink" Target="https://business.gov.au/grants-and-programs/act-governments-business-energy-and-water-program" TargetMode="External"/><Relationship Id="rId34" Type="http://schemas.openxmlformats.org/officeDocument/2006/relationships/hyperlink" Target="https://www.ifrs.org/news-and-events/news/2025/06/ifrs-publishes-guidance-disclosures-transition-plans/" TargetMode="External"/><Relationship Id="rId55" Type="http://schemas.openxmlformats.org/officeDocument/2006/relationships/hyperlink" Target="https://www.edgeimpact.global/climate-disclosure-workshops" TargetMode="External"/><Relationship Id="rId76" Type="http://schemas.openxmlformats.org/officeDocument/2006/relationships/hyperlink" Target="https://www.iea.org/reports/global-energy-and-climate-model/net-zero-emissions-by-2050-scenario-nze" TargetMode="External"/><Relationship Id="rId97" Type="http://schemas.openxmlformats.org/officeDocument/2006/relationships/hyperlink" Target="https://www.agriculture.gov.au/agriculture-land/farm-food-drought/climatechange/ag-and-land-sector-plan" TargetMode="External"/><Relationship Id="rId120" Type="http://schemas.openxmlformats.org/officeDocument/2006/relationships/hyperlink" Target="https://itpn.global/tpt-transition-planning-cycle/" TargetMode="External"/><Relationship Id="rId141" Type="http://schemas.openxmlformats.org/officeDocument/2006/relationships/hyperlink" Target="https://www.finance.gov.au/government/climate-action-government-operations/aps-net-zero-2030-target" TargetMode="External"/><Relationship Id="rId7" Type="http://schemas.openxmlformats.org/officeDocument/2006/relationships/endnotes" Target="endnotes.xml"/><Relationship Id="rId162" Type="http://schemas.openxmlformats.org/officeDocument/2006/relationships/hyperlink" Target="https://www.accc.gov.au/about-us/publications/sustainability-collaborations-and-australian-competition-law-a-guide-for-business" TargetMode="External"/><Relationship Id="rId183" Type="http://schemas.openxmlformats.org/officeDocument/2006/relationships/image" Target="media/image8.png"/><Relationship Id="rId2" Type="http://schemas.openxmlformats.org/officeDocument/2006/relationships/numbering" Target="numbering.xml"/><Relationship Id="rId29" Type="http://schemas.openxmlformats.org/officeDocument/2006/relationships/hyperlink" Target="https://www.dcceew.gov.au/climate-change/emissions-reduction/net-zero" TargetMode="External"/><Relationship Id="rId24" Type="http://schemas.openxmlformats.org/officeDocument/2006/relationships/footer" Target="footer8.xml"/><Relationship Id="rId40" Type="http://schemas.openxmlformats.org/officeDocument/2006/relationships/hyperlink" Target="https://www.climateworkscentre.org/resource/guide-to-credibility-for-corporate-climate-transition-plans/" TargetMode="External"/><Relationship Id="rId45" Type="http://schemas.openxmlformats.org/officeDocument/2006/relationships/hyperlink" Target="https://www.asic.gov.au/regulatory-resources/find-a-document/regulatory-guides/rg-280-sustainability-reporting/" TargetMode="External"/><Relationship Id="rId66" Type="http://schemas.openxmlformats.org/officeDocument/2006/relationships/hyperlink" Target="https://www.dcceew.gov.au/climate-change/publications/net-zero-plan" TargetMode="External"/><Relationship Id="rId87" Type="http://schemas.openxmlformats.org/officeDocument/2006/relationships/hyperlink" Target="https://sciencebasedtargets.org/sectors/forest-land-and-agriculture" TargetMode="External"/><Relationship Id="rId110" Type="http://schemas.openxmlformats.org/officeDocument/2006/relationships/hyperlink" Target="https://www.business.qld.gov.au/running-business/energy-business/energy-saving/other-programs" TargetMode="External"/><Relationship Id="rId115" Type="http://schemas.openxmlformats.org/officeDocument/2006/relationships/hyperlink" Target="https://www.asfi.org.au/australian-taxonomy" TargetMode="External"/><Relationship Id="rId131" Type="http://schemas.openxmlformats.org/officeDocument/2006/relationships/hyperlink" Target="https://www.agriculture.gov.au/sites/default/files/documents/coag-roles-respsonsibilities-climate-change-adaptation.pdf" TargetMode="External"/><Relationship Id="rId136" Type="http://schemas.openxmlformats.org/officeDocument/2006/relationships/hyperlink" Target="https://www.asfi.org.au/australian-taxonomy" TargetMode="External"/><Relationship Id="rId157" Type="http://schemas.openxmlformats.org/officeDocument/2006/relationships/hyperlink" Target="https://www.ifc.org/en/insights-reports/2025/harmonized-circular-economy-finance-guidelines" TargetMode="External"/><Relationship Id="rId178" Type="http://schemas.openxmlformats.org/officeDocument/2006/relationships/hyperlink" Target="https://www.asic.gov.au/regulatory-resources/financial-services/how-to-avoid-greenwashing-when-offering-or-promoting-sustainability-related-products/?utm_source=hs_email&amp;utm_medium=email&amp;_hsenc=p2ANqtz--8gc2nkiRXy6LT_ObJiWJ4QGKDhgaYhs6Oak2unWeO4epxihwJ4_iGXQzbRGAYy9KcLuEH" TargetMode="External"/><Relationship Id="rId61" Type="http://schemas.openxmlformats.org/officeDocument/2006/relationships/hyperlink" Target="https://www.ipcc.ch/assessment-report/ar6/" TargetMode="External"/><Relationship Id="rId82" Type="http://schemas.openxmlformats.org/officeDocument/2006/relationships/hyperlink" Target="https://www.ngfs.net/system/files/2025-07/NGFS_Interactions%20between%20climate%20scenario%20analysis%20and%20Transition%20plans.pdf" TargetMode="External"/><Relationship Id="rId152" Type="http://schemas.openxmlformats.org/officeDocument/2006/relationships/hyperlink" Target="https://tnfd.global/nature-transition-plans/" TargetMode="External"/><Relationship Id="rId173" Type="http://schemas.openxmlformats.org/officeDocument/2006/relationships/hyperlink" Target="https://www.ifrs.org/sustainability/knowledge-hub/transition-plan-taskforce-resources/" TargetMode="External"/><Relationship Id="rId194" Type="http://schemas.openxmlformats.org/officeDocument/2006/relationships/hyperlink" Target="https://www.ifrs.org/sustainability/knowledge-hub/transition-plan-taskforce-resources/" TargetMode="External"/><Relationship Id="rId199" Type="http://schemas.openxmlformats.org/officeDocument/2006/relationships/footer" Target="footer11.xml"/><Relationship Id="rId203" Type="http://schemas.openxmlformats.org/officeDocument/2006/relationships/theme" Target="theme/theme1.xml"/><Relationship Id="rId19" Type="http://schemas.openxmlformats.org/officeDocument/2006/relationships/footer" Target="footer5.xml"/><Relationship Id="rId14" Type="http://schemas.openxmlformats.org/officeDocument/2006/relationships/hyperlink" Target="http://www.pmc.gov.au/government/commonwealth-coat-arms" TargetMode="External"/><Relationship Id="rId30" Type="http://schemas.openxmlformats.org/officeDocument/2006/relationships/hyperlink" Target="https://www.acs.gov.au/pages/national-climate-risk-assessment" TargetMode="External"/><Relationship Id="rId35" Type="http://schemas.openxmlformats.org/officeDocument/2006/relationships/hyperlink" Target="https://www.accountingforsustainability.org/en/activities/a4s-essential-guide-series.html" TargetMode="External"/><Relationship Id="rId56" Type="http://schemas.openxmlformats.org/officeDocument/2006/relationships/hyperlink" Target="https://itpn.global/tpt-transition-planning-cycle/" TargetMode="External"/><Relationship Id="rId77" Type="http://schemas.openxmlformats.org/officeDocument/2006/relationships/hyperlink" Target="https://www.ngfs.net/en/publications-and-statistics/publications/ngfs-climate-scenarios-central-banks-and-supervisors" TargetMode="External"/><Relationship Id="rId100" Type="http://schemas.openxmlformats.org/officeDocument/2006/relationships/hyperlink" Target="https://www.dcceew.gov.au/climate-change/emissions-reduction/net-zero" TargetMode="External"/><Relationship Id="rId105" Type="http://schemas.openxmlformats.org/officeDocument/2006/relationships/hyperlink" Target="https://igcc.org.au/new-guidance-the-net-zero-investment-framework-2-0-nzif-2-0/" TargetMode="External"/><Relationship Id="rId126" Type="http://schemas.openxmlformats.org/officeDocument/2006/relationships/hyperlink" Target="https://www.dcceew.gov.au/environment/protection/circular-economy/framework" TargetMode="External"/><Relationship Id="rId147" Type="http://schemas.openxmlformats.org/officeDocument/2006/relationships/hyperlink" Target="https://www.acs.gov.au/pages/national-climate-risk-assessment" TargetMode="External"/><Relationship Id="rId168" Type="http://schemas.openxmlformats.org/officeDocument/2006/relationships/hyperlink" Target="https://www.asfi.org.au/australian-taxonomy" TargetMode="External"/><Relationship Id="rId8" Type="http://schemas.openxmlformats.org/officeDocument/2006/relationships/image" Target="media/image1.jpeg"/><Relationship Id="rId51" Type="http://schemas.openxmlformats.org/officeDocument/2006/relationships/hyperlink" Target="https://www.ngfs.net/en/publications-and-statistics/publications/ngfs-input-paper-integrating-adaptation-and-resilience-transition-plans" TargetMode="External"/><Relationship Id="rId72" Type="http://schemas.openxmlformats.org/officeDocument/2006/relationships/hyperlink" Target="https://www.globalreporting.org/standards/?utm_term=&amp;utm_campaign=PMax_GRI+Academy&amp;utm_source=adwords&amp;utm_medium=ppc&amp;hsa_acc=2869723542&amp;hsa_cam=22925539585&amp;hsa_grp=&amp;hsa_ad=&amp;hsa_src=x&amp;hsa_tgt=&amp;hsa_kw=&amp;hsa_mt=&amp;hsa_net=adwords&amp;hsa_ver=3&amp;gad_source=1&amp;gad_campaignid=22925585197&amp;gclid=EAIaIQobChMIju2L2bOjkwMVsqhmAh11ajzUEAAYASAAEgIHY_D_BwE" TargetMode="External"/><Relationship Id="rId93" Type="http://schemas.openxmlformats.org/officeDocument/2006/relationships/hyperlink" Target="https://www.csiro.au/en/research/environmental-impacts/sustainability/farmprint" TargetMode="External"/><Relationship Id="rId98" Type="http://schemas.openxmlformats.org/officeDocument/2006/relationships/hyperlink" Target="https://www.infrastructure.gov.au/infrastructure-transport-vehicles/towards-net-zero-transport-and-infrastructure" TargetMode="External"/><Relationship Id="rId121" Type="http://schemas.openxmlformats.org/officeDocument/2006/relationships/hyperlink" Target="https://www.dcceew.gov.au/climate-change/emissions-reporting/national-greenhouse-energy-reporting-scheme/safeguard-mechanism" TargetMode="External"/><Relationship Id="rId142" Type="http://schemas.openxmlformats.org/officeDocument/2006/relationships/hyperlink" Target="https://www.finance.gov.au/government/climate-action-government-operations/commonwealth-emission-reporting/net-zero-government-operations-annual-progress-report" TargetMode="External"/><Relationship Id="rId163" Type="http://schemas.openxmlformats.org/officeDocument/2006/relationships/hyperlink" Target="https://climateworkscentre.org/resource/guide-to-credibility-for-corporate-climate-transition-plans/" TargetMode="External"/><Relationship Id="rId184" Type="http://schemas.openxmlformats.org/officeDocument/2006/relationships/hyperlink" Target="https://icvcm.org/core-carbon-principles/" TargetMode="External"/><Relationship Id="rId189" Type="http://schemas.openxmlformats.org/officeDocument/2006/relationships/hyperlink" Target="https://cer.gov.au/markets/reports-and-data/accu-project-and-contract-register?view=Map" TargetMode="External"/><Relationship Id="rId3" Type="http://schemas.openxmlformats.org/officeDocument/2006/relationships/styles" Target="styles.xml"/><Relationship Id="rId25" Type="http://schemas.openxmlformats.org/officeDocument/2006/relationships/footer" Target="footer9.xml"/><Relationship Id="rId46" Type="http://schemas.openxmlformats.org/officeDocument/2006/relationships/hyperlink" Target="https://www.asic.gov.au/regulatory-resources/financial-services/how-to-avoid-greenwashing-when-offering-or-promoting-sustainability-related-products/" TargetMode="External"/><Relationship Id="rId67" Type="http://schemas.openxmlformats.org/officeDocument/2006/relationships/hyperlink" Target="https://www.dcceew.gov.au/climate-change/emissions-reduction/net-zero" TargetMode="External"/><Relationship Id="rId116" Type="http://schemas.openxmlformats.org/officeDocument/2006/relationships/hyperlink" Target="https://www.csiro.au/en/research/environmental-impacts/climate-change/adaptation-pathways" TargetMode="External"/><Relationship Id="rId137" Type="http://schemas.openxmlformats.org/officeDocument/2006/relationships/hyperlink" Target="https://www.wbcsd.org/resources/a-practical-guide-on-transition-plan-dependencies/" TargetMode="External"/><Relationship Id="rId158" Type="http://schemas.openxmlformats.org/officeDocument/2006/relationships/hyperlink" Target="https://www.dcceew.gov.au/environment/protection/circular-economy/framework" TargetMode="External"/><Relationship Id="rId20" Type="http://schemas.openxmlformats.org/officeDocument/2006/relationships/footer" Target="footer6.xml"/><Relationship Id="rId41" Type="http://schemas.openxmlformats.org/officeDocument/2006/relationships/hyperlink" Target="https://www.aicd.com.au/risk-management/framework/climate/governing-for-net-zero.html" TargetMode="External"/><Relationship Id="rId62" Type="http://schemas.openxmlformats.org/officeDocument/2006/relationships/image" Target="media/image7.png"/><Relationship Id="rId83" Type="http://schemas.openxmlformats.org/officeDocument/2006/relationships/hyperlink" Target="https://cer.gov.au/schemes/national-greenhouse-and-energy-reporting-scheme" TargetMode="External"/><Relationship Id="rId88" Type="http://schemas.openxmlformats.org/officeDocument/2006/relationships/hyperlink" Target="https://carbonaccountingfinancials.com/" TargetMode="External"/><Relationship Id="rId111" Type="http://schemas.openxmlformats.org/officeDocument/2006/relationships/hyperlink" Target="https://www.esc.vic.gov.au/victorian-energy-upgrades-program" TargetMode="External"/><Relationship Id="rId132" Type="http://schemas.openxmlformats.org/officeDocument/2006/relationships/hyperlink" Target="https://www.dcceew.gov.au/climate-change/publications/national-adaptation-plan" TargetMode="External"/><Relationship Id="rId153" Type="http://schemas.openxmlformats.org/officeDocument/2006/relationships/hyperlink" Target="https://www.modernslavery.gov.au/guidance-training-resources" TargetMode="External"/><Relationship Id="rId174" Type="http://schemas.openxmlformats.org/officeDocument/2006/relationships/hyperlink" Target="https://www.apsacademy.gov.au/resources/australian-public-service-framework-engagement-and-participation" TargetMode="External"/><Relationship Id="rId179" Type="http://schemas.openxmlformats.org/officeDocument/2006/relationships/hyperlink" Target="https://ghgprotocol.org/standards" TargetMode="External"/><Relationship Id="rId195" Type="http://schemas.openxmlformats.org/officeDocument/2006/relationships/image" Target="media/image9.png"/><Relationship Id="rId190" Type="http://schemas.openxmlformats.org/officeDocument/2006/relationships/hyperlink" Target="https://cer.gov.au/" TargetMode="External"/><Relationship Id="rId15" Type="http://schemas.openxmlformats.org/officeDocument/2006/relationships/hyperlink" Target="mailto:media@treasury.gov.au" TargetMode="External"/><Relationship Id="rId36" Type="http://schemas.openxmlformats.org/officeDocument/2006/relationships/hyperlink" Target="https://www.xrb.govt.nz/standards/climate-related-disclosures/resources/" TargetMode="External"/><Relationship Id="rId57" Type="http://schemas.openxmlformats.org/officeDocument/2006/relationships/hyperlink" Target="https://www.accountingforsustainability.org/engaging-the-board-and-executive-management-tools.html" TargetMode="External"/><Relationship Id="rId106" Type="http://schemas.openxmlformats.org/officeDocument/2006/relationships/hyperlink" Target="https://www.cefc.com.au/pathfinder/farm-emissions-reduction-activities/overview/" TargetMode="External"/><Relationship Id="rId127" Type="http://schemas.openxmlformats.org/officeDocument/2006/relationships/hyperlink" Target="https://www.dcceew.gov.au/energy/transport/national-electric-vehicle-strategy" TargetMode="External"/><Relationship Id="rId10" Type="http://schemas.openxmlformats.org/officeDocument/2006/relationships/hyperlink" Target="https://creativecommons.org/licenses/by/4.0/" TargetMode="External"/><Relationship Id="rId31" Type="http://schemas.openxmlformats.org/officeDocument/2006/relationships/hyperlink" Target="https://www.dcceew.gov.au/climate-change/publications/national-climate-scenario-guidance" TargetMode="External"/><Relationship Id="rId52" Type="http://schemas.openxmlformats.org/officeDocument/2006/relationships/hyperlink" Target="https://www.acs.gov.au/pages/national-climate-risk-assessment" TargetMode="External"/><Relationship Id="rId73" Type="http://schemas.openxmlformats.org/officeDocument/2006/relationships/hyperlink" Target="https://tnfd.global/tnfd-publications/" TargetMode="External"/><Relationship Id="rId78" Type="http://schemas.openxmlformats.org/officeDocument/2006/relationships/hyperlink" Target="https://www.fsb-tcfd.org/publications/" TargetMode="External"/><Relationship Id="rId94" Type="http://schemas.openxmlformats.org/officeDocument/2006/relationships/hyperlink" Target="https://www.dcceew.gov.au/climate-change/emissions-reduction/net-zero/electricity-and-energy-sector-plan" TargetMode="External"/><Relationship Id="rId99" Type="http://schemas.openxmlformats.org/officeDocument/2006/relationships/hyperlink" Target="https://www.industry.gov.au/publications/resources-sector-plan" TargetMode="External"/><Relationship Id="rId101" Type="http://schemas.openxmlformats.org/officeDocument/2006/relationships/hyperlink" Target="https://www.energy-transitions.org/publications/pathways-to-industrial-decarbonisation/" TargetMode="External"/><Relationship Id="rId122" Type="http://schemas.openxmlformats.org/officeDocument/2006/relationships/hyperlink" Target="https://www.infrastructure.gov.au/infrastructure-transport-vehicles/vehicles/new-vehicle-efficiency-standard" TargetMode="External"/><Relationship Id="rId143" Type="http://schemas.openxmlformats.org/officeDocument/2006/relationships/hyperlink" Target="https://www.csiro.au/en/research/environmental-impacts/climate-change/adaptation-pathways" TargetMode="External"/><Relationship Id="rId148" Type="http://schemas.openxmlformats.org/officeDocument/2006/relationships/hyperlink" Target="https://www.dcceew.gov.au/climate-change/publications/national-adaptation-plan" TargetMode="External"/><Relationship Id="rId164" Type="http://schemas.openxmlformats.org/officeDocument/2006/relationships/hyperlink" Target="https://www.asic.gov.au/regulatory-resources/financial-services/how-to-avoid-greenwashing-when-offering-or-promoting-sustainability-related-products/" TargetMode="External"/><Relationship Id="rId169" Type="http://schemas.openxmlformats.org/officeDocument/2006/relationships/hyperlink" Target="https://www.closingthegap.gov.au/national-agreement" TargetMode="External"/><Relationship Id="rId185" Type="http://schemas.openxmlformats.org/officeDocument/2006/relationships/hyperlink" Target="https://climate-laws.org/document/carbon-farming-initiative-amendment-bill-2014_80d0"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iso.org/standard/37456.html" TargetMode="External"/><Relationship Id="rId26" Type="http://schemas.openxmlformats.org/officeDocument/2006/relationships/hyperlink" Target="https://itpn.global/tpt-transition-planning-cycle/" TargetMode="External"/><Relationship Id="rId47" Type="http://schemas.openxmlformats.org/officeDocument/2006/relationships/hyperlink" Target="https://standards.aasb.gov.au/aasb-s2-sep-2024" TargetMode="External"/><Relationship Id="rId68" Type="http://schemas.openxmlformats.org/officeDocument/2006/relationships/hyperlink" Target="https://www.dcceew.gov.au/climate-change/policy/climate-science/climate-science/climate-change-future" TargetMode="External"/><Relationship Id="rId89" Type="http://schemas.openxmlformats.org/officeDocument/2006/relationships/hyperlink" Target="https://ghgprotocol.org/standards-guidance" TargetMode="External"/><Relationship Id="rId112" Type="http://schemas.openxmlformats.org/officeDocument/2006/relationships/hyperlink" Target="https://www.wa.gov.au/service/environment/environment-information-services/clean-energy-future-fund" TargetMode="External"/><Relationship Id="rId133" Type="http://schemas.openxmlformats.org/officeDocument/2006/relationships/hyperlink" Target="https://www.acs.gov.au/pages/national-climate-risk-assessment" TargetMode="External"/><Relationship Id="rId154" Type="http://schemas.openxmlformats.org/officeDocument/2006/relationships/hyperlink" Target="https://www.modernslavery.gov.au/guidance-training-resources/business" TargetMode="External"/><Relationship Id="rId175" Type="http://schemas.openxmlformats.org/officeDocument/2006/relationships/hyperlink" Target="https://www.ag.gov.au/integrity/publications/lobbying-code-conduct" TargetMode="External"/><Relationship Id="rId196" Type="http://schemas.openxmlformats.org/officeDocument/2006/relationships/image" Target="media/image10.svg"/><Relationship Id="rId200" Type="http://schemas.openxmlformats.org/officeDocument/2006/relationships/footer" Target="footer12.xml"/><Relationship Id="rId16" Type="http://schemas.openxmlformats.org/officeDocument/2006/relationships/footer" Target="footer2.xml"/><Relationship Id="rId37" Type="http://schemas.openxmlformats.org/officeDocument/2006/relationships/hyperlink" Target="https://www.energy.nsw.gov.au/business-and-industry/guides/net-zero-business-guide" TargetMode="External"/><Relationship Id="rId58" Type="http://schemas.openxmlformats.org/officeDocument/2006/relationships/hyperlink" Target="https://www.aicd.com.au/risk-management/framework/climate/governing-for-net-zero.html" TargetMode="External"/><Relationship Id="rId79" Type="http://schemas.openxmlformats.org/officeDocument/2006/relationships/hyperlink" Target="https://www.ifrs.org/content/dam/ifrs/meetings/2023/january/issb/ap4a-climate-related-disclosures-using-scenario-analysis-to-assess-climate-resilience.pdf" TargetMode="External"/><Relationship Id="rId102" Type="http://schemas.openxmlformats.org/officeDocument/2006/relationships/hyperlink" Target="https://www.ifrs.org/sustainability/knowledge-hub/transition-plan-taskforce-resources/" TargetMode="External"/><Relationship Id="rId123" Type="http://schemas.openxmlformats.org/officeDocument/2006/relationships/hyperlink" Target="https://www.dcceew.gov.au/energy/renewable/target-scheme" TargetMode="External"/><Relationship Id="rId144" Type="http://schemas.openxmlformats.org/officeDocument/2006/relationships/hyperlink" Target="https://coastadapt.com.au/" TargetMode="External"/><Relationship Id="rId90" Type="http://schemas.openxmlformats.org/officeDocument/2006/relationships/hyperlink" Target="https://www.asic.gov.au/regulatory-resources/sustainability-reporting/educational-modules/" TargetMode="External"/><Relationship Id="rId165" Type="http://schemas.openxmlformats.org/officeDocument/2006/relationships/hyperlink" Target="https://www.dcceew.gov.au/energy/renewable/community-engagement/transmission" TargetMode="External"/><Relationship Id="rId186" Type="http://schemas.openxmlformats.org/officeDocument/2006/relationships/hyperlink" Target="https://www.smithschool.ox.ac.uk/research/oxford-offsetting-principles" TargetMode="External"/><Relationship Id="rId27" Type="http://schemas.openxmlformats.org/officeDocument/2006/relationships/hyperlink" Target="https://www.asfi.org.au/australian-taxonomy" TargetMode="External"/><Relationship Id="rId48" Type="http://schemas.openxmlformats.org/officeDocument/2006/relationships/hyperlink" Target="https://aasb.gov.au/research-resources/knowledge-hub/aasb-s2-knowledge-hub/" TargetMode="External"/><Relationship Id="rId69" Type="http://schemas.openxmlformats.org/officeDocument/2006/relationships/hyperlink" Target="https://myclimateview.com.au/" TargetMode="External"/><Relationship Id="rId113" Type="http://schemas.openxmlformats.org/officeDocument/2006/relationships/hyperlink" Target="https://www.escosa.sa.gov.au/industry/reps/overview" TargetMode="External"/><Relationship Id="rId134" Type="http://schemas.openxmlformats.org/officeDocument/2006/relationships/hyperlink" Target="https://www.dcceew.gov.au/climate-change/policy/adaptation" TargetMode="External"/><Relationship Id="rId80" Type="http://schemas.openxmlformats.org/officeDocument/2006/relationships/hyperlink" Target="https://www.asic.gov.au/regulatory-resources/sustainability-reporting/educational-modules/" TargetMode="External"/><Relationship Id="rId155" Type="http://schemas.openxmlformats.org/officeDocument/2006/relationships/hyperlink" Target="https://circularaustralia.com.au/report/circular-economy-finance-report-and-guide/" TargetMode="External"/><Relationship Id="rId176" Type="http://schemas.openxmlformats.org/officeDocument/2006/relationships/hyperlink" Target="https://www.ag.gov.au/integrity/foreign-influence-transparency-scheme" TargetMode="External"/><Relationship Id="rId197" Type="http://schemas.openxmlformats.org/officeDocument/2006/relationships/header" Target="header1.xml"/><Relationship Id="rId201" Type="http://schemas.openxmlformats.org/officeDocument/2006/relationships/footer" Target="footer13.xml"/><Relationship Id="rId17" Type="http://schemas.openxmlformats.org/officeDocument/2006/relationships/footer" Target="footer3.xml"/><Relationship Id="rId38" Type="http://schemas.openxmlformats.org/officeDocument/2006/relationships/hyperlink" Target="https://itpn.global/asset-owners-sector-guidance/" TargetMode="External"/><Relationship Id="rId59" Type="http://schemas.openxmlformats.org/officeDocument/2006/relationships/hyperlink" Target="https://www.energy-transitions.org/publications/pathways-to-industrial-decarbonisation/" TargetMode="External"/><Relationship Id="rId103" Type="http://schemas.openxmlformats.org/officeDocument/2006/relationships/hyperlink" Target="https://sciencebasedtargets.org/sector-resources-summary" TargetMode="External"/><Relationship Id="rId124" Type="http://schemas.openxmlformats.org/officeDocument/2006/relationships/hyperlink" Target="https://www.dcceew.gov.au/energy/renewable/capacity-investment-scheme" TargetMode="External"/><Relationship Id="rId70" Type="http://schemas.openxmlformats.org/officeDocument/2006/relationships/hyperlink" Target="https://apps.ipcc.ch/glossary/" TargetMode="External"/><Relationship Id="rId91" Type="http://schemas.openxmlformats.org/officeDocument/2006/relationships/hyperlink" Target="https://www.dcceew.gov.au/climate-change/emissions-reporting/voluntary-emissions-estimation-reporting-standards" TargetMode="External"/><Relationship Id="rId145" Type="http://schemas.openxmlformats.org/officeDocument/2006/relationships/hyperlink" Target="https://ministers.treasury.gov.au/ministers/daniel-mulino-2025/media-releases/significant-milestone-work-improve-insurance-coverage" TargetMode="External"/><Relationship Id="rId166" Type="http://schemas.openxmlformats.org/officeDocument/2006/relationships/hyperlink" Target="https://www.dcceew.gov.au/climate-change/publications/net-zero-plan" TargetMode="External"/><Relationship Id="rId187" Type="http://schemas.openxmlformats.org/officeDocument/2006/relationships/hyperlink" Target="https://www.climateactive.org.au/be-climate-active/tools-and-resources/technical-guidance-manual" TargetMode="External"/><Relationship Id="rId1" Type="http://schemas.openxmlformats.org/officeDocument/2006/relationships/customXml" Target="../customXml/item1.xml"/><Relationship Id="rId28" Type="http://schemas.openxmlformats.org/officeDocument/2006/relationships/hyperlink" Target="https://www.dcceew.gov.au/climate-change/publications/net-zero-plan" TargetMode="External"/><Relationship Id="rId49" Type="http://schemas.openxmlformats.org/officeDocument/2006/relationships/hyperlink" Target="https://auasb.gov.au/implementation-support/sustainability-assurance/" TargetMode="External"/><Relationship Id="rId114" Type="http://schemas.openxmlformats.org/officeDocument/2006/relationships/hyperlink" Target="https://environment.nt.gov.au/environment/climate-change/climate-change-in-the-northern-territory" TargetMode="External"/><Relationship Id="rId60" Type="http://schemas.openxmlformats.org/officeDocument/2006/relationships/hyperlink" Target="https://www.acs.gov.au/pages/national-climate-risk-assessment" TargetMode="External"/><Relationship Id="rId81" Type="http://schemas.openxmlformats.org/officeDocument/2006/relationships/hyperlink" Target="https://www.dcceew.gov.au/climate-change/publications/national-climate-scenario-guidance" TargetMode="External"/><Relationship Id="rId135" Type="http://schemas.openxmlformats.org/officeDocument/2006/relationships/hyperlink" Target="https://www.ngfs.net/en/publications-and-statistics/publications/ngfs-input-paper-integrating-adaptation-and-resilience-transition-plans" TargetMode="External"/><Relationship Id="rId156" Type="http://schemas.openxmlformats.org/officeDocument/2006/relationships/hyperlink" Target="https://circularaustralia.com.au/report/circular-economy-finance-report-and-guide/" TargetMode="External"/><Relationship Id="rId177" Type="http://schemas.openxmlformats.org/officeDocument/2006/relationships/hyperlink" Target="https://www.accountingforsustainability.org/en/knowledge-hub/guides/aligning-financial-planning-and-transition-planning.html" TargetMode="External"/><Relationship Id="rId198" Type="http://schemas.openxmlformats.org/officeDocument/2006/relationships/footer" Target="footer10.xml"/><Relationship Id="rId202" Type="http://schemas.openxmlformats.org/officeDocument/2006/relationships/fontTable" Target="fontTable.xml"/><Relationship Id="rId18" Type="http://schemas.openxmlformats.org/officeDocument/2006/relationships/footer" Target="footer4.xml"/><Relationship Id="rId39" Type="http://schemas.openxmlformats.org/officeDocument/2006/relationships/hyperlink" Target="https://itpn.global/asset-managers-sector-guidance/" TargetMode="External"/><Relationship Id="rId50" Type="http://schemas.openxmlformats.org/officeDocument/2006/relationships/hyperlink" Target="https://www.accc.gov.au/about-us/publications/a-guide-to-making-environmental-claims-for-business" TargetMode="External"/><Relationship Id="rId104" Type="http://schemas.openxmlformats.org/officeDocument/2006/relationships/hyperlink" Target="https://www.iigcc.org/net-zero-investment-framework" TargetMode="External"/><Relationship Id="rId125" Type="http://schemas.openxmlformats.org/officeDocument/2006/relationships/hyperlink" Target="https://www.dcceew.gov.au/climate-change/publications/net-zero-plan" TargetMode="External"/><Relationship Id="rId146" Type="http://schemas.openxmlformats.org/officeDocument/2006/relationships/hyperlink" Target="https://www.wbcsd.org/resources/integrated-transition-planning-a-short-introduction/" TargetMode="External"/><Relationship Id="rId167" Type="http://schemas.openxmlformats.org/officeDocument/2006/relationships/hyperlink" Target="https://treasury.gov.au/publication/first-nations-economic-partnership-agreement" TargetMode="External"/><Relationship Id="rId188" Type="http://schemas.openxmlformats.org/officeDocument/2006/relationships/hyperlink" Target="https://cer.gov.au/schemes/australian-carbon-credit-unit-scheme" TargetMode="External"/><Relationship Id="rId71" Type="http://schemas.openxmlformats.org/officeDocument/2006/relationships/hyperlink" Target="https://itpn.global/tpt-adaptation-working-group/" TargetMode="External"/><Relationship Id="rId92" Type="http://schemas.openxmlformats.org/officeDocument/2006/relationships/hyperlink" Target="https://www.dcceew.gov.au/climate-change/publications/national-greenhouse-accounts-factors" TargetMode="External"/></Relationships>
</file>

<file path=word/_rels/endnotes.xml.rels><?xml version="1.0" encoding="UTF-8" standalone="yes"?>
<Relationships xmlns="http://schemas.openxmlformats.org/package/2006/relationships"><Relationship Id="rId117" Type="http://schemas.openxmlformats.org/officeDocument/2006/relationships/hyperlink" Target="https://www.apsacademy.gov.au/resources/australian-public-service-framework-engagement-and-participation" TargetMode="External"/><Relationship Id="rId21" Type="http://schemas.openxmlformats.org/officeDocument/2006/relationships/hyperlink" Target="https://www.asic.gov.au/regulatory-resources/find-a-document/regulatory-guides/rg-280-sustainability-reporting/" TargetMode="External"/><Relationship Id="rId42" Type="http://schemas.openxmlformats.org/officeDocument/2006/relationships/hyperlink" Target="https://www.globalreporting.org/standards/?utm_term=&amp;utm_campaign=PMax_GRI+Academy&amp;utm_source=adwords&amp;utm_medium=ppc&amp;hsa_acc=2869723542&amp;hsa_cam=22925539585&amp;hsa_grp=&amp;hsa_ad=&amp;hsa_src=x&amp;hsa_tgt=&amp;hsa_kw=&amp;hsa_mt=&amp;hsa_net=adwords&amp;hsa_ver=3&amp;gad_source=1&amp;gad_campaignid=22925585197&amp;gclid=EAIaIQobChMIju2L2bOjkwMVsqhmAh11ajzUEAAYASAAEgIHY_D_BwE" TargetMode="External"/><Relationship Id="rId47" Type="http://schemas.openxmlformats.org/officeDocument/2006/relationships/hyperlink" Target="https://www.ngfs.net/en/publications-and-statistics/publications/ngfs-climate-scenarios-central-banks-and-supervisors" TargetMode="External"/><Relationship Id="rId63" Type="http://schemas.openxmlformats.org/officeDocument/2006/relationships/hyperlink" Target="https://www.iigcc.org/net-zero-investment-framework" TargetMode="External"/><Relationship Id="rId68" Type="http://schemas.openxmlformats.org/officeDocument/2006/relationships/hyperlink" Target="https://www.climatechoices.act.gov.au/policy-programs/sustainable-business-program" TargetMode="External"/><Relationship Id="rId84" Type="http://schemas.openxmlformats.org/officeDocument/2006/relationships/hyperlink" Target="https://www.dcceew.gov.au/environment/protection/circular-economy/framework" TargetMode="External"/><Relationship Id="rId89" Type="http://schemas.openxmlformats.org/officeDocument/2006/relationships/hyperlink" Target="https://www.agriculture.gov.au/sites/default/files/documents/coag-roles-respsonsibilities-climate-change-adaptation.pdf" TargetMode="External"/><Relationship Id="rId112" Type="http://schemas.openxmlformats.org/officeDocument/2006/relationships/hyperlink" Target="https://treasury.gov.au/publication/first-nations-economic-partnership-agreement" TargetMode="External"/><Relationship Id="rId16" Type="http://schemas.openxmlformats.org/officeDocument/2006/relationships/hyperlink" Target="https://www.climateworkscentre.org/resource/guide-to-credibility-for-corporate-climate-transition-plans/" TargetMode="External"/><Relationship Id="rId107" Type="http://schemas.openxmlformats.org/officeDocument/2006/relationships/hyperlink" Target="https://www.climateleaders.org.au/clc/projects/scope-3-leadership-and-driving-change/" TargetMode="External"/><Relationship Id="rId11" Type="http://schemas.openxmlformats.org/officeDocument/2006/relationships/hyperlink" Target="https://www.accountingforsustainability.org/en/activities/a4s-essential-guide-series.html" TargetMode="External"/><Relationship Id="rId32" Type="http://schemas.openxmlformats.org/officeDocument/2006/relationships/hyperlink" Target="https://www.ipcc.ch/assessment-report/ar6/" TargetMode="External"/><Relationship Id="rId37" Type="http://schemas.openxmlformats.org/officeDocument/2006/relationships/hyperlink" Target="https://www.dcceew.gov.au/climate-change/policy/climate-science/climate-science/climate-change-future" TargetMode="External"/><Relationship Id="rId53" Type="http://schemas.openxmlformats.org/officeDocument/2006/relationships/hyperlink" Target="https://ghgprotocol.org/corporate-value-chain-scope-3-standard" TargetMode="External"/><Relationship Id="rId58" Type="http://schemas.openxmlformats.org/officeDocument/2006/relationships/hyperlink" Target="https://www.dcceew.gov.au/climate-change/emissions-reporting/voluntary-emissions-estimation-reporting-standards" TargetMode="External"/><Relationship Id="rId74" Type="http://schemas.openxmlformats.org/officeDocument/2006/relationships/hyperlink" Target="https://www.ipcc.ch/report/ar5/wg2/" TargetMode="External"/><Relationship Id="rId79" Type="http://schemas.openxmlformats.org/officeDocument/2006/relationships/hyperlink" Target="https://unfccc.int/NDCREG" TargetMode="External"/><Relationship Id="rId102" Type="http://schemas.openxmlformats.org/officeDocument/2006/relationships/hyperlink" Target="https://www.modernslavery.gov.au/guidance-training-resources" TargetMode="External"/><Relationship Id="rId123" Type="http://schemas.openxmlformats.org/officeDocument/2006/relationships/hyperlink" Target="https://icvcm.org/core-carbon-principles/" TargetMode="External"/><Relationship Id="rId128" Type="http://schemas.openxmlformats.org/officeDocument/2006/relationships/hyperlink" Target="https://cer.gov.au/markets/reports-and-data/accu-project-and-contract-register?view=Map" TargetMode="External"/><Relationship Id="rId5" Type="http://schemas.openxmlformats.org/officeDocument/2006/relationships/hyperlink" Target="https://www.dcceew.gov.au/climate-change/publications/net-zero-plan" TargetMode="External"/><Relationship Id="rId90" Type="http://schemas.openxmlformats.org/officeDocument/2006/relationships/hyperlink" Target="https://www.dcceew.gov.au/climate-change/publications/national-adaptation-plan" TargetMode="External"/><Relationship Id="rId95" Type="http://schemas.openxmlformats.org/officeDocument/2006/relationships/hyperlink" Target="https://www.dcceew.gov.au/climate-change/emissions-reduction/accu-scheme/methods/savanna-fire-management-emissions-avoidance" TargetMode="External"/><Relationship Id="rId22" Type="http://schemas.openxmlformats.org/officeDocument/2006/relationships/hyperlink" Target="https://www.asic.gov.au/regulatory-resources/financial-services/how-to-avoid-greenwashing-when-offering-or-promoting-sustainability-related-products/" TargetMode="External"/><Relationship Id="rId27" Type="http://schemas.openxmlformats.org/officeDocument/2006/relationships/hyperlink" Target="https://www.industry.gov.au/publications/industry-sector-plan" TargetMode="External"/><Relationship Id="rId43" Type="http://schemas.openxmlformats.org/officeDocument/2006/relationships/hyperlink" Target="https://tnfd.global/publication/recommendations-of-the-taskforce-on-nature-related-financial-disclosures/" TargetMode="External"/><Relationship Id="rId48" Type="http://schemas.openxmlformats.org/officeDocument/2006/relationships/hyperlink" Target="https://www.fsb-tcfd.org/publications/" TargetMode="External"/><Relationship Id="rId64" Type="http://schemas.openxmlformats.org/officeDocument/2006/relationships/hyperlink" Target="https://igcc.org.au/new-guidance-the-net-zero-investment-framework-2-0-nzif-2-0/" TargetMode="External"/><Relationship Id="rId69" Type="http://schemas.openxmlformats.org/officeDocument/2006/relationships/hyperlink" Target="https://www.business.qld.gov.au/running-business/energy-business/energy-saving/other-programs" TargetMode="External"/><Relationship Id="rId113" Type="http://schemas.openxmlformats.org/officeDocument/2006/relationships/hyperlink" Target="https://www.closingthegap.gov.au/national-agreement/national-agreement-closing-the-gap" TargetMode="External"/><Relationship Id="rId118" Type="http://schemas.openxmlformats.org/officeDocument/2006/relationships/hyperlink" Target="https://www.ag.gov.au/integrity/publications/lobbying-code-conduct" TargetMode="External"/><Relationship Id="rId80" Type="http://schemas.openxmlformats.org/officeDocument/2006/relationships/hyperlink" Target="https://www.dcceew.gov.au/climate-change/emissions-reporting/national-greenhouse-energy-reporting-scheme/safeguard-mechanism" TargetMode="External"/><Relationship Id="rId85" Type="http://schemas.openxmlformats.org/officeDocument/2006/relationships/hyperlink" Target="https://www.dcceew.gov.au/energy/transport/national-electric-vehicle-strategy" TargetMode="External"/><Relationship Id="rId12" Type="http://schemas.openxmlformats.org/officeDocument/2006/relationships/hyperlink" Target="https://www.xrb.govt.nz/standards/climate-related-disclosures/resources/" TargetMode="External"/><Relationship Id="rId17" Type="http://schemas.openxmlformats.org/officeDocument/2006/relationships/hyperlink" Target="https://www.aicd.com.au/risk-management/framework/climate/governing-for-net-zero.html" TargetMode="External"/><Relationship Id="rId33" Type="http://schemas.openxmlformats.org/officeDocument/2006/relationships/hyperlink" Target="https://assets.worldbenchmarkingalliance.org/app/uploads/2024/06/Guidance-on-assessing-Companies-Transition-plans_Public-consultation-2.pdf" TargetMode="External"/><Relationship Id="rId38" Type="http://schemas.openxmlformats.org/officeDocument/2006/relationships/hyperlink" Target="https://myclimateview.com.au/about" TargetMode="External"/><Relationship Id="rId59" Type="http://schemas.openxmlformats.org/officeDocument/2006/relationships/hyperlink" Target="https://www.dcceew.gov.au/climate-change/publications/national-greenhouse-accounts-factors" TargetMode="External"/><Relationship Id="rId103" Type="http://schemas.openxmlformats.org/officeDocument/2006/relationships/hyperlink" Target="https://www.modernslavery.gov.au/guidance-training-resources/business" TargetMode="External"/><Relationship Id="rId108" Type="http://schemas.openxmlformats.org/officeDocument/2006/relationships/hyperlink" Target="https://www.accc.gov.au/about-us/publications/sustainability-collaborations-and-australian-competition-law-a-guide-for-business" TargetMode="External"/><Relationship Id="rId124" Type="http://schemas.openxmlformats.org/officeDocument/2006/relationships/hyperlink" Target="https://www.legislation.gov.au/C2011A00101/latest/text" TargetMode="External"/><Relationship Id="rId129" Type="http://schemas.openxmlformats.org/officeDocument/2006/relationships/hyperlink" Target="https://sciencebasedtargets.org/beyond-value-chain-mitigation" TargetMode="External"/><Relationship Id="rId54" Type="http://schemas.openxmlformats.org/officeDocument/2006/relationships/hyperlink" Target="https://ghgprotocol.org/land-sector-and-removals-standard" TargetMode="External"/><Relationship Id="rId70" Type="http://schemas.openxmlformats.org/officeDocument/2006/relationships/hyperlink" Target="https://www.energy.vic.gov.au/victorian-energy-upgrades/businesses" TargetMode="External"/><Relationship Id="rId75" Type="http://schemas.openxmlformats.org/officeDocument/2006/relationships/hyperlink" Target="https://www.csiro.au/en/research/environmental-impacts/climate-change/adaptation-pathways" TargetMode="External"/><Relationship Id="rId91" Type="http://schemas.openxmlformats.org/officeDocument/2006/relationships/hyperlink" Target="https://www.dcceew.gov.au/climate-change/policy/adaptation" TargetMode="External"/><Relationship Id="rId96" Type="http://schemas.openxmlformats.org/officeDocument/2006/relationships/hyperlink" Target="https://www.finance.gov.au/government/climate-action-government-operations/aps-net-zero-2030-target" TargetMode="External"/><Relationship Id="rId1" Type="http://schemas.openxmlformats.org/officeDocument/2006/relationships/hyperlink" Target="https://acsi.org.au/research-reports/promises-pathways-and-performance-climate-change-disclosure-in-the-asx200/" TargetMode="External"/><Relationship Id="rId6" Type="http://schemas.openxmlformats.org/officeDocument/2006/relationships/hyperlink" Target="https://www.dcceew.gov.au/climate-change/emissions-reduction/net-zero" TargetMode="External"/><Relationship Id="rId23" Type="http://schemas.openxmlformats.org/officeDocument/2006/relationships/hyperlink" Target="https://standards.aasb.gov.au/aasb-s2-sep-2024" TargetMode="External"/><Relationship Id="rId28" Type="http://schemas.openxmlformats.org/officeDocument/2006/relationships/hyperlink" Target="https://www.iea.org/articles/the-challenge-of-reaching-zero-emissions-in-heavy-industry" TargetMode="External"/><Relationship Id="rId49" Type="http://schemas.openxmlformats.org/officeDocument/2006/relationships/hyperlink" Target="https://www.ifrs.org/content/dam/ifrs/meetings/2023/january/issb/ap4a-climate-related-disclosures-using-scenario-analysis-to-assess-climate-resilience.pdf" TargetMode="External"/><Relationship Id="rId114" Type="http://schemas.openxmlformats.org/officeDocument/2006/relationships/hyperlink" Target="https://culturalheritage.org.au/resource/dhawura-ngilan-business-and-investor-guide/" TargetMode="External"/><Relationship Id="rId119" Type="http://schemas.openxmlformats.org/officeDocument/2006/relationships/hyperlink" Target="https://www.ag.gov.au/integrity/foreign-influence-transparency-scheme" TargetMode="External"/><Relationship Id="rId44" Type="http://schemas.openxmlformats.org/officeDocument/2006/relationships/hyperlink" Target="https://www.dcceew.gov.au/environment/environmental-markets/investing-in-nature" TargetMode="External"/><Relationship Id="rId60" Type="http://schemas.openxmlformats.org/officeDocument/2006/relationships/hyperlink" Target="https://www.csiro.au/en/research/environmental-impacts/sustainability/farmprint" TargetMode="External"/><Relationship Id="rId65" Type="http://schemas.openxmlformats.org/officeDocument/2006/relationships/hyperlink" Target="https://www.cefc.com.au/pathfinder/introduction/" TargetMode="External"/><Relationship Id="rId81" Type="http://schemas.openxmlformats.org/officeDocument/2006/relationships/hyperlink" Target="https://www.infrastructure.gov.au/infrastructure-transport-vehicles/vehicles/new-vehicle-efficiency-standard" TargetMode="External"/><Relationship Id="rId86" Type="http://schemas.openxmlformats.org/officeDocument/2006/relationships/hyperlink" Target="https://www.dcceew.gov.au/about/news/first-nations-clean-energy-strategy" TargetMode="External"/><Relationship Id="rId130" Type="http://schemas.openxmlformats.org/officeDocument/2006/relationships/hyperlink" Target="https://cer.gov.au/schemes/renewable-energy-target/large-scale-renewable-energy-target/large-scale-generation-certificates" TargetMode="External"/><Relationship Id="rId13" Type="http://schemas.openxmlformats.org/officeDocument/2006/relationships/hyperlink" Target="https://www.energy.nsw.gov.au/business-and-industry/guides/net-zero-business-guide" TargetMode="External"/><Relationship Id="rId18" Type="http://schemas.openxmlformats.org/officeDocument/2006/relationships/hyperlink" Target="https://www.climateleaders.org.au/clc/projects/credible-transition-to-net-zero-2/" TargetMode="External"/><Relationship Id="rId39" Type="http://schemas.openxmlformats.org/officeDocument/2006/relationships/hyperlink" Target="https://www.cdc.gov.au/topics/climate-and-health" TargetMode="External"/><Relationship Id="rId109" Type="http://schemas.openxmlformats.org/officeDocument/2006/relationships/hyperlink" Target="https://www.aicd.com.au/risk-management/framework/climate/climate-transition-plans-under-the-spotlight.html" TargetMode="External"/><Relationship Id="rId34" Type="http://schemas.openxmlformats.org/officeDocument/2006/relationships/hyperlink" Target="https://ghgprotocol.org/corporate-value-chain-scope-3-standard" TargetMode="External"/><Relationship Id="rId50" Type="http://schemas.openxmlformats.org/officeDocument/2006/relationships/hyperlink" Target="https://www.ngfs.net/system/files/2025-07/NGFS_Interactions%20between%20climate%20scenario%20analysis%20and%20Transition%20plans.pdf" TargetMode="External"/><Relationship Id="rId55" Type="http://schemas.openxmlformats.org/officeDocument/2006/relationships/hyperlink" Target="https://sciencebasedtargets.org/sectors/forest-land-and-agriculture" TargetMode="External"/><Relationship Id="rId76" Type="http://schemas.openxmlformats.org/officeDocument/2006/relationships/hyperlink" Target="https://coastadapt.com.au/" TargetMode="External"/><Relationship Id="rId97" Type="http://schemas.openxmlformats.org/officeDocument/2006/relationships/hyperlink" Target="https://www.finance.gov.au/government/climate-action-government-operations/commonwealth-emission-reporting/net-zero-government-operations-annual-progress-report" TargetMode="External"/><Relationship Id="rId104" Type="http://schemas.openxmlformats.org/officeDocument/2006/relationships/hyperlink" Target="https://circularaustralia.com.au/report/circular-economy-finance-report-and-guide/" TargetMode="External"/><Relationship Id="rId120" Type="http://schemas.openxmlformats.org/officeDocument/2006/relationships/hyperlink" Target="https://www.accountingforsustainability.org/en/knowledge-hub/guides/aligning-financial-planning-and-transition-planning.html" TargetMode="External"/><Relationship Id="rId125" Type="http://schemas.openxmlformats.org/officeDocument/2006/relationships/hyperlink" Target="https://www.smithschool.ox.ac.uk/research/oxford-offsetting-principles" TargetMode="External"/><Relationship Id="rId7" Type="http://schemas.openxmlformats.org/officeDocument/2006/relationships/hyperlink" Target="https://www.acs.gov.au/pages/national-climate-risk-assessment" TargetMode="External"/><Relationship Id="rId71" Type="http://schemas.openxmlformats.org/officeDocument/2006/relationships/hyperlink" Target="https://www.wa.gov.au/service/environment/environment-information-services/clean-energy-future-fund" TargetMode="External"/><Relationship Id="rId92" Type="http://schemas.openxmlformats.org/officeDocument/2006/relationships/hyperlink" Target="https://www.ngfs.net/en/publications-and-statistics/publications/ngfs-input-paper-integrating-adaptation-and-resilience-transition-plans" TargetMode="External"/><Relationship Id="rId2" Type="http://schemas.openxmlformats.org/officeDocument/2006/relationships/hyperlink" Target="https://treasury.gov.au/publication/p2024-536290" TargetMode="External"/><Relationship Id="rId29" Type="http://schemas.openxmlformats.org/officeDocument/2006/relationships/hyperlink" Target="https://www.rba.gov.au/publications/bulletin/2023/jun/climate-change-and-financial-risk.html" TargetMode="External"/><Relationship Id="rId24" Type="http://schemas.openxmlformats.org/officeDocument/2006/relationships/hyperlink" Target="https://auasb.gov.au/implementation-support/sustainability-assurance/" TargetMode="External"/><Relationship Id="rId40" Type="http://schemas.openxmlformats.org/officeDocument/2006/relationships/hyperlink" Target="https://apps.ipcc.ch/glossary/" TargetMode="External"/><Relationship Id="rId45" Type="http://schemas.openxmlformats.org/officeDocument/2006/relationships/hyperlink" Target="https://tnfd.global/publication/guidance-on-nature-in-transition-plans/" TargetMode="External"/><Relationship Id="rId66" Type="http://schemas.openxmlformats.org/officeDocument/2006/relationships/hyperlink" Target="https://www.energy.nsw.gov.au/nsw-plans-and-progress/government-strategies-and-frameworks/taking-action-climate-change/nsw" TargetMode="External"/><Relationship Id="rId87" Type="http://schemas.openxmlformats.org/officeDocument/2006/relationships/hyperlink" Target="https://snapshotclimate.com.au/explore/?utm_source=chatgpt.com" TargetMode="External"/><Relationship Id="rId110" Type="http://schemas.openxmlformats.org/officeDocument/2006/relationships/hyperlink" Target="https://www.dcceew.gov.au/energy/renewable/community-engagement/transmission" TargetMode="External"/><Relationship Id="rId115" Type="http://schemas.openxmlformats.org/officeDocument/2006/relationships/hyperlink" Target="https://www.firstnationscleanenergy.org.au/network_guides" TargetMode="External"/><Relationship Id="rId131" Type="http://schemas.openxmlformats.org/officeDocument/2006/relationships/hyperlink" Target="https://cer.gov.au/schemes/guarantee-origin-scheme/renewable-electricity-guarantee-origin" TargetMode="External"/><Relationship Id="rId61" Type="http://schemas.openxmlformats.org/officeDocument/2006/relationships/hyperlink" Target="https://www.ifrs.org/sustainability/knowledge-hub/transition-plan-taskforce-resources/" TargetMode="External"/><Relationship Id="rId82" Type="http://schemas.openxmlformats.org/officeDocument/2006/relationships/hyperlink" Target="https://www.dcceew.gov.au/energy/renewable/target-scheme" TargetMode="External"/><Relationship Id="rId19" Type="http://schemas.openxmlformats.org/officeDocument/2006/relationships/hyperlink" Target="https://aasb.gov.au/research-resources/knowledge-hub/aasb-s2-knowledge-hub/" TargetMode="External"/><Relationship Id="rId14" Type="http://schemas.openxmlformats.org/officeDocument/2006/relationships/hyperlink" Target="https://itpn.global/asset-owners-sector-guidance/" TargetMode="External"/><Relationship Id="rId30" Type="http://schemas.openxmlformats.org/officeDocument/2006/relationships/hyperlink" Target="https://www.accountingforsustainability.org/engaging-the-board-and-executive-management-tools.html" TargetMode="External"/><Relationship Id="rId35" Type="http://schemas.openxmlformats.org/officeDocument/2006/relationships/hyperlink" Target="https://www.iso.org/standard/65694.html" TargetMode="External"/><Relationship Id="rId56" Type="http://schemas.openxmlformats.org/officeDocument/2006/relationships/hyperlink" Target="https://carbonaccountingfinancials.com/" TargetMode="External"/><Relationship Id="rId77" Type="http://schemas.openxmlformats.org/officeDocument/2006/relationships/hyperlink" Target="https://australianadaptationdatabase.unimelb.edu.au/" TargetMode="External"/><Relationship Id="rId100" Type="http://schemas.openxmlformats.org/officeDocument/2006/relationships/hyperlink" Target="https://www.netzero.gov.au/energy-industry-jobs-plan" TargetMode="External"/><Relationship Id="rId105" Type="http://schemas.openxmlformats.org/officeDocument/2006/relationships/hyperlink" Target="https://www.ifc.org/en/insights-reports/2025/harmonized-circular-economy-finance-guidelines" TargetMode="External"/><Relationship Id="rId126" Type="http://schemas.openxmlformats.org/officeDocument/2006/relationships/hyperlink" Target="https://www.climateactive.org.au/be-climate-active/tools-and-resources/technical-guidance-manual" TargetMode="External"/><Relationship Id="rId8" Type="http://schemas.openxmlformats.org/officeDocument/2006/relationships/hyperlink" Target="https://www.dcceew.gov.au/climate-change/publications/national-climate-scenario-guidance" TargetMode="External"/><Relationship Id="rId51" Type="http://schemas.openxmlformats.org/officeDocument/2006/relationships/hyperlink" Target="https://cer.gov.au/schemes/national-greenhouse-and-energy-reporting-scheme" TargetMode="External"/><Relationship Id="rId72" Type="http://schemas.openxmlformats.org/officeDocument/2006/relationships/hyperlink" Target="https://www.energymining.sa.gov.au/public-consultations/recent-consultations/retailer-energy-productivity-scheme-2026-2030" TargetMode="External"/><Relationship Id="rId93" Type="http://schemas.openxmlformats.org/officeDocument/2006/relationships/hyperlink" Target="https://www.wbcsd.org/resources/a-practical-guide-on-transition-plan-dependencies/" TargetMode="External"/><Relationship Id="rId98" Type="http://schemas.openxmlformats.org/officeDocument/2006/relationships/hyperlink" Target="https://www.wbcsd.org/resources/integrated-transition-planning-a-short-introduction/" TargetMode="External"/><Relationship Id="rId121" Type="http://schemas.openxmlformats.org/officeDocument/2006/relationships/hyperlink" Target="https://www.iso.org/standard/37456.html" TargetMode="External"/><Relationship Id="rId3" Type="http://schemas.openxmlformats.org/officeDocument/2006/relationships/hyperlink" Target="https://itpn.global/tpt-transition-planning-cycle/" TargetMode="External"/><Relationship Id="rId25" Type="http://schemas.openxmlformats.org/officeDocument/2006/relationships/hyperlink" Target="https://www.accc.gov.au/about-us/publications/a-guide-to-making-environmental-claims-for-business" TargetMode="External"/><Relationship Id="rId46" Type="http://schemas.openxmlformats.org/officeDocument/2006/relationships/hyperlink" Target="https://www.iea.org/reports/global-energy-and-climate-model/net-zero-emissions-by-2050-scenario-nze" TargetMode="External"/><Relationship Id="rId67" Type="http://schemas.openxmlformats.org/officeDocument/2006/relationships/hyperlink" Target="https://www.recfit.tas.gov.au/grants_programs/climate-change/business_and_industry" TargetMode="External"/><Relationship Id="rId116" Type="http://schemas.openxmlformats.org/officeDocument/2006/relationships/hyperlink" Target="https://www.ifrs.org/sustainability/knowledge-hub/transition-plan-taskforce-resources/" TargetMode="External"/><Relationship Id="rId20" Type="http://schemas.openxmlformats.org/officeDocument/2006/relationships/hyperlink" Target="https://www.asic.gov.au/regulatory-resources/sustainability-reporting/" TargetMode="External"/><Relationship Id="rId41" Type="http://schemas.openxmlformats.org/officeDocument/2006/relationships/hyperlink" Target="https://itpn.global/tpt-adaptation-working-group/" TargetMode="External"/><Relationship Id="rId62" Type="http://schemas.openxmlformats.org/officeDocument/2006/relationships/hyperlink" Target="https://sciencebasedtargets.org/" TargetMode="External"/><Relationship Id="rId83" Type="http://schemas.openxmlformats.org/officeDocument/2006/relationships/hyperlink" Target="https://www.dcceew.gov.au/energy/renewable/capacity-investment-scheme" TargetMode="External"/><Relationship Id="rId88" Type="http://schemas.openxmlformats.org/officeDocument/2006/relationships/hyperlink" Target="https://www.climatechangeauthority.gov.au/climate-policy-tracker?utm_source=chatgpt.com" TargetMode="External"/><Relationship Id="rId111" Type="http://schemas.openxmlformats.org/officeDocument/2006/relationships/hyperlink" Target="https://www.agriculture.gov.au/abares/forestsaustralia/forest-data-maps-and-tools/spatial-data/indigenous-land-and-forest" TargetMode="External"/><Relationship Id="rId132" Type="http://schemas.openxmlformats.org/officeDocument/2006/relationships/hyperlink" Target="https://cer.gov.au/markets/renewable-energy-certificates" TargetMode="External"/><Relationship Id="rId15" Type="http://schemas.openxmlformats.org/officeDocument/2006/relationships/hyperlink" Target="https://itpn.global/asset-managers-sector-guidance/" TargetMode="External"/><Relationship Id="rId36" Type="http://schemas.openxmlformats.org/officeDocument/2006/relationships/hyperlink" Target="https://www.asic.gov.au/regulatory-resources/sustainability-reporting/educational-modules/" TargetMode="External"/><Relationship Id="rId57" Type="http://schemas.openxmlformats.org/officeDocument/2006/relationships/hyperlink" Target="https://ghgprotocol.org/standards-guidance" TargetMode="External"/><Relationship Id="rId106" Type="http://schemas.openxmlformats.org/officeDocument/2006/relationships/hyperlink" Target="https://igcc.org.au/rem-report/" TargetMode="External"/><Relationship Id="rId127" Type="http://schemas.openxmlformats.org/officeDocument/2006/relationships/hyperlink" Target="https://cer.gov.au/schemes/australian-carbon-credit-unit-scheme" TargetMode="External"/><Relationship Id="rId10" Type="http://schemas.openxmlformats.org/officeDocument/2006/relationships/hyperlink" Target="https://www.ifrs.org/news-and-events/news/2025/06/ifrs-publishes-guidance-disclosures-transition-plans/" TargetMode="External"/><Relationship Id="rId31" Type="http://schemas.openxmlformats.org/officeDocument/2006/relationships/hyperlink" Target="https://www.energy-transitions.org/publications/pathways-to-industrial-decarbonisation/" TargetMode="External"/><Relationship Id="rId52" Type="http://schemas.openxmlformats.org/officeDocument/2006/relationships/hyperlink" Target="https://ghgprotocol.org/corporate-standard" TargetMode="External"/><Relationship Id="rId73" Type="http://schemas.openxmlformats.org/officeDocument/2006/relationships/hyperlink" Target="https://environment.nt.gov.au/environment/climate-change/climate-change-in-the-northern-territory" TargetMode="External"/><Relationship Id="rId78" Type="http://schemas.openxmlformats.org/officeDocument/2006/relationships/hyperlink" Target="https://www.climatebonds.net/data-insights/publications/climate-bonds-resilience-taxonomy" TargetMode="External"/><Relationship Id="rId94" Type="http://schemas.openxmlformats.org/officeDocument/2006/relationships/hyperlink" Target="https://www.iso.org/netzero" TargetMode="External"/><Relationship Id="rId99" Type="http://schemas.openxmlformats.org/officeDocument/2006/relationships/hyperlink" Target="https://igcc.org.au/just-transition-report/" TargetMode="External"/><Relationship Id="rId101" Type="http://schemas.openxmlformats.org/officeDocument/2006/relationships/hyperlink" Target="https://www.reconciliation.org.au/reconciliation-action-plans/about-raps/" TargetMode="External"/><Relationship Id="rId122" Type="http://schemas.openxmlformats.org/officeDocument/2006/relationships/hyperlink" Target="https://sciencebasedtargets.org/corporate-net-zero-standard-v2" TargetMode="External"/><Relationship Id="rId4" Type="http://schemas.openxmlformats.org/officeDocument/2006/relationships/hyperlink" Target="https://www.asfi.org.au/australian-taxonomy" TargetMode="External"/><Relationship Id="rId9" Type="http://schemas.openxmlformats.org/officeDocument/2006/relationships/hyperlink" Target="https://www.ifrs.org/sustainability/knowledge-hub/" TargetMode="External"/><Relationship Id="rId26" Type="http://schemas.openxmlformats.org/officeDocument/2006/relationships/hyperlink" Target="https://www.ngfs.net/en/publications-and-statistics/publications/ngfs-input-paper-integrating-adaptation-and-resilience-transition-plan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10.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11.xml.rels><?xml version="1.0" encoding="UTF-8" standalone="yes"?>
<Relationships xmlns="http://schemas.openxmlformats.org/package/2006/relationships"><Relationship Id="rId1" Type="http://schemas.openxmlformats.org/officeDocument/2006/relationships/image" Target="media/image3.png"/></Relationships>
</file>

<file path=word/_rels/footer12.xml.rels><?xml version="1.0" encoding="UTF-8" standalone="yes"?>
<Relationships xmlns="http://schemas.openxmlformats.org/package/2006/relationships"><Relationship Id="rId1" Type="http://schemas.openxmlformats.org/officeDocument/2006/relationships/image" Target="media/image3.png"/></Relationships>
</file>

<file path=word/_rels/footer13.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SYBrand">
  <a:themeElements>
    <a:clrScheme name="TSY Corporate">
      <a:dk1>
        <a:sysClr val="windowText" lastClr="000000"/>
      </a:dk1>
      <a:lt1>
        <a:sysClr val="window" lastClr="FFFFFF"/>
      </a:lt1>
      <a:dk2>
        <a:srgbClr val="5F5F5F"/>
      </a:dk2>
      <a:lt2>
        <a:srgbClr val="EEEEEE"/>
      </a:lt2>
      <a:accent1>
        <a:srgbClr val="2C384A"/>
      </a:accent1>
      <a:accent2>
        <a:srgbClr val="4D7861"/>
      </a:accent2>
      <a:accent3>
        <a:srgbClr val="5D779D"/>
      </a:accent3>
      <a:accent4>
        <a:srgbClr val="B1F0CF"/>
      </a:accent4>
      <a:accent5>
        <a:srgbClr val="90B6F0"/>
      </a:accent5>
      <a:accent6>
        <a:srgbClr val="F0AE81"/>
      </a:accent6>
      <a:hlink>
        <a:srgbClr val="3A6FAF"/>
      </a:hlink>
      <a:folHlink>
        <a:srgbClr val="844D9E"/>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9E77C-4213-4C54-8E41-F8834CA9B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25088</Words>
  <Characters>158808</Characters>
  <Application>Microsoft Office Word</Application>
  <DocSecurity>0</DocSecurity>
  <Lines>2561</Lines>
  <Paragraphs>1201</Paragraphs>
  <ScaleCrop>false</ScaleCrop>
  <HeadingPairs>
    <vt:vector size="2" baseType="variant">
      <vt:variant>
        <vt:lpstr>Title</vt:lpstr>
      </vt:variant>
      <vt:variant>
        <vt:i4>1</vt:i4>
      </vt:variant>
    </vt:vector>
  </HeadingPairs>
  <TitlesOfParts>
    <vt:vector size="1" baseType="lpstr">
      <vt:lpstr>Climate-related transition planning</vt:lpstr>
    </vt:vector>
  </TitlesOfParts>
  <Company/>
  <LinksUpToDate>false</LinksUpToDate>
  <CharactersWithSpaces>182695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Climate-related transition planning</dc:title>
  <dc:subject>Voluntary guidance</dc:subject>
  <dc:creator/>
  <cp:keywords/>
  <cp:lastModifiedBy/>
  <cp:revision>1</cp:revision>
  <dcterms:created xsi:type="dcterms:W3CDTF">2026-08-18T04:24:00Z</dcterms:created>
  <dcterms:modified xsi:type="dcterms:W3CDTF">2026-08-18T04:24:00Z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2026-08-18T04:24:52Z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464dd42d-7564-4b3e-a638-492ed4e407fa</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