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b/>
          <w:color w:val="461F65" w:themeColor="accent1"/>
          <w:spacing w:val="5"/>
          <w:kern w:val="28"/>
          <w:sz w:val="72"/>
          <w:szCs w:val="52"/>
        </w:rPr>
        <w:id w:val="-385645642"/>
        <w:docPartObj>
          <w:docPartGallery w:val="Cover Pages"/>
          <w:docPartUnique/>
        </w:docPartObj>
      </w:sdtPr>
      <w:sdtEndPr>
        <w:rPr>
          <w:noProof/>
        </w:rPr>
      </w:sdtEndPr>
      <w:sdtContent>
        <w:p w14:paraId="47973690" w14:textId="2A1AB4E6" w:rsidR="00604EEF" w:rsidRPr="006D0240" w:rsidRDefault="00604EEF" w:rsidP="005103E4"/>
        <w:p w14:paraId="3612A973" w14:textId="7AC89730" w:rsidR="002A175A" w:rsidRDefault="00A91302" w:rsidP="00C53C7C">
          <w:pPr>
            <w:pStyle w:val="Title"/>
            <w:spacing w:before="0"/>
          </w:pPr>
          <w:r w:rsidRPr="00A91302">
            <w:rPr>
              <w:bCs/>
            </w:rPr>
            <w:t xml:space="preserve">Statement of </w:t>
          </w:r>
          <w:r w:rsidR="00556D80">
            <w:rPr>
              <w:bCs/>
            </w:rPr>
            <w:t>Expectations</w:t>
          </w:r>
          <w:r w:rsidR="001E0E1C">
            <w:rPr>
              <w:bCs/>
            </w:rPr>
            <w:t xml:space="preserve"> </w:t>
          </w:r>
        </w:p>
      </w:sdtContent>
    </w:sdt>
    <w:p w14:paraId="6EFB3FCF" w14:textId="7DB579E8" w:rsidR="00604EEF" w:rsidRDefault="002A175A" w:rsidP="00791B52">
      <w:pPr>
        <w:pStyle w:val="Heading1"/>
        <w:spacing w:before="0"/>
      </w:pPr>
      <w:r w:rsidRPr="002A175A">
        <w:t>Payment Times Reporting Regulator</w:t>
      </w:r>
    </w:p>
    <w:p w14:paraId="48E181A0" w14:textId="1810FD7C" w:rsidR="00C90CDA" w:rsidRDefault="0037565E" w:rsidP="004017F6">
      <w:pPr>
        <w:pStyle w:val="Heading2"/>
      </w:pPr>
      <w:r>
        <w:t>June 2026</w:t>
      </w:r>
    </w:p>
    <w:p w14:paraId="33AD3292" w14:textId="77777777" w:rsidR="00791B52" w:rsidRPr="00791B52" w:rsidRDefault="00791B52" w:rsidP="00791B52"/>
    <w:p w14:paraId="3C4ACB05" w14:textId="5ED94860" w:rsidR="004017F6" w:rsidRDefault="001A228F" w:rsidP="00DB5593">
      <w:pPr>
        <w:pStyle w:val="GRRParanumbers"/>
        <w:numPr>
          <w:ilvl w:val="0"/>
          <w:numId w:val="24"/>
        </w:numPr>
        <w:rPr>
          <w:rFonts w:ascii="Calibri" w:eastAsia="Times New Roman" w:hAnsi="Calibri" w:cs="Times New Roman"/>
          <w:color w:val="auto"/>
          <w:szCs w:val="20"/>
          <w:lang w:eastAsia="en-AU"/>
        </w:rPr>
      </w:pPr>
      <w:r w:rsidRPr="001A228F">
        <w:rPr>
          <w:rFonts w:ascii="Calibri" w:eastAsia="Times New Roman" w:hAnsi="Calibri" w:cs="Times New Roman"/>
          <w:color w:val="auto"/>
          <w:szCs w:val="20"/>
          <w:lang w:eastAsia="en-AU"/>
        </w:rPr>
        <w:t xml:space="preserve">In this Statement of Expectations, I outline the Australian Government’s expectations for how the Payment Times Reporting Regulator </w:t>
      </w:r>
      <w:r w:rsidRPr="00212F86">
        <w:rPr>
          <w:rFonts w:ascii="Calibri" w:eastAsia="Times New Roman" w:hAnsi="Calibri" w:cs="Times New Roman"/>
          <w:color w:val="auto"/>
          <w:szCs w:val="20"/>
          <w:lang w:eastAsia="en-AU"/>
        </w:rPr>
        <w:t>(the</w:t>
      </w:r>
      <w:r w:rsidRPr="001A228F">
        <w:rPr>
          <w:rFonts w:ascii="Calibri" w:eastAsia="Times New Roman" w:hAnsi="Calibri" w:cs="Times New Roman"/>
          <w:b/>
          <w:bCs/>
          <w:color w:val="auto"/>
          <w:szCs w:val="20"/>
          <w:lang w:eastAsia="en-AU"/>
        </w:rPr>
        <w:t> Regulator</w:t>
      </w:r>
      <w:r w:rsidRPr="001A228F">
        <w:rPr>
          <w:rFonts w:ascii="Calibri" w:eastAsia="Times New Roman" w:hAnsi="Calibri" w:cs="Times New Roman"/>
          <w:color w:val="auto"/>
          <w:szCs w:val="20"/>
          <w:lang w:eastAsia="en-AU"/>
        </w:rPr>
        <w:t xml:space="preserve">) will achieve their objectives, carry out their functions and exercise their powers. </w:t>
      </w:r>
      <w:r w:rsidR="00F03F09">
        <w:rPr>
          <w:rFonts w:ascii="Calibri" w:eastAsia="Times New Roman" w:hAnsi="Calibri" w:cs="Times New Roman"/>
          <w:color w:val="auto"/>
          <w:szCs w:val="20"/>
          <w:lang w:eastAsia="en-AU"/>
        </w:rPr>
        <w:t xml:space="preserve">The Statement of Expectations is subject to </w:t>
      </w:r>
      <w:r w:rsidRPr="001A228F">
        <w:rPr>
          <w:rFonts w:ascii="Calibri" w:eastAsia="Times New Roman" w:hAnsi="Calibri" w:cs="Times New Roman"/>
          <w:color w:val="auto"/>
          <w:szCs w:val="20"/>
          <w:lang w:eastAsia="en-AU"/>
        </w:rPr>
        <w:t xml:space="preserve">the </w:t>
      </w:r>
      <w:r w:rsidRPr="00FA20E3">
        <w:rPr>
          <w:rFonts w:ascii="Calibri" w:eastAsia="Times New Roman" w:hAnsi="Calibri" w:cs="Times New Roman"/>
          <w:i/>
          <w:iCs/>
          <w:color w:val="auto"/>
          <w:szCs w:val="20"/>
          <w:lang w:eastAsia="en-AU"/>
        </w:rPr>
        <w:t>Payment Times Reporting Act</w:t>
      </w:r>
      <w:r w:rsidR="00593B6D">
        <w:rPr>
          <w:rFonts w:ascii="Calibri" w:eastAsia="Times New Roman" w:hAnsi="Calibri" w:cs="Times New Roman"/>
          <w:i/>
          <w:iCs/>
          <w:color w:val="auto"/>
          <w:szCs w:val="20"/>
          <w:lang w:eastAsia="en-AU"/>
        </w:rPr>
        <w:t> </w:t>
      </w:r>
      <w:r w:rsidRPr="00FA20E3">
        <w:rPr>
          <w:rFonts w:ascii="Calibri" w:eastAsia="Times New Roman" w:hAnsi="Calibri" w:cs="Times New Roman"/>
          <w:i/>
          <w:iCs/>
          <w:color w:val="auto"/>
          <w:szCs w:val="20"/>
          <w:lang w:eastAsia="en-AU"/>
        </w:rPr>
        <w:t>2020</w:t>
      </w:r>
      <w:r w:rsidRPr="001A228F">
        <w:rPr>
          <w:rFonts w:ascii="Calibri" w:eastAsia="Times New Roman" w:hAnsi="Calibri" w:cs="Times New Roman"/>
          <w:color w:val="auto"/>
          <w:szCs w:val="20"/>
          <w:lang w:eastAsia="en-AU"/>
        </w:rPr>
        <w:t xml:space="preserve"> (</w:t>
      </w:r>
      <w:r w:rsidRPr="00212F86">
        <w:rPr>
          <w:rFonts w:ascii="Calibri" w:eastAsia="Times New Roman" w:hAnsi="Calibri" w:cs="Times New Roman"/>
          <w:color w:val="auto"/>
          <w:szCs w:val="20"/>
          <w:lang w:eastAsia="en-AU"/>
        </w:rPr>
        <w:t>the </w:t>
      </w:r>
      <w:r w:rsidRPr="00212F86">
        <w:rPr>
          <w:rFonts w:ascii="Calibri" w:eastAsia="Times New Roman" w:hAnsi="Calibri" w:cs="Times New Roman"/>
          <w:b/>
          <w:bCs/>
          <w:color w:val="auto"/>
          <w:szCs w:val="20"/>
          <w:lang w:eastAsia="en-AU"/>
        </w:rPr>
        <w:t>Act</w:t>
      </w:r>
      <w:r w:rsidRPr="001A228F">
        <w:rPr>
          <w:rFonts w:ascii="Calibri" w:eastAsia="Times New Roman" w:hAnsi="Calibri" w:cs="Times New Roman"/>
          <w:color w:val="auto"/>
          <w:szCs w:val="20"/>
          <w:lang w:eastAsia="en-AU"/>
        </w:rPr>
        <w:t>) and other legislation that applies to the Regulator.</w:t>
      </w:r>
    </w:p>
    <w:p w14:paraId="35456AB2" w14:textId="097AE35B" w:rsidR="003A5CCE" w:rsidRDefault="00071263" w:rsidP="003A5CCE">
      <w:pPr>
        <w:pStyle w:val="Heading2"/>
      </w:pPr>
      <w:r w:rsidRPr="00071263">
        <w:rPr>
          <w:bCs/>
        </w:rPr>
        <w:t>Payment Times Reporting Regulator’s Role</w:t>
      </w:r>
    </w:p>
    <w:p w14:paraId="78D7C604" w14:textId="06B93EEB" w:rsidR="004017F6" w:rsidRDefault="00694136" w:rsidP="00DB5593">
      <w:pPr>
        <w:pStyle w:val="GRRParanumbers"/>
        <w:numPr>
          <w:ilvl w:val="0"/>
          <w:numId w:val="24"/>
        </w:numPr>
        <w:rPr>
          <w:rFonts w:ascii="Calibri" w:eastAsia="Times New Roman" w:hAnsi="Calibri" w:cs="Times New Roman"/>
          <w:color w:val="auto"/>
          <w:szCs w:val="20"/>
          <w:lang w:eastAsia="en-AU"/>
        </w:rPr>
      </w:pPr>
      <w:r w:rsidRPr="00694136">
        <w:rPr>
          <w:rFonts w:ascii="Calibri" w:eastAsia="Times New Roman" w:hAnsi="Calibri" w:cs="Times New Roman"/>
          <w:color w:val="auto"/>
          <w:szCs w:val="20"/>
          <w:lang w:eastAsia="en-AU"/>
        </w:rPr>
        <w:t>The Regulator is responsible for administ</w:t>
      </w:r>
      <w:r w:rsidR="000268AA">
        <w:rPr>
          <w:rFonts w:ascii="Calibri" w:eastAsia="Times New Roman" w:hAnsi="Calibri" w:cs="Times New Roman"/>
          <w:color w:val="auto"/>
          <w:szCs w:val="20"/>
          <w:lang w:eastAsia="en-AU"/>
        </w:rPr>
        <w:t xml:space="preserve">ering </w:t>
      </w:r>
      <w:r w:rsidRPr="00694136">
        <w:rPr>
          <w:rFonts w:ascii="Calibri" w:eastAsia="Times New Roman" w:hAnsi="Calibri" w:cs="Times New Roman"/>
          <w:color w:val="auto"/>
          <w:szCs w:val="20"/>
          <w:lang w:eastAsia="en-AU"/>
        </w:rPr>
        <w:t xml:space="preserve">the </w:t>
      </w:r>
      <w:r w:rsidRPr="000268AA">
        <w:rPr>
          <w:rFonts w:ascii="Calibri" w:eastAsia="Times New Roman" w:hAnsi="Calibri" w:cs="Times New Roman"/>
          <w:color w:val="auto"/>
          <w:szCs w:val="20"/>
          <w:lang w:eastAsia="en-AU"/>
        </w:rPr>
        <w:t>Act</w:t>
      </w:r>
      <w:r w:rsidR="00F03F09">
        <w:rPr>
          <w:rFonts w:ascii="Calibri" w:eastAsia="Times New Roman" w:hAnsi="Calibri" w:cs="Times New Roman"/>
          <w:color w:val="auto"/>
          <w:szCs w:val="20"/>
          <w:lang w:eastAsia="en-AU"/>
        </w:rPr>
        <w:t>,</w:t>
      </w:r>
      <w:r w:rsidR="000268AA">
        <w:rPr>
          <w:rFonts w:ascii="Calibri" w:eastAsia="Times New Roman" w:hAnsi="Calibri" w:cs="Times New Roman"/>
          <w:color w:val="auto"/>
          <w:szCs w:val="20"/>
          <w:lang w:eastAsia="en-AU"/>
        </w:rPr>
        <w:t xml:space="preserve"> </w:t>
      </w:r>
      <w:r w:rsidR="008B5D52" w:rsidRPr="008B5D52">
        <w:rPr>
          <w:rFonts w:ascii="Calibri" w:eastAsia="Times New Roman" w:hAnsi="Calibri" w:cs="Times New Roman"/>
          <w:color w:val="auto"/>
          <w:szCs w:val="20"/>
          <w:lang w:eastAsia="en-AU"/>
        </w:rPr>
        <w:t>which provides a regulatory framework to improve payment times for small businesses by fostering a culture of prompt payment practices and making transparent the payment times and practices of large business to their small business suppliers.</w:t>
      </w:r>
    </w:p>
    <w:p w14:paraId="70D81033" w14:textId="61664E2B" w:rsidR="008B5D52" w:rsidRDefault="008B5D52" w:rsidP="00DB5593">
      <w:pPr>
        <w:pStyle w:val="GRRParanumbers"/>
        <w:numPr>
          <w:ilvl w:val="0"/>
          <w:numId w:val="24"/>
        </w:numPr>
        <w:rPr>
          <w:rFonts w:ascii="Calibri" w:eastAsia="Times New Roman" w:hAnsi="Calibri" w:cs="Times New Roman"/>
          <w:color w:val="auto"/>
          <w:szCs w:val="20"/>
          <w:lang w:eastAsia="en-AU"/>
        </w:rPr>
      </w:pPr>
      <w:r>
        <w:rPr>
          <w:rFonts w:ascii="Calibri" w:eastAsia="Times New Roman" w:hAnsi="Calibri" w:cs="Times New Roman"/>
          <w:color w:val="auto"/>
          <w:szCs w:val="20"/>
          <w:lang w:eastAsia="en-AU"/>
        </w:rPr>
        <w:t>I expect the Regulator to perform their regulatory functions by:</w:t>
      </w:r>
    </w:p>
    <w:p w14:paraId="2E7BBEDF" w14:textId="6370B808" w:rsidR="00824C1C" w:rsidRPr="00824C1C" w:rsidRDefault="008B5D52" w:rsidP="009E7BDA">
      <w:pPr>
        <w:pStyle w:val="GRRParanumbers"/>
        <w:numPr>
          <w:ilvl w:val="1"/>
          <w:numId w:val="24"/>
        </w:numPr>
        <w:ind w:left="845" w:hanging="488"/>
        <w:rPr>
          <w:rFonts w:ascii="Calibri" w:eastAsia="Times New Roman" w:hAnsi="Calibri" w:cs="Times New Roman"/>
          <w:color w:val="auto"/>
          <w:szCs w:val="20"/>
          <w:lang w:eastAsia="en-AU"/>
        </w:rPr>
      </w:pPr>
      <w:r>
        <w:rPr>
          <w:rFonts w:ascii="Calibri" w:eastAsia="Times New Roman" w:hAnsi="Calibri" w:cs="Times New Roman"/>
          <w:color w:val="auto"/>
          <w:szCs w:val="20"/>
          <w:lang w:eastAsia="en-AU"/>
        </w:rPr>
        <w:t xml:space="preserve">maintaining </w:t>
      </w:r>
      <w:r w:rsidR="00824C1C" w:rsidRPr="00824C1C">
        <w:rPr>
          <w:rFonts w:ascii="Calibri" w:eastAsia="Times New Roman" w:hAnsi="Calibri" w:cs="Times New Roman"/>
          <w:color w:val="auto"/>
          <w:szCs w:val="20"/>
          <w:lang w:eastAsia="en-AU"/>
        </w:rPr>
        <w:t xml:space="preserve">the Payment Times Reports Register (the </w:t>
      </w:r>
      <w:r w:rsidR="00824C1C" w:rsidRPr="002D5B4C">
        <w:rPr>
          <w:rFonts w:ascii="Calibri" w:eastAsia="Times New Roman" w:hAnsi="Calibri" w:cs="Times New Roman"/>
          <w:b/>
          <w:bCs/>
          <w:color w:val="auto"/>
          <w:szCs w:val="20"/>
          <w:lang w:eastAsia="en-AU"/>
        </w:rPr>
        <w:t>Register</w:t>
      </w:r>
      <w:r w:rsidR="00824C1C" w:rsidRPr="00824C1C">
        <w:rPr>
          <w:rFonts w:ascii="Calibri" w:eastAsia="Times New Roman" w:hAnsi="Calibri" w:cs="Times New Roman"/>
          <w:color w:val="auto"/>
          <w:szCs w:val="20"/>
          <w:lang w:eastAsia="en-AU"/>
        </w:rPr>
        <w:t>)</w:t>
      </w:r>
    </w:p>
    <w:p w14:paraId="5C563558" w14:textId="6E461663" w:rsidR="00824C1C" w:rsidRPr="00824C1C" w:rsidRDefault="00824C1C" w:rsidP="009E7BDA">
      <w:pPr>
        <w:pStyle w:val="GRRParanumbers"/>
        <w:numPr>
          <w:ilvl w:val="1"/>
          <w:numId w:val="24"/>
        </w:numPr>
        <w:ind w:left="845"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undertaking activities to identify and address non-compliance</w:t>
      </w:r>
      <w:r w:rsidR="008B5D52">
        <w:rPr>
          <w:rFonts w:ascii="Calibri" w:eastAsia="Times New Roman" w:hAnsi="Calibri" w:cs="Times New Roman"/>
          <w:color w:val="auto"/>
          <w:szCs w:val="20"/>
          <w:lang w:eastAsia="en-AU"/>
        </w:rPr>
        <w:t xml:space="preserve"> by </w:t>
      </w:r>
      <w:r w:rsidR="009037BC" w:rsidRPr="009037BC">
        <w:rPr>
          <w:rFonts w:ascii="Calibri" w:eastAsia="Times New Roman" w:hAnsi="Calibri" w:cs="Times New Roman"/>
          <w:color w:val="auto"/>
          <w:szCs w:val="20"/>
          <w:lang w:eastAsia="en-AU"/>
        </w:rPr>
        <w:t>entities required to report under the Act by using their legislative powers</w:t>
      </w:r>
    </w:p>
    <w:p w14:paraId="724963FB" w14:textId="3D39E1D0" w:rsidR="00824C1C" w:rsidRDefault="00824C1C" w:rsidP="009E7BDA">
      <w:pPr>
        <w:pStyle w:val="GRRParanumbers"/>
        <w:numPr>
          <w:ilvl w:val="1"/>
          <w:numId w:val="24"/>
        </w:numPr>
        <w:ind w:left="851"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providing</w:t>
      </w:r>
      <w:r w:rsidR="009037BC">
        <w:rPr>
          <w:rFonts w:ascii="Calibri" w:eastAsia="Times New Roman" w:hAnsi="Calibri" w:cs="Times New Roman"/>
          <w:color w:val="auto"/>
          <w:szCs w:val="20"/>
          <w:lang w:eastAsia="en-AU"/>
        </w:rPr>
        <w:t xml:space="preserve"> </w:t>
      </w:r>
      <w:r w:rsidR="009037BC" w:rsidRPr="009037BC">
        <w:rPr>
          <w:rFonts w:ascii="Calibri" w:eastAsia="Times New Roman" w:hAnsi="Calibri" w:cs="Times New Roman"/>
          <w:color w:val="auto"/>
          <w:szCs w:val="20"/>
          <w:lang w:eastAsia="en-AU"/>
        </w:rPr>
        <w:t xml:space="preserve">tools and resources for regulated entities to submit payment times reports including guidance material, an online </w:t>
      </w:r>
      <w:r w:rsidR="006A3361" w:rsidRPr="009037BC">
        <w:rPr>
          <w:rFonts w:ascii="Calibri" w:eastAsia="Times New Roman" w:hAnsi="Calibri" w:cs="Times New Roman"/>
          <w:color w:val="auto"/>
          <w:szCs w:val="20"/>
          <w:lang w:eastAsia="en-AU"/>
        </w:rPr>
        <w:t>portal,</w:t>
      </w:r>
      <w:r w:rsidR="009037BC" w:rsidRPr="009037BC">
        <w:rPr>
          <w:rFonts w:ascii="Calibri" w:eastAsia="Times New Roman" w:hAnsi="Calibri" w:cs="Times New Roman"/>
          <w:color w:val="auto"/>
          <w:szCs w:val="20"/>
          <w:lang w:eastAsia="en-AU"/>
        </w:rPr>
        <w:t xml:space="preserve"> and a small business identification tool</w:t>
      </w:r>
    </w:p>
    <w:p w14:paraId="56626743" w14:textId="387BE3CC" w:rsidR="009037BC" w:rsidRDefault="00C17879" w:rsidP="009E7BDA">
      <w:pPr>
        <w:pStyle w:val="GRRParanumbers"/>
        <w:numPr>
          <w:ilvl w:val="1"/>
          <w:numId w:val="24"/>
        </w:numPr>
        <w:ind w:left="851" w:hanging="488"/>
        <w:rPr>
          <w:rFonts w:ascii="Calibri" w:eastAsia="Times New Roman" w:hAnsi="Calibri" w:cs="Times New Roman"/>
          <w:color w:val="auto"/>
          <w:szCs w:val="20"/>
          <w:lang w:eastAsia="en-AU"/>
        </w:rPr>
      </w:pPr>
      <w:r w:rsidRPr="00C17879">
        <w:rPr>
          <w:rFonts w:ascii="Calibri" w:eastAsia="Times New Roman" w:hAnsi="Calibri" w:cs="Times New Roman"/>
          <w:color w:val="auto"/>
          <w:szCs w:val="20"/>
          <w:lang w:eastAsia="en-AU"/>
        </w:rPr>
        <w:t>efficiently deliver</w:t>
      </w:r>
      <w:r w:rsidR="00F03F09">
        <w:rPr>
          <w:rFonts w:ascii="Calibri" w:eastAsia="Times New Roman" w:hAnsi="Calibri" w:cs="Times New Roman"/>
          <w:color w:val="auto"/>
          <w:szCs w:val="20"/>
          <w:lang w:eastAsia="en-AU"/>
        </w:rPr>
        <w:t>ing</w:t>
      </w:r>
      <w:r w:rsidRPr="00C17879">
        <w:rPr>
          <w:rFonts w:ascii="Calibri" w:eastAsia="Times New Roman" w:hAnsi="Calibri" w:cs="Times New Roman"/>
          <w:color w:val="auto"/>
          <w:szCs w:val="20"/>
          <w:lang w:eastAsia="en-AU"/>
        </w:rPr>
        <w:t xml:space="preserve"> ancillary regulatory functions provided in the Act, including determining applications made by regulated entities, and</w:t>
      </w:r>
    </w:p>
    <w:p w14:paraId="0EFA0766" w14:textId="04693C4D" w:rsidR="00C17879" w:rsidRPr="00824C1C" w:rsidRDefault="00C17879" w:rsidP="009E7BDA">
      <w:pPr>
        <w:pStyle w:val="GRRParanumbers"/>
        <w:numPr>
          <w:ilvl w:val="1"/>
          <w:numId w:val="24"/>
        </w:numPr>
        <w:ind w:left="851" w:hanging="488"/>
        <w:rPr>
          <w:rFonts w:ascii="Calibri" w:eastAsia="Times New Roman" w:hAnsi="Calibri" w:cs="Times New Roman"/>
          <w:color w:val="auto"/>
          <w:szCs w:val="20"/>
          <w:lang w:eastAsia="en-AU"/>
        </w:rPr>
      </w:pPr>
      <w:r w:rsidRPr="00C17879">
        <w:rPr>
          <w:rFonts w:ascii="Calibri" w:eastAsia="Times New Roman" w:hAnsi="Calibri" w:cs="Times New Roman"/>
          <w:color w:val="auto"/>
          <w:szCs w:val="20"/>
          <w:lang w:eastAsia="en-AU"/>
        </w:rPr>
        <w:t>providing tools and resources that enhance transparency by making Register data available in a format that</w:t>
      </w:r>
      <w:r w:rsidR="0011734C">
        <w:rPr>
          <w:rFonts w:ascii="Calibri" w:eastAsia="Times New Roman" w:hAnsi="Calibri" w:cs="Times New Roman"/>
          <w:color w:val="auto"/>
          <w:szCs w:val="20"/>
          <w:lang w:eastAsia="en-AU"/>
        </w:rPr>
        <w:t>:</w:t>
      </w:r>
    </w:p>
    <w:p w14:paraId="254F696A" w14:textId="133BA631" w:rsidR="00EE0A67" w:rsidRPr="00EE0A67" w:rsidRDefault="001C5111" w:rsidP="002107BA">
      <w:pPr>
        <w:pStyle w:val="GRRParanumbers"/>
        <w:numPr>
          <w:ilvl w:val="2"/>
          <w:numId w:val="24"/>
        </w:numPr>
        <w:ind w:left="1702" w:hanging="851"/>
        <w:rPr>
          <w:rFonts w:ascii="Calibri" w:eastAsia="Times New Roman" w:hAnsi="Calibri" w:cs="Times New Roman"/>
          <w:color w:val="auto"/>
          <w:szCs w:val="20"/>
          <w:lang w:eastAsia="en-AU"/>
        </w:rPr>
      </w:pPr>
      <w:r w:rsidRPr="001C5111">
        <w:rPr>
          <w:rFonts w:ascii="Calibri" w:eastAsia="Times New Roman" w:hAnsi="Calibri" w:cs="Times New Roman"/>
          <w:color w:val="auto"/>
          <w:szCs w:val="20"/>
          <w:lang w:eastAsia="en-AU"/>
        </w:rPr>
        <w:t>is easy for small business suppliers to access so they can make more informed decisions regarding large business customers, and</w:t>
      </w:r>
    </w:p>
    <w:p w14:paraId="728BD521" w14:textId="1ACA85BD" w:rsidR="00EE0A67" w:rsidRDefault="007B0C81" w:rsidP="000B3792">
      <w:pPr>
        <w:pStyle w:val="GRRParanumbers"/>
        <w:numPr>
          <w:ilvl w:val="2"/>
          <w:numId w:val="24"/>
        </w:numPr>
        <w:ind w:left="1702" w:hanging="851"/>
        <w:rPr>
          <w:rFonts w:ascii="Calibri" w:eastAsia="Times New Roman" w:hAnsi="Calibri" w:cs="Times New Roman"/>
          <w:color w:val="auto"/>
          <w:szCs w:val="20"/>
          <w:lang w:eastAsia="en-AU"/>
        </w:rPr>
      </w:pPr>
      <w:r w:rsidRPr="007B0C81">
        <w:rPr>
          <w:rFonts w:ascii="Calibri" w:eastAsia="Times New Roman" w:hAnsi="Calibri" w:cs="Times New Roman"/>
          <w:color w:val="auto"/>
          <w:szCs w:val="20"/>
          <w:lang w:eastAsia="en-AU"/>
        </w:rPr>
        <w:t>can support initiatives that incentivise improvements to payment times to small business.</w:t>
      </w:r>
    </w:p>
    <w:p w14:paraId="4001DE7F" w14:textId="1DB6EC87" w:rsidR="007B0C81" w:rsidRPr="00EE0A67" w:rsidRDefault="00755B60" w:rsidP="00755B60">
      <w:pPr>
        <w:pStyle w:val="GRRParanumbers"/>
        <w:numPr>
          <w:ilvl w:val="0"/>
          <w:numId w:val="24"/>
        </w:numPr>
        <w:rPr>
          <w:rFonts w:ascii="Calibri" w:eastAsia="Times New Roman" w:hAnsi="Calibri" w:cs="Times New Roman"/>
          <w:color w:val="auto"/>
          <w:szCs w:val="20"/>
          <w:lang w:eastAsia="en-AU"/>
        </w:rPr>
      </w:pPr>
      <w:r w:rsidRPr="00755B60">
        <w:rPr>
          <w:rFonts w:ascii="Calibri" w:eastAsia="Times New Roman" w:hAnsi="Calibri" w:cs="Times New Roman"/>
          <w:color w:val="auto"/>
          <w:szCs w:val="20"/>
          <w:lang w:eastAsia="en-AU"/>
        </w:rPr>
        <w:t xml:space="preserve">In delivering </w:t>
      </w:r>
      <w:r w:rsidR="00085D13">
        <w:rPr>
          <w:rFonts w:ascii="Calibri" w:eastAsia="Times New Roman" w:hAnsi="Calibri" w:cs="Times New Roman"/>
          <w:color w:val="auto"/>
          <w:szCs w:val="20"/>
          <w:lang w:eastAsia="en-AU"/>
        </w:rPr>
        <w:t>their</w:t>
      </w:r>
      <w:r w:rsidRPr="00755B60">
        <w:rPr>
          <w:rFonts w:ascii="Calibri" w:eastAsia="Times New Roman" w:hAnsi="Calibri" w:cs="Times New Roman"/>
          <w:color w:val="auto"/>
          <w:szCs w:val="20"/>
          <w:lang w:eastAsia="en-AU"/>
        </w:rPr>
        <w:t xml:space="preserve"> functions I expect the Regulator will </w:t>
      </w:r>
      <w:r w:rsidR="00A72685">
        <w:rPr>
          <w:rFonts w:ascii="Calibri" w:eastAsia="Times New Roman" w:hAnsi="Calibri" w:cs="Times New Roman"/>
          <w:color w:val="auto"/>
          <w:szCs w:val="20"/>
          <w:lang w:eastAsia="en-AU"/>
        </w:rPr>
        <w:t>support the Government’s commitment to driving productivity and growth</w:t>
      </w:r>
      <w:r w:rsidR="00A72685" w:rsidRPr="00755B60">
        <w:rPr>
          <w:rFonts w:ascii="Calibri" w:eastAsia="Times New Roman" w:hAnsi="Calibri" w:cs="Times New Roman"/>
          <w:color w:val="auto"/>
          <w:szCs w:val="20"/>
          <w:lang w:eastAsia="en-AU"/>
        </w:rPr>
        <w:t xml:space="preserve"> </w:t>
      </w:r>
      <w:r w:rsidR="0047399A">
        <w:rPr>
          <w:rFonts w:ascii="Calibri" w:eastAsia="Times New Roman" w:hAnsi="Calibri" w:cs="Times New Roman"/>
          <w:color w:val="auto"/>
          <w:szCs w:val="20"/>
          <w:lang w:eastAsia="en-AU"/>
        </w:rPr>
        <w:t xml:space="preserve">and </w:t>
      </w:r>
      <w:r w:rsidRPr="00755B60">
        <w:rPr>
          <w:rFonts w:ascii="Calibri" w:eastAsia="Times New Roman" w:hAnsi="Calibri" w:cs="Times New Roman"/>
          <w:color w:val="auto"/>
          <w:szCs w:val="20"/>
          <w:lang w:eastAsia="en-AU"/>
        </w:rPr>
        <w:t>strive to meet the principles of best practice for Commonwealth regulators</w:t>
      </w:r>
      <w:r w:rsidR="0047399A">
        <w:rPr>
          <w:rFonts w:ascii="Calibri" w:eastAsia="Times New Roman" w:hAnsi="Calibri" w:cs="Times New Roman"/>
          <w:color w:val="auto"/>
          <w:szCs w:val="20"/>
          <w:lang w:eastAsia="en-AU"/>
        </w:rPr>
        <w:t>. I expect the Regulator to:</w:t>
      </w:r>
    </w:p>
    <w:p w14:paraId="35659256" w14:textId="2CF5D59D" w:rsidR="00BC56F8" w:rsidRPr="00BC56F8" w:rsidRDefault="0057767A" w:rsidP="009E7BDA">
      <w:pPr>
        <w:pStyle w:val="GRRParanumbers"/>
        <w:numPr>
          <w:ilvl w:val="1"/>
          <w:numId w:val="24"/>
        </w:numPr>
        <w:ind w:left="845" w:hanging="488"/>
        <w:rPr>
          <w:rFonts w:ascii="Calibri" w:eastAsia="Times New Roman" w:hAnsi="Calibri" w:cs="Times New Roman"/>
          <w:color w:val="auto"/>
          <w:szCs w:val="20"/>
          <w:lang w:eastAsia="en-AU"/>
        </w:rPr>
      </w:pPr>
      <w:r w:rsidRPr="0057767A">
        <w:rPr>
          <w:rFonts w:ascii="Calibri" w:eastAsia="Times New Roman" w:hAnsi="Calibri" w:cs="Times New Roman"/>
          <w:color w:val="auto"/>
          <w:szCs w:val="20"/>
          <w:lang w:eastAsia="en-AU"/>
        </w:rPr>
        <w:t xml:space="preserve">continuously improve and build trust by building a regulatory culture that is fair, </w:t>
      </w:r>
      <w:r w:rsidR="006A3361" w:rsidRPr="0057767A">
        <w:rPr>
          <w:rFonts w:ascii="Calibri" w:eastAsia="Times New Roman" w:hAnsi="Calibri" w:cs="Times New Roman"/>
          <w:color w:val="auto"/>
          <w:szCs w:val="20"/>
          <w:lang w:eastAsia="en-AU"/>
        </w:rPr>
        <w:t>transparent,</w:t>
      </w:r>
      <w:r w:rsidRPr="0057767A">
        <w:rPr>
          <w:rFonts w:ascii="Calibri" w:eastAsia="Times New Roman" w:hAnsi="Calibri" w:cs="Times New Roman"/>
          <w:color w:val="auto"/>
          <w:szCs w:val="20"/>
          <w:lang w:eastAsia="en-AU"/>
        </w:rPr>
        <w:t xml:space="preserve"> and responsive to its operating environment</w:t>
      </w:r>
    </w:p>
    <w:p w14:paraId="107D096A" w14:textId="4EB69CF2" w:rsidR="009B4298" w:rsidRDefault="00F03F09" w:rsidP="009B4298">
      <w:pPr>
        <w:pStyle w:val="GRRParanumbers"/>
        <w:numPr>
          <w:ilvl w:val="1"/>
          <w:numId w:val="24"/>
        </w:numPr>
        <w:ind w:left="845" w:hanging="488"/>
        <w:rPr>
          <w:rFonts w:ascii="Calibri" w:eastAsia="Times New Roman" w:hAnsi="Calibri" w:cs="Times New Roman"/>
          <w:color w:val="auto"/>
          <w:szCs w:val="20"/>
          <w:lang w:eastAsia="en-AU"/>
        </w:rPr>
      </w:pPr>
      <w:r>
        <w:rPr>
          <w:rFonts w:ascii="Calibri" w:eastAsia="Times New Roman" w:hAnsi="Calibri" w:cs="Times New Roman"/>
          <w:color w:val="auto"/>
          <w:szCs w:val="20"/>
          <w:lang w:eastAsia="en-AU"/>
        </w:rPr>
        <w:lastRenderedPageBreak/>
        <w:t xml:space="preserve">take a </w:t>
      </w:r>
      <w:r w:rsidR="00E619D9" w:rsidRPr="00E619D9">
        <w:rPr>
          <w:rFonts w:ascii="Calibri" w:eastAsia="Times New Roman" w:hAnsi="Calibri" w:cs="Times New Roman"/>
          <w:color w:val="auto"/>
          <w:szCs w:val="20"/>
          <w:lang w:eastAsia="en-AU"/>
        </w:rPr>
        <w:t xml:space="preserve">risk-based and data driven </w:t>
      </w:r>
      <w:r>
        <w:rPr>
          <w:rFonts w:ascii="Calibri" w:eastAsia="Times New Roman" w:hAnsi="Calibri" w:cs="Times New Roman"/>
          <w:color w:val="auto"/>
          <w:szCs w:val="20"/>
          <w:lang w:eastAsia="en-AU"/>
        </w:rPr>
        <w:t xml:space="preserve">approach </w:t>
      </w:r>
      <w:r w:rsidR="00E619D9" w:rsidRPr="00E619D9">
        <w:rPr>
          <w:rFonts w:ascii="Calibri" w:eastAsia="Times New Roman" w:hAnsi="Calibri" w:cs="Times New Roman"/>
          <w:color w:val="auto"/>
          <w:szCs w:val="20"/>
          <w:lang w:eastAsia="en-AU"/>
        </w:rPr>
        <w:t xml:space="preserve">drawing on existing government data and resources to inform </w:t>
      </w:r>
      <w:r w:rsidR="00195AF0">
        <w:rPr>
          <w:rFonts w:ascii="Calibri" w:eastAsia="Times New Roman" w:hAnsi="Calibri" w:cs="Times New Roman"/>
          <w:color w:val="auto"/>
          <w:szCs w:val="20"/>
          <w:lang w:eastAsia="en-AU"/>
        </w:rPr>
        <w:t>their</w:t>
      </w:r>
      <w:r w:rsidR="00E619D9" w:rsidRPr="00E619D9">
        <w:rPr>
          <w:rFonts w:ascii="Calibri" w:eastAsia="Times New Roman" w:hAnsi="Calibri" w:cs="Times New Roman"/>
          <w:color w:val="auto"/>
          <w:szCs w:val="20"/>
          <w:lang w:eastAsia="en-AU"/>
        </w:rPr>
        <w:t xml:space="preserve"> activities</w:t>
      </w:r>
      <w:r w:rsidR="0026575B">
        <w:rPr>
          <w:rFonts w:ascii="Calibri" w:eastAsia="Times New Roman" w:hAnsi="Calibri" w:cs="Times New Roman"/>
          <w:color w:val="auto"/>
          <w:szCs w:val="20"/>
          <w:lang w:eastAsia="en-AU"/>
        </w:rPr>
        <w:t xml:space="preserve">, and </w:t>
      </w:r>
      <w:r w:rsidR="0026575B" w:rsidRPr="00223A9A">
        <w:rPr>
          <w:rFonts w:ascii="Calibri" w:eastAsia="Times New Roman" w:hAnsi="Calibri" w:cs="Times New Roman"/>
          <w:color w:val="auto"/>
          <w:szCs w:val="20"/>
          <w:lang w:eastAsia="en-AU"/>
        </w:rPr>
        <w:t>focusing regulatory efforts where the risks are greatest</w:t>
      </w:r>
    </w:p>
    <w:p w14:paraId="374CC643" w14:textId="334A2E88" w:rsidR="0013480A" w:rsidRPr="00223A9A" w:rsidRDefault="0013480A" w:rsidP="00223A9A">
      <w:pPr>
        <w:pStyle w:val="GRRParanumbers"/>
        <w:numPr>
          <w:ilvl w:val="1"/>
          <w:numId w:val="24"/>
        </w:numPr>
        <w:ind w:left="845" w:hanging="488"/>
        <w:rPr>
          <w:rFonts w:ascii="Calibri" w:eastAsia="Times New Roman" w:hAnsi="Calibri" w:cs="Times New Roman"/>
          <w:color w:val="auto"/>
          <w:szCs w:val="20"/>
          <w:lang w:eastAsia="en-AU"/>
        </w:rPr>
      </w:pPr>
      <w:r w:rsidRPr="00223A9A">
        <w:rPr>
          <w:rFonts w:ascii="Calibri" w:eastAsia="Times New Roman" w:hAnsi="Calibri" w:cs="Times New Roman"/>
          <w:color w:val="auto"/>
          <w:szCs w:val="20"/>
          <w:lang w:eastAsia="en-AU"/>
        </w:rPr>
        <w:t>demonstrate regulatory flexibility through targeted adjustments to its regulatory posture and approach as appropriate</w:t>
      </w:r>
      <w:r w:rsidR="00F03F09" w:rsidRPr="00223A9A">
        <w:rPr>
          <w:rFonts w:ascii="Calibri" w:eastAsia="Times New Roman" w:hAnsi="Calibri" w:cs="Times New Roman"/>
          <w:color w:val="auto"/>
          <w:szCs w:val="20"/>
          <w:lang w:eastAsia="en-AU"/>
        </w:rPr>
        <w:t>, including</w:t>
      </w:r>
      <w:r w:rsidRPr="00223A9A">
        <w:rPr>
          <w:rFonts w:ascii="Calibri" w:eastAsia="Times New Roman" w:hAnsi="Calibri" w:cs="Times New Roman"/>
          <w:color w:val="auto"/>
          <w:szCs w:val="20"/>
          <w:lang w:eastAsia="en-AU"/>
        </w:rPr>
        <w:t xml:space="preserve"> tailoring engagement and oversight to the specific risks and needs of different sectors or regulated entities, and</w:t>
      </w:r>
    </w:p>
    <w:p w14:paraId="4E1E261F" w14:textId="3CE014EF" w:rsidR="004306F1" w:rsidRPr="00D22A0C" w:rsidRDefault="00E619D9" w:rsidP="00D22A0C">
      <w:pPr>
        <w:pStyle w:val="GRRParanumbers"/>
        <w:numPr>
          <w:ilvl w:val="1"/>
          <w:numId w:val="24"/>
        </w:numPr>
        <w:ind w:left="845" w:hanging="488"/>
        <w:rPr>
          <w:rFonts w:ascii="Calibri" w:eastAsia="Times New Roman" w:hAnsi="Calibri" w:cs="Times New Roman"/>
          <w:color w:val="auto"/>
          <w:szCs w:val="20"/>
          <w:lang w:eastAsia="en-AU"/>
        </w:rPr>
      </w:pPr>
      <w:r w:rsidRPr="00E619D9">
        <w:rPr>
          <w:rFonts w:ascii="Calibri" w:eastAsia="Times New Roman" w:hAnsi="Calibri" w:cs="Times New Roman"/>
          <w:color w:val="auto"/>
          <w:szCs w:val="20"/>
          <w:lang w:eastAsia="en-AU"/>
        </w:rPr>
        <w:t xml:space="preserve">demonstrate genuine </w:t>
      </w:r>
      <w:r w:rsidR="00297D8E">
        <w:rPr>
          <w:rFonts w:ascii="Calibri" w:eastAsia="Times New Roman" w:hAnsi="Calibri" w:cs="Times New Roman"/>
          <w:color w:val="auto"/>
          <w:szCs w:val="20"/>
          <w:lang w:eastAsia="en-AU"/>
        </w:rPr>
        <w:t>engagement</w:t>
      </w:r>
      <w:r w:rsidRPr="00E619D9">
        <w:rPr>
          <w:rFonts w:ascii="Calibri" w:eastAsia="Times New Roman" w:hAnsi="Calibri" w:cs="Times New Roman"/>
          <w:color w:val="auto"/>
          <w:szCs w:val="20"/>
          <w:lang w:eastAsia="en-AU"/>
        </w:rPr>
        <w:t xml:space="preserve"> with </w:t>
      </w:r>
      <w:r w:rsidR="009D2C46">
        <w:rPr>
          <w:rFonts w:ascii="Calibri" w:eastAsia="Times New Roman" w:hAnsi="Calibri" w:cs="Times New Roman"/>
          <w:color w:val="auto"/>
          <w:szCs w:val="20"/>
          <w:lang w:eastAsia="en-AU"/>
        </w:rPr>
        <w:t>their</w:t>
      </w:r>
      <w:r w:rsidRPr="00E619D9">
        <w:rPr>
          <w:rFonts w:ascii="Calibri" w:eastAsia="Times New Roman" w:hAnsi="Calibri" w:cs="Times New Roman"/>
          <w:color w:val="auto"/>
          <w:szCs w:val="20"/>
          <w:lang w:eastAsia="en-AU"/>
        </w:rPr>
        <w:t xml:space="preserve"> stakeholders, being transparent in </w:t>
      </w:r>
      <w:r w:rsidR="009D2C46">
        <w:rPr>
          <w:rFonts w:ascii="Calibri" w:eastAsia="Times New Roman" w:hAnsi="Calibri" w:cs="Times New Roman"/>
          <w:color w:val="auto"/>
          <w:szCs w:val="20"/>
          <w:lang w:eastAsia="en-AU"/>
        </w:rPr>
        <w:t>their</w:t>
      </w:r>
      <w:r w:rsidRPr="00E619D9">
        <w:rPr>
          <w:rFonts w:ascii="Calibri" w:eastAsia="Times New Roman" w:hAnsi="Calibri" w:cs="Times New Roman"/>
          <w:color w:val="auto"/>
          <w:szCs w:val="20"/>
          <w:lang w:eastAsia="en-AU"/>
        </w:rPr>
        <w:t xml:space="preserve"> decision making and providing the tools and support to encourage voluntary compliance</w:t>
      </w:r>
      <w:r w:rsidR="006D5C47">
        <w:rPr>
          <w:rFonts w:ascii="Calibri" w:eastAsia="Times New Roman" w:hAnsi="Calibri" w:cs="Times New Roman"/>
          <w:color w:val="auto"/>
          <w:szCs w:val="20"/>
          <w:lang w:eastAsia="en-AU"/>
        </w:rPr>
        <w:t>.</w:t>
      </w:r>
    </w:p>
    <w:p w14:paraId="253AAD3C" w14:textId="48500665" w:rsidR="00BE7B35" w:rsidRDefault="00FF7E5C" w:rsidP="00BE7B35">
      <w:pPr>
        <w:pStyle w:val="Heading2"/>
      </w:pPr>
      <w:r w:rsidRPr="00FF7E5C">
        <w:rPr>
          <w:bCs/>
        </w:rPr>
        <w:t>The Government’s Policy Priorities</w:t>
      </w:r>
    </w:p>
    <w:p w14:paraId="2AA3B625" w14:textId="7B8FEFEF" w:rsidR="00C213A1" w:rsidRPr="00C213A1" w:rsidRDefault="00565A81" w:rsidP="0013480A">
      <w:pPr>
        <w:pStyle w:val="ListParagraph"/>
        <w:numPr>
          <w:ilvl w:val="0"/>
          <w:numId w:val="24"/>
        </w:numPr>
        <w:rPr>
          <w:rFonts w:ascii="Calibri" w:eastAsia="Times New Roman" w:hAnsi="Calibri" w:cs="Times New Roman"/>
          <w:color w:val="auto"/>
          <w:szCs w:val="20"/>
          <w:lang w:eastAsia="en-AU"/>
        </w:rPr>
      </w:pPr>
      <w:r w:rsidRPr="00565A81">
        <w:rPr>
          <w:rFonts w:ascii="Calibri" w:eastAsia="Times New Roman" w:hAnsi="Calibri" w:cs="Times New Roman"/>
          <w:color w:val="auto"/>
          <w:szCs w:val="20"/>
          <w:lang w:eastAsia="en-AU"/>
        </w:rPr>
        <w:t>The Government is committed to ensuring measures are in place to improve the payment times of large businesses to their small business suppliers</w:t>
      </w:r>
      <w:r w:rsidR="005753C7">
        <w:rPr>
          <w:rFonts w:ascii="Calibri" w:eastAsia="Times New Roman" w:hAnsi="Calibri" w:cs="Times New Roman"/>
          <w:color w:val="auto"/>
          <w:szCs w:val="20"/>
          <w:lang w:eastAsia="en-AU"/>
        </w:rPr>
        <w:t>. I expect the Regulator to support that commitment by</w:t>
      </w:r>
      <w:r w:rsidR="00C213A1" w:rsidRPr="00C213A1">
        <w:rPr>
          <w:rFonts w:ascii="Calibri" w:eastAsia="Times New Roman" w:hAnsi="Calibri" w:cs="Times New Roman"/>
          <w:color w:val="auto"/>
          <w:szCs w:val="20"/>
          <w:lang w:eastAsia="en-AU"/>
        </w:rPr>
        <w:t>:</w:t>
      </w:r>
    </w:p>
    <w:p w14:paraId="2DF9F362" w14:textId="15D06775" w:rsidR="00250A26" w:rsidRPr="00250A26" w:rsidRDefault="00C1074F" w:rsidP="0013480A">
      <w:pPr>
        <w:pStyle w:val="GRRParanumbers"/>
        <w:numPr>
          <w:ilvl w:val="1"/>
          <w:numId w:val="24"/>
        </w:numPr>
        <w:ind w:left="845" w:hanging="488"/>
        <w:rPr>
          <w:rFonts w:ascii="Calibri" w:eastAsia="Times New Roman" w:hAnsi="Calibri" w:cs="Times New Roman"/>
          <w:color w:val="auto"/>
          <w:szCs w:val="20"/>
          <w:lang w:eastAsia="en-AU"/>
        </w:rPr>
      </w:pPr>
      <w:r w:rsidRPr="00C1074F">
        <w:rPr>
          <w:rFonts w:ascii="Calibri" w:eastAsia="Times New Roman" w:hAnsi="Calibri" w:cs="Times New Roman"/>
          <w:color w:val="auto"/>
          <w:szCs w:val="20"/>
          <w:lang w:eastAsia="en-AU"/>
        </w:rPr>
        <w:t>identify</w:t>
      </w:r>
      <w:r w:rsidR="005753C7">
        <w:rPr>
          <w:rFonts w:ascii="Calibri" w:eastAsia="Times New Roman" w:hAnsi="Calibri" w:cs="Times New Roman"/>
          <w:color w:val="auto"/>
          <w:szCs w:val="20"/>
          <w:lang w:eastAsia="en-AU"/>
        </w:rPr>
        <w:t>ing</w:t>
      </w:r>
      <w:r w:rsidRPr="00C1074F">
        <w:rPr>
          <w:rFonts w:ascii="Calibri" w:eastAsia="Times New Roman" w:hAnsi="Calibri" w:cs="Times New Roman"/>
          <w:color w:val="auto"/>
          <w:szCs w:val="20"/>
          <w:lang w:eastAsia="en-AU"/>
        </w:rPr>
        <w:t xml:space="preserve"> opportunities to use the transparency provided by the Register to improve payment times by large businesses to their small business suppliers and promote the Register and payment times data with small businesses, industry, government bodies and other entities that have an interest in or can influence the payment practices of large businesses and relevant Commonwealth entities</w:t>
      </w:r>
    </w:p>
    <w:p w14:paraId="68FAB850" w14:textId="5BF49F3B" w:rsidR="00250A26" w:rsidRPr="00250A26" w:rsidRDefault="00C1074F" w:rsidP="0013480A">
      <w:pPr>
        <w:pStyle w:val="GRRParanumbers"/>
        <w:numPr>
          <w:ilvl w:val="1"/>
          <w:numId w:val="24"/>
        </w:numPr>
        <w:ind w:left="845" w:hanging="488"/>
        <w:rPr>
          <w:rFonts w:ascii="Calibri" w:eastAsia="Times New Roman" w:hAnsi="Calibri" w:cs="Times New Roman"/>
          <w:color w:val="auto"/>
          <w:szCs w:val="20"/>
          <w:lang w:eastAsia="en-AU"/>
        </w:rPr>
      </w:pPr>
      <w:r w:rsidRPr="00C1074F">
        <w:rPr>
          <w:rFonts w:ascii="Calibri" w:eastAsia="Times New Roman" w:hAnsi="Calibri" w:cs="Times New Roman"/>
          <w:color w:val="auto"/>
          <w:szCs w:val="20"/>
          <w:lang w:eastAsia="en-AU"/>
        </w:rPr>
        <w:t>build</w:t>
      </w:r>
      <w:r w:rsidR="005753C7">
        <w:rPr>
          <w:rFonts w:ascii="Calibri" w:eastAsia="Times New Roman" w:hAnsi="Calibri" w:cs="Times New Roman"/>
          <w:color w:val="auto"/>
          <w:szCs w:val="20"/>
          <w:lang w:eastAsia="en-AU"/>
        </w:rPr>
        <w:t>ing</w:t>
      </w:r>
      <w:r w:rsidRPr="00C1074F">
        <w:rPr>
          <w:rFonts w:ascii="Calibri" w:eastAsia="Times New Roman" w:hAnsi="Calibri" w:cs="Times New Roman"/>
          <w:color w:val="auto"/>
          <w:szCs w:val="20"/>
          <w:lang w:eastAsia="en-AU"/>
        </w:rPr>
        <w:t xml:space="preserve"> confidence in the Register by improving the compliance of regulated entities and the quality of data reported</w:t>
      </w:r>
    </w:p>
    <w:p w14:paraId="757DBA5D" w14:textId="528D7A91" w:rsidR="00250A26" w:rsidRPr="00250A26" w:rsidRDefault="00C1074F" w:rsidP="0013480A">
      <w:pPr>
        <w:pStyle w:val="GRRParanumbers"/>
        <w:numPr>
          <w:ilvl w:val="1"/>
          <w:numId w:val="24"/>
        </w:numPr>
        <w:ind w:left="845" w:hanging="488"/>
        <w:rPr>
          <w:rFonts w:ascii="Calibri" w:eastAsia="Times New Roman" w:hAnsi="Calibri" w:cs="Times New Roman"/>
          <w:color w:val="auto"/>
          <w:szCs w:val="20"/>
          <w:lang w:eastAsia="en-AU"/>
        </w:rPr>
      </w:pPr>
      <w:r w:rsidRPr="00C1074F">
        <w:rPr>
          <w:rFonts w:ascii="Calibri" w:eastAsia="Times New Roman" w:hAnsi="Calibri" w:cs="Times New Roman"/>
          <w:color w:val="auto"/>
          <w:szCs w:val="20"/>
          <w:lang w:eastAsia="en-AU"/>
        </w:rPr>
        <w:t>improv</w:t>
      </w:r>
      <w:r w:rsidR="005753C7">
        <w:rPr>
          <w:rFonts w:ascii="Calibri" w:eastAsia="Times New Roman" w:hAnsi="Calibri" w:cs="Times New Roman"/>
          <w:color w:val="auto"/>
          <w:szCs w:val="20"/>
          <w:lang w:eastAsia="en-AU"/>
        </w:rPr>
        <w:t>ing</w:t>
      </w:r>
      <w:r w:rsidRPr="00C1074F">
        <w:rPr>
          <w:rFonts w:ascii="Calibri" w:eastAsia="Times New Roman" w:hAnsi="Calibri" w:cs="Times New Roman"/>
          <w:color w:val="auto"/>
          <w:szCs w:val="20"/>
          <w:lang w:eastAsia="en-AU"/>
        </w:rPr>
        <w:t xml:space="preserve"> accessibility of payment times data for small businesses and other data users by improving tools to search and interrogate Register data</w:t>
      </w:r>
    </w:p>
    <w:p w14:paraId="6DB58C15" w14:textId="023C2629" w:rsidR="00961763" w:rsidRDefault="00BF2408" w:rsidP="0013480A">
      <w:pPr>
        <w:pStyle w:val="GRRParanumbers"/>
        <w:numPr>
          <w:ilvl w:val="1"/>
          <w:numId w:val="24"/>
        </w:numPr>
        <w:ind w:left="845" w:hanging="488"/>
        <w:rPr>
          <w:rFonts w:ascii="Calibri" w:eastAsia="Times New Roman" w:hAnsi="Calibri" w:cs="Times New Roman"/>
          <w:color w:val="auto"/>
          <w:szCs w:val="20"/>
          <w:lang w:eastAsia="en-AU"/>
        </w:rPr>
      </w:pPr>
      <w:r w:rsidRPr="00BF2408">
        <w:rPr>
          <w:rFonts w:ascii="Calibri" w:eastAsia="Times New Roman" w:hAnsi="Calibri" w:cs="Times New Roman"/>
          <w:color w:val="auto"/>
          <w:szCs w:val="20"/>
          <w:lang w:eastAsia="en-AU"/>
        </w:rPr>
        <w:t>act</w:t>
      </w:r>
      <w:r w:rsidR="005753C7">
        <w:rPr>
          <w:rFonts w:ascii="Calibri" w:eastAsia="Times New Roman" w:hAnsi="Calibri" w:cs="Times New Roman"/>
          <w:color w:val="auto"/>
          <w:szCs w:val="20"/>
          <w:lang w:eastAsia="en-AU"/>
        </w:rPr>
        <w:t>ing</w:t>
      </w:r>
      <w:r w:rsidRPr="00BF2408">
        <w:rPr>
          <w:rFonts w:ascii="Calibri" w:eastAsia="Times New Roman" w:hAnsi="Calibri" w:cs="Times New Roman"/>
          <w:color w:val="auto"/>
          <w:szCs w:val="20"/>
          <w:lang w:eastAsia="en-AU"/>
        </w:rPr>
        <w:t xml:space="preserve"> independently in performing their regulatory functions, including </w:t>
      </w:r>
      <w:r w:rsidR="005753C7">
        <w:rPr>
          <w:rFonts w:ascii="Calibri" w:eastAsia="Times New Roman" w:hAnsi="Calibri" w:cs="Times New Roman"/>
          <w:color w:val="auto"/>
          <w:szCs w:val="20"/>
          <w:lang w:eastAsia="en-AU"/>
        </w:rPr>
        <w:t xml:space="preserve">compliance and </w:t>
      </w:r>
      <w:r w:rsidRPr="00BF2408">
        <w:rPr>
          <w:rFonts w:ascii="Calibri" w:eastAsia="Times New Roman" w:hAnsi="Calibri" w:cs="Times New Roman"/>
          <w:color w:val="auto"/>
          <w:szCs w:val="20"/>
          <w:lang w:eastAsia="en-AU"/>
        </w:rPr>
        <w:t xml:space="preserve">enforcement actions </w:t>
      </w:r>
    </w:p>
    <w:p w14:paraId="396E6875" w14:textId="30D9C354" w:rsidR="00A65260" w:rsidRPr="00A65260" w:rsidRDefault="00A65260" w:rsidP="00A65260">
      <w:pPr>
        <w:pStyle w:val="GRRParanumbers"/>
        <w:numPr>
          <w:ilvl w:val="1"/>
          <w:numId w:val="24"/>
        </w:numPr>
        <w:ind w:left="845" w:hanging="488"/>
        <w:rPr>
          <w:rFonts w:ascii="Calibri" w:eastAsia="Times New Roman" w:hAnsi="Calibri" w:cs="Times New Roman"/>
          <w:color w:val="auto"/>
          <w:szCs w:val="20"/>
          <w:lang w:eastAsia="en-AU"/>
        </w:rPr>
      </w:pPr>
      <w:r>
        <w:rPr>
          <w:rFonts w:ascii="Calibri" w:eastAsia="Times New Roman" w:hAnsi="Calibri" w:cs="Times New Roman"/>
          <w:color w:val="auto"/>
          <w:szCs w:val="20"/>
          <w:lang w:eastAsia="en-AU"/>
        </w:rPr>
        <w:t>implement</w:t>
      </w:r>
      <w:r w:rsidR="005753C7">
        <w:rPr>
          <w:rFonts w:ascii="Calibri" w:eastAsia="Times New Roman" w:hAnsi="Calibri" w:cs="Times New Roman"/>
          <w:color w:val="auto"/>
          <w:szCs w:val="20"/>
          <w:lang w:eastAsia="en-AU"/>
        </w:rPr>
        <w:t>ing</w:t>
      </w:r>
      <w:r>
        <w:rPr>
          <w:rFonts w:ascii="Calibri" w:eastAsia="Times New Roman" w:hAnsi="Calibri" w:cs="Times New Roman"/>
          <w:color w:val="auto"/>
          <w:szCs w:val="20"/>
          <w:lang w:eastAsia="en-AU"/>
        </w:rPr>
        <w:t xml:space="preserve"> and report</w:t>
      </w:r>
      <w:r w:rsidR="005753C7">
        <w:rPr>
          <w:rFonts w:ascii="Calibri" w:eastAsia="Times New Roman" w:hAnsi="Calibri" w:cs="Times New Roman"/>
          <w:color w:val="auto"/>
          <w:szCs w:val="20"/>
          <w:lang w:eastAsia="en-AU"/>
        </w:rPr>
        <w:t>ing</w:t>
      </w:r>
      <w:r>
        <w:rPr>
          <w:rFonts w:ascii="Calibri" w:eastAsia="Times New Roman" w:hAnsi="Calibri" w:cs="Times New Roman"/>
          <w:color w:val="auto"/>
          <w:szCs w:val="20"/>
          <w:lang w:eastAsia="en-AU"/>
        </w:rPr>
        <w:t xml:space="preserve"> on any reform proposals to reduce unnecessary regulatory burden, and</w:t>
      </w:r>
    </w:p>
    <w:p w14:paraId="68CC002E" w14:textId="631144A6" w:rsidR="00961763" w:rsidRPr="00961763" w:rsidRDefault="00BF2408" w:rsidP="0013480A">
      <w:pPr>
        <w:pStyle w:val="GRRParanumbers"/>
        <w:numPr>
          <w:ilvl w:val="1"/>
          <w:numId w:val="24"/>
        </w:numPr>
        <w:ind w:left="845" w:hanging="488"/>
        <w:rPr>
          <w:rFonts w:ascii="Calibri" w:eastAsia="Times New Roman" w:hAnsi="Calibri" w:cs="Times New Roman"/>
          <w:color w:val="auto"/>
          <w:szCs w:val="20"/>
          <w:lang w:eastAsia="en-AU"/>
        </w:rPr>
      </w:pPr>
      <w:r w:rsidRPr="00BF2408">
        <w:rPr>
          <w:rFonts w:ascii="Calibri" w:eastAsia="Times New Roman" w:hAnsi="Calibri" w:cs="Times New Roman"/>
          <w:color w:val="auto"/>
          <w:szCs w:val="20"/>
          <w:lang w:eastAsia="en-AU"/>
        </w:rPr>
        <w:t>contribut</w:t>
      </w:r>
      <w:r w:rsidR="005753C7">
        <w:rPr>
          <w:rFonts w:ascii="Calibri" w:eastAsia="Times New Roman" w:hAnsi="Calibri" w:cs="Times New Roman"/>
          <w:color w:val="auto"/>
          <w:szCs w:val="20"/>
          <w:lang w:eastAsia="en-AU"/>
        </w:rPr>
        <w:t>ing</w:t>
      </w:r>
      <w:r w:rsidRPr="00BF2408">
        <w:rPr>
          <w:rFonts w:ascii="Calibri" w:eastAsia="Times New Roman" w:hAnsi="Calibri" w:cs="Times New Roman"/>
          <w:color w:val="auto"/>
          <w:szCs w:val="20"/>
          <w:lang w:eastAsia="en-AU"/>
        </w:rPr>
        <w:t xml:space="preserve"> expertise to relevant policy issues </w:t>
      </w:r>
      <w:r w:rsidR="005753C7">
        <w:rPr>
          <w:rFonts w:ascii="Calibri" w:eastAsia="Times New Roman" w:hAnsi="Calibri" w:cs="Times New Roman"/>
          <w:color w:val="auto"/>
          <w:szCs w:val="20"/>
          <w:lang w:eastAsia="en-AU"/>
        </w:rPr>
        <w:t>under</w:t>
      </w:r>
      <w:r w:rsidRPr="00BF2408">
        <w:rPr>
          <w:rFonts w:ascii="Calibri" w:eastAsia="Times New Roman" w:hAnsi="Calibri" w:cs="Times New Roman"/>
          <w:color w:val="auto"/>
          <w:szCs w:val="20"/>
          <w:lang w:eastAsia="en-AU"/>
        </w:rPr>
        <w:t xml:space="preserve"> Government</w:t>
      </w:r>
      <w:r w:rsidR="005753C7">
        <w:rPr>
          <w:rFonts w:ascii="Calibri" w:eastAsia="Times New Roman" w:hAnsi="Calibri" w:cs="Times New Roman"/>
          <w:color w:val="auto"/>
          <w:szCs w:val="20"/>
          <w:lang w:eastAsia="en-AU"/>
        </w:rPr>
        <w:t xml:space="preserve"> consideration</w:t>
      </w:r>
      <w:r w:rsidRPr="00BF2408">
        <w:rPr>
          <w:rFonts w:ascii="Calibri" w:eastAsia="Times New Roman" w:hAnsi="Calibri" w:cs="Times New Roman"/>
          <w:color w:val="auto"/>
          <w:szCs w:val="20"/>
          <w:lang w:eastAsia="en-AU"/>
        </w:rPr>
        <w:t>, including the Government response to independent reviews undertaken in accordance with section 57A of the Act.</w:t>
      </w:r>
    </w:p>
    <w:p w14:paraId="752FDCF8" w14:textId="5BA547B5" w:rsidR="00961763" w:rsidRPr="00961763" w:rsidRDefault="00C364D4" w:rsidP="0013480A">
      <w:pPr>
        <w:pStyle w:val="GRRParanumbers"/>
        <w:numPr>
          <w:ilvl w:val="0"/>
          <w:numId w:val="24"/>
        </w:numPr>
        <w:rPr>
          <w:rFonts w:ascii="Calibri" w:eastAsia="Times New Roman" w:hAnsi="Calibri" w:cs="Times New Roman"/>
          <w:color w:val="auto"/>
          <w:szCs w:val="20"/>
          <w:lang w:eastAsia="en-AU"/>
        </w:rPr>
      </w:pPr>
      <w:r w:rsidRPr="00C364D4">
        <w:rPr>
          <w:rFonts w:ascii="Calibri" w:eastAsia="Times New Roman" w:hAnsi="Calibri" w:cs="Times New Roman"/>
          <w:color w:val="auto"/>
          <w:szCs w:val="20"/>
          <w:lang w:eastAsia="en-AU"/>
        </w:rPr>
        <w:t>I expect the Regulator will maintain a constructive and collaborative relationship with me that will assist me to provide an enabling environment to achieve the Government’s priorities.</w:t>
      </w:r>
    </w:p>
    <w:p w14:paraId="483D0463" w14:textId="28838200" w:rsidR="00961763" w:rsidRDefault="00414896" w:rsidP="0013480A">
      <w:pPr>
        <w:pStyle w:val="GRRParanumbers"/>
        <w:numPr>
          <w:ilvl w:val="0"/>
          <w:numId w:val="24"/>
        </w:numPr>
        <w:rPr>
          <w:rFonts w:ascii="Calibri" w:eastAsia="Times New Roman" w:hAnsi="Calibri" w:cs="Times New Roman"/>
          <w:color w:val="auto"/>
          <w:szCs w:val="20"/>
          <w:lang w:eastAsia="en-AU"/>
        </w:rPr>
      </w:pPr>
      <w:r w:rsidRPr="00414896">
        <w:rPr>
          <w:rFonts w:ascii="Calibri" w:eastAsia="Times New Roman" w:hAnsi="Calibri" w:cs="Times New Roman"/>
          <w:color w:val="auto"/>
          <w:szCs w:val="20"/>
          <w:lang w:eastAsia="en-AU"/>
        </w:rPr>
        <w:t xml:space="preserve">To support this relationship, I expect the Regulator will communicate regularly and provide timely and accurate information and advice in their area of expertise, extending to matters that the Government may </w:t>
      </w:r>
      <w:r w:rsidR="005753C7">
        <w:rPr>
          <w:rFonts w:ascii="Calibri" w:eastAsia="Times New Roman" w:hAnsi="Calibri" w:cs="Times New Roman"/>
          <w:color w:val="auto"/>
          <w:szCs w:val="20"/>
          <w:lang w:eastAsia="en-AU"/>
        </w:rPr>
        <w:t>need</w:t>
      </w:r>
      <w:r w:rsidRPr="00414896">
        <w:rPr>
          <w:rFonts w:ascii="Calibri" w:eastAsia="Times New Roman" w:hAnsi="Calibri" w:cs="Times New Roman"/>
          <w:color w:val="auto"/>
          <w:szCs w:val="20"/>
          <w:lang w:eastAsia="en-AU"/>
        </w:rPr>
        <w:t xml:space="preserve"> to address in Parliament, important operational or budgetary issues, and Government actions in response to changing economic conditions or market conditions.</w:t>
      </w:r>
    </w:p>
    <w:p w14:paraId="4E6E54CE" w14:textId="70BCE649" w:rsidR="00BD0808" w:rsidRDefault="00BD0808" w:rsidP="00BD0808">
      <w:pPr>
        <w:pStyle w:val="Heading2"/>
      </w:pPr>
      <w:r>
        <w:t xml:space="preserve">Stakeholder </w:t>
      </w:r>
      <w:r w:rsidRPr="00A07719">
        <w:t>Engagement</w:t>
      </w:r>
    </w:p>
    <w:p w14:paraId="6A991E66" w14:textId="3EB0775B" w:rsidR="0042119A" w:rsidRDefault="00002971" w:rsidP="00D22A0C">
      <w:pPr>
        <w:pStyle w:val="GRRParanumbers"/>
        <w:numPr>
          <w:ilvl w:val="0"/>
          <w:numId w:val="24"/>
        </w:numPr>
        <w:rPr>
          <w:rFonts w:ascii="Calibri" w:eastAsia="Times New Roman" w:hAnsi="Calibri" w:cs="Times New Roman"/>
          <w:color w:val="auto"/>
          <w:szCs w:val="20"/>
          <w:lang w:eastAsia="en-AU"/>
        </w:rPr>
      </w:pPr>
      <w:r w:rsidRPr="00002971">
        <w:rPr>
          <w:rFonts w:ascii="Calibri" w:eastAsia="Times New Roman" w:hAnsi="Calibri" w:cs="Times New Roman"/>
          <w:color w:val="auto"/>
          <w:szCs w:val="20"/>
          <w:lang w:eastAsia="en-AU"/>
        </w:rPr>
        <w:t>Regarding stakeholder engagement, I expect the Regulator to:</w:t>
      </w:r>
    </w:p>
    <w:p w14:paraId="221C60FF" w14:textId="3D49500E" w:rsidR="00FA67FC" w:rsidRPr="00FA67FC" w:rsidRDefault="00585F16" w:rsidP="00D22A0C">
      <w:pPr>
        <w:pStyle w:val="GRRParanumbers"/>
        <w:numPr>
          <w:ilvl w:val="1"/>
          <w:numId w:val="24"/>
        </w:numPr>
        <w:ind w:left="845" w:hanging="488"/>
        <w:rPr>
          <w:rFonts w:ascii="Calibri" w:eastAsia="Times New Roman" w:hAnsi="Calibri" w:cs="Times New Roman"/>
          <w:color w:val="auto"/>
          <w:szCs w:val="20"/>
          <w:lang w:eastAsia="en-AU"/>
        </w:rPr>
      </w:pPr>
      <w:r w:rsidRPr="00585F16">
        <w:rPr>
          <w:rFonts w:ascii="Calibri" w:eastAsia="Times New Roman" w:hAnsi="Calibri" w:cs="Times New Roman"/>
          <w:color w:val="auto"/>
          <w:szCs w:val="20"/>
          <w:lang w:eastAsia="en-AU"/>
        </w:rPr>
        <w:t xml:space="preserve">ensure that their actions and the actions of staff supporting them are </w:t>
      </w:r>
      <w:r w:rsidR="005753C7" w:rsidRPr="00585F16">
        <w:rPr>
          <w:rFonts w:ascii="Calibri" w:eastAsia="Times New Roman" w:hAnsi="Calibri" w:cs="Times New Roman"/>
          <w:color w:val="auto"/>
          <w:szCs w:val="20"/>
          <w:lang w:eastAsia="en-AU"/>
        </w:rPr>
        <w:t>consistent</w:t>
      </w:r>
      <w:r w:rsidRPr="00585F16">
        <w:rPr>
          <w:rFonts w:ascii="Calibri" w:eastAsia="Times New Roman" w:hAnsi="Calibri" w:cs="Times New Roman"/>
          <w:color w:val="auto"/>
          <w:szCs w:val="20"/>
          <w:lang w:eastAsia="en-AU"/>
        </w:rPr>
        <w:t xml:space="preserve"> with the policies of the Government, in accordance with section 21 of the </w:t>
      </w:r>
      <w:r w:rsidRPr="00585F16">
        <w:rPr>
          <w:rFonts w:ascii="Calibri" w:eastAsia="Times New Roman" w:hAnsi="Calibri" w:cs="Times New Roman"/>
          <w:i/>
          <w:iCs/>
          <w:color w:val="auto"/>
          <w:szCs w:val="20"/>
          <w:lang w:eastAsia="en-AU"/>
        </w:rPr>
        <w:t>Public Governance, Performance, and Accountability Act 2013</w:t>
      </w:r>
    </w:p>
    <w:p w14:paraId="35C1E384" w14:textId="27E61710" w:rsidR="00FA67FC" w:rsidRPr="00FA67FC" w:rsidRDefault="00867A40" w:rsidP="00D22A0C">
      <w:pPr>
        <w:pStyle w:val="GRRParanumbers"/>
        <w:numPr>
          <w:ilvl w:val="1"/>
          <w:numId w:val="24"/>
        </w:numPr>
        <w:ind w:left="845" w:hanging="488"/>
        <w:rPr>
          <w:rFonts w:ascii="Calibri" w:eastAsia="Times New Roman" w:hAnsi="Calibri" w:cs="Times New Roman"/>
          <w:color w:val="auto"/>
          <w:szCs w:val="20"/>
          <w:lang w:eastAsia="en-AU"/>
        </w:rPr>
      </w:pPr>
      <w:r w:rsidRPr="00867A40">
        <w:rPr>
          <w:rFonts w:ascii="Calibri" w:eastAsia="Times New Roman" w:hAnsi="Calibri" w:cs="Times New Roman"/>
          <w:color w:val="auto"/>
          <w:szCs w:val="20"/>
          <w:lang w:eastAsia="en-AU"/>
        </w:rPr>
        <w:lastRenderedPageBreak/>
        <w:t>work closely with the Government including through the provision of information and advice to Ministers</w:t>
      </w:r>
    </w:p>
    <w:p w14:paraId="6A42005D" w14:textId="6FF45B77" w:rsidR="00FA67FC" w:rsidRPr="00FA67FC" w:rsidRDefault="00867A40" w:rsidP="00D22A0C">
      <w:pPr>
        <w:pStyle w:val="GRRParanumbers"/>
        <w:numPr>
          <w:ilvl w:val="1"/>
          <w:numId w:val="24"/>
        </w:numPr>
        <w:ind w:left="845" w:hanging="488"/>
        <w:rPr>
          <w:rFonts w:ascii="Calibri" w:eastAsia="Times New Roman" w:hAnsi="Calibri" w:cs="Times New Roman"/>
          <w:color w:val="auto"/>
          <w:szCs w:val="20"/>
          <w:lang w:eastAsia="en-AU"/>
        </w:rPr>
      </w:pPr>
      <w:r w:rsidRPr="00867A40">
        <w:rPr>
          <w:rFonts w:ascii="Calibri" w:eastAsia="Times New Roman" w:hAnsi="Calibri" w:cs="Times New Roman"/>
          <w:color w:val="auto"/>
          <w:szCs w:val="20"/>
          <w:lang w:eastAsia="en-AU"/>
        </w:rPr>
        <w:t>consult and provide appropriate guidance so that regulated entities have clarity and certainty about how the Regulator will deliver their functions and exercise their powers</w:t>
      </w:r>
    </w:p>
    <w:p w14:paraId="0114DF95" w14:textId="1689157B" w:rsidR="00FA67FC" w:rsidRPr="00FA67FC" w:rsidRDefault="006B4C81" w:rsidP="00D22A0C">
      <w:pPr>
        <w:pStyle w:val="GRRParanumbers"/>
        <w:numPr>
          <w:ilvl w:val="1"/>
          <w:numId w:val="24"/>
        </w:numPr>
        <w:ind w:left="845" w:hanging="488"/>
        <w:rPr>
          <w:rFonts w:ascii="Calibri" w:eastAsia="Times New Roman" w:hAnsi="Calibri" w:cs="Times New Roman"/>
          <w:color w:val="auto"/>
          <w:szCs w:val="20"/>
          <w:lang w:eastAsia="en-AU"/>
        </w:rPr>
      </w:pPr>
      <w:r w:rsidRPr="006B4C81">
        <w:rPr>
          <w:rFonts w:ascii="Calibri" w:eastAsia="Times New Roman" w:hAnsi="Calibri" w:cs="Times New Roman"/>
          <w:color w:val="auto"/>
          <w:szCs w:val="20"/>
          <w:lang w:eastAsia="en-AU"/>
        </w:rPr>
        <w:t>coordinate regulatory activities with other agencies to avoid duplication, including through sharing information where possible, and</w:t>
      </w:r>
    </w:p>
    <w:p w14:paraId="4CF92D77" w14:textId="24043AA7" w:rsidR="00FA67FC" w:rsidRPr="00FA67FC" w:rsidRDefault="006B4C81" w:rsidP="00D22A0C">
      <w:pPr>
        <w:pStyle w:val="GRRParanumbers"/>
        <w:numPr>
          <w:ilvl w:val="1"/>
          <w:numId w:val="24"/>
        </w:numPr>
        <w:ind w:left="845" w:hanging="488"/>
        <w:rPr>
          <w:rFonts w:ascii="Calibri" w:eastAsia="Times New Roman" w:hAnsi="Calibri" w:cs="Times New Roman"/>
          <w:color w:val="auto"/>
          <w:szCs w:val="20"/>
          <w:lang w:eastAsia="en-AU"/>
        </w:rPr>
      </w:pPr>
      <w:r w:rsidRPr="006B4C81">
        <w:rPr>
          <w:rFonts w:ascii="Calibri" w:eastAsia="Times New Roman" w:hAnsi="Calibri" w:cs="Times New Roman"/>
          <w:color w:val="auto"/>
          <w:szCs w:val="20"/>
          <w:lang w:eastAsia="en-AU"/>
        </w:rPr>
        <w:t>work cooperatively with the other departments and bodies that have related policy and regulatory objectives, including the Australian Small Business and Family Enterprise Ombudsman and other Commonwealth regulators</w:t>
      </w:r>
      <w:r>
        <w:rPr>
          <w:rFonts w:ascii="Calibri" w:eastAsia="Times New Roman" w:hAnsi="Calibri" w:cs="Times New Roman"/>
          <w:color w:val="auto"/>
          <w:szCs w:val="20"/>
          <w:lang w:eastAsia="en-AU"/>
        </w:rPr>
        <w:t>.</w:t>
      </w:r>
    </w:p>
    <w:p w14:paraId="0615D36F" w14:textId="2DEA763B" w:rsidR="00BD0808" w:rsidRPr="00946128" w:rsidRDefault="00450DC2" w:rsidP="00450DC2">
      <w:pPr>
        <w:pStyle w:val="Heading2"/>
        <w:rPr>
          <w:rFonts w:cs="Times New Roman"/>
          <w:color w:val="auto"/>
          <w:szCs w:val="20"/>
        </w:rPr>
      </w:pPr>
      <w:r>
        <w:t>Organisational Matters</w:t>
      </w:r>
    </w:p>
    <w:p w14:paraId="0B542514" w14:textId="115758AA" w:rsidR="00A56F8F" w:rsidRDefault="006A7511" w:rsidP="00D22A0C">
      <w:pPr>
        <w:pStyle w:val="ListParagraph"/>
        <w:numPr>
          <w:ilvl w:val="0"/>
          <w:numId w:val="24"/>
        </w:numPr>
        <w:rPr>
          <w:rFonts w:ascii="Calibri" w:eastAsia="Times New Roman" w:hAnsi="Calibri" w:cs="Times New Roman"/>
          <w:color w:val="auto"/>
          <w:szCs w:val="20"/>
          <w:lang w:eastAsia="en-AU"/>
        </w:rPr>
      </w:pPr>
      <w:r w:rsidRPr="006A7511">
        <w:rPr>
          <w:rFonts w:ascii="Calibri" w:eastAsia="Times New Roman" w:hAnsi="Calibri" w:cs="Times New Roman"/>
          <w:color w:val="auto"/>
          <w:szCs w:val="20"/>
          <w:lang w:eastAsia="en-AU"/>
        </w:rPr>
        <w:t xml:space="preserve">The Regulator is situated in the Department of the Treasury (the </w:t>
      </w:r>
      <w:r w:rsidRPr="00E86BC9">
        <w:rPr>
          <w:rFonts w:ascii="Calibri" w:eastAsia="Times New Roman" w:hAnsi="Calibri" w:cs="Times New Roman"/>
          <w:b/>
          <w:bCs/>
          <w:color w:val="auto"/>
          <w:szCs w:val="20"/>
          <w:lang w:eastAsia="en-AU"/>
        </w:rPr>
        <w:t>Treasury</w:t>
      </w:r>
      <w:r w:rsidRPr="006A7511">
        <w:rPr>
          <w:rFonts w:ascii="Calibri" w:eastAsia="Times New Roman" w:hAnsi="Calibri" w:cs="Times New Roman"/>
          <w:color w:val="auto"/>
          <w:szCs w:val="20"/>
          <w:lang w:eastAsia="en-AU"/>
        </w:rPr>
        <w:t>) with the Secretary of the Treasury designating a position occupied by an SES employee as the Payment Times Reporting Regulator under section 24 of the Act</w:t>
      </w:r>
      <w:r w:rsidR="00A56F8F" w:rsidRPr="00A56F8F">
        <w:rPr>
          <w:rFonts w:ascii="Calibri" w:eastAsia="Times New Roman" w:hAnsi="Calibri" w:cs="Times New Roman"/>
          <w:color w:val="auto"/>
          <w:szCs w:val="20"/>
          <w:lang w:eastAsia="en-AU"/>
        </w:rPr>
        <w:t>.</w:t>
      </w:r>
    </w:p>
    <w:p w14:paraId="1B49BCE0" w14:textId="03BB0649" w:rsidR="00FE2561" w:rsidRDefault="00FE2561" w:rsidP="00C84997">
      <w:pPr>
        <w:pStyle w:val="ListParagraph"/>
        <w:numPr>
          <w:ilvl w:val="1"/>
          <w:numId w:val="24"/>
        </w:numPr>
        <w:rPr>
          <w:rFonts w:ascii="Calibri" w:eastAsia="Times New Roman" w:hAnsi="Calibri" w:cs="Times New Roman"/>
          <w:color w:val="auto"/>
          <w:szCs w:val="20"/>
          <w:lang w:eastAsia="en-AU"/>
        </w:rPr>
      </w:pPr>
      <w:r>
        <w:rPr>
          <w:rFonts w:ascii="Calibri" w:eastAsia="Times New Roman" w:hAnsi="Calibri" w:cs="Times New Roman"/>
          <w:color w:val="auto"/>
          <w:szCs w:val="20"/>
          <w:lang w:eastAsia="en-AU"/>
        </w:rPr>
        <w:t>While situated within the Treasury, the Regulator operates with appropriate independence in exercising statutory functions and powers. Treasury provides administrative and operational support to enable effective delivery</w:t>
      </w:r>
      <w:r w:rsidR="005753C7">
        <w:rPr>
          <w:rFonts w:ascii="Calibri" w:eastAsia="Times New Roman" w:hAnsi="Calibri" w:cs="Times New Roman"/>
          <w:color w:val="auto"/>
          <w:szCs w:val="20"/>
          <w:lang w:eastAsia="en-AU"/>
        </w:rPr>
        <w:t xml:space="preserve"> of Regulator functions</w:t>
      </w:r>
      <w:r>
        <w:rPr>
          <w:rFonts w:ascii="Calibri" w:eastAsia="Times New Roman" w:hAnsi="Calibri" w:cs="Times New Roman"/>
          <w:color w:val="auto"/>
          <w:szCs w:val="20"/>
          <w:lang w:eastAsia="en-AU"/>
        </w:rPr>
        <w:t>.</w:t>
      </w:r>
    </w:p>
    <w:p w14:paraId="12BC8DFD" w14:textId="6F735E55" w:rsidR="006A7511" w:rsidRDefault="0042119A" w:rsidP="00D22A0C">
      <w:pPr>
        <w:pStyle w:val="ListParagraph"/>
        <w:numPr>
          <w:ilvl w:val="0"/>
          <w:numId w:val="24"/>
        </w:numPr>
        <w:rPr>
          <w:rFonts w:ascii="Calibri" w:eastAsia="Times New Roman" w:hAnsi="Calibri" w:cs="Times New Roman"/>
          <w:color w:val="auto"/>
          <w:szCs w:val="20"/>
          <w:lang w:eastAsia="en-AU"/>
        </w:rPr>
      </w:pPr>
      <w:r w:rsidRPr="0042119A">
        <w:rPr>
          <w:rFonts w:ascii="Calibri" w:eastAsia="Times New Roman" w:hAnsi="Calibri" w:cs="Times New Roman"/>
          <w:color w:val="auto"/>
          <w:szCs w:val="20"/>
          <w:lang w:eastAsia="en-AU"/>
        </w:rPr>
        <w:t>Regarding organisational matters, I expect:</w:t>
      </w:r>
    </w:p>
    <w:p w14:paraId="171B23D5" w14:textId="17ED5B78" w:rsidR="0042119A" w:rsidRDefault="0042119A" w:rsidP="00D22A0C">
      <w:pPr>
        <w:pStyle w:val="GRRParanumbers"/>
        <w:numPr>
          <w:ilvl w:val="1"/>
          <w:numId w:val="24"/>
        </w:numPr>
        <w:ind w:left="845" w:hanging="488"/>
        <w:rPr>
          <w:rFonts w:ascii="Calibri" w:eastAsia="Times New Roman" w:hAnsi="Calibri" w:cs="Times New Roman"/>
          <w:color w:val="auto"/>
          <w:szCs w:val="20"/>
          <w:lang w:eastAsia="en-AU"/>
        </w:rPr>
      </w:pPr>
      <w:r w:rsidRPr="0042119A">
        <w:rPr>
          <w:rFonts w:ascii="Calibri" w:eastAsia="Times New Roman" w:hAnsi="Calibri" w:cs="Times New Roman"/>
          <w:color w:val="auto"/>
          <w:szCs w:val="20"/>
          <w:lang w:eastAsia="en-AU"/>
        </w:rPr>
        <w:t xml:space="preserve">the Regulator to have responsibility for the executive management of the Regulator’s office, within the Treasury, </w:t>
      </w:r>
      <w:r w:rsidR="005753C7" w:rsidRPr="0042119A">
        <w:rPr>
          <w:rFonts w:ascii="Calibri" w:eastAsia="Times New Roman" w:hAnsi="Calibri" w:cs="Times New Roman"/>
          <w:color w:val="auto"/>
          <w:szCs w:val="20"/>
          <w:lang w:eastAsia="en-AU"/>
        </w:rPr>
        <w:t>which</w:t>
      </w:r>
      <w:r w:rsidRPr="0042119A">
        <w:rPr>
          <w:rFonts w:ascii="Calibri" w:eastAsia="Times New Roman" w:hAnsi="Calibri" w:cs="Times New Roman"/>
          <w:color w:val="auto"/>
          <w:szCs w:val="20"/>
          <w:lang w:eastAsia="en-AU"/>
        </w:rPr>
        <w:t xml:space="preserve"> will support the Regulator in delivering their statutory functions in an efficient and effective manner</w:t>
      </w:r>
    </w:p>
    <w:p w14:paraId="39E91750" w14:textId="4513F0A1" w:rsidR="0042119A" w:rsidRDefault="00D32202" w:rsidP="00D22A0C">
      <w:pPr>
        <w:pStyle w:val="GRRParanumbers"/>
        <w:numPr>
          <w:ilvl w:val="1"/>
          <w:numId w:val="24"/>
        </w:numPr>
        <w:ind w:left="845" w:hanging="488"/>
        <w:rPr>
          <w:rFonts w:ascii="Calibri" w:eastAsia="Times New Roman" w:hAnsi="Calibri" w:cs="Times New Roman"/>
          <w:color w:val="auto"/>
          <w:szCs w:val="20"/>
          <w:lang w:eastAsia="en-AU"/>
        </w:rPr>
      </w:pPr>
      <w:r w:rsidRPr="00D32202">
        <w:rPr>
          <w:rFonts w:ascii="Calibri" w:eastAsia="Times New Roman" w:hAnsi="Calibri" w:cs="Times New Roman"/>
          <w:color w:val="auto"/>
          <w:szCs w:val="20"/>
          <w:lang w:eastAsia="en-AU"/>
        </w:rPr>
        <w:t>the Regulator to delegate executive management functions to staff of the Treasury wherever they consider this would benefit the Regulator in the executive management of the Regulator’s office</w:t>
      </w:r>
    </w:p>
    <w:p w14:paraId="796EFC77" w14:textId="4E139342" w:rsidR="00F8665C" w:rsidRDefault="00D32202" w:rsidP="00FE2561">
      <w:pPr>
        <w:pStyle w:val="GRRParanumbers"/>
        <w:numPr>
          <w:ilvl w:val="1"/>
          <w:numId w:val="24"/>
        </w:numPr>
        <w:ind w:left="845" w:hanging="488"/>
        <w:rPr>
          <w:rFonts w:ascii="Calibri" w:eastAsia="Times New Roman" w:hAnsi="Calibri" w:cs="Times New Roman"/>
          <w:color w:val="auto"/>
          <w:szCs w:val="20"/>
          <w:lang w:eastAsia="en-AU"/>
        </w:rPr>
      </w:pPr>
      <w:r w:rsidRPr="00FE2561">
        <w:rPr>
          <w:rFonts w:ascii="Calibri" w:eastAsia="Times New Roman" w:hAnsi="Calibri" w:cs="Times New Roman"/>
          <w:color w:val="auto"/>
          <w:szCs w:val="20"/>
          <w:lang w:eastAsia="en-AU"/>
        </w:rPr>
        <w:t xml:space="preserve">staff supporting the Regulator to perform their duties in a manner consistent with Treasury policies, the </w:t>
      </w:r>
      <w:r w:rsidRPr="00FE2561">
        <w:rPr>
          <w:rFonts w:ascii="Calibri" w:eastAsia="Times New Roman" w:hAnsi="Calibri" w:cs="Times New Roman"/>
          <w:i/>
          <w:iCs/>
          <w:color w:val="auto"/>
          <w:szCs w:val="20"/>
          <w:lang w:eastAsia="en-AU"/>
        </w:rPr>
        <w:t>Public Service Act 1999</w:t>
      </w:r>
      <w:r w:rsidRPr="00FE2561">
        <w:rPr>
          <w:rFonts w:ascii="Calibri" w:eastAsia="Times New Roman" w:hAnsi="Calibri" w:cs="Times New Roman"/>
          <w:color w:val="auto"/>
          <w:szCs w:val="20"/>
          <w:lang w:eastAsia="en-AU"/>
        </w:rPr>
        <w:t>, the APS Code of Conduct and other relevant legislation and be accountable to the Secretary of the Treasury as the accountable authority of the Treasury</w:t>
      </w:r>
      <w:r w:rsidR="00A65260">
        <w:rPr>
          <w:rFonts w:ascii="Calibri" w:eastAsia="Times New Roman" w:hAnsi="Calibri" w:cs="Times New Roman"/>
          <w:color w:val="auto"/>
          <w:szCs w:val="20"/>
          <w:lang w:eastAsia="en-AU"/>
        </w:rPr>
        <w:t>, and</w:t>
      </w:r>
    </w:p>
    <w:p w14:paraId="70D1F2C7" w14:textId="78E67E1A" w:rsidR="00D32202" w:rsidRDefault="00D32202" w:rsidP="00D22A0C">
      <w:pPr>
        <w:pStyle w:val="GRRParanumbers"/>
        <w:numPr>
          <w:ilvl w:val="1"/>
          <w:numId w:val="24"/>
        </w:numPr>
        <w:ind w:left="845" w:hanging="488"/>
        <w:rPr>
          <w:rFonts w:ascii="Calibri" w:eastAsia="Times New Roman" w:hAnsi="Calibri" w:cs="Times New Roman"/>
          <w:color w:val="auto"/>
          <w:szCs w:val="20"/>
          <w:lang w:eastAsia="en-AU"/>
        </w:rPr>
      </w:pPr>
      <w:r w:rsidRPr="00D32202">
        <w:rPr>
          <w:rFonts w:ascii="Calibri" w:eastAsia="Times New Roman" w:hAnsi="Calibri" w:cs="Times New Roman"/>
          <w:color w:val="auto"/>
          <w:szCs w:val="20"/>
          <w:lang w:eastAsia="en-AU"/>
        </w:rPr>
        <w:t xml:space="preserve">the Regulator to publish this Statement and their corresponding Statement of Intent on their website, and report on performance in line with requirements set out in </w:t>
      </w:r>
      <w:r w:rsidR="00A06E0B">
        <w:rPr>
          <w:rFonts w:ascii="Calibri" w:eastAsia="Times New Roman" w:hAnsi="Calibri" w:cs="Times New Roman"/>
          <w:color w:val="auto"/>
          <w:szCs w:val="20"/>
          <w:lang w:eastAsia="en-AU"/>
        </w:rPr>
        <w:t xml:space="preserve">the </w:t>
      </w:r>
      <w:r w:rsidRPr="00A06E0B">
        <w:rPr>
          <w:rFonts w:ascii="Calibri" w:eastAsia="Times New Roman" w:hAnsi="Calibri" w:cs="Times New Roman"/>
          <w:i/>
          <w:iCs/>
          <w:color w:val="auto"/>
          <w:szCs w:val="20"/>
          <w:lang w:eastAsia="en-AU"/>
        </w:rPr>
        <w:t>Public</w:t>
      </w:r>
      <w:r w:rsidR="006071F5">
        <w:rPr>
          <w:rFonts w:ascii="Calibri" w:eastAsia="Times New Roman" w:hAnsi="Calibri" w:cs="Times New Roman"/>
          <w:i/>
          <w:iCs/>
          <w:color w:val="auto"/>
          <w:szCs w:val="20"/>
          <w:lang w:eastAsia="en-AU"/>
        </w:rPr>
        <w:t> </w:t>
      </w:r>
      <w:r w:rsidRPr="00A06E0B">
        <w:rPr>
          <w:rFonts w:ascii="Calibri" w:eastAsia="Times New Roman" w:hAnsi="Calibri" w:cs="Times New Roman"/>
          <w:i/>
          <w:iCs/>
          <w:color w:val="auto"/>
          <w:szCs w:val="20"/>
          <w:lang w:eastAsia="en-AU"/>
        </w:rPr>
        <w:t>Governance, Performance, and Accountability Act 2013</w:t>
      </w:r>
      <w:r w:rsidRPr="00D32202">
        <w:rPr>
          <w:rFonts w:ascii="Calibri" w:eastAsia="Times New Roman" w:hAnsi="Calibri" w:cs="Times New Roman"/>
          <w:color w:val="auto"/>
          <w:szCs w:val="20"/>
          <w:lang w:eastAsia="en-AU"/>
        </w:rPr>
        <w:t xml:space="preserve"> and the principles of best practice for Commonwealth regulators</w:t>
      </w:r>
      <w:r>
        <w:rPr>
          <w:rFonts w:ascii="Calibri" w:eastAsia="Times New Roman" w:hAnsi="Calibri" w:cs="Times New Roman"/>
          <w:color w:val="auto"/>
          <w:szCs w:val="20"/>
          <w:lang w:eastAsia="en-AU"/>
        </w:rPr>
        <w:t>.</w:t>
      </w:r>
    </w:p>
    <w:p w14:paraId="741C05E0" w14:textId="3DB8FAB1" w:rsidR="00147227" w:rsidRDefault="00147227" w:rsidP="00A56F8F">
      <w:pPr>
        <w:pStyle w:val="GRRParanumbers"/>
        <w:numPr>
          <w:ilvl w:val="0"/>
          <w:numId w:val="0"/>
        </w:numPr>
        <w:rPr>
          <w:rFonts w:ascii="Calibri" w:eastAsia="Times New Roman" w:hAnsi="Calibri" w:cs="Times New Roman"/>
          <w:color w:val="auto"/>
          <w:szCs w:val="20"/>
          <w:lang w:eastAsia="en-AU"/>
        </w:rPr>
      </w:pPr>
    </w:p>
    <w:p w14:paraId="5B630A88" w14:textId="7FD62EBD" w:rsidR="007D3180" w:rsidRDefault="007D3180" w:rsidP="0018780D">
      <w:pPr>
        <w:pStyle w:val="Heading4"/>
        <w:spacing w:before="0"/>
        <w:rPr>
          <w:lang w:eastAsia="en-GB"/>
        </w:rPr>
      </w:pPr>
      <w:r w:rsidRPr="007D3180">
        <w:rPr>
          <w:lang w:eastAsia="en-GB"/>
        </w:rPr>
        <w:t xml:space="preserve">The Hon </w:t>
      </w:r>
      <w:r w:rsidR="001C6822">
        <w:rPr>
          <w:lang w:eastAsia="en-GB"/>
        </w:rPr>
        <w:t xml:space="preserve">Dr </w:t>
      </w:r>
      <w:r w:rsidR="001D537A">
        <w:rPr>
          <w:lang w:eastAsia="en-GB"/>
        </w:rPr>
        <w:t>Anne Aly</w:t>
      </w:r>
      <w:r w:rsidRPr="007D3180">
        <w:rPr>
          <w:lang w:eastAsia="en-GB"/>
        </w:rPr>
        <w:t xml:space="preserve"> MP</w:t>
      </w:r>
    </w:p>
    <w:p w14:paraId="598D163E" w14:textId="70BDEB19" w:rsidR="00200573" w:rsidRPr="004476A2" w:rsidRDefault="007D3180" w:rsidP="0018780D">
      <w:pPr>
        <w:pStyle w:val="Heading4"/>
        <w:spacing w:before="0"/>
      </w:pPr>
      <w:r w:rsidRPr="007D3180">
        <w:rPr>
          <w:lang w:eastAsia="en-GB"/>
        </w:rPr>
        <w:t>Minister for Small Business</w:t>
      </w:r>
    </w:p>
    <w:sectPr w:rsidR="00200573" w:rsidRPr="004476A2" w:rsidSect="00605D96">
      <w:footerReference w:type="default" r:id="rId8"/>
      <w:footerReference w:type="first" r:id="rId9"/>
      <w:pgSz w:w="11906" w:h="16838" w:code="9"/>
      <w:pgMar w:top="1417" w:right="1417" w:bottom="1417" w:left="1417" w:header="1191"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13"/>
    </wne:keymap>
    <wne:keymap wne:kcmPrimary="0332">
      <wne:acd wne:acdName="acd15"/>
    </wne:keymap>
    <wne:keymap wne:kcmPrimary="0333">
      <wne:acd wne:acdName="acd16"/>
    </wne:keymap>
    <wne:keymap wne:kcmPrimary="0334">
      <wne:acd wne:acdName="acd17"/>
    </wne:keymap>
    <wne:keymap wne:kcmPrimary="0335">
      <wne:acd wne:acdName="acd18"/>
    </wne:keymap>
    <wne:keymap wne:kcmPrimary="0336">
      <wne:acd wne:acdName="acd19"/>
    </wne:keymap>
    <wne:keymap wne:kcmPrimary="0337">
      <wne:acd wne:acdName="acd14"/>
    </wne:keymap>
    <wne:keymap wne:kcmPrimary="0338">
      <wne:acd wne:acdName="acd20"/>
    </wne:keymap>
    <wne:keymap wne:kcmPrimary="0339">
      <wne:acd wne:acdName="acd21"/>
    </wne:keymap>
    <wne:keymap wne:kcmPrimary="0341">
      <wne:acd wne:acdName="acd4"/>
    </wne:keymap>
    <wne:keymap wne:kcmPrimary="0342">
      <wne:acd wne:acdName="acd7"/>
    </wne:keymap>
    <wne:keymap wne:kcmPrimary="0343">
      <wne:acd wne:acdName="acd0"/>
    </wne:keymap>
    <wne:keymap wne:kcmPrimary="0344">
      <wne:acd wne:acdName="acd8"/>
    </wne:keymap>
    <wne:keymap wne:kcmPrimary="0346">
      <wne:acd wne:acdName="acd3"/>
    </wne:keymap>
    <wne:keymap wne:kcmPrimary="034F">
      <wne:acd wne:acdName="acd9"/>
    </wne:keymap>
    <wne:keymap wne:kcmPrimary="0353">
      <wne:acd wne:acdName="acd6"/>
    </wne:keymap>
    <wne:keymap wne:kcmPrimary="0431">
      <wne:acd wne:acdName="acd10"/>
    </wne:keymap>
    <wne:keymap wne:kcmPrimary="0432">
      <wne:acd wne:acdName="acd11"/>
    </wne:keymap>
    <wne:keymap wne:kcmPrimary="0433">
      <wne:acd wne:acdName="acd12"/>
    </wne:keymap>
    <wne:keymap wne:kcmPrimary="0441">
      <wne:acd wne:acdName="acd22"/>
    </wne:keymap>
    <wne:keymap wne:kcmPrimary="0643">
      <wne:acd wne:acdName="acd1"/>
    </wne:keymap>
    <wne:keymap wne:kcmPrimary="0654">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Manifest>
  </wne:toolbars>
  <wne:acds>
    <wne:acd wne:argValue="AgBDAGgAYQByAHQAIABNAGEAaQBuACAASABlAGEAZABpAG4AZwA=" wne:acdName="acd0" wne:fciIndexBasedOn="0065"/>
    <wne:acd wne:argValue="AgBDAGgAYQByAHQAIABTAGUAYwBvAG4AZAAgAEgAZQBhAGQAaQBuAGcA" wne:acdName="acd1" wne:fciIndexBasedOn="0065"/>
    <wne:acd wne:argValue="AgBDAGgAYQByAHQAIABhAG4AZAAgAFQAYQBiAGwAZQAgAEYAbwBvAHQAbgBvAHQAZQAgAEEAbABw&#10;AGgAYQA=" wne:acdName="acd2" wne:fciIndexBasedOn="0065"/>
    <wne:acd wne:argValue="AgBDAGgAYQByAHQAIABvAHIAIABUAGEAYgBsAGUAIABOAG8AdABlAA==" wne:acdName="acd3" wne:fciIndexBasedOn="0065"/>
    <wne:acd wne:argValue="AgBUAGEAYgBsAGUAIABNAGEAaQBuACAASABlAGEAZABpAG4AZwA=" wne:acdName="acd4" wne:fciIndexBasedOn="0065"/>
    <wne:acd wne:acdName="acd5" wne:fciIndexBasedOn="0065"/>
    <wne:acd wne:argValue="AgBTAGkAbgBnAGwAZQAgAFAAYQByAGEAZwByAGEAcABoAA==" wne:acdName="acd6" wne:fciIndexBasedOn="0065"/>
    <wne:acd wne:argValue="AgBCAHUAbABsAGUAdAA=" wne:acdName="acd7" wne:fciIndexBasedOn="0065"/>
    <wne:acd wne:argValue="AgBEAGEAcwBoAA==" wne:acdName="acd8" wne:fciIndexBasedOn="0065"/>
    <wne:acd wne:argValue="AgBEAG8AdQBiAGwAZQAgAEQAbwB0AA==" wne:acdName="acd9" wne:fciIndexBasedOn="0065"/>
    <wne:acd wne:argValue="AgBPAHUAdABsAGkAbgBlACAATgB1AG0AYgBlAHIAZQBkACAAMQA=" wne:acdName="acd10" wne:fciIndexBasedOn="0065"/>
    <wne:acd wne:argValue="AgBPAHUAdABsAGkAbgBlACAATgB1AG0AYgBlAHIAZQBkACAAMgA=" wne:acdName="acd11" wne:fciIndexBasedOn="0065"/>
    <wne:acd wne:argValue="AgBPAHUAdABsAGkAbgBlACAATgB1AG0AYgBlAHIAZQBkACAAMwA=" wne:acdName="acd12" wne:fciIndexBasedOn="0065"/>
    <wne:acd wne:argValue="AQAAAAEA" wne:acdName="acd13" wne:fciIndexBasedOn="0065"/>
    <wne:acd wne:argValue="AgBIAGUAYQBkAGkAbgBnACAAMQAgAE4AdQBtAGIAZQByAGUAZAA=" wne:acdName="acd14" wne:fciIndexBasedOn="0065"/>
    <wne:acd wne:argValue="AQAAAAIA" wne:acdName="acd15" wne:fciIndexBasedOn="0065"/>
    <wne:acd wne:argValue="AQAAAAMA" wne:acdName="acd16" wne:fciIndexBasedOn="0065"/>
    <wne:acd wne:argValue="AQAAAAQA" wne:acdName="acd17" wne:fciIndexBasedOn="0065"/>
    <wne:acd wne:argValue="AQAAAAUA" wne:acdName="acd18" wne:fciIndexBasedOn="0065"/>
    <wne:acd wne:argValue="AQAAAAYA" wne:acdName="acd19" wne:fciIndexBasedOn="0065"/>
    <wne:acd wne:argValue="AgBIAGUAYQBkAGkAbgBnACAAMgAgAE4AdQBtAGIAZQByAGUAZAA=" wne:acdName="acd20" wne:fciIndexBasedOn="0065"/>
    <wne:acd wne:argValue="AgBIAGUAYQBkAGkAbgBnACAAMwAgAE4AdQBtAGIAZQByAGUAZAA=" wne:acdName="acd21" wne:fciIndexBasedOn="0065"/>
    <wne:acd wne:argValue="AgBUAGEAYgBsAGUAIABIAGUAYQBkAGkAbgBnACAAQwBvAG4AdABpAG4AdQBlAGQA" wne:acdName="acd2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7B69" w14:textId="77777777" w:rsidR="00397F37" w:rsidRDefault="00397F37">
      <w:pPr>
        <w:spacing w:before="0" w:after="0"/>
      </w:pPr>
      <w:r>
        <w:separator/>
      </w:r>
    </w:p>
  </w:endnote>
  <w:endnote w:type="continuationSeparator" w:id="0">
    <w:p w14:paraId="24856842" w14:textId="77777777" w:rsidR="00397F37" w:rsidRDefault="00397F37">
      <w:pPr>
        <w:spacing w:before="0" w:after="0"/>
      </w:pPr>
      <w:r>
        <w:continuationSeparator/>
      </w:r>
    </w:p>
  </w:endnote>
  <w:endnote w:type="continuationNotice" w:id="1">
    <w:p w14:paraId="13B043DC" w14:textId="77777777" w:rsidR="00397F37" w:rsidRDefault="00397F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77C4" w14:textId="65C8CCF9" w:rsidR="001E7AE4" w:rsidRDefault="001E7AE4" w:rsidP="001E7AE4">
    <w:pPr>
      <w:pStyle w:val="FooterOdd"/>
      <w:tabs>
        <w:tab w:val="right" w:pos="9072"/>
      </w:tabs>
    </w:pP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12FA" w14:textId="2A8C3F43" w:rsidR="001E7AE4" w:rsidRDefault="001E7AE4" w:rsidP="001E7AE4">
    <w:pPr>
      <w:pStyle w:val="FooterOdd"/>
      <w:tabs>
        <w:tab w:val="right" w:pos="9072"/>
      </w:tabs>
    </w:pP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B977" w14:textId="77777777" w:rsidR="00397F37" w:rsidRDefault="00397F37">
      <w:pPr>
        <w:spacing w:before="0" w:after="0"/>
      </w:pPr>
      <w:r>
        <w:separator/>
      </w:r>
    </w:p>
  </w:footnote>
  <w:footnote w:type="continuationSeparator" w:id="0">
    <w:p w14:paraId="343D499D" w14:textId="77777777" w:rsidR="00397F37" w:rsidRDefault="00397F37">
      <w:pPr>
        <w:spacing w:before="0" w:after="0"/>
      </w:pPr>
      <w:r>
        <w:continuationSeparator/>
      </w:r>
    </w:p>
  </w:footnote>
  <w:footnote w:type="continuationNotice" w:id="1">
    <w:p w14:paraId="17CB127F" w14:textId="77777777" w:rsidR="00397F37" w:rsidRDefault="00397F3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F7C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C4E5D"/>
    <w:multiLevelType w:val="multilevel"/>
    <w:tmpl w:val="D10E9CF6"/>
    <w:numStyleLink w:val="OneLevelList"/>
  </w:abstractNum>
  <w:abstractNum w:abstractNumId="5" w15:restartNumberingAfterBreak="0">
    <w:nsid w:val="172647A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97DC52FC"/>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0FD137E"/>
    <w:multiLevelType w:val="hybridMultilevel"/>
    <w:tmpl w:val="685606A4"/>
    <w:lvl w:ilvl="0" w:tplc="333E4A76">
      <w:start w:val="1"/>
      <w:numFmt w:val="decimal"/>
      <w:pStyle w:val="GRRParanumbers"/>
      <w:lvlText w:val="%1"/>
      <w:lvlJc w:val="right"/>
      <w:pPr>
        <w:ind w:left="720" w:hanging="360"/>
      </w:pPr>
      <w:rPr>
        <w:rFonts w:asciiTheme="minorHAnsi" w:hAnsiTheme="minorHAnsi" w:cstheme="minorHAnsi" w:hint="default"/>
        <w:b w:val="0"/>
        <w:bCs w:val="0"/>
        <w:color w:val="auto"/>
        <w:sz w:val="22"/>
        <w:szCs w:val="22"/>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C274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062C15"/>
    <w:multiLevelType w:val="hybridMultilevel"/>
    <w:tmpl w:val="C700F4CA"/>
    <w:lvl w:ilvl="0" w:tplc="0C09000F">
      <w:start w:val="1"/>
      <w:numFmt w:val="decimal"/>
      <w:lvlText w:val="%1."/>
      <w:lvlJc w:val="left"/>
      <w:pPr>
        <w:ind w:left="360" w:hanging="360"/>
      </w:pPr>
      <w:rPr>
        <w:rFonts w:hint="default"/>
        <w:b w:val="0"/>
        <w:bCs w:val="0"/>
        <w:color w:val="auto"/>
        <w:sz w:val="22"/>
        <w:szCs w:val="22"/>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4F5F32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08075F"/>
    <w:multiLevelType w:val="hybridMultilevel"/>
    <w:tmpl w:val="3BA8FB8A"/>
    <w:lvl w:ilvl="0" w:tplc="C4C67C56">
      <w:start w:val="1"/>
      <w:numFmt w:val="bullet"/>
      <w:pStyle w:val="ListParagraph"/>
      <w:lvlText w:val="-"/>
      <w:lvlJc w:val="left"/>
      <w:pPr>
        <w:ind w:left="700" w:hanging="360"/>
      </w:pPr>
      <w:rPr>
        <w:rFonts w:ascii="Aptos" w:hAnsi="Aptos" w:hint="default"/>
        <w:color w:val="3A6FAF"/>
        <w:u w:color="719CD1"/>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18" w15:restartNumberingAfterBreak="0">
    <w:nsid w:val="510D2021"/>
    <w:multiLevelType w:val="multilevel"/>
    <w:tmpl w:val="72F8140E"/>
    <w:numStyleLink w:val="OutlineList"/>
  </w:abstractNum>
  <w:abstractNum w:abstractNumId="19" w15:restartNumberingAfterBreak="0">
    <w:nsid w:val="5B35570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9216A96"/>
    <w:multiLevelType w:val="hybridMultilevel"/>
    <w:tmpl w:val="7ECE0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380284742">
    <w:abstractNumId w:val="9"/>
  </w:num>
  <w:num w:numId="2" w16cid:durableId="863714490">
    <w:abstractNumId w:val="0"/>
  </w:num>
  <w:num w:numId="3" w16cid:durableId="881357727">
    <w:abstractNumId w:val="12"/>
  </w:num>
  <w:num w:numId="4" w16cid:durableId="1808820169">
    <w:abstractNumId w:val="2"/>
  </w:num>
  <w:num w:numId="5" w16cid:durableId="913198201">
    <w:abstractNumId w:val="4"/>
  </w:num>
  <w:num w:numId="6" w16cid:durableId="1070807618">
    <w:abstractNumId w:val="18"/>
  </w:num>
  <w:num w:numId="7" w16cid:durableId="1711345892">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710493431">
    <w:abstractNumId w:val="6"/>
  </w:num>
  <w:num w:numId="9" w16cid:durableId="1891191367">
    <w:abstractNumId w:val="1"/>
  </w:num>
  <w:num w:numId="10" w16cid:durableId="1757553467">
    <w:abstractNumId w:val="8"/>
  </w:num>
  <w:num w:numId="11" w16cid:durableId="1843157924">
    <w:abstractNumId w:val="23"/>
  </w:num>
  <w:num w:numId="12" w16cid:durableId="125466350">
    <w:abstractNumId w:val="18"/>
  </w:num>
  <w:num w:numId="13" w16cid:durableId="877358860">
    <w:abstractNumId w:val="24"/>
  </w:num>
  <w:num w:numId="14" w16cid:durableId="395056194">
    <w:abstractNumId w:val="15"/>
  </w:num>
  <w:num w:numId="15" w16cid:durableId="720783455">
    <w:abstractNumId w:val="7"/>
  </w:num>
  <w:num w:numId="16" w16cid:durableId="1440561816">
    <w:abstractNumId w:val="20"/>
  </w:num>
  <w:num w:numId="17" w16cid:durableId="1944991471">
    <w:abstractNumId w:val="11"/>
  </w:num>
  <w:num w:numId="18" w16cid:durableId="1783451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413911">
    <w:abstractNumId w:val="17"/>
  </w:num>
  <w:num w:numId="20" w16cid:durableId="546528509">
    <w:abstractNumId w:val="10"/>
  </w:num>
  <w:num w:numId="21" w16cid:durableId="1487744305">
    <w:abstractNumId w:val="14"/>
  </w:num>
  <w:num w:numId="22" w16cid:durableId="1090925530">
    <w:abstractNumId w:val="21"/>
  </w:num>
  <w:num w:numId="23" w16cid:durableId="1861310208">
    <w:abstractNumId w:val="10"/>
  </w:num>
  <w:num w:numId="24" w16cid:durableId="1160971994">
    <w:abstractNumId w:val="3"/>
  </w:num>
  <w:num w:numId="25" w16cid:durableId="891116191">
    <w:abstractNumId w:val="10"/>
  </w:num>
  <w:num w:numId="26" w16cid:durableId="1326452">
    <w:abstractNumId w:val="10"/>
  </w:num>
  <w:num w:numId="27" w16cid:durableId="421726035">
    <w:abstractNumId w:val="10"/>
  </w:num>
  <w:num w:numId="28" w16cid:durableId="1205172717">
    <w:abstractNumId w:val="10"/>
  </w:num>
  <w:num w:numId="29" w16cid:durableId="1520005742">
    <w:abstractNumId w:val="17"/>
  </w:num>
  <w:num w:numId="30" w16cid:durableId="206796984">
    <w:abstractNumId w:val="17"/>
  </w:num>
  <w:num w:numId="31" w16cid:durableId="1353385894">
    <w:abstractNumId w:val="16"/>
  </w:num>
  <w:num w:numId="32" w16cid:durableId="1823503493">
    <w:abstractNumId w:val="10"/>
  </w:num>
  <w:num w:numId="33" w16cid:durableId="983199274">
    <w:abstractNumId w:val="10"/>
  </w:num>
  <w:num w:numId="34" w16cid:durableId="711458859">
    <w:abstractNumId w:val="10"/>
  </w:num>
  <w:num w:numId="35" w16cid:durableId="693455272">
    <w:abstractNumId w:val="10"/>
  </w:num>
  <w:num w:numId="36" w16cid:durableId="905333897">
    <w:abstractNumId w:val="10"/>
  </w:num>
  <w:num w:numId="37" w16cid:durableId="173034324">
    <w:abstractNumId w:val="10"/>
  </w:num>
  <w:num w:numId="38" w16cid:durableId="1939023022">
    <w:abstractNumId w:val="10"/>
  </w:num>
  <w:num w:numId="39" w16cid:durableId="927470542">
    <w:abstractNumId w:val="10"/>
  </w:num>
  <w:num w:numId="40" w16cid:durableId="259683980">
    <w:abstractNumId w:val="10"/>
  </w:num>
  <w:num w:numId="41" w16cid:durableId="603001124">
    <w:abstractNumId w:val="10"/>
  </w:num>
  <w:num w:numId="42" w16cid:durableId="957369586">
    <w:abstractNumId w:val="17"/>
  </w:num>
  <w:num w:numId="43" w16cid:durableId="918559110">
    <w:abstractNumId w:val="17"/>
  </w:num>
  <w:num w:numId="44" w16cid:durableId="1534540911">
    <w:abstractNumId w:val="10"/>
  </w:num>
  <w:num w:numId="45" w16cid:durableId="765492455">
    <w:abstractNumId w:val="10"/>
  </w:num>
  <w:num w:numId="46" w16cid:durableId="779181008">
    <w:abstractNumId w:val="5"/>
  </w:num>
  <w:num w:numId="47" w16cid:durableId="641429462">
    <w:abstractNumId w:val="13"/>
  </w:num>
  <w:num w:numId="48" w16cid:durableId="3307176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mirrorMargins/>
  <w:proofState w:spelling="clean" w:grammar="clean"/>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21"/>
    <w:rsid w:val="00000A3C"/>
    <w:rsid w:val="00002971"/>
    <w:rsid w:val="000065CA"/>
    <w:rsid w:val="00011725"/>
    <w:rsid w:val="00012C62"/>
    <w:rsid w:val="0001396A"/>
    <w:rsid w:val="000151AF"/>
    <w:rsid w:val="0002544D"/>
    <w:rsid w:val="00025495"/>
    <w:rsid w:val="000264AF"/>
    <w:rsid w:val="000268AA"/>
    <w:rsid w:val="0003240E"/>
    <w:rsid w:val="00037754"/>
    <w:rsid w:val="0004274D"/>
    <w:rsid w:val="00043348"/>
    <w:rsid w:val="0004379D"/>
    <w:rsid w:val="0004483F"/>
    <w:rsid w:val="00044EF1"/>
    <w:rsid w:val="000459D9"/>
    <w:rsid w:val="0005138B"/>
    <w:rsid w:val="000522B7"/>
    <w:rsid w:val="00054DD7"/>
    <w:rsid w:val="00056880"/>
    <w:rsid w:val="00061AC2"/>
    <w:rsid w:val="00063C97"/>
    <w:rsid w:val="00064245"/>
    <w:rsid w:val="00065299"/>
    <w:rsid w:val="000675D1"/>
    <w:rsid w:val="00071263"/>
    <w:rsid w:val="00071467"/>
    <w:rsid w:val="00073521"/>
    <w:rsid w:val="000775DE"/>
    <w:rsid w:val="00081879"/>
    <w:rsid w:val="000845D1"/>
    <w:rsid w:val="00085D13"/>
    <w:rsid w:val="00087FAF"/>
    <w:rsid w:val="000909F0"/>
    <w:rsid w:val="000916D4"/>
    <w:rsid w:val="000A5242"/>
    <w:rsid w:val="000A71EB"/>
    <w:rsid w:val="000B3792"/>
    <w:rsid w:val="000B7453"/>
    <w:rsid w:val="000C571D"/>
    <w:rsid w:val="000C5D89"/>
    <w:rsid w:val="000C5F40"/>
    <w:rsid w:val="000D1E54"/>
    <w:rsid w:val="000D4E37"/>
    <w:rsid w:val="000D737F"/>
    <w:rsid w:val="000E0B74"/>
    <w:rsid w:val="000E3C56"/>
    <w:rsid w:val="000E7901"/>
    <w:rsid w:val="000F4FAD"/>
    <w:rsid w:val="000F6305"/>
    <w:rsid w:val="00100CCB"/>
    <w:rsid w:val="0011206E"/>
    <w:rsid w:val="00115788"/>
    <w:rsid w:val="00116D2B"/>
    <w:rsid w:val="0011734C"/>
    <w:rsid w:val="0012619D"/>
    <w:rsid w:val="001316F4"/>
    <w:rsid w:val="00131DC3"/>
    <w:rsid w:val="00132BCB"/>
    <w:rsid w:val="001333DC"/>
    <w:rsid w:val="00134268"/>
    <w:rsid w:val="0013480A"/>
    <w:rsid w:val="00135E4C"/>
    <w:rsid w:val="001373F5"/>
    <w:rsid w:val="00140F45"/>
    <w:rsid w:val="001427C8"/>
    <w:rsid w:val="00145C06"/>
    <w:rsid w:val="001470D9"/>
    <w:rsid w:val="00147227"/>
    <w:rsid w:val="001515EF"/>
    <w:rsid w:val="0015195E"/>
    <w:rsid w:val="00156288"/>
    <w:rsid w:val="001574C0"/>
    <w:rsid w:val="001606CF"/>
    <w:rsid w:val="0016128D"/>
    <w:rsid w:val="00162ADD"/>
    <w:rsid w:val="001631F4"/>
    <w:rsid w:val="00164C91"/>
    <w:rsid w:val="00167C60"/>
    <w:rsid w:val="0017089D"/>
    <w:rsid w:val="0017345F"/>
    <w:rsid w:val="001769B2"/>
    <w:rsid w:val="00177A2C"/>
    <w:rsid w:val="00177AC8"/>
    <w:rsid w:val="00180481"/>
    <w:rsid w:val="001807C4"/>
    <w:rsid w:val="00181127"/>
    <w:rsid w:val="001850F1"/>
    <w:rsid w:val="0018780D"/>
    <w:rsid w:val="0019101A"/>
    <w:rsid w:val="00193974"/>
    <w:rsid w:val="00195AF0"/>
    <w:rsid w:val="001972D2"/>
    <w:rsid w:val="001A0ADD"/>
    <w:rsid w:val="001A228F"/>
    <w:rsid w:val="001A7F86"/>
    <w:rsid w:val="001C24AE"/>
    <w:rsid w:val="001C358D"/>
    <w:rsid w:val="001C5111"/>
    <w:rsid w:val="001C5450"/>
    <w:rsid w:val="001C6822"/>
    <w:rsid w:val="001C7D7B"/>
    <w:rsid w:val="001D537A"/>
    <w:rsid w:val="001D54A2"/>
    <w:rsid w:val="001D5EFC"/>
    <w:rsid w:val="001E0E1C"/>
    <w:rsid w:val="001E7986"/>
    <w:rsid w:val="001E7AE4"/>
    <w:rsid w:val="001F1B27"/>
    <w:rsid w:val="001F5FF9"/>
    <w:rsid w:val="001F762D"/>
    <w:rsid w:val="00200573"/>
    <w:rsid w:val="00206A99"/>
    <w:rsid w:val="00207E55"/>
    <w:rsid w:val="002107BA"/>
    <w:rsid w:val="00212F86"/>
    <w:rsid w:val="00214B7F"/>
    <w:rsid w:val="00221AF7"/>
    <w:rsid w:val="00221EC0"/>
    <w:rsid w:val="00223A9A"/>
    <w:rsid w:val="00226BA0"/>
    <w:rsid w:val="00230591"/>
    <w:rsid w:val="00231049"/>
    <w:rsid w:val="002314D2"/>
    <w:rsid w:val="0023305C"/>
    <w:rsid w:val="00233E2F"/>
    <w:rsid w:val="00241881"/>
    <w:rsid w:val="0024294C"/>
    <w:rsid w:val="00247BAC"/>
    <w:rsid w:val="002501C7"/>
    <w:rsid w:val="002502D7"/>
    <w:rsid w:val="00250A26"/>
    <w:rsid w:val="002526DA"/>
    <w:rsid w:val="00255CE8"/>
    <w:rsid w:val="0025633F"/>
    <w:rsid w:val="0025652F"/>
    <w:rsid w:val="00256828"/>
    <w:rsid w:val="00263B6C"/>
    <w:rsid w:val="0026457E"/>
    <w:rsid w:val="0026575B"/>
    <w:rsid w:val="00267FF5"/>
    <w:rsid w:val="00272939"/>
    <w:rsid w:val="0027590B"/>
    <w:rsid w:val="00277206"/>
    <w:rsid w:val="00282BA4"/>
    <w:rsid w:val="00283C82"/>
    <w:rsid w:val="00284D59"/>
    <w:rsid w:val="00285969"/>
    <w:rsid w:val="00291CA1"/>
    <w:rsid w:val="00297D8E"/>
    <w:rsid w:val="002A175A"/>
    <w:rsid w:val="002A344F"/>
    <w:rsid w:val="002A74EF"/>
    <w:rsid w:val="002A7690"/>
    <w:rsid w:val="002B22A6"/>
    <w:rsid w:val="002B3829"/>
    <w:rsid w:val="002B3B45"/>
    <w:rsid w:val="002B3D55"/>
    <w:rsid w:val="002C22EF"/>
    <w:rsid w:val="002C377F"/>
    <w:rsid w:val="002C4DE1"/>
    <w:rsid w:val="002D01DA"/>
    <w:rsid w:val="002D5B4C"/>
    <w:rsid w:val="002D7124"/>
    <w:rsid w:val="002E347E"/>
    <w:rsid w:val="002E454C"/>
    <w:rsid w:val="002F479B"/>
    <w:rsid w:val="002F550C"/>
    <w:rsid w:val="002F5C2A"/>
    <w:rsid w:val="002F617F"/>
    <w:rsid w:val="00300109"/>
    <w:rsid w:val="00301755"/>
    <w:rsid w:val="003044A1"/>
    <w:rsid w:val="0030665E"/>
    <w:rsid w:val="00306894"/>
    <w:rsid w:val="003122F4"/>
    <w:rsid w:val="0031369F"/>
    <w:rsid w:val="00313A29"/>
    <w:rsid w:val="00322172"/>
    <w:rsid w:val="00322E6F"/>
    <w:rsid w:val="003268D5"/>
    <w:rsid w:val="00334122"/>
    <w:rsid w:val="00334F97"/>
    <w:rsid w:val="003448F6"/>
    <w:rsid w:val="00345700"/>
    <w:rsid w:val="00350759"/>
    <w:rsid w:val="00354D27"/>
    <w:rsid w:val="003564CE"/>
    <w:rsid w:val="0035738A"/>
    <w:rsid w:val="00357B81"/>
    <w:rsid w:val="003624E3"/>
    <w:rsid w:val="0037565E"/>
    <w:rsid w:val="00381786"/>
    <w:rsid w:val="003826E7"/>
    <w:rsid w:val="0038277B"/>
    <w:rsid w:val="003831CE"/>
    <w:rsid w:val="003858A6"/>
    <w:rsid w:val="00390D22"/>
    <w:rsid w:val="00392DCC"/>
    <w:rsid w:val="00397F37"/>
    <w:rsid w:val="003A29FC"/>
    <w:rsid w:val="003A5B36"/>
    <w:rsid w:val="003A5CCE"/>
    <w:rsid w:val="003B05EE"/>
    <w:rsid w:val="003C0BCD"/>
    <w:rsid w:val="003C24B4"/>
    <w:rsid w:val="003C26F2"/>
    <w:rsid w:val="003D0D9F"/>
    <w:rsid w:val="003D341E"/>
    <w:rsid w:val="003D386A"/>
    <w:rsid w:val="003D4A6D"/>
    <w:rsid w:val="003E1812"/>
    <w:rsid w:val="003E20D6"/>
    <w:rsid w:val="003E4D87"/>
    <w:rsid w:val="003E5FC6"/>
    <w:rsid w:val="003E63B3"/>
    <w:rsid w:val="003F082E"/>
    <w:rsid w:val="003F2BC4"/>
    <w:rsid w:val="003F6576"/>
    <w:rsid w:val="00401082"/>
    <w:rsid w:val="004017F6"/>
    <w:rsid w:val="004137E6"/>
    <w:rsid w:val="00413EE3"/>
    <w:rsid w:val="00414896"/>
    <w:rsid w:val="00414DDF"/>
    <w:rsid w:val="00416762"/>
    <w:rsid w:val="00416A41"/>
    <w:rsid w:val="00416E55"/>
    <w:rsid w:val="0041722D"/>
    <w:rsid w:val="0042119A"/>
    <w:rsid w:val="004244B6"/>
    <w:rsid w:val="0042518A"/>
    <w:rsid w:val="004276A0"/>
    <w:rsid w:val="004306F1"/>
    <w:rsid w:val="0044144B"/>
    <w:rsid w:val="00445265"/>
    <w:rsid w:val="004476A2"/>
    <w:rsid w:val="00450DC2"/>
    <w:rsid w:val="00453F46"/>
    <w:rsid w:val="004559CE"/>
    <w:rsid w:val="00460E1A"/>
    <w:rsid w:val="00460E73"/>
    <w:rsid w:val="00463DF8"/>
    <w:rsid w:val="00464D63"/>
    <w:rsid w:val="0047399A"/>
    <w:rsid w:val="00475085"/>
    <w:rsid w:val="00476CF6"/>
    <w:rsid w:val="00477AA8"/>
    <w:rsid w:val="0048018C"/>
    <w:rsid w:val="00482B16"/>
    <w:rsid w:val="00484D57"/>
    <w:rsid w:val="00490C80"/>
    <w:rsid w:val="00492FCB"/>
    <w:rsid w:val="004958FE"/>
    <w:rsid w:val="004A0F11"/>
    <w:rsid w:val="004A3EAA"/>
    <w:rsid w:val="004A4EF1"/>
    <w:rsid w:val="004A7D97"/>
    <w:rsid w:val="004B3575"/>
    <w:rsid w:val="004B5133"/>
    <w:rsid w:val="004B61C0"/>
    <w:rsid w:val="004C302A"/>
    <w:rsid w:val="004C3D77"/>
    <w:rsid w:val="004C41B6"/>
    <w:rsid w:val="004D07E3"/>
    <w:rsid w:val="004D33FB"/>
    <w:rsid w:val="004D47A1"/>
    <w:rsid w:val="004D4EC2"/>
    <w:rsid w:val="004D5EED"/>
    <w:rsid w:val="004D6E37"/>
    <w:rsid w:val="004E00EA"/>
    <w:rsid w:val="004E01DA"/>
    <w:rsid w:val="004E7E82"/>
    <w:rsid w:val="004F430A"/>
    <w:rsid w:val="004F4B92"/>
    <w:rsid w:val="004F4F23"/>
    <w:rsid w:val="004F7316"/>
    <w:rsid w:val="0050375C"/>
    <w:rsid w:val="005042C5"/>
    <w:rsid w:val="00505602"/>
    <w:rsid w:val="005103E4"/>
    <w:rsid w:val="005113FD"/>
    <w:rsid w:val="00513B7A"/>
    <w:rsid w:val="00516785"/>
    <w:rsid w:val="005217E5"/>
    <w:rsid w:val="00522E57"/>
    <w:rsid w:val="0052419D"/>
    <w:rsid w:val="005301F8"/>
    <w:rsid w:val="005312FC"/>
    <w:rsid w:val="005346C7"/>
    <w:rsid w:val="00534B9A"/>
    <w:rsid w:val="0053569E"/>
    <w:rsid w:val="0053603D"/>
    <w:rsid w:val="0053742A"/>
    <w:rsid w:val="00537C85"/>
    <w:rsid w:val="0054021A"/>
    <w:rsid w:val="00541D29"/>
    <w:rsid w:val="00547B99"/>
    <w:rsid w:val="0055214D"/>
    <w:rsid w:val="00552F96"/>
    <w:rsid w:val="00556D80"/>
    <w:rsid w:val="00557270"/>
    <w:rsid w:val="00561F04"/>
    <w:rsid w:val="0056289A"/>
    <w:rsid w:val="00562F17"/>
    <w:rsid w:val="0056582C"/>
    <w:rsid w:val="00565A81"/>
    <w:rsid w:val="005753C7"/>
    <w:rsid w:val="0057563B"/>
    <w:rsid w:val="0057767A"/>
    <w:rsid w:val="005812DA"/>
    <w:rsid w:val="00583559"/>
    <w:rsid w:val="00583EEA"/>
    <w:rsid w:val="00584243"/>
    <w:rsid w:val="0058571E"/>
    <w:rsid w:val="00585F16"/>
    <w:rsid w:val="005868DE"/>
    <w:rsid w:val="005877AC"/>
    <w:rsid w:val="00593B6D"/>
    <w:rsid w:val="005966B7"/>
    <w:rsid w:val="00597E41"/>
    <w:rsid w:val="005A5C3B"/>
    <w:rsid w:val="005B5E2A"/>
    <w:rsid w:val="005C02A4"/>
    <w:rsid w:val="005C20D2"/>
    <w:rsid w:val="005C32FE"/>
    <w:rsid w:val="005C4715"/>
    <w:rsid w:val="005C503A"/>
    <w:rsid w:val="005C63AB"/>
    <w:rsid w:val="005D024A"/>
    <w:rsid w:val="005D4FD4"/>
    <w:rsid w:val="005D6D64"/>
    <w:rsid w:val="005E060B"/>
    <w:rsid w:val="005F2E39"/>
    <w:rsid w:val="005F3D66"/>
    <w:rsid w:val="005F6F92"/>
    <w:rsid w:val="00601650"/>
    <w:rsid w:val="00604EEF"/>
    <w:rsid w:val="00605AFD"/>
    <w:rsid w:val="00605D96"/>
    <w:rsid w:val="006071F5"/>
    <w:rsid w:val="006123D4"/>
    <w:rsid w:val="0061389A"/>
    <w:rsid w:val="0061445B"/>
    <w:rsid w:val="00615E7E"/>
    <w:rsid w:val="00624C4B"/>
    <w:rsid w:val="0062602B"/>
    <w:rsid w:val="00626AA2"/>
    <w:rsid w:val="00632C62"/>
    <w:rsid w:val="00636216"/>
    <w:rsid w:val="00644788"/>
    <w:rsid w:val="006464F0"/>
    <w:rsid w:val="00647AC5"/>
    <w:rsid w:val="0065525B"/>
    <w:rsid w:val="006564D3"/>
    <w:rsid w:val="0065684B"/>
    <w:rsid w:val="0066054A"/>
    <w:rsid w:val="006640EB"/>
    <w:rsid w:val="006652FB"/>
    <w:rsid w:val="00666CDA"/>
    <w:rsid w:val="00667996"/>
    <w:rsid w:val="00667E59"/>
    <w:rsid w:val="00667EA1"/>
    <w:rsid w:val="0067208D"/>
    <w:rsid w:val="0067567E"/>
    <w:rsid w:val="0067622C"/>
    <w:rsid w:val="00684B06"/>
    <w:rsid w:val="00685CF7"/>
    <w:rsid w:val="00686165"/>
    <w:rsid w:val="006911E8"/>
    <w:rsid w:val="00691CB5"/>
    <w:rsid w:val="006923DF"/>
    <w:rsid w:val="00694136"/>
    <w:rsid w:val="006A3361"/>
    <w:rsid w:val="006A37F5"/>
    <w:rsid w:val="006A3E56"/>
    <w:rsid w:val="006A6C35"/>
    <w:rsid w:val="006A7511"/>
    <w:rsid w:val="006B38FF"/>
    <w:rsid w:val="006B4C81"/>
    <w:rsid w:val="006B677D"/>
    <w:rsid w:val="006C1892"/>
    <w:rsid w:val="006C556E"/>
    <w:rsid w:val="006C5B73"/>
    <w:rsid w:val="006C645D"/>
    <w:rsid w:val="006D432E"/>
    <w:rsid w:val="006D5C47"/>
    <w:rsid w:val="006D5C98"/>
    <w:rsid w:val="006E11C4"/>
    <w:rsid w:val="006E238B"/>
    <w:rsid w:val="006E2D2A"/>
    <w:rsid w:val="006E3CC3"/>
    <w:rsid w:val="006E5830"/>
    <w:rsid w:val="006F4151"/>
    <w:rsid w:val="00700CCF"/>
    <w:rsid w:val="00703444"/>
    <w:rsid w:val="00703A86"/>
    <w:rsid w:val="00704041"/>
    <w:rsid w:val="00706E8E"/>
    <w:rsid w:val="00710AE5"/>
    <w:rsid w:val="00711DD5"/>
    <w:rsid w:val="00714A4B"/>
    <w:rsid w:val="00722B53"/>
    <w:rsid w:val="007255D4"/>
    <w:rsid w:val="007278E0"/>
    <w:rsid w:val="00731085"/>
    <w:rsid w:val="007331C0"/>
    <w:rsid w:val="00733CF6"/>
    <w:rsid w:val="00744548"/>
    <w:rsid w:val="00745184"/>
    <w:rsid w:val="007509DD"/>
    <w:rsid w:val="007517C7"/>
    <w:rsid w:val="00755B60"/>
    <w:rsid w:val="00760B28"/>
    <w:rsid w:val="0076166A"/>
    <w:rsid w:val="00762EFA"/>
    <w:rsid w:val="00763474"/>
    <w:rsid w:val="00764F81"/>
    <w:rsid w:val="00767BFE"/>
    <w:rsid w:val="00771061"/>
    <w:rsid w:val="00771A4E"/>
    <w:rsid w:val="007726D3"/>
    <w:rsid w:val="00784C0A"/>
    <w:rsid w:val="00786D52"/>
    <w:rsid w:val="00791351"/>
    <w:rsid w:val="00791B52"/>
    <w:rsid w:val="0079413D"/>
    <w:rsid w:val="00794B40"/>
    <w:rsid w:val="00797EBA"/>
    <w:rsid w:val="007A1079"/>
    <w:rsid w:val="007A24B5"/>
    <w:rsid w:val="007A37DA"/>
    <w:rsid w:val="007A5842"/>
    <w:rsid w:val="007B038D"/>
    <w:rsid w:val="007B0C81"/>
    <w:rsid w:val="007B2677"/>
    <w:rsid w:val="007B340C"/>
    <w:rsid w:val="007B7402"/>
    <w:rsid w:val="007B76AB"/>
    <w:rsid w:val="007B7BBF"/>
    <w:rsid w:val="007C4853"/>
    <w:rsid w:val="007D2224"/>
    <w:rsid w:val="007D3180"/>
    <w:rsid w:val="007D592B"/>
    <w:rsid w:val="007D5AA6"/>
    <w:rsid w:val="007D7A91"/>
    <w:rsid w:val="007E6456"/>
    <w:rsid w:val="007F162E"/>
    <w:rsid w:val="007F4B15"/>
    <w:rsid w:val="007F4B56"/>
    <w:rsid w:val="007F6029"/>
    <w:rsid w:val="008048CA"/>
    <w:rsid w:val="00810B53"/>
    <w:rsid w:val="00811688"/>
    <w:rsid w:val="00811943"/>
    <w:rsid w:val="00812D94"/>
    <w:rsid w:val="008149A1"/>
    <w:rsid w:val="008239AE"/>
    <w:rsid w:val="00824C1C"/>
    <w:rsid w:val="00826C81"/>
    <w:rsid w:val="008311B8"/>
    <w:rsid w:val="00832ADF"/>
    <w:rsid w:val="00834243"/>
    <w:rsid w:val="00835350"/>
    <w:rsid w:val="0084412E"/>
    <w:rsid w:val="0085465C"/>
    <w:rsid w:val="00855B56"/>
    <w:rsid w:val="00855B6F"/>
    <w:rsid w:val="00857969"/>
    <w:rsid w:val="00862B9A"/>
    <w:rsid w:val="00867A40"/>
    <w:rsid w:val="00871DB9"/>
    <w:rsid w:val="008753B0"/>
    <w:rsid w:val="00875EF7"/>
    <w:rsid w:val="00877F38"/>
    <w:rsid w:val="00882CC4"/>
    <w:rsid w:val="008837D6"/>
    <w:rsid w:val="008844AC"/>
    <w:rsid w:val="00885BE0"/>
    <w:rsid w:val="00890588"/>
    <w:rsid w:val="0089232A"/>
    <w:rsid w:val="008940A9"/>
    <w:rsid w:val="008941B3"/>
    <w:rsid w:val="008A1B99"/>
    <w:rsid w:val="008A3507"/>
    <w:rsid w:val="008B0605"/>
    <w:rsid w:val="008B2A86"/>
    <w:rsid w:val="008B54BF"/>
    <w:rsid w:val="008B5D52"/>
    <w:rsid w:val="008B62BD"/>
    <w:rsid w:val="008C7ED6"/>
    <w:rsid w:val="008C7F71"/>
    <w:rsid w:val="008D0EC6"/>
    <w:rsid w:val="008D2F2E"/>
    <w:rsid w:val="008D339F"/>
    <w:rsid w:val="008D469F"/>
    <w:rsid w:val="008D5948"/>
    <w:rsid w:val="008E6292"/>
    <w:rsid w:val="008F0EC0"/>
    <w:rsid w:val="008F1FA0"/>
    <w:rsid w:val="008F23EB"/>
    <w:rsid w:val="008F5F38"/>
    <w:rsid w:val="00900DDE"/>
    <w:rsid w:val="009037BC"/>
    <w:rsid w:val="00914BCE"/>
    <w:rsid w:val="009151A5"/>
    <w:rsid w:val="00917E28"/>
    <w:rsid w:val="00925AA5"/>
    <w:rsid w:val="009267A9"/>
    <w:rsid w:val="0092680C"/>
    <w:rsid w:val="00927F48"/>
    <w:rsid w:val="0093540D"/>
    <w:rsid w:val="0094019D"/>
    <w:rsid w:val="00942C11"/>
    <w:rsid w:val="0094351F"/>
    <w:rsid w:val="00946128"/>
    <w:rsid w:val="009462F2"/>
    <w:rsid w:val="009547F8"/>
    <w:rsid w:val="00957F5D"/>
    <w:rsid w:val="00961763"/>
    <w:rsid w:val="00961948"/>
    <w:rsid w:val="00961C92"/>
    <w:rsid w:val="009729D4"/>
    <w:rsid w:val="00973307"/>
    <w:rsid w:val="0097382F"/>
    <w:rsid w:val="0097505C"/>
    <w:rsid w:val="00976FBD"/>
    <w:rsid w:val="00980759"/>
    <w:rsid w:val="009817B0"/>
    <w:rsid w:val="009821CE"/>
    <w:rsid w:val="009869A6"/>
    <w:rsid w:val="00986A39"/>
    <w:rsid w:val="00990541"/>
    <w:rsid w:val="009931F1"/>
    <w:rsid w:val="009953FD"/>
    <w:rsid w:val="009972CD"/>
    <w:rsid w:val="0099730F"/>
    <w:rsid w:val="00997497"/>
    <w:rsid w:val="009A13DB"/>
    <w:rsid w:val="009A277C"/>
    <w:rsid w:val="009A5B37"/>
    <w:rsid w:val="009A658F"/>
    <w:rsid w:val="009A6F03"/>
    <w:rsid w:val="009B0D71"/>
    <w:rsid w:val="009B3653"/>
    <w:rsid w:val="009B4298"/>
    <w:rsid w:val="009B6CCA"/>
    <w:rsid w:val="009B788E"/>
    <w:rsid w:val="009C6D7C"/>
    <w:rsid w:val="009D2C46"/>
    <w:rsid w:val="009D5CA9"/>
    <w:rsid w:val="009E171B"/>
    <w:rsid w:val="009E492C"/>
    <w:rsid w:val="009E71DC"/>
    <w:rsid w:val="009E7BDA"/>
    <w:rsid w:val="009F4B48"/>
    <w:rsid w:val="00A015E8"/>
    <w:rsid w:val="00A04173"/>
    <w:rsid w:val="00A06E0B"/>
    <w:rsid w:val="00A07719"/>
    <w:rsid w:val="00A07D47"/>
    <w:rsid w:val="00A12F62"/>
    <w:rsid w:val="00A14FE9"/>
    <w:rsid w:val="00A24B12"/>
    <w:rsid w:val="00A27AF8"/>
    <w:rsid w:val="00A3749B"/>
    <w:rsid w:val="00A37D87"/>
    <w:rsid w:val="00A50D88"/>
    <w:rsid w:val="00A52E59"/>
    <w:rsid w:val="00A54017"/>
    <w:rsid w:val="00A56923"/>
    <w:rsid w:val="00A56F8F"/>
    <w:rsid w:val="00A62821"/>
    <w:rsid w:val="00A62B4A"/>
    <w:rsid w:val="00A62E42"/>
    <w:rsid w:val="00A64A71"/>
    <w:rsid w:val="00A65260"/>
    <w:rsid w:val="00A72685"/>
    <w:rsid w:val="00A72960"/>
    <w:rsid w:val="00A72D8F"/>
    <w:rsid w:val="00A74567"/>
    <w:rsid w:val="00A7629F"/>
    <w:rsid w:val="00A8308B"/>
    <w:rsid w:val="00A83F5A"/>
    <w:rsid w:val="00A875F6"/>
    <w:rsid w:val="00A91302"/>
    <w:rsid w:val="00A93401"/>
    <w:rsid w:val="00A9450A"/>
    <w:rsid w:val="00AA1DFC"/>
    <w:rsid w:val="00AA6929"/>
    <w:rsid w:val="00AA7614"/>
    <w:rsid w:val="00AB0427"/>
    <w:rsid w:val="00AB1E14"/>
    <w:rsid w:val="00AB2777"/>
    <w:rsid w:val="00AB66DF"/>
    <w:rsid w:val="00AC3196"/>
    <w:rsid w:val="00AC6192"/>
    <w:rsid w:val="00AD18E5"/>
    <w:rsid w:val="00AD1946"/>
    <w:rsid w:val="00AD5C90"/>
    <w:rsid w:val="00AE12AC"/>
    <w:rsid w:val="00AE2424"/>
    <w:rsid w:val="00AE2F90"/>
    <w:rsid w:val="00AE4C18"/>
    <w:rsid w:val="00AE68EA"/>
    <w:rsid w:val="00AE6C9A"/>
    <w:rsid w:val="00AF2D69"/>
    <w:rsid w:val="00AF4E35"/>
    <w:rsid w:val="00B03DD6"/>
    <w:rsid w:val="00B115D2"/>
    <w:rsid w:val="00B3583B"/>
    <w:rsid w:val="00B36132"/>
    <w:rsid w:val="00B37A8F"/>
    <w:rsid w:val="00B5162E"/>
    <w:rsid w:val="00B52F7A"/>
    <w:rsid w:val="00B53D20"/>
    <w:rsid w:val="00B62D37"/>
    <w:rsid w:val="00B65347"/>
    <w:rsid w:val="00B65DE1"/>
    <w:rsid w:val="00B73D8B"/>
    <w:rsid w:val="00B82840"/>
    <w:rsid w:val="00B82894"/>
    <w:rsid w:val="00B8420F"/>
    <w:rsid w:val="00B867E8"/>
    <w:rsid w:val="00B87927"/>
    <w:rsid w:val="00B922AE"/>
    <w:rsid w:val="00B931DE"/>
    <w:rsid w:val="00B95768"/>
    <w:rsid w:val="00BA0E64"/>
    <w:rsid w:val="00BA3C30"/>
    <w:rsid w:val="00BA66FC"/>
    <w:rsid w:val="00BB0AEE"/>
    <w:rsid w:val="00BB2926"/>
    <w:rsid w:val="00BB2FEF"/>
    <w:rsid w:val="00BB79F4"/>
    <w:rsid w:val="00BC0E5F"/>
    <w:rsid w:val="00BC10E7"/>
    <w:rsid w:val="00BC285F"/>
    <w:rsid w:val="00BC56F8"/>
    <w:rsid w:val="00BD0808"/>
    <w:rsid w:val="00BD26AA"/>
    <w:rsid w:val="00BD454F"/>
    <w:rsid w:val="00BE2FB7"/>
    <w:rsid w:val="00BE7B35"/>
    <w:rsid w:val="00BE7FEA"/>
    <w:rsid w:val="00BF2408"/>
    <w:rsid w:val="00BF3C91"/>
    <w:rsid w:val="00BF3F5F"/>
    <w:rsid w:val="00BF53B7"/>
    <w:rsid w:val="00BF6575"/>
    <w:rsid w:val="00C01DCC"/>
    <w:rsid w:val="00C1074F"/>
    <w:rsid w:val="00C13777"/>
    <w:rsid w:val="00C16959"/>
    <w:rsid w:val="00C17879"/>
    <w:rsid w:val="00C202B3"/>
    <w:rsid w:val="00C213A1"/>
    <w:rsid w:val="00C21EE0"/>
    <w:rsid w:val="00C30297"/>
    <w:rsid w:val="00C364D4"/>
    <w:rsid w:val="00C53537"/>
    <w:rsid w:val="00C53C7C"/>
    <w:rsid w:val="00C54145"/>
    <w:rsid w:val="00C61391"/>
    <w:rsid w:val="00C6673F"/>
    <w:rsid w:val="00C72318"/>
    <w:rsid w:val="00C724E6"/>
    <w:rsid w:val="00C747A5"/>
    <w:rsid w:val="00C77319"/>
    <w:rsid w:val="00C810E2"/>
    <w:rsid w:val="00C84997"/>
    <w:rsid w:val="00C85314"/>
    <w:rsid w:val="00C90CDA"/>
    <w:rsid w:val="00C91B3C"/>
    <w:rsid w:val="00C935DB"/>
    <w:rsid w:val="00CA0116"/>
    <w:rsid w:val="00CA4BC0"/>
    <w:rsid w:val="00CA54FB"/>
    <w:rsid w:val="00CA5CA8"/>
    <w:rsid w:val="00CB0157"/>
    <w:rsid w:val="00CB0215"/>
    <w:rsid w:val="00CB38AA"/>
    <w:rsid w:val="00CB38B6"/>
    <w:rsid w:val="00CB5205"/>
    <w:rsid w:val="00CC559D"/>
    <w:rsid w:val="00CC6326"/>
    <w:rsid w:val="00CD01C4"/>
    <w:rsid w:val="00CD4227"/>
    <w:rsid w:val="00CD4AE4"/>
    <w:rsid w:val="00CD654B"/>
    <w:rsid w:val="00CD6A10"/>
    <w:rsid w:val="00CE1246"/>
    <w:rsid w:val="00CE223E"/>
    <w:rsid w:val="00CE3ED6"/>
    <w:rsid w:val="00CF3745"/>
    <w:rsid w:val="00CF3F0D"/>
    <w:rsid w:val="00CF56A7"/>
    <w:rsid w:val="00CF7C2A"/>
    <w:rsid w:val="00D101F7"/>
    <w:rsid w:val="00D102E8"/>
    <w:rsid w:val="00D10C03"/>
    <w:rsid w:val="00D13F9A"/>
    <w:rsid w:val="00D145F5"/>
    <w:rsid w:val="00D2239D"/>
    <w:rsid w:val="00D22A0C"/>
    <w:rsid w:val="00D31A64"/>
    <w:rsid w:val="00D32202"/>
    <w:rsid w:val="00D355F0"/>
    <w:rsid w:val="00D37202"/>
    <w:rsid w:val="00D414A7"/>
    <w:rsid w:val="00D43709"/>
    <w:rsid w:val="00D43AC8"/>
    <w:rsid w:val="00D47B3B"/>
    <w:rsid w:val="00D56113"/>
    <w:rsid w:val="00D655F4"/>
    <w:rsid w:val="00D65B30"/>
    <w:rsid w:val="00D72DC6"/>
    <w:rsid w:val="00D8046F"/>
    <w:rsid w:val="00D8091B"/>
    <w:rsid w:val="00D82336"/>
    <w:rsid w:val="00D833D9"/>
    <w:rsid w:val="00D83AFF"/>
    <w:rsid w:val="00D83BD9"/>
    <w:rsid w:val="00D94DCF"/>
    <w:rsid w:val="00D94EAE"/>
    <w:rsid w:val="00D9798C"/>
    <w:rsid w:val="00DA1078"/>
    <w:rsid w:val="00DA2C2A"/>
    <w:rsid w:val="00DA586F"/>
    <w:rsid w:val="00DB08DA"/>
    <w:rsid w:val="00DB5033"/>
    <w:rsid w:val="00DB5593"/>
    <w:rsid w:val="00DB5B90"/>
    <w:rsid w:val="00DB7F09"/>
    <w:rsid w:val="00DC00E8"/>
    <w:rsid w:val="00DC15C4"/>
    <w:rsid w:val="00DC1C56"/>
    <w:rsid w:val="00DC4756"/>
    <w:rsid w:val="00DC6379"/>
    <w:rsid w:val="00DC6847"/>
    <w:rsid w:val="00DC7CBC"/>
    <w:rsid w:val="00DE0431"/>
    <w:rsid w:val="00DE3C77"/>
    <w:rsid w:val="00DE5050"/>
    <w:rsid w:val="00DF5575"/>
    <w:rsid w:val="00DF6F61"/>
    <w:rsid w:val="00E101C6"/>
    <w:rsid w:val="00E113F7"/>
    <w:rsid w:val="00E129F4"/>
    <w:rsid w:val="00E204E8"/>
    <w:rsid w:val="00E20C48"/>
    <w:rsid w:val="00E22A63"/>
    <w:rsid w:val="00E22D51"/>
    <w:rsid w:val="00E23D55"/>
    <w:rsid w:val="00E30862"/>
    <w:rsid w:val="00E4083E"/>
    <w:rsid w:val="00E426BD"/>
    <w:rsid w:val="00E4463E"/>
    <w:rsid w:val="00E467B3"/>
    <w:rsid w:val="00E46B72"/>
    <w:rsid w:val="00E509EA"/>
    <w:rsid w:val="00E50E7C"/>
    <w:rsid w:val="00E51545"/>
    <w:rsid w:val="00E51D9E"/>
    <w:rsid w:val="00E537D1"/>
    <w:rsid w:val="00E567E6"/>
    <w:rsid w:val="00E56971"/>
    <w:rsid w:val="00E61484"/>
    <w:rsid w:val="00E619D9"/>
    <w:rsid w:val="00E64F6D"/>
    <w:rsid w:val="00E711D7"/>
    <w:rsid w:val="00E71F5B"/>
    <w:rsid w:val="00E815E1"/>
    <w:rsid w:val="00E85E30"/>
    <w:rsid w:val="00E864DF"/>
    <w:rsid w:val="00E869D8"/>
    <w:rsid w:val="00E86BC9"/>
    <w:rsid w:val="00E902B0"/>
    <w:rsid w:val="00E902E8"/>
    <w:rsid w:val="00EA1AFD"/>
    <w:rsid w:val="00EA23AC"/>
    <w:rsid w:val="00EA7C3D"/>
    <w:rsid w:val="00EB22F3"/>
    <w:rsid w:val="00EB6878"/>
    <w:rsid w:val="00EC1E0E"/>
    <w:rsid w:val="00EC236D"/>
    <w:rsid w:val="00EC2DAE"/>
    <w:rsid w:val="00EC443D"/>
    <w:rsid w:val="00EC6B16"/>
    <w:rsid w:val="00ED3BD4"/>
    <w:rsid w:val="00EE0A67"/>
    <w:rsid w:val="00EE1447"/>
    <w:rsid w:val="00EE477B"/>
    <w:rsid w:val="00EF145E"/>
    <w:rsid w:val="00EF2A4B"/>
    <w:rsid w:val="00EF2BBB"/>
    <w:rsid w:val="00EF3B6F"/>
    <w:rsid w:val="00EF3F25"/>
    <w:rsid w:val="00F0082D"/>
    <w:rsid w:val="00F00E44"/>
    <w:rsid w:val="00F015AB"/>
    <w:rsid w:val="00F032AB"/>
    <w:rsid w:val="00F03F09"/>
    <w:rsid w:val="00F07C90"/>
    <w:rsid w:val="00F11828"/>
    <w:rsid w:val="00F118D0"/>
    <w:rsid w:val="00F11C77"/>
    <w:rsid w:val="00F13E30"/>
    <w:rsid w:val="00F16231"/>
    <w:rsid w:val="00F164FE"/>
    <w:rsid w:val="00F255A1"/>
    <w:rsid w:val="00F31661"/>
    <w:rsid w:val="00F33DB8"/>
    <w:rsid w:val="00F352BB"/>
    <w:rsid w:val="00F45A53"/>
    <w:rsid w:val="00F54FE6"/>
    <w:rsid w:val="00F57BED"/>
    <w:rsid w:val="00F60198"/>
    <w:rsid w:val="00F6233B"/>
    <w:rsid w:val="00F71A97"/>
    <w:rsid w:val="00F72C9D"/>
    <w:rsid w:val="00F7334E"/>
    <w:rsid w:val="00F7613A"/>
    <w:rsid w:val="00F81E4B"/>
    <w:rsid w:val="00F82746"/>
    <w:rsid w:val="00F836F9"/>
    <w:rsid w:val="00F83AA5"/>
    <w:rsid w:val="00F84595"/>
    <w:rsid w:val="00F845D7"/>
    <w:rsid w:val="00F8665C"/>
    <w:rsid w:val="00F91A01"/>
    <w:rsid w:val="00F92279"/>
    <w:rsid w:val="00F93C00"/>
    <w:rsid w:val="00F9769D"/>
    <w:rsid w:val="00FA0B08"/>
    <w:rsid w:val="00FA184F"/>
    <w:rsid w:val="00FA20E3"/>
    <w:rsid w:val="00FA6203"/>
    <w:rsid w:val="00FA67FC"/>
    <w:rsid w:val="00FB016B"/>
    <w:rsid w:val="00FB489C"/>
    <w:rsid w:val="00FB4D21"/>
    <w:rsid w:val="00FB762B"/>
    <w:rsid w:val="00FC06D9"/>
    <w:rsid w:val="00FC089C"/>
    <w:rsid w:val="00FC08FC"/>
    <w:rsid w:val="00FC41F9"/>
    <w:rsid w:val="00FC6ADA"/>
    <w:rsid w:val="00FD7D76"/>
    <w:rsid w:val="00FD7F7D"/>
    <w:rsid w:val="00FE00AC"/>
    <w:rsid w:val="00FE2561"/>
    <w:rsid w:val="00FE2767"/>
    <w:rsid w:val="00FF040E"/>
    <w:rsid w:val="00FF18ED"/>
    <w:rsid w:val="00FF447A"/>
    <w:rsid w:val="00FF4EED"/>
    <w:rsid w:val="00FF5F71"/>
    <w:rsid w:val="00FF6B99"/>
    <w:rsid w:val="00FF7E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F032AB"/>
    <w:pPr>
      <w:spacing w:before="480"/>
      <w:outlineLvl w:val="0"/>
    </w:pPr>
    <w:rPr>
      <w:b/>
      <w:bCs w:val="0"/>
      <w:color w:val="2C384A" w:themeColor="accent6"/>
    </w:rPr>
  </w:style>
  <w:style w:type="paragraph" w:styleId="Heading2">
    <w:name w:val="heading 2"/>
    <w:basedOn w:val="HeadingBase"/>
    <w:next w:val="Normal"/>
    <w:link w:val="Heading2Char"/>
    <w:qFormat/>
    <w:rsid w:val="00F032AB"/>
    <w:pPr>
      <w:spacing w:before="360"/>
      <w:outlineLvl w:val="1"/>
    </w:pPr>
    <w:rPr>
      <w:b/>
      <w:bCs w:val="0"/>
      <w:iCs/>
      <w:color w:val="004F4D" w:themeColor="text2"/>
      <w:sz w:val="36"/>
      <w:szCs w:val="28"/>
    </w:rPr>
  </w:style>
  <w:style w:type="paragraph" w:styleId="Heading3">
    <w:name w:val="heading 3"/>
    <w:basedOn w:val="HeadingBase"/>
    <w:next w:val="Normal"/>
    <w:link w:val="Heading3Char"/>
    <w:qFormat/>
    <w:rsid w:val="00F032AB"/>
    <w:pPr>
      <w:spacing w:before="240"/>
      <w:outlineLvl w:val="2"/>
    </w:pPr>
    <w:rPr>
      <w:b/>
      <w:sz w:val="28"/>
      <w:szCs w:val="26"/>
    </w:rPr>
  </w:style>
  <w:style w:type="paragraph" w:styleId="Heading4">
    <w:name w:val="heading 4"/>
    <w:basedOn w:val="Heading3"/>
    <w:next w:val="Normal"/>
    <w:link w:val="Heading4Char"/>
    <w:qFormat/>
    <w:rsid w:val="00F032AB"/>
    <w:pPr>
      <w:outlineLvl w:val="3"/>
    </w:pPr>
    <w:rPr>
      <w:rFonts w:eastAsiaTheme="minorHAnsi"/>
      <w:color w:val="2C384A" w:themeColor="accent6"/>
      <w:sz w:val="22"/>
      <w:szCs w:val="22"/>
    </w:rPr>
  </w:style>
  <w:style w:type="paragraph" w:styleId="Heading5">
    <w:name w:val="heading 5"/>
    <w:basedOn w:val="HeadingBase"/>
    <w:next w:val="Normal"/>
    <w:link w:val="Heading5Char"/>
    <w:qFormat/>
    <w:rsid w:val="009B788E"/>
    <w:pPr>
      <w:outlineLvl w:val="4"/>
    </w:pPr>
    <w:rPr>
      <w:b/>
      <w:bCs w:val="0"/>
      <w:iCs/>
      <w:sz w:val="22"/>
    </w:rPr>
  </w:style>
  <w:style w:type="paragraph" w:styleId="Heading6">
    <w:name w:val="heading 6"/>
    <w:basedOn w:val="HeadingBase"/>
    <w:next w:val="Normal"/>
    <w:link w:val="Heading6Char"/>
    <w:qFormat/>
    <w:rsid w:val="009B788E"/>
    <w:pPr>
      <w:outlineLvl w:val="5"/>
    </w:pPr>
    <w:rPr>
      <w:bCs w:val="0"/>
      <w:sz w:val="22"/>
      <w:szCs w:val="22"/>
    </w:rPr>
  </w:style>
  <w:style w:type="paragraph" w:styleId="Heading7">
    <w:name w:val="heading 7"/>
    <w:basedOn w:val="Normal"/>
    <w:next w:val="Normal"/>
    <w:link w:val="Heading7Char"/>
    <w:uiPriority w:val="9"/>
    <w:unhideWhenUsed/>
    <w:qFormat/>
    <w:rsid w:val="00464D63"/>
    <w:pPr>
      <w:keepNext/>
      <w:keepLines/>
      <w:spacing w:before="40" w:after="0"/>
      <w:outlineLvl w:val="6"/>
    </w:pPr>
    <w:rPr>
      <w:rFonts w:asciiTheme="majorHAnsi" w:eastAsiaTheme="majorEastAsia" w:hAnsiTheme="majorHAnsi" w:cstheme="majorBidi"/>
      <w:i/>
      <w:iCs/>
      <w:color w:val="220F32" w:themeColor="accent1" w:themeShade="7F"/>
    </w:rPr>
  </w:style>
  <w:style w:type="paragraph" w:styleId="Heading8">
    <w:name w:val="heading 8"/>
    <w:basedOn w:val="Normal"/>
    <w:next w:val="Normal"/>
    <w:link w:val="Heading8Char"/>
    <w:uiPriority w:val="9"/>
    <w:unhideWhenUsed/>
    <w:qFormat/>
    <w:rsid w:val="009B788E"/>
    <w:pPr>
      <w:keepNext/>
      <w:keepLines/>
      <w:spacing w:before="40" w:after="0"/>
      <w:outlineLvl w:val="7"/>
    </w:pPr>
    <w:rPr>
      <w:rFonts w:asciiTheme="majorHAnsi" w:eastAsiaTheme="majorEastAsia" w:hAnsiTheme="majorHAnsi" w:cstheme="majorBidi"/>
      <w:color w:val="2C384A" w:themeColor="accent6"/>
      <w:sz w:val="21"/>
      <w:szCs w:val="21"/>
    </w:rPr>
  </w:style>
  <w:style w:type="paragraph" w:styleId="Heading9">
    <w:name w:val="heading 9"/>
    <w:basedOn w:val="Normal"/>
    <w:next w:val="Normal"/>
    <w:link w:val="Heading9Char"/>
    <w:uiPriority w:val="9"/>
    <w:unhideWhenUsed/>
    <w:qFormat/>
    <w:rsid w:val="009B788E"/>
    <w:pPr>
      <w:keepNext/>
      <w:keepLines/>
      <w:spacing w:before="40" w:after="0"/>
      <w:outlineLvl w:val="8"/>
    </w:pPr>
    <w:rPr>
      <w:rFonts w:asciiTheme="majorHAnsi" w:eastAsiaTheme="majorEastAsia" w:hAnsiTheme="majorHAnsi" w:cstheme="majorBidi"/>
      <w:i/>
      <w:iCs/>
      <w:color w:val="2C384A" w:themeColor="accent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2AB"/>
    <w:rPr>
      <w:rFonts w:ascii="Calibri" w:eastAsia="Times New Roman" w:hAnsi="Calibri" w:cs="Arial"/>
      <w:b/>
      <w:color w:val="2C384A" w:themeColor="accent6"/>
      <w:kern w:val="32"/>
      <w:sz w:val="48"/>
      <w:szCs w:val="36"/>
      <w:lang w:eastAsia="en-AU"/>
    </w:rPr>
  </w:style>
  <w:style w:type="character" w:customStyle="1" w:styleId="Heading2Char">
    <w:name w:val="Heading 2 Char"/>
    <w:basedOn w:val="DefaultParagraphFont"/>
    <w:link w:val="Heading2"/>
    <w:rsid w:val="00F032AB"/>
    <w:rPr>
      <w:rFonts w:ascii="Calibri" w:eastAsia="Times New Roman" w:hAnsi="Calibri" w:cs="Arial"/>
      <w:b/>
      <w:iCs/>
      <w:color w:val="004F4D" w:themeColor="text2"/>
      <w:kern w:val="32"/>
      <w:sz w:val="36"/>
      <w:szCs w:val="28"/>
      <w:lang w:eastAsia="en-AU"/>
    </w:rPr>
  </w:style>
  <w:style w:type="character" w:customStyle="1" w:styleId="Heading3Char">
    <w:name w:val="Heading 3 Char"/>
    <w:basedOn w:val="DefaultParagraphFont"/>
    <w:link w:val="Heading3"/>
    <w:rsid w:val="00F032AB"/>
    <w:rPr>
      <w:rFonts w:ascii="Calibri" w:eastAsia="Times New Roman" w:hAnsi="Calibri" w:cs="Arial"/>
      <w:b/>
      <w:bCs/>
      <w:color w:val="461F65" w:themeColor="accent1"/>
      <w:kern w:val="32"/>
      <w:sz w:val="28"/>
      <w:szCs w:val="26"/>
      <w:lang w:eastAsia="en-AU"/>
    </w:rPr>
  </w:style>
  <w:style w:type="character" w:customStyle="1" w:styleId="Heading4Char">
    <w:name w:val="Heading 4 Char"/>
    <w:basedOn w:val="DefaultParagraphFont"/>
    <w:link w:val="Heading4"/>
    <w:rsid w:val="00F032AB"/>
    <w:rPr>
      <w:rFonts w:ascii="Calibri" w:hAnsi="Calibri" w:cs="Arial"/>
      <w:b/>
      <w:bCs/>
      <w:color w:val="2C384A" w:themeColor="accent6"/>
      <w:kern w:val="32"/>
      <w:lang w:eastAsia="en-AU"/>
    </w:rPr>
  </w:style>
  <w:style w:type="character" w:customStyle="1" w:styleId="Heading5Char">
    <w:name w:val="Heading 5 Char"/>
    <w:basedOn w:val="DefaultParagraphFont"/>
    <w:link w:val="Heading5"/>
    <w:rsid w:val="009B788E"/>
    <w:rPr>
      <w:rFonts w:ascii="Calibri" w:eastAsia="Times New Roman" w:hAnsi="Calibri" w:cs="Arial"/>
      <w:b/>
      <w:iCs/>
      <w:color w:val="461F65" w:themeColor="accent1"/>
      <w:kern w:val="32"/>
      <w:szCs w:val="36"/>
      <w:lang w:eastAsia="en-AU"/>
    </w:rPr>
  </w:style>
  <w:style w:type="character" w:customStyle="1" w:styleId="Heading6Char">
    <w:name w:val="Heading 6 Char"/>
    <w:basedOn w:val="DefaultParagraphFont"/>
    <w:link w:val="Heading6"/>
    <w:rsid w:val="009B788E"/>
    <w:rPr>
      <w:rFonts w:ascii="Calibri" w:eastAsia="Times New Roman" w:hAnsi="Calibri" w:cs="Arial"/>
      <w:color w:val="461F65" w:themeColor="accent1"/>
      <w:kern w:val="32"/>
      <w:lang w:eastAsia="en-AU"/>
    </w:rPr>
  </w:style>
  <w:style w:type="paragraph" w:customStyle="1" w:styleId="ChartGraphic">
    <w:name w:val="Chart Graphic"/>
    <w:basedOn w:val="Normal"/>
    <w:next w:val="Normal"/>
    <w:rsid w:val="009B788E"/>
    <w:pPr>
      <w:keepNext/>
      <w:spacing w:before="0" w:after="0"/>
      <w:jc w:val="center"/>
    </w:pPr>
    <w:rPr>
      <w:color w:val="2C384A" w:themeColor="accent6"/>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Purplelightbox">
    <w:name w:val="Box Heading - Purple light box"/>
    <w:basedOn w:val="Normal"/>
    <w:next w:val="Normal"/>
    <w:rsid w:val="00DC7CBC"/>
    <w:pPr>
      <w:keepNext/>
      <w:spacing w:before="240"/>
    </w:pPr>
    <w:rPr>
      <w:b/>
      <w:color w:val="461F65"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B788E"/>
    <w:pPr>
      <w:jc w:val="center"/>
    </w:pPr>
    <w:rPr>
      <w:color w:val="461F65" w:themeColor="accent1"/>
    </w:rPr>
  </w:style>
  <w:style w:type="paragraph" w:customStyle="1" w:styleId="ReportDate">
    <w:name w:val="Report Date"/>
    <w:basedOn w:val="Normal"/>
    <w:link w:val="ReportDateChar"/>
    <w:rsid w:val="00284D59"/>
    <w:pPr>
      <w:keepNext/>
      <w:spacing w:before="0" w:after="360"/>
    </w:pPr>
    <w:rPr>
      <w:color w:val="2C384A" w:themeColor="accent6"/>
      <w:sz w:val="32"/>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505602"/>
    <w:pPr>
      <w:keepNext/>
      <w:tabs>
        <w:tab w:val="clear" w:pos="4513"/>
        <w:tab w:val="clear" w:pos="9026"/>
      </w:tabs>
      <w:jc w:val="left"/>
    </w:pPr>
    <w:rPr>
      <w:noProof/>
    </w:rPr>
  </w:style>
  <w:style w:type="paragraph" w:customStyle="1" w:styleId="FooterOdd">
    <w:name w:val="Footer Odd"/>
    <w:basedOn w:val="Footer"/>
    <w:rsid w:val="00505602"/>
    <w:pPr>
      <w:keepNext/>
      <w:tabs>
        <w:tab w:val="clear" w:pos="4513"/>
        <w:tab w:val="clear" w:pos="9026"/>
      </w:tabs>
      <w:jc w:val="right"/>
    </w:pPr>
  </w:style>
  <w:style w:type="character" w:styleId="Hyperlink">
    <w:name w:val="Hyperlink"/>
    <w:basedOn w:val="DefaultParagraphFont"/>
    <w:uiPriority w:val="99"/>
    <w:rsid w:val="00667EA1"/>
    <w:rPr>
      <w:color w:val="6B83A7" w:themeColor="text1" w:themeTint="99"/>
      <w:u w:val="single"/>
    </w:rPr>
  </w:style>
  <w:style w:type="paragraph" w:customStyle="1" w:styleId="OutlineNumbered1">
    <w:name w:val="Outline Numbered 1"/>
    <w:basedOn w:val="Normal"/>
    <w:rsid w:val="00835350"/>
    <w:pPr>
      <w:numPr>
        <w:numId w:val="6"/>
      </w:numPr>
      <w:spacing w:before="0"/>
      <w:ind w:left="567" w:hanging="567"/>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9230E3" w:themeColor="accent2"/>
    </w:rPr>
  </w:style>
  <w:style w:type="paragraph" w:customStyle="1" w:styleId="TableColumnHeadingCentred">
    <w:name w:val="Table Column Heading Centred"/>
    <w:basedOn w:val="TableTextLeft"/>
    <w:rsid w:val="006564D3"/>
    <w:pPr>
      <w:jc w:val="center"/>
    </w:pPr>
    <w:rPr>
      <w:b/>
      <w:color w:val="461F65" w:themeColor="accent1"/>
      <w:sz w:val="20"/>
    </w:rPr>
  </w:style>
  <w:style w:type="paragraph" w:customStyle="1" w:styleId="TableColumnHeadingLeft">
    <w:name w:val="Table Column Heading Left"/>
    <w:basedOn w:val="TableTextLeft"/>
    <w:rsid w:val="006564D3"/>
    <w:rPr>
      <w:b/>
      <w:color w:val="461F65" w:themeColor="accent1"/>
      <w:sz w:val="20"/>
    </w:rPr>
  </w:style>
  <w:style w:type="paragraph" w:customStyle="1" w:styleId="TableColumnHeadingRight">
    <w:name w:val="Table Column Heading Right"/>
    <w:basedOn w:val="TableTextLeft"/>
    <w:rsid w:val="006564D3"/>
    <w:pPr>
      <w:jc w:val="right"/>
    </w:pPr>
    <w:rPr>
      <w:b/>
      <w:color w:val="461F65"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F032AB"/>
    <w:pPr>
      <w:keepNext/>
      <w:tabs>
        <w:tab w:val="right" w:leader="dot" w:pos="9072"/>
      </w:tabs>
      <w:spacing w:before="180" w:after="0"/>
      <w:ind w:right="-2"/>
    </w:pPr>
    <w:rPr>
      <w:b/>
      <w:noProof/>
      <w:color w:val="2C384A" w:themeColor="accent6"/>
      <w:szCs w:val="22"/>
    </w:rPr>
  </w:style>
  <w:style w:type="paragraph" w:styleId="TOC2">
    <w:name w:val="toc 2"/>
    <w:basedOn w:val="Normal"/>
    <w:next w:val="Normal"/>
    <w:uiPriority w:val="39"/>
    <w:qFormat/>
    <w:rsid w:val="00F032AB"/>
    <w:pPr>
      <w:keepNext/>
      <w:tabs>
        <w:tab w:val="right" w:leader="dot" w:pos="9072"/>
      </w:tabs>
      <w:spacing w:before="40" w:after="20"/>
      <w:ind w:right="-2"/>
    </w:pPr>
    <w:rPr>
      <w:noProof/>
      <w:color w:val="004F4D" w:themeColor="accent5"/>
    </w:rPr>
  </w:style>
  <w:style w:type="paragraph" w:styleId="TOC3">
    <w:name w:val="toc 3"/>
    <w:basedOn w:val="Normal"/>
    <w:next w:val="Normal"/>
    <w:uiPriority w:val="39"/>
    <w:qFormat/>
    <w:rsid w:val="00F032AB"/>
    <w:pPr>
      <w:tabs>
        <w:tab w:val="right" w:leader="dot" w:pos="9072"/>
      </w:tabs>
      <w:spacing w:before="20" w:after="0"/>
      <w:ind w:left="284" w:right="-2"/>
    </w:pPr>
    <w:rPr>
      <w:rFonts w:cs="Calibri"/>
      <w:noProof/>
      <w:color w:val="461F65" w:themeColor="accent1"/>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2C384A" w:themeColor="text1"/>
    </w:rPr>
  </w:style>
  <w:style w:type="paragraph" w:customStyle="1" w:styleId="Heading1Numbered">
    <w:name w:val="Heading 1 Numbered"/>
    <w:basedOn w:val="Heading1"/>
    <w:next w:val="Normal"/>
    <w:rsid w:val="0050375C"/>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89232A"/>
    <w:pPr>
      <w:spacing w:before="720" w:after="360"/>
      <w:contextualSpacing/>
    </w:pPr>
    <w:rPr>
      <w:rFonts w:eastAsiaTheme="majorEastAsia" w:cstheme="majorBidi"/>
      <w:b/>
      <w:color w:val="461F65" w:themeColor="accent1"/>
      <w:spacing w:val="5"/>
      <w:kern w:val="28"/>
      <w:sz w:val="72"/>
      <w:szCs w:val="52"/>
    </w:rPr>
  </w:style>
  <w:style w:type="character" w:customStyle="1" w:styleId="TitleChar">
    <w:name w:val="Title Char"/>
    <w:basedOn w:val="DefaultParagraphFont"/>
    <w:link w:val="Title"/>
    <w:uiPriority w:val="10"/>
    <w:rsid w:val="0089232A"/>
    <w:rPr>
      <w:rFonts w:ascii="Calibri" w:eastAsiaTheme="majorEastAsia" w:hAnsi="Calibri" w:cstheme="majorBidi"/>
      <w:b/>
      <w:color w:val="461F65" w:themeColor="accent1"/>
      <w:spacing w:val="5"/>
      <w:kern w:val="28"/>
      <w:sz w:val="72"/>
      <w:szCs w:val="52"/>
      <w:lang w:eastAsia="en-AU"/>
    </w:rPr>
  </w:style>
  <w:style w:type="paragraph" w:styleId="Subtitle">
    <w:name w:val="Subtitle"/>
    <w:basedOn w:val="Normal"/>
    <w:next w:val="Normal"/>
    <w:link w:val="SubtitleChar"/>
    <w:uiPriority w:val="11"/>
    <w:qFormat/>
    <w:rsid w:val="00284D59"/>
    <w:pPr>
      <w:numPr>
        <w:ilvl w:val="1"/>
      </w:numPr>
      <w:spacing w:after="240"/>
    </w:pPr>
    <w:rPr>
      <w:rFonts w:eastAsiaTheme="majorEastAsia" w:cstheme="majorBidi"/>
      <w:b/>
      <w:iCs/>
      <w:color w:val="2C384A" w:themeColor="accent6"/>
      <w:sz w:val="44"/>
      <w:szCs w:val="44"/>
    </w:rPr>
  </w:style>
  <w:style w:type="character" w:customStyle="1" w:styleId="SubtitleChar">
    <w:name w:val="Subtitle Char"/>
    <w:basedOn w:val="DefaultParagraphFont"/>
    <w:link w:val="Subtitle"/>
    <w:uiPriority w:val="11"/>
    <w:rsid w:val="00284D59"/>
    <w:rPr>
      <w:rFonts w:ascii="Calibri" w:eastAsiaTheme="majorEastAsia" w:hAnsi="Calibri" w:cstheme="majorBidi"/>
      <w:b/>
      <w:iCs/>
      <w:color w:val="2C384A" w:themeColor="accent6"/>
      <w:sz w:val="44"/>
      <w:szCs w:val="44"/>
      <w:lang w:eastAsia="en-AU"/>
    </w:rPr>
  </w:style>
  <w:style w:type="character" w:styleId="SubtleEmphasis">
    <w:name w:val="Subtle Emphasis"/>
    <w:basedOn w:val="DefaultParagraphFont"/>
    <w:uiPriority w:val="19"/>
    <w:qFormat/>
    <w:rsid w:val="000E0B74"/>
    <w:rPr>
      <w:i/>
      <w:iCs/>
      <w:color w:val="8498B6" w:themeColor="text1" w:themeTint="7F"/>
    </w:rPr>
  </w:style>
  <w:style w:type="paragraph" w:styleId="Footer">
    <w:name w:val="footer"/>
    <w:basedOn w:val="Normal"/>
    <w:link w:val="FooterChar"/>
    <w:unhideWhenUsed/>
    <w:rsid w:val="009B788E"/>
    <w:pPr>
      <w:tabs>
        <w:tab w:val="center" w:pos="4513"/>
        <w:tab w:val="right" w:pos="9026"/>
      </w:tabs>
      <w:spacing w:before="0" w:after="0"/>
      <w:jc w:val="center"/>
    </w:pPr>
    <w:rPr>
      <w:color w:val="461F65" w:themeColor="accent1"/>
      <w:sz w:val="20"/>
    </w:rPr>
  </w:style>
  <w:style w:type="character" w:customStyle="1" w:styleId="FooterChar">
    <w:name w:val="Footer Char"/>
    <w:basedOn w:val="DefaultParagraphFont"/>
    <w:link w:val="Footer"/>
    <w:rsid w:val="009B788E"/>
    <w:rPr>
      <w:rFonts w:ascii="Calibri" w:eastAsia="Times New Roman" w:hAnsi="Calibri" w:cs="Times New Roman"/>
      <w:color w:val="461F65" w:themeColor="accent1"/>
      <w:sz w:val="20"/>
      <w:szCs w:val="20"/>
      <w:lang w:eastAsia="en-AU"/>
    </w:rPr>
  </w:style>
  <w:style w:type="paragraph" w:styleId="Header">
    <w:name w:val="header"/>
    <w:basedOn w:val="Normal"/>
    <w:link w:val="HeaderChar"/>
    <w:uiPriority w:val="99"/>
    <w:unhideWhenUsed/>
    <w:rsid w:val="00505602"/>
    <w:pPr>
      <w:keepNext/>
      <w:spacing w:before="0" w:after="0"/>
      <w:jc w:val="right"/>
    </w:pPr>
    <w:rPr>
      <w:color w:val="461F65" w:themeColor="accent1"/>
      <w:sz w:val="20"/>
    </w:rPr>
  </w:style>
  <w:style w:type="character" w:customStyle="1" w:styleId="HeaderChar">
    <w:name w:val="Header Char"/>
    <w:basedOn w:val="DefaultParagraphFont"/>
    <w:link w:val="Header"/>
    <w:uiPriority w:val="99"/>
    <w:rsid w:val="00505602"/>
    <w:rPr>
      <w:rFonts w:ascii="Calibri" w:eastAsia="Times New Roman" w:hAnsi="Calibri" w:cs="Times New Roman"/>
      <w:color w:val="461F65"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9B788E"/>
    <w:pPr>
      <w:keepNext/>
      <w:spacing w:before="720" w:after="360"/>
    </w:pPr>
    <w:rPr>
      <w:rFonts w:ascii="Arial Bold" w:hAnsi="Arial Bold"/>
      <w:b/>
      <w:smallCaps/>
      <w:color w:val="461F65" w:themeColor="accent1"/>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461F65" w:themeColor="accent1"/>
      <w:kern w:val="32"/>
      <w:sz w:val="48"/>
      <w:szCs w:val="36"/>
      <w:lang w:eastAsia="en-AU"/>
    </w:rPr>
  </w:style>
  <w:style w:type="character" w:customStyle="1" w:styleId="ReportDateChar">
    <w:name w:val="Report Date Char"/>
    <w:basedOn w:val="DefaultParagraphFont"/>
    <w:link w:val="ReportDate"/>
    <w:rsid w:val="00284D59"/>
    <w:rPr>
      <w:rFonts w:ascii="Calibri" w:eastAsia="Times New Roman" w:hAnsi="Calibri" w:cs="Times New Roman"/>
      <w:color w:val="2C384A" w:themeColor="accent6"/>
      <w:sz w:val="32"/>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004F4D" w:themeColor="text2"/>
      <w:sz w:val="22"/>
    </w:rPr>
  </w:style>
  <w:style w:type="character" w:customStyle="1" w:styleId="Heading7Char">
    <w:name w:val="Heading 7 Char"/>
    <w:basedOn w:val="DefaultParagraphFont"/>
    <w:link w:val="Heading7"/>
    <w:uiPriority w:val="9"/>
    <w:rsid w:val="00464D63"/>
    <w:rPr>
      <w:rFonts w:asciiTheme="majorHAnsi" w:eastAsiaTheme="majorEastAsia" w:hAnsiTheme="majorHAnsi" w:cstheme="majorBidi"/>
      <w:i/>
      <w:iCs/>
      <w:color w:val="220F32"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9B788E"/>
    <w:rPr>
      <w:rFonts w:ascii="Arial" w:hAnsi="Arial"/>
      <w:color w:val="461F65" w:themeColor="accent1"/>
      <w:sz w:val="18"/>
    </w:rPr>
  </w:style>
  <w:style w:type="character" w:customStyle="1" w:styleId="FramedHeader">
    <w:name w:val="Framed Header"/>
    <w:basedOn w:val="DefaultParagraphFont"/>
    <w:rsid w:val="009B788E"/>
    <w:rPr>
      <w:rFonts w:ascii="Arial" w:hAnsi="Arial"/>
      <w:dstrike w:val="0"/>
      <w:color w:val="461F65" w:themeColor="accent1"/>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1F5FF9"/>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styleId="Emphasis">
    <w:name w:val="Emphasis"/>
    <w:basedOn w:val="DefaultParagraphFont"/>
    <w:uiPriority w:val="20"/>
    <w:rsid w:val="0050375C"/>
    <w:rPr>
      <w:i/>
      <w:iCs/>
    </w:rPr>
  </w:style>
  <w:style w:type="character" w:styleId="Strong">
    <w:name w:val="Strong"/>
    <w:basedOn w:val="DefaultParagraphFont"/>
    <w:qFormat/>
    <w:rsid w:val="0050375C"/>
    <w:rPr>
      <w:b/>
      <w:bCs/>
    </w:rPr>
  </w:style>
  <w:style w:type="paragraph" w:styleId="ListParagraph">
    <w:name w:val="List Paragraph"/>
    <w:basedOn w:val="Normal"/>
    <w:link w:val="ListParagraphChar"/>
    <w:uiPriority w:val="34"/>
    <w:qFormat/>
    <w:rsid w:val="00835350"/>
    <w:pPr>
      <w:numPr>
        <w:numId w:val="19"/>
      </w:numPr>
      <w:spacing w:before="0" w:line="259" w:lineRule="auto"/>
      <w:jc w:val="both"/>
    </w:pPr>
    <w:rPr>
      <w:rFonts w:asciiTheme="minorHAnsi" w:eastAsiaTheme="minorHAnsi" w:hAnsiTheme="minorHAnsi" w:cstheme="minorBidi"/>
      <w:color w:val="41536E" w:themeColor="text1" w:themeTint="D9"/>
      <w:szCs w:val="22"/>
      <w:lang w:eastAsia="en-US"/>
    </w:rPr>
  </w:style>
  <w:style w:type="character" w:customStyle="1" w:styleId="BulletChar">
    <w:name w:val="Bullet Char"/>
    <w:basedOn w:val="Heading4Char"/>
    <w:link w:val="Bullet"/>
    <w:rsid w:val="00835350"/>
    <w:rPr>
      <w:rFonts w:ascii="Calibri" w:hAnsi="Calibri" w:cs="Times New Roman"/>
      <w:b/>
      <w:bCs/>
      <w:color w:val="075D5C"/>
      <w:kern w:val="32"/>
      <w:szCs w:val="20"/>
      <w:lang w:eastAsia="en-AU"/>
    </w:rPr>
  </w:style>
  <w:style w:type="character" w:customStyle="1" w:styleId="ListParagraphChar">
    <w:name w:val="List Paragraph Char"/>
    <w:basedOn w:val="DefaultParagraphFont"/>
    <w:link w:val="ListParagraph"/>
    <w:uiPriority w:val="34"/>
    <w:rsid w:val="00835350"/>
    <w:rPr>
      <w:color w:val="41536E" w:themeColor="text1" w:themeTint="D9"/>
    </w:rPr>
  </w:style>
  <w:style w:type="paragraph" w:customStyle="1" w:styleId="GRRParanumbers">
    <w:name w:val="GRR Para numbers"/>
    <w:basedOn w:val="ListParagraph"/>
    <w:link w:val="GRRParanumbersChar"/>
    <w:qFormat/>
    <w:rsid w:val="00835350"/>
    <w:pPr>
      <w:numPr>
        <w:numId w:val="20"/>
      </w:numPr>
    </w:pPr>
  </w:style>
  <w:style w:type="character" w:customStyle="1" w:styleId="GRRParanumbersChar">
    <w:name w:val="GRR Para numbers Char"/>
    <w:basedOn w:val="ListParagraphChar"/>
    <w:link w:val="GRRParanumbers"/>
    <w:rsid w:val="00835350"/>
    <w:rPr>
      <w:color w:val="41536E" w:themeColor="text1" w:themeTint="D9"/>
    </w:rPr>
  </w:style>
  <w:style w:type="paragraph" w:styleId="NoSpacing">
    <w:name w:val="No Spacing"/>
    <w:uiPriority w:val="1"/>
    <w:qFormat/>
    <w:rsid w:val="00081879"/>
    <w:pPr>
      <w:spacing w:after="0" w:line="240" w:lineRule="auto"/>
    </w:pPr>
    <w:rPr>
      <w:rFonts w:ascii="Calibri" w:eastAsia="Times New Roman" w:hAnsi="Calibri" w:cs="Times New Roman"/>
      <w:szCs w:val="20"/>
      <w:lang w:eastAsia="en-AU"/>
    </w:rPr>
  </w:style>
  <w:style w:type="paragraph" w:customStyle="1" w:styleId="OutlineNumberedDot">
    <w:name w:val="Outline Numbered Dot"/>
    <w:basedOn w:val="Bullet"/>
    <w:qFormat/>
    <w:rsid w:val="005F3D66"/>
    <w:pPr>
      <w:ind w:left="851"/>
    </w:pPr>
  </w:style>
  <w:style w:type="paragraph" w:customStyle="1" w:styleId="OutlineNumberedDash">
    <w:name w:val="Outline Numbered Dash"/>
    <w:basedOn w:val="Dash"/>
    <w:qFormat/>
    <w:rsid w:val="005F3D66"/>
    <w:pPr>
      <w:ind w:left="851"/>
    </w:pPr>
  </w:style>
  <w:style w:type="paragraph" w:customStyle="1" w:styleId="BoxHeading2-Purpledarkbox">
    <w:name w:val="Box Heading 2 - Purple dark box"/>
    <w:basedOn w:val="BoxText"/>
    <w:qFormat/>
    <w:rsid w:val="00DC7CBC"/>
    <w:pPr>
      <w:shd w:val="clear" w:color="auto" w:fill="F1E1FF" w:themeFill="accent4"/>
      <w:spacing w:before="240"/>
    </w:pPr>
  </w:style>
  <w:style w:type="paragraph" w:customStyle="1" w:styleId="BoxHeading2-Purplelightbox">
    <w:name w:val="Box Heading 2 - Purple light box"/>
    <w:basedOn w:val="BoxText"/>
    <w:qFormat/>
    <w:rsid w:val="00DC7CBC"/>
    <w:pPr>
      <w:shd w:val="clear" w:color="auto" w:fill="DBB0FF" w:themeFill="accent3"/>
      <w:spacing w:before="240"/>
    </w:pPr>
  </w:style>
  <w:style w:type="paragraph" w:customStyle="1" w:styleId="BoxHeading-Purpledarkbox">
    <w:name w:val="Box Heading - Purple dark box"/>
    <w:basedOn w:val="BoxHeading-Purplelightbox"/>
    <w:qFormat/>
    <w:rsid w:val="00B867E8"/>
    <w:rPr>
      <w:color w:val="F1E1FF" w:themeColor="accent4"/>
    </w:rPr>
  </w:style>
  <w:style w:type="paragraph" w:customStyle="1" w:styleId="BoxHeading">
    <w:name w:val="Box Heading"/>
    <w:basedOn w:val="Normal"/>
    <w:next w:val="Normal"/>
    <w:rsid w:val="00986A39"/>
    <w:pPr>
      <w:keepNext/>
      <w:spacing w:before="240"/>
    </w:pPr>
    <w:rPr>
      <w:b/>
      <w:color w:val="2C384A" w:themeColor="text1"/>
      <w:sz w:val="26"/>
      <w:szCs w:val="26"/>
    </w:rPr>
  </w:style>
  <w:style w:type="paragraph" w:customStyle="1" w:styleId="BoxHeading2-Blue">
    <w:name w:val="Box Heading 2 - Blue"/>
    <w:basedOn w:val="BoxText"/>
    <w:qFormat/>
    <w:rsid w:val="00986A39"/>
    <w:pPr>
      <w:shd w:val="clear" w:color="auto" w:fill="D8E2EF"/>
      <w:spacing w:before="240"/>
    </w:pPr>
  </w:style>
  <w:style w:type="character" w:customStyle="1" w:styleId="Heading8Char">
    <w:name w:val="Heading 8 Char"/>
    <w:basedOn w:val="DefaultParagraphFont"/>
    <w:link w:val="Heading8"/>
    <w:uiPriority w:val="9"/>
    <w:rsid w:val="009B788E"/>
    <w:rPr>
      <w:rFonts w:asciiTheme="majorHAnsi" w:eastAsiaTheme="majorEastAsia" w:hAnsiTheme="majorHAnsi" w:cstheme="majorBidi"/>
      <w:color w:val="2C384A" w:themeColor="accent6"/>
      <w:sz w:val="21"/>
      <w:szCs w:val="21"/>
      <w:lang w:eastAsia="en-AU"/>
    </w:rPr>
  </w:style>
  <w:style w:type="character" w:customStyle="1" w:styleId="Heading9Char">
    <w:name w:val="Heading 9 Char"/>
    <w:basedOn w:val="DefaultParagraphFont"/>
    <w:link w:val="Heading9"/>
    <w:uiPriority w:val="9"/>
    <w:rsid w:val="009B788E"/>
    <w:rPr>
      <w:rFonts w:asciiTheme="majorHAnsi" w:eastAsiaTheme="majorEastAsia" w:hAnsiTheme="majorHAnsi" w:cstheme="majorBidi"/>
      <w:i/>
      <w:iCs/>
      <w:color w:val="2C384A" w:themeColor="accent6"/>
      <w:sz w:val="21"/>
      <w:szCs w:val="21"/>
      <w:lang w:eastAsia="en-AU"/>
    </w:rPr>
  </w:style>
  <w:style w:type="character" w:styleId="IntenseEmphasis">
    <w:name w:val="Intense Emphasis"/>
    <w:basedOn w:val="DefaultParagraphFont"/>
    <w:uiPriority w:val="21"/>
    <w:qFormat/>
    <w:rsid w:val="009B788E"/>
    <w:rPr>
      <w:i/>
      <w:iCs/>
      <w:color w:val="461F65" w:themeColor="accent1"/>
    </w:rPr>
  </w:style>
  <w:style w:type="paragraph" w:styleId="Quote">
    <w:name w:val="Quote"/>
    <w:basedOn w:val="Normal"/>
    <w:next w:val="Normal"/>
    <w:link w:val="QuoteChar"/>
    <w:uiPriority w:val="29"/>
    <w:qFormat/>
    <w:rsid w:val="009B788E"/>
    <w:pPr>
      <w:spacing w:before="200" w:after="160"/>
      <w:ind w:left="864" w:right="864"/>
      <w:jc w:val="center"/>
    </w:pPr>
    <w:rPr>
      <w:i/>
      <w:iCs/>
      <w:color w:val="461F65" w:themeColor="accent1"/>
    </w:rPr>
  </w:style>
  <w:style w:type="character" w:customStyle="1" w:styleId="QuoteChar">
    <w:name w:val="Quote Char"/>
    <w:basedOn w:val="DefaultParagraphFont"/>
    <w:link w:val="Quote"/>
    <w:uiPriority w:val="29"/>
    <w:rsid w:val="009B788E"/>
    <w:rPr>
      <w:rFonts w:ascii="Calibri" w:eastAsia="Times New Roman" w:hAnsi="Calibri" w:cs="Times New Roman"/>
      <w:i/>
      <w:iCs/>
      <w:color w:val="461F65" w:themeColor="accent1"/>
      <w:szCs w:val="20"/>
      <w:lang w:eastAsia="en-AU"/>
    </w:rPr>
  </w:style>
  <w:style w:type="paragraph" w:styleId="IntenseQuote">
    <w:name w:val="Intense Quote"/>
    <w:basedOn w:val="Normal"/>
    <w:next w:val="Normal"/>
    <w:link w:val="IntenseQuoteChar"/>
    <w:uiPriority w:val="30"/>
    <w:qFormat/>
    <w:rsid w:val="009B788E"/>
    <w:pPr>
      <w:pBdr>
        <w:top w:val="single" w:sz="4" w:space="10" w:color="461F65" w:themeColor="accent1"/>
        <w:bottom w:val="single" w:sz="4" w:space="10" w:color="461F65" w:themeColor="accent1"/>
      </w:pBdr>
      <w:spacing w:before="360" w:after="360"/>
      <w:ind w:left="864" w:right="864"/>
      <w:jc w:val="center"/>
    </w:pPr>
    <w:rPr>
      <w:i/>
      <w:iCs/>
      <w:color w:val="461F65" w:themeColor="accent1"/>
    </w:rPr>
  </w:style>
  <w:style w:type="character" w:customStyle="1" w:styleId="IntenseQuoteChar">
    <w:name w:val="Intense Quote Char"/>
    <w:basedOn w:val="DefaultParagraphFont"/>
    <w:link w:val="IntenseQuote"/>
    <w:uiPriority w:val="30"/>
    <w:rsid w:val="009B788E"/>
    <w:rPr>
      <w:rFonts w:ascii="Calibri" w:eastAsia="Times New Roman" w:hAnsi="Calibri" w:cs="Times New Roman"/>
      <w:i/>
      <w:iCs/>
      <w:color w:val="461F65" w:themeColor="accent1"/>
      <w:szCs w:val="20"/>
      <w:lang w:eastAsia="en-AU"/>
    </w:rPr>
  </w:style>
  <w:style w:type="character" w:styleId="SubtleReference">
    <w:name w:val="Subtle Reference"/>
    <w:basedOn w:val="DefaultParagraphFont"/>
    <w:uiPriority w:val="31"/>
    <w:qFormat/>
    <w:rsid w:val="009B788E"/>
    <w:rPr>
      <w:smallCaps/>
      <w:color w:val="6079A0" w:themeColor="text1" w:themeTint="A5"/>
    </w:rPr>
  </w:style>
  <w:style w:type="character" w:styleId="IntenseReference">
    <w:name w:val="Intense Reference"/>
    <w:basedOn w:val="DefaultParagraphFont"/>
    <w:uiPriority w:val="32"/>
    <w:qFormat/>
    <w:rsid w:val="009B788E"/>
    <w:rPr>
      <w:b/>
      <w:bCs/>
      <w:smallCaps/>
      <w:color w:val="461F65" w:themeColor="accent1"/>
      <w:spacing w:val="5"/>
    </w:rPr>
  </w:style>
  <w:style w:type="character" w:styleId="BookTitle">
    <w:name w:val="Book Title"/>
    <w:basedOn w:val="DefaultParagraphFont"/>
    <w:uiPriority w:val="33"/>
    <w:qFormat/>
    <w:rsid w:val="009B788E"/>
    <w:rPr>
      <w:b/>
      <w:bCs/>
      <w:i/>
      <w:iCs/>
      <w:spacing w:val="5"/>
    </w:rPr>
  </w:style>
  <w:style w:type="paragraph" w:styleId="Revision">
    <w:name w:val="Revision"/>
    <w:hidden/>
    <w:uiPriority w:val="99"/>
    <w:semiHidden/>
    <w:rsid w:val="0037565E"/>
    <w:pPr>
      <w:spacing w:after="0" w:line="240" w:lineRule="auto"/>
    </w:pPr>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9953FD"/>
    <w:rPr>
      <w:sz w:val="16"/>
      <w:szCs w:val="16"/>
    </w:rPr>
  </w:style>
  <w:style w:type="paragraph" w:styleId="CommentText">
    <w:name w:val="annotation text"/>
    <w:basedOn w:val="Normal"/>
    <w:link w:val="CommentTextChar"/>
    <w:uiPriority w:val="99"/>
    <w:unhideWhenUsed/>
    <w:rsid w:val="009953FD"/>
    <w:rPr>
      <w:sz w:val="20"/>
    </w:rPr>
  </w:style>
  <w:style w:type="character" w:customStyle="1" w:styleId="CommentTextChar">
    <w:name w:val="Comment Text Char"/>
    <w:basedOn w:val="DefaultParagraphFont"/>
    <w:link w:val="CommentText"/>
    <w:uiPriority w:val="99"/>
    <w:rsid w:val="009953FD"/>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953FD"/>
    <w:rPr>
      <w:b/>
      <w:bCs/>
    </w:rPr>
  </w:style>
  <w:style w:type="character" w:customStyle="1" w:styleId="CommentSubjectChar">
    <w:name w:val="Comment Subject Char"/>
    <w:basedOn w:val="CommentTextChar"/>
    <w:link w:val="CommentSubject"/>
    <w:uiPriority w:val="99"/>
    <w:semiHidden/>
    <w:rsid w:val="009953FD"/>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934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34873692">
      <w:bodyDiv w:val="1"/>
      <w:marLeft w:val="0"/>
      <w:marRight w:val="0"/>
      <w:marTop w:val="0"/>
      <w:marBottom w:val="0"/>
      <w:divBdr>
        <w:top w:val="none" w:sz="0" w:space="0" w:color="auto"/>
        <w:left w:val="none" w:sz="0" w:space="0" w:color="auto"/>
        <w:bottom w:val="none" w:sz="0" w:space="0" w:color="auto"/>
        <w:right w:val="none" w:sz="0" w:space="0" w:color="auto"/>
      </w:divBdr>
    </w:div>
    <w:div w:id="658072195">
      <w:bodyDiv w:val="1"/>
      <w:marLeft w:val="0"/>
      <w:marRight w:val="0"/>
      <w:marTop w:val="0"/>
      <w:marBottom w:val="0"/>
      <w:divBdr>
        <w:top w:val="none" w:sz="0" w:space="0" w:color="auto"/>
        <w:left w:val="none" w:sz="0" w:space="0" w:color="auto"/>
        <w:bottom w:val="none" w:sz="0" w:space="0" w:color="auto"/>
        <w:right w:val="none" w:sz="0" w:space="0" w:color="auto"/>
      </w:divBdr>
    </w:div>
    <w:div w:id="884870250">
      <w:bodyDiv w:val="1"/>
      <w:marLeft w:val="0"/>
      <w:marRight w:val="0"/>
      <w:marTop w:val="0"/>
      <w:marBottom w:val="0"/>
      <w:divBdr>
        <w:top w:val="none" w:sz="0" w:space="0" w:color="auto"/>
        <w:left w:val="none" w:sz="0" w:space="0" w:color="auto"/>
        <w:bottom w:val="none" w:sz="0" w:space="0" w:color="auto"/>
        <w:right w:val="none" w:sz="0" w:space="0" w:color="auto"/>
      </w:divBdr>
    </w:div>
    <w:div w:id="1070008677">
      <w:bodyDiv w:val="1"/>
      <w:marLeft w:val="0"/>
      <w:marRight w:val="0"/>
      <w:marTop w:val="0"/>
      <w:marBottom w:val="0"/>
      <w:divBdr>
        <w:top w:val="none" w:sz="0" w:space="0" w:color="auto"/>
        <w:left w:val="none" w:sz="0" w:space="0" w:color="auto"/>
        <w:bottom w:val="none" w:sz="0" w:space="0" w:color="auto"/>
        <w:right w:val="none" w:sz="0" w:space="0" w:color="auto"/>
      </w:divBdr>
    </w:div>
    <w:div w:id="1071732655">
      <w:bodyDiv w:val="1"/>
      <w:marLeft w:val="0"/>
      <w:marRight w:val="0"/>
      <w:marTop w:val="0"/>
      <w:marBottom w:val="0"/>
      <w:divBdr>
        <w:top w:val="none" w:sz="0" w:space="0" w:color="auto"/>
        <w:left w:val="none" w:sz="0" w:space="0" w:color="auto"/>
        <w:bottom w:val="none" w:sz="0" w:space="0" w:color="auto"/>
        <w:right w:val="none" w:sz="0" w:space="0" w:color="auto"/>
      </w:divBdr>
    </w:div>
    <w:div w:id="1191724357">
      <w:bodyDiv w:val="1"/>
      <w:marLeft w:val="0"/>
      <w:marRight w:val="0"/>
      <w:marTop w:val="0"/>
      <w:marBottom w:val="0"/>
      <w:divBdr>
        <w:top w:val="none" w:sz="0" w:space="0" w:color="auto"/>
        <w:left w:val="none" w:sz="0" w:space="0" w:color="auto"/>
        <w:bottom w:val="none" w:sz="0" w:space="0" w:color="auto"/>
        <w:right w:val="none" w:sz="0" w:space="0" w:color="auto"/>
      </w:divBdr>
    </w:div>
    <w:div w:id="1711221192">
      <w:bodyDiv w:val="1"/>
      <w:marLeft w:val="0"/>
      <w:marRight w:val="0"/>
      <w:marTop w:val="0"/>
      <w:marBottom w:val="0"/>
      <w:divBdr>
        <w:top w:val="none" w:sz="0" w:space="0" w:color="auto"/>
        <w:left w:val="none" w:sz="0" w:space="0" w:color="auto"/>
        <w:bottom w:val="none" w:sz="0" w:space="0" w:color="auto"/>
        <w:right w:val="none" w:sz="0" w:space="0" w:color="auto"/>
      </w:divBdr>
    </w:div>
    <w:div w:id="17215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SY Corporate">
  <a:themeElements>
    <a:clrScheme name="Payment Times Reporting Regulator">
      <a:dk1>
        <a:srgbClr val="2C384A"/>
      </a:dk1>
      <a:lt1>
        <a:srgbClr val="FFFFFF"/>
      </a:lt1>
      <a:dk2>
        <a:srgbClr val="004F4D"/>
      </a:dk2>
      <a:lt2>
        <a:srgbClr val="F1E1FF"/>
      </a:lt2>
      <a:accent1>
        <a:srgbClr val="461F65"/>
      </a:accent1>
      <a:accent2>
        <a:srgbClr val="9230E3"/>
      </a:accent2>
      <a:accent3>
        <a:srgbClr val="DBB0FF"/>
      </a:accent3>
      <a:accent4>
        <a:srgbClr val="F1E1FF"/>
      </a:accent4>
      <a:accent5>
        <a:srgbClr val="004F4D"/>
      </a:accent5>
      <a:accent6>
        <a:srgbClr val="2C384A"/>
      </a:accent6>
      <a:hlink>
        <a:srgbClr val="3A6FAF"/>
      </a:hlink>
      <a:folHlink>
        <a:srgbClr val="3A6FA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Statement of Expectations – Payment Times Reporting Regulator – June 2026</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 Payment Times Reporting Regulator – June 2026</dc:title>
  <dc:subject/>
  <dc:creator>Payment Times Reporting Regulator</dc:creator>
  <cp:keywords/>
  <cp:lastModifiedBy/>
  <cp:revision>1</cp:revision>
  <dcterms:created xsi:type="dcterms:W3CDTF">2026-07-07T00:44:00Z</dcterms:created>
  <dcterms:modified xsi:type="dcterms:W3CDTF">2026-07-07T00:45:00Z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2026-07-07T00:45:34Z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4d49fff2-6d91-404b-99af-d9384706c78b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