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653D6" w14:textId="01E914E7" w:rsidR="00D1593E" w:rsidRDefault="00DA759D">
      <w:pPr>
        <w:pStyle w:val="Factsheettitle"/>
      </w:pPr>
      <w:r>
        <w:t>Competition and</w:t>
      </w:r>
      <w:r w:rsidR="00D56119" w:rsidRPr="00D56119">
        <w:t xml:space="preserve"> firms' innovation outcome</w:t>
      </w:r>
      <w:r w:rsidR="00D56119">
        <w:t>s</w:t>
      </w:r>
    </w:p>
    <w:p w14:paraId="1A2B1D26" w14:textId="1BC8ABA9" w:rsidR="00D1593E" w:rsidRDefault="001D79F4">
      <w:pPr>
        <w:pStyle w:val="Introtext"/>
      </w:pPr>
      <w:r>
        <w:t xml:space="preserve">Omer Majeed, Nabeeh </w:t>
      </w:r>
      <w:r w:rsidR="00760581">
        <w:t>Zakariyya, Monica</w:t>
      </w:r>
      <w:r>
        <w:t xml:space="preserve"> Wang</w:t>
      </w:r>
      <w:r w:rsidR="00902470">
        <w:t xml:space="preserve"> &amp; Sarah Davies</w:t>
      </w:r>
      <w:r w:rsidR="00B04BE0">
        <w:t xml:space="preserve"> | </w:t>
      </w:r>
      <w:r w:rsidR="00670999">
        <w:t xml:space="preserve">Competition </w:t>
      </w:r>
      <w:r w:rsidR="00B04BE0">
        <w:t xml:space="preserve">Evaluation and Analysis Unit, </w:t>
      </w:r>
      <w:r w:rsidR="00670999">
        <w:t>C</w:t>
      </w:r>
      <w:r w:rsidR="00B04BE0">
        <w:t xml:space="preserve">EAU | </w:t>
      </w:r>
      <w:r w:rsidR="00760581">
        <w:t xml:space="preserve">March </w:t>
      </w:r>
      <w:r w:rsidR="00A75AD0">
        <w:t>2026</w:t>
      </w:r>
      <w:r w:rsidR="00C30FA0">
        <w:rPr>
          <w:rStyle w:val="FootnoteReference"/>
        </w:rPr>
        <w:footnoteReference w:id="2"/>
      </w:r>
    </w:p>
    <w:tbl>
      <w:tblPr>
        <w:tblpPr w:leftFromText="181" w:rightFromText="181" w:vertAnchor="text" w:horzAnchor="margin" w:tblpY="143"/>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638"/>
      </w:tblGrid>
      <w:tr w:rsidR="00D1593E" w14:paraId="12ECE70E" w14:textId="77777777" w:rsidTr="51498028">
        <w:tc>
          <w:tcPr>
            <w:tcW w:w="5000" w:type="pct"/>
            <w:shd w:val="clear" w:color="auto" w:fill="F2F9FC"/>
          </w:tcPr>
          <w:p w14:paraId="0309FD92" w14:textId="77777777" w:rsidR="00D1593E" w:rsidRDefault="00B04BE0" w:rsidP="00E65F0E">
            <w:pPr>
              <w:pStyle w:val="BoxHeading"/>
            </w:pPr>
            <w:r>
              <w:t xml:space="preserve">Key </w:t>
            </w:r>
            <w:r w:rsidRPr="00E65F0E">
              <w:t>points</w:t>
            </w:r>
          </w:p>
          <w:p w14:paraId="11593C6C" w14:textId="48D4A6F4" w:rsidR="009046B3" w:rsidRDefault="009046B3" w:rsidP="00A14F22">
            <w:pPr>
              <w:pStyle w:val="Bullet"/>
              <w:tabs>
                <w:tab w:val="num" w:pos="520"/>
              </w:tabs>
              <w:ind w:left="520" w:hanging="520"/>
            </w:pPr>
            <w:r>
              <w:t xml:space="preserve">Innovation is fundamental to productivity growth. </w:t>
            </w:r>
            <w:r w:rsidR="002D7403">
              <w:t>This note shows a</w:t>
            </w:r>
            <w:r>
              <w:t xml:space="preserve"> strong association between increased competitive pressure and a higher likelihood of innovation.</w:t>
            </w:r>
          </w:p>
          <w:p w14:paraId="442BC9B4" w14:textId="6EA5C01F" w:rsidR="00A14F22" w:rsidRPr="0024295B" w:rsidRDefault="00A14F22" w:rsidP="00A14F22">
            <w:pPr>
              <w:pStyle w:val="Bullet"/>
              <w:tabs>
                <w:tab w:val="num" w:pos="520"/>
              </w:tabs>
              <w:ind w:left="520" w:hanging="520"/>
            </w:pPr>
            <w:r>
              <w:t>Competition is strongly associated with higher innovation at low to moderate levels, with predicted innovation probabilities around</w:t>
            </w:r>
            <w:r w:rsidR="00C51BB3">
              <w:t xml:space="preserve"> 1</w:t>
            </w:r>
            <w:r w:rsidR="001144FA">
              <w:t>0-</w:t>
            </w:r>
            <w:r>
              <w:t xml:space="preserve">15 percentage points higher </w:t>
            </w:r>
            <w:r w:rsidR="006842C6">
              <w:t>when</w:t>
            </w:r>
            <w:r>
              <w:t xml:space="preserve"> firms move from monopoly to roughly </w:t>
            </w:r>
            <w:r w:rsidR="001144FA">
              <w:t>five or more</w:t>
            </w:r>
            <w:r>
              <w:t xml:space="preserve"> competitors.</w:t>
            </w:r>
          </w:p>
          <w:p w14:paraId="30D935CC" w14:textId="738C49A1" w:rsidR="00A14F22" w:rsidRDefault="00A14F22" w:rsidP="00A14F22">
            <w:pPr>
              <w:pStyle w:val="Bullet"/>
              <w:tabs>
                <w:tab w:val="num" w:pos="520"/>
              </w:tabs>
              <w:ind w:left="520" w:hanging="520"/>
            </w:pPr>
            <w:r w:rsidRPr="0024295B">
              <w:t>This matters because a large share of Australian firms face limited competition—around two in five operate with fewer than five competitors, and one in seven report no effective competition.</w:t>
            </w:r>
          </w:p>
          <w:p w14:paraId="57AEA8F9" w14:textId="65377217" w:rsidR="00865C2A" w:rsidRDefault="00865C2A" w:rsidP="00865C2A">
            <w:pPr>
              <w:pStyle w:val="Bullet"/>
              <w:tabs>
                <w:tab w:val="num" w:pos="520"/>
              </w:tabs>
              <w:ind w:left="520" w:hanging="520"/>
            </w:pPr>
            <w:r w:rsidRPr="0024295B">
              <w:t>The results suggest substantial scope for</w:t>
            </w:r>
            <w:r>
              <w:t xml:space="preserve"> competition</w:t>
            </w:r>
            <w:r>
              <w:rPr>
                <w:rFonts w:ascii="Cambria Math" w:hAnsi="Cambria Math" w:cs="Cambria Math"/>
              </w:rPr>
              <w:t>‑</w:t>
            </w:r>
            <w:r>
              <w:t>enhancing policies to support innovation, as innovation remains positively associated with competition until competitive pressure becomes very intense.</w:t>
            </w:r>
          </w:p>
          <w:p w14:paraId="4A9F6503" w14:textId="6BA0C503" w:rsidR="006D0F63" w:rsidRDefault="006D0F63" w:rsidP="006D0F63">
            <w:pPr>
              <w:pStyle w:val="Bullet"/>
              <w:tabs>
                <w:tab w:val="num" w:pos="520"/>
              </w:tabs>
              <w:ind w:left="520" w:hanging="520"/>
            </w:pPr>
            <w:r w:rsidRPr="0061685B">
              <w:t xml:space="preserve">As innovation is associated with higher productivity, stronger competition </w:t>
            </w:r>
            <w:r>
              <w:t>is likely to</w:t>
            </w:r>
            <w:r w:rsidRPr="0061685B">
              <w:t xml:space="preserve"> contribute to broader productivity gains over time.</w:t>
            </w:r>
          </w:p>
          <w:p w14:paraId="42497526" w14:textId="77777777" w:rsidR="001B53C9" w:rsidRPr="001B53C9" w:rsidRDefault="001B53C9" w:rsidP="001B53C9">
            <w:pPr>
              <w:pStyle w:val="Bullet"/>
              <w:tabs>
                <w:tab w:val="num" w:pos="520"/>
              </w:tabs>
              <w:ind w:left="520" w:hanging="520"/>
            </w:pPr>
            <w:r w:rsidRPr="001B53C9">
              <w:t>Our robustness tests, using a more granular alternative dataset, yield evidence consistent with an inverted-U relationship. The results indicate lower innovation probabilities at very high levels of competition, consistent with international evidence. Importantly, this note shows that this effect emerges only when competition reaches relatively high levels of competitive pressure.</w:t>
            </w:r>
          </w:p>
          <w:p w14:paraId="0DAF2361" w14:textId="55670A01" w:rsidR="00EE5972" w:rsidRDefault="007D047F" w:rsidP="00DD7707">
            <w:pPr>
              <w:pStyle w:val="Bullet"/>
              <w:tabs>
                <w:tab w:val="num" w:pos="520"/>
              </w:tabs>
              <w:ind w:left="520" w:hanging="520"/>
            </w:pPr>
            <w:r w:rsidRPr="007D047F">
              <w:t>Since competition can often be local, national</w:t>
            </w:r>
            <w:r w:rsidRPr="007D047F">
              <w:rPr>
                <w:rFonts w:ascii="Cambria Math" w:hAnsi="Cambria Math" w:cs="Cambria Math"/>
              </w:rPr>
              <w:t>‑</w:t>
            </w:r>
            <w:r w:rsidRPr="007D047F">
              <w:t>level measures can obscure important geographic variation; this note therefore uses newly constructed, detailed local measures that capture an important dimension of the competitive pressure that firms face.</w:t>
            </w:r>
          </w:p>
        </w:tc>
      </w:tr>
    </w:tbl>
    <w:p w14:paraId="2568BB03" w14:textId="77777777" w:rsidR="00D1593E" w:rsidRDefault="00B04BE0" w:rsidP="00E65F0E">
      <w:pPr>
        <w:pStyle w:val="Heading1"/>
      </w:pPr>
      <w:r w:rsidRPr="00E65F0E">
        <w:t>Introduction</w:t>
      </w:r>
    </w:p>
    <w:p w14:paraId="68DF746F" w14:textId="18A73C0C" w:rsidR="00686FDC" w:rsidRDefault="00B4761A" w:rsidP="00686FDC">
      <w:r w:rsidRPr="00B4761A">
        <w:t xml:space="preserve">Productivity growth relies on firms continually improving what they produce and how they operate. </w:t>
      </w:r>
      <w:r w:rsidR="00A46700" w:rsidRPr="00B4761A">
        <w:t>Innovation is</w:t>
      </w:r>
      <w:r w:rsidRPr="00B4761A">
        <w:t xml:space="preserve"> central to this process (Palangkaraya et al., 2015; Majeed and Breunig, 2022; van Leeuwen, 2002). Without sustained innovation, living standards stagnate and fiscal sustainability becomes more challenging. Recognising this, </w:t>
      </w:r>
      <w:r w:rsidR="002E210D">
        <w:t>as productivity has decline</w:t>
      </w:r>
      <w:r w:rsidR="00A46700">
        <w:t>d</w:t>
      </w:r>
      <w:r w:rsidR="002E210D">
        <w:t xml:space="preserve"> across the </w:t>
      </w:r>
      <w:r w:rsidR="00A46700">
        <w:t>developed</w:t>
      </w:r>
      <w:r w:rsidR="002E210D">
        <w:t xml:space="preserve"> world</w:t>
      </w:r>
      <w:r w:rsidR="00A46700">
        <w:t xml:space="preserve"> in recent year</w:t>
      </w:r>
      <w:r w:rsidR="002247CC">
        <w:t>s</w:t>
      </w:r>
      <w:r w:rsidR="002E210D">
        <w:t xml:space="preserve">, </w:t>
      </w:r>
      <w:r w:rsidRPr="00B4761A">
        <w:t>OECD economies have strengthened their emphasis on innovation policy (OECD, 2025).</w:t>
      </w:r>
      <w:r w:rsidR="009D500C">
        <w:t xml:space="preserve"> </w:t>
      </w:r>
      <w:r w:rsidR="00D3315F" w:rsidRPr="00D3315F">
        <w:t>Against this backdrop, around 46 per cent of Australian firms were innovation-active in 2023, according to the latest ABS Business Characteristics Survey (BCS).</w:t>
      </w:r>
    </w:p>
    <w:p w14:paraId="3492D239" w14:textId="76E38D83" w:rsidR="00B4761A" w:rsidRDefault="00495A45" w:rsidP="00686FDC">
      <w:r>
        <w:t>Competition plays a pivotal role in shaping innovation incentives. Firms exposed to rivals must adapt, improve, and differentiate to survive. In contrast, firms facing limited competitive pressure may have weaker incentives to innovate.</w:t>
      </w:r>
      <w:r w:rsidR="00040388">
        <w:t xml:space="preserve"> </w:t>
      </w:r>
      <w:r w:rsidR="00B031EB">
        <w:t xml:space="preserve">However, this relationship </w:t>
      </w:r>
      <w:r w:rsidR="000B57F7">
        <w:t>likely exhibits an inverted</w:t>
      </w:r>
      <w:r w:rsidR="00E4669C">
        <w:t>-</w:t>
      </w:r>
      <w:r w:rsidR="000B57F7">
        <w:t>U shape, as too much competition may also lower incentive</w:t>
      </w:r>
      <w:r>
        <w:t>s</w:t>
      </w:r>
      <w:r w:rsidR="000B57F7">
        <w:t xml:space="preserve"> to innovate</w:t>
      </w:r>
      <w:r>
        <w:t xml:space="preserve"> for profit shares </w:t>
      </w:r>
      <w:r w:rsidR="000B57F7">
        <w:t>(Aghion</w:t>
      </w:r>
      <w:r w:rsidR="004B75D1">
        <w:t xml:space="preserve">, </w:t>
      </w:r>
      <w:r w:rsidR="000B57F7">
        <w:t xml:space="preserve">2005). </w:t>
      </w:r>
      <w:r w:rsidR="005712B1">
        <w:t xml:space="preserve"> </w:t>
      </w:r>
      <w:r w:rsidR="005712B1" w:rsidRPr="005712B1">
        <w:t>Aghion et al. (2005) propose, and empirically test, an</w:t>
      </w:r>
      <w:r w:rsidR="00697403">
        <w:t xml:space="preserve"> </w:t>
      </w:r>
      <w:r w:rsidR="005712B1" w:rsidRPr="005712B1">
        <w:t xml:space="preserve">inverted-U relationship: </w:t>
      </w:r>
      <w:r w:rsidR="005712B1" w:rsidRPr="005712B1">
        <w:lastRenderedPageBreak/>
        <w:t>as competition intensifies from low levels, industry-wide</w:t>
      </w:r>
      <w:r w:rsidR="00697403">
        <w:t xml:space="preserve"> </w:t>
      </w:r>
      <w:r w:rsidR="005712B1" w:rsidRPr="005712B1">
        <w:t>innovation initially increases but declines once competition becomes overly fierce. While</w:t>
      </w:r>
      <w:r w:rsidR="00697403">
        <w:t xml:space="preserve"> </w:t>
      </w:r>
      <w:r w:rsidR="005712B1" w:rsidRPr="005712B1">
        <w:t>competition can drive firms to innovate, excessive competition may limit their capacity</w:t>
      </w:r>
      <w:r w:rsidR="00697403">
        <w:t xml:space="preserve"> </w:t>
      </w:r>
      <w:r w:rsidR="005712B1" w:rsidRPr="005712B1">
        <w:t>to invest in R&amp;D, particularly in industries where profits are tightly constrained</w:t>
      </w:r>
      <w:r w:rsidR="00697403">
        <w:t>.</w:t>
      </w:r>
    </w:p>
    <w:p w14:paraId="24774496" w14:textId="762DEF32" w:rsidR="006F2B38" w:rsidRDefault="006F2B38" w:rsidP="00686FDC">
      <w:r>
        <w:t>The findings here show that Australian firms operating in more competitive environments are more likely to innovate. The relationship holds across product, process, organisational</w:t>
      </w:r>
      <w:r w:rsidR="38197F87">
        <w:t xml:space="preserve"> </w:t>
      </w:r>
      <w:r>
        <w:t>and marketing innovation, highlighting the importance of competitive markets for sustaining productivity growth. This is particularly noteworthy given ABS data indicating that many firms operate with relatively few competitors.</w:t>
      </w:r>
      <w:r w:rsidR="007958B3">
        <w:t xml:space="preserve"> </w:t>
      </w:r>
    </w:p>
    <w:p w14:paraId="383FDF64" w14:textId="4DEE207E" w:rsidR="00D13D9D" w:rsidRDefault="00B43D04" w:rsidP="00240DE1">
      <w:r w:rsidRPr="00B43D04">
        <w:t xml:space="preserve">Examining this relationship is especially </w:t>
      </w:r>
      <w:r w:rsidR="00D73D1D">
        <w:t>complex</w:t>
      </w:r>
      <w:r w:rsidRPr="00B43D04">
        <w:t xml:space="preserve"> because both competition and innovation are hard to measure. To date, this relationship has largely been explored using patent data (Aghion et al. 2005); however, patents represent only a small fraction of total innovation activity</w:t>
      </w:r>
      <w:r w:rsidR="00040388">
        <w:t>.</w:t>
      </w:r>
      <w:r w:rsidR="00511B5A" w:rsidRPr="00511B5A">
        <w:rPr>
          <w:rFonts w:ascii="Segoe UI" w:hAnsi="Segoe UI" w:cs="Segoe UI"/>
          <w:b/>
          <w:bCs/>
          <w:sz w:val="21"/>
          <w:szCs w:val="21"/>
        </w:rPr>
        <w:t xml:space="preserve"> </w:t>
      </w:r>
      <w:r w:rsidR="00511B5A" w:rsidRPr="00511B5A">
        <w:t>In this analysis, we instead use OECD Oslo Manual</w:t>
      </w:r>
      <w:r w:rsidR="00511B5A" w:rsidRPr="00511B5A">
        <w:noBreakHyphen/>
        <w:t>based innovation measures from the Business Characteristics Survey (BCS)</w:t>
      </w:r>
      <w:r w:rsidR="004653AF">
        <w:rPr>
          <w:rStyle w:val="FootnoteReference"/>
        </w:rPr>
        <w:footnoteReference w:id="3"/>
      </w:r>
      <w:r w:rsidR="00511B5A" w:rsidRPr="00511B5A">
        <w:t>, which capture innovation more broadly by asking firms whether they have undertaken new or significantly improved goods or services, processes, marketing methods, or organisational practices</w:t>
      </w:r>
      <w:r w:rsidR="00FF5072">
        <w:rPr>
          <w:rStyle w:val="FootnoteReference"/>
        </w:rPr>
        <w:footnoteReference w:id="4"/>
      </w:r>
      <w:r w:rsidR="00511B5A" w:rsidRPr="00511B5A">
        <w:t xml:space="preserve">. </w:t>
      </w:r>
    </w:p>
    <w:p w14:paraId="17CFBACB" w14:textId="3EE71552" w:rsidR="002A5679" w:rsidRPr="002A5679" w:rsidRDefault="002A5679" w:rsidP="002A5679">
      <w:r w:rsidRPr="002A5679">
        <w:t>Moreover, as competition is often local, widely used national</w:t>
      </w:r>
      <w:r w:rsidRPr="002A5679">
        <w:noBreakHyphen/>
        <w:t xml:space="preserve"> or industry</w:t>
      </w:r>
      <w:r w:rsidRPr="002A5679">
        <w:noBreakHyphen/>
        <w:t>level measures—such as the Herfindahl–Hirschman Index (HHI), mark</w:t>
      </w:r>
      <w:r w:rsidRPr="002A5679">
        <w:noBreakHyphen/>
        <w:t>ups, and the Lerner Index (LI)—can obscure the geographic dimension of competition. Moreover, national</w:t>
      </w:r>
      <w:r w:rsidRPr="002A5679">
        <w:noBreakHyphen/>
        <w:t xml:space="preserve"> and industry</w:t>
      </w:r>
      <w:r w:rsidRPr="002A5679">
        <w:noBreakHyphen/>
        <w:t>level classifications may not match the market</w:t>
      </w:r>
      <w:r w:rsidRPr="002A5679">
        <w:noBreakHyphen/>
        <w:t>level competition that each individual firm faces. This note contributes by using firms' own perceived level of competition</w:t>
      </w:r>
      <w:r>
        <w:t xml:space="preserve"> (from the BCS)</w:t>
      </w:r>
      <w:r w:rsidRPr="002A5679">
        <w:t xml:space="preserve"> and relying on highly granular local measures of competition, </w:t>
      </w:r>
      <w:r w:rsidR="00033935" w:rsidRPr="00033935">
        <w:t>capturing aspects of the competitive environment that may be overlooked by national</w:t>
      </w:r>
      <w:r w:rsidR="00033935" w:rsidRPr="00033935">
        <w:noBreakHyphen/>
        <w:t xml:space="preserve"> or industry</w:t>
      </w:r>
      <w:r w:rsidR="00033935" w:rsidRPr="00033935">
        <w:noBreakHyphen/>
        <w:t>level measures.</w:t>
      </w:r>
    </w:p>
    <w:p w14:paraId="70B845E3" w14:textId="3EF50CED" w:rsidR="00240DE1" w:rsidRDefault="00240DE1" w:rsidP="00240DE1">
      <w:r w:rsidRPr="00240DE1">
        <w:t xml:space="preserve">To capture the association between competition and innovation, this note draws on two novel datasets. </w:t>
      </w:r>
      <w:r w:rsidR="00F40D31">
        <w:t>First</w:t>
      </w:r>
      <w:r w:rsidRPr="00240DE1">
        <w:t>, we exploit firms’ self</w:t>
      </w:r>
      <w:r w:rsidRPr="00240DE1">
        <w:noBreakHyphen/>
        <w:t xml:space="preserve">reported perceptions of competitive pressure drawn from a representative survey. </w:t>
      </w:r>
      <w:r w:rsidR="00F40D31">
        <w:t>Second</w:t>
      </w:r>
      <w:r w:rsidR="00F40D31" w:rsidRPr="00240DE1">
        <w:t>, we use linked employer–employee data to construct a local measure of competition based on the number of competitors a firm faces within its industry and work zone (hereafter referred to as the LEED</w:t>
      </w:r>
      <w:r w:rsidR="00F40D31" w:rsidRPr="00240DE1">
        <w:noBreakHyphen/>
        <w:t xml:space="preserve">based competition measure). </w:t>
      </w:r>
      <w:r w:rsidR="00F40D31">
        <w:t xml:space="preserve"> </w:t>
      </w:r>
      <w:r w:rsidRPr="00240DE1">
        <w:t xml:space="preserve">Together, these measures capture the local competitive environment faced by firms. </w:t>
      </w:r>
      <w:r w:rsidR="00E260F4">
        <w:t xml:space="preserve">Based on these measures, we </w:t>
      </w:r>
      <w:r w:rsidR="00980F14">
        <w:t xml:space="preserve">explore the relationship between innovation and competition. </w:t>
      </w:r>
      <w:r>
        <w:t xml:space="preserve">These datasets are further discussed in the appendix. </w:t>
      </w:r>
    </w:p>
    <w:p w14:paraId="16765E31" w14:textId="01E5CB3C" w:rsidR="006F4981" w:rsidRDefault="00B41F70" w:rsidP="00E65F0E">
      <w:pPr>
        <w:pStyle w:val="Heading1"/>
      </w:pPr>
      <w:r w:rsidRPr="00461F91">
        <w:t xml:space="preserve">Results – </w:t>
      </w:r>
      <w:r w:rsidR="007F47C0">
        <w:t>All</w:t>
      </w:r>
      <w:r w:rsidR="00686F2E">
        <w:t xml:space="preserve"> </w:t>
      </w:r>
      <w:r w:rsidR="00686F2E" w:rsidRPr="00E65F0E">
        <w:t>innovation</w:t>
      </w:r>
      <w:r>
        <w:t xml:space="preserve"> </w:t>
      </w:r>
      <w:r w:rsidR="008F36CF">
        <w:t>types</w:t>
      </w:r>
    </w:p>
    <w:p w14:paraId="23C860D0" w14:textId="28D3338D" w:rsidR="00A20DEE" w:rsidRDefault="00DA2290" w:rsidP="005846A3">
      <w:r>
        <w:t xml:space="preserve">Our results </w:t>
      </w:r>
      <w:r w:rsidR="00AE7D09">
        <w:t xml:space="preserve">show that increasing </w:t>
      </w:r>
      <w:r w:rsidR="006C0D6A">
        <w:t>competition</w:t>
      </w:r>
      <w:r w:rsidR="00380CBD">
        <w:t xml:space="preserve"> is associated with increased probability to innovate</w:t>
      </w:r>
      <w:r w:rsidR="005846A3">
        <w:t xml:space="preserve">, </w:t>
      </w:r>
      <w:r w:rsidR="005846A3" w:rsidRPr="00FF5C73">
        <w:t xml:space="preserve">with predicted probabilities around </w:t>
      </w:r>
      <w:r w:rsidR="005846A3">
        <w:t>15</w:t>
      </w:r>
      <w:r w:rsidR="005846A3" w:rsidRPr="00FF5C73">
        <w:t xml:space="preserve"> percentage points higher when firms face roughly </w:t>
      </w:r>
      <w:r w:rsidR="005846A3">
        <w:t xml:space="preserve">five or </w:t>
      </w:r>
      <w:r w:rsidR="005846A3" w:rsidRPr="007801C9">
        <w:t xml:space="preserve">more competitors compared with monopoly. </w:t>
      </w:r>
      <w:r w:rsidR="00A20DEE" w:rsidRPr="007801C9">
        <w:t>The results point to a non</w:t>
      </w:r>
      <w:r w:rsidR="00A20DEE" w:rsidRPr="007801C9">
        <w:noBreakHyphen/>
        <w:t xml:space="preserve">linear association between competition and innovation (Figure </w:t>
      </w:r>
      <w:r w:rsidR="00115993" w:rsidRPr="007801C9">
        <w:t>1</w:t>
      </w:r>
      <w:r w:rsidR="00A20DEE" w:rsidRPr="007801C9">
        <w:t>)</w:t>
      </w:r>
      <w:r w:rsidR="000A28E3" w:rsidRPr="007801C9">
        <w:t>, consistent with  Aghion et al. (2005)</w:t>
      </w:r>
      <w:r w:rsidR="00A20DEE" w:rsidRPr="007801C9">
        <w:t xml:space="preserve">.  </w:t>
      </w:r>
      <w:r w:rsidR="00E26A04" w:rsidRPr="007801C9">
        <w:t>The results indicate a strong association between innovation and competition</w:t>
      </w:r>
      <w:r w:rsidR="00E26A04" w:rsidRPr="00E26A04">
        <w:t xml:space="preserve"> at lower levels of competitive pressure</w:t>
      </w:r>
      <w:r w:rsidR="00A20DEE" w:rsidRPr="00EB287D">
        <w:t xml:space="preserve">, before flattening </w:t>
      </w:r>
      <w:r w:rsidR="00A20DEE">
        <w:t>a bit</w:t>
      </w:r>
      <w:r w:rsidR="00A20DEE" w:rsidRPr="00EB287D">
        <w:t xml:space="preserve"> as competition becomes more intense.</w:t>
      </w:r>
    </w:p>
    <w:p w14:paraId="5D53D926" w14:textId="6D3E608F" w:rsidR="00952CA0" w:rsidRDefault="005B5CB6" w:rsidP="005846A3">
      <w:r w:rsidRPr="005B5CB6">
        <w:t xml:space="preserve">The BCS measure is especially useful because firms self-report the degree of competition they face, </w:t>
      </w:r>
      <w:r w:rsidR="00A076B2" w:rsidRPr="00A076B2">
        <w:t xml:space="preserve">meaning it may provide </w:t>
      </w:r>
      <w:r w:rsidR="0008604C">
        <w:t xml:space="preserve">additional insights </w:t>
      </w:r>
      <w:r w:rsidR="00A076B2" w:rsidRPr="00A076B2">
        <w:t>on firm-level competitive conditions.</w:t>
      </w:r>
      <w:r w:rsidR="0008604C">
        <w:t xml:space="preserve"> </w:t>
      </w:r>
      <w:r w:rsidR="009C5B92">
        <w:t xml:space="preserve">The drawback </w:t>
      </w:r>
      <w:r w:rsidR="00A21834">
        <w:t>of the BCS</w:t>
      </w:r>
      <w:r w:rsidR="00F86CAA">
        <w:t xml:space="preserve"> </w:t>
      </w:r>
      <w:r w:rsidR="00DF0123" w:rsidRPr="000E3031">
        <w:t>competition variable is reported in broad categories—no competitors, 1–2, 3–4, and five or more competitors—which limits the ability to assess the downward</w:t>
      </w:r>
      <w:r w:rsidR="00DF0123" w:rsidRPr="000E3031">
        <w:noBreakHyphen/>
        <w:t>sloping portion of the inverted</w:t>
      </w:r>
      <w:r w:rsidR="00DF0123" w:rsidRPr="000E3031">
        <w:noBreakHyphen/>
        <w:t>U relationship observed in the baseline analysis.</w:t>
      </w:r>
      <w:r w:rsidR="00DF0123">
        <w:t xml:space="preserve"> As such, the robustness variable using </w:t>
      </w:r>
      <w:r w:rsidR="00562ABF">
        <w:t>LEED overcomes this shortcoming</w:t>
      </w:r>
      <w:r w:rsidR="00A8689C">
        <w:rPr>
          <w:rStyle w:val="FootnoteReference"/>
        </w:rPr>
        <w:footnoteReference w:id="5"/>
      </w:r>
      <w:r w:rsidR="00562ABF">
        <w:t>.</w:t>
      </w:r>
    </w:p>
    <w:p w14:paraId="0D0B3DF8" w14:textId="77777777" w:rsidR="00952CA0" w:rsidRDefault="00952CA0">
      <w:pPr>
        <w:spacing w:after="0" w:line="240" w:lineRule="auto"/>
        <w:jc w:val="left"/>
      </w:pPr>
      <w:r>
        <w:br w:type="page"/>
      </w:r>
    </w:p>
    <w:p w14:paraId="34C6ABEE" w14:textId="14B305F8" w:rsidR="007C3331" w:rsidRPr="007C3331" w:rsidRDefault="007C3331" w:rsidP="00AA030B">
      <w:pPr>
        <w:pStyle w:val="Charttitle"/>
        <w:spacing w:after="0"/>
      </w:pPr>
      <w:r w:rsidRPr="007C3331">
        <w:lastRenderedPageBreak/>
        <w:t xml:space="preserve">Figure </w:t>
      </w:r>
      <w:r>
        <w:t>1</w:t>
      </w:r>
      <w:r w:rsidRPr="007C3331">
        <w:t>. Predicted probability of innovation by perceived competition (probit model)</w:t>
      </w:r>
    </w:p>
    <w:p w14:paraId="7224BEA1" w14:textId="37A47E04" w:rsidR="00F86CAA" w:rsidRPr="008167A3" w:rsidRDefault="007C3331" w:rsidP="00AA030B">
      <w:pPr>
        <w:pStyle w:val="Charttitle"/>
        <w:spacing w:before="0"/>
      </w:pPr>
      <w:r w:rsidRPr="007C3331">
        <w:t>Any Innovation</w:t>
      </w:r>
    </w:p>
    <w:p w14:paraId="56268F85" w14:textId="0FDF0432" w:rsidR="00264900" w:rsidRDefault="00264900" w:rsidP="008167A3">
      <w:pPr>
        <w:jc w:val="center"/>
      </w:pPr>
      <w:r w:rsidRPr="00264900">
        <w:rPr>
          <w:noProof/>
        </w:rPr>
        <w:drawing>
          <wp:inline distT="0" distB="0" distL="0" distR="0" wp14:anchorId="3C93D951" wp14:editId="0ADD297C">
            <wp:extent cx="3427012" cy="2284556"/>
            <wp:effectExtent l="0" t="0" r="2540" b="1905"/>
            <wp:docPr id="1914457178" name="Picture 1" descr="Line chart that shows predicted probability of innovation increases from 0.4 to 0.54 as the number of competitors goes from &quot;No competitors&quot; to &quot;5+ competito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57178" name="Picture 1" descr="Line chart that shows predicted probability of innovation increases from 0.4 to 0.54 as the number of competitors goes from &quot;No competitors&quot; to &quot;5+ competitors&quot;"/>
                    <pic:cNvPicPr/>
                  </pic:nvPicPr>
                  <pic:blipFill>
                    <a:blip r:embed="rId8"/>
                    <a:stretch>
                      <a:fillRect/>
                    </a:stretch>
                  </pic:blipFill>
                  <pic:spPr>
                    <a:xfrm>
                      <a:off x="0" y="0"/>
                      <a:ext cx="3441149" cy="2293980"/>
                    </a:xfrm>
                    <a:prstGeom prst="rect">
                      <a:avLst/>
                    </a:prstGeom>
                  </pic:spPr>
                </pic:pic>
              </a:graphicData>
            </a:graphic>
          </wp:inline>
        </w:drawing>
      </w:r>
    </w:p>
    <w:p w14:paraId="6E2A0C87" w14:textId="76681BDF" w:rsidR="00ED5775" w:rsidRDefault="003E6AF6" w:rsidP="005F5831">
      <w:r w:rsidRPr="003E6AF6">
        <w:t>The results remain robust when disaggregating innovation into different types — namely goods and services, marketing, process, and organisational innovation</w:t>
      </w:r>
      <w:r w:rsidR="009C6B73">
        <w:t xml:space="preserve"> (Figure </w:t>
      </w:r>
      <w:r w:rsidR="00132922">
        <w:t>5</w:t>
      </w:r>
      <w:r w:rsidR="009161BE">
        <w:t xml:space="preserve"> </w:t>
      </w:r>
      <w:r w:rsidR="009C6B73">
        <w:t>in the appendix)</w:t>
      </w:r>
      <w:r w:rsidRPr="003E6AF6">
        <w:t>. Across all innovation types, we continue to observe a positive association between competition and the predicted probability of innovation, alongside evidence of nonlinearity in the relationship.</w:t>
      </w:r>
      <w:r w:rsidR="00F21A3A">
        <w:t xml:space="preserve"> </w:t>
      </w:r>
      <w:r w:rsidR="00506630">
        <w:t>The broader “any innovation” measure encompasses all innovation channels, so it includes firms innovating in different ways, resulting in a higher overall probability than any single category. Although the magnitudes differ across innovation types, the underlying trend with respect to competition is broadly consistent</w:t>
      </w:r>
      <w:r w:rsidR="00F21A3A">
        <w:t>.</w:t>
      </w:r>
      <w:r w:rsidR="00506630">
        <w:t xml:space="preserve"> </w:t>
      </w:r>
    </w:p>
    <w:p w14:paraId="7C51A66F" w14:textId="42DD8C0D" w:rsidR="00ED5775" w:rsidRPr="009C6B73" w:rsidRDefault="00F21A3A" w:rsidP="009C6B73">
      <w:pPr>
        <w:pStyle w:val="Heading1"/>
      </w:pPr>
      <w:r w:rsidRPr="009C6B73">
        <w:t>Robust</w:t>
      </w:r>
      <w:r w:rsidR="00710A63" w:rsidRPr="009C6B73">
        <w:t>ness and LEED</w:t>
      </w:r>
      <w:r w:rsidR="00ED5775" w:rsidRPr="009C6B73">
        <w:t xml:space="preserve"> </w:t>
      </w:r>
      <w:r w:rsidR="00A217D3">
        <w:t>competition measure</w:t>
      </w:r>
    </w:p>
    <w:p w14:paraId="5176F274" w14:textId="1F08CB76" w:rsidR="00A60D7A" w:rsidRPr="006F2265" w:rsidRDefault="00A60D7A" w:rsidP="00A60D7A">
      <w:r w:rsidRPr="006F2265">
        <w:t>This note is the first to document an inverted</w:t>
      </w:r>
      <w:r w:rsidR="00BB5172">
        <w:t>-</w:t>
      </w:r>
      <w:r w:rsidRPr="006F2265">
        <w:t xml:space="preserve">U relationship between competition and innovation in Australia, both across all industries and </w:t>
      </w:r>
      <w:r w:rsidR="00843FC2">
        <w:t>by region</w:t>
      </w:r>
      <w:r w:rsidRPr="006F2265">
        <w:t xml:space="preserve"> types (Figure </w:t>
      </w:r>
      <w:r w:rsidR="00450215">
        <w:t>2</w:t>
      </w:r>
      <w:r w:rsidRPr="006F2265">
        <w:t xml:space="preserve">). This pattern is consistent with Aghion et al. (2005), who argue that both too little and too much competition can dampen innovation. </w:t>
      </w:r>
    </w:p>
    <w:p w14:paraId="47655B33" w14:textId="18F0DAE2" w:rsidR="00A60D7A" w:rsidRPr="006F2265" w:rsidRDefault="00A60D7A" w:rsidP="00A60D7A">
      <w:r w:rsidRPr="006F2265">
        <w:t xml:space="preserve">The </w:t>
      </w:r>
      <w:r w:rsidR="00741300">
        <w:t xml:space="preserve">additional measure </w:t>
      </w:r>
      <w:r w:rsidR="003B2899">
        <w:t>complements the previous results by showing</w:t>
      </w:r>
      <w:r w:rsidRPr="006F2265">
        <w:t xml:space="preserve"> a strong association between innovation probabilities and competition</w:t>
      </w:r>
      <w:r w:rsidR="00660FE7" w:rsidRPr="006F2265">
        <w:t xml:space="preserve">, as competition increases initially.  However, with the </w:t>
      </w:r>
      <w:r w:rsidR="00B92B57" w:rsidRPr="006F2265">
        <w:t xml:space="preserve">peak </w:t>
      </w:r>
      <w:r w:rsidR="009C7762">
        <w:t xml:space="preserve">occurring only at relatively high levels of </w:t>
      </w:r>
      <w:r w:rsidR="00322B1E">
        <w:t>competition</w:t>
      </w:r>
      <w:r w:rsidR="00A55AF1" w:rsidRPr="006F2265">
        <w:t xml:space="preserve">. </w:t>
      </w:r>
      <w:r w:rsidR="00B92B57" w:rsidRPr="006F2265">
        <w:t xml:space="preserve"> </w:t>
      </w:r>
      <w:r w:rsidRPr="006F2265">
        <w:t xml:space="preserve"> At very high competitor counts, predicted innovation probabilities tend to be lower on average. These results therefore present evidence of an inverted-U-shaped relationship.   </w:t>
      </w:r>
    </w:p>
    <w:p w14:paraId="49039B6C" w14:textId="6E158D47" w:rsidR="00952CA0" w:rsidRDefault="00A60D7A" w:rsidP="00A60D7A">
      <w:r w:rsidRPr="006F2265">
        <w:t xml:space="preserve">An important policy implication of this analysis is that it identifies the range over which competition is most strongly associated with </w:t>
      </w:r>
      <w:r w:rsidR="00F278EB">
        <w:t>increased innovation</w:t>
      </w:r>
      <w:r w:rsidRPr="006F2265">
        <w:t xml:space="preserve"> activity, while also indicating that any decline in innovation emerges only at relatively high levels of competition. This suggests that increasing competition is likely to support innovation across a broad range </w:t>
      </w:r>
      <w:r w:rsidR="00356167">
        <w:t xml:space="preserve">for a large section of Australian forms. </w:t>
      </w:r>
      <w:r>
        <w:t xml:space="preserve"> </w:t>
      </w:r>
    </w:p>
    <w:p w14:paraId="4BD9CAFA" w14:textId="77777777" w:rsidR="00952CA0" w:rsidRDefault="00952CA0">
      <w:pPr>
        <w:spacing w:after="0" w:line="240" w:lineRule="auto"/>
        <w:jc w:val="left"/>
      </w:pPr>
      <w:r>
        <w:br w:type="page"/>
      </w:r>
    </w:p>
    <w:p w14:paraId="227996E7" w14:textId="5F980F48" w:rsidR="00A60D7A" w:rsidRPr="00CC78CD" w:rsidRDefault="00A60D7A" w:rsidP="00AD02BD">
      <w:pPr>
        <w:pStyle w:val="Charttitle"/>
      </w:pPr>
      <w:r w:rsidRPr="00F21B56">
        <w:lastRenderedPageBreak/>
        <w:t xml:space="preserve">Figure </w:t>
      </w:r>
      <w:r w:rsidR="007444F5">
        <w:t>2</w:t>
      </w:r>
      <w:r w:rsidRPr="00F21B56">
        <w:t>. Predicted probability of innovation by number of competitors (probit model)</w:t>
      </w:r>
    </w:p>
    <w:p w14:paraId="4244B351" w14:textId="49AF38BB" w:rsidR="00A60D7A" w:rsidRDefault="00EA4BEF" w:rsidP="008167A3">
      <w:pPr>
        <w:jc w:val="center"/>
      </w:pPr>
      <w:r w:rsidRPr="00EA4BEF">
        <w:rPr>
          <w:noProof/>
        </w:rPr>
        <w:drawing>
          <wp:inline distT="0" distB="0" distL="0" distR="0" wp14:anchorId="51B3C6AA" wp14:editId="444F5EA6">
            <wp:extent cx="2818263" cy="1684207"/>
            <wp:effectExtent l="0" t="0" r="1270" b="0"/>
            <wp:docPr id="1447128915" name="Picture 1" descr="Line chart showing the relationship between local competitor counts and the predicted probability of innovation. Innovation probability rises as competition increases, peaks at relatively high levels of competition, and then declines, consistent with an inverted-U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28915" name="Picture 1" descr="Line chart showing the relationship between local competitor counts and the predicted probability of innovation. Innovation probability rises as competition increases, peaks at relatively high levels of competition, and then declines, consistent with an inverted-U relationship."/>
                    <pic:cNvPicPr/>
                  </pic:nvPicPr>
                  <pic:blipFill>
                    <a:blip r:embed="rId9"/>
                    <a:stretch>
                      <a:fillRect/>
                    </a:stretch>
                  </pic:blipFill>
                  <pic:spPr>
                    <a:xfrm>
                      <a:off x="0" y="0"/>
                      <a:ext cx="2831072" cy="1691862"/>
                    </a:xfrm>
                    <a:prstGeom prst="rect">
                      <a:avLst/>
                    </a:prstGeom>
                  </pic:spPr>
                </pic:pic>
              </a:graphicData>
            </a:graphic>
          </wp:inline>
        </w:drawing>
      </w:r>
    </w:p>
    <w:p w14:paraId="65260393" w14:textId="70AB561F" w:rsidR="00710A63" w:rsidRDefault="00A60D7A" w:rsidP="006F4981">
      <w:r>
        <w:t>Note: Predicted probabilities are based on probit estimations of innovation outcomes on the BCS competition categories, averaged across all years. Shaded areas show 95% confidence intervals. Source: Treasury calculations from BLADE microdata.</w:t>
      </w:r>
    </w:p>
    <w:p w14:paraId="6283A8A7" w14:textId="196CF617" w:rsidR="00786E77" w:rsidRDefault="00F80A56" w:rsidP="005A6DA9">
      <w:r w:rsidRPr="00F80A56">
        <w:t xml:space="preserve">Figure </w:t>
      </w:r>
      <w:r w:rsidR="0068290E">
        <w:t>3</w:t>
      </w:r>
      <w:r w:rsidRPr="00F80A56">
        <w:t xml:space="preserve"> shows that the association between competition and innovation is broadly similar in both metro and non-metro areas. Innovation probabilities are positively associated with the number of competitors at lower levels of competition, before flattening or declining at higher levels of competitive intensity. The inverted-U pattern is evident in both regions, although it occurs over a lower range of competitor counts in non-metro areas, reflecting the fact that local markets outside metropolitan areas typically support fewer firms</w:t>
      </w:r>
      <w:r w:rsidR="003A50C9">
        <w:t xml:space="preserve">. </w:t>
      </w:r>
      <w:r w:rsidR="007B2D76">
        <w:t>The construction of this variable is discussed in the appendix.</w:t>
      </w:r>
    </w:p>
    <w:p w14:paraId="57E9E851" w14:textId="269D7E26" w:rsidR="007B2D76" w:rsidRDefault="007B2D76" w:rsidP="005A6DA9">
      <w:r w:rsidRPr="007B2D76">
        <w:t>The metro results closely mirror the overall pattern, which is unsurprising given that the majority of firms in the sample are located in metropolitan areas. As a result, the aggregate estimates are largely reflective of the competitive dynamics observed in metro markets.</w:t>
      </w:r>
    </w:p>
    <w:p w14:paraId="1D06AFDF" w14:textId="7337A484" w:rsidR="0063096C" w:rsidRDefault="0063096C" w:rsidP="002F218A">
      <w:pPr>
        <w:pStyle w:val="Tablecaption"/>
      </w:pPr>
      <w:r>
        <w:t>Table</w:t>
      </w:r>
      <w:r w:rsidR="00E943E9">
        <w:t xml:space="preserve"> 1</w:t>
      </w:r>
      <w:r w:rsidRPr="00F21B56">
        <w:t xml:space="preserve">. </w:t>
      </w:r>
      <w:r w:rsidR="00C934C0">
        <w:t>Summary statistics of number of competitors</w:t>
      </w:r>
    </w:p>
    <w:tbl>
      <w:tblPr>
        <w:tblW w:w="6569" w:type="dxa"/>
        <w:jc w:val="center"/>
        <w:tblLook w:val="04A0" w:firstRow="1" w:lastRow="0" w:firstColumn="1" w:lastColumn="0" w:noHBand="0" w:noVBand="1"/>
        <w:tblCaption w:val="Table 1. Summary statistics of number of competitors"/>
        <w:tblDescription w:val="Alt text: Table summarising competitor counts for all firms, metropolitan firms and non-metropolitan firms. Metropolitan firms face substantially more competitors on average and at all points of the distribution than non-metropolitan firms."/>
      </w:tblPr>
      <w:tblGrid>
        <w:gridCol w:w="1769"/>
        <w:gridCol w:w="960"/>
        <w:gridCol w:w="960"/>
        <w:gridCol w:w="960"/>
        <w:gridCol w:w="960"/>
        <w:gridCol w:w="960"/>
      </w:tblGrid>
      <w:tr w:rsidR="0063096C" w:rsidRPr="0063096C" w14:paraId="15A1EFB6" w14:textId="77777777" w:rsidTr="00C934C0">
        <w:trPr>
          <w:trHeight w:val="290"/>
          <w:jc w:val="center"/>
        </w:trPr>
        <w:tc>
          <w:tcPr>
            <w:tcW w:w="1769" w:type="dxa"/>
            <w:tcBorders>
              <w:top w:val="single" w:sz="4" w:space="0" w:color="auto"/>
              <w:left w:val="nil"/>
              <w:bottom w:val="single" w:sz="4" w:space="0" w:color="auto"/>
              <w:right w:val="nil"/>
            </w:tcBorders>
            <w:noWrap/>
            <w:vAlign w:val="bottom"/>
            <w:hideMark/>
          </w:tcPr>
          <w:p w14:paraId="2DE67DE0" w14:textId="77777777" w:rsidR="0063096C" w:rsidRPr="0063096C" w:rsidRDefault="0063096C" w:rsidP="0063096C">
            <w:pPr>
              <w:spacing w:after="0" w:line="240" w:lineRule="auto"/>
              <w:jc w:val="left"/>
              <w:rPr>
                <w:rFonts w:ascii="Aptos Narrow" w:hAnsi="Aptos Narrow"/>
                <w:color w:val="000000"/>
                <w:sz w:val="22"/>
                <w:szCs w:val="22"/>
              </w:rPr>
            </w:pPr>
            <w:r w:rsidRPr="0063096C">
              <w:rPr>
                <w:rFonts w:ascii="Aptos Narrow" w:hAnsi="Aptos Narrow"/>
                <w:color w:val="000000"/>
                <w:sz w:val="22"/>
                <w:szCs w:val="22"/>
              </w:rPr>
              <w:t> </w:t>
            </w:r>
          </w:p>
        </w:tc>
        <w:tc>
          <w:tcPr>
            <w:tcW w:w="960" w:type="dxa"/>
            <w:tcBorders>
              <w:top w:val="single" w:sz="4" w:space="0" w:color="auto"/>
              <w:left w:val="nil"/>
              <w:bottom w:val="single" w:sz="4" w:space="0" w:color="auto"/>
              <w:right w:val="nil"/>
            </w:tcBorders>
            <w:noWrap/>
            <w:vAlign w:val="bottom"/>
            <w:hideMark/>
          </w:tcPr>
          <w:p w14:paraId="7E77B6EA" w14:textId="77777777" w:rsidR="0063096C" w:rsidRPr="0063096C" w:rsidRDefault="0063096C" w:rsidP="0063096C">
            <w:pPr>
              <w:spacing w:after="0" w:line="240" w:lineRule="auto"/>
              <w:jc w:val="center"/>
              <w:rPr>
                <w:rFonts w:ascii="Aptos Narrow" w:hAnsi="Aptos Narrow"/>
                <w:color w:val="000000"/>
                <w:sz w:val="22"/>
                <w:szCs w:val="22"/>
              </w:rPr>
            </w:pPr>
            <w:r w:rsidRPr="0063096C">
              <w:rPr>
                <w:rFonts w:ascii="Aptos Narrow" w:hAnsi="Aptos Narrow"/>
                <w:color w:val="000000"/>
                <w:sz w:val="22"/>
                <w:szCs w:val="22"/>
              </w:rPr>
              <w:t>Mean</w:t>
            </w:r>
          </w:p>
        </w:tc>
        <w:tc>
          <w:tcPr>
            <w:tcW w:w="960" w:type="dxa"/>
            <w:tcBorders>
              <w:top w:val="single" w:sz="4" w:space="0" w:color="auto"/>
              <w:left w:val="nil"/>
              <w:bottom w:val="single" w:sz="4" w:space="0" w:color="auto"/>
              <w:right w:val="nil"/>
            </w:tcBorders>
            <w:noWrap/>
            <w:vAlign w:val="bottom"/>
            <w:hideMark/>
          </w:tcPr>
          <w:p w14:paraId="51B12638" w14:textId="77777777" w:rsidR="0063096C" w:rsidRPr="0063096C" w:rsidRDefault="0063096C" w:rsidP="0063096C">
            <w:pPr>
              <w:spacing w:after="0" w:line="240" w:lineRule="auto"/>
              <w:jc w:val="center"/>
              <w:rPr>
                <w:rFonts w:ascii="Aptos Narrow" w:hAnsi="Aptos Narrow"/>
                <w:color w:val="000000"/>
                <w:sz w:val="22"/>
                <w:szCs w:val="22"/>
              </w:rPr>
            </w:pPr>
            <w:r w:rsidRPr="0063096C">
              <w:rPr>
                <w:rFonts w:ascii="Aptos Narrow" w:hAnsi="Aptos Narrow"/>
                <w:color w:val="000000"/>
                <w:sz w:val="22"/>
                <w:szCs w:val="22"/>
              </w:rPr>
              <w:t>SD</w:t>
            </w:r>
          </w:p>
        </w:tc>
        <w:tc>
          <w:tcPr>
            <w:tcW w:w="960" w:type="dxa"/>
            <w:tcBorders>
              <w:top w:val="single" w:sz="4" w:space="0" w:color="auto"/>
              <w:left w:val="nil"/>
              <w:bottom w:val="single" w:sz="4" w:space="0" w:color="auto"/>
              <w:right w:val="nil"/>
            </w:tcBorders>
            <w:noWrap/>
            <w:vAlign w:val="bottom"/>
            <w:hideMark/>
          </w:tcPr>
          <w:p w14:paraId="14140BE3" w14:textId="77777777" w:rsidR="0063096C" w:rsidRPr="0063096C" w:rsidRDefault="0063096C" w:rsidP="0063096C">
            <w:pPr>
              <w:spacing w:after="0" w:line="240" w:lineRule="auto"/>
              <w:jc w:val="center"/>
              <w:rPr>
                <w:rFonts w:ascii="Aptos Narrow" w:hAnsi="Aptos Narrow"/>
                <w:color w:val="000000"/>
                <w:sz w:val="22"/>
                <w:szCs w:val="22"/>
              </w:rPr>
            </w:pPr>
            <w:r w:rsidRPr="0063096C">
              <w:rPr>
                <w:rFonts w:ascii="Aptos Narrow" w:hAnsi="Aptos Narrow"/>
                <w:color w:val="000000"/>
                <w:sz w:val="22"/>
                <w:szCs w:val="22"/>
              </w:rPr>
              <w:t>p25</w:t>
            </w:r>
          </w:p>
        </w:tc>
        <w:tc>
          <w:tcPr>
            <w:tcW w:w="960" w:type="dxa"/>
            <w:tcBorders>
              <w:top w:val="single" w:sz="4" w:space="0" w:color="auto"/>
              <w:left w:val="nil"/>
              <w:bottom w:val="single" w:sz="4" w:space="0" w:color="auto"/>
              <w:right w:val="nil"/>
            </w:tcBorders>
            <w:noWrap/>
            <w:vAlign w:val="bottom"/>
            <w:hideMark/>
          </w:tcPr>
          <w:p w14:paraId="6018B943" w14:textId="77777777" w:rsidR="0063096C" w:rsidRPr="0063096C" w:rsidRDefault="0063096C" w:rsidP="0063096C">
            <w:pPr>
              <w:spacing w:after="0" w:line="240" w:lineRule="auto"/>
              <w:jc w:val="center"/>
              <w:rPr>
                <w:rFonts w:ascii="Aptos Narrow" w:hAnsi="Aptos Narrow"/>
                <w:color w:val="000000"/>
                <w:sz w:val="22"/>
                <w:szCs w:val="22"/>
              </w:rPr>
            </w:pPr>
            <w:r w:rsidRPr="0063096C">
              <w:rPr>
                <w:rFonts w:ascii="Aptos Narrow" w:hAnsi="Aptos Narrow"/>
                <w:color w:val="000000"/>
                <w:sz w:val="22"/>
                <w:szCs w:val="22"/>
              </w:rPr>
              <w:t>p50</w:t>
            </w:r>
          </w:p>
        </w:tc>
        <w:tc>
          <w:tcPr>
            <w:tcW w:w="960" w:type="dxa"/>
            <w:tcBorders>
              <w:top w:val="single" w:sz="4" w:space="0" w:color="auto"/>
              <w:left w:val="nil"/>
              <w:bottom w:val="single" w:sz="4" w:space="0" w:color="auto"/>
              <w:right w:val="nil"/>
            </w:tcBorders>
            <w:noWrap/>
            <w:vAlign w:val="bottom"/>
            <w:hideMark/>
          </w:tcPr>
          <w:p w14:paraId="2F882937" w14:textId="77777777" w:rsidR="0063096C" w:rsidRPr="0063096C" w:rsidRDefault="0063096C" w:rsidP="0063096C">
            <w:pPr>
              <w:spacing w:after="0" w:line="240" w:lineRule="auto"/>
              <w:jc w:val="center"/>
              <w:rPr>
                <w:rFonts w:ascii="Aptos Narrow" w:hAnsi="Aptos Narrow"/>
                <w:color w:val="000000"/>
                <w:sz w:val="22"/>
                <w:szCs w:val="22"/>
              </w:rPr>
            </w:pPr>
            <w:r w:rsidRPr="0063096C">
              <w:rPr>
                <w:rFonts w:ascii="Aptos Narrow" w:hAnsi="Aptos Narrow"/>
                <w:color w:val="000000"/>
                <w:sz w:val="22"/>
                <w:szCs w:val="22"/>
              </w:rPr>
              <w:t>p75</w:t>
            </w:r>
          </w:p>
        </w:tc>
      </w:tr>
      <w:tr w:rsidR="0063096C" w:rsidRPr="0063096C" w14:paraId="5123721D" w14:textId="77777777" w:rsidTr="00C934C0">
        <w:trPr>
          <w:trHeight w:val="290"/>
          <w:jc w:val="center"/>
        </w:trPr>
        <w:tc>
          <w:tcPr>
            <w:tcW w:w="1769" w:type="dxa"/>
            <w:tcBorders>
              <w:top w:val="nil"/>
              <w:left w:val="nil"/>
              <w:bottom w:val="nil"/>
              <w:right w:val="nil"/>
            </w:tcBorders>
            <w:noWrap/>
            <w:vAlign w:val="bottom"/>
            <w:hideMark/>
          </w:tcPr>
          <w:p w14:paraId="0075CC99" w14:textId="77777777" w:rsidR="0063096C" w:rsidRPr="0063096C" w:rsidRDefault="0063096C" w:rsidP="0063096C">
            <w:pPr>
              <w:spacing w:after="0" w:line="240" w:lineRule="auto"/>
              <w:jc w:val="left"/>
              <w:rPr>
                <w:rFonts w:ascii="Aptos Narrow" w:hAnsi="Aptos Narrow"/>
                <w:color w:val="000000"/>
                <w:sz w:val="22"/>
                <w:szCs w:val="22"/>
              </w:rPr>
            </w:pPr>
            <w:r w:rsidRPr="0063096C">
              <w:rPr>
                <w:rFonts w:ascii="Aptos Narrow" w:hAnsi="Aptos Narrow"/>
                <w:color w:val="000000"/>
                <w:sz w:val="22"/>
                <w:szCs w:val="22"/>
              </w:rPr>
              <w:t>All firms</w:t>
            </w:r>
          </w:p>
        </w:tc>
        <w:tc>
          <w:tcPr>
            <w:tcW w:w="960" w:type="dxa"/>
            <w:tcBorders>
              <w:top w:val="nil"/>
              <w:left w:val="nil"/>
              <w:bottom w:val="nil"/>
              <w:right w:val="nil"/>
            </w:tcBorders>
            <w:noWrap/>
            <w:vAlign w:val="bottom"/>
            <w:hideMark/>
          </w:tcPr>
          <w:p w14:paraId="4236B4E4" w14:textId="77777777" w:rsidR="0063096C" w:rsidRPr="0063096C" w:rsidRDefault="0063096C" w:rsidP="0063096C">
            <w:pPr>
              <w:spacing w:after="0" w:line="240" w:lineRule="auto"/>
              <w:jc w:val="center"/>
              <w:rPr>
                <w:rFonts w:ascii="Aptos Narrow" w:hAnsi="Aptos Narrow"/>
                <w:color w:val="000000"/>
                <w:sz w:val="22"/>
                <w:szCs w:val="22"/>
              </w:rPr>
            </w:pPr>
            <w:r w:rsidRPr="0063096C">
              <w:rPr>
                <w:rFonts w:ascii="Aptos Narrow" w:hAnsi="Aptos Narrow"/>
                <w:color w:val="000000"/>
                <w:sz w:val="22"/>
                <w:szCs w:val="22"/>
              </w:rPr>
              <w:t>65</w:t>
            </w:r>
          </w:p>
        </w:tc>
        <w:tc>
          <w:tcPr>
            <w:tcW w:w="960" w:type="dxa"/>
            <w:tcBorders>
              <w:top w:val="nil"/>
              <w:left w:val="nil"/>
              <w:bottom w:val="nil"/>
              <w:right w:val="nil"/>
            </w:tcBorders>
            <w:noWrap/>
            <w:vAlign w:val="bottom"/>
            <w:hideMark/>
          </w:tcPr>
          <w:p w14:paraId="47C66838" w14:textId="77777777" w:rsidR="0063096C" w:rsidRPr="0063096C" w:rsidRDefault="0063096C" w:rsidP="0063096C">
            <w:pPr>
              <w:spacing w:after="0" w:line="240" w:lineRule="auto"/>
              <w:jc w:val="center"/>
              <w:rPr>
                <w:rFonts w:ascii="Aptos Narrow" w:hAnsi="Aptos Narrow"/>
                <w:color w:val="000000"/>
                <w:sz w:val="22"/>
                <w:szCs w:val="22"/>
              </w:rPr>
            </w:pPr>
            <w:r w:rsidRPr="0063096C">
              <w:rPr>
                <w:rFonts w:ascii="Aptos Narrow" w:hAnsi="Aptos Narrow"/>
                <w:color w:val="000000"/>
                <w:sz w:val="22"/>
                <w:szCs w:val="22"/>
              </w:rPr>
              <w:t>95</w:t>
            </w:r>
          </w:p>
        </w:tc>
        <w:tc>
          <w:tcPr>
            <w:tcW w:w="960" w:type="dxa"/>
            <w:tcBorders>
              <w:top w:val="nil"/>
              <w:left w:val="nil"/>
              <w:bottom w:val="nil"/>
              <w:right w:val="nil"/>
            </w:tcBorders>
            <w:noWrap/>
            <w:vAlign w:val="bottom"/>
            <w:hideMark/>
          </w:tcPr>
          <w:p w14:paraId="21990609" w14:textId="77777777" w:rsidR="0063096C" w:rsidRPr="0063096C" w:rsidRDefault="0063096C" w:rsidP="0063096C">
            <w:pPr>
              <w:spacing w:after="0" w:line="240" w:lineRule="auto"/>
              <w:jc w:val="center"/>
              <w:rPr>
                <w:rFonts w:ascii="Aptos Narrow" w:hAnsi="Aptos Narrow"/>
                <w:color w:val="000000"/>
                <w:sz w:val="22"/>
                <w:szCs w:val="22"/>
              </w:rPr>
            </w:pPr>
            <w:r w:rsidRPr="0063096C">
              <w:rPr>
                <w:rFonts w:ascii="Aptos Narrow" w:hAnsi="Aptos Narrow"/>
                <w:color w:val="000000"/>
                <w:sz w:val="22"/>
                <w:szCs w:val="22"/>
              </w:rPr>
              <w:t>9</w:t>
            </w:r>
          </w:p>
        </w:tc>
        <w:tc>
          <w:tcPr>
            <w:tcW w:w="960" w:type="dxa"/>
            <w:tcBorders>
              <w:top w:val="nil"/>
              <w:left w:val="nil"/>
              <w:bottom w:val="nil"/>
              <w:right w:val="nil"/>
            </w:tcBorders>
            <w:noWrap/>
            <w:vAlign w:val="bottom"/>
            <w:hideMark/>
          </w:tcPr>
          <w:p w14:paraId="06894B02" w14:textId="77777777" w:rsidR="0063096C" w:rsidRPr="0063096C" w:rsidRDefault="0063096C" w:rsidP="0063096C">
            <w:pPr>
              <w:spacing w:after="0" w:line="240" w:lineRule="auto"/>
              <w:jc w:val="center"/>
              <w:rPr>
                <w:rFonts w:ascii="Aptos Narrow" w:hAnsi="Aptos Narrow"/>
                <w:color w:val="000000"/>
                <w:sz w:val="22"/>
                <w:szCs w:val="22"/>
              </w:rPr>
            </w:pPr>
            <w:r w:rsidRPr="0063096C">
              <w:rPr>
                <w:rFonts w:ascii="Aptos Narrow" w:hAnsi="Aptos Narrow"/>
                <w:color w:val="000000"/>
                <w:sz w:val="22"/>
                <w:szCs w:val="22"/>
              </w:rPr>
              <w:t>26</w:t>
            </w:r>
          </w:p>
        </w:tc>
        <w:tc>
          <w:tcPr>
            <w:tcW w:w="960" w:type="dxa"/>
            <w:tcBorders>
              <w:top w:val="nil"/>
              <w:left w:val="nil"/>
              <w:bottom w:val="nil"/>
              <w:right w:val="nil"/>
            </w:tcBorders>
            <w:noWrap/>
            <w:vAlign w:val="bottom"/>
            <w:hideMark/>
          </w:tcPr>
          <w:p w14:paraId="5C0F46FE" w14:textId="77777777" w:rsidR="0063096C" w:rsidRPr="0063096C" w:rsidRDefault="0063096C" w:rsidP="0063096C">
            <w:pPr>
              <w:spacing w:after="0" w:line="240" w:lineRule="auto"/>
              <w:jc w:val="center"/>
              <w:rPr>
                <w:rFonts w:ascii="Aptos Narrow" w:hAnsi="Aptos Narrow"/>
                <w:color w:val="000000"/>
                <w:sz w:val="22"/>
                <w:szCs w:val="22"/>
              </w:rPr>
            </w:pPr>
            <w:r w:rsidRPr="0063096C">
              <w:rPr>
                <w:rFonts w:ascii="Aptos Narrow" w:hAnsi="Aptos Narrow"/>
                <w:color w:val="000000"/>
                <w:sz w:val="22"/>
                <w:szCs w:val="22"/>
              </w:rPr>
              <w:t>80</w:t>
            </w:r>
          </w:p>
        </w:tc>
      </w:tr>
      <w:tr w:rsidR="0063096C" w:rsidRPr="0063096C" w14:paraId="385392E2" w14:textId="77777777" w:rsidTr="00C934C0">
        <w:trPr>
          <w:trHeight w:val="290"/>
          <w:jc w:val="center"/>
        </w:trPr>
        <w:tc>
          <w:tcPr>
            <w:tcW w:w="1769" w:type="dxa"/>
            <w:tcBorders>
              <w:top w:val="nil"/>
              <w:left w:val="nil"/>
              <w:bottom w:val="nil"/>
              <w:right w:val="nil"/>
            </w:tcBorders>
            <w:noWrap/>
            <w:vAlign w:val="bottom"/>
            <w:hideMark/>
          </w:tcPr>
          <w:p w14:paraId="57DD9554" w14:textId="77777777" w:rsidR="0063096C" w:rsidRPr="0063096C" w:rsidRDefault="0063096C" w:rsidP="0063096C">
            <w:pPr>
              <w:spacing w:after="0" w:line="240" w:lineRule="auto"/>
              <w:jc w:val="left"/>
              <w:rPr>
                <w:rFonts w:ascii="Aptos Narrow" w:hAnsi="Aptos Narrow"/>
                <w:color w:val="000000"/>
                <w:sz w:val="22"/>
                <w:szCs w:val="22"/>
              </w:rPr>
            </w:pPr>
            <w:r w:rsidRPr="0063096C">
              <w:rPr>
                <w:rFonts w:ascii="Aptos Narrow" w:hAnsi="Aptos Narrow"/>
                <w:color w:val="000000"/>
                <w:sz w:val="22"/>
                <w:szCs w:val="22"/>
              </w:rPr>
              <w:t>Metro</w:t>
            </w:r>
          </w:p>
        </w:tc>
        <w:tc>
          <w:tcPr>
            <w:tcW w:w="960" w:type="dxa"/>
            <w:tcBorders>
              <w:top w:val="nil"/>
              <w:left w:val="nil"/>
              <w:bottom w:val="nil"/>
              <w:right w:val="nil"/>
            </w:tcBorders>
            <w:noWrap/>
            <w:vAlign w:val="bottom"/>
            <w:hideMark/>
          </w:tcPr>
          <w:p w14:paraId="6AB6ACB4" w14:textId="77777777" w:rsidR="0063096C" w:rsidRPr="0063096C" w:rsidRDefault="0063096C" w:rsidP="0063096C">
            <w:pPr>
              <w:spacing w:after="0" w:line="240" w:lineRule="auto"/>
              <w:jc w:val="center"/>
              <w:rPr>
                <w:rFonts w:ascii="Aptos Narrow" w:hAnsi="Aptos Narrow"/>
                <w:color w:val="000000"/>
                <w:sz w:val="22"/>
                <w:szCs w:val="22"/>
              </w:rPr>
            </w:pPr>
            <w:r w:rsidRPr="0063096C">
              <w:rPr>
                <w:rFonts w:ascii="Aptos Narrow" w:hAnsi="Aptos Narrow"/>
                <w:color w:val="000000"/>
                <w:sz w:val="22"/>
                <w:szCs w:val="22"/>
              </w:rPr>
              <w:t>74</w:t>
            </w:r>
          </w:p>
        </w:tc>
        <w:tc>
          <w:tcPr>
            <w:tcW w:w="960" w:type="dxa"/>
            <w:tcBorders>
              <w:top w:val="nil"/>
              <w:left w:val="nil"/>
              <w:bottom w:val="nil"/>
              <w:right w:val="nil"/>
            </w:tcBorders>
            <w:noWrap/>
            <w:vAlign w:val="bottom"/>
            <w:hideMark/>
          </w:tcPr>
          <w:p w14:paraId="7D0C5286" w14:textId="77777777" w:rsidR="0063096C" w:rsidRPr="0063096C" w:rsidRDefault="0063096C" w:rsidP="0063096C">
            <w:pPr>
              <w:spacing w:after="0" w:line="240" w:lineRule="auto"/>
              <w:jc w:val="center"/>
              <w:rPr>
                <w:rFonts w:ascii="Aptos Narrow" w:hAnsi="Aptos Narrow"/>
                <w:color w:val="000000"/>
                <w:sz w:val="22"/>
                <w:szCs w:val="22"/>
              </w:rPr>
            </w:pPr>
            <w:r w:rsidRPr="0063096C">
              <w:rPr>
                <w:rFonts w:ascii="Aptos Narrow" w:hAnsi="Aptos Narrow"/>
                <w:color w:val="000000"/>
                <w:sz w:val="22"/>
                <w:szCs w:val="22"/>
              </w:rPr>
              <w:t>100</w:t>
            </w:r>
          </w:p>
        </w:tc>
        <w:tc>
          <w:tcPr>
            <w:tcW w:w="960" w:type="dxa"/>
            <w:tcBorders>
              <w:top w:val="nil"/>
              <w:left w:val="nil"/>
              <w:bottom w:val="nil"/>
              <w:right w:val="nil"/>
            </w:tcBorders>
            <w:noWrap/>
            <w:vAlign w:val="bottom"/>
            <w:hideMark/>
          </w:tcPr>
          <w:p w14:paraId="5CC6D66A" w14:textId="77777777" w:rsidR="0063096C" w:rsidRPr="0063096C" w:rsidRDefault="0063096C" w:rsidP="0063096C">
            <w:pPr>
              <w:spacing w:after="0" w:line="240" w:lineRule="auto"/>
              <w:jc w:val="center"/>
              <w:rPr>
                <w:rFonts w:ascii="Aptos Narrow" w:hAnsi="Aptos Narrow"/>
                <w:color w:val="000000"/>
                <w:sz w:val="22"/>
                <w:szCs w:val="22"/>
              </w:rPr>
            </w:pPr>
            <w:r w:rsidRPr="0063096C">
              <w:rPr>
                <w:rFonts w:ascii="Aptos Narrow" w:hAnsi="Aptos Narrow"/>
                <w:color w:val="000000"/>
                <w:sz w:val="22"/>
                <w:szCs w:val="22"/>
              </w:rPr>
              <w:t>11</w:t>
            </w:r>
          </w:p>
        </w:tc>
        <w:tc>
          <w:tcPr>
            <w:tcW w:w="960" w:type="dxa"/>
            <w:tcBorders>
              <w:top w:val="nil"/>
              <w:left w:val="nil"/>
              <w:bottom w:val="nil"/>
              <w:right w:val="nil"/>
            </w:tcBorders>
            <w:noWrap/>
            <w:vAlign w:val="bottom"/>
            <w:hideMark/>
          </w:tcPr>
          <w:p w14:paraId="531C8489" w14:textId="77777777" w:rsidR="0063096C" w:rsidRPr="0063096C" w:rsidRDefault="0063096C" w:rsidP="0063096C">
            <w:pPr>
              <w:spacing w:after="0" w:line="240" w:lineRule="auto"/>
              <w:jc w:val="center"/>
              <w:rPr>
                <w:rFonts w:ascii="Aptos Narrow" w:hAnsi="Aptos Narrow"/>
                <w:color w:val="000000"/>
                <w:sz w:val="22"/>
                <w:szCs w:val="22"/>
              </w:rPr>
            </w:pPr>
            <w:r w:rsidRPr="0063096C">
              <w:rPr>
                <w:rFonts w:ascii="Aptos Narrow" w:hAnsi="Aptos Narrow"/>
                <w:color w:val="000000"/>
                <w:sz w:val="22"/>
                <w:szCs w:val="22"/>
              </w:rPr>
              <w:t>32</w:t>
            </w:r>
          </w:p>
        </w:tc>
        <w:tc>
          <w:tcPr>
            <w:tcW w:w="960" w:type="dxa"/>
            <w:tcBorders>
              <w:top w:val="nil"/>
              <w:left w:val="nil"/>
              <w:bottom w:val="nil"/>
              <w:right w:val="nil"/>
            </w:tcBorders>
            <w:noWrap/>
            <w:vAlign w:val="bottom"/>
            <w:hideMark/>
          </w:tcPr>
          <w:p w14:paraId="0815686B" w14:textId="77777777" w:rsidR="0063096C" w:rsidRPr="0063096C" w:rsidRDefault="0063096C" w:rsidP="0063096C">
            <w:pPr>
              <w:spacing w:after="0" w:line="240" w:lineRule="auto"/>
              <w:jc w:val="center"/>
              <w:rPr>
                <w:rFonts w:ascii="Aptos Narrow" w:hAnsi="Aptos Narrow"/>
                <w:color w:val="000000"/>
                <w:sz w:val="22"/>
                <w:szCs w:val="22"/>
              </w:rPr>
            </w:pPr>
            <w:r w:rsidRPr="0063096C">
              <w:rPr>
                <w:rFonts w:ascii="Aptos Narrow" w:hAnsi="Aptos Narrow"/>
                <w:color w:val="000000"/>
                <w:sz w:val="22"/>
                <w:szCs w:val="22"/>
              </w:rPr>
              <w:t>107</w:t>
            </w:r>
          </w:p>
        </w:tc>
      </w:tr>
      <w:tr w:rsidR="0063096C" w:rsidRPr="0063096C" w14:paraId="713035F0" w14:textId="77777777" w:rsidTr="00C934C0">
        <w:trPr>
          <w:trHeight w:val="290"/>
          <w:jc w:val="center"/>
        </w:trPr>
        <w:tc>
          <w:tcPr>
            <w:tcW w:w="1769" w:type="dxa"/>
            <w:tcBorders>
              <w:top w:val="nil"/>
              <w:left w:val="nil"/>
              <w:bottom w:val="single" w:sz="4" w:space="0" w:color="auto"/>
              <w:right w:val="nil"/>
            </w:tcBorders>
            <w:noWrap/>
            <w:vAlign w:val="bottom"/>
            <w:hideMark/>
          </w:tcPr>
          <w:p w14:paraId="7936C2E9" w14:textId="77777777" w:rsidR="0063096C" w:rsidRPr="0063096C" w:rsidRDefault="0063096C" w:rsidP="0063096C">
            <w:pPr>
              <w:spacing w:after="0" w:line="240" w:lineRule="auto"/>
              <w:jc w:val="left"/>
              <w:rPr>
                <w:rFonts w:ascii="Aptos Narrow" w:hAnsi="Aptos Narrow"/>
                <w:color w:val="000000"/>
                <w:sz w:val="22"/>
                <w:szCs w:val="22"/>
              </w:rPr>
            </w:pPr>
            <w:r w:rsidRPr="0063096C">
              <w:rPr>
                <w:rFonts w:ascii="Aptos Narrow" w:hAnsi="Aptos Narrow"/>
                <w:color w:val="000000"/>
                <w:sz w:val="22"/>
                <w:szCs w:val="22"/>
              </w:rPr>
              <w:t>Non-metro</w:t>
            </w:r>
          </w:p>
        </w:tc>
        <w:tc>
          <w:tcPr>
            <w:tcW w:w="960" w:type="dxa"/>
            <w:tcBorders>
              <w:top w:val="nil"/>
              <w:left w:val="nil"/>
              <w:bottom w:val="single" w:sz="4" w:space="0" w:color="auto"/>
              <w:right w:val="nil"/>
            </w:tcBorders>
            <w:noWrap/>
            <w:vAlign w:val="bottom"/>
            <w:hideMark/>
          </w:tcPr>
          <w:p w14:paraId="44E06A8B" w14:textId="77777777" w:rsidR="0063096C" w:rsidRPr="0063096C" w:rsidRDefault="0063096C" w:rsidP="0063096C">
            <w:pPr>
              <w:spacing w:after="0" w:line="240" w:lineRule="auto"/>
              <w:jc w:val="center"/>
              <w:rPr>
                <w:rFonts w:ascii="Aptos Narrow" w:hAnsi="Aptos Narrow"/>
                <w:color w:val="000000"/>
                <w:sz w:val="22"/>
                <w:szCs w:val="22"/>
              </w:rPr>
            </w:pPr>
            <w:r w:rsidRPr="0063096C">
              <w:rPr>
                <w:rFonts w:ascii="Aptos Narrow" w:hAnsi="Aptos Narrow"/>
                <w:color w:val="000000"/>
                <w:sz w:val="22"/>
                <w:szCs w:val="22"/>
              </w:rPr>
              <w:t>29</w:t>
            </w:r>
          </w:p>
        </w:tc>
        <w:tc>
          <w:tcPr>
            <w:tcW w:w="960" w:type="dxa"/>
            <w:tcBorders>
              <w:top w:val="nil"/>
              <w:left w:val="nil"/>
              <w:bottom w:val="single" w:sz="4" w:space="0" w:color="auto"/>
              <w:right w:val="nil"/>
            </w:tcBorders>
            <w:noWrap/>
            <w:vAlign w:val="bottom"/>
            <w:hideMark/>
          </w:tcPr>
          <w:p w14:paraId="706420BF" w14:textId="77777777" w:rsidR="0063096C" w:rsidRPr="0063096C" w:rsidRDefault="0063096C" w:rsidP="0063096C">
            <w:pPr>
              <w:spacing w:after="0" w:line="240" w:lineRule="auto"/>
              <w:jc w:val="center"/>
              <w:rPr>
                <w:rFonts w:ascii="Aptos Narrow" w:hAnsi="Aptos Narrow"/>
                <w:color w:val="000000"/>
                <w:sz w:val="22"/>
                <w:szCs w:val="22"/>
              </w:rPr>
            </w:pPr>
            <w:r w:rsidRPr="0063096C">
              <w:rPr>
                <w:rFonts w:ascii="Aptos Narrow" w:hAnsi="Aptos Narrow"/>
                <w:color w:val="000000"/>
                <w:sz w:val="22"/>
                <w:szCs w:val="22"/>
              </w:rPr>
              <w:t>57</w:t>
            </w:r>
          </w:p>
        </w:tc>
        <w:tc>
          <w:tcPr>
            <w:tcW w:w="960" w:type="dxa"/>
            <w:tcBorders>
              <w:top w:val="nil"/>
              <w:left w:val="nil"/>
              <w:bottom w:val="single" w:sz="4" w:space="0" w:color="auto"/>
              <w:right w:val="nil"/>
            </w:tcBorders>
            <w:noWrap/>
            <w:vAlign w:val="bottom"/>
            <w:hideMark/>
          </w:tcPr>
          <w:p w14:paraId="4C493FD0" w14:textId="77777777" w:rsidR="0063096C" w:rsidRPr="0063096C" w:rsidRDefault="0063096C" w:rsidP="0063096C">
            <w:pPr>
              <w:spacing w:after="0" w:line="240" w:lineRule="auto"/>
              <w:jc w:val="center"/>
              <w:rPr>
                <w:rFonts w:ascii="Aptos Narrow" w:hAnsi="Aptos Narrow"/>
                <w:color w:val="000000"/>
                <w:sz w:val="22"/>
                <w:szCs w:val="22"/>
              </w:rPr>
            </w:pPr>
            <w:r w:rsidRPr="0063096C">
              <w:rPr>
                <w:rFonts w:ascii="Aptos Narrow" w:hAnsi="Aptos Narrow"/>
                <w:color w:val="000000"/>
                <w:sz w:val="22"/>
                <w:szCs w:val="22"/>
              </w:rPr>
              <w:t>3</w:t>
            </w:r>
          </w:p>
        </w:tc>
        <w:tc>
          <w:tcPr>
            <w:tcW w:w="960" w:type="dxa"/>
            <w:tcBorders>
              <w:top w:val="nil"/>
              <w:left w:val="nil"/>
              <w:bottom w:val="single" w:sz="4" w:space="0" w:color="auto"/>
              <w:right w:val="nil"/>
            </w:tcBorders>
            <w:noWrap/>
            <w:vAlign w:val="bottom"/>
            <w:hideMark/>
          </w:tcPr>
          <w:p w14:paraId="3121F54A" w14:textId="77777777" w:rsidR="0063096C" w:rsidRPr="0063096C" w:rsidRDefault="0063096C" w:rsidP="0063096C">
            <w:pPr>
              <w:spacing w:after="0" w:line="240" w:lineRule="auto"/>
              <w:jc w:val="center"/>
              <w:rPr>
                <w:rFonts w:ascii="Aptos Narrow" w:hAnsi="Aptos Narrow"/>
                <w:color w:val="000000"/>
                <w:sz w:val="22"/>
                <w:szCs w:val="22"/>
              </w:rPr>
            </w:pPr>
            <w:r w:rsidRPr="0063096C">
              <w:rPr>
                <w:rFonts w:ascii="Aptos Narrow" w:hAnsi="Aptos Narrow"/>
                <w:color w:val="000000"/>
                <w:sz w:val="22"/>
                <w:szCs w:val="22"/>
              </w:rPr>
              <w:t>10</w:t>
            </w:r>
          </w:p>
        </w:tc>
        <w:tc>
          <w:tcPr>
            <w:tcW w:w="960" w:type="dxa"/>
            <w:tcBorders>
              <w:top w:val="nil"/>
              <w:left w:val="nil"/>
              <w:bottom w:val="single" w:sz="4" w:space="0" w:color="auto"/>
              <w:right w:val="nil"/>
            </w:tcBorders>
            <w:noWrap/>
            <w:vAlign w:val="bottom"/>
            <w:hideMark/>
          </w:tcPr>
          <w:p w14:paraId="7ECBF2D8" w14:textId="77777777" w:rsidR="0063096C" w:rsidRPr="0063096C" w:rsidRDefault="0063096C" w:rsidP="0063096C">
            <w:pPr>
              <w:spacing w:after="0" w:line="240" w:lineRule="auto"/>
              <w:jc w:val="center"/>
              <w:rPr>
                <w:rFonts w:ascii="Aptos Narrow" w:hAnsi="Aptos Narrow"/>
                <w:color w:val="000000"/>
                <w:sz w:val="22"/>
                <w:szCs w:val="22"/>
              </w:rPr>
            </w:pPr>
            <w:r w:rsidRPr="0063096C">
              <w:rPr>
                <w:rFonts w:ascii="Aptos Narrow" w:hAnsi="Aptos Narrow"/>
                <w:color w:val="000000"/>
                <w:sz w:val="22"/>
                <w:szCs w:val="22"/>
              </w:rPr>
              <w:t>29</w:t>
            </w:r>
          </w:p>
        </w:tc>
      </w:tr>
    </w:tbl>
    <w:p w14:paraId="20C9E64F" w14:textId="39BBF92C" w:rsidR="00952CA0" w:rsidRDefault="00952CA0">
      <w:pPr>
        <w:spacing w:after="0" w:line="240" w:lineRule="auto"/>
        <w:jc w:val="left"/>
        <w:rPr>
          <w:b/>
          <w:bCs/>
        </w:rPr>
      </w:pPr>
    </w:p>
    <w:p w14:paraId="4B55D574" w14:textId="76DE0770" w:rsidR="005A6DA9" w:rsidRDefault="005A6DA9" w:rsidP="002F218A">
      <w:pPr>
        <w:pStyle w:val="Charttitle"/>
      </w:pPr>
      <w:r w:rsidRPr="00F21B56">
        <w:t xml:space="preserve">Figure </w:t>
      </w:r>
      <w:r w:rsidR="009445FE">
        <w:t>3</w:t>
      </w:r>
      <w:r w:rsidRPr="00F21B56">
        <w:t xml:space="preserve">. Predicted probability of innovation by number of competitors </w:t>
      </w:r>
      <w:r>
        <w:t>– by metro status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896"/>
      </w:tblGrid>
      <w:tr w:rsidR="003652C5" w14:paraId="70D64A18" w14:textId="77777777" w:rsidTr="00B66DCC">
        <w:tc>
          <w:tcPr>
            <w:tcW w:w="4742" w:type="dxa"/>
          </w:tcPr>
          <w:p w14:paraId="35458136" w14:textId="1340002A" w:rsidR="003652C5" w:rsidRDefault="003652C5" w:rsidP="002F218A">
            <w:pPr>
              <w:pStyle w:val="Charttitle"/>
              <w:rPr>
                <w:bCs/>
              </w:rPr>
            </w:pPr>
            <w:r>
              <w:t>Metro Area</w:t>
            </w:r>
          </w:p>
        </w:tc>
        <w:tc>
          <w:tcPr>
            <w:tcW w:w="4896" w:type="dxa"/>
          </w:tcPr>
          <w:p w14:paraId="467AD1FA" w14:textId="49925DC9" w:rsidR="003652C5" w:rsidRDefault="003652C5" w:rsidP="002F218A">
            <w:pPr>
              <w:pStyle w:val="Charttitle"/>
              <w:rPr>
                <w:bCs/>
              </w:rPr>
            </w:pPr>
            <w:r>
              <w:t>Non-Metro Area</w:t>
            </w:r>
          </w:p>
        </w:tc>
      </w:tr>
      <w:tr w:rsidR="003652C5" w14:paraId="4C4F798F" w14:textId="77777777" w:rsidTr="00B66DCC">
        <w:tc>
          <w:tcPr>
            <w:tcW w:w="4742" w:type="dxa"/>
          </w:tcPr>
          <w:p w14:paraId="67E57899" w14:textId="1E77696E" w:rsidR="003652C5" w:rsidRDefault="003652C5" w:rsidP="00952CA0">
            <w:pPr>
              <w:jc w:val="center"/>
              <w:rPr>
                <w:b/>
                <w:bCs/>
              </w:rPr>
            </w:pPr>
            <w:r w:rsidRPr="00252F9F">
              <w:rPr>
                <w:noProof/>
              </w:rPr>
              <w:drawing>
                <wp:inline distT="0" distB="0" distL="0" distR="0" wp14:anchorId="6614581B" wp14:editId="3584F806">
                  <wp:extent cx="2771759" cy="1665026"/>
                  <wp:effectExtent l="0" t="0" r="0" b="0"/>
                  <wp:docPr id="1114357368" name="Picture 1" descr="The metro area chart shows a u-curve for predicted probability of innovation that peaks around 50, then declines as the number of competitors increase to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57368" name="Picture 1" descr="The metro area chart shows a u-curve for predicted probability of innovation that peaks around 50, then declines as the number of competitors increase to 114"/>
                          <pic:cNvPicPr/>
                        </pic:nvPicPr>
                        <pic:blipFill>
                          <a:blip r:embed="rId10"/>
                          <a:stretch>
                            <a:fillRect/>
                          </a:stretch>
                        </pic:blipFill>
                        <pic:spPr>
                          <a:xfrm>
                            <a:off x="0" y="0"/>
                            <a:ext cx="2784416" cy="1672629"/>
                          </a:xfrm>
                          <a:prstGeom prst="rect">
                            <a:avLst/>
                          </a:prstGeom>
                        </pic:spPr>
                      </pic:pic>
                    </a:graphicData>
                  </a:graphic>
                </wp:inline>
              </w:drawing>
            </w:r>
          </w:p>
        </w:tc>
        <w:tc>
          <w:tcPr>
            <w:tcW w:w="4896" w:type="dxa"/>
          </w:tcPr>
          <w:p w14:paraId="6950656A" w14:textId="3394D30E" w:rsidR="003652C5" w:rsidRDefault="003652C5" w:rsidP="00952CA0">
            <w:pPr>
              <w:jc w:val="center"/>
              <w:rPr>
                <w:b/>
                <w:bCs/>
              </w:rPr>
            </w:pPr>
            <w:r w:rsidRPr="005A6DA9">
              <w:rPr>
                <w:noProof/>
              </w:rPr>
              <w:drawing>
                <wp:inline distT="0" distB="0" distL="0" distR="0" wp14:anchorId="6F7185EB" wp14:editId="712B6D4C">
                  <wp:extent cx="2968388" cy="1781033"/>
                  <wp:effectExtent l="0" t="0" r="3810" b="0"/>
                  <wp:docPr id="769430049" name="Picture 1" descr="The non-metro area chart shows a u-curve for predicted probability of innovation that peaks around 50, with narrower confidence intervals that approach zero around 70 compet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30049" name="Picture 1" descr="The non-metro area chart shows a u-curve for predicted probability of innovation that peaks around 50, with narrower confidence intervals that approach zero around 70 competitors."/>
                          <pic:cNvPicPr/>
                        </pic:nvPicPr>
                        <pic:blipFill>
                          <a:blip r:embed="rId11"/>
                          <a:stretch>
                            <a:fillRect/>
                          </a:stretch>
                        </pic:blipFill>
                        <pic:spPr>
                          <a:xfrm>
                            <a:off x="0" y="0"/>
                            <a:ext cx="2976517" cy="1785910"/>
                          </a:xfrm>
                          <a:prstGeom prst="rect">
                            <a:avLst/>
                          </a:prstGeom>
                        </pic:spPr>
                      </pic:pic>
                    </a:graphicData>
                  </a:graphic>
                </wp:inline>
              </w:drawing>
            </w:r>
          </w:p>
        </w:tc>
      </w:tr>
      <w:tr w:rsidR="00B66DCC" w14:paraId="2ACE5A5A" w14:textId="77777777" w:rsidTr="00E71622">
        <w:tc>
          <w:tcPr>
            <w:tcW w:w="9638" w:type="dxa"/>
            <w:gridSpan w:val="2"/>
          </w:tcPr>
          <w:p w14:paraId="1494C821" w14:textId="53AAC429" w:rsidR="00B66DCC" w:rsidRPr="00B66DCC" w:rsidRDefault="00B66DCC" w:rsidP="007F73C6">
            <w:pPr>
              <w:pStyle w:val="Chartsource"/>
              <w:spacing w:after="240"/>
            </w:pPr>
            <w:r w:rsidRPr="00553708">
              <w:t>Note: X-axis values are based on observed competitor counts in the data. As some competitor levels are sparsely populated or unobserved, particularly at higher counts, the plotted values reflect representative observed points rather than regular intervals.</w:t>
            </w:r>
          </w:p>
        </w:tc>
      </w:tr>
    </w:tbl>
    <w:p w14:paraId="1D77B250" w14:textId="7D67830F" w:rsidR="00316246" w:rsidRPr="002B4885" w:rsidRDefault="00FC0C3C" w:rsidP="00252566">
      <w:r w:rsidRPr="00FC0C3C">
        <w:t xml:space="preserve">Here, the metro and non-metro disaggregation is based on the Modified Monash Model (MMM), an Australian geographic classification that categorises locations according to population size and geographic remoteness, spanning </w:t>
      </w:r>
      <w:r w:rsidRPr="00FC0C3C">
        <w:lastRenderedPageBreak/>
        <w:t>metropolitan areas, regional centres, rural towns, and remote and very remote communities. Unlike standard remoteness measures, the MMM also incorporates local town size, allowing for a more nuanced distinction between regional, rural, and remote areas.</w:t>
      </w:r>
      <w:r w:rsidR="007F4CB7">
        <w:t xml:space="preserve"> </w:t>
      </w:r>
      <w:r w:rsidR="005A25D5" w:rsidRPr="005A25D5">
        <w:t>To focus on sizeable metropolitan markets, metro areas are defined as work zones with at least five LGAs</w:t>
      </w:r>
      <w:r w:rsidR="005A25D5">
        <w:t xml:space="preserve">. </w:t>
      </w:r>
    </w:p>
    <w:p w14:paraId="71236452" w14:textId="17141680" w:rsidR="00316246" w:rsidRPr="00316246" w:rsidRDefault="00316246" w:rsidP="00252566">
      <w:r w:rsidRPr="00316246">
        <w:t xml:space="preserve">An advantage of the LEED-based measure is that it provides substantially more variation in competitive intensity than the BCS measure, which groups firms into broad categories and caps the highest category at five or more competitors. However, because it is based on observed local competitor counts rather than firms’ perceived competitive pressure, it may not fully capture </w:t>
      </w:r>
      <w:r w:rsidR="0058251F">
        <w:t xml:space="preserve">all dimensions of </w:t>
      </w:r>
      <w:r w:rsidRPr="00316246">
        <w:t>competition</w:t>
      </w:r>
      <w:r>
        <w:t>,</w:t>
      </w:r>
      <w:r w:rsidR="0058251F">
        <w:t xml:space="preserve"> such as </w:t>
      </w:r>
      <w:r w:rsidRPr="00316246">
        <w:t xml:space="preserve">interstate or export-oriented competitors. It </w:t>
      </w:r>
      <w:r w:rsidR="00D472FF">
        <w:t>is</w:t>
      </w:r>
      <w:r w:rsidRPr="00316246">
        <w:t xml:space="preserve"> also noisier in industries with exceptionally large numbers of firms in major cities, such as accounting and personal services, where competitor counts can reach into the hundreds</w:t>
      </w:r>
      <w:r w:rsidR="00D61F12">
        <w:t xml:space="preserve"> </w:t>
      </w:r>
      <w:r w:rsidR="00EE78C4">
        <w:t>even</w:t>
      </w:r>
      <w:r w:rsidR="00D61F12">
        <w:t xml:space="preserve"> thousands in some cases</w:t>
      </w:r>
      <w:r w:rsidRPr="00316246">
        <w:t xml:space="preserve">. </w:t>
      </w:r>
      <w:r w:rsidR="003877D1" w:rsidRPr="003877D1">
        <w:t xml:space="preserve">Nonetheless, the two measures provide useful </w:t>
      </w:r>
      <w:r w:rsidR="00274869">
        <w:t xml:space="preserve">complementary evidence using alternate sources </w:t>
      </w:r>
      <w:r w:rsidR="008861D4">
        <w:t>of data</w:t>
      </w:r>
      <w:r w:rsidR="003877D1" w:rsidRPr="003877D1">
        <w:t xml:space="preserve">. </w:t>
      </w:r>
      <w:r w:rsidR="004478C7" w:rsidRPr="004478C7">
        <w:t>Despite being constructed from different datasets and methodologies, the two measures are strongly correlated (correlation coefficient of 0.7), lending credibility to both measures and suggesting that they capture the same underlying competit</w:t>
      </w:r>
      <w:r w:rsidR="007C0C77">
        <w:t>ion dimension</w:t>
      </w:r>
      <w:r w:rsidR="004478C7" w:rsidRPr="004478C7">
        <w:t>.</w:t>
      </w:r>
      <w:r w:rsidR="003877D1">
        <w:t xml:space="preserve"> </w:t>
      </w:r>
      <w:r w:rsidR="00C25927">
        <w:t>Importantly</w:t>
      </w:r>
      <w:r w:rsidR="00A44201">
        <w:t>, they</w:t>
      </w:r>
      <w:r w:rsidRPr="00316246">
        <w:t xml:space="preserve"> both capture competition at the local market level, a dimension often overlooked by more commonly used measures of competition.</w:t>
      </w:r>
    </w:p>
    <w:p w14:paraId="2EB8A6F9" w14:textId="77777777" w:rsidR="00715985" w:rsidRDefault="00132922" w:rsidP="00132922">
      <w:pPr>
        <w:pStyle w:val="Heading1"/>
      </w:pPr>
      <w:r>
        <w:t>Analysis by size</w:t>
      </w:r>
    </w:p>
    <w:p w14:paraId="2E75B7C8" w14:textId="77777777" w:rsidR="00551F3C" w:rsidRDefault="00715985" w:rsidP="00643058">
      <w:pPr>
        <w:spacing w:after="0"/>
      </w:pPr>
      <w:r>
        <w:t>Disaggregating by size</w:t>
      </w:r>
      <w:r w:rsidR="006E4713">
        <w:t xml:space="preserve">, the evidence suggests that </w:t>
      </w:r>
      <w:r w:rsidR="00E80330">
        <w:t>for large firms</w:t>
      </w:r>
      <w:r w:rsidR="00990ECB">
        <w:t xml:space="preserve"> (firm with 200 or more employees based on FTE)</w:t>
      </w:r>
      <w:r w:rsidR="00E80330">
        <w:t xml:space="preserve">, increasing competition is associated with increasing probability to innovate even at higher levels of competition, whereas the inverted U shape </w:t>
      </w:r>
      <w:r w:rsidR="00AD6995">
        <w:t>is more likely associated with SME</w:t>
      </w:r>
      <w:r w:rsidR="003F50D0">
        <w:t>s</w:t>
      </w:r>
      <w:r w:rsidR="00AA56B4">
        <w:t xml:space="preserve"> (firms with less than 200 employees)</w:t>
      </w:r>
      <w:r w:rsidR="00AD6995">
        <w:t xml:space="preserve">. </w:t>
      </w:r>
      <w:r w:rsidR="009E7BBD">
        <w:t xml:space="preserve">This provides suggestive evidence </w:t>
      </w:r>
      <w:r w:rsidR="00AE5E2A">
        <w:t xml:space="preserve">that the invested-U shape is </w:t>
      </w:r>
      <w:r w:rsidR="00D441F9">
        <w:t xml:space="preserve">likely driven by SMES. </w:t>
      </w:r>
      <w:r w:rsidR="00AD6995">
        <w:t xml:space="preserve"> </w:t>
      </w:r>
      <w:r w:rsidR="00BB52A7">
        <w:t>Moreover</w:t>
      </w:r>
      <w:r w:rsidR="00AD6995">
        <w:t xml:space="preserve">, larger firms are typically more likely to innovate at all levels of competition, consistent with </w:t>
      </w:r>
      <w:r w:rsidR="00F86446">
        <w:t>previous evidence (Majeed and Breunig 2023)</w:t>
      </w:r>
      <w:r w:rsidR="00B408D7">
        <w:t xml:space="preserve">. </w:t>
      </w:r>
    </w:p>
    <w:p w14:paraId="6B69441B" w14:textId="7C18FAA5" w:rsidR="00BC0154" w:rsidRPr="002F218A" w:rsidRDefault="00BC0154" w:rsidP="00134A42">
      <w:pPr>
        <w:pStyle w:val="Charttitle"/>
        <w:spacing w:after="0" w:line="240" w:lineRule="auto"/>
      </w:pPr>
      <w:r w:rsidRPr="002F218A">
        <w:t>Figure 4. Predicted probability of innovation by number of competitors – by small and large businesses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17"/>
      </w:tblGrid>
      <w:tr w:rsidR="00551F3C" w14:paraId="09AAD786" w14:textId="77777777" w:rsidTr="00A26659">
        <w:trPr>
          <w:trHeight w:val="20"/>
        </w:trPr>
        <w:tc>
          <w:tcPr>
            <w:tcW w:w="0" w:type="auto"/>
          </w:tcPr>
          <w:p w14:paraId="1268881C" w14:textId="433DF7BB" w:rsidR="00551F3C" w:rsidRDefault="00551F3C" w:rsidP="00643058">
            <w:pPr>
              <w:pStyle w:val="Charttitle"/>
              <w:spacing w:before="0" w:after="0" w:line="240" w:lineRule="auto"/>
            </w:pPr>
            <w:r w:rsidRPr="0061629D">
              <w:t>SME: BCS</w:t>
            </w:r>
          </w:p>
        </w:tc>
        <w:tc>
          <w:tcPr>
            <w:tcW w:w="0" w:type="auto"/>
          </w:tcPr>
          <w:p w14:paraId="4F3A4661" w14:textId="25DACE67" w:rsidR="00551F3C" w:rsidRDefault="00551F3C" w:rsidP="00643058">
            <w:pPr>
              <w:pStyle w:val="Charttitle"/>
              <w:spacing w:before="0" w:after="0" w:line="240" w:lineRule="auto"/>
            </w:pPr>
            <w:r w:rsidRPr="0061629D">
              <w:t>Large firms: BCS</w:t>
            </w:r>
          </w:p>
        </w:tc>
      </w:tr>
      <w:tr w:rsidR="00551F3C" w14:paraId="58F9E281" w14:textId="77777777" w:rsidTr="00A26659">
        <w:trPr>
          <w:trHeight w:val="20"/>
        </w:trPr>
        <w:tc>
          <w:tcPr>
            <w:tcW w:w="0" w:type="auto"/>
          </w:tcPr>
          <w:p w14:paraId="7A1AF2D0" w14:textId="197ECF51" w:rsidR="00551F3C" w:rsidRDefault="00551F3C" w:rsidP="00A26659">
            <w:pPr>
              <w:spacing w:line="240" w:lineRule="auto"/>
              <w:jc w:val="center"/>
            </w:pPr>
            <w:r w:rsidRPr="0004242C">
              <w:rPr>
                <w:b/>
                <w:bCs/>
                <w:noProof/>
              </w:rPr>
              <w:drawing>
                <wp:inline distT="0" distB="0" distL="0" distR="0" wp14:anchorId="30E4052F" wp14:editId="033B7379">
                  <wp:extent cx="2865995" cy="1692000"/>
                  <wp:effectExtent l="0" t="0" r="0" b="3810"/>
                  <wp:docPr id="570679350" name="Picture 1" descr="Panels A-D: Competition is positively associated with innovation for both groups, with the inverted-U pattern more evident among SME&#10;Panel A: SMEs using BCS data-  Probability of innovation increases sharply as number of competitors go from &quot;None&quot; to &quot;1-2&quot;, with modest increases for more competitors after tha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79350" name="Picture 1" descr="Panels A-D: Competition is positively associated with innovation for both groups, with the inverted-U pattern more evident among SME&#10;Panel A: SMEs using BCS data-  Probability of innovation increases sharply as number of competitors go from &quot;None&quot; to &quot;1-2&quot;, with modest increases for more competitors after that point."/>
                          <pic:cNvPicPr/>
                        </pic:nvPicPr>
                        <pic:blipFill>
                          <a:blip r:embed="rId12"/>
                          <a:stretch>
                            <a:fillRect/>
                          </a:stretch>
                        </pic:blipFill>
                        <pic:spPr>
                          <a:xfrm>
                            <a:off x="0" y="0"/>
                            <a:ext cx="2865995" cy="1692000"/>
                          </a:xfrm>
                          <a:prstGeom prst="rect">
                            <a:avLst/>
                          </a:prstGeom>
                        </pic:spPr>
                      </pic:pic>
                    </a:graphicData>
                  </a:graphic>
                </wp:inline>
              </w:drawing>
            </w:r>
          </w:p>
        </w:tc>
        <w:tc>
          <w:tcPr>
            <w:tcW w:w="0" w:type="auto"/>
          </w:tcPr>
          <w:p w14:paraId="76E20C2C" w14:textId="18D4E135" w:rsidR="00551F3C" w:rsidRDefault="00551F3C" w:rsidP="00A26659">
            <w:pPr>
              <w:spacing w:line="240" w:lineRule="auto"/>
              <w:jc w:val="center"/>
            </w:pPr>
            <w:r w:rsidRPr="003441D7">
              <w:rPr>
                <w:b/>
                <w:bCs/>
                <w:noProof/>
              </w:rPr>
              <w:drawing>
                <wp:inline distT="0" distB="0" distL="0" distR="0" wp14:anchorId="39D06241" wp14:editId="336E1F60">
                  <wp:extent cx="2834111" cy="1692000"/>
                  <wp:effectExtent l="0" t="0" r="4445" b="3810"/>
                  <wp:docPr id="534866300" name="Picture 1" descr="Panel B: Large Firms using BCS measure - Probability of innovation rises moving from no competitors to 1-2 competitors, falls slightly for 3-4 competitors, then increases to its maximum for 5+ compet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66300" name="Picture 1" descr="Panel B: Large Firms using BCS measure - Probability of innovation rises moving from no competitors to 1-2 competitors, falls slightly for 3-4 competitors, then increases to its maximum for 5+ competitors"/>
                          <pic:cNvPicPr/>
                        </pic:nvPicPr>
                        <pic:blipFill>
                          <a:blip r:embed="rId13"/>
                          <a:stretch>
                            <a:fillRect/>
                          </a:stretch>
                        </pic:blipFill>
                        <pic:spPr>
                          <a:xfrm>
                            <a:off x="0" y="0"/>
                            <a:ext cx="2834111" cy="1692000"/>
                          </a:xfrm>
                          <a:prstGeom prst="rect">
                            <a:avLst/>
                          </a:prstGeom>
                        </pic:spPr>
                      </pic:pic>
                    </a:graphicData>
                  </a:graphic>
                </wp:inline>
              </w:drawing>
            </w:r>
          </w:p>
        </w:tc>
      </w:tr>
      <w:tr w:rsidR="00551F3C" w14:paraId="4150FA93" w14:textId="77777777" w:rsidTr="00A26659">
        <w:trPr>
          <w:trHeight w:val="20"/>
        </w:trPr>
        <w:tc>
          <w:tcPr>
            <w:tcW w:w="0" w:type="auto"/>
          </w:tcPr>
          <w:p w14:paraId="057345B6" w14:textId="7FDF07E9" w:rsidR="00551F3C" w:rsidRDefault="00217DD5" w:rsidP="00643058">
            <w:pPr>
              <w:pStyle w:val="Charttitle"/>
              <w:spacing w:before="0" w:after="0" w:line="240" w:lineRule="auto"/>
            </w:pPr>
            <w:r>
              <w:t>SME: LEED-BASED</w:t>
            </w:r>
          </w:p>
        </w:tc>
        <w:tc>
          <w:tcPr>
            <w:tcW w:w="0" w:type="auto"/>
          </w:tcPr>
          <w:p w14:paraId="3245F83D" w14:textId="78A9CF1E" w:rsidR="00551F3C" w:rsidRDefault="00217DD5" w:rsidP="00643058">
            <w:pPr>
              <w:pStyle w:val="Charttitle"/>
              <w:spacing w:before="0" w:after="0" w:line="240" w:lineRule="auto"/>
            </w:pPr>
            <w:r>
              <w:t>Large firms:</w:t>
            </w:r>
            <w:r w:rsidRPr="00F34F30">
              <w:rPr>
                <w:noProof/>
              </w:rPr>
              <w:t xml:space="preserve"> </w:t>
            </w:r>
            <w:r>
              <w:t>LEED-BASED</w:t>
            </w:r>
          </w:p>
        </w:tc>
      </w:tr>
      <w:tr w:rsidR="00551F3C" w14:paraId="60D7FF63" w14:textId="77777777" w:rsidTr="00A26659">
        <w:trPr>
          <w:trHeight w:val="20"/>
        </w:trPr>
        <w:tc>
          <w:tcPr>
            <w:tcW w:w="0" w:type="auto"/>
          </w:tcPr>
          <w:p w14:paraId="5AA9BF01" w14:textId="17D60BCD" w:rsidR="00551F3C" w:rsidRDefault="00217DD5" w:rsidP="00A26659">
            <w:pPr>
              <w:spacing w:after="0" w:line="240" w:lineRule="auto"/>
              <w:jc w:val="center"/>
            </w:pPr>
            <w:r w:rsidRPr="00B41FAB">
              <w:rPr>
                <w:noProof/>
              </w:rPr>
              <w:drawing>
                <wp:inline distT="0" distB="0" distL="0" distR="0" wp14:anchorId="098F8447" wp14:editId="4C377B44">
                  <wp:extent cx="2861464" cy="1692000"/>
                  <wp:effectExtent l="0" t="0" r="0" b="3810"/>
                  <wp:docPr id="1667674283" name="Picture 1" descr="Panel C: SMEs using LEED-based measure - Probability of innovation increases as number of competitors go from 1 to 87, then decreases until 114 compet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74283" name="Picture 1" descr="Panel C: SMEs using LEED-based measure - Probability of innovation increases as number of competitors go from 1 to 87, then decreases until 114 competitors"/>
                          <pic:cNvPicPr/>
                        </pic:nvPicPr>
                        <pic:blipFill>
                          <a:blip r:embed="rId14"/>
                          <a:stretch>
                            <a:fillRect/>
                          </a:stretch>
                        </pic:blipFill>
                        <pic:spPr>
                          <a:xfrm>
                            <a:off x="0" y="0"/>
                            <a:ext cx="2861464" cy="1692000"/>
                          </a:xfrm>
                          <a:prstGeom prst="rect">
                            <a:avLst/>
                          </a:prstGeom>
                        </pic:spPr>
                      </pic:pic>
                    </a:graphicData>
                  </a:graphic>
                </wp:inline>
              </w:drawing>
            </w:r>
          </w:p>
        </w:tc>
        <w:tc>
          <w:tcPr>
            <w:tcW w:w="0" w:type="auto"/>
          </w:tcPr>
          <w:p w14:paraId="3D116EE4" w14:textId="372E56F9" w:rsidR="00551F3C" w:rsidRDefault="00217DD5" w:rsidP="00A26659">
            <w:pPr>
              <w:spacing w:after="0" w:line="240" w:lineRule="auto"/>
              <w:jc w:val="center"/>
            </w:pPr>
            <w:r w:rsidRPr="00F34F30">
              <w:rPr>
                <w:noProof/>
              </w:rPr>
              <w:drawing>
                <wp:inline distT="0" distB="0" distL="0" distR="0" wp14:anchorId="07CB6634" wp14:editId="08D2DB7F">
                  <wp:extent cx="2863885" cy="1692000"/>
                  <wp:effectExtent l="0" t="0" r="0" b="3810"/>
                  <wp:docPr id="1612529404" name="Picture 1" descr="Panel D: Large Firms using LEED-based measure - Probability of innovation falls slightly moving from 1 to 10 competitors, then increases as number of competitors go from 10 to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29404" name="Picture 1" descr="Panel D: Large Firms using LEED-based measure - Probability of innovation falls slightly moving from 1 to 10 competitors, then increases as number of competitors go from 10 to 1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3885" cy="1692000"/>
                          </a:xfrm>
                          <a:prstGeom prst="rect">
                            <a:avLst/>
                          </a:prstGeom>
                        </pic:spPr>
                      </pic:pic>
                    </a:graphicData>
                  </a:graphic>
                </wp:inline>
              </w:drawing>
            </w:r>
          </w:p>
        </w:tc>
      </w:tr>
      <w:tr w:rsidR="00217DD5" w14:paraId="64F375B6" w14:textId="77777777" w:rsidTr="00A26659">
        <w:trPr>
          <w:trHeight w:val="20"/>
        </w:trPr>
        <w:tc>
          <w:tcPr>
            <w:tcW w:w="0" w:type="auto"/>
            <w:gridSpan w:val="2"/>
          </w:tcPr>
          <w:p w14:paraId="5361AB3F" w14:textId="0F1955B8" w:rsidR="00217DD5" w:rsidRPr="00806E40" w:rsidRDefault="00BC0154" w:rsidP="007F73C6">
            <w:pPr>
              <w:pStyle w:val="Chartsource"/>
            </w:pPr>
            <w:r w:rsidRPr="00553708">
              <w:t>Note: X-axis values are based on observed competitor counts in the data. As some competitor levels are sparsely populated or unobserved, particularly at higher counts, the plotted values reflect representative observed points rather than regular intervals.</w:t>
            </w:r>
          </w:p>
        </w:tc>
      </w:tr>
    </w:tbl>
    <w:p w14:paraId="1888BC02" w14:textId="67DE427E" w:rsidR="00A26659" w:rsidRDefault="00A26659">
      <w:pPr>
        <w:spacing w:after="0" w:line="240" w:lineRule="auto"/>
        <w:jc w:val="left"/>
        <w:rPr>
          <w:rFonts w:ascii="Calibri" w:hAnsi="Calibri" w:cs="Arial"/>
          <w:b/>
          <w:color w:val="5D779D" w:themeColor="accent3"/>
          <w:kern w:val="32"/>
          <w:sz w:val="28"/>
          <w:szCs w:val="36"/>
        </w:rPr>
      </w:pPr>
    </w:p>
    <w:p w14:paraId="2C8A7C51" w14:textId="4A32C3A7" w:rsidR="00473679" w:rsidRPr="00DA15F1" w:rsidRDefault="00473679" w:rsidP="00DA15F1">
      <w:pPr>
        <w:pStyle w:val="Heading1"/>
      </w:pPr>
      <w:r w:rsidRPr="00DA15F1">
        <w:lastRenderedPageBreak/>
        <w:t xml:space="preserve">Methodology </w:t>
      </w:r>
    </w:p>
    <w:p w14:paraId="3EC7C5B1" w14:textId="03E96585" w:rsidR="00921C3C" w:rsidRPr="00921C3C" w:rsidRDefault="00124E5F" w:rsidP="00921C3C">
      <w:r>
        <w:t xml:space="preserve">To estimate the association between competition and innovation, </w:t>
      </w:r>
      <w:r w:rsidR="00AA1E7A">
        <w:t xml:space="preserve">the note </w:t>
      </w:r>
      <w:r w:rsidR="00921C3C">
        <w:t>estimate</w:t>
      </w:r>
      <w:r w:rsidR="00AA1E7A">
        <w:t>s</w:t>
      </w:r>
      <w:r w:rsidR="00921C3C">
        <w:t xml:space="preserve"> probit models in which the dependent variable is a binary indicator for whether a firm undertakes a specific type of innovation. The key explanatory variable is the number of competitors</w:t>
      </w:r>
      <w:r w:rsidR="002C46E2">
        <w:t xml:space="preserve"> (using the Business Characteristics Survey (BCS)</w:t>
      </w:r>
      <w:r w:rsidR="00FA1702">
        <w:t>)</w:t>
      </w:r>
      <w:r w:rsidR="00921C3C">
        <w:t xml:space="preserve">, with firms </w:t>
      </w:r>
      <w:r w:rsidR="5E16F167">
        <w:t>that have</w:t>
      </w:r>
      <w:r w:rsidR="00921C3C">
        <w:t xml:space="preserve"> no competitors as the reference group.</w:t>
      </w:r>
      <w:r w:rsidR="00E92836">
        <w:t xml:space="preserve"> In </w:t>
      </w:r>
      <w:r w:rsidR="0042340F">
        <w:t>an</w:t>
      </w:r>
      <w:r w:rsidR="00C10275">
        <w:t xml:space="preserve"> alternate setting</w:t>
      </w:r>
      <w:r w:rsidR="005B0ACC">
        <w:t>,</w:t>
      </w:r>
      <w:r w:rsidR="00E92836">
        <w:t xml:space="preserve"> we use </w:t>
      </w:r>
      <w:r w:rsidR="00290232">
        <w:t>the LEED</w:t>
      </w:r>
      <w:r w:rsidR="00447842">
        <w:t>-</w:t>
      </w:r>
      <w:r w:rsidR="00290232">
        <w:t>based</w:t>
      </w:r>
      <w:r w:rsidR="00E92836">
        <w:t xml:space="preserve"> </w:t>
      </w:r>
      <w:r w:rsidR="001F732F">
        <w:t>variable for competition</w:t>
      </w:r>
      <w:r w:rsidR="00290232">
        <w:t>.</w:t>
      </w:r>
    </w:p>
    <w:p w14:paraId="17DC3278" w14:textId="235276A4" w:rsidR="00493BE4" w:rsidRDefault="00921C3C" w:rsidP="00493BE4">
      <w:r w:rsidRPr="00921C3C">
        <w:t xml:space="preserve">Specifically, </w:t>
      </w:r>
      <w:r w:rsidR="00AA1E7A">
        <w:t>the note</w:t>
      </w:r>
      <w:r w:rsidRPr="00921C3C">
        <w:t xml:space="preserve"> estimate</w:t>
      </w:r>
      <w:r w:rsidR="00AA1E7A">
        <w:t>s</w:t>
      </w:r>
      <w:r w:rsidRPr="00921C3C">
        <w:t>:</w:t>
      </w:r>
    </w:p>
    <w:p w14:paraId="17AA768B" w14:textId="45E66212" w:rsidR="00277CD7" w:rsidRDefault="00B3130C">
      <m:oMathPara>
        <m:oMath>
          <m:func>
            <m:funcPr>
              <m:ctrlPr>
                <w:rPr>
                  <w:rFonts w:ascii="Cambria Math" w:hAnsi="Cambria Math"/>
                </w:rPr>
              </m:ctrlPr>
            </m:funcPr>
            <m:fName>
              <m:r>
                <m:rPr>
                  <m:sty m:val="p"/>
                </m:rPr>
                <w:rPr>
                  <w:rFonts w:ascii="Cambria Math" w:hAnsi="Cambria Math"/>
                </w:rPr>
                <m:t>Pr</m:t>
              </m:r>
            </m:fName>
            <m:e>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=1</m:t>
                      </m:r>
                    </m:e>
                  </m:d>
                  <m:sSub>
                    <m:sSubPr>
                      <m:ctrlPr>
                        <w:rPr>
                          <w:rFonts w:ascii="Cambria Math" w:hAnsi="Cambria Math"/>
                          <w:iCs/>
                        </w:rPr>
                      </m:ctrlPr>
                    </m:sSubPr>
                    <m:e>
                      <m:r>
                        <m:rPr>
                          <m:sty m:val="b"/>
                        </m:rPr>
                        <w:rPr>
                          <w:rFonts w:ascii="Cambria Math" w:hAnsi="Cambria Math"/>
                        </w:rPr>
                        <m:t>x</m:t>
                      </m:r>
                    </m:e>
                    <m:sub>
                      <m:r>
                        <w:rPr>
                          <w:rFonts w:ascii="Cambria Math" w:hAnsi="Cambria Math"/>
                        </w:rPr>
                        <m:t>it</m:t>
                      </m:r>
                    </m:sub>
                  </m:sSub>
                </m:e>
              </m:d>
            </m:e>
          </m:func>
          <m:r>
            <w:rPr>
              <w:rFonts w:ascii="Cambria Math" w:hAnsi="Cambria Math"/>
            </w:rPr>
            <m:t>=</m:t>
          </m:r>
          <m:r>
            <m:rPr>
              <m:sty m:val="p"/>
            </m:rPr>
            <w:rPr>
              <w:rFonts w:ascii="Cambria Math" w:hAnsi="Cambria Math"/>
            </w:rPr>
            <m:t>Φ</m:t>
          </m:r>
          <m:d>
            <m:dPr>
              <m:ctrlPr>
                <w:rPr>
                  <w:rFonts w:ascii="Cambria Math" w:hAnsi="Cambria Math"/>
                  <w:i/>
                </w:rPr>
              </m:ctrlPr>
            </m:dPr>
            <m:e>
              <m:r>
                <w:rPr>
                  <w:rFonts w:ascii="Cambria Math" w:hAnsi="Cambria Math"/>
                </w:rPr>
                <m:t>α+</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β</m:t>
                      </m:r>
                    </m:e>
                    <m:sub>
                      <m:r>
                        <w:rPr>
                          <w:rFonts w:ascii="Cambria Math" w:hAnsi="Cambria Math"/>
                        </w:rPr>
                        <m:t>k</m:t>
                      </m:r>
                    </m:sub>
                  </m:sSub>
                  <m:r>
                    <m:rPr>
                      <m:sty m:val="bi"/>
                    </m:rPr>
                    <w:rPr>
                      <w:rFonts w:ascii="Cambria Math" w:hAnsi="Cambria Math"/>
                    </w:rPr>
                    <m:t>1</m:t>
                  </m:r>
                  <m:d>
                    <m:dPr>
                      <m:begChr m:val="["/>
                      <m:endChr m:val="]"/>
                      <m:ctrlPr>
                        <w:rPr>
                          <w:rFonts w:ascii="Cambria Math" w:hAnsi="Cambria Math"/>
                          <w:b/>
                          <w:bCs/>
                          <w:i/>
                        </w:rPr>
                      </m:ctrlPr>
                    </m:dPr>
                    <m:e>
                      <m:sSub>
                        <m:sSubPr>
                          <m:ctrlPr>
                            <w:rPr>
                              <w:rFonts w:ascii="Cambria Math" w:hAnsi="Cambria Math"/>
                              <w:i/>
                            </w:rPr>
                          </m:ctrlPr>
                        </m:sSubPr>
                        <m:e>
                          <m:r>
                            <w:rPr>
                              <w:rFonts w:ascii="Cambria Math" w:hAnsi="Cambria Math"/>
                            </w:rPr>
                            <m:t>Comp</m:t>
                          </m:r>
                        </m:e>
                        <m:sub>
                          <m:r>
                            <w:rPr>
                              <w:rFonts w:ascii="Cambria Math" w:hAnsi="Cambria Math"/>
                            </w:rPr>
                            <m:t>it</m:t>
                          </m:r>
                        </m:sub>
                      </m:sSub>
                      <m:r>
                        <w:rPr>
                          <w:rFonts w:ascii="Cambria Math" w:hAnsi="Cambria Math"/>
                        </w:rPr>
                        <m:t>=k</m:t>
                      </m:r>
                    </m:e>
                  </m:d>
                </m:e>
              </m:nary>
              <m:r>
                <w:rPr>
                  <w:rFonts w:ascii="Cambria Math" w:hAnsi="Cambria Math"/>
                </w:rPr>
                <m:t>+</m:t>
              </m:r>
              <m:sSubSup>
                <m:sSubSupPr>
                  <m:ctrlPr>
                    <w:rPr>
                      <w:rFonts w:ascii="Cambria Math" w:hAnsi="Cambria Math"/>
                      <w:i/>
                    </w:rPr>
                  </m:ctrlPr>
                </m:sSubSupPr>
                <m:e>
                  <m:r>
                    <m:rPr>
                      <m:sty m:val="b"/>
                    </m:rPr>
                    <w:rPr>
                      <w:rFonts w:ascii="Cambria Math" w:hAnsi="Cambria Math"/>
                    </w:rPr>
                    <m:t>z</m:t>
                  </m:r>
                  <m:ctrlPr>
                    <w:rPr>
                      <w:rFonts w:ascii="Cambria Math" w:hAnsi="Cambria Math"/>
                      <w:b/>
                      <w:bCs/>
                      <w:iCs/>
                    </w:rPr>
                  </m:ctrlPr>
                </m:e>
                <m:sub>
                  <m:r>
                    <w:rPr>
                      <w:rFonts w:ascii="Cambria Math" w:hAnsi="Cambria Math"/>
                    </w:rPr>
                    <m:t>it</m:t>
                  </m:r>
                </m:sub>
                <m:sup>
                  <m:r>
                    <m:rPr>
                      <m:sty m:val="bi"/>
                    </m:rPr>
                    <w:rPr>
                      <w:rFonts w:ascii="Cambria Math" w:hAnsi="Cambria Math"/>
                    </w:rPr>
                    <m:t>'</m:t>
                  </m:r>
                  <m:ctrlPr>
                    <w:rPr>
                      <w:rFonts w:ascii="Cambria Math" w:hAnsi="Cambria Math"/>
                      <w:b/>
                      <w:bCs/>
                      <w:i/>
                      <w:iCs/>
                    </w:rPr>
                  </m:ctrlPr>
                </m:sup>
              </m:sSubSup>
              <m:r>
                <w:rPr>
                  <w:rFonts w:ascii="Cambria Math" w:hAnsi="Cambria Math"/>
                </w:rPr>
                <m:t>γ+</m:t>
              </m:r>
              <m:sSub>
                <m:sSubPr>
                  <m:ctrlPr>
                    <w:rPr>
                      <w:rFonts w:ascii="Cambria Math" w:hAnsi="Cambria Math"/>
                      <w:i/>
                    </w:rPr>
                  </m:ctrlPr>
                </m:sSubPr>
                <m:e>
                  <m:r>
                    <w:rPr>
                      <w:rFonts w:ascii="Cambria Math" w:hAnsi="Cambria Math"/>
                    </w:rPr>
                    <m:t>δ</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e>
          </m:d>
        </m:oMath>
      </m:oMathPara>
    </w:p>
    <w:p w14:paraId="4CC61D87" w14:textId="1ED26BA6" w:rsidR="00665AF8" w:rsidRDefault="00277CD7" w:rsidP="00277CD7">
      <w:r w:rsidRPr="00971494">
        <w:t xml:space="preserve">where </w:t>
      </w:r>
      <m:oMath>
        <m:sSub>
          <m:sSubPr>
            <m:ctrlPr>
              <w:rPr>
                <w:rFonts w:ascii="Cambria Math" w:hAnsi="Cambria Math"/>
                <w:i/>
              </w:rPr>
            </m:ctrlPr>
          </m:sSubPr>
          <m:e>
            <m:r>
              <w:rPr>
                <w:rFonts w:ascii="Cambria Math" w:hAnsi="Cambria Math"/>
              </w:rPr>
              <m:t>Y</m:t>
            </m:r>
          </m:e>
          <m:sub>
            <m:r>
              <w:rPr>
                <w:rFonts w:ascii="Cambria Math" w:hAnsi="Cambria Math"/>
              </w:rPr>
              <m:t>it</m:t>
            </m:r>
          </m:sub>
        </m:sSub>
      </m:oMath>
      <w:r w:rsidRPr="00971494">
        <w:t xml:space="preserve">​ is a binary indicator equal to one if firm </w:t>
      </w:r>
      <m:oMath>
        <m:r>
          <w:rPr>
            <w:rFonts w:ascii="Cambria Math" w:hAnsi="Cambria Math"/>
          </w:rPr>
          <m:t xml:space="preserve">i </m:t>
        </m:r>
      </m:oMath>
      <w:r w:rsidRPr="00971494">
        <w:t xml:space="preserve">reports undertaking the specified innovation in year </w:t>
      </w:r>
      <m:oMath>
        <m:r>
          <w:rPr>
            <w:rFonts w:ascii="Cambria Math" w:hAnsi="Cambria Math"/>
          </w:rPr>
          <m:t>t</m:t>
        </m:r>
      </m:oMath>
      <w:r w:rsidRPr="00971494">
        <w:t>, and zero otherwise.</w:t>
      </w:r>
      <w:r>
        <w:t xml:space="preserve"> </w:t>
      </w:r>
      <m:oMath>
        <m:sSub>
          <m:sSubPr>
            <m:ctrlPr>
              <w:rPr>
                <w:rFonts w:ascii="Cambria Math" w:hAnsi="Cambria Math"/>
                <w:i/>
              </w:rPr>
            </m:ctrlPr>
          </m:sSubPr>
          <m:e>
            <m:r>
              <w:rPr>
                <w:rFonts w:ascii="Cambria Math" w:hAnsi="Cambria Math"/>
              </w:rPr>
              <m:t>Comp</m:t>
            </m:r>
          </m:e>
          <m:sub>
            <m:r>
              <w:rPr>
                <w:rFonts w:ascii="Cambria Math" w:hAnsi="Cambria Math"/>
              </w:rPr>
              <m:t>it</m:t>
            </m:r>
          </m:sub>
        </m:sSub>
      </m:oMath>
      <w:r w:rsidRPr="006125F7">
        <w:t xml:space="preserve">​ denotes </w:t>
      </w:r>
      <w:r w:rsidR="004D1151">
        <w:t>number of competitors</w:t>
      </w:r>
      <w:r w:rsidR="00193AB0">
        <w:t xml:space="preserve"> (either from the BCS </w:t>
      </w:r>
      <w:r w:rsidR="009E4099">
        <w:t xml:space="preserve">self reported competition </w:t>
      </w:r>
      <w:r w:rsidR="00193AB0">
        <w:t>measure or from LEED</w:t>
      </w:r>
      <w:r w:rsidR="00D81800">
        <w:t xml:space="preserve">, measuring </w:t>
      </w:r>
      <w:r w:rsidR="009E4099">
        <w:t>competitors</w:t>
      </w:r>
      <w:r w:rsidR="004D1151">
        <w:t xml:space="preserve"> in a work zone </w:t>
      </w:r>
      <w:r w:rsidR="00D81800">
        <w:t>by division</w:t>
      </w:r>
      <w:r>
        <w:t xml:space="preserve">, </w:t>
      </w:r>
      <w:r w:rsidR="00446218">
        <w:rPr>
          <w:b/>
          <w:bCs/>
        </w:rPr>
        <w:t>z</w:t>
      </w:r>
      <w:r w:rsidRPr="00A90320">
        <w:t xml:space="preserve"> is a vector of controls that includes the two-year lag of </w:t>
      </w:r>
      <w:r>
        <w:t xml:space="preserve">the </w:t>
      </w:r>
      <w:r w:rsidRPr="00A90320">
        <w:t>innovation</w:t>
      </w:r>
      <w:r>
        <w:t xml:space="preserve"> variable</w:t>
      </w:r>
      <w:r w:rsidRPr="00A90320">
        <w:t xml:space="preserve">, </w:t>
      </w:r>
      <w:r w:rsidR="00C45F1B">
        <w:t xml:space="preserve">log of </w:t>
      </w:r>
      <w:r w:rsidRPr="00A90320">
        <w:t xml:space="preserve">turnover, </w:t>
      </w:r>
      <w:r w:rsidR="00C45F1B">
        <w:t xml:space="preserve">log of labour productivity, </w:t>
      </w:r>
      <w:r w:rsidRPr="00A90320">
        <w:t xml:space="preserve">capital expenditure and </w:t>
      </w:r>
      <w:r w:rsidR="008C29EB">
        <w:t xml:space="preserve">log of </w:t>
      </w:r>
      <w:r w:rsidRPr="00A90320">
        <w:t>employment, as well as indicators for foreign ownership</w:t>
      </w:r>
      <w:r w:rsidR="003B25AB">
        <w:t xml:space="preserve">. </w:t>
      </w:r>
      <w:r w:rsidRPr="00A90320">
        <w:t>Industry (</w:t>
      </w:r>
      <m:oMath>
        <m:sSub>
          <m:sSubPr>
            <m:ctrlPr>
              <w:rPr>
                <w:rFonts w:ascii="Cambria Math" w:hAnsi="Cambria Math"/>
                <w:i/>
              </w:rPr>
            </m:ctrlPr>
          </m:sSubPr>
          <m:e>
            <m:r>
              <w:rPr>
                <w:rFonts w:ascii="Cambria Math" w:hAnsi="Cambria Math"/>
              </w:rPr>
              <m:t>δ</m:t>
            </m:r>
          </m:e>
          <m:sub>
            <m:r>
              <w:rPr>
                <w:rFonts w:ascii="Cambria Math" w:hAnsi="Cambria Math"/>
              </w:rPr>
              <m:t>j</m:t>
            </m:r>
          </m:sub>
        </m:sSub>
      </m:oMath>
      <w:r w:rsidRPr="00A90320">
        <w:t>) and year (</w:t>
      </w:r>
      <m:oMath>
        <m:sSub>
          <m:sSubPr>
            <m:ctrlPr>
              <w:rPr>
                <w:rFonts w:ascii="Cambria Math" w:hAnsi="Cambria Math"/>
                <w:i/>
              </w:rPr>
            </m:ctrlPr>
          </m:sSubPr>
          <m:e>
            <m:r>
              <w:rPr>
                <w:rFonts w:ascii="Cambria Math" w:hAnsi="Cambria Math"/>
              </w:rPr>
              <m:t>τ</m:t>
            </m:r>
          </m:e>
          <m:sub>
            <m:r>
              <w:rPr>
                <w:rFonts w:ascii="Cambria Math" w:hAnsi="Cambria Math"/>
              </w:rPr>
              <m:t>t</m:t>
            </m:r>
          </m:sub>
        </m:sSub>
      </m:oMath>
      <w:r w:rsidRPr="00A90320">
        <w:t>​) fixed effects are included in all specifications.</w:t>
      </w:r>
      <w:r w:rsidR="008C29EB">
        <w:t xml:space="preserve"> </w:t>
      </w:r>
      <w:r w:rsidR="00C332A0">
        <w:t>Robustness additionally includes</w:t>
      </w:r>
      <w:r w:rsidR="00241DCF">
        <w:t xml:space="preserve"> a</w:t>
      </w:r>
      <w:r w:rsidR="00C332A0">
        <w:t xml:space="preserve"> variable for </w:t>
      </w:r>
      <w:r w:rsidR="00C332A0" w:rsidRPr="00A90320">
        <w:t>exporter status</w:t>
      </w:r>
      <w:r w:rsidR="00C332A0">
        <w:t xml:space="preserve"> and </w:t>
      </w:r>
      <w:r w:rsidR="00C332A0" w:rsidRPr="008956FC">
        <w:t>dummy variables for four-digit industry classifications exhibiting unusually high competitor counts</w:t>
      </w:r>
      <w:r w:rsidR="00C332A0" w:rsidRPr="008956FC">
        <w:rPr>
          <w:rStyle w:val="FootnoteReference"/>
          <w:vertAlign w:val="baseline"/>
        </w:rPr>
        <w:t xml:space="preserve"> </w:t>
      </w:r>
      <w:r w:rsidR="00C332A0">
        <w:rPr>
          <w:rStyle w:val="FootnoteReference"/>
        </w:rPr>
        <w:footnoteReference w:id="6"/>
      </w:r>
      <w:r w:rsidR="00C332A0" w:rsidRPr="00A90320">
        <w:t xml:space="preserve">. To mitigate simultaneity concerns, firm-level controls enter the model as two-year lags. </w:t>
      </w:r>
      <w:r w:rsidR="00C332A0">
        <w:t xml:space="preserve"> </w:t>
      </w:r>
    </w:p>
    <w:p w14:paraId="4AE9446E" w14:textId="6333649B" w:rsidR="00921C3C" w:rsidRDefault="000C5B44">
      <w:r w:rsidRPr="000C5B44">
        <w:t>Because probit coefficients are harder to interpret in probability terms, this note reports average marginal effects in Table 1.</w:t>
      </w:r>
      <w:r>
        <w:t xml:space="preserve"> </w:t>
      </w:r>
      <w:r w:rsidR="00EE0216" w:rsidRPr="00EE0216">
        <w:t>Specifically, we compute predicted probabilities of innovation for each competition category.</w:t>
      </w:r>
      <w:r w:rsidR="00476D72">
        <w:t xml:space="preserve"> </w:t>
      </w:r>
    </w:p>
    <w:p w14:paraId="4DB45EB0" w14:textId="78DFF86F" w:rsidR="00665AF8" w:rsidRDefault="00665AF8">
      <w:r>
        <w:t>T</w:t>
      </w:r>
      <w:r w:rsidRPr="00665AF8">
        <w:t xml:space="preserve">he definition of innovation used in the BCS follows the Oslo manual (OECD 2018) and is captured by the introduction of new or significantly improved goods or services; operational processes; organisational/managerial processes; or marketing methods. </w:t>
      </w:r>
      <w:r>
        <w:t xml:space="preserve"> </w:t>
      </w:r>
      <w:r w:rsidR="00BB397A">
        <w:t>O</w:t>
      </w:r>
      <w:r w:rsidR="00BB397A" w:rsidRPr="00BB397A">
        <w:t>ne</w:t>
      </w:r>
      <w:r w:rsidR="00BB397A">
        <w:t xml:space="preserve"> </w:t>
      </w:r>
      <w:r w:rsidR="009A26F0" w:rsidRPr="00BB397A">
        <w:t>draw</w:t>
      </w:r>
      <w:r w:rsidR="009A26F0">
        <w:t>b</w:t>
      </w:r>
      <w:r w:rsidR="009A26F0" w:rsidRPr="00BB397A">
        <w:t>ack</w:t>
      </w:r>
      <w:r w:rsidR="00BB397A">
        <w:t xml:space="preserve"> </w:t>
      </w:r>
      <w:r w:rsidR="00BB397A" w:rsidRPr="00BB397A">
        <w:t>of</w:t>
      </w:r>
      <w:r w:rsidR="00BB397A">
        <w:t xml:space="preserve"> </w:t>
      </w:r>
      <w:r w:rsidR="00BB397A" w:rsidRPr="00BB397A">
        <w:t>survey</w:t>
      </w:r>
      <w:r w:rsidR="00BB397A">
        <w:t xml:space="preserve"> </w:t>
      </w:r>
      <w:r w:rsidR="00BB397A" w:rsidRPr="00BB397A">
        <w:t>responses is the possibility of measurement error, either through over- or under-reporting of innovation. However, cognitive testing of the Oslo manual indicates that the Oslo framework has largely succeeded at capturing how firms perceive innovations (Galindo-Rueda and Van Cruysen 2016</w:t>
      </w:r>
      <w:r w:rsidR="006F759A">
        <w:t>, Majeed and Breunig</w:t>
      </w:r>
      <w:r w:rsidR="00AD6142">
        <w:t>, 2023</w:t>
      </w:r>
      <w:r w:rsidR="00BB397A" w:rsidRPr="00BB397A">
        <w:t>).</w:t>
      </w:r>
    </w:p>
    <w:p w14:paraId="05509546" w14:textId="280B49C6" w:rsidR="00D1593E" w:rsidRPr="00DA15F1" w:rsidRDefault="002A0B09" w:rsidP="00DA15F1">
      <w:pPr>
        <w:pStyle w:val="Heading1"/>
      </w:pPr>
      <w:r w:rsidRPr="00DA15F1">
        <w:t>Conclusion</w:t>
      </w:r>
    </w:p>
    <w:p w14:paraId="1AC1094F" w14:textId="68F273B5" w:rsidR="001029D1" w:rsidRPr="001029D1" w:rsidRDefault="00EC7B1D" w:rsidP="001029D1">
      <w:r w:rsidRPr="00EC7B1D">
        <w:t xml:space="preserve">Competition is strongly associated with higher levels of innovation — a key driver of productivity and long-run living standards. </w:t>
      </w:r>
      <w:r w:rsidR="001E51ED">
        <w:t>As such, t</w:t>
      </w:r>
      <w:r w:rsidRPr="00EC7B1D">
        <w:t>he findings</w:t>
      </w:r>
      <w:r w:rsidR="006F0AF7">
        <w:t xml:space="preserve"> from this note </w:t>
      </w:r>
      <w:r w:rsidRPr="00EC7B1D">
        <w:t>position competition policy as an important contributor to the productivity agenda</w:t>
      </w:r>
      <w:r w:rsidR="319DFB63">
        <w:t xml:space="preserve">. </w:t>
      </w:r>
      <w:r w:rsidR="61D0070F">
        <w:t>R</w:t>
      </w:r>
      <w:r w:rsidR="00FD2FA6">
        <w:t>emote</w:t>
      </w:r>
      <w:r w:rsidR="00FD2FA6" w:rsidRPr="00FF73AD">
        <w:t xml:space="preserve"> and regional markets cannot easily support many physical competitors</w:t>
      </w:r>
      <w:r w:rsidR="54A129B1">
        <w:t xml:space="preserve"> (as a forthcoming note wil</w:t>
      </w:r>
      <w:r w:rsidR="3803F806">
        <w:t>l</w:t>
      </w:r>
      <w:r w:rsidR="54A129B1">
        <w:t xml:space="preserve"> discuss)</w:t>
      </w:r>
      <w:r w:rsidR="39088184">
        <w:t xml:space="preserve"> and measures </w:t>
      </w:r>
      <w:r w:rsidR="7FFD3B50">
        <w:t xml:space="preserve">to </w:t>
      </w:r>
      <w:r w:rsidR="450CE8CD">
        <w:t xml:space="preserve">improve competition in regional </w:t>
      </w:r>
      <w:r w:rsidR="372CC1A5">
        <w:t>areas</w:t>
      </w:r>
      <w:r w:rsidR="4E67F900">
        <w:t xml:space="preserve"> </w:t>
      </w:r>
      <w:r w:rsidR="415046D7">
        <w:t xml:space="preserve">could </w:t>
      </w:r>
      <w:r w:rsidR="4E67F900">
        <w:t>be among the policy responses considered</w:t>
      </w:r>
      <w:r w:rsidR="22FE1861">
        <w:t>.</w:t>
      </w:r>
      <w:r w:rsidR="00FD2FA6" w:rsidRPr="00FF73AD">
        <w:t xml:space="preserve"> </w:t>
      </w:r>
      <w:r w:rsidR="1E81ECFD">
        <w:t>T</w:t>
      </w:r>
      <w:r w:rsidR="00FD2FA6">
        <w:t>argeted</w:t>
      </w:r>
      <w:r w:rsidR="00FD2FA6" w:rsidRPr="00FF73AD">
        <w:t xml:space="preserve"> digital, ICT and infrastructure policies </w:t>
      </w:r>
      <w:r w:rsidR="00FD2FA6">
        <w:t>can possibly</w:t>
      </w:r>
      <w:r w:rsidR="00FD2FA6" w:rsidRPr="00FF73AD">
        <w:t xml:space="preserve"> enhance contestability and broaden competitive pressure across regions.</w:t>
      </w:r>
    </w:p>
    <w:p w14:paraId="2DC50628" w14:textId="77777777" w:rsidR="006069D2" w:rsidRDefault="006069D2">
      <w:pPr>
        <w:spacing w:after="0" w:line="240" w:lineRule="auto"/>
        <w:jc w:val="left"/>
        <w:rPr>
          <w:rFonts w:ascii="Calibri" w:hAnsi="Calibri" w:cs="Arial"/>
          <w:b/>
          <w:color w:val="5D779D" w:themeColor="accent3"/>
          <w:kern w:val="32"/>
          <w:sz w:val="28"/>
          <w:szCs w:val="36"/>
        </w:rPr>
      </w:pPr>
      <w:r>
        <w:br w:type="page"/>
      </w:r>
    </w:p>
    <w:p w14:paraId="488450F9" w14:textId="25D9C0C5" w:rsidR="001E7410" w:rsidRDefault="00B04BE0" w:rsidP="00261CF0">
      <w:pPr>
        <w:pStyle w:val="Heading1"/>
      </w:pPr>
      <w:r>
        <w:lastRenderedPageBreak/>
        <w:t>References</w:t>
      </w:r>
    </w:p>
    <w:p w14:paraId="7E561734" w14:textId="4AFCBEFF" w:rsidR="00832869" w:rsidRDefault="00832869" w:rsidP="00832869">
      <w:r w:rsidRPr="00832869">
        <w:t xml:space="preserve">Aghion, P., Bloom, N., Blundell, R., Griffith, R., &amp; Howitt, P. (2005). Competition and innovation: An inverted-U relationship. </w:t>
      </w:r>
      <w:r w:rsidRPr="00832869">
        <w:rPr>
          <w:i/>
          <w:iCs/>
        </w:rPr>
        <w:t>Quarterly Journal of Economics, 120</w:t>
      </w:r>
      <w:r w:rsidRPr="00832869">
        <w:t>(2), 701–728.</w:t>
      </w:r>
    </w:p>
    <w:p w14:paraId="06BDDB3E" w14:textId="028CAF31" w:rsidR="007F0E38" w:rsidRDefault="007F0E38" w:rsidP="007F0E38">
      <w:r>
        <w:t>Garfinkel, J. A., &amp; Hammoudeh, M. (2025). Competition and innovation revisited: A project-level view. Review of Financial Studies, 38(9), 2652–2717. doi:</w:t>
      </w:r>
      <w:hyperlink r:id="rId16" w:history="1">
        <w:r w:rsidRPr="00ED7906">
          <w:rPr>
            <w:rStyle w:val="Hyperlink"/>
          </w:rPr>
          <w:t>10.1093/rfs/hhae078</w:t>
        </w:r>
      </w:hyperlink>
    </w:p>
    <w:p w14:paraId="44F704C6" w14:textId="3C907C24" w:rsidR="007F0E38" w:rsidRDefault="007F0E38" w:rsidP="007F0E38">
      <w:r>
        <w:t>Griffith, R., &amp; Van Reenen, J. (2021). Product market competition, creative destruction and innovation (IFS Working Paper No. W21/43). London, United Kingdom: Institute for Fiscal Studies.</w:t>
      </w:r>
    </w:p>
    <w:p w14:paraId="4196ECAD" w14:textId="652D3EA4" w:rsidR="00137543" w:rsidRPr="00137543" w:rsidRDefault="00137543" w:rsidP="007F0E38">
      <w:r w:rsidRPr="00137543">
        <w:t xml:space="preserve">Gustavsson Tingvall, P., &amp; Poldahl, A. (2006). Is there really an inverted U-shaped relation between competition and R&amp;D? </w:t>
      </w:r>
      <w:r w:rsidRPr="00137543">
        <w:rPr>
          <w:i/>
          <w:iCs/>
        </w:rPr>
        <w:t>Economics of Innovation and New Technology, 15</w:t>
      </w:r>
      <w:r w:rsidRPr="00137543">
        <w:t>(2), 101–118.</w:t>
      </w:r>
    </w:p>
    <w:p w14:paraId="47C52139" w14:textId="6C5A1647" w:rsidR="00832869" w:rsidRPr="00832869" w:rsidRDefault="00832869" w:rsidP="00832869">
      <w:r w:rsidRPr="00832869">
        <w:t xml:space="preserve">Australian Bureau of Statistics. (2023). </w:t>
      </w:r>
      <w:r w:rsidR="009B231F">
        <w:rPr>
          <w:i/>
          <w:iCs/>
        </w:rPr>
        <w:t xml:space="preserve">Characteristics of </w:t>
      </w:r>
      <w:r w:rsidR="00B16007">
        <w:rPr>
          <w:i/>
          <w:iCs/>
        </w:rPr>
        <w:t>Australian business</w:t>
      </w:r>
      <w:r w:rsidRPr="00832869">
        <w:rPr>
          <w:i/>
          <w:iCs/>
        </w:rPr>
        <w:t>, 2021–22</w:t>
      </w:r>
      <w:r w:rsidRPr="00832869">
        <w:t xml:space="preserve"> (Cat</w:t>
      </w:r>
      <w:r w:rsidR="006A277B">
        <w:t>.</w:t>
      </w:r>
      <w:r w:rsidRPr="00832869">
        <w:t xml:space="preserve"> No. 8167.0). Canberra</w:t>
      </w:r>
      <w:r w:rsidR="00B16007">
        <w:t>, Australia</w:t>
      </w:r>
      <w:r w:rsidRPr="00832869">
        <w:t>: ABS.</w:t>
      </w:r>
    </w:p>
    <w:p w14:paraId="709860F2" w14:textId="69DC5567" w:rsidR="00832869" w:rsidRPr="00832869" w:rsidRDefault="00832869" w:rsidP="00832869">
      <w:r w:rsidRPr="00832869">
        <w:t xml:space="preserve">Galindo-Rueda, F., &amp; Van Cruysen, A. (2016). </w:t>
      </w:r>
      <w:r w:rsidRPr="00832869">
        <w:rPr>
          <w:i/>
          <w:iCs/>
        </w:rPr>
        <w:t>Testing innovation survey concepts, definitions and questions: Findings from cognitive interviews with business managers</w:t>
      </w:r>
      <w:r w:rsidRPr="00832869">
        <w:t xml:space="preserve"> (OECD Science, Technology and Innovation Papers No. 20). Paris</w:t>
      </w:r>
      <w:r w:rsidR="00B16007">
        <w:t>, France</w:t>
      </w:r>
      <w:r w:rsidRPr="00832869">
        <w:t>: OECD Publishing.</w:t>
      </w:r>
    </w:p>
    <w:p w14:paraId="20CC0A91" w14:textId="48532066" w:rsidR="00832869" w:rsidRPr="00832869" w:rsidRDefault="00832869" w:rsidP="00832869">
      <w:r w:rsidRPr="00832869">
        <w:t>Majeed, O., &amp; Breunig, R. (202</w:t>
      </w:r>
      <w:r w:rsidR="00452040">
        <w:t>3</w:t>
      </w:r>
      <w:r w:rsidRPr="00832869">
        <w:t xml:space="preserve">). Determinants of innovation novelty: Evidence from Australian administrative data. </w:t>
      </w:r>
      <w:r w:rsidRPr="00832869">
        <w:rPr>
          <w:i/>
          <w:iCs/>
        </w:rPr>
        <w:t>Economics of Innovation and New Technology</w:t>
      </w:r>
      <w:r w:rsidR="00B16007">
        <w:rPr>
          <w:i/>
          <w:iCs/>
        </w:rPr>
        <w:t>, 32</w:t>
      </w:r>
      <w:r w:rsidR="00B16007" w:rsidRPr="00261CF0">
        <w:t>(8),</w:t>
      </w:r>
      <w:r w:rsidR="00B16007">
        <w:rPr>
          <w:i/>
          <w:iCs/>
        </w:rPr>
        <w:t xml:space="preserve"> </w:t>
      </w:r>
      <w:r w:rsidR="00B16007" w:rsidRPr="00261CF0">
        <w:t>1249-1273. doi</w:t>
      </w:r>
      <w:r w:rsidR="00B16007" w:rsidRPr="00B16007">
        <w:t>:</w:t>
      </w:r>
      <w:hyperlink r:id="rId17" w:history="1">
        <w:r w:rsidR="00B16007" w:rsidRPr="00B16007">
          <w:rPr>
            <w:rStyle w:val="Hyperlink"/>
          </w:rPr>
          <w:t>10.1080/10438599.2022.2132239</w:t>
        </w:r>
      </w:hyperlink>
      <w:hyperlink r:id="rId18" w:history="1">
        <w:r w:rsidR="00EB4CCB" w:rsidRPr="00B16007" w:rsidDel="00EB4CCB">
          <w:rPr>
            <w:rStyle w:val="Hyperlink"/>
          </w:rPr>
          <w:t xml:space="preserve"> </w:t>
        </w:r>
      </w:hyperlink>
    </w:p>
    <w:p w14:paraId="4EBE30D2" w14:textId="71506265" w:rsidR="00832869" w:rsidRDefault="00B16007" w:rsidP="00832869">
      <w:r w:rsidRPr="00832869">
        <w:t>O</w:t>
      </w:r>
      <w:r>
        <w:t>rganisation for Economic Co-operation and Development</w:t>
      </w:r>
      <w:r w:rsidR="00832869" w:rsidRPr="00832869">
        <w:t xml:space="preserve">. (2018). </w:t>
      </w:r>
      <w:r w:rsidR="00832869" w:rsidRPr="00832869">
        <w:rPr>
          <w:i/>
          <w:iCs/>
        </w:rPr>
        <w:t>Oslo manual 2018: Guidelines for collecting, reporting and using data on innovation</w:t>
      </w:r>
      <w:r w:rsidR="00832869" w:rsidRPr="00832869">
        <w:t xml:space="preserve"> (4th ed.). Paris</w:t>
      </w:r>
      <w:r>
        <w:t>, France</w:t>
      </w:r>
      <w:r w:rsidR="00832869" w:rsidRPr="00832869">
        <w:t xml:space="preserve">: OECD Publishing. </w:t>
      </w:r>
      <w:r w:rsidR="0036570E">
        <w:t>doi:</w:t>
      </w:r>
      <w:hyperlink r:id="rId19" w:history="1">
        <w:r w:rsidR="0036570E" w:rsidRPr="00B16007">
          <w:rPr>
            <w:rStyle w:val="Hyperlink"/>
          </w:rPr>
          <w:t>10.1787/9789264304604-en</w:t>
        </w:r>
      </w:hyperlink>
    </w:p>
    <w:p w14:paraId="47C8E5E4" w14:textId="0E2EF839" w:rsidR="007A2923" w:rsidRPr="007A2923" w:rsidRDefault="007A2923" w:rsidP="00832869">
      <w:r w:rsidRPr="007A2923">
        <w:t xml:space="preserve">Organisation for Economic Co-operation and Development. (2023). </w:t>
      </w:r>
      <w:r w:rsidRPr="007A2923">
        <w:rPr>
          <w:i/>
          <w:iCs/>
        </w:rPr>
        <w:t>Competition and innovation: A theoretical perspective</w:t>
      </w:r>
      <w:r w:rsidRPr="007A2923">
        <w:t>. Paris, France: OECD Publishing.</w:t>
      </w:r>
    </w:p>
    <w:p w14:paraId="7163C173" w14:textId="6236D286" w:rsidR="00832869" w:rsidRPr="00832869" w:rsidRDefault="00832869" w:rsidP="00832869">
      <w:r w:rsidRPr="00832869">
        <w:t>O</w:t>
      </w:r>
      <w:r w:rsidR="00B16007">
        <w:t>rganisation for Economic Co-operation and Development</w:t>
      </w:r>
      <w:r w:rsidRPr="00832869">
        <w:t xml:space="preserve">. (2025). </w:t>
      </w:r>
      <w:r w:rsidRPr="00832869">
        <w:rPr>
          <w:i/>
          <w:iCs/>
        </w:rPr>
        <w:t>OECD science, technology and innovation outlook 2025: Innovation policy transformed</w:t>
      </w:r>
      <w:r w:rsidRPr="00832869">
        <w:t>. Paris</w:t>
      </w:r>
      <w:r w:rsidR="00B16007">
        <w:t>, France</w:t>
      </w:r>
      <w:r w:rsidRPr="00832869">
        <w:t>: OECD Publishing.</w:t>
      </w:r>
      <w:r w:rsidR="00CE3A3C">
        <w:t xml:space="preserve"> </w:t>
      </w:r>
    </w:p>
    <w:p w14:paraId="1B015ED4" w14:textId="77777777" w:rsidR="00832869" w:rsidRDefault="00832869" w:rsidP="00832869">
      <w:r w:rsidRPr="00832869">
        <w:t xml:space="preserve">Palangkaraya, A., Webster, E., &amp; Jensen, P. H. (2015). Misclassification between patent citations and patent family citations. </w:t>
      </w:r>
      <w:r w:rsidRPr="00832869">
        <w:rPr>
          <w:i/>
          <w:iCs/>
        </w:rPr>
        <w:t>Economics Letters, 128</w:t>
      </w:r>
      <w:r w:rsidRPr="00832869">
        <w:t>, 53–55.</w:t>
      </w:r>
    </w:p>
    <w:p w14:paraId="4D9FB404" w14:textId="57D17AE1" w:rsidR="007A2923" w:rsidRPr="00832869" w:rsidRDefault="007A2923" w:rsidP="00832869">
      <w:r w:rsidRPr="007A2923">
        <w:t>Raihan, S., Uddin, M., &amp; Khan, S. (2025). What drives firms to innovate? Emp</w:t>
      </w:r>
      <w:r>
        <w:t>i</w:t>
      </w:r>
      <w:r w:rsidRPr="007A2923">
        <w:t>rical evidence from firm-level cross country data. The Indian Journal of Labour Economics, 1–22.</w:t>
      </w:r>
    </w:p>
    <w:p w14:paraId="1E9F9CD8" w14:textId="153D2EC3" w:rsidR="009C0F24" w:rsidRDefault="00832869" w:rsidP="00832869">
      <w:r w:rsidRPr="00832869">
        <w:t xml:space="preserve">van Leeuwen, G. (2002). </w:t>
      </w:r>
      <w:r w:rsidRPr="00261CF0">
        <w:rPr>
          <w:i/>
        </w:rPr>
        <w:t>Linking innovation to productivity growth using two waves of the Community Innovation Survey</w:t>
      </w:r>
      <w:r w:rsidRPr="00832869">
        <w:t xml:space="preserve"> </w:t>
      </w:r>
      <w:r w:rsidR="00B16007" w:rsidRPr="00261CF0">
        <w:t>(</w:t>
      </w:r>
      <w:r w:rsidRPr="00261CF0">
        <w:t>OECD Science, Technology and Industry Working Papers, 2002/08</w:t>
      </w:r>
      <w:r w:rsidR="00B16007">
        <w:t>)</w:t>
      </w:r>
      <w:r w:rsidRPr="00B16007">
        <w:t>.</w:t>
      </w:r>
      <w:r w:rsidRPr="00832869">
        <w:t xml:space="preserve"> Paris</w:t>
      </w:r>
      <w:r w:rsidR="00B16007">
        <w:t>, France</w:t>
      </w:r>
      <w:r w:rsidRPr="00832869">
        <w:t>: OECD Publishing.</w:t>
      </w:r>
      <w:r w:rsidR="00B16007">
        <w:t xml:space="preserve"> doi:</w:t>
      </w:r>
      <w:r w:rsidR="005E3806">
        <w:t xml:space="preserve"> </w:t>
      </w:r>
      <w:hyperlink r:id="rId20" w:history="1">
        <w:r w:rsidR="006A277B" w:rsidRPr="00D5428D">
          <w:rPr>
            <w:rStyle w:val="Hyperlink"/>
          </w:rPr>
          <w:t>10.1787/620221544571</w:t>
        </w:r>
      </w:hyperlink>
    </w:p>
    <w:p w14:paraId="6737A1DD" w14:textId="77777777" w:rsidR="009C0F24" w:rsidRDefault="009C0F24">
      <w:pPr>
        <w:spacing w:after="0" w:line="240" w:lineRule="auto"/>
        <w:jc w:val="left"/>
      </w:pPr>
      <w:r>
        <w:br w:type="page"/>
      </w:r>
    </w:p>
    <w:p w14:paraId="200E572F" w14:textId="39248901" w:rsidR="0059747C" w:rsidRPr="009C0F24" w:rsidRDefault="0059747C" w:rsidP="009C0F24">
      <w:pPr>
        <w:pStyle w:val="Heading1"/>
      </w:pPr>
      <w:r w:rsidRPr="009C0F24">
        <w:lastRenderedPageBreak/>
        <w:t xml:space="preserve">Appendix </w:t>
      </w:r>
    </w:p>
    <w:p w14:paraId="327D634F" w14:textId="72457A8E" w:rsidR="00C63FE6" w:rsidRPr="00220F18" w:rsidRDefault="00E679D1" w:rsidP="009C0F24">
      <w:pPr>
        <w:pStyle w:val="Heading2"/>
      </w:pPr>
      <w:r w:rsidRPr="00220F18">
        <w:t>Measurement and Data</w:t>
      </w:r>
    </w:p>
    <w:p w14:paraId="7FDC10BA" w14:textId="64A01328" w:rsidR="00C01A4E" w:rsidRPr="00F04C41" w:rsidRDefault="00E679D1" w:rsidP="009C0F24">
      <w:pPr>
        <w:pStyle w:val="Heading3"/>
      </w:pPr>
      <w:r>
        <w:t>LEED</w:t>
      </w:r>
      <w:r w:rsidR="009A2D49">
        <w:t xml:space="preserve"> based competition measure</w:t>
      </w:r>
      <w:r w:rsidR="009C0F24">
        <w:t xml:space="preserve"> - g</w:t>
      </w:r>
      <w:r w:rsidR="00C63FE6">
        <w:t xml:space="preserve">eographic measurement of </w:t>
      </w:r>
      <w:r w:rsidR="00782D0C">
        <w:t>competitors</w:t>
      </w:r>
    </w:p>
    <w:p w14:paraId="5A6263BF" w14:textId="234520DE" w:rsidR="00C01A4E" w:rsidRDefault="00C01A4E" w:rsidP="00C63FE6">
      <w:r w:rsidRPr="00C62807">
        <w:t xml:space="preserve">We measure local competition as the median number of competitors within each work zone and 1-digit ANZSIC industry. For each firm, competitors are defined as the number of firms in the same 4-digit ANZSIC industry–work zone cell minus one. </w:t>
      </w:r>
      <w:r>
        <w:t>T</w:t>
      </w:r>
      <w:r w:rsidRPr="00C62807">
        <w:t>he resulting measure is normalised by the number of local government areas in the work zone to account for differences in market size</w:t>
      </w:r>
      <w:r>
        <w:rPr>
          <w:rStyle w:val="FootnoteReference"/>
        </w:rPr>
        <w:footnoteReference w:id="7"/>
      </w:r>
      <w:r w:rsidRPr="00C62807">
        <w:t>.</w:t>
      </w:r>
      <w:r>
        <w:t xml:space="preserve"> The rest of the section details the creation of the broader dataset for competition. </w:t>
      </w:r>
      <w:r w:rsidR="00BA6398" w:rsidRPr="00BA6398">
        <w:t>We aggregate to the 1-digit ANZSIC level to smooth variation arising from a small number of 4-digit industries with exceptionally high competitor counts, particularly in large metropolitan areas.</w:t>
      </w:r>
    </w:p>
    <w:p w14:paraId="44FBC312" w14:textId="090D32CC" w:rsidR="00992856" w:rsidRPr="00992856" w:rsidRDefault="00992856" w:rsidP="00C63FE6">
      <w:r w:rsidRPr="00DA0A12">
        <w:t>We define a business location where three or more employees associated with a firm are located within the same working zone. We adopt a threshold of three employees because it closely aligns with the median firm size in Australia, reflecting the fact that most firms are micro</w:t>
      </w:r>
      <w:r w:rsidRPr="00DA0A12">
        <w:noBreakHyphen/>
        <w:t>businesses. As a validation exercise, we cross</w:t>
      </w:r>
      <w:r w:rsidRPr="00DA0A12">
        <w:noBreakHyphen/>
        <w:t>checked this assumption using Census data on the proximity between employees’ residential locations and their reported workplaces</w:t>
      </w:r>
      <w:r>
        <w:t>. Below we give further details on how data was constructed</w:t>
      </w:r>
      <w:r w:rsidR="004502C1">
        <w:t xml:space="preserve"> and some of the challenges of using traditional measures of </w:t>
      </w:r>
      <w:r w:rsidR="006E182D">
        <w:t>location</w:t>
      </w:r>
      <w:r>
        <w:t xml:space="preserve">. </w:t>
      </w:r>
    </w:p>
    <w:p w14:paraId="5CED744F" w14:textId="67D63FF6" w:rsidR="005C0C4A" w:rsidRDefault="005C0C4A" w:rsidP="00AA2901">
      <w:r w:rsidRPr="005C0C4A">
        <w:t>Measuring local competition requires knowing where firms actually operate, not just where they are registered</w:t>
      </w:r>
      <w:r w:rsidR="002B4167">
        <w:rPr>
          <w:rStyle w:val="FootnoteReference"/>
        </w:rPr>
        <w:footnoteReference w:id="8"/>
      </w:r>
      <w:r w:rsidRPr="005C0C4A">
        <w:t>. Standard business datasets typically record firm activity at the national level and often attribute activity to a firm’s registered or headquarters address, even when substantial operations occur elsewhere. This “headquarters effect” can distort regional competition measures by overstating activity in head</w:t>
      </w:r>
      <w:r w:rsidRPr="005C0C4A">
        <w:rPr>
          <w:rFonts w:ascii="Cambria Math" w:hAnsi="Cambria Math" w:cs="Cambria Math"/>
        </w:rPr>
        <w:t>‑</w:t>
      </w:r>
      <w:r w:rsidRPr="005C0C4A">
        <w:t>office locations and understating competitive pressure in operating markets. As a result, it is difficult to construct meaningful regional measures of competition, despite firms often competing locally and consumers facing choices within geographically bounded markets. To overcome this limitation, we use information on where employees are located as a proxy for where firms’ economic activity takes place.</w:t>
      </w:r>
      <w:r w:rsidR="00882421">
        <w:t xml:space="preserve"> While this method is not perfect, it</w:t>
      </w:r>
      <w:r w:rsidR="00243754">
        <w:t xml:space="preserve"> gives additional insights and</w:t>
      </w:r>
      <w:r w:rsidR="00882421">
        <w:t xml:space="preserve"> </w:t>
      </w:r>
      <w:r w:rsidR="000516ED" w:rsidRPr="000516ED">
        <w:t>may shed light on local dimensions of competition that are less visible in broader measures.</w:t>
      </w:r>
      <w:r w:rsidR="000516ED">
        <w:t xml:space="preserve"> Mor</w:t>
      </w:r>
      <w:r w:rsidR="004C5501">
        <w:t xml:space="preserve">eover, the finding </w:t>
      </w:r>
      <w:r w:rsidR="00F301D3">
        <w:t>employing it</w:t>
      </w:r>
      <w:r w:rsidR="004C5501">
        <w:t xml:space="preserve"> are consistent with the seminal work of </w:t>
      </w:r>
      <w:r w:rsidR="00217018">
        <w:t xml:space="preserve">Aghion et al. (2005). </w:t>
      </w:r>
    </w:p>
    <w:p w14:paraId="77511A21" w14:textId="4F5EAF5D" w:rsidR="005C40CB" w:rsidRDefault="005C40CB" w:rsidP="00AA2901">
      <w:r>
        <w:t>We implement this approach by linking business</w:t>
      </w:r>
      <w:r w:rsidRPr="026838B6">
        <w:rPr>
          <w:rFonts w:ascii="Cambria Math" w:hAnsi="Cambria Math" w:cs="Cambria Math"/>
        </w:rPr>
        <w:t>‑</w:t>
      </w:r>
      <w:r>
        <w:t>level data from the Business Longitudinal Analysis Data Environment (BLADE)</w:t>
      </w:r>
      <w:r w:rsidR="27DD96CD">
        <w:t>, primarily Business Locations data,</w:t>
      </w:r>
      <w:r>
        <w:t xml:space="preserve"> with person</w:t>
      </w:r>
      <w:r w:rsidRPr="026838B6">
        <w:rPr>
          <w:rFonts w:ascii="Cambria Math" w:hAnsi="Cambria Math" w:cs="Cambria Math"/>
        </w:rPr>
        <w:t>‑</w:t>
      </w:r>
      <w:r>
        <w:t>level administrative data from the Person</w:t>
      </w:r>
      <w:r w:rsidRPr="026838B6">
        <w:rPr>
          <w:rFonts w:ascii="Cambria Math" w:hAnsi="Cambria Math" w:cs="Cambria Math"/>
        </w:rPr>
        <w:t>‑</w:t>
      </w:r>
      <w:r>
        <w:t>Level Integrated Data Asset (PLIDA), which contains de</w:t>
      </w:r>
      <w:r w:rsidRPr="026838B6">
        <w:rPr>
          <w:rFonts w:ascii="Cambria Math" w:hAnsi="Cambria Math" w:cs="Cambria Math"/>
        </w:rPr>
        <w:t>‑</w:t>
      </w:r>
      <w:r>
        <w:t>identified tax records for individuals. Using employer</w:t>
      </w:r>
      <w:r w:rsidRPr="026838B6">
        <w:rPr>
          <w:rFonts w:cs="Calibri Light"/>
        </w:rPr>
        <w:t>–</w:t>
      </w:r>
      <w:r>
        <w:t>employee links, we observe where employees associated with each firm are located</w:t>
      </w:r>
      <w:r w:rsidR="3CCD0C77">
        <w:t>,</w:t>
      </w:r>
      <w:r>
        <w:t xml:space="preserve"> and </w:t>
      </w:r>
      <w:r w:rsidR="3CCD0C77">
        <w:t xml:space="preserve">cross-reference this with </w:t>
      </w:r>
      <w:r w:rsidR="3C3B56E0">
        <w:t>the ABS Business Locations data in BLADE</w:t>
      </w:r>
      <w:r w:rsidR="75D403BA">
        <w:t xml:space="preserve"> to identify operating locations</w:t>
      </w:r>
      <w:r w:rsidR="3CCD0C77">
        <w:t xml:space="preserve">. </w:t>
      </w:r>
      <w:r w:rsidR="74836341">
        <w:t>As the business locations dataset doesn’t have full coverage, we</w:t>
      </w:r>
      <w:r w:rsidR="3CCD0C77">
        <w:t xml:space="preserve"> supplement </w:t>
      </w:r>
      <w:r w:rsidR="74836341">
        <w:t>it</w:t>
      </w:r>
      <w:r w:rsidR="38297445">
        <w:t xml:space="preserve"> with additional imputed locations,</w:t>
      </w:r>
      <w:r>
        <w:t xml:space="preserve"> </w:t>
      </w:r>
      <w:r w:rsidR="38297445">
        <w:t xml:space="preserve">identified </w:t>
      </w:r>
      <w:r w:rsidR="627FB9E1">
        <w:t>by</w:t>
      </w:r>
      <w:r w:rsidR="38297445">
        <w:t xml:space="preserve"> clusters of employees</w:t>
      </w:r>
      <w:r w:rsidR="1EA5403A">
        <w:t xml:space="preserve"> – if there are three employees in a working zone we impute a business location there, even in the absence of a location in the BLAD</w:t>
      </w:r>
      <w:r w:rsidR="509C5605">
        <w:t xml:space="preserve">E </w:t>
      </w:r>
      <w:r w:rsidR="12E29BA4">
        <w:t xml:space="preserve">locations </w:t>
      </w:r>
      <w:r w:rsidR="509C5605">
        <w:t>dataset</w:t>
      </w:r>
      <w:r w:rsidR="38297445">
        <w:t>.</w:t>
      </w:r>
      <w:r w:rsidR="54161BC5">
        <w:t xml:space="preserve"> The threshold of three employees was chosen because it </w:t>
      </w:r>
      <w:r w:rsidR="3454B1A0">
        <w:t xml:space="preserve">achieves a balance </w:t>
      </w:r>
      <w:r w:rsidR="37F61172">
        <w:t xml:space="preserve">between </w:t>
      </w:r>
      <w:r w:rsidR="3454B1A0">
        <w:t>false-positives</w:t>
      </w:r>
      <w:r w:rsidR="38297445">
        <w:t xml:space="preserve"> </w:t>
      </w:r>
      <w:r w:rsidR="53E0BF91">
        <w:t>and false negatives, when compared against census data.</w:t>
      </w:r>
    </w:p>
    <w:p w14:paraId="40308D3C" w14:textId="2DD10B80" w:rsidR="005C40CB" w:rsidRDefault="05D484D1" w:rsidP="00AA2901">
      <w:r>
        <w:t>We then</w:t>
      </w:r>
      <w:r w:rsidR="005C40CB" w:rsidDel="005C40CB">
        <w:t xml:space="preserve"> </w:t>
      </w:r>
      <w:r w:rsidR="005C40CB">
        <w:t>aggregate this information to identify the firm</w:t>
      </w:r>
      <w:r w:rsidR="005C40CB" w:rsidRPr="31418D34">
        <w:rPr>
          <w:rFonts w:cs="Calibri Light"/>
        </w:rPr>
        <w:t>’</w:t>
      </w:r>
      <w:r w:rsidR="005C40CB">
        <w:t>s local operational footprint by industry and working zone, which is constructed using commuting</w:t>
      </w:r>
      <w:r w:rsidR="005C40CB" w:rsidRPr="31418D34">
        <w:rPr>
          <w:rFonts w:ascii="Cambria Math" w:hAnsi="Cambria Math" w:cs="Cambria Math"/>
        </w:rPr>
        <w:t>‑</w:t>
      </w:r>
      <w:r w:rsidR="005C40CB">
        <w:t>based geographic boundaries from the Bureau of Infrastructure and Transport Research Economics (BITRE). This allows us to construct a simple and intuitive measure of local competition based on the number of competing firms operating in the same industry and geographic area</w:t>
      </w:r>
      <w:r w:rsidR="15A84DB5">
        <w:t>, for the period 2010-11 to 2021-22</w:t>
      </w:r>
      <w:r w:rsidR="005C40CB">
        <w:t>. In addition, we complement this objective measure with firms</w:t>
      </w:r>
      <w:r w:rsidR="005C40CB" w:rsidRPr="31418D34">
        <w:rPr>
          <w:rFonts w:cs="Calibri Light"/>
        </w:rPr>
        <w:t>’</w:t>
      </w:r>
      <w:r w:rsidR="005C40CB">
        <w:t xml:space="preserve"> own self</w:t>
      </w:r>
      <w:r w:rsidR="005C40CB" w:rsidRPr="31418D34">
        <w:rPr>
          <w:rFonts w:ascii="Cambria Math" w:hAnsi="Cambria Math" w:cs="Cambria Math"/>
        </w:rPr>
        <w:t>‑</w:t>
      </w:r>
      <w:r w:rsidR="005C40CB">
        <w:t>reported perceptions of competitive pressure from a representative survey conducted by the Australian Bureau of Statistics</w:t>
      </w:r>
      <w:r w:rsidR="00FE6142">
        <w:t xml:space="preserve"> (discussed below)</w:t>
      </w:r>
      <w:r w:rsidR="005C40CB">
        <w:t>.</w:t>
      </w:r>
    </w:p>
    <w:p w14:paraId="3B4F47BD" w14:textId="77777777" w:rsidR="00FE6142" w:rsidRDefault="00FE6142" w:rsidP="00E679D1"/>
    <w:p w14:paraId="50141FFC" w14:textId="4B454405" w:rsidR="00E679D1" w:rsidRPr="009E2999" w:rsidRDefault="009A2D49" w:rsidP="009C0F24">
      <w:pPr>
        <w:pStyle w:val="Heading3"/>
      </w:pPr>
      <w:r>
        <w:lastRenderedPageBreak/>
        <w:t xml:space="preserve">BCS </w:t>
      </w:r>
      <w:r w:rsidR="00E679D1" w:rsidRPr="009E2999">
        <w:t>Data</w:t>
      </w:r>
    </w:p>
    <w:p w14:paraId="5C481E74" w14:textId="281C3A90" w:rsidR="00E679D1" w:rsidRDefault="00E679D1" w:rsidP="00E679D1">
      <w:r>
        <w:t xml:space="preserve">This note </w:t>
      </w:r>
      <w:r w:rsidR="00711B99">
        <w:t>also</w:t>
      </w:r>
      <w:r>
        <w:t xml:space="preserve"> relies on firms’ self-reported competitive environment, measured as the number of competitors in their main market and grouped into four categories: none, 1–2, 3–4, and five or more competitors.</w:t>
      </w:r>
      <w:r w:rsidR="004B3FCE">
        <w:t xml:space="preserve"> </w:t>
      </w:r>
      <w:r>
        <w:t>The data are drawn from the Australian Bureau of Statistics’ Business Characteristics Survey (BCS), an unbalanced panel of Australian firms linked to administrative data from the Australian Taxation Office. The innovation and competition questions in the BCS follow the OECD Oslo Manual (OECD 2018)</w:t>
      </w:r>
      <w:r w:rsidR="00B46A48">
        <w:rPr>
          <w:rStyle w:val="FootnoteReference"/>
        </w:rPr>
        <w:footnoteReference w:id="9"/>
      </w:r>
      <w:r>
        <w:t xml:space="preserve">. </w:t>
      </w:r>
    </w:p>
    <w:p w14:paraId="34028300" w14:textId="5720881F" w:rsidR="00C63FE6" w:rsidRDefault="00E679D1" w:rsidP="00C63FE6">
      <w:r w:rsidRPr="000262B3">
        <w:t>An advantage of self</w:t>
      </w:r>
      <w:r w:rsidRPr="000262B3">
        <w:rPr>
          <w:rFonts w:ascii="Cambria Math" w:hAnsi="Cambria Math" w:cs="Cambria Math"/>
        </w:rPr>
        <w:t>‑</w:t>
      </w:r>
      <w:r w:rsidRPr="000262B3">
        <w:t>reported competition measures is that they capture the competitive pressure firms perceive when innovating to protect profits and market share. Consequently, perceived competition may be more closely linked to innovation outcomes than objective measures.</w:t>
      </w:r>
    </w:p>
    <w:p w14:paraId="792AB0B1" w14:textId="5746043A" w:rsidR="00C63FE6" w:rsidRDefault="008D62AD" w:rsidP="009C0F24">
      <w:pPr>
        <w:pStyle w:val="Heading2"/>
      </w:pPr>
      <w:r w:rsidRPr="00220F18">
        <w:t>L</w:t>
      </w:r>
      <w:r w:rsidR="00C15ABC" w:rsidRPr="00220F18">
        <w:t>iterature Review</w:t>
      </w:r>
    </w:p>
    <w:p w14:paraId="7312B3B0" w14:textId="36CEF872" w:rsidR="00230B84" w:rsidRPr="00230B84" w:rsidRDefault="00230B84" w:rsidP="00230B84">
      <w:r w:rsidRPr="00230B84">
        <w:t>The empirical relationship between innovation and competition has been studied extensively. A significant contribution is Aghion et al. (2005) wh</w:t>
      </w:r>
      <w:r w:rsidR="00BC6924">
        <w:t>ich</w:t>
      </w:r>
      <w:r w:rsidRPr="00230B84">
        <w:t xml:space="preserve"> establishes an inverted-U relationship between competition and innovation variables using UK panel data, showing that innovation rises with competition at low levels but falls when competition becomes intense. More recent empirical work has found evidence consistent with this pattern across a range of country and industry contexts, although the literature remains mixed and sensitive to measurement, industry characteristics and technological distance from the frontier (Griffith &amp; Van Reenen 2021; Poldahl &amp; Tingvall 2006; Garfinkel and Hammoudeh 2022).</w:t>
      </w:r>
    </w:p>
    <w:p w14:paraId="2F846891" w14:textId="77777777" w:rsidR="00230B84" w:rsidRPr="00230B84" w:rsidRDefault="00230B84" w:rsidP="00230B84">
      <w:r w:rsidRPr="00230B84">
        <w:t>Much of the seminal evidence on the inverted-U relationship has relied on patents or R&amp;D-based measures of innovation, or macro-level indicators of competition such as the Lerner Index or the Herfindahl-Hirschman Index. A key limitation of patents and R&amp;D-based measures is that they capture a narrow section of innovation activity that is biased toward large firms and manufacturing sectors, missing informal or non-technological forms of innovation. Aggregate competition measures are similarly limited, failing to capture local variation in competitive conditions and remaining sensitive to market definition (OECD 2023). Survey-based measures offer a useful complement, capturing a wider range of innovation types spanning product, process, organisational and marketing innovations, as well as firms' perceived competitive pressures, although they can introduce limitations including self-reporting bias and variation in how firms interpret innovation. Where survey-based data is used, studies tend to find positive associations between competition and innovation, and are often unable to identify an inverted-U relationship, particularly when competition measures are coarse or top-coded. For example, Raihan et al. (2025) draws on World Bank Enterprise Survey data across 142 countries, finding that perceived domestic competition is associated with a higher likelihood of firm-level innovation.</w:t>
      </w:r>
    </w:p>
    <w:p w14:paraId="34318D62" w14:textId="11566915" w:rsidR="00807EDA" w:rsidRDefault="00230B84" w:rsidP="00C63FE6">
      <w:r w:rsidRPr="00230B84">
        <w:t xml:space="preserve">This note makes several key contributions to the literature. By combining a broader set of innovation measures from survey data with detailed local competition data, this analysis is among the first to show that the inverted-U relationship holds </w:t>
      </w:r>
      <w:r w:rsidR="008101CD">
        <w:t>in Australia and based on locations</w:t>
      </w:r>
      <w:r w:rsidRPr="00230B84">
        <w:t xml:space="preserve">. It also introduces novel local measures of competition based on linked employer-employee data, a methodological contribution that has not been previously explored, addressing the recognised limitation of aggregate indices and enabling a more accurate characterisation of the competitive environments in which firms innovate. In doing so, it provides new evidence for Australia, where empirical work on </w:t>
      </w:r>
      <w:r w:rsidR="002813F0">
        <w:t xml:space="preserve">the </w:t>
      </w:r>
      <w:r w:rsidRPr="00230B84">
        <w:t>competition-innovation relationship has received limited attention.</w:t>
      </w:r>
    </w:p>
    <w:p w14:paraId="3B09F4D0" w14:textId="77777777" w:rsidR="00807EDA" w:rsidRDefault="00807EDA">
      <w:pPr>
        <w:spacing w:after="0" w:line="240" w:lineRule="auto"/>
        <w:jc w:val="left"/>
      </w:pPr>
      <w:r>
        <w:br w:type="page"/>
      </w:r>
    </w:p>
    <w:p w14:paraId="61D15040" w14:textId="3FCC4F71" w:rsidR="00DD2020" w:rsidRPr="00E92410" w:rsidRDefault="00E92410" w:rsidP="007F73C6">
      <w:pPr>
        <w:pStyle w:val="Tablecaption"/>
      </w:pPr>
      <w:bookmarkStart w:id="0" w:name="_Ref214970259"/>
      <w:r w:rsidRPr="00E92410">
        <w:lastRenderedPageBreak/>
        <w:t>Table</w:t>
      </w:r>
      <w:bookmarkEnd w:id="0"/>
      <w:r>
        <w:t xml:space="preserve"> </w:t>
      </w:r>
      <w:r w:rsidR="003F0032">
        <w:t>2</w:t>
      </w:r>
      <w:r>
        <w:t>:</w:t>
      </w:r>
      <w:r w:rsidRPr="00E92410">
        <w:t xml:space="preserve"> </w:t>
      </w:r>
      <w:r w:rsidR="000D0046">
        <w:t>E</w:t>
      </w:r>
      <w:r w:rsidRPr="00E92410">
        <w:t xml:space="preserve">stimated probability of innovation at different levels of competition  </w:t>
      </w:r>
    </w:p>
    <w:tbl>
      <w:tblPr>
        <w:tblW w:w="5000" w:type="pct"/>
        <w:tblLayout w:type="fixed"/>
        <w:tblLook w:val="04A0" w:firstRow="1" w:lastRow="0" w:firstColumn="1" w:lastColumn="0" w:noHBand="0" w:noVBand="1"/>
        <w:tblCaption w:val="Table 2. Estimated probability of innovation at different levels of competition"/>
        <w:tblDescription w:val="&#10;Alt text: Table reporting predicted innovation probabilities across different levels of competition and innovation types. Firms facing competitors have higher innovation probabilities than firms reporting no competitors across all innovation measures."/>
      </w:tblPr>
      <w:tblGrid>
        <w:gridCol w:w="3272"/>
        <w:gridCol w:w="1272"/>
        <w:gridCol w:w="1274"/>
        <w:gridCol w:w="1272"/>
        <w:gridCol w:w="1274"/>
        <w:gridCol w:w="1274"/>
      </w:tblGrid>
      <w:tr w:rsidR="00DD2020" w:rsidRPr="00E92410" w14:paraId="0A232946" w14:textId="77777777">
        <w:tc>
          <w:tcPr>
            <w:tcW w:w="1697" w:type="pct"/>
            <w:tcBorders>
              <w:top w:val="single" w:sz="4" w:space="0" w:color="auto"/>
            </w:tcBorders>
          </w:tcPr>
          <w:p w14:paraId="36008BA8" w14:textId="77777777" w:rsidR="00DD2020" w:rsidRPr="00E92410" w:rsidRDefault="00DD2020"/>
        </w:tc>
        <w:tc>
          <w:tcPr>
            <w:tcW w:w="660" w:type="pct"/>
            <w:tcBorders>
              <w:top w:val="single" w:sz="4" w:space="0" w:color="auto"/>
            </w:tcBorders>
          </w:tcPr>
          <w:p w14:paraId="4DFA6ECB" w14:textId="77777777" w:rsidR="00DD2020" w:rsidRPr="00E92410" w:rsidRDefault="00DD2020">
            <w:r w:rsidRPr="00E92410">
              <w:t>(1)</w:t>
            </w:r>
          </w:p>
        </w:tc>
        <w:tc>
          <w:tcPr>
            <w:tcW w:w="661" w:type="pct"/>
            <w:tcBorders>
              <w:top w:val="single" w:sz="4" w:space="0" w:color="auto"/>
            </w:tcBorders>
          </w:tcPr>
          <w:p w14:paraId="1B793585" w14:textId="77777777" w:rsidR="00DD2020" w:rsidRPr="00E92410" w:rsidRDefault="00DD2020">
            <w:r w:rsidRPr="00E92410">
              <w:t>(2)</w:t>
            </w:r>
          </w:p>
        </w:tc>
        <w:tc>
          <w:tcPr>
            <w:tcW w:w="660" w:type="pct"/>
            <w:tcBorders>
              <w:top w:val="single" w:sz="4" w:space="0" w:color="auto"/>
            </w:tcBorders>
          </w:tcPr>
          <w:p w14:paraId="1406E5A4" w14:textId="77777777" w:rsidR="00DD2020" w:rsidRPr="00E92410" w:rsidRDefault="00DD2020">
            <w:r w:rsidRPr="00E92410">
              <w:t>(3)</w:t>
            </w:r>
          </w:p>
        </w:tc>
        <w:tc>
          <w:tcPr>
            <w:tcW w:w="661" w:type="pct"/>
            <w:tcBorders>
              <w:top w:val="single" w:sz="4" w:space="0" w:color="auto"/>
            </w:tcBorders>
          </w:tcPr>
          <w:p w14:paraId="67A49280" w14:textId="77777777" w:rsidR="00DD2020" w:rsidRPr="00E92410" w:rsidRDefault="00DD2020">
            <w:r w:rsidRPr="00E92410">
              <w:t>(4)</w:t>
            </w:r>
          </w:p>
        </w:tc>
        <w:tc>
          <w:tcPr>
            <w:tcW w:w="661" w:type="pct"/>
            <w:tcBorders>
              <w:top w:val="single" w:sz="4" w:space="0" w:color="auto"/>
            </w:tcBorders>
          </w:tcPr>
          <w:p w14:paraId="2F95351B" w14:textId="77777777" w:rsidR="00DD2020" w:rsidRPr="00E92410" w:rsidRDefault="00DD2020">
            <w:r w:rsidRPr="00E92410">
              <w:t>(5)</w:t>
            </w:r>
          </w:p>
        </w:tc>
      </w:tr>
      <w:tr w:rsidR="00DD2020" w:rsidRPr="00E92410" w14:paraId="28686595" w14:textId="77777777">
        <w:tc>
          <w:tcPr>
            <w:tcW w:w="1697" w:type="pct"/>
            <w:tcBorders>
              <w:bottom w:val="single" w:sz="4" w:space="0" w:color="auto"/>
            </w:tcBorders>
          </w:tcPr>
          <w:p w14:paraId="01F31B74" w14:textId="77777777" w:rsidR="00DD2020" w:rsidRPr="00E92410" w:rsidRDefault="00DD2020"/>
        </w:tc>
        <w:tc>
          <w:tcPr>
            <w:tcW w:w="660" w:type="pct"/>
            <w:tcBorders>
              <w:bottom w:val="single" w:sz="4" w:space="0" w:color="auto"/>
            </w:tcBorders>
          </w:tcPr>
          <w:p w14:paraId="6670ED62" w14:textId="77777777" w:rsidR="00DD2020" w:rsidRPr="00E92410" w:rsidRDefault="00DD2020">
            <w:r w:rsidRPr="00E92410">
              <w:t>Any innovation</w:t>
            </w:r>
          </w:p>
        </w:tc>
        <w:tc>
          <w:tcPr>
            <w:tcW w:w="661" w:type="pct"/>
            <w:tcBorders>
              <w:bottom w:val="single" w:sz="4" w:space="0" w:color="auto"/>
            </w:tcBorders>
          </w:tcPr>
          <w:p w14:paraId="154FA3F2" w14:textId="77777777" w:rsidR="00DD2020" w:rsidRPr="00E92410" w:rsidRDefault="00DD2020">
            <w:r w:rsidRPr="00E92410">
              <w:t>New operational processes</w:t>
            </w:r>
          </w:p>
        </w:tc>
        <w:tc>
          <w:tcPr>
            <w:tcW w:w="660" w:type="pct"/>
            <w:tcBorders>
              <w:bottom w:val="single" w:sz="4" w:space="0" w:color="auto"/>
            </w:tcBorders>
          </w:tcPr>
          <w:p w14:paraId="2B512F24" w14:textId="77777777" w:rsidR="00DD2020" w:rsidRPr="00E92410" w:rsidRDefault="00DD2020">
            <w:r w:rsidRPr="00E92410">
              <w:t>New goods or services</w:t>
            </w:r>
          </w:p>
        </w:tc>
        <w:tc>
          <w:tcPr>
            <w:tcW w:w="661" w:type="pct"/>
            <w:tcBorders>
              <w:bottom w:val="single" w:sz="4" w:space="0" w:color="auto"/>
            </w:tcBorders>
          </w:tcPr>
          <w:p w14:paraId="648A42B4" w14:textId="77777777" w:rsidR="00DD2020" w:rsidRPr="00E92410" w:rsidRDefault="00DD2020">
            <w:r w:rsidRPr="00E92410">
              <w:t>New managerial processes</w:t>
            </w:r>
          </w:p>
        </w:tc>
        <w:tc>
          <w:tcPr>
            <w:tcW w:w="661" w:type="pct"/>
            <w:tcBorders>
              <w:bottom w:val="single" w:sz="4" w:space="0" w:color="auto"/>
            </w:tcBorders>
          </w:tcPr>
          <w:p w14:paraId="272DF04C" w14:textId="77777777" w:rsidR="00DD2020" w:rsidRPr="00E92410" w:rsidRDefault="00DD2020">
            <w:r w:rsidRPr="00E92410">
              <w:t>New marketing methods</w:t>
            </w:r>
          </w:p>
        </w:tc>
      </w:tr>
      <w:tr w:rsidR="00DD2020" w:rsidRPr="00E92410" w14:paraId="1BE68BB3" w14:textId="77777777">
        <w:tc>
          <w:tcPr>
            <w:tcW w:w="1697" w:type="pct"/>
            <w:tcBorders>
              <w:top w:val="single" w:sz="4" w:space="0" w:color="auto"/>
            </w:tcBorders>
          </w:tcPr>
          <w:p w14:paraId="480DD407" w14:textId="77777777" w:rsidR="00DD2020" w:rsidRPr="00E92410" w:rsidRDefault="00DD2020">
            <w:r w:rsidRPr="00E92410">
              <w:t>No competitors</w:t>
            </w:r>
          </w:p>
        </w:tc>
        <w:tc>
          <w:tcPr>
            <w:tcW w:w="660" w:type="pct"/>
            <w:tcBorders>
              <w:top w:val="single" w:sz="4" w:space="0" w:color="auto"/>
            </w:tcBorders>
            <w:vAlign w:val="bottom"/>
          </w:tcPr>
          <w:p w14:paraId="558BF4A5" w14:textId="4F1A304A" w:rsidR="00DD2020" w:rsidRPr="00E92410" w:rsidRDefault="00DD2020">
            <w:r w:rsidRPr="00E92410">
              <w:t>0.</w:t>
            </w:r>
            <w:r w:rsidR="00E107EB">
              <w:t>387</w:t>
            </w:r>
            <w:r w:rsidRPr="00E92410">
              <w:t>***</w:t>
            </w:r>
          </w:p>
        </w:tc>
        <w:tc>
          <w:tcPr>
            <w:tcW w:w="661" w:type="pct"/>
            <w:tcBorders>
              <w:top w:val="single" w:sz="4" w:space="0" w:color="auto"/>
            </w:tcBorders>
            <w:vAlign w:val="bottom"/>
          </w:tcPr>
          <w:p w14:paraId="7535518E" w14:textId="0CA99E96" w:rsidR="00DD2020" w:rsidRPr="00E92410" w:rsidRDefault="00DD2020">
            <w:r w:rsidRPr="00E92410">
              <w:t>0.</w:t>
            </w:r>
            <w:r w:rsidR="00A930F9">
              <w:t>188</w:t>
            </w:r>
            <w:r w:rsidRPr="00E92410">
              <w:t>***</w:t>
            </w:r>
          </w:p>
        </w:tc>
        <w:tc>
          <w:tcPr>
            <w:tcW w:w="660" w:type="pct"/>
            <w:tcBorders>
              <w:top w:val="single" w:sz="4" w:space="0" w:color="auto"/>
            </w:tcBorders>
            <w:vAlign w:val="bottom"/>
          </w:tcPr>
          <w:p w14:paraId="198698D8" w14:textId="7AB1668F" w:rsidR="00DD2020" w:rsidRPr="00E92410" w:rsidRDefault="00DD2020">
            <w:r w:rsidRPr="00E92410">
              <w:t>0.1</w:t>
            </w:r>
            <w:r w:rsidR="00D45E83">
              <w:t>69</w:t>
            </w:r>
            <w:r w:rsidRPr="00E92410">
              <w:t>***</w:t>
            </w:r>
          </w:p>
        </w:tc>
        <w:tc>
          <w:tcPr>
            <w:tcW w:w="661" w:type="pct"/>
            <w:tcBorders>
              <w:top w:val="single" w:sz="4" w:space="0" w:color="auto"/>
            </w:tcBorders>
            <w:vAlign w:val="bottom"/>
          </w:tcPr>
          <w:p w14:paraId="5BA24B71" w14:textId="77777777" w:rsidR="00DD2020" w:rsidRPr="00E92410" w:rsidRDefault="00DD2020">
            <w:r w:rsidRPr="00E92410">
              <w:t>0.226***</w:t>
            </w:r>
          </w:p>
        </w:tc>
        <w:tc>
          <w:tcPr>
            <w:tcW w:w="661" w:type="pct"/>
            <w:tcBorders>
              <w:top w:val="single" w:sz="4" w:space="0" w:color="auto"/>
            </w:tcBorders>
            <w:vAlign w:val="bottom"/>
          </w:tcPr>
          <w:p w14:paraId="7C3517FF" w14:textId="4D59A693" w:rsidR="00DD2020" w:rsidRPr="00E92410" w:rsidRDefault="00DD2020">
            <w:r w:rsidRPr="00E92410">
              <w:t>0.11</w:t>
            </w:r>
            <w:r w:rsidR="00631140">
              <w:t>1</w:t>
            </w:r>
            <w:r w:rsidRPr="00E92410">
              <w:t>***</w:t>
            </w:r>
          </w:p>
        </w:tc>
      </w:tr>
      <w:tr w:rsidR="00DD2020" w:rsidRPr="00E92410" w14:paraId="156AD981" w14:textId="77777777">
        <w:tc>
          <w:tcPr>
            <w:tcW w:w="1697" w:type="pct"/>
          </w:tcPr>
          <w:p w14:paraId="768A0174" w14:textId="77777777" w:rsidR="00DD2020" w:rsidRPr="00E92410" w:rsidRDefault="00DD2020"/>
        </w:tc>
        <w:tc>
          <w:tcPr>
            <w:tcW w:w="660" w:type="pct"/>
            <w:vAlign w:val="bottom"/>
          </w:tcPr>
          <w:p w14:paraId="2766BE85" w14:textId="77777777" w:rsidR="00DD2020" w:rsidRPr="00E92410" w:rsidRDefault="00DD2020">
            <w:r w:rsidRPr="00E92410">
              <w:t>(0.011)</w:t>
            </w:r>
          </w:p>
        </w:tc>
        <w:tc>
          <w:tcPr>
            <w:tcW w:w="661" w:type="pct"/>
            <w:vAlign w:val="bottom"/>
          </w:tcPr>
          <w:p w14:paraId="2BA7C611" w14:textId="77777777" w:rsidR="00DD2020" w:rsidRPr="00E92410" w:rsidRDefault="00DD2020">
            <w:r w:rsidRPr="00E92410">
              <w:t>(0.009)</w:t>
            </w:r>
          </w:p>
        </w:tc>
        <w:tc>
          <w:tcPr>
            <w:tcW w:w="660" w:type="pct"/>
            <w:vAlign w:val="bottom"/>
          </w:tcPr>
          <w:p w14:paraId="5E66342B" w14:textId="77777777" w:rsidR="00DD2020" w:rsidRPr="00E92410" w:rsidRDefault="00DD2020">
            <w:r w:rsidRPr="00E92410">
              <w:t>(0.009)</w:t>
            </w:r>
          </w:p>
        </w:tc>
        <w:tc>
          <w:tcPr>
            <w:tcW w:w="661" w:type="pct"/>
            <w:vAlign w:val="bottom"/>
          </w:tcPr>
          <w:p w14:paraId="11EC4617" w14:textId="77777777" w:rsidR="00DD2020" w:rsidRPr="00E92410" w:rsidRDefault="00DD2020">
            <w:r w:rsidRPr="00E92410">
              <w:t>(0.01)</w:t>
            </w:r>
          </w:p>
        </w:tc>
        <w:tc>
          <w:tcPr>
            <w:tcW w:w="661" w:type="pct"/>
            <w:vAlign w:val="bottom"/>
          </w:tcPr>
          <w:p w14:paraId="3049AC7C" w14:textId="77777777" w:rsidR="00DD2020" w:rsidRPr="00E92410" w:rsidRDefault="00DD2020">
            <w:r w:rsidRPr="00E92410">
              <w:t>(0.008)</w:t>
            </w:r>
          </w:p>
        </w:tc>
      </w:tr>
      <w:tr w:rsidR="00DD2020" w:rsidRPr="00E92410" w14:paraId="607CC8DE" w14:textId="77777777">
        <w:tc>
          <w:tcPr>
            <w:tcW w:w="1697" w:type="pct"/>
          </w:tcPr>
          <w:p w14:paraId="3F26F624" w14:textId="77777777" w:rsidR="00DD2020" w:rsidRPr="00E92410" w:rsidRDefault="00DD2020">
            <w:r w:rsidRPr="00E92410">
              <w:t>1-2 competitors</w:t>
            </w:r>
          </w:p>
        </w:tc>
        <w:tc>
          <w:tcPr>
            <w:tcW w:w="660" w:type="pct"/>
            <w:vAlign w:val="bottom"/>
          </w:tcPr>
          <w:p w14:paraId="54BD9978" w14:textId="283027ED" w:rsidR="00DD2020" w:rsidRPr="00E92410" w:rsidRDefault="00DD2020">
            <w:r w:rsidRPr="00E92410">
              <w:t>0.50</w:t>
            </w:r>
            <w:r w:rsidR="001816BA">
              <w:t>7</w:t>
            </w:r>
            <w:r w:rsidRPr="00E92410">
              <w:t>***</w:t>
            </w:r>
          </w:p>
        </w:tc>
        <w:tc>
          <w:tcPr>
            <w:tcW w:w="661" w:type="pct"/>
            <w:vAlign w:val="bottom"/>
          </w:tcPr>
          <w:p w14:paraId="08B57AFF" w14:textId="3D7C4E64" w:rsidR="00DD2020" w:rsidRPr="00E92410" w:rsidRDefault="00DD2020">
            <w:r w:rsidRPr="00E92410">
              <w:t>0.26</w:t>
            </w:r>
            <w:r w:rsidR="00A930F9">
              <w:t>5</w:t>
            </w:r>
            <w:r w:rsidRPr="00E92410">
              <w:t>***</w:t>
            </w:r>
          </w:p>
        </w:tc>
        <w:tc>
          <w:tcPr>
            <w:tcW w:w="660" w:type="pct"/>
            <w:vAlign w:val="bottom"/>
          </w:tcPr>
          <w:p w14:paraId="353C396B" w14:textId="65B1F2A2" w:rsidR="00DD2020" w:rsidRPr="00E92410" w:rsidRDefault="00DD2020">
            <w:r w:rsidRPr="00E92410">
              <w:t>0.2</w:t>
            </w:r>
            <w:r w:rsidR="006642D8">
              <w:t>48</w:t>
            </w:r>
            <w:r w:rsidRPr="00E92410">
              <w:t>***</w:t>
            </w:r>
          </w:p>
        </w:tc>
        <w:tc>
          <w:tcPr>
            <w:tcW w:w="661" w:type="pct"/>
            <w:vAlign w:val="bottom"/>
          </w:tcPr>
          <w:p w14:paraId="62737ADC" w14:textId="4F1E34B1" w:rsidR="00DD2020" w:rsidRPr="00E92410" w:rsidRDefault="00DD2020">
            <w:r w:rsidRPr="00E92410">
              <w:t>0.29</w:t>
            </w:r>
            <w:r w:rsidR="00A930A6">
              <w:t>7</w:t>
            </w:r>
            <w:r w:rsidRPr="00E92410">
              <w:t>***</w:t>
            </w:r>
          </w:p>
        </w:tc>
        <w:tc>
          <w:tcPr>
            <w:tcW w:w="661" w:type="pct"/>
            <w:vAlign w:val="bottom"/>
          </w:tcPr>
          <w:p w14:paraId="033D4495" w14:textId="591AFE44" w:rsidR="00DD2020" w:rsidRPr="00E92410" w:rsidRDefault="00DD2020">
            <w:r w:rsidRPr="00E92410">
              <w:t>0.22</w:t>
            </w:r>
            <w:r w:rsidR="00631140">
              <w:t>4</w:t>
            </w:r>
            <w:r w:rsidRPr="00E92410">
              <w:t>***</w:t>
            </w:r>
          </w:p>
        </w:tc>
      </w:tr>
      <w:tr w:rsidR="00DD2020" w:rsidRPr="00E92410" w14:paraId="1B0931CA" w14:textId="77777777">
        <w:tc>
          <w:tcPr>
            <w:tcW w:w="1697" w:type="pct"/>
          </w:tcPr>
          <w:p w14:paraId="2E32C418" w14:textId="77777777" w:rsidR="00DD2020" w:rsidRPr="00E92410" w:rsidRDefault="00DD2020"/>
        </w:tc>
        <w:tc>
          <w:tcPr>
            <w:tcW w:w="660" w:type="pct"/>
            <w:vAlign w:val="bottom"/>
          </w:tcPr>
          <w:p w14:paraId="6C999639" w14:textId="77777777" w:rsidR="00DD2020" w:rsidRPr="00E92410" w:rsidRDefault="00DD2020">
            <w:r w:rsidRPr="00E92410">
              <w:t>(0.009)</w:t>
            </w:r>
          </w:p>
        </w:tc>
        <w:tc>
          <w:tcPr>
            <w:tcW w:w="661" w:type="pct"/>
            <w:vAlign w:val="bottom"/>
          </w:tcPr>
          <w:p w14:paraId="5B24E9D0" w14:textId="77777777" w:rsidR="00DD2020" w:rsidRPr="00E92410" w:rsidRDefault="00DD2020">
            <w:r w:rsidRPr="00E92410">
              <w:t>(0.008)</w:t>
            </w:r>
          </w:p>
        </w:tc>
        <w:tc>
          <w:tcPr>
            <w:tcW w:w="660" w:type="pct"/>
            <w:vAlign w:val="bottom"/>
          </w:tcPr>
          <w:p w14:paraId="322AB9FD" w14:textId="77777777" w:rsidR="00DD2020" w:rsidRPr="00E92410" w:rsidRDefault="00DD2020">
            <w:r w:rsidRPr="00E92410">
              <w:t>(0.008)</w:t>
            </w:r>
          </w:p>
        </w:tc>
        <w:tc>
          <w:tcPr>
            <w:tcW w:w="661" w:type="pct"/>
            <w:vAlign w:val="bottom"/>
          </w:tcPr>
          <w:p w14:paraId="2C2DE831" w14:textId="77777777" w:rsidR="00DD2020" w:rsidRPr="00E92410" w:rsidRDefault="00DD2020">
            <w:r w:rsidRPr="00E92410">
              <w:t>(0.009)</w:t>
            </w:r>
          </w:p>
        </w:tc>
        <w:tc>
          <w:tcPr>
            <w:tcW w:w="661" w:type="pct"/>
            <w:vAlign w:val="bottom"/>
          </w:tcPr>
          <w:p w14:paraId="78316C00" w14:textId="77777777" w:rsidR="00DD2020" w:rsidRPr="00E92410" w:rsidRDefault="00DD2020">
            <w:r w:rsidRPr="00E92410">
              <w:t>(0.008)</w:t>
            </w:r>
          </w:p>
        </w:tc>
      </w:tr>
      <w:tr w:rsidR="00DD2020" w:rsidRPr="00E92410" w14:paraId="1B0F95A4" w14:textId="77777777">
        <w:tc>
          <w:tcPr>
            <w:tcW w:w="1697" w:type="pct"/>
          </w:tcPr>
          <w:p w14:paraId="4AC7DA8A" w14:textId="77777777" w:rsidR="00DD2020" w:rsidRPr="00E92410" w:rsidRDefault="00DD2020">
            <w:r w:rsidRPr="00E92410">
              <w:t>3-4 competitors</w:t>
            </w:r>
          </w:p>
        </w:tc>
        <w:tc>
          <w:tcPr>
            <w:tcW w:w="660" w:type="pct"/>
            <w:vAlign w:val="bottom"/>
          </w:tcPr>
          <w:p w14:paraId="7017B6E6" w14:textId="4C0FEC39" w:rsidR="00DD2020" w:rsidRPr="00E92410" w:rsidRDefault="00DD2020">
            <w:r w:rsidRPr="00E92410">
              <w:t>0.53</w:t>
            </w:r>
            <w:r w:rsidR="005B460B">
              <w:t>9</w:t>
            </w:r>
            <w:r w:rsidRPr="00E92410">
              <w:t>***</w:t>
            </w:r>
          </w:p>
        </w:tc>
        <w:tc>
          <w:tcPr>
            <w:tcW w:w="661" w:type="pct"/>
            <w:vAlign w:val="bottom"/>
          </w:tcPr>
          <w:p w14:paraId="58D07C6E" w14:textId="7249FF83" w:rsidR="00DD2020" w:rsidRPr="00E92410" w:rsidRDefault="00DD2020">
            <w:r w:rsidRPr="00E92410">
              <w:t>0.29</w:t>
            </w:r>
            <w:r w:rsidR="00A07A16">
              <w:t>8</w:t>
            </w:r>
            <w:r w:rsidRPr="00E92410">
              <w:t>***</w:t>
            </w:r>
          </w:p>
        </w:tc>
        <w:tc>
          <w:tcPr>
            <w:tcW w:w="660" w:type="pct"/>
            <w:vAlign w:val="bottom"/>
          </w:tcPr>
          <w:p w14:paraId="514270EF" w14:textId="5EEECD5D" w:rsidR="00DD2020" w:rsidRPr="00E92410" w:rsidRDefault="00DD2020">
            <w:r w:rsidRPr="00E92410">
              <w:t>0.26</w:t>
            </w:r>
            <w:r w:rsidR="006642D8">
              <w:t>5</w:t>
            </w:r>
            <w:r w:rsidRPr="00E92410">
              <w:t>***</w:t>
            </w:r>
          </w:p>
        </w:tc>
        <w:tc>
          <w:tcPr>
            <w:tcW w:w="661" w:type="pct"/>
            <w:vAlign w:val="bottom"/>
          </w:tcPr>
          <w:p w14:paraId="7CF36D04" w14:textId="77777777" w:rsidR="00DD2020" w:rsidRPr="00E92410" w:rsidRDefault="00DD2020">
            <w:r w:rsidRPr="00E92410">
              <w:t>0.334***</w:t>
            </w:r>
          </w:p>
        </w:tc>
        <w:tc>
          <w:tcPr>
            <w:tcW w:w="661" w:type="pct"/>
            <w:vAlign w:val="bottom"/>
          </w:tcPr>
          <w:p w14:paraId="21AA3DBF" w14:textId="77777777" w:rsidR="00DD2020" w:rsidRPr="00E92410" w:rsidRDefault="00DD2020">
            <w:r w:rsidRPr="00E92410">
              <w:t>0.252***</w:t>
            </w:r>
          </w:p>
        </w:tc>
      </w:tr>
      <w:tr w:rsidR="00DD2020" w:rsidRPr="00E92410" w14:paraId="0A04A6D4" w14:textId="77777777">
        <w:tc>
          <w:tcPr>
            <w:tcW w:w="1697" w:type="pct"/>
          </w:tcPr>
          <w:p w14:paraId="3FEC7278" w14:textId="77777777" w:rsidR="00DD2020" w:rsidRPr="00E92410" w:rsidRDefault="00DD2020"/>
        </w:tc>
        <w:tc>
          <w:tcPr>
            <w:tcW w:w="660" w:type="pct"/>
            <w:vAlign w:val="bottom"/>
          </w:tcPr>
          <w:p w14:paraId="6CF040C7" w14:textId="77777777" w:rsidR="00DD2020" w:rsidRPr="00E92410" w:rsidRDefault="00DD2020">
            <w:r w:rsidRPr="00E92410">
              <w:t>(0.008)</w:t>
            </w:r>
          </w:p>
        </w:tc>
        <w:tc>
          <w:tcPr>
            <w:tcW w:w="661" w:type="pct"/>
            <w:vAlign w:val="bottom"/>
          </w:tcPr>
          <w:p w14:paraId="57F214AB" w14:textId="77777777" w:rsidR="00DD2020" w:rsidRPr="00E92410" w:rsidRDefault="00DD2020">
            <w:r w:rsidRPr="00E92410">
              <w:t>(0.007)</w:t>
            </w:r>
          </w:p>
        </w:tc>
        <w:tc>
          <w:tcPr>
            <w:tcW w:w="660" w:type="pct"/>
            <w:vAlign w:val="bottom"/>
          </w:tcPr>
          <w:p w14:paraId="7D0FC00E" w14:textId="77777777" w:rsidR="00DD2020" w:rsidRPr="00E92410" w:rsidRDefault="00DD2020">
            <w:r w:rsidRPr="00E92410">
              <w:t>(0.006)</w:t>
            </w:r>
          </w:p>
        </w:tc>
        <w:tc>
          <w:tcPr>
            <w:tcW w:w="661" w:type="pct"/>
            <w:vAlign w:val="bottom"/>
          </w:tcPr>
          <w:p w14:paraId="6047D46B" w14:textId="77777777" w:rsidR="00DD2020" w:rsidRPr="00E92410" w:rsidRDefault="00DD2020">
            <w:r w:rsidRPr="00E92410">
              <w:t>(0.007)</w:t>
            </w:r>
          </w:p>
        </w:tc>
        <w:tc>
          <w:tcPr>
            <w:tcW w:w="661" w:type="pct"/>
            <w:vAlign w:val="bottom"/>
          </w:tcPr>
          <w:p w14:paraId="3EACE61C" w14:textId="77777777" w:rsidR="00DD2020" w:rsidRPr="00E92410" w:rsidRDefault="00DD2020">
            <w:r w:rsidRPr="00E92410">
              <w:t>(0.007)</w:t>
            </w:r>
          </w:p>
        </w:tc>
      </w:tr>
      <w:tr w:rsidR="00DD2020" w:rsidRPr="00E92410" w14:paraId="37D03E81" w14:textId="77777777">
        <w:tc>
          <w:tcPr>
            <w:tcW w:w="1697" w:type="pct"/>
          </w:tcPr>
          <w:p w14:paraId="6F80C0A5" w14:textId="77777777" w:rsidR="00DD2020" w:rsidRPr="00E92410" w:rsidRDefault="00DD2020">
            <w:r w:rsidRPr="00E92410">
              <w:t>5+ competitors</w:t>
            </w:r>
          </w:p>
        </w:tc>
        <w:tc>
          <w:tcPr>
            <w:tcW w:w="660" w:type="pct"/>
            <w:vAlign w:val="bottom"/>
          </w:tcPr>
          <w:p w14:paraId="396B6B89" w14:textId="19E5E1C2" w:rsidR="00DD2020" w:rsidRPr="00E92410" w:rsidRDefault="00DD2020">
            <w:r w:rsidRPr="00E92410">
              <w:t>0.5</w:t>
            </w:r>
            <w:r w:rsidR="00874C36">
              <w:t>40</w:t>
            </w:r>
            <w:r w:rsidRPr="00E92410">
              <w:t>***</w:t>
            </w:r>
          </w:p>
        </w:tc>
        <w:tc>
          <w:tcPr>
            <w:tcW w:w="661" w:type="pct"/>
            <w:vAlign w:val="bottom"/>
          </w:tcPr>
          <w:p w14:paraId="69092854" w14:textId="1F2F7E53" w:rsidR="00DD2020" w:rsidRPr="00E92410" w:rsidRDefault="00DD2020">
            <w:r w:rsidRPr="00E92410">
              <w:t>0.28</w:t>
            </w:r>
            <w:r w:rsidR="00D329AE">
              <w:t>8</w:t>
            </w:r>
            <w:r w:rsidRPr="00E92410">
              <w:t>***</w:t>
            </w:r>
          </w:p>
        </w:tc>
        <w:tc>
          <w:tcPr>
            <w:tcW w:w="660" w:type="pct"/>
            <w:vAlign w:val="bottom"/>
          </w:tcPr>
          <w:p w14:paraId="1F5D1C3F" w14:textId="77777777" w:rsidR="00DD2020" w:rsidRPr="00E92410" w:rsidRDefault="00DD2020">
            <w:r w:rsidRPr="00E92410">
              <w:t>0.267***</w:t>
            </w:r>
          </w:p>
        </w:tc>
        <w:tc>
          <w:tcPr>
            <w:tcW w:w="661" w:type="pct"/>
            <w:vAlign w:val="bottom"/>
          </w:tcPr>
          <w:p w14:paraId="52116EC8" w14:textId="77777777" w:rsidR="00DD2020" w:rsidRPr="00E92410" w:rsidRDefault="00DD2020">
            <w:r w:rsidRPr="00E92410">
              <w:t>0.324***</w:t>
            </w:r>
          </w:p>
        </w:tc>
        <w:tc>
          <w:tcPr>
            <w:tcW w:w="661" w:type="pct"/>
            <w:vAlign w:val="bottom"/>
          </w:tcPr>
          <w:p w14:paraId="01D3DCF4" w14:textId="77777777" w:rsidR="00DD2020" w:rsidRPr="00E92410" w:rsidRDefault="00DD2020">
            <w:r w:rsidRPr="00E92410">
              <w:t>0.270***</w:t>
            </w:r>
          </w:p>
        </w:tc>
      </w:tr>
      <w:tr w:rsidR="00DD2020" w:rsidRPr="00E92410" w14:paraId="28414F62" w14:textId="77777777">
        <w:tc>
          <w:tcPr>
            <w:tcW w:w="1697" w:type="pct"/>
          </w:tcPr>
          <w:p w14:paraId="4AFAA7BE" w14:textId="77777777" w:rsidR="00DD2020" w:rsidRPr="00E92410" w:rsidRDefault="00DD2020"/>
        </w:tc>
        <w:tc>
          <w:tcPr>
            <w:tcW w:w="660" w:type="pct"/>
            <w:vAlign w:val="bottom"/>
          </w:tcPr>
          <w:p w14:paraId="0D01FC71" w14:textId="77777777" w:rsidR="00DD2020" w:rsidRPr="00E92410" w:rsidRDefault="00DD2020">
            <w:r w:rsidRPr="00E92410">
              <w:t>(0.004)</w:t>
            </w:r>
          </w:p>
        </w:tc>
        <w:tc>
          <w:tcPr>
            <w:tcW w:w="661" w:type="pct"/>
            <w:vAlign w:val="bottom"/>
          </w:tcPr>
          <w:p w14:paraId="203E3B6B" w14:textId="77777777" w:rsidR="00DD2020" w:rsidRPr="00E92410" w:rsidRDefault="00DD2020">
            <w:r w:rsidRPr="00E92410">
              <w:t>(0.004)</w:t>
            </w:r>
          </w:p>
        </w:tc>
        <w:tc>
          <w:tcPr>
            <w:tcW w:w="660" w:type="pct"/>
            <w:vAlign w:val="bottom"/>
          </w:tcPr>
          <w:p w14:paraId="0E7A2C79" w14:textId="77777777" w:rsidR="00DD2020" w:rsidRPr="00E92410" w:rsidRDefault="00DD2020">
            <w:r w:rsidRPr="00E92410">
              <w:t>(0.003)</w:t>
            </w:r>
          </w:p>
        </w:tc>
        <w:tc>
          <w:tcPr>
            <w:tcW w:w="661" w:type="pct"/>
            <w:vAlign w:val="bottom"/>
          </w:tcPr>
          <w:p w14:paraId="0008E511" w14:textId="77777777" w:rsidR="00DD2020" w:rsidRPr="00E92410" w:rsidRDefault="00DD2020">
            <w:r w:rsidRPr="00E92410">
              <w:t>(0.004)</w:t>
            </w:r>
          </w:p>
        </w:tc>
        <w:tc>
          <w:tcPr>
            <w:tcW w:w="661" w:type="pct"/>
            <w:vAlign w:val="bottom"/>
          </w:tcPr>
          <w:p w14:paraId="70487F1C" w14:textId="77777777" w:rsidR="00DD2020" w:rsidRPr="00E92410" w:rsidRDefault="00DD2020">
            <w:r w:rsidRPr="00E92410">
              <w:t>(0.004)</w:t>
            </w:r>
          </w:p>
        </w:tc>
      </w:tr>
      <w:tr w:rsidR="00DD2020" w:rsidRPr="00E92410" w14:paraId="67970091" w14:textId="77777777">
        <w:tc>
          <w:tcPr>
            <w:tcW w:w="1697" w:type="pct"/>
          </w:tcPr>
          <w:p w14:paraId="6C8F2D9A" w14:textId="77777777" w:rsidR="00DD2020" w:rsidRPr="00E92410" w:rsidRDefault="00DD2020">
            <w:r>
              <w:t>Firm level c</w:t>
            </w:r>
            <w:r w:rsidRPr="00E92410">
              <w:t>ontrol variables</w:t>
            </w:r>
          </w:p>
        </w:tc>
        <w:tc>
          <w:tcPr>
            <w:tcW w:w="660" w:type="pct"/>
            <w:vAlign w:val="bottom"/>
          </w:tcPr>
          <w:p w14:paraId="4BD56654" w14:textId="77777777" w:rsidR="00DD2020" w:rsidRPr="00E92410" w:rsidRDefault="00DD2020">
            <w:r w:rsidRPr="00E92410">
              <w:t>Yes</w:t>
            </w:r>
          </w:p>
        </w:tc>
        <w:tc>
          <w:tcPr>
            <w:tcW w:w="661" w:type="pct"/>
            <w:vAlign w:val="bottom"/>
          </w:tcPr>
          <w:p w14:paraId="54C3883F" w14:textId="77777777" w:rsidR="00DD2020" w:rsidRPr="00E92410" w:rsidRDefault="00DD2020">
            <w:r w:rsidRPr="00E92410">
              <w:t>Yes</w:t>
            </w:r>
          </w:p>
        </w:tc>
        <w:tc>
          <w:tcPr>
            <w:tcW w:w="660" w:type="pct"/>
            <w:vAlign w:val="bottom"/>
          </w:tcPr>
          <w:p w14:paraId="6C4EA9A8" w14:textId="77777777" w:rsidR="00DD2020" w:rsidRPr="00E92410" w:rsidRDefault="00DD2020">
            <w:r w:rsidRPr="00E92410">
              <w:t>Yes</w:t>
            </w:r>
          </w:p>
        </w:tc>
        <w:tc>
          <w:tcPr>
            <w:tcW w:w="661" w:type="pct"/>
            <w:vAlign w:val="bottom"/>
          </w:tcPr>
          <w:p w14:paraId="20CF8AE5" w14:textId="77777777" w:rsidR="00DD2020" w:rsidRPr="00E92410" w:rsidRDefault="00DD2020">
            <w:r w:rsidRPr="00E92410">
              <w:t>Yes</w:t>
            </w:r>
          </w:p>
        </w:tc>
        <w:tc>
          <w:tcPr>
            <w:tcW w:w="661" w:type="pct"/>
            <w:vAlign w:val="bottom"/>
          </w:tcPr>
          <w:p w14:paraId="55102637" w14:textId="77777777" w:rsidR="00DD2020" w:rsidRPr="00E92410" w:rsidRDefault="00DD2020">
            <w:r w:rsidRPr="00E92410">
              <w:t>Yes</w:t>
            </w:r>
          </w:p>
        </w:tc>
      </w:tr>
      <w:tr w:rsidR="00DD2020" w:rsidRPr="00E92410" w14:paraId="25654B63" w14:textId="77777777">
        <w:tc>
          <w:tcPr>
            <w:tcW w:w="1697" w:type="pct"/>
          </w:tcPr>
          <w:p w14:paraId="26FDACCB" w14:textId="77777777" w:rsidR="00DD2020" w:rsidRPr="00E92410" w:rsidRDefault="00DD2020">
            <w:r w:rsidRPr="00E92410">
              <w:t>Industry fixed effects</w:t>
            </w:r>
          </w:p>
        </w:tc>
        <w:tc>
          <w:tcPr>
            <w:tcW w:w="660" w:type="pct"/>
            <w:vAlign w:val="bottom"/>
          </w:tcPr>
          <w:p w14:paraId="6CDAB3B9" w14:textId="77777777" w:rsidR="00DD2020" w:rsidRPr="00E92410" w:rsidRDefault="00DD2020">
            <w:r w:rsidRPr="00E92410">
              <w:t>Yes</w:t>
            </w:r>
          </w:p>
        </w:tc>
        <w:tc>
          <w:tcPr>
            <w:tcW w:w="661" w:type="pct"/>
            <w:vAlign w:val="bottom"/>
          </w:tcPr>
          <w:p w14:paraId="1D2DA117" w14:textId="77777777" w:rsidR="00DD2020" w:rsidRPr="00E92410" w:rsidRDefault="00DD2020">
            <w:r w:rsidRPr="00E92410">
              <w:t>Yes</w:t>
            </w:r>
          </w:p>
        </w:tc>
        <w:tc>
          <w:tcPr>
            <w:tcW w:w="660" w:type="pct"/>
            <w:vAlign w:val="bottom"/>
          </w:tcPr>
          <w:p w14:paraId="7A89C3F2" w14:textId="77777777" w:rsidR="00DD2020" w:rsidRPr="00E92410" w:rsidRDefault="00DD2020">
            <w:r w:rsidRPr="00E92410">
              <w:t>Yes</w:t>
            </w:r>
          </w:p>
        </w:tc>
        <w:tc>
          <w:tcPr>
            <w:tcW w:w="661" w:type="pct"/>
            <w:vAlign w:val="bottom"/>
          </w:tcPr>
          <w:p w14:paraId="122F1DE4" w14:textId="77777777" w:rsidR="00DD2020" w:rsidRPr="00E92410" w:rsidRDefault="00DD2020">
            <w:r w:rsidRPr="00E92410">
              <w:t>Yes</w:t>
            </w:r>
          </w:p>
        </w:tc>
        <w:tc>
          <w:tcPr>
            <w:tcW w:w="661" w:type="pct"/>
            <w:vAlign w:val="bottom"/>
          </w:tcPr>
          <w:p w14:paraId="349A7AC9" w14:textId="77777777" w:rsidR="00DD2020" w:rsidRPr="00E92410" w:rsidRDefault="00DD2020">
            <w:r w:rsidRPr="00E92410">
              <w:t>Yes</w:t>
            </w:r>
          </w:p>
        </w:tc>
      </w:tr>
      <w:tr w:rsidR="00DD2020" w:rsidRPr="00E92410" w14:paraId="64C6FB6A" w14:textId="77777777">
        <w:tc>
          <w:tcPr>
            <w:tcW w:w="1697" w:type="pct"/>
          </w:tcPr>
          <w:p w14:paraId="3A09CAB0" w14:textId="77777777" w:rsidR="00DD2020" w:rsidRPr="00E92410" w:rsidRDefault="00DD2020">
            <w:r w:rsidRPr="00E92410">
              <w:t>Year fixed effects</w:t>
            </w:r>
          </w:p>
        </w:tc>
        <w:tc>
          <w:tcPr>
            <w:tcW w:w="660" w:type="pct"/>
            <w:vAlign w:val="bottom"/>
          </w:tcPr>
          <w:p w14:paraId="24B1A4D8" w14:textId="77777777" w:rsidR="00DD2020" w:rsidRPr="00E92410" w:rsidRDefault="00DD2020">
            <w:r w:rsidRPr="00E92410">
              <w:t>Yes</w:t>
            </w:r>
          </w:p>
        </w:tc>
        <w:tc>
          <w:tcPr>
            <w:tcW w:w="661" w:type="pct"/>
            <w:vAlign w:val="bottom"/>
          </w:tcPr>
          <w:p w14:paraId="4E0DC351" w14:textId="77777777" w:rsidR="00DD2020" w:rsidRPr="00E92410" w:rsidRDefault="00DD2020">
            <w:r w:rsidRPr="00E92410">
              <w:t>Yes</w:t>
            </w:r>
          </w:p>
        </w:tc>
        <w:tc>
          <w:tcPr>
            <w:tcW w:w="660" w:type="pct"/>
            <w:vAlign w:val="bottom"/>
          </w:tcPr>
          <w:p w14:paraId="010AD3E5" w14:textId="77777777" w:rsidR="00DD2020" w:rsidRPr="00E92410" w:rsidRDefault="00DD2020">
            <w:r w:rsidRPr="00E92410">
              <w:t>Yes</w:t>
            </w:r>
          </w:p>
        </w:tc>
        <w:tc>
          <w:tcPr>
            <w:tcW w:w="661" w:type="pct"/>
            <w:vAlign w:val="bottom"/>
          </w:tcPr>
          <w:p w14:paraId="176FA706" w14:textId="77777777" w:rsidR="00DD2020" w:rsidRPr="00E92410" w:rsidRDefault="00DD2020">
            <w:r w:rsidRPr="00E92410">
              <w:t>Yes</w:t>
            </w:r>
          </w:p>
        </w:tc>
        <w:tc>
          <w:tcPr>
            <w:tcW w:w="661" w:type="pct"/>
            <w:vAlign w:val="bottom"/>
          </w:tcPr>
          <w:p w14:paraId="316758D0" w14:textId="77777777" w:rsidR="00DD2020" w:rsidRPr="00E92410" w:rsidRDefault="00DD2020">
            <w:r w:rsidRPr="00E92410">
              <w:t>Yes</w:t>
            </w:r>
          </w:p>
        </w:tc>
      </w:tr>
      <w:tr w:rsidR="00DD2020" w:rsidRPr="00E92410" w14:paraId="0FA33818" w14:textId="77777777">
        <w:tc>
          <w:tcPr>
            <w:tcW w:w="1697" w:type="pct"/>
          </w:tcPr>
          <w:p w14:paraId="40A7FD84" w14:textId="77777777" w:rsidR="00DD2020" w:rsidRPr="00E92410" w:rsidRDefault="00DD2020">
            <w:r w:rsidRPr="00E92410">
              <w:t>Observations</w:t>
            </w:r>
          </w:p>
        </w:tc>
        <w:tc>
          <w:tcPr>
            <w:tcW w:w="660" w:type="pct"/>
            <w:vAlign w:val="bottom"/>
          </w:tcPr>
          <w:p w14:paraId="07B5979C" w14:textId="56B0E646" w:rsidR="00DD2020" w:rsidRPr="00E92410" w:rsidRDefault="00DD2020">
            <w:r w:rsidRPr="00E92410">
              <w:t>22,</w:t>
            </w:r>
            <w:r w:rsidR="0072022C">
              <w:t>894</w:t>
            </w:r>
          </w:p>
        </w:tc>
        <w:tc>
          <w:tcPr>
            <w:tcW w:w="661" w:type="pct"/>
            <w:vAlign w:val="bottom"/>
          </w:tcPr>
          <w:p w14:paraId="5C85E94D" w14:textId="4A7FD5AC" w:rsidR="00DD2020" w:rsidRPr="00E92410" w:rsidRDefault="00DD2020">
            <w:r w:rsidRPr="00E92410">
              <w:t>22,</w:t>
            </w:r>
            <w:r w:rsidR="00024FD0">
              <w:t>885</w:t>
            </w:r>
          </w:p>
        </w:tc>
        <w:tc>
          <w:tcPr>
            <w:tcW w:w="660" w:type="pct"/>
            <w:vAlign w:val="bottom"/>
          </w:tcPr>
          <w:p w14:paraId="18542091" w14:textId="5807970E" w:rsidR="00DD2020" w:rsidRPr="00E92410" w:rsidRDefault="00DD2020">
            <w:r w:rsidRPr="00E92410">
              <w:t>2</w:t>
            </w:r>
            <w:r w:rsidR="00024FD0">
              <w:t>4</w:t>
            </w:r>
            <w:r w:rsidRPr="00E92410">
              <w:t>,</w:t>
            </w:r>
            <w:r w:rsidR="00024FD0">
              <w:t>051</w:t>
            </w:r>
          </w:p>
        </w:tc>
        <w:tc>
          <w:tcPr>
            <w:tcW w:w="661" w:type="pct"/>
            <w:vAlign w:val="bottom"/>
          </w:tcPr>
          <w:p w14:paraId="6E721C3C" w14:textId="4C8957FE" w:rsidR="00DD2020" w:rsidRPr="00E92410" w:rsidRDefault="00DD2020">
            <w:r w:rsidRPr="00E92410">
              <w:t>22,</w:t>
            </w:r>
            <w:r w:rsidR="00F973E1">
              <w:t>824</w:t>
            </w:r>
          </w:p>
        </w:tc>
        <w:tc>
          <w:tcPr>
            <w:tcW w:w="661" w:type="pct"/>
            <w:vAlign w:val="bottom"/>
          </w:tcPr>
          <w:p w14:paraId="2AB22787" w14:textId="474CC7E4" w:rsidR="00DD2020" w:rsidRPr="00E92410" w:rsidRDefault="00DD2020">
            <w:r w:rsidRPr="00E92410">
              <w:t>22,</w:t>
            </w:r>
            <w:r w:rsidR="00A61A6B">
              <w:t>682</w:t>
            </w:r>
          </w:p>
        </w:tc>
      </w:tr>
      <w:tr w:rsidR="00DD2020" w:rsidRPr="00E92410" w14:paraId="27B2A8AF" w14:textId="77777777">
        <w:tc>
          <w:tcPr>
            <w:tcW w:w="1697" w:type="pct"/>
            <w:tcBorders>
              <w:bottom w:val="single" w:sz="4" w:space="0" w:color="auto"/>
            </w:tcBorders>
          </w:tcPr>
          <w:p w14:paraId="03ABA03A" w14:textId="77777777" w:rsidR="00DD2020" w:rsidRPr="00E92410" w:rsidRDefault="00DD2020">
            <w:r w:rsidRPr="00E92410">
              <w:t>Pseudo-</w:t>
            </w:r>
            <m:oMath>
              <m:sSup>
                <m:sSupPr>
                  <m:ctrlPr>
                    <w:rPr>
                      <w:rFonts w:ascii="Cambria Math" w:hAnsi="Cambria Math"/>
                      <w:i/>
                    </w:rPr>
                  </m:ctrlPr>
                </m:sSupPr>
                <m:e>
                  <m:r>
                    <w:rPr>
                      <w:rFonts w:ascii="Cambria Math" w:hAnsi="Cambria Math"/>
                    </w:rPr>
                    <m:t>R</m:t>
                  </m:r>
                </m:e>
                <m:sup>
                  <m:r>
                    <w:rPr>
                      <w:rFonts w:ascii="Cambria Math" w:hAnsi="Cambria Math"/>
                    </w:rPr>
                    <m:t>2</m:t>
                  </m:r>
                </m:sup>
              </m:sSup>
            </m:oMath>
          </w:p>
        </w:tc>
        <w:tc>
          <w:tcPr>
            <w:tcW w:w="660" w:type="pct"/>
            <w:tcBorders>
              <w:bottom w:val="single" w:sz="4" w:space="0" w:color="auto"/>
            </w:tcBorders>
            <w:vAlign w:val="bottom"/>
          </w:tcPr>
          <w:p w14:paraId="6A2E8AB0" w14:textId="77777777" w:rsidR="00DD2020" w:rsidRPr="00E92410" w:rsidRDefault="00DD2020">
            <w:r w:rsidRPr="00E92410">
              <w:t>0.123</w:t>
            </w:r>
          </w:p>
        </w:tc>
        <w:tc>
          <w:tcPr>
            <w:tcW w:w="661" w:type="pct"/>
            <w:tcBorders>
              <w:bottom w:val="single" w:sz="4" w:space="0" w:color="auto"/>
            </w:tcBorders>
            <w:vAlign w:val="bottom"/>
          </w:tcPr>
          <w:p w14:paraId="168B75EE" w14:textId="77777777" w:rsidR="00DD2020" w:rsidRPr="00E92410" w:rsidRDefault="00DD2020">
            <w:r w:rsidRPr="00E92410">
              <w:t>0.118</w:t>
            </w:r>
          </w:p>
        </w:tc>
        <w:tc>
          <w:tcPr>
            <w:tcW w:w="660" w:type="pct"/>
            <w:tcBorders>
              <w:bottom w:val="single" w:sz="4" w:space="0" w:color="auto"/>
            </w:tcBorders>
            <w:vAlign w:val="bottom"/>
          </w:tcPr>
          <w:p w14:paraId="7F37E5D4" w14:textId="77777777" w:rsidR="00DD2020" w:rsidRPr="00E92410" w:rsidRDefault="00DD2020">
            <w:r w:rsidRPr="00E92410">
              <w:t>0.145</w:t>
            </w:r>
          </w:p>
        </w:tc>
        <w:tc>
          <w:tcPr>
            <w:tcW w:w="661" w:type="pct"/>
            <w:tcBorders>
              <w:bottom w:val="single" w:sz="4" w:space="0" w:color="auto"/>
            </w:tcBorders>
            <w:vAlign w:val="bottom"/>
          </w:tcPr>
          <w:p w14:paraId="1E78E2F7" w14:textId="77777777" w:rsidR="00DD2020" w:rsidRPr="00E92410" w:rsidRDefault="00DD2020">
            <w:r w:rsidRPr="00E92410">
              <w:t>0.121</w:t>
            </w:r>
          </w:p>
        </w:tc>
        <w:tc>
          <w:tcPr>
            <w:tcW w:w="661" w:type="pct"/>
            <w:tcBorders>
              <w:bottom w:val="single" w:sz="4" w:space="0" w:color="auto"/>
            </w:tcBorders>
            <w:vAlign w:val="bottom"/>
          </w:tcPr>
          <w:p w14:paraId="1EA7D568" w14:textId="77777777" w:rsidR="00DD2020" w:rsidRPr="00E92410" w:rsidRDefault="00DD2020">
            <w:r w:rsidRPr="00E92410">
              <w:t>0.118</w:t>
            </w:r>
          </w:p>
        </w:tc>
      </w:tr>
    </w:tbl>
    <w:p w14:paraId="0BFE1A5E" w14:textId="5A6087A4" w:rsidR="00807EDA" w:rsidRDefault="00DD2020" w:rsidP="00AA030B">
      <w:pPr>
        <w:pStyle w:val="Tablenote"/>
      </w:pPr>
      <w:r w:rsidRPr="00E92410">
        <w:t xml:space="preserve">Note: </w:t>
      </w:r>
      <w:r w:rsidR="003F1B24">
        <w:t>Robust s</w:t>
      </w:r>
      <w:r w:rsidRPr="00E92410">
        <w:t>tandard errors in parentheses. *** p&lt;0.01, ** p&lt;0.05, * p&lt;0.1. The coefficients are marginal effects. The complete set of results, along with alternative model specifications are included in the supplementary materials. Source: Treasury analysis of BLADE data.</w:t>
      </w:r>
    </w:p>
    <w:p w14:paraId="44408F32" w14:textId="77777777" w:rsidR="00807EDA" w:rsidRDefault="00807EDA">
      <w:pPr>
        <w:spacing w:after="0" w:line="240" w:lineRule="auto"/>
        <w:jc w:val="left"/>
        <w:rPr>
          <w:szCs w:val="14"/>
        </w:rPr>
      </w:pPr>
      <w:r>
        <w:br w:type="page"/>
      </w:r>
    </w:p>
    <w:p w14:paraId="1E7958D6" w14:textId="5C740409" w:rsidR="009D3362" w:rsidRPr="009D3362" w:rsidRDefault="009D3362" w:rsidP="009C0F24">
      <w:pPr>
        <w:pStyle w:val="Charttitle"/>
        <w:spacing w:after="0"/>
      </w:pPr>
      <w:r w:rsidRPr="00C218EB">
        <w:lastRenderedPageBreak/>
        <w:t xml:space="preserve">Figure </w:t>
      </w:r>
      <w:r>
        <w:t>5</w:t>
      </w:r>
      <w:r w:rsidRPr="00C218EB">
        <w:t xml:space="preserve">. Predicted probability of innovation by </w:t>
      </w:r>
      <w:r>
        <w:t>perceived competition</w:t>
      </w:r>
      <w:r w:rsidRPr="00C218EB">
        <w:t xml:space="preserve"> (probit model)</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705"/>
      </w:tblGrid>
      <w:tr w:rsidR="009D3362" w14:paraId="2B9EC66E" w14:textId="77777777" w:rsidTr="00E72D00">
        <w:tc>
          <w:tcPr>
            <w:tcW w:w="4928" w:type="dxa"/>
          </w:tcPr>
          <w:p w14:paraId="389EE884" w14:textId="5721FDA2" w:rsidR="009D3362" w:rsidRDefault="009D3362" w:rsidP="009C0F24">
            <w:pPr>
              <w:pStyle w:val="Charttitle"/>
              <w:spacing w:before="0" w:after="0"/>
            </w:pPr>
            <w:r>
              <w:t xml:space="preserve">New Goods and Services </w:t>
            </w:r>
          </w:p>
        </w:tc>
        <w:tc>
          <w:tcPr>
            <w:tcW w:w="4700" w:type="dxa"/>
          </w:tcPr>
          <w:p w14:paraId="434AE778" w14:textId="2AAD0CB9" w:rsidR="009D3362" w:rsidRDefault="009D3362" w:rsidP="009C0F24">
            <w:pPr>
              <w:pStyle w:val="Charttitle"/>
              <w:spacing w:before="0" w:after="0"/>
            </w:pPr>
            <w:r w:rsidRPr="00887553">
              <w:t>New Processes Innovation</w:t>
            </w:r>
          </w:p>
        </w:tc>
      </w:tr>
      <w:tr w:rsidR="009D3362" w14:paraId="0DF3C5FE" w14:textId="77777777" w:rsidTr="00E72D00">
        <w:tc>
          <w:tcPr>
            <w:tcW w:w="4928" w:type="dxa"/>
          </w:tcPr>
          <w:p w14:paraId="052F29A7" w14:textId="5FC2FF9F" w:rsidR="009D3362" w:rsidRDefault="009D3362" w:rsidP="003D6CF2">
            <w:pPr>
              <w:jc w:val="center"/>
            </w:pPr>
            <w:r w:rsidRPr="00E65FC7">
              <w:rPr>
                <w:rStyle w:val="TablenoteChar"/>
                <w:rFonts w:eastAsiaTheme="minorEastAsia"/>
                <w:noProof/>
              </w:rPr>
              <w:drawing>
                <wp:inline distT="0" distB="0" distL="0" distR="0" wp14:anchorId="56D54F53" wp14:editId="505117D1">
                  <wp:extent cx="2838450" cy="1702834"/>
                  <wp:effectExtent l="0" t="0" r="0" b="0"/>
                  <wp:docPr id="543996183" name="Picture 1" descr="Figure 5. Panels A-D - Predicted probability of innovation by perceived competition (all innovation types)&#10;Panel A: New goods and services - Line chart showing the relationship between competition and goods and services innovation. The probability of introducing new goods and services increases with competition and then levels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96183" name="Picture 1" descr="Figure 5. Panels A-D - Predicted probability of innovation by perceived competition (all innovation types)&#10;Panel A: New goods and services - Line chart showing the relationship between competition and goods and services innovation. The probability of introducing new goods and services increases with competition and then levels off"/>
                          <pic:cNvPicPr/>
                        </pic:nvPicPr>
                        <pic:blipFill>
                          <a:blip r:embed="rId21"/>
                          <a:stretch>
                            <a:fillRect/>
                          </a:stretch>
                        </pic:blipFill>
                        <pic:spPr>
                          <a:xfrm>
                            <a:off x="0" y="0"/>
                            <a:ext cx="2849052" cy="1709194"/>
                          </a:xfrm>
                          <a:prstGeom prst="rect">
                            <a:avLst/>
                          </a:prstGeom>
                        </pic:spPr>
                      </pic:pic>
                    </a:graphicData>
                  </a:graphic>
                </wp:inline>
              </w:drawing>
            </w:r>
          </w:p>
        </w:tc>
        <w:tc>
          <w:tcPr>
            <w:tcW w:w="4700" w:type="dxa"/>
          </w:tcPr>
          <w:p w14:paraId="7D5DAE47" w14:textId="3B033016" w:rsidR="009D3362" w:rsidRDefault="009D3362" w:rsidP="003D6CF2">
            <w:pPr>
              <w:jc w:val="center"/>
            </w:pPr>
            <w:r w:rsidRPr="00887553">
              <w:rPr>
                <w:noProof/>
              </w:rPr>
              <w:drawing>
                <wp:inline distT="0" distB="0" distL="0" distR="0" wp14:anchorId="04587D1C" wp14:editId="51C448BA">
                  <wp:extent cx="2838450" cy="1661604"/>
                  <wp:effectExtent l="0" t="0" r="0" b="0"/>
                  <wp:docPr id="1691652826" name="Picture 1" descr="Panel B: New process innovation - Line chart showing the relationship between competition and process innovation. The probability of process innovation increases with competition and then levels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52826" name="Picture 1" descr="Panel B: New process innovation - Line chart showing the relationship between competition and process innovation. The probability of process innovation increases with competition and then levels off"/>
                          <pic:cNvPicPr/>
                        </pic:nvPicPr>
                        <pic:blipFill>
                          <a:blip r:embed="rId22"/>
                          <a:stretch>
                            <a:fillRect/>
                          </a:stretch>
                        </pic:blipFill>
                        <pic:spPr>
                          <a:xfrm>
                            <a:off x="0" y="0"/>
                            <a:ext cx="2849545" cy="1668099"/>
                          </a:xfrm>
                          <a:prstGeom prst="rect">
                            <a:avLst/>
                          </a:prstGeom>
                        </pic:spPr>
                      </pic:pic>
                    </a:graphicData>
                  </a:graphic>
                </wp:inline>
              </w:drawing>
            </w:r>
          </w:p>
        </w:tc>
      </w:tr>
      <w:tr w:rsidR="009D3362" w14:paraId="4ED50F71" w14:textId="77777777" w:rsidTr="00E72D00">
        <w:tc>
          <w:tcPr>
            <w:tcW w:w="4928" w:type="dxa"/>
          </w:tcPr>
          <w:p w14:paraId="5BFF5FD6" w14:textId="7079A235" w:rsidR="009D3362" w:rsidRDefault="009D3362" w:rsidP="009C0F24">
            <w:pPr>
              <w:pStyle w:val="Charttitle"/>
              <w:spacing w:before="0" w:after="0"/>
            </w:pPr>
            <w:r w:rsidRPr="00887553">
              <w:t>New Marketing</w:t>
            </w:r>
          </w:p>
        </w:tc>
        <w:tc>
          <w:tcPr>
            <w:tcW w:w="4700" w:type="dxa"/>
          </w:tcPr>
          <w:p w14:paraId="6F0C8847" w14:textId="267D17F8" w:rsidR="009D3362" w:rsidRDefault="009D3362" w:rsidP="009C0F24">
            <w:pPr>
              <w:pStyle w:val="Charttitle"/>
              <w:spacing w:before="0" w:after="0"/>
            </w:pPr>
            <w:r w:rsidRPr="0022791A">
              <w:t>New Organisation</w:t>
            </w:r>
          </w:p>
        </w:tc>
      </w:tr>
      <w:tr w:rsidR="009D3362" w14:paraId="3C852BC0" w14:textId="77777777" w:rsidTr="00E72D00">
        <w:tc>
          <w:tcPr>
            <w:tcW w:w="4928" w:type="dxa"/>
          </w:tcPr>
          <w:p w14:paraId="246A9F2B" w14:textId="5D5D462F" w:rsidR="009D3362" w:rsidRPr="00887553" w:rsidRDefault="009D3362" w:rsidP="003D6CF2">
            <w:pPr>
              <w:jc w:val="center"/>
              <w:rPr>
                <w:b/>
                <w:bCs/>
              </w:rPr>
            </w:pPr>
            <w:r w:rsidRPr="00180FEE">
              <w:rPr>
                <w:noProof/>
              </w:rPr>
              <w:drawing>
                <wp:inline distT="0" distB="0" distL="0" distR="0" wp14:anchorId="5E5A5755" wp14:editId="4AD5450D">
                  <wp:extent cx="3105150" cy="1802290"/>
                  <wp:effectExtent l="0" t="0" r="0" b="7620"/>
                  <wp:docPr id="684723701" name="Picture 1" descr="Panel C: New marketing methods - Line chart showing the relationship between competition and marketing innovation. Marketing innovation becomes more likely as competitive pressure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23701" name="Picture 1" descr="Panel C: New marketing methods - Line chart showing the relationship between competition and marketing innovation. Marketing innovation becomes more likely as competitive pressure increases."/>
                          <pic:cNvPicPr/>
                        </pic:nvPicPr>
                        <pic:blipFill>
                          <a:blip r:embed="rId23"/>
                          <a:stretch>
                            <a:fillRect/>
                          </a:stretch>
                        </pic:blipFill>
                        <pic:spPr>
                          <a:xfrm>
                            <a:off x="0" y="0"/>
                            <a:ext cx="3118890" cy="1810265"/>
                          </a:xfrm>
                          <a:prstGeom prst="rect">
                            <a:avLst/>
                          </a:prstGeom>
                        </pic:spPr>
                      </pic:pic>
                    </a:graphicData>
                  </a:graphic>
                </wp:inline>
              </w:drawing>
            </w:r>
          </w:p>
        </w:tc>
        <w:tc>
          <w:tcPr>
            <w:tcW w:w="4700" w:type="dxa"/>
          </w:tcPr>
          <w:p w14:paraId="2969022C" w14:textId="451C6C37" w:rsidR="009D3362" w:rsidRPr="0022791A" w:rsidRDefault="009D3362" w:rsidP="003D6CF2">
            <w:pPr>
              <w:jc w:val="center"/>
              <w:rPr>
                <w:b/>
                <w:bCs/>
              </w:rPr>
            </w:pPr>
            <w:r w:rsidRPr="00EE3A02">
              <w:rPr>
                <w:noProof/>
              </w:rPr>
              <w:drawing>
                <wp:inline distT="0" distB="0" distL="0" distR="0" wp14:anchorId="6E705E28" wp14:editId="67D91F1D">
                  <wp:extent cx="2955340" cy="1759920"/>
                  <wp:effectExtent l="0" t="0" r="0" b="0"/>
                  <wp:docPr id="723360706" name="Picture 1" descr="Panel D: New organisational methods - Line chart showing the relationship between competition and organisational innovation. Organisational innovation increases with competition up to moderate levels before flattening slightly at higher levels of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60706" name="Picture 1" descr="Panel D: New organisational methods - Line chart showing the relationship between competition and organisational innovation. Organisational innovation increases with competition up to moderate levels before flattening slightly at higher levels of competition"/>
                          <pic:cNvPicPr/>
                        </pic:nvPicPr>
                        <pic:blipFill>
                          <a:blip r:embed="rId24"/>
                          <a:stretch>
                            <a:fillRect/>
                          </a:stretch>
                        </pic:blipFill>
                        <pic:spPr>
                          <a:xfrm>
                            <a:off x="0" y="0"/>
                            <a:ext cx="2969277" cy="1768220"/>
                          </a:xfrm>
                          <a:prstGeom prst="rect">
                            <a:avLst/>
                          </a:prstGeom>
                        </pic:spPr>
                      </pic:pic>
                    </a:graphicData>
                  </a:graphic>
                </wp:inline>
              </w:drawing>
            </w:r>
          </w:p>
        </w:tc>
      </w:tr>
      <w:tr w:rsidR="009D3362" w14:paraId="34C8A10D" w14:textId="77777777" w:rsidTr="00E72D00">
        <w:tc>
          <w:tcPr>
            <w:tcW w:w="9628" w:type="dxa"/>
            <w:gridSpan w:val="2"/>
          </w:tcPr>
          <w:p w14:paraId="4EA1EB31" w14:textId="0F969CF6" w:rsidR="009D3362" w:rsidRPr="009C0F24" w:rsidRDefault="009D3362" w:rsidP="009C0F24">
            <w:pPr>
              <w:pStyle w:val="Chartsource"/>
            </w:pPr>
            <w:r w:rsidRPr="009C0F24">
              <w:rPr>
                <w:rStyle w:val="TablenoteChar"/>
                <w:rFonts w:eastAsiaTheme="minorEastAsia"/>
                <w:szCs w:val="20"/>
              </w:rPr>
              <w:t>Note: Predicted probabilities are based on probit estimations of innovation outcomes on the BCS competition categories. Shaded areas show 95% confidence intervals. Source: Treasury calculations from BLADE microdata.</w:t>
            </w:r>
          </w:p>
        </w:tc>
      </w:tr>
    </w:tbl>
    <w:p w14:paraId="3AE49094" w14:textId="5BF2B051" w:rsidR="00BE06E4" w:rsidRDefault="001469A1" w:rsidP="009C0F24">
      <w:pPr>
        <w:pStyle w:val="Heading2"/>
        <w:spacing w:before="240"/>
      </w:pPr>
      <w:r>
        <w:t xml:space="preserve">Acknowledgments </w:t>
      </w:r>
    </w:p>
    <w:p w14:paraId="3DDCE64C" w14:textId="40A6E0E7" w:rsidR="00805781" w:rsidRPr="00805781" w:rsidRDefault="00E45317" w:rsidP="002A209A">
      <w:pPr>
        <w:pStyle w:val="NoSpacing"/>
        <w:spacing w:after="240"/>
        <w:rPr>
          <w:rFonts w:ascii="Calibri Light" w:eastAsia="Times New Roman" w:hAnsi="Calibri Light" w:cs="Times New Roman"/>
          <w:sz w:val="20"/>
          <w:szCs w:val="20"/>
          <w:lang w:val="en-AU" w:eastAsia="en-AU"/>
        </w:rPr>
      </w:pPr>
      <w:r w:rsidRPr="00805781">
        <w:rPr>
          <w:rFonts w:ascii="Calibri Light" w:eastAsia="Times New Roman" w:hAnsi="Calibri Light" w:cs="Times New Roman"/>
          <w:sz w:val="20"/>
          <w:szCs w:val="20"/>
          <w:lang w:val="en-AU" w:eastAsia="en-AU"/>
        </w:rPr>
        <w:t xml:space="preserve">We are grateful to Professor Petr </w:t>
      </w:r>
      <w:r w:rsidR="00805781" w:rsidRPr="00805781">
        <w:rPr>
          <w:rFonts w:ascii="Calibri Light" w:eastAsia="Times New Roman" w:hAnsi="Calibri Light" w:cs="Times New Roman"/>
          <w:sz w:val="20"/>
          <w:szCs w:val="20"/>
          <w:lang w:val="en-AU" w:eastAsia="en-AU"/>
        </w:rPr>
        <w:t>Sedlacek</w:t>
      </w:r>
      <w:r w:rsidRPr="00805781">
        <w:rPr>
          <w:rFonts w:ascii="Calibri Light" w:eastAsia="Times New Roman" w:hAnsi="Calibri Light" w:cs="Times New Roman"/>
          <w:sz w:val="20"/>
          <w:szCs w:val="20"/>
          <w:lang w:val="en-AU" w:eastAsia="en-AU"/>
        </w:rPr>
        <w:t>, Professor Robert Breunig, and Professor Flavio Menezes for their valuable comments and input on this paper</w:t>
      </w:r>
      <w:r w:rsidR="00805781">
        <w:rPr>
          <w:rFonts w:ascii="Calibri Light" w:eastAsia="Times New Roman" w:hAnsi="Calibri Light" w:cs="Times New Roman"/>
          <w:sz w:val="20"/>
          <w:szCs w:val="20"/>
          <w:lang w:val="en-AU" w:eastAsia="en-AU"/>
        </w:rPr>
        <w:t>.</w:t>
      </w:r>
    </w:p>
    <w:p w14:paraId="4E30C0C8" w14:textId="01617AC8" w:rsidR="00DC70C8" w:rsidRDefault="00DC70C8" w:rsidP="009C0F24">
      <w:pPr>
        <w:pStyle w:val="Heading2"/>
      </w:pPr>
      <w:r w:rsidRPr="00F65F76">
        <w:t>Data disclaimer</w:t>
      </w:r>
    </w:p>
    <w:p w14:paraId="47283291" w14:textId="1932D562" w:rsidR="00DC70C8" w:rsidRPr="004426D8" w:rsidRDefault="00DC70C8" w:rsidP="00F65F76">
      <w:pPr>
        <w:pStyle w:val="NoSpacing"/>
        <w:rPr>
          <w:rFonts w:ascii="Calibri Light" w:eastAsia="Times New Roman" w:hAnsi="Calibri Light" w:cs="Times New Roman"/>
          <w:sz w:val="20"/>
          <w:szCs w:val="20"/>
          <w:lang w:val="en-AU" w:eastAsia="en-AU"/>
        </w:rPr>
      </w:pPr>
      <w:r w:rsidRPr="004426D8">
        <w:rPr>
          <w:rFonts w:ascii="Calibri Light" w:eastAsia="Times New Roman" w:hAnsi="Calibri Light" w:cs="Times New Roman"/>
          <w:sz w:val="20"/>
          <w:szCs w:val="20"/>
          <w:lang w:val="en-AU" w:eastAsia="en-AU"/>
        </w:rPr>
        <w:t xml:space="preserve">The following data disclaimer should be noted: the results of these studies are based, </w:t>
      </w:r>
    </w:p>
    <w:p w14:paraId="6C28BD8A" w14:textId="77777777" w:rsidR="00DC70C8" w:rsidRPr="004426D8" w:rsidRDefault="00DC70C8" w:rsidP="00F65F76">
      <w:pPr>
        <w:pStyle w:val="NoSpacing"/>
        <w:rPr>
          <w:rFonts w:ascii="Calibri Light" w:eastAsia="Times New Roman" w:hAnsi="Calibri Light" w:cs="Times New Roman"/>
          <w:sz w:val="20"/>
          <w:szCs w:val="20"/>
          <w:lang w:val="en-AU" w:eastAsia="en-AU"/>
        </w:rPr>
      </w:pPr>
      <w:r w:rsidRPr="004426D8">
        <w:rPr>
          <w:rFonts w:ascii="Calibri Light" w:eastAsia="Times New Roman" w:hAnsi="Calibri Light" w:cs="Times New Roman"/>
          <w:sz w:val="20"/>
          <w:szCs w:val="20"/>
          <w:lang w:val="en-AU" w:eastAsia="en-AU"/>
        </w:rPr>
        <w:t xml:space="preserve">in part, on Australian Business Registry (ABR) data supplied by the Registrar to the ABS under A New </w:t>
      </w:r>
    </w:p>
    <w:p w14:paraId="71FC414E" w14:textId="77777777" w:rsidR="00DC70C8" w:rsidRPr="004426D8" w:rsidRDefault="00DC70C8" w:rsidP="00F65F76">
      <w:pPr>
        <w:pStyle w:val="NoSpacing"/>
        <w:rPr>
          <w:rFonts w:ascii="Calibri Light" w:eastAsia="Times New Roman" w:hAnsi="Calibri Light" w:cs="Times New Roman"/>
          <w:sz w:val="20"/>
          <w:szCs w:val="20"/>
          <w:lang w:val="en-AU" w:eastAsia="en-AU"/>
        </w:rPr>
      </w:pPr>
      <w:r w:rsidRPr="004426D8">
        <w:rPr>
          <w:rFonts w:ascii="Calibri Light" w:eastAsia="Times New Roman" w:hAnsi="Calibri Light" w:cs="Times New Roman"/>
          <w:sz w:val="20"/>
          <w:szCs w:val="20"/>
          <w:lang w:val="en-AU" w:eastAsia="en-AU"/>
        </w:rPr>
        <w:t xml:space="preserve">Tax System (Australian Business Number) Act 1999 and tax data supplied by the Australian Taxation </w:t>
      </w:r>
    </w:p>
    <w:p w14:paraId="75623602" w14:textId="77777777" w:rsidR="00DC70C8" w:rsidRPr="004426D8" w:rsidRDefault="00DC70C8" w:rsidP="00F65F76">
      <w:pPr>
        <w:pStyle w:val="NoSpacing"/>
        <w:rPr>
          <w:rFonts w:ascii="Calibri Light" w:eastAsia="Times New Roman" w:hAnsi="Calibri Light" w:cs="Times New Roman"/>
          <w:sz w:val="20"/>
          <w:szCs w:val="20"/>
          <w:lang w:val="en-AU" w:eastAsia="en-AU"/>
        </w:rPr>
      </w:pPr>
      <w:r w:rsidRPr="004426D8">
        <w:rPr>
          <w:rFonts w:ascii="Calibri Light" w:eastAsia="Times New Roman" w:hAnsi="Calibri Light" w:cs="Times New Roman"/>
          <w:sz w:val="20"/>
          <w:szCs w:val="20"/>
          <w:lang w:val="en-AU" w:eastAsia="en-AU"/>
        </w:rPr>
        <w:t xml:space="preserve">Office (ATO) to the ABS under the Taxation Administration Act 1953. These require that such data are </w:t>
      </w:r>
    </w:p>
    <w:p w14:paraId="53BEE17D" w14:textId="77777777" w:rsidR="00DC70C8" w:rsidRPr="004426D8" w:rsidRDefault="00DC70C8" w:rsidP="00F65F76">
      <w:pPr>
        <w:pStyle w:val="NoSpacing"/>
        <w:rPr>
          <w:rFonts w:ascii="Calibri Light" w:eastAsia="Times New Roman" w:hAnsi="Calibri Light" w:cs="Times New Roman"/>
          <w:sz w:val="20"/>
          <w:szCs w:val="20"/>
          <w:lang w:val="en-AU" w:eastAsia="en-AU"/>
        </w:rPr>
      </w:pPr>
      <w:r w:rsidRPr="004426D8">
        <w:rPr>
          <w:rFonts w:ascii="Calibri Light" w:eastAsia="Times New Roman" w:hAnsi="Calibri Light" w:cs="Times New Roman"/>
          <w:sz w:val="20"/>
          <w:szCs w:val="20"/>
          <w:lang w:val="en-AU" w:eastAsia="en-AU"/>
        </w:rPr>
        <w:t xml:space="preserve">only used for the purpose of carrying out functions of the ABS. No individual information collected </w:t>
      </w:r>
    </w:p>
    <w:p w14:paraId="5CDD4E80" w14:textId="77777777" w:rsidR="00DC70C8" w:rsidRPr="004426D8" w:rsidRDefault="00DC70C8" w:rsidP="00F65F76">
      <w:pPr>
        <w:pStyle w:val="NoSpacing"/>
        <w:rPr>
          <w:rFonts w:ascii="Calibri Light" w:eastAsia="Times New Roman" w:hAnsi="Calibri Light" w:cs="Times New Roman"/>
          <w:sz w:val="20"/>
          <w:szCs w:val="20"/>
          <w:lang w:val="en-AU" w:eastAsia="en-AU"/>
        </w:rPr>
      </w:pPr>
      <w:r w:rsidRPr="004426D8">
        <w:rPr>
          <w:rFonts w:ascii="Calibri Light" w:eastAsia="Times New Roman" w:hAnsi="Calibri Light" w:cs="Times New Roman"/>
          <w:sz w:val="20"/>
          <w:szCs w:val="20"/>
          <w:lang w:val="en-AU" w:eastAsia="en-AU"/>
        </w:rPr>
        <w:t xml:space="preserve">under the Census and Statistics Act 1905 is provided back to the Registrar or ATO for administrative or </w:t>
      </w:r>
    </w:p>
    <w:p w14:paraId="31197964" w14:textId="77777777" w:rsidR="00DC70C8" w:rsidRPr="004426D8" w:rsidRDefault="00DC70C8" w:rsidP="00F65F76">
      <w:pPr>
        <w:pStyle w:val="NoSpacing"/>
        <w:rPr>
          <w:rFonts w:ascii="Calibri Light" w:eastAsia="Times New Roman" w:hAnsi="Calibri Light" w:cs="Times New Roman"/>
          <w:sz w:val="20"/>
          <w:szCs w:val="20"/>
          <w:lang w:val="en-AU" w:eastAsia="en-AU"/>
        </w:rPr>
      </w:pPr>
      <w:r w:rsidRPr="004426D8">
        <w:rPr>
          <w:rFonts w:ascii="Calibri Light" w:eastAsia="Times New Roman" w:hAnsi="Calibri Light" w:cs="Times New Roman"/>
          <w:sz w:val="20"/>
          <w:szCs w:val="20"/>
          <w:lang w:val="en-AU" w:eastAsia="en-AU"/>
        </w:rPr>
        <w:t xml:space="preserve">regulatory purposes. Any discussion of data limitations or weaknesses is in the context of using the </w:t>
      </w:r>
    </w:p>
    <w:p w14:paraId="3952B297" w14:textId="77777777" w:rsidR="00DC70C8" w:rsidRPr="004426D8" w:rsidRDefault="00DC70C8" w:rsidP="00F65F76">
      <w:pPr>
        <w:pStyle w:val="NoSpacing"/>
        <w:rPr>
          <w:rFonts w:ascii="Calibri Light" w:eastAsia="Times New Roman" w:hAnsi="Calibri Light" w:cs="Times New Roman"/>
          <w:sz w:val="20"/>
          <w:szCs w:val="20"/>
          <w:lang w:val="en-AU" w:eastAsia="en-AU"/>
        </w:rPr>
      </w:pPr>
      <w:r w:rsidRPr="004426D8">
        <w:rPr>
          <w:rFonts w:ascii="Calibri Light" w:eastAsia="Times New Roman" w:hAnsi="Calibri Light" w:cs="Times New Roman"/>
          <w:sz w:val="20"/>
          <w:szCs w:val="20"/>
          <w:lang w:val="en-AU" w:eastAsia="en-AU"/>
        </w:rPr>
        <w:t xml:space="preserve">data for statistical purposes and is not related to the ability of the data to support the ABR’s or the </w:t>
      </w:r>
    </w:p>
    <w:p w14:paraId="349A2CB6" w14:textId="77777777" w:rsidR="00DC70C8" w:rsidRPr="004426D8" w:rsidRDefault="00DC70C8" w:rsidP="00F65F76">
      <w:pPr>
        <w:pStyle w:val="NoSpacing"/>
        <w:rPr>
          <w:rFonts w:ascii="Calibri Light" w:eastAsia="Times New Roman" w:hAnsi="Calibri Light" w:cs="Times New Roman"/>
          <w:sz w:val="20"/>
          <w:szCs w:val="20"/>
          <w:lang w:val="en-AU" w:eastAsia="en-AU"/>
        </w:rPr>
      </w:pPr>
      <w:r w:rsidRPr="004426D8">
        <w:rPr>
          <w:rFonts w:ascii="Calibri Light" w:eastAsia="Times New Roman" w:hAnsi="Calibri Light" w:cs="Times New Roman"/>
          <w:sz w:val="20"/>
          <w:szCs w:val="20"/>
          <w:lang w:val="en-AU" w:eastAsia="en-AU"/>
        </w:rPr>
        <w:t xml:space="preserve">ATO’s core operational requirements. Legislative requirements to ensure privacy and secrecy of these </w:t>
      </w:r>
    </w:p>
    <w:p w14:paraId="19B22480" w14:textId="77777777" w:rsidR="00DC70C8" w:rsidRPr="004426D8" w:rsidRDefault="00DC70C8" w:rsidP="00F65F76">
      <w:pPr>
        <w:pStyle w:val="NoSpacing"/>
        <w:rPr>
          <w:rFonts w:ascii="Calibri Light" w:eastAsia="Times New Roman" w:hAnsi="Calibri Light" w:cs="Times New Roman"/>
          <w:sz w:val="20"/>
          <w:szCs w:val="20"/>
          <w:lang w:val="en-AU" w:eastAsia="en-AU"/>
        </w:rPr>
      </w:pPr>
      <w:r w:rsidRPr="004426D8">
        <w:rPr>
          <w:rFonts w:ascii="Calibri Light" w:eastAsia="Times New Roman" w:hAnsi="Calibri Light" w:cs="Times New Roman"/>
          <w:sz w:val="20"/>
          <w:szCs w:val="20"/>
          <w:lang w:val="en-AU" w:eastAsia="en-AU"/>
        </w:rPr>
        <w:t xml:space="preserve">data have been followed. Only people authorised under the Australian Bureau of Statistics Act 1975 </w:t>
      </w:r>
    </w:p>
    <w:p w14:paraId="622F08EE" w14:textId="77777777" w:rsidR="00DC70C8" w:rsidRPr="004426D8" w:rsidRDefault="00DC70C8" w:rsidP="00F65F76">
      <w:pPr>
        <w:pStyle w:val="NoSpacing"/>
        <w:rPr>
          <w:rFonts w:ascii="Calibri Light" w:eastAsia="Times New Roman" w:hAnsi="Calibri Light" w:cs="Times New Roman"/>
          <w:sz w:val="20"/>
          <w:szCs w:val="20"/>
          <w:lang w:val="en-AU" w:eastAsia="en-AU"/>
        </w:rPr>
      </w:pPr>
      <w:r w:rsidRPr="004426D8">
        <w:rPr>
          <w:rFonts w:ascii="Calibri Light" w:eastAsia="Times New Roman" w:hAnsi="Calibri Light" w:cs="Times New Roman"/>
          <w:sz w:val="20"/>
          <w:szCs w:val="20"/>
          <w:lang w:val="en-AU" w:eastAsia="en-AU"/>
        </w:rPr>
        <w:t xml:space="preserve">have been allowed to view data about any particular firm in conducting these analyses. In accordance </w:t>
      </w:r>
    </w:p>
    <w:p w14:paraId="417688C6" w14:textId="77777777" w:rsidR="00DC70C8" w:rsidRPr="004426D8" w:rsidRDefault="00DC70C8" w:rsidP="00F65F76">
      <w:pPr>
        <w:pStyle w:val="NoSpacing"/>
        <w:rPr>
          <w:rFonts w:ascii="Calibri Light" w:eastAsia="Times New Roman" w:hAnsi="Calibri Light" w:cs="Times New Roman"/>
          <w:sz w:val="20"/>
          <w:szCs w:val="20"/>
          <w:lang w:val="en-AU" w:eastAsia="en-AU"/>
        </w:rPr>
      </w:pPr>
      <w:r w:rsidRPr="004426D8">
        <w:rPr>
          <w:rFonts w:ascii="Calibri Light" w:eastAsia="Times New Roman" w:hAnsi="Calibri Light" w:cs="Times New Roman"/>
          <w:sz w:val="20"/>
          <w:szCs w:val="20"/>
          <w:lang w:val="en-AU" w:eastAsia="en-AU"/>
        </w:rPr>
        <w:t xml:space="preserve">with the Census and Statistics Act 1905, results have been confidentialised to ensure that they are not </w:t>
      </w:r>
    </w:p>
    <w:p w14:paraId="0E97CD53" w14:textId="7D0CBBD1" w:rsidR="0059747C" w:rsidRPr="004426D8" w:rsidRDefault="00DC70C8" w:rsidP="00F65F76">
      <w:pPr>
        <w:pStyle w:val="NoSpacing"/>
        <w:rPr>
          <w:rFonts w:ascii="Calibri Light" w:eastAsia="Times New Roman" w:hAnsi="Calibri Light" w:cs="Times New Roman"/>
          <w:sz w:val="20"/>
          <w:szCs w:val="20"/>
          <w:lang w:val="en-AU" w:eastAsia="en-AU"/>
        </w:rPr>
      </w:pPr>
      <w:r w:rsidRPr="004426D8">
        <w:rPr>
          <w:rFonts w:ascii="Calibri Light" w:eastAsia="Times New Roman" w:hAnsi="Calibri Light" w:cs="Times New Roman"/>
          <w:sz w:val="20"/>
          <w:szCs w:val="20"/>
          <w:lang w:val="en-AU" w:eastAsia="en-AU"/>
        </w:rPr>
        <w:t>likely to enable identification of a particular person or organisation.</w:t>
      </w:r>
      <w:r w:rsidR="00CE3A3C">
        <w:rPr>
          <w:rFonts w:ascii="Calibri Light" w:eastAsia="Times New Roman" w:hAnsi="Calibri Light" w:cs="Times New Roman"/>
          <w:sz w:val="20"/>
          <w:szCs w:val="20"/>
          <w:lang w:val="en-AU" w:eastAsia="en-AU"/>
        </w:rPr>
        <w:t xml:space="preserve"> </w:t>
      </w:r>
    </w:p>
    <w:sectPr w:rsidR="0059747C" w:rsidRPr="004426D8" w:rsidSect="00C84D4C">
      <w:headerReference w:type="default" r:id="rId25"/>
      <w:footerReference w:type="default" r:id="rId26"/>
      <w:headerReference w:type="first" r:id="rId27"/>
      <w:footerReference w:type="first" r:id="rId28"/>
      <w:pgSz w:w="11906" w:h="16838" w:code="9"/>
      <w:pgMar w:top="1701" w:right="1134" w:bottom="1134" w:left="1134" w:header="680" w:footer="284"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DE02F" w14:textId="77777777" w:rsidR="00B3130C" w:rsidRDefault="00B3130C" w:rsidP="00AF7C5D">
      <w:r>
        <w:separator/>
      </w:r>
    </w:p>
    <w:p w14:paraId="6A4E363A" w14:textId="77777777" w:rsidR="00B3130C" w:rsidRDefault="00B3130C" w:rsidP="00AF7C5D"/>
  </w:endnote>
  <w:endnote w:type="continuationSeparator" w:id="0">
    <w:p w14:paraId="24D65808" w14:textId="77777777" w:rsidR="00B3130C" w:rsidRDefault="00B3130C" w:rsidP="00AF7C5D">
      <w:r>
        <w:continuationSeparator/>
      </w:r>
    </w:p>
    <w:p w14:paraId="4DFBFC6D" w14:textId="77777777" w:rsidR="00B3130C" w:rsidRDefault="00B3130C" w:rsidP="00AF7C5D"/>
  </w:endnote>
  <w:endnote w:type="continuationNotice" w:id="1">
    <w:p w14:paraId="152E5FFA" w14:textId="77777777" w:rsidR="00B3130C" w:rsidRDefault="00B3130C" w:rsidP="00AF7C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9999999">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Univers 45 Light">
    <w:altName w:val="Calibri"/>
    <w:charset w:val="00"/>
    <w:family w:val="auto"/>
    <w:pitch w:val="variable"/>
    <w:sig w:usb0="8000002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DDE42" w14:textId="04D636FF" w:rsidR="00251470" w:rsidRPr="00251470" w:rsidRDefault="00251470" w:rsidP="00AF7C5D">
    <w:r w:rsidRPr="00251470">
      <w:t xml:space="preserve">Insight note | </w:t>
    </w:r>
    <w:fldSimple w:instr="STYLEREF  &quot;Fact sheet title&quot;  \* MERGEFORMAT">
      <w:r w:rsidR="00F64D20">
        <w:rPr>
          <w:noProof/>
        </w:rPr>
        <w:t>Competition and firms' innovation outcomes</w:t>
      </w:r>
    </w:fldSimple>
    <w:r w:rsidRPr="00251470">
      <w:ptab w:relativeTo="margin" w:alignment="right" w:leader="none"/>
    </w:r>
    <w:r w:rsidR="00417210">
      <w:t xml:space="preserve"> </w:t>
    </w:r>
    <w:r w:rsidRPr="00251470">
      <w:fldChar w:fldCharType="begin"/>
    </w:r>
    <w:r w:rsidRPr="00251470">
      <w:instrText xml:space="preserve"> DATE  \@ "d MMMM yyyy"  \* MERGEFORMAT </w:instrText>
    </w:r>
    <w:r w:rsidRPr="00251470">
      <w:fldChar w:fldCharType="separate"/>
    </w:r>
    <w:r w:rsidR="00F64D20">
      <w:rPr>
        <w:noProof/>
      </w:rPr>
      <w:t>20 July 2026</w:t>
    </w:r>
    <w:r w:rsidRPr="00251470">
      <w:fldChar w:fldCharType="end"/>
    </w:r>
    <w:r w:rsidRPr="00251470">
      <w:t xml:space="preserve">  |  </w:t>
    </w:r>
    <w:r w:rsidRPr="00251470">
      <w:fldChar w:fldCharType="begin"/>
    </w:r>
    <w:r w:rsidRPr="00251470">
      <w:instrText xml:space="preserve"> PAGE   \* MERGEFORMAT </w:instrText>
    </w:r>
    <w:r w:rsidRPr="00251470">
      <w:fldChar w:fldCharType="separate"/>
    </w:r>
    <w:r>
      <w:t>1</w:t>
    </w:r>
    <w:r w:rsidRPr="0025147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5F3BB" w14:textId="5448B88D" w:rsidR="00251470" w:rsidRPr="00251470" w:rsidRDefault="00251470" w:rsidP="00AF7C5D">
    <w:r w:rsidRPr="00251470">
      <w:t xml:space="preserve">Insight note | </w:t>
    </w:r>
    <w:fldSimple w:instr="STYLEREF  &quot;Fact sheet title&quot;  \* MERGEFORMAT">
      <w:r w:rsidR="00F64D20">
        <w:rPr>
          <w:noProof/>
        </w:rPr>
        <w:t>Competition and firms' innovation outcomes</w:t>
      </w:r>
    </w:fldSimple>
    <w:r w:rsidRPr="00251470">
      <w:ptab w:relativeTo="margin" w:alignment="right" w:leader="none"/>
    </w:r>
    <w:r w:rsidRPr="00251470">
      <w:fldChar w:fldCharType="begin"/>
    </w:r>
    <w:r w:rsidRPr="00251470">
      <w:instrText xml:space="preserve"> DATE  \@ "d MMMM yyyy"  \* MERGEFORMAT </w:instrText>
    </w:r>
    <w:r w:rsidRPr="00251470">
      <w:fldChar w:fldCharType="separate"/>
    </w:r>
    <w:r w:rsidR="00F64D20">
      <w:rPr>
        <w:noProof/>
      </w:rPr>
      <w:t>20 July 2026</w:t>
    </w:r>
    <w:r w:rsidRPr="00251470">
      <w:fldChar w:fldCharType="end"/>
    </w:r>
    <w:r w:rsidRPr="00251470">
      <w:t xml:space="preserve">  |  </w:t>
    </w:r>
    <w:r w:rsidRPr="00251470">
      <w:fldChar w:fldCharType="begin"/>
    </w:r>
    <w:r w:rsidRPr="00251470">
      <w:instrText xml:space="preserve"> PAGE   \* MERGEFORMAT </w:instrText>
    </w:r>
    <w:r w:rsidRPr="00251470">
      <w:fldChar w:fldCharType="separate"/>
    </w:r>
    <w:r w:rsidRPr="00251470">
      <w:t>1</w:t>
    </w:r>
    <w:r w:rsidRPr="0025147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7202A" w14:textId="77777777" w:rsidR="00B3130C" w:rsidRDefault="00B3130C" w:rsidP="00AF7C5D">
      <w:r>
        <w:separator/>
      </w:r>
    </w:p>
  </w:footnote>
  <w:footnote w:type="continuationSeparator" w:id="0">
    <w:p w14:paraId="1B593AA5" w14:textId="77777777" w:rsidR="00B3130C" w:rsidRDefault="00B3130C" w:rsidP="00AF7C5D">
      <w:r>
        <w:continuationSeparator/>
      </w:r>
    </w:p>
    <w:p w14:paraId="492B827D" w14:textId="77777777" w:rsidR="00B3130C" w:rsidRDefault="00B3130C" w:rsidP="00AF7C5D"/>
  </w:footnote>
  <w:footnote w:type="continuationNotice" w:id="1">
    <w:p w14:paraId="37298C67" w14:textId="77777777" w:rsidR="00B3130C" w:rsidRDefault="00B3130C" w:rsidP="00AF7C5D"/>
  </w:footnote>
  <w:footnote w:id="2">
    <w:p w14:paraId="7C6E34DA" w14:textId="7947E9D3" w:rsidR="00C30FA0" w:rsidRDefault="00C30FA0">
      <w:pPr>
        <w:pStyle w:val="FootnoteText"/>
      </w:pPr>
      <w:r>
        <w:rPr>
          <w:rStyle w:val="FootnoteReference"/>
        </w:rPr>
        <w:footnoteRef/>
      </w:r>
      <w:r>
        <w:t xml:space="preserve"> We are grateful to </w:t>
      </w:r>
      <w:r w:rsidR="004904CD">
        <w:t xml:space="preserve">Prof. </w:t>
      </w:r>
      <w:r w:rsidR="00C762E1">
        <w:t xml:space="preserve">Flavio </w:t>
      </w:r>
      <w:r w:rsidR="00C762E1" w:rsidRPr="00900250">
        <w:t>Menzies</w:t>
      </w:r>
      <w:r w:rsidR="00C762E1">
        <w:t xml:space="preserve">, </w:t>
      </w:r>
      <w:r w:rsidR="004904CD">
        <w:t xml:space="preserve">Prof. </w:t>
      </w:r>
      <w:r>
        <w:t>Petr Sedlacek</w:t>
      </w:r>
      <w:r w:rsidR="00C762E1">
        <w:t xml:space="preserve"> and</w:t>
      </w:r>
      <w:r>
        <w:t xml:space="preserve"> </w:t>
      </w:r>
      <w:r w:rsidR="004904CD">
        <w:t xml:space="preserve">Prof. </w:t>
      </w:r>
      <w:r>
        <w:t xml:space="preserve">Robert Breunig and for their comments on the note.  </w:t>
      </w:r>
    </w:p>
  </w:footnote>
  <w:footnote w:id="3">
    <w:p w14:paraId="6D23666D" w14:textId="2E71127A" w:rsidR="004653AF" w:rsidRDefault="004653AF">
      <w:pPr>
        <w:pStyle w:val="FootnoteText"/>
      </w:pPr>
      <w:r>
        <w:rPr>
          <w:rStyle w:val="FootnoteReference"/>
        </w:rPr>
        <w:footnoteRef/>
      </w:r>
      <w:r>
        <w:t xml:space="preserve"> </w:t>
      </w:r>
      <w:r w:rsidR="00513CC2">
        <w:t>C</w:t>
      </w:r>
      <w:r w:rsidR="00513CC2" w:rsidRPr="00513CC2">
        <w:t>ognitive testing of the Oslo manual indicates that the Oslo framework has largely succeeded at capturing how firms perceive innovations (Galindo-Rueda and Van Cruysen 2016). Webster, Palangkaraya, and Spurling (2021)</w:t>
      </w:r>
      <w:r w:rsidR="00513CC2">
        <w:t>, Majeed</w:t>
      </w:r>
      <w:r w:rsidR="005E4785">
        <w:t xml:space="preserve"> and Breunig (2022)</w:t>
      </w:r>
      <w:r w:rsidR="00513CC2" w:rsidRPr="00513CC2">
        <w:t xml:space="preserve"> and Gault (2013) both discuss how the Oslo framework has been validated for measurement of innovation.</w:t>
      </w:r>
    </w:p>
  </w:footnote>
  <w:footnote w:id="4">
    <w:p w14:paraId="75B63898" w14:textId="4DF6FB47" w:rsidR="00FF5072" w:rsidRDefault="00FF5072">
      <w:pPr>
        <w:pStyle w:val="FootnoteText"/>
      </w:pPr>
      <w:r>
        <w:rPr>
          <w:rStyle w:val="FootnoteReference"/>
        </w:rPr>
        <w:footnoteRef/>
      </w:r>
      <w:r>
        <w:t xml:space="preserve"> </w:t>
      </w:r>
      <w:r w:rsidRPr="00FF5072">
        <w:t>Innovation is captured using survey questions on whether firms introduced “new or significantly improved goods or services,” “processes,” “organisational/managerial processes,” or “marketing methods”</w:t>
      </w:r>
      <w:r w:rsidR="0043054F">
        <w:t xml:space="preserve">. </w:t>
      </w:r>
    </w:p>
  </w:footnote>
  <w:footnote w:id="5">
    <w:p w14:paraId="074CDBC2" w14:textId="2893F04C" w:rsidR="00A8689C" w:rsidRDefault="00A8689C">
      <w:pPr>
        <w:pStyle w:val="FootnoteText"/>
      </w:pPr>
      <w:r>
        <w:rPr>
          <w:rStyle w:val="FootnoteReference"/>
        </w:rPr>
        <w:footnoteRef/>
      </w:r>
      <w:r>
        <w:t xml:space="preserve"> </w:t>
      </w:r>
      <w:r w:rsidR="00A3294E">
        <w:t xml:space="preserve">Majeed and Breunig 2022, discusses the BCS </w:t>
      </w:r>
      <w:r w:rsidR="0043054F">
        <w:t xml:space="preserve">innovation </w:t>
      </w:r>
      <w:r w:rsidR="00A3294E">
        <w:t xml:space="preserve">variables and Oslo Manual in more detail. </w:t>
      </w:r>
    </w:p>
  </w:footnote>
  <w:footnote w:id="6">
    <w:p w14:paraId="7949C685" w14:textId="09D90C81" w:rsidR="00C332A0" w:rsidRDefault="00C332A0" w:rsidP="00C332A0">
      <w:pPr>
        <w:pStyle w:val="FootnoteText"/>
      </w:pPr>
      <w:r>
        <w:rPr>
          <w:rStyle w:val="FootnoteReference"/>
        </w:rPr>
        <w:footnoteRef/>
      </w:r>
      <w:r>
        <w:t xml:space="preserve"> </w:t>
      </w:r>
      <w:r w:rsidRPr="00A90722">
        <w:t>In large cities, industries such as construction and architecture often have very large numbers of competitors, sometimes exceeding 1,000</w:t>
      </w:r>
    </w:p>
  </w:footnote>
  <w:footnote w:id="7">
    <w:p w14:paraId="57A47A6E" w14:textId="420C6424" w:rsidR="00C01A4E" w:rsidRDefault="00C01A4E" w:rsidP="00C01A4E">
      <w:pPr>
        <w:pStyle w:val="FootnoteText"/>
      </w:pPr>
    </w:p>
  </w:footnote>
  <w:footnote w:id="8">
    <w:p w14:paraId="1CDB80BF" w14:textId="77777777" w:rsidR="002B4167" w:rsidRPr="002B4167" w:rsidRDefault="002B4167" w:rsidP="002B4167">
      <w:pPr>
        <w:pStyle w:val="FootnoteText"/>
      </w:pPr>
      <w:r>
        <w:rPr>
          <w:rStyle w:val="FootnoteReference"/>
        </w:rPr>
        <w:footnoteRef/>
      </w:r>
      <w:r>
        <w:t xml:space="preserve"> </w:t>
      </w:r>
      <w:r w:rsidRPr="002B4167">
        <w:t>Many firms operate across multiple locations, making registered addresses an imperfect proxy for the markets in which competitive interactions occur.</w:t>
      </w:r>
    </w:p>
    <w:p w14:paraId="729F0E50" w14:textId="2BE6D4AA" w:rsidR="002B4167" w:rsidRDefault="002B4167">
      <w:pPr>
        <w:pStyle w:val="FootnoteText"/>
      </w:pPr>
    </w:p>
  </w:footnote>
  <w:footnote w:id="9">
    <w:p w14:paraId="5DFF5D9C" w14:textId="466FF285" w:rsidR="00B46A48" w:rsidRDefault="00B46A48">
      <w:pPr>
        <w:pStyle w:val="FootnoteText"/>
      </w:pPr>
      <w:r>
        <w:rPr>
          <w:rStyle w:val="FootnoteReference"/>
        </w:rPr>
        <w:footnoteRef/>
      </w:r>
      <w:r>
        <w:t xml:space="preserve"> As discussed earlier, c</w:t>
      </w:r>
      <w:r w:rsidRPr="001A632E">
        <w:t xml:space="preserve">ognitive testing of the Oslo </w:t>
      </w:r>
      <w:r>
        <w:t>M</w:t>
      </w:r>
      <w:r w:rsidRPr="001A632E">
        <w:t xml:space="preserve">anual indicates that </w:t>
      </w:r>
      <w:r>
        <w:t xml:space="preserve">its </w:t>
      </w:r>
      <w:r w:rsidRPr="001A632E">
        <w:t>framework has largely succeeded at capturing how firms perceive</w:t>
      </w:r>
      <w:r>
        <w:t xml:space="preserve"> key variables</w:t>
      </w:r>
      <w:r w:rsidRPr="001A632E">
        <w:t xml:space="preserve"> (Galindo-Rueda and Van Cruysen 2016)</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6C049" w14:textId="77777777" w:rsidR="009C3DDA" w:rsidRDefault="009C3DDA" w:rsidP="009C3DDA">
    <w:pPr>
      <w:pStyle w:val="SecurityClassificationHeader"/>
    </w:pPr>
    <w:r>
      <w:drawing>
        <wp:anchor distT="0" distB="0" distL="114300" distR="114300" simplePos="0" relativeHeight="251658241" behindDoc="1" locked="0" layoutInCell="1" allowOverlap="1" wp14:anchorId="4827964D" wp14:editId="4EABE0D6">
          <wp:simplePos x="0" y="0"/>
          <wp:positionH relativeFrom="page">
            <wp:align>center</wp:align>
          </wp:positionH>
          <wp:positionV relativeFrom="page">
            <wp:align>top</wp:align>
          </wp:positionV>
          <wp:extent cx="7527600" cy="1036800"/>
          <wp:effectExtent l="0" t="0" r="0" b="0"/>
          <wp:wrapNone/>
          <wp:docPr id="142397562" name="Picture 142397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7562" name="Picture 14239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7600" cy="103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3FD92" w14:textId="77777777" w:rsidR="009C3DDA" w:rsidRDefault="00995CA4" w:rsidP="009C3DDA">
    <w:pPr>
      <w:pStyle w:val="SecurityClassificationHeader"/>
    </w:pPr>
    <w:r>
      <w:drawing>
        <wp:anchor distT="0" distB="0" distL="114300" distR="114300" simplePos="0" relativeHeight="251658240" behindDoc="1" locked="0" layoutInCell="1" allowOverlap="0" wp14:anchorId="5BE8E19B" wp14:editId="1023D56C">
          <wp:simplePos x="0" y="0"/>
          <wp:positionH relativeFrom="page">
            <wp:align>center</wp:align>
          </wp:positionH>
          <wp:positionV relativeFrom="page">
            <wp:align>top</wp:align>
          </wp:positionV>
          <wp:extent cx="7520400" cy="1504800"/>
          <wp:effectExtent l="0" t="0" r="0" b="0"/>
          <wp:wrapNone/>
          <wp:docPr id="693275195" name="Picture 693275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0400" cy="1504800"/>
                  </a:xfrm>
                  <a:prstGeom prst="rect">
                    <a:avLst/>
                  </a:prstGeom>
                </pic:spPr>
              </pic:pic>
            </a:graphicData>
          </a:graphic>
          <wp14:sizeRelH relativeFrom="margin">
            <wp14:pctWidth>0</wp14:pctWidth>
          </wp14:sizeRelH>
          <wp14:sizeRelV relativeFrom="margin">
            <wp14:pctHeight>0</wp14:pctHeight>
          </wp14:sizeRelV>
        </wp:anchor>
      </w:drawing>
    </w:r>
  </w:p>
  <w:p w14:paraId="2063B590" w14:textId="77777777" w:rsidR="002D7F54" w:rsidRDefault="002D7F54" w:rsidP="00AF7C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FDEC6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DAC69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585E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A0E5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A4BC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8EC6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BA0F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A8236C"/>
    <w:lvl w:ilvl="0">
      <w:start w:val="1"/>
      <w:numFmt w:val="bullet"/>
      <w:lvlText w:val="-"/>
      <w:lvlJc w:val="left"/>
      <w:pPr>
        <w:tabs>
          <w:tab w:val="num" w:pos="623"/>
        </w:tabs>
        <w:ind w:left="623" w:hanging="340"/>
      </w:pPr>
      <w:rPr>
        <w:rFonts w:ascii="9999999" w:hAnsi="9999999" w:cs="Courier New" w:hint="default"/>
      </w:rPr>
    </w:lvl>
  </w:abstractNum>
  <w:abstractNum w:abstractNumId="8" w15:restartNumberingAfterBreak="0">
    <w:nsid w:val="FFFFFF88"/>
    <w:multiLevelType w:val="singleLevel"/>
    <w:tmpl w:val="FBBCE3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9459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1" w15:restartNumberingAfterBreak="0">
    <w:nsid w:val="0E0C0FEA"/>
    <w:multiLevelType w:val="multilevel"/>
    <w:tmpl w:val="143A4AF6"/>
    <w:styleLink w:val="StyleBulletedSymbolsymbol11ptLeft4cmHanging05"/>
    <w:lvl w:ilvl="0">
      <w:start w:val="1"/>
      <w:numFmt w:val="bullet"/>
      <w:lvlText w:val=""/>
      <w:lvlJc w:val="left"/>
      <w:pPr>
        <w:tabs>
          <w:tab w:val="num" w:pos="340"/>
        </w:tabs>
        <w:ind w:left="340" w:hanging="340"/>
      </w:pPr>
      <w:rPr>
        <w:rFonts w:ascii="Calibri" w:hAnsi="Calibri"/>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5114EB"/>
    <w:multiLevelType w:val="multilevel"/>
    <w:tmpl w:val="C41627F0"/>
    <w:name w:val="StandardNumberedList"/>
    <w:lvl w:ilvl="0">
      <w:start w:val="1"/>
      <w:numFmt w:val="decimal"/>
      <w:pStyle w:val="OutlineNumbered1"/>
      <w:lvlText w:val="%1."/>
      <w:lvlJc w:val="left"/>
      <w:pPr>
        <w:tabs>
          <w:tab w:val="num" w:pos="472"/>
        </w:tabs>
        <w:ind w:left="472" w:hanging="472"/>
      </w:pPr>
    </w:lvl>
    <w:lvl w:ilvl="1">
      <w:start w:val="1"/>
      <w:numFmt w:val="decimal"/>
      <w:pStyle w:val="OutlineNumbered2"/>
      <w:lvlText w:val="%1.%2."/>
      <w:lvlJc w:val="left"/>
      <w:pPr>
        <w:tabs>
          <w:tab w:val="num" w:pos="944"/>
        </w:tabs>
        <w:ind w:left="944" w:hanging="472"/>
      </w:pPr>
    </w:lvl>
    <w:lvl w:ilvl="2">
      <w:start w:val="1"/>
      <w:numFmt w:val="decimal"/>
      <w:pStyle w:val="OutlineNumbered3"/>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77B46D1"/>
    <w:multiLevelType w:val="singleLevel"/>
    <w:tmpl w:val="890880B8"/>
    <w:lvl w:ilvl="0">
      <w:start w:val="1"/>
      <w:numFmt w:val="bullet"/>
      <w:lvlText w:val=""/>
      <w:lvlJc w:val="left"/>
      <w:pPr>
        <w:tabs>
          <w:tab w:val="num" w:pos="340"/>
        </w:tabs>
        <w:ind w:left="340" w:hanging="340"/>
      </w:pPr>
      <w:rPr>
        <w:rFonts w:ascii="Symbol" w:hAnsi="Symbol" w:hint="default"/>
        <w:color w:val="auto"/>
        <w:sz w:val="22"/>
      </w:rPr>
    </w:lvl>
  </w:abstractNum>
  <w:abstractNum w:abstractNumId="14" w15:restartNumberingAfterBreak="0">
    <w:nsid w:val="308C2710"/>
    <w:multiLevelType w:val="multilevel"/>
    <w:tmpl w:val="5804FFF0"/>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5" w15:restartNumberingAfterBreak="0">
    <w:nsid w:val="57AD61FE"/>
    <w:multiLevelType w:val="singleLevel"/>
    <w:tmpl w:val="12BC0E22"/>
    <w:lvl w:ilvl="0">
      <w:start w:val="1"/>
      <w:numFmt w:val="bullet"/>
      <w:lvlText w:val=""/>
      <w:lvlJc w:val="left"/>
      <w:pPr>
        <w:tabs>
          <w:tab w:val="num" w:pos="340"/>
        </w:tabs>
        <w:ind w:left="340" w:hanging="340"/>
      </w:pPr>
      <w:rPr>
        <w:rFonts w:ascii="Symbol" w:hAnsi="Symbol" w:hint="default"/>
        <w:color w:val="auto"/>
        <w:sz w:val="22"/>
      </w:rPr>
    </w:lvl>
  </w:abstractNum>
  <w:abstractNum w:abstractNumId="16" w15:restartNumberingAfterBreak="0">
    <w:nsid w:val="5B8E0DED"/>
    <w:multiLevelType w:val="hybridMultilevel"/>
    <w:tmpl w:val="420E9DAE"/>
    <w:lvl w:ilvl="0" w:tplc="5BCC39DE">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9E2264"/>
    <w:multiLevelType w:val="multilevel"/>
    <w:tmpl w:val="1AE40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334467"/>
    <w:multiLevelType w:val="multilevel"/>
    <w:tmpl w:val="F37ECF38"/>
    <w:styleLink w:val="StyleBulletedSymbolsymbol11ptLeft4cmHanging051"/>
    <w:lvl w:ilvl="0">
      <w:start w:val="1"/>
      <w:numFmt w:val="bullet"/>
      <w:lvlText w:val=""/>
      <w:lvlJc w:val="left"/>
      <w:pPr>
        <w:tabs>
          <w:tab w:val="num" w:pos="340"/>
        </w:tabs>
        <w:ind w:left="340" w:hanging="34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7EF57B3"/>
    <w:multiLevelType w:val="multilevel"/>
    <w:tmpl w:val="86DA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6B5224"/>
    <w:multiLevelType w:val="multilevel"/>
    <w:tmpl w:val="58D0B304"/>
    <w:lvl w:ilvl="0">
      <w:start w:val="1"/>
      <w:numFmt w:val="bullet"/>
      <w:pStyle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07991076">
    <w:abstractNumId w:val="11"/>
  </w:num>
  <w:num w:numId="2" w16cid:durableId="1359500714">
    <w:abstractNumId w:val="18"/>
  </w:num>
  <w:num w:numId="3" w16cid:durableId="1601403505">
    <w:abstractNumId w:val="15"/>
  </w:num>
  <w:num w:numId="4" w16cid:durableId="1472408060">
    <w:abstractNumId w:val="16"/>
  </w:num>
  <w:num w:numId="5" w16cid:durableId="1918057541">
    <w:abstractNumId w:val="13"/>
  </w:num>
  <w:num w:numId="6" w16cid:durableId="1326546822">
    <w:abstractNumId w:val="7"/>
  </w:num>
  <w:num w:numId="7" w16cid:durableId="1982466517">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61084052">
    <w:abstractNumId w:val="10"/>
  </w:num>
  <w:num w:numId="9" w16cid:durableId="1561358349">
    <w:abstractNumId w:val="14"/>
  </w:num>
  <w:num w:numId="10" w16cid:durableId="1516186326">
    <w:abstractNumId w:val="9"/>
  </w:num>
  <w:num w:numId="11" w16cid:durableId="49965438">
    <w:abstractNumId w:val="6"/>
  </w:num>
  <w:num w:numId="12" w16cid:durableId="1903835301">
    <w:abstractNumId w:val="5"/>
  </w:num>
  <w:num w:numId="13" w16cid:durableId="1654292121">
    <w:abstractNumId w:val="4"/>
  </w:num>
  <w:num w:numId="14" w16cid:durableId="303392893">
    <w:abstractNumId w:val="8"/>
  </w:num>
  <w:num w:numId="15" w16cid:durableId="601114564">
    <w:abstractNumId w:val="3"/>
  </w:num>
  <w:num w:numId="16" w16cid:durableId="14622342">
    <w:abstractNumId w:val="2"/>
  </w:num>
  <w:num w:numId="17" w16cid:durableId="1609463516">
    <w:abstractNumId w:val="1"/>
  </w:num>
  <w:num w:numId="18" w16cid:durableId="1343436518">
    <w:abstractNumId w:val="0"/>
  </w:num>
  <w:num w:numId="19" w16cid:durableId="1658613097">
    <w:abstractNumId w:val="12"/>
  </w:num>
  <w:num w:numId="20" w16cid:durableId="1798837068">
    <w:abstractNumId w:val="12"/>
  </w:num>
  <w:num w:numId="21" w16cid:durableId="14317044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1157833">
    <w:abstractNumId w:val="12"/>
  </w:num>
  <w:num w:numId="23" w16cid:durableId="6532640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249049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31963281">
    <w:abstractNumId w:val="19"/>
  </w:num>
  <w:num w:numId="26" w16cid:durableId="899708930">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D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ecurityClassificationInHeader" w:val="False"/>
  </w:docVars>
  <w:rsids>
    <w:rsidRoot w:val="00CE7E3F"/>
    <w:rsid w:val="00002ABA"/>
    <w:rsid w:val="00002FFD"/>
    <w:rsid w:val="00003C97"/>
    <w:rsid w:val="00003DA3"/>
    <w:rsid w:val="00003EEE"/>
    <w:rsid w:val="00004054"/>
    <w:rsid w:val="000043A7"/>
    <w:rsid w:val="000058CD"/>
    <w:rsid w:val="00005BBA"/>
    <w:rsid w:val="00007700"/>
    <w:rsid w:val="00007CC5"/>
    <w:rsid w:val="0001044A"/>
    <w:rsid w:val="000105E5"/>
    <w:rsid w:val="00011411"/>
    <w:rsid w:val="00011E0B"/>
    <w:rsid w:val="00011F93"/>
    <w:rsid w:val="00012C25"/>
    <w:rsid w:val="00013710"/>
    <w:rsid w:val="000139F7"/>
    <w:rsid w:val="00014682"/>
    <w:rsid w:val="0001538A"/>
    <w:rsid w:val="00015409"/>
    <w:rsid w:val="0001602F"/>
    <w:rsid w:val="000163F2"/>
    <w:rsid w:val="00016403"/>
    <w:rsid w:val="00016670"/>
    <w:rsid w:val="00016B6C"/>
    <w:rsid w:val="00017305"/>
    <w:rsid w:val="00020761"/>
    <w:rsid w:val="0002084D"/>
    <w:rsid w:val="00020B59"/>
    <w:rsid w:val="00020C8E"/>
    <w:rsid w:val="0002151A"/>
    <w:rsid w:val="00022311"/>
    <w:rsid w:val="00022464"/>
    <w:rsid w:val="00022A8A"/>
    <w:rsid w:val="00022BA4"/>
    <w:rsid w:val="00022E9B"/>
    <w:rsid w:val="000246A0"/>
    <w:rsid w:val="00024FD0"/>
    <w:rsid w:val="0002575A"/>
    <w:rsid w:val="00025821"/>
    <w:rsid w:val="00025903"/>
    <w:rsid w:val="00025F5F"/>
    <w:rsid w:val="000262B3"/>
    <w:rsid w:val="0002677F"/>
    <w:rsid w:val="00027CE4"/>
    <w:rsid w:val="00031F36"/>
    <w:rsid w:val="0003235F"/>
    <w:rsid w:val="00033071"/>
    <w:rsid w:val="00033088"/>
    <w:rsid w:val="00033935"/>
    <w:rsid w:val="00033942"/>
    <w:rsid w:val="00033E6C"/>
    <w:rsid w:val="000346DC"/>
    <w:rsid w:val="0003475C"/>
    <w:rsid w:val="00035FCE"/>
    <w:rsid w:val="00040388"/>
    <w:rsid w:val="000409D3"/>
    <w:rsid w:val="00040F5B"/>
    <w:rsid w:val="000421F9"/>
    <w:rsid w:val="0004242C"/>
    <w:rsid w:val="00042495"/>
    <w:rsid w:val="0004294B"/>
    <w:rsid w:val="00042A44"/>
    <w:rsid w:val="000437EB"/>
    <w:rsid w:val="00043A6A"/>
    <w:rsid w:val="00044267"/>
    <w:rsid w:val="0004444B"/>
    <w:rsid w:val="000451F5"/>
    <w:rsid w:val="00045C24"/>
    <w:rsid w:val="00047180"/>
    <w:rsid w:val="00051034"/>
    <w:rsid w:val="000511F7"/>
    <w:rsid w:val="000516ED"/>
    <w:rsid w:val="000517B3"/>
    <w:rsid w:val="00053159"/>
    <w:rsid w:val="00053244"/>
    <w:rsid w:val="000534F8"/>
    <w:rsid w:val="000541A2"/>
    <w:rsid w:val="000545C5"/>
    <w:rsid w:val="00055311"/>
    <w:rsid w:val="0005699C"/>
    <w:rsid w:val="00056B39"/>
    <w:rsid w:val="00056E75"/>
    <w:rsid w:val="00057B24"/>
    <w:rsid w:val="000601A6"/>
    <w:rsid w:val="0006073D"/>
    <w:rsid w:val="00060C76"/>
    <w:rsid w:val="00060CED"/>
    <w:rsid w:val="00061478"/>
    <w:rsid w:val="000620DE"/>
    <w:rsid w:val="000633AE"/>
    <w:rsid w:val="0006374B"/>
    <w:rsid w:val="00063D08"/>
    <w:rsid w:val="00065601"/>
    <w:rsid w:val="000658E8"/>
    <w:rsid w:val="0006746A"/>
    <w:rsid w:val="000678D5"/>
    <w:rsid w:val="00067E65"/>
    <w:rsid w:val="00071D56"/>
    <w:rsid w:val="0007291A"/>
    <w:rsid w:val="000729FF"/>
    <w:rsid w:val="00072DD8"/>
    <w:rsid w:val="00072FA9"/>
    <w:rsid w:val="000736B8"/>
    <w:rsid w:val="00074C15"/>
    <w:rsid w:val="000753CE"/>
    <w:rsid w:val="00075938"/>
    <w:rsid w:val="00076CD6"/>
    <w:rsid w:val="000772A7"/>
    <w:rsid w:val="000772BF"/>
    <w:rsid w:val="000772F4"/>
    <w:rsid w:val="0007794E"/>
    <w:rsid w:val="00077F9A"/>
    <w:rsid w:val="00077FA5"/>
    <w:rsid w:val="000802E8"/>
    <w:rsid w:val="00080988"/>
    <w:rsid w:val="000820EB"/>
    <w:rsid w:val="000827E9"/>
    <w:rsid w:val="00082D6F"/>
    <w:rsid w:val="00082E89"/>
    <w:rsid w:val="000847EB"/>
    <w:rsid w:val="00084BCC"/>
    <w:rsid w:val="00085393"/>
    <w:rsid w:val="000854C1"/>
    <w:rsid w:val="00085579"/>
    <w:rsid w:val="00085589"/>
    <w:rsid w:val="00085782"/>
    <w:rsid w:val="0008604C"/>
    <w:rsid w:val="00087190"/>
    <w:rsid w:val="000875D1"/>
    <w:rsid w:val="00087850"/>
    <w:rsid w:val="00087B26"/>
    <w:rsid w:val="0009058D"/>
    <w:rsid w:val="00090638"/>
    <w:rsid w:val="00091631"/>
    <w:rsid w:val="00091CFF"/>
    <w:rsid w:val="00096A13"/>
    <w:rsid w:val="00097E79"/>
    <w:rsid w:val="000A01DE"/>
    <w:rsid w:val="000A071B"/>
    <w:rsid w:val="000A08C0"/>
    <w:rsid w:val="000A0C0C"/>
    <w:rsid w:val="000A0CE0"/>
    <w:rsid w:val="000A0FA8"/>
    <w:rsid w:val="000A13FE"/>
    <w:rsid w:val="000A2049"/>
    <w:rsid w:val="000A2648"/>
    <w:rsid w:val="000A28E3"/>
    <w:rsid w:val="000A3204"/>
    <w:rsid w:val="000A3C0C"/>
    <w:rsid w:val="000A4029"/>
    <w:rsid w:val="000A45C4"/>
    <w:rsid w:val="000A4647"/>
    <w:rsid w:val="000A46E4"/>
    <w:rsid w:val="000A4D2D"/>
    <w:rsid w:val="000A54C4"/>
    <w:rsid w:val="000A6436"/>
    <w:rsid w:val="000A6C78"/>
    <w:rsid w:val="000B1C15"/>
    <w:rsid w:val="000B1EC3"/>
    <w:rsid w:val="000B22C7"/>
    <w:rsid w:val="000B27E6"/>
    <w:rsid w:val="000B283C"/>
    <w:rsid w:val="000B3C90"/>
    <w:rsid w:val="000B3D37"/>
    <w:rsid w:val="000B4B43"/>
    <w:rsid w:val="000B4EC5"/>
    <w:rsid w:val="000B53E1"/>
    <w:rsid w:val="000B57A4"/>
    <w:rsid w:val="000B57F7"/>
    <w:rsid w:val="000B5ACA"/>
    <w:rsid w:val="000B765F"/>
    <w:rsid w:val="000B7A68"/>
    <w:rsid w:val="000B7DF8"/>
    <w:rsid w:val="000B7F26"/>
    <w:rsid w:val="000B7F98"/>
    <w:rsid w:val="000C0099"/>
    <w:rsid w:val="000C02C9"/>
    <w:rsid w:val="000C03AD"/>
    <w:rsid w:val="000C066B"/>
    <w:rsid w:val="000C0AAF"/>
    <w:rsid w:val="000C10A4"/>
    <w:rsid w:val="000C1183"/>
    <w:rsid w:val="000C1F65"/>
    <w:rsid w:val="000C30ED"/>
    <w:rsid w:val="000C3610"/>
    <w:rsid w:val="000C4008"/>
    <w:rsid w:val="000C4316"/>
    <w:rsid w:val="000C4358"/>
    <w:rsid w:val="000C4FBE"/>
    <w:rsid w:val="000C5116"/>
    <w:rsid w:val="000C55DC"/>
    <w:rsid w:val="000C5B44"/>
    <w:rsid w:val="000C61CC"/>
    <w:rsid w:val="000C6327"/>
    <w:rsid w:val="000C6887"/>
    <w:rsid w:val="000C6B32"/>
    <w:rsid w:val="000C6E3A"/>
    <w:rsid w:val="000C7194"/>
    <w:rsid w:val="000C74C3"/>
    <w:rsid w:val="000C7D9E"/>
    <w:rsid w:val="000D0046"/>
    <w:rsid w:val="000D0392"/>
    <w:rsid w:val="000D144C"/>
    <w:rsid w:val="000D18C4"/>
    <w:rsid w:val="000D1CE4"/>
    <w:rsid w:val="000D3295"/>
    <w:rsid w:val="000D33F2"/>
    <w:rsid w:val="000D3AB0"/>
    <w:rsid w:val="000D433E"/>
    <w:rsid w:val="000D5337"/>
    <w:rsid w:val="000D5C25"/>
    <w:rsid w:val="000D62E2"/>
    <w:rsid w:val="000D7C3C"/>
    <w:rsid w:val="000D7D2F"/>
    <w:rsid w:val="000D7EB7"/>
    <w:rsid w:val="000D7F32"/>
    <w:rsid w:val="000E116F"/>
    <w:rsid w:val="000E164B"/>
    <w:rsid w:val="000E2167"/>
    <w:rsid w:val="000E261D"/>
    <w:rsid w:val="000E2E56"/>
    <w:rsid w:val="000E2F84"/>
    <w:rsid w:val="000E3031"/>
    <w:rsid w:val="000E324C"/>
    <w:rsid w:val="000E44D1"/>
    <w:rsid w:val="000E47C0"/>
    <w:rsid w:val="000E57C7"/>
    <w:rsid w:val="000E6FD1"/>
    <w:rsid w:val="000E7794"/>
    <w:rsid w:val="000E7B61"/>
    <w:rsid w:val="000E7BF4"/>
    <w:rsid w:val="000E7C80"/>
    <w:rsid w:val="000F04F3"/>
    <w:rsid w:val="000F0504"/>
    <w:rsid w:val="000F0F62"/>
    <w:rsid w:val="000F1A07"/>
    <w:rsid w:val="000F1B09"/>
    <w:rsid w:val="000F20BF"/>
    <w:rsid w:val="000F2493"/>
    <w:rsid w:val="000F2562"/>
    <w:rsid w:val="000F2CD8"/>
    <w:rsid w:val="000F33C9"/>
    <w:rsid w:val="000F4777"/>
    <w:rsid w:val="000F4A5F"/>
    <w:rsid w:val="000F4CD8"/>
    <w:rsid w:val="000F4D66"/>
    <w:rsid w:val="000F5B25"/>
    <w:rsid w:val="000F5BF5"/>
    <w:rsid w:val="000F6544"/>
    <w:rsid w:val="000F6575"/>
    <w:rsid w:val="000F671F"/>
    <w:rsid w:val="000F68AD"/>
    <w:rsid w:val="000F6D5F"/>
    <w:rsid w:val="0010006F"/>
    <w:rsid w:val="00100339"/>
    <w:rsid w:val="001005B4"/>
    <w:rsid w:val="00100741"/>
    <w:rsid w:val="0010079E"/>
    <w:rsid w:val="00100FCF"/>
    <w:rsid w:val="00101437"/>
    <w:rsid w:val="001016DA"/>
    <w:rsid w:val="00101903"/>
    <w:rsid w:val="00101B9D"/>
    <w:rsid w:val="00101CC6"/>
    <w:rsid w:val="0010213A"/>
    <w:rsid w:val="00102238"/>
    <w:rsid w:val="001029D1"/>
    <w:rsid w:val="001035FE"/>
    <w:rsid w:val="0010462F"/>
    <w:rsid w:val="00104A97"/>
    <w:rsid w:val="00105114"/>
    <w:rsid w:val="001053E3"/>
    <w:rsid w:val="00105EBE"/>
    <w:rsid w:val="00107B29"/>
    <w:rsid w:val="00107CFB"/>
    <w:rsid w:val="00107F8D"/>
    <w:rsid w:val="001102CA"/>
    <w:rsid w:val="00110822"/>
    <w:rsid w:val="001115E3"/>
    <w:rsid w:val="00111A8D"/>
    <w:rsid w:val="0011258C"/>
    <w:rsid w:val="00113BF3"/>
    <w:rsid w:val="001144E9"/>
    <w:rsid w:val="001144FA"/>
    <w:rsid w:val="001145FD"/>
    <w:rsid w:val="00114C05"/>
    <w:rsid w:val="00114F2E"/>
    <w:rsid w:val="00115993"/>
    <w:rsid w:val="00115AF8"/>
    <w:rsid w:val="00115B2E"/>
    <w:rsid w:val="00116096"/>
    <w:rsid w:val="0011628E"/>
    <w:rsid w:val="00116616"/>
    <w:rsid w:val="00117232"/>
    <w:rsid w:val="001175A0"/>
    <w:rsid w:val="001177FD"/>
    <w:rsid w:val="00117B14"/>
    <w:rsid w:val="00117E60"/>
    <w:rsid w:val="00120101"/>
    <w:rsid w:val="001206CC"/>
    <w:rsid w:val="00120965"/>
    <w:rsid w:val="00120C60"/>
    <w:rsid w:val="001220FB"/>
    <w:rsid w:val="001222A2"/>
    <w:rsid w:val="00123F16"/>
    <w:rsid w:val="00124209"/>
    <w:rsid w:val="001246BE"/>
    <w:rsid w:val="001247A6"/>
    <w:rsid w:val="00124E5F"/>
    <w:rsid w:val="0012525E"/>
    <w:rsid w:val="00126C66"/>
    <w:rsid w:val="001306F3"/>
    <w:rsid w:val="00130B24"/>
    <w:rsid w:val="00131114"/>
    <w:rsid w:val="00131522"/>
    <w:rsid w:val="00131638"/>
    <w:rsid w:val="001317A1"/>
    <w:rsid w:val="00131976"/>
    <w:rsid w:val="00131F97"/>
    <w:rsid w:val="00132922"/>
    <w:rsid w:val="0013346C"/>
    <w:rsid w:val="001343EA"/>
    <w:rsid w:val="00134667"/>
    <w:rsid w:val="00134919"/>
    <w:rsid w:val="00134A42"/>
    <w:rsid w:val="001361C5"/>
    <w:rsid w:val="001363E7"/>
    <w:rsid w:val="001365EE"/>
    <w:rsid w:val="00136652"/>
    <w:rsid w:val="00137543"/>
    <w:rsid w:val="001376CC"/>
    <w:rsid w:val="0013770C"/>
    <w:rsid w:val="001378A3"/>
    <w:rsid w:val="00137EB6"/>
    <w:rsid w:val="0014008A"/>
    <w:rsid w:val="00140124"/>
    <w:rsid w:val="001404F6"/>
    <w:rsid w:val="00140697"/>
    <w:rsid w:val="0014084F"/>
    <w:rsid w:val="00140993"/>
    <w:rsid w:val="00140BD4"/>
    <w:rsid w:val="00140F84"/>
    <w:rsid w:val="0014178A"/>
    <w:rsid w:val="00141993"/>
    <w:rsid w:val="00141C27"/>
    <w:rsid w:val="001421B2"/>
    <w:rsid w:val="001431A6"/>
    <w:rsid w:val="001439C6"/>
    <w:rsid w:val="00144567"/>
    <w:rsid w:val="00144778"/>
    <w:rsid w:val="00144B84"/>
    <w:rsid w:val="001469A1"/>
    <w:rsid w:val="00146F57"/>
    <w:rsid w:val="00150378"/>
    <w:rsid w:val="001505BB"/>
    <w:rsid w:val="00150866"/>
    <w:rsid w:val="00150911"/>
    <w:rsid w:val="00150AF8"/>
    <w:rsid w:val="001539FD"/>
    <w:rsid w:val="00155393"/>
    <w:rsid w:val="0015540D"/>
    <w:rsid w:val="001567F6"/>
    <w:rsid w:val="0015680D"/>
    <w:rsid w:val="00157084"/>
    <w:rsid w:val="001575A9"/>
    <w:rsid w:val="0015785B"/>
    <w:rsid w:val="00157AEF"/>
    <w:rsid w:val="001602F9"/>
    <w:rsid w:val="001605D9"/>
    <w:rsid w:val="0016119D"/>
    <w:rsid w:val="00161680"/>
    <w:rsid w:val="00162656"/>
    <w:rsid w:val="00162905"/>
    <w:rsid w:val="00163247"/>
    <w:rsid w:val="00163BA3"/>
    <w:rsid w:val="00165009"/>
    <w:rsid w:val="00165D2E"/>
    <w:rsid w:val="0016662C"/>
    <w:rsid w:val="00166A45"/>
    <w:rsid w:val="00167631"/>
    <w:rsid w:val="00167B8A"/>
    <w:rsid w:val="00170E4C"/>
    <w:rsid w:val="00172BE8"/>
    <w:rsid w:val="00172D7F"/>
    <w:rsid w:val="00172EA1"/>
    <w:rsid w:val="0017377E"/>
    <w:rsid w:val="00174954"/>
    <w:rsid w:val="001770DD"/>
    <w:rsid w:val="0017730E"/>
    <w:rsid w:val="001777BC"/>
    <w:rsid w:val="00177DF6"/>
    <w:rsid w:val="001784F1"/>
    <w:rsid w:val="001808B5"/>
    <w:rsid w:val="00180E5C"/>
    <w:rsid w:val="00180FEE"/>
    <w:rsid w:val="00181329"/>
    <w:rsid w:val="001814F0"/>
    <w:rsid w:val="001816BA"/>
    <w:rsid w:val="001817AD"/>
    <w:rsid w:val="00182D15"/>
    <w:rsid w:val="00182E9E"/>
    <w:rsid w:val="00183283"/>
    <w:rsid w:val="00183380"/>
    <w:rsid w:val="00183620"/>
    <w:rsid w:val="00183F40"/>
    <w:rsid w:val="00184250"/>
    <w:rsid w:val="001844D5"/>
    <w:rsid w:val="00184770"/>
    <w:rsid w:val="00184876"/>
    <w:rsid w:val="00184ADC"/>
    <w:rsid w:val="001854BC"/>
    <w:rsid w:val="001855D4"/>
    <w:rsid w:val="00185C5E"/>
    <w:rsid w:val="00185C94"/>
    <w:rsid w:val="001861DC"/>
    <w:rsid w:val="00186E9B"/>
    <w:rsid w:val="00187130"/>
    <w:rsid w:val="00187878"/>
    <w:rsid w:val="001902A3"/>
    <w:rsid w:val="00190540"/>
    <w:rsid w:val="001906AE"/>
    <w:rsid w:val="00190D7B"/>
    <w:rsid w:val="00191D47"/>
    <w:rsid w:val="00191E6A"/>
    <w:rsid w:val="00192367"/>
    <w:rsid w:val="00192842"/>
    <w:rsid w:val="001929D8"/>
    <w:rsid w:val="001931B3"/>
    <w:rsid w:val="00193970"/>
    <w:rsid w:val="00193AB0"/>
    <w:rsid w:val="00193B26"/>
    <w:rsid w:val="00194A30"/>
    <w:rsid w:val="00195E22"/>
    <w:rsid w:val="00195ECE"/>
    <w:rsid w:val="0019606B"/>
    <w:rsid w:val="0019613A"/>
    <w:rsid w:val="00196AE4"/>
    <w:rsid w:val="00196F31"/>
    <w:rsid w:val="00196F56"/>
    <w:rsid w:val="00197414"/>
    <w:rsid w:val="001A1EA4"/>
    <w:rsid w:val="001A21FC"/>
    <w:rsid w:val="001A23C5"/>
    <w:rsid w:val="001A23E9"/>
    <w:rsid w:val="001A320F"/>
    <w:rsid w:val="001A432E"/>
    <w:rsid w:val="001A4B65"/>
    <w:rsid w:val="001A5155"/>
    <w:rsid w:val="001A58B7"/>
    <w:rsid w:val="001A5DCC"/>
    <w:rsid w:val="001A632E"/>
    <w:rsid w:val="001A63BE"/>
    <w:rsid w:val="001A6C72"/>
    <w:rsid w:val="001A6DCD"/>
    <w:rsid w:val="001A7D8F"/>
    <w:rsid w:val="001A7DDD"/>
    <w:rsid w:val="001A7E67"/>
    <w:rsid w:val="001A7FDB"/>
    <w:rsid w:val="001B056F"/>
    <w:rsid w:val="001B083B"/>
    <w:rsid w:val="001B158B"/>
    <w:rsid w:val="001B1706"/>
    <w:rsid w:val="001B1BEB"/>
    <w:rsid w:val="001B28AE"/>
    <w:rsid w:val="001B298F"/>
    <w:rsid w:val="001B373C"/>
    <w:rsid w:val="001B37FD"/>
    <w:rsid w:val="001B3A29"/>
    <w:rsid w:val="001B3FB6"/>
    <w:rsid w:val="001B418D"/>
    <w:rsid w:val="001B469D"/>
    <w:rsid w:val="001B4A3D"/>
    <w:rsid w:val="001B4B28"/>
    <w:rsid w:val="001B4C66"/>
    <w:rsid w:val="001B4FD0"/>
    <w:rsid w:val="001B52C8"/>
    <w:rsid w:val="001B53C9"/>
    <w:rsid w:val="001B540E"/>
    <w:rsid w:val="001B612C"/>
    <w:rsid w:val="001B64C0"/>
    <w:rsid w:val="001B6847"/>
    <w:rsid w:val="001B6907"/>
    <w:rsid w:val="001B694C"/>
    <w:rsid w:val="001B6A90"/>
    <w:rsid w:val="001B7988"/>
    <w:rsid w:val="001B7C5B"/>
    <w:rsid w:val="001C01B2"/>
    <w:rsid w:val="001C0A0F"/>
    <w:rsid w:val="001C0D9D"/>
    <w:rsid w:val="001C15C2"/>
    <w:rsid w:val="001C187B"/>
    <w:rsid w:val="001C19C5"/>
    <w:rsid w:val="001C2932"/>
    <w:rsid w:val="001C34BA"/>
    <w:rsid w:val="001C3501"/>
    <w:rsid w:val="001C3841"/>
    <w:rsid w:val="001C40B3"/>
    <w:rsid w:val="001C4368"/>
    <w:rsid w:val="001C4B92"/>
    <w:rsid w:val="001C4E7E"/>
    <w:rsid w:val="001C5117"/>
    <w:rsid w:val="001C541C"/>
    <w:rsid w:val="001C58AB"/>
    <w:rsid w:val="001C5AF0"/>
    <w:rsid w:val="001C68B0"/>
    <w:rsid w:val="001C6A4C"/>
    <w:rsid w:val="001C732A"/>
    <w:rsid w:val="001C78AE"/>
    <w:rsid w:val="001C7CCE"/>
    <w:rsid w:val="001C7E1D"/>
    <w:rsid w:val="001D0FE4"/>
    <w:rsid w:val="001D10BE"/>
    <w:rsid w:val="001D2248"/>
    <w:rsid w:val="001D36E6"/>
    <w:rsid w:val="001D41B9"/>
    <w:rsid w:val="001D45A4"/>
    <w:rsid w:val="001D5288"/>
    <w:rsid w:val="001D5629"/>
    <w:rsid w:val="001D5EC7"/>
    <w:rsid w:val="001D61F3"/>
    <w:rsid w:val="001D63FD"/>
    <w:rsid w:val="001D65A6"/>
    <w:rsid w:val="001D702A"/>
    <w:rsid w:val="001D788A"/>
    <w:rsid w:val="001D798D"/>
    <w:rsid w:val="001D79F4"/>
    <w:rsid w:val="001E1792"/>
    <w:rsid w:val="001E1DC5"/>
    <w:rsid w:val="001E207E"/>
    <w:rsid w:val="001E2521"/>
    <w:rsid w:val="001E2EB5"/>
    <w:rsid w:val="001E3A91"/>
    <w:rsid w:val="001E3D0B"/>
    <w:rsid w:val="001E4106"/>
    <w:rsid w:val="001E51ED"/>
    <w:rsid w:val="001E5623"/>
    <w:rsid w:val="001E5DEA"/>
    <w:rsid w:val="001E62A0"/>
    <w:rsid w:val="001E66BE"/>
    <w:rsid w:val="001E6CE9"/>
    <w:rsid w:val="001E6DC2"/>
    <w:rsid w:val="001E6FF0"/>
    <w:rsid w:val="001E72CC"/>
    <w:rsid w:val="001E731F"/>
    <w:rsid w:val="001E7410"/>
    <w:rsid w:val="001E7840"/>
    <w:rsid w:val="001E7CF5"/>
    <w:rsid w:val="001F05BF"/>
    <w:rsid w:val="001F13FC"/>
    <w:rsid w:val="001F19CC"/>
    <w:rsid w:val="001F1ECE"/>
    <w:rsid w:val="001F2519"/>
    <w:rsid w:val="001F2706"/>
    <w:rsid w:val="001F3D84"/>
    <w:rsid w:val="001F3FE6"/>
    <w:rsid w:val="001F4474"/>
    <w:rsid w:val="001F45EC"/>
    <w:rsid w:val="001F4D9D"/>
    <w:rsid w:val="001F4ECA"/>
    <w:rsid w:val="001F50DA"/>
    <w:rsid w:val="001F5CEB"/>
    <w:rsid w:val="001F6726"/>
    <w:rsid w:val="001F6B31"/>
    <w:rsid w:val="001F732F"/>
    <w:rsid w:val="001F7E77"/>
    <w:rsid w:val="00200345"/>
    <w:rsid w:val="00201BBC"/>
    <w:rsid w:val="00202F17"/>
    <w:rsid w:val="00203245"/>
    <w:rsid w:val="00204B63"/>
    <w:rsid w:val="00204D28"/>
    <w:rsid w:val="002058F4"/>
    <w:rsid w:val="00205990"/>
    <w:rsid w:val="00205A13"/>
    <w:rsid w:val="00205F44"/>
    <w:rsid w:val="00206CA6"/>
    <w:rsid w:val="00207204"/>
    <w:rsid w:val="0020723F"/>
    <w:rsid w:val="00207784"/>
    <w:rsid w:val="002105F8"/>
    <w:rsid w:val="00210FAC"/>
    <w:rsid w:val="00210FB1"/>
    <w:rsid w:val="00211085"/>
    <w:rsid w:val="00211770"/>
    <w:rsid w:val="00211AF7"/>
    <w:rsid w:val="00211CDA"/>
    <w:rsid w:val="00211DF4"/>
    <w:rsid w:val="00212515"/>
    <w:rsid w:val="002125FA"/>
    <w:rsid w:val="002126C9"/>
    <w:rsid w:val="00212974"/>
    <w:rsid w:val="00212B0F"/>
    <w:rsid w:val="0021391A"/>
    <w:rsid w:val="00213EF7"/>
    <w:rsid w:val="002143C5"/>
    <w:rsid w:val="0021523A"/>
    <w:rsid w:val="00215BE6"/>
    <w:rsid w:val="00215EE7"/>
    <w:rsid w:val="00216403"/>
    <w:rsid w:val="00217018"/>
    <w:rsid w:val="002175D3"/>
    <w:rsid w:val="00217DD5"/>
    <w:rsid w:val="002206B6"/>
    <w:rsid w:val="00220F18"/>
    <w:rsid w:val="00222EED"/>
    <w:rsid w:val="00223D87"/>
    <w:rsid w:val="0022437B"/>
    <w:rsid w:val="002247CC"/>
    <w:rsid w:val="0022626F"/>
    <w:rsid w:val="002265CD"/>
    <w:rsid w:val="002268AB"/>
    <w:rsid w:val="00226C41"/>
    <w:rsid w:val="00226F00"/>
    <w:rsid w:val="0022749C"/>
    <w:rsid w:val="00227893"/>
    <w:rsid w:val="0022791A"/>
    <w:rsid w:val="00227B10"/>
    <w:rsid w:val="00227C77"/>
    <w:rsid w:val="00227E77"/>
    <w:rsid w:val="00230985"/>
    <w:rsid w:val="00230B84"/>
    <w:rsid w:val="0023272A"/>
    <w:rsid w:val="002329AD"/>
    <w:rsid w:val="002332D5"/>
    <w:rsid w:val="00233887"/>
    <w:rsid w:val="00233A88"/>
    <w:rsid w:val="00234384"/>
    <w:rsid w:val="00235911"/>
    <w:rsid w:val="00236A9A"/>
    <w:rsid w:val="00237393"/>
    <w:rsid w:val="002373B1"/>
    <w:rsid w:val="0023752F"/>
    <w:rsid w:val="002376E5"/>
    <w:rsid w:val="00240526"/>
    <w:rsid w:val="00240DE1"/>
    <w:rsid w:val="00240F8A"/>
    <w:rsid w:val="0024116B"/>
    <w:rsid w:val="00241269"/>
    <w:rsid w:val="002417C6"/>
    <w:rsid w:val="00241B9A"/>
    <w:rsid w:val="00241DCF"/>
    <w:rsid w:val="0024226F"/>
    <w:rsid w:val="002425D7"/>
    <w:rsid w:val="00242665"/>
    <w:rsid w:val="0024295B"/>
    <w:rsid w:val="00242E41"/>
    <w:rsid w:val="00243754"/>
    <w:rsid w:val="002441C0"/>
    <w:rsid w:val="002441DD"/>
    <w:rsid w:val="002445B3"/>
    <w:rsid w:val="00245342"/>
    <w:rsid w:val="00246259"/>
    <w:rsid w:val="002462BD"/>
    <w:rsid w:val="00246411"/>
    <w:rsid w:val="0024739A"/>
    <w:rsid w:val="00247E94"/>
    <w:rsid w:val="00247ECB"/>
    <w:rsid w:val="00251470"/>
    <w:rsid w:val="00251483"/>
    <w:rsid w:val="002520B6"/>
    <w:rsid w:val="00252437"/>
    <w:rsid w:val="00252566"/>
    <w:rsid w:val="0025299B"/>
    <w:rsid w:val="00252F9F"/>
    <w:rsid w:val="00253243"/>
    <w:rsid w:val="00255311"/>
    <w:rsid w:val="0025565D"/>
    <w:rsid w:val="0025687D"/>
    <w:rsid w:val="00257074"/>
    <w:rsid w:val="002571E6"/>
    <w:rsid w:val="00257418"/>
    <w:rsid w:val="002575C8"/>
    <w:rsid w:val="0025767C"/>
    <w:rsid w:val="00260712"/>
    <w:rsid w:val="002607A0"/>
    <w:rsid w:val="00260DFD"/>
    <w:rsid w:val="00260F03"/>
    <w:rsid w:val="00261B97"/>
    <w:rsid w:val="00261CF0"/>
    <w:rsid w:val="00262450"/>
    <w:rsid w:val="00262947"/>
    <w:rsid w:val="00263339"/>
    <w:rsid w:val="00263B18"/>
    <w:rsid w:val="00264900"/>
    <w:rsid w:val="00264EB0"/>
    <w:rsid w:val="002652EC"/>
    <w:rsid w:val="00265517"/>
    <w:rsid w:val="00265F08"/>
    <w:rsid w:val="002671B9"/>
    <w:rsid w:val="00267BF2"/>
    <w:rsid w:val="0027076F"/>
    <w:rsid w:val="00270F51"/>
    <w:rsid w:val="002714DC"/>
    <w:rsid w:val="0027168A"/>
    <w:rsid w:val="0027198F"/>
    <w:rsid w:val="00271E7C"/>
    <w:rsid w:val="00271EBD"/>
    <w:rsid w:val="00272FD1"/>
    <w:rsid w:val="00273C0B"/>
    <w:rsid w:val="00273DAA"/>
    <w:rsid w:val="002743E1"/>
    <w:rsid w:val="00274869"/>
    <w:rsid w:val="00274B8C"/>
    <w:rsid w:val="00275579"/>
    <w:rsid w:val="00276212"/>
    <w:rsid w:val="00276F92"/>
    <w:rsid w:val="00276FE7"/>
    <w:rsid w:val="002774A4"/>
    <w:rsid w:val="002777F2"/>
    <w:rsid w:val="00277834"/>
    <w:rsid w:val="00277CD7"/>
    <w:rsid w:val="002805B5"/>
    <w:rsid w:val="002809F6"/>
    <w:rsid w:val="00280A81"/>
    <w:rsid w:val="002813F0"/>
    <w:rsid w:val="00281630"/>
    <w:rsid w:val="00281914"/>
    <w:rsid w:val="0028309A"/>
    <w:rsid w:val="00283303"/>
    <w:rsid w:val="00283D1B"/>
    <w:rsid w:val="00283D4A"/>
    <w:rsid w:val="00283DFD"/>
    <w:rsid w:val="00284B00"/>
    <w:rsid w:val="00285099"/>
    <w:rsid w:val="0028565D"/>
    <w:rsid w:val="00285DF5"/>
    <w:rsid w:val="00285E4C"/>
    <w:rsid w:val="00287F32"/>
    <w:rsid w:val="00287FC4"/>
    <w:rsid w:val="00290232"/>
    <w:rsid w:val="00290CE1"/>
    <w:rsid w:val="0029134D"/>
    <w:rsid w:val="00291BDC"/>
    <w:rsid w:val="002926B7"/>
    <w:rsid w:val="002929D0"/>
    <w:rsid w:val="00293848"/>
    <w:rsid w:val="0029416D"/>
    <w:rsid w:val="00294A8C"/>
    <w:rsid w:val="00296B32"/>
    <w:rsid w:val="00297019"/>
    <w:rsid w:val="002978C8"/>
    <w:rsid w:val="002A0B09"/>
    <w:rsid w:val="002A0B0D"/>
    <w:rsid w:val="002A0B32"/>
    <w:rsid w:val="002A1B8A"/>
    <w:rsid w:val="002A209A"/>
    <w:rsid w:val="002A23BE"/>
    <w:rsid w:val="002A3A68"/>
    <w:rsid w:val="002A3E9B"/>
    <w:rsid w:val="002A458B"/>
    <w:rsid w:val="002A4B83"/>
    <w:rsid w:val="002A507D"/>
    <w:rsid w:val="002A5679"/>
    <w:rsid w:val="002A6430"/>
    <w:rsid w:val="002A6596"/>
    <w:rsid w:val="002A67C7"/>
    <w:rsid w:val="002A67D9"/>
    <w:rsid w:val="002A7758"/>
    <w:rsid w:val="002A79C5"/>
    <w:rsid w:val="002B0257"/>
    <w:rsid w:val="002B113A"/>
    <w:rsid w:val="002B125B"/>
    <w:rsid w:val="002B186F"/>
    <w:rsid w:val="002B1ACB"/>
    <w:rsid w:val="002B1F40"/>
    <w:rsid w:val="002B28EF"/>
    <w:rsid w:val="002B2B10"/>
    <w:rsid w:val="002B34E9"/>
    <w:rsid w:val="002B3B9C"/>
    <w:rsid w:val="002B3C41"/>
    <w:rsid w:val="002B4167"/>
    <w:rsid w:val="002B4885"/>
    <w:rsid w:val="002B4F4A"/>
    <w:rsid w:val="002B4F64"/>
    <w:rsid w:val="002B6705"/>
    <w:rsid w:val="002B67C7"/>
    <w:rsid w:val="002B6E21"/>
    <w:rsid w:val="002B6ED1"/>
    <w:rsid w:val="002B7047"/>
    <w:rsid w:val="002C0FD0"/>
    <w:rsid w:val="002C26D9"/>
    <w:rsid w:val="002C2D8C"/>
    <w:rsid w:val="002C3C72"/>
    <w:rsid w:val="002C3DE1"/>
    <w:rsid w:val="002C46E2"/>
    <w:rsid w:val="002C51D4"/>
    <w:rsid w:val="002C6639"/>
    <w:rsid w:val="002C6969"/>
    <w:rsid w:val="002C6B16"/>
    <w:rsid w:val="002C717E"/>
    <w:rsid w:val="002C7CE4"/>
    <w:rsid w:val="002D0B78"/>
    <w:rsid w:val="002D0C1D"/>
    <w:rsid w:val="002D1227"/>
    <w:rsid w:val="002D1AA3"/>
    <w:rsid w:val="002D1EDD"/>
    <w:rsid w:val="002D219C"/>
    <w:rsid w:val="002D249B"/>
    <w:rsid w:val="002D34D0"/>
    <w:rsid w:val="002D3905"/>
    <w:rsid w:val="002D4886"/>
    <w:rsid w:val="002D49D1"/>
    <w:rsid w:val="002D4B71"/>
    <w:rsid w:val="002D6216"/>
    <w:rsid w:val="002D661C"/>
    <w:rsid w:val="002D6B66"/>
    <w:rsid w:val="002D6DBF"/>
    <w:rsid w:val="002D7403"/>
    <w:rsid w:val="002D7F54"/>
    <w:rsid w:val="002E00EE"/>
    <w:rsid w:val="002E0A7E"/>
    <w:rsid w:val="002E0BCA"/>
    <w:rsid w:val="002E12BF"/>
    <w:rsid w:val="002E210D"/>
    <w:rsid w:val="002E29CB"/>
    <w:rsid w:val="002E2CCD"/>
    <w:rsid w:val="002E4192"/>
    <w:rsid w:val="002E4FBE"/>
    <w:rsid w:val="002E53E3"/>
    <w:rsid w:val="002E6101"/>
    <w:rsid w:val="002E6E73"/>
    <w:rsid w:val="002E7627"/>
    <w:rsid w:val="002E7B92"/>
    <w:rsid w:val="002E7EF6"/>
    <w:rsid w:val="002E7FF5"/>
    <w:rsid w:val="002F0083"/>
    <w:rsid w:val="002F1387"/>
    <w:rsid w:val="002F1731"/>
    <w:rsid w:val="002F218A"/>
    <w:rsid w:val="002F28D2"/>
    <w:rsid w:val="002F30C6"/>
    <w:rsid w:val="002F3505"/>
    <w:rsid w:val="002F38F6"/>
    <w:rsid w:val="002F417B"/>
    <w:rsid w:val="002F4319"/>
    <w:rsid w:val="002F48BE"/>
    <w:rsid w:val="002F4A12"/>
    <w:rsid w:val="002F555C"/>
    <w:rsid w:val="002F579E"/>
    <w:rsid w:val="002F57DD"/>
    <w:rsid w:val="002F5F59"/>
    <w:rsid w:val="002F653C"/>
    <w:rsid w:val="002F6905"/>
    <w:rsid w:val="002F6ADC"/>
    <w:rsid w:val="002F7C85"/>
    <w:rsid w:val="003003FB"/>
    <w:rsid w:val="00300C95"/>
    <w:rsid w:val="00301136"/>
    <w:rsid w:val="00301C39"/>
    <w:rsid w:val="0030215D"/>
    <w:rsid w:val="00302267"/>
    <w:rsid w:val="00303693"/>
    <w:rsid w:val="00304056"/>
    <w:rsid w:val="003042BD"/>
    <w:rsid w:val="0030512F"/>
    <w:rsid w:val="003054A8"/>
    <w:rsid w:val="00305851"/>
    <w:rsid w:val="00305AFB"/>
    <w:rsid w:val="003060A6"/>
    <w:rsid w:val="00306770"/>
    <w:rsid w:val="0030689A"/>
    <w:rsid w:val="00307C0E"/>
    <w:rsid w:val="00307DA3"/>
    <w:rsid w:val="00311080"/>
    <w:rsid w:val="00312C2D"/>
    <w:rsid w:val="00313197"/>
    <w:rsid w:val="00313208"/>
    <w:rsid w:val="003137F4"/>
    <w:rsid w:val="003139D6"/>
    <w:rsid w:val="003142F1"/>
    <w:rsid w:val="00314905"/>
    <w:rsid w:val="00316246"/>
    <w:rsid w:val="003164E0"/>
    <w:rsid w:val="00320B4B"/>
    <w:rsid w:val="0032129F"/>
    <w:rsid w:val="00321616"/>
    <w:rsid w:val="00321C93"/>
    <w:rsid w:val="00321FF9"/>
    <w:rsid w:val="0032214B"/>
    <w:rsid w:val="0032251E"/>
    <w:rsid w:val="00322B1E"/>
    <w:rsid w:val="00323B33"/>
    <w:rsid w:val="0032437E"/>
    <w:rsid w:val="00324439"/>
    <w:rsid w:val="00324480"/>
    <w:rsid w:val="0032468D"/>
    <w:rsid w:val="00325894"/>
    <w:rsid w:val="0032594B"/>
    <w:rsid w:val="00326385"/>
    <w:rsid w:val="00326FAE"/>
    <w:rsid w:val="0032786C"/>
    <w:rsid w:val="00327D31"/>
    <w:rsid w:val="00327D5B"/>
    <w:rsid w:val="00327F24"/>
    <w:rsid w:val="00327F60"/>
    <w:rsid w:val="003302C2"/>
    <w:rsid w:val="003305CA"/>
    <w:rsid w:val="00330683"/>
    <w:rsid w:val="00330E6D"/>
    <w:rsid w:val="00330E6E"/>
    <w:rsid w:val="003311B2"/>
    <w:rsid w:val="003313E3"/>
    <w:rsid w:val="00331D04"/>
    <w:rsid w:val="00331E6E"/>
    <w:rsid w:val="003329E0"/>
    <w:rsid w:val="00332F68"/>
    <w:rsid w:val="00333477"/>
    <w:rsid w:val="00333978"/>
    <w:rsid w:val="00334DBC"/>
    <w:rsid w:val="00334DED"/>
    <w:rsid w:val="0033524E"/>
    <w:rsid w:val="00335583"/>
    <w:rsid w:val="0033610D"/>
    <w:rsid w:val="0033684E"/>
    <w:rsid w:val="0034064A"/>
    <w:rsid w:val="00341698"/>
    <w:rsid w:val="003416B3"/>
    <w:rsid w:val="00342302"/>
    <w:rsid w:val="003425A8"/>
    <w:rsid w:val="00342956"/>
    <w:rsid w:val="00342D6B"/>
    <w:rsid w:val="00343097"/>
    <w:rsid w:val="003439F2"/>
    <w:rsid w:val="00343BBF"/>
    <w:rsid w:val="00343EC1"/>
    <w:rsid w:val="003441D7"/>
    <w:rsid w:val="00344D2A"/>
    <w:rsid w:val="0034564D"/>
    <w:rsid w:val="00345865"/>
    <w:rsid w:val="00345DA2"/>
    <w:rsid w:val="00345DD7"/>
    <w:rsid w:val="00346140"/>
    <w:rsid w:val="00346FF6"/>
    <w:rsid w:val="0034761D"/>
    <w:rsid w:val="00347787"/>
    <w:rsid w:val="00347DA9"/>
    <w:rsid w:val="003504ED"/>
    <w:rsid w:val="00350633"/>
    <w:rsid w:val="00352D7A"/>
    <w:rsid w:val="00353390"/>
    <w:rsid w:val="00353D99"/>
    <w:rsid w:val="00354B15"/>
    <w:rsid w:val="00354C59"/>
    <w:rsid w:val="00355553"/>
    <w:rsid w:val="00355B80"/>
    <w:rsid w:val="00356167"/>
    <w:rsid w:val="0035645B"/>
    <w:rsid w:val="00357842"/>
    <w:rsid w:val="00357CFA"/>
    <w:rsid w:val="00360920"/>
    <w:rsid w:val="00361045"/>
    <w:rsid w:val="00361934"/>
    <w:rsid w:val="00361CF4"/>
    <w:rsid w:val="003620AC"/>
    <w:rsid w:val="003634F2"/>
    <w:rsid w:val="00364728"/>
    <w:rsid w:val="003647D7"/>
    <w:rsid w:val="00364ECD"/>
    <w:rsid w:val="00364F49"/>
    <w:rsid w:val="003652C5"/>
    <w:rsid w:val="00365419"/>
    <w:rsid w:val="0036570E"/>
    <w:rsid w:val="00365AA5"/>
    <w:rsid w:val="003670F0"/>
    <w:rsid w:val="00367A90"/>
    <w:rsid w:val="00370BB3"/>
    <w:rsid w:val="00370C83"/>
    <w:rsid w:val="00370E0A"/>
    <w:rsid w:val="00370EF5"/>
    <w:rsid w:val="003710DD"/>
    <w:rsid w:val="00371745"/>
    <w:rsid w:val="00371EF4"/>
    <w:rsid w:val="003722EA"/>
    <w:rsid w:val="00372AC1"/>
    <w:rsid w:val="00372BB4"/>
    <w:rsid w:val="003734BA"/>
    <w:rsid w:val="0037360E"/>
    <w:rsid w:val="00375C6C"/>
    <w:rsid w:val="00375DCE"/>
    <w:rsid w:val="003766AE"/>
    <w:rsid w:val="00376A99"/>
    <w:rsid w:val="003772F7"/>
    <w:rsid w:val="00380261"/>
    <w:rsid w:val="003802F4"/>
    <w:rsid w:val="00380CBD"/>
    <w:rsid w:val="00382B51"/>
    <w:rsid w:val="00382B7F"/>
    <w:rsid w:val="003831AB"/>
    <w:rsid w:val="00383DC5"/>
    <w:rsid w:val="003841A7"/>
    <w:rsid w:val="003854F8"/>
    <w:rsid w:val="00385650"/>
    <w:rsid w:val="00385910"/>
    <w:rsid w:val="003861CF"/>
    <w:rsid w:val="00386407"/>
    <w:rsid w:val="003867A3"/>
    <w:rsid w:val="00386830"/>
    <w:rsid w:val="00386915"/>
    <w:rsid w:val="003877D1"/>
    <w:rsid w:val="0039028E"/>
    <w:rsid w:val="003902BF"/>
    <w:rsid w:val="00390C06"/>
    <w:rsid w:val="00391003"/>
    <w:rsid w:val="00391B69"/>
    <w:rsid w:val="00392142"/>
    <w:rsid w:val="00393667"/>
    <w:rsid w:val="00393BE6"/>
    <w:rsid w:val="003949F0"/>
    <w:rsid w:val="00394EDD"/>
    <w:rsid w:val="00395BCF"/>
    <w:rsid w:val="0039629A"/>
    <w:rsid w:val="003A0DCA"/>
    <w:rsid w:val="003A236E"/>
    <w:rsid w:val="003A2FE0"/>
    <w:rsid w:val="003A3D62"/>
    <w:rsid w:val="003A41E1"/>
    <w:rsid w:val="003A49D9"/>
    <w:rsid w:val="003A50C9"/>
    <w:rsid w:val="003A55A6"/>
    <w:rsid w:val="003A5FF4"/>
    <w:rsid w:val="003A63D1"/>
    <w:rsid w:val="003A6617"/>
    <w:rsid w:val="003A7540"/>
    <w:rsid w:val="003A7F24"/>
    <w:rsid w:val="003B0387"/>
    <w:rsid w:val="003B1001"/>
    <w:rsid w:val="003B25AB"/>
    <w:rsid w:val="003B2899"/>
    <w:rsid w:val="003B29FF"/>
    <w:rsid w:val="003B3463"/>
    <w:rsid w:val="003B3CE7"/>
    <w:rsid w:val="003B3F9F"/>
    <w:rsid w:val="003B45E9"/>
    <w:rsid w:val="003B48A4"/>
    <w:rsid w:val="003B52A0"/>
    <w:rsid w:val="003B556C"/>
    <w:rsid w:val="003B59E9"/>
    <w:rsid w:val="003B6E93"/>
    <w:rsid w:val="003B7AA7"/>
    <w:rsid w:val="003B7FD1"/>
    <w:rsid w:val="003C01F5"/>
    <w:rsid w:val="003C047D"/>
    <w:rsid w:val="003C047F"/>
    <w:rsid w:val="003C0561"/>
    <w:rsid w:val="003C0D18"/>
    <w:rsid w:val="003C17C6"/>
    <w:rsid w:val="003C25EE"/>
    <w:rsid w:val="003C30C7"/>
    <w:rsid w:val="003C4F86"/>
    <w:rsid w:val="003C56BD"/>
    <w:rsid w:val="003C5C11"/>
    <w:rsid w:val="003C6325"/>
    <w:rsid w:val="003C63E0"/>
    <w:rsid w:val="003C6A65"/>
    <w:rsid w:val="003C789B"/>
    <w:rsid w:val="003D0B74"/>
    <w:rsid w:val="003D25CD"/>
    <w:rsid w:val="003D3282"/>
    <w:rsid w:val="003D33E9"/>
    <w:rsid w:val="003D3F5F"/>
    <w:rsid w:val="003D44D2"/>
    <w:rsid w:val="003D4C75"/>
    <w:rsid w:val="003D5C46"/>
    <w:rsid w:val="003D5E16"/>
    <w:rsid w:val="003D6521"/>
    <w:rsid w:val="003D67A2"/>
    <w:rsid w:val="003D6940"/>
    <w:rsid w:val="003D69E5"/>
    <w:rsid w:val="003D6A75"/>
    <w:rsid w:val="003D6CF2"/>
    <w:rsid w:val="003D7998"/>
    <w:rsid w:val="003D7BDE"/>
    <w:rsid w:val="003D7C58"/>
    <w:rsid w:val="003E01DF"/>
    <w:rsid w:val="003E0A28"/>
    <w:rsid w:val="003E0D3D"/>
    <w:rsid w:val="003E1636"/>
    <w:rsid w:val="003E1740"/>
    <w:rsid w:val="003E1B76"/>
    <w:rsid w:val="003E26C5"/>
    <w:rsid w:val="003E2C65"/>
    <w:rsid w:val="003E2D3B"/>
    <w:rsid w:val="003E4144"/>
    <w:rsid w:val="003E532A"/>
    <w:rsid w:val="003E5338"/>
    <w:rsid w:val="003E5D63"/>
    <w:rsid w:val="003E6633"/>
    <w:rsid w:val="003E68CF"/>
    <w:rsid w:val="003E6AF6"/>
    <w:rsid w:val="003E6E05"/>
    <w:rsid w:val="003E6FB7"/>
    <w:rsid w:val="003F0032"/>
    <w:rsid w:val="003F0EDE"/>
    <w:rsid w:val="003F17FB"/>
    <w:rsid w:val="003F1B24"/>
    <w:rsid w:val="003F2E2F"/>
    <w:rsid w:val="003F3BE8"/>
    <w:rsid w:val="003F424B"/>
    <w:rsid w:val="003F4ACE"/>
    <w:rsid w:val="003F50D0"/>
    <w:rsid w:val="003F52E9"/>
    <w:rsid w:val="003F6A91"/>
    <w:rsid w:val="004003C6"/>
    <w:rsid w:val="0040077A"/>
    <w:rsid w:val="0040120A"/>
    <w:rsid w:val="004017E2"/>
    <w:rsid w:val="00401F69"/>
    <w:rsid w:val="00402746"/>
    <w:rsid w:val="0040315E"/>
    <w:rsid w:val="00403586"/>
    <w:rsid w:val="0040439A"/>
    <w:rsid w:val="00404408"/>
    <w:rsid w:val="00404747"/>
    <w:rsid w:val="00405789"/>
    <w:rsid w:val="00405C6A"/>
    <w:rsid w:val="00405DEA"/>
    <w:rsid w:val="00405EA1"/>
    <w:rsid w:val="00406CB5"/>
    <w:rsid w:val="0040757E"/>
    <w:rsid w:val="00410ED6"/>
    <w:rsid w:val="004110D2"/>
    <w:rsid w:val="00412D4D"/>
    <w:rsid w:val="00413BA5"/>
    <w:rsid w:val="00413F67"/>
    <w:rsid w:val="00414079"/>
    <w:rsid w:val="004143CD"/>
    <w:rsid w:val="00415BB4"/>
    <w:rsid w:val="00415C61"/>
    <w:rsid w:val="00416598"/>
    <w:rsid w:val="004167DA"/>
    <w:rsid w:val="00416AC3"/>
    <w:rsid w:val="00417210"/>
    <w:rsid w:val="004174B7"/>
    <w:rsid w:val="00417A1A"/>
    <w:rsid w:val="00417D56"/>
    <w:rsid w:val="00420142"/>
    <w:rsid w:val="0042145E"/>
    <w:rsid w:val="00421F55"/>
    <w:rsid w:val="0042248D"/>
    <w:rsid w:val="00423050"/>
    <w:rsid w:val="00423347"/>
    <w:rsid w:val="004233E2"/>
    <w:rsid w:val="0042340F"/>
    <w:rsid w:val="00423CB1"/>
    <w:rsid w:val="00423E51"/>
    <w:rsid w:val="00424790"/>
    <w:rsid w:val="00424E69"/>
    <w:rsid w:val="0042511B"/>
    <w:rsid w:val="00425E05"/>
    <w:rsid w:val="00427A01"/>
    <w:rsid w:val="004300C9"/>
    <w:rsid w:val="0043028C"/>
    <w:rsid w:val="0043054F"/>
    <w:rsid w:val="00430603"/>
    <w:rsid w:val="00430A0F"/>
    <w:rsid w:val="00431052"/>
    <w:rsid w:val="00431068"/>
    <w:rsid w:val="00433BDF"/>
    <w:rsid w:val="004360FF"/>
    <w:rsid w:val="00436A7B"/>
    <w:rsid w:val="00436D8A"/>
    <w:rsid w:val="00437B0A"/>
    <w:rsid w:val="00437E10"/>
    <w:rsid w:val="00437F12"/>
    <w:rsid w:val="00441397"/>
    <w:rsid w:val="004419B0"/>
    <w:rsid w:val="00441B28"/>
    <w:rsid w:val="004426D8"/>
    <w:rsid w:val="00442C7E"/>
    <w:rsid w:val="004430BC"/>
    <w:rsid w:val="0044484F"/>
    <w:rsid w:val="00444A4E"/>
    <w:rsid w:val="004457A1"/>
    <w:rsid w:val="00446218"/>
    <w:rsid w:val="0044634E"/>
    <w:rsid w:val="00446599"/>
    <w:rsid w:val="004466D3"/>
    <w:rsid w:val="00447842"/>
    <w:rsid w:val="004478C7"/>
    <w:rsid w:val="00447A76"/>
    <w:rsid w:val="00447AEC"/>
    <w:rsid w:val="00450215"/>
    <w:rsid w:val="004502C1"/>
    <w:rsid w:val="00450B68"/>
    <w:rsid w:val="00450CCE"/>
    <w:rsid w:val="00451362"/>
    <w:rsid w:val="00451525"/>
    <w:rsid w:val="00452040"/>
    <w:rsid w:val="00452353"/>
    <w:rsid w:val="00452D66"/>
    <w:rsid w:val="00452F74"/>
    <w:rsid w:val="0045362B"/>
    <w:rsid w:val="00453D75"/>
    <w:rsid w:val="00454248"/>
    <w:rsid w:val="004542B7"/>
    <w:rsid w:val="0045439A"/>
    <w:rsid w:val="004546DC"/>
    <w:rsid w:val="004547C4"/>
    <w:rsid w:val="0045599E"/>
    <w:rsid w:val="00455B68"/>
    <w:rsid w:val="00456354"/>
    <w:rsid w:val="0045681F"/>
    <w:rsid w:val="004572AB"/>
    <w:rsid w:val="004573D9"/>
    <w:rsid w:val="00457528"/>
    <w:rsid w:val="00457F47"/>
    <w:rsid w:val="0046009F"/>
    <w:rsid w:val="00460193"/>
    <w:rsid w:val="00461F91"/>
    <w:rsid w:val="004621C3"/>
    <w:rsid w:val="00463D4E"/>
    <w:rsid w:val="004642C5"/>
    <w:rsid w:val="00464366"/>
    <w:rsid w:val="00464489"/>
    <w:rsid w:val="00464796"/>
    <w:rsid w:val="00464925"/>
    <w:rsid w:val="00464F91"/>
    <w:rsid w:val="004653AF"/>
    <w:rsid w:val="00465ABC"/>
    <w:rsid w:val="0046602B"/>
    <w:rsid w:val="00466100"/>
    <w:rsid w:val="004671AA"/>
    <w:rsid w:val="00470BA0"/>
    <w:rsid w:val="004712CE"/>
    <w:rsid w:val="0047162E"/>
    <w:rsid w:val="00471A04"/>
    <w:rsid w:val="00472A73"/>
    <w:rsid w:val="00472BE5"/>
    <w:rsid w:val="00473679"/>
    <w:rsid w:val="004737CB"/>
    <w:rsid w:val="004740FD"/>
    <w:rsid w:val="0047447D"/>
    <w:rsid w:val="00474759"/>
    <w:rsid w:val="00474C8F"/>
    <w:rsid w:val="0047507F"/>
    <w:rsid w:val="00475415"/>
    <w:rsid w:val="0047685C"/>
    <w:rsid w:val="00476BBA"/>
    <w:rsid w:val="00476D72"/>
    <w:rsid w:val="00477299"/>
    <w:rsid w:val="00477439"/>
    <w:rsid w:val="00477A27"/>
    <w:rsid w:val="00480D86"/>
    <w:rsid w:val="00481513"/>
    <w:rsid w:val="00481CBD"/>
    <w:rsid w:val="00481F91"/>
    <w:rsid w:val="00481FE6"/>
    <w:rsid w:val="004821E2"/>
    <w:rsid w:val="00482387"/>
    <w:rsid w:val="00482C49"/>
    <w:rsid w:val="00482CA1"/>
    <w:rsid w:val="0048395C"/>
    <w:rsid w:val="00483E69"/>
    <w:rsid w:val="00485A3D"/>
    <w:rsid w:val="00486B7C"/>
    <w:rsid w:val="00490350"/>
    <w:rsid w:val="004904CD"/>
    <w:rsid w:val="00490749"/>
    <w:rsid w:val="0049076D"/>
    <w:rsid w:val="004908B7"/>
    <w:rsid w:val="00490C62"/>
    <w:rsid w:val="00490CCF"/>
    <w:rsid w:val="00490F8F"/>
    <w:rsid w:val="004920B1"/>
    <w:rsid w:val="00492919"/>
    <w:rsid w:val="00492B08"/>
    <w:rsid w:val="00493BE4"/>
    <w:rsid w:val="00494436"/>
    <w:rsid w:val="0049482C"/>
    <w:rsid w:val="00494DEA"/>
    <w:rsid w:val="0049599F"/>
    <w:rsid w:val="00495A45"/>
    <w:rsid w:val="00495DCA"/>
    <w:rsid w:val="00495E45"/>
    <w:rsid w:val="00496135"/>
    <w:rsid w:val="0049648F"/>
    <w:rsid w:val="004964CE"/>
    <w:rsid w:val="0049673E"/>
    <w:rsid w:val="00496C34"/>
    <w:rsid w:val="0049755F"/>
    <w:rsid w:val="0049796E"/>
    <w:rsid w:val="00497CC1"/>
    <w:rsid w:val="004A03D8"/>
    <w:rsid w:val="004A0A2A"/>
    <w:rsid w:val="004A1D83"/>
    <w:rsid w:val="004A1FAE"/>
    <w:rsid w:val="004A213A"/>
    <w:rsid w:val="004A270E"/>
    <w:rsid w:val="004A2AFD"/>
    <w:rsid w:val="004A3049"/>
    <w:rsid w:val="004A37EA"/>
    <w:rsid w:val="004A4424"/>
    <w:rsid w:val="004A4731"/>
    <w:rsid w:val="004A610C"/>
    <w:rsid w:val="004A6ABE"/>
    <w:rsid w:val="004A7125"/>
    <w:rsid w:val="004A7DA4"/>
    <w:rsid w:val="004B019E"/>
    <w:rsid w:val="004B0762"/>
    <w:rsid w:val="004B0766"/>
    <w:rsid w:val="004B08DC"/>
    <w:rsid w:val="004B1F82"/>
    <w:rsid w:val="004B2261"/>
    <w:rsid w:val="004B226C"/>
    <w:rsid w:val="004B2584"/>
    <w:rsid w:val="004B2C80"/>
    <w:rsid w:val="004B3072"/>
    <w:rsid w:val="004B34E3"/>
    <w:rsid w:val="004B3A44"/>
    <w:rsid w:val="004B3FCE"/>
    <w:rsid w:val="004B4CA5"/>
    <w:rsid w:val="004B4CEC"/>
    <w:rsid w:val="004B52BE"/>
    <w:rsid w:val="004B56B0"/>
    <w:rsid w:val="004B5BC4"/>
    <w:rsid w:val="004B5F00"/>
    <w:rsid w:val="004B601A"/>
    <w:rsid w:val="004B75D1"/>
    <w:rsid w:val="004B7C89"/>
    <w:rsid w:val="004C0D37"/>
    <w:rsid w:val="004C1B2C"/>
    <w:rsid w:val="004C1F58"/>
    <w:rsid w:val="004C32EF"/>
    <w:rsid w:val="004C53CA"/>
    <w:rsid w:val="004C5501"/>
    <w:rsid w:val="004C55C4"/>
    <w:rsid w:val="004C56DF"/>
    <w:rsid w:val="004C56EE"/>
    <w:rsid w:val="004C5917"/>
    <w:rsid w:val="004C5E48"/>
    <w:rsid w:val="004C6749"/>
    <w:rsid w:val="004C736C"/>
    <w:rsid w:val="004C738E"/>
    <w:rsid w:val="004D069D"/>
    <w:rsid w:val="004D0778"/>
    <w:rsid w:val="004D1151"/>
    <w:rsid w:val="004D1190"/>
    <w:rsid w:val="004D1726"/>
    <w:rsid w:val="004D31B1"/>
    <w:rsid w:val="004D36A0"/>
    <w:rsid w:val="004D3FC1"/>
    <w:rsid w:val="004D42C7"/>
    <w:rsid w:val="004D4C0E"/>
    <w:rsid w:val="004D565A"/>
    <w:rsid w:val="004D5A0C"/>
    <w:rsid w:val="004D5D8B"/>
    <w:rsid w:val="004D66D6"/>
    <w:rsid w:val="004D6F37"/>
    <w:rsid w:val="004D75F6"/>
    <w:rsid w:val="004D7DDB"/>
    <w:rsid w:val="004D7EDF"/>
    <w:rsid w:val="004E014B"/>
    <w:rsid w:val="004E01D6"/>
    <w:rsid w:val="004E0243"/>
    <w:rsid w:val="004E118C"/>
    <w:rsid w:val="004E1FD5"/>
    <w:rsid w:val="004E2B26"/>
    <w:rsid w:val="004E2BB5"/>
    <w:rsid w:val="004E3327"/>
    <w:rsid w:val="004E34B8"/>
    <w:rsid w:val="004E424B"/>
    <w:rsid w:val="004E4366"/>
    <w:rsid w:val="004E4F22"/>
    <w:rsid w:val="004E5C10"/>
    <w:rsid w:val="004E63E5"/>
    <w:rsid w:val="004E6732"/>
    <w:rsid w:val="004E71D3"/>
    <w:rsid w:val="004E71FE"/>
    <w:rsid w:val="004E7FFD"/>
    <w:rsid w:val="004F04FB"/>
    <w:rsid w:val="004F0524"/>
    <w:rsid w:val="004F060F"/>
    <w:rsid w:val="004F0FF1"/>
    <w:rsid w:val="004F170C"/>
    <w:rsid w:val="004F236C"/>
    <w:rsid w:val="004F24D0"/>
    <w:rsid w:val="004F2596"/>
    <w:rsid w:val="004F496A"/>
    <w:rsid w:val="004F586D"/>
    <w:rsid w:val="004F5AFB"/>
    <w:rsid w:val="004F5C5A"/>
    <w:rsid w:val="004F5DE8"/>
    <w:rsid w:val="004F68A9"/>
    <w:rsid w:val="004F71A2"/>
    <w:rsid w:val="004F745D"/>
    <w:rsid w:val="004F7BF5"/>
    <w:rsid w:val="00500719"/>
    <w:rsid w:val="00501C62"/>
    <w:rsid w:val="00501EA6"/>
    <w:rsid w:val="00501F43"/>
    <w:rsid w:val="0050287A"/>
    <w:rsid w:val="00502D21"/>
    <w:rsid w:val="00502E10"/>
    <w:rsid w:val="00502E60"/>
    <w:rsid w:val="00502E9D"/>
    <w:rsid w:val="0050438A"/>
    <w:rsid w:val="00505009"/>
    <w:rsid w:val="00505448"/>
    <w:rsid w:val="00505A37"/>
    <w:rsid w:val="00506630"/>
    <w:rsid w:val="005067ED"/>
    <w:rsid w:val="00506BF4"/>
    <w:rsid w:val="00507097"/>
    <w:rsid w:val="00507835"/>
    <w:rsid w:val="00511403"/>
    <w:rsid w:val="00511AD0"/>
    <w:rsid w:val="00511B5A"/>
    <w:rsid w:val="00511F30"/>
    <w:rsid w:val="0051274B"/>
    <w:rsid w:val="00512899"/>
    <w:rsid w:val="0051293D"/>
    <w:rsid w:val="00512B50"/>
    <w:rsid w:val="00512B84"/>
    <w:rsid w:val="005137A9"/>
    <w:rsid w:val="00513CC2"/>
    <w:rsid w:val="0051519E"/>
    <w:rsid w:val="0051558D"/>
    <w:rsid w:val="00515A3D"/>
    <w:rsid w:val="0051600D"/>
    <w:rsid w:val="005163CA"/>
    <w:rsid w:val="00516DE7"/>
    <w:rsid w:val="00516FB2"/>
    <w:rsid w:val="00517136"/>
    <w:rsid w:val="00517B7E"/>
    <w:rsid w:val="0052091F"/>
    <w:rsid w:val="00520AF2"/>
    <w:rsid w:val="005214E3"/>
    <w:rsid w:val="00521675"/>
    <w:rsid w:val="00521803"/>
    <w:rsid w:val="00521E56"/>
    <w:rsid w:val="00522067"/>
    <w:rsid w:val="00522177"/>
    <w:rsid w:val="00522F5E"/>
    <w:rsid w:val="005232BC"/>
    <w:rsid w:val="0052386B"/>
    <w:rsid w:val="00523BFA"/>
    <w:rsid w:val="00523D83"/>
    <w:rsid w:val="00524A29"/>
    <w:rsid w:val="00524C0A"/>
    <w:rsid w:val="00524DCE"/>
    <w:rsid w:val="00525050"/>
    <w:rsid w:val="00525419"/>
    <w:rsid w:val="005257F3"/>
    <w:rsid w:val="00525898"/>
    <w:rsid w:val="00525BE8"/>
    <w:rsid w:val="00525CCB"/>
    <w:rsid w:val="00525FBB"/>
    <w:rsid w:val="005268A5"/>
    <w:rsid w:val="00526A9F"/>
    <w:rsid w:val="00527031"/>
    <w:rsid w:val="005273EA"/>
    <w:rsid w:val="005304CC"/>
    <w:rsid w:val="00530C6D"/>
    <w:rsid w:val="0053110F"/>
    <w:rsid w:val="00533FEF"/>
    <w:rsid w:val="00534E5D"/>
    <w:rsid w:val="0053550A"/>
    <w:rsid w:val="00535993"/>
    <w:rsid w:val="00535C81"/>
    <w:rsid w:val="0053655E"/>
    <w:rsid w:val="005367B3"/>
    <w:rsid w:val="00536A70"/>
    <w:rsid w:val="00536CDF"/>
    <w:rsid w:val="00540A57"/>
    <w:rsid w:val="00541774"/>
    <w:rsid w:val="00541880"/>
    <w:rsid w:val="005418FC"/>
    <w:rsid w:val="00541C24"/>
    <w:rsid w:val="005425BB"/>
    <w:rsid w:val="00543C90"/>
    <w:rsid w:val="00543E66"/>
    <w:rsid w:val="0054412D"/>
    <w:rsid w:val="0054523F"/>
    <w:rsid w:val="005456AD"/>
    <w:rsid w:val="00545EBF"/>
    <w:rsid w:val="00546302"/>
    <w:rsid w:val="00546D45"/>
    <w:rsid w:val="00546D8E"/>
    <w:rsid w:val="00546FDD"/>
    <w:rsid w:val="00547322"/>
    <w:rsid w:val="00547760"/>
    <w:rsid w:val="00547D00"/>
    <w:rsid w:val="005507C7"/>
    <w:rsid w:val="00551340"/>
    <w:rsid w:val="00551F3C"/>
    <w:rsid w:val="005524A4"/>
    <w:rsid w:val="00553549"/>
    <w:rsid w:val="00553708"/>
    <w:rsid w:val="00554067"/>
    <w:rsid w:val="005544A2"/>
    <w:rsid w:val="005547F5"/>
    <w:rsid w:val="00554F19"/>
    <w:rsid w:val="00555A29"/>
    <w:rsid w:val="00556138"/>
    <w:rsid w:val="0055640D"/>
    <w:rsid w:val="005605AC"/>
    <w:rsid w:val="005606FD"/>
    <w:rsid w:val="0056087B"/>
    <w:rsid w:val="005608B3"/>
    <w:rsid w:val="00560BE0"/>
    <w:rsid w:val="005622B1"/>
    <w:rsid w:val="005622E1"/>
    <w:rsid w:val="0056241F"/>
    <w:rsid w:val="00562614"/>
    <w:rsid w:val="00562ABF"/>
    <w:rsid w:val="00562C48"/>
    <w:rsid w:val="005630E8"/>
    <w:rsid w:val="0056313F"/>
    <w:rsid w:val="005635CB"/>
    <w:rsid w:val="00563F7C"/>
    <w:rsid w:val="00564806"/>
    <w:rsid w:val="005652CF"/>
    <w:rsid w:val="00565A52"/>
    <w:rsid w:val="00565D4C"/>
    <w:rsid w:val="00566186"/>
    <w:rsid w:val="00566330"/>
    <w:rsid w:val="00566396"/>
    <w:rsid w:val="00566577"/>
    <w:rsid w:val="00566AD8"/>
    <w:rsid w:val="0056779D"/>
    <w:rsid w:val="00570B86"/>
    <w:rsid w:val="005712B1"/>
    <w:rsid w:val="005713CB"/>
    <w:rsid w:val="005732EB"/>
    <w:rsid w:val="0057412B"/>
    <w:rsid w:val="00574427"/>
    <w:rsid w:val="00574659"/>
    <w:rsid w:val="005746E5"/>
    <w:rsid w:val="005746ED"/>
    <w:rsid w:val="005748E3"/>
    <w:rsid w:val="00575682"/>
    <w:rsid w:val="0057699E"/>
    <w:rsid w:val="005773EC"/>
    <w:rsid w:val="005800E2"/>
    <w:rsid w:val="005803BF"/>
    <w:rsid w:val="005806AF"/>
    <w:rsid w:val="0058078C"/>
    <w:rsid w:val="005809A2"/>
    <w:rsid w:val="00581F59"/>
    <w:rsid w:val="0058251F"/>
    <w:rsid w:val="00582575"/>
    <w:rsid w:val="00582FAD"/>
    <w:rsid w:val="005841FD"/>
    <w:rsid w:val="005842D5"/>
    <w:rsid w:val="005846A3"/>
    <w:rsid w:val="00584A79"/>
    <w:rsid w:val="0058501D"/>
    <w:rsid w:val="005855EC"/>
    <w:rsid w:val="00585A42"/>
    <w:rsid w:val="00585F7E"/>
    <w:rsid w:val="00586259"/>
    <w:rsid w:val="005866C6"/>
    <w:rsid w:val="005874C0"/>
    <w:rsid w:val="00587EF8"/>
    <w:rsid w:val="00590166"/>
    <w:rsid w:val="00590366"/>
    <w:rsid w:val="005907BB"/>
    <w:rsid w:val="005908B8"/>
    <w:rsid w:val="00590CA4"/>
    <w:rsid w:val="00591779"/>
    <w:rsid w:val="00591E95"/>
    <w:rsid w:val="00592827"/>
    <w:rsid w:val="00592A2E"/>
    <w:rsid w:val="005932D4"/>
    <w:rsid w:val="00593801"/>
    <w:rsid w:val="00593905"/>
    <w:rsid w:val="00593F4D"/>
    <w:rsid w:val="00594341"/>
    <w:rsid w:val="0059446D"/>
    <w:rsid w:val="00594ABF"/>
    <w:rsid w:val="0059501E"/>
    <w:rsid w:val="005958F9"/>
    <w:rsid w:val="005969E5"/>
    <w:rsid w:val="0059747C"/>
    <w:rsid w:val="00597705"/>
    <w:rsid w:val="00597B94"/>
    <w:rsid w:val="005A0F92"/>
    <w:rsid w:val="005A11E6"/>
    <w:rsid w:val="005A15D9"/>
    <w:rsid w:val="005A17D1"/>
    <w:rsid w:val="005A1EBD"/>
    <w:rsid w:val="005A2484"/>
    <w:rsid w:val="005A25D5"/>
    <w:rsid w:val="005A27D5"/>
    <w:rsid w:val="005A3FC8"/>
    <w:rsid w:val="005A4E1E"/>
    <w:rsid w:val="005A5CC1"/>
    <w:rsid w:val="005A6A61"/>
    <w:rsid w:val="005A6ACC"/>
    <w:rsid w:val="005A6DA9"/>
    <w:rsid w:val="005A7933"/>
    <w:rsid w:val="005B004B"/>
    <w:rsid w:val="005B0968"/>
    <w:rsid w:val="005B0ACC"/>
    <w:rsid w:val="005B0C7F"/>
    <w:rsid w:val="005B13BC"/>
    <w:rsid w:val="005B1437"/>
    <w:rsid w:val="005B1D71"/>
    <w:rsid w:val="005B207E"/>
    <w:rsid w:val="005B2484"/>
    <w:rsid w:val="005B28DB"/>
    <w:rsid w:val="005B2D8E"/>
    <w:rsid w:val="005B2E06"/>
    <w:rsid w:val="005B3254"/>
    <w:rsid w:val="005B355A"/>
    <w:rsid w:val="005B3871"/>
    <w:rsid w:val="005B38FB"/>
    <w:rsid w:val="005B460B"/>
    <w:rsid w:val="005B4ACD"/>
    <w:rsid w:val="005B4AD2"/>
    <w:rsid w:val="005B5147"/>
    <w:rsid w:val="005B547B"/>
    <w:rsid w:val="005B58F4"/>
    <w:rsid w:val="005B5B24"/>
    <w:rsid w:val="005B5CB6"/>
    <w:rsid w:val="005B630B"/>
    <w:rsid w:val="005B64C9"/>
    <w:rsid w:val="005B659D"/>
    <w:rsid w:val="005B6AAE"/>
    <w:rsid w:val="005B6B98"/>
    <w:rsid w:val="005B70CF"/>
    <w:rsid w:val="005B76AE"/>
    <w:rsid w:val="005B7F63"/>
    <w:rsid w:val="005C0C4A"/>
    <w:rsid w:val="005C0EA0"/>
    <w:rsid w:val="005C0FD2"/>
    <w:rsid w:val="005C12BF"/>
    <w:rsid w:val="005C1326"/>
    <w:rsid w:val="005C3075"/>
    <w:rsid w:val="005C3527"/>
    <w:rsid w:val="005C3C1B"/>
    <w:rsid w:val="005C3DC3"/>
    <w:rsid w:val="005C40CB"/>
    <w:rsid w:val="005C427B"/>
    <w:rsid w:val="005C4677"/>
    <w:rsid w:val="005C4B02"/>
    <w:rsid w:val="005C4EB1"/>
    <w:rsid w:val="005C5140"/>
    <w:rsid w:val="005C539D"/>
    <w:rsid w:val="005C59C1"/>
    <w:rsid w:val="005C669F"/>
    <w:rsid w:val="005C76BD"/>
    <w:rsid w:val="005D05A8"/>
    <w:rsid w:val="005D0F9A"/>
    <w:rsid w:val="005D114D"/>
    <w:rsid w:val="005D131A"/>
    <w:rsid w:val="005D15AE"/>
    <w:rsid w:val="005D1D23"/>
    <w:rsid w:val="005D31FF"/>
    <w:rsid w:val="005D3965"/>
    <w:rsid w:val="005D3B8D"/>
    <w:rsid w:val="005D3CAE"/>
    <w:rsid w:val="005D3E62"/>
    <w:rsid w:val="005D40FA"/>
    <w:rsid w:val="005D5EB2"/>
    <w:rsid w:val="005E029A"/>
    <w:rsid w:val="005E0303"/>
    <w:rsid w:val="005E0EDE"/>
    <w:rsid w:val="005E194A"/>
    <w:rsid w:val="005E29CC"/>
    <w:rsid w:val="005E3400"/>
    <w:rsid w:val="005E3806"/>
    <w:rsid w:val="005E383F"/>
    <w:rsid w:val="005E3A08"/>
    <w:rsid w:val="005E3B97"/>
    <w:rsid w:val="005E4785"/>
    <w:rsid w:val="005E4D0E"/>
    <w:rsid w:val="005E4D60"/>
    <w:rsid w:val="005E5A51"/>
    <w:rsid w:val="005E62D6"/>
    <w:rsid w:val="005E6B20"/>
    <w:rsid w:val="005E7099"/>
    <w:rsid w:val="005F0CB3"/>
    <w:rsid w:val="005F0DC0"/>
    <w:rsid w:val="005F0FBF"/>
    <w:rsid w:val="005F1073"/>
    <w:rsid w:val="005F155C"/>
    <w:rsid w:val="005F15EB"/>
    <w:rsid w:val="005F1F44"/>
    <w:rsid w:val="005F219C"/>
    <w:rsid w:val="005F220C"/>
    <w:rsid w:val="005F25D9"/>
    <w:rsid w:val="005F2AD0"/>
    <w:rsid w:val="005F4086"/>
    <w:rsid w:val="005F4294"/>
    <w:rsid w:val="005F4C6D"/>
    <w:rsid w:val="005F5831"/>
    <w:rsid w:val="005F7236"/>
    <w:rsid w:val="005F7C86"/>
    <w:rsid w:val="00600534"/>
    <w:rsid w:val="00600852"/>
    <w:rsid w:val="00600F46"/>
    <w:rsid w:val="00601272"/>
    <w:rsid w:val="006014A0"/>
    <w:rsid w:val="0060168F"/>
    <w:rsid w:val="00601BC7"/>
    <w:rsid w:val="00601E87"/>
    <w:rsid w:val="00601F6C"/>
    <w:rsid w:val="00602278"/>
    <w:rsid w:val="006022DC"/>
    <w:rsid w:val="00602531"/>
    <w:rsid w:val="00602773"/>
    <w:rsid w:val="00602AEF"/>
    <w:rsid w:val="00603886"/>
    <w:rsid w:val="00603AEA"/>
    <w:rsid w:val="00604E87"/>
    <w:rsid w:val="00605AD7"/>
    <w:rsid w:val="00605BD5"/>
    <w:rsid w:val="00605D43"/>
    <w:rsid w:val="00606000"/>
    <w:rsid w:val="006062E7"/>
    <w:rsid w:val="0060659B"/>
    <w:rsid w:val="006069D2"/>
    <w:rsid w:val="0060724D"/>
    <w:rsid w:val="00607718"/>
    <w:rsid w:val="00607C91"/>
    <w:rsid w:val="0061079C"/>
    <w:rsid w:val="00612012"/>
    <w:rsid w:val="00612195"/>
    <w:rsid w:val="006125F7"/>
    <w:rsid w:val="0061271B"/>
    <w:rsid w:val="00612744"/>
    <w:rsid w:val="00612C15"/>
    <w:rsid w:val="00612F24"/>
    <w:rsid w:val="006139A0"/>
    <w:rsid w:val="0061425D"/>
    <w:rsid w:val="00614971"/>
    <w:rsid w:val="00614F5B"/>
    <w:rsid w:val="00615114"/>
    <w:rsid w:val="00615888"/>
    <w:rsid w:val="0061629D"/>
    <w:rsid w:val="0061685B"/>
    <w:rsid w:val="006168AE"/>
    <w:rsid w:val="00616933"/>
    <w:rsid w:val="00616CD4"/>
    <w:rsid w:val="00617AE0"/>
    <w:rsid w:val="00617E24"/>
    <w:rsid w:val="006204F4"/>
    <w:rsid w:val="00620D17"/>
    <w:rsid w:val="0062119A"/>
    <w:rsid w:val="0062134E"/>
    <w:rsid w:val="00621DFB"/>
    <w:rsid w:val="00622EEF"/>
    <w:rsid w:val="00624087"/>
    <w:rsid w:val="006245A2"/>
    <w:rsid w:val="006251C2"/>
    <w:rsid w:val="00625867"/>
    <w:rsid w:val="00625A7C"/>
    <w:rsid w:val="00625FF7"/>
    <w:rsid w:val="00626539"/>
    <w:rsid w:val="00626E36"/>
    <w:rsid w:val="00627218"/>
    <w:rsid w:val="00627A20"/>
    <w:rsid w:val="0063096C"/>
    <w:rsid w:val="00630D38"/>
    <w:rsid w:val="00631140"/>
    <w:rsid w:val="006325F7"/>
    <w:rsid w:val="00632C13"/>
    <w:rsid w:val="00632ECB"/>
    <w:rsid w:val="00633361"/>
    <w:rsid w:val="00633B06"/>
    <w:rsid w:val="006350C9"/>
    <w:rsid w:val="006352CB"/>
    <w:rsid w:val="00635421"/>
    <w:rsid w:val="006355D1"/>
    <w:rsid w:val="0063560A"/>
    <w:rsid w:val="00635DD4"/>
    <w:rsid w:val="00636181"/>
    <w:rsid w:val="006362A2"/>
    <w:rsid w:val="006362E4"/>
    <w:rsid w:val="00636366"/>
    <w:rsid w:val="00636390"/>
    <w:rsid w:val="00637692"/>
    <w:rsid w:val="00640E92"/>
    <w:rsid w:val="00642570"/>
    <w:rsid w:val="00643058"/>
    <w:rsid w:val="006433E9"/>
    <w:rsid w:val="0064438F"/>
    <w:rsid w:val="006450BA"/>
    <w:rsid w:val="0064568C"/>
    <w:rsid w:val="00645B7C"/>
    <w:rsid w:val="00645E2A"/>
    <w:rsid w:val="0064704A"/>
    <w:rsid w:val="006501BF"/>
    <w:rsid w:val="006520BF"/>
    <w:rsid w:val="00652554"/>
    <w:rsid w:val="00653111"/>
    <w:rsid w:val="0065317A"/>
    <w:rsid w:val="00653956"/>
    <w:rsid w:val="00653A48"/>
    <w:rsid w:val="00653C98"/>
    <w:rsid w:val="00653D0B"/>
    <w:rsid w:val="0065446A"/>
    <w:rsid w:val="0065470A"/>
    <w:rsid w:val="00654D1F"/>
    <w:rsid w:val="00654E5E"/>
    <w:rsid w:val="00655CB9"/>
    <w:rsid w:val="00656216"/>
    <w:rsid w:val="006572FE"/>
    <w:rsid w:val="00660FE7"/>
    <w:rsid w:val="00662018"/>
    <w:rsid w:val="0066293F"/>
    <w:rsid w:val="00663DE4"/>
    <w:rsid w:val="006642D8"/>
    <w:rsid w:val="00665AF8"/>
    <w:rsid w:val="0066666F"/>
    <w:rsid w:val="0066675C"/>
    <w:rsid w:val="00670999"/>
    <w:rsid w:val="0067141C"/>
    <w:rsid w:val="0067144B"/>
    <w:rsid w:val="0067188B"/>
    <w:rsid w:val="00671D95"/>
    <w:rsid w:val="00671DC6"/>
    <w:rsid w:val="006726ED"/>
    <w:rsid w:val="00672EA8"/>
    <w:rsid w:val="0067358F"/>
    <w:rsid w:val="00673CC9"/>
    <w:rsid w:val="00673CDF"/>
    <w:rsid w:val="00675E0C"/>
    <w:rsid w:val="0067609E"/>
    <w:rsid w:val="00676A32"/>
    <w:rsid w:val="00676B27"/>
    <w:rsid w:val="006779B3"/>
    <w:rsid w:val="006779EF"/>
    <w:rsid w:val="00677A1F"/>
    <w:rsid w:val="0068079C"/>
    <w:rsid w:val="0068114E"/>
    <w:rsid w:val="006820FB"/>
    <w:rsid w:val="006828FC"/>
    <w:rsid w:val="0068290E"/>
    <w:rsid w:val="00683126"/>
    <w:rsid w:val="00683C2C"/>
    <w:rsid w:val="00684176"/>
    <w:rsid w:val="006842C6"/>
    <w:rsid w:val="00684E4E"/>
    <w:rsid w:val="00685870"/>
    <w:rsid w:val="00685D62"/>
    <w:rsid w:val="00686F2E"/>
    <w:rsid w:val="00686FDC"/>
    <w:rsid w:val="0068709F"/>
    <w:rsid w:val="00687A09"/>
    <w:rsid w:val="00687FF7"/>
    <w:rsid w:val="00690733"/>
    <w:rsid w:val="0069098C"/>
    <w:rsid w:val="006916AD"/>
    <w:rsid w:val="006925B2"/>
    <w:rsid w:val="00693059"/>
    <w:rsid w:val="006930AF"/>
    <w:rsid w:val="00693AF0"/>
    <w:rsid w:val="00693F0A"/>
    <w:rsid w:val="00694B4F"/>
    <w:rsid w:val="00694CA2"/>
    <w:rsid w:val="0069681F"/>
    <w:rsid w:val="00696B3C"/>
    <w:rsid w:val="00696BB2"/>
    <w:rsid w:val="00697403"/>
    <w:rsid w:val="0069774C"/>
    <w:rsid w:val="00697955"/>
    <w:rsid w:val="006A010B"/>
    <w:rsid w:val="006A0431"/>
    <w:rsid w:val="006A06CE"/>
    <w:rsid w:val="006A118D"/>
    <w:rsid w:val="006A20BA"/>
    <w:rsid w:val="006A277B"/>
    <w:rsid w:val="006A3972"/>
    <w:rsid w:val="006A3A96"/>
    <w:rsid w:val="006A42D8"/>
    <w:rsid w:val="006A4640"/>
    <w:rsid w:val="006A51FA"/>
    <w:rsid w:val="006A5D11"/>
    <w:rsid w:val="006A60F1"/>
    <w:rsid w:val="006A62E8"/>
    <w:rsid w:val="006A712D"/>
    <w:rsid w:val="006A7BD5"/>
    <w:rsid w:val="006A7F3A"/>
    <w:rsid w:val="006B07AD"/>
    <w:rsid w:val="006B0ECD"/>
    <w:rsid w:val="006B0F95"/>
    <w:rsid w:val="006B1099"/>
    <w:rsid w:val="006B145C"/>
    <w:rsid w:val="006B157F"/>
    <w:rsid w:val="006B214F"/>
    <w:rsid w:val="006B40CC"/>
    <w:rsid w:val="006B4E91"/>
    <w:rsid w:val="006B5DD3"/>
    <w:rsid w:val="006B5DFA"/>
    <w:rsid w:val="006B5ED9"/>
    <w:rsid w:val="006B6174"/>
    <w:rsid w:val="006B69DA"/>
    <w:rsid w:val="006B6C9C"/>
    <w:rsid w:val="006B6D76"/>
    <w:rsid w:val="006B7730"/>
    <w:rsid w:val="006B7C5C"/>
    <w:rsid w:val="006C05BC"/>
    <w:rsid w:val="006C0A52"/>
    <w:rsid w:val="006C0D6A"/>
    <w:rsid w:val="006C0FD2"/>
    <w:rsid w:val="006C1B6A"/>
    <w:rsid w:val="006C2FD6"/>
    <w:rsid w:val="006C33C0"/>
    <w:rsid w:val="006C3BC3"/>
    <w:rsid w:val="006C4E31"/>
    <w:rsid w:val="006C532C"/>
    <w:rsid w:val="006C5AED"/>
    <w:rsid w:val="006C6D2A"/>
    <w:rsid w:val="006C71B3"/>
    <w:rsid w:val="006C783B"/>
    <w:rsid w:val="006C7E79"/>
    <w:rsid w:val="006D0F63"/>
    <w:rsid w:val="006D1574"/>
    <w:rsid w:val="006D16CB"/>
    <w:rsid w:val="006D1F6B"/>
    <w:rsid w:val="006D27A6"/>
    <w:rsid w:val="006D2B75"/>
    <w:rsid w:val="006D2FDA"/>
    <w:rsid w:val="006D3EE7"/>
    <w:rsid w:val="006D4C1A"/>
    <w:rsid w:val="006D4DB1"/>
    <w:rsid w:val="006D5379"/>
    <w:rsid w:val="006D53E2"/>
    <w:rsid w:val="006D57B2"/>
    <w:rsid w:val="006D64DE"/>
    <w:rsid w:val="006D65BD"/>
    <w:rsid w:val="006D6674"/>
    <w:rsid w:val="006D6960"/>
    <w:rsid w:val="006D6B60"/>
    <w:rsid w:val="006D70C4"/>
    <w:rsid w:val="006D7381"/>
    <w:rsid w:val="006D7912"/>
    <w:rsid w:val="006E015D"/>
    <w:rsid w:val="006E0D25"/>
    <w:rsid w:val="006E101D"/>
    <w:rsid w:val="006E1706"/>
    <w:rsid w:val="006E182D"/>
    <w:rsid w:val="006E1D4F"/>
    <w:rsid w:val="006E1EDE"/>
    <w:rsid w:val="006E1F85"/>
    <w:rsid w:val="006E226E"/>
    <w:rsid w:val="006E2632"/>
    <w:rsid w:val="006E32DA"/>
    <w:rsid w:val="006E3475"/>
    <w:rsid w:val="006E4713"/>
    <w:rsid w:val="006E5652"/>
    <w:rsid w:val="006E5C79"/>
    <w:rsid w:val="006E5DC9"/>
    <w:rsid w:val="006E67AC"/>
    <w:rsid w:val="006E6917"/>
    <w:rsid w:val="006E6F8C"/>
    <w:rsid w:val="006E6FAE"/>
    <w:rsid w:val="006E76BE"/>
    <w:rsid w:val="006E7DBB"/>
    <w:rsid w:val="006E7E17"/>
    <w:rsid w:val="006F000A"/>
    <w:rsid w:val="006F0918"/>
    <w:rsid w:val="006F0AF7"/>
    <w:rsid w:val="006F157B"/>
    <w:rsid w:val="006F2265"/>
    <w:rsid w:val="006F2B38"/>
    <w:rsid w:val="006F3994"/>
    <w:rsid w:val="006F42B5"/>
    <w:rsid w:val="006F4981"/>
    <w:rsid w:val="006F56A2"/>
    <w:rsid w:val="006F6197"/>
    <w:rsid w:val="006F6E04"/>
    <w:rsid w:val="006F7161"/>
    <w:rsid w:val="006F759A"/>
    <w:rsid w:val="006F778E"/>
    <w:rsid w:val="0070140E"/>
    <w:rsid w:val="007025E8"/>
    <w:rsid w:val="007029C1"/>
    <w:rsid w:val="00703151"/>
    <w:rsid w:val="007034BE"/>
    <w:rsid w:val="0070497D"/>
    <w:rsid w:val="00704FDF"/>
    <w:rsid w:val="0070531D"/>
    <w:rsid w:val="007055BE"/>
    <w:rsid w:val="00705AD6"/>
    <w:rsid w:val="0070696C"/>
    <w:rsid w:val="00707124"/>
    <w:rsid w:val="00707630"/>
    <w:rsid w:val="00707EBF"/>
    <w:rsid w:val="007101D2"/>
    <w:rsid w:val="00710A63"/>
    <w:rsid w:val="00710D9D"/>
    <w:rsid w:val="00710E6F"/>
    <w:rsid w:val="00711B99"/>
    <w:rsid w:val="00711DE5"/>
    <w:rsid w:val="00712F96"/>
    <w:rsid w:val="007133A9"/>
    <w:rsid w:val="00713E3B"/>
    <w:rsid w:val="00713F8C"/>
    <w:rsid w:val="0071457C"/>
    <w:rsid w:val="00715743"/>
    <w:rsid w:val="00715852"/>
    <w:rsid w:val="00715985"/>
    <w:rsid w:val="00715F7D"/>
    <w:rsid w:val="00716218"/>
    <w:rsid w:val="00716AA3"/>
    <w:rsid w:val="00717216"/>
    <w:rsid w:val="0071731A"/>
    <w:rsid w:val="007179B1"/>
    <w:rsid w:val="0072022C"/>
    <w:rsid w:val="007203D3"/>
    <w:rsid w:val="007205E9"/>
    <w:rsid w:val="00720841"/>
    <w:rsid w:val="007214CC"/>
    <w:rsid w:val="00722DEE"/>
    <w:rsid w:val="00722F56"/>
    <w:rsid w:val="0072369A"/>
    <w:rsid w:val="00723D02"/>
    <w:rsid w:val="00724394"/>
    <w:rsid w:val="0072498F"/>
    <w:rsid w:val="007255B2"/>
    <w:rsid w:val="00725A5B"/>
    <w:rsid w:val="00725AA7"/>
    <w:rsid w:val="00727430"/>
    <w:rsid w:val="00727C48"/>
    <w:rsid w:val="00730087"/>
    <w:rsid w:val="0073029A"/>
    <w:rsid w:val="0073073A"/>
    <w:rsid w:val="0073103C"/>
    <w:rsid w:val="007314EB"/>
    <w:rsid w:val="007315C8"/>
    <w:rsid w:val="0073216D"/>
    <w:rsid w:val="00732960"/>
    <w:rsid w:val="007329BA"/>
    <w:rsid w:val="00732C30"/>
    <w:rsid w:val="007331A7"/>
    <w:rsid w:val="00733B0B"/>
    <w:rsid w:val="00733B8E"/>
    <w:rsid w:val="00733C94"/>
    <w:rsid w:val="007343B8"/>
    <w:rsid w:val="00734C53"/>
    <w:rsid w:val="007359A0"/>
    <w:rsid w:val="00735BDF"/>
    <w:rsid w:val="00735C99"/>
    <w:rsid w:val="00736715"/>
    <w:rsid w:val="0073709A"/>
    <w:rsid w:val="00737490"/>
    <w:rsid w:val="00737B7B"/>
    <w:rsid w:val="00737BFD"/>
    <w:rsid w:val="00740D4D"/>
    <w:rsid w:val="00740DF7"/>
    <w:rsid w:val="00740EFA"/>
    <w:rsid w:val="00741300"/>
    <w:rsid w:val="007429AB"/>
    <w:rsid w:val="00742A2D"/>
    <w:rsid w:val="007442F4"/>
    <w:rsid w:val="007444F5"/>
    <w:rsid w:val="007446BF"/>
    <w:rsid w:val="007446EE"/>
    <w:rsid w:val="00745040"/>
    <w:rsid w:val="00745117"/>
    <w:rsid w:val="007456DC"/>
    <w:rsid w:val="007464F9"/>
    <w:rsid w:val="00746B7B"/>
    <w:rsid w:val="00747BB1"/>
    <w:rsid w:val="00747BFD"/>
    <w:rsid w:val="007506A8"/>
    <w:rsid w:val="00751C97"/>
    <w:rsid w:val="00752122"/>
    <w:rsid w:val="007521B0"/>
    <w:rsid w:val="0075227C"/>
    <w:rsid w:val="007525AC"/>
    <w:rsid w:val="00753112"/>
    <w:rsid w:val="0075322A"/>
    <w:rsid w:val="00755309"/>
    <w:rsid w:val="007556EE"/>
    <w:rsid w:val="00755ADB"/>
    <w:rsid w:val="00755EAE"/>
    <w:rsid w:val="0075619A"/>
    <w:rsid w:val="00756C22"/>
    <w:rsid w:val="00756D53"/>
    <w:rsid w:val="00757484"/>
    <w:rsid w:val="007577E3"/>
    <w:rsid w:val="007600FA"/>
    <w:rsid w:val="00760581"/>
    <w:rsid w:val="0076093D"/>
    <w:rsid w:val="00760975"/>
    <w:rsid w:val="00761DA0"/>
    <w:rsid w:val="00762015"/>
    <w:rsid w:val="007620BE"/>
    <w:rsid w:val="007622D7"/>
    <w:rsid w:val="00762ED7"/>
    <w:rsid w:val="00763298"/>
    <w:rsid w:val="00763673"/>
    <w:rsid w:val="00763744"/>
    <w:rsid w:val="00764B21"/>
    <w:rsid w:val="00764F87"/>
    <w:rsid w:val="007655DE"/>
    <w:rsid w:val="007669FD"/>
    <w:rsid w:val="00766A63"/>
    <w:rsid w:val="007672EC"/>
    <w:rsid w:val="007673E7"/>
    <w:rsid w:val="00767D2C"/>
    <w:rsid w:val="00770B28"/>
    <w:rsid w:val="0077188B"/>
    <w:rsid w:val="00771C94"/>
    <w:rsid w:val="00772251"/>
    <w:rsid w:val="007730DE"/>
    <w:rsid w:val="007734CF"/>
    <w:rsid w:val="00773521"/>
    <w:rsid w:val="00773820"/>
    <w:rsid w:val="00773AED"/>
    <w:rsid w:val="00774451"/>
    <w:rsid w:val="00775275"/>
    <w:rsid w:val="00776497"/>
    <w:rsid w:val="00776B35"/>
    <w:rsid w:val="00776ED7"/>
    <w:rsid w:val="007801C9"/>
    <w:rsid w:val="007820D5"/>
    <w:rsid w:val="0078222B"/>
    <w:rsid w:val="007822C6"/>
    <w:rsid w:val="007825F2"/>
    <w:rsid w:val="00782D0C"/>
    <w:rsid w:val="00783024"/>
    <w:rsid w:val="007834D1"/>
    <w:rsid w:val="00783B15"/>
    <w:rsid w:val="0078410C"/>
    <w:rsid w:val="00784A3C"/>
    <w:rsid w:val="00784A5A"/>
    <w:rsid w:val="00784C83"/>
    <w:rsid w:val="00784D72"/>
    <w:rsid w:val="00784E7B"/>
    <w:rsid w:val="00784FA8"/>
    <w:rsid w:val="0078537E"/>
    <w:rsid w:val="00786E4F"/>
    <w:rsid w:val="00786E77"/>
    <w:rsid w:val="00790172"/>
    <w:rsid w:val="0079056A"/>
    <w:rsid w:val="00790E56"/>
    <w:rsid w:val="00791EF8"/>
    <w:rsid w:val="00792517"/>
    <w:rsid w:val="00792FD9"/>
    <w:rsid w:val="00793BD7"/>
    <w:rsid w:val="00794336"/>
    <w:rsid w:val="0079466D"/>
    <w:rsid w:val="00795233"/>
    <w:rsid w:val="00795450"/>
    <w:rsid w:val="007958B3"/>
    <w:rsid w:val="00795FD8"/>
    <w:rsid w:val="00796156"/>
    <w:rsid w:val="007962B5"/>
    <w:rsid w:val="007971EB"/>
    <w:rsid w:val="007A04AB"/>
    <w:rsid w:val="007A05E2"/>
    <w:rsid w:val="007A08A2"/>
    <w:rsid w:val="007A0EA1"/>
    <w:rsid w:val="007A0F33"/>
    <w:rsid w:val="007A1D90"/>
    <w:rsid w:val="007A2704"/>
    <w:rsid w:val="007A2923"/>
    <w:rsid w:val="007A2D28"/>
    <w:rsid w:val="007A39C3"/>
    <w:rsid w:val="007A3F3B"/>
    <w:rsid w:val="007A40D6"/>
    <w:rsid w:val="007A4195"/>
    <w:rsid w:val="007A4260"/>
    <w:rsid w:val="007A6C01"/>
    <w:rsid w:val="007A6E4D"/>
    <w:rsid w:val="007A763F"/>
    <w:rsid w:val="007A76DB"/>
    <w:rsid w:val="007A77A9"/>
    <w:rsid w:val="007B0164"/>
    <w:rsid w:val="007B0793"/>
    <w:rsid w:val="007B19D3"/>
    <w:rsid w:val="007B1F4F"/>
    <w:rsid w:val="007B24E2"/>
    <w:rsid w:val="007B2D76"/>
    <w:rsid w:val="007B31B8"/>
    <w:rsid w:val="007B35D3"/>
    <w:rsid w:val="007B3AAD"/>
    <w:rsid w:val="007B3BD4"/>
    <w:rsid w:val="007B3D4D"/>
    <w:rsid w:val="007B40A6"/>
    <w:rsid w:val="007B45C2"/>
    <w:rsid w:val="007B4B0F"/>
    <w:rsid w:val="007B4BD6"/>
    <w:rsid w:val="007B565E"/>
    <w:rsid w:val="007B6953"/>
    <w:rsid w:val="007B7784"/>
    <w:rsid w:val="007C01FE"/>
    <w:rsid w:val="007C0C77"/>
    <w:rsid w:val="007C1006"/>
    <w:rsid w:val="007C1094"/>
    <w:rsid w:val="007C1490"/>
    <w:rsid w:val="007C14AF"/>
    <w:rsid w:val="007C203F"/>
    <w:rsid w:val="007C29A4"/>
    <w:rsid w:val="007C3331"/>
    <w:rsid w:val="007C3CD0"/>
    <w:rsid w:val="007C42AE"/>
    <w:rsid w:val="007C4342"/>
    <w:rsid w:val="007C44B5"/>
    <w:rsid w:val="007C4B29"/>
    <w:rsid w:val="007C6434"/>
    <w:rsid w:val="007C711C"/>
    <w:rsid w:val="007C7190"/>
    <w:rsid w:val="007C7318"/>
    <w:rsid w:val="007C73FF"/>
    <w:rsid w:val="007C75C0"/>
    <w:rsid w:val="007C7AD7"/>
    <w:rsid w:val="007C7FED"/>
    <w:rsid w:val="007D047F"/>
    <w:rsid w:val="007D085B"/>
    <w:rsid w:val="007D0DD4"/>
    <w:rsid w:val="007D10DC"/>
    <w:rsid w:val="007D17EF"/>
    <w:rsid w:val="007D19C4"/>
    <w:rsid w:val="007D2476"/>
    <w:rsid w:val="007D30D3"/>
    <w:rsid w:val="007D394D"/>
    <w:rsid w:val="007D4EB7"/>
    <w:rsid w:val="007D4FE9"/>
    <w:rsid w:val="007D53BB"/>
    <w:rsid w:val="007D54C4"/>
    <w:rsid w:val="007D6CEC"/>
    <w:rsid w:val="007D6D0F"/>
    <w:rsid w:val="007D6F47"/>
    <w:rsid w:val="007D7248"/>
    <w:rsid w:val="007D7610"/>
    <w:rsid w:val="007D7914"/>
    <w:rsid w:val="007E013D"/>
    <w:rsid w:val="007E0975"/>
    <w:rsid w:val="007E0E97"/>
    <w:rsid w:val="007E10EA"/>
    <w:rsid w:val="007E1D3B"/>
    <w:rsid w:val="007E29DA"/>
    <w:rsid w:val="007E29E2"/>
    <w:rsid w:val="007E3025"/>
    <w:rsid w:val="007E36B8"/>
    <w:rsid w:val="007E36E4"/>
    <w:rsid w:val="007E38E5"/>
    <w:rsid w:val="007E3DDB"/>
    <w:rsid w:val="007E4170"/>
    <w:rsid w:val="007E482D"/>
    <w:rsid w:val="007E4A0C"/>
    <w:rsid w:val="007E4DE8"/>
    <w:rsid w:val="007E4FB5"/>
    <w:rsid w:val="007E5217"/>
    <w:rsid w:val="007E5228"/>
    <w:rsid w:val="007E5C22"/>
    <w:rsid w:val="007E5D68"/>
    <w:rsid w:val="007E5E07"/>
    <w:rsid w:val="007E647D"/>
    <w:rsid w:val="007E7046"/>
    <w:rsid w:val="007E713E"/>
    <w:rsid w:val="007E7F05"/>
    <w:rsid w:val="007F0E38"/>
    <w:rsid w:val="007F1DA4"/>
    <w:rsid w:val="007F2149"/>
    <w:rsid w:val="007F226F"/>
    <w:rsid w:val="007F35BA"/>
    <w:rsid w:val="007F3AFD"/>
    <w:rsid w:val="007F3B73"/>
    <w:rsid w:val="007F3D10"/>
    <w:rsid w:val="007F445E"/>
    <w:rsid w:val="007F47C0"/>
    <w:rsid w:val="007F4CB7"/>
    <w:rsid w:val="007F53C0"/>
    <w:rsid w:val="007F60FF"/>
    <w:rsid w:val="007F61E3"/>
    <w:rsid w:val="007F73C6"/>
    <w:rsid w:val="007F75CD"/>
    <w:rsid w:val="007F77F5"/>
    <w:rsid w:val="007F7877"/>
    <w:rsid w:val="007F7B3A"/>
    <w:rsid w:val="0080013C"/>
    <w:rsid w:val="00800168"/>
    <w:rsid w:val="00802B95"/>
    <w:rsid w:val="008037F2"/>
    <w:rsid w:val="00805781"/>
    <w:rsid w:val="00806E40"/>
    <w:rsid w:val="00807EDA"/>
    <w:rsid w:val="008101CD"/>
    <w:rsid w:val="00811E9D"/>
    <w:rsid w:val="00811F40"/>
    <w:rsid w:val="00811FA6"/>
    <w:rsid w:val="008122EE"/>
    <w:rsid w:val="00812619"/>
    <w:rsid w:val="00812890"/>
    <w:rsid w:val="00813726"/>
    <w:rsid w:val="008139FB"/>
    <w:rsid w:val="00813A3C"/>
    <w:rsid w:val="00814570"/>
    <w:rsid w:val="00814798"/>
    <w:rsid w:val="00814B3B"/>
    <w:rsid w:val="00814EEF"/>
    <w:rsid w:val="00815842"/>
    <w:rsid w:val="00815894"/>
    <w:rsid w:val="00815AFF"/>
    <w:rsid w:val="00815C06"/>
    <w:rsid w:val="0081658A"/>
    <w:rsid w:val="008167A3"/>
    <w:rsid w:val="008169A2"/>
    <w:rsid w:val="00817B5D"/>
    <w:rsid w:val="00820159"/>
    <w:rsid w:val="0082029D"/>
    <w:rsid w:val="008211E6"/>
    <w:rsid w:val="008212D3"/>
    <w:rsid w:val="0082252A"/>
    <w:rsid w:val="00822927"/>
    <w:rsid w:val="00822D7C"/>
    <w:rsid w:val="00822FB9"/>
    <w:rsid w:val="00823A37"/>
    <w:rsid w:val="00825BE5"/>
    <w:rsid w:val="008263A0"/>
    <w:rsid w:val="00826499"/>
    <w:rsid w:val="0082665B"/>
    <w:rsid w:val="00826F58"/>
    <w:rsid w:val="0082775E"/>
    <w:rsid w:val="0082779C"/>
    <w:rsid w:val="00827D88"/>
    <w:rsid w:val="00827F89"/>
    <w:rsid w:val="008302C3"/>
    <w:rsid w:val="00830BDE"/>
    <w:rsid w:val="008313CF"/>
    <w:rsid w:val="008315CD"/>
    <w:rsid w:val="00831867"/>
    <w:rsid w:val="00831BBA"/>
    <w:rsid w:val="00831D8A"/>
    <w:rsid w:val="0083206F"/>
    <w:rsid w:val="0083208D"/>
    <w:rsid w:val="0083211E"/>
    <w:rsid w:val="0083260A"/>
    <w:rsid w:val="00832869"/>
    <w:rsid w:val="00832D08"/>
    <w:rsid w:val="00832FEB"/>
    <w:rsid w:val="0083330E"/>
    <w:rsid w:val="008334F0"/>
    <w:rsid w:val="00833B28"/>
    <w:rsid w:val="00833EF3"/>
    <w:rsid w:val="008344F8"/>
    <w:rsid w:val="00834E6E"/>
    <w:rsid w:val="0083513D"/>
    <w:rsid w:val="008352D2"/>
    <w:rsid w:val="008355D6"/>
    <w:rsid w:val="00835C60"/>
    <w:rsid w:val="008361FD"/>
    <w:rsid w:val="0083631C"/>
    <w:rsid w:val="008366CE"/>
    <w:rsid w:val="00837C69"/>
    <w:rsid w:val="0084094D"/>
    <w:rsid w:val="00840F36"/>
    <w:rsid w:val="00842707"/>
    <w:rsid w:val="00842BC5"/>
    <w:rsid w:val="008437B3"/>
    <w:rsid w:val="00843FC2"/>
    <w:rsid w:val="008452A4"/>
    <w:rsid w:val="00845B09"/>
    <w:rsid w:val="00846222"/>
    <w:rsid w:val="00846349"/>
    <w:rsid w:val="008467EB"/>
    <w:rsid w:val="00846D1F"/>
    <w:rsid w:val="008521C3"/>
    <w:rsid w:val="00852697"/>
    <w:rsid w:val="00852867"/>
    <w:rsid w:val="00852F26"/>
    <w:rsid w:val="00853E55"/>
    <w:rsid w:val="0085527E"/>
    <w:rsid w:val="008572C8"/>
    <w:rsid w:val="00857BA4"/>
    <w:rsid w:val="00857F8D"/>
    <w:rsid w:val="00860B61"/>
    <w:rsid w:val="00860BAB"/>
    <w:rsid w:val="00861060"/>
    <w:rsid w:val="008616B9"/>
    <w:rsid w:val="00861797"/>
    <w:rsid w:val="00861880"/>
    <w:rsid w:val="00861B18"/>
    <w:rsid w:val="0086205F"/>
    <w:rsid w:val="00862091"/>
    <w:rsid w:val="008634AB"/>
    <w:rsid w:val="00864101"/>
    <w:rsid w:val="00864962"/>
    <w:rsid w:val="00864DE6"/>
    <w:rsid w:val="00864F67"/>
    <w:rsid w:val="0086512F"/>
    <w:rsid w:val="00865C2A"/>
    <w:rsid w:val="008666F9"/>
    <w:rsid w:val="00866CE7"/>
    <w:rsid w:val="00866DB6"/>
    <w:rsid w:val="0086711F"/>
    <w:rsid w:val="00867419"/>
    <w:rsid w:val="00870FF3"/>
    <w:rsid w:val="0087142B"/>
    <w:rsid w:val="008714E7"/>
    <w:rsid w:val="00871734"/>
    <w:rsid w:val="008717EE"/>
    <w:rsid w:val="00872531"/>
    <w:rsid w:val="008729B3"/>
    <w:rsid w:val="00873913"/>
    <w:rsid w:val="0087393A"/>
    <w:rsid w:val="00873E1C"/>
    <w:rsid w:val="00874C36"/>
    <w:rsid w:val="008750A8"/>
    <w:rsid w:val="008752DF"/>
    <w:rsid w:val="00875C71"/>
    <w:rsid w:val="00875E77"/>
    <w:rsid w:val="00875F98"/>
    <w:rsid w:val="00876063"/>
    <w:rsid w:val="00876140"/>
    <w:rsid w:val="00876F33"/>
    <w:rsid w:val="00877105"/>
    <w:rsid w:val="00880901"/>
    <w:rsid w:val="00880B5E"/>
    <w:rsid w:val="00880E36"/>
    <w:rsid w:val="0088159C"/>
    <w:rsid w:val="0088211A"/>
    <w:rsid w:val="00882310"/>
    <w:rsid w:val="00882421"/>
    <w:rsid w:val="008828CB"/>
    <w:rsid w:val="00882971"/>
    <w:rsid w:val="0088325A"/>
    <w:rsid w:val="008832F8"/>
    <w:rsid w:val="00883575"/>
    <w:rsid w:val="008837CC"/>
    <w:rsid w:val="00883CCC"/>
    <w:rsid w:val="00884E8C"/>
    <w:rsid w:val="00884F56"/>
    <w:rsid w:val="00884F6F"/>
    <w:rsid w:val="00885089"/>
    <w:rsid w:val="008854F6"/>
    <w:rsid w:val="00885ABB"/>
    <w:rsid w:val="008860A9"/>
    <w:rsid w:val="008861D4"/>
    <w:rsid w:val="00886575"/>
    <w:rsid w:val="00886667"/>
    <w:rsid w:val="0088670E"/>
    <w:rsid w:val="008868AE"/>
    <w:rsid w:val="00886BC4"/>
    <w:rsid w:val="00886CE2"/>
    <w:rsid w:val="008872C0"/>
    <w:rsid w:val="00887553"/>
    <w:rsid w:val="00887B80"/>
    <w:rsid w:val="00887C47"/>
    <w:rsid w:val="00890350"/>
    <w:rsid w:val="0089047F"/>
    <w:rsid w:val="00891336"/>
    <w:rsid w:val="00891BDE"/>
    <w:rsid w:val="00891F9D"/>
    <w:rsid w:val="00893209"/>
    <w:rsid w:val="00893FBF"/>
    <w:rsid w:val="00894C2D"/>
    <w:rsid w:val="00894E3B"/>
    <w:rsid w:val="008956FC"/>
    <w:rsid w:val="00895C73"/>
    <w:rsid w:val="00895E81"/>
    <w:rsid w:val="00896F92"/>
    <w:rsid w:val="00897293"/>
    <w:rsid w:val="008972E4"/>
    <w:rsid w:val="00897C4A"/>
    <w:rsid w:val="00897F32"/>
    <w:rsid w:val="008A0076"/>
    <w:rsid w:val="008A02F3"/>
    <w:rsid w:val="008A1C1D"/>
    <w:rsid w:val="008A1CC2"/>
    <w:rsid w:val="008A1D5B"/>
    <w:rsid w:val="008A257F"/>
    <w:rsid w:val="008A2BE0"/>
    <w:rsid w:val="008A2C92"/>
    <w:rsid w:val="008A30E2"/>
    <w:rsid w:val="008A3129"/>
    <w:rsid w:val="008A3448"/>
    <w:rsid w:val="008A36B2"/>
    <w:rsid w:val="008A3826"/>
    <w:rsid w:val="008A48CA"/>
    <w:rsid w:val="008A4E1D"/>
    <w:rsid w:val="008A58A4"/>
    <w:rsid w:val="008A7781"/>
    <w:rsid w:val="008A7EE7"/>
    <w:rsid w:val="008A7F1B"/>
    <w:rsid w:val="008B0A76"/>
    <w:rsid w:val="008B0AEB"/>
    <w:rsid w:val="008B14CA"/>
    <w:rsid w:val="008B181E"/>
    <w:rsid w:val="008B19CD"/>
    <w:rsid w:val="008B2938"/>
    <w:rsid w:val="008B2AAC"/>
    <w:rsid w:val="008B395C"/>
    <w:rsid w:val="008B3B8E"/>
    <w:rsid w:val="008B4311"/>
    <w:rsid w:val="008B4D14"/>
    <w:rsid w:val="008B5B84"/>
    <w:rsid w:val="008B6298"/>
    <w:rsid w:val="008B6CC8"/>
    <w:rsid w:val="008B73C2"/>
    <w:rsid w:val="008C021C"/>
    <w:rsid w:val="008C0D0C"/>
    <w:rsid w:val="008C1C64"/>
    <w:rsid w:val="008C1CFE"/>
    <w:rsid w:val="008C1E69"/>
    <w:rsid w:val="008C20E6"/>
    <w:rsid w:val="008C2486"/>
    <w:rsid w:val="008C29EB"/>
    <w:rsid w:val="008C3676"/>
    <w:rsid w:val="008C4122"/>
    <w:rsid w:val="008C4722"/>
    <w:rsid w:val="008C5773"/>
    <w:rsid w:val="008C5CEE"/>
    <w:rsid w:val="008C708E"/>
    <w:rsid w:val="008C725F"/>
    <w:rsid w:val="008C757C"/>
    <w:rsid w:val="008C793F"/>
    <w:rsid w:val="008C7CBC"/>
    <w:rsid w:val="008C7F4D"/>
    <w:rsid w:val="008D0CA6"/>
    <w:rsid w:val="008D0E08"/>
    <w:rsid w:val="008D18E3"/>
    <w:rsid w:val="008D1BD6"/>
    <w:rsid w:val="008D338E"/>
    <w:rsid w:val="008D3D18"/>
    <w:rsid w:val="008D3E19"/>
    <w:rsid w:val="008D45F6"/>
    <w:rsid w:val="008D4CB6"/>
    <w:rsid w:val="008D4CD0"/>
    <w:rsid w:val="008D5358"/>
    <w:rsid w:val="008D56EB"/>
    <w:rsid w:val="008D5D0F"/>
    <w:rsid w:val="008D600B"/>
    <w:rsid w:val="008D62AD"/>
    <w:rsid w:val="008D6469"/>
    <w:rsid w:val="008D652A"/>
    <w:rsid w:val="008D6F97"/>
    <w:rsid w:val="008E0180"/>
    <w:rsid w:val="008E04BD"/>
    <w:rsid w:val="008E0958"/>
    <w:rsid w:val="008E0D36"/>
    <w:rsid w:val="008E1015"/>
    <w:rsid w:val="008E1489"/>
    <w:rsid w:val="008E1EF0"/>
    <w:rsid w:val="008E35A5"/>
    <w:rsid w:val="008E447A"/>
    <w:rsid w:val="008E4C55"/>
    <w:rsid w:val="008E56FA"/>
    <w:rsid w:val="008E5C30"/>
    <w:rsid w:val="008E654A"/>
    <w:rsid w:val="008E6E11"/>
    <w:rsid w:val="008F0978"/>
    <w:rsid w:val="008F0B15"/>
    <w:rsid w:val="008F18F3"/>
    <w:rsid w:val="008F1AA6"/>
    <w:rsid w:val="008F2212"/>
    <w:rsid w:val="008F2DCC"/>
    <w:rsid w:val="008F2E55"/>
    <w:rsid w:val="008F30B6"/>
    <w:rsid w:val="008F3319"/>
    <w:rsid w:val="008F36CF"/>
    <w:rsid w:val="008F388C"/>
    <w:rsid w:val="008F3AA9"/>
    <w:rsid w:val="008F3E08"/>
    <w:rsid w:val="008F4030"/>
    <w:rsid w:val="008F4424"/>
    <w:rsid w:val="008F4848"/>
    <w:rsid w:val="008F6C6D"/>
    <w:rsid w:val="008F73C8"/>
    <w:rsid w:val="008F7E69"/>
    <w:rsid w:val="00900250"/>
    <w:rsid w:val="0090073B"/>
    <w:rsid w:val="009014B7"/>
    <w:rsid w:val="00901E48"/>
    <w:rsid w:val="00902387"/>
    <w:rsid w:val="00902470"/>
    <w:rsid w:val="0090289D"/>
    <w:rsid w:val="0090303F"/>
    <w:rsid w:val="00903786"/>
    <w:rsid w:val="00903985"/>
    <w:rsid w:val="00903AB2"/>
    <w:rsid w:val="00903C64"/>
    <w:rsid w:val="009046B3"/>
    <w:rsid w:val="00904EDA"/>
    <w:rsid w:val="00905651"/>
    <w:rsid w:val="00905F29"/>
    <w:rsid w:val="009060A7"/>
    <w:rsid w:val="00906EF9"/>
    <w:rsid w:val="00907025"/>
    <w:rsid w:val="0090719E"/>
    <w:rsid w:val="009109AA"/>
    <w:rsid w:val="009109F0"/>
    <w:rsid w:val="00910A45"/>
    <w:rsid w:val="0091119A"/>
    <w:rsid w:val="009120A5"/>
    <w:rsid w:val="009129B9"/>
    <w:rsid w:val="009135C3"/>
    <w:rsid w:val="00913CCD"/>
    <w:rsid w:val="0091568C"/>
    <w:rsid w:val="009161BE"/>
    <w:rsid w:val="00916863"/>
    <w:rsid w:val="00917B26"/>
    <w:rsid w:val="00917E92"/>
    <w:rsid w:val="00917FC6"/>
    <w:rsid w:val="009200FE"/>
    <w:rsid w:val="00921C3C"/>
    <w:rsid w:val="00922E78"/>
    <w:rsid w:val="0092301E"/>
    <w:rsid w:val="00923C08"/>
    <w:rsid w:val="009252C5"/>
    <w:rsid w:val="00925FB3"/>
    <w:rsid w:val="00926020"/>
    <w:rsid w:val="00926879"/>
    <w:rsid w:val="0092719B"/>
    <w:rsid w:val="00927499"/>
    <w:rsid w:val="00930214"/>
    <w:rsid w:val="0093025E"/>
    <w:rsid w:val="009307CC"/>
    <w:rsid w:val="009308F2"/>
    <w:rsid w:val="00930A8F"/>
    <w:rsid w:val="00930B97"/>
    <w:rsid w:val="00930C6C"/>
    <w:rsid w:val="00930CC0"/>
    <w:rsid w:val="00931156"/>
    <w:rsid w:val="00931519"/>
    <w:rsid w:val="0093256C"/>
    <w:rsid w:val="00933014"/>
    <w:rsid w:val="00933C8C"/>
    <w:rsid w:val="00933E17"/>
    <w:rsid w:val="00933F83"/>
    <w:rsid w:val="009351BB"/>
    <w:rsid w:val="00935516"/>
    <w:rsid w:val="009357A7"/>
    <w:rsid w:val="00936669"/>
    <w:rsid w:val="009367F6"/>
    <w:rsid w:val="00936A9D"/>
    <w:rsid w:val="00936CE7"/>
    <w:rsid w:val="0093741D"/>
    <w:rsid w:val="009379BC"/>
    <w:rsid w:val="0094126C"/>
    <w:rsid w:val="009414C8"/>
    <w:rsid w:val="009417D4"/>
    <w:rsid w:val="00942158"/>
    <w:rsid w:val="009422A5"/>
    <w:rsid w:val="009426BF"/>
    <w:rsid w:val="00942774"/>
    <w:rsid w:val="00942CB3"/>
    <w:rsid w:val="0094312A"/>
    <w:rsid w:val="0094346A"/>
    <w:rsid w:val="009434C3"/>
    <w:rsid w:val="00943785"/>
    <w:rsid w:val="00943B80"/>
    <w:rsid w:val="0094413F"/>
    <w:rsid w:val="00944174"/>
    <w:rsid w:val="009445FE"/>
    <w:rsid w:val="00945070"/>
    <w:rsid w:val="00945726"/>
    <w:rsid w:val="00945785"/>
    <w:rsid w:val="009457D0"/>
    <w:rsid w:val="00945F4F"/>
    <w:rsid w:val="00946F58"/>
    <w:rsid w:val="009478C9"/>
    <w:rsid w:val="00951652"/>
    <w:rsid w:val="00951686"/>
    <w:rsid w:val="00952752"/>
    <w:rsid w:val="00952CA0"/>
    <w:rsid w:val="00952F2F"/>
    <w:rsid w:val="0095343E"/>
    <w:rsid w:val="009537C0"/>
    <w:rsid w:val="009539C8"/>
    <w:rsid w:val="00953FEE"/>
    <w:rsid w:val="009546E3"/>
    <w:rsid w:val="00954754"/>
    <w:rsid w:val="00954FAF"/>
    <w:rsid w:val="00955737"/>
    <w:rsid w:val="0095577F"/>
    <w:rsid w:val="00955A01"/>
    <w:rsid w:val="0095611E"/>
    <w:rsid w:val="0095620A"/>
    <w:rsid w:val="0095693C"/>
    <w:rsid w:val="00956C07"/>
    <w:rsid w:val="00956DFE"/>
    <w:rsid w:val="00960B65"/>
    <w:rsid w:val="009610B3"/>
    <w:rsid w:val="009611E1"/>
    <w:rsid w:val="0096196E"/>
    <w:rsid w:val="009625A7"/>
    <w:rsid w:val="009629E4"/>
    <w:rsid w:val="00962C0B"/>
    <w:rsid w:val="00962F4E"/>
    <w:rsid w:val="0096328B"/>
    <w:rsid w:val="009632BD"/>
    <w:rsid w:val="00965C4B"/>
    <w:rsid w:val="009660E3"/>
    <w:rsid w:val="00966312"/>
    <w:rsid w:val="009668C3"/>
    <w:rsid w:val="00967099"/>
    <w:rsid w:val="00967999"/>
    <w:rsid w:val="00970031"/>
    <w:rsid w:val="00970928"/>
    <w:rsid w:val="00970AEA"/>
    <w:rsid w:val="00971494"/>
    <w:rsid w:val="00971AC2"/>
    <w:rsid w:val="00972624"/>
    <w:rsid w:val="00972932"/>
    <w:rsid w:val="00973979"/>
    <w:rsid w:val="00973C66"/>
    <w:rsid w:val="00974890"/>
    <w:rsid w:val="00974BC4"/>
    <w:rsid w:val="009757BB"/>
    <w:rsid w:val="0097599D"/>
    <w:rsid w:val="00976082"/>
    <w:rsid w:val="00976338"/>
    <w:rsid w:val="00977057"/>
    <w:rsid w:val="0097784A"/>
    <w:rsid w:val="00977C7A"/>
    <w:rsid w:val="009801FC"/>
    <w:rsid w:val="0098033C"/>
    <w:rsid w:val="00980393"/>
    <w:rsid w:val="009803FB"/>
    <w:rsid w:val="00980F14"/>
    <w:rsid w:val="00981038"/>
    <w:rsid w:val="009811D9"/>
    <w:rsid w:val="0098151F"/>
    <w:rsid w:val="009819F1"/>
    <w:rsid w:val="00981CC3"/>
    <w:rsid w:val="00981E1B"/>
    <w:rsid w:val="0098232F"/>
    <w:rsid w:val="00982C54"/>
    <w:rsid w:val="0098301E"/>
    <w:rsid w:val="009834E4"/>
    <w:rsid w:val="0098367D"/>
    <w:rsid w:val="00983D91"/>
    <w:rsid w:val="009842BD"/>
    <w:rsid w:val="00984565"/>
    <w:rsid w:val="00984E55"/>
    <w:rsid w:val="0098575D"/>
    <w:rsid w:val="00986A46"/>
    <w:rsid w:val="00986DDE"/>
    <w:rsid w:val="009902E8"/>
    <w:rsid w:val="00990330"/>
    <w:rsid w:val="009906A6"/>
    <w:rsid w:val="00990BF3"/>
    <w:rsid w:val="00990ECB"/>
    <w:rsid w:val="009912D2"/>
    <w:rsid w:val="00991400"/>
    <w:rsid w:val="0099140E"/>
    <w:rsid w:val="00991433"/>
    <w:rsid w:val="00991F14"/>
    <w:rsid w:val="00992233"/>
    <w:rsid w:val="009925FA"/>
    <w:rsid w:val="00992856"/>
    <w:rsid w:val="00992ADC"/>
    <w:rsid w:val="009935C3"/>
    <w:rsid w:val="009941DD"/>
    <w:rsid w:val="009943A3"/>
    <w:rsid w:val="0099451B"/>
    <w:rsid w:val="00994A2A"/>
    <w:rsid w:val="00995588"/>
    <w:rsid w:val="00995C00"/>
    <w:rsid w:val="00995CA4"/>
    <w:rsid w:val="00996C22"/>
    <w:rsid w:val="009970AA"/>
    <w:rsid w:val="0099782C"/>
    <w:rsid w:val="00997B22"/>
    <w:rsid w:val="00997E29"/>
    <w:rsid w:val="009A0916"/>
    <w:rsid w:val="009A124D"/>
    <w:rsid w:val="009A1EDA"/>
    <w:rsid w:val="009A2118"/>
    <w:rsid w:val="009A2537"/>
    <w:rsid w:val="009A26F0"/>
    <w:rsid w:val="009A2984"/>
    <w:rsid w:val="009A2D49"/>
    <w:rsid w:val="009A323A"/>
    <w:rsid w:val="009A39A6"/>
    <w:rsid w:val="009A3D7F"/>
    <w:rsid w:val="009A4104"/>
    <w:rsid w:val="009A4140"/>
    <w:rsid w:val="009A432B"/>
    <w:rsid w:val="009A4CD3"/>
    <w:rsid w:val="009A52D8"/>
    <w:rsid w:val="009A589A"/>
    <w:rsid w:val="009A6D32"/>
    <w:rsid w:val="009A71C4"/>
    <w:rsid w:val="009A784D"/>
    <w:rsid w:val="009B0546"/>
    <w:rsid w:val="009B11E1"/>
    <w:rsid w:val="009B1264"/>
    <w:rsid w:val="009B15EC"/>
    <w:rsid w:val="009B1729"/>
    <w:rsid w:val="009B1781"/>
    <w:rsid w:val="009B231F"/>
    <w:rsid w:val="009B2546"/>
    <w:rsid w:val="009B26A7"/>
    <w:rsid w:val="009B31AD"/>
    <w:rsid w:val="009B3911"/>
    <w:rsid w:val="009B3DC4"/>
    <w:rsid w:val="009B44F0"/>
    <w:rsid w:val="009B464D"/>
    <w:rsid w:val="009B4D54"/>
    <w:rsid w:val="009B4D8D"/>
    <w:rsid w:val="009B5110"/>
    <w:rsid w:val="009B5CB5"/>
    <w:rsid w:val="009B5DB4"/>
    <w:rsid w:val="009B6177"/>
    <w:rsid w:val="009B77C3"/>
    <w:rsid w:val="009B77F4"/>
    <w:rsid w:val="009C048B"/>
    <w:rsid w:val="009C0CB7"/>
    <w:rsid w:val="009C0F24"/>
    <w:rsid w:val="009C1054"/>
    <w:rsid w:val="009C1505"/>
    <w:rsid w:val="009C1F90"/>
    <w:rsid w:val="009C2299"/>
    <w:rsid w:val="009C28EB"/>
    <w:rsid w:val="009C2C98"/>
    <w:rsid w:val="009C2F4D"/>
    <w:rsid w:val="009C33A5"/>
    <w:rsid w:val="009C3DDA"/>
    <w:rsid w:val="009C448B"/>
    <w:rsid w:val="009C48CC"/>
    <w:rsid w:val="009C49A5"/>
    <w:rsid w:val="009C53A0"/>
    <w:rsid w:val="009C5A11"/>
    <w:rsid w:val="009C5B92"/>
    <w:rsid w:val="009C5FC6"/>
    <w:rsid w:val="009C66A3"/>
    <w:rsid w:val="009C672B"/>
    <w:rsid w:val="009C6B73"/>
    <w:rsid w:val="009C7762"/>
    <w:rsid w:val="009C7985"/>
    <w:rsid w:val="009C7C07"/>
    <w:rsid w:val="009D0E97"/>
    <w:rsid w:val="009D0EFA"/>
    <w:rsid w:val="009D1014"/>
    <w:rsid w:val="009D10B7"/>
    <w:rsid w:val="009D11F5"/>
    <w:rsid w:val="009D166A"/>
    <w:rsid w:val="009D1681"/>
    <w:rsid w:val="009D23DC"/>
    <w:rsid w:val="009D23F3"/>
    <w:rsid w:val="009D2B88"/>
    <w:rsid w:val="009D305A"/>
    <w:rsid w:val="009D3362"/>
    <w:rsid w:val="009D3A8E"/>
    <w:rsid w:val="009D4177"/>
    <w:rsid w:val="009D4768"/>
    <w:rsid w:val="009D500C"/>
    <w:rsid w:val="009D5212"/>
    <w:rsid w:val="009D616A"/>
    <w:rsid w:val="009D6461"/>
    <w:rsid w:val="009D71BD"/>
    <w:rsid w:val="009E0745"/>
    <w:rsid w:val="009E078A"/>
    <w:rsid w:val="009E0831"/>
    <w:rsid w:val="009E08D3"/>
    <w:rsid w:val="009E1DE5"/>
    <w:rsid w:val="009E20C5"/>
    <w:rsid w:val="009E25EE"/>
    <w:rsid w:val="009E2999"/>
    <w:rsid w:val="009E3A73"/>
    <w:rsid w:val="009E4099"/>
    <w:rsid w:val="009E4378"/>
    <w:rsid w:val="009E456E"/>
    <w:rsid w:val="009E4C98"/>
    <w:rsid w:val="009E54CC"/>
    <w:rsid w:val="009E5FE4"/>
    <w:rsid w:val="009E6061"/>
    <w:rsid w:val="009E66B0"/>
    <w:rsid w:val="009E6F01"/>
    <w:rsid w:val="009E7BBD"/>
    <w:rsid w:val="009E7F15"/>
    <w:rsid w:val="009F0232"/>
    <w:rsid w:val="009F06FF"/>
    <w:rsid w:val="009F0ADB"/>
    <w:rsid w:val="009F0B43"/>
    <w:rsid w:val="009F0F02"/>
    <w:rsid w:val="009F101A"/>
    <w:rsid w:val="009F127C"/>
    <w:rsid w:val="009F17D7"/>
    <w:rsid w:val="009F1844"/>
    <w:rsid w:val="009F3780"/>
    <w:rsid w:val="009F45F7"/>
    <w:rsid w:val="009F499A"/>
    <w:rsid w:val="009F4DBB"/>
    <w:rsid w:val="009F583F"/>
    <w:rsid w:val="009F59B0"/>
    <w:rsid w:val="009F66A1"/>
    <w:rsid w:val="00A00048"/>
    <w:rsid w:val="00A00327"/>
    <w:rsid w:val="00A0062F"/>
    <w:rsid w:val="00A008A9"/>
    <w:rsid w:val="00A01086"/>
    <w:rsid w:val="00A018B6"/>
    <w:rsid w:val="00A01F68"/>
    <w:rsid w:val="00A022F2"/>
    <w:rsid w:val="00A02764"/>
    <w:rsid w:val="00A0316A"/>
    <w:rsid w:val="00A04393"/>
    <w:rsid w:val="00A046EF"/>
    <w:rsid w:val="00A04CBE"/>
    <w:rsid w:val="00A05952"/>
    <w:rsid w:val="00A05E57"/>
    <w:rsid w:val="00A060A5"/>
    <w:rsid w:val="00A06DC3"/>
    <w:rsid w:val="00A07283"/>
    <w:rsid w:val="00A075A8"/>
    <w:rsid w:val="00A076B2"/>
    <w:rsid w:val="00A07A16"/>
    <w:rsid w:val="00A10411"/>
    <w:rsid w:val="00A1075E"/>
    <w:rsid w:val="00A10C99"/>
    <w:rsid w:val="00A1120D"/>
    <w:rsid w:val="00A11B5A"/>
    <w:rsid w:val="00A1326D"/>
    <w:rsid w:val="00A133E7"/>
    <w:rsid w:val="00A13CB3"/>
    <w:rsid w:val="00A13CE7"/>
    <w:rsid w:val="00A13F0D"/>
    <w:rsid w:val="00A13FE6"/>
    <w:rsid w:val="00A14393"/>
    <w:rsid w:val="00A1440F"/>
    <w:rsid w:val="00A1451F"/>
    <w:rsid w:val="00A14C16"/>
    <w:rsid w:val="00A14C51"/>
    <w:rsid w:val="00A14F22"/>
    <w:rsid w:val="00A15630"/>
    <w:rsid w:val="00A15A2E"/>
    <w:rsid w:val="00A15DB7"/>
    <w:rsid w:val="00A16192"/>
    <w:rsid w:val="00A161B9"/>
    <w:rsid w:val="00A16325"/>
    <w:rsid w:val="00A16824"/>
    <w:rsid w:val="00A16990"/>
    <w:rsid w:val="00A17503"/>
    <w:rsid w:val="00A20CDB"/>
    <w:rsid w:val="00A20DEE"/>
    <w:rsid w:val="00A211DA"/>
    <w:rsid w:val="00A215B3"/>
    <w:rsid w:val="00A217D3"/>
    <w:rsid w:val="00A21834"/>
    <w:rsid w:val="00A21B06"/>
    <w:rsid w:val="00A21DB7"/>
    <w:rsid w:val="00A21F7A"/>
    <w:rsid w:val="00A2234F"/>
    <w:rsid w:val="00A22862"/>
    <w:rsid w:val="00A22C2B"/>
    <w:rsid w:val="00A22F44"/>
    <w:rsid w:val="00A23412"/>
    <w:rsid w:val="00A23EA1"/>
    <w:rsid w:val="00A24D20"/>
    <w:rsid w:val="00A25482"/>
    <w:rsid w:val="00A25667"/>
    <w:rsid w:val="00A25A35"/>
    <w:rsid w:val="00A265D0"/>
    <w:rsid w:val="00A26659"/>
    <w:rsid w:val="00A26E94"/>
    <w:rsid w:val="00A271CA"/>
    <w:rsid w:val="00A308A9"/>
    <w:rsid w:val="00A3116D"/>
    <w:rsid w:val="00A31180"/>
    <w:rsid w:val="00A312C9"/>
    <w:rsid w:val="00A31A6B"/>
    <w:rsid w:val="00A32750"/>
    <w:rsid w:val="00A3294E"/>
    <w:rsid w:val="00A32C4E"/>
    <w:rsid w:val="00A33744"/>
    <w:rsid w:val="00A3452B"/>
    <w:rsid w:val="00A34D3D"/>
    <w:rsid w:val="00A35ACF"/>
    <w:rsid w:val="00A37A5C"/>
    <w:rsid w:val="00A37EE9"/>
    <w:rsid w:val="00A37FC4"/>
    <w:rsid w:val="00A40127"/>
    <w:rsid w:val="00A40308"/>
    <w:rsid w:val="00A40683"/>
    <w:rsid w:val="00A4070A"/>
    <w:rsid w:val="00A4076C"/>
    <w:rsid w:val="00A40A9D"/>
    <w:rsid w:val="00A410A9"/>
    <w:rsid w:val="00A41B4F"/>
    <w:rsid w:val="00A42777"/>
    <w:rsid w:val="00A4349B"/>
    <w:rsid w:val="00A438DE"/>
    <w:rsid w:val="00A43A5D"/>
    <w:rsid w:val="00A43C8B"/>
    <w:rsid w:val="00A44201"/>
    <w:rsid w:val="00A44AF7"/>
    <w:rsid w:val="00A4504B"/>
    <w:rsid w:val="00A45181"/>
    <w:rsid w:val="00A453DF"/>
    <w:rsid w:val="00A454E4"/>
    <w:rsid w:val="00A45AE0"/>
    <w:rsid w:val="00A462E3"/>
    <w:rsid w:val="00A46353"/>
    <w:rsid w:val="00A463BB"/>
    <w:rsid w:val="00A463E6"/>
    <w:rsid w:val="00A46700"/>
    <w:rsid w:val="00A4690B"/>
    <w:rsid w:val="00A46A9A"/>
    <w:rsid w:val="00A47F9D"/>
    <w:rsid w:val="00A47FFD"/>
    <w:rsid w:val="00A50111"/>
    <w:rsid w:val="00A51001"/>
    <w:rsid w:val="00A51F4B"/>
    <w:rsid w:val="00A529BA"/>
    <w:rsid w:val="00A52C22"/>
    <w:rsid w:val="00A539F1"/>
    <w:rsid w:val="00A5464A"/>
    <w:rsid w:val="00A55AF1"/>
    <w:rsid w:val="00A55DDE"/>
    <w:rsid w:val="00A55F30"/>
    <w:rsid w:val="00A5697A"/>
    <w:rsid w:val="00A56DDC"/>
    <w:rsid w:val="00A57C7D"/>
    <w:rsid w:val="00A57DCF"/>
    <w:rsid w:val="00A60022"/>
    <w:rsid w:val="00A60C84"/>
    <w:rsid w:val="00A60D7A"/>
    <w:rsid w:val="00A60F7D"/>
    <w:rsid w:val="00A6122E"/>
    <w:rsid w:val="00A61A54"/>
    <w:rsid w:val="00A61A6B"/>
    <w:rsid w:val="00A61C1B"/>
    <w:rsid w:val="00A62371"/>
    <w:rsid w:val="00A62969"/>
    <w:rsid w:val="00A63577"/>
    <w:rsid w:val="00A64836"/>
    <w:rsid w:val="00A64A05"/>
    <w:rsid w:val="00A6505E"/>
    <w:rsid w:val="00A6514E"/>
    <w:rsid w:val="00A65CF4"/>
    <w:rsid w:val="00A662C0"/>
    <w:rsid w:val="00A66948"/>
    <w:rsid w:val="00A67307"/>
    <w:rsid w:val="00A675E7"/>
    <w:rsid w:val="00A70125"/>
    <w:rsid w:val="00A70290"/>
    <w:rsid w:val="00A702D0"/>
    <w:rsid w:val="00A71186"/>
    <w:rsid w:val="00A7155A"/>
    <w:rsid w:val="00A716F3"/>
    <w:rsid w:val="00A71F0B"/>
    <w:rsid w:val="00A7292C"/>
    <w:rsid w:val="00A735DD"/>
    <w:rsid w:val="00A737C2"/>
    <w:rsid w:val="00A748BF"/>
    <w:rsid w:val="00A75322"/>
    <w:rsid w:val="00A754DA"/>
    <w:rsid w:val="00A75AD0"/>
    <w:rsid w:val="00A763C3"/>
    <w:rsid w:val="00A766EB"/>
    <w:rsid w:val="00A7682E"/>
    <w:rsid w:val="00A76AFD"/>
    <w:rsid w:val="00A76BB2"/>
    <w:rsid w:val="00A76C48"/>
    <w:rsid w:val="00A76ED4"/>
    <w:rsid w:val="00A77C6E"/>
    <w:rsid w:val="00A77DB5"/>
    <w:rsid w:val="00A80108"/>
    <w:rsid w:val="00A801E1"/>
    <w:rsid w:val="00A80C14"/>
    <w:rsid w:val="00A81181"/>
    <w:rsid w:val="00A81B51"/>
    <w:rsid w:val="00A821F6"/>
    <w:rsid w:val="00A82582"/>
    <w:rsid w:val="00A8449C"/>
    <w:rsid w:val="00A84C3C"/>
    <w:rsid w:val="00A8517B"/>
    <w:rsid w:val="00A85D11"/>
    <w:rsid w:val="00A86332"/>
    <w:rsid w:val="00A8689C"/>
    <w:rsid w:val="00A86948"/>
    <w:rsid w:val="00A869D0"/>
    <w:rsid w:val="00A874AA"/>
    <w:rsid w:val="00A8777B"/>
    <w:rsid w:val="00A877DB"/>
    <w:rsid w:val="00A87F4B"/>
    <w:rsid w:val="00A87F94"/>
    <w:rsid w:val="00A90320"/>
    <w:rsid w:val="00A9047A"/>
    <w:rsid w:val="00A90722"/>
    <w:rsid w:val="00A9074A"/>
    <w:rsid w:val="00A909A3"/>
    <w:rsid w:val="00A910A1"/>
    <w:rsid w:val="00A914DE"/>
    <w:rsid w:val="00A9174C"/>
    <w:rsid w:val="00A91BD2"/>
    <w:rsid w:val="00A922D0"/>
    <w:rsid w:val="00A92834"/>
    <w:rsid w:val="00A92F70"/>
    <w:rsid w:val="00A93020"/>
    <w:rsid w:val="00A930A6"/>
    <w:rsid w:val="00A930F9"/>
    <w:rsid w:val="00A940BE"/>
    <w:rsid w:val="00A95749"/>
    <w:rsid w:val="00A95815"/>
    <w:rsid w:val="00A96316"/>
    <w:rsid w:val="00A9658A"/>
    <w:rsid w:val="00A970ED"/>
    <w:rsid w:val="00A97192"/>
    <w:rsid w:val="00A97A9A"/>
    <w:rsid w:val="00A97ABE"/>
    <w:rsid w:val="00A97ABF"/>
    <w:rsid w:val="00A97D1D"/>
    <w:rsid w:val="00AA011E"/>
    <w:rsid w:val="00AA0219"/>
    <w:rsid w:val="00AA030B"/>
    <w:rsid w:val="00AA0BBA"/>
    <w:rsid w:val="00AA14E2"/>
    <w:rsid w:val="00AA173F"/>
    <w:rsid w:val="00AA1790"/>
    <w:rsid w:val="00AA1E73"/>
    <w:rsid w:val="00AA1E7A"/>
    <w:rsid w:val="00AA2901"/>
    <w:rsid w:val="00AA2D12"/>
    <w:rsid w:val="00AA3083"/>
    <w:rsid w:val="00AA32EE"/>
    <w:rsid w:val="00AA397E"/>
    <w:rsid w:val="00AA40BA"/>
    <w:rsid w:val="00AA4C3F"/>
    <w:rsid w:val="00AA4CBD"/>
    <w:rsid w:val="00AA553F"/>
    <w:rsid w:val="00AA56B4"/>
    <w:rsid w:val="00AA60EE"/>
    <w:rsid w:val="00AB00D0"/>
    <w:rsid w:val="00AB0B41"/>
    <w:rsid w:val="00AB11BB"/>
    <w:rsid w:val="00AB1401"/>
    <w:rsid w:val="00AB1442"/>
    <w:rsid w:val="00AB147A"/>
    <w:rsid w:val="00AB1BB9"/>
    <w:rsid w:val="00AB23CE"/>
    <w:rsid w:val="00AB392D"/>
    <w:rsid w:val="00AB3B70"/>
    <w:rsid w:val="00AB3D33"/>
    <w:rsid w:val="00AB51AB"/>
    <w:rsid w:val="00AB57AA"/>
    <w:rsid w:val="00AB6073"/>
    <w:rsid w:val="00AB6D45"/>
    <w:rsid w:val="00AB7526"/>
    <w:rsid w:val="00AC1B27"/>
    <w:rsid w:val="00AC1E1A"/>
    <w:rsid w:val="00AC1E4B"/>
    <w:rsid w:val="00AC20DB"/>
    <w:rsid w:val="00AC2CED"/>
    <w:rsid w:val="00AC3A7E"/>
    <w:rsid w:val="00AC3B7C"/>
    <w:rsid w:val="00AC3DB5"/>
    <w:rsid w:val="00AC4C62"/>
    <w:rsid w:val="00AC4DC9"/>
    <w:rsid w:val="00AC4F7B"/>
    <w:rsid w:val="00AC585B"/>
    <w:rsid w:val="00AC60D4"/>
    <w:rsid w:val="00AC6258"/>
    <w:rsid w:val="00AC68CD"/>
    <w:rsid w:val="00AC69F4"/>
    <w:rsid w:val="00AC7225"/>
    <w:rsid w:val="00AC7BCF"/>
    <w:rsid w:val="00AD02BD"/>
    <w:rsid w:val="00AD0548"/>
    <w:rsid w:val="00AD0E76"/>
    <w:rsid w:val="00AD0EFA"/>
    <w:rsid w:val="00AD1BB0"/>
    <w:rsid w:val="00AD1F40"/>
    <w:rsid w:val="00AD1FF7"/>
    <w:rsid w:val="00AD2254"/>
    <w:rsid w:val="00AD2596"/>
    <w:rsid w:val="00AD2980"/>
    <w:rsid w:val="00AD3F5F"/>
    <w:rsid w:val="00AD3FCB"/>
    <w:rsid w:val="00AD4936"/>
    <w:rsid w:val="00AD51BF"/>
    <w:rsid w:val="00AD564E"/>
    <w:rsid w:val="00AD6142"/>
    <w:rsid w:val="00AD6995"/>
    <w:rsid w:val="00AE06CE"/>
    <w:rsid w:val="00AE0849"/>
    <w:rsid w:val="00AE09AD"/>
    <w:rsid w:val="00AE0E25"/>
    <w:rsid w:val="00AE15B7"/>
    <w:rsid w:val="00AE214E"/>
    <w:rsid w:val="00AE2697"/>
    <w:rsid w:val="00AE27B9"/>
    <w:rsid w:val="00AE29A1"/>
    <w:rsid w:val="00AE3391"/>
    <w:rsid w:val="00AE39EE"/>
    <w:rsid w:val="00AE3B3E"/>
    <w:rsid w:val="00AE428A"/>
    <w:rsid w:val="00AE465B"/>
    <w:rsid w:val="00AE53E5"/>
    <w:rsid w:val="00AE5420"/>
    <w:rsid w:val="00AE54E1"/>
    <w:rsid w:val="00AE5E2A"/>
    <w:rsid w:val="00AE6978"/>
    <w:rsid w:val="00AE6AAD"/>
    <w:rsid w:val="00AE7630"/>
    <w:rsid w:val="00AE77C7"/>
    <w:rsid w:val="00AE7D09"/>
    <w:rsid w:val="00AE7E60"/>
    <w:rsid w:val="00AF037F"/>
    <w:rsid w:val="00AF1467"/>
    <w:rsid w:val="00AF158A"/>
    <w:rsid w:val="00AF1B8E"/>
    <w:rsid w:val="00AF27A9"/>
    <w:rsid w:val="00AF28E0"/>
    <w:rsid w:val="00AF38FF"/>
    <w:rsid w:val="00AF3CA8"/>
    <w:rsid w:val="00AF47E2"/>
    <w:rsid w:val="00AF4B41"/>
    <w:rsid w:val="00AF4F58"/>
    <w:rsid w:val="00AF561D"/>
    <w:rsid w:val="00AF77B7"/>
    <w:rsid w:val="00AF7C5D"/>
    <w:rsid w:val="00B008C3"/>
    <w:rsid w:val="00B016A5"/>
    <w:rsid w:val="00B01E06"/>
    <w:rsid w:val="00B026DE"/>
    <w:rsid w:val="00B02B9E"/>
    <w:rsid w:val="00B02DC6"/>
    <w:rsid w:val="00B031EB"/>
    <w:rsid w:val="00B04110"/>
    <w:rsid w:val="00B04BE0"/>
    <w:rsid w:val="00B0507B"/>
    <w:rsid w:val="00B05156"/>
    <w:rsid w:val="00B059F6"/>
    <w:rsid w:val="00B05EFF"/>
    <w:rsid w:val="00B06FB4"/>
    <w:rsid w:val="00B070DC"/>
    <w:rsid w:val="00B07C39"/>
    <w:rsid w:val="00B12521"/>
    <w:rsid w:val="00B129C3"/>
    <w:rsid w:val="00B130BA"/>
    <w:rsid w:val="00B136A1"/>
    <w:rsid w:val="00B13CDA"/>
    <w:rsid w:val="00B148E1"/>
    <w:rsid w:val="00B149ED"/>
    <w:rsid w:val="00B14C8E"/>
    <w:rsid w:val="00B14CB9"/>
    <w:rsid w:val="00B14FAB"/>
    <w:rsid w:val="00B15B56"/>
    <w:rsid w:val="00B15B6F"/>
    <w:rsid w:val="00B16007"/>
    <w:rsid w:val="00B165B3"/>
    <w:rsid w:val="00B17072"/>
    <w:rsid w:val="00B1766F"/>
    <w:rsid w:val="00B2265C"/>
    <w:rsid w:val="00B228FF"/>
    <w:rsid w:val="00B22C35"/>
    <w:rsid w:val="00B2470F"/>
    <w:rsid w:val="00B24C11"/>
    <w:rsid w:val="00B24C1C"/>
    <w:rsid w:val="00B25E46"/>
    <w:rsid w:val="00B26392"/>
    <w:rsid w:val="00B269C9"/>
    <w:rsid w:val="00B26B96"/>
    <w:rsid w:val="00B26DAC"/>
    <w:rsid w:val="00B277DE"/>
    <w:rsid w:val="00B27897"/>
    <w:rsid w:val="00B30289"/>
    <w:rsid w:val="00B30ADE"/>
    <w:rsid w:val="00B30C7D"/>
    <w:rsid w:val="00B30D45"/>
    <w:rsid w:val="00B3130C"/>
    <w:rsid w:val="00B316D1"/>
    <w:rsid w:val="00B320C9"/>
    <w:rsid w:val="00B3277F"/>
    <w:rsid w:val="00B32830"/>
    <w:rsid w:val="00B335FD"/>
    <w:rsid w:val="00B34669"/>
    <w:rsid w:val="00B3493E"/>
    <w:rsid w:val="00B34F7C"/>
    <w:rsid w:val="00B35897"/>
    <w:rsid w:val="00B358E0"/>
    <w:rsid w:val="00B35960"/>
    <w:rsid w:val="00B35AF9"/>
    <w:rsid w:val="00B36143"/>
    <w:rsid w:val="00B36FFE"/>
    <w:rsid w:val="00B37B82"/>
    <w:rsid w:val="00B37C42"/>
    <w:rsid w:val="00B40356"/>
    <w:rsid w:val="00B408D7"/>
    <w:rsid w:val="00B40A0F"/>
    <w:rsid w:val="00B41F70"/>
    <w:rsid w:val="00B41FAB"/>
    <w:rsid w:val="00B42AA5"/>
    <w:rsid w:val="00B42FAF"/>
    <w:rsid w:val="00B4386E"/>
    <w:rsid w:val="00B43A5A"/>
    <w:rsid w:val="00B43D04"/>
    <w:rsid w:val="00B43F8B"/>
    <w:rsid w:val="00B44A7A"/>
    <w:rsid w:val="00B44E52"/>
    <w:rsid w:val="00B45E28"/>
    <w:rsid w:val="00B46027"/>
    <w:rsid w:val="00B46786"/>
    <w:rsid w:val="00B46A48"/>
    <w:rsid w:val="00B4745A"/>
    <w:rsid w:val="00B4761A"/>
    <w:rsid w:val="00B50FEA"/>
    <w:rsid w:val="00B51175"/>
    <w:rsid w:val="00B51384"/>
    <w:rsid w:val="00B52123"/>
    <w:rsid w:val="00B5295A"/>
    <w:rsid w:val="00B52C09"/>
    <w:rsid w:val="00B52C69"/>
    <w:rsid w:val="00B52E90"/>
    <w:rsid w:val="00B5397C"/>
    <w:rsid w:val="00B53AB6"/>
    <w:rsid w:val="00B54010"/>
    <w:rsid w:val="00B54803"/>
    <w:rsid w:val="00B54C6D"/>
    <w:rsid w:val="00B54E7D"/>
    <w:rsid w:val="00B54FA9"/>
    <w:rsid w:val="00B5519F"/>
    <w:rsid w:val="00B55780"/>
    <w:rsid w:val="00B55DFD"/>
    <w:rsid w:val="00B55E30"/>
    <w:rsid w:val="00B57230"/>
    <w:rsid w:val="00B57399"/>
    <w:rsid w:val="00B579BE"/>
    <w:rsid w:val="00B57B0B"/>
    <w:rsid w:val="00B60607"/>
    <w:rsid w:val="00B6067E"/>
    <w:rsid w:val="00B60DD6"/>
    <w:rsid w:val="00B62466"/>
    <w:rsid w:val="00B63343"/>
    <w:rsid w:val="00B63479"/>
    <w:rsid w:val="00B63503"/>
    <w:rsid w:val="00B63E57"/>
    <w:rsid w:val="00B6418B"/>
    <w:rsid w:val="00B64308"/>
    <w:rsid w:val="00B644E6"/>
    <w:rsid w:val="00B65167"/>
    <w:rsid w:val="00B6533A"/>
    <w:rsid w:val="00B6564D"/>
    <w:rsid w:val="00B6590C"/>
    <w:rsid w:val="00B668A4"/>
    <w:rsid w:val="00B66DCC"/>
    <w:rsid w:val="00B67BAB"/>
    <w:rsid w:val="00B67C34"/>
    <w:rsid w:val="00B67C3B"/>
    <w:rsid w:val="00B702D6"/>
    <w:rsid w:val="00B705C0"/>
    <w:rsid w:val="00B70825"/>
    <w:rsid w:val="00B71569"/>
    <w:rsid w:val="00B71879"/>
    <w:rsid w:val="00B71F74"/>
    <w:rsid w:val="00B726CB"/>
    <w:rsid w:val="00B728B0"/>
    <w:rsid w:val="00B72BFD"/>
    <w:rsid w:val="00B72F4E"/>
    <w:rsid w:val="00B73C23"/>
    <w:rsid w:val="00B74009"/>
    <w:rsid w:val="00B742CF"/>
    <w:rsid w:val="00B7431E"/>
    <w:rsid w:val="00B7457A"/>
    <w:rsid w:val="00B7503B"/>
    <w:rsid w:val="00B75305"/>
    <w:rsid w:val="00B754E3"/>
    <w:rsid w:val="00B75C3E"/>
    <w:rsid w:val="00B767F6"/>
    <w:rsid w:val="00B771FF"/>
    <w:rsid w:val="00B7757A"/>
    <w:rsid w:val="00B77701"/>
    <w:rsid w:val="00B80347"/>
    <w:rsid w:val="00B80B6F"/>
    <w:rsid w:val="00B80C58"/>
    <w:rsid w:val="00B81263"/>
    <w:rsid w:val="00B81F6E"/>
    <w:rsid w:val="00B8203D"/>
    <w:rsid w:val="00B82623"/>
    <w:rsid w:val="00B82726"/>
    <w:rsid w:val="00B82C45"/>
    <w:rsid w:val="00B82C72"/>
    <w:rsid w:val="00B82F33"/>
    <w:rsid w:val="00B8492E"/>
    <w:rsid w:val="00B8541E"/>
    <w:rsid w:val="00B86EB7"/>
    <w:rsid w:val="00B8752F"/>
    <w:rsid w:val="00B8763B"/>
    <w:rsid w:val="00B8779F"/>
    <w:rsid w:val="00B87B63"/>
    <w:rsid w:val="00B87C89"/>
    <w:rsid w:val="00B900EE"/>
    <w:rsid w:val="00B91096"/>
    <w:rsid w:val="00B9144B"/>
    <w:rsid w:val="00B915E4"/>
    <w:rsid w:val="00B91DA9"/>
    <w:rsid w:val="00B92308"/>
    <w:rsid w:val="00B929F4"/>
    <w:rsid w:val="00B92B57"/>
    <w:rsid w:val="00B93033"/>
    <w:rsid w:val="00B9571A"/>
    <w:rsid w:val="00B95AAB"/>
    <w:rsid w:val="00B95E1D"/>
    <w:rsid w:val="00B96017"/>
    <w:rsid w:val="00B962B0"/>
    <w:rsid w:val="00B962C7"/>
    <w:rsid w:val="00B9648B"/>
    <w:rsid w:val="00B96C0F"/>
    <w:rsid w:val="00B96E0A"/>
    <w:rsid w:val="00BA054F"/>
    <w:rsid w:val="00BA08BC"/>
    <w:rsid w:val="00BA123B"/>
    <w:rsid w:val="00BA12AE"/>
    <w:rsid w:val="00BA1774"/>
    <w:rsid w:val="00BA2330"/>
    <w:rsid w:val="00BA27E7"/>
    <w:rsid w:val="00BA2949"/>
    <w:rsid w:val="00BA2CC6"/>
    <w:rsid w:val="00BA3721"/>
    <w:rsid w:val="00BA3C38"/>
    <w:rsid w:val="00BA43A3"/>
    <w:rsid w:val="00BA4E12"/>
    <w:rsid w:val="00BA4E68"/>
    <w:rsid w:val="00BA62E5"/>
    <w:rsid w:val="00BA6398"/>
    <w:rsid w:val="00BA6699"/>
    <w:rsid w:val="00BA6A02"/>
    <w:rsid w:val="00BA7802"/>
    <w:rsid w:val="00BA7A5F"/>
    <w:rsid w:val="00BB016B"/>
    <w:rsid w:val="00BB03BF"/>
    <w:rsid w:val="00BB059B"/>
    <w:rsid w:val="00BB07B0"/>
    <w:rsid w:val="00BB0849"/>
    <w:rsid w:val="00BB0DD4"/>
    <w:rsid w:val="00BB0EE3"/>
    <w:rsid w:val="00BB15E0"/>
    <w:rsid w:val="00BB26E0"/>
    <w:rsid w:val="00BB28D7"/>
    <w:rsid w:val="00BB2A31"/>
    <w:rsid w:val="00BB2A61"/>
    <w:rsid w:val="00BB2ABF"/>
    <w:rsid w:val="00BB397A"/>
    <w:rsid w:val="00BB3E61"/>
    <w:rsid w:val="00BB4198"/>
    <w:rsid w:val="00BB4716"/>
    <w:rsid w:val="00BB4905"/>
    <w:rsid w:val="00BB4B21"/>
    <w:rsid w:val="00BB5172"/>
    <w:rsid w:val="00BB52A7"/>
    <w:rsid w:val="00BB5C2D"/>
    <w:rsid w:val="00BB69DA"/>
    <w:rsid w:val="00BB6CCB"/>
    <w:rsid w:val="00BB7390"/>
    <w:rsid w:val="00BB7843"/>
    <w:rsid w:val="00BB7CA3"/>
    <w:rsid w:val="00BB7DBD"/>
    <w:rsid w:val="00BB7F37"/>
    <w:rsid w:val="00BC0154"/>
    <w:rsid w:val="00BC0628"/>
    <w:rsid w:val="00BC0C25"/>
    <w:rsid w:val="00BC0DDA"/>
    <w:rsid w:val="00BC1120"/>
    <w:rsid w:val="00BC1261"/>
    <w:rsid w:val="00BC1426"/>
    <w:rsid w:val="00BC1A5E"/>
    <w:rsid w:val="00BC1B26"/>
    <w:rsid w:val="00BC1C43"/>
    <w:rsid w:val="00BC244E"/>
    <w:rsid w:val="00BC24AA"/>
    <w:rsid w:val="00BC2C89"/>
    <w:rsid w:val="00BC2C9F"/>
    <w:rsid w:val="00BC2D1C"/>
    <w:rsid w:val="00BC2E39"/>
    <w:rsid w:val="00BC3482"/>
    <w:rsid w:val="00BC3DB3"/>
    <w:rsid w:val="00BC42F6"/>
    <w:rsid w:val="00BC49FC"/>
    <w:rsid w:val="00BC5CE1"/>
    <w:rsid w:val="00BC5D41"/>
    <w:rsid w:val="00BC6924"/>
    <w:rsid w:val="00BC7B28"/>
    <w:rsid w:val="00BD0914"/>
    <w:rsid w:val="00BD0D59"/>
    <w:rsid w:val="00BD12BE"/>
    <w:rsid w:val="00BD1E6B"/>
    <w:rsid w:val="00BD3B8C"/>
    <w:rsid w:val="00BD3C26"/>
    <w:rsid w:val="00BD49D1"/>
    <w:rsid w:val="00BD4CC1"/>
    <w:rsid w:val="00BD6866"/>
    <w:rsid w:val="00BD6C06"/>
    <w:rsid w:val="00BD7EA0"/>
    <w:rsid w:val="00BE0348"/>
    <w:rsid w:val="00BE037B"/>
    <w:rsid w:val="00BE06E4"/>
    <w:rsid w:val="00BE0DE4"/>
    <w:rsid w:val="00BE1505"/>
    <w:rsid w:val="00BE2210"/>
    <w:rsid w:val="00BE2620"/>
    <w:rsid w:val="00BE360E"/>
    <w:rsid w:val="00BE3E2A"/>
    <w:rsid w:val="00BE46DF"/>
    <w:rsid w:val="00BE46F9"/>
    <w:rsid w:val="00BE474B"/>
    <w:rsid w:val="00BE4BD9"/>
    <w:rsid w:val="00BE5AC7"/>
    <w:rsid w:val="00BE5E1C"/>
    <w:rsid w:val="00BE65FB"/>
    <w:rsid w:val="00BE785E"/>
    <w:rsid w:val="00BE79D5"/>
    <w:rsid w:val="00BE7A61"/>
    <w:rsid w:val="00BF0675"/>
    <w:rsid w:val="00BF0A09"/>
    <w:rsid w:val="00BF2378"/>
    <w:rsid w:val="00BF30DD"/>
    <w:rsid w:val="00BF38A4"/>
    <w:rsid w:val="00BF39D3"/>
    <w:rsid w:val="00BF3E58"/>
    <w:rsid w:val="00BF43AB"/>
    <w:rsid w:val="00BF4A8E"/>
    <w:rsid w:val="00BF4E7B"/>
    <w:rsid w:val="00BF4F36"/>
    <w:rsid w:val="00BF5797"/>
    <w:rsid w:val="00BF583C"/>
    <w:rsid w:val="00BF5E07"/>
    <w:rsid w:val="00BF5FCC"/>
    <w:rsid w:val="00BF62E4"/>
    <w:rsid w:val="00BF668D"/>
    <w:rsid w:val="00BF7199"/>
    <w:rsid w:val="00BF73E4"/>
    <w:rsid w:val="00BF75D8"/>
    <w:rsid w:val="00BF7743"/>
    <w:rsid w:val="00C00734"/>
    <w:rsid w:val="00C0092B"/>
    <w:rsid w:val="00C00B98"/>
    <w:rsid w:val="00C00C2A"/>
    <w:rsid w:val="00C01A4E"/>
    <w:rsid w:val="00C02050"/>
    <w:rsid w:val="00C02611"/>
    <w:rsid w:val="00C044C2"/>
    <w:rsid w:val="00C0479B"/>
    <w:rsid w:val="00C05166"/>
    <w:rsid w:val="00C054DD"/>
    <w:rsid w:val="00C05B82"/>
    <w:rsid w:val="00C05B9E"/>
    <w:rsid w:val="00C06011"/>
    <w:rsid w:val="00C0628D"/>
    <w:rsid w:val="00C066A2"/>
    <w:rsid w:val="00C06D8C"/>
    <w:rsid w:val="00C07691"/>
    <w:rsid w:val="00C10275"/>
    <w:rsid w:val="00C10457"/>
    <w:rsid w:val="00C1087D"/>
    <w:rsid w:val="00C10BA7"/>
    <w:rsid w:val="00C114D0"/>
    <w:rsid w:val="00C11993"/>
    <w:rsid w:val="00C11E50"/>
    <w:rsid w:val="00C12612"/>
    <w:rsid w:val="00C12B2F"/>
    <w:rsid w:val="00C12E0B"/>
    <w:rsid w:val="00C13003"/>
    <w:rsid w:val="00C13828"/>
    <w:rsid w:val="00C1399C"/>
    <w:rsid w:val="00C139E8"/>
    <w:rsid w:val="00C142D9"/>
    <w:rsid w:val="00C152AF"/>
    <w:rsid w:val="00C15ABC"/>
    <w:rsid w:val="00C16A54"/>
    <w:rsid w:val="00C17168"/>
    <w:rsid w:val="00C213FD"/>
    <w:rsid w:val="00C21E8A"/>
    <w:rsid w:val="00C21EDF"/>
    <w:rsid w:val="00C21F62"/>
    <w:rsid w:val="00C22058"/>
    <w:rsid w:val="00C222DA"/>
    <w:rsid w:val="00C22C42"/>
    <w:rsid w:val="00C238D5"/>
    <w:rsid w:val="00C23C8C"/>
    <w:rsid w:val="00C23CE4"/>
    <w:rsid w:val="00C23D65"/>
    <w:rsid w:val="00C23FFF"/>
    <w:rsid w:val="00C24099"/>
    <w:rsid w:val="00C24583"/>
    <w:rsid w:val="00C2490C"/>
    <w:rsid w:val="00C24F29"/>
    <w:rsid w:val="00C2511B"/>
    <w:rsid w:val="00C256C6"/>
    <w:rsid w:val="00C25927"/>
    <w:rsid w:val="00C264A5"/>
    <w:rsid w:val="00C269A1"/>
    <w:rsid w:val="00C26D09"/>
    <w:rsid w:val="00C26FC3"/>
    <w:rsid w:val="00C2702B"/>
    <w:rsid w:val="00C270B4"/>
    <w:rsid w:val="00C274A4"/>
    <w:rsid w:val="00C275A1"/>
    <w:rsid w:val="00C27849"/>
    <w:rsid w:val="00C3042D"/>
    <w:rsid w:val="00C30A46"/>
    <w:rsid w:val="00C30D97"/>
    <w:rsid w:val="00C30FA0"/>
    <w:rsid w:val="00C323BD"/>
    <w:rsid w:val="00C324B4"/>
    <w:rsid w:val="00C332A0"/>
    <w:rsid w:val="00C33AA6"/>
    <w:rsid w:val="00C33EFA"/>
    <w:rsid w:val="00C349E2"/>
    <w:rsid w:val="00C35275"/>
    <w:rsid w:val="00C355CF"/>
    <w:rsid w:val="00C3580C"/>
    <w:rsid w:val="00C35CAE"/>
    <w:rsid w:val="00C35E42"/>
    <w:rsid w:val="00C362B7"/>
    <w:rsid w:val="00C3693F"/>
    <w:rsid w:val="00C3742F"/>
    <w:rsid w:val="00C37A6A"/>
    <w:rsid w:val="00C40807"/>
    <w:rsid w:val="00C40D68"/>
    <w:rsid w:val="00C41DEC"/>
    <w:rsid w:val="00C421B2"/>
    <w:rsid w:val="00C4242E"/>
    <w:rsid w:val="00C436B8"/>
    <w:rsid w:val="00C439A6"/>
    <w:rsid w:val="00C43C7F"/>
    <w:rsid w:val="00C443D7"/>
    <w:rsid w:val="00C44F4A"/>
    <w:rsid w:val="00C456CD"/>
    <w:rsid w:val="00C45F1B"/>
    <w:rsid w:val="00C464F8"/>
    <w:rsid w:val="00C471B5"/>
    <w:rsid w:val="00C47C60"/>
    <w:rsid w:val="00C47DBC"/>
    <w:rsid w:val="00C502DC"/>
    <w:rsid w:val="00C50961"/>
    <w:rsid w:val="00C51BB3"/>
    <w:rsid w:val="00C5207C"/>
    <w:rsid w:val="00C53633"/>
    <w:rsid w:val="00C538C9"/>
    <w:rsid w:val="00C53F58"/>
    <w:rsid w:val="00C5519F"/>
    <w:rsid w:val="00C55403"/>
    <w:rsid w:val="00C55BF0"/>
    <w:rsid w:val="00C5689E"/>
    <w:rsid w:val="00C57080"/>
    <w:rsid w:val="00C57E06"/>
    <w:rsid w:val="00C57F10"/>
    <w:rsid w:val="00C60191"/>
    <w:rsid w:val="00C60239"/>
    <w:rsid w:val="00C620FD"/>
    <w:rsid w:val="00C62368"/>
    <w:rsid w:val="00C62807"/>
    <w:rsid w:val="00C62849"/>
    <w:rsid w:val="00C62868"/>
    <w:rsid w:val="00C62CE9"/>
    <w:rsid w:val="00C62DC9"/>
    <w:rsid w:val="00C62F2B"/>
    <w:rsid w:val="00C63455"/>
    <w:rsid w:val="00C639E4"/>
    <w:rsid w:val="00C63BCE"/>
    <w:rsid w:val="00C63FE6"/>
    <w:rsid w:val="00C641F9"/>
    <w:rsid w:val="00C651AE"/>
    <w:rsid w:val="00C6551E"/>
    <w:rsid w:val="00C65B14"/>
    <w:rsid w:val="00C65E87"/>
    <w:rsid w:val="00C6640B"/>
    <w:rsid w:val="00C6643E"/>
    <w:rsid w:val="00C67B14"/>
    <w:rsid w:val="00C70BF6"/>
    <w:rsid w:val="00C70D25"/>
    <w:rsid w:val="00C71164"/>
    <w:rsid w:val="00C714F0"/>
    <w:rsid w:val="00C716DA"/>
    <w:rsid w:val="00C71CED"/>
    <w:rsid w:val="00C71FEA"/>
    <w:rsid w:val="00C72043"/>
    <w:rsid w:val="00C72422"/>
    <w:rsid w:val="00C733DD"/>
    <w:rsid w:val="00C737AC"/>
    <w:rsid w:val="00C73A9E"/>
    <w:rsid w:val="00C73FDB"/>
    <w:rsid w:val="00C75F6C"/>
    <w:rsid w:val="00C76236"/>
    <w:rsid w:val="00C76238"/>
    <w:rsid w:val="00C762E1"/>
    <w:rsid w:val="00C765C4"/>
    <w:rsid w:val="00C76931"/>
    <w:rsid w:val="00C76AE7"/>
    <w:rsid w:val="00C76DCD"/>
    <w:rsid w:val="00C778C6"/>
    <w:rsid w:val="00C77A1C"/>
    <w:rsid w:val="00C77B3A"/>
    <w:rsid w:val="00C80C62"/>
    <w:rsid w:val="00C80DEE"/>
    <w:rsid w:val="00C81096"/>
    <w:rsid w:val="00C81335"/>
    <w:rsid w:val="00C82A8A"/>
    <w:rsid w:val="00C82FB0"/>
    <w:rsid w:val="00C8308E"/>
    <w:rsid w:val="00C832C2"/>
    <w:rsid w:val="00C83BB5"/>
    <w:rsid w:val="00C84D4C"/>
    <w:rsid w:val="00C85D7E"/>
    <w:rsid w:val="00C8634C"/>
    <w:rsid w:val="00C86551"/>
    <w:rsid w:val="00C9027F"/>
    <w:rsid w:val="00C908D3"/>
    <w:rsid w:val="00C90E51"/>
    <w:rsid w:val="00C911D9"/>
    <w:rsid w:val="00C91C48"/>
    <w:rsid w:val="00C928DD"/>
    <w:rsid w:val="00C92A67"/>
    <w:rsid w:val="00C92BAD"/>
    <w:rsid w:val="00C93151"/>
    <w:rsid w:val="00C932AD"/>
    <w:rsid w:val="00C934C0"/>
    <w:rsid w:val="00C93F21"/>
    <w:rsid w:val="00C9550A"/>
    <w:rsid w:val="00C95709"/>
    <w:rsid w:val="00C959F5"/>
    <w:rsid w:val="00C95A3F"/>
    <w:rsid w:val="00C95F90"/>
    <w:rsid w:val="00C96206"/>
    <w:rsid w:val="00C963EB"/>
    <w:rsid w:val="00C96487"/>
    <w:rsid w:val="00C97AC4"/>
    <w:rsid w:val="00C97D82"/>
    <w:rsid w:val="00CA0C04"/>
    <w:rsid w:val="00CA13C8"/>
    <w:rsid w:val="00CA1476"/>
    <w:rsid w:val="00CA168B"/>
    <w:rsid w:val="00CA19D7"/>
    <w:rsid w:val="00CA3A9D"/>
    <w:rsid w:val="00CA3D90"/>
    <w:rsid w:val="00CA4133"/>
    <w:rsid w:val="00CA4694"/>
    <w:rsid w:val="00CA53A2"/>
    <w:rsid w:val="00CA58B9"/>
    <w:rsid w:val="00CA5AAC"/>
    <w:rsid w:val="00CA5F63"/>
    <w:rsid w:val="00CA6D58"/>
    <w:rsid w:val="00CA7668"/>
    <w:rsid w:val="00CB00B3"/>
    <w:rsid w:val="00CB032B"/>
    <w:rsid w:val="00CB0554"/>
    <w:rsid w:val="00CB0E97"/>
    <w:rsid w:val="00CB0FB9"/>
    <w:rsid w:val="00CB10A7"/>
    <w:rsid w:val="00CB170A"/>
    <w:rsid w:val="00CB35C5"/>
    <w:rsid w:val="00CB39F8"/>
    <w:rsid w:val="00CB4394"/>
    <w:rsid w:val="00CB4E1E"/>
    <w:rsid w:val="00CB7E6A"/>
    <w:rsid w:val="00CC0043"/>
    <w:rsid w:val="00CC0B17"/>
    <w:rsid w:val="00CC0CA8"/>
    <w:rsid w:val="00CC10FD"/>
    <w:rsid w:val="00CC1136"/>
    <w:rsid w:val="00CC1EBB"/>
    <w:rsid w:val="00CC309C"/>
    <w:rsid w:val="00CC3468"/>
    <w:rsid w:val="00CC39D9"/>
    <w:rsid w:val="00CC3D95"/>
    <w:rsid w:val="00CC4986"/>
    <w:rsid w:val="00CC5606"/>
    <w:rsid w:val="00CC63D1"/>
    <w:rsid w:val="00CC6ADB"/>
    <w:rsid w:val="00CC7750"/>
    <w:rsid w:val="00CC7844"/>
    <w:rsid w:val="00CC78CD"/>
    <w:rsid w:val="00CD02A5"/>
    <w:rsid w:val="00CD1800"/>
    <w:rsid w:val="00CD203D"/>
    <w:rsid w:val="00CD2E5D"/>
    <w:rsid w:val="00CD2FE2"/>
    <w:rsid w:val="00CD3111"/>
    <w:rsid w:val="00CD475C"/>
    <w:rsid w:val="00CD519C"/>
    <w:rsid w:val="00CD5628"/>
    <w:rsid w:val="00CD5826"/>
    <w:rsid w:val="00CD5B36"/>
    <w:rsid w:val="00CD5CD9"/>
    <w:rsid w:val="00CD75E8"/>
    <w:rsid w:val="00CD7F0B"/>
    <w:rsid w:val="00CE0FF4"/>
    <w:rsid w:val="00CE1DC4"/>
    <w:rsid w:val="00CE2A18"/>
    <w:rsid w:val="00CE2D70"/>
    <w:rsid w:val="00CE36FC"/>
    <w:rsid w:val="00CE3A3C"/>
    <w:rsid w:val="00CE68BD"/>
    <w:rsid w:val="00CE6EEE"/>
    <w:rsid w:val="00CE7197"/>
    <w:rsid w:val="00CE7E3F"/>
    <w:rsid w:val="00CF0A90"/>
    <w:rsid w:val="00CF0B16"/>
    <w:rsid w:val="00CF1691"/>
    <w:rsid w:val="00CF1EA3"/>
    <w:rsid w:val="00CF2CD3"/>
    <w:rsid w:val="00CF333D"/>
    <w:rsid w:val="00CF3A03"/>
    <w:rsid w:val="00CF40C6"/>
    <w:rsid w:val="00CF4A36"/>
    <w:rsid w:val="00CF4EB9"/>
    <w:rsid w:val="00CF55CB"/>
    <w:rsid w:val="00CF55D3"/>
    <w:rsid w:val="00CF578D"/>
    <w:rsid w:val="00CF58C1"/>
    <w:rsid w:val="00CF5989"/>
    <w:rsid w:val="00CF5A2D"/>
    <w:rsid w:val="00CF5B34"/>
    <w:rsid w:val="00CF7109"/>
    <w:rsid w:val="00D000CE"/>
    <w:rsid w:val="00D00861"/>
    <w:rsid w:val="00D01B28"/>
    <w:rsid w:val="00D0219A"/>
    <w:rsid w:val="00D02731"/>
    <w:rsid w:val="00D029AD"/>
    <w:rsid w:val="00D02B87"/>
    <w:rsid w:val="00D02C65"/>
    <w:rsid w:val="00D0334E"/>
    <w:rsid w:val="00D03359"/>
    <w:rsid w:val="00D033C7"/>
    <w:rsid w:val="00D03C6D"/>
    <w:rsid w:val="00D03DE2"/>
    <w:rsid w:val="00D044DC"/>
    <w:rsid w:val="00D05047"/>
    <w:rsid w:val="00D0516E"/>
    <w:rsid w:val="00D0566A"/>
    <w:rsid w:val="00D05A02"/>
    <w:rsid w:val="00D05DAC"/>
    <w:rsid w:val="00D05EC8"/>
    <w:rsid w:val="00D06836"/>
    <w:rsid w:val="00D0725D"/>
    <w:rsid w:val="00D0759E"/>
    <w:rsid w:val="00D10135"/>
    <w:rsid w:val="00D1075C"/>
    <w:rsid w:val="00D1088C"/>
    <w:rsid w:val="00D110AB"/>
    <w:rsid w:val="00D1122D"/>
    <w:rsid w:val="00D1124A"/>
    <w:rsid w:val="00D11F38"/>
    <w:rsid w:val="00D11F49"/>
    <w:rsid w:val="00D1227C"/>
    <w:rsid w:val="00D126B5"/>
    <w:rsid w:val="00D13038"/>
    <w:rsid w:val="00D13194"/>
    <w:rsid w:val="00D1323A"/>
    <w:rsid w:val="00D13599"/>
    <w:rsid w:val="00D13750"/>
    <w:rsid w:val="00D13D9D"/>
    <w:rsid w:val="00D14822"/>
    <w:rsid w:val="00D14C93"/>
    <w:rsid w:val="00D1593E"/>
    <w:rsid w:val="00D16BC2"/>
    <w:rsid w:val="00D16C56"/>
    <w:rsid w:val="00D172D5"/>
    <w:rsid w:val="00D17467"/>
    <w:rsid w:val="00D2038B"/>
    <w:rsid w:val="00D20997"/>
    <w:rsid w:val="00D2147B"/>
    <w:rsid w:val="00D2150F"/>
    <w:rsid w:val="00D215DF"/>
    <w:rsid w:val="00D216A1"/>
    <w:rsid w:val="00D217EA"/>
    <w:rsid w:val="00D2282C"/>
    <w:rsid w:val="00D228BA"/>
    <w:rsid w:val="00D23895"/>
    <w:rsid w:val="00D23DBD"/>
    <w:rsid w:val="00D24292"/>
    <w:rsid w:val="00D2449C"/>
    <w:rsid w:val="00D24B38"/>
    <w:rsid w:val="00D262D0"/>
    <w:rsid w:val="00D26DE2"/>
    <w:rsid w:val="00D2723C"/>
    <w:rsid w:val="00D27835"/>
    <w:rsid w:val="00D27AFD"/>
    <w:rsid w:val="00D3047E"/>
    <w:rsid w:val="00D3056A"/>
    <w:rsid w:val="00D307F7"/>
    <w:rsid w:val="00D30AD2"/>
    <w:rsid w:val="00D30DCF"/>
    <w:rsid w:val="00D329AE"/>
    <w:rsid w:val="00D3315F"/>
    <w:rsid w:val="00D33ACC"/>
    <w:rsid w:val="00D33E3B"/>
    <w:rsid w:val="00D3542C"/>
    <w:rsid w:val="00D3730A"/>
    <w:rsid w:val="00D375AB"/>
    <w:rsid w:val="00D37746"/>
    <w:rsid w:val="00D40021"/>
    <w:rsid w:val="00D407F3"/>
    <w:rsid w:val="00D40B85"/>
    <w:rsid w:val="00D42088"/>
    <w:rsid w:val="00D428DA"/>
    <w:rsid w:val="00D42AC2"/>
    <w:rsid w:val="00D43D18"/>
    <w:rsid w:val="00D43F65"/>
    <w:rsid w:val="00D441F9"/>
    <w:rsid w:val="00D45324"/>
    <w:rsid w:val="00D45A7C"/>
    <w:rsid w:val="00D45BEC"/>
    <w:rsid w:val="00D45E83"/>
    <w:rsid w:val="00D460C9"/>
    <w:rsid w:val="00D46A11"/>
    <w:rsid w:val="00D46DAC"/>
    <w:rsid w:val="00D46E83"/>
    <w:rsid w:val="00D472FF"/>
    <w:rsid w:val="00D47B9C"/>
    <w:rsid w:val="00D47D5C"/>
    <w:rsid w:val="00D50409"/>
    <w:rsid w:val="00D5072F"/>
    <w:rsid w:val="00D51E32"/>
    <w:rsid w:val="00D5244D"/>
    <w:rsid w:val="00D52B01"/>
    <w:rsid w:val="00D53087"/>
    <w:rsid w:val="00D53103"/>
    <w:rsid w:val="00D5349C"/>
    <w:rsid w:val="00D53503"/>
    <w:rsid w:val="00D535AC"/>
    <w:rsid w:val="00D5428D"/>
    <w:rsid w:val="00D546E6"/>
    <w:rsid w:val="00D54896"/>
    <w:rsid w:val="00D5504C"/>
    <w:rsid w:val="00D55180"/>
    <w:rsid w:val="00D555C7"/>
    <w:rsid w:val="00D55714"/>
    <w:rsid w:val="00D55F2D"/>
    <w:rsid w:val="00D560B0"/>
    <w:rsid w:val="00D56119"/>
    <w:rsid w:val="00D566F4"/>
    <w:rsid w:val="00D57A95"/>
    <w:rsid w:val="00D57BF9"/>
    <w:rsid w:val="00D60103"/>
    <w:rsid w:val="00D60665"/>
    <w:rsid w:val="00D60855"/>
    <w:rsid w:val="00D61111"/>
    <w:rsid w:val="00D6123A"/>
    <w:rsid w:val="00D6175C"/>
    <w:rsid w:val="00D618E1"/>
    <w:rsid w:val="00D61F12"/>
    <w:rsid w:val="00D62166"/>
    <w:rsid w:val="00D621F5"/>
    <w:rsid w:val="00D628B7"/>
    <w:rsid w:val="00D637BE"/>
    <w:rsid w:val="00D639D1"/>
    <w:rsid w:val="00D63AB9"/>
    <w:rsid w:val="00D6452E"/>
    <w:rsid w:val="00D64596"/>
    <w:rsid w:val="00D65AE6"/>
    <w:rsid w:val="00D65BEB"/>
    <w:rsid w:val="00D6620D"/>
    <w:rsid w:val="00D66CF6"/>
    <w:rsid w:val="00D67891"/>
    <w:rsid w:val="00D7001D"/>
    <w:rsid w:val="00D70A3C"/>
    <w:rsid w:val="00D70A58"/>
    <w:rsid w:val="00D71A09"/>
    <w:rsid w:val="00D720B2"/>
    <w:rsid w:val="00D72456"/>
    <w:rsid w:val="00D724C1"/>
    <w:rsid w:val="00D7266E"/>
    <w:rsid w:val="00D731E7"/>
    <w:rsid w:val="00D73751"/>
    <w:rsid w:val="00D73D1D"/>
    <w:rsid w:val="00D741D1"/>
    <w:rsid w:val="00D744AA"/>
    <w:rsid w:val="00D74675"/>
    <w:rsid w:val="00D74D4F"/>
    <w:rsid w:val="00D752CB"/>
    <w:rsid w:val="00D75A6A"/>
    <w:rsid w:val="00D75B96"/>
    <w:rsid w:val="00D764E9"/>
    <w:rsid w:val="00D76C7D"/>
    <w:rsid w:val="00D77908"/>
    <w:rsid w:val="00D77AA4"/>
    <w:rsid w:val="00D77D8E"/>
    <w:rsid w:val="00D77F77"/>
    <w:rsid w:val="00D8054C"/>
    <w:rsid w:val="00D807EB"/>
    <w:rsid w:val="00D81479"/>
    <w:rsid w:val="00D81577"/>
    <w:rsid w:val="00D817DA"/>
    <w:rsid w:val="00D81800"/>
    <w:rsid w:val="00D81965"/>
    <w:rsid w:val="00D81CD7"/>
    <w:rsid w:val="00D81F86"/>
    <w:rsid w:val="00D826CD"/>
    <w:rsid w:val="00D82971"/>
    <w:rsid w:val="00D82F3E"/>
    <w:rsid w:val="00D83FB7"/>
    <w:rsid w:val="00D8447D"/>
    <w:rsid w:val="00D8460D"/>
    <w:rsid w:val="00D84FC1"/>
    <w:rsid w:val="00D85559"/>
    <w:rsid w:val="00D85FB2"/>
    <w:rsid w:val="00D861DA"/>
    <w:rsid w:val="00D87683"/>
    <w:rsid w:val="00D87787"/>
    <w:rsid w:val="00D902C6"/>
    <w:rsid w:val="00D9084B"/>
    <w:rsid w:val="00D910DF"/>
    <w:rsid w:val="00D91ED1"/>
    <w:rsid w:val="00D92056"/>
    <w:rsid w:val="00D9227E"/>
    <w:rsid w:val="00D926DB"/>
    <w:rsid w:val="00D92A92"/>
    <w:rsid w:val="00D92AC4"/>
    <w:rsid w:val="00D9365D"/>
    <w:rsid w:val="00D93B6F"/>
    <w:rsid w:val="00D950ED"/>
    <w:rsid w:val="00D956C2"/>
    <w:rsid w:val="00D9653A"/>
    <w:rsid w:val="00D96826"/>
    <w:rsid w:val="00D97866"/>
    <w:rsid w:val="00D978F2"/>
    <w:rsid w:val="00D97E17"/>
    <w:rsid w:val="00D97EA8"/>
    <w:rsid w:val="00D97F2C"/>
    <w:rsid w:val="00D97FFB"/>
    <w:rsid w:val="00DA037F"/>
    <w:rsid w:val="00DA05C6"/>
    <w:rsid w:val="00DA0A12"/>
    <w:rsid w:val="00DA15F1"/>
    <w:rsid w:val="00DA161B"/>
    <w:rsid w:val="00DA2152"/>
    <w:rsid w:val="00DA2290"/>
    <w:rsid w:val="00DA26A3"/>
    <w:rsid w:val="00DA278F"/>
    <w:rsid w:val="00DA3417"/>
    <w:rsid w:val="00DA36C9"/>
    <w:rsid w:val="00DA44F6"/>
    <w:rsid w:val="00DA48EB"/>
    <w:rsid w:val="00DA493F"/>
    <w:rsid w:val="00DA5D35"/>
    <w:rsid w:val="00DA5DCC"/>
    <w:rsid w:val="00DA63A0"/>
    <w:rsid w:val="00DA6520"/>
    <w:rsid w:val="00DA759D"/>
    <w:rsid w:val="00DA792B"/>
    <w:rsid w:val="00DA7E3F"/>
    <w:rsid w:val="00DA7F15"/>
    <w:rsid w:val="00DB0A5B"/>
    <w:rsid w:val="00DB237A"/>
    <w:rsid w:val="00DB25E1"/>
    <w:rsid w:val="00DB2C84"/>
    <w:rsid w:val="00DB2F97"/>
    <w:rsid w:val="00DB4461"/>
    <w:rsid w:val="00DB4488"/>
    <w:rsid w:val="00DB4FD8"/>
    <w:rsid w:val="00DB6181"/>
    <w:rsid w:val="00DB6706"/>
    <w:rsid w:val="00DB684D"/>
    <w:rsid w:val="00DB6C87"/>
    <w:rsid w:val="00DB73BD"/>
    <w:rsid w:val="00DB7984"/>
    <w:rsid w:val="00DC075C"/>
    <w:rsid w:val="00DC1CFE"/>
    <w:rsid w:val="00DC2E3F"/>
    <w:rsid w:val="00DC2EE3"/>
    <w:rsid w:val="00DC32C7"/>
    <w:rsid w:val="00DC33FB"/>
    <w:rsid w:val="00DC3743"/>
    <w:rsid w:val="00DC39B2"/>
    <w:rsid w:val="00DC4117"/>
    <w:rsid w:val="00DC4BB4"/>
    <w:rsid w:val="00DC50C3"/>
    <w:rsid w:val="00DC5E4A"/>
    <w:rsid w:val="00DC6C1B"/>
    <w:rsid w:val="00DC6D13"/>
    <w:rsid w:val="00DC6FBB"/>
    <w:rsid w:val="00DC70C8"/>
    <w:rsid w:val="00DC7924"/>
    <w:rsid w:val="00DC7A98"/>
    <w:rsid w:val="00DC7C51"/>
    <w:rsid w:val="00DC7EC9"/>
    <w:rsid w:val="00DC7F58"/>
    <w:rsid w:val="00DD00DF"/>
    <w:rsid w:val="00DD068A"/>
    <w:rsid w:val="00DD08B1"/>
    <w:rsid w:val="00DD0D23"/>
    <w:rsid w:val="00DD1505"/>
    <w:rsid w:val="00DD1ED4"/>
    <w:rsid w:val="00DD2020"/>
    <w:rsid w:val="00DD278E"/>
    <w:rsid w:val="00DD2BA4"/>
    <w:rsid w:val="00DD3807"/>
    <w:rsid w:val="00DD38A2"/>
    <w:rsid w:val="00DD48B9"/>
    <w:rsid w:val="00DD4B1A"/>
    <w:rsid w:val="00DD4BF0"/>
    <w:rsid w:val="00DD5D38"/>
    <w:rsid w:val="00DD608C"/>
    <w:rsid w:val="00DD62F3"/>
    <w:rsid w:val="00DD6A74"/>
    <w:rsid w:val="00DD6C0A"/>
    <w:rsid w:val="00DD76B1"/>
    <w:rsid w:val="00DD7707"/>
    <w:rsid w:val="00DD78D3"/>
    <w:rsid w:val="00DE03A2"/>
    <w:rsid w:val="00DE05FE"/>
    <w:rsid w:val="00DE09EC"/>
    <w:rsid w:val="00DE0DEC"/>
    <w:rsid w:val="00DE1195"/>
    <w:rsid w:val="00DE1B9B"/>
    <w:rsid w:val="00DE1F1D"/>
    <w:rsid w:val="00DE2981"/>
    <w:rsid w:val="00DE2E95"/>
    <w:rsid w:val="00DE3F33"/>
    <w:rsid w:val="00DE4876"/>
    <w:rsid w:val="00DE48CF"/>
    <w:rsid w:val="00DE4DFD"/>
    <w:rsid w:val="00DE58D1"/>
    <w:rsid w:val="00DE5EE8"/>
    <w:rsid w:val="00DE6B1F"/>
    <w:rsid w:val="00DE711B"/>
    <w:rsid w:val="00DE793C"/>
    <w:rsid w:val="00DE7E6B"/>
    <w:rsid w:val="00DF0123"/>
    <w:rsid w:val="00DF0606"/>
    <w:rsid w:val="00DF0B01"/>
    <w:rsid w:val="00DF1E6F"/>
    <w:rsid w:val="00DF295A"/>
    <w:rsid w:val="00DF3059"/>
    <w:rsid w:val="00DF3DF4"/>
    <w:rsid w:val="00DF4D6D"/>
    <w:rsid w:val="00DF56B6"/>
    <w:rsid w:val="00DF5A46"/>
    <w:rsid w:val="00DF5C40"/>
    <w:rsid w:val="00DF610C"/>
    <w:rsid w:val="00DF64AA"/>
    <w:rsid w:val="00DF675A"/>
    <w:rsid w:val="00DF67F2"/>
    <w:rsid w:val="00DF6AFF"/>
    <w:rsid w:val="00DF7D4A"/>
    <w:rsid w:val="00E00D4A"/>
    <w:rsid w:val="00E01194"/>
    <w:rsid w:val="00E014BA"/>
    <w:rsid w:val="00E0164C"/>
    <w:rsid w:val="00E01FD5"/>
    <w:rsid w:val="00E02D0B"/>
    <w:rsid w:val="00E03161"/>
    <w:rsid w:val="00E0377D"/>
    <w:rsid w:val="00E04582"/>
    <w:rsid w:val="00E045E2"/>
    <w:rsid w:val="00E05AB9"/>
    <w:rsid w:val="00E05B2D"/>
    <w:rsid w:val="00E05E74"/>
    <w:rsid w:val="00E060E6"/>
    <w:rsid w:val="00E06AC3"/>
    <w:rsid w:val="00E06FFF"/>
    <w:rsid w:val="00E0737F"/>
    <w:rsid w:val="00E073F9"/>
    <w:rsid w:val="00E07F64"/>
    <w:rsid w:val="00E1065C"/>
    <w:rsid w:val="00E107EB"/>
    <w:rsid w:val="00E10B5B"/>
    <w:rsid w:val="00E11105"/>
    <w:rsid w:val="00E1122D"/>
    <w:rsid w:val="00E128A2"/>
    <w:rsid w:val="00E12A82"/>
    <w:rsid w:val="00E13A2E"/>
    <w:rsid w:val="00E13A38"/>
    <w:rsid w:val="00E13FFD"/>
    <w:rsid w:val="00E14210"/>
    <w:rsid w:val="00E15A31"/>
    <w:rsid w:val="00E16939"/>
    <w:rsid w:val="00E1766A"/>
    <w:rsid w:val="00E20726"/>
    <w:rsid w:val="00E2099E"/>
    <w:rsid w:val="00E20EC1"/>
    <w:rsid w:val="00E21057"/>
    <w:rsid w:val="00E21AAC"/>
    <w:rsid w:val="00E21F78"/>
    <w:rsid w:val="00E224B7"/>
    <w:rsid w:val="00E22C8B"/>
    <w:rsid w:val="00E234D0"/>
    <w:rsid w:val="00E23C91"/>
    <w:rsid w:val="00E24E08"/>
    <w:rsid w:val="00E24EF2"/>
    <w:rsid w:val="00E2561B"/>
    <w:rsid w:val="00E260F4"/>
    <w:rsid w:val="00E26659"/>
    <w:rsid w:val="00E267E6"/>
    <w:rsid w:val="00E26A04"/>
    <w:rsid w:val="00E270F0"/>
    <w:rsid w:val="00E27330"/>
    <w:rsid w:val="00E27717"/>
    <w:rsid w:val="00E27963"/>
    <w:rsid w:val="00E27A4E"/>
    <w:rsid w:val="00E27AFA"/>
    <w:rsid w:val="00E3079B"/>
    <w:rsid w:val="00E31452"/>
    <w:rsid w:val="00E320CB"/>
    <w:rsid w:val="00E330BE"/>
    <w:rsid w:val="00E33F13"/>
    <w:rsid w:val="00E342D3"/>
    <w:rsid w:val="00E34501"/>
    <w:rsid w:val="00E349CA"/>
    <w:rsid w:val="00E34A63"/>
    <w:rsid w:val="00E35B8F"/>
    <w:rsid w:val="00E370AF"/>
    <w:rsid w:val="00E373E9"/>
    <w:rsid w:val="00E40078"/>
    <w:rsid w:val="00E40A4F"/>
    <w:rsid w:val="00E40C10"/>
    <w:rsid w:val="00E40E2B"/>
    <w:rsid w:val="00E418C3"/>
    <w:rsid w:val="00E419BD"/>
    <w:rsid w:val="00E41A79"/>
    <w:rsid w:val="00E41CBF"/>
    <w:rsid w:val="00E41DAA"/>
    <w:rsid w:val="00E42B2A"/>
    <w:rsid w:val="00E42E7B"/>
    <w:rsid w:val="00E43D70"/>
    <w:rsid w:val="00E4461B"/>
    <w:rsid w:val="00E44B8A"/>
    <w:rsid w:val="00E45079"/>
    <w:rsid w:val="00E4520C"/>
    <w:rsid w:val="00E45317"/>
    <w:rsid w:val="00E45760"/>
    <w:rsid w:val="00E45E89"/>
    <w:rsid w:val="00E461E9"/>
    <w:rsid w:val="00E4669C"/>
    <w:rsid w:val="00E46708"/>
    <w:rsid w:val="00E500EF"/>
    <w:rsid w:val="00E5034D"/>
    <w:rsid w:val="00E50F33"/>
    <w:rsid w:val="00E52384"/>
    <w:rsid w:val="00E53669"/>
    <w:rsid w:val="00E536ED"/>
    <w:rsid w:val="00E54467"/>
    <w:rsid w:val="00E54D31"/>
    <w:rsid w:val="00E5554C"/>
    <w:rsid w:val="00E55A28"/>
    <w:rsid w:val="00E572E6"/>
    <w:rsid w:val="00E575B4"/>
    <w:rsid w:val="00E60209"/>
    <w:rsid w:val="00E60C1D"/>
    <w:rsid w:val="00E62060"/>
    <w:rsid w:val="00E62334"/>
    <w:rsid w:val="00E62AC3"/>
    <w:rsid w:val="00E62B01"/>
    <w:rsid w:val="00E62B3E"/>
    <w:rsid w:val="00E63458"/>
    <w:rsid w:val="00E63C85"/>
    <w:rsid w:val="00E63CCE"/>
    <w:rsid w:val="00E63D49"/>
    <w:rsid w:val="00E6450C"/>
    <w:rsid w:val="00E6476C"/>
    <w:rsid w:val="00E64B67"/>
    <w:rsid w:val="00E64D36"/>
    <w:rsid w:val="00E656A8"/>
    <w:rsid w:val="00E6580D"/>
    <w:rsid w:val="00E65F0E"/>
    <w:rsid w:val="00E65FC7"/>
    <w:rsid w:val="00E663AE"/>
    <w:rsid w:val="00E669CD"/>
    <w:rsid w:val="00E66C90"/>
    <w:rsid w:val="00E66CD1"/>
    <w:rsid w:val="00E679D1"/>
    <w:rsid w:val="00E70551"/>
    <w:rsid w:val="00E70A2C"/>
    <w:rsid w:val="00E72D00"/>
    <w:rsid w:val="00E73AC3"/>
    <w:rsid w:val="00E740BB"/>
    <w:rsid w:val="00E7458B"/>
    <w:rsid w:val="00E7491E"/>
    <w:rsid w:val="00E74CA9"/>
    <w:rsid w:val="00E74FBE"/>
    <w:rsid w:val="00E75A66"/>
    <w:rsid w:val="00E75E71"/>
    <w:rsid w:val="00E76964"/>
    <w:rsid w:val="00E76ABB"/>
    <w:rsid w:val="00E80330"/>
    <w:rsid w:val="00E80854"/>
    <w:rsid w:val="00E81557"/>
    <w:rsid w:val="00E81A92"/>
    <w:rsid w:val="00E81DF0"/>
    <w:rsid w:val="00E82104"/>
    <w:rsid w:val="00E8221B"/>
    <w:rsid w:val="00E82231"/>
    <w:rsid w:val="00E82DE6"/>
    <w:rsid w:val="00E83156"/>
    <w:rsid w:val="00E83A1D"/>
    <w:rsid w:val="00E83E7C"/>
    <w:rsid w:val="00E84279"/>
    <w:rsid w:val="00E847A7"/>
    <w:rsid w:val="00E84BEE"/>
    <w:rsid w:val="00E8550F"/>
    <w:rsid w:val="00E8558C"/>
    <w:rsid w:val="00E85967"/>
    <w:rsid w:val="00E85FF2"/>
    <w:rsid w:val="00E8616C"/>
    <w:rsid w:val="00E864D6"/>
    <w:rsid w:val="00E86B81"/>
    <w:rsid w:val="00E86CBA"/>
    <w:rsid w:val="00E872E5"/>
    <w:rsid w:val="00E9080F"/>
    <w:rsid w:val="00E9091B"/>
    <w:rsid w:val="00E90CF7"/>
    <w:rsid w:val="00E90E39"/>
    <w:rsid w:val="00E90FD6"/>
    <w:rsid w:val="00E917C0"/>
    <w:rsid w:val="00E91B9B"/>
    <w:rsid w:val="00E91F20"/>
    <w:rsid w:val="00E92136"/>
    <w:rsid w:val="00E922FC"/>
    <w:rsid w:val="00E92410"/>
    <w:rsid w:val="00E9277C"/>
    <w:rsid w:val="00E92836"/>
    <w:rsid w:val="00E92B5F"/>
    <w:rsid w:val="00E92F3F"/>
    <w:rsid w:val="00E93BC3"/>
    <w:rsid w:val="00E93C25"/>
    <w:rsid w:val="00E943E9"/>
    <w:rsid w:val="00E94E08"/>
    <w:rsid w:val="00E95394"/>
    <w:rsid w:val="00E959E8"/>
    <w:rsid w:val="00E95C95"/>
    <w:rsid w:val="00E96600"/>
    <w:rsid w:val="00E96D53"/>
    <w:rsid w:val="00E97DF6"/>
    <w:rsid w:val="00E97F36"/>
    <w:rsid w:val="00EA21EA"/>
    <w:rsid w:val="00EA234C"/>
    <w:rsid w:val="00EA2A62"/>
    <w:rsid w:val="00EA2B70"/>
    <w:rsid w:val="00EA2E45"/>
    <w:rsid w:val="00EA30B0"/>
    <w:rsid w:val="00EA395A"/>
    <w:rsid w:val="00EA4245"/>
    <w:rsid w:val="00EA4BEF"/>
    <w:rsid w:val="00EA4EB9"/>
    <w:rsid w:val="00EA5545"/>
    <w:rsid w:val="00EA5D8D"/>
    <w:rsid w:val="00EA63D8"/>
    <w:rsid w:val="00EA667C"/>
    <w:rsid w:val="00EA76B3"/>
    <w:rsid w:val="00EB0EDE"/>
    <w:rsid w:val="00EB11E0"/>
    <w:rsid w:val="00EB1557"/>
    <w:rsid w:val="00EB1F5B"/>
    <w:rsid w:val="00EB287D"/>
    <w:rsid w:val="00EB28B6"/>
    <w:rsid w:val="00EB3289"/>
    <w:rsid w:val="00EB3C3C"/>
    <w:rsid w:val="00EB4435"/>
    <w:rsid w:val="00EB4CCB"/>
    <w:rsid w:val="00EB4F96"/>
    <w:rsid w:val="00EB4FA9"/>
    <w:rsid w:val="00EB54A6"/>
    <w:rsid w:val="00EB5CE6"/>
    <w:rsid w:val="00EB6112"/>
    <w:rsid w:val="00EB6586"/>
    <w:rsid w:val="00EB67E1"/>
    <w:rsid w:val="00EB6C80"/>
    <w:rsid w:val="00EC0A6F"/>
    <w:rsid w:val="00EC0B17"/>
    <w:rsid w:val="00EC1476"/>
    <w:rsid w:val="00EC1540"/>
    <w:rsid w:val="00EC176D"/>
    <w:rsid w:val="00EC1A6F"/>
    <w:rsid w:val="00EC1B36"/>
    <w:rsid w:val="00EC24E7"/>
    <w:rsid w:val="00EC2A56"/>
    <w:rsid w:val="00EC32A4"/>
    <w:rsid w:val="00EC33B9"/>
    <w:rsid w:val="00EC36CD"/>
    <w:rsid w:val="00EC3721"/>
    <w:rsid w:val="00EC3F59"/>
    <w:rsid w:val="00EC4CF9"/>
    <w:rsid w:val="00EC57B9"/>
    <w:rsid w:val="00EC5885"/>
    <w:rsid w:val="00EC68AC"/>
    <w:rsid w:val="00EC7B1D"/>
    <w:rsid w:val="00EC7C07"/>
    <w:rsid w:val="00ED0086"/>
    <w:rsid w:val="00ED017C"/>
    <w:rsid w:val="00ED01F5"/>
    <w:rsid w:val="00ED0EFF"/>
    <w:rsid w:val="00ED106A"/>
    <w:rsid w:val="00ED1547"/>
    <w:rsid w:val="00ED25B5"/>
    <w:rsid w:val="00ED27E3"/>
    <w:rsid w:val="00ED2910"/>
    <w:rsid w:val="00ED2945"/>
    <w:rsid w:val="00ED308A"/>
    <w:rsid w:val="00ED3522"/>
    <w:rsid w:val="00ED3AC0"/>
    <w:rsid w:val="00ED3BD9"/>
    <w:rsid w:val="00ED48A3"/>
    <w:rsid w:val="00ED5775"/>
    <w:rsid w:val="00ED5BC6"/>
    <w:rsid w:val="00ED6E75"/>
    <w:rsid w:val="00ED7906"/>
    <w:rsid w:val="00ED7E56"/>
    <w:rsid w:val="00EE0216"/>
    <w:rsid w:val="00EE0B3F"/>
    <w:rsid w:val="00EE12E1"/>
    <w:rsid w:val="00EE2295"/>
    <w:rsid w:val="00EE2447"/>
    <w:rsid w:val="00EE2A88"/>
    <w:rsid w:val="00EE2B53"/>
    <w:rsid w:val="00EE2B9F"/>
    <w:rsid w:val="00EE315E"/>
    <w:rsid w:val="00EE35AD"/>
    <w:rsid w:val="00EE391A"/>
    <w:rsid w:val="00EE3A02"/>
    <w:rsid w:val="00EE44F9"/>
    <w:rsid w:val="00EE481A"/>
    <w:rsid w:val="00EE4F23"/>
    <w:rsid w:val="00EE4FFA"/>
    <w:rsid w:val="00EE5202"/>
    <w:rsid w:val="00EE570F"/>
    <w:rsid w:val="00EE5972"/>
    <w:rsid w:val="00EE5F89"/>
    <w:rsid w:val="00EE6EF3"/>
    <w:rsid w:val="00EE6EFC"/>
    <w:rsid w:val="00EE7054"/>
    <w:rsid w:val="00EE718A"/>
    <w:rsid w:val="00EE7481"/>
    <w:rsid w:val="00EE78C4"/>
    <w:rsid w:val="00EE7B7F"/>
    <w:rsid w:val="00EE7E4B"/>
    <w:rsid w:val="00EE7FDD"/>
    <w:rsid w:val="00EF0A80"/>
    <w:rsid w:val="00EF10B2"/>
    <w:rsid w:val="00EF1228"/>
    <w:rsid w:val="00EF1276"/>
    <w:rsid w:val="00EF19D1"/>
    <w:rsid w:val="00EF1B2D"/>
    <w:rsid w:val="00EF2EE8"/>
    <w:rsid w:val="00EF30D5"/>
    <w:rsid w:val="00EF3F5A"/>
    <w:rsid w:val="00EF4527"/>
    <w:rsid w:val="00EF47F5"/>
    <w:rsid w:val="00EF4BFE"/>
    <w:rsid w:val="00EF4CBF"/>
    <w:rsid w:val="00EF4F31"/>
    <w:rsid w:val="00EF6202"/>
    <w:rsid w:val="00F00C65"/>
    <w:rsid w:val="00F0196A"/>
    <w:rsid w:val="00F027F9"/>
    <w:rsid w:val="00F02FE4"/>
    <w:rsid w:val="00F03726"/>
    <w:rsid w:val="00F03799"/>
    <w:rsid w:val="00F0390C"/>
    <w:rsid w:val="00F0411E"/>
    <w:rsid w:val="00F04C41"/>
    <w:rsid w:val="00F04E90"/>
    <w:rsid w:val="00F0527C"/>
    <w:rsid w:val="00F057E2"/>
    <w:rsid w:val="00F05AC7"/>
    <w:rsid w:val="00F060FC"/>
    <w:rsid w:val="00F07088"/>
    <w:rsid w:val="00F07357"/>
    <w:rsid w:val="00F07677"/>
    <w:rsid w:val="00F07ACA"/>
    <w:rsid w:val="00F07B2D"/>
    <w:rsid w:val="00F07DC3"/>
    <w:rsid w:val="00F104D0"/>
    <w:rsid w:val="00F10579"/>
    <w:rsid w:val="00F10C4F"/>
    <w:rsid w:val="00F11AD2"/>
    <w:rsid w:val="00F11F3C"/>
    <w:rsid w:val="00F12E80"/>
    <w:rsid w:val="00F130AF"/>
    <w:rsid w:val="00F1345B"/>
    <w:rsid w:val="00F13926"/>
    <w:rsid w:val="00F13971"/>
    <w:rsid w:val="00F14D9F"/>
    <w:rsid w:val="00F15EA9"/>
    <w:rsid w:val="00F164F5"/>
    <w:rsid w:val="00F172EE"/>
    <w:rsid w:val="00F207B5"/>
    <w:rsid w:val="00F211FF"/>
    <w:rsid w:val="00F2161A"/>
    <w:rsid w:val="00F21918"/>
    <w:rsid w:val="00F21A3A"/>
    <w:rsid w:val="00F21AB4"/>
    <w:rsid w:val="00F21B56"/>
    <w:rsid w:val="00F21C17"/>
    <w:rsid w:val="00F21DDE"/>
    <w:rsid w:val="00F22B94"/>
    <w:rsid w:val="00F22C78"/>
    <w:rsid w:val="00F22FC2"/>
    <w:rsid w:val="00F23A61"/>
    <w:rsid w:val="00F248B6"/>
    <w:rsid w:val="00F25479"/>
    <w:rsid w:val="00F266A8"/>
    <w:rsid w:val="00F27581"/>
    <w:rsid w:val="00F27726"/>
    <w:rsid w:val="00F278EB"/>
    <w:rsid w:val="00F301D3"/>
    <w:rsid w:val="00F3111A"/>
    <w:rsid w:val="00F3159F"/>
    <w:rsid w:val="00F31637"/>
    <w:rsid w:val="00F31FAF"/>
    <w:rsid w:val="00F31FD9"/>
    <w:rsid w:val="00F32395"/>
    <w:rsid w:val="00F3240B"/>
    <w:rsid w:val="00F3278F"/>
    <w:rsid w:val="00F33B9F"/>
    <w:rsid w:val="00F33DB6"/>
    <w:rsid w:val="00F34060"/>
    <w:rsid w:val="00F349C9"/>
    <w:rsid w:val="00F34A91"/>
    <w:rsid w:val="00F34E05"/>
    <w:rsid w:val="00F34F30"/>
    <w:rsid w:val="00F35AC7"/>
    <w:rsid w:val="00F36169"/>
    <w:rsid w:val="00F3648D"/>
    <w:rsid w:val="00F366E6"/>
    <w:rsid w:val="00F36EEA"/>
    <w:rsid w:val="00F3790D"/>
    <w:rsid w:val="00F40D31"/>
    <w:rsid w:val="00F40DC8"/>
    <w:rsid w:val="00F41932"/>
    <w:rsid w:val="00F41A40"/>
    <w:rsid w:val="00F4237D"/>
    <w:rsid w:val="00F424CD"/>
    <w:rsid w:val="00F425BF"/>
    <w:rsid w:val="00F42C4C"/>
    <w:rsid w:val="00F433F7"/>
    <w:rsid w:val="00F434C5"/>
    <w:rsid w:val="00F44192"/>
    <w:rsid w:val="00F44793"/>
    <w:rsid w:val="00F4489D"/>
    <w:rsid w:val="00F44C22"/>
    <w:rsid w:val="00F44D0D"/>
    <w:rsid w:val="00F44F09"/>
    <w:rsid w:val="00F45CD1"/>
    <w:rsid w:val="00F45D93"/>
    <w:rsid w:val="00F46967"/>
    <w:rsid w:val="00F476D1"/>
    <w:rsid w:val="00F4789A"/>
    <w:rsid w:val="00F47ECF"/>
    <w:rsid w:val="00F50FB2"/>
    <w:rsid w:val="00F51762"/>
    <w:rsid w:val="00F51A53"/>
    <w:rsid w:val="00F51B44"/>
    <w:rsid w:val="00F51C00"/>
    <w:rsid w:val="00F51D45"/>
    <w:rsid w:val="00F51EE4"/>
    <w:rsid w:val="00F51FDE"/>
    <w:rsid w:val="00F52202"/>
    <w:rsid w:val="00F5347D"/>
    <w:rsid w:val="00F53D14"/>
    <w:rsid w:val="00F53D22"/>
    <w:rsid w:val="00F54465"/>
    <w:rsid w:val="00F54730"/>
    <w:rsid w:val="00F54BBC"/>
    <w:rsid w:val="00F5595E"/>
    <w:rsid w:val="00F56BE4"/>
    <w:rsid w:val="00F56D27"/>
    <w:rsid w:val="00F573BB"/>
    <w:rsid w:val="00F57984"/>
    <w:rsid w:val="00F6075F"/>
    <w:rsid w:val="00F60BC3"/>
    <w:rsid w:val="00F60E09"/>
    <w:rsid w:val="00F61364"/>
    <w:rsid w:val="00F614C4"/>
    <w:rsid w:val="00F61E2F"/>
    <w:rsid w:val="00F63B39"/>
    <w:rsid w:val="00F644E2"/>
    <w:rsid w:val="00F648B9"/>
    <w:rsid w:val="00F64D20"/>
    <w:rsid w:val="00F65A16"/>
    <w:rsid w:val="00F65CD1"/>
    <w:rsid w:val="00F65F76"/>
    <w:rsid w:val="00F67036"/>
    <w:rsid w:val="00F70015"/>
    <w:rsid w:val="00F70B85"/>
    <w:rsid w:val="00F71914"/>
    <w:rsid w:val="00F72350"/>
    <w:rsid w:val="00F7256C"/>
    <w:rsid w:val="00F72B2C"/>
    <w:rsid w:val="00F72EC4"/>
    <w:rsid w:val="00F72F55"/>
    <w:rsid w:val="00F73040"/>
    <w:rsid w:val="00F73166"/>
    <w:rsid w:val="00F731FA"/>
    <w:rsid w:val="00F7463B"/>
    <w:rsid w:val="00F74959"/>
    <w:rsid w:val="00F74E58"/>
    <w:rsid w:val="00F75A59"/>
    <w:rsid w:val="00F764FF"/>
    <w:rsid w:val="00F7650A"/>
    <w:rsid w:val="00F76A72"/>
    <w:rsid w:val="00F76B1A"/>
    <w:rsid w:val="00F7705F"/>
    <w:rsid w:val="00F8077B"/>
    <w:rsid w:val="00F80A56"/>
    <w:rsid w:val="00F810AE"/>
    <w:rsid w:val="00F81538"/>
    <w:rsid w:val="00F81F38"/>
    <w:rsid w:val="00F82219"/>
    <w:rsid w:val="00F83338"/>
    <w:rsid w:val="00F83534"/>
    <w:rsid w:val="00F83F5D"/>
    <w:rsid w:val="00F85455"/>
    <w:rsid w:val="00F85AA4"/>
    <w:rsid w:val="00F85C7E"/>
    <w:rsid w:val="00F86446"/>
    <w:rsid w:val="00F86CAA"/>
    <w:rsid w:val="00F86CEF"/>
    <w:rsid w:val="00F86E72"/>
    <w:rsid w:val="00F86F6B"/>
    <w:rsid w:val="00F9020E"/>
    <w:rsid w:val="00F902FD"/>
    <w:rsid w:val="00F90313"/>
    <w:rsid w:val="00F90336"/>
    <w:rsid w:val="00F9108E"/>
    <w:rsid w:val="00F912B6"/>
    <w:rsid w:val="00F9134E"/>
    <w:rsid w:val="00F913D4"/>
    <w:rsid w:val="00F92216"/>
    <w:rsid w:val="00F93751"/>
    <w:rsid w:val="00F93768"/>
    <w:rsid w:val="00F94273"/>
    <w:rsid w:val="00F942C8"/>
    <w:rsid w:val="00F94919"/>
    <w:rsid w:val="00F94A55"/>
    <w:rsid w:val="00F94ED7"/>
    <w:rsid w:val="00F952A9"/>
    <w:rsid w:val="00F953AA"/>
    <w:rsid w:val="00F95924"/>
    <w:rsid w:val="00F95970"/>
    <w:rsid w:val="00F95CA6"/>
    <w:rsid w:val="00F95D5F"/>
    <w:rsid w:val="00F95DDF"/>
    <w:rsid w:val="00F96108"/>
    <w:rsid w:val="00F973E1"/>
    <w:rsid w:val="00F97E4C"/>
    <w:rsid w:val="00FA10E5"/>
    <w:rsid w:val="00FA1402"/>
    <w:rsid w:val="00FA1702"/>
    <w:rsid w:val="00FA3438"/>
    <w:rsid w:val="00FA44EC"/>
    <w:rsid w:val="00FA6404"/>
    <w:rsid w:val="00FA6621"/>
    <w:rsid w:val="00FA68F1"/>
    <w:rsid w:val="00FA69C6"/>
    <w:rsid w:val="00FA6D49"/>
    <w:rsid w:val="00FA70A7"/>
    <w:rsid w:val="00FA737C"/>
    <w:rsid w:val="00FA7D0F"/>
    <w:rsid w:val="00FA7D32"/>
    <w:rsid w:val="00FB1B4F"/>
    <w:rsid w:val="00FB1F20"/>
    <w:rsid w:val="00FB2981"/>
    <w:rsid w:val="00FB3993"/>
    <w:rsid w:val="00FB5337"/>
    <w:rsid w:val="00FB54D5"/>
    <w:rsid w:val="00FB55D8"/>
    <w:rsid w:val="00FB57A7"/>
    <w:rsid w:val="00FB75A8"/>
    <w:rsid w:val="00FB7AEB"/>
    <w:rsid w:val="00FC0C3C"/>
    <w:rsid w:val="00FC0F7D"/>
    <w:rsid w:val="00FC10BC"/>
    <w:rsid w:val="00FC17AF"/>
    <w:rsid w:val="00FC1FB8"/>
    <w:rsid w:val="00FC2874"/>
    <w:rsid w:val="00FC2E34"/>
    <w:rsid w:val="00FC4A0C"/>
    <w:rsid w:val="00FC6C26"/>
    <w:rsid w:val="00FC6FDC"/>
    <w:rsid w:val="00FD0395"/>
    <w:rsid w:val="00FD06DF"/>
    <w:rsid w:val="00FD0B4D"/>
    <w:rsid w:val="00FD0CFD"/>
    <w:rsid w:val="00FD11B9"/>
    <w:rsid w:val="00FD1294"/>
    <w:rsid w:val="00FD2489"/>
    <w:rsid w:val="00FD2B8D"/>
    <w:rsid w:val="00FD2FA3"/>
    <w:rsid w:val="00FD2FA6"/>
    <w:rsid w:val="00FD3049"/>
    <w:rsid w:val="00FD33EA"/>
    <w:rsid w:val="00FD367E"/>
    <w:rsid w:val="00FD3984"/>
    <w:rsid w:val="00FD4D47"/>
    <w:rsid w:val="00FD53D7"/>
    <w:rsid w:val="00FD5909"/>
    <w:rsid w:val="00FE0376"/>
    <w:rsid w:val="00FE160B"/>
    <w:rsid w:val="00FE1BEE"/>
    <w:rsid w:val="00FE203C"/>
    <w:rsid w:val="00FE212B"/>
    <w:rsid w:val="00FE257A"/>
    <w:rsid w:val="00FE27FD"/>
    <w:rsid w:val="00FE316C"/>
    <w:rsid w:val="00FE3225"/>
    <w:rsid w:val="00FE3BD6"/>
    <w:rsid w:val="00FE40B4"/>
    <w:rsid w:val="00FE4417"/>
    <w:rsid w:val="00FE45E0"/>
    <w:rsid w:val="00FE52B5"/>
    <w:rsid w:val="00FE52CE"/>
    <w:rsid w:val="00FE53D0"/>
    <w:rsid w:val="00FE6142"/>
    <w:rsid w:val="00FE74CF"/>
    <w:rsid w:val="00FF00CB"/>
    <w:rsid w:val="00FF0847"/>
    <w:rsid w:val="00FF0BCD"/>
    <w:rsid w:val="00FF0E62"/>
    <w:rsid w:val="00FF1142"/>
    <w:rsid w:val="00FF2455"/>
    <w:rsid w:val="00FF2CEF"/>
    <w:rsid w:val="00FF408F"/>
    <w:rsid w:val="00FF4459"/>
    <w:rsid w:val="00FF47BD"/>
    <w:rsid w:val="00FF47FC"/>
    <w:rsid w:val="00FF4FB2"/>
    <w:rsid w:val="00FF5072"/>
    <w:rsid w:val="00FF54AB"/>
    <w:rsid w:val="00FF5C73"/>
    <w:rsid w:val="00FF5CAD"/>
    <w:rsid w:val="00FF6892"/>
    <w:rsid w:val="00FF719E"/>
    <w:rsid w:val="00FF73AD"/>
    <w:rsid w:val="013CC689"/>
    <w:rsid w:val="026838B6"/>
    <w:rsid w:val="02C22D59"/>
    <w:rsid w:val="03194DE8"/>
    <w:rsid w:val="04E3C859"/>
    <w:rsid w:val="05D484D1"/>
    <w:rsid w:val="06A94938"/>
    <w:rsid w:val="0719FF77"/>
    <w:rsid w:val="0801B75A"/>
    <w:rsid w:val="08D61B6B"/>
    <w:rsid w:val="09E5A33E"/>
    <w:rsid w:val="0B00D3DE"/>
    <w:rsid w:val="0B4306C6"/>
    <w:rsid w:val="0B780682"/>
    <w:rsid w:val="0BB291EC"/>
    <w:rsid w:val="0C4C616A"/>
    <w:rsid w:val="0C9656C7"/>
    <w:rsid w:val="0D3E0645"/>
    <w:rsid w:val="0E99A644"/>
    <w:rsid w:val="0EDAF386"/>
    <w:rsid w:val="11290F8B"/>
    <w:rsid w:val="1194B63A"/>
    <w:rsid w:val="1299CF00"/>
    <w:rsid w:val="12E29BA4"/>
    <w:rsid w:val="13AFB2AD"/>
    <w:rsid w:val="13DE8A01"/>
    <w:rsid w:val="140C7B51"/>
    <w:rsid w:val="15A84DB5"/>
    <w:rsid w:val="16010A9C"/>
    <w:rsid w:val="17CF43F8"/>
    <w:rsid w:val="19E19CAE"/>
    <w:rsid w:val="19F6BF4E"/>
    <w:rsid w:val="1B0A2838"/>
    <w:rsid w:val="1B1517A5"/>
    <w:rsid w:val="1C450695"/>
    <w:rsid w:val="1CBFE547"/>
    <w:rsid w:val="1CE3E35D"/>
    <w:rsid w:val="1D228417"/>
    <w:rsid w:val="1E6E79CD"/>
    <w:rsid w:val="1E81ECFD"/>
    <w:rsid w:val="1EA5403A"/>
    <w:rsid w:val="1F347AD4"/>
    <w:rsid w:val="1F3BA86E"/>
    <w:rsid w:val="20523A78"/>
    <w:rsid w:val="219F764D"/>
    <w:rsid w:val="22FE1861"/>
    <w:rsid w:val="239D8DC6"/>
    <w:rsid w:val="23A05DE4"/>
    <w:rsid w:val="25A2B725"/>
    <w:rsid w:val="2643A8B2"/>
    <w:rsid w:val="2720A96C"/>
    <w:rsid w:val="27D121C8"/>
    <w:rsid w:val="27DD96CD"/>
    <w:rsid w:val="29EFB188"/>
    <w:rsid w:val="2A8CB0A6"/>
    <w:rsid w:val="2C9DE3B9"/>
    <w:rsid w:val="2E9CFD39"/>
    <w:rsid w:val="2EEF311F"/>
    <w:rsid w:val="31418D34"/>
    <w:rsid w:val="319DFB63"/>
    <w:rsid w:val="338388AD"/>
    <w:rsid w:val="3454B1A0"/>
    <w:rsid w:val="3549056F"/>
    <w:rsid w:val="367A3210"/>
    <w:rsid w:val="3723D4D4"/>
    <w:rsid w:val="372CC1A5"/>
    <w:rsid w:val="37467A55"/>
    <w:rsid w:val="37F61172"/>
    <w:rsid w:val="3803F806"/>
    <w:rsid w:val="38197F87"/>
    <w:rsid w:val="3820B14D"/>
    <w:rsid w:val="38297445"/>
    <w:rsid w:val="39088184"/>
    <w:rsid w:val="3C3B56E0"/>
    <w:rsid w:val="3C585D7E"/>
    <w:rsid w:val="3C7FCD67"/>
    <w:rsid w:val="3CCD0C77"/>
    <w:rsid w:val="3D7910AC"/>
    <w:rsid w:val="3ED75A1A"/>
    <w:rsid w:val="3F3F7C61"/>
    <w:rsid w:val="4024C083"/>
    <w:rsid w:val="4083EE1E"/>
    <w:rsid w:val="408EAA25"/>
    <w:rsid w:val="40F7A10F"/>
    <w:rsid w:val="415046D7"/>
    <w:rsid w:val="42E92E2C"/>
    <w:rsid w:val="42F3FAFA"/>
    <w:rsid w:val="435741BB"/>
    <w:rsid w:val="4491CDD9"/>
    <w:rsid w:val="450CE8CD"/>
    <w:rsid w:val="4685AC3E"/>
    <w:rsid w:val="46BE6012"/>
    <w:rsid w:val="471F33DA"/>
    <w:rsid w:val="480E5135"/>
    <w:rsid w:val="49385561"/>
    <w:rsid w:val="4AB141B8"/>
    <w:rsid w:val="4BD784A5"/>
    <w:rsid w:val="4E529FC2"/>
    <w:rsid w:val="4E67F900"/>
    <w:rsid w:val="4FC21CA1"/>
    <w:rsid w:val="4FE2603C"/>
    <w:rsid w:val="509C5605"/>
    <w:rsid w:val="51498028"/>
    <w:rsid w:val="5247BAC2"/>
    <w:rsid w:val="53B5B327"/>
    <w:rsid w:val="53E0BF91"/>
    <w:rsid w:val="53E813DB"/>
    <w:rsid w:val="5412ED46"/>
    <w:rsid w:val="54161BC5"/>
    <w:rsid w:val="5447215E"/>
    <w:rsid w:val="54A129B1"/>
    <w:rsid w:val="554B2DF0"/>
    <w:rsid w:val="55B77A68"/>
    <w:rsid w:val="56178AB7"/>
    <w:rsid w:val="57E1AE90"/>
    <w:rsid w:val="57E4EDD5"/>
    <w:rsid w:val="58C3B4E0"/>
    <w:rsid w:val="59315BA6"/>
    <w:rsid w:val="5AF01EA8"/>
    <w:rsid w:val="5B6171C7"/>
    <w:rsid w:val="5BC51B09"/>
    <w:rsid w:val="5BEB7855"/>
    <w:rsid w:val="5C9E9DE7"/>
    <w:rsid w:val="5D113333"/>
    <w:rsid w:val="5D267152"/>
    <w:rsid w:val="5D7F47A7"/>
    <w:rsid w:val="5DEF7207"/>
    <w:rsid w:val="5E16F167"/>
    <w:rsid w:val="5EFB3817"/>
    <w:rsid w:val="6190C302"/>
    <w:rsid w:val="61D0070F"/>
    <w:rsid w:val="61D70E3A"/>
    <w:rsid w:val="627FB9E1"/>
    <w:rsid w:val="62A3D8ED"/>
    <w:rsid w:val="6331FB88"/>
    <w:rsid w:val="6460E087"/>
    <w:rsid w:val="64EBB509"/>
    <w:rsid w:val="65AB817D"/>
    <w:rsid w:val="6639BF9B"/>
    <w:rsid w:val="69EC530B"/>
    <w:rsid w:val="69F25293"/>
    <w:rsid w:val="6CE6A0E8"/>
    <w:rsid w:val="6D399962"/>
    <w:rsid w:val="6E066FE1"/>
    <w:rsid w:val="6E3C554C"/>
    <w:rsid w:val="6EA8A65A"/>
    <w:rsid w:val="6F61950F"/>
    <w:rsid w:val="6F7D1E7A"/>
    <w:rsid w:val="6F7E1D4B"/>
    <w:rsid w:val="6FA18421"/>
    <w:rsid w:val="70303404"/>
    <w:rsid w:val="722C4E45"/>
    <w:rsid w:val="7335A9B1"/>
    <w:rsid w:val="7445BE95"/>
    <w:rsid w:val="7471C6D5"/>
    <w:rsid w:val="74836341"/>
    <w:rsid w:val="75A78FBD"/>
    <w:rsid w:val="75D403BA"/>
    <w:rsid w:val="7610D8AE"/>
    <w:rsid w:val="78A6AAAC"/>
    <w:rsid w:val="7A0395C9"/>
    <w:rsid w:val="7A8E0821"/>
    <w:rsid w:val="7C7F8A9C"/>
    <w:rsid w:val="7C802E80"/>
    <w:rsid w:val="7FFD3B5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5D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985"/>
    <w:pPr>
      <w:spacing w:after="120" w:line="276" w:lineRule="auto"/>
      <w:jc w:val="both"/>
    </w:pPr>
    <w:rPr>
      <w:rFonts w:ascii="Calibri Light" w:eastAsia="Times New Roman" w:hAnsi="Calibri Light"/>
      <w:lang w:eastAsia="en-AU"/>
    </w:rPr>
  </w:style>
  <w:style w:type="paragraph" w:styleId="Heading1">
    <w:name w:val="heading 1"/>
    <w:next w:val="Normal"/>
    <w:link w:val="Heading1Char"/>
    <w:qFormat/>
    <w:rsid w:val="004C1F58"/>
    <w:pPr>
      <w:keepNext/>
      <w:spacing w:before="240" w:after="120" w:line="460" w:lineRule="exact"/>
      <w:outlineLvl w:val="0"/>
    </w:pPr>
    <w:rPr>
      <w:rFonts w:eastAsia="Times New Roman" w:cs="Arial"/>
      <w:b/>
      <w:color w:val="5D779D" w:themeColor="accent3"/>
      <w:kern w:val="32"/>
      <w:sz w:val="28"/>
      <w:szCs w:val="36"/>
      <w:lang w:eastAsia="en-AU"/>
    </w:rPr>
  </w:style>
  <w:style w:type="paragraph" w:styleId="Heading2">
    <w:name w:val="heading 2"/>
    <w:basedOn w:val="Normal"/>
    <w:next w:val="Normal"/>
    <w:link w:val="Heading2Char"/>
    <w:qFormat/>
    <w:rsid w:val="00A21B06"/>
    <w:pPr>
      <w:keepNext/>
      <w:spacing w:after="60"/>
      <w:outlineLvl w:val="1"/>
    </w:pPr>
    <w:rPr>
      <w:rFonts w:ascii="Calibri" w:hAnsi="Calibri" w:cs="Arial"/>
      <w:b/>
      <w:iCs/>
      <w:color w:val="5D779D" w:themeColor="accent3"/>
      <w:kern w:val="32"/>
      <w:sz w:val="26"/>
      <w:szCs w:val="28"/>
    </w:rPr>
  </w:style>
  <w:style w:type="paragraph" w:styleId="Heading3">
    <w:name w:val="heading 3"/>
    <w:basedOn w:val="Normal"/>
    <w:next w:val="Normal"/>
    <w:link w:val="Heading3Char"/>
    <w:qFormat/>
    <w:rsid w:val="000A2049"/>
    <w:pPr>
      <w:keepNext/>
      <w:spacing w:before="240" w:after="60"/>
      <w:outlineLvl w:val="2"/>
    </w:pPr>
    <w:rPr>
      <w:rFonts w:ascii="Calibri" w:hAnsi="Calibri" w:cs="Arial"/>
      <w:b/>
      <w:color w:val="5D779D" w:themeColor="accent3"/>
      <w:kern w:val="32"/>
      <w:sz w:val="24"/>
      <w:szCs w:val="26"/>
    </w:rPr>
  </w:style>
  <w:style w:type="paragraph" w:styleId="Heading4">
    <w:name w:val="heading 4"/>
    <w:basedOn w:val="Normal"/>
    <w:next w:val="Normal"/>
    <w:link w:val="Heading4Char"/>
    <w:qFormat/>
    <w:rsid w:val="005C5140"/>
    <w:pPr>
      <w:keepNext/>
      <w:spacing w:after="60"/>
      <w:outlineLvl w:val="3"/>
    </w:pPr>
    <w:rPr>
      <w:rFonts w:cs="Arial"/>
      <w:b/>
      <w:color w:val="5D779D" w:themeColor="accent3"/>
      <w:kern w:val="32"/>
      <w:sz w:val="22"/>
      <w:szCs w:val="26"/>
    </w:rPr>
  </w:style>
  <w:style w:type="paragraph" w:styleId="Heading5">
    <w:name w:val="heading 5"/>
    <w:basedOn w:val="Normal"/>
    <w:next w:val="Normal"/>
    <w:link w:val="Heading5Char"/>
    <w:rsid w:val="005C5140"/>
    <w:pPr>
      <w:keepNext/>
      <w:spacing w:after="60"/>
      <w:outlineLvl w:val="4"/>
    </w:pPr>
    <w:rPr>
      <w:rFonts w:asciiTheme="majorHAnsi" w:hAnsiTheme="majorHAnsi" w:cs="Arial"/>
      <w:b/>
      <w:iCs/>
      <w:color w:val="5D779D" w:themeColor="accent3"/>
      <w:kern w:val="32"/>
      <w:szCs w:val="36"/>
    </w:rPr>
  </w:style>
  <w:style w:type="paragraph" w:styleId="Heading6">
    <w:name w:val="heading 6"/>
    <w:basedOn w:val="Normal"/>
    <w:next w:val="Normal"/>
    <w:link w:val="Heading6Char"/>
    <w:rsid w:val="00AE53E5"/>
    <w:pPr>
      <w:keepNext/>
      <w:spacing w:after="0"/>
      <w:outlineLvl w:val="5"/>
    </w:pPr>
    <w:rPr>
      <w:rFonts w:cs="Arial"/>
      <w:color w:val="000000" w:themeColor="text1"/>
      <w:kern w:val="32"/>
      <w:szCs w:val="22"/>
    </w:rPr>
  </w:style>
  <w:style w:type="paragraph" w:styleId="Heading7">
    <w:name w:val="heading 7"/>
    <w:basedOn w:val="Normal"/>
    <w:next w:val="Normal"/>
    <w:link w:val="Heading7Char"/>
    <w:uiPriority w:val="9"/>
    <w:semiHidden/>
    <w:unhideWhenUsed/>
    <w:rsid w:val="00C23C8C"/>
    <w:pPr>
      <w:keepNext/>
      <w:keepLines/>
      <w:spacing w:before="40"/>
      <w:outlineLvl w:val="6"/>
    </w:pPr>
    <w:rPr>
      <w:rFonts w:asciiTheme="majorHAnsi" w:eastAsiaTheme="majorEastAsia" w:hAnsiTheme="majorHAnsi" w:cstheme="majorBidi"/>
      <w:iCs/>
      <w:color w:val="161B24" w:themeColor="accent1" w:themeShade="7F"/>
    </w:rPr>
  </w:style>
  <w:style w:type="paragraph" w:styleId="Heading8">
    <w:name w:val="heading 8"/>
    <w:next w:val="Normal"/>
    <w:link w:val="Heading8Char"/>
    <w:uiPriority w:val="9"/>
    <w:unhideWhenUsed/>
    <w:rsid w:val="007D6CEC"/>
    <w:pPr>
      <w:keepNext/>
      <w:keepLines/>
      <w:spacing w:before="40"/>
      <w:outlineLvl w:val="7"/>
    </w:pPr>
    <w:rPr>
      <w:rFonts w:asciiTheme="majorHAnsi" w:eastAsiaTheme="majorEastAsia" w:hAnsiTheme="majorHAnsi" w:cstheme="majorBidi"/>
      <w:color w:val="272727" w:themeColor="text1" w:themeTint="D8"/>
      <w:szCs w:val="21"/>
      <w:lang w:eastAsia="en-AU"/>
    </w:rPr>
  </w:style>
  <w:style w:type="paragraph" w:styleId="Heading9">
    <w:name w:val="heading 9"/>
    <w:basedOn w:val="Normal"/>
    <w:next w:val="Normal"/>
    <w:link w:val="Heading9Char"/>
    <w:uiPriority w:val="9"/>
    <w:unhideWhenUsed/>
    <w:rsid w:val="007D6CEC"/>
    <w:pPr>
      <w:keepNext/>
      <w:keepLines/>
      <w:spacing w:before="40"/>
      <w:outlineLvl w:val="8"/>
    </w:pPr>
    <w:rPr>
      <w:rFonts w:asciiTheme="majorHAnsi" w:eastAsiaTheme="majorEastAsia" w:hAnsiTheme="majorHAnsi" w:cstheme="majorBid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ooter text"/>
    <w:basedOn w:val="Normal"/>
    <w:link w:val="HeaderChar"/>
    <w:rsid w:val="00251470"/>
    <w:rPr>
      <w:noProof/>
      <w:sz w:val="18"/>
    </w:rPr>
  </w:style>
  <w:style w:type="character" w:customStyle="1" w:styleId="HeaderChar">
    <w:name w:val="Header Char"/>
    <w:aliases w:val="Footer text Char"/>
    <w:basedOn w:val="DefaultParagraphFont"/>
    <w:link w:val="Header"/>
    <w:rsid w:val="00251470"/>
    <w:rPr>
      <w:rFonts w:ascii="Calibri Light" w:eastAsia="Times New Roman" w:hAnsi="Calibri Light"/>
      <w:noProof/>
      <w:sz w:val="18"/>
      <w:lang w:eastAsia="en-AU"/>
    </w:rPr>
  </w:style>
  <w:style w:type="paragraph" w:customStyle="1" w:styleId="Factsheettitle">
    <w:name w:val="Fact sheet title"/>
    <w:basedOn w:val="Normal"/>
    <w:qFormat/>
    <w:rsid w:val="003D3F5F"/>
    <w:pPr>
      <w:spacing w:before="840" w:after="200"/>
    </w:pPr>
    <w:rPr>
      <w:rFonts w:ascii="Calibri" w:hAnsi="Calibri"/>
      <w:b/>
      <w:color w:val="2C384A" w:themeColor="accent1"/>
      <w:sz w:val="36"/>
      <w:szCs w:val="68"/>
    </w:rPr>
  </w:style>
  <w:style w:type="character" w:customStyle="1" w:styleId="Heading1Char">
    <w:name w:val="Heading 1 Char"/>
    <w:basedOn w:val="DefaultParagraphFont"/>
    <w:link w:val="Heading1"/>
    <w:rsid w:val="004C1F58"/>
    <w:rPr>
      <w:rFonts w:eastAsia="Times New Roman" w:cs="Arial"/>
      <w:b/>
      <w:color w:val="5D779D" w:themeColor="accent3"/>
      <w:kern w:val="32"/>
      <w:sz w:val="28"/>
      <w:szCs w:val="36"/>
      <w:lang w:eastAsia="en-AU"/>
    </w:rPr>
  </w:style>
  <w:style w:type="paragraph" w:customStyle="1" w:styleId="Dash">
    <w:name w:val="Dash"/>
    <w:basedOn w:val="Normal"/>
    <w:link w:val="DashChar"/>
    <w:qFormat/>
    <w:rsid w:val="00BA123B"/>
    <w:pPr>
      <w:numPr>
        <w:ilvl w:val="1"/>
        <w:numId w:val="9"/>
      </w:numPr>
      <w:tabs>
        <w:tab w:val="clear" w:pos="567"/>
      </w:tabs>
      <w:ind w:left="397" w:hanging="170"/>
    </w:pPr>
  </w:style>
  <w:style w:type="character" w:customStyle="1" w:styleId="DashChar">
    <w:name w:val="Dash Char"/>
    <w:basedOn w:val="DefaultParagraphFont"/>
    <w:link w:val="Dash"/>
    <w:rsid w:val="00BA123B"/>
    <w:rPr>
      <w:rFonts w:ascii="Calibri Light" w:eastAsia="Times New Roman" w:hAnsi="Calibri Light"/>
      <w:sz w:val="22"/>
      <w:lang w:eastAsia="en-AU"/>
    </w:rPr>
  </w:style>
  <w:style w:type="paragraph" w:customStyle="1" w:styleId="DoubleDot">
    <w:name w:val="Double Dot"/>
    <w:basedOn w:val="Normal"/>
    <w:link w:val="DoubleDotChar"/>
    <w:qFormat/>
    <w:rsid w:val="00BA123B"/>
    <w:pPr>
      <w:numPr>
        <w:ilvl w:val="2"/>
        <w:numId w:val="9"/>
      </w:numPr>
      <w:tabs>
        <w:tab w:val="clear" w:pos="850"/>
      </w:tabs>
      <w:ind w:left="567" w:hanging="170"/>
    </w:pPr>
  </w:style>
  <w:style w:type="character" w:customStyle="1" w:styleId="DoubleDotChar">
    <w:name w:val="Double Dot Char"/>
    <w:basedOn w:val="DefaultParagraphFont"/>
    <w:link w:val="DoubleDot"/>
    <w:rsid w:val="00BA123B"/>
    <w:rPr>
      <w:rFonts w:ascii="Calibri Light" w:eastAsia="Times New Roman" w:hAnsi="Calibri Light"/>
      <w:sz w:val="22"/>
      <w:lang w:eastAsia="en-AU"/>
    </w:rPr>
  </w:style>
  <w:style w:type="paragraph" w:styleId="BalloonText">
    <w:name w:val="Balloon Text"/>
    <w:basedOn w:val="Normal"/>
    <w:link w:val="BalloonTextChar"/>
    <w:semiHidden/>
    <w:rsid w:val="008F0B15"/>
    <w:rPr>
      <w:rFonts w:ascii="Tahoma" w:hAnsi="Tahoma" w:cs="Tahoma"/>
      <w:sz w:val="16"/>
      <w:szCs w:val="16"/>
    </w:rPr>
  </w:style>
  <w:style w:type="character" w:customStyle="1" w:styleId="BalloonTextChar">
    <w:name w:val="Balloon Text Char"/>
    <w:basedOn w:val="DefaultParagraphFont"/>
    <w:link w:val="BalloonText"/>
    <w:semiHidden/>
    <w:rsid w:val="00627218"/>
    <w:rPr>
      <w:rFonts w:ascii="Tahoma" w:eastAsia="Times New Roman" w:hAnsi="Tahoma" w:cs="Tahoma"/>
      <w:sz w:val="16"/>
      <w:szCs w:val="16"/>
    </w:rPr>
  </w:style>
  <w:style w:type="character" w:customStyle="1" w:styleId="Heading2Char">
    <w:name w:val="Heading 2 Char"/>
    <w:basedOn w:val="DefaultParagraphFont"/>
    <w:link w:val="Heading2"/>
    <w:rsid w:val="00A21B06"/>
    <w:rPr>
      <w:rFonts w:eastAsia="Times New Roman" w:cs="Arial"/>
      <w:b/>
      <w:iCs/>
      <w:color w:val="5D779D" w:themeColor="accent3"/>
      <w:kern w:val="32"/>
      <w:sz w:val="26"/>
      <w:szCs w:val="28"/>
      <w:lang w:eastAsia="en-AU"/>
    </w:rPr>
  </w:style>
  <w:style w:type="character" w:customStyle="1" w:styleId="Heading3Char">
    <w:name w:val="Heading 3 Char"/>
    <w:basedOn w:val="DefaultParagraphFont"/>
    <w:link w:val="Heading3"/>
    <w:rsid w:val="000A2049"/>
    <w:rPr>
      <w:rFonts w:eastAsia="Times New Roman" w:cs="Arial"/>
      <w:b/>
      <w:color w:val="5D779D" w:themeColor="accent3"/>
      <w:kern w:val="32"/>
      <w:sz w:val="24"/>
      <w:szCs w:val="26"/>
      <w:lang w:eastAsia="en-AU"/>
    </w:rPr>
  </w:style>
  <w:style w:type="character" w:customStyle="1" w:styleId="Heading4Char">
    <w:name w:val="Heading 4 Char"/>
    <w:basedOn w:val="DefaultParagraphFont"/>
    <w:link w:val="Heading4"/>
    <w:rsid w:val="005C5140"/>
    <w:rPr>
      <w:rFonts w:ascii="Calibri Light" w:eastAsia="Times New Roman" w:hAnsi="Calibri Light" w:cs="Arial"/>
      <w:b/>
      <w:color w:val="5D779D" w:themeColor="accent3"/>
      <w:kern w:val="32"/>
      <w:sz w:val="22"/>
      <w:szCs w:val="26"/>
      <w:lang w:eastAsia="en-AU"/>
    </w:rPr>
  </w:style>
  <w:style w:type="table" w:styleId="TableGrid">
    <w:name w:val="Table Grid"/>
    <w:basedOn w:val="TableNormal"/>
    <w:uiPriority w:val="59"/>
    <w:rsid w:val="008F0B15"/>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C4F86"/>
    <w:tblPr>
      <w:tblBorders>
        <w:top w:val="single" w:sz="2" w:space="0" w:color="2E74B5"/>
        <w:left w:val="single" w:sz="2" w:space="0" w:color="2E74B5"/>
        <w:bottom w:val="single" w:sz="2" w:space="0" w:color="2E74B5"/>
        <w:right w:val="single" w:sz="2" w:space="0" w:color="2E74B5"/>
        <w:insideH w:val="single" w:sz="2" w:space="0" w:color="2E74B5"/>
        <w:insideV w:val="single" w:sz="2" w:space="0" w:color="2E74B5"/>
      </w:tblBorders>
    </w:tblPr>
    <w:tblStylePr w:type="firstRow">
      <w:rPr>
        <w:rFonts w:ascii="Calibri" w:hAnsi="Calibri"/>
        <w:b/>
        <w:i w:val="0"/>
        <w:color w:val="FFFFFF"/>
        <w:sz w:val="20"/>
      </w:rPr>
      <w:tblPr/>
      <w:tcPr>
        <w:shd w:val="clear" w:color="auto" w:fill="2E74B5"/>
      </w:tcPr>
    </w:tblStylePr>
  </w:style>
  <w:style w:type="paragraph" w:customStyle="1" w:styleId="Introtext">
    <w:name w:val="Intro text"/>
    <w:basedOn w:val="Normal"/>
    <w:qFormat/>
    <w:rsid w:val="00D77D8E"/>
    <w:pPr>
      <w:numPr>
        <w:ilvl w:val="1"/>
      </w:numPr>
      <w:pBdr>
        <w:bottom w:val="single" w:sz="4" w:space="8" w:color="auto"/>
      </w:pBdr>
    </w:pPr>
    <w:rPr>
      <w:rFonts w:ascii="Calibri" w:eastAsiaTheme="minorEastAsia" w:hAnsi="Calibri" w:cstheme="minorBidi"/>
      <w:color w:val="10263B"/>
      <w:szCs w:val="26"/>
      <w:lang w:eastAsia="zh-CN"/>
    </w:rPr>
  </w:style>
  <w:style w:type="character" w:styleId="Hyperlink">
    <w:name w:val="Hyperlink"/>
    <w:uiPriority w:val="99"/>
    <w:rsid w:val="008D5358"/>
    <w:rPr>
      <w:color w:val="5D779D" w:themeColor="accent3"/>
      <w:u w:val="single"/>
    </w:rPr>
  </w:style>
  <w:style w:type="character" w:styleId="FollowedHyperlink">
    <w:name w:val="FollowedHyperlink"/>
    <w:basedOn w:val="DefaultParagraphFont"/>
    <w:semiHidden/>
    <w:unhideWhenUsed/>
    <w:rsid w:val="008F0B15"/>
    <w:rPr>
      <w:color w:val="844D9E" w:themeColor="followedHyperlink"/>
      <w:u w:val="single"/>
    </w:rPr>
  </w:style>
  <w:style w:type="paragraph" w:styleId="Revision">
    <w:name w:val="Revision"/>
    <w:hidden/>
    <w:uiPriority w:val="99"/>
    <w:semiHidden/>
    <w:rsid w:val="008D4CD0"/>
    <w:rPr>
      <w:rFonts w:ascii="Calibri Light" w:hAnsi="Calibri Light"/>
      <w:color w:val="0D0D0D" w:themeColor="text1" w:themeTint="F2"/>
      <w:sz w:val="22"/>
    </w:rPr>
  </w:style>
  <w:style w:type="character" w:styleId="PlaceholderText">
    <w:name w:val="Placeholder Text"/>
    <w:basedOn w:val="DefaultParagraphFont"/>
    <w:uiPriority w:val="99"/>
    <w:semiHidden/>
    <w:rsid w:val="008F0B15"/>
    <w:rPr>
      <w:color w:val="808080"/>
    </w:rPr>
  </w:style>
  <w:style w:type="character" w:customStyle="1" w:styleId="Heading5Char">
    <w:name w:val="Heading 5 Char"/>
    <w:basedOn w:val="DefaultParagraphFont"/>
    <w:link w:val="Heading5"/>
    <w:rsid w:val="005C5140"/>
    <w:rPr>
      <w:rFonts w:asciiTheme="majorHAnsi" w:eastAsia="Times New Roman" w:hAnsiTheme="majorHAnsi" w:cs="Arial"/>
      <w:b/>
      <w:iCs/>
      <w:color w:val="5D779D" w:themeColor="accent3"/>
      <w:kern w:val="32"/>
      <w:szCs w:val="36"/>
      <w:lang w:eastAsia="en-AU"/>
    </w:rPr>
  </w:style>
  <w:style w:type="paragraph" w:customStyle="1" w:styleId="BoxHeading">
    <w:name w:val="Box Heading"/>
    <w:basedOn w:val="Normal"/>
    <w:next w:val="Normal"/>
    <w:qFormat/>
    <w:rsid w:val="007D6CEC"/>
    <w:pPr>
      <w:keepNext/>
    </w:pPr>
    <w:rPr>
      <w:rFonts w:asciiTheme="majorHAnsi" w:hAnsiTheme="majorHAnsi"/>
      <w:b/>
      <w:color w:val="2C384A" w:themeColor="accent1"/>
      <w:sz w:val="28"/>
      <w:szCs w:val="26"/>
    </w:rPr>
  </w:style>
  <w:style w:type="paragraph" w:customStyle="1" w:styleId="BoxText">
    <w:name w:val="Box Text"/>
    <w:basedOn w:val="Normal"/>
    <w:link w:val="BoxTextChar"/>
    <w:rsid w:val="00506BF4"/>
    <w:pPr>
      <w:spacing w:before="60" w:after="60"/>
    </w:pPr>
  </w:style>
  <w:style w:type="paragraph" w:customStyle="1" w:styleId="Bullet">
    <w:name w:val="Bullet"/>
    <w:basedOn w:val="Normal"/>
    <w:link w:val="BulletChar"/>
    <w:qFormat/>
    <w:rsid w:val="00BA123B"/>
    <w:pPr>
      <w:numPr>
        <w:numId w:val="7"/>
      </w:numPr>
      <w:tabs>
        <w:tab w:val="clear" w:pos="520"/>
      </w:tabs>
      <w:ind w:left="170" w:hanging="170"/>
    </w:pPr>
  </w:style>
  <w:style w:type="character" w:customStyle="1" w:styleId="BoxTextChar">
    <w:name w:val="Box Text Char"/>
    <w:basedOn w:val="DefaultParagraphFont"/>
    <w:link w:val="BoxText"/>
    <w:rsid w:val="00506BF4"/>
    <w:rPr>
      <w:rFonts w:ascii="Calibri Light" w:eastAsia="Times New Roman" w:hAnsi="Calibri Light"/>
      <w:sz w:val="22"/>
      <w:lang w:eastAsia="en-AU"/>
    </w:rPr>
  </w:style>
  <w:style w:type="character" w:customStyle="1" w:styleId="BulletChar">
    <w:name w:val="Bullet Char"/>
    <w:basedOn w:val="DefaultParagraphFont"/>
    <w:link w:val="Bullet"/>
    <w:rsid w:val="00BA123B"/>
    <w:rPr>
      <w:rFonts w:ascii="Calibri Light" w:eastAsia="Times New Roman" w:hAnsi="Calibri Light"/>
      <w:sz w:val="22"/>
      <w:lang w:eastAsia="en-AU"/>
    </w:rPr>
  </w:style>
  <w:style w:type="paragraph" w:customStyle="1" w:styleId="Boxbullet">
    <w:name w:val="Box bullet"/>
    <w:basedOn w:val="Bullet"/>
    <w:qFormat/>
    <w:rsid w:val="00BA123B"/>
    <w:pPr>
      <w:spacing w:after="60"/>
    </w:pPr>
    <w:rPr>
      <w:color w:val="0D0D0D" w:themeColor="text1" w:themeTint="F2"/>
    </w:rPr>
  </w:style>
  <w:style w:type="paragraph" w:customStyle="1" w:styleId="Boxdash">
    <w:name w:val="Box dash"/>
    <w:basedOn w:val="Dash"/>
    <w:rsid w:val="00BA123B"/>
    <w:pPr>
      <w:tabs>
        <w:tab w:val="num" w:pos="1040"/>
      </w:tabs>
      <w:spacing w:after="60"/>
    </w:pPr>
    <w:rPr>
      <w:rFonts w:eastAsiaTheme="minorHAnsi"/>
      <w:color w:val="0D0D0D" w:themeColor="text1" w:themeTint="F2"/>
    </w:rPr>
  </w:style>
  <w:style w:type="paragraph" w:customStyle="1" w:styleId="Boxdoubledot">
    <w:name w:val="Box double dot"/>
    <w:basedOn w:val="DoubleDot"/>
    <w:rsid w:val="00BA123B"/>
    <w:pPr>
      <w:tabs>
        <w:tab w:val="num" w:pos="1560"/>
      </w:tabs>
      <w:spacing w:after="60"/>
    </w:pPr>
    <w:rPr>
      <w:rFonts w:eastAsiaTheme="minorHAnsi"/>
      <w:color w:val="0D0D0D" w:themeColor="text1" w:themeTint="F2"/>
    </w:rPr>
  </w:style>
  <w:style w:type="character" w:customStyle="1" w:styleId="Heading9Char">
    <w:name w:val="Heading 9 Char"/>
    <w:basedOn w:val="DefaultParagraphFont"/>
    <w:link w:val="Heading9"/>
    <w:uiPriority w:val="9"/>
    <w:rsid w:val="007D6CEC"/>
    <w:rPr>
      <w:rFonts w:asciiTheme="majorHAnsi" w:eastAsiaTheme="majorEastAsia" w:hAnsiTheme="majorHAnsi" w:cstheme="majorBidi"/>
      <w:iCs/>
      <w:color w:val="272727" w:themeColor="text1" w:themeTint="D8"/>
      <w:szCs w:val="21"/>
      <w:lang w:eastAsia="en-AU"/>
    </w:rPr>
  </w:style>
  <w:style w:type="character" w:customStyle="1" w:styleId="Heading8Char">
    <w:name w:val="Heading 8 Char"/>
    <w:basedOn w:val="DefaultParagraphFont"/>
    <w:link w:val="Heading8"/>
    <w:uiPriority w:val="9"/>
    <w:rsid w:val="007D6CEC"/>
    <w:rPr>
      <w:rFonts w:asciiTheme="majorHAnsi" w:eastAsiaTheme="majorEastAsia" w:hAnsiTheme="majorHAnsi" w:cstheme="majorBidi"/>
      <w:color w:val="272727" w:themeColor="text1" w:themeTint="D8"/>
      <w:szCs w:val="21"/>
      <w:lang w:eastAsia="en-AU"/>
    </w:rPr>
  </w:style>
  <w:style w:type="character" w:customStyle="1" w:styleId="Heading6Char">
    <w:name w:val="Heading 6 Char"/>
    <w:basedOn w:val="DefaultParagraphFont"/>
    <w:link w:val="Heading6"/>
    <w:rsid w:val="00AE53E5"/>
    <w:rPr>
      <w:rFonts w:ascii="Calibri Light" w:eastAsia="Times New Roman" w:hAnsi="Calibri Light" w:cs="Arial"/>
      <w:color w:val="000000" w:themeColor="text1"/>
      <w:kern w:val="32"/>
      <w:sz w:val="22"/>
      <w:szCs w:val="22"/>
      <w:lang w:eastAsia="en-AU"/>
    </w:rPr>
  </w:style>
  <w:style w:type="character" w:customStyle="1" w:styleId="Heading7Char">
    <w:name w:val="Heading 7 Char"/>
    <w:basedOn w:val="DefaultParagraphFont"/>
    <w:link w:val="Heading7"/>
    <w:uiPriority w:val="9"/>
    <w:semiHidden/>
    <w:rsid w:val="00C23C8C"/>
    <w:rPr>
      <w:rFonts w:asciiTheme="majorHAnsi" w:eastAsiaTheme="majorEastAsia" w:hAnsiTheme="majorHAnsi" w:cstheme="majorBidi"/>
      <w:iCs/>
      <w:color w:val="161B24" w:themeColor="accent1" w:themeShade="7F"/>
      <w:sz w:val="22"/>
    </w:rPr>
  </w:style>
  <w:style w:type="paragraph" w:styleId="NoSpacing">
    <w:name w:val="No Spacing"/>
    <w:link w:val="NoSpacingChar"/>
    <w:uiPriority w:val="1"/>
    <w:qFormat/>
    <w:rsid w:val="008F0B15"/>
    <w:rPr>
      <w:rFonts w:asciiTheme="minorHAnsi" w:eastAsiaTheme="minorEastAsia" w:hAnsiTheme="minorHAnsi" w:cstheme="minorBidi"/>
      <w:sz w:val="22"/>
      <w:szCs w:val="22"/>
      <w:lang w:val="en-US"/>
    </w:rPr>
  </w:style>
  <w:style w:type="paragraph" w:customStyle="1" w:styleId="Default">
    <w:name w:val="Default"/>
    <w:rsid w:val="008F0B15"/>
    <w:pPr>
      <w:autoSpaceDE w:val="0"/>
      <w:autoSpaceDN w:val="0"/>
      <w:adjustRightInd w:val="0"/>
    </w:pPr>
    <w:rPr>
      <w:rFonts w:ascii="Verdana" w:eastAsia="Times New Roman" w:hAnsi="Verdana" w:cs="Verdana"/>
      <w:color w:val="000000"/>
      <w:sz w:val="24"/>
      <w:szCs w:val="24"/>
      <w:lang w:eastAsia="en-AU"/>
    </w:rPr>
  </w:style>
  <w:style w:type="character" w:styleId="FootnoteReference">
    <w:name w:val="footnote reference"/>
    <w:basedOn w:val="DefaultParagraphFont"/>
    <w:uiPriority w:val="99"/>
    <w:rsid w:val="008F0B15"/>
    <w:rPr>
      <w:vertAlign w:val="superscript"/>
    </w:rPr>
  </w:style>
  <w:style w:type="paragraph" w:styleId="FootnoteText">
    <w:name w:val="footnote text"/>
    <w:basedOn w:val="Normal"/>
    <w:link w:val="FootnoteTextChar"/>
    <w:uiPriority w:val="99"/>
    <w:rsid w:val="00876F33"/>
    <w:pPr>
      <w:spacing w:after="0"/>
    </w:pPr>
    <w:rPr>
      <w:sz w:val="16"/>
    </w:rPr>
  </w:style>
  <w:style w:type="character" w:customStyle="1" w:styleId="FootnoteTextChar">
    <w:name w:val="Footnote Text Char"/>
    <w:basedOn w:val="DefaultParagraphFont"/>
    <w:link w:val="FootnoteText"/>
    <w:uiPriority w:val="99"/>
    <w:rsid w:val="00876F33"/>
    <w:rPr>
      <w:rFonts w:ascii="Calibri Light" w:eastAsia="Times New Roman" w:hAnsi="Calibri Light"/>
      <w:sz w:val="16"/>
      <w:lang w:eastAsia="en-AU"/>
    </w:rPr>
  </w:style>
  <w:style w:type="table" w:customStyle="1" w:styleId="GridTable5Dark-Accent61">
    <w:name w:val="Grid Table 5 Dark - Accent 61"/>
    <w:basedOn w:val="TableNormal"/>
    <w:uiPriority w:val="50"/>
    <w:rsid w:val="008F0B15"/>
    <w:pPr>
      <w:spacing w:before="100"/>
    </w:pPr>
    <w:rPr>
      <w:rFonts w:asciiTheme="minorHAnsi" w:eastAsiaTheme="minorEastAsia" w:hAnsiTheme="minorHAnsi" w:cstheme="minorBidi"/>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E8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E8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E8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E81" w:themeFill="accent6"/>
      </w:tcPr>
    </w:tblStylePr>
    <w:tblStylePr w:type="band1Vert">
      <w:tblPr/>
      <w:tcPr>
        <w:shd w:val="clear" w:color="auto" w:fill="F9DECC" w:themeFill="accent6" w:themeFillTint="66"/>
      </w:tcPr>
    </w:tblStylePr>
    <w:tblStylePr w:type="band1Horz">
      <w:tblPr/>
      <w:tcPr>
        <w:shd w:val="clear" w:color="auto" w:fill="F9DECC" w:themeFill="accent6" w:themeFillTint="66"/>
      </w:tcPr>
    </w:tblStylePr>
  </w:style>
  <w:style w:type="paragraph" w:customStyle="1" w:styleId="KeyContactsName">
    <w:name w:val="KeyContacts Name"/>
    <w:basedOn w:val="Normal"/>
    <w:next w:val="Normal"/>
    <w:semiHidden/>
    <w:rsid w:val="008F2212"/>
    <w:pPr>
      <w:framePr w:w="2058" w:h="13054" w:hRule="exact" w:wrap="around" w:vAnchor="text" w:hAnchor="page" w:x="965" w:y="1"/>
      <w:pBdr>
        <w:top w:val="single" w:sz="18" w:space="1" w:color="CCD6E3"/>
        <w:left w:val="single" w:sz="18" w:space="4" w:color="CCD6E3"/>
        <w:bottom w:val="single" w:sz="18" w:space="1" w:color="CCD6E3"/>
        <w:right w:val="single" w:sz="18" w:space="4" w:color="CCD6E3"/>
      </w:pBdr>
      <w:shd w:val="clear" w:color="auto" w:fill="CCD6E3"/>
      <w:spacing w:after="0" w:afterAutospacing="1" w:line="264" w:lineRule="auto"/>
    </w:pPr>
    <w:rPr>
      <w:rFonts w:ascii="Univers 45 Light" w:hAnsi="Univers 45 Light"/>
      <w:b/>
      <w:color w:val="0C2D83"/>
      <w:sz w:val="18"/>
      <w:szCs w:val="24"/>
      <w:lang w:val="en-GB"/>
    </w:rPr>
  </w:style>
  <w:style w:type="paragraph" w:styleId="ListParagraph">
    <w:name w:val="List Paragraph"/>
    <w:basedOn w:val="Normal"/>
    <w:link w:val="ListParagraphChar"/>
    <w:uiPriority w:val="34"/>
    <w:qFormat/>
    <w:rsid w:val="008F0B15"/>
    <w:pPr>
      <w:ind w:left="720"/>
      <w:contextualSpacing/>
    </w:pPr>
  </w:style>
  <w:style w:type="character" w:customStyle="1" w:styleId="ListParagraphChar">
    <w:name w:val="List Paragraph Char"/>
    <w:basedOn w:val="DefaultParagraphFont"/>
    <w:link w:val="ListParagraph"/>
    <w:uiPriority w:val="34"/>
    <w:rsid w:val="008F0B15"/>
    <w:rPr>
      <w:rFonts w:ascii="Times New Roman" w:eastAsia="Times New Roman" w:hAnsi="Times New Roman"/>
      <w:sz w:val="24"/>
      <w:szCs w:val="24"/>
    </w:rPr>
  </w:style>
  <w:style w:type="table" w:customStyle="1" w:styleId="ListTable4-Accent61">
    <w:name w:val="List Table 4 - Accent 61"/>
    <w:basedOn w:val="TableNormal"/>
    <w:uiPriority w:val="49"/>
    <w:rsid w:val="008F0B15"/>
    <w:pPr>
      <w:spacing w:before="100"/>
    </w:pPr>
    <w:rPr>
      <w:rFonts w:asciiTheme="minorHAnsi" w:eastAsiaTheme="minorEastAsia" w:hAnsiTheme="minorHAnsi" w:cstheme="minorBidi"/>
      <w:lang w:eastAsia="en-AU"/>
    </w:rPr>
    <w:tblPr>
      <w:tblStyleRowBandSize w:val="1"/>
      <w:tblStyleColBandSize w:val="1"/>
      <w:tblBorders>
        <w:top w:val="single" w:sz="4" w:space="0" w:color="F6CEB3" w:themeColor="accent6" w:themeTint="99"/>
        <w:left w:val="single" w:sz="4" w:space="0" w:color="F6CEB3" w:themeColor="accent6" w:themeTint="99"/>
        <w:bottom w:val="single" w:sz="4" w:space="0" w:color="F6CEB3" w:themeColor="accent6" w:themeTint="99"/>
        <w:right w:val="single" w:sz="4" w:space="0" w:color="F6CEB3" w:themeColor="accent6" w:themeTint="99"/>
        <w:insideH w:val="single" w:sz="4" w:space="0" w:color="F6CEB3" w:themeColor="accent6" w:themeTint="99"/>
      </w:tblBorders>
    </w:tblPr>
    <w:tblStylePr w:type="firstRow">
      <w:rPr>
        <w:b/>
        <w:bCs/>
        <w:color w:val="FFFFFF" w:themeColor="background1"/>
      </w:rPr>
      <w:tblPr/>
      <w:tcPr>
        <w:tcBorders>
          <w:top w:val="single" w:sz="4" w:space="0" w:color="F0AE81" w:themeColor="accent6"/>
          <w:left w:val="single" w:sz="4" w:space="0" w:color="F0AE81" w:themeColor="accent6"/>
          <w:bottom w:val="single" w:sz="4" w:space="0" w:color="F0AE81" w:themeColor="accent6"/>
          <w:right w:val="single" w:sz="4" w:space="0" w:color="F0AE81" w:themeColor="accent6"/>
          <w:insideH w:val="nil"/>
        </w:tcBorders>
        <w:shd w:val="clear" w:color="auto" w:fill="F0AE81" w:themeFill="accent6"/>
      </w:tcPr>
    </w:tblStylePr>
    <w:tblStylePr w:type="lastRow">
      <w:rPr>
        <w:b/>
        <w:bCs/>
      </w:rPr>
      <w:tblPr/>
      <w:tcPr>
        <w:tcBorders>
          <w:top w:val="double" w:sz="4" w:space="0" w:color="F6CEB3" w:themeColor="accent6" w:themeTint="99"/>
        </w:tcBorders>
      </w:tcPr>
    </w:tblStylePr>
    <w:tblStylePr w:type="firstCol">
      <w:rPr>
        <w:b/>
        <w:bCs/>
      </w:rPr>
    </w:tblStylePr>
    <w:tblStylePr w:type="lastCol">
      <w:rPr>
        <w:b/>
        <w:bCs/>
      </w:rPr>
    </w:tblStylePr>
    <w:tblStylePr w:type="band1Vert">
      <w:tblPr/>
      <w:tcPr>
        <w:shd w:val="clear" w:color="auto" w:fill="FCEEE5" w:themeFill="accent6" w:themeFillTint="33"/>
      </w:tcPr>
    </w:tblStylePr>
    <w:tblStylePr w:type="band1Horz">
      <w:tblPr/>
      <w:tcPr>
        <w:shd w:val="clear" w:color="auto" w:fill="FCEEE5" w:themeFill="accent6" w:themeFillTint="33"/>
      </w:tcPr>
    </w:tblStylePr>
  </w:style>
  <w:style w:type="character" w:customStyle="1" w:styleId="NoSpacingChar">
    <w:name w:val="No Spacing Char"/>
    <w:basedOn w:val="DefaultParagraphFont"/>
    <w:link w:val="NoSpacing"/>
    <w:uiPriority w:val="1"/>
    <w:rsid w:val="008F0B15"/>
    <w:rPr>
      <w:rFonts w:asciiTheme="minorHAnsi" w:eastAsiaTheme="minorEastAsia" w:hAnsiTheme="minorHAnsi" w:cstheme="minorBidi"/>
      <w:sz w:val="22"/>
      <w:szCs w:val="22"/>
      <w:lang w:val="en-US"/>
    </w:rPr>
  </w:style>
  <w:style w:type="paragraph" w:styleId="NormalWeb">
    <w:name w:val="Normal (Web)"/>
    <w:basedOn w:val="Normal"/>
    <w:rsid w:val="008F0B15"/>
    <w:pPr>
      <w:spacing w:before="100" w:beforeAutospacing="1" w:after="100" w:afterAutospacing="1"/>
    </w:pPr>
  </w:style>
  <w:style w:type="numbering" w:customStyle="1" w:styleId="StyleBulletedSymbolsymbol11ptLeft4cmHanging05">
    <w:name w:val="Style Bulleted Symbol (symbol) 11 pt Left:  4 cm Hanging:  0.5 ..."/>
    <w:basedOn w:val="NoList"/>
    <w:rsid w:val="008F0B15"/>
    <w:pPr>
      <w:numPr>
        <w:numId w:val="1"/>
      </w:numPr>
    </w:pPr>
  </w:style>
  <w:style w:type="numbering" w:customStyle="1" w:styleId="StyleBulletedSymbolsymbol11ptLeft4cmHanging051">
    <w:name w:val="Style Bulleted Symbol (symbol) 11 pt Left:  4 cm Hanging:  0.5 ...1"/>
    <w:basedOn w:val="NoList"/>
    <w:rsid w:val="008F0B15"/>
    <w:pPr>
      <w:numPr>
        <w:numId w:val="2"/>
      </w:numPr>
    </w:pPr>
  </w:style>
  <w:style w:type="numbering" w:customStyle="1" w:styleId="BoxBulletedList">
    <w:name w:val="Box Bulleted List"/>
    <w:uiPriority w:val="99"/>
    <w:rsid w:val="00AE53E5"/>
    <w:pPr>
      <w:numPr>
        <w:numId w:val="8"/>
      </w:numPr>
    </w:pPr>
  </w:style>
  <w:style w:type="paragraph" w:customStyle="1" w:styleId="Tableheading">
    <w:name w:val="Table heading"/>
    <w:basedOn w:val="Normal"/>
    <w:rsid w:val="008F2212"/>
    <w:pPr>
      <w:keepLines/>
      <w:jc w:val="center"/>
    </w:pPr>
    <w:rPr>
      <w:b/>
    </w:rPr>
  </w:style>
  <w:style w:type="paragraph" w:customStyle="1" w:styleId="TableText">
    <w:name w:val="Table Text"/>
    <w:basedOn w:val="Normal"/>
    <w:rsid w:val="00BA123B"/>
    <w:pPr>
      <w:spacing w:before="100" w:line="264" w:lineRule="auto"/>
    </w:pPr>
    <w:rPr>
      <w:rFonts w:ascii="Calibri" w:eastAsia="Batang" w:hAnsi="Calibri" w:cstheme="minorBidi"/>
      <w:sz w:val="24"/>
    </w:rPr>
  </w:style>
  <w:style w:type="paragraph" w:customStyle="1" w:styleId="Tabletext0">
    <w:name w:val="Table text"/>
    <w:basedOn w:val="Normal"/>
    <w:link w:val="TabletextChar"/>
    <w:rsid w:val="00BA123B"/>
    <w:pPr>
      <w:spacing w:before="80" w:after="80"/>
    </w:pPr>
    <w:rPr>
      <w:rFonts w:ascii="Univers 45 Light" w:hAnsi="Univers 45 Light"/>
      <w:sz w:val="19"/>
    </w:rPr>
  </w:style>
  <w:style w:type="character" w:customStyle="1" w:styleId="TabletextChar">
    <w:name w:val="Table text Char"/>
    <w:basedOn w:val="DefaultParagraphFont"/>
    <w:link w:val="Tabletext0"/>
    <w:rsid w:val="008F0B15"/>
    <w:rPr>
      <w:rFonts w:ascii="Univers 45 Light" w:eastAsia="Times New Roman" w:hAnsi="Univers 45 Light"/>
      <w:sz w:val="19"/>
    </w:rPr>
  </w:style>
  <w:style w:type="paragraph" w:customStyle="1" w:styleId="Chart">
    <w:name w:val="Chart"/>
    <w:basedOn w:val="Normal"/>
    <w:qFormat/>
    <w:rsid w:val="003D3F5F"/>
    <w:pPr>
      <w:keepNext/>
      <w:jc w:val="center"/>
    </w:pPr>
    <w:rPr>
      <w:noProof/>
    </w:rPr>
  </w:style>
  <w:style w:type="paragraph" w:customStyle="1" w:styleId="Chartsource">
    <w:name w:val="Chart source"/>
    <w:basedOn w:val="Normal"/>
    <w:qFormat/>
    <w:rsid w:val="000E7BF4"/>
    <w:pPr>
      <w:keepNext/>
      <w:spacing w:after="0"/>
    </w:pPr>
    <w:rPr>
      <w:sz w:val="16"/>
    </w:rPr>
  </w:style>
  <w:style w:type="paragraph" w:customStyle="1" w:styleId="Charttitle">
    <w:name w:val="Chart title"/>
    <w:basedOn w:val="Normal"/>
    <w:qFormat/>
    <w:rsid w:val="004C1F58"/>
    <w:pPr>
      <w:keepNext/>
      <w:spacing w:before="240"/>
      <w:jc w:val="center"/>
    </w:pPr>
    <w:rPr>
      <w:rFonts w:eastAsiaTheme="minorHAnsi"/>
      <w:b/>
      <w:lang w:eastAsia="en-US"/>
    </w:rPr>
  </w:style>
  <w:style w:type="paragraph" w:styleId="EndnoteText">
    <w:name w:val="endnote text"/>
    <w:basedOn w:val="Normal"/>
    <w:link w:val="EndnoteTextChar"/>
    <w:uiPriority w:val="99"/>
    <w:semiHidden/>
    <w:unhideWhenUsed/>
    <w:rsid w:val="000B5ACA"/>
    <w:pPr>
      <w:spacing w:after="0"/>
    </w:pPr>
  </w:style>
  <w:style w:type="character" w:customStyle="1" w:styleId="EndnoteTextChar">
    <w:name w:val="Endnote Text Char"/>
    <w:basedOn w:val="DefaultParagraphFont"/>
    <w:link w:val="EndnoteText"/>
    <w:uiPriority w:val="99"/>
    <w:semiHidden/>
    <w:rsid w:val="000B5ACA"/>
    <w:rPr>
      <w:rFonts w:ascii="Calibri Light" w:eastAsia="Times New Roman" w:hAnsi="Calibri Light"/>
      <w:lang w:eastAsia="en-AU"/>
    </w:rPr>
  </w:style>
  <w:style w:type="character" w:styleId="EndnoteReference">
    <w:name w:val="endnote reference"/>
    <w:basedOn w:val="DefaultParagraphFont"/>
    <w:uiPriority w:val="99"/>
    <w:semiHidden/>
    <w:unhideWhenUsed/>
    <w:rsid w:val="000B5ACA"/>
    <w:rPr>
      <w:vertAlign w:val="superscript"/>
    </w:rPr>
  </w:style>
  <w:style w:type="paragraph" w:customStyle="1" w:styleId="SecurityClassificationHeader">
    <w:name w:val="Security Classification Header"/>
    <w:link w:val="SecurityClassificationHeaderChar"/>
    <w:rsid w:val="005A3FC8"/>
    <w:pPr>
      <w:spacing w:before="60" w:after="60"/>
      <w:jc w:val="center"/>
    </w:pPr>
    <w:rPr>
      <w:rFonts w:eastAsia="Times New Roman" w:cs="Calibri"/>
      <w:b/>
      <w:noProof/>
      <w:color w:val="FF0000"/>
      <w:sz w:val="24"/>
      <w:lang w:eastAsia="en-AU"/>
    </w:rPr>
  </w:style>
  <w:style w:type="character" w:customStyle="1" w:styleId="SecurityClassificationHeaderChar">
    <w:name w:val="Security Classification Header Char"/>
    <w:basedOn w:val="HeaderChar"/>
    <w:link w:val="SecurityClassificationHeader"/>
    <w:rsid w:val="005A3FC8"/>
    <w:rPr>
      <w:rFonts w:ascii="Calibri Light" w:eastAsia="Times New Roman" w:hAnsi="Calibri Light" w:cs="Calibri"/>
      <w:b/>
      <w:noProof/>
      <w:color w:val="FF0000"/>
      <w:sz w:val="24"/>
      <w:lang w:eastAsia="en-AU"/>
    </w:rPr>
  </w:style>
  <w:style w:type="paragraph" w:customStyle="1" w:styleId="SecurityClassificationFooter">
    <w:name w:val="Security Classification Footer"/>
    <w:link w:val="SecurityClassificationFooterChar"/>
    <w:rsid w:val="005A3FC8"/>
    <w:pPr>
      <w:spacing w:before="60" w:after="60"/>
      <w:jc w:val="center"/>
    </w:pPr>
    <w:rPr>
      <w:rFonts w:eastAsia="Times New Roman" w:cs="Calibri"/>
      <w:b/>
      <w:noProof/>
      <w:color w:val="FF0000"/>
      <w:sz w:val="24"/>
      <w:lang w:eastAsia="en-AU"/>
    </w:rPr>
  </w:style>
  <w:style w:type="character" w:customStyle="1" w:styleId="SecurityClassificationFooterChar">
    <w:name w:val="Security Classification Footer Char"/>
    <w:basedOn w:val="HeaderChar"/>
    <w:link w:val="SecurityClassificationFooter"/>
    <w:rsid w:val="005A3FC8"/>
    <w:rPr>
      <w:rFonts w:ascii="Calibri Light" w:eastAsia="Times New Roman" w:hAnsi="Calibri Light" w:cs="Calibri"/>
      <w:b/>
      <w:noProof/>
      <w:color w:val="FF0000"/>
      <w:sz w:val="24"/>
      <w:lang w:eastAsia="en-AU"/>
    </w:rPr>
  </w:style>
  <w:style w:type="paragraph" w:customStyle="1" w:styleId="DLMSecurityHeader">
    <w:name w:val="DLM Security Header"/>
    <w:link w:val="DLMSecurityHeaderChar"/>
    <w:rsid w:val="005A3FC8"/>
    <w:pPr>
      <w:spacing w:before="60" w:after="240"/>
      <w:jc w:val="center"/>
    </w:pPr>
    <w:rPr>
      <w:rFonts w:eastAsia="Times New Roman" w:cs="Calibri"/>
      <w:b/>
      <w:noProof/>
      <w:color w:val="FF0000"/>
      <w:sz w:val="24"/>
      <w:lang w:eastAsia="en-AU"/>
    </w:rPr>
  </w:style>
  <w:style w:type="character" w:customStyle="1" w:styleId="DLMSecurityHeaderChar">
    <w:name w:val="DLM Security Header Char"/>
    <w:basedOn w:val="HeaderChar"/>
    <w:link w:val="DLMSecurityHeader"/>
    <w:rsid w:val="005A3FC8"/>
    <w:rPr>
      <w:rFonts w:ascii="Calibri Light" w:eastAsia="Times New Roman" w:hAnsi="Calibri Light" w:cs="Calibri"/>
      <w:b/>
      <w:noProof/>
      <w:color w:val="FF0000"/>
      <w:sz w:val="24"/>
      <w:lang w:eastAsia="en-AU"/>
    </w:rPr>
  </w:style>
  <w:style w:type="paragraph" w:customStyle="1" w:styleId="DLMSecurityFooter">
    <w:name w:val="DLM Security Footer"/>
    <w:link w:val="DLMSecurityFooterChar"/>
    <w:rsid w:val="005A3FC8"/>
    <w:pPr>
      <w:spacing w:before="240" w:after="60"/>
      <w:jc w:val="center"/>
    </w:pPr>
    <w:rPr>
      <w:rFonts w:eastAsia="Times New Roman" w:cs="Calibri"/>
      <w:b/>
      <w:noProof/>
      <w:color w:val="FF0000"/>
      <w:sz w:val="24"/>
      <w:lang w:eastAsia="en-AU"/>
    </w:rPr>
  </w:style>
  <w:style w:type="character" w:customStyle="1" w:styleId="DLMSecurityFooterChar">
    <w:name w:val="DLM Security Footer Char"/>
    <w:basedOn w:val="HeaderChar"/>
    <w:link w:val="DLMSecurityFooter"/>
    <w:rsid w:val="005A3FC8"/>
    <w:rPr>
      <w:rFonts w:ascii="Calibri Light" w:eastAsia="Times New Roman" w:hAnsi="Calibri Light" w:cs="Calibri"/>
      <w:b/>
      <w:noProof/>
      <w:color w:val="FF0000"/>
      <w:sz w:val="24"/>
      <w:lang w:eastAsia="en-AU"/>
    </w:rPr>
  </w:style>
  <w:style w:type="paragraph" w:customStyle="1" w:styleId="OutlineNumbered1">
    <w:name w:val="Outline Numbered 1"/>
    <w:basedOn w:val="Normal"/>
    <w:link w:val="OutlineNumbered1Char"/>
    <w:rsid w:val="00B65167"/>
    <w:pPr>
      <w:numPr>
        <w:numId w:val="19"/>
      </w:numPr>
    </w:pPr>
  </w:style>
  <w:style w:type="character" w:customStyle="1" w:styleId="OutlineNumbered1Char">
    <w:name w:val="Outline Numbered 1 Char"/>
    <w:basedOn w:val="DefaultParagraphFont"/>
    <w:link w:val="OutlineNumbered1"/>
    <w:rsid w:val="00B65167"/>
    <w:rPr>
      <w:rFonts w:ascii="Calibri Light" w:eastAsia="Times New Roman" w:hAnsi="Calibri Light"/>
      <w:lang w:eastAsia="en-AU"/>
    </w:rPr>
  </w:style>
  <w:style w:type="paragraph" w:customStyle="1" w:styleId="OutlineNumbered2">
    <w:name w:val="Outline Numbered 2"/>
    <w:basedOn w:val="Normal"/>
    <w:link w:val="OutlineNumbered2Char"/>
    <w:rsid w:val="00B65167"/>
    <w:pPr>
      <w:numPr>
        <w:ilvl w:val="1"/>
        <w:numId w:val="19"/>
      </w:numPr>
    </w:pPr>
  </w:style>
  <w:style w:type="character" w:customStyle="1" w:styleId="OutlineNumbered2Char">
    <w:name w:val="Outline Numbered 2 Char"/>
    <w:basedOn w:val="DefaultParagraphFont"/>
    <w:link w:val="OutlineNumbered2"/>
    <w:rsid w:val="00B65167"/>
    <w:rPr>
      <w:rFonts w:ascii="Calibri Light" w:eastAsia="Times New Roman" w:hAnsi="Calibri Light"/>
      <w:lang w:eastAsia="en-AU"/>
    </w:rPr>
  </w:style>
  <w:style w:type="paragraph" w:customStyle="1" w:styleId="OutlineNumbered3">
    <w:name w:val="Outline Numbered 3"/>
    <w:basedOn w:val="Normal"/>
    <w:link w:val="OutlineNumbered3Char"/>
    <w:rsid w:val="00B65167"/>
    <w:pPr>
      <w:numPr>
        <w:ilvl w:val="2"/>
        <w:numId w:val="19"/>
      </w:numPr>
    </w:pPr>
  </w:style>
  <w:style w:type="character" w:customStyle="1" w:styleId="OutlineNumbered3Char">
    <w:name w:val="Outline Numbered 3 Char"/>
    <w:basedOn w:val="DefaultParagraphFont"/>
    <w:link w:val="OutlineNumbered3"/>
    <w:rsid w:val="00B65167"/>
    <w:rPr>
      <w:rFonts w:ascii="Calibri Light" w:eastAsia="Times New Roman" w:hAnsi="Calibri Light"/>
      <w:lang w:eastAsia="en-AU"/>
    </w:rPr>
  </w:style>
  <w:style w:type="paragraph" w:styleId="Footer">
    <w:name w:val="footer"/>
    <w:basedOn w:val="Normal"/>
    <w:link w:val="FooterChar"/>
    <w:uiPriority w:val="99"/>
    <w:rsid w:val="00251470"/>
    <w:pPr>
      <w:tabs>
        <w:tab w:val="center" w:pos="4320"/>
        <w:tab w:val="right" w:pos="8640"/>
      </w:tabs>
    </w:pPr>
  </w:style>
  <w:style w:type="character" w:customStyle="1" w:styleId="FooterChar">
    <w:name w:val="Footer Char"/>
    <w:basedOn w:val="DefaultParagraphFont"/>
    <w:link w:val="Footer"/>
    <w:uiPriority w:val="99"/>
    <w:rsid w:val="00251470"/>
    <w:rPr>
      <w:rFonts w:ascii="Calibri Light" w:eastAsia="Times New Roman" w:hAnsi="Calibri Light"/>
      <w:lang w:eastAsia="en-AU"/>
    </w:rPr>
  </w:style>
  <w:style w:type="paragraph" w:styleId="Caption">
    <w:name w:val="caption"/>
    <w:basedOn w:val="Normal"/>
    <w:next w:val="Normal"/>
    <w:uiPriority w:val="35"/>
    <w:unhideWhenUsed/>
    <w:qFormat/>
    <w:rsid w:val="006362E4"/>
    <w:pPr>
      <w:spacing w:after="200" w:line="240" w:lineRule="auto"/>
      <w:jc w:val="left"/>
    </w:pPr>
    <w:rPr>
      <w:rFonts w:asciiTheme="minorHAnsi" w:eastAsiaTheme="minorHAnsi" w:hAnsiTheme="minorHAnsi" w:cstheme="minorBidi"/>
      <w:i/>
      <w:iCs/>
      <w:color w:val="5F5F5F" w:themeColor="text2"/>
      <w:kern w:val="2"/>
      <w:sz w:val="18"/>
      <w:szCs w:val="18"/>
      <w:lang w:eastAsia="en-US"/>
      <w14:ligatures w14:val="standardContextual"/>
    </w:rPr>
  </w:style>
  <w:style w:type="table" w:customStyle="1" w:styleId="TableGrid2">
    <w:name w:val="Table Grid2"/>
    <w:basedOn w:val="TableNormal"/>
    <w:next w:val="TableGrid"/>
    <w:uiPriority w:val="39"/>
    <w:rsid w:val="006362E4"/>
    <w:rPr>
      <w:rFonts w:ascii="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270E"/>
    <w:rPr>
      <w:rFonts w:ascii="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A270E"/>
    <w:rPr>
      <w:rFonts w:ascii="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rsid w:val="000A2049"/>
    <w:pPr>
      <w:pBdr>
        <w:top w:val="single" w:sz="4" w:space="10" w:color="2C384A" w:themeColor="accent1"/>
        <w:bottom w:val="single" w:sz="4" w:space="10" w:color="2C384A" w:themeColor="accent1"/>
      </w:pBdr>
      <w:spacing w:before="360" w:after="360"/>
      <w:ind w:left="864" w:right="864"/>
      <w:jc w:val="center"/>
    </w:pPr>
    <w:rPr>
      <w:i/>
      <w:iCs/>
      <w:color w:val="2C384A" w:themeColor="accent1"/>
    </w:rPr>
  </w:style>
  <w:style w:type="character" w:customStyle="1" w:styleId="IntenseQuoteChar">
    <w:name w:val="Intense Quote Char"/>
    <w:basedOn w:val="DefaultParagraphFont"/>
    <w:link w:val="IntenseQuote"/>
    <w:uiPriority w:val="30"/>
    <w:rsid w:val="000A2049"/>
    <w:rPr>
      <w:rFonts w:ascii="Calibri Light" w:eastAsia="Times New Roman" w:hAnsi="Calibri Light"/>
      <w:i/>
      <w:iCs/>
      <w:color w:val="2C384A" w:themeColor="accent1"/>
      <w:lang w:eastAsia="en-AU"/>
    </w:rPr>
  </w:style>
  <w:style w:type="character" w:styleId="IntenseEmphasis">
    <w:name w:val="Intense Emphasis"/>
    <w:basedOn w:val="DefaultParagraphFont"/>
    <w:uiPriority w:val="21"/>
    <w:rsid w:val="000A2049"/>
    <w:rPr>
      <w:i/>
      <w:iCs/>
      <w:color w:val="2C384A" w:themeColor="accent1"/>
    </w:rPr>
  </w:style>
  <w:style w:type="character" w:styleId="UnresolvedMention">
    <w:name w:val="Unresolved Mention"/>
    <w:basedOn w:val="DefaultParagraphFont"/>
    <w:uiPriority w:val="99"/>
    <w:semiHidden/>
    <w:unhideWhenUsed/>
    <w:rsid w:val="00A40308"/>
    <w:rPr>
      <w:color w:val="605E5C"/>
      <w:shd w:val="clear" w:color="auto" w:fill="E1DFDD"/>
    </w:rPr>
  </w:style>
  <w:style w:type="paragraph" w:customStyle="1" w:styleId="Tablecaption">
    <w:name w:val="Table caption"/>
    <w:basedOn w:val="Caption"/>
    <w:link w:val="TablecaptionChar"/>
    <w:qFormat/>
    <w:rsid w:val="00B5295A"/>
    <w:pPr>
      <w:keepNext/>
      <w:spacing w:after="0"/>
      <w:jc w:val="center"/>
    </w:pPr>
    <w:rPr>
      <w:rFonts w:ascii="Aptos" w:eastAsiaTheme="minorEastAsia" w:hAnsi="Aptos"/>
      <w:b/>
      <w:bCs/>
      <w:i w:val="0"/>
      <w:iCs w:val="0"/>
      <w:color w:val="auto"/>
      <w:kern w:val="0"/>
      <w:sz w:val="20"/>
      <w:szCs w:val="20"/>
      <w:lang w:val="en-US"/>
      <w14:ligatures w14:val="none"/>
    </w:rPr>
  </w:style>
  <w:style w:type="character" w:customStyle="1" w:styleId="TablecaptionChar">
    <w:name w:val="Table caption Char"/>
    <w:basedOn w:val="DefaultParagraphFont"/>
    <w:link w:val="Tablecaption"/>
    <w:rsid w:val="00B5295A"/>
    <w:rPr>
      <w:rFonts w:ascii="Aptos" w:eastAsiaTheme="minorEastAsia" w:hAnsi="Aptos" w:cstheme="minorBidi"/>
      <w:b/>
      <w:bCs/>
      <w:lang w:val="en-US"/>
    </w:rPr>
  </w:style>
  <w:style w:type="paragraph" w:customStyle="1" w:styleId="Tablenote">
    <w:name w:val="Table note"/>
    <w:basedOn w:val="Normal"/>
    <w:link w:val="TablenoteChar"/>
    <w:qFormat/>
    <w:rsid w:val="00B5295A"/>
    <w:pPr>
      <w:spacing w:after="200"/>
    </w:pPr>
    <w:rPr>
      <w:szCs w:val="14"/>
    </w:rPr>
  </w:style>
  <w:style w:type="character" w:customStyle="1" w:styleId="TablenoteChar">
    <w:name w:val="Table note Char"/>
    <w:basedOn w:val="DefaultParagraphFont"/>
    <w:link w:val="Tablenote"/>
    <w:rsid w:val="00B5295A"/>
    <w:rPr>
      <w:rFonts w:ascii="Calibri Light" w:eastAsia="Times New Roman" w:hAnsi="Calibri Light"/>
      <w:szCs w:val="14"/>
      <w:lang w:eastAsia="en-AU"/>
    </w:rPr>
  </w:style>
  <w:style w:type="character" w:styleId="CommentReference">
    <w:name w:val="annotation reference"/>
    <w:basedOn w:val="DefaultParagraphFont"/>
    <w:semiHidden/>
    <w:unhideWhenUsed/>
    <w:rsid w:val="0045362B"/>
    <w:rPr>
      <w:sz w:val="16"/>
      <w:szCs w:val="16"/>
    </w:rPr>
  </w:style>
  <w:style w:type="paragraph" w:styleId="CommentText">
    <w:name w:val="annotation text"/>
    <w:basedOn w:val="Normal"/>
    <w:link w:val="CommentTextChar"/>
    <w:unhideWhenUsed/>
    <w:rsid w:val="0045362B"/>
    <w:pPr>
      <w:spacing w:line="240" w:lineRule="auto"/>
    </w:pPr>
  </w:style>
  <w:style w:type="character" w:customStyle="1" w:styleId="CommentTextChar">
    <w:name w:val="Comment Text Char"/>
    <w:basedOn w:val="DefaultParagraphFont"/>
    <w:link w:val="CommentText"/>
    <w:rsid w:val="0045362B"/>
    <w:rPr>
      <w:rFonts w:ascii="Calibri Light" w:eastAsia="Times New Roman" w:hAnsi="Calibri Light"/>
      <w:lang w:eastAsia="en-AU"/>
    </w:rPr>
  </w:style>
  <w:style w:type="paragraph" w:styleId="CommentSubject">
    <w:name w:val="annotation subject"/>
    <w:basedOn w:val="CommentText"/>
    <w:next w:val="CommentText"/>
    <w:link w:val="CommentSubjectChar"/>
    <w:semiHidden/>
    <w:unhideWhenUsed/>
    <w:rsid w:val="0045362B"/>
    <w:rPr>
      <w:b/>
      <w:bCs/>
    </w:rPr>
  </w:style>
  <w:style w:type="character" w:customStyle="1" w:styleId="CommentSubjectChar">
    <w:name w:val="Comment Subject Char"/>
    <w:basedOn w:val="CommentTextChar"/>
    <w:link w:val="CommentSubject"/>
    <w:semiHidden/>
    <w:rsid w:val="0045362B"/>
    <w:rPr>
      <w:rFonts w:ascii="Calibri Light" w:eastAsia="Times New Roman" w:hAnsi="Calibri Light"/>
      <w:b/>
      <w:bCs/>
      <w:lang w:eastAsia="en-AU"/>
    </w:rPr>
  </w:style>
  <w:style w:type="character" w:styleId="Mention">
    <w:name w:val="Mention"/>
    <w:basedOn w:val="DefaultParagraphFont"/>
    <w:uiPriority w:val="99"/>
    <w:unhideWhenUsed/>
    <w:rsid w:val="0045362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21779">
      <w:bodyDiv w:val="1"/>
      <w:marLeft w:val="0"/>
      <w:marRight w:val="0"/>
      <w:marTop w:val="0"/>
      <w:marBottom w:val="0"/>
      <w:divBdr>
        <w:top w:val="none" w:sz="0" w:space="0" w:color="auto"/>
        <w:left w:val="none" w:sz="0" w:space="0" w:color="auto"/>
        <w:bottom w:val="none" w:sz="0" w:space="0" w:color="auto"/>
        <w:right w:val="none" w:sz="0" w:space="0" w:color="auto"/>
      </w:divBdr>
      <w:divsChild>
        <w:div w:id="803281405">
          <w:marLeft w:val="0"/>
          <w:marRight w:val="0"/>
          <w:marTop w:val="0"/>
          <w:marBottom w:val="0"/>
          <w:divBdr>
            <w:top w:val="none" w:sz="0" w:space="0" w:color="auto"/>
            <w:left w:val="none" w:sz="0" w:space="0" w:color="auto"/>
            <w:bottom w:val="none" w:sz="0" w:space="0" w:color="auto"/>
            <w:right w:val="none" w:sz="0" w:space="0" w:color="auto"/>
          </w:divBdr>
        </w:div>
      </w:divsChild>
    </w:div>
    <w:div w:id="24182809">
      <w:bodyDiv w:val="1"/>
      <w:marLeft w:val="0"/>
      <w:marRight w:val="0"/>
      <w:marTop w:val="0"/>
      <w:marBottom w:val="0"/>
      <w:divBdr>
        <w:top w:val="none" w:sz="0" w:space="0" w:color="auto"/>
        <w:left w:val="none" w:sz="0" w:space="0" w:color="auto"/>
        <w:bottom w:val="none" w:sz="0" w:space="0" w:color="auto"/>
        <w:right w:val="none" w:sz="0" w:space="0" w:color="auto"/>
      </w:divBdr>
      <w:divsChild>
        <w:div w:id="1492595489">
          <w:marLeft w:val="0"/>
          <w:marRight w:val="0"/>
          <w:marTop w:val="0"/>
          <w:marBottom w:val="0"/>
          <w:divBdr>
            <w:top w:val="none" w:sz="0" w:space="0" w:color="auto"/>
            <w:left w:val="none" w:sz="0" w:space="0" w:color="auto"/>
            <w:bottom w:val="none" w:sz="0" w:space="0" w:color="auto"/>
            <w:right w:val="none" w:sz="0" w:space="0" w:color="auto"/>
          </w:divBdr>
        </w:div>
      </w:divsChild>
    </w:div>
    <w:div w:id="37778782">
      <w:bodyDiv w:val="1"/>
      <w:marLeft w:val="0"/>
      <w:marRight w:val="0"/>
      <w:marTop w:val="0"/>
      <w:marBottom w:val="0"/>
      <w:divBdr>
        <w:top w:val="none" w:sz="0" w:space="0" w:color="auto"/>
        <w:left w:val="none" w:sz="0" w:space="0" w:color="auto"/>
        <w:bottom w:val="none" w:sz="0" w:space="0" w:color="auto"/>
        <w:right w:val="none" w:sz="0" w:space="0" w:color="auto"/>
      </w:divBdr>
    </w:div>
    <w:div w:id="39943405">
      <w:bodyDiv w:val="1"/>
      <w:marLeft w:val="0"/>
      <w:marRight w:val="0"/>
      <w:marTop w:val="0"/>
      <w:marBottom w:val="0"/>
      <w:divBdr>
        <w:top w:val="none" w:sz="0" w:space="0" w:color="auto"/>
        <w:left w:val="none" w:sz="0" w:space="0" w:color="auto"/>
        <w:bottom w:val="none" w:sz="0" w:space="0" w:color="auto"/>
        <w:right w:val="none" w:sz="0" w:space="0" w:color="auto"/>
      </w:divBdr>
      <w:divsChild>
        <w:div w:id="587202670">
          <w:marLeft w:val="0"/>
          <w:marRight w:val="0"/>
          <w:marTop w:val="0"/>
          <w:marBottom w:val="0"/>
          <w:divBdr>
            <w:top w:val="none" w:sz="0" w:space="0" w:color="auto"/>
            <w:left w:val="none" w:sz="0" w:space="0" w:color="auto"/>
            <w:bottom w:val="none" w:sz="0" w:space="0" w:color="auto"/>
            <w:right w:val="none" w:sz="0" w:space="0" w:color="auto"/>
          </w:divBdr>
        </w:div>
      </w:divsChild>
    </w:div>
    <w:div w:id="40789643">
      <w:bodyDiv w:val="1"/>
      <w:marLeft w:val="0"/>
      <w:marRight w:val="0"/>
      <w:marTop w:val="0"/>
      <w:marBottom w:val="0"/>
      <w:divBdr>
        <w:top w:val="none" w:sz="0" w:space="0" w:color="auto"/>
        <w:left w:val="none" w:sz="0" w:space="0" w:color="auto"/>
        <w:bottom w:val="none" w:sz="0" w:space="0" w:color="auto"/>
        <w:right w:val="none" w:sz="0" w:space="0" w:color="auto"/>
      </w:divBdr>
      <w:divsChild>
        <w:div w:id="1388140580">
          <w:marLeft w:val="0"/>
          <w:marRight w:val="0"/>
          <w:marTop w:val="0"/>
          <w:marBottom w:val="0"/>
          <w:divBdr>
            <w:top w:val="none" w:sz="0" w:space="0" w:color="auto"/>
            <w:left w:val="none" w:sz="0" w:space="0" w:color="auto"/>
            <w:bottom w:val="none" w:sz="0" w:space="0" w:color="auto"/>
            <w:right w:val="none" w:sz="0" w:space="0" w:color="auto"/>
          </w:divBdr>
        </w:div>
      </w:divsChild>
    </w:div>
    <w:div w:id="52506534">
      <w:bodyDiv w:val="1"/>
      <w:marLeft w:val="0"/>
      <w:marRight w:val="0"/>
      <w:marTop w:val="0"/>
      <w:marBottom w:val="0"/>
      <w:divBdr>
        <w:top w:val="none" w:sz="0" w:space="0" w:color="auto"/>
        <w:left w:val="none" w:sz="0" w:space="0" w:color="auto"/>
        <w:bottom w:val="none" w:sz="0" w:space="0" w:color="auto"/>
        <w:right w:val="none" w:sz="0" w:space="0" w:color="auto"/>
      </w:divBdr>
      <w:divsChild>
        <w:div w:id="1452626943">
          <w:marLeft w:val="0"/>
          <w:marRight w:val="0"/>
          <w:marTop w:val="0"/>
          <w:marBottom w:val="0"/>
          <w:divBdr>
            <w:top w:val="none" w:sz="0" w:space="0" w:color="auto"/>
            <w:left w:val="none" w:sz="0" w:space="0" w:color="auto"/>
            <w:bottom w:val="none" w:sz="0" w:space="0" w:color="auto"/>
            <w:right w:val="none" w:sz="0" w:space="0" w:color="auto"/>
          </w:divBdr>
        </w:div>
      </w:divsChild>
    </w:div>
    <w:div w:id="78841712">
      <w:bodyDiv w:val="1"/>
      <w:marLeft w:val="0"/>
      <w:marRight w:val="0"/>
      <w:marTop w:val="0"/>
      <w:marBottom w:val="0"/>
      <w:divBdr>
        <w:top w:val="none" w:sz="0" w:space="0" w:color="auto"/>
        <w:left w:val="none" w:sz="0" w:space="0" w:color="auto"/>
        <w:bottom w:val="none" w:sz="0" w:space="0" w:color="auto"/>
        <w:right w:val="none" w:sz="0" w:space="0" w:color="auto"/>
      </w:divBdr>
    </w:div>
    <w:div w:id="87049332">
      <w:bodyDiv w:val="1"/>
      <w:marLeft w:val="0"/>
      <w:marRight w:val="0"/>
      <w:marTop w:val="0"/>
      <w:marBottom w:val="0"/>
      <w:divBdr>
        <w:top w:val="none" w:sz="0" w:space="0" w:color="auto"/>
        <w:left w:val="none" w:sz="0" w:space="0" w:color="auto"/>
        <w:bottom w:val="none" w:sz="0" w:space="0" w:color="auto"/>
        <w:right w:val="none" w:sz="0" w:space="0" w:color="auto"/>
      </w:divBdr>
    </w:div>
    <w:div w:id="105393444">
      <w:bodyDiv w:val="1"/>
      <w:marLeft w:val="0"/>
      <w:marRight w:val="0"/>
      <w:marTop w:val="0"/>
      <w:marBottom w:val="0"/>
      <w:divBdr>
        <w:top w:val="none" w:sz="0" w:space="0" w:color="auto"/>
        <w:left w:val="none" w:sz="0" w:space="0" w:color="auto"/>
        <w:bottom w:val="none" w:sz="0" w:space="0" w:color="auto"/>
        <w:right w:val="none" w:sz="0" w:space="0" w:color="auto"/>
      </w:divBdr>
      <w:divsChild>
        <w:div w:id="393242545">
          <w:marLeft w:val="0"/>
          <w:marRight w:val="0"/>
          <w:marTop w:val="0"/>
          <w:marBottom w:val="0"/>
          <w:divBdr>
            <w:top w:val="none" w:sz="0" w:space="0" w:color="auto"/>
            <w:left w:val="none" w:sz="0" w:space="0" w:color="auto"/>
            <w:bottom w:val="none" w:sz="0" w:space="0" w:color="auto"/>
            <w:right w:val="none" w:sz="0" w:space="0" w:color="auto"/>
          </w:divBdr>
        </w:div>
      </w:divsChild>
    </w:div>
    <w:div w:id="153495252">
      <w:bodyDiv w:val="1"/>
      <w:marLeft w:val="0"/>
      <w:marRight w:val="0"/>
      <w:marTop w:val="0"/>
      <w:marBottom w:val="0"/>
      <w:divBdr>
        <w:top w:val="none" w:sz="0" w:space="0" w:color="auto"/>
        <w:left w:val="none" w:sz="0" w:space="0" w:color="auto"/>
        <w:bottom w:val="none" w:sz="0" w:space="0" w:color="auto"/>
        <w:right w:val="none" w:sz="0" w:space="0" w:color="auto"/>
      </w:divBdr>
    </w:div>
    <w:div w:id="180751184">
      <w:bodyDiv w:val="1"/>
      <w:marLeft w:val="0"/>
      <w:marRight w:val="0"/>
      <w:marTop w:val="0"/>
      <w:marBottom w:val="0"/>
      <w:divBdr>
        <w:top w:val="none" w:sz="0" w:space="0" w:color="auto"/>
        <w:left w:val="none" w:sz="0" w:space="0" w:color="auto"/>
        <w:bottom w:val="none" w:sz="0" w:space="0" w:color="auto"/>
        <w:right w:val="none" w:sz="0" w:space="0" w:color="auto"/>
      </w:divBdr>
      <w:divsChild>
        <w:div w:id="574244132">
          <w:marLeft w:val="0"/>
          <w:marRight w:val="0"/>
          <w:marTop w:val="0"/>
          <w:marBottom w:val="0"/>
          <w:divBdr>
            <w:top w:val="none" w:sz="0" w:space="0" w:color="auto"/>
            <w:left w:val="none" w:sz="0" w:space="0" w:color="auto"/>
            <w:bottom w:val="none" w:sz="0" w:space="0" w:color="auto"/>
            <w:right w:val="none" w:sz="0" w:space="0" w:color="auto"/>
          </w:divBdr>
        </w:div>
      </w:divsChild>
    </w:div>
    <w:div w:id="181893848">
      <w:bodyDiv w:val="1"/>
      <w:marLeft w:val="0"/>
      <w:marRight w:val="0"/>
      <w:marTop w:val="0"/>
      <w:marBottom w:val="0"/>
      <w:divBdr>
        <w:top w:val="none" w:sz="0" w:space="0" w:color="auto"/>
        <w:left w:val="none" w:sz="0" w:space="0" w:color="auto"/>
        <w:bottom w:val="none" w:sz="0" w:space="0" w:color="auto"/>
        <w:right w:val="none" w:sz="0" w:space="0" w:color="auto"/>
      </w:divBdr>
    </w:div>
    <w:div w:id="191694720">
      <w:bodyDiv w:val="1"/>
      <w:marLeft w:val="0"/>
      <w:marRight w:val="0"/>
      <w:marTop w:val="0"/>
      <w:marBottom w:val="0"/>
      <w:divBdr>
        <w:top w:val="none" w:sz="0" w:space="0" w:color="auto"/>
        <w:left w:val="none" w:sz="0" w:space="0" w:color="auto"/>
        <w:bottom w:val="none" w:sz="0" w:space="0" w:color="auto"/>
        <w:right w:val="none" w:sz="0" w:space="0" w:color="auto"/>
      </w:divBdr>
      <w:divsChild>
        <w:div w:id="1446535418">
          <w:marLeft w:val="0"/>
          <w:marRight w:val="0"/>
          <w:marTop w:val="0"/>
          <w:marBottom w:val="0"/>
          <w:divBdr>
            <w:top w:val="none" w:sz="0" w:space="0" w:color="auto"/>
            <w:left w:val="none" w:sz="0" w:space="0" w:color="auto"/>
            <w:bottom w:val="none" w:sz="0" w:space="0" w:color="auto"/>
            <w:right w:val="none" w:sz="0" w:space="0" w:color="auto"/>
          </w:divBdr>
        </w:div>
      </w:divsChild>
    </w:div>
    <w:div w:id="215747185">
      <w:bodyDiv w:val="1"/>
      <w:marLeft w:val="0"/>
      <w:marRight w:val="0"/>
      <w:marTop w:val="0"/>
      <w:marBottom w:val="0"/>
      <w:divBdr>
        <w:top w:val="none" w:sz="0" w:space="0" w:color="auto"/>
        <w:left w:val="none" w:sz="0" w:space="0" w:color="auto"/>
        <w:bottom w:val="none" w:sz="0" w:space="0" w:color="auto"/>
        <w:right w:val="none" w:sz="0" w:space="0" w:color="auto"/>
      </w:divBdr>
    </w:div>
    <w:div w:id="247806762">
      <w:bodyDiv w:val="1"/>
      <w:marLeft w:val="0"/>
      <w:marRight w:val="0"/>
      <w:marTop w:val="0"/>
      <w:marBottom w:val="0"/>
      <w:divBdr>
        <w:top w:val="none" w:sz="0" w:space="0" w:color="auto"/>
        <w:left w:val="none" w:sz="0" w:space="0" w:color="auto"/>
        <w:bottom w:val="none" w:sz="0" w:space="0" w:color="auto"/>
        <w:right w:val="none" w:sz="0" w:space="0" w:color="auto"/>
      </w:divBdr>
      <w:divsChild>
        <w:div w:id="1023359664">
          <w:marLeft w:val="0"/>
          <w:marRight w:val="0"/>
          <w:marTop w:val="0"/>
          <w:marBottom w:val="0"/>
          <w:divBdr>
            <w:top w:val="none" w:sz="0" w:space="0" w:color="auto"/>
            <w:left w:val="none" w:sz="0" w:space="0" w:color="auto"/>
            <w:bottom w:val="none" w:sz="0" w:space="0" w:color="auto"/>
            <w:right w:val="none" w:sz="0" w:space="0" w:color="auto"/>
          </w:divBdr>
        </w:div>
      </w:divsChild>
    </w:div>
    <w:div w:id="252132396">
      <w:bodyDiv w:val="1"/>
      <w:marLeft w:val="0"/>
      <w:marRight w:val="0"/>
      <w:marTop w:val="0"/>
      <w:marBottom w:val="0"/>
      <w:divBdr>
        <w:top w:val="none" w:sz="0" w:space="0" w:color="auto"/>
        <w:left w:val="none" w:sz="0" w:space="0" w:color="auto"/>
        <w:bottom w:val="none" w:sz="0" w:space="0" w:color="auto"/>
        <w:right w:val="none" w:sz="0" w:space="0" w:color="auto"/>
      </w:divBdr>
    </w:div>
    <w:div w:id="252249556">
      <w:bodyDiv w:val="1"/>
      <w:marLeft w:val="0"/>
      <w:marRight w:val="0"/>
      <w:marTop w:val="0"/>
      <w:marBottom w:val="0"/>
      <w:divBdr>
        <w:top w:val="none" w:sz="0" w:space="0" w:color="auto"/>
        <w:left w:val="none" w:sz="0" w:space="0" w:color="auto"/>
        <w:bottom w:val="none" w:sz="0" w:space="0" w:color="auto"/>
        <w:right w:val="none" w:sz="0" w:space="0" w:color="auto"/>
      </w:divBdr>
      <w:divsChild>
        <w:div w:id="1837380308">
          <w:marLeft w:val="0"/>
          <w:marRight w:val="0"/>
          <w:marTop w:val="0"/>
          <w:marBottom w:val="0"/>
          <w:divBdr>
            <w:top w:val="none" w:sz="0" w:space="0" w:color="auto"/>
            <w:left w:val="none" w:sz="0" w:space="0" w:color="auto"/>
            <w:bottom w:val="none" w:sz="0" w:space="0" w:color="auto"/>
            <w:right w:val="none" w:sz="0" w:space="0" w:color="auto"/>
          </w:divBdr>
        </w:div>
      </w:divsChild>
    </w:div>
    <w:div w:id="269626290">
      <w:bodyDiv w:val="1"/>
      <w:marLeft w:val="0"/>
      <w:marRight w:val="0"/>
      <w:marTop w:val="0"/>
      <w:marBottom w:val="0"/>
      <w:divBdr>
        <w:top w:val="none" w:sz="0" w:space="0" w:color="auto"/>
        <w:left w:val="none" w:sz="0" w:space="0" w:color="auto"/>
        <w:bottom w:val="none" w:sz="0" w:space="0" w:color="auto"/>
        <w:right w:val="none" w:sz="0" w:space="0" w:color="auto"/>
      </w:divBdr>
      <w:divsChild>
        <w:div w:id="2146925253">
          <w:marLeft w:val="0"/>
          <w:marRight w:val="0"/>
          <w:marTop w:val="0"/>
          <w:marBottom w:val="0"/>
          <w:divBdr>
            <w:top w:val="none" w:sz="0" w:space="0" w:color="auto"/>
            <w:left w:val="none" w:sz="0" w:space="0" w:color="auto"/>
            <w:bottom w:val="none" w:sz="0" w:space="0" w:color="auto"/>
            <w:right w:val="none" w:sz="0" w:space="0" w:color="auto"/>
          </w:divBdr>
        </w:div>
      </w:divsChild>
    </w:div>
    <w:div w:id="313873249">
      <w:bodyDiv w:val="1"/>
      <w:marLeft w:val="0"/>
      <w:marRight w:val="0"/>
      <w:marTop w:val="0"/>
      <w:marBottom w:val="0"/>
      <w:divBdr>
        <w:top w:val="none" w:sz="0" w:space="0" w:color="auto"/>
        <w:left w:val="none" w:sz="0" w:space="0" w:color="auto"/>
        <w:bottom w:val="none" w:sz="0" w:space="0" w:color="auto"/>
        <w:right w:val="none" w:sz="0" w:space="0" w:color="auto"/>
      </w:divBdr>
      <w:divsChild>
        <w:div w:id="1126050129">
          <w:marLeft w:val="0"/>
          <w:marRight w:val="0"/>
          <w:marTop w:val="0"/>
          <w:marBottom w:val="0"/>
          <w:divBdr>
            <w:top w:val="none" w:sz="0" w:space="0" w:color="auto"/>
            <w:left w:val="none" w:sz="0" w:space="0" w:color="auto"/>
            <w:bottom w:val="none" w:sz="0" w:space="0" w:color="auto"/>
            <w:right w:val="none" w:sz="0" w:space="0" w:color="auto"/>
          </w:divBdr>
        </w:div>
      </w:divsChild>
    </w:div>
    <w:div w:id="324285451">
      <w:bodyDiv w:val="1"/>
      <w:marLeft w:val="0"/>
      <w:marRight w:val="0"/>
      <w:marTop w:val="0"/>
      <w:marBottom w:val="0"/>
      <w:divBdr>
        <w:top w:val="none" w:sz="0" w:space="0" w:color="auto"/>
        <w:left w:val="none" w:sz="0" w:space="0" w:color="auto"/>
        <w:bottom w:val="none" w:sz="0" w:space="0" w:color="auto"/>
        <w:right w:val="none" w:sz="0" w:space="0" w:color="auto"/>
      </w:divBdr>
    </w:div>
    <w:div w:id="328800438">
      <w:bodyDiv w:val="1"/>
      <w:marLeft w:val="0"/>
      <w:marRight w:val="0"/>
      <w:marTop w:val="0"/>
      <w:marBottom w:val="0"/>
      <w:divBdr>
        <w:top w:val="none" w:sz="0" w:space="0" w:color="auto"/>
        <w:left w:val="none" w:sz="0" w:space="0" w:color="auto"/>
        <w:bottom w:val="none" w:sz="0" w:space="0" w:color="auto"/>
        <w:right w:val="none" w:sz="0" w:space="0" w:color="auto"/>
      </w:divBdr>
      <w:divsChild>
        <w:div w:id="589893467">
          <w:marLeft w:val="0"/>
          <w:marRight w:val="0"/>
          <w:marTop w:val="0"/>
          <w:marBottom w:val="0"/>
          <w:divBdr>
            <w:top w:val="none" w:sz="0" w:space="0" w:color="auto"/>
            <w:left w:val="none" w:sz="0" w:space="0" w:color="auto"/>
            <w:bottom w:val="none" w:sz="0" w:space="0" w:color="auto"/>
            <w:right w:val="none" w:sz="0" w:space="0" w:color="auto"/>
          </w:divBdr>
        </w:div>
      </w:divsChild>
    </w:div>
    <w:div w:id="401874862">
      <w:bodyDiv w:val="1"/>
      <w:marLeft w:val="0"/>
      <w:marRight w:val="0"/>
      <w:marTop w:val="0"/>
      <w:marBottom w:val="0"/>
      <w:divBdr>
        <w:top w:val="none" w:sz="0" w:space="0" w:color="auto"/>
        <w:left w:val="none" w:sz="0" w:space="0" w:color="auto"/>
        <w:bottom w:val="none" w:sz="0" w:space="0" w:color="auto"/>
        <w:right w:val="none" w:sz="0" w:space="0" w:color="auto"/>
      </w:divBdr>
    </w:div>
    <w:div w:id="408773303">
      <w:bodyDiv w:val="1"/>
      <w:marLeft w:val="0"/>
      <w:marRight w:val="0"/>
      <w:marTop w:val="0"/>
      <w:marBottom w:val="0"/>
      <w:divBdr>
        <w:top w:val="none" w:sz="0" w:space="0" w:color="auto"/>
        <w:left w:val="none" w:sz="0" w:space="0" w:color="auto"/>
        <w:bottom w:val="none" w:sz="0" w:space="0" w:color="auto"/>
        <w:right w:val="none" w:sz="0" w:space="0" w:color="auto"/>
      </w:divBdr>
      <w:divsChild>
        <w:div w:id="467162162">
          <w:marLeft w:val="0"/>
          <w:marRight w:val="0"/>
          <w:marTop w:val="0"/>
          <w:marBottom w:val="0"/>
          <w:divBdr>
            <w:top w:val="none" w:sz="0" w:space="0" w:color="auto"/>
            <w:left w:val="none" w:sz="0" w:space="0" w:color="auto"/>
            <w:bottom w:val="none" w:sz="0" w:space="0" w:color="auto"/>
            <w:right w:val="none" w:sz="0" w:space="0" w:color="auto"/>
          </w:divBdr>
        </w:div>
      </w:divsChild>
    </w:div>
    <w:div w:id="423039229">
      <w:bodyDiv w:val="1"/>
      <w:marLeft w:val="0"/>
      <w:marRight w:val="0"/>
      <w:marTop w:val="0"/>
      <w:marBottom w:val="0"/>
      <w:divBdr>
        <w:top w:val="none" w:sz="0" w:space="0" w:color="auto"/>
        <w:left w:val="none" w:sz="0" w:space="0" w:color="auto"/>
        <w:bottom w:val="none" w:sz="0" w:space="0" w:color="auto"/>
        <w:right w:val="none" w:sz="0" w:space="0" w:color="auto"/>
      </w:divBdr>
    </w:div>
    <w:div w:id="426776501">
      <w:bodyDiv w:val="1"/>
      <w:marLeft w:val="0"/>
      <w:marRight w:val="0"/>
      <w:marTop w:val="0"/>
      <w:marBottom w:val="0"/>
      <w:divBdr>
        <w:top w:val="none" w:sz="0" w:space="0" w:color="auto"/>
        <w:left w:val="none" w:sz="0" w:space="0" w:color="auto"/>
        <w:bottom w:val="none" w:sz="0" w:space="0" w:color="auto"/>
        <w:right w:val="none" w:sz="0" w:space="0" w:color="auto"/>
      </w:divBdr>
    </w:div>
    <w:div w:id="428543528">
      <w:bodyDiv w:val="1"/>
      <w:marLeft w:val="0"/>
      <w:marRight w:val="0"/>
      <w:marTop w:val="0"/>
      <w:marBottom w:val="0"/>
      <w:divBdr>
        <w:top w:val="none" w:sz="0" w:space="0" w:color="auto"/>
        <w:left w:val="none" w:sz="0" w:space="0" w:color="auto"/>
        <w:bottom w:val="none" w:sz="0" w:space="0" w:color="auto"/>
        <w:right w:val="none" w:sz="0" w:space="0" w:color="auto"/>
      </w:divBdr>
      <w:divsChild>
        <w:div w:id="618754734">
          <w:marLeft w:val="0"/>
          <w:marRight w:val="0"/>
          <w:marTop w:val="0"/>
          <w:marBottom w:val="0"/>
          <w:divBdr>
            <w:top w:val="none" w:sz="0" w:space="0" w:color="auto"/>
            <w:left w:val="none" w:sz="0" w:space="0" w:color="auto"/>
            <w:bottom w:val="none" w:sz="0" w:space="0" w:color="auto"/>
            <w:right w:val="none" w:sz="0" w:space="0" w:color="auto"/>
          </w:divBdr>
        </w:div>
      </w:divsChild>
    </w:div>
    <w:div w:id="433287954">
      <w:bodyDiv w:val="1"/>
      <w:marLeft w:val="0"/>
      <w:marRight w:val="0"/>
      <w:marTop w:val="0"/>
      <w:marBottom w:val="0"/>
      <w:divBdr>
        <w:top w:val="none" w:sz="0" w:space="0" w:color="auto"/>
        <w:left w:val="none" w:sz="0" w:space="0" w:color="auto"/>
        <w:bottom w:val="none" w:sz="0" w:space="0" w:color="auto"/>
        <w:right w:val="none" w:sz="0" w:space="0" w:color="auto"/>
      </w:divBdr>
    </w:div>
    <w:div w:id="457450627">
      <w:bodyDiv w:val="1"/>
      <w:marLeft w:val="0"/>
      <w:marRight w:val="0"/>
      <w:marTop w:val="0"/>
      <w:marBottom w:val="0"/>
      <w:divBdr>
        <w:top w:val="none" w:sz="0" w:space="0" w:color="auto"/>
        <w:left w:val="none" w:sz="0" w:space="0" w:color="auto"/>
        <w:bottom w:val="none" w:sz="0" w:space="0" w:color="auto"/>
        <w:right w:val="none" w:sz="0" w:space="0" w:color="auto"/>
      </w:divBdr>
      <w:divsChild>
        <w:div w:id="2033459263">
          <w:marLeft w:val="0"/>
          <w:marRight w:val="0"/>
          <w:marTop w:val="0"/>
          <w:marBottom w:val="0"/>
          <w:divBdr>
            <w:top w:val="none" w:sz="0" w:space="0" w:color="auto"/>
            <w:left w:val="none" w:sz="0" w:space="0" w:color="auto"/>
            <w:bottom w:val="none" w:sz="0" w:space="0" w:color="auto"/>
            <w:right w:val="none" w:sz="0" w:space="0" w:color="auto"/>
          </w:divBdr>
        </w:div>
      </w:divsChild>
    </w:div>
    <w:div w:id="462312764">
      <w:bodyDiv w:val="1"/>
      <w:marLeft w:val="0"/>
      <w:marRight w:val="0"/>
      <w:marTop w:val="0"/>
      <w:marBottom w:val="0"/>
      <w:divBdr>
        <w:top w:val="none" w:sz="0" w:space="0" w:color="auto"/>
        <w:left w:val="none" w:sz="0" w:space="0" w:color="auto"/>
        <w:bottom w:val="none" w:sz="0" w:space="0" w:color="auto"/>
        <w:right w:val="none" w:sz="0" w:space="0" w:color="auto"/>
      </w:divBdr>
      <w:divsChild>
        <w:div w:id="601062446">
          <w:marLeft w:val="0"/>
          <w:marRight w:val="0"/>
          <w:marTop w:val="0"/>
          <w:marBottom w:val="0"/>
          <w:divBdr>
            <w:top w:val="none" w:sz="0" w:space="0" w:color="auto"/>
            <w:left w:val="none" w:sz="0" w:space="0" w:color="auto"/>
            <w:bottom w:val="none" w:sz="0" w:space="0" w:color="auto"/>
            <w:right w:val="none" w:sz="0" w:space="0" w:color="auto"/>
          </w:divBdr>
        </w:div>
      </w:divsChild>
    </w:div>
    <w:div w:id="474108052">
      <w:bodyDiv w:val="1"/>
      <w:marLeft w:val="0"/>
      <w:marRight w:val="0"/>
      <w:marTop w:val="0"/>
      <w:marBottom w:val="0"/>
      <w:divBdr>
        <w:top w:val="none" w:sz="0" w:space="0" w:color="auto"/>
        <w:left w:val="none" w:sz="0" w:space="0" w:color="auto"/>
        <w:bottom w:val="none" w:sz="0" w:space="0" w:color="auto"/>
        <w:right w:val="none" w:sz="0" w:space="0" w:color="auto"/>
      </w:divBdr>
      <w:divsChild>
        <w:div w:id="13072627">
          <w:marLeft w:val="0"/>
          <w:marRight w:val="0"/>
          <w:marTop w:val="0"/>
          <w:marBottom w:val="0"/>
          <w:divBdr>
            <w:top w:val="none" w:sz="0" w:space="0" w:color="auto"/>
            <w:left w:val="none" w:sz="0" w:space="0" w:color="auto"/>
            <w:bottom w:val="none" w:sz="0" w:space="0" w:color="auto"/>
            <w:right w:val="none" w:sz="0" w:space="0" w:color="auto"/>
          </w:divBdr>
        </w:div>
      </w:divsChild>
    </w:div>
    <w:div w:id="496579301">
      <w:bodyDiv w:val="1"/>
      <w:marLeft w:val="0"/>
      <w:marRight w:val="0"/>
      <w:marTop w:val="0"/>
      <w:marBottom w:val="0"/>
      <w:divBdr>
        <w:top w:val="none" w:sz="0" w:space="0" w:color="auto"/>
        <w:left w:val="none" w:sz="0" w:space="0" w:color="auto"/>
        <w:bottom w:val="none" w:sz="0" w:space="0" w:color="auto"/>
        <w:right w:val="none" w:sz="0" w:space="0" w:color="auto"/>
      </w:divBdr>
      <w:divsChild>
        <w:div w:id="1786146397">
          <w:marLeft w:val="0"/>
          <w:marRight w:val="0"/>
          <w:marTop w:val="0"/>
          <w:marBottom w:val="0"/>
          <w:divBdr>
            <w:top w:val="none" w:sz="0" w:space="0" w:color="auto"/>
            <w:left w:val="none" w:sz="0" w:space="0" w:color="auto"/>
            <w:bottom w:val="none" w:sz="0" w:space="0" w:color="auto"/>
            <w:right w:val="none" w:sz="0" w:space="0" w:color="auto"/>
          </w:divBdr>
        </w:div>
      </w:divsChild>
    </w:div>
    <w:div w:id="527917805">
      <w:bodyDiv w:val="1"/>
      <w:marLeft w:val="0"/>
      <w:marRight w:val="0"/>
      <w:marTop w:val="0"/>
      <w:marBottom w:val="0"/>
      <w:divBdr>
        <w:top w:val="none" w:sz="0" w:space="0" w:color="auto"/>
        <w:left w:val="none" w:sz="0" w:space="0" w:color="auto"/>
        <w:bottom w:val="none" w:sz="0" w:space="0" w:color="auto"/>
        <w:right w:val="none" w:sz="0" w:space="0" w:color="auto"/>
      </w:divBdr>
      <w:divsChild>
        <w:div w:id="1849825035">
          <w:marLeft w:val="0"/>
          <w:marRight w:val="0"/>
          <w:marTop w:val="0"/>
          <w:marBottom w:val="0"/>
          <w:divBdr>
            <w:top w:val="none" w:sz="0" w:space="0" w:color="auto"/>
            <w:left w:val="none" w:sz="0" w:space="0" w:color="auto"/>
            <w:bottom w:val="none" w:sz="0" w:space="0" w:color="auto"/>
            <w:right w:val="none" w:sz="0" w:space="0" w:color="auto"/>
          </w:divBdr>
        </w:div>
      </w:divsChild>
    </w:div>
    <w:div w:id="549193696">
      <w:bodyDiv w:val="1"/>
      <w:marLeft w:val="0"/>
      <w:marRight w:val="0"/>
      <w:marTop w:val="0"/>
      <w:marBottom w:val="0"/>
      <w:divBdr>
        <w:top w:val="none" w:sz="0" w:space="0" w:color="auto"/>
        <w:left w:val="none" w:sz="0" w:space="0" w:color="auto"/>
        <w:bottom w:val="none" w:sz="0" w:space="0" w:color="auto"/>
        <w:right w:val="none" w:sz="0" w:space="0" w:color="auto"/>
      </w:divBdr>
      <w:divsChild>
        <w:div w:id="1975401994">
          <w:marLeft w:val="0"/>
          <w:marRight w:val="0"/>
          <w:marTop w:val="0"/>
          <w:marBottom w:val="0"/>
          <w:divBdr>
            <w:top w:val="none" w:sz="0" w:space="0" w:color="auto"/>
            <w:left w:val="none" w:sz="0" w:space="0" w:color="auto"/>
            <w:bottom w:val="none" w:sz="0" w:space="0" w:color="auto"/>
            <w:right w:val="none" w:sz="0" w:space="0" w:color="auto"/>
          </w:divBdr>
        </w:div>
      </w:divsChild>
    </w:div>
    <w:div w:id="561448477">
      <w:bodyDiv w:val="1"/>
      <w:marLeft w:val="0"/>
      <w:marRight w:val="0"/>
      <w:marTop w:val="0"/>
      <w:marBottom w:val="0"/>
      <w:divBdr>
        <w:top w:val="none" w:sz="0" w:space="0" w:color="auto"/>
        <w:left w:val="none" w:sz="0" w:space="0" w:color="auto"/>
        <w:bottom w:val="none" w:sz="0" w:space="0" w:color="auto"/>
        <w:right w:val="none" w:sz="0" w:space="0" w:color="auto"/>
      </w:divBdr>
      <w:divsChild>
        <w:div w:id="1848784854">
          <w:marLeft w:val="0"/>
          <w:marRight w:val="0"/>
          <w:marTop w:val="0"/>
          <w:marBottom w:val="0"/>
          <w:divBdr>
            <w:top w:val="none" w:sz="0" w:space="0" w:color="auto"/>
            <w:left w:val="none" w:sz="0" w:space="0" w:color="auto"/>
            <w:bottom w:val="none" w:sz="0" w:space="0" w:color="auto"/>
            <w:right w:val="none" w:sz="0" w:space="0" w:color="auto"/>
          </w:divBdr>
        </w:div>
      </w:divsChild>
    </w:div>
    <w:div w:id="602884426">
      <w:bodyDiv w:val="1"/>
      <w:marLeft w:val="0"/>
      <w:marRight w:val="0"/>
      <w:marTop w:val="0"/>
      <w:marBottom w:val="0"/>
      <w:divBdr>
        <w:top w:val="none" w:sz="0" w:space="0" w:color="auto"/>
        <w:left w:val="none" w:sz="0" w:space="0" w:color="auto"/>
        <w:bottom w:val="none" w:sz="0" w:space="0" w:color="auto"/>
        <w:right w:val="none" w:sz="0" w:space="0" w:color="auto"/>
      </w:divBdr>
      <w:divsChild>
        <w:div w:id="674768559">
          <w:marLeft w:val="0"/>
          <w:marRight w:val="0"/>
          <w:marTop w:val="0"/>
          <w:marBottom w:val="0"/>
          <w:divBdr>
            <w:top w:val="none" w:sz="0" w:space="0" w:color="auto"/>
            <w:left w:val="none" w:sz="0" w:space="0" w:color="auto"/>
            <w:bottom w:val="none" w:sz="0" w:space="0" w:color="auto"/>
            <w:right w:val="none" w:sz="0" w:space="0" w:color="auto"/>
          </w:divBdr>
        </w:div>
      </w:divsChild>
    </w:div>
    <w:div w:id="611523261">
      <w:bodyDiv w:val="1"/>
      <w:marLeft w:val="0"/>
      <w:marRight w:val="0"/>
      <w:marTop w:val="0"/>
      <w:marBottom w:val="0"/>
      <w:divBdr>
        <w:top w:val="none" w:sz="0" w:space="0" w:color="auto"/>
        <w:left w:val="none" w:sz="0" w:space="0" w:color="auto"/>
        <w:bottom w:val="none" w:sz="0" w:space="0" w:color="auto"/>
        <w:right w:val="none" w:sz="0" w:space="0" w:color="auto"/>
      </w:divBdr>
    </w:div>
    <w:div w:id="647707371">
      <w:bodyDiv w:val="1"/>
      <w:marLeft w:val="0"/>
      <w:marRight w:val="0"/>
      <w:marTop w:val="0"/>
      <w:marBottom w:val="0"/>
      <w:divBdr>
        <w:top w:val="none" w:sz="0" w:space="0" w:color="auto"/>
        <w:left w:val="none" w:sz="0" w:space="0" w:color="auto"/>
        <w:bottom w:val="none" w:sz="0" w:space="0" w:color="auto"/>
        <w:right w:val="none" w:sz="0" w:space="0" w:color="auto"/>
      </w:divBdr>
      <w:divsChild>
        <w:div w:id="2037269977">
          <w:marLeft w:val="0"/>
          <w:marRight w:val="0"/>
          <w:marTop w:val="0"/>
          <w:marBottom w:val="0"/>
          <w:divBdr>
            <w:top w:val="none" w:sz="0" w:space="0" w:color="auto"/>
            <w:left w:val="none" w:sz="0" w:space="0" w:color="auto"/>
            <w:bottom w:val="none" w:sz="0" w:space="0" w:color="auto"/>
            <w:right w:val="none" w:sz="0" w:space="0" w:color="auto"/>
          </w:divBdr>
        </w:div>
      </w:divsChild>
    </w:div>
    <w:div w:id="649215312">
      <w:bodyDiv w:val="1"/>
      <w:marLeft w:val="0"/>
      <w:marRight w:val="0"/>
      <w:marTop w:val="0"/>
      <w:marBottom w:val="0"/>
      <w:divBdr>
        <w:top w:val="none" w:sz="0" w:space="0" w:color="auto"/>
        <w:left w:val="none" w:sz="0" w:space="0" w:color="auto"/>
        <w:bottom w:val="none" w:sz="0" w:space="0" w:color="auto"/>
        <w:right w:val="none" w:sz="0" w:space="0" w:color="auto"/>
      </w:divBdr>
    </w:div>
    <w:div w:id="661618249">
      <w:bodyDiv w:val="1"/>
      <w:marLeft w:val="0"/>
      <w:marRight w:val="0"/>
      <w:marTop w:val="0"/>
      <w:marBottom w:val="0"/>
      <w:divBdr>
        <w:top w:val="none" w:sz="0" w:space="0" w:color="auto"/>
        <w:left w:val="none" w:sz="0" w:space="0" w:color="auto"/>
        <w:bottom w:val="none" w:sz="0" w:space="0" w:color="auto"/>
        <w:right w:val="none" w:sz="0" w:space="0" w:color="auto"/>
      </w:divBdr>
      <w:divsChild>
        <w:div w:id="139077646">
          <w:marLeft w:val="0"/>
          <w:marRight w:val="0"/>
          <w:marTop w:val="0"/>
          <w:marBottom w:val="0"/>
          <w:divBdr>
            <w:top w:val="none" w:sz="0" w:space="0" w:color="auto"/>
            <w:left w:val="none" w:sz="0" w:space="0" w:color="auto"/>
            <w:bottom w:val="none" w:sz="0" w:space="0" w:color="auto"/>
            <w:right w:val="none" w:sz="0" w:space="0" w:color="auto"/>
          </w:divBdr>
        </w:div>
      </w:divsChild>
    </w:div>
    <w:div w:id="671835189">
      <w:bodyDiv w:val="1"/>
      <w:marLeft w:val="0"/>
      <w:marRight w:val="0"/>
      <w:marTop w:val="0"/>
      <w:marBottom w:val="0"/>
      <w:divBdr>
        <w:top w:val="none" w:sz="0" w:space="0" w:color="auto"/>
        <w:left w:val="none" w:sz="0" w:space="0" w:color="auto"/>
        <w:bottom w:val="none" w:sz="0" w:space="0" w:color="auto"/>
        <w:right w:val="none" w:sz="0" w:space="0" w:color="auto"/>
      </w:divBdr>
    </w:div>
    <w:div w:id="672756614">
      <w:bodyDiv w:val="1"/>
      <w:marLeft w:val="0"/>
      <w:marRight w:val="0"/>
      <w:marTop w:val="0"/>
      <w:marBottom w:val="0"/>
      <w:divBdr>
        <w:top w:val="none" w:sz="0" w:space="0" w:color="auto"/>
        <w:left w:val="none" w:sz="0" w:space="0" w:color="auto"/>
        <w:bottom w:val="none" w:sz="0" w:space="0" w:color="auto"/>
        <w:right w:val="none" w:sz="0" w:space="0" w:color="auto"/>
      </w:divBdr>
    </w:div>
    <w:div w:id="676200832">
      <w:bodyDiv w:val="1"/>
      <w:marLeft w:val="0"/>
      <w:marRight w:val="0"/>
      <w:marTop w:val="0"/>
      <w:marBottom w:val="0"/>
      <w:divBdr>
        <w:top w:val="none" w:sz="0" w:space="0" w:color="auto"/>
        <w:left w:val="none" w:sz="0" w:space="0" w:color="auto"/>
        <w:bottom w:val="none" w:sz="0" w:space="0" w:color="auto"/>
        <w:right w:val="none" w:sz="0" w:space="0" w:color="auto"/>
      </w:divBdr>
      <w:divsChild>
        <w:div w:id="317080572">
          <w:marLeft w:val="0"/>
          <w:marRight w:val="0"/>
          <w:marTop w:val="0"/>
          <w:marBottom w:val="0"/>
          <w:divBdr>
            <w:top w:val="none" w:sz="0" w:space="0" w:color="auto"/>
            <w:left w:val="none" w:sz="0" w:space="0" w:color="auto"/>
            <w:bottom w:val="none" w:sz="0" w:space="0" w:color="auto"/>
            <w:right w:val="none" w:sz="0" w:space="0" w:color="auto"/>
          </w:divBdr>
        </w:div>
      </w:divsChild>
    </w:div>
    <w:div w:id="676810317">
      <w:bodyDiv w:val="1"/>
      <w:marLeft w:val="0"/>
      <w:marRight w:val="0"/>
      <w:marTop w:val="0"/>
      <w:marBottom w:val="0"/>
      <w:divBdr>
        <w:top w:val="none" w:sz="0" w:space="0" w:color="auto"/>
        <w:left w:val="none" w:sz="0" w:space="0" w:color="auto"/>
        <w:bottom w:val="none" w:sz="0" w:space="0" w:color="auto"/>
        <w:right w:val="none" w:sz="0" w:space="0" w:color="auto"/>
      </w:divBdr>
      <w:divsChild>
        <w:div w:id="1380932862">
          <w:marLeft w:val="0"/>
          <w:marRight w:val="0"/>
          <w:marTop w:val="0"/>
          <w:marBottom w:val="0"/>
          <w:divBdr>
            <w:top w:val="none" w:sz="0" w:space="0" w:color="auto"/>
            <w:left w:val="none" w:sz="0" w:space="0" w:color="auto"/>
            <w:bottom w:val="none" w:sz="0" w:space="0" w:color="auto"/>
            <w:right w:val="none" w:sz="0" w:space="0" w:color="auto"/>
          </w:divBdr>
        </w:div>
      </w:divsChild>
    </w:div>
    <w:div w:id="683047544">
      <w:bodyDiv w:val="1"/>
      <w:marLeft w:val="0"/>
      <w:marRight w:val="0"/>
      <w:marTop w:val="0"/>
      <w:marBottom w:val="0"/>
      <w:divBdr>
        <w:top w:val="none" w:sz="0" w:space="0" w:color="auto"/>
        <w:left w:val="none" w:sz="0" w:space="0" w:color="auto"/>
        <w:bottom w:val="none" w:sz="0" w:space="0" w:color="auto"/>
        <w:right w:val="none" w:sz="0" w:space="0" w:color="auto"/>
      </w:divBdr>
    </w:div>
    <w:div w:id="689836210">
      <w:bodyDiv w:val="1"/>
      <w:marLeft w:val="0"/>
      <w:marRight w:val="0"/>
      <w:marTop w:val="0"/>
      <w:marBottom w:val="0"/>
      <w:divBdr>
        <w:top w:val="none" w:sz="0" w:space="0" w:color="auto"/>
        <w:left w:val="none" w:sz="0" w:space="0" w:color="auto"/>
        <w:bottom w:val="none" w:sz="0" w:space="0" w:color="auto"/>
        <w:right w:val="none" w:sz="0" w:space="0" w:color="auto"/>
      </w:divBdr>
      <w:divsChild>
        <w:div w:id="853762379">
          <w:marLeft w:val="0"/>
          <w:marRight w:val="0"/>
          <w:marTop w:val="0"/>
          <w:marBottom w:val="0"/>
          <w:divBdr>
            <w:top w:val="none" w:sz="0" w:space="0" w:color="auto"/>
            <w:left w:val="none" w:sz="0" w:space="0" w:color="auto"/>
            <w:bottom w:val="none" w:sz="0" w:space="0" w:color="auto"/>
            <w:right w:val="none" w:sz="0" w:space="0" w:color="auto"/>
          </w:divBdr>
        </w:div>
      </w:divsChild>
    </w:div>
    <w:div w:id="694425056">
      <w:bodyDiv w:val="1"/>
      <w:marLeft w:val="0"/>
      <w:marRight w:val="0"/>
      <w:marTop w:val="0"/>
      <w:marBottom w:val="0"/>
      <w:divBdr>
        <w:top w:val="none" w:sz="0" w:space="0" w:color="auto"/>
        <w:left w:val="none" w:sz="0" w:space="0" w:color="auto"/>
        <w:bottom w:val="none" w:sz="0" w:space="0" w:color="auto"/>
        <w:right w:val="none" w:sz="0" w:space="0" w:color="auto"/>
      </w:divBdr>
      <w:divsChild>
        <w:div w:id="1476750835">
          <w:marLeft w:val="0"/>
          <w:marRight w:val="0"/>
          <w:marTop w:val="0"/>
          <w:marBottom w:val="0"/>
          <w:divBdr>
            <w:top w:val="none" w:sz="0" w:space="0" w:color="auto"/>
            <w:left w:val="none" w:sz="0" w:space="0" w:color="auto"/>
            <w:bottom w:val="none" w:sz="0" w:space="0" w:color="auto"/>
            <w:right w:val="none" w:sz="0" w:space="0" w:color="auto"/>
          </w:divBdr>
        </w:div>
      </w:divsChild>
    </w:div>
    <w:div w:id="704332325">
      <w:bodyDiv w:val="1"/>
      <w:marLeft w:val="0"/>
      <w:marRight w:val="0"/>
      <w:marTop w:val="0"/>
      <w:marBottom w:val="0"/>
      <w:divBdr>
        <w:top w:val="none" w:sz="0" w:space="0" w:color="auto"/>
        <w:left w:val="none" w:sz="0" w:space="0" w:color="auto"/>
        <w:bottom w:val="none" w:sz="0" w:space="0" w:color="auto"/>
        <w:right w:val="none" w:sz="0" w:space="0" w:color="auto"/>
      </w:divBdr>
      <w:divsChild>
        <w:div w:id="1723358539">
          <w:marLeft w:val="0"/>
          <w:marRight w:val="0"/>
          <w:marTop w:val="0"/>
          <w:marBottom w:val="0"/>
          <w:divBdr>
            <w:top w:val="none" w:sz="0" w:space="0" w:color="auto"/>
            <w:left w:val="none" w:sz="0" w:space="0" w:color="auto"/>
            <w:bottom w:val="none" w:sz="0" w:space="0" w:color="auto"/>
            <w:right w:val="none" w:sz="0" w:space="0" w:color="auto"/>
          </w:divBdr>
        </w:div>
      </w:divsChild>
    </w:div>
    <w:div w:id="705523232">
      <w:bodyDiv w:val="1"/>
      <w:marLeft w:val="0"/>
      <w:marRight w:val="0"/>
      <w:marTop w:val="0"/>
      <w:marBottom w:val="0"/>
      <w:divBdr>
        <w:top w:val="none" w:sz="0" w:space="0" w:color="auto"/>
        <w:left w:val="none" w:sz="0" w:space="0" w:color="auto"/>
        <w:bottom w:val="none" w:sz="0" w:space="0" w:color="auto"/>
        <w:right w:val="none" w:sz="0" w:space="0" w:color="auto"/>
      </w:divBdr>
      <w:divsChild>
        <w:div w:id="1854420219">
          <w:marLeft w:val="0"/>
          <w:marRight w:val="0"/>
          <w:marTop w:val="0"/>
          <w:marBottom w:val="0"/>
          <w:divBdr>
            <w:top w:val="none" w:sz="0" w:space="0" w:color="auto"/>
            <w:left w:val="none" w:sz="0" w:space="0" w:color="auto"/>
            <w:bottom w:val="none" w:sz="0" w:space="0" w:color="auto"/>
            <w:right w:val="none" w:sz="0" w:space="0" w:color="auto"/>
          </w:divBdr>
        </w:div>
      </w:divsChild>
    </w:div>
    <w:div w:id="744227581">
      <w:bodyDiv w:val="1"/>
      <w:marLeft w:val="0"/>
      <w:marRight w:val="0"/>
      <w:marTop w:val="0"/>
      <w:marBottom w:val="0"/>
      <w:divBdr>
        <w:top w:val="none" w:sz="0" w:space="0" w:color="auto"/>
        <w:left w:val="none" w:sz="0" w:space="0" w:color="auto"/>
        <w:bottom w:val="none" w:sz="0" w:space="0" w:color="auto"/>
        <w:right w:val="none" w:sz="0" w:space="0" w:color="auto"/>
      </w:divBdr>
      <w:divsChild>
        <w:div w:id="1355039132">
          <w:marLeft w:val="0"/>
          <w:marRight w:val="0"/>
          <w:marTop w:val="0"/>
          <w:marBottom w:val="0"/>
          <w:divBdr>
            <w:top w:val="none" w:sz="0" w:space="0" w:color="auto"/>
            <w:left w:val="none" w:sz="0" w:space="0" w:color="auto"/>
            <w:bottom w:val="none" w:sz="0" w:space="0" w:color="auto"/>
            <w:right w:val="none" w:sz="0" w:space="0" w:color="auto"/>
          </w:divBdr>
        </w:div>
      </w:divsChild>
    </w:div>
    <w:div w:id="773325257">
      <w:bodyDiv w:val="1"/>
      <w:marLeft w:val="0"/>
      <w:marRight w:val="0"/>
      <w:marTop w:val="0"/>
      <w:marBottom w:val="0"/>
      <w:divBdr>
        <w:top w:val="none" w:sz="0" w:space="0" w:color="auto"/>
        <w:left w:val="none" w:sz="0" w:space="0" w:color="auto"/>
        <w:bottom w:val="none" w:sz="0" w:space="0" w:color="auto"/>
        <w:right w:val="none" w:sz="0" w:space="0" w:color="auto"/>
      </w:divBdr>
    </w:div>
    <w:div w:id="773598638">
      <w:bodyDiv w:val="1"/>
      <w:marLeft w:val="0"/>
      <w:marRight w:val="0"/>
      <w:marTop w:val="0"/>
      <w:marBottom w:val="0"/>
      <w:divBdr>
        <w:top w:val="none" w:sz="0" w:space="0" w:color="auto"/>
        <w:left w:val="none" w:sz="0" w:space="0" w:color="auto"/>
        <w:bottom w:val="none" w:sz="0" w:space="0" w:color="auto"/>
        <w:right w:val="none" w:sz="0" w:space="0" w:color="auto"/>
      </w:divBdr>
    </w:div>
    <w:div w:id="783764375">
      <w:bodyDiv w:val="1"/>
      <w:marLeft w:val="0"/>
      <w:marRight w:val="0"/>
      <w:marTop w:val="0"/>
      <w:marBottom w:val="0"/>
      <w:divBdr>
        <w:top w:val="none" w:sz="0" w:space="0" w:color="auto"/>
        <w:left w:val="none" w:sz="0" w:space="0" w:color="auto"/>
        <w:bottom w:val="none" w:sz="0" w:space="0" w:color="auto"/>
        <w:right w:val="none" w:sz="0" w:space="0" w:color="auto"/>
      </w:divBdr>
      <w:divsChild>
        <w:div w:id="327364502">
          <w:marLeft w:val="0"/>
          <w:marRight w:val="0"/>
          <w:marTop w:val="0"/>
          <w:marBottom w:val="0"/>
          <w:divBdr>
            <w:top w:val="none" w:sz="0" w:space="0" w:color="auto"/>
            <w:left w:val="none" w:sz="0" w:space="0" w:color="auto"/>
            <w:bottom w:val="none" w:sz="0" w:space="0" w:color="auto"/>
            <w:right w:val="none" w:sz="0" w:space="0" w:color="auto"/>
          </w:divBdr>
        </w:div>
      </w:divsChild>
    </w:div>
    <w:div w:id="784999652">
      <w:bodyDiv w:val="1"/>
      <w:marLeft w:val="0"/>
      <w:marRight w:val="0"/>
      <w:marTop w:val="0"/>
      <w:marBottom w:val="0"/>
      <w:divBdr>
        <w:top w:val="none" w:sz="0" w:space="0" w:color="auto"/>
        <w:left w:val="none" w:sz="0" w:space="0" w:color="auto"/>
        <w:bottom w:val="none" w:sz="0" w:space="0" w:color="auto"/>
        <w:right w:val="none" w:sz="0" w:space="0" w:color="auto"/>
      </w:divBdr>
    </w:div>
    <w:div w:id="792985875">
      <w:bodyDiv w:val="1"/>
      <w:marLeft w:val="0"/>
      <w:marRight w:val="0"/>
      <w:marTop w:val="0"/>
      <w:marBottom w:val="0"/>
      <w:divBdr>
        <w:top w:val="none" w:sz="0" w:space="0" w:color="auto"/>
        <w:left w:val="none" w:sz="0" w:space="0" w:color="auto"/>
        <w:bottom w:val="none" w:sz="0" w:space="0" w:color="auto"/>
        <w:right w:val="none" w:sz="0" w:space="0" w:color="auto"/>
      </w:divBdr>
    </w:div>
    <w:div w:id="814492980">
      <w:bodyDiv w:val="1"/>
      <w:marLeft w:val="0"/>
      <w:marRight w:val="0"/>
      <w:marTop w:val="0"/>
      <w:marBottom w:val="0"/>
      <w:divBdr>
        <w:top w:val="none" w:sz="0" w:space="0" w:color="auto"/>
        <w:left w:val="none" w:sz="0" w:space="0" w:color="auto"/>
        <w:bottom w:val="none" w:sz="0" w:space="0" w:color="auto"/>
        <w:right w:val="none" w:sz="0" w:space="0" w:color="auto"/>
      </w:divBdr>
      <w:divsChild>
        <w:div w:id="142896727">
          <w:marLeft w:val="0"/>
          <w:marRight w:val="0"/>
          <w:marTop w:val="0"/>
          <w:marBottom w:val="0"/>
          <w:divBdr>
            <w:top w:val="none" w:sz="0" w:space="0" w:color="auto"/>
            <w:left w:val="none" w:sz="0" w:space="0" w:color="auto"/>
            <w:bottom w:val="none" w:sz="0" w:space="0" w:color="auto"/>
            <w:right w:val="none" w:sz="0" w:space="0" w:color="auto"/>
          </w:divBdr>
        </w:div>
      </w:divsChild>
    </w:div>
    <w:div w:id="821972186">
      <w:bodyDiv w:val="1"/>
      <w:marLeft w:val="0"/>
      <w:marRight w:val="0"/>
      <w:marTop w:val="0"/>
      <w:marBottom w:val="0"/>
      <w:divBdr>
        <w:top w:val="none" w:sz="0" w:space="0" w:color="auto"/>
        <w:left w:val="none" w:sz="0" w:space="0" w:color="auto"/>
        <w:bottom w:val="none" w:sz="0" w:space="0" w:color="auto"/>
        <w:right w:val="none" w:sz="0" w:space="0" w:color="auto"/>
      </w:divBdr>
    </w:div>
    <w:div w:id="842008704">
      <w:bodyDiv w:val="1"/>
      <w:marLeft w:val="0"/>
      <w:marRight w:val="0"/>
      <w:marTop w:val="0"/>
      <w:marBottom w:val="0"/>
      <w:divBdr>
        <w:top w:val="none" w:sz="0" w:space="0" w:color="auto"/>
        <w:left w:val="none" w:sz="0" w:space="0" w:color="auto"/>
        <w:bottom w:val="none" w:sz="0" w:space="0" w:color="auto"/>
        <w:right w:val="none" w:sz="0" w:space="0" w:color="auto"/>
      </w:divBdr>
    </w:div>
    <w:div w:id="873426115">
      <w:bodyDiv w:val="1"/>
      <w:marLeft w:val="0"/>
      <w:marRight w:val="0"/>
      <w:marTop w:val="0"/>
      <w:marBottom w:val="0"/>
      <w:divBdr>
        <w:top w:val="none" w:sz="0" w:space="0" w:color="auto"/>
        <w:left w:val="none" w:sz="0" w:space="0" w:color="auto"/>
        <w:bottom w:val="none" w:sz="0" w:space="0" w:color="auto"/>
        <w:right w:val="none" w:sz="0" w:space="0" w:color="auto"/>
      </w:divBdr>
    </w:div>
    <w:div w:id="880943263">
      <w:bodyDiv w:val="1"/>
      <w:marLeft w:val="0"/>
      <w:marRight w:val="0"/>
      <w:marTop w:val="0"/>
      <w:marBottom w:val="0"/>
      <w:divBdr>
        <w:top w:val="none" w:sz="0" w:space="0" w:color="auto"/>
        <w:left w:val="none" w:sz="0" w:space="0" w:color="auto"/>
        <w:bottom w:val="none" w:sz="0" w:space="0" w:color="auto"/>
        <w:right w:val="none" w:sz="0" w:space="0" w:color="auto"/>
      </w:divBdr>
      <w:divsChild>
        <w:div w:id="1739085154">
          <w:marLeft w:val="0"/>
          <w:marRight w:val="0"/>
          <w:marTop w:val="0"/>
          <w:marBottom w:val="0"/>
          <w:divBdr>
            <w:top w:val="none" w:sz="0" w:space="0" w:color="auto"/>
            <w:left w:val="none" w:sz="0" w:space="0" w:color="auto"/>
            <w:bottom w:val="none" w:sz="0" w:space="0" w:color="auto"/>
            <w:right w:val="none" w:sz="0" w:space="0" w:color="auto"/>
          </w:divBdr>
        </w:div>
      </w:divsChild>
    </w:div>
    <w:div w:id="897590872">
      <w:bodyDiv w:val="1"/>
      <w:marLeft w:val="0"/>
      <w:marRight w:val="0"/>
      <w:marTop w:val="0"/>
      <w:marBottom w:val="0"/>
      <w:divBdr>
        <w:top w:val="none" w:sz="0" w:space="0" w:color="auto"/>
        <w:left w:val="none" w:sz="0" w:space="0" w:color="auto"/>
        <w:bottom w:val="none" w:sz="0" w:space="0" w:color="auto"/>
        <w:right w:val="none" w:sz="0" w:space="0" w:color="auto"/>
      </w:divBdr>
      <w:divsChild>
        <w:div w:id="1159613463">
          <w:marLeft w:val="0"/>
          <w:marRight w:val="0"/>
          <w:marTop w:val="0"/>
          <w:marBottom w:val="0"/>
          <w:divBdr>
            <w:top w:val="none" w:sz="0" w:space="0" w:color="auto"/>
            <w:left w:val="none" w:sz="0" w:space="0" w:color="auto"/>
            <w:bottom w:val="none" w:sz="0" w:space="0" w:color="auto"/>
            <w:right w:val="none" w:sz="0" w:space="0" w:color="auto"/>
          </w:divBdr>
        </w:div>
      </w:divsChild>
    </w:div>
    <w:div w:id="922109959">
      <w:bodyDiv w:val="1"/>
      <w:marLeft w:val="0"/>
      <w:marRight w:val="0"/>
      <w:marTop w:val="0"/>
      <w:marBottom w:val="0"/>
      <w:divBdr>
        <w:top w:val="none" w:sz="0" w:space="0" w:color="auto"/>
        <w:left w:val="none" w:sz="0" w:space="0" w:color="auto"/>
        <w:bottom w:val="none" w:sz="0" w:space="0" w:color="auto"/>
        <w:right w:val="none" w:sz="0" w:space="0" w:color="auto"/>
      </w:divBdr>
      <w:divsChild>
        <w:div w:id="2018455090">
          <w:marLeft w:val="0"/>
          <w:marRight w:val="0"/>
          <w:marTop w:val="0"/>
          <w:marBottom w:val="0"/>
          <w:divBdr>
            <w:top w:val="none" w:sz="0" w:space="0" w:color="auto"/>
            <w:left w:val="none" w:sz="0" w:space="0" w:color="auto"/>
            <w:bottom w:val="none" w:sz="0" w:space="0" w:color="auto"/>
            <w:right w:val="none" w:sz="0" w:space="0" w:color="auto"/>
          </w:divBdr>
        </w:div>
      </w:divsChild>
    </w:div>
    <w:div w:id="936135573">
      <w:bodyDiv w:val="1"/>
      <w:marLeft w:val="0"/>
      <w:marRight w:val="0"/>
      <w:marTop w:val="0"/>
      <w:marBottom w:val="0"/>
      <w:divBdr>
        <w:top w:val="none" w:sz="0" w:space="0" w:color="auto"/>
        <w:left w:val="none" w:sz="0" w:space="0" w:color="auto"/>
        <w:bottom w:val="none" w:sz="0" w:space="0" w:color="auto"/>
        <w:right w:val="none" w:sz="0" w:space="0" w:color="auto"/>
      </w:divBdr>
    </w:div>
    <w:div w:id="975062835">
      <w:bodyDiv w:val="1"/>
      <w:marLeft w:val="0"/>
      <w:marRight w:val="0"/>
      <w:marTop w:val="0"/>
      <w:marBottom w:val="0"/>
      <w:divBdr>
        <w:top w:val="none" w:sz="0" w:space="0" w:color="auto"/>
        <w:left w:val="none" w:sz="0" w:space="0" w:color="auto"/>
        <w:bottom w:val="none" w:sz="0" w:space="0" w:color="auto"/>
        <w:right w:val="none" w:sz="0" w:space="0" w:color="auto"/>
      </w:divBdr>
      <w:divsChild>
        <w:div w:id="371852843">
          <w:marLeft w:val="0"/>
          <w:marRight w:val="0"/>
          <w:marTop w:val="0"/>
          <w:marBottom w:val="0"/>
          <w:divBdr>
            <w:top w:val="none" w:sz="0" w:space="0" w:color="auto"/>
            <w:left w:val="none" w:sz="0" w:space="0" w:color="auto"/>
            <w:bottom w:val="none" w:sz="0" w:space="0" w:color="auto"/>
            <w:right w:val="none" w:sz="0" w:space="0" w:color="auto"/>
          </w:divBdr>
        </w:div>
      </w:divsChild>
    </w:div>
    <w:div w:id="989209604">
      <w:bodyDiv w:val="1"/>
      <w:marLeft w:val="0"/>
      <w:marRight w:val="0"/>
      <w:marTop w:val="0"/>
      <w:marBottom w:val="0"/>
      <w:divBdr>
        <w:top w:val="none" w:sz="0" w:space="0" w:color="auto"/>
        <w:left w:val="none" w:sz="0" w:space="0" w:color="auto"/>
        <w:bottom w:val="none" w:sz="0" w:space="0" w:color="auto"/>
        <w:right w:val="none" w:sz="0" w:space="0" w:color="auto"/>
      </w:divBdr>
    </w:div>
    <w:div w:id="991103191">
      <w:bodyDiv w:val="1"/>
      <w:marLeft w:val="0"/>
      <w:marRight w:val="0"/>
      <w:marTop w:val="0"/>
      <w:marBottom w:val="0"/>
      <w:divBdr>
        <w:top w:val="none" w:sz="0" w:space="0" w:color="auto"/>
        <w:left w:val="none" w:sz="0" w:space="0" w:color="auto"/>
        <w:bottom w:val="none" w:sz="0" w:space="0" w:color="auto"/>
        <w:right w:val="none" w:sz="0" w:space="0" w:color="auto"/>
      </w:divBdr>
    </w:div>
    <w:div w:id="1006908061">
      <w:bodyDiv w:val="1"/>
      <w:marLeft w:val="0"/>
      <w:marRight w:val="0"/>
      <w:marTop w:val="0"/>
      <w:marBottom w:val="0"/>
      <w:divBdr>
        <w:top w:val="none" w:sz="0" w:space="0" w:color="auto"/>
        <w:left w:val="none" w:sz="0" w:space="0" w:color="auto"/>
        <w:bottom w:val="none" w:sz="0" w:space="0" w:color="auto"/>
        <w:right w:val="none" w:sz="0" w:space="0" w:color="auto"/>
      </w:divBdr>
    </w:div>
    <w:div w:id="1008602144">
      <w:bodyDiv w:val="1"/>
      <w:marLeft w:val="0"/>
      <w:marRight w:val="0"/>
      <w:marTop w:val="0"/>
      <w:marBottom w:val="0"/>
      <w:divBdr>
        <w:top w:val="none" w:sz="0" w:space="0" w:color="auto"/>
        <w:left w:val="none" w:sz="0" w:space="0" w:color="auto"/>
        <w:bottom w:val="none" w:sz="0" w:space="0" w:color="auto"/>
        <w:right w:val="none" w:sz="0" w:space="0" w:color="auto"/>
      </w:divBdr>
      <w:divsChild>
        <w:div w:id="1697854065">
          <w:marLeft w:val="0"/>
          <w:marRight w:val="0"/>
          <w:marTop w:val="0"/>
          <w:marBottom w:val="0"/>
          <w:divBdr>
            <w:top w:val="none" w:sz="0" w:space="0" w:color="auto"/>
            <w:left w:val="none" w:sz="0" w:space="0" w:color="auto"/>
            <w:bottom w:val="none" w:sz="0" w:space="0" w:color="auto"/>
            <w:right w:val="none" w:sz="0" w:space="0" w:color="auto"/>
          </w:divBdr>
        </w:div>
      </w:divsChild>
    </w:div>
    <w:div w:id="1021777886">
      <w:bodyDiv w:val="1"/>
      <w:marLeft w:val="0"/>
      <w:marRight w:val="0"/>
      <w:marTop w:val="0"/>
      <w:marBottom w:val="0"/>
      <w:divBdr>
        <w:top w:val="none" w:sz="0" w:space="0" w:color="auto"/>
        <w:left w:val="none" w:sz="0" w:space="0" w:color="auto"/>
        <w:bottom w:val="none" w:sz="0" w:space="0" w:color="auto"/>
        <w:right w:val="none" w:sz="0" w:space="0" w:color="auto"/>
      </w:divBdr>
    </w:div>
    <w:div w:id="1054545626">
      <w:bodyDiv w:val="1"/>
      <w:marLeft w:val="0"/>
      <w:marRight w:val="0"/>
      <w:marTop w:val="0"/>
      <w:marBottom w:val="0"/>
      <w:divBdr>
        <w:top w:val="none" w:sz="0" w:space="0" w:color="auto"/>
        <w:left w:val="none" w:sz="0" w:space="0" w:color="auto"/>
        <w:bottom w:val="none" w:sz="0" w:space="0" w:color="auto"/>
        <w:right w:val="none" w:sz="0" w:space="0" w:color="auto"/>
      </w:divBdr>
      <w:divsChild>
        <w:div w:id="185215504">
          <w:marLeft w:val="0"/>
          <w:marRight w:val="0"/>
          <w:marTop w:val="0"/>
          <w:marBottom w:val="0"/>
          <w:divBdr>
            <w:top w:val="none" w:sz="0" w:space="0" w:color="auto"/>
            <w:left w:val="none" w:sz="0" w:space="0" w:color="auto"/>
            <w:bottom w:val="none" w:sz="0" w:space="0" w:color="auto"/>
            <w:right w:val="none" w:sz="0" w:space="0" w:color="auto"/>
          </w:divBdr>
        </w:div>
      </w:divsChild>
    </w:div>
    <w:div w:id="1077705129">
      <w:bodyDiv w:val="1"/>
      <w:marLeft w:val="0"/>
      <w:marRight w:val="0"/>
      <w:marTop w:val="0"/>
      <w:marBottom w:val="0"/>
      <w:divBdr>
        <w:top w:val="none" w:sz="0" w:space="0" w:color="auto"/>
        <w:left w:val="none" w:sz="0" w:space="0" w:color="auto"/>
        <w:bottom w:val="none" w:sz="0" w:space="0" w:color="auto"/>
        <w:right w:val="none" w:sz="0" w:space="0" w:color="auto"/>
      </w:divBdr>
      <w:divsChild>
        <w:div w:id="2033416375">
          <w:marLeft w:val="0"/>
          <w:marRight w:val="0"/>
          <w:marTop w:val="0"/>
          <w:marBottom w:val="0"/>
          <w:divBdr>
            <w:top w:val="none" w:sz="0" w:space="0" w:color="auto"/>
            <w:left w:val="none" w:sz="0" w:space="0" w:color="auto"/>
            <w:bottom w:val="none" w:sz="0" w:space="0" w:color="auto"/>
            <w:right w:val="none" w:sz="0" w:space="0" w:color="auto"/>
          </w:divBdr>
        </w:div>
      </w:divsChild>
    </w:div>
    <w:div w:id="1087266097">
      <w:bodyDiv w:val="1"/>
      <w:marLeft w:val="0"/>
      <w:marRight w:val="0"/>
      <w:marTop w:val="0"/>
      <w:marBottom w:val="0"/>
      <w:divBdr>
        <w:top w:val="none" w:sz="0" w:space="0" w:color="auto"/>
        <w:left w:val="none" w:sz="0" w:space="0" w:color="auto"/>
        <w:bottom w:val="none" w:sz="0" w:space="0" w:color="auto"/>
        <w:right w:val="none" w:sz="0" w:space="0" w:color="auto"/>
      </w:divBdr>
      <w:divsChild>
        <w:div w:id="1730810553">
          <w:marLeft w:val="0"/>
          <w:marRight w:val="0"/>
          <w:marTop w:val="0"/>
          <w:marBottom w:val="0"/>
          <w:divBdr>
            <w:top w:val="none" w:sz="0" w:space="0" w:color="auto"/>
            <w:left w:val="none" w:sz="0" w:space="0" w:color="auto"/>
            <w:bottom w:val="none" w:sz="0" w:space="0" w:color="auto"/>
            <w:right w:val="none" w:sz="0" w:space="0" w:color="auto"/>
          </w:divBdr>
        </w:div>
      </w:divsChild>
    </w:div>
    <w:div w:id="1100875231">
      <w:bodyDiv w:val="1"/>
      <w:marLeft w:val="0"/>
      <w:marRight w:val="0"/>
      <w:marTop w:val="0"/>
      <w:marBottom w:val="0"/>
      <w:divBdr>
        <w:top w:val="none" w:sz="0" w:space="0" w:color="auto"/>
        <w:left w:val="none" w:sz="0" w:space="0" w:color="auto"/>
        <w:bottom w:val="none" w:sz="0" w:space="0" w:color="auto"/>
        <w:right w:val="none" w:sz="0" w:space="0" w:color="auto"/>
      </w:divBdr>
    </w:div>
    <w:div w:id="1103763187">
      <w:bodyDiv w:val="1"/>
      <w:marLeft w:val="0"/>
      <w:marRight w:val="0"/>
      <w:marTop w:val="0"/>
      <w:marBottom w:val="0"/>
      <w:divBdr>
        <w:top w:val="none" w:sz="0" w:space="0" w:color="auto"/>
        <w:left w:val="none" w:sz="0" w:space="0" w:color="auto"/>
        <w:bottom w:val="none" w:sz="0" w:space="0" w:color="auto"/>
        <w:right w:val="none" w:sz="0" w:space="0" w:color="auto"/>
      </w:divBdr>
    </w:div>
    <w:div w:id="1109398803">
      <w:bodyDiv w:val="1"/>
      <w:marLeft w:val="0"/>
      <w:marRight w:val="0"/>
      <w:marTop w:val="0"/>
      <w:marBottom w:val="0"/>
      <w:divBdr>
        <w:top w:val="none" w:sz="0" w:space="0" w:color="auto"/>
        <w:left w:val="none" w:sz="0" w:space="0" w:color="auto"/>
        <w:bottom w:val="none" w:sz="0" w:space="0" w:color="auto"/>
        <w:right w:val="none" w:sz="0" w:space="0" w:color="auto"/>
      </w:divBdr>
    </w:div>
    <w:div w:id="1142383419">
      <w:bodyDiv w:val="1"/>
      <w:marLeft w:val="0"/>
      <w:marRight w:val="0"/>
      <w:marTop w:val="0"/>
      <w:marBottom w:val="0"/>
      <w:divBdr>
        <w:top w:val="none" w:sz="0" w:space="0" w:color="auto"/>
        <w:left w:val="none" w:sz="0" w:space="0" w:color="auto"/>
        <w:bottom w:val="none" w:sz="0" w:space="0" w:color="auto"/>
        <w:right w:val="none" w:sz="0" w:space="0" w:color="auto"/>
      </w:divBdr>
    </w:div>
    <w:div w:id="1144657130">
      <w:bodyDiv w:val="1"/>
      <w:marLeft w:val="0"/>
      <w:marRight w:val="0"/>
      <w:marTop w:val="0"/>
      <w:marBottom w:val="0"/>
      <w:divBdr>
        <w:top w:val="none" w:sz="0" w:space="0" w:color="auto"/>
        <w:left w:val="none" w:sz="0" w:space="0" w:color="auto"/>
        <w:bottom w:val="none" w:sz="0" w:space="0" w:color="auto"/>
        <w:right w:val="none" w:sz="0" w:space="0" w:color="auto"/>
      </w:divBdr>
      <w:divsChild>
        <w:div w:id="1435400175">
          <w:marLeft w:val="0"/>
          <w:marRight w:val="0"/>
          <w:marTop w:val="0"/>
          <w:marBottom w:val="0"/>
          <w:divBdr>
            <w:top w:val="none" w:sz="0" w:space="0" w:color="auto"/>
            <w:left w:val="none" w:sz="0" w:space="0" w:color="auto"/>
            <w:bottom w:val="none" w:sz="0" w:space="0" w:color="auto"/>
            <w:right w:val="none" w:sz="0" w:space="0" w:color="auto"/>
          </w:divBdr>
        </w:div>
      </w:divsChild>
    </w:div>
    <w:div w:id="1153719462">
      <w:bodyDiv w:val="1"/>
      <w:marLeft w:val="0"/>
      <w:marRight w:val="0"/>
      <w:marTop w:val="0"/>
      <w:marBottom w:val="0"/>
      <w:divBdr>
        <w:top w:val="none" w:sz="0" w:space="0" w:color="auto"/>
        <w:left w:val="none" w:sz="0" w:space="0" w:color="auto"/>
        <w:bottom w:val="none" w:sz="0" w:space="0" w:color="auto"/>
        <w:right w:val="none" w:sz="0" w:space="0" w:color="auto"/>
      </w:divBdr>
      <w:divsChild>
        <w:div w:id="1126309582">
          <w:marLeft w:val="0"/>
          <w:marRight w:val="0"/>
          <w:marTop w:val="0"/>
          <w:marBottom w:val="0"/>
          <w:divBdr>
            <w:top w:val="none" w:sz="0" w:space="0" w:color="auto"/>
            <w:left w:val="none" w:sz="0" w:space="0" w:color="auto"/>
            <w:bottom w:val="none" w:sz="0" w:space="0" w:color="auto"/>
            <w:right w:val="none" w:sz="0" w:space="0" w:color="auto"/>
          </w:divBdr>
        </w:div>
      </w:divsChild>
    </w:div>
    <w:div w:id="1156529226">
      <w:bodyDiv w:val="1"/>
      <w:marLeft w:val="0"/>
      <w:marRight w:val="0"/>
      <w:marTop w:val="0"/>
      <w:marBottom w:val="0"/>
      <w:divBdr>
        <w:top w:val="none" w:sz="0" w:space="0" w:color="auto"/>
        <w:left w:val="none" w:sz="0" w:space="0" w:color="auto"/>
        <w:bottom w:val="none" w:sz="0" w:space="0" w:color="auto"/>
        <w:right w:val="none" w:sz="0" w:space="0" w:color="auto"/>
      </w:divBdr>
    </w:div>
    <w:div w:id="1164475362">
      <w:bodyDiv w:val="1"/>
      <w:marLeft w:val="0"/>
      <w:marRight w:val="0"/>
      <w:marTop w:val="0"/>
      <w:marBottom w:val="0"/>
      <w:divBdr>
        <w:top w:val="none" w:sz="0" w:space="0" w:color="auto"/>
        <w:left w:val="none" w:sz="0" w:space="0" w:color="auto"/>
        <w:bottom w:val="none" w:sz="0" w:space="0" w:color="auto"/>
        <w:right w:val="none" w:sz="0" w:space="0" w:color="auto"/>
      </w:divBdr>
    </w:div>
    <w:div w:id="1167748318">
      <w:bodyDiv w:val="1"/>
      <w:marLeft w:val="0"/>
      <w:marRight w:val="0"/>
      <w:marTop w:val="0"/>
      <w:marBottom w:val="0"/>
      <w:divBdr>
        <w:top w:val="none" w:sz="0" w:space="0" w:color="auto"/>
        <w:left w:val="none" w:sz="0" w:space="0" w:color="auto"/>
        <w:bottom w:val="none" w:sz="0" w:space="0" w:color="auto"/>
        <w:right w:val="none" w:sz="0" w:space="0" w:color="auto"/>
      </w:divBdr>
    </w:div>
    <w:div w:id="1182821436">
      <w:bodyDiv w:val="1"/>
      <w:marLeft w:val="0"/>
      <w:marRight w:val="0"/>
      <w:marTop w:val="0"/>
      <w:marBottom w:val="0"/>
      <w:divBdr>
        <w:top w:val="none" w:sz="0" w:space="0" w:color="auto"/>
        <w:left w:val="none" w:sz="0" w:space="0" w:color="auto"/>
        <w:bottom w:val="none" w:sz="0" w:space="0" w:color="auto"/>
        <w:right w:val="none" w:sz="0" w:space="0" w:color="auto"/>
      </w:divBdr>
      <w:divsChild>
        <w:div w:id="1987271201">
          <w:marLeft w:val="0"/>
          <w:marRight w:val="0"/>
          <w:marTop w:val="0"/>
          <w:marBottom w:val="0"/>
          <w:divBdr>
            <w:top w:val="none" w:sz="0" w:space="0" w:color="auto"/>
            <w:left w:val="none" w:sz="0" w:space="0" w:color="auto"/>
            <w:bottom w:val="none" w:sz="0" w:space="0" w:color="auto"/>
            <w:right w:val="none" w:sz="0" w:space="0" w:color="auto"/>
          </w:divBdr>
        </w:div>
      </w:divsChild>
    </w:div>
    <w:div w:id="1184706735">
      <w:bodyDiv w:val="1"/>
      <w:marLeft w:val="0"/>
      <w:marRight w:val="0"/>
      <w:marTop w:val="0"/>
      <w:marBottom w:val="0"/>
      <w:divBdr>
        <w:top w:val="none" w:sz="0" w:space="0" w:color="auto"/>
        <w:left w:val="none" w:sz="0" w:space="0" w:color="auto"/>
        <w:bottom w:val="none" w:sz="0" w:space="0" w:color="auto"/>
        <w:right w:val="none" w:sz="0" w:space="0" w:color="auto"/>
      </w:divBdr>
      <w:divsChild>
        <w:div w:id="70779219">
          <w:marLeft w:val="0"/>
          <w:marRight w:val="0"/>
          <w:marTop w:val="0"/>
          <w:marBottom w:val="0"/>
          <w:divBdr>
            <w:top w:val="none" w:sz="0" w:space="0" w:color="auto"/>
            <w:left w:val="none" w:sz="0" w:space="0" w:color="auto"/>
            <w:bottom w:val="none" w:sz="0" w:space="0" w:color="auto"/>
            <w:right w:val="none" w:sz="0" w:space="0" w:color="auto"/>
          </w:divBdr>
        </w:div>
      </w:divsChild>
    </w:div>
    <w:div w:id="1200705783">
      <w:bodyDiv w:val="1"/>
      <w:marLeft w:val="0"/>
      <w:marRight w:val="0"/>
      <w:marTop w:val="0"/>
      <w:marBottom w:val="0"/>
      <w:divBdr>
        <w:top w:val="none" w:sz="0" w:space="0" w:color="auto"/>
        <w:left w:val="none" w:sz="0" w:space="0" w:color="auto"/>
        <w:bottom w:val="none" w:sz="0" w:space="0" w:color="auto"/>
        <w:right w:val="none" w:sz="0" w:space="0" w:color="auto"/>
      </w:divBdr>
    </w:div>
    <w:div w:id="1200826548">
      <w:bodyDiv w:val="1"/>
      <w:marLeft w:val="0"/>
      <w:marRight w:val="0"/>
      <w:marTop w:val="0"/>
      <w:marBottom w:val="0"/>
      <w:divBdr>
        <w:top w:val="none" w:sz="0" w:space="0" w:color="auto"/>
        <w:left w:val="none" w:sz="0" w:space="0" w:color="auto"/>
        <w:bottom w:val="none" w:sz="0" w:space="0" w:color="auto"/>
        <w:right w:val="none" w:sz="0" w:space="0" w:color="auto"/>
      </w:divBdr>
      <w:divsChild>
        <w:div w:id="371392774">
          <w:marLeft w:val="0"/>
          <w:marRight w:val="0"/>
          <w:marTop w:val="0"/>
          <w:marBottom w:val="0"/>
          <w:divBdr>
            <w:top w:val="none" w:sz="0" w:space="0" w:color="auto"/>
            <w:left w:val="none" w:sz="0" w:space="0" w:color="auto"/>
            <w:bottom w:val="none" w:sz="0" w:space="0" w:color="auto"/>
            <w:right w:val="none" w:sz="0" w:space="0" w:color="auto"/>
          </w:divBdr>
        </w:div>
      </w:divsChild>
    </w:div>
    <w:div w:id="1210145318">
      <w:bodyDiv w:val="1"/>
      <w:marLeft w:val="0"/>
      <w:marRight w:val="0"/>
      <w:marTop w:val="0"/>
      <w:marBottom w:val="0"/>
      <w:divBdr>
        <w:top w:val="none" w:sz="0" w:space="0" w:color="auto"/>
        <w:left w:val="none" w:sz="0" w:space="0" w:color="auto"/>
        <w:bottom w:val="none" w:sz="0" w:space="0" w:color="auto"/>
        <w:right w:val="none" w:sz="0" w:space="0" w:color="auto"/>
      </w:divBdr>
      <w:divsChild>
        <w:div w:id="1039471416">
          <w:marLeft w:val="0"/>
          <w:marRight w:val="0"/>
          <w:marTop w:val="0"/>
          <w:marBottom w:val="0"/>
          <w:divBdr>
            <w:top w:val="none" w:sz="0" w:space="0" w:color="auto"/>
            <w:left w:val="none" w:sz="0" w:space="0" w:color="auto"/>
            <w:bottom w:val="none" w:sz="0" w:space="0" w:color="auto"/>
            <w:right w:val="none" w:sz="0" w:space="0" w:color="auto"/>
          </w:divBdr>
        </w:div>
      </w:divsChild>
    </w:div>
    <w:div w:id="1215697392">
      <w:bodyDiv w:val="1"/>
      <w:marLeft w:val="0"/>
      <w:marRight w:val="0"/>
      <w:marTop w:val="0"/>
      <w:marBottom w:val="0"/>
      <w:divBdr>
        <w:top w:val="none" w:sz="0" w:space="0" w:color="auto"/>
        <w:left w:val="none" w:sz="0" w:space="0" w:color="auto"/>
        <w:bottom w:val="none" w:sz="0" w:space="0" w:color="auto"/>
        <w:right w:val="none" w:sz="0" w:space="0" w:color="auto"/>
      </w:divBdr>
      <w:divsChild>
        <w:div w:id="5790271">
          <w:marLeft w:val="0"/>
          <w:marRight w:val="0"/>
          <w:marTop w:val="0"/>
          <w:marBottom w:val="0"/>
          <w:divBdr>
            <w:top w:val="none" w:sz="0" w:space="0" w:color="auto"/>
            <w:left w:val="none" w:sz="0" w:space="0" w:color="auto"/>
            <w:bottom w:val="none" w:sz="0" w:space="0" w:color="auto"/>
            <w:right w:val="none" w:sz="0" w:space="0" w:color="auto"/>
          </w:divBdr>
        </w:div>
      </w:divsChild>
    </w:div>
    <w:div w:id="1228417617">
      <w:bodyDiv w:val="1"/>
      <w:marLeft w:val="0"/>
      <w:marRight w:val="0"/>
      <w:marTop w:val="0"/>
      <w:marBottom w:val="0"/>
      <w:divBdr>
        <w:top w:val="none" w:sz="0" w:space="0" w:color="auto"/>
        <w:left w:val="none" w:sz="0" w:space="0" w:color="auto"/>
        <w:bottom w:val="none" w:sz="0" w:space="0" w:color="auto"/>
        <w:right w:val="none" w:sz="0" w:space="0" w:color="auto"/>
      </w:divBdr>
      <w:divsChild>
        <w:div w:id="612709235">
          <w:marLeft w:val="0"/>
          <w:marRight w:val="0"/>
          <w:marTop w:val="0"/>
          <w:marBottom w:val="0"/>
          <w:divBdr>
            <w:top w:val="none" w:sz="0" w:space="0" w:color="auto"/>
            <w:left w:val="none" w:sz="0" w:space="0" w:color="auto"/>
            <w:bottom w:val="none" w:sz="0" w:space="0" w:color="auto"/>
            <w:right w:val="none" w:sz="0" w:space="0" w:color="auto"/>
          </w:divBdr>
        </w:div>
      </w:divsChild>
    </w:div>
    <w:div w:id="1230504527">
      <w:bodyDiv w:val="1"/>
      <w:marLeft w:val="0"/>
      <w:marRight w:val="0"/>
      <w:marTop w:val="0"/>
      <w:marBottom w:val="0"/>
      <w:divBdr>
        <w:top w:val="none" w:sz="0" w:space="0" w:color="auto"/>
        <w:left w:val="none" w:sz="0" w:space="0" w:color="auto"/>
        <w:bottom w:val="none" w:sz="0" w:space="0" w:color="auto"/>
        <w:right w:val="none" w:sz="0" w:space="0" w:color="auto"/>
      </w:divBdr>
      <w:divsChild>
        <w:div w:id="1812208353">
          <w:marLeft w:val="0"/>
          <w:marRight w:val="0"/>
          <w:marTop w:val="0"/>
          <w:marBottom w:val="0"/>
          <w:divBdr>
            <w:top w:val="none" w:sz="0" w:space="0" w:color="auto"/>
            <w:left w:val="none" w:sz="0" w:space="0" w:color="auto"/>
            <w:bottom w:val="none" w:sz="0" w:space="0" w:color="auto"/>
            <w:right w:val="none" w:sz="0" w:space="0" w:color="auto"/>
          </w:divBdr>
        </w:div>
      </w:divsChild>
    </w:div>
    <w:div w:id="1233782639">
      <w:bodyDiv w:val="1"/>
      <w:marLeft w:val="0"/>
      <w:marRight w:val="0"/>
      <w:marTop w:val="0"/>
      <w:marBottom w:val="0"/>
      <w:divBdr>
        <w:top w:val="none" w:sz="0" w:space="0" w:color="auto"/>
        <w:left w:val="none" w:sz="0" w:space="0" w:color="auto"/>
        <w:bottom w:val="none" w:sz="0" w:space="0" w:color="auto"/>
        <w:right w:val="none" w:sz="0" w:space="0" w:color="auto"/>
      </w:divBdr>
      <w:divsChild>
        <w:div w:id="1012756887">
          <w:marLeft w:val="0"/>
          <w:marRight w:val="0"/>
          <w:marTop w:val="0"/>
          <w:marBottom w:val="0"/>
          <w:divBdr>
            <w:top w:val="none" w:sz="0" w:space="0" w:color="auto"/>
            <w:left w:val="none" w:sz="0" w:space="0" w:color="auto"/>
            <w:bottom w:val="none" w:sz="0" w:space="0" w:color="auto"/>
            <w:right w:val="none" w:sz="0" w:space="0" w:color="auto"/>
          </w:divBdr>
        </w:div>
      </w:divsChild>
    </w:div>
    <w:div w:id="1235093131">
      <w:bodyDiv w:val="1"/>
      <w:marLeft w:val="0"/>
      <w:marRight w:val="0"/>
      <w:marTop w:val="0"/>
      <w:marBottom w:val="0"/>
      <w:divBdr>
        <w:top w:val="none" w:sz="0" w:space="0" w:color="auto"/>
        <w:left w:val="none" w:sz="0" w:space="0" w:color="auto"/>
        <w:bottom w:val="none" w:sz="0" w:space="0" w:color="auto"/>
        <w:right w:val="none" w:sz="0" w:space="0" w:color="auto"/>
      </w:divBdr>
    </w:div>
    <w:div w:id="1254046342">
      <w:bodyDiv w:val="1"/>
      <w:marLeft w:val="0"/>
      <w:marRight w:val="0"/>
      <w:marTop w:val="0"/>
      <w:marBottom w:val="0"/>
      <w:divBdr>
        <w:top w:val="none" w:sz="0" w:space="0" w:color="auto"/>
        <w:left w:val="none" w:sz="0" w:space="0" w:color="auto"/>
        <w:bottom w:val="none" w:sz="0" w:space="0" w:color="auto"/>
        <w:right w:val="none" w:sz="0" w:space="0" w:color="auto"/>
      </w:divBdr>
      <w:divsChild>
        <w:div w:id="2055225741">
          <w:marLeft w:val="0"/>
          <w:marRight w:val="0"/>
          <w:marTop w:val="0"/>
          <w:marBottom w:val="0"/>
          <w:divBdr>
            <w:top w:val="none" w:sz="0" w:space="0" w:color="auto"/>
            <w:left w:val="none" w:sz="0" w:space="0" w:color="auto"/>
            <w:bottom w:val="none" w:sz="0" w:space="0" w:color="auto"/>
            <w:right w:val="none" w:sz="0" w:space="0" w:color="auto"/>
          </w:divBdr>
        </w:div>
      </w:divsChild>
    </w:div>
    <w:div w:id="1284651827">
      <w:bodyDiv w:val="1"/>
      <w:marLeft w:val="0"/>
      <w:marRight w:val="0"/>
      <w:marTop w:val="0"/>
      <w:marBottom w:val="0"/>
      <w:divBdr>
        <w:top w:val="none" w:sz="0" w:space="0" w:color="auto"/>
        <w:left w:val="none" w:sz="0" w:space="0" w:color="auto"/>
        <w:bottom w:val="none" w:sz="0" w:space="0" w:color="auto"/>
        <w:right w:val="none" w:sz="0" w:space="0" w:color="auto"/>
      </w:divBdr>
      <w:divsChild>
        <w:div w:id="707754071">
          <w:marLeft w:val="0"/>
          <w:marRight w:val="0"/>
          <w:marTop w:val="0"/>
          <w:marBottom w:val="0"/>
          <w:divBdr>
            <w:top w:val="none" w:sz="0" w:space="0" w:color="auto"/>
            <w:left w:val="none" w:sz="0" w:space="0" w:color="auto"/>
            <w:bottom w:val="none" w:sz="0" w:space="0" w:color="auto"/>
            <w:right w:val="none" w:sz="0" w:space="0" w:color="auto"/>
          </w:divBdr>
        </w:div>
      </w:divsChild>
    </w:div>
    <w:div w:id="1305698114">
      <w:bodyDiv w:val="1"/>
      <w:marLeft w:val="0"/>
      <w:marRight w:val="0"/>
      <w:marTop w:val="0"/>
      <w:marBottom w:val="0"/>
      <w:divBdr>
        <w:top w:val="none" w:sz="0" w:space="0" w:color="auto"/>
        <w:left w:val="none" w:sz="0" w:space="0" w:color="auto"/>
        <w:bottom w:val="none" w:sz="0" w:space="0" w:color="auto"/>
        <w:right w:val="none" w:sz="0" w:space="0" w:color="auto"/>
      </w:divBdr>
      <w:divsChild>
        <w:div w:id="2059162305">
          <w:marLeft w:val="0"/>
          <w:marRight w:val="0"/>
          <w:marTop w:val="0"/>
          <w:marBottom w:val="0"/>
          <w:divBdr>
            <w:top w:val="none" w:sz="0" w:space="0" w:color="auto"/>
            <w:left w:val="none" w:sz="0" w:space="0" w:color="auto"/>
            <w:bottom w:val="none" w:sz="0" w:space="0" w:color="auto"/>
            <w:right w:val="none" w:sz="0" w:space="0" w:color="auto"/>
          </w:divBdr>
        </w:div>
      </w:divsChild>
    </w:div>
    <w:div w:id="1316184929">
      <w:bodyDiv w:val="1"/>
      <w:marLeft w:val="0"/>
      <w:marRight w:val="0"/>
      <w:marTop w:val="0"/>
      <w:marBottom w:val="0"/>
      <w:divBdr>
        <w:top w:val="none" w:sz="0" w:space="0" w:color="auto"/>
        <w:left w:val="none" w:sz="0" w:space="0" w:color="auto"/>
        <w:bottom w:val="none" w:sz="0" w:space="0" w:color="auto"/>
        <w:right w:val="none" w:sz="0" w:space="0" w:color="auto"/>
      </w:divBdr>
      <w:divsChild>
        <w:div w:id="1184827751">
          <w:marLeft w:val="0"/>
          <w:marRight w:val="0"/>
          <w:marTop w:val="0"/>
          <w:marBottom w:val="0"/>
          <w:divBdr>
            <w:top w:val="none" w:sz="0" w:space="0" w:color="auto"/>
            <w:left w:val="none" w:sz="0" w:space="0" w:color="auto"/>
            <w:bottom w:val="none" w:sz="0" w:space="0" w:color="auto"/>
            <w:right w:val="none" w:sz="0" w:space="0" w:color="auto"/>
          </w:divBdr>
        </w:div>
      </w:divsChild>
    </w:div>
    <w:div w:id="1323506549">
      <w:bodyDiv w:val="1"/>
      <w:marLeft w:val="0"/>
      <w:marRight w:val="0"/>
      <w:marTop w:val="0"/>
      <w:marBottom w:val="0"/>
      <w:divBdr>
        <w:top w:val="none" w:sz="0" w:space="0" w:color="auto"/>
        <w:left w:val="none" w:sz="0" w:space="0" w:color="auto"/>
        <w:bottom w:val="none" w:sz="0" w:space="0" w:color="auto"/>
        <w:right w:val="none" w:sz="0" w:space="0" w:color="auto"/>
      </w:divBdr>
      <w:divsChild>
        <w:div w:id="143738870">
          <w:marLeft w:val="0"/>
          <w:marRight w:val="0"/>
          <w:marTop w:val="0"/>
          <w:marBottom w:val="0"/>
          <w:divBdr>
            <w:top w:val="none" w:sz="0" w:space="0" w:color="auto"/>
            <w:left w:val="none" w:sz="0" w:space="0" w:color="auto"/>
            <w:bottom w:val="none" w:sz="0" w:space="0" w:color="auto"/>
            <w:right w:val="none" w:sz="0" w:space="0" w:color="auto"/>
          </w:divBdr>
        </w:div>
      </w:divsChild>
    </w:div>
    <w:div w:id="1340473407">
      <w:bodyDiv w:val="1"/>
      <w:marLeft w:val="0"/>
      <w:marRight w:val="0"/>
      <w:marTop w:val="0"/>
      <w:marBottom w:val="0"/>
      <w:divBdr>
        <w:top w:val="none" w:sz="0" w:space="0" w:color="auto"/>
        <w:left w:val="none" w:sz="0" w:space="0" w:color="auto"/>
        <w:bottom w:val="none" w:sz="0" w:space="0" w:color="auto"/>
        <w:right w:val="none" w:sz="0" w:space="0" w:color="auto"/>
      </w:divBdr>
      <w:divsChild>
        <w:div w:id="1640574961">
          <w:marLeft w:val="0"/>
          <w:marRight w:val="0"/>
          <w:marTop w:val="0"/>
          <w:marBottom w:val="0"/>
          <w:divBdr>
            <w:top w:val="none" w:sz="0" w:space="0" w:color="auto"/>
            <w:left w:val="none" w:sz="0" w:space="0" w:color="auto"/>
            <w:bottom w:val="none" w:sz="0" w:space="0" w:color="auto"/>
            <w:right w:val="none" w:sz="0" w:space="0" w:color="auto"/>
          </w:divBdr>
        </w:div>
      </w:divsChild>
    </w:div>
    <w:div w:id="1383942072">
      <w:bodyDiv w:val="1"/>
      <w:marLeft w:val="0"/>
      <w:marRight w:val="0"/>
      <w:marTop w:val="0"/>
      <w:marBottom w:val="0"/>
      <w:divBdr>
        <w:top w:val="none" w:sz="0" w:space="0" w:color="auto"/>
        <w:left w:val="none" w:sz="0" w:space="0" w:color="auto"/>
        <w:bottom w:val="none" w:sz="0" w:space="0" w:color="auto"/>
        <w:right w:val="none" w:sz="0" w:space="0" w:color="auto"/>
      </w:divBdr>
    </w:div>
    <w:div w:id="1393772698">
      <w:bodyDiv w:val="1"/>
      <w:marLeft w:val="0"/>
      <w:marRight w:val="0"/>
      <w:marTop w:val="0"/>
      <w:marBottom w:val="0"/>
      <w:divBdr>
        <w:top w:val="none" w:sz="0" w:space="0" w:color="auto"/>
        <w:left w:val="none" w:sz="0" w:space="0" w:color="auto"/>
        <w:bottom w:val="none" w:sz="0" w:space="0" w:color="auto"/>
        <w:right w:val="none" w:sz="0" w:space="0" w:color="auto"/>
      </w:divBdr>
      <w:divsChild>
        <w:div w:id="1364019304">
          <w:marLeft w:val="0"/>
          <w:marRight w:val="0"/>
          <w:marTop w:val="0"/>
          <w:marBottom w:val="0"/>
          <w:divBdr>
            <w:top w:val="none" w:sz="0" w:space="0" w:color="auto"/>
            <w:left w:val="none" w:sz="0" w:space="0" w:color="auto"/>
            <w:bottom w:val="none" w:sz="0" w:space="0" w:color="auto"/>
            <w:right w:val="none" w:sz="0" w:space="0" w:color="auto"/>
          </w:divBdr>
        </w:div>
      </w:divsChild>
    </w:div>
    <w:div w:id="1432773013">
      <w:bodyDiv w:val="1"/>
      <w:marLeft w:val="0"/>
      <w:marRight w:val="0"/>
      <w:marTop w:val="0"/>
      <w:marBottom w:val="0"/>
      <w:divBdr>
        <w:top w:val="none" w:sz="0" w:space="0" w:color="auto"/>
        <w:left w:val="none" w:sz="0" w:space="0" w:color="auto"/>
        <w:bottom w:val="none" w:sz="0" w:space="0" w:color="auto"/>
        <w:right w:val="none" w:sz="0" w:space="0" w:color="auto"/>
      </w:divBdr>
      <w:divsChild>
        <w:div w:id="4792691">
          <w:marLeft w:val="0"/>
          <w:marRight w:val="0"/>
          <w:marTop w:val="0"/>
          <w:marBottom w:val="0"/>
          <w:divBdr>
            <w:top w:val="none" w:sz="0" w:space="0" w:color="auto"/>
            <w:left w:val="none" w:sz="0" w:space="0" w:color="auto"/>
            <w:bottom w:val="none" w:sz="0" w:space="0" w:color="auto"/>
            <w:right w:val="none" w:sz="0" w:space="0" w:color="auto"/>
          </w:divBdr>
        </w:div>
      </w:divsChild>
    </w:div>
    <w:div w:id="1433553183">
      <w:bodyDiv w:val="1"/>
      <w:marLeft w:val="0"/>
      <w:marRight w:val="0"/>
      <w:marTop w:val="0"/>
      <w:marBottom w:val="0"/>
      <w:divBdr>
        <w:top w:val="none" w:sz="0" w:space="0" w:color="auto"/>
        <w:left w:val="none" w:sz="0" w:space="0" w:color="auto"/>
        <w:bottom w:val="none" w:sz="0" w:space="0" w:color="auto"/>
        <w:right w:val="none" w:sz="0" w:space="0" w:color="auto"/>
      </w:divBdr>
      <w:divsChild>
        <w:div w:id="1223130987">
          <w:marLeft w:val="0"/>
          <w:marRight w:val="0"/>
          <w:marTop w:val="0"/>
          <w:marBottom w:val="0"/>
          <w:divBdr>
            <w:top w:val="none" w:sz="0" w:space="0" w:color="auto"/>
            <w:left w:val="none" w:sz="0" w:space="0" w:color="auto"/>
            <w:bottom w:val="none" w:sz="0" w:space="0" w:color="auto"/>
            <w:right w:val="none" w:sz="0" w:space="0" w:color="auto"/>
          </w:divBdr>
        </w:div>
      </w:divsChild>
    </w:div>
    <w:div w:id="1481188783">
      <w:bodyDiv w:val="1"/>
      <w:marLeft w:val="0"/>
      <w:marRight w:val="0"/>
      <w:marTop w:val="0"/>
      <w:marBottom w:val="0"/>
      <w:divBdr>
        <w:top w:val="none" w:sz="0" w:space="0" w:color="auto"/>
        <w:left w:val="none" w:sz="0" w:space="0" w:color="auto"/>
        <w:bottom w:val="none" w:sz="0" w:space="0" w:color="auto"/>
        <w:right w:val="none" w:sz="0" w:space="0" w:color="auto"/>
      </w:divBdr>
      <w:divsChild>
        <w:div w:id="879511095">
          <w:marLeft w:val="0"/>
          <w:marRight w:val="0"/>
          <w:marTop w:val="0"/>
          <w:marBottom w:val="0"/>
          <w:divBdr>
            <w:top w:val="none" w:sz="0" w:space="0" w:color="auto"/>
            <w:left w:val="none" w:sz="0" w:space="0" w:color="auto"/>
            <w:bottom w:val="none" w:sz="0" w:space="0" w:color="auto"/>
            <w:right w:val="none" w:sz="0" w:space="0" w:color="auto"/>
          </w:divBdr>
        </w:div>
      </w:divsChild>
    </w:div>
    <w:div w:id="1509321870">
      <w:bodyDiv w:val="1"/>
      <w:marLeft w:val="0"/>
      <w:marRight w:val="0"/>
      <w:marTop w:val="0"/>
      <w:marBottom w:val="0"/>
      <w:divBdr>
        <w:top w:val="none" w:sz="0" w:space="0" w:color="auto"/>
        <w:left w:val="none" w:sz="0" w:space="0" w:color="auto"/>
        <w:bottom w:val="none" w:sz="0" w:space="0" w:color="auto"/>
        <w:right w:val="none" w:sz="0" w:space="0" w:color="auto"/>
      </w:divBdr>
      <w:divsChild>
        <w:div w:id="401146272">
          <w:marLeft w:val="0"/>
          <w:marRight w:val="0"/>
          <w:marTop w:val="0"/>
          <w:marBottom w:val="0"/>
          <w:divBdr>
            <w:top w:val="none" w:sz="0" w:space="0" w:color="auto"/>
            <w:left w:val="none" w:sz="0" w:space="0" w:color="auto"/>
            <w:bottom w:val="none" w:sz="0" w:space="0" w:color="auto"/>
            <w:right w:val="none" w:sz="0" w:space="0" w:color="auto"/>
          </w:divBdr>
        </w:div>
      </w:divsChild>
    </w:div>
    <w:div w:id="1515263364">
      <w:bodyDiv w:val="1"/>
      <w:marLeft w:val="0"/>
      <w:marRight w:val="0"/>
      <w:marTop w:val="0"/>
      <w:marBottom w:val="0"/>
      <w:divBdr>
        <w:top w:val="none" w:sz="0" w:space="0" w:color="auto"/>
        <w:left w:val="none" w:sz="0" w:space="0" w:color="auto"/>
        <w:bottom w:val="none" w:sz="0" w:space="0" w:color="auto"/>
        <w:right w:val="none" w:sz="0" w:space="0" w:color="auto"/>
      </w:divBdr>
      <w:divsChild>
        <w:div w:id="872503932">
          <w:marLeft w:val="0"/>
          <w:marRight w:val="0"/>
          <w:marTop w:val="0"/>
          <w:marBottom w:val="0"/>
          <w:divBdr>
            <w:top w:val="none" w:sz="0" w:space="0" w:color="auto"/>
            <w:left w:val="none" w:sz="0" w:space="0" w:color="auto"/>
            <w:bottom w:val="none" w:sz="0" w:space="0" w:color="auto"/>
            <w:right w:val="none" w:sz="0" w:space="0" w:color="auto"/>
          </w:divBdr>
        </w:div>
      </w:divsChild>
    </w:div>
    <w:div w:id="1555458390">
      <w:bodyDiv w:val="1"/>
      <w:marLeft w:val="0"/>
      <w:marRight w:val="0"/>
      <w:marTop w:val="0"/>
      <w:marBottom w:val="0"/>
      <w:divBdr>
        <w:top w:val="none" w:sz="0" w:space="0" w:color="auto"/>
        <w:left w:val="none" w:sz="0" w:space="0" w:color="auto"/>
        <w:bottom w:val="none" w:sz="0" w:space="0" w:color="auto"/>
        <w:right w:val="none" w:sz="0" w:space="0" w:color="auto"/>
      </w:divBdr>
      <w:divsChild>
        <w:div w:id="1982077145">
          <w:marLeft w:val="0"/>
          <w:marRight w:val="0"/>
          <w:marTop w:val="0"/>
          <w:marBottom w:val="0"/>
          <w:divBdr>
            <w:top w:val="none" w:sz="0" w:space="0" w:color="auto"/>
            <w:left w:val="none" w:sz="0" w:space="0" w:color="auto"/>
            <w:bottom w:val="none" w:sz="0" w:space="0" w:color="auto"/>
            <w:right w:val="none" w:sz="0" w:space="0" w:color="auto"/>
          </w:divBdr>
        </w:div>
      </w:divsChild>
    </w:div>
    <w:div w:id="1590967462">
      <w:bodyDiv w:val="1"/>
      <w:marLeft w:val="0"/>
      <w:marRight w:val="0"/>
      <w:marTop w:val="0"/>
      <w:marBottom w:val="0"/>
      <w:divBdr>
        <w:top w:val="none" w:sz="0" w:space="0" w:color="auto"/>
        <w:left w:val="none" w:sz="0" w:space="0" w:color="auto"/>
        <w:bottom w:val="none" w:sz="0" w:space="0" w:color="auto"/>
        <w:right w:val="none" w:sz="0" w:space="0" w:color="auto"/>
      </w:divBdr>
      <w:divsChild>
        <w:div w:id="1616907988">
          <w:marLeft w:val="0"/>
          <w:marRight w:val="0"/>
          <w:marTop w:val="0"/>
          <w:marBottom w:val="0"/>
          <w:divBdr>
            <w:top w:val="none" w:sz="0" w:space="0" w:color="auto"/>
            <w:left w:val="none" w:sz="0" w:space="0" w:color="auto"/>
            <w:bottom w:val="none" w:sz="0" w:space="0" w:color="auto"/>
            <w:right w:val="none" w:sz="0" w:space="0" w:color="auto"/>
          </w:divBdr>
        </w:div>
      </w:divsChild>
    </w:div>
    <w:div w:id="1597782942">
      <w:bodyDiv w:val="1"/>
      <w:marLeft w:val="0"/>
      <w:marRight w:val="0"/>
      <w:marTop w:val="0"/>
      <w:marBottom w:val="0"/>
      <w:divBdr>
        <w:top w:val="none" w:sz="0" w:space="0" w:color="auto"/>
        <w:left w:val="none" w:sz="0" w:space="0" w:color="auto"/>
        <w:bottom w:val="none" w:sz="0" w:space="0" w:color="auto"/>
        <w:right w:val="none" w:sz="0" w:space="0" w:color="auto"/>
      </w:divBdr>
    </w:div>
    <w:div w:id="1599870085">
      <w:bodyDiv w:val="1"/>
      <w:marLeft w:val="0"/>
      <w:marRight w:val="0"/>
      <w:marTop w:val="0"/>
      <w:marBottom w:val="0"/>
      <w:divBdr>
        <w:top w:val="none" w:sz="0" w:space="0" w:color="auto"/>
        <w:left w:val="none" w:sz="0" w:space="0" w:color="auto"/>
        <w:bottom w:val="none" w:sz="0" w:space="0" w:color="auto"/>
        <w:right w:val="none" w:sz="0" w:space="0" w:color="auto"/>
      </w:divBdr>
      <w:divsChild>
        <w:div w:id="420372312">
          <w:marLeft w:val="0"/>
          <w:marRight w:val="0"/>
          <w:marTop w:val="0"/>
          <w:marBottom w:val="0"/>
          <w:divBdr>
            <w:top w:val="none" w:sz="0" w:space="0" w:color="auto"/>
            <w:left w:val="none" w:sz="0" w:space="0" w:color="auto"/>
            <w:bottom w:val="none" w:sz="0" w:space="0" w:color="auto"/>
            <w:right w:val="none" w:sz="0" w:space="0" w:color="auto"/>
          </w:divBdr>
        </w:div>
      </w:divsChild>
    </w:div>
    <w:div w:id="1609316825">
      <w:bodyDiv w:val="1"/>
      <w:marLeft w:val="0"/>
      <w:marRight w:val="0"/>
      <w:marTop w:val="0"/>
      <w:marBottom w:val="0"/>
      <w:divBdr>
        <w:top w:val="none" w:sz="0" w:space="0" w:color="auto"/>
        <w:left w:val="none" w:sz="0" w:space="0" w:color="auto"/>
        <w:bottom w:val="none" w:sz="0" w:space="0" w:color="auto"/>
        <w:right w:val="none" w:sz="0" w:space="0" w:color="auto"/>
      </w:divBdr>
    </w:div>
    <w:div w:id="1627078276">
      <w:bodyDiv w:val="1"/>
      <w:marLeft w:val="0"/>
      <w:marRight w:val="0"/>
      <w:marTop w:val="0"/>
      <w:marBottom w:val="0"/>
      <w:divBdr>
        <w:top w:val="none" w:sz="0" w:space="0" w:color="auto"/>
        <w:left w:val="none" w:sz="0" w:space="0" w:color="auto"/>
        <w:bottom w:val="none" w:sz="0" w:space="0" w:color="auto"/>
        <w:right w:val="none" w:sz="0" w:space="0" w:color="auto"/>
      </w:divBdr>
      <w:divsChild>
        <w:div w:id="716006833">
          <w:marLeft w:val="0"/>
          <w:marRight w:val="0"/>
          <w:marTop w:val="0"/>
          <w:marBottom w:val="0"/>
          <w:divBdr>
            <w:top w:val="none" w:sz="0" w:space="0" w:color="auto"/>
            <w:left w:val="none" w:sz="0" w:space="0" w:color="auto"/>
            <w:bottom w:val="none" w:sz="0" w:space="0" w:color="auto"/>
            <w:right w:val="none" w:sz="0" w:space="0" w:color="auto"/>
          </w:divBdr>
        </w:div>
      </w:divsChild>
    </w:div>
    <w:div w:id="1633099116">
      <w:bodyDiv w:val="1"/>
      <w:marLeft w:val="0"/>
      <w:marRight w:val="0"/>
      <w:marTop w:val="0"/>
      <w:marBottom w:val="0"/>
      <w:divBdr>
        <w:top w:val="none" w:sz="0" w:space="0" w:color="auto"/>
        <w:left w:val="none" w:sz="0" w:space="0" w:color="auto"/>
        <w:bottom w:val="none" w:sz="0" w:space="0" w:color="auto"/>
        <w:right w:val="none" w:sz="0" w:space="0" w:color="auto"/>
      </w:divBdr>
      <w:divsChild>
        <w:div w:id="211162092">
          <w:marLeft w:val="0"/>
          <w:marRight w:val="0"/>
          <w:marTop w:val="0"/>
          <w:marBottom w:val="0"/>
          <w:divBdr>
            <w:top w:val="none" w:sz="0" w:space="0" w:color="auto"/>
            <w:left w:val="none" w:sz="0" w:space="0" w:color="auto"/>
            <w:bottom w:val="none" w:sz="0" w:space="0" w:color="auto"/>
            <w:right w:val="none" w:sz="0" w:space="0" w:color="auto"/>
          </w:divBdr>
        </w:div>
      </w:divsChild>
    </w:div>
    <w:div w:id="1679890395">
      <w:bodyDiv w:val="1"/>
      <w:marLeft w:val="0"/>
      <w:marRight w:val="0"/>
      <w:marTop w:val="0"/>
      <w:marBottom w:val="0"/>
      <w:divBdr>
        <w:top w:val="none" w:sz="0" w:space="0" w:color="auto"/>
        <w:left w:val="none" w:sz="0" w:space="0" w:color="auto"/>
        <w:bottom w:val="none" w:sz="0" w:space="0" w:color="auto"/>
        <w:right w:val="none" w:sz="0" w:space="0" w:color="auto"/>
      </w:divBdr>
      <w:divsChild>
        <w:div w:id="2053068435">
          <w:marLeft w:val="0"/>
          <w:marRight w:val="0"/>
          <w:marTop w:val="0"/>
          <w:marBottom w:val="0"/>
          <w:divBdr>
            <w:top w:val="none" w:sz="0" w:space="0" w:color="auto"/>
            <w:left w:val="none" w:sz="0" w:space="0" w:color="auto"/>
            <w:bottom w:val="none" w:sz="0" w:space="0" w:color="auto"/>
            <w:right w:val="none" w:sz="0" w:space="0" w:color="auto"/>
          </w:divBdr>
        </w:div>
      </w:divsChild>
    </w:div>
    <w:div w:id="1687175965">
      <w:bodyDiv w:val="1"/>
      <w:marLeft w:val="0"/>
      <w:marRight w:val="0"/>
      <w:marTop w:val="0"/>
      <w:marBottom w:val="0"/>
      <w:divBdr>
        <w:top w:val="none" w:sz="0" w:space="0" w:color="auto"/>
        <w:left w:val="none" w:sz="0" w:space="0" w:color="auto"/>
        <w:bottom w:val="none" w:sz="0" w:space="0" w:color="auto"/>
        <w:right w:val="none" w:sz="0" w:space="0" w:color="auto"/>
      </w:divBdr>
      <w:divsChild>
        <w:div w:id="398985122">
          <w:marLeft w:val="0"/>
          <w:marRight w:val="0"/>
          <w:marTop w:val="0"/>
          <w:marBottom w:val="0"/>
          <w:divBdr>
            <w:top w:val="none" w:sz="0" w:space="0" w:color="auto"/>
            <w:left w:val="none" w:sz="0" w:space="0" w:color="auto"/>
            <w:bottom w:val="none" w:sz="0" w:space="0" w:color="auto"/>
            <w:right w:val="none" w:sz="0" w:space="0" w:color="auto"/>
          </w:divBdr>
        </w:div>
      </w:divsChild>
    </w:div>
    <w:div w:id="1707371436">
      <w:bodyDiv w:val="1"/>
      <w:marLeft w:val="0"/>
      <w:marRight w:val="0"/>
      <w:marTop w:val="0"/>
      <w:marBottom w:val="0"/>
      <w:divBdr>
        <w:top w:val="none" w:sz="0" w:space="0" w:color="auto"/>
        <w:left w:val="none" w:sz="0" w:space="0" w:color="auto"/>
        <w:bottom w:val="none" w:sz="0" w:space="0" w:color="auto"/>
        <w:right w:val="none" w:sz="0" w:space="0" w:color="auto"/>
      </w:divBdr>
      <w:divsChild>
        <w:div w:id="1081367648">
          <w:marLeft w:val="0"/>
          <w:marRight w:val="0"/>
          <w:marTop w:val="0"/>
          <w:marBottom w:val="0"/>
          <w:divBdr>
            <w:top w:val="none" w:sz="0" w:space="0" w:color="auto"/>
            <w:left w:val="none" w:sz="0" w:space="0" w:color="auto"/>
            <w:bottom w:val="none" w:sz="0" w:space="0" w:color="auto"/>
            <w:right w:val="none" w:sz="0" w:space="0" w:color="auto"/>
          </w:divBdr>
        </w:div>
      </w:divsChild>
    </w:div>
    <w:div w:id="1715038792">
      <w:bodyDiv w:val="1"/>
      <w:marLeft w:val="0"/>
      <w:marRight w:val="0"/>
      <w:marTop w:val="0"/>
      <w:marBottom w:val="0"/>
      <w:divBdr>
        <w:top w:val="none" w:sz="0" w:space="0" w:color="auto"/>
        <w:left w:val="none" w:sz="0" w:space="0" w:color="auto"/>
        <w:bottom w:val="none" w:sz="0" w:space="0" w:color="auto"/>
        <w:right w:val="none" w:sz="0" w:space="0" w:color="auto"/>
      </w:divBdr>
      <w:divsChild>
        <w:div w:id="1341271182">
          <w:marLeft w:val="0"/>
          <w:marRight w:val="0"/>
          <w:marTop w:val="0"/>
          <w:marBottom w:val="0"/>
          <w:divBdr>
            <w:top w:val="none" w:sz="0" w:space="0" w:color="auto"/>
            <w:left w:val="none" w:sz="0" w:space="0" w:color="auto"/>
            <w:bottom w:val="none" w:sz="0" w:space="0" w:color="auto"/>
            <w:right w:val="none" w:sz="0" w:space="0" w:color="auto"/>
          </w:divBdr>
        </w:div>
      </w:divsChild>
    </w:div>
    <w:div w:id="1737850282">
      <w:bodyDiv w:val="1"/>
      <w:marLeft w:val="0"/>
      <w:marRight w:val="0"/>
      <w:marTop w:val="0"/>
      <w:marBottom w:val="0"/>
      <w:divBdr>
        <w:top w:val="none" w:sz="0" w:space="0" w:color="auto"/>
        <w:left w:val="none" w:sz="0" w:space="0" w:color="auto"/>
        <w:bottom w:val="none" w:sz="0" w:space="0" w:color="auto"/>
        <w:right w:val="none" w:sz="0" w:space="0" w:color="auto"/>
      </w:divBdr>
      <w:divsChild>
        <w:div w:id="392392434">
          <w:marLeft w:val="0"/>
          <w:marRight w:val="0"/>
          <w:marTop w:val="0"/>
          <w:marBottom w:val="0"/>
          <w:divBdr>
            <w:top w:val="none" w:sz="0" w:space="0" w:color="auto"/>
            <w:left w:val="none" w:sz="0" w:space="0" w:color="auto"/>
            <w:bottom w:val="none" w:sz="0" w:space="0" w:color="auto"/>
            <w:right w:val="none" w:sz="0" w:space="0" w:color="auto"/>
          </w:divBdr>
        </w:div>
      </w:divsChild>
    </w:div>
    <w:div w:id="1748529511">
      <w:bodyDiv w:val="1"/>
      <w:marLeft w:val="0"/>
      <w:marRight w:val="0"/>
      <w:marTop w:val="0"/>
      <w:marBottom w:val="0"/>
      <w:divBdr>
        <w:top w:val="none" w:sz="0" w:space="0" w:color="auto"/>
        <w:left w:val="none" w:sz="0" w:space="0" w:color="auto"/>
        <w:bottom w:val="none" w:sz="0" w:space="0" w:color="auto"/>
        <w:right w:val="none" w:sz="0" w:space="0" w:color="auto"/>
      </w:divBdr>
    </w:div>
    <w:div w:id="1757895939">
      <w:bodyDiv w:val="1"/>
      <w:marLeft w:val="0"/>
      <w:marRight w:val="0"/>
      <w:marTop w:val="0"/>
      <w:marBottom w:val="0"/>
      <w:divBdr>
        <w:top w:val="none" w:sz="0" w:space="0" w:color="auto"/>
        <w:left w:val="none" w:sz="0" w:space="0" w:color="auto"/>
        <w:bottom w:val="none" w:sz="0" w:space="0" w:color="auto"/>
        <w:right w:val="none" w:sz="0" w:space="0" w:color="auto"/>
      </w:divBdr>
    </w:div>
    <w:div w:id="1779371111">
      <w:bodyDiv w:val="1"/>
      <w:marLeft w:val="0"/>
      <w:marRight w:val="0"/>
      <w:marTop w:val="0"/>
      <w:marBottom w:val="0"/>
      <w:divBdr>
        <w:top w:val="none" w:sz="0" w:space="0" w:color="auto"/>
        <w:left w:val="none" w:sz="0" w:space="0" w:color="auto"/>
        <w:bottom w:val="none" w:sz="0" w:space="0" w:color="auto"/>
        <w:right w:val="none" w:sz="0" w:space="0" w:color="auto"/>
      </w:divBdr>
      <w:divsChild>
        <w:div w:id="1309095676">
          <w:marLeft w:val="0"/>
          <w:marRight w:val="0"/>
          <w:marTop w:val="0"/>
          <w:marBottom w:val="0"/>
          <w:divBdr>
            <w:top w:val="none" w:sz="0" w:space="0" w:color="auto"/>
            <w:left w:val="none" w:sz="0" w:space="0" w:color="auto"/>
            <w:bottom w:val="none" w:sz="0" w:space="0" w:color="auto"/>
            <w:right w:val="none" w:sz="0" w:space="0" w:color="auto"/>
          </w:divBdr>
        </w:div>
      </w:divsChild>
    </w:div>
    <w:div w:id="1826555913">
      <w:bodyDiv w:val="1"/>
      <w:marLeft w:val="0"/>
      <w:marRight w:val="0"/>
      <w:marTop w:val="0"/>
      <w:marBottom w:val="0"/>
      <w:divBdr>
        <w:top w:val="none" w:sz="0" w:space="0" w:color="auto"/>
        <w:left w:val="none" w:sz="0" w:space="0" w:color="auto"/>
        <w:bottom w:val="none" w:sz="0" w:space="0" w:color="auto"/>
        <w:right w:val="none" w:sz="0" w:space="0" w:color="auto"/>
      </w:divBdr>
      <w:divsChild>
        <w:div w:id="564338533">
          <w:marLeft w:val="0"/>
          <w:marRight w:val="0"/>
          <w:marTop w:val="0"/>
          <w:marBottom w:val="0"/>
          <w:divBdr>
            <w:top w:val="none" w:sz="0" w:space="0" w:color="auto"/>
            <w:left w:val="none" w:sz="0" w:space="0" w:color="auto"/>
            <w:bottom w:val="none" w:sz="0" w:space="0" w:color="auto"/>
            <w:right w:val="none" w:sz="0" w:space="0" w:color="auto"/>
          </w:divBdr>
        </w:div>
      </w:divsChild>
    </w:div>
    <w:div w:id="1838618425">
      <w:bodyDiv w:val="1"/>
      <w:marLeft w:val="0"/>
      <w:marRight w:val="0"/>
      <w:marTop w:val="0"/>
      <w:marBottom w:val="0"/>
      <w:divBdr>
        <w:top w:val="none" w:sz="0" w:space="0" w:color="auto"/>
        <w:left w:val="none" w:sz="0" w:space="0" w:color="auto"/>
        <w:bottom w:val="none" w:sz="0" w:space="0" w:color="auto"/>
        <w:right w:val="none" w:sz="0" w:space="0" w:color="auto"/>
      </w:divBdr>
      <w:divsChild>
        <w:div w:id="802039109">
          <w:marLeft w:val="0"/>
          <w:marRight w:val="0"/>
          <w:marTop w:val="0"/>
          <w:marBottom w:val="0"/>
          <w:divBdr>
            <w:top w:val="none" w:sz="0" w:space="0" w:color="auto"/>
            <w:left w:val="none" w:sz="0" w:space="0" w:color="auto"/>
            <w:bottom w:val="none" w:sz="0" w:space="0" w:color="auto"/>
            <w:right w:val="none" w:sz="0" w:space="0" w:color="auto"/>
          </w:divBdr>
        </w:div>
      </w:divsChild>
    </w:div>
    <w:div w:id="1866478470">
      <w:bodyDiv w:val="1"/>
      <w:marLeft w:val="0"/>
      <w:marRight w:val="0"/>
      <w:marTop w:val="0"/>
      <w:marBottom w:val="0"/>
      <w:divBdr>
        <w:top w:val="none" w:sz="0" w:space="0" w:color="auto"/>
        <w:left w:val="none" w:sz="0" w:space="0" w:color="auto"/>
        <w:bottom w:val="none" w:sz="0" w:space="0" w:color="auto"/>
        <w:right w:val="none" w:sz="0" w:space="0" w:color="auto"/>
      </w:divBdr>
    </w:div>
    <w:div w:id="1883243977">
      <w:bodyDiv w:val="1"/>
      <w:marLeft w:val="0"/>
      <w:marRight w:val="0"/>
      <w:marTop w:val="0"/>
      <w:marBottom w:val="0"/>
      <w:divBdr>
        <w:top w:val="none" w:sz="0" w:space="0" w:color="auto"/>
        <w:left w:val="none" w:sz="0" w:space="0" w:color="auto"/>
        <w:bottom w:val="none" w:sz="0" w:space="0" w:color="auto"/>
        <w:right w:val="none" w:sz="0" w:space="0" w:color="auto"/>
      </w:divBdr>
      <w:divsChild>
        <w:div w:id="501120806">
          <w:marLeft w:val="0"/>
          <w:marRight w:val="0"/>
          <w:marTop w:val="0"/>
          <w:marBottom w:val="0"/>
          <w:divBdr>
            <w:top w:val="none" w:sz="0" w:space="0" w:color="auto"/>
            <w:left w:val="none" w:sz="0" w:space="0" w:color="auto"/>
            <w:bottom w:val="none" w:sz="0" w:space="0" w:color="auto"/>
            <w:right w:val="none" w:sz="0" w:space="0" w:color="auto"/>
          </w:divBdr>
        </w:div>
      </w:divsChild>
    </w:div>
    <w:div w:id="1884059170">
      <w:bodyDiv w:val="1"/>
      <w:marLeft w:val="0"/>
      <w:marRight w:val="0"/>
      <w:marTop w:val="0"/>
      <w:marBottom w:val="0"/>
      <w:divBdr>
        <w:top w:val="none" w:sz="0" w:space="0" w:color="auto"/>
        <w:left w:val="none" w:sz="0" w:space="0" w:color="auto"/>
        <w:bottom w:val="none" w:sz="0" w:space="0" w:color="auto"/>
        <w:right w:val="none" w:sz="0" w:space="0" w:color="auto"/>
      </w:divBdr>
    </w:div>
    <w:div w:id="1884249444">
      <w:bodyDiv w:val="1"/>
      <w:marLeft w:val="0"/>
      <w:marRight w:val="0"/>
      <w:marTop w:val="0"/>
      <w:marBottom w:val="0"/>
      <w:divBdr>
        <w:top w:val="none" w:sz="0" w:space="0" w:color="auto"/>
        <w:left w:val="none" w:sz="0" w:space="0" w:color="auto"/>
        <w:bottom w:val="none" w:sz="0" w:space="0" w:color="auto"/>
        <w:right w:val="none" w:sz="0" w:space="0" w:color="auto"/>
      </w:divBdr>
    </w:div>
    <w:div w:id="1904489061">
      <w:bodyDiv w:val="1"/>
      <w:marLeft w:val="0"/>
      <w:marRight w:val="0"/>
      <w:marTop w:val="0"/>
      <w:marBottom w:val="0"/>
      <w:divBdr>
        <w:top w:val="none" w:sz="0" w:space="0" w:color="auto"/>
        <w:left w:val="none" w:sz="0" w:space="0" w:color="auto"/>
        <w:bottom w:val="none" w:sz="0" w:space="0" w:color="auto"/>
        <w:right w:val="none" w:sz="0" w:space="0" w:color="auto"/>
      </w:divBdr>
    </w:div>
    <w:div w:id="1909221177">
      <w:bodyDiv w:val="1"/>
      <w:marLeft w:val="0"/>
      <w:marRight w:val="0"/>
      <w:marTop w:val="0"/>
      <w:marBottom w:val="0"/>
      <w:divBdr>
        <w:top w:val="none" w:sz="0" w:space="0" w:color="auto"/>
        <w:left w:val="none" w:sz="0" w:space="0" w:color="auto"/>
        <w:bottom w:val="none" w:sz="0" w:space="0" w:color="auto"/>
        <w:right w:val="none" w:sz="0" w:space="0" w:color="auto"/>
      </w:divBdr>
    </w:div>
    <w:div w:id="1909531474">
      <w:bodyDiv w:val="1"/>
      <w:marLeft w:val="0"/>
      <w:marRight w:val="0"/>
      <w:marTop w:val="0"/>
      <w:marBottom w:val="0"/>
      <w:divBdr>
        <w:top w:val="none" w:sz="0" w:space="0" w:color="auto"/>
        <w:left w:val="none" w:sz="0" w:space="0" w:color="auto"/>
        <w:bottom w:val="none" w:sz="0" w:space="0" w:color="auto"/>
        <w:right w:val="none" w:sz="0" w:space="0" w:color="auto"/>
      </w:divBdr>
      <w:divsChild>
        <w:div w:id="894701892">
          <w:marLeft w:val="0"/>
          <w:marRight w:val="0"/>
          <w:marTop w:val="0"/>
          <w:marBottom w:val="0"/>
          <w:divBdr>
            <w:top w:val="none" w:sz="0" w:space="0" w:color="auto"/>
            <w:left w:val="none" w:sz="0" w:space="0" w:color="auto"/>
            <w:bottom w:val="none" w:sz="0" w:space="0" w:color="auto"/>
            <w:right w:val="none" w:sz="0" w:space="0" w:color="auto"/>
          </w:divBdr>
        </w:div>
      </w:divsChild>
    </w:div>
    <w:div w:id="1932664236">
      <w:bodyDiv w:val="1"/>
      <w:marLeft w:val="0"/>
      <w:marRight w:val="0"/>
      <w:marTop w:val="0"/>
      <w:marBottom w:val="0"/>
      <w:divBdr>
        <w:top w:val="none" w:sz="0" w:space="0" w:color="auto"/>
        <w:left w:val="none" w:sz="0" w:space="0" w:color="auto"/>
        <w:bottom w:val="none" w:sz="0" w:space="0" w:color="auto"/>
        <w:right w:val="none" w:sz="0" w:space="0" w:color="auto"/>
      </w:divBdr>
      <w:divsChild>
        <w:div w:id="1072654500">
          <w:marLeft w:val="0"/>
          <w:marRight w:val="0"/>
          <w:marTop w:val="0"/>
          <w:marBottom w:val="0"/>
          <w:divBdr>
            <w:top w:val="none" w:sz="0" w:space="0" w:color="auto"/>
            <w:left w:val="none" w:sz="0" w:space="0" w:color="auto"/>
            <w:bottom w:val="none" w:sz="0" w:space="0" w:color="auto"/>
            <w:right w:val="none" w:sz="0" w:space="0" w:color="auto"/>
          </w:divBdr>
        </w:div>
      </w:divsChild>
    </w:div>
    <w:div w:id="1942638317">
      <w:bodyDiv w:val="1"/>
      <w:marLeft w:val="0"/>
      <w:marRight w:val="0"/>
      <w:marTop w:val="0"/>
      <w:marBottom w:val="0"/>
      <w:divBdr>
        <w:top w:val="none" w:sz="0" w:space="0" w:color="auto"/>
        <w:left w:val="none" w:sz="0" w:space="0" w:color="auto"/>
        <w:bottom w:val="none" w:sz="0" w:space="0" w:color="auto"/>
        <w:right w:val="none" w:sz="0" w:space="0" w:color="auto"/>
      </w:divBdr>
    </w:div>
    <w:div w:id="1958171254">
      <w:bodyDiv w:val="1"/>
      <w:marLeft w:val="0"/>
      <w:marRight w:val="0"/>
      <w:marTop w:val="0"/>
      <w:marBottom w:val="0"/>
      <w:divBdr>
        <w:top w:val="none" w:sz="0" w:space="0" w:color="auto"/>
        <w:left w:val="none" w:sz="0" w:space="0" w:color="auto"/>
        <w:bottom w:val="none" w:sz="0" w:space="0" w:color="auto"/>
        <w:right w:val="none" w:sz="0" w:space="0" w:color="auto"/>
      </w:divBdr>
      <w:divsChild>
        <w:div w:id="1853837547">
          <w:marLeft w:val="0"/>
          <w:marRight w:val="0"/>
          <w:marTop w:val="0"/>
          <w:marBottom w:val="0"/>
          <w:divBdr>
            <w:top w:val="none" w:sz="0" w:space="0" w:color="auto"/>
            <w:left w:val="none" w:sz="0" w:space="0" w:color="auto"/>
            <w:bottom w:val="none" w:sz="0" w:space="0" w:color="auto"/>
            <w:right w:val="none" w:sz="0" w:space="0" w:color="auto"/>
          </w:divBdr>
        </w:div>
      </w:divsChild>
    </w:div>
    <w:div w:id="1960211769">
      <w:bodyDiv w:val="1"/>
      <w:marLeft w:val="0"/>
      <w:marRight w:val="0"/>
      <w:marTop w:val="0"/>
      <w:marBottom w:val="0"/>
      <w:divBdr>
        <w:top w:val="none" w:sz="0" w:space="0" w:color="auto"/>
        <w:left w:val="none" w:sz="0" w:space="0" w:color="auto"/>
        <w:bottom w:val="none" w:sz="0" w:space="0" w:color="auto"/>
        <w:right w:val="none" w:sz="0" w:space="0" w:color="auto"/>
      </w:divBdr>
    </w:div>
    <w:div w:id="1971130601">
      <w:bodyDiv w:val="1"/>
      <w:marLeft w:val="0"/>
      <w:marRight w:val="0"/>
      <w:marTop w:val="0"/>
      <w:marBottom w:val="0"/>
      <w:divBdr>
        <w:top w:val="none" w:sz="0" w:space="0" w:color="auto"/>
        <w:left w:val="none" w:sz="0" w:space="0" w:color="auto"/>
        <w:bottom w:val="none" w:sz="0" w:space="0" w:color="auto"/>
        <w:right w:val="none" w:sz="0" w:space="0" w:color="auto"/>
      </w:divBdr>
      <w:divsChild>
        <w:div w:id="1421563900">
          <w:marLeft w:val="0"/>
          <w:marRight w:val="0"/>
          <w:marTop w:val="0"/>
          <w:marBottom w:val="0"/>
          <w:divBdr>
            <w:top w:val="none" w:sz="0" w:space="0" w:color="auto"/>
            <w:left w:val="none" w:sz="0" w:space="0" w:color="auto"/>
            <w:bottom w:val="none" w:sz="0" w:space="0" w:color="auto"/>
            <w:right w:val="none" w:sz="0" w:space="0" w:color="auto"/>
          </w:divBdr>
        </w:div>
      </w:divsChild>
    </w:div>
    <w:div w:id="2018386245">
      <w:bodyDiv w:val="1"/>
      <w:marLeft w:val="0"/>
      <w:marRight w:val="0"/>
      <w:marTop w:val="0"/>
      <w:marBottom w:val="0"/>
      <w:divBdr>
        <w:top w:val="none" w:sz="0" w:space="0" w:color="auto"/>
        <w:left w:val="none" w:sz="0" w:space="0" w:color="auto"/>
        <w:bottom w:val="none" w:sz="0" w:space="0" w:color="auto"/>
        <w:right w:val="none" w:sz="0" w:space="0" w:color="auto"/>
      </w:divBdr>
    </w:div>
    <w:div w:id="2024279715">
      <w:bodyDiv w:val="1"/>
      <w:marLeft w:val="0"/>
      <w:marRight w:val="0"/>
      <w:marTop w:val="0"/>
      <w:marBottom w:val="0"/>
      <w:divBdr>
        <w:top w:val="none" w:sz="0" w:space="0" w:color="auto"/>
        <w:left w:val="none" w:sz="0" w:space="0" w:color="auto"/>
        <w:bottom w:val="none" w:sz="0" w:space="0" w:color="auto"/>
        <w:right w:val="none" w:sz="0" w:space="0" w:color="auto"/>
      </w:divBdr>
      <w:divsChild>
        <w:div w:id="950279263">
          <w:marLeft w:val="0"/>
          <w:marRight w:val="0"/>
          <w:marTop w:val="0"/>
          <w:marBottom w:val="0"/>
          <w:divBdr>
            <w:top w:val="none" w:sz="0" w:space="0" w:color="auto"/>
            <w:left w:val="none" w:sz="0" w:space="0" w:color="auto"/>
            <w:bottom w:val="none" w:sz="0" w:space="0" w:color="auto"/>
            <w:right w:val="none" w:sz="0" w:space="0" w:color="auto"/>
          </w:divBdr>
        </w:div>
      </w:divsChild>
    </w:div>
    <w:div w:id="2024818207">
      <w:bodyDiv w:val="1"/>
      <w:marLeft w:val="0"/>
      <w:marRight w:val="0"/>
      <w:marTop w:val="0"/>
      <w:marBottom w:val="0"/>
      <w:divBdr>
        <w:top w:val="none" w:sz="0" w:space="0" w:color="auto"/>
        <w:left w:val="none" w:sz="0" w:space="0" w:color="auto"/>
        <w:bottom w:val="none" w:sz="0" w:space="0" w:color="auto"/>
        <w:right w:val="none" w:sz="0" w:space="0" w:color="auto"/>
      </w:divBdr>
      <w:divsChild>
        <w:div w:id="367921072">
          <w:marLeft w:val="0"/>
          <w:marRight w:val="0"/>
          <w:marTop w:val="0"/>
          <w:marBottom w:val="0"/>
          <w:divBdr>
            <w:top w:val="none" w:sz="0" w:space="0" w:color="auto"/>
            <w:left w:val="none" w:sz="0" w:space="0" w:color="auto"/>
            <w:bottom w:val="none" w:sz="0" w:space="0" w:color="auto"/>
            <w:right w:val="none" w:sz="0" w:space="0" w:color="auto"/>
          </w:divBdr>
        </w:div>
      </w:divsChild>
    </w:div>
    <w:div w:id="2041736106">
      <w:bodyDiv w:val="1"/>
      <w:marLeft w:val="0"/>
      <w:marRight w:val="0"/>
      <w:marTop w:val="0"/>
      <w:marBottom w:val="0"/>
      <w:divBdr>
        <w:top w:val="none" w:sz="0" w:space="0" w:color="auto"/>
        <w:left w:val="none" w:sz="0" w:space="0" w:color="auto"/>
        <w:bottom w:val="none" w:sz="0" w:space="0" w:color="auto"/>
        <w:right w:val="none" w:sz="0" w:space="0" w:color="auto"/>
      </w:divBdr>
    </w:div>
    <w:div w:id="2093118985">
      <w:bodyDiv w:val="1"/>
      <w:marLeft w:val="0"/>
      <w:marRight w:val="0"/>
      <w:marTop w:val="0"/>
      <w:marBottom w:val="0"/>
      <w:divBdr>
        <w:top w:val="none" w:sz="0" w:space="0" w:color="auto"/>
        <w:left w:val="none" w:sz="0" w:space="0" w:color="auto"/>
        <w:bottom w:val="none" w:sz="0" w:space="0" w:color="auto"/>
        <w:right w:val="none" w:sz="0" w:space="0" w:color="auto"/>
      </w:divBdr>
      <w:divsChild>
        <w:div w:id="1818913532">
          <w:marLeft w:val="0"/>
          <w:marRight w:val="0"/>
          <w:marTop w:val="0"/>
          <w:marBottom w:val="0"/>
          <w:divBdr>
            <w:top w:val="none" w:sz="0" w:space="0" w:color="auto"/>
            <w:left w:val="none" w:sz="0" w:space="0" w:color="auto"/>
            <w:bottom w:val="none" w:sz="0" w:space="0" w:color="auto"/>
            <w:right w:val="none" w:sz="0" w:space="0" w:color="auto"/>
          </w:divBdr>
        </w:div>
      </w:divsChild>
    </w:div>
    <w:div w:id="2097243119">
      <w:bodyDiv w:val="1"/>
      <w:marLeft w:val="0"/>
      <w:marRight w:val="0"/>
      <w:marTop w:val="0"/>
      <w:marBottom w:val="0"/>
      <w:divBdr>
        <w:top w:val="none" w:sz="0" w:space="0" w:color="auto"/>
        <w:left w:val="none" w:sz="0" w:space="0" w:color="auto"/>
        <w:bottom w:val="none" w:sz="0" w:space="0" w:color="auto"/>
        <w:right w:val="none" w:sz="0" w:space="0" w:color="auto"/>
      </w:divBdr>
      <w:divsChild>
        <w:div w:id="1518537545">
          <w:marLeft w:val="0"/>
          <w:marRight w:val="0"/>
          <w:marTop w:val="0"/>
          <w:marBottom w:val="0"/>
          <w:divBdr>
            <w:top w:val="none" w:sz="0" w:space="0" w:color="auto"/>
            <w:left w:val="none" w:sz="0" w:space="0" w:color="auto"/>
            <w:bottom w:val="none" w:sz="0" w:space="0" w:color="auto"/>
            <w:right w:val="none" w:sz="0" w:space="0" w:color="auto"/>
          </w:divBdr>
        </w:div>
      </w:divsChild>
    </w:div>
    <w:div w:id="2103993491">
      <w:bodyDiv w:val="1"/>
      <w:marLeft w:val="0"/>
      <w:marRight w:val="0"/>
      <w:marTop w:val="0"/>
      <w:marBottom w:val="0"/>
      <w:divBdr>
        <w:top w:val="none" w:sz="0" w:space="0" w:color="auto"/>
        <w:left w:val="none" w:sz="0" w:space="0" w:color="auto"/>
        <w:bottom w:val="none" w:sz="0" w:space="0" w:color="auto"/>
        <w:right w:val="none" w:sz="0" w:space="0" w:color="auto"/>
      </w:divBdr>
    </w:div>
    <w:div w:id="2111655955">
      <w:bodyDiv w:val="1"/>
      <w:marLeft w:val="0"/>
      <w:marRight w:val="0"/>
      <w:marTop w:val="0"/>
      <w:marBottom w:val="0"/>
      <w:divBdr>
        <w:top w:val="none" w:sz="0" w:space="0" w:color="auto"/>
        <w:left w:val="none" w:sz="0" w:space="0" w:color="auto"/>
        <w:bottom w:val="none" w:sz="0" w:space="0" w:color="auto"/>
        <w:right w:val="none" w:sz="0" w:space="0" w:color="auto"/>
      </w:divBdr>
    </w:div>
    <w:div w:id="2115905075">
      <w:bodyDiv w:val="1"/>
      <w:marLeft w:val="0"/>
      <w:marRight w:val="0"/>
      <w:marTop w:val="0"/>
      <w:marBottom w:val="0"/>
      <w:divBdr>
        <w:top w:val="none" w:sz="0" w:space="0" w:color="auto"/>
        <w:left w:val="none" w:sz="0" w:space="0" w:color="auto"/>
        <w:bottom w:val="none" w:sz="0" w:space="0" w:color="auto"/>
        <w:right w:val="none" w:sz="0" w:space="0" w:color="auto"/>
      </w:divBdr>
    </w:div>
    <w:div w:id="2120484032">
      <w:bodyDiv w:val="1"/>
      <w:marLeft w:val="0"/>
      <w:marRight w:val="0"/>
      <w:marTop w:val="0"/>
      <w:marBottom w:val="0"/>
      <w:divBdr>
        <w:top w:val="none" w:sz="0" w:space="0" w:color="auto"/>
        <w:left w:val="none" w:sz="0" w:space="0" w:color="auto"/>
        <w:bottom w:val="none" w:sz="0" w:space="0" w:color="auto"/>
        <w:right w:val="none" w:sz="0" w:space="0" w:color="auto"/>
      </w:divBdr>
      <w:divsChild>
        <w:div w:id="932516835">
          <w:marLeft w:val="0"/>
          <w:marRight w:val="0"/>
          <w:marTop w:val="0"/>
          <w:marBottom w:val="0"/>
          <w:divBdr>
            <w:top w:val="none" w:sz="0" w:space="0" w:color="auto"/>
            <w:left w:val="none" w:sz="0" w:space="0" w:color="auto"/>
            <w:bottom w:val="none" w:sz="0" w:space="0" w:color="auto"/>
            <w:right w:val="none" w:sz="0" w:space="0" w:color="auto"/>
          </w:divBdr>
        </w:div>
      </w:divsChild>
    </w:div>
    <w:div w:id="2130320593">
      <w:bodyDiv w:val="1"/>
      <w:marLeft w:val="0"/>
      <w:marRight w:val="0"/>
      <w:marTop w:val="0"/>
      <w:marBottom w:val="0"/>
      <w:divBdr>
        <w:top w:val="none" w:sz="0" w:space="0" w:color="auto"/>
        <w:left w:val="none" w:sz="0" w:space="0" w:color="auto"/>
        <w:bottom w:val="none" w:sz="0" w:space="0" w:color="auto"/>
        <w:right w:val="none" w:sz="0" w:space="0" w:color="auto"/>
      </w:divBdr>
      <w:divsChild>
        <w:div w:id="1969623141">
          <w:marLeft w:val="0"/>
          <w:marRight w:val="0"/>
          <w:marTop w:val="0"/>
          <w:marBottom w:val="0"/>
          <w:divBdr>
            <w:top w:val="none" w:sz="0" w:space="0" w:color="auto"/>
            <w:left w:val="none" w:sz="0" w:space="0" w:color="auto"/>
            <w:bottom w:val="none" w:sz="0" w:space="0" w:color="auto"/>
            <w:right w:val="none" w:sz="0" w:space="0" w:color="auto"/>
          </w:divBdr>
        </w:div>
      </w:divsChild>
    </w:div>
    <w:div w:id="2143188650">
      <w:bodyDiv w:val="1"/>
      <w:marLeft w:val="0"/>
      <w:marRight w:val="0"/>
      <w:marTop w:val="0"/>
      <w:marBottom w:val="0"/>
      <w:divBdr>
        <w:top w:val="none" w:sz="0" w:space="0" w:color="auto"/>
        <w:left w:val="none" w:sz="0" w:space="0" w:color="auto"/>
        <w:bottom w:val="none" w:sz="0" w:space="0" w:color="auto"/>
        <w:right w:val="none" w:sz="0" w:space="0" w:color="auto"/>
      </w:divBdr>
      <w:divsChild>
        <w:div w:id="793207204">
          <w:marLeft w:val="0"/>
          <w:marRight w:val="0"/>
          <w:marTop w:val="0"/>
          <w:marBottom w:val="0"/>
          <w:divBdr>
            <w:top w:val="none" w:sz="0" w:space="0" w:color="auto"/>
            <w:left w:val="none" w:sz="0" w:space="0" w:color="auto"/>
            <w:bottom w:val="none" w:sz="0" w:space="0" w:color="auto"/>
            <w:right w:val="none" w:sz="0" w:space="0" w:color="auto"/>
          </w:divBdr>
        </w:div>
      </w:divsChild>
    </w:div>
    <w:div w:id="2146464519">
      <w:bodyDiv w:val="1"/>
      <w:marLeft w:val="0"/>
      <w:marRight w:val="0"/>
      <w:marTop w:val="0"/>
      <w:marBottom w:val="0"/>
      <w:divBdr>
        <w:top w:val="none" w:sz="0" w:space="0" w:color="auto"/>
        <w:left w:val="none" w:sz="0" w:space="0" w:color="auto"/>
        <w:bottom w:val="none" w:sz="0" w:space="0" w:color="auto"/>
        <w:right w:val="none" w:sz="0" w:space="0" w:color="auto"/>
      </w:divBdr>
      <w:divsChild>
        <w:div w:id="2072339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80/10438599.2022.213223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80/10438599.2022.2132239"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us01.safelinks.protection.outlook.com/?url=https%3A%2F%2Fdoi.org%2F10.1093%2Frfs%2Fhhae078&amp;data=05%7C02%7CMonica.Wang%40TREASURY.GOV.AU%7C48d726ac2e184d5e6f7408decc053404%7C214f1646202147cc8397e3d3a7ba7d9d%7C0%7C0%7C639172519895373931%7CUnknown%7CTWFpbGZsb3d8eyJFbXB0eU1hcGkiOnRydWUsIlYiOiIwLjAuMDAwMCIsIlAiOiJXaW4zMiIsIkFOIjoiTWFpbCIsIldUIjoyfQ%3D%3D%7C0%7C%7C%7C&amp;sdata=0QZghgnH8VDAn6nT3IO84iNUTcxyCIbazfhyQnM%2BWZU%3D&amp;reserved=0" TargetMode="External"/><Relationship Id="rId20" Type="http://schemas.openxmlformats.org/officeDocument/2006/relationships/hyperlink" Target="https://doi.org/10.1787/62022154457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1787/9789264304604-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67944-D266-4CF2-9A03-61056FD23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4244</Words>
  <Characters>25721</Characters>
  <Application>Microsoft Office Word</Application>
  <DocSecurity>0</DocSecurity>
  <Lines>459</Lines>
  <Paragraphs>256</Paragraphs>
  <ScaleCrop>false</ScaleCrop>
  <HeadingPairs>
    <vt:vector size="2" baseType="variant">
      <vt:variant>
        <vt:lpstr>Title</vt:lpstr>
      </vt:variant>
      <vt:variant>
        <vt:i4>1</vt:i4>
      </vt:variant>
    </vt:vector>
  </HeadingPairs>
  <TitlesOfParts>
    <vt:vector size="1" baseType="lpstr">
      <vt:lpstr>Competition and firms’ innovation outcomes</vt:lpstr>
    </vt:vector>
  </TitlesOfParts>
  <Company/>
  <LinksUpToDate>false</LinksUpToDate>
  <CharactersWithSpaces>29709</CharactersWithSpaces>
  <SharedDoc>false</SharedDoc>
  <HLinks>
    <vt:vector size="30" baseType="variant">
      <vt:variant>
        <vt:i4>1704024</vt:i4>
      </vt:variant>
      <vt:variant>
        <vt:i4>12</vt:i4>
      </vt:variant>
      <vt:variant>
        <vt:i4>0</vt:i4>
      </vt:variant>
      <vt:variant>
        <vt:i4>5</vt:i4>
      </vt:variant>
      <vt:variant>
        <vt:lpwstr>https://doi.org/10.1787/620221544571</vt:lpwstr>
      </vt:variant>
      <vt:variant>
        <vt:lpwstr/>
      </vt:variant>
      <vt:variant>
        <vt:i4>5701642</vt:i4>
      </vt:variant>
      <vt:variant>
        <vt:i4>9</vt:i4>
      </vt:variant>
      <vt:variant>
        <vt:i4>0</vt:i4>
      </vt:variant>
      <vt:variant>
        <vt:i4>5</vt:i4>
      </vt:variant>
      <vt:variant>
        <vt:lpwstr>https://doi.org/10.1787/9789264304604-en</vt:lpwstr>
      </vt:variant>
      <vt:variant>
        <vt:lpwstr/>
      </vt:variant>
      <vt:variant>
        <vt:i4>655425</vt:i4>
      </vt:variant>
      <vt:variant>
        <vt:i4>6</vt:i4>
      </vt:variant>
      <vt:variant>
        <vt:i4>0</vt:i4>
      </vt:variant>
      <vt:variant>
        <vt:i4>5</vt:i4>
      </vt:variant>
      <vt:variant>
        <vt:lpwstr>https://doi.org/10.1080/10438599.2022.2132239</vt:lpwstr>
      </vt:variant>
      <vt:variant>
        <vt:lpwstr/>
      </vt:variant>
      <vt:variant>
        <vt:i4>655425</vt:i4>
      </vt:variant>
      <vt:variant>
        <vt:i4>3</vt:i4>
      </vt:variant>
      <vt:variant>
        <vt:i4>0</vt:i4>
      </vt:variant>
      <vt:variant>
        <vt:i4>5</vt:i4>
      </vt:variant>
      <vt:variant>
        <vt:lpwstr>https://doi.org/10.1080/10438599.2022.2132239</vt:lpwstr>
      </vt:variant>
      <vt:variant>
        <vt:lpwstr/>
      </vt:variant>
      <vt:variant>
        <vt:i4>7274552</vt:i4>
      </vt:variant>
      <vt:variant>
        <vt:i4>0</vt:i4>
      </vt:variant>
      <vt:variant>
        <vt:i4>0</vt:i4>
      </vt:variant>
      <vt:variant>
        <vt:i4>5</vt:i4>
      </vt:variant>
      <vt:variant>
        <vt:lpwstr>https://aus01.safelinks.protection.outlook.com/?url=https%3A%2F%2Fdoi.org%2F10.1093%2Frfs%2Fhhae078&amp;data=05%7C02%7CMonica.Wang%40TREASURY.GOV.AU%7C48d726ac2e184d5e6f7408decc053404%7C214f1646202147cc8397e3d3a7ba7d9d%7C0%7C0%7C639172519895373931%7CUnknown%7CTWFpbGZsb3d8eyJFbXB0eU1hcGkiOnRydWUsIlYiOiIwLjAuMDAwMCIsIlAiOiJXaW4zMiIsIkFOIjoiTWFpbCIsIldUIjoyfQ%3D%3D%7C0%7C%7C%7C&amp;sdata=0QZghgnH8VDAn6nT3IO84iNUTcxyCIbazfhyQnM%2BWZU%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Competition and firms’ innovation outcomes</dc:title>
  <dc:subject/>
  <dc:creator>Australian Government</dc:creator>
  <cp:keywords/>
  <dc:description/>
  <cp:lastModifiedBy/>
  <cp:revision>1</cp:revision>
  <dcterms:created xsi:type="dcterms:W3CDTF">2026-07-17T04:43:00Z</dcterms:created>
  <dcterms:modified xsi:type="dcterms:W3CDTF">2026-07-20T06:51:00Z</dcterms:modified>
  <cp:category/>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2026-07-17T04:43:38Z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0d439e66-ee24-4ba5-94a3-08ab020db5f9</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