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A0EE7A" w14:textId="77777777" w:rsidR="005A6BB3" w:rsidRDefault="005A6BB3" w:rsidP="005A6BB3">
      <w:pPr>
        <w:pStyle w:val="Baseparagraphcentred"/>
        <w:spacing w:before="720"/>
      </w:pPr>
      <w:bookmarkStart w:id="0" w:name="_Toc78548463"/>
      <w:bookmarkStart w:id="1" w:name="_Toc78549734"/>
      <w:bookmarkStart w:id="2" w:name="_Toc78549779"/>
      <w:bookmarkStart w:id="3" w:name="_Toc80097481"/>
      <w:bookmarkStart w:id="4" w:name="_Toc80097775"/>
      <w:bookmarkStart w:id="5" w:name="_Hlk81640909"/>
      <w:r>
        <w:t>2022–2023–2024</w:t>
      </w:r>
    </w:p>
    <w:p w14:paraId="2BC97954" w14:textId="77777777" w:rsidR="00E24AA1" w:rsidRDefault="00E24AA1" w:rsidP="00E24AA1">
      <w:pPr>
        <w:pStyle w:val="Baseparagraphcentred"/>
      </w:pPr>
    </w:p>
    <w:p w14:paraId="6B406654" w14:textId="77777777" w:rsidR="00E24AA1" w:rsidRDefault="00E24AA1" w:rsidP="00E24AA1">
      <w:pPr>
        <w:pStyle w:val="Baseparagraphcentred"/>
      </w:pPr>
      <w:r>
        <w:t>THE PARLIAMENT OF THE COMMONWEALTH OF AUSTRALIA</w:t>
      </w:r>
    </w:p>
    <w:p w14:paraId="20A2840D" w14:textId="77777777" w:rsidR="00E24AA1" w:rsidRDefault="00E24AA1" w:rsidP="00E24AA1">
      <w:pPr>
        <w:pStyle w:val="Baseparagraphcentred"/>
      </w:pPr>
    </w:p>
    <w:p w14:paraId="15B0B0FB" w14:textId="77777777" w:rsidR="00E24AA1" w:rsidRDefault="00E24AA1" w:rsidP="00E24AA1">
      <w:pPr>
        <w:pStyle w:val="Baseparagraphcentred"/>
      </w:pPr>
    </w:p>
    <w:p w14:paraId="368240E3" w14:textId="77777777" w:rsidR="00E24AA1" w:rsidRDefault="00E24AA1" w:rsidP="00E24AA1">
      <w:pPr>
        <w:pStyle w:val="Baseparagraphcentred"/>
      </w:pPr>
    </w:p>
    <w:p w14:paraId="3E0004AE" w14:textId="6A44A5CE" w:rsidR="004C634F" w:rsidRDefault="004534F0" w:rsidP="004C634F">
      <w:pPr>
        <w:pStyle w:val="Baseparagraphcentred"/>
      </w:pPr>
      <w:r>
        <w:t>SENATE</w:t>
      </w:r>
    </w:p>
    <w:p w14:paraId="21C0543D" w14:textId="77777777" w:rsidR="00E24AA1" w:rsidRDefault="00E24AA1" w:rsidP="00E24AA1">
      <w:pPr>
        <w:pStyle w:val="Baseparagraphcentred"/>
      </w:pPr>
    </w:p>
    <w:p w14:paraId="6A6C7782" w14:textId="77777777" w:rsidR="00E24AA1" w:rsidRDefault="00E24AA1" w:rsidP="00E24AA1">
      <w:pPr>
        <w:pStyle w:val="Baseparagraphcentred"/>
      </w:pPr>
    </w:p>
    <w:p w14:paraId="5E319DC7" w14:textId="77777777" w:rsidR="00E24AA1" w:rsidRDefault="00E24AA1" w:rsidP="00E24AA1">
      <w:pPr>
        <w:pStyle w:val="Baseparagraphcentred"/>
        <w:pBdr>
          <w:bottom w:val="single" w:sz="4" w:space="1" w:color="auto"/>
        </w:pBdr>
      </w:pPr>
    </w:p>
    <w:p w14:paraId="307EB62F" w14:textId="45ECFDF4" w:rsidR="00E24AA1" w:rsidRPr="004915C2" w:rsidRDefault="004801CF" w:rsidP="00E24AA1">
      <w:pPr>
        <w:pStyle w:val="BillName"/>
      </w:pPr>
      <w:bookmarkStart w:id="6" w:name="BillName"/>
      <w:bookmarkEnd w:id="6"/>
      <w:r w:rsidRPr="004915C2">
        <w:t>Treasury La</w:t>
      </w:r>
      <w:r w:rsidR="00936A16" w:rsidRPr="004915C2">
        <w:t>ws Amendment (Financial Market Infrastructure and Other Measures</w:t>
      </w:r>
      <w:r w:rsidR="00377108" w:rsidRPr="004915C2">
        <w:t>)</w:t>
      </w:r>
      <w:r w:rsidR="00936A16" w:rsidRPr="004915C2">
        <w:t xml:space="preserve"> Bill 2024</w:t>
      </w:r>
    </w:p>
    <w:p w14:paraId="081FE937" w14:textId="77777777" w:rsidR="00E24AA1" w:rsidRDefault="00E24AA1" w:rsidP="00E24AA1">
      <w:pPr>
        <w:pStyle w:val="Baseparagraphcentred"/>
        <w:pBdr>
          <w:top w:val="single" w:sz="4" w:space="1" w:color="auto"/>
        </w:pBdr>
      </w:pPr>
    </w:p>
    <w:p w14:paraId="4B42A90A" w14:textId="77777777" w:rsidR="00E24AA1" w:rsidRDefault="00E24AA1" w:rsidP="00E24AA1">
      <w:pPr>
        <w:pStyle w:val="Baseparagraphcentred"/>
      </w:pPr>
    </w:p>
    <w:p w14:paraId="575BB81A" w14:textId="77777777" w:rsidR="00E24AA1" w:rsidRDefault="00E24AA1" w:rsidP="00E24AA1">
      <w:pPr>
        <w:pStyle w:val="Baseparagraphcentred"/>
      </w:pPr>
    </w:p>
    <w:p w14:paraId="74B2A49E" w14:textId="77777777" w:rsidR="00E24AA1" w:rsidRDefault="00E24AA1" w:rsidP="00E24AA1">
      <w:pPr>
        <w:pStyle w:val="Baseparagraphcentred"/>
      </w:pPr>
    </w:p>
    <w:p w14:paraId="0462462D" w14:textId="3C7AFD44" w:rsidR="00E24AA1" w:rsidRDefault="009C6338" w:rsidP="00E24AA1">
      <w:pPr>
        <w:pStyle w:val="Baseparagraphcentred"/>
      </w:pPr>
      <w:r>
        <w:t xml:space="preserve">REVISED </w:t>
      </w:r>
      <w:r w:rsidR="00496C47" w:rsidRPr="00AD70B8">
        <w:t xml:space="preserve">SUPPLEMENTARY </w:t>
      </w:r>
      <w:r w:rsidR="00E24AA1">
        <w:t>EXPLANATORY MEMORANDUM</w:t>
      </w:r>
    </w:p>
    <w:p w14:paraId="492ADABA" w14:textId="77777777" w:rsidR="00E24AA1" w:rsidRDefault="00E24AA1" w:rsidP="00E24AA1">
      <w:pPr>
        <w:pStyle w:val="Baseparagraphcentred"/>
      </w:pPr>
    </w:p>
    <w:p w14:paraId="0C15FC1F" w14:textId="694D97E6" w:rsidR="00E24AA1" w:rsidRPr="00AD70B8" w:rsidRDefault="00565F65" w:rsidP="00E24AA1">
      <w:pPr>
        <w:pStyle w:val="Baseparagraphcentred"/>
      </w:pPr>
      <w:r>
        <w:t>AMENDMENTS</w:t>
      </w:r>
      <w:r w:rsidR="00522265" w:rsidRPr="00AD70B8">
        <w:t xml:space="preserve"> TO BE MOVED ON BEHALF OF THE GOVERNMENT</w:t>
      </w:r>
    </w:p>
    <w:p w14:paraId="4275EFFA" w14:textId="77777777" w:rsidR="00E24AA1" w:rsidRDefault="00E24AA1" w:rsidP="00E24AA1">
      <w:pPr>
        <w:pStyle w:val="ParaCentredNoSpacing"/>
      </w:pPr>
    </w:p>
    <w:p w14:paraId="418424EF" w14:textId="77777777" w:rsidR="00E24AA1" w:rsidRPr="00967273" w:rsidRDefault="00E24AA1" w:rsidP="00E24AA1">
      <w:pPr>
        <w:pStyle w:val="Normalparatextnonumbers"/>
        <w:jc w:val="center"/>
        <w:rPr>
          <w:rFonts w:cs="Calibri"/>
          <w:color w:val="000000" w:themeColor="text1"/>
        </w:rPr>
      </w:pPr>
    </w:p>
    <w:p w14:paraId="0589B9DF" w14:textId="50699B90" w:rsidR="00E24AA1" w:rsidRPr="00020288" w:rsidRDefault="00E24AA1" w:rsidP="00E24AA1">
      <w:pPr>
        <w:pStyle w:val="Normalparatextnonumbers"/>
        <w:jc w:val="center"/>
      </w:pPr>
      <w:bookmarkStart w:id="7" w:name="CirculatedByCoverPageText"/>
      <w:r w:rsidRPr="00020288">
        <w:t>(Circulated by authority of</w:t>
      </w:r>
      <w:r w:rsidR="004C634F" w:rsidRPr="004C634F">
        <w:t xml:space="preserve"> </w:t>
      </w:r>
      <w:r w:rsidR="00BB4BA6">
        <w:t>the Treasurer, the Hon Jim Chalmers MP</w:t>
      </w:r>
      <w:r w:rsidRPr="00020288">
        <w:t>)</w:t>
      </w:r>
      <w:bookmarkEnd w:id="7"/>
    </w:p>
    <w:p w14:paraId="0FAC59B6" w14:textId="77777777" w:rsidR="00873094" w:rsidRDefault="00873094" w:rsidP="00873094">
      <w:pPr>
        <w:pStyle w:val="Normalparatextnonumbers"/>
      </w:pPr>
    </w:p>
    <w:p w14:paraId="61FA4959" w14:textId="77777777" w:rsidR="00E24AA1" w:rsidRPr="00020288" w:rsidRDefault="00E24AA1" w:rsidP="00873094">
      <w:pPr>
        <w:pStyle w:val="Normalparatextnonumbers"/>
      </w:pPr>
    </w:p>
    <w:p w14:paraId="59DCB7F1" w14:textId="77777777" w:rsidR="00873094" w:rsidRPr="00020288" w:rsidRDefault="00873094" w:rsidP="00873094">
      <w:pPr>
        <w:pStyle w:val="TOC1"/>
        <w:sectPr w:rsidR="00873094" w:rsidRPr="00020288" w:rsidSect="00000BFC">
          <w:footerReference w:type="first" r:id="rId8"/>
          <w:type w:val="oddPage"/>
          <w:pgSz w:w="9979" w:h="14175" w:code="138"/>
          <w:pgMar w:top="567" w:right="1134" w:bottom="567" w:left="1134" w:header="709" w:footer="709" w:gutter="0"/>
          <w:cols w:space="708"/>
          <w:titlePg/>
          <w:docGrid w:linePitch="360"/>
        </w:sectPr>
      </w:pPr>
    </w:p>
    <w:p w14:paraId="038985E0" w14:textId="77777777" w:rsidR="00873094" w:rsidRPr="00020288" w:rsidRDefault="00873094" w:rsidP="00873094">
      <w:pPr>
        <w:pStyle w:val="TOCHeading"/>
      </w:pPr>
      <w:bookmarkStart w:id="8" w:name="_Toc80172450"/>
      <w:bookmarkStart w:id="9" w:name="_Toc80197114"/>
      <w:bookmarkStart w:id="10" w:name="_Toc81852681"/>
      <w:bookmarkEnd w:id="0"/>
      <w:bookmarkEnd w:id="1"/>
      <w:bookmarkEnd w:id="2"/>
      <w:bookmarkEnd w:id="3"/>
      <w:bookmarkEnd w:id="4"/>
      <w:r w:rsidRPr="00020288">
        <w:lastRenderedPageBreak/>
        <w:t>Table of Contents</w:t>
      </w:r>
      <w:bookmarkStart w:id="11" w:name="_Toc78549733"/>
      <w:bookmarkStart w:id="12" w:name="_Toc78549778"/>
      <w:bookmarkStart w:id="13" w:name="_Toc80097483"/>
      <w:bookmarkStart w:id="14" w:name="_Toc80097777"/>
      <w:bookmarkStart w:id="15" w:name="_Toc80115276"/>
      <w:bookmarkStart w:id="16" w:name="_Toc80172451"/>
      <w:bookmarkStart w:id="17" w:name="_Toc80197115"/>
      <w:bookmarkStart w:id="18" w:name="_Toc81852682"/>
      <w:bookmarkStart w:id="19" w:name="_Toc81852727"/>
      <w:bookmarkEnd w:id="8"/>
      <w:bookmarkEnd w:id="9"/>
      <w:bookmarkEnd w:id="10"/>
    </w:p>
    <w:p w14:paraId="25B1DCAE" w14:textId="07CA9E54" w:rsidR="00841982" w:rsidRDefault="00873094" w:rsidP="00841982">
      <w:pPr>
        <w:pStyle w:val="TOC1"/>
        <w:tabs>
          <w:tab w:val="clear" w:pos="7655"/>
          <w:tab w:val="right" w:leader="dot" w:pos="7654"/>
        </w:tabs>
        <w:ind w:left="0" w:firstLine="0"/>
        <w:rPr>
          <w:rFonts w:asciiTheme="minorHAnsi" w:eastAsiaTheme="minorEastAsia" w:hAnsiTheme="minorHAnsi" w:cstheme="minorBidi"/>
          <w:bCs w:val="0"/>
          <w:noProof/>
          <w:kern w:val="2"/>
          <w:sz w:val="22"/>
          <w:szCs w:val="22"/>
          <w:lang w:eastAsia="en-AU"/>
          <w14:ligatures w14:val="standardContextual"/>
        </w:rPr>
      </w:pPr>
      <w:r w:rsidRPr="00BC2E4A">
        <w:fldChar w:fldCharType="begin"/>
      </w:r>
      <w:r w:rsidRPr="00BC2E4A">
        <w:instrText xml:space="preserve"> TOC \o "1-1" \u </w:instrText>
      </w:r>
      <w:r w:rsidRPr="00BC2E4A">
        <w:fldChar w:fldCharType="separate"/>
      </w:r>
      <w:r w:rsidR="00841982">
        <w:rPr>
          <w:noProof/>
        </w:rPr>
        <w:t>Glossary</w:t>
      </w:r>
      <w:r w:rsidR="00841982">
        <w:rPr>
          <w:noProof/>
        </w:rPr>
        <w:tab/>
      </w:r>
      <w:r w:rsidR="00841982">
        <w:rPr>
          <w:noProof/>
        </w:rPr>
        <w:fldChar w:fldCharType="begin"/>
      </w:r>
      <w:r w:rsidR="00841982">
        <w:rPr>
          <w:noProof/>
        </w:rPr>
        <w:instrText xml:space="preserve"> PAGEREF _Toc169772545 \h </w:instrText>
      </w:r>
      <w:r w:rsidR="00841982">
        <w:rPr>
          <w:noProof/>
        </w:rPr>
      </w:r>
      <w:r w:rsidR="00841982">
        <w:rPr>
          <w:noProof/>
        </w:rPr>
        <w:fldChar w:fldCharType="separate"/>
      </w:r>
      <w:r w:rsidR="00D85292">
        <w:rPr>
          <w:noProof/>
        </w:rPr>
        <w:t>iii</w:t>
      </w:r>
      <w:r w:rsidR="00841982">
        <w:rPr>
          <w:noProof/>
        </w:rPr>
        <w:fldChar w:fldCharType="end"/>
      </w:r>
    </w:p>
    <w:p w14:paraId="336BD109" w14:textId="4ADA961C" w:rsidR="00841982" w:rsidRDefault="00841982">
      <w:pPr>
        <w:pStyle w:val="TOC1"/>
        <w:rPr>
          <w:rFonts w:asciiTheme="minorHAnsi" w:eastAsiaTheme="minorEastAsia" w:hAnsiTheme="minorHAnsi" w:cstheme="minorBidi"/>
          <w:bCs w:val="0"/>
          <w:noProof/>
          <w:kern w:val="2"/>
          <w:sz w:val="22"/>
          <w:szCs w:val="22"/>
          <w:lang w:eastAsia="en-AU"/>
          <w14:ligatures w14:val="standardContextual"/>
        </w:rPr>
      </w:pPr>
      <w:r>
        <w:rPr>
          <w:noProof/>
        </w:rPr>
        <w:t>General outline and financial impact</w:t>
      </w:r>
      <w:r>
        <w:rPr>
          <w:noProof/>
        </w:rPr>
        <w:tab/>
      </w:r>
      <w:r>
        <w:rPr>
          <w:noProof/>
        </w:rPr>
        <w:fldChar w:fldCharType="begin"/>
      </w:r>
      <w:r>
        <w:rPr>
          <w:noProof/>
        </w:rPr>
        <w:instrText xml:space="preserve"> PAGEREF _Toc169772546 \h </w:instrText>
      </w:r>
      <w:r>
        <w:rPr>
          <w:noProof/>
        </w:rPr>
      </w:r>
      <w:r>
        <w:rPr>
          <w:noProof/>
        </w:rPr>
        <w:fldChar w:fldCharType="separate"/>
      </w:r>
      <w:r w:rsidR="00D85292">
        <w:rPr>
          <w:noProof/>
        </w:rPr>
        <w:t>1</w:t>
      </w:r>
      <w:r>
        <w:rPr>
          <w:noProof/>
        </w:rPr>
        <w:fldChar w:fldCharType="end"/>
      </w:r>
    </w:p>
    <w:p w14:paraId="4A3F073B" w14:textId="082260BE" w:rsidR="00841982" w:rsidRDefault="00841982" w:rsidP="00841982">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036DEF">
        <w:rPr>
          <w:noProof/>
          <w14:scene3d>
            <w14:camera w14:prst="orthographicFront"/>
            <w14:lightRig w14:rig="threePt" w14:dir="t">
              <w14:rot w14:lat="0" w14:lon="0" w14:rev="0"/>
            </w14:lightRig>
          </w14:scene3d>
        </w:rPr>
        <w:t>Chapter 1:</w:t>
      </w:r>
      <w:r>
        <w:rPr>
          <w:rFonts w:asciiTheme="minorHAnsi" w:eastAsiaTheme="minorEastAsia" w:hAnsiTheme="minorHAnsi" w:cstheme="minorBidi"/>
          <w:bCs w:val="0"/>
          <w:noProof/>
          <w:kern w:val="2"/>
          <w:sz w:val="22"/>
          <w:szCs w:val="22"/>
          <w:lang w:eastAsia="en-AU"/>
          <w14:ligatures w14:val="standardContextual"/>
        </w:rPr>
        <w:tab/>
      </w:r>
      <w:r>
        <w:rPr>
          <w:noProof/>
        </w:rPr>
        <w:t>Parliamentary amendments to Schedules 2 and 5 – Treasury Laws Amendment (Financial Market Infrastructure and Other Measures) Bill 2024</w:t>
      </w:r>
      <w:r>
        <w:rPr>
          <w:noProof/>
        </w:rPr>
        <w:tab/>
      </w:r>
      <w:r>
        <w:rPr>
          <w:noProof/>
        </w:rPr>
        <w:fldChar w:fldCharType="begin"/>
      </w:r>
      <w:r>
        <w:rPr>
          <w:noProof/>
        </w:rPr>
        <w:instrText xml:space="preserve"> PAGEREF _Toc169772547 \h </w:instrText>
      </w:r>
      <w:r>
        <w:rPr>
          <w:noProof/>
        </w:rPr>
      </w:r>
      <w:r>
        <w:rPr>
          <w:noProof/>
        </w:rPr>
        <w:fldChar w:fldCharType="separate"/>
      </w:r>
      <w:r w:rsidR="00D85292">
        <w:rPr>
          <w:noProof/>
        </w:rPr>
        <w:t>3</w:t>
      </w:r>
      <w:r>
        <w:rPr>
          <w:noProof/>
        </w:rPr>
        <w:fldChar w:fldCharType="end"/>
      </w:r>
    </w:p>
    <w:p w14:paraId="6F054EC7" w14:textId="7AC20D6D" w:rsidR="00841982" w:rsidRDefault="00841982" w:rsidP="00841982">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036DEF">
        <w:rPr>
          <w:noProof/>
          <w14:scene3d>
            <w14:camera w14:prst="orthographicFront"/>
            <w14:lightRig w14:rig="threePt" w14:dir="t">
              <w14:rot w14:lat="0" w14:lon="0" w14:rev="0"/>
            </w14:lightRig>
          </w14:scene3d>
        </w:rPr>
        <w:t>Chapter 2:</w:t>
      </w:r>
      <w:r>
        <w:rPr>
          <w:rFonts w:asciiTheme="minorHAnsi" w:eastAsiaTheme="minorEastAsia" w:hAnsiTheme="minorHAnsi" w:cstheme="minorBidi"/>
          <w:bCs w:val="0"/>
          <w:noProof/>
          <w:kern w:val="2"/>
          <w:sz w:val="22"/>
          <w:szCs w:val="22"/>
          <w:lang w:eastAsia="en-AU"/>
          <w14:ligatures w14:val="standardContextual"/>
        </w:rPr>
        <w:tab/>
      </w:r>
      <w:r>
        <w:rPr>
          <w:noProof/>
        </w:rPr>
        <w:t>Parliamentary amendments to Schedule 4 – Treasury Laws Amendment (Financial Market Infrastructure and Other Measures) Bill 2024</w:t>
      </w:r>
      <w:r>
        <w:rPr>
          <w:noProof/>
        </w:rPr>
        <w:tab/>
      </w:r>
      <w:r>
        <w:rPr>
          <w:noProof/>
        </w:rPr>
        <w:fldChar w:fldCharType="begin"/>
      </w:r>
      <w:r>
        <w:rPr>
          <w:noProof/>
        </w:rPr>
        <w:instrText xml:space="preserve"> PAGEREF _Toc169772548 \h </w:instrText>
      </w:r>
      <w:r>
        <w:rPr>
          <w:noProof/>
        </w:rPr>
      </w:r>
      <w:r>
        <w:rPr>
          <w:noProof/>
        </w:rPr>
        <w:fldChar w:fldCharType="separate"/>
      </w:r>
      <w:r w:rsidR="00D85292">
        <w:rPr>
          <w:noProof/>
        </w:rPr>
        <w:t>7</w:t>
      </w:r>
      <w:r>
        <w:rPr>
          <w:noProof/>
        </w:rPr>
        <w:fldChar w:fldCharType="end"/>
      </w:r>
    </w:p>
    <w:p w14:paraId="39AC1B29" w14:textId="26EB314B" w:rsidR="00841982" w:rsidRDefault="00841982" w:rsidP="00841982">
      <w:pPr>
        <w:pStyle w:val="TOC1"/>
        <w:tabs>
          <w:tab w:val="clear" w:pos="7655"/>
          <w:tab w:val="left" w:pos="1757"/>
          <w:tab w:val="right" w:leader="dot" w:pos="7654"/>
        </w:tabs>
        <w:rPr>
          <w:rFonts w:asciiTheme="minorHAnsi" w:eastAsiaTheme="minorEastAsia" w:hAnsiTheme="minorHAnsi" w:cstheme="minorBidi"/>
          <w:bCs w:val="0"/>
          <w:noProof/>
          <w:kern w:val="2"/>
          <w:sz w:val="22"/>
          <w:szCs w:val="22"/>
          <w:lang w:eastAsia="en-AU"/>
          <w14:ligatures w14:val="standardContextual"/>
        </w:rPr>
      </w:pPr>
      <w:r w:rsidRPr="00036DEF">
        <w:rPr>
          <w:noProof/>
          <w14:scene3d>
            <w14:camera w14:prst="orthographicFront"/>
            <w14:lightRig w14:rig="threePt" w14:dir="t">
              <w14:rot w14:lat="0" w14:lon="0" w14:rev="0"/>
            </w14:lightRig>
          </w14:scene3d>
        </w:rPr>
        <w:t>Chapter 3:</w:t>
      </w:r>
      <w:r>
        <w:rPr>
          <w:rFonts w:asciiTheme="minorHAnsi" w:eastAsiaTheme="minorEastAsia" w:hAnsiTheme="minorHAnsi" w:cstheme="minorBidi"/>
          <w:bCs w:val="0"/>
          <w:noProof/>
          <w:kern w:val="2"/>
          <w:sz w:val="22"/>
          <w:szCs w:val="22"/>
          <w:lang w:eastAsia="en-AU"/>
          <w14:ligatures w14:val="standardContextual"/>
        </w:rPr>
        <w:tab/>
      </w:r>
      <w:r>
        <w:rPr>
          <w:noProof/>
        </w:rPr>
        <w:t>Statement of Compatibility with Human Rights</w:t>
      </w:r>
      <w:r>
        <w:rPr>
          <w:noProof/>
        </w:rPr>
        <w:tab/>
      </w:r>
      <w:r>
        <w:rPr>
          <w:noProof/>
        </w:rPr>
        <w:fldChar w:fldCharType="begin"/>
      </w:r>
      <w:r>
        <w:rPr>
          <w:noProof/>
        </w:rPr>
        <w:instrText xml:space="preserve"> PAGEREF _Toc169772549 \h </w:instrText>
      </w:r>
      <w:r>
        <w:rPr>
          <w:noProof/>
        </w:rPr>
      </w:r>
      <w:r>
        <w:rPr>
          <w:noProof/>
        </w:rPr>
        <w:fldChar w:fldCharType="separate"/>
      </w:r>
      <w:r w:rsidR="00D85292">
        <w:rPr>
          <w:noProof/>
        </w:rPr>
        <w:t>11</w:t>
      </w:r>
      <w:r>
        <w:rPr>
          <w:noProof/>
        </w:rPr>
        <w:fldChar w:fldCharType="end"/>
      </w:r>
    </w:p>
    <w:p w14:paraId="006F0B9F" w14:textId="1A9AB8E8" w:rsidR="00873094" w:rsidRPr="00020288" w:rsidRDefault="00873094" w:rsidP="00BC2E4A">
      <w:pPr>
        <w:pStyle w:val="TOC1"/>
      </w:pPr>
      <w:r w:rsidRPr="00BC2E4A">
        <w:fldChar w:fldCharType="end"/>
      </w:r>
    </w:p>
    <w:p w14:paraId="7CD4EF06" w14:textId="77777777" w:rsidR="00873094" w:rsidRPr="00020288" w:rsidRDefault="00873094" w:rsidP="00873094"/>
    <w:p w14:paraId="0FE2C2FA" w14:textId="77777777" w:rsidR="00873094" w:rsidRPr="00020288" w:rsidRDefault="00873094" w:rsidP="00873094"/>
    <w:p w14:paraId="095EA5CC" w14:textId="77777777" w:rsidR="00873094" w:rsidRPr="00020288" w:rsidRDefault="00873094" w:rsidP="00873094">
      <w:pPr>
        <w:sectPr w:rsidR="00873094" w:rsidRPr="00020288" w:rsidSect="00000BFC">
          <w:headerReference w:type="even" r:id="rId9"/>
          <w:headerReference w:type="default" r:id="rId10"/>
          <w:headerReference w:type="first" r:id="rId11"/>
          <w:footerReference w:type="first" r:id="rId12"/>
          <w:type w:val="oddPage"/>
          <w:pgSz w:w="9979" w:h="14175" w:code="9"/>
          <w:pgMar w:top="567" w:right="1134" w:bottom="567" w:left="1134" w:header="709" w:footer="709" w:gutter="0"/>
          <w:pgNumType w:start="1"/>
          <w:cols w:space="708"/>
          <w:titlePg/>
          <w:docGrid w:linePitch="360"/>
        </w:sectPr>
      </w:pPr>
    </w:p>
    <w:p w14:paraId="0F0B46B3" w14:textId="77777777" w:rsidR="00873094" w:rsidRPr="00020288" w:rsidRDefault="00873094" w:rsidP="00873094">
      <w:pPr>
        <w:pStyle w:val="Heading1"/>
      </w:pPr>
      <w:bookmarkStart w:id="20" w:name="_Toc82021619"/>
      <w:bookmarkStart w:id="21" w:name="_Toc82067318"/>
      <w:bookmarkStart w:id="22" w:name="_Toc82072959"/>
      <w:bookmarkStart w:id="23" w:name="_Toc82073275"/>
      <w:bookmarkStart w:id="24" w:name="_Toc82073912"/>
      <w:bookmarkStart w:id="25" w:name="_Toc82074016"/>
      <w:bookmarkStart w:id="26" w:name="_Toc168646948"/>
      <w:bookmarkStart w:id="27" w:name="_Toc169772545"/>
      <w:r w:rsidRPr="00020288">
        <w:lastRenderedPageBreak/>
        <w:t>Glossary</w:t>
      </w:r>
      <w:bookmarkStart w:id="28" w:name="_Toc485286223"/>
      <w:bookmarkStart w:id="29" w:name="_Toc78193244"/>
      <w:bookmarkStart w:id="30" w:name="_Toc78193401"/>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3EA3EE5C" w14:textId="77777777" w:rsidR="00873094" w:rsidRPr="00020288" w:rsidRDefault="00873094" w:rsidP="00873094">
      <w:pPr>
        <w:pStyle w:val="Normalparatextnonumbers"/>
      </w:pPr>
      <w:r w:rsidRPr="00020288">
        <w:t xml:space="preserve">This </w:t>
      </w:r>
      <w:r w:rsidR="00522265" w:rsidRPr="00AD70B8">
        <w:t>Supplementary</w:t>
      </w:r>
      <w:r w:rsidR="00522265">
        <w:t xml:space="preserve"> </w:t>
      </w:r>
      <w:r w:rsidRPr="00020288">
        <w:t>Explanatory Memorand</w:t>
      </w:r>
      <w:r>
        <w:t>um</w:t>
      </w:r>
      <w:r w:rsidRPr="00020288">
        <w:t xml:space="preserve"> uses the following abbreviations and acronyms.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6"/>
        <w:gridCol w:w="3874"/>
      </w:tblGrid>
      <w:tr w:rsidR="0007357B" w:rsidRPr="00126512" w14:paraId="0C46160B" w14:textId="77777777" w:rsidTr="00DE3B05">
        <w:tc>
          <w:tcPr>
            <w:tcW w:w="3776" w:type="dxa"/>
            <w:shd w:val="clear" w:color="auto" w:fill="auto"/>
          </w:tcPr>
          <w:p w14:paraId="15ED9599" w14:textId="77777777" w:rsidR="0007357B" w:rsidRPr="007A2D0E" w:rsidRDefault="0007357B" w:rsidP="00126512">
            <w:pPr>
              <w:pStyle w:val="Tableheaderrowtext"/>
              <w:numPr>
                <w:ilvl w:val="3"/>
                <w:numId w:val="2"/>
              </w:numPr>
            </w:pPr>
            <w:bookmarkStart w:id="31" w:name="GlossaryTableStart"/>
            <w:bookmarkEnd w:id="31"/>
            <w:r w:rsidRPr="007A2D0E">
              <w:t>Abbreviation</w:t>
            </w:r>
          </w:p>
        </w:tc>
        <w:tc>
          <w:tcPr>
            <w:tcW w:w="3874" w:type="dxa"/>
            <w:shd w:val="clear" w:color="auto" w:fill="auto"/>
          </w:tcPr>
          <w:p w14:paraId="5690CE45" w14:textId="77777777" w:rsidR="0007357B" w:rsidRPr="007A2D0E" w:rsidRDefault="0007357B" w:rsidP="00126512">
            <w:pPr>
              <w:pStyle w:val="Tableheaderrowtext"/>
              <w:numPr>
                <w:ilvl w:val="3"/>
                <w:numId w:val="2"/>
              </w:numPr>
            </w:pPr>
            <w:r w:rsidRPr="007A2D0E">
              <w:t>Definition</w:t>
            </w:r>
          </w:p>
        </w:tc>
      </w:tr>
      <w:tr w:rsidR="0007357B" w:rsidRPr="00020288" w14:paraId="5C7FE40B" w14:textId="77777777" w:rsidTr="0007357B">
        <w:tc>
          <w:tcPr>
            <w:tcW w:w="3776" w:type="dxa"/>
            <w:tcBorders>
              <w:top w:val="single" w:sz="4" w:space="0" w:color="auto"/>
              <w:left w:val="single" w:sz="4" w:space="0" w:color="auto"/>
              <w:bottom w:val="single" w:sz="4" w:space="0" w:color="auto"/>
              <w:right w:val="single" w:sz="4" w:space="0" w:color="auto"/>
            </w:tcBorders>
          </w:tcPr>
          <w:p w14:paraId="1E341A84" w14:textId="77777777" w:rsidR="0007357B" w:rsidRPr="00020288" w:rsidRDefault="0007357B" w:rsidP="00DE3B05">
            <w:pPr>
              <w:pStyle w:val="Normalparatextnonumbers"/>
            </w:pPr>
            <w:r>
              <w:t>AASB</w:t>
            </w:r>
          </w:p>
        </w:tc>
        <w:tc>
          <w:tcPr>
            <w:tcW w:w="3874" w:type="dxa"/>
            <w:tcBorders>
              <w:top w:val="single" w:sz="4" w:space="0" w:color="auto"/>
              <w:left w:val="single" w:sz="4" w:space="0" w:color="auto"/>
              <w:bottom w:val="single" w:sz="4" w:space="0" w:color="auto"/>
              <w:right w:val="single" w:sz="4" w:space="0" w:color="auto"/>
            </w:tcBorders>
          </w:tcPr>
          <w:p w14:paraId="4FE9EEED" w14:textId="77777777" w:rsidR="0007357B" w:rsidRPr="00020288" w:rsidRDefault="0007357B" w:rsidP="00DE3B05">
            <w:pPr>
              <w:pStyle w:val="Normalparatextnonumbers"/>
            </w:pPr>
            <w:r>
              <w:t>Australian Accounting Standards Board</w:t>
            </w:r>
          </w:p>
        </w:tc>
      </w:tr>
      <w:tr w:rsidR="0007357B" w:rsidRPr="00126512" w14:paraId="36273AE2" w14:textId="77777777" w:rsidTr="00DE3B05">
        <w:tc>
          <w:tcPr>
            <w:tcW w:w="3776" w:type="dxa"/>
          </w:tcPr>
          <w:p w14:paraId="315C740E" w14:textId="77777777" w:rsidR="0007357B" w:rsidRPr="009C153B" w:rsidRDefault="0007357B" w:rsidP="00DE3B05">
            <w:pPr>
              <w:pStyle w:val="Normalparatextnonumbers"/>
            </w:pPr>
            <w:r w:rsidRPr="009C153B">
              <w:t>ASIC</w:t>
            </w:r>
          </w:p>
        </w:tc>
        <w:tc>
          <w:tcPr>
            <w:tcW w:w="3874" w:type="dxa"/>
          </w:tcPr>
          <w:p w14:paraId="42DD12CE" w14:textId="77777777" w:rsidR="0007357B" w:rsidRPr="009C153B" w:rsidRDefault="0007357B" w:rsidP="00DE3B05">
            <w:pPr>
              <w:pStyle w:val="Normalparatextnonumbers"/>
            </w:pPr>
            <w:r w:rsidRPr="009C153B">
              <w:t>Australian Securities and Investments Commission</w:t>
            </w:r>
          </w:p>
        </w:tc>
      </w:tr>
      <w:tr w:rsidR="0007357B" w:rsidRPr="00126512" w14:paraId="4A9F1BE4" w14:textId="77777777" w:rsidTr="00DE3B05">
        <w:tc>
          <w:tcPr>
            <w:tcW w:w="3776" w:type="dxa"/>
          </w:tcPr>
          <w:p w14:paraId="1A0AC5F9" w14:textId="77777777" w:rsidR="0007357B" w:rsidRPr="007A2D0E" w:rsidRDefault="0007357B" w:rsidP="00DE3B05">
            <w:pPr>
              <w:pStyle w:val="Normalparatextnonumbers"/>
            </w:pPr>
            <w:r w:rsidRPr="007A2D0E">
              <w:t>ASX</w:t>
            </w:r>
          </w:p>
        </w:tc>
        <w:tc>
          <w:tcPr>
            <w:tcW w:w="3874" w:type="dxa"/>
          </w:tcPr>
          <w:p w14:paraId="2A599B14" w14:textId="77777777" w:rsidR="0007357B" w:rsidRPr="007A2D0E" w:rsidRDefault="0007357B" w:rsidP="00DE3B05">
            <w:pPr>
              <w:pStyle w:val="Normalparatextnonumbers"/>
            </w:pPr>
            <w:r w:rsidRPr="007A2D0E">
              <w:t xml:space="preserve">ASX Limited </w:t>
            </w:r>
          </w:p>
        </w:tc>
      </w:tr>
      <w:tr w:rsidR="0007357B" w:rsidRPr="00126512" w14:paraId="5B480B13" w14:textId="77777777" w:rsidTr="00DE3B05">
        <w:tc>
          <w:tcPr>
            <w:tcW w:w="3776" w:type="dxa"/>
          </w:tcPr>
          <w:p w14:paraId="54FDDA8F" w14:textId="77777777" w:rsidR="0007357B" w:rsidRPr="006E6F85" w:rsidRDefault="0007357B" w:rsidP="00DE3B05">
            <w:pPr>
              <w:pStyle w:val="Normalparatextnonumbers"/>
            </w:pPr>
            <w:r w:rsidRPr="006E6F85">
              <w:t>Bill</w:t>
            </w:r>
          </w:p>
        </w:tc>
        <w:tc>
          <w:tcPr>
            <w:tcW w:w="3874" w:type="dxa"/>
          </w:tcPr>
          <w:p w14:paraId="29B68CE6" w14:textId="77777777" w:rsidR="0007357B" w:rsidRPr="006E6F85" w:rsidRDefault="0007357B" w:rsidP="00DE3B05">
            <w:pPr>
              <w:pStyle w:val="Normalparatextnonumbers"/>
            </w:pPr>
            <w:r w:rsidRPr="006E6F85">
              <w:t>Treasury Laws Amendment (Financial Market Infrastructure and Other Measures) Bill 2024</w:t>
            </w:r>
          </w:p>
        </w:tc>
      </w:tr>
      <w:tr w:rsidR="0007357B" w:rsidRPr="00126512" w14:paraId="1C671093" w14:textId="77777777" w:rsidTr="00DE3B05">
        <w:tc>
          <w:tcPr>
            <w:tcW w:w="3776" w:type="dxa"/>
          </w:tcPr>
          <w:p w14:paraId="2BE69207" w14:textId="77777777" w:rsidR="0007357B" w:rsidRPr="007A2D0E" w:rsidRDefault="0007357B" w:rsidP="00DE3B05">
            <w:pPr>
              <w:pStyle w:val="Normalparatextnonumbers"/>
            </w:pPr>
            <w:r w:rsidRPr="007A2D0E">
              <w:t>CFR Advice to Government</w:t>
            </w:r>
          </w:p>
        </w:tc>
        <w:tc>
          <w:tcPr>
            <w:tcW w:w="3874" w:type="dxa"/>
          </w:tcPr>
          <w:p w14:paraId="477CDE40" w14:textId="77777777" w:rsidR="0007357B" w:rsidRPr="007A2D0E" w:rsidRDefault="0007357B" w:rsidP="00DE3B05">
            <w:pPr>
              <w:pStyle w:val="Normalparatextnonumbers"/>
            </w:pPr>
            <w:r w:rsidRPr="007A2D0E">
              <w:t>Financial Market Infrastructure Regulatory Reforms: Advice to Government from the Council of Financial Regulators, July 2020</w:t>
            </w:r>
          </w:p>
        </w:tc>
      </w:tr>
      <w:tr w:rsidR="0007357B" w:rsidRPr="00257D98" w14:paraId="6B406568" w14:textId="77777777" w:rsidTr="0007357B">
        <w:tc>
          <w:tcPr>
            <w:tcW w:w="3776" w:type="dxa"/>
            <w:tcBorders>
              <w:top w:val="single" w:sz="4" w:space="0" w:color="auto"/>
              <w:left w:val="single" w:sz="4" w:space="0" w:color="auto"/>
              <w:bottom w:val="single" w:sz="4" w:space="0" w:color="auto"/>
              <w:right w:val="single" w:sz="4" w:space="0" w:color="auto"/>
            </w:tcBorders>
          </w:tcPr>
          <w:p w14:paraId="38F38A48" w14:textId="77777777" w:rsidR="0007357B" w:rsidRDefault="0007357B" w:rsidP="00DE3B05">
            <w:pPr>
              <w:pStyle w:val="Normalparatextnonumbers"/>
            </w:pPr>
            <w:r>
              <w:t>Climate Change Act</w:t>
            </w:r>
          </w:p>
        </w:tc>
        <w:tc>
          <w:tcPr>
            <w:tcW w:w="3874" w:type="dxa"/>
            <w:tcBorders>
              <w:top w:val="single" w:sz="4" w:space="0" w:color="auto"/>
              <w:left w:val="single" w:sz="4" w:space="0" w:color="auto"/>
              <w:bottom w:val="single" w:sz="4" w:space="0" w:color="auto"/>
              <w:right w:val="single" w:sz="4" w:space="0" w:color="auto"/>
            </w:tcBorders>
          </w:tcPr>
          <w:p w14:paraId="720CAC71" w14:textId="77777777" w:rsidR="0007357B" w:rsidRPr="0007357B" w:rsidRDefault="0007357B" w:rsidP="00DE3B05">
            <w:pPr>
              <w:pStyle w:val="Normalparatextnonumbers"/>
            </w:pPr>
            <w:r w:rsidRPr="0007357B">
              <w:t>Climate Change Act 2022</w:t>
            </w:r>
          </w:p>
        </w:tc>
      </w:tr>
      <w:tr w:rsidR="0007357B" w:rsidRPr="00126512" w14:paraId="21D5F5D1" w14:textId="77777777" w:rsidTr="00DE3B05">
        <w:tc>
          <w:tcPr>
            <w:tcW w:w="3776" w:type="dxa"/>
          </w:tcPr>
          <w:p w14:paraId="207F3873" w14:textId="77777777" w:rsidR="0007357B" w:rsidRPr="004E30EE" w:rsidRDefault="0007357B" w:rsidP="00DE3B05">
            <w:pPr>
              <w:pStyle w:val="Normalparatextnonumbers"/>
            </w:pPr>
            <w:r w:rsidRPr="004E30EE">
              <w:t xml:space="preserve">Corporations Act </w:t>
            </w:r>
          </w:p>
        </w:tc>
        <w:tc>
          <w:tcPr>
            <w:tcW w:w="3874" w:type="dxa"/>
          </w:tcPr>
          <w:p w14:paraId="4BA55C62" w14:textId="77777777" w:rsidR="0007357B" w:rsidRPr="004E30EE" w:rsidRDefault="0007357B" w:rsidP="00DE3B05">
            <w:pPr>
              <w:pStyle w:val="Normalparatextnonumbers"/>
            </w:pPr>
            <w:r w:rsidRPr="004E30EE">
              <w:rPr>
                <w:i/>
                <w:iCs/>
              </w:rPr>
              <w:t>Corporations Act 2001</w:t>
            </w:r>
          </w:p>
        </w:tc>
      </w:tr>
      <w:tr w:rsidR="0007357B" w:rsidRPr="00126512" w14:paraId="48409121" w14:textId="77777777" w:rsidTr="00DE3B05">
        <w:tc>
          <w:tcPr>
            <w:tcW w:w="3776" w:type="dxa"/>
          </w:tcPr>
          <w:p w14:paraId="75865BCB" w14:textId="77777777" w:rsidR="0007357B" w:rsidRPr="007A2D0E" w:rsidRDefault="0007357B" w:rsidP="00DE3B05">
            <w:pPr>
              <w:pStyle w:val="Normalparatextnonumbers"/>
            </w:pPr>
            <w:r w:rsidRPr="007A2D0E">
              <w:t>Corporations Regulations</w:t>
            </w:r>
          </w:p>
        </w:tc>
        <w:tc>
          <w:tcPr>
            <w:tcW w:w="3874" w:type="dxa"/>
          </w:tcPr>
          <w:p w14:paraId="3E7C7927" w14:textId="77777777" w:rsidR="0007357B" w:rsidRPr="007A2D0E" w:rsidRDefault="0007357B" w:rsidP="00DE3B05">
            <w:pPr>
              <w:pStyle w:val="Normalparatextnonumbers"/>
              <w:rPr>
                <w:i/>
              </w:rPr>
            </w:pPr>
            <w:r w:rsidRPr="007A2D0E">
              <w:rPr>
                <w:i/>
              </w:rPr>
              <w:t>Corporations Regulations 2001</w:t>
            </w:r>
          </w:p>
        </w:tc>
      </w:tr>
      <w:tr w:rsidR="0007357B" w:rsidRPr="00126512" w14:paraId="3D849382" w14:textId="77777777" w:rsidTr="00DE3B05">
        <w:tc>
          <w:tcPr>
            <w:tcW w:w="3776" w:type="dxa"/>
          </w:tcPr>
          <w:p w14:paraId="700C6F29" w14:textId="77777777" w:rsidR="0007357B" w:rsidRPr="004E30EE" w:rsidRDefault="0007357B" w:rsidP="00DE3B05">
            <w:pPr>
              <w:pStyle w:val="Normalparatextnonumbers"/>
            </w:pPr>
            <w:r w:rsidRPr="004E30EE">
              <w:t>CS facility</w:t>
            </w:r>
          </w:p>
        </w:tc>
        <w:tc>
          <w:tcPr>
            <w:tcW w:w="3874" w:type="dxa"/>
          </w:tcPr>
          <w:p w14:paraId="28115F5F" w14:textId="77777777" w:rsidR="0007357B" w:rsidRPr="004E30EE" w:rsidRDefault="0007357B" w:rsidP="00DE3B05">
            <w:pPr>
              <w:pStyle w:val="Normalparatextnonumbers"/>
            </w:pPr>
            <w:r w:rsidRPr="004E30EE">
              <w:t xml:space="preserve">A clearing and settlement facility as defined in section 768A of the </w:t>
            </w:r>
            <w:r w:rsidRPr="004E30EE">
              <w:rPr>
                <w:i/>
                <w:iCs/>
              </w:rPr>
              <w:t>Corporations Act 2001</w:t>
            </w:r>
          </w:p>
        </w:tc>
      </w:tr>
      <w:tr w:rsidR="007148DA" w:rsidRPr="00126512" w14:paraId="1C126438" w14:textId="77777777" w:rsidTr="00DE3B05">
        <w:tc>
          <w:tcPr>
            <w:tcW w:w="3776" w:type="dxa"/>
          </w:tcPr>
          <w:p w14:paraId="2693C155" w14:textId="09955355" w:rsidR="007148DA" w:rsidRPr="004E30EE" w:rsidRDefault="007148DA" w:rsidP="00DE3B05">
            <w:pPr>
              <w:pStyle w:val="Normalparatextnonumbers"/>
            </w:pPr>
            <w:r>
              <w:t xml:space="preserve">Insurance Act </w:t>
            </w:r>
          </w:p>
        </w:tc>
        <w:tc>
          <w:tcPr>
            <w:tcW w:w="3874" w:type="dxa"/>
          </w:tcPr>
          <w:p w14:paraId="0D6CA569" w14:textId="3279817D" w:rsidR="007148DA" w:rsidRPr="002038A6" w:rsidRDefault="00FC39CE" w:rsidP="00DE3B05">
            <w:pPr>
              <w:pStyle w:val="Normalparatextnonumbers"/>
              <w:rPr>
                <w:i/>
                <w:iCs/>
              </w:rPr>
            </w:pPr>
            <w:r>
              <w:rPr>
                <w:i/>
                <w:iCs/>
              </w:rPr>
              <w:t>Insurance Act 1973</w:t>
            </w:r>
          </w:p>
        </w:tc>
      </w:tr>
      <w:tr w:rsidR="0007357B" w:rsidRPr="003131BB" w14:paraId="3D801A8B" w14:textId="77777777" w:rsidTr="0007357B">
        <w:tc>
          <w:tcPr>
            <w:tcW w:w="3776" w:type="dxa"/>
            <w:tcBorders>
              <w:top w:val="single" w:sz="4" w:space="0" w:color="auto"/>
              <w:left w:val="single" w:sz="4" w:space="0" w:color="auto"/>
              <w:bottom w:val="single" w:sz="4" w:space="0" w:color="auto"/>
              <w:right w:val="single" w:sz="4" w:space="0" w:color="auto"/>
            </w:tcBorders>
          </w:tcPr>
          <w:p w14:paraId="221BAD75" w14:textId="77777777" w:rsidR="0007357B" w:rsidRDefault="0007357B" w:rsidP="00DE3B05">
            <w:pPr>
              <w:pStyle w:val="Normalparatextnonumbers"/>
            </w:pPr>
            <w:r>
              <w:t>ISSB</w:t>
            </w:r>
          </w:p>
        </w:tc>
        <w:tc>
          <w:tcPr>
            <w:tcW w:w="3874" w:type="dxa"/>
            <w:tcBorders>
              <w:top w:val="single" w:sz="4" w:space="0" w:color="auto"/>
              <w:left w:val="single" w:sz="4" w:space="0" w:color="auto"/>
              <w:bottom w:val="single" w:sz="4" w:space="0" w:color="auto"/>
              <w:right w:val="single" w:sz="4" w:space="0" w:color="auto"/>
            </w:tcBorders>
          </w:tcPr>
          <w:p w14:paraId="1ADA2312" w14:textId="77777777" w:rsidR="0007357B" w:rsidRPr="003131BB" w:rsidRDefault="0007357B" w:rsidP="00DE3B05">
            <w:pPr>
              <w:pStyle w:val="Normalparatextnonumbers"/>
            </w:pPr>
            <w:r>
              <w:t>International Sustainability Standards Board</w:t>
            </w:r>
          </w:p>
        </w:tc>
      </w:tr>
    </w:tbl>
    <w:p w14:paraId="4304FAC5" w14:textId="77777777" w:rsidR="00873094" w:rsidRPr="00020288" w:rsidRDefault="00873094" w:rsidP="00873094"/>
    <w:p w14:paraId="31153CB9" w14:textId="77777777" w:rsidR="00873094" w:rsidRPr="00020288" w:rsidRDefault="00873094" w:rsidP="00873094">
      <w:pPr>
        <w:pStyle w:val="Heading1"/>
        <w:sectPr w:rsidR="00873094" w:rsidRPr="00020288" w:rsidSect="00000BFC">
          <w:headerReference w:type="even" r:id="rId13"/>
          <w:headerReference w:type="default" r:id="rId14"/>
          <w:headerReference w:type="first" r:id="rId15"/>
          <w:footerReference w:type="first" r:id="rId16"/>
          <w:type w:val="oddPage"/>
          <w:pgSz w:w="9979" w:h="14175" w:code="9"/>
          <w:pgMar w:top="567" w:right="1134" w:bottom="567" w:left="1134" w:header="709" w:footer="709" w:gutter="0"/>
          <w:pgNumType w:fmt="lowerRoman"/>
          <w:cols w:space="708"/>
          <w:docGrid w:linePitch="360"/>
        </w:sectPr>
      </w:pPr>
      <w:bookmarkStart w:id="32" w:name="_Toc78548464"/>
      <w:bookmarkStart w:id="33" w:name="_Toc78549735"/>
      <w:bookmarkStart w:id="34" w:name="_Toc78549780"/>
      <w:bookmarkStart w:id="35" w:name="_Toc80097484"/>
      <w:bookmarkStart w:id="36" w:name="_Toc80097778"/>
      <w:bookmarkStart w:id="37" w:name="_Toc80115277"/>
      <w:bookmarkStart w:id="38" w:name="_Toc80172452"/>
      <w:bookmarkStart w:id="39" w:name="_Toc80197116"/>
      <w:bookmarkStart w:id="40" w:name="_Toc81852683"/>
      <w:bookmarkStart w:id="41" w:name="_Toc81852728"/>
    </w:p>
    <w:p w14:paraId="16C740ED" w14:textId="77777777" w:rsidR="00873094" w:rsidRDefault="00873094" w:rsidP="00873094">
      <w:pPr>
        <w:pStyle w:val="Heading1"/>
      </w:pPr>
      <w:bookmarkStart w:id="42" w:name="GeneralOutline"/>
      <w:bookmarkStart w:id="43" w:name="_Toc82021620"/>
      <w:bookmarkStart w:id="44" w:name="_Toc82067319"/>
      <w:bookmarkStart w:id="45" w:name="_Toc82072960"/>
      <w:bookmarkStart w:id="46" w:name="_Toc82073276"/>
      <w:bookmarkStart w:id="47" w:name="_Toc82073913"/>
      <w:bookmarkStart w:id="48" w:name="_Toc82074017"/>
      <w:bookmarkStart w:id="49" w:name="_Toc168646949"/>
      <w:bookmarkStart w:id="50" w:name="_Toc169772546"/>
      <w:bookmarkEnd w:id="42"/>
      <w:r w:rsidRPr="00020288">
        <w:lastRenderedPageBreak/>
        <w:t>General outline and financial impact</w:t>
      </w:r>
      <w:bookmarkEnd w:id="28"/>
      <w:bookmarkEnd w:id="29"/>
      <w:bookmarkEnd w:id="30"/>
      <w:bookmarkEnd w:id="32"/>
      <w:bookmarkEnd w:id="33"/>
      <w:bookmarkEnd w:id="34"/>
      <w:bookmarkEnd w:id="35"/>
      <w:bookmarkEnd w:id="36"/>
      <w:bookmarkEnd w:id="37"/>
      <w:bookmarkEnd w:id="38"/>
      <w:bookmarkEnd w:id="39"/>
      <w:bookmarkEnd w:id="40"/>
      <w:bookmarkEnd w:id="41"/>
      <w:bookmarkEnd w:id="43"/>
      <w:bookmarkEnd w:id="44"/>
      <w:bookmarkEnd w:id="45"/>
      <w:bookmarkEnd w:id="46"/>
      <w:bookmarkEnd w:id="47"/>
      <w:bookmarkEnd w:id="48"/>
      <w:bookmarkEnd w:id="49"/>
      <w:bookmarkEnd w:id="50"/>
    </w:p>
    <w:p w14:paraId="75129504" w14:textId="5017346A" w:rsidR="004F7C15" w:rsidRPr="004F7C15" w:rsidRDefault="00CE615F" w:rsidP="0007357B">
      <w:pPr>
        <w:pStyle w:val="Heading2"/>
      </w:pPr>
      <w:r>
        <w:t>Parli</w:t>
      </w:r>
      <w:r w:rsidR="00E303A2">
        <w:t xml:space="preserve">amentary amendments to </w:t>
      </w:r>
      <w:r w:rsidR="0007357B">
        <w:t>Schedule</w:t>
      </w:r>
      <w:r w:rsidR="007165B1">
        <w:t>s 2 and 5</w:t>
      </w:r>
      <w:r w:rsidR="0007357B" w:rsidDel="007165B1">
        <w:t xml:space="preserve"> </w:t>
      </w:r>
      <w:r w:rsidR="00E303A2">
        <w:t xml:space="preserve">– </w:t>
      </w:r>
      <w:r w:rsidR="00BB4BA6">
        <w:t xml:space="preserve">Treasury Laws Amendment (Financial Market Infrastructure and Other Measures) </w:t>
      </w:r>
      <w:r w:rsidR="00B75868">
        <w:t>Bill</w:t>
      </w:r>
      <w:r w:rsidR="00AC4DB7">
        <w:rPr>
          <w:rFonts w:hint="eastAsia"/>
        </w:rPr>
        <w:t> </w:t>
      </w:r>
      <w:r w:rsidR="00BB4BA6">
        <w:t>2024</w:t>
      </w:r>
    </w:p>
    <w:p w14:paraId="0F476908" w14:textId="77777777" w:rsidR="00873094" w:rsidRPr="00020288" w:rsidRDefault="00873094" w:rsidP="00873094">
      <w:pPr>
        <w:pStyle w:val="Heading3"/>
        <w:numPr>
          <w:ilvl w:val="2"/>
          <w:numId w:val="2"/>
        </w:numPr>
        <w:ind w:left="1701" w:hanging="1701"/>
      </w:pPr>
      <w:bookmarkStart w:id="51" w:name="_Toc78548465"/>
      <w:bookmarkStart w:id="52" w:name="_Toc78549736"/>
      <w:bookmarkStart w:id="53" w:name="_Toc78549781"/>
      <w:bookmarkStart w:id="54" w:name="_Toc81852729"/>
      <w:r w:rsidRPr="00020288">
        <w:t>Outline</w:t>
      </w:r>
      <w:bookmarkEnd w:id="51"/>
      <w:bookmarkEnd w:id="52"/>
      <w:bookmarkEnd w:id="53"/>
      <w:bookmarkEnd w:id="54"/>
    </w:p>
    <w:p w14:paraId="1E991945" w14:textId="689086F8" w:rsidR="008D580D" w:rsidRPr="0070545E" w:rsidRDefault="006B429C" w:rsidP="00873094">
      <w:pPr>
        <w:pStyle w:val="Normalparatextnonumbers"/>
      </w:pPr>
      <w:bookmarkStart w:id="55" w:name="_Hlk168567560"/>
      <w:r w:rsidRPr="0070545E">
        <w:t xml:space="preserve">The Parliamentary amendments to </w:t>
      </w:r>
      <w:r w:rsidR="008637A8" w:rsidRPr="0070545E">
        <w:t>Schedule</w:t>
      </w:r>
      <w:r w:rsidR="00F5029A" w:rsidRPr="0070545E">
        <w:t>s</w:t>
      </w:r>
      <w:r w:rsidR="008637A8" w:rsidRPr="0070545E">
        <w:t xml:space="preserve"> 2</w:t>
      </w:r>
      <w:r w:rsidR="00F5029A" w:rsidRPr="0070545E">
        <w:t xml:space="preserve"> and 5</w:t>
      </w:r>
      <w:r w:rsidR="008637A8" w:rsidRPr="0070545E">
        <w:t xml:space="preserve"> to the Bill</w:t>
      </w:r>
      <w:r w:rsidR="006002FA">
        <w:t xml:space="preserve"> amend the Bill so that </w:t>
      </w:r>
      <w:r w:rsidR="00F83BAB" w:rsidRPr="0070545E">
        <w:t xml:space="preserve">the requirement for regulations to </w:t>
      </w:r>
      <w:r w:rsidR="00F75ED0">
        <w:t>approve</w:t>
      </w:r>
      <w:r w:rsidR="00673217" w:rsidRPr="0070545E">
        <w:t xml:space="preserve"> </w:t>
      </w:r>
      <w:r w:rsidR="00871D15" w:rsidRPr="0070545E">
        <w:t xml:space="preserve">a </w:t>
      </w:r>
      <w:r w:rsidR="00186DCA" w:rsidRPr="0070545E">
        <w:t xml:space="preserve">particular person’s </w:t>
      </w:r>
      <w:r w:rsidR="00861B8A" w:rsidRPr="0070545E">
        <w:t>voting power</w:t>
      </w:r>
      <w:r w:rsidR="00186DCA" w:rsidRPr="0070545E">
        <w:t xml:space="preserve"> </w:t>
      </w:r>
      <w:r w:rsidR="00F56592">
        <w:t xml:space="preserve">in </w:t>
      </w:r>
      <w:r w:rsidR="003232B3">
        <w:t>ASX</w:t>
      </w:r>
      <w:r w:rsidR="006002FA">
        <w:t xml:space="preserve"> </w:t>
      </w:r>
      <w:r w:rsidR="00CD7BEA">
        <w:t xml:space="preserve">in certain circumstances </w:t>
      </w:r>
      <w:r w:rsidR="006002FA">
        <w:t>is retained.</w:t>
      </w:r>
      <w:r w:rsidR="00043A58">
        <w:t xml:space="preserve"> </w:t>
      </w:r>
    </w:p>
    <w:p w14:paraId="326AB19E" w14:textId="0C1D408C" w:rsidR="008D580D" w:rsidRPr="0070545E" w:rsidRDefault="008D580D" w:rsidP="00873094">
      <w:pPr>
        <w:pStyle w:val="Normalparatextnonumbers"/>
      </w:pPr>
      <w:r w:rsidRPr="0070545E">
        <w:t xml:space="preserve">Any regulations made to approve such </w:t>
      </w:r>
      <w:r w:rsidR="00F56592">
        <w:t xml:space="preserve">holdings </w:t>
      </w:r>
      <w:r w:rsidRPr="0070545E">
        <w:t xml:space="preserve">do not take effect </w:t>
      </w:r>
      <w:r w:rsidR="008E2901" w:rsidRPr="0070545E">
        <w:t xml:space="preserve">until the disallowance period for those regulations has passed. </w:t>
      </w:r>
    </w:p>
    <w:p w14:paraId="1CD31172" w14:textId="2C0BD50A" w:rsidR="008E2901" w:rsidRPr="0070545E" w:rsidRDefault="00270CEB" w:rsidP="00873094">
      <w:pPr>
        <w:pStyle w:val="Normalparatextnonumbers"/>
      </w:pPr>
      <w:r w:rsidRPr="0070545E">
        <w:t xml:space="preserve">The </w:t>
      </w:r>
      <w:r w:rsidR="00750816" w:rsidRPr="0070545E">
        <w:t>amendments</w:t>
      </w:r>
      <w:r w:rsidRPr="0070545E">
        <w:t xml:space="preserve"> </w:t>
      </w:r>
      <w:r w:rsidR="006002FA">
        <w:t xml:space="preserve">to the Bill </w:t>
      </w:r>
      <w:r w:rsidR="008E2901" w:rsidRPr="0070545E">
        <w:t xml:space="preserve">also </w:t>
      </w:r>
      <w:r w:rsidR="00C70847" w:rsidRPr="0070545E">
        <w:t xml:space="preserve">update </w:t>
      </w:r>
      <w:r w:rsidR="00F5382D">
        <w:t>out of date</w:t>
      </w:r>
      <w:r w:rsidR="002106B0">
        <w:t xml:space="preserve"> references</w:t>
      </w:r>
      <w:r w:rsidR="00001316">
        <w:t xml:space="preserve"> in relation to ASX</w:t>
      </w:r>
      <w:r w:rsidR="00BB5D8A" w:rsidRPr="0070545E">
        <w:t xml:space="preserve"> and address a technical issue in the commencement of a civil penalty provision. </w:t>
      </w:r>
    </w:p>
    <w:bookmarkEnd w:id="55"/>
    <w:p w14:paraId="64588693" w14:textId="77777777" w:rsidR="00873094" w:rsidRPr="00020288" w:rsidRDefault="00873094" w:rsidP="00873094">
      <w:pPr>
        <w:pStyle w:val="Heading5"/>
        <w:numPr>
          <w:ilvl w:val="4"/>
          <w:numId w:val="2"/>
        </w:numPr>
        <w:ind w:left="1701" w:hanging="1701"/>
      </w:pPr>
      <w:r w:rsidRPr="00020288">
        <w:t>Date of effect</w:t>
      </w:r>
    </w:p>
    <w:p w14:paraId="332F934A" w14:textId="61560E2B" w:rsidR="00873094" w:rsidRDefault="009B6C8C" w:rsidP="00873094">
      <w:pPr>
        <w:pStyle w:val="Normalparatextnonumbers"/>
      </w:pPr>
      <w:r w:rsidRPr="009B6C8C">
        <w:t>The Bill, as amended, commences on the day after the Bill receives Royal Assent.</w:t>
      </w:r>
    </w:p>
    <w:p w14:paraId="19EB2BE9" w14:textId="77777777" w:rsidR="00873094" w:rsidRPr="00020288" w:rsidRDefault="00873094" w:rsidP="00873094">
      <w:pPr>
        <w:pStyle w:val="Heading5"/>
        <w:numPr>
          <w:ilvl w:val="4"/>
          <w:numId w:val="2"/>
        </w:numPr>
        <w:ind w:left="1701" w:hanging="1701"/>
      </w:pPr>
      <w:r w:rsidRPr="00020288">
        <w:t>Financial impact</w:t>
      </w:r>
    </w:p>
    <w:p w14:paraId="3E021BEB" w14:textId="77777777" w:rsidR="00F3329D" w:rsidRDefault="00470930" w:rsidP="00F3329D">
      <w:pPr>
        <w:pStyle w:val="Normalparatextnonumbers"/>
      </w:pPr>
      <w:r w:rsidRPr="00470930">
        <w:t>The Parliamentary amendments to the Bill are not estimated to impact the cost of the measure.</w:t>
      </w:r>
    </w:p>
    <w:p w14:paraId="6EB8415B" w14:textId="28AC1C2A" w:rsidR="00873094" w:rsidRPr="00020288" w:rsidRDefault="00873094" w:rsidP="00873094">
      <w:pPr>
        <w:pStyle w:val="Heading5"/>
        <w:numPr>
          <w:ilvl w:val="4"/>
          <w:numId w:val="2"/>
        </w:numPr>
        <w:ind w:left="1701" w:hanging="1701"/>
      </w:pPr>
      <w:r w:rsidRPr="00020288">
        <w:t>Human rights implications</w:t>
      </w:r>
    </w:p>
    <w:p w14:paraId="2DB02464" w14:textId="10C9B72B" w:rsidR="00325148" w:rsidRPr="00325148" w:rsidRDefault="005066F5" w:rsidP="00325148">
      <w:pPr>
        <w:pStyle w:val="Normalparatextnonumbers"/>
      </w:pPr>
      <w:r w:rsidRPr="00153F2F">
        <w:t>Th</w:t>
      </w:r>
      <w:r w:rsidR="000B2B87" w:rsidRPr="00153F2F">
        <w:t xml:space="preserve">e Parliamentary </w:t>
      </w:r>
      <w:r w:rsidR="00EE29FF" w:rsidRPr="00153F2F">
        <w:t>a</w:t>
      </w:r>
      <w:r w:rsidR="000B2B87" w:rsidRPr="00153F2F">
        <w:t>mendments</w:t>
      </w:r>
      <w:r w:rsidRPr="00153F2F">
        <w:t xml:space="preserve"> </w:t>
      </w:r>
      <w:r w:rsidR="00153F2F" w:rsidRPr="00153F2F">
        <w:t xml:space="preserve">do not affect the analysis of human rights issues. </w:t>
      </w:r>
      <w:r w:rsidRPr="00153F2F">
        <w:t>See Statement of Compatibility with Human Rights — Chapter</w:t>
      </w:r>
      <w:r w:rsidR="00082369" w:rsidRPr="00153F2F">
        <w:t> </w:t>
      </w:r>
      <w:r w:rsidR="00D03DD6">
        <w:t>3</w:t>
      </w:r>
      <w:r w:rsidR="00003B7B" w:rsidRPr="00153F2F">
        <w:t>.</w:t>
      </w:r>
    </w:p>
    <w:p w14:paraId="5970CC32" w14:textId="77777777" w:rsidR="00873094" w:rsidRPr="00020288" w:rsidRDefault="00873094" w:rsidP="00873094">
      <w:pPr>
        <w:pStyle w:val="Heading5"/>
        <w:numPr>
          <w:ilvl w:val="4"/>
          <w:numId w:val="2"/>
        </w:numPr>
        <w:ind w:left="1701" w:hanging="1701"/>
      </w:pPr>
      <w:r w:rsidRPr="00020288">
        <w:t>Compliance cost impact</w:t>
      </w:r>
    </w:p>
    <w:p w14:paraId="57567906" w14:textId="0A06C77A" w:rsidR="00873094" w:rsidRPr="00020288" w:rsidRDefault="00A53FB1" w:rsidP="00873094">
      <w:pPr>
        <w:pStyle w:val="Normalparatextnonumbers"/>
      </w:pPr>
      <w:bookmarkStart w:id="56" w:name="_Toc78548467"/>
      <w:bookmarkStart w:id="57" w:name="_Toc78549738"/>
      <w:bookmarkStart w:id="58" w:name="_Toc78549783"/>
      <w:r w:rsidRPr="002133ED">
        <w:t>The compliance cost impact is unchanged.</w:t>
      </w:r>
    </w:p>
    <w:p w14:paraId="21120C7D" w14:textId="7F94C253" w:rsidR="0007357B" w:rsidRPr="004F7C15" w:rsidRDefault="00EE4DB9" w:rsidP="0007357B">
      <w:pPr>
        <w:pStyle w:val="Heading2"/>
      </w:pPr>
      <w:r>
        <w:lastRenderedPageBreak/>
        <w:t xml:space="preserve">Parliamentary amendments to </w:t>
      </w:r>
      <w:r w:rsidR="0007357B">
        <w:t xml:space="preserve">Schedule </w:t>
      </w:r>
      <w:r>
        <w:t>4</w:t>
      </w:r>
      <w:r w:rsidR="0007357B">
        <w:t xml:space="preserve"> </w:t>
      </w:r>
      <w:r>
        <w:t>–</w:t>
      </w:r>
      <w:r w:rsidR="0007357B">
        <w:t xml:space="preserve"> Treasury Laws Amendment (Financial Market Infrastructure and Other Measures) Bill 2024</w:t>
      </w:r>
    </w:p>
    <w:p w14:paraId="4C75C8DD" w14:textId="77777777" w:rsidR="0007357B" w:rsidRPr="00020288" w:rsidRDefault="0007357B" w:rsidP="0007357B">
      <w:pPr>
        <w:pStyle w:val="Heading3"/>
        <w:numPr>
          <w:ilvl w:val="2"/>
          <w:numId w:val="2"/>
        </w:numPr>
        <w:ind w:left="1701" w:hanging="1701"/>
      </w:pPr>
      <w:r w:rsidRPr="00020288">
        <w:t>Outline</w:t>
      </w:r>
    </w:p>
    <w:p w14:paraId="5DA79BA1" w14:textId="77777777" w:rsidR="0007357B" w:rsidRDefault="0007357B" w:rsidP="0007357B">
      <w:pPr>
        <w:pStyle w:val="Normalparatextnonumbers"/>
      </w:pPr>
      <w:r>
        <w:t>The Parliamentary amendment to Schedule 4 to the Bill amends the Bill to require entities to use both a higher and a lower global average temperature increase scenario, where the sustainability standards require the disclosure of a scenario analysis or information derived from or about a scenario analysis.</w:t>
      </w:r>
    </w:p>
    <w:p w14:paraId="020A450F" w14:textId="77777777" w:rsidR="0007357B" w:rsidRPr="00020288" w:rsidRDefault="0007357B" w:rsidP="0007357B">
      <w:pPr>
        <w:pStyle w:val="Heading5"/>
        <w:numPr>
          <w:ilvl w:val="4"/>
          <w:numId w:val="2"/>
        </w:numPr>
        <w:ind w:left="1701" w:hanging="1701"/>
      </w:pPr>
      <w:r w:rsidRPr="00020288">
        <w:t>Date of effect</w:t>
      </w:r>
    </w:p>
    <w:p w14:paraId="5F08148F" w14:textId="77777777" w:rsidR="0007357B" w:rsidRDefault="0007357B" w:rsidP="0007357B">
      <w:pPr>
        <w:pStyle w:val="Normalparatextnonumbers"/>
      </w:pPr>
      <w:r>
        <w:t>The Parliamentary amendment commences the day after Royal Assent, in accordance with the date of effect for Schedule 4 of the Bill.</w:t>
      </w:r>
    </w:p>
    <w:p w14:paraId="54099010" w14:textId="77777777" w:rsidR="0007357B" w:rsidRPr="00020288" w:rsidRDefault="0007357B" w:rsidP="0007357B">
      <w:pPr>
        <w:pStyle w:val="Heading5"/>
        <w:numPr>
          <w:ilvl w:val="4"/>
          <w:numId w:val="2"/>
        </w:numPr>
        <w:ind w:left="1701" w:hanging="1701"/>
      </w:pPr>
      <w:r w:rsidRPr="00020288">
        <w:t>Financial impact</w:t>
      </w:r>
    </w:p>
    <w:p w14:paraId="0DE885B0" w14:textId="77777777" w:rsidR="0007357B" w:rsidRDefault="0007357B" w:rsidP="0007357B">
      <w:pPr>
        <w:pStyle w:val="Normalparatextnonumbers"/>
      </w:pPr>
      <w:r>
        <w:t>The Parliamentary amendment to the Bill is not estimated to impact the cost of the measure.</w:t>
      </w:r>
    </w:p>
    <w:p w14:paraId="2C5D7C8B" w14:textId="77777777" w:rsidR="0007357B" w:rsidRPr="00020288" w:rsidRDefault="0007357B" w:rsidP="0007357B">
      <w:pPr>
        <w:pStyle w:val="Heading5"/>
        <w:numPr>
          <w:ilvl w:val="4"/>
          <w:numId w:val="2"/>
        </w:numPr>
        <w:ind w:left="1701" w:hanging="1701"/>
      </w:pPr>
      <w:r w:rsidRPr="00020288">
        <w:t>Human rights implications</w:t>
      </w:r>
    </w:p>
    <w:p w14:paraId="197F9E8A" w14:textId="77777777" w:rsidR="0007357B" w:rsidRPr="00325148" w:rsidRDefault="0007357B" w:rsidP="0007357B">
      <w:pPr>
        <w:pStyle w:val="Normalparatextnonumbers"/>
      </w:pPr>
      <w:r w:rsidRPr="00082369">
        <w:t xml:space="preserve">The Parliamentary amendment </w:t>
      </w:r>
      <w:r>
        <w:t>does not affect the analysis of</w:t>
      </w:r>
      <w:r w:rsidRPr="00082369">
        <w:t xml:space="preserve"> human rights issues. See Statement of Compatibility with Human Rights — Chapter </w:t>
      </w:r>
      <w:r>
        <w:t>2</w:t>
      </w:r>
      <w:r w:rsidRPr="00082369">
        <w:t>.</w:t>
      </w:r>
    </w:p>
    <w:p w14:paraId="4FF1D6E5" w14:textId="77777777" w:rsidR="0007357B" w:rsidRPr="00020288" w:rsidRDefault="0007357B" w:rsidP="0007357B">
      <w:pPr>
        <w:pStyle w:val="Heading5"/>
        <w:numPr>
          <w:ilvl w:val="4"/>
          <w:numId w:val="2"/>
        </w:numPr>
        <w:ind w:left="1701" w:hanging="1701"/>
      </w:pPr>
      <w:r w:rsidRPr="00020288">
        <w:t>Compliance cost impact</w:t>
      </w:r>
    </w:p>
    <w:p w14:paraId="0BCDE2F7" w14:textId="77777777" w:rsidR="0007357B" w:rsidRPr="00020288" w:rsidRDefault="0007357B" w:rsidP="0007357B">
      <w:pPr>
        <w:pStyle w:val="Normalparatextnonumbers"/>
      </w:pPr>
      <w:r>
        <w:t>The compliance cost impact of the Bill is unchanged.</w:t>
      </w:r>
    </w:p>
    <w:p w14:paraId="1B4A4535" w14:textId="77777777" w:rsidR="00873094" w:rsidRPr="00020288" w:rsidRDefault="00873094" w:rsidP="00873094">
      <w:pPr>
        <w:spacing w:before="0" w:after="0" w:line="360" w:lineRule="auto"/>
        <w:contextualSpacing/>
      </w:pPr>
    </w:p>
    <w:p w14:paraId="1CA2DE77" w14:textId="77777777" w:rsidR="00873094" w:rsidRDefault="00873094" w:rsidP="00873094">
      <w:pPr>
        <w:spacing w:before="0" w:after="0" w:line="360" w:lineRule="auto"/>
        <w:contextualSpacing/>
      </w:pPr>
    </w:p>
    <w:p w14:paraId="0B4DC83E" w14:textId="77777777" w:rsidR="0007357B" w:rsidRPr="00020288" w:rsidRDefault="0007357B" w:rsidP="00873094">
      <w:pPr>
        <w:spacing w:before="0" w:after="0" w:line="360" w:lineRule="auto"/>
        <w:contextualSpacing/>
        <w:sectPr w:rsidR="0007357B" w:rsidRPr="00020288" w:rsidSect="00DD6CB7">
          <w:headerReference w:type="even" r:id="rId17"/>
          <w:headerReference w:type="default" r:id="rId18"/>
          <w:footerReference w:type="even" r:id="rId19"/>
          <w:footerReference w:type="default" r:id="rId20"/>
          <w:headerReference w:type="first" r:id="rId21"/>
          <w:footerReference w:type="first" r:id="rId22"/>
          <w:type w:val="oddPage"/>
          <w:pgSz w:w="9979" w:h="14175" w:code="9"/>
          <w:pgMar w:top="567" w:right="1134" w:bottom="567" w:left="1134" w:header="709" w:footer="709" w:gutter="0"/>
          <w:pgNumType w:start="1"/>
          <w:cols w:space="708"/>
          <w:titlePg/>
          <w:docGrid w:linePitch="360"/>
        </w:sectPr>
      </w:pPr>
    </w:p>
    <w:p w14:paraId="420798AA" w14:textId="05B85C11" w:rsidR="00873094" w:rsidRPr="0073326A" w:rsidRDefault="00E303A2" w:rsidP="00777A92">
      <w:pPr>
        <w:pStyle w:val="Chapterheading"/>
      </w:pPr>
      <w:bookmarkStart w:id="59" w:name="_Toc168646950"/>
      <w:bookmarkStart w:id="60" w:name="_Toc169772547"/>
      <w:bookmarkEnd w:id="56"/>
      <w:bookmarkEnd w:id="57"/>
      <w:bookmarkEnd w:id="58"/>
      <w:r w:rsidRPr="004B693E">
        <w:lastRenderedPageBreak/>
        <w:t xml:space="preserve">Parliamentary </w:t>
      </w:r>
      <w:r>
        <w:t>a</w:t>
      </w:r>
      <w:r w:rsidRPr="004B693E">
        <w:t xml:space="preserve">mendments </w:t>
      </w:r>
      <w:r>
        <w:t>to Schedules 2 and 5</w:t>
      </w:r>
      <w:r w:rsidRPr="004B693E">
        <w:t xml:space="preserve"> – </w:t>
      </w:r>
      <w:r w:rsidR="004B693E" w:rsidRPr="004B693E">
        <w:t>Treasury Laws Amendment (Financial Market Infrastructure and Other Measures) Bill 2024</w:t>
      </w:r>
      <w:bookmarkEnd w:id="59"/>
      <w:bookmarkEnd w:id="60"/>
    </w:p>
    <w:p w14:paraId="61613C98" w14:textId="77777777" w:rsidR="00873094" w:rsidRPr="00020288" w:rsidRDefault="00873094" w:rsidP="005D0844">
      <w:pPr>
        <w:pStyle w:val="Heading2"/>
      </w:pPr>
      <w:r w:rsidRPr="00020288">
        <w:t xml:space="preserve">Outline </w:t>
      </w:r>
      <w:r w:rsidRPr="005D0844">
        <w:t>of</w:t>
      </w:r>
      <w:r w:rsidRPr="00020288">
        <w:t xml:space="preserve"> chapter</w:t>
      </w:r>
    </w:p>
    <w:p w14:paraId="66323979" w14:textId="7E5810DD" w:rsidR="0070545E" w:rsidRDefault="0070545E" w:rsidP="0070545E">
      <w:pPr>
        <w:pStyle w:val="Normalparatextwithnumbers"/>
      </w:pPr>
      <w:r>
        <w:t xml:space="preserve">The Parliamentary amendments to Schedules 2 and 5 to the Bill amend </w:t>
      </w:r>
      <w:r w:rsidR="00740F8F">
        <w:t xml:space="preserve">relevant provisions to </w:t>
      </w:r>
      <w:r>
        <w:t xml:space="preserve">retain the requirement </w:t>
      </w:r>
      <w:r w:rsidR="007C02EB">
        <w:t>that</w:t>
      </w:r>
      <w:r>
        <w:t xml:space="preserve"> regulations be made </w:t>
      </w:r>
      <w:r w:rsidR="00740F8F">
        <w:t>to approve</w:t>
      </w:r>
      <w:r>
        <w:t xml:space="preserve"> a particular person’s voting power in </w:t>
      </w:r>
      <w:r w:rsidR="00987EAF">
        <w:t>ASX</w:t>
      </w:r>
      <w:r>
        <w:t xml:space="preserve">, if the proposed voting power would </w:t>
      </w:r>
      <w:r w:rsidR="007C02EB">
        <w:t xml:space="preserve">exceed the threshold for an unacceptable control situation. </w:t>
      </w:r>
      <w:r>
        <w:t xml:space="preserve"> </w:t>
      </w:r>
    </w:p>
    <w:p w14:paraId="2FD3B239" w14:textId="53834B9E" w:rsidR="0070545E" w:rsidRDefault="0070545E" w:rsidP="0070545E">
      <w:pPr>
        <w:pStyle w:val="Normalparatextwithnumbers"/>
      </w:pPr>
      <w:r>
        <w:t xml:space="preserve">Any regulations made to approve such </w:t>
      </w:r>
      <w:r w:rsidR="007C02EB">
        <w:t>holdings</w:t>
      </w:r>
      <w:r>
        <w:t xml:space="preserve"> do not take effect until the disallowance period for those regulations has passed. </w:t>
      </w:r>
    </w:p>
    <w:p w14:paraId="056AAF24" w14:textId="138BD983" w:rsidR="0070545E" w:rsidRPr="000E521B" w:rsidRDefault="0070545E" w:rsidP="0070545E">
      <w:pPr>
        <w:pStyle w:val="Normalparatextwithnumbers"/>
      </w:pPr>
      <w:r>
        <w:t xml:space="preserve">The amendments also update </w:t>
      </w:r>
      <w:r w:rsidR="002333BF">
        <w:t>out of date references to ASX</w:t>
      </w:r>
      <w:r>
        <w:t xml:space="preserve"> and address a technical issue in the commencement of a civil penalty provision</w:t>
      </w:r>
      <w:r w:rsidR="00016394">
        <w:t xml:space="preserve"> in Schedule 2</w:t>
      </w:r>
      <w:r>
        <w:t>.</w:t>
      </w:r>
    </w:p>
    <w:p w14:paraId="5F3775DD" w14:textId="77777777" w:rsidR="00873094" w:rsidRPr="00020288" w:rsidRDefault="00873094" w:rsidP="005D0844">
      <w:pPr>
        <w:pStyle w:val="Heading2"/>
      </w:pPr>
      <w:r w:rsidRPr="00020288">
        <w:t xml:space="preserve">Context of </w:t>
      </w:r>
      <w:r w:rsidRPr="005D0844">
        <w:t>amendments</w:t>
      </w:r>
    </w:p>
    <w:p w14:paraId="6DB1852F" w14:textId="200DFDE0" w:rsidR="00873094" w:rsidRDefault="00820068" w:rsidP="00873094">
      <w:pPr>
        <w:pStyle w:val="Normalparatextwithnumbers"/>
        <w:numPr>
          <w:ilvl w:val="1"/>
          <w:numId w:val="3"/>
        </w:numPr>
      </w:pPr>
      <w:r>
        <w:t xml:space="preserve">Part 4 of Schedule 2 to the Bill </w:t>
      </w:r>
      <w:r w:rsidR="00A84405">
        <w:t xml:space="preserve">amends the Corporations Act to </w:t>
      </w:r>
      <w:r w:rsidR="00AE77FB">
        <w:t>change th</w:t>
      </w:r>
      <w:r w:rsidR="002A47BC">
        <w:t>e mechanism for approving certain increases in voting power</w:t>
      </w:r>
      <w:r w:rsidR="00AE77FB">
        <w:t xml:space="preserve"> in ASX </w:t>
      </w:r>
      <w:r w:rsidR="00200147">
        <w:t xml:space="preserve">where a holding would exceed </w:t>
      </w:r>
      <w:r w:rsidR="00FE1E99">
        <w:t xml:space="preserve">the threshold for an unacceptable control situation. </w:t>
      </w:r>
    </w:p>
    <w:p w14:paraId="2FBD636D" w14:textId="1A9FCC61" w:rsidR="00FE7168" w:rsidRDefault="006A47DE" w:rsidP="00873094">
      <w:pPr>
        <w:pStyle w:val="Normalparatextwithnumbers"/>
        <w:numPr>
          <w:ilvl w:val="1"/>
          <w:numId w:val="3"/>
        </w:numPr>
      </w:pPr>
      <w:r>
        <w:t xml:space="preserve">The Corporations Act </w:t>
      </w:r>
      <w:r w:rsidR="00603262">
        <w:t>outline</w:t>
      </w:r>
      <w:r w:rsidR="00FE7168">
        <w:t>s</w:t>
      </w:r>
      <w:r w:rsidR="00603262">
        <w:t xml:space="preserve"> processes</w:t>
      </w:r>
      <w:r w:rsidR="00FE7168">
        <w:t xml:space="preserve"> to approve </w:t>
      </w:r>
      <w:r w:rsidR="005B0FCA">
        <w:t xml:space="preserve">acquisitions of voting power in widely held market bodies where the acquisition would result in </w:t>
      </w:r>
      <w:r w:rsidR="002515C9">
        <w:t xml:space="preserve">an unacceptable control </w:t>
      </w:r>
      <w:r w:rsidR="00E06380">
        <w:t>situation.</w:t>
      </w:r>
    </w:p>
    <w:p w14:paraId="16CE7AEC" w14:textId="00EBE2B8" w:rsidR="00FE1E99" w:rsidRDefault="003044AD" w:rsidP="00873094">
      <w:pPr>
        <w:pStyle w:val="Normalparatextwithnumbers"/>
        <w:numPr>
          <w:ilvl w:val="1"/>
          <w:numId w:val="3"/>
        </w:numPr>
      </w:pPr>
      <w:r>
        <w:t xml:space="preserve">The threshold for an unacceptable control situation is </w:t>
      </w:r>
      <w:r w:rsidR="00D75A1F">
        <w:t xml:space="preserve">the acquisition of </w:t>
      </w:r>
      <w:r>
        <w:t>any voting power above 15</w:t>
      </w:r>
      <w:r w:rsidR="00C37665">
        <w:t xml:space="preserve"> per cent</w:t>
      </w:r>
      <w:r>
        <w:t xml:space="preserve">. </w:t>
      </w:r>
      <w:r w:rsidR="00D9272F">
        <w:t xml:space="preserve">The Bill amends this </w:t>
      </w:r>
      <w:r w:rsidR="005B0070">
        <w:t xml:space="preserve">threshold </w:t>
      </w:r>
      <w:r w:rsidR="00D9272F">
        <w:t>to 20</w:t>
      </w:r>
      <w:r w:rsidR="00C37665">
        <w:t xml:space="preserve"> per cent</w:t>
      </w:r>
      <w:r w:rsidR="00D9272F">
        <w:t xml:space="preserve"> (see paragraph </w:t>
      </w:r>
      <w:r w:rsidR="00D85292">
        <w:t>1.12</w:t>
      </w:r>
      <w:r w:rsidR="00D9272F">
        <w:t xml:space="preserve">). </w:t>
      </w:r>
    </w:p>
    <w:p w14:paraId="28A923FD" w14:textId="35BA9018" w:rsidR="004064BA" w:rsidRDefault="004064BA" w:rsidP="00873094">
      <w:pPr>
        <w:pStyle w:val="Normalparatextwithnumbers"/>
        <w:numPr>
          <w:ilvl w:val="1"/>
          <w:numId w:val="3"/>
        </w:numPr>
      </w:pPr>
      <w:r>
        <w:t>Widely held market bodies are</w:t>
      </w:r>
      <w:r w:rsidR="00F50AD1">
        <w:t xml:space="preserve"> </w:t>
      </w:r>
      <w:r w:rsidR="00016638">
        <w:t>prescribed in regulation 7.4.1 of the Corporations Regulations</w:t>
      </w:r>
      <w:r w:rsidR="009B0E45">
        <w:t xml:space="preserve">. </w:t>
      </w:r>
    </w:p>
    <w:p w14:paraId="1A894850" w14:textId="41072481" w:rsidR="001C5B80" w:rsidRDefault="00D3329D" w:rsidP="001B5ED5">
      <w:pPr>
        <w:pStyle w:val="Normalparatextwithnumbers"/>
        <w:numPr>
          <w:ilvl w:val="1"/>
          <w:numId w:val="3"/>
        </w:numPr>
      </w:pPr>
      <w:r>
        <w:t>Except for ASX,</w:t>
      </w:r>
      <w:r w:rsidR="00102B7C">
        <w:t xml:space="preserve"> </w:t>
      </w:r>
      <w:r w:rsidR="00FB6C45">
        <w:t>any proposed acquisition of shares</w:t>
      </w:r>
      <w:r w:rsidR="00755133">
        <w:t xml:space="preserve"> in </w:t>
      </w:r>
      <w:r w:rsidR="005D5C6F">
        <w:t>a widely held market</w:t>
      </w:r>
      <w:r w:rsidR="00755133">
        <w:t xml:space="preserve"> bodies</w:t>
      </w:r>
      <w:r w:rsidR="00FB6C45">
        <w:t xml:space="preserve"> that would breach the unacceptable control situations </w:t>
      </w:r>
      <w:r w:rsidR="00102B7C">
        <w:t xml:space="preserve">threshold </w:t>
      </w:r>
      <w:r w:rsidR="005D5C6F">
        <w:t>needs to be approved</w:t>
      </w:r>
      <w:r w:rsidR="006D5195">
        <w:t xml:space="preserve"> by the Minister after </w:t>
      </w:r>
      <w:r w:rsidR="00757AE9">
        <w:t xml:space="preserve">an application to ASIC. </w:t>
      </w:r>
    </w:p>
    <w:p w14:paraId="78C7DD05" w14:textId="59813B16" w:rsidR="007070A7" w:rsidRDefault="00EB71C7" w:rsidP="001B5ED5">
      <w:pPr>
        <w:pStyle w:val="Normalparatextwithnumbers"/>
        <w:numPr>
          <w:ilvl w:val="1"/>
          <w:numId w:val="3"/>
        </w:numPr>
      </w:pPr>
      <w:r>
        <w:lastRenderedPageBreak/>
        <w:t>There is a special rule</w:t>
      </w:r>
      <w:r w:rsidR="00DC4650">
        <w:t xml:space="preserve"> for ASX </w:t>
      </w:r>
      <w:r>
        <w:t xml:space="preserve">where </w:t>
      </w:r>
      <w:r w:rsidR="00DC4650">
        <w:t xml:space="preserve">a regulation </w:t>
      </w:r>
      <w:r>
        <w:t>must be made</w:t>
      </w:r>
      <w:r w:rsidR="00DC4650">
        <w:t xml:space="preserve"> to approve a holding that would result in an unacceptable control situation</w:t>
      </w:r>
      <w:r>
        <w:t xml:space="preserve"> instead of ministerial approval</w:t>
      </w:r>
      <w:r w:rsidR="005D5C6F">
        <w:t xml:space="preserve">. </w:t>
      </w:r>
      <w:r w:rsidR="002C0C3F">
        <w:t xml:space="preserve">The regulation does not take effect until the </w:t>
      </w:r>
      <w:r w:rsidR="0058609C">
        <w:t xml:space="preserve">relevant instrument is no longer liable to be </w:t>
      </w:r>
      <w:r w:rsidR="00EB3034">
        <w:t>disallowed by either House of Parliament.</w:t>
      </w:r>
    </w:p>
    <w:p w14:paraId="3994A278" w14:textId="1CA0E0C4" w:rsidR="00454F60" w:rsidRDefault="000B29B8" w:rsidP="00873094">
      <w:pPr>
        <w:pStyle w:val="Normalparatextwithnumbers"/>
        <w:numPr>
          <w:ilvl w:val="1"/>
          <w:numId w:val="3"/>
        </w:numPr>
      </w:pPr>
      <w:r>
        <w:t>Items 36, 37, 3</w:t>
      </w:r>
      <w:r w:rsidR="0087320D">
        <w:t>8</w:t>
      </w:r>
      <w:r>
        <w:t xml:space="preserve"> and 39 in Schedule 2 </w:t>
      </w:r>
      <w:r w:rsidR="00FF2492">
        <w:t xml:space="preserve">seek to </w:t>
      </w:r>
      <w:r w:rsidR="001B5ED5">
        <w:t xml:space="preserve">align the approval </w:t>
      </w:r>
      <w:r w:rsidR="00AC15E4">
        <w:t xml:space="preserve">process and mechanism </w:t>
      </w:r>
      <w:r w:rsidR="001B5ED5">
        <w:t>for</w:t>
      </w:r>
      <w:r w:rsidR="00C023E2">
        <w:t xml:space="preserve"> </w:t>
      </w:r>
      <w:r w:rsidR="001B5ED5">
        <w:t xml:space="preserve">ASX </w:t>
      </w:r>
      <w:r w:rsidR="00EC78DA">
        <w:t>so that it is consistent with</w:t>
      </w:r>
      <w:r w:rsidR="00A12009">
        <w:t xml:space="preserve"> </w:t>
      </w:r>
      <w:r w:rsidR="000819E7">
        <w:t xml:space="preserve">the process </w:t>
      </w:r>
      <w:r w:rsidR="008A7898">
        <w:t xml:space="preserve">and mechanism for </w:t>
      </w:r>
      <w:r w:rsidR="00AC15E4">
        <w:t xml:space="preserve">other widely held market bodies. </w:t>
      </w:r>
      <w:r w:rsidR="00B617AB">
        <w:t xml:space="preserve">The Minister would </w:t>
      </w:r>
      <w:r w:rsidR="00781D05">
        <w:t xml:space="preserve">need to approve </w:t>
      </w:r>
      <w:r w:rsidR="00961D0D">
        <w:t>relevant acquisitions</w:t>
      </w:r>
      <w:r w:rsidR="00B617AB">
        <w:t xml:space="preserve"> </w:t>
      </w:r>
      <w:r w:rsidR="006D709D">
        <w:t xml:space="preserve">after </w:t>
      </w:r>
      <w:r w:rsidR="006C12E0">
        <w:t xml:space="preserve">the entity seeking to acquire the voting power applies </w:t>
      </w:r>
      <w:r w:rsidR="006D709D">
        <w:t xml:space="preserve">to ASIC. </w:t>
      </w:r>
    </w:p>
    <w:p w14:paraId="1C3F1DC9" w14:textId="2A97D712" w:rsidR="003965BC" w:rsidRDefault="00AF1C9C" w:rsidP="00873094">
      <w:pPr>
        <w:pStyle w:val="Normalparatextwithnumbers"/>
        <w:numPr>
          <w:ilvl w:val="1"/>
          <w:numId w:val="3"/>
        </w:numPr>
      </w:pPr>
      <w:r>
        <w:t>Aligning</w:t>
      </w:r>
      <w:r w:rsidR="003A0565">
        <w:t xml:space="preserve"> </w:t>
      </w:r>
      <w:r w:rsidR="000D1830">
        <w:t>the approval mechanism in relation to</w:t>
      </w:r>
      <w:r w:rsidR="00C771DD">
        <w:t xml:space="preserve"> ASX with other widely held market bodies was recommended by</w:t>
      </w:r>
      <w:r w:rsidR="003965BC">
        <w:t xml:space="preserve"> </w:t>
      </w:r>
      <w:r w:rsidR="00C771DD">
        <w:t>the</w:t>
      </w:r>
      <w:r w:rsidR="003965BC">
        <w:t xml:space="preserve"> </w:t>
      </w:r>
      <w:r w:rsidR="004A00AF">
        <w:t xml:space="preserve">CFR Advice to Government </w:t>
      </w:r>
      <w:r w:rsidR="00C771DD">
        <w:t xml:space="preserve">(recommendation 9) </w:t>
      </w:r>
      <w:r w:rsidR="004A00AF">
        <w:t>and the Financial System Inquiry</w:t>
      </w:r>
      <w:r w:rsidR="003A0565">
        <w:t xml:space="preserve"> Final Report</w:t>
      </w:r>
      <w:r w:rsidR="00C771DD">
        <w:t xml:space="preserve"> (recommendation 44). </w:t>
      </w:r>
      <w:r w:rsidR="00B1092F">
        <w:t xml:space="preserve">The Government announced its intention to implement the recommendations of the CFR Advice to Government on 14 December 2022. </w:t>
      </w:r>
    </w:p>
    <w:p w14:paraId="39565899" w14:textId="1A93AE08" w:rsidR="0040072F" w:rsidRDefault="009F4716" w:rsidP="00BE1ECF">
      <w:pPr>
        <w:pStyle w:val="Normalparatextwithnumbers"/>
        <w:numPr>
          <w:ilvl w:val="1"/>
          <w:numId w:val="3"/>
        </w:numPr>
      </w:pPr>
      <w:bookmarkStart w:id="61" w:name="_Ref168570169"/>
      <w:r>
        <w:t xml:space="preserve">Items </w:t>
      </w:r>
      <w:r w:rsidR="0040072F">
        <w:t>45 to 50</w:t>
      </w:r>
      <w:r w:rsidR="00E03F46">
        <w:t xml:space="preserve"> in Schedule 2 </w:t>
      </w:r>
      <w:r w:rsidR="00A042B1">
        <w:t xml:space="preserve">amend the Corporations Act to </w:t>
      </w:r>
      <w:r>
        <w:t xml:space="preserve">increase the </w:t>
      </w:r>
      <w:r w:rsidR="00F30BA0">
        <w:t>unacceptable control situation threshold from</w:t>
      </w:r>
      <w:r w:rsidR="0040072F">
        <w:t xml:space="preserve"> 15</w:t>
      </w:r>
      <w:r w:rsidR="00C37665">
        <w:t xml:space="preserve"> per cent</w:t>
      </w:r>
      <w:r w:rsidR="0040072F">
        <w:t xml:space="preserve"> to 20</w:t>
      </w:r>
      <w:r w:rsidR="00C37665">
        <w:t xml:space="preserve"> per cent</w:t>
      </w:r>
      <w:r w:rsidR="0040072F">
        <w:t xml:space="preserve">. </w:t>
      </w:r>
      <w:r w:rsidR="00193A48">
        <w:t>This amendment aligns th</w:t>
      </w:r>
      <w:r w:rsidR="002555E9">
        <w:t xml:space="preserve">is threshold with a similar mechanism proposed by the Bill for ASIC </w:t>
      </w:r>
      <w:r w:rsidR="000F33F5">
        <w:t>would need to approve</w:t>
      </w:r>
      <w:r w:rsidR="00BF1FE6">
        <w:t xml:space="preserve"> </w:t>
      </w:r>
      <w:r w:rsidR="000F33F5">
        <w:t>an acquisition of voting power</w:t>
      </w:r>
      <w:r w:rsidR="00BF1FE6">
        <w:t xml:space="preserve"> in a ‘controlled Australian financial body’ where that </w:t>
      </w:r>
      <w:r w:rsidR="000F33F5">
        <w:t>acquisition would</w:t>
      </w:r>
      <w:r w:rsidR="00BF1FE6">
        <w:t xml:space="preserve"> exceed 20</w:t>
      </w:r>
      <w:r w:rsidR="008230FF">
        <w:t> </w:t>
      </w:r>
      <w:r w:rsidR="00C37665">
        <w:t>per cent</w:t>
      </w:r>
      <w:r w:rsidR="00BF1FE6">
        <w:t xml:space="preserve"> voting power. A controlled Australian financial body is any other market licens</w:t>
      </w:r>
      <w:r w:rsidR="00117767">
        <w:t>ee, CS facility licensee, derivative trade repository licensee, benchmark administrator licensee</w:t>
      </w:r>
      <w:r w:rsidR="00BE1ECF">
        <w:t xml:space="preserve">, </w:t>
      </w:r>
      <w:r w:rsidR="00117767">
        <w:t>or any holding company of those licensees</w:t>
      </w:r>
      <w:r w:rsidR="00BE1ECF">
        <w:t>, that is not a widely held market body.</w:t>
      </w:r>
      <w:bookmarkEnd w:id="61"/>
      <w:r w:rsidR="00BE1ECF">
        <w:t xml:space="preserve"> </w:t>
      </w:r>
    </w:p>
    <w:p w14:paraId="267D2999" w14:textId="4CEF902A" w:rsidR="00955606" w:rsidRPr="00020288" w:rsidRDefault="00955606" w:rsidP="00955606">
      <w:pPr>
        <w:pStyle w:val="Normalparatextwithnumbers"/>
        <w:numPr>
          <w:ilvl w:val="1"/>
          <w:numId w:val="3"/>
        </w:numPr>
      </w:pPr>
      <w:r>
        <w:t xml:space="preserve">These amendments </w:t>
      </w:r>
      <w:r w:rsidR="001456A9">
        <w:t xml:space="preserve">retain </w:t>
      </w:r>
      <w:r w:rsidR="00F21EB8">
        <w:t>Parliament’s oversight of relevant voting power approvals in ASX, due to its unique position as a monopoly provider of financial market infrastructure in Australia</w:t>
      </w:r>
      <w:r w:rsidR="0061760B">
        <w:t>.</w:t>
      </w:r>
      <w:r w:rsidR="00F21EB8">
        <w:t xml:space="preserve"> </w:t>
      </w:r>
    </w:p>
    <w:p w14:paraId="6361EE1F" w14:textId="77777777" w:rsidR="00873094" w:rsidRPr="00020288" w:rsidRDefault="00873094" w:rsidP="005D0844">
      <w:pPr>
        <w:pStyle w:val="Heading2"/>
      </w:pPr>
      <w:r w:rsidRPr="00020288">
        <w:t xml:space="preserve">Summary of </w:t>
      </w:r>
      <w:r w:rsidR="00D261D9" w:rsidRPr="00082369">
        <w:t>amendments</w:t>
      </w:r>
    </w:p>
    <w:p w14:paraId="3EF8FBC5" w14:textId="001C19B8" w:rsidR="00873094" w:rsidRDefault="00935BFC" w:rsidP="00873094">
      <w:pPr>
        <w:pStyle w:val="Normalparatextwithnumbers"/>
        <w:numPr>
          <w:ilvl w:val="1"/>
          <w:numId w:val="3"/>
        </w:numPr>
      </w:pPr>
      <w:r>
        <w:t xml:space="preserve">The </w:t>
      </w:r>
      <w:r w:rsidR="009E051C">
        <w:t xml:space="preserve">Parliamentary </w:t>
      </w:r>
      <w:r>
        <w:t xml:space="preserve">amendments amend the Bill to </w:t>
      </w:r>
      <w:r w:rsidR="00BF64D5">
        <w:t xml:space="preserve">ensure </w:t>
      </w:r>
      <w:r>
        <w:t xml:space="preserve">the </w:t>
      </w:r>
      <w:r w:rsidR="005E74DD">
        <w:t>existing</w:t>
      </w:r>
      <w:r>
        <w:t xml:space="preserve"> approval </w:t>
      </w:r>
      <w:r w:rsidR="00BF64D5">
        <w:t xml:space="preserve">mechanism for holdings </w:t>
      </w:r>
      <w:r w:rsidR="00085704">
        <w:t xml:space="preserve">in ASX </w:t>
      </w:r>
      <w:r w:rsidR="00BF64D5">
        <w:t xml:space="preserve">above the unacceptable control situation threshold </w:t>
      </w:r>
      <w:r w:rsidR="002C3919">
        <w:t xml:space="preserve">is retained. </w:t>
      </w:r>
    </w:p>
    <w:p w14:paraId="09D23C03" w14:textId="6DF0F532" w:rsidR="00DB1BB2" w:rsidRDefault="000412D5" w:rsidP="00873094">
      <w:pPr>
        <w:pStyle w:val="Normalparatextwithnumbers"/>
        <w:numPr>
          <w:ilvl w:val="1"/>
          <w:numId w:val="3"/>
        </w:numPr>
      </w:pPr>
      <w:r>
        <w:t>Amendments elsewhere in the Bill increase the unacceptable control situation threshold from 15</w:t>
      </w:r>
      <w:r w:rsidR="00C37665">
        <w:t xml:space="preserve"> per cent</w:t>
      </w:r>
      <w:r>
        <w:t xml:space="preserve"> to 20</w:t>
      </w:r>
      <w:r w:rsidR="00C37665">
        <w:t xml:space="preserve"> per cent</w:t>
      </w:r>
      <w:r>
        <w:t xml:space="preserve"> (see paragraph</w:t>
      </w:r>
      <w:r w:rsidR="006B7E15">
        <w:t xml:space="preserve"> </w:t>
      </w:r>
      <w:r w:rsidR="00D85292">
        <w:t>1.12</w:t>
      </w:r>
      <w:r>
        <w:t>)</w:t>
      </w:r>
      <w:r w:rsidR="005E74DD">
        <w:t>. Therefore</w:t>
      </w:r>
      <w:r w:rsidR="00BE7399">
        <w:t>,</w:t>
      </w:r>
      <w:r w:rsidR="005E74DD">
        <w:t xml:space="preserve"> the effect of th</w:t>
      </w:r>
      <w:r w:rsidR="00037ED6">
        <w:t>e</w:t>
      </w:r>
      <w:r w:rsidR="005E74DD">
        <w:t xml:space="preserve"> amendments will be to retain the existing approval mechanism by regulation</w:t>
      </w:r>
      <w:r w:rsidR="00644A85">
        <w:t xml:space="preserve"> for a proposed voting power of </w:t>
      </w:r>
      <w:r w:rsidR="0083517B">
        <w:t xml:space="preserve">greater than </w:t>
      </w:r>
      <w:r w:rsidR="00644A85">
        <w:t>20</w:t>
      </w:r>
      <w:r w:rsidR="00C37665">
        <w:t xml:space="preserve"> per cent</w:t>
      </w:r>
      <w:r w:rsidR="0083517B">
        <w:t xml:space="preserve"> in ASX. </w:t>
      </w:r>
      <w:r w:rsidR="006C3CE7">
        <w:t>A regulation to approve a certain holding</w:t>
      </w:r>
      <w:r w:rsidR="00FA472F">
        <w:t xml:space="preserve"> does not take effect until the </w:t>
      </w:r>
      <w:r w:rsidR="00DB1BB2">
        <w:t xml:space="preserve">instrument </w:t>
      </w:r>
      <w:r w:rsidR="003977CC">
        <w:t>providing that approval</w:t>
      </w:r>
      <w:r w:rsidR="00DB1BB2">
        <w:t xml:space="preserve"> is no longer liable to be disallowed by either House of Parliament. </w:t>
      </w:r>
    </w:p>
    <w:p w14:paraId="6915BEFA" w14:textId="6C0CCE5F" w:rsidR="002C3919" w:rsidRDefault="00CB1A18" w:rsidP="00873094">
      <w:pPr>
        <w:pStyle w:val="Normalparatextwithnumbers"/>
        <w:numPr>
          <w:ilvl w:val="1"/>
          <w:numId w:val="3"/>
        </w:numPr>
      </w:pPr>
      <w:r>
        <w:lastRenderedPageBreak/>
        <w:t xml:space="preserve">The </w:t>
      </w:r>
      <w:r w:rsidR="00FE41B7">
        <w:t>amendments update references</w:t>
      </w:r>
      <w:r w:rsidR="00C06404">
        <w:t xml:space="preserve"> to </w:t>
      </w:r>
      <w:r w:rsidR="00C57667">
        <w:t>‘Australian Stock Exchange Limited’</w:t>
      </w:r>
      <w:r w:rsidR="00FE41B7">
        <w:t xml:space="preserve"> in section</w:t>
      </w:r>
      <w:r w:rsidR="00C06404">
        <w:t>s 850B</w:t>
      </w:r>
      <w:r w:rsidR="00E83F66">
        <w:t>,</w:t>
      </w:r>
      <w:r w:rsidR="00C06404">
        <w:t xml:space="preserve"> 851A</w:t>
      </w:r>
      <w:r w:rsidR="00E83F66">
        <w:t xml:space="preserve"> and </w:t>
      </w:r>
      <w:r w:rsidR="008E00DA">
        <w:t>890A</w:t>
      </w:r>
      <w:r w:rsidR="00C57667">
        <w:t xml:space="preserve"> </w:t>
      </w:r>
      <w:r w:rsidR="00EC3B5B">
        <w:t>of the Corporations Act</w:t>
      </w:r>
      <w:r w:rsidR="008E00DA">
        <w:t>, and section 9 of the Insurance Act</w:t>
      </w:r>
      <w:r w:rsidR="00EC3B5B">
        <w:t xml:space="preserve"> </w:t>
      </w:r>
      <w:r w:rsidR="00C57667">
        <w:t>with the correct</w:t>
      </w:r>
      <w:r w:rsidR="00BE7399">
        <w:t xml:space="preserve"> reference</w:t>
      </w:r>
      <w:r w:rsidR="00C57667">
        <w:t xml:space="preserve"> ‘</w:t>
      </w:r>
      <w:r w:rsidR="007A11CC">
        <w:t>ASX</w:t>
      </w:r>
      <w:r w:rsidR="00C57667">
        <w:t xml:space="preserve"> Limited’. </w:t>
      </w:r>
      <w:r w:rsidR="00627EF6">
        <w:t>The Bill would otherwise omit the relevant paragraphs</w:t>
      </w:r>
      <w:r w:rsidR="00F6204D">
        <w:t xml:space="preserve">. </w:t>
      </w:r>
    </w:p>
    <w:p w14:paraId="1F7D222F" w14:textId="02D59FA6" w:rsidR="00744943" w:rsidRPr="00020288" w:rsidRDefault="00744943" w:rsidP="00873094">
      <w:pPr>
        <w:pStyle w:val="Normalparatextwithnumbers"/>
        <w:numPr>
          <w:ilvl w:val="1"/>
          <w:numId w:val="3"/>
        </w:numPr>
      </w:pPr>
      <w:r>
        <w:t xml:space="preserve">A technical error with respect to </w:t>
      </w:r>
      <w:r w:rsidR="00A07960">
        <w:t>the commencement of</w:t>
      </w:r>
      <w:r>
        <w:t xml:space="preserve"> a civil penalty provision for </w:t>
      </w:r>
      <w:r w:rsidR="00A07960">
        <w:t>breaches of</w:t>
      </w:r>
      <w:r w:rsidR="00857E1D">
        <w:t xml:space="preserve"> certain conditions of</w:t>
      </w:r>
      <w:r w:rsidR="00A07960">
        <w:t xml:space="preserve"> a CS facility licen</w:t>
      </w:r>
      <w:r w:rsidR="009C6B9E">
        <w:t>c</w:t>
      </w:r>
      <w:r w:rsidR="00A07960">
        <w:t xml:space="preserve">e is also </w:t>
      </w:r>
      <w:r w:rsidR="00857E1D">
        <w:t>corrected</w:t>
      </w:r>
      <w:r w:rsidR="00A07960">
        <w:t xml:space="preserve"> by these amendments. </w:t>
      </w:r>
    </w:p>
    <w:p w14:paraId="379C0CAE" w14:textId="77777777" w:rsidR="00873094" w:rsidRPr="00020288" w:rsidRDefault="00873094" w:rsidP="00873094">
      <w:pPr>
        <w:pStyle w:val="Heading2"/>
        <w:numPr>
          <w:ilvl w:val="1"/>
          <w:numId w:val="2"/>
        </w:numPr>
        <w:tabs>
          <w:tab w:val="num" w:pos="567"/>
        </w:tabs>
        <w:ind w:left="567" w:hanging="567"/>
      </w:pPr>
      <w:r w:rsidRPr="00020288">
        <w:t xml:space="preserve">Detailed explanation of </w:t>
      </w:r>
      <w:r w:rsidR="00EA18C9" w:rsidRPr="00082369">
        <w:t>amendments</w:t>
      </w:r>
    </w:p>
    <w:p w14:paraId="43BE78BD" w14:textId="025AEA05" w:rsidR="00B863B8" w:rsidRDefault="006B0C92" w:rsidP="00DE3B05">
      <w:pPr>
        <w:pStyle w:val="Normalparatextwithnumbers"/>
      </w:pPr>
      <w:r>
        <w:t>Parts 1 and 9 of Schedule 2 to the Bill contain</w:t>
      </w:r>
      <w:r w:rsidR="004C318A">
        <w:t xml:space="preserve"> </w:t>
      </w:r>
      <w:r w:rsidR="00AE1D45">
        <w:t>amendments in relation to the</w:t>
      </w:r>
      <w:r w:rsidR="004C318A">
        <w:t xml:space="preserve"> general obligations </w:t>
      </w:r>
      <w:r w:rsidR="00DA46A1">
        <w:t>a CS facility licensee</w:t>
      </w:r>
      <w:r w:rsidR="00AE1D45">
        <w:t xml:space="preserve">. Parts 1 and 9 </w:t>
      </w:r>
      <w:r w:rsidR="008D4711">
        <w:t>commence on</w:t>
      </w:r>
      <w:r w:rsidR="006C3683">
        <w:t xml:space="preserve"> </w:t>
      </w:r>
      <w:r w:rsidR="00ED5B89">
        <w:t xml:space="preserve">the seventh day after Royal </w:t>
      </w:r>
      <w:r w:rsidR="006C3683">
        <w:t>Assent</w:t>
      </w:r>
      <w:r w:rsidR="00ED5B89">
        <w:t xml:space="preserve">. </w:t>
      </w:r>
      <w:r w:rsidR="0070316F">
        <w:t xml:space="preserve">Part 11 of Schedule 2 also contains amendments in relation to general </w:t>
      </w:r>
      <w:r w:rsidR="00F26AF2">
        <w:t>obligations and</w:t>
      </w:r>
      <w:r w:rsidR="0070316F">
        <w:t xml:space="preserve"> </w:t>
      </w:r>
      <w:r w:rsidR="00BD551F">
        <w:t xml:space="preserve">ensures </w:t>
      </w:r>
      <w:r w:rsidR="00E47008">
        <w:t xml:space="preserve">that </w:t>
      </w:r>
      <w:r w:rsidR="00BD551F">
        <w:t xml:space="preserve">the </w:t>
      </w:r>
      <w:r w:rsidR="002F528B">
        <w:t xml:space="preserve">existing civil penalties that are available for contraventions of general obligations extend </w:t>
      </w:r>
      <w:r w:rsidR="005265D1">
        <w:t xml:space="preserve">to these new or amended </w:t>
      </w:r>
      <w:r w:rsidR="00BD551F">
        <w:t>general obligation</w:t>
      </w:r>
      <w:r w:rsidR="005265D1">
        <w:t>s.</w:t>
      </w:r>
      <w:r w:rsidR="00024EEF">
        <w:t xml:space="preserve"> Part 11 commences </w:t>
      </w:r>
      <w:r w:rsidR="00F242A5">
        <w:t xml:space="preserve">six months after Royal Assent. </w:t>
      </w:r>
      <w:r w:rsidR="00BD551F">
        <w:t xml:space="preserve"> </w:t>
      </w:r>
    </w:p>
    <w:p w14:paraId="7AC5C475" w14:textId="466EAB51" w:rsidR="00F71611" w:rsidRDefault="00EB7E99" w:rsidP="00DE3B05">
      <w:pPr>
        <w:pStyle w:val="Normalparatextwithnumbers"/>
      </w:pPr>
      <w:r>
        <w:t>Amendment 1</w:t>
      </w:r>
      <w:r w:rsidR="004E6997">
        <w:t xml:space="preserve"> insert</w:t>
      </w:r>
      <w:r>
        <w:t>s</w:t>
      </w:r>
      <w:r w:rsidR="004E6997">
        <w:t xml:space="preserve"> a new item 1A into </w:t>
      </w:r>
      <w:r w:rsidR="00811A08">
        <w:t xml:space="preserve">Part 1 of </w:t>
      </w:r>
      <w:r w:rsidR="004E6997">
        <w:t xml:space="preserve">Schedule 2 of the Bill. </w:t>
      </w:r>
      <w:r w:rsidR="008266B3">
        <w:t xml:space="preserve">The amendment </w:t>
      </w:r>
      <w:r w:rsidR="00757298">
        <w:t xml:space="preserve">addresses an error where </w:t>
      </w:r>
      <w:r w:rsidR="00FA02A5">
        <w:t>the relevant civil penalty provision</w:t>
      </w:r>
      <w:r w:rsidR="004226EA">
        <w:t xml:space="preserve"> in relation to </w:t>
      </w:r>
      <w:r w:rsidR="0050696C">
        <w:t xml:space="preserve">the new </w:t>
      </w:r>
      <w:r w:rsidR="00235454">
        <w:t xml:space="preserve">general licence obligations would have </w:t>
      </w:r>
      <w:r w:rsidR="0050696C">
        <w:t>commenced</w:t>
      </w:r>
      <w:r w:rsidR="00C116D8">
        <w:t xml:space="preserve"> </w:t>
      </w:r>
      <w:r w:rsidR="00367082">
        <w:t>after</w:t>
      </w:r>
      <w:r w:rsidR="008C7AED">
        <w:t xml:space="preserve"> the </w:t>
      </w:r>
      <w:r w:rsidR="00715F58">
        <w:t>commencement of the new conditions</w:t>
      </w:r>
      <w:r w:rsidR="004F0480">
        <w:t xml:space="preserve"> because of the </w:t>
      </w:r>
      <w:r w:rsidR="00774D4B">
        <w:t xml:space="preserve">relevant </w:t>
      </w:r>
      <w:r w:rsidR="004F0480">
        <w:t>item’s location in Part 11</w:t>
      </w:r>
      <w:r w:rsidR="00715F58">
        <w:t xml:space="preserve">.  </w:t>
      </w:r>
      <w:r w:rsidR="00367082">
        <w:t xml:space="preserve"> </w:t>
      </w:r>
    </w:p>
    <w:p w14:paraId="0406AC2C" w14:textId="37E7EB7A" w:rsidR="00120B77" w:rsidRPr="00CC7891" w:rsidRDefault="00113065" w:rsidP="00DE3B05">
      <w:pPr>
        <w:pStyle w:val="Normalparatextwithnumbers"/>
        <w:rPr>
          <w:rStyle w:val="References"/>
          <w:b w:val="0"/>
          <w:bCs w:val="0"/>
          <w:i w:val="0"/>
          <w:iCs w:val="0"/>
        </w:rPr>
      </w:pPr>
      <w:r>
        <w:t xml:space="preserve">Amendment 3 removes the </w:t>
      </w:r>
      <w:r w:rsidR="00DF73BD">
        <w:t>relevant item</w:t>
      </w:r>
      <w:r>
        <w:t xml:space="preserve"> in Part 11. </w:t>
      </w:r>
      <w:r w:rsidR="004E6997">
        <w:t>Th</w:t>
      </w:r>
      <w:r w:rsidR="00BF7192">
        <w:t xml:space="preserve">ese amendments </w:t>
      </w:r>
      <w:r w:rsidR="000277E2">
        <w:t>ensure</w:t>
      </w:r>
      <w:r w:rsidR="00CB2A24">
        <w:t xml:space="preserve"> the Bill does not inadvertently create a temporal gap </w:t>
      </w:r>
      <w:r w:rsidR="0028205A">
        <w:t>b</w:t>
      </w:r>
      <w:r w:rsidR="0028205A" w:rsidRPr="0028205A">
        <w:t xml:space="preserve">etween the general obligations being inserted </w:t>
      </w:r>
      <w:r w:rsidR="004626F6">
        <w:t xml:space="preserve">or amended in </w:t>
      </w:r>
      <w:r w:rsidR="00C204B5">
        <w:t>Schedule 2</w:t>
      </w:r>
      <w:r w:rsidR="006915B5">
        <w:t xml:space="preserve"> </w:t>
      </w:r>
      <w:r w:rsidR="0028205A" w:rsidRPr="0028205A">
        <w:t xml:space="preserve">and the civil penalty </w:t>
      </w:r>
      <w:r w:rsidR="00812F5C">
        <w:t xml:space="preserve">provisions </w:t>
      </w:r>
      <w:r w:rsidR="0028205A" w:rsidRPr="0028205A">
        <w:t>applying to contraventions of those obligations.</w:t>
      </w:r>
      <w:r w:rsidR="00277073">
        <w:t xml:space="preserve"> </w:t>
      </w:r>
      <w:r w:rsidR="0068634F">
        <w:br/>
      </w:r>
      <w:r w:rsidR="0068634F" w:rsidRPr="0068634F">
        <w:rPr>
          <w:rStyle w:val="References"/>
        </w:rPr>
        <w:t>[</w:t>
      </w:r>
      <w:r w:rsidR="0068634F">
        <w:rPr>
          <w:rStyle w:val="References"/>
        </w:rPr>
        <w:t>Amendment</w:t>
      </w:r>
      <w:r w:rsidR="00E34403">
        <w:rPr>
          <w:rStyle w:val="References"/>
        </w:rPr>
        <w:t>s</w:t>
      </w:r>
      <w:r w:rsidR="0068634F">
        <w:rPr>
          <w:rStyle w:val="References"/>
        </w:rPr>
        <w:t xml:space="preserve"> 1</w:t>
      </w:r>
      <w:r w:rsidR="00E34403">
        <w:rPr>
          <w:rStyle w:val="References"/>
        </w:rPr>
        <w:t xml:space="preserve"> and 3</w:t>
      </w:r>
      <w:r w:rsidR="0068634F" w:rsidRPr="0068634F">
        <w:rPr>
          <w:rStyle w:val="References"/>
        </w:rPr>
        <w:t xml:space="preserve">] </w:t>
      </w:r>
    </w:p>
    <w:p w14:paraId="57C5D886" w14:textId="710E97F8" w:rsidR="00F73AE9" w:rsidRDefault="00F82DA5" w:rsidP="00DE3B05">
      <w:pPr>
        <w:pStyle w:val="Normalparatextwithnumbers"/>
        <w:numPr>
          <w:ilvl w:val="1"/>
          <w:numId w:val="3"/>
        </w:numPr>
      </w:pPr>
      <w:r>
        <w:t xml:space="preserve">Amendment 2 removes </w:t>
      </w:r>
      <w:r w:rsidR="005A2F9A">
        <w:t>Part 4 of Schedule 2 to the Bill.</w:t>
      </w:r>
      <w:r w:rsidR="00B267EA">
        <w:t xml:space="preserve"> </w:t>
      </w:r>
      <w:bookmarkStart w:id="62" w:name="_Ref152177925"/>
      <w:r w:rsidR="00E0521D">
        <w:br/>
      </w:r>
      <w:r w:rsidR="00E0521D" w:rsidRPr="00E0521D">
        <w:rPr>
          <w:rStyle w:val="References"/>
        </w:rPr>
        <w:t>[</w:t>
      </w:r>
      <w:r w:rsidR="00E0521D">
        <w:rPr>
          <w:rStyle w:val="References"/>
        </w:rPr>
        <w:t>Amendment 2</w:t>
      </w:r>
      <w:r w:rsidR="00E0521D" w:rsidRPr="00E0521D">
        <w:rPr>
          <w:rStyle w:val="References"/>
        </w:rPr>
        <w:t xml:space="preserve">] </w:t>
      </w:r>
    </w:p>
    <w:p w14:paraId="5517983A" w14:textId="1CDB61F4" w:rsidR="00DF6F79" w:rsidRPr="00266472" w:rsidRDefault="00DF6F79" w:rsidP="00DE3B05">
      <w:pPr>
        <w:pStyle w:val="Normalparatextwithnumbers"/>
        <w:numPr>
          <w:ilvl w:val="1"/>
          <w:numId w:val="3"/>
        </w:numPr>
      </w:pPr>
      <w:r w:rsidRPr="00266472">
        <w:t>Currently</w:t>
      </w:r>
      <w:r>
        <w:t xml:space="preserve"> for</w:t>
      </w:r>
      <w:r w:rsidRPr="00266472">
        <w:t xml:space="preserve"> a person to </w:t>
      </w:r>
      <w:r>
        <w:t>hold more than</w:t>
      </w:r>
      <w:r w:rsidRPr="00266472">
        <w:t xml:space="preserve"> </w:t>
      </w:r>
      <w:r w:rsidR="00991B99">
        <w:t>a certain percentage of</w:t>
      </w:r>
      <w:r w:rsidRPr="00266472">
        <w:t xml:space="preserve"> voting power</w:t>
      </w:r>
      <w:r>
        <w:t xml:space="preserve"> </w:t>
      </w:r>
      <w:r w:rsidR="000F5E34">
        <w:t xml:space="preserve">which would create an unacceptable control situation </w:t>
      </w:r>
      <w:bookmarkEnd w:id="62"/>
      <w:r w:rsidR="000F5E34">
        <w:t>in</w:t>
      </w:r>
      <w:r w:rsidR="00A362E8">
        <w:t xml:space="preserve"> a widely held market body: </w:t>
      </w:r>
      <w:r w:rsidRPr="00266472">
        <w:t xml:space="preserve"> </w:t>
      </w:r>
    </w:p>
    <w:p w14:paraId="0537CB28" w14:textId="55D60216" w:rsidR="00DF6F79" w:rsidRPr="00266472" w:rsidRDefault="00DF6F79" w:rsidP="00DF6F79">
      <w:pPr>
        <w:pStyle w:val="Dotpoint1"/>
        <w:numPr>
          <w:ilvl w:val="0"/>
          <w:numId w:val="8"/>
        </w:numPr>
      </w:pPr>
      <w:r>
        <w:t>for</w:t>
      </w:r>
      <w:r w:rsidRPr="00266472">
        <w:t xml:space="preserve"> ASX Limited </w:t>
      </w:r>
      <w:r>
        <w:t>–</w:t>
      </w:r>
      <w:r w:rsidR="00E37C92">
        <w:t xml:space="preserve"> </w:t>
      </w:r>
      <w:r w:rsidRPr="00266472">
        <w:t xml:space="preserve">the regulations may prescribe a higher percentage than the </w:t>
      </w:r>
      <w:r w:rsidR="00991B99">
        <w:t>certain percentage of</w:t>
      </w:r>
      <w:r w:rsidRPr="00266472">
        <w:t xml:space="preserve"> voting power limit in ASX that a person can have; </w:t>
      </w:r>
    </w:p>
    <w:p w14:paraId="48796817" w14:textId="4922F8FA" w:rsidR="00DF6F79" w:rsidRPr="00266472" w:rsidRDefault="00DF6F79" w:rsidP="00DF6F79">
      <w:pPr>
        <w:pStyle w:val="Dotpoint1"/>
        <w:numPr>
          <w:ilvl w:val="0"/>
          <w:numId w:val="8"/>
        </w:numPr>
      </w:pPr>
      <w:r>
        <w:t>for</w:t>
      </w:r>
      <w:r w:rsidRPr="00266472">
        <w:t xml:space="preserve"> a widely held market body other than the ASX – </w:t>
      </w:r>
      <w:r>
        <w:t xml:space="preserve">the person </w:t>
      </w:r>
      <w:r w:rsidRPr="00266472">
        <w:t>must lodge an application with ASIC where the Minister may approve that application if the Minister is satisfied that it is in the national interest.</w:t>
      </w:r>
    </w:p>
    <w:p w14:paraId="0AA512C5" w14:textId="161A7140" w:rsidR="00DF6F79" w:rsidRDefault="000B3177" w:rsidP="00DF6F79">
      <w:pPr>
        <w:pStyle w:val="Normalparatextwithnumbers"/>
        <w:numPr>
          <w:ilvl w:val="1"/>
          <w:numId w:val="3"/>
        </w:numPr>
      </w:pPr>
      <w:r>
        <w:t xml:space="preserve">The Bill </w:t>
      </w:r>
      <w:r w:rsidR="00A362E8">
        <w:t>seeks to</w:t>
      </w:r>
      <w:r w:rsidR="00DF6F79" w:rsidRPr="00266472">
        <w:t xml:space="preserve"> align</w:t>
      </w:r>
      <w:r w:rsidR="00A362E8">
        <w:t xml:space="preserve"> the process for ASX </w:t>
      </w:r>
      <w:r w:rsidR="00DF6F79" w:rsidRPr="00266472">
        <w:t xml:space="preserve">with the process for </w:t>
      </w:r>
      <w:r w:rsidR="0081245E">
        <w:t xml:space="preserve">other </w:t>
      </w:r>
      <w:r w:rsidR="00DF6F79" w:rsidRPr="00266472">
        <w:t xml:space="preserve">widely held market bodies. </w:t>
      </w:r>
    </w:p>
    <w:p w14:paraId="3C004682" w14:textId="7C6960E1" w:rsidR="00727170" w:rsidRDefault="008E6906" w:rsidP="00DF6F79">
      <w:pPr>
        <w:pStyle w:val="Normalparatextwithnumbers"/>
        <w:numPr>
          <w:ilvl w:val="1"/>
          <w:numId w:val="3"/>
        </w:numPr>
      </w:pPr>
      <w:r>
        <w:t xml:space="preserve">The effect of </w:t>
      </w:r>
      <w:r w:rsidR="00727170">
        <w:t xml:space="preserve">Amendment 2 </w:t>
      </w:r>
      <w:r>
        <w:t>is to retain</w:t>
      </w:r>
      <w:r w:rsidR="00A64157">
        <w:t xml:space="preserve"> </w:t>
      </w:r>
      <w:r w:rsidR="00E80061">
        <w:t xml:space="preserve">the </w:t>
      </w:r>
      <w:r>
        <w:t>current arrangements in relation to</w:t>
      </w:r>
      <w:r w:rsidR="00A64157">
        <w:t xml:space="preserve"> </w:t>
      </w:r>
      <w:r w:rsidR="00A64157" w:rsidRPr="00266472">
        <w:t>ASX Limited</w:t>
      </w:r>
      <w:r w:rsidR="003A319A">
        <w:t>. That is, the amendment</w:t>
      </w:r>
      <w:r w:rsidR="00A64157">
        <w:t xml:space="preserve"> retains</w:t>
      </w:r>
      <w:r w:rsidR="00E96C3F" w:rsidRPr="00E96C3F">
        <w:t xml:space="preserve"> the requirement for regulations </w:t>
      </w:r>
      <w:r w:rsidR="00E96C3F" w:rsidRPr="00E96C3F">
        <w:lastRenderedPageBreak/>
        <w:t xml:space="preserve">to be made </w:t>
      </w:r>
      <w:r w:rsidR="00ED7417">
        <w:t xml:space="preserve">to approve </w:t>
      </w:r>
      <w:r w:rsidR="00C7561A">
        <w:t>an acquisition</w:t>
      </w:r>
      <w:r w:rsidR="00ED7417">
        <w:t xml:space="preserve"> of </w:t>
      </w:r>
      <w:r w:rsidR="00F37E4D">
        <w:t>voting power in ASX that would result in an unacceptable control situation</w:t>
      </w:r>
      <w:r w:rsidR="00C7561A">
        <w:t xml:space="preserve">. This is an acquisition of </w:t>
      </w:r>
      <w:r w:rsidR="006714E0">
        <w:t>greater than 20</w:t>
      </w:r>
      <w:r w:rsidR="003A3360">
        <w:t> </w:t>
      </w:r>
      <w:r w:rsidR="00C37665">
        <w:t>per cent</w:t>
      </w:r>
      <w:r w:rsidR="006714E0">
        <w:t xml:space="preserve"> of the voting power in ASX</w:t>
      </w:r>
      <w:r w:rsidR="00C7561A">
        <w:t xml:space="preserve"> under the amended threshold</w:t>
      </w:r>
      <w:r w:rsidR="00C369FA">
        <w:t xml:space="preserve"> (see paragraph </w:t>
      </w:r>
      <w:r w:rsidR="00D85292">
        <w:t>1.12</w:t>
      </w:r>
      <w:r w:rsidR="00C369FA">
        <w:t>)</w:t>
      </w:r>
      <w:r w:rsidR="006714E0">
        <w:t xml:space="preserve">. </w:t>
      </w:r>
      <w:r w:rsidR="00AC650A">
        <w:t xml:space="preserve">The regulations would be disallowable. </w:t>
      </w:r>
      <w:r w:rsidR="00C7561A">
        <w:t>Relevant</w:t>
      </w:r>
      <w:r w:rsidR="00AC650A">
        <w:t xml:space="preserve"> regulations would not take effect, meaning the approval is not </w:t>
      </w:r>
      <w:r w:rsidR="00824C43">
        <w:t xml:space="preserve">effective, until the instrument containing the regulations is no longer liable to be disallowed by either House of Parliament. </w:t>
      </w:r>
    </w:p>
    <w:p w14:paraId="435C7480" w14:textId="0A89524B" w:rsidR="00A31C7F" w:rsidRPr="00020288" w:rsidRDefault="00A31C7F" w:rsidP="00DF6F79">
      <w:pPr>
        <w:pStyle w:val="Normalparatextwithnumbers"/>
        <w:numPr>
          <w:ilvl w:val="1"/>
          <w:numId w:val="3"/>
        </w:numPr>
      </w:pPr>
      <w:r>
        <w:t xml:space="preserve">Items 8 and 9 of </w:t>
      </w:r>
      <w:r w:rsidR="005C62C5">
        <w:t xml:space="preserve">Schedule 5 to </w:t>
      </w:r>
      <w:r>
        <w:t xml:space="preserve">the Bill </w:t>
      </w:r>
      <w:r w:rsidR="004A2239">
        <w:t xml:space="preserve">update </w:t>
      </w:r>
      <w:r w:rsidR="003C5FD3">
        <w:t>the out-of-date</w:t>
      </w:r>
      <w:r w:rsidR="004A2239">
        <w:t xml:space="preserve"> </w:t>
      </w:r>
      <w:r w:rsidR="003C5FD3">
        <w:t>reference to ‘Australian Stock Exchange Limited’</w:t>
      </w:r>
      <w:r w:rsidR="007148DA">
        <w:t xml:space="preserve"> in section 890A of the Corporations Act and section 9 of the Insurance Act</w:t>
      </w:r>
      <w:r w:rsidR="003C5FD3">
        <w:t xml:space="preserve">. These items </w:t>
      </w:r>
      <w:r>
        <w:t xml:space="preserve">are amended to replace references to </w:t>
      </w:r>
      <w:r w:rsidR="009518FF">
        <w:t>‘</w:t>
      </w:r>
      <w:r>
        <w:t xml:space="preserve">Australian </w:t>
      </w:r>
      <w:r w:rsidR="005C62C5">
        <w:t>Securities Exchange Limited</w:t>
      </w:r>
      <w:r w:rsidR="009518FF">
        <w:t>’</w:t>
      </w:r>
      <w:r w:rsidR="005C62C5">
        <w:t xml:space="preserve"> with</w:t>
      </w:r>
      <w:r w:rsidR="009518FF">
        <w:t xml:space="preserve"> the correct title of the entity, </w:t>
      </w:r>
      <w:r w:rsidR="004A2239">
        <w:t>‘</w:t>
      </w:r>
      <w:r w:rsidR="009518FF">
        <w:t>ASX Limited</w:t>
      </w:r>
      <w:r w:rsidR="004A2239">
        <w:t>’</w:t>
      </w:r>
      <w:r w:rsidR="009518FF">
        <w:t xml:space="preserve">. </w:t>
      </w:r>
      <w:r w:rsidR="005C62C5">
        <w:t xml:space="preserve"> </w:t>
      </w:r>
      <w:r w:rsidR="00FE5C21">
        <w:br/>
      </w:r>
      <w:r w:rsidR="00FE5C21" w:rsidRPr="002038A6">
        <w:rPr>
          <w:rStyle w:val="References"/>
        </w:rPr>
        <w:t>[</w:t>
      </w:r>
      <w:r w:rsidR="00FE5C21">
        <w:rPr>
          <w:rStyle w:val="References"/>
        </w:rPr>
        <w:t>Amendments 6 and 7</w:t>
      </w:r>
      <w:r w:rsidR="00FE5C21" w:rsidRPr="002038A6">
        <w:rPr>
          <w:rStyle w:val="References"/>
        </w:rPr>
        <w:t xml:space="preserve">] </w:t>
      </w:r>
    </w:p>
    <w:p w14:paraId="693CB714" w14:textId="77777777" w:rsidR="00873094" w:rsidRPr="00020288" w:rsidRDefault="00873094" w:rsidP="005D0844">
      <w:pPr>
        <w:pStyle w:val="Heading2"/>
      </w:pPr>
      <w:bookmarkStart w:id="63" w:name="_Toc78193246"/>
      <w:bookmarkStart w:id="64" w:name="_Toc78193403"/>
      <w:bookmarkStart w:id="65" w:name="_Toc78548476"/>
      <w:bookmarkStart w:id="66" w:name="_Toc78549747"/>
      <w:bookmarkStart w:id="67" w:name="_Toc78549791"/>
      <w:r w:rsidRPr="005D0844">
        <w:t>Consequential</w:t>
      </w:r>
      <w:r w:rsidRPr="00020288">
        <w:t xml:space="preserve"> amendments</w:t>
      </w:r>
    </w:p>
    <w:p w14:paraId="2B51D69C" w14:textId="4E149DAD" w:rsidR="00CB0762" w:rsidRPr="00CB0762" w:rsidRDefault="00037902" w:rsidP="00CB0762">
      <w:pPr>
        <w:pStyle w:val="Normalparatextwithnumbers"/>
      </w:pPr>
      <w:r>
        <w:t xml:space="preserve">Amendment </w:t>
      </w:r>
      <w:r w:rsidR="00120724">
        <w:t>5</w:t>
      </w:r>
      <w:r w:rsidR="00CB0762">
        <w:t xml:space="preserve"> replace</w:t>
      </w:r>
      <w:r>
        <w:t>s</w:t>
      </w:r>
      <w:r w:rsidR="00CB0762">
        <w:t xml:space="preserve"> out of date reference</w:t>
      </w:r>
      <w:r>
        <w:t>s</w:t>
      </w:r>
      <w:r w:rsidR="00CB0762">
        <w:t xml:space="preserve"> to </w:t>
      </w:r>
      <w:r w:rsidR="005A5364">
        <w:t>‘</w:t>
      </w:r>
      <w:r w:rsidR="00CB0762">
        <w:t xml:space="preserve">Australian Stock </w:t>
      </w:r>
      <w:r w:rsidR="00176EA7">
        <w:t>E</w:t>
      </w:r>
      <w:r w:rsidR="00CB0762">
        <w:t>xchange Limited</w:t>
      </w:r>
      <w:r w:rsidR="005A5364">
        <w:t>’</w:t>
      </w:r>
      <w:r w:rsidR="00CB0762">
        <w:t xml:space="preserve"> with </w:t>
      </w:r>
      <w:r w:rsidR="005A5364">
        <w:t>’</w:t>
      </w:r>
      <w:r w:rsidR="003472A1">
        <w:t>ASX</w:t>
      </w:r>
      <w:r w:rsidR="00CB0762">
        <w:t xml:space="preserve"> Limited</w:t>
      </w:r>
      <w:r w:rsidR="005A5364">
        <w:t>’</w:t>
      </w:r>
      <w:r w:rsidR="00CB0762">
        <w:t xml:space="preserve"> in the </w:t>
      </w:r>
      <w:r w:rsidR="00D264A1">
        <w:t>Corporations Act</w:t>
      </w:r>
      <w:r w:rsidR="00C66C82">
        <w:t xml:space="preserve">. These references are omitted in Part </w:t>
      </w:r>
      <w:r w:rsidR="00931434">
        <w:t>4 of Schedule 2</w:t>
      </w:r>
      <w:r w:rsidR="00706C05">
        <w:t xml:space="preserve"> to the Bill</w:t>
      </w:r>
      <w:r w:rsidR="00931434">
        <w:t xml:space="preserve"> but need to be updated as these amendments </w:t>
      </w:r>
      <w:r w:rsidR="00706C05">
        <w:t xml:space="preserve">remove that Part. </w:t>
      </w:r>
      <w:r>
        <w:br/>
      </w:r>
      <w:r w:rsidRPr="00037902">
        <w:rPr>
          <w:rStyle w:val="References"/>
        </w:rPr>
        <w:t>[</w:t>
      </w:r>
      <w:r>
        <w:rPr>
          <w:rStyle w:val="References"/>
        </w:rPr>
        <w:t xml:space="preserve">Amendment </w:t>
      </w:r>
      <w:r w:rsidR="00120724">
        <w:rPr>
          <w:rStyle w:val="References"/>
        </w:rPr>
        <w:t>5</w:t>
      </w:r>
      <w:r w:rsidRPr="00037902">
        <w:rPr>
          <w:rStyle w:val="References"/>
        </w:rPr>
        <w:t xml:space="preserve">] </w:t>
      </w:r>
    </w:p>
    <w:p w14:paraId="3A639AEE" w14:textId="77777777" w:rsidR="008A63CE" w:rsidRPr="00F05EAE" w:rsidRDefault="008A63CE" w:rsidP="00337C70">
      <w:pPr>
        <w:pStyle w:val="Normalparatextwithnumbers"/>
        <w:numPr>
          <w:ilvl w:val="0"/>
          <w:numId w:val="0"/>
        </w:numPr>
        <w:ind w:left="709"/>
      </w:pPr>
    </w:p>
    <w:p w14:paraId="170C7A64" w14:textId="77777777" w:rsidR="001C6C4B" w:rsidRDefault="001C6C4B" w:rsidP="006479AC">
      <w:pPr>
        <w:pStyle w:val="Normalparatextnonumbers"/>
      </w:pPr>
    </w:p>
    <w:p w14:paraId="54BFFEF5" w14:textId="2201F2C2" w:rsidR="00F61301" w:rsidRDefault="00F61301" w:rsidP="00F61301">
      <w:pPr>
        <w:pStyle w:val="Normalparatextnonumbers"/>
      </w:pPr>
    </w:p>
    <w:p w14:paraId="149B0BAA" w14:textId="77777777" w:rsidR="0007357B" w:rsidRDefault="0007357B" w:rsidP="006479AC">
      <w:pPr>
        <w:pStyle w:val="Normalparatextnonumbers"/>
        <w:sectPr w:rsidR="0007357B" w:rsidSect="00250844">
          <w:headerReference w:type="even" r:id="rId23"/>
          <w:headerReference w:type="default" r:id="rId24"/>
          <w:footerReference w:type="even" r:id="rId25"/>
          <w:footerReference w:type="default" r:id="rId26"/>
          <w:headerReference w:type="first" r:id="rId27"/>
          <w:footerReference w:type="first" r:id="rId28"/>
          <w:type w:val="oddPage"/>
          <w:pgSz w:w="9979" w:h="14175" w:code="9"/>
          <w:pgMar w:top="567" w:right="1134" w:bottom="567" w:left="1134" w:header="709" w:footer="709" w:gutter="0"/>
          <w:cols w:space="708"/>
          <w:titlePg/>
          <w:docGrid w:linePitch="360"/>
        </w:sectPr>
      </w:pPr>
    </w:p>
    <w:p w14:paraId="1B1B3321" w14:textId="5809E55F" w:rsidR="0007357B" w:rsidRPr="0073326A" w:rsidRDefault="00F81245" w:rsidP="0007357B">
      <w:pPr>
        <w:pStyle w:val="Chapterheading"/>
      </w:pPr>
      <w:bookmarkStart w:id="68" w:name="_Toc169167416"/>
      <w:bookmarkStart w:id="69" w:name="_Toc169772548"/>
      <w:r w:rsidRPr="004B693E">
        <w:lastRenderedPageBreak/>
        <w:t xml:space="preserve">Parliamentary </w:t>
      </w:r>
      <w:r>
        <w:t>a</w:t>
      </w:r>
      <w:r w:rsidRPr="004B693E">
        <w:t xml:space="preserve">mendments </w:t>
      </w:r>
      <w:r>
        <w:t>to Schedule 4</w:t>
      </w:r>
      <w:r w:rsidRPr="004B693E">
        <w:t xml:space="preserve"> – </w:t>
      </w:r>
      <w:r w:rsidR="0007357B" w:rsidRPr="004B693E">
        <w:t>Treasury Laws Amendment (Financial Market Infrastructure and Other Measures) Bill 2024</w:t>
      </w:r>
      <w:bookmarkEnd w:id="68"/>
      <w:bookmarkEnd w:id="69"/>
    </w:p>
    <w:p w14:paraId="7D853F91" w14:textId="77777777" w:rsidR="0007357B" w:rsidRPr="00020288" w:rsidRDefault="0007357B" w:rsidP="0007357B">
      <w:pPr>
        <w:pStyle w:val="Heading2"/>
      </w:pPr>
      <w:r w:rsidRPr="00020288">
        <w:t xml:space="preserve">Outline </w:t>
      </w:r>
      <w:r w:rsidRPr="005D0844">
        <w:t>of</w:t>
      </w:r>
      <w:r w:rsidRPr="00020288">
        <w:t xml:space="preserve"> chapter</w:t>
      </w:r>
    </w:p>
    <w:p w14:paraId="7BE4A1EC" w14:textId="71EB1C44" w:rsidR="0007357B" w:rsidRDefault="0007357B" w:rsidP="0007357B">
      <w:pPr>
        <w:pStyle w:val="Normalparatextwithnumbers"/>
      </w:pPr>
      <w:r>
        <w:t xml:space="preserve">The Parliamentary amendment to Schedule 4 to the Bill amends the Bill to require entities to use both a high and a low global </w:t>
      </w:r>
      <w:r w:rsidR="002A4BA4">
        <w:t xml:space="preserve">warming </w:t>
      </w:r>
      <w:r>
        <w:t>scenario, where the sustainability standards require the disclosure of a scenario analysis or information derived from or about a scenario analysis.</w:t>
      </w:r>
    </w:p>
    <w:p w14:paraId="0D24CB81" w14:textId="77777777" w:rsidR="0007357B" w:rsidRPr="00020288" w:rsidRDefault="0007357B" w:rsidP="0007357B">
      <w:pPr>
        <w:pStyle w:val="Heading2"/>
      </w:pPr>
      <w:r w:rsidRPr="00020288">
        <w:t xml:space="preserve">Context of </w:t>
      </w:r>
      <w:r w:rsidRPr="005D0844">
        <w:t>amendments</w:t>
      </w:r>
    </w:p>
    <w:p w14:paraId="579FD593" w14:textId="77777777" w:rsidR="0007357B" w:rsidRDefault="0007357B" w:rsidP="0007357B">
      <w:pPr>
        <w:pStyle w:val="Normalparatextwithnumbers"/>
        <w:numPr>
          <w:ilvl w:val="1"/>
          <w:numId w:val="3"/>
        </w:numPr>
      </w:pPr>
      <w:r>
        <w:t>Part 1 of Schedule 4 to the Bill amends the Corporations Act to include climate-related financial disclosures as part of a new annual sustainability report, added to the existing obligations to prepare annual financial reports under Chapter 2M of the Corporations Act.</w:t>
      </w:r>
    </w:p>
    <w:p w14:paraId="29D14DB5" w14:textId="77777777" w:rsidR="0007357B" w:rsidRDefault="0007357B" w:rsidP="0007357B">
      <w:pPr>
        <w:pStyle w:val="Normalparatextwithnumbers"/>
        <w:numPr>
          <w:ilvl w:val="1"/>
          <w:numId w:val="3"/>
        </w:numPr>
      </w:pPr>
      <w:r>
        <w:t>Item 26, section 296D of the Bill outlines at a high level what must be disclosed in climate statements for a financial year and notes to the climate statements, in line with relevant sustainability standards. This includes information about: material financial risks and financial opportunities related to climate; any metrics and targets for the financial year relating to climate; and any information about governance of, strategy of, or risk management by the entity in relation to these risks, opportunities, metrics and targets.</w:t>
      </w:r>
    </w:p>
    <w:p w14:paraId="5D9EE268" w14:textId="77777777" w:rsidR="0007357B" w:rsidRDefault="0007357B" w:rsidP="0007357B">
      <w:pPr>
        <w:pStyle w:val="Normalparatextwithnumbers"/>
        <w:numPr>
          <w:ilvl w:val="1"/>
          <w:numId w:val="3"/>
        </w:numPr>
      </w:pPr>
      <w:r>
        <w:t xml:space="preserve">Scenario analysis is a process for identifying and assessing a potential range of outcomes of future events under conditions of uncertainty. </w:t>
      </w:r>
    </w:p>
    <w:p w14:paraId="33609ED3" w14:textId="77777777" w:rsidR="0007357B" w:rsidRDefault="0007357B" w:rsidP="0007357B">
      <w:pPr>
        <w:pStyle w:val="Normalparatextwithnumbers"/>
        <w:numPr>
          <w:ilvl w:val="1"/>
          <w:numId w:val="3"/>
        </w:numPr>
      </w:pPr>
      <w:r>
        <w:t xml:space="preserve">The ISSB climate-related disclosure standards and the Australian equivalent draft standards released by the AASB set out that scenario analysis must be undertaken to inform disclosures about the climate resilience of an entity’s strategy and business model to both transition and physical climate-related risks. </w:t>
      </w:r>
    </w:p>
    <w:p w14:paraId="1CB9E5D6" w14:textId="77777777" w:rsidR="0007357B" w:rsidRDefault="0007357B" w:rsidP="0007357B">
      <w:pPr>
        <w:pStyle w:val="Normalparatextwithnumbers"/>
        <w:numPr>
          <w:ilvl w:val="1"/>
          <w:numId w:val="3"/>
        </w:numPr>
      </w:pPr>
      <w:r>
        <w:t xml:space="preserve">Where scenario analysis is required to be undertaken, both standards also require reporting entities to disclose information about how and when the scenario was carried out, including information about key inputs and </w:t>
      </w:r>
      <w:r>
        <w:lastRenderedPageBreak/>
        <w:t xml:space="preserve">assumptions. The standards set out that the sophistication of climate scenario analysis depends on the capacity and size of the reporting entity, permitting quantitative, partially quantitative and qualitative assessments. </w:t>
      </w:r>
    </w:p>
    <w:p w14:paraId="22B30CC6" w14:textId="77777777" w:rsidR="0007357B" w:rsidRDefault="0007357B" w:rsidP="0007357B">
      <w:pPr>
        <w:pStyle w:val="Normalparatextwithnumbers"/>
      </w:pPr>
      <w:r>
        <w:t>The AASB draft standards expand on the ISSB standards to specify that where an entity is required by the Corporations Act to prepare climate-related financial disclosures, it shall disclose its climate resilience assessments against at least two relevant possible future states, one of which must reflect a low average global temperature outcome, consistent with the most ambitious global temperature goal set out in the Climate Change Act</w:t>
      </w:r>
      <w:r>
        <w:rPr>
          <w:i/>
          <w:iCs/>
        </w:rPr>
        <w:t xml:space="preserve">. </w:t>
      </w:r>
    </w:p>
    <w:p w14:paraId="49FDCD17" w14:textId="77777777" w:rsidR="0007357B" w:rsidRDefault="0007357B" w:rsidP="0007357B">
      <w:pPr>
        <w:pStyle w:val="Normalparatextwithnumbers"/>
      </w:pPr>
      <w:r>
        <w:t xml:space="preserve">The AASB also sought feedback on specifying an upper-temperature scenario that an entity must use.  </w:t>
      </w:r>
    </w:p>
    <w:p w14:paraId="28B1B7EF" w14:textId="77777777" w:rsidR="0007357B" w:rsidRDefault="0007357B" w:rsidP="0007357B">
      <w:pPr>
        <w:pStyle w:val="Normalparatextwithnumbers"/>
        <w:numPr>
          <w:ilvl w:val="1"/>
          <w:numId w:val="3"/>
        </w:numPr>
      </w:pPr>
      <w:r>
        <w:t xml:space="preserve">This amendment is intended to elevate the requirement on entities about what scenarios must be used, where the sustainability standards require scenario analysis to be undertaken and disclosed as part of the climate statements. </w:t>
      </w:r>
    </w:p>
    <w:p w14:paraId="44EA17BA" w14:textId="7AF095AF" w:rsidR="0007357B" w:rsidRPr="00020288" w:rsidRDefault="0007357B" w:rsidP="0007357B">
      <w:pPr>
        <w:pStyle w:val="Normalparatextwithnumbers"/>
        <w:numPr>
          <w:ilvl w:val="1"/>
          <w:numId w:val="3"/>
        </w:numPr>
      </w:pPr>
      <w:r>
        <w:t xml:space="preserve">This amendment responds to stakeholder feedback seeking additional clarity about the expectations for scenario analysis and </w:t>
      </w:r>
      <w:r w:rsidR="00DE3B05">
        <w:t xml:space="preserve">to </w:t>
      </w:r>
      <w:r>
        <w:t>ensure entities consider both transition and physical climate-related risks in assessments of climate resilience.</w:t>
      </w:r>
    </w:p>
    <w:p w14:paraId="639D147B" w14:textId="77777777" w:rsidR="0007357B" w:rsidRPr="00020288" w:rsidRDefault="0007357B" w:rsidP="0007357B">
      <w:pPr>
        <w:pStyle w:val="Heading2"/>
        <w:numPr>
          <w:ilvl w:val="1"/>
          <w:numId w:val="2"/>
        </w:numPr>
        <w:tabs>
          <w:tab w:val="num" w:pos="567"/>
        </w:tabs>
        <w:ind w:left="567" w:hanging="567"/>
      </w:pPr>
      <w:r w:rsidRPr="00020288">
        <w:t xml:space="preserve">Detailed explanation of </w:t>
      </w:r>
      <w:r w:rsidRPr="00082369">
        <w:t>amendments</w:t>
      </w:r>
    </w:p>
    <w:p w14:paraId="1C27B1B1" w14:textId="77777777" w:rsidR="0007357B" w:rsidRDefault="0007357B" w:rsidP="0007357B">
      <w:pPr>
        <w:pStyle w:val="Normalparatextwithnumbers"/>
      </w:pPr>
      <w:r>
        <w:t>The amendment adds to item 26 of the Bill, by introducing two new subsections to section 296D Climate statement disclosures.</w:t>
      </w:r>
    </w:p>
    <w:p w14:paraId="39D88235" w14:textId="77777777" w:rsidR="0007357B" w:rsidRDefault="0007357B" w:rsidP="0007357B">
      <w:pPr>
        <w:pStyle w:val="Normalparatextwithnumbers"/>
      </w:pPr>
      <w:r>
        <w:t>Subsection 2A sets out when the scenario analysis must be carried out. This includes where the sustainability standards require disclosure of a scenario analysis, but is not limited to this situation, and extends to where the sustainability standards require disclosure of information derived from a scenario analysis or disclosure of information about a scenario analysis.</w:t>
      </w:r>
    </w:p>
    <w:p w14:paraId="4207F9DB" w14:textId="77777777" w:rsidR="0007357B" w:rsidRDefault="0007357B" w:rsidP="0007357B">
      <w:pPr>
        <w:pStyle w:val="Normalparatextwithnumbers"/>
      </w:pPr>
      <w:r>
        <w:t xml:space="preserve">Scenario analysis is required as part of disclosures that relate to the climate resilience of the entity’s strategy and its business model. These requirements are referred to in section 296D(1)(c)(i) and form part of the strategy pillar of the draft AASB standards, in line with relevant ISSB standards and the Taskforce on Climate-related Financial Disclosure’s recommendations. </w:t>
      </w:r>
    </w:p>
    <w:p w14:paraId="47090ECA" w14:textId="77777777" w:rsidR="0007357B" w:rsidRDefault="0007357B" w:rsidP="0007357B">
      <w:pPr>
        <w:pStyle w:val="Normalparatextwithnumbers"/>
      </w:pPr>
      <w:r>
        <w:t>Subsection 2B requires that at least two scenarios are used when scenario analysis is carried out. Entities are not restricted to carrying out scenario analysis on these two scenarios. Entities are required, however, as a minimum, to carry out scenario analysis on these two scenarios.</w:t>
      </w:r>
    </w:p>
    <w:p w14:paraId="4189391E" w14:textId="77777777" w:rsidR="0007357B" w:rsidRDefault="0007357B" w:rsidP="0007357B">
      <w:pPr>
        <w:pStyle w:val="Normalparatextwithnumbers"/>
      </w:pPr>
      <w:r>
        <w:t xml:space="preserve">The two scenarios are intended to ensure that reporting entities take into consideration both transition and physical climate-related risks. </w:t>
      </w:r>
    </w:p>
    <w:p w14:paraId="486116A7" w14:textId="77777777" w:rsidR="0007357B" w:rsidRDefault="0007357B" w:rsidP="0007357B">
      <w:pPr>
        <w:pStyle w:val="Normalparatextwithnumbers"/>
      </w:pPr>
      <w:r>
        <w:lastRenderedPageBreak/>
        <w:t xml:space="preserve">Climate-related physical risks are generally associated with higher average global temperature outcomes, reflecting impacts of a warmer climate, including acute weather-related events or longer-term shifts in climatic patterns.  </w:t>
      </w:r>
    </w:p>
    <w:p w14:paraId="4FAEEDF1" w14:textId="15B54620" w:rsidR="0007357B" w:rsidRDefault="0007357B" w:rsidP="0007357B">
      <w:pPr>
        <w:pStyle w:val="Normalparatextwithnumbers"/>
      </w:pPr>
      <w:r>
        <w:t xml:space="preserve">The first scenario is a high </w:t>
      </w:r>
      <w:r w:rsidR="00DE3B05">
        <w:t xml:space="preserve">global </w:t>
      </w:r>
      <w:r>
        <w:t>warming scenario. This is defined as an increase in the global average temperature that well exceeds the increase mentioned in subparagraph 3(a)(i) of the Climate Change Act. The increase mentioned in subparagraph 3(a)(i) of that Act is currently 2</w:t>
      </w:r>
      <w:bookmarkStart w:id="70" w:name="bkSelection"/>
      <w:bookmarkEnd w:id="70"/>
      <w:r w:rsidRPr="00C370D9">
        <w:rPr>
          <w:rFonts w:cs="Times New Roman"/>
        </w:rPr>
        <w:t>°</w:t>
      </w:r>
      <w:r>
        <w:t>C above pre-industrial levels. An increase of 2.5</w:t>
      </w:r>
      <w:r w:rsidRPr="00C370D9">
        <w:rPr>
          <w:rFonts w:cs="Times New Roman"/>
        </w:rPr>
        <w:t>°</w:t>
      </w:r>
      <w:r>
        <w:t>C or higher would be considered to well exceed the current increase mentioned in subparagraph 3(a)(i) of that Act. This is akin to higher warming scenarios that are adopted in climate-related physical risk assessments, for example, the National Climate Risk Assessment.</w:t>
      </w:r>
    </w:p>
    <w:p w14:paraId="04EB1843" w14:textId="77777777" w:rsidR="0007357B" w:rsidRDefault="0007357B" w:rsidP="0007357B">
      <w:pPr>
        <w:pStyle w:val="Normalparatextwithnumbers"/>
      </w:pPr>
      <w:r>
        <w:t xml:space="preserve">Climate-related transition risks are generally associated with lower average global temperature outcomes, reflecting efforts to transition to a lower-carbon economy. </w:t>
      </w:r>
    </w:p>
    <w:p w14:paraId="4A0E706C" w14:textId="6AE4A8DF" w:rsidR="0007357B" w:rsidRDefault="0007357B" w:rsidP="0007357B">
      <w:pPr>
        <w:pStyle w:val="Normalparatextwithnumbers"/>
      </w:pPr>
      <w:r>
        <w:t xml:space="preserve">The second scenario is a low </w:t>
      </w:r>
      <w:r w:rsidR="00DE3B05">
        <w:t xml:space="preserve">global </w:t>
      </w:r>
      <w:r>
        <w:t>warming scenario. This is defined as an increase in the global average temperature limited to the increase mentioned in subparagraph 3(a)(ii) of the Climate Change Act. The increase mentioned in subparagraph 3(a)(ii) of that Act is 1.5</w:t>
      </w:r>
      <w:r>
        <w:rPr>
          <w:rFonts w:cs="Times New Roman"/>
        </w:rPr>
        <w:t>°</w:t>
      </w:r>
      <w:r>
        <w:t xml:space="preserve">C above pre-industrial levels. </w:t>
      </w:r>
    </w:p>
    <w:p w14:paraId="26FBADE9" w14:textId="77777777" w:rsidR="0007357B" w:rsidRPr="00020288" w:rsidRDefault="0007357B" w:rsidP="0007357B">
      <w:pPr>
        <w:pStyle w:val="Heading2"/>
      </w:pPr>
      <w:r w:rsidRPr="00020288">
        <w:t xml:space="preserve">Commencement, </w:t>
      </w:r>
      <w:r w:rsidRPr="00AF50CE">
        <w:t>application</w:t>
      </w:r>
      <w:r w:rsidRPr="00020288">
        <w:t>, and transitional provisions</w:t>
      </w:r>
    </w:p>
    <w:p w14:paraId="204B92D9" w14:textId="77777777" w:rsidR="0007357B" w:rsidRDefault="0007357B" w:rsidP="0007357B">
      <w:pPr>
        <w:pStyle w:val="Normalparatextwithnumbers"/>
        <w:numPr>
          <w:ilvl w:val="1"/>
          <w:numId w:val="3"/>
        </w:numPr>
      </w:pPr>
      <w:r>
        <w:t xml:space="preserve">The Parliamentary amendment commences on the day after Royal Assent. </w:t>
      </w:r>
    </w:p>
    <w:p w14:paraId="0E4D4216" w14:textId="77777777" w:rsidR="0007357B" w:rsidRDefault="0007357B" w:rsidP="0007357B">
      <w:pPr>
        <w:pStyle w:val="Normalparatextnonumbers"/>
      </w:pPr>
    </w:p>
    <w:p w14:paraId="64A4D26C" w14:textId="77777777" w:rsidR="00F61301" w:rsidRDefault="00F61301" w:rsidP="006479AC">
      <w:pPr>
        <w:pStyle w:val="Normalparatextnonumbers"/>
      </w:pPr>
    </w:p>
    <w:p w14:paraId="222955C6" w14:textId="77777777" w:rsidR="00F61301" w:rsidRDefault="00F61301" w:rsidP="006479AC">
      <w:pPr>
        <w:pStyle w:val="Normalparatextnonumbers"/>
        <w:sectPr w:rsidR="00F61301" w:rsidSect="00250844">
          <w:type w:val="oddPage"/>
          <w:pgSz w:w="9979" w:h="14175" w:code="9"/>
          <w:pgMar w:top="567" w:right="1134" w:bottom="567" w:left="1134" w:header="709" w:footer="709" w:gutter="0"/>
          <w:cols w:space="708"/>
          <w:titlePg/>
          <w:docGrid w:linePitch="360"/>
        </w:sectPr>
      </w:pPr>
    </w:p>
    <w:p w14:paraId="26CC4CEC" w14:textId="77777777" w:rsidR="005D0844" w:rsidRPr="005D0844" w:rsidRDefault="00873094" w:rsidP="005D0844">
      <w:pPr>
        <w:pStyle w:val="Chapterheading"/>
      </w:pPr>
      <w:bookmarkStart w:id="71" w:name="_Toc80097486"/>
      <w:bookmarkStart w:id="72" w:name="_Toc80097780"/>
      <w:bookmarkStart w:id="73" w:name="_Toc80115279"/>
      <w:bookmarkStart w:id="74" w:name="_Toc80172454"/>
      <w:bookmarkStart w:id="75" w:name="_Toc80197118"/>
      <w:bookmarkStart w:id="76" w:name="_Toc81852686"/>
      <w:bookmarkStart w:id="77" w:name="_Toc81852740"/>
      <w:bookmarkStart w:id="78" w:name="_Toc168646951"/>
      <w:bookmarkStart w:id="79" w:name="_Toc169772549"/>
      <w:r w:rsidRPr="00A72DCC">
        <w:lastRenderedPageBreak/>
        <w:t>Statement of Compatibility with Human Rights</w:t>
      </w:r>
      <w:bookmarkEnd w:id="63"/>
      <w:bookmarkEnd w:id="64"/>
      <w:bookmarkEnd w:id="65"/>
      <w:bookmarkEnd w:id="66"/>
      <w:bookmarkEnd w:id="67"/>
      <w:bookmarkEnd w:id="71"/>
      <w:bookmarkEnd w:id="72"/>
      <w:bookmarkEnd w:id="73"/>
      <w:bookmarkEnd w:id="74"/>
      <w:bookmarkEnd w:id="75"/>
      <w:bookmarkEnd w:id="76"/>
      <w:bookmarkEnd w:id="77"/>
      <w:bookmarkEnd w:id="78"/>
      <w:bookmarkEnd w:id="79"/>
    </w:p>
    <w:p w14:paraId="06AFB1DC" w14:textId="77777777" w:rsidR="005D0844" w:rsidRPr="005D0844" w:rsidRDefault="005D0844" w:rsidP="005D0844">
      <w:pPr>
        <w:pStyle w:val="Normalparatextnonumbers"/>
        <w:rPr>
          <w:i/>
          <w:iCs/>
        </w:rPr>
      </w:pPr>
      <w:bookmarkStart w:id="80" w:name="Chapter3"/>
      <w:r w:rsidRPr="005D0844">
        <w:rPr>
          <w:i/>
          <w:iCs/>
        </w:rPr>
        <w:t>Prepared in accordance with Part 3 of the Human Rights (Parliamentary Scrutiny</w:t>
      </w:r>
      <w:r w:rsidR="000E4D39">
        <w:rPr>
          <w:i/>
          <w:iCs/>
        </w:rPr>
        <w:t>)</w:t>
      </w:r>
      <w:r w:rsidRPr="005D0844">
        <w:rPr>
          <w:i/>
          <w:iCs/>
        </w:rPr>
        <w:t xml:space="preserve"> Act</w:t>
      </w:r>
      <w:r w:rsidR="000E4D39">
        <w:rPr>
          <w:i/>
          <w:iCs/>
        </w:rPr>
        <w:t> </w:t>
      </w:r>
      <w:r w:rsidRPr="005D0844">
        <w:rPr>
          <w:i/>
          <w:iCs/>
        </w:rPr>
        <w:t>2011</w:t>
      </w:r>
      <w:r>
        <w:rPr>
          <w:i/>
          <w:iCs/>
        </w:rPr>
        <w:t>.</w:t>
      </w:r>
    </w:p>
    <w:bookmarkStart w:id="81" w:name="_Hlk82085634"/>
    <w:p w14:paraId="1D46FA46" w14:textId="5B0AE360" w:rsidR="00873094" w:rsidRDefault="00873094" w:rsidP="009C586D">
      <w:pPr>
        <w:pStyle w:val="Heading5"/>
      </w:pPr>
      <w:r w:rsidRPr="00020288">
        <w:fldChar w:fldCharType="begin"/>
      </w:r>
      <w:r w:rsidRPr="00020288">
        <w:instrText xml:space="preserve"> STYLEREF  "Bill Name"  \* MERGEFORMAT </w:instrText>
      </w:r>
      <w:r w:rsidRPr="00020288">
        <w:fldChar w:fldCharType="separate"/>
      </w:r>
      <w:r w:rsidR="00D85292">
        <w:rPr>
          <w:noProof/>
        </w:rPr>
        <w:t>Treasury Laws Amendment (Financial Market Infrastructure and Other Measures) Bill 2024</w:t>
      </w:r>
      <w:r w:rsidRPr="00020288">
        <w:fldChar w:fldCharType="end"/>
      </w:r>
    </w:p>
    <w:p w14:paraId="675C6204" w14:textId="58A7602D" w:rsidR="005065BE" w:rsidRDefault="00AB6ED9" w:rsidP="00AB6ED9">
      <w:pPr>
        <w:pStyle w:val="TOCHeading"/>
      </w:pPr>
      <w:r>
        <w:t xml:space="preserve">Table of Contents: </w:t>
      </w:r>
    </w:p>
    <w:p w14:paraId="18473556" w14:textId="64C15AFD" w:rsidR="00841982" w:rsidRDefault="00AB6ED9">
      <w:pPr>
        <w:pStyle w:val="TOC2"/>
        <w:rPr>
          <w:rFonts w:asciiTheme="minorHAnsi" w:eastAsiaTheme="minorEastAsia" w:hAnsiTheme="minorHAnsi"/>
          <w:kern w:val="2"/>
          <w:sz w:val="22"/>
          <w:lang w:eastAsia="en-AU"/>
          <w14:ligatures w14:val="standardContextual"/>
        </w:rPr>
      </w:pPr>
      <w:r>
        <w:fldChar w:fldCharType="begin"/>
      </w:r>
      <w:r>
        <w:instrText xml:space="preserve"> TOC \o "1-3" \z  \B Chapter3</w:instrText>
      </w:r>
      <w:r>
        <w:fldChar w:fldCharType="separate"/>
      </w:r>
      <w:r w:rsidR="00841982">
        <w:t>Parliamentary amendments to Schedules 2 and 5 – Treasury Laws Amendment (Financial Market Infrastructure and Other Measures) Bill 2024</w:t>
      </w:r>
      <w:r w:rsidR="00841982">
        <w:rPr>
          <w:webHidden/>
        </w:rPr>
        <w:tab/>
      </w:r>
      <w:r w:rsidR="00841982">
        <w:rPr>
          <w:webHidden/>
        </w:rPr>
        <w:fldChar w:fldCharType="begin"/>
      </w:r>
      <w:r w:rsidR="00841982">
        <w:rPr>
          <w:webHidden/>
        </w:rPr>
        <w:instrText xml:space="preserve"> PAGEREF _Toc169772550 \h </w:instrText>
      </w:r>
      <w:r w:rsidR="00841982">
        <w:rPr>
          <w:webHidden/>
        </w:rPr>
      </w:r>
      <w:r w:rsidR="00841982">
        <w:rPr>
          <w:webHidden/>
        </w:rPr>
        <w:fldChar w:fldCharType="separate"/>
      </w:r>
      <w:r w:rsidR="00D85292">
        <w:rPr>
          <w:webHidden/>
        </w:rPr>
        <w:t>12</w:t>
      </w:r>
      <w:r w:rsidR="00841982">
        <w:rPr>
          <w:webHidden/>
        </w:rPr>
        <w:fldChar w:fldCharType="end"/>
      </w:r>
    </w:p>
    <w:p w14:paraId="7ED5D7F0" w14:textId="0C5FD848" w:rsidR="00841982" w:rsidRDefault="00841982">
      <w:pPr>
        <w:pStyle w:val="TOC3"/>
        <w:rPr>
          <w:rFonts w:asciiTheme="minorHAnsi" w:eastAsiaTheme="minorEastAsia" w:hAnsiTheme="minorHAnsi" w:cstheme="minorBidi"/>
          <w:iCs w:val="0"/>
          <w:noProof/>
          <w:kern w:val="2"/>
          <w:sz w:val="22"/>
          <w:szCs w:val="22"/>
          <w:lang w:eastAsia="en-AU"/>
          <w14:ligatures w14:val="standardContextual"/>
        </w:rPr>
      </w:pPr>
      <w:r>
        <w:rPr>
          <w:noProof/>
        </w:rPr>
        <w:t>Overview</w:t>
      </w:r>
      <w:r>
        <w:rPr>
          <w:noProof/>
          <w:webHidden/>
        </w:rPr>
        <w:tab/>
      </w:r>
      <w:r>
        <w:rPr>
          <w:noProof/>
          <w:webHidden/>
        </w:rPr>
        <w:fldChar w:fldCharType="begin"/>
      </w:r>
      <w:r>
        <w:rPr>
          <w:noProof/>
          <w:webHidden/>
        </w:rPr>
        <w:instrText xml:space="preserve"> PAGEREF _Toc169772551 \h </w:instrText>
      </w:r>
      <w:r>
        <w:rPr>
          <w:noProof/>
          <w:webHidden/>
        </w:rPr>
      </w:r>
      <w:r>
        <w:rPr>
          <w:noProof/>
          <w:webHidden/>
        </w:rPr>
        <w:fldChar w:fldCharType="separate"/>
      </w:r>
      <w:r w:rsidR="00D85292">
        <w:rPr>
          <w:noProof/>
          <w:webHidden/>
        </w:rPr>
        <w:t>12</w:t>
      </w:r>
      <w:r>
        <w:rPr>
          <w:noProof/>
          <w:webHidden/>
        </w:rPr>
        <w:fldChar w:fldCharType="end"/>
      </w:r>
    </w:p>
    <w:p w14:paraId="6CCA1F20" w14:textId="0F44ECED" w:rsidR="00841982" w:rsidRDefault="00841982">
      <w:pPr>
        <w:pStyle w:val="TOC3"/>
        <w:rPr>
          <w:rFonts w:asciiTheme="minorHAnsi" w:eastAsiaTheme="minorEastAsia" w:hAnsiTheme="minorHAnsi" w:cstheme="minorBidi"/>
          <w:iCs w:val="0"/>
          <w:noProof/>
          <w:kern w:val="2"/>
          <w:sz w:val="22"/>
          <w:szCs w:val="22"/>
          <w:lang w:eastAsia="en-AU"/>
          <w14:ligatures w14:val="standardContextual"/>
        </w:rPr>
      </w:pPr>
      <w:r>
        <w:rPr>
          <w:noProof/>
        </w:rPr>
        <w:t>Human rights implications</w:t>
      </w:r>
      <w:r>
        <w:rPr>
          <w:noProof/>
          <w:webHidden/>
        </w:rPr>
        <w:tab/>
      </w:r>
      <w:r>
        <w:rPr>
          <w:noProof/>
          <w:webHidden/>
        </w:rPr>
        <w:fldChar w:fldCharType="begin"/>
      </w:r>
      <w:r>
        <w:rPr>
          <w:noProof/>
          <w:webHidden/>
        </w:rPr>
        <w:instrText xml:space="preserve"> PAGEREF _Toc169772552 \h </w:instrText>
      </w:r>
      <w:r>
        <w:rPr>
          <w:noProof/>
          <w:webHidden/>
        </w:rPr>
      </w:r>
      <w:r>
        <w:rPr>
          <w:noProof/>
          <w:webHidden/>
        </w:rPr>
        <w:fldChar w:fldCharType="separate"/>
      </w:r>
      <w:r w:rsidR="00D85292">
        <w:rPr>
          <w:noProof/>
          <w:webHidden/>
        </w:rPr>
        <w:t>12</w:t>
      </w:r>
      <w:r>
        <w:rPr>
          <w:noProof/>
          <w:webHidden/>
        </w:rPr>
        <w:fldChar w:fldCharType="end"/>
      </w:r>
    </w:p>
    <w:p w14:paraId="21190217" w14:textId="17BF995A" w:rsidR="00841982" w:rsidRDefault="00841982">
      <w:pPr>
        <w:pStyle w:val="TOC3"/>
        <w:rPr>
          <w:rFonts w:asciiTheme="minorHAnsi" w:eastAsiaTheme="minorEastAsia" w:hAnsiTheme="minorHAnsi" w:cstheme="minorBidi"/>
          <w:iCs w:val="0"/>
          <w:noProof/>
          <w:kern w:val="2"/>
          <w:sz w:val="22"/>
          <w:szCs w:val="22"/>
          <w:lang w:eastAsia="en-AU"/>
          <w14:ligatures w14:val="standardContextual"/>
        </w:rPr>
      </w:pPr>
      <w:r>
        <w:rPr>
          <w:noProof/>
        </w:rPr>
        <w:t>Conclusion</w:t>
      </w:r>
      <w:r>
        <w:rPr>
          <w:noProof/>
          <w:webHidden/>
        </w:rPr>
        <w:tab/>
      </w:r>
      <w:r>
        <w:rPr>
          <w:noProof/>
          <w:webHidden/>
        </w:rPr>
        <w:fldChar w:fldCharType="begin"/>
      </w:r>
      <w:r>
        <w:rPr>
          <w:noProof/>
          <w:webHidden/>
        </w:rPr>
        <w:instrText xml:space="preserve"> PAGEREF _Toc169772553 \h </w:instrText>
      </w:r>
      <w:r>
        <w:rPr>
          <w:noProof/>
          <w:webHidden/>
        </w:rPr>
      </w:r>
      <w:r>
        <w:rPr>
          <w:noProof/>
          <w:webHidden/>
        </w:rPr>
        <w:fldChar w:fldCharType="separate"/>
      </w:r>
      <w:r w:rsidR="00D85292">
        <w:rPr>
          <w:noProof/>
          <w:webHidden/>
        </w:rPr>
        <w:t>12</w:t>
      </w:r>
      <w:r>
        <w:rPr>
          <w:noProof/>
          <w:webHidden/>
        </w:rPr>
        <w:fldChar w:fldCharType="end"/>
      </w:r>
    </w:p>
    <w:p w14:paraId="577202BF" w14:textId="196B2005" w:rsidR="00841982" w:rsidRDefault="00841982">
      <w:pPr>
        <w:pStyle w:val="TOC2"/>
        <w:rPr>
          <w:rFonts w:asciiTheme="minorHAnsi" w:eastAsiaTheme="minorEastAsia" w:hAnsiTheme="minorHAnsi"/>
          <w:kern w:val="2"/>
          <w:sz w:val="22"/>
          <w:lang w:eastAsia="en-AU"/>
          <w14:ligatures w14:val="standardContextual"/>
        </w:rPr>
      </w:pPr>
      <w:r>
        <w:t>Parliamentary amendments to Schedule 4 – Treasury Laws Amendment (Financial Market Infrastructure and Other Measures) Bill 2024</w:t>
      </w:r>
      <w:r>
        <w:rPr>
          <w:webHidden/>
        </w:rPr>
        <w:tab/>
      </w:r>
      <w:r>
        <w:rPr>
          <w:webHidden/>
        </w:rPr>
        <w:fldChar w:fldCharType="begin"/>
      </w:r>
      <w:r>
        <w:rPr>
          <w:webHidden/>
        </w:rPr>
        <w:instrText xml:space="preserve"> PAGEREF _Toc169772554 \h </w:instrText>
      </w:r>
      <w:r>
        <w:rPr>
          <w:webHidden/>
        </w:rPr>
      </w:r>
      <w:r>
        <w:rPr>
          <w:webHidden/>
        </w:rPr>
        <w:fldChar w:fldCharType="separate"/>
      </w:r>
      <w:r w:rsidR="00D85292">
        <w:rPr>
          <w:webHidden/>
        </w:rPr>
        <w:t>13</w:t>
      </w:r>
      <w:r>
        <w:rPr>
          <w:webHidden/>
        </w:rPr>
        <w:fldChar w:fldCharType="end"/>
      </w:r>
    </w:p>
    <w:p w14:paraId="4BE043C9" w14:textId="58F9FF3A" w:rsidR="00841982" w:rsidRDefault="00841982">
      <w:pPr>
        <w:pStyle w:val="TOC3"/>
        <w:rPr>
          <w:rFonts w:asciiTheme="minorHAnsi" w:eastAsiaTheme="minorEastAsia" w:hAnsiTheme="minorHAnsi" w:cstheme="minorBidi"/>
          <w:iCs w:val="0"/>
          <w:noProof/>
          <w:kern w:val="2"/>
          <w:sz w:val="22"/>
          <w:szCs w:val="22"/>
          <w:lang w:eastAsia="en-AU"/>
          <w14:ligatures w14:val="standardContextual"/>
        </w:rPr>
      </w:pPr>
      <w:r>
        <w:rPr>
          <w:noProof/>
        </w:rPr>
        <w:t>Overview</w:t>
      </w:r>
      <w:r>
        <w:rPr>
          <w:noProof/>
          <w:webHidden/>
        </w:rPr>
        <w:tab/>
      </w:r>
      <w:r>
        <w:rPr>
          <w:noProof/>
          <w:webHidden/>
        </w:rPr>
        <w:fldChar w:fldCharType="begin"/>
      </w:r>
      <w:r>
        <w:rPr>
          <w:noProof/>
          <w:webHidden/>
        </w:rPr>
        <w:instrText xml:space="preserve"> PAGEREF _Toc169772555 \h </w:instrText>
      </w:r>
      <w:r>
        <w:rPr>
          <w:noProof/>
          <w:webHidden/>
        </w:rPr>
      </w:r>
      <w:r>
        <w:rPr>
          <w:noProof/>
          <w:webHidden/>
        </w:rPr>
        <w:fldChar w:fldCharType="separate"/>
      </w:r>
      <w:r w:rsidR="00D85292">
        <w:rPr>
          <w:noProof/>
          <w:webHidden/>
        </w:rPr>
        <w:t>13</w:t>
      </w:r>
      <w:r>
        <w:rPr>
          <w:noProof/>
          <w:webHidden/>
        </w:rPr>
        <w:fldChar w:fldCharType="end"/>
      </w:r>
    </w:p>
    <w:p w14:paraId="75954D28" w14:textId="5732A577" w:rsidR="00841982" w:rsidRDefault="00841982">
      <w:pPr>
        <w:pStyle w:val="TOC3"/>
        <w:rPr>
          <w:rFonts w:asciiTheme="minorHAnsi" w:eastAsiaTheme="minorEastAsia" w:hAnsiTheme="minorHAnsi" w:cstheme="minorBidi"/>
          <w:iCs w:val="0"/>
          <w:noProof/>
          <w:kern w:val="2"/>
          <w:sz w:val="22"/>
          <w:szCs w:val="22"/>
          <w:lang w:eastAsia="en-AU"/>
          <w14:ligatures w14:val="standardContextual"/>
        </w:rPr>
      </w:pPr>
      <w:r>
        <w:rPr>
          <w:noProof/>
        </w:rPr>
        <w:t>Human rights implications</w:t>
      </w:r>
      <w:r>
        <w:rPr>
          <w:noProof/>
          <w:webHidden/>
        </w:rPr>
        <w:tab/>
      </w:r>
      <w:r>
        <w:rPr>
          <w:noProof/>
          <w:webHidden/>
        </w:rPr>
        <w:fldChar w:fldCharType="begin"/>
      </w:r>
      <w:r>
        <w:rPr>
          <w:noProof/>
          <w:webHidden/>
        </w:rPr>
        <w:instrText xml:space="preserve"> PAGEREF _Toc169772556 \h </w:instrText>
      </w:r>
      <w:r>
        <w:rPr>
          <w:noProof/>
          <w:webHidden/>
        </w:rPr>
      </w:r>
      <w:r>
        <w:rPr>
          <w:noProof/>
          <w:webHidden/>
        </w:rPr>
        <w:fldChar w:fldCharType="separate"/>
      </w:r>
      <w:r w:rsidR="00D85292">
        <w:rPr>
          <w:noProof/>
          <w:webHidden/>
        </w:rPr>
        <w:t>13</w:t>
      </w:r>
      <w:r>
        <w:rPr>
          <w:noProof/>
          <w:webHidden/>
        </w:rPr>
        <w:fldChar w:fldCharType="end"/>
      </w:r>
    </w:p>
    <w:p w14:paraId="7BBE013F" w14:textId="7A28142C" w:rsidR="00841982" w:rsidRDefault="00841982">
      <w:pPr>
        <w:pStyle w:val="TOC3"/>
        <w:rPr>
          <w:rFonts w:asciiTheme="minorHAnsi" w:eastAsiaTheme="minorEastAsia" w:hAnsiTheme="minorHAnsi" w:cstheme="minorBidi"/>
          <w:iCs w:val="0"/>
          <w:noProof/>
          <w:kern w:val="2"/>
          <w:sz w:val="22"/>
          <w:szCs w:val="22"/>
          <w:lang w:eastAsia="en-AU"/>
          <w14:ligatures w14:val="standardContextual"/>
        </w:rPr>
      </w:pPr>
      <w:r>
        <w:rPr>
          <w:noProof/>
        </w:rPr>
        <w:t>Conclusion</w:t>
      </w:r>
      <w:r>
        <w:rPr>
          <w:noProof/>
          <w:webHidden/>
        </w:rPr>
        <w:tab/>
      </w:r>
      <w:r>
        <w:rPr>
          <w:noProof/>
          <w:webHidden/>
        </w:rPr>
        <w:fldChar w:fldCharType="begin"/>
      </w:r>
      <w:r>
        <w:rPr>
          <w:noProof/>
          <w:webHidden/>
        </w:rPr>
        <w:instrText xml:space="preserve"> PAGEREF _Toc169772557 \h </w:instrText>
      </w:r>
      <w:r>
        <w:rPr>
          <w:noProof/>
          <w:webHidden/>
        </w:rPr>
      </w:r>
      <w:r>
        <w:rPr>
          <w:noProof/>
          <w:webHidden/>
        </w:rPr>
        <w:fldChar w:fldCharType="separate"/>
      </w:r>
      <w:r w:rsidR="00D85292">
        <w:rPr>
          <w:noProof/>
          <w:webHidden/>
        </w:rPr>
        <w:t>13</w:t>
      </w:r>
      <w:r>
        <w:rPr>
          <w:noProof/>
          <w:webHidden/>
        </w:rPr>
        <w:fldChar w:fldCharType="end"/>
      </w:r>
    </w:p>
    <w:p w14:paraId="3A9D0FA5" w14:textId="4342C8B2" w:rsidR="00AB6ED9" w:rsidRPr="00AB6ED9" w:rsidRDefault="00AB6ED9" w:rsidP="008A5BDF">
      <w:r>
        <w:fldChar w:fldCharType="end"/>
      </w:r>
    </w:p>
    <w:p w14:paraId="51EE00E2" w14:textId="77777777" w:rsidR="005065BE" w:rsidRPr="005065BE" w:rsidRDefault="005065BE" w:rsidP="005065BE">
      <w:pPr>
        <w:pStyle w:val="Normalparatextnonumbers"/>
      </w:pPr>
    </w:p>
    <w:p w14:paraId="06E8DD60" w14:textId="45CB7891" w:rsidR="001C08ED" w:rsidRDefault="001C08ED" w:rsidP="001C08ED">
      <w:pPr>
        <w:pStyle w:val="Heading2"/>
      </w:pPr>
      <w:bookmarkStart w:id="82" w:name="_Toc169772550"/>
      <w:bookmarkEnd w:id="81"/>
      <w:r>
        <w:lastRenderedPageBreak/>
        <w:t>Parliamentary amendments to Schedules 2 and 5</w:t>
      </w:r>
      <w:r w:rsidRPr="001C08ED">
        <w:t xml:space="preserve"> – </w:t>
      </w:r>
      <w:r>
        <w:t>Treasury Laws Amendment (Financial Market Infrastructure and Other Measures) Bill 2024</w:t>
      </w:r>
      <w:bookmarkEnd w:id="82"/>
    </w:p>
    <w:p w14:paraId="545F5E7A" w14:textId="3172A788" w:rsidR="00961E28" w:rsidRDefault="00961E28" w:rsidP="0033272A">
      <w:pPr>
        <w:pStyle w:val="Heading3"/>
      </w:pPr>
      <w:bookmarkStart w:id="83" w:name="_Toc150157033"/>
      <w:bookmarkStart w:id="84" w:name="_Toc169772551"/>
      <w:r>
        <w:t>Overview</w:t>
      </w:r>
      <w:bookmarkEnd w:id="83"/>
      <w:bookmarkEnd w:id="84"/>
    </w:p>
    <w:p w14:paraId="69B8539F" w14:textId="3C525927" w:rsidR="00961E28" w:rsidRDefault="00961E28" w:rsidP="00961E28">
      <w:pPr>
        <w:pStyle w:val="Normalparatextwithnumbers"/>
        <w:numPr>
          <w:ilvl w:val="1"/>
          <w:numId w:val="23"/>
        </w:numPr>
      </w:pPr>
      <w:r w:rsidRPr="00B77D03">
        <w:t>Th</w:t>
      </w:r>
      <w:r w:rsidR="00FA23CF">
        <w:t xml:space="preserve">e </w:t>
      </w:r>
      <w:r w:rsidR="004E39C8">
        <w:t xml:space="preserve">Parliamentary amendments to the Bill are </w:t>
      </w:r>
      <w:r w:rsidRPr="00B77D03">
        <w:t xml:space="preserve">compatible with the human rights and freedoms recognised or declared in the international instruments listed in section 3 of the </w:t>
      </w:r>
      <w:r w:rsidRPr="00B77D03">
        <w:rPr>
          <w:i/>
          <w:iCs/>
        </w:rPr>
        <w:t>Human Rights (Parliamentary Scrutiny) Act 2011</w:t>
      </w:r>
      <w:r w:rsidRPr="00B77D03">
        <w:t>.</w:t>
      </w:r>
    </w:p>
    <w:p w14:paraId="4315C0F2" w14:textId="6E04A4E9" w:rsidR="00A26E82" w:rsidRDefault="00A26E82" w:rsidP="00A26E82">
      <w:pPr>
        <w:pStyle w:val="Normalparatextwithnumbers"/>
      </w:pPr>
      <w:r>
        <w:t xml:space="preserve">The Parliamentary amendments to Schedules 2 and 5 to the Bill amend the Bill so that the requirement for regulations to approve a particular person’s voting power in </w:t>
      </w:r>
      <w:r w:rsidR="00BB675B">
        <w:t>ASX</w:t>
      </w:r>
      <w:r>
        <w:t xml:space="preserve"> Limited in certain circumstances is retained. </w:t>
      </w:r>
    </w:p>
    <w:p w14:paraId="3497E65F" w14:textId="77777777" w:rsidR="00A26E82" w:rsidRDefault="00A26E82" w:rsidP="00A26E82">
      <w:pPr>
        <w:pStyle w:val="Normalparatextwithnumbers"/>
      </w:pPr>
      <w:r>
        <w:t xml:space="preserve">Any regulations made to approve such holdings do not take effect until the disallowance period for those regulations has passed. </w:t>
      </w:r>
    </w:p>
    <w:p w14:paraId="7DDD6F26" w14:textId="426D97EA" w:rsidR="00A26E82" w:rsidRDefault="00A26E82" w:rsidP="00A26E82">
      <w:pPr>
        <w:pStyle w:val="Normalparatextwithnumbers"/>
      </w:pPr>
      <w:r>
        <w:t>The amendments to the Bill also update terminology in the relevant provisions and address a technical issue in the commencement of a civil penalty provision.</w:t>
      </w:r>
    </w:p>
    <w:p w14:paraId="31FA9D92" w14:textId="77777777" w:rsidR="00961E28" w:rsidRDefault="00961E28" w:rsidP="0019006A">
      <w:pPr>
        <w:pStyle w:val="Heading3"/>
      </w:pPr>
      <w:bookmarkStart w:id="85" w:name="_Toc135057435"/>
      <w:bookmarkStart w:id="86" w:name="_Toc150157034"/>
      <w:bookmarkStart w:id="87" w:name="_Toc169772552"/>
      <w:r>
        <w:t>Human rights implications</w:t>
      </w:r>
      <w:bookmarkEnd w:id="85"/>
      <w:bookmarkEnd w:id="86"/>
      <w:bookmarkEnd w:id="87"/>
    </w:p>
    <w:p w14:paraId="25A2E4B3" w14:textId="2B80E02F" w:rsidR="00961E28" w:rsidRDefault="00BE7976" w:rsidP="00961E28">
      <w:pPr>
        <w:pStyle w:val="Normalparatextwithnumbers"/>
      </w:pPr>
      <w:r>
        <w:t xml:space="preserve">The Parliamentary amendments to the Bill do not </w:t>
      </w:r>
      <w:r w:rsidR="00961E28" w:rsidRPr="00B77D03">
        <w:t>engage any of the applicable rights or freedoms</w:t>
      </w:r>
      <w:r w:rsidR="00392460">
        <w:t xml:space="preserve"> and do not affect the initial analysis of human rights issues conducted for the Bill.</w:t>
      </w:r>
    </w:p>
    <w:p w14:paraId="421752D8" w14:textId="77777777" w:rsidR="00961E28" w:rsidRDefault="00961E28" w:rsidP="00A859C7">
      <w:pPr>
        <w:pStyle w:val="Heading3"/>
      </w:pPr>
      <w:bookmarkStart w:id="88" w:name="_Toc135057436"/>
      <w:bookmarkStart w:id="89" w:name="_Toc150157035"/>
      <w:bookmarkStart w:id="90" w:name="_Toc169772553"/>
      <w:r>
        <w:t>Conclusion</w:t>
      </w:r>
      <w:bookmarkEnd w:id="88"/>
      <w:bookmarkEnd w:id="89"/>
      <w:bookmarkEnd w:id="90"/>
    </w:p>
    <w:p w14:paraId="13D20C80" w14:textId="1FD7AA12" w:rsidR="00961E28" w:rsidRDefault="00092239" w:rsidP="00961E28">
      <w:pPr>
        <w:pStyle w:val="Normalparatextwithnumbers"/>
      </w:pPr>
      <w:r>
        <w:t>The Parliamentary amendments to the Bill are</w:t>
      </w:r>
      <w:r w:rsidRPr="00B77D03">
        <w:t xml:space="preserve"> </w:t>
      </w:r>
      <w:r w:rsidR="00961E28" w:rsidRPr="00B77D03">
        <w:t xml:space="preserve">compatible with human rights as </w:t>
      </w:r>
      <w:r w:rsidR="00B54967">
        <w:t xml:space="preserve">the amendments do not </w:t>
      </w:r>
      <w:r w:rsidR="00961E28" w:rsidRPr="00B77D03">
        <w:t>raise any human rights issues.</w:t>
      </w:r>
    </w:p>
    <w:p w14:paraId="6332A059" w14:textId="56D2094A" w:rsidR="0007357B" w:rsidRDefault="00F126D5" w:rsidP="0007357B">
      <w:pPr>
        <w:pStyle w:val="Heading2"/>
      </w:pPr>
      <w:bookmarkStart w:id="91" w:name="RISGoesHere"/>
      <w:bookmarkStart w:id="92" w:name="_Toc169772554"/>
      <w:bookmarkEnd w:id="5"/>
      <w:bookmarkEnd w:id="91"/>
      <w:r>
        <w:lastRenderedPageBreak/>
        <w:t xml:space="preserve">Parliamentary amendments to </w:t>
      </w:r>
      <w:r w:rsidR="0007357B">
        <w:t xml:space="preserve">Schedule </w:t>
      </w:r>
      <w:r>
        <w:t>4</w:t>
      </w:r>
      <w:r w:rsidRPr="001C08ED">
        <w:t xml:space="preserve"> –</w:t>
      </w:r>
      <w:r w:rsidR="0007357B">
        <w:t xml:space="preserve"> Treasury Laws Amendment (Financial Market Infrastructure and Other Measures) Bill 2024</w:t>
      </w:r>
      <w:bookmarkEnd w:id="92"/>
    </w:p>
    <w:p w14:paraId="511F37FD" w14:textId="77777777" w:rsidR="0007357B" w:rsidRDefault="0007357B" w:rsidP="00750DAC">
      <w:pPr>
        <w:pStyle w:val="Heading3"/>
      </w:pPr>
      <w:bookmarkStart w:id="93" w:name="_Toc169772555"/>
      <w:r>
        <w:t>Overview</w:t>
      </w:r>
      <w:bookmarkEnd w:id="93"/>
    </w:p>
    <w:p w14:paraId="7B2607AD" w14:textId="77777777" w:rsidR="0007357B" w:rsidRDefault="0007357B" w:rsidP="0007357B">
      <w:pPr>
        <w:pStyle w:val="Normalparatextwithnumbers"/>
        <w:numPr>
          <w:ilvl w:val="1"/>
          <w:numId w:val="3"/>
        </w:numPr>
      </w:pPr>
      <w:r>
        <w:t xml:space="preserve">The Parliamentary amendment to the Bill is compatible with the human rights and freedoms recognised or declared in the international instruments listed in section 3 of the </w:t>
      </w:r>
      <w:r>
        <w:rPr>
          <w:i/>
          <w:iCs/>
        </w:rPr>
        <w:t>Human Rights (Parliamentary Scrutiny) Act 2011</w:t>
      </w:r>
      <w:r>
        <w:t>.</w:t>
      </w:r>
    </w:p>
    <w:p w14:paraId="7D017A38" w14:textId="77777777" w:rsidR="0007357B" w:rsidRDefault="0007357B" w:rsidP="0007357B">
      <w:pPr>
        <w:pStyle w:val="Normalparatextwithnumbers"/>
        <w:numPr>
          <w:ilvl w:val="1"/>
          <w:numId w:val="3"/>
        </w:numPr>
      </w:pPr>
      <w:r>
        <w:t>The Parliamentary amendment to Schedule 4 of the Bill amends the Bill to require entities to use both a higher and a lower global average temperature increase scenario, where the sustainability standards require the disclosure of a scenario analysis or information derived from or about a scenario analysis.</w:t>
      </w:r>
    </w:p>
    <w:p w14:paraId="4E93F0EC" w14:textId="77777777" w:rsidR="0007357B" w:rsidRDefault="0007357B" w:rsidP="00776091">
      <w:pPr>
        <w:pStyle w:val="Heading3"/>
      </w:pPr>
      <w:bookmarkStart w:id="94" w:name="_Toc169772556"/>
      <w:r>
        <w:t>Human rights implications</w:t>
      </w:r>
      <w:bookmarkEnd w:id="94"/>
    </w:p>
    <w:p w14:paraId="624A66FC" w14:textId="77777777" w:rsidR="0007357B" w:rsidRDefault="0007357B" w:rsidP="0007357B">
      <w:pPr>
        <w:pStyle w:val="Normalparatextwithnumbers"/>
        <w:numPr>
          <w:ilvl w:val="1"/>
          <w:numId w:val="3"/>
        </w:numPr>
      </w:pPr>
      <w:r>
        <w:t>The Parliamentary amendment to the Bill does not engage any of the applicable rights or freedoms and does not affect the initial analysis of human rights issues conducted for the Bill.</w:t>
      </w:r>
    </w:p>
    <w:p w14:paraId="5B5DB19B" w14:textId="77777777" w:rsidR="0007357B" w:rsidRPr="00CC43F5" w:rsidRDefault="0007357B" w:rsidP="00B92790">
      <w:pPr>
        <w:pStyle w:val="Heading3"/>
      </w:pPr>
      <w:bookmarkStart w:id="95" w:name="_Toc169772557"/>
      <w:r>
        <w:t>Conclusion</w:t>
      </w:r>
      <w:bookmarkEnd w:id="95"/>
    </w:p>
    <w:p w14:paraId="34735BE7" w14:textId="77777777" w:rsidR="0007357B" w:rsidRDefault="0007357B" w:rsidP="0007357B">
      <w:pPr>
        <w:pStyle w:val="Normalparatextwithnumbers"/>
        <w:numPr>
          <w:ilvl w:val="1"/>
          <w:numId w:val="3"/>
        </w:numPr>
      </w:pPr>
      <w:r>
        <w:t>The Parliamentary amendment to the Bill is compatible with human rights as the amendment does not raise any human rights issues.</w:t>
      </w:r>
    </w:p>
    <w:p w14:paraId="48998987" w14:textId="77777777" w:rsidR="0007357B" w:rsidRDefault="0007357B" w:rsidP="0007357B">
      <w:pPr>
        <w:pStyle w:val="Normalparatextnonumbers"/>
      </w:pPr>
    </w:p>
    <w:bookmarkEnd w:id="80"/>
    <w:p w14:paraId="453DED5D" w14:textId="77777777" w:rsidR="0007357B" w:rsidRDefault="0007357B" w:rsidP="0007357B">
      <w:pPr>
        <w:pStyle w:val="Normalparatextnonumbers"/>
      </w:pPr>
    </w:p>
    <w:p w14:paraId="27E80158" w14:textId="77777777" w:rsidR="00B77D03" w:rsidRDefault="00B77D03" w:rsidP="00873094"/>
    <w:sectPr w:rsidR="00B77D03" w:rsidSect="00000BFC">
      <w:headerReference w:type="even" r:id="rId29"/>
      <w:headerReference w:type="default" r:id="rId30"/>
      <w:headerReference w:type="first" r:id="rId31"/>
      <w:type w:val="oddPage"/>
      <w:pgSz w:w="9979" w:h="14175" w:code="9"/>
      <w:pgMar w:top="567" w:right="1134"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C7708" w14:textId="77777777" w:rsidR="00E0056D" w:rsidRDefault="00E0056D">
      <w:pPr>
        <w:spacing w:before="0" w:after="0"/>
      </w:pPr>
      <w:r>
        <w:separator/>
      </w:r>
    </w:p>
  </w:endnote>
  <w:endnote w:type="continuationSeparator" w:id="0">
    <w:p w14:paraId="7938D597" w14:textId="77777777" w:rsidR="00E0056D" w:rsidRDefault="00E0056D">
      <w:pPr>
        <w:spacing w:before="0" w:after="0"/>
      </w:pPr>
      <w:r>
        <w:continuationSeparator/>
      </w:r>
    </w:p>
  </w:endnote>
  <w:endnote w:type="continuationNotice" w:id="1">
    <w:p w14:paraId="4FAFA0A5" w14:textId="77777777" w:rsidR="00E0056D" w:rsidRDefault="00E0056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itica">
    <w:altName w:val="Arial"/>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8B864" w14:textId="77777777" w:rsidR="00D63B31" w:rsidRDefault="00D63B31" w:rsidP="002425D9">
    <w:pPr>
      <w:pStyle w:val="Footer"/>
      <w:ind w:right="360" w:firstLine="360"/>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B4FA0" w14:textId="77777777" w:rsidR="00D63B31" w:rsidRPr="004D61CF" w:rsidRDefault="00D63B31" w:rsidP="002425D9">
    <w:pPr>
      <w:pStyle w:val="right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BA28F" w14:textId="77777777" w:rsidR="00D63B31" w:rsidRPr="00091474" w:rsidRDefault="00D63B31"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4A2C3" w14:textId="77777777" w:rsidR="00D63B31" w:rsidRPr="006208CF" w:rsidRDefault="00D63B31" w:rsidP="002425D9">
    <w:pPr>
      <w:pStyle w:val="leftfooter"/>
    </w:pP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71D7D5" w14:textId="77777777" w:rsidR="00D63B31" w:rsidRDefault="00D63B31"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258B" w14:textId="77777777" w:rsidR="00D63B31" w:rsidRPr="00091474" w:rsidRDefault="00D63B31" w:rsidP="002425D9">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8CEC8" w14:textId="77777777" w:rsidR="00D63B31" w:rsidRPr="006208CF" w:rsidRDefault="00D63B31" w:rsidP="001C6C4B">
    <w:pPr>
      <w:pStyle w:val="leftfooter"/>
    </w:pPr>
    <w:r>
      <w:fldChar w:fldCharType="begin"/>
    </w:r>
    <w:r>
      <w:instrText xml:space="preserve"> PAGE   \* MERGEFORMAT </w:instrText>
    </w:r>
    <w:r>
      <w:fldChar w:fldCharType="separate"/>
    </w:r>
    <w:r>
      <w:rPr>
        <w:noProof/>
      </w:rPr>
      <w:t>1</w:t>
    </w:r>
    <w:r>
      <w:rPr>
        <w:noProof/>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FC6E9" w14:textId="77777777" w:rsidR="00D63B31" w:rsidRDefault="00D63B31" w:rsidP="001C6C4B">
    <w:pPr>
      <w:pStyle w:val="rightfooter"/>
    </w:pPr>
    <w:r>
      <w:fldChar w:fldCharType="begin"/>
    </w:r>
    <w:r>
      <w:instrText xml:space="preserve"> PAGE   \* MERGEFORMAT </w:instrText>
    </w:r>
    <w:r>
      <w:fldChar w:fldCharType="separate"/>
    </w:r>
    <w:r>
      <w:rPr>
        <w:noProof/>
      </w:rPr>
      <w:t>1</w:t>
    </w:r>
    <w:r>
      <w:rPr>
        <w:noProof/>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A931F" w14:textId="77777777" w:rsidR="00D63B31" w:rsidRPr="00091474" w:rsidRDefault="00D63B31" w:rsidP="001C6C4B">
    <w:pPr>
      <w:pStyle w:val="right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913BE" w14:textId="77777777" w:rsidR="00E0056D" w:rsidRDefault="00E0056D">
      <w:pPr>
        <w:spacing w:before="0" w:after="0"/>
      </w:pPr>
      <w:r>
        <w:separator/>
      </w:r>
    </w:p>
  </w:footnote>
  <w:footnote w:type="continuationSeparator" w:id="0">
    <w:p w14:paraId="5D263E5C" w14:textId="77777777" w:rsidR="00E0056D" w:rsidRDefault="00E0056D">
      <w:pPr>
        <w:spacing w:before="0" w:after="0"/>
      </w:pPr>
      <w:r>
        <w:continuationSeparator/>
      </w:r>
    </w:p>
  </w:footnote>
  <w:footnote w:type="continuationNotice" w:id="1">
    <w:p w14:paraId="0BB3DF22" w14:textId="77777777" w:rsidR="00E0056D" w:rsidRDefault="00E0056D">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A7F80" w14:textId="77777777" w:rsidR="00D63B31" w:rsidRPr="009106AC" w:rsidRDefault="00D63B31" w:rsidP="002425D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A924C" w14:textId="0432D82B" w:rsidR="00D63B31" w:rsidRPr="001C6C4B" w:rsidRDefault="00D85292" w:rsidP="001C6C4B">
    <w:pPr>
      <w:pStyle w:val="leftheader"/>
    </w:pPr>
    <w:fldSimple w:instr="STYLEREF &quot;Chapter heading&quot; \* MERGEFORMAT">
      <w:r w:rsidR="00753C22">
        <w:rPr>
          <w:noProof/>
        </w:rPr>
        <w:t>Parliamentary amendments to Schedules 2 and 5 – Treasury Laws Amendment (Financial Market Infrastructure and Other Measures) Bill 2024</w:t>
      </w:r>
    </w:fldSimple>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D11EE9" w14:textId="4CA21871" w:rsidR="00D63B31" w:rsidRPr="00A74B1A" w:rsidRDefault="00D85292" w:rsidP="00A74B1A">
    <w:pPr>
      <w:pStyle w:val="rightheader"/>
    </w:pPr>
    <w:fldSimple w:instr="STYLEREF &quot;Bill Name&quot; \* MERGEFORMAT">
      <w:r w:rsidR="00753C22" w:rsidRPr="00753C22">
        <w:rPr>
          <w:b/>
          <w:bCs/>
          <w:noProof/>
          <w:lang w:val="en-US"/>
        </w:rPr>
        <w:t xml:space="preserve">Treasury Laws Amendment (Financial Market Infrastructure and Other </w:t>
      </w:r>
      <w:r w:rsidR="00753C22">
        <w:rPr>
          <w:noProof/>
        </w:rPr>
        <w:t>Measures) Bill 2024</w:t>
      </w:r>
    </w:fldSimple>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6E842" w14:textId="77777777" w:rsidR="00D63B31" w:rsidRPr="00E50554" w:rsidRDefault="00D63B31" w:rsidP="00E50554">
    <w:pPr>
      <w:pStyle w:val="right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B0D5" w14:textId="68EDDDA7" w:rsidR="00D63B31" w:rsidRPr="001C6C4B" w:rsidRDefault="00D85292" w:rsidP="001C6C4B">
    <w:pPr>
      <w:pStyle w:val="leftheader"/>
    </w:pPr>
    <w:fldSimple w:instr="STYLEREF &quot;Chapter heading&quot; \* MERGEFORMAT">
      <w:r w:rsidR="00753C22">
        <w:rPr>
          <w:noProof/>
        </w:rPr>
        <w:t>Statement of Compatibility with Human Rights</w:t>
      </w:r>
    </w:fldSimple>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42593" w14:textId="144DC37C" w:rsidR="00D63B31" w:rsidRPr="00A74B1A" w:rsidRDefault="00D85292" w:rsidP="00A74B1A">
    <w:pPr>
      <w:pStyle w:val="rightheader"/>
    </w:pPr>
    <w:fldSimple w:instr="STYLEREF &quot;Bill Name&quot; \* MERGEFORMAT">
      <w:r w:rsidR="00753C22">
        <w:rPr>
          <w:noProof/>
        </w:rPr>
        <w:t>Treasury Laws Amendment (Financial Market Infrastructure and Other Measures) Bill 2024</w:t>
      </w:r>
    </w:fldSimple>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5BCB2" w14:textId="77777777" w:rsidR="00D63B31" w:rsidRDefault="00D63B31" w:rsidP="00622763">
    <w:pPr>
      <w:pStyle w:val="right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230B5" w14:textId="49A7573D" w:rsidR="00D63B31" w:rsidRPr="0070093E" w:rsidRDefault="00D63B31" w:rsidP="002425D9">
    <w:pPr>
      <w:pStyle w:val="rightheader"/>
      <w:ind w:firstLine="720"/>
      <w:rPr>
        <w:lang w:val="en-US"/>
      </w:rPr>
    </w:pPr>
    <w:r>
      <w:rPr>
        <w:lang w:val="en-US"/>
      </w:rPr>
      <w:t>(</w:t>
    </w:r>
    <w:r>
      <w:rPr>
        <w:lang w:val="en-US"/>
      </w:rPr>
      <w:fldChar w:fldCharType="begin"/>
    </w:r>
    <w:r>
      <w:rPr>
        <w:lang w:val="en-US"/>
      </w:rPr>
      <w:instrText xml:space="preserve"> STYLEREF  ChapterNameOnly  \* MERGEFORMAT </w:instrText>
    </w:r>
    <w:r>
      <w:rPr>
        <w:lang w:val="en-US"/>
      </w:rPr>
      <w:fldChar w:fldCharType="separate"/>
    </w:r>
    <w:r w:rsidR="00D85292">
      <w:rPr>
        <w:b/>
        <w:bCs/>
        <w:noProof/>
        <w:lang w:val="en-US"/>
      </w:rPr>
      <w:t>Error! Use the Home tab to apply ChapterNameOnly to the text that you want to appear here.</w:t>
    </w:r>
    <w:r>
      <w:rPr>
        <w:lang w:val="en-U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3B4E" w14:textId="77777777" w:rsidR="00D63B31" w:rsidRDefault="00D63B3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D90DA" w14:textId="06E7CDA7" w:rsidR="00D63B31" w:rsidRPr="00816825" w:rsidRDefault="00D85292" w:rsidP="002425D9">
    <w:pPr>
      <w:pStyle w:val="leftheader"/>
    </w:pPr>
    <w:fldSimple w:instr="STYLEREF  &quot;Heading 1&quot;  \* MERGEFORMAT">
      <w:r w:rsidR="00753C22">
        <w:rPr>
          <w:noProof/>
        </w:rPr>
        <w:t>Glossary</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74155" w14:textId="77777777" w:rsidR="00D63B31" w:rsidRPr="00091474" w:rsidRDefault="00D63B31" w:rsidP="002425D9">
    <w:pPr>
      <w:pStyle w:val="right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F1D7B" w14:textId="77777777" w:rsidR="00D63B31" w:rsidRDefault="00D63B31">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A936" w14:textId="79CA6DF5" w:rsidR="00D63B31" w:rsidRPr="00816825" w:rsidRDefault="00D85292" w:rsidP="002425D9">
    <w:pPr>
      <w:pStyle w:val="leftheader"/>
    </w:pPr>
    <w:fldSimple w:instr="STYLEREF  &quot;Heading 1&quot;  \* MERGEFORMAT">
      <w:r w:rsidR="00753C22">
        <w:rPr>
          <w:noProof/>
        </w:rPr>
        <w:t>General outline and financial impact</w:t>
      </w:r>
    </w:fldSimple>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4F136" w14:textId="6B2602DA" w:rsidR="00D63B31" w:rsidRPr="001227A2" w:rsidRDefault="00D85292" w:rsidP="001227A2">
    <w:pPr>
      <w:pStyle w:val="rightheader"/>
    </w:pPr>
    <w:fldSimple w:instr="STYLEREF  &quot;Bill Name&quot;  \* MERGEFORMAT">
      <w:r w:rsidRPr="00D85292">
        <w:rPr>
          <w:b/>
          <w:bCs/>
          <w:noProof/>
          <w:lang w:val="en-US"/>
        </w:rPr>
        <w:t xml:space="preserve">Treasury Laws Amendment (Financial Market Infrastructure and Other </w:t>
      </w:r>
      <w:r>
        <w:rPr>
          <w:noProof/>
        </w:rPr>
        <w:t>Measures) Bill 2024</w:t>
      </w:r>
    </w:fldSimple>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5B932" w14:textId="721C33F0" w:rsidR="00D63B31" w:rsidRPr="00F25EB0" w:rsidRDefault="00D63B31" w:rsidP="002425D9">
    <w:pPr>
      <w:pStyle w:val="rightheader"/>
    </w:pPr>
    <w:r w:rsidRPr="00F25EB0">
      <w:rPr>
        <w:lang w:val="en-US"/>
      </w:rPr>
      <w:fldChar w:fldCharType="begin"/>
    </w:r>
    <w:r w:rsidRPr="00F25EB0">
      <w:rPr>
        <w:lang w:val="en-US"/>
      </w:rPr>
      <w:instrText xml:space="preserve"> STYLEREF  "Bill Name"  \* MERGEFORMAT </w:instrText>
    </w:r>
    <w:r w:rsidRPr="00F25EB0">
      <w:rPr>
        <w:lang w:val="en-US"/>
      </w:rPr>
      <w:fldChar w:fldCharType="separate"/>
    </w:r>
    <w:r w:rsidR="00753C22">
      <w:rPr>
        <w:noProof/>
        <w:lang w:val="en-US"/>
      </w:rPr>
      <w:t>Treasury Laws Amendment (Financial Market Infrastructure and Other Measures) Bill 2024</w:t>
    </w:r>
    <w:r w:rsidRPr="00F25EB0">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543A0"/>
    <w:multiLevelType w:val="multilevel"/>
    <w:tmpl w:val="4F888F1E"/>
    <w:lvl w:ilvl="0">
      <w:start w:val="1"/>
      <w:numFmt w:val="decimal"/>
      <w:pStyle w:val="AttachmentHeading"/>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10676E74"/>
    <w:multiLevelType w:val="hybridMultilevel"/>
    <w:tmpl w:val="5A7CC4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5A91E88"/>
    <w:multiLevelType w:val="hybridMultilevel"/>
    <w:tmpl w:val="1DE8CBA4"/>
    <w:lvl w:ilvl="0" w:tplc="D84EA11C">
      <w:start w:val="1"/>
      <w:numFmt w:val="bullet"/>
      <w:pStyle w:val="RISbullet2"/>
      <w:lvlText w:val="‒"/>
      <w:lvlJc w:val="left"/>
      <w:pPr>
        <w:ind w:left="1571" w:hanging="360"/>
      </w:pPr>
      <w:rPr>
        <w:rFonts w:ascii="Times New Roman" w:hAnsi="Times New Roman" w:cs="Times New Roman" w:hint="default"/>
        <w:b w:val="0"/>
        <w:i w:val="0"/>
        <w:sz w:val="22"/>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3" w15:restartNumberingAfterBreak="0">
    <w:nsid w:val="29170CA0"/>
    <w:multiLevelType w:val="multilevel"/>
    <w:tmpl w:val="049421C8"/>
    <w:styleLink w:val="Chapternumbering"/>
    <w:lvl w:ilvl="0">
      <w:start w:val="1"/>
      <w:numFmt w:val="decimal"/>
      <w:pStyle w:val="Chapterheading"/>
      <w:lvlText w:val="Chapter %1:"/>
      <w:lvlJc w:val="left"/>
      <w:pPr>
        <w:tabs>
          <w:tab w:val="num" w:pos="2977"/>
        </w:tabs>
        <w:ind w:left="0" w:firstLine="0"/>
      </w:pPr>
      <w:rPr>
        <w:rFonts w:ascii="Helvitica" w:hAnsi="Helvitica" w:hint="default"/>
        <w:b/>
        <w:bCs w:val="0"/>
        <w:i/>
        <w:iCs w:val="0"/>
        <w:caps w:val="0"/>
        <w:smallCaps w:val="0"/>
        <w:strike w:val="0"/>
        <w:dstrike w:val="0"/>
        <w:outline w:val="0"/>
        <w:shadow w:val="0"/>
        <w:emboss w:val="0"/>
        <w:imprint w:val="0"/>
        <w:noProof w:val="0"/>
        <w:vanish w:val="0"/>
        <w:spacing w:val="0"/>
        <w:kern w:val="0"/>
        <w:position w:val="0"/>
        <w:sz w:val="4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ormalparatextwithnumbers"/>
      <w:lvlText w:val="%1.%2"/>
      <w:lvlJc w:val="left"/>
      <w:pPr>
        <w:tabs>
          <w:tab w:val="num" w:pos="709"/>
        </w:tabs>
        <w:ind w:left="709" w:hanging="709"/>
      </w:pPr>
      <w:rPr>
        <w:rFonts w:hint="default"/>
      </w:rPr>
    </w:lvl>
    <w:lvl w:ilvl="2">
      <w:start w:val="1"/>
      <w:numFmt w:val="decimal"/>
      <w:lvlRestart w:val="1"/>
      <w:pStyle w:val="DiagramHeading"/>
      <w:suff w:val="space"/>
      <w:lvlText w:val="Diagram %1.%3"/>
      <w:lvlJc w:val="left"/>
      <w:pPr>
        <w:ind w:left="1701" w:hanging="1701"/>
      </w:pPr>
      <w:rPr>
        <w:rFonts w:hint="default"/>
      </w:rPr>
    </w:lvl>
    <w:lvl w:ilvl="3">
      <w:start w:val="1"/>
      <w:numFmt w:val="decimal"/>
      <w:lvlRestart w:val="1"/>
      <w:pStyle w:val="ExampleHeading"/>
      <w:suff w:val="space"/>
      <w:lvlText w:val="Example %1.%4"/>
      <w:lvlJc w:val="left"/>
      <w:pPr>
        <w:ind w:left="1701" w:hanging="1701"/>
      </w:pPr>
      <w:rPr>
        <w:rFonts w:hint="default"/>
      </w:rPr>
    </w:lvl>
    <w:lvl w:ilvl="4">
      <w:start w:val="1"/>
      <w:numFmt w:val="decimal"/>
      <w:lvlRestart w:val="1"/>
      <w:pStyle w:val="TableHeading"/>
      <w:suff w:val="space"/>
      <w:lvlText w:val="Table %1.%5"/>
      <w:lvlJc w:val="left"/>
      <w:pPr>
        <w:ind w:left="2127" w:hanging="1701"/>
      </w:pPr>
      <w:rPr>
        <w:rFonts w:hint="default"/>
      </w:rPr>
    </w:lvl>
    <w:lvl w:ilvl="5">
      <w:start w:val="1"/>
      <w:numFmt w:val="none"/>
      <w:lvlRestart w:val="0"/>
      <w:suff w:val="nothing"/>
      <w:lvlText w:val=""/>
      <w:lvlJc w:val="left"/>
      <w:pPr>
        <w:ind w:left="0" w:firstLine="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D2B7E2A"/>
    <w:multiLevelType w:val="hybridMultilevel"/>
    <w:tmpl w:val="BBD8CBD2"/>
    <w:lvl w:ilvl="0" w:tplc="F154CDD8">
      <w:start w:val="1"/>
      <w:numFmt w:val="bullet"/>
      <w:pStyle w:val="Dotpoin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3832D47"/>
    <w:multiLevelType w:val="hybridMultilevel"/>
    <w:tmpl w:val="6F7A201E"/>
    <w:lvl w:ilvl="0" w:tplc="6440602C">
      <w:start w:val="1"/>
      <w:numFmt w:val="bullet"/>
      <w:pStyle w:val="Exampledotpoint2"/>
      <w:lvlText w:val="‒"/>
      <w:lvlJc w:val="left"/>
      <w:pPr>
        <w:ind w:left="1928" w:hanging="360"/>
      </w:pPr>
      <w:rPr>
        <w:rFonts w:ascii="Times New Roman" w:hAnsi="Times New Roman" w:cs="Times New Roman" w:hint="default"/>
        <w:b w:val="0"/>
        <w:i w:val="0"/>
        <w:sz w:val="22"/>
      </w:rPr>
    </w:lvl>
    <w:lvl w:ilvl="1" w:tplc="0C090003" w:tentative="1">
      <w:start w:val="1"/>
      <w:numFmt w:val="bullet"/>
      <w:lvlText w:val="o"/>
      <w:lvlJc w:val="left"/>
      <w:pPr>
        <w:ind w:left="2648" w:hanging="360"/>
      </w:pPr>
      <w:rPr>
        <w:rFonts w:ascii="Courier New" w:hAnsi="Courier New" w:cs="Courier New" w:hint="default"/>
      </w:rPr>
    </w:lvl>
    <w:lvl w:ilvl="2" w:tplc="0C090005" w:tentative="1">
      <w:start w:val="1"/>
      <w:numFmt w:val="bullet"/>
      <w:lvlText w:val=""/>
      <w:lvlJc w:val="left"/>
      <w:pPr>
        <w:ind w:left="3368" w:hanging="360"/>
      </w:pPr>
      <w:rPr>
        <w:rFonts w:ascii="Wingdings" w:hAnsi="Wingdings" w:hint="default"/>
      </w:rPr>
    </w:lvl>
    <w:lvl w:ilvl="3" w:tplc="0C090001" w:tentative="1">
      <w:start w:val="1"/>
      <w:numFmt w:val="bullet"/>
      <w:lvlText w:val=""/>
      <w:lvlJc w:val="left"/>
      <w:pPr>
        <w:ind w:left="4088" w:hanging="360"/>
      </w:pPr>
      <w:rPr>
        <w:rFonts w:ascii="Symbol" w:hAnsi="Symbol" w:hint="default"/>
      </w:rPr>
    </w:lvl>
    <w:lvl w:ilvl="4" w:tplc="0C090003" w:tentative="1">
      <w:start w:val="1"/>
      <w:numFmt w:val="bullet"/>
      <w:lvlText w:val="o"/>
      <w:lvlJc w:val="left"/>
      <w:pPr>
        <w:ind w:left="4808" w:hanging="360"/>
      </w:pPr>
      <w:rPr>
        <w:rFonts w:ascii="Courier New" w:hAnsi="Courier New" w:cs="Courier New" w:hint="default"/>
      </w:rPr>
    </w:lvl>
    <w:lvl w:ilvl="5" w:tplc="0C090005" w:tentative="1">
      <w:start w:val="1"/>
      <w:numFmt w:val="bullet"/>
      <w:lvlText w:val=""/>
      <w:lvlJc w:val="left"/>
      <w:pPr>
        <w:ind w:left="5528" w:hanging="360"/>
      </w:pPr>
      <w:rPr>
        <w:rFonts w:ascii="Wingdings" w:hAnsi="Wingdings" w:hint="default"/>
      </w:rPr>
    </w:lvl>
    <w:lvl w:ilvl="6" w:tplc="0C090001" w:tentative="1">
      <w:start w:val="1"/>
      <w:numFmt w:val="bullet"/>
      <w:lvlText w:val=""/>
      <w:lvlJc w:val="left"/>
      <w:pPr>
        <w:ind w:left="6248" w:hanging="360"/>
      </w:pPr>
      <w:rPr>
        <w:rFonts w:ascii="Symbol" w:hAnsi="Symbol" w:hint="default"/>
      </w:rPr>
    </w:lvl>
    <w:lvl w:ilvl="7" w:tplc="0C090003" w:tentative="1">
      <w:start w:val="1"/>
      <w:numFmt w:val="bullet"/>
      <w:lvlText w:val="o"/>
      <w:lvlJc w:val="left"/>
      <w:pPr>
        <w:ind w:left="6968" w:hanging="360"/>
      </w:pPr>
      <w:rPr>
        <w:rFonts w:ascii="Courier New" w:hAnsi="Courier New" w:cs="Courier New" w:hint="default"/>
      </w:rPr>
    </w:lvl>
    <w:lvl w:ilvl="8" w:tplc="0C090005" w:tentative="1">
      <w:start w:val="1"/>
      <w:numFmt w:val="bullet"/>
      <w:lvlText w:val=""/>
      <w:lvlJc w:val="left"/>
      <w:pPr>
        <w:ind w:left="7688" w:hanging="360"/>
      </w:pPr>
      <w:rPr>
        <w:rFonts w:ascii="Wingdings" w:hAnsi="Wingdings" w:hint="default"/>
      </w:rPr>
    </w:lvl>
  </w:abstractNum>
  <w:abstractNum w:abstractNumId="6" w15:restartNumberingAfterBreak="0">
    <w:nsid w:val="5D393011"/>
    <w:multiLevelType w:val="hybridMultilevel"/>
    <w:tmpl w:val="11FA1D2A"/>
    <w:lvl w:ilvl="0" w:tplc="35E2AAE4">
      <w:start w:val="1"/>
      <w:numFmt w:val="bullet"/>
      <w:pStyle w:val="Exampledotpoin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EDE3293"/>
    <w:multiLevelType w:val="hybridMultilevel"/>
    <w:tmpl w:val="DACEC83A"/>
    <w:lvl w:ilvl="0" w:tplc="055A8A32">
      <w:start w:val="1"/>
      <w:numFmt w:val="bullet"/>
      <w:pStyle w:val="Tabledotpoint1"/>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8" w15:restartNumberingAfterBreak="0">
    <w:nsid w:val="60490B74"/>
    <w:multiLevelType w:val="hybridMultilevel"/>
    <w:tmpl w:val="EC7866F8"/>
    <w:lvl w:ilvl="0" w:tplc="A588DE40">
      <w:start w:val="1"/>
      <w:numFmt w:val="bullet"/>
      <w:pStyle w:val="Instructionalguidancedotpoin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CE97FDF"/>
    <w:multiLevelType w:val="hybridMultilevel"/>
    <w:tmpl w:val="543E5738"/>
    <w:lvl w:ilvl="0" w:tplc="0AFCCC26">
      <w:start w:val="1"/>
      <w:numFmt w:val="decimal"/>
      <w:pStyle w:val="Instructionalguidancenumbered"/>
      <w:lvlText w:val="%1."/>
      <w:lvlJc w:val="left"/>
      <w:pPr>
        <w:ind w:left="108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80645C"/>
    <w:multiLevelType w:val="multilevel"/>
    <w:tmpl w:val="51D49B14"/>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7AF255FB"/>
    <w:multiLevelType w:val="hybridMultilevel"/>
    <w:tmpl w:val="954AB974"/>
    <w:lvl w:ilvl="0" w:tplc="088E8732">
      <w:start w:val="1"/>
      <w:numFmt w:val="bullet"/>
      <w:pStyle w:val="Tabledotpoint2"/>
      <w:lvlText w:val="‒"/>
      <w:lvlJc w:val="left"/>
      <w:pPr>
        <w:ind w:left="786" w:hanging="360"/>
      </w:pPr>
      <w:rPr>
        <w:rFonts w:ascii="Times New Roman" w:hAnsi="Times New Roman" w:cs="Times New Roman" w:hint="default"/>
        <w:b w:val="0"/>
        <w:i w:val="0"/>
        <w:sz w:val="22"/>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12" w15:restartNumberingAfterBreak="0">
    <w:nsid w:val="7B891783"/>
    <w:multiLevelType w:val="hybridMultilevel"/>
    <w:tmpl w:val="0CCE9FEC"/>
    <w:lvl w:ilvl="0" w:tplc="0B52848A">
      <w:start w:val="1"/>
      <w:numFmt w:val="bullet"/>
      <w:pStyle w:val="Dotpoint2"/>
      <w:lvlText w:val="‒"/>
      <w:lvlJc w:val="left"/>
      <w:pPr>
        <w:ind w:left="720" w:hanging="360"/>
      </w:pPr>
      <w:rPr>
        <w:rFonts w:ascii="Times New Roman" w:hAnsi="Times New Roman" w:cs="Times New Roman" w:hint="default"/>
        <w:b w:val="0"/>
        <w:i w:val="0"/>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3277665">
    <w:abstractNumId w:val="0"/>
  </w:num>
  <w:num w:numId="2" w16cid:durableId="616720266">
    <w:abstractNumId w:val="10"/>
  </w:num>
  <w:num w:numId="3" w16cid:durableId="1303147437">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4" w16cid:durableId="1946382834">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5" w16cid:durableId="2002732163">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6" w16cid:durableId="728849466">
    <w:abstractNumId w:val="3"/>
  </w:num>
  <w:num w:numId="7" w16cid:durableId="756707882">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 w16cid:durableId="239675544">
    <w:abstractNumId w:val="4"/>
  </w:num>
  <w:num w:numId="9" w16cid:durableId="1874541265">
    <w:abstractNumId w:val="12"/>
  </w:num>
  <w:num w:numId="10" w16cid:durableId="906261302">
    <w:abstractNumId w:val="6"/>
  </w:num>
  <w:num w:numId="11" w16cid:durableId="790510682">
    <w:abstractNumId w:val="5"/>
  </w:num>
  <w:num w:numId="12" w16cid:durableId="122725851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3" w16cid:durableId="208881355">
    <w:abstractNumId w:val="10"/>
  </w:num>
  <w:num w:numId="14" w16cid:durableId="251009294">
    <w:abstractNumId w:val="8"/>
  </w:num>
  <w:num w:numId="15" w16cid:durableId="2120834113">
    <w:abstractNumId w:val="9"/>
  </w:num>
  <w:num w:numId="16" w16cid:durableId="2067335606">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7" w16cid:durableId="6949961">
    <w:abstractNumId w:val="4"/>
  </w:num>
  <w:num w:numId="18" w16cid:durableId="200870392">
    <w:abstractNumId w:val="2"/>
  </w:num>
  <w:num w:numId="19" w16cid:durableId="1298147774">
    <w:abstractNumId w:val="7"/>
  </w:num>
  <w:num w:numId="20" w16cid:durableId="1540246005">
    <w:abstractNumId w:val="11"/>
  </w:num>
  <w:num w:numId="21" w16cid:durableId="7804540">
    <w:abstractNumId w:val="10"/>
  </w:num>
  <w:num w:numId="22" w16cid:durableId="126051207">
    <w:abstractNumId w:val="1"/>
  </w:num>
  <w:num w:numId="23" w16cid:durableId="669910429">
    <w:abstractNumId w:val="3"/>
    <w:lvlOverride w:ilvl="0">
      <w:lvl w:ilvl="0">
        <w:start w:val="1"/>
        <w:numFmt w:val="decimal"/>
        <w:pStyle w:val="Chapterheading"/>
        <w:lvlText w:val="Chapter %1:"/>
        <w:lvlJc w:val="left"/>
        <w:pPr>
          <w:tabs>
            <w:tab w:val="num" w:pos="2977"/>
          </w:tabs>
          <w:ind w:left="0" w:firstLine="0"/>
        </w:pPr>
        <w:rPr>
          <w:rFonts w:hint="default"/>
          <w:b w:val="0"/>
          <w:bCs w:val="0"/>
          <w:i w:val="0"/>
          <w:iCs w:val="0"/>
          <w:caps w:val="0"/>
          <w:smallCaps w:val="0"/>
          <w:strike w:val="0"/>
          <w:dstrike w:val="0"/>
          <w:outline w:val="0"/>
          <w:shadow w:val="0"/>
          <w:emboss w:val="0"/>
          <w:imprint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EF"/>
    <w:rsid w:val="00000BFC"/>
    <w:rsid w:val="00001316"/>
    <w:rsid w:val="000032A1"/>
    <w:rsid w:val="00003B7B"/>
    <w:rsid w:val="00005726"/>
    <w:rsid w:val="00014BCA"/>
    <w:rsid w:val="00015E9E"/>
    <w:rsid w:val="00016394"/>
    <w:rsid w:val="00016638"/>
    <w:rsid w:val="00017B8A"/>
    <w:rsid w:val="00021DAA"/>
    <w:rsid w:val="00024EEF"/>
    <w:rsid w:val="000277E2"/>
    <w:rsid w:val="00031483"/>
    <w:rsid w:val="00033226"/>
    <w:rsid w:val="00033712"/>
    <w:rsid w:val="00033BC3"/>
    <w:rsid w:val="0003453C"/>
    <w:rsid w:val="00036F12"/>
    <w:rsid w:val="00037902"/>
    <w:rsid w:val="00037ED6"/>
    <w:rsid w:val="00040058"/>
    <w:rsid w:val="000412D5"/>
    <w:rsid w:val="000430AF"/>
    <w:rsid w:val="00043A58"/>
    <w:rsid w:val="0004509A"/>
    <w:rsid w:val="0004669E"/>
    <w:rsid w:val="000476C0"/>
    <w:rsid w:val="00047FF2"/>
    <w:rsid w:val="000546BE"/>
    <w:rsid w:val="00055CB4"/>
    <w:rsid w:val="0006175B"/>
    <w:rsid w:val="00064C9B"/>
    <w:rsid w:val="00066555"/>
    <w:rsid w:val="000714C8"/>
    <w:rsid w:val="00073081"/>
    <w:rsid w:val="0007357B"/>
    <w:rsid w:val="00075F5E"/>
    <w:rsid w:val="000774F1"/>
    <w:rsid w:val="0007761E"/>
    <w:rsid w:val="00080EF0"/>
    <w:rsid w:val="000819E7"/>
    <w:rsid w:val="0008210E"/>
    <w:rsid w:val="0008233E"/>
    <w:rsid w:val="00082369"/>
    <w:rsid w:val="00085704"/>
    <w:rsid w:val="00087A09"/>
    <w:rsid w:val="00087F47"/>
    <w:rsid w:val="00087FE9"/>
    <w:rsid w:val="000909BE"/>
    <w:rsid w:val="00090A2C"/>
    <w:rsid w:val="00091EAD"/>
    <w:rsid w:val="00092239"/>
    <w:rsid w:val="00093EF1"/>
    <w:rsid w:val="00094111"/>
    <w:rsid w:val="000A1EBC"/>
    <w:rsid w:val="000A3230"/>
    <w:rsid w:val="000A3234"/>
    <w:rsid w:val="000B29B8"/>
    <w:rsid w:val="000B2B87"/>
    <w:rsid w:val="000B3177"/>
    <w:rsid w:val="000B3978"/>
    <w:rsid w:val="000B6197"/>
    <w:rsid w:val="000B6B3E"/>
    <w:rsid w:val="000B7D6E"/>
    <w:rsid w:val="000C02A9"/>
    <w:rsid w:val="000C1136"/>
    <w:rsid w:val="000C3FA5"/>
    <w:rsid w:val="000C4FF9"/>
    <w:rsid w:val="000C5D89"/>
    <w:rsid w:val="000C7BC6"/>
    <w:rsid w:val="000C7DD1"/>
    <w:rsid w:val="000D1830"/>
    <w:rsid w:val="000D26EB"/>
    <w:rsid w:val="000D4A78"/>
    <w:rsid w:val="000D4CC3"/>
    <w:rsid w:val="000D4F58"/>
    <w:rsid w:val="000D7CF6"/>
    <w:rsid w:val="000D7D2D"/>
    <w:rsid w:val="000D7E2B"/>
    <w:rsid w:val="000E08A4"/>
    <w:rsid w:val="000E08DD"/>
    <w:rsid w:val="000E2AA8"/>
    <w:rsid w:val="000E46FA"/>
    <w:rsid w:val="000E4D39"/>
    <w:rsid w:val="000E521B"/>
    <w:rsid w:val="000E6810"/>
    <w:rsid w:val="000F03E3"/>
    <w:rsid w:val="000F12D8"/>
    <w:rsid w:val="000F33F5"/>
    <w:rsid w:val="000F5E34"/>
    <w:rsid w:val="00101A6B"/>
    <w:rsid w:val="0010282F"/>
    <w:rsid w:val="00102B7C"/>
    <w:rsid w:val="0010592A"/>
    <w:rsid w:val="00105E85"/>
    <w:rsid w:val="00106FDC"/>
    <w:rsid w:val="00111444"/>
    <w:rsid w:val="00111724"/>
    <w:rsid w:val="00113065"/>
    <w:rsid w:val="00115509"/>
    <w:rsid w:val="00117767"/>
    <w:rsid w:val="001177ED"/>
    <w:rsid w:val="00120724"/>
    <w:rsid w:val="00120B77"/>
    <w:rsid w:val="001227A2"/>
    <w:rsid w:val="00124C11"/>
    <w:rsid w:val="00124E85"/>
    <w:rsid w:val="00126512"/>
    <w:rsid w:val="00126C71"/>
    <w:rsid w:val="00126D2B"/>
    <w:rsid w:val="0013419A"/>
    <w:rsid w:val="00134CDF"/>
    <w:rsid w:val="00140CDA"/>
    <w:rsid w:val="00141701"/>
    <w:rsid w:val="00143997"/>
    <w:rsid w:val="001456A9"/>
    <w:rsid w:val="0014641D"/>
    <w:rsid w:val="00146AAC"/>
    <w:rsid w:val="00150612"/>
    <w:rsid w:val="001510BC"/>
    <w:rsid w:val="00153F2F"/>
    <w:rsid w:val="00155658"/>
    <w:rsid w:val="00155D91"/>
    <w:rsid w:val="00157FCF"/>
    <w:rsid w:val="00160A69"/>
    <w:rsid w:val="00163457"/>
    <w:rsid w:val="00163BDE"/>
    <w:rsid w:val="001664C3"/>
    <w:rsid w:val="00170C78"/>
    <w:rsid w:val="00172C33"/>
    <w:rsid w:val="00172F7A"/>
    <w:rsid w:val="001741A2"/>
    <w:rsid w:val="00176988"/>
    <w:rsid w:val="00176EA7"/>
    <w:rsid w:val="001775BF"/>
    <w:rsid w:val="0017798D"/>
    <w:rsid w:val="00185BF3"/>
    <w:rsid w:val="00185DC4"/>
    <w:rsid w:val="00186DCA"/>
    <w:rsid w:val="00187991"/>
    <w:rsid w:val="0019006A"/>
    <w:rsid w:val="00192ECE"/>
    <w:rsid w:val="00192F56"/>
    <w:rsid w:val="00193A48"/>
    <w:rsid w:val="00193C9F"/>
    <w:rsid w:val="00194D11"/>
    <w:rsid w:val="00194F95"/>
    <w:rsid w:val="00195D1C"/>
    <w:rsid w:val="001A587F"/>
    <w:rsid w:val="001B04C0"/>
    <w:rsid w:val="001B07FA"/>
    <w:rsid w:val="001B1306"/>
    <w:rsid w:val="001B1D50"/>
    <w:rsid w:val="001B23F0"/>
    <w:rsid w:val="001B566F"/>
    <w:rsid w:val="001B5ED5"/>
    <w:rsid w:val="001B62DC"/>
    <w:rsid w:val="001C08ED"/>
    <w:rsid w:val="001C26D2"/>
    <w:rsid w:val="001C2C3A"/>
    <w:rsid w:val="001C4E25"/>
    <w:rsid w:val="001C55F5"/>
    <w:rsid w:val="001C5B80"/>
    <w:rsid w:val="001C5CBF"/>
    <w:rsid w:val="001C5D5F"/>
    <w:rsid w:val="001C6C4B"/>
    <w:rsid w:val="001D1664"/>
    <w:rsid w:val="001D3808"/>
    <w:rsid w:val="001D3993"/>
    <w:rsid w:val="001D73C7"/>
    <w:rsid w:val="001E01BF"/>
    <w:rsid w:val="001E453F"/>
    <w:rsid w:val="001F0D54"/>
    <w:rsid w:val="001F6880"/>
    <w:rsid w:val="00200147"/>
    <w:rsid w:val="00202A4F"/>
    <w:rsid w:val="002038A6"/>
    <w:rsid w:val="00203E3E"/>
    <w:rsid w:val="002106B0"/>
    <w:rsid w:val="00211740"/>
    <w:rsid w:val="002133ED"/>
    <w:rsid w:val="00217460"/>
    <w:rsid w:val="00230C17"/>
    <w:rsid w:val="002333BF"/>
    <w:rsid w:val="0023409D"/>
    <w:rsid w:val="00234120"/>
    <w:rsid w:val="00235454"/>
    <w:rsid w:val="002425D9"/>
    <w:rsid w:val="00242B2A"/>
    <w:rsid w:val="002431DB"/>
    <w:rsid w:val="00243AF5"/>
    <w:rsid w:val="00245E80"/>
    <w:rsid w:val="0024703B"/>
    <w:rsid w:val="0024784F"/>
    <w:rsid w:val="00250188"/>
    <w:rsid w:val="0025053A"/>
    <w:rsid w:val="00250844"/>
    <w:rsid w:val="002508E4"/>
    <w:rsid w:val="002515C9"/>
    <w:rsid w:val="002524C7"/>
    <w:rsid w:val="002528E0"/>
    <w:rsid w:val="002555E9"/>
    <w:rsid w:val="00256BE5"/>
    <w:rsid w:val="002577E4"/>
    <w:rsid w:val="00260B8B"/>
    <w:rsid w:val="002629D2"/>
    <w:rsid w:val="00262A93"/>
    <w:rsid w:val="00262F62"/>
    <w:rsid w:val="002704BC"/>
    <w:rsid w:val="00270CEB"/>
    <w:rsid w:val="0027143D"/>
    <w:rsid w:val="002737B3"/>
    <w:rsid w:val="00274D5C"/>
    <w:rsid w:val="00276753"/>
    <w:rsid w:val="00277073"/>
    <w:rsid w:val="00277B27"/>
    <w:rsid w:val="00280089"/>
    <w:rsid w:val="00280C26"/>
    <w:rsid w:val="00280FA9"/>
    <w:rsid w:val="00281FF9"/>
    <w:rsid w:val="0028205A"/>
    <w:rsid w:val="00286E8D"/>
    <w:rsid w:val="002872AB"/>
    <w:rsid w:val="002935AC"/>
    <w:rsid w:val="00297081"/>
    <w:rsid w:val="002A2137"/>
    <w:rsid w:val="002A2C1A"/>
    <w:rsid w:val="002A4422"/>
    <w:rsid w:val="002A47BC"/>
    <w:rsid w:val="002A4BA4"/>
    <w:rsid w:val="002A52E5"/>
    <w:rsid w:val="002A5F4C"/>
    <w:rsid w:val="002A79DB"/>
    <w:rsid w:val="002B0B67"/>
    <w:rsid w:val="002B13DC"/>
    <w:rsid w:val="002B1D9E"/>
    <w:rsid w:val="002B3F56"/>
    <w:rsid w:val="002B6081"/>
    <w:rsid w:val="002B623C"/>
    <w:rsid w:val="002B6F60"/>
    <w:rsid w:val="002B6F89"/>
    <w:rsid w:val="002C0C3F"/>
    <w:rsid w:val="002C23B3"/>
    <w:rsid w:val="002C3111"/>
    <w:rsid w:val="002C3919"/>
    <w:rsid w:val="002C6D84"/>
    <w:rsid w:val="002C7609"/>
    <w:rsid w:val="002C78D6"/>
    <w:rsid w:val="002D080A"/>
    <w:rsid w:val="002D14A2"/>
    <w:rsid w:val="002D1E95"/>
    <w:rsid w:val="002D5D9C"/>
    <w:rsid w:val="002D7AE0"/>
    <w:rsid w:val="002E332C"/>
    <w:rsid w:val="002F1CB0"/>
    <w:rsid w:val="002F2E04"/>
    <w:rsid w:val="002F4B60"/>
    <w:rsid w:val="002F528B"/>
    <w:rsid w:val="002F544F"/>
    <w:rsid w:val="002F583B"/>
    <w:rsid w:val="002F5DFC"/>
    <w:rsid w:val="003026EF"/>
    <w:rsid w:val="003044AD"/>
    <w:rsid w:val="00304C51"/>
    <w:rsid w:val="003123C2"/>
    <w:rsid w:val="003143E2"/>
    <w:rsid w:val="00315D81"/>
    <w:rsid w:val="00317501"/>
    <w:rsid w:val="00322A9C"/>
    <w:rsid w:val="003232B3"/>
    <w:rsid w:val="00325148"/>
    <w:rsid w:val="00325304"/>
    <w:rsid w:val="003266AD"/>
    <w:rsid w:val="003267DE"/>
    <w:rsid w:val="0033272A"/>
    <w:rsid w:val="00336FB0"/>
    <w:rsid w:val="003374E6"/>
    <w:rsid w:val="00337B16"/>
    <w:rsid w:val="00337C70"/>
    <w:rsid w:val="0034176A"/>
    <w:rsid w:val="00341C48"/>
    <w:rsid w:val="00342750"/>
    <w:rsid w:val="003453FF"/>
    <w:rsid w:val="0034603E"/>
    <w:rsid w:val="003472A1"/>
    <w:rsid w:val="00347575"/>
    <w:rsid w:val="00350F3E"/>
    <w:rsid w:val="00351274"/>
    <w:rsid w:val="00351D4D"/>
    <w:rsid w:val="00351FF9"/>
    <w:rsid w:val="003555BF"/>
    <w:rsid w:val="003556BF"/>
    <w:rsid w:val="00356627"/>
    <w:rsid w:val="003574EB"/>
    <w:rsid w:val="00357C36"/>
    <w:rsid w:val="00357D85"/>
    <w:rsid w:val="00357DA5"/>
    <w:rsid w:val="00361F58"/>
    <w:rsid w:val="00367082"/>
    <w:rsid w:val="00367637"/>
    <w:rsid w:val="0036790F"/>
    <w:rsid w:val="00371202"/>
    <w:rsid w:val="003733F9"/>
    <w:rsid w:val="00373E20"/>
    <w:rsid w:val="00373F73"/>
    <w:rsid w:val="00377108"/>
    <w:rsid w:val="00377A17"/>
    <w:rsid w:val="003827A7"/>
    <w:rsid w:val="00382C0D"/>
    <w:rsid w:val="00385BA9"/>
    <w:rsid w:val="00387402"/>
    <w:rsid w:val="00391DEB"/>
    <w:rsid w:val="00392460"/>
    <w:rsid w:val="0039391C"/>
    <w:rsid w:val="003965BC"/>
    <w:rsid w:val="003971ED"/>
    <w:rsid w:val="003977CC"/>
    <w:rsid w:val="003A0372"/>
    <w:rsid w:val="003A0565"/>
    <w:rsid w:val="003A319A"/>
    <w:rsid w:val="003A3360"/>
    <w:rsid w:val="003A3576"/>
    <w:rsid w:val="003A4468"/>
    <w:rsid w:val="003A785C"/>
    <w:rsid w:val="003B158F"/>
    <w:rsid w:val="003B1BCD"/>
    <w:rsid w:val="003B58E7"/>
    <w:rsid w:val="003C008E"/>
    <w:rsid w:val="003C1F81"/>
    <w:rsid w:val="003C2DD8"/>
    <w:rsid w:val="003C574F"/>
    <w:rsid w:val="003C578E"/>
    <w:rsid w:val="003C5FD3"/>
    <w:rsid w:val="003D1946"/>
    <w:rsid w:val="003D1F9F"/>
    <w:rsid w:val="003D1FBE"/>
    <w:rsid w:val="003D2C79"/>
    <w:rsid w:val="003D5AB3"/>
    <w:rsid w:val="003E13E5"/>
    <w:rsid w:val="003E3141"/>
    <w:rsid w:val="003E5BE2"/>
    <w:rsid w:val="003E64F4"/>
    <w:rsid w:val="003E650F"/>
    <w:rsid w:val="003F09F4"/>
    <w:rsid w:val="003F1AD7"/>
    <w:rsid w:val="003F20F3"/>
    <w:rsid w:val="003F3BB3"/>
    <w:rsid w:val="003F61D2"/>
    <w:rsid w:val="003F6A73"/>
    <w:rsid w:val="003F7F8E"/>
    <w:rsid w:val="0040072F"/>
    <w:rsid w:val="004016B8"/>
    <w:rsid w:val="004039B2"/>
    <w:rsid w:val="004055CD"/>
    <w:rsid w:val="004064BA"/>
    <w:rsid w:val="00410047"/>
    <w:rsid w:val="00410A38"/>
    <w:rsid w:val="00411A58"/>
    <w:rsid w:val="00413841"/>
    <w:rsid w:val="00414017"/>
    <w:rsid w:val="00414033"/>
    <w:rsid w:val="004207EA"/>
    <w:rsid w:val="0042253B"/>
    <w:rsid w:val="004226EA"/>
    <w:rsid w:val="00423096"/>
    <w:rsid w:val="00423422"/>
    <w:rsid w:val="00425D6F"/>
    <w:rsid w:val="00427DFC"/>
    <w:rsid w:val="00427EDF"/>
    <w:rsid w:val="00430A32"/>
    <w:rsid w:val="00433B33"/>
    <w:rsid w:val="00433BCE"/>
    <w:rsid w:val="00435E39"/>
    <w:rsid w:val="0043791B"/>
    <w:rsid w:val="0044133E"/>
    <w:rsid w:val="00446BAB"/>
    <w:rsid w:val="00446C91"/>
    <w:rsid w:val="00447C96"/>
    <w:rsid w:val="00450E16"/>
    <w:rsid w:val="00452372"/>
    <w:rsid w:val="004533A8"/>
    <w:rsid w:val="004534F0"/>
    <w:rsid w:val="00454F60"/>
    <w:rsid w:val="0045559A"/>
    <w:rsid w:val="004558C6"/>
    <w:rsid w:val="00457F17"/>
    <w:rsid w:val="004603EF"/>
    <w:rsid w:val="004626F6"/>
    <w:rsid w:val="004636C6"/>
    <w:rsid w:val="004639AF"/>
    <w:rsid w:val="00464AA1"/>
    <w:rsid w:val="004659F3"/>
    <w:rsid w:val="004666BD"/>
    <w:rsid w:val="00470930"/>
    <w:rsid w:val="00472B7C"/>
    <w:rsid w:val="00475224"/>
    <w:rsid w:val="0047593B"/>
    <w:rsid w:val="00477B82"/>
    <w:rsid w:val="00477C04"/>
    <w:rsid w:val="004801CF"/>
    <w:rsid w:val="00482572"/>
    <w:rsid w:val="00485FD0"/>
    <w:rsid w:val="00487193"/>
    <w:rsid w:val="00490130"/>
    <w:rsid w:val="004915C2"/>
    <w:rsid w:val="00492729"/>
    <w:rsid w:val="00495FEA"/>
    <w:rsid w:val="00496642"/>
    <w:rsid w:val="00496C21"/>
    <w:rsid w:val="00496C47"/>
    <w:rsid w:val="00496CEA"/>
    <w:rsid w:val="004971E2"/>
    <w:rsid w:val="004977B7"/>
    <w:rsid w:val="004A00AF"/>
    <w:rsid w:val="004A2239"/>
    <w:rsid w:val="004A3098"/>
    <w:rsid w:val="004A63C4"/>
    <w:rsid w:val="004B0360"/>
    <w:rsid w:val="004B1B8E"/>
    <w:rsid w:val="004B1C70"/>
    <w:rsid w:val="004B1F33"/>
    <w:rsid w:val="004B20A7"/>
    <w:rsid w:val="004B693E"/>
    <w:rsid w:val="004B7BCE"/>
    <w:rsid w:val="004C0D9A"/>
    <w:rsid w:val="004C1416"/>
    <w:rsid w:val="004C1F2B"/>
    <w:rsid w:val="004C318A"/>
    <w:rsid w:val="004C563D"/>
    <w:rsid w:val="004C634F"/>
    <w:rsid w:val="004D214E"/>
    <w:rsid w:val="004D56EF"/>
    <w:rsid w:val="004D5993"/>
    <w:rsid w:val="004E2DEF"/>
    <w:rsid w:val="004E30EE"/>
    <w:rsid w:val="004E39C8"/>
    <w:rsid w:val="004E409C"/>
    <w:rsid w:val="004E5A09"/>
    <w:rsid w:val="004E6997"/>
    <w:rsid w:val="004F0480"/>
    <w:rsid w:val="004F23C3"/>
    <w:rsid w:val="004F254F"/>
    <w:rsid w:val="004F581C"/>
    <w:rsid w:val="004F773B"/>
    <w:rsid w:val="004F7C15"/>
    <w:rsid w:val="0050232A"/>
    <w:rsid w:val="00502703"/>
    <w:rsid w:val="0050300E"/>
    <w:rsid w:val="00505347"/>
    <w:rsid w:val="00505C20"/>
    <w:rsid w:val="005065BE"/>
    <w:rsid w:val="005066F5"/>
    <w:rsid w:val="0050696C"/>
    <w:rsid w:val="00507614"/>
    <w:rsid w:val="005127DB"/>
    <w:rsid w:val="005137B3"/>
    <w:rsid w:val="00517165"/>
    <w:rsid w:val="00517C4B"/>
    <w:rsid w:val="00517D6E"/>
    <w:rsid w:val="00522265"/>
    <w:rsid w:val="00523ED9"/>
    <w:rsid w:val="005265D1"/>
    <w:rsid w:val="00527289"/>
    <w:rsid w:val="00531C67"/>
    <w:rsid w:val="005356CB"/>
    <w:rsid w:val="00537B43"/>
    <w:rsid w:val="00537BC3"/>
    <w:rsid w:val="0054727F"/>
    <w:rsid w:val="005515C0"/>
    <w:rsid w:val="00553592"/>
    <w:rsid w:val="00554B7A"/>
    <w:rsid w:val="005629BF"/>
    <w:rsid w:val="005636DC"/>
    <w:rsid w:val="00565D4E"/>
    <w:rsid w:val="00565DDA"/>
    <w:rsid w:val="00565F65"/>
    <w:rsid w:val="0056675C"/>
    <w:rsid w:val="0056694F"/>
    <w:rsid w:val="00567C5E"/>
    <w:rsid w:val="00571B5C"/>
    <w:rsid w:val="00571F0E"/>
    <w:rsid w:val="00584C6E"/>
    <w:rsid w:val="0058609C"/>
    <w:rsid w:val="00586D03"/>
    <w:rsid w:val="005908A9"/>
    <w:rsid w:val="0059200B"/>
    <w:rsid w:val="005A2F9A"/>
    <w:rsid w:val="005A3AA3"/>
    <w:rsid w:val="005A5364"/>
    <w:rsid w:val="005A695B"/>
    <w:rsid w:val="005A6BB3"/>
    <w:rsid w:val="005A731E"/>
    <w:rsid w:val="005B0070"/>
    <w:rsid w:val="005B0FCA"/>
    <w:rsid w:val="005B4B23"/>
    <w:rsid w:val="005B4F33"/>
    <w:rsid w:val="005B7000"/>
    <w:rsid w:val="005B7740"/>
    <w:rsid w:val="005C2BD1"/>
    <w:rsid w:val="005C3197"/>
    <w:rsid w:val="005C4DF0"/>
    <w:rsid w:val="005C5B4F"/>
    <w:rsid w:val="005C62C5"/>
    <w:rsid w:val="005C64B3"/>
    <w:rsid w:val="005D0844"/>
    <w:rsid w:val="005D169F"/>
    <w:rsid w:val="005D1DF2"/>
    <w:rsid w:val="005D3594"/>
    <w:rsid w:val="005D45E2"/>
    <w:rsid w:val="005D5C6F"/>
    <w:rsid w:val="005D5F12"/>
    <w:rsid w:val="005D6335"/>
    <w:rsid w:val="005D6744"/>
    <w:rsid w:val="005D6B5D"/>
    <w:rsid w:val="005D7441"/>
    <w:rsid w:val="005E1542"/>
    <w:rsid w:val="005E38F5"/>
    <w:rsid w:val="005E397A"/>
    <w:rsid w:val="005E4E8B"/>
    <w:rsid w:val="005E6298"/>
    <w:rsid w:val="005E73D6"/>
    <w:rsid w:val="005E74DD"/>
    <w:rsid w:val="005F0273"/>
    <w:rsid w:val="005F1265"/>
    <w:rsid w:val="005F190A"/>
    <w:rsid w:val="005F2D89"/>
    <w:rsid w:val="005F394D"/>
    <w:rsid w:val="005F76AE"/>
    <w:rsid w:val="006002FA"/>
    <w:rsid w:val="0060310D"/>
    <w:rsid w:val="00603262"/>
    <w:rsid w:val="006042C2"/>
    <w:rsid w:val="00613C47"/>
    <w:rsid w:val="0061760B"/>
    <w:rsid w:val="006207E1"/>
    <w:rsid w:val="006218BF"/>
    <w:rsid w:val="00622763"/>
    <w:rsid w:val="006235C8"/>
    <w:rsid w:val="00624905"/>
    <w:rsid w:val="006256D4"/>
    <w:rsid w:val="00627EF6"/>
    <w:rsid w:val="00630725"/>
    <w:rsid w:val="00631127"/>
    <w:rsid w:val="00634E6E"/>
    <w:rsid w:val="00635E98"/>
    <w:rsid w:val="00642420"/>
    <w:rsid w:val="00644A85"/>
    <w:rsid w:val="00647061"/>
    <w:rsid w:val="006479AC"/>
    <w:rsid w:val="00647C06"/>
    <w:rsid w:val="00652843"/>
    <w:rsid w:val="006529C5"/>
    <w:rsid w:val="00652B2F"/>
    <w:rsid w:val="006543D7"/>
    <w:rsid w:val="00654D81"/>
    <w:rsid w:val="00657AEA"/>
    <w:rsid w:val="00663FFC"/>
    <w:rsid w:val="006674D1"/>
    <w:rsid w:val="006700D4"/>
    <w:rsid w:val="006714E0"/>
    <w:rsid w:val="00672E2D"/>
    <w:rsid w:val="00673217"/>
    <w:rsid w:val="006741B8"/>
    <w:rsid w:val="00675081"/>
    <w:rsid w:val="00676470"/>
    <w:rsid w:val="00681B55"/>
    <w:rsid w:val="00683847"/>
    <w:rsid w:val="006849F4"/>
    <w:rsid w:val="0068634F"/>
    <w:rsid w:val="006902C2"/>
    <w:rsid w:val="0069082E"/>
    <w:rsid w:val="006915B5"/>
    <w:rsid w:val="006963AC"/>
    <w:rsid w:val="006A2BC6"/>
    <w:rsid w:val="006A30D5"/>
    <w:rsid w:val="006A47DE"/>
    <w:rsid w:val="006A5418"/>
    <w:rsid w:val="006B0C92"/>
    <w:rsid w:val="006B1156"/>
    <w:rsid w:val="006B429C"/>
    <w:rsid w:val="006B5982"/>
    <w:rsid w:val="006B6B30"/>
    <w:rsid w:val="006B7E15"/>
    <w:rsid w:val="006B7E1A"/>
    <w:rsid w:val="006C12E0"/>
    <w:rsid w:val="006C192F"/>
    <w:rsid w:val="006C3683"/>
    <w:rsid w:val="006C394A"/>
    <w:rsid w:val="006C3CE7"/>
    <w:rsid w:val="006C40A4"/>
    <w:rsid w:val="006C7D10"/>
    <w:rsid w:val="006D5195"/>
    <w:rsid w:val="006D583E"/>
    <w:rsid w:val="006D709D"/>
    <w:rsid w:val="006E0237"/>
    <w:rsid w:val="006E1624"/>
    <w:rsid w:val="006E280C"/>
    <w:rsid w:val="006E28D5"/>
    <w:rsid w:val="006E512F"/>
    <w:rsid w:val="006E654E"/>
    <w:rsid w:val="006E699E"/>
    <w:rsid w:val="006E6F85"/>
    <w:rsid w:val="006F0249"/>
    <w:rsid w:val="006F22BA"/>
    <w:rsid w:val="006F2B83"/>
    <w:rsid w:val="006F5432"/>
    <w:rsid w:val="0070041C"/>
    <w:rsid w:val="00700E6B"/>
    <w:rsid w:val="00701DDD"/>
    <w:rsid w:val="00702CA8"/>
    <w:rsid w:val="0070316F"/>
    <w:rsid w:val="00704788"/>
    <w:rsid w:val="0070545E"/>
    <w:rsid w:val="00706621"/>
    <w:rsid w:val="00706C05"/>
    <w:rsid w:val="007070A7"/>
    <w:rsid w:val="00707675"/>
    <w:rsid w:val="007109B9"/>
    <w:rsid w:val="00713C03"/>
    <w:rsid w:val="007145E8"/>
    <w:rsid w:val="007148DA"/>
    <w:rsid w:val="00714C00"/>
    <w:rsid w:val="00715F58"/>
    <w:rsid w:val="007165B1"/>
    <w:rsid w:val="00717991"/>
    <w:rsid w:val="00720DC9"/>
    <w:rsid w:val="00721117"/>
    <w:rsid w:val="00722DC7"/>
    <w:rsid w:val="00724BC5"/>
    <w:rsid w:val="00725D21"/>
    <w:rsid w:val="007265A1"/>
    <w:rsid w:val="00727170"/>
    <w:rsid w:val="007316F6"/>
    <w:rsid w:val="00731BE4"/>
    <w:rsid w:val="0073326A"/>
    <w:rsid w:val="00734238"/>
    <w:rsid w:val="00740E4E"/>
    <w:rsid w:val="00740F8F"/>
    <w:rsid w:val="00741880"/>
    <w:rsid w:val="00741B17"/>
    <w:rsid w:val="007422DC"/>
    <w:rsid w:val="007426A8"/>
    <w:rsid w:val="00743FB6"/>
    <w:rsid w:val="0074490D"/>
    <w:rsid w:val="00744943"/>
    <w:rsid w:val="007479A1"/>
    <w:rsid w:val="00747AEA"/>
    <w:rsid w:val="00750816"/>
    <w:rsid w:val="00750DAC"/>
    <w:rsid w:val="00752137"/>
    <w:rsid w:val="00752190"/>
    <w:rsid w:val="007521DD"/>
    <w:rsid w:val="00753C22"/>
    <w:rsid w:val="00755133"/>
    <w:rsid w:val="00757298"/>
    <w:rsid w:val="00757AE9"/>
    <w:rsid w:val="00760A9A"/>
    <w:rsid w:val="00761C99"/>
    <w:rsid w:val="00763484"/>
    <w:rsid w:val="00766AE2"/>
    <w:rsid w:val="00766B37"/>
    <w:rsid w:val="007724DE"/>
    <w:rsid w:val="00774D4B"/>
    <w:rsid w:val="00776091"/>
    <w:rsid w:val="00777A92"/>
    <w:rsid w:val="0078008D"/>
    <w:rsid w:val="00781D05"/>
    <w:rsid w:val="0078254D"/>
    <w:rsid w:val="007829FD"/>
    <w:rsid w:val="007850A3"/>
    <w:rsid w:val="00791BBB"/>
    <w:rsid w:val="007923D9"/>
    <w:rsid w:val="0079428A"/>
    <w:rsid w:val="00795B04"/>
    <w:rsid w:val="00796978"/>
    <w:rsid w:val="007A0986"/>
    <w:rsid w:val="007A11CC"/>
    <w:rsid w:val="007A2D0E"/>
    <w:rsid w:val="007A2DBD"/>
    <w:rsid w:val="007A5A08"/>
    <w:rsid w:val="007A7E74"/>
    <w:rsid w:val="007B0FB4"/>
    <w:rsid w:val="007B1509"/>
    <w:rsid w:val="007B4884"/>
    <w:rsid w:val="007B5572"/>
    <w:rsid w:val="007B6304"/>
    <w:rsid w:val="007B7E17"/>
    <w:rsid w:val="007C02EB"/>
    <w:rsid w:val="007C1598"/>
    <w:rsid w:val="007C1F94"/>
    <w:rsid w:val="007C34FD"/>
    <w:rsid w:val="007C3E84"/>
    <w:rsid w:val="007C55D9"/>
    <w:rsid w:val="007C58AC"/>
    <w:rsid w:val="007C6371"/>
    <w:rsid w:val="007C671C"/>
    <w:rsid w:val="007D031D"/>
    <w:rsid w:val="007D0737"/>
    <w:rsid w:val="007D1C7C"/>
    <w:rsid w:val="007D287D"/>
    <w:rsid w:val="007D5AFA"/>
    <w:rsid w:val="007E0085"/>
    <w:rsid w:val="007E187F"/>
    <w:rsid w:val="007E1ED8"/>
    <w:rsid w:val="007E4B1C"/>
    <w:rsid w:val="007E5F94"/>
    <w:rsid w:val="007E62B0"/>
    <w:rsid w:val="007E73DA"/>
    <w:rsid w:val="007F1B4C"/>
    <w:rsid w:val="007F37AD"/>
    <w:rsid w:val="007F3B53"/>
    <w:rsid w:val="007F5E2A"/>
    <w:rsid w:val="008044D2"/>
    <w:rsid w:val="00805125"/>
    <w:rsid w:val="008063E2"/>
    <w:rsid w:val="0080692C"/>
    <w:rsid w:val="00806DC6"/>
    <w:rsid w:val="00807D5D"/>
    <w:rsid w:val="008110CC"/>
    <w:rsid w:val="008111C7"/>
    <w:rsid w:val="00811A08"/>
    <w:rsid w:val="008121DF"/>
    <w:rsid w:val="0081245E"/>
    <w:rsid w:val="00812F5C"/>
    <w:rsid w:val="008132B7"/>
    <w:rsid w:val="008144C5"/>
    <w:rsid w:val="0081730A"/>
    <w:rsid w:val="00817FCC"/>
    <w:rsid w:val="00820068"/>
    <w:rsid w:val="008200CA"/>
    <w:rsid w:val="008202B0"/>
    <w:rsid w:val="00820D8A"/>
    <w:rsid w:val="00821EBA"/>
    <w:rsid w:val="0082284C"/>
    <w:rsid w:val="008230FF"/>
    <w:rsid w:val="00823800"/>
    <w:rsid w:val="00824C43"/>
    <w:rsid w:val="0082518C"/>
    <w:rsid w:val="008266B3"/>
    <w:rsid w:val="0082743D"/>
    <w:rsid w:val="008307C0"/>
    <w:rsid w:val="00831801"/>
    <w:rsid w:val="00833781"/>
    <w:rsid w:val="0083517B"/>
    <w:rsid w:val="00840882"/>
    <w:rsid w:val="00840A4C"/>
    <w:rsid w:val="00841982"/>
    <w:rsid w:val="008423C7"/>
    <w:rsid w:val="00845119"/>
    <w:rsid w:val="00845745"/>
    <w:rsid w:val="00846E48"/>
    <w:rsid w:val="00851618"/>
    <w:rsid w:val="00853203"/>
    <w:rsid w:val="00856B78"/>
    <w:rsid w:val="00857E1D"/>
    <w:rsid w:val="00861B8A"/>
    <w:rsid w:val="008637A8"/>
    <w:rsid w:val="00865982"/>
    <w:rsid w:val="008659FD"/>
    <w:rsid w:val="00865B78"/>
    <w:rsid w:val="00870071"/>
    <w:rsid w:val="0087104D"/>
    <w:rsid w:val="0087186F"/>
    <w:rsid w:val="00871D15"/>
    <w:rsid w:val="00873094"/>
    <w:rsid w:val="0087320D"/>
    <w:rsid w:val="00873305"/>
    <w:rsid w:val="00874F87"/>
    <w:rsid w:val="00875553"/>
    <w:rsid w:val="00876478"/>
    <w:rsid w:val="00880068"/>
    <w:rsid w:val="00882FC4"/>
    <w:rsid w:val="00883A1C"/>
    <w:rsid w:val="00891380"/>
    <w:rsid w:val="0089481A"/>
    <w:rsid w:val="008A4A6B"/>
    <w:rsid w:val="008A5A27"/>
    <w:rsid w:val="008A5BDF"/>
    <w:rsid w:val="008A63CE"/>
    <w:rsid w:val="008A6B2D"/>
    <w:rsid w:val="008A6CAF"/>
    <w:rsid w:val="008A7898"/>
    <w:rsid w:val="008B5009"/>
    <w:rsid w:val="008B6F93"/>
    <w:rsid w:val="008C5613"/>
    <w:rsid w:val="008C5717"/>
    <w:rsid w:val="008C575A"/>
    <w:rsid w:val="008C7AED"/>
    <w:rsid w:val="008D1DB0"/>
    <w:rsid w:val="008D25F3"/>
    <w:rsid w:val="008D4711"/>
    <w:rsid w:val="008D54E9"/>
    <w:rsid w:val="008D580D"/>
    <w:rsid w:val="008E00DA"/>
    <w:rsid w:val="008E2901"/>
    <w:rsid w:val="008E3DC9"/>
    <w:rsid w:val="008E45AD"/>
    <w:rsid w:val="008E6906"/>
    <w:rsid w:val="008F44DC"/>
    <w:rsid w:val="008F631F"/>
    <w:rsid w:val="00900FBC"/>
    <w:rsid w:val="00901FEE"/>
    <w:rsid w:val="00907EB9"/>
    <w:rsid w:val="00921346"/>
    <w:rsid w:val="00921F0B"/>
    <w:rsid w:val="009223F0"/>
    <w:rsid w:val="00924E0F"/>
    <w:rsid w:val="00926FC7"/>
    <w:rsid w:val="009275EE"/>
    <w:rsid w:val="00931434"/>
    <w:rsid w:val="009323B8"/>
    <w:rsid w:val="00935BFC"/>
    <w:rsid w:val="00936A16"/>
    <w:rsid w:val="00937007"/>
    <w:rsid w:val="00937A70"/>
    <w:rsid w:val="00942755"/>
    <w:rsid w:val="0094285F"/>
    <w:rsid w:val="00944C81"/>
    <w:rsid w:val="009458A3"/>
    <w:rsid w:val="00945DEC"/>
    <w:rsid w:val="009466F4"/>
    <w:rsid w:val="00951352"/>
    <w:rsid w:val="009518FF"/>
    <w:rsid w:val="009519B6"/>
    <w:rsid w:val="009540D9"/>
    <w:rsid w:val="00954235"/>
    <w:rsid w:val="00955606"/>
    <w:rsid w:val="00961D0D"/>
    <w:rsid w:val="00961E28"/>
    <w:rsid w:val="00963173"/>
    <w:rsid w:val="00963580"/>
    <w:rsid w:val="00963680"/>
    <w:rsid w:val="00966650"/>
    <w:rsid w:val="009673E0"/>
    <w:rsid w:val="00967DF1"/>
    <w:rsid w:val="009732E4"/>
    <w:rsid w:val="009739CD"/>
    <w:rsid w:val="009747C3"/>
    <w:rsid w:val="0097754C"/>
    <w:rsid w:val="00982605"/>
    <w:rsid w:val="00984C8D"/>
    <w:rsid w:val="00987EAF"/>
    <w:rsid w:val="00991B99"/>
    <w:rsid w:val="0099219E"/>
    <w:rsid w:val="00992FF4"/>
    <w:rsid w:val="009A1CA2"/>
    <w:rsid w:val="009A285E"/>
    <w:rsid w:val="009A33D6"/>
    <w:rsid w:val="009A352F"/>
    <w:rsid w:val="009A3E70"/>
    <w:rsid w:val="009A4C1E"/>
    <w:rsid w:val="009A613D"/>
    <w:rsid w:val="009A7D1A"/>
    <w:rsid w:val="009B0460"/>
    <w:rsid w:val="009B0E45"/>
    <w:rsid w:val="009B125C"/>
    <w:rsid w:val="009B2B90"/>
    <w:rsid w:val="009B39EB"/>
    <w:rsid w:val="009B3F52"/>
    <w:rsid w:val="009B4CBE"/>
    <w:rsid w:val="009B57D2"/>
    <w:rsid w:val="009B6C8C"/>
    <w:rsid w:val="009C153B"/>
    <w:rsid w:val="009C3104"/>
    <w:rsid w:val="009C586D"/>
    <w:rsid w:val="009C6338"/>
    <w:rsid w:val="009C6B9E"/>
    <w:rsid w:val="009C793D"/>
    <w:rsid w:val="009D095E"/>
    <w:rsid w:val="009D166D"/>
    <w:rsid w:val="009D5D3B"/>
    <w:rsid w:val="009D7C8C"/>
    <w:rsid w:val="009E051C"/>
    <w:rsid w:val="009E1096"/>
    <w:rsid w:val="009E4E83"/>
    <w:rsid w:val="009E56B1"/>
    <w:rsid w:val="009F12DB"/>
    <w:rsid w:val="009F37D7"/>
    <w:rsid w:val="009F3FA5"/>
    <w:rsid w:val="009F4716"/>
    <w:rsid w:val="009F6083"/>
    <w:rsid w:val="00A0065D"/>
    <w:rsid w:val="00A00715"/>
    <w:rsid w:val="00A02D93"/>
    <w:rsid w:val="00A042B1"/>
    <w:rsid w:val="00A04BF2"/>
    <w:rsid w:val="00A06072"/>
    <w:rsid w:val="00A07960"/>
    <w:rsid w:val="00A07C8D"/>
    <w:rsid w:val="00A11EC4"/>
    <w:rsid w:val="00A12009"/>
    <w:rsid w:val="00A137C9"/>
    <w:rsid w:val="00A13BEA"/>
    <w:rsid w:val="00A14F20"/>
    <w:rsid w:val="00A16F5E"/>
    <w:rsid w:val="00A175D8"/>
    <w:rsid w:val="00A20AD3"/>
    <w:rsid w:val="00A22B81"/>
    <w:rsid w:val="00A246B5"/>
    <w:rsid w:val="00A26C75"/>
    <w:rsid w:val="00A26E82"/>
    <w:rsid w:val="00A27863"/>
    <w:rsid w:val="00A31C3E"/>
    <w:rsid w:val="00A31C7F"/>
    <w:rsid w:val="00A362E8"/>
    <w:rsid w:val="00A4008F"/>
    <w:rsid w:val="00A40478"/>
    <w:rsid w:val="00A444AF"/>
    <w:rsid w:val="00A44D6E"/>
    <w:rsid w:val="00A45D31"/>
    <w:rsid w:val="00A467C7"/>
    <w:rsid w:val="00A47636"/>
    <w:rsid w:val="00A50270"/>
    <w:rsid w:val="00A53C3D"/>
    <w:rsid w:val="00A53FB1"/>
    <w:rsid w:val="00A5799E"/>
    <w:rsid w:val="00A6347E"/>
    <w:rsid w:val="00A63A51"/>
    <w:rsid w:val="00A64157"/>
    <w:rsid w:val="00A65949"/>
    <w:rsid w:val="00A663A8"/>
    <w:rsid w:val="00A70F09"/>
    <w:rsid w:val="00A7111A"/>
    <w:rsid w:val="00A74B1A"/>
    <w:rsid w:val="00A826B3"/>
    <w:rsid w:val="00A84405"/>
    <w:rsid w:val="00A855B9"/>
    <w:rsid w:val="00A859C7"/>
    <w:rsid w:val="00A85CDE"/>
    <w:rsid w:val="00A85D77"/>
    <w:rsid w:val="00A87A28"/>
    <w:rsid w:val="00A906FF"/>
    <w:rsid w:val="00A92E01"/>
    <w:rsid w:val="00A945B2"/>
    <w:rsid w:val="00A9588A"/>
    <w:rsid w:val="00AA02AC"/>
    <w:rsid w:val="00AA02EA"/>
    <w:rsid w:val="00AA2146"/>
    <w:rsid w:val="00AA2654"/>
    <w:rsid w:val="00AA2F5B"/>
    <w:rsid w:val="00AB0861"/>
    <w:rsid w:val="00AB6ED9"/>
    <w:rsid w:val="00AC15E4"/>
    <w:rsid w:val="00AC209D"/>
    <w:rsid w:val="00AC3AD8"/>
    <w:rsid w:val="00AC4DB7"/>
    <w:rsid w:val="00AC650A"/>
    <w:rsid w:val="00AD13D7"/>
    <w:rsid w:val="00AD4EEA"/>
    <w:rsid w:val="00AD70B8"/>
    <w:rsid w:val="00AE1D45"/>
    <w:rsid w:val="00AE227F"/>
    <w:rsid w:val="00AE77FB"/>
    <w:rsid w:val="00AF1C9C"/>
    <w:rsid w:val="00AF3537"/>
    <w:rsid w:val="00AF50CE"/>
    <w:rsid w:val="00AF7887"/>
    <w:rsid w:val="00AF795D"/>
    <w:rsid w:val="00AF7CC4"/>
    <w:rsid w:val="00B015D9"/>
    <w:rsid w:val="00B06C7A"/>
    <w:rsid w:val="00B07271"/>
    <w:rsid w:val="00B1092F"/>
    <w:rsid w:val="00B129F3"/>
    <w:rsid w:val="00B14763"/>
    <w:rsid w:val="00B208F6"/>
    <w:rsid w:val="00B21AE9"/>
    <w:rsid w:val="00B242A0"/>
    <w:rsid w:val="00B255C5"/>
    <w:rsid w:val="00B267EA"/>
    <w:rsid w:val="00B3002E"/>
    <w:rsid w:val="00B30BFD"/>
    <w:rsid w:val="00B36649"/>
    <w:rsid w:val="00B43DB9"/>
    <w:rsid w:val="00B4624D"/>
    <w:rsid w:val="00B46680"/>
    <w:rsid w:val="00B47987"/>
    <w:rsid w:val="00B54967"/>
    <w:rsid w:val="00B551BC"/>
    <w:rsid w:val="00B60BA9"/>
    <w:rsid w:val="00B617AB"/>
    <w:rsid w:val="00B61EF2"/>
    <w:rsid w:val="00B649AB"/>
    <w:rsid w:val="00B65CF9"/>
    <w:rsid w:val="00B72A96"/>
    <w:rsid w:val="00B7393A"/>
    <w:rsid w:val="00B755E5"/>
    <w:rsid w:val="00B75868"/>
    <w:rsid w:val="00B769E2"/>
    <w:rsid w:val="00B77D03"/>
    <w:rsid w:val="00B8026C"/>
    <w:rsid w:val="00B8187E"/>
    <w:rsid w:val="00B854DB"/>
    <w:rsid w:val="00B863B8"/>
    <w:rsid w:val="00B92790"/>
    <w:rsid w:val="00B92DA5"/>
    <w:rsid w:val="00B93247"/>
    <w:rsid w:val="00B95776"/>
    <w:rsid w:val="00B95E4E"/>
    <w:rsid w:val="00B96479"/>
    <w:rsid w:val="00BA54C2"/>
    <w:rsid w:val="00BB1495"/>
    <w:rsid w:val="00BB4BA6"/>
    <w:rsid w:val="00BB5D8A"/>
    <w:rsid w:val="00BB675B"/>
    <w:rsid w:val="00BB6AF8"/>
    <w:rsid w:val="00BC094C"/>
    <w:rsid w:val="00BC2E4A"/>
    <w:rsid w:val="00BC3F1E"/>
    <w:rsid w:val="00BD0751"/>
    <w:rsid w:val="00BD38FF"/>
    <w:rsid w:val="00BD551F"/>
    <w:rsid w:val="00BD63E8"/>
    <w:rsid w:val="00BD66A6"/>
    <w:rsid w:val="00BD77F1"/>
    <w:rsid w:val="00BE0AD8"/>
    <w:rsid w:val="00BE1ECF"/>
    <w:rsid w:val="00BE394F"/>
    <w:rsid w:val="00BE5BC9"/>
    <w:rsid w:val="00BE7399"/>
    <w:rsid w:val="00BE7976"/>
    <w:rsid w:val="00BF1FE6"/>
    <w:rsid w:val="00BF5C22"/>
    <w:rsid w:val="00BF64D5"/>
    <w:rsid w:val="00BF7192"/>
    <w:rsid w:val="00C00764"/>
    <w:rsid w:val="00C01251"/>
    <w:rsid w:val="00C023E2"/>
    <w:rsid w:val="00C02E60"/>
    <w:rsid w:val="00C04648"/>
    <w:rsid w:val="00C04CA2"/>
    <w:rsid w:val="00C06404"/>
    <w:rsid w:val="00C074CD"/>
    <w:rsid w:val="00C10D81"/>
    <w:rsid w:val="00C116D8"/>
    <w:rsid w:val="00C1273B"/>
    <w:rsid w:val="00C15E2B"/>
    <w:rsid w:val="00C20246"/>
    <w:rsid w:val="00C204B5"/>
    <w:rsid w:val="00C2087B"/>
    <w:rsid w:val="00C257D8"/>
    <w:rsid w:val="00C2649F"/>
    <w:rsid w:val="00C2786F"/>
    <w:rsid w:val="00C32D0F"/>
    <w:rsid w:val="00C369FA"/>
    <w:rsid w:val="00C37665"/>
    <w:rsid w:val="00C401F0"/>
    <w:rsid w:val="00C44EBD"/>
    <w:rsid w:val="00C454DF"/>
    <w:rsid w:val="00C4574F"/>
    <w:rsid w:val="00C4596F"/>
    <w:rsid w:val="00C5093F"/>
    <w:rsid w:val="00C5417F"/>
    <w:rsid w:val="00C54A3F"/>
    <w:rsid w:val="00C5602B"/>
    <w:rsid w:val="00C57052"/>
    <w:rsid w:val="00C57667"/>
    <w:rsid w:val="00C57E75"/>
    <w:rsid w:val="00C60223"/>
    <w:rsid w:val="00C61F73"/>
    <w:rsid w:val="00C66C82"/>
    <w:rsid w:val="00C70847"/>
    <w:rsid w:val="00C713A0"/>
    <w:rsid w:val="00C7143B"/>
    <w:rsid w:val="00C718B2"/>
    <w:rsid w:val="00C718E1"/>
    <w:rsid w:val="00C7226A"/>
    <w:rsid w:val="00C72679"/>
    <w:rsid w:val="00C73092"/>
    <w:rsid w:val="00C74B61"/>
    <w:rsid w:val="00C7561A"/>
    <w:rsid w:val="00C75FC2"/>
    <w:rsid w:val="00C771DD"/>
    <w:rsid w:val="00C821B9"/>
    <w:rsid w:val="00C824B2"/>
    <w:rsid w:val="00C84104"/>
    <w:rsid w:val="00C90035"/>
    <w:rsid w:val="00C93E28"/>
    <w:rsid w:val="00C96E17"/>
    <w:rsid w:val="00C97821"/>
    <w:rsid w:val="00CB0762"/>
    <w:rsid w:val="00CB1A18"/>
    <w:rsid w:val="00CB2A24"/>
    <w:rsid w:val="00CB3CB6"/>
    <w:rsid w:val="00CB452D"/>
    <w:rsid w:val="00CB4F57"/>
    <w:rsid w:val="00CB54FE"/>
    <w:rsid w:val="00CC0025"/>
    <w:rsid w:val="00CC4100"/>
    <w:rsid w:val="00CC436A"/>
    <w:rsid w:val="00CC4A56"/>
    <w:rsid w:val="00CC5046"/>
    <w:rsid w:val="00CC6B9E"/>
    <w:rsid w:val="00CC7891"/>
    <w:rsid w:val="00CD3515"/>
    <w:rsid w:val="00CD5EE2"/>
    <w:rsid w:val="00CD7BEA"/>
    <w:rsid w:val="00CE0D44"/>
    <w:rsid w:val="00CE2639"/>
    <w:rsid w:val="00CE34BB"/>
    <w:rsid w:val="00CE5B6B"/>
    <w:rsid w:val="00CE615F"/>
    <w:rsid w:val="00CF04CD"/>
    <w:rsid w:val="00CF16E1"/>
    <w:rsid w:val="00CF290D"/>
    <w:rsid w:val="00CF6524"/>
    <w:rsid w:val="00CF7653"/>
    <w:rsid w:val="00CF77CB"/>
    <w:rsid w:val="00D02601"/>
    <w:rsid w:val="00D03D32"/>
    <w:rsid w:val="00D03DD6"/>
    <w:rsid w:val="00D04320"/>
    <w:rsid w:val="00D04933"/>
    <w:rsid w:val="00D05F09"/>
    <w:rsid w:val="00D078B3"/>
    <w:rsid w:val="00D11199"/>
    <w:rsid w:val="00D14089"/>
    <w:rsid w:val="00D14B02"/>
    <w:rsid w:val="00D156B9"/>
    <w:rsid w:val="00D21B7A"/>
    <w:rsid w:val="00D2265D"/>
    <w:rsid w:val="00D22EE1"/>
    <w:rsid w:val="00D233AF"/>
    <w:rsid w:val="00D235CF"/>
    <w:rsid w:val="00D261D9"/>
    <w:rsid w:val="00D264A1"/>
    <w:rsid w:val="00D268D2"/>
    <w:rsid w:val="00D27FA4"/>
    <w:rsid w:val="00D305E6"/>
    <w:rsid w:val="00D30AB0"/>
    <w:rsid w:val="00D30C33"/>
    <w:rsid w:val="00D31499"/>
    <w:rsid w:val="00D3329D"/>
    <w:rsid w:val="00D3342A"/>
    <w:rsid w:val="00D33AF3"/>
    <w:rsid w:val="00D34E72"/>
    <w:rsid w:val="00D36003"/>
    <w:rsid w:val="00D366DF"/>
    <w:rsid w:val="00D4083B"/>
    <w:rsid w:val="00D41817"/>
    <w:rsid w:val="00D43C10"/>
    <w:rsid w:val="00D52D17"/>
    <w:rsid w:val="00D5575B"/>
    <w:rsid w:val="00D56099"/>
    <w:rsid w:val="00D5751C"/>
    <w:rsid w:val="00D61B7F"/>
    <w:rsid w:val="00D62A89"/>
    <w:rsid w:val="00D62D5A"/>
    <w:rsid w:val="00D63B31"/>
    <w:rsid w:val="00D6578B"/>
    <w:rsid w:val="00D7166A"/>
    <w:rsid w:val="00D71A86"/>
    <w:rsid w:val="00D74AAB"/>
    <w:rsid w:val="00D750C3"/>
    <w:rsid w:val="00D75A1F"/>
    <w:rsid w:val="00D75DA0"/>
    <w:rsid w:val="00D83D6D"/>
    <w:rsid w:val="00D85292"/>
    <w:rsid w:val="00D854A9"/>
    <w:rsid w:val="00D85761"/>
    <w:rsid w:val="00D85918"/>
    <w:rsid w:val="00D85956"/>
    <w:rsid w:val="00D85D04"/>
    <w:rsid w:val="00D86754"/>
    <w:rsid w:val="00D913E7"/>
    <w:rsid w:val="00D9272F"/>
    <w:rsid w:val="00D92D54"/>
    <w:rsid w:val="00D965FC"/>
    <w:rsid w:val="00DA3496"/>
    <w:rsid w:val="00DA3CFD"/>
    <w:rsid w:val="00DA46A1"/>
    <w:rsid w:val="00DA66FA"/>
    <w:rsid w:val="00DA6DEF"/>
    <w:rsid w:val="00DB0A95"/>
    <w:rsid w:val="00DB1385"/>
    <w:rsid w:val="00DB1BB2"/>
    <w:rsid w:val="00DB20EC"/>
    <w:rsid w:val="00DB43C0"/>
    <w:rsid w:val="00DB5005"/>
    <w:rsid w:val="00DB500D"/>
    <w:rsid w:val="00DB7701"/>
    <w:rsid w:val="00DC0283"/>
    <w:rsid w:val="00DC02F1"/>
    <w:rsid w:val="00DC4650"/>
    <w:rsid w:val="00DD0912"/>
    <w:rsid w:val="00DD1407"/>
    <w:rsid w:val="00DD29AC"/>
    <w:rsid w:val="00DD5D20"/>
    <w:rsid w:val="00DD6655"/>
    <w:rsid w:val="00DD6CB7"/>
    <w:rsid w:val="00DD7F3E"/>
    <w:rsid w:val="00DE0275"/>
    <w:rsid w:val="00DE1744"/>
    <w:rsid w:val="00DE3B05"/>
    <w:rsid w:val="00DE5183"/>
    <w:rsid w:val="00DE6EBD"/>
    <w:rsid w:val="00DE7FB1"/>
    <w:rsid w:val="00DF120F"/>
    <w:rsid w:val="00DF179A"/>
    <w:rsid w:val="00DF41F7"/>
    <w:rsid w:val="00DF4E53"/>
    <w:rsid w:val="00DF5D0C"/>
    <w:rsid w:val="00DF647C"/>
    <w:rsid w:val="00DF6F79"/>
    <w:rsid w:val="00DF73BD"/>
    <w:rsid w:val="00E0056D"/>
    <w:rsid w:val="00E020D6"/>
    <w:rsid w:val="00E03F46"/>
    <w:rsid w:val="00E04DD9"/>
    <w:rsid w:val="00E0521D"/>
    <w:rsid w:val="00E05469"/>
    <w:rsid w:val="00E059E9"/>
    <w:rsid w:val="00E0610F"/>
    <w:rsid w:val="00E06380"/>
    <w:rsid w:val="00E07AF7"/>
    <w:rsid w:val="00E10CEC"/>
    <w:rsid w:val="00E1142A"/>
    <w:rsid w:val="00E11C73"/>
    <w:rsid w:val="00E129C4"/>
    <w:rsid w:val="00E142DC"/>
    <w:rsid w:val="00E1548C"/>
    <w:rsid w:val="00E17728"/>
    <w:rsid w:val="00E17D90"/>
    <w:rsid w:val="00E2336E"/>
    <w:rsid w:val="00E24AA1"/>
    <w:rsid w:val="00E26B56"/>
    <w:rsid w:val="00E27003"/>
    <w:rsid w:val="00E27D54"/>
    <w:rsid w:val="00E303A2"/>
    <w:rsid w:val="00E305EF"/>
    <w:rsid w:val="00E326A8"/>
    <w:rsid w:val="00E32901"/>
    <w:rsid w:val="00E33680"/>
    <w:rsid w:val="00E34403"/>
    <w:rsid w:val="00E37C92"/>
    <w:rsid w:val="00E4047D"/>
    <w:rsid w:val="00E418CC"/>
    <w:rsid w:val="00E41CAF"/>
    <w:rsid w:val="00E461C1"/>
    <w:rsid w:val="00E466C3"/>
    <w:rsid w:val="00E47008"/>
    <w:rsid w:val="00E50554"/>
    <w:rsid w:val="00E537C8"/>
    <w:rsid w:val="00E5476E"/>
    <w:rsid w:val="00E56AE8"/>
    <w:rsid w:val="00E56B1B"/>
    <w:rsid w:val="00E57971"/>
    <w:rsid w:val="00E607F4"/>
    <w:rsid w:val="00E60B65"/>
    <w:rsid w:val="00E6537F"/>
    <w:rsid w:val="00E70E3D"/>
    <w:rsid w:val="00E72862"/>
    <w:rsid w:val="00E75FCD"/>
    <w:rsid w:val="00E7751B"/>
    <w:rsid w:val="00E80061"/>
    <w:rsid w:val="00E81342"/>
    <w:rsid w:val="00E81C7D"/>
    <w:rsid w:val="00E8297A"/>
    <w:rsid w:val="00E829DD"/>
    <w:rsid w:val="00E83F66"/>
    <w:rsid w:val="00E85406"/>
    <w:rsid w:val="00E874CB"/>
    <w:rsid w:val="00E87D61"/>
    <w:rsid w:val="00E9053C"/>
    <w:rsid w:val="00E92E7C"/>
    <w:rsid w:val="00E93DEB"/>
    <w:rsid w:val="00E94EE4"/>
    <w:rsid w:val="00E95CB5"/>
    <w:rsid w:val="00E95EB2"/>
    <w:rsid w:val="00E96C3F"/>
    <w:rsid w:val="00E97297"/>
    <w:rsid w:val="00E97717"/>
    <w:rsid w:val="00EA18C9"/>
    <w:rsid w:val="00EA204C"/>
    <w:rsid w:val="00EA3780"/>
    <w:rsid w:val="00EA4B25"/>
    <w:rsid w:val="00EB3034"/>
    <w:rsid w:val="00EB4EDB"/>
    <w:rsid w:val="00EB69C5"/>
    <w:rsid w:val="00EB6BEE"/>
    <w:rsid w:val="00EB71C7"/>
    <w:rsid w:val="00EB7919"/>
    <w:rsid w:val="00EB7E99"/>
    <w:rsid w:val="00EC2218"/>
    <w:rsid w:val="00EC2331"/>
    <w:rsid w:val="00EC3B5B"/>
    <w:rsid w:val="00EC6AE2"/>
    <w:rsid w:val="00EC78DA"/>
    <w:rsid w:val="00ED1F3E"/>
    <w:rsid w:val="00ED530B"/>
    <w:rsid w:val="00ED5B89"/>
    <w:rsid w:val="00ED5E39"/>
    <w:rsid w:val="00ED695F"/>
    <w:rsid w:val="00ED7417"/>
    <w:rsid w:val="00EE0A9D"/>
    <w:rsid w:val="00EE0E90"/>
    <w:rsid w:val="00EE29FF"/>
    <w:rsid w:val="00EE4DB9"/>
    <w:rsid w:val="00EE6B8B"/>
    <w:rsid w:val="00EE7244"/>
    <w:rsid w:val="00EF1AD9"/>
    <w:rsid w:val="00EF6DB8"/>
    <w:rsid w:val="00F00148"/>
    <w:rsid w:val="00F02F8B"/>
    <w:rsid w:val="00F04C67"/>
    <w:rsid w:val="00F05EAE"/>
    <w:rsid w:val="00F126D5"/>
    <w:rsid w:val="00F12981"/>
    <w:rsid w:val="00F141D5"/>
    <w:rsid w:val="00F16AAE"/>
    <w:rsid w:val="00F16C15"/>
    <w:rsid w:val="00F209F8"/>
    <w:rsid w:val="00F21EB8"/>
    <w:rsid w:val="00F22F58"/>
    <w:rsid w:val="00F23926"/>
    <w:rsid w:val="00F23D5B"/>
    <w:rsid w:val="00F242A5"/>
    <w:rsid w:val="00F254C2"/>
    <w:rsid w:val="00F25EB0"/>
    <w:rsid w:val="00F26AF2"/>
    <w:rsid w:val="00F30BA0"/>
    <w:rsid w:val="00F31B7F"/>
    <w:rsid w:val="00F31E69"/>
    <w:rsid w:val="00F32E2A"/>
    <w:rsid w:val="00F3329D"/>
    <w:rsid w:val="00F3565A"/>
    <w:rsid w:val="00F3696E"/>
    <w:rsid w:val="00F37E4D"/>
    <w:rsid w:val="00F37EF0"/>
    <w:rsid w:val="00F403C0"/>
    <w:rsid w:val="00F426D8"/>
    <w:rsid w:val="00F44EA4"/>
    <w:rsid w:val="00F46998"/>
    <w:rsid w:val="00F5029A"/>
    <w:rsid w:val="00F506A3"/>
    <w:rsid w:val="00F509B5"/>
    <w:rsid w:val="00F50AD1"/>
    <w:rsid w:val="00F5382D"/>
    <w:rsid w:val="00F554CF"/>
    <w:rsid w:val="00F56592"/>
    <w:rsid w:val="00F60AE8"/>
    <w:rsid w:val="00F61301"/>
    <w:rsid w:val="00F61F2A"/>
    <w:rsid w:val="00F6204D"/>
    <w:rsid w:val="00F62519"/>
    <w:rsid w:val="00F707AD"/>
    <w:rsid w:val="00F71310"/>
    <w:rsid w:val="00F71611"/>
    <w:rsid w:val="00F72AEE"/>
    <w:rsid w:val="00F73AE9"/>
    <w:rsid w:val="00F75ED0"/>
    <w:rsid w:val="00F76029"/>
    <w:rsid w:val="00F76DAE"/>
    <w:rsid w:val="00F771E0"/>
    <w:rsid w:val="00F80FB8"/>
    <w:rsid w:val="00F81245"/>
    <w:rsid w:val="00F82DA5"/>
    <w:rsid w:val="00F83601"/>
    <w:rsid w:val="00F83BAB"/>
    <w:rsid w:val="00F859A0"/>
    <w:rsid w:val="00F85C21"/>
    <w:rsid w:val="00F87CD1"/>
    <w:rsid w:val="00F94441"/>
    <w:rsid w:val="00FA02A5"/>
    <w:rsid w:val="00FA23CF"/>
    <w:rsid w:val="00FA472F"/>
    <w:rsid w:val="00FA49DC"/>
    <w:rsid w:val="00FA5FE2"/>
    <w:rsid w:val="00FA6604"/>
    <w:rsid w:val="00FA7B91"/>
    <w:rsid w:val="00FB4B81"/>
    <w:rsid w:val="00FB5CD2"/>
    <w:rsid w:val="00FB6C45"/>
    <w:rsid w:val="00FC2A79"/>
    <w:rsid w:val="00FC2E62"/>
    <w:rsid w:val="00FC39CE"/>
    <w:rsid w:val="00FC7135"/>
    <w:rsid w:val="00FD06F9"/>
    <w:rsid w:val="00FD176A"/>
    <w:rsid w:val="00FD377F"/>
    <w:rsid w:val="00FD6427"/>
    <w:rsid w:val="00FE1E99"/>
    <w:rsid w:val="00FE2322"/>
    <w:rsid w:val="00FE36F1"/>
    <w:rsid w:val="00FE41B7"/>
    <w:rsid w:val="00FE5C21"/>
    <w:rsid w:val="00FE7168"/>
    <w:rsid w:val="00FF17AA"/>
    <w:rsid w:val="00FF198A"/>
    <w:rsid w:val="00FF1B72"/>
    <w:rsid w:val="00FF2492"/>
    <w:rsid w:val="00FF4BFB"/>
    <w:rsid w:val="00FF77CA"/>
    <w:rsid w:val="012A4336"/>
    <w:rsid w:val="04A317D6"/>
    <w:rsid w:val="0543D3A1"/>
    <w:rsid w:val="06ABE1A1"/>
    <w:rsid w:val="0ACF5F14"/>
    <w:rsid w:val="0C7B0986"/>
    <w:rsid w:val="0FDF1052"/>
    <w:rsid w:val="16098674"/>
    <w:rsid w:val="1DE70AA3"/>
    <w:rsid w:val="3348884E"/>
    <w:rsid w:val="356C78E1"/>
    <w:rsid w:val="417CE8A9"/>
    <w:rsid w:val="41A424AF"/>
    <w:rsid w:val="41ABAC93"/>
    <w:rsid w:val="4403F6FF"/>
    <w:rsid w:val="47FFD9A1"/>
    <w:rsid w:val="484E448D"/>
    <w:rsid w:val="4BB2E2D1"/>
    <w:rsid w:val="4C18255A"/>
    <w:rsid w:val="4F7D5B16"/>
    <w:rsid w:val="55497F1B"/>
    <w:rsid w:val="5B8BF5EE"/>
    <w:rsid w:val="5FF33B60"/>
    <w:rsid w:val="62755283"/>
    <w:rsid w:val="64FDC29A"/>
    <w:rsid w:val="694D92B1"/>
    <w:rsid w:val="738AB4F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6C4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3"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21B7A"/>
    <w:pPr>
      <w:spacing w:before="120" w:after="120" w:line="240" w:lineRule="auto"/>
    </w:pPr>
    <w:rPr>
      <w:rFonts w:ascii="Times New Roman" w:hAnsi="Times New Roman"/>
    </w:rPr>
  </w:style>
  <w:style w:type="paragraph" w:styleId="Heading1">
    <w:name w:val="heading 1"/>
    <w:basedOn w:val="Normal"/>
    <w:next w:val="Normalparatextnonumbers"/>
    <w:link w:val="Heading1Char"/>
    <w:qFormat/>
    <w:rsid w:val="00E24AA1"/>
    <w:pPr>
      <w:keepNext/>
      <w:keepLines/>
      <w:pBdr>
        <w:bottom w:val="single" w:sz="4" w:space="1" w:color="auto"/>
      </w:pBdr>
      <w:spacing w:after="480"/>
      <w:outlineLvl w:val="0"/>
    </w:pPr>
    <w:rPr>
      <w:rFonts w:ascii="Helvitica" w:eastAsiaTheme="majorEastAsia" w:hAnsi="Helvitica" w:cstheme="majorBidi"/>
      <w:b/>
      <w:i/>
      <w:sz w:val="40"/>
      <w:szCs w:val="32"/>
    </w:rPr>
  </w:style>
  <w:style w:type="paragraph" w:styleId="Heading2">
    <w:name w:val="heading 2"/>
    <w:basedOn w:val="Heading1"/>
    <w:next w:val="Normalparatextnonumbers"/>
    <w:link w:val="Heading2Char"/>
    <w:qFormat/>
    <w:rsid w:val="003F1AD7"/>
    <w:pPr>
      <w:pBdr>
        <w:bottom w:val="none" w:sz="0" w:space="0" w:color="auto"/>
      </w:pBdr>
      <w:spacing w:before="360" w:after="360"/>
      <w:outlineLvl w:val="1"/>
    </w:pPr>
    <w:rPr>
      <w:b w:val="0"/>
      <w:i w:val="0"/>
      <w:sz w:val="36"/>
      <w:szCs w:val="26"/>
    </w:rPr>
  </w:style>
  <w:style w:type="paragraph" w:styleId="Heading3">
    <w:name w:val="heading 3"/>
    <w:basedOn w:val="Normal"/>
    <w:next w:val="Normalparatextnonumbers"/>
    <w:link w:val="Heading3Char"/>
    <w:qFormat/>
    <w:rsid w:val="003F1AD7"/>
    <w:pPr>
      <w:keepNext/>
      <w:keepLines/>
      <w:spacing w:before="240" w:after="360"/>
      <w:outlineLvl w:val="2"/>
    </w:pPr>
    <w:rPr>
      <w:rFonts w:ascii="Helvitica" w:eastAsiaTheme="majorEastAsia" w:hAnsi="Helvitica" w:cstheme="majorBidi"/>
      <w:sz w:val="32"/>
      <w:szCs w:val="24"/>
    </w:rPr>
  </w:style>
  <w:style w:type="paragraph" w:styleId="Heading4">
    <w:name w:val="heading 4"/>
    <w:basedOn w:val="Normal"/>
    <w:next w:val="Normalparatextnonumbers"/>
    <w:link w:val="Heading4Char"/>
    <w:uiPriority w:val="9"/>
    <w:unhideWhenUsed/>
    <w:qFormat/>
    <w:rsid w:val="003F1AD7"/>
    <w:pPr>
      <w:keepNext/>
      <w:keepLines/>
      <w:spacing w:before="280" w:after="240"/>
      <w:outlineLvl w:val="3"/>
    </w:pPr>
    <w:rPr>
      <w:rFonts w:ascii="Helvetica" w:eastAsiaTheme="majorEastAsia" w:hAnsi="Helvetica" w:cstheme="majorBidi"/>
      <w:iCs/>
      <w:sz w:val="28"/>
    </w:rPr>
  </w:style>
  <w:style w:type="paragraph" w:styleId="Heading5">
    <w:name w:val="heading 5"/>
    <w:basedOn w:val="Normal"/>
    <w:next w:val="Normalparatextnonumbers"/>
    <w:link w:val="Heading5Char"/>
    <w:uiPriority w:val="9"/>
    <w:unhideWhenUsed/>
    <w:qFormat/>
    <w:rsid w:val="00F22F58"/>
    <w:pPr>
      <w:keepNext/>
      <w:keepLines/>
      <w:spacing w:before="240" w:after="240"/>
      <w:contextualSpacing/>
      <w:outlineLvl w:val="4"/>
    </w:pPr>
    <w:rPr>
      <w:rFonts w:ascii="Helvetica" w:eastAsiaTheme="majorEastAsia" w:hAnsi="Helvetica" w:cstheme="majorBidi"/>
      <w:b/>
      <w:spacing w:val="-10"/>
      <w:kern w:val="28"/>
      <w:sz w:val="24"/>
      <w:szCs w:val="56"/>
    </w:rPr>
  </w:style>
  <w:style w:type="paragraph" w:styleId="Heading6">
    <w:name w:val="heading 6"/>
    <w:basedOn w:val="Normal"/>
    <w:next w:val="Normal"/>
    <w:link w:val="Heading6Char"/>
    <w:uiPriority w:val="9"/>
    <w:semiHidden/>
    <w:unhideWhenUsed/>
    <w:qFormat/>
    <w:rsid w:val="002A2137"/>
    <w:pPr>
      <w:keepNext/>
      <w:keepLines/>
      <w:spacing w:before="240"/>
      <w:outlineLvl w:val="5"/>
    </w:pPr>
    <w:rPr>
      <w:rFonts w:ascii="Helvitica" w:eastAsiaTheme="majorEastAsia" w:hAnsi="Helvitic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24AA1"/>
    <w:rPr>
      <w:rFonts w:ascii="Helvitica" w:eastAsiaTheme="majorEastAsia" w:hAnsi="Helvitica" w:cstheme="majorBidi"/>
      <w:b/>
      <w:i/>
      <w:sz w:val="40"/>
      <w:szCs w:val="32"/>
    </w:rPr>
  </w:style>
  <w:style w:type="paragraph" w:customStyle="1" w:styleId="AttachmentHeading">
    <w:name w:val="AttachmentHeading"/>
    <w:basedOn w:val="Heading1"/>
    <w:next w:val="Normalparatextnonumbers"/>
    <w:uiPriority w:val="1"/>
    <w:rsid w:val="00777A92"/>
    <w:pPr>
      <w:numPr>
        <w:numId w:val="1"/>
      </w:numPr>
      <w:pBdr>
        <w:bottom w:val="single" w:sz="4" w:space="8" w:color="auto"/>
      </w:pBdr>
      <w:ind w:left="0" w:firstLine="0"/>
    </w:pPr>
  </w:style>
  <w:style w:type="paragraph" w:customStyle="1" w:styleId="Normalparatextnonumbers">
    <w:name w:val="Normal para text (no numbers)"/>
    <w:basedOn w:val="Normal"/>
    <w:link w:val="NormalparatextnonumbersChar"/>
    <w:qFormat/>
    <w:rsid w:val="00F22F58"/>
  </w:style>
  <w:style w:type="paragraph" w:customStyle="1" w:styleId="BillName">
    <w:name w:val="Bill Name"/>
    <w:basedOn w:val="Normalparatextnonumbers"/>
    <w:next w:val="Normalparatextnonumbers"/>
    <w:qFormat/>
    <w:rsid w:val="00DB0A95"/>
    <w:pPr>
      <w:spacing w:before="200" w:after="200"/>
      <w:jc w:val="center"/>
    </w:pPr>
    <w:rPr>
      <w:rFonts w:cs="Times New Roman"/>
      <w:caps/>
    </w:rPr>
  </w:style>
  <w:style w:type="character" w:customStyle="1" w:styleId="Heading4Char">
    <w:name w:val="Heading 4 Char"/>
    <w:basedOn w:val="DefaultParagraphFont"/>
    <w:link w:val="Heading4"/>
    <w:uiPriority w:val="9"/>
    <w:rsid w:val="003F1AD7"/>
    <w:rPr>
      <w:rFonts w:ascii="Helvetica" w:eastAsiaTheme="majorEastAsia" w:hAnsi="Helvetica" w:cstheme="majorBidi"/>
      <w:iCs/>
      <w:sz w:val="28"/>
    </w:rPr>
  </w:style>
  <w:style w:type="paragraph" w:customStyle="1" w:styleId="TableHeading">
    <w:name w:val="Table Heading"/>
    <w:basedOn w:val="Heading4"/>
    <w:next w:val="Normalparatextnonumbers"/>
    <w:uiPriority w:val="1"/>
    <w:rsid w:val="00492729"/>
    <w:pPr>
      <w:keepLines w:val="0"/>
      <w:numPr>
        <w:ilvl w:val="4"/>
        <w:numId w:val="6"/>
      </w:numPr>
      <w:spacing w:before="240" w:after="200"/>
      <w:ind w:left="0" w:firstLine="0"/>
    </w:pPr>
    <w:rPr>
      <w:rFonts w:eastAsia="Times New Roman" w:cs="Helvetica"/>
      <w:b/>
      <w:i/>
      <w:sz w:val="22"/>
    </w:rPr>
  </w:style>
  <w:style w:type="paragraph" w:styleId="Caption">
    <w:name w:val="caption"/>
    <w:basedOn w:val="TableHeading"/>
    <w:next w:val="Normal"/>
    <w:uiPriority w:val="35"/>
    <w:unhideWhenUsed/>
    <w:qFormat/>
    <w:rsid w:val="00BD0751"/>
    <w:pPr>
      <w:numPr>
        <w:ilvl w:val="0"/>
        <w:numId w:val="0"/>
      </w:numPr>
    </w:pPr>
    <w:rPr>
      <w:iCs w:val="0"/>
      <w:color w:val="44546A" w:themeColor="text2"/>
      <w:szCs w:val="18"/>
    </w:rPr>
  </w:style>
  <w:style w:type="paragraph" w:customStyle="1" w:styleId="Chapterheading">
    <w:name w:val="Chapter heading"/>
    <w:basedOn w:val="Heading1"/>
    <w:next w:val="Normalparatextnonumbers"/>
    <w:rsid w:val="00777A92"/>
    <w:pPr>
      <w:numPr>
        <w:numId w:val="6"/>
      </w:numPr>
      <w:pBdr>
        <w:bottom w:val="single" w:sz="4" w:space="8" w:color="auto"/>
      </w:pBdr>
      <w:spacing w:before="0"/>
    </w:pPr>
  </w:style>
  <w:style w:type="numbering" w:customStyle="1" w:styleId="Chapternumbering">
    <w:name w:val="Chapter numbering"/>
    <w:uiPriority w:val="99"/>
    <w:rsid w:val="005D0844"/>
    <w:pPr>
      <w:numPr>
        <w:numId w:val="6"/>
      </w:numPr>
    </w:pPr>
  </w:style>
  <w:style w:type="paragraph" w:customStyle="1" w:styleId="ChartandTableFootnoteAlpha">
    <w:name w:val="Chart and Table Footnote Alpha"/>
    <w:uiPriority w:val="1"/>
    <w:rsid w:val="00F22F58"/>
    <w:pPr>
      <w:tabs>
        <w:tab w:val="num" w:pos="284"/>
      </w:tabs>
      <w:spacing w:after="0" w:line="240" w:lineRule="auto"/>
      <w:ind w:left="284" w:hanging="284"/>
      <w:jc w:val="both"/>
    </w:pPr>
    <w:rPr>
      <w:rFonts w:ascii="Times New Roman" w:eastAsia="Times New Roman" w:hAnsi="Times New Roman" w:cs="Times New Roman"/>
      <w:color w:val="000000"/>
      <w:sz w:val="20"/>
      <w:szCs w:val="16"/>
      <w:lang w:eastAsia="en-AU"/>
    </w:rPr>
  </w:style>
  <w:style w:type="paragraph" w:customStyle="1" w:styleId="Dash">
    <w:name w:val="Dash"/>
    <w:basedOn w:val="Normal"/>
    <w:semiHidden/>
    <w:rsid w:val="00F22F58"/>
    <w:pPr>
      <w:tabs>
        <w:tab w:val="num" w:pos="532"/>
      </w:tabs>
      <w:spacing w:before="0" w:after="240" w:line="260" w:lineRule="exact"/>
      <w:ind w:left="532" w:hanging="284"/>
    </w:pPr>
  </w:style>
  <w:style w:type="paragraph" w:customStyle="1" w:styleId="DiagramHeading">
    <w:name w:val="Diagram Heading"/>
    <w:basedOn w:val="TableHeading"/>
    <w:next w:val="Normalparatextnonumbers"/>
    <w:uiPriority w:val="1"/>
    <w:rsid w:val="00CB4F57"/>
    <w:pPr>
      <w:numPr>
        <w:ilvl w:val="2"/>
      </w:numPr>
      <w:ind w:left="0" w:firstLine="0"/>
    </w:pPr>
  </w:style>
  <w:style w:type="paragraph" w:customStyle="1" w:styleId="Dotpoint1">
    <w:name w:val="Dot point 1"/>
    <w:basedOn w:val="Normal"/>
    <w:link w:val="Dotpoint1Char"/>
    <w:uiPriority w:val="1"/>
    <w:qFormat/>
    <w:rsid w:val="000E521B"/>
    <w:pPr>
      <w:numPr>
        <w:numId w:val="17"/>
      </w:numPr>
      <w:ind w:left="1418" w:hanging="709"/>
    </w:pPr>
  </w:style>
  <w:style w:type="character" w:customStyle="1" w:styleId="Dotpoint1Char">
    <w:name w:val="Dot point 1 Char"/>
    <w:basedOn w:val="DefaultParagraphFont"/>
    <w:link w:val="Dotpoint1"/>
    <w:uiPriority w:val="1"/>
    <w:rsid w:val="000E521B"/>
    <w:rPr>
      <w:rFonts w:ascii="Times New Roman" w:hAnsi="Times New Roman"/>
    </w:rPr>
  </w:style>
  <w:style w:type="paragraph" w:customStyle="1" w:styleId="Dotpoint2">
    <w:name w:val="Dot point 2"/>
    <w:basedOn w:val="Dotpoint1"/>
    <w:uiPriority w:val="1"/>
    <w:rsid w:val="000E521B"/>
    <w:pPr>
      <w:numPr>
        <w:numId w:val="9"/>
      </w:numPr>
      <w:ind w:left="2127" w:hanging="709"/>
    </w:pPr>
  </w:style>
  <w:style w:type="paragraph" w:customStyle="1" w:styleId="Exampletext">
    <w:name w:val="Example text"/>
    <w:basedOn w:val="Normal"/>
    <w:uiPriority w:val="1"/>
    <w:qFormat/>
    <w:rsid w:val="00F22F58"/>
    <w:pPr>
      <w:spacing w:before="200" w:after="160"/>
      <w:ind w:left="1134" w:right="864"/>
    </w:pPr>
    <w:rPr>
      <w:iCs/>
      <w:color w:val="000000" w:themeColor="text1"/>
      <w:sz w:val="21"/>
    </w:rPr>
  </w:style>
  <w:style w:type="paragraph" w:customStyle="1" w:styleId="Exampledotpoint1">
    <w:name w:val="Example dot point 1"/>
    <w:basedOn w:val="Exampletext"/>
    <w:uiPriority w:val="1"/>
    <w:qFormat/>
    <w:rsid w:val="000E521B"/>
    <w:pPr>
      <w:numPr>
        <w:numId w:val="10"/>
      </w:numPr>
      <w:spacing w:before="120" w:after="120"/>
      <w:ind w:left="1843" w:right="862" w:hanging="709"/>
    </w:pPr>
  </w:style>
  <w:style w:type="paragraph" w:customStyle="1" w:styleId="Exampledotpoint2">
    <w:name w:val="Example dot point 2"/>
    <w:basedOn w:val="Exampledotpoint1"/>
    <w:uiPriority w:val="1"/>
    <w:rsid w:val="000E521B"/>
    <w:pPr>
      <w:numPr>
        <w:numId w:val="11"/>
      </w:numPr>
      <w:ind w:left="2552" w:hanging="709"/>
    </w:pPr>
  </w:style>
  <w:style w:type="paragraph" w:customStyle="1" w:styleId="ExampleHeading">
    <w:name w:val="Example Heading"/>
    <w:basedOn w:val="TableHeading"/>
    <w:next w:val="Exampletext"/>
    <w:uiPriority w:val="1"/>
    <w:rsid w:val="00492729"/>
    <w:pPr>
      <w:numPr>
        <w:ilvl w:val="3"/>
      </w:numPr>
      <w:ind w:left="0" w:firstLine="0"/>
    </w:pPr>
  </w:style>
  <w:style w:type="paragraph" w:customStyle="1" w:styleId="Exampleindent">
    <w:name w:val="Example indent"/>
    <w:basedOn w:val="Exampletext"/>
    <w:uiPriority w:val="1"/>
    <w:rsid w:val="00F22F58"/>
    <w:pPr>
      <w:ind w:left="1560"/>
    </w:pPr>
  </w:style>
  <w:style w:type="paragraph" w:customStyle="1" w:styleId="Baseparagraphcentred">
    <w:name w:val="Base paragraph centred"/>
    <w:basedOn w:val="Normal"/>
    <w:rsid w:val="00E24AA1"/>
    <w:pPr>
      <w:spacing w:before="200" w:after="200"/>
      <w:jc w:val="center"/>
    </w:pPr>
    <w:rPr>
      <w:rFonts w:eastAsia="Times New Roman" w:cs="Times New Roman"/>
      <w:szCs w:val="20"/>
      <w:lang w:eastAsia="en-AU"/>
    </w:rPr>
  </w:style>
  <w:style w:type="paragraph" w:styleId="Footer">
    <w:name w:val="footer"/>
    <w:basedOn w:val="Normal"/>
    <w:link w:val="FooterChar"/>
    <w:semiHidden/>
    <w:rsid w:val="00F22F58"/>
    <w:pPr>
      <w:tabs>
        <w:tab w:val="center" w:pos="4153"/>
        <w:tab w:val="right" w:pos="8306"/>
      </w:tabs>
    </w:pPr>
  </w:style>
  <w:style w:type="character" w:customStyle="1" w:styleId="FooterChar">
    <w:name w:val="Footer Char"/>
    <w:basedOn w:val="DefaultParagraphFont"/>
    <w:link w:val="Footer"/>
    <w:semiHidden/>
    <w:rsid w:val="00F22F58"/>
    <w:rPr>
      <w:rFonts w:ascii="Times New Roman" w:hAnsi="Times New Roman"/>
    </w:rPr>
  </w:style>
  <w:style w:type="character" w:styleId="FootnoteReference">
    <w:name w:val="footnote reference"/>
    <w:basedOn w:val="DefaultParagraphFont"/>
    <w:uiPriority w:val="3"/>
    <w:rsid w:val="00F22F58"/>
    <w:rPr>
      <w:vertAlign w:val="superscript"/>
    </w:rPr>
  </w:style>
  <w:style w:type="paragraph" w:styleId="FootnoteText">
    <w:name w:val="footnote text"/>
    <w:basedOn w:val="Normal"/>
    <w:link w:val="FootnoteTextChar"/>
    <w:uiPriority w:val="3"/>
    <w:rsid w:val="00F22F58"/>
    <w:pPr>
      <w:spacing w:before="0" w:after="0"/>
    </w:pPr>
    <w:rPr>
      <w:sz w:val="20"/>
      <w:szCs w:val="20"/>
    </w:rPr>
  </w:style>
  <w:style w:type="character" w:customStyle="1" w:styleId="FootnoteTextChar">
    <w:name w:val="Footnote Text Char"/>
    <w:basedOn w:val="DefaultParagraphFont"/>
    <w:link w:val="FootnoteText"/>
    <w:uiPriority w:val="3"/>
    <w:rsid w:val="00F22F58"/>
    <w:rPr>
      <w:rFonts w:ascii="Times New Roman" w:hAnsi="Times New Roman"/>
      <w:sz w:val="20"/>
      <w:szCs w:val="20"/>
    </w:rPr>
  </w:style>
  <w:style w:type="paragraph" w:customStyle="1" w:styleId="Glossarytabletext">
    <w:name w:val="Glossary table text"/>
    <w:basedOn w:val="Normal"/>
    <w:uiPriority w:val="2"/>
    <w:rsid w:val="002D080A"/>
    <w:pPr>
      <w:spacing w:before="60" w:after="60"/>
    </w:pPr>
    <w:rPr>
      <w:sz w:val="20"/>
    </w:rPr>
  </w:style>
  <w:style w:type="paragraph" w:styleId="Header">
    <w:name w:val="header"/>
    <w:basedOn w:val="Normal"/>
    <w:link w:val="HeaderChar"/>
    <w:semiHidden/>
    <w:rsid w:val="00F22F58"/>
    <w:pPr>
      <w:tabs>
        <w:tab w:val="center" w:pos="4153"/>
        <w:tab w:val="right" w:pos="8306"/>
      </w:tabs>
    </w:pPr>
  </w:style>
  <w:style w:type="character" w:customStyle="1" w:styleId="HeaderChar">
    <w:name w:val="Header Char"/>
    <w:basedOn w:val="DefaultParagraphFont"/>
    <w:link w:val="Header"/>
    <w:semiHidden/>
    <w:rsid w:val="00F22F58"/>
    <w:rPr>
      <w:rFonts w:ascii="Times New Roman" w:hAnsi="Times New Roman"/>
    </w:rPr>
  </w:style>
  <w:style w:type="character" w:customStyle="1" w:styleId="Heading2Char">
    <w:name w:val="Heading 2 Char"/>
    <w:basedOn w:val="DefaultParagraphFont"/>
    <w:link w:val="Heading2"/>
    <w:rsid w:val="003F1AD7"/>
    <w:rPr>
      <w:rFonts w:ascii="Helvitica" w:eastAsiaTheme="majorEastAsia" w:hAnsi="Helvitica" w:cstheme="majorBidi"/>
      <w:sz w:val="36"/>
      <w:szCs w:val="26"/>
    </w:rPr>
  </w:style>
  <w:style w:type="character" w:customStyle="1" w:styleId="Heading3Char">
    <w:name w:val="Heading 3 Char"/>
    <w:basedOn w:val="DefaultParagraphFont"/>
    <w:link w:val="Heading3"/>
    <w:rsid w:val="003F1AD7"/>
    <w:rPr>
      <w:rFonts w:ascii="Helvitica" w:eastAsiaTheme="majorEastAsia" w:hAnsi="Helvitica" w:cstheme="majorBidi"/>
      <w:sz w:val="32"/>
      <w:szCs w:val="24"/>
    </w:rPr>
  </w:style>
  <w:style w:type="character" w:customStyle="1" w:styleId="Heading5Char">
    <w:name w:val="Heading 5 Char"/>
    <w:basedOn w:val="DefaultParagraphFont"/>
    <w:link w:val="Heading5"/>
    <w:uiPriority w:val="9"/>
    <w:rsid w:val="00F22F58"/>
    <w:rPr>
      <w:rFonts w:ascii="Helvetica" w:eastAsiaTheme="majorEastAsia" w:hAnsi="Helvetica" w:cstheme="majorBidi"/>
      <w:b/>
      <w:spacing w:val="-10"/>
      <w:kern w:val="28"/>
      <w:sz w:val="24"/>
      <w:szCs w:val="56"/>
    </w:rPr>
  </w:style>
  <w:style w:type="table" w:customStyle="1" w:styleId="InstructionTable">
    <w:name w:val="Instruction Table"/>
    <w:basedOn w:val="TableNormal"/>
    <w:uiPriority w:val="99"/>
    <w:rsid w:val="00F22F58"/>
    <w:pPr>
      <w:spacing w:after="0" w:line="240" w:lineRule="auto"/>
    </w:pPr>
    <w:tblPr>
      <w:tblBorders>
        <w:top w:val="single" w:sz="12" w:space="0" w:color="2F528F"/>
        <w:left w:val="single" w:sz="12" w:space="0" w:color="2F528F"/>
        <w:bottom w:val="single" w:sz="12" w:space="0" w:color="2F528F"/>
        <w:right w:val="single" w:sz="12" w:space="0" w:color="2F528F"/>
      </w:tblBorders>
    </w:tblPr>
    <w:tcPr>
      <w:shd w:val="clear" w:color="auto" w:fill="E7E6E6"/>
    </w:tcPr>
  </w:style>
  <w:style w:type="paragraph" w:customStyle="1" w:styleId="Instructionalguidance">
    <w:name w:val="Instructional guidance"/>
    <w:basedOn w:val="Normal"/>
    <w:link w:val="InstructionalguidanceChar"/>
    <w:uiPriority w:val="99"/>
    <w:rsid w:val="00090A2C"/>
    <w:rPr>
      <w:rFonts w:ascii="Calibri" w:hAnsi="Calibri"/>
      <w:color w:val="2F5496" w:themeColor="accent1" w:themeShade="BF"/>
    </w:rPr>
  </w:style>
  <w:style w:type="character" w:customStyle="1" w:styleId="InstructionalguidanceChar">
    <w:name w:val="Instructional guidance Char"/>
    <w:basedOn w:val="DefaultParagraphFont"/>
    <w:link w:val="Instructionalguidance"/>
    <w:uiPriority w:val="99"/>
    <w:rsid w:val="005515C0"/>
    <w:rPr>
      <w:rFonts w:ascii="Calibri" w:hAnsi="Calibri"/>
      <w:color w:val="2F5496" w:themeColor="accent1" w:themeShade="BF"/>
    </w:rPr>
  </w:style>
  <w:style w:type="paragraph" w:customStyle="1" w:styleId="Instructionalguidancebold">
    <w:name w:val="Instructional guidance bold"/>
    <w:basedOn w:val="Instructionalguidance"/>
    <w:next w:val="Instructionalguidance"/>
    <w:link w:val="InstructionalguidanceboldChar"/>
    <w:uiPriority w:val="99"/>
    <w:rsid w:val="00F22F58"/>
    <w:pPr>
      <w:keepNext/>
    </w:pPr>
    <w:rPr>
      <w:b/>
      <w:bCs/>
    </w:rPr>
  </w:style>
  <w:style w:type="character" w:customStyle="1" w:styleId="InstructionalguidanceboldChar">
    <w:name w:val="Instructional guidance bold Char"/>
    <w:basedOn w:val="InstructionalguidanceChar"/>
    <w:link w:val="Instructionalguidancebold"/>
    <w:uiPriority w:val="99"/>
    <w:rsid w:val="00F22F58"/>
    <w:rPr>
      <w:rFonts w:ascii="Calibri" w:hAnsi="Calibri"/>
      <w:b/>
      <w:bCs/>
      <w:color w:val="2F5496" w:themeColor="accent1" w:themeShade="BF"/>
    </w:rPr>
  </w:style>
  <w:style w:type="paragraph" w:customStyle="1" w:styleId="Instructionalguidancedotpoint">
    <w:name w:val="Instructional guidance dot point"/>
    <w:basedOn w:val="Instructionalguidance"/>
    <w:uiPriority w:val="99"/>
    <w:qFormat/>
    <w:rsid w:val="00F22F58"/>
    <w:pPr>
      <w:numPr>
        <w:numId w:val="14"/>
      </w:numPr>
    </w:pPr>
    <w:rPr>
      <w:rFonts w:eastAsia="Calibri"/>
      <w:lang w:eastAsia="en-GB"/>
    </w:rPr>
  </w:style>
  <w:style w:type="paragraph" w:customStyle="1" w:styleId="Instructionalguidancenumbered">
    <w:name w:val="Instructional guidance numbered"/>
    <w:basedOn w:val="Normal"/>
    <w:uiPriority w:val="99"/>
    <w:semiHidden/>
    <w:rsid w:val="00F22F58"/>
    <w:pPr>
      <w:numPr>
        <w:numId w:val="15"/>
      </w:numPr>
    </w:pPr>
    <w:rPr>
      <w:rFonts w:eastAsia="Calibri"/>
      <w:color w:val="2F5496" w:themeColor="accent1" w:themeShade="BF"/>
      <w:lang w:val="en-US" w:eastAsia="en-GB"/>
    </w:rPr>
  </w:style>
  <w:style w:type="character" w:customStyle="1" w:styleId="Instructuralguidancebold">
    <w:name w:val="Instructural guidance bold"/>
    <w:basedOn w:val="DefaultParagraphFont"/>
    <w:uiPriority w:val="99"/>
    <w:semiHidden/>
    <w:rsid w:val="00F22F58"/>
    <w:rPr>
      <w:rFonts w:ascii="Calibri" w:hAnsi="Calibri"/>
      <w:b/>
      <w:color w:val="2F528F"/>
      <w:sz w:val="22"/>
      <w:u w:color="2F528F"/>
    </w:rPr>
  </w:style>
  <w:style w:type="paragraph" w:customStyle="1" w:styleId="leftfooter">
    <w:name w:val="left footer"/>
    <w:basedOn w:val="Normal"/>
    <w:uiPriority w:val="1"/>
    <w:rsid w:val="00F22F58"/>
    <w:pPr>
      <w:pBdr>
        <w:top w:val="single" w:sz="4" w:space="1" w:color="auto"/>
      </w:pBdr>
      <w:spacing w:before="240" w:after="0"/>
    </w:pPr>
    <w:rPr>
      <w:i/>
      <w:sz w:val="20"/>
    </w:rPr>
  </w:style>
  <w:style w:type="paragraph" w:customStyle="1" w:styleId="leftheader">
    <w:name w:val="left header"/>
    <w:basedOn w:val="Normal"/>
    <w:uiPriority w:val="1"/>
    <w:rsid w:val="00D04933"/>
    <w:pPr>
      <w:pBdr>
        <w:bottom w:val="single" w:sz="4" w:space="1" w:color="auto"/>
      </w:pBdr>
    </w:pPr>
    <w:rPr>
      <w:i/>
      <w:sz w:val="20"/>
    </w:rPr>
  </w:style>
  <w:style w:type="paragraph" w:customStyle="1" w:styleId="Normalparatextwithnumbers">
    <w:name w:val="Normal para text (with numbers)"/>
    <w:basedOn w:val="Normalparatextnonumbers"/>
    <w:link w:val="NormalparatextwithnumbersChar"/>
    <w:qFormat/>
    <w:rsid w:val="005D0844"/>
    <w:pPr>
      <w:numPr>
        <w:ilvl w:val="1"/>
        <w:numId w:val="6"/>
      </w:numPr>
    </w:pPr>
  </w:style>
  <w:style w:type="paragraph" w:customStyle="1" w:styleId="PurposeheadingnoTOC">
    <w:name w:val="Purpose heading (no TOC)"/>
    <w:basedOn w:val="Normal"/>
    <w:next w:val="Normalparatextnonumbers"/>
    <w:rsid w:val="00F22F58"/>
    <w:pPr>
      <w:spacing w:before="480" w:after="480"/>
    </w:pPr>
    <w:rPr>
      <w:rFonts w:ascii="Helvitica" w:hAnsi="Helvitica"/>
      <w:sz w:val="48"/>
    </w:rPr>
  </w:style>
  <w:style w:type="paragraph" w:styleId="Quote">
    <w:name w:val="Quote"/>
    <w:basedOn w:val="Normal"/>
    <w:next w:val="Normal"/>
    <w:link w:val="QuoteChar"/>
    <w:uiPriority w:val="29"/>
    <w:semiHidden/>
    <w:rsid w:val="00F22F5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21B7A"/>
    <w:rPr>
      <w:rFonts w:ascii="Times New Roman" w:hAnsi="Times New Roman"/>
      <w:i/>
      <w:iCs/>
      <w:color w:val="404040" w:themeColor="text1" w:themeTint="BF"/>
    </w:rPr>
  </w:style>
  <w:style w:type="paragraph" w:styleId="EndnoteText">
    <w:name w:val="endnote text"/>
    <w:basedOn w:val="Normal"/>
    <w:link w:val="EndnoteTextChar"/>
    <w:uiPriority w:val="3"/>
    <w:rsid w:val="002D080A"/>
    <w:pPr>
      <w:spacing w:before="0" w:after="0"/>
    </w:pPr>
    <w:rPr>
      <w:sz w:val="20"/>
      <w:szCs w:val="20"/>
    </w:rPr>
  </w:style>
  <w:style w:type="character" w:customStyle="1" w:styleId="References">
    <w:name w:val="References"/>
    <w:basedOn w:val="DefaultParagraphFont"/>
    <w:uiPriority w:val="1"/>
    <w:rsid w:val="00F22F58"/>
    <w:rPr>
      <w:rFonts w:ascii="Times New Roman" w:hAnsi="Times New Roman"/>
      <w:b/>
      <w:bCs/>
      <w:i/>
      <w:iCs/>
      <w:sz w:val="22"/>
    </w:rPr>
  </w:style>
  <w:style w:type="paragraph" w:customStyle="1" w:styleId="rightfooter">
    <w:name w:val="right footer"/>
    <w:basedOn w:val="Normal"/>
    <w:uiPriority w:val="1"/>
    <w:rsid w:val="00F22F58"/>
    <w:pPr>
      <w:pBdr>
        <w:top w:val="single" w:sz="4" w:space="1" w:color="auto"/>
      </w:pBdr>
      <w:spacing w:before="60" w:after="60"/>
      <w:ind w:left="34"/>
      <w:jc w:val="right"/>
    </w:pPr>
    <w:rPr>
      <w:rFonts w:eastAsia="Times New Roman" w:cs="Times New Roman"/>
      <w:i/>
      <w:sz w:val="20"/>
      <w:szCs w:val="20"/>
      <w:lang w:eastAsia="en-AU"/>
    </w:rPr>
  </w:style>
  <w:style w:type="paragraph" w:customStyle="1" w:styleId="rightheader">
    <w:name w:val="right header"/>
    <w:basedOn w:val="Normal"/>
    <w:uiPriority w:val="1"/>
    <w:rsid w:val="00D04933"/>
    <w:pPr>
      <w:pBdr>
        <w:bottom w:val="single" w:sz="4" w:space="1" w:color="auto"/>
      </w:pBdr>
      <w:jc w:val="right"/>
    </w:pPr>
    <w:rPr>
      <w:i/>
      <w:sz w:val="20"/>
    </w:rPr>
  </w:style>
  <w:style w:type="paragraph" w:customStyle="1" w:styleId="RISbullet">
    <w:name w:val="RIS bullet"/>
    <w:basedOn w:val="Dotpoint1"/>
    <w:uiPriority w:val="2"/>
    <w:rsid w:val="00F22F58"/>
    <w:pPr>
      <w:tabs>
        <w:tab w:val="left" w:pos="567"/>
      </w:tabs>
      <w:ind w:left="851" w:hanging="284"/>
    </w:pPr>
  </w:style>
  <w:style w:type="paragraph" w:customStyle="1" w:styleId="RISbullet2">
    <w:name w:val="RIS bullet 2"/>
    <w:basedOn w:val="RISbullet"/>
    <w:uiPriority w:val="2"/>
    <w:rsid w:val="00F22F58"/>
    <w:pPr>
      <w:numPr>
        <w:numId w:val="18"/>
      </w:numPr>
      <w:tabs>
        <w:tab w:val="clear" w:pos="567"/>
      </w:tabs>
    </w:pPr>
  </w:style>
  <w:style w:type="paragraph" w:customStyle="1" w:styleId="Tabledotpoint1">
    <w:name w:val="Table dot point 1"/>
    <w:basedOn w:val="Normalparatextnonumbers"/>
    <w:uiPriority w:val="1"/>
    <w:rsid w:val="000E521B"/>
    <w:pPr>
      <w:numPr>
        <w:numId w:val="19"/>
      </w:numPr>
      <w:ind w:left="425" w:hanging="425"/>
    </w:pPr>
    <w:rPr>
      <w:sz w:val="20"/>
    </w:rPr>
  </w:style>
  <w:style w:type="paragraph" w:customStyle="1" w:styleId="Tabledotpoint2">
    <w:name w:val="Table dot point 2"/>
    <w:basedOn w:val="Tabledotpoint1"/>
    <w:uiPriority w:val="1"/>
    <w:rsid w:val="000E521B"/>
    <w:pPr>
      <w:numPr>
        <w:numId w:val="20"/>
      </w:numPr>
      <w:ind w:left="850" w:hanging="425"/>
    </w:pPr>
  </w:style>
  <w:style w:type="paragraph" w:customStyle="1" w:styleId="Tableheaderrowtext">
    <w:name w:val="Table header row text"/>
    <w:basedOn w:val="Heading4"/>
    <w:uiPriority w:val="1"/>
    <w:rsid w:val="005D0844"/>
    <w:pPr>
      <w:keepLines w:val="0"/>
      <w:spacing w:before="120" w:after="120"/>
    </w:pPr>
    <w:rPr>
      <w:rFonts w:eastAsia="Times New Roman" w:cs="Helvetica"/>
      <w:b/>
      <w:i/>
      <w:sz w:val="22"/>
    </w:rPr>
  </w:style>
  <w:style w:type="paragraph" w:styleId="TOC1">
    <w:name w:val="toc 1"/>
    <w:basedOn w:val="Normal"/>
    <w:next w:val="TOC2"/>
    <w:uiPriority w:val="39"/>
    <w:rsid w:val="00170C78"/>
    <w:pPr>
      <w:tabs>
        <w:tab w:val="right" w:leader="dot" w:pos="7655"/>
      </w:tabs>
      <w:ind w:left="1758" w:hanging="1758"/>
    </w:pPr>
    <w:rPr>
      <w:rFonts w:ascii="Helvitica" w:hAnsi="Helvitica" w:cstheme="minorHAnsi"/>
      <w:bCs/>
      <w:sz w:val="24"/>
      <w:szCs w:val="20"/>
    </w:rPr>
  </w:style>
  <w:style w:type="paragraph" w:styleId="TOC2">
    <w:name w:val="toc 2"/>
    <w:basedOn w:val="Normal"/>
    <w:next w:val="Normal"/>
    <w:uiPriority w:val="39"/>
    <w:rsid w:val="00683847"/>
    <w:pPr>
      <w:tabs>
        <w:tab w:val="right" w:leader="dot" w:pos="7655"/>
      </w:tabs>
    </w:pPr>
    <w:rPr>
      <w:rFonts w:ascii="Helvetica" w:hAnsi="Helvetica"/>
      <w:noProof/>
      <w:sz w:val="24"/>
    </w:rPr>
  </w:style>
  <w:style w:type="paragraph" w:styleId="TOC3">
    <w:name w:val="toc 3"/>
    <w:basedOn w:val="Normal"/>
    <w:next w:val="Normal"/>
    <w:uiPriority w:val="39"/>
    <w:unhideWhenUsed/>
    <w:rsid w:val="00414017"/>
    <w:pPr>
      <w:tabs>
        <w:tab w:val="right" w:leader="dot" w:pos="7655"/>
      </w:tabs>
      <w:ind w:left="442"/>
    </w:pPr>
    <w:rPr>
      <w:rFonts w:ascii="Helvitica" w:hAnsi="Helvitica" w:cstheme="minorHAnsi"/>
      <w:iCs/>
      <w:sz w:val="24"/>
      <w:szCs w:val="20"/>
    </w:rPr>
  </w:style>
  <w:style w:type="paragraph" w:customStyle="1" w:styleId="Tabletext">
    <w:name w:val="Table text"/>
    <w:basedOn w:val="Normal"/>
    <w:uiPriority w:val="1"/>
    <w:rsid w:val="00F22F58"/>
    <w:pPr>
      <w:spacing w:before="60" w:after="60"/>
      <w:ind w:left="34"/>
    </w:pPr>
    <w:rPr>
      <w:rFonts w:eastAsia="Times New Roman" w:cs="Times New Roman"/>
      <w:sz w:val="20"/>
      <w:szCs w:val="20"/>
      <w:lang w:eastAsia="en-AU"/>
    </w:rPr>
  </w:style>
  <w:style w:type="paragraph" w:customStyle="1" w:styleId="TOCHeading">
    <w:name w:val="TOCHeading"/>
    <w:basedOn w:val="Normal"/>
    <w:next w:val="Normalparatextnonumbers"/>
    <w:qFormat/>
    <w:rsid w:val="00F22F58"/>
    <w:pPr>
      <w:spacing w:before="360" w:after="360"/>
    </w:pPr>
    <w:rPr>
      <w:rFonts w:ascii="Helvitica" w:hAnsi="Helvitica"/>
      <w:sz w:val="40"/>
    </w:rPr>
  </w:style>
  <w:style w:type="character" w:customStyle="1" w:styleId="EndnoteTextChar">
    <w:name w:val="Endnote Text Char"/>
    <w:basedOn w:val="DefaultParagraphFont"/>
    <w:link w:val="EndnoteText"/>
    <w:uiPriority w:val="3"/>
    <w:rsid w:val="002D080A"/>
    <w:rPr>
      <w:rFonts w:ascii="Times New Roman" w:hAnsi="Times New Roman"/>
      <w:sz w:val="20"/>
      <w:szCs w:val="20"/>
    </w:rPr>
  </w:style>
  <w:style w:type="paragraph" w:customStyle="1" w:styleId="Coverpageheading">
    <w:name w:val="Cover page heading"/>
    <w:basedOn w:val="Normalparatextnonumbers"/>
    <w:next w:val="Normalparatextnonumbers"/>
    <w:uiPriority w:val="1"/>
    <w:qFormat/>
    <w:rsid w:val="002D080A"/>
    <w:pPr>
      <w:spacing w:after="480"/>
      <w:jc w:val="center"/>
    </w:pPr>
    <w:rPr>
      <w:rFonts w:ascii="Helvitica" w:hAnsi="Helvitica"/>
      <w:sz w:val="36"/>
    </w:rPr>
  </w:style>
  <w:style w:type="paragraph" w:styleId="NoSpacing">
    <w:name w:val="No Spacing"/>
    <w:uiPriority w:val="3"/>
    <w:rsid w:val="002D080A"/>
    <w:pPr>
      <w:spacing w:after="0" w:line="240" w:lineRule="auto"/>
    </w:pPr>
  </w:style>
  <w:style w:type="character" w:styleId="Hyperlink">
    <w:name w:val="Hyperlink"/>
    <w:basedOn w:val="DefaultParagraphFont"/>
    <w:uiPriority w:val="99"/>
    <w:rsid w:val="00873094"/>
    <w:rPr>
      <w:color w:val="0563C1" w:themeColor="hyperlink"/>
      <w:u w:val="single"/>
    </w:rPr>
  </w:style>
  <w:style w:type="table" w:styleId="TableGrid">
    <w:name w:val="Table Grid"/>
    <w:basedOn w:val="TableNormal"/>
    <w:rsid w:val="00873094"/>
    <w:pPr>
      <w:spacing w:before="120" w:after="120" w:line="240" w:lineRule="auto"/>
      <w:ind w:left="1134"/>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easurytable">
    <w:name w:val="Treasury table"/>
    <w:basedOn w:val="TableNormal"/>
    <w:uiPriority w:val="99"/>
    <w:rsid w:val="00873094"/>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280" w:beforeAutospacing="0" w:afterLines="0" w:after="240" w:afterAutospacing="0" w:line="240" w:lineRule="auto"/>
      </w:pPr>
      <w:rPr>
        <w:rFonts w:ascii="Helvetica" w:hAnsi="Helvetica"/>
        <w:sz w:val="28"/>
      </w:rPr>
      <w:tblPr/>
      <w:trPr>
        <w:cantSplit/>
        <w:tblHeader/>
      </w:trPr>
    </w:tblStylePr>
  </w:style>
  <w:style w:type="paragraph" w:customStyle="1" w:styleId="ParaCentredNoSpacing">
    <w:name w:val="ParaCentredNoSpacing"/>
    <w:basedOn w:val="Baseparagraphcentred"/>
    <w:qFormat/>
    <w:rsid w:val="00E24AA1"/>
    <w:pPr>
      <w:spacing w:before="0" w:after="0"/>
    </w:pPr>
  </w:style>
  <w:style w:type="paragraph" w:customStyle="1" w:styleId="Referenceafterdotpoint">
    <w:name w:val="Reference after dot point"/>
    <w:basedOn w:val="Normalparatextnonumbers"/>
    <w:next w:val="Dotpoint1"/>
    <w:rsid w:val="00DF5D0C"/>
    <w:pPr>
      <w:spacing w:before="0" w:after="0"/>
      <w:ind w:left="709"/>
    </w:pPr>
    <w:rPr>
      <w:b/>
      <w:i/>
      <w:noProof/>
    </w:rPr>
  </w:style>
  <w:style w:type="character" w:customStyle="1" w:styleId="Heading6Char">
    <w:name w:val="Heading 6 Char"/>
    <w:basedOn w:val="DefaultParagraphFont"/>
    <w:link w:val="Heading6"/>
    <w:uiPriority w:val="9"/>
    <w:semiHidden/>
    <w:rsid w:val="002A2137"/>
    <w:rPr>
      <w:rFonts w:ascii="Helvitica" w:eastAsiaTheme="majorEastAsia" w:hAnsi="Helvitica" w:cstheme="majorBidi"/>
      <w:i/>
    </w:rPr>
  </w:style>
  <w:style w:type="paragraph" w:customStyle="1" w:styleId="Scheduleheading">
    <w:name w:val="Schedule heading"/>
    <w:basedOn w:val="Heading2"/>
    <w:next w:val="Normalparatextnonumbers"/>
    <w:link w:val="ScheduleheadingChar"/>
    <w:rsid w:val="003556BF"/>
  </w:style>
  <w:style w:type="character" w:customStyle="1" w:styleId="ScheduleheadingChar">
    <w:name w:val="Schedule heading Char"/>
    <w:basedOn w:val="Heading2Char"/>
    <w:link w:val="Scheduleheading"/>
    <w:rsid w:val="003556BF"/>
    <w:rPr>
      <w:rFonts w:ascii="Helvitica" w:eastAsiaTheme="majorEastAsia" w:hAnsi="Helvitica" w:cstheme="majorBidi"/>
      <w:sz w:val="36"/>
      <w:szCs w:val="26"/>
    </w:rPr>
  </w:style>
  <w:style w:type="character" w:styleId="UnresolvedMention">
    <w:name w:val="Unresolved Mention"/>
    <w:basedOn w:val="DefaultParagraphFont"/>
    <w:uiPriority w:val="99"/>
    <w:semiHidden/>
    <w:unhideWhenUsed/>
    <w:rsid w:val="007A2DBD"/>
    <w:rPr>
      <w:color w:val="605E5C"/>
      <w:shd w:val="clear" w:color="auto" w:fill="E1DFDD"/>
    </w:rPr>
  </w:style>
  <w:style w:type="paragraph" w:styleId="Revision">
    <w:name w:val="Revision"/>
    <w:hidden/>
    <w:uiPriority w:val="99"/>
    <w:semiHidden/>
    <w:rsid w:val="009732E4"/>
    <w:pPr>
      <w:spacing w:after="0" w:line="240" w:lineRule="auto"/>
    </w:pPr>
    <w:rPr>
      <w:rFonts w:ascii="Times New Roman" w:hAnsi="Times New Roman"/>
    </w:rPr>
  </w:style>
  <w:style w:type="character" w:styleId="CommentReference">
    <w:name w:val="annotation reference"/>
    <w:basedOn w:val="DefaultParagraphFont"/>
    <w:uiPriority w:val="99"/>
    <w:semiHidden/>
    <w:unhideWhenUsed/>
    <w:rsid w:val="00423422"/>
    <w:rPr>
      <w:sz w:val="16"/>
      <w:szCs w:val="16"/>
    </w:rPr>
  </w:style>
  <w:style w:type="paragraph" w:styleId="CommentText">
    <w:name w:val="annotation text"/>
    <w:basedOn w:val="Normal"/>
    <w:link w:val="CommentTextChar"/>
    <w:uiPriority w:val="99"/>
    <w:unhideWhenUsed/>
    <w:rsid w:val="00423422"/>
    <w:rPr>
      <w:sz w:val="20"/>
      <w:szCs w:val="20"/>
    </w:rPr>
  </w:style>
  <w:style w:type="character" w:customStyle="1" w:styleId="CommentTextChar">
    <w:name w:val="Comment Text Char"/>
    <w:basedOn w:val="DefaultParagraphFont"/>
    <w:link w:val="CommentText"/>
    <w:uiPriority w:val="99"/>
    <w:rsid w:val="0042342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23422"/>
    <w:rPr>
      <w:b/>
      <w:bCs/>
    </w:rPr>
  </w:style>
  <w:style w:type="character" w:customStyle="1" w:styleId="CommentSubjectChar">
    <w:name w:val="Comment Subject Char"/>
    <w:basedOn w:val="CommentTextChar"/>
    <w:link w:val="CommentSubject"/>
    <w:uiPriority w:val="99"/>
    <w:semiHidden/>
    <w:rsid w:val="00423422"/>
    <w:rPr>
      <w:rFonts w:ascii="Times New Roman" w:hAnsi="Times New Roman"/>
      <w:b/>
      <w:bCs/>
      <w:sz w:val="20"/>
      <w:szCs w:val="20"/>
    </w:rPr>
  </w:style>
  <w:style w:type="paragraph" w:styleId="BalloonText">
    <w:name w:val="Balloon Text"/>
    <w:basedOn w:val="Normal"/>
    <w:link w:val="BalloonTextChar"/>
    <w:uiPriority w:val="99"/>
    <w:semiHidden/>
    <w:unhideWhenUsed/>
    <w:rsid w:val="00423422"/>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3422"/>
    <w:rPr>
      <w:rFonts w:ascii="Segoe UI" w:hAnsi="Segoe UI" w:cs="Segoe UI"/>
      <w:sz w:val="18"/>
      <w:szCs w:val="18"/>
    </w:rPr>
  </w:style>
  <w:style w:type="character" w:styleId="PlaceholderText">
    <w:name w:val="Placeholder Text"/>
    <w:basedOn w:val="DefaultParagraphFont"/>
    <w:uiPriority w:val="99"/>
    <w:semiHidden/>
    <w:rsid w:val="004C634F"/>
    <w:rPr>
      <w:color w:val="808080"/>
    </w:rPr>
  </w:style>
  <w:style w:type="character" w:customStyle="1" w:styleId="NormalparatextnonumbersChar">
    <w:name w:val="Normal para text (no numbers) Char"/>
    <w:basedOn w:val="DefaultParagraphFont"/>
    <w:link w:val="Normalparatextnonumbers"/>
    <w:rsid w:val="00126512"/>
    <w:rPr>
      <w:rFonts w:ascii="Times New Roman" w:hAnsi="Times New Roman"/>
    </w:rPr>
  </w:style>
  <w:style w:type="character" w:customStyle="1" w:styleId="NormalparatextwithnumbersChar">
    <w:name w:val="Normal para text (with numbers) Char"/>
    <w:basedOn w:val="DefaultParagraphFont"/>
    <w:link w:val="Normalparatextwithnumbers"/>
    <w:rsid w:val="00DF6F79"/>
    <w:rPr>
      <w:rFonts w:ascii="Times New Roman" w:hAnsi="Times New Roman"/>
    </w:rPr>
  </w:style>
  <w:style w:type="paragraph" w:styleId="TOC4">
    <w:name w:val="toc 4"/>
    <w:basedOn w:val="Normal"/>
    <w:next w:val="Normal"/>
    <w:autoRedefine/>
    <w:uiPriority w:val="39"/>
    <w:semiHidden/>
    <w:unhideWhenUsed/>
    <w:rsid w:val="00450E16"/>
    <w:pPr>
      <w:spacing w:after="100"/>
      <w:ind w:left="660"/>
    </w:pPr>
  </w:style>
  <w:style w:type="paragraph" w:styleId="TOC5">
    <w:name w:val="toc 5"/>
    <w:basedOn w:val="Normal"/>
    <w:next w:val="Normal"/>
    <w:autoRedefine/>
    <w:uiPriority w:val="39"/>
    <w:semiHidden/>
    <w:unhideWhenUsed/>
    <w:rsid w:val="00450E16"/>
    <w:pPr>
      <w:spacing w:after="100"/>
      <w:ind w:left="880"/>
    </w:pPr>
  </w:style>
  <w:style w:type="paragraph" w:styleId="TOC6">
    <w:name w:val="toc 6"/>
    <w:basedOn w:val="Normal"/>
    <w:next w:val="Normal"/>
    <w:autoRedefine/>
    <w:uiPriority w:val="39"/>
    <w:semiHidden/>
    <w:unhideWhenUsed/>
    <w:rsid w:val="00450E16"/>
    <w:pPr>
      <w:spacing w:after="100"/>
      <w:ind w:left="1100"/>
    </w:pPr>
  </w:style>
  <w:style w:type="paragraph" w:styleId="TOC7">
    <w:name w:val="toc 7"/>
    <w:basedOn w:val="Normal"/>
    <w:next w:val="Normal"/>
    <w:autoRedefine/>
    <w:uiPriority w:val="39"/>
    <w:semiHidden/>
    <w:unhideWhenUsed/>
    <w:rsid w:val="00450E16"/>
    <w:pPr>
      <w:spacing w:after="100"/>
      <w:ind w:left="1320"/>
    </w:pPr>
  </w:style>
  <w:style w:type="paragraph" w:styleId="TOC8">
    <w:name w:val="toc 8"/>
    <w:basedOn w:val="Normal"/>
    <w:next w:val="Normal"/>
    <w:autoRedefine/>
    <w:uiPriority w:val="39"/>
    <w:semiHidden/>
    <w:unhideWhenUsed/>
    <w:rsid w:val="00450E16"/>
    <w:pPr>
      <w:spacing w:after="100"/>
      <w:ind w:left="1540"/>
    </w:pPr>
  </w:style>
  <w:style w:type="paragraph" w:styleId="TOC9">
    <w:name w:val="toc 9"/>
    <w:basedOn w:val="Normal"/>
    <w:next w:val="Normal"/>
    <w:autoRedefine/>
    <w:uiPriority w:val="39"/>
    <w:semiHidden/>
    <w:unhideWhenUsed/>
    <w:rsid w:val="00450E16"/>
    <w:pPr>
      <w:spacing w:after="100"/>
      <w:ind w:left="17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560345">
      <w:bodyDiv w:val="1"/>
      <w:marLeft w:val="0"/>
      <w:marRight w:val="0"/>
      <w:marTop w:val="0"/>
      <w:marBottom w:val="0"/>
      <w:divBdr>
        <w:top w:val="none" w:sz="0" w:space="0" w:color="auto"/>
        <w:left w:val="none" w:sz="0" w:space="0" w:color="auto"/>
        <w:bottom w:val="none" w:sz="0" w:space="0" w:color="auto"/>
        <w:right w:val="none" w:sz="0" w:space="0" w:color="auto"/>
      </w:divBdr>
    </w:div>
    <w:div w:id="264000277">
      <w:bodyDiv w:val="1"/>
      <w:marLeft w:val="0"/>
      <w:marRight w:val="0"/>
      <w:marTop w:val="0"/>
      <w:marBottom w:val="0"/>
      <w:divBdr>
        <w:top w:val="none" w:sz="0" w:space="0" w:color="auto"/>
        <w:left w:val="none" w:sz="0" w:space="0" w:color="auto"/>
        <w:bottom w:val="none" w:sz="0" w:space="0" w:color="auto"/>
        <w:right w:val="none" w:sz="0" w:space="0" w:color="auto"/>
      </w:divBdr>
    </w:div>
    <w:div w:id="314529727">
      <w:bodyDiv w:val="1"/>
      <w:marLeft w:val="0"/>
      <w:marRight w:val="0"/>
      <w:marTop w:val="0"/>
      <w:marBottom w:val="0"/>
      <w:divBdr>
        <w:top w:val="none" w:sz="0" w:space="0" w:color="auto"/>
        <w:left w:val="none" w:sz="0" w:space="0" w:color="auto"/>
        <w:bottom w:val="none" w:sz="0" w:space="0" w:color="auto"/>
        <w:right w:val="none" w:sz="0" w:space="0" w:color="auto"/>
      </w:divBdr>
    </w:div>
    <w:div w:id="873469127">
      <w:bodyDiv w:val="1"/>
      <w:marLeft w:val="0"/>
      <w:marRight w:val="0"/>
      <w:marTop w:val="0"/>
      <w:marBottom w:val="0"/>
      <w:divBdr>
        <w:top w:val="none" w:sz="0" w:space="0" w:color="auto"/>
        <w:left w:val="none" w:sz="0" w:space="0" w:color="auto"/>
        <w:bottom w:val="none" w:sz="0" w:space="0" w:color="auto"/>
        <w:right w:val="none" w:sz="0" w:space="0" w:color="auto"/>
      </w:divBdr>
    </w:div>
    <w:div w:id="1236089640">
      <w:bodyDiv w:val="1"/>
      <w:marLeft w:val="0"/>
      <w:marRight w:val="0"/>
      <w:marTop w:val="0"/>
      <w:marBottom w:val="0"/>
      <w:divBdr>
        <w:top w:val="none" w:sz="0" w:space="0" w:color="auto"/>
        <w:left w:val="none" w:sz="0" w:space="0" w:color="auto"/>
        <w:bottom w:val="none" w:sz="0" w:space="0" w:color="auto"/>
        <w:right w:val="none" w:sz="0" w:space="0" w:color="auto"/>
      </w:divBdr>
    </w:div>
    <w:div w:id="1530802535">
      <w:bodyDiv w:val="1"/>
      <w:marLeft w:val="0"/>
      <w:marRight w:val="0"/>
      <w:marTop w:val="0"/>
      <w:marBottom w:val="0"/>
      <w:divBdr>
        <w:top w:val="none" w:sz="0" w:space="0" w:color="auto"/>
        <w:left w:val="none" w:sz="0" w:space="0" w:color="auto"/>
        <w:bottom w:val="none" w:sz="0" w:space="0" w:color="auto"/>
        <w:right w:val="none" w:sz="0" w:space="0" w:color="auto"/>
      </w:divBdr>
    </w:div>
    <w:div w:id="2045255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eader" Target="header8.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7.xml"/><Relationship Id="rId25" Type="http://schemas.openxmlformats.org/officeDocument/2006/relationships/footer" Target="footer7.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6.xml"/><Relationship Id="rId23" Type="http://schemas.openxmlformats.org/officeDocument/2006/relationships/header" Target="header10.xml"/><Relationship Id="rId28" Type="http://schemas.openxmlformats.org/officeDocument/2006/relationships/footer" Target="footer9.xml"/><Relationship Id="rId10" Type="http://schemas.openxmlformats.org/officeDocument/2006/relationships/header" Target="header2.xml"/><Relationship Id="rId19" Type="http://schemas.openxmlformats.org/officeDocument/2006/relationships/footer" Target="footer4.xm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 Id="rId22" Type="http://schemas.openxmlformats.org/officeDocument/2006/relationships/footer" Target="footer6.xml"/><Relationship Id="rId27" Type="http://schemas.openxmlformats.org/officeDocument/2006/relationships/header" Target="header12.xml"/><Relationship Id="rId30" Type="http://schemas.openxmlformats.org/officeDocument/2006/relationships/header" Target="header14.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93793-2736-479A-870E-0B04C4345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3077</Words>
  <Characters>17543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Government Response - Treasury Laws Amendment (Financial Market Infrastructure and Other Measures) Bill 2024</vt:lpstr>
    </vt:vector>
  </TitlesOfParts>
  <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Government Response – Treasury Laws Amendment (Financial Market Infrastructure and Other Measures) Bill 2024</dc:title>
  <dc:subject/>
  <dc:creator>Australian Government</dc:creator>
  <cp:keywords/>
  <dc:description/>
  <cp:lastModifiedBy/>
  <cp:revision>1</cp:revision>
  <dcterms:created xsi:type="dcterms:W3CDTF">2026-07-09T03:17:00Z</dcterms:created>
  <dcterms:modified xsi:type="dcterms:W3CDTF">2026-07-09T03:22:00Z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2026-07-09T03:22:10Z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a4954a5f-3353-4153-9323-19a8bede08d3</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