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CDD4" w14:textId="7874865A" w:rsidR="008672BC" w:rsidRPr="00633E18" w:rsidRDefault="005E2762" w:rsidP="005E2762">
      <w:pPr>
        <w:pStyle w:val="Factsheettitle"/>
        <w:rPr>
          <w:rFonts w:asciiTheme="majorHAnsi" w:hAnsiTheme="majorHAnsi" w:cstheme="majorHAnsi"/>
          <w:b w:val="0"/>
          <w:bCs/>
          <w:sz w:val="52"/>
          <w:szCs w:val="72"/>
        </w:rPr>
      </w:pPr>
      <w:r w:rsidRPr="00633E18">
        <w:rPr>
          <w:rFonts w:asciiTheme="majorHAnsi" w:hAnsiTheme="majorHAnsi" w:cstheme="majorHAnsi"/>
          <w:b w:val="0"/>
          <w:bCs/>
          <w:sz w:val="52"/>
          <w:szCs w:val="72"/>
        </w:rPr>
        <w:t>Treasury Response to the Review of the Australian Office of Financial Management</w:t>
      </w:r>
    </w:p>
    <w:tbl>
      <w:tblPr>
        <w:tblStyle w:val="TableGrid11"/>
        <w:tblW w:w="0" w:type="auto"/>
        <w:tblCellMar>
          <w:top w:w="108" w:type="dxa"/>
          <w:bottom w:w="108" w:type="dxa"/>
        </w:tblCellMar>
        <w:tblLook w:val="04A0" w:firstRow="1" w:lastRow="0" w:firstColumn="1" w:lastColumn="0" w:noHBand="0" w:noVBand="1"/>
      </w:tblPr>
      <w:tblGrid>
        <w:gridCol w:w="4272"/>
        <w:gridCol w:w="4222"/>
      </w:tblGrid>
      <w:tr w:rsidR="005E2762" w:rsidRPr="005E2762" w14:paraId="1AA418C3" w14:textId="77777777" w:rsidTr="00907A0A">
        <w:tc>
          <w:tcPr>
            <w:tcW w:w="4900" w:type="dxa"/>
          </w:tcPr>
          <w:p w14:paraId="75ABD2ED" w14:textId="77777777" w:rsidR="005E2762" w:rsidRPr="005E2762" w:rsidRDefault="005E2762" w:rsidP="005E2762">
            <w:pPr>
              <w:rPr>
                <w:b/>
                <w:bCs/>
              </w:rPr>
            </w:pPr>
            <w:r w:rsidRPr="005E2762">
              <w:rPr>
                <w:b/>
                <w:bCs/>
              </w:rPr>
              <w:t>Recommendation</w:t>
            </w:r>
          </w:p>
        </w:tc>
        <w:tc>
          <w:tcPr>
            <w:tcW w:w="4900" w:type="dxa"/>
          </w:tcPr>
          <w:p w14:paraId="5BC7CA2D" w14:textId="74D17C69" w:rsidR="005E2762" w:rsidRPr="005E2762" w:rsidRDefault="005E2762" w:rsidP="005E2762">
            <w:pPr>
              <w:rPr>
                <w:b/>
                <w:bCs/>
              </w:rPr>
            </w:pPr>
            <w:r w:rsidRPr="005E2762">
              <w:rPr>
                <w:b/>
                <w:bCs/>
              </w:rPr>
              <w:t>Treasury Response</w:t>
            </w:r>
          </w:p>
        </w:tc>
      </w:tr>
      <w:tr w:rsidR="005E2762" w:rsidRPr="005E2762" w14:paraId="48341E6F" w14:textId="77777777" w:rsidTr="00907A0A">
        <w:tc>
          <w:tcPr>
            <w:tcW w:w="4900" w:type="dxa"/>
          </w:tcPr>
          <w:p w14:paraId="2456A059" w14:textId="77777777" w:rsidR="005E2762" w:rsidRPr="005E2762" w:rsidRDefault="005E2762" w:rsidP="005E2762">
            <w:r w:rsidRPr="005E2762">
              <w:t>The AOFM should increase its organisational capacity to ensure appropriate challenge to the debt strategy as well as bolster capability in times of heightened financial stress. The Review suggests this could be done through establishing a separate strategy research function led by an externally sourced senior official.</w:t>
            </w:r>
          </w:p>
        </w:tc>
        <w:tc>
          <w:tcPr>
            <w:tcW w:w="4900" w:type="dxa"/>
          </w:tcPr>
          <w:p w14:paraId="2A522FF4" w14:textId="77777777" w:rsidR="005E2762" w:rsidRPr="005E2762" w:rsidRDefault="005E2762" w:rsidP="005E2762">
            <w:pPr>
              <w:rPr>
                <w:b/>
                <w:bCs/>
              </w:rPr>
            </w:pPr>
            <w:r w:rsidRPr="005E2762">
              <w:rPr>
                <w:b/>
                <w:bCs/>
              </w:rPr>
              <w:t>Agree</w:t>
            </w:r>
          </w:p>
          <w:p w14:paraId="2E067145" w14:textId="77777777" w:rsidR="005E2762" w:rsidRPr="005E2762" w:rsidRDefault="005E2762" w:rsidP="005E2762">
            <w:r w:rsidRPr="005E2762">
              <w:t>The AOFM will use its upcoming Strategic Workforce Plan to support internal contestability and bolster AOFM’s capability and capacity in times of high financial stress.</w:t>
            </w:r>
          </w:p>
        </w:tc>
      </w:tr>
      <w:tr w:rsidR="005E2762" w:rsidRPr="005E2762" w14:paraId="2901DA21" w14:textId="77777777" w:rsidTr="00907A0A">
        <w:tc>
          <w:tcPr>
            <w:tcW w:w="4900" w:type="dxa"/>
          </w:tcPr>
          <w:p w14:paraId="12807546" w14:textId="77777777" w:rsidR="005E2762" w:rsidRPr="005E2762" w:rsidRDefault="005E2762" w:rsidP="005E2762">
            <w:r w:rsidRPr="005E2762">
              <w:t xml:space="preserve">The Advisory Board’s remit should be expanded to advise on all aspects of the AOFM’s operations that bear on the debt program, including the Financial Risk Management Policy. The Advisory Board should participate in the formulation of the Debt Management Strategy much earlier in the process to help shape it, noting that the Treasury Secretary would continue to provide final approval of the Strategy. </w:t>
            </w:r>
          </w:p>
        </w:tc>
        <w:tc>
          <w:tcPr>
            <w:tcW w:w="4900" w:type="dxa"/>
          </w:tcPr>
          <w:p w14:paraId="651FB5F3" w14:textId="77777777" w:rsidR="005E2762" w:rsidRPr="005E2762" w:rsidRDefault="005E2762" w:rsidP="005E2762">
            <w:pPr>
              <w:rPr>
                <w:b/>
                <w:bCs/>
              </w:rPr>
            </w:pPr>
            <w:r w:rsidRPr="005E2762">
              <w:rPr>
                <w:b/>
                <w:bCs/>
              </w:rPr>
              <w:t>Agree</w:t>
            </w:r>
          </w:p>
          <w:p w14:paraId="0C941BF9" w14:textId="1CDB692C" w:rsidR="005E2762" w:rsidRPr="005E2762" w:rsidRDefault="005E2762" w:rsidP="005E2762">
            <w:r w:rsidRPr="005E2762">
              <w:t xml:space="preserve">Treasury </w:t>
            </w:r>
            <w:r w:rsidR="00707330">
              <w:t>has expanded the remit of</w:t>
            </w:r>
            <w:r w:rsidRPr="005E2762">
              <w:t xml:space="preserve"> the AOFM Advisory Board, to improve its effectiveness in advising on the AOFM’s debt program.</w:t>
            </w:r>
          </w:p>
        </w:tc>
      </w:tr>
      <w:tr w:rsidR="005E2762" w:rsidRPr="005E2762" w14:paraId="1060703F" w14:textId="77777777" w:rsidTr="00907A0A">
        <w:tc>
          <w:tcPr>
            <w:tcW w:w="4900" w:type="dxa"/>
          </w:tcPr>
          <w:p w14:paraId="4719E015" w14:textId="77777777" w:rsidR="005E2762" w:rsidRPr="005E2762" w:rsidRDefault="005E2762" w:rsidP="005E2762">
            <w:r w:rsidRPr="005E2762">
              <w:t>The AOFM should amend its Financial Risk Management Policy (FRMP) to include a requirement that departures from the agreed Weighted Average Maturity target be explained and justified to the Advisory Board, and in particular be approved by the Treasury Secretary.</w:t>
            </w:r>
          </w:p>
        </w:tc>
        <w:tc>
          <w:tcPr>
            <w:tcW w:w="4900" w:type="dxa"/>
          </w:tcPr>
          <w:p w14:paraId="46B65308" w14:textId="77777777" w:rsidR="005E2762" w:rsidRPr="005E2762" w:rsidRDefault="005E2762" w:rsidP="005E2762">
            <w:pPr>
              <w:rPr>
                <w:b/>
                <w:bCs/>
              </w:rPr>
            </w:pPr>
            <w:r w:rsidRPr="005E2762">
              <w:rPr>
                <w:b/>
                <w:bCs/>
              </w:rPr>
              <w:t>Agree</w:t>
            </w:r>
          </w:p>
          <w:p w14:paraId="5B9C25BB" w14:textId="194CFA7D" w:rsidR="005E2762" w:rsidRPr="005E2762" w:rsidRDefault="00890AC1" w:rsidP="005E2762">
            <w:r w:rsidRPr="00890AC1">
              <w:t>The FRMP will be amended to require Treasury Secretary approval for any departure from the agreed Weighted Average Maturity target for the year. Such departures may also be referred to the Advisory Board for consideration, where appropriate.</w:t>
            </w:r>
          </w:p>
        </w:tc>
      </w:tr>
      <w:tr w:rsidR="005E2762" w:rsidRPr="005E2762" w14:paraId="2B174153" w14:textId="77777777" w:rsidTr="00F80CCE">
        <w:trPr>
          <w:cantSplit/>
        </w:trPr>
        <w:tc>
          <w:tcPr>
            <w:tcW w:w="4900" w:type="dxa"/>
          </w:tcPr>
          <w:p w14:paraId="5EBED748" w14:textId="77777777" w:rsidR="005E2762" w:rsidRPr="005E2762" w:rsidRDefault="005E2762" w:rsidP="005E2762">
            <w:r w:rsidRPr="005E2762">
              <w:lastRenderedPageBreak/>
              <w:t>The AOFM should reinstate the formal quarterly Portfolio Strategy meetings at the earliest possible opportunity.</w:t>
            </w:r>
          </w:p>
        </w:tc>
        <w:tc>
          <w:tcPr>
            <w:tcW w:w="4900" w:type="dxa"/>
          </w:tcPr>
          <w:p w14:paraId="5A55E069" w14:textId="77777777" w:rsidR="005E2762" w:rsidRPr="005E2762" w:rsidRDefault="005E2762" w:rsidP="005E2762">
            <w:pPr>
              <w:rPr>
                <w:b/>
                <w:bCs/>
              </w:rPr>
            </w:pPr>
            <w:r w:rsidRPr="005E2762">
              <w:rPr>
                <w:b/>
                <w:bCs/>
              </w:rPr>
              <w:t>Agree</w:t>
            </w:r>
          </w:p>
          <w:p w14:paraId="2B8F14A1" w14:textId="77777777" w:rsidR="005E2762" w:rsidRPr="005E2762" w:rsidRDefault="005E2762" w:rsidP="005E2762">
            <w:r w:rsidRPr="005E2762">
              <w:t>AOFM have recommenced the Portfolio Strategy meetings.</w:t>
            </w:r>
          </w:p>
        </w:tc>
      </w:tr>
      <w:tr w:rsidR="005E2762" w:rsidRPr="005E2762" w14:paraId="0603A40A" w14:textId="77777777" w:rsidTr="00907A0A">
        <w:tc>
          <w:tcPr>
            <w:tcW w:w="4900" w:type="dxa"/>
          </w:tcPr>
          <w:p w14:paraId="3631E904" w14:textId="77777777" w:rsidR="005E2762" w:rsidRPr="005E2762" w:rsidRDefault="005E2762" w:rsidP="005E2762">
            <w:r w:rsidRPr="005E2762">
              <w:t xml:space="preserve">The AOFM should consider having a lower liquidity buffer. </w:t>
            </w:r>
          </w:p>
        </w:tc>
        <w:tc>
          <w:tcPr>
            <w:tcW w:w="4900" w:type="dxa"/>
          </w:tcPr>
          <w:p w14:paraId="33C50C74" w14:textId="77777777" w:rsidR="005E2762" w:rsidRPr="005E2762" w:rsidRDefault="005E2762" w:rsidP="005E2762">
            <w:pPr>
              <w:rPr>
                <w:b/>
                <w:bCs/>
              </w:rPr>
            </w:pPr>
            <w:r w:rsidRPr="005E2762">
              <w:rPr>
                <w:b/>
                <w:bCs/>
              </w:rPr>
              <w:t>Agree</w:t>
            </w:r>
          </w:p>
          <w:p w14:paraId="297B9B5A" w14:textId="77777777" w:rsidR="005E2762" w:rsidRPr="005E2762" w:rsidRDefault="005E2762" w:rsidP="005E2762">
            <w:r w:rsidRPr="005E2762">
              <w:t xml:space="preserve">The liquidity buffer is a key component of the AOFM’s annual Liquidity Management Strategy (LMS). The appropriate level of the buffer is regularly considered by the AOFM Advisory Board and approved by the Treasury Secretary as part of the LMS. The liquidity buffer was considered while formulating the 2026-27 LMS. Material changes to the issuance program from revisions to the LMS will be clearly communicated to the market. </w:t>
            </w:r>
          </w:p>
        </w:tc>
      </w:tr>
      <w:tr w:rsidR="005E2762" w:rsidRPr="005E2762" w14:paraId="49F7BF2A" w14:textId="77777777" w:rsidTr="00907A0A">
        <w:tc>
          <w:tcPr>
            <w:tcW w:w="4900" w:type="dxa"/>
          </w:tcPr>
          <w:p w14:paraId="54B8CD07" w14:textId="77777777" w:rsidR="005E2762" w:rsidRPr="005E2762" w:rsidRDefault="005E2762" w:rsidP="005E2762">
            <w:r w:rsidRPr="005E2762">
              <w:t>The AOFM should continue its indexed bond program.</w:t>
            </w:r>
          </w:p>
        </w:tc>
        <w:tc>
          <w:tcPr>
            <w:tcW w:w="4900" w:type="dxa"/>
          </w:tcPr>
          <w:p w14:paraId="509E64A0" w14:textId="77777777" w:rsidR="005E2762" w:rsidRPr="005E2762" w:rsidRDefault="005E2762" w:rsidP="005E2762">
            <w:pPr>
              <w:rPr>
                <w:b/>
                <w:bCs/>
              </w:rPr>
            </w:pPr>
            <w:r w:rsidRPr="005E2762">
              <w:rPr>
                <w:b/>
                <w:bCs/>
              </w:rPr>
              <w:t>Agree</w:t>
            </w:r>
          </w:p>
          <w:p w14:paraId="67873B38" w14:textId="77777777" w:rsidR="005E2762" w:rsidRPr="005E2762" w:rsidRDefault="005E2762" w:rsidP="005E2762">
            <w:r w:rsidRPr="005E2762">
              <w:t>There continues to be an established market for Treasury Indexed Bonds.</w:t>
            </w:r>
          </w:p>
        </w:tc>
      </w:tr>
    </w:tbl>
    <w:p w14:paraId="16001DB4" w14:textId="77777777" w:rsidR="005E2762" w:rsidRDefault="005E2762" w:rsidP="005E2762"/>
    <w:p w14:paraId="735D10DC" w14:textId="5B88465C" w:rsidR="005E2762" w:rsidRPr="005E2762" w:rsidRDefault="005E2762" w:rsidP="005E2762">
      <w:r w:rsidRPr="005E2762">
        <w:t>The AOFM will also work with Treasury to consider, and where appropriate address, the improvement opportunities identified in the Review.</w:t>
      </w:r>
    </w:p>
    <w:sectPr w:rsidR="005E2762" w:rsidRPr="005E2762" w:rsidSect="00B30D3E">
      <w:headerReference w:type="default" r:id="rId7"/>
      <w:footerReference w:type="default" r:id="rId8"/>
      <w:headerReference w:type="first" r:id="rId9"/>
      <w:footerReference w:type="first" r:id="rId10"/>
      <w:pgSz w:w="11906" w:h="16838" w:code="9"/>
      <w:pgMar w:top="1701" w:right="1701" w:bottom="1021" w:left="1701" w:header="567" w:footer="249"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3EE07" w14:textId="77777777" w:rsidR="00ED5714" w:rsidRDefault="00ED5714" w:rsidP="00886BC4">
      <w:r>
        <w:separator/>
      </w:r>
    </w:p>
    <w:p w14:paraId="0D2F7064" w14:textId="77777777" w:rsidR="00ED5714" w:rsidRDefault="00ED5714"/>
  </w:endnote>
  <w:endnote w:type="continuationSeparator" w:id="0">
    <w:p w14:paraId="01C6E0A1" w14:textId="77777777" w:rsidR="00ED5714" w:rsidRDefault="00ED5714" w:rsidP="00886BC4">
      <w:r>
        <w:continuationSeparator/>
      </w:r>
    </w:p>
    <w:p w14:paraId="45A43FA7" w14:textId="77777777" w:rsidR="00ED5714" w:rsidRDefault="00ED5714"/>
  </w:endnote>
  <w:endnote w:type="continuationNotice" w:id="1">
    <w:p w14:paraId="095052C2" w14:textId="77777777" w:rsidR="00ED5714" w:rsidRDefault="00ED5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96EF" w14:textId="4C88CF15" w:rsidR="00A15DB7" w:rsidRPr="00E81A92" w:rsidRDefault="00E81A92" w:rsidP="007B06BE">
    <w:pPr>
      <w:pStyle w:val="Footer"/>
      <w:tabs>
        <w:tab w:val="clear" w:pos="4320"/>
        <w:tab w:val="center" w:pos="0"/>
      </w:tabs>
      <w:jc w:val="right"/>
    </w:pPr>
    <w:r w:rsidRPr="00AC3B66">
      <w:rPr>
        <w:noProof/>
        <w:position w:val="-10"/>
      </w:rPr>
      <w:drawing>
        <wp:inline distT="0" distB="0" distL="0" distR="0" wp14:anchorId="426CC773" wp14:editId="622C50A8">
          <wp:extent cx="1324800" cy="201600"/>
          <wp:effectExtent l="0" t="0" r="0" b="8255"/>
          <wp:docPr id="1609895721" name="Picture 16098957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sidR="00633E18">
      <w:fldChar w:fldCharType="begin"/>
    </w:r>
    <w:r w:rsidR="00633E18">
      <w:instrText xml:space="preserve"> SAVEDATE  \@ "d MMMM yyyy"  \* MERGEFORMAT </w:instrText>
    </w:r>
    <w:r w:rsidR="00633E18">
      <w:fldChar w:fldCharType="separate"/>
    </w:r>
    <w:r w:rsidR="004039D0">
      <w:rPr>
        <w:noProof/>
      </w:rPr>
      <w:t>9 July 2026</w:t>
    </w:r>
    <w:r w:rsidR="00633E18">
      <w:fldChar w:fldCharType="end"/>
    </w:r>
    <w:r w:rsidR="00633E18">
      <w:t xml:space="preserve"> </w:t>
    </w:r>
    <w:r>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BA7B" w14:textId="4ABA3608" w:rsidR="00300C95" w:rsidRPr="00E81A92" w:rsidRDefault="00E81A92" w:rsidP="00BA123B">
    <w:pPr>
      <w:pStyle w:val="Footer"/>
      <w:tabs>
        <w:tab w:val="clear" w:pos="4320"/>
        <w:tab w:val="clear" w:pos="8640"/>
        <w:tab w:val="center" w:pos="7938"/>
      </w:tabs>
      <w:jc w:val="right"/>
    </w:pPr>
    <w:r w:rsidRPr="00AC3B66">
      <w:rPr>
        <w:noProof/>
        <w:position w:val="-10"/>
      </w:rPr>
      <w:drawing>
        <wp:inline distT="0" distB="0" distL="0" distR="0" wp14:anchorId="3841D37F" wp14:editId="505B9018">
          <wp:extent cx="1324800" cy="201600"/>
          <wp:effectExtent l="0" t="0" r="0" b="8255"/>
          <wp:docPr id="1383380980" name="Picture 13833809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sidR="00166A45">
      <w:fldChar w:fldCharType="begin"/>
    </w:r>
    <w:r w:rsidR="00166A45">
      <w:instrText xml:space="preserve"> SAVEDATE  \@ "d MMMM yyyy"  \* MERGEFORMAT </w:instrText>
    </w:r>
    <w:r w:rsidR="00166A45">
      <w:fldChar w:fldCharType="separate"/>
    </w:r>
    <w:r w:rsidR="004039D0">
      <w:rPr>
        <w:noProof/>
      </w:rPr>
      <w:t>9 July 2026</w:t>
    </w:r>
    <w:r w:rsidR="00166A45">
      <w:fldChar w:fldCharType="end"/>
    </w:r>
    <w:r w:rsidR="00460A07">
      <w:t xml:space="preserve"> </w:t>
    </w:r>
    <w:r>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EDBAA" w14:textId="77777777" w:rsidR="00ED5714" w:rsidRDefault="00ED5714" w:rsidP="00886BC4">
      <w:r>
        <w:separator/>
      </w:r>
    </w:p>
    <w:p w14:paraId="420DD6D5" w14:textId="77777777" w:rsidR="00ED5714" w:rsidRDefault="00ED5714"/>
  </w:footnote>
  <w:footnote w:type="continuationSeparator" w:id="0">
    <w:p w14:paraId="5EFE7B2B" w14:textId="77777777" w:rsidR="00ED5714" w:rsidRDefault="00ED5714" w:rsidP="00886BC4">
      <w:r>
        <w:continuationSeparator/>
      </w:r>
    </w:p>
    <w:p w14:paraId="63C800C1" w14:textId="77777777" w:rsidR="00ED5714" w:rsidRDefault="00ED5714"/>
  </w:footnote>
  <w:footnote w:type="continuationNotice" w:id="1">
    <w:p w14:paraId="2CE61057" w14:textId="77777777" w:rsidR="00ED5714" w:rsidRDefault="00ED57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F79F" w14:textId="5C397AB9" w:rsidR="006D3EE7" w:rsidRPr="00B05048" w:rsidRDefault="00FC2E34" w:rsidP="00B05048">
    <w:pPr>
      <w:pStyle w:val="Header"/>
    </w:pPr>
    <w:r>
      <w:rPr>
        <w:noProof/>
      </w:rPr>
      <w:drawing>
        <wp:anchor distT="0" distB="0" distL="114300" distR="114300" simplePos="0" relativeHeight="251673603" behindDoc="1" locked="0" layoutInCell="1" allowOverlap="1" wp14:anchorId="5B5326B1" wp14:editId="20003137">
          <wp:simplePos x="0" y="0"/>
          <wp:positionH relativeFrom="margin">
            <wp:posOffset>-1100455</wp:posOffset>
          </wp:positionH>
          <wp:positionV relativeFrom="page">
            <wp:posOffset>9525</wp:posOffset>
          </wp:positionV>
          <wp:extent cx="7599600" cy="1047600"/>
          <wp:effectExtent l="0" t="0" r="1905" b="635"/>
          <wp:wrapNone/>
          <wp:docPr id="567247026" name="Picture 5672470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fldSimple w:instr=" STYLEREF  &quot;Fact sheet title&quot;  \* MERGEFORMAT ">
      <w:r w:rsidR="004039D0">
        <w:rPr>
          <w:noProof/>
        </w:rPr>
        <w:t>Treasury Response to the Review of the Australian Office of Financial Management</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242F" w14:textId="77777777" w:rsidR="00436B1F" w:rsidRDefault="00300C95">
    <w:pPr>
      <w:pStyle w:val="Header"/>
    </w:pPr>
    <w:r>
      <w:rPr>
        <w:noProof/>
      </w:rPr>
      <w:drawing>
        <wp:anchor distT="0" distB="0" distL="114300" distR="114300" simplePos="0" relativeHeight="251674627" behindDoc="1" locked="0" layoutInCell="1" allowOverlap="0" wp14:anchorId="591F1A9E" wp14:editId="194CF438">
          <wp:simplePos x="0" y="0"/>
          <wp:positionH relativeFrom="margin">
            <wp:align>center</wp:align>
          </wp:positionH>
          <wp:positionV relativeFrom="page">
            <wp:align>top</wp:align>
          </wp:positionV>
          <wp:extent cx="7599600" cy="1519200"/>
          <wp:effectExtent l="0" t="0" r="1905" b="5080"/>
          <wp:wrapNone/>
          <wp:docPr id="1761227704" name="Picture 17612277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7B55B3"/>
    <w:multiLevelType w:val="hybridMultilevel"/>
    <w:tmpl w:val="9E5CAD34"/>
    <w:lvl w:ilvl="0" w:tplc="73E21C80">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2938207">
    <w:abstractNumId w:val="2"/>
  </w:num>
  <w:num w:numId="2" w16cid:durableId="96337980">
    <w:abstractNumId w:val="8"/>
  </w:num>
  <w:num w:numId="3" w16cid:durableId="1889341095">
    <w:abstractNumId w:val="6"/>
  </w:num>
  <w:num w:numId="4" w16cid:durableId="216212289">
    <w:abstractNumId w:val="7"/>
  </w:num>
  <w:num w:numId="5" w16cid:durableId="2008171716">
    <w:abstractNumId w:val="4"/>
  </w:num>
  <w:num w:numId="6" w16cid:durableId="1880582053">
    <w:abstractNumId w:val="0"/>
  </w:num>
  <w:num w:numId="7" w16cid:durableId="1278635914">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10306">
    <w:abstractNumId w:val="1"/>
  </w:num>
  <w:num w:numId="9" w16cid:durableId="690108307">
    <w:abstractNumId w:val="5"/>
  </w:num>
  <w:num w:numId="10" w16cid:durableId="74187826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5E2762"/>
    <w:rsid w:val="00016670"/>
    <w:rsid w:val="00016B6C"/>
    <w:rsid w:val="0002151A"/>
    <w:rsid w:val="00033942"/>
    <w:rsid w:val="000421F9"/>
    <w:rsid w:val="00045BAF"/>
    <w:rsid w:val="00045C24"/>
    <w:rsid w:val="00060C76"/>
    <w:rsid w:val="00067E65"/>
    <w:rsid w:val="000753CE"/>
    <w:rsid w:val="000A4D2D"/>
    <w:rsid w:val="000B19F5"/>
    <w:rsid w:val="000B1EC3"/>
    <w:rsid w:val="000B3C90"/>
    <w:rsid w:val="000C02C9"/>
    <w:rsid w:val="000D33F2"/>
    <w:rsid w:val="000D6F01"/>
    <w:rsid w:val="000D7D2F"/>
    <w:rsid w:val="000E324C"/>
    <w:rsid w:val="000F2493"/>
    <w:rsid w:val="000F2562"/>
    <w:rsid w:val="000F33C9"/>
    <w:rsid w:val="00102238"/>
    <w:rsid w:val="00105EBE"/>
    <w:rsid w:val="001145FD"/>
    <w:rsid w:val="00115B2E"/>
    <w:rsid w:val="0011628E"/>
    <w:rsid w:val="001363E7"/>
    <w:rsid w:val="001376CC"/>
    <w:rsid w:val="00140697"/>
    <w:rsid w:val="0014178A"/>
    <w:rsid w:val="00144B84"/>
    <w:rsid w:val="00166A45"/>
    <w:rsid w:val="00174954"/>
    <w:rsid w:val="00182E9E"/>
    <w:rsid w:val="00183F40"/>
    <w:rsid w:val="00190D7B"/>
    <w:rsid w:val="00190D82"/>
    <w:rsid w:val="00192367"/>
    <w:rsid w:val="001929D8"/>
    <w:rsid w:val="00193AC4"/>
    <w:rsid w:val="00197414"/>
    <w:rsid w:val="001A5155"/>
    <w:rsid w:val="001A5DCC"/>
    <w:rsid w:val="001B3A29"/>
    <w:rsid w:val="001B540E"/>
    <w:rsid w:val="001C5117"/>
    <w:rsid w:val="001C78AE"/>
    <w:rsid w:val="001D45A4"/>
    <w:rsid w:val="001E5623"/>
    <w:rsid w:val="001E6DC2"/>
    <w:rsid w:val="001E7840"/>
    <w:rsid w:val="001E7CF5"/>
    <w:rsid w:val="001F50DA"/>
    <w:rsid w:val="00203245"/>
    <w:rsid w:val="00205F44"/>
    <w:rsid w:val="002105F8"/>
    <w:rsid w:val="00215EE7"/>
    <w:rsid w:val="00223D87"/>
    <w:rsid w:val="002268AB"/>
    <w:rsid w:val="00226F00"/>
    <w:rsid w:val="0022749C"/>
    <w:rsid w:val="00227C77"/>
    <w:rsid w:val="00227FE0"/>
    <w:rsid w:val="00232446"/>
    <w:rsid w:val="00233887"/>
    <w:rsid w:val="00233A88"/>
    <w:rsid w:val="00241B9A"/>
    <w:rsid w:val="0024226F"/>
    <w:rsid w:val="00245342"/>
    <w:rsid w:val="002462BD"/>
    <w:rsid w:val="00260712"/>
    <w:rsid w:val="00263339"/>
    <w:rsid w:val="00264180"/>
    <w:rsid w:val="002809F6"/>
    <w:rsid w:val="00283303"/>
    <w:rsid w:val="00287F32"/>
    <w:rsid w:val="0029134D"/>
    <w:rsid w:val="002978C8"/>
    <w:rsid w:val="002A0B32"/>
    <w:rsid w:val="002A4B83"/>
    <w:rsid w:val="002A6430"/>
    <w:rsid w:val="002A79C5"/>
    <w:rsid w:val="002B02AC"/>
    <w:rsid w:val="002B4898"/>
    <w:rsid w:val="002C26D9"/>
    <w:rsid w:val="002D49D1"/>
    <w:rsid w:val="002F417B"/>
    <w:rsid w:val="002F6ADC"/>
    <w:rsid w:val="00300C95"/>
    <w:rsid w:val="00303D5D"/>
    <w:rsid w:val="003054A8"/>
    <w:rsid w:val="00306770"/>
    <w:rsid w:val="00307DA3"/>
    <w:rsid w:val="003217A0"/>
    <w:rsid w:val="00327D31"/>
    <w:rsid w:val="003305CA"/>
    <w:rsid w:val="0034064A"/>
    <w:rsid w:val="0034564D"/>
    <w:rsid w:val="00353390"/>
    <w:rsid w:val="00357842"/>
    <w:rsid w:val="00362AEE"/>
    <w:rsid w:val="00372AC1"/>
    <w:rsid w:val="003802F4"/>
    <w:rsid w:val="003831AB"/>
    <w:rsid w:val="00390C06"/>
    <w:rsid w:val="003A63D1"/>
    <w:rsid w:val="003B1315"/>
    <w:rsid w:val="003C047D"/>
    <w:rsid w:val="003C4F86"/>
    <w:rsid w:val="003C789B"/>
    <w:rsid w:val="003E26C5"/>
    <w:rsid w:val="003F2E2F"/>
    <w:rsid w:val="003F424B"/>
    <w:rsid w:val="004039D0"/>
    <w:rsid w:val="00425E05"/>
    <w:rsid w:val="00436B1F"/>
    <w:rsid w:val="00442C7E"/>
    <w:rsid w:val="00450CCE"/>
    <w:rsid w:val="004542B7"/>
    <w:rsid w:val="004546DC"/>
    <w:rsid w:val="00460A07"/>
    <w:rsid w:val="00463D4E"/>
    <w:rsid w:val="00470BA0"/>
    <w:rsid w:val="0047507F"/>
    <w:rsid w:val="00477439"/>
    <w:rsid w:val="00485A3D"/>
    <w:rsid w:val="00486B7C"/>
    <w:rsid w:val="00490C62"/>
    <w:rsid w:val="00496135"/>
    <w:rsid w:val="0049673E"/>
    <w:rsid w:val="00496C34"/>
    <w:rsid w:val="004A2AFD"/>
    <w:rsid w:val="004A37EA"/>
    <w:rsid w:val="004A4424"/>
    <w:rsid w:val="004B08DC"/>
    <w:rsid w:val="004B1F82"/>
    <w:rsid w:val="004B56B0"/>
    <w:rsid w:val="004C5917"/>
    <w:rsid w:val="004C5E48"/>
    <w:rsid w:val="004D0778"/>
    <w:rsid w:val="004D75F6"/>
    <w:rsid w:val="004E424B"/>
    <w:rsid w:val="004E71FE"/>
    <w:rsid w:val="004F24D0"/>
    <w:rsid w:val="00502E10"/>
    <w:rsid w:val="00505009"/>
    <w:rsid w:val="00506080"/>
    <w:rsid w:val="00506BF4"/>
    <w:rsid w:val="00507097"/>
    <w:rsid w:val="0051600D"/>
    <w:rsid w:val="00516FB2"/>
    <w:rsid w:val="005176EF"/>
    <w:rsid w:val="00523917"/>
    <w:rsid w:val="00524DCE"/>
    <w:rsid w:val="00525050"/>
    <w:rsid w:val="0053110F"/>
    <w:rsid w:val="00531BB5"/>
    <w:rsid w:val="00533FEF"/>
    <w:rsid w:val="00535C81"/>
    <w:rsid w:val="00546D8E"/>
    <w:rsid w:val="00546FDD"/>
    <w:rsid w:val="00551340"/>
    <w:rsid w:val="00560106"/>
    <w:rsid w:val="005606FD"/>
    <w:rsid w:val="00565A52"/>
    <w:rsid w:val="00565C2D"/>
    <w:rsid w:val="00566AD8"/>
    <w:rsid w:val="00570B86"/>
    <w:rsid w:val="00570BC7"/>
    <w:rsid w:val="005732EB"/>
    <w:rsid w:val="005803BF"/>
    <w:rsid w:val="00582FAD"/>
    <w:rsid w:val="00585F7E"/>
    <w:rsid w:val="00594ABF"/>
    <w:rsid w:val="005A11E6"/>
    <w:rsid w:val="005A2484"/>
    <w:rsid w:val="005A3A93"/>
    <w:rsid w:val="005A6A61"/>
    <w:rsid w:val="005B0968"/>
    <w:rsid w:val="005B207E"/>
    <w:rsid w:val="005B2484"/>
    <w:rsid w:val="005B3871"/>
    <w:rsid w:val="005B659D"/>
    <w:rsid w:val="005B6B98"/>
    <w:rsid w:val="005C1326"/>
    <w:rsid w:val="005C318D"/>
    <w:rsid w:val="005C3527"/>
    <w:rsid w:val="005C3A3E"/>
    <w:rsid w:val="005C4B02"/>
    <w:rsid w:val="005E2762"/>
    <w:rsid w:val="005E62D6"/>
    <w:rsid w:val="005E7CBF"/>
    <w:rsid w:val="005F0FBF"/>
    <w:rsid w:val="005F1B72"/>
    <w:rsid w:val="006014A0"/>
    <w:rsid w:val="00614971"/>
    <w:rsid w:val="00627218"/>
    <w:rsid w:val="00633E18"/>
    <w:rsid w:val="006355D1"/>
    <w:rsid w:val="00635DD4"/>
    <w:rsid w:val="00637692"/>
    <w:rsid w:val="0064704A"/>
    <w:rsid w:val="006842C8"/>
    <w:rsid w:val="006916AD"/>
    <w:rsid w:val="00694B4F"/>
    <w:rsid w:val="006A118D"/>
    <w:rsid w:val="006A3972"/>
    <w:rsid w:val="006A712D"/>
    <w:rsid w:val="006D27A6"/>
    <w:rsid w:val="006D3EE7"/>
    <w:rsid w:val="006D6960"/>
    <w:rsid w:val="006D7793"/>
    <w:rsid w:val="006E101D"/>
    <w:rsid w:val="006E6F8C"/>
    <w:rsid w:val="006E76BE"/>
    <w:rsid w:val="006F0918"/>
    <w:rsid w:val="006F56A2"/>
    <w:rsid w:val="006F6E04"/>
    <w:rsid w:val="00705AD6"/>
    <w:rsid w:val="00707330"/>
    <w:rsid w:val="00717216"/>
    <w:rsid w:val="00722F56"/>
    <w:rsid w:val="0072403E"/>
    <w:rsid w:val="007343B8"/>
    <w:rsid w:val="007358AF"/>
    <w:rsid w:val="00736715"/>
    <w:rsid w:val="007600FA"/>
    <w:rsid w:val="0076093D"/>
    <w:rsid w:val="00761DA0"/>
    <w:rsid w:val="007622D7"/>
    <w:rsid w:val="00780546"/>
    <w:rsid w:val="007825F2"/>
    <w:rsid w:val="00784A3C"/>
    <w:rsid w:val="00793BD7"/>
    <w:rsid w:val="0079466D"/>
    <w:rsid w:val="007A4195"/>
    <w:rsid w:val="007A6E4D"/>
    <w:rsid w:val="007B06BE"/>
    <w:rsid w:val="007B5613"/>
    <w:rsid w:val="007B6953"/>
    <w:rsid w:val="007B7784"/>
    <w:rsid w:val="007C1094"/>
    <w:rsid w:val="007C3CD0"/>
    <w:rsid w:val="007D4EB7"/>
    <w:rsid w:val="007D6F47"/>
    <w:rsid w:val="007E013D"/>
    <w:rsid w:val="007E0975"/>
    <w:rsid w:val="007E36E4"/>
    <w:rsid w:val="007E5E07"/>
    <w:rsid w:val="007E7046"/>
    <w:rsid w:val="007F49B4"/>
    <w:rsid w:val="007F53C0"/>
    <w:rsid w:val="007F61E3"/>
    <w:rsid w:val="008139FB"/>
    <w:rsid w:val="00817343"/>
    <w:rsid w:val="00831D8A"/>
    <w:rsid w:val="00847719"/>
    <w:rsid w:val="0085189B"/>
    <w:rsid w:val="00854655"/>
    <w:rsid w:val="008616B9"/>
    <w:rsid w:val="008672BC"/>
    <w:rsid w:val="0088159C"/>
    <w:rsid w:val="0088211A"/>
    <w:rsid w:val="008824BE"/>
    <w:rsid w:val="00884F56"/>
    <w:rsid w:val="008854F6"/>
    <w:rsid w:val="00886667"/>
    <w:rsid w:val="00886BC4"/>
    <w:rsid w:val="00890AC1"/>
    <w:rsid w:val="0089630C"/>
    <w:rsid w:val="008972E4"/>
    <w:rsid w:val="008A02F3"/>
    <w:rsid w:val="008A1C1D"/>
    <w:rsid w:val="008A48CA"/>
    <w:rsid w:val="008B2938"/>
    <w:rsid w:val="008B395C"/>
    <w:rsid w:val="008C5773"/>
    <w:rsid w:val="008D0CA6"/>
    <w:rsid w:val="008D4CD0"/>
    <w:rsid w:val="008D5358"/>
    <w:rsid w:val="008E0180"/>
    <w:rsid w:val="008E04BD"/>
    <w:rsid w:val="008E35A5"/>
    <w:rsid w:val="008F0B15"/>
    <w:rsid w:val="008F1AA6"/>
    <w:rsid w:val="008F2212"/>
    <w:rsid w:val="008F73C8"/>
    <w:rsid w:val="008F7E69"/>
    <w:rsid w:val="00903786"/>
    <w:rsid w:val="00903AB2"/>
    <w:rsid w:val="00905F29"/>
    <w:rsid w:val="0090719E"/>
    <w:rsid w:val="009109AA"/>
    <w:rsid w:val="00926879"/>
    <w:rsid w:val="00933C8C"/>
    <w:rsid w:val="009367F6"/>
    <w:rsid w:val="0093741D"/>
    <w:rsid w:val="00942CB3"/>
    <w:rsid w:val="00944174"/>
    <w:rsid w:val="00951652"/>
    <w:rsid w:val="00952F2F"/>
    <w:rsid w:val="00965C4B"/>
    <w:rsid w:val="00967AF8"/>
    <w:rsid w:val="009757BB"/>
    <w:rsid w:val="0098151F"/>
    <w:rsid w:val="00986A46"/>
    <w:rsid w:val="009906A6"/>
    <w:rsid w:val="00992ADC"/>
    <w:rsid w:val="009A6D32"/>
    <w:rsid w:val="009A71C4"/>
    <w:rsid w:val="009B15EC"/>
    <w:rsid w:val="009B1781"/>
    <w:rsid w:val="009B2546"/>
    <w:rsid w:val="009B464D"/>
    <w:rsid w:val="009C1F90"/>
    <w:rsid w:val="009C66A3"/>
    <w:rsid w:val="009D616A"/>
    <w:rsid w:val="009E6061"/>
    <w:rsid w:val="00A01086"/>
    <w:rsid w:val="00A05E57"/>
    <w:rsid w:val="00A1120D"/>
    <w:rsid w:val="00A11235"/>
    <w:rsid w:val="00A13CB3"/>
    <w:rsid w:val="00A13F0D"/>
    <w:rsid w:val="00A15DB7"/>
    <w:rsid w:val="00A17503"/>
    <w:rsid w:val="00A215B3"/>
    <w:rsid w:val="00A23155"/>
    <w:rsid w:val="00A23848"/>
    <w:rsid w:val="00A24D20"/>
    <w:rsid w:val="00A32C4E"/>
    <w:rsid w:val="00A3452B"/>
    <w:rsid w:val="00A46A9A"/>
    <w:rsid w:val="00A50111"/>
    <w:rsid w:val="00A52C22"/>
    <w:rsid w:val="00A60022"/>
    <w:rsid w:val="00A6514E"/>
    <w:rsid w:val="00A83AE2"/>
    <w:rsid w:val="00A8449C"/>
    <w:rsid w:val="00A84C3C"/>
    <w:rsid w:val="00A87F4B"/>
    <w:rsid w:val="00A909A3"/>
    <w:rsid w:val="00A91BD2"/>
    <w:rsid w:val="00A940BE"/>
    <w:rsid w:val="00A96316"/>
    <w:rsid w:val="00A9658A"/>
    <w:rsid w:val="00A970ED"/>
    <w:rsid w:val="00AA3F75"/>
    <w:rsid w:val="00AA553F"/>
    <w:rsid w:val="00AB3D33"/>
    <w:rsid w:val="00AC1B27"/>
    <w:rsid w:val="00AC4C62"/>
    <w:rsid w:val="00AC60D4"/>
    <w:rsid w:val="00AE0C9F"/>
    <w:rsid w:val="00AE3858"/>
    <w:rsid w:val="00AE39EE"/>
    <w:rsid w:val="00AE53E5"/>
    <w:rsid w:val="00B05048"/>
    <w:rsid w:val="00B129C3"/>
    <w:rsid w:val="00B15B56"/>
    <w:rsid w:val="00B24C1C"/>
    <w:rsid w:val="00B30D3E"/>
    <w:rsid w:val="00B32830"/>
    <w:rsid w:val="00B42FAF"/>
    <w:rsid w:val="00B50FEA"/>
    <w:rsid w:val="00B51175"/>
    <w:rsid w:val="00B5397C"/>
    <w:rsid w:val="00B54FA9"/>
    <w:rsid w:val="00B57B0B"/>
    <w:rsid w:val="00B64308"/>
    <w:rsid w:val="00B71F74"/>
    <w:rsid w:val="00B73C23"/>
    <w:rsid w:val="00B771FF"/>
    <w:rsid w:val="00B80EE3"/>
    <w:rsid w:val="00B82C45"/>
    <w:rsid w:val="00B830BC"/>
    <w:rsid w:val="00B84F9B"/>
    <w:rsid w:val="00BA054F"/>
    <w:rsid w:val="00BA123B"/>
    <w:rsid w:val="00BA3721"/>
    <w:rsid w:val="00BA7802"/>
    <w:rsid w:val="00BB059B"/>
    <w:rsid w:val="00BB4B21"/>
    <w:rsid w:val="00BD3C26"/>
    <w:rsid w:val="00BD7EA0"/>
    <w:rsid w:val="00BE2210"/>
    <w:rsid w:val="00BE5AC7"/>
    <w:rsid w:val="00BF3E58"/>
    <w:rsid w:val="00BF4A8E"/>
    <w:rsid w:val="00BF73E4"/>
    <w:rsid w:val="00BF75D8"/>
    <w:rsid w:val="00C0628D"/>
    <w:rsid w:val="00C23C8C"/>
    <w:rsid w:val="00C3042D"/>
    <w:rsid w:val="00C362B7"/>
    <w:rsid w:val="00C3693F"/>
    <w:rsid w:val="00C37A6A"/>
    <w:rsid w:val="00C436B8"/>
    <w:rsid w:val="00C443D7"/>
    <w:rsid w:val="00C620FD"/>
    <w:rsid w:val="00C639E4"/>
    <w:rsid w:val="00C71CED"/>
    <w:rsid w:val="00C75803"/>
    <w:rsid w:val="00C778C6"/>
    <w:rsid w:val="00C80C62"/>
    <w:rsid w:val="00C82A8A"/>
    <w:rsid w:val="00C8634C"/>
    <w:rsid w:val="00CA168B"/>
    <w:rsid w:val="00CA4694"/>
    <w:rsid w:val="00CA7DC9"/>
    <w:rsid w:val="00CB032B"/>
    <w:rsid w:val="00CB0554"/>
    <w:rsid w:val="00CB5877"/>
    <w:rsid w:val="00CC1136"/>
    <w:rsid w:val="00CC5606"/>
    <w:rsid w:val="00CD02A5"/>
    <w:rsid w:val="00CD4695"/>
    <w:rsid w:val="00CD7F0B"/>
    <w:rsid w:val="00CF1EA3"/>
    <w:rsid w:val="00CF28C2"/>
    <w:rsid w:val="00CF5A2D"/>
    <w:rsid w:val="00CF6CE7"/>
    <w:rsid w:val="00D044DC"/>
    <w:rsid w:val="00D05A02"/>
    <w:rsid w:val="00D0725D"/>
    <w:rsid w:val="00D11F38"/>
    <w:rsid w:val="00D11F49"/>
    <w:rsid w:val="00D17467"/>
    <w:rsid w:val="00D2150F"/>
    <w:rsid w:val="00D215DF"/>
    <w:rsid w:val="00D27E83"/>
    <w:rsid w:val="00D33E3B"/>
    <w:rsid w:val="00D40B85"/>
    <w:rsid w:val="00D535AC"/>
    <w:rsid w:val="00D53E7F"/>
    <w:rsid w:val="00D555C7"/>
    <w:rsid w:val="00D566F4"/>
    <w:rsid w:val="00D60855"/>
    <w:rsid w:val="00D621F5"/>
    <w:rsid w:val="00D81F86"/>
    <w:rsid w:val="00D90F0F"/>
    <w:rsid w:val="00DC0743"/>
    <w:rsid w:val="00DC075C"/>
    <w:rsid w:val="00DC6FBB"/>
    <w:rsid w:val="00DD0595"/>
    <w:rsid w:val="00DD5D38"/>
    <w:rsid w:val="00DE05FE"/>
    <w:rsid w:val="00DE5EE8"/>
    <w:rsid w:val="00DE74EC"/>
    <w:rsid w:val="00DF0B01"/>
    <w:rsid w:val="00DF56B6"/>
    <w:rsid w:val="00DF5A46"/>
    <w:rsid w:val="00E10B5B"/>
    <w:rsid w:val="00E11105"/>
    <w:rsid w:val="00E16939"/>
    <w:rsid w:val="00E1766A"/>
    <w:rsid w:val="00E267E6"/>
    <w:rsid w:val="00E34501"/>
    <w:rsid w:val="00E35B8F"/>
    <w:rsid w:val="00E40078"/>
    <w:rsid w:val="00E4461B"/>
    <w:rsid w:val="00E4520C"/>
    <w:rsid w:val="00E546D3"/>
    <w:rsid w:val="00E564C6"/>
    <w:rsid w:val="00E62B01"/>
    <w:rsid w:val="00E64B67"/>
    <w:rsid w:val="00E66443"/>
    <w:rsid w:val="00E669CD"/>
    <w:rsid w:val="00E70A2C"/>
    <w:rsid w:val="00E813BB"/>
    <w:rsid w:val="00E81A92"/>
    <w:rsid w:val="00E83A1D"/>
    <w:rsid w:val="00E847A7"/>
    <w:rsid w:val="00E85FF2"/>
    <w:rsid w:val="00E86CBA"/>
    <w:rsid w:val="00E90E39"/>
    <w:rsid w:val="00E93C25"/>
    <w:rsid w:val="00EA5D8D"/>
    <w:rsid w:val="00EA7A45"/>
    <w:rsid w:val="00EB1557"/>
    <w:rsid w:val="00EC2A56"/>
    <w:rsid w:val="00ED3522"/>
    <w:rsid w:val="00ED5714"/>
    <w:rsid w:val="00EE570F"/>
    <w:rsid w:val="00EE5F89"/>
    <w:rsid w:val="00EE5FA5"/>
    <w:rsid w:val="00EF1B2D"/>
    <w:rsid w:val="00F0196A"/>
    <w:rsid w:val="00F07B2D"/>
    <w:rsid w:val="00F172EE"/>
    <w:rsid w:val="00F22FC2"/>
    <w:rsid w:val="00F248B6"/>
    <w:rsid w:val="00F31637"/>
    <w:rsid w:val="00F33B9F"/>
    <w:rsid w:val="00F41932"/>
    <w:rsid w:val="00F44C22"/>
    <w:rsid w:val="00F4789A"/>
    <w:rsid w:val="00F51C00"/>
    <w:rsid w:val="00F51FDE"/>
    <w:rsid w:val="00F558C5"/>
    <w:rsid w:val="00F57590"/>
    <w:rsid w:val="00F61364"/>
    <w:rsid w:val="00F614C4"/>
    <w:rsid w:val="00F61E2F"/>
    <w:rsid w:val="00F7256C"/>
    <w:rsid w:val="00F75A59"/>
    <w:rsid w:val="00F7650A"/>
    <w:rsid w:val="00F804E0"/>
    <w:rsid w:val="00F80CCE"/>
    <w:rsid w:val="00F85F36"/>
    <w:rsid w:val="00F90901"/>
    <w:rsid w:val="00F95DDF"/>
    <w:rsid w:val="00F96108"/>
    <w:rsid w:val="00FA70A7"/>
    <w:rsid w:val="00FB5337"/>
    <w:rsid w:val="00FB7AEB"/>
    <w:rsid w:val="00FC2874"/>
    <w:rsid w:val="00FC2E34"/>
    <w:rsid w:val="00FD06DF"/>
    <w:rsid w:val="00FD0B4D"/>
    <w:rsid w:val="00FE316C"/>
    <w:rsid w:val="00FF44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9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6BE"/>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CB5877"/>
    <w:pPr>
      <w:keepNext/>
      <w:spacing w:before="620" w:after="240"/>
      <w:outlineLvl w:val="0"/>
    </w:pPr>
    <w:rPr>
      <w:rFonts w:ascii="Calibri" w:hAnsi="Calibri" w:cs="Arial"/>
      <w:color w:val="2C384A" w:themeColor="accent1"/>
      <w:kern w:val="32"/>
      <w:sz w:val="36"/>
      <w:szCs w:val="36"/>
    </w:rPr>
  </w:style>
  <w:style w:type="paragraph" w:styleId="Heading2">
    <w:name w:val="heading 2"/>
    <w:basedOn w:val="Normal"/>
    <w:next w:val="Normal"/>
    <w:link w:val="Heading2Char"/>
    <w:qFormat/>
    <w:rsid w:val="00570BC7"/>
    <w:pPr>
      <w:keepNext/>
      <w:spacing w:before="360"/>
      <w:outlineLvl w:val="1"/>
    </w:pPr>
    <w:rPr>
      <w:rFonts w:ascii="Calibri" w:hAnsi="Calibri" w:cs="Arial"/>
      <w:b/>
      <w:iCs/>
      <w:color w:val="4D7861" w:themeColor="accent2"/>
      <w:kern w:val="32"/>
      <w:sz w:val="32"/>
      <w:szCs w:val="28"/>
    </w:rPr>
  </w:style>
  <w:style w:type="paragraph" w:styleId="Heading3">
    <w:name w:val="heading 3"/>
    <w:basedOn w:val="Normal"/>
    <w:next w:val="Normal"/>
    <w:link w:val="Heading3Char"/>
    <w:qFormat/>
    <w:rsid w:val="00CB5877"/>
    <w:pPr>
      <w:keepNext/>
      <w:spacing w:before="360" w:after="240"/>
      <w:outlineLvl w:val="2"/>
    </w:pPr>
    <w:rPr>
      <w:rFonts w:ascii="Calibri" w:hAnsi="Calibri" w:cs="Arial"/>
      <w:color w:val="4D7861" w:themeColor="accent2"/>
      <w:kern w:val="32"/>
      <w:sz w:val="28"/>
      <w:szCs w:val="26"/>
    </w:rPr>
  </w:style>
  <w:style w:type="paragraph" w:styleId="Heading4">
    <w:name w:val="heading 4"/>
    <w:basedOn w:val="Normal"/>
    <w:next w:val="Normal"/>
    <w:link w:val="Heading4Char"/>
    <w:qFormat/>
    <w:rsid w:val="00570BC7"/>
    <w:pPr>
      <w:keepNext/>
      <w:spacing w:before="320"/>
      <w:outlineLvl w:val="3"/>
    </w:pPr>
    <w:rPr>
      <w:rFonts w:cs="Arial"/>
      <w:color w:val="4D7861" w:themeColor="accent2"/>
      <w:kern w:val="32"/>
      <w:sz w:val="26"/>
      <w:szCs w:val="26"/>
    </w:rPr>
  </w:style>
  <w:style w:type="paragraph" w:styleId="Heading5">
    <w:name w:val="heading 5"/>
    <w:basedOn w:val="Normal"/>
    <w:next w:val="Normal"/>
    <w:link w:val="Heading5Char"/>
    <w:rsid w:val="00570BC7"/>
    <w:pPr>
      <w:keepNext/>
      <w:spacing w:before="320"/>
      <w:outlineLvl w:val="4"/>
    </w:pPr>
    <w:rPr>
      <w:rFonts w:asciiTheme="majorHAnsi" w:hAnsiTheme="majorHAnsi" w:cs="Arial"/>
      <w:b/>
      <w:iCs/>
      <w:color w:val="000000" w:themeColor="text1"/>
      <w:kern w:val="32"/>
      <w:sz w:val="24"/>
      <w:szCs w:val="36"/>
    </w:rPr>
  </w:style>
  <w:style w:type="paragraph" w:styleId="Heading6">
    <w:name w:val="heading 6"/>
    <w:basedOn w:val="Normal"/>
    <w:next w:val="Normal"/>
    <w:link w:val="Heading6Char"/>
    <w:rsid w:val="00227FE0"/>
    <w:pPr>
      <w:keepNext/>
      <w:spacing w:after="0" w:line="276" w:lineRule="auto"/>
      <w:outlineLvl w:val="5"/>
    </w:pPr>
    <w:rPr>
      <w:rFonts w:cs="Arial"/>
      <w:color w:val="000000" w:themeColor="text1"/>
      <w:kern w:val="32"/>
      <w:sz w:val="24"/>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1315"/>
    <w:pPr>
      <w:jc w:val="right"/>
    </w:pPr>
  </w:style>
  <w:style w:type="character" w:customStyle="1" w:styleId="HeaderChar">
    <w:name w:val="Header Char"/>
    <w:basedOn w:val="DefaultParagraphFont"/>
    <w:link w:val="Header"/>
    <w:rsid w:val="003B1315"/>
    <w:rPr>
      <w:rFonts w:ascii="Calibri Light" w:eastAsia="Times New Roman" w:hAnsi="Calibri Light"/>
      <w:sz w:val="22"/>
      <w:lang w:eastAsia="en-AU"/>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character" w:customStyle="1" w:styleId="Heading1Char">
    <w:name w:val="Heading 1 Char"/>
    <w:basedOn w:val="DefaultParagraphFont"/>
    <w:link w:val="Heading1"/>
    <w:rsid w:val="00CB5877"/>
    <w:rPr>
      <w:rFonts w:eastAsia="Times New Roman" w:cs="Arial"/>
      <w:color w:val="2C384A" w:themeColor="accent1"/>
      <w:kern w:val="32"/>
      <w:sz w:val="36"/>
      <w:szCs w:val="36"/>
      <w:lang w:eastAsia="en-AU"/>
    </w:rPr>
  </w:style>
  <w:style w:type="paragraph" w:customStyle="1" w:styleId="Dash">
    <w:name w:val="Dash"/>
    <w:basedOn w:val="Normal"/>
    <w:link w:val="DashChar"/>
    <w:qFormat/>
    <w:rsid w:val="00CA7DC9"/>
    <w:pPr>
      <w:numPr>
        <w:ilvl w:val="1"/>
        <w:numId w:val="9"/>
      </w:numPr>
      <w:tabs>
        <w:tab w:val="clear" w:pos="567"/>
      </w:tabs>
      <w:ind w:left="568"/>
    </w:pPr>
  </w:style>
  <w:style w:type="character" w:customStyle="1" w:styleId="DashChar">
    <w:name w:val="Dash Char"/>
    <w:basedOn w:val="DefaultParagraphFont"/>
    <w:link w:val="Dash"/>
    <w:rsid w:val="00CA7DC9"/>
    <w:rPr>
      <w:rFonts w:ascii="Calibri Light" w:eastAsia="Times New Roman" w:hAnsi="Calibri Light"/>
      <w:sz w:val="22"/>
      <w:lang w:eastAsia="en-AU"/>
    </w:rPr>
  </w:style>
  <w:style w:type="paragraph" w:customStyle="1" w:styleId="DoubleDot">
    <w:name w:val="Double Dot"/>
    <w:basedOn w:val="Normal"/>
    <w:link w:val="DoubleDotChar"/>
    <w:qFormat/>
    <w:rsid w:val="00CA7DC9"/>
    <w:pPr>
      <w:numPr>
        <w:ilvl w:val="2"/>
        <w:numId w:val="9"/>
      </w:numPr>
      <w:tabs>
        <w:tab w:val="clear" w:pos="850"/>
      </w:tabs>
      <w:ind w:left="851" w:hanging="284"/>
    </w:pPr>
  </w:style>
  <w:style w:type="character" w:customStyle="1" w:styleId="DoubleDotChar">
    <w:name w:val="Double Dot Char"/>
    <w:basedOn w:val="DefaultParagraphFont"/>
    <w:link w:val="DoubleDot"/>
    <w:rsid w:val="00CA7DC9"/>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570BC7"/>
    <w:rPr>
      <w:rFonts w:eastAsia="Times New Roman" w:cs="Arial"/>
      <w:b/>
      <w:iCs/>
      <w:color w:val="4D7861" w:themeColor="accent2"/>
      <w:kern w:val="32"/>
      <w:sz w:val="32"/>
      <w:szCs w:val="28"/>
      <w:lang w:eastAsia="en-AU"/>
    </w:rPr>
  </w:style>
  <w:style w:type="character" w:customStyle="1" w:styleId="Heading3Char">
    <w:name w:val="Heading 3 Char"/>
    <w:basedOn w:val="DefaultParagraphFont"/>
    <w:link w:val="Heading3"/>
    <w:rsid w:val="00CB5877"/>
    <w:rPr>
      <w:rFonts w:eastAsia="Times New Roman" w:cs="Arial"/>
      <w:color w:val="4D7861" w:themeColor="accent2"/>
      <w:kern w:val="32"/>
      <w:sz w:val="28"/>
      <w:szCs w:val="26"/>
      <w:lang w:eastAsia="en-AU"/>
    </w:rPr>
  </w:style>
  <w:style w:type="character" w:customStyle="1" w:styleId="Heading4Char">
    <w:name w:val="Heading 4 Char"/>
    <w:basedOn w:val="DefaultParagraphFont"/>
    <w:link w:val="Heading4"/>
    <w:rsid w:val="00570BC7"/>
    <w:rPr>
      <w:rFonts w:ascii="Calibri Light" w:eastAsia="Times New Roman" w:hAnsi="Calibri Light" w:cs="Arial"/>
      <w:color w:val="4D7861" w:themeColor="accent2"/>
      <w:kern w:val="32"/>
      <w:sz w:val="26"/>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570BC7"/>
    <w:rPr>
      <w:rFonts w:asciiTheme="majorHAnsi" w:eastAsia="Times New Roman" w:hAnsiTheme="majorHAnsi" w:cs="Arial"/>
      <w:b/>
      <w:iCs/>
      <w:color w:val="000000" w:themeColor="text1"/>
      <w:kern w:val="32"/>
      <w:sz w:val="24"/>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CA7DC9"/>
    <w:pPr>
      <w:numPr>
        <w:numId w:val="7"/>
      </w:numPr>
      <w:tabs>
        <w:tab w:val="clear" w:pos="520"/>
      </w:tabs>
      <w:ind w:left="284" w:hanging="284"/>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CA7DC9"/>
    <w:rPr>
      <w:rFonts w:ascii="Calibri Light" w:eastAsia="Times New Roman" w:hAnsi="Calibri Light"/>
      <w:sz w:val="22"/>
      <w:lang w:eastAsia="en-AU"/>
    </w:rPr>
  </w:style>
  <w:style w:type="paragraph" w:customStyle="1" w:styleId="Boxbullet">
    <w:name w:val="Box bullet"/>
    <w:basedOn w:val="Bullet"/>
    <w:rsid w:val="00CA7DC9"/>
    <w:rPr>
      <w:color w:val="0D0D0D" w:themeColor="text1" w:themeTint="F2"/>
    </w:rPr>
  </w:style>
  <w:style w:type="paragraph" w:customStyle="1" w:styleId="Boxdash">
    <w:name w:val="Box dash"/>
    <w:basedOn w:val="Dash"/>
    <w:rsid w:val="00CA7DC9"/>
    <w:pPr>
      <w:tabs>
        <w:tab w:val="num" w:pos="1040"/>
      </w:tabs>
    </w:pPr>
    <w:rPr>
      <w:rFonts w:eastAsiaTheme="minorHAnsi"/>
      <w:color w:val="0D0D0D" w:themeColor="text1" w:themeTint="F2"/>
    </w:rPr>
  </w:style>
  <w:style w:type="paragraph" w:customStyle="1" w:styleId="Boxdoubledot">
    <w:name w:val="Box double dot"/>
    <w:basedOn w:val="DoubleDot"/>
    <w:rsid w:val="00CA7DC9"/>
    <w:pPr>
      <w:tabs>
        <w:tab w:val="num" w:pos="1560"/>
      </w:tabs>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227FE0"/>
    <w:rPr>
      <w:rFonts w:ascii="Calibri Light" w:eastAsia="Times New Roman" w:hAnsi="Calibri Light" w:cs="Arial"/>
      <w:color w:val="000000" w:themeColor="text1"/>
      <w:kern w:val="32"/>
      <w:sz w:val="24"/>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table" w:customStyle="1" w:styleId="BlueBox">
    <w:name w:val="Blue Box"/>
    <w:basedOn w:val="TableNormal"/>
    <w:uiPriority w:val="99"/>
    <w:rsid w:val="00E813BB"/>
    <w:tblPr>
      <w:tblCellMar>
        <w:top w:w="227" w:type="dxa"/>
        <w:left w:w="227" w:type="dxa"/>
        <w:bottom w:w="227" w:type="dxa"/>
        <w:right w:w="227" w:type="dxa"/>
      </w:tblCellMar>
    </w:tblPr>
    <w:tcPr>
      <w:shd w:val="clear" w:color="auto" w:fill="F2F9FC"/>
    </w:tcPr>
  </w:style>
  <w:style w:type="paragraph" w:styleId="Title">
    <w:name w:val="Title"/>
    <w:basedOn w:val="Normal"/>
    <w:next w:val="Normal"/>
    <w:link w:val="TitleChar"/>
    <w:rsid w:val="007B06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B06BE"/>
    <w:rPr>
      <w:rFonts w:asciiTheme="majorHAnsi" w:eastAsiaTheme="majorEastAsia" w:hAnsiTheme="majorHAnsi" w:cstheme="majorBidi"/>
      <w:spacing w:val="-10"/>
      <w:kern w:val="28"/>
      <w:sz w:val="56"/>
      <w:szCs w:val="56"/>
      <w:lang w:eastAsia="en-AU"/>
    </w:rPr>
  </w:style>
  <w:style w:type="paragraph" w:customStyle="1" w:styleId="Factsheettitle">
    <w:name w:val="Fact sheet title"/>
    <w:basedOn w:val="Normal"/>
    <w:next w:val="Heading2"/>
    <w:qFormat/>
    <w:rsid w:val="00570BC7"/>
    <w:pPr>
      <w:spacing w:before="1560" w:after="660"/>
    </w:pPr>
    <w:rPr>
      <w:rFonts w:ascii="Calibri" w:hAnsi="Calibri"/>
      <w:b/>
      <w:color w:val="5D779D" w:themeColor="accent3"/>
      <w:spacing w:val="-14"/>
      <w:sz w:val="44"/>
      <w:szCs w:val="54"/>
    </w:rPr>
  </w:style>
  <w:style w:type="table" w:customStyle="1" w:styleId="TableGrid11">
    <w:name w:val="Table Grid11"/>
    <w:basedOn w:val="TableNormal"/>
    <w:next w:val="TableGrid"/>
    <w:uiPriority w:val="39"/>
    <w:rsid w:val="005E2762"/>
    <w:rPr>
      <w:rFonts w:ascii="Times New Roman" w:eastAsia="Times New Roman" w:hAnsi="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2188</Characters>
  <Application>Microsoft Office Word</Application>
  <DocSecurity>0</DocSecurity>
  <Lines>145</Lines>
  <Paragraphs>108</Paragraphs>
  <ScaleCrop>false</ScaleCrop>
  <HeadingPairs>
    <vt:vector size="2" baseType="variant">
      <vt:variant>
        <vt:lpstr>Title</vt:lpstr>
      </vt:variant>
      <vt:variant>
        <vt:i4>1</vt:i4>
      </vt:variant>
    </vt:vector>
  </HeadingPairs>
  <TitlesOfParts>
    <vt:vector size="1" baseType="lpstr">
      <vt:lpstr>Treasury Response to the Review of the Australian Office of Financial Management</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Response to the Review of the Australian Office of Financial Management</dc:title>
  <dc:subject/>
  <dc:creator>Treasury</dc:creator>
  <cp:keywords/>
  <dc:description/>
  <cp:lastModifiedBy/>
  <cp:revision>1</cp:revision>
  <dcterms:created xsi:type="dcterms:W3CDTF">2026-07-09T00:19:00Z</dcterms:created>
  <dcterms:modified xsi:type="dcterms:W3CDTF">2026-07-09T00:20:00Z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2026-07-09T00:20:25Z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59a8adca-0f00-4313-a524-8face8eb9914</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