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F1CE8" w14:textId="2F4D21EE" w:rsidR="003C257A" w:rsidRDefault="003C257A" w:rsidP="003C257A">
      <w:pPr>
        <w:spacing w:after="0" w:line="240" w:lineRule="auto"/>
        <w:jc w:val="center"/>
        <w:rPr>
          <w:b/>
          <w:bCs/>
          <w:color w:val="80340D" w:themeColor="accent2" w:themeShade="80"/>
          <w:sz w:val="48"/>
          <w:szCs w:val="48"/>
        </w:rPr>
      </w:pPr>
      <w:r>
        <w:rPr>
          <w:b/>
          <w:bCs/>
          <w:noProof/>
          <w:color w:val="80340D" w:themeColor="accent2" w:themeShade="80"/>
          <w:sz w:val="48"/>
          <w:szCs w:val="48"/>
        </w:rPr>
        <w:drawing>
          <wp:anchor distT="0" distB="0" distL="114300" distR="114300" simplePos="0" relativeHeight="251658245" behindDoc="0" locked="0" layoutInCell="1" allowOverlap="1" wp14:anchorId="5F039C9F" wp14:editId="3D1B717E">
            <wp:simplePos x="0" y="0"/>
            <wp:positionH relativeFrom="margin">
              <wp:align>left</wp:align>
            </wp:positionH>
            <wp:positionV relativeFrom="paragraph">
              <wp:posOffset>289</wp:posOffset>
            </wp:positionV>
            <wp:extent cx="1785620" cy="753745"/>
            <wp:effectExtent l="0" t="0" r="5080" b="8255"/>
            <wp:wrapTopAndBottom/>
            <wp:docPr id="11584418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3374" r="11740" b="22874"/>
                    <a:stretch>
                      <a:fillRect/>
                    </a:stretch>
                  </pic:blipFill>
                  <pic:spPr bwMode="auto">
                    <a:xfrm>
                      <a:off x="0" y="0"/>
                      <a:ext cx="1785620" cy="753745"/>
                    </a:xfrm>
                    <a:prstGeom prst="rect">
                      <a:avLst/>
                    </a:prstGeom>
                    <a:noFill/>
                    <a:ln>
                      <a:noFill/>
                    </a:ln>
                    <a:extLst>
                      <a:ext uri="{53640926-AAD7-44D8-BBD7-CCE9431645EC}">
                        <a14:shadowObscured xmlns:a14="http://schemas.microsoft.com/office/drawing/2010/main"/>
                      </a:ext>
                    </a:extLst>
                  </pic:spPr>
                </pic:pic>
              </a:graphicData>
            </a:graphic>
          </wp:anchor>
        </w:drawing>
      </w:r>
      <w:r w:rsidRPr="00EA173E">
        <w:rPr>
          <w:b/>
          <w:bCs/>
          <w:noProof/>
          <w:color w:val="80340D" w:themeColor="accent2" w:themeShade="80"/>
          <w:sz w:val="48"/>
          <w:szCs w:val="48"/>
        </w:rPr>
        <w:drawing>
          <wp:anchor distT="0" distB="0" distL="114300" distR="114300" simplePos="0" relativeHeight="251658244" behindDoc="0" locked="0" layoutInCell="1" allowOverlap="1" wp14:anchorId="7FEEBF2E" wp14:editId="05294CF0">
            <wp:simplePos x="0" y="0"/>
            <wp:positionH relativeFrom="column">
              <wp:posOffset>3463000</wp:posOffset>
            </wp:positionH>
            <wp:positionV relativeFrom="paragraph">
              <wp:posOffset>594</wp:posOffset>
            </wp:positionV>
            <wp:extent cx="3359323" cy="933498"/>
            <wp:effectExtent l="0" t="0" r="0" b="0"/>
            <wp:wrapTopAndBottom/>
            <wp:docPr id="133576355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07436" name="Picture 1" descr="A close-up of a 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3359323" cy="933498"/>
                    </a:xfrm>
                    <a:prstGeom prst="rect">
                      <a:avLst/>
                    </a:prstGeom>
                  </pic:spPr>
                </pic:pic>
              </a:graphicData>
            </a:graphic>
          </wp:anchor>
        </w:drawing>
      </w:r>
      <w:r w:rsidRPr="00C65250">
        <w:rPr>
          <w:noProof/>
          <w:sz w:val="48"/>
          <w:szCs w:val="48"/>
        </w:rPr>
        <mc:AlternateContent>
          <mc:Choice Requires="wps">
            <w:drawing>
              <wp:anchor distT="45720" distB="45720" distL="114300" distR="114300" simplePos="0" relativeHeight="251658243" behindDoc="1" locked="0" layoutInCell="1" allowOverlap="1" wp14:anchorId="1C79452B" wp14:editId="735F3C03">
                <wp:simplePos x="0" y="0"/>
                <wp:positionH relativeFrom="page">
                  <wp:align>left</wp:align>
                </wp:positionH>
                <wp:positionV relativeFrom="paragraph">
                  <wp:posOffset>-688798</wp:posOffset>
                </wp:positionV>
                <wp:extent cx="7708206" cy="255182"/>
                <wp:effectExtent l="0" t="0" r="7620" b="0"/>
                <wp:wrapNone/>
                <wp:docPr id="15155195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206" cy="255182"/>
                        </a:xfrm>
                        <a:prstGeom prst="rect">
                          <a:avLst/>
                        </a:prstGeom>
                        <a:solidFill>
                          <a:schemeClr val="accent2">
                            <a:lumMod val="75000"/>
                          </a:schemeClr>
                        </a:solidFill>
                        <a:ln w="9525">
                          <a:noFill/>
                          <a:miter lim="800000"/>
                          <a:headEnd/>
                          <a:tailEnd/>
                        </a:ln>
                      </wps:spPr>
                      <wps:txbx>
                        <w:txbxContent>
                          <w:p w14:paraId="1D66634C" w14:textId="77777777" w:rsidR="003C257A" w:rsidRDefault="003C257A" w:rsidP="003C257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79452B" id="_x0000_t202" coordsize="21600,21600" o:spt="202" path="m,l,21600r21600,l21600,xe">
                <v:stroke joinstyle="miter"/>
                <v:path gradientshapeok="t" o:connecttype="rect"/>
              </v:shapetype>
              <v:shape id="Text Box 2" o:spid="_x0000_s1026" type="#_x0000_t202" style="position:absolute;left:0;text-align:left;margin-left:0;margin-top:-54.25pt;width:606.95pt;height:20.1pt;z-index:-251658237;visibility:visible;mso-wrap-style:square;mso-width-percent:0;mso-height-percent:0;mso-wrap-distance-left:9pt;mso-wrap-distance-top:3.6pt;mso-wrap-distance-right:9pt;mso-wrap-distance-bottom:3.6pt;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" fillcolor="#bf4e14 [2405]" stroked="f">
                <v:textbox>
                  <w:txbxContent>
                    <w:p w14:paraId="1D66634C" w14:textId="77777777" w:rsidR="003C257A" w:rsidRDefault="003C257A" w:rsidP="003C257A"/>
                  </w:txbxContent>
                </v:textbox>
                <w10:wrap anchorx="page"/>
              </v:shape>
            </w:pict>
          </mc:Fallback>
        </mc:AlternateContent>
      </w:r>
      <w:r w:rsidRPr="00C65250">
        <w:rPr>
          <w:b/>
          <w:bCs/>
          <w:color w:val="80340D" w:themeColor="accent2" w:themeShade="80"/>
          <w:sz w:val="48"/>
          <w:szCs w:val="48"/>
        </w:rPr>
        <w:t xml:space="preserve">First Nations </w:t>
      </w:r>
      <w:r w:rsidRPr="1A538AD9">
        <w:rPr>
          <w:b/>
          <w:bCs/>
          <w:color w:val="80340D" w:themeColor="accent2" w:themeShade="80"/>
          <w:sz w:val="48"/>
          <w:szCs w:val="48"/>
        </w:rPr>
        <w:t xml:space="preserve">Economic </w:t>
      </w:r>
      <w:r w:rsidRPr="0142CAC6">
        <w:rPr>
          <w:b/>
          <w:bCs/>
          <w:color w:val="80340D" w:themeColor="accent2" w:themeShade="80"/>
          <w:sz w:val="48"/>
          <w:szCs w:val="48"/>
        </w:rPr>
        <w:t>Partnership</w:t>
      </w:r>
    </w:p>
    <w:p w14:paraId="7D7CB14B" w14:textId="77777777" w:rsidR="00590406" w:rsidRDefault="00590406" w:rsidP="00590406">
      <w:pPr>
        <w:spacing w:after="0" w:line="240" w:lineRule="auto"/>
        <w:jc w:val="right"/>
        <w:rPr>
          <w:b/>
          <w:bCs/>
        </w:rPr>
      </w:pPr>
    </w:p>
    <w:p w14:paraId="33AA92B1" w14:textId="569DBD6E" w:rsidR="00590406" w:rsidRDefault="00590406" w:rsidP="00590406">
      <w:pPr>
        <w:spacing w:after="0" w:line="240" w:lineRule="auto"/>
        <w:jc w:val="center"/>
        <w:rPr>
          <w:b/>
          <w:bCs/>
          <w:color w:val="0E2740"/>
          <w:sz w:val="28"/>
          <w:szCs w:val="28"/>
        </w:rPr>
      </w:pPr>
      <w:r>
        <w:rPr>
          <w:b/>
          <w:bCs/>
          <w:color w:val="0E2740"/>
          <w:sz w:val="28"/>
          <w:szCs w:val="28"/>
        </w:rPr>
        <w:t>2025–26 Annual Workplan</w:t>
      </w:r>
    </w:p>
    <w:p w14:paraId="31CA614D" w14:textId="77777777" w:rsidR="00590406" w:rsidRDefault="00590406" w:rsidP="00590406">
      <w:pPr>
        <w:spacing w:after="0" w:line="240" w:lineRule="auto"/>
        <w:rPr>
          <w:b/>
          <w:bCs/>
          <w:color w:val="0E2740"/>
          <w:sz w:val="28"/>
          <w:szCs w:val="28"/>
        </w:rPr>
      </w:pPr>
    </w:p>
    <w:p w14:paraId="3C038803" w14:textId="77777777" w:rsidR="00590406" w:rsidRDefault="00590406" w:rsidP="00590406">
      <w:pPr>
        <w:spacing w:after="120" w:line="264" w:lineRule="auto"/>
        <w:rPr>
          <w:rFonts w:cs="Calibri"/>
          <w:b/>
          <w:bCs/>
        </w:rPr>
      </w:pPr>
      <w:r>
        <w:rPr>
          <w:rFonts w:cs="Calibri"/>
          <w:b/>
          <w:bCs/>
        </w:rPr>
        <w:t>About the First Nations Economic Partnership (Economic Partnership)</w:t>
      </w:r>
    </w:p>
    <w:p w14:paraId="6E85A80A" w14:textId="77777777" w:rsidR="00590406" w:rsidRDefault="00590406" w:rsidP="00080141">
      <w:pPr>
        <w:pStyle w:val="Bullet"/>
        <w:numPr>
          <w:ilvl w:val="0"/>
          <w:numId w:val="9"/>
        </w:numPr>
        <w:spacing w:after="120" w:line="264" w:lineRule="auto"/>
        <w:ind w:hanging="387"/>
        <w:rPr>
          <w:rFonts w:asciiTheme="minorHAnsi" w:hAnsiTheme="minorHAnsi"/>
        </w:rPr>
      </w:pPr>
      <w:r w:rsidRPr="00E0255D">
        <w:rPr>
          <w:rFonts w:asciiTheme="minorHAnsi" w:hAnsiTheme="minorHAnsi"/>
        </w:rPr>
        <w:t xml:space="preserve">The Economic Partnership </w:t>
      </w:r>
      <w:r>
        <w:rPr>
          <w:rFonts w:asciiTheme="minorHAnsi" w:hAnsiTheme="minorHAnsi"/>
        </w:rPr>
        <w:t xml:space="preserve">has been established </w:t>
      </w:r>
      <w:r w:rsidRPr="00E0255D">
        <w:rPr>
          <w:rFonts w:asciiTheme="minorHAnsi" w:hAnsiTheme="minorHAnsi"/>
        </w:rPr>
        <w:t xml:space="preserve">to advance the economic empowerment and lasting economic security </w:t>
      </w:r>
      <w:r>
        <w:rPr>
          <w:rFonts w:asciiTheme="minorHAnsi" w:hAnsiTheme="minorHAnsi"/>
        </w:rPr>
        <w:t>of</w:t>
      </w:r>
      <w:r w:rsidRPr="00E0255D">
        <w:rPr>
          <w:rFonts w:asciiTheme="minorHAnsi" w:hAnsiTheme="minorHAnsi"/>
        </w:rPr>
        <w:t xml:space="preserve"> First Nations peoples, communities and organisations. </w:t>
      </w:r>
    </w:p>
    <w:p w14:paraId="188C7661" w14:textId="77777777" w:rsidR="00590406" w:rsidRPr="00E0255D" w:rsidRDefault="00590406" w:rsidP="00080141">
      <w:pPr>
        <w:pStyle w:val="Bullet"/>
        <w:numPr>
          <w:ilvl w:val="0"/>
          <w:numId w:val="9"/>
        </w:numPr>
        <w:spacing w:after="120" w:line="264" w:lineRule="auto"/>
        <w:ind w:hanging="387"/>
        <w:rPr>
          <w:b/>
          <w:bCs/>
        </w:rPr>
      </w:pPr>
      <w:r w:rsidRPr="00E0255D">
        <w:rPr>
          <w:rFonts w:asciiTheme="minorHAnsi" w:hAnsiTheme="minorHAnsi"/>
        </w:rPr>
        <w:t xml:space="preserve">The Economic Partnership establishes a mechanism for the Partners to share in decisions about reforms to First Nations economic policy, built around the ‘strong partnership elements’ of Priority Reform One of the Closing the Gap Agreement. </w:t>
      </w:r>
    </w:p>
    <w:p w14:paraId="5FA62CB2" w14:textId="77777777" w:rsidR="00590406" w:rsidRPr="00E0255D" w:rsidRDefault="00590406" w:rsidP="00080141">
      <w:pPr>
        <w:pStyle w:val="Bullet"/>
        <w:numPr>
          <w:ilvl w:val="0"/>
          <w:numId w:val="9"/>
        </w:numPr>
        <w:spacing w:after="120" w:line="264" w:lineRule="auto"/>
        <w:ind w:hanging="387"/>
        <w:rPr>
          <w:rFonts w:ascii="Aptos" w:hAnsi="Aptos"/>
        </w:rPr>
      </w:pPr>
      <w:r w:rsidRPr="00E0255D">
        <w:rPr>
          <w:rFonts w:ascii="Aptos" w:hAnsi="Aptos"/>
        </w:rPr>
        <w:t>The Partners’ commitment to work together is set out in the Economic Partnership Agreement (</w:t>
      </w:r>
      <w:hyperlink r:id="rId9" w:history="1">
        <w:r w:rsidRPr="00E0255D">
          <w:rPr>
            <w:rStyle w:val="Hyperlink"/>
            <w:rFonts w:ascii="Aptos" w:hAnsi="Aptos"/>
          </w:rPr>
          <w:t>published online</w:t>
        </w:r>
      </w:hyperlink>
      <w:r w:rsidRPr="00E0255D">
        <w:rPr>
          <w:rFonts w:ascii="Aptos" w:hAnsi="Aptos"/>
        </w:rPr>
        <w:t xml:space="preserve">). </w:t>
      </w:r>
    </w:p>
    <w:p w14:paraId="050D911E" w14:textId="77777777" w:rsidR="00590406" w:rsidRPr="00FF2400" w:rsidRDefault="00590406" w:rsidP="00590406">
      <w:pPr>
        <w:spacing w:after="120" w:line="264" w:lineRule="auto"/>
        <w:rPr>
          <w:rFonts w:cs="Calibri"/>
          <w:b/>
          <w:bCs/>
        </w:rPr>
      </w:pPr>
      <w:r w:rsidRPr="00FF2400">
        <w:rPr>
          <w:rFonts w:cs="Calibri"/>
          <w:b/>
          <w:bCs/>
        </w:rPr>
        <w:t xml:space="preserve">About this Annual Workplan </w:t>
      </w:r>
      <w:r>
        <w:rPr>
          <w:rFonts w:cs="Calibri"/>
          <w:b/>
          <w:bCs/>
        </w:rPr>
        <w:t>(Workplan)</w:t>
      </w:r>
    </w:p>
    <w:p w14:paraId="7484E750" w14:textId="77777777" w:rsidR="00590406" w:rsidRPr="00FF2400" w:rsidRDefault="00590406" w:rsidP="00080141">
      <w:pPr>
        <w:pStyle w:val="Bullet"/>
        <w:numPr>
          <w:ilvl w:val="0"/>
          <w:numId w:val="9"/>
        </w:numPr>
        <w:spacing w:after="120" w:line="264" w:lineRule="auto"/>
        <w:ind w:hanging="387"/>
        <w:rPr>
          <w:rFonts w:asciiTheme="minorHAnsi" w:hAnsiTheme="minorHAnsi"/>
        </w:rPr>
      </w:pPr>
      <w:r w:rsidRPr="1053E9A2">
        <w:rPr>
          <w:rFonts w:asciiTheme="minorHAnsi" w:hAnsiTheme="minorHAnsi"/>
        </w:rPr>
        <w:t xml:space="preserve">The Partners have agreed to develop </w:t>
      </w:r>
      <w:r>
        <w:rPr>
          <w:rFonts w:asciiTheme="minorHAnsi" w:hAnsiTheme="minorHAnsi"/>
        </w:rPr>
        <w:t xml:space="preserve">and publish </w:t>
      </w:r>
      <w:r w:rsidRPr="1053E9A2">
        <w:rPr>
          <w:rFonts w:asciiTheme="minorHAnsi" w:hAnsiTheme="minorHAnsi"/>
        </w:rPr>
        <w:t xml:space="preserve">a Workplan (Partnership Agreement, </w:t>
      </w:r>
      <w:r>
        <w:rPr>
          <w:rFonts w:asciiTheme="minorHAnsi" w:hAnsiTheme="minorHAnsi"/>
        </w:rPr>
        <w:t>clause</w:t>
      </w:r>
      <w:r w:rsidRPr="1053E9A2">
        <w:rPr>
          <w:rFonts w:asciiTheme="minorHAnsi" w:hAnsiTheme="minorHAnsi"/>
        </w:rPr>
        <w:t xml:space="preserve">s 36–38). </w:t>
      </w:r>
    </w:p>
    <w:p w14:paraId="29AAE9D7" w14:textId="77777777" w:rsidR="00590406" w:rsidRDefault="00590406" w:rsidP="00080141">
      <w:pPr>
        <w:pStyle w:val="Bullet"/>
        <w:numPr>
          <w:ilvl w:val="0"/>
          <w:numId w:val="9"/>
        </w:numPr>
        <w:spacing w:after="120" w:line="264" w:lineRule="auto"/>
        <w:ind w:hanging="387"/>
        <w:rPr>
          <w:rFonts w:asciiTheme="minorHAnsi" w:hAnsiTheme="minorHAnsi"/>
        </w:rPr>
      </w:pPr>
      <w:r w:rsidRPr="20965762">
        <w:rPr>
          <w:rFonts w:asciiTheme="minorHAnsi" w:hAnsiTheme="minorHAnsi"/>
        </w:rPr>
        <w:t>This is the inaugural Workplan, covering the period from</w:t>
      </w:r>
      <w:r>
        <w:rPr>
          <w:rFonts w:asciiTheme="minorHAnsi" w:hAnsiTheme="minorHAnsi"/>
        </w:rPr>
        <w:t xml:space="preserve"> signing of </w:t>
      </w:r>
      <w:r w:rsidRPr="20965762">
        <w:rPr>
          <w:rFonts w:asciiTheme="minorHAnsi" w:hAnsiTheme="minorHAnsi"/>
        </w:rPr>
        <w:t xml:space="preserve">the Economic Partnership </w:t>
      </w:r>
      <w:r>
        <w:rPr>
          <w:rFonts w:asciiTheme="minorHAnsi" w:hAnsiTheme="minorHAnsi"/>
        </w:rPr>
        <w:t xml:space="preserve">Agreement on 29 September 2025 </w:t>
      </w:r>
      <w:r w:rsidRPr="20965762">
        <w:rPr>
          <w:rFonts w:asciiTheme="minorHAnsi" w:hAnsiTheme="minorHAnsi"/>
        </w:rPr>
        <w:t>through to 30 June 2026.</w:t>
      </w:r>
    </w:p>
    <w:p w14:paraId="1CD9A7A9" w14:textId="77777777" w:rsidR="00590406" w:rsidRDefault="00590406" w:rsidP="00080141">
      <w:pPr>
        <w:pStyle w:val="Bullet"/>
        <w:numPr>
          <w:ilvl w:val="0"/>
          <w:numId w:val="9"/>
        </w:numPr>
        <w:spacing w:after="120" w:line="264" w:lineRule="auto"/>
        <w:ind w:hanging="387"/>
        <w:rPr>
          <w:rFonts w:asciiTheme="minorHAnsi" w:hAnsiTheme="minorHAnsi"/>
        </w:rPr>
      </w:pPr>
      <w:r>
        <w:rPr>
          <w:rFonts w:asciiTheme="minorHAnsi" w:hAnsiTheme="minorHAnsi"/>
        </w:rPr>
        <w:t>This Workplan will be reviewed and updated at each meeting of the Economic Partnership.</w:t>
      </w:r>
    </w:p>
    <w:p w14:paraId="6501CDF7" w14:textId="77777777" w:rsidR="00590406" w:rsidRPr="00FF2400" w:rsidRDefault="00590406" w:rsidP="00590406">
      <w:pPr>
        <w:spacing w:after="120" w:line="264" w:lineRule="auto"/>
        <w:rPr>
          <w:rFonts w:cs="Calibri"/>
          <w:b/>
          <w:bCs/>
        </w:rPr>
      </w:pPr>
      <w:r>
        <w:rPr>
          <w:rFonts w:cs="Calibri"/>
          <w:b/>
          <w:bCs/>
        </w:rPr>
        <w:t xml:space="preserve">Objectives – 2025–26 </w:t>
      </w:r>
    </w:p>
    <w:p w14:paraId="11477931" w14:textId="77777777" w:rsidR="00590406" w:rsidRDefault="00590406" w:rsidP="00031E32">
      <w:pPr>
        <w:pStyle w:val="Bullet"/>
        <w:numPr>
          <w:ilvl w:val="0"/>
          <w:numId w:val="9"/>
        </w:numPr>
        <w:spacing w:after="120" w:line="264" w:lineRule="auto"/>
        <w:ind w:hanging="387"/>
        <w:rPr>
          <w:rFonts w:asciiTheme="minorHAnsi" w:hAnsiTheme="minorHAnsi"/>
        </w:rPr>
      </w:pPr>
      <w:r>
        <w:rPr>
          <w:rFonts w:asciiTheme="minorHAnsi" w:hAnsiTheme="minorHAnsi"/>
        </w:rPr>
        <w:t>The Partnership’s objectives for the period of this Workplan are to:</w:t>
      </w:r>
    </w:p>
    <w:p w14:paraId="668D542F" w14:textId="77777777" w:rsidR="0075316F" w:rsidRPr="00D95457" w:rsidRDefault="0075316F" w:rsidP="0075316F">
      <w:pPr>
        <w:pStyle w:val="Dash"/>
        <w:spacing w:after="120" w:line="264" w:lineRule="auto"/>
        <w:rPr>
          <w:rFonts w:ascii="Aptos" w:hAnsi="Aptos"/>
        </w:rPr>
      </w:pPr>
      <w:r w:rsidRPr="6E2DEC24">
        <w:rPr>
          <w:rFonts w:ascii="Aptos" w:hAnsi="Aptos"/>
        </w:rPr>
        <w:t xml:space="preserve">Develop policy options and initiatives for Government consideration, aligned with immediate priorities set out in the Workplan — including providing recommendations on practical policy options.  </w:t>
      </w:r>
    </w:p>
    <w:p w14:paraId="56E379EC" w14:textId="77777777" w:rsidR="0075316F" w:rsidRPr="00D95457" w:rsidRDefault="0075316F" w:rsidP="0075316F">
      <w:pPr>
        <w:pStyle w:val="Dash"/>
        <w:spacing w:after="120" w:line="264" w:lineRule="auto"/>
        <w:rPr>
          <w:rFonts w:ascii="Aptos" w:hAnsi="Aptos"/>
        </w:rPr>
      </w:pPr>
      <w:r w:rsidRPr="6E2DEC24">
        <w:rPr>
          <w:rFonts w:ascii="Aptos" w:hAnsi="Aptos"/>
        </w:rPr>
        <w:t xml:space="preserve">Establish inclusive engagement mechanisms with First Nations communities, Aboriginal and Torres Strait Islander community-controlled organisations, businesses and enterprises, Chambers of Commerce, experts, and stakeholders nationwide, consistent with the Partnership Agreement provisions on Additional Participation (clauses 23–26).  </w:t>
      </w:r>
    </w:p>
    <w:p w14:paraId="30EE463E" w14:textId="77777777" w:rsidR="00590406" w:rsidRPr="00E0255D" w:rsidRDefault="00590406" w:rsidP="00590406">
      <w:pPr>
        <w:pStyle w:val="Dash"/>
        <w:spacing w:after="120" w:line="264" w:lineRule="auto"/>
        <w:rPr>
          <w:rFonts w:ascii="Aptos" w:hAnsi="Aptos"/>
        </w:rPr>
      </w:pPr>
      <w:r>
        <w:rPr>
          <w:rFonts w:ascii="Aptos" w:hAnsi="Aptos"/>
        </w:rPr>
        <w:t>c</w:t>
      </w:r>
      <w:r w:rsidRPr="00E0255D" w:rsidDel="002A6B73">
        <w:rPr>
          <w:rFonts w:ascii="Aptos" w:hAnsi="Aptos"/>
        </w:rPr>
        <w:t>oordinate effectively with</w:t>
      </w:r>
      <w:r w:rsidRPr="00E0255D">
        <w:rPr>
          <w:rFonts w:ascii="Aptos" w:hAnsi="Aptos"/>
        </w:rPr>
        <w:t xml:space="preserve"> other partnerships and bodies to complement engagement efforts and support cross-government and cross-policy collaboration.</w:t>
      </w:r>
    </w:p>
    <w:p w14:paraId="40097AD6" w14:textId="77777777" w:rsidR="00590406" w:rsidRDefault="00590406" w:rsidP="00590406">
      <w:pPr>
        <w:spacing w:after="120" w:line="264" w:lineRule="auto"/>
        <w:rPr>
          <w:rFonts w:cs="Calibri"/>
          <w:b/>
          <w:bCs/>
        </w:rPr>
      </w:pPr>
      <w:r w:rsidRPr="00E0255D">
        <w:rPr>
          <w:rFonts w:cs="Calibri"/>
          <w:b/>
          <w:bCs/>
        </w:rPr>
        <w:t xml:space="preserve">Deliverables </w:t>
      </w:r>
      <w:r>
        <w:rPr>
          <w:rFonts w:cs="Calibri"/>
          <w:b/>
          <w:bCs/>
        </w:rPr>
        <w:t xml:space="preserve">– 2025–26 </w:t>
      </w:r>
    </w:p>
    <w:p w14:paraId="460CC917" w14:textId="77777777" w:rsidR="001D5E06" w:rsidRPr="00D95457" w:rsidRDefault="001D5E06" w:rsidP="0070369C">
      <w:pPr>
        <w:pStyle w:val="Bullet"/>
        <w:numPr>
          <w:ilvl w:val="0"/>
          <w:numId w:val="9"/>
        </w:numPr>
        <w:spacing w:after="120" w:line="264" w:lineRule="auto"/>
        <w:ind w:hanging="387"/>
        <w:rPr>
          <w:rFonts w:asciiTheme="minorHAnsi" w:hAnsiTheme="minorHAnsi"/>
        </w:rPr>
      </w:pPr>
      <w:r w:rsidRPr="6E2DEC24">
        <w:rPr>
          <w:rFonts w:asciiTheme="minorHAnsi" w:hAnsiTheme="minorHAnsi"/>
        </w:rPr>
        <w:t xml:space="preserve">The Partners agreed to focus on progressing immediate priorities for First Nations economic empowerment, as immediate actions (Partnership Agreement clauses 31–34). This </w:t>
      </w:r>
      <w:r w:rsidRPr="6E2DEC24">
        <w:rPr>
          <w:rFonts w:asciiTheme="minorHAnsi" w:hAnsiTheme="minorHAnsi"/>
        </w:rPr>
        <w:lastRenderedPageBreak/>
        <w:t xml:space="preserve">Workplan sets out initial steps and initial deliverables for these areas of work. Many of these areas of work will continue in future years, building on these initial deliverables. </w:t>
      </w:r>
    </w:p>
    <w:p w14:paraId="738B498D" w14:textId="77777777" w:rsidR="001D5E06" w:rsidRPr="00D95457" w:rsidRDefault="001D5E06" w:rsidP="0070369C">
      <w:pPr>
        <w:pStyle w:val="Bullet"/>
        <w:numPr>
          <w:ilvl w:val="0"/>
          <w:numId w:val="9"/>
        </w:numPr>
        <w:spacing w:after="120" w:line="264" w:lineRule="auto"/>
        <w:ind w:hanging="387"/>
        <w:rPr>
          <w:rFonts w:asciiTheme="minorHAnsi" w:hAnsiTheme="minorHAnsi"/>
        </w:rPr>
      </w:pPr>
      <w:r w:rsidRPr="6E2DEC24">
        <w:rPr>
          <w:rFonts w:asciiTheme="minorHAnsi" w:hAnsiTheme="minorHAnsi"/>
        </w:rPr>
        <w:t xml:space="preserve">One of the agreed priorities is to explore supporting capacity building within First Nations organisations through improved data governance practices in line with Indigenous data sovereignty (Partnership Agreement, clause 34(b)). Given the crosscutting nature of this priority, the Partners will consider this across all deliverables. </w:t>
      </w:r>
    </w:p>
    <w:p w14:paraId="47F959F9" w14:textId="77777777" w:rsidR="00590406" w:rsidRDefault="00590406" w:rsidP="00590406">
      <w:pPr>
        <w:keepNext/>
        <w:rPr>
          <w:rFonts w:cs="Calibri"/>
          <w:b/>
          <w:bCs/>
        </w:rPr>
      </w:pPr>
    </w:p>
    <w:p w14:paraId="39112862" w14:textId="7D52DA41" w:rsidR="003C257A" w:rsidRDefault="003C257A" w:rsidP="00590406">
      <w:pPr>
        <w:keepNext/>
        <w:rPr>
          <w:rFonts w:cs="Calibri"/>
          <w:b/>
          <w:bCs/>
        </w:rPr>
      </w:pPr>
      <w:r>
        <w:rPr>
          <w:rFonts w:cs="Calibri"/>
          <w:b/>
          <w:bCs/>
        </w:rPr>
        <w:t>Revision History</w:t>
      </w:r>
    </w:p>
    <w:tbl>
      <w:tblPr>
        <w:tblStyle w:val="TableGrid"/>
        <w:tblW w:w="0" w:type="auto"/>
        <w:tblLook w:val="04A0" w:firstRow="1" w:lastRow="0" w:firstColumn="1" w:lastColumn="0" w:noHBand="0" w:noVBand="1"/>
      </w:tblPr>
      <w:tblGrid>
        <w:gridCol w:w="1166"/>
        <w:gridCol w:w="2232"/>
        <w:gridCol w:w="1880"/>
        <w:gridCol w:w="2632"/>
        <w:gridCol w:w="2143"/>
      </w:tblGrid>
      <w:tr w:rsidR="00AD3721" w14:paraId="4C5F0F0A" w14:textId="5C9D0596" w:rsidTr="00AD3721">
        <w:tc>
          <w:tcPr>
            <w:tcW w:w="1166" w:type="dxa"/>
          </w:tcPr>
          <w:p w14:paraId="2BE4821A" w14:textId="5388ADB9" w:rsidR="00AD3721" w:rsidRDefault="00AD3721" w:rsidP="00590406">
            <w:pPr>
              <w:keepNext/>
              <w:rPr>
                <w:rFonts w:cs="Calibri"/>
                <w:b/>
                <w:bCs/>
              </w:rPr>
            </w:pPr>
            <w:r>
              <w:rPr>
                <w:rFonts w:cs="Calibri"/>
                <w:b/>
                <w:bCs/>
              </w:rPr>
              <w:t>Version</w:t>
            </w:r>
          </w:p>
        </w:tc>
        <w:tc>
          <w:tcPr>
            <w:tcW w:w="2232" w:type="dxa"/>
          </w:tcPr>
          <w:p w14:paraId="785FDAB6" w14:textId="4FE3019F" w:rsidR="00AD3721" w:rsidRDefault="00AD3721" w:rsidP="00590406">
            <w:pPr>
              <w:keepNext/>
              <w:rPr>
                <w:rFonts w:cs="Calibri"/>
                <w:b/>
                <w:bCs/>
              </w:rPr>
            </w:pPr>
            <w:r>
              <w:rPr>
                <w:rFonts w:cs="Calibri"/>
                <w:b/>
                <w:bCs/>
              </w:rPr>
              <w:t>Date</w:t>
            </w:r>
          </w:p>
        </w:tc>
        <w:tc>
          <w:tcPr>
            <w:tcW w:w="1880" w:type="dxa"/>
          </w:tcPr>
          <w:p w14:paraId="10566BF6" w14:textId="4E46ADCF" w:rsidR="00AD3721" w:rsidRDefault="00AD3721" w:rsidP="00590406">
            <w:pPr>
              <w:keepNext/>
              <w:rPr>
                <w:rFonts w:cs="Calibri"/>
                <w:b/>
                <w:bCs/>
              </w:rPr>
            </w:pPr>
            <w:r>
              <w:rPr>
                <w:rFonts w:cs="Calibri"/>
                <w:b/>
                <w:bCs/>
              </w:rPr>
              <w:t>Author</w:t>
            </w:r>
          </w:p>
        </w:tc>
        <w:tc>
          <w:tcPr>
            <w:tcW w:w="2632" w:type="dxa"/>
          </w:tcPr>
          <w:p w14:paraId="5E7868F3" w14:textId="5C840DD8" w:rsidR="00AD3721" w:rsidRDefault="00AD3721" w:rsidP="00590406">
            <w:pPr>
              <w:keepNext/>
              <w:rPr>
                <w:rFonts w:cs="Calibri"/>
                <w:b/>
                <w:bCs/>
              </w:rPr>
            </w:pPr>
            <w:r>
              <w:rPr>
                <w:rFonts w:cs="Calibri"/>
                <w:b/>
                <w:bCs/>
              </w:rPr>
              <w:t>Approved by</w:t>
            </w:r>
          </w:p>
        </w:tc>
        <w:tc>
          <w:tcPr>
            <w:tcW w:w="2143" w:type="dxa"/>
          </w:tcPr>
          <w:p w14:paraId="0EEC451B" w14:textId="21778E49" w:rsidR="00AD3721" w:rsidRDefault="00AD3721" w:rsidP="00590406">
            <w:pPr>
              <w:keepNext/>
              <w:rPr>
                <w:rFonts w:cs="Calibri"/>
                <w:b/>
                <w:bCs/>
              </w:rPr>
            </w:pPr>
            <w:r>
              <w:rPr>
                <w:rFonts w:cs="Calibri"/>
                <w:b/>
                <w:bCs/>
              </w:rPr>
              <w:t>Comments</w:t>
            </w:r>
          </w:p>
        </w:tc>
      </w:tr>
      <w:tr w:rsidR="00AD3721" w:rsidRPr="003C257A" w14:paraId="40386648" w14:textId="1923C8B8" w:rsidTr="00AD3721">
        <w:tc>
          <w:tcPr>
            <w:tcW w:w="1166" w:type="dxa"/>
          </w:tcPr>
          <w:p w14:paraId="75D0C786" w14:textId="40B565CA" w:rsidR="00AD3721" w:rsidRPr="003C257A" w:rsidRDefault="00AD3721" w:rsidP="00590406">
            <w:pPr>
              <w:keepNext/>
              <w:rPr>
                <w:rFonts w:cs="Calibri"/>
              </w:rPr>
            </w:pPr>
            <w:r>
              <w:rPr>
                <w:rFonts w:cs="Calibri"/>
              </w:rPr>
              <w:t>1.0</w:t>
            </w:r>
          </w:p>
        </w:tc>
        <w:tc>
          <w:tcPr>
            <w:tcW w:w="2232" w:type="dxa"/>
          </w:tcPr>
          <w:p w14:paraId="6583582A" w14:textId="62D2F4FE" w:rsidR="00AD3721" w:rsidRPr="003C257A" w:rsidRDefault="00AD3721" w:rsidP="00590406">
            <w:pPr>
              <w:keepNext/>
              <w:rPr>
                <w:rFonts w:cs="Calibri"/>
              </w:rPr>
            </w:pPr>
            <w:r>
              <w:rPr>
                <w:rFonts w:cs="Calibri"/>
              </w:rPr>
              <w:t>8 December 2025</w:t>
            </w:r>
          </w:p>
        </w:tc>
        <w:tc>
          <w:tcPr>
            <w:tcW w:w="1880" w:type="dxa"/>
          </w:tcPr>
          <w:p w14:paraId="7ADA2017" w14:textId="113EEF92" w:rsidR="00AD3721" w:rsidRPr="003C257A" w:rsidRDefault="00AD3721" w:rsidP="00590406">
            <w:pPr>
              <w:keepNext/>
              <w:rPr>
                <w:rFonts w:cs="Calibri"/>
              </w:rPr>
            </w:pPr>
            <w:r>
              <w:rPr>
                <w:rFonts w:cs="Calibri"/>
              </w:rPr>
              <w:t>Treasury</w:t>
            </w:r>
          </w:p>
        </w:tc>
        <w:tc>
          <w:tcPr>
            <w:tcW w:w="2632" w:type="dxa"/>
          </w:tcPr>
          <w:p w14:paraId="1D0E1495" w14:textId="60F1A2E0" w:rsidR="00AD3721" w:rsidRPr="003C257A" w:rsidRDefault="00AD3721" w:rsidP="00590406">
            <w:pPr>
              <w:keepNext/>
              <w:rPr>
                <w:rFonts w:cs="Calibri"/>
              </w:rPr>
            </w:pPr>
            <w:r>
              <w:rPr>
                <w:rFonts w:cs="Calibri"/>
              </w:rPr>
              <w:t>Economic Partnership</w:t>
            </w:r>
          </w:p>
        </w:tc>
        <w:tc>
          <w:tcPr>
            <w:tcW w:w="2143" w:type="dxa"/>
          </w:tcPr>
          <w:p w14:paraId="0CD7FF42" w14:textId="20DE246F" w:rsidR="00AD3721" w:rsidRDefault="00AD3721" w:rsidP="00590406">
            <w:pPr>
              <w:keepNext/>
              <w:rPr>
                <w:rFonts w:cs="Calibri"/>
              </w:rPr>
            </w:pPr>
            <w:r>
              <w:rPr>
                <w:rFonts w:cs="Calibri"/>
              </w:rPr>
              <w:t>Agreed</w:t>
            </w:r>
          </w:p>
        </w:tc>
      </w:tr>
      <w:tr w:rsidR="00AD3721" w:rsidRPr="003C257A" w14:paraId="39D7718C" w14:textId="5568343B" w:rsidTr="00AD3721">
        <w:tc>
          <w:tcPr>
            <w:tcW w:w="1166" w:type="dxa"/>
          </w:tcPr>
          <w:p w14:paraId="3DD06345" w14:textId="142958AB" w:rsidR="00AD3721" w:rsidRDefault="00AD3721" w:rsidP="00590406">
            <w:pPr>
              <w:keepNext/>
              <w:rPr>
                <w:rFonts w:cs="Calibri"/>
              </w:rPr>
            </w:pPr>
            <w:r>
              <w:rPr>
                <w:rFonts w:cs="Calibri"/>
              </w:rPr>
              <w:t>1.1</w:t>
            </w:r>
          </w:p>
        </w:tc>
        <w:tc>
          <w:tcPr>
            <w:tcW w:w="2232" w:type="dxa"/>
          </w:tcPr>
          <w:p w14:paraId="7E7D1B8A" w14:textId="1BE0805F" w:rsidR="00AD3721" w:rsidRDefault="00AD3721" w:rsidP="00590406">
            <w:pPr>
              <w:keepNext/>
              <w:rPr>
                <w:rFonts w:cs="Calibri"/>
              </w:rPr>
            </w:pPr>
            <w:r>
              <w:rPr>
                <w:rFonts w:cs="Calibri"/>
              </w:rPr>
              <w:t>18 February 2026</w:t>
            </w:r>
          </w:p>
        </w:tc>
        <w:tc>
          <w:tcPr>
            <w:tcW w:w="1880" w:type="dxa"/>
          </w:tcPr>
          <w:p w14:paraId="2096764B" w14:textId="0F5EA307" w:rsidR="00AD3721" w:rsidRDefault="00FC21B5" w:rsidP="00590406">
            <w:pPr>
              <w:keepNext/>
              <w:rPr>
                <w:rFonts w:cs="Calibri"/>
              </w:rPr>
            </w:pPr>
            <w:r>
              <w:rPr>
                <w:rFonts w:cs="Calibri"/>
              </w:rPr>
              <w:t>Treasury/</w:t>
            </w:r>
            <w:r w:rsidR="00AD3721">
              <w:rPr>
                <w:rFonts w:cs="Calibri"/>
              </w:rPr>
              <w:t>NIAA</w:t>
            </w:r>
          </w:p>
        </w:tc>
        <w:tc>
          <w:tcPr>
            <w:tcW w:w="2632" w:type="dxa"/>
          </w:tcPr>
          <w:p w14:paraId="4744EA25" w14:textId="70FC7923" w:rsidR="00AD3721" w:rsidRDefault="00AD3721" w:rsidP="00590406">
            <w:pPr>
              <w:keepNext/>
              <w:rPr>
                <w:rFonts w:cs="Calibri"/>
              </w:rPr>
            </w:pPr>
            <w:r>
              <w:rPr>
                <w:rFonts w:cs="Calibri"/>
              </w:rPr>
              <w:t xml:space="preserve">Economic Partnership </w:t>
            </w:r>
          </w:p>
        </w:tc>
        <w:tc>
          <w:tcPr>
            <w:tcW w:w="2143" w:type="dxa"/>
          </w:tcPr>
          <w:p w14:paraId="19A8B08D" w14:textId="4B0A8C6F" w:rsidR="00AD3721" w:rsidRDefault="00AD3721" w:rsidP="00590406">
            <w:pPr>
              <w:keepNext/>
              <w:rPr>
                <w:rFonts w:cs="Calibri"/>
              </w:rPr>
            </w:pPr>
            <w:r>
              <w:rPr>
                <w:rFonts w:cs="Calibri"/>
              </w:rPr>
              <w:t>Updated</w:t>
            </w:r>
          </w:p>
        </w:tc>
      </w:tr>
      <w:tr w:rsidR="00AD3721" w:rsidRPr="003C257A" w14:paraId="7F2D666D" w14:textId="77777777" w:rsidTr="00AD3721">
        <w:tc>
          <w:tcPr>
            <w:tcW w:w="1166" w:type="dxa"/>
          </w:tcPr>
          <w:p w14:paraId="72AE9728" w14:textId="06231D14" w:rsidR="00AD3721" w:rsidRDefault="00AD3721" w:rsidP="00590406">
            <w:pPr>
              <w:keepNext/>
              <w:rPr>
                <w:rFonts w:cs="Calibri"/>
              </w:rPr>
            </w:pPr>
            <w:r>
              <w:rPr>
                <w:rFonts w:cs="Calibri"/>
              </w:rPr>
              <w:t>1.2</w:t>
            </w:r>
          </w:p>
        </w:tc>
        <w:tc>
          <w:tcPr>
            <w:tcW w:w="2232" w:type="dxa"/>
          </w:tcPr>
          <w:p w14:paraId="2EE9BC23" w14:textId="4EBFBBF3" w:rsidR="00AD3721" w:rsidRDefault="00AD3721" w:rsidP="00590406">
            <w:pPr>
              <w:keepNext/>
              <w:rPr>
                <w:rFonts w:cs="Calibri"/>
              </w:rPr>
            </w:pPr>
            <w:r>
              <w:rPr>
                <w:rFonts w:cs="Calibri"/>
              </w:rPr>
              <w:t>20 May 2026</w:t>
            </w:r>
          </w:p>
        </w:tc>
        <w:tc>
          <w:tcPr>
            <w:tcW w:w="1880" w:type="dxa"/>
          </w:tcPr>
          <w:p w14:paraId="57E3660D" w14:textId="338D5AFC" w:rsidR="00AD3721" w:rsidRDefault="00AD3721" w:rsidP="00590406">
            <w:pPr>
              <w:keepNext/>
              <w:rPr>
                <w:rFonts w:cs="Calibri"/>
              </w:rPr>
            </w:pPr>
            <w:r>
              <w:rPr>
                <w:rFonts w:cs="Calibri"/>
              </w:rPr>
              <w:t>NIAA</w:t>
            </w:r>
          </w:p>
        </w:tc>
        <w:tc>
          <w:tcPr>
            <w:tcW w:w="2632" w:type="dxa"/>
          </w:tcPr>
          <w:p w14:paraId="49CEEAAC" w14:textId="6B434F4A" w:rsidR="00AD3721" w:rsidRDefault="00AD3721" w:rsidP="00590406">
            <w:pPr>
              <w:keepNext/>
              <w:rPr>
                <w:rFonts w:cs="Calibri"/>
              </w:rPr>
            </w:pPr>
            <w:r>
              <w:rPr>
                <w:rFonts w:cs="Calibri"/>
              </w:rPr>
              <w:t>Economic Partnership</w:t>
            </w:r>
          </w:p>
        </w:tc>
        <w:tc>
          <w:tcPr>
            <w:tcW w:w="2143" w:type="dxa"/>
          </w:tcPr>
          <w:p w14:paraId="220D9C2E" w14:textId="1394ECDD" w:rsidR="00AD3721" w:rsidRDefault="00AD3721" w:rsidP="00590406">
            <w:pPr>
              <w:keepNext/>
              <w:rPr>
                <w:rFonts w:cs="Calibri"/>
              </w:rPr>
            </w:pPr>
            <w:r>
              <w:rPr>
                <w:rFonts w:cs="Calibri"/>
              </w:rPr>
              <w:t>Updated</w:t>
            </w:r>
          </w:p>
        </w:tc>
      </w:tr>
    </w:tbl>
    <w:p w14:paraId="52E00DE8" w14:textId="77777777" w:rsidR="003C257A" w:rsidRDefault="003C257A" w:rsidP="00590406">
      <w:pPr>
        <w:keepNext/>
        <w:rPr>
          <w:rFonts w:cs="Calibri"/>
          <w:b/>
          <w:bCs/>
        </w:rPr>
        <w:sectPr w:rsidR="003C257A" w:rsidSect="00590406">
          <w:headerReference w:type="even" r:id="rId10"/>
          <w:headerReference w:type="default" r:id="rId11"/>
          <w:footerReference w:type="even" r:id="rId12"/>
          <w:footerReference w:type="default" r:id="rId13"/>
          <w:headerReference w:type="first" r:id="rId14"/>
          <w:footerReference w:type="first" r:id="rId15"/>
          <w:pgSz w:w="11906" w:h="16838"/>
          <w:pgMar w:top="805" w:right="992" w:bottom="1440" w:left="851" w:header="709" w:footer="709" w:gutter="0"/>
          <w:cols w:space="708"/>
          <w:docGrid w:linePitch="360"/>
        </w:sectPr>
      </w:pPr>
    </w:p>
    <w:p w14:paraId="78827038" w14:textId="4D52A633" w:rsidR="00590406" w:rsidRPr="003F593C" w:rsidRDefault="00590406" w:rsidP="004621E6">
      <w:pPr>
        <w:keepNext/>
        <w:rPr>
          <w:rFonts w:cs="Calibri"/>
          <w:b/>
          <w:bCs/>
        </w:rPr>
      </w:pPr>
      <w:r w:rsidRPr="00FF2400">
        <w:rPr>
          <w:rFonts w:cs="Calibri"/>
          <w:b/>
          <w:bCs/>
        </w:rPr>
        <w:lastRenderedPageBreak/>
        <w:t xml:space="preserve">Key deliverables </w:t>
      </w:r>
      <w:r>
        <w:rPr>
          <w:rFonts w:cs="Calibri"/>
          <w:b/>
          <w:bCs/>
        </w:rPr>
        <w:t xml:space="preserve">for 2025–26 </w:t>
      </w:r>
    </w:p>
    <w:tbl>
      <w:tblPr>
        <w:tblStyle w:val="TableGrid"/>
        <w:tblW w:w="13948" w:type="dxa"/>
        <w:tblLook w:val="04A0" w:firstRow="1" w:lastRow="0" w:firstColumn="1" w:lastColumn="0" w:noHBand="0" w:noVBand="1"/>
      </w:tblPr>
      <w:tblGrid>
        <w:gridCol w:w="1555"/>
        <w:gridCol w:w="2409"/>
        <w:gridCol w:w="3481"/>
        <w:gridCol w:w="3719"/>
        <w:gridCol w:w="2784"/>
      </w:tblGrid>
      <w:tr w:rsidR="00590406" w:rsidRPr="00FF2400" w14:paraId="653A0562" w14:textId="77777777">
        <w:trPr>
          <w:tblHeader/>
        </w:trPr>
        <w:tc>
          <w:tcPr>
            <w:tcW w:w="1555" w:type="dxa"/>
            <w:shd w:val="clear" w:color="auto" w:fill="E8E8E8" w:themeFill="background2"/>
          </w:tcPr>
          <w:p w14:paraId="3F18069C" w14:textId="77777777" w:rsidR="00590406" w:rsidRDefault="00590406" w:rsidP="00532400">
            <w:pPr>
              <w:keepNext/>
              <w:spacing w:before="120" w:after="120"/>
              <w:rPr>
                <w:rFonts w:cs="Calibri"/>
                <w:b/>
                <w:bCs/>
              </w:rPr>
            </w:pPr>
            <w:bookmarkStart w:id="0" w:name="_Hlk216270159"/>
            <w:r>
              <w:rPr>
                <w:rFonts w:cs="Calibri"/>
                <w:b/>
                <w:bCs/>
              </w:rPr>
              <w:t>Agreement clause</w:t>
            </w:r>
          </w:p>
        </w:tc>
        <w:tc>
          <w:tcPr>
            <w:tcW w:w="2409" w:type="dxa"/>
            <w:shd w:val="clear" w:color="auto" w:fill="E8E8E8" w:themeFill="background2"/>
          </w:tcPr>
          <w:p w14:paraId="17C268AA" w14:textId="77777777" w:rsidR="00590406" w:rsidRPr="00FF2400" w:rsidRDefault="00590406" w:rsidP="00532400">
            <w:pPr>
              <w:keepNext/>
              <w:spacing w:before="120" w:after="120"/>
              <w:rPr>
                <w:rFonts w:cs="Calibri"/>
                <w:b/>
                <w:bCs/>
              </w:rPr>
            </w:pPr>
            <w:r>
              <w:rPr>
                <w:rFonts w:cs="Calibri"/>
                <w:b/>
                <w:bCs/>
              </w:rPr>
              <w:t>Agreed priority / area</w:t>
            </w:r>
            <w:r>
              <w:rPr>
                <w:rStyle w:val="FootnoteReference"/>
                <w:rFonts w:cs="Calibri"/>
                <w:b/>
                <w:bCs/>
              </w:rPr>
              <w:footnoteReference w:id="1"/>
            </w:r>
            <w:r>
              <w:rPr>
                <w:rFonts w:cs="Calibri"/>
                <w:b/>
                <w:bCs/>
              </w:rPr>
              <w:t xml:space="preserve"> </w:t>
            </w:r>
          </w:p>
        </w:tc>
        <w:tc>
          <w:tcPr>
            <w:tcW w:w="3481" w:type="dxa"/>
            <w:shd w:val="clear" w:color="auto" w:fill="E8E8E8" w:themeFill="background2"/>
          </w:tcPr>
          <w:p w14:paraId="1835FB01" w14:textId="77777777" w:rsidR="00590406" w:rsidRPr="00FF2400" w:rsidRDefault="00590406" w:rsidP="00532400">
            <w:pPr>
              <w:keepNext/>
              <w:spacing w:before="120" w:after="120"/>
              <w:rPr>
                <w:rFonts w:cs="Calibri"/>
                <w:b/>
                <w:bCs/>
              </w:rPr>
            </w:pPr>
            <w:r>
              <w:rPr>
                <w:rFonts w:cs="Calibri"/>
                <w:b/>
                <w:bCs/>
              </w:rPr>
              <w:t>2025–26 d</w:t>
            </w:r>
            <w:r w:rsidRPr="00FF2400">
              <w:rPr>
                <w:rFonts w:cs="Calibri"/>
                <w:b/>
                <w:bCs/>
              </w:rPr>
              <w:t>eliverable</w:t>
            </w:r>
            <w:r>
              <w:rPr>
                <w:rFonts w:cs="Calibri"/>
                <w:b/>
                <w:bCs/>
              </w:rPr>
              <w:t>(s)</w:t>
            </w:r>
          </w:p>
        </w:tc>
        <w:tc>
          <w:tcPr>
            <w:tcW w:w="3719" w:type="dxa"/>
            <w:shd w:val="clear" w:color="auto" w:fill="E8E8E8" w:themeFill="background2"/>
          </w:tcPr>
          <w:p w14:paraId="69EB2682" w14:textId="77777777" w:rsidR="00590406" w:rsidRPr="00FF2400" w:rsidRDefault="00590406" w:rsidP="00532400">
            <w:pPr>
              <w:keepNext/>
              <w:spacing w:before="120" w:after="120"/>
              <w:rPr>
                <w:rFonts w:cs="Calibri"/>
                <w:b/>
                <w:bCs/>
              </w:rPr>
            </w:pPr>
            <w:r>
              <w:rPr>
                <w:rFonts w:cs="Calibri"/>
                <w:b/>
                <w:bCs/>
              </w:rPr>
              <w:t xml:space="preserve">Milestone dates </w:t>
            </w:r>
            <w:r>
              <w:rPr>
                <w:rFonts w:cs="Calibri"/>
              </w:rPr>
              <w:t>(to be adjusted as necessary if meeting dates change)</w:t>
            </w:r>
          </w:p>
        </w:tc>
        <w:tc>
          <w:tcPr>
            <w:tcW w:w="2784" w:type="dxa"/>
            <w:shd w:val="clear" w:color="auto" w:fill="E8E8E8" w:themeFill="background2"/>
          </w:tcPr>
          <w:p w14:paraId="7D313E90" w14:textId="77777777" w:rsidR="00590406" w:rsidRPr="00FF2400" w:rsidRDefault="00590406" w:rsidP="00532400">
            <w:pPr>
              <w:keepNext/>
              <w:spacing w:before="120" w:after="120"/>
              <w:rPr>
                <w:rFonts w:cs="Calibri"/>
                <w:b/>
                <w:bCs/>
              </w:rPr>
            </w:pPr>
            <w:r w:rsidRPr="00FF2400">
              <w:rPr>
                <w:rFonts w:cs="Calibri"/>
                <w:b/>
                <w:bCs/>
              </w:rPr>
              <w:t>Responsible</w:t>
            </w:r>
            <w:r>
              <w:rPr>
                <w:rFonts w:cs="Calibri"/>
                <w:b/>
                <w:bCs/>
              </w:rPr>
              <w:t xml:space="preserve"> and relevant contributors </w:t>
            </w:r>
          </w:p>
        </w:tc>
      </w:tr>
      <w:bookmarkEnd w:id="0"/>
      <w:tr w:rsidR="00590406" w:rsidRPr="00FF2400" w14:paraId="0695A19D" w14:textId="77777777">
        <w:tc>
          <w:tcPr>
            <w:tcW w:w="1555" w:type="dxa"/>
          </w:tcPr>
          <w:p w14:paraId="7DED702B" w14:textId="77777777" w:rsidR="00590406" w:rsidRDefault="00590406" w:rsidP="00532400">
            <w:pPr>
              <w:keepNext/>
              <w:spacing w:before="120" w:after="120"/>
              <w:rPr>
                <w:rFonts w:cs="Calibri"/>
              </w:rPr>
            </w:pPr>
            <w:r>
              <w:rPr>
                <w:rFonts w:cs="Calibri"/>
              </w:rPr>
              <w:t xml:space="preserve">32 </w:t>
            </w:r>
          </w:p>
        </w:tc>
        <w:tc>
          <w:tcPr>
            <w:tcW w:w="2409" w:type="dxa"/>
          </w:tcPr>
          <w:p w14:paraId="18F50D39" w14:textId="77777777" w:rsidR="00590406" w:rsidRPr="00E0255D" w:rsidRDefault="00590406" w:rsidP="00532400">
            <w:pPr>
              <w:keepNext/>
              <w:spacing w:before="120" w:after="120"/>
              <w:rPr>
                <w:rFonts w:cs="Calibri"/>
              </w:rPr>
            </w:pPr>
            <w:r w:rsidRPr="00E0255D">
              <w:rPr>
                <w:rFonts w:cs="Calibri"/>
              </w:rPr>
              <w:t xml:space="preserve">Partnership governance and implementation </w:t>
            </w:r>
          </w:p>
        </w:tc>
        <w:tc>
          <w:tcPr>
            <w:tcW w:w="3481" w:type="dxa"/>
          </w:tcPr>
          <w:p w14:paraId="0C08F0E4" w14:textId="020830BB" w:rsidR="00590406" w:rsidRPr="00590406" w:rsidRDefault="00590406" w:rsidP="00532400">
            <w:pPr>
              <w:keepNext/>
              <w:spacing w:before="120" w:after="120"/>
              <w:rPr>
                <w:rFonts w:cs="Calibri"/>
                <w:b/>
                <w:bCs/>
              </w:rPr>
            </w:pPr>
            <w:r w:rsidRPr="00590406">
              <w:rPr>
                <w:rFonts w:cs="Calibri"/>
                <w:b/>
                <w:bCs/>
              </w:rPr>
              <w:t>1. Annual Workplan</w:t>
            </w:r>
          </w:p>
          <w:p w14:paraId="4E0E229C" w14:textId="77777777" w:rsidR="00590406" w:rsidRPr="00FF2400" w:rsidRDefault="00590406" w:rsidP="00532400">
            <w:pPr>
              <w:keepNext/>
              <w:spacing w:before="120" w:after="120"/>
              <w:rPr>
                <w:rFonts w:cs="Calibri"/>
              </w:rPr>
            </w:pPr>
            <w:r>
              <w:rPr>
                <w:rFonts w:cs="Calibri"/>
              </w:rPr>
              <w:t xml:space="preserve">This document – the Workplan – is the first deliverable of the Economic Partnership. </w:t>
            </w:r>
          </w:p>
        </w:tc>
        <w:tc>
          <w:tcPr>
            <w:tcW w:w="3719" w:type="dxa"/>
          </w:tcPr>
          <w:p w14:paraId="0F5294F7" w14:textId="01E2B409" w:rsidR="00590406" w:rsidRPr="001C7D59" w:rsidRDefault="00590406" w:rsidP="00532400">
            <w:pPr>
              <w:keepNext/>
              <w:spacing w:before="120" w:after="120"/>
              <w:rPr>
                <w:rFonts w:cs="Calibri"/>
              </w:rPr>
            </w:pPr>
            <w:r>
              <w:rPr>
                <w:rFonts w:cs="Calibri"/>
                <w:b/>
                <w:bCs/>
              </w:rPr>
              <w:t xml:space="preserve">Completed: </w:t>
            </w:r>
            <w:r w:rsidRPr="001C7D59">
              <w:rPr>
                <w:rFonts w:cs="Calibri"/>
              </w:rPr>
              <w:t xml:space="preserve">21 October 2025: Workplan discussed </w:t>
            </w:r>
          </w:p>
          <w:p w14:paraId="6E29767C" w14:textId="278BD9DC" w:rsidR="00590406" w:rsidRPr="00FF2400" w:rsidRDefault="00590406" w:rsidP="00532400">
            <w:pPr>
              <w:keepNext/>
              <w:spacing w:before="120" w:after="120"/>
              <w:rPr>
                <w:rFonts w:cs="Calibri"/>
              </w:rPr>
            </w:pPr>
            <w:r>
              <w:rPr>
                <w:rFonts w:cs="Calibri"/>
                <w:b/>
                <w:bCs/>
              </w:rPr>
              <w:t xml:space="preserve">Completed: </w:t>
            </w:r>
            <w:r>
              <w:rPr>
                <w:rFonts w:cs="Calibri"/>
              </w:rPr>
              <w:t>7</w:t>
            </w:r>
            <w:r w:rsidRPr="001C7D59">
              <w:rPr>
                <w:rFonts w:cs="Calibri"/>
              </w:rPr>
              <w:t xml:space="preserve"> November 2025</w:t>
            </w:r>
            <w:r>
              <w:rPr>
                <w:rFonts w:cs="Calibri"/>
              </w:rPr>
              <w:t xml:space="preserve">: Revised Workplan to be shared with Partners for decision </w:t>
            </w:r>
          </w:p>
          <w:p w14:paraId="47B35A13" w14:textId="77777777" w:rsidR="00590406" w:rsidRPr="00FF2400" w:rsidRDefault="00590406" w:rsidP="00532400">
            <w:pPr>
              <w:keepNext/>
              <w:spacing w:before="120" w:after="120"/>
              <w:rPr>
                <w:rFonts w:cs="Calibri"/>
              </w:rPr>
            </w:pPr>
            <w:r w:rsidRPr="00FF2400">
              <w:rPr>
                <w:rFonts w:cs="Calibri"/>
              </w:rPr>
              <w:t xml:space="preserve">Each subsequent Partnership meeting: </w:t>
            </w:r>
            <w:r>
              <w:rPr>
                <w:rFonts w:cs="Calibri"/>
              </w:rPr>
              <w:t xml:space="preserve">Workplan </w:t>
            </w:r>
            <w:r w:rsidRPr="00FF2400">
              <w:rPr>
                <w:rFonts w:cs="Calibri"/>
              </w:rPr>
              <w:t>review</w:t>
            </w:r>
            <w:r>
              <w:rPr>
                <w:rFonts w:cs="Calibri"/>
              </w:rPr>
              <w:t>ed</w:t>
            </w:r>
            <w:r w:rsidRPr="00FF2400">
              <w:rPr>
                <w:rFonts w:cs="Calibri"/>
              </w:rPr>
              <w:t xml:space="preserve"> and update</w:t>
            </w:r>
            <w:r>
              <w:rPr>
                <w:rFonts w:cs="Calibri"/>
              </w:rPr>
              <w:t>d</w:t>
            </w:r>
            <w:r w:rsidRPr="00FF2400">
              <w:rPr>
                <w:rFonts w:cs="Calibri"/>
              </w:rPr>
              <w:t xml:space="preserve"> as needed</w:t>
            </w:r>
            <w:r>
              <w:rPr>
                <w:rFonts w:cs="Calibri"/>
              </w:rPr>
              <w:t>.</w:t>
            </w:r>
          </w:p>
        </w:tc>
        <w:tc>
          <w:tcPr>
            <w:tcW w:w="2784" w:type="dxa"/>
          </w:tcPr>
          <w:p w14:paraId="46935B73" w14:textId="77777777" w:rsidR="00590406" w:rsidRPr="00FF2400" w:rsidRDefault="00590406" w:rsidP="00532400">
            <w:pPr>
              <w:keepNext/>
              <w:spacing w:before="120" w:after="120"/>
              <w:rPr>
                <w:rFonts w:cs="Calibri"/>
                <w:b/>
                <w:bCs/>
              </w:rPr>
            </w:pPr>
            <w:r w:rsidRPr="00FF2400">
              <w:rPr>
                <w:rFonts w:cs="Calibri"/>
              </w:rPr>
              <w:t>Operational Committee to draft for Partners’ consideration</w:t>
            </w:r>
            <w:r w:rsidRPr="00FF2400">
              <w:rPr>
                <w:rFonts w:cs="Calibri"/>
                <w:b/>
                <w:bCs/>
              </w:rPr>
              <w:t xml:space="preserve"> </w:t>
            </w:r>
          </w:p>
          <w:p w14:paraId="1E282EBC" w14:textId="77777777" w:rsidR="00590406" w:rsidRPr="00FF2400" w:rsidRDefault="00590406" w:rsidP="00532400">
            <w:pPr>
              <w:keepNext/>
              <w:spacing w:before="120" w:after="120"/>
              <w:rPr>
                <w:rFonts w:cs="Calibri"/>
                <w:b/>
                <w:bCs/>
              </w:rPr>
            </w:pPr>
            <w:r w:rsidRPr="00FF2400">
              <w:rPr>
                <w:rFonts w:cs="Calibri"/>
              </w:rPr>
              <w:t xml:space="preserve">Partners to endorse Workplan </w:t>
            </w:r>
            <w:r>
              <w:rPr>
                <w:rFonts w:cs="Calibri"/>
              </w:rPr>
              <w:t xml:space="preserve">out of session in November </w:t>
            </w:r>
            <w:r w:rsidRPr="00FF2400">
              <w:rPr>
                <w:rFonts w:cs="Calibri"/>
              </w:rPr>
              <w:t xml:space="preserve"> </w:t>
            </w:r>
          </w:p>
        </w:tc>
      </w:tr>
      <w:tr w:rsidR="00590406" w:rsidRPr="00FF2400" w14:paraId="1BABFBB8" w14:textId="77777777">
        <w:tc>
          <w:tcPr>
            <w:tcW w:w="1555" w:type="dxa"/>
          </w:tcPr>
          <w:p w14:paraId="3565CA2B" w14:textId="77777777" w:rsidR="00590406" w:rsidRDefault="00590406" w:rsidP="00532400">
            <w:pPr>
              <w:spacing w:before="120" w:after="120"/>
              <w:rPr>
                <w:rFonts w:cs="Calibri"/>
              </w:rPr>
            </w:pPr>
            <w:r>
              <w:rPr>
                <w:rFonts w:cs="Calibri"/>
              </w:rPr>
              <w:t xml:space="preserve">33 </w:t>
            </w:r>
          </w:p>
        </w:tc>
        <w:tc>
          <w:tcPr>
            <w:tcW w:w="2409" w:type="dxa"/>
          </w:tcPr>
          <w:p w14:paraId="1D09AE10" w14:textId="77777777" w:rsidR="00590406" w:rsidRDefault="00590406" w:rsidP="00532400">
            <w:pPr>
              <w:spacing w:before="120" w:after="120"/>
              <w:rPr>
                <w:rFonts w:cs="Calibri"/>
              </w:rPr>
            </w:pPr>
            <w:r w:rsidRPr="00E0255D">
              <w:rPr>
                <w:rFonts w:cs="Calibri"/>
              </w:rPr>
              <w:t xml:space="preserve">Economic Framework </w:t>
            </w:r>
          </w:p>
          <w:p w14:paraId="17675882" w14:textId="77777777" w:rsidR="00590406" w:rsidRPr="00E0255D" w:rsidRDefault="00590406" w:rsidP="00532400">
            <w:pPr>
              <w:spacing w:before="120" w:after="120"/>
              <w:rPr>
                <w:rFonts w:cs="Calibri"/>
              </w:rPr>
            </w:pPr>
          </w:p>
        </w:tc>
        <w:tc>
          <w:tcPr>
            <w:tcW w:w="3481" w:type="dxa"/>
          </w:tcPr>
          <w:p w14:paraId="59B97632" w14:textId="24FACC9E" w:rsidR="007D462A" w:rsidRPr="007D462A" w:rsidRDefault="007D462A" w:rsidP="00532400">
            <w:pPr>
              <w:spacing w:before="120" w:after="120"/>
              <w:rPr>
                <w:rFonts w:cs="Calibri"/>
                <w:b/>
                <w:bCs/>
              </w:rPr>
            </w:pPr>
            <w:r>
              <w:rPr>
                <w:rFonts w:cs="Calibri"/>
                <w:b/>
                <w:bCs/>
              </w:rPr>
              <w:t>2. First Nations Economic Framework</w:t>
            </w:r>
          </w:p>
          <w:p w14:paraId="72BB2BA5" w14:textId="6EF21FC3" w:rsidR="00590406" w:rsidRDefault="00590406" w:rsidP="00532400">
            <w:pPr>
              <w:spacing w:before="120" w:after="120"/>
              <w:rPr>
                <w:rFonts w:cs="Calibri"/>
              </w:rPr>
            </w:pPr>
            <w:r w:rsidRPr="003E3C6C">
              <w:rPr>
                <w:rFonts w:cs="Calibri"/>
              </w:rPr>
              <w:t xml:space="preserve">The Economic Partnership will, as </w:t>
            </w:r>
            <w:proofErr w:type="gramStart"/>
            <w:r w:rsidRPr="003E3C6C">
              <w:rPr>
                <w:rFonts w:cs="Calibri"/>
              </w:rPr>
              <w:t>a first priority</w:t>
            </w:r>
            <w:proofErr w:type="gramEnd"/>
            <w:r w:rsidRPr="003E3C6C">
              <w:rPr>
                <w:rFonts w:cs="Calibri"/>
              </w:rPr>
              <w:t xml:space="preserve">, design an inclusive and transparent approach to developing the Economic Framework. </w:t>
            </w:r>
          </w:p>
          <w:p w14:paraId="11865088" w14:textId="77777777" w:rsidR="00590406" w:rsidRPr="00855BAD" w:rsidRDefault="00590406" w:rsidP="00532400">
            <w:pPr>
              <w:spacing w:before="120" w:after="120"/>
              <w:rPr>
                <w:rFonts w:cs="Calibri"/>
                <w:i/>
                <w:iCs/>
              </w:rPr>
            </w:pPr>
            <w:r w:rsidRPr="003E3C6C">
              <w:rPr>
                <w:rFonts w:cs="Calibri"/>
              </w:rPr>
              <w:t>This approach will include the development of a discussion paper and involve deep engagement with First Nations people and organisations and mainstream financial institutions and businesses. The approach will be made public and include a timeline for completion of the Economic Framework.</w:t>
            </w:r>
          </w:p>
        </w:tc>
        <w:tc>
          <w:tcPr>
            <w:tcW w:w="3719" w:type="dxa"/>
          </w:tcPr>
          <w:p w14:paraId="7D7C0DA6" w14:textId="77777777" w:rsidR="007D462A" w:rsidRPr="00ED52DC" w:rsidRDefault="007D462A" w:rsidP="007D462A">
            <w:pPr>
              <w:spacing w:before="120" w:after="120"/>
              <w:rPr>
                <w:rFonts w:cs="Calibri"/>
              </w:rPr>
            </w:pPr>
            <w:r w:rsidRPr="00ED52DC">
              <w:rPr>
                <w:rFonts w:cs="Calibri"/>
                <w:b/>
                <w:bCs/>
              </w:rPr>
              <w:t xml:space="preserve">Completed: </w:t>
            </w:r>
            <w:r w:rsidRPr="00ED52DC">
              <w:rPr>
                <w:rFonts w:cs="Calibri"/>
              </w:rPr>
              <w:t>21 October 2025: Agreed to establish a Working Group to develop the Framework</w:t>
            </w:r>
          </w:p>
          <w:p w14:paraId="7A1A4A7F" w14:textId="7788C08D" w:rsidR="00590406" w:rsidRPr="00ED52DC" w:rsidRDefault="007D462A" w:rsidP="00532400">
            <w:pPr>
              <w:spacing w:before="120" w:after="120"/>
              <w:rPr>
                <w:rFonts w:cs="Calibri"/>
              </w:rPr>
            </w:pPr>
            <w:r w:rsidRPr="00ED52DC">
              <w:rPr>
                <w:rFonts w:cs="Calibri"/>
                <w:b/>
                <w:bCs/>
              </w:rPr>
              <w:t xml:space="preserve">Completed: </w:t>
            </w:r>
            <w:r w:rsidR="00590406" w:rsidRPr="00ED52DC">
              <w:rPr>
                <w:rFonts w:cs="Calibri"/>
              </w:rPr>
              <w:t xml:space="preserve">11 November 2025: Partner workshop on approach to Framework </w:t>
            </w:r>
          </w:p>
          <w:p w14:paraId="0AF03CA9" w14:textId="77777777" w:rsidR="007D462A" w:rsidRPr="00ED52DC" w:rsidRDefault="007D462A" w:rsidP="007D462A">
            <w:pPr>
              <w:spacing w:before="120" w:after="120"/>
              <w:rPr>
                <w:rFonts w:cs="Calibri"/>
              </w:rPr>
            </w:pPr>
            <w:r w:rsidRPr="00ED52DC">
              <w:rPr>
                <w:rFonts w:cs="Calibri"/>
              </w:rPr>
              <w:t>May 2026:</w:t>
            </w:r>
            <w:r w:rsidRPr="00ED52DC">
              <w:rPr>
                <w:rFonts w:cs="Calibri"/>
                <w:i/>
                <w:iCs/>
              </w:rPr>
              <w:t xml:space="preserve"> </w:t>
            </w:r>
            <w:r w:rsidRPr="00ED52DC">
              <w:rPr>
                <w:rFonts w:cs="Calibri"/>
              </w:rPr>
              <w:t>Steering Group commences</w:t>
            </w:r>
          </w:p>
          <w:p w14:paraId="3D53DD23" w14:textId="77777777" w:rsidR="007D462A" w:rsidRPr="00ED52DC" w:rsidRDefault="007D462A" w:rsidP="007D462A">
            <w:pPr>
              <w:spacing w:before="120" w:after="120"/>
              <w:rPr>
                <w:rFonts w:cs="Calibri"/>
              </w:rPr>
            </w:pPr>
            <w:r w:rsidRPr="00ED52DC">
              <w:rPr>
                <w:rFonts w:cs="Calibri"/>
              </w:rPr>
              <w:t>July 2026: Discussion Paper delivered to Economic Partnership</w:t>
            </w:r>
          </w:p>
          <w:p w14:paraId="555754F7" w14:textId="77777777" w:rsidR="007D462A" w:rsidRPr="00ED52DC" w:rsidRDefault="007D462A" w:rsidP="007D462A">
            <w:pPr>
              <w:spacing w:before="120" w:after="120"/>
              <w:rPr>
                <w:rFonts w:cs="Calibri"/>
              </w:rPr>
            </w:pPr>
            <w:r w:rsidRPr="00ED52DC">
              <w:rPr>
                <w:rFonts w:cs="Calibri"/>
              </w:rPr>
              <w:t>October 2026: Draft Framework</w:t>
            </w:r>
          </w:p>
          <w:p w14:paraId="31C0398C" w14:textId="12636BFD" w:rsidR="00590406" w:rsidRPr="00ED52DC" w:rsidRDefault="007D462A" w:rsidP="007D462A">
            <w:pPr>
              <w:spacing w:before="120" w:after="120"/>
              <w:rPr>
                <w:rFonts w:cs="Calibri"/>
              </w:rPr>
            </w:pPr>
            <w:r w:rsidRPr="00ED52DC">
              <w:rPr>
                <w:rFonts w:cs="Calibri"/>
              </w:rPr>
              <w:t>December 2026: Final Framework</w:t>
            </w:r>
          </w:p>
          <w:p w14:paraId="366C79E4" w14:textId="77777777" w:rsidR="00590406" w:rsidRPr="00ED52DC" w:rsidRDefault="00590406" w:rsidP="00532400">
            <w:pPr>
              <w:spacing w:before="120" w:after="120"/>
              <w:rPr>
                <w:rFonts w:cs="Calibri"/>
              </w:rPr>
            </w:pPr>
          </w:p>
        </w:tc>
        <w:tc>
          <w:tcPr>
            <w:tcW w:w="2784" w:type="dxa"/>
          </w:tcPr>
          <w:p w14:paraId="1B562C10" w14:textId="3B649695" w:rsidR="007D462A" w:rsidRPr="007075E3" w:rsidRDefault="007D462A" w:rsidP="007D462A">
            <w:pPr>
              <w:keepNext/>
              <w:spacing w:before="120" w:after="120"/>
              <w:rPr>
                <w:rFonts w:cs="Calibri"/>
              </w:rPr>
            </w:pPr>
            <w:r>
              <w:rPr>
                <w:rFonts w:cs="Calibri"/>
              </w:rPr>
              <w:t>Steering Committee</w:t>
            </w:r>
            <w:r w:rsidRPr="0F2F2EF5">
              <w:rPr>
                <w:rFonts w:cs="Calibri"/>
              </w:rPr>
              <w:t xml:space="preserve"> co-chairs responsible for development of deliverables</w:t>
            </w:r>
          </w:p>
          <w:p w14:paraId="12F9766E" w14:textId="77777777" w:rsidR="00590406" w:rsidRDefault="007D462A" w:rsidP="007D462A">
            <w:pPr>
              <w:keepNext/>
              <w:spacing w:before="120" w:after="120"/>
              <w:rPr>
                <w:rFonts w:cs="Calibri"/>
              </w:rPr>
            </w:pPr>
            <w:r w:rsidRPr="0F2F2EF5">
              <w:rPr>
                <w:rFonts w:cs="Calibri"/>
              </w:rPr>
              <w:t>Partners to endorse deliverables</w:t>
            </w:r>
          </w:p>
          <w:p w14:paraId="5C82A976" w14:textId="3291C9BD" w:rsidR="00B7669B" w:rsidRPr="00FF2400" w:rsidRDefault="00B7669B" w:rsidP="007D462A">
            <w:pPr>
              <w:keepNext/>
              <w:spacing w:before="120" w:after="120"/>
              <w:rPr>
                <w:rFonts w:cs="Calibri"/>
              </w:rPr>
            </w:pPr>
          </w:p>
        </w:tc>
      </w:tr>
      <w:tr w:rsidR="00E050E3" w:rsidRPr="00FF2400" w14:paraId="1C2E112D" w14:textId="77777777">
        <w:tc>
          <w:tcPr>
            <w:tcW w:w="1555" w:type="dxa"/>
          </w:tcPr>
          <w:p w14:paraId="7E6FDC84" w14:textId="22E8B1EF" w:rsidR="00E050E3" w:rsidRPr="00693E45" w:rsidRDefault="00E050E3" w:rsidP="00E050E3">
            <w:pPr>
              <w:spacing w:before="120" w:after="120"/>
              <w:rPr>
                <w:rFonts w:cs="Calibri"/>
              </w:rPr>
            </w:pPr>
            <w:r w:rsidRPr="53462260">
              <w:rPr>
                <w:rFonts w:cs="Calibri"/>
              </w:rPr>
              <w:t>34</w:t>
            </w:r>
            <w:r w:rsidR="00826D0E" w:rsidRPr="53462260">
              <w:rPr>
                <w:rFonts w:cs="Calibri"/>
              </w:rPr>
              <w:t>(a)</w:t>
            </w:r>
          </w:p>
        </w:tc>
        <w:tc>
          <w:tcPr>
            <w:tcW w:w="2409" w:type="dxa"/>
          </w:tcPr>
          <w:p w14:paraId="5E10ECC4" w14:textId="77777777" w:rsidR="00E050E3" w:rsidRPr="00693E45" w:rsidRDefault="00E050E3" w:rsidP="00E050E3">
            <w:pPr>
              <w:spacing w:before="120" w:after="120"/>
              <w:rPr>
                <w:rFonts w:cs="Calibri"/>
              </w:rPr>
            </w:pPr>
            <w:r w:rsidRPr="53462260">
              <w:rPr>
                <w:rFonts w:cs="Calibri"/>
              </w:rPr>
              <w:t>Explore establishing a First Nations investment and finance council to consider opportunities to improve investment mechanisms, access to capital, including the improved role of Specialist Investment Vehicles (SIVs)</w:t>
            </w:r>
          </w:p>
          <w:p w14:paraId="246BBD00" w14:textId="4A580706" w:rsidR="00E050E3" w:rsidRPr="00693E45" w:rsidRDefault="00E050E3" w:rsidP="00E050E3">
            <w:pPr>
              <w:spacing w:before="120" w:after="120"/>
              <w:rPr>
                <w:rFonts w:cs="Calibri"/>
              </w:rPr>
            </w:pPr>
            <w:r w:rsidRPr="53462260">
              <w:rPr>
                <w:rFonts w:cs="Calibri"/>
              </w:rPr>
              <w:t>(See clause 34(a))</w:t>
            </w:r>
          </w:p>
        </w:tc>
        <w:tc>
          <w:tcPr>
            <w:tcW w:w="3481" w:type="dxa"/>
          </w:tcPr>
          <w:p w14:paraId="2E1259A2" w14:textId="572FDD74" w:rsidR="00E050E3" w:rsidRPr="00693E45" w:rsidRDefault="00E050E3" w:rsidP="00E050E3">
            <w:pPr>
              <w:spacing w:before="120" w:after="120"/>
              <w:rPr>
                <w:rFonts w:cs="Calibri"/>
                <w:b/>
              </w:rPr>
            </w:pPr>
            <w:r w:rsidRPr="53462260">
              <w:rPr>
                <w:rFonts w:cs="Calibri"/>
                <w:b/>
              </w:rPr>
              <w:t>3. Advice on strengthening (SIV) mandates</w:t>
            </w:r>
          </w:p>
          <w:p w14:paraId="11055746" w14:textId="77777777" w:rsidR="00E050E3" w:rsidRPr="00693E45" w:rsidRDefault="00E050E3" w:rsidP="00E050E3">
            <w:pPr>
              <w:spacing w:before="120" w:after="120"/>
              <w:rPr>
                <w:rFonts w:cs="Calibri"/>
                <w:i/>
              </w:rPr>
            </w:pPr>
            <w:r w:rsidRPr="53462260">
              <w:rPr>
                <w:rFonts w:cs="Calibri"/>
              </w:rPr>
              <w:t xml:space="preserve">This is intended as a short-term deliverable drawing on existing advice and recommendations. </w:t>
            </w:r>
          </w:p>
          <w:p w14:paraId="543E6504" w14:textId="14F1CD7B" w:rsidR="00E050E3" w:rsidRPr="00693E45" w:rsidRDefault="00E050E3" w:rsidP="00E050E3">
            <w:pPr>
              <w:spacing w:before="120" w:after="120"/>
              <w:rPr>
                <w:rFonts w:cs="Calibri"/>
                <w:b/>
              </w:rPr>
            </w:pPr>
            <w:r w:rsidRPr="53462260">
              <w:rPr>
                <w:rFonts w:cs="Calibri"/>
              </w:rPr>
              <w:t>Longer-term work will be progressed through the Access to Capital and Institutional Reform Working Group (see below).</w:t>
            </w:r>
          </w:p>
        </w:tc>
        <w:tc>
          <w:tcPr>
            <w:tcW w:w="3719" w:type="dxa"/>
          </w:tcPr>
          <w:p w14:paraId="03B239AD" w14:textId="205B6E8C" w:rsidR="002D1C05" w:rsidRPr="00ED52DC" w:rsidRDefault="00E050E3" w:rsidP="002D1C05">
            <w:pPr>
              <w:spacing w:before="120" w:after="120"/>
              <w:rPr>
                <w:rFonts w:cs="Calibri"/>
              </w:rPr>
            </w:pPr>
            <w:r w:rsidRPr="00ED52DC">
              <w:rPr>
                <w:rFonts w:cs="Calibri"/>
                <w:b/>
                <w:bCs/>
              </w:rPr>
              <w:t>June 2026:</w:t>
            </w:r>
            <w:r w:rsidRPr="00ED52DC">
              <w:rPr>
                <w:rFonts w:cs="Calibri"/>
              </w:rPr>
              <w:t xml:space="preserve"> </w:t>
            </w:r>
            <w:r w:rsidR="00BF1030" w:rsidRPr="00ED52DC">
              <w:rPr>
                <w:rFonts w:cs="Calibri"/>
              </w:rPr>
              <w:t xml:space="preserve">Interim </w:t>
            </w:r>
            <w:r w:rsidR="00DB27D0" w:rsidRPr="00ED52DC">
              <w:rPr>
                <w:rFonts w:cs="Calibri"/>
              </w:rPr>
              <w:t xml:space="preserve">report </w:t>
            </w:r>
            <w:r w:rsidR="00725CBE" w:rsidRPr="00ED52DC">
              <w:rPr>
                <w:rFonts w:cs="Calibri"/>
              </w:rPr>
              <w:t xml:space="preserve">finalised.  </w:t>
            </w:r>
          </w:p>
          <w:p w14:paraId="57AF780A" w14:textId="675B4270" w:rsidR="00DB27D0" w:rsidRPr="00ED52DC" w:rsidRDefault="00DB27D0" w:rsidP="00DB27D0">
            <w:pPr>
              <w:spacing w:before="120" w:after="120"/>
              <w:rPr>
                <w:rFonts w:cs="Calibri"/>
              </w:rPr>
            </w:pPr>
          </w:p>
          <w:p w14:paraId="3EDA9839" w14:textId="448F3561" w:rsidR="00725CBE" w:rsidRPr="00ED52DC" w:rsidRDefault="00725CBE" w:rsidP="00DB27D0">
            <w:pPr>
              <w:spacing w:before="120" w:after="120"/>
              <w:rPr>
                <w:rFonts w:cs="Calibri"/>
              </w:rPr>
            </w:pPr>
            <w:r w:rsidRPr="00ED52DC">
              <w:rPr>
                <w:rFonts w:cs="Calibri"/>
                <w:b/>
                <w:bCs/>
              </w:rPr>
              <w:t>December 2026.</w:t>
            </w:r>
            <w:r w:rsidRPr="00ED52DC">
              <w:rPr>
                <w:rFonts w:cs="Calibri"/>
              </w:rPr>
              <w:t xml:space="preserve"> Final Report finalised. </w:t>
            </w:r>
          </w:p>
          <w:p w14:paraId="78B6373F" w14:textId="019D04F5" w:rsidR="00E050E3" w:rsidRPr="00ED52DC" w:rsidRDefault="00E050E3" w:rsidP="00E050E3">
            <w:pPr>
              <w:spacing w:before="120" w:after="120"/>
              <w:rPr>
                <w:rFonts w:cs="Calibri"/>
                <w:b/>
              </w:rPr>
            </w:pPr>
          </w:p>
        </w:tc>
        <w:tc>
          <w:tcPr>
            <w:tcW w:w="2784" w:type="dxa"/>
          </w:tcPr>
          <w:p w14:paraId="01169DBD" w14:textId="77777777" w:rsidR="00E050E3" w:rsidRPr="00693E45" w:rsidRDefault="00E050E3" w:rsidP="00E050E3">
            <w:pPr>
              <w:keepNext/>
              <w:spacing w:before="120" w:after="120"/>
              <w:rPr>
                <w:rFonts w:cs="Calibri"/>
              </w:rPr>
            </w:pPr>
            <w:r w:rsidRPr="53462260">
              <w:rPr>
                <w:rFonts w:cs="Calibri"/>
              </w:rPr>
              <w:t>Government to draft for Partners’ consideration</w:t>
            </w:r>
            <w:r w:rsidRPr="53462260">
              <w:rPr>
                <w:rFonts w:cs="Calibri"/>
                <w:b/>
              </w:rPr>
              <w:t xml:space="preserve"> </w:t>
            </w:r>
            <w:r w:rsidRPr="53462260">
              <w:rPr>
                <w:rFonts w:cs="Calibri"/>
              </w:rPr>
              <w:t xml:space="preserve">– building on existing programs, reviews and approaches </w:t>
            </w:r>
          </w:p>
          <w:p w14:paraId="5BAE0B63" w14:textId="77777777" w:rsidR="00E050E3" w:rsidRPr="00693E45" w:rsidRDefault="00E050E3" w:rsidP="00E050E3">
            <w:pPr>
              <w:keepNext/>
              <w:spacing w:before="120" w:after="120"/>
              <w:rPr>
                <w:rFonts w:cs="Calibri"/>
              </w:rPr>
            </w:pPr>
            <w:r w:rsidRPr="53462260">
              <w:rPr>
                <w:rFonts w:cs="Calibri"/>
              </w:rPr>
              <w:t>Access to Capital and Institutional Arrangements Working Group to consider</w:t>
            </w:r>
          </w:p>
          <w:p w14:paraId="01726234" w14:textId="60488FE7" w:rsidR="00E050E3" w:rsidRPr="00693E45" w:rsidRDefault="00E050E3" w:rsidP="00E050E3">
            <w:pPr>
              <w:keepNext/>
              <w:spacing w:before="120" w:after="120"/>
              <w:rPr>
                <w:rFonts w:cs="Calibri"/>
              </w:rPr>
            </w:pPr>
            <w:r w:rsidRPr="53462260">
              <w:rPr>
                <w:rFonts w:cs="Calibri"/>
              </w:rPr>
              <w:t>Partners to endorse</w:t>
            </w:r>
          </w:p>
        </w:tc>
      </w:tr>
      <w:tr w:rsidR="00ED2833" w:rsidRPr="00FF2400" w14:paraId="5C825D0A" w14:textId="77777777">
        <w:tc>
          <w:tcPr>
            <w:tcW w:w="1555" w:type="dxa"/>
          </w:tcPr>
          <w:p w14:paraId="2FE4923E" w14:textId="77777777" w:rsidR="00ED2833" w:rsidRPr="00ED2833" w:rsidRDefault="00ED2833" w:rsidP="00ED2833">
            <w:pPr>
              <w:spacing w:before="120" w:after="120"/>
              <w:rPr>
                <w:rFonts w:cs="Calibri"/>
              </w:rPr>
            </w:pPr>
            <w:r w:rsidRPr="53462260">
              <w:rPr>
                <w:rFonts w:cs="Calibri"/>
              </w:rPr>
              <w:t xml:space="preserve">34(a) </w:t>
            </w:r>
          </w:p>
        </w:tc>
        <w:tc>
          <w:tcPr>
            <w:tcW w:w="2409" w:type="dxa"/>
          </w:tcPr>
          <w:p w14:paraId="16E4C7BD" w14:textId="77777777" w:rsidR="00ED2833" w:rsidRPr="00ED2833" w:rsidRDefault="00ED2833" w:rsidP="00ED2833">
            <w:pPr>
              <w:spacing w:before="120" w:after="120"/>
              <w:rPr>
                <w:rFonts w:cs="Calibri"/>
              </w:rPr>
            </w:pPr>
            <w:r w:rsidRPr="53462260">
              <w:rPr>
                <w:rFonts w:cs="Calibri"/>
              </w:rPr>
              <w:t>Explore establishing a First Nations investment and finance council</w:t>
            </w:r>
          </w:p>
          <w:p w14:paraId="6ECB2A8A" w14:textId="61CF55B4" w:rsidR="00ED2833" w:rsidRPr="00ED2833" w:rsidRDefault="00ED2833" w:rsidP="00ED2833">
            <w:pPr>
              <w:spacing w:before="120" w:after="120"/>
              <w:rPr>
                <w:rFonts w:cs="Calibri"/>
              </w:rPr>
            </w:pPr>
            <w:r w:rsidRPr="53462260">
              <w:rPr>
                <w:rFonts w:cs="Calibri"/>
              </w:rPr>
              <w:t>(See clause 34(a))</w:t>
            </w:r>
          </w:p>
        </w:tc>
        <w:tc>
          <w:tcPr>
            <w:tcW w:w="3481" w:type="dxa"/>
          </w:tcPr>
          <w:p w14:paraId="2F6653B0" w14:textId="7E3EC09F" w:rsidR="00ED2833" w:rsidRPr="000C3DAD" w:rsidRDefault="00ED2833" w:rsidP="00ED2833">
            <w:pPr>
              <w:spacing w:before="120" w:after="120"/>
              <w:rPr>
                <w:rFonts w:cs="Calibri"/>
                <w:b/>
              </w:rPr>
            </w:pPr>
            <w:r w:rsidRPr="000C3DAD">
              <w:rPr>
                <w:rFonts w:cs="Calibri"/>
                <w:b/>
              </w:rPr>
              <w:t xml:space="preserve">4. Explore establishing a First Nations investment and finance council  </w:t>
            </w:r>
          </w:p>
          <w:p w14:paraId="03A545A8" w14:textId="77777777" w:rsidR="00ED2833" w:rsidRPr="000C3DAD" w:rsidRDefault="00ED2833" w:rsidP="00ED2833">
            <w:pPr>
              <w:spacing w:before="120" w:after="120"/>
              <w:rPr>
                <w:rFonts w:cs="Calibri"/>
              </w:rPr>
            </w:pPr>
            <w:r w:rsidRPr="000C3DAD">
              <w:rPr>
                <w:rFonts w:cs="Calibri"/>
              </w:rPr>
              <w:t>This is a high priority for the Partnership, to be progressed through the Access to Capital and Institutional Arrangements Working Group.</w:t>
            </w:r>
          </w:p>
          <w:p w14:paraId="44F2848B" w14:textId="766DF2C7" w:rsidR="00ED2833" w:rsidRPr="000C3DAD" w:rsidRDefault="00ED2833" w:rsidP="00ED2833">
            <w:pPr>
              <w:spacing w:before="120" w:after="120"/>
              <w:rPr>
                <w:rFonts w:cs="Calibri"/>
              </w:rPr>
            </w:pPr>
            <w:r w:rsidRPr="000C3DAD">
              <w:rPr>
                <w:rFonts w:cs="Calibri"/>
              </w:rPr>
              <w:t>Work may include considering SIVs, the roles of IBA and ILS C, and private capital, building on existing programs and approaches.</w:t>
            </w:r>
          </w:p>
        </w:tc>
        <w:tc>
          <w:tcPr>
            <w:tcW w:w="3719" w:type="dxa"/>
          </w:tcPr>
          <w:p w14:paraId="7307B7B2" w14:textId="77777777" w:rsidR="00ED2833" w:rsidRPr="000C3DAD" w:rsidRDefault="00ED2833" w:rsidP="00ED2833">
            <w:pPr>
              <w:spacing w:before="120" w:after="120"/>
              <w:rPr>
                <w:rFonts w:cs="Calibri"/>
              </w:rPr>
            </w:pPr>
            <w:r w:rsidRPr="000C3DAD">
              <w:rPr>
                <w:rFonts w:cs="Calibri"/>
                <w:b/>
              </w:rPr>
              <w:t>C</w:t>
            </w:r>
            <w:r w:rsidRPr="000C3DAD">
              <w:rPr>
                <w:rFonts w:cs="Calibri"/>
                <w:b/>
                <w:bCs/>
              </w:rPr>
              <w:t>ompleted</w:t>
            </w:r>
            <w:r w:rsidRPr="000C3DAD">
              <w:rPr>
                <w:rFonts w:cs="Calibri"/>
              </w:rPr>
              <w:t xml:space="preserve"> 22 January 2025: Working Group Terms of Reference agreed </w:t>
            </w:r>
          </w:p>
          <w:p w14:paraId="0A1F2E2A" w14:textId="77777777" w:rsidR="00ED2833" w:rsidRPr="000C3DAD" w:rsidRDefault="00ED2833" w:rsidP="00ED2833">
            <w:pPr>
              <w:spacing w:before="120" w:after="120"/>
              <w:rPr>
                <w:rFonts w:cs="Calibri"/>
              </w:rPr>
            </w:pPr>
            <w:r w:rsidRPr="000C3DAD">
              <w:rPr>
                <w:rFonts w:cs="Calibri"/>
              </w:rPr>
              <w:t>March 2026: Working Group commences</w:t>
            </w:r>
          </w:p>
          <w:p w14:paraId="693AB688" w14:textId="77777777" w:rsidR="00ED2833" w:rsidRPr="000C3DAD" w:rsidRDefault="00ED2833" w:rsidP="00ED2833">
            <w:pPr>
              <w:spacing w:before="120" w:after="120"/>
              <w:rPr>
                <w:rFonts w:cs="Calibri"/>
              </w:rPr>
            </w:pPr>
            <w:r w:rsidRPr="000C3DAD">
              <w:rPr>
                <w:rFonts w:cs="Calibri"/>
              </w:rPr>
              <w:t>30 June 2026: Working Group Interim Report</w:t>
            </w:r>
          </w:p>
          <w:p w14:paraId="0C795EDE" w14:textId="77777777" w:rsidR="00ED2833" w:rsidRPr="000C3DAD" w:rsidRDefault="00ED2833" w:rsidP="00ED2833">
            <w:pPr>
              <w:spacing w:before="120" w:after="120"/>
              <w:rPr>
                <w:rFonts w:cs="Calibri"/>
              </w:rPr>
            </w:pPr>
            <w:r w:rsidRPr="000C3DAD">
              <w:rPr>
                <w:rFonts w:cs="Calibri"/>
              </w:rPr>
              <w:t xml:space="preserve">31 December 2026: Working Group Final Report </w:t>
            </w:r>
          </w:p>
          <w:p w14:paraId="22382CB3" w14:textId="27392DDC" w:rsidR="00ED2833" w:rsidRPr="000C3DAD" w:rsidRDefault="00ED2833" w:rsidP="00ED2833">
            <w:pPr>
              <w:spacing w:before="120" w:after="120"/>
              <w:rPr>
                <w:rFonts w:cs="Calibri"/>
                <w:b/>
              </w:rPr>
            </w:pPr>
            <w:r w:rsidRPr="000C3DAD">
              <w:rPr>
                <w:rFonts w:cs="Calibri"/>
                <w:i/>
              </w:rPr>
              <w:t xml:space="preserve">Detailed milestones to be agreed in the Working Group Work Schedule </w:t>
            </w:r>
          </w:p>
        </w:tc>
        <w:tc>
          <w:tcPr>
            <w:tcW w:w="2784" w:type="dxa"/>
          </w:tcPr>
          <w:p w14:paraId="57A12823" w14:textId="77777777" w:rsidR="00ED2833" w:rsidRPr="00ED2833" w:rsidRDefault="00ED2833" w:rsidP="00ED2833">
            <w:pPr>
              <w:keepNext/>
              <w:spacing w:before="120" w:after="120"/>
              <w:rPr>
                <w:rFonts w:cs="Calibri"/>
              </w:rPr>
            </w:pPr>
            <w:r w:rsidRPr="53462260">
              <w:rPr>
                <w:rFonts w:cs="Calibri"/>
              </w:rPr>
              <w:t>Working Group co-chairs responsible for development of deliverables</w:t>
            </w:r>
          </w:p>
          <w:p w14:paraId="7FBBA3A8" w14:textId="5C8DB109" w:rsidR="00ED2833" w:rsidRPr="00ED2833" w:rsidRDefault="00ED2833" w:rsidP="00ED2833">
            <w:pPr>
              <w:keepNext/>
              <w:spacing w:before="120" w:after="120"/>
              <w:rPr>
                <w:rFonts w:cs="Calibri"/>
              </w:rPr>
            </w:pPr>
            <w:r w:rsidRPr="53462260">
              <w:rPr>
                <w:rFonts w:cs="Calibri"/>
              </w:rPr>
              <w:t>Partners to endorse deliverables</w:t>
            </w:r>
          </w:p>
        </w:tc>
      </w:tr>
      <w:tr w:rsidR="00590406" w:rsidRPr="00FF2400" w14:paraId="15E49B97" w14:textId="77777777">
        <w:tc>
          <w:tcPr>
            <w:tcW w:w="1555" w:type="dxa"/>
          </w:tcPr>
          <w:p w14:paraId="45362CE8" w14:textId="77777777" w:rsidR="00590406" w:rsidRDefault="00590406" w:rsidP="00532400">
            <w:pPr>
              <w:spacing w:before="120" w:after="120"/>
              <w:rPr>
                <w:rFonts w:cs="Calibri"/>
              </w:rPr>
            </w:pPr>
            <w:r>
              <w:rPr>
                <w:rFonts w:cs="Calibri"/>
              </w:rPr>
              <w:t>34 (c)</w:t>
            </w:r>
          </w:p>
        </w:tc>
        <w:tc>
          <w:tcPr>
            <w:tcW w:w="2409" w:type="dxa"/>
          </w:tcPr>
          <w:p w14:paraId="4A659EB1" w14:textId="77777777" w:rsidR="00590406" w:rsidRDefault="00590406" w:rsidP="00532400">
            <w:pPr>
              <w:spacing w:before="120" w:after="120"/>
              <w:rPr>
                <w:rFonts w:cs="Calibri"/>
              </w:rPr>
            </w:pPr>
            <w:r>
              <w:rPr>
                <w:rFonts w:cs="Calibri"/>
              </w:rPr>
              <w:t xml:space="preserve">Explore </w:t>
            </w:r>
            <w:r w:rsidRPr="005360AF">
              <w:rPr>
                <w:rFonts w:cs="Calibri"/>
              </w:rPr>
              <w:t xml:space="preserve">developing an improved funding package for Prescribed Bodies Corporate </w:t>
            </w:r>
            <w:r>
              <w:rPr>
                <w:rFonts w:cs="Calibri"/>
              </w:rPr>
              <w:t xml:space="preserve">(PBCs) </w:t>
            </w:r>
            <w:r w:rsidRPr="005360AF">
              <w:rPr>
                <w:rFonts w:cs="Calibri"/>
              </w:rPr>
              <w:t>and other Traditional Owner Representative Institutions</w:t>
            </w:r>
          </w:p>
          <w:p w14:paraId="3785C10C" w14:textId="77777777" w:rsidR="00590406" w:rsidRDefault="00590406" w:rsidP="00532400">
            <w:pPr>
              <w:spacing w:before="120" w:after="120"/>
              <w:rPr>
                <w:rFonts w:cs="Calibri"/>
              </w:rPr>
            </w:pPr>
          </w:p>
        </w:tc>
        <w:tc>
          <w:tcPr>
            <w:tcW w:w="3481" w:type="dxa"/>
          </w:tcPr>
          <w:p w14:paraId="4308C931" w14:textId="2BFCA88B" w:rsidR="002D35A0" w:rsidRDefault="00500753" w:rsidP="00532400">
            <w:pPr>
              <w:spacing w:before="120" w:after="120"/>
              <w:rPr>
                <w:rFonts w:cs="Calibri"/>
                <w:b/>
                <w:bCs/>
              </w:rPr>
            </w:pPr>
            <w:r>
              <w:rPr>
                <w:rFonts w:cs="Calibri"/>
                <w:b/>
                <w:bCs/>
              </w:rPr>
              <w:t>6</w:t>
            </w:r>
            <w:r w:rsidR="002D35A0">
              <w:rPr>
                <w:rFonts w:cs="Calibri"/>
                <w:b/>
                <w:bCs/>
              </w:rPr>
              <w:t>. Advice on Prescribed Body Corporate (PBC) Funding</w:t>
            </w:r>
          </w:p>
          <w:p w14:paraId="214BAD8C" w14:textId="26847853" w:rsidR="00590406" w:rsidRDefault="00590406" w:rsidP="00532400">
            <w:pPr>
              <w:spacing w:before="120" w:after="120"/>
              <w:rPr>
                <w:rFonts w:cs="Calibri"/>
              </w:rPr>
            </w:pPr>
            <w:r w:rsidRPr="00FF2400">
              <w:rPr>
                <w:rFonts w:cs="Calibri"/>
              </w:rPr>
              <w:t>PBC Steering Group to consult Economic Partnership to inform development of advice on implementation of PBC funding announced on 2 August 2025, including advice on pathways to long-term reform of PBC funding.</w:t>
            </w:r>
          </w:p>
        </w:tc>
        <w:tc>
          <w:tcPr>
            <w:tcW w:w="3719" w:type="dxa"/>
          </w:tcPr>
          <w:p w14:paraId="4298A4D2" w14:textId="77777777" w:rsidR="00207383" w:rsidRPr="00D95BB5" w:rsidRDefault="00207383" w:rsidP="00207383">
            <w:pPr>
              <w:spacing w:before="120" w:after="120"/>
              <w:rPr>
                <w:rFonts w:cs="Calibri"/>
              </w:rPr>
            </w:pPr>
            <w:r w:rsidRPr="54E6AA6E">
              <w:rPr>
                <w:rFonts w:cs="Calibri"/>
                <w:b/>
              </w:rPr>
              <w:t>Completed</w:t>
            </w:r>
            <w:r w:rsidRPr="54E6AA6E">
              <w:rPr>
                <w:rFonts w:cs="Calibri"/>
              </w:rPr>
              <w:t xml:space="preserve"> 8 December 2025: Partners discussed and provided advice on implementation of PBC funding</w:t>
            </w:r>
          </w:p>
          <w:p w14:paraId="0DFCEC85" w14:textId="0C2D5814" w:rsidR="00590406" w:rsidRPr="00D95BB5" w:rsidRDefault="00590406" w:rsidP="00532400">
            <w:pPr>
              <w:spacing w:before="120" w:after="120"/>
              <w:rPr>
                <w:rFonts w:cs="Calibri"/>
                <w:highlight w:val="yellow"/>
              </w:rPr>
            </w:pPr>
          </w:p>
        </w:tc>
        <w:tc>
          <w:tcPr>
            <w:tcW w:w="2784" w:type="dxa"/>
          </w:tcPr>
          <w:p w14:paraId="69C33EEC" w14:textId="77777777" w:rsidR="00590406" w:rsidRDefault="00B7669B" w:rsidP="00B7669B">
            <w:pPr>
              <w:keepNext/>
              <w:spacing w:before="120" w:after="120"/>
              <w:rPr>
                <w:rFonts w:cs="Calibri"/>
              </w:rPr>
            </w:pPr>
            <w:r>
              <w:rPr>
                <w:rFonts w:cs="Calibri"/>
              </w:rPr>
              <w:t>PBC Steering Group</w:t>
            </w:r>
          </w:p>
          <w:p w14:paraId="38119742" w14:textId="5BC6F39E" w:rsidR="00B7669B" w:rsidRDefault="00B7669B" w:rsidP="00B7669B">
            <w:pPr>
              <w:keepNext/>
              <w:spacing w:before="120" w:after="120"/>
              <w:rPr>
                <w:rFonts w:cs="Calibri"/>
              </w:rPr>
            </w:pPr>
            <w:r>
              <w:rPr>
                <w:rFonts w:cs="Calibri"/>
              </w:rPr>
              <w:t>All Partners to provide advice on proposed approach.</w:t>
            </w:r>
          </w:p>
        </w:tc>
      </w:tr>
      <w:tr w:rsidR="00B7669B" w:rsidRPr="00FF2400" w14:paraId="57EDFCD3" w14:textId="77777777">
        <w:tc>
          <w:tcPr>
            <w:tcW w:w="1555" w:type="dxa"/>
          </w:tcPr>
          <w:p w14:paraId="7E31B6CF" w14:textId="77777777" w:rsidR="00B7669B" w:rsidRDefault="00B7669B" w:rsidP="00B7669B">
            <w:pPr>
              <w:spacing w:before="120" w:after="120"/>
              <w:rPr>
                <w:rFonts w:cs="Calibri"/>
              </w:rPr>
            </w:pPr>
            <w:r>
              <w:rPr>
                <w:rFonts w:cs="Calibri"/>
              </w:rPr>
              <w:t>34(d)</w:t>
            </w:r>
          </w:p>
        </w:tc>
        <w:tc>
          <w:tcPr>
            <w:tcW w:w="2409" w:type="dxa"/>
          </w:tcPr>
          <w:p w14:paraId="543F23ED" w14:textId="77777777" w:rsidR="00B7669B" w:rsidRDefault="00B7669B" w:rsidP="00B7669B">
            <w:pPr>
              <w:spacing w:before="120" w:after="120"/>
              <w:rPr>
                <w:rFonts w:cs="Calibri"/>
              </w:rPr>
            </w:pPr>
            <w:r>
              <w:rPr>
                <w:rFonts w:cs="Calibri"/>
              </w:rPr>
              <w:t>Explore e</w:t>
            </w:r>
            <w:r w:rsidRPr="006E7E45">
              <w:rPr>
                <w:rFonts w:cs="Calibri"/>
              </w:rPr>
              <w:t>stablishing</w:t>
            </w:r>
            <w:r>
              <w:rPr>
                <w:rFonts w:cs="Calibri"/>
              </w:rPr>
              <w:t xml:space="preserve"> </w:t>
            </w:r>
            <w:r w:rsidRPr="006E7E45">
              <w:rPr>
                <w:rFonts w:cs="Calibri"/>
              </w:rPr>
              <w:t>Economic Inclusion Zones led by local First Nations organisations to develop and implement employment, education and training initiatives; identify and remove systemic policy and program barriers; deploy flexible and pooled funding; and strengthen economic participation in sectors such as the care economy, infrastructure and maintenance, cultural enterprises, and land and water management</w:t>
            </w:r>
          </w:p>
        </w:tc>
        <w:tc>
          <w:tcPr>
            <w:tcW w:w="3481" w:type="dxa"/>
          </w:tcPr>
          <w:p w14:paraId="3896B28E" w14:textId="5B7B81FD" w:rsidR="00B7669B" w:rsidRDefault="00500753" w:rsidP="00B7669B">
            <w:pPr>
              <w:spacing w:before="120" w:after="120"/>
              <w:rPr>
                <w:rFonts w:cs="Calibri"/>
                <w:b/>
                <w:bCs/>
              </w:rPr>
            </w:pPr>
            <w:r>
              <w:rPr>
                <w:rFonts w:cs="Calibri"/>
                <w:b/>
                <w:bCs/>
              </w:rPr>
              <w:t>7</w:t>
            </w:r>
            <w:r w:rsidR="00B7669B">
              <w:rPr>
                <w:rFonts w:cs="Calibri"/>
                <w:b/>
                <w:bCs/>
              </w:rPr>
              <w:t>. Explore development of Economic Inclusion Zones</w:t>
            </w:r>
          </w:p>
          <w:p w14:paraId="15521756" w14:textId="7846361B" w:rsidR="00B7669B" w:rsidRDefault="00B7669B" w:rsidP="00B7669B">
            <w:pPr>
              <w:spacing w:before="120" w:after="120"/>
              <w:rPr>
                <w:rFonts w:cs="Calibri"/>
              </w:rPr>
            </w:pPr>
            <w:r>
              <w:rPr>
                <w:rFonts w:cs="Calibri"/>
              </w:rPr>
              <w:t xml:space="preserve">Develop an approach to exploring this priority. </w:t>
            </w:r>
          </w:p>
          <w:p w14:paraId="095608B9" w14:textId="77777777" w:rsidR="00B7669B" w:rsidRPr="00E5212E" w:rsidRDefault="00B7669B" w:rsidP="00B7669B">
            <w:pPr>
              <w:spacing w:before="120" w:after="120"/>
              <w:rPr>
                <w:rFonts w:cs="Calibri"/>
                <w:b/>
                <w:bCs/>
              </w:rPr>
            </w:pPr>
            <w:r>
              <w:rPr>
                <w:rFonts w:cs="Calibri"/>
              </w:rPr>
              <w:t>Work will b</w:t>
            </w:r>
            <w:r w:rsidRPr="00FC21B0">
              <w:rPr>
                <w:rFonts w:cs="Calibri"/>
              </w:rPr>
              <w:t>uild on existing programs and approaches</w:t>
            </w:r>
          </w:p>
        </w:tc>
        <w:tc>
          <w:tcPr>
            <w:tcW w:w="3719" w:type="dxa"/>
          </w:tcPr>
          <w:p w14:paraId="6F515F59" w14:textId="215B055C" w:rsidR="00B7669B" w:rsidRPr="003C0FBE" w:rsidRDefault="00B7669B" w:rsidP="00B7669B">
            <w:pPr>
              <w:spacing w:before="120" w:after="120"/>
              <w:rPr>
                <w:rFonts w:cs="Calibri"/>
              </w:rPr>
            </w:pPr>
            <w:r w:rsidRPr="003C0FBE">
              <w:rPr>
                <w:rFonts w:cs="Calibri"/>
                <w:b/>
                <w:bCs/>
              </w:rPr>
              <w:t>Completed:</w:t>
            </w:r>
            <w:r w:rsidRPr="003C0FBE">
              <w:rPr>
                <w:rFonts w:cs="Calibri"/>
              </w:rPr>
              <w:t xml:space="preserve"> 22 January 2026: Working Group Terms of Reference agreed </w:t>
            </w:r>
          </w:p>
          <w:p w14:paraId="1FC3CA8D" w14:textId="2A459AEB" w:rsidR="00B7669B" w:rsidRPr="003C0FBE" w:rsidRDefault="00B7669B" w:rsidP="00B7669B">
            <w:pPr>
              <w:spacing w:before="120" w:after="120"/>
              <w:rPr>
                <w:rFonts w:cs="Calibri"/>
              </w:rPr>
            </w:pPr>
            <w:r w:rsidRPr="003C0FBE">
              <w:rPr>
                <w:rFonts w:cs="Calibri"/>
                <w:b/>
                <w:bCs/>
              </w:rPr>
              <w:t xml:space="preserve">Completed: </w:t>
            </w:r>
            <w:r w:rsidRPr="003C0FBE">
              <w:rPr>
                <w:rFonts w:cs="Calibri"/>
              </w:rPr>
              <w:t>March 2026</w:t>
            </w:r>
            <w:r w:rsidRPr="003C0FBE">
              <w:rPr>
                <w:rFonts w:cs="Calibri"/>
                <w:i/>
                <w:iCs/>
              </w:rPr>
              <w:t xml:space="preserve">: </w:t>
            </w:r>
            <w:r w:rsidRPr="003C0FBE">
              <w:rPr>
                <w:rFonts w:cs="Calibri"/>
              </w:rPr>
              <w:t>Working Group commences</w:t>
            </w:r>
          </w:p>
          <w:p w14:paraId="353E4862" w14:textId="77777777" w:rsidR="00B7669B" w:rsidRPr="003C0FBE" w:rsidRDefault="00B7669B" w:rsidP="00B7669B">
            <w:pPr>
              <w:spacing w:before="120" w:after="120"/>
              <w:rPr>
                <w:rFonts w:cs="Calibri"/>
              </w:rPr>
            </w:pPr>
            <w:r w:rsidRPr="003C0FBE">
              <w:rPr>
                <w:rFonts w:cs="Calibri"/>
              </w:rPr>
              <w:t xml:space="preserve">31 December 2026: Working Group Report (exploring development of Economic Inclusion Zones) </w:t>
            </w:r>
          </w:p>
          <w:p w14:paraId="449969D0" w14:textId="316BA42E" w:rsidR="00B7669B" w:rsidRDefault="00B7669B" w:rsidP="00B7669B">
            <w:pPr>
              <w:spacing w:before="120" w:after="120"/>
              <w:rPr>
                <w:rFonts w:cs="Calibri"/>
              </w:rPr>
            </w:pPr>
            <w:r w:rsidRPr="003C0FBE">
              <w:rPr>
                <w:rFonts w:cs="Calibri"/>
                <w:i/>
                <w:iCs/>
              </w:rPr>
              <w:t>Detailed milestones to be agreed in the Working Group Work Schedule</w:t>
            </w:r>
          </w:p>
        </w:tc>
        <w:tc>
          <w:tcPr>
            <w:tcW w:w="2784" w:type="dxa"/>
          </w:tcPr>
          <w:p w14:paraId="734433C9" w14:textId="15533C29" w:rsidR="00B7669B" w:rsidRPr="00763023" w:rsidRDefault="00B7669B" w:rsidP="00B7669B">
            <w:pPr>
              <w:keepNext/>
              <w:spacing w:before="120" w:after="120"/>
              <w:rPr>
                <w:rFonts w:cs="Calibri"/>
              </w:rPr>
            </w:pPr>
            <w:r>
              <w:rPr>
                <w:rFonts w:cs="Calibri"/>
              </w:rPr>
              <w:t>Employment and Career Pathways Working Group to consider.</w:t>
            </w:r>
          </w:p>
          <w:p w14:paraId="1A838A93" w14:textId="77777777" w:rsidR="00B7669B" w:rsidRPr="002D35A0" w:rsidRDefault="00B7669B" w:rsidP="00B7669B">
            <w:pPr>
              <w:keepNext/>
              <w:spacing w:before="120" w:after="120"/>
              <w:rPr>
                <w:rFonts w:cs="Calibri"/>
              </w:rPr>
            </w:pPr>
            <w:r w:rsidRPr="002D35A0">
              <w:rPr>
                <w:rFonts w:cs="Calibri"/>
              </w:rPr>
              <w:t>Working Group co-chairs responsible for development of deliverables</w:t>
            </w:r>
          </w:p>
          <w:p w14:paraId="4367FA40" w14:textId="77777777" w:rsidR="00B7669B" w:rsidRDefault="00B7669B" w:rsidP="00B7669B">
            <w:pPr>
              <w:keepNext/>
              <w:spacing w:before="120" w:after="120"/>
              <w:rPr>
                <w:rFonts w:cs="Calibri"/>
              </w:rPr>
            </w:pPr>
            <w:r w:rsidRPr="002D35A0">
              <w:rPr>
                <w:rFonts w:cs="Calibri"/>
              </w:rPr>
              <w:t>Partners to endorse deliverables</w:t>
            </w:r>
          </w:p>
          <w:p w14:paraId="06F842B8" w14:textId="35CAEBC2" w:rsidR="00B7669B" w:rsidRDefault="00B7669B" w:rsidP="00B7669B">
            <w:pPr>
              <w:keepNext/>
              <w:spacing w:before="120" w:after="120"/>
              <w:rPr>
                <w:rFonts w:cs="Calibri"/>
              </w:rPr>
            </w:pPr>
            <w:r>
              <w:rPr>
                <w:rFonts w:cs="Calibri"/>
              </w:rPr>
              <w:t>Leads: Coalition of Peaks, NIAA</w:t>
            </w:r>
          </w:p>
          <w:p w14:paraId="381D5260" w14:textId="569A29D8" w:rsidR="00B7669B" w:rsidRPr="298A2CFD" w:rsidRDefault="00B7669B" w:rsidP="00B7669B">
            <w:pPr>
              <w:spacing w:before="120" w:after="120"/>
              <w:rPr>
                <w:rFonts w:cs="Calibri"/>
              </w:rPr>
            </w:pPr>
          </w:p>
        </w:tc>
      </w:tr>
      <w:tr w:rsidR="00B7669B" w:rsidRPr="00FF2400" w14:paraId="777EC558" w14:textId="77777777">
        <w:tc>
          <w:tcPr>
            <w:tcW w:w="1555" w:type="dxa"/>
          </w:tcPr>
          <w:p w14:paraId="6008FD39" w14:textId="77777777" w:rsidR="00B7669B" w:rsidRDefault="00B7669B" w:rsidP="00B7669B">
            <w:pPr>
              <w:spacing w:before="120" w:after="120"/>
              <w:rPr>
                <w:rFonts w:cs="Calibri"/>
              </w:rPr>
            </w:pPr>
            <w:r>
              <w:rPr>
                <w:rFonts w:cs="Calibri"/>
              </w:rPr>
              <w:t>34 (e)</w:t>
            </w:r>
          </w:p>
        </w:tc>
        <w:tc>
          <w:tcPr>
            <w:tcW w:w="2409" w:type="dxa"/>
          </w:tcPr>
          <w:p w14:paraId="53E753FD" w14:textId="77777777" w:rsidR="00B7669B" w:rsidRPr="0074197A" w:rsidRDefault="00B7669B" w:rsidP="00B7669B">
            <w:pPr>
              <w:spacing w:before="120" w:after="120"/>
              <w:rPr>
                <w:rFonts w:cs="Calibri"/>
              </w:rPr>
            </w:pPr>
            <w:r w:rsidRPr="3360B909">
              <w:rPr>
                <w:rFonts w:cs="Calibri"/>
              </w:rPr>
              <w:t>Through new or existing measures, design funded programs to grow secure employment and career pathways for First Nations people in the Aboriginal and Torres Strait Islander community-controlled sector, supporting transitions from unemployment, achieving wage parity, creating new job streams, investing in professional development, and prioritising community-led service delivery in emerging local economies, including the care economy</w:t>
            </w:r>
          </w:p>
          <w:p w14:paraId="6C8DFA68" w14:textId="77777777" w:rsidR="00B7669B" w:rsidRPr="0074197A" w:rsidRDefault="00B7669B" w:rsidP="00B7669B">
            <w:pPr>
              <w:spacing w:before="120" w:after="120"/>
              <w:rPr>
                <w:rFonts w:cs="Calibri"/>
              </w:rPr>
            </w:pPr>
          </w:p>
        </w:tc>
        <w:tc>
          <w:tcPr>
            <w:tcW w:w="3481" w:type="dxa"/>
          </w:tcPr>
          <w:p w14:paraId="18D61FB2" w14:textId="71D3184E" w:rsidR="00B7669B" w:rsidRPr="00B7669B" w:rsidRDefault="00D70711" w:rsidP="00B7669B">
            <w:pPr>
              <w:spacing w:before="120" w:after="120"/>
              <w:rPr>
                <w:rFonts w:cs="Calibri"/>
                <w:b/>
                <w:bCs/>
              </w:rPr>
            </w:pPr>
            <w:r>
              <w:rPr>
                <w:rFonts w:cs="Calibri"/>
                <w:b/>
                <w:bCs/>
              </w:rPr>
              <w:t>8</w:t>
            </w:r>
            <w:r w:rsidR="00B7669B">
              <w:rPr>
                <w:rFonts w:cs="Calibri"/>
                <w:b/>
                <w:bCs/>
              </w:rPr>
              <w:t xml:space="preserve">. Explore approaches to grow secure employment and career pathways in </w:t>
            </w:r>
            <w:proofErr w:type="gramStart"/>
            <w:r w:rsidR="00B7669B">
              <w:rPr>
                <w:rFonts w:cs="Calibri"/>
                <w:b/>
                <w:bCs/>
              </w:rPr>
              <w:t>community controlled</w:t>
            </w:r>
            <w:proofErr w:type="gramEnd"/>
            <w:r w:rsidR="00B7669B">
              <w:rPr>
                <w:rFonts w:cs="Calibri"/>
                <w:b/>
                <w:bCs/>
              </w:rPr>
              <w:t xml:space="preserve"> sector and support capacity building</w:t>
            </w:r>
          </w:p>
          <w:p w14:paraId="1DCC5E65" w14:textId="62169EC7" w:rsidR="00B7669B" w:rsidRPr="00257E68" w:rsidRDefault="00B7669B" w:rsidP="00B7669B">
            <w:pPr>
              <w:spacing w:before="120" w:after="120"/>
              <w:rPr>
                <w:rFonts w:cs="Calibri"/>
              </w:rPr>
            </w:pPr>
            <w:r>
              <w:rPr>
                <w:rFonts w:cs="Calibri"/>
              </w:rPr>
              <w:t>This is a high priority for the Partnership, to be progressed through a new em</w:t>
            </w:r>
            <w:r w:rsidRPr="00257E68">
              <w:rPr>
                <w:rFonts w:cs="Calibri"/>
              </w:rPr>
              <w:t>ployment and career pathways Working Group.</w:t>
            </w:r>
          </w:p>
          <w:p w14:paraId="444E10D9" w14:textId="77777777" w:rsidR="00B7669B" w:rsidRDefault="00B7669B" w:rsidP="00B7669B">
            <w:pPr>
              <w:spacing w:before="120" w:after="120"/>
              <w:rPr>
                <w:rFonts w:cs="Calibri"/>
                <w:b/>
                <w:bCs/>
              </w:rPr>
            </w:pPr>
            <w:r w:rsidRPr="00257E68">
              <w:rPr>
                <w:rFonts w:cs="Calibri"/>
              </w:rPr>
              <w:t>Work may include</w:t>
            </w:r>
            <w:r w:rsidRPr="00E0255D">
              <w:rPr>
                <w:rFonts w:cs="Calibri"/>
              </w:rPr>
              <w:t xml:space="preserve"> existing programs like Remote Jobs and Economic Development program and mobile TAFEs, as well as opportunities in specific sectors</w:t>
            </w:r>
            <w:r w:rsidRPr="00257E68">
              <w:rPr>
                <w:rFonts w:cs="Calibri"/>
              </w:rPr>
              <w:t>.</w:t>
            </w:r>
          </w:p>
        </w:tc>
        <w:tc>
          <w:tcPr>
            <w:tcW w:w="3719" w:type="dxa"/>
          </w:tcPr>
          <w:p w14:paraId="504524C9" w14:textId="387882C0" w:rsidR="00B7669B" w:rsidRPr="003C0FBE" w:rsidRDefault="00B7669B" w:rsidP="00B7669B">
            <w:pPr>
              <w:spacing w:before="120" w:after="120"/>
              <w:rPr>
                <w:rFonts w:cs="Calibri"/>
              </w:rPr>
            </w:pPr>
            <w:r w:rsidRPr="003C0FBE">
              <w:rPr>
                <w:rFonts w:cs="Calibri"/>
                <w:b/>
                <w:bCs/>
              </w:rPr>
              <w:t>Completed:</w:t>
            </w:r>
            <w:r w:rsidRPr="003C0FBE">
              <w:rPr>
                <w:rFonts w:cs="Calibri"/>
              </w:rPr>
              <w:t xml:space="preserve"> 22 January 2026: Working Group Terms of Reference agreed </w:t>
            </w:r>
          </w:p>
          <w:p w14:paraId="07A121C4" w14:textId="011547EF" w:rsidR="00B7669B" w:rsidRPr="003C0FBE" w:rsidRDefault="00B7669B" w:rsidP="00B7669B">
            <w:pPr>
              <w:spacing w:before="120" w:after="120"/>
              <w:rPr>
                <w:rFonts w:cs="Calibri"/>
              </w:rPr>
            </w:pPr>
            <w:r w:rsidRPr="003C0FBE">
              <w:rPr>
                <w:rFonts w:cs="Calibri"/>
                <w:b/>
                <w:bCs/>
              </w:rPr>
              <w:t xml:space="preserve">Completed: </w:t>
            </w:r>
            <w:r w:rsidRPr="003C0FBE">
              <w:rPr>
                <w:rFonts w:cs="Calibri"/>
              </w:rPr>
              <w:t>March 2026:</w:t>
            </w:r>
            <w:r w:rsidRPr="003C0FBE">
              <w:rPr>
                <w:rFonts w:cs="Calibri"/>
                <w:i/>
                <w:iCs/>
              </w:rPr>
              <w:t xml:space="preserve"> </w:t>
            </w:r>
            <w:r w:rsidRPr="003C0FBE">
              <w:rPr>
                <w:rFonts w:cs="Calibri"/>
              </w:rPr>
              <w:t>Working Group commences</w:t>
            </w:r>
          </w:p>
          <w:p w14:paraId="4B992183" w14:textId="77777777" w:rsidR="00B7669B" w:rsidRPr="003C0FBE" w:rsidRDefault="00B7669B" w:rsidP="00B7669B">
            <w:pPr>
              <w:spacing w:before="120" w:after="120"/>
              <w:rPr>
                <w:rFonts w:cs="Calibri"/>
              </w:rPr>
            </w:pPr>
            <w:r w:rsidRPr="003C0FBE">
              <w:rPr>
                <w:rFonts w:cs="Calibri"/>
              </w:rPr>
              <w:t>30 June 2026: Working Group Report (exploring approaches to grow secure employment and career pathways)</w:t>
            </w:r>
          </w:p>
          <w:p w14:paraId="693A7375" w14:textId="4CA7791A" w:rsidR="00B7669B" w:rsidRDefault="00B7669B" w:rsidP="00B7669B">
            <w:pPr>
              <w:spacing w:before="120" w:after="120"/>
              <w:rPr>
                <w:rFonts w:cs="Calibri"/>
              </w:rPr>
            </w:pPr>
            <w:r w:rsidRPr="003C0FBE">
              <w:rPr>
                <w:rFonts w:cs="Calibri"/>
                <w:i/>
                <w:iCs/>
              </w:rPr>
              <w:t>Detailed milestones to be agreed in the Working Group Work Schedule</w:t>
            </w:r>
          </w:p>
          <w:p w14:paraId="026C3869" w14:textId="77777777" w:rsidR="00B7669B" w:rsidRDefault="00B7669B" w:rsidP="00B7669B">
            <w:pPr>
              <w:spacing w:before="120" w:after="120"/>
              <w:rPr>
                <w:rFonts w:cs="Calibri"/>
              </w:rPr>
            </w:pPr>
          </w:p>
          <w:p w14:paraId="0CBCC3A7" w14:textId="77777777" w:rsidR="00B7669B" w:rsidRDefault="00B7669B" w:rsidP="00B7669B">
            <w:pPr>
              <w:spacing w:before="120" w:after="120"/>
              <w:rPr>
                <w:rFonts w:cs="Calibri"/>
              </w:rPr>
            </w:pPr>
          </w:p>
        </w:tc>
        <w:tc>
          <w:tcPr>
            <w:tcW w:w="2784" w:type="dxa"/>
          </w:tcPr>
          <w:p w14:paraId="18F06825" w14:textId="77777777" w:rsidR="00B7669B" w:rsidRPr="00763023" w:rsidRDefault="00B7669B" w:rsidP="00B7669B">
            <w:pPr>
              <w:keepNext/>
              <w:spacing w:before="120" w:after="120"/>
              <w:rPr>
                <w:rFonts w:cs="Calibri"/>
              </w:rPr>
            </w:pPr>
            <w:r>
              <w:rPr>
                <w:rFonts w:cs="Calibri"/>
              </w:rPr>
              <w:t>Employment and Career Pathways Working Group to consider.</w:t>
            </w:r>
          </w:p>
          <w:p w14:paraId="59D81DEB" w14:textId="77777777" w:rsidR="00B7669B" w:rsidRPr="002D35A0" w:rsidRDefault="00B7669B" w:rsidP="00B7669B">
            <w:pPr>
              <w:keepNext/>
              <w:spacing w:before="120" w:after="120"/>
              <w:rPr>
                <w:rFonts w:cs="Calibri"/>
              </w:rPr>
            </w:pPr>
            <w:r w:rsidRPr="002D35A0">
              <w:rPr>
                <w:rFonts w:cs="Calibri"/>
              </w:rPr>
              <w:t>Working Group co-chairs responsible for development of deliverables</w:t>
            </w:r>
          </w:p>
          <w:p w14:paraId="5300AF57" w14:textId="77777777" w:rsidR="00B7669B" w:rsidRDefault="00B7669B" w:rsidP="00B7669B">
            <w:pPr>
              <w:keepNext/>
              <w:spacing w:before="120" w:after="120"/>
              <w:rPr>
                <w:rFonts w:cs="Calibri"/>
              </w:rPr>
            </w:pPr>
            <w:r w:rsidRPr="002D35A0">
              <w:rPr>
                <w:rFonts w:cs="Calibri"/>
              </w:rPr>
              <w:t>Partners to endorse deliverables</w:t>
            </w:r>
          </w:p>
          <w:p w14:paraId="5C5376D1" w14:textId="77777777" w:rsidR="00B7669B" w:rsidRDefault="00B7669B" w:rsidP="00B7669B">
            <w:pPr>
              <w:keepNext/>
              <w:spacing w:before="120" w:after="120"/>
              <w:rPr>
                <w:rFonts w:cs="Calibri"/>
              </w:rPr>
            </w:pPr>
            <w:r>
              <w:rPr>
                <w:rFonts w:cs="Calibri"/>
              </w:rPr>
              <w:t>Leads: Coalition of Peaks, NIAA</w:t>
            </w:r>
          </w:p>
          <w:p w14:paraId="6283DB3E" w14:textId="19742D09" w:rsidR="00B7669B" w:rsidRPr="00FF2400" w:rsidRDefault="00B7669B" w:rsidP="00B7669B">
            <w:pPr>
              <w:keepNext/>
              <w:spacing w:before="120" w:after="120"/>
              <w:rPr>
                <w:rFonts w:cs="Calibri"/>
              </w:rPr>
            </w:pPr>
          </w:p>
        </w:tc>
      </w:tr>
      <w:tr w:rsidR="00B7669B" w:rsidRPr="00FF2400" w14:paraId="5757A308" w14:textId="77777777">
        <w:trPr>
          <w:trHeight w:val="562"/>
        </w:trPr>
        <w:tc>
          <w:tcPr>
            <w:tcW w:w="1555" w:type="dxa"/>
          </w:tcPr>
          <w:p w14:paraId="5565A96B" w14:textId="77777777" w:rsidR="00B7669B" w:rsidRDefault="00B7669B" w:rsidP="00B7669B">
            <w:pPr>
              <w:spacing w:before="120" w:after="120"/>
              <w:rPr>
                <w:rFonts w:cs="Calibri"/>
              </w:rPr>
            </w:pPr>
            <w:r>
              <w:rPr>
                <w:rFonts w:cs="Calibri"/>
              </w:rPr>
              <w:t>34(f)</w:t>
            </w:r>
          </w:p>
        </w:tc>
        <w:tc>
          <w:tcPr>
            <w:tcW w:w="2409" w:type="dxa"/>
          </w:tcPr>
          <w:p w14:paraId="38214FCE" w14:textId="77777777" w:rsidR="00B7669B" w:rsidRPr="00E0255D" w:rsidRDefault="00B7669B" w:rsidP="00B7669B">
            <w:pPr>
              <w:spacing w:before="120" w:after="120"/>
              <w:rPr>
                <w:rFonts w:cs="Calibri"/>
              </w:rPr>
            </w:pPr>
            <w:r w:rsidRPr="002F3F29">
              <w:rPr>
                <w:rFonts w:cs="Calibri"/>
              </w:rPr>
              <w:t>Strengthening the outcomes and accountability of the Commonwealth’s Indigenous Procurement Policy</w:t>
            </w:r>
            <w:r>
              <w:rPr>
                <w:rFonts w:cs="Calibri"/>
              </w:rPr>
              <w:t xml:space="preserve"> (IPP)</w:t>
            </w:r>
            <w:r w:rsidRPr="002F3F29">
              <w:rPr>
                <w:rFonts w:cs="Calibri"/>
              </w:rPr>
              <w:t xml:space="preserve">, including implementation of the agreed recommendations from the June 2025 Australian National Audit Office report </w:t>
            </w:r>
            <w:r w:rsidRPr="003E566A">
              <w:rPr>
                <w:rFonts w:cs="Calibri"/>
                <w:i/>
                <w:iCs/>
              </w:rPr>
              <w:t>Targets for Minimum Indigenous Employment or Supply Use in Major Australian Government Procurements</w:t>
            </w:r>
            <w:r w:rsidRPr="003E566A">
              <w:rPr>
                <w:rFonts w:cs="Calibri" w:hint="eastAsia"/>
                <w:i/>
                <w:iCs/>
              </w:rPr>
              <w:t>—</w:t>
            </w:r>
            <w:r w:rsidRPr="003E566A">
              <w:rPr>
                <w:rFonts w:cs="Calibri"/>
                <w:i/>
                <w:iCs/>
              </w:rPr>
              <w:t>Follow-up</w:t>
            </w:r>
            <w:r w:rsidRPr="002F3F29">
              <w:rPr>
                <w:rFonts w:cs="Calibri"/>
              </w:rPr>
              <w:t xml:space="preserve"> </w:t>
            </w:r>
          </w:p>
        </w:tc>
        <w:tc>
          <w:tcPr>
            <w:tcW w:w="3481" w:type="dxa"/>
          </w:tcPr>
          <w:p w14:paraId="31868078" w14:textId="3B33D8F4" w:rsidR="00B7669B" w:rsidRPr="00B7669B" w:rsidRDefault="00D70711" w:rsidP="00B7669B">
            <w:pPr>
              <w:spacing w:before="120" w:after="120"/>
              <w:rPr>
                <w:rFonts w:cs="Calibri"/>
                <w:b/>
                <w:bCs/>
              </w:rPr>
            </w:pPr>
            <w:r>
              <w:rPr>
                <w:rFonts w:cs="Calibri"/>
                <w:b/>
                <w:bCs/>
              </w:rPr>
              <w:t>9</w:t>
            </w:r>
            <w:r w:rsidR="00B7669B">
              <w:rPr>
                <w:rFonts w:cs="Calibri"/>
                <w:b/>
                <w:bCs/>
              </w:rPr>
              <w:t>. Indigenous Procurement Policy (IPP)</w:t>
            </w:r>
          </w:p>
          <w:p w14:paraId="70FF54D2" w14:textId="12ED37E8" w:rsidR="00B7669B" w:rsidRPr="004C0B72" w:rsidRDefault="00B7669B" w:rsidP="00B7669B">
            <w:pPr>
              <w:spacing w:before="120" w:after="120"/>
              <w:rPr>
                <w:rFonts w:cs="Calibri"/>
              </w:rPr>
            </w:pPr>
            <w:r w:rsidRPr="004C0B72">
              <w:rPr>
                <w:rFonts w:cs="Calibri"/>
              </w:rPr>
              <w:t>Explore strengthening the outcomes and accountability of the IPP</w:t>
            </w:r>
          </w:p>
          <w:p w14:paraId="0E65E4F8" w14:textId="77777777" w:rsidR="00B7669B" w:rsidRPr="003A078B" w:rsidRDefault="00B7669B" w:rsidP="00B7669B">
            <w:pPr>
              <w:spacing w:before="120" w:after="120"/>
              <w:rPr>
                <w:rFonts w:cs="Calibri"/>
              </w:rPr>
            </w:pPr>
          </w:p>
        </w:tc>
        <w:tc>
          <w:tcPr>
            <w:tcW w:w="3719" w:type="dxa"/>
          </w:tcPr>
          <w:p w14:paraId="760DA820" w14:textId="50FC3A07" w:rsidR="00B7669B" w:rsidRDefault="00B7669B" w:rsidP="00B7669B">
            <w:pPr>
              <w:spacing w:before="120" w:after="120"/>
              <w:rPr>
                <w:rFonts w:cs="Calibri"/>
              </w:rPr>
            </w:pPr>
            <w:r>
              <w:rPr>
                <w:rFonts w:cs="Calibri"/>
                <w:b/>
                <w:bCs/>
              </w:rPr>
              <w:t xml:space="preserve">Completed: </w:t>
            </w:r>
            <w:r>
              <w:rPr>
                <w:rFonts w:cs="Calibri"/>
              </w:rPr>
              <w:t xml:space="preserve">18 February 2026: Advice on IPP, </w:t>
            </w:r>
            <w:r w:rsidRPr="002F3F29">
              <w:rPr>
                <w:rFonts w:cs="Calibri"/>
              </w:rPr>
              <w:t>including implementation of the agreed recommendations from the June 2025 Australian National Audit Office report</w:t>
            </w:r>
          </w:p>
          <w:p w14:paraId="13EAE4F9" w14:textId="27C98596" w:rsidR="00B7669B" w:rsidRDefault="00B7669B" w:rsidP="00B7669B">
            <w:pPr>
              <w:spacing w:before="120" w:after="120"/>
              <w:rPr>
                <w:rFonts w:cs="Calibri"/>
              </w:rPr>
            </w:pPr>
            <w:r w:rsidRPr="00F86B7D">
              <w:rPr>
                <w:rFonts w:cs="Calibri"/>
              </w:rPr>
              <w:t>23 September 2026: NIAA to bring a</w:t>
            </w:r>
            <w:r w:rsidR="3B28A200" w:rsidRPr="00F86B7D">
              <w:rPr>
                <w:rFonts w:cs="Calibri"/>
              </w:rPr>
              <w:t xml:space="preserve"> further</w:t>
            </w:r>
            <w:r w:rsidRPr="00F86B7D">
              <w:rPr>
                <w:rFonts w:cs="Calibri"/>
              </w:rPr>
              <w:t xml:space="preserve"> paper on the IPP for discussion</w:t>
            </w:r>
            <w:r w:rsidR="00D45945" w:rsidRPr="00F86B7D">
              <w:rPr>
                <w:rFonts w:cs="Calibri"/>
              </w:rPr>
              <w:t xml:space="preserve"> and agreement.</w:t>
            </w:r>
          </w:p>
          <w:p w14:paraId="04F7D003" w14:textId="77777777" w:rsidR="00B7669B" w:rsidRPr="00855BAD" w:rsidRDefault="00B7669B" w:rsidP="00B7669B">
            <w:pPr>
              <w:spacing w:before="120" w:after="120"/>
              <w:rPr>
                <w:rFonts w:cs="Calibri"/>
                <w:i/>
                <w:iCs/>
              </w:rPr>
            </w:pPr>
          </w:p>
        </w:tc>
        <w:tc>
          <w:tcPr>
            <w:tcW w:w="2784" w:type="dxa"/>
          </w:tcPr>
          <w:p w14:paraId="31F3A449" w14:textId="77777777" w:rsidR="00B7669B" w:rsidRPr="00763023" w:rsidRDefault="00B7669B" w:rsidP="00B7669B">
            <w:pPr>
              <w:keepNext/>
              <w:spacing w:before="120" w:after="120"/>
              <w:rPr>
                <w:rFonts w:cs="Calibri"/>
              </w:rPr>
            </w:pPr>
            <w:r w:rsidRPr="00FF2400">
              <w:rPr>
                <w:rFonts w:cs="Calibri"/>
              </w:rPr>
              <w:t>Government to draft for Partners’ consideration</w:t>
            </w:r>
            <w:r w:rsidRPr="00FF2400">
              <w:rPr>
                <w:rFonts w:cs="Calibri"/>
                <w:b/>
                <w:bCs/>
              </w:rPr>
              <w:t xml:space="preserve"> </w:t>
            </w:r>
            <w:r>
              <w:rPr>
                <w:rFonts w:cs="Calibri"/>
              </w:rPr>
              <w:t xml:space="preserve">– building on existing programs and approaches </w:t>
            </w:r>
          </w:p>
          <w:p w14:paraId="6AF249E7" w14:textId="77777777" w:rsidR="00B7669B" w:rsidRDefault="00B7669B" w:rsidP="00B7669B">
            <w:pPr>
              <w:spacing w:before="120" w:after="120"/>
              <w:rPr>
                <w:rFonts w:cs="Calibri"/>
              </w:rPr>
            </w:pPr>
            <w:r w:rsidRPr="00FF2400">
              <w:rPr>
                <w:rFonts w:cs="Calibri"/>
              </w:rPr>
              <w:t>Partners to endorse</w:t>
            </w:r>
          </w:p>
          <w:p w14:paraId="6C0A0466" w14:textId="77777777" w:rsidR="00B7669B" w:rsidRPr="003A078B" w:rsidRDefault="00B7669B" w:rsidP="00B7669B">
            <w:pPr>
              <w:spacing w:before="120" w:after="120"/>
              <w:rPr>
                <w:rFonts w:cs="Calibri"/>
              </w:rPr>
            </w:pPr>
            <w:r>
              <w:rPr>
                <w:rFonts w:cs="Calibri"/>
              </w:rPr>
              <w:t xml:space="preserve">Government contributors: NIAA, Finance </w:t>
            </w:r>
            <w:r w:rsidRPr="00FF2400">
              <w:rPr>
                <w:rFonts w:cs="Calibri"/>
              </w:rPr>
              <w:t xml:space="preserve"> </w:t>
            </w:r>
          </w:p>
        </w:tc>
      </w:tr>
    </w:tbl>
    <w:p w14:paraId="5278A731" w14:textId="77777777" w:rsidR="00590406" w:rsidRDefault="00590406" w:rsidP="00590406">
      <w:pPr>
        <w:pStyle w:val="Bullet"/>
        <w:numPr>
          <w:ilvl w:val="0"/>
          <w:numId w:val="0"/>
        </w:numPr>
        <w:ind w:left="567"/>
        <w:rPr>
          <w:rFonts w:asciiTheme="minorHAnsi" w:hAnsiTheme="minorHAnsi"/>
        </w:rPr>
        <w:sectPr w:rsidR="00590406" w:rsidSect="00590406">
          <w:pgSz w:w="16838" w:h="11906" w:orient="landscape"/>
          <w:pgMar w:top="851" w:right="1440" w:bottom="992" w:left="1440" w:header="709" w:footer="709" w:gutter="0"/>
          <w:cols w:space="708"/>
          <w:docGrid w:linePitch="360"/>
        </w:sectPr>
      </w:pPr>
    </w:p>
    <w:p w14:paraId="79B2DE36" w14:textId="77777777" w:rsidR="00590406" w:rsidRPr="00FF2400" w:rsidRDefault="00590406" w:rsidP="00590406">
      <w:pPr>
        <w:keepNext/>
        <w:spacing w:after="120" w:line="264" w:lineRule="auto"/>
        <w:rPr>
          <w:rFonts w:cs="Calibri"/>
          <w:b/>
          <w:bCs/>
        </w:rPr>
      </w:pPr>
      <w:r w:rsidRPr="00FF2400">
        <w:rPr>
          <w:rFonts w:cs="Calibri"/>
          <w:b/>
          <w:bCs/>
        </w:rPr>
        <w:t>Performance measures</w:t>
      </w:r>
    </w:p>
    <w:p w14:paraId="5E03AE88" w14:textId="77777777" w:rsidR="00590406" w:rsidRPr="00FF2400" w:rsidRDefault="00590406" w:rsidP="00590406">
      <w:pPr>
        <w:pStyle w:val="Bullet"/>
        <w:keepNext/>
        <w:numPr>
          <w:ilvl w:val="0"/>
          <w:numId w:val="0"/>
        </w:numPr>
        <w:spacing w:after="120" w:line="264" w:lineRule="auto"/>
        <w:rPr>
          <w:rFonts w:asciiTheme="minorHAnsi" w:hAnsiTheme="minorHAnsi"/>
        </w:rPr>
      </w:pPr>
      <w:r w:rsidRPr="00FF2400">
        <w:rPr>
          <w:rFonts w:asciiTheme="minorHAnsi" w:hAnsiTheme="minorHAnsi"/>
        </w:rPr>
        <w:t xml:space="preserve">Performance against these measures will be reported on a quarterly basis, at the Partnership meeting following the end of each quarter. </w:t>
      </w:r>
    </w:p>
    <w:tbl>
      <w:tblPr>
        <w:tblStyle w:val="TableGrid"/>
        <w:tblW w:w="10060" w:type="dxa"/>
        <w:tblLook w:val="04A0" w:firstRow="1" w:lastRow="0" w:firstColumn="1" w:lastColumn="0" w:noHBand="0" w:noVBand="1"/>
      </w:tblPr>
      <w:tblGrid>
        <w:gridCol w:w="6516"/>
        <w:gridCol w:w="3544"/>
      </w:tblGrid>
      <w:tr w:rsidR="00590406" w:rsidRPr="00FF2400" w14:paraId="3218813B" w14:textId="77777777">
        <w:trPr>
          <w:tblHeader/>
        </w:trPr>
        <w:tc>
          <w:tcPr>
            <w:tcW w:w="6516" w:type="dxa"/>
            <w:shd w:val="clear" w:color="auto" w:fill="E8E8E8" w:themeFill="background2"/>
          </w:tcPr>
          <w:p w14:paraId="4E4B8D6B" w14:textId="77777777" w:rsidR="00590406" w:rsidRPr="00FF2400" w:rsidRDefault="00590406" w:rsidP="00532400">
            <w:pPr>
              <w:spacing w:before="120" w:after="120"/>
              <w:rPr>
                <w:rFonts w:cs="Calibri"/>
                <w:b/>
                <w:bCs/>
              </w:rPr>
            </w:pPr>
            <w:r w:rsidRPr="00FF2400">
              <w:rPr>
                <w:rFonts w:cs="Calibri"/>
                <w:b/>
                <w:bCs/>
              </w:rPr>
              <w:t>Measure</w:t>
            </w:r>
          </w:p>
        </w:tc>
        <w:tc>
          <w:tcPr>
            <w:tcW w:w="3544" w:type="dxa"/>
            <w:shd w:val="clear" w:color="auto" w:fill="E8E8E8" w:themeFill="background2"/>
          </w:tcPr>
          <w:p w14:paraId="437D1EEF" w14:textId="77777777" w:rsidR="00590406" w:rsidRPr="00FF2400" w:rsidRDefault="00590406" w:rsidP="00532400">
            <w:pPr>
              <w:spacing w:before="120" w:after="120"/>
              <w:rPr>
                <w:rFonts w:cs="Calibri"/>
                <w:b/>
                <w:bCs/>
              </w:rPr>
            </w:pPr>
            <w:r w:rsidRPr="00FF2400">
              <w:rPr>
                <w:rFonts w:cs="Calibri"/>
                <w:b/>
                <w:bCs/>
              </w:rPr>
              <w:t>Target</w:t>
            </w:r>
          </w:p>
        </w:tc>
      </w:tr>
      <w:tr w:rsidR="00590406" w:rsidRPr="00FF2400" w14:paraId="0E62553B" w14:textId="77777777">
        <w:tc>
          <w:tcPr>
            <w:tcW w:w="6516" w:type="dxa"/>
          </w:tcPr>
          <w:p w14:paraId="71227611" w14:textId="77777777" w:rsidR="00590406" w:rsidRPr="00FF2400" w:rsidRDefault="00590406" w:rsidP="00532400">
            <w:pPr>
              <w:spacing w:before="120" w:after="120"/>
              <w:rPr>
                <w:rFonts w:cs="Calibri"/>
              </w:rPr>
            </w:pPr>
            <w:r w:rsidRPr="00FF2400">
              <w:rPr>
                <w:rFonts w:cs="Calibri"/>
              </w:rPr>
              <w:t>Annual Workplan published</w:t>
            </w:r>
          </w:p>
        </w:tc>
        <w:tc>
          <w:tcPr>
            <w:tcW w:w="3544" w:type="dxa"/>
          </w:tcPr>
          <w:p w14:paraId="52186EDF" w14:textId="77777777" w:rsidR="00590406" w:rsidRPr="00FF2400" w:rsidRDefault="00590406" w:rsidP="00532400">
            <w:pPr>
              <w:spacing w:before="120" w:after="120"/>
              <w:rPr>
                <w:rFonts w:cs="Calibri"/>
              </w:rPr>
            </w:pPr>
            <w:r w:rsidRPr="00FF2400">
              <w:rPr>
                <w:rFonts w:cs="Calibri"/>
              </w:rPr>
              <w:t>Publication</w:t>
            </w:r>
          </w:p>
        </w:tc>
      </w:tr>
      <w:tr w:rsidR="00590406" w:rsidRPr="00FF2400" w14:paraId="1EAEF94F" w14:textId="77777777">
        <w:tc>
          <w:tcPr>
            <w:tcW w:w="6516" w:type="dxa"/>
          </w:tcPr>
          <w:p w14:paraId="6D6C6158" w14:textId="77777777" w:rsidR="00590406" w:rsidRPr="00FF2400" w:rsidRDefault="00590406" w:rsidP="00532400">
            <w:pPr>
              <w:spacing w:before="120" w:after="120"/>
              <w:rPr>
                <w:rFonts w:cs="Calibri"/>
              </w:rPr>
            </w:pPr>
            <w:r w:rsidRPr="00FF2400">
              <w:rPr>
                <w:rFonts w:cs="Calibri"/>
              </w:rPr>
              <w:t>Approach to develop</w:t>
            </w:r>
            <w:r>
              <w:rPr>
                <w:rFonts w:cs="Calibri"/>
              </w:rPr>
              <w:t>ing</w:t>
            </w:r>
            <w:r w:rsidRPr="00FF2400">
              <w:rPr>
                <w:rFonts w:cs="Calibri"/>
              </w:rPr>
              <w:t xml:space="preserve"> the Economic Framework published</w:t>
            </w:r>
          </w:p>
        </w:tc>
        <w:tc>
          <w:tcPr>
            <w:tcW w:w="3544" w:type="dxa"/>
          </w:tcPr>
          <w:p w14:paraId="71DF4D8C" w14:textId="77777777" w:rsidR="00590406" w:rsidRPr="00FF2400" w:rsidRDefault="00590406" w:rsidP="00532400">
            <w:pPr>
              <w:spacing w:before="120" w:after="120"/>
              <w:rPr>
                <w:rFonts w:cs="Calibri"/>
              </w:rPr>
            </w:pPr>
            <w:r w:rsidRPr="00FF2400">
              <w:rPr>
                <w:rFonts w:cs="Calibri"/>
              </w:rPr>
              <w:t>Publication</w:t>
            </w:r>
          </w:p>
        </w:tc>
      </w:tr>
      <w:tr w:rsidR="00590406" w:rsidRPr="00FF2400" w14:paraId="5C98D7FF" w14:textId="77777777">
        <w:tc>
          <w:tcPr>
            <w:tcW w:w="6516" w:type="dxa"/>
          </w:tcPr>
          <w:p w14:paraId="399F1282" w14:textId="7DA062B0" w:rsidR="00590406" w:rsidRPr="00FF2400" w:rsidRDefault="00590406" w:rsidP="00F47F89">
            <w:pPr>
              <w:tabs>
                <w:tab w:val="left" w:pos="4980"/>
              </w:tabs>
              <w:spacing w:before="120" w:after="120"/>
              <w:rPr>
                <w:rFonts w:cs="Calibri"/>
              </w:rPr>
            </w:pPr>
            <w:r w:rsidRPr="00FF2400">
              <w:rPr>
                <w:rFonts w:cs="Calibri"/>
              </w:rPr>
              <w:t>Funding allocations published</w:t>
            </w:r>
            <w:r w:rsidR="00F47F89">
              <w:rPr>
                <w:rFonts w:cs="Calibri"/>
              </w:rPr>
              <w:tab/>
            </w:r>
          </w:p>
        </w:tc>
        <w:tc>
          <w:tcPr>
            <w:tcW w:w="3544" w:type="dxa"/>
          </w:tcPr>
          <w:p w14:paraId="2695D1A8" w14:textId="77777777" w:rsidR="00590406" w:rsidRPr="00FF2400" w:rsidRDefault="00590406" w:rsidP="00532400">
            <w:pPr>
              <w:spacing w:before="120" w:after="120"/>
              <w:rPr>
                <w:rFonts w:cs="Calibri"/>
              </w:rPr>
            </w:pPr>
            <w:r w:rsidRPr="00FF2400">
              <w:rPr>
                <w:rFonts w:cs="Calibri"/>
              </w:rPr>
              <w:t>100% of allocations</w:t>
            </w:r>
          </w:p>
        </w:tc>
      </w:tr>
      <w:tr w:rsidR="00590406" w:rsidRPr="00FF2400" w14:paraId="4D98AB9A" w14:textId="77777777">
        <w:tc>
          <w:tcPr>
            <w:tcW w:w="6516" w:type="dxa"/>
          </w:tcPr>
          <w:p w14:paraId="6EA333CA" w14:textId="77777777" w:rsidR="00590406" w:rsidRPr="00FF2400" w:rsidRDefault="00590406" w:rsidP="00532400">
            <w:pPr>
              <w:spacing w:before="120" w:after="120"/>
              <w:rPr>
                <w:rFonts w:cs="Calibri"/>
              </w:rPr>
            </w:pPr>
            <w:r w:rsidRPr="00FF2400">
              <w:rPr>
                <w:rFonts w:cs="Calibri"/>
              </w:rPr>
              <w:t>Meeting outcomes published 15 business days</w:t>
            </w:r>
            <w:r>
              <w:rPr>
                <w:rFonts w:cs="Calibri"/>
              </w:rPr>
              <w:t xml:space="preserve"> after</w:t>
            </w:r>
            <w:r w:rsidRPr="00FF2400">
              <w:rPr>
                <w:rFonts w:cs="Calibri"/>
              </w:rPr>
              <w:t xml:space="preserve"> each meeting</w:t>
            </w:r>
          </w:p>
        </w:tc>
        <w:tc>
          <w:tcPr>
            <w:tcW w:w="3544" w:type="dxa"/>
          </w:tcPr>
          <w:p w14:paraId="0606CAA4" w14:textId="77777777" w:rsidR="00590406" w:rsidRPr="00FF2400" w:rsidRDefault="00590406" w:rsidP="00532400">
            <w:pPr>
              <w:spacing w:before="120" w:after="120"/>
              <w:rPr>
                <w:rFonts w:cs="Calibri"/>
              </w:rPr>
            </w:pPr>
            <w:r w:rsidRPr="00FF2400">
              <w:rPr>
                <w:rFonts w:cs="Calibri"/>
              </w:rPr>
              <w:t>100% of meetings</w:t>
            </w:r>
          </w:p>
        </w:tc>
      </w:tr>
      <w:tr w:rsidR="00590406" w:rsidRPr="00FF2400" w14:paraId="0CE81FD9" w14:textId="77777777">
        <w:tc>
          <w:tcPr>
            <w:tcW w:w="6516" w:type="dxa"/>
          </w:tcPr>
          <w:p w14:paraId="74FC0B5C" w14:textId="77777777" w:rsidR="00590406" w:rsidRPr="00FF2400" w:rsidRDefault="00590406" w:rsidP="00532400">
            <w:pPr>
              <w:spacing w:before="120" w:after="120"/>
              <w:rPr>
                <w:rFonts w:cs="Calibri"/>
              </w:rPr>
            </w:pPr>
            <w:r w:rsidRPr="00FF2400">
              <w:rPr>
                <w:rFonts w:cs="Calibri"/>
              </w:rPr>
              <w:t>Annual written update delivered to the Accountable Ministers by 31 July 2026</w:t>
            </w:r>
          </w:p>
        </w:tc>
        <w:tc>
          <w:tcPr>
            <w:tcW w:w="3544" w:type="dxa"/>
          </w:tcPr>
          <w:p w14:paraId="044CAF27" w14:textId="77777777" w:rsidR="00590406" w:rsidRPr="00FF2400" w:rsidRDefault="00590406" w:rsidP="00532400">
            <w:pPr>
              <w:spacing w:before="120" w:after="120"/>
              <w:rPr>
                <w:rFonts w:cs="Calibri"/>
              </w:rPr>
            </w:pPr>
            <w:r w:rsidRPr="00FF2400">
              <w:rPr>
                <w:rFonts w:cs="Calibri"/>
              </w:rPr>
              <w:t>Delivery</w:t>
            </w:r>
          </w:p>
        </w:tc>
      </w:tr>
      <w:tr w:rsidR="00590406" w:rsidRPr="00FF2400" w14:paraId="216AC012" w14:textId="77777777">
        <w:tc>
          <w:tcPr>
            <w:tcW w:w="6516" w:type="dxa"/>
          </w:tcPr>
          <w:p w14:paraId="401A6F8B" w14:textId="77777777" w:rsidR="00590406" w:rsidRPr="00FF2400" w:rsidRDefault="00590406" w:rsidP="00532400">
            <w:pPr>
              <w:spacing w:before="120" w:after="120"/>
              <w:rPr>
                <w:rFonts w:cs="Calibri"/>
              </w:rPr>
            </w:pPr>
            <w:r w:rsidRPr="00FF2400">
              <w:rPr>
                <w:rFonts w:cs="Calibri"/>
              </w:rPr>
              <w:t>Annual written update published within 5 business days of being accepted by the Accountable Ministers</w:t>
            </w:r>
          </w:p>
        </w:tc>
        <w:tc>
          <w:tcPr>
            <w:tcW w:w="3544" w:type="dxa"/>
          </w:tcPr>
          <w:p w14:paraId="51360BAD" w14:textId="77777777" w:rsidR="00590406" w:rsidRPr="00FF2400" w:rsidRDefault="00590406" w:rsidP="00532400">
            <w:pPr>
              <w:spacing w:before="120" w:after="120"/>
              <w:rPr>
                <w:rFonts w:cs="Calibri"/>
              </w:rPr>
            </w:pPr>
            <w:r w:rsidRPr="00FF2400">
              <w:rPr>
                <w:rFonts w:cs="Calibri"/>
              </w:rPr>
              <w:t>Publication</w:t>
            </w:r>
          </w:p>
        </w:tc>
      </w:tr>
      <w:tr w:rsidR="00590406" w:rsidRPr="00FF2400" w14:paraId="206918D5" w14:textId="77777777">
        <w:trPr>
          <w:cantSplit/>
        </w:trPr>
        <w:tc>
          <w:tcPr>
            <w:tcW w:w="6516" w:type="dxa"/>
          </w:tcPr>
          <w:p w14:paraId="17572C50" w14:textId="77777777" w:rsidR="00590406" w:rsidRPr="00503E57" w:rsidRDefault="00590406" w:rsidP="00532400">
            <w:pPr>
              <w:spacing w:before="120" w:after="120"/>
              <w:rPr>
                <w:rFonts w:cs="Calibri"/>
              </w:rPr>
            </w:pPr>
            <w:r w:rsidRPr="00FF2400">
              <w:rPr>
                <w:rFonts w:cs="Calibri"/>
              </w:rPr>
              <w:t>Monitoring</w:t>
            </w:r>
            <w:r>
              <w:rPr>
                <w:rFonts w:cs="Calibri"/>
              </w:rPr>
              <w:t xml:space="preserve"> and</w:t>
            </w:r>
            <w:r w:rsidRPr="00FF2400">
              <w:rPr>
                <w:rFonts w:cs="Calibri"/>
              </w:rPr>
              <w:t xml:space="preserve"> evaluation framework delivered and published by 30 June 2026</w:t>
            </w:r>
          </w:p>
        </w:tc>
        <w:tc>
          <w:tcPr>
            <w:tcW w:w="3544" w:type="dxa"/>
          </w:tcPr>
          <w:p w14:paraId="064BAE44" w14:textId="77777777" w:rsidR="00590406" w:rsidRPr="00FF2400" w:rsidRDefault="00590406" w:rsidP="00532400">
            <w:pPr>
              <w:spacing w:before="120" w:after="120"/>
              <w:rPr>
                <w:rFonts w:cs="Calibri"/>
              </w:rPr>
            </w:pPr>
            <w:r w:rsidRPr="00FF2400">
              <w:rPr>
                <w:rFonts w:cs="Calibri"/>
              </w:rPr>
              <w:t>Publication</w:t>
            </w:r>
          </w:p>
        </w:tc>
      </w:tr>
    </w:tbl>
    <w:p w14:paraId="01CB8221" w14:textId="77777777" w:rsidR="00761C46" w:rsidRDefault="00761C46" w:rsidP="00D163B1"/>
    <w:sectPr w:rsidR="00761C46" w:rsidSect="00590406">
      <w:pgSz w:w="11906" w:h="16838"/>
      <w:pgMar w:top="805" w:right="992"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B9DD1" w14:textId="77777777" w:rsidR="00330778" w:rsidRDefault="00330778" w:rsidP="00590406">
      <w:pPr>
        <w:spacing w:after="0" w:line="240" w:lineRule="auto"/>
      </w:pPr>
      <w:r>
        <w:separator/>
      </w:r>
    </w:p>
  </w:endnote>
  <w:endnote w:type="continuationSeparator" w:id="0">
    <w:p w14:paraId="1B5FB25D" w14:textId="77777777" w:rsidR="00330778" w:rsidRDefault="00330778" w:rsidP="00590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71212" w14:textId="5F5D45DF" w:rsidR="00590406" w:rsidRDefault="00AD3721">
    <w:pPr>
      <w:pStyle w:val="Footer"/>
    </w:pPr>
    <w:r>
      <w:rPr>
        <w:noProof/>
      </w:rPr>
      <mc:AlternateContent>
        <mc:Choice Requires="wps">
          <w:drawing>
            <wp:anchor distT="0" distB="0" distL="0" distR="0" simplePos="0" relativeHeight="251658244" behindDoc="0" locked="0" layoutInCell="1" allowOverlap="1" wp14:anchorId="184E7327" wp14:editId="3A5140EA">
              <wp:simplePos x="635" y="635"/>
              <wp:positionH relativeFrom="page">
                <wp:align>center</wp:align>
              </wp:positionH>
              <wp:positionV relativeFrom="page">
                <wp:align>bottom</wp:align>
              </wp:positionV>
              <wp:extent cx="686435" cy="393700"/>
              <wp:effectExtent l="0" t="0" r="18415" b="0"/>
              <wp:wrapNone/>
              <wp:docPr id="86731365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7DE9A249" w14:textId="0703B825" w:rsidR="00AD3721" w:rsidRPr="00AD3721" w:rsidRDefault="00AD3721" w:rsidP="00AD3721">
                          <w:pPr>
                            <w:spacing w:after="0"/>
                            <w:rPr>
                              <w:rFonts w:ascii="Arial" w:eastAsia="Arial" w:hAnsi="Arial" w:cs="Arial"/>
                              <w:noProof/>
                              <w:color w:val="FF0000"/>
                            </w:rPr>
                          </w:pPr>
                          <w:r w:rsidRPr="00AD3721">
                            <w:rPr>
                              <w:rFonts w:ascii="Arial" w:eastAsia="Arial" w:hAnsi="Arial" w:cs="Arial"/>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4E7327" id="_x0000_t202" coordsize="21600,21600" o:spt="202" path="m,l,21600r21600,l21600,xe">
              <v:stroke joinstyle="miter"/>
              <v:path gradientshapeok="t" o:connecttype="rect"/>
            </v:shapetype>
            <v:shape id="Text Box 5" o:spid="_x0000_s1029" type="#_x0000_t202" alt="OFFICIAL" style="position:absolute;margin-left:0;margin-top:0;width:54.05pt;height:3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" filled="f" stroked="f">
              <v:textbox style="mso-fit-shape-to-text:t" inset="0,0,0,15pt">
                <w:txbxContent>
                  <w:p w14:paraId="7DE9A249" w14:textId="0703B825" w:rsidR="00AD3721" w:rsidRPr="00AD3721" w:rsidRDefault="00AD3721" w:rsidP="00AD3721">
                    <w:pPr>
                      <w:spacing w:after="0"/>
                      <w:rPr>
                        <w:rFonts w:ascii="Arial" w:eastAsia="Arial" w:hAnsi="Arial" w:cs="Arial"/>
                        <w:noProof/>
                        <w:color w:val="FF0000"/>
                      </w:rPr>
                    </w:pPr>
                    <w:r w:rsidRPr="00AD3721">
                      <w:rPr>
                        <w:rFonts w:ascii="Arial" w:eastAsia="Arial" w:hAnsi="Arial" w:cs="Arial"/>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E3BE3" w14:textId="1CDB69D6" w:rsidR="00590406" w:rsidRDefault="00AD3721" w:rsidP="003048CA">
    <w:pPr>
      <w:pStyle w:val="Footer"/>
      <w:jc w:val="right"/>
      <w:rPr>
        <w:noProof/>
      </w:rPr>
    </w:pPr>
    <w:r>
      <w:rPr>
        <w:noProof/>
      </w:rPr>
      <mc:AlternateContent>
        <mc:Choice Requires="wps">
          <w:drawing>
            <wp:anchor distT="0" distB="0" distL="0" distR="0" simplePos="0" relativeHeight="251658245" behindDoc="0" locked="0" layoutInCell="1" allowOverlap="1" wp14:anchorId="2877F8E8" wp14:editId="3EF1AD73">
              <wp:simplePos x="546265" y="9915896"/>
              <wp:positionH relativeFrom="page">
                <wp:align>center</wp:align>
              </wp:positionH>
              <wp:positionV relativeFrom="page">
                <wp:align>bottom</wp:align>
              </wp:positionV>
              <wp:extent cx="686435" cy="393700"/>
              <wp:effectExtent l="0" t="0" r="18415" b="0"/>
              <wp:wrapNone/>
              <wp:docPr id="17526803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6997DD69" w14:textId="0215F671" w:rsidR="00AD3721" w:rsidRPr="00AD3721" w:rsidRDefault="00AD3721" w:rsidP="00AD3721">
                          <w:pPr>
                            <w:spacing w:after="0"/>
                            <w:rPr>
                              <w:rFonts w:ascii="Arial" w:eastAsia="Arial" w:hAnsi="Arial" w:cs="Arial"/>
                              <w:noProof/>
                              <w:color w:val="FF0000"/>
                            </w:rPr>
                          </w:pPr>
                          <w:r w:rsidRPr="00AD3721">
                            <w:rPr>
                              <w:rFonts w:ascii="Arial" w:eastAsia="Arial" w:hAnsi="Arial" w:cs="Arial"/>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77F8E8" id="_x0000_t202" coordsize="21600,21600" o:spt="202" path="m,l,21600r21600,l21600,xe">
              <v:stroke joinstyle="miter"/>
              <v:path gradientshapeok="t" o:connecttype="rect"/>
            </v:shapetype>
            <v:shape id="Text Box 6" o:spid="_x0000_s1030" type="#_x0000_t202" alt="OFFICIAL" style="position:absolute;left:0;text-align:left;margin-left:0;margin-top:0;width:54.05pt;height:31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" filled="f" stroked="f">
              <v:textbox style="mso-fit-shape-to-text:t" inset="0,0,0,15pt">
                <w:txbxContent>
                  <w:p w14:paraId="6997DD69" w14:textId="0215F671" w:rsidR="00AD3721" w:rsidRPr="00AD3721" w:rsidRDefault="00AD3721" w:rsidP="00AD3721">
                    <w:pPr>
                      <w:spacing w:after="0"/>
                      <w:rPr>
                        <w:rFonts w:ascii="Arial" w:eastAsia="Arial" w:hAnsi="Arial" w:cs="Arial"/>
                        <w:noProof/>
                        <w:color w:val="FF0000"/>
                      </w:rPr>
                    </w:pPr>
                    <w:r w:rsidRPr="00AD3721">
                      <w:rPr>
                        <w:rFonts w:ascii="Arial" w:eastAsia="Arial" w:hAnsi="Arial" w:cs="Arial"/>
                        <w:noProof/>
                        <w:color w:val="FF0000"/>
                      </w:rPr>
                      <w:t>OFFICIAL</w:t>
                    </w:r>
                  </w:p>
                </w:txbxContent>
              </v:textbox>
              <w10:wrap anchorx="page" anchory="page"/>
            </v:shape>
          </w:pict>
        </mc:Fallback>
      </mc:AlternateContent>
    </w:r>
    <w:sdt>
      <w:sdtPr>
        <w:id w:val="-1695766074"/>
        <w:docPartObj>
          <w:docPartGallery w:val="Page Numbers (Bottom of Page)"/>
          <w:docPartUnique/>
        </w:docPartObj>
      </w:sdtPr>
      <w:sdtEndPr>
        <w:rPr>
          <w:noProof/>
        </w:rPr>
      </w:sdtEndPr>
      <w:sdtContent>
        <w:r w:rsidR="00590406">
          <w:fldChar w:fldCharType="begin"/>
        </w:r>
        <w:r w:rsidR="00590406">
          <w:instrText xml:space="preserve"> PAGE   \* MERGEFORMAT </w:instrText>
        </w:r>
        <w:r w:rsidR="00590406">
          <w:fldChar w:fldCharType="separate"/>
        </w:r>
        <w:r w:rsidR="00590406">
          <w:rPr>
            <w:noProof/>
          </w:rPr>
          <w:t>2</w:t>
        </w:r>
        <w:r w:rsidR="00590406">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0C42A" w14:textId="37FCC8C6" w:rsidR="00590406" w:rsidRDefault="00AD3721">
    <w:pPr>
      <w:pStyle w:val="Footer"/>
    </w:pPr>
    <w:r>
      <w:rPr>
        <w:noProof/>
      </w:rPr>
      <mc:AlternateContent>
        <mc:Choice Requires="wps">
          <w:drawing>
            <wp:anchor distT="0" distB="0" distL="0" distR="0" simplePos="0" relativeHeight="251658243" behindDoc="0" locked="0" layoutInCell="1" allowOverlap="1" wp14:anchorId="77AF3735" wp14:editId="703A49C4">
              <wp:simplePos x="635" y="635"/>
              <wp:positionH relativeFrom="page">
                <wp:align>center</wp:align>
              </wp:positionH>
              <wp:positionV relativeFrom="page">
                <wp:align>bottom</wp:align>
              </wp:positionV>
              <wp:extent cx="686435" cy="393700"/>
              <wp:effectExtent l="0" t="0" r="18415" b="0"/>
              <wp:wrapNone/>
              <wp:docPr id="153292612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68CD0BC5" w14:textId="1D498200" w:rsidR="00AD3721" w:rsidRPr="00AD3721" w:rsidRDefault="00AD3721" w:rsidP="00AD3721">
                          <w:pPr>
                            <w:spacing w:after="0"/>
                            <w:rPr>
                              <w:rFonts w:ascii="Arial" w:eastAsia="Arial" w:hAnsi="Arial" w:cs="Arial"/>
                              <w:noProof/>
                              <w:color w:val="FF0000"/>
                            </w:rPr>
                          </w:pPr>
                          <w:r w:rsidRPr="00AD3721">
                            <w:rPr>
                              <w:rFonts w:ascii="Arial" w:eastAsia="Arial" w:hAnsi="Arial" w:cs="Arial"/>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AF3735" id="_x0000_t202" coordsize="21600,21600" o:spt="202" path="m,l,21600r21600,l21600,xe">
              <v:stroke joinstyle="miter"/>
              <v:path gradientshapeok="t" o:connecttype="rect"/>
            </v:shapetype>
            <v:shape id="Text Box 4" o:spid="_x0000_s1032" type="#_x0000_t202" alt="OFFICIAL" style="position:absolute;margin-left:0;margin-top:0;width:54.05pt;height:3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" filled="f" stroked="f">
              <v:textbox style="mso-fit-shape-to-text:t" inset="0,0,0,15pt">
                <w:txbxContent>
                  <w:p w14:paraId="68CD0BC5" w14:textId="1D498200" w:rsidR="00AD3721" w:rsidRPr="00AD3721" w:rsidRDefault="00AD3721" w:rsidP="00AD3721">
                    <w:pPr>
                      <w:spacing w:after="0"/>
                      <w:rPr>
                        <w:rFonts w:ascii="Arial" w:eastAsia="Arial" w:hAnsi="Arial" w:cs="Arial"/>
                        <w:noProof/>
                        <w:color w:val="FF0000"/>
                      </w:rPr>
                    </w:pPr>
                    <w:r w:rsidRPr="00AD3721">
                      <w:rPr>
                        <w:rFonts w:ascii="Arial" w:eastAsia="Arial" w:hAnsi="Arial" w:cs="Arial"/>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2DB6C" w14:textId="77777777" w:rsidR="00330778" w:rsidRDefault="00330778" w:rsidP="00590406">
      <w:pPr>
        <w:spacing w:after="0" w:line="240" w:lineRule="auto"/>
      </w:pPr>
      <w:r>
        <w:separator/>
      </w:r>
    </w:p>
  </w:footnote>
  <w:footnote w:type="continuationSeparator" w:id="0">
    <w:p w14:paraId="280BD732" w14:textId="77777777" w:rsidR="00330778" w:rsidRDefault="00330778" w:rsidP="00590406">
      <w:pPr>
        <w:spacing w:after="0" w:line="240" w:lineRule="auto"/>
      </w:pPr>
      <w:r>
        <w:continuationSeparator/>
      </w:r>
    </w:p>
  </w:footnote>
  <w:footnote w:id="1">
    <w:p w14:paraId="346AF2E7" w14:textId="77777777" w:rsidR="00590406" w:rsidRDefault="00590406" w:rsidP="00590406">
      <w:pPr>
        <w:pStyle w:val="FootnoteText"/>
      </w:pPr>
      <w:r>
        <w:rPr>
          <w:rStyle w:val="FootnoteReference"/>
        </w:rPr>
        <w:footnoteRef/>
      </w:r>
      <w:r>
        <w:t xml:space="preserve"> This column summarises the agreed priorities for immediate action and other areas of work outlined in the Partnership Agreement. For full details refer to the listed clauses.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780E0" w14:textId="4AD17F95" w:rsidR="00590406" w:rsidRDefault="00AD3721">
    <w:pPr>
      <w:pStyle w:val="Header"/>
    </w:pPr>
    <w:r>
      <w:rPr>
        <w:noProof/>
      </w:rPr>
      <mc:AlternateContent>
        <mc:Choice Requires="wps">
          <w:drawing>
            <wp:anchor distT="0" distB="0" distL="0" distR="0" simplePos="0" relativeHeight="251658241" behindDoc="0" locked="0" layoutInCell="1" allowOverlap="1" wp14:anchorId="62184115" wp14:editId="3EB3C90F">
              <wp:simplePos x="635" y="635"/>
              <wp:positionH relativeFrom="page">
                <wp:align>center</wp:align>
              </wp:positionH>
              <wp:positionV relativeFrom="page">
                <wp:align>top</wp:align>
              </wp:positionV>
              <wp:extent cx="686435" cy="393700"/>
              <wp:effectExtent l="0" t="0" r="18415" b="6350"/>
              <wp:wrapNone/>
              <wp:docPr id="188383614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3D6B86C6" w14:textId="611E2575" w:rsidR="00AD3721" w:rsidRPr="00AD3721" w:rsidRDefault="00AD3721" w:rsidP="00AD3721">
                          <w:pPr>
                            <w:spacing w:after="0"/>
                            <w:rPr>
                              <w:rFonts w:ascii="Arial" w:eastAsia="Arial" w:hAnsi="Arial" w:cs="Arial"/>
                              <w:noProof/>
                              <w:color w:val="FF0000"/>
                            </w:rPr>
                          </w:pPr>
                          <w:r w:rsidRPr="00AD3721">
                            <w:rPr>
                              <w:rFonts w:ascii="Arial" w:eastAsia="Arial" w:hAnsi="Arial" w:cs="Arial"/>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184115" id="_x0000_t202" coordsize="21600,21600" o:spt="202" path="m,l,21600r21600,l21600,xe">
              <v:stroke joinstyle="miter"/>
              <v:path gradientshapeok="t" o:connecttype="rect"/>
            </v:shapetype>
            <v:shape id="_x0000_s1027" type="#_x0000_t202" alt="OFFICIAL" style="position:absolute;margin-left:0;margin-top:0;width:54.05pt;height:3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" filled="f" stroked="f">
              <v:textbox style="mso-fit-shape-to-text:t" inset="0,15pt,0,0">
                <w:txbxContent>
                  <w:p w14:paraId="3D6B86C6" w14:textId="611E2575" w:rsidR="00AD3721" w:rsidRPr="00AD3721" w:rsidRDefault="00AD3721" w:rsidP="00AD3721">
                    <w:pPr>
                      <w:spacing w:after="0"/>
                      <w:rPr>
                        <w:rFonts w:ascii="Arial" w:eastAsia="Arial" w:hAnsi="Arial" w:cs="Arial"/>
                        <w:noProof/>
                        <w:color w:val="FF0000"/>
                      </w:rPr>
                    </w:pPr>
                    <w:r w:rsidRPr="00AD3721">
                      <w:rPr>
                        <w:rFonts w:ascii="Arial" w:eastAsia="Arial" w:hAnsi="Arial" w:cs="Arial"/>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3FD99" w14:textId="192B81D4" w:rsidR="0086357A" w:rsidRDefault="00AD3721">
    <w:pPr>
      <w:pStyle w:val="Header"/>
    </w:pPr>
    <w:r>
      <w:rPr>
        <w:noProof/>
      </w:rPr>
      <mc:AlternateContent>
        <mc:Choice Requires="wps">
          <w:drawing>
            <wp:anchor distT="0" distB="0" distL="0" distR="0" simplePos="0" relativeHeight="251658242" behindDoc="0" locked="0" layoutInCell="1" allowOverlap="1" wp14:anchorId="35205544" wp14:editId="2176E14F">
              <wp:simplePos x="0" y="0"/>
              <wp:positionH relativeFrom="page">
                <wp:align>center</wp:align>
              </wp:positionH>
              <wp:positionV relativeFrom="page">
                <wp:posOffset>142875</wp:posOffset>
              </wp:positionV>
              <wp:extent cx="686435" cy="393700"/>
              <wp:effectExtent l="0" t="0" r="18415" b="6350"/>
              <wp:wrapNone/>
              <wp:docPr id="69523975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5F847521" w14:textId="778E6673" w:rsidR="00AD3721" w:rsidRPr="00AD3721" w:rsidRDefault="00AD3721" w:rsidP="00AD3721">
                          <w:pPr>
                            <w:spacing w:after="0"/>
                            <w:rPr>
                              <w:rFonts w:ascii="Arial" w:eastAsia="Arial" w:hAnsi="Arial" w:cs="Arial"/>
                              <w:noProof/>
                              <w:color w:val="FF0000"/>
                            </w:rPr>
                          </w:pPr>
                          <w:r w:rsidRPr="00AD3721">
                            <w:rPr>
                              <w:rFonts w:ascii="Arial" w:eastAsia="Arial" w:hAnsi="Arial" w:cs="Arial"/>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205544" id="_x0000_t202" coordsize="21600,21600" o:spt="202" path="m,l,21600r21600,l21600,xe">
              <v:stroke joinstyle="miter"/>
              <v:path gradientshapeok="t" o:connecttype="rect"/>
            </v:shapetype>
            <v:shape id="Text Box 3" o:spid="_x0000_s1028" type="#_x0000_t202" alt="OFFICIAL" style="position:absolute;margin-left:0;margin-top:11.25pt;width:54.05pt;height:31pt;z-index:251658242;visibility:visible;mso-wrap-style:none;mso-wrap-distance-left:0;mso-wrap-distance-top:0;mso-wrap-distance-right:0;mso-wrap-distance-bottom:0;mso-position-horizontal:center;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" filled="f" stroked="f">
              <v:textbox style="mso-fit-shape-to-text:t" inset="0,15pt,0,0">
                <w:txbxContent>
                  <w:p w14:paraId="5F847521" w14:textId="778E6673" w:rsidR="00AD3721" w:rsidRPr="00AD3721" w:rsidRDefault="00AD3721" w:rsidP="00AD3721">
                    <w:pPr>
                      <w:spacing w:after="0"/>
                      <w:rPr>
                        <w:rFonts w:ascii="Arial" w:eastAsia="Arial" w:hAnsi="Arial" w:cs="Arial"/>
                        <w:noProof/>
                        <w:color w:val="FF0000"/>
                      </w:rPr>
                    </w:pPr>
                    <w:r w:rsidRPr="00AD3721">
                      <w:rPr>
                        <w:rFonts w:ascii="Arial" w:eastAsia="Arial" w:hAnsi="Arial" w:cs="Arial"/>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14167" w14:textId="289712F6" w:rsidR="00590406" w:rsidRDefault="00AD3721">
    <w:pPr>
      <w:pStyle w:val="Header"/>
    </w:pPr>
    <w:r>
      <w:rPr>
        <w:noProof/>
      </w:rPr>
      <mc:AlternateContent>
        <mc:Choice Requires="wps">
          <w:drawing>
            <wp:anchor distT="0" distB="0" distL="0" distR="0" simplePos="0" relativeHeight="251658240" behindDoc="0" locked="0" layoutInCell="1" allowOverlap="1" wp14:anchorId="46BF2602" wp14:editId="4E2186C3">
              <wp:simplePos x="635" y="635"/>
              <wp:positionH relativeFrom="page">
                <wp:align>center</wp:align>
              </wp:positionH>
              <wp:positionV relativeFrom="page">
                <wp:align>top</wp:align>
              </wp:positionV>
              <wp:extent cx="686435" cy="393700"/>
              <wp:effectExtent l="0" t="0" r="18415" b="6350"/>
              <wp:wrapNone/>
              <wp:docPr id="187604411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3700"/>
                      </a:xfrm>
                      <a:prstGeom prst="rect">
                        <a:avLst/>
                      </a:prstGeom>
                      <a:noFill/>
                      <a:ln>
                        <a:noFill/>
                      </a:ln>
                    </wps:spPr>
                    <wps:txbx>
                      <w:txbxContent>
                        <w:p w14:paraId="66D5BA2D" w14:textId="30543008" w:rsidR="00AD3721" w:rsidRPr="00AD3721" w:rsidRDefault="00AD3721" w:rsidP="00AD3721">
                          <w:pPr>
                            <w:spacing w:after="0"/>
                            <w:rPr>
                              <w:rFonts w:ascii="Arial" w:eastAsia="Arial" w:hAnsi="Arial" w:cs="Arial"/>
                              <w:noProof/>
                              <w:color w:val="FF0000"/>
                            </w:rPr>
                          </w:pPr>
                          <w:r w:rsidRPr="00AD3721">
                            <w:rPr>
                              <w:rFonts w:ascii="Arial" w:eastAsia="Arial" w:hAnsi="Arial" w:cs="Arial"/>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BF2602" id="_x0000_t202" coordsize="21600,21600" o:spt="202" path="m,l,21600r21600,l21600,xe">
              <v:stroke joinstyle="miter"/>
              <v:path gradientshapeok="t" o:connecttype="rect"/>
            </v:shapetype>
            <v:shape id="Text Box 1" o:spid="_x0000_s1031" type="#_x0000_t202" alt="OFFICIAL" style="position:absolute;margin-left:0;margin-top:0;width:54.05pt;height:3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" filled="f" stroked="f">
              <v:textbox style="mso-fit-shape-to-text:t" inset="0,15pt,0,0">
                <w:txbxContent>
                  <w:p w14:paraId="66D5BA2D" w14:textId="30543008" w:rsidR="00AD3721" w:rsidRPr="00AD3721" w:rsidRDefault="00AD3721" w:rsidP="00AD3721">
                    <w:pPr>
                      <w:spacing w:after="0"/>
                      <w:rPr>
                        <w:rFonts w:ascii="Arial" w:eastAsia="Arial" w:hAnsi="Arial" w:cs="Arial"/>
                        <w:noProof/>
                        <w:color w:val="FF0000"/>
                      </w:rPr>
                    </w:pPr>
                    <w:r w:rsidRPr="00AD3721">
                      <w:rPr>
                        <w:rFonts w:ascii="Arial" w:eastAsia="Arial" w:hAnsi="Arial" w:cs="Arial"/>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A4672"/>
    <w:multiLevelType w:val="multilevel"/>
    <w:tmpl w:val="620CFDA2"/>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E6B3244"/>
    <w:multiLevelType w:val="multilevel"/>
    <w:tmpl w:val="5FB62C7C"/>
    <w:lvl w:ilvl="0">
      <w:start w:val="1"/>
      <w:numFmt w:val="decimal"/>
      <w:lvlText w:val="%1."/>
      <w:lvlJc w:val="left"/>
      <w:pPr>
        <w:tabs>
          <w:tab w:val="num" w:pos="567"/>
        </w:tabs>
        <w:ind w:left="567" w:hanging="567"/>
      </w:p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0EC2AFD"/>
    <w:multiLevelType w:val="multilevel"/>
    <w:tmpl w:val="15C8ED0E"/>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69303400"/>
    <w:multiLevelType w:val="hybridMultilevel"/>
    <w:tmpl w:val="595A3AA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0">
    <w:nsid w:val="6D2B4E51"/>
    <w:multiLevelType w:val="hybridMultilevel"/>
    <w:tmpl w:val="CD70DA1C"/>
    <w:lvl w:ilvl="0" w:tplc="9CAE5496">
      <w:start w:val="1"/>
      <w:numFmt w:val="decimal"/>
      <w:lvlText w:val="%1."/>
      <w:lvlJc w:val="left"/>
      <w:pPr>
        <w:ind w:left="720" w:hanging="360"/>
      </w:pPr>
    </w:lvl>
    <w:lvl w:ilvl="1" w:tplc="909AE912">
      <w:start w:val="1"/>
      <w:numFmt w:val="lowerLetter"/>
      <w:lvlText w:val="%2."/>
      <w:lvlJc w:val="left"/>
      <w:pPr>
        <w:ind w:left="1440" w:hanging="360"/>
      </w:pPr>
    </w:lvl>
    <w:lvl w:ilvl="2" w:tplc="FA0E92D4" w:tentative="1">
      <w:start w:val="1"/>
      <w:numFmt w:val="lowerRoman"/>
      <w:lvlText w:val="%3."/>
      <w:lvlJc w:val="right"/>
      <w:pPr>
        <w:ind w:left="2160" w:hanging="180"/>
      </w:pPr>
    </w:lvl>
    <w:lvl w:ilvl="3" w:tplc="4210B5B0" w:tentative="1">
      <w:start w:val="1"/>
      <w:numFmt w:val="decimal"/>
      <w:lvlText w:val="%4."/>
      <w:lvlJc w:val="left"/>
      <w:pPr>
        <w:ind w:left="2880" w:hanging="360"/>
      </w:pPr>
    </w:lvl>
    <w:lvl w:ilvl="4" w:tplc="C31800AA" w:tentative="1">
      <w:start w:val="1"/>
      <w:numFmt w:val="lowerLetter"/>
      <w:lvlText w:val="%5."/>
      <w:lvlJc w:val="left"/>
      <w:pPr>
        <w:ind w:left="3600" w:hanging="360"/>
      </w:pPr>
    </w:lvl>
    <w:lvl w:ilvl="5" w:tplc="B5D8A0B8" w:tentative="1">
      <w:start w:val="1"/>
      <w:numFmt w:val="lowerRoman"/>
      <w:lvlText w:val="%6."/>
      <w:lvlJc w:val="right"/>
      <w:pPr>
        <w:ind w:left="4320" w:hanging="180"/>
      </w:pPr>
    </w:lvl>
    <w:lvl w:ilvl="6" w:tplc="4D6E05F2" w:tentative="1">
      <w:start w:val="1"/>
      <w:numFmt w:val="decimal"/>
      <w:lvlText w:val="%7."/>
      <w:lvlJc w:val="left"/>
      <w:pPr>
        <w:ind w:left="5040" w:hanging="360"/>
      </w:pPr>
    </w:lvl>
    <w:lvl w:ilvl="7" w:tplc="5020546A" w:tentative="1">
      <w:start w:val="1"/>
      <w:numFmt w:val="lowerLetter"/>
      <w:lvlText w:val="%8."/>
      <w:lvlJc w:val="left"/>
      <w:pPr>
        <w:ind w:left="5760" w:hanging="360"/>
      </w:pPr>
    </w:lvl>
    <w:lvl w:ilvl="8" w:tplc="013CDB28" w:tentative="1">
      <w:start w:val="1"/>
      <w:numFmt w:val="lowerRoman"/>
      <w:lvlText w:val="%9."/>
      <w:lvlJc w:val="right"/>
      <w:pPr>
        <w:ind w:left="6480" w:hanging="180"/>
      </w:pPr>
    </w:lvl>
  </w:abstractNum>
  <w:abstractNum w:abstractNumId="5" w15:restartNumberingAfterBreak="0">
    <w:nsid w:val="7ED3090D"/>
    <w:multiLevelType w:val="hybridMultilevel"/>
    <w:tmpl w:val="C4265F3C"/>
    <w:lvl w:ilvl="0" w:tplc="09EABB7E">
      <w:start w:val="1"/>
      <w:numFmt w:val="bullet"/>
      <w:lvlText w:val="·"/>
      <w:lvlJc w:val="left"/>
      <w:pPr>
        <w:ind w:left="720" w:hanging="360"/>
      </w:pPr>
      <w:rPr>
        <w:rFonts w:ascii="Symbol" w:hAnsi="Symbol" w:hint="default"/>
      </w:rPr>
    </w:lvl>
    <w:lvl w:ilvl="1" w:tplc="66703718">
      <w:start w:val="1"/>
      <w:numFmt w:val="bullet"/>
      <w:lvlText w:val="o"/>
      <w:lvlJc w:val="left"/>
      <w:pPr>
        <w:ind w:left="1440" w:hanging="360"/>
      </w:pPr>
      <w:rPr>
        <w:rFonts w:ascii="Courier New" w:hAnsi="Courier New" w:hint="default"/>
      </w:rPr>
    </w:lvl>
    <w:lvl w:ilvl="2" w:tplc="22EC0836">
      <w:start w:val="1"/>
      <w:numFmt w:val="bullet"/>
      <w:lvlText w:val=""/>
      <w:lvlJc w:val="left"/>
      <w:pPr>
        <w:ind w:left="2160" w:hanging="360"/>
      </w:pPr>
      <w:rPr>
        <w:rFonts w:ascii="Wingdings" w:hAnsi="Wingdings" w:hint="default"/>
      </w:rPr>
    </w:lvl>
    <w:lvl w:ilvl="3" w:tplc="68F4EEA2">
      <w:start w:val="1"/>
      <w:numFmt w:val="bullet"/>
      <w:lvlText w:val=""/>
      <w:lvlJc w:val="left"/>
      <w:pPr>
        <w:ind w:left="2880" w:hanging="360"/>
      </w:pPr>
      <w:rPr>
        <w:rFonts w:ascii="Symbol" w:hAnsi="Symbol" w:hint="default"/>
      </w:rPr>
    </w:lvl>
    <w:lvl w:ilvl="4" w:tplc="79763798">
      <w:start w:val="1"/>
      <w:numFmt w:val="bullet"/>
      <w:lvlText w:val="o"/>
      <w:lvlJc w:val="left"/>
      <w:pPr>
        <w:ind w:left="3600" w:hanging="360"/>
      </w:pPr>
      <w:rPr>
        <w:rFonts w:ascii="Courier New" w:hAnsi="Courier New" w:hint="default"/>
      </w:rPr>
    </w:lvl>
    <w:lvl w:ilvl="5" w:tplc="5224C62C">
      <w:start w:val="1"/>
      <w:numFmt w:val="bullet"/>
      <w:lvlText w:val=""/>
      <w:lvlJc w:val="left"/>
      <w:pPr>
        <w:ind w:left="4320" w:hanging="360"/>
      </w:pPr>
      <w:rPr>
        <w:rFonts w:ascii="Wingdings" w:hAnsi="Wingdings" w:hint="default"/>
      </w:rPr>
    </w:lvl>
    <w:lvl w:ilvl="6" w:tplc="1EE0F32E">
      <w:start w:val="1"/>
      <w:numFmt w:val="bullet"/>
      <w:lvlText w:val=""/>
      <w:lvlJc w:val="left"/>
      <w:pPr>
        <w:ind w:left="5040" w:hanging="360"/>
      </w:pPr>
      <w:rPr>
        <w:rFonts w:ascii="Symbol" w:hAnsi="Symbol" w:hint="default"/>
      </w:rPr>
    </w:lvl>
    <w:lvl w:ilvl="7" w:tplc="BE8E05D2">
      <w:start w:val="1"/>
      <w:numFmt w:val="bullet"/>
      <w:lvlText w:val="o"/>
      <w:lvlJc w:val="left"/>
      <w:pPr>
        <w:ind w:left="5760" w:hanging="360"/>
      </w:pPr>
      <w:rPr>
        <w:rFonts w:ascii="Courier New" w:hAnsi="Courier New" w:hint="default"/>
      </w:rPr>
    </w:lvl>
    <w:lvl w:ilvl="8" w:tplc="A754B5C8">
      <w:start w:val="1"/>
      <w:numFmt w:val="bullet"/>
      <w:lvlText w:val=""/>
      <w:lvlJc w:val="left"/>
      <w:pPr>
        <w:ind w:left="6480" w:hanging="360"/>
      </w:pPr>
      <w:rPr>
        <w:rFonts w:ascii="Wingdings" w:hAnsi="Wingdings" w:hint="default"/>
      </w:rPr>
    </w:lvl>
  </w:abstractNum>
  <w:num w:numId="1" w16cid:durableId="740980036">
    <w:abstractNumId w:val="2"/>
  </w:num>
  <w:num w:numId="2" w16cid:durableId="877206881">
    <w:abstractNumId w:val="5"/>
  </w:num>
  <w:num w:numId="3" w16cid:durableId="888225021">
    <w:abstractNumId w:val="4"/>
  </w:num>
  <w:num w:numId="4" w16cid:durableId="134949873">
    <w:abstractNumId w:val="3"/>
  </w:num>
  <w:num w:numId="5" w16cid:durableId="4569191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8445245">
    <w:abstractNumId w:val="1"/>
  </w:num>
  <w:num w:numId="7" w16cid:durableId="1580364428">
    <w:abstractNumId w:val="2"/>
  </w:num>
  <w:num w:numId="8" w16cid:durableId="1653680137">
    <w:abstractNumId w:val="2"/>
  </w:num>
  <w:num w:numId="9" w16cid:durableId="1149714667">
    <w:abstractNumId w:val="0"/>
  </w:num>
  <w:num w:numId="10" w16cid:durableId="246311058">
    <w:abstractNumId w:val="2"/>
  </w:num>
  <w:num w:numId="11" w16cid:durableId="1401563727">
    <w:abstractNumId w:val="2"/>
  </w:num>
  <w:num w:numId="12" w16cid:durableId="7801031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406"/>
    <w:rsid w:val="000261B1"/>
    <w:rsid w:val="00031E32"/>
    <w:rsid w:val="00037F7D"/>
    <w:rsid w:val="000408A8"/>
    <w:rsid w:val="00051E54"/>
    <w:rsid w:val="00070497"/>
    <w:rsid w:val="00080141"/>
    <w:rsid w:val="000C3DAD"/>
    <w:rsid w:val="000F0CC1"/>
    <w:rsid w:val="001246DE"/>
    <w:rsid w:val="00135FE4"/>
    <w:rsid w:val="00142441"/>
    <w:rsid w:val="00146CC0"/>
    <w:rsid w:val="00161A03"/>
    <w:rsid w:val="001667DA"/>
    <w:rsid w:val="00167C06"/>
    <w:rsid w:val="001D5E06"/>
    <w:rsid w:val="001E0A6E"/>
    <w:rsid w:val="001E4A17"/>
    <w:rsid w:val="001F2ECE"/>
    <w:rsid w:val="00207383"/>
    <w:rsid w:val="00211231"/>
    <w:rsid w:val="00213559"/>
    <w:rsid w:val="002166DC"/>
    <w:rsid w:val="002261EA"/>
    <w:rsid w:val="002A465A"/>
    <w:rsid w:val="002D1C05"/>
    <w:rsid w:val="002D263D"/>
    <w:rsid w:val="002D35A0"/>
    <w:rsid w:val="002E7192"/>
    <w:rsid w:val="00330261"/>
    <w:rsid w:val="00330778"/>
    <w:rsid w:val="003326B9"/>
    <w:rsid w:val="003A2682"/>
    <w:rsid w:val="003A4A9E"/>
    <w:rsid w:val="003C0FBE"/>
    <w:rsid w:val="003C257A"/>
    <w:rsid w:val="004152A5"/>
    <w:rsid w:val="0041639A"/>
    <w:rsid w:val="0042003E"/>
    <w:rsid w:val="004621E6"/>
    <w:rsid w:val="00484B11"/>
    <w:rsid w:val="004C6F26"/>
    <w:rsid w:val="004D62A5"/>
    <w:rsid w:val="004D7282"/>
    <w:rsid w:val="004E539B"/>
    <w:rsid w:val="004F2B73"/>
    <w:rsid w:val="004F51C6"/>
    <w:rsid w:val="00500753"/>
    <w:rsid w:val="00503774"/>
    <w:rsid w:val="00505C35"/>
    <w:rsid w:val="00506A03"/>
    <w:rsid w:val="00512AC6"/>
    <w:rsid w:val="00586A92"/>
    <w:rsid w:val="00590406"/>
    <w:rsid w:val="005916F2"/>
    <w:rsid w:val="005D1058"/>
    <w:rsid w:val="005D4A38"/>
    <w:rsid w:val="005D7139"/>
    <w:rsid w:val="00601BFF"/>
    <w:rsid w:val="00621B34"/>
    <w:rsid w:val="00621F7E"/>
    <w:rsid w:val="00624138"/>
    <w:rsid w:val="0063586D"/>
    <w:rsid w:val="0063770E"/>
    <w:rsid w:val="006417A8"/>
    <w:rsid w:val="0065206D"/>
    <w:rsid w:val="00674711"/>
    <w:rsid w:val="00686B44"/>
    <w:rsid w:val="00693E45"/>
    <w:rsid w:val="006A66CB"/>
    <w:rsid w:val="006B6413"/>
    <w:rsid w:val="006B7413"/>
    <w:rsid w:val="006D4220"/>
    <w:rsid w:val="0070369C"/>
    <w:rsid w:val="00721593"/>
    <w:rsid w:val="00725875"/>
    <w:rsid w:val="00725CBE"/>
    <w:rsid w:val="007434B7"/>
    <w:rsid w:val="0075316F"/>
    <w:rsid w:val="007613D1"/>
    <w:rsid w:val="00761C46"/>
    <w:rsid w:val="0077685F"/>
    <w:rsid w:val="00786AB5"/>
    <w:rsid w:val="00797136"/>
    <w:rsid w:val="007D0448"/>
    <w:rsid w:val="007D462A"/>
    <w:rsid w:val="007F175E"/>
    <w:rsid w:val="00817203"/>
    <w:rsid w:val="00822DAE"/>
    <w:rsid w:val="00826D0E"/>
    <w:rsid w:val="0086357A"/>
    <w:rsid w:val="0087684A"/>
    <w:rsid w:val="008A43D9"/>
    <w:rsid w:val="008A6620"/>
    <w:rsid w:val="008C594C"/>
    <w:rsid w:val="008D057D"/>
    <w:rsid w:val="008F2911"/>
    <w:rsid w:val="00904F38"/>
    <w:rsid w:val="00943E4B"/>
    <w:rsid w:val="0094483C"/>
    <w:rsid w:val="00960360"/>
    <w:rsid w:val="009656AB"/>
    <w:rsid w:val="00970C69"/>
    <w:rsid w:val="009C03D5"/>
    <w:rsid w:val="009F31AD"/>
    <w:rsid w:val="00A40C54"/>
    <w:rsid w:val="00A835AE"/>
    <w:rsid w:val="00A84172"/>
    <w:rsid w:val="00A84C2B"/>
    <w:rsid w:val="00A86B9C"/>
    <w:rsid w:val="00AD3721"/>
    <w:rsid w:val="00AD77CB"/>
    <w:rsid w:val="00B03176"/>
    <w:rsid w:val="00B11F00"/>
    <w:rsid w:val="00B25704"/>
    <w:rsid w:val="00B5240E"/>
    <w:rsid w:val="00B73FC1"/>
    <w:rsid w:val="00B7669B"/>
    <w:rsid w:val="00B94EA5"/>
    <w:rsid w:val="00BD3E93"/>
    <w:rsid w:val="00BF1030"/>
    <w:rsid w:val="00BF73EE"/>
    <w:rsid w:val="00C05C70"/>
    <w:rsid w:val="00C52E24"/>
    <w:rsid w:val="00C6B624"/>
    <w:rsid w:val="00C96453"/>
    <w:rsid w:val="00CC724E"/>
    <w:rsid w:val="00CD70CF"/>
    <w:rsid w:val="00CF0A11"/>
    <w:rsid w:val="00CF2AEC"/>
    <w:rsid w:val="00D01429"/>
    <w:rsid w:val="00D163B1"/>
    <w:rsid w:val="00D25D15"/>
    <w:rsid w:val="00D4230F"/>
    <w:rsid w:val="00D45945"/>
    <w:rsid w:val="00D70711"/>
    <w:rsid w:val="00D95457"/>
    <w:rsid w:val="00D95BB5"/>
    <w:rsid w:val="00DA4E12"/>
    <w:rsid w:val="00DB27D0"/>
    <w:rsid w:val="00DB4A3F"/>
    <w:rsid w:val="00DC55A5"/>
    <w:rsid w:val="00DD7CF7"/>
    <w:rsid w:val="00E050E3"/>
    <w:rsid w:val="00E40D53"/>
    <w:rsid w:val="00E4269A"/>
    <w:rsid w:val="00E83292"/>
    <w:rsid w:val="00E91E97"/>
    <w:rsid w:val="00E92865"/>
    <w:rsid w:val="00EA4DCC"/>
    <w:rsid w:val="00EC023B"/>
    <w:rsid w:val="00EC2A8E"/>
    <w:rsid w:val="00EC572F"/>
    <w:rsid w:val="00ED2833"/>
    <w:rsid w:val="00ED52DC"/>
    <w:rsid w:val="00ED6CB8"/>
    <w:rsid w:val="00EF36B8"/>
    <w:rsid w:val="00F02B00"/>
    <w:rsid w:val="00F15276"/>
    <w:rsid w:val="00F260AC"/>
    <w:rsid w:val="00F27F7B"/>
    <w:rsid w:val="00F360BB"/>
    <w:rsid w:val="00F47F89"/>
    <w:rsid w:val="00F62ADB"/>
    <w:rsid w:val="00F66D9E"/>
    <w:rsid w:val="00F86B7D"/>
    <w:rsid w:val="00F87D91"/>
    <w:rsid w:val="00FB72AD"/>
    <w:rsid w:val="00FC21B5"/>
    <w:rsid w:val="00FD1A0B"/>
    <w:rsid w:val="0BFB995F"/>
    <w:rsid w:val="3B28A200"/>
    <w:rsid w:val="44F936B4"/>
    <w:rsid w:val="5048A31C"/>
    <w:rsid w:val="53462260"/>
    <w:rsid w:val="5448FC9D"/>
    <w:rsid w:val="54E6AA6E"/>
    <w:rsid w:val="6C599B8B"/>
    <w:rsid w:val="6E2DEC24"/>
    <w:rsid w:val="6ED90715"/>
    <w:rsid w:val="729530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5EDE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406"/>
  </w:style>
  <w:style w:type="paragraph" w:styleId="Heading1">
    <w:name w:val="heading 1"/>
    <w:basedOn w:val="Normal"/>
    <w:next w:val="Normal"/>
    <w:link w:val="Heading1Char"/>
    <w:uiPriority w:val="9"/>
    <w:qFormat/>
    <w:rsid w:val="005904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04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04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04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04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04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04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04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04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4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04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04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04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04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04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04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04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0406"/>
    <w:rPr>
      <w:rFonts w:eastAsiaTheme="majorEastAsia" w:cstheme="majorBidi"/>
      <w:color w:val="272727" w:themeColor="text1" w:themeTint="D8"/>
    </w:rPr>
  </w:style>
  <w:style w:type="paragraph" w:styleId="Title">
    <w:name w:val="Title"/>
    <w:basedOn w:val="Normal"/>
    <w:next w:val="Normal"/>
    <w:link w:val="TitleChar"/>
    <w:uiPriority w:val="10"/>
    <w:qFormat/>
    <w:rsid w:val="005904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4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4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04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0406"/>
    <w:pPr>
      <w:spacing w:before="160"/>
      <w:jc w:val="center"/>
    </w:pPr>
    <w:rPr>
      <w:i/>
      <w:iCs/>
      <w:color w:val="404040" w:themeColor="text1" w:themeTint="BF"/>
    </w:rPr>
  </w:style>
  <w:style w:type="character" w:customStyle="1" w:styleId="QuoteChar">
    <w:name w:val="Quote Char"/>
    <w:basedOn w:val="DefaultParagraphFont"/>
    <w:link w:val="Quote"/>
    <w:uiPriority w:val="29"/>
    <w:rsid w:val="00590406"/>
    <w:rPr>
      <w:i/>
      <w:iCs/>
      <w:color w:val="404040" w:themeColor="text1" w:themeTint="BF"/>
    </w:rPr>
  </w:style>
  <w:style w:type="paragraph" w:styleId="ListParagraph">
    <w:name w:val="List Paragraph"/>
    <w:basedOn w:val="Normal"/>
    <w:uiPriority w:val="34"/>
    <w:qFormat/>
    <w:rsid w:val="00590406"/>
    <w:pPr>
      <w:ind w:left="720"/>
      <w:contextualSpacing/>
    </w:pPr>
  </w:style>
  <w:style w:type="character" w:styleId="IntenseEmphasis">
    <w:name w:val="Intense Emphasis"/>
    <w:basedOn w:val="DefaultParagraphFont"/>
    <w:uiPriority w:val="21"/>
    <w:qFormat/>
    <w:rsid w:val="00590406"/>
    <w:rPr>
      <w:i/>
      <w:iCs/>
      <w:color w:val="0F4761" w:themeColor="accent1" w:themeShade="BF"/>
    </w:rPr>
  </w:style>
  <w:style w:type="paragraph" w:styleId="IntenseQuote">
    <w:name w:val="Intense Quote"/>
    <w:basedOn w:val="Normal"/>
    <w:next w:val="Normal"/>
    <w:link w:val="IntenseQuoteChar"/>
    <w:uiPriority w:val="30"/>
    <w:qFormat/>
    <w:rsid w:val="005904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0406"/>
    <w:rPr>
      <w:i/>
      <w:iCs/>
      <w:color w:val="0F4761" w:themeColor="accent1" w:themeShade="BF"/>
    </w:rPr>
  </w:style>
  <w:style w:type="character" w:styleId="IntenseReference">
    <w:name w:val="Intense Reference"/>
    <w:basedOn w:val="DefaultParagraphFont"/>
    <w:uiPriority w:val="32"/>
    <w:qFormat/>
    <w:rsid w:val="00590406"/>
    <w:rPr>
      <w:b/>
      <w:bCs/>
      <w:smallCaps/>
      <w:color w:val="0F4761" w:themeColor="accent1" w:themeShade="BF"/>
      <w:spacing w:val="5"/>
    </w:rPr>
  </w:style>
  <w:style w:type="paragraph" w:styleId="Header">
    <w:name w:val="header"/>
    <w:basedOn w:val="Normal"/>
    <w:link w:val="HeaderChar"/>
    <w:uiPriority w:val="99"/>
    <w:unhideWhenUsed/>
    <w:rsid w:val="005904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0406"/>
  </w:style>
  <w:style w:type="paragraph" w:styleId="Footer">
    <w:name w:val="footer"/>
    <w:basedOn w:val="Normal"/>
    <w:link w:val="FooterChar"/>
    <w:uiPriority w:val="99"/>
    <w:unhideWhenUsed/>
    <w:rsid w:val="005904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0406"/>
  </w:style>
  <w:style w:type="table" w:styleId="TableGrid">
    <w:name w:val="Table Grid"/>
    <w:basedOn w:val="TableNormal"/>
    <w:uiPriority w:val="39"/>
    <w:rsid w:val="00590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
    <w:rsid w:val="00590406"/>
    <w:pPr>
      <w:numPr>
        <w:numId w:val="1"/>
      </w:numPr>
      <w:spacing w:after="0" w:line="240" w:lineRule="auto"/>
    </w:pPr>
    <w:rPr>
      <w:rFonts w:ascii="Calibri" w:hAnsi="Calibri" w:cs="Calibri"/>
    </w:rPr>
  </w:style>
  <w:style w:type="character" w:customStyle="1" w:styleId="BulletChar">
    <w:name w:val="Bullet Char"/>
    <w:basedOn w:val="DefaultParagraphFont"/>
    <w:link w:val="Bullet"/>
    <w:rsid w:val="00590406"/>
    <w:rPr>
      <w:rFonts w:ascii="Calibri" w:hAnsi="Calibri" w:cs="Calibri"/>
    </w:rPr>
  </w:style>
  <w:style w:type="paragraph" w:customStyle="1" w:styleId="Dash">
    <w:name w:val="Dash"/>
    <w:basedOn w:val="Normal"/>
    <w:link w:val="DashChar"/>
    <w:rsid w:val="00590406"/>
    <w:pPr>
      <w:numPr>
        <w:ilvl w:val="1"/>
        <w:numId w:val="1"/>
      </w:numPr>
      <w:spacing w:after="0" w:line="240" w:lineRule="auto"/>
    </w:pPr>
    <w:rPr>
      <w:rFonts w:ascii="Calibri" w:hAnsi="Calibri" w:cs="Calibri"/>
    </w:rPr>
  </w:style>
  <w:style w:type="paragraph" w:customStyle="1" w:styleId="DoubleDot">
    <w:name w:val="Double Dot"/>
    <w:basedOn w:val="Normal"/>
    <w:rsid w:val="00590406"/>
    <w:pPr>
      <w:numPr>
        <w:ilvl w:val="2"/>
        <w:numId w:val="1"/>
      </w:numPr>
      <w:spacing w:after="0" w:line="240" w:lineRule="auto"/>
    </w:pPr>
    <w:rPr>
      <w:rFonts w:ascii="Calibri" w:hAnsi="Calibri" w:cs="Calibri"/>
    </w:rPr>
  </w:style>
  <w:style w:type="character" w:customStyle="1" w:styleId="DashChar">
    <w:name w:val="Dash Char"/>
    <w:basedOn w:val="DefaultParagraphFont"/>
    <w:link w:val="Dash"/>
    <w:rsid w:val="00590406"/>
    <w:rPr>
      <w:rFonts w:ascii="Calibri" w:hAnsi="Calibri" w:cs="Calibri"/>
    </w:rPr>
  </w:style>
  <w:style w:type="paragraph" w:styleId="FootnoteText">
    <w:name w:val="footnote text"/>
    <w:basedOn w:val="Normal"/>
    <w:link w:val="FootnoteTextChar"/>
    <w:uiPriority w:val="99"/>
    <w:semiHidden/>
    <w:unhideWhenUsed/>
    <w:rsid w:val="005904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90406"/>
    <w:rPr>
      <w:sz w:val="20"/>
      <w:szCs w:val="20"/>
    </w:rPr>
  </w:style>
  <w:style w:type="character" w:styleId="FootnoteReference">
    <w:name w:val="footnote reference"/>
    <w:basedOn w:val="DefaultParagraphFont"/>
    <w:uiPriority w:val="99"/>
    <w:semiHidden/>
    <w:unhideWhenUsed/>
    <w:rsid w:val="00590406"/>
    <w:rPr>
      <w:vertAlign w:val="superscript"/>
    </w:rPr>
  </w:style>
  <w:style w:type="character" w:styleId="Hyperlink">
    <w:name w:val="Hyperlink"/>
    <w:basedOn w:val="DefaultParagraphFont"/>
    <w:uiPriority w:val="99"/>
    <w:unhideWhenUsed/>
    <w:rsid w:val="00590406"/>
    <w:rPr>
      <w:color w:val="467886" w:themeColor="hyperlink"/>
      <w:u w:val="single"/>
    </w:rPr>
  </w:style>
  <w:style w:type="character" w:styleId="FollowedHyperlink">
    <w:name w:val="FollowedHyperlink"/>
    <w:basedOn w:val="DefaultParagraphFont"/>
    <w:uiPriority w:val="99"/>
    <w:semiHidden/>
    <w:unhideWhenUsed/>
    <w:rsid w:val="0075316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reasury.gov.au/publication/first-nations-economic-partnership-agreemen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c1b6f4da-6f5a-4ad4-ae79-c01bdd3395d0}" enabled="1" method="Privileged" siteId="{b3712af2-6728-4e11-bcea-c85236845f5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1572</Words>
  <Characters>8963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First Nations Economic Partnership – 2025–26 Annual Workplan</vt:lpstr>
    </vt:vector>
  </TitlesOfParts>
  <Company/>
  <LinksUpToDate>false</LinksUpToDate>
  <CharactersWithSpaces>10514</CharactersWithSpaces>
  <SharedDoc>false</SharedDoc>
  <HLinks>
    <vt:vector size="6" baseType="variant">
      <vt:variant>
        <vt:i4>65622</vt:i4>
      </vt:variant>
      <vt:variant>
        <vt:i4>0</vt:i4>
      </vt:variant>
      <vt:variant>
        <vt:i4>0</vt:i4>
      </vt:variant>
      <vt:variant>
        <vt:i4>5</vt:i4>
      </vt:variant>
      <vt:variant>
        <vt:lpwstr>https://treasury.gov.au/publication/first-nations-economic-partnership-agreement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Nations Economic Partnership – 2025–26 Annual Workplan</dc:title>
  <dc:subject/>
  <dc:creator>Australian Government</dc:creator>
  <cp:keywords/>
  <dc:description/>
  <cp:lastModifiedBy/>
  <cp:revision>1</cp:revision>
  <dcterms:created xsi:type="dcterms:W3CDTF">2026-07-06T02:46:00Z</dcterms:created>
  <dcterms:modified xsi:type="dcterms:W3CDTF">2026-07-06T02:47:00Z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2026-07-06T02:46:58Z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b456143b-fe87-47bc-ba10-157ad9c1a275</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