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1EF4" w14:textId="54C65017" w:rsidR="4A4A714F" w:rsidRDefault="4A4A714F" w:rsidP="4A4A714F">
      <w:pPr>
        <w:pStyle w:val="Heading1"/>
        <w:spacing w:before="0" w:after="120"/>
        <w:rPr>
          <w:rStyle w:val="TitleChar"/>
          <w:rFonts w:ascii="Times New Roman" w:hAnsi="Times New Roman" w:cs="Times New Roman"/>
          <w:b/>
          <w:bCs/>
          <w:caps/>
          <w:color w:val="auto"/>
          <w:sz w:val="40"/>
          <w:szCs w:val="40"/>
        </w:rPr>
      </w:pPr>
    </w:p>
    <w:p w14:paraId="02ABA624" w14:textId="77777777" w:rsidR="00E702FB" w:rsidRPr="00C05774" w:rsidRDefault="00E702FB" w:rsidP="00E702FB">
      <w:pPr>
        <w:pStyle w:val="Heading1"/>
        <w:spacing w:before="0" w:after="120"/>
        <w:rPr>
          <w:rFonts w:ascii="Times New Roman" w:hAnsi="Times New Roman" w:cs="Times New Roman"/>
          <w:color w:val="auto"/>
          <w:sz w:val="22"/>
          <w:szCs w:val="22"/>
        </w:rPr>
      </w:pPr>
      <w:r w:rsidRPr="00B43FAD">
        <w:rPr>
          <w:rStyle w:val="TitleChar"/>
          <w:rFonts w:ascii="Times New Roman" w:hAnsi="Times New Roman" w:cs="Times New Roman"/>
          <w:b/>
          <w:caps/>
          <w:color w:val="auto"/>
          <w:sz w:val="40"/>
          <w:szCs w:val="40"/>
        </w:rPr>
        <w:t>Statement of Expectations:</w:t>
      </w:r>
      <w:r w:rsidRPr="00A11618">
        <w:rPr>
          <w:rStyle w:val="TitleChar"/>
          <w:rFonts w:ascii="Times New Roman" w:hAnsi="Times New Roman" w:cs="Times New Roman"/>
          <w:b/>
          <w:caps/>
          <w:color w:val="auto"/>
          <w:sz w:val="40"/>
          <w:szCs w:val="40"/>
        </w:rPr>
        <w:br/>
        <w:t xml:space="preserve">Australian Securities and Investments </w:t>
      </w:r>
      <w:r w:rsidRPr="00C05774">
        <w:rPr>
          <w:rStyle w:val="TitleChar"/>
          <w:rFonts w:ascii="Times New Roman" w:hAnsi="Times New Roman" w:cs="Times New Roman"/>
          <w:b/>
          <w:caps/>
          <w:color w:val="auto"/>
          <w:sz w:val="40"/>
          <w:szCs w:val="40"/>
        </w:rPr>
        <w:t>Commission</w:t>
      </w:r>
      <w:r w:rsidRPr="00C05774">
        <w:rPr>
          <w:rFonts w:ascii="Times New Roman" w:hAnsi="Times New Roman" w:cs="Times New Roman"/>
          <w:color w:val="auto"/>
          <w:sz w:val="22"/>
          <w:szCs w:val="22"/>
        </w:rPr>
        <w:t xml:space="preserve"> </w:t>
      </w:r>
    </w:p>
    <w:p w14:paraId="0E1161D6" w14:textId="5B2DF642" w:rsidR="00E702FB" w:rsidRPr="00C05774" w:rsidRDefault="6DC1D262" w:rsidP="00E702FB">
      <w:pPr>
        <w:pStyle w:val="Heading1"/>
        <w:spacing w:before="0" w:after="240"/>
        <w:rPr>
          <w:rFonts w:ascii="Times New Roman" w:hAnsi="Times New Roman" w:cs="Times New Roman"/>
          <w:color w:val="auto"/>
          <w:sz w:val="22"/>
          <w:szCs w:val="22"/>
        </w:rPr>
      </w:pPr>
      <w:r w:rsidRPr="6DDA8B4E">
        <w:rPr>
          <w:rFonts w:ascii="Times New Roman" w:hAnsi="Times New Roman" w:cs="Times New Roman"/>
          <w:color w:val="auto"/>
          <w:sz w:val="22"/>
          <w:szCs w:val="22"/>
        </w:rPr>
        <w:t>July</w:t>
      </w:r>
      <w:r w:rsidR="4A49E176" w:rsidRPr="6DDA8B4E">
        <w:rPr>
          <w:rFonts w:ascii="Times New Roman" w:hAnsi="Times New Roman" w:cs="Times New Roman"/>
          <w:color w:val="auto"/>
          <w:sz w:val="22"/>
          <w:szCs w:val="22"/>
        </w:rPr>
        <w:t xml:space="preserve"> 202</w:t>
      </w:r>
      <w:r w:rsidRPr="6DDA8B4E">
        <w:rPr>
          <w:rFonts w:ascii="Times New Roman" w:hAnsi="Times New Roman" w:cs="Times New Roman"/>
          <w:color w:val="auto"/>
          <w:sz w:val="22"/>
          <w:szCs w:val="22"/>
        </w:rPr>
        <w:t>6</w:t>
      </w:r>
    </w:p>
    <w:p w14:paraId="4BE30F68" w14:textId="77777777" w:rsidR="00E702FB" w:rsidRPr="00A11618" w:rsidRDefault="00E702FB" w:rsidP="00E702FB">
      <w:pPr>
        <w:pStyle w:val="ListParagraph"/>
        <w:numPr>
          <w:ilvl w:val="0"/>
          <w:numId w:val="5"/>
        </w:numPr>
        <w:spacing w:before="120" w:after="120"/>
        <w:ind w:left="357" w:hanging="357"/>
        <w:contextualSpacing w:val="0"/>
        <w:rPr>
          <w:rFonts w:ascii="Times New Roman" w:hAnsi="Times New Roman" w:cs="Times New Roman"/>
        </w:rPr>
      </w:pPr>
      <w:r w:rsidRPr="00A11618">
        <w:rPr>
          <w:rFonts w:ascii="Times New Roman" w:hAnsi="Times New Roman" w:cs="Times New Roman"/>
        </w:rPr>
        <w:t>This Statement of Expectations outlines the Australian Government's expectations for how the Australian Securities and Investments Commission (ASIC) will achieve its objectives, carry out its functions and exercise its powers. It is to be read alongside the laws that apply to ASIC and the laws that ASIC administers.</w:t>
      </w:r>
    </w:p>
    <w:p w14:paraId="60D2F041" w14:textId="77777777" w:rsidR="00E702FB" w:rsidRPr="007C49F6" w:rsidRDefault="00E702FB" w:rsidP="00E702FB">
      <w:pPr>
        <w:pStyle w:val="Heading2"/>
        <w:rPr>
          <w:rFonts w:ascii="Times New Roman" w:hAnsi="Times New Roman" w:cs="Times New Roman"/>
          <w:b/>
          <w:caps/>
          <w:color w:val="auto"/>
          <w:sz w:val="24"/>
          <w:szCs w:val="24"/>
        </w:rPr>
      </w:pPr>
      <w:r w:rsidRPr="007C49F6">
        <w:rPr>
          <w:rFonts w:ascii="Times New Roman" w:hAnsi="Times New Roman" w:cs="Times New Roman"/>
          <w:b/>
          <w:caps/>
          <w:color w:val="auto"/>
          <w:sz w:val="24"/>
          <w:szCs w:val="24"/>
        </w:rPr>
        <w:t>ASIC’S role</w:t>
      </w:r>
    </w:p>
    <w:p w14:paraId="1757E7E6" w14:textId="77777777" w:rsidR="00E702FB" w:rsidRPr="00A11618" w:rsidRDefault="00E702FB" w:rsidP="00E702FB">
      <w:pPr>
        <w:pStyle w:val="ListParagraph"/>
        <w:numPr>
          <w:ilvl w:val="0"/>
          <w:numId w:val="5"/>
        </w:numPr>
        <w:spacing w:before="120" w:after="120"/>
        <w:contextualSpacing w:val="0"/>
        <w:rPr>
          <w:rFonts w:ascii="Times New Roman" w:hAnsi="Times New Roman" w:cs="Times New Roman"/>
        </w:rPr>
      </w:pPr>
      <w:r w:rsidRPr="00A11618">
        <w:rPr>
          <w:rFonts w:ascii="Times New Roman" w:hAnsi="Times New Roman" w:cs="Times New Roman"/>
        </w:rPr>
        <w:t>The Government expects ASIC to:</w:t>
      </w:r>
    </w:p>
    <w:p w14:paraId="226826D1" w14:textId="77777777" w:rsidR="00E702FB" w:rsidRPr="00A11618" w:rsidRDefault="00E702FB" w:rsidP="00E702FB">
      <w:pPr>
        <w:pStyle w:val="ListParagraph"/>
        <w:numPr>
          <w:ilvl w:val="1"/>
          <w:numId w:val="5"/>
        </w:numPr>
        <w:spacing w:before="120" w:after="120"/>
        <w:ind w:left="1077" w:hanging="720"/>
        <w:contextualSpacing w:val="0"/>
        <w:rPr>
          <w:rFonts w:ascii="Times New Roman" w:hAnsi="Times New Roman" w:cs="Times New Roman"/>
        </w:rPr>
      </w:pPr>
      <w:r w:rsidRPr="00A11618">
        <w:rPr>
          <w:rFonts w:ascii="Times New Roman" w:hAnsi="Times New Roman" w:cs="Times New Roman"/>
        </w:rPr>
        <w:t>promote the sound functioning of the financial system, financial markets and the corporate sector for the benefit of Australian consumers, investors and businesses;</w:t>
      </w:r>
    </w:p>
    <w:p w14:paraId="10A5E59D" w14:textId="5E6CD907" w:rsidR="00E702FB" w:rsidRPr="00A11618" w:rsidRDefault="00E702FB" w:rsidP="00E702FB">
      <w:pPr>
        <w:pStyle w:val="ListParagraph"/>
        <w:numPr>
          <w:ilvl w:val="1"/>
          <w:numId w:val="5"/>
        </w:numPr>
        <w:spacing w:before="120" w:after="120"/>
        <w:ind w:left="1077" w:hanging="720"/>
        <w:contextualSpacing w:val="0"/>
        <w:rPr>
          <w:rFonts w:ascii="Times New Roman" w:hAnsi="Times New Roman" w:cs="Times New Roman"/>
        </w:rPr>
      </w:pPr>
      <w:r w:rsidRPr="00A11618">
        <w:rPr>
          <w:rFonts w:ascii="Times New Roman" w:hAnsi="Times New Roman" w:cs="Times New Roman"/>
        </w:rPr>
        <w:t>rem</w:t>
      </w:r>
      <w:r w:rsidRPr="00282144">
        <w:rPr>
          <w:rFonts w:ascii="Times New Roman" w:hAnsi="Times New Roman" w:cs="Times New Roman"/>
        </w:rPr>
        <w:t xml:space="preserve">ain conscious of prevailing and developing economic </w:t>
      </w:r>
      <w:r w:rsidR="576097AA" w:rsidRPr="00282144">
        <w:rPr>
          <w:rFonts w:ascii="Times New Roman" w:hAnsi="Times New Roman" w:cs="Times New Roman"/>
        </w:rPr>
        <w:t xml:space="preserve">and financial </w:t>
      </w:r>
      <w:r w:rsidRPr="00282144">
        <w:rPr>
          <w:rFonts w:ascii="Times New Roman" w:hAnsi="Times New Roman" w:cs="Times New Roman"/>
        </w:rPr>
        <w:t>conditions and their impact on Australian consumers, investors and businesses when setting its priorities;</w:t>
      </w:r>
    </w:p>
    <w:p w14:paraId="59EB8543" w14:textId="0DAC9D8D" w:rsidR="4432D16B" w:rsidRPr="00F449EC" w:rsidRDefault="3A05E31D" w:rsidP="05FCCE50">
      <w:pPr>
        <w:pStyle w:val="ListParagraph"/>
        <w:numPr>
          <w:ilvl w:val="1"/>
          <w:numId w:val="5"/>
        </w:numPr>
        <w:spacing w:before="120" w:after="120"/>
        <w:ind w:left="1077" w:hanging="720"/>
        <w:contextualSpacing w:val="0"/>
        <w:rPr>
          <w:rFonts w:ascii="Times New Roman" w:hAnsi="Times New Roman" w:cs="Times New Roman"/>
        </w:rPr>
      </w:pPr>
      <w:r w:rsidRPr="17787313">
        <w:rPr>
          <w:rFonts w:ascii="Times New Roman" w:hAnsi="Times New Roman" w:cs="Times New Roman"/>
        </w:rPr>
        <w:t>s</w:t>
      </w:r>
      <w:r w:rsidR="3BE4D7CC" w:rsidRPr="17787313">
        <w:rPr>
          <w:rFonts w:ascii="Times New Roman" w:hAnsi="Times New Roman" w:cs="Times New Roman"/>
        </w:rPr>
        <w:t xml:space="preserve">upport strong, sustainable economic growth including through its approach to regulation; </w:t>
      </w:r>
    </w:p>
    <w:p w14:paraId="476668AA" w14:textId="77777777" w:rsidR="00E702FB" w:rsidRPr="00A11618" w:rsidRDefault="00E702FB" w:rsidP="00E702FB">
      <w:pPr>
        <w:pStyle w:val="ListParagraph"/>
        <w:numPr>
          <w:ilvl w:val="1"/>
          <w:numId w:val="5"/>
        </w:numPr>
        <w:spacing w:before="120" w:after="120"/>
        <w:ind w:left="1077" w:hanging="720"/>
        <w:contextualSpacing w:val="0"/>
        <w:rPr>
          <w:rFonts w:ascii="Times New Roman" w:hAnsi="Times New Roman" w:cs="Times New Roman"/>
        </w:rPr>
      </w:pPr>
      <w:r w:rsidRPr="00A11618">
        <w:rPr>
          <w:rFonts w:ascii="Times New Roman" w:hAnsi="Times New Roman" w:cs="Times New Roman"/>
        </w:rPr>
        <w:t>consider the regulatory impact of its activities (and the activities of other regulators) on affected industries, especially on small businesses and market entrants, ensuring its actions are proportionate and promote the advancement of consumer interests via competition, growth, and economic dynamism;</w:t>
      </w:r>
    </w:p>
    <w:p w14:paraId="0E2EFABB" w14:textId="36627F11" w:rsidR="009B7C59" w:rsidRPr="009B7C59" w:rsidRDefault="4C551295" w:rsidP="009B7C59">
      <w:pPr>
        <w:pStyle w:val="ListParagraph"/>
        <w:numPr>
          <w:ilvl w:val="1"/>
          <w:numId w:val="5"/>
        </w:numPr>
        <w:spacing w:before="120" w:after="120"/>
        <w:ind w:left="1077" w:hanging="720"/>
        <w:contextualSpacing w:val="0"/>
        <w:rPr>
          <w:rFonts w:ascii="Times New Roman" w:hAnsi="Times New Roman" w:cs="Times New Roman"/>
        </w:rPr>
      </w:pPr>
      <w:r w:rsidRPr="17787313">
        <w:rPr>
          <w:rFonts w:ascii="Times New Roman" w:hAnsi="Times New Roman" w:cs="Times New Roman"/>
        </w:rPr>
        <w:t>advance its own technological capability and innovation, ensuring its capabilities and a culture of innovation are matched to emerging threats</w:t>
      </w:r>
      <w:r w:rsidRPr="17787313">
        <w:rPr>
          <w:rFonts w:ascii="Times New Roman" w:hAnsi="Times New Roman" w:cs="Times New Roman"/>
          <w:strike/>
        </w:rPr>
        <w:t>;</w:t>
      </w:r>
    </w:p>
    <w:p w14:paraId="69E7F5E2" w14:textId="2A1EC428" w:rsidR="00E702FB" w:rsidRPr="00A11618" w:rsidRDefault="51FB541F" w:rsidP="00E702FB">
      <w:pPr>
        <w:pStyle w:val="ListParagraph"/>
        <w:numPr>
          <w:ilvl w:val="1"/>
          <w:numId w:val="5"/>
        </w:numPr>
        <w:spacing w:before="120" w:after="120"/>
        <w:ind w:left="1077" w:hanging="720"/>
        <w:contextualSpacing w:val="0"/>
        <w:rPr>
          <w:rFonts w:ascii="Times New Roman" w:hAnsi="Times New Roman" w:cs="Times New Roman"/>
        </w:rPr>
      </w:pPr>
      <w:r w:rsidRPr="3563979F">
        <w:rPr>
          <w:rFonts w:ascii="Times New Roman" w:hAnsi="Times New Roman" w:cs="Times New Roman"/>
        </w:rPr>
        <w:t>administer business registers efficiently, promoting the integrity</w:t>
      </w:r>
      <w:r w:rsidR="7AF7B615" w:rsidRPr="3563979F">
        <w:rPr>
          <w:rFonts w:ascii="Times New Roman" w:hAnsi="Times New Roman" w:cs="Times New Roman"/>
        </w:rPr>
        <w:t xml:space="preserve"> and accessibility </w:t>
      </w:r>
      <w:r w:rsidRPr="3563979F">
        <w:rPr>
          <w:rFonts w:ascii="Times New Roman" w:hAnsi="Times New Roman" w:cs="Times New Roman"/>
        </w:rPr>
        <w:t xml:space="preserve">of </w:t>
      </w:r>
      <w:r w:rsidR="3963C8A1" w:rsidRPr="3563979F">
        <w:rPr>
          <w:rFonts w:ascii="Times New Roman" w:hAnsi="Times New Roman" w:cs="Times New Roman"/>
        </w:rPr>
        <w:t xml:space="preserve">necessary </w:t>
      </w:r>
      <w:r w:rsidRPr="3563979F">
        <w:rPr>
          <w:rFonts w:ascii="Times New Roman" w:hAnsi="Times New Roman" w:cs="Times New Roman"/>
        </w:rPr>
        <w:t>information on the registers;</w:t>
      </w:r>
    </w:p>
    <w:p w14:paraId="4B10C498" w14:textId="10711E40" w:rsidR="0078625D" w:rsidRDefault="0078625D" w:rsidP="00E702FB">
      <w:pPr>
        <w:pStyle w:val="ListParagraph"/>
        <w:numPr>
          <w:ilvl w:val="1"/>
          <w:numId w:val="5"/>
        </w:numPr>
        <w:spacing w:before="120" w:after="120"/>
        <w:ind w:left="1077" w:hanging="720"/>
        <w:contextualSpacing w:val="0"/>
        <w:rPr>
          <w:rFonts w:ascii="Times New Roman" w:hAnsi="Times New Roman" w:cs="Times New Roman"/>
        </w:rPr>
      </w:pPr>
      <w:r>
        <w:rPr>
          <w:rFonts w:ascii="Times New Roman" w:hAnsi="Times New Roman" w:cs="Times New Roman"/>
        </w:rPr>
        <w:t>conduct consumer education and awareness initiative</w:t>
      </w:r>
      <w:r w:rsidR="005405BF">
        <w:rPr>
          <w:rFonts w:ascii="Times New Roman" w:hAnsi="Times New Roman" w:cs="Times New Roman"/>
        </w:rPr>
        <w:t>s</w:t>
      </w:r>
      <w:r>
        <w:rPr>
          <w:rFonts w:ascii="Times New Roman" w:hAnsi="Times New Roman" w:cs="Times New Roman"/>
        </w:rPr>
        <w:t xml:space="preserve"> to promote confident and informed participation by investors and consumers in the Australian financial system;</w:t>
      </w:r>
    </w:p>
    <w:p w14:paraId="02D0C575" w14:textId="0DE59372" w:rsidR="00E702FB" w:rsidRPr="00A11618" w:rsidRDefault="00E702FB" w:rsidP="00E702FB">
      <w:pPr>
        <w:pStyle w:val="ListParagraph"/>
        <w:numPr>
          <w:ilvl w:val="1"/>
          <w:numId w:val="5"/>
        </w:numPr>
        <w:spacing w:before="120" w:after="120"/>
        <w:ind w:left="1077" w:hanging="720"/>
        <w:contextualSpacing w:val="0"/>
        <w:rPr>
          <w:rFonts w:ascii="Times New Roman" w:hAnsi="Times New Roman" w:cs="Times New Roman"/>
        </w:rPr>
      </w:pPr>
      <w:r w:rsidRPr="00A11618">
        <w:rPr>
          <w:rFonts w:ascii="Times New Roman" w:hAnsi="Times New Roman" w:cs="Times New Roman"/>
        </w:rPr>
        <w:t xml:space="preserve">be strong, effective and respected in the enforcement of the laws that it administers, deterring and seeking </w:t>
      </w:r>
      <w:r w:rsidR="00FD7BB5">
        <w:rPr>
          <w:rFonts w:ascii="Times New Roman" w:hAnsi="Times New Roman" w:cs="Times New Roman"/>
        </w:rPr>
        <w:t xml:space="preserve">appropriate </w:t>
      </w:r>
      <w:r w:rsidRPr="00A11618">
        <w:rPr>
          <w:rFonts w:ascii="Times New Roman" w:hAnsi="Times New Roman" w:cs="Times New Roman"/>
        </w:rPr>
        <w:t xml:space="preserve">penalties for misconduct by identifying, investigating and </w:t>
      </w:r>
      <w:proofErr w:type="gramStart"/>
      <w:r w:rsidRPr="00A11618">
        <w:rPr>
          <w:rFonts w:ascii="Times New Roman" w:hAnsi="Times New Roman" w:cs="Times New Roman"/>
        </w:rPr>
        <w:t>taking action</w:t>
      </w:r>
      <w:proofErr w:type="gramEnd"/>
      <w:r w:rsidRPr="00A11618">
        <w:rPr>
          <w:rFonts w:ascii="Times New Roman" w:hAnsi="Times New Roman" w:cs="Times New Roman"/>
        </w:rPr>
        <w:t xml:space="preserve"> on matters in the public interest; and</w:t>
      </w:r>
    </w:p>
    <w:p w14:paraId="1E33D1A1" w14:textId="77777777" w:rsidR="00E702FB" w:rsidRPr="00A11618" w:rsidRDefault="00E702FB" w:rsidP="00E702FB">
      <w:pPr>
        <w:pStyle w:val="ListParagraph"/>
        <w:numPr>
          <w:ilvl w:val="1"/>
          <w:numId w:val="5"/>
        </w:numPr>
        <w:spacing w:before="120" w:after="120"/>
        <w:ind w:left="1077" w:hanging="720"/>
        <w:contextualSpacing w:val="0"/>
        <w:rPr>
          <w:rFonts w:ascii="Times New Roman" w:hAnsi="Times New Roman" w:cs="Times New Roman"/>
        </w:rPr>
      </w:pPr>
      <w:r w:rsidRPr="00A11618">
        <w:rPr>
          <w:rFonts w:ascii="Times New Roman" w:hAnsi="Times New Roman" w:cs="Times New Roman"/>
        </w:rPr>
        <w:t>act independently in its regulatory and enforcement functions.</w:t>
      </w:r>
    </w:p>
    <w:p w14:paraId="44FDC2D7" w14:textId="77777777" w:rsidR="00E702FB" w:rsidRPr="00A11618" w:rsidRDefault="00E702FB" w:rsidP="00E702FB">
      <w:pPr>
        <w:pStyle w:val="Heading1"/>
        <w:keepLines w:val="0"/>
        <w:spacing w:before="0" w:after="120" w:line="240" w:lineRule="auto"/>
        <w:rPr>
          <w:rFonts w:ascii="Times New Roman" w:eastAsia="Times New Roman" w:hAnsi="Times New Roman" w:cs="Times New Roman"/>
          <w:b/>
          <w:caps/>
          <w:color w:val="auto"/>
          <w:sz w:val="24"/>
          <w:szCs w:val="24"/>
          <w:lang w:eastAsia="en-AU"/>
        </w:rPr>
      </w:pPr>
      <w:r w:rsidRPr="00A11618">
        <w:rPr>
          <w:rFonts w:ascii="Times New Roman" w:eastAsia="Times New Roman" w:hAnsi="Times New Roman" w:cs="Times New Roman"/>
          <w:b/>
          <w:caps/>
          <w:color w:val="auto"/>
          <w:sz w:val="24"/>
          <w:szCs w:val="24"/>
          <w:lang w:eastAsia="en-AU"/>
        </w:rPr>
        <w:t xml:space="preserve">The Government’s policy priorities </w:t>
      </w:r>
    </w:p>
    <w:p w14:paraId="77203486" w14:textId="51C14ACE" w:rsidR="0FB86AFB" w:rsidRPr="00C92CC6" w:rsidRDefault="18F9DCD2" w:rsidP="2CC36C46">
      <w:pPr>
        <w:pStyle w:val="ListParagraph"/>
        <w:numPr>
          <w:ilvl w:val="0"/>
          <w:numId w:val="4"/>
        </w:numPr>
        <w:spacing w:before="120" w:after="120"/>
        <w:contextualSpacing w:val="0"/>
        <w:rPr>
          <w:rFonts w:ascii="Times New Roman" w:hAnsi="Times New Roman" w:cs="Times New Roman"/>
        </w:rPr>
      </w:pPr>
      <w:r w:rsidRPr="2CC36C46">
        <w:rPr>
          <w:rFonts w:ascii="Times New Roman" w:eastAsia="Times New Roman" w:hAnsi="Times New Roman" w:cs="Times New Roman"/>
        </w:rPr>
        <w:t>The Government is focused on building a more productive, more resilient economy that works in the interests of all Australians. As part of this,</w:t>
      </w:r>
      <w:r>
        <w:t xml:space="preserve"> </w:t>
      </w:r>
      <w:r w:rsidR="63411C39">
        <w:t>t</w:t>
      </w:r>
      <w:r w:rsidR="5A4CEAE0" w:rsidRPr="2CC36C46">
        <w:rPr>
          <w:rFonts w:ascii="Times New Roman" w:hAnsi="Times New Roman" w:cs="Times New Roman"/>
        </w:rPr>
        <w:t>he Government</w:t>
      </w:r>
      <w:r w:rsidR="441D3071" w:rsidRPr="2CC36C46">
        <w:rPr>
          <w:rFonts w:ascii="Times New Roman" w:hAnsi="Times New Roman" w:cs="Times New Roman"/>
        </w:rPr>
        <w:t xml:space="preserve"> expects</w:t>
      </w:r>
      <w:r w:rsidR="2F9B675C" w:rsidRPr="2CC36C46">
        <w:rPr>
          <w:rFonts w:ascii="Times New Roman" w:hAnsi="Times New Roman" w:cs="Times New Roman"/>
        </w:rPr>
        <w:t xml:space="preserve"> </w:t>
      </w:r>
      <w:r w:rsidR="5A4CEAE0" w:rsidRPr="2CC36C46">
        <w:rPr>
          <w:rFonts w:ascii="Times New Roman" w:hAnsi="Times New Roman" w:cs="Times New Roman"/>
        </w:rPr>
        <w:t>Australia’s financial and corporate sectors to be efficient, innovative</w:t>
      </w:r>
      <w:r w:rsidR="0A7A3308" w:rsidRPr="2CC36C46">
        <w:rPr>
          <w:rFonts w:ascii="Times New Roman" w:hAnsi="Times New Roman" w:cs="Times New Roman"/>
        </w:rPr>
        <w:t>, s</w:t>
      </w:r>
      <w:r w:rsidR="09C03674" w:rsidRPr="2CC36C46">
        <w:rPr>
          <w:rFonts w:ascii="Times New Roman" w:hAnsi="Times New Roman" w:cs="Times New Roman"/>
        </w:rPr>
        <w:t>afe</w:t>
      </w:r>
      <w:r w:rsidR="5A4CEAE0" w:rsidRPr="2CC36C46">
        <w:rPr>
          <w:rFonts w:ascii="Times New Roman" w:hAnsi="Times New Roman" w:cs="Times New Roman"/>
        </w:rPr>
        <w:t xml:space="preserve"> and trustworthy</w:t>
      </w:r>
      <w:r w:rsidR="7DD12BA6" w:rsidRPr="2CC36C46">
        <w:rPr>
          <w:rFonts w:ascii="Times New Roman" w:hAnsi="Times New Roman" w:cs="Times New Roman"/>
        </w:rPr>
        <w:t xml:space="preserve"> and contribute to sustainable economic growth, including by promoting </w:t>
      </w:r>
      <w:r w:rsidR="7DD12BA6" w:rsidRPr="2CC36C46">
        <w:rPr>
          <w:rFonts w:ascii="Times New Roman" w:eastAsia="Times New Roman" w:hAnsi="Times New Roman" w:cs="Times New Roman"/>
        </w:rPr>
        <w:t xml:space="preserve">dynamism, </w:t>
      </w:r>
      <w:r w:rsidR="3A91E0CB" w:rsidRPr="2CC36C46">
        <w:rPr>
          <w:rFonts w:ascii="Times New Roman" w:eastAsia="Times New Roman" w:hAnsi="Times New Roman" w:cs="Times New Roman"/>
        </w:rPr>
        <w:t>innovation and</w:t>
      </w:r>
      <w:r w:rsidR="7DD12BA6" w:rsidRPr="2CC36C46">
        <w:rPr>
          <w:rFonts w:ascii="Times New Roman" w:eastAsia="Times New Roman" w:hAnsi="Times New Roman" w:cs="Times New Roman"/>
        </w:rPr>
        <w:t xml:space="preserve"> competition for the benefit of consumers and businesses.</w:t>
      </w:r>
    </w:p>
    <w:p w14:paraId="6C23395E" w14:textId="77777777" w:rsidR="00E702FB" w:rsidRPr="00A11618" w:rsidRDefault="5A4CEAE0" w:rsidP="2CC36C46">
      <w:pPr>
        <w:pStyle w:val="ListParagraph"/>
        <w:numPr>
          <w:ilvl w:val="0"/>
          <w:numId w:val="4"/>
        </w:numPr>
        <w:spacing w:before="120" w:after="120"/>
        <w:ind w:left="357" w:hanging="357"/>
        <w:contextualSpacing w:val="0"/>
        <w:rPr>
          <w:rFonts w:ascii="Times New Roman" w:hAnsi="Times New Roman" w:cs="Times New Roman"/>
        </w:rPr>
      </w:pPr>
      <w:r w:rsidRPr="2CC36C46">
        <w:rPr>
          <w:rFonts w:ascii="Times New Roman" w:hAnsi="Times New Roman" w:cs="Times New Roman"/>
        </w:rPr>
        <w:lastRenderedPageBreak/>
        <w:t xml:space="preserve">ASIC should support these goals by: </w:t>
      </w:r>
    </w:p>
    <w:p w14:paraId="1E5CC9EE" w14:textId="665A1B92" w:rsidR="00E702FB" w:rsidRPr="00A11618" w:rsidRDefault="3A633653" w:rsidP="2CC36C46">
      <w:pPr>
        <w:pStyle w:val="ListParagraph"/>
        <w:numPr>
          <w:ilvl w:val="1"/>
          <w:numId w:val="4"/>
        </w:numPr>
        <w:spacing w:before="120" w:after="120"/>
        <w:ind w:left="1077" w:hanging="720"/>
        <w:contextualSpacing w:val="0"/>
        <w:rPr>
          <w:rFonts w:ascii="Times New Roman" w:hAnsi="Times New Roman" w:cs="Times New Roman"/>
        </w:rPr>
      </w:pPr>
      <w:r w:rsidRPr="3563979F">
        <w:rPr>
          <w:rFonts w:ascii="Times New Roman" w:hAnsi="Times New Roman" w:cs="Times New Roman"/>
        </w:rPr>
        <w:t xml:space="preserve">prioritising </w:t>
      </w:r>
      <w:r w:rsidR="3ECAB8D3" w:rsidRPr="3563979F">
        <w:rPr>
          <w:rFonts w:ascii="Times New Roman" w:hAnsi="Times New Roman" w:cs="Times New Roman"/>
        </w:rPr>
        <w:t xml:space="preserve">the protection of </w:t>
      </w:r>
      <w:r w:rsidRPr="3563979F">
        <w:rPr>
          <w:rFonts w:ascii="Times New Roman" w:hAnsi="Times New Roman" w:cs="Times New Roman"/>
        </w:rPr>
        <w:t>consumer and retail investor</w:t>
      </w:r>
      <w:r w:rsidR="521777CE" w:rsidRPr="3563979F">
        <w:rPr>
          <w:rFonts w:ascii="Times New Roman" w:hAnsi="Times New Roman" w:cs="Times New Roman"/>
        </w:rPr>
        <w:t>s</w:t>
      </w:r>
      <w:r w:rsidRPr="3563979F">
        <w:rPr>
          <w:rFonts w:ascii="Times New Roman" w:hAnsi="Times New Roman" w:cs="Times New Roman"/>
        </w:rPr>
        <w:t xml:space="preserve"> from serious harms and ensuring its enforcement priorities and efforts are calibrated to the level of risk and harm;</w:t>
      </w:r>
    </w:p>
    <w:p w14:paraId="68BB6FD2" w14:textId="499E78A3"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promoting an environment that fosters innovation and competition, especially in digital finance and emerging digital technologies</w:t>
      </w:r>
      <w:r w:rsidR="4015CC32" w:rsidRPr="2CC36C46">
        <w:rPr>
          <w:rFonts w:ascii="Times New Roman" w:hAnsi="Times New Roman" w:cs="Times New Roman"/>
        </w:rPr>
        <w:t>;</w:t>
      </w:r>
      <w:r w:rsidRPr="2CC36C46">
        <w:rPr>
          <w:rFonts w:ascii="Times New Roman" w:hAnsi="Times New Roman" w:cs="Times New Roman"/>
        </w:rPr>
        <w:t xml:space="preserve"> </w:t>
      </w:r>
    </w:p>
    <w:p w14:paraId="79BDCC9D" w14:textId="019761DA" w:rsidR="00E702FB" w:rsidRPr="00F13F7A" w:rsidRDefault="22306987" w:rsidP="2CC36C46">
      <w:pPr>
        <w:pStyle w:val="ListParagraph"/>
        <w:numPr>
          <w:ilvl w:val="1"/>
          <w:numId w:val="4"/>
        </w:numPr>
        <w:spacing w:before="120"/>
        <w:ind w:left="1077" w:hanging="720"/>
        <w:contextualSpacing w:val="0"/>
        <w:rPr>
          <w:rFonts w:ascii="Times New Roman" w:hAnsi="Times New Roman" w:cs="Times New Roman"/>
        </w:rPr>
      </w:pPr>
      <w:r w:rsidRPr="1E5C874C">
        <w:rPr>
          <w:rFonts w:ascii="Times New Roman" w:hAnsi="Times New Roman" w:cs="Times New Roman"/>
          <w:lang w:val="en-US"/>
        </w:rPr>
        <w:t xml:space="preserve">promoting and monitoring responsible use of AI technologies </w:t>
      </w:r>
      <w:r w:rsidR="23CCE13A" w:rsidRPr="1E5C874C">
        <w:rPr>
          <w:rFonts w:ascii="Times New Roman" w:hAnsi="Times New Roman" w:cs="Times New Roman"/>
          <w:lang w:val="en-US"/>
        </w:rPr>
        <w:t>to maintain safety and stability in the fin</w:t>
      </w:r>
      <w:r w:rsidR="6C619A02" w:rsidRPr="1E5C874C">
        <w:rPr>
          <w:rFonts w:ascii="Times New Roman" w:hAnsi="Times New Roman" w:cs="Times New Roman"/>
          <w:lang w:val="en-US"/>
        </w:rPr>
        <w:t>ancial</w:t>
      </w:r>
      <w:r w:rsidR="23CCE13A" w:rsidRPr="1E5C874C">
        <w:rPr>
          <w:rFonts w:ascii="Times New Roman" w:hAnsi="Times New Roman" w:cs="Times New Roman"/>
          <w:lang w:val="en-US"/>
        </w:rPr>
        <w:t xml:space="preserve"> </w:t>
      </w:r>
      <w:proofErr w:type="gramStart"/>
      <w:r w:rsidR="23CCE13A" w:rsidRPr="1E5C874C">
        <w:rPr>
          <w:rFonts w:ascii="Times New Roman" w:hAnsi="Times New Roman" w:cs="Times New Roman"/>
          <w:lang w:val="en-US"/>
        </w:rPr>
        <w:t>sector;</w:t>
      </w:r>
      <w:proofErr w:type="gramEnd"/>
      <w:r w:rsidR="5A4CEAE0" w:rsidRPr="1E5C874C">
        <w:rPr>
          <w:rFonts w:ascii="Times New Roman" w:hAnsi="Times New Roman" w:cs="Times New Roman"/>
        </w:rPr>
        <w:t xml:space="preserve">  </w:t>
      </w:r>
    </w:p>
    <w:p w14:paraId="015F9082" w14:textId="29E099C4" w:rsidR="00E702FB" w:rsidRPr="00F838DD"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allocating sufficient resourcing to surveillance</w:t>
      </w:r>
      <w:r w:rsidR="74D9E78F" w:rsidRPr="2CC36C46">
        <w:rPr>
          <w:rFonts w:ascii="Times New Roman" w:hAnsi="Times New Roman" w:cs="Times New Roman"/>
        </w:rPr>
        <w:t>,</w:t>
      </w:r>
      <w:r w:rsidRPr="2CC36C46">
        <w:rPr>
          <w:rFonts w:ascii="Times New Roman" w:hAnsi="Times New Roman" w:cs="Times New Roman"/>
        </w:rPr>
        <w:t xml:space="preserve"> supervision </w:t>
      </w:r>
      <w:r w:rsidR="74D9E78F" w:rsidRPr="2CC36C46">
        <w:rPr>
          <w:rFonts w:ascii="Times New Roman" w:hAnsi="Times New Roman" w:cs="Times New Roman"/>
        </w:rPr>
        <w:t xml:space="preserve">and enforcement </w:t>
      </w:r>
      <w:r w:rsidRPr="2CC36C46">
        <w:rPr>
          <w:rFonts w:ascii="Times New Roman" w:hAnsi="Times New Roman" w:cs="Times New Roman"/>
        </w:rPr>
        <w:t xml:space="preserve">to ensure effective deterrence </w:t>
      </w:r>
      <w:r w:rsidR="219ABA1E" w:rsidRPr="2CC36C46">
        <w:rPr>
          <w:rFonts w:ascii="Times New Roman" w:hAnsi="Times New Roman" w:cs="Times New Roman"/>
        </w:rPr>
        <w:t>and</w:t>
      </w:r>
      <w:r w:rsidRPr="2CC36C46">
        <w:rPr>
          <w:rFonts w:ascii="Times New Roman" w:hAnsi="Times New Roman" w:cs="Times New Roman"/>
        </w:rPr>
        <w:t xml:space="preserve"> early detection of misconduct, and the enforcement of matters in the public interest;</w:t>
      </w:r>
    </w:p>
    <w:p w14:paraId="6C4F592C" w14:textId="42C1E86D" w:rsidR="00324FF0" w:rsidRPr="00C92CC6" w:rsidRDefault="45FCDD42"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promot</w:t>
      </w:r>
      <w:r w:rsidR="7E1E1E29" w:rsidRPr="2CC36C46">
        <w:rPr>
          <w:rFonts w:ascii="Times New Roman" w:hAnsi="Times New Roman" w:cs="Times New Roman"/>
        </w:rPr>
        <w:t>ing</w:t>
      </w:r>
      <w:r w:rsidRPr="2CC36C46">
        <w:rPr>
          <w:rFonts w:ascii="Times New Roman" w:hAnsi="Times New Roman" w:cs="Times New Roman"/>
        </w:rPr>
        <w:t xml:space="preserve"> a </w:t>
      </w:r>
      <w:r w:rsidR="61607820" w:rsidRPr="2CC36C46">
        <w:rPr>
          <w:rFonts w:ascii="Times New Roman" w:hAnsi="Times New Roman" w:cs="Times New Roman"/>
        </w:rPr>
        <w:t>stable, secure and efficient superannuation system for members</w:t>
      </w:r>
      <w:r w:rsidR="6EBC9A43" w:rsidRPr="2CC36C46">
        <w:rPr>
          <w:rFonts w:ascii="Times New Roman" w:hAnsi="Times New Roman" w:cs="Times New Roman"/>
        </w:rPr>
        <w:t xml:space="preserve"> through monitoring and enforcing high standards of superannuation member services and retirement outcomes; </w:t>
      </w:r>
    </w:p>
    <w:p w14:paraId="4A378D3D" w14:textId="5A0E2932" w:rsidR="00E702FB" w:rsidRPr="00F838DD"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 xml:space="preserve">taking a pragmatic and proportionate approach to the supervision and enforcement of climate-related financial disclosure requirements, while continuing to take action to deter greenwashing; </w:t>
      </w:r>
    </w:p>
    <w:p w14:paraId="503237F9" w14:textId="30B9508D" w:rsidR="00E702FB" w:rsidRPr="00F838DD" w:rsidRDefault="3A90755F" w:rsidP="2CC36C46">
      <w:pPr>
        <w:pStyle w:val="ListParagraph"/>
        <w:numPr>
          <w:ilvl w:val="1"/>
          <w:numId w:val="4"/>
        </w:numPr>
        <w:spacing w:before="120" w:after="120"/>
        <w:ind w:left="1077" w:hanging="720"/>
        <w:contextualSpacing w:val="0"/>
        <w:rPr>
          <w:rFonts w:ascii="Times New Roman" w:hAnsi="Times New Roman" w:cs="Times New Roman"/>
        </w:rPr>
      </w:pPr>
      <w:r w:rsidRPr="17787313">
        <w:rPr>
          <w:rFonts w:ascii="Times New Roman" w:hAnsi="Times New Roman" w:cs="Times New Roman"/>
        </w:rPr>
        <w:t>working closely with the Australian Competition and Consumer Commission</w:t>
      </w:r>
      <w:r w:rsidR="5E308CD2" w:rsidRPr="17787313">
        <w:rPr>
          <w:rFonts w:ascii="Times New Roman" w:hAnsi="Times New Roman" w:cs="Times New Roman"/>
        </w:rPr>
        <w:t xml:space="preserve"> (ACCC)</w:t>
      </w:r>
      <w:r w:rsidRPr="17787313">
        <w:rPr>
          <w:rFonts w:ascii="Times New Roman" w:hAnsi="Times New Roman" w:cs="Times New Roman"/>
        </w:rPr>
        <w:t xml:space="preserve"> (including the National Anti-Scam Centre) and other agencies, to act on and </w:t>
      </w:r>
      <w:r w:rsidR="7235FBDD" w:rsidRPr="17787313">
        <w:rPr>
          <w:rFonts w:ascii="Times New Roman" w:hAnsi="Times New Roman" w:cs="Times New Roman"/>
        </w:rPr>
        <w:t>reduce the harmful impact</w:t>
      </w:r>
      <w:r w:rsidR="4A06D342" w:rsidRPr="17787313">
        <w:rPr>
          <w:rFonts w:ascii="Times New Roman" w:hAnsi="Times New Roman" w:cs="Times New Roman"/>
        </w:rPr>
        <w:t xml:space="preserve"> of scams</w:t>
      </w:r>
      <w:r w:rsidR="7235FBDD" w:rsidRPr="17787313">
        <w:rPr>
          <w:rFonts w:ascii="Times New Roman" w:hAnsi="Times New Roman" w:cs="Times New Roman"/>
        </w:rPr>
        <w:t xml:space="preserve"> on financial consumers;</w:t>
      </w:r>
    </w:p>
    <w:p w14:paraId="319A3675" w14:textId="0BEEBCC4" w:rsidR="00E702FB" w:rsidRPr="00F838DD"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providing sufficient support to its oversight of the Australian Financial Complaints Authority (AFCA) and facilitating necessary changes to AFCA’s rules and jurisdiction</w:t>
      </w:r>
      <w:r w:rsidR="179A7929" w:rsidRPr="2CC36C46">
        <w:rPr>
          <w:rFonts w:ascii="Times New Roman" w:hAnsi="Times New Roman" w:cs="Times New Roman"/>
        </w:rPr>
        <w:t>;</w:t>
      </w:r>
    </w:p>
    <w:p w14:paraId="27384DDE" w14:textId="2B7DECD7" w:rsidR="00963A9F" w:rsidRPr="00F838DD" w:rsidRDefault="179A7929"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undertaking financial education and consumer awareness campaigns and activities and providing information and tools on ASIC’s Money</w:t>
      </w:r>
      <w:r w:rsidR="1449BC3A" w:rsidRPr="2CC36C46">
        <w:rPr>
          <w:rFonts w:ascii="Times New Roman" w:hAnsi="Times New Roman" w:cs="Times New Roman"/>
        </w:rPr>
        <w:t>s</w:t>
      </w:r>
      <w:r w:rsidRPr="2CC36C46">
        <w:rPr>
          <w:rFonts w:ascii="Times New Roman" w:hAnsi="Times New Roman" w:cs="Times New Roman"/>
        </w:rPr>
        <w:t>mart website to help people make confident and informed financial decisions;</w:t>
      </w:r>
    </w:p>
    <w:p w14:paraId="0A15AA83" w14:textId="39471EFF" w:rsidR="00E702FB" w:rsidRPr="00F838DD"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 xml:space="preserve">delivering on existing programs for the stabilisation </w:t>
      </w:r>
      <w:r w:rsidR="179A7929" w:rsidRPr="2CC36C46">
        <w:rPr>
          <w:rFonts w:ascii="Times New Roman" w:hAnsi="Times New Roman" w:cs="Times New Roman"/>
        </w:rPr>
        <w:t xml:space="preserve">and uplift </w:t>
      </w:r>
      <w:r w:rsidRPr="2CC36C46">
        <w:rPr>
          <w:rFonts w:ascii="Times New Roman" w:hAnsi="Times New Roman" w:cs="Times New Roman"/>
        </w:rPr>
        <w:t>of ASIC</w:t>
      </w:r>
      <w:r w:rsidR="179A7929" w:rsidRPr="2CC36C46">
        <w:rPr>
          <w:rFonts w:ascii="Times New Roman" w:hAnsi="Times New Roman" w:cs="Times New Roman"/>
        </w:rPr>
        <w:t>’s</w:t>
      </w:r>
      <w:r w:rsidRPr="2CC36C46">
        <w:rPr>
          <w:rFonts w:ascii="Times New Roman" w:hAnsi="Times New Roman" w:cs="Times New Roman"/>
        </w:rPr>
        <w:t xml:space="preserve"> business registers; </w:t>
      </w:r>
    </w:p>
    <w:p w14:paraId="7C3B1484" w14:textId="47B37EE0" w:rsidR="00E702FB" w:rsidRPr="00F838DD"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 xml:space="preserve">working with the </w:t>
      </w:r>
      <w:r w:rsidR="21569950" w:rsidRPr="2CC36C46">
        <w:rPr>
          <w:rFonts w:ascii="Times New Roman" w:hAnsi="Times New Roman" w:cs="Times New Roman"/>
        </w:rPr>
        <w:t xml:space="preserve">Reserve Bank of Australia </w:t>
      </w:r>
      <w:r w:rsidRPr="2CC36C46">
        <w:rPr>
          <w:rFonts w:ascii="Times New Roman" w:hAnsi="Times New Roman" w:cs="Times New Roman"/>
        </w:rPr>
        <w:t>to ensure clearing and settlement facilities and other financial market infrastructures are operated in a fair, effective and resilient manner, while continuing to strengthen their operational resilience; and</w:t>
      </w:r>
    </w:p>
    <w:p w14:paraId="018EFD40" w14:textId="31F2CF34" w:rsidR="00E702FB" w:rsidRPr="00F838DD"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 xml:space="preserve">participating, through the </w:t>
      </w:r>
      <w:r w:rsidR="21569950" w:rsidRPr="2CC36C46">
        <w:rPr>
          <w:rFonts w:ascii="Times New Roman" w:hAnsi="Times New Roman" w:cs="Times New Roman"/>
        </w:rPr>
        <w:t>Council of Financial Regulators (CFR)</w:t>
      </w:r>
      <w:r w:rsidRPr="2CC36C46">
        <w:rPr>
          <w:rFonts w:ascii="Times New Roman" w:hAnsi="Times New Roman" w:cs="Times New Roman"/>
        </w:rPr>
        <w:t>, in the Government’s actions to</w:t>
      </w:r>
      <w:r w:rsidR="485ED592" w:rsidRPr="2CC36C46">
        <w:rPr>
          <w:rFonts w:ascii="Times New Roman" w:hAnsi="Times New Roman" w:cs="Times New Roman"/>
        </w:rPr>
        <w:t xml:space="preserve"> help </w:t>
      </w:r>
      <w:r w:rsidRPr="2CC36C46">
        <w:rPr>
          <w:rFonts w:ascii="Times New Roman" w:hAnsi="Times New Roman" w:cs="Times New Roman"/>
        </w:rPr>
        <w:t>protect Australians from cyber security threats</w:t>
      </w:r>
      <w:r w:rsidR="485ED592" w:rsidRPr="2CC36C46">
        <w:rPr>
          <w:rFonts w:ascii="Times New Roman" w:hAnsi="Times New Roman" w:cs="Times New Roman"/>
        </w:rPr>
        <w:t xml:space="preserve"> </w:t>
      </w:r>
      <w:r w:rsidR="01012161" w:rsidRPr="2CC36C46">
        <w:rPr>
          <w:rFonts w:ascii="Times New Roman" w:hAnsi="Times New Roman" w:cs="Times New Roman"/>
          <w:lang w:val="en-US"/>
        </w:rPr>
        <w:t xml:space="preserve">consistent with </w:t>
      </w:r>
      <w:r w:rsidR="485ED592" w:rsidRPr="2CC36C46">
        <w:rPr>
          <w:rFonts w:ascii="Times New Roman" w:hAnsi="Times New Roman" w:cs="Times New Roman"/>
        </w:rPr>
        <w:t>ASIC’s roles and functions.</w:t>
      </w:r>
    </w:p>
    <w:p w14:paraId="659625F0" w14:textId="77777777" w:rsidR="00E702FB" w:rsidRPr="00A11618" w:rsidRDefault="5A4CEAE0" w:rsidP="2CC36C46">
      <w:pPr>
        <w:pStyle w:val="ListParagraph"/>
        <w:numPr>
          <w:ilvl w:val="0"/>
          <w:numId w:val="4"/>
        </w:numPr>
        <w:spacing w:before="120" w:after="120"/>
        <w:ind w:left="357" w:hanging="357"/>
        <w:contextualSpacing w:val="0"/>
        <w:rPr>
          <w:rFonts w:ascii="Times New Roman" w:hAnsi="Times New Roman" w:cs="Times New Roman"/>
        </w:rPr>
      </w:pPr>
      <w:r w:rsidRPr="2CC36C46">
        <w:rPr>
          <w:rFonts w:ascii="Times New Roman" w:hAnsi="Times New Roman" w:cs="Times New Roman"/>
        </w:rPr>
        <w:t>ASIC should support the design and implementation of reforms in new or emerging regulatory areas by constructively contributing its insights and expertise to Treasury-led policy and legislative development processes, including:</w:t>
      </w:r>
    </w:p>
    <w:p w14:paraId="4C3A500A" w14:textId="5CCA1C16"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working closely with the Government and members of the CFR on the implementation of reforms to modernise the regulatory framework for payments and digital assets</w:t>
      </w:r>
      <w:r w:rsidR="4D2C0048" w:rsidRPr="2CC36C46">
        <w:rPr>
          <w:rFonts w:ascii="Times New Roman" w:hAnsi="Times New Roman" w:cs="Times New Roman"/>
        </w:rPr>
        <w:t>;</w:t>
      </w:r>
      <w:r w:rsidRPr="2CC36C46">
        <w:rPr>
          <w:rFonts w:ascii="Times New Roman" w:hAnsi="Times New Roman" w:cs="Times New Roman"/>
        </w:rPr>
        <w:t xml:space="preserve"> </w:t>
      </w:r>
    </w:p>
    <w:p w14:paraId="741D6B7E" w14:textId="0A019F0D" w:rsidR="00E702FB" w:rsidRDefault="3A90755F" w:rsidP="2CC36C46">
      <w:pPr>
        <w:pStyle w:val="ListParagraph"/>
        <w:numPr>
          <w:ilvl w:val="1"/>
          <w:numId w:val="4"/>
        </w:numPr>
        <w:spacing w:before="120" w:after="120"/>
        <w:ind w:left="1077" w:hanging="720"/>
        <w:contextualSpacing w:val="0"/>
        <w:rPr>
          <w:rFonts w:ascii="Times New Roman" w:hAnsi="Times New Roman" w:cs="Times New Roman"/>
        </w:rPr>
      </w:pPr>
      <w:r w:rsidRPr="17787313">
        <w:rPr>
          <w:rFonts w:ascii="Times New Roman" w:hAnsi="Times New Roman" w:cs="Times New Roman"/>
        </w:rPr>
        <w:t xml:space="preserve">working closely with Treasury, the </w:t>
      </w:r>
      <w:r w:rsidR="7D11236C" w:rsidRPr="17787313">
        <w:rPr>
          <w:rFonts w:ascii="Times New Roman" w:hAnsi="Times New Roman" w:cs="Times New Roman"/>
        </w:rPr>
        <w:t>ACCC</w:t>
      </w:r>
      <w:r w:rsidRPr="17787313">
        <w:rPr>
          <w:rFonts w:ascii="Times New Roman" w:hAnsi="Times New Roman" w:cs="Times New Roman"/>
        </w:rPr>
        <w:t xml:space="preserve"> and other regulators to implement the Scams Prevention Framework </w:t>
      </w:r>
      <w:r w:rsidR="717EA00C" w:rsidRPr="17787313">
        <w:rPr>
          <w:rFonts w:ascii="Times New Roman" w:hAnsi="Times New Roman" w:cs="Times New Roman"/>
        </w:rPr>
        <w:t>(</w:t>
      </w:r>
      <w:r w:rsidRPr="17787313">
        <w:rPr>
          <w:rFonts w:ascii="Times New Roman" w:hAnsi="Times New Roman" w:cs="Times New Roman"/>
        </w:rPr>
        <w:t>particularly on oversight and enforcement of the banking sector code</w:t>
      </w:r>
      <w:r w:rsidR="717EA00C" w:rsidRPr="17787313">
        <w:rPr>
          <w:rFonts w:ascii="Times New Roman" w:hAnsi="Times New Roman" w:cs="Times New Roman"/>
        </w:rPr>
        <w:t>)</w:t>
      </w:r>
      <w:r w:rsidR="78D3ECFF" w:rsidRPr="17787313">
        <w:rPr>
          <w:rFonts w:ascii="Times New Roman" w:hAnsi="Times New Roman" w:cs="Times New Roman"/>
        </w:rPr>
        <w:t>;</w:t>
      </w:r>
    </w:p>
    <w:p w14:paraId="22716BC0" w14:textId="01B54D32" w:rsidR="00FE6D61" w:rsidRPr="007523B2" w:rsidRDefault="41A670BD"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lang w:val="en-US"/>
        </w:rPr>
        <w:lastRenderedPageBreak/>
        <w:t>w</w:t>
      </w:r>
      <w:r w:rsidR="7F60CA33" w:rsidRPr="2CC36C46">
        <w:rPr>
          <w:rFonts w:ascii="Times New Roman" w:hAnsi="Times New Roman" w:cs="Times New Roman"/>
          <w:lang w:val="en-US"/>
        </w:rPr>
        <w:t xml:space="preserve">orking closely with </w:t>
      </w:r>
      <w:r w:rsidR="4D2C0048" w:rsidRPr="2CC36C46">
        <w:rPr>
          <w:rFonts w:ascii="Times New Roman" w:hAnsi="Times New Roman" w:cs="Times New Roman"/>
          <w:lang w:val="en-US"/>
        </w:rPr>
        <w:t xml:space="preserve">the </w:t>
      </w:r>
      <w:r w:rsidR="22C85074" w:rsidRPr="2CC36C46">
        <w:rPr>
          <w:rFonts w:ascii="Times New Roman" w:hAnsi="Times New Roman" w:cs="Times New Roman"/>
          <w:lang w:val="en-US"/>
        </w:rPr>
        <w:t>G</w:t>
      </w:r>
      <w:r w:rsidR="7F60CA33" w:rsidRPr="2CC36C46">
        <w:rPr>
          <w:rFonts w:ascii="Times New Roman" w:hAnsi="Times New Roman" w:cs="Times New Roman"/>
          <w:lang w:val="en-US"/>
        </w:rPr>
        <w:t>overnment to improve the regulation of auditing and multidisciplinary firms in Australia, and enhancing accountability, transparency and oversight of the audit sector</w:t>
      </w:r>
      <w:r w:rsidR="4D2C0048" w:rsidRPr="2CC36C46">
        <w:rPr>
          <w:rFonts w:ascii="Times New Roman" w:hAnsi="Times New Roman" w:cs="Times New Roman"/>
          <w:lang w:val="en-US"/>
        </w:rPr>
        <w:t>; and</w:t>
      </w:r>
    </w:p>
    <w:p w14:paraId="27B1B524" w14:textId="77777777"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working closely with Treasury to respond to regulatory matters of concern by applying its expertise and insights to inform potential government responses.</w:t>
      </w:r>
    </w:p>
    <w:p w14:paraId="677EDD00" w14:textId="77777777" w:rsidR="00E702FB" w:rsidRPr="007C49F6" w:rsidRDefault="00E702FB" w:rsidP="00E702FB">
      <w:pPr>
        <w:pStyle w:val="Heading2"/>
        <w:rPr>
          <w:rFonts w:ascii="Times New Roman" w:hAnsi="Times New Roman" w:cs="Times New Roman"/>
          <w:b/>
          <w:caps/>
          <w:color w:val="auto"/>
          <w:sz w:val="24"/>
          <w:szCs w:val="24"/>
        </w:rPr>
      </w:pPr>
      <w:r w:rsidRPr="007C49F6">
        <w:rPr>
          <w:rFonts w:ascii="Times New Roman" w:hAnsi="Times New Roman" w:cs="Times New Roman"/>
          <w:b/>
          <w:caps/>
          <w:color w:val="auto"/>
          <w:sz w:val="24"/>
          <w:szCs w:val="24"/>
        </w:rPr>
        <w:t>Regulatory approach</w:t>
      </w:r>
    </w:p>
    <w:p w14:paraId="08F12850" w14:textId="77777777" w:rsidR="00E702FB" w:rsidRPr="00A11618" w:rsidRDefault="5A4CEAE0" w:rsidP="2CC36C46">
      <w:pPr>
        <w:pStyle w:val="ListParagraph"/>
        <w:numPr>
          <w:ilvl w:val="0"/>
          <w:numId w:val="4"/>
        </w:numPr>
        <w:spacing w:before="120" w:after="120"/>
        <w:contextualSpacing w:val="0"/>
        <w:rPr>
          <w:rFonts w:ascii="Times New Roman" w:hAnsi="Times New Roman" w:cs="Times New Roman"/>
        </w:rPr>
      </w:pPr>
      <w:r w:rsidRPr="2CC36C46">
        <w:rPr>
          <w:rFonts w:ascii="Times New Roman" w:hAnsi="Times New Roman" w:cs="Times New Roman"/>
        </w:rPr>
        <w:t>The Government is committed to driving productivity and economic growth. To support this, in its regulatory activities ASIC is expected to:</w:t>
      </w:r>
    </w:p>
    <w:p w14:paraId="26A43A57" w14:textId="55551C73" w:rsidR="00E702FB" w:rsidRPr="00A11618" w:rsidRDefault="41A670BD"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a</w:t>
      </w:r>
      <w:r w:rsidR="5A4CEAE0" w:rsidRPr="2CC36C46">
        <w:rPr>
          <w:rFonts w:ascii="Times New Roman" w:hAnsi="Times New Roman" w:cs="Times New Roman"/>
        </w:rPr>
        <w:t>dopt a proportionate, risk-based approach. ASIC should balance risk mitigation with the need for efficiency, growth, and innovation. This means focusing regulatory efforts where the risks are greatest, while actively minimising unnecessary burdens on industry</w:t>
      </w:r>
      <w:r w:rsidR="4D2C0048" w:rsidRPr="2CC36C46">
        <w:rPr>
          <w:rFonts w:ascii="Times New Roman" w:hAnsi="Times New Roman" w:cs="Times New Roman"/>
        </w:rPr>
        <w:t>;</w:t>
      </w:r>
    </w:p>
    <w:p w14:paraId="055ED4B4" w14:textId="2C1A1DF3" w:rsidR="00E702FB" w:rsidRPr="00A11618" w:rsidRDefault="41A670BD"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d</w:t>
      </w:r>
      <w:r w:rsidR="5A4CEAE0" w:rsidRPr="2CC36C46">
        <w:rPr>
          <w:rFonts w:ascii="Times New Roman" w:hAnsi="Times New Roman" w:cs="Times New Roman"/>
        </w:rPr>
        <w:t>emonstrate regulatory flexibility through targeted adjustments to its regulatory posture and approach as appropriate. This includes tailoring engagement and oversight to the specific risks and needs of different sectors or regulated entities</w:t>
      </w:r>
      <w:r w:rsidR="4D2C0048" w:rsidRPr="2CC36C46">
        <w:rPr>
          <w:rFonts w:ascii="Times New Roman" w:hAnsi="Times New Roman" w:cs="Times New Roman"/>
        </w:rPr>
        <w:t>;</w:t>
      </w:r>
    </w:p>
    <w:p w14:paraId="2212C09A" w14:textId="449C6C5B" w:rsidR="00E702FB" w:rsidRPr="00122E8D" w:rsidRDefault="41A670BD"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a</w:t>
      </w:r>
      <w:r w:rsidR="5A4CEAE0" w:rsidRPr="2CC36C46">
        <w:rPr>
          <w:rFonts w:ascii="Times New Roman" w:hAnsi="Times New Roman" w:cs="Times New Roman"/>
        </w:rPr>
        <w:t xml:space="preserve">dvance the Government’s </w:t>
      </w:r>
      <w:r w:rsidR="7958C633" w:rsidRPr="2CC36C46">
        <w:rPr>
          <w:rFonts w:ascii="Times New Roman" w:hAnsi="Times New Roman" w:cs="Times New Roman"/>
        </w:rPr>
        <w:t>productivity</w:t>
      </w:r>
      <w:r w:rsidR="5A4CEAE0" w:rsidRPr="2CC36C46">
        <w:rPr>
          <w:rFonts w:ascii="Times New Roman" w:hAnsi="Times New Roman" w:cs="Times New Roman"/>
        </w:rPr>
        <w:t xml:space="preserve"> agenda by working closely with the Government, CFR and other regulators to promote better regulation and productivity</w:t>
      </w:r>
      <w:r w:rsidR="303A8B1D" w:rsidRPr="2CC36C46">
        <w:rPr>
          <w:rFonts w:ascii="Times New Roman" w:hAnsi="Times New Roman" w:cs="Times New Roman"/>
        </w:rPr>
        <w:t xml:space="preserve"> growth</w:t>
      </w:r>
      <w:r w:rsidR="5A4CEAE0" w:rsidRPr="2CC36C46">
        <w:rPr>
          <w:rFonts w:ascii="Times New Roman" w:hAnsi="Times New Roman" w:cs="Times New Roman"/>
        </w:rPr>
        <w:t xml:space="preserve"> in the financial sector. This includes active collaboration and information sharing, streamlining information and data requests, simplifying processes, aligning standards and </w:t>
      </w:r>
      <w:r w:rsidR="4F12F911" w:rsidRPr="2CC36C46">
        <w:rPr>
          <w:rFonts w:ascii="Times New Roman" w:hAnsi="Times New Roman" w:cs="Times New Roman"/>
        </w:rPr>
        <w:t>working collaboratively with other regulators</w:t>
      </w:r>
      <w:r w:rsidR="5A4CEAE0" w:rsidRPr="2CC36C46">
        <w:rPr>
          <w:rFonts w:ascii="Times New Roman" w:hAnsi="Times New Roman" w:cs="Times New Roman"/>
        </w:rPr>
        <w:t>, and supporting reforms that streamline regulation and foster economic dynamism</w:t>
      </w:r>
      <w:r w:rsidR="5ECB6C91" w:rsidRPr="2CC36C46">
        <w:rPr>
          <w:rFonts w:ascii="Times New Roman" w:hAnsi="Times New Roman" w:cs="Times New Roman"/>
        </w:rPr>
        <w:t>,</w:t>
      </w:r>
      <w:r w:rsidR="7AB07FC2" w:rsidRPr="2CC36C46">
        <w:rPr>
          <w:rFonts w:ascii="Times New Roman" w:hAnsi="Times New Roman" w:cs="Times New Roman"/>
        </w:rPr>
        <w:t xml:space="preserve"> </w:t>
      </w:r>
      <w:r w:rsidR="7AB07FC2" w:rsidRPr="2CC36C46">
        <w:rPr>
          <w:rFonts w:ascii="Times New Roman" w:hAnsi="Times New Roman"/>
        </w:rPr>
        <w:t xml:space="preserve">while </w:t>
      </w:r>
      <w:r w:rsidR="19D2B0E1" w:rsidRPr="2CC36C46">
        <w:rPr>
          <w:rFonts w:ascii="Times New Roman" w:hAnsi="Times New Roman"/>
        </w:rPr>
        <w:t>not compromising</w:t>
      </w:r>
      <w:r w:rsidR="7246F7FF" w:rsidRPr="2CC36C46">
        <w:rPr>
          <w:rFonts w:ascii="Times New Roman" w:hAnsi="Times New Roman"/>
        </w:rPr>
        <w:t xml:space="preserve"> on</w:t>
      </w:r>
      <w:r w:rsidR="19D2B0E1" w:rsidRPr="2CC36C46">
        <w:rPr>
          <w:rFonts w:ascii="Times New Roman" w:hAnsi="Times New Roman"/>
        </w:rPr>
        <w:t xml:space="preserve"> the ability for ASIC to fulfil its statutory obligations</w:t>
      </w:r>
      <w:r w:rsidR="17F45686" w:rsidRPr="2CC36C46">
        <w:rPr>
          <w:rFonts w:ascii="Times New Roman" w:hAnsi="Times New Roman"/>
        </w:rPr>
        <w:t xml:space="preserve">; </w:t>
      </w:r>
    </w:p>
    <w:p w14:paraId="2C48599F" w14:textId="3549F4CA" w:rsidR="00122E8D" w:rsidRPr="00410F15" w:rsidRDefault="7E5A453C" w:rsidP="2CC36C46">
      <w:pPr>
        <w:pStyle w:val="ListParagraph"/>
        <w:numPr>
          <w:ilvl w:val="1"/>
          <w:numId w:val="4"/>
        </w:numPr>
        <w:spacing w:before="120" w:after="120"/>
        <w:ind w:left="1077" w:hanging="720"/>
        <w:contextualSpacing w:val="0"/>
        <w:rPr>
          <w:rFonts w:ascii="Times New Roman" w:hAnsi="Times New Roman" w:cs="Times New Roman"/>
        </w:rPr>
      </w:pPr>
      <w:r w:rsidRPr="3563979F">
        <w:rPr>
          <w:rFonts w:ascii="Times New Roman" w:hAnsi="Times New Roman"/>
        </w:rPr>
        <w:t>m</w:t>
      </w:r>
      <w:r w:rsidR="7E78B33D" w:rsidRPr="3563979F">
        <w:rPr>
          <w:rFonts w:ascii="Times New Roman" w:hAnsi="Times New Roman"/>
        </w:rPr>
        <w:t xml:space="preserve">aintain a regular and transparent review program for regulatory guidance and legislative instruments to ensure they remain necessary, proportionate and aligned with the interests of good consumer, investor and market outcomes while supporting Parliamentary and public accountability through appropriate publication of </w:t>
      </w:r>
      <w:r w:rsidR="5C207FFE" w:rsidRPr="3563979F">
        <w:rPr>
          <w:rFonts w:ascii="Times New Roman" w:hAnsi="Times New Roman"/>
        </w:rPr>
        <w:t xml:space="preserve">consultation </w:t>
      </w:r>
      <w:r w:rsidR="7E78B33D" w:rsidRPr="3563979F">
        <w:rPr>
          <w:rFonts w:ascii="Times New Roman" w:hAnsi="Times New Roman"/>
        </w:rPr>
        <w:t>outcomes</w:t>
      </w:r>
      <w:r w:rsidR="6A61DBC0" w:rsidRPr="3563979F">
        <w:rPr>
          <w:rFonts w:ascii="Times New Roman" w:hAnsi="Times New Roman"/>
        </w:rPr>
        <w:t>;</w:t>
      </w:r>
    </w:p>
    <w:p w14:paraId="6EA30153" w14:textId="00FA44A3" w:rsidR="00122E8D" w:rsidRPr="00122E8D" w:rsidRDefault="6DEC544A" w:rsidP="2CC36C46">
      <w:pPr>
        <w:pStyle w:val="ListParagraph"/>
        <w:numPr>
          <w:ilvl w:val="1"/>
          <w:numId w:val="4"/>
        </w:numPr>
        <w:spacing w:before="120" w:after="120"/>
        <w:ind w:left="1077" w:hanging="720"/>
        <w:contextualSpacing w:val="0"/>
        <w:rPr>
          <w:rFonts w:ascii="Times New Roman" w:hAnsi="Times New Roman" w:cs="Times New Roman"/>
        </w:rPr>
      </w:pPr>
      <w:r w:rsidRPr="3563979F">
        <w:rPr>
          <w:rFonts w:ascii="Times New Roman" w:hAnsi="Times New Roman"/>
        </w:rPr>
        <w:t>conduct ASIC’s regulatory litigation in a</w:t>
      </w:r>
      <w:r w:rsidR="7E78B33D" w:rsidRPr="3563979F">
        <w:rPr>
          <w:rFonts w:ascii="Times New Roman" w:hAnsi="Times New Roman"/>
        </w:rPr>
        <w:t xml:space="preserve"> manner that is consistent with the Commonwealth’s model </w:t>
      </w:r>
      <w:r w:rsidR="7E78B33D" w:rsidRPr="3563979F">
        <w:rPr>
          <w:rFonts w:ascii="Times New Roman" w:hAnsi="Times New Roman" w:cs="Times New Roman"/>
        </w:rPr>
        <w:t>litigant obligations</w:t>
      </w:r>
      <w:r w:rsidR="6A61DBC0" w:rsidRPr="3563979F">
        <w:rPr>
          <w:rFonts w:ascii="Times New Roman" w:hAnsi="Times New Roman" w:cs="Times New Roman"/>
        </w:rPr>
        <w:t>; and</w:t>
      </w:r>
    </w:p>
    <w:p w14:paraId="4473AB29" w14:textId="7A164E0F" w:rsidR="00E702FB" w:rsidRPr="00A11618" w:rsidRDefault="41A670BD"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p</w:t>
      </w:r>
      <w:r w:rsidR="5A4CEAE0" w:rsidRPr="2CC36C46">
        <w:rPr>
          <w:rFonts w:ascii="Times New Roman" w:hAnsi="Times New Roman" w:cs="Times New Roman"/>
        </w:rPr>
        <w:t>rovide greater transparency of upcoming regulatory initiatives and activities that would materially affect the financial sector, including through the Regulatory Initiatives Grid (RIG) and working with CFR agencies to operationalise the RIG coordination principles.</w:t>
      </w:r>
    </w:p>
    <w:p w14:paraId="247A2E38" w14:textId="77777777" w:rsidR="00E702FB" w:rsidRPr="007C49F6" w:rsidRDefault="4A49E176" w:rsidP="6DDA8B4E">
      <w:pPr>
        <w:pStyle w:val="Heading2"/>
        <w:rPr>
          <w:rFonts w:ascii="Times New Roman" w:hAnsi="Times New Roman" w:cs="Times New Roman"/>
          <w:b/>
          <w:bCs/>
          <w:caps/>
          <w:color w:val="auto"/>
          <w:sz w:val="24"/>
          <w:szCs w:val="24"/>
        </w:rPr>
      </w:pPr>
      <w:r w:rsidRPr="6DDA8B4E">
        <w:rPr>
          <w:rFonts w:ascii="Times New Roman" w:hAnsi="Times New Roman" w:cs="Times New Roman"/>
          <w:b/>
          <w:bCs/>
          <w:caps/>
          <w:color w:val="auto"/>
          <w:sz w:val="24"/>
          <w:szCs w:val="24"/>
        </w:rPr>
        <w:t>relationship with stakeholders</w:t>
      </w:r>
    </w:p>
    <w:p w14:paraId="7E4BEA83" w14:textId="77777777" w:rsidR="00E702FB" w:rsidRPr="00A11618" w:rsidRDefault="5A4CEAE0" w:rsidP="2CC36C46">
      <w:pPr>
        <w:pStyle w:val="ListParagraph"/>
        <w:numPr>
          <w:ilvl w:val="0"/>
          <w:numId w:val="4"/>
        </w:numPr>
        <w:spacing w:before="120" w:after="120"/>
        <w:contextualSpacing w:val="0"/>
        <w:rPr>
          <w:rFonts w:ascii="Times New Roman" w:hAnsi="Times New Roman" w:cs="Times New Roman"/>
        </w:rPr>
      </w:pPr>
      <w:r w:rsidRPr="2CC36C46">
        <w:rPr>
          <w:rFonts w:ascii="Times New Roman" w:hAnsi="Times New Roman" w:cs="Times New Roman"/>
        </w:rPr>
        <w:t xml:space="preserve">In fulfilling its mandate, the Government expects ASIC to: </w:t>
      </w:r>
    </w:p>
    <w:p w14:paraId="4170B16E" w14:textId="77777777"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ensure its actions are not inconsistent with the policies of the Government, in accordance with section 21 of the Public Governance, Performance and Accountability Act 2013;</w:t>
      </w:r>
    </w:p>
    <w:p w14:paraId="1B539CF5" w14:textId="24FD3AD7"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 xml:space="preserve">collaborate closely with the Government and Treasury, acknowledging Treasury’s policy advisory role, and provide Ministers with relevant information as per section 11(3) of the </w:t>
      </w:r>
      <w:r w:rsidRPr="2CC36C46">
        <w:rPr>
          <w:rFonts w:ascii="Times New Roman" w:hAnsi="Times New Roman" w:cs="Times New Roman"/>
          <w:i/>
          <w:iCs/>
        </w:rPr>
        <w:t>Australian Securities and Investment</w:t>
      </w:r>
      <w:r w:rsidR="1DD319B5" w:rsidRPr="2CC36C46">
        <w:rPr>
          <w:rFonts w:ascii="Times New Roman" w:hAnsi="Times New Roman" w:cs="Times New Roman"/>
          <w:i/>
          <w:iCs/>
        </w:rPr>
        <w:t>s</w:t>
      </w:r>
      <w:r w:rsidRPr="2CC36C46">
        <w:rPr>
          <w:rFonts w:ascii="Times New Roman" w:hAnsi="Times New Roman" w:cs="Times New Roman"/>
          <w:i/>
          <w:iCs/>
        </w:rPr>
        <w:t xml:space="preserve"> Commission Act 2001</w:t>
      </w:r>
      <w:r w:rsidR="638A33A8" w:rsidRPr="2CC36C46">
        <w:rPr>
          <w:rFonts w:ascii="Times New Roman" w:hAnsi="Times New Roman" w:cs="Times New Roman"/>
        </w:rPr>
        <w:t>, including keeping responsible Ministers informed of publications, engagements or announcements</w:t>
      </w:r>
      <w:r w:rsidR="46AACD4A" w:rsidRPr="2CC36C46">
        <w:rPr>
          <w:rFonts w:ascii="Times New Roman" w:hAnsi="Times New Roman" w:cs="Times New Roman"/>
        </w:rPr>
        <w:t>, preferably</w:t>
      </w:r>
      <w:r w:rsidR="638A33A8" w:rsidRPr="2CC36C46">
        <w:rPr>
          <w:rFonts w:ascii="Times New Roman" w:hAnsi="Times New Roman" w:cs="Times New Roman"/>
        </w:rPr>
        <w:t xml:space="preserve"> in advance, where significant matters are involved</w:t>
      </w:r>
      <w:r w:rsidRPr="2CC36C46">
        <w:rPr>
          <w:rFonts w:ascii="Times New Roman" w:hAnsi="Times New Roman" w:cs="Times New Roman"/>
        </w:rPr>
        <w:t>;</w:t>
      </w:r>
    </w:p>
    <w:p w14:paraId="682F755B" w14:textId="49C4005D"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 xml:space="preserve">consult with the Government and Treasury on policy-related functions, including </w:t>
      </w:r>
      <w:r w:rsidR="52EA6D5C" w:rsidRPr="2CC36C46">
        <w:rPr>
          <w:rFonts w:ascii="Times New Roman" w:hAnsi="Times New Roman" w:cs="Times New Roman"/>
        </w:rPr>
        <w:t xml:space="preserve">significant </w:t>
      </w:r>
      <w:r w:rsidRPr="2CC36C46">
        <w:rPr>
          <w:rFonts w:ascii="Times New Roman" w:hAnsi="Times New Roman" w:cs="Times New Roman"/>
        </w:rPr>
        <w:t>rule</w:t>
      </w:r>
      <w:r w:rsidR="4A49E176">
        <w:noBreakHyphen/>
      </w:r>
      <w:r w:rsidRPr="2CC36C46">
        <w:rPr>
          <w:rFonts w:ascii="Times New Roman" w:hAnsi="Times New Roman" w:cs="Times New Roman"/>
        </w:rPr>
        <w:t>making, exemptions, and modifications;</w:t>
      </w:r>
    </w:p>
    <w:p w14:paraId="7FB621DC" w14:textId="5F3833B0"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lastRenderedPageBreak/>
        <w:t xml:space="preserve">provide </w:t>
      </w:r>
      <w:r w:rsidR="52EA6D5C" w:rsidRPr="2CC36C46">
        <w:rPr>
          <w:rFonts w:ascii="Times New Roman" w:hAnsi="Times New Roman" w:cs="Times New Roman"/>
        </w:rPr>
        <w:t xml:space="preserve">clear and actionable guidance </w:t>
      </w:r>
      <w:r w:rsidRPr="2CC36C46">
        <w:rPr>
          <w:rFonts w:ascii="Times New Roman" w:hAnsi="Times New Roman" w:cs="Times New Roman"/>
        </w:rPr>
        <w:t>materials to reduce compliance costs for those captured by mandatory climate-related financial disclosure obligations and those in related value chains;</w:t>
      </w:r>
    </w:p>
    <w:p w14:paraId="093DF427" w14:textId="77777777"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offer timely and appropriate regulatory guidance, consistent with the law and Government policy, to enhance stakeholder engagement and help regulated entities comply;</w:t>
      </w:r>
    </w:p>
    <w:p w14:paraId="28CC4021" w14:textId="77777777"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make prioritisation decisions in the public interest, based on transparent data assessments and open consultation with industry, consumers, and stakeholders, considering current economic conditions;</w:t>
      </w:r>
    </w:p>
    <w:p w14:paraId="3EC50229" w14:textId="77777777"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facilitate easy communication and interaction with ASIC for regulated entities, consumers, investors, and stakeholders, including for reporting misconduct and accessing information;</w:t>
      </w:r>
    </w:p>
    <w:p w14:paraId="26F0C65F" w14:textId="77777777" w:rsidR="00E702FB" w:rsidRPr="00A11618" w:rsidRDefault="5A4CEAE0" w:rsidP="2CC36C46">
      <w:pPr>
        <w:pStyle w:val="ListParagraph"/>
        <w:numPr>
          <w:ilvl w:val="1"/>
          <w:numId w:val="4"/>
        </w:numPr>
        <w:spacing w:before="120" w:after="120"/>
        <w:ind w:left="1077" w:hanging="720"/>
        <w:contextualSpacing w:val="0"/>
        <w:rPr>
          <w:rStyle w:val="ui-provider"/>
          <w:rFonts w:ascii="Times New Roman" w:hAnsi="Times New Roman" w:cs="Times New Roman"/>
        </w:rPr>
      </w:pPr>
      <w:r w:rsidRPr="2CC36C46">
        <w:rPr>
          <w:rFonts w:ascii="Times New Roman" w:hAnsi="Times New Roman" w:cs="Times New Roman"/>
        </w:rPr>
        <w:t>be transparent, responsive, and efficient in handling reports of financial sector misconduct affecting Australians</w:t>
      </w:r>
      <w:r w:rsidRPr="2CC36C46">
        <w:rPr>
          <w:rStyle w:val="ui-provider"/>
          <w:rFonts w:ascii="Times New Roman" w:hAnsi="Times New Roman" w:cs="Times New Roman"/>
        </w:rPr>
        <w:t>; and</w:t>
      </w:r>
    </w:p>
    <w:p w14:paraId="7DF6FE6E" w14:textId="77777777"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engage with overseas counterpart regulators and relevant international standard-setting bodies.</w:t>
      </w:r>
    </w:p>
    <w:p w14:paraId="078BAC96" w14:textId="77777777" w:rsidR="00E702FB" w:rsidRPr="007C49F6" w:rsidRDefault="00E702FB" w:rsidP="00E702FB">
      <w:pPr>
        <w:pStyle w:val="Heading2"/>
        <w:rPr>
          <w:rFonts w:ascii="Times New Roman" w:hAnsi="Times New Roman" w:cs="Times New Roman"/>
          <w:b/>
          <w:caps/>
          <w:color w:val="auto"/>
          <w:sz w:val="24"/>
          <w:szCs w:val="24"/>
        </w:rPr>
      </w:pPr>
      <w:r w:rsidRPr="007C49F6">
        <w:rPr>
          <w:rFonts w:ascii="Times New Roman" w:hAnsi="Times New Roman" w:cs="Times New Roman"/>
          <w:b/>
          <w:caps/>
          <w:color w:val="auto"/>
          <w:sz w:val="24"/>
          <w:szCs w:val="24"/>
        </w:rPr>
        <w:t>Organisational matters</w:t>
      </w:r>
    </w:p>
    <w:p w14:paraId="1468BC41" w14:textId="77777777" w:rsidR="00E702FB" w:rsidRPr="00A11618" w:rsidRDefault="5A4CEAE0" w:rsidP="2CC36C46">
      <w:pPr>
        <w:pStyle w:val="ListParagraph"/>
        <w:numPr>
          <w:ilvl w:val="0"/>
          <w:numId w:val="4"/>
        </w:numPr>
        <w:spacing w:before="120" w:after="120"/>
        <w:contextualSpacing w:val="0"/>
        <w:rPr>
          <w:rFonts w:ascii="Times New Roman" w:hAnsi="Times New Roman" w:cs="Times New Roman"/>
        </w:rPr>
      </w:pPr>
      <w:proofErr w:type="gramStart"/>
      <w:r w:rsidRPr="2CC36C46">
        <w:rPr>
          <w:rFonts w:ascii="Times New Roman" w:hAnsi="Times New Roman" w:cs="Times New Roman"/>
        </w:rPr>
        <w:t>With regard to</w:t>
      </w:r>
      <w:proofErr w:type="gramEnd"/>
      <w:r w:rsidRPr="2CC36C46">
        <w:rPr>
          <w:rFonts w:ascii="Times New Roman" w:hAnsi="Times New Roman" w:cs="Times New Roman"/>
        </w:rPr>
        <w:t xml:space="preserve"> organisational matters, the Government expects:</w:t>
      </w:r>
    </w:p>
    <w:p w14:paraId="110AC137" w14:textId="77777777"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the Chairperson to have responsibility for the executive management of ASIC, consistent with the Chairperson’s role as ASIC’s Accountable Authority;</w:t>
      </w:r>
    </w:p>
    <w:p w14:paraId="64A305EA" w14:textId="77777777"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the ASIC Commission to act as a non-executive body under the leadership of the Chairperson;</w:t>
      </w:r>
    </w:p>
    <w:p w14:paraId="5D26BEEB" w14:textId="1B862F7B" w:rsidR="00E702FB" w:rsidRPr="00A11618" w:rsidRDefault="5A4CEAE0" w:rsidP="2CC36C46">
      <w:pPr>
        <w:pStyle w:val="ListParagraph"/>
        <w:numPr>
          <w:ilvl w:val="1"/>
          <w:numId w:val="4"/>
        </w:numPr>
        <w:spacing w:before="120" w:after="120"/>
        <w:ind w:left="1077" w:hanging="720"/>
        <w:contextualSpacing w:val="0"/>
        <w:rPr>
          <w:rFonts w:ascii="Times New Roman" w:hAnsi="Times New Roman" w:cs="Times New Roman"/>
        </w:rPr>
      </w:pPr>
      <w:r w:rsidRPr="2CC36C46">
        <w:rPr>
          <w:rFonts w:ascii="Times New Roman" w:hAnsi="Times New Roman" w:cs="Times New Roman"/>
        </w:rPr>
        <w:t xml:space="preserve">the Chairperson and each other member of the ASIC Commission to demonstrate a high level of organisational leadership, including leading </w:t>
      </w:r>
      <w:r w:rsidR="2850CA1B" w:rsidRPr="2CC36C46">
        <w:rPr>
          <w:rFonts w:ascii="Times New Roman" w:hAnsi="Times New Roman" w:cs="Times New Roman"/>
        </w:rPr>
        <w:t>on</w:t>
      </w:r>
      <w:r w:rsidR="6B101910" w:rsidRPr="2CC36C46">
        <w:rPr>
          <w:rFonts w:ascii="Times New Roman" w:hAnsi="Times New Roman" w:cs="Times New Roman"/>
        </w:rPr>
        <w:t xml:space="preserve"> </w:t>
      </w:r>
      <w:r w:rsidRPr="2CC36C46">
        <w:rPr>
          <w:rFonts w:ascii="Times New Roman" w:hAnsi="Times New Roman" w:cs="Times New Roman"/>
        </w:rPr>
        <w:t>ASIC’s capability and culture;</w:t>
      </w:r>
    </w:p>
    <w:p w14:paraId="32772034" w14:textId="1C27DC69" w:rsidR="00E702FB" w:rsidRPr="00A11618" w:rsidRDefault="3A633653" w:rsidP="2CC36C46">
      <w:pPr>
        <w:pStyle w:val="ListParagraph"/>
        <w:numPr>
          <w:ilvl w:val="1"/>
          <w:numId w:val="4"/>
        </w:numPr>
        <w:spacing w:before="120" w:after="120"/>
        <w:ind w:left="1077" w:hanging="720"/>
        <w:contextualSpacing w:val="0"/>
        <w:rPr>
          <w:rFonts w:ascii="Times New Roman" w:hAnsi="Times New Roman" w:cs="Times New Roman"/>
        </w:rPr>
      </w:pPr>
      <w:r w:rsidRPr="3563979F">
        <w:rPr>
          <w:rFonts w:ascii="Times New Roman" w:hAnsi="Times New Roman" w:cs="Times New Roman"/>
        </w:rPr>
        <w:t xml:space="preserve">the Chairperson to delegate executive management functions to ASIC staff wherever it would maximise the efficiency and effectiveness of ASIC’s operations; </w:t>
      </w:r>
    </w:p>
    <w:p w14:paraId="1F1B34C6" w14:textId="2CEFCE39" w:rsidR="00E702FB" w:rsidRDefault="3A633653" w:rsidP="2CC36C46">
      <w:pPr>
        <w:pStyle w:val="ListParagraph"/>
        <w:numPr>
          <w:ilvl w:val="1"/>
          <w:numId w:val="4"/>
        </w:numPr>
        <w:spacing w:before="120" w:after="120"/>
        <w:ind w:left="1077" w:hanging="720"/>
        <w:contextualSpacing w:val="0"/>
        <w:rPr>
          <w:rFonts w:ascii="Times New Roman" w:hAnsi="Times New Roman" w:cs="Times New Roman"/>
        </w:rPr>
      </w:pPr>
      <w:r w:rsidRPr="3563979F">
        <w:rPr>
          <w:rFonts w:ascii="Times New Roman" w:hAnsi="Times New Roman" w:cs="Times New Roman"/>
        </w:rPr>
        <w:t xml:space="preserve">ASIC to publish its Statement of Intent in response to this Statement of Expectations on its website, and subsequently to </w:t>
      </w:r>
      <w:r w:rsidR="655CD493" w:rsidRPr="3563979F">
        <w:rPr>
          <w:rFonts w:ascii="Times New Roman" w:hAnsi="Times New Roman" w:cs="Times New Roman"/>
        </w:rPr>
        <w:t xml:space="preserve">reference </w:t>
      </w:r>
      <w:r w:rsidRPr="3563979F">
        <w:rPr>
          <w:rFonts w:ascii="Times New Roman" w:hAnsi="Times New Roman" w:cs="Times New Roman"/>
        </w:rPr>
        <w:t>the statements of expectations and intent in its</w:t>
      </w:r>
      <w:r w:rsidR="655CD493" w:rsidRPr="3563979F">
        <w:rPr>
          <w:rFonts w:ascii="Times New Roman" w:hAnsi="Times New Roman" w:cs="Times New Roman"/>
        </w:rPr>
        <w:t xml:space="preserve"> Annual Report and </w:t>
      </w:r>
      <w:r w:rsidRPr="3563979F">
        <w:rPr>
          <w:rFonts w:ascii="Times New Roman" w:hAnsi="Times New Roman" w:cs="Times New Roman"/>
        </w:rPr>
        <w:t>Corporate Plan</w:t>
      </w:r>
      <w:r w:rsidR="242A5B73" w:rsidRPr="3563979F">
        <w:rPr>
          <w:rFonts w:ascii="Times New Roman" w:hAnsi="Times New Roman" w:cs="Times New Roman"/>
        </w:rPr>
        <w:t>; and</w:t>
      </w:r>
      <w:r w:rsidRPr="3563979F">
        <w:rPr>
          <w:rFonts w:ascii="Times New Roman" w:hAnsi="Times New Roman" w:cs="Times New Roman"/>
        </w:rPr>
        <w:t xml:space="preserve"> </w:t>
      </w:r>
    </w:p>
    <w:p w14:paraId="7983D328" w14:textId="3A67B508" w:rsidR="00690BD0" w:rsidRPr="00DC0B86" w:rsidRDefault="7A93FD9B" w:rsidP="2CC36C46">
      <w:pPr>
        <w:pStyle w:val="ListParagraph"/>
        <w:numPr>
          <w:ilvl w:val="1"/>
          <w:numId w:val="4"/>
        </w:numPr>
        <w:spacing w:before="120" w:after="120"/>
        <w:ind w:left="1077" w:hanging="720"/>
        <w:contextualSpacing w:val="0"/>
        <w:rPr>
          <w:rFonts w:ascii="Times New Roman" w:hAnsi="Times New Roman"/>
        </w:rPr>
      </w:pPr>
      <w:r w:rsidRPr="2CC36C46">
        <w:rPr>
          <w:rFonts w:ascii="Times New Roman" w:hAnsi="Times New Roman" w:cs="Times New Roman"/>
        </w:rPr>
        <w:t>ASIC</w:t>
      </w:r>
      <w:r w:rsidRPr="2CC36C46">
        <w:rPr>
          <w:rFonts w:ascii="Times New Roman" w:hAnsi="Times New Roman"/>
        </w:rPr>
        <w:t xml:space="preserve">, through its Annual Performance Statement, report publicly on the implementation of this Statement of Expectation as incorporated within ASIC’s Corporate Plan.  </w:t>
      </w:r>
    </w:p>
    <w:p w14:paraId="3EF1E8C2" w14:textId="77777777" w:rsidR="00690BD0" w:rsidRPr="00690BD0" w:rsidRDefault="00690BD0" w:rsidP="00690BD0">
      <w:pPr>
        <w:spacing w:before="120" w:after="120"/>
        <w:rPr>
          <w:rFonts w:ascii="Times New Roman" w:hAnsi="Times New Roman" w:cs="Times New Roman"/>
        </w:rPr>
      </w:pPr>
    </w:p>
    <w:p w14:paraId="71C44726" w14:textId="77777777" w:rsidR="00E702FB" w:rsidRPr="00A11618" w:rsidRDefault="00E702FB" w:rsidP="00E702FB">
      <w:pPr>
        <w:pStyle w:val="ListParagraph"/>
        <w:spacing w:before="120" w:after="120"/>
        <w:ind w:left="1287"/>
        <w:contextualSpacing w:val="0"/>
        <w:rPr>
          <w:rFonts w:ascii="Times New Roman" w:hAnsi="Times New Roman" w:cs="Times New Roman"/>
        </w:rPr>
      </w:pPr>
    </w:p>
    <w:p w14:paraId="2C078E63" w14:textId="77777777" w:rsidR="00FB1599" w:rsidRDefault="00FB1599"/>
    <w:sectPr w:rsidR="00FB1599">
      <w:headerReference w:type="even" r:id="rId7"/>
      <w:footerReference w:type="even"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5794" w14:textId="77777777" w:rsidR="00897731" w:rsidRDefault="00897731" w:rsidP="00E702FB">
      <w:pPr>
        <w:spacing w:after="0" w:line="240" w:lineRule="auto"/>
      </w:pPr>
      <w:r>
        <w:separator/>
      </w:r>
    </w:p>
  </w:endnote>
  <w:endnote w:type="continuationSeparator" w:id="0">
    <w:p w14:paraId="365A0EA2" w14:textId="77777777" w:rsidR="00897731" w:rsidRDefault="00897731" w:rsidP="00E702FB">
      <w:pPr>
        <w:spacing w:after="0" w:line="240" w:lineRule="auto"/>
      </w:pPr>
      <w:r>
        <w:continuationSeparator/>
      </w:r>
    </w:p>
  </w:endnote>
  <w:endnote w:type="continuationNotice" w:id="1">
    <w:p w14:paraId="12DCCA98" w14:textId="77777777" w:rsidR="00897731" w:rsidRDefault="00897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EABF" w14:textId="77777777" w:rsidR="00E702FB" w:rsidRDefault="00871F19">
    <w:pPr>
      <w:pStyle w:val="Footer"/>
    </w:pPr>
    <w:r>
      <w:rPr>
        <w:noProof/>
      </w:rPr>
      <mc:AlternateContent>
        <mc:Choice Requires="wps">
          <w:drawing>
            <wp:anchor distT="0" distB="0" distL="0" distR="0" simplePos="0" relativeHeight="251658243" behindDoc="0" locked="0" layoutInCell="1" allowOverlap="1" wp14:anchorId="0664971D" wp14:editId="74D32A0E">
              <wp:simplePos x="635" y="635"/>
              <wp:positionH relativeFrom="page">
                <wp:align>center</wp:align>
              </wp:positionH>
              <wp:positionV relativeFrom="page">
                <wp:align>bottom</wp:align>
              </wp:positionV>
              <wp:extent cx="551815" cy="407035"/>
              <wp:effectExtent l="0" t="0" r="635" b="0"/>
              <wp:wrapNone/>
              <wp:docPr id="1737472595" name="Text Box 5" descr="OFFICIAL">
                <a:extLst xmlns:a="http://schemas.openxmlformats.org/drawingml/2006/main">
                  <a:ext uri="{FF2B5EF4-FFF2-40B4-BE49-F238E27FC236}">
                    <a16:creationId xmlns:a16="http://schemas.microsoft.com/office/drawing/2014/main" id="{B6820D72-729D-4C79-8F15-0E2D3DD67C7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6AA79ED2" w14:textId="77777777" w:rsidR="00E702FB" w:rsidRPr="00E702FB" w:rsidRDefault="00E702FB" w:rsidP="00E702FB">
                          <w:pPr>
                            <w:spacing w:after="0"/>
                            <w:rPr>
                              <w:rFonts w:ascii="Calibri" w:eastAsia="Calibri" w:hAnsi="Calibri" w:cs="Calibri"/>
                              <w:noProof/>
                              <w:color w:val="FF0000"/>
                            </w:rPr>
                          </w:pPr>
                          <w:r w:rsidRPr="00E702F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4971D" id="_x0000_t202" coordsize="21600,21600" o:spt="202" path="m,l,21600r21600,l21600,xe">
              <v:stroke joinstyle="miter"/>
              <v:path gradientshapeok="t" o:connecttype="rect"/>
            </v:shapetype>
            <v:shape id="Text Box 5" o:spid="_x0000_s1027" type="#_x0000_t202" alt="OFFICIAL" style="position:absolute;margin-left:0;margin-top:0;width:43.45pt;height:32.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" filled="f" stroked="f">
              <v:textbox style="mso-fit-shape-to-text:t" inset="0,0,0,15pt">
                <w:txbxContent>
                  <w:p w14:paraId="6AA79ED2" w14:textId="77777777" w:rsidR="00E702FB" w:rsidRPr="00E702FB" w:rsidRDefault="00E702FB" w:rsidP="00E702FB">
                    <w:pPr>
                      <w:spacing w:after="0"/>
                      <w:rPr>
                        <w:rFonts w:ascii="Calibri" w:eastAsia="Calibri" w:hAnsi="Calibri" w:cs="Calibri"/>
                        <w:noProof/>
                        <w:color w:val="FF0000"/>
                      </w:rPr>
                    </w:pPr>
                    <w:r w:rsidRPr="00E702FB">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DC6B" w14:textId="77777777" w:rsidR="00E702FB" w:rsidRDefault="00871F19">
    <w:pPr>
      <w:pStyle w:val="Footer"/>
    </w:pPr>
    <w:r>
      <w:rPr>
        <w:noProof/>
      </w:rPr>
      <mc:AlternateContent>
        <mc:Choice Requires="wps">
          <w:drawing>
            <wp:anchor distT="0" distB="0" distL="0" distR="0" simplePos="0" relativeHeight="251658242" behindDoc="0" locked="0" layoutInCell="1" allowOverlap="1" wp14:anchorId="26233526" wp14:editId="0B3C447E">
              <wp:simplePos x="635" y="635"/>
              <wp:positionH relativeFrom="page">
                <wp:align>center</wp:align>
              </wp:positionH>
              <wp:positionV relativeFrom="page">
                <wp:align>bottom</wp:align>
              </wp:positionV>
              <wp:extent cx="551815" cy="407035"/>
              <wp:effectExtent l="0" t="0" r="635" b="0"/>
              <wp:wrapNone/>
              <wp:docPr id="148881359" name="Text Box 4" descr="OFFICIAL">
                <a:extLst xmlns:a="http://schemas.openxmlformats.org/drawingml/2006/main">
                  <a:ext uri="{FF2B5EF4-FFF2-40B4-BE49-F238E27FC236}">
                    <a16:creationId xmlns:a16="http://schemas.microsoft.com/office/drawing/2014/main" id="{03EB154F-E048-4A2C-A4DE-B712BD79706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734FB9D5" w14:textId="77777777" w:rsidR="00E702FB" w:rsidRPr="00E702FB" w:rsidRDefault="00E702FB" w:rsidP="00E702FB">
                          <w:pPr>
                            <w:spacing w:after="0"/>
                            <w:rPr>
                              <w:rFonts w:ascii="Calibri" w:eastAsia="Calibri" w:hAnsi="Calibri" w:cs="Calibri"/>
                              <w:noProof/>
                              <w:color w:val="FF0000"/>
                            </w:rPr>
                          </w:pPr>
                          <w:r w:rsidRPr="00E702F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33526" id="_x0000_t202" coordsize="21600,21600" o:spt="202" path="m,l,21600r21600,l21600,xe">
              <v:stroke joinstyle="miter"/>
              <v:path gradientshapeok="t" o:connecttype="rect"/>
            </v:shapetype>
            <v:shape id="Text Box 4" o:spid="_x0000_s1029" type="#_x0000_t202" alt="OFFICIAL" style="position:absolute;margin-left:0;margin-top:0;width:43.45pt;height:32.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" filled="f" stroked="f">
              <v:textbox style="mso-fit-shape-to-text:t" inset="0,0,0,15pt">
                <w:txbxContent>
                  <w:p w14:paraId="734FB9D5" w14:textId="77777777" w:rsidR="00E702FB" w:rsidRPr="00E702FB" w:rsidRDefault="00E702FB" w:rsidP="00E702FB">
                    <w:pPr>
                      <w:spacing w:after="0"/>
                      <w:rPr>
                        <w:rFonts w:ascii="Calibri" w:eastAsia="Calibri" w:hAnsi="Calibri" w:cs="Calibri"/>
                        <w:noProof/>
                        <w:color w:val="FF0000"/>
                      </w:rPr>
                    </w:pPr>
                    <w:r w:rsidRPr="00E702FB">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E4B5" w14:textId="77777777" w:rsidR="00897731" w:rsidRDefault="00897731" w:rsidP="00E702FB">
      <w:pPr>
        <w:spacing w:after="0" w:line="240" w:lineRule="auto"/>
      </w:pPr>
      <w:r>
        <w:separator/>
      </w:r>
    </w:p>
  </w:footnote>
  <w:footnote w:type="continuationSeparator" w:id="0">
    <w:p w14:paraId="184FF81A" w14:textId="77777777" w:rsidR="00897731" w:rsidRDefault="00897731" w:rsidP="00E702FB">
      <w:pPr>
        <w:spacing w:after="0" w:line="240" w:lineRule="auto"/>
      </w:pPr>
      <w:r>
        <w:continuationSeparator/>
      </w:r>
    </w:p>
  </w:footnote>
  <w:footnote w:type="continuationNotice" w:id="1">
    <w:p w14:paraId="139CF1E3" w14:textId="77777777" w:rsidR="00897731" w:rsidRDefault="00897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75E0" w14:textId="77777777" w:rsidR="00E702FB" w:rsidRDefault="00871F19">
    <w:pPr>
      <w:pStyle w:val="Header"/>
    </w:pPr>
    <w:r>
      <w:rPr>
        <w:noProof/>
      </w:rPr>
      <mc:AlternateContent>
        <mc:Choice Requires="wps">
          <w:drawing>
            <wp:anchor distT="0" distB="0" distL="0" distR="0" simplePos="0" relativeHeight="251658241" behindDoc="0" locked="0" layoutInCell="1" allowOverlap="1" wp14:anchorId="2BF238A3" wp14:editId="472798C3">
              <wp:simplePos x="635" y="635"/>
              <wp:positionH relativeFrom="page">
                <wp:align>center</wp:align>
              </wp:positionH>
              <wp:positionV relativeFrom="page">
                <wp:align>top</wp:align>
              </wp:positionV>
              <wp:extent cx="551815" cy="407035"/>
              <wp:effectExtent l="0" t="0" r="635" b="12065"/>
              <wp:wrapNone/>
              <wp:docPr id="452106518" name="Text Box 2" descr="OFFICIAL">
                <a:extLst xmlns:a="http://schemas.openxmlformats.org/drawingml/2006/main">
                  <a:ext uri="{FF2B5EF4-FFF2-40B4-BE49-F238E27FC236}">
                    <a16:creationId xmlns:a16="http://schemas.microsoft.com/office/drawing/2014/main" id="{00C602A8-3F10-49B5-AA00-07CA2541B5A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3005D420" w14:textId="77777777" w:rsidR="00E702FB" w:rsidRPr="00E702FB" w:rsidRDefault="00E702FB" w:rsidP="00E702FB">
                          <w:pPr>
                            <w:spacing w:after="0"/>
                            <w:rPr>
                              <w:rFonts w:ascii="Calibri" w:eastAsia="Calibri" w:hAnsi="Calibri" w:cs="Calibri"/>
                              <w:noProof/>
                              <w:color w:val="FF0000"/>
                            </w:rPr>
                          </w:pPr>
                          <w:r w:rsidRPr="00E702F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F238A3" id="_x0000_t202" coordsize="21600,21600" o:spt="202" path="m,l,21600r21600,l21600,xe">
              <v:stroke joinstyle="miter"/>
              <v:path gradientshapeok="t" o:connecttype="rect"/>
            </v:shapetype>
            <v:shape id="Text Box 2" o:spid="_x0000_s1026" type="#_x0000_t202" alt="OFFICIAL" style="position:absolute;margin-left:0;margin-top:0;width:43.45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filled="f" stroked="f">
              <v:textbox style="mso-fit-shape-to-text:t" inset="0,15pt,0,0">
                <w:txbxContent>
                  <w:p w14:paraId="3005D420" w14:textId="77777777" w:rsidR="00E702FB" w:rsidRPr="00E702FB" w:rsidRDefault="00E702FB" w:rsidP="00E702FB">
                    <w:pPr>
                      <w:spacing w:after="0"/>
                      <w:rPr>
                        <w:rFonts w:ascii="Calibri" w:eastAsia="Calibri" w:hAnsi="Calibri" w:cs="Calibri"/>
                        <w:noProof/>
                        <w:color w:val="FF0000"/>
                      </w:rPr>
                    </w:pPr>
                    <w:r w:rsidRPr="00E702FB">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0217" w14:textId="77777777" w:rsidR="00E702FB" w:rsidRDefault="00871F19">
    <w:pPr>
      <w:pStyle w:val="Header"/>
    </w:pPr>
    <w:r>
      <w:rPr>
        <w:noProof/>
      </w:rPr>
      <mc:AlternateContent>
        <mc:Choice Requires="wps">
          <w:drawing>
            <wp:anchor distT="0" distB="0" distL="0" distR="0" simplePos="0" relativeHeight="251658240" behindDoc="0" locked="0" layoutInCell="1" allowOverlap="1" wp14:anchorId="39A954CB" wp14:editId="09978BAF">
              <wp:simplePos x="635" y="635"/>
              <wp:positionH relativeFrom="page">
                <wp:align>center</wp:align>
              </wp:positionH>
              <wp:positionV relativeFrom="page">
                <wp:align>top</wp:align>
              </wp:positionV>
              <wp:extent cx="551815" cy="407035"/>
              <wp:effectExtent l="0" t="0" r="635" b="12065"/>
              <wp:wrapNone/>
              <wp:docPr id="453965186" name="Text Box 1" descr="OFFICIAL">
                <a:extLst xmlns:a="http://schemas.openxmlformats.org/drawingml/2006/main">
                  <a:ext uri="{FF2B5EF4-FFF2-40B4-BE49-F238E27FC236}">
                    <a16:creationId xmlns:a16="http://schemas.microsoft.com/office/drawing/2014/main" id="{BB3EC0F5-5F84-4AEC-AC09-9324D4C7AFD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3B84DE44" w14:textId="77777777" w:rsidR="00E702FB" w:rsidRPr="00E702FB" w:rsidRDefault="00E702FB" w:rsidP="00E702FB">
                          <w:pPr>
                            <w:spacing w:after="0"/>
                            <w:rPr>
                              <w:rFonts w:ascii="Calibri" w:eastAsia="Calibri" w:hAnsi="Calibri" w:cs="Calibri"/>
                              <w:noProof/>
                              <w:color w:val="FF0000"/>
                            </w:rPr>
                          </w:pPr>
                          <w:r w:rsidRPr="00E702F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A954CB" id="_x0000_t202" coordsize="21600,21600" o:spt="202" path="m,l,21600r21600,l21600,xe">
              <v:stroke joinstyle="miter"/>
              <v:path gradientshapeok="t" o:connecttype="rect"/>
            </v:shapetype>
            <v:shape id="Text Box 1" o:spid="_x0000_s1028" type="#_x0000_t202" alt="OFFICIAL" style="position:absolute;margin-left:0;margin-top:0;width:43.45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" filled="f" stroked="f">
              <v:textbox style="mso-fit-shape-to-text:t" inset="0,15pt,0,0">
                <w:txbxContent>
                  <w:p w14:paraId="3B84DE44" w14:textId="77777777" w:rsidR="00E702FB" w:rsidRPr="00E702FB" w:rsidRDefault="00E702FB" w:rsidP="00E702FB">
                    <w:pPr>
                      <w:spacing w:after="0"/>
                      <w:rPr>
                        <w:rFonts w:ascii="Calibri" w:eastAsia="Calibri" w:hAnsi="Calibri" w:cs="Calibri"/>
                        <w:noProof/>
                        <w:color w:val="FF0000"/>
                      </w:rPr>
                    </w:pPr>
                    <w:r w:rsidRPr="00E702FB">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7A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B469D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F13F8A"/>
    <w:multiLevelType w:val="multilevel"/>
    <w:tmpl w:val="FFFFFFFF"/>
    <w:lvl w:ilvl="0">
      <w:start w:val="1"/>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3" w15:restartNumberingAfterBreak="0">
    <w:nsid w:val="241313C8"/>
    <w:multiLevelType w:val="multilevel"/>
    <w:tmpl w:val="0E9E1A2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4E2A552D"/>
    <w:multiLevelType w:val="multilevel"/>
    <w:tmpl w:val="FFFFFFFF"/>
    <w:lvl w:ilvl="0">
      <w:start w:val="3"/>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num w:numId="1" w16cid:durableId="1016076502">
    <w:abstractNumId w:val="2"/>
  </w:num>
  <w:num w:numId="2" w16cid:durableId="113258582">
    <w:abstractNumId w:val="1"/>
  </w:num>
  <w:num w:numId="3" w16cid:durableId="1512602930">
    <w:abstractNumId w:val="3"/>
  </w:num>
  <w:num w:numId="4" w16cid:durableId="2110613274">
    <w:abstractNumId w:val="4"/>
  </w:num>
  <w:num w:numId="5" w16cid:durableId="77918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754214"/>
    <w:rsid w:val="000112F7"/>
    <w:rsid w:val="0001674C"/>
    <w:rsid w:val="0002095D"/>
    <w:rsid w:val="0002407E"/>
    <w:rsid w:val="0003780D"/>
    <w:rsid w:val="00042CBC"/>
    <w:rsid w:val="00052B46"/>
    <w:rsid w:val="00052D85"/>
    <w:rsid w:val="00061774"/>
    <w:rsid w:val="00074A95"/>
    <w:rsid w:val="000A1506"/>
    <w:rsid w:val="000A5154"/>
    <w:rsid w:val="000B27F9"/>
    <w:rsid w:val="000B542D"/>
    <w:rsid w:val="000C03CC"/>
    <w:rsid w:val="000E086C"/>
    <w:rsid w:val="000E242A"/>
    <w:rsid w:val="000E357C"/>
    <w:rsid w:val="000F4615"/>
    <w:rsid w:val="00101E67"/>
    <w:rsid w:val="00103504"/>
    <w:rsid w:val="00117F81"/>
    <w:rsid w:val="00122E8D"/>
    <w:rsid w:val="00126B67"/>
    <w:rsid w:val="00132E1F"/>
    <w:rsid w:val="00143AAF"/>
    <w:rsid w:val="0015677F"/>
    <w:rsid w:val="00156E0B"/>
    <w:rsid w:val="00174F66"/>
    <w:rsid w:val="0017751C"/>
    <w:rsid w:val="00193754"/>
    <w:rsid w:val="001950EB"/>
    <w:rsid w:val="001C28D2"/>
    <w:rsid w:val="001C694E"/>
    <w:rsid w:val="001C726D"/>
    <w:rsid w:val="001D7E90"/>
    <w:rsid w:val="001E27AD"/>
    <w:rsid w:val="001F0333"/>
    <w:rsid w:val="001F3934"/>
    <w:rsid w:val="0020741C"/>
    <w:rsid w:val="002161B7"/>
    <w:rsid w:val="00220B21"/>
    <w:rsid w:val="00224380"/>
    <w:rsid w:val="00225E6C"/>
    <w:rsid w:val="00234900"/>
    <w:rsid w:val="00236D19"/>
    <w:rsid w:val="00244B8A"/>
    <w:rsid w:val="002708B2"/>
    <w:rsid w:val="00271CB7"/>
    <w:rsid w:val="00273C46"/>
    <w:rsid w:val="0027583A"/>
    <w:rsid w:val="00276AF5"/>
    <w:rsid w:val="0028108E"/>
    <w:rsid w:val="002810D7"/>
    <w:rsid w:val="00282144"/>
    <w:rsid w:val="002940C6"/>
    <w:rsid w:val="00297182"/>
    <w:rsid w:val="00297240"/>
    <w:rsid w:val="002A2A1B"/>
    <w:rsid w:val="002C1624"/>
    <w:rsid w:val="002C1CB1"/>
    <w:rsid w:val="002C43CA"/>
    <w:rsid w:val="002D3FF8"/>
    <w:rsid w:val="003159FB"/>
    <w:rsid w:val="003167CE"/>
    <w:rsid w:val="0032186F"/>
    <w:rsid w:val="00324FF0"/>
    <w:rsid w:val="00332402"/>
    <w:rsid w:val="0033680E"/>
    <w:rsid w:val="00344BC7"/>
    <w:rsid w:val="00351AD2"/>
    <w:rsid w:val="00364267"/>
    <w:rsid w:val="003769E7"/>
    <w:rsid w:val="00381D3F"/>
    <w:rsid w:val="00383A0E"/>
    <w:rsid w:val="003848E9"/>
    <w:rsid w:val="00390EF0"/>
    <w:rsid w:val="00392C49"/>
    <w:rsid w:val="0039424A"/>
    <w:rsid w:val="003A1273"/>
    <w:rsid w:val="003B1DCB"/>
    <w:rsid w:val="003C52FF"/>
    <w:rsid w:val="003D58B3"/>
    <w:rsid w:val="003E09FB"/>
    <w:rsid w:val="003F08B3"/>
    <w:rsid w:val="003F3933"/>
    <w:rsid w:val="003F4024"/>
    <w:rsid w:val="003F479D"/>
    <w:rsid w:val="00402694"/>
    <w:rsid w:val="00410379"/>
    <w:rsid w:val="0041072B"/>
    <w:rsid w:val="004157BB"/>
    <w:rsid w:val="00421EEE"/>
    <w:rsid w:val="004241FB"/>
    <w:rsid w:val="00425570"/>
    <w:rsid w:val="00441538"/>
    <w:rsid w:val="00446048"/>
    <w:rsid w:val="00454F7E"/>
    <w:rsid w:val="004579A0"/>
    <w:rsid w:val="004645E2"/>
    <w:rsid w:val="004677B1"/>
    <w:rsid w:val="00470B37"/>
    <w:rsid w:val="00473552"/>
    <w:rsid w:val="00482976"/>
    <w:rsid w:val="004A0EB0"/>
    <w:rsid w:val="004C7B8B"/>
    <w:rsid w:val="004C7EBC"/>
    <w:rsid w:val="004D1275"/>
    <w:rsid w:val="004D147E"/>
    <w:rsid w:val="004D347E"/>
    <w:rsid w:val="004F42C4"/>
    <w:rsid w:val="004F625D"/>
    <w:rsid w:val="00501E5A"/>
    <w:rsid w:val="005052DB"/>
    <w:rsid w:val="00524AE7"/>
    <w:rsid w:val="00537D05"/>
    <w:rsid w:val="005405BF"/>
    <w:rsid w:val="00546031"/>
    <w:rsid w:val="00547E8D"/>
    <w:rsid w:val="00552CE4"/>
    <w:rsid w:val="005533BE"/>
    <w:rsid w:val="00557433"/>
    <w:rsid w:val="00561B26"/>
    <w:rsid w:val="00562E46"/>
    <w:rsid w:val="00566812"/>
    <w:rsid w:val="005701DA"/>
    <w:rsid w:val="00575F1D"/>
    <w:rsid w:val="005762DA"/>
    <w:rsid w:val="00581B4A"/>
    <w:rsid w:val="005A799D"/>
    <w:rsid w:val="005B1AE6"/>
    <w:rsid w:val="005C1245"/>
    <w:rsid w:val="005C3FA5"/>
    <w:rsid w:val="005C40D2"/>
    <w:rsid w:val="005C7698"/>
    <w:rsid w:val="005D446C"/>
    <w:rsid w:val="005F7F5E"/>
    <w:rsid w:val="00603AAD"/>
    <w:rsid w:val="006052F2"/>
    <w:rsid w:val="006144E6"/>
    <w:rsid w:val="006343ED"/>
    <w:rsid w:val="006354DA"/>
    <w:rsid w:val="00642CC7"/>
    <w:rsid w:val="00647E6D"/>
    <w:rsid w:val="00653601"/>
    <w:rsid w:val="0066041F"/>
    <w:rsid w:val="00664C2C"/>
    <w:rsid w:val="00673843"/>
    <w:rsid w:val="006779E5"/>
    <w:rsid w:val="00690BD0"/>
    <w:rsid w:val="00692525"/>
    <w:rsid w:val="00695C4C"/>
    <w:rsid w:val="00696AA4"/>
    <w:rsid w:val="006B0F3B"/>
    <w:rsid w:val="006B227B"/>
    <w:rsid w:val="006B522D"/>
    <w:rsid w:val="006B7904"/>
    <w:rsid w:val="006B7B76"/>
    <w:rsid w:val="006C5131"/>
    <w:rsid w:val="006E51F8"/>
    <w:rsid w:val="006F1364"/>
    <w:rsid w:val="006F5892"/>
    <w:rsid w:val="0070422B"/>
    <w:rsid w:val="007133C0"/>
    <w:rsid w:val="00716465"/>
    <w:rsid w:val="0072482D"/>
    <w:rsid w:val="00745063"/>
    <w:rsid w:val="00746799"/>
    <w:rsid w:val="007523B2"/>
    <w:rsid w:val="00757C04"/>
    <w:rsid w:val="00764FB0"/>
    <w:rsid w:val="00767820"/>
    <w:rsid w:val="00767A28"/>
    <w:rsid w:val="0078443D"/>
    <w:rsid w:val="00785C6C"/>
    <w:rsid w:val="0078625D"/>
    <w:rsid w:val="00787ABB"/>
    <w:rsid w:val="00791254"/>
    <w:rsid w:val="007917AC"/>
    <w:rsid w:val="0079329D"/>
    <w:rsid w:val="00795054"/>
    <w:rsid w:val="007B392C"/>
    <w:rsid w:val="007C2C15"/>
    <w:rsid w:val="007C7D0B"/>
    <w:rsid w:val="007E71A8"/>
    <w:rsid w:val="007F715C"/>
    <w:rsid w:val="008043BD"/>
    <w:rsid w:val="008058AF"/>
    <w:rsid w:val="00806CE3"/>
    <w:rsid w:val="008070A9"/>
    <w:rsid w:val="00813FC2"/>
    <w:rsid w:val="0081570D"/>
    <w:rsid w:val="008179A2"/>
    <w:rsid w:val="008212E5"/>
    <w:rsid w:val="0082540B"/>
    <w:rsid w:val="00825AF7"/>
    <w:rsid w:val="00827E68"/>
    <w:rsid w:val="008422BC"/>
    <w:rsid w:val="00842E6D"/>
    <w:rsid w:val="008500E0"/>
    <w:rsid w:val="008633A5"/>
    <w:rsid w:val="00866135"/>
    <w:rsid w:val="00871F19"/>
    <w:rsid w:val="00880562"/>
    <w:rsid w:val="0088127F"/>
    <w:rsid w:val="00882762"/>
    <w:rsid w:val="008855A9"/>
    <w:rsid w:val="00885EE1"/>
    <w:rsid w:val="00892354"/>
    <w:rsid w:val="008941C8"/>
    <w:rsid w:val="00897731"/>
    <w:rsid w:val="008A7E1C"/>
    <w:rsid w:val="008D0227"/>
    <w:rsid w:val="008D6F34"/>
    <w:rsid w:val="008E380B"/>
    <w:rsid w:val="008E429B"/>
    <w:rsid w:val="008E557D"/>
    <w:rsid w:val="00905E8D"/>
    <w:rsid w:val="00907CAA"/>
    <w:rsid w:val="009113CA"/>
    <w:rsid w:val="009267BE"/>
    <w:rsid w:val="009310AA"/>
    <w:rsid w:val="009327A8"/>
    <w:rsid w:val="00941DF9"/>
    <w:rsid w:val="00944BA5"/>
    <w:rsid w:val="00945648"/>
    <w:rsid w:val="009506FE"/>
    <w:rsid w:val="00953CD7"/>
    <w:rsid w:val="00953D07"/>
    <w:rsid w:val="00963A9F"/>
    <w:rsid w:val="00964866"/>
    <w:rsid w:val="00974CFB"/>
    <w:rsid w:val="0097547B"/>
    <w:rsid w:val="00976B2F"/>
    <w:rsid w:val="00986B5A"/>
    <w:rsid w:val="00995584"/>
    <w:rsid w:val="009A0DBF"/>
    <w:rsid w:val="009A6240"/>
    <w:rsid w:val="009B2B75"/>
    <w:rsid w:val="009B3E64"/>
    <w:rsid w:val="009B7B31"/>
    <w:rsid w:val="009B7C59"/>
    <w:rsid w:val="009C4E89"/>
    <w:rsid w:val="009D34DB"/>
    <w:rsid w:val="009E34C2"/>
    <w:rsid w:val="009E6EB5"/>
    <w:rsid w:val="009E7303"/>
    <w:rsid w:val="009F2DE8"/>
    <w:rsid w:val="009F7054"/>
    <w:rsid w:val="00A01BD5"/>
    <w:rsid w:val="00A0659A"/>
    <w:rsid w:val="00A11DC7"/>
    <w:rsid w:val="00A15A1F"/>
    <w:rsid w:val="00A17B92"/>
    <w:rsid w:val="00A21E45"/>
    <w:rsid w:val="00A22EE5"/>
    <w:rsid w:val="00A6374E"/>
    <w:rsid w:val="00A6437D"/>
    <w:rsid w:val="00A743CB"/>
    <w:rsid w:val="00A8147A"/>
    <w:rsid w:val="00A916A7"/>
    <w:rsid w:val="00AB5971"/>
    <w:rsid w:val="00AC2003"/>
    <w:rsid w:val="00AD0CA6"/>
    <w:rsid w:val="00AD3E3C"/>
    <w:rsid w:val="00AD67E6"/>
    <w:rsid w:val="00AE14CD"/>
    <w:rsid w:val="00AE2DF5"/>
    <w:rsid w:val="00AE5A34"/>
    <w:rsid w:val="00AE66DC"/>
    <w:rsid w:val="00AF1E0F"/>
    <w:rsid w:val="00B06E6A"/>
    <w:rsid w:val="00B1004F"/>
    <w:rsid w:val="00B10215"/>
    <w:rsid w:val="00B10552"/>
    <w:rsid w:val="00B10B86"/>
    <w:rsid w:val="00B3297E"/>
    <w:rsid w:val="00B3A5CC"/>
    <w:rsid w:val="00B40DE8"/>
    <w:rsid w:val="00B436F8"/>
    <w:rsid w:val="00B43794"/>
    <w:rsid w:val="00B45206"/>
    <w:rsid w:val="00B51145"/>
    <w:rsid w:val="00B5605A"/>
    <w:rsid w:val="00B62B36"/>
    <w:rsid w:val="00B77544"/>
    <w:rsid w:val="00B84CC7"/>
    <w:rsid w:val="00B85ADA"/>
    <w:rsid w:val="00BD3E8A"/>
    <w:rsid w:val="00BD4F5A"/>
    <w:rsid w:val="00BE0D78"/>
    <w:rsid w:val="00BE583E"/>
    <w:rsid w:val="00BE5A87"/>
    <w:rsid w:val="00BE7503"/>
    <w:rsid w:val="00C0144F"/>
    <w:rsid w:val="00C05774"/>
    <w:rsid w:val="00C141A2"/>
    <w:rsid w:val="00C2355D"/>
    <w:rsid w:val="00C301F3"/>
    <w:rsid w:val="00C31426"/>
    <w:rsid w:val="00C46180"/>
    <w:rsid w:val="00C46A92"/>
    <w:rsid w:val="00C54820"/>
    <w:rsid w:val="00C559F1"/>
    <w:rsid w:val="00C5EECA"/>
    <w:rsid w:val="00C609C0"/>
    <w:rsid w:val="00C63480"/>
    <w:rsid w:val="00C6611B"/>
    <w:rsid w:val="00C6641F"/>
    <w:rsid w:val="00C70913"/>
    <w:rsid w:val="00C82A2D"/>
    <w:rsid w:val="00C8329A"/>
    <w:rsid w:val="00C920B8"/>
    <w:rsid w:val="00C92CC6"/>
    <w:rsid w:val="00CA4C7B"/>
    <w:rsid w:val="00CA7BAB"/>
    <w:rsid w:val="00CB56A7"/>
    <w:rsid w:val="00CB760F"/>
    <w:rsid w:val="00CC0A09"/>
    <w:rsid w:val="00CC2BA4"/>
    <w:rsid w:val="00CC34F4"/>
    <w:rsid w:val="00CD29A1"/>
    <w:rsid w:val="00CE08AD"/>
    <w:rsid w:val="00CF186E"/>
    <w:rsid w:val="00D01513"/>
    <w:rsid w:val="00D10790"/>
    <w:rsid w:val="00D10798"/>
    <w:rsid w:val="00D43208"/>
    <w:rsid w:val="00D43ED0"/>
    <w:rsid w:val="00D668BE"/>
    <w:rsid w:val="00D7535E"/>
    <w:rsid w:val="00D77823"/>
    <w:rsid w:val="00D801D9"/>
    <w:rsid w:val="00D873C8"/>
    <w:rsid w:val="00D928B9"/>
    <w:rsid w:val="00DA7F2C"/>
    <w:rsid w:val="00DB3B85"/>
    <w:rsid w:val="00DE6F51"/>
    <w:rsid w:val="00DF4E96"/>
    <w:rsid w:val="00E01651"/>
    <w:rsid w:val="00E02816"/>
    <w:rsid w:val="00E077A4"/>
    <w:rsid w:val="00E07E84"/>
    <w:rsid w:val="00E16E4D"/>
    <w:rsid w:val="00E21A9B"/>
    <w:rsid w:val="00E23766"/>
    <w:rsid w:val="00E248CF"/>
    <w:rsid w:val="00E24FBD"/>
    <w:rsid w:val="00E55DFB"/>
    <w:rsid w:val="00E5780B"/>
    <w:rsid w:val="00E62428"/>
    <w:rsid w:val="00E67FA2"/>
    <w:rsid w:val="00E702FB"/>
    <w:rsid w:val="00E716F1"/>
    <w:rsid w:val="00EA074C"/>
    <w:rsid w:val="00EA4063"/>
    <w:rsid w:val="00EB0F93"/>
    <w:rsid w:val="00EB62D1"/>
    <w:rsid w:val="00EC0C68"/>
    <w:rsid w:val="00EC52DC"/>
    <w:rsid w:val="00ED00F3"/>
    <w:rsid w:val="00EE55AA"/>
    <w:rsid w:val="00EF2BCA"/>
    <w:rsid w:val="00EF590E"/>
    <w:rsid w:val="00F076A8"/>
    <w:rsid w:val="00F13E0D"/>
    <w:rsid w:val="00F13F7A"/>
    <w:rsid w:val="00F223CC"/>
    <w:rsid w:val="00F37DDF"/>
    <w:rsid w:val="00F432F4"/>
    <w:rsid w:val="00F449EC"/>
    <w:rsid w:val="00F81163"/>
    <w:rsid w:val="00FA0346"/>
    <w:rsid w:val="00FB1599"/>
    <w:rsid w:val="00FB51BE"/>
    <w:rsid w:val="00FB6693"/>
    <w:rsid w:val="00FC4A44"/>
    <w:rsid w:val="00FD3A54"/>
    <w:rsid w:val="00FD5D63"/>
    <w:rsid w:val="00FD7BB5"/>
    <w:rsid w:val="00FE6332"/>
    <w:rsid w:val="00FE6D61"/>
    <w:rsid w:val="01012161"/>
    <w:rsid w:val="013C252B"/>
    <w:rsid w:val="01DD90F8"/>
    <w:rsid w:val="022CA510"/>
    <w:rsid w:val="04E899BC"/>
    <w:rsid w:val="04F42AA4"/>
    <w:rsid w:val="05F85AF7"/>
    <w:rsid w:val="05FCCE50"/>
    <w:rsid w:val="064BFA92"/>
    <w:rsid w:val="06DC0A8E"/>
    <w:rsid w:val="088B77C4"/>
    <w:rsid w:val="0994B361"/>
    <w:rsid w:val="0994D7A0"/>
    <w:rsid w:val="09C03674"/>
    <w:rsid w:val="09D0A830"/>
    <w:rsid w:val="0A7A3308"/>
    <w:rsid w:val="0AA9FC90"/>
    <w:rsid w:val="0B32DA88"/>
    <w:rsid w:val="0BB91CD8"/>
    <w:rsid w:val="0BDB46DE"/>
    <w:rsid w:val="0F0D85FA"/>
    <w:rsid w:val="0F5BFD42"/>
    <w:rsid w:val="0FB7C1F8"/>
    <w:rsid w:val="0FB86AFB"/>
    <w:rsid w:val="106A63F3"/>
    <w:rsid w:val="11B2C9DC"/>
    <w:rsid w:val="12129C8F"/>
    <w:rsid w:val="129B913E"/>
    <w:rsid w:val="12D78DF2"/>
    <w:rsid w:val="13E8C2C5"/>
    <w:rsid w:val="13F07984"/>
    <w:rsid w:val="1449BC3A"/>
    <w:rsid w:val="1588A0D8"/>
    <w:rsid w:val="1622FE00"/>
    <w:rsid w:val="163793CE"/>
    <w:rsid w:val="17787313"/>
    <w:rsid w:val="178C7D6C"/>
    <w:rsid w:val="179A7929"/>
    <w:rsid w:val="17F45686"/>
    <w:rsid w:val="181323A7"/>
    <w:rsid w:val="18458918"/>
    <w:rsid w:val="1896B882"/>
    <w:rsid w:val="18D0224A"/>
    <w:rsid w:val="18DE2DC0"/>
    <w:rsid w:val="18F9DCD2"/>
    <w:rsid w:val="199DE941"/>
    <w:rsid w:val="19D2B0E1"/>
    <w:rsid w:val="1A21E775"/>
    <w:rsid w:val="1B137CDC"/>
    <w:rsid w:val="1CFDEB91"/>
    <w:rsid w:val="1D13E09B"/>
    <w:rsid w:val="1DD319B5"/>
    <w:rsid w:val="1E5C874C"/>
    <w:rsid w:val="1E6F6A9B"/>
    <w:rsid w:val="1F0DC121"/>
    <w:rsid w:val="1F754214"/>
    <w:rsid w:val="20DC1CDE"/>
    <w:rsid w:val="212E2952"/>
    <w:rsid w:val="21569950"/>
    <w:rsid w:val="219ABA1E"/>
    <w:rsid w:val="21B93D79"/>
    <w:rsid w:val="21F98466"/>
    <w:rsid w:val="21FA5AA3"/>
    <w:rsid w:val="221A84B0"/>
    <w:rsid w:val="22306987"/>
    <w:rsid w:val="22C85074"/>
    <w:rsid w:val="23CCE13A"/>
    <w:rsid w:val="23DE2290"/>
    <w:rsid w:val="24141B11"/>
    <w:rsid w:val="242A5B73"/>
    <w:rsid w:val="24A10785"/>
    <w:rsid w:val="280051C5"/>
    <w:rsid w:val="2850CA1B"/>
    <w:rsid w:val="28DA8FD3"/>
    <w:rsid w:val="29BAEC74"/>
    <w:rsid w:val="2B0D6937"/>
    <w:rsid w:val="2B553360"/>
    <w:rsid w:val="2B8993B4"/>
    <w:rsid w:val="2C1ECE63"/>
    <w:rsid w:val="2CC36C46"/>
    <w:rsid w:val="2E10D29F"/>
    <w:rsid w:val="2E96DCC8"/>
    <w:rsid w:val="2F929A46"/>
    <w:rsid w:val="2F9B675C"/>
    <w:rsid w:val="303A8B1D"/>
    <w:rsid w:val="305379EF"/>
    <w:rsid w:val="31A1FCE5"/>
    <w:rsid w:val="329FC3BE"/>
    <w:rsid w:val="3563979F"/>
    <w:rsid w:val="390BAFFA"/>
    <w:rsid w:val="3963C8A1"/>
    <w:rsid w:val="399AFFB0"/>
    <w:rsid w:val="39B06EBB"/>
    <w:rsid w:val="3A05E31D"/>
    <w:rsid w:val="3A37B1C1"/>
    <w:rsid w:val="3A3C7F1C"/>
    <w:rsid w:val="3A633653"/>
    <w:rsid w:val="3A90755F"/>
    <w:rsid w:val="3A91E0CB"/>
    <w:rsid w:val="3AF8A9EA"/>
    <w:rsid w:val="3BE4D7CC"/>
    <w:rsid w:val="3EB29D35"/>
    <w:rsid w:val="3EC3CD4C"/>
    <w:rsid w:val="3ECAB8D3"/>
    <w:rsid w:val="3F14EB64"/>
    <w:rsid w:val="3F8F8FA2"/>
    <w:rsid w:val="4015CC32"/>
    <w:rsid w:val="4025A14F"/>
    <w:rsid w:val="40A5F876"/>
    <w:rsid w:val="4136AE10"/>
    <w:rsid w:val="41A670BD"/>
    <w:rsid w:val="41B95279"/>
    <w:rsid w:val="4342B8D9"/>
    <w:rsid w:val="441D3071"/>
    <w:rsid w:val="4432D16B"/>
    <w:rsid w:val="44A9BF32"/>
    <w:rsid w:val="44AEF3C8"/>
    <w:rsid w:val="45FCDD42"/>
    <w:rsid w:val="46AACD4A"/>
    <w:rsid w:val="47245720"/>
    <w:rsid w:val="47DA9243"/>
    <w:rsid w:val="485ED592"/>
    <w:rsid w:val="48BBFBA7"/>
    <w:rsid w:val="48ECAB21"/>
    <w:rsid w:val="4A06D342"/>
    <w:rsid w:val="4A0CE642"/>
    <w:rsid w:val="4A3BF382"/>
    <w:rsid w:val="4A49E176"/>
    <w:rsid w:val="4A4A714F"/>
    <w:rsid w:val="4B32E0C8"/>
    <w:rsid w:val="4BF97111"/>
    <w:rsid w:val="4C546671"/>
    <w:rsid w:val="4C551295"/>
    <w:rsid w:val="4D2C0048"/>
    <w:rsid w:val="4E63F376"/>
    <w:rsid w:val="4EDB3CF8"/>
    <w:rsid w:val="4F12F911"/>
    <w:rsid w:val="4F71EA30"/>
    <w:rsid w:val="4F955E40"/>
    <w:rsid w:val="4FBC3249"/>
    <w:rsid w:val="50AB659D"/>
    <w:rsid w:val="50BEAC71"/>
    <w:rsid w:val="51C61D49"/>
    <w:rsid w:val="51CA3DF2"/>
    <w:rsid w:val="51FB541F"/>
    <w:rsid w:val="521777CE"/>
    <w:rsid w:val="52216A8F"/>
    <w:rsid w:val="52492CEC"/>
    <w:rsid w:val="5263AA1C"/>
    <w:rsid w:val="52A2C81B"/>
    <w:rsid w:val="52EA6D5C"/>
    <w:rsid w:val="54C4A750"/>
    <w:rsid w:val="54EEF7FC"/>
    <w:rsid w:val="552187B7"/>
    <w:rsid w:val="5534B8C3"/>
    <w:rsid w:val="559DC407"/>
    <w:rsid w:val="570D5CD0"/>
    <w:rsid w:val="576097AA"/>
    <w:rsid w:val="576FB39F"/>
    <w:rsid w:val="579BF7EE"/>
    <w:rsid w:val="59770895"/>
    <w:rsid w:val="5A4CEAE0"/>
    <w:rsid w:val="5AB0FEE5"/>
    <w:rsid w:val="5C207FFE"/>
    <w:rsid w:val="5DA81222"/>
    <w:rsid w:val="5E2C98D4"/>
    <w:rsid w:val="5E308CD2"/>
    <w:rsid w:val="5EBC405A"/>
    <w:rsid w:val="5ECB6C91"/>
    <w:rsid w:val="61173616"/>
    <w:rsid w:val="61607820"/>
    <w:rsid w:val="616F13E1"/>
    <w:rsid w:val="61EE9A50"/>
    <w:rsid w:val="626301EE"/>
    <w:rsid w:val="628058BD"/>
    <w:rsid w:val="633E1565"/>
    <w:rsid w:val="63411C39"/>
    <w:rsid w:val="638A33A8"/>
    <w:rsid w:val="63947EA9"/>
    <w:rsid w:val="655CD493"/>
    <w:rsid w:val="65D06922"/>
    <w:rsid w:val="65D400B9"/>
    <w:rsid w:val="65D4AE2B"/>
    <w:rsid w:val="662BAC64"/>
    <w:rsid w:val="6A61DBC0"/>
    <w:rsid w:val="6B101910"/>
    <w:rsid w:val="6B219FC6"/>
    <w:rsid w:val="6BCE7FF3"/>
    <w:rsid w:val="6C34F871"/>
    <w:rsid w:val="6C619A02"/>
    <w:rsid w:val="6DAAB066"/>
    <w:rsid w:val="6DC1D262"/>
    <w:rsid w:val="6DDA8B4E"/>
    <w:rsid w:val="6DEC544A"/>
    <w:rsid w:val="6E1AF685"/>
    <w:rsid w:val="6E98CFF4"/>
    <w:rsid w:val="6EAEF323"/>
    <w:rsid w:val="6EBC9A43"/>
    <w:rsid w:val="6F0A1566"/>
    <w:rsid w:val="703A09DE"/>
    <w:rsid w:val="7047F012"/>
    <w:rsid w:val="717EA00C"/>
    <w:rsid w:val="71A77BEA"/>
    <w:rsid w:val="7235FBDD"/>
    <w:rsid w:val="7246F7FF"/>
    <w:rsid w:val="72B2F484"/>
    <w:rsid w:val="72FC6021"/>
    <w:rsid w:val="73CF86B7"/>
    <w:rsid w:val="741161DB"/>
    <w:rsid w:val="7473F112"/>
    <w:rsid w:val="747A2B4A"/>
    <w:rsid w:val="74D9E78F"/>
    <w:rsid w:val="758FC741"/>
    <w:rsid w:val="76780297"/>
    <w:rsid w:val="768CEEE7"/>
    <w:rsid w:val="76FC4043"/>
    <w:rsid w:val="771C976C"/>
    <w:rsid w:val="78D3ECFF"/>
    <w:rsid w:val="790B3A65"/>
    <w:rsid w:val="7958C633"/>
    <w:rsid w:val="7A8255AA"/>
    <w:rsid w:val="7A85F635"/>
    <w:rsid w:val="7A93FD9B"/>
    <w:rsid w:val="7AB07FC2"/>
    <w:rsid w:val="7AC66509"/>
    <w:rsid w:val="7ADC50D9"/>
    <w:rsid w:val="7AF7B615"/>
    <w:rsid w:val="7B20EABD"/>
    <w:rsid w:val="7CD9D06E"/>
    <w:rsid w:val="7D11236C"/>
    <w:rsid w:val="7DA83BC8"/>
    <w:rsid w:val="7DD12BA6"/>
    <w:rsid w:val="7E1E1E29"/>
    <w:rsid w:val="7E52B0E2"/>
    <w:rsid w:val="7E5A453C"/>
    <w:rsid w:val="7E61CF0E"/>
    <w:rsid w:val="7E78B33D"/>
    <w:rsid w:val="7F60CA33"/>
    <w:rsid w:val="7F975F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542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2FB"/>
    <w:pPr>
      <w:keepNext/>
      <w:keepLines/>
      <w:spacing w:before="240" w:after="0" w:line="259" w:lineRule="auto"/>
      <w:outlineLvl w:val="0"/>
    </w:pPr>
    <w:rPr>
      <w:rFonts w:asciiTheme="majorHAnsi" w:eastAsiaTheme="majorEastAsia" w:hAnsiTheme="majorHAnsi" w:cstheme="majorBidi"/>
      <w:color w:val="0F4761" w:themeColor="accent1" w:themeShade="BF"/>
      <w:sz w:val="32"/>
      <w:szCs w:val="32"/>
      <w:lang w:val="en-AU" w:eastAsia="en-US"/>
    </w:rPr>
  </w:style>
  <w:style w:type="paragraph" w:styleId="Heading2">
    <w:name w:val="heading 2"/>
    <w:basedOn w:val="Normal"/>
    <w:next w:val="Normal"/>
    <w:link w:val="Heading2Char"/>
    <w:uiPriority w:val="9"/>
    <w:unhideWhenUsed/>
    <w:qFormat/>
    <w:rsid w:val="00E702FB"/>
    <w:pPr>
      <w:keepNext/>
      <w:keepLines/>
      <w:spacing w:before="40" w:after="0" w:line="259" w:lineRule="auto"/>
      <w:outlineLvl w:val="1"/>
    </w:pPr>
    <w:rPr>
      <w:rFonts w:asciiTheme="majorHAnsi" w:eastAsiaTheme="majorEastAsia" w:hAnsiTheme="majorHAnsi" w:cstheme="majorBidi"/>
      <w:color w:val="0F4761" w:themeColor="accent1" w:themeShade="BF"/>
      <w:sz w:val="26"/>
      <w:szCs w:val="2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2FB"/>
  </w:style>
  <w:style w:type="paragraph" w:styleId="Footer">
    <w:name w:val="footer"/>
    <w:basedOn w:val="Normal"/>
    <w:link w:val="FooterChar"/>
    <w:uiPriority w:val="99"/>
    <w:unhideWhenUsed/>
    <w:rsid w:val="00E70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2FB"/>
  </w:style>
  <w:style w:type="character" w:customStyle="1" w:styleId="Heading1Char">
    <w:name w:val="Heading 1 Char"/>
    <w:basedOn w:val="DefaultParagraphFont"/>
    <w:link w:val="Heading1"/>
    <w:uiPriority w:val="9"/>
    <w:rsid w:val="00E702FB"/>
    <w:rPr>
      <w:rFonts w:asciiTheme="majorHAnsi" w:eastAsiaTheme="majorEastAsia" w:hAnsiTheme="majorHAnsi" w:cstheme="majorBidi"/>
      <w:color w:val="0F4761" w:themeColor="accent1" w:themeShade="BF"/>
      <w:sz w:val="32"/>
      <w:szCs w:val="32"/>
      <w:lang w:val="en-AU" w:eastAsia="en-US"/>
    </w:rPr>
  </w:style>
  <w:style w:type="character" w:customStyle="1" w:styleId="Heading2Char">
    <w:name w:val="Heading 2 Char"/>
    <w:basedOn w:val="DefaultParagraphFont"/>
    <w:link w:val="Heading2"/>
    <w:uiPriority w:val="9"/>
    <w:rsid w:val="00E702FB"/>
    <w:rPr>
      <w:rFonts w:asciiTheme="majorHAnsi" w:eastAsiaTheme="majorEastAsia" w:hAnsiTheme="majorHAnsi" w:cstheme="majorBidi"/>
      <w:color w:val="0F4761" w:themeColor="accent1" w:themeShade="BF"/>
      <w:sz w:val="26"/>
      <w:szCs w:val="26"/>
      <w:lang w:val="en-AU" w:eastAsia="en-US"/>
    </w:rPr>
  </w:style>
  <w:style w:type="character" w:customStyle="1" w:styleId="ui-provider">
    <w:name w:val="ui-provider"/>
    <w:basedOn w:val="DefaultParagraphFont"/>
    <w:rsid w:val="00E702FB"/>
  </w:style>
  <w:style w:type="character" w:styleId="CommentReference">
    <w:name w:val="annotation reference"/>
    <w:basedOn w:val="DefaultParagraphFont"/>
    <w:uiPriority w:val="99"/>
    <w:semiHidden/>
    <w:unhideWhenUsed/>
    <w:rsid w:val="00E702FB"/>
    <w:rPr>
      <w:sz w:val="16"/>
      <w:szCs w:val="16"/>
    </w:rPr>
  </w:style>
  <w:style w:type="paragraph" w:styleId="CommentText">
    <w:name w:val="annotation text"/>
    <w:basedOn w:val="Normal"/>
    <w:link w:val="CommentTextChar"/>
    <w:uiPriority w:val="99"/>
    <w:unhideWhenUsed/>
    <w:rsid w:val="00E702FB"/>
    <w:pPr>
      <w:spacing w:line="240" w:lineRule="auto"/>
    </w:pPr>
    <w:rPr>
      <w:rFonts w:eastAsiaTheme="minorHAnsi"/>
      <w:sz w:val="20"/>
      <w:szCs w:val="20"/>
      <w:lang w:val="en-AU" w:eastAsia="en-US"/>
    </w:rPr>
  </w:style>
  <w:style w:type="character" w:customStyle="1" w:styleId="CommentTextChar">
    <w:name w:val="Comment Text Char"/>
    <w:basedOn w:val="DefaultParagraphFont"/>
    <w:link w:val="CommentText"/>
    <w:uiPriority w:val="99"/>
    <w:rsid w:val="00E702FB"/>
    <w:rPr>
      <w:rFonts w:eastAsiaTheme="minorHAnsi"/>
      <w:sz w:val="20"/>
      <w:szCs w:val="20"/>
      <w:lang w:val="en-AU" w:eastAsia="en-US"/>
    </w:rPr>
  </w:style>
  <w:style w:type="paragraph" w:styleId="ListParagraph">
    <w:name w:val="List Paragraph"/>
    <w:basedOn w:val="Normal"/>
    <w:uiPriority w:val="34"/>
    <w:qFormat/>
    <w:rsid w:val="00E702FB"/>
    <w:pPr>
      <w:spacing w:line="259" w:lineRule="auto"/>
      <w:ind w:left="720"/>
      <w:contextualSpacing/>
    </w:pPr>
    <w:rPr>
      <w:rFonts w:eastAsiaTheme="minorHAnsi"/>
      <w:sz w:val="22"/>
      <w:szCs w:val="22"/>
      <w:lang w:val="en-AU" w:eastAsia="en-US"/>
    </w:rPr>
  </w:style>
  <w:style w:type="paragraph" w:styleId="Title">
    <w:name w:val="Title"/>
    <w:basedOn w:val="Normal"/>
    <w:next w:val="Normal"/>
    <w:link w:val="TitleChar"/>
    <w:uiPriority w:val="10"/>
    <w:qFormat/>
    <w:rsid w:val="00E702FB"/>
    <w:pPr>
      <w:spacing w:after="0" w:line="240" w:lineRule="auto"/>
      <w:contextualSpacing/>
    </w:pPr>
    <w:rPr>
      <w:rFonts w:asciiTheme="majorHAnsi" w:eastAsiaTheme="majorEastAsia" w:hAnsiTheme="majorHAnsi" w:cstheme="majorBidi"/>
      <w:spacing w:val="-10"/>
      <w:kern w:val="28"/>
      <w:sz w:val="56"/>
      <w:szCs w:val="56"/>
      <w:lang w:val="en-AU" w:eastAsia="en-US"/>
    </w:rPr>
  </w:style>
  <w:style w:type="character" w:customStyle="1" w:styleId="TitleChar">
    <w:name w:val="Title Char"/>
    <w:basedOn w:val="DefaultParagraphFont"/>
    <w:link w:val="Title"/>
    <w:uiPriority w:val="10"/>
    <w:rsid w:val="00E702FB"/>
    <w:rPr>
      <w:rFonts w:asciiTheme="majorHAnsi" w:eastAsiaTheme="majorEastAsia" w:hAnsiTheme="majorHAnsi" w:cstheme="majorBidi"/>
      <w:spacing w:val="-10"/>
      <w:kern w:val="28"/>
      <w:sz w:val="56"/>
      <w:szCs w:val="56"/>
      <w:lang w:val="en-AU" w:eastAsia="en-US"/>
    </w:rPr>
  </w:style>
  <w:style w:type="paragraph" w:styleId="CommentSubject">
    <w:name w:val="annotation subject"/>
    <w:basedOn w:val="CommentText"/>
    <w:next w:val="CommentText"/>
    <w:link w:val="CommentSubjectChar"/>
    <w:uiPriority w:val="99"/>
    <w:semiHidden/>
    <w:unhideWhenUsed/>
    <w:rsid w:val="00B436F8"/>
    <w:rPr>
      <w:rFonts w:eastAsiaTheme="minorEastAsia"/>
      <w:b/>
      <w:bCs/>
      <w:lang w:val="en-US" w:eastAsia="ja-JP"/>
    </w:rPr>
  </w:style>
  <w:style w:type="character" w:customStyle="1" w:styleId="CommentSubjectChar">
    <w:name w:val="Comment Subject Char"/>
    <w:basedOn w:val="CommentTextChar"/>
    <w:link w:val="CommentSubject"/>
    <w:uiPriority w:val="99"/>
    <w:semiHidden/>
    <w:rsid w:val="00B436F8"/>
    <w:rPr>
      <w:rFonts w:eastAsiaTheme="minorHAnsi"/>
      <w:b/>
      <w:bCs/>
      <w:sz w:val="20"/>
      <w:szCs w:val="20"/>
      <w:lang w:val="en-AU" w:eastAsia="en-US"/>
    </w:rPr>
  </w:style>
  <w:style w:type="paragraph" w:styleId="Revision">
    <w:name w:val="Revision"/>
    <w:hidden/>
    <w:uiPriority w:val="99"/>
    <w:semiHidden/>
    <w:rsid w:val="00C6611B"/>
    <w:pPr>
      <w:spacing w:after="0" w:line="240" w:lineRule="auto"/>
    </w:pPr>
  </w:style>
  <w:style w:type="character" w:styleId="Mention">
    <w:name w:val="Mention"/>
    <w:basedOn w:val="DefaultParagraphFont"/>
    <w:uiPriority w:val="99"/>
    <w:unhideWhenUsed/>
    <w:rsid w:val="00B06E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Expectations: Australian Securities and Investments Commission</dc:title>
  <dc:subject/>
  <dc:creator>Australian Government</dc:creator>
  <cp:keywords/>
  <dc:description/>
  <cp:lastModifiedBy/>
  <cp:revision>1</cp:revision>
  <dcterms:created xsi:type="dcterms:W3CDTF">2026-07-15T06:39:00Z</dcterms:created>
  <dcterms:modified xsi:type="dcterms:W3CDTF">2026-07-15T06:39:00Z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2026-07-15T06:39:39Z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9e4ab389-ecd1-43ba-9621-1eddeaccd2ae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