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1CEA" w14:textId="48DE5517" w:rsidR="00236901" w:rsidRPr="00134B42" w:rsidRDefault="000E1CCB" w:rsidP="00236901">
      <w:pPr>
        <w:spacing w:before="360"/>
        <w:ind w:right="95"/>
        <w:jc w:val="center"/>
      </w:pPr>
      <w:r w:rsidRPr="00147522">
        <w:rPr>
          <w:caps/>
          <w:noProof/>
        </w:rPr>
        <w:drawing>
          <wp:inline distT="0" distB="0" distL="0" distR="0" wp14:anchorId="4A8A63CB" wp14:editId="3A233851">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3558CE5F" w:rsidR="002A31E6" w:rsidRPr="00134B42" w:rsidRDefault="000E1CCB" w:rsidP="002A31E6">
      <w:pPr>
        <w:spacing w:before="360"/>
        <w:jc w:val="center"/>
        <w:rPr>
          <w:rFonts w:ascii="Montserrat Light" w:hAnsi="Montserrat Light"/>
          <w:sz w:val="32"/>
          <w:szCs w:val="32"/>
        </w:rPr>
      </w:pPr>
      <w:r w:rsidRPr="00134B42">
        <w:rPr>
          <w:rFonts w:ascii="Montserrat Light" w:hAnsi="Montserrat Light"/>
          <w:sz w:val="32"/>
          <w:szCs w:val="32"/>
        </w:rPr>
        <w:t xml:space="preserve">Australian Government response to the </w:t>
      </w:r>
      <w:r w:rsidRPr="00134B42">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sidRPr="00134B42">
            <w:rPr>
              <w:rFonts w:ascii="Montserrat Light" w:hAnsi="Montserrat Light"/>
              <w:sz w:val="32"/>
              <w:szCs w:val="32"/>
            </w:rPr>
            <w:t xml:space="preserve">Senate </w:t>
          </w:r>
          <w:r w:rsidR="00036BEF" w:rsidRPr="00134B42">
            <w:rPr>
              <w:rFonts w:ascii="Montserrat Light" w:hAnsi="Montserrat Light"/>
              <w:sz w:val="32"/>
              <w:szCs w:val="32"/>
            </w:rPr>
            <w:t xml:space="preserve">Select </w:t>
          </w:r>
          <w:r w:rsidRPr="00134B42">
            <w:rPr>
              <w:rFonts w:ascii="Montserrat Light" w:hAnsi="Montserrat Light"/>
              <w:sz w:val="32"/>
              <w:szCs w:val="32"/>
            </w:rPr>
            <w:t>Committee</w:t>
          </w:r>
        </w:sdtContent>
      </w:sdt>
      <w:r w:rsidR="00E12215" w:rsidRPr="00134B42">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8172AD" w:rsidRPr="00134B42">
            <w:rPr>
              <w:rStyle w:val="commiChar"/>
            </w:rPr>
            <w:t xml:space="preserve">on </w:t>
          </w:r>
          <w:r w:rsidRPr="00134B42">
            <w:rPr>
              <w:rFonts w:ascii="Montserrat Light" w:hAnsi="Montserrat Light"/>
              <w:sz w:val="32"/>
              <w:szCs w:val="32"/>
            </w:rPr>
            <w:t>Supermarket Prices</w:t>
          </w:r>
        </w:sdtContent>
      </w:sdt>
    </w:p>
    <w:p w14:paraId="06B4A7B1" w14:textId="551CCB73" w:rsidR="002A31E6" w:rsidRPr="00134B42" w:rsidRDefault="00E70444"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0E1CCB" w:rsidRPr="00134B42">
            <w:rPr>
              <w:rFonts w:ascii="Montserrat Light" w:hAnsi="Montserrat Light"/>
              <w:sz w:val="32"/>
              <w:szCs w:val="32"/>
            </w:rPr>
            <w:t xml:space="preserve">Supermarket Prices: Final report </w:t>
          </w:r>
          <w:r w:rsidR="001B1CCA" w:rsidRPr="00134B42">
            <w:rPr>
              <w:rFonts w:ascii="Montserrat Light" w:hAnsi="Montserrat Light"/>
              <w:sz w:val="32"/>
              <w:szCs w:val="32"/>
            </w:rPr>
            <w:t xml:space="preserve">and </w:t>
          </w:r>
          <w:r w:rsidR="000E1CCB" w:rsidRPr="00134B42">
            <w:rPr>
              <w:rFonts w:ascii="Montserrat Light" w:hAnsi="Montserrat Light"/>
              <w:sz w:val="32"/>
              <w:szCs w:val="32"/>
            </w:rPr>
            <w:t>Competition and Consumer Amendment (Divestiture Powers) Bill 2024</w:t>
          </w:r>
        </w:sdtContent>
      </w:sdt>
    </w:p>
    <w:p w14:paraId="26B52DAF" w14:textId="52E31E82" w:rsidR="002A31E6" w:rsidRPr="00134B42" w:rsidRDefault="005955D3" w:rsidP="002A31E6">
      <w:pPr>
        <w:jc w:val="right"/>
        <w:rPr>
          <w:rFonts w:ascii="Montserrat Light" w:hAnsi="Montserrat Light"/>
          <w:caps/>
          <w:sz w:val="28"/>
          <w:szCs w:val="28"/>
        </w:rPr>
      </w:pPr>
      <w:r w:rsidRPr="00170A8E">
        <w:rPr>
          <w:rFonts w:ascii="Montserrat Light" w:hAnsi="Montserrat Light"/>
          <w:sz w:val="28"/>
          <w:szCs w:val="28"/>
        </w:rPr>
        <w:t>Ma</w:t>
      </w:r>
      <w:r w:rsidR="001C3C62" w:rsidRPr="00170A8E">
        <w:rPr>
          <w:rFonts w:ascii="Montserrat Light" w:hAnsi="Montserrat Light"/>
          <w:sz w:val="28"/>
          <w:szCs w:val="28"/>
        </w:rPr>
        <w:t>y</w:t>
      </w:r>
      <w:r w:rsidR="002C04FC" w:rsidRPr="00170A8E">
        <w:rPr>
          <w:rFonts w:ascii="Montserrat Light" w:hAnsi="Montserrat Light"/>
          <w:sz w:val="28"/>
          <w:szCs w:val="28"/>
        </w:rPr>
        <w:t xml:space="preserve"> </w:t>
      </w:r>
      <w:r w:rsidR="00AB1686" w:rsidRPr="00170A8E">
        <w:rPr>
          <w:rFonts w:ascii="Montserrat Light" w:hAnsi="Montserrat Light"/>
          <w:sz w:val="28"/>
          <w:szCs w:val="28"/>
        </w:rPr>
        <w:t>2026</w:t>
      </w:r>
    </w:p>
    <w:p w14:paraId="1455F258" w14:textId="75BF5E93" w:rsidR="00236901" w:rsidRPr="00134B42" w:rsidRDefault="00236901" w:rsidP="002A31E6">
      <w:pPr>
        <w:jc w:val="right"/>
        <w:rPr>
          <w:rFonts w:ascii="Montserrat Light" w:hAnsi="Montserrat Light"/>
          <w:sz w:val="28"/>
          <w:szCs w:val="28"/>
        </w:rPr>
      </w:pPr>
    </w:p>
    <w:p w14:paraId="08DA4624" w14:textId="77777777" w:rsidR="002A31E6" w:rsidRPr="00134B42" w:rsidRDefault="002A31E6" w:rsidP="002A31E6">
      <w:pPr>
        <w:pStyle w:val="NoSpacing"/>
      </w:pPr>
    </w:p>
    <w:p w14:paraId="7564D92C" w14:textId="77777777" w:rsidR="00B47ECF" w:rsidRPr="00134B42" w:rsidRDefault="00B47ECF" w:rsidP="002A31E6">
      <w:pPr>
        <w:pStyle w:val="NoSpacing"/>
        <w:sectPr w:rsidR="00B47ECF" w:rsidRPr="00134B42" w:rsidSect="00B47ECF">
          <w:headerReference w:type="even" r:id="rId8"/>
          <w:headerReference w:type="default" r:id="rId9"/>
          <w:footerReference w:type="even" r:id="rId10"/>
          <w:footerReference w:type="default" r:id="rId11"/>
          <w:footerReference w:type="first" r:id="rId12"/>
          <w:pgSz w:w="11906" w:h="16838" w:code="9"/>
          <w:pgMar w:top="1418" w:right="1418" w:bottom="1418" w:left="1418" w:header="709" w:footer="709" w:gutter="0"/>
          <w:pgNumType w:fmt="lowerRoman" w:start="1"/>
          <w:cols w:space="708"/>
          <w:titlePg/>
          <w:docGrid w:linePitch="360"/>
        </w:sectPr>
      </w:pPr>
    </w:p>
    <w:bookmarkStart w:id="0" w:name="_Toc307237589" w:displacedByCustomXml="next"/>
    <w:bookmarkStart w:id="1" w:name="_Toc256000000" w:displacedByCustomXml="next"/>
    <w:sdt>
      <w:sdtPr>
        <w:rPr>
          <w:szCs w:val="22"/>
        </w:rPr>
        <w:id w:val="785475598"/>
        <w:docPartObj>
          <w:docPartGallery w:val="Table of Contents"/>
          <w:docPartUnique/>
        </w:docPartObj>
      </w:sdtPr>
      <w:sdtEndPr>
        <w:rPr>
          <w:b/>
          <w:bCs/>
        </w:rPr>
      </w:sdtEndPr>
      <w:sdtContent>
        <w:p w14:paraId="729F467A" w14:textId="47C2D859" w:rsidR="00854B01" w:rsidRPr="00134B42" w:rsidRDefault="00854B01" w:rsidP="00854B01">
          <w:pPr>
            <w:spacing w:before="0"/>
          </w:pPr>
          <w:r w:rsidRPr="00134B42">
            <w:t>© Commonwealth of Australia 202</w:t>
          </w:r>
          <w:r w:rsidR="00A12881">
            <w:t>6</w:t>
          </w:r>
        </w:p>
        <w:p w14:paraId="635FA0DE" w14:textId="77777777" w:rsidR="00854B01" w:rsidRPr="00134B42" w:rsidRDefault="00854B01" w:rsidP="00854B01">
          <w:pPr>
            <w:tabs>
              <w:tab w:val="left" w:pos="1650"/>
            </w:tabs>
            <w:rPr>
              <w:rFonts w:cstheme="minorBidi"/>
              <w:sz w:val="24"/>
              <w:szCs w:val="24"/>
            </w:rPr>
          </w:pPr>
          <w:r w:rsidRPr="00134B42">
            <w:t>This publication is available for your use under a</w:t>
          </w:r>
          <w:r w:rsidRPr="00134B42">
            <w:rPr>
              <w:rFonts w:cstheme="minorHAnsi"/>
              <w:sz w:val="24"/>
              <w:szCs w:val="24"/>
            </w:rPr>
            <w:t xml:space="preserve"> </w:t>
          </w:r>
          <w:hyperlink r:id="rId13" w:history="1">
            <w:r w:rsidRPr="00134B42">
              <w:rPr>
                <w:rStyle w:val="Hyperlink"/>
              </w:rPr>
              <w:t>Creative Commons Attribution 4.0 International</w:t>
            </w:r>
          </w:hyperlink>
          <w:r w:rsidRPr="00134B42">
            <w:rPr>
              <w:rFonts w:cstheme="minorHAnsi"/>
              <w:sz w:val="24"/>
              <w:szCs w:val="24"/>
            </w:rPr>
            <w:t xml:space="preserve"> </w:t>
          </w:r>
          <w:r w:rsidRPr="00134B42">
            <w:t>licence, with the exception of the Commonwealth Coat of Arms, the Treasury logo, photographs, images, signatures and where otherwise stated]. The full licence terms are available from</w:t>
          </w:r>
          <w:r w:rsidRPr="00134B42">
            <w:rPr>
              <w:rFonts w:cstheme="minorHAnsi"/>
              <w:sz w:val="24"/>
              <w:szCs w:val="24"/>
            </w:rPr>
            <w:t xml:space="preserve"> </w:t>
          </w:r>
          <w:r w:rsidRPr="00134B42">
            <w:rPr>
              <w:rStyle w:val="Hyperlink"/>
            </w:rPr>
            <w:t>http://creativecommons.org/licenses/by/4.0/legalcode.</w:t>
          </w:r>
          <w:r w:rsidRPr="00134B42">
            <w:rPr>
              <w:sz w:val="24"/>
              <w:szCs w:val="24"/>
            </w:rPr>
            <w:t xml:space="preserve"> </w:t>
          </w:r>
        </w:p>
        <w:p w14:paraId="66AB49E0" w14:textId="77777777" w:rsidR="00854B01" w:rsidRPr="00134B42" w:rsidRDefault="00854B01" w:rsidP="00854B01">
          <w:pPr>
            <w:pStyle w:val="ChartGraphic"/>
            <w:jc w:val="left"/>
          </w:pPr>
          <w:r w:rsidRPr="00147522">
            <w:rPr>
              <w:noProof/>
            </w:rPr>
            <w:drawing>
              <wp:inline distT="0" distB="0" distL="0" distR="0" wp14:anchorId="7A95B846" wp14:editId="5CCB606C">
                <wp:extent cx="809625" cy="285750"/>
                <wp:effectExtent l="0" t="0" r="9525" b="0"/>
                <wp:docPr id="4" name="Picture 4"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43DFF6C" w14:textId="77777777" w:rsidR="00854B01" w:rsidRPr="00134B42" w:rsidRDefault="00854B01" w:rsidP="00854B01">
          <w:pPr>
            <w:tabs>
              <w:tab w:val="left" w:pos="1650"/>
            </w:tabs>
          </w:pPr>
          <w:r w:rsidRPr="00134B42">
            <w:t>Use of Treasury material under a</w:t>
          </w:r>
          <w:r w:rsidRPr="00134B42">
            <w:rPr>
              <w:rFonts w:cstheme="minorHAnsi"/>
              <w:sz w:val="24"/>
              <w:szCs w:val="24"/>
            </w:rPr>
            <w:t xml:space="preserve"> </w:t>
          </w:r>
          <w:hyperlink r:id="rId15" w:history="1">
            <w:r w:rsidRPr="00134B42">
              <w:rPr>
                <w:rStyle w:val="Hyperlink"/>
              </w:rPr>
              <w:t>Creative Commons Attribution 4.0 International</w:t>
            </w:r>
          </w:hyperlink>
          <w:r w:rsidRPr="00134B42">
            <w:t xml:space="preserve"> licence requires you to attribute the work (but not in any way that suggests that the Treasury endorses you or your use of the work).</w:t>
          </w:r>
        </w:p>
        <w:p w14:paraId="697CC566" w14:textId="77777777" w:rsidR="00854B01" w:rsidRPr="00134B42" w:rsidRDefault="00854B01" w:rsidP="00854B01">
          <w:pPr>
            <w:rPr>
              <w:b/>
            </w:rPr>
          </w:pPr>
          <w:r w:rsidRPr="00134B42">
            <w:rPr>
              <w:b/>
            </w:rPr>
            <w:t>Treasury material used ‘as supplied’</w:t>
          </w:r>
        </w:p>
        <w:p w14:paraId="72ADBADC" w14:textId="77777777" w:rsidR="00854B01" w:rsidRPr="00134B42" w:rsidRDefault="00854B01" w:rsidP="00854B01">
          <w:r w:rsidRPr="00134B42">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0DE67DD7" w14:textId="2EC71103" w:rsidR="00854B01" w:rsidRPr="00134B42" w:rsidRDefault="00854B01" w:rsidP="00854B01">
          <w:pPr>
            <w:ind w:firstLine="720"/>
          </w:pPr>
          <w:r w:rsidRPr="00134B42">
            <w:rPr>
              <w:i/>
            </w:rPr>
            <w:t xml:space="preserve">Source: The </w:t>
          </w:r>
          <w:r w:rsidRPr="00134B42">
            <w:rPr>
              <w:i/>
              <w:iCs/>
            </w:rPr>
            <w:t xml:space="preserve">Australian Government the Treasury </w:t>
          </w:r>
        </w:p>
        <w:p w14:paraId="5E765494" w14:textId="77777777" w:rsidR="00854B01" w:rsidRPr="00134B42" w:rsidRDefault="00854B01" w:rsidP="00854B01">
          <w:r w:rsidRPr="00134B42">
            <w:rPr>
              <w:b/>
            </w:rPr>
            <w:t>Derivative</w:t>
          </w:r>
          <w:r w:rsidRPr="00134B42">
            <w:t xml:space="preserve"> </w:t>
          </w:r>
          <w:r w:rsidRPr="00134B42">
            <w:rPr>
              <w:b/>
            </w:rPr>
            <w:t>material</w:t>
          </w:r>
        </w:p>
        <w:p w14:paraId="7C97A9CC" w14:textId="77777777" w:rsidR="00854B01" w:rsidRPr="00134B42" w:rsidRDefault="00854B01" w:rsidP="00854B01">
          <w:r w:rsidRPr="00134B42">
            <w:t xml:space="preserve">If you have modified or transformed Treasury material, or derived new material from those of the Treasury in any way, then Treasury prefers the following attribution: </w:t>
          </w:r>
        </w:p>
        <w:p w14:paraId="6159F6DC" w14:textId="77777777" w:rsidR="00854B01" w:rsidRPr="00134B42" w:rsidRDefault="00854B01" w:rsidP="00854B01">
          <w:pPr>
            <w:ind w:firstLine="720"/>
          </w:pPr>
          <w:r w:rsidRPr="00134B42">
            <w:rPr>
              <w:i/>
            </w:rPr>
            <w:t>Based on The Australian Government the Treasury data</w:t>
          </w:r>
          <w:r w:rsidRPr="00134B42">
            <w:t xml:space="preserve"> </w:t>
          </w:r>
        </w:p>
        <w:p w14:paraId="53604A96" w14:textId="77777777" w:rsidR="00854B01" w:rsidRPr="00134B42" w:rsidRDefault="00854B01" w:rsidP="00854B01">
          <w:pPr>
            <w:rPr>
              <w:b/>
            </w:rPr>
          </w:pPr>
          <w:r w:rsidRPr="00134B42">
            <w:rPr>
              <w:b/>
            </w:rPr>
            <w:t>Use of the Coat of Arms</w:t>
          </w:r>
        </w:p>
        <w:p w14:paraId="301A2F37" w14:textId="77777777" w:rsidR="00854B01" w:rsidRPr="00134B42" w:rsidRDefault="00854B01" w:rsidP="00854B01">
          <w:r w:rsidRPr="00134B42">
            <w:t xml:space="preserve">The terms under which the Coat of Arms can be used are set out on the Department of the Prime Minister and Cabinet website (see </w:t>
          </w:r>
          <w:hyperlink r:id="rId16" w:history="1">
            <w:r w:rsidRPr="00134B42">
              <w:rPr>
                <w:rStyle w:val="Hyperlink"/>
              </w:rPr>
              <w:t>https://www.pmc.gov.au/honours-and-symbols/commonwealth-coat-arms</w:t>
            </w:r>
          </w:hyperlink>
          <w:r w:rsidRPr="00134B42">
            <w:t>).</w:t>
          </w:r>
        </w:p>
        <w:p w14:paraId="779218D5" w14:textId="77777777" w:rsidR="00854B01" w:rsidRPr="00134B42" w:rsidRDefault="00854B01" w:rsidP="00854B01">
          <w:pPr>
            <w:rPr>
              <w:b/>
            </w:rPr>
          </w:pPr>
          <w:r w:rsidRPr="00134B42">
            <w:rPr>
              <w:b/>
            </w:rPr>
            <w:t>Other uses</w:t>
          </w:r>
        </w:p>
        <w:p w14:paraId="3ACFAB00" w14:textId="77777777" w:rsidR="00854B01" w:rsidRPr="00134B42" w:rsidRDefault="00854B01" w:rsidP="00854B01">
          <w:r w:rsidRPr="00134B42">
            <w:t>Enquiries regarding this licence and any other use of this document are welcome at:</w:t>
          </w:r>
        </w:p>
        <w:p w14:paraId="4BDFF026" w14:textId="77777777" w:rsidR="00854B01" w:rsidRPr="00134B42" w:rsidRDefault="00854B01" w:rsidP="00854B01">
          <w:pPr>
            <w:ind w:left="720"/>
            <w:rPr>
              <w:rStyle w:val="Hyperlink"/>
            </w:rPr>
          </w:pPr>
          <w:r w:rsidRPr="00134B42">
            <w:t>Manager</w:t>
          </w:r>
          <w:r w:rsidRPr="00134B42">
            <w:br/>
            <w:t>Media Unit</w:t>
          </w:r>
          <w:r w:rsidRPr="00134B42">
            <w:br/>
            <w:t>The Treasury</w:t>
          </w:r>
          <w:r w:rsidRPr="00134B42">
            <w:br/>
            <w:t xml:space="preserve">Langton Crescent </w:t>
          </w:r>
          <w:r w:rsidRPr="00134B42">
            <w:br/>
            <w:t>Parkes  ACT  2600</w:t>
          </w:r>
          <w:r w:rsidRPr="00134B42">
            <w:br/>
            <w:t xml:space="preserve">Email: </w:t>
          </w:r>
          <w:hyperlink r:id="rId17" w:history="1">
            <w:r w:rsidRPr="00134B42">
              <w:rPr>
                <w:rStyle w:val="Hyperlink"/>
              </w:rPr>
              <w:t>media@treasury.gov.au</w:t>
            </w:r>
          </w:hyperlink>
        </w:p>
        <w:p w14:paraId="690CB0C7" w14:textId="77777777" w:rsidR="00854B01" w:rsidRPr="00134B42" w:rsidRDefault="00854B01" w:rsidP="00854B01">
          <w:pPr>
            <w:rPr>
              <w:color w:val="3A6FAF"/>
            </w:rPr>
          </w:pPr>
          <w:r w:rsidRPr="00134B42">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09DCDC8D" w14:textId="26E6AD5E" w:rsidR="00854B01" w:rsidRPr="00134B42" w:rsidRDefault="00854B01" w:rsidP="00C0308B">
          <w:pPr>
            <w:pStyle w:val="Heading1"/>
            <w:spacing w:after="240"/>
            <w:rPr>
              <w:rFonts w:asciiTheme="majorHAnsi" w:hAnsiTheme="majorHAnsi"/>
              <w:color w:val="000000" w:themeColor="text1"/>
              <w:sz w:val="56"/>
            </w:rPr>
          </w:pPr>
        </w:p>
        <w:p w14:paraId="6D5C7D95" w14:textId="77777777" w:rsidR="00854B01" w:rsidRPr="00134B42" w:rsidRDefault="00854B01">
          <w:pPr>
            <w:spacing w:before="0" w:after="160" w:line="259" w:lineRule="auto"/>
            <w:rPr>
              <w:rFonts w:asciiTheme="majorHAnsi" w:hAnsiTheme="majorHAnsi" w:cs="Arial"/>
              <w:b/>
              <w:color w:val="000000" w:themeColor="text1"/>
              <w:kern w:val="32"/>
              <w:sz w:val="56"/>
              <w:szCs w:val="36"/>
            </w:rPr>
          </w:pPr>
          <w:r w:rsidRPr="00134B42">
            <w:rPr>
              <w:rFonts w:asciiTheme="majorHAnsi" w:hAnsiTheme="majorHAnsi"/>
              <w:color w:val="000000" w:themeColor="text1"/>
              <w:sz w:val="56"/>
            </w:rPr>
            <w:br w:type="page"/>
          </w:r>
        </w:p>
        <w:p w14:paraId="7BD03416" w14:textId="7C18AFF6" w:rsidR="00FA2834" w:rsidRPr="00134B42" w:rsidRDefault="00854B01" w:rsidP="00842606">
          <w:pPr>
            <w:pStyle w:val="Heading1"/>
            <w:spacing w:after="240"/>
            <w:rPr>
              <w:sz w:val="22"/>
              <w:szCs w:val="22"/>
            </w:rPr>
          </w:pPr>
          <w:bookmarkStart w:id="2" w:name="_Toc219186710"/>
          <w:r w:rsidRPr="00134B42">
            <w:rPr>
              <w:rFonts w:asciiTheme="majorHAnsi" w:hAnsiTheme="majorHAnsi"/>
              <w:color w:val="000000" w:themeColor="text1"/>
              <w:sz w:val="56"/>
            </w:rPr>
            <w:lastRenderedPageBreak/>
            <w:t>Co</w:t>
          </w:r>
          <w:r w:rsidR="00FA2834" w:rsidRPr="00134B42">
            <w:rPr>
              <w:rFonts w:asciiTheme="majorHAnsi" w:hAnsiTheme="majorHAnsi"/>
              <w:color w:val="000000" w:themeColor="text1"/>
              <w:sz w:val="56"/>
            </w:rPr>
            <w:t>ntents</w:t>
          </w:r>
          <w:bookmarkEnd w:id="2"/>
        </w:p>
        <w:p w14:paraId="6ED793CE" w14:textId="6E2F7672" w:rsidR="0083071B" w:rsidRDefault="00FA2834">
          <w:pPr>
            <w:pStyle w:val="TOC1"/>
            <w:rPr>
              <w:rFonts w:asciiTheme="minorHAnsi" w:eastAsiaTheme="minorEastAsia" w:hAnsiTheme="minorHAnsi" w:cstheme="minorBidi"/>
              <w:b w:val="0"/>
              <w:color w:val="auto"/>
              <w:kern w:val="2"/>
              <w:sz w:val="24"/>
              <w:szCs w:val="24"/>
              <w14:ligatures w14:val="standardContextual"/>
            </w:rPr>
          </w:pPr>
          <w:r w:rsidRPr="00AE7721">
            <w:rPr>
              <w:noProof w:val="0"/>
            </w:rPr>
            <w:fldChar w:fldCharType="begin"/>
          </w:r>
          <w:r w:rsidRPr="00AE7721">
            <w:rPr>
              <w:noProof w:val="0"/>
            </w:rPr>
            <w:instrText xml:space="preserve"> TOC \o "1-3" \h \z \u </w:instrText>
          </w:r>
          <w:r w:rsidRPr="00AE7721">
            <w:rPr>
              <w:noProof w:val="0"/>
            </w:rPr>
            <w:fldChar w:fldCharType="separate"/>
          </w:r>
          <w:hyperlink w:anchor="_Toc219186710" w:history="1">
            <w:r w:rsidR="0083071B" w:rsidRPr="009B5A1D">
              <w:rPr>
                <w:rStyle w:val="Hyperlink"/>
                <w:rFonts w:asciiTheme="majorHAnsi" w:hAnsiTheme="majorHAnsi"/>
              </w:rPr>
              <w:t>Contents</w:t>
            </w:r>
            <w:r w:rsidR="0083071B">
              <w:rPr>
                <w:webHidden/>
              </w:rPr>
              <w:tab/>
            </w:r>
            <w:r w:rsidR="0083071B">
              <w:rPr>
                <w:webHidden/>
              </w:rPr>
              <w:fldChar w:fldCharType="begin"/>
            </w:r>
            <w:r w:rsidR="0083071B">
              <w:rPr>
                <w:webHidden/>
              </w:rPr>
              <w:instrText xml:space="preserve"> PAGEREF _Toc219186710 \h </w:instrText>
            </w:r>
            <w:r w:rsidR="0083071B">
              <w:rPr>
                <w:webHidden/>
              </w:rPr>
            </w:r>
            <w:r w:rsidR="0083071B">
              <w:rPr>
                <w:webHidden/>
              </w:rPr>
              <w:fldChar w:fldCharType="separate"/>
            </w:r>
            <w:r w:rsidR="00BA1E2F">
              <w:rPr>
                <w:webHidden/>
              </w:rPr>
              <w:t>2</w:t>
            </w:r>
            <w:r w:rsidR="0083071B">
              <w:rPr>
                <w:webHidden/>
              </w:rPr>
              <w:fldChar w:fldCharType="end"/>
            </w:r>
          </w:hyperlink>
        </w:p>
        <w:p w14:paraId="5F4E2764" w14:textId="23A865EF" w:rsidR="0083071B" w:rsidRDefault="0083071B">
          <w:pPr>
            <w:pStyle w:val="TOC1"/>
            <w:rPr>
              <w:rFonts w:asciiTheme="minorHAnsi" w:eastAsiaTheme="minorEastAsia" w:hAnsiTheme="minorHAnsi" w:cstheme="minorBidi"/>
              <w:b w:val="0"/>
              <w:color w:val="auto"/>
              <w:kern w:val="2"/>
              <w:sz w:val="24"/>
              <w:szCs w:val="24"/>
              <w14:ligatures w14:val="standardContextual"/>
            </w:rPr>
          </w:pPr>
          <w:hyperlink w:anchor="_Toc219186711" w:history="1">
            <w:r w:rsidRPr="009B5A1D">
              <w:rPr>
                <w:rStyle w:val="Hyperlink"/>
              </w:rPr>
              <w:t>Introduction</w:t>
            </w:r>
            <w:r>
              <w:rPr>
                <w:webHidden/>
              </w:rPr>
              <w:tab/>
            </w:r>
            <w:r>
              <w:rPr>
                <w:webHidden/>
              </w:rPr>
              <w:fldChar w:fldCharType="begin"/>
            </w:r>
            <w:r>
              <w:rPr>
                <w:webHidden/>
              </w:rPr>
              <w:instrText xml:space="preserve"> PAGEREF _Toc219186711 \h </w:instrText>
            </w:r>
            <w:r>
              <w:rPr>
                <w:webHidden/>
              </w:rPr>
            </w:r>
            <w:r>
              <w:rPr>
                <w:webHidden/>
              </w:rPr>
              <w:fldChar w:fldCharType="separate"/>
            </w:r>
            <w:r w:rsidR="00BA1E2F">
              <w:rPr>
                <w:webHidden/>
              </w:rPr>
              <w:t>3</w:t>
            </w:r>
            <w:r>
              <w:rPr>
                <w:webHidden/>
              </w:rPr>
              <w:fldChar w:fldCharType="end"/>
            </w:r>
          </w:hyperlink>
        </w:p>
        <w:p w14:paraId="544A1459" w14:textId="5E77215B" w:rsidR="0083071B" w:rsidRDefault="0083071B">
          <w:pPr>
            <w:pStyle w:val="TOC1"/>
            <w:rPr>
              <w:rFonts w:asciiTheme="minorHAnsi" w:eastAsiaTheme="minorEastAsia" w:hAnsiTheme="minorHAnsi" w:cstheme="minorBidi"/>
              <w:b w:val="0"/>
              <w:color w:val="auto"/>
              <w:kern w:val="2"/>
              <w:sz w:val="24"/>
              <w:szCs w:val="24"/>
              <w14:ligatures w14:val="standardContextual"/>
            </w:rPr>
          </w:pPr>
          <w:hyperlink w:anchor="_Toc219186712" w:history="1">
            <w:r w:rsidRPr="009B5A1D">
              <w:rPr>
                <w:rStyle w:val="Hyperlink"/>
              </w:rPr>
              <w:t>Response to the recommendations</w:t>
            </w:r>
            <w:r>
              <w:rPr>
                <w:webHidden/>
              </w:rPr>
              <w:tab/>
            </w:r>
            <w:r>
              <w:rPr>
                <w:webHidden/>
              </w:rPr>
              <w:fldChar w:fldCharType="begin"/>
            </w:r>
            <w:r>
              <w:rPr>
                <w:webHidden/>
              </w:rPr>
              <w:instrText xml:space="preserve"> PAGEREF _Toc219186712 \h </w:instrText>
            </w:r>
            <w:r>
              <w:rPr>
                <w:webHidden/>
              </w:rPr>
            </w:r>
            <w:r>
              <w:rPr>
                <w:webHidden/>
              </w:rPr>
              <w:fldChar w:fldCharType="separate"/>
            </w:r>
            <w:r w:rsidR="00BA1E2F">
              <w:rPr>
                <w:webHidden/>
              </w:rPr>
              <w:t>5</w:t>
            </w:r>
            <w:r>
              <w:rPr>
                <w:webHidden/>
              </w:rPr>
              <w:fldChar w:fldCharType="end"/>
            </w:r>
          </w:hyperlink>
        </w:p>
        <w:p w14:paraId="38FB7F30" w14:textId="21F688E4" w:rsidR="0083071B" w:rsidRDefault="0083071B">
          <w:pPr>
            <w:pStyle w:val="TOC2"/>
            <w:rPr>
              <w:rFonts w:asciiTheme="minorHAnsi" w:eastAsiaTheme="minorEastAsia" w:hAnsiTheme="minorHAnsi" w:cstheme="minorBidi"/>
              <w:color w:val="auto"/>
              <w:kern w:val="2"/>
              <w:sz w:val="24"/>
              <w:szCs w:val="24"/>
              <w14:ligatures w14:val="standardContextual"/>
            </w:rPr>
          </w:pPr>
          <w:hyperlink w:anchor="_Toc219186713" w:history="1">
            <w:r w:rsidRPr="009B5A1D">
              <w:rPr>
                <w:rStyle w:val="Hyperlink"/>
              </w:rPr>
              <w:t>Committee report</w:t>
            </w:r>
            <w:r>
              <w:rPr>
                <w:webHidden/>
              </w:rPr>
              <w:tab/>
            </w:r>
            <w:r>
              <w:rPr>
                <w:webHidden/>
              </w:rPr>
              <w:fldChar w:fldCharType="begin"/>
            </w:r>
            <w:r>
              <w:rPr>
                <w:webHidden/>
              </w:rPr>
              <w:instrText xml:space="preserve"> PAGEREF _Toc219186713 \h </w:instrText>
            </w:r>
            <w:r>
              <w:rPr>
                <w:webHidden/>
              </w:rPr>
            </w:r>
            <w:r>
              <w:rPr>
                <w:webHidden/>
              </w:rPr>
              <w:fldChar w:fldCharType="separate"/>
            </w:r>
            <w:r w:rsidR="00BA1E2F">
              <w:rPr>
                <w:webHidden/>
              </w:rPr>
              <w:t>5</w:t>
            </w:r>
            <w:r>
              <w:rPr>
                <w:webHidden/>
              </w:rPr>
              <w:fldChar w:fldCharType="end"/>
            </w:r>
          </w:hyperlink>
        </w:p>
        <w:p w14:paraId="234B1AA6" w14:textId="168FFE8D" w:rsidR="0083071B" w:rsidRDefault="0083071B">
          <w:pPr>
            <w:pStyle w:val="TOC2"/>
            <w:rPr>
              <w:rFonts w:asciiTheme="minorHAnsi" w:eastAsiaTheme="minorEastAsia" w:hAnsiTheme="minorHAnsi" w:cstheme="minorBidi"/>
              <w:color w:val="auto"/>
              <w:kern w:val="2"/>
              <w:sz w:val="24"/>
              <w:szCs w:val="24"/>
              <w14:ligatures w14:val="standardContextual"/>
            </w:rPr>
          </w:pPr>
          <w:hyperlink w:anchor="_Toc219186714" w:history="1">
            <w:r w:rsidRPr="009B5A1D">
              <w:rPr>
                <w:rStyle w:val="Hyperlink"/>
              </w:rPr>
              <w:t>Additional Comments from Senator Tammy Tyrrell</w:t>
            </w:r>
            <w:r>
              <w:rPr>
                <w:webHidden/>
              </w:rPr>
              <w:tab/>
            </w:r>
            <w:r>
              <w:rPr>
                <w:webHidden/>
              </w:rPr>
              <w:fldChar w:fldCharType="begin"/>
            </w:r>
            <w:r>
              <w:rPr>
                <w:webHidden/>
              </w:rPr>
              <w:instrText xml:space="preserve"> PAGEREF _Toc219186714 \h </w:instrText>
            </w:r>
            <w:r>
              <w:rPr>
                <w:webHidden/>
              </w:rPr>
            </w:r>
            <w:r>
              <w:rPr>
                <w:webHidden/>
              </w:rPr>
              <w:fldChar w:fldCharType="separate"/>
            </w:r>
            <w:r w:rsidR="00BA1E2F">
              <w:rPr>
                <w:webHidden/>
              </w:rPr>
              <w:t>18</w:t>
            </w:r>
            <w:r>
              <w:rPr>
                <w:webHidden/>
              </w:rPr>
              <w:fldChar w:fldCharType="end"/>
            </w:r>
          </w:hyperlink>
        </w:p>
        <w:p w14:paraId="134A0D5A" w14:textId="0649D680" w:rsidR="0083071B" w:rsidRDefault="0083071B">
          <w:pPr>
            <w:pStyle w:val="TOC2"/>
            <w:rPr>
              <w:rFonts w:asciiTheme="minorHAnsi" w:eastAsiaTheme="minorEastAsia" w:hAnsiTheme="minorHAnsi" w:cstheme="minorBidi"/>
              <w:color w:val="auto"/>
              <w:kern w:val="2"/>
              <w:sz w:val="24"/>
              <w:szCs w:val="24"/>
              <w14:ligatures w14:val="standardContextual"/>
            </w:rPr>
          </w:pPr>
          <w:hyperlink w:anchor="_Toc219186715" w:history="1">
            <w:r w:rsidRPr="009B5A1D">
              <w:rPr>
                <w:rStyle w:val="Hyperlink"/>
              </w:rPr>
              <w:t>Coalition senators’ dissenting report</w:t>
            </w:r>
            <w:r>
              <w:rPr>
                <w:webHidden/>
              </w:rPr>
              <w:tab/>
            </w:r>
            <w:r>
              <w:rPr>
                <w:webHidden/>
              </w:rPr>
              <w:fldChar w:fldCharType="begin"/>
            </w:r>
            <w:r>
              <w:rPr>
                <w:webHidden/>
              </w:rPr>
              <w:instrText xml:space="preserve"> PAGEREF _Toc219186715 \h </w:instrText>
            </w:r>
            <w:r>
              <w:rPr>
                <w:webHidden/>
              </w:rPr>
            </w:r>
            <w:r>
              <w:rPr>
                <w:webHidden/>
              </w:rPr>
              <w:fldChar w:fldCharType="separate"/>
            </w:r>
            <w:r w:rsidR="00BA1E2F">
              <w:rPr>
                <w:webHidden/>
              </w:rPr>
              <w:t>19</w:t>
            </w:r>
            <w:r>
              <w:rPr>
                <w:webHidden/>
              </w:rPr>
              <w:fldChar w:fldCharType="end"/>
            </w:r>
          </w:hyperlink>
        </w:p>
        <w:p w14:paraId="54F94A50" w14:textId="1AEEEE45" w:rsidR="00FA2834" w:rsidRPr="00134B42" w:rsidRDefault="00FA2834" w:rsidP="001C4C60">
          <w:pPr>
            <w:rPr>
              <w:rFonts w:ascii="Calibri" w:hAnsi="Calibri" w:cs="Arial"/>
              <w:b/>
              <w:color w:val="5D779D" w:themeColor="accent3"/>
              <w:kern w:val="32"/>
              <w:sz w:val="24"/>
              <w:szCs w:val="24"/>
            </w:rPr>
          </w:pPr>
          <w:r w:rsidRPr="00AE7721">
            <w:rPr>
              <w:b/>
              <w:bCs/>
              <w:szCs w:val="22"/>
            </w:rPr>
            <w:fldChar w:fldCharType="end"/>
          </w:r>
        </w:p>
      </w:sdtContent>
    </w:sdt>
    <w:p w14:paraId="009DAE52" w14:textId="77777777" w:rsidR="00FA2834" w:rsidRPr="00134B42" w:rsidRDefault="00FA2834">
      <w:pPr>
        <w:spacing w:before="0" w:after="160" w:line="259" w:lineRule="auto"/>
        <w:rPr>
          <w:rFonts w:ascii="Calibri" w:hAnsi="Calibri" w:cs="Arial"/>
          <w:b/>
          <w:color w:val="5D779D" w:themeColor="accent3"/>
          <w:kern w:val="32"/>
          <w:sz w:val="44"/>
          <w:szCs w:val="36"/>
        </w:rPr>
      </w:pPr>
      <w:r w:rsidRPr="00134B42">
        <w:br w:type="page"/>
      </w:r>
    </w:p>
    <w:p w14:paraId="5DB8DF3D" w14:textId="0D7FB235" w:rsidR="00AF57EC" w:rsidRPr="00134B42" w:rsidRDefault="00A14B5F" w:rsidP="00F52DF0">
      <w:pPr>
        <w:pStyle w:val="Heading1"/>
      </w:pPr>
      <w:bookmarkStart w:id="3" w:name="_Toc219186711"/>
      <w:r w:rsidRPr="00134B42">
        <w:lastRenderedPageBreak/>
        <w:t>Introduction</w:t>
      </w:r>
      <w:bookmarkEnd w:id="3"/>
      <w:r w:rsidRPr="00134B42">
        <w:t xml:space="preserve"> </w:t>
      </w:r>
    </w:p>
    <w:p w14:paraId="0E7B56AD" w14:textId="75EB0A31" w:rsidR="00DD4C31" w:rsidRDefault="003B7C08" w:rsidP="00DA5319">
      <w:pPr>
        <w:rPr>
          <w:rFonts w:asciiTheme="majorHAnsi" w:hAnsiTheme="majorHAnsi" w:cstheme="majorHAnsi"/>
          <w:color w:val="222222"/>
          <w:szCs w:val="22"/>
        </w:rPr>
      </w:pPr>
      <w:r>
        <w:rPr>
          <w:rFonts w:asciiTheme="majorHAnsi" w:hAnsiTheme="majorHAnsi" w:cstheme="majorHAnsi"/>
          <w:color w:val="222222"/>
          <w:szCs w:val="22"/>
        </w:rPr>
        <w:t xml:space="preserve">The Government </w:t>
      </w:r>
      <w:r w:rsidR="004E2F06">
        <w:rPr>
          <w:rFonts w:asciiTheme="majorHAnsi" w:hAnsiTheme="majorHAnsi" w:cstheme="majorHAnsi"/>
          <w:color w:val="222222"/>
          <w:szCs w:val="22"/>
        </w:rPr>
        <w:t xml:space="preserve">acknowledges the work of </w:t>
      </w:r>
      <w:r w:rsidR="005310E5">
        <w:rPr>
          <w:rFonts w:asciiTheme="majorHAnsi" w:hAnsiTheme="majorHAnsi" w:cstheme="majorHAnsi"/>
          <w:color w:val="222222"/>
          <w:szCs w:val="22"/>
        </w:rPr>
        <w:t xml:space="preserve">the </w:t>
      </w:r>
      <w:r w:rsidR="005310E5" w:rsidRPr="004E2F06">
        <w:rPr>
          <w:rFonts w:asciiTheme="majorHAnsi" w:hAnsiTheme="majorHAnsi" w:cstheme="majorHAnsi"/>
          <w:color w:val="222222"/>
          <w:szCs w:val="22"/>
        </w:rPr>
        <w:t>Select Committee on Supermarket Prices</w:t>
      </w:r>
      <w:r w:rsidR="005310E5">
        <w:rPr>
          <w:rFonts w:asciiTheme="majorHAnsi" w:hAnsiTheme="majorHAnsi" w:cstheme="majorHAnsi"/>
          <w:color w:val="222222"/>
          <w:szCs w:val="22"/>
        </w:rPr>
        <w:t xml:space="preserve"> </w:t>
      </w:r>
      <w:r w:rsidR="004E2F06">
        <w:rPr>
          <w:rFonts w:asciiTheme="majorHAnsi" w:hAnsiTheme="majorHAnsi" w:cstheme="majorHAnsi"/>
          <w:color w:val="222222"/>
          <w:szCs w:val="22"/>
        </w:rPr>
        <w:t>and welcomes the opportunity to respond to its report.</w:t>
      </w:r>
    </w:p>
    <w:p w14:paraId="7B6B11AB" w14:textId="620BA6BA" w:rsidR="00B84893" w:rsidRDefault="001E7562" w:rsidP="00DA5319">
      <w:pPr>
        <w:rPr>
          <w:rFonts w:asciiTheme="majorHAnsi" w:hAnsiTheme="majorHAnsi" w:cstheme="majorHAnsi"/>
          <w:color w:val="222222"/>
          <w:szCs w:val="22"/>
        </w:rPr>
      </w:pPr>
      <w:r>
        <w:rPr>
          <w:rFonts w:asciiTheme="majorHAnsi" w:hAnsiTheme="majorHAnsi" w:cstheme="majorHAnsi"/>
          <w:color w:val="222222"/>
          <w:szCs w:val="22"/>
        </w:rPr>
        <w:t>T</w:t>
      </w:r>
      <w:r w:rsidR="00B84893" w:rsidRPr="00B84893">
        <w:rPr>
          <w:rFonts w:asciiTheme="majorHAnsi" w:hAnsiTheme="majorHAnsi" w:cstheme="majorHAnsi"/>
          <w:color w:val="222222"/>
          <w:szCs w:val="22"/>
        </w:rPr>
        <w:t xml:space="preserve">he Government has introduced a range of </w:t>
      </w:r>
      <w:r w:rsidR="00B125DF">
        <w:rPr>
          <w:rFonts w:asciiTheme="majorHAnsi" w:hAnsiTheme="majorHAnsi" w:cstheme="majorHAnsi"/>
          <w:color w:val="222222"/>
          <w:szCs w:val="22"/>
        </w:rPr>
        <w:t>measures</w:t>
      </w:r>
      <w:r w:rsidR="00B84893" w:rsidRPr="00B84893">
        <w:rPr>
          <w:rFonts w:asciiTheme="majorHAnsi" w:hAnsiTheme="majorHAnsi" w:cstheme="majorHAnsi"/>
          <w:color w:val="222222"/>
          <w:szCs w:val="22"/>
        </w:rPr>
        <w:t xml:space="preserve"> to ensure that the right regulatory settings are in place to foster a competitive and sustainable supermarket sector, drive down grocery prices and hold supermarkets to account.</w:t>
      </w:r>
      <w:r w:rsidR="00FB7D86">
        <w:rPr>
          <w:rFonts w:asciiTheme="majorHAnsi" w:hAnsiTheme="majorHAnsi" w:cstheme="majorHAnsi"/>
          <w:color w:val="222222"/>
          <w:szCs w:val="22"/>
        </w:rPr>
        <w:t xml:space="preserve"> </w:t>
      </w:r>
    </w:p>
    <w:p w14:paraId="5B107B2B" w14:textId="2BEB2141" w:rsidR="00B125DF" w:rsidRDefault="00F64BC6" w:rsidP="00DA5319">
      <w:pPr>
        <w:rPr>
          <w:rFonts w:asciiTheme="majorHAnsi" w:hAnsiTheme="majorHAnsi" w:cstheme="majorHAnsi"/>
          <w:color w:val="222222"/>
          <w:szCs w:val="22"/>
        </w:rPr>
      </w:pPr>
      <w:bookmarkStart w:id="4" w:name="_Hlk209108251"/>
      <w:r>
        <w:rPr>
          <w:rFonts w:asciiTheme="majorHAnsi" w:hAnsiTheme="majorHAnsi" w:cstheme="majorHAnsi"/>
          <w:color w:val="222222"/>
          <w:szCs w:val="22"/>
        </w:rPr>
        <w:t xml:space="preserve">These </w:t>
      </w:r>
      <w:r w:rsidR="00B125DF">
        <w:rPr>
          <w:rFonts w:asciiTheme="majorHAnsi" w:hAnsiTheme="majorHAnsi" w:cstheme="majorHAnsi"/>
          <w:color w:val="222222"/>
          <w:szCs w:val="22"/>
        </w:rPr>
        <w:t xml:space="preserve">measures </w:t>
      </w:r>
      <w:r>
        <w:rPr>
          <w:rFonts w:asciiTheme="majorHAnsi" w:hAnsiTheme="majorHAnsi" w:cstheme="majorHAnsi"/>
          <w:color w:val="222222"/>
          <w:szCs w:val="22"/>
        </w:rPr>
        <w:t>include</w:t>
      </w:r>
      <w:r w:rsidR="00B125DF">
        <w:rPr>
          <w:rFonts w:asciiTheme="majorHAnsi" w:hAnsiTheme="majorHAnsi" w:cstheme="majorHAnsi"/>
          <w:color w:val="222222"/>
          <w:szCs w:val="22"/>
        </w:rPr>
        <w:t>:</w:t>
      </w:r>
    </w:p>
    <w:bookmarkEnd w:id="4"/>
    <w:p w14:paraId="72C86EF1" w14:textId="3C6AEC73" w:rsidR="00670B61" w:rsidRDefault="00670B61" w:rsidP="00FD4BB8">
      <w:pPr>
        <w:pStyle w:val="Bullet"/>
      </w:pPr>
      <w:r w:rsidRPr="00670B61">
        <w:t>increasing maximum penalties for breaches of Australia’s competition and consumer laws from $10 million in 2022 to $100 million per breach in 2026, ensuring big companies face real consequences, not just a cost of doing business</w:t>
      </w:r>
    </w:p>
    <w:p w14:paraId="5F16988D" w14:textId="2736CA07" w:rsidR="0066192A" w:rsidRDefault="00F745F1" w:rsidP="00DA5319">
      <w:pPr>
        <w:pStyle w:val="Bullet"/>
        <w:spacing w:before="120" w:after="120"/>
      </w:pPr>
      <w:r>
        <w:t>implementing regulations</w:t>
      </w:r>
      <w:r w:rsidR="0066192A">
        <w:t xml:space="preserve"> to ban very large supermarkets from charging consumers excessive prices on groceries  </w:t>
      </w:r>
    </w:p>
    <w:p w14:paraId="6A33407A" w14:textId="71EDD636" w:rsidR="00CF2D54" w:rsidRDefault="00CF2D54" w:rsidP="00DA5319">
      <w:pPr>
        <w:pStyle w:val="Bullet"/>
        <w:spacing w:before="120" w:after="120"/>
      </w:pPr>
      <w:r>
        <w:t>d</w:t>
      </w:r>
      <w:r w:rsidRPr="00CF2D54">
        <w:t xml:space="preserve">irecting the </w:t>
      </w:r>
      <w:r w:rsidR="00420213" w:rsidRPr="00420213">
        <w:t>Australian Competition and Consumer Commission (</w:t>
      </w:r>
      <w:r w:rsidRPr="00CF2D54">
        <w:t>ACCC</w:t>
      </w:r>
      <w:r w:rsidR="00420213">
        <w:t>)</w:t>
      </w:r>
      <w:r w:rsidRPr="00CF2D54">
        <w:t xml:space="preserve"> to conduct an inquiry into pricing and competition in Australia’s supermarket sector</w:t>
      </w:r>
      <w:r w:rsidR="00542643">
        <w:t>, and agreeing in principle to the recommendations of that inquiry</w:t>
      </w:r>
    </w:p>
    <w:p w14:paraId="1E4E7E10" w14:textId="722D0EFC" w:rsidR="00AC23E2" w:rsidRPr="00D361D0" w:rsidRDefault="00AC23E2" w:rsidP="00DA5319">
      <w:pPr>
        <w:pStyle w:val="Bullet"/>
        <w:spacing w:before="120" w:after="120"/>
      </w:pPr>
      <w:r>
        <w:t>funding the ACCC to deliver a consumer awareness campaign showing shoppers how they can use unit pricing to find the best value for money</w:t>
      </w:r>
    </w:p>
    <w:p w14:paraId="397986F0" w14:textId="08640E93" w:rsidR="00CF2D54" w:rsidRDefault="00FB7D86" w:rsidP="00DA5319">
      <w:pPr>
        <w:pStyle w:val="Bullet"/>
        <w:spacing w:before="120" w:after="120"/>
      </w:pPr>
      <w:r w:rsidRPr="00D361D0">
        <w:rPr>
          <w:rFonts w:asciiTheme="majorHAnsi" w:hAnsiTheme="majorHAnsi" w:cstheme="majorHAnsi"/>
          <w:color w:val="222222"/>
          <w:szCs w:val="22"/>
        </w:rPr>
        <w:t xml:space="preserve">funding CHOICE to </w:t>
      </w:r>
      <w:r w:rsidRPr="002B3F25">
        <w:t>give shoppers more information on supermarket</w:t>
      </w:r>
      <w:r w:rsidR="00610448">
        <w:t xml:space="preserve"> prices</w:t>
      </w:r>
      <w:r w:rsidR="00B125DF">
        <w:t xml:space="preserve"> </w:t>
      </w:r>
    </w:p>
    <w:p w14:paraId="6273C4A6" w14:textId="77777777" w:rsidR="0066192A" w:rsidRDefault="0066192A" w:rsidP="00DA5319">
      <w:pPr>
        <w:pStyle w:val="Bullet"/>
        <w:spacing w:before="120" w:after="120"/>
      </w:pPr>
      <w:r>
        <w:t>consulting on options to strengthen the Unit Pricing Code, including to tackle shrinkflation</w:t>
      </w:r>
    </w:p>
    <w:p w14:paraId="565DB474" w14:textId="3FC0AF94" w:rsidR="001E7562" w:rsidRDefault="00FB7D86" w:rsidP="00DA5319">
      <w:pPr>
        <w:pStyle w:val="Bullet"/>
        <w:spacing w:before="120" w:after="120"/>
      </w:pPr>
      <w:r w:rsidRPr="00D361D0">
        <w:rPr>
          <w:rFonts w:asciiTheme="majorHAnsi" w:hAnsiTheme="majorHAnsi" w:cstheme="majorHAnsi"/>
          <w:color w:val="222222"/>
          <w:szCs w:val="22"/>
        </w:rPr>
        <w:t xml:space="preserve">making the Food </w:t>
      </w:r>
      <w:r w:rsidRPr="003E2FAA">
        <w:t xml:space="preserve">and Grocery Code mandatory with </w:t>
      </w:r>
      <w:r w:rsidR="004A29C7">
        <w:t>heavy</w:t>
      </w:r>
      <w:r w:rsidR="004A29C7" w:rsidRPr="003E2FAA">
        <w:t xml:space="preserve"> </w:t>
      </w:r>
      <w:r w:rsidRPr="003E2FAA">
        <w:t xml:space="preserve">penalties </w:t>
      </w:r>
      <w:r w:rsidR="001E7562">
        <w:t xml:space="preserve">for supermarkets </w:t>
      </w:r>
      <w:r w:rsidR="004A29C7">
        <w:t xml:space="preserve">and stronger protections </w:t>
      </w:r>
      <w:r w:rsidR="001E7562">
        <w:t>for</w:t>
      </w:r>
      <w:r w:rsidRPr="003E2FAA">
        <w:t xml:space="preserve"> suppliers</w:t>
      </w:r>
    </w:p>
    <w:p w14:paraId="3E4C44EB" w14:textId="7F84F391" w:rsidR="005D2890" w:rsidRDefault="005D2890" w:rsidP="00DA5319">
      <w:pPr>
        <w:pStyle w:val="Bullet"/>
        <w:spacing w:before="120" w:after="120"/>
      </w:pPr>
      <w:r>
        <w:t>f</w:t>
      </w:r>
      <w:r w:rsidRPr="005D2890">
        <w:t xml:space="preserve">unding national education and training for smaller fresh produce suppliers to help them understand </w:t>
      </w:r>
      <w:r>
        <w:t>and enforce their</w:t>
      </w:r>
      <w:r w:rsidRPr="005D2890">
        <w:t xml:space="preserve"> rights under the </w:t>
      </w:r>
      <w:r>
        <w:t xml:space="preserve">new </w:t>
      </w:r>
      <w:r w:rsidRPr="005D2890">
        <w:t>Food and Grocery Code and strengthen their ability to negotiate with large grocery businesses</w:t>
      </w:r>
    </w:p>
    <w:p w14:paraId="4BB1EEFE" w14:textId="4A3C3064" w:rsidR="00CF2D54" w:rsidRDefault="00F15AC4" w:rsidP="00DA5319">
      <w:pPr>
        <w:pStyle w:val="Bullet"/>
        <w:spacing w:before="120" w:after="120"/>
      </w:pPr>
      <w:bookmarkStart w:id="5" w:name="_Hlk209108114"/>
      <w:r>
        <w:t xml:space="preserve">taking forward </w:t>
      </w:r>
      <w:r w:rsidR="00C1564F">
        <w:t xml:space="preserve">recommendations from </w:t>
      </w:r>
      <w:r w:rsidR="00C94DBB" w:rsidRPr="00DC5DB2">
        <w:t>the ACCC</w:t>
      </w:r>
      <w:r w:rsidR="00C1564F">
        <w:t xml:space="preserve"> </w:t>
      </w:r>
      <w:r w:rsidR="00211809">
        <w:t>s</w:t>
      </w:r>
      <w:r w:rsidR="00C94DBB" w:rsidRPr="00834813">
        <w:t xml:space="preserve">upermarkets </w:t>
      </w:r>
      <w:r w:rsidR="00211809">
        <w:t>i</w:t>
      </w:r>
      <w:r w:rsidR="00C94DBB" w:rsidRPr="00DC5DB2">
        <w:t xml:space="preserve">nquiry to improve transparency </w:t>
      </w:r>
      <w:r w:rsidR="00943573">
        <w:t>about</w:t>
      </w:r>
      <w:r w:rsidR="00C94DBB" w:rsidRPr="00DC5DB2">
        <w:t xml:space="preserve"> prices, price trends, promotions and loyalty programs</w:t>
      </w:r>
      <w:r w:rsidR="00791FEE" w:rsidRPr="00211809">
        <w:t xml:space="preserve"> in the supermarkets sector</w:t>
      </w:r>
    </w:p>
    <w:p w14:paraId="0DAB7229" w14:textId="47D89B46" w:rsidR="00493152" w:rsidRDefault="007069E4" w:rsidP="00DA5319">
      <w:pPr>
        <w:pStyle w:val="Bullet"/>
        <w:spacing w:before="120" w:after="120"/>
      </w:pPr>
      <w:r>
        <w:t>reducing the costs of around 30 essential items in stores in remote First Nations communities</w:t>
      </w:r>
      <w:r w:rsidR="00670B61">
        <w:t>.</w:t>
      </w:r>
    </w:p>
    <w:bookmarkEnd w:id="5"/>
    <w:p w14:paraId="4232A0DA" w14:textId="47899E5B" w:rsidR="00F86AA1" w:rsidRDefault="00FB7D86" w:rsidP="00DA5319">
      <w:pPr>
        <w:rPr>
          <w:rFonts w:asciiTheme="majorHAnsi" w:hAnsiTheme="majorHAnsi" w:cstheme="majorHAnsi"/>
          <w:color w:val="222222"/>
          <w:szCs w:val="22"/>
        </w:rPr>
      </w:pPr>
      <w:r w:rsidRPr="00F52DF0">
        <w:rPr>
          <w:rFonts w:asciiTheme="majorHAnsi" w:hAnsiTheme="majorHAnsi" w:cstheme="majorHAnsi"/>
          <w:color w:val="222222"/>
          <w:szCs w:val="22"/>
        </w:rPr>
        <w:t xml:space="preserve">These measures </w:t>
      </w:r>
      <w:r w:rsidR="00F86AA1" w:rsidRPr="00F52DF0">
        <w:rPr>
          <w:rFonts w:asciiTheme="majorHAnsi" w:hAnsiTheme="majorHAnsi" w:cstheme="majorHAnsi"/>
          <w:color w:val="222222"/>
          <w:szCs w:val="22"/>
        </w:rPr>
        <w:t xml:space="preserve">are complemented by </w:t>
      </w:r>
      <w:r w:rsidR="00B84893" w:rsidRPr="00F52DF0">
        <w:rPr>
          <w:rFonts w:asciiTheme="majorHAnsi" w:hAnsiTheme="majorHAnsi" w:cstheme="majorHAnsi"/>
          <w:color w:val="222222"/>
          <w:szCs w:val="22"/>
        </w:rPr>
        <w:t xml:space="preserve">other </w:t>
      </w:r>
      <w:r w:rsidR="00F86AA1" w:rsidRPr="00F52DF0">
        <w:rPr>
          <w:rFonts w:asciiTheme="majorHAnsi" w:hAnsiTheme="majorHAnsi" w:cstheme="majorHAnsi"/>
          <w:color w:val="222222"/>
          <w:szCs w:val="22"/>
        </w:rPr>
        <w:t xml:space="preserve">reforms </w:t>
      </w:r>
      <w:r w:rsidR="001E7562">
        <w:rPr>
          <w:rFonts w:asciiTheme="majorHAnsi" w:hAnsiTheme="majorHAnsi" w:cstheme="majorHAnsi"/>
          <w:color w:val="222222"/>
          <w:szCs w:val="22"/>
        </w:rPr>
        <w:t>as part of</w:t>
      </w:r>
      <w:r w:rsidR="001E7562" w:rsidRPr="00F52DF0">
        <w:rPr>
          <w:rFonts w:asciiTheme="majorHAnsi" w:hAnsiTheme="majorHAnsi" w:cstheme="majorHAnsi"/>
          <w:color w:val="222222"/>
          <w:szCs w:val="22"/>
        </w:rPr>
        <w:t xml:space="preserve"> </w:t>
      </w:r>
      <w:r w:rsidR="00B84893" w:rsidRPr="00F52DF0">
        <w:rPr>
          <w:rFonts w:asciiTheme="majorHAnsi" w:hAnsiTheme="majorHAnsi" w:cstheme="majorHAnsi"/>
          <w:color w:val="222222"/>
          <w:szCs w:val="22"/>
        </w:rPr>
        <w:t>the Government’s broader competition policy agenda</w:t>
      </w:r>
      <w:r w:rsidR="001E7562">
        <w:rPr>
          <w:rFonts w:asciiTheme="majorHAnsi" w:hAnsiTheme="majorHAnsi" w:cstheme="majorHAnsi"/>
          <w:color w:val="222222"/>
          <w:szCs w:val="22"/>
        </w:rPr>
        <w:t>. These include</w:t>
      </w:r>
      <w:r w:rsidR="00F86AA1" w:rsidRPr="00F52DF0">
        <w:rPr>
          <w:rFonts w:asciiTheme="majorHAnsi" w:hAnsiTheme="majorHAnsi" w:cstheme="majorHAnsi"/>
          <w:color w:val="222222"/>
          <w:szCs w:val="22"/>
        </w:rPr>
        <w:t xml:space="preserve"> </w:t>
      </w:r>
      <w:r w:rsidR="00624DB3">
        <w:rPr>
          <w:rFonts w:asciiTheme="majorHAnsi" w:hAnsiTheme="majorHAnsi" w:cstheme="majorHAnsi"/>
          <w:color w:val="222222"/>
          <w:szCs w:val="22"/>
        </w:rPr>
        <w:t>the Government’s</w:t>
      </w:r>
      <w:r w:rsidR="00624DB3" w:rsidRPr="00D361D0">
        <w:rPr>
          <w:rFonts w:asciiTheme="majorHAnsi" w:hAnsiTheme="majorHAnsi" w:cstheme="majorHAnsi"/>
          <w:color w:val="222222"/>
          <w:szCs w:val="22"/>
        </w:rPr>
        <w:t xml:space="preserve"> </w:t>
      </w:r>
      <w:r w:rsidR="00F86AA1" w:rsidRPr="00D361D0">
        <w:rPr>
          <w:rFonts w:asciiTheme="majorHAnsi" w:hAnsiTheme="majorHAnsi" w:cstheme="majorHAnsi"/>
          <w:color w:val="222222"/>
          <w:szCs w:val="22"/>
        </w:rPr>
        <w:t xml:space="preserve">merger </w:t>
      </w:r>
      <w:r w:rsidR="003B6DEE">
        <w:rPr>
          <w:rFonts w:asciiTheme="majorHAnsi" w:hAnsiTheme="majorHAnsi" w:cstheme="majorHAnsi"/>
          <w:color w:val="222222"/>
          <w:szCs w:val="22"/>
        </w:rPr>
        <w:t>reforms</w:t>
      </w:r>
      <w:r w:rsidR="003B6DEE" w:rsidRPr="00D361D0">
        <w:rPr>
          <w:rFonts w:asciiTheme="majorHAnsi" w:hAnsiTheme="majorHAnsi" w:cstheme="majorHAnsi"/>
          <w:color w:val="222222"/>
          <w:szCs w:val="22"/>
        </w:rPr>
        <w:t xml:space="preserve"> </w:t>
      </w:r>
      <w:r w:rsidR="0088240C">
        <w:rPr>
          <w:rFonts w:asciiTheme="majorHAnsi" w:hAnsiTheme="majorHAnsi" w:cstheme="majorHAnsi"/>
          <w:color w:val="222222"/>
          <w:szCs w:val="22"/>
        </w:rPr>
        <w:t>that mandatorily commence</w:t>
      </w:r>
      <w:r w:rsidR="004964E0">
        <w:rPr>
          <w:rFonts w:asciiTheme="majorHAnsi" w:hAnsiTheme="majorHAnsi" w:cstheme="majorHAnsi"/>
          <w:color w:val="222222"/>
          <w:szCs w:val="22"/>
        </w:rPr>
        <w:t>d</w:t>
      </w:r>
      <w:r w:rsidR="0088240C">
        <w:rPr>
          <w:rFonts w:asciiTheme="majorHAnsi" w:hAnsiTheme="majorHAnsi" w:cstheme="majorHAnsi"/>
          <w:color w:val="222222"/>
          <w:szCs w:val="22"/>
        </w:rPr>
        <w:t xml:space="preserve"> on</w:t>
      </w:r>
      <w:r w:rsidR="00F86AA1" w:rsidRPr="00D361D0">
        <w:rPr>
          <w:rFonts w:asciiTheme="majorHAnsi" w:hAnsiTheme="majorHAnsi" w:cstheme="majorHAnsi"/>
          <w:color w:val="222222"/>
          <w:szCs w:val="22"/>
        </w:rPr>
        <w:t xml:space="preserve"> 1 January 2026 </w:t>
      </w:r>
      <w:r w:rsidR="00624DB3">
        <w:rPr>
          <w:rFonts w:asciiTheme="majorHAnsi" w:hAnsiTheme="majorHAnsi" w:cstheme="majorHAnsi"/>
          <w:color w:val="222222"/>
          <w:szCs w:val="22"/>
        </w:rPr>
        <w:t>and</w:t>
      </w:r>
      <w:r w:rsidR="00624DB3" w:rsidRPr="00D361D0">
        <w:rPr>
          <w:rFonts w:asciiTheme="majorHAnsi" w:hAnsiTheme="majorHAnsi" w:cstheme="majorHAnsi"/>
          <w:color w:val="222222"/>
          <w:szCs w:val="22"/>
        </w:rPr>
        <w:t xml:space="preserve"> </w:t>
      </w:r>
      <w:r w:rsidR="00024C14" w:rsidRPr="00024C14">
        <w:rPr>
          <w:rFonts w:asciiTheme="majorHAnsi" w:hAnsiTheme="majorHAnsi" w:cstheme="majorHAnsi"/>
          <w:color w:val="222222"/>
          <w:szCs w:val="22"/>
        </w:rPr>
        <w:t>require Coles and Woolworths to notify the ACCC and seek approval of all acquisitions of supermarket businesses and certain land acquisitions</w:t>
      </w:r>
      <w:r w:rsidR="00C40162">
        <w:rPr>
          <w:rFonts w:asciiTheme="majorHAnsi" w:hAnsiTheme="majorHAnsi" w:cstheme="majorHAnsi"/>
          <w:color w:val="222222"/>
          <w:szCs w:val="22"/>
        </w:rPr>
        <w:t xml:space="preserve">. The Government’s </w:t>
      </w:r>
      <w:r w:rsidR="00EF75C7" w:rsidRPr="00EF75C7">
        <w:rPr>
          <w:rFonts w:asciiTheme="majorHAnsi" w:hAnsiTheme="majorHAnsi" w:cstheme="majorHAnsi"/>
          <w:color w:val="222222"/>
          <w:szCs w:val="22"/>
        </w:rPr>
        <w:t xml:space="preserve">competition policy </w:t>
      </w:r>
      <w:r w:rsidR="00C40162">
        <w:rPr>
          <w:rFonts w:asciiTheme="majorHAnsi" w:hAnsiTheme="majorHAnsi" w:cstheme="majorHAnsi"/>
          <w:color w:val="222222"/>
          <w:szCs w:val="22"/>
        </w:rPr>
        <w:t xml:space="preserve">agenda also includes </w:t>
      </w:r>
      <w:r w:rsidR="00F86AA1" w:rsidRPr="00F52DF0">
        <w:rPr>
          <w:rFonts w:asciiTheme="majorHAnsi" w:hAnsiTheme="majorHAnsi" w:cstheme="majorHAnsi"/>
          <w:color w:val="222222"/>
          <w:szCs w:val="22"/>
        </w:rPr>
        <w:t>incentives for state</w:t>
      </w:r>
      <w:r w:rsidR="004964E0">
        <w:rPr>
          <w:rFonts w:asciiTheme="majorHAnsi" w:hAnsiTheme="majorHAnsi" w:cstheme="majorHAnsi"/>
          <w:color w:val="222222"/>
          <w:szCs w:val="22"/>
        </w:rPr>
        <w:t>s</w:t>
      </w:r>
      <w:r w:rsidR="00F86AA1" w:rsidRPr="00F52DF0">
        <w:rPr>
          <w:rFonts w:asciiTheme="majorHAnsi" w:hAnsiTheme="majorHAnsi" w:cstheme="majorHAnsi"/>
          <w:color w:val="222222"/>
          <w:szCs w:val="22"/>
        </w:rPr>
        <w:t xml:space="preserve"> and territori</w:t>
      </w:r>
      <w:r w:rsidR="00D81707" w:rsidRPr="00F52DF0">
        <w:rPr>
          <w:rFonts w:asciiTheme="majorHAnsi" w:hAnsiTheme="majorHAnsi" w:cstheme="majorHAnsi"/>
          <w:color w:val="222222"/>
          <w:szCs w:val="22"/>
        </w:rPr>
        <w:t xml:space="preserve">es to reform </w:t>
      </w:r>
      <w:r w:rsidR="000B63C8">
        <w:rPr>
          <w:rFonts w:asciiTheme="majorHAnsi" w:hAnsiTheme="majorHAnsi" w:cstheme="majorHAnsi"/>
          <w:color w:val="222222"/>
          <w:szCs w:val="22"/>
        </w:rPr>
        <w:t xml:space="preserve">commercial </w:t>
      </w:r>
      <w:r w:rsidR="00D81707" w:rsidRPr="00F52DF0">
        <w:rPr>
          <w:rFonts w:asciiTheme="majorHAnsi" w:hAnsiTheme="majorHAnsi" w:cstheme="majorHAnsi"/>
          <w:color w:val="222222"/>
          <w:szCs w:val="22"/>
        </w:rPr>
        <w:t>planning and zoning rules under the revitalised National Competition Policy</w:t>
      </w:r>
      <w:r w:rsidR="004964E0">
        <w:rPr>
          <w:rFonts w:asciiTheme="majorHAnsi" w:hAnsiTheme="majorHAnsi" w:cstheme="majorHAnsi"/>
          <w:color w:val="222222"/>
          <w:szCs w:val="22"/>
        </w:rPr>
        <w:t xml:space="preserve">. This is </w:t>
      </w:r>
      <w:r w:rsidR="00D81707" w:rsidRPr="00F52DF0">
        <w:rPr>
          <w:rFonts w:asciiTheme="majorHAnsi" w:hAnsiTheme="majorHAnsi" w:cstheme="majorHAnsi"/>
          <w:color w:val="222222"/>
          <w:szCs w:val="22"/>
        </w:rPr>
        <w:t>backed by the $900</w:t>
      </w:r>
      <w:r w:rsidR="00B479DD">
        <w:rPr>
          <w:rFonts w:asciiTheme="majorHAnsi" w:hAnsiTheme="majorHAnsi" w:cstheme="majorHAnsi"/>
          <w:color w:val="222222"/>
          <w:szCs w:val="22"/>
        </w:rPr>
        <w:t> </w:t>
      </w:r>
      <w:r w:rsidR="00D81707" w:rsidRPr="00F52DF0">
        <w:rPr>
          <w:rFonts w:asciiTheme="majorHAnsi" w:hAnsiTheme="majorHAnsi" w:cstheme="majorHAnsi"/>
          <w:color w:val="222222"/>
          <w:szCs w:val="22"/>
        </w:rPr>
        <w:t>million National Productivity Fund</w:t>
      </w:r>
      <w:r w:rsidR="004964E0">
        <w:rPr>
          <w:rFonts w:asciiTheme="majorHAnsi" w:hAnsiTheme="majorHAnsi" w:cstheme="majorHAnsi"/>
          <w:color w:val="222222"/>
          <w:szCs w:val="22"/>
        </w:rPr>
        <w:t xml:space="preserve"> and </w:t>
      </w:r>
      <w:r w:rsidR="00D81707" w:rsidRPr="00F52DF0">
        <w:rPr>
          <w:rFonts w:asciiTheme="majorHAnsi" w:hAnsiTheme="majorHAnsi" w:cstheme="majorHAnsi"/>
          <w:color w:val="222222"/>
          <w:szCs w:val="22"/>
        </w:rPr>
        <w:t>will make it easier for new supermarkets to enter the market.</w:t>
      </w:r>
    </w:p>
    <w:p w14:paraId="5295093E" w14:textId="77777777" w:rsidR="00111C01" w:rsidRPr="00111C01" w:rsidRDefault="00111C01" w:rsidP="00111C01">
      <w:pPr>
        <w:rPr>
          <w:rFonts w:asciiTheme="majorHAnsi" w:hAnsiTheme="majorHAnsi" w:cstheme="majorHAnsi"/>
          <w:color w:val="222222"/>
          <w:szCs w:val="22"/>
        </w:rPr>
      </w:pPr>
      <w:r w:rsidRPr="00111C01">
        <w:rPr>
          <w:rFonts w:asciiTheme="majorHAnsi" w:hAnsiTheme="majorHAnsi" w:cstheme="majorHAnsi"/>
          <w:color w:val="222222"/>
          <w:szCs w:val="22"/>
        </w:rPr>
        <w:t>The 2026–27 Budget further strengthens this framework by increasing maximum penalties for breaches of competition and consumer laws, including for misconduct in the supermarket sector, and by allocating an additional $67.7 million over four years to strengthen the ACCC’s competition and consumer law enforcement capabilities. This builds on the Government’s earlier investment of over $30 million provided in the 2024–25 Mid-Year Economic and Fiscal Outlook to boost the ACCC’s investigation and enforcement activity in the supermarket and retail sectors.</w:t>
      </w:r>
    </w:p>
    <w:p w14:paraId="4E972D6F" w14:textId="20C476C5" w:rsidR="001B6C72" w:rsidRDefault="001B6C72" w:rsidP="00DA5319">
      <w:pPr>
        <w:rPr>
          <w:rFonts w:asciiTheme="majorHAnsi" w:hAnsiTheme="majorHAnsi" w:cstheme="majorHAnsi"/>
          <w:color w:val="222222"/>
          <w:szCs w:val="22"/>
        </w:rPr>
      </w:pPr>
      <w:r w:rsidRPr="00F52DF0">
        <w:rPr>
          <w:rFonts w:asciiTheme="majorHAnsi" w:hAnsiTheme="majorHAnsi" w:cstheme="majorHAnsi"/>
          <w:color w:val="222222"/>
          <w:szCs w:val="22"/>
        </w:rPr>
        <w:lastRenderedPageBreak/>
        <w:t xml:space="preserve">Collectively, these measures will help </w:t>
      </w:r>
      <w:r w:rsidR="00F52DF0" w:rsidRPr="00D361D0">
        <w:rPr>
          <w:rFonts w:asciiTheme="majorHAnsi" w:hAnsiTheme="majorHAnsi" w:cstheme="majorHAnsi"/>
          <w:color w:val="222222"/>
          <w:szCs w:val="22"/>
        </w:rPr>
        <w:t xml:space="preserve">to </w:t>
      </w:r>
      <w:r w:rsidRPr="00F52DF0">
        <w:rPr>
          <w:rFonts w:asciiTheme="majorHAnsi" w:hAnsiTheme="majorHAnsi" w:cstheme="majorHAnsi"/>
          <w:color w:val="222222"/>
          <w:szCs w:val="22"/>
        </w:rPr>
        <w:t xml:space="preserve">put downward pressure on supermarket prices by </w:t>
      </w:r>
      <w:r w:rsidR="00F52DF0" w:rsidRPr="00D361D0">
        <w:rPr>
          <w:rFonts w:asciiTheme="majorHAnsi" w:hAnsiTheme="majorHAnsi" w:cstheme="majorHAnsi"/>
          <w:color w:val="222222"/>
          <w:szCs w:val="22"/>
        </w:rPr>
        <w:t xml:space="preserve">lowering barriers to entry, addressing market concentration and </w:t>
      </w:r>
      <w:r w:rsidRPr="00F52DF0">
        <w:rPr>
          <w:rFonts w:asciiTheme="majorHAnsi" w:hAnsiTheme="majorHAnsi" w:cstheme="majorHAnsi"/>
          <w:color w:val="222222"/>
          <w:szCs w:val="22"/>
        </w:rPr>
        <w:t xml:space="preserve">increasing </w:t>
      </w:r>
      <w:r w:rsidR="00113B0F">
        <w:rPr>
          <w:rFonts w:asciiTheme="majorHAnsi" w:hAnsiTheme="majorHAnsi" w:cstheme="majorHAnsi"/>
          <w:color w:val="222222"/>
          <w:szCs w:val="22"/>
        </w:rPr>
        <w:t xml:space="preserve">regulatory </w:t>
      </w:r>
      <w:r w:rsidR="00F52DF0" w:rsidRPr="00D361D0">
        <w:rPr>
          <w:rFonts w:asciiTheme="majorHAnsi" w:hAnsiTheme="majorHAnsi" w:cstheme="majorHAnsi"/>
          <w:color w:val="222222"/>
          <w:szCs w:val="22"/>
        </w:rPr>
        <w:t>scrutiny into</w:t>
      </w:r>
      <w:r w:rsidR="00113B0F">
        <w:rPr>
          <w:rFonts w:asciiTheme="majorHAnsi" w:hAnsiTheme="majorHAnsi" w:cstheme="majorHAnsi"/>
          <w:color w:val="222222"/>
          <w:szCs w:val="22"/>
        </w:rPr>
        <w:t>, and consumer awareness of,</w:t>
      </w:r>
      <w:r w:rsidR="00F52DF0" w:rsidRPr="00D361D0">
        <w:rPr>
          <w:rFonts w:asciiTheme="majorHAnsi" w:hAnsiTheme="majorHAnsi" w:cstheme="majorHAnsi"/>
          <w:color w:val="222222"/>
          <w:szCs w:val="22"/>
        </w:rPr>
        <w:t xml:space="preserve"> </w:t>
      </w:r>
      <w:r w:rsidRPr="00F52DF0">
        <w:rPr>
          <w:rFonts w:asciiTheme="majorHAnsi" w:hAnsiTheme="majorHAnsi" w:cstheme="majorHAnsi"/>
          <w:color w:val="222222"/>
          <w:szCs w:val="22"/>
        </w:rPr>
        <w:t>supermarket prices and pricing practices</w:t>
      </w:r>
      <w:r w:rsidR="00236FBC">
        <w:rPr>
          <w:rFonts w:asciiTheme="majorHAnsi" w:hAnsiTheme="majorHAnsi" w:cstheme="majorHAnsi"/>
          <w:color w:val="222222"/>
          <w:szCs w:val="22"/>
        </w:rPr>
        <w:t xml:space="preserve">. Additionally, the measures will bolster suppliers’ bargaining power with major supermarkets and </w:t>
      </w:r>
      <w:r w:rsidRPr="00F52DF0">
        <w:rPr>
          <w:rFonts w:asciiTheme="majorHAnsi" w:hAnsiTheme="majorHAnsi" w:cstheme="majorHAnsi"/>
          <w:color w:val="222222"/>
          <w:szCs w:val="22"/>
        </w:rPr>
        <w:t xml:space="preserve">help </w:t>
      </w:r>
      <w:r w:rsidR="00F52DF0" w:rsidRPr="00D361D0">
        <w:rPr>
          <w:rFonts w:asciiTheme="majorHAnsi" w:hAnsiTheme="majorHAnsi" w:cstheme="majorHAnsi"/>
          <w:color w:val="222222"/>
          <w:szCs w:val="22"/>
        </w:rPr>
        <w:t xml:space="preserve">to </w:t>
      </w:r>
      <w:r w:rsidRPr="00F52DF0">
        <w:rPr>
          <w:rFonts w:asciiTheme="majorHAnsi" w:hAnsiTheme="majorHAnsi" w:cstheme="majorHAnsi"/>
          <w:color w:val="222222"/>
          <w:szCs w:val="22"/>
        </w:rPr>
        <w:t>level the playing field for farmers and producers.</w:t>
      </w:r>
    </w:p>
    <w:p w14:paraId="5BC3F3C5" w14:textId="122F776F" w:rsidR="001C70F4" w:rsidRDefault="00120D3F" w:rsidP="00DA5319">
      <w:pPr>
        <w:rPr>
          <w:rFonts w:cs="Calibri Light"/>
          <w:szCs w:val="22"/>
        </w:rPr>
      </w:pPr>
      <w:bookmarkStart w:id="6" w:name="_Hlk170161226"/>
      <w:r w:rsidRPr="00134B42">
        <w:rPr>
          <w:rFonts w:asciiTheme="majorHAnsi" w:hAnsiTheme="majorHAnsi" w:cstheme="majorHAnsi"/>
          <w:color w:val="222222"/>
          <w:szCs w:val="22"/>
        </w:rPr>
        <w:t>The Government has carefully considered the recommendations from the Committee’s report, including</w:t>
      </w:r>
      <w:r w:rsidR="00ED5DDC" w:rsidRPr="00134B42">
        <w:rPr>
          <w:rFonts w:cs="Calibri Light"/>
          <w:szCs w:val="22"/>
        </w:rPr>
        <w:t xml:space="preserve"> renewed calls for an expanded divestiture power.</w:t>
      </w:r>
      <w:r w:rsidR="008473FE">
        <w:rPr>
          <w:rFonts w:cs="Calibri Light"/>
          <w:szCs w:val="22"/>
        </w:rPr>
        <w:t xml:space="preserve"> </w:t>
      </w:r>
      <w:r w:rsidR="008554CA">
        <w:rPr>
          <w:rFonts w:cs="Calibri Light"/>
          <w:szCs w:val="22"/>
        </w:rPr>
        <w:t xml:space="preserve">The Government’s response to the recommendations </w:t>
      </w:r>
      <w:r w:rsidR="00F53BA7">
        <w:rPr>
          <w:rFonts w:cs="Calibri Light"/>
          <w:szCs w:val="22"/>
        </w:rPr>
        <w:t xml:space="preserve">is </w:t>
      </w:r>
      <w:r w:rsidR="008554CA">
        <w:rPr>
          <w:rFonts w:cs="Calibri Light"/>
          <w:szCs w:val="22"/>
        </w:rPr>
        <w:t>provided below.</w:t>
      </w:r>
      <w:bookmarkEnd w:id="6"/>
    </w:p>
    <w:p w14:paraId="52EFD8CA" w14:textId="454C8F8A" w:rsidR="008D237A" w:rsidRDefault="008D237A" w:rsidP="00FD4BB8">
      <w:pPr>
        <w:spacing w:before="0" w:after="160" w:line="259" w:lineRule="auto"/>
        <w:rPr>
          <w:rFonts w:cs="Calibri Light"/>
          <w:szCs w:val="22"/>
        </w:rPr>
      </w:pPr>
      <w:r>
        <w:rPr>
          <w:rFonts w:cs="Calibri Light"/>
          <w:szCs w:val="22"/>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74D71" w:rsidRPr="00134B42" w14:paraId="5860208F" w14:textId="77777777" w:rsidTr="00FB6B0E">
        <w:trPr>
          <w:trHeight w:val="70"/>
        </w:trPr>
        <w:tc>
          <w:tcPr>
            <w:tcW w:w="9016" w:type="dxa"/>
          </w:tcPr>
          <w:p w14:paraId="6F8E0F45" w14:textId="77777777" w:rsidR="00841998" w:rsidRDefault="00841998" w:rsidP="00841998">
            <w:pPr>
              <w:pStyle w:val="Heading1"/>
            </w:pPr>
            <w:bookmarkStart w:id="7" w:name="_Toc219186712"/>
            <w:bookmarkEnd w:id="1"/>
            <w:bookmarkEnd w:id="0"/>
            <w:r>
              <w:lastRenderedPageBreak/>
              <w:t>Response to the recommendations</w:t>
            </w:r>
            <w:bookmarkEnd w:id="7"/>
          </w:p>
          <w:p w14:paraId="5ED56AC1" w14:textId="51B5711F" w:rsidR="00841998" w:rsidRDefault="00841998" w:rsidP="00841998">
            <w:pPr>
              <w:pStyle w:val="Heading2"/>
            </w:pPr>
            <w:bookmarkStart w:id="8" w:name="_Toc219186713"/>
            <w:r>
              <w:t xml:space="preserve">Committee </w:t>
            </w:r>
            <w:r w:rsidR="0083071B">
              <w:t>r</w:t>
            </w:r>
            <w:r>
              <w:t>e</w:t>
            </w:r>
            <w:r w:rsidR="007E6D29">
              <w:t>port</w:t>
            </w:r>
            <w:bookmarkEnd w:id="8"/>
            <w:r>
              <w:t xml:space="preserve"> </w:t>
            </w:r>
          </w:p>
          <w:p w14:paraId="4F16936E" w14:textId="420F44F6" w:rsidR="00C47A9C" w:rsidRPr="00134B42" w:rsidRDefault="00067BB0" w:rsidP="00841998">
            <w:pPr>
              <w:pStyle w:val="BoxHeading"/>
              <w:rPr>
                <w:caps/>
              </w:rPr>
            </w:pPr>
            <w:r>
              <w:t>R</w:t>
            </w:r>
            <w:r w:rsidR="000E1CCB" w:rsidRPr="00134B42">
              <w:t>ecommendation 1</w:t>
            </w:r>
          </w:p>
          <w:p w14:paraId="3D3A4337" w14:textId="5BD3AEEC" w:rsidR="009A43E0" w:rsidRPr="00134B42" w:rsidRDefault="009A43E0" w:rsidP="00FB6B0E">
            <w:pPr>
              <w:pStyle w:val="BoxText"/>
            </w:pPr>
            <w:r w:rsidRPr="00134B42">
              <w:t xml:space="preserve">The committee recommends the Australian Government </w:t>
            </w:r>
            <w:bookmarkStart w:id="9" w:name="_Hlk170161299"/>
            <w:r w:rsidRPr="00134B42">
              <w:t xml:space="preserve">amend the </w:t>
            </w:r>
            <w:r w:rsidRPr="00134B42">
              <w:rPr>
                <w:i/>
                <w:iCs/>
              </w:rPr>
              <w:t>Competition and Consumer Act 2010</w:t>
            </w:r>
            <w:r w:rsidRPr="00134B42">
              <w:t xml:space="preserve"> </w:t>
            </w:r>
            <w:bookmarkStart w:id="10" w:name="_Hlk170161281"/>
            <w:bookmarkEnd w:id="9"/>
            <w:r w:rsidRPr="00134B42">
              <w:t>to create divestiture powers specific to the supermarket sector, where a supermarket has been found to have misused their market power under section 46 of the Act, or engaged in unconscionable conduct.</w:t>
            </w:r>
          </w:p>
          <w:bookmarkEnd w:id="10"/>
          <w:p w14:paraId="30A4F0C9" w14:textId="77777777" w:rsidR="00FB6B0E" w:rsidRPr="00134B42" w:rsidRDefault="000E1CCB" w:rsidP="00FB6B0E">
            <w:pPr>
              <w:pStyle w:val="BoxSubHeading"/>
              <w:keepNext w:val="0"/>
              <w:rPr>
                <w:caps/>
              </w:rPr>
            </w:pPr>
            <w:r w:rsidRPr="00134B42">
              <w:t xml:space="preserve">Australian Government response </w:t>
            </w:r>
          </w:p>
          <w:p w14:paraId="5532AD1A" w14:textId="02ADC2B6" w:rsidR="008774BA" w:rsidRPr="00134B42" w:rsidRDefault="000E1CCB" w:rsidP="00FB6B0E">
            <w:pPr>
              <w:pStyle w:val="BoxText"/>
            </w:pPr>
            <w:r w:rsidRPr="00134B42">
              <w:rPr>
                <w:caps/>
              </w:rPr>
              <w:t>t</w:t>
            </w:r>
            <w:r w:rsidRPr="00134B42">
              <w:t xml:space="preserve">he Government </w:t>
            </w:r>
            <w:r w:rsidR="00076769" w:rsidRPr="00134B42">
              <w:rPr>
                <w:b/>
                <w:bCs/>
              </w:rPr>
              <w:t>does not support</w:t>
            </w:r>
            <w:r w:rsidR="00076769" w:rsidRPr="00134B42">
              <w:t xml:space="preserve"> </w:t>
            </w:r>
            <w:r w:rsidRPr="00134B42">
              <w:t>this recommendation.</w:t>
            </w:r>
          </w:p>
          <w:p w14:paraId="5BD9A58E" w14:textId="5A7BD33C" w:rsidR="00141F3D" w:rsidRDefault="00141F3D" w:rsidP="00F53BA7">
            <w:pPr>
              <w:pStyle w:val="BoxText"/>
            </w:pPr>
            <w:r>
              <w:t>Divestiture is only available as a remedy in limited cases in Australia: to unwind mergers, to dispose of assets in a foreign investment context, or as a last resort to deal with aggravated cases of abuse of market power in electricity markets.</w:t>
            </w:r>
          </w:p>
          <w:p w14:paraId="53D3BDA7" w14:textId="590AE429" w:rsidR="005A0827" w:rsidRPr="00F53BA7" w:rsidRDefault="00A142A9" w:rsidP="00F53BA7">
            <w:pPr>
              <w:pStyle w:val="BoxText"/>
              <w:rPr>
                <w:rStyle w:val="normaltextrun"/>
              </w:rPr>
            </w:pPr>
            <w:r>
              <w:t>As past competition reviews have found, i</w:t>
            </w:r>
            <w:r w:rsidR="005A0827">
              <w:t>ntroducing</w:t>
            </w:r>
            <w:r w:rsidR="0098398D">
              <w:t xml:space="preserve"> </w:t>
            </w:r>
            <w:r w:rsidR="005A0827">
              <w:t>d</w:t>
            </w:r>
            <w:r w:rsidR="005A0827" w:rsidRPr="00134B42">
              <w:rPr>
                <w:rStyle w:val="normaltextrun"/>
                <w:rFonts w:asciiTheme="majorHAnsi" w:hAnsiTheme="majorHAnsi" w:cstheme="majorHAnsi"/>
                <w:szCs w:val="22"/>
              </w:rPr>
              <w:t xml:space="preserve">ivestiture powers </w:t>
            </w:r>
            <w:r>
              <w:rPr>
                <w:rStyle w:val="normaltextrun"/>
                <w:rFonts w:asciiTheme="majorHAnsi" w:hAnsiTheme="majorHAnsi" w:cstheme="majorHAnsi"/>
                <w:szCs w:val="22"/>
              </w:rPr>
              <w:t>a</w:t>
            </w:r>
            <w:r>
              <w:rPr>
                <w:rStyle w:val="normaltextrun"/>
                <w:rFonts w:asciiTheme="majorHAnsi" w:hAnsiTheme="majorHAnsi" w:cstheme="majorHAnsi"/>
              </w:rPr>
              <w:t xml:space="preserve">s a remedy </w:t>
            </w:r>
            <w:r w:rsidR="005A0827">
              <w:rPr>
                <w:rStyle w:val="normaltextrun"/>
                <w:rFonts w:asciiTheme="majorHAnsi" w:hAnsiTheme="majorHAnsi" w:cstheme="majorHAnsi"/>
              </w:rPr>
              <w:t xml:space="preserve">for </w:t>
            </w:r>
            <w:r>
              <w:rPr>
                <w:rStyle w:val="normaltextrun"/>
                <w:rFonts w:asciiTheme="majorHAnsi" w:hAnsiTheme="majorHAnsi" w:cstheme="majorHAnsi"/>
              </w:rPr>
              <w:t>breaches of misuse of market power provisions carries more risks than benefits and</w:t>
            </w:r>
            <w:r w:rsidR="005A0827">
              <w:rPr>
                <w:rStyle w:val="normaltextrun"/>
                <w:rFonts w:asciiTheme="majorHAnsi" w:hAnsiTheme="majorHAnsi" w:cstheme="majorHAnsi"/>
              </w:rPr>
              <w:t xml:space="preserve"> </w:t>
            </w:r>
            <w:r w:rsidR="005A0827" w:rsidRPr="00134B42">
              <w:rPr>
                <w:rStyle w:val="normaltextrun"/>
                <w:rFonts w:asciiTheme="majorHAnsi" w:hAnsiTheme="majorHAnsi" w:cstheme="majorHAnsi"/>
                <w:szCs w:val="22"/>
              </w:rPr>
              <w:t xml:space="preserve">would </w:t>
            </w:r>
            <w:r w:rsidR="005A0827">
              <w:rPr>
                <w:rStyle w:val="normaltextrun"/>
                <w:rFonts w:asciiTheme="majorHAnsi" w:hAnsiTheme="majorHAnsi" w:cstheme="majorHAnsi"/>
                <w:szCs w:val="22"/>
              </w:rPr>
              <w:t xml:space="preserve">likely result in significant </w:t>
            </w:r>
            <w:r w:rsidR="005A0827" w:rsidRPr="00134B42">
              <w:rPr>
                <w:rStyle w:val="normaltextrun"/>
                <w:rFonts w:asciiTheme="majorHAnsi" w:hAnsiTheme="majorHAnsi" w:cstheme="majorHAnsi"/>
                <w:szCs w:val="22"/>
              </w:rPr>
              <w:t>adverse economic and legal consequences.</w:t>
            </w:r>
            <w:r w:rsidRPr="00134B42">
              <w:rPr>
                <w:rStyle w:val="normaltextrun"/>
                <w:rFonts w:asciiTheme="majorHAnsi" w:hAnsiTheme="majorHAnsi" w:cstheme="majorHAnsi"/>
                <w:szCs w:val="22"/>
              </w:rPr>
              <w:t xml:space="preserve"> </w:t>
            </w:r>
            <w:r>
              <w:rPr>
                <w:rStyle w:val="normaltextrun"/>
                <w:rFonts w:asciiTheme="majorHAnsi" w:hAnsiTheme="majorHAnsi" w:cstheme="majorHAnsi"/>
                <w:szCs w:val="22"/>
              </w:rPr>
              <w:t>T</w:t>
            </w:r>
            <w:r w:rsidRPr="00134B42">
              <w:rPr>
                <w:rStyle w:val="normaltextrun"/>
                <w:rFonts w:asciiTheme="majorHAnsi" w:hAnsiTheme="majorHAnsi" w:cstheme="majorHAnsi"/>
                <w:szCs w:val="22"/>
              </w:rPr>
              <w:t xml:space="preserve">he Hilmer (1993), Dawson (2003) and Harper (2015) reviews did not recommend divestiture as a remedy to address market </w:t>
            </w:r>
            <w:r w:rsidRPr="00831153">
              <w:rPr>
                <w:rStyle w:val="normaltextrun"/>
                <w:rFonts w:asciiTheme="majorHAnsi" w:hAnsiTheme="majorHAnsi" w:cstheme="majorHAnsi"/>
                <w:szCs w:val="22"/>
              </w:rPr>
              <w:t>power concerns.</w:t>
            </w:r>
            <w:r>
              <w:rPr>
                <w:rStyle w:val="normaltextrun"/>
                <w:rFonts w:asciiTheme="majorHAnsi" w:hAnsiTheme="majorHAnsi" w:cstheme="majorHAnsi"/>
                <w:szCs w:val="22"/>
              </w:rPr>
              <w:t xml:space="preserve"> </w:t>
            </w:r>
            <w:r w:rsidR="00393719">
              <w:rPr>
                <w:rStyle w:val="normaltextrun"/>
                <w:rFonts w:asciiTheme="majorHAnsi" w:hAnsiTheme="majorHAnsi" w:cstheme="majorHAnsi"/>
                <w:szCs w:val="22"/>
              </w:rPr>
              <w:t>S</w:t>
            </w:r>
            <w:r w:rsidR="00393719">
              <w:rPr>
                <w:rStyle w:val="normaltextrun"/>
                <w:rFonts w:asciiTheme="majorHAnsi" w:hAnsiTheme="majorHAnsi" w:cstheme="majorHAnsi"/>
              </w:rPr>
              <w:t>imilarly, t</w:t>
            </w:r>
            <w:r>
              <w:rPr>
                <w:rStyle w:val="normaltextrun"/>
                <w:rFonts w:asciiTheme="majorHAnsi" w:hAnsiTheme="majorHAnsi" w:cstheme="majorHAnsi"/>
                <w:szCs w:val="22"/>
              </w:rPr>
              <w:t>he ACCC</w:t>
            </w:r>
            <w:r w:rsidR="00393719">
              <w:rPr>
                <w:rStyle w:val="normaltextrun"/>
                <w:rFonts w:asciiTheme="majorHAnsi" w:hAnsiTheme="majorHAnsi" w:cstheme="majorHAnsi"/>
                <w:szCs w:val="22"/>
              </w:rPr>
              <w:t xml:space="preserve"> d</w:t>
            </w:r>
            <w:r w:rsidR="00393719">
              <w:rPr>
                <w:rStyle w:val="normaltextrun"/>
                <w:rFonts w:asciiTheme="majorHAnsi" w:hAnsiTheme="majorHAnsi" w:cstheme="majorHAnsi"/>
              </w:rPr>
              <w:t>id not r</w:t>
            </w:r>
            <w:r w:rsidR="00393719">
              <w:rPr>
                <w:rStyle w:val="normaltextrun"/>
                <w:rFonts w:asciiTheme="majorHAnsi" w:hAnsiTheme="majorHAnsi" w:cstheme="majorHAnsi"/>
                <w:szCs w:val="22"/>
              </w:rPr>
              <w:t>ecommend divestiture powers</w:t>
            </w:r>
            <w:r w:rsidR="00AE6AC0">
              <w:rPr>
                <w:rStyle w:val="normaltextrun"/>
                <w:rFonts w:asciiTheme="majorHAnsi" w:hAnsiTheme="majorHAnsi" w:cstheme="majorHAnsi"/>
                <w:szCs w:val="22"/>
              </w:rPr>
              <w:t xml:space="preserve"> </w:t>
            </w:r>
            <w:r w:rsidR="00393719">
              <w:rPr>
                <w:rStyle w:val="normaltextrun"/>
                <w:rFonts w:asciiTheme="majorHAnsi" w:hAnsiTheme="majorHAnsi" w:cstheme="majorHAnsi"/>
                <w:szCs w:val="22"/>
              </w:rPr>
              <w:t>i</w:t>
            </w:r>
            <w:r w:rsidR="00393719">
              <w:rPr>
                <w:rStyle w:val="normaltextrun"/>
                <w:rFonts w:asciiTheme="majorHAnsi" w:hAnsiTheme="majorHAnsi" w:cstheme="majorHAnsi"/>
              </w:rPr>
              <w:t>n</w:t>
            </w:r>
            <w:r w:rsidR="00393719">
              <w:rPr>
                <w:rStyle w:val="normaltextrun"/>
                <w:rFonts w:asciiTheme="majorHAnsi" w:hAnsiTheme="majorHAnsi" w:cstheme="majorHAnsi"/>
                <w:szCs w:val="22"/>
              </w:rPr>
              <w:t xml:space="preserve"> </w:t>
            </w:r>
            <w:r>
              <w:rPr>
                <w:rStyle w:val="normaltextrun"/>
                <w:rFonts w:asciiTheme="majorHAnsi" w:hAnsiTheme="majorHAnsi" w:cstheme="majorHAnsi"/>
                <w:szCs w:val="22"/>
              </w:rPr>
              <w:t xml:space="preserve">its </w:t>
            </w:r>
            <w:r w:rsidR="00393719">
              <w:rPr>
                <w:rStyle w:val="normaltextrun"/>
                <w:rFonts w:asciiTheme="majorHAnsi" w:hAnsiTheme="majorHAnsi" w:cstheme="majorHAnsi"/>
                <w:szCs w:val="22"/>
              </w:rPr>
              <w:t xml:space="preserve">recent </w:t>
            </w:r>
            <w:r>
              <w:rPr>
                <w:rStyle w:val="normaltextrun"/>
                <w:rFonts w:asciiTheme="majorHAnsi" w:hAnsiTheme="majorHAnsi" w:cstheme="majorHAnsi"/>
                <w:szCs w:val="22"/>
              </w:rPr>
              <w:t>year-long inquiry</w:t>
            </w:r>
            <w:r w:rsidR="006A1A36">
              <w:rPr>
                <w:rStyle w:val="normaltextrun"/>
                <w:rFonts w:asciiTheme="majorHAnsi" w:hAnsiTheme="majorHAnsi" w:cstheme="majorHAnsi"/>
                <w:szCs w:val="22"/>
              </w:rPr>
              <w:t xml:space="preserve"> </w:t>
            </w:r>
            <w:r w:rsidR="006A1A36">
              <w:rPr>
                <w:rStyle w:val="normaltextrun"/>
                <w:rFonts w:asciiTheme="majorHAnsi" w:hAnsiTheme="majorHAnsi" w:cstheme="majorHAnsi"/>
              </w:rPr>
              <w:t>into the supermarket sector</w:t>
            </w:r>
            <w:r w:rsidR="00141F3D">
              <w:rPr>
                <w:rStyle w:val="normaltextrun"/>
                <w:rFonts w:asciiTheme="majorHAnsi" w:hAnsiTheme="majorHAnsi" w:cstheme="majorHAnsi"/>
              </w:rPr>
              <w:t xml:space="preserve"> (2025), and the Independent Review of the Food and Grocery Code of Conduct (2024) did not support divestiture powers</w:t>
            </w:r>
            <w:r>
              <w:rPr>
                <w:rStyle w:val="normaltextrun"/>
                <w:rFonts w:asciiTheme="majorHAnsi" w:hAnsiTheme="majorHAnsi" w:cstheme="majorHAnsi"/>
                <w:szCs w:val="22"/>
              </w:rPr>
              <w:t>.</w:t>
            </w:r>
          </w:p>
          <w:p w14:paraId="3E1D5991" w14:textId="64C77534" w:rsidR="00281DA0" w:rsidRPr="00281DA0" w:rsidRDefault="00281DA0" w:rsidP="00281DA0">
            <w:pPr>
              <w:pStyle w:val="BoxText"/>
            </w:pPr>
            <w:r w:rsidRPr="00281DA0">
              <w:t>The Government has recently implemented a comprehensive suite of reforms that directly address the underlying drivers of market concentration and market power in the supermarket sector. These include a mandatory merger control regime that commenced on 1 January 2026, targeted notification requirements for supermarket acquisitions and land holdings, strengthened planning and zoning reform efforts through the revitalised National Competition Policy, and</w:t>
            </w:r>
            <w:r w:rsidR="002154D9">
              <w:t xml:space="preserve"> implemented</w:t>
            </w:r>
            <w:r w:rsidRPr="00281DA0">
              <w:t xml:space="preserve"> new regulations prohibiting excessive pricing by very large supermarkets.</w:t>
            </w:r>
          </w:p>
          <w:p w14:paraId="0701F176" w14:textId="77777777" w:rsidR="00281DA0" w:rsidRPr="00281DA0" w:rsidRDefault="00281DA0" w:rsidP="00281DA0">
            <w:pPr>
              <w:pStyle w:val="BoxText"/>
            </w:pPr>
            <w:r w:rsidRPr="00281DA0">
              <w:t>These reforms provide a more proportionate and effective framework to promote competition and protect consumers, while avoiding the significant economic and legal risks associated with introducing sector-specific divestiture powers. The Government will continue to monitor the effectiveness of these reforms.</w:t>
            </w:r>
          </w:p>
          <w:p w14:paraId="331C1BB8" w14:textId="10378D85" w:rsidR="00ED4281" w:rsidRPr="00134B42" w:rsidRDefault="00ED4281" w:rsidP="00F53BA7">
            <w:pPr>
              <w:pStyle w:val="BoxText"/>
              <w:rPr>
                <w:caps/>
              </w:rPr>
            </w:pPr>
          </w:p>
        </w:tc>
      </w:tr>
    </w:tbl>
    <w:p w14:paraId="7849BAC4" w14:textId="77777777" w:rsidR="00DA5319" w:rsidRDefault="00DA531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74D71" w:rsidRPr="00134B42" w14:paraId="1CCEFE42" w14:textId="77777777" w:rsidTr="00FB6B0E">
        <w:trPr>
          <w:trHeight w:val="70"/>
        </w:trPr>
        <w:tc>
          <w:tcPr>
            <w:tcW w:w="9016" w:type="dxa"/>
          </w:tcPr>
          <w:p w14:paraId="1D51AA6B" w14:textId="7FEB1320" w:rsidR="00FB6B0E" w:rsidRPr="00134B42" w:rsidRDefault="000E1CCB" w:rsidP="00FB6B0E">
            <w:pPr>
              <w:pStyle w:val="BoxHeading"/>
              <w:rPr>
                <w:caps/>
              </w:rPr>
            </w:pPr>
            <w:r w:rsidRPr="00134B42">
              <w:lastRenderedPageBreak/>
              <w:t>Recommendation 2</w:t>
            </w:r>
          </w:p>
          <w:p w14:paraId="318918A9" w14:textId="5F778332" w:rsidR="007E1DB6" w:rsidRPr="00134B42" w:rsidRDefault="007E1DB6" w:rsidP="007E1DB6">
            <w:pPr>
              <w:pStyle w:val="BoxText"/>
            </w:pPr>
            <w:r w:rsidRPr="00134B42">
              <w:t xml:space="preserve">The committee recommends that the Australian Government progress legislative amendments to section 46 of the </w:t>
            </w:r>
            <w:r w:rsidRPr="00134B42">
              <w:rPr>
                <w:i/>
                <w:iCs/>
              </w:rPr>
              <w:t>Competition and Consumer Act 2010</w:t>
            </w:r>
            <w:r w:rsidRPr="00134B42">
              <w:t xml:space="preserve"> to prohibit the charging of excess prices (otherwise known as price gouging).</w:t>
            </w:r>
          </w:p>
          <w:p w14:paraId="603DB50B" w14:textId="0F8D0F1A" w:rsidR="00FB6B0E" w:rsidRPr="00DC12EB" w:rsidRDefault="000E1CCB" w:rsidP="00FB6B0E">
            <w:pPr>
              <w:pStyle w:val="BoxSubHeading"/>
              <w:keepNext w:val="0"/>
              <w:rPr>
                <w:caps/>
              </w:rPr>
            </w:pPr>
            <w:r w:rsidRPr="00DC12EB">
              <w:t xml:space="preserve">Australian Government response </w:t>
            </w:r>
          </w:p>
          <w:p w14:paraId="3A574AA7" w14:textId="390AC45C" w:rsidR="00FB6B0E" w:rsidRPr="00DC12EB" w:rsidRDefault="000E1CCB" w:rsidP="00FB6B0E">
            <w:pPr>
              <w:pStyle w:val="BoxText"/>
            </w:pPr>
            <w:r w:rsidRPr="00DC12EB">
              <w:rPr>
                <w:caps/>
              </w:rPr>
              <w:t>t</w:t>
            </w:r>
            <w:r w:rsidRPr="00DC12EB">
              <w:t xml:space="preserve">he Government </w:t>
            </w:r>
            <w:r w:rsidR="00092540">
              <w:rPr>
                <w:b/>
              </w:rPr>
              <w:t>notes</w:t>
            </w:r>
            <w:r w:rsidR="00320427">
              <w:rPr>
                <w:b/>
              </w:rPr>
              <w:t xml:space="preserve"> </w:t>
            </w:r>
            <w:r w:rsidRPr="00675861">
              <w:t>this recommendation</w:t>
            </w:r>
            <w:r w:rsidRPr="00DC12EB">
              <w:t>.</w:t>
            </w:r>
          </w:p>
          <w:p w14:paraId="1EBE58BC" w14:textId="3E3CDB64" w:rsidR="00E6186B" w:rsidRDefault="008214FF" w:rsidP="00FB6B0E">
            <w:pPr>
              <w:pStyle w:val="BoxText"/>
            </w:pPr>
            <w:r>
              <w:t>The Government has implemented</w:t>
            </w:r>
            <w:r w:rsidR="00E6186B" w:rsidRPr="00E6186B">
              <w:t xml:space="preserve"> new regulations to prohibit very large supermarkets from charging prices that are excessive</w:t>
            </w:r>
            <w:r w:rsidR="00A60F47">
              <w:t>,</w:t>
            </w:r>
            <w:r w:rsidR="00E6186B" w:rsidRPr="00E6186B">
              <w:t xml:space="preserve"> when compared to the cost of the supply plus a reasonable margin. This law will provide a safeguard for consumers against excessive prices by Australia’s two largest supermarkets.</w:t>
            </w:r>
          </w:p>
          <w:p w14:paraId="0C2FB211" w14:textId="40650E86" w:rsidR="003D3D5B" w:rsidRPr="00134B42" w:rsidRDefault="00E6186B" w:rsidP="00DA5319">
            <w:pPr>
              <w:pStyle w:val="BoxText"/>
            </w:pPr>
            <w:r w:rsidRPr="00E6186B">
              <w:t xml:space="preserve">The new regulations amend the </w:t>
            </w:r>
            <w:r w:rsidR="00A60F47">
              <w:rPr>
                <w:i/>
                <w:iCs/>
              </w:rPr>
              <w:t>Competition and Consumer (Industry Codes</w:t>
            </w:r>
            <w:r w:rsidR="00A60F47">
              <w:t>–</w:t>
            </w:r>
            <w:r w:rsidRPr="00EB1085">
              <w:rPr>
                <w:i/>
              </w:rPr>
              <w:t>Food and Grocery</w:t>
            </w:r>
            <w:r w:rsidR="00A60F47">
              <w:t xml:space="preserve">) </w:t>
            </w:r>
            <w:r w:rsidR="00A60F47" w:rsidRPr="00EB1085">
              <w:rPr>
                <w:i/>
                <w:iCs/>
              </w:rPr>
              <w:t>Regulations</w:t>
            </w:r>
            <w:r w:rsidR="00A60F47">
              <w:t xml:space="preserve"> </w:t>
            </w:r>
            <w:r w:rsidR="00A60F47" w:rsidRPr="00EB1085">
              <w:rPr>
                <w:i/>
                <w:iCs/>
              </w:rPr>
              <w:t>2024</w:t>
            </w:r>
            <w:r w:rsidRPr="00E6186B">
              <w:t xml:space="preserve"> and will come into effect on 1</w:t>
            </w:r>
            <w:r w:rsidR="003462DA">
              <w:t> </w:t>
            </w:r>
            <w:r w:rsidRPr="00E6186B">
              <w:t>July 2026, enforced by the A</w:t>
            </w:r>
            <w:r w:rsidR="00A60F47" w:rsidRPr="00E6186B">
              <w:t>C</w:t>
            </w:r>
            <w:r w:rsidRPr="00E6186B">
              <w:t>CC. Breaches of the laws attract maximum penalties of $10</w:t>
            </w:r>
            <w:r w:rsidR="003462DA">
              <w:t> </w:t>
            </w:r>
            <w:r w:rsidRPr="00E6186B">
              <w:t>million, three times the value of the benefit, or 10 per cent of the company’s turnover over the preceding 12 months.</w:t>
            </w:r>
            <w:r w:rsidR="00A60F47">
              <w:t xml:space="preserve"> </w:t>
            </w:r>
          </w:p>
        </w:tc>
      </w:tr>
      <w:tr w:rsidR="00174D71" w:rsidRPr="00134B42" w14:paraId="4B6176B8" w14:textId="77777777" w:rsidTr="00FB6B0E">
        <w:trPr>
          <w:trHeight w:val="70"/>
        </w:trPr>
        <w:tc>
          <w:tcPr>
            <w:tcW w:w="9016" w:type="dxa"/>
          </w:tcPr>
          <w:p w14:paraId="7ABED39C" w14:textId="346DC8EF" w:rsidR="00FB6B0E" w:rsidRPr="00134B42" w:rsidRDefault="000E1CCB" w:rsidP="00DA5319">
            <w:pPr>
              <w:pStyle w:val="BoxHeading"/>
              <w:rPr>
                <w:caps/>
              </w:rPr>
            </w:pPr>
            <w:r w:rsidRPr="00134B42">
              <w:lastRenderedPageBreak/>
              <w:t>Recommendation 3</w:t>
            </w:r>
          </w:p>
          <w:p w14:paraId="20A27D60" w14:textId="14A77E44" w:rsidR="007E1DB6" w:rsidRPr="00134B42" w:rsidRDefault="007E1DB6" w:rsidP="00DA5319">
            <w:pPr>
              <w:pStyle w:val="BoxText"/>
            </w:pPr>
            <w:r w:rsidRPr="00134B42">
              <w:t xml:space="preserve">The committee recommends that, as a matter of priority, the Australian Government establish a Commission on Prices and Competition to examine prices and price setting practices of industries across the economy, and review </w:t>
            </w:r>
            <w:r w:rsidR="0013347D">
              <w:t>G</w:t>
            </w:r>
            <w:r w:rsidRPr="00134B42">
              <w:t>overnment and other restrictions on effective competition which are leading to high prices. In relation to supermarkets, the commission should be provided with the authority to:</w:t>
            </w:r>
          </w:p>
          <w:p w14:paraId="14B0A006" w14:textId="77777777" w:rsidR="007E1DB6" w:rsidRPr="00134B42" w:rsidRDefault="007E1DB6" w:rsidP="00DA5319">
            <w:pPr>
              <w:pStyle w:val="Bullet"/>
              <w:spacing w:before="120" w:after="120"/>
            </w:pPr>
            <w:r w:rsidRPr="00134B42">
              <w:t>monitor and investigate supermarket prices and price setting practices, including prices along the supply chain (including the farmgate, wholesale and retail price), mark-ups and profits;</w:t>
            </w:r>
          </w:p>
          <w:p w14:paraId="56F7B8FB" w14:textId="77777777" w:rsidR="007E1DB6" w:rsidRPr="00134B42" w:rsidRDefault="007E1DB6" w:rsidP="00DA5319">
            <w:pPr>
              <w:pStyle w:val="Bullet"/>
              <w:spacing w:before="120" w:after="120"/>
            </w:pPr>
            <w:r w:rsidRPr="00134B42">
              <w:t>conduct market studies to review restrictions on competition in the supermarket sector;</w:t>
            </w:r>
          </w:p>
          <w:p w14:paraId="788054DD" w14:textId="77777777" w:rsidR="007E1DB6" w:rsidRPr="00134B42" w:rsidRDefault="007E1DB6" w:rsidP="00DA5319">
            <w:pPr>
              <w:pStyle w:val="Bullet"/>
              <w:spacing w:before="120" w:after="120"/>
            </w:pPr>
            <w:r w:rsidRPr="00134B42">
              <w:t>require supermarkets to publish historical pricing data that is transparent and accessible to both suppliers and consumers;</w:t>
            </w:r>
          </w:p>
          <w:p w14:paraId="6E44A0C3" w14:textId="77777777" w:rsidR="007E1DB6" w:rsidRPr="00134B42" w:rsidRDefault="007E1DB6" w:rsidP="00DA5319">
            <w:pPr>
              <w:pStyle w:val="Bullet"/>
              <w:spacing w:before="120" w:after="120"/>
            </w:pPr>
            <w:r w:rsidRPr="00134B42">
              <w:t>access any data and information required to undertake its work, including supermarket pricing, mark-ups and profits data and price setting policies (both historical and current);</w:t>
            </w:r>
          </w:p>
          <w:p w14:paraId="59D84A0E" w14:textId="77777777" w:rsidR="007E1DB6" w:rsidRPr="00134B42" w:rsidRDefault="007E1DB6" w:rsidP="00DA5319">
            <w:pPr>
              <w:pStyle w:val="Bullet"/>
              <w:spacing w:before="120" w:after="120"/>
            </w:pPr>
            <w:r w:rsidRPr="00134B42">
              <w:t>make referrals to the Australian Competition and Consumer Commission for enforcement; and</w:t>
            </w:r>
          </w:p>
          <w:p w14:paraId="599DE69B" w14:textId="77777777" w:rsidR="007E1DB6" w:rsidRPr="00134B42" w:rsidRDefault="007E1DB6" w:rsidP="00DA5319">
            <w:pPr>
              <w:pStyle w:val="Bullet"/>
              <w:spacing w:before="120" w:after="120"/>
            </w:pPr>
            <w:r w:rsidRPr="00134B42">
              <w:t>publish reports as required and at least on an annual basis.</w:t>
            </w:r>
          </w:p>
          <w:p w14:paraId="0C488DD0" w14:textId="77777777" w:rsidR="00FB6B0E" w:rsidRPr="00831153" w:rsidRDefault="000E1CCB" w:rsidP="00DA5319">
            <w:pPr>
              <w:pStyle w:val="BoxSubHeading"/>
              <w:keepNext w:val="0"/>
              <w:rPr>
                <w:caps/>
              </w:rPr>
            </w:pPr>
            <w:r w:rsidRPr="00831153">
              <w:t xml:space="preserve">Australian Government response </w:t>
            </w:r>
          </w:p>
          <w:p w14:paraId="7B5979F7" w14:textId="067F4784" w:rsidR="001D6153" w:rsidRPr="00831153" w:rsidRDefault="000E1CCB" w:rsidP="00DA5319">
            <w:pPr>
              <w:pStyle w:val="BoxText"/>
            </w:pPr>
            <w:r w:rsidRPr="00831153">
              <w:rPr>
                <w:caps/>
              </w:rPr>
              <w:t>t</w:t>
            </w:r>
            <w:r w:rsidRPr="00831153">
              <w:t xml:space="preserve">he Government </w:t>
            </w:r>
            <w:r w:rsidR="00D639CA">
              <w:rPr>
                <w:b/>
                <w:bCs/>
              </w:rPr>
              <w:t>does not support</w:t>
            </w:r>
            <w:r w:rsidR="00D639CA" w:rsidRPr="00D639CA">
              <w:rPr>
                <w:b/>
                <w:bCs/>
              </w:rPr>
              <w:t xml:space="preserve"> </w:t>
            </w:r>
            <w:r w:rsidRPr="00831153">
              <w:t>this recommendation.</w:t>
            </w:r>
          </w:p>
          <w:p w14:paraId="41B50674" w14:textId="24A69E72" w:rsidR="00170A8E" w:rsidRPr="00170A8E" w:rsidRDefault="00170A8E" w:rsidP="00170A8E">
            <w:pPr>
              <w:pStyle w:val="Bullet"/>
              <w:numPr>
                <w:ilvl w:val="0"/>
                <w:numId w:val="0"/>
              </w:numPr>
              <w:spacing w:before="120" w:after="120"/>
            </w:pPr>
            <w:r w:rsidRPr="00170A8E">
              <w:t xml:space="preserve">The ACCC can investigate and </w:t>
            </w:r>
            <w:proofErr w:type="gramStart"/>
            <w:r w:rsidRPr="00170A8E">
              <w:t>take action</w:t>
            </w:r>
            <w:proofErr w:type="gramEnd"/>
            <w:r w:rsidRPr="00170A8E">
              <w:t xml:space="preserve"> against businesses that mislead consumers about pricing, as well as those involved in price fixing or other anti</w:t>
            </w:r>
            <w:r w:rsidRPr="00170A8E">
              <w:noBreakHyphen/>
              <w:t>competitive conduct</w:t>
            </w:r>
            <w:r>
              <w:t>.</w:t>
            </w:r>
          </w:p>
          <w:p w14:paraId="36F9D8D3" w14:textId="02633C23" w:rsidR="001A5D4E" w:rsidRDefault="009E6B2A" w:rsidP="00DA5319">
            <w:pPr>
              <w:pStyle w:val="Bullet"/>
              <w:numPr>
                <w:ilvl w:val="0"/>
                <w:numId w:val="0"/>
              </w:numPr>
              <w:spacing w:before="120" w:after="120"/>
              <w:rPr>
                <w:rFonts w:cs="Arial"/>
                <w:szCs w:val="28"/>
              </w:rPr>
            </w:pPr>
            <w:r>
              <w:t xml:space="preserve">The </w:t>
            </w:r>
            <w:r w:rsidR="00D741B2">
              <w:t xml:space="preserve">Government directed the </w:t>
            </w:r>
            <w:r w:rsidRPr="00395632">
              <w:rPr>
                <w:rFonts w:cs="Arial"/>
                <w:szCs w:val="28"/>
              </w:rPr>
              <w:t>ACCC</w:t>
            </w:r>
            <w:r w:rsidR="00D741B2">
              <w:rPr>
                <w:rFonts w:cs="Arial"/>
                <w:szCs w:val="28"/>
              </w:rPr>
              <w:t xml:space="preserve"> to</w:t>
            </w:r>
            <w:r w:rsidRPr="00395632">
              <w:rPr>
                <w:rFonts w:cs="Arial"/>
                <w:szCs w:val="28"/>
              </w:rPr>
              <w:t xml:space="preserve"> </w:t>
            </w:r>
            <w:r w:rsidR="00D741B2">
              <w:rPr>
                <w:rFonts w:cs="Arial"/>
                <w:szCs w:val="28"/>
              </w:rPr>
              <w:t xml:space="preserve">conduct </w:t>
            </w:r>
            <w:r w:rsidRPr="00395632">
              <w:rPr>
                <w:rFonts w:cs="Arial"/>
                <w:szCs w:val="28"/>
              </w:rPr>
              <w:t>an inquiry into pricing and competition in Australia’s supermarket sector</w:t>
            </w:r>
            <w:r w:rsidR="00A03727">
              <w:rPr>
                <w:rFonts w:cs="Arial"/>
                <w:szCs w:val="28"/>
              </w:rPr>
              <w:t xml:space="preserve"> </w:t>
            </w:r>
            <w:r w:rsidR="00F957FA" w:rsidRPr="00F957FA">
              <w:rPr>
                <w:rFonts w:cs="Arial"/>
                <w:szCs w:val="28"/>
              </w:rPr>
              <w:t xml:space="preserve">including the pricing practices of the supermarkets and the relationship between wholesale </w:t>
            </w:r>
            <w:r w:rsidR="00B479DD">
              <w:rPr>
                <w:rFonts w:cs="Arial"/>
                <w:szCs w:val="28"/>
              </w:rPr>
              <w:t>(</w:t>
            </w:r>
            <w:r w:rsidR="00F957FA" w:rsidRPr="00F957FA">
              <w:rPr>
                <w:rFonts w:cs="Arial"/>
                <w:szCs w:val="28"/>
              </w:rPr>
              <w:t>including farmgate</w:t>
            </w:r>
            <w:r w:rsidR="00B479DD">
              <w:rPr>
                <w:rFonts w:cs="Arial"/>
                <w:szCs w:val="28"/>
              </w:rPr>
              <w:t>)</w:t>
            </w:r>
            <w:r w:rsidR="00F957FA" w:rsidRPr="00F957FA">
              <w:rPr>
                <w:rFonts w:cs="Arial"/>
                <w:szCs w:val="28"/>
              </w:rPr>
              <w:t xml:space="preserve"> and retail prices</w:t>
            </w:r>
            <w:r w:rsidRPr="00395632">
              <w:rPr>
                <w:rFonts w:cs="Arial"/>
                <w:szCs w:val="28"/>
              </w:rPr>
              <w:t>.</w:t>
            </w:r>
            <w:bookmarkStart w:id="11" w:name="_Hlk193281841"/>
            <w:r>
              <w:rPr>
                <w:rFonts w:cs="Arial"/>
                <w:szCs w:val="28"/>
              </w:rPr>
              <w:t xml:space="preserve"> </w:t>
            </w:r>
            <w:r w:rsidRPr="00F66E43">
              <w:rPr>
                <w:rFonts w:cs="Arial"/>
                <w:szCs w:val="28"/>
              </w:rPr>
              <w:t>The Government agrees in principle with the recommendations</w:t>
            </w:r>
            <w:r w:rsidR="00F957FA">
              <w:rPr>
                <w:rFonts w:cs="Arial"/>
                <w:szCs w:val="28"/>
              </w:rPr>
              <w:t xml:space="preserve"> from the inquiry</w:t>
            </w:r>
            <w:r w:rsidR="00AB1686">
              <w:rPr>
                <w:rFonts w:cs="Arial"/>
                <w:szCs w:val="28"/>
              </w:rPr>
              <w:t xml:space="preserve"> and has commenced work implementing these recommendations</w:t>
            </w:r>
            <w:r w:rsidRPr="00F66E43">
              <w:rPr>
                <w:rFonts w:cs="Arial"/>
                <w:szCs w:val="28"/>
              </w:rPr>
              <w:t>, which build on actions the Government has already taken and will be considered as part of our existing work</w:t>
            </w:r>
            <w:r>
              <w:rPr>
                <w:rFonts w:cs="Arial"/>
                <w:szCs w:val="28"/>
              </w:rPr>
              <w:t xml:space="preserve">. </w:t>
            </w:r>
          </w:p>
          <w:p w14:paraId="4709507C" w14:textId="3FB96E62" w:rsidR="001D6153" w:rsidRPr="00134B42" w:rsidRDefault="009E6B2A" w:rsidP="00DA5319">
            <w:pPr>
              <w:pStyle w:val="BoxText"/>
            </w:pPr>
            <w:r>
              <w:t xml:space="preserve">Additionally, </w:t>
            </w:r>
            <w:r w:rsidR="00B479DD">
              <w:t xml:space="preserve">the Government has </w:t>
            </w:r>
            <w:r w:rsidR="002154D9">
              <w:t xml:space="preserve">implemented </w:t>
            </w:r>
            <w:r w:rsidR="00A60F47">
              <w:t xml:space="preserve">regulations to </w:t>
            </w:r>
            <w:r w:rsidR="00BC5F7D">
              <w:t>prohibi</w:t>
            </w:r>
            <w:r w:rsidR="00A60F47">
              <w:t>t</w:t>
            </w:r>
            <w:r w:rsidR="00BC5F7D">
              <w:t xml:space="preserve"> very large supermarkets from charging excessive prices for groceries through amendments to the </w:t>
            </w:r>
            <w:r w:rsidR="00A60F47">
              <w:rPr>
                <w:i/>
                <w:iCs/>
              </w:rPr>
              <w:t>Competition and Consumer (Industry Codes</w:t>
            </w:r>
            <w:r w:rsidR="00A60F47">
              <w:t>–</w:t>
            </w:r>
            <w:r w:rsidR="00A60F47" w:rsidRPr="009441CB">
              <w:rPr>
                <w:i/>
                <w:iCs/>
              </w:rPr>
              <w:t>Food and Grocery</w:t>
            </w:r>
            <w:r w:rsidR="00A60F47">
              <w:t xml:space="preserve">) </w:t>
            </w:r>
            <w:r w:rsidR="00A60F47" w:rsidRPr="009441CB">
              <w:rPr>
                <w:i/>
                <w:iCs/>
              </w:rPr>
              <w:t>Regulations</w:t>
            </w:r>
            <w:r w:rsidR="00A60F47">
              <w:t xml:space="preserve"> </w:t>
            </w:r>
            <w:r w:rsidR="00A60F47" w:rsidRPr="009441CB">
              <w:rPr>
                <w:i/>
                <w:iCs/>
              </w:rPr>
              <w:t>2024</w:t>
            </w:r>
            <w:r w:rsidR="00BC5F7D">
              <w:t>, which will come into effect on 1</w:t>
            </w:r>
            <w:r w:rsidR="000238B7">
              <w:t> </w:t>
            </w:r>
            <w:r w:rsidR="00BC5F7D">
              <w:t>July 2026.</w:t>
            </w:r>
            <w:r w:rsidR="001A5D4E">
              <w:t xml:space="preserve"> </w:t>
            </w:r>
            <w:bookmarkEnd w:id="11"/>
            <w:r w:rsidR="005E76A6">
              <w:t xml:space="preserve">These new laws will be </w:t>
            </w:r>
            <w:r w:rsidR="00932D93">
              <w:t>policed</w:t>
            </w:r>
            <w:r w:rsidR="005E76A6">
              <w:t xml:space="preserve"> by the ACCC and require very large supermarkets to keep pricing information for</w:t>
            </w:r>
            <w:r w:rsidR="00B90F3E">
              <w:t xml:space="preserve"> at least</w:t>
            </w:r>
            <w:r w:rsidR="005E76A6">
              <w:t xml:space="preserve"> three years to </w:t>
            </w:r>
            <w:r w:rsidR="00932D93">
              <w:t>assist</w:t>
            </w:r>
            <w:r w:rsidR="005E76A6">
              <w:t xml:space="preserve"> the ACCC</w:t>
            </w:r>
            <w:r w:rsidR="00932D93">
              <w:t xml:space="preserve"> in enforcing the prohibition.</w:t>
            </w:r>
          </w:p>
        </w:tc>
      </w:tr>
    </w:tbl>
    <w:p w14:paraId="2D17C5C5" w14:textId="77777777" w:rsidR="00BA7E92" w:rsidRDefault="00BA7E92"/>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E1DB6" w:rsidRPr="00134B42" w14:paraId="6BB35065" w14:textId="77777777">
        <w:trPr>
          <w:trHeight w:val="70"/>
        </w:trPr>
        <w:tc>
          <w:tcPr>
            <w:tcW w:w="9016" w:type="dxa"/>
          </w:tcPr>
          <w:p w14:paraId="7D9FF931" w14:textId="726F11DB" w:rsidR="007E1DB6" w:rsidRPr="00134B42" w:rsidRDefault="007E1DB6">
            <w:pPr>
              <w:pStyle w:val="BoxHeading"/>
              <w:rPr>
                <w:caps/>
              </w:rPr>
            </w:pPr>
            <w:r w:rsidRPr="00134B42">
              <w:lastRenderedPageBreak/>
              <w:t>Recommendation 4</w:t>
            </w:r>
          </w:p>
          <w:p w14:paraId="369A88BC" w14:textId="77777777" w:rsidR="009D7FDB" w:rsidRPr="00134B42" w:rsidRDefault="009D7FDB">
            <w:pPr>
              <w:pStyle w:val="BoxSubHeading"/>
              <w:keepNext w:val="0"/>
              <w:rPr>
                <w:rFonts w:ascii="Open Sans" w:hAnsi="Open Sans" w:cs="Open Sans"/>
                <w:color w:val="222222"/>
                <w:sz w:val="23"/>
                <w:szCs w:val="23"/>
                <w:shd w:val="clear" w:color="auto" w:fill="FFFFFF"/>
              </w:rPr>
            </w:pPr>
            <w:r w:rsidRPr="00134B42">
              <w:rPr>
                <w:bCs w:val="0"/>
                <w:i w:val="0"/>
                <w:iCs w:val="0"/>
                <w:color w:val="auto"/>
                <w:sz w:val="22"/>
                <w:szCs w:val="20"/>
              </w:rPr>
              <w:t>The committee recommends the Australian Government progress legislative amendments to allow the Australian Competition and Consumer Commission (ACCC) the authority to investigate and prosecute unfair trading practices</w:t>
            </w:r>
            <w:r w:rsidRPr="00134B42">
              <w:rPr>
                <w:rFonts w:ascii="Open Sans" w:hAnsi="Open Sans" w:cs="Open Sans"/>
                <w:color w:val="222222"/>
                <w:sz w:val="23"/>
                <w:szCs w:val="23"/>
                <w:shd w:val="clear" w:color="auto" w:fill="FFFFFF"/>
              </w:rPr>
              <w:t>.</w:t>
            </w:r>
          </w:p>
          <w:p w14:paraId="78BFEA40" w14:textId="7EE1C6F4" w:rsidR="007E1DB6" w:rsidRPr="00134B42" w:rsidRDefault="007E1DB6">
            <w:pPr>
              <w:pStyle w:val="BoxSubHeading"/>
              <w:keepNext w:val="0"/>
              <w:rPr>
                <w:caps/>
              </w:rPr>
            </w:pPr>
            <w:r w:rsidRPr="00134B42">
              <w:t xml:space="preserve">Australian Government response </w:t>
            </w:r>
          </w:p>
          <w:p w14:paraId="758A970D" w14:textId="615E0509" w:rsidR="007E1DB6" w:rsidRPr="00B43676" w:rsidRDefault="007E1DB6" w:rsidP="00ED7469">
            <w:pPr>
              <w:pStyle w:val="BoxText"/>
            </w:pPr>
            <w:r w:rsidRPr="00395B97">
              <w:rPr>
                <w:caps/>
              </w:rPr>
              <w:t>t</w:t>
            </w:r>
            <w:r w:rsidRPr="00395B97">
              <w:t xml:space="preserve">he Government </w:t>
            </w:r>
            <w:r w:rsidR="00504D93" w:rsidRPr="000F031A">
              <w:rPr>
                <w:b/>
              </w:rPr>
              <w:t xml:space="preserve">supports </w:t>
            </w:r>
            <w:r w:rsidRPr="00395B97">
              <w:t>this recommendation.</w:t>
            </w:r>
          </w:p>
          <w:p w14:paraId="03B05AE1" w14:textId="41F9AE3D" w:rsidR="0074762D" w:rsidRDefault="00BC7E62" w:rsidP="001C3C62">
            <w:pPr>
              <w:pStyle w:val="BoxText"/>
            </w:pPr>
            <w:r w:rsidRPr="00BC7E62">
              <w:t xml:space="preserve">In </w:t>
            </w:r>
            <w:r w:rsidR="00B417AD">
              <w:t>April 2026, the Government</w:t>
            </w:r>
            <w:r w:rsidRPr="00BC7E62">
              <w:t xml:space="preserve">, following agreement by </w:t>
            </w:r>
            <w:r w:rsidR="000238B7">
              <w:t>s</w:t>
            </w:r>
            <w:r w:rsidRPr="00BC7E62">
              <w:t xml:space="preserve">tates and </w:t>
            </w:r>
            <w:r w:rsidR="000238B7">
              <w:t>t</w:t>
            </w:r>
            <w:r w:rsidRPr="00BC7E62">
              <w:t xml:space="preserve">erritories, </w:t>
            </w:r>
            <w:r w:rsidR="00B417AD">
              <w:t xml:space="preserve">introduced the </w:t>
            </w:r>
            <w:r w:rsidR="00B417AD" w:rsidRPr="001C3C62">
              <w:rPr>
                <w:i/>
                <w:iCs/>
              </w:rPr>
              <w:t>Competition and Consumer Amendment (Unfair Trading Practices) Bill 2026</w:t>
            </w:r>
            <w:r w:rsidR="00B417AD">
              <w:t xml:space="preserve"> </w:t>
            </w:r>
            <w:r w:rsidR="00A75B31" w:rsidRPr="00A75B31">
              <w:t>to protect consumers from unfair trading practices. This includes introducing a general prohibition on practices that manipulate consumer decision</w:t>
            </w:r>
            <w:r w:rsidR="00A75B31" w:rsidRPr="00A75B31">
              <w:noBreakHyphen/>
              <w:t xml:space="preserve">making and cause harm, as well as specific protections against subscription traps and hidden </w:t>
            </w:r>
            <w:r w:rsidR="00FD4BB8" w:rsidRPr="00A75B31">
              <w:t>fees.</w:t>
            </w:r>
            <w:r w:rsidR="00FD4BB8">
              <w:t xml:space="preserve"> The</w:t>
            </w:r>
            <w:r w:rsidR="00D26357">
              <w:t xml:space="preserve"> Bill has passed the House of </w:t>
            </w:r>
            <w:r w:rsidR="00FD4BB8">
              <w:t>Representatives</w:t>
            </w:r>
            <w:r w:rsidR="00D26357">
              <w:t xml:space="preserve"> and is before the Senate for consideration.</w:t>
            </w:r>
          </w:p>
          <w:p w14:paraId="60D1CD06" w14:textId="475E31FC" w:rsidR="00F23FD5" w:rsidRPr="00FD4BB8" w:rsidRDefault="00A75B31" w:rsidP="001C3C62">
            <w:pPr>
              <w:pStyle w:val="BoxText"/>
            </w:pPr>
            <w:r w:rsidRPr="00A75B31">
              <w:t>On 14 March 2025, the Government committed to progressing work to extend unfair trading practice protections to small businesses. Treasury will consult on the design of these protections, including whether a principles</w:t>
            </w:r>
            <w:r w:rsidRPr="00A75B31">
              <w:noBreakHyphen/>
              <w:t>based prohibition should apply and whether specific unfair trading practices should be targeted to protect small businesses.</w:t>
            </w:r>
          </w:p>
        </w:tc>
      </w:tr>
      <w:tr w:rsidR="007E1DB6" w:rsidRPr="00134B42" w14:paraId="78CC88A9" w14:textId="77777777" w:rsidTr="00744D8C">
        <w:trPr>
          <w:trHeight w:val="70"/>
        </w:trPr>
        <w:tc>
          <w:tcPr>
            <w:tcW w:w="9016" w:type="dxa"/>
          </w:tcPr>
          <w:p w14:paraId="59201E23" w14:textId="6C3AD221" w:rsidR="007E1DB6" w:rsidRPr="005E5D1B" w:rsidRDefault="007E1DB6" w:rsidP="00DA5319">
            <w:pPr>
              <w:pStyle w:val="BoxHeading"/>
              <w:rPr>
                <w:caps/>
              </w:rPr>
            </w:pPr>
            <w:bookmarkStart w:id="12" w:name="_Hlk203385376"/>
            <w:r w:rsidRPr="005E5D1B">
              <w:lastRenderedPageBreak/>
              <w:t>Recommendation 5</w:t>
            </w:r>
          </w:p>
          <w:p w14:paraId="261EC4A2" w14:textId="77777777" w:rsidR="009D7FDB" w:rsidRPr="005E5D1B" w:rsidRDefault="009D7FDB" w:rsidP="00DA5319">
            <w:pPr>
              <w:pStyle w:val="BoxSubHeading"/>
              <w:keepNext w:val="0"/>
              <w:rPr>
                <w:bCs w:val="0"/>
                <w:i w:val="0"/>
                <w:iCs w:val="0"/>
                <w:color w:val="auto"/>
                <w:sz w:val="22"/>
                <w:szCs w:val="20"/>
              </w:rPr>
            </w:pPr>
            <w:r w:rsidRPr="005E5D1B">
              <w:rPr>
                <w:bCs w:val="0"/>
                <w:i w:val="0"/>
                <w:iCs w:val="0"/>
                <w:color w:val="auto"/>
                <w:sz w:val="22"/>
                <w:szCs w:val="20"/>
              </w:rPr>
              <w:t>The committee recommends that The Treasury take immediate steps to make the Food and Grocery Code of Conduct mandatory, with an appropriate regime of financial and other penalties for breaches and protections against supplier retribution. The code should be made mandatory as soon as possible and no later than 30 September 2024.</w:t>
            </w:r>
          </w:p>
          <w:p w14:paraId="47FD4E35" w14:textId="22055922" w:rsidR="009D7FDB" w:rsidRPr="005E5D1B" w:rsidRDefault="009D7FDB" w:rsidP="00DA5319">
            <w:pPr>
              <w:pStyle w:val="BoxSubHeading"/>
              <w:keepNext w:val="0"/>
              <w:rPr>
                <w:bCs w:val="0"/>
                <w:i w:val="0"/>
                <w:iCs w:val="0"/>
                <w:color w:val="auto"/>
                <w:sz w:val="22"/>
                <w:szCs w:val="20"/>
              </w:rPr>
            </w:pPr>
            <w:r w:rsidRPr="005E5D1B">
              <w:rPr>
                <w:bCs w:val="0"/>
                <w:i w:val="0"/>
                <w:iCs w:val="0"/>
                <w:color w:val="auto"/>
                <w:sz w:val="22"/>
                <w:szCs w:val="20"/>
              </w:rPr>
              <w:t>To ensure complete supply chain protection, the mandatory Food and Grocery Code of Conduct must include the Dairy Code of Conduct and the Horticulture Code of Conduct as schedules.</w:t>
            </w:r>
          </w:p>
          <w:p w14:paraId="56FB8D1E" w14:textId="544DCEA4" w:rsidR="009D7FDB" w:rsidRPr="005E5D1B" w:rsidRDefault="009D7FDB" w:rsidP="00DA5319">
            <w:pPr>
              <w:pStyle w:val="BoxSubHeading"/>
              <w:keepNext w:val="0"/>
              <w:rPr>
                <w:bCs w:val="0"/>
                <w:i w:val="0"/>
                <w:iCs w:val="0"/>
                <w:color w:val="auto"/>
                <w:sz w:val="22"/>
                <w:szCs w:val="20"/>
              </w:rPr>
            </w:pPr>
            <w:r w:rsidRPr="005E5D1B">
              <w:rPr>
                <w:bCs w:val="0"/>
                <w:i w:val="0"/>
                <w:iCs w:val="0"/>
                <w:color w:val="auto"/>
                <w:sz w:val="22"/>
                <w:szCs w:val="20"/>
              </w:rPr>
              <w:t>The Food and Grocery Code of Conduct should:</w:t>
            </w:r>
          </w:p>
          <w:p w14:paraId="0B618A66" w14:textId="77777777" w:rsidR="009D7FDB" w:rsidRPr="005E5D1B" w:rsidRDefault="009D7FDB" w:rsidP="00DA5319">
            <w:pPr>
              <w:pStyle w:val="Bullet"/>
              <w:spacing w:before="120" w:after="120"/>
            </w:pPr>
            <w:r w:rsidRPr="005E5D1B">
              <w:t xml:space="preserve">be fully mandatory for retailers with enforceable </w:t>
            </w:r>
            <w:proofErr w:type="gramStart"/>
            <w:r w:rsidRPr="005E5D1B">
              <w:t>rules;</w:t>
            </w:r>
            <w:proofErr w:type="gramEnd"/>
          </w:p>
          <w:p w14:paraId="38071E02" w14:textId="77777777" w:rsidR="009D7FDB" w:rsidRPr="005E5D1B" w:rsidRDefault="009D7FDB" w:rsidP="00DA5319">
            <w:pPr>
              <w:pStyle w:val="Bullet"/>
              <w:spacing w:before="120" w:after="120"/>
            </w:pPr>
            <w:r w:rsidRPr="005E5D1B">
              <w:t xml:space="preserve">be enforceable with substantial penalties for </w:t>
            </w:r>
            <w:proofErr w:type="gramStart"/>
            <w:r w:rsidRPr="005E5D1B">
              <w:t>breaches;</w:t>
            </w:r>
            <w:proofErr w:type="gramEnd"/>
          </w:p>
          <w:p w14:paraId="0416F9FD" w14:textId="77777777" w:rsidR="009D7FDB" w:rsidRPr="005E5D1B" w:rsidRDefault="009D7FDB" w:rsidP="00DA5319">
            <w:pPr>
              <w:pStyle w:val="Bullet"/>
              <w:spacing w:before="120" w:after="120"/>
            </w:pPr>
            <w:r w:rsidRPr="005E5D1B">
              <w:t xml:space="preserve">include mandatory minimum standards that cannot be 'opted out' </w:t>
            </w:r>
            <w:proofErr w:type="gramStart"/>
            <w:r w:rsidRPr="005E5D1B">
              <w:t>of;</w:t>
            </w:r>
            <w:proofErr w:type="gramEnd"/>
          </w:p>
          <w:p w14:paraId="0081086D" w14:textId="77777777" w:rsidR="009D7FDB" w:rsidRPr="005E5D1B" w:rsidRDefault="009D7FDB" w:rsidP="00DA5319">
            <w:pPr>
              <w:pStyle w:val="Bullet"/>
              <w:spacing w:before="120" w:after="120"/>
            </w:pPr>
            <w:r w:rsidRPr="005E5D1B">
              <w:t xml:space="preserve">be overseen by Code arbiters who are fully independent of supermarkets, who should proactively conduct random </w:t>
            </w:r>
            <w:proofErr w:type="gramStart"/>
            <w:r w:rsidRPr="005E5D1B">
              <w:t>audits</w:t>
            </w:r>
            <w:proofErr w:type="gramEnd"/>
            <w:r w:rsidRPr="005E5D1B">
              <w:t xml:space="preserve"> so suppliers have anonymity in the process;</w:t>
            </w:r>
          </w:p>
          <w:p w14:paraId="712CE2D6" w14:textId="77777777" w:rsidR="009D7FDB" w:rsidRPr="005E5D1B" w:rsidRDefault="009D7FDB" w:rsidP="00DA5319">
            <w:pPr>
              <w:pStyle w:val="Bullet"/>
              <w:spacing w:before="120" w:after="120"/>
            </w:pPr>
            <w:r w:rsidRPr="005E5D1B">
              <w:t xml:space="preserve">create provisions specifically for the trading of fresh produce, reflecting the perishability of the product and the particular vulnerability of </w:t>
            </w:r>
            <w:proofErr w:type="gramStart"/>
            <w:r w:rsidRPr="005E5D1B">
              <w:t>suppliers;</w:t>
            </w:r>
            <w:proofErr w:type="gramEnd"/>
          </w:p>
          <w:p w14:paraId="62071025" w14:textId="77777777" w:rsidR="009D7FDB" w:rsidRPr="005E5D1B" w:rsidRDefault="009D7FDB" w:rsidP="00DA5319">
            <w:pPr>
              <w:pStyle w:val="Bullet"/>
              <w:spacing w:before="120" w:after="120"/>
            </w:pPr>
            <w:r w:rsidRPr="005E5D1B">
              <w:t xml:space="preserve">create a portal for suppliers to lodge issues, and once a threshold is met and a consistent theme is identified, the ACCC can investigate the </w:t>
            </w:r>
            <w:proofErr w:type="gramStart"/>
            <w:r w:rsidRPr="005E5D1B">
              <w:t>issue;</w:t>
            </w:r>
            <w:proofErr w:type="gramEnd"/>
          </w:p>
          <w:p w14:paraId="4403501B" w14:textId="77777777" w:rsidR="009D7FDB" w:rsidRPr="005E5D1B" w:rsidRDefault="009D7FDB" w:rsidP="00DA5319">
            <w:pPr>
              <w:pStyle w:val="Bullet"/>
              <w:spacing w:before="120" w:after="120"/>
            </w:pPr>
            <w:r w:rsidRPr="005E5D1B">
              <w:t>investigate implementing measures under the Code that provide suppliers with improved information symmetry, which should include creating a price register for farmers to assist them in understanding market prices across primary industries; and</w:t>
            </w:r>
          </w:p>
          <w:p w14:paraId="4E24EE87" w14:textId="77777777" w:rsidR="009D7FDB" w:rsidRPr="005E5D1B" w:rsidRDefault="009D7FDB" w:rsidP="00DA5319">
            <w:pPr>
              <w:pStyle w:val="Bullet"/>
              <w:spacing w:before="120" w:after="120"/>
            </w:pPr>
            <w:r w:rsidRPr="005E5D1B">
              <w:t>a public consultation period to implement all of the above.</w:t>
            </w:r>
          </w:p>
          <w:p w14:paraId="355FBFB4" w14:textId="21612D71" w:rsidR="007E1DB6" w:rsidRPr="005E5D1B" w:rsidRDefault="007E1DB6" w:rsidP="00DA5319">
            <w:pPr>
              <w:pStyle w:val="BoxSubHeading"/>
              <w:keepNext w:val="0"/>
              <w:rPr>
                <w:caps/>
              </w:rPr>
            </w:pPr>
            <w:r w:rsidRPr="005E5D1B">
              <w:t xml:space="preserve">Australian Government response </w:t>
            </w:r>
          </w:p>
          <w:p w14:paraId="354A2DB0" w14:textId="39C4CB64" w:rsidR="007E1DB6" w:rsidRPr="005E5D1B" w:rsidRDefault="007E1DB6" w:rsidP="00DA5319">
            <w:pPr>
              <w:pStyle w:val="BoxText"/>
            </w:pPr>
            <w:r w:rsidRPr="005E5D1B">
              <w:rPr>
                <w:caps/>
              </w:rPr>
              <w:t>t</w:t>
            </w:r>
            <w:r w:rsidRPr="005E5D1B">
              <w:t xml:space="preserve">he Government </w:t>
            </w:r>
            <w:r w:rsidR="004240AB" w:rsidRPr="005E5D1B">
              <w:rPr>
                <w:b/>
                <w:bCs/>
              </w:rPr>
              <w:t>notes</w:t>
            </w:r>
            <w:r w:rsidRPr="005E5D1B">
              <w:t xml:space="preserve"> this recommendation.</w:t>
            </w:r>
          </w:p>
          <w:p w14:paraId="1E1DFECE" w14:textId="1BB53A33" w:rsidR="006B1C3F" w:rsidRDefault="001033E2" w:rsidP="00DA5319">
            <w:pPr>
              <w:pStyle w:val="Bullet"/>
              <w:numPr>
                <w:ilvl w:val="0"/>
                <w:numId w:val="0"/>
              </w:numPr>
              <w:spacing w:before="120" w:after="120"/>
            </w:pPr>
            <w:r>
              <w:t>On 12 December 2024, t</w:t>
            </w:r>
            <w:r w:rsidR="004E3E4E">
              <w:t xml:space="preserve">he Government remade </w:t>
            </w:r>
            <w:r w:rsidR="00C85814" w:rsidRPr="005E5D1B">
              <w:t>the Food and Grocery Code of Conduct</w:t>
            </w:r>
            <w:r w:rsidR="000C5D44" w:rsidRPr="005E5D1B">
              <w:t xml:space="preserve"> </w:t>
            </w:r>
            <w:r w:rsidR="00C85814" w:rsidRPr="005E5D1B">
              <w:t>as a mandatory code</w:t>
            </w:r>
            <w:r w:rsidR="006B1C3F">
              <w:t xml:space="preserve">, following an extensive independent review by Dr Craig Emerson. The new code </w:t>
            </w:r>
            <w:r>
              <w:t xml:space="preserve">came into force </w:t>
            </w:r>
            <w:r w:rsidR="006B1C3F">
              <w:t>on 1 April 2025.</w:t>
            </w:r>
          </w:p>
          <w:p w14:paraId="0A0CBAC2" w14:textId="1D49CD09" w:rsidR="00C85814" w:rsidRPr="005E5D1B" w:rsidRDefault="00085388" w:rsidP="00FB1963">
            <w:pPr>
              <w:pStyle w:val="Bullet"/>
              <w:numPr>
                <w:ilvl w:val="0"/>
                <w:numId w:val="0"/>
              </w:numPr>
              <w:spacing w:before="120" w:after="120"/>
            </w:pPr>
            <w:r>
              <w:t xml:space="preserve">The new code implements recommendations from Dr Emerson’s review and contains </w:t>
            </w:r>
            <w:r w:rsidR="003046FC">
              <w:t>a range of measures to</w:t>
            </w:r>
            <w:r>
              <w:t xml:space="preserve"> level the playing field for farmers and producers, </w:t>
            </w:r>
            <w:proofErr w:type="gramStart"/>
            <w:r>
              <w:t>including:</w:t>
            </w:r>
            <w:proofErr w:type="gramEnd"/>
            <w:r w:rsidR="00FB1963">
              <w:t xml:space="preserve"> </w:t>
            </w:r>
            <w:r w:rsidR="00555E4C">
              <w:t>heavy</w:t>
            </w:r>
            <w:r w:rsidR="00066299">
              <w:t xml:space="preserve"> </w:t>
            </w:r>
            <w:r w:rsidR="00C85814" w:rsidRPr="005E5D1B">
              <w:t xml:space="preserve">penalties </w:t>
            </w:r>
            <w:r w:rsidR="00066299">
              <w:t>for breaches</w:t>
            </w:r>
            <w:r w:rsidR="00555E4C">
              <w:t xml:space="preserve"> of the code</w:t>
            </w:r>
            <w:r w:rsidR="00FB1963">
              <w:t xml:space="preserve">; </w:t>
            </w:r>
            <w:r w:rsidR="00555E4C">
              <w:t>new obligations to protect suppliers from retribution</w:t>
            </w:r>
            <w:r w:rsidR="00FB1963">
              <w:t xml:space="preserve">; </w:t>
            </w:r>
            <w:r w:rsidR="00555E4C" w:rsidRPr="0018533F">
              <w:t xml:space="preserve">additional </w:t>
            </w:r>
            <w:r w:rsidR="00066299" w:rsidRPr="0018533F">
              <w:t>protect</w:t>
            </w:r>
            <w:r w:rsidR="00555E4C" w:rsidRPr="0018533F">
              <w:t>ions for</w:t>
            </w:r>
            <w:r w:rsidR="00066299" w:rsidRPr="0018533F">
              <w:t xml:space="preserve"> </w:t>
            </w:r>
            <w:r w:rsidR="00C85814" w:rsidRPr="0018533F">
              <w:t>fresh produce </w:t>
            </w:r>
            <w:r w:rsidR="00066299" w:rsidRPr="0018533F">
              <w:t>suppliers</w:t>
            </w:r>
            <w:r w:rsidR="00FB1963">
              <w:t xml:space="preserve">; and </w:t>
            </w:r>
            <w:r w:rsidR="00C85814" w:rsidRPr="005E5D1B">
              <w:t>strengthen</w:t>
            </w:r>
            <w:r w:rsidR="00555E4C">
              <w:t>ed</w:t>
            </w:r>
            <w:r w:rsidR="00C85814" w:rsidRPr="005E5D1B">
              <w:t xml:space="preserve"> dispute resolution </w:t>
            </w:r>
            <w:r w:rsidR="00555E4C">
              <w:t>mechanisms for suppliers</w:t>
            </w:r>
            <w:r w:rsidR="00C85814" w:rsidRPr="005E5D1B">
              <w:t>. </w:t>
            </w:r>
          </w:p>
          <w:p w14:paraId="37C51105" w14:textId="5FD9DFFD" w:rsidR="00CC44F8" w:rsidRDefault="00D27E5A" w:rsidP="00DA5319">
            <w:pPr>
              <w:pStyle w:val="Bullet"/>
              <w:numPr>
                <w:ilvl w:val="0"/>
                <w:numId w:val="0"/>
              </w:numPr>
              <w:spacing w:before="120" w:after="120"/>
            </w:pPr>
            <w:r>
              <w:t>The Government provided $2.</w:t>
            </w:r>
            <w:r w:rsidR="00701409">
              <w:t xml:space="preserve">0 </w:t>
            </w:r>
            <w:r>
              <w:t xml:space="preserve">million over three years from 2025-26 </w:t>
            </w:r>
            <w:r w:rsidR="00263917">
              <w:t xml:space="preserve">to </w:t>
            </w:r>
            <w:r w:rsidR="00783512">
              <w:t>help</w:t>
            </w:r>
            <w:r w:rsidR="00263917">
              <w:t xml:space="preserve"> </w:t>
            </w:r>
            <w:r w:rsidR="00CF3B7C">
              <w:t xml:space="preserve">fresh food </w:t>
            </w:r>
            <w:r w:rsidR="00263917">
              <w:t xml:space="preserve">suppliers understand and enforce their rights under the new code. </w:t>
            </w:r>
            <w:r w:rsidR="00BC4D9F" w:rsidRPr="00BC4D9F">
              <w:t xml:space="preserve">This funding will </w:t>
            </w:r>
            <w:r w:rsidR="00CF3B7C">
              <w:t>support</w:t>
            </w:r>
            <w:r w:rsidR="00BC4D9F" w:rsidRPr="00BC4D9F">
              <w:t xml:space="preserve"> fresh produce industry associations to deliver targeted education </w:t>
            </w:r>
            <w:r w:rsidR="00206D63">
              <w:t>to suppliers</w:t>
            </w:r>
            <w:r w:rsidR="00BC4D9F" w:rsidRPr="00BC4D9F">
              <w:t>.</w:t>
            </w:r>
            <w:r w:rsidR="00ED4482">
              <w:t xml:space="preserve"> </w:t>
            </w:r>
            <w:r w:rsidR="00555E4C">
              <w:t>In addition, the Government has introduced an</w:t>
            </w:r>
            <w:r w:rsidR="00BE1BFA" w:rsidRPr="005E5D1B">
              <w:t xml:space="preserve"> anonymous complaints portal for suppliers and other relevant parties to report conduct under the code directly to the ACCC</w:t>
            </w:r>
            <w:r w:rsidR="00CC44F8">
              <w:t>.</w:t>
            </w:r>
          </w:p>
          <w:p w14:paraId="1B1A79F9" w14:textId="013EA9D3" w:rsidR="00661B55" w:rsidRPr="00661B55" w:rsidRDefault="000A4EC7" w:rsidP="00E07D33">
            <w:pPr>
              <w:pStyle w:val="Bullet"/>
              <w:numPr>
                <w:ilvl w:val="0"/>
                <w:numId w:val="0"/>
              </w:numPr>
              <w:spacing w:before="120" w:after="120"/>
            </w:pPr>
            <w:r w:rsidRPr="0092731A">
              <w:t xml:space="preserve">The Dairy Code of Conduct and the Horticulture Code of Conduct operate separately from the Food and </w:t>
            </w:r>
            <w:r w:rsidRPr="00CC44F8">
              <w:t xml:space="preserve">Grocery Code because they regulate </w:t>
            </w:r>
            <w:r w:rsidRPr="000C35CF">
              <w:t>different points in the supply chain</w:t>
            </w:r>
            <w:r w:rsidRPr="00CC44F8">
              <w:t xml:space="preserve">. The Dairy Code applies to the relationship between </w:t>
            </w:r>
            <w:r w:rsidRPr="000C35CF">
              <w:t>dairy farmers and processors</w:t>
            </w:r>
            <w:r w:rsidRPr="00CC44F8">
              <w:t xml:space="preserve">, while the Horticulture Code governs trade between </w:t>
            </w:r>
            <w:r w:rsidRPr="000C35CF">
              <w:t>growers and horticultural produce traders</w:t>
            </w:r>
            <w:r w:rsidR="00BE2E91">
              <w:t>.</w:t>
            </w:r>
            <w:r w:rsidR="00661B55">
              <w:t xml:space="preserve"> </w:t>
            </w:r>
            <w:r w:rsidR="00661B55" w:rsidRPr="00661B55">
              <w:t xml:space="preserve">Although some dairy farmers </w:t>
            </w:r>
            <w:r w:rsidR="00661B55" w:rsidRPr="00661B55">
              <w:lastRenderedPageBreak/>
              <w:t xml:space="preserve">and horticulture growers supply supermarkets directly, the codes remain separate to ensure each part of the supply chain is regulated by a framework suited to </w:t>
            </w:r>
            <w:r w:rsidR="00661B55">
              <w:t>specific industry dynamics.</w:t>
            </w:r>
          </w:p>
          <w:p w14:paraId="2722455A" w14:textId="5AA81DB6" w:rsidR="00CC44F8" w:rsidRDefault="00CC44F8" w:rsidP="00CC44F8">
            <w:pPr>
              <w:pStyle w:val="Bullet"/>
              <w:numPr>
                <w:ilvl w:val="0"/>
                <w:numId w:val="0"/>
              </w:numPr>
              <w:spacing w:before="120" w:after="120"/>
            </w:pPr>
            <w:r w:rsidRPr="005B17D7">
              <w:t xml:space="preserve">The Government </w:t>
            </w:r>
            <w:r>
              <w:t>released</w:t>
            </w:r>
            <w:r w:rsidRPr="005B17D7">
              <w:t xml:space="preserve"> the second review of the Dairy Code in </w:t>
            </w:r>
            <w:r>
              <w:t xml:space="preserve">December 2025 which found that the </w:t>
            </w:r>
            <w:r w:rsidR="00BE2E91">
              <w:t>c</w:t>
            </w:r>
            <w:r>
              <w:t xml:space="preserve">ode continues to support the dairy industry by ensuring fair, transparent and equitable arrangements between farmers and processors. </w:t>
            </w:r>
          </w:p>
          <w:p w14:paraId="79C795D8" w14:textId="06DFD025" w:rsidR="004252C8" w:rsidRPr="005E5D1B" w:rsidRDefault="00F717E1" w:rsidP="000C35CF">
            <w:pPr>
              <w:pStyle w:val="Bullet"/>
              <w:numPr>
                <w:ilvl w:val="0"/>
                <w:numId w:val="0"/>
              </w:numPr>
              <w:spacing w:before="120" w:after="120"/>
            </w:pPr>
            <w:r>
              <w:t>On 28</w:t>
            </w:r>
            <w:r w:rsidR="008F6CC1" w:rsidRPr="000C35CF">
              <w:t xml:space="preserve"> January 2026, the Government announced an independent review of the Horticulture Code of Conduct.</w:t>
            </w:r>
            <w:r w:rsidRPr="000C35CF">
              <w:t xml:space="preserve"> </w:t>
            </w:r>
            <w:r w:rsidRPr="00F717E1">
              <w:t xml:space="preserve">A final report is expected to be provided to Government </w:t>
            </w:r>
            <w:r w:rsidR="00E315BE">
              <w:t>mid</w:t>
            </w:r>
            <w:r>
              <w:t>2026</w:t>
            </w:r>
            <w:r w:rsidR="008F6CC1" w:rsidRPr="00BE2E91">
              <w:t xml:space="preserve">, with a </w:t>
            </w:r>
            <w:proofErr w:type="gramStart"/>
            <w:r w:rsidR="008F6CC1" w:rsidRPr="00BE2E91">
              <w:t>Government</w:t>
            </w:r>
            <w:proofErr w:type="gramEnd"/>
            <w:r w:rsidR="008F6CC1" w:rsidRPr="00BE2E91">
              <w:t xml:space="preserve"> response to follow.</w:t>
            </w:r>
            <w:r w:rsidR="00D8015B" w:rsidRPr="00BE2E91">
              <w:t xml:space="preserve"> </w:t>
            </w:r>
          </w:p>
        </w:tc>
      </w:tr>
      <w:bookmarkEnd w:id="12"/>
      <w:tr w:rsidR="007E1DB6" w:rsidRPr="00134B42" w14:paraId="517D5858" w14:textId="77777777">
        <w:trPr>
          <w:trHeight w:val="70"/>
        </w:trPr>
        <w:tc>
          <w:tcPr>
            <w:tcW w:w="9016" w:type="dxa"/>
          </w:tcPr>
          <w:p w14:paraId="55CC4155" w14:textId="27F20CAF" w:rsidR="007E1DB6" w:rsidRPr="00134B42" w:rsidRDefault="007E1DB6">
            <w:pPr>
              <w:pStyle w:val="BoxHeading"/>
              <w:rPr>
                <w:caps/>
              </w:rPr>
            </w:pPr>
            <w:r w:rsidRPr="00134B42">
              <w:lastRenderedPageBreak/>
              <w:t>Recommendation 6</w:t>
            </w:r>
          </w:p>
          <w:p w14:paraId="10D9A869" w14:textId="77777777" w:rsidR="00D14219" w:rsidRPr="00134B42" w:rsidRDefault="00D14219" w:rsidP="00DA5319">
            <w:pPr>
              <w:pStyle w:val="BoxSubHeading"/>
              <w:keepNext w:val="0"/>
              <w:rPr>
                <w:bCs w:val="0"/>
                <w:i w:val="0"/>
                <w:iCs w:val="0"/>
                <w:color w:val="auto"/>
                <w:sz w:val="22"/>
                <w:szCs w:val="20"/>
              </w:rPr>
            </w:pPr>
            <w:r w:rsidRPr="00134B42">
              <w:rPr>
                <w:bCs w:val="0"/>
                <w:i w:val="0"/>
                <w:iCs w:val="0"/>
                <w:color w:val="auto"/>
                <w:sz w:val="22"/>
                <w:szCs w:val="20"/>
              </w:rPr>
              <w:t>The committee recommends that The Treasury amend the mandatory Food and Grocery Code of Conduct to explicitly provide that:</w:t>
            </w:r>
          </w:p>
          <w:p w14:paraId="3861D877" w14:textId="77777777" w:rsidR="00D14219" w:rsidRPr="00134B42" w:rsidRDefault="00D14219" w:rsidP="00DA5319">
            <w:pPr>
              <w:pStyle w:val="Bullet"/>
              <w:spacing w:before="120" w:after="120"/>
            </w:pPr>
            <w:r w:rsidRPr="00134B42">
              <w:t>greenlife industries are captured by the code; and</w:t>
            </w:r>
          </w:p>
          <w:p w14:paraId="6FA96E66" w14:textId="4F66DE10" w:rsidR="00D14219" w:rsidRPr="00134B42" w:rsidRDefault="00D14219" w:rsidP="00DA5319">
            <w:pPr>
              <w:pStyle w:val="Bullet"/>
              <w:spacing w:before="120" w:after="120"/>
            </w:pPr>
            <w:r w:rsidRPr="00134B42">
              <w:t>the code includes any large retailer that stocks food and/or grocery products.</w:t>
            </w:r>
          </w:p>
          <w:p w14:paraId="6AC5CC7A" w14:textId="22CE4B9C" w:rsidR="007E1DB6" w:rsidRPr="00134B42" w:rsidRDefault="007E1DB6" w:rsidP="00DA5319">
            <w:pPr>
              <w:pStyle w:val="BoxSubHeading"/>
              <w:keepNext w:val="0"/>
              <w:rPr>
                <w:caps/>
              </w:rPr>
            </w:pPr>
            <w:r w:rsidRPr="00134B42">
              <w:t xml:space="preserve">Australian Government response </w:t>
            </w:r>
          </w:p>
          <w:p w14:paraId="0B5EA29F" w14:textId="77777777" w:rsidR="00EF668C" w:rsidRDefault="00EF668C" w:rsidP="00DA5319">
            <w:pPr>
              <w:pStyle w:val="BoxText"/>
            </w:pPr>
            <w:r w:rsidRPr="00134B42">
              <w:rPr>
                <w:caps/>
              </w:rPr>
              <w:t>t</w:t>
            </w:r>
            <w:r w:rsidRPr="00134B42">
              <w:t xml:space="preserve">he Government </w:t>
            </w:r>
            <w:r w:rsidRPr="00134B42">
              <w:rPr>
                <w:b/>
                <w:bCs/>
              </w:rPr>
              <w:t xml:space="preserve">notes </w:t>
            </w:r>
            <w:r w:rsidRPr="00134B42">
              <w:t>this recommendation.</w:t>
            </w:r>
          </w:p>
          <w:p w14:paraId="489167FB" w14:textId="17B8F38B" w:rsidR="00EF668C" w:rsidRDefault="005C6083" w:rsidP="00DA5319">
            <w:pPr>
              <w:pStyle w:val="Bullet"/>
              <w:numPr>
                <w:ilvl w:val="0"/>
                <w:numId w:val="0"/>
              </w:numPr>
              <w:spacing w:before="120" w:after="120"/>
            </w:pPr>
            <w:r>
              <w:t>On 12 December 2024, t</w:t>
            </w:r>
            <w:r w:rsidR="00EF668C">
              <w:t xml:space="preserve">he Government remade </w:t>
            </w:r>
            <w:r w:rsidR="00EF668C" w:rsidRPr="005E5D1B">
              <w:t>the Food and Grocery Code of Conduct as a mandatory code</w:t>
            </w:r>
            <w:r>
              <w:t>. Th</w:t>
            </w:r>
            <w:r w:rsidR="002E667C">
              <w:t>e</w:t>
            </w:r>
            <w:r w:rsidR="00C57CEC">
              <w:t xml:space="preserve"> </w:t>
            </w:r>
            <w:r>
              <w:t xml:space="preserve">new code </w:t>
            </w:r>
            <w:r w:rsidR="00EF668C">
              <w:t>came into force on 1 April 2025.</w:t>
            </w:r>
          </w:p>
          <w:p w14:paraId="0D4EE732" w14:textId="1379F1A5" w:rsidR="00EF668C" w:rsidRDefault="00DD5F8E" w:rsidP="00DA5319">
            <w:pPr>
              <w:pStyle w:val="Bullet"/>
              <w:numPr>
                <w:ilvl w:val="0"/>
                <w:numId w:val="0"/>
              </w:numPr>
              <w:spacing w:before="120" w:after="120"/>
            </w:pPr>
            <w:r>
              <w:t xml:space="preserve">Consistent with the recommendations of Dr Emerson’s extensive review, </w:t>
            </w:r>
            <w:r w:rsidR="00A556C5">
              <w:t>t</w:t>
            </w:r>
            <w:r w:rsidRPr="00DD5F8E">
              <w:t xml:space="preserve">he mandatory code </w:t>
            </w:r>
            <w:r w:rsidR="00A556C5">
              <w:t xml:space="preserve">applies </w:t>
            </w:r>
            <w:r w:rsidRPr="00DD5F8E">
              <w:t>to all supermarkets with an annual Australian revenue greater than $5 billion.</w:t>
            </w:r>
            <w:r>
              <w:t xml:space="preserve"> </w:t>
            </w:r>
            <w:r w:rsidR="00E27EDC">
              <w:t>T</w:t>
            </w:r>
            <w:r w:rsidR="00EF668C">
              <w:t xml:space="preserve">he new code </w:t>
            </w:r>
            <w:r w:rsidR="00E27EDC">
              <w:t xml:space="preserve">currently </w:t>
            </w:r>
            <w:r w:rsidR="00EF668C">
              <w:t>applies to Woolworths</w:t>
            </w:r>
            <w:r w:rsidR="00EF668C" w:rsidRPr="00175FB3">
              <w:t xml:space="preserve">, Coles, </w:t>
            </w:r>
            <w:r w:rsidR="00EF668C">
              <w:t xml:space="preserve">ALDI and </w:t>
            </w:r>
            <w:r w:rsidR="00EF668C" w:rsidRPr="00175FB3">
              <w:t>Metcash</w:t>
            </w:r>
            <w:r w:rsidR="00EF668C">
              <w:t xml:space="preserve">, which were </w:t>
            </w:r>
            <w:r w:rsidR="00457429">
              <w:t xml:space="preserve">also </w:t>
            </w:r>
            <w:r w:rsidR="00EF668C">
              <w:t xml:space="preserve">signatories to the </w:t>
            </w:r>
            <w:r w:rsidR="00E27EDC">
              <w:t xml:space="preserve">previous </w:t>
            </w:r>
            <w:r w:rsidR="00EF668C">
              <w:t>voluntary code.</w:t>
            </w:r>
          </w:p>
          <w:p w14:paraId="4A97AB7A" w14:textId="13958769" w:rsidR="00F70328" w:rsidRDefault="00EF668C" w:rsidP="00DA5319">
            <w:pPr>
              <w:pStyle w:val="Bullet"/>
              <w:numPr>
                <w:ilvl w:val="0"/>
                <w:numId w:val="0"/>
              </w:numPr>
              <w:spacing w:before="120" w:after="120"/>
            </w:pPr>
            <w:r>
              <w:t xml:space="preserve">The new code </w:t>
            </w:r>
            <w:r w:rsidR="00BA16A2">
              <w:t xml:space="preserve">continues to apply </w:t>
            </w:r>
            <w:r>
              <w:t xml:space="preserve">to the supply relationships between these </w:t>
            </w:r>
            <w:r w:rsidR="00EE4CB3">
              <w:t xml:space="preserve">supermarket </w:t>
            </w:r>
            <w:r>
              <w:t xml:space="preserve">businesses and </w:t>
            </w:r>
            <w:r w:rsidR="00AB0864">
              <w:t xml:space="preserve">nursery product </w:t>
            </w:r>
            <w:r>
              <w:t>suppliers</w:t>
            </w:r>
            <w:r w:rsidR="00420B2B">
              <w:t>, as t</w:t>
            </w:r>
            <w:r>
              <w:t xml:space="preserve">he definition of grocery products under the new code </w:t>
            </w:r>
            <w:r w:rsidR="00C80CB7">
              <w:t>specifically</w:t>
            </w:r>
            <w:r>
              <w:t xml:space="preserve"> includes ‘plants, fl</w:t>
            </w:r>
            <w:r w:rsidR="006B16A9">
              <w:t>ower</w:t>
            </w:r>
            <w:r>
              <w:t>s and gardening equipment’.</w:t>
            </w:r>
          </w:p>
          <w:p w14:paraId="42DBA41C" w14:textId="63CADF0E" w:rsidR="00A556C5" w:rsidRDefault="0025643D" w:rsidP="00DA5319">
            <w:pPr>
              <w:pStyle w:val="Bullet"/>
              <w:numPr>
                <w:ilvl w:val="0"/>
                <w:numId w:val="0"/>
              </w:numPr>
              <w:spacing w:before="120" w:after="120"/>
            </w:pPr>
            <w:r>
              <w:t xml:space="preserve">As indicated in its response to Dr Emerson’s review, </w:t>
            </w:r>
            <w:r w:rsidR="00A556C5">
              <w:t xml:space="preserve">the Government is concerned about allegations of retailer conduct towards suppliers of nursery plants. The Government expects that all businesses, especially those with significant bargaining power, treat their suppliers fairly and in line with the law. </w:t>
            </w:r>
          </w:p>
          <w:p w14:paraId="7F339F7C" w14:textId="280389EB" w:rsidR="00A556C5" w:rsidRDefault="00F22087" w:rsidP="00DA5319">
            <w:pPr>
              <w:pStyle w:val="Bullet"/>
              <w:numPr>
                <w:ilvl w:val="0"/>
                <w:numId w:val="0"/>
              </w:numPr>
              <w:spacing w:before="120" w:after="120"/>
            </w:pPr>
            <w:r>
              <w:t>In its response, t</w:t>
            </w:r>
            <w:r w:rsidR="00A556C5" w:rsidRPr="00F22087">
              <w:t>he Government encourage</w:t>
            </w:r>
            <w:r>
              <w:t>d</w:t>
            </w:r>
            <w:r w:rsidR="00A556C5" w:rsidRPr="00F22087">
              <w:t xml:space="preserve"> industry to consider options to ensure that suppliers have adequate avenues to raise concerns, and retailers have sufficient mechanisms in place to handle and address these concerns.</w:t>
            </w:r>
          </w:p>
          <w:p w14:paraId="40122950" w14:textId="2337180F" w:rsidR="00517679" w:rsidRDefault="00F22087" w:rsidP="00DA5319">
            <w:pPr>
              <w:pStyle w:val="Bullet"/>
              <w:numPr>
                <w:ilvl w:val="0"/>
                <w:numId w:val="0"/>
              </w:numPr>
              <w:spacing w:before="120" w:after="120"/>
            </w:pPr>
            <w:r>
              <w:t xml:space="preserve">The Government is aware that </w:t>
            </w:r>
            <w:r w:rsidR="0025774D">
              <w:t>i</w:t>
            </w:r>
            <w:r w:rsidR="00517679">
              <w:t xml:space="preserve">n April 2025, Greenlife Industry Australia and Bunnings jointly released a </w:t>
            </w:r>
            <w:r w:rsidR="00FD7FFC">
              <w:t>s</w:t>
            </w:r>
            <w:r w:rsidR="00517679">
              <w:t xml:space="preserve">tatement of </w:t>
            </w:r>
            <w:r w:rsidR="00FD7FFC">
              <w:t>p</w:t>
            </w:r>
            <w:r w:rsidR="00517679">
              <w:t>rinciples as a formal agreement between Bunnings and plant producers</w:t>
            </w:r>
            <w:r w:rsidR="00CD2B67">
              <w:t xml:space="preserve"> which sets</w:t>
            </w:r>
            <w:r w:rsidR="00517679">
              <w:t xml:space="preserve"> out commitments on fair trading, clearer communication and independent complaints process.</w:t>
            </w:r>
          </w:p>
          <w:p w14:paraId="26882EEF" w14:textId="6813A1BB" w:rsidR="0080427A" w:rsidRPr="00134B42" w:rsidRDefault="00A556C5" w:rsidP="00DA5319">
            <w:pPr>
              <w:pStyle w:val="Bullet"/>
              <w:numPr>
                <w:ilvl w:val="0"/>
                <w:numId w:val="0"/>
              </w:numPr>
              <w:spacing w:before="120" w:after="120"/>
            </w:pPr>
            <w:r>
              <w:t>The Government will continue to monitor conduct in the nursery plants industry.</w:t>
            </w:r>
          </w:p>
        </w:tc>
      </w:tr>
      <w:tr w:rsidR="007E1DB6" w:rsidRPr="00134B42" w14:paraId="5560C000" w14:textId="77777777">
        <w:trPr>
          <w:trHeight w:val="70"/>
        </w:trPr>
        <w:tc>
          <w:tcPr>
            <w:tcW w:w="9016" w:type="dxa"/>
          </w:tcPr>
          <w:p w14:paraId="50B319C9" w14:textId="1406C655" w:rsidR="007E1DB6" w:rsidRPr="00134B42" w:rsidRDefault="007E1DB6" w:rsidP="006D0CFA">
            <w:pPr>
              <w:pStyle w:val="BoxHeading"/>
              <w:rPr>
                <w:caps/>
              </w:rPr>
            </w:pPr>
            <w:r w:rsidRPr="00134B42">
              <w:lastRenderedPageBreak/>
              <w:t>Recommendation 7</w:t>
            </w:r>
          </w:p>
          <w:p w14:paraId="7259FFCF" w14:textId="77777777" w:rsidR="008C2825" w:rsidRPr="00134B42" w:rsidRDefault="008C2825" w:rsidP="006D0CFA">
            <w:pPr>
              <w:pStyle w:val="BoxSubHeading"/>
              <w:keepNext w:val="0"/>
              <w:rPr>
                <w:bCs w:val="0"/>
                <w:i w:val="0"/>
                <w:iCs w:val="0"/>
                <w:color w:val="auto"/>
                <w:sz w:val="22"/>
                <w:szCs w:val="20"/>
              </w:rPr>
            </w:pPr>
            <w:r w:rsidRPr="00134B42">
              <w:rPr>
                <w:bCs w:val="0"/>
                <w:i w:val="0"/>
                <w:iCs w:val="0"/>
                <w:color w:val="auto"/>
                <w:sz w:val="22"/>
                <w:szCs w:val="20"/>
              </w:rPr>
              <w:t>The committee recommends that the Australian Government implement merger reforms as proposed by the Australian Competition and Consumer Commission (ACCC), including:</w:t>
            </w:r>
          </w:p>
          <w:p w14:paraId="01B7973F" w14:textId="77777777" w:rsidR="008C2825" w:rsidRPr="00134B42" w:rsidRDefault="008C2825" w:rsidP="006D0CFA">
            <w:pPr>
              <w:pStyle w:val="Bullet"/>
              <w:spacing w:before="120" w:after="120"/>
            </w:pPr>
            <w:r w:rsidRPr="00134B42">
              <w:t>mandatory notification of mergers above a prescribed notification threshold, with a call-in power for proposed transactions below the threshold that raise potential competition concerns;</w:t>
            </w:r>
          </w:p>
          <w:p w14:paraId="7B3206DA" w14:textId="77777777" w:rsidR="008C2825" w:rsidRPr="00134B42" w:rsidRDefault="008C2825" w:rsidP="006D0CFA">
            <w:pPr>
              <w:pStyle w:val="Bullet"/>
              <w:spacing w:before="120" w:after="120"/>
            </w:pPr>
            <w:r w:rsidRPr="00134B42">
              <w:t>merger clearance tests applied by the ACCC and Tribunal on review;</w:t>
            </w:r>
          </w:p>
          <w:p w14:paraId="493DD787" w14:textId="77777777" w:rsidR="008C2825" w:rsidRPr="00134B42" w:rsidRDefault="008C2825" w:rsidP="006D0CFA">
            <w:pPr>
              <w:pStyle w:val="Bullet"/>
              <w:spacing w:before="120" w:after="120"/>
            </w:pPr>
            <w:r w:rsidRPr="00134B42">
              <w:t xml:space="preserve">reversal of the test for clearance under section 50 of the </w:t>
            </w:r>
            <w:r w:rsidRPr="00134B42">
              <w:rPr>
                <w:i/>
                <w:iCs/>
              </w:rPr>
              <w:t>Competition and Consumer Act 2010</w:t>
            </w:r>
            <w:r w:rsidRPr="00134B42">
              <w:t xml:space="preserve"> to require merger parties to satisfy the ACCC, or the Australian Competition Tribunal on review, that the transaction would not be likely to substantially lessen competition; and</w:t>
            </w:r>
          </w:p>
          <w:p w14:paraId="64822A09" w14:textId="77777777" w:rsidR="008C2825" w:rsidRPr="00134B42" w:rsidRDefault="008C2825" w:rsidP="006D0CFA">
            <w:pPr>
              <w:pStyle w:val="Bullet"/>
              <w:spacing w:before="120" w:after="120"/>
            </w:pPr>
            <w:r w:rsidRPr="00134B42">
              <w:t>amendments to section 50 of the Competition and Consumer Act 2010 to provide for increased focus on changes to the structural conditions resulting from a merger that may make markets less competitive and to address creeping acquisitions.</w:t>
            </w:r>
          </w:p>
          <w:p w14:paraId="172C286B" w14:textId="77777777" w:rsidR="007E1DB6" w:rsidRPr="00134B42" w:rsidRDefault="007E1DB6" w:rsidP="006D0CFA">
            <w:pPr>
              <w:pStyle w:val="BoxSubHeading"/>
              <w:keepNext w:val="0"/>
              <w:rPr>
                <w:caps/>
              </w:rPr>
            </w:pPr>
            <w:r w:rsidRPr="00134B42">
              <w:t xml:space="preserve">Australian Government response </w:t>
            </w:r>
          </w:p>
          <w:p w14:paraId="14173D89" w14:textId="26002B39" w:rsidR="007E1DB6" w:rsidRPr="00B43676" w:rsidRDefault="007E1DB6" w:rsidP="006D0CFA">
            <w:pPr>
              <w:pStyle w:val="BoxText"/>
            </w:pPr>
            <w:r w:rsidRPr="00395B97">
              <w:rPr>
                <w:caps/>
              </w:rPr>
              <w:t>t</w:t>
            </w:r>
            <w:r w:rsidRPr="00395B97">
              <w:t xml:space="preserve">he Government </w:t>
            </w:r>
            <w:r w:rsidR="00772816" w:rsidRPr="00395B97">
              <w:rPr>
                <w:b/>
                <w:bCs/>
              </w:rPr>
              <w:t>notes</w:t>
            </w:r>
            <w:r w:rsidRPr="00395B97">
              <w:t xml:space="preserve"> this recommendation.</w:t>
            </w:r>
            <w:r w:rsidR="00BE650D" w:rsidRPr="00B43676">
              <w:t xml:space="preserve"> </w:t>
            </w:r>
          </w:p>
          <w:p w14:paraId="0747E432" w14:textId="052269FE" w:rsidR="00426CFF" w:rsidRPr="00B43676" w:rsidRDefault="00426CFF" w:rsidP="006D0CFA">
            <w:pPr>
              <w:pStyle w:val="BoxText"/>
            </w:pPr>
            <w:r w:rsidRPr="00B43676">
              <w:t xml:space="preserve">On 28 November 2024, the Government passed the </w:t>
            </w:r>
            <w:r w:rsidRPr="00395B97">
              <w:rPr>
                <w:i/>
                <w:iCs/>
              </w:rPr>
              <w:t>Treasury Laws Amendment (Mergers and Acquisitions Reform) Act 2024</w:t>
            </w:r>
            <w:r w:rsidRPr="00B43676">
              <w:t xml:space="preserve"> through the Parliament. </w:t>
            </w:r>
          </w:p>
          <w:p w14:paraId="2358139B" w14:textId="15CD3585" w:rsidR="00426CFF" w:rsidRPr="00395B97" w:rsidRDefault="001B7F57" w:rsidP="006D0CFA">
            <w:pPr>
              <w:pStyle w:val="BoxText"/>
            </w:pPr>
            <w:r>
              <w:t>On</w:t>
            </w:r>
            <w:r w:rsidRPr="00B43676">
              <w:t xml:space="preserve"> </w:t>
            </w:r>
            <w:r w:rsidR="00426CFF" w:rsidRPr="00B43676">
              <w:t>1 January 2026, a mandatory and suspensory administrative system for mergers replace</w:t>
            </w:r>
            <w:r>
              <w:t>d</w:t>
            </w:r>
            <w:r w:rsidR="00426CFF" w:rsidRPr="00B43676">
              <w:t xml:space="preserve"> the </w:t>
            </w:r>
            <w:r>
              <w:t>previous</w:t>
            </w:r>
            <w:r w:rsidR="00426CFF" w:rsidRPr="00B43676">
              <w:t xml:space="preserve"> ad hoc voluntary approach. Businesses </w:t>
            </w:r>
            <w:r w:rsidR="00181A94" w:rsidRPr="00395B97">
              <w:t>have been</w:t>
            </w:r>
            <w:r w:rsidR="00426CFF" w:rsidRPr="00B43676">
              <w:t xml:space="preserve"> able to make voluntary notifications under the new </w:t>
            </w:r>
            <w:r w:rsidR="00D3408C" w:rsidRPr="00395B97">
              <w:t>system</w:t>
            </w:r>
            <w:r w:rsidR="00426CFF" w:rsidRPr="00B43676">
              <w:t xml:space="preserve"> </w:t>
            </w:r>
            <w:r>
              <w:t>since</w:t>
            </w:r>
            <w:r w:rsidRPr="00B43676">
              <w:t xml:space="preserve"> </w:t>
            </w:r>
            <w:r w:rsidR="00426CFF" w:rsidRPr="00B43676">
              <w:t>1 July 2025.</w:t>
            </w:r>
          </w:p>
          <w:p w14:paraId="0EDC29E6" w14:textId="7C8ADED1" w:rsidR="00AC2364" w:rsidRPr="00395B97" w:rsidRDefault="00AC2364" w:rsidP="006D0CFA">
            <w:pPr>
              <w:pStyle w:val="BoxText"/>
            </w:pPr>
            <w:r w:rsidRPr="00395B97">
              <w:t xml:space="preserve">The </w:t>
            </w:r>
            <w:r w:rsidR="005149F5" w:rsidRPr="00395B97">
              <w:t>ACCC</w:t>
            </w:r>
            <w:r w:rsidRPr="00395B97">
              <w:t xml:space="preserve"> administer</w:t>
            </w:r>
            <w:r w:rsidR="001B7F57">
              <w:t>s</w:t>
            </w:r>
            <w:r w:rsidRPr="00395B97">
              <w:t xml:space="preserve"> the system and </w:t>
            </w:r>
            <w:r w:rsidR="001B7F57">
              <w:t xml:space="preserve">will </w:t>
            </w:r>
            <w:r w:rsidRPr="00395B97">
              <w:t>be better equipped to meet community expectations that it can detect and stop anti-competitive mergers. This includes serial acquisitions and mergers by firms with substantial market power in key sectors such as supermarkets, liquor</w:t>
            </w:r>
            <w:r w:rsidR="006713EA" w:rsidRPr="00395B97">
              <w:t xml:space="preserve"> and </w:t>
            </w:r>
            <w:r w:rsidRPr="00395B97">
              <w:t>healthcare that affect the cost of living for Australians.</w:t>
            </w:r>
          </w:p>
          <w:p w14:paraId="38C50CAD" w14:textId="1BE79E44" w:rsidR="00AC2364" w:rsidRPr="00395B97" w:rsidRDefault="00AC2364" w:rsidP="006D0CFA">
            <w:pPr>
              <w:pStyle w:val="BoxText"/>
            </w:pPr>
            <w:r w:rsidRPr="00395B97">
              <w:t xml:space="preserve">The ACCC will more efficiently </w:t>
            </w:r>
            <w:r w:rsidR="00D96AA7" w:rsidRPr="00395B97">
              <w:t>and effectively</w:t>
            </w:r>
            <w:r w:rsidRPr="00395B97">
              <w:t xml:space="preserve"> target anti-competitive mergers while allowing pro-competition mergers to proceed faster. Consumers will have more confidence in the ACCC and benefit from lower prices and more choice. For businesses, the system will be faster, more predictable, and with clear information requirements.</w:t>
            </w:r>
          </w:p>
          <w:p w14:paraId="38B4A3D5" w14:textId="0C0B2823" w:rsidR="007C563A" w:rsidRPr="00395B97" w:rsidRDefault="00B42AB8" w:rsidP="006D0CFA">
            <w:pPr>
              <w:pStyle w:val="BoxText"/>
              <w:rPr>
                <w:rStyle w:val="eop"/>
                <w:rFonts w:ascii="Calibri" w:hAnsi="Calibri" w:cs="Calibri"/>
                <w:color w:val="000000"/>
                <w:shd w:val="clear" w:color="auto" w:fill="FFFFFF"/>
              </w:rPr>
            </w:pPr>
            <w:r w:rsidRPr="00395B97">
              <w:t xml:space="preserve">Many stakeholders during public consultations on reform options objected to reversing the onus of proof because it could be a presumptive ‘ban’ on mergers. The Government considers the reform </w:t>
            </w:r>
            <w:r w:rsidR="007C563A" w:rsidRPr="00395B97">
              <w:t>embed</w:t>
            </w:r>
            <w:r w:rsidRPr="00395B97">
              <w:t>s</w:t>
            </w:r>
            <w:r w:rsidR="007C563A" w:rsidRPr="00395B97">
              <w:t xml:space="preserve"> incentives for merger parties to provide relevant information upfront and in a timely fashion. Over time, this will deliver an improved system achieving competition outcomes on a systemic and economy-wide basis.</w:t>
            </w:r>
            <w:r w:rsidR="007C563A" w:rsidRPr="00395B97">
              <w:rPr>
                <w:rStyle w:val="eop"/>
                <w:rFonts w:ascii="Calibri" w:hAnsi="Calibri" w:cs="Calibri"/>
                <w:color w:val="000000"/>
                <w:shd w:val="clear" w:color="auto" w:fill="FFFFFF"/>
              </w:rPr>
              <w:t> </w:t>
            </w:r>
          </w:p>
          <w:p w14:paraId="0EB7109C" w14:textId="7692FE45" w:rsidR="00716D63" w:rsidRPr="00395B97" w:rsidRDefault="00716D63" w:rsidP="006D0CFA">
            <w:pPr>
              <w:pStyle w:val="BoxText"/>
            </w:pPr>
            <w:r w:rsidRPr="00395B97">
              <w:t xml:space="preserve">The ACCC </w:t>
            </w:r>
            <w:r w:rsidR="003371C6" w:rsidRPr="00395B97">
              <w:t>do</w:t>
            </w:r>
            <w:r w:rsidR="001B7F57">
              <w:t>es</w:t>
            </w:r>
            <w:r w:rsidRPr="00395B97">
              <w:t xml:space="preserve"> not have the ability to ‘call-in’ mergers below the thresholds for review, but </w:t>
            </w:r>
            <w:r w:rsidR="00F90700">
              <w:t>it</w:t>
            </w:r>
            <w:r w:rsidRPr="00395B97">
              <w:t xml:space="preserve"> may investigate a below-the-threshold merger for breach of any other relevant provisions of the </w:t>
            </w:r>
            <w:r w:rsidR="002C1A76" w:rsidRPr="00395B97">
              <w:rPr>
                <w:i/>
                <w:iCs/>
              </w:rPr>
              <w:t>Competition and Consumer Act 2010</w:t>
            </w:r>
            <w:r w:rsidRPr="00395B97">
              <w:t xml:space="preserve">. Further, a Treasury Minister </w:t>
            </w:r>
            <w:r w:rsidR="003371C6" w:rsidRPr="00395B97">
              <w:t>has</w:t>
            </w:r>
            <w:r w:rsidRPr="00395B97">
              <w:t xml:space="preserve"> the power to introduce additional targeted notification obligations in response to evidence-based concerns regarding certain high-risk mergers. </w:t>
            </w:r>
          </w:p>
          <w:p w14:paraId="5AA05EC6" w14:textId="085F2DE8" w:rsidR="00E524BA" w:rsidRPr="00134B42" w:rsidRDefault="00AC2364" w:rsidP="006D0CFA">
            <w:pPr>
              <w:pStyle w:val="BoxText"/>
              <w:rPr>
                <w:b/>
                <w:bCs/>
              </w:rPr>
            </w:pPr>
            <w:r w:rsidRPr="00395B97">
              <w:t>The reform bring</w:t>
            </w:r>
            <w:r w:rsidR="00DC6DFD" w:rsidRPr="00395B97">
              <w:t>s</w:t>
            </w:r>
            <w:r w:rsidRPr="00395B97">
              <w:t xml:space="preserve"> Australia more in line with international best practice. Six of the G7 economies and around three-quarters of OECD members have administrative merger control systems.</w:t>
            </w:r>
            <w:r w:rsidRPr="00B43676">
              <w:t xml:space="preserve"> </w:t>
            </w:r>
          </w:p>
        </w:tc>
      </w:tr>
      <w:tr w:rsidR="007E1DB6" w:rsidRPr="00134B42" w14:paraId="60EE3D31" w14:textId="77777777">
        <w:trPr>
          <w:trHeight w:val="70"/>
        </w:trPr>
        <w:tc>
          <w:tcPr>
            <w:tcW w:w="9016" w:type="dxa"/>
          </w:tcPr>
          <w:p w14:paraId="7BC8F04D" w14:textId="5B5267F6" w:rsidR="007E1DB6" w:rsidRPr="00831153" w:rsidRDefault="007E1DB6">
            <w:pPr>
              <w:pStyle w:val="BoxHeading"/>
              <w:rPr>
                <w:caps/>
              </w:rPr>
            </w:pPr>
            <w:r w:rsidRPr="00831153">
              <w:rPr>
                <w:caps/>
              </w:rPr>
              <w:lastRenderedPageBreak/>
              <w:br w:type="page"/>
            </w:r>
            <w:r w:rsidRPr="00831153">
              <w:t>Recommendation 8</w:t>
            </w:r>
          </w:p>
          <w:p w14:paraId="4E700621" w14:textId="77777777" w:rsidR="00642858" w:rsidRPr="00831153" w:rsidRDefault="00642858">
            <w:pPr>
              <w:pStyle w:val="BoxSubHeading"/>
              <w:keepNext w:val="0"/>
              <w:rPr>
                <w:rFonts w:ascii="Open Sans" w:hAnsi="Open Sans" w:cs="Open Sans"/>
                <w:color w:val="222222"/>
                <w:sz w:val="23"/>
                <w:szCs w:val="23"/>
                <w:shd w:val="clear" w:color="auto" w:fill="FFFFFF"/>
              </w:rPr>
            </w:pPr>
            <w:r w:rsidRPr="00831153">
              <w:rPr>
                <w:bCs w:val="0"/>
                <w:i w:val="0"/>
                <w:iCs w:val="0"/>
                <w:color w:val="auto"/>
                <w:sz w:val="22"/>
                <w:szCs w:val="20"/>
              </w:rPr>
              <w:t>The committee further recommends that as part of reform to merger laws, the Australian Government provide the Australian Competition and Consumer Commission with the powers to investigate and make recommendations to government to address land banking in the supermarket sector</w:t>
            </w:r>
            <w:r w:rsidRPr="00831153">
              <w:rPr>
                <w:rFonts w:ascii="Open Sans" w:hAnsi="Open Sans" w:cs="Open Sans"/>
                <w:color w:val="222222"/>
                <w:sz w:val="23"/>
                <w:szCs w:val="23"/>
                <w:shd w:val="clear" w:color="auto" w:fill="FFFFFF"/>
              </w:rPr>
              <w:t>.</w:t>
            </w:r>
          </w:p>
          <w:p w14:paraId="301251D2" w14:textId="1CB10741" w:rsidR="007E1DB6" w:rsidRPr="00831153" w:rsidRDefault="007E1DB6">
            <w:pPr>
              <w:pStyle w:val="BoxSubHeading"/>
              <w:keepNext w:val="0"/>
              <w:rPr>
                <w:caps/>
              </w:rPr>
            </w:pPr>
            <w:r w:rsidRPr="00831153">
              <w:t xml:space="preserve">Australian Government response </w:t>
            </w:r>
          </w:p>
          <w:p w14:paraId="49D9A62D" w14:textId="645AD4E1" w:rsidR="007E1DB6" w:rsidRPr="00B43676" w:rsidRDefault="007E1DB6">
            <w:pPr>
              <w:pStyle w:val="BoxText"/>
            </w:pPr>
            <w:r w:rsidRPr="00395B97">
              <w:rPr>
                <w:caps/>
              </w:rPr>
              <w:t>t</w:t>
            </w:r>
            <w:r w:rsidRPr="00395B97">
              <w:t xml:space="preserve">he Government </w:t>
            </w:r>
            <w:r w:rsidRPr="00395B97">
              <w:rPr>
                <w:b/>
                <w:bCs/>
              </w:rPr>
              <w:t>notes</w:t>
            </w:r>
            <w:r w:rsidRPr="00395B97">
              <w:t xml:space="preserve"> this recommendation.</w:t>
            </w:r>
          </w:p>
          <w:p w14:paraId="3DC8F1BA" w14:textId="2752D2BB" w:rsidR="007E1DB6" w:rsidRPr="00831153" w:rsidRDefault="00D930F4">
            <w:pPr>
              <w:pStyle w:val="BoxText"/>
              <w:rPr>
                <w:caps/>
              </w:rPr>
            </w:pPr>
            <w:r w:rsidRPr="00395B97">
              <w:rPr>
                <w:rFonts w:asciiTheme="majorHAnsi" w:hAnsiTheme="majorHAnsi" w:cstheme="majorHAnsi"/>
                <w:color w:val="222222"/>
                <w:szCs w:val="22"/>
              </w:rPr>
              <w:t>Under the Government’s merger reforms, a</w:t>
            </w:r>
            <w:r w:rsidRPr="00395B97">
              <w:t xml:space="preserve"> Treasury Minister has the power to introduce additional targeted notification obligations in response to evidence-based concerns regarding certain high-risk mergers. Using this power, the Minister has made the Competition and Consumer (Notification of Acquisitions) Determination 2025</w:t>
            </w:r>
            <w:r w:rsidRPr="00395B97">
              <w:rPr>
                <w:rFonts w:asciiTheme="majorHAnsi" w:hAnsiTheme="majorHAnsi" w:cstheme="majorHAnsi"/>
                <w:color w:val="222222"/>
                <w:szCs w:val="22"/>
              </w:rPr>
              <w:t xml:space="preserve"> that requires Coles and Woolworths to notify the ACCC </w:t>
            </w:r>
            <w:r w:rsidR="00520751" w:rsidRPr="00395B97">
              <w:rPr>
                <w:rFonts w:asciiTheme="majorHAnsi" w:hAnsiTheme="majorHAnsi" w:cstheme="majorHAnsi"/>
                <w:color w:val="222222"/>
                <w:szCs w:val="22"/>
              </w:rPr>
              <w:t xml:space="preserve">and seek approval </w:t>
            </w:r>
            <w:r w:rsidRPr="00395B97">
              <w:rPr>
                <w:rFonts w:asciiTheme="majorHAnsi" w:hAnsiTheme="majorHAnsi" w:cstheme="majorHAnsi"/>
                <w:color w:val="222222"/>
                <w:szCs w:val="22"/>
              </w:rPr>
              <w:t>of all acquisitions of supermarket businesses and certain land acquisitions.</w:t>
            </w:r>
            <w:r w:rsidR="00520751" w:rsidRPr="00395B97">
              <w:rPr>
                <w:rFonts w:asciiTheme="majorHAnsi" w:hAnsiTheme="majorHAnsi" w:cstheme="majorHAnsi"/>
                <w:color w:val="222222"/>
                <w:szCs w:val="22"/>
              </w:rPr>
              <w:t xml:space="preserve"> </w:t>
            </w:r>
          </w:p>
        </w:tc>
      </w:tr>
      <w:tr w:rsidR="007E1DB6" w:rsidRPr="00134B42" w14:paraId="48284F64" w14:textId="77777777">
        <w:trPr>
          <w:trHeight w:val="70"/>
        </w:trPr>
        <w:tc>
          <w:tcPr>
            <w:tcW w:w="9016" w:type="dxa"/>
          </w:tcPr>
          <w:p w14:paraId="2EAE6BBA" w14:textId="46E88CB2" w:rsidR="007E1DB6" w:rsidRPr="00134B42" w:rsidRDefault="007E1DB6" w:rsidP="006D0CFA">
            <w:pPr>
              <w:pStyle w:val="BoxHeading"/>
              <w:rPr>
                <w:caps/>
              </w:rPr>
            </w:pPr>
            <w:r w:rsidRPr="00134B42">
              <w:lastRenderedPageBreak/>
              <w:t>Recommendation 9</w:t>
            </w:r>
          </w:p>
          <w:p w14:paraId="0C6E5DE2" w14:textId="77777777" w:rsidR="002063D6" w:rsidRPr="00134B42" w:rsidRDefault="002063D6" w:rsidP="006D0CFA">
            <w:pPr>
              <w:pStyle w:val="BoxSubHeading"/>
              <w:keepNext w:val="0"/>
              <w:rPr>
                <w:bCs w:val="0"/>
                <w:i w:val="0"/>
                <w:iCs w:val="0"/>
                <w:color w:val="auto"/>
                <w:sz w:val="22"/>
                <w:szCs w:val="20"/>
              </w:rPr>
            </w:pPr>
            <w:r w:rsidRPr="00134B42">
              <w:rPr>
                <w:bCs w:val="0"/>
                <w:i w:val="0"/>
                <w:iCs w:val="0"/>
                <w:color w:val="auto"/>
                <w:sz w:val="22"/>
                <w:szCs w:val="20"/>
              </w:rPr>
              <w:t xml:space="preserve">The committee recommends that the Australian Government amend the Unit Pricing Code made under the </w:t>
            </w:r>
            <w:r w:rsidRPr="00134B42">
              <w:rPr>
                <w:bCs w:val="0"/>
                <w:color w:val="auto"/>
                <w:sz w:val="22"/>
                <w:szCs w:val="20"/>
              </w:rPr>
              <w:t>Competition and Consumer Act 2010</w:t>
            </w:r>
            <w:r w:rsidRPr="00134B42">
              <w:rPr>
                <w:bCs w:val="0"/>
                <w:i w:val="0"/>
                <w:iCs w:val="0"/>
                <w:color w:val="auto"/>
                <w:sz w:val="22"/>
                <w:szCs w:val="20"/>
              </w:rPr>
              <w:t>, so that supermarkets are required to:</w:t>
            </w:r>
          </w:p>
          <w:p w14:paraId="01144EBE" w14:textId="77777777" w:rsidR="002063D6" w:rsidRPr="00134B42" w:rsidRDefault="002063D6" w:rsidP="006D0CFA">
            <w:pPr>
              <w:pStyle w:val="Bullet"/>
              <w:spacing w:before="120" w:after="120"/>
            </w:pPr>
            <w:r w:rsidRPr="00134B42">
              <w:t>adopt a mandatory information standard for unit pricing, including improvements to the legibility and prominence of unit prices, and changes in price and size of products, in line with consumer expectations;</w:t>
            </w:r>
          </w:p>
          <w:p w14:paraId="031D85E0" w14:textId="77777777" w:rsidR="002063D6" w:rsidRPr="00134B42" w:rsidRDefault="002063D6" w:rsidP="006D0CFA">
            <w:pPr>
              <w:pStyle w:val="Bullet"/>
              <w:spacing w:before="120" w:after="120"/>
            </w:pPr>
            <w:r w:rsidRPr="00134B42">
              <w:t>standardise and rationalise discount and promotional terms, to prevent promotional material indicating a discount when one is not available; and</w:t>
            </w:r>
          </w:p>
          <w:p w14:paraId="1EA5945B" w14:textId="77777777" w:rsidR="002063D6" w:rsidRPr="00134B42" w:rsidRDefault="002063D6" w:rsidP="006D0CFA">
            <w:pPr>
              <w:pStyle w:val="Bullet"/>
              <w:spacing w:before="120" w:after="120"/>
            </w:pPr>
            <w:r w:rsidRPr="00134B42">
              <w:t>prominently disclose any changes in the price or size of a product.</w:t>
            </w:r>
          </w:p>
          <w:p w14:paraId="51392BF4" w14:textId="0502CC00" w:rsidR="002063D6" w:rsidRPr="00134B42" w:rsidRDefault="002063D6" w:rsidP="006D0CFA">
            <w:pPr>
              <w:pStyle w:val="BoxSubHeading"/>
              <w:keepNext w:val="0"/>
              <w:rPr>
                <w:bCs w:val="0"/>
                <w:i w:val="0"/>
                <w:iCs w:val="0"/>
                <w:color w:val="auto"/>
                <w:sz w:val="22"/>
                <w:szCs w:val="20"/>
              </w:rPr>
            </w:pPr>
            <w:r w:rsidRPr="00134B42">
              <w:rPr>
                <w:bCs w:val="0"/>
                <w:i w:val="0"/>
                <w:iCs w:val="0"/>
                <w:color w:val="auto"/>
                <w:sz w:val="22"/>
                <w:szCs w:val="20"/>
              </w:rPr>
              <w:t>The committee recommends that the Australian Government ensure the Australian Competition and Consumer Commission is provided with sufficient regulatory and enforcement powers regarding the Unit Pricing Code.</w:t>
            </w:r>
          </w:p>
          <w:p w14:paraId="40B71AB6" w14:textId="689436EA" w:rsidR="007E1DB6" w:rsidRPr="00134B42" w:rsidRDefault="007E1DB6" w:rsidP="006D0CFA">
            <w:pPr>
              <w:pStyle w:val="BoxSubHeading"/>
              <w:keepNext w:val="0"/>
              <w:rPr>
                <w:caps/>
              </w:rPr>
            </w:pPr>
            <w:r w:rsidRPr="00134B42">
              <w:t xml:space="preserve">Australian Government response </w:t>
            </w:r>
          </w:p>
          <w:p w14:paraId="4B888F1C" w14:textId="00319122" w:rsidR="007E1DB6" w:rsidRPr="00134B42" w:rsidRDefault="007E1DB6" w:rsidP="006D0CFA">
            <w:pPr>
              <w:pStyle w:val="BoxText"/>
            </w:pPr>
            <w:r w:rsidRPr="00395B97">
              <w:rPr>
                <w:caps/>
              </w:rPr>
              <w:t>t</w:t>
            </w:r>
            <w:r w:rsidRPr="00395B97">
              <w:t xml:space="preserve">he Government </w:t>
            </w:r>
            <w:r w:rsidR="00F22058">
              <w:rPr>
                <w:b/>
              </w:rPr>
              <w:t>supports in principle</w:t>
            </w:r>
            <w:r w:rsidRPr="00395B97">
              <w:t xml:space="preserve"> this recommendation.</w:t>
            </w:r>
          </w:p>
          <w:p w14:paraId="1A357FDB" w14:textId="4DDDED5E" w:rsidR="00EA4F84" w:rsidRDefault="00762632" w:rsidP="006D0CFA">
            <w:pPr>
              <w:pStyle w:val="BoxText"/>
            </w:pPr>
            <w:r>
              <w:t xml:space="preserve">On 2 October 2024, the Government </w:t>
            </w:r>
            <w:r w:rsidR="004C43A5">
              <w:t xml:space="preserve">announced it </w:t>
            </w:r>
            <w:r w:rsidR="00314C48">
              <w:t>would strengthen</w:t>
            </w:r>
            <w:r>
              <w:t xml:space="preserve"> the Unit Pricing Code to make it easier for Australians</w:t>
            </w:r>
            <w:r w:rsidR="00315484">
              <w:t xml:space="preserve"> to make accurate and timely price comparisons</w:t>
            </w:r>
            <w:r w:rsidR="004C43A5">
              <w:t xml:space="preserve"> and </w:t>
            </w:r>
            <w:r w:rsidR="002F1848">
              <w:t>introduc</w:t>
            </w:r>
            <w:r w:rsidR="004C43A5">
              <w:t>e</w:t>
            </w:r>
            <w:r w:rsidR="002F1848">
              <w:t xml:space="preserve"> substantial </w:t>
            </w:r>
            <w:r w:rsidR="006A1D4A">
              <w:t xml:space="preserve">civil </w:t>
            </w:r>
            <w:r w:rsidR="002F1848">
              <w:t xml:space="preserve">penalties for </w:t>
            </w:r>
            <w:r w:rsidR="004C43A5">
              <w:t>breach</w:t>
            </w:r>
            <w:r w:rsidR="006A1D4A">
              <w:t>es</w:t>
            </w:r>
            <w:r w:rsidR="004C43A5">
              <w:t xml:space="preserve"> of the code. </w:t>
            </w:r>
            <w:r w:rsidR="00EA4F84">
              <w:t xml:space="preserve">On 1 September 2025, the Government released a consultation paper seeking stakeholder views on options to </w:t>
            </w:r>
            <w:r w:rsidR="00BB059F">
              <w:t xml:space="preserve">crack down on shrinkflation and </w:t>
            </w:r>
            <w:r w:rsidR="00EA4F84">
              <w:t xml:space="preserve">strengthen the </w:t>
            </w:r>
            <w:r w:rsidR="003462DA">
              <w:t>U</w:t>
            </w:r>
            <w:r w:rsidR="00CA535E">
              <w:t xml:space="preserve">nit </w:t>
            </w:r>
            <w:r w:rsidR="003462DA">
              <w:t>P</w:t>
            </w:r>
            <w:r w:rsidR="00CA535E">
              <w:t>ricing</w:t>
            </w:r>
            <w:r w:rsidR="003462DA">
              <w:t xml:space="preserve"> Code</w:t>
            </w:r>
            <w:r w:rsidR="00EA4F84">
              <w:t>, including:</w:t>
            </w:r>
          </w:p>
          <w:p w14:paraId="1176B8BF" w14:textId="55E808A4" w:rsidR="00EA4F84" w:rsidRDefault="00004619" w:rsidP="006D0CFA">
            <w:pPr>
              <w:pStyle w:val="Bullet"/>
              <w:spacing w:before="120" w:after="120"/>
            </w:pPr>
            <w:r>
              <w:t>i</w:t>
            </w:r>
            <w:r w:rsidR="00EA4F84">
              <w:t>ntroducing a new shrinkflation notification regime</w:t>
            </w:r>
          </w:p>
          <w:p w14:paraId="129A361B" w14:textId="41A05831" w:rsidR="00EA4F84" w:rsidRDefault="00004619" w:rsidP="006D0CFA">
            <w:pPr>
              <w:pStyle w:val="Bullet"/>
              <w:spacing w:before="120" w:after="120"/>
            </w:pPr>
            <w:r>
              <w:t>i</w:t>
            </w:r>
            <w:r w:rsidR="00EA4F84">
              <w:t>mproving unit price display requirements (including readability and prominence)</w:t>
            </w:r>
          </w:p>
          <w:p w14:paraId="411A5E8F" w14:textId="7DC9EAD6" w:rsidR="00EA4F84" w:rsidRDefault="00004619" w:rsidP="006D0CFA">
            <w:pPr>
              <w:pStyle w:val="Bullet"/>
              <w:spacing w:before="120" w:after="120"/>
            </w:pPr>
            <w:r>
              <w:t>e</w:t>
            </w:r>
            <w:r w:rsidR="00EA4F84">
              <w:t>xpanding the scope of retailers covered</w:t>
            </w:r>
          </w:p>
          <w:p w14:paraId="0AE68242" w14:textId="46431631" w:rsidR="00EA4F84" w:rsidRDefault="00004619" w:rsidP="006D0CFA">
            <w:pPr>
              <w:pStyle w:val="Bullet"/>
              <w:spacing w:before="120" w:after="120"/>
            </w:pPr>
            <w:r>
              <w:t>a</w:t>
            </w:r>
            <w:r w:rsidR="00EA4F84">
              <w:t>ddressing inconsistency in units of measure to improve in-store and cross-retailer price comparisons</w:t>
            </w:r>
          </w:p>
          <w:p w14:paraId="519B5E4D" w14:textId="16B738C9" w:rsidR="00EA4F84" w:rsidRDefault="00004619" w:rsidP="006D0CFA">
            <w:pPr>
              <w:pStyle w:val="Bullet"/>
              <w:spacing w:before="120" w:after="120"/>
            </w:pPr>
            <w:r>
              <w:t>h</w:t>
            </w:r>
            <w:r w:rsidR="00EA4F84">
              <w:t xml:space="preserve">ow to introduce penalties for non-compliance.  </w:t>
            </w:r>
          </w:p>
          <w:p w14:paraId="24DD7CFE" w14:textId="7D82D83E" w:rsidR="00C02760" w:rsidRDefault="007B07D7" w:rsidP="006D0CFA">
            <w:pPr>
              <w:pStyle w:val="BoxText"/>
            </w:pPr>
            <w:r>
              <w:t>Public c</w:t>
            </w:r>
            <w:r w:rsidR="00C02760" w:rsidRPr="00C02760">
              <w:t xml:space="preserve">onsultation closed on 19 September </w:t>
            </w:r>
            <w:r w:rsidR="00A14734" w:rsidRPr="00C02760">
              <w:t>2025,</w:t>
            </w:r>
            <w:r w:rsidR="00C02760" w:rsidRPr="00C02760">
              <w:t xml:space="preserve"> and the Government is currently considering outcomes of </w:t>
            </w:r>
            <w:r w:rsidR="006417AE">
              <w:t xml:space="preserve">the </w:t>
            </w:r>
            <w:r w:rsidR="00C02760" w:rsidRPr="00C02760">
              <w:t>consultation</w:t>
            </w:r>
          </w:p>
          <w:p w14:paraId="50E6FA97" w14:textId="285C89DF" w:rsidR="007E1DB6" w:rsidRPr="00134B42" w:rsidRDefault="00705A6E" w:rsidP="006D0CFA">
            <w:pPr>
              <w:pStyle w:val="BoxText"/>
            </w:pPr>
            <w:r>
              <w:t xml:space="preserve">The Government </w:t>
            </w:r>
            <w:r w:rsidR="00FB09A4">
              <w:t xml:space="preserve">has also agreed in principle with </w:t>
            </w:r>
            <w:r>
              <w:t xml:space="preserve">the ACCC’s </w:t>
            </w:r>
            <w:r w:rsidR="00211809">
              <w:t>s</w:t>
            </w:r>
            <w:r>
              <w:t xml:space="preserve">upermarkets </w:t>
            </w:r>
            <w:r w:rsidR="00211809">
              <w:t>i</w:t>
            </w:r>
            <w:r>
              <w:t>nquiry recommendations.</w:t>
            </w:r>
            <w:r w:rsidR="00762A66">
              <w:t xml:space="preserve"> </w:t>
            </w:r>
            <w:r w:rsidR="00135214">
              <w:t xml:space="preserve">This </w:t>
            </w:r>
            <w:r w:rsidR="00135214" w:rsidRPr="00F717E1">
              <w:t xml:space="preserve">includes </w:t>
            </w:r>
            <w:r w:rsidR="00320427" w:rsidRPr="00F717E1">
              <w:t xml:space="preserve">consideration of </w:t>
            </w:r>
            <w:r w:rsidR="0068616C" w:rsidRPr="00F717E1">
              <w:t xml:space="preserve">recommendation 4 </w:t>
            </w:r>
            <w:r w:rsidR="00320427" w:rsidRPr="00F717E1">
              <w:t xml:space="preserve">that </w:t>
            </w:r>
            <w:r w:rsidR="0068616C" w:rsidRPr="00F717E1">
              <w:t>‘</w:t>
            </w:r>
            <w:r w:rsidR="00135214" w:rsidRPr="00F717E1">
              <w:t xml:space="preserve">supermarkets should be </w:t>
            </w:r>
            <w:r w:rsidR="00320427" w:rsidRPr="00F717E1">
              <w:t>subject</w:t>
            </w:r>
            <w:r w:rsidR="00135214" w:rsidRPr="00F717E1">
              <w:t xml:space="preserve"> to minimum information requirements for discount price promotions, supported by record-keeping obligations.</w:t>
            </w:r>
            <w:r w:rsidR="0068616C" w:rsidRPr="00F717E1">
              <w:t>’</w:t>
            </w:r>
            <w:r w:rsidR="006E1400" w:rsidRPr="00F717E1">
              <w:t xml:space="preserve"> </w:t>
            </w:r>
            <w:r w:rsidR="006E1400" w:rsidRPr="00444A6F">
              <w:t xml:space="preserve">On </w:t>
            </w:r>
            <w:r w:rsidR="00CC44F8" w:rsidRPr="00444A6F">
              <w:t>20</w:t>
            </w:r>
            <w:r w:rsidR="006E1400" w:rsidRPr="00444A6F">
              <w:t xml:space="preserve"> January 2026, the Government released a consultation paper seeking </w:t>
            </w:r>
            <w:r w:rsidR="0007424E" w:rsidRPr="00444A6F">
              <w:t>feedback</w:t>
            </w:r>
            <w:r w:rsidR="006E1400" w:rsidRPr="00444A6F">
              <w:t xml:space="preserve"> on proposals to improve transparency </w:t>
            </w:r>
            <w:r w:rsidR="00943573" w:rsidRPr="00444A6F">
              <w:t>about</w:t>
            </w:r>
            <w:r w:rsidR="0007424E" w:rsidRPr="00444A6F">
              <w:t xml:space="preserve"> </w:t>
            </w:r>
            <w:r w:rsidR="006E1400" w:rsidRPr="00444A6F">
              <w:t>prices, price trends, promotions and loyalty programs</w:t>
            </w:r>
            <w:r w:rsidR="0007424E" w:rsidRPr="00444A6F">
              <w:t xml:space="preserve"> in the supermarket sector</w:t>
            </w:r>
            <w:r w:rsidR="00CC44F8" w:rsidRPr="00444A6F">
              <w:t>.</w:t>
            </w:r>
            <w:r w:rsidR="007E5F57">
              <w:t xml:space="preserve"> </w:t>
            </w:r>
            <w:r w:rsidR="008542D3">
              <w:t xml:space="preserve">Public Consultation closed on 17 </w:t>
            </w:r>
            <w:r w:rsidR="00A14734">
              <w:t>February,</w:t>
            </w:r>
            <w:r w:rsidR="00293397">
              <w:t xml:space="preserve"> and the Government is currently considering outcomes of the consultation. </w:t>
            </w:r>
            <w:r w:rsidR="007E5F57">
              <w:t xml:space="preserve"> </w:t>
            </w:r>
          </w:p>
        </w:tc>
      </w:tr>
      <w:tr w:rsidR="007E1DB6" w:rsidRPr="00134B42" w14:paraId="0FEFC2A3" w14:textId="77777777">
        <w:trPr>
          <w:trHeight w:val="70"/>
        </w:trPr>
        <w:tc>
          <w:tcPr>
            <w:tcW w:w="9016" w:type="dxa"/>
          </w:tcPr>
          <w:p w14:paraId="191BC78F" w14:textId="39399C17" w:rsidR="007E1DB6" w:rsidRPr="00134B42" w:rsidRDefault="007E1DB6">
            <w:pPr>
              <w:pStyle w:val="BoxHeading"/>
              <w:rPr>
                <w:caps/>
              </w:rPr>
            </w:pPr>
            <w:r w:rsidRPr="00134B42">
              <w:rPr>
                <w:caps/>
              </w:rPr>
              <w:lastRenderedPageBreak/>
              <w:br w:type="page"/>
            </w:r>
            <w:r w:rsidRPr="00134B42">
              <w:t>Recommendation 10</w:t>
            </w:r>
          </w:p>
          <w:p w14:paraId="13C320CA" w14:textId="77777777" w:rsidR="00EA7779" w:rsidRPr="00134B42" w:rsidRDefault="00EA7779" w:rsidP="00EA7779">
            <w:pPr>
              <w:pStyle w:val="BoxSubHeading"/>
              <w:keepNext w:val="0"/>
              <w:rPr>
                <w:bCs w:val="0"/>
                <w:i w:val="0"/>
                <w:iCs w:val="0"/>
                <w:color w:val="auto"/>
                <w:sz w:val="22"/>
                <w:szCs w:val="20"/>
              </w:rPr>
            </w:pPr>
            <w:r w:rsidRPr="00134B42">
              <w:rPr>
                <w:bCs w:val="0"/>
                <w:i w:val="0"/>
                <w:iCs w:val="0"/>
                <w:color w:val="auto"/>
                <w:sz w:val="22"/>
                <w:szCs w:val="20"/>
              </w:rPr>
              <w:t>The committee recommends the Australian Government increase funding to the Australian Competition and Consumer Commission (ACCC) to ensure the ACCC is adequately funded and resourced to regulate, investigate, enforce and prosecute competition policy matters, including unfair trading practices, the Unit Pricing Code, the Food and Grocery Code of Conduct, and any other matters falling within its remit.</w:t>
            </w:r>
          </w:p>
          <w:p w14:paraId="3FCDA333" w14:textId="04BB1411" w:rsidR="00EA7779" w:rsidRPr="00134B42" w:rsidRDefault="00EA7779" w:rsidP="00EA7779">
            <w:pPr>
              <w:pStyle w:val="BoxSubHeading"/>
              <w:keepNext w:val="0"/>
              <w:rPr>
                <w:bCs w:val="0"/>
                <w:i w:val="0"/>
                <w:iCs w:val="0"/>
                <w:color w:val="auto"/>
                <w:sz w:val="22"/>
                <w:szCs w:val="20"/>
              </w:rPr>
            </w:pPr>
            <w:r w:rsidRPr="00134B42">
              <w:rPr>
                <w:bCs w:val="0"/>
                <w:i w:val="0"/>
                <w:iCs w:val="0"/>
                <w:color w:val="auto"/>
                <w:sz w:val="22"/>
                <w:szCs w:val="20"/>
              </w:rPr>
              <w:t>The committee further recommends that the ACCC be given appropriate legislative powers to compel whatever information it requires as part of its investigative work.</w:t>
            </w:r>
          </w:p>
          <w:p w14:paraId="38124F8E" w14:textId="77777777" w:rsidR="007E1DB6" w:rsidRPr="00134B42" w:rsidRDefault="007E1DB6">
            <w:pPr>
              <w:pStyle w:val="BoxSubHeading"/>
              <w:keepNext w:val="0"/>
              <w:rPr>
                <w:caps/>
              </w:rPr>
            </w:pPr>
            <w:r w:rsidRPr="00134B42">
              <w:t xml:space="preserve">Australian Government response </w:t>
            </w:r>
          </w:p>
          <w:p w14:paraId="3182DBD8" w14:textId="0FBCCE65" w:rsidR="007E1DB6" w:rsidRPr="00134B42" w:rsidRDefault="007E1DB6">
            <w:pPr>
              <w:pStyle w:val="BoxText"/>
            </w:pPr>
            <w:r w:rsidRPr="00134B42">
              <w:rPr>
                <w:caps/>
              </w:rPr>
              <w:t>t</w:t>
            </w:r>
            <w:r w:rsidRPr="00134B42">
              <w:t xml:space="preserve">he Government </w:t>
            </w:r>
            <w:r w:rsidR="00446761">
              <w:rPr>
                <w:b/>
                <w:bCs/>
              </w:rPr>
              <w:t>supports</w:t>
            </w:r>
            <w:r w:rsidR="00065069" w:rsidRPr="00134B42">
              <w:t xml:space="preserve"> </w:t>
            </w:r>
            <w:r w:rsidRPr="00134B42">
              <w:t>this recommendation.</w:t>
            </w:r>
          </w:p>
          <w:p w14:paraId="17E3F31B" w14:textId="3A62DE49" w:rsidR="00A152A2" w:rsidRPr="00A152A2" w:rsidRDefault="002F3164" w:rsidP="00A152A2">
            <w:pPr>
              <w:pStyle w:val="BoxText"/>
            </w:pPr>
            <w:r w:rsidRPr="002F3164">
              <w:t xml:space="preserve">The Government supports a well-resourced ACCC. </w:t>
            </w:r>
            <w:r w:rsidR="00A152A2">
              <w:t xml:space="preserve">The </w:t>
            </w:r>
            <w:r w:rsidR="00A152A2" w:rsidRPr="00A152A2">
              <w:t>2026–27 Budget allocates an additional $67.7 million over four years to further strengthen the ACCC’s competition and consumer law enforcement capabilities. This funding will support the ACCC’s expanded role in enforcing new pricing regulations, monitoring compliance with industry codes, and taking action against anti</w:t>
            </w:r>
            <w:r w:rsidR="00A152A2" w:rsidRPr="00A152A2">
              <w:noBreakHyphen/>
              <w:t>competitive and unfair conduct, including in concentrated sectors such as supermarkets.</w:t>
            </w:r>
          </w:p>
          <w:p w14:paraId="3116DDF1" w14:textId="2DEB38C1" w:rsidR="00293397" w:rsidRDefault="00136228" w:rsidP="006A30DF">
            <w:pPr>
              <w:pStyle w:val="BoxText"/>
            </w:pPr>
            <w:r w:rsidRPr="00136228">
              <w:t>This builds on the Government’s earlier investment of over $30 million provided in the 2024–25 Mid</w:t>
            </w:r>
            <w:r w:rsidRPr="00136228">
              <w:noBreakHyphen/>
              <w:t>Year Economic and Fiscal Outlook to increase the ACCC’s investigation and enforcement activity to address harmful and misleading conduct in the supermarket and retail sectors.</w:t>
            </w:r>
          </w:p>
          <w:p w14:paraId="0438BE78" w14:textId="6F33FE47" w:rsidR="004149B5" w:rsidRPr="00134B42" w:rsidRDefault="00430509">
            <w:pPr>
              <w:pStyle w:val="BoxText"/>
            </w:pPr>
            <w:r>
              <w:t xml:space="preserve">The </w:t>
            </w:r>
            <w:r w:rsidR="00856EE4" w:rsidRPr="00134B42">
              <w:rPr>
                <w:i/>
                <w:iCs/>
              </w:rPr>
              <w:t>Competition and Consumer Act 2010</w:t>
            </w:r>
            <w:r>
              <w:t xml:space="preserve"> </w:t>
            </w:r>
            <w:proofErr w:type="gramStart"/>
            <w:r>
              <w:t>equips</w:t>
            </w:r>
            <w:proofErr w:type="gramEnd"/>
            <w:r>
              <w:t xml:space="preserve"> the ACCC with </w:t>
            </w:r>
            <w:r w:rsidR="00856EE4" w:rsidRPr="00134B42">
              <w:t>compulsory information</w:t>
            </w:r>
            <w:r w:rsidR="00E01531">
              <w:t>-</w:t>
            </w:r>
            <w:r w:rsidR="00856EE4" w:rsidRPr="00134B42">
              <w:t xml:space="preserve">gathering powers that </w:t>
            </w:r>
            <w:r w:rsidR="002C2A46">
              <w:t xml:space="preserve">support its ability </w:t>
            </w:r>
            <w:r w:rsidR="00E72082" w:rsidRPr="00134B42">
              <w:t xml:space="preserve">to </w:t>
            </w:r>
            <w:r w:rsidR="00856EE4" w:rsidRPr="00134B42">
              <w:t xml:space="preserve">obtain information, </w:t>
            </w:r>
            <w:r w:rsidR="00F13E8F" w:rsidRPr="00134B42">
              <w:t>documents</w:t>
            </w:r>
            <w:r w:rsidR="00856EE4" w:rsidRPr="00134B42">
              <w:t xml:space="preserve"> and evidence in relation to its enforce</w:t>
            </w:r>
            <w:r w:rsidR="00F13E8F" w:rsidRPr="00134B42">
              <w:t>ment</w:t>
            </w:r>
            <w:r w:rsidR="00856EE4" w:rsidRPr="00134B42">
              <w:t xml:space="preserve"> functions, certain authorisation and notification decisions</w:t>
            </w:r>
            <w:r w:rsidR="00D1684C">
              <w:t>,</w:t>
            </w:r>
            <w:r w:rsidR="00856EE4" w:rsidRPr="00134B42">
              <w:t xml:space="preserve"> and regulatory matters.</w:t>
            </w:r>
          </w:p>
        </w:tc>
      </w:tr>
      <w:tr w:rsidR="007E1DB6" w:rsidRPr="00134B42" w14:paraId="73F8D35D" w14:textId="77777777">
        <w:trPr>
          <w:trHeight w:val="70"/>
        </w:trPr>
        <w:tc>
          <w:tcPr>
            <w:tcW w:w="9016" w:type="dxa"/>
          </w:tcPr>
          <w:p w14:paraId="638DE8FA" w14:textId="0768A776" w:rsidR="00BB01A4" w:rsidRPr="00134B42" w:rsidRDefault="00BB01A4" w:rsidP="006D0CFA">
            <w:pPr>
              <w:pStyle w:val="BoxHeading"/>
              <w:rPr>
                <w:caps/>
              </w:rPr>
            </w:pPr>
            <w:r w:rsidRPr="00134B42">
              <w:lastRenderedPageBreak/>
              <w:t>Recommendation 11</w:t>
            </w:r>
          </w:p>
          <w:p w14:paraId="18166C0E" w14:textId="77777777" w:rsidR="00BB01A4" w:rsidRPr="00134B42" w:rsidRDefault="00BB01A4" w:rsidP="006D0CFA">
            <w:pPr>
              <w:pStyle w:val="BoxSubHeading"/>
              <w:rPr>
                <w:bCs w:val="0"/>
                <w:i w:val="0"/>
                <w:iCs w:val="0"/>
                <w:color w:val="auto"/>
                <w:sz w:val="22"/>
                <w:szCs w:val="20"/>
              </w:rPr>
            </w:pPr>
            <w:r w:rsidRPr="00134B42">
              <w:rPr>
                <w:bCs w:val="0"/>
                <w:i w:val="0"/>
                <w:iCs w:val="0"/>
                <w:color w:val="auto"/>
                <w:sz w:val="22"/>
                <w:szCs w:val="20"/>
              </w:rPr>
              <w:t>The committee recommends that the Department of Climate Change, Energy, the Environment and Water update the 2017 National Food Waste Strategy to include a best-practice, nation-wide approach to addressing food waste in the supermarket chain. The updated strategy should consider:</w:t>
            </w:r>
          </w:p>
          <w:p w14:paraId="2F3C2629" w14:textId="1118C972" w:rsidR="00BB01A4" w:rsidRPr="00134B42" w:rsidRDefault="00BB01A4" w:rsidP="006D0CFA">
            <w:pPr>
              <w:pStyle w:val="Bullet"/>
              <w:spacing w:before="120" w:after="120"/>
            </w:pPr>
            <w:r w:rsidRPr="00134B42">
              <w:t xml:space="preserve">reform of the use-by and best-before labels and their role in food wastage and consumer </w:t>
            </w:r>
            <w:proofErr w:type="gramStart"/>
            <w:r w:rsidRPr="00134B42">
              <w:t>confusion;</w:t>
            </w:r>
            <w:proofErr w:type="gramEnd"/>
          </w:p>
          <w:p w14:paraId="3190BAE7" w14:textId="26705C8B" w:rsidR="00BB01A4" w:rsidRPr="00134B42" w:rsidRDefault="00BB01A4" w:rsidP="006D0CFA">
            <w:pPr>
              <w:pStyle w:val="Bullet"/>
              <w:spacing w:before="120" w:after="120"/>
            </w:pPr>
            <w:r w:rsidRPr="00134B42">
              <w:t>whether unrealistic cosmetic standards are adversely affecting farmers and the quantity of food waste across the country; and</w:t>
            </w:r>
          </w:p>
          <w:p w14:paraId="185EF8C0" w14:textId="4587DE4E" w:rsidR="00BB01A4" w:rsidRPr="00134B42" w:rsidRDefault="00BB01A4" w:rsidP="006D0CFA">
            <w:pPr>
              <w:pStyle w:val="Bullet"/>
              <w:spacing w:before="120" w:after="120"/>
            </w:pPr>
            <w:r w:rsidRPr="00134B42">
              <w:t>a requirement for supermarkets to publish regular data on food waste volumes, including food rejected for cosmetic reasons and food donated to foodbanks and similar charities.</w:t>
            </w:r>
          </w:p>
          <w:p w14:paraId="13690AF0" w14:textId="2F36A82E" w:rsidR="00BB01A4" w:rsidRPr="00134B42" w:rsidRDefault="00BB01A4" w:rsidP="006D0CFA">
            <w:pPr>
              <w:pStyle w:val="BoxSubHeading"/>
              <w:keepNext w:val="0"/>
              <w:rPr>
                <w:bCs w:val="0"/>
                <w:i w:val="0"/>
                <w:iCs w:val="0"/>
                <w:color w:val="auto"/>
                <w:sz w:val="22"/>
                <w:szCs w:val="20"/>
              </w:rPr>
            </w:pPr>
            <w:r w:rsidRPr="00134B42">
              <w:rPr>
                <w:bCs w:val="0"/>
                <w:i w:val="0"/>
                <w:iCs w:val="0"/>
                <w:color w:val="auto"/>
                <w:sz w:val="22"/>
                <w:szCs w:val="20"/>
              </w:rPr>
              <w:t xml:space="preserve">The committee recommends that the above reforms be progressed following a public consultation period. </w:t>
            </w:r>
          </w:p>
          <w:p w14:paraId="49B60943" w14:textId="79963B2C" w:rsidR="00BB01A4" w:rsidRPr="00134B42" w:rsidRDefault="00BB01A4" w:rsidP="006D0CFA">
            <w:pPr>
              <w:pStyle w:val="BoxSubHeading"/>
              <w:keepNext w:val="0"/>
              <w:rPr>
                <w:caps/>
              </w:rPr>
            </w:pPr>
            <w:r w:rsidRPr="00134B42">
              <w:t xml:space="preserve">Australian Government response </w:t>
            </w:r>
          </w:p>
          <w:p w14:paraId="092730C2" w14:textId="7FE520D7" w:rsidR="00DC2C8B" w:rsidRPr="00134B42" w:rsidRDefault="00383F73" w:rsidP="006D0CFA">
            <w:pPr>
              <w:pStyle w:val="BoxSubHeading"/>
              <w:keepNext w:val="0"/>
              <w:rPr>
                <w:bCs w:val="0"/>
                <w:i w:val="0"/>
                <w:iCs w:val="0"/>
                <w:color w:val="auto"/>
                <w:sz w:val="22"/>
                <w:szCs w:val="20"/>
              </w:rPr>
            </w:pPr>
            <w:r w:rsidRPr="00134B42">
              <w:rPr>
                <w:bCs w:val="0"/>
                <w:i w:val="0"/>
                <w:iCs w:val="0"/>
                <w:color w:val="auto"/>
                <w:sz w:val="22"/>
                <w:szCs w:val="20"/>
              </w:rPr>
              <w:t>The Government</w:t>
            </w:r>
            <w:r w:rsidR="009653DB" w:rsidRPr="00134B42">
              <w:rPr>
                <w:bCs w:val="0"/>
                <w:i w:val="0"/>
                <w:iCs w:val="0"/>
                <w:color w:val="auto"/>
                <w:sz w:val="22"/>
                <w:szCs w:val="20"/>
              </w:rPr>
              <w:t xml:space="preserve"> </w:t>
            </w:r>
            <w:r w:rsidR="00AD3477" w:rsidRPr="00134B42">
              <w:rPr>
                <w:b/>
                <w:i w:val="0"/>
                <w:iCs w:val="0"/>
                <w:color w:val="auto"/>
                <w:sz w:val="22"/>
                <w:szCs w:val="20"/>
              </w:rPr>
              <w:t>notes</w:t>
            </w:r>
            <w:r w:rsidR="009653DB" w:rsidRPr="00134B42">
              <w:rPr>
                <w:bCs w:val="0"/>
                <w:i w:val="0"/>
                <w:iCs w:val="0"/>
                <w:color w:val="auto"/>
                <w:sz w:val="22"/>
                <w:szCs w:val="20"/>
              </w:rPr>
              <w:t xml:space="preserve"> </w:t>
            </w:r>
            <w:r w:rsidR="00DC2C8B" w:rsidRPr="00134B42">
              <w:rPr>
                <w:bCs w:val="0"/>
                <w:i w:val="0"/>
                <w:iCs w:val="0"/>
                <w:color w:val="auto"/>
                <w:sz w:val="22"/>
                <w:szCs w:val="20"/>
              </w:rPr>
              <w:t xml:space="preserve">this </w:t>
            </w:r>
            <w:r w:rsidR="009653DB" w:rsidRPr="00134B42">
              <w:rPr>
                <w:bCs w:val="0"/>
                <w:i w:val="0"/>
                <w:iCs w:val="0"/>
                <w:color w:val="auto"/>
                <w:sz w:val="22"/>
                <w:szCs w:val="20"/>
              </w:rPr>
              <w:t>recommendation</w:t>
            </w:r>
            <w:r w:rsidR="00DC2C8B" w:rsidRPr="00134B42">
              <w:rPr>
                <w:bCs w:val="0"/>
                <w:i w:val="0"/>
                <w:iCs w:val="0"/>
                <w:color w:val="auto"/>
                <w:sz w:val="22"/>
                <w:szCs w:val="20"/>
              </w:rPr>
              <w:t>.</w:t>
            </w:r>
            <w:r w:rsidR="004E3CA0" w:rsidRPr="00134B42">
              <w:rPr>
                <w:bCs w:val="0"/>
                <w:i w:val="0"/>
                <w:iCs w:val="0"/>
                <w:color w:val="auto"/>
                <w:sz w:val="22"/>
                <w:szCs w:val="20"/>
              </w:rPr>
              <w:t xml:space="preserve"> </w:t>
            </w:r>
          </w:p>
          <w:p w14:paraId="573FB4A8" w14:textId="77777777" w:rsidR="001D17F1" w:rsidRDefault="001D17F1" w:rsidP="006D0CFA">
            <w:pPr>
              <w:pStyle w:val="BoxSubHeading"/>
              <w:rPr>
                <w:bCs w:val="0"/>
                <w:i w:val="0"/>
                <w:iCs w:val="0"/>
                <w:color w:val="auto"/>
                <w:sz w:val="22"/>
                <w:szCs w:val="20"/>
              </w:rPr>
            </w:pPr>
            <w:r w:rsidRPr="001D17F1">
              <w:rPr>
                <w:bCs w:val="0"/>
                <w:i w:val="0"/>
                <w:iCs w:val="0"/>
                <w:color w:val="auto"/>
                <w:sz w:val="22"/>
                <w:szCs w:val="20"/>
              </w:rPr>
              <w:t xml:space="preserve">The Government has released Australia’s </w:t>
            </w:r>
            <w:r w:rsidRPr="007D6A05">
              <w:rPr>
                <w:color w:val="auto"/>
                <w:sz w:val="22"/>
                <w:szCs w:val="20"/>
              </w:rPr>
              <w:t>Circular Economy Framework</w:t>
            </w:r>
            <w:r w:rsidRPr="001D17F1">
              <w:rPr>
                <w:bCs w:val="0"/>
                <w:i w:val="0"/>
                <w:iCs w:val="0"/>
                <w:color w:val="auto"/>
                <w:sz w:val="22"/>
                <w:szCs w:val="20"/>
              </w:rPr>
              <w:t xml:space="preserve"> which provides the blueprint for Australia’s circular economy transition. This framework sets clear priorities and targets to keep materials in our economy for as long as possible, while reducing waste. The food and agriculture sector is one of four priority sectors identified in the framework. Reducing food waste to support decarbonisation is identified as a key opportunity for Australia.</w:t>
            </w:r>
          </w:p>
          <w:p w14:paraId="50731D67" w14:textId="760FC595" w:rsidR="00060FA2" w:rsidRDefault="00CC44F8" w:rsidP="006D0CFA">
            <w:pPr>
              <w:pStyle w:val="BoxText"/>
            </w:pPr>
            <w:r w:rsidRPr="00FD6850">
              <w:t>The Government has</w:t>
            </w:r>
            <w:r>
              <w:t xml:space="preserve"> </w:t>
            </w:r>
            <w:r w:rsidRPr="00FD6850">
              <w:t>committed $3.5 million to develop Feeding Australia: A National Food Security Strategy. The strategy will be developed with farmers and fishers, industry and the community. It aims to boost the productivity, resilience and security of our food system.</w:t>
            </w:r>
            <w:r>
              <w:t xml:space="preserve"> Early consultation identified climate change and </w:t>
            </w:r>
            <w:r w:rsidR="00CD099D">
              <w:t>sustainability</w:t>
            </w:r>
            <w:r>
              <w:t xml:space="preserve"> as an early theme for consideration in strategy</w:t>
            </w:r>
            <w:r w:rsidR="00CD099D">
              <w:t xml:space="preserve"> development</w:t>
            </w:r>
            <w:r>
              <w:t>.</w:t>
            </w:r>
            <w:r w:rsidR="00661B55">
              <w:t xml:space="preserve"> </w:t>
            </w:r>
          </w:p>
          <w:p w14:paraId="5855F084" w14:textId="7E3EF612" w:rsidR="007E1DB6" w:rsidRPr="00134B42" w:rsidRDefault="001D17F1" w:rsidP="006D0CFA">
            <w:pPr>
              <w:pStyle w:val="BoxText"/>
              <w:rPr>
                <w:b/>
                <w:bCs/>
              </w:rPr>
            </w:pPr>
            <w:r w:rsidRPr="001D17F1">
              <w:t>Opportunities to reduce greenhouse gas emissions through the food supply chain are also being identified to support Australia’s achievement of the legislated target of net zero greenhouse gas emissions by 2050.</w:t>
            </w:r>
          </w:p>
        </w:tc>
      </w:tr>
      <w:tr w:rsidR="00180A6E" w:rsidRPr="00134B42" w14:paraId="1207E0C9" w14:textId="77777777">
        <w:trPr>
          <w:trHeight w:val="70"/>
        </w:trPr>
        <w:tc>
          <w:tcPr>
            <w:tcW w:w="9016" w:type="dxa"/>
          </w:tcPr>
          <w:p w14:paraId="7532FCB8" w14:textId="62D78824" w:rsidR="00180A6E" w:rsidRPr="00134B42" w:rsidRDefault="00180A6E">
            <w:pPr>
              <w:pStyle w:val="BoxHeading"/>
              <w:rPr>
                <w:caps/>
              </w:rPr>
            </w:pPr>
            <w:r w:rsidRPr="00134B42">
              <w:lastRenderedPageBreak/>
              <w:t>Recommendation 12</w:t>
            </w:r>
          </w:p>
          <w:p w14:paraId="039ADD17" w14:textId="5BACAD67" w:rsidR="00180A6E" w:rsidRPr="00134B42" w:rsidRDefault="00180A6E">
            <w:pPr>
              <w:pStyle w:val="BoxSubHeading"/>
              <w:keepNext w:val="0"/>
              <w:rPr>
                <w:bCs w:val="0"/>
                <w:i w:val="0"/>
                <w:iCs w:val="0"/>
                <w:color w:val="auto"/>
                <w:sz w:val="22"/>
                <w:szCs w:val="20"/>
              </w:rPr>
            </w:pPr>
            <w:r w:rsidRPr="00134B42">
              <w:rPr>
                <w:bCs w:val="0"/>
                <w:i w:val="0"/>
                <w:iCs w:val="0"/>
                <w:color w:val="auto"/>
                <w:sz w:val="22"/>
                <w:szCs w:val="20"/>
              </w:rPr>
              <w:t>The committee calls on supermarkets to do more to improve the health and safety standards for supermarket employees, to ensure supermarket workers are appropriately protected from customer abuse.</w:t>
            </w:r>
          </w:p>
          <w:p w14:paraId="531D1203" w14:textId="5AA83F8D" w:rsidR="00180A6E" w:rsidRPr="00134B42" w:rsidRDefault="00180A6E">
            <w:pPr>
              <w:pStyle w:val="BoxSubHeading"/>
              <w:keepNext w:val="0"/>
              <w:rPr>
                <w:caps/>
              </w:rPr>
            </w:pPr>
            <w:r w:rsidRPr="00134B42">
              <w:t xml:space="preserve">Australian Government response </w:t>
            </w:r>
          </w:p>
          <w:p w14:paraId="2ECA008E" w14:textId="64150254" w:rsidR="0022793B" w:rsidRDefault="0022793B" w:rsidP="0022793B">
            <w:pPr>
              <w:pStyle w:val="BoxText"/>
            </w:pPr>
            <w:r w:rsidRPr="0022793B">
              <w:t xml:space="preserve">The Government </w:t>
            </w:r>
            <w:r w:rsidR="00593C6F">
              <w:rPr>
                <w:b/>
                <w:bCs/>
              </w:rPr>
              <w:t>supports</w:t>
            </w:r>
            <w:r w:rsidR="00593C6F" w:rsidRPr="0022793B">
              <w:t xml:space="preserve"> </w:t>
            </w:r>
            <w:r w:rsidRPr="0022793B">
              <w:t xml:space="preserve">this recommendation. </w:t>
            </w:r>
          </w:p>
          <w:p w14:paraId="0E464DF4" w14:textId="77777777" w:rsidR="00593C6F" w:rsidRPr="00593C6F" w:rsidRDefault="00593C6F" w:rsidP="00593C6F">
            <w:pPr>
              <w:pStyle w:val="BoxText"/>
            </w:pPr>
            <w:r w:rsidRPr="00593C6F">
              <w:t xml:space="preserve">Work </w:t>
            </w:r>
            <w:r w:rsidR="0022793B" w:rsidRPr="0022793B">
              <w:t xml:space="preserve">health and safety </w:t>
            </w:r>
            <w:r w:rsidRPr="00593C6F">
              <w:t xml:space="preserve">(WHS) in Australia is legislated and regulated separately by each of Australia’s state, territory and Commonwealth jurisdictions. WHS laws are largely harmonised across these jurisdictions through a set of uniform laws known as the model WHS laws. Under the model WHS </w:t>
            </w:r>
            <w:r w:rsidR="0022793B" w:rsidRPr="0022793B">
              <w:t xml:space="preserve">laws, a person conducting a business or undertaking </w:t>
            </w:r>
            <w:r w:rsidRPr="00593C6F">
              <w:t xml:space="preserve">(PCBU) </w:t>
            </w:r>
            <w:r w:rsidR="0022793B" w:rsidRPr="0022793B">
              <w:t xml:space="preserve">such as a supermarket or retail business, has a duty to eliminate or minimise, so far as is reasonably practicable, risks to the physical and psychological health and safety of workers and other persons. This includes risks arising from violence, aggression and harassment in the workplace. </w:t>
            </w:r>
            <w:r w:rsidRPr="00593C6F">
              <w:t>The model laws have been adopted in most jurisdictions.</w:t>
            </w:r>
          </w:p>
          <w:p w14:paraId="59FB0680" w14:textId="77777777" w:rsidR="00593C6F" w:rsidRPr="00593C6F" w:rsidRDefault="00593C6F" w:rsidP="00593C6F">
            <w:pPr>
              <w:pStyle w:val="BoxText"/>
            </w:pPr>
            <w:r w:rsidRPr="00593C6F">
              <w:t xml:space="preserve">As retail work usually involves interaction with members of the public, the risk of exposure to harmful behaviours such as violence, aggression and harassment is high. Young workers, who commonly commence in the workforce in the retail and hospitality sectors, face heightened risks of sexual harassment, aggression, coercion or bullying from customers, managers or other workers. Other common psychosocial hazards associated with retail work include high job demands and poor support, including inadequate training. </w:t>
            </w:r>
          </w:p>
          <w:p w14:paraId="10C5DEFA" w14:textId="043D633E" w:rsidR="00180A6E" w:rsidRPr="00190522" w:rsidRDefault="00593C6F">
            <w:pPr>
              <w:pStyle w:val="BoxText"/>
            </w:pPr>
            <w:r w:rsidRPr="00593C6F">
              <w:t xml:space="preserve">Safe Work Australia, the national tripartite policy body for WHS, has published a range of guidance for PCBUs on preventing workplace violence and aggression, as well as the model </w:t>
            </w:r>
            <w:r w:rsidRPr="00593C6F">
              <w:rPr>
                <w:i/>
                <w:iCs/>
              </w:rPr>
              <w:t>Code of Practice: Managing Psychosocial Hazards at Work.</w:t>
            </w:r>
          </w:p>
        </w:tc>
      </w:tr>
      <w:tr w:rsidR="00190522" w:rsidRPr="00134B42" w14:paraId="3DD2B663" w14:textId="77777777">
        <w:trPr>
          <w:trHeight w:val="70"/>
        </w:trPr>
        <w:tc>
          <w:tcPr>
            <w:tcW w:w="9016" w:type="dxa"/>
          </w:tcPr>
          <w:p w14:paraId="16DD2520" w14:textId="3E7E8657" w:rsidR="00E3329D" w:rsidRDefault="00E3329D" w:rsidP="00B47364">
            <w:pPr>
              <w:pStyle w:val="Heading2"/>
            </w:pPr>
            <w:bookmarkStart w:id="13" w:name="_Toc219186714"/>
            <w:r>
              <w:lastRenderedPageBreak/>
              <w:t>Additional Comments from Senator Tammy Tyrrell</w:t>
            </w:r>
            <w:bookmarkEnd w:id="13"/>
          </w:p>
          <w:p w14:paraId="2500C804" w14:textId="202A6E7B" w:rsidR="00190522" w:rsidRPr="00134B42" w:rsidRDefault="00190522" w:rsidP="006D0CFA">
            <w:pPr>
              <w:pStyle w:val="BoxHeading"/>
              <w:rPr>
                <w:caps/>
              </w:rPr>
            </w:pPr>
            <w:r w:rsidRPr="00134B42">
              <w:t>Recommendation 1</w:t>
            </w:r>
          </w:p>
          <w:p w14:paraId="2A05FAED" w14:textId="77777777" w:rsidR="00190522" w:rsidRPr="00134B42" w:rsidRDefault="00190522" w:rsidP="006D0CFA">
            <w:pPr>
              <w:pStyle w:val="BoxText"/>
            </w:pPr>
            <w:r w:rsidRPr="00134B42">
              <w:t>The Australian Government should investigate ways to remove barriers to entry for grocery retailer competitors, including through collaboration with state and territory government where necessary. Such an investigation should focus on regional areas, and particularly Tasmania, which lacks competition and where unique logistical and supply chain issues apply.</w:t>
            </w:r>
          </w:p>
          <w:p w14:paraId="427815C9" w14:textId="77777777" w:rsidR="00190522" w:rsidRPr="00134B42" w:rsidRDefault="00190522" w:rsidP="006D0CFA">
            <w:pPr>
              <w:pStyle w:val="BoxSubHeading"/>
              <w:keepNext w:val="0"/>
            </w:pPr>
            <w:r w:rsidRPr="00134B42">
              <w:t xml:space="preserve">Australian Government response </w:t>
            </w:r>
          </w:p>
          <w:p w14:paraId="13E8A8FF" w14:textId="77777777" w:rsidR="00190522" w:rsidRPr="00395B97" w:rsidRDefault="00190522" w:rsidP="006D0CFA">
            <w:pPr>
              <w:pStyle w:val="BoxText"/>
            </w:pPr>
            <w:r w:rsidRPr="00395B97">
              <w:rPr>
                <w:caps/>
              </w:rPr>
              <w:t>t</w:t>
            </w:r>
            <w:r w:rsidRPr="00395B97">
              <w:t xml:space="preserve">he Government </w:t>
            </w:r>
            <w:r w:rsidRPr="00395B97">
              <w:rPr>
                <w:b/>
                <w:bCs/>
              </w:rPr>
              <w:t>notes</w:t>
            </w:r>
            <w:r w:rsidRPr="00395B97">
              <w:t xml:space="preserve"> this recommendation. </w:t>
            </w:r>
          </w:p>
          <w:p w14:paraId="0961E510" w14:textId="6F31EC21" w:rsidR="00D41D7D" w:rsidRDefault="00D41D7D" w:rsidP="006D0CFA">
            <w:pPr>
              <w:pStyle w:val="BoxText"/>
            </w:pPr>
            <w:r>
              <w:t xml:space="preserve">Restrictive state and territory planning and zoning rules can act as a barrier to supermarket entry. </w:t>
            </w:r>
            <w:r w:rsidRPr="00090E65">
              <w:t>The Government</w:t>
            </w:r>
            <w:r>
              <w:t xml:space="preserve"> is addressing these</w:t>
            </w:r>
            <w:r w:rsidRPr="00090E65">
              <w:t xml:space="preserve"> </w:t>
            </w:r>
            <w:r>
              <w:t>through</w:t>
            </w:r>
            <w:r w:rsidRPr="00090E65">
              <w:t xml:space="preserve"> the revitalised</w:t>
            </w:r>
            <w:r>
              <w:t xml:space="preserve"> </w:t>
            </w:r>
            <w:r w:rsidRPr="00090E65">
              <w:t xml:space="preserve">National Competition Policy agreements </w:t>
            </w:r>
            <w:r>
              <w:t>agreed</w:t>
            </w:r>
            <w:r w:rsidRPr="00090E65">
              <w:t xml:space="preserve"> by all Treasurers in November 2024.</w:t>
            </w:r>
          </w:p>
          <w:p w14:paraId="0B9D5169" w14:textId="77777777" w:rsidR="00D41D7D" w:rsidRPr="001C5782" w:rsidRDefault="00D41D7D" w:rsidP="006D0CFA">
            <w:pPr>
              <w:pStyle w:val="Bullet"/>
              <w:numPr>
                <w:ilvl w:val="0"/>
                <w:numId w:val="0"/>
              </w:numPr>
              <w:spacing w:before="120" w:after="120"/>
            </w:pPr>
            <w:r w:rsidRPr="001C5782">
              <w:t xml:space="preserve">Pro-competitive reform to commercial and industrial planning and zoning regulation, processes and systems is one of the 5 initial priority reforms in the agreements. The aim of the reform is to facilitate business entry and expansion, simplify and lower the costs of regulatory processes and encourage competition. </w:t>
            </w:r>
          </w:p>
          <w:p w14:paraId="4BEC284C" w14:textId="4FEBE060" w:rsidR="00FA4AE0" w:rsidRPr="00190522" w:rsidRDefault="00D41D7D" w:rsidP="006D0CFA">
            <w:pPr>
              <w:pStyle w:val="Bullet"/>
              <w:numPr>
                <w:ilvl w:val="0"/>
                <w:numId w:val="0"/>
              </w:numPr>
              <w:spacing w:before="120" w:after="120"/>
            </w:pPr>
            <w:r w:rsidRPr="00DE730B">
              <w:t xml:space="preserve">Reform action is underpinned by a $240 million allocation from the National Productivity Fund which will be made available to states who deliver reform </w:t>
            </w:r>
            <w:r w:rsidRPr="00DE730B">
              <w:rPr>
                <w:rFonts w:eastAsia="Aptos"/>
              </w:rPr>
              <w:t>consistent with the evidence-backed Competition Reform Guidelines</w:t>
            </w:r>
            <w:r w:rsidRPr="00DE730B">
              <w:t xml:space="preserve">. Implementing the </w:t>
            </w:r>
            <w:r>
              <w:t>g</w:t>
            </w:r>
            <w:r w:rsidRPr="00DE730B">
              <w:t>uidelines is likely to create a commercial planning and zoning system with more flexible land use and improve regulatory consistency across local governments.</w:t>
            </w:r>
          </w:p>
        </w:tc>
      </w:tr>
      <w:tr w:rsidR="00190522" w:rsidRPr="00190522" w14:paraId="79904B51" w14:textId="77777777">
        <w:trPr>
          <w:trHeight w:val="70"/>
        </w:trPr>
        <w:tc>
          <w:tcPr>
            <w:tcW w:w="9016" w:type="dxa"/>
          </w:tcPr>
          <w:p w14:paraId="2057E68A" w14:textId="77777777" w:rsidR="00190522" w:rsidRPr="00134B42" w:rsidRDefault="00190522" w:rsidP="006D0CFA">
            <w:pPr>
              <w:pStyle w:val="BoxHeading"/>
              <w:rPr>
                <w:caps/>
              </w:rPr>
            </w:pPr>
            <w:r w:rsidRPr="00134B42">
              <w:t>Recommendation 2</w:t>
            </w:r>
          </w:p>
          <w:p w14:paraId="6734069C" w14:textId="77777777" w:rsidR="00190522" w:rsidRPr="00134B42" w:rsidRDefault="00190522" w:rsidP="006D0CFA">
            <w:pPr>
              <w:pStyle w:val="BoxSubHeading"/>
              <w:rPr>
                <w:bCs w:val="0"/>
                <w:i w:val="0"/>
                <w:iCs w:val="0"/>
                <w:color w:val="auto"/>
                <w:sz w:val="22"/>
                <w:szCs w:val="20"/>
              </w:rPr>
            </w:pPr>
            <w:r w:rsidRPr="00134B42">
              <w:rPr>
                <w:bCs w:val="0"/>
                <w:i w:val="0"/>
                <w:iCs w:val="0"/>
                <w:color w:val="auto"/>
                <w:sz w:val="22"/>
                <w:szCs w:val="20"/>
              </w:rPr>
              <w:t>The effects of the Food and Grocery Code of Conduct becoming mandatory should be independently reviewed 24 months after implementation. The review should:</w:t>
            </w:r>
          </w:p>
          <w:p w14:paraId="51EE7DA4" w14:textId="77777777" w:rsidR="00190522" w:rsidRPr="00134B42" w:rsidRDefault="00190522" w:rsidP="006D0CFA">
            <w:pPr>
              <w:pStyle w:val="Bullet"/>
              <w:spacing w:before="120" w:after="120"/>
            </w:pPr>
            <w:r w:rsidRPr="00134B42">
              <w:t xml:space="preserve">have a particular focus on agreements between producers and </w:t>
            </w:r>
            <w:proofErr w:type="gramStart"/>
            <w:r w:rsidRPr="00134B42">
              <w:t>supermarkets;</w:t>
            </w:r>
            <w:proofErr w:type="gramEnd"/>
          </w:p>
          <w:p w14:paraId="4556D6CB" w14:textId="77777777" w:rsidR="00190522" w:rsidRPr="00134B42" w:rsidRDefault="00190522" w:rsidP="006D0CFA">
            <w:pPr>
              <w:pStyle w:val="Bullet"/>
              <w:spacing w:before="120" w:after="120"/>
            </w:pPr>
            <w:r w:rsidRPr="00134B42">
              <w:t>invite public submissions; and</w:t>
            </w:r>
          </w:p>
          <w:p w14:paraId="2F7AF7E6" w14:textId="77777777" w:rsidR="00190522" w:rsidRPr="00134B42" w:rsidRDefault="00190522" w:rsidP="006D0CFA">
            <w:pPr>
              <w:pStyle w:val="Bullet"/>
              <w:spacing w:before="120" w:after="120"/>
              <w:rPr>
                <w:bCs/>
                <w:i/>
                <w:iCs/>
              </w:rPr>
            </w:pPr>
            <w:r w:rsidRPr="00134B42">
              <w:t>include provisions for producers to put in submissions without fear of retribution.</w:t>
            </w:r>
          </w:p>
          <w:p w14:paraId="1B84F757" w14:textId="77777777" w:rsidR="00190522" w:rsidRPr="00134B42" w:rsidRDefault="00190522" w:rsidP="006D0CFA">
            <w:pPr>
              <w:pStyle w:val="BoxSubHeading"/>
            </w:pPr>
            <w:r w:rsidRPr="00134B42">
              <w:t xml:space="preserve">Australian Government response </w:t>
            </w:r>
          </w:p>
          <w:p w14:paraId="571194B4" w14:textId="1347AF34" w:rsidR="00190522" w:rsidRDefault="00190522" w:rsidP="006D0CFA">
            <w:pPr>
              <w:pStyle w:val="BoxText"/>
            </w:pPr>
            <w:r w:rsidRPr="00134B42">
              <w:rPr>
                <w:caps/>
              </w:rPr>
              <w:t>t</w:t>
            </w:r>
            <w:r w:rsidRPr="00134B42">
              <w:t xml:space="preserve">he Government </w:t>
            </w:r>
            <w:r w:rsidR="00017D25">
              <w:rPr>
                <w:b/>
                <w:bCs/>
              </w:rPr>
              <w:t>supports in principle</w:t>
            </w:r>
            <w:r w:rsidR="00017D25" w:rsidRPr="00134B42">
              <w:t xml:space="preserve"> </w:t>
            </w:r>
            <w:r w:rsidRPr="00134B42">
              <w:t>this recommendation.</w:t>
            </w:r>
          </w:p>
          <w:p w14:paraId="58829DE6" w14:textId="1C71582F" w:rsidR="00190522" w:rsidRDefault="00190522" w:rsidP="006D0CFA">
            <w:pPr>
              <w:pStyle w:val="BoxText"/>
            </w:pPr>
            <w:r>
              <w:t>The new mandatory Food and Grocery Code of Conduct requires that a review in relation to the operation of the code must commence before 1 April 2027</w:t>
            </w:r>
            <w:r w:rsidR="007D57A9">
              <w:t xml:space="preserve"> (</w:t>
            </w:r>
            <w:r w:rsidR="00017D25">
              <w:t>24 months</w:t>
            </w:r>
            <w:r>
              <w:t xml:space="preserve"> after its commencement</w:t>
            </w:r>
            <w:r w:rsidR="007D57A9">
              <w:t>)</w:t>
            </w:r>
            <w:r>
              <w:t>. The review must assess the impact of the code in improving commercial relations between retailers, wholesalers and suppliers.</w:t>
            </w:r>
          </w:p>
          <w:p w14:paraId="715F8C25" w14:textId="4A715BC3" w:rsidR="00190522" w:rsidRPr="00190522" w:rsidRDefault="007D57A9" w:rsidP="006D0CFA">
            <w:pPr>
              <w:pStyle w:val="BoxText"/>
            </w:pPr>
            <w:r>
              <w:t>In March 2025, the Government announced that it would consult on the ACCC’s recommendations relating to the code as part of the review of the code</w:t>
            </w:r>
            <w:r w:rsidR="0082179E">
              <w:t>.</w:t>
            </w:r>
          </w:p>
        </w:tc>
      </w:tr>
      <w:tr w:rsidR="00B679C1" w:rsidRPr="00134B42" w14:paraId="37C09DAE" w14:textId="77777777">
        <w:trPr>
          <w:trHeight w:val="70"/>
        </w:trPr>
        <w:tc>
          <w:tcPr>
            <w:tcW w:w="9016" w:type="dxa"/>
          </w:tcPr>
          <w:p w14:paraId="1E0C21C3" w14:textId="547EBE6E" w:rsidR="006841C8" w:rsidRPr="00134B42" w:rsidRDefault="006841C8" w:rsidP="00067BB0">
            <w:pPr>
              <w:pStyle w:val="Heading2"/>
            </w:pPr>
            <w:bookmarkStart w:id="14" w:name="_Toc219186715"/>
            <w:bookmarkStart w:id="15" w:name="_Hlk201572535"/>
            <w:r w:rsidRPr="00134B42">
              <w:lastRenderedPageBreak/>
              <w:t xml:space="preserve">Coalition </w:t>
            </w:r>
            <w:r w:rsidR="0083071B">
              <w:t>s</w:t>
            </w:r>
            <w:r w:rsidR="00E3329D" w:rsidRPr="00134B42">
              <w:t xml:space="preserve">enators’ </w:t>
            </w:r>
            <w:r w:rsidR="0083071B">
              <w:t>d</w:t>
            </w:r>
            <w:r w:rsidR="00E3329D" w:rsidRPr="00134B42">
              <w:t xml:space="preserve">issenting </w:t>
            </w:r>
            <w:r w:rsidR="0083071B">
              <w:t>r</w:t>
            </w:r>
            <w:r w:rsidR="00E3329D" w:rsidRPr="00134B42">
              <w:t>eport</w:t>
            </w:r>
            <w:bookmarkEnd w:id="14"/>
          </w:p>
          <w:bookmarkEnd w:id="15"/>
          <w:p w14:paraId="14315789" w14:textId="2BDBD619" w:rsidR="00B679C1" w:rsidRPr="00134B42" w:rsidRDefault="00B679C1">
            <w:pPr>
              <w:pStyle w:val="BoxHeading"/>
              <w:rPr>
                <w:caps/>
              </w:rPr>
            </w:pPr>
            <w:r w:rsidRPr="00134B42">
              <w:t>Recommendation 1</w:t>
            </w:r>
          </w:p>
          <w:p w14:paraId="388912AC" w14:textId="77777777" w:rsidR="00B679C1" w:rsidRPr="00134B42" w:rsidRDefault="00B679C1" w:rsidP="00B679C1">
            <w:pPr>
              <w:pStyle w:val="BoxSubHeading"/>
              <w:keepNext w:val="0"/>
              <w:rPr>
                <w:bCs w:val="0"/>
                <w:i w:val="0"/>
                <w:iCs w:val="0"/>
                <w:color w:val="auto"/>
                <w:sz w:val="22"/>
                <w:szCs w:val="20"/>
              </w:rPr>
            </w:pPr>
            <w:r w:rsidRPr="00134B42">
              <w:rPr>
                <w:bCs w:val="0"/>
                <w:i w:val="0"/>
                <w:iCs w:val="0"/>
                <w:color w:val="auto"/>
                <w:sz w:val="22"/>
                <w:szCs w:val="20"/>
              </w:rPr>
              <w:t xml:space="preserve">The Labor government </w:t>
            </w:r>
            <w:bookmarkStart w:id="16" w:name="_Hlk170161457"/>
            <w:r w:rsidRPr="00134B42">
              <w:rPr>
                <w:bCs w:val="0"/>
                <w:i w:val="0"/>
                <w:iCs w:val="0"/>
                <w:color w:val="auto"/>
                <w:sz w:val="22"/>
                <w:szCs w:val="20"/>
              </w:rPr>
              <w:t xml:space="preserve">should </w:t>
            </w:r>
            <w:bookmarkStart w:id="17" w:name="_Hlk170161831"/>
            <w:r w:rsidRPr="00134B42">
              <w:rPr>
                <w:bCs w:val="0"/>
                <w:i w:val="0"/>
                <w:iCs w:val="0"/>
                <w:color w:val="auto"/>
                <w:sz w:val="22"/>
                <w:szCs w:val="20"/>
              </w:rPr>
              <w:t>deliver a budget that fights homegrown inflation and addresses Australians' falling standard of living.</w:t>
            </w:r>
            <w:bookmarkEnd w:id="16"/>
            <w:bookmarkEnd w:id="17"/>
          </w:p>
          <w:p w14:paraId="7D9E2A3F" w14:textId="77777777" w:rsidR="00B679C1" w:rsidRPr="00134B42" w:rsidRDefault="00B679C1" w:rsidP="00B679C1">
            <w:pPr>
              <w:pStyle w:val="BoxSubHeading"/>
              <w:keepNext w:val="0"/>
              <w:rPr>
                <w:caps/>
              </w:rPr>
            </w:pPr>
            <w:r w:rsidRPr="00134B42">
              <w:t xml:space="preserve">Australian Government response </w:t>
            </w:r>
          </w:p>
          <w:p w14:paraId="4764BFC4" w14:textId="68E7AE03" w:rsidR="003D2A1A" w:rsidRPr="0098472B" w:rsidRDefault="00B679C1" w:rsidP="00B679C1">
            <w:pPr>
              <w:pStyle w:val="BoxText"/>
            </w:pPr>
            <w:r w:rsidRPr="0098472B">
              <w:rPr>
                <w:caps/>
              </w:rPr>
              <w:t>t</w:t>
            </w:r>
            <w:r w:rsidRPr="0098472B">
              <w:t xml:space="preserve">he Government </w:t>
            </w:r>
            <w:r w:rsidR="00190522" w:rsidRPr="0098472B">
              <w:rPr>
                <w:b/>
              </w:rPr>
              <w:t>notes</w:t>
            </w:r>
            <w:r w:rsidR="002C3A3A" w:rsidRPr="0098472B">
              <w:rPr>
                <w:b/>
              </w:rPr>
              <w:t xml:space="preserve"> </w:t>
            </w:r>
            <w:r w:rsidRPr="0098472B">
              <w:t>this recommendation.</w:t>
            </w:r>
          </w:p>
          <w:p w14:paraId="3F54EACD" w14:textId="2BEFC225" w:rsidR="00B679C1" w:rsidRPr="00134B42" w:rsidRDefault="0049568D" w:rsidP="00250075">
            <w:pPr>
              <w:pStyle w:val="BoxText"/>
            </w:pPr>
            <w:r w:rsidRPr="0098472B">
              <w:t>The 2025-26 Budget delivers on the Government's economic plan, which is focused on finishing the fight against inflation, rolling out responsible cost-of-living relief and building a stronger economy and stronger budget.</w:t>
            </w:r>
            <w:r w:rsidR="00BD48F5">
              <w:t xml:space="preserve"> </w:t>
            </w:r>
            <w:r w:rsidR="00FD4BB8">
              <w:t>Against</w:t>
            </w:r>
            <w:r w:rsidR="00BD48F5">
              <w:t xml:space="preserve"> the </w:t>
            </w:r>
            <w:r w:rsidR="00B147E4">
              <w:t>backdrop of the conflict in the Middle East triggering substantial economic disruption across the world and compounding cost pressures for households and businesses, t</w:t>
            </w:r>
            <w:r w:rsidR="00BD48F5">
              <w:t xml:space="preserve">he 2026-27 Budget is helping to take the pressure off inflation </w:t>
            </w:r>
            <w:r w:rsidR="00167113">
              <w:t>by improving the fiscal position</w:t>
            </w:r>
            <w:r w:rsidR="00250075">
              <w:t>, while providing further cost-of-living relief</w:t>
            </w:r>
            <w:r w:rsidR="00167113">
              <w:t xml:space="preserve"> including a </w:t>
            </w:r>
            <w:r w:rsidR="00167113" w:rsidRPr="00167113">
              <w:t>new tax cut for every Australian worker</w:t>
            </w:r>
            <w:r w:rsidR="00250075">
              <w:t>.</w:t>
            </w:r>
          </w:p>
        </w:tc>
      </w:tr>
      <w:tr w:rsidR="00B679C1" w:rsidRPr="00134B42" w14:paraId="0522DF8C" w14:textId="77777777">
        <w:trPr>
          <w:trHeight w:val="70"/>
        </w:trPr>
        <w:tc>
          <w:tcPr>
            <w:tcW w:w="9016" w:type="dxa"/>
          </w:tcPr>
          <w:p w14:paraId="282E3304" w14:textId="556B1F19" w:rsidR="00B679C1" w:rsidRPr="00831153" w:rsidRDefault="00B679C1">
            <w:pPr>
              <w:pStyle w:val="BoxHeading"/>
              <w:rPr>
                <w:caps/>
              </w:rPr>
            </w:pPr>
            <w:r w:rsidRPr="00831153">
              <w:t>Recommendation 2</w:t>
            </w:r>
          </w:p>
          <w:p w14:paraId="4658CBF3" w14:textId="77777777" w:rsidR="00905209" w:rsidRPr="00831153" w:rsidRDefault="00905209">
            <w:pPr>
              <w:pStyle w:val="BoxSubHeading"/>
              <w:keepNext w:val="0"/>
              <w:rPr>
                <w:bCs w:val="0"/>
                <w:i w:val="0"/>
                <w:iCs w:val="0"/>
                <w:color w:val="auto"/>
                <w:sz w:val="22"/>
                <w:szCs w:val="20"/>
              </w:rPr>
            </w:pPr>
            <w:r w:rsidRPr="00831153">
              <w:rPr>
                <w:bCs w:val="0"/>
                <w:i w:val="0"/>
                <w:iCs w:val="0"/>
                <w:color w:val="auto"/>
                <w:sz w:val="22"/>
                <w:szCs w:val="20"/>
              </w:rPr>
              <w:t xml:space="preserve">The Labor government </w:t>
            </w:r>
            <w:bookmarkStart w:id="18" w:name="_Hlk170161934"/>
            <w:r w:rsidRPr="00831153">
              <w:rPr>
                <w:bCs w:val="0"/>
                <w:i w:val="0"/>
                <w:iCs w:val="0"/>
                <w:color w:val="auto"/>
                <w:sz w:val="22"/>
                <w:szCs w:val="20"/>
              </w:rPr>
              <w:t>should accept responsibility for the impact of its failing economic policies on driving up inflation. Labor should stop putting all the costs of bringing down inflation on mortgage holders.</w:t>
            </w:r>
          </w:p>
          <w:bookmarkEnd w:id="18"/>
          <w:p w14:paraId="4C3152CF" w14:textId="13A1EEF4" w:rsidR="00B679C1" w:rsidRPr="00831153" w:rsidRDefault="00B679C1">
            <w:pPr>
              <w:pStyle w:val="BoxSubHeading"/>
              <w:keepNext w:val="0"/>
            </w:pPr>
            <w:r w:rsidRPr="00831153">
              <w:t xml:space="preserve">Australian Government response </w:t>
            </w:r>
          </w:p>
          <w:p w14:paraId="563A1B3C" w14:textId="77777777" w:rsidR="00880919" w:rsidRPr="00880919" w:rsidRDefault="00880919" w:rsidP="00880919">
            <w:pPr>
              <w:pStyle w:val="BoxText"/>
            </w:pPr>
            <w:r w:rsidRPr="00880919">
              <w:t xml:space="preserve">The Government </w:t>
            </w:r>
            <w:r w:rsidRPr="001C3C62">
              <w:rPr>
                <w:b/>
                <w:bCs/>
              </w:rPr>
              <w:t xml:space="preserve">does not </w:t>
            </w:r>
            <w:r w:rsidRPr="00BD48F5">
              <w:rPr>
                <w:b/>
                <w:bCs/>
              </w:rPr>
              <w:t xml:space="preserve">accept </w:t>
            </w:r>
            <w:r w:rsidRPr="00FD4BB8">
              <w:rPr>
                <w:b/>
                <w:bCs/>
              </w:rPr>
              <w:t>this characterisation of its economic policies</w:t>
            </w:r>
            <w:r w:rsidRPr="00880919">
              <w:t>.</w:t>
            </w:r>
          </w:p>
          <w:p w14:paraId="3D8E20D9" w14:textId="4AB5A0D7" w:rsidR="00272E82" w:rsidRPr="00272E82" w:rsidRDefault="00272E82" w:rsidP="00272E82">
            <w:pPr>
              <w:pStyle w:val="BoxText"/>
            </w:pPr>
            <w:r w:rsidRPr="00272E82">
              <w:t>The Government’s primary focus is delivering practical cost</w:t>
            </w:r>
            <w:r w:rsidRPr="00272E82">
              <w:noBreakHyphen/>
              <w:t>of</w:t>
            </w:r>
            <w:r w:rsidRPr="00272E82">
              <w:noBreakHyphen/>
              <w:t>living relief for Australians who are doing it tough, while managing the economy responsibly in a challenging global environment. Australians are facing significant pressures, many of which are driven by international factors beyond domestic control, and the Government is acting to support households through these conditions.</w:t>
            </w:r>
          </w:p>
          <w:p w14:paraId="73DD8644" w14:textId="7A2369EA" w:rsidR="00DA41C6" w:rsidRPr="00DA41C6" w:rsidRDefault="00213E7E" w:rsidP="00167113">
            <w:pPr>
              <w:pStyle w:val="BoxText"/>
            </w:pPr>
            <w:r w:rsidRPr="00213E7E">
              <w:t>The Government is delivering targeted, practical relief to ease pressure on family budgets, including tax cuts for every taxpayer, with another tax cut coming in July this year that the Opposition voted against, opening another 50 Medicare Urgent Care Clinics, and delivering the largest cut to the cost of medicines in the history of the Pharmaceutical Benefits Scheme. These actions provide immediate support to households while avoiding measures that would add further pressure to prices.</w:t>
            </w:r>
            <w:r w:rsidR="00167113">
              <w:t xml:space="preserve"> The 2026-27 Budget delivers </w:t>
            </w:r>
            <w:r w:rsidR="00167113" w:rsidRPr="00167113">
              <w:t>lower deficits and less debt</w:t>
            </w:r>
            <w:r w:rsidR="00167113">
              <w:t xml:space="preserve">, helping to take pressure off inflation and build fiscal buffers at a time of heightened global uncertainty, while providing further cost-of-living relief including a </w:t>
            </w:r>
            <w:r w:rsidR="00167113" w:rsidRPr="00167113">
              <w:t>new tax cut for every Australian worker</w:t>
            </w:r>
            <w:r w:rsidR="00167113">
              <w:t>.</w:t>
            </w:r>
          </w:p>
          <w:p w14:paraId="1474E607" w14:textId="77777777" w:rsidR="00DA41C6" w:rsidRPr="00DA41C6" w:rsidRDefault="00DA41C6" w:rsidP="00DA41C6">
            <w:pPr>
              <w:pStyle w:val="BoxText"/>
            </w:pPr>
            <w:r w:rsidRPr="00DA41C6">
              <w:t>The Government remains focused on the here and now for Australians, delivering cost</w:t>
            </w:r>
            <w:r w:rsidRPr="00DA41C6">
              <w:noBreakHyphen/>
              <w:t>of</w:t>
            </w:r>
            <w:r w:rsidRPr="00DA41C6">
              <w:noBreakHyphen/>
              <w:t>living relief and maintaining a responsible economic approach that supports households through today’s challenges while laying the foundations for a stronger future.</w:t>
            </w:r>
          </w:p>
          <w:p w14:paraId="6905232A" w14:textId="3F5D5C27" w:rsidR="00905209" w:rsidRPr="00831153" w:rsidRDefault="00D021A3" w:rsidP="006D0CFA">
            <w:pPr>
              <w:pStyle w:val="BoxText"/>
            </w:pPr>
            <w:r w:rsidRPr="00EB1085">
              <w:t xml:space="preserve"> </w:t>
            </w:r>
          </w:p>
        </w:tc>
      </w:tr>
      <w:tr w:rsidR="0085712D" w:rsidRPr="00134B42" w14:paraId="2B15F7C3" w14:textId="77777777">
        <w:trPr>
          <w:trHeight w:val="70"/>
        </w:trPr>
        <w:tc>
          <w:tcPr>
            <w:tcW w:w="9016" w:type="dxa"/>
          </w:tcPr>
          <w:p w14:paraId="565CD098" w14:textId="0DF31B6C" w:rsidR="0085712D" w:rsidRPr="00831153" w:rsidRDefault="0085712D">
            <w:pPr>
              <w:pStyle w:val="BoxHeading"/>
              <w:rPr>
                <w:caps/>
              </w:rPr>
            </w:pPr>
            <w:bookmarkStart w:id="19" w:name="_Hlk169602380"/>
            <w:r w:rsidRPr="00831153">
              <w:lastRenderedPageBreak/>
              <w:t>Recommendation 3</w:t>
            </w:r>
          </w:p>
          <w:p w14:paraId="26F9C9BF" w14:textId="747E6DE5" w:rsidR="003116F9" w:rsidRPr="00831153" w:rsidRDefault="003116F9">
            <w:pPr>
              <w:pStyle w:val="BoxSubHeading"/>
              <w:keepNext w:val="0"/>
              <w:rPr>
                <w:bCs w:val="0"/>
                <w:i w:val="0"/>
                <w:iCs w:val="0"/>
                <w:color w:val="auto"/>
                <w:sz w:val="22"/>
                <w:szCs w:val="20"/>
              </w:rPr>
            </w:pPr>
            <w:r w:rsidRPr="00831153">
              <w:rPr>
                <w:bCs w:val="0"/>
                <w:i w:val="0"/>
                <w:iCs w:val="0"/>
                <w:color w:val="auto"/>
                <w:sz w:val="22"/>
                <w:szCs w:val="20"/>
              </w:rPr>
              <w:t xml:space="preserve">The government should explore incentive-based policies to support better use of food waste. </w:t>
            </w:r>
          </w:p>
          <w:p w14:paraId="46D9ECA9" w14:textId="1357B650" w:rsidR="0085712D" w:rsidRPr="00831153" w:rsidRDefault="0085712D">
            <w:pPr>
              <w:pStyle w:val="BoxSubHeading"/>
              <w:keepNext w:val="0"/>
            </w:pPr>
            <w:r w:rsidRPr="00831153">
              <w:t xml:space="preserve">Australian Government response </w:t>
            </w:r>
          </w:p>
          <w:p w14:paraId="3158FBE4" w14:textId="77777777" w:rsidR="0085712D" w:rsidRPr="00831153" w:rsidRDefault="0085712D">
            <w:pPr>
              <w:pStyle w:val="BoxText"/>
            </w:pPr>
            <w:r w:rsidRPr="00831153">
              <w:rPr>
                <w:caps/>
              </w:rPr>
              <w:t>t</w:t>
            </w:r>
            <w:r w:rsidRPr="00831153">
              <w:t xml:space="preserve">he Government </w:t>
            </w:r>
            <w:r w:rsidRPr="00831153">
              <w:rPr>
                <w:b/>
                <w:bCs/>
              </w:rPr>
              <w:t>notes</w:t>
            </w:r>
            <w:r w:rsidRPr="00831153">
              <w:t xml:space="preserve"> this recommendation.</w:t>
            </w:r>
          </w:p>
          <w:p w14:paraId="68ADFE3B" w14:textId="70CA4079" w:rsidR="00734FA4" w:rsidRPr="00734FA4" w:rsidRDefault="00734FA4" w:rsidP="00734FA4">
            <w:pPr>
              <w:pStyle w:val="BoxSubHeading"/>
              <w:rPr>
                <w:bCs w:val="0"/>
                <w:i w:val="0"/>
                <w:iCs w:val="0"/>
                <w:color w:val="auto"/>
                <w:sz w:val="22"/>
                <w:szCs w:val="20"/>
              </w:rPr>
            </w:pPr>
            <w:r w:rsidRPr="00734FA4">
              <w:rPr>
                <w:bCs w:val="0"/>
                <w:i w:val="0"/>
                <w:iCs w:val="0"/>
                <w:color w:val="auto"/>
                <w:sz w:val="22"/>
                <w:szCs w:val="20"/>
              </w:rPr>
              <w:t xml:space="preserve">The Australian Government has invested $37 million in infrastructure to enhance Australia’s capacity to recycle food and organic </w:t>
            </w:r>
            <w:proofErr w:type="gramStart"/>
            <w:r w:rsidRPr="00734FA4">
              <w:rPr>
                <w:bCs w:val="0"/>
                <w:i w:val="0"/>
                <w:iCs w:val="0"/>
                <w:color w:val="auto"/>
                <w:sz w:val="22"/>
                <w:szCs w:val="20"/>
              </w:rPr>
              <w:t>waste, and</w:t>
            </w:r>
            <w:proofErr w:type="gramEnd"/>
            <w:r w:rsidRPr="00734FA4">
              <w:rPr>
                <w:bCs w:val="0"/>
                <w:i w:val="0"/>
                <w:iCs w:val="0"/>
                <w:color w:val="auto"/>
                <w:sz w:val="22"/>
                <w:szCs w:val="20"/>
              </w:rPr>
              <w:t xml:space="preserve"> leveraged more than $239 million in further funding from state and territory governments and the private sector. </w:t>
            </w:r>
          </w:p>
          <w:p w14:paraId="3DC43444" w14:textId="59C013EE" w:rsidR="004310A3" w:rsidRPr="005955D3" w:rsidRDefault="00734FA4" w:rsidP="00563CB7">
            <w:pPr>
              <w:pStyle w:val="BoxSubHeading"/>
              <w:keepNext w:val="0"/>
              <w:rPr>
                <w:bCs w:val="0"/>
                <w:i w:val="0"/>
                <w:iCs w:val="0"/>
                <w:color w:val="auto"/>
                <w:sz w:val="22"/>
                <w:szCs w:val="20"/>
              </w:rPr>
            </w:pPr>
            <w:r w:rsidRPr="00734FA4">
              <w:rPr>
                <w:bCs w:val="0"/>
                <w:i w:val="0"/>
                <w:iCs w:val="0"/>
                <w:color w:val="auto"/>
                <w:sz w:val="22"/>
                <w:szCs w:val="20"/>
              </w:rPr>
              <w:t xml:space="preserve">In the transition to a circular economy and net zero, it is also important to reduce the amount of waste we generate to reduce emissions from the waste and resource recovery sector. </w:t>
            </w:r>
            <w:bookmarkEnd w:id="19"/>
          </w:p>
        </w:tc>
      </w:tr>
      <w:tr w:rsidR="0085712D" w:rsidRPr="00134B42" w14:paraId="5508B16F" w14:textId="77777777">
        <w:trPr>
          <w:trHeight w:val="70"/>
        </w:trPr>
        <w:tc>
          <w:tcPr>
            <w:tcW w:w="9016" w:type="dxa"/>
          </w:tcPr>
          <w:p w14:paraId="1DC2E33B" w14:textId="4D8271E0" w:rsidR="0085712D" w:rsidRPr="00134B42" w:rsidRDefault="0085712D" w:rsidP="006D0CFA">
            <w:pPr>
              <w:pStyle w:val="BoxHeading"/>
              <w:rPr>
                <w:caps/>
              </w:rPr>
            </w:pPr>
            <w:r w:rsidRPr="00134B42">
              <w:t>Recommendation 4</w:t>
            </w:r>
          </w:p>
          <w:p w14:paraId="5894043B" w14:textId="6468FBFC" w:rsidR="0085712D" w:rsidRPr="00134B42" w:rsidRDefault="003116F9" w:rsidP="006D0CFA">
            <w:pPr>
              <w:pStyle w:val="BoxSubHeading"/>
              <w:keepNext w:val="0"/>
              <w:rPr>
                <w:bCs w:val="0"/>
                <w:i w:val="0"/>
                <w:iCs w:val="0"/>
                <w:color w:val="auto"/>
                <w:sz w:val="22"/>
                <w:szCs w:val="20"/>
              </w:rPr>
            </w:pPr>
            <w:r w:rsidRPr="00134B42">
              <w:rPr>
                <w:bCs w:val="0"/>
                <w:i w:val="0"/>
                <w:iCs w:val="0"/>
                <w:color w:val="auto"/>
                <w:sz w:val="22"/>
                <w:szCs w:val="20"/>
              </w:rPr>
              <w:t>The Coalition reaffirms the recommendation that the Food and Grocery Code of Conduct be made mandatory with increased penalties and improved access to dispute resolution. As part of this reform, the supermarket appointed arbiter be replaced with an independent arbiter</w:t>
            </w:r>
            <w:r w:rsidR="0085712D" w:rsidRPr="00134B42">
              <w:rPr>
                <w:bCs w:val="0"/>
                <w:i w:val="0"/>
                <w:iCs w:val="0"/>
                <w:color w:val="auto"/>
                <w:sz w:val="22"/>
                <w:szCs w:val="20"/>
              </w:rPr>
              <w:t>.</w:t>
            </w:r>
          </w:p>
          <w:p w14:paraId="112516C4" w14:textId="5A6ACD32" w:rsidR="00EE57BF" w:rsidRPr="00134B42" w:rsidRDefault="0085712D" w:rsidP="006D0CFA">
            <w:pPr>
              <w:pStyle w:val="BoxSubHeading"/>
              <w:keepNext w:val="0"/>
            </w:pPr>
            <w:r w:rsidRPr="00134B42">
              <w:t xml:space="preserve">Australian Government response </w:t>
            </w:r>
          </w:p>
          <w:p w14:paraId="567CC786" w14:textId="77777777" w:rsidR="00FA56E0" w:rsidRPr="005E5D1B" w:rsidRDefault="00FA56E0" w:rsidP="006D0CFA">
            <w:pPr>
              <w:pStyle w:val="BoxText"/>
            </w:pPr>
            <w:r w:rsidRPr="005E5D1B">
              <w:rPr>
                <w:caps/>
              </w:rPr>
              <w:t>t</w:t>
            </w:r>
            <w:r w:rsidRPr="005E5D1B">
              <w:t xml:space="preserve">he Government </w:t>
            </w:r>
            <w:r w:rsidRPr="005E5D1B">
              <w:rPr>
                <w:b/>
                <w:bCs/>
              </w:rPr>
              <w:t>notes</w:t>
            </w:r>
            <w:r w:rsidRPr="005E5D1B">
              <w:t xml:space="preserve"> this recommendation.</w:t>
            </w:r>
          </w:p>
          <w:p w14:paraId="36B8D653" w14:textId="77777777" w:rsidR="000A1D08" w:rsidRDefault="000A1D08" w:rsidP="006D0CFA">
            <w:pPr>
              <w:pStyle w:val="Bullet"/>
              <w:numPr>
                <w:ilvl w:val="0"/>
                <w:numId w:val="0"/>
              </w:numPr>
              <w:spacing w:before="120" w:after="120"/>
            </w:pPr>
            <w:r>
              <w:t xml:space="preserve">On 12 December 2024, the Government remade </w:t>
            </w:r>
            <w:r w:rsidRPr="005E5D1B">
              <w:t>the Food and Grocery Code of Conduct as a mandatory code</w:t>
            </w:r>
            <w:r>
              <w:t>. The new code came into force on 1 April 2025.</w:t>
            </w:r>
          </w:p>
          <w:p w14:paraId="59E6CE22" w14:textId="6D7295C4" w:rsidR="00FA56E0" w:rsidRPr="005E5D1B" w:rsidRDefault="00FA56E0" w:rsidP="006D0CFA">
            <w:pPr>
              <w:pStyle w:val="Bullet"/>
              <w:numPr>
                <w:ilvl w:val="0"/>
                <w:numId w:val="0"/>
              </w:numPr>
              <w:spacing w:before="120" w:after="120"/>
            </w:pPr>
            <w:r>
              <w:t>The new code implements recommendations from Dr Emerson’s review</w:t>
            </w:r>
            <w:r w:rsidR="00085388">
              <w:t xml:space="preserve"> of the </w:t>
            </w:r>
            <w:r w:rsidR="00911E0F">
              <w:t xml:space="preserve">previous </w:t>
            </w:r>
            <w:r w:rsidR="00085388">
              <w:t>voluntary code</w:t>
            </w:r>
            <w:r>
              <w:t xml:space="preserve"> and contains </w:t>
            </w:r>
            <w:r w:rsidR="00911E0F">
              <w:t>a range of measures to</w:t>
            </w:r>
            <w:r>
              <w:t xml:space="preserve"> level the playing field for farmers and producers, including:</w:t>
            </w:r>
          </w:p>
          <w:p w14:paraId="067ED382" w14:textId="77777777" w:rsidR="00FA56E0" w:rsidRPr="005E5D1B" w:rsidRDefault="00FA56E0" w:rsidP="006D0CFA">
            <w:pPr>
              <w:pStyle w:val="Dash"/>
              <w:tabs>
                <w:tab w:val="clear" w:pos="1040"/>
                <w:tab w:val="num" w:pos="1087"/>
              </w:tabs>
              <w:spacing w:before="120" w:line="260" w:lineRule="exact"/>
              <w:ind w:left="1087"/>
            </w:pPr>
            <w:r>
              <w:t xml:space="preserve">heavy </w:t>
            </w:r>
            <w:r w:rsidRPr="005E5D1B">
              <w:t xml:space="preserve">penalties </w:t>
            </w:r>
            <w:r>
              <w:t>for breaches of the code</w:t>
            </w:r>
          </w:p>
          <w:p w14:paraId="4A84DDF2" w14:textId="77777777" w:rsidR="00FA56E0" w:rsidRPr="005E5D1B" w:rsidRDefault="00FA56E0" w:rsidP="006D0CFA">
            <w:pPr>
              <w:pStyle w:val="Dash"/>
              <w:tabs>
                <w:tab w:val="clear" w:pos="1040"/>
                <w:tab w:val="num" w:pos="1087"/>
              </w:tabs>
              <w:spacing w:before="120" w:line="260" w:lineRule="exact"/>
              <w:ind w:left="1087"/>
            </w:pPr>
            <w:r>
              <w:t>new obligations to protect suppliers from retribution</w:t>
            </w:r>
          </w:p>
          <w:p w14:paraId="66435DD6" w14:textId="77777777" w:rsidR="00FA56E0" w:rsidRPr="0018533F" w:rsidRDefault="00FA56E0" w:rsidP="006D0CFA">
            <w:pPr>
              <w:pStyle w:val="Dash"/>
              <w:tabs>
                <w:tab w:val="clear" w:pos="1040"/>
                <w:tab w:val="num" w:pos="1087"/>
              </w:tabs>
              <w:spacing w:before="120" w:line="260" w:lineRule="exact"/>
              <w:ind w:left="1087"/>
            </w:pPr>
            <w:r w:rsidRPr="0018533F">
              <w:t>additional protections for fresh produce suppliers</w:t>
            </w:r>
          </w:p>
          <w:p w14:paraId="4173BB2D" w14:textId="77777777" w:rsidR="00FA56E0" w:rsidRPr="005E5D1B" w:rsidRDefault="00FA56E0" w:rsidP="006D0CFA">
            <w:pPr>
              <w:pStyle w:val="Dash"/>
              <w:tabs>
                <w:tab w:val="clear" w:pos="1040"/>
                <w:tab w:val="num" w:pos="1087"/>
              </w:tabs>
              <w:spacing w:before="120" w:line="260" w:lineRule="exact"/>
              <w:ind w:left="1087"/>
            </w:pPr>
            <w:r w:rsidRPr="005E5D1B">
              <w:t>strengthen</w:t>
            </w:r>
            <w:r>
              <w:t>ed</w:t>
            </w:r>
            <w:r w:rsidRPr="005E5D1B">
              <w:t xml:space="preserve"> dispute resolution </w:t>
            </w:r>
            <w:r>
              <w:t>mechanisms for suppliers</w:t>
            </w:r>
            <w:r w:rsidRPr="005E5D1B">
              <w:t>. </w:t>
            </w:r>
          </w:p>
          <w:p w14:paraId="17D80371" w14:textId="77095767" w:rsidR="0016545C" w:rsidRPr="0016545C" w:rsidRDefault="00D4596B" w:rsidP="006D0CFA">
            <w:pPr>
              <w:pStyle w:val="Bullet"/>
              <w:numPr>
                <w:ilvl w:val="0"/>
                <w:numId w:val="0"/>
              </w:numPr>
              <w:spacing w:before="120" w:after="120"/>
              <w:rPr>
                <w:rFonts w:cs="Arial"/>
                <w:szCs w:val="28"/>
              </w:rPr>
            </w:pPr>
            <w:r w:rsidRPr="003A1310">
              <w:t xml:space="preserve">The </w:t>
            </w:r>
            <w:r w:rsidR="00ED0921">
              <w:t xml:space="preserve">new </w:t>
            </w:r>
            <w:r w:rsidRPr="003A1310">
              <w:t>code require</w:t>
            </w:r>
            <w:r w:rsidR="0068681B">
              <w:t>s</w:t>
            </w:r>
            <w:r w:rsidRPr="003A1310">
              <w:t xml:space="preserve"> supermarket</w:t>
            </w:r>
            <w:r w:rsidR="00ED0921">
              <w:t xml:space="preserve"> businesses regulated by the code</w:t>
            </w:r>
            <w:r w:rsidRPr="003A1310">
              <w:t xml:space="preserve"> to appoint </w:t>
            </w:r>
            <w:r w:rsidR="00ED0921">
              <w:t xml:space="preserve">a </w:t>
            </w:r>
            <w:r w:rsidRPr="003A1310">
              <w:t>Code Mediator</w:t>
            </w:r>
            <w:r w:rsidR="00ED0921">
              <w:t xml:space="preserve"> </w:t>
            </w:r>
            <w:r w:rsidR="00CF6D23">
              <w:t>(replacing the role of Code Arbiter</w:t>
            </w:r>
            <w:r w:rsidR="00CF6D23">
              <w:rPr>
                <w:rFonts w:cs="Arial"/>
                <w:szCs w:val="28"/>
              </w:rPr>
              <w:t xml:space="preserve"> under the voluntary code</w:t>
            </w:r>
            <w:r w:rsidR="00CF6D23">
              <w:t xml:space="preserve">) </w:t>
            </w:r>
            <w:r w:rsidRPr="003A1310">
              <w:t>to</w:t>
            </w:r>
            <w:r w:rsidR="00001F79">
              <w:t xml:space="preserve">, among other </w:t>
            </w:r>
            <w:r w:rsidR="00490BBE">
              <w:t>things</w:t>
            </w:r>
            <w:r w:rsidR="00001F79">
              <w:t>,</w:t>
            </w:r>
            <w:r w:rsidRPr="003A1310">
              <w:t xml:space="preserve"> </w:t>
            </w:r>
            <w:r w:rsidR="00001F79">
              <w:t xml:space="preserve">assist suppliers </w:t>
            </w:r>
            <w:r w:rsidR="00001F79" w:rsidRPr="003A1310">
              <w:t>in resolving disputes</w:t>
            </w:r>
            <w:r w:rsidR="00001F79">
              <w:t xml:space="preserve"> with the supermarket and investigate complaints. </w:t>
            </w:r>
            <w:r w:rsidRPr="00134B42">
              <w:t xml:space="preserve">This gives suppliers an option to </w:t>
            </w:r>
            <w:r w:rsidR="00001F79">
              <w:t xml:space="preserve">have issues handled by </w:t>
            </w:r>
            <w:r w:rsidR="00ED0921">
              <w:t xml:space="preserve">a person with </w:t>
            </w:r>
            <w:r w:rsidR="00001F79">
              <w:t xml:space="preserve">appropriate expertise and </w:t>
            </w:r>
            <w:r w:rsidRPr="00134B42">
              <w:t xml:space="preserve">in-depth knowledge of the </w:t>
            </w:r>
            <w:r w:rsidR="00ED0921">
              <w:t xml:space="preserve">relevant </w:t>
            </w:r>
            <w:r w:rsidRPr="00134B42">
              <w:t>supermarket business.</w:t>
            </w:r>
            <w:r w:rsidR="008E7EBF">
              <w:t xml:space="preserve"> Suppliers can </w:t>
            </w:r>
            <w:r w:rsidR="0098481A">
              <w:t xml:space="preserve">also </w:t>
            </w:r>
            <w:r w:rsidR="008E7EBF">
              <w:t>request</w:t>
            </w:r>
            <w:r w:rsidR="0016545C">
              <w:t xml:space="preserve"> a</w:t>
            </w:r>
            <w:r w:rsidR="008E7EBF">
              <w:t xml:space="preserve"> review of a Code Mediator’s process</w:t>
            </w:r>
            <w:r w:rsidR="0098481A">
              <w:t>es</w:t>
            </w:r>
            <w:r w:rsidR="008E7EBF">
              <w:t xml:space="preserve"> </w:t>
            </w:r>
            <w:r w:rsidR="0098481A">
              <w:t>by</w:t>
            </w:r>
            <w:r w:rsidR="008E7EBF">
              <w:t xml:space="preserve"> the Code Supervisor</w:t>
            </w:r>
            <w:r w:rsidR="0016545C">
              <w:t xml:space="preserve"> who is </w:t>
            </w:r>
            <w:r w:rsidR="008E7EBF">
              <w:t xml:space="preserve">an independent appointee under the code. </w:t>
            </w:r>
            <w:r w:rsidR="0098481A">
              <w:t>In addition to these mechanisms, the new code also allows for i</w:t>
            </w:r>
            <w:r w:rsidRPr="00155E92">
              <w:rPr>
                <w:rFonts w:cs="Arial"/>
                <w:szCs w:val="28"/>
              </w:rPr>
              <w:t>ndependent mediation and arbitration.</w:t>
            </w:r>
          </w:p>
        </w:tc>
      </w:tr>
      <w:tr w:rsidR="0085712D" w:rsidRPr="00134B42" w14:paraId="23EF9B46" w14:textId="77777777">
        <w:trPr>
          <w:trHeight w:val="70"/>
        </w:trPr>
        <w:tc>
          <w:tcPr>
            <w:tcW w:w="9016" w:type="dxa"/>
          </w:tcPr>
          <w:p w14:paraId="6BCA90A5" w14:textId="03A67359" w:rsidR="0085712D" w:rsidRPr="00831153" w:rsidRDefault="0085712D">
            <w:pPr>
              <w:pStyle w:val="BoxHeading"/>
              <w:rPr>
                <w:caps/>
              </w:rPr>
            </w:pPr>
            <w:r w:rsidRPr="00831153">
              <w:lastRenderedPageBreak/>
              <w:t>Recommendation 5</w:t>
            </w:r>
          </w:p>
          <w:p w14:paraId="70029404" w14:textId="77777777" w:rsidR="003116F9" w:rsidRPr="00831153" w:rsidRDefault="003116F9">
            <w:pPr>
              <w:pStyle w:val="BoxSubHeading"/>
              <w:keepNext w:val="0"/>
              <w:rPr>
                <w:bCs w:val="0"/>
                <w:i w:val="0"/>
                <w:iCs w:val="0"/>
                <w:color w:val="auto"/>
                <w:sz w:val="22"/>
                <w:szCs w:val="20"/>
              </w:rPr>
            </w:pPr>
            <w:r w:rsidRPr="00831153">
              <w:rPr>
                <w:bCs w:val="0"/>
                <w:i w:val="0"/>
                <w:iCs w:val="0"/>
                <w:color w:val="auto"/>
                <w:sz w:val="22"/>
                <w:szCs w:val="20"/>
              </w:rPr>
              <w:t>The ACCC should be empowered to collect, investigate and publish long term data on prices in the food and grocery sector. The ACCC should publish regular data on horticultural and vegetable pricing from the major supermarkets to enhance price transparency and support better bargaining power for horticultural producers.</w:t>
            </w:r>
          </w:p>
          <w:p w14:paraId="2C73C528" w14:textId="075C0398" w:rsidR="0085712D" w:rsidRPr="00831153" w:rsidRDefault="0085712D">
            <w:pPr>
              <w:pStyle w:val="BoxSubHeading"/>
              <w:keepNext w:val="0"/>
            </w:pPr>
            <w:r w:rsidRPr="00831153">
              <w:t xml:space="preserve">Australian Government response </w:t>
            </w:r>
          </w:p>
          <w:p w14:paraId="7B732B4E" w14:textId="15F496A3" w:rsidR="00AD223F" w:rsidRDefault="0085712D">
            <w:pPr>
              <w:pStyle w:val="BoxText"/>
            </w:pPr>
            <w:r w:rsidRPr="001E5578">
              <w:rPr>
                <w:caps/>
              </w:rPr>
              <w:t>t</w:t>
            </w:r>
            <w:r w:rsidRPr="001E5578">
              <w:t xml:space="preserve">he Government </w:t>
            </w:r>
            <w:r w:rsidRPr="001E5578">
              <w:rPr>
                <w:b/>
                <w:bCs/>
              </w:rPr>
              <w:t>notes</w:t>
            </w:r>
            <w:r w:rsidRPr="001E5578">
              <w:t xml:space="preserve"> this recommendation.</w:t>
            </w:r>
          </w:p>
          <w:p w14:paraId="798DF765" w14:textId="2965B218" w:rsidR="00F957FA" w:rsidRDefault="00F957FA" w:rsidP="006E5963">
            <w:r>
              <w:t xml:space="preserve">The Government directed the </w:t>
            </w:r>
            <w:r w:rsidRPr="00395632">
              <w:t>ACCC</w:t>
            </w:r>
            <w:r>
              <w:t xml:space="preserve"> to</w:t>
            </w:r>
            <w:r w:rsidRPr="00395632">
              <w:t xml:space="preserve"> </w:t>
            </w:r>
            <w:r>
              <w:t xml:space="preserve">conduct </w:t>
            </w:r>
            <w:r w:rsidRPr="00395632">
              <w:t>an inquiry into pricing and competition in Australia’s supermarket sector</w:t>
            </w:r>
            <w:r>
              <w:t xml:space="preserve"> </w:t>
            </w:r>
            <w:r w:rsidRPr="00F957FA">
              <w:t xml:space="preserve">including the pricing practices of the supermarkets and the relationship between wholesale </w:t>
            </w:r>
            <w:r w:rsidR="00CD24F0">
              <w:t>(</w:t>
            </w:r>
            <w:r w:rsidRPr="00F957FA">
              <w:t>including farmgate</w:t>
            </w:r>
            <w:r w:rsidR="00CD24F0">
              <w:t>)</w:t>
            </w:r>
            <w:r w:rsidRPr="00F957FA">
              <w:t>, and retail prices</w:t>
            </w:r>
            <w:r w:rsidRPr="00395632">
              <w:t>.</w:t>
            </w:r>
            <w:r>
              <w:t xml:space="preserve"> </w:t>
            </w:r>
          </w:p>
          <w:p w14:paraId="49B34948" w14:textId="1AA7107E" w:rsidR="00D26257" w:rsidRDefault="0056093F" w:rsidP="00D26257">
            <w:r>
              <w:t xml:space="preserve">The ACCC’s inquiry made recommendations </w:t>
            </w:r>
            <w:r w:rsidR="00B65CE8">
              <w:t xml:space="preserve">to increase price transparency to </w:t>
            </w:r>
            <w:r>
              <w:t xml:space="preserve">help deliver fairer </w:t>
            </w:r>
            <w:r w:rsidR="00A135CD">
              <w:t xml:space="preserve">prices for families and fairer </w:t>
            </w:r>
            <w:r>
              <w:t>deals for farmers</w:t>
            </w:r>
            <w:r w:rsidR="00247C0F">
              <w:t xml:space="preserve">. </w:t>
            </w:r>
            <w:r w:rsidR="00D26257">
              <w:t>The Government has agreed in principle to the ACCC’s recommendations</w:t>
            </w:r>
            <w:r w:rsidR="00B65CE8">
              <w:t xml:space="preserve"> and will consult on the recommendations as part of the next review of the Food and Grocery Code</w:t>
            </w:r>
            <w:r w:rsidR="00D26257">
              <w:t>.</w:t>
            </w:r>
          </w:p>
          <w:p w14:paraId="7E0F1F1A" w14:textId="7A393F7C" w:rsidR="00D26257" w:rsidRDefault="00D26257" w:rsidP="00D26257">
            <w:r>
              <w:t xml:space="preserve">As part of its initial response to </w:t>
            </w:r>
            <w:r w:rsidR="007F1AF2">
              <w:t xml:space="preserve">findings in </w:t>
            </w:r>
            <w:r>
              <w:t xml:space="preserve">the report, the Government has provided $2.9 million in the Budget over three years from 2025-26 to help fresh food suppliers understand and enforce their rights under the new code. </w:t>
            </w:r>
            <w:r w:rsidRPr="00BC4D9F">
              <w:t xml:space="preserve">This funding will </w:t>
            </w:r>
            <w:r>
              <w:t>support</w:t>
            </w:r>
            <w:r w:rsidRPr="00BC4D9F">
              <w:t xml:space="preserve"> fresh produce industry associations </w:t>
            </w:r>
            <w:r>
              <w:t xml:space="preserve">to </w:t>
            </w:r>
            <w:r w:rsidRPr="00BC4D9F">
              <w:t xml:space="preserve">deliver targeted education </w:t>
            </w:r>
            <w:r>
              <w:t>to suppliers.</w:t>
            </w:r>
          </w:p>
          <w:p w14:paraId="165A5EB2" w14:textId="72E11705" w:rsidR="00247F5E" w:rsidRPr="00831153" w:rsidRDefault="001824C8" w:rsidP="006E5963">
            <w:r w:rsidRPr="001824C8">
              <w:t>These programs will help level the playing field for farmers and producers, equipping suppliers with the knowledge to push back against unfair practices and secure better commercial outcomes.</w:t>
            </w:r>
            <w:r w:rsidR="009E3731" w:rsidRPr="00395B97">
              <w:t xml:space="preserve"> </w:t>
            </w:r>
          </w:p>
        </w:tc>
      </w:tr>
      <w:tr w:rsidR="0085712D" w:rsidRPr="00134B42" w14:paraId="47319C6C" w14:textId="77777777">
        <w:trPr>
          <w:trHeight w:val="70"/>
        </w:trPr>
        <w:tc>
          <w:tcPr>
            <w:tcW w:w="9016" w:type="dxa"/>
          </w:tcPr>
          <w:p w14:paraId="1B4CD862" w14:textId="04B1D06D" w:rsidR="0085712D" w:rsidRPr="00831153" w:rsidRDefault="0085712D">
            <w:pPr>
              <w:pStyle w:val="BoxHeading"/>
              <w:rPr>
                <w:caps/>
              </w:rPr>
            </w:pPr>
            <w:r w:rsidRPr="00831153">
              <w:t>Recommendation 6</w:t>
            </w:r>
          </w:p>
          <w:p w14:paraId="55F5EBA1" w14:textId="77777777" w:rsidR="003116F9" w:rsidRPr="00831153" w:rsidRDefault="003116F9">
            <w:pPr>
              <w:pStyle w:val="BoxSubHeading"/>
              <w:keepNext w:val="0"/>
              <w:rPr>
                <w:bCs w:val="0"/>
                <w:i w:val="0"/>
                <w:iCs w:val="0"/>
                <w:color w:val="auto"/>
                <w:sz w:val="22"/>
                <w:szCs w:val="20"/>
              </w:rPr>
            </w:pPr>
            <w:r w:rsidRPr="00831153">
              <w:rPr>
                <w:bCs w:val="0"/>
                <w:i w:val="0"/>
                <w:iCs w:val="0"/>
                <w:color w:val="auto"/>
                <w:sz w:val="22"/>
                <w:szCs w:val="20"/>
              </w:rPr>
              <w:t>Price transparency policies should be carefully designed to ensure maximum benefit to consumers with minimum compliance burden to companies and delivered through the Australian Competition and Consumer Commission, rather than new bodies.</w:t>
            </w:r>
          </w:p>
          <w:p w14:paraId="59232D2F" w14:textId="2C01A3CE" w:rsidR="0085712D" w:rsidRPr="00831153" w:rsidRDefault="0085712D">
            <w:pPr>
              <w:pStyle w:val="BoxSubHeading"/>
              <w:keepNext w:val="0"/>
            </w:pPr>
            <w:r w:rsidRPr="00831153">
              <w:t xml:space="preserve">Australian Government response </w:t>
            </w:r>
          </w:p>
          <w:p w14:paraId="35894DCD" w14:textId="77777777" w:rsidR="0085712D" w:rsidRPr="00137DE8" w:rsidRDefault="0085712D">
            <w:pPr>
              <w:pStyle w:val="BoxText"/>
            </w:pPr>
            <w:r w:rsidRPr="00137DE8">
              <w:rPr>
                <w:caps/>
              </w:rPr>
              <w:t>t</w:t>
            </w:r>
            <w:r w:rsidRPr="00137DE8">
              <w:t xml:space="preserve">he Government </w:t>
            </w:r>
            <w:r w:rsidRPr="00137DE8">
              <w:rPr>
                <w:b/>
                <w:bCs/>
              </w:rPr>
              <w:t>notes</w:t>
            </w:r>
            <w:r w:rsidRPr="00137DE8">
              <w:t xml:space="preserve"> this recommendation.</w:t>
            </w:r>
          </w:p>
          <w:p w14:paraId="7EFA51CE" w14:textId="0143606E" w:rsidR="009D32AB" w:rsidRPr="00774496" w:rsidRDefault="009D32AB" w:rsidP="0084640F">
            <w:pPr>
              <w:rPr>
                <w:highlight w:val="yellow"/>
              </w:rPr>
            </w:pPr>
            <w:r>
              <w:t xml:space="preserve">The Government directed the </w:t>
            </w:r>
            <w:r w:rsidRPr="00395632">
              <w:t>ACCC</w:t>
            </w:r>
            <w:r>
              <w:t xml:space="preserve"> to</w:t>
            </w:r>
            <w:r w:rsidRPr="00395632">
              <w:t xml:space="preserve"> </w:t>
            </w:r>
            <w:r>
              <w:t xml:space="preserve">conduct </w:t>
            </w:r>
            <w:r w:rsidRPr="00395632">
              <w:t>an inquiry into pricing and competition in Australia’s supermarket sector</w:t>
            </w:r>
            <w:r>
              <w:t xml:space="preserve"> </w:t>
            </w:r>
            <w:r w:rsidRPr="00F957FA">
              <w:t xml:space="preserve">including the pricing practices of the supermarkets and the relationship between wholesale </w:t>
            </w:r>
            <w:r w:rsidR="00CD24F0">
              <w:t>(</w:t>
            </w:r>
            <w:r w:rsidRPr="00F957FA">
              <w:t>including farmgate</w:t>
            </w:r>
            <w:r w:rsidR="00CD24F0">
              <w:t>)</w:t>
            </w:r>
            <w:r w:rsidRPr="00F957FA">
              <w:t xml:space="preserve"> and retail prices</w:t>
            </w:r>
            <w:r w:rsidRPr="00395632">
              <w:t>.</w:t>
            </w:r>
            <w:r>
              <w:t xml:space="preserve"> </w:t>
            </w:r>
          </w:p>
          <w:p w14:paraId="6F7A7043" w14:textId="16F02842" w:rsidR="00DE5E03" w:rsidRPr="00831153" w:rsidRDefault="001025DE" w:rsidP="0084640F">
            <w:r>
              <w:t xml:space="preserve">The ACCC’s inquiry made recommendations to increase price transparency to help deliver fairer </w:t>
            </w:r>
            <w:r w:rsidR="00A135CD">
              <w:t xml:space="preserve">prices for families and fairer </w:t>
            </w:r>
            <w:r>
              <w:t>deals for farmers. The Government has agreed in principle to the ACCC’s recommendations and will consult on the recommendations as part of the next review of the Food and Grocery Code.</w:t>
            </w:r>
          </w:p>
        </w:tc>
      </w:tr>
      <w:tr w:rsidR="0085712D" w:rsidRPr="00134B42" w14:paraId="144D3210" w14:textId="77777777">
        <w:trPr>
          <w:trHeight w:val="70"/>
        </w:trPr>
        <w:tc>
          <w:tcPr>
            <w:tcW w:w="9016" w:type="dxa"/>
          </w:tcPr>
          <w:p w14:paraId="159509F4" w14:textId="150314EF" w:rsidR="0085712D" w:rsidRPr="00134B42" w:rsidRDefault="0085712D">
            <w:pPr>
              <w:pStyle w:val="BoxHeading"/>
              <w:rPr>
                <w:caps/>
              </w:rPr>
            </w:pPr>
            <w:r w:rsidRPr="00134B42">
              <w:lastRenderedPageBreak/>
              <w:t>Recommendation 7</w:t>
            </w:r>
          </w:p>
          <w:p w14:paraId="6A10A5B0" w14:textId="1FE0939D" w:rsidR="003116F9" w:rsidRPr="00134B42" w:rsidRDefault="003116F9">
            <w:pPr>
              <w:pStyle w:val="BoxSubHeading"/>
              <w:keepNext w:val="0"/>
              <w:rPr>
                <w:bCs w:val="0"/>
                <w:i w:val="0"/>
                <w:iCs w:val="0"/>
                <w:color w:val="auto"/>
                <w:sz w:val="22"/>
                <w:szCs w:val="20"/>
              </w:rPr>
            </w:pPr>
            <w:r w:rsidRPr="00134B42">
              <w:rPr>
                <w:bCs w:val="0"/>
                <w:i w:val="0"/>
                <w:iCs w:val="0"/>
                <w:color w:val="auto"/>
                <w:sz w:val="22"/>
                <w:szCs w:val="20"/>
              </w:rPr>
              <w:t>The government should create clearer pathways for small producers and growers to apply for ACCC exemptions to share information.</w:t>
            </w:r>
          </w:p>
          <w:p w14:paraId="7CB81591" w14:textId="3D0B0020" w:rsidR="0085712D" w:rsidRPr="00134B42" w:rsidRDefault="0085712D">
            <w:pPr>
              <w:pStyle w:val="BoxSubHeading"/>
              <w:keepNext w:val="0"/>
            </w:pPr>
            <w:r w:rsidRPr="00134B42">
              <w:t xml:space="preserve">Australian Government response </w:t>
            </w:r>
          </w:p>
          <w:p w14:paraId="3D205B6E" w14:textId="3F8A933D" w:rsidR="0085712D" w:rsidRPr="00134B42" w:rsidRDefault="0085712D">
            <w:pPr>
              <w:pStyle w:val="BoxText"/>
            </w:pPr>
            <w:r w:rsidRPr="00134B42">
              <w:rPr>
                <w:caps/>
              </w:rPr>
              <w:t>t</w:t>
            </w:r>
            <w:r w:rsidRPr="00134B42">
              <w:t xml:space="preserve">he Government </w:t>
            </w:r>
            <w:r w:rsidR="00911C3F" w:rsidRPr="00134B42">
              <w:rPr>
                <w:b/>
                <w:bCs/>
              </w:rPr>
              <w:t>notes</w:t>
            </w:r>
            <w:r w:rsidRPr="00134B42">
              <w:t xml:space="preserve"> this recommendation.</w:t>
            </w:r>
          </w:p>
          <w:p w14:paraId="0C615140" w14:textId="77777777" w:rsidR="008856C7" w:rsidRDefault="008856C7" w:rsidP="008856C7">
            <w:r>
              <w:t xml:space="preserve">The mere sharing of information, without any form of agreement or cooperation between businesses, is not prohibited by Australian competition law. Information to assist small businesses as to what is likely to breach competition law is available on the </w:t>
            </w:r>
            <w:hyperlink r:id="rId18" w:history="1">
              <w:r>
                <w:rPr>
                  <w:color w:val="0000FF"/>
                  <w:u w:val="single"/>
                </w:rPr>
                <w:t>ACCC's website</w:t>
              </w:r>
            </w:hyperlink>
            <w:r>
              <w:t xml:space="preserve">. </w:t>
            </w:r>
          </w:p>
          <w:p w14:paraId="1D605943" w14:textId="10D71C7A" w:rsidR="005F792A" w:rsidRPr="00134B42" w:rsidRDefault="008856C7">
            <w:pPr>
              <w:pStyle w:val="BoxText"/>
            </w:pPr>
            <w:r>
              <w:t>Where there is a risk of sharing of information amounting to a breach of competition law, there</w:t>
            </w:r>
            <w:r w:rsidR="007B0998">
              <w:t xml:space="preserve"> are multiple mechanisms for small producers and growers to </w:t>
            </w:r>
            <w:r>
              <w:t>obtain</w:t>
            </w:r>
            <w:r w:rsidR="007B0998">
              <w:t xml:space="preserve"> exemptions. For example, t</w:t>
            </w:r>
            <w:r w:rsidR="005F792A">
              <w:t>he ACCC has provided small businesses with a collective bargaining class exemption</w:t>
            </w:r>
            <w:r w:rsidR="004621E9">
              <w:t xml:space="preserve"> which allows eligible small business to collectively bargain without breaching competition laws. </w:t>
            </w:r>
            <w:r w:rsidRPr="00D557B7">
              <w:t xml:space="preserve">To obtain the protection of the class exemption, </w:t>
            </w:r>
            <w:r>
              <w:t xml:space="preserve">small business collective bargaining groups need to fill out a </w:t>
            </w:r>
            <w:r w:rsidRPr="00D557B7">
              <w:t xml:space="preserve">one-page </w:t>
            </w:r>
            <w:r>
              <w:t xml:space="preserve">notice form and provide it to the ACCC. Once this form is given to the ACCC </w:t>
            </w:r>
            <w:r w:rsidRPr="00D557B7">
              <w:t>each business in the group that meets the eligibility criteria gets immediate, automatic protection under competition law</w:t>
            </w:r>
            <w:r>
              <w:t>s</w:t>
            </w:r>
            <w:r w:rsidRPr="00D557B7">
              <w:t xml:space="preserve"> when collectively bargaining as part of the group.</w:t>
            </w:r>
            <w:r>
              <w:t xml:space="preserve"> </w:t>
            </w:r>
            <w:r w:rsidR="004621E9" w:rsidRPr="004621E9">
              <w:t xml:space="preserve">The ACCC’s </w:t>
            </w:r>
            <w:hyperlink r:id="rId19" w:history="1">
              <w:r w:rsidR="006F5E88">
                <w:rPr>
                  <w:rStyle w:val="Hyperlink"/>
                </w:rPr>
                <w:t>g</w:t>
              </w:r>
              <w:r w:rsidR="004621E9" w:rsidRPr="004621E9">
                <w:rPr>
                  <w:rStyle w:val="Hyperlink"/>
                </w:rPr>
                <w:t>uidelines</w:t>
              </w:r>
            </w:hyperlink>
            <w:r w:rsidR="004621E9" w:rsidRPr="004621E9">
              <w:t xml:space="preserve"> provide further detail about how this class exemption operates, including the criteria businesses</w:t>
            </w:r>
            <w:r w:rsidR="00E1284A">
              <w:t xml:space="preserve"> </w:t>
            </w:r>
            <w:r w:rsidR="006F5E88">
              <w:t>(</w:t>
            </w:r>
            <w:r w:rsidR="00E1284A">
              <w:t>including small producers and growers</w:t>
            </w:r>
            <w:r w:rsidR="006F5E88">
              <w:t>)</w:t>
            </w:r>
            <w:r w:rsidR="004621E9" w:rsidRPr="004621E9">
              <w:t xml:space="preserve"> must meet to be eligible for the class exemption.</w:t>
            </w:r>
          </w:p>
        </w:tc>
      </w:tr>
      <w:tr w:rsidR="0085712D" w:rsidRPr="00134B42" w14:paraId="0AE4B95D" w14:textId="77777777">
        <w:trPr>
          <w:trHeight w:val="70"/>
        </w:trPr>
        <w:tc>
          <w:tcPr>
            <w:tcW w:w="9016" w:type="dxa"/>
          </w:tcPr>
          <w:p w14:paraId="708657AB" w14:textId="53C3FC26" w:rsidR="0085712D" w:rsidRPr="00134B42" w:rsidRDefault="0085712D">
            <w:pPr>
              <w:pStyle w:val="BoxHeading"/>
              <w:rPr>
                <w:caps/>
              </w:rPr>
            </w:pPr>
            <w:r w:rsidRPr="00134B42">
              <w:t>Recommendation 8</w:t>
            </w:r>
          </w:p>
          <w:p w14:paraId="3C7CFA9F" w14:textId="77777777" w:rsidR="003116F9" w:rsidRPr="00134B42" w:rsidRDefault="003116F9">
            <w:pPr>
              <w:pStyle w:val="BoxSubHeading"/>
              <w:keepNext w:val="0"/>
              <w:rPr>
                <w:bCs w:val="0"/>
                <w:i w:val="0"/>
                <w:iCs w:val="0"/>
                <w:color w:val="auto"/>
                <w:sz w:val="22"/>
                <w:szCs w:val="20"/>
              </w:rPr>
            </w:pPr>
            <w:r w:rsidRPr="00134B42">
              <w:rPr>
                <w:bCs w:val="0"/>
                <w:i w:val="0"/>
                <w:iCs w:val="0"/>
                <w:color w:val="auto"/>
                <w:sz w:val="22"/>
                <w:szCs w:val="20"/>
              </w:rPr>
              <w:t>The government should explore policies to strengthen protection for mutuals and cooperatives from creeping acquisitions.</w:t>
            </w:r>
          </w:p>
          <w:p w14:paraId="1FF38663" w14:textId="18D19CE7" w:rsidR="0085712D" w:rsidRPr="00134B42" w:rsidRDefault="0085712D">
            <w:pPr>
              <w:pStyle w:val="BoxSubHeading"/>
              <w:keepNext w:val="0"/>
            </w:pPr>
            <w:r w:rsidRPr="00134B42">
              <w:t xml:space="preserve">Australian Government response </w:t>
            </w:r>
          </w:p>
          <w:p w14:paraId="08FD5831" w14:textId="550EAA74" w:rsidR="00BB4A98" w:rsidRPr="00134B42" w:rsidRDefault="0085712D" w:rsidP="00BB4A98">
            <w:pPr>
              <w:pStyle w:val="BoxText"/>
            </w:pPr>
            <w:r w:rsidRPr="00134B42">
              <w:rPr>
                <w:caps/>
              </w:rPr>
              <w:t>t</w:t>
            </w:r>
            <w:r w:rsidRPr="00134B42">
              <w:t xml:space="preserve">he Government </w:t>
            </w:r>
            <w:r w:rsidR="002106FE" w:rsidRPr="00134B42">
              <w:rPr>
                <w:b/>
                <w:bCs/>
              </w:rPr>
              <w:t>notes</w:t>
            </w:r>
            <w:r w:rsidR="00F364BA" w:rsidRPr="00134B42">
              <w:t xml:space="preserve"> </w:t>
            </w:r>
            <w:r w:rsidRPr="00134B42">
              <w:t>this recommendation.</w:t>
            </w:r>
            <w:r w:rsidR="00FB4B92" w:rsidRPr="00134B42">
              <w:t xml:space="preserve"> </w:t>
            </w:r>
          </w:p>
          <w:p w14:paraId="5C775303" w14:textId="07B8DEB0" w:rsidR="0085712D" w:rsidRPr="00134B42" w:rsidRDefault="00FB4B92">
            <w:pPr>
              <w:pStyle w:val="BoxText"/>
            </w:pPr>
            <w:r w:rsidRPr="00134B42">
              <w:rPr>
                <w:rFonts w:cstheme="minorHAnsi"/>
                <w:szCs w:val="24"/>
              </w:rPr>
              <w:t>Mutuals are regulated as companies under the </w:t>
            </w:r>
            <w:r w:rsidRPr="00134B42">
              <w:rPr>
                <w:rFonts w:cstheme="minorHAnsi"/>
                <w:i/>
                <w:iCs/>
                <w:szCs w:val="24"/>
              </w:rPr>
              <w:t xml:space="preserve">Corporations Act 2001, </w:t>
            </w:r>
            <w:r w:rsidRPr="00134B42">
              <w:rPr>
                <w:rFonts w:cstheme="minorHAnsi"/>
                <w:szCs w:val="24"/>
              </w:rPr>
              <w:t xml:space="preserve">while </w:t>
            </w:r>
            <w:r w:rsidRPr="00134B42">
              <w:t xml:space="preserve">cooperatives are regulated by the </w:t>
            </w:r>
            <w:r w:rsidR="001A6D33">
              <w:t>s</w:t>
            </w:r>
            <w:r w:rsidRPr="00134B42">
              <w:t xml:space="preserve">tates and </w:t>
            </w:r>
            <w:r w:rsidR="001A6D33">
              <w:t>t</w:t>
            </w:r>
            <w:r w:rsidRPr="00134B42">
              <w:t xml:space="preserve">erritories under the </w:t>
            </w:r>
            <w:r w:rsidRPr="00134B42">
              <w:rPr>
                <w:rFonts w:cstheme="minorHAnsi"/>
                <w:szCs w:val="24"/>
              </w:rPr>
              <w:t>Co-operatives National Law</w:t>
            </w:r>
            <w:r w:rsidR="00446B00" w:rsidRPr="00134B42">
              <w:rPr>
                <w:rFonts w:cstheme="minorHAnsi"/>
                <w:szCs w:val="24"/>
              </w:rPr>
              <w:t xml:space="preserve"> – </w:t>
            </w:r>
            <w:r w:rsidRPr="00134B42">
              <w:rPr>
                <w:rFonts w:cstheme="minorHAnsi"/>
                <w:szCs w:val="24"/>
              </w:rPr>
              <w:t xml:space="preserve">a uniform set of </w:t>
            </w:r>
            <w:r w:rsidR="001A6D33">
              <w:rPr>
                <w:rFonts w:cstheme="minorHAnsi"/>
                <w:szCs w:val="24"/>
              </w:rPr>
              <w:t>s</w:t>
            </w:r>
            <w:r w:rsidRPr="00134B42">
              <w:rPr>
                <w:rFonts w:cstheme="minorHAnsi"/>
                <w:szCs w:val="24"/>
              </w:rPr>
              <w:t xml:space="preserve">tate and </w:t>
            </w:r>
            <w:r w:rsidR="001A6D33">
              <w:rPr>
                <w:rFonts w:cstheme="minorHAnsi"/>
                <w:szCs w:val="24"/>
              </w:rPr>
              <w:t>t</w:t>
            </w:r>
            <w:r w:rsidRPr="00134B42">
              <w:rPr>
                <w:rFonts w:cstheme="minorHAnsi"/>
                <w:szCs w:val="24"/>
              </w:rPr>
              <w:t>erritory laws governing the formation and operation of co-operatives across Australia.</w:t>
            </w:r>
            <w:r w:rsidRPr="00134B42">
              <w:t xml:space="preserve">  </w:t>
            </w:r>
          </w:p>
          <w:p w14:paraId="04AB6276" w14:textId="4A493611" w:rsidR="00DC2FAA" w:rsidRPr="00134B42" w:rsidRDefault="00876DD2" w:rsidP="006776BF">
            <w:pPr>
              <w:pStyle w:val="BoxText"/>
            </w:pPr>
            <w:r w:rsidRPr="00134B42">
              <w:t>There are existing rules specific</w:t>
            </w:r>
            <w:r w:rsidR="00D17F73" w:rsidRPr="00134B42">
              <w:t xml:space="preserve"> to </w:t>
            </w:r>
            <w:r w:rsidRPr="00134B42">
              <w:t>mutual enterprises relevant</w:t>
            </w:r>
            <w:r w:rsidR="00E228D2" w:rsidRPr="00134B42">
              <w:t xml:space="preserve"> to </w:t>
            </w:r>
            <w:r w:rsidRPr="00134B42">
              <w:t>the</w:t>
            </w:r>
            <w:r w:rsidR="00E228D2" w:rsidRPr="00134B42">
              <w:t xml:space="preserve"> demutualisation</w:t>
            </w:r>
            <w:r w:rsidR="00BB4A98" w:rsidRPr="00134B42">
              <w:t xml:space="preserve"> of </w:t>
            </w:r>
            <w:r w:rsidRPr="00134B42">
              <w:t>such</w:t>
            </w:r>
            <w:r w:rsidR="00BB4A98" w:rsidRPr="00134B42">
              <w:t xml:space="preserve"> enterprises</w:t>
            </w:r>
            <w:r w:rsidR="00D17F73" w:rsidRPr="00134B42">
              <w:t>. Th</w:t>
            </w:r>
            <w:r w:rsidR="007E135A" w:rsidRPr="00134B42">
              <w:t>ese</w:t>
            </w:r>
            <w:r w:rsidR="00D17F73" w:rsidRPr="00134B42">
              <w:t xml:space="preserve"> include</w:t>
            </w:r>
            <w:r w:rsidR="00446B00" w:rsidRPr="00134B42">
              <w:t xml:space="preserve"> the ability</w:t>
            </w:r>
            <w:r w:rsidR="007850AF" w:rsidRPr="00134B42">
              <w:t xml:space="preserve"> </w:t>
            </w:r>
            <w:r w:rsidR="00D17F73" w:rsidRPr="00134B42">
              <w:t xml:space="preserve">for mutuals </w:t>
            </w:r>
            <w:r w:rsidR="007850AF" w:rsidRPr="00134B42">
              <w:t xml:space="preserve">to issue </w:t>
            </w:r>
            <w:r w:rsidR="004546CF" w:rsidRPr="00134B42">
              <w:t xml:space="preserve">equity </w:t>
            </w:r>
            <w:r w:rsidR="007850AF" w:rsidRPr="00134B42">
              <w:t>capital to investors</w:t>
            </w:r>
            <w:r w:rsidR="00EF2011" w:rsidRPr="00134B42">
              <w:t xml:space="preserve">, which </w:t>
            </w:r>
            <w:r w:rsidR="004546CF" w:rsidRPr="00134B42">
              <w:t>provide</w:t>
            </w:r>
            <w:r w:rsidR="00891CFD" w:rsidRPr="00134B42">
              <w:t>s</w:t>
            </w:r>
            <w:r w:rsidR="004546CF" w:rsidRPr="00134B42">
              <w:t xml:space="preserve"> mutuals with </w:t>
            </w:r>
            <w:r w:rsidR="007850AF" w:rsidRPr="00134B42">
              <w:t xml:space="preserve">access to </w:t>
            </w:r>
            <w:r w:rsidR="004546CF" w:rsidRPr="00134B42">
              <w:t xml:space="preserve">a broader range of </w:t>
            </w:r>
            <w:r w:rsidR="007850AF" w:rsidRPr="00134B42">
              <w:t>capital</w:t>
            </w:r>
            <w:r w:rsidR="004546CF" w:rsidRPr="00134B42">
              <w:t xml:space="preserve"> raising and investment options</w:t>
            </w:r>
            <w:r w:rsidR="00FB4B92" w:rsidRPr="00134B42">
              <w:t xml:space="preserve">. </w:t>
            </w:r>
            <w:r w:rsidR="00D17F73" w:rsidRPr="00134B42">
              <w:t>M</w:t>
            </w:r>
            <w:r w:rsidR="00FB4B92" w:rsidRPr="00134B42">
              <w:t>utual</w:t>
            </w:r>
            <w:r w:rsidR="00D17F73" w:rsidRPr="00134B42">
              <w:t>s and cooperatives</w:t>
            </w:r>
            <w:r w:rsidR="00FB4B92" w:rsidRPr="00134B42">
              <w:t xml:space="preserve"> are</w:t>
            </w:r>
            <w:r w:rsidR="00BE3DC4" w:rsidRPr="00134B42">
              <w:t xml:space="preserve"> also</w:t>
            </w:r>
            <w:r w:rsidR="00FB4B92" w:rsidRPr="00134B42">
              <w:t xml:space="preserve"> able to protect their members’ interests via member vote requirements</w:t>
            </w:r>
            <w:r w:rsidR="00891CFD" w:rsidRPr="00134B42">
              <w:t xml:space="preserve"> in their constitutions</w:t>
            </w:r>
            <w:r w:rsidR="00FB4B92" w:rsidRPr="00134B42">
              <w:t xml:space="preserve">. </w:t>
            </w:r>
            <w:r w:rsidR="00D17F73" w:rsidRPr="00134B42">
              <w:t xml:space="preserve"> </w:t>
            </w:r>
          </w:p>
          <w:p w14:paraId="6045077C" w14:textId="2B3D7D25" w:rsidR="00E44D7B" w:rsidRPr="007B0BE1" w:rsidRDefault="00FD08E6" w:rsidP="00E44D7B">
            <w:pPr>
              <w:pStyle w:val="BoxText"/>
            </w:pPr>
            <w:r w:rsidRPr="00395B97">
              <w:t xml:space="preserve">On 28 November 2024, the Government passed the </w:t>
            </w:r>
            <w:r w:rsidRPr="00395B97">
              <w:rPr>
                <w:i/>
                <w:iCs/>
              </w:rPr>
              <w:t xml:space="preserve">Treasury Laws Amendment (Mergers and Acquisitions Reform) Act 2024 </w:t>
            </w:r>
            <w:r w:rsidRPr="00395B97">
              <w:t xml:space="preserve">through the Parliament. </w:t>
            </w:r>
            <w:r w:rsidR="002C1C98">
              <w:t>On</w:t>
            </w:r>
            <w:r w:rsidR="00E44D7B" w:rsidRPr="00395B97">
              <w:t xml:space="preserve"> 1 January 2026, a single mandatory and suspensory administrative system for mergers replace</w:t>
            </w:r>
            <w:r w:rsidR="002C1C98">
              <w:t>d</w:t>
            </w:r>
            <w:r w:rsidR="00E44D7B" w:rsidRPr="00395B97">
              <w:t xml:space="preserve"> </w:t>
            </w:r>
            <w:r w:rsidR="00E44D7B" w:rsidRPr="007B0BE1">
              <w:t xml:space="preserve">the </w:t>
            </w:r>
            <w:r w:rsidR="002C1C98">
              <w:t>previous</w:t>
            </w:r>
            <w:r w:rsidR="00E44D7B" w:rsidRPr="007B0BE1">
              <w:t xml:space="preserve"> ad hoc voluntary approach.  </w:t>
            </w:r>
          </w:p>
          <w:p w14:paraId="68B88C21" w14:textId="6D83EED9" w:rsidR="00E44D7B" w:rsidRPr="00134B42" w:rsidRDefault="00E44D7B" w:rsidP="007A49EF">
            <w:pPr>
              <w:pStyle w:val="BoxText"/>
            </w:pPr>
            <w:r w:rsidRPr="007B0BE1">
              <w:t xml:space="preserve">The </w:t>
            </w:r>
            <w:r w:rsidR="00F3489D" w:rsidRPr="007B0BE1">
              <w:t>ACCC</w:t>
            </w:r>
            <w:r w:rsidRPr="007B0BE1">
              <w:t xml:space="preserve"> administer</w:t>
            </w:r>
            <w:r w:rsidR="002C1C98">
              <w:t>s</w:t>
            </w:r>
            <w:r w:rsidRPr="007B0BE1">
              <w:t xml:space="preserve"> the system and </w:t>
            </w:r>
            <w:r w:rsidR="002C1C98">
              <w:t xml:space="preserve">will </w:t>
            </w:r>
            <w:r w:rsidRPr="007B0BE1">
              <w:t>be better equipped to meet community expectations that it can detect and stop anti-competitive mergers. This includes serial acquisitions, and mergers by firms with substantial market power.</w:t>
            </w:r>
          </w:p>
        </w:tc>
      </w:tr>
      <w:tr w:rsidR="0085712D" w:rsidRPr="00134B42" w14:paraId="43F9EA00" w14:textId="77777777">
        <w:trPr>
          <w:trHeight w:val="70"/>
        </w:trPr>
        <w:tc>
          <w:tcPr>
            <w:tcW w:w="9016" w:type="dxa"/>
          </w:tcPr>
          <w:p w14:paraId="18B244A1" w14:textId="753E8FBE" w:rsidR="0085712D" w:rsidRPr="00134B42" w:rsidRDefault="0085712D">
            <w:pPr>
              <w:pStyle w:val="BoxHeading"/>
              <w:rPr>
                <w:caps/>
              </w:rPr>
            </w:pPr>
            <w:bookmarkStart w:id="20" w:name="_Hlk203385392"/>
            <w:r w:rsidRPr="00134B42">
              <w:lastRenderedPageBreak/>
              <w:t>Recommendation 9</w:t>
            </w:r>
          </w:p>
          <w:p w14:paraId="79DD7042" w14:textId="77777777" w:rsidR="003116F9" w:rsidRPr="00134B42" w:rsidRDefault="003116F9">
            <w:pPr>
              <w:pStyle w:val="BoxSubHeading"/>
              <w:keepNext w:val="0"/>
              <w:rPr>
                <w:bCs w:val="0"/>
                <w:i w:val="0"/>
                <w:iCs w:val="0"/>
                <w:color w:val="auto"/>
                <w:sz w:val="22"/>
                <w:szCs w:val="20"/>
              </w:rPr>
            </w:pPr>
            <w:bookmarkStart w:id="21" w:name="_Hlk170161567"/>
            <w:r w:rsidRPr="00134B42">
              <w:rPr>
                <w:bCs w:val="0"/>
                <w:i w:val="0"/>
                <w:iCs w:val="0"/>
                <w:color w:val="auto"/>
                <w:sz w:val="22"/>
                <w:szCs w:val="20"/>
              </w:rPr>
              <w:t>Bring the horticulture and dairy codes in as schedules of the Food and Grocery Code of Conduct to enshrine them and complete the supply chain protection.</w:t>
            </w:r>
          </w:p>
          <w:bookmarkEnd w:id="21"/>
          <w:p w14:paraId="2D06E9C6" w14:textId="6F465FFD" w:rsidR="0085712D" w:rsidRPr="00134B42" w:rsidRDefault="0085712D">
            <w:pPr>
              <w:pStyle w:val="BoxSubHeading"/>
              <w:keepNext w:val="0"/>
            </w:pPr>
            <w:r w:rsidRPr="00134B42">
              <w:t xml:space="preserve">Australian Government response </w:t>
            </w:r>
          </w:p>
          <w:p w14:paraId="0A98DE3A" w14:textId="75760C09" w:rsidR="00800945" w:rsidRPr="00134B42" w:rsidRDefault="0085712D">
            <w:pPr>
              <w:pStyle w:val="BoxText"/>
            </w:pPr>
            <w:r w:rsidRPr="00134B42">
              <w:rPr>
                <w:caps/>
              </w:rPr>
              <w:t>t</w:t>
            </w:r>
            <w:r w:rsidRPr="00134B42">
              <w:t xml:space="preserve">he Government </w:t>
            </w:r>
            <w:r w:rsidR="00800945" w:rsidRPr="00134B42" w:rsidDel="001130DA">
              <w:rPr>
                <w:b/>
                <w:bCs/>
              </w:rPr>
              <w:t>does not support</w:t>
            </w:r>
            <w:r w:rsidRPr="00134B42">
              <w:t xml:space="preserve"> this recommendation.</w:t>
            </w:r>
          </w:p>
          <w:p w14:paraId="2B0A3EAC" w14:textId="12EC8202" w:rsidR="00661B55" w:rsidRPr="005B17D7" w:rsidDel="001130DA" w:rsidRDefault="00661B55" w:rsidP="00EC6937">
            <w:pPr>
              <w:pStyle w:val="Bullet"/>
              <w:numPr>
                <w:ilvl w:val="0"/>
                <w:numId w:val="0"/>
              </w:numPr>
              <w:spacing w:before="120" w:after="120"/>
            </w:pPr>
            <w:bookmarkStart w:id="22" w:name="_Hlk170161628"/>
            <w:r w:rsidRPr="0092731A">
              <w:t xml:space="preserve">The Dairy Code of Conduct and the Horticulture Code of Conduct operate separately from the Food and </w:t>
            </w:r>
            <w:r w:rsidRPr="00CC44F8">
              <w:t xml:space="preserve">Grocery Code because they regulate </w:t>
            </w:r>
            <w:r w:rsidRPr="00EB2347">
              <w:t>different points in the supply chain</w:t>
            </w:r>
            <w:r w:rsidRPr="00CC44F8">
              <w:t xml:space="preserve">. The Dairy Code applies to the relationship between </w:t>
            </w:r>
            <w:r w:rsidRPr="00EB2347">
              <w:t>dairy farmers and processors</w:t>
            </w:r>
            <w:r w:rsidRPr="00CC44F8">
              <w:t xml:space="preserve">, while the Horticulture Code governs trade between </w:t>
            </w:r>
            <w:r w:rsidRPr="00EB2347">
              <w:t>growers and horticultural produce traders</w:t>
            </w:r>
            <w:r w:rsidR="00177E46">
              <w:t>.</w:t>
            </w:r>
            <w:r>
              <w:t xml:space="preserve"> </w:t>
            </w:r>
            <w:r w:rsidRPr="00661B55">
              <w:t xml:space="preserve">Although some dairy farmers and horticulture growers supply supermarkets directly, the codes remain separate to ensure each part of the supply chain is regulated by a framework suited to </w:t>
            </w:r>
            <w:r>
              <w:t>specific industry dynamics.</w:t>
            </w:r>
          </w:p>
          <w:p w14:paraId="30736E8D" w14:textId="0E5650EB" w:rsidR="00C44846" w:rsidRPr="005B17D7" w:rsidDel="001130DA" w:rsidRDefault="00C44846" w:rsidP="00800945">
            <w:pPr>
              <w:pStyle w:val="BoxText"/>
            </w:pPr>
            <w:bookmarkStart w:id="23" w:name="_Hlk170161608"/>
            <w:bookmarkEnd w:id="22"/>
            <w:r w:rsidRPr="005B17D7" w:rsidDel="001130DA">
              <w:t>The Government notes that Dr Emerson’s review heard feedback from stakeholders that various industry codes operating in the grocery industry</w:t>
            </w:r>
            <w:r w:rsidR="005B17D7" w:rsidRPr="005B17D7" w:rsidDel="001130DA">
              <w:t xml:space="preserve"> and the wholesale market</w:t>
            </w:r>
            <w:r w:rsidRPr="005B17D7" w:rsidDel="001130DA">
              <w:t xml:space="preserve"> supply chain should be kept separate.</w:t>
            </w:r>
          </w:p>
          <w:bookmarkEnd w:id="20"/>
          <w:bookmarkEnd w:id="23"/>
          <w:p w14:paraId="5B5505F4" w14:textId="5C8ACBA1" w:rsidR="00BA5BD9" w:rsidRDefault="00BA5BD9" w:rsidP="00BA5BD9">
            <w:pPr>
              <w:pStyle w:val="Bullet"/>
              <w:numPr>
                <w:ilvl w:val="0"/>
                <w:numId w:val="0"/>
              </w:numPr>
              <w:spacing w:before="120" w:after="120"/>
            </w:pPr>
            <w:r w:rsidRPr="005B17D7">
              <w:t xml:space="preserve">The Government </w:t>
            </w:r>
            <w:r>
              <w:t>released</w:t>
            </w:r>
            <w:r w:rsidRPr="005B17D7">
              <w:t xml:space="preserve"> the second review of the Dairy Code in </w:t>
            </w:r>
            <w:r>
              <w:t xml:space="preserve">December 2025 which found that the code continues to support the dairy industry by ensuring fair, transparent and equitable arrangements between farmers and processors. </w:t>
            </w:r>
          </w:p>
          <w:p w14:paraId="1023AEE9" w14:textId="3F6AABF8" w:rsidR="00800945" w:rsidRPr="00134B42" w:rsidRDefault="00F717E1" w:rsidP="00800945">
            <w:pPr>
              <w:pStyle w:val="BoxText"/>
            </w:pPr>
            <w:r w:rsidRPr="00EC6937">
              <w:t>On 28</w:t>
            </w:r>
            <w:r w:rsidR="006210F1" w:rsidRPr="00EC6937">
              <w:t xml:space="preserve"> January 2026, the Government announced an independent review of the Horticulture Code of Conduct.</w:t>
            </w:r>
            <w:r>
              <w:t xml:space="preserve"> </w:t>
            </w:r>
            <w:r w:rsidRPr="00EC6937">
              <w:t xml:space="preserve">A final report is expected to be provided to Government by </w:t>
            </w:r>
            <w:proofErr w:type="spellStart"/>
            <w:r w:rsidR="00290A57">
              <w:t>mid 2026</w:t>
            </w:r>
            <w:proofErr w:type="spellEnd"/>
            <w:r w:rsidR="006210F1" w:rsidRPr="00EC6937">
              <w:t xml:space="preserve">, with a </w:t>
            </w:r>
            <w:proofErr w:type="gramStart"/>
            <w:r w:rsidR="006210F1" w:rsidRPr="00EC6937">
              <w:t>Government</w:t>
            </w:r>
            <w:proofErr w:type="gramEnd"/>
            <w:r w:rsidR="006210F1" w:rsidRPr="00EC6937">
              <w:t xml:space="preserve"> response to follow.</w:t>
            </w:r>
            <w:r w:rsidR="00D8015B" w:rsidRPr="00EC6937">
              <w:t xml:space="preserve"> </w:t>
            </w:r>
          </w:p>
        </w:tc>
      </w:tr>
    </w:tbl>
    <w:p w14:paraId="2A45627F" w14:textId="77777777" w:rsidR="0085712D" w:rsidRPr="00134B42" w:rsidRDefault="0085712D" w:rsidP="0085712D">
      <w:pPr>
        <w:spacing w:before="0" w:after="160" w:line="259" w:lineRule="auto"/>
        <w:rPr>
          <w:caps/>
        </w:rPr>
      </w:pP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5712D" w:rsidRPr="00134B42" w14:paraId="0507A54D" w14:textId="77777777">
        <w:trPr>
          <w:trHeight w:val="70"/>
        </w:trPr>
        <w:tc>
          <w:tcPr>
            <w:tcW w:w="9016" w:type="dxa"/>
          </w:tcPr>
          <w:p w14:paraId="42E070E3" w14:textId="68237667" w:rsidR="0085712D" w:rsidRPr="00134B42" w:rsidRDefault="0085712D">
            <w:pPr>
              <w:pStyle w:val="BoxHeading"/>
              <w:rPr>
                <w:caps/>
              </w:rPr>
            </w:pPr>
            <w:r w:rsidRPr="00134B42">
              <w:lastRenderedPageBreak/>
              <w:t>Recommendation 11</w:t>
            </w:r>
          </w:p>
          <w:p w14:paraId="4C0448E0" w14:textId="7970D53A" w:rsidR="00207E4A" w:rsidRPr="00134B42" w:rsidRDefault="00207E4A">
            <w:pPr>
              <w:pStyle w:val="BoxSubHeading"/>
              <w:keepNext w:val="0"/>
              <w:rPr>
                <w:bCs w:val="0"/>
                <w:i w:val="0"/>
                <w:iCs w:val="0"/>
                <w:color w:val="auto"/>
                <w:sz w:val="22"/>
                <w:szCs w:val="20"/>
              </w:rPr>
            </w:pPr>
            <w:r w:rsidRPr="00134B42">
              <w:rPr>
                <w:bCs w:val="0"/>
                <w:i w:val="0"/>
                <w:iCs w:val="0"/>
                <w:color w:val="auto"/>
                <w:sz w:val="22"/>
                <w:szCs w:val="20"/>
              </w:rPr>
              <w:t xml:space="preserve">The Coalition does not believe the committee has persuasively found that divestiture powers should not be pursued at all. However, divestiture powers should be targeted to sectors of concern—with appropriate safeguards for regional jobs and </w:t>
            </w:r>
            <w:proofErr w:type="gramStart"/>
            <w:r w:rsidRPr="00134B42">
              <w:rPr>
                <w:bCs w:val="0"/>
                <w:i w:val="0"/>
                <w:iCs w:val="0"/>
                <w:color w:val="auto"/>
                <w:sz w:val="22"/>
                <w:szCs w:val="20"/>
              </w:rPr>
              <w:t>services, and</w:t>
            </w:r>
            <w:proofErr w:type="gramEnd"/>
            <w:r w:rsidRPr="00134B42">
              <w:rPr>
                <w:bCs w:val="0"/>
                <w:i w:val="0"/>
                <w:iCs w:val="0"/>
                <w:color w:val="auto"/>
                <w:sz w:val="22"/>
                <w:szCs w:val="20"/>
              </w:rPr>
              <w:t xml:space="preserve"> have a clear public benefit test.</w:t>
            </w:r>
          </w:p>
          <w:p w14:paraId="346E3E59" w14:textId="0BEADBF0" w:rsidR="0085712D" w:rsidRPr="00134B42" w:rsidRDefault="0085712D">
            <w:pPr>
              <w:pStyle w:val="BoxSubHeading"/>
              <w:keepNext w:val="0"/>
            </w:pPr>
            <w:r w:rsidRPr="00134B42">
              <w:t xml:space="preserve">Australian Government response </w:t>
            </w:r>
          </w:p>
          <w:p w14:paraId="712E55DC" w14:textId="77777777" w:rsidR="007A5EF9" w:rsidRPr="00134B42" w:rsidRDefault="007A5EF9" w:rsidP="007A5EF9">
            <w:pPr>
              <w:pStyle w:val="BoxText"/>
            </w:pPr>
            <w:r w:rsidRPr="00134B42">
              <w:rPr>
                <w:caps/>
              </w:rPr>
              <w:t>t</w:t>
            </w:r>
            <w:r w:rsidRPr="00134B42">
              <w:t xml:space="preserve">he Government </w:t>
            </w:r>
            <w:r w:rsidRPr="00134B42">
              <w:rPr>
                <w:b/>
                <w:bCs/>
              </w:rPr>
              <w:t>does not support</w:t>
            </w:r>
            <w:r w:rsidRPr="00134B42">
              <w:t xml:space="preserve"> this recommendation.</w:t>
            </w:r>
          </w:p>
          <w:p w14:paraId="19A0C1F9" w14:textId="77777777" w:rsidR="007A5EF9" w:rsidRDefault="007A5EF9" w:rsidP="007A5EF9">
            <w:pPr>
              <w:pStyle w:val="BoxText"/>
            </w:pPr>
            <w:r>
              <w:t>Divestiture is only available as a remedy in limited cases in Australia: to unwind mergers, to dispose of assets in a foreign investment context, or as a last resort to deal with aggravated cases of abuse of market power in electricity markets.</w:t>
            </w:r>
          </w:p>
          <w:p w14:paraId="473E3A69" w14:textId="77777777" w:rsidR="007A5EF9" w:rsidRPr="00F53BA7" w:rsidRDefault="007A5EF9" w:rsidP="007A5EF9">
            <w:pPr>
              <w:pStyle w:val="BoxText"/>
              <w:rPr>
                <w:rStyle w:val="normaltextrun"/>
              </w:rPr>
            </w:pPr>
            <w:r>
              <w:t>As past competition reviews have found, introducing d</w:t>
            </w:r>
            <w:r w:rsidRPr="00134B42">
              <w:rPr>
                <w:rStyle w:val="normaltextrun"/>
                <w:rFonts w:asciiTheme="majorHAnsi" w:hAnsiTheme="majorHAnsi" w:cstheme="majorHAnsi"/>
                <w:szCs w:val="22"/>
              </w:rPr>
              <w:t xml:space="preserve">ivestiture powers </w:t>
            </w:r>
            <w:r>
              <w:rPr>
                <w:rStyle w:val="normaltextrun"/>
                <w:rFonts w:asciiTheme="majorHAnsi" w:hAnsiTheme="majorHAnsi" w:cstheme="majorHAnsi"/>
                <w:szCs w:val="22"/>
              </w:rPr>
              <w:t>a</w:t>
            </w:r>
            <w:r>
              <w:rPr>
                <w:rStyle w:val="normaltextrun"/>
                <w:rFonts w:asciiTheme="majorHAnsi" w:hAnsiTheme="majorHAnsi" w:cstheme="majorHAnsi"/>
              </w:rPr>
              <w:t xml:space="preserve">s a remedy for breaches of misuse of market power provisions carries more risks than benefits and </w:t>
            </w:r>
            <w:r w:rsidRPr="00134B42">
              <w:rPr>
                <w:rStyle w:val="normaltextrun"/>
                <w:rFonts w:asciiTheme="majorHAnsi" w:hAnsiTheme="majorHAnsi" w:cstheme="majorHAnsi"/>
                <w:szCs w:val="22"/>
              </w:rPr>
              <w:t xml:space="preserve">would </w:t>
            </w:r>
            <w:r>
              <w:rPr>
                <w:rStyle w:val="normaltextrun"/>
                <w:rFonts w:asciiTheme="majorHAnsi" w:hAnsiTheme="majorHAnsi" w:cstheme="majorHAnsi"/>
                <w:szCs w:val="22"/>
              </w:rPr>
              <w:t xml:space="preserve">likely result in significant </w:t>
            </w:r>
            <w:r w:rsidRPr="00134B42">
              <w:rPr>
                <w:rStyle w:val="normaltextrun"/>
                <w:rFonts w:asciiTheme="majorHAnsi" w:hAnsiTheme="majorHAnsi" w:cstheme="majorHAnsi"/>
                <w:szCs w:val="22"/>
              </w:rPr>
              <w:t xml:space="preserve">adverse economic and legal consequences. </w:t>
            </w:r>
            <w:r>
              <w:rPr>
                <w:rStyle w:val="normaltextrun"/>
                <w:rFonts w:asciiTheme="majorHAnsi" w:hAnsiTheme="majorHAnsi" w:cstheme="majorHAnsi"/>
                <w:szCs w:val="22"/>
              </w:rPr>
              <w:t>T</w:t>
            </w:r>
            <w:r w:rsidRPr="00134B42">
              <w:rPr>
                <w:rStyle w:val="normaltextrun"/>
                <w:rFonts w:asciiTheme="majorHAnsi" w:hAnsiTheme="majorHAnsi" w:cstheme="majorHAnsi"/>
                <w:szCs w:val="22"/>
              </w:rPr>
              <w:t xml:space="preserve">he Hilmer (1993), Dawson (2003) and Harper (2015) reviews did not recommend divestiture as a remedy to address market </w:t>
            </w:r>
            <w:r w:rsidRPr="00831153">
              <w:rPr>
                <w:rStyle w:val="normaltextrun"/>
                <w:rFonts w:asciiTheme="majorHAnsi" w:hAnsiTheme="majorHAnsi" w:cstheme="majorHAnsi"/>
                <w:szCs w:val="22"/>
              </w:rPr>
              <w:t>power concerns.</w:t>
            </w:r>
            <w:r>
              <w:rPr>
                <w:rStyle w:val="normaltextrun"/>
                <w:rFonts w:asciiTheme="majorHAnsi" w:hAnsiTheme="majorHAnsi" w:cstheme="majorHAnsi"/>
                <w:szCs w:val="22"/>
              </w:rPr>
              <w:t xml:space="preserve"> S</w:t>
            </w:r>
            <w:r>
              <w:rPr>
                <w:rStyle w:val="normaltextrun"/>
                <w:rFonts w:asciiTheme="majorHAnsi" w:hAnsiTheme="majorHAnsi" w:cstheme="majorHAnsi"/>
              </w:rPr>
              <w:t>imilarly, t</w:t>
            </w:r>
            <w:r>
              <w:rPr>
                <w:rStyle w:val="normaltextrun"/>
                <w:rFonts w:asciiTheme="majorHAnsi" w:hAnsiTheme="majorHAnsi" w:cstheme="majorHAnsi"/>
                <w:szCs w:val="22"/>
              </w:rPr>
              <w:t>he ACCC d</w:t>
            </w:r>
            <w:r>
              <w:rPr>
                <w:rStyle w:val="normaltextrun"/>
                <w:rFonts w:asciiTheme="majorHAnsi" w:hAnsiTheme="majorHAnsi" w:cstheme="majorHAnsi"/>
              </w:rPr>
              <w:t>id not r</w:t>
            </w:r>
            <w:r>
              <w:rPr>
                <w:rStyle w:val="normaltextrun"/>
                <w:rFonts w:asciiTheme="majorHAnsi" w:hAnsiTheme="majorHAnsi" w:cstheme="majorHAnsi"/>
                <w:szCs w:val="22"/>
              </w:rPr>
              <w:t>ecommend divestiture powers i</w:t>
            </w:r>
            <w:r>
              <w:rPr>
                <w:rStyle w:val="normaltextrun"/>
                <w:rFonts w:asciiTheme="majorHAnsi" w:hAnsiTheme="majorHAnsi" w:cstheme="majorHAnsi"/>
              </w:rPr>
              <w:t>n</w:t>
            </w:r>
            <w:r>
              <w:rPr>
                <w:rStyle w:val="normaltextrun"/>
                <w:rFonts w:asciiTheme="majorHAnsi" w:hAnsiTheme="majorHAnsi" w:cstheme="majorHAnsi"/>
                <w:szCs w:val="22"/>
              </w:rPr>
              <w:t xml:space="preserve"> its recent year-long inquiry </w:t>
            </w:r>
            <w:r>
              <w:rPr>
                <w:rStyle w:val="normaltextrun"/>
                <w:rFonts w:asciiTheme="majorHAnsi" w:hAnsiTheme="majorHAnsi" w:cstheme="majorHAnsi"/>
              </w:rPr>
              <w:t>into the supermarket sector (2025), and the Independent Review of the Food and Grocery Code of Conduct (2024) did not support divestiture powers</w:t>
            </w:r>
            <w:r>
              <w:rPr>
                <w:rStyle w:val="normaltextrun"/>
                <w:rFonts w:asciiTheme="majorHAnsi" w:hAnsiTheme="majorHAnsi" w:cstheme="majorHAnsi"/>
                <w:szCs w:val="22"/>
              </w:rPr>
              <w:t>.</w:t>
            </w:r>
          </w:p>
          <w:p w14:paraId="39539687" w14:textId="77777777" w:rsidR="007A5EF9" w:rsidRPr="00281DA0" w:rsidRDefault="007A5EF9" w:rsidP="007A5EF9">
            <w:pPr>
              <w:pStyle w:val="BoxText"/>
            </w:pPr>
            <w:r w:rsidRPr="00281DA0">
              <w:t>The Government has recently implemented a comprehensive suite of reforms that directly address the underlying drivers of market concentration and market power in the supermarket sector. These include a mandatory merger control regime that commenced on 1 January 2026, targeted notification requirements for supermarket acquisitions and land holdings, strengthened planning and zoning reform efforts through the revitalised National Competition Policy, and</w:t>
            </w:r>
            <w:r>
              <w:t xml:space="preserve"> implemented</w:t>
            </w:r>
            <w:r w:rsidRPr="00281DA0">
              <w:t xml:space="preserve"> new regulations prohibiting excessive pricing by very large supermarkets.</w:t>
            </w:r>
          </w:p>
          <w:p w14:paraId="56C27E5A" w14:textId="77777777" w:rsidR="007A5EF9" w:rsidRPr="00281DA0" w:rsidRDefault="007A5EF9" w:rsidP="007A5EF9">
            <w:pPr>
              <w:pStyle w:val="BoxText"/>
            </w:pPr>
            <w:r w:rsidRPr="00281DA0">
              <w:t>These reforms provide a more proportionate and effective framework to promote competition and protect consumers, while avoiding the significant economic and legal risks associated with introducing sector-specific divestiture powers. The Government will continue to monitor the effectiveness of these reforms.</w:t>
            </w:r>
          </w:p>
          <w:p w14:paraId="22BE9931" w14:textId="2A96B99F" w:rsidR="00D86273" w:rsidRPr="00546C64" w:rsidRDefault="00D86273" w:rsidP="00D86273">
            <w:pPr>
              <w:pStyle w:val="BoxText"/>
              <w:rPr>
                <w:rFonts w:asciiTheme="majorHAnsi" w:hAnsiTheme="majorHAnsi" w:cstheme="majorHAnsi"/>
                <w:szCs w:val="22"/>
              </w:rPr>
            </w:pPr>
          </w:p>
        </w:tc>
      </w:tr>
      <w:tr w:rsidR="0085712D" w:rsidRPr="00134B42" w14:paraId="6B1CA987" w14:textId="77777777">
        <w:trPr>
          <w:trHeight w:val="70"/>
        </w:trPr>
        <w:tc>
          <w:tcPr>
            <w:tcW w:w="9016" w:type="dxa"/>
          </w:tcPr>
          <w:p w14:paraId="115D2CCE" w14:textId="51087F8B" w:rsidR="0085712D" w:rsidRPr="00134B42" w:rsidRDefault="0085712D">
            <w:pPr>
              <w:pStyle w:val="BoxHeading"/>
              <w:rPr>
                <w:caps/>
              </w:rPr>
            </w:pPr>
            <w:r w:rsidRPr="00134B42">
              <w:lastRenderedPageBreak/>
              <w:t>Recommendation 12</w:t>
            </w:r>
          </w:p>
          <w:p w14:paraId="37DBB85C" w14:textId="77777777" w:rsidR="00207E4A" w:rsidRPr="00134B42" w:rsidRDefault="00207E4A">
            <w:pPr>
              <w:pStyle w:val="BoxSubHeading"/>
              <w:keepNext w:val="0"/>
              <w:rPr>
                <w:bCs w:val="0"/>
                <w:i w:val="0"/>
                <w:iCs w:val="0"/>
                <w:color w:val="auto"/>
                <w:sz w:val="22"/>
                <w:szCs w:val="20"/>
              </w:rPr>
            </w:pPr>
            <w:r w:rsidRPr="00134B42">
              <w:rPr>
                <w:bCs w:val="0"/>
                <w:i w:val="0"/>
                <w:iCs w:val="0"/>
                <w:color w:val="auto"/>
                <w:sz w:val="22"/>
                <w:szCs w:val="20"/>
              </w:rPr>
              <w:t>The government’s merger reforms must adequately address the practice of creeping acquisitions and land banking.</w:t>
            </w:r>
          </w:p>
          <w:p w14:paraId="3008D293" w14:textId="2E20B565" w:rsidR="0085712D" w:rsidRPr="00134B42" w:rsidRDefault="0085712D">
            <w:pPr>
              <w:pStyle w:val="BoxSubHeading"/>
              <w:keepNext w:val="0"/>
            </w:pPr>
            <w:r w:rsidRPr="00134B42">
              <w:t xml:space="preserve">Australian Government response </w:t>
            </w:r>
          </w:p>
          <w:p w14:paraId="5D831762" w14:textId="2B4DECA7" w:rsidR="0085712D" w:rsidRPr="00134B42" w:rsidRDefault="0085712D">
            <w:pPr>
              <w:pStyle w:val="BoxText"/>
            </w:pPr>
            <w:r w:rsidRPr="00134B42">
              <w:rPr>
                <w:caps/>
              </w:rPr>
              <w:t>t</w:t>
            </w:r>
            <w:r w:rsidRPr="00134B42">
              <w:t xml:space="preserve">he Government </w:t>
            </w:r>
            <w:r w:rsidR="003E5F99" w:rsidRPr="00134B42">
              <w:rPr>
                <w:b/>
              </w:rPr>
              <w:t>notes</w:t>
            </w:r>
            <w:r w:rsidR="003E5F99" w:rsidRPr="00134B42">
              <w:t xml:space="preserve"> </w:t>
            </w:r>
            <w:r w:rsidRPr="00134B42">
              <w:t>this recommendation.</w:t>
            </w:r>
          </w:p>
          <w:p w14:paraId="4A304031" w14:textId="52D1DA19" w:rsidR="00F07A76" w:rsidRPr="003E6F81" w:rsidRDefault="00FD08E6" w:rsidP="00F07A76">
            <w:pPr>
              <w:pStyle w:val="BoxText"/>
            </w:pPr>
            <w:r w:rsidRPr="003E6F81">
              <w:t xml:space="preserve">On 28 November 2024, the Government passed the </w:t>
            </w:r>
            <w:r w:rsidRPr="00395B97">
              <w:rPr>
                <w:i/>
                <w:iCs/>
              </w:rPr>
              <w:t>Treasury Laws Amendment (Mergers and Acquisitions Reform) Act 2024</w:t>
            </w:r>
            <w:r w:rsidRPr="003E6F81">
              <w:t xml:space="preserve"> through the Parliament</w:t>
            </w:r>
            <w:r w:rsidR="00F07A76" w:rsidRPr="00395B97">
              <w:t xml:space="preserve">. </w:t>
            </w:r>
            <w:r w:rsidR="002B366E">
              <w:t>On</w:t>
            </w:r>
            <w:r w:rsidR="00F07A76" w:rsidRPr="00395B97">
              <w:t xml:space="preserve"> 1 January 2026, a single mandatory and suspensory administrative system for mergers replace</w:t>
            </w:r>
            <w:r w:rsidR="002B366E">
              <w:t>d</w:t>
            </w:r>
            <w:r w:rsidR="00F07A76" w:rsidRPr="00395B97">
              <w:t xml:space="preserve"> the </w:t>
            </w:r>
            <w:r w:rsidR="002B366E">
              <w:t>previous</w:t>
            </w:r>
            <w:r w:rsidR="00F07A76" w:rsidRPr="00395B97">
              <w:t xml:space="preserve"> ad hoc voluntary approach.</w:t>
            </w:r>
            <w:r w:rsidR="00F07A76" w:rsidRPr="003E6F81">
              <w:t xml:space="preserve">  </w:t>
            </w:r>
          </w:p>
          <w:p w14:paraId="381B7EAE" w14:textId="57A8E1D9" w:rsidR="00F07A76" w:rsidRPr="003E6F81" w:rsidRDefault="00F07A76" w:rsidP="00F07A76">
            <w:pPr>
              <w:pStyle w:val="BoxText"/>
            </w:pPr>
            <w:r w:rsidRPr="00395B97">
              <w:t xml:space="preserve">The </w:t>
            </w:r>
            <w:r w:rsidR="00860B03" w:rsidRPr="00395B97">
              <w:t>ACCC</w:t>
            </w:r>
            <w:r w:rsidRPr="00395B97">
              <w:t xml:space="preserve"> administer</w:t>
            </w:r>
            <w:r w:rsidR="002B366E">
              <w:t>s</w:t>
            </w:r>
            <w:r w:rsidRPr="00395B97">
              <w:t xml:space="preserve"> the system and </w:t>
            </w:r>
            <w:r w:rsidR="002B366E">
              <w:t xml:space="preserve">will </w:t>
            </w:r>
            <w:r w:rsidRPr="00395B97">
              <w:t>be better equipped to meet community expectations that it can detect and stop anti-competitive mergers. This includes serial acquisitions and mergers by firms with substantial market power in key sectors such as supermarkets, liquor</w:t>
            </w:r>
            <w:r w:rsidR="00064F1E" w:rsidRPr="00395B97">
              <w:t xml:space="preserve"> and </w:t>
            </w:r>
            <w:r w:rsidRPr="00395B97">
              <w:t>healthcar</w:t>
            </w:r>
            <w:r w:rsidR="002C1A76" w:rsidRPr="00395B97">
              <w:t>e</w:t>
            </w:r>
            <w:r w:rsidRPr="00395B97">
              <w:t xml:space="preserve"> that affect the cost of living for Australians.</w:t>
            </w:r>
          </w:p>
          <w:p w14:paraId="0924FD78" w14:textId="76684155" w:rsidR="0085712D" w:rsidRPr="006D0CFA" w:rsidRDefault="00BD2D0D" w:rsidP="007A49EF">
            <w:pPr>
              <w:pStyle w:val="BoxText"/>
              <w:rPr>
                <w:rFonts w:asciiTheme="majorHAnsi" w:hAnsiTheme="majorHAnsi" w:cstheme="majorHAnsi"/>
                <w:color w:val="222222"/>
                <w:szCs w:val="22"/>
              </w:rPr>
            </w:pPr>
            <w:r w:rsidRPr="00395B97">
              <w:rPr>
                <w:rFonts w:asciiTheme="majorHAnsi" w:hAnsiTheme="majorHAnsi" w:cstheme="majorHAnsi"/>
                <w:color w:val="222222"/>
                <w:szCs w:val="22"/>
              </w:rPr>
              <w:t>Under the reforms, a</w:t>
            </w:r>
            <w:r w:rsidRPr="00395B97">
              <w:t xml:space="preserve"> </w:t>
            </w:r>
            <w:proofErr w:type="gramStart"/>
            <w:r w:rsidRPr="00395B97">
              <w:t>Treasury Minister</w:t>
            </w:r>
            <w:proofErr w:type="gramEnd"/>
            <w:r w:rsidRPr="00395B97">
              <w:t xml:space="preserve"> also has the power to introduce additional targeted notification obligations in response to evidence-based concerns regarding certain high-risk mergers. </w:t>
            </w:r>
            <w:r w:rsidR="001C0CE5" w:rsidRPr="00395B97">
              <w:t>Using this power, t</w:t>
            </w:r>
            <w:r w:rsidRPr="00395B97">
              <w:t>he Minister has made the Competition and Consumer (Notification of Acquisitions) Determination 2025</w:t>
            </w:r>
            <w:r w:rsidRPr="00395B97">
              <w:rPr>
                <w:rFonts w:asciiTheme="majorHAnsi" w:hAnsiTheme="majorHAnsi" w:cstheme="majorHAnsi"/>
                <w:color w:val="222222"/>
                <w:szCs w:val="22"/>
              </w:rPr>
              <w:t xml:space="preserve"> that </w:t>
            </w:r>
            <w:r w:rsidR="001C0CE5" w:rsidRPr="00395B97">
              <w:rPr>
                <w:rFonts w:asciiTheme="majorHAnsi" w:hAnsiTheme="majorHAnsi" w:cstheme="majorHAnsi"/>
                <w:color w:val="222222"/>
                <w:szCs w:val="22"/>
              </w:rPr>
              <w:t>requires Coles and Woolworths to notify the ACCC of</w:t>
            </w:r>
            <w:r w:rsidR="00747938" w:rsidRPr="00395B97">
              <w:rPr>
                <w:rFonts w:asciiTheme="majorHAnsi" w:hAnsiTheme="majorHAnsi" w:cstheme="majorHAnsi"/>
                <w:color w:val="222222"/>
                <w:szCs w:val="22"/>
              </w:rPr>
              <w:t xml:space="preserve"> all acquisitions of supermarket businesses and certain land acquisitions.</w:t>
            </w:r>
          </w:p>
        </w:tc>
      </w:tr>
      <w:tr w:rsidR="0085712D" w:rsidRPr="00134B42" w14:paraId="5B1E681C" w14:textId="77777777">
        <w:trPr>
          <w:trHeight w:val="70"/>
        </w:trPr>
        <w:tc>
          <w:tcPr>
            <w:tcW w:w="9016" w:type="dxa"/>
          </w:tcPr>
          <w:p w14:paraId="4DDB98DC" w14:textId="535A5FC0" w:rsidR="0085712D" w:rsidRPr="00134B42" w:rsidRDefault="0085712D">
            <w:pPr>
              <w:pStyle w:val="BoxHeading"/>
              <w:rPr>
                <w:caps/>
              </w:rPr>
            </w:pPr>
            <w:r w:rsidRPr="00134B42">
              <w:t>Recommendation 13</w:t>
            </w:r>
          </w:p>
          <w:p w14:paraId="7C841B84" w14:textId="1788509C" w:rsidR="0085712D" w:rsidRPr="00134B42" w:rsidRDefault="00207E4A">
            <w:pPr>
              <w:pStyle w:val="BoxSubHeading"/>
              <w:keepNext w:val="0"/>
              <w:rPr>
                <w:bCs w:val="0"/>
                <w:i w:val="0"/>
                <w:iCs w:val="0"/>
                <w:color w:val="auto"/>
                <w:sz w:val="22"/>
                <w:szCs w:val="20"/>
              </w:rPr>
            </w:pPr>
            <w:bookmarkStart w:id="24" w:name="_Hlk201586784"/>
            <w:r w:rsidRPr="00134B42">
              <w:rPr>
                <w:bCs w:val="0"/>
                <w:i w:val="0"/>
                <w:iCs w:val="0"/>
                <w:color w:val="auto"/>
                <w:sz w:val="22"/>
                <w:szCs w:val="20"/>
              </w:rPr>
              <w:t>The government should put in place enterprise-led economic strategy that supports business growth and job creation through energy, industrial relations, tax, and workforce policies to drive investment to increase competition.</w:t>
            </w:r>
          </w:p>
          <w:bookmarkEnd w:id="24"/>
          <w:p w14:paraId="732090DC" w14:textId="76458505" w:rsidR="0085712D" w:rsidRPr="00134B42" w:rsidRDefault="0085712D">
            <w:pPr>
              <w:pStyle w:val="BoxSubHeading"/>
              <w:keepNext w:val="0"/>
            </w:pPr>
            <w:r w:rsidRPr="00134B42">
              <w:t xml:space="preserve">Australian Government response </w:t>
            </w:r>
          </w:p>
          <w:p w14:paraId="01A6C6EB" w14:textId="77777777" w:rsidR="009750EF" w:rsidRPr="00134B42" w:rsidRDefault="0085712D" w:rsidP="004B7B6A">
            <w:pPr>
              <w:pStyle w:val="BoxText"/>
            </w:pPr>
            <w:r w:rsidRPr="00134B42">
              <w:rPr>
                <w:caps/>
              </w:rPr>
              <w:t>t</w:t>
            </w:r>
            <w:r w:rsidRPr="00134B42">
              <w:t xml:space="preserve">he Government </w:t>
            </w:r>
            <w:r w:rsidRPr="00134B42">
              <w:rPr>
                <w:b/>
                <w:bCs/>
              </w:rPr>
              <w:t>notes</w:t>
            </w:r>
            <w:r w:rsidRPr="00134B42">
              <w:t xml:space="preserve"> this recommendation.</w:t>
            </w:r>
            <w:r w:rsidR="004B7B6A" w:rsidRPr="00134B42">
              <w:t xml:space="preserve"> </w:t>
            </w:r>
          </w:p>
          <w:p w14:paraId="28CFB1D4" w14:textId="77777777" w:rsidR="00ED2293" w:rsidRDefault="00ED2293" w:rsidP="00ED2293">
            <w:pPr>
              <w:pStyle w:val="BoxText"/>
            </w:pPr>
            <w:r w:rsidRPr="00333029">
              <w:t>The Government is committed to boosting Australia's productivity, which is a key driver of business investment and higher living standards over time.</w:t>
            </w:r>
          </w:p>
          <w:p w14:paraId="5B8B059A" w14:textId="0B647B02" w:rsidR="00ED2293" w:rsidRDefault="00ED2293" w:rsidP="00395B97">
            <w:pPr>
              <w:pStyle w:val="BoxText"/>
            </w:pPr>
            <w:r w:rsidRPr="00333029">
              <w:t>In November 2024, the Government committed $900 million to a revitalised National Competition Policy with all states and territories. Competition reforms drive productivity growth, remove unnecessary regulatory barriers for small businesses, encourage business growth, and enable healthy competition that ensures small businesses get a fair go.</w:t>
            </w:r>
          </w:p>
          <w:p w14:paraId="2DC5BEA5" w14:textId="62E64390" w:rsidR="00167113" w:rsidRPr="00333029" w:rsidRDefault="00167113" w:rsidP="00395B97">
            <w:pPr>
              <w:pStyle w:val="BoxText"/>
            </w:pPr>
            <w:r>
              <w:t xml:space="preserve">In the 2026-27 Budget, the Government is delivering over $3.5 billion of new measures that lower taxes for businesses and start-ups including loss refundability, support for venture capital, and a permanent $20,000 instant asset write off for small business. The Government is also </w:t>
            </w:r>
            <w:r w:rsidRPr="00167113">
              <w:t>rolling out a comprehensive productivity package that will reduce regulatory burden by $10.2 billion each year, boost long-run GDP by around $13</w:t>
            </w:r>
            <w:r>
              <w:t> </w:t>
            </w:r>
            <w:r w:rsidRPr="00167113">
              <w:t>billion through work underway with states and territories, and lift young firms’ investment in R&amp;D by $400 million per year. These reforms make it easier to do business, easier to build and easier to invest through meaningful reforms to approvals processes, establishing a single national market, promoting the uptake of AI, implementing landmark reforms to energy markets and making significant investments in science and innovation.</w:t>
            </w:r>
          </w:p>
          <w:p w14:paraId="29C3E469" w14:textId="6BB71A8F" w:rsidR="003879AB" w:rsidRPr="00134B42" w:rsidRDefault="003879AB" w:rsidP="006D0CFA">
            <w:pPr>
              <w:pStyle w:val="BoxText"/>
            </w:pPr>
          </w:p>
        </w:tc>
      </w:tr>
      <w:tr w:rsidR="0085712D" w:rsidRPr="00134B42" w14:paraId="22CD5E12" w14:textId="77777777">
        <w:trPr>
          <w:trHeight w:val="70"/>
        </w:trPr>
        <w:tc>
          <w:tcPr>
            <w:tcW w:w="9016" w:type="dxa"/>
          </w:tcPr>
          <w:p w14:paraId="388CDD74" w14:textId="09E54249" w:rsidR="0085712D" w:rsidRPr="00134B42" w:rsidRDefault="0085712D" w:rsidP="006D0CFA">
            <w:pPr>
              <w:pStyle w:val="BoxHeading"/>
              <w:rPr>
                <w:caps/>
              </w:rPr>
            </w:pPr>
            <w:r w:rsidRPr="00134B42">
              <w:lastRenderedPageBreak/>
              <w:t>Recommendation 14</w:t>
            </w:r>
          </w:p>
          <w:p w14:paraId="083EF3B3" w14:textId="77777777" w:rsidR="00235E12" w:rsidRPr="00134B42" w:rsidRDefault="00235E12" w:rsidP="006D0CFA">
            <w:pPr>
              <w:pStyle w:val="BoxSubHeading"/>
              <w:keepNext w:val="0"/>
              <w:rPr>
                <w:bCs w:val="0"/>
                <w:i w:val="0"/>
                <w:iCs w:val="0"/>
                <w:color w:val="auto"/>
                <w:sz w:val="22"/>
                <w:szCs w:val="20"/>
              </w:rPr>
            </w:pPr>
            <w:r w:rsidRPr="00134B42">
              <w:rPr>
                <w:bCs w:val="0"/>
                <w:i w:val="0"/>
                <w:iCs w:val="0"/>
                <w:color w:val="auto"/>
                <w:sz w:val="22"/>
                <w:szCs w:val="20"/>
              </w:rPr>
              <w:t>The government should put a pro-investment, pro-competition planning reform on the National Cabinet agenda at Premier, Treasurer, and building Minister’s level. The government should use these forums to drive planning reform that enables competitors to enter the market and prevents land banking.</w:t>
            </w:r>
          </w:p>
          <w:p w14:paraId="38D25874" w14:textId="1D7763DE" w:rsidR="0085712D" w:rsidRPr="00134B42" w:rsidRDefault="0085712D" w:rsidP="006D0CFA">
            <w:pPr>
              <w:pStyle w:val="BoxSubHeading"/>
              <w:keepNext w:val="0"/>
            </w:pPr>
            <w:r w:rsidRPr="00134B42">
              <w:t xml:space="preserve">Australian Government response </w:t>
            </w:r>
          </w:p>
          <w:p w14:paraId="5BAF4A48" w14:textId="0888BFE1" w:rsidR="00BB2BEA" w:rsidRDefault="00DD64AB" w:rsidP="006D0CFA">
            <w:pPr>
              <w:pStyle w:val="BoxText"/>
            </w:pPr>
            <w:r w:rsidRPr="00134B42">
              <w:rPr>
                <w:caps/>
              </w:rPr>
              <w:t>t</w:t>
            </w:r>
            <w:r w:rsidRPr="00134B42">
              <w:t xml:space="preserve">he Government </w:t>
            </w:r>
            <w:r w:rsidRPr="00134B42">
              <w:rPr>
                <w:b/>
                <w:bCs/>
              </w:rPr>
              <w:t>notes</w:t>
            </w:r>
            <w:r w:rsidRPr="00134B42">
              <w:t xml:space="preserve"> this recommendation. </w:t>
            </w:r>
          </w:p>
          <w:p w14:paraId="5650A121" w14:textId="29F43655" w:rsidR="00FC71B3" w:rsidRDefault="00FC71B3" w:rsidP="006D0CFA">
            <w:pPr>
              <w:pStyle w:val="BoxText"/>
            </w:pPr>
            <w:r w:rsidRPr="00090E65">
              <w:t>The Government</w:t>
            </w:r>
            <w:r>
              <w:t xml:space="preserve"> is addressing </w:t>
            </w:r>
            <w:r w:rsidRPr="001C5782">
              <w:t>supermarket</w:t>
            </w:r>
            <w:r>
              <w:t xml:space="preserve"> planning and zoning issues</w:t>
            </w:r>
            <w:r w:rsidRPr="00090E65">
              <w:t xml:space="preserve"> </w:t>
            </w:r>
            <w:r>
              <w:t>through</w:t>
            </w:r>
            <w:r w:rsidRPr="00090E65">
              <w:t xml:space="preserve"> the revitalised</w:t>
            </w:r>
            <w:r w:rsidR="00BB2BEA">
              <w:t xml:space="preserve"> </w:t>
            </w:r>
            <w:r w:rsidRPr="00090E65">
              <w:t xml:space="preserve">National Competition Policy agreements </w:t>
            </w:r>
            <w:r>
              <w:t>agreed</w:t>
            </w:r>
            <w:r w:rsidRPr="00090E65">
              <w:t xml:space="preserve"> by all Treasurers in November 2024.</w:t>
            </w:r>
          </w:p>
          <w:p w14:paraId="6E424AEC" w14:textId="77777777" w:rsidR="00FC71B3" w:rsidRPr="001C5782" w:rsidRDefault="00FC71B3" w:rsidP="006D0CFA">
            <w:pPr>
              <w:pStyle w:val="Bullet"/>
              <w:numPr>
                <w:ilvl w:val="0"/>
                <w:numId w:val="0"/>
              </w:numPr>
              <w:spacing w:before="120" w:after="120"/>
            </w:pPr>
            <w:r w:rsidRPr="001C5782">
              <w:t xml:space="preserve">Pro-competitive reform to commercial and industrial planning and zoning regulation, processes and systems is one of the 5 initial priority reforms in the agreements. The aim of the reform is to facilitate business entry and expansion, simplify and lower the costs of regulatory processes and encourage competition. </w:t>
            </w:r>
          </w:p>
          <w:p w14:paraId="01A49AA5" w14:textId="7C89A917" w:rsidR="00FC71B3" w:rsidRPr="00134B42" w:rsidRDefault="00FC71B3" w:rsidP="006D0CFA">
            <w:pPr>
              <w:pStyle w:val="Bullet"/>
              <w:numPr>
                <w:ilvl w:val="0"/>
                <w:numId w:val="0"/>
              </w:numPr>
              <w:spacing w:before="120" w:after="120"/>
            </w:pPr>
            <w:r w:rsidRPr="00DE730B">
              <w:t xml:space="preserve">Reform action is underpinned by a $240 million allocation from the National Productivity Fund which will be made available to states who deliver reform </w:t>
            </w:r>
            <w:r w:rsidRPr="00DE730B">
              <w:rPr>
                <w:rFonts w:eastAsia="Aptos"/>
              </w:rPr>
              <w:t>consistent with the evidence-backed Competition Reform Guidelines</w:t>
            </w:r>
            <w:r w:rsidRPr="00DE730B">
              <w:t xml:space="preserve">. Implementing the </w:t>
            </w:r>
            <w:r>
              <w:t>g</w:t>
            </w:r>
            <w:r w:rsidRPr="00DE730B">
              <w:t>uidelines is likely to create a commercial planning and zoning system with more flexible land use and improve regulatory consistency across local governments.</w:t>
            </w:r>
          </w:p>
        </w:tc>
      </w:tr>
    </w:tbl>
    <w:p w14:paraId="6B9B143D" w14:textId="77777777" w:rsidR="00326C22" w:rsidRPr="00134B42" w:rsidRDefault="00326C22" w:rsidP="00CB5819">
      <w:pPr>
        <w:spacing w:after="480"/>
      </w:pPr>
    </w:p>
    <w:sectPr w:rsidR="00326C22" w:rsidRPr="00134B42" w:rsidSect="0077630F">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A187" w14:textId="77777777" w:rsidR="00615A8C" w:rsidRDefault="00615A8C">
      <w:pPr>
        <w:spacing w:before="0" w:after="0"/>
      </w:pPr>
      <w:r>
        <w:separator/>
      </w:r>
    </w:p>
  </w:endnote>
  <w:endnote w:type="continuationSeparator" w:id="0">
    <w:p w14:paraId="5784E2AB" w14:textId="77777777" w:rsidR="00615A8C" w:rsidRDefault="00615A8C">
      <w:pPr>
        <w:spacing w:before="0" w:after="0"/>
      </w:pPr>
      <w:r>
        <w:continuationSeparator/>
      </w:r>
    </w:p>
  </w:endnote>
  <w:endnote w:type="continuationNotice" w:id="1">
    <w:p w14:paraId="217311F6" w14:textId="77777777" w:rsidR="00615A8C" w:rsidRDefault="00615A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17" w14:textId="27355E60" w:rsidR="0077630F" w:rsidRPr="00F347BE" w:rsidRDefault="000E1CCB" w:rsidP="005B5164">
    <w:pPr>
      <w:pStyle w:val="FooterEven"/>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35A84E35" wp14:editId="14CD0A18">
          <wp:extent cx="1324800" cy="201600"/>
          <wp:effectExtent l="0" t="0" r="0" b="8255"/>
          <wp:docPr id="116489810" name="Picture 1164898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C21" w14:textId="457246B1" w:rsidR="0077630F" w:rsidRPr="00F347BE" w:rsidRDefault="000E1CCB" w:rsidP="00F347BE">
    <w:pPr>
      <w:pStyle w:val="FooterOdd"/>
      <w:jc w:val="left"/>
    </w:pPr>
    <w:r w:rsidRPr="00103F3C">
      <w:rPr>
        <w:noProof/>
        <w:position w:val="-8"/>
      </w:rPr>
      <w:drawing>
        <wp:inline distT="0" distB="0" distL="0" distR="0" wp14:anchorId="1908EF19" wp14:editId="06C9444A">
          <wp:extent cx="1324800" cy="201600"/>
          <wp:effectExtent l="0" t="0" r="0" b="8255"/>
          <wp:docPr id="730426919" name="Picture 7304269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EFD0" w14:textId="6992712C" w:rsidR="00FD4178" w:rsidRDefault="00FD4178" w:rsidP="00FD4178">
    <w:pPr>
      <w:pStyle w:val="Footer"/>
    </w:pPr>
  </w:p>
  <w:p w14:paraId="20311FB4" w14:textId="099616A8" w:rsidR="001C6E10" w:rsidRDefault="001C6E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CF0F" w14:textId="05082F41" w:rsidR="00FD4178" w:rsidRDefault="00E70444">
    <w:pPr>
      <w:pStyle w:val="Footer"/>
      <w:jc w:val="right"/>
    </w:pPr>
    <w:sdt>
      <w:sdtPr>
        <w:id w:val="-535968580"/>
        <w:docPartObj>
          <w:docPartGallery w:val="Page Numbers (Bottom of Page)"/>
          <w:docPartUnique/>
        </w:docPartObj>
      </w:sdtPr>
      <w:sdtEndPr>
        <w:rPr>
          <w:noProof/>
        </w:rPr>
      </w:sdtEndPr>
      <w:sdtContent>
        <w:r w:rsidR="00FD4178">
          <w:fldChar w:fldCharType="begin"/>
        </w:r>
        <w:r w:rsidR="00FD4178">
          <w:instrText xml:space="preserve"> PAGE   \* MERGEFORMAT </w:instrText>
        </w:r>
        <w:r w:rsidR="00FD4178">
          <w:fldChar w:fldCharType="separate"/>
        </w:r>
        <w:r w:rsidR="00FD4178">
          <w:rPr>
            <w:noProof/>
          </w:rPr>
          <w:t>2</w:t>
        </w:r>
        <w:r w:rsidR="00FD4178">
          <w:rPr>
            <w:noProof/>
          </w:rPr>
          <w:fldChar w:fldCharType="end"/>
        </w:r>
      </w:sdtContent>
    </w:sdt>
  </w:p>
  <w:p w14:paraId="66691C42" w14:textId="72B0451A" w:rsidR="001C6E10" w:rsidRDefault="001C6E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3B0C" w14:textId="142FBE8B" w:rsidR="00FD4178" w:rsidRDefault="00E70444">
    <w:pPr>
      <w:pStyle w:val="Footer"/>
      <w:jc w:val="right"/>
    </w:pPr>
    <w:sdt>
      <w:sdtPr>
        <w:id w:val="2033450180"/>
        <w:docPartObj>
          <w:docPartGallery w:val="Page Numbers (Bottom of Page)"/>
          <w:docPartUnique/>
        </w:docPartObj>
      </w:sdtPr>
      <w:sdtEndPr>
        <w:rPr>
          <w:noProof/>
        </w:rPr>
      </w:sdtEndPr>
      <w:sdtContent>
        <w:r w:rsidR="00FD4178">
          <w:fldChar w:fldCharType="begin"/>
        </w:r>
        <w:r w:rsidR="00FD4178">
          <w:instrText xml:space="preserve"> PAGE   \* MERGEFORMAT </w:instrText>
        </w:r>
        <w:r w:rsidR="00FD4178">
          <w:fldChar w:fldCharType="separate"/>
        </w:r>
        <w:r w:rsidR="00FD4178">
          <w:rPr>
            <w:noProof/>
          </w:rPr>
          <w:t>2</w:t>
        </w:r>
        <w:r w:rsidR="00FD4178">
          <w:rPr>
            <w:noProof/>
          </w:rPr>
          <w:fldChar w:fldCharType="end"/>
        </w:r>
      </w:sdtContent>
    </w:sdt>
  </w:p>
  <w:p w14:paraId="064005C5" w14:textId="1B1D6BB8" w:rsidR="001C6E10" w:rsidRDefault="001C6E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8623" w14:textId="1AEBAC6B" w:rsidR="00FD4178" w:rsidRDefault="00E70444">
    <w:pPr>
      <w:pStyle w:val="Footer"/>
      <w:jc w:val="right"/>
    </w:pPr>
    <w:sdt>
      <w:sdtPr>
        <w:id w:val="-1251730186"/>
        <w:docPartObj>
          <w:docPartGallery w:val="Page Numbers (Bottom of Page)"/>
          <w:docPartUnique/>
        </w:docPartObj>
      </w:sdtPr>
      <w:sdtEndPr>
        <w:rPr>
          <w:noProof/>
        </w:rPr>
      </w:sdtEndPr>
      <w:sdtContent>
        <w:r w:rsidR="00FD4178">
          <w:fldChar w:fldCharType="begin"/>
        </w:r>
        <w:r w:rsidR="00FD4178">
          <w:instrText xml:space="preserve"> PAGE   \* MERGEFORMAT </w:instrText>
        </w:r>
        <w:r w:rsidR="00FD4178">
          <w:fldChar w:fldCharType="separate"/>
        </w:r>
        <w:r w:rsidR="00FD4178">
          <w:rPr>
            <w:noProof/>
          </w:rPr>
          <w:t>2</w:t>
        </w:r>
        <w:r w:rsidR="00FD4178">
          <w:rPr>
            <w:noProof/>
          </w:rPr>
          <w:fldChar w:fldCharType="end"/>
        </w:r>
      </w:sdtContent>
    </w:sdt>
  </w:p>
  <w:p w14:paraId="7F83052D" w14:textId="4606EEF5" w:rsidR="0077630F" w:rsidRPr="00F347BE" w:rsidRDefault="0077630F" w:rsidP="00F347BE">
    <w:pPr>
      <w:pStyle w:val="FooterOd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2851" w14:textId="77777777" w:rsidR="00615A8C" w:rsidRDefault="00615A8C" w:rsidP="00B47ECF">
      <w:r>
        <w:separator/>
      </w:r>
    </w:p>
  </w:footnote>
  <w:footnote w:type="continuationSeparator" w:id="0">
    <w:p w14:paraId="318EAB60" w14:textId="77777777" w:rsidR="00615A8C" w:rsidRDefault="00615A8C" w:rsidP="00B47ECF">
      <w:r>
        <w:continuationSeparator/>
      </w:r>
    </w:p>
  </w:footnote>
  <w:footnote w:type="continuationNotice" w:id="1">
    <w:p w14:paraId="50148A47" w14:textId="77777777" w:rsidR="00615A8C" w:rsidRDefault="00615A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2A6" w14:textId="52A1A590" w:rsidR="008774BA" w:rsidRDefault="00F347BE">
    <w:pPr>
      <w:pStyle w:val="Header"/>
    </w:pPr>
    <w:r>
      <w:rPr>
        <w:noProof/>
      </w:rPr>
      <w:drawing>
        <wp:anchor distT="0" distB="0" distL="114300" distR="114300" simplePos="0" relativeHeight="251658241" behindDoc="1" locked="1" layoutInCell="1" allowOverlap="1" wp14:anchorId="74343F88" wp14:editId="137648E2">
          <wp:simplePos x="0" y="0"/>
          <wp:positionH relativeFrom="page">
            <wp:align>center</wp:align>
          </wp:positionH>
          <wp:positionV relativeFrom="page">
            <wp:align>top</wp:align>
          </wp:positionV>
          <wp:extent cx="7570800" cy="1044000"/>
          <wp:effectExtent l="0" t="0" r="0" b="3810"/>
          <wp:wrapNone/>
          <wp:docPr id="1408546619" name="Picture 1408546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D92" w14:textId="1E596659" w:rsidR="008774BA" w:rsidRDefault="00F347BE">
    <w:pPr>
      <w:pStyle w:val="Header"/>
    </w:pPr>
    <w:r>
      <w:rPr>
        <w:noProof/>
      </w:rPr>
      <w:drawing>
        <wp:anchor distT="0" distB="0" distL="114300" distR="114300" simplePos="0" relativeHeight="251658242" behindDoc="1" locked="1" layoutInCell="1" allowOverlap="1" wp14:anchorId="3BD6BEF9" wp14:editId="38692B20">
          <wp:simplePos x="0" y="0"/>
          <wp:positionH relativeFrom="page">
            <wp:align>center</wp:align>
          </wp:positionH>
          <wp:positionV relativeFrom="page">
            <wp:align>top</wp:align>
          </wp:positionV>
          <wp:extent cx="7570800" cy="1044000"/>
          <wp:effectExtent l="0" t="0" r="0" b="3810"/>
          <wp:wrapNone/>
          <wp:docPr id="348042651" name="Picture 348042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40C0C300"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3E05A2D4"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66B8206C" w:rsidR="0077630F" w:rsidRDefault="00F347BE">
    <w:pPr>
      <w:pStyle w:val="Header"/>
    </w:pPr>
    <w:r>
      <w:rPr>
        <w:noProof/>
      </w:rPr>
      <w:drawing>
        <wp:anchor distT="0" distB="0" distL="114300" distR="114300" simplePos="0" relativeHeight="251658240" behindDoc="1" locked="1" layoutInCell="1" allowOverlap="1" wp14:anchorId="724D72D1" wp14:editId="203AB503">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5A0"/>
    <w:multiLevelType w:val="multilevel"/>
    <w:tmpl w:val="F07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A5DF0"/>
    <w:multiLevelType w:val="multilevel"/>
    <w:tmpl w:val="057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C8D388B"/>
    <w:multiLevelType w:val="multilevel"/>
    <w:tmpl w:val="C3EE1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B10BCA"/>
    <w:multiLevelType w:val="multilevel"/>
    <w:tmpl w:val="E07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7673A"/>
    <w:multiLevelType w:val="hybridMultilevel"/>
    <w:tmpl w:val="B43269DA"/>
    <w:lvl w:ilvl="0" w:tplc="2A00CDAE">
      <w:start w:val="1"/>
      <w:numFmt w:val="bullet"/>
      <w:lvlText w:val=""/>
      <w:lvlJc w:val="left"/>
      <w:pPr>
        <w:ind w:left="1440" w:hanging="360"/>
      </w:pPr>
      <w:rPr>
        <w:rFonts w:ascii="Symbol" w:hAnsi="Symbol"/>
      </w:rPr>
    </w:lvl>
    <w:lvl w:ilvl="1" w:tplc="06868456">
      <w:start w:val="1"/>
      <w:numFmt w:val="bullet"/>
      <w:lvlText w:val=""/>
      <w:lvlJc w:val="left"/>
      <w:pPr>
        <w:ind w:left="1440" w:hanging="360"/>
      </w:pPr>
      <w:rPr>
        <w:rFonts w:ascii="Symbol" w:hAnsi="Symbol"/>
      </w:rPr>
    </w:lvl>
    <w:lvl w:ilvl="2" w:tplc="7BA4B2F2">
      <w:start w:val="1"/>
      <w:numFmt w:val="bullet"/>
      <w:lvlText w:val=""/>
      <w:lvlJc w:val="left"/>
      <w:pPr>
        <w:ind w:left="1440" w:hanging="360"/>
      </w:pPr>
      <w:rPr>
        <w:rFonts w:ascii="Symbol" w:hAnsi="Symbol"/>
      </w:rPr>
    </w:lvl>
    <w:lvl w:ilvl="3" w:tplc="86FCDA8A">
      <w:start w:val="1"/>
      <w:numFmt w:val="bullet"/>
      <w:lvlText w:val=""/>
      <w:lvlJc w:val="left"/>
      <w:pPr>
        <w:ind w:left="1440" w:hanging="360"/>
      </w:pPr>
      <w:rPr>
        <w:rFonts w:ascii="Symbol" w:hAnsi="Symbol"/>
      </w:rPr>
    </w:lvl>
    <w:lvl w:ilvl="4" w:tplc="5DEA2C40">
      <w:start w:val="1"/>
      <w:numFmt w:val="bullet"/>
      <w:lvlText w:val=""/>
      <w:lvlJc w:val="left"/>
      <w:pPr>
        <w:ind w:left="1440" w:hanging="360"/>
      </w:pPr>
      <w:rPr>
        <w:rFonts w:ascii="Symbol" w:hAnsi="Symbol"/>
      </w:rPr>
    </w:lvl>
    <w:lvl w:ilvl="5" w:tplc="1D9C541C">
      <w:start w:val="1"/>
      <w:numFmt w:val="bullet"/>
      <w:lvlText w:val=""/>
      <w:lvlJc w:val="left"/>
      <w:pPr>
        <w:ind w:left="1440" w:hanging="360"/>
      </w:pPr>
      <w:rPr>
        <w:rFonts w:ascii="Symbol" w:hAnsi="Symbol"/>
      </w:rPr>
    </w:lvl>
    <w:lvl w:ilvl="6" w:tplc="486834E8">
      <w:start w:val="1"/>
      <w:numFmt w:val="bullet"/>
      <w:lvlText w:val=""/>
      <w:lvlJc w:val="left"/>
      <w:pPr>
        <w:ind w:left="1440" w:hanging="360"/>
      </w:pPr>
      <w:rPr>
        <w:rFonts w:ascii="Symbol" w:hAnsi="Symbol"/>
      </w:rPr>
    </w:lvl>
    <w:lvl w:ilvl="7" w:tplc="208A90F0">
      <w:start w:val="1"/>
      <w:numFmt w:val="bullet"/>
      <w:lvlText w:val=""/>
      <w:lvlJc w:val="left"/>
      <w:pPr>
        <w:ind w:left="1440" w:hanging="360"/>
      </w:pPr>
      <w:rPr>
        <w:rFonts w:ascii="Symbol" w:hAnsi="Symbol"/>
      </w:rPr>
    </w:lvl>
    <w:lvl w:ilvl="8" w:tplc="B4CED0D0">
      <w:start w:val="1"/>
      <w:numFmt w:val="bullet"/>
      <w:lvlText w:val=""/>
      <w:lvlJc w:val="left"/>
      <w:pPr>
        <w:ind w:left="1440" w:hanging="360"/>
      </w:pPr>
      <w:rPr>
        <w:rFonts w:ascii="Symbol" w:hAnsi="Symbol"/>
      </w:rPr>
    </w:lvl>
  </w:abstractNum>
  <w:abstractNum w:abstractNumId="7" w15:restartNumberingAfterBreak="0">
    <w:nsid w:val="16C00460"/>
    <w:multiLevelType w:val="hybridMultilevel"/>
    <w:tmpl w:val="8E40C3F0"/>
    <w:lvl w:ilvl="0" w:tplc="82988CFC">
      <w:start w:val="1"/>
      <w:numFmt w:val="decimal"/>
      <w:pStyle w:val="OneLevelNumberedParagraph"/>
      <w:lvlText w:val="%1."/>
      <w:lvlJc w:val="left"/>
      <w:pPr>
        <w:tabs>
          <w:tab w:val="num" w:pos="567"/>
        </w:tabs>
        <w:ind w:left="567" w:hanging="567"/>
      </w:pPr>
      <w:rPr>
        <w:rFonts w:hint="default"/>
      </w:rPr>
    </w:lvl>
    <w:lvl w:ilvl="1" w:tplc="02943F80" w:tentative="1">
      <w:start w:val="1"/>
      <w:numFmt w:val="lowerLetter"/>
      <w:lvlText w:val="%2."/>
      <w:lvlJc w:val="left"/>
      <w:pPr>
        <w:ind w:left="1440" w:hanging="360"/>
      </w:pPr>
    </w:lvl>
    <w:lvl w:ilvl="2" w:tplc="A05ED25E" w:tentative="1">
      <w:start w:val="1"/>
      <w:numFmt w:val="lowerRoman"/>
      <w:lvlText w:val="%3."/>
      <w:lvlJc w:val="right"/>
      <w:pPr>
        <w:ind w:left="2160" w:hanging="180"/>
      </w:pPr>
    </w:lvl>
    <w:lvl w:ilvl="3" w:tplc="D798592E" w:tentative="1">
      <w:start w:val="1"/>
      <w:numFmt w:val="decimal"/>
      <w:lvlText w:val="%4."/>
      <w:lvlJc w:val="left"/>
      <w:pPr>
        <w:ind w:left="2880" w:hanging="360"/>
      </w:pPr>
    </w:lvl>
    <w:lvl w:ilvl="4" w:tplc="9A4E340A" w:tentative="1">
      <w:start w:val="1"/>
      <w:numFmt w:val="lowerLetter"/>
      <w:lvlText w:val="%5."/>
      <w:lvlJc w:val="left"/>
      <w:pPr>
        <w:ind w:left="3600" w:hanging="360"/>
      </w:pPr>
    </w:lvl>
    <w:lvl w:ilvl="5" w:tplc="EF2AB5DA" w:tentative="1">
      <w:start w:val="1"/>
      <w:numFmt w:val="lowerRoman"/>
      <w:lvlText w:val="%6."/>
      <w:lvlJc w:val="right"/>
      <w:pPr>
        <w:ind w:left="4320" w:hanging="180"/>
      </w:pPr>
    </w:lvl>
    <w:lvl w:ilvl="6" w:tplc="21B6AD20" w:tentative="1">
      <w:start w:val="1"/>
      <w:numFmt w:val="decimal"/>
      <w:lvlText w:val="%7."/>
      <w:lvlJc w:val="left"/>
      <w:pPr>
        <w:ind w:left="5040" w:hanging="360"/>
      </w:pPr>
    </w:lvl>
    <w:lvl w:ilvl="7" w:tplc="0F78F45A" w:tentative="1">
      <w:start w:val="1"/>
      <w:numFmt w:val="lowerLetter"/>
      <w:lvlText w:val="%8."/>
      <w:lvlJc w:val="left"/>
      <w:pPr>
        <w:ind w:left="5760" w:hanging="360"/>
      </w:pPr>
    </w:lvl>
    <w:lvl w:ilvl="8" w:tplc="E6C0D6A8" w:tentative="1">
      <w:start w:val="1"/>
      <w:numFmt w:val="lowerRoman"/>
      <w:lvlText w:val="%9."/>
      <w:lvlJc w:val="right"/>
      <w:pPr>
        <w:ind w:left="6480" w:hanging="180"/>
      </w:pPr>
    </w:lvl>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ED6D02"/>
    <w:multiLevelType w:val="hybridMultilevel"/>
    <w:tmpl w:val="71B46650"/>
    <w:lvl w:ilvl="0" w:tplc="00423620">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BD7ECB"/>
    <w:multiLevelType w:val="multilevel"/>
    <w:tmpl w:val="0D48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D080323"/>
    <w:multiLevelType w:val="multilevel"/>
    <w:tmpl w:val="2E92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113FF0"/>
    <w:multiLevelType w:val="hybridMultilevel"/>
    <w:tmpl w:val="4038EF66"/>
    <w:lvl w:ilvl="0" w:tplc="FFFFFFFF">
      <w:start w:val="1"/>
      <w:numFmt w:val="bullet"/>
      <w:lvlText w:val=""/>
      <w:lvlJc w:val="left"/>
      <w:pPr>
        <w:ind w:left="720" w:hanging="360"/>
      </w:pPr>
      <w:rPr>
        <w:rFonts w:ascii="Symbol" w:hAnsi="Symbol" w:hint="default"/>
      </w:rPr>
    </w:lvl>
    <w:lvl w:ilvl="1" w:tplc="0042362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7D0193"/>
    <w:multiLevelType w:val="multilevel"/>
    <w:tmpl w:val="1C50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A354D6"/>
    <w:multiLevelType w:val="hybridMultilevel"/>
    <w:tmpl w:val="9B32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723BFC"/>
    <w:multiLevelType w:val="multilevel"/>
    <w:tmpl w:val="D940FB2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698"/>
        </w:tabs>
        <w:ind w:left="-698"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08C2710"/>
    <w:multiLevelType w:val="multilevel"/>
    <w:tmpl w:val="2642F3EE"/>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6B516C"/>
    <w:multiLevelType w:val="multilevel"/>
    <w:tmpl w:val="BAB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20244F"/>
    <w:multiLevelType w:val="hybridMultilevel"/>
    <w:tmpl w:val="6A72F340"/>
    <w:lvl w:ilvl="0" w:tplc="60843B6C">
      <w:start w:val="1"/>
      <w:numFmt w:val="bullet"/>
      <w:lvlText w:val=""/>
      <w:lvlJc w:val="left"/>
      <w:pPr>
        <w:ind w:left="1800" w:hanging="360"/>
      </w:pPr>
      <w:rPr>
        <w:rFonts w:ascii="Symbol" w:hAnsi="Symbol"/>
      </w:rPr>
    </w:lvl>
    <w:lvl w:ilvl="1" w:tplc="1084EBE4">
      <w:start w:val="1"/>
      <w:numFmt w:val="bullet"/>
      <w:lvlText w:val=""/>
      <w:lvlJc w:val="left"/>
      <w:pPr>
        <w:ind w:left="1800" w:hanging="360"/>
      </w:pPr>
      <w:rPr>
        <w:rFonts w:ascii="Symbol" w:hAnsi="Symbol"/>
      </w:rPr>
    </w:lvl>
    <w:lvl w:ilvl="2" w:tplc="443E4C6E">
      <w:start w:val="1"/>
      <w:numFmt w:val="bullet"/>
      <w:lvlText w:val=""/>
      <w:lvlJc w:val="left"/>
      <w:pPr>
        <w:ind w:left="1800" w:hanging="360"/>
      </w:pPr>
      <w:rPr>
        <w:rFonts w:ascii="Symbol" w:hAnsi="Symbol"/>
      </w:rPr>
    </w:lvl>
    <w:lvl w:ilvl="3" w:tplc="7416D7EE">
      <w:start w:val="1"/>
      <w:numFmt w:val="bullet"/>
      <w:lvlText w:val=""/>
      <w:lvlJc w:val="left"/>
      <w:pPr>
        <w:ind w:left="1800" w:hanging="360"/>
      </w:pPr>
      <w:rPr>
        <w:rFonts w:ascii="Symbol" w:hAnsi="Symbol"/>
      </w:rPr>
    </w:lvl>
    <w:lvl w:ilvl="4" w:tplc="7DC8FC32">
      <w:start w:val="1"/>
      <w:numFmt w:val="bullet"/>
      <w:lvlText w:val=""/>
      <w:lvlJc w:val="left"/>
      <w:pPr>
        <w:ind w:left="1800" w:hanging="360"/>
      </w:pPr>
      <w:rPr>
        <w:rFonts w:ascii="Symbol" w:hAnsi="Symbol"/>
      </w:rPr>
    </w:lvl>
    <w:lvl w:ilvl="5" w:tplc="CD4C8930">
      <w:start w:val="1"/>
      <w:numFmt w:val="bullet"/>
      <w:lvlText w:val=""/>
      <w:lvlJc w:val="left"/>
      <w:pPr>
        <w:ind w:left="1800" w:hanging="360"/>
      </w:pPr>
      <w:rPr>
        <w:rFonts w:ascii="Symbol" w:hAnsi="Symbol"/>
      </w:rPr>
    </w:lvl>
    <w:lvl w:ilvl="6" w:tplc="98604198">
      <w:start w:val="1"/>
      <w:numFmt w:val="bullet"/>
      <w:lvlText w:val=""/>
      <w:lvlJc w:val="left"/>
      <w:pPr>
        <w:ind w:left="1800" w:hanging="360"/>
      </w:pPr>
      <w:rPr>
        <w:rFonts w:ascii="Symbol" w:hAnsi="Symbol"/>
      </w:rPr>
    </w:lvl>
    <w:lvl w:ilvl="7" w:tplc="D700D94A">
      <w:start w:val="1"/>
      <w:numFmt w:val="bullet"/>
      <w:lvlText w:val=""/>
      <w:lvlJc w:val="left"/>
      <w:pPr>
        <w:ind w:left="1800" w:hanging="360"/>
      </w:pPr>
      <w:rPr>
        <w:rFonts w:ascii="Symbol" w:hAnsi="Symbol"/>
      </w:rPr>
    </w:lvl>
    <w:lvl w:ilvl="8" w:tplc="77CC33B8">
      <w:start w:val="1"/>
      <w:numFmt w:val="bullet"/>
      <w:lvlText w:val=""/>
      <w:lvlJc w:val="left"/>
      <w:pPr>
        <w:ind w:left="1800" w:hanging="360"/>
      </w:pPr>
      <w:rPr>
        <w:rFonts w:ascii="Symbol" w:hAnsi="Symbol"/>
      </w:rPr>
    </w:lvl>
  </w:abstractNum>
  <w:abstractNum w:abstractNumId="22" w15:restartNumberingAfterBreak="0">
    <w:nsid w:val="36883620"/>
    <w:multiLevelType w:val="multilevel"/>
    <w:tmpl w:val="447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56056"/>
    <w:multiLevelType w:val="hybridMultilevel"/>
    <w:tmpl w:val="6584F6BE"/>
    <w:lvl w:ilvl="0" w:tplc="673030CE">
      <w:start w:val="1"/>
      <w:numFmt w:val="bullet"/>
      <w:lvlText w:val=""/>
      <w:lvlJc w:val="left"/>
      <w:pPr>
        <w:ind w:left="720" w:hanging="360"/>
      </w:pPr>
      <w:rPr>
        <w:rFonts w:ascii="Symbol" w:hAnsi="Symbol" w:hint="default"/>
      </w:rPr>
    </w:lvl>
    <w:lvl w:ilvl="1" w:tplc="29864B20">
      <w:numFmt w:val="bullet"/>
      <w:lvlText w:val="•"/>
      <w:lvlJc w:val="left"/>
      <w:pPr>
        <w:ind w:left="1440" w:hanging="360"/>
      </w:pPr>
      <w:rPr>
        <w:rFonts w:ascii="Calibri Light" w:eastAsia="Times New Roman"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554A3D"/>
    <w:multiLevelType w:val="multilevel"/>
    <w:tmpl w:val="E69A698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A16444"/>
    <w:multiLevelType w:val="multilevel"/>
    <w:tmpl w:val="BEA2E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D524B7"/>
    <w:multiLevelType w:val="multilevel"/>
    <w:tmpl w:val="83748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3270149"/>
    <w:multiLevelType w:val="hybridMultilevel"/>
    <w:tmpl w:val="F8045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5895885"/>
    <w:multiLevelType w:val="hybridMultilevel"/>
    <w:tmpl w:val="353494DA"/>
    <w:lvl w:ilvl="0" w:tplc="02EC8F12">
      <w:start w:val="1"/>
      <w:numFmt w:val="bullet"/>
      <w:lvlText w:val=""/>
      <w:lvlJc w:val="left"/>
      <w:pPr>
        <w:ind w:left="720" w:hanging="360"/>
      </w:pPr>
      <w:rPr>
        <w:rFonts w:ascii="Symbol" w:hAnsi="Symbol" w:hint="default"/>
      </w:rPr>
    </w:lvl>
    <w:lvl w:ilvl="1" w:tplc="D57201D2">
      <w:start w:val="1"/>
      <w:numFmt w:val="bullet"/>
      <w:lvlText w:val="o"/>
      <w:lvlJc w:val="left"/>
      <w:pPr>
        <w:ind w:left="1440" w:hanging="360"/>
      </w:pPr>
      <w:rPr>
        <w:rFonts w:ascii="Courier New" w:hAnsi="Courier New" w:cs="Courier New" w:hint="default"/>
      </w:rPr>
    </w:lvl>
    <w:lvl w:ilvl="2" w:tplc="A4F85276" w:tentative="1">
      <w:start w:val="1"/>
      <w:numFmt w:val="bullet"/>
      <w:lvlText w:val=""/>
      <w:lvlJc w:val="left"/>
      <w:pPr>
        <w:ind w:left="2160" w:hanging="360"/>
      </w:pPr>
      <w:rPr>
        <w:rFonts w:ascii="Wingdings" w:hAnsi="Wingdings" w:hint="default"/>
      </w:rPr>
    </w:lvl>
    <w:lvl w:ilvl="3" w:tplc="E86640DC" w:tentative="1">
      <w:start w:val="1"/>
      <w:numFmt w:val="bullet"/>
      <w:lvlText w:val=""/>
      <w:lvlJc w:val="left"/>
      <w:pPr>
        <w:ind w:left="2880" w:hanging="360"/>
      </w:pPr>
      <w:rPr>
        <w:rFonts w:ascii="Symbol" w:hAnsi="Symbol" w:hint="default"/>
      </w:rPr>
    </w:lvl>
    <w:lvl w:ilvl="4" w:tplc="879ABD2C" w:tentative="1">
      <w:start w:val="1"/>
      <w:numFmt w:val="bullet"/>
      <w:lvlText w:val="o"/>
      <w:lvlJc w:val="left"/>
      <w:pPr>
        <w:ind w:left="3600" w:hanging="360"/>
      </w:pPr>
      <w:rPr>
        <w:rFonts w:ascii="Courier New" w:hAnsi="Courier New" w:cs="Courier New" w:hint="default"/>
      </w:rPr>
    </w:lvl>
    <w:lvl w:ilvl="5" w:tplc="DF8CBFC2" w:tentative="1">
      <w:start w:val="1"/>
      <w:numFmt w:val="bullet"/>
      <w:lvlText w:val=""/>
      <w:lvlJc w:val="left"/>
      <w:pPr>
        <w:ind w:left="4320" w:hanging="360"/>
      </w:pPr>
      <w:rPr>
        <w:rFonts w:ascii="Wingdings" w:hAnsi="Wingdings" w:hint="default"/>
      </w:rPr>
    </w:lvl>
    <w:lvl w:ilvl="6" w:tplc="F3466710" w:tentative="1">
      <w:start w:val="1"/>
      <w:numFmt w:val="bullet"/>
      <w:lvlText w:val=""/>
      <w:lvlJc w:val="left"/>
      <w:pPr>
        <w:ind w:left="5040" w:hanging="360"/>
      </w:pPr>
      <w:rPr>
        <w:rFonts w:ascii="Symbol" w:hAnsi="Symbol" w:hint="default"/>
      </w:rPr>
    </w:lvl>
    <w:lvl w:ilvl="7" w:tplc="63EA93FA" w:tentative="1">
      <w:start w:val="1"/>
      <w:numFmt w:val="bullet"/>
      <w:lvlText w:val="o"/>
      <w:lvlJc w:val="left"/>
      <w:pPr>
        <w:ind w:left="5760" w:hanging="360"/>
      </w:pPr>
      <w:rPr>
        <w:rFonts w:ascii="Courier New" w:hAnsi="Courier New" w:cs="Courier New" w:hint="default"/>
      </w:rPr>
    </w:lvl>
    <w:lvl w:ilvl="8" w:tplc="81D8D92C" w:tentative="1">
      <w:start w:val="1"/>
      <w:numFmt w:val="bullet"/>
      <w:lvlText w:val=""/>
      <w:lvlJc w:val="left"/>
      <w:pPr>
        <w:ind w:left="6480" w:hanging="360"/>
      </w:pPr>
      <w:rPr>
        <w:rFonts w:ascii="Wingdings" w:hAnsi="Wingdings" w:hint="default"/>
      </w:rPr>
    </w:lvl>
  </w:abstractNum>
  <w:abstractNum w:abstractNumId="29" w15:restartNumberingAfterBreak="0">
    <w:nsid w:val="46C9628D"/>
    <w:multiLevelType w:val="multilevel"/>
    <w:tmpl w:val="2476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C2B5F"/>
    <w:multiLevelType w:val="multilevel"/>
    <w:tmpl w:val="2C1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D83857"/>
    <w:multiLevelType w:val="multilevel"/>
    <w:tmpl w:val="3A66B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8E127DE"/>
    <w:multiLevelType w:val="hybridMultilevel"/>
    <w:tmpl w:val="B1640074"/>
    <w:lvl w:ilvl="0" w:tplc="624C80E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400F83"/>
    <w:multiLevelType w:val="multilevel"/>
    <w:tmpl w:val="7F9E504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7F1F1A"/>
    <w:multiLevelType w:val="multilevel"/>
    <w:tmpl w:val="D7D8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950868"/>
    <w:multiLevelType w:val="hybridMultilevel"/>
    <w:tmpl w:val="D53AC332"/>
    <w:lvl w:ilvl="0" w:tplc="03680C14">
      <w:start w:val="1"/>
      <w:numFmt w:val="bullet"/>
      <w:lvlText w:val=""/>
      <w:lvlJc w:val="left"/>
      <w:pPr>
        <w:ind w:left="720" w:hanging="360"/>
      </w:pPr>
      <w:rPr>
        <w:rFonts w:ascii="Symbol" w:hAnsi="Symbol" w:hint="default"/>
      </w:rPr>
    </w:lvl>
    <w:lvl w:ilvl="1" w:tplc="C4E2AD1A">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5C1127E"/>
    <w:multiLevelType w:val="hybridMultilevel"/>
    <w:tmpl w:val="CEECAC8A"/>
    <w:lvl w:ilvl="0" w:tplc="B6020182">
      <w:start w:val="1"/>
      <w:numFmt w:val="bullet"/>
      <w:lvlText w:val=""/>
      <w:lvlJc w:val="left"/>
      <w:pPr>
        <w:ind w:left="360" w:hanging="360"/>
      </w:pPr>
      <w:rPr>
        <w:rFonts w:ascii="Wingdings" w:hAnsi="Wingdings"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C124E81"/>
    <w:multiLevelType w:val="hybridMultilevel"/>
    <w:tmpl w:val="3C12D654"/>
    <w:lvl w:ilvl="0" w:tplc="82C2E09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352A12"/>
    <w:multiLevelType w:val="multilevel"/>
    <w:tmpl w:val="C9BCEC4A"/>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390048"/>
    <w:multiLevelType w:val="hybridMultilevel"/>
    <w:tmpl w:val="36188ACE"/>
    <w:lvl w:ilvl="0" w:tplc="FFFFFFFF">
      <w:start w:val="1"/>
      <w:numFmt w:val="bullet"/>
      <w:lvlText w:val=""/>
      <w:lvlJc w:val="left"/>
      <w:pPr>
        <w:ind w:left="720" w:hanging="360"/>
      </w:pPr>
      <w:rPr>
        <w:rFonts w:ascii="Symbol" w:hAnsi="Symbol" w:hint="default"/>
      </w:rPr>
    </w:lvl>
    <w:lvl w:ilvl="1" w:tplc="0042362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4B301A"/>
    <w:multiLevelType w:val="hybridMultilevel"/>
    <w:tmpl w:val="BF5A62F2"/>
    <w:lvl w:ilvl="0" w:tplc="42C6F76E">
      <w:start w:val="1"/>
      <w:numFmt w:val="bullet"/>
      <w:lvlText w:val=""/>
      <w:lvlJc w:val="left"/>
      <w:pPr>
        <w:ind w:left="360" w:hanging="360"/>
      </w:pPr>
      <w:rPr>
        <w:rFonts w:ascii="Symbol" w:hAnsi="Symbol" w:hint="default"/>
      </w:rPr>
    </w:lvl>
    <w:lvl w:ilvl="1" w:tplc="D3727D48">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E210935"/>
    <w:multiLevelType w:val="hybridMultilevel"/>
    <w:tmpl w:val="C7440156"/>
    <w:lvl w:ilvl="0" w:tplc="00423620">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299456101">
    <w:abstractNumId w:val="7"/>
  </w:num>
  <w:num w:numId="2" w16cid:durableId="1793934656">
    <w:abstractNumId w:val="15"/>
  </w:num>
  <w:num w:numId="3" w16cid:durableId="913859583">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370514">
    <w:abstractNumId w:val="2"/>
  </w:num>
  <w:num w:numId="5" w16cid:durableId="1049458312">
    <w:abstractNumId w:val="17"/>
  </w:num>
  <w:num w:numId="6" w16cid:durableId="213782971">
    <w:abstractNumId w:val="18"/>
  </w:num>
  <w:num w:numId="7" w16cid:durableId="1469132884">
    <w:abstractNumId w:val="8"/>
  </w:num>
  <w:num w:numId="8" w16cid:durableId="197206947">
    <w:abstractNumId w:val="19"/>
  </w:num>
  <w:num w:numId="9" w16cid:durableId="171573386">
    <w:abstractNumId w:val="4"/>
  </w:num>
  <w:num w:numId="10" w16cid:durableId="2126535593">
    <w:abstractNumId w:val="28"/>
  </w:num>
  <w:num w:numId="11" w16cid:durableId="1859154711">
    <w:abstractNumId w:val="28"/>
  </w:num>
  <w:num w:numId="12" w16cid:durableId="1665209043">
    <w:abstractNumId w:val="28"/>
  </w:num>
  <w:num w:numId="13" w16cid:durableId="7871575">
    <w:abstractNumId w:val="28"/>
  </w:num>
  <w:num w:numId="14" w16cid:durableId="1114517670">
    <w:abstractNumId w:val="28"/>
  </w:num>
  <w:num w:numId="15" w16cid:durableId="1682854057">
    <w:abstractNumId w:val="28"/>
  </w:num>
  <w:num w:numId="16" w16cid:durableId="51273553">
    <w:abstractNumId w:val="28"/>
  </w:num>
  <w:num w:numId="17" w16cid:durableId="296641803">
    <w:abstractNumId w:val="12"/>
  </w:num>
  <w:num w:numId="18" w16cid:durableId="1608272034">
    <w:abstractNumId w:val="28"/>
  </w:num>
  <w:num w:numId="19" w16cid:durableId="910968594">
    <w:abstractNumId w:val="28"/>
  </w:num>
  <w:num w:numId="20" w16cid:durableId="766661255">
    <w:abstractNumId w:val="28"/>
  </w:num>
  <w:num w:numId="21" w16cid:durableId="1541280469">
    <w:abstractNumId w:val="23"/>
  </w:num>
  <w:num w:numId="22" w16cid:durableId="2086880521">
    <w:abstractNumId w:val="39"/>
  </w:num>
  <w:num w:numId="23" w16cid:durableId="2122988929">
    <w:abstractNumId w:val="23"/>
  </w:num>
  <w:num w:numId="24" w16cid:durableId="1763186322">
    <w:abstractNumId w:val="23"/>
  </w:num>
  <w:num w:numId="25" w16cid:durableId="262107199">
    <w:abstractNumId w:val="23"/>
  </w:num>
  <w:num w:numId="26" w16cid:durableId="304361336">
    <w:abstractNumId w:val="23"/>
  </w:num>
  <w:num w:numId="27" w16cid:durableId="1794979063">
    <w:abstractNumId w:val="9"/>
  </w:num>
  <w:num w:numId="28" w16cid:durableId="1202672037">
    <w:abstractNumId w:val="42"/>
  </w:num>
  <w:num w:numId="29" w16cid:durableId="212549451">
    <w:abstractNumId w:val="40"/>
  </w:num>
  <w:num w:numId="30" w16cid:durableId="246424876">
    <w:abstractNumId w:val="24"/>
  </w:num>
  <w:num w:numId="31" w16cid:durableId="1934238855">
    <w:abstractNumId w:val="36"/>
  </w:num>
  <w:num w:numId="32" w16cid:durableId="1150177491">
    <w:abstractNumId w:val="25"/>
  </w:num>
  <w:num w:numId="33" w16cid:durableId="1754473937">
    <w:abstractNumId w:val="14"/>
  </w:num>
  <w:num w:numId="34" w16cid:durableId="1459564996">
    <w:abstractNumId w:val="33"/>
  </w:num>
  <w:num w:numId="35" w16cid:durableId="2044088804">
    <w:abstractNumId w:val="16"/>
  </w:num>
  <w:num w:numId="36" w16cid:durableId="921793833">
    <w:abstractNumId w:val="35"/>
  </w:num>
  <w:num w:numId="37" w16cid:durableId="1716343625">
    <w:abstractNumId w:val="24"/>
  </w:num>
  <w:num w:numId="38" w16cid:durableId="197084085">
    <w:abstractNumId w:val="24"/>
  </w:num>
  <w:num w:numId="39" w16cid:durableId="211576383">
    <w:abstractNumId w:val="24"/>
  </w:num>
  <w:num w:numId="40" w16cid:durableId="324746527">
    <w:abstractNumId w:val="24"/>
  </w:num>
  <w:num w:numId="41" w16cid:durableId="185482270">
    <w:abstractNumId w:val="11"/>
  </w:num>
  <w:num w:numId="42" w16cid:durableId="1179080487">
    <w:abstractNumId w:val="0"/>
  </w:num>
  <w:num w:numId="43" w16cid:durableId="456291867">
    <w:abstractNumId w:val="31"/>
  </w:num>
  <w:num w:numId="44" w16cid:durableId="1322468574">
    <w:abstractNumId w:val="20"/>
  </w:num>
  <w:num w:numId="45" w16cid:durableId="784881813">
    <w:abstractNumId w:val="26"/>
  </w:num>
  <w:num w:numId="46" w16cid:durableId="760374522">
    <w:abstractNumId w:val="3"/>
  </w:num>
  <w:num w:numId="47" w16cid:durableId="2143229193">
    <w:abstractNumId w:val="5"/>
  </w:num>
  <w:num w:numId="48" w16cid:durableId="1397892452">
    <w:abstractNumId w:val="30"/>
  </w:num>
  <w:num w:numId="49" w16cid:durableId="923757193">
    <w:abstractNumId w:val="13"/>
  </w:num>
  <w:num w:numId="50" w16cid:durableId="158817878">
    <w:abstractNumId w:val="10"/>
  </w:num>
  <w:num w:numId="51" w16cid:durableId="516887371">
    <w:abstractNumId w:val="1"/>
  </w:num>
  <w:num w:numId="52" w16cid:durableId="901867977">
    <w:abstractNumId w:val="6"/>
  </w:num>
  <w:num w:numId="53" w16cid:durableId="1299995828">
    <w:abstractNumId w:val="22"/>
  </w:num>
  <w:num w:numId="54" w16cid:durableId="1129324380">
    <w:abstractNumId w:val="34"/>
  </w:num>
  <w:num w:numId="55" w16cid:durableId="1050613169">
    <w:abstractNumId w:val="38"/>
  </w:num>
  <w:num w:numId="56" w16cid:durableId="1432552132">
    <w:abstractNumId w:val="37"/>
  </w:num>
  <w:num w:numId="57" w16cid:durableId="894317707">
    <w:abstractNumId w:val="27"/>
  </w:num>
  <w:num w:numId="58" w16cid:durableId="805002212">
    <w:abstractNumId w:val="24"/>
  </w:num>
  <w:num w:numId="59" w16cid:durableId="2037996123">
    <w:abstractNumId w:val="32"/>
  </w:num>
  <w:num w:numId="60" w16cid:durableId="1435980006">
    <w:abstractNumId w:val="21"/>
  </w:num>
  <w:num w:numId="61" w16cid:durableId="709916603">
    <w:abstractNumId w:val="29"/>
  </w:num>
  <w:num w:numId="62" w16cid:durableId="237179412">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1DAD"/>
    <w:rsid w:val="00001F79"/>
    <w:rsid w:val="00002087"/>
    <w:rsid w:val="000032E4"/>
    <w:rsid w:val="00004619"/>
    <w:rsid w:val="00005644"/>
    <w:rsid w:val="000062B8"/>
    <w:rsid w:val="00007350"/>
    <w:rsid w:val="000102D7"/>
    <w:rsid w:val="00011B37"/>
    <w:rsid w:val="00012B82"/>
    <w:rsid w:val="00013DFE"/>
    <w:rsid w:val="00014469"/>
    <w:rsid w:val="00015C4A"/>
    <w:rsid w:val="000162FE"/>
    <w:rsid w:val="00016C58"/>
    <w:rsid w:val="00017D25"/>
    <w:rsid w:val="00021037"/>
    <w:rsid w:val="000238B7"/>
    <w:rsid w:val="00023CDD"/>
    <w:rsid w:val="00024C14"/>
    <w:rsid w:val="000252B4"/>
    <w:rsid w:val="000263F4"/>
    <w:rsid w:val="00026668"/>
    <w:rsid w:val="0003073D"/>
    <w:rsid w:val="0003160F"/>
    <w:rsid w:val="00031874"/>
    <w:rsid w:val="00032A77"/>
    <w:rsid w:val="00034617"/>
    <w:rsid w:val="0003466B"/>
    <w:rsid w:val="0003477F"/>
    <w:rsid w:val="00035260"/>
    <w:rsid w:val="00035818"/>
    <w:rsid w:val="00036BEF"/>
    <w:rsid w:val="000419BA"/>
    <w:rsid w:val="00043836"/>
    <w:rsid w:val="00044E23"/>
    <w:rsid w:val="00047031"/>
    <w:rsid w:val="00050CF3"/>
    <w:rsid w:val="00054273"/>
    <w:rsid w:val="00055003"/>
    <w:rsid w:val="0005592C"/>
    <w:rsid w:val="00055958"/>
    <w:rsid w:val="00056FF5"/>
    <w:rsid w:val="000602F8"/>
    <w:rsid w:val="00060BE4"/>
    <w:rsid w:val="00060FA2"/>
    <w:rsid w:val="0006165D"/>
    <w:rsid w:val="000625F6"/>
    <w:rsid w:val="0006282F"/>
    <w:rsid w:val="00062F8A"/>
    <w:rsid w:val="000631A2"/>
    <w:rsid w:val="00063E3C"/>
    <w:rsid w:val="00063FAE"/>
    <w:rsid w:val="00064F1E"/>
    <w:rsid w:val="00065069"/>
    <w:rsid w:val="00065307"/>
    <w:rsid w:val="00066299"/>
    <w:rsid w:val="00067BB0"/>
    <w:rsid w:val="00067D2D"/>
    <w:rsid w:val="00070933"/>
    <w:rsid w:val="00070BA6"/>
    <w:rsid w:val="00071552"/>
    <w:rsid w:val="00071E82"/>
    <w:rsid w:val="000720E2"/>
    <w:rsid w:val="000738E3"/>
    <w:rsid w:val="0007424E"/>
    <w:rsid w:val="00074254"/>
    <w:rsid w:val="00076769"/>
    <w:rsid w:val="00083575"/>
    <w:rsid w:val="000846EF"/>
    <w:rsid w:val="00084A9B"/>
    <w:rsid w:val="00084D4C"/>
    <w:rsid w:val="00085388"/>
    <w:rsid w:val="00086806"/>
    <w:rsid w:val="00091161"/>
    <w:rsid w:val="00092540"/>
    <w:rsid w:val="00093ADC"/>
    <w:rsid w:val="00096FB5"/>
    <w:rsid w:val="00097157"/>
    <w:rsid w:val="000A15DE"/>
    <w:rsid w:val="000A16BE"/>
    <w:rsid w:val="000A1D08"/>
    <w:rsid w:val="000A23FD"/>
    <w:rsid w:val="000A2496"/>
    <w:rsid w:val="000A24E8"/>
    <w:rsid w:val="000A33F9"/>
    <w:rsid w:val="000A4D34"/>
    <w:rsid w:val="000A4EC7"/>
    <w:rsid w:val="000A79DC"/>
    <w:rsid w:val="000A7E28"/>
    <w:rsid w:val="000B0EEF"/>
    <w:rsid w:val="000B1366"/>
    <w:rsid w:val="000B16D5"/>
    <w:rsid w:val="000B1C41"/>
    <w:rsid w:val="000B1CF4"/>
    <w:rsid w:val="000B5546"/>
    <w:rsid w:val="000B5A0E"/>
    <w:rsid w:val="000B63C8"/>
    <w:rsid w:val="000B7B9C"/>
    <w:rsid w:val="000C3026"/>
    <w:rsid w:val="000C35CF"/>
    <w:rsid w:val="000C4330"/>
    <w:rsid w:val="000C5D44"/>
    <w:rsid w:val="000C5D89"/>
    <w:rsid w:val="000C7440"/>
    <w:rsid w:val="000D051A"/>
    <w:rsid w:val="000D0AA3"/>
    <w:rsid w:val="000D10CD"/>
    <w:rsid w:val="000D1C7F"/>
    <w:rsid w:val="000D2DFA"/>
    <w:rsid w:val="000D348E"/>
    <w:rsid w:val="000D3A9A"/>
    <w:rsid w:val="000D45F7"/>
    <w:rsid w:val="000D6F64"/>
    <w:rsid w:val="000D751F"/>
    <w:rsid w:val="000E18FE"/>
    <w:rsid w:val="000E1CCB"/>
    <w:rsid w:val="000E32ED"/>
    <w:rsid w:val="000E5454"/>
    <w:rsid w:val="000E54CA"/>
    <w:rsid w:val="000E55B7"/>
    <w:rsid w:val="000E6E70"/>
    <w:rsid w:val="000E7857"/>
    <w:rsid w:val="000F031A"/>
    <w:rsid w:val="000F2B52"/>
    <w:rsid w:val="000F4446"/>
    <w:rsid w:val="000F5411"/>
    <w:rsid w:val="000F6606"/>
    <w:rsid w:val="001017EB"/>
    <w:rsid w:val="0010190A"/>
    <w:rsid w:val="001025DE"/>
    <w:rsid w:val="0010269B"/>
    <w:rsid w:val="00102C05"/>
    <w:rsid w:val="001033E2"/>
    <w:rsid w:val="00103F36"/>
    <w:rsid w:val="0010433F"/>
    <w:rsid w:val="00104AD3"/>
    <w:rsid w:val="00105812"/>
    <w:rsid w:val="00107225"/>
    <w:rsid w:val="00111C01"/>
    <w:rsid w:val="00112390"/>
    <w:rsid w:val="00112B3C"/>
    <w:rsid w:val="001130DA"/>
    <w:rsid w:val="0011366D"/>
    <w:rsid w:val="00113B0F"/>
    <w:rsid w:val="00113E8E"/>
    <w:rsid w:val="00114046"/>
    <w:rsid w:val="00114221"/>
    <w:rsid w:val="001157F2"/>
    <w:rsid w:val="00115EBA"/>
    <w:rsid w:val="00116A85"/>
    <w:rsid w:val="00117ADB"/>
    <w:rsid w:val="00120D3F"/>
    <w:rsid w:val="001213BC"/>
    <w:rsid w:val="001244F8"/>
    <w:rsid w:val="00124B96"/>
    <w:rsid w:val="001264A4"/>
    <w:rsid w:val="001309B5"/>
    <w:rsid w:val="0013347D"/>
    <w:rsid w:val="00133BD4"/>
    <w:rsid w:val="00133D0D"/>
    <w:rsid w:val="00134B42"/>
    <w:rsid w:val="00134F61"/>
    <w:rsid w:val="00135214"/>
    <w:rsid w:val="0013545F"/>
    <w:rsid w:val="00136228"/>
    <w:rsid w:val="00137DE8"/>
    <w:rsid w:val="00141F3D"/>
    <w:rsid w:val="00142DAE"/>
    <w:rsid w:val="00143490"/>
    <w:rsid w:val="001437F4"/>
    <w:rsid w:val="00144DD1"/>
    <w:rsid w:val="00145093"/>
    <w:rsid w:val="0014553A"/>
    <w:rsid w:val="00146A54"/>
    <w:rsid w:val="001472E5"/>
    <w:rsid w:val="00147522"/>
    <w:rsid w:val="00147FE9"/>
    <w:rsid w:val="001509B4"/>
    <w:rsid w:val="001529EE"/>
    <w:rsid w:val="0015365D"/>
    <w:rsid w:val="0015381A"/>
    <w:rsid w:val="00155E92"/>
    <w:rsid w:val="0015715B"/>
    <w:rsid w:val="00157683"/>
    <w:rsid w:val="001579CB"/>
    <w:rsid w:val="0016057A"/>
    <w:rsid w:val="00161EAB"/>
    <w:rsid w:val="00162A85"/>
    <w:rsid w:val="00163028"/>
    <w:rsid w:val="00163F24"/>
    <w:rsid w:val="00164C26"/>
    <w:rsid w:val="00164CE3"/>
    <w:rsid w:val="0016545C"/>
    <w:rsid w:val="00167113"/>
    <w:rsid w:val="00170A8E"/>
    <w:rsid w:val="00171D2C"/>
    <w:rsid w:val="00173D84"/>
    <w:rsid w:val="00174D71"/>
    <w:rsid w:val="00175FB3"/>
    <w:rsid w:val="00176171"/>
    <w:rsid w:val="00177E46"/>
    <w:rsid w:val="00180A6E"/>
    <w:rsid w:val="001818DE"/>
    <w:rsid w:val="00181A94"/>
    <w:rsid w:val="001824C8"/>
    <w:rsid w:val="00183C2D"/>
    <w:rsid w:val="00183D86"/>
    <w:rsid w:val="00184A05"/>
    <w:rsid w:val="0018533F"/>
    <w:rsid w:val="001861F3"/>
    <w:rsid w:val="00186968"/>
    <w:rsid w:val="00186BD9"/>
    <w:rsid w:val="00187202"/>
    <w:rsid w:val="00190522"/>
    <w:rsid w:val="00190715"/>
    <w:rsid w:val="001911A1"/>
    <w:rsid w:val="001931F8"/>
    <w:rsid w:val="001972EE"/>
    <w:rsid w:val="00197924"/>
    <w:rsid w:val="001A10C1"/>
    <w:rsid w:val="001A2235"/>
    <w:rsid w:val="001A247C"/>
    <w:rsid w:val="001A49A4"/>
    <w:rsid w:val="001A4A60"/>
    <w:rsid w:val="001A4E6A"/>
    <w:rsid w:val="001A58DD"/>
    <w:rsid w:val="001A5D4E"/>
    <w:rsid w:val="001A6A9C"/>
    <w:rsid w:val="001A6D33"/>
    <w:rsid w:val="001B1299"/>
    <w:rsid w:val="001B1CCA"/>
    <w:rsid w:val="001B2EC2"/>
    <w:rsid w:val="001B34DD"/>
    <w:rsid w:val="001B4498"/>
    <w:rsid w:val="001B6C72"/>
    <w:rsid w:val="001B7F57"/>
    <w:rsid w:val="001C0CE5"/>
    <w:rsid w:val="001C1B20"/>
    <w:rsid w:val="001C2C0B"/>
    <w:rsid w:val="001C2D46"/>
    <w:rsid w:val="001C3C62"/>
    <w:rsid w:val="001C4C60"/>
    <w:rsid w:val="001C50FF"/>
    <w:rsid w:val="001C6497"/>
    <w:rsid w:val="001C6E10"/>
    <w:rsid w:val="001C70F4"/>
    <w:rsid w:val="001C7ECD"/>
    <w:rsid w:val="001D079C"/>
    <w:rsid w:val="001D11B7"/>
    <w:rsid w:val="001D17F1"/>
    <w:rsid w:val="001D24CA"/>
    <w:rsid w:val="001D4549"/>
    <w:rsid w:val="001D4B07"/>
    <w:rsid w:val="001D51A1"/>
    <w:rsid w:val="001D5329"/>
    <w:rsid w:val="001D6153"/>
    <w:rsid w:val="001E18AC"/>
    <w:rsid w:val="001E29F5"/>
    <w:rsid w:val="001E3947"/>
    <w:rsid w:val="001E5578"/>
    <w:rsid w:val="001E58EA"/>
    <w:rsid w:val="001E7562"/>
    <w:rsid w:val="001E76F5"/>
    <w:rsid w:val="001F04C2"/>
    <w:rsid w:val="001F0B43"/>
    <w:rsid w:val="001F162B"/>
    <w:rsid w:val="001F175A"/>
    <w:rsid w:val="001F190E"/>
    <w:rsid w:val="001F1C94"/>
    <w:rsid w:val="001F2ACD"/>
    <w:rsid w:val="001F46E2"/>
    <w:rsid w:val="001F4752"/>
    <w:rsid w:val="001F550D"/>
    <w:rsid w:val="001F65DA"/>
    <w:rsid w:val="001F6C64"/>
    <w:rsid w:val="001F756E"/>
    <w:rsid w:val="001F7B23"/>
    <w:rsid w:val="002015A6"/>
    <w:rsid w:val="00202F69"/>
    <w:rsid w:val="0020304E"/>
    <w:rsid w:val="00203180"/>
    <w:rsid w:val="002044CF"/>
    <w:rsid w:val="00204AC3"/>
    <w:rsid w:val="00204F4B"/>
    <w:rsid w:val="002054EB"/>
    <w:rsid w:val="00205866"/>
    <w:rsid w:val="0020597C"/>
    <w:rsid w:val="00205BAC"/>
    <w:rsid w:val="002063D6"/>
    <w:rsid w:val="00206D63"/>
    <w:rsid w:val="0020788A"/>
    <w:rsid w:val="00207E4A"/>
    <w:rsid w:val="002106FE"/>
    <w:rsid w:val="00211809"/>
    <w:rsid w:val="00212050"/>
    <w:rsid w:val="00213601"/>
    <w:rsid w:val="00213B49"/>
    <w:rsid w:val="00213E7E"/>
    <w:rsid w:val="002154D9"/>
    <w:rsid w:val="0021567B"/>
    <w:rsid w:val="00215DE0"/>
    <w:rsid w:val="00215E89"/>
    <w:rsid w:val="002210A2"/>
    <w:rsid w:val="0022113C"/>
    <w:rsid w:val="0022339E"/>
    <w:rsid w:val="00225830"/>
    <w:rsid w:val="00226326"/>
    <w:rsid w:val="00227835"/>
    <w:rsid w:val="0022793B"/>
    <w:rsid w:val="00230AF6"/>
    <w:rsid w:val="00231097"/>
    <w:rsid w:val="00233BCC"/>
    <w:rsid w:val="00234806"/>
    <w:rsid w:val="00235E12"/>
    <w:rsid w:val="00236112"/>
    <w:rsid w:val="00236901"/>
    <w:rsid w:val="00236E24"/>
    <w:rsid w:val="00236FBC"/>
    <w:rsid w:val="00243B75"/>
    <w:rsid w:val="00243EAE"/>
    <w:rsid w:val="002457CF"/>
    <w:rsid w:val="002460D6"/>
    <w:rsid w:val="0024698E"/>
    <w:rsid w:val="00246ECD"/>
    <w:rsid w:val="00247C0F"/>
    <w:rsid w:val="00247F5E"/>
    <w:rsid w:val="00250075"/>
    <w:rsid w:val="00252953"/>
    <w:rsid w:val="00254B59"/>
    <w:rsid w:val="0025643D"/>
    <w:rsid w:val="0025774D"/>
    <w:rsid w:val="0026056E"/>
    <w:rsid w:val="00261290"/>
    <w:rsid w:val="00262C7E"/>
    <w:rsid w:val="00263917"/>
    <w:rsid w:val="002648B5"/>
    <w:rsid w:val="00264A91"/>
    <w:rsid w:val="00264DE2"/>
    <w:rsid w:val="002654B3"/>
    <w:rsid w:val="00266C35"/>
    <w:rsid w:val="002670DE"/>
    <w:rsid w:val="00267564"/>
    <w:rsid w:val="00267867"/>
    <w:rsid w:val="00270355"/>
    <w:rsid w:val="00271168"/>
    <w:rsid w:val="00272E82"/>
    <w:rsid w:val="0027349E"/>
    <w:rsid w:val="0027372A"/>
    <w:rsid w:val="00274A0C"/>
    <w:rsid w:val="00275FD3"/>
    <w:rsid w:val="0027699B"/>
    <w:rsid w:val="00277782"/>
    <w:rsid w:val="00281DA0"/>
    <w:rsid w:val="00282259"/>
    <w:rsid w:val="0028263A"/>
    <w:rsid w:val="00282D96"/>
    <w:rsid w:val="002832E4"/>
    <w:rsid w:val="00283BA3"/>
    <w:rsid w:val="00284764"/>
    <w:rsid w:val="00284978"/>
    <w:rsid w:val="00284CD4"/>
    <w:rsid w:val="002856A4"/>
    <w:rsid w:val="0028628A"/>
    <w:rsid w:val="00287E78"/>
    <w:rsid w:val="00290712"/>
    <w:rsid w:val="00290A57"/>
    <w:rsid w:val="00291092"/>
    <w:rsid w:val="00292198"/>
    <w:rsid w:val="0029248E"/>
    <w:rsid w:val="0029275F"/>
    <w:rsid w:val="002929B9"/>
    <w:rsid w:val="00292E21"/>
    <w:rsid w:val="00293006"/>
    <w:rsid w:val="00293397"/>
    <w:rsid w:val="0029353B"/>
    <w:rsid w:val="00297E55"/>
    <w:rsid w:val="002A100C"/>
    <w:rsid w:val="002A1453"/>
    <w:rsid w:val="002A16F5"/>
    <w:rsid w:val="002A193D"/>
    <w:rsid w:val="002A1BCF"/>
    <w:rsid w:val="002A30D0"/>
    <w:rsid w:val="002A31E6"/>
    <w:rsid w:val="002A432C"/>
    <w:rsid w:val="002A455E"/>
    <w:rsid w:val="002A46E0"/>
    <w:rsid w:val="002A522D"/>
    <w:rsid w:val="002A653A"/>
    <w:rsid w:val="002A6C96"/>
    <w:rsid w:val="002B0489"/>
    <w:rsid w:val="002B0DEA"/>
    <w:rsid w:val="002B1D04"/>
    <w:rsid w:val="002B3549"/>
    <w:rsid w:val="002B366E"/>
    <w:rsid w:val="002B4209"/>
    <w:rsid w:val="002B437B"/>
    <w:rsid w:val="002B4442"/>
    <w:rsid w:val="002B55B7"/>
    <w:rsid w:val="002B7409"/>
    <w:rsid w:val="002B794F"/>
    <w:rsid w:val="002B7CBC"/>
    <w:rsid w:val="002C04FC"/>
    <w:rsid w:val="002C1295"/>
    <w:rsid w:val="002C15DC"/>
    <w:rsid w:val="002C1A76"/>
    <w:rsid w:val="002C1C98"/>
    <w:rsid w:val="002C2A46"/>
    <w:rsid w:val="002C3A3A"/>
    <w:rsid w:val="002C5430"/>
    <w:rsid w:val="002C61AC"/>
    <w:rsid w:val="002C6CC5"/>
    <w:rsid w:val="002C6FEC"/>
    <w:rsid w:val="002C701C"/>
    <w:rsid w:val="002C7DC6"/>
    <w:rsid w:val="002D0785"/>
    <w:rsid w:val="002D0C2F"/>
    <w:rsid w:val="002D0D4E"/>
    <w:rsid w:val="002D2042"/>
    <w:rsid w:val="002D208E"/>
    <w:rsid w:val="002D23BE"/>
    <w:rsid w:val="002D3422"/>
    <w:rsid w:val="002D6D2F"/>
    <w:rsid w:val="002D7495"/>
    <w:rsid w:val="002E1A3E"/>
    <w:rsid w:val="002E2934"/>
    <w:rsid w:val="002E31C3"/>
    <w:rsid w:val="002E4450"/>
    <w:rsid w:val="002E4F03"/>
    <w:rsid w:val="002E53B1"/>
    <w:rsid w:val="002E5DA9"/>
    <w:rsid w:val="002E667C"/>
    <w:rsid w:val="002F075B"/>
    <w:rsid w:val="002F0AEF"/>
    <w:rsid w:val="002F0CFA"/>
    <w:rsid w:val="002F0D41"/>
    <w:rsid w:val="002F1848"/>
    <w:rsid w:val="002F1B0D"/>
    <w:rsid w:val="002F22C4"/>
    <w:rsid w:val="002F3164"/>
    <w:rsid w:val="002F3BC1"/>
    <w:rsid w:val="002F46B1"/>
    <w:rsid w:val="002F52A6"/>
    <w:rsid w:val="002F5D57"/>
    <w:rsid w:val="002F682B"/>
    <w:rsid w:val="002F6E71"/>
    <w:rsid w:val="002F7305"/>
    <w:rsid w:val="002F7CFC"/>
    <w:rsid w:val="0030125E"/>
    <w:rsid w:val="003016A4"/>
    <w:rsid w:val="00302B5F"/>
    <w:rsid w:val="003037E5"/>
    <w:rsid w:val="003037F4"/>
    <w:rsid w:val="00304110"/>
    <w:rsid w:val="003046FC"/>
    <w:rsid w:val="003056B9"/>
    <w:rsid w:val="0030663A"/>
    <w:rsid w:val="003074CE"/>
    <w:rsid w:val="00307B49"/>
    <w:rsid w:val="0031139C"/>
    <w:rsid w:val="003116F9"/>
    <w:rsid w:val="00311EA6"/>
    <w:rsid w:val="00312138"/>
    <w:rsid w:val="003123BB"/>
    <w:rsid w:val="00313613"/>
    <w:rsid w:val="003136A4"/>
    <w:rsid w:val="0031457B"/>
    <w:rsid w:val="00314C48"/>
    <w:rsid w:val="00314F4B"/>
    <w:rsid w:val="00315484"/>
    <w:rsid w:val="00316F23"/>
    <w:rsid w:val="0031766D"/>
    <w:rsid w:val="003201C9"/>
    <w:rsid w:val="00320427"/>
    <w:rsid w:val="00320D3A"/>
    <w:rsid w:val="0032117F"/>
    <w:rsid w:val="00321847"/>
    <w:rsid w:val="00321F6D"/>
    <w:rsid w:val="00322876"/>
    <w:rsid w:val="00324208"/>
    <w:rsid w:val="00324575"/>
    <w:rsid w:val="00326358"/>
    <w:rsid w:val="00326BF4"/>
    <w:rsid w:val="00326C22"/>
    <w:rsid w:val="00326FB8"/>
    <w:rsid w:val="003309FC"/>
    <w:rsid w:val="00332177"/>
    <w:rsid w:val="00332ED9"/>
    <w:rsid w:val="003342A8"/>
    <w:rsid w:val="00335282"/>
    <w:rsid w:val="003364F8"/>
    <w:rsid w:val="00336709"/>
    <w:rsid w:val="003371C6"/>
    <w:rsid w:val="00337217"/>
    <w:rsid w:val="00337279"/>
    <w:rsid w:val="00340180"/>
    <w:rsid w:val="00340F54"/>
    <w:rsid w:val="003423D0"/>
    <w:rsid w:val="00343632"/>
    <w:rsid w:val="00343E14"/>
    <w:rsid w:val="0034617F"/>
    <w:rsid w:val="0034626A"/>
    <w:rsid w:val="003462DA"/>
    <w:rsid w:val="003463B6"/>
    <w:rsid w:val="003473CE"/>
    <w:rsid w:val="00350366"/>
    <w:rsid w:val="003509BD"/>
    <w:rsid w:val="00350FFC"/>
    <w:rsid w:val="00351446"/>
    <w:rsid w:val="00353FD7"/>
    <w:rsid w:val="00354505"/>
    <w:rsid w:val="00354711"/>
    <w:rsid w:val="00356976"/>
    <w:rsid w:val="00357535"/>
    <w:rsid w:val="00360E3F"/>
    <w:rsid w:val="00361DD0"/>
    <w:rsid w:val="003620B7"/>
    <w:rsid w:val="0036367D"/>
    <w:rsid w:val="00365EB0"/>
    <w:rsid w:val="003701A8"/>
    <w:rsid w:val="00371AD1"/>
    <w:rsid w:val="00375911"/>
    <w:rsid w:val="00375B40"/>
    <w:rsid w:val="00376273"/>
    <w:rsid w:val="00377242"/>
    <w:rsid w:val="00377688"/>
    <w:rsid w:val="003803A3"/>
    <w:rsid w:val="00381788"/>
    <w:rsid w:val="003819CA"/>
    <w:rsid w:val="003829DD"/>
    <w:rsid w:val="00382A52"/>
    <w:rsid w:val="003833DA"/>
    <w:rsid w:val="00383C7F"/>
    <w:rsid w:val="00383F73"/>
    <w:rsid w:val="0038660F"/>
    <w:rsid w:val="0038699C"/>
    <w:rsid w:val="00386BD3"/>
    <w:rsid w:val="003879AB"/>
    <w:rsid w:val="00390132"/>
    <w:rsid w:val="00390147"/>
    <w:rsid w:val="003926B2"/>
    <w:rsid w:val="00393719"/>
    <w:rsid w:val="003954C6"/>
    <w:rsid w:val="00395B93"/>
    <w:rsid w:val="00395B97"/>
    <w:rsid w:val="00395EB1"/>
    <w:rsid w:val="00396E91"/>
    <w:rsid w:val="003A1310"/>
    <w:rsid w:val="003A2C8B"/>
    <w:rsid w:val="003A3A5B"/>
    <w:rsid w:val="003A5684"/>
    <w:rsid w:val="003A61CB"/>
    <w:rsid w:val="003B1391"/>
    <w:rsid w:val="003B2A2C"/>
    <w:rsid w:val="003B2EEB"/>
    <w:rsid w:val="003B3695"/>
    <w:rsid w:val="003B3A43"/>
    <w:rsid w:val="003B5661"/>
    <w:rsid w:val="003B61E4"/>
    <w:rsid w:val="003B6DEE"/>
    <w:rsid w:val="003B7C08"/>
    <w:rsid w:val="003B7E7A"/>
    <w:rsid w:val="003C0471"/>
    <w:rsid w:val="003C1285"/>
    <w:rsid w:val="003C16C7"/>
    <w:rsid w:val="003C2140"/>
    <w:rsid w:val="003C2C71"/>
    <w:rsid w:val="003C3C40"/>
    <w:rsid w:val="003C3E35"/>
    <w:rsid w:val="003C5968"/>
    <w:rsid w:val="003C65C9"/>
    <w:rsid w:val="003C7965"/>
    <w:rsid w:val="003D05AA"/>
    <w:rsid w:val="003D2A1A"/>
    <w:rsid w:val="003D2D9C"/>
    <w:rsid w:val="003D3B50"/>
    <w:rsid w:val="003D3C98"/>
    <w:rsid w:val="003D3CB0"/>
    <w:rsid w:val="003D3D5B"/>
    <w:rsid w:val="003D5A40"/>
    <w:rsid w:val="003D71F0"/>
    <w:rsid w:val="003E04FC"/>
    <w:rsid w:val="003E1003"/>
    <w:rsid w:val="003E114B"/>
    <w:rsid w:val="003E1E4B"/>
    <w:rsid w:val="003E5F99"/>
    <w:rsid w:val="003E65FE"/>
    <w:rsid w:val="003E6F81"/>
    <w:rsid w:val="003F3C87"/>
    <w:rsid w:val="003F4AEB"/>
    <w:rsid w:val="003F4BFF"/>
    <w:rsid w:val="003F4F2C"/>
    <w:rsid w:val="003F6F8E"/>
    <w:rsid w:val="0040008F"/>
    <w:rsid w:val="00401F8B"/>
    <w:rsid w:val="00403C1E"/>
    <w:rsid w:val="00403EE8"/>
    <w:rsid w:val="004063DC"/>
    <w:rsid w:val="0040649D"/>
    <w:rsid w:val="00406D0F"/>
    <w:rsid w:val="004076C4"/>
    <w:rsid w:val="00407FB8"/>
    <w:rsid w:val="004106B5"/>
    <w:rsid w:val="00410B6A"/>
    <w:rsid w:val="00411D08"/>
    <w:rsid w:val="00412615"/>
    <w:rsid w:val="00413728"/>
    <w:rsid w:val="004144F7"/>
    <w:rsid w:val="0041477D"/>
    <w:rsid w:val="004149B5"/>
    <w:rsid w:val="00417935"/>
    <w:rsid w:val="00420213"/>
    <w:rsid w:val="00420B2B"/>
    <w:rsid w:val="00420EDB"/>
    <w:rsid w:val="0042134E"/>
    <w:rsid w:val="00421606"/>
    <w:rsid w:val="0042204E"/>
    <w:rsid w:val="004220F6"/>
    <w:rsid w:val="0042266F"/>
    <w:rsid w:val="004240AB"/>
    <w:rsid w:val="00424ECC"/>
    <w:rsid w:val="004252C8"/>
    <w:rsid w:val="00425841"/>
    <w:rsid w:val="004264D7"/>
    <w:rsid w:val="0042688D"/>
    <w:rsid w:val="00426CFF"/>
    <w:rsid w:val="004279FB"/>
    <w:rsid w:val="00430509"/>
    <w:rsid w:val="00430725"/>
    <w:rsid w:val="00430C49"/>
    <w:rsid w:val="004310A3"/>
    <w:rsid w:val="00432949"/>
    <w:rsid w:val="004332BA"/>
    <w:rsid w:val="00433DEC"/>
    <w:rsid w:val="0043489D"/>
    <w:rsid w:val="00434BFD"/>
    <w:rsid w:val="0043622E"/>
    <w:rsid w:val="00437D17"/>
    <w:rsid w:val="004414B7"/>
    <w:rsid w:val="004415FE"/>
    <w:rsid w:val="00442F7F"/>
    <w:rsid w:val="004447AD"/>
    <w:rsid w:val="00444A6F"/>
    <w:rsid w:val="004466DE"/>
    <w:rsid w:val="00446761"/>
    <w:rsid w:val="00446B00"/>
    <w:rsid w:val="0044733F"/>
    <w:rsid w:val="00447CAB"/>
    <w:rsid w:val="00450723"/>
    <w:rsid w:val="004507E8"/>
    <w:rsid w:val="0045139A"/>
    <w:rsid w:val="00451BB8"/>
    <w:rsid w:val="004546CF"/>
    <w:rsid w:val="00454B59"/>
    <w:rsid w:val="00454E6F"/>
    <w:rsid w:val="0045568F"/>
    <w:rsid w:val="00457429"/>
    <w:rsid w:val="004578DC"/>
    <w:rsid w:val="004617E1"/>
    <w:rsid w:val="004621E9"/>
    <w:rsid w:val="0046221A"/>
    <w:rsid w:val="00462723"/>
    <w:rsid w:val="00462FE7"/>
    <w:rsid w:val="004638E7"/>
    <w:rsid w:val="0046538B"/>
    <w:rsid w:val="004655A5"/>
    <w:rsid w:val="0047107E"/>
    <w:rsid w:val="00472BCF"/>
    <w:rsid w:val="00473477"/>
    <w:rsid w:val="00475A61"/>
    <w:rsid w:val="00477DF7"/>
    <w:rsid w:val="004806AA"/>
    <w:rsid w:val="00480AC6"/>
    <w:rsid w:val="00480B28"/>
    <w:rsid w:val="00483DB1"/>
    <w:rsid w:val="00484334"/>
    <w:rsid w:val="00484B83"/>
    <w:rsid w:val="0048595F"/>
    <w:rsid w:val="00490BBE"/>
    <w:rsid w:val="00492D65"/>
    <w:rsid w:val="00493152"/>
    <w:rsid w:val="00494501"/>
    <w:rsid w:val="00494E93"/>
    <w:rsid w:val="0049568D"/>
    <w:rsid w:val="00495C13"/>
    <w:rsid w:val="004960C5"/>
    <w:rsid w:val="004964E0"/>
    <w:rsid w:val="0049784F"/>
    <w:rsid w:val="004A29C7"/>
    <w:rsid w:val="004A2C08"/>
    <w:rsid w:val="004A3461"/>
    <w:rsid w:val="004A4C47"/>
    <w:rsid w:val="004A520C"/>
    <w:rsid w:val="004A5E3A"/>
    <w:rsid w:val="004A632D"/>
    <w:rsid w:val="004A770F"/>
    <w:rsid w:val="004A7A89"/>
    <w:rsid w:val="004B0C52"/>
    <w:rsid w:val="004B0F24"/>
    <w:rsid w:val="004B0F79"/>
    <w:rsid w:val="004B24E0"/>
    <w:rsid w:val="004B31A0"/>
    <w:rsid w:val="004B4A4D"/>
    <w:rsid w:val="004B5A6B"/>
    <w:rsid w:val="004B62E1"/>
    <w:rsid w:val="004B7B6A"/>
    <w:rsid w:val="004C0684"/>
    <w:rsid w:val="004C1B16"/>
    <w:rsid w:val="004C43A5"/>
    <w:rsid w:val="004C46A3"/>
    <w:rsid w:val="004C4ACB"/>
    <w:rsid w:val="004C7D74"/>
    <w:rsid w:val="004D0ECF"/>
    <w:rsid w:val="004D1B41"/>
    <w:rsid w:val="004D3C3F"/>
    <w:rsid w:val="004D41AF"/>
    <w:rsid w:val="004D4C4D"/>
    <w:rsid w:val="004D555B"/>
    <w:rsid w:val="004D578C"/>
    <w:rsid w:val="004D67A0"/>
    <w:rsid w:val="004E0E2F"/>
    <w:rsid w:val="004E1DC5"/>
    <w:rsid w:val="004E2F06"/>
    <w:rsid w:val="004E35AF"/>
    <w:rsid w:val="004E3CA0"/>
    <w:rsid w:val="004E3DE6"/>
    <w:rsid w:val="004E3E4E"/>
    <w:rsid w:val="004E4AAF"/>
    <w:rsid w:val="004E7130"/>
    <w:rsid w:val="004F04A1"/>
    <w:rsid w:val="004F0D92"/>
    <w:rsid w:val="004F1821"/>
    <w:rsid w:val="004F1FCD"/>
    <w:rsid w:val="004F4539"/>
    <w:rsid w:val="004F4C1B"/>
    <w:rsid w:val="004F5063"/>
    <w:rsid w:val="004F6289"/>
    <w:rsid w:val="005021AB"/>
    <w:rsid w:val="005028D6"/>
    <w:rsid w:val="005035EC"/>
    <w:rsid w:val="00504D93"/>
    <w:rsid w:val="00505AE8"/>
    <w:rsid w:val="00506E69"/>
    <w:rsid w:val="00506F64"/>
    <w:rsid w:val="0050774B"/>
    <w:rsid w:val="00510BCE"/>
    <w:rsid w:val="00510CD1"/>
    <w:rsid w:val="00511270"/>
    <w:rsid w:val="005136DD"/>
    <w:rsid w:val="005149F5"/>
    <w:rsid w:val="00514CEB"/>
    <w:rsid w:val="00515EEF"/>
    <w:rsid w:val="00517679"/>
    <w:rsid w:val="0052001D"/>
    <w:rsid w:val="00520751"/>
    <w:rsid w:val="00520DD1"/>
    <w:rsid w:val="00520ECF"/>
    <w:rsid w:val="00521101"/>
    <w:rsid w:val="00522981"/>
    <w:rsid w:val="00523750"/>
    <w:rsid w:val="00524222"/>
    <w:rsid w:val="005243F9"/>
    <w:rsid w:val="005259E0"/>
    <w:rsid w:val="0052621F"/>
    <w:rsid w:val="00527D73"/>
    <w:rsid w:val="00530BB4"/>
    <w:rsid w:val="005310E5"/>
    <w:rsid w:val="00533A4F"/>
    <w:rsid w:val="005363AE"/>
    <w:rsid w:val="005367D1"/>
    <w:rsid w:val="0053697B"/>
    <w:rsid w:val="0054137F"/>
    <w:rsid w:val="00541557"/>
    <w:rsid w:val="0054195A"/>
    <w:rsid w:val="00541F3D"/>
    <w:rsid w:val="00542643"/>
    <w:rsid w:val="005456DD"/>
    <w:rsid w:val="005459C2"/>
    <w:rsid w:val="005468F3"/>
    <w:rsid w:val="00546C64"/>
    <w:rsid w:val="00546F80"/>
    <w:rsid w:val="00547D15"/>
    <w:rsid w:val="00550939"/>
    <w:rsid w:val="00551504"/>
    <w:rsid w:val="005521C7"/>
    <w:rsid w:val="00552EEE"/>
    <w:rsid w:val="00553174"/>
    <w:rsid w:val="005537C9"/>
    <w:rsid w:val="00553B35"/>
    <w:rsid w:val="00554AB1"/>
    <w:rsid w:val="005557FA"/>
    <w:rsid w:val="00555A2F"/>
    <w:rsid w:val="00555E4C"/>
    <w:rsid w:val="00556259"/>
    <w:rsid w:val="0055748E"/>
    <w:rsid w:val="0056093F"/>
    <w:rsid w:val="00563CB7"/>
    <w:rsid w:val="005640BC"/>
    <w:rsid w:val="00564127"/>
    <w:rsid w:val="005659FB"/>
    <w:rsid w:val="00565D71"/>
    <w:rsid w:val="0056623D"/>
    <w:rsid w:val="00566412"/>
    <w:rsid w:val="00566FCD"/>
    <w:rsid w:val="00570966"/>
    <w:rsid w:val="00571C65"/>
    <w:rsid w:val="00571E82"/>
    <w:rsid w:val="0057233B"/>
    <w:rsid w:val="0057459D"/>
    <w:rsid w:val="005748BB"/>
    <w:rsid w:val="0057622E"/>
    <w:rsid w:val="00577751"/>
    <w:rsid w:val="00577FA8"/>
    <w:rsid w:val="00580167"/>
    <w:rsid w:val="00581055"/>
    <w:rsid w:val="00581D78"/>
    <w:rsid w:val="00582C19"/>
    <w:rsid w:val="00584F1A"/>
    <w:rsid w:val="0058772B"/>
    <w:rsid w:val="005879C1"/>
    <w:rsid w:val="00587DD4"/>
    <w:rsid w:val="00590032"/>
    <w:rsid w:val="005909CF"/>
    <w:rsid w:val="00590FC1"/>
    <w:rsid w:val="00591163"/>
    <w:rsid w:val="00591FED"/>
    <w:rsid w:val="005920A5"/>
    <w:rsid w:val="00592156"/>
    <w:rsid w:val="005928DF"/>
    <w:rsid w:val="005928EC"/>
    <w:rsid w:val="005937E2"/>
    <w:rsid w:val="00593C6F"/>
    <w:rsid w:val="00594CB9"/>
    <w:rsid w:val="00595145"/>
    <w:rsid w:val="00595168"/>
    <w:rsid w:val="005955D3"/>
    <w:rsid w:val="00595BEC"/>
    <w:rsid w:val="00595E11"/>
    <w:rsid w:val="00597BCE"/>
    <w:rsid w:val="005A000F"/>
    <w:rsid w:val="005A02A7"/>
    <w:rsid w:val="005A0827"/>
    <w:rsid w:val="005A0CAB"/>
    <w:rsid w:val="005A0ECB"/>
    <w:rsid w:val="005A1318"/>
    <w:rsid w:val="005A2D56"/>
    <w:rsid w:val="005A492D"/>
    <w:rsid w:val="005A5602"/>
    <w:rsid w:val="005A5B9B"/>
    <w:rsid w:val="005A5D2A"/>
    <w:rsid w:val="005A602A"/>
    <w:rsid w:val="005A6DFB"/>
    <w:rsid w:val="005B091F"/>
    <w:rsid w:val="005B17D7"/>
    <w:rsid w:val="005B1AC9"/>
    <w:rsid w:val="005B2C85"/>
    <w:rsid w:val="005B47DC"/>
    <w:rsid w:val="005B4A33"/>
    <w:rsid w:val="005B5164"/>
    <w:rsid w:val="005B5701"/>
    <w:rsid w:val="005B7DEB"/>
    <w:rsid w:val="005C060A"/>
    <w:rsid w:val="005C08D8"/>
    <w:rsid w:val="005C0940"/>
    <w:rsid w:val="005C0E84"/>
    <w:rsid w:val="005C11EF"/>
    <w:rsid w:val="005C35CA"/>
    <w:rsid w:val="005C486E"/>
    <w:rsid w:val="005C4AA0"/>
    <w:rsid w:val="005C6083"/>
    <w:rsid w:val="005C70A6"/>
    <w:rsid w:val="005C7AD3"/>
    <w:rsid w:val="005D0209"/>
    <w:rsid w:val="005D0CBF"/>
    <w:rsid w:val="005D123D"/>
    <w:rsid w:val="005D18FA"/>
    <w:rsid w:val="005D1B12"/>
    <w:rsid w:val="005D2890"/>
    <w:rsid w:val="005D2EDF"/>
    <w:rsid w:val="005D2FDC"/>
    <w:rsid w:val="005D4402"/>
    <w:rsid w:val="005D4EC7"/>
    <w:rsid w:val="005E02C3"/>
    <w:rsid w:val="005E041D"/>
    <w:rsid w:val="005E0752"/>
    <w:rsid w:val="005E07C3"/>
    <w:rsid w:val="005E0DAA"/>
    <w:rsid w:val="005E1324"/>
    <w:rsid w:val="005E4140"/>
    <w:rsid w:val="005E449B"/>
    <w:rsid w:val="005E5D1B"/>
    <w:rsid w:val="005E76A6"/>
    <w:rsid w:val="005E7AC5"/>
    <w:rsid w:val="005F1381"/>
    <w:rsid w:val="005F1B3C"/>
    <w:rsid w:val="005F28E1"/>
    <w:rsid w:val="005F4F0A"/>
    <w:rsid w:val="005F5415"/>
    <w:rsid w:val="005F55A5"/>
    <w:rsid w:val="005F5D82"/>
    <w:rsid w:val="005F6F15"/>
    <w:rsid w:val="005F7222"/>
    <w:rsid w:val="005F792A"/>
    <w:rsid w:val="006018C8"/>
    <w:rsid w:val="00601E69"/>
    <w:rsid w:val="00603681"/>
    <w:rsid w:val="00604574"/>
    <w:rsid w:val="00605AFD"/>
    <w:rsid w:val="00606533"/>
    <w:rsid w:val="00607260"/>
    <w:rsid w:val="00610448"/>
    <w:rsid w:val="00610D0D"/>
    <w:rsid w:val="00611390"/>
    <w:rsid w:val="006119AB"/>
    <w:rsid w:val="00612F32"/>
    <w:rsid w:val="006136FC"/>
    <w:rsid w:val="00614FB1"/>
    <w:rsid w:val="00615A8C"/>
    <w:rsid w:val="006166D7"/>
    <w:rsid w:val="00616D02"/>
    <w:rsid w:val="00620671"/>
    <w:rsid w:val="00620DFC"/>
    <w:rsid w:val="006210F1"/>
    <w:rsid w:val="00622D64"/>
    <w:rsid w:val="00623AEA"/>
    <w:rsid w:val="0062425B"/>
    <w:rsid w:val="006244D8"/>
    <w:rsid w:val="00624966"/>
    <w:rsid w:val="00624DB3"/>
    <w:rsid w:val="00624DCE"/>
    <w:rsid w:val="00625247"/>
    <w:rsid w:val="00626660"/>
    <w:rsid w:val="00630D86"/>
    <w:rsid w:val="00631612"/>
    <w:rsid w:val="00632E9A"/>
    <w:rsid w:val="00633808"/>
    <w:rsid w:val="0063557A"/>
    <w:rsid w:val="0063630C"/>
    <w:rsid w:val="00636C99"/>
    <w:rsid w:val="006370FA"/>
    <w:rsid w:val="00637DFC"/>
    <w:rsid w:val="006417AE"/>
    <w:rsid w:val="00641A5B"/>
    <w:rsid w:val="00642319"/>
    <w:rsid w:val="00642858"/>
    <w:rsid w:val="006440C4"/>
    <w:rsid w:val="0064485F"/>
    <w:rsid w:val="00644E96"/>
    <w:rsid w:val="006452BC"/>
    <w:rsid w:val="00647889"/>
    <w:rsid w:val="00650619"/>
    <w:rsid w:val="00652C43"/>
    <w:rsid w:val="006535D8"/>
    <w:rsid w:val="00660868"/>
    <w:rsid w:val="00660918"/>
    <w:rsid w:val="0066192A"/>
    <w:rsid w:val="00661B55"/>
    <w:rsid w:val="006623BE"/>
    <w:rsid w:val="0066333C"/>
    <w:rsid w:val="0066420D"/>
    <w:rsid w:val="006647DE"/>
    <w:rsid w:val="00665B07"/>
    <w:rsid w:val="00665CCE"/>
    <w:rsid w:val="0066657F"/>
    <w:rsid w:val="00666960"/>
    <w:rsid w:val="00667CB8"/>
    <w:rsid w:val="00670214"/>
    <w:rsid w:val="00670987"/>
    <w:rsid w:val="00670B61"/>
    <w:rsid w:val="00671205"/>
    <w:rsid w:val="006713EA"/>
    <w:rsid w:val="00674892"/>
    <w:rsid w:val="0067505E"/>
    <w:rsid w:val="00675861"/>
    <w:rsid w:val="00677430"/>
    <w:rsid w:val="006776BF"/>
    <w:rsid w:val="006810AB"/>
    <w:rsid w:val="006811EE"/>
    <w:rsid w:val="00681232"/>
    <w:rsid w:val="00681B16"/>
    <w:rsid w:val="00681C74"/>
    <w:rsid w:val="006822D0"/>
    <w:rsid w:val="00682AED"/>
    <w:rsid w:val="00683A42"/>
    <w:rsid w:val="006841C8"/>
    <w:rsid w:val="00684388"/>
    <w:rsid w:val="006848CE"/>
    <w:rsid w:val="006849F3"/>
    <w:rsid w:val="0068616C"/>
    <w:rsid w:val="0068681B"/>
    <w:rsid w:val="00686A03"/>
    <w:rsid w:val="00686EC6"/>
    <w:rsid w:val="006878B5"/>
    <w:rsid w:val="0069032B"/>
    <w:rsid w:val="00690EC7"/>
    <w:rsid w:val="00691B14"/>
    <w:rsid w:val="00692366"/>
    <w:rsid w:val="00693803"/>
    <w:rsid w:val="0069442A"/>
    <w:rsid w:val="00695BE8"/>
    <w:rsid w:val="00696C37"/>
    <w:rsid w:val="00697E2D"/>
    <w:rsid w:val="006A08AF"/>
    <w:rsid w:val="006A1A36"/>
    <w:rsid w:val="006A1D4A"/>
    <w:rsid w:val="006A23BE"/>
    <w:rsid w:val="006A30DF"/>
    <w:rsid w:val="006A45BB"/>
    <w:rsid w:val="006A4B3B"/>
    <w:rsid w:val="006A51A5"/>
    <w:rsid w:val="006A5B0E"/>
    <w:rsid w:val="006A62D7"/>
    <w:rsid w:val="006A6991"/>
    <w:rsid w:val="006A7ACD"/>
    <w:rsid w:val="006A7F14"/>
    <w:rsid w:val="006B09D0"/>
    <w:rsid w:val="006B16A9"/>
    <w:rsid w:val="006B1AB9"/>
    <w:rsid w:val="006B1C3F"/>
    <w:rsid w:val="006B4365"/>
    <w:rsid w:val="006C06E0"/>
    <w:rsid w:val="006C1370"/>
    <w:rsid w:val="006C1EA4"/>
    <w:rsid w:val="006C1F72"/>
    <w:rsid w:val="006C30A9"/>
    <w:rsid w:val="006C5564"/>
    <w:rsid w:val="006C5994"/>
    <w:rsid w:val="006C699B"/>
    <w:rsid w:val="006C79BF"/>
    <w:rsid w:val="006C7A1F"/>
    <w:rsid w:val="006D0CFA"/>
    <w:rsid w:val="006D1D3B"/>
    <w:rsid w:val="006D3DB0"/>
    <w:rsid w:val="006D5A79"/>
    <w:rsid w:val="006D6015"/>
    <w:rsid w:val="006D7380"/>
    <w:rsid w:val="006D79E5"/>
    <w:rsid w:val="006E1400"/>
    <w:rsid w:val="006E217E"/>
    <w:rsid w:val="006E221C"/>
    <w:rsid w:val="006E3D9C"/>
    <w:rsid w:val="006E3FC5"/>
    <w:rsid w:val="006E5963"/>
    <w:rsid w:val="006E7793"/>
    <w:rsid w:val="006E7B34"/>
    <w:rsid w:val="006E7E16"/>
    <w:rsid w:val="006F1E91"/>
    <w:rsid w:val="006F33FD"/>
    <w:rsid w:val="006F4455"/>
    <w:rsid w:val="006F4957"/>
    <w:rsid w:val="006F5E88"/>
    <w:rsid w:val="006F60BB"/>
    <w:rsid w:val="006F7563"/>
    <w:rsid w:val="00701409"/>
    <w:rsid w:val="00702D9C"/>
    <w:rsid w:val="0070425D"/>
    <w:rsid w:val="00705736"/>
    <w:rsid w:val="007059B2"/>
    <w:rsid w:val="00705A6E"/>
    <w:rsid w:val="00705EC3"/>
    <w:rsid w:val="007069E4"/>
    <w:rsid w:val="00706C0D"/>
    <w:rsid w:val="0070785D"/>
    <w:rsid w:val="00710716"/>
    <w:rsid w:val="00710A99"/>
    <w:rsid w:val="00711D25"/>
    <w:rsid w:val="007127D0"/>
    <w:rsid w:val="007133AC"/>
    <w:rsid w:val="007154AF"/>
    <w:rsid w:val="00716247"/>
    <w:rsid w:val="007166EC"/>
    <w:rsid w:val="00716D63"/>
    <w:rsid w:val="007172A3"/>
    <w:rsid w:val="007174A0"/>
    <w:rsid w:val="00717CFE"/>
    <w:rsid w:val="007225D3"/>
    <w:rsid w:val="0072320F"/>
    <w:rsid w:val="00723622"/>
    <w:rsid w:val="0072365C"/>
    <w:rsid w:val="00725F12"/>
    <w:rsid w:val="00726C7D"/>
    <w:rsid w:val="0072771B"/>
    <w:rsid w:val="00727B8D"/>
    <w:rsid w:val="007316AB"/>
    <w:rsid w:val="007326C7"/>
    <w:rsid w:val="007332FD"/>
    <w:rsid w:val="00734FA4"/>
    <w:rsid w:val="00736408"/>
    <w:rsid w:val="007375AC"/>
    <w:rsid w:val="00740F7A"/>
    <w:rsid w:val="007410C4"/>
    <w:rsid w:val="007423C7"/>
    <w:rsid w:val="0074352E"/>
    <w:rsid w:val="00744743"/>
    <w:rsid w:val="00744D86"/>
    <w:rsid w:val="00744D8C"/>
    <w:rsid w:val="00745DBD"/>
    <w:rsid w:val="00745E3C"/>
    <w:rsid w:val="007467D2"/>
    <w:rsid w:val="0074762D"/>
    <w:rsid w:val="00747938"/>
    <w:rsid w:val="00750A3B"/>
    <w:rsid w:val="00751975"/>
    <w:rsid w:val="007525E5"/>
    <w:rsid w:val="00753301"/>
    <w:rsid w:val="00754F2D"/>
    <w:rsid w:val="00755005"/>
    <w:rsid w:val="007554BF"/>
    <w:rsid w:val="007563A5"/>
    <w:rsid w:val="00756DC9"/>
    <w:rsid w:val="00756EAD"/>
    <w:rsid w:val="0075786A"/>
    <w:rsid w:val="007578BA"/>
    <w:rsid w:val="00757C2D"/>
    <w:rsid w:val="00760A33"/>
    <w:rsid w:val="00761A23"/>
    <w:rsid w:val="00762632"/>
    <w:rsid w:val="00762A66"/>
    <w:rsid w:val="007635DA"/>
    <w:rsid w:val="007636A7"/>
    <w:rsid w:val="00763E61"/>
    <w:rsid w:val="00764056"/>
    <w:rsid w:val="00764B39"/>
    <w:rsid w:val="0076568E"/>
    <w:rsid w:val="00765A28"/>
    <w:rsid w:val="00766292"/>
    <w:rsid w:val="007674B5"/>
    <w:rsid w:val="007700E5"/>
    <w:rsid w:val="00770C2E"/>
    <w:rsid w:val="00771E3B"/>
    <w:rsid w:val="00772816"/>
    <w:rsid w:val="00772B2D"/>
    <w:rsid w:val="00772BAB"/>
    <w:rsid w:val="00773C61"/>
    <w:rsid w:val="00774496"/>
    <w:rsid w:val="007747F0"/>
    <w:rsid w:val="007751D2"/>
    <w:rsid w:val="00775564"/>
    <w:rsid w:val="007756D7"/>
    <w:rsid w:val="0077630F"/>
    <w:rsid w:val="0077751A"/>
    <w:rsid w:val="0078108B"/>
    <w:rsid w:val="00781897"/>
    <w:rsid w:val="007820EC"/>
    <w:rsid w:val="0078232B"/>
    <w:rsid w:val="0078245E"/>
    <w:rsid w:val="00782550"/>
    <w:rsid w:val="0078292C"/>
    <w:rsid w:val="007831BC"/>
    <w:rsid w:val="00783512"/>
    <w:rsid w:val="007849A9"/>
    <w:rsid w:val="00785090"/>
    <w:rsid w:val="007850AF"/>
    <w:rsid w:val="00786A5A"/>
    <w:rsid w:val="00786CC4"/>
    <w:rsid w:val="00787B52"/>
    <w:rsid w:val="007901A0"/>
    <w:rsid w:val="00790A71"/>
    <w:rsid w:val="00791FEE"/>
    <w:rsid w:val="0079251D"/>
    <w:rsid w:val="00792D3A"/>
    <w:rsid w:val="00793611"/>
    <w:rsid w:val="007939D3"/>
    <w:rsid w:val="00793DF1"/>
    <w:rsid w:val="00794684"/>
    <w:rsid w:val="0079476C"/>
    <w:rsid w:val="007948E4"/>
    <w:rsid w:val="007952AA"/>
    <w:rsid w:val="00795EBD"/>
    <w:rsid w:val="0079664E"/>
    <w:rsid w:val="00796A7C"/>
    <w:rsid w:val="00796EC8"/>
    <w:rsid w:val="007A0A40"/>
    <w:rsid w:val="007A143F"/>
    <w:rsid w:val="007A30A5"/>
    <w:rsid w:val="007A3138"/>
    <w:rsid w:val="007A4225"/>
    <w:rsid w:val="007A49EF"/>
    <w:rsid w:val="007A571D"/>
    <w:rsid w:val="007A5EF9"/>
    <w:rsid w:val="007B0131"/>
    <w:rsid w:val="007B0383"/>
    <w:rsid w:val="007B07D7"/>
    <w:rsid w:val="007B0998"/>
    <w:rsid w:val="007B0BE1"/>
    <w:rsid w:val="007B3E8A"/>
    <w:rsid w:val="007B608E"/>
    <w:rsid w:val="007B6C12"/>
    <w:rsid w:val="007B7531"/>
    <w:rsid w:val="007C3E78"/>
    <w:rsid w:val="007C563A"/>
    <w:rsid w:val="007C56A4"/>
    <w:rsid w:val="007C57C4"/>
    <w:rsid w:val="007C5FCA"/>
    <w:rsid w:val="007C76E4"/>
    <w:rsid w:val="007D0D76"/>
    <w:rsid w:val="007D0DFA"/>
    <w:rsid w:val="007D0F2A"/>
    <w:rsid w:val="007D27C5"/>
    <w:rsid w:val="007D2AA8"/>
    <w:rsid w:val="007D4942"/>
    <w:rsid w:val="007D52D6"/>
    <w:rsid w:val="007D5770"/>
    <w:rsid w:val="007D57A9"/>
    <w:rsid w:val="007D59DD"/>
    <w:rsid w:val="007D6A05"/>
    <w:rsid w:val="007D6CB1"/>
    <w:rsid w:val="007D7718"/>
    <w:rsid w:val="007D7EF9"/>
    <w:rsid w:val="007E056D"/>
    <w:rsid w:val="007E135A"/>
    <w:rsid w:val="007E1DB6"/>
    <w:rsid w:val="007E4F95"/>
    <w:rsid w:val="007E5164"/>
    <w:rsid w:val="007E5F57"/>
    <w:rsid w:val="007E67C9"/>
    <w:rsid w:val="007E682C"/>
    <w:rsid w:val="007E6CA8"/>
    <w:rsid w:val="007E6D29"/>
    <w:rsid w:val="007F1AF2"/>
    <w:rsid w:val="007F2077"/>
    <w:rsid w:val="007F3B7F"/>
    <w:rsid w:val="007F40C4"/>
    <w:rsid w:val="007F4E78"/>
    <w:rsid w:val="007F538F"/>
    <w:rsid w:val="007F54E5"/>
    <w:rsid w:val="007F564D"/>
    <w:rsid w:val="007F5A5F"/>
    <w:rsid w:val="007F5F0A"/>
    <w:rsid w:val="007F676F"/>
    <w:rsid w:val="00800604"/>
    <w:rsid w:val="00800945"/>
    <w:rsid w:val="00802771"/>
    <w:rsid w:val="0080427A"/>
    <w:rsid w:val="00804678"/>
    <w:rsid w:val="00806139"/>
    <w:rsid w:val="0081328D"/>
    <w:rsid w:val="00813EAE"/>
    <w:rsid w:val="00814057"/>
    <w:rsid w:val="008144F1"/>
    <w:rsid w:val="00815B1B"/>
    <w:rsid w:val="00815BE4"/>
    <w:rsid w:val="00815F91"/>
    <w:rsid w:val="00816D08"/>
    <w:rsid w:val="008172AD"/>
    <w:rsid w:val="008208B5"/>
    <w:rsid w:val="008212FD"/>
    <w:rsid w:val="008214FF"/>
    <w:rsid w:val="0082179E"/>
    <w:rsid w:val="00822E5F"/>
    <w:rsid w:val="008230BD"/>
    <w:rsid w:val="0082422A"/>
    <w:rsid w:val="00826072"/>
    <w:rsid w:val="008263F0"/>
    <w:rsid w:val="008268CF"/>
    <w:rsid w:val="00827678"/>
    <w:rsid w:val="0083054E"/>
    <w:rsid w:val="0083071B"/>
    <w:rsid w:val="00830E14"/>
    <w:rsid w:val="00831153"/>
    <w:rsid w:val="0083259F"/>
    <w:rsid w:val="00834813"/>
    <w:rsid w:val="00835786"/>
    <w:rsid w:val="00835798"/>
    <w:rsid w:val="008370AB"/>
    <w:rsid w:val="0083744D"/>
    <w:rsid w:val="00841998"/>
    <w:rsid w:val="00842606"/>
    <w:rsid w:val="00842B40"/>
    <w:rsid w:val="00843A5A"/>
    <w:rsid w:val="008448FF"/>
    <w:rsid w:val="00844A1E"/>
    <w:rsid w:val="008452C1"/>
    <w:rsid w:val="00846298"/>
    <w:rsid w:val="0084640F"/>
    <w:rsid w:val="008473FE"/>
    <w:rsid w:val="00850B81"/>
    <w:rsid w:val="008511F4"/>
    <w:rsid w:val="00851B3A"/>
    <w:rsid w:val="00852137"/>
    <w:rsid w:val="008542D3"/>
    <w:rsid w:val="00854626"/>
    <w:rsid w:val="00854B01"/>
    <w:rsid w:val="008554CA"/>
    <w:rsid w:val="00856E09"/>
    <w:rsid w:val="00856EE4"/>
    <w:rsid w:val="0085709A"/>
    <w:rsid w:val="008570E8"/>
    <w:rsid w:val="0085712D"/>
    <w:rsid w:val="00860B03"/>
    <w:rsid w:val="0086229A"/>
    <w:rsid w:val="00866E72"/>
    <w:rsid w:val="008671CE"/>
    <w:rsid w:val="008706FC"/>
    <w:rsid w:val="00870C3B"/>
    <w:rsid w:val="008742BB"/>
    <w:rsid w:val="0087449E"/>
    <w:rsid w:val="00875659"/>
    <w:rsid w:val="0087610E"/>
    <w:rsid w:val="00876DD2"/>
    <w:rsid w:val="00877194"/>
    <w:rsid w:val="00877358"/>
    <w:rsid w:val="008774BA"/>
    <w:rsid w:val="00877979"/>
    <w:rsid w:val="00877990"/>
    <w:rsid w:val="00877FC4"/>
    <w:rsid w:val="00880197"/>
    <w:rsid w:val="0088035C"/>
    <w:rsid w:val="00880919"/>
    <w:rsid w:val="00880E27"/>
    <w:rsid w:val="0088185D"/>
    <w:rsid w:val="00881F6E"/>
    <w:rsid w:val="0088240C"/>
    <w:rsid w:val="008824D0"/>
    <w:rsid w:val="008836E7"/>
    <w:rsid w:val="008856C7"/>
    <w:rsid w:val="00885760"/>
    <w:rsid w:val="008858B9"/>
    <w:rsid w:val="0088767A"/>
    <w:rsid w:val="00887CFA"/>
    <w:rsid w:val="00890457"/>
    <w:rsid w:val="008915D7"/>
    <w:rsid w:val="00891CFD"/>
    <w:rsid w:val="00894B40"/>
    <w:rsid w:val="00895A00"/>
    <w:rsid w:val="008962EE"/>
    <w:rsid w:val="008964DE"/>
    <w:rsid w:val="00896DB8"/>
    <w:rsid w:val="00896E37"/>
    <w:rsid w:val="008A0347"/>
    <w:rsid w:val="008A0D15"/>
    <w:rsid w:val="008A1F94"/>
    <w:rsid w:val="008A3E44"/>
    <w:rsid w:val="008A4919"/>
    <w:rsid w:val="008B06AE"/>
    <w:rsid w:val="008B251F"/>
    <w:rsid w:val="008B4C49"/>
    <w:rsid w:val="008B5863"/>
    <w:rsid w:val="008C0203"/>
    <w:rsid w:val="008C0C60"/>
    <w:rsid w:val="008C2047"/>
    <w:rsid w:val="008C2426"/>
    <w:rsid w:val="008C2825"/>
    <w:rsid w:val="008C34FC"/>
    <w:rsid w:val="008C4F2B"/>
    <w:rsid w:val="008C56D6"/>
    <w:rsid w:val="008C68C8"/>
    <w:rsid w:val="008C7367"/>
    <w:rsid w:val="008C7532"/>
    <w:rsid w:val="008D0D23"/>
    <w:rsid w:val="008D0E2A"/>
    <w:rsid w:val="008D1658"/>
    <w:rsid w:val="008D237A"/>
    <w:rsid w:val="008D2740"/>
    <w:rsid w:val="008D32D4"/>
    <w:rsid w:val="008D3EF8"/>
    <w:rsid w:val="008D5F87"/>
    <w:rsid w:val="008D6E34"/>
    <w:rsid w:val="008D6E75"/>
    <w:rsid w:val="008E00CA"/>
    <w:rsid w:val="008E1394"/>
    <w:rsid w:val="008E232D"/>
    <w:rsid w:val="008E241F"/>
    <w:rsid w:val="008E30E5"/>
    <w:rsid w:val="008E49DD"/>
    <w:rsid w:val="008E7EBF"/>
    <w:rsid w:val="008F2623"/>
    <w:rsid w:val="008F2F1D"/>
    <w:rsid w:val="008F3801"/>
    <w:rsid w:val="008F45A9"/>
    <w:rsid w:val="008F5E39"/>
    <w:rsid w:val="008F6CC1"/>
    <w:rsid w:val="008F744E"/>
    <w:rsid w:val="008F7DB5"/>
    <w:rsid w:val="00900334"/>
    <w:rsid w:val="00900FF9"/>
    <w:rsid w:val="00901DA1"/>
    <w:rsid w:val="009024C4"/>
    <w:rsid w:val="00902F10"/>
    <w:rsid w:val="00902F54"/>
    <w:rsid w:val="009034C5"/>
    <w:rsid w:val="009039EA"/>
    <w:rsid w:val="00905209"/>
    <w:rsid w:val="00907E1F"/>
    <w:rsid w:val="0091045B"/>
    <w:rsid w:val="00911C3F"/>
    <w:rsid w:val="00911E0F"/>
    <w:rsid w:val="00912204"/>
    <w:rsid w:val="00912E74"/>
    <w:rsid w:val="0091356F"/>
    <w:rsid w:val="0091438F"/>
    <w:rsid w:val="00914FAF"/>
    <w:rsid w:val="00922C3E"/>
    <w:rsid w:val="0092419D"/>
    <w:rsid w:val="00925325"/>
    <w:rsid w:val="009255DA"/>
    <w:rsid w:val="009257DD"/>
    <w:rsid w:val="00925BC7"/>
    <w:rsid w:val="009261D9"/>
    <w:rsid w:val="0093148F"/>
    <w:rsid w:val="0093213F"/>
    <w:rsid w:val="009329A6"/>
    <w:rsid w:val="00932D93"/>
    <w:rsid w:val="00933975"/>
    <w:rsid w:val="00935E3D"/>
    <w:rsid w:val="00935E81"/>
    <w:rsid w:val="009361A3"/>
    <w:rsid w:val="00937360"/>
    <w:rsid w:val="0093795D"/>
    <w:rsid w:val="00941873"/>
    <w:rsid w:val="009418C6"/>
    <w:rsid w:val="00942E4B"/>
    <w:rsid w:val="00943383"/>
    <w:rsid w:val="00943540"/>
    <w:rsid w:val="00943573"/>
    <w:rsid w:val="009435AA"/>
    <w:rsid w:val="009451B1"/>
    <w:rsid w:val="00945704"/>
    <w:rsid w:val="009510EB"/>
    <w:rsid w:val="00951E47"/>
    <w:rsid w:val="00952BC3"/>
    <w:rsid w:val="00955B71"/>
    <w:rsid w:val="009570B0"/>
    <w:rsid w:val="00957B45"/>
    <w:rsid w:val="00960D91"/>
    <w:rsid w:val="00963703"/>
    <w:rsid w:val="00964DE2"/>
    <w:rsid w:val="009653DB"/>
    <w:rsid w:val="009661EB"/>
    <w:rsid w:val="00966FB2"/>
    <w:rsid w:val="00970C46"/>
    <w:rsid w:val="0097180B"/>
    <w:rsid w:val="009728AD"/>
    <w:rsid w:val="0097389B"/>
    <w:rsid w:val="00973B87"/>
    <w:rsid w:val="00973D45"/>
    <w:rsid w:val="0097449D"/>
    <w:rsid w:val="00974880"/>
    <w:rsid w:val="009750EF"/>
    <w:rsid w:val="009753B9"/>
    <w:rsid w:val="009753EB"/>
    <w:rsid w:val="00980353"/>
    <w:rsid w:val="009827B0"/>
    <w:rsid w:val="00982AC2"/>
    <w:rsid w:val="0098398D"/>
    <w:rsid w:val="0098468D"/>
    <w:rsid w:val="0098472B"/>
    <w:rsid w:val="0098481A"/>
    <w:rsid w:val="00986578"/>
    <w:rsid w:val="00987A8F"/>
    <w:rsid w:val="009912AF"/>
    <w:rsid w:val="00994AEC"/>
    <w:rsid w:val="009957EE"/>
    <w:rsid w:val="009A0381"/>
    <w:rsid w:val="009A0977"/>
    <w:rsid w:val="009A19DA"/>
    <w:rsid w:val="009A203C"/>
    <w:rsid w:val="009A43E0"/>
    <w:rsid w:val="009A5AA5"/>
    <w:rsid w:val="009A607C"/>
    <w:rsid w:val="009A6609"/>
    <w:rsid w:val="009A695F"/>
    <w:rsid w:val="009A7D35"/>
    <w:rsid w:val="009B1AD1"/>
    <w:rsid w:val="009B1CF1"/>
    <w:rsid w:val="009B2CA2"/>
    <w:rsid w:val="009B2D92"/>
    <w:rsid w:val="009B315C"/>
    <w:rsid w:val="009B3E42"/>
    <w:rsid w:val="009B74E9"/>
    <w:rsid w:val="009B7696"/>
    <w:rsid w:val="009B7708"/>
    <w:rsid w:val="009C2516"/>
    <w:rsid w:val="009C3CD0"/>
    <w:rsid w:val="009C3D98"/>
    <w:rsid w:val="009C5558"/>
    <w:rsid w:val="009C6BCD"/>
    <w:rsid w:val="009C7427"/>
    <w:rsid w:val="009D06E5"/>
    <w:rsid w:val="009D0CC9"/>
    <w:rsid w:val="009D0CE2"/>
    <w:rsid w:val="009D2801"/>
    <w:rsid w:val="009D2BFA"/>
    <w:rsid w:val="009D2CFD"/>
    <w:rsid w:val="009D32AB"/>
    <w:rsid w:val="009D6B8A"/>
    <w:rsid w:val="009D6B93"/>
    <w:rsid w:val="009D6D32"/>
    <w:rsid w:val="009D7F29"/>
    <w:rsid w:val="009D7FDB"/>
    <w:rsid w:val="009E02DB"/>
    <w:rsid w:val="009E0752"/>
    <w:rsid w:val="009E27EE"/>
    <w:rsid w:val="009E2A33"/>
    <w:rsid w:val="009E2D86"/>
    <w:rsid w:val="009E3731"/>
    <w:rsid w:val="009E47B5"/>
    <w:rsid w:val="009E52B1"/>
    <w:rsid w:val="009E58C2"/>
    <w:rsid w:val="009E59D2"/>
    <w:rsid w:val="009E6B2A"/>
    <w:rsid w:val="009E6FE7"/>
    <w:rsid w:val="009F14CC"/>
    <w:rsid w:val="009F1A5E"/>
    <w:rsid w:val="009F2807"/>
    <w:rsid w:val="009F389D"/>
    <w:rsid w:val="009F4348"/>
    <w:rsid w:val="009F43A6"/>
    <w:rsid w:val="009F4F8F"/>
    <w:rsid w:val="009F5C7D"/>
    <w:rsid w:val="009F67EB"/>
    <w:rsid w:val="009F6B76"/>
    <w:rsid w:val="009F6EA6"/>
    <w:rsid w:val="009F7271"/>
    <w:rsid w:val="00A000F2"/>
    <w:rsid w:val="00A0091A"/>
    <w:rsid w:val="00A01AFE"/>
    <w:rsid w:val="00A01C34"/>
    <w:rsid w:val="00A03727"/>
    <w:rsid w:val="00A04583"/>
    <w:rsid w:val="00A0474A"/>
    <w:rsid w:val="00A04B01"/>
    <w:rsid w:val="00A04F67"/>
    <w:rsid w:val="00A0749F"/>
    <w:rsid w:val="00A10FE1"/>
    <w:rsid w:val="00A121DA"/>
    <w:rsid w:val="00A12881"/>
    <w:rsid w:val="00A135CD"/>
    <w:rsid w:val="00A142A9"/>
    <w:rsid w:val="00A14734"/>
    <w:rsid w:val="00A14B5F"/>
    <w:rsid w:val="00A152A2"/>
    <w:rsid w:val="00A1599A"/>
    <w:rsid w:val="00A17C3C"/>
    <w:rsid w:val="00A20F97"/>
    <w:rsid w:val="00A21FC0"/>
    <w:rsid w:val="00A2247B"/>
    <w:rsid w:val="00A22621"/>
    <w:rsid w:val="00A22763"/>
    <w:rsid w:val="00A23A36"/>
    <w:rsid w:val="00A2437E"/>
    <w:rsid w:val="00A24A87"/>
    <w:rsid w:val="00A24FCC"/>
    <w:rsid w:val="00A26286"/>
    <w:rsid w:val="00A3130D"/>
    <w:rsid w:val="00A31CA0"/>
    <w:rsid w:val="00A31F34"/>
    <w:rsid w:val="00A325E7"/>
    <w:rsid w:val="00A32D26"/>
    <w:rsid w:val="00A33EB3"/>
    <w:rsid w:val="00A3423A"/>
    <w:rsid w:val="00A35095"/>
    <w:rsid w:val="00A40F46"/>
    <w:rsid w:val="00A42F3A"/>
    <w:rsid w:val="00A4486F"/>
    <w:rsid w:val="00A449AB"/>
    <w:rsid w:val="00A4561B"/>
    <w:rsid w:val="00A47334"/>
    <w:rsid w:val="00A523B2"/>
    <w:rsid w:val="00A53801"/>
    <w:rsid w:val="00A53FE2"/>
    <w:rsid w:val="00A556C5"/>
    <w:rsid w:val="00A563AA"/>
    <w:rsid w:val="00A56922"/>
    <w:rsid w:val="00A569DE"/>
    <w:rsid w:val="00A56A29"/>
    <w:rsid w:val="00A56FB2"/>
    <w:rsid w:val="00A60F47"/>
    <w:rsid w:val="00A61FC6"/>
    <w:rsid w:val="00A632BD"/>
    <w:rsid w:val="00A646E0"/>
    <w:rsid w:val="00A64AEA"/>
    <w:rsid w:val="00A64E86"/>
    <w:rsid w:val="00A6698C"/>
    <w:rsid w:val="00A67313"/>
    <w:rsid w:val="00A704C7"/>
    <w:rsid w:val="00A70602"/>
    <w:rsid w:val="00A7076D"/>
    <w:rsid w:val="00A708D6"/>
    <w:rsid w:val="00A70F12"/>
    <w:rsid w:val="00A7212C"/>
    <w:rsid w:val="00A72719"/>
    <w:rsid w:val="00A73874"/>
    <w:rsid w:val="00A73E30"/>
    <w:rsid w:val="00A74CAD"/>
    <w:rsid w:val="00A75AAA"/>
    <w:rsid w:val="00A75B31"/>
    <w:rsid w:val="00A76CE3"/>
    <w:rsid w:val="00A8142F"/>
    <w:rsid w:val="00A83ED1"/>
    <w:rsid w:val="00A90266"/>
    <w:rsid w:val="00A90A5D"/>
    <w:rsid w:val="00A934E5"/>
    <w:rsid w:val="00A94D26"/>
    <w:rsid w:val="00A9615F"/>
    <w:rsid w:val="00A96C06"/>
    <w:rsid w:val="00AA0D02"/>
    <w:rsid w:val="00AA17AE"/>
    <w:rsid w:val="00AA1B30"/>
    <w:rsid w:val="00AA282A"/>
    <w:rsid w:val="00AA2B57"/>
    <w:rsid w:val="00AA77C1"/>
    <w:rsid w:val="00AA7B42"/>
    <w:rsid w:val="00AB0365"/>
    <w:rsid w:val="00AB0864"/>
    <w:rsid w:val="00AB0BC1"/>
    <w:rsid w:val="00AB0CAD"/>
    <w:rsid w:val="00AB1686"/>
    <w:rsid w:val="00AB2466"/>
    <w:rsid w:val="00AB28A0"/>
    <w:rsid w:val="00AB4BAF"/>
    <w:rsid w:val="00AB5077"/>
    <w:rsid w:val="00AB531E"/>
    <w:rsid w:val="00AB5402"/>
    <w:rsid w:val="00AB6DE6"/>
    <w:rsid w:val="00AB7E0F"/>
    <w:rsid w:val="00AC126D"/>
    <w:rsid w:val="00AC1F92"/>
    <w:rsid w:val="00AC2364"/>
    <w:rsid w:val="00AC23E2"/>
    <w:rsid w:val="00AC347C"/>
    <w:rsid w:val="00AC483B"/>
    <w:rsid w:val="00AC4BF3"/>
    <w:rsid w:val="00AC517C"/>
    <w:rsid w:val="00AC5C75"/>
    <w:rsid w:val="00AC6204"/>
    <w:rsid w:val="00AC6B36"/>
    <w:rsid w:val="00AD025C"/>
    <w:rsid w:val="00AD223F"/>
    <w:rsid w:val="00AD3477"/>
    <w:rsid w:val="00AE1F45"/>
    <w:rsid w:val="00AE66BF"/>
    <w:rsid w:val="00AE6800"/>
    <w:rsid w:val="00AE6AC0"/>
    <w:rsid w:val="00AE7693"/>
    <w:rsid w:val="00AE7721"/>
    <w:rsid w:val="00AF0868"/>
    <w:rsid w:val="00AF223A"/>
    <w:rsid w:val="00AF364C"/>
    <w:rsid w:val="00AF5606"/>
    <w:rsid w:val="00AF57EC"/>
    <w:rsid w:val="00B0028B"/>
    <w:rsid w:val="00B02062"/>
    <w:rsid w:val="00B02BE2"/>
    <w:rsid w:val="00B037BD"/>
    <w:rsid w:val="00B03BDD"/>
    <w:rsid w:val="00B0419E"/>
    <w:rsid w:val="00B05E2F"/>
    <w:rsid w:val="00B0669E"/>
    <w:rsid w:val="00B06E5A"/>
    <w:rsid w:val="00B101EF"/>
    <w:rsid w:val="00B108C5"/>
    <w:rsid w:val="00B11725"/>
    <w:rsid w:val="00B11C9B"/>
    <w:rsid w:val="00B125DF"/>
    <w:rsid w:val="00B12C1D"/>
    <w:rsid w:val="00B12E39"/>
    <w:rsid w:val="00B12F79"/>
    <w:rsid w:val="00B147E4"/>
    <w:rsid w:val="00B15595"/>
    <w:rsid w:val="00B15E7E"/>
    <w:rsid w:val="00B160C4"/>
    <w:rsid w:val="00B172F8"/>
    <w:rsid w:val="00B17644"/>
    <w:rsid w:val="00B207D4"/>
    <w:rsid w:val="00B227F7"/>
    <w:rsid w:val="00B2648F"/>
    <w:rsid w:val="00B264E9"/>
    <w:rsid w:val="00B265EC"/>
    <w:rsid w:val="00B2702C"/>
    <w:rsid w:val="00B27A70"/>
    <w:rsid w:val="00B30B65"/>
    <w:rsid w:val="00B314A9"/>
    <w:rsid w:val="00B32518"/>
    <w:rsid w:val="00B3473E"/>
    <w:rsid w:val="00B408AF"/>
    <w:rsid w:val="00B417AD"/>
    <w:rsid w:val="00B41C9B"/>
    <w:rsid w:val="00B4255F"/>
    <w:rsid w:val="00B42AB8"/>
    <w:rsid w:val="00B433CA"/>
    <w:rsid w:val="00B43676"/>
    <w:rsid w:val="00B446AB"/>
    <w:rsid w:val="00B4729D"/>
    <w:rsid w:val="00B47364"/>
    <w:rsid w:val="00B4778F"/>
    <w:rsid w:val="00B479DD"/>
    <w:rsid w:val="00B47ECF"/>
    <w:rsid w:val="00B50D67"/>
    <w:rsid w:val="00B5103D"/>
    <w:rsid w:val="00B51364"/>
    <w:rsid w:val="00B56010"/>
    <w:rsid w:val="00B560F2"/>
    <w:rsid w:val="00B565BE"/>
    <w:rsid w:val="00B56736"/>
    <w:rsid w:val="00B57F63"/>
    <w:rsid w:val="00B606C9"/>
    <w:rsid w:val="00B649DB"/>
    <w:rsid w:val="00B65026"/>
    <w:rsid w:val="00B65CE8"/>
    <w:rsid w:val="00B679C1"/>
    <w:rsid w:val="00B67B42"/>
    <w:rsid w:val="00B67C9D"/>
    <w:rsid w:val="00B67FBC"/>
    <w:rsid w:val="00B701A1"/>
    <w:rsid w:val="00B70523"/>
    <w:rsid w:val="00B70954"/>
    <w:rsid w:val="00B7238C"/>
    <w:rsid w:val="00B729A3"/>
    <w:rsid w:val="00B7312C"/>
    <w:rsid w:val="00B7549F"/>
    <w:rsid w:val="00B75573"/>
    <w:rsid w:val="00B75C51"/>
    <w:rsid w:val="00B811C3"/>
    <w:rsid w:val="00B8134B"/>
    <w:rsid w:val="00B81915"/>
    <w:rsid w:val="00B828A0"/>
    <w:rsid w:val="00B83704"/>
    <w:rsid w:val="00B838BE"/>
    <w:rsid w:val="00B839CE"/>
    <w:rsid w:val="00B84893"/>
    <w:rsid w:val="00B84931"/>
    <w:rsid w:val="00B85893"/>
    <w:rsid w:val="00B85E4D"/>
    <w:rsid w:val="00B86098"/>
    <w:rsid w:val="00B86D32"/>
    <w:rsid w:val="00B90F3E"/>
    <w:rsid w:val="00B9102C"/>
    <w:rsid w:val="00B91B13"/>
    <w:rsid w:val="00B924D7"/>
    <w:rsid w:val="00B9336F"/>
    <w:rsid w:val="00B93500"/>
    <w:rsid w:val="00B93A15"/>
    <w:rsid w:val="00B93B2A"/>
    <w:rsid w:val="00B942B0"/>
    <w:rsid w:val="00B942D2"/>
    <w:rsid w:val="00B94D1D"/>
    <w:rsid w:val="00BA0A46"/>
    <w:rsid w:val="00BA0FAD"/>
    <w:rsid w:val="00BA16A2"/>
    <w:rsid w:val="00BA1E2F"/>
    <w:rsid w:val="00BA2E84"/>
    <w:rsid w:val="00BA3B2A"/>
    <w:rsid w:val="00BA3F66"/>
    <w:rsid w:val="00BA5BD9"/>
    <w:rsid w:val="00BA60BE"/>
    <w:rsid w:val="00BA7106"/>
    <w:rsid w:val="00BA7231"/>
    <w:rsid w:val="00BA7499"/>
    <w:rsid w:val="00BA74E6"/>
    <w:rsid w:val="00BA773D"/>
    <w:rsid w:val="00BA7E92"/>
    <w:rsid w:val="00BB01A4"/>
    <w:rsid w:val="00BB059F"/>
    <w:rsid w:val="00BB1B65"/>
    <w:rsid w:val="00BB1BCF"/>
    <w:rsid w:val="00BB2BEA"/>
    <w:rsid w:val="00BB2FAA"/>
    <w:rsid w:val="00BB3254"/>
    <w:rsid w:val="00BB34C6"/>
    <w:rsid w:val="00BB3CAB"/>
    <w:rsid w:val="00BB4A98"/>
    <w:rsid w:val="00BB4FDD"/>
    <w:rsid w:val="00BB5547"/>
    <w:rsid w:val="00BB6E3C"/>
    <w:rsid w:val="00BB7FEA"/>
    <w:rsid w:val="00BC17C8"/>
    <w:rsid w:val="00BC25E1"/>
    <w:rsid w:val="00BC2F8D"/>
    <w:rsid w:val="00BC3A0B"/>
    <w:rsid w:val="00BC3EF1"/>
    <w:rsid w:val="00BC4D9F"/>
    <w:rsid w:val="00BC5F7D"/>
    <w:rsid w:val="00BC7C7F"/>
    <w:rsid w:val="00BC7E62"/>
    <w:rsid w:val="00BD2B1E"/>
    <w:rsid w:val="00BD2D0D"/>
    <w:rsid w:val="00BD4199"/>
    <w:rsid w:val="00BD44DE"/>
    <w:rsid w:val="00BD48F5"/>
    <w:rsid w:val="00BD54E1"/>
    <w:rsid w:val="00BD6867"/>
    <w:rsid w:val="00BE1BFA"/>
    <w:rsid w:val="00BE2E91"/>
    <w:rsid w:val="00BE31D9"/>
    <w:rsid w:val="00BE3DC4"/>
    <w:rsid w:val="00BE4468"/>
    <w:rsid w:val="00BE4A24"/>
    <w:rsid w:val="00BE650D"/>
    <w:rsid w:val="00BE6533"/>
    <w:rsid w:val="00BE6D7B"/>
    <w:rsid w:val="00BE6E3F"/>
    <w:rsid w:val="00BE734E"/>
    <w:rsid w:val="00BE78A6"/>
    <w:rsid w:val="00BF010D"/>
    <w:rsid w:val="00BF02C3"/>
    <w:rsid w:val="00BF080C"/>
    <w:rsid w:val="00BF1863"/>
    <w:rsid w:val="00BF208A"/>
    <w:rsid w:val="00BF42E8"/>
    <w:rsid w:val="00BF4BAF"/>
    <w:rsid w:val="00BF5C1B"/>
    <w:rsid w:val="00BF67BA"/>
    <w:rsid w:val="00BF6BA0"/>
    <w:rsid w:val="00BF7671"/>
    <w:rsid w:val="00C00628"/>
    <w:rsid w:val="00C00D75"/>
    <w:rsid w:val="00C0199B"/>
    <w:rsid w:val="00C02760"/>
    <w:rsid w:val="00C0308B"/>
    <w:rsid w:val="00C05BA4"/>
    <w:rsid w:val="00C06966"/>
    <w:rsid w:val="00C10FD5"/>
    <w:rsid w:val="00C110C0"/>
    <w:rsid w:val="00C1257E"/>
    <w:rsid w:val="00C143FD"/>
    <w:rsid w:val="00C1479D"/>
    <w:rsid w:val="00C14E61"/>
    <w:rsid w:val="00C15420"/>
    <w:rsid w:val="00C1564F"/>
    <w:rsid w:val="00C167B0"/>
    <w:rsid w:val="00C17014"/>
    <w:rsid w:val="00C17894"/>
    <w:rsid w:val="00C22642"/>
    <w:rsid w:val="00C234FE"/>
    <w:rsid w:val="00C245E7"/>
    <w:rsid w:val="00C248DE"/>
    <w:rsid w:val="00C2568B"/>
    <w:rsid w:val="00C27D51"/>
    <w:rsid w:val="00C31ACF"/>
    <w:rsid w:val="00C31C97"/>
    <w:rsid w:val="00C33FFB"/>
    <w:rsid w:val="00C340BE"/>
    <w:rsid w:val="00C3565D"/>
    <w:rsid w:val="00C40162"/>
    <w:rsid w:val="00C413EE"/>
    <w:rsid w:val="00C4206E"/>
    <w:rsid w:val="00C420ED"/>
    <w:rsid w:val="00C42A06"/>
    <w:rsid w:val="00C42DDD"/>
    <w:rsid w:val="00C42ECE"/>
    <w:rsid w:val="00C43ACE"/>
    <w:rsid w:val="00C43C75"/>
    <w:rsid w:val="00C44846"/>
    <w:rsid w:val="00C44D0A"/>
    <w:rsid w:val="00C45136"/>
    <w:rsid w:val="00C45B67"/>
    <w:rsid w:val="00C45BA7"/>
    <w:rsid w:val="00C47A9C"/>
    <w:rsid w:val="00C50BB5"/>
    <w:rsid w:val="00C51092"/>
    <w:rsid w:val="00C523BA"/>
    <w:rsid w:val="00C53E24"/>
    <w:rsid w:val="00C53F55"/>
    <w:rsid w:val="00C54C2B"/>
    <w:rsid w:val="00C54F83"/>
    <w:rsid w:val="00C552C1"/>
    <w:rsid w:val="00C569C3"/>
    <w:rsid w:val="00C56E83"/>
    <w:rsid w:val="00C574F4"/>
    <w:rsid w:val="00C57CEC"/>
    <w:rsid w:val="00C64302"/>
    <w:rsid w:val="00C648A0"/>
    <w:rsid w:val="00C64C08"/>
    <w:rsid w:val="00C66B44"/>
    <w:rsid w:val="00C66EC1"/>
    <w:rsid w:val="00C67BA2"/>
    <w:rsid w:val="00C702DE"/>
    <w:rsid w:val="00C71F52"/>
    <w:rsid w:val="00C72797"/>
    <w:rsid w:val="00C72B0F"/>
    <w:rsid w:val="00C73AB2"/>
    <w:rsid w:val="00C743FC"/>
    <w:rsid w:val="00C74A0F"/>
    <w:rsid w:val="00C75468"/>
    <w:rsid w:val="00C75E18"/>
    <w:rsid w:val="00C7694A"/>
    <w:rsid w:val="00C76B9D"/>
    <w:rsid w:val="00C76D01"/>
    <w:rsid w:val="00C808A4"/>
    <w:rsid w:val="00C80CB7"/>
    <w:rsid w:val="00C8185C"/>
    <w:rsid w:val="00C81A2D"/>
    <w:rsid w:val="00C81E45"/>
    <w:rsid w:val="00C81EAB"/>
    <w:rsid w:val="00C84769"/>
    <w:rsid w:val="00C85814"/>
    <w:rsid w:val="00C87B7E"/>
    <w:rsid w:val="00C924E8"/>
    <w:rsid w:val="00C92741"/>
    <w:rsid w:val="00C92776"/>
    <w:rsid w:val="00C9281E"/>
    <w:rsid w:val="00C929E1"/>
    <w:rsid w:val="00C92EA9"/>
    <w:rsid w:val="00C9338C"/>
    <w:rsid w:val="00C9356E"/>
    <w:rsid w:val="00C9409E"/>
    <w:rsid w:val="00C94357"/>
    <w:rsid w:val="00C94DBB"/>
    <w:rsid w:val="00C959EA"/>
    <w:rsid w:val="00C95EAB"/>
    <w:rsid w:val="00C96B68"/>
    <w:rsid w:val="00CA097A"/>
    <w:rsid w:val="00CA1CDC"/>
    <w:rsid w:val="00CA26DD"/>
    <w:rsid w:val="00CA535E"/>
    <w:rsid w:val="00CA5C75"/>
    <w:rsid w:val="00CA7BC4"/>
    <w:rsid w:val="00CB09BA"/>
    <w:rsid w:val="00CB0E41"/>
    <w:rsid w:val="00CB1F76"/>
    <w:rsid w:val="00CB2398"/>
    <w:rsid w:val="00CB289D"/>
    <w:rsid w:val="00CB34B3"/>
    <w:rsid w:val="00CB3DED"/>
    <w:rsid w:val="00CB4251"/>
    <w:rsid w:val="00CB5819"/>
    <w:rsid w:val="00CB58D5"/>
    <w:rsid w:val="00CB5A93"/>
    <w:rsid w:val="00CC0276"/>
    <w:rsid w:val="00CC1068"/>
    <w:rsid w:val="00CC184D"/>
    <w:rsid w:val="00CC1C79"/>
    <w:rsid w:val="00CC1DC9"/>
    <w:rsid w:val="00CC2F70"/>
    <w:rsid w:val="00CC44F8"/>
    <w:rsid w:val="00CC5089"/>
    <w:rsid w:val="00CC5413"/>
    <w:rsid w:val="00CC62DF"/>
    <w:rsid w:val="00CC6582"/>
    <w:rsid w:val="00CC70AB"/>
    <w:rsid w:val="00CC7E1E"/>
    <w:rsid w:val="00CD099D"/>
    <w:rsid w:val="00CD24F0"/>
    <w:rsid w:val="00CD2B67"/>
    <w:rsid w:val="00CD3F9F"/>
    <w:rsid w:val="00CD43C3"/>
    <w:rsid w:val="00CD45FE"/>
    <w:rsid w:val="00CD4888"/>
    <w:rsid w:val="00CD61AE"/>
    <w:rsid w:val="00CD6B22"/>
    <w:rsid w:val="00CD7855"/>
    <w:rsid w:val="00CD79E7"/>
    <w:rsid w:val="00CE0151"/>
    <w:rsid w:val="00CE056F"/>
    <w:rsid w:val="00CE151E"/>
    <w:rsid w:val="00CE1860"/>
    <w:rsid w:val="00CE2DD5"/>
    <w:rsid w:val="00CE3D11"/>
    <w:rsid w:val="00CE4858"/>
    <w:rsid w:val="00CE5FF8"/>
    <w:rsid w:val="00CF0066"/>
    <w:rsid w:val="00CF0EF1"/>
    <w:rsid w:val="00CF103D"/>
    <w:rsid w:val="00CF263D"/>
    <w:rsid w:val="00CF2D54"/>
    <w:rsid w:val="00CF3B7C"/>
    <w:rsid w:val="00CF4D13"/>
    <w:rsid w:val="00CF6D23"/>
    <w:rsid w:val="00CF7481"/>
    <w:rsid w:val="00CF75DF"/>
    <w:rsid w:val="00CF7D7D"/>
    <w:rsid w:val="00D014D1"/>
    <w:rsid w:val="00D017D2"/>
    <w:rsid w:val="00D021A3"/>
    <w:rsid w:val="00D02B2A"/>
    <w:rsid w:val="00D032A8"/>
    <w:rsid w:val="00D04818"/>
    <w:rsid w:val="00D050D2"/>
    <w:rsid w:val="00D05AD8"/>
    <w:rsid w:val="00D0624C"/>
    <w:rsid w:val="00D07CF1"/>
    <w:rsid w:val="00D07D90"/>
    <w:rsid w:val="00D10341"/>
    <w:rsid w:val="00D11668"/>
    <w:rsid w:val="00D1330C"/>
    <w:rsid w:val="00D14219"/>
    <w:rsid w:val="00D151AE"/>
    <w:rsid w:val="00D15B62"/>
    <w:rsid w:val="00D1684C"/>
    <w:rsid w:val="00D16CC7"/>
    <w:rsid w:val="00D17F73"/>
    <w:rsid w:val="00D20346"/>
    <w:rsid w:val="00D20369"/>
    <w:rsid w:val="00D212FF"/>
    <w:rsid w:val="00D2149D"/>
    <w:rsid w:val="00D24B96"/>
    <w:rsid w:val="00D26257"/>
    <w:rsid w:val="00D262BB"/>
    <w:rsid w:val="00D26357"/>
    <w:rsid w:val="00D27899"/>
    <w:rsid w:val="00D27E5A"/>
    <w:rsid w:val="00D31C08"/>
    <w:rsid w:val="00D3239D"/>
    <w:rsid w:val="00D3408C"/>
    <w:rsid w:val="00D361D0"/>
    <w:rsid w:val="00D36915"/>
    <w:rsid w:val="00D37691"/>
    <w:rsid w:val="00D37A32"/>
    <w:rsid w:val="00D37EDC"/>
    <w:rsid w:val="00D40566"/>
    <w:rsid w:val="00D40D64"/>
    <w:rsid w:val="00D41D7D"/>
    <w:rsid w:val="00D4394A"/>
    <w:rsid w:val="00D441FE"/>
    <w:rsid w:val="00D4530E"/>
    <w:rsid w:val="00D4596B"/>
    <w:rsid w:val="00D46386"/>
    <w:rsid w:val="00D4656C"/>
    <w:rsid w:val="00D4719C"/>
    <w:rsid w:val="00D47F12"/>
    <w:rsid w:val="00D50F04"/>
    <w:rsid w:val="00D512C5"/>
    <w:rsid w:val="00D5152B"/>
    <w:rsid w:val="00D528EA"/>
    <w:rsid w:val="00D52F4D"/>
    <w:rsid w:val="00D532DC"/>
    <w:rsid w:val="00D539F3"/>
    <w:rsid w:val="00D55595"/>
    <w:rsid w:val="00D57928"/>
    <w:rsid w:val="00D60155"/>
    <w:rsid w:val="00D61AD2"/>
    <w:rsid w:val="00D6315A"/>
    <w:rsid w:val="00D6334F"/>
    <w:rsid w:val="00D639CA"/>
    <w:rsid w:val="00D64639"/>
    <w:rsid w:val="00D652E7"/>
    <w:rsid w:val="00D6740F"/>
    <w:rsid w:val="00D67710"/>
    <w:rsid w:val="00D70F94"/>
    <w:rsid w:val="00D7136A"/>
    <w:rsid w:val="00D71E6A"/>
    <w:rsid w:val="00D72680"/>
    <w:rsid w:val="00D72D34"/>
    <w:rsid w:val="00D741B2"/>
    <w:rsid w:val="00D74D9C"/>
    <w:rsid w:val="00D7789E"/>
    <w:rsid w:val="00D7793A"/>
    <w:rsid w:val="00D77E5C"/>
    <w:rsid w:val="00D8015B"/>
    <w:rsid w:val="00D80AFA"/>
    <w:rsid w:val="00D80B3D"/>
    <w:rsid w:val="00D81707"/>
    <w:rsid w:val="00D82BFC"/>
    <w:rsid w:val="00D83B70"/>
    <w:rsid w:val="00D83CAF"/>
    <w:rsid w:val="00D85AE2"/>
    <w:rsid w:val="00D86273"/>
    <w:rsid w:val="00D866FB"/>
    <w:rsid w:val="00D87A04"/>
    <w:rsid w:val="00D905BA"/>
    <w:rsid w:val="00D90850"/>
    <w:rsid w:val="00D90893"/>
    <w:rsid w:val="00D930F4"/>
    <w:rsid w:val="00D94FB9"/>
    <w:rsid w:val="00D9605C"/>
    <w:rsid w:val="00D96636"/>
    <w:rsid w:val="00D96AA7"/>
    <w:rsid w:val="00D97F76"/>
    <w:rsid w:val="00DA016E"/>
    <w:rsid w:val="00DA1655"/>
    <w:rsid w:val="00DA2BCE"/>
    <w:rsid w:val="00DA2C4C"/>
    <w:rsid w:val="00DA3548"/>
    <w:rsid w:val="00DA41C6"/>
    <w:rsid w:val="00DA4DC3"/>
    <w:rsid w:val="00DA4EB8"/>
    <w:rsid w:val="00DA5319"/>
    <w:rsid w:val="00DA6C1C"/>
    <w:rsid w:val="00DA7286"/>
    <w:rsid w:val="00DA7479"/>
    <w:rsid w:val="00DB00D9"/>
    <w:rsid w:val="00DB1155"/>
    <w:rsid w:val="00DB4180"/>
    <w:rsid w:val="00DB57F7"/>
    <w:rsid w:val="00DB6489"/>
    <w:rsid w:val="00DB651A"/>
    <w:rsid w:val="00DB6ABB"/>
    <w:rsid w:val="00DB777D"/>
    <w:rsid w:val="00DB7BBD"/>
    <w:rsid w:val="00DC12EB"/>
    <w:rsid w:val="00DC154E"/>
    <w:rsid w:val="00DC1E90"/>
    <w:rsid w:val="00DC278E"/>
    <w:rsid w:val="00DC2C8B"/>
    <w:rsid w:val="00DC2FAA"/>
    <w:rsid w:val="00DC35AA"/>
    <w:rsid w:val="00DC3D36"/>
    <w:rsid w:val="00DC48E6"/>
    <w:rsid w:val="00DC5443"/>
    <w:rsid w:val="00DC5DB2"/>
    <w:rsid w:val="00DC6DFD"/>
    <w:rsid w:val="00DC7238"/>
    <w:rsid w:val="00DC7B94"/>
    <w:rsid w:val="00DC7E80"/>
    <w:rsid w:val="00DD4C31"/>
    <w:rsid w:val="00DD5245"/>
    <w:rsid w:val="00DD5ECB"/>
    <w:rsid w:val="00DD5F8E"/>
    <w:rsid w:val="00DD645E"/>
    <w:rsid w:val="00DD64AB"/>
    <w:rsid w:val="00DD6F63"/>
    <w:rsid w:val="00DD77CD"/>
    <w:rsid w:val="00DE009B"/>
    <w:rsid w:val="00DE0368"/>
    <w:rsid w:val="00DE4252"/>
    <w:rsid w:val="00DE4C4D"/>
    <w:rsid w:val="00DE5E03"/>
    <w:rsid w:val="00DE5EEF"/>
    <w:rsid w:val="00DE6F79"/>
    <w:rsid w:val="00DF0A57"/>
    <w:rsid w:val="00DF2FC8"/>
    <w:rsid w:val="00DF3100"/>
    <w:rsid w:val="00DF3C64"/>
    <w:rsid w:val="00DF4A95"/>
    <w:rsid w:val="00DF5471"/>
    <w:rsid w:val="00E01531"/>
    <w:rsid w:val="00E01998"/>
    <w:rsid w:val="00E02F81"/>
    <w:rsid w:val="00E031D0"/>
    <w:rsid w:val="00E078A6"/>
    <w:rsid w:val="00E07D33"/>
    <w:rsid w:val="00E07D37"/>
    <w:rsid w:val="00E07E16"/>
    <w:rsid w:val="00E1129D"/>
    <w:rsid w:val="00E112B7"/>
    <w:rsid w:val="00E120BA"/>
    <w:rsid w:val="00E12215"/>
    <w:rsid w:val="00E1284A"/>
    <w:rsid w:val="00E13156"/>
    <w:rsid w:val="00E131A9"/>
    <w:rsid w:val="00E13A04"/>
    <w:rsid w:val="00E1453A"/>
    <w:rsid w:val="00E15414"/>
    <w:rsid w:val="00E17963"/>
    <w:rsid w:val="00E21A0A"/>
    <w:rsid w:val="00E21A52"/>
    <w:rsid w:val="00E2217A"/>
    <w:rsid w:val="00E228D2"/>
    <w:rsid w:val="00E24169"/>
    <w:rsid w:val="00E242FE"/>
    <w:rsid w:val="00E25438"/>
    <w:rsid w:val="00E267A7"/>
    <w:rsid w:val="00E27EDC"/>
    <w:rsid w:val="00E305CC"/>
    <w:rsid w:val="00E30981"/>
    <w:rsid w:val="00E315BE"/>
    <w:rsid w:val="00E32B2D"/>
    <w:rsid w:val="00E3329D"/>
    <w:rsid w:val="00E341DD"/>
    <w:rsid w:val="00E3509A"/>
    <w:rsid w:val="00E36B4E"/>
    <w:rsid w:val="00E3762F"/>
    <w:rsid w:val="00E41B97"/>
    <w:rsid w:val="00E42A6A"/>
    <w:rsid w:val="00E42AD6"/>
    <w:rsid w:val="00E4322F"/>
    <w:rsid w:val="00E43D45"/>
    <w:rsid w:val="00E43DB0"/>
    <w:rsid w:val="00E4401A"/>
    <w:rsid w:val="00E44535"/>
    <w:rsid w:val="00E44D7B"/>
    <w:rsid w:val="00E47975"/>
    <w:rsid w:val="00E47E7D"/>
    <w:rsid w:val="00E5013A"/>
    <w:rsid w:val="00E506A9"/>
    <w:rsid w:val="00E50D30"/>
    <w:rsid w:val="00E515ED"/>
    <w:rsid w:val="00E516BA"/>
    <w:rsid w:val="00E524BA"/>
    <w:rsid w:val="00E578D1"/>
    <w:rsid w:val="00E604CF"/>
    <w:rsid w:val="00E6089B"/>
    <w:rsid w:val="00E61502"/>
    <w:rsid w:val="00E6186B"/>
    <w:rsid w:val="00E63407"/>
    <w:rsid w:val="00E65935"/>
    <w:rsid w:val="00E66AD4"/>
    <w:rsid w:val="00E66EE6"/>
    <w:rsid w:val="00E703FB"/>
    <w:rsid w:val="00E70444"/>
    <w:rsid w:val="00E70CE8"/>
    <w:rsid w:val="00E71089"/>
    <w:rsid w:val="00E72082"/>
    <w:rsid w:val="00E72A84"/>
    <w:rsid w:val="00E72A90"/>
    <w:rsid w:val="00E72FD4"/>
    <w:rsid w:val="00E73AF5"/>
    <w:rsid w:val="00E74F91"/>
    <w:rsid w:val="00E75DEF"/>
    <w:rsid w:val="00E75F2D"/>
    <w:rsid w:val="00E77895"/>
    <w:rsid w:val="00E80915"/>
    <w:rsid w:val="00E80CCB"/>
    <w:rsid w:val="00E80D67"/>
    <w:rsid w:val="00E8278F"/>
    <w:rsid w:val="00E85771"/>
    <w:rsid w:val="00E85850"/>
    <w:rsid w:val="00E90B19"/>
    <w:rsid w:val="00E90FA4"/>
    <w:rsid w:val="00E91AB1"/>
    <w:rsid w:val="00E95A08"/>
    <w:rsid w:val="00E95AA6"/>
    <w:rsid w:val="00E96777"/>
    <w:rsid w:val="00E97FEA"/>
    <w:rsid w:val="00EA08AA"/>
    <w:rsid w:val="00EA2BA9"/>
    <w:rsid w:val="00EA39ED"/>
    <w:rsid w:val="00EA4F84"/>
    <w:rsid w:val="00EA51C9"/>
    <w:rsid w:val="00EA5422"/>
    <w:rsid w:val="00EA5718"/>
    <w:rsid w:val="00EA665F"/>
    <w:rsid w:val="00EA6A8D"/>
    <w:rsid w:val="00EA6D81"/>
    <w:rsid w:val="00EA731D"/>
    <w:rsid w:val="00EA7779"/>
    <w:rsid w:val="00EB1085"/>
    <w:rsid w:val="00EB2783"/>
    <w:rsid w:val="00EB2AC4"/>
    <w:rsid w:val="00EB32B7"/>
    <w:rsid w:val="00EB3308"/>
    <w:rsid w:val="00EB3777"/>
    <w:rsid w:val="00EB4021"/>
    <w:rsid w:val="00EB5379"/>
    <w:rsid w:val="00EB6EB8"/>
    <w:rsid w:val="00EC138E"/>
    <w:rsid w:val="00EC1CFA"/>
    <w:rsid w:val="00EC25FA"/>
    <w:rsid w:val="00EC2808"/>
    <w:rsid w:val="00EC3AC9"/>
    <w:rsid w:val="00EC4FDD"/>
    <w:rsid w:val="00EC50E8"/>
    <w:rsid w:val="00EC5EAB"/>
    <w:rsid w:val="00EC6526"/>
    <w:rsid w:val="00EC6937"/>
    <w:rsid w:val="00EC746D"/>
    <w:rsid w:val="00EC7701"/>
    <w:rsid w:val="00ED0921"/>
    <w:rsid w:val="00ED1A2D"/>
    <w:rsid w:val="00ED1F21"/>
    <w:rsid w:val="00ED2293"/>
    <w:rsid w:val="00ED2ABF"/>
    <w:rsid w:val="00ED4281"/>
    <w:rsid w:val="00ED4482"/>
    <w:rsid w:val="00ED458D"/>
    <w:rsid w:val="00ED5DDC"/>
    <w:rsid w:val="00ED67A1"/>
    <w:rsid w:val="00ED730B"/>
    <w:rsid w:val="00ED7469"/>
    <w:rsid w:val="00EE0018"/>
    <w:rsid w:val="00EE03E4"/>
    <w:rsid w:val="00EE0712"/>
    <w:rsid w:val="00EE14A5"/>
    <w:rsid w:val="00EE183E"/>
    <w:rsid w:val="00EE1951"/>
    <w:rsid w:val="00EE462F"/>
    <w:rsid w:val="00EE4CB3"/>
    <w:rsid w:val="00EE57BF"/>
    <w:rsid w:val="00EE5FCA"/>
    <w:rsid w:val="00EE69C6"/>
    <w:rsid w:val="00EE7E59"/>
    <w:rsid w:val="00EF0CF5"/>
    <w:rsid w:val="00EF2011"/>
    <w:rsid w:val="00EF2897"/>
    <w:rsid w:val="00EF2A25"/>
    <w:rsid w:val="00EF2F09"/>
    <w:rsid w:val="00EF3C8C"/>
    <w:rsid w:val="00EF3D3B"/>
    <w:rsid w:val="00EF3DE8"/>
    <w:rsid w:val="00EF4725"/>
    <w:rsid w:val="00EF473C"/>
    <w:rsid w:val="00EF4DDD"/>
    <w:rsid w:val="00EF5140"/>
    <w:rsid w:val="00EF5E94"/>
    <w:rsid w:val="00EF668C"/>
    <w:rsid w:val="00EF7312"/>
    <w:rsid w:val="00EF75C7"/>
    <w:rsid w:val="00F006DA"/>
    <w:rsid w:val="00F0071E"/>
    <w:rsid w:val="00F019B6"/>
    <w:rsid w:val="00F02669"/>
    <w:rsid w:val="00F05F00"/>
    <w:rsid w:val="00F07A76"/>
    <w:rsid w:val="00F11F3A"/>
    <w:rsid w:val="00F13E8F"/>
    <w:rsid w:val="00F15AC4"/>
    <w:rsid w:val="00F16109"/>
    <w:rsid w:val="00F16B10"/>
    <w:rsid w:val="00F17651"/>
    <w:rsid w:val="00F2000A"/>
    <w:rsid w:val="00F21D03"/>
    <w:rsid w:val="00F22058"/>
    <w:rsid w:val="00F22087"/>
    <w:rsid w:val="00F23FD5"/>
    <w:rsid w:val="00F25F02"/>
    <w:rsid w:val="00F26818"/>
    <w:rsid w:val="00F2697D"/>
    <w:rsid w:val="00F27CF3"/>
    <w:rsid w:val="00F27DF2"/>
    <w:rsid w:val="00F30A82"/>
    <w:rsid w:val="00F328D8"/>
    <w:rsid w:val="00F3302E"/>
    <w:rsid w:val="00F347BE"/>
    <w:rsid w:val="00F3489D"/>
    <w:rsid w:val="00F364BA"/>
    <w:rsid w:val="00F374CF"/>
    <w:rsid w:val="00F409B5"/>
    <w:rsid w:val="00F41690"/>
    <w:rsid w:val="00F41792"/>
    <w:rsid w:val="00F41A2E"/>
    <w:rsid w:val="00F41C55"/>
    <w:rsid w:val="00F43066"/>
    <w:rsid w:val="00F4479E"/>
    <w:rsid w:val="00F4620E"/>
    <w:rsid w:val="00F5127F"/>
    <w:rsid w:val="00F52468"/>
    <w:rsid w:val="00F52DF0"/>
    <w:rsid w:val="00F52E7F"/>
    <w:rsid w:val="00F5347A"/>
    <w:rsid w:val="00F53754"/>
    <w:rsid w:val="00F53BA7"/>
    <w:rsid w:val="00F5609C"/>
    <w:rsid w:val="00F564B2"/>
    <w:rsid w:val="00F56C09"/>
    <w:rsid w:val="00F61706"/>
    <w:rsid w:val="00F61738"/>
    <w:rsid w:val="00F618FC"/>
    <w:rsid w:val="00F64139"/>
    <w:rsid w:val="00F64639"/>
    <w:rsid w:val="00F64BC6"/>
    <w:rsid w:val="00F652C7"/>
    <w:rsid w:val="00F66163"/>
    <w:rsid w:val="00F70328"/>
    <w:rsid w:val="00F70B95"/>
    <w:rsid w:val="00F717E1"/>
    <w:rsid w:val="00F73C71"/>
    <w:rsid w:val="00F73E84"/>
    <w:rsid w:val="00F745F1"/>
    <w:rsid w:val="00F75370"/>
    <w:rsid w:val="00F753CF"/>
    <w:rsid w:val="00F769CE"/>
    <w:rsid w:val="00F77332"/>
    <w:rsid w:val="00F80A5E"/>
    <w:rsid w:val="00F811DF"/>
    <w:rsid w:val="00F82AA1"/>
    <w:rsid w:val="00F832E9"/>
    <w:rsid w:val="00F83B29"/>
    <w:rsid w:val="00F84BC3"/>
    <w:rsid w:val="00F862AC"/>
    <w:rsid w:val="00F8685C"/>
    <w:rsid w:val="00F86935"/>
    <w:rsid w:val="00F86AA1"/>
    <w:rsid w:val="00F90700"/>
    <w:rsid w:val="00F92A63"/>
    <w:rsid w:val="00F92ACA"/>
    <w:rsid w:val="00F93763"/>
    <w:rsid w:val="00F95649"/>
    <w:rsid w:val="00F957FA"/>
    <w:rsid w:val="00F979AA"/>
    <w:rsid w:val="00FA05A2"/>
    <w:rsid w:val="00FA1A71"/>
    <w:rsid w:val="00FA2834"/>
    <w:rsid w:val="00FA2936"/>
    <w:rsid w:val="00FA2BD5"/>
    <w:rsid w:val="00FA3F88"/>
    <w:rsid w:val="00FA4530"/>
    <w:rsid w:val="00FA4AE0"/>
    <w:rsid w:val="00FA4BCF"/>
    <w:rsid w:val="00FA56E0"/>
    <w:rsid w:val="00FA62AC"/>
    <w:rsid w:val="00FA63B0"/>
    <w:rsid w:val="00FA64DE"/>
    <w:rsid w:val="00FA668B"/>
    <w:rsid w:val="00FA6FE2"/>
    <w:rsid w:val="00FB07B1"/>
    <w:rsid w:val="00FB09A4"/>
    <w:rsid w:val="00FB0D35"/>
    <w:rsid w:val="00FB0E6E"/>
    <w:rsid w:val="00FB0FEB"/>
    <w:rsid w:val="00FB1963"/>
    <w:rsid w:val="00FB3628"/>
    <w:rsid w:val="00FB4B92"/>
    <w:rsid w:val="00FB605E"/>
    <w:rsid w:val="00FB6492"/>
    <w:rsid w:val="00FB6731"/>
    <w:rsid w:val="00FB6B0E"/>
    <w:rsid w:val="00FB6DEC"/>
    <w:rsid w:val="00FB7D86"/>
    <w:rsid w:val="00FB7E65"/>
    <w:rsid w:val="00FC14C5"/>
    <w:rsid w:val="00FC3D88"/>
    <w:rsid w:val="00FC4E47"/>
    <w:rsid w:val="00FC5378"/>
    <w:rsid w:val="00FC6630"/>
    <w:rsid w:val="00FC71B3"/>
    <w:rsid w:val="00FD054E"/>
    <w:rsid w:val="00FD08E6"/>
    <w:rsid w:val="00FD0C1F"/>
    <w:rsid w:val="00FD1D5B"/>
    <w:rsid w:val="00FD251B"/>
    <w:rsid w:val="00FD3653"/>
    <w:rsid w:val="00FD3957"/>
    <w:rsid w:val="00FD4178"/>
    <w:rsid w:val="00FD4786"/>
    <w:rsid w:val="00FD4BB8"/>
    <w:rsid w:val="00FD5B0D"/>
    <w:rsid w:val="00FD6850"/>
    <w:rsid w:val="00FD7FFC"/>
    <w:rsid w:val="00FE00F4"/>
    <w:rsid w:val="00FE045B"/>
    <w:rsid w:val="00FE069F"/>
    <w:rsid w:val="00FE06E9"/>
    <w:rsid w:val="00FE1A46"/>
    <w:rsid w:val="00FE2721"/>
    <w:rsid w:val="00FE3AC7"/>
    <w:rsid w:val="00FE4282"/>
    <w:rsid w:val="00FE6056"/>
    <w:rsid w:val="00FF21B1"/>
    <w:rsid w:val="00FF45D3"/>
    <w:rsid w:val="00FF4E54"/>
    <w:rsid w:val="00FF7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9C1"/>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iPriority w:val="99"/>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autoRedefine/>
    <w:qFormat/>
    <w:rsid w:val="009E6B2A"/>
    <w:pPr>
      <w:numPr>
        <w:numId w:val="30"/>
      </w:numPr>
      <w:spacing w:before="240" w:after="0"/>
    </w:pPr>
  </w:style>
  <w:style w:type="paragraph" w:customStyle="1" w:styleId="Dash">
    <w:name w:val="Dash"/>
    <w:basedOn w:val="Normal"/>
    <w:link w:val="DashChar"/>
    <w:qFormat/>
    <w:rsid w:val="000846EF"/>
    <w:pPr>
      <w:numPr>
        <w:ilvl w:val="1"/>
        <w:numId w:val="30"/>
      </w:numPr>
      <w:spacing w:before="0"/>
    </w:pPr>
  </w:style>
  <w:style w:type="paragraph" w:customStyle="1" w:styleId="DoubleDot">
    <w:name w:val="Double Dot"/>
    <w:basedOn w:val="Normal"/>
    <w:link w:val="DoubleDotChar"/>
    <w:qFormat/>
    <w:rsid w:val="000846EF"/>
    <w:pPr>
      <w:numPr>
        <w:ilvl w:val="2"/>
        <w:numId w:val="30"/>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aliases w:val="Body Char,CV text Char,Dot pt Char,F5 List Paragraph Char,Number Char,Recommendation Char,b + line Char,b + line Char Char,b Char,b Char Char,b1 Char,level 1 Char,L Char,List Paragraph Char,List Paragraph1 Char,List Paragraph11 Char,列 Char"/>
    <w:basedOn w:val="DefaultParagraphFont"/>
    <w:link w:val="Bullet"/>
    <w:qFormat/>
    <w:locked/>
    <w:rsid w:val="009E6B2A"/>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uiPriority w:val="34"/>
    <w:qFormat/>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customStyle="1" w:styleId="recommendationlisttext">
    <w:name w:val="recommendationlisttext"/>
    <w:basedOn w:val="Normal"/>
    <w:rsid w:val="007E1DB6"/>
    <w:pPr>
      <w:spacing w:before="100" w:beforeAutospacing="1" w:after="100" w:afterAutospacing="1"/>
    </w:pPr>
    <w:rPr>
      <w:rFonts w:ascii="Times New Roman" w:hAnsi="Times New Roman"/>
      <w:sz w:val="24"/>
      <w:szCs w:val="24"/>
    </w:rPr>
  </w:style>
  <w:style w:type="paragraph" w:customStyle="1" w:styleId="recommendationlistbullet1">
    <w:name w:val="recommendationlistbullet1"/>
    <w:basedOn w:val="Normal"/>
    <w:rsid w:val="007E1DB6"/>
    <w:pPr>
      <w:spacing w:before="100" w:beforeAutospacing="1" w:after="100" w:afterAutospacing="1"/>
    </w:pPr>
    <w:rPr>
      <w:rFonts w:ascii="Times New Roman" w:hAnsi="Times New Roman"/>
      <w:sz w:val="24"/>
      <w:szCs w:val="24"/>
    </w:rPr>
  </w:style>
  <w:style w:type="paragraph" w:customStyle="1" w:styleId="recommendationlistbullet2">
    <w:name w:val="recommendationlistbullet2"/>
    <w:basedOn w:val="Normal"/>
    <w:rsid w:val="000A249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4485F"/>
    <w:rPr>
      <w:b/>
      <w:bCs/>
    </w:rPr>
  </w:style>
  <w:style w:type="paragraph" w:customStyle="1" w:styleId="Default">
    <w:name w:val="Default"/>
    <w:rsid w:val="00B679C1"/>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sion">
    <w:name w:val="Revision"/>
    <w:hidden/>
    <w:uiPriority w:val="99"/>
    <w:semiHidden/>
    <w:rsid w:val="00316F23"/>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unhideWhenUsed/>
    <w:rsid w:val="001F475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31766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66D"/>
  </w:style>
  <w:style w:type="character" w:customStyle="1" w:styleId="eop">
    <w:name w:val="eop"/>
    <w:basedOn w:val="DefaultParagraphFont"/>
    <w:rsid w:val="0031766D"/>
  </w:style>
  <w:style w:type="character" w:customStyle="1" w:styleId="ui-provider">
    <w:name w:val="ui-provider"/>
    <w:basedOn w:val="DefaultParagraphFont"/>
    <w:rsid w:val="000631A2"/>
  </w:style>
  <w:style w:type="character" w:styleId="UnresolvedMention">
    <w:name w:val="Unresolved Mention"/>
    <w:basedOn w:val="DefaultParagraphFont"/>
    <w:uiPriority w:val="99"/>
    <w:semiHidden/>
    <w:unhideWhenUsed/>
    <w:rsid w:val="00E5013A"/>
    <w:rPr>
      <w:color w:val="605E5C"/>
      <w:shd w:val="clear" w:color="auto" w:fill="E1DFDD"/>
    </w:rPr>
  </w:style>
  <w:style w:type="character" w:styleId="Mention">
    <w:name w:val="Mention"/>
    <w:basedOn w:val="DefaultParagraphFont"/>
    <w:uiPriority w:val="99"/>
    <w:unhideWhenUsed/>
    <w:rsid w:val="00163028"/>
    <w:rPr>
      <w:color w:val="2B579A"/>
      <w:shd w:val="clear" w:color="auto" w:fill="E6E6E6"/>
    </w:rPr>
  </w:style>
  <w:style w:type="paragraph" w:styleId="TOCHeading">
    <w:name w:val="TOC Heading"/>
    <w:basedOn w:val="Heading1"/>
    <w:next w:val="Normal"/>
    <w:uiPriority w:val="39"/>
    <w:unhideWhenUsed/>
    <w:qFormat/>
    <w:rsid w:val="00FA2834"/>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styleId="FollowedHyperlink">
    <w:name w:val="FollowedHyperlink"/>
    <w:basedOn w:val="DefaultParagraphFont"/>
    <w:uiPriority w:val="99"/>
    <w:semiHidden/>
    <w:unhideWhenUsed/>
    <w:rsid w:val="0079664E"/>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489">
      <w:bodyDiv w:val="1"/>
      <w:marLeft w:val="0"/>
      <w:marRight w:val="0"/>
      <w:marTop w:val="0"/>
      <w:marBottom w:val="0"/>
      <w:divBdr>
        <w:top w:val="none" w:sz="0" w:space="0" w:color="auto"/>
        <w:left w:val="none" w:sz="0" w:space="0" w:color="auto"/>
        <w:bottom w:val="none" w:sz="0" w:space="0" w:color="auto"/>
        <w:right w:val="none" w:sz="0" w:space="0" w:color="auto"/>
      </w:divBdr>
    </w:div>
    <w:div w:id="15084662">
      <w:bodyDiv w:val="1"/>
      <w:marLeft w:val="0"/>
      <w:marRight w:val="0"/>
      <w:marTop w:val="0"/>
      <w:marBottom w:val="0"/>
      <w:divBdr>
        <w:top w:val="none" w:sz="0" w:space="0" w:color="auto"/>
        <w:left w:val="none" w:sz="0" w:space="0" w:color="auto"/>
        <w:bottom w:val="none" w:sz="0" w:space="0" w:color="auto"/>
        <w:right w:val="none" w:sz="0" w:space="0" w:color="auto"/>
      </w:divBdr>
      <w:divsChild>
        <w:div w:id="2044554995">
          <w:marLeft w:val="0"/>
          <w:marRight w:val="0"/>
          <w:marTop w:val="0"/>
          <w:marBottom w:val="0"/>
          <w:divBdr>
            <w:top w:val="none" w:sz="0" w:space="0" w:color="auto"/>
            <w:left w:val="none" w:sz="0" w:space="0" w:color="auto"/>
            <w:bottom w:val="none" w:sz="0" w:space="0" w:color="auto"/>
            <w:right w:val="none" w:sz="0" w:space="0" w:color="auto"/>
          </w:divBdr>
        </w:div>
      </w:divsChild>
    </w:div>
    <w:div w:id="20934045">
      <w:bodyDiv w:val="1"/>
      <w:marLeft w:val="0"/>
      <w:marRight w:val="0"/>
      <w:marTop w:val="0"/>
      <w:marBottom w:val="0"/>
      <w:divBdr>
        <w:top w:val="none" w:sz="0" w:space="0" w:color="auto"/>
        <w:left w:val="none" w:sz="0" w:space="0" w:color="auto"/>
        <w:bottom w:val="none" w:sz="0" w:space="0" w:color="auto"/>
        <w:right w:val="none" w:sz="0" w:space="0" w:color="auto"/>
      </w:divBdr>
      <w:divsChild>
        <w:div w:id="2028478606">
          <w:marLeft w:val="0"/>
          <w:marRight w:val="0"/>
          <w:marTop w:val="0"/>
          <w:marBottom w:val="0"/>
          <w:divBdr>
            <w:top w:val="none" w:sz="0" w:space="0" w:color="auto"/>
            <w:left w:val="none" w:sz="0" w:space="0" w:color="auto"/>
            <w:bottom w:val="none" w:sz="0" w:space="0" w:color="auto"/>
            <w:right w:val="none" w:sz="0" w:space="0" w:color="auto"/>
          </w:divBdr>
        </w:div>
      </w:divsChild>
    </w:div>
    <w:div w:id="22438651">
      <w:bodyDiv w:val="1"/>
      <w:marLeft w:val="0"/>
      <w:marRight w:val="0"/>
      <w:marTop w:val="0"/>
      <w:marBottom w:val="0"/>
      <w:divBdr>
        <w:top w:val="none" w:sz="0" w:space="0" w:color="auto"/>
        <w:left w:val="none" w:sz="0" w:space="0" w:color="auto"/>
        <w:bottom w:val="none" w:sz="0" w:space="0" w:color="auto"/>
        <w:right w:val="none" w:sz="0" w:space="0" w:color="auto"/>
      </w:divBdr>
      <w:divsChild>
        <w:div w:id="2048288385">
          <w:marLeft w:val="0"/>
          <w:marRight w:val="0"/>
          <w:marTop w:val="0"/>
          <w:marBottom w:val="0"/>
          <w:divBdr>
            <w:top w:val="none" w:sz="0" w:space="0" w:color="auto"/>
            <w:left w:val="none" w:sz="0" w:space="0" w:color="auto"/>
            <w:bottom w:val="none" w:sz="0" w:space="0" w:color="auto"/>
            <w:right w:val="none" w:sz="0" w:space="0" w:color="auto"/>
          </w:divBdr>
        </w:div>
      </w:divsChild>
    </w:div>
    <w:div w:id="131023897">
      <w:bodyDiv w:val="1"/>
      <w:marLeft w:val="0"/>
      <w:marRight w:val="0"/>
      <w:marTop w:val="0"/>
      <w:marBottom w:val="0"/>
      <w:divBdr>
        <w:top w:val="none" w:sz="0" w:space="0" w:color="auto"/>
        <w:left w:val="none" w:sz="0" w:space="0" w:color="auto"/>
        <w:bottom w:val="none" w:sz="0" w:space="0" w:color="auto"/>
        <w:right w:val="none" w:sz="0" w:space="0" w:color="auto"/>
      </w:divBdr>
    </w:div>
    <w:div w:id="138151565">
      <w:bodyDiv w:val="1"/>
      <w:marLeft w:val="0"/>
      <w:marRight w:val="0"/>
      <w:marTop w:val="0"/>
      <w:marBottom w:val="0"/>
      <w:divBdr>
        <w:top w:val="none" w:sz="0" w:space="0" w:color="auto"/>
        <w:left w:val="none" w:sz="0" w:space="0" w:color="auto"/>
        <w:bottom w:val="none" w:sz="0" w:space="0" w:color="auto"/>
        <w:right w:val="none" w:sz="0" w:space="0" w:color="auto"/>
      </w:divBdr>
      <w:divsChild>
        <w:div w:id="1672175236">
          <w:marLeft w:val="0"/>
          <w:marRight w:val="0"/>
          <w:marTop w:val="0"/>
          <w:marBottom w:val="0"/>
          <w:divBdr>
            <w:top w:val="none" w:sz="0" w:space="0" w:color="auto"/>
            <w:left w:val="none" w:sz="0" w:space="0" w:color="auto"/>
            <w:bottom w:val="none" w:sz="0" w:space="0" w:color="auto"/>
            <w:right w:val="none" w:sz="0" w:space="0" w:color="auto"/>
          </w:divBdr>
        </w:div>
      </w:divsChild>
    </w:div>
    <w:div w:id="162286818">
      <w:bodyDiv w:val="1"/>
      <w:marLeft w:val="0"/>
      <w:marRight w:val="0"/>
      <w:marTop w:val="0"/>
      <w:marBottom w:val="0"/>
      <w:divBdr>
        <w:top w:val="none" w:sz="0" w:space="0" w:color="auto"/>
        <w:left w:val="none" w:sz="0" w:space="0" w:color="auto"/>
        <w:bottom w:val="none" w:sz="0" w:space="0" w:color="auto"/>
        <w:right w:val="none" w:sz="0" w:space="0" w:color="auto"/>
      </w:divBdr>
      <w:divsChild>
        <w:div w:id="60372222">
          <w:marLeft w:val="0"/>
          <w:marRight w:val="0"/>
          <w:marTop w:val="0"/>
          <w:marBottom w:val="0"/>
          <w:divBdr>
            <w:top w:val="none" w:sz="0" w:space="0" w:color="auto"/>
            <w:left w:val="none" w:sz="0" w:space="0" w:color="auto"/>
            <w:bottom w:val="none" w:sz="0" w:space="0" w:color="auto"/>
            <w:right w:val="none" w:sz="0" w:space="0" w:color="auto"/>
          </w:divBdr>
        </w:div>
      </w:divsChild>
    </w:div>
    <w:div w:id="166484717">
      <w:bodyDiv w:val="1"/>
      <w:marLeft w:val="0"/>
      <w:marRight w:val="0"/>
      <w:marTop w:val="0"/>
      <w:marBottom w:val="0"/>
      <w:divBdr>
        <w:top w:val="none" w:sz="0" w:space="0" w:color="auto"/>
        <w:left w:val="none" w:sz="0" w:space="0" w:color="auto"/>
        <w:bottom w:val="none" w:sz="0" w:space="0" w:color="auto"/>
        <w:right w:val="none" w:sz="0" w:space="0" w:color="auto"/>
      </w:divBdr>
    </w:div>
    <w:div w:id="203176869">
      <w:bodyDiv w:val="1"/>
      <w:marLeft w:val="0"/>
      <w:marRight w:val="0"/>
      <w:marTop w:val="0"/>
      <w:marBottom w:val="0"/>
      <w:divBdr>
        <w:top w:val="none" w:sz="0" w:space="0" w:color="auto"/>
        <w:left w:val="none" w:sz="0" w:space="0" w:color="auto"/>
        <w:bottom w:val="none" w:sz="0" w:space="0" w:color="auto"/>
        <w:right w:val="none" w:sz="0" w:space="0" w:color="auto"/>
      </w:divBdr>
      <w:divsChild>
        <w:div w:id="488865774">
          <w:marLeft w:val="0"/>
          <w:marRight w:val="0"/>
          <w:marTop w:val="0"/>
          <w:marBottom w:val="0"/>
          <w:divBdr>
            <w:top w:val="none" w:sz="0" w:space="0" w:color="auto"/>
            <w:left w:val="none" w:sz="0" w:space="0" w:color="auto"/>
            <w:bottom w:val="none" w:sz="0" w:space="0" w:color="auto"/>
            <w:right w:val="none" w:sz="0" w:space="0" w:color="auto"/>
          </w:divBdr>
        </w:div>
        <w:div w:id="1107583268">
          <w:marLeft w:val="0"/>
          <w:marRight w:val="0"/>
          <w:marTop w:val="0"/>
          <w:marBottom w:val="0"/>
          <w:divBdr>
            <w:top w:val="none" w:sz="0" w:space="0" w:color="auto"/>
            <w:left w:val="none" w:sz="0" w:space="0" w:color="auto"/>
            <w:bottom w:val="none" w:sz="0" w:space="0" w:color="auto"/>
            <w:right w:val="none" w:sz="0" w:space="0" w:color="auto"/>
          </w:divBdr>
        </w:div>
        <w:div w:id="1969847303">
          <w:marLeft w:val="0"/>
          <w:marRight w:val="0"/>
          <w:marTop w:val="0"/>
          <w:marBottom w:val="0"/>
          <w:divBdr>
            <w:top w:val="none" w:sz="0" w:space="0" w:color="auto"/>
            <w:left w:val="none" w:sz="0" w:space="0" w:color="auto"/>
            <w:bottom w:val="none" w:sz="0" w:space="0" w:color="auto"/>
            <w:right w:val="none" w:sz="0" w:space="0" w:color="auto"/>
          </w:divBdr>
        </w:div>
        <w:div w:id="2147235834">
          <w:marLeft w:val="0"/>
          <w:marRight w:val="0"/>
          <w:marTop w:val="0"/>
          <w:marBottom w:val="0"/>
          <w:divBdr>
            <w:top w:val="none" w:sz="0" w:space="0" w:color="auto"/>
            <w:left w:val="none" w:sz="0" w:space="0" w:color="auto"/>
            <w:bottom w:val="none" w:sz="0" w:space="0" w:color="auto"/>
            <w:right w:val="none" w:sz="0" w:space="0" w:color="auto"/>
          </w:divBdr>
        </w:div>
      </w:divsChild>
    </w:div>
    <w:div w:id="214781445">
      <w:bodyDiv w:val="1"/>
      <w:marLeft w:val="0"/>
      <w:marRight w:val="0"/>
      <w:marTop w:val="0"/>
      <w:marBottom w:val="0"/>
      <w:divBdr>
        <w:top w:val="none" w:sz="0" w:space="0" w:color="auto"/>
        <w:left w:val="none" w:sz="0" w:space="0" w:color="auto"/>
        <w:bottom w:val="none" w:sz="0" w:space="0" w:color="auto"/>
        <w:right w:val="none" w:sz="0" w:space="0" w:color="auto"/>
      </w:divBdr>
    </w:div>
    <w:div w:id="254561182">
      <w:bodyDiv w:val="1"/>
      <w:marLeft w:val="0"/>
      <w:marRight w:val="0"/>
      <w:marTop w:val="0"/>
      <w:marBottom w:val="0"/>
      <w:divBdr>
        <w:top w:val="none" w:sz="0" w:space="0" w:color="auto"/>
        <w:left w:val="none" w:sz="0" w:space="0" w:color="auto"/>
        <w:bottom w:val="none" w:sz="0" w:space="0" w:color="auto"/>
        <w:right w:val="none" w:sz="0" w:space="0" w:color="auto"/>
      </w:divBdr>
      <w:divsChild>
        <w:div w:id="885023948">
          <w:marLeft w:val="0"/>
          <w:marRight w:val="0"/>
          <w:marTop w:val="0"/>
          <w:marBottom w:val="0"/>
          <w:divBdr>
            <w:top w:val="none" w:sz="0" w:space="0" w:color="auto"/>
            <w:left w:val="none" w:sz="0" w:space="0" w:color="auto"/>
            <w:bottom w:val="none" w:sz="0" w:space="0" w:color="auto"/>
            <w:right w:val="none" w:sz="0" w:space="0" w:color="auto"/>
          </w:divBdr>
        </w:div>
      </w:divsChild>
    </w:div>
    <w:div w:id="360715085">
      <w:bodyDiv w:val="1"/>
      <w:marLeft w:val="0"/>
      <w:marRight w:val="0"/>
      <w:marTop w:val="0"/>
      <w:marBottom w:val="0"/>
      <w:divBdr>
        <w:top w:val="none" w:sz="0" w:space="0" w:color="auto"/>
        <w:left w:val="none" w:sz="0" w:space="0" w:color="auto"/>
        <w:bottom w:val="none" w:sz="0" w:space="0" w:color="auto"/>
        <w:right w:val="none" w:sz="0" w:space="0" w:color="auto"/>
      </w:divBdr>
      <w:divsChild>
        <w:div w:id="370422751">
          <w:marLeft w:val="0"/>
          <w:marRight w:val="0"/>
          <w:marTop w:val="0"/>
          <w:marBottom w:val="0"/>
          <w:divBdr>
            <w:top w:val="none" w:sz="0" w:space="0" w:color="auto"/>
            <w:left w:val="none" w:sz="0" w:space="0" w:color="auto"/>
            <w:bottom w:val="none" w:sz="0" w:space="0" w:color="auto"/>
            <w:right w:val="none" w:sz="0" w:space="0" w:color="auto"/>
          </w:divBdr>
        </w:div>
      </w:divsChild>
    </w:div>
    <w:div w:id="405616192">
      <w:bodyDiv w:val="1"/>
      <w:marLeft w:val="0"/>
      <w:marRight w:val="0"/>
      <w:marTop w:val="0"/>
      <w:marBottom w:val="0"/>
      <w:divBdr>
        <w:top w:val="none" w:sz="0" w:space="0" w:color="auto"/>
        <w:left w:val="none" w:sz="0" w:space="0" w:color="auto"/>
        <w:bottom w:val="none" w:sz="0" w:space="0" w:color="auto"/>
        <w:right w:val="none" w:sz="0" w:space="0" w:color="auto"/>
      </w:divBdr>
      <w:divsChild>
        <w:div w:id="586309716">
          <w:marLeft w:val="0"/>
          <w:marRight w:val="0"/>
          <w:marTop w:val="0"/>
          <w:marBottom w:val="0"/>
          <w:divBdr>
            <w:top w:val="none" w:sz="0" w:space="0" w:color="auto"/>
            <w:left w:val="none" w:sz="0" w:space="0" w:color="auto"/>
            <w:bottom w:val="none" w:sz="0" w:space="0" w:color="auto"/>
            <w:right w:val="none" w:sz="0" w:space="0" w:color="auto"/>
          </w:divBdr>
        </w:div>
      </w:divsChild>
    </w:div>
    <w:div w:id="440881109">
      <w:bodyDiv w:val="1"/>
      <w:marLeft w:val="0"/>
      <w:marRight w:val="0"/>
      <w:marTop w:val="0"/>
      <w:marBottom w:val="0"/>
      <w:divBdr>
        <w:top w:val="none" w:sz="0" w:space="0" w:color="auto"/>
        <w:left w:val="none" w:sz="0" w:space="0" w:color="auto"/>
        <w:bottom w:val="none" w:sz="0" w:space="0" w:color="auto"/>
        <w:right w:val="none" w:sz="0" w:space="0" w:color="auto"/>
      </w:divBdr>
    </w:div>
    <w:div w:id="552817350">
      <w:bodyDiv w:val="1"/>
      <w:marLeft w:val="0"/>
      <w:marRight w:val="0"/>
      <w:marTop w:val="0"/>
      <w:marBottom w:val="0"/>
      <w:divBdr>
        <w:top w:val="none" w:sz="0" w:space="0" w:color="auto"/>
        <w:left w:val="none" w:sz="0" w:space="0" w:color="auto"/>
        <w:bottom w:val="none" w:sz="0" w:space="0" w:color="auto"/>
        <w:right w:val="none" w:sz="0" w:space="0" w:color="auto"/>
      </w:divBdr>
    </w:div>
    <w:div w:id="712462136">
      <w:bodyDiv w:val="1"/>
      <w:marLeft w:val="0"/>
      <w:marRight w:val="0"/>
      <w:marTop w:val="0"/>
      <w:marBottom w:val="0"/>
      <w:divBdr>
        <w:top w:val="none" w:sz="0" w:space="0" w:color="auto"/>
        <w:left w:val="none" w:sz="0" w:space="0" w:color="auto"/>
        <w:bottom w:val="none" w:sz="0" w:space="0" w:color="auto"/>
        <w:right w:val="none" w:sz="0" w:space="0" w:color="auto"/>
      </w:divBdr>
    </w:div>
    <w:div w:id="717897986">
      <w:bodyDiv w:val="1"/>
      <w:marLeft w:val="0"/>
      <w:marRight w:val="0"/>
      <w:marTop w:val="0"/>
      <w:marBottom w:val="0"/>
      <w:divBdr>
        <w:top w:val="none" w:sz="0" w:space="0" w:color="auto"/>
        <w:left w:val="none" w:sz="0" w:space="0" w:color="auto"/>
        <w:bottom w:val="none" w:sz="0" w:space="0" w:color="auto"/>
        <w:right w:val="none" w:sz="0" w:space="0" w:color="auto"/>
      </w:divBdr>
    </w:div>
    <w:div w:id="718407003">
      <w:bodyDiv w:val="1"/>
      <w:marLeft w:val="0"/>
      <w:marRight w:val="0"/>
      <w:marTop w:val="0"/>
      <w:marBottom w:val="0"/>
      <w:divBdr>
        <w:top w:val="none" w:sz="0" w:space="0" w:color="auto"/>
        <w:left w:val="none" w:sz="0" w:space="0" w:color="auto"/>
        <w:bottom w:val="none" w:sz="0" w:space="0" w:color="auto"/>
        <w:right w:val="none" w:sz="0" w:space="0" w:color="auto"/>
      </w:divBdr>
      <w:divsChild>
        <w:div w:id="339939190">
          <w:marLeft w:val="0"/>
          <w:marRight w:val="0"/>
          <w:marTop w:val="0"/>
          <w:marBottom w:val="0"/>
          <w:divBdr>
            <w:top w:val="none" w:sz="0" w:space="0" w:color="auto"/>
            <w:left w:val="none" w:sz="0" w:space="0" w:color="auto"/>
            <w:bottom w:val="none" w:sz="0" w:space="0" w:color="auto"/>
            <w:right w:val="none" w:sz="0" w:space="0" w:color="auto"/>
          </w:divBdr>
        </w:div>
      </w:divsChild>
    </w:div>
    <w:div w:id="760222334">
      <w:bodyDiv w:val="1"/>
      <w:marLeft w:val="0"/>
      <w:marRight w:val="0"/>
      <w:marTop w:val="0"/>
      <w:marBottom w:val="0"/>
      <w:divBdr>
        <w:top w:val="none" w:sz="0" w:space="0" w:color="auto"/>
        <w:left w:val="none" w:sz="0" w:space="0" w:color="auto"/>
        <w:bottom w:val="none" w:sz="0" w:space="0" w:color="auto"/>
        <w:right w:val="none" w:sz="0" w:space="0" w:color="auto"/>
      </w:divBdr>
    </w:div>
    <w:div w:id="787435294">
      <w:bodyDiv w:val="1"/>
      <w:marLeft w:val="0"/>
      <w:marRight w:val="0"/>
      <w:marTop w:val="0"/>
      <w:marBottom w:val="0"/>
      <w:divBdr>
        <w:top w:val="none" w:sz="0" w:space="0" w:color="auto"/>
        <w:left w:val="none" w:sz="0" w:space="0" w:color="auto"/>
        <w:bottom w:val="none" w:sz="0" w:space="0" w:color="auto"/>
        <w:right w:val="none" w:sz="0" w:space="0" w:color="auto"/>
      </w:divBdr>
    </w:div>
    <w:div w:id="867373859">
      <w:bodyDiv w:val="1"/>
      <w:marLeft w:val="0"/>
      <w:marRight w:val="0"/>
      <w:marTop w:val="0"/>
      <w:marBottom w:val="0"/>
      <w:divBdr>
        <w:top w:val="none" w:sz="0" w:space="0" w:color="auto"/>
        <w:left w:val="none" w:sz="0" w:space="0" w:color="auto"/>
        <w:bottom w:val="none" w:sz="0" w:space="0" w:color="auto"/>
        <w:right w:val="none" w:sz="0" w:space="0" w:color="auto"/>
      </w:divBdr>
      <w:divsChild>
        <w:div w:id="204878045">
          <w:marLeft w:val="0"/>
          <w:marRight w:val="0"/>
          <w:marTop w:val="0"/>
          <w:marBottom w:val="0"/>
          <w:divBdr>
            <w:top w:val="none" w:sz="0" w:space="0" w:color="auto"/>
            <w:left w:val="none" w:sz="0" w:space="0" w:color="auto"/>
            <w:bottom w:val="none" w:sz="0" w:space="0" w:color="auto"/>
            <w:right w:val="none" w:sz="0" w:space="0" w:color="auto"/>
          </w:divBdr>
        </w:div>
      </w:divsChild>
    </w:div>
    <w:div w:id="876357622">
      <w:bodyDiv w:val="1"/>
      <w:marLeft w:val="0"/>
      <w:marRight w:val="0"/>
      <w:marTop w:val="0"/>
      <w:marBottom w:val="0"/>
      <w:divBdr>
        <w:top w:val="none" w:sz="0" w:space="0" w:color="auto"/>
        <w:left w:val="none" w:sz="0" w:space="0" w:color="auto"/>
        <w:bottom w:val="none" w:sz="0" w:space="0" w:color="auto"/>
        <w:right w:val="none" w:sz="0" w:space="0" w:color="auto"/>
      </w:divBdr>
    </w:div>
    <w:div w:id="883441695">
      <w:bodyDiv w:val="1"/>
      <w:marLeft w:val="0"/>
      <w:marRight w:val="0"/>
      <w:marTop w:val="0"/>
      <w:marBottom w:val="0"/>
      <w:divBdr>
        <w:top w:val="none" w:sz="0" w:space="0" w:color="auto"/>
        <w:left w:val="none" w:sz="0" w:space="0" w:color="auto"/>
        <w:bottom w:val="none" w:sz="0" w:space="0" w:color="auto"/>
        <w:right w:val="none" w:sz="0" w:space="0" w:color="auto"/>
      </w:divBdr>
      <w:divsChild>
        <w:div w:id="528957923">
          <w:marLeft w:val="0"/>
          <w:marRight w:val="0"/>
          <w:marTop w:val="0"/>
          <w:marBottom w:val="0"/>
          <w:divBdr>
            <w:top w:val="none" w:sz="0" w:space="0" w:color="auto"/>
            <w:left w:val="none" w:sz="0" w:space="0" w:color="auto"/>
            <w:bottom w:val="none" w:sz="0" w:space="0" w:color="auto"/>
            <w:right w:val="none" w:sz="0" w:space="0" w:color="auto"/>
          </w:divBdr>
        </w:div>
      </w:divsChild>
    </w:div>
    <w:div w:id="903416914">
      <w:bodyDiv w:val="1"/>
      <w:marLeft w:val="0"/>
      <w:marRight w:val="0"/>
      <w:marTop w:val="0"/>
      <w:marBottom w:val="0"/>
      <w:divBdr>
        <w:top w:val="none" w:sz="0" w:space="0" w:color="auto"/>
        <w:left w:val="none" w:sz="0" w:space="0" w:color="auto"/>
        <w:bottom w:val="none" w:sz="0" w:space="0" w:color="auto"/>
        <w:right w:val="none" w:sz="0" w:space="0" w:color="auto"/>
      </w:divBdr>
      <w:divsChild>
        <w:div w:id="1623878588">
          <w:marLeft w:val="0"/>
          <w:marRight w:val="0"/>
          <w:marTop w:val="0"/>
          <w:marBottom w:val="0"/>
          <w:divBdr>
            <w:top w:val="none" w:sz="0" w:space="0" w:color="auto"/>
            <w:left w:val="none" w:sz="0" w:space="0" w:color="auto"/>
            <w:bottom w:val="none" w:sz="0" w:space="0" w:color="auto"/>
            <w:right w:val="none" w:sz="0" w:space="0" w:color="auto"/>
          </w:divBdr>
        </w:div>
      </w:divsChild>
    </w:div>
    <w:div w:id="905724392">
      <w:bodyDiv w:val="1"/>
      <w:marLeft w:val="0"/>
      <w:marRight w:val="0"/>
      <w:marTop w:val="0"/>
      <w:marBottom w:val="0"/>
      <w:divBdr>
        <w:top w:val="none" w:sz="0" w:space="0" w:color="auto"/>
        <w:left w:val="none" w:sz="0" w:space="0" w:color="auto"/>
        <w:bottom w:val="none" w:sz="0" w:space="0" w:color="auto"/>
        <w:right w:val="none" w:sz="0" w:space="0" w:color="auto"/>
      </w:divBdr>
      <w:divsChild>
        <w:div w:id="1752000267">
          <w:marLeft w:val="0"/>
          <w:marRight w:val="0"/>
          <w:marTop w:val="0"/>
          <w:marBottom w:val="0"/>
          <w:divBdr>
            <w:top w:val="none" w:sz="0" w:space="0" w:color="auto"/>
            <w:left w:val="none" w:sz="0" w:space="0" w:color="auto"/>
            <w:bottom w:val="none" w:sz="0" w:space="0" w:color="auto"/>
            <w:right w:val="none" w:sz="0" w:space="0" w:color="auto"/>
          </w:divBdr>
        </w:div>
      </w:divsChild>
    </w:div>
    <w:div w:id="911814612">
      <w:bodyDiv w:val="1"/>
      <w:marLeft w:val="0"/>
      <w:marRight w:val="0"/>
      <w:marTop w:val="0"/>
      <w:marBottom w:val="0"/>
      <w:divBdr>
        <w:top w:val="none" w:sz="0" w:space="0" w:color="auto"/>
        <w:left w:val="none" w:sz="0" w:space="0" w:color="auto"/>
        <w:bottom w:val="none" w:sz="0" w:space="0" w:color="auto"/>
        <w:right w:val="none" w:sz="0" w:space="0" w:color="auto"/>
      </w:divBdr>
    </w:div>
    <w:div w:id="923151730">
      <w:bodyDiv w:val="1"/>
      <w:marLeft w:val="0"/>
      <w:marRight w:val="0"/>
      <w:marTop w:val="0"/>
      <w:marBottom w:val="0"/>
      <w:divBdr>
        <w:top w:val="none" w:sz="0" w:space="0" w:color="auto"/>
        <w:left w:val="none" w:sz="0" w:space="0" w:color="auto"/>
        <w:bottom w:val="none" w:sz="0" w:space="0" w:color="auto"/>
        <w:right w:val="none" w:sz="0" w:space="0" w:color="auto"/>
      </w:divBdr>
    </w:div>
    <w:div w:id="935598490">
      <w:bodyDiv w:val="1"/>
      <w:marLeft w:val="0"/>
      <w:marRight w:val="0"/>
      <w:marTop w:val="0"/>
      <w:marBottom w:val="0"/>
      <w:divBdr>
        <w:top w:val="none" w:sz="0" w:space="0" w:color="auto"/>
        <w:left w:val="none" w:sz="0" w:space="0" w:color="auto"/>
        <w:bottom w:val="none" w:sz="0" w:space="0" w:color="auto"/>
        <w:right w:val="none" w:sz="0" w:space="0" w:color="auto"/>
      </w:divBdr>
      <w:divsChild>
        <w:div w:id="1160123912">
          <w:marLeft w:val="0"/>
          <w:marRight w:val="0"/>
          <w:marTop w:val="0"/>
          <w:marBottom w:val="0"/>
          <w:divBdr>
            <w:top w:val="none" w:sz="0" w:space="0" w:color="auto"/>
            <w:left w:val="none" w:sz="0" w:space="0" w:color="auto"/>
            <w:bottom w:val="none" w:sz="0" w:space="0" w:color="auto"/>
            <w:right w:val="none" w:sz="0" w:space="0" w:color="auto"/>
          </w:divBdr>
        </w:div>
      </w:divsChild>
    </w:div>
    <w:div w:id="965500475">
      <w:bodyDiv w:val="1"/>
      <w:marLeft w:val="0"/>
      <w:marRight w:val="0"/>
      <w:marTop w:val="0"/>
      <w:marBottom w:val="0"/>
      <w:divBdr>
        <w:top w:val="none" w:sz="0" w:space="0" w:color="auto"/>
        <w:left w:val="none" w:sz="0" w:space="0" w:color="auto"/>
        <w:bottom w:val="none" w:sz="0" w:space="0" w:color="auto"/>
        <w:right w:val="none" w:sz="0" w:space="0" w:color="auto"/>
      </w:divBdr>
      <w:divsChild>
        <w:div w:id="1923174263">
          <w:marLeft w:val="0"/>
          <w:marRight w:val="0"/>
          <w:marTop w:val="0"/>
          <w:marBottom w:val="0"/>
          <w:divBdr>
            <w:top w:val="none" w:sz="0" w:space="0" w:color="auto"/>
            <w:left w:val="none" w:sz="0" w:space="0" w:color="auto"/>
            <w:bottom w:val="none" w:sz="0" w:space="0" w:color="auto"/>
            <w:right w:val="none" w:sz="0" w:space="0" w:color="auto"/>
          </w:divBdr>
        </w:div>
      </w:divsChild>
    </w:div>
    <w:div w:id="995306370">
      <w:bodyDiv w:val="1"/>
      <w:marLeft w:val="0"/>
      <w:marRight w:val="0"/>
      <w:marTop w:val="0"/>
      <w:marBottom w:val="0"/>
      <w:divBdr>
        <w:top w:val="none" w:sz="0" w:space="0" w:color="auto"/>
        <w:left w:val="none" w:sz="0" w:space="0" w:color="auto"/>
        <w:bottom w:val="none" w:sz="0" w:space="0" w:color="auto"/>
        <w:right w:val="none" w:sz="0" w:space="0" w:color="auto"/>
      </w:divBdr>
    </w:div>
    <w:div w:id="997151228">
      <w:bodyDiv w:val="1"/>
      <w:marLeft w:val="0"/>
      <w:marRight w:val="0"/>
      <w:marTop w:val="0"/>
      <w:marBottom w:val="0"/>
      <w:divBdr>
        <w:top w:val="none" w:sz="0" w:space="0" w:color="auto"/>
        <w:left w:val="none" w:sz="0" w:space="0" w:color="auto"/>
        <w:bottom w:val="none" w:sz="0" w:space="0" w:color="auto"/>
        <w:right w:val="none" w:sz="0" w:space="0" w:color="auto"/>
      </w:divBdr>
    </w:div>
    <w:div w:id="1031228951">
      <w:bodyDiv w:val="1"/>
      <w:marLeft w:val="0"/>
      <w:marRight w:val="0"/>
      <w:marTop w:val="0"/>
      <w:marBottom w:val="0"/>
      <w:divBdr>
        <w:top w:val="none" w:sz="0" w:space="0" w:color="auto"/>
        <w:left w:val="none" w:sz="0" w:space="0" w:color="auto"/>
        <w:bottom w:val="none" w:sz="0" w:space="0" w:color="auto"/>
        <w:right w:val="none" w:sz="0" w:space="0" w:color="auto"/>
      </w:divBdr>
      <w:divsChild>
        <w:div w:id="1573852189">
          <w:marLeft w:val="0"/>
          <w:marRight w:val="0"/>
          <w:marTop w:val="0"/>
          <w:marBottom w:val="0"/>
          <w:divBdr>
            <w:top w:val="none" w:sz="0" w:space="0" w:color="auto"/>
            <w:left w:val="none" w:sz="0" w:space="0" w:color="auto"/>
            <w:bottom w:val="none" w:sz="0" w:space="0" w:color="auto"/>
            <w:right w:val="none" w:sz="0" w:space="0" w:color="auto"/>
          </w:divBdr>
        </w:div>
      </w:divsChild>
    </w:div>
    <w:div w:id="1040400578">
      <w:bodyDiv w:val="1"/>
      <w:marLeft w:val="0"/>
      <w:marRight w:val="0"/>
      <w:marTop w:val="0"/>
      <w:marBottom w:val="0"/>
      <w:divBdr>
        <w:top w:val="none" w:sz="0" w:space="0" w:color="auto"/>
        <w:left w:val="none" w:sz="0" w:space="0" w:color="auto"/>
        <w:bottom w:val="none" w:sz="0" w:space="0" w:color="auto"/>
        <w:right w:val="none" w:sz="0" w:space="0" w:color="auto"/>
      </w:divBdr>
    </w:div>
    <w:div w:id="1047953236">
      <w:bodyDiv w:val="1"/>
      <w:marLeft w:val="0"/>
      <w:marRight w:val="0"/>
      <w:marTop w:val="0"/>
      <w:marBottom w:val="0"/>
      <w:divBdr>
        <w:top w:val="none" w:sz="0" w:space="0" w:color="auto"/>
        <w:left w:val="none" w:sz="0" w:space="0" w:color="auto"/>
        <w:bottom w:val="none" w:sz="0" w:space="0" w:color="auto"/>
        <w:right w:val="none" w:sz="0" w:space="0" w:color="auto"/>
      </w:divBdr>
    </w:div>
    <w:div w:id="1065684723">
      <w:bodyDiv w:val="1"/>
      <w:marLeft w:val="0"/>
      <w:marRight w:val="0"/>
      <w:marTop w:val="0"/>
      <w:marBottom w:val="0"/>
      <w:divBdr>
        <w:top w:val="none" w:sz="0" w:space="0" w:color="auto"/>
        <w:left w:val="none" w:sz="0" w:space="0" w:color="auto"/>
        <w:bottom w:val="none" w:sz="0" w:space="0" w:color="auto"/>
        <w:right w:val="none" w:sz="0" w:space="0" w:color="auto"/>
      </w:divBdr>
      <w:divsChild>
        <w:div w:id="413017963">
          <w:marLeft w:val="0"/>
          <w:marRight w:val="0"/>
          <w:marTop w:val="0"/>
          <w:marBottom w:val="0"/>
          <w:divBdr>
            <w:top w:val="none" w:sz="0" w:space="0" w:color="auto"/>
            <w:left w:val="none" w:sz="0" w:space="0" w:color="auto"/>
            <w:bottom w:val="none" w:sz="0" w:space="0" w:color="auto"/>
            <w:right w:val="none" w:sz="0" w:space="0" w:color="auto"/>
          </w:divBdr>
        </w:div>
      </w:divsChild>
    </w:div>
    <w:div w:id="1078402589">
      <w:bodyDiv w:val="1"/>
      <w:marLeft w:val="0"/>
      <w:marRight w:val="0"/>
      <w:marTop w:val="0"/>
      <w:marBottom w:val="0"/>
      <w:divBdr>
        <w:top w:val="none" w:sz="0" w:space="0" w:color="auto"/>
        <w:left w:val="none" w:sz="0" w:space="0" w:color="auto"/>
        <w:bottom w:val="none" w:sz="0" w:space="0" w:color="auto"/>
        <w:right w:val="none" w:sz="0" w:space="0" w:color="auto"/>
      </w:divBdr>
      <w:divsChild>
        <w:div w:id="1958757526">
          <w:marLeft w:val="0"/>
          <w:marRight w:val="0"/>
          <w:marTop w:val="0"/>
          <w:marBottom w:val="0"/>
          <w:divBdr>
            <w:top w:val="none" w:sz="0" w:space="0" w:color="auto"/>
            <w:left w:val="none" w:sz="0" w:space="0" w:color="auto"/>
            <w:bottom w:val="none" w:sz="0" w:space="0" w:color="auto"/>
            <w:right w:val="none" w:sz="0" w:space="0" w:color="auto"/>
          </w:divBdr>
        </w:div>
      </w:divsChild>
    </w:div>
    <w:div w:id="1087071768">
      <w:bodyDiv w:val="1"/>
      <w:marLeft w:val="0"/>
      <w:marRight w:val="0"/>
      <w:marTop w:val="0"/>
      <w:marBottom w:val="0"/>
      <w:divBdr>
        <w:top w:val="none" w:sz="0" w:space="0" w:color="auto"/>
        <w:left w:val="none" w:sz="0" w:space="0" w:color="auto"/>
        <w:bottom w:val="none" w:sz="0" w:space="0" w:color="auto"/>
        <w:right w:val="none" w:sz="0" w:space="0" w:color="auto"/>
      </w:divBdr>
    </w:div>
    <w:div w:id="1088502781">
      <w:bodyDiv w:val="1"/>
      <w:marLeft w:val="0"/>
      <w:marRight w:val="0"/>
      <w:marTop w:val="0"/>
      <w:marBottom w:val="0"/>
      <w:divBdr>
        <w:top w:val="none" w:sz="0" w:space="0" w:color="auto"/>
        <w:left w:val="none" w:sz="0" w:space="0" w:color="auto"/>
        <w:bottom w:val="none" w:sz="0" w:space="0" w:color="auto"/>
        <w:right w:val="none" w:sz="0" w:space="0" w:color="auto"/>
      </w:divBdr>
    </w:div>
    <w:div w:id="1095587775">
      <w:bodyDiv w:val="1"/>
      <w:marLeft w:val="0"/>
      <w:marRight w:val="0"/>
      <w:marTop w:val="0"/>
      <w:marBottom w:val="0"/>
      <w:divBdr>
        <w:top w:val="none" w:sz="0" w:space="0" w:color="auto"/>
        <w:left w:val="none" w:sz="0" w:space="0" w:color="auto"/>
        <w:bottom w:val="none" w:sz="0" w:space="0" w:color="auto"/>
        <w:right w:val="none" w:sz="0" w:space="0" w:color="auto"/>
      </w:divBdr>
      <w:divsChild>
        <w:div w:id="1694846593">
          <w:marLeft w:val="0"/>
          <w:marRight w:val="0"/>
          <w:marTop w:val="0"/>
          <w:marBottom w:val="0"/>
          <w:divBdr>
            <w:top w:val="none" w:sz="0" w:space="0" w:color="auto"/>
            <w:left w:val="none" w:sz="0" w:space="0" w:color="auto"/>
            <w:bottom w:val="none" w:sz="0" w:space="0" w:color="auto"/>
            <w:right w:val="none" w:sz="0" w:space="0" w:color="auto"/>
          </w:divBdr>
        </w:div>
      </w:divsChild>
    </w:div>
    <w:div w:id="1098253600">
      <w:bodyDiv w:val="1"/>
      <w:marLeft w:val="0"/>
      <w:marRight w:val="0"/>
      <w:marTop w:val="0"/>
      <w:marBottom w:val="0"/>
      <w:divBdr>
        <w:top w:val="none" w:sz="0" w:space="0" w:color="auto"/>
        <w:left w:val="none" w:sz="0" w:space="0" w:color="auto"/>
        <w:bottom w:val="none" w:sz="0" w:space="0" w:color="auto"/>
        <w:right w:val="none" w:sz="0" w:space="0" w:color="auto"/>
      </w:divBdr>
    </w:div>
    <w:div w:id="1128163558">
      <w:bodyDiv w:val="1"/>
      <w:marLeft w:val="0"/>
      <w:marRight w:val="0"/>
      <w:marTop w:val="0"/>
      <w:marBottom w:val="0"/>
      <w:divBdr>
        <w:top w:val="none" w:sz="0" w:space="0" w:color="auto"/>
        <w:left w:val="none" w:sz="0" w:space="0" w:color="auto"/>
        <w:bottom w:val="none" w:sz="0" w:space="0" w:color="auto"/>
        <w:right w:val="none" w:sz="0" w:space="0" w:color="auto"/>
      </w:divBdr>
      <w:divsChild>
        <w:div w:id="567544861">
          <w:marLeft w:val="0"/>
          <w:marRight w:val="0"/>
          <w:marTop w:val="0"/>
          <w:marBottom w:val="0"/>
          <w:divBdr>
            <w:top w:val="none" w:sz="0" w:space="0" w:color="auto"/>
            <w:left w:val="none" w:sz="0" w:space="0" w:color="auto"/>
            <w:bottom w:val="none" w:sz="0" w:space="0" w:color="auto"/>
            <w:right w:val="none" w:sz="0" w:space="0" w:color="auto"/>
          </w:divBdr>
        </w:div>
      </w:divsChild>
    </w:div>
    <w:div w:id="1165781316">
      <w:bodyDiv w:val="1"/>
      <w:marLeft w:val="0"/>
      <w:marRight w:val="0"/>
      <w:marTop w:val="0"/>
      <w:marBottom w:val="0"/>
      <w:divBdr>
        <w:top w:val="none" w:sz="0" w:space="0" w:color="auto"/>
        <w:left w:val="none" w:sz="0" w:space="0" w:color="auto"/>
        <w:bottom w:val="none" w:sz="0" w:space="0" w:color="auto"/>
        <w:right w:val="none" w:sz="0" w:space="0" w:color="auto"/>
      </w:divBdr>
    </w:div>
    <w:div w:id="1199320045">
      <w:bodyDiv w:val="1"/>
      <w:marLeft w:val="0"/>
      <w:marRight w:val="0"/>
      <w:marTop w:val="0"/>
      <w:marBottom w:val="0"/>
      <w:divBdr>
        <w:top w:val="none" w:sz="0" w:space="0" w:color="auto"/>
        <w:left w:val="none" w:sz="0" w:space="0" w:color="auto"/>
        <w:bottom w:val="none" w:sz="0" w:space="0" w:color="auto"/>
        <w:right w:val="none" w:sz="0" w:space="0" w:color="auto"/>
      </w:divBdr>
    </w:div>
    <w:div w:id="1205294166">
      <w:bodyDiv w:val="1"/>
      <w:marLeft w:val="0"/>
      <w:marRight w:val="0"/>
      <w:marTop w:val="0"/>
      <w:marBottom w:val="0"/>
      <w:divBdr>
        <w:top w:val="none" w:sz="0" w:space="0" w:color="auto"/>
        <w:left w:val="none" w:sz="0" w:space="0" w:color="auto"/>
        <w:bottom w:val="none" w:sz="0" w:space="0" w:color="auto"/>
        <w:right w:val="none" w:sz="0" w:space="0" w:color="auto"/>
      </w:divBdr>
    </w:div>
    <w:div w:id="1244800925">
      <w:bodyDiv w:val="1"/>
      <w:marLeft w:val="0"/>
      <w:marRight w:val="0"/>
      <w:marTop w:val="0"/>
      <w:marBottom w:val="0"/>
      <w:divBdr>
        <w:top w:val="none" w:sz="0" w:space="0" w:color="auto"/>
        <w:left w:val="none" w:sz="0" w:space="0" w:color="auto"/>
        <w:bottom w:val="none" w:sz="0" w:space="0" w:color="auto"/>
        <w:right w:val="none" w:sz="0" w:space="0" w:color="auto"/>
      </w:divBdr>
    </w:div>
    <w:div w:id="1262103006">
      <w:bodyDiv w:val="1"/>
      <w:marLeft w:val="0"/>
      <w:marRight w:val="0"/>
      <w:marTop w:val="0"/>
      <w:marBottom w:val="0"/>
      <w:divBdr>
        <w:top w:val="none" w:sz="0" w:space="0" w:color="auto"/>
        <w:left w:val="none" w:sz="0" w:space="0" w:color="auto"/>
        <w:bottom w:val="none" w:sz="0" w:space="0" w:color="auto"/>
        <w:right w:val="none" w:sz="0" w:space="0" w:color="auto"/>
      </w:divBdr>
      <w:divsChild>
        <w:div w:id="557401235">
          <w:marLeft w:val="0"/>
          <w:marRight w:val="0"/>
          <w:marTop w:val="0"/>
          <w:marBottom w:val="0"/>
          <w:divBdr>
            <w:top w:val="none" w:sz="0" w:space="0" w:color="auto"/>
            <w:left w:val="none" w:sz="0" w:space="0" w:color="auto"/>
            <w:bottom w:val="none" w:sz="0" w:space="0" w:color="auto"/>
            <w:right w:val="none" w:sz="0" w:space="0" w:color="auto"/>
          </w:divBdr>
        </w:div>
      </w:divsChild>
    </w:div>
    <w:div w:id="1265845925">
      <w:bodyDiv w:val="1"/>
      <w:marLeft w:val="0"/>
      <w:marRight w:val="0"/>
      <w:marTop w:val="0"/>
      <w:marBottom w:val="0"/>
      <w:divBdr>
        <w:top w:val="none" w:sz="0" w:space="0" w:color="auto"/>
        <w:left w:val="none" w:sz="0" w:space="0" w:color="auto"/>
        <w:bottom w:val="none" w:sz="0" w:space="0" w:color="auto"/>
        <w:right w:val="none" w:sz="0" w:space="0" w:color="auto"/>
      </w:divBdr>
      <w:divsChild>
        <w:div w:id="187959071">
          <w:marLeft w:val="0"/>
          <w:marRight w:val="0"/>
          <w:marTop w:val="0"/>
          <w:marBottom w:val="0"/>
          <w:divBdr>
            <w:top w:val="none" w:sz="0" w:space="0" w:color="auto"/>
            <w:left w:val="none" w:sz="0" w:space="0" w:color="auto"/>
            <w:bottom w:val="none" w:sz="0" w:space="0" w:color="auto"/>
            <w:right w:val="none" w:sz="0" w:space="0" w:color="auto"/>
          </w:divBdr>
        </w:div>
        <w:div w:id="398015442">
          <w:marLeft w:val="0"/>
          <w:marRight w:val="0"/>
          <w:marTop w:val="0"/>
          <w:marBottom w:val="0"/>
          <w:divBdr>
            <w:top w:val="none" w:sz="0" w:space="0" w:color="auto"/>
            <w:left w:val="none" w:sz="0" w:space="0" w:color="auto"/>
            <w:bottom w:val="none" w:sz="0" w:space="0" w:color="auto"/>
            <w:right w:val="none" w:sz="0" w:space="0" w:color="auto"/>
          </w:divBdr>
        </w:div>
        <w:div w:id="1478111508">
          <w:marLeft w:val="0"/>
          <w:marRight w:val="0"/>
          <w:marTop w:val="0"/>
          <w:marBottom w:val="0"/>
          <w:divBdr>
            <w:top w:val="none" w:sz="0" w:space="0" w:color="auto"/>
            <w:left w:val="none" w:sz="0" w:space="0" w:color="auto"/>
            <w:bottom w:val="none" w:sz="0" w:space="0" w:color="auto"/>
            <w:right w:val="none" w:sz="0" w:space="0" w:color="auto"/>
          </w:divBdr>
        </w:div>
        <w:div w:id="1681541264">
          <w:marLeft w:val="0"/>
          <w:marRight w:val="0"/>
          <w:marTop w:val="0"/>
          <w:marBottom w:val="0"/>
          <w:divBdr>
            <w:top w:val="none" w:sz="0" w:space="0" w:color="auto"/>
            <w:left w:val="none" w:sz="0" w:space="0" w:color="auto"/>
            <w:bottom w:val="none" w:sz="0" w:space="0" w:color="auto"/>
            <w:right w:val="none" w:sz="0" w:space="0" w:color="auto"/>
          </w:divBdr>
        </w:div>
        <w:div w:id="1800297205">
          <w:marLeft w:val="0"/>
          <w:marRight w:val="0"/>
          <w:marTop w:val="0"/>
          <w:marBottom w:val="0"/>
          <w:divBdr>
            <w:top w:val="none" w:sz="0" w:space="0" w:color="auto"/>
            <w:left w:val="none" w:sz="0" w:space="0" w:color="auto"/>
            <w:bottom w:val="none" w:sz="0" w:space="0" w:color="auto"/>
            <w:right w:val="none" w:sz="0" w:space="0" w:color="auto"/>
          </w:divBdr>
        </w:div>
        <w:div w:id="1903903895">
          <w:marLeft w:val="0"/>
          <w:marRight w:val="0"/>
          <w:marTop w:val="0"/>
          <w:marBottom w:val="0"/>
          <w:divBdr>
            <w:top w:val="none" w:sz="0" w:space="0" w:color="auto"/>
            <w:left w:val="none" w:sz="0" w:space="0" w:color="auto"/>
            <w:bottom w:val="none" w:sz="0" w:space="0" w:color="auto"/>
            <w:right w:val="none" w:sz="0" w:space="0" w:color="auto"/>
          </w:divBdr>
        </w:div>
      </w:divsChild>
    </w:div>
    <w:div w:id="1276253752">
      <w:bodyDiv w:val="1"/>
      <w:marLeft w:val="0"/>
      <w:marRight w:val="0"/>
      <w:marTop w:val="0"/>
      <w:marBottom w:val="0"/>
      <w:divBdr>
        <w:top w:val="none" w:sz="0" w:space="0" w:color="auto"/>
        <w:left w:val="none" w:sz="0" w:space="0" w:color="auto"/>
        <w:bottom w:val="none" w:sz="0" w:space="0" w:color="auto"/>
        <w:right w:val="none" w:sz="0" w:space="0" w:color="auto"/>
      </w:divBdr>
    </w:div>
    <w:div w:id="1279216876">
      <w:bodyDiv w:val="1"/>
      <w:marLeft w:val="0"/>
      <w:marRight w:val="0"/>
      <w:marTop w:val="0"/>
      <w:marBottom w:val="0"/>
      <w:divBdr>
        <w:top w:val="none" w:sz="0" w:space="0" w:color="auto"/>
        <w:left w:val="none" w:sz="0" w:space="0" w:color="auto"/>
        <w:bottom w:val="none" w:sz="0" w:space="0" w:color="auto"/>
        <w:right w:val="none" w:sz="0" w:space="0" w:color="auto"/>
      </w:divBdr>
      <w:divsChild>
        <w:div w:id="1088232895">
          <w:marLeft w:val="0"/>
          <w:marRight w:val="0"/>
          <w:marTop w:val="0"/>
          <w:marBottom w:val="0"/>
          <w:divBdr>
            <w:top w:val="none" w:sz="0" w:space="0" w:color="auto"/>
            <w:left w:val="none" w:sz="0" w:space="0" w:color="auto"/>
            <w:bottom w:val="none" w:sz="0" w:space="0" w:color="auto"/>
            <w:right w:val="none" w:sz="0" w:space="0" w:color="auto"/>
          </w:divBdr>
        </w:div>
      </w:divsChild>
    </w:div>
    <w:div w:id="1279684178">
      <w:bodyDiv w:val="1"/>
      <w:marLeft w:val="0"/>
      <w:marRight w:val="0"/>
      <w:marTop w:val="0"/>
      <w:marBottom w:val="0"/>
      <w:divBdr>
        <w:top w:val="none" w:sz="0" w:space="0" w:color="auto"/>
        <w:left w:val="none" w:sz="0" w:space="0" w:color="auto"/>
        <w:bottom w:val="none" w:sz="0" w:space="0" w:color="auto"/>
        <w:right w:val="none" w:sz="0" w:space="0" w:color="auto"/>
      </w:divBdr>
    </w:div>
    <w:div w:id="1289631135">
      <w:bodyDiv w:val="1"/>
      <w:marLeft w:val="0"/>
      <w:marRight w:val="0"/>
      <w:marTop w:val="0"/>
      <w:marBottom w:val="0"/>
      <w:divBdr>
        <w:top w:val="none" w:sz="0" w:space="0" w:color="auto"/>
        <w:left w:val="none" w:sz="0" w:space="0" w:color="auto"/>
        <w:bottom w:val="none" w:sz="0" w:space="0" w:color="auto"/>
        <w:right w:val="none" w:sz="0" w:space="0" w:color="auto"/>
      </w:divBdr>
      <w:divsChild>
        <w:div w:id="201404741">
          <w:marLeft w:val="0"/>
          <w:marRight w:val="0"/>
          <w:marTop w:val="0"/>
          <w:marBottom w:val="0"/>
          <w:divBdr>
            <w:top w:val="none" w:sz="0" w:space="0" w:color="auto"/>
            <w:left w:val="none" w:sz="0" w:space="0" w:color="auto"/>
            <w:bottom w:val="none" w:sz="0" w:space="0" w:color="auto"/>
            <w:right w:val="none" w:sz="0" w:space="0" w:color="auto"/>
          </w:divBdr>
        </w:div>
      </w:divsChild>
    </w:div>
    <w:div w:id="1293704960">
      <w:bodyDiv w:val="1"/>
      <w:marLeft w:val="0"/>
      <w:marRight w:val="0"/>
      <w:marTop w:val="0"/>
      <w:marBottom w:val="0"/>
      <w:divBdr>
        <w:top w:val="none" w:sz="0" w:space="0" w:color="auto"/>
        <w:left w:val="none" w:sz="0" w:space="0" w:color="auto"/>
        <w:bottom w:val="none" w:sz="0" w:space="0" w:color="auto"/>
        <w:right w:val="none" w:sz="0" w:space="0" w:color="auto"/>
      </w:divBdr>
      <w:divsChild>
        <w:div w:id="1549682181">
          <w:marLeft w:val="0"/>
          <w:marRight w:val="0"/>
          <w:marTop w:val="0"/>
          <w:marBottom w:val="0"/>
          <w:divBdr>
            <w:top w:val="none" w:sz="0" w:space="0" w:color="auto"/>
            <w:left w:val="none" w:sz="0" w:space="0" w:color="auto"/>
            <w:bottom w:val="none" w:sz="0" w:space="0" w:color="auto"/>
            <w:right w:val="none" w:sz="0" w:space="0" w:color="auto"/>
          </w:divBdr>
        </w:div>
      </w:divsChild>
    </w:div>
    <w:div w:id="1308824041">
      <w:bodyDiv w:val="1"/>
      <w:marLeft w:val="0"/>
      <w:marRight w:val="0"/>
      <w:marTop w:val="0"/>
      <w:marBottom w:val="0"/>
      <w:divBdr>
        <w:top w:val="none" w:sz="0" w:space="0" w:color="auto"/>
        <w:left w:val="none" w:sz="0" w:space="0" w:color="auto"/>
        <w:bottom w:val="none" w:sz="0" w:space="0" w:color="auto"/>
        <w:right w:val="none" w:sz="0" w:space="0" w:color="auto"/>
      </w:divBdr>
    </w:div>
    <w:div w:id="1422409517">
      <w:bodyDiv w:val="1"/>
      <w:marLeft w:val="0"/>
      <w:marRight w:val="0"/>
      <w:marTop w:val="0"/>
      <w:marBottom w:val="0"/>
      <w:divBdr>
        <w:top w:val="none" w:sz="0" w:space="0" w:color="auto"/>
        <w:left w:val="none" w:sz="0" w:space="0" w:color="auto"/>
        <w:bottom w:val="none" w:sz="0" w:space="0" w:color="auto"/>
        <w:right w:val="none" w:sz="0" w:space="0" w:color="auto"/>
      </w:divBdr>
      <w:divsChild>
        <w:div w:id="1075784479">
          <w:marLeft w:val="0"/>
          <w:marRight w:val="0"/>
          <w:marTop w:val="0"/>
          <w:marBottom w:val="0"/>
          <w:divBdr>
            <w:top w:val="none" w:sz="0" w:space="0" w:color="auto"/>
            <w:left w:val="none" w:sz="0" w:space="0" w:color="auto"/>
            <w:bottom w:val="none" w:sz="0" w:space="0" w:color="auto"/>
            <w:right w:val="none" w:sz="0" w:space="0" w:color="auto"/>
          </w:divBdr>
        </w:div>
      </w:divsChild>
    </w:div>
    <w:div w:id="1453480154">
      <w:bodyDiv w:val="1"/>
      <w:marLeft w:val="0"/>
      <w:marRight w:val="0"/>
      <w:marTop w:val="0"/>
      <w:marBottom w:val="0"/>
      <w:divBdr>
        <w:top w:val="none" w:sz="0" w:space="0" w:color="auto"/>
        <w:left w:val="none" w:sz="0" w:space="0" w:color="auto"/>
        <w:bottom w:val="none" w:sz="0" w:space="0" w:color="auto"/>
        <w:right w:val="none" w:sz="0" w:space="0" w:color="auto"/>
      </w:divBdr>
    </w:div>
    <w:div w:id="1472794903">
      <w:bodyDiv w:val="1"/>
      <w:marLeft w:val="0"/>
      <w:marRight w:val="0"/>
      <w:marTop w:val="0"/>
      <w:marBottom w:val="0"/>
      <w:divBdr>
        <w:top w:val="none" w:sz="0" w:space="0" w:color="auto"/>
        <w:left w:val="none" w:sz="0" w:space="0" w:color="auto"/>
        <w:bottom w:val="none" w:sz="0" w:space="0" w:color="auto"/>
        <w:right w:val="none" w:sz="0" w:space="0" w:color="auto"/>
      </w:divBdr>
    </w:div>
    <w:div w:id="1491142932">
      <w:bodyDiv w:val="1"/>
      <w:marLeft w:val="0"/>
      <w:marRight w:val="0"/>
      <w:marTop w:val="0"/>
      <w:marBottom w:val="0"/>
      <w:divBdr>
        <w:top w:val="none" w:sz="0" w:space="0" w:color="auto"/>
        <w:left w:val="none" w:sz="0" w:space="0" w:color="auto"/>
        <w:bottom w:val="none" w:sz="0" w:space="0" w:color="auto"/>
        <w:right w:val="none" w:sz="0" w:space="0" w:color="auto"/>
      </w:divBdr>
      <w:divsChild>
        <w:div w:id="275334308">
          <w:marLeft w:val="0"/>
          <w:marRight w:val="0"/>
          <w:marTop w:val="0"/>
          <w:marBottom w:val="0"/>
          <w:divBdr>
            <w:top w:val="none" w:sz="0" w:space="0" w:color="auto"/>
            <w:left w:val="none" w:sz="0" w:space="0" w:color="auto"/>
            <w:bottom w:val="none" w:sz="0" w:space="0" w:color="auto"/>
            <w:right w:val="none" w:sz="0" w:space="0" w:color="auto"/>
          </w:divBdr>
        </w:div>
      </w:divsChild>
    </w:div>
    <w:div w:id="1502549083">
      <w:bodyDiv w:val="1"/>
      <w:marLeft w:val="0"/>
      <w:marRight w:val="0"/>
      <w:marTop w:val="0"/>
      <w:marBottom w:val="0"/>
      <w:divBdr>
        <w:top w:val="none" w:sz="0" w:space="0" w:color="auto"/>
        <w:left w:val="none" w:sz="0" w:space="0" w:color="auto"/>
        <w:bottom w:val="none" w:sz="0" w:space="0" w:color="auto"/>
        <w:right w:val="none" w:sz="0" w:space="0" w:color="auto"/>
      </w:divBdr>
    </w:div>
    <w:div w:id="1552770015">
      <w:bodyDiv w:val="1"/>
      <w:marLeft w:val="0"/>
      <w:marRight w:val="0"/>
      <w:marTop w:val="0"/>
      <w:marBottom w:val="0"/>
      <w:divBdr>
        <w:top w:val="none" w:sz="0" w:space="0" w:color="auto"/>
        <w:left w:val="none" w:sz="0" w:space="0" w:color="auto"/>
        <w:bottom w:val="none" w:sz="0" w:space="0" w:color="auto"/>
        <w:right w:val="none" w:sz="0" w:space="0" w:color="auto"/>
      </w:divBdr>
    </w:div>
    <w:div w:id="1609391544">
      <w:bodyDiv w:val="1"/>
      <w:marLeft w:val="0"/>
      <w:marRight w:val="0"/>
      <w:marTop w:val="0"/>
      <w:marBottom w:val="0"/>
      <w:divBdr>
        <w:top w:val="none" w:sz="0" w:space="0" w:color="auto"/>
        <w:left w:val="none" w:sz="0" w:space="0" w:color="auto"/>
        <w:bottom w:val="none" w:sz="0" w:space="0" w:color="auto"/>
        <w:right w:val="none" w:sz="0" w:space="0" w:color="auto"/>
      </w:divBdr>
    </w:div>
    <w:div w:id="1615088719">
      <w:bodyDiv w:val="1"/>
      <w:marLeft w:val="0"/>
      <w:marRight w:val="0"/>
      <w:marTop w:val="0"/>
      <w:marBottom w:val="0"/>
      <w:divBdr>
        <w:top w:val="none" w:sz="0" w:space="0" w:color="auto"/>
        <w:left w:val="none" w:sz="0" w:space="0" w:color="auto"/>
        <w:bottom w:val="none" w:sz="0" w:space="0" w:color="auto"/>
        <w:right w:val="none" w:sz="0" w:space="0" w:color="auto"/>
      </w:divBdr>
    </w:div>
    <w:div w:id="1668746098">
      <w:bodyDiv w:val="1"/>
      <w:marLeft w:val="0"/>
      <w:marRight w:val="0"/>
      <w:marTop w:val="0"/>
      <w:marBottom w:val="0"/>
      <w:divBdr>
        <w:top w:val="none" w:sz="0" w:space="0" w:color="auto"/>
        <w:left w:val="none" w:sz="0" w:space="0" w:color="auto"/>
        <w:bottom w:val="none" w:sz="0" w:space="0" w:color="auto"/>
        <w:right w:val="none" w:sz="0" w:space="0" w:color="auto"/>
      </w:divBdr>
    </w:div>
    <w:div w:id="1730421220">
      <w:bodyDiv w:val="1"/>
      <w:marLeft w:val="0"/>
      <w:marRight w:val="0"/>
      <w:marTop w:val="0"/>
      <w:marBottom w:val="0"/>
      <w:divBdr>
        <w:top w:val="none" w:sz="0" w:space="0" w:color="auto"/>
        <w:left w:val="none" w:sz="0" w:space="0" w:color="auto"/>
        <w:bottom w:val="none" w:sz="0" w:space="0" w:color="auto"/>
        <w:right w:val="none" w:sz="0" w:space="0" w:color="auto"/>
      </w:divBdr>
    </w:div>
    <w:div w:id="1753550086">
      <w:bodyDiv w:val="1"/>
      <w:marLeft w:val="0"/>
      <w:marRight w:val="0"/>
      <w:marTop w:val="0"/>
      <w:marBottom w:val="0"/>
      <w:divBdr>
        <w:top w:val="none" w:sz="0" w:space="0" w:color="auto"/>
        <w:left w:val="none" w:sz="0" w:space="0" w:color="auto"/>
        <w:bottom w:val="none" w:sz="0" w:space="0" w:color="auto"/>
        <w:right w:val="none" w:sz="0" w:space="0" w:color="auto"/>
      </w:divBdr>
    </w:div>
    <w:div w:id="1763260066">
      <w:bodyDiv w:val="1"/>
      <w:marLeft w:val="0"/>
      <w:marRight w:val="0"/>
      <w:marTop w:val="0"/>
      <w:marBottom w:val="0"/>
      <w:divBdr>
        <w:top w:val="none" w:sz="0" w:space="0" w:color="auto"/>
        <w:left w:val="none" w:sz="0" w:space="0" w:color="auto"/>
        <w:bottom w:val="none" w:sz="0" w:space="0" w:color="auto"/>
        <w:right w:val="none" w:sz="0" w:space="0" w:color="auto"/>
      </w:divBdr>
    </w:div>
    <w:div w:id="1776904951">
      <w:bodyDiv w:val="1"/>
      <w:marLeft w:val="0"/>
      <w:marRight w:val="0"/>
      <w:marTop w:val="0"/>
      <w:marBottom w:val="0"/>
      <w:divBdr>
        <w:top w:val="none" w:sz="0" w:space="0" w:color="auto"/>
        <w:left w:val="none" w:sz="0" w:space="0" w:color="auto"/>
        <w:bottom w:val="none" w:sz="0" w:space="0" w:color="auto"/>
        <w:right w:val="none" w:sz="0" w:space="0" w:color="auto"/>
      </w:divBdr>
    </w:div>
    <w:div w:id="1780832026">
      <w:bodyDiv w:val="1"/>
      <w:marLeft w:val="0"/>
      <w:marRight w:val="0"/>
      <w:marTop w:val="0"/>
      <w:marBottom w:val="0"/>
      <w:divBdr>
        <w:top w:val="none" w:sz="0" w:space="0" w:color="auto"/>
        <w:left w:val="none" w:sz="0" w:space="0" w:color="auto"/>
        <w:bottom w:val="none" w:sz="0" w:space="0" w:color="auto"/>
        <w:right w:val="none" w:sz="0" w:space="0" w:color="auto"/>
      </w:divBdr>
      <w:divsChild>
        <w:div w:id="1512338149">
          <w:marLeft w:val="0"/>
          <w:marRight w:val="0"/>
          <w:marTop w:val="0"/>
          <w:marBottom w:val="0"/>
          <w:divBdr>
            <w:top w:val="none" w:sz="0" w:space="0" w:color="auto"/>
            <w:left w:val="none" w:sz="0" w:space="0" w:color="auto"/>
            <w:bottom w:val="none" w:sz="0" w:space="0" w:color="auto"/>
            <w:right w:val="none" w:sz="0" w:space="0" w:color="auto"/>
          </w:divBdr>
        </w:div>
      </w:divsChild>
    </w:div>
    <w:div w:id="1782798729">
      <w:bodyDiv w:val="1"/>
      <w:marLeft w:val="0"/>
      <w:marRight w:val="0"/>
      <w:marTop w:val="0"/>
      <w:marBottom w:val="0"/>
      <w:divBdr>
        <w:top w:val="none" w:sz="0" w:space="0" w:color="auto"/>
        <w:left w:val="none" w:sz="0" w:space="0" w:color="auto"/>
        <w:bottom w:val="none" w:sz="0" w:space="0" w:color="auto"/>
        <w:right w:val="none" w:sz="0" w:space="0" w:color="auto"/>
      </w:divBdr>
    </w:div>
    <w:div w:id="1786536741">
      <w:bodyDiv w:val="1"/>
      <w:marLeft w:val="0"/>
      <w:marRight w:val="0"/>
      <w:marTop w:val="0"/>
      <w:marBottom w:val="0"/>
      <w:divBdr>
        <w:top w:val="none" w:sz="0" w:space="0" w:color="auto"/>
        <w:left w:val="none" w:sz="0" w:space="0" w:color="auto"/>
        <w:bottom w:val="none" w:sz="0" w:space="0" w:color="auto"/>
        <w:right w:val="none" w:sz="0" w:space="0" w:color="auto"/>
      </w:divBdr>
    </w:div>
    <w:div w:id="1801192470">
      <w:bodyDiv w:val="1"/>
      <w:marLeft w:val="0"/>
      <w:marRight w:val="0"/>
      <w:marTop w:val="0"/>
      <w:marBottom w:val="0"/>
      <w:divBdr>
        <w:top w:val="none" w:sz="0" w:space="0" w:color="auto"/>
        <w:left w:val="none" w:sz="0" w:space="0" w:color="auto"/>
        <w:bottom w:val="none" w:sz="0" w:space="0" w:color="auto"/>
        <w:right w:val="none" w:sz="0" w:space="0" w:color="auto"/>
      </w:divBdr>
      <w:divsChild>
        <w:div w:id="879322924">
          <w:marLeft w:val="0"/>
          <w:marRight w:val="0"/>
          <w:marTop w:val="0"/>
          <w:marBottom w:val="0"/>
          <w:divBdr>
            <w:top w:val="none" w:sz="0" w:space="0" w:color="auto"/>
            <w:left w:val="none" w:sz="0" w:space="0" w:color="auto"/>
            <w:bottom w:val="none" w:sz="0" w:space="0" w:color="auto"/>
            <w:right w:val="none" w:sz="0" w:space="0" w:color="auto"/>
          </w:divBdr>
        </w:div>
        <w:div w:id="1230075823">
          <w:marLeft w:val="0"/>
          <w:marRight w:val="0"/>
          <w:marTop w:val="0"/>
          <w:marBottom w:val="0"/>
          <w:divBdr>
            <w:top w:val="none" w:sz="0" w:space="0" w:color="auto"/>
            <w:left w:val="none" w:sz="0" w:space="0" w:color="auto"/>
            <w:bottom w:val="none" w:sz="0" w:space="0" w:color="auto"/>
            <w:right w:val="none" w:sz="0" w:space="0" w:color="auto"/>
          </w:divBdr>
        </w:div>
        <w:div w:id="1617444080">
          <w:marLeft w:val="0"/>
          <w:marRight w:val="0"/>
          <w:marTop w:val="0"/>
          <w:marBottom w:val="0"/>
          <w:divBdr>
            <w:top w:val="none" w:sz="0" w:space="0" w:color="auto"/>
            <w:left w:val="none" w:sz="0" w:space="0" w:color="auto"/>
            <w:bottom w:val="none" w:sz="0" w:space="0" w:color="auto"/>
            <w:right w:val="none" w:sz="0" w:space="0" w:color="auto"/>
          </w:divBdr>
        </w:div>
        <w:div w:id="1630818176">
          <w:marLeft w:val="0"/>
          <w:marRight w:val="0"/>
          <w:marTop w:val="0"/>
          <w:marBottom w:val="0"/>
          <w:divBdr>
            <w:top w:val="none" w:sz="0" w:space="0" w:color="auto"/>
            <w:left w:val="none" w:sz="0" w:space="0" w:color="auto"/>
            <w:bottom w:val="none" w:sz="0" w:space="0" w:color="auto"/>
            <w:right w:val="none" w:sz="0" w:space="0" w:color="auto"/>
          </w:divBdr>
        </w:div>
      </w:divsChild>
    </w:div>
    <w:div w:id="1804227157">
      <w:bodyDiv w:val="1"/>
      <w:marLeft w:val="0"/>
      <w:marRight w:val="0"/>
      <w:marTop w:val="0"/>
      <w:marBottom w:val="0"/>
      <w:divBdr>
        <w:top w:val="none" w:sz="0" w:space="0" w:color="auto"/>
        <w:left w:val="none" w:sz="0" w:space="0" w:color="auto"/>
        <w:bottom w:val="none" w:sz="0" w:space="0" w:color="auto"/>
        <w:right w:val="none" w:sz="0" w:space="0" w:color="auto"/>
      </w:divBdr>
    </w:div>
    <w:div w:id="1806196673">
      <w:bodyDiv w:val="1"/>
      <w:marLeft w:val="0"/>
      <w:marRight w:val="0"/>
      <w:marTop w:val="0"/>
      <w:marBottom w:val="0"/>
      <w:divBdr>
        <w:top w:val="none" w:sz="0" w:space="0" w:color="auto"/>
        <w:left w:val="none" w:sz="0" w:space="0" w:color="auto"/>
        <w:bottom w:val="none" w:sz="0" w:space="0" w:color="auto"/>
        <w:right w:val="none" w:sz="0" w:space="0" w:color="auto"/>
      </w:divBdr>
      <w:divsChild>
        <w:div w:id="1967084312">
          <w:marLeft w:val="0"/>
          <w:marRight w:val="0"/>
          <w:marTop w:val="0"/>
          <w:marBottom w:val="0"/>
          <w:divBdr>
            <w:top w:val="none" w:sz="0" w:space="0" w:color="auto"/>
            <w:left w:val="none" w:sz="0" w:space="0" w:color="auto"/>
            <w:bottom w:val="none" w:sz="0" w:space="0" w:color="auto"/>
            <w:right w:val="none" w:sz="0" w:space="0" w:color="auto"/>
          </w:divBdr>
        </w:div>
      </w:divsChild>
    </w:div>
    <w:div w:id="1861429827">
      <w:bodyDiv w:val="1"/>
      <w:marLeft w:val="0"/>
      <w:marRight w:val="0"/>
      <w:marTop w:val="0"/>
      <w:marBottom w:val="0"/>
      <w:divBdr>
        <w:top w:val="none" w:sz="0" w:space="0" w:color="auto"/>
        <w:left w:val="none" w:sz="0" w:space="0" w:color="auto"/>
        <w:bottom w:val="none" w:sz="0" w:space="0" w:color="auto"/>
        <w:right w:val="none" w:sz="0" w:space="0" w:color="auto"/>
      </w:divBdr>
    </w:div>
    <w:div w:id="1863400157">
      <w:bodyDiv w:val="1"/>
      <w:marLeft w:val="0"/>
      <w:marRight w:val="0"/>
      <w:marTop w:val="0"/>
      <w:marBottom w:val="0"/>
      <w:divBdr>
        <w:top w:val="none" w:sz="0" w:space="0" w:color="auto"/>
        <w:left w:val="none" w:sz="0" w:space="0" w:color="auto"/>
        <w:bottom w:val="none" w:sz="0" w:space="0" w:color="auto"/>
        <w:right w:val="none" w:sz="0" w:space="0" w:color="auto"/>
      </w:divBdr>
    </w:div>
    <w:div w:id="1957256036">
      <w:bodyDiv w:val="1"/>
      <w:marLeft w:val="0"/>
      <w:marRight w:val="0"/>
      <w:marTop w:val="0"/>
      <w:marBottom w:val="0"/>
      <w:divBdr>
        <w:top w:val="none" w:sz="0" w:space="0" w:color="auto"/>
        <w:left w:val="none" w:sz="0" w:space="0" w:color="auto"/>
        <w:bottom w:val="none" w:sz="0" w:space="0" w:color="auto"/>
        <w:right w:val="none" w:sz="0" w:space="0" w:color="auto"/>
      </w:divBdr>
    </w:div>
    <w:div w:id="1967083152">
      <w:bodyDiv w:val="1"/>
      <w:marLeft w:val="0"/>
      <w:marRight w:val="0"/>
      <w:marTop w:val="0"/>
      <w:marBottom w:val="0"/>
      <w:divBdr>
        <w:top w:val="none" w:sz="0" w:space="0" w:color="auto"/>
        <w:left w:val="none" w:sz="0" w:space="0" w:color="auto"/>
        <w:bottom w:val="none" w:sz="0" w:space="0" w:color="auto"/>
        <w:right w:val="none" w:sz="0" w:space="0" w:color="auto"/>
      </w:divBdr>
    </w:div>
    <w:div w:id="1969429444">
      <w:bodyDiv w:val="1"/>
      <w:marLeft w:val="0"/>
      <w:marRight w:val="0"/>
      <w:marTop w:val="0"/>
      <w:marBottom w:val="0"/>
      <w:divBdr>
        <w:top w:val="none" w:sz="0" w:space="0" w:color="auto"/>
        <w:left w:val="none" w:sz="0" w:space="0" w:color="auto"/>
        <w:bottom w:val="none" w:sz="0" w:space="0" w:color="auto"/>
        <w:right w:val="none" w:sz="0" w:space="0" w:color="auto"/>
      </w:divBdr>
      <w:divsChild>
        <w:div w:id="1940134153">
          <w:marLeft w:val="0"/>
          <w:marRight w:val="0"/>
          <w:marTop w:val="0"/>
          <w:marBottom w:val="0"/>
          <w:divBdr>
            <w:top w:val="none" w:sz="0" w:space="0" w:color="auto"/>
            <w:left w:val="none" w:sz="0" w:space="0" w:color="auto"/>
            <w:bottom w:val="none" w:sz="0" w:space="0" w:color="auto"/>
            <w:right w:val="none" w:sz="0" w:space="0" w:color="auto"/>
          </w:divBdr>
        </w:div>
      </w:divsChild>
    </w:div>
    <w:div w:id="2006207559">
      <w:bodyDiv w:val="1"/>
      <w:marLeft w:val="0"/>
      <w:marRight w:val="0"/>
      <w:marTop w:val="0"/>
      <w:marBottom w:val="0"/>
      <w:divBdr>
        <w:top w:val="none" w:sz="0" w:space="0" w:color="auto"/>
        <w:left w:val="none" w:sz="0" w:space="0" w:color="auto"/>
        <w:bottom w:val="none" w:sz="0" w:space="0" w:color="auto"/>
        <w:right w:val="none" w:sz="0" w:space="0" w:color="auto"/>
      </w:divBdr>
    </w:div>
    <w:div w:id="2026511637">
      <w:bodyDiv w:val="1"/>
      <w:marLeft w:val="0"/>
      <w:marRight w:val="0"/>
      <w:marTop w:val="0"/>
      <w:marBottom w:val="0"/>
      <w:divBdr>
        <w:top w:val="none" w:sz="0" w:space="0" w:color="auto"/>
        <w:left w:val="none" w:sz="0" w:space="0" w:color="auto"/>
        <w:bottom w:val="none" w:sz="0" w:space="0" w:color="auto"/>
        <w:right w:val="none" w:sz="0" w:space="0" w:color="auto"/>
      </w:divBdr>
    </w:div>
    <w:div w:id="2033532152">
      <w:bodyDiv w:val="1"/>
      <w:marLeft w:val="0"/>
      <w:marRight w:val="0"/>
      <w:marTop w:val="0"/>
      <w:marBottom w:val="0"/>
      <w:divBdr>
        <w:top w:val="none" w:sz="0" w:space="0" w:color="auto"/>
        <w:left w:val="none" w:sz="0" w:space="0" w:color="auto"/>
        <w:bottom w:val="none" w:sz="0" w:space="0" w:color="auto"/>
        <w:right w:val="none" w:sz="0" w:space="0" w:color="auto"/>
      </w:divBdr>
      <w:divsChild>
        <w:div w:id="462574691">
          <w:marLeft w:val="0"/>
          <w:marRight w:val="0"/>
          <w:marTop w:val="0"/>
          <w:marBottom w:val="0"/>
          <w:divBdr>
            <w:top w:val="none" w:sz="0" w:space="0" w:color="auto"/>
            <w:left w:val="none" w:sz="0" w:space="0" w:color="auto"/>
            <w:bottom w:val="none" w:sz="0" w:space="0" w:color="auto"/>
            <w:right w:val="none" w:sz="0" w:space="0" w:color="auto"/>
          </w:divBdr>
        </w:div>
      </w:divsChild>
    </w:div>
    <w:div w:id="2109229839">
      <w:bodyDiv w:val="1"/>
      <w:marLeft w:val="0"/>
      <w:marRight w:val="0"/>
      <w:marTop w:val="0"/>
      <w:marBottom w:val="0"/>
      <w:divBdr>
        <w:top w:val="none" w:sz="0" w:space="0" w:color="auto"/>
        <w:left w:val="none" w:sz="0" w:space="0" w:color="auto"/>
        <w:bottom w:val="none" w:sz="0" w:space="0" w:color="auto"/>
        <w:right w:val="none" w:sz="0" w:space="0" w:color="auto"/>
      </w:divBdr>
      <w:divsChild>
        <w:div w:id="141408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hyperlink" Target="https://www.accc.gov.au/business/competition-and-exemp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mailto:media@treasury.gov.au"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pmc.gov.au/honours-and-symbols/commonwealth-coat-arm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ccc.gov.au/system/files/public-registers/documents/Collective%20bargaining%20class%20exemption%20-%20Guidelines%20June%202021.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footer" Target="footer4.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B97CC9" w:rsidRDefault="00B97CC9"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B97CC9" w:rsidRDefault="00B97CC9"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B97CC9" w:rsidRDefault="00B97CC9"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DBC" w:rsidRDefault="00CB4DBC">
      <w:pPr>
        <w:spacing w:after="0" w:line="240" w:lineRule="auto"/>
      </w:pPr>
      <w:r>
        <w:separator/>
      </w:r>
    </w:p>
  </w:endnote>
  <w:endnote w:type="continuationSeparator" w:id="0">
    <w:p w:rsidR="00CB4DBC" w:rsidRDefault="00CB4DB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DBC" w:rsidRDefault="00CB4DBC">
      <w:pPr>
        <w:spacing w:after="0" w:line="240" w:lineRule="auto"/>
      </w:pPr>
      <w:r>
        <w:separator/>
      </w:r>
    </w:p>
  </w:footnote>
  <w:footnote w:type="continuationSeparator" w:id="0">
    <w:p w:rsidR="00CB4DBC" w:rsidRDefault="00CB4DB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16C58"/>
    <w:rsid w:val="00053B97"/>
    <w:rsid w:val="0005581A"/>
    <w:rsid w:val="000A10F7"/>
    <w:rsid w:val="000F4923"/>
    <w:rsid w:val="00130D22"/>
    <w:rsid w:val="0014553A"/>
    <w:rsid w:val="00162A85"/>
    <w:rsid w:val="00164C26"/>
    <w:rsid w:val="001A247C"/>
    <w:rsid w:val="001A42D1"/>
    <w:rsid w:val="001C2C0B"/>
    <w:rsid w:val="001C2D46"/>
    <w:rsid w:val="001D20CA"/>
    <w:rsid w:val="001E18AC"/>
    <w:rsid w:val="00205866"/>
    <w:rsid w:val="0021567B"/>
    <w:rsid w:val="0029353B"/>
    <w:rsid w:val="002F52A6"/>
    <w:rsid w:val="002F6DA5"/>
    <w:rsid w:val="00304576"/>
    <w:rsid w:val="0031139C"/>
    <w:rsid w:val="00350366"/>
    <w:rsid w:val="00351446"/>
    <w:rsid w:val="003823D9"/>
    <w:rsid w:val="0038279F"/>
    <w:rsid w:val="003A2C13"/>
    <w:rsid w:val="003F1C03"/>
    <w:rsid w:val="004011FB"/>
    <w:rsid w:val="004076C4"/>
    <w:rsid w:val="004106B5"/>
    <w:rsid w:val="00431DDE"/>
    <w:rsid w:val="00432949"/>
    <w:rsid w:val="0046049B"/>
    <w:rsid w:val="0048518C"/>
    <w:rsid w:val="004D41AF"/>
    <w:rsid w:val="004E32A3"/>
    <w:rsid w:val="00505AE8"/>
    <w:rsid w:val="00520ECF"/>
    <w:rsid w:val="005363AE"/>
    <w:rsid w:val="005367D1"/>
    <w:rsid w:val="005459C2"/>
    <w:rsid w:val="005557D2"/>
    <w:rsid w:val="00555CEB"/>
    <w:rsid w:val="00583570"/>
    <w:rsid w:val="00595EBB"/>
    <w:rsid w:val="005A602A"/>
    <w:rsid w:val="0060408A"/>
    <w:rsid w:val="00693803"/>
    <w:rsid w:val="00697E2D"/>
    <w:rsid w:val="006B0C3C"/>
    <w:rsid w:val="006C071B"/>
    <w:rsid w:val="006C30A9"/>
    <w:rsid w:val="006D1DE0"/>
    <w:rsid w:val="0072320F"/>
    <w:rsid w:val="00745E3C"/>
    <w:rsid w:val="00762811"/>
    <w:rsid w:val="007953F3"/>
    <w:rsid w:val="007D0D76"/>
    <w:rsid w:val="0081328D"/>
    <w:rsid w:val="0086229A"/>
    <w:rsid w:val="00880E27"/>
    <w:rsid w:val="00885620"/>
    <w:rsid w:val="008B1EF4"/>
    <w:rsid w:val="008F20E0"/>
    <w:rsid w:val="009025EA"/>
    <w:rsid w:val="00940558"/>
    <w:rsid w:val="0094451F"/>
    <w:rsid w:val="00951E47"/>
    <w:rsid w:val="009714C3"/>
    <w:rsid w:val="00986578"/>
    <w:rsid w:val="009C2516"/>
    <w:rsid w:val="009D0CE2"/>
    <w:rsid w:val="009D6B8A"/>
    <w:rsid w:val="009E4C60"/>
    <w:rsid w:val="009F3200"/>
    <w:rsid w:val="00A21D57"/>
    <w:rsid w:val="00A325E7"/>
    <w:rsid w:val="00A4486F"/>
    <w:rsid w:val="00A64AEA"/>
    <w:rsid w:val="00A64E86"/>
    <w:rsid w:val="00A8225E"/>
    <w:rsid w:val="00AB5077"/>
    <w:rsid w:val="00AB6DE6"/>
    <w:rsid w:val="00AE792C"/>
    <w:rsid w:val="00AF364C"/>
    <w:rsid w:val="00B0452C"/>
    <w:rsid w:val="00B048A7"/>
    <w:rsid w:val="00B052E4"/>
    <w:rsid w:val="00B05E2F"/>
    <w:rsid w:val="00B210F3"/>
    <w:rsid w:val="00B30D26"/>
    <w:rsid w:val="00B3682E"/>
    <w:rsid w:val="00B8134B"/>
    <w:rsid w:val="00B839CE"/>
    <w:rsid w:val="00B84B01"/>
    <w:rsid w:val="00B942B0"/>
    <w:rsid w:val="00B9785E"/>
    <w:rsid w:val="00B97CC9"/>
    <w:rsid w:val="00BA43D7"/>
    <w:rsid w:val="00BA7231"/>
    <w:rsid w:val="00BE3E81"/>
    <w:rsid w:val="00BF7671"/>
    <w:rsid w:val="00C05BA4"/>
    <w:rsid w:val="00C167B0"/>
    <w:rsid w:val="00C4206E"/>
    <w:rsid w:val="00C42DDD"/>
    <w:rsid w:val="00C4611C"/>
    <w:rsid w:val="00C47E43"/>
    <w:rsid w:val="00C57F5A"/>
    <w:rsid w:val="00C77250"/>
    <w:rsid w:val="00CB4DBC"/>
    <w:rsid w:val="00CC5413"/>
    <w:rsid w:val="00CF75DF"/>
    <w:rsid w:val="00CF7D7D"/>
    <w:rsid w:val="00D014D1"/>
    <w:rsid w:val="00D34127"/>
    <w:rsid w:val="00D80AFA"/>
    <w:rsid w:val="00D90833"/>
    <w:rsid w:val="00D96636"/>
    <w:rsid w:val="00DB35BB"/>
    <w:rsid w:val="00DB57F7"/>
    <w:rsid w:val="00DB644E"/>
    <w:rsid w:val="00DE431E"/>
    <w:rsid w:val="00DE43CA"/>
    <w:rsid w:val="00E13A04"/>
    <w:rsid w:val="00E518EB"/>
    <w:rsid w:val="00E7416D"/>
    <w:rsid w:val="00E95AA6"/>
    <w:rsid w:val="00EA5718"/>
    <w:rsid w:val="00EE2883"/>
    <w:rsid w:val="00EF1A38"/>
    <w:rsid w:val="00F067D8"/>
    <w:rsid w:val="00F302BB"/>
    <w:rsid w:val="00F75933"/>
    <w:rsid w:val="00F913F4"/>
    <w:rsid w:val="00FE0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7216</Words>
  <Characters>42870</Characters>
  <Application>Microsoft Office Word</Application>
  <DocSecurity>0</DocSecurity>
  <Lines>712</Lines>
  <Paragraphs>285</Paragraphs>
  <ScaleCrop>false</ScaleCrop>
  <HeadingPairs>
    <vt:vector size="2" baseType="variant">
      <vt:variant>
        <vt:lpstr>Title</vt:lpstr>
      </vt:variant>
      <vt:variant>
        <vt:i4>1</vt:i4>
      </vt:variant>
    </vt:vector>
  </HeadingPairs>
  <TitlesOfParts>
    <vt:vector size="1" baseType="lpstr">
      <vt:lpstr>Australian Government response to the Senate Select Committee on Supermarket Prices</vt:lpstr>
    </vt:vector>
  </TitlesOfParts>
  <Company/>
  <LinksUpToDate>false</LinksUpToDate>
  <CharactersWithSpaces>49931</CharactersWithSpaces>
  <SharedDoc>false</SharedDoc>
  <HLinks>
    <vt:vector size="72" baseType="variant">
      <vt:variant>
        <vt:i4>393299</vt:i4>
      </vt:variant>
      <vt:variant>
        <vt:i4>54</vt:i4>
      </vt:variant>
      <vt:variant>
        <vt:i4>0</vt:i4>
      </vt:variant>
      <vt:variant>
        <vt:i4>5</vt:i4>
      </vt:variant>
      <vt:variant>
        <vt:lpwstr>https://www.accc.gov.au/system/files/public-registers/documents/Collective bargaining class exemption - Guidelines June 2021.pdf</vt:lpwstr>
      </vt:variant>
      <vt:variant>
        <vt:lpwstr/>
      </vt:variant>
      <vt:variant>
        <vt:i4>6946923</vt:i4>
      </vt:variant>
      <vt:variant>
        <vt:i4>51</vt:i4>
      </vt:variant>
      <vt:variant>
        <vt:i4>0</vt:i4>
      </vt:variant>
      <vt:variant>
        <vt:i4>5</vt:i4>
      </vt:variant>
      <vt:variant>
        <vt:lpwstr>https://www.accc.gov.au/business/competition-and-exemptions</vt:lpwstr>
      </vt:variant>
      <vt:variant>
        <vt:lpwstr/>
      </vt:variant>
      <vt:variant>
        <vt:i4>1048628</vt:i4>
      </vt:variant>
      <vt:variant>
        <vt:i4>44</vt:i4>
      </vt:variant>
      <vt:variant>
        <vt:i4>0</vt:i4>
      </vt:variant>
      <vt:variant>
        <vt:i4>5</vt:i4>
      </vt:variant>
      <vt:variant>
        <vt:lpwstr/>
      </vt:variant>
      <vt:variant>
        <vt:lpwstr>_Toc219186715</vt:lpwstr>
      </vt:variant>
      <vt:variant>
        <vt:i4>1048628</vt:i4>
      </vt:variant>
      <vt:variant>
        <vt:i4>38</vt:i4>
      </vt:variant>
      <vt:variant>
        <vt:i4>0</vt:i4>
      </vt:variant>
      <vt:variant>
        <vt:i4>5</vt:i4>
      </vt:variant>
      <vt:variant>
        <vt:lpwstr/>
      </vt:variant>
      <vt:variant>
        <vt:lpwstr>_Toc219186714</vt:lpwstr>
      </vt:variant>
      <vt:variant>
        <vt:i4>1048628</vt:i4>
      </vt:variant>
      <vt:variant>
        <vt:i4>32</vt:i4>
      </vt:variant>
      <vt:variant>
        <vt:i4>0</vt:i4>
      </vt:variant>
      <vt:variant>
        <vt:i4>5</vt:i4>
      </vt:variant>
      <vt:variant>
        <vt:lpwstr/>
      </vt:variant>
      <vt:variant>
        <vt:lpwstr>_Toc219186713</vt:lpwstr>
      </vt:variant>
      <vt:variant>
        <vt:i4>1048628</vt:i4>
      </vt:variant>
      <vt:variant>
        <vt:i4>26</vt:i4>
      </vt:variant>
      <vt:variant>
        <vt:i4>0</vt:i4>
      </vt:variant>
      <vt:variant>
        <vt:i4>5</vt:i4>
      </vt:variant>
      <vt:variant>
        <vt:lpwstr/>
      </vt:variant>
      <vt:variant>
        <vt:lpwstr>_Toc219186712</vt:lpwstr>
      </vt:variant>
      <vt:variant>
        <vt:i4>1048628</vt:i4>
      </vt:variant>
      <vt:variant>
        <vt:i4>20</vt:i4>
      </vt:variant>
      <vt:variant>
        <vt:i4>0</vt:i4>
      </vt:variant>
      <vt:variant>
        <vt:i4>5</vt:i4>
      </vt:variant>
      <vt:variant>
        <vt:lpwstr/>
      </vt:variant>
      <vt:variant>
        <vt:lpwstr>_Toc219186711</vt:lpwstr>
      </vt:variant>
      <vt:variant>
        <vt:i4>1048628</vt:i4>
      </vt:variant>
      <vt:variant>
        <vt:i4>14</vt:i4>
      </vt:variant>
      <vt:variant>
        <vt:i4>0</vt:i4>
      </vt:variant>
      <vt:variant>
        <vt:i4>5</vt:i4>
      </vt:variant>
      <vt:variant>
        <vt:lpwstr/>
      </vt:variant>
      <vt:variant>
        <vt:lpwstr>_Toc219186710</vt:lpwstr>
      </vt:variant>
      <vt:variant>
        <vt:i4>105</vt:i4>
      </vt:variant>
      <vt:variant>
        <vt:i4>9</vt:i4>
      </vt:variant>
      <vt:variant>
        <vt:i4>0</vt:i4>
      </vt:variant>
      <vt:variant>
        <vt:i4>5</vt:i4>
      </vt:variant>
      <vt:variant>
        <vt:lpwstr>mailto:media@treasury.gov.au</vt:lpwstr>
      </vt:variant>
      <vt:variant>
        <vt:lpwstr/>
      </vt:variant>
      <vt:variant>
        <vt:i4>65560</vt:i4>
      </vt:variant>
      <vt:variant>
        <vt:i4>6</vt:i4>
      </vt:variant>
      <vt:variant>
        <vt:i4>0</vt:i4>
      </vt:variant>
      <vt:variant>
        <vt:i4>5</vt:i4>
      </vt:variant>
      <vt:variant>
        <vt:lpwstr>https://www.pmc.gov.au/honours-and-symbols/commonwealth-coat-arms</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Select Committee on Supermarket Prices</dc:title>
  <dc:subject>Supermarket Prices: Final report and Competition and Consumer Amendment (Divestiture Powers) Bill 2024</dc:subject>
  <dc:creator>Australian Government</dc:creator>
  <cp:keywords/>
  <cp:lastModifiedBy/>
  <cp:revision>1</cp:revision>
  <dcterms:created xsi:type="dcterms:W3CDTF">2026-06-17T02:36:00Z</dcterms:created>
  <dcterms:modified xsi:type="dcterms:W3CDTF">2026-06-17T02:37:00Z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2026-06-17T02:37:19Z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2267a61c-4b1b-40dd-b297-90a870143a76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