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1CEA" w14:textId="77777777" w:rsidR="00236901" w:rsidRDefault="002311B3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2D9E85E3" wp14:editId="35832783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2549569B" w:rsidR="002A31E6" w:rsidRPr="00EC7701" w:rsidRDefault="002311B3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000000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Content>
          <w:r w:rsidR="00A13DBA">
            <w:rPr>
              <w:rFonts w:ascii="Montserrat Light" w:hAnsi="Montserrat Light"/>
              <w:sz w:val="32"/>
              <w:szCs w:val="32"/>
            </w:rPr>
            <w:t xml:space="preserve">Treasury Laws Amendment (Tax Accountability and Fairness) Bill 2023 </w:t>
          </w:r>
        </w:sdtContent>
      </w:sdt>
    </w:p>
    <w:p w14:paraId="37FC14C2" w14:textId="3E7A022D" w:rsidR="002A74E5" w:rsidRDefault="00D010BB" w:rsidP="002A74E5">
      <w:pPr>
        <w:jc w:val="right"/>
        <w:rPr>
          <w:rFonts w:ascii="Montserrat Light" w:hAnsi="Montserrat Light"/>
          <w:caps/>
          <w:sz w:val="28"/>
          <w:szCs w:val="28"/>
        </w:rPr>
      </w:pPr>
      <w:proofErr w:type="gramStart"/>
      <w:r>
        <w:rPr>
          <w:rFonts w:ascii="Montserrat Light" w:hAnsi="Montserrat Light"/>
          <w:sz w:val="28"/>
          <w:szCs w:val="28"/>
        </w:rPr>
        <w:t>June</w:t>
      </w:r>
      <w:r w:rsidR="00677539">
        <w:rPr>
          <w:rFonts w:ascii="Montserrat Light" w:hAnsi="Montserrat Light"/>
          <w:sz w:val="28"/>
          <w:szCs w:val="28"/>
        </w:rPr>
        <w:t>,</w:t>
      </w:r>
      <w:proofErr w:type="gramEnd"/>
      <w:r w:rsidR="00677539">
        <w:rPr>
          <w:rFonts w:ascii="Montserrat Light" w:hAnsi="Montserrat Light"/>
          <w:sz w:val="28"/>
          <w:szCs w:val="28"/>
        </w:rPr>
        <w:t xml:space="preserve"> </w:t>
      </w:r>
      <w:r w:rsidR="00905470">
        <w:rPr>
          <w:rFonts w:ascii="Montserrat Light" w:hAnsi="Montserrat Light"/>
          <w:sz w:val="28"/>
          <w:szCs w:val="28"/>
        </w:rPr>
        <w:t>202</w:t>
      </w:r>
      <w:r w:rsidR="00DA3A6E">
        <w:rPr>
          <w:rFonts w:ascii="Montserrat Light" w:hAnsi="Montserrat Light"/>
          <w:sz w:val="28"/>
          <w:szCs w:val="28"/>
        </w:rPr>
        <w:t>6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DA3A6E" w14:paraId="5860208F" w14:textId="77777777" w:rsidTr="00FB6B0E">
        <w:trPr>
          <w:trHeight w:val="70"/>
        </w:trPr>
        <w:tc>
          <w:tcPr>
            <w:tcW w:w="9016" w:type="dxa"/>
          </w:tcPr>
          <w:p w14:paraId="4087418B" w14:textId="77777777" w:rsidR="00DA3A6E" w:rsidRPr="008774BA" w:rsidRDefault="00DA3A6E" w:rsidP="00DA3A6E">
            <w:pPr>
              <w:pStyle w:val="BoxHeading"/>
              <w:rPr>
                <w:caps/>
              </w:rPr>
            </w:pPr>
            <w:r>
              <w:lastRenderedPageBreak/>
              <w:t xml:space="preserve">Coalition Senators’ Dissenting Report - </w:t>
            </w:r>
            <w:r w:rsidRPr="008774BA">
              <w:t xml:space="preserve">Recommendation </w:t>
            </w:r>
            <w:r>
              <w:t>3</w:t>
            </w:r>
          </w:p>
          <w:p w14:paraId="1FEA4AF6" w14:textId="77777777" w:rsidR="00DA3A6E" w:rsidRPr="009753EB" w:rsidRDefault="00DA3A6E" w:rsidP="00DA3A6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7A4A948F" w14:textId="77777777" w:rsidR="00DA3A6E" w:rsidRDefault="00DA3A6E" w:rsidP="00DA3A6E">
            <w:pPr>
              <w:pStyle w:val="BoxText"/>
            </w:pPr>
            <w:r>
              <w:rPr>
                <w:caps/>
              </w:rPr>
              <w:t>t</w:t>
            </w:r>
            <w:r>
              <w:t xml:space="preserve">he Government </w:t>
            </w:r>
            <w:r>
              <w:rPr>
                <w:b/>
                <w:bCs/>
              </w:rPr>
              <w:t>notes</w:t>
            </w:r>
            <w:r w:rsidRPr="008774BA">
              <w:t xml:space="preserve"> </w:t>
            </w:r>
            <w:r>
              <w:t>this recommendation.</w:t>
            </w:r>
          </w:p>
          <w:p w14:paraId="1A321FF2" w14:textId="597DAC13" w:rsidR="00DA3A6E" w:rsidRDefault="001B32A5" w:rsidP="00DA3A6E">
            <w:pPr>
              <w:pStyle w:val="BoxText"/>
            </w:pPr>
            <w:r>
              <w:t>Parliament passed t</w:t>
            </w:r>
            <w:r w:rsidR="00DA3A6E">
              <w:t>he</w:t>
            </w:r>
            <w:r w:rsidR="003B17B4">
              <w:t xml:space="preserve"> Government’s package of Environment Protection Reform Bills </w:t>
            </w:r>
            <w:r w:rsidR="00DA3A6E">
              <w:t xml:space="preserve">in </w:t>
            </w:r>
            <w:r>
              <w:t>November</w:t>
            </w:r>
            <w:r w:rsidR="00DA3A6E">
              <w:t xml:space="preserve"> 2025. The package included key measures to speed up decision making for business and </w:t>
            </w:r>
            <w:r w:rsidR="006E6D35">
              <w:t xml:space="preserve">improve outcomes for </w:t>
            </w:r>
            <w:r w:rsidR="00DA3A6E">
              <w:t>the community, including:</w:t>
            </w:r>
          </w:p>
          <w:p w14:paraId="10005345" w14:textId="47FA5AA2" w:rsidR="00DA3A6E" w:rsidRPr="002062BD" w:rsidRDefault="00DA3A6E" w:rsidP="00DA3A6E">
            <w:pPr>
              <w:pStyle w:val="Bullet"/>
            </w:pPr>
            <w:r w:rsidRPr="002062BD">
              <w:t>A new </w:t>
            </w:r>
            <w:r w:rsidRPr="00F86BDC">
              <w:t>Streamlined Assessment Pathway</w:t>
            </w:r>
            <w:r w:rsidRPr="002062BD">
              <w:t xml:space="preserve">, to reduce the timeframe for </w:t>
            </w:r>
            <w:r w:rsidR="00491214">
              <w:t xml:space="preserve">decisions </w:t>
            </w:r>
            <w:r w:rsidR="006E6D35">
              <w:t>when</w:t>
            </w:r>
            <w:r w:rsidR="006E6D35" w:rsidRPr="002062BD">
              <w:t xml:space="preserve"> </w:t>
            </w:r>
            <w:r w:rsidRPr="002062BD">
              <w:t xml:space="preserve">proponents provide sufficient information upfront, providing incentive to </w:t>
            </w:r>
            <w:r w:rsidR="006E6D35">
              <w:t>consider new National Environmental Standards and other requirements early in the process</w:t>
            </w:r>
            <w:r w:rsidRPr="002062BD">
              <w:t>.</w:t>
            </w:r>
          </w:p>
          <w:p w14:paraId="77873510" w14:textId="41F1D8EB" w:rsidR="00DA3A6E" w:rsidRPr="002062BD" w:rsidRDefault="006E6D35" w:rsidP="00DA3A6E">
            <w:pPr>
              <w:pStyle w:val="Bullet"/>
            </w:pPr>
            <w:r>
              <w:t>updated arrangements for</w:t>
            </w:r>
            <w:r w:rsidR="00DA3A6E" w:rsidRPr="002062BD">
              <w:t> </w:t>
            </w:r>
            <w:r w:rsidR="00DA3A6E" w:rsidRPr="00F86BDC">
              <w:t>bilateral agreements</w:t>
            </w:r>
            <w:r w:rsidR="00DA3A6E" w:rsidRPr="002062BD">
              <w:t xml:space="preserve"> with states </w:t>
            </w:r>
            <w:r>
              <w:t>and territories, which can</w:t>
            </w:r>
            <w:r w:rsidR="00DA3A6E" w:rsidRPr="002062BD">
              <w:t xml:space="preserve"> remove</w:t>
            </w:r>
            <w:r>
              <w:t xml:space="preserve"> the need for duplicative environmental</w:t>
            </w:r>
            <w:r w:rsidR="00DA3A6E" w:rsidRPr="002062BD">
              <w:t xml:space="preserve"> assessment and approval of projects.</w:t>
            </w:r>
          </w:p>
          <w:p w14:paraId="190B8D18" w14:textId="07FB74FA" w:rsidR="00DA3A6E" w:rsidRPr="002062BD" w:rsidRDefault="00E4299E" w:rsidP="00DA3A6E">
            <w:pPr>
              <w:pStyle w:val="Bullet"/>
            </w:pPr>
            <w:r>
              <w:t>Bior</w:t>
            </w:r>
            <w:r w:rsidR="00DA3A6E" w:rsidRPr="00F86BDC">
              <w:t>egional planning</w:t>
            </w:r>
            <w:r w:rsidR="00DA3A6E" w:rsidRPr="002062BD">
              <w:t xml:space="preserve">, to deliver ‘go’ and ‘no go’ zones, </w:t>
            </w:r>
            <w:r>
              <w:t>ensu</w:t>
            </w:r>
            <w:r w:rsidRPr="002062BD">
              <w:t xml:space="preserve">ring </w:t>
            </w:r>
            <w:r w:rsidR="00DA3A6E" w:rsidRPr="002062BD">
              <w:t xml:space="preserve">greater certainty </w:t>
            </w:r>
            <w:r>
              <w:t>for</w:t>
            </w:r>
            <w:r w:rsidR="00DA3A6E" w:rsidRPr="002062BD">
              <w:t xml:space="preserve"> business, and future planning at a landscape scale, </w:t>
            </w:r>
            <w:r>
              <w:t>reducing the need for</w:t>
            </w:r>
            <w:r w:rsidR="00DA3A6E" w:rsidRPr="002062BD">
              <w:t xml:space="preserve"> project-by-project assessment.</w:t>
            </w:r>
          </w:p>
          <w:p w14:paraId="6B3082F2" w14:textId="633DCFAD" w:rsidR="00DA3A6E" w:rsidRDefault="00DA3A6E" w:rsidP="00DA3A6E">
            <w:pPr>
              <w:pStyle w:val="Bullet"/>
            </w:pPr>
            <w:r w:rsidRPr="002062BD">
              <w:t xml:space="preserve">Clarifying </w:t>
            </w:r>
            <w:r w:rsidR="00E4299E">
              <w:t xml:space="preserve">the </w:t>
            </w:r>
            <w:r w:rsidRPr="002062BD">
              <w:t xml:space="preserve">definition of “unacceptable impacts” </w:t>
            </w:r>
            <w:r w:rsidR="00E4299E">
              <w:t>to help proponents avoid planning projects that cannot be approved</w:t>
            </w:r>
            <w:r w:rsidRPr="002062BD">
              <w:t>.</w:t>
            </w:r>
          </w:p>
          <w:p w14:paraId="3EFAD210" w14:textId="31A18C61" w:rsidR="0090165A" w:rsidRDefault="0090165A" w:rsidP="00DA3A6E">
            <w:pPr>
              <w:pStyle w:val="Bullet"/>
            </w:pPr>
            <w:r>
              <w:t xml:space="preserve">Introducing </w:t>
            </w:r>
            <w:r w:rsidRPr="00E4299E">
              <w:t>restoration contributions to improve offsetting of residual significant impacts and speed up approvals.</w:t>
            </w:r>
          </w:p>
          <w:p w14:paraId="3F1C64B7" w14:textId="355AAEC4" w:rsidR="00DA3A6E" w:rsidRDefault="00DA3A6E" w:rsidP="00DA3A6E">
            <w:pPr>
              <w:pStyle w:val="Bullet"/>
              <w:numPr>
                <w:ilvl w:val="0"/>
                <w:numId w:val="0"/>
              </w:numPr>
            </w:pPr>
            <w:r>
              <w:t xml:space="preserve">The </w:t>
            </w:r>
            <w:r w:rsidR="003844AE">
              <w:t>package</w:t>
            </w:r>
            <w:r>
              <w:t xml:space="preserve"> also included </w:t>
            </w:r>
            <w:proofErr w:type="gramStart"/>
            <w:r>
              <w:t>a number of</w:t>
            </w:r>
            <w:proofErr w:type="gramEnd"/>
            <w:r>
              <w:t xml:space="preserve"> environment</w:t>
            </w:r>
            <w:r w:rsidR="001D2DDE">
              <w:t xml:space="preserve"> protection</w:t>
            </w:r>
            <w:r>
              <w:t xml:space="preserve"> measures, including:</w:t>
            </w:r>
          </w:p>
          <w:p w14:paraId="3F50A26A" w14:textId="2DD5E925" w:rsidR="00DA3A6E" w:rsidRPr="008E7AC4" w:rsidRDefault="001A7A9A" w:rsidP="00DA3A6E">
            <w:pPr>
              <w:pStyle w:val="Bullet"/>
            </w:pPr>
            <w:r>
              <w:t>Establishing t</w:t>
            </w:r>
            <w:r w:rsidR="00DA3A6E">
              <w:t>he</w:t>
            </w:r>
            <w:r w:rsidR="00DA3A6E" w:rsidRPr="008E7AC4">
              <w:t> </w:t>
            </w:r>
            <w:r w:rsidR="00DA3A6E" w:rsidRPr="00F86BDC">
              <w:t>National Environment Protection Agency (</w:t>
            </w:r>
            <w:r w:rsidR="00491214">
              <w:t xml:space="preserve">National </w:t>
            </w:r>
            <w:r w:rsidR="00DA3A6E" w:rsidRPr="00F86BDC">
              <w:t>EPA) </w:t>
            </w:r>
            <w:r w:rsidR="00DA3A6E" w:rsidRPr="008E7AC4">
              <w:t>– a strong, independent regulator with a clear focus on ensuring better compliance with and stronger enforcement of Australia’s new environmental laws.</w:t>
            </w:r>
          </w:p>
          <w:p w14:paraId="15233DC5" w14:textId="784C6A6B" w:rsidR="001A7A9A" w:rsidRDefault="001A7A9A" w:rsidP="00DA3A6E">
            <w:pPr>
              <w:pStyle w:val="Bullet"/>
            </w:pPr>
            <w:r>
              <w:t>More regular reporting on the state of the environment.</w:t>
            </w:r>
          </w:p>
          <w:p w14:paraId="13737F7F" w14:textId="3F7C0D9E" w:rsidR="00DA3A6E" w:rsidRPr="008E7AC4" w:rsidRDefault="00DA3A6E" w:rsidP="00DA3A6E">
            <w:pPr>
              <w:pStyle w:val="Bullet"/>
            </w:pPr>
            <w:r>
              <w:t xml:space="preserve">National </w:t>
            </w:r>
            <w:r w:rsidRPr="00F86BDC">
              <w:t>Environmental Standards</w:t>
            </w:r>
            <w:r w:rsidRPr="008E7AC4">
              <w:t>, to ensure clear, strong guidelines to protect the environment.</w:t>
            </w:r>
          </w:p>
          <w:p w14:paraId="50EEED73" w14:textId="77777777" w:rsidR="00DA3A6E" w:rsidRPr="008E7AC4" w:rsidRDefault="00DA3A6E" w:rsidP="00DA3A6E">
            <w:pPr>
              <w:pStyle w:val="Bullet"/>
            </w:pPr>
            <w:r w:rsidRPr="00F86BDC">
              <w:t>Higher penalties</w:t>
            </w:r>
            <w:r w:rsidRPr="008E7AC4">
              <w:t> for the most significant breaches of environmental law, as well as environment protection orders for use in urgent circumstances to prevent and respond to major contraventions of the law.</w:t>
            </w:r>
          </w:p>
          <w:p w14:paraId="79182519" w14:textId="6D0DBA34" w:rsidR="00DA3A6E" w:rsidRPr="008E7AC4" w:rsidRDefault="00F80123" w:rsidP="00DA3A6E">
            <w:pPr>
              <w:pStyle w:val="Bullet"/>
            </w:pPr>
            <w:r>
              <w:t>Ending</w:t>
            </w:r>
            <w:r w:rsidR="00DA3A6E" w:rsidRPr="008E7AC4">
              <w:t xml:space="preserve"> exemption</w:t>
            </w:r>
            <w:r>
              <w:t>s</w:t>
            </w:r>
            <w:r w:rsidR="00DA3A6E" w:rsidRPr="008E7AC4">
              <w:t xml:space="preserve"> from the EPBC Act for </w:t>
            </w:r>
            <w:r>
              <w:t xml:space="preserve">certain </w:t>
            </w:r>
            <w:r w:rsidR="00DA3A6E" w:rsidRPr="00F86BDC">
              <w:t>land clearing</w:t>
            </w:r>
            <w:r w:rsidR="00491214">
              <w:t xml:space="preserve"> activities</w:t>
            </w:r>
            <w:r w:rsidR="00DA3A6E" w:rsidRPr="00F86BDC">
              <w:t xml:space="preserve"> and regional forest agreements</w:t>
            </w:r>
            <w:r w:rsidR="00DA3A6E" w:rsidRPr="008E7AC4">
              <w:t>, so that they comply with the same rules and standards as other industries.</w:t>
            </w:r>
          </w:p>
          <w:p w14:paraId="2E54257F" w14:textId="77777777" w:rsidR="00DA3A6E" w:rsidRPr="008E7AC4" w:rsidRDefault="00DA3A6E" w:rsidP="00DA3A6E">
            <w:pPr>
              <w:pStyle w:val="Bullet"/>
            </w:pPr>
            <w:r w:rsidRPr="008E7AC4">
              <w:t>Requiring proponents of large emitting projects to </w:t>
            </w:r>
            <w:r w:rsidRPr="00F86BDC">
              <w:t>disclose their greenhouse gas emissions </w:t>
            </w:r>
            <w:r w:rsidRPr="008E7AC4">
              <w:t>and their emission reduction plans.</w:t>
            </w:r>
          </w:p>
          <w:p w14:paraId="6D2F44E3" w14:textId="77777777" w:rsidR="00DA3A6E" w:rsidRDefault="00DA3A6E" w:rsidP="00DA3A6E">
            <w:pPr>
              <w:pStyle w:val="BoxText"/>
            </w:pPr>
            <w:r>
              <w:t xml:space="preserve">The Government is delivering reforms that ensure sustainability and environmental protection whilst enabling productivity growth, and investment in Australian industry.  </w:t>
            </w:r>
          </w:p>
          <w:p w14:paraId="331C1BB8" w14:textId="328EE5BA" w:rsidR="00DA3A6E" w:rsidRPr="008774BA" w:rsidRDefault="00DA3A6E" w:rsidP="00DA3A6E">
            <w:pPr>
              <w:pStyle w:val="BoxText"/>
              <w:rPr>
                <w:caps/>
              </w:rPr>
            </w:pPr>
          </w:p>
        </w:tc>
      </w:tr>
      <w:tr w:rsidR="00DA3A6E" w14:paraId="1CCEFE42" w14:textId="77777777" w:rsidTr="00FB6B0E">
        <w:trPr>
          <w:trHeight w:val="70"/>
        </w:trPr>
        <w:tc>
          <w:tcPr>
            <w:tcW w:w="9016" w:type="dxa"/>
          </w:tcPr>
          <w:p w14:paraId="1D51AA6B" w14:textId="1FC50DEB" w:rsidR="00DA3A6E" w:rsidRPr="008774BA" w:rsidRDefault="00DA3A6E" w:rsidP="00DA3A6E">
            <w:pPr>
              <w:pStyle w:val="BoxHeading"/>
              <w:rPr>
                <w:caps/>
              </w:rPr>
            </w:pPr>
            <w:r>
              <w:lastRenderedPageBreak/>
              <w:t xml:space="preserve">Australian Greens’ Dissenting Report - </w:t>
            </w:r>
            <w:r w:rsidRPr="008774BA">
              <w:t xml:space="preserve">Recommendation </w:t>
            </w:r>
            <w:r>
              <w:t>2</w:t>
            </w:r>
          </w:p>
          <w:p w14:paraId="603DB50B" w14:textId="77777777" w:rsidR="00DA3A6E" w:rsidRPr="009753EB" w:rsidRDefault="00DA3A6E" w:rsidP="00DA3A6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E272B35" w14:textId="77777777" w:rsidR="00DA3A6E" w:rsidRDefault="00DA3A6E" w:rsidP="00DA3A6E">
            <w:pPr>
              <w:pStyle w:val="BoxText"/>
            </w:pPr>
            <w:r>
              <w:t>The Government rejects the premise of this recommendation.</w:t>
            </w:r>
          </w:p>
          <w:p w14:paraId="0C2FB211" w14:textId="35C2F4A7" w:rsidR="00DA3A6E" w:rsidRPr="008774BA" w:rsidRDefault="00DA3A6E" w:rsidP="00DA3A6E">
            <w:pPr>
              <w:pStyle w:val="BoxText"/>
              <w:rPr>
                <w:b/>
                <w:bCs/>
              </w:rPr>
            </w:pPr>
          </w:p>
        </w:tc>
      </w:tr>
    </w:tbl>
    <w:p w14:paraId="31D47FE6" w14:textId="77777777" w:rsidR="0077630F" w:rsidRPr="00C47A9C" w:rsidRDefault="0077630F">
      <w:pPr>
        <w:spacing w:after="480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6515" w14:textId="77777777" w:rsidR="003973E5" w:rsidRDefault="003973E5">
      <w:pPr>
        <w:spacing w:before="0" w:after="0"/>
      </w:pPr>
      <w:r>
        <w:separator/>
      </w:r>
    </w:p>
  </w:endnote>
  <w:endnote w:type="continuationSeparator" w:id="0">
    <w:p w14:paraId="7A666C56" w14:textId="77777777" w:rsidR="003973E5" w:rsidRDefault="003973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8E17" w14:textId="0436B149" w:rsidR="0077630F" w:rsidRPr="00F347BE" w:rsidRDefault="00A13DBA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2311B3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03378AA2" wp14:editId="04CE2C71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C21" w14:textId="0ED10843" w:rsidR="0077630F" w:rsidRPr="00F347BE" w:rsidRDefault="00A13DBA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61AE133" wp14:editId="503E16BA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2311B3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CD22" w14:textId="3ECEDB93" w:rsidR="004410D2" w:rsidRDefault="00E808FB">
    <w:pPr>
      <w:pStyle w:val="Footer"/>
    </w:pPr>
    <w:r>
      <w:tab/>
    </w:r>
    <w:r>
      <w:tab/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5F4B" w14:textId="58B5501A" w:rsidR="004410D2" w:rsidRDefault="004410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052D" w14:textId="76C40308" w:rsidR="0077630F" w:rsidRPr="00F347BE" w:rsidRDefault="00A13DBA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6CEF38C" wp14:editId="6C62112B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A1DF" w14:textId="77777777" w:rsidR="003973E5" w:rsidRDefault="003973E5" w:rsidP="00B47ECF">
      <w:r>
        <w:separator/>
      </w:r>
    </w:p>
  </w:footnote>
  <w:footnote w:type="continuationSeparator" w:id="0">
    <w:p w14:paraId="5DB98F85" w14:textId="77777777" w:rsidR="003973E5" w:rsidRDefault="003973E5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C2A6" w14:textId="45C37749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49536" behindDoc="1" locked="1" layoutInCell="1" allowOverlap="1" wp14:anchorId="2CFB830A" wp14:editId="47DED10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DD92" w14:textId="14A980EB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1584" behindDoc="1" locked="1" layoutInCell="1" allowOverlap="1" wp14:anchorId="5FEDE0CD" wp14:editId="43D5F98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655" w14:textId="2778F1FC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222" w14:textId="4BB986E6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A41" w14:textId="005EB104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48512" behindDoc="1" locked="1" layoutInCell="1" allowOverlap="1" wp14:anchorId="207601C0" wp14:editId="6A2DF7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5274C0F0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7C365C" w:tentative="1">
      <w:start w:val="1"/>
      <w:numFmt w:val="lowerLetter"/>
      <w:lvlText w:val="%2."/>
      <w:lvlJc w:val="left"/>
      <w:pPr>
        <w:ind w:left="1440" w:hanging="360"/>
      </w:pPr>
    </w:lvl>
    <w:lvl w:ilvl="2" w:tplc="DF7AC75A" w:tentative="1">
      <w:start w:val="1"/>
      <w:numFmt w:val="lowerRoman"/>
      <w:lvlText w:val="%3."/>
      <w:lvlJc w:val="right"/>
      <w:pPr>
        <w:ind w:left="2160" w:hanging="180"/>
      </w:pPr>
    </w:lvl>
    <w:lvl w:ilvl="3" w:tplc="7F3A78DA" w:tentative="1">
      <w:start w:val="1"/>
      <w:numFmt w:val="decimal"/>
      <w:lvlText w:val="%4."/>
      <w:lvlJc w:val="left"/>
      <w:pPr>
        <w:ind w:left="2880" w:hanging="360"/>
      </w:pPr>
    </w:lvl>
    <w:lvl w:ilvl="4" w:tplc="A426D026" w:tentative="1">
      <w:start w:val="1"/>
      <w:numFmt w:val="lowerLetter"/>
      <w:lvlText w:val="%5."/>
      <w:lvlJc w:val="left"/>
      <w:pPr>
        <w:ind w:left="3600" w:hanging="360"/>
      </w:pPr>
    </w:lvl>
    <w:lvl w:ilvl="5" w:tplc="E208DE86" w:tentative="1">
      <w:start w:val="1"/>
      <w:numFmt w:val="lowerRoman"/>
      <w:lvlText w:val="%6."/>
      <w:lvlJc w:val="right"/>
      <w:pPr>
        <w:ind w:left="4320" w:hanging="180"/>
      </w:pPr>
    </w:lvl>
    <w:lvl w:ilvl="6" w:tplc="47C237D8" w:tentative="1">
      <w:start w:val="1"/>
      <w:numFmt w:val="decimal"/>
      <w:lvlText w:val="%7."/>
      <w:lvlJc w:val="left"/>
      <w:pPr>
        <w:ind w:left="5040" w:hanging="360"/>
      </w:pPr>
    </w:lvl>
    <w:lvl w:ilvl="7" w:tplc="A5ECFAF4" w:tentative="1">
      <w:start w:val="1"/>
      <w:numFmt w:val="lowerLetter"/>
      <w:lvlText w:val="%8."/>
      <w:lvlJc w:val="left"/>
      <w:pPr>
        <w:ind w:left="5760" w:hanging="360"/>
      </w:pPr>
    </w:lvl>
    <w:lvl w:ilvl="8" w:tplc="E6120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9C2283"/>
    <w:multiLevelType w:val="hybridMultilevel"/>
    <w:tmpl w:val="19065EF2"/>
    <w:lvl w:ilvl="0" w:tplc="84180C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1C3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2A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C0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29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CF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88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0C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895885"/>
    <w:multiLevelType w:val="hybridMultilevel"/>
    <w:tmpl w:val="3FC612CC"/>
    <w:lvl w:ilvl="0" w:tplc="25D6F4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29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A2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F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ED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5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A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41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796032">
    <w:abstractNumId w:val="2"/>
  </w:num>
  <w:num w:numId="2" w16cid:durableId="507018861">
    <w:abstractNumId w:val="5"/>
  </w:num>
  <w:num w:numId="3" w16cid:durableId="150478082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857742">
    <w:abstractNumId w:val="0"/>
  </w:num>
  <w:num w:numId="5" w16cid:durableId="895361513">
    <w:abstractNumId w:val="6"/>
  </w:num>
  <w:num w:numId="6" w16cid:durableId="700666982">
    <w:abstractNumId w:val="7"/>
  </w:num>
  <w:num w:numId="7" w16cid:durableId="1626931247">
    <w:abstractNumId w:val="3"/>
  </w:num>
  <w:num w:numId="8" w16cid:durableId="1142648714">
    <w:abstractNumId w:val="8"/>
  </w:num>
  <w:num w:numId="9" w16cid:durableId="1942882612">
    <w:abstractNumId w:val="1"/>
  </w:num>
  <w:num w:numId="10" w16cid:durableId="1348363186">
    <w:abstractNumId w:val="9"/>
  </w:num>
  <w:num w:numId="11" w16cid:durableId="32494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014D2"/>
    <w:rsid w:val="000120A7"/>
    <w:rsid w:val="0001690F"/>
    <w:rsid w:val="00056FF5"/>
    <w:rsid w:val="00076769"/>
    <w:rsid w:val="000846EF"/>
    <w:rsid w:val="00094953"/>
    <w:rsid w:val="00097FEC"/>
    <w:rsid w:val="000A76BA"/>
    <w:rsid w:val="000C68A0"/>
    <w:rsid w:val="000D051A"/>
    <w:rsid w:val="000D1C7F"/>
    <w:rsid w:val="000D1D99"/>
    <w:rsid w:val="000D40C8"/>
    <w:rsid w:val="00140B24"/>
    <w:rsid w:val="001A5916"/>
    <w:rsid w:val="001A7A9A"/>
    <w:rsid w:val="001B32A5"/>
    <w:rsid w:val="001B6C20"/>
    <w:rsid w:val="001D2DDE"/>
    <w:rsid w:val="001E0289"/>
    <w:rsid w:val="001F09D7"/>
    <w:rsid w:val="00205BAC"/>
    <w:rsid w:val="00212F99"/>
    <w:rsid w:val="002311B3"/>
    <w:rsid w:val="00236901"/>
    <w:rsid w:val="00283DC7"/>
    <w:rsid w:val="002A30D0"/>
    <w:rsid w:val="002A31E6"/>
    <w:rsid w:val="002A74E5"/>
    <w:rsid w:val="002B4442"/>
    <w:rsid w:val="002C5736"/>
    <w:rsid w:val="002F52A6"/>
    <w:rsid w:val="00326FB8"/>
    <w:rsid w:val="00335389"/>
    <w:rsid w:val="00335C84"/>
    <w:rsid w:val="00340F54"/>
    <w:rsid w:val="003463B6"/>
    <w:rsid w:val="00353FD7"/>
    <w:rsid w:val="0036163B"/>
    <w:rsid w:val="00367990"/>
    <w:rsid w:val="003844AE"/>
    <w:rsid w:val="003973E5"/>
    <w:rsid w:val="003B17B4"/>
    <w:rsid w:val="003B1888"/>
    <w:rsid w:val="003E60AF"/>
    <w:rsid w:val="004063DC"/>
    <w:rsid w:val="00410739"/>
    <w:rsid w:val="0042266F"/>
    <w:rsid w:val="004372C1"/>
    <w:rsid w:val="004410D2"/>
    <w:rsid w:val="00451B2E"/>
    <w:rsid w:val="00491214"/>
    <w:rsid w:val="004941C8"/>
    <w:rsid w:val="00495C13"/>
    <w:rsid w:val="004F100E"/>
    <w:rsid w:val="00510BCE"/>
    <w:rsid w:val="005243F9"/>
    <w:rsid w:val="005356AB"/>
    <w:rsid w:val="005537C9"/>
    <w:rsid w:val="0056073B"/>
    <w:rsid w:val="005645D5"/>
    <w:rsid w:val="00564F5C"/>
    <w:rsid w:val="00580B2A"/>
    <w:rsid w:val="00591F43"/>
    <w:rsid w:val="005A000F"/>
    <w:rsid w:val="005B13EA"/>
    <w:rsid w:val="005B32BC"/>
    <w:rsid w:val="005E449B"/>
    <w:rsid w:val="006078E9"/>
    <w:rsid w:val="00663157"/>
    <w:rsid w:val="0066657F"/>
    <w:rsid w:val="00677539"/>
    <w:rsid w:val="006848CE"/>
    <w:rsid w:val="006A3FBF"/>
    <w:rsid w:val="006A7CAA"/>
    <w:rsid w:val="006D0D49"/>
    <w:rsid w:val="006D1D3B"/>
    <w:rsid w:val="006E192F"/>
    <w:rsid w:val="006E6D35"/>
    <w:rsid w:val="00712EE1"/>
    <w:rsid w:val="00725F12"/>
    <w:rsid w:val="007305F6"/>
    <w:rsid w:val="0077630F"/>
    <w:rsid w:val="00781E74"/>
    <w:rsid w:val="007820EC"/>
    <w:rsid w:val="007A2102"/>
    <w:rsid w:val="007A51C0"/>
    <w:rsid w:val="007A7028"/>
    <w:rsid w:val="007C5FCA"/>
    <w:rsid w:val="007F0EE5"/>
    <w:rsid w:val="0080032C"/>
    <w:rsid w:val="00801054"/>
    <w:rsid w:val="0082287A"/>
    <w:rsid w:val="00833FBB"/>
    <w:rsid w:val="00835798"/>
    <w:rsid w:val="00854626"/>
    <w:rsid w:val="008671CE"/>
    <w:rsid w:val="008706FC"/>
    <w:rsid w:val="008774BA"/>
    <w:rsid w:val="008969F1"/>
    <w:rsid w:val="008D32D4"/>
    <w:rsid w:val="008D6E34"/>
    <w:rsid w:val="008F6E2A"/>
    <w:rsid w:val="0090165A"/>
    <w:rsid w:val="009020DB"/>
    <w:rsid w:val="00905470"/>
    <w:rsid w:val="00935C64"/>
    <w:rsid w:val="00935E3D"/>
    <w:rsid w:val="00946868"/>
    <w:rsid w:val="009664D4"/>
    <w:rsid w:val="009730DF"/>
    <w:rsid w:val="009744AE"/>
    <w:rsid w:val="009753EB"/>
    <w:rsid w:val="009F6C5C"/>
    <w:rsid w:val="00A13DBA"/>
    <w:rsid w:val="00A2437E"/>
    <w:rsid w:val="00A37EC6"/>
    <w:rsid w:val="00A47334"/>
    <w:rsid w:val="00A5550A"/>
    <w:rsid w:val="00A66DE7"/>
    <w:rsid w:val="00A7212C"/>
    <w:rsid w:val="00A925CD"/>
    <w:rsid w:val="00AB1DAE"/>
    <w:rsid w:val="00AC4698"/>
    <w:rsid w:val="00AF0581"/>
    <w:rsid w:val="00B11725"/>
    <w:rsid w:val="00B36444"/>
    <w:rsid w:val="00B47ECF"/>
    <w:rsid w:val="00B60600"/>
    <w:rsid w:val="00B863C3"/>
    <w:rsid w:val="00BB1B65"/>
    <w:rsid w:val="00BC3B03"/>
    <w:rsid w:val="00BE31D9"/>
    <w:rsid w:val="00C44914"/>
    <w:rsid w:val="00C45BA7"/>
    <w:rsid w:val="00C47A9C"/>
    <w:rsid w:val="00CB54A1"/>
    <w:rsid w:val="00CF5E7B"/>
    <w:rsid w:val="00CF75DF"/>
    <w:rsid w:val="00D010BB"/>
    <w:rsid w:val="00D04818"/>
    <w:rsid w:val="00D85CB4"/>
    <w:rsid w:val="00D96917"/>
    <w:rsid w:val="00DA3A6E"/>
    <w:rsid w:val="00DA4BD1"/>
    <w:rsid w:val="00DD1813"/>
    <w:rsid w:val="00DD185D"/>
    <w:rsid w:val="00DE3594"/>
    <w:rsid w:val="00DE73E6"/>
    <w:rsid w:val="00E12215"/>
    <w:rsid w:val="00E4299E"/>
    <w:rsid w:val="00E70D49"/>
    <w:rsid w:val="00E808FB"/>
    <w:rsid w:val="00E840E9"/>
    <w:rsid w:val="00EA258C"/>
    <w:rsid w:val="00EC7701"/>
    <w:rsid w:val="00EE476F"/>
    <w:rsid w:val="00EF2F09"/>
    <w:rsid w:val="00F01535"/>
    <w:rsid w:val="00F347BE"/>
    <w:rsid w:val="00F53754"/>
    <w:rsid w:val="00F769CE"/>
    <w:rsid w:val="00F80123"/>
    <w:rsid w:val="00F90C04"/>
    <w:rsid w:val="00F92A63"/>
    <w:rsid w:val="00FB28B0"/>
    <w:rsid w:val="00FB6B0E"/>
    <w:rsid w:val="00FE045B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qFormat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  <w:style w:type="character" w:customStyle="1" w:styleId="normaltextrun">
    <w:name w:val="normaltextrun"/>
    <w:basedOn w:val="DefaultParagraphFont"/>
    <w:rsid w:val="00451B2E"/>
  </w:style>
  <w:style w:type="paragraph" w:styleId="Revision">
    <w:name w:val="Revision"/>
    <w:hidden/>
    <w:uiPriority w:val="99"/>
    <w:semiHidden/>
    <w:rsid w:val="00E840E9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1B6C20" w:rsidRDefault="006332AB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1B6C20" w:rsidRDefault="006332AB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1B6C20" w:rsidRDefault="006332AB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68E" w:rsidRDefault="0064268E">
      <w:pPr>
        <w:spacing w:after="0" w:line="240" w:lineRule="auto"/>
      </w:pPr>
      <w:r>
        <w:separator/>
      </w:r>
    </w:p>
  </w:endnote>
  <w:endnote w:type="continuationSeparator" w:id="0">
    <w:p w:rsidR="0064268E" w:rsidRDefault="0064268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68E" w:rsidRDefault="0064268E">
      <w:pPr>
        <w:spacing w:after="0" w:line="240" w:lineRule="auto"/>
      </w:pPr>
      <w:r>
        <w:separator/>
      </w:r>
    </w:p>
  </w:footnote>
  <w:footnote w:type="continuationSeparator" w:id="0">
    <w:p w:rsidR="0064268E" w:rsidRDefault="0064268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1B6C20"/>
    <w:rsid w:val="002F52A6"/>
    <w:rsid w:val="006332AB"/>
    <w:rsid w:val="0064268E"/>
    <w:rsid w:val="007412BD"/>
    <w:rsid w:val="008B1EF4"/>
    <w:rsid w:val="009664D4"/>
    <w:rsid w:val="009730DF"/>
    <w:rsid w:val="00A66DE7"/>
    <w:rsid w:val="00AC4698"/>
    <w:rsid w:val="00B36444"/>
    <w:rsid w:val="00B84B01"/>
    <w:rsid w:val="00B863C3"/>
    <w:rsid w:val="00C44914"/>
    <w:rsid w:val="00CF75DF"/>
    <w:rsid w:val="00D96917"/>
    <w:rsid w:val="00DE431E"/>
    <w:rsid w:val="00DE73E6"/>
    <w:rsid w:val="00E7416D"/>
    <w:rsid w:val="00F302BB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2293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Committee Economics report: Treasury Laws Amendment (Tax Accountability and Fairness) Bill 2023 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Committee Economics report: Treasury Laws Amendment (Tax Accountability and Fairness) Bill 2023 </dc:title>
  <dc:subject/>
  <dc:creator>Australian Government</dc:creator>
  <cp:keywords/>
  <cp:lastModifiedBy/>
  <cp:revision>1</cp:revision>
  <dcterms:created xsi:type="dcterms:W3CDTF">2026-06-11T06:55:00Z</dcterms:created>
  <dcterms:modified xsi:type="dcterms:W3CDTF">2026-06-11T06:55:00Z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2026-06-11T06:55:29Z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ce435d4f-92af-44f6-ac41-869eaae8a3f0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