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336699" w:themeColor="text2"/>
          <w:sz w:val="32"/>
          <w:szCs w:val="32"/>
        </w:rPr>
        <w:id w:val="-874617159"/>
        <w:docPartObj>
          <w:docPartGallery w:val="Cover Pages"/>
          <w:docPartUnique/>
        </w:docPartObj>
      </w:sdtPr>
      <w:sdtContent>
        <w:p w14:paraId="4B22C788" w14:textId="257CE2A9" w:rsidR="00781253" w:rsidRDefault="00781253" w:rsidP="00781253">
          <w:pPr>
            <w:pStyle w:val="ListParagraph"/>
            <w:ind w:left="0"/>
            <w:rPr>
              <w:noProof/>
            </w:rPr>
          </w:pPr>
          <w:r>
            <w:rPr>
              <w:noProof/>
            </w:rPr>
            <w:drawing>
              <wp:anchor distT="0" distB="0" distL="114300" distR="114300" simplePos="0" relativeHeight="251658240" behindDoc="1" locked="0" layoutInCell="1" allowOverlap="1" wp14:anchorId="0ECE6865" wp14:editId="16B8CAC9">
                <wp:simplePos x="0" y="0"/>
                <wp:positionH relativeFrom="page">
                  <wp:align>left</wp:align>
                </wp:positionH>
                <wp:positionV relativeFrom="margin">
                  <wp:align>center</wp:align>
                </wp:positionV>
                <wp:extent cx="7570470" cy="107086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70470" cy="1070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87F1E" w14:textId="7D19EA4E" w:rsidR="00526D7C" w:rsidRDefault="006967D0" w:rsidP="00781253">
          <w:pPr>
            <w:pStyle w:val="ListParagraph"/>
            <w:ind w:left="0"/>
            <w:rPr>
              <w:noProof/>
            </w:rPr>
          </w:pPr>
          <w:r>
            <w:rPr>
              <w:noProof/>
            </w:rPr>
            <w:drawing>
              <wp:anchor distT="0" distB="0" distL="114300" distR="114300" simplePos="0" relativeHeight="251658241" behindDoc="0" locked="0" layoutInCell="1" allowOverlap="1" wp14:anchorId="663EB875" wp14:editId="0F373FBE">
                <wp:simplePos x="0" y="0"/>
                <wp:positionH relativeFrom="margin">
                  <wp:posOffset>0</wp:posOffset>
                </wp:positionH>
                <wp:positionV relativeFrom="paragraph">
                  <wp:posOffset>-635</wp:posOffset>
                </wp:positionV>
                <wp:extent cx="1329055" cy="474345"/>
                <wp:effectExtent l="0" t="0" r="444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TG_Primary_Mon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9055" cy="474345"/>
                        </a:xfrm>
                        <a:prstGeom prst="rect">
                          <a:avLst/>
                        </a:prstGeom>
                      </pic:spPr>
                    </pic:pic>
                  </a:graphicData>
                </a:graphic>
                <wp14:sizeRelH relativeFrom="margin">
                  <wp14:pctWidth>0</wp14:pctWidth>
                </wp14:sizeRelH>
                <wp14:sizeRelV relativeFrom="margin">
                  <wp14:pctHeight>0</wp14:pctHeight>
                </wp14:sizeRelV>
              </wp:anchor>
            </w:drawing>
          </w:r>
        </w:p>
        <w:p w14:paraId="695DA48D" w14:textId="77777777" w:rsidR="00526D7C" w:rsidRDefault="00526D7C" w:rsidP="00781253">
          <w:pPr>
            <w:pStyle w:val="ListParagraph"/>
            <w:ind w:left="0"/>
            <w:rPr>
              <w:noProof/>
            </w:rPr>
          </w:pPr>
        </w:p>
        <w:p w14:paraId="1222F97B" w14:textId="77777777" w:rsidR="00526D7C" w:rsidRDefault="00526D7C" w:rsidP="00781253">
          <w:pPr>
            <w:pStyle w:val="ListParagraph"/>
            <w:ind w:left="0"/>
            <w:rPr>
              <w:noProof/>
            </w:rPr>
          </w:pPr>
        </w:p>
        <w:p w14:paraId="65445FA8" w14:textId="77777777" w:rsidR="00526D7C" w:rsidRDefault="00526D7C" w:rsidP="00781253">
          <w:pPr>
            <w:pStyle w:val="ListParagraph"/>
            <w:ind w:left="0"/>
            <w:rPr>
              <w:color w:val="336699" w:themeColor="text2"/>
              <w:sz w:val="32"/>
            </w:rPr>
          </w:pPr>
        </w:p>
        <w:p w14:paraId="104D9097" w14:textId="77777777" w:rsidR="00781253" w:rsidRDefault="00781253" w:rsidP="00781253">
          <w:pPr>
            <w:pStyle w:val="ListParagraph"/>
          </w:pPr>
        </w:p>
        <w:p w14:paraId="0AB09EB7" w14:textId="77777777" w:rsidR="00781253" w:rsidRDefault="00781253" w:rsidP="00781253">
          <w:pPr>
            <w:pStyle w:val="ListParagraph"/>
          </w:pPr>
        </w:p>
        <w:p w14:paraId="34C58C40" w14:textId="7CA7B471" w:rsidR="00781253" w:rsidRDefault="00781253" w:rsidP="00781253">
          <w:pPr>
            <w:pStyle w:val="Title"/>
            <w:tabs>
              <w:tab w:val="left" w:pos="6379"/>
            </w:tabs>
            <w:spacing w:after="120" w:line="720" w:lineRule="exact"/>
            <w:ind w:right="1982"/>
            <w:rPr>
              <w:b w:val="0"/>
              <w:bCs/>
              <w:sz w:val="48"/>
              <w:szCs w:val="28"/>
            </w:rPr>
          </w:pPr>
          <w:r w:rsidRPr="0056783D">
            <w:rPr>
              <w:color w:val="336699" w:themeColor="text2"/>
            </w:rPr>
            <w:t>National Planning Reform Blueprint</w:t>
          </w:r>
          <w:r>
            <w:br/>
          </w:r>
          <w:r w:rsidR="006967D0" w:rsidRPr="006967D0">
            <w:rPr>
              <w:b w:val="0"/>
              <w:bCs/>
              <w:sz w:val="48"/>
              <w:szCs w:val="28"/>
            </w:rPr>
            <w:t>Northern Territory</w:t>
          </w:r>
          <w:r w:rsidRPr="005D2780">
            <w:rPr>
              <w:b w:val="0"/>
              <w:bCs/>
              <w:sz w:val="48"/>
              <w:szCs w:val="28"/>
            </w:rPr>
            <w:t xml:space="preserve"> </w:t>
          </w:r>
          <w:r w:rsidR="00BA593A">
            <w:rPr>
              <w:b w:val="0"/>
              <w:bCs/>
              <w:sz w:val="48"/>
              <w:szCs w:val="28"/>
            </w:rPr>
            <w:t>P</w:t>
          </w:r>
          <w:r w:rsidRPr="005D2780">
            <w:rPr>
              <w:b w:val="0"/>
              <w:bCs/>
              <w:sz w:val="48"/>
              <w:szCs w:val="28"/>
            </w:rPr>
            <w:t xml:space="preserve">rogress </w:t>
          </w:r>
          <w:r w:rsidR="00BA593A">
            <w:rPr>
              <w:b w:val="0"/>
              <w:bCs/>
              <w:sz w:val="48"/>
              <w:szCs w:val="28"/>
            </w:rPr>
            <w:t>R</w:t>
          </w:r>
          <w:r w:rsidRPr="005D2780">
            <w:rPr>
              <w:b w:val="0"/>
              <w:bCs/>
              <w:sz w:val="48"/>
              <w:szCs w:val="28"/>
            </w:rPr>
            <w:t>eport</w:t>
          </w:r>
        </w:p>
        <w:p w14:paraId="634B4790" w14:textId="0ED231B5" w:rsidR="00BA593A" w:rsidRPr="00C8351C" w:rsidRDefault="00AD6AD8" w:rsidP="000C0440">
          <w:pPr>
            <w:pStyle w:val="Title"/>
            <w:tabs>
              <w:tab w:val="left" w:pos="6379"/>
            </w:tabs>
            <w:spacing w:after="120" w:line="720" w:lineRule="exact"/>
            <w:ind w:right="1982"/>
            <w:rPr>
              <w:b w:val="0"/>
              <w:bCs/>
              <w:color w:val="auto"/>
              <w:sz w:val="48"/>
              <w:szCs w:val="28"/>
            </w:rPr>
          </w:pPr>
          <w:r w:rsidRPr="00C8351C">
            <w:rPr>
              <w:b w:val="0"/>
              <w:bCs/>
              <w:color w:val="auto"/>
              <w:sz w:val="48"/>
              <w:szCs w:val="28"/>
            </w:rPr>
            <w:t>September</w:t>
          </w:r>
          <w:r w:rsidR="00BA593A" w:rsidRPr="00C8351C">
            <w:rPr>
              <w:b w:val="0"/>
              <w:bCs/>
              <w:color w:val="auto"/>
              <w:sz w:val="48"/>
              <w:szCs w:val="28"/>
            </w:rPr>
            <w:t xml:space="preserve"> 2025</w:t>
          </w:r>
        </w:p>
        <w:p w14:paraId="02B65A0F" w14:textId="4050B73C" w:rsidR="00781253" w:rsidRPr="002F26A5" w:rsidRDefault="00781253" w:rsidP="00526D7C">
          <w:pPr>
            <w:pStyle w:val="ReportDate"/>
            <w:sectPr w:rsidR="00781253" w:rsidRPr="002F26A5" w:rsidSect="00D51EE3">
              <w:headerReference w:type="even" r:id="rId10"/>
              <w:headerReference w:type="default" r:id="rId11"/>
              <w:footerReference w:type="even" r:id="rId12"/>
              <w:footerReference w:type="default" r:id="rId13"/>
              <w:headerReference w:type="first" r:id="rId14"/>
              <w:footerReference w:type="first" r:id="rId15"/>
              <w:pgSz w:w="11906" w:h="16838" w:code="9"/>
              <w:pgMar w:top="1418" w:right="1418" w:bottom="1418" w:left="1418" w:header="709" w:footer="709" w:gutter="0"/>
              <w:pgNumType w:fmt="lowerRoman" w:start="0"/>
              <w:cols w:space="708"/>
              <w:vAlign w:val="center"/>
              <w:titlePg/>
              <w:docGrid w:linePitch="360"/>
            </w:sectPr>
          </w:pPr>
          <w:r>
            <w:br w:type="page"/>
          </w:r>
        </w:p>
      </w:sdtContent>
    </w:sdt>
    <w:p w14:paraId="433F1BDD" w14:textId="77777777" w:rsidR="005C2F1F" w:rsidRPr="006E36C6" w:rsidRDefault="005C2F1F" w:rsidP="005C2F1F">
      <w:pPr>
        <w:spacing w:before="0" w:after="160" w:line="259" w:lineRule="auto"/>
        <w:rPr>
          <w:color w:val="auto"/>
        </w:rPr>
      </w:pPr>
      <w:bookmarkStart w:id="0" w:name="_Toc168064953"/>
      <w:bookmarkStart w:id="1" w:name="_Toc168065264"/>
      <w:r w:rsidRPr="006E36C6">
        <w:rPr>
          <w:color w:val="auto"/>
        </w:rPr>
        <w:lastRenderedPageBreak/>
        <w:t>© Northern Territory Government 2025</w:t>
      </w:r>
    </w:p>
    <w:p w14:paraId="671CD38F" w14:textId="77777777" w:rsidR="005C2F1F" w:rsidRPr="006E36C6" w:rsidRDefault="005C2F1F" w:rsidP="005C2F1F">
      <w:pPr>
        <w:tabs>
          <w:tab w:val="left" w:pos="1650"/>
        </w:tabs>
        <w:rPr>
          <w:rFonts w:cstheme="minorBidi"/>
          <w:color w:val="auto"/>
          <w:sz w:val="24"/>
          <w:szCs w:val="24"/>
        </w:rPr>
      </w:pPr>
      <w:r w:rsidRPr="006E36C6">
        <w:rPr>
          <w:color w:val="auto"/>
        </w:rPr>
        <w:t>This publication is available for your use under a</w:t>
      </w:r>
      <w:r w:rsidRPr="006E36C6">
        <w:rPr>
          <w:rFonts w:cstheme="minorHAnsi"/>
          <w:color w:val="auto"/>
          <w:sz w:val="24"/>
          <w:szCs w:val="24"/>
        </w:rPr>
        <w:t xml:space="preserve"> </w:t>
      </w:r>
      <w:bookmarkStart w:id="2" w:name="_Hlk198044583"/>
      <w:r w:rsidRPr="006E36C6">
        <w:rPr>
          <w:color w:val="auto"/>
        </w:rPr>
        <w:fldChar w:fldCharType="begin"/>
      </w:r>
      <w:r w:rsidRPr="006E36C6">
        <w:rPr>
          <w:color w:val="auto"/>
        </w:rPr>
        <w:instrText>HYPERLINK "https://creativecommons.org/licenses/by/4.0/deed.en"</w:instrText>
      </w:r>
      <w:r w:rsidRPr="006E36C6">
        <w:rPr>
          <w:color w:val="auto"/>
        </w:rPr>
      </w:r>
      <w:r w:rsidRPr="006E36C6">
        <w:rPr>
          <w:color w:val="auto"/>
        </w:rPr>
        <w:fldChar w:fldCharType="separate"/>
      </w:r>
      <w:r w:rsidRPr="006E36C6">
        <w:rPr>
          <w:rStyle w:val="Hyperlink"/>
          <w:color w:val="auto"/>
        </w:rPr>
        <w:t>Deed - Attribution 4.0 International - Creative Commons</w:t>
      </w:r>
      <w:r w:rsidRPr="006E36C6">
        <w:rPr>
          <w:color w:val="auto"/>
        </w:rPr>
        <w:fldChar w:fldCharType="end"/>
      </w:r>
      <w:r w:rsidRPr="006E36C6">
        <w:rPr>
          <w:rFonts w:cstheme="minorHAnsi"/>
          <w:color w:val="auto"/>
          <w:sz w:val="24"/>
          <w:szCs w:val="24"/>
        </w:rPr>
        <w:t xml:space="preserve"> </w:t>
      </w:r>
      <w:r w:rsidRPr="006E36C6">
        <w:rPr>
          <w:color w:val="auto"/>
        </w:rPr>
        <w:t>licence</w:t>
      </w:r>
      <w:bookmarkEnd w:id="2"/>
      <w:r w:rsidRPr="006E36C6">
        <w:rPr>
          <w:color w:val="auto"/>
        </w:rPr>
        <w:t>, with the exception of the Northern Territory Government, photographs, images, signatures and where otherwise stated. The full licence terms are available from</w:t>
      </w:r>
      <w:r w:rsidRPr="006E36C6">
        <w:rPr>
          <w:rFonts w:cstheme="minorHAnsi"/>
          <w:color w:val="auto"/>
          <w:sz w:val="24"/>
          <w:szCs w:val="24"/>
        </w:rPr>
        <w:t xml:space="preserve"> </w:t>
      </w:r>
      <w:hyperlink r:id="rId16" w:history="1">
        <w:r w:rsidRPr="006E36C6">
          <w:rPr>
            <w:rStyle w:val="Hyperlink"/>
            <w:color w:val="auto"/>
          </w:rPr>
          <w:t>https://creativecommons.org/licenses/by/4.0/legalcode.en</w:t>
        </w:r>
      </w:hyperlink>
      <w:r w:rsidRPr="006E36C6">
        <w:rPr>
          <w:color w:val="auto"/>
        </w:rPr>
        <w:t>.</w:t>
      </w:r>
      <w:r w:rsidRPr="006E36C6">
        <w:rPr>
          <w:color w:val="auto"/>
          <w:sz w:val="24"/>
          <w:szCs w:val="24"/>
        </w:rPr>
        <w:t xml:space="preserve"> </w:t>
      </w:r>
    </w:p>
    <w:p w14:paraId="57ED12D4" w14:textId="77777777" w:rsidR="005C2F1F" w:rsidRPr="006E36C6" w:rsidRDefault="005C2F1F" w:rsidP="005C2F1F">
      <w:pPr>
        <w:pStyle w:val="ChartGraphic"/>
        <w:jc w:val="left"/>
        <w:rPr>
          <w:color w:val="auto"/>
        </w:rPr>
      </w:pPr>
      <w:r w:rsidRPr="006E36C6">
        <w:rPr>
          <w:noProof/>
          <w:color w:val="auto"/>
        </w:rPr>
        <w:drawing>
          <wp:inline distT="0" distB="0" distL="0" distR="0" wp14:anchorId="7C47BE4C" wp14:editId="675C7520">
            <wp:extent cx="809625" cy="285750"/>
            <wp:effectExtent l="0" t="0" r="9525" b="0"/>
            <wp:docPr id="328905358" name="Picture 328905358"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3CF82ED9" w14:textId="77777777" w:rsidR="005C2F1F" w:rsidRPr="006E36C6" w:rsidRDefault="005C2F1F" w:rsidP="005C2F1F">
      <w:pPr>
        <w:tabs>
          <w:tab w:val="left" w:pos="1650"/>
        </w:tabs>
        <w:rPr>
          <w:color w:val="auto"/>
        </w:rPr>
      </w:pPr>
      <w:r w:rsidRPr="006E36C6">
        <w:rPr>
          <w:color w:val="auto"/>
        </w:rPr>
        <w:t>Use of Northern Territory Government material under a</w:t>
      </w:r>
      <w:r w:rsidRPr="006E36C6">
        <w:rPr>
          <w:rFonts w:cstheme="minorHAnsi"/>
          <w:color w:val="auto"/>
          <w:sz w:val="24"/>
          <w:szCs w:val="24"/>
        </w:rPr>
        <w:t xml:space="preserve"> </w:t>
      </w:r>
      <w:hyperlink r:id="rId18" w:history="1">
        <w:r w:rsidRPr="006E36C6">
          <w:rPr>
            <w:rStyle w:val="Hyperlink"/>
            <w:color w:val="auto"/>
          </w:rPr>
          <w:t>Deed - Attribution 4.0 International - Creative Commons</w:t>
        </w:r>
      </w:hyperlink>
      <w:r w:rsidRPr="006E36C6">
        <w:rPr>
          <w:rStyle w:val="Hyperlink"/>
          <w:color w:val="auto"/>
        </w:rPr>
        <w:t xml:space="preserve"> </w:t>
      </w:r>
      <w:r w:rsidRPr="006E36C6">
        <w:rPr>
          <w:color w:val="auto"/>
        </w:rPr>
        <w:t>licence requires you to attribute the work (but not in any way that suggests that Northern Territory Government endorses you or your use of the work).</w:t>
      </w:r>
    </w:p>
    <w:p w14:paraId="182A20E3" w14:textId="77777777" w:rsidR="005C2F1F" w:rsidRPr="006E36C6" w:rsidRDefault="005C2F1F" w:rsidP="005C2F1F">
      <w:pPr>
        <w:rPr>
          <w:b/>
          <w:color w:val="auto"/>
        </w:rPr>
      </w:pPr>
      <w:r w:rsidRPr="006E36C6">
        <w:rPr>
          <w:b/>
          <w:color w:val="auto"/>
        </w:rPr>
        <w:t>Northern Territory Government material used ‘as supplied’.</w:t>
      </w:r>
    </w:p>
    <w:p w14:paraId="233C6714" w14:textId="77777777" w:rsidR="005C2F1F" w:rsidRPr="006E36C6" w:rsidRDefault="005C2F1F" w:rsidP="005C2F1F">
      <w:pPr>
        <w:rPr>
          <w:color w:val="auto"/>
        </w:rPr>
      </w:pPr>
      <w:r w:rsidRPr="006E36C6">
        <w:rPr>
          <w:color w:val="auto"/>
        </w:rPr>
        <w:t xml:space="preserve">Provided you have not modified or transformed Northern Territory material in any way including, for example, by changing the Northern Territory text; calculating percentage changes; graphing or charting data; or deriving new statistics from published Northern Territory statistics — then Northern Territory prefers the following attribution: </w:t>
      </w:r>
    </w:p>
    <w:p w14:paraId="5F4B3019" w14:textId="77777777" w:rsidR="005C2F1F" w:rsidRPr="006E36C6" w:rsidRDefault="005C2F1F" w:rsidP="005C2F1F">
      <w:pPr>
        <w:ind w:firstLine="720"/>
        <w:rPr>
          <w:color w:val="auto"/>
        </w:rPr>
      </w:pPr>
      <w:r w:rsidRPr="006E36C6">
        <w:rPr>
          <w:i/>
          <w:color w:val="auto"/>
        </w:rPr>
        <w:t xml:space="preserve">Source: Northern Territory Government </w:t>
      </w:r>
      <w:r w:rsidRPr="006E36C6">
        <w:rPr>
          <w:iCs/>
          <w:color w:val="auto"/>
        </w:rPr>
        <w:t>Department of Lands, Planning and Environment</w:t>
      </w:r>
    </w:p>
    <w:p w14:paraId="62811402" w14:textId="77777777" w:rsidR="005C2F1F" w:rsidRPr="006E36C6" w:rsidRDefault="005C2F1F" w:rsidP="005C2F1F">
      <w:pPr>
        <w:rPr>
          <w:color w:val="auto"/>
        </w:rPr>
      </w:pPr>
      <w:r w:rsidRPr="006E36C6">
        <w:rPr>
          <w:b/>
          <w:color w:val="auto"/>
        </w:rPr>
        <w:t>Derivative</w:t>
      </w:r>
      <w:r w:rsidRPr="006E36C6">
        <w:rPr>
          <w:color w:val="auto"/>
        </w:rPr>
        <w:t xml:space="preserve"> </w:t>
      </w:r>
      <w:r w:rsidRPr="006E36C6">
        <w:rPr>
          <w:b/>
          <w:color w:val="auto"/>
        </w:rPr>
        <w:t>material</w:t>
      </w:r>
    </w:p>
    <w:p w14:paraId="0CE98445" w14:textId="77777777" w:rsidR="005C2F1F" w:rsidRPr="006E36C6" w:rsidRDefault="005C2F1F" w:rsidP="005C2F1F">
      <w:pPr>
        <w:rPr>
          <w:color w:val="auto"/>
        </w:rPr>
      </w:pPr>
      <w:r w:rsidRPr="006E36C6">
        <w:rPr>
          <w:color w:val="auto"/>
        </w:rPr>
        <w:t xml:space="preserve">If you have modified or transformed Northern Territory material, or derived new material from those of the Northern Territory Government in any way, then Northern Territory Government prefers the following attribution: </w:t>
      </w:r>
    </w:p>
    <w:p w14:paraId="758401FC" w14:textId="77777777" w:rsidR="005C2F1F" w:rsidRPr="006E36C6" w:rsidRDefault="005C2F1F" w:rsidP="005C2F1F">
      <w:pPr>
        <w:ind w:left="720"/>
        <w:rPr>
          <w:color w:val="auto"/>
        </w:rPr>
      </w:pPr>
      <w:r w:rsidRPr="006E36C6">
        <w:rPr>
          <w:i/>
          <w:color w:val="auto"/>
        </w:rPr>
        <w:t xml:space="preserve"> Based on Northern Territory Government</w:t>
      </w:r>
      <w:r w:rsidRPr="006E36C6" w:rsidDel="00797813">
        <w:rPr>
          <w:i/>
          <w:color w:val="auto"/>
        </w:rPr>
        <w:t xml:space="preserve"> </w:t>
      </w:r>
      <w:r w:rsidRPr="006E36C6">
        <w:rPr>
          <w:i/>
          <w:color w:val="auto"/>
        </w:rPr>
        <w:t>Department of Lands, Planning and Environment</w:t>
      </w:r>
    </w:p>
    <w:p w14:paraId="644D2638" w14:textId="77777777" w:rsidR="005C2F1F" w:rsidRPr="005C2F1F" w:rsidRDefault="005C2F1F" w:rsidP="005C2F1F">
      <w:pPr>
        <w:rPr>
          <w:b/>
        </w:rPr>
      </w:pPr>
      <w:r w:rsidRPr="005C2F1F">
        <w:rPr>
          <w:b/>
        </w:rPr>
        <w:t>Other uses</w:t>
      </w:r>
    </w:p>
    <w:p w14:paraId="7EC00DFA" w14:textId="77777777" w:rsidR="005C2F1F" w:rsidRPr="005C2F1F" w:rsidRDefault="005C2F1F" w:rsidP="005C2F1F">
      <w:r w:rsidRPr="005C2F1F">
        <w:t>Enquiries regarding this licence and any other use of this document are welcome at:</w:t>
      </w:r>
    </w:p>
    <w:p w14:paraId="28E535A5" w14:textId="3C68192A" w:rsidR="005C2F1F" w:rsidRPr="00AE20E9" w:rsidRDefault="005C2F1F" w:rsidP="005C2F1F">
      <w:pPr>
        <w:ind w:left="720"/>
        <w:rPr>
          <w:rStyle w:val="Hyperlink"/>
        </w:rPr>
      </w:pPr>
      <w:r w:rsidRPr="005C2F1F">
        <w:t>Department of Lands, Planning and Environment</w:t>
      </w:r>
      <w:r w:rsidRPr="005C2F1F">
        <w:br/>
      </w:r>
      <w:r w:rsidRPr="005C2F1F">
        <w:rPr>
          <w:color w:val="auto"/>
        </w:rPr>
        <w:t>GPO Box 1680</w:t>
      </w:r>
      <w:r w:rsidRPr="005C2F1F">
        <w:rPr>
          <w:color w:val="auto"/>
        </w:rPr>
        <w:br/>
      </w:r>
      <w:proofErr w:type="gramStart"/>
      <w:r w:rsidRPr="005C2F1F">
        <w:rPr>
          <w:rStyle w:val="Hyperlink"/>
          <w:color w:val="auto"/>
        </w:rPr>
        <w:t>D</w:t>
      </w:r>
      <w:r w:rsidR="006C052B">
        <w:rPr>
          <w:rStyle w:val="Hyperlink"/>
          <w:color w:val="auto"/>
        </w:rPr>
        <w:t xml:space="preserve">ARWIN </w:t>
      </w:r>
      <w:r w:rsidRPr="005C2F1F">
        <w:rPr>
          <w:rStyle w:val="Hyperlink"/>
          <w:color w:val="auto"/>
        </w:rPr>
        <w:t xml:space="preserve"> NT</w:t>
      </w:r>
      <w:proofErr w:type="gramEnd"/>
      <w:r w:rsidRPr="005C2F1F">
        <w:rPr>
          <w:rStyle w:val="Hyperlink"/>
          <w:color w:val="auto"/>
        </w:rPr>
        <w:t xml:space="preserve">  0801</w:t>
      </w:r>
    </w:p>
    <w:p w14:paraId="54B3BE73" w14:textId="77777777" w:rsidR="00207D2C" w:rsidRDefault="00207D2C">
      <w:pPr>
        <w:spacing w:before="0" w:after="160" w:line="259" w:lineRule="auto"/>
        <w:rPr>
          <w:rFonts w:asciiTheme="majorHAnsi" w:eastAsiaTheme="majorEastAsia" w:hAnsiTheme="majorHAnsi" w:cstheme="majorBidi"/>
          <w:color w:val="FF0000"/>
          <w:sz w:val="32"/>
          <w:szCs w:val="32"/>
          <w:lang w:val="en-US" w:eastAsia="en-US"/>
        </w:rPr>
      </w:pPr>
      <w:r>
        <w:rPr>
          <w:color w:val="FF0000"/>
        </w:rPr>
        <w:br w:type="page"/>
      </w:r>
    </w:p>
    <w:sdt>
      <w:sdtPr>
        <w:id w:val="657355207"/>
        <w:docPartObj>
          <w:docPartGallery w:val="Table of Contents"/>
          <w:docPartUnique/>
        </w:docPartObj>
      </w:sdtPr>
      <w:sdtEndPr>
        <w:rPr>
          <w:b/>
          <w:bCs/>
          <w:noProof/>
        </w:rPr>
      </w:sdtEndPr>
      <w:sdtContent>
        <w:p w14:paraId="54934B6B" w14:textId="4A20A771" w:rsidR="00833019" w:rsidRPr="00207D2C" w:rsidRDefault="00833019" w:rsidP="00207D2C">
          <w:pPr>
            <w:rPr>
              <w:rStyle w:val="Heading1Char"/>
            </w:rPr>
          </w:pPr>
          <w:r w:rsidRPr="00207D2C">
            <w:rPr>
              <w:rStyle w:val="Heading1Char"/>
            </w:rPr>
            <w:t>Contents</w:t>
          </w:r>
        </w:p>
        <w:p w14:paraId="0AD041C5" w14:textId="38B19569" w:rsidR="00FA1CDF" w:rsidRDefault="00833019">
          <w:pPr>
            <w:pStyle w:val="TOC1"/>
            <w:rPr>
              <w:rFonts w:eastAsiaTheme="minorEastAsia" w:cstheme="minorBidi"/>
              <w:b w:val="0"/>
              <w:color w:val="auto"/>
              <w:kern w:val="2"/>
              <w:szCs w:val="24"/>
              <w14:ligatures w14:val="standardContextual"/>
            </w:rPr>
          </w:pPr>
          <w:r>
            <w:fldChar w:fldCharType="begin"/>
          </w:r>
          <w:r>
            <w:instrText xml:space="preserve"> TOC \o "1-3" \h \z \u </w:instrText>
          </w:r>
          <w:r>
            <w:fldChar w:fldCharType="separate"/>
          </w:r>
          <w:hyperlink w:anchor="_Toc224740250" w:history="1">
            <w:r w:rsidR="00FA1CDF" w:rsidRPr="00394AAF">
              <w:rPr>
                <w:rStyle w:val="Hyperlink"/>
                <w:lang w:eastAsia="en-US"/>
              </w:rPr>
              <w:t>Measure 2</w:t>
            </w:r>
            <w:r w:rsidR="00FA1CDF">
              <w:rPr>
                <w:webHidden/>
              </w:rPr>
              <w:tab/>
            </w:r>
            <w:r w:rsidR="00FA1CDF">
              <w:rPr>
                <w:webHidden/>
              </w:rPr>
              <w:fldChar w:fldCharType="begin"/>
            </w:r>
            <w:r w:rsidR="00FA1CDF">
              <w:rPr>
                <w:webHidden/>
              </w:rPr>
              <w:instrText xml:space="preserve"> PAGEREF _Toc224740250 \h </w:instrText>
            </w:r>
            <w:r w:rsidR="00FA1CDF">
              <w:rPr>
                <w:webHidden/>
              </w:rPr>
            </w:r>
            <w:r w:rsidR="00FA1CDF">
              <w:rPr>
                <w:webHidden/>
              </w:rPr>
              <w:fldChar w:fldCharType="separate"/>
            </w:r>
            <w:r w:rsidR="00036223">
              <w:rPr>
                <w:webHidden/>
              </w:rPr>
              <w:t>6</w:t>
            </w:r>
            <w:r w:rsidR="00FA1CDF">
              <w:rPr>
                <w:webHidden/>
              </w:rPr>
              <w:fldChar w:fldCharType="end"/>
            </w:r>
          </w:hyperlink>
        </w:p>
        <w:p w14:paraId="7277EBFE" w14:textId="5FCD90E1" w:rsidR="00FA1CDF" w:rsidRDefault="00FA1CDF">
          <w:pPr>
            <w:pStyle w:val="TOC2"/>
            <w:rPr>
              <w:rFonts w:eastAsiaTheme="minorEastAsia" w:cstheme="minorBidi"/>
              <w:color w:val="auto"/>
              <w:kern w:val="2"/>
              <w:sz w:val="24"/>
              <w:szCs w:val="24"/>
              <w14:ligatures w14:val="standardContextual"/>
            </w:rPr>
          </w:pPr>
          <w:hyperlink w:anchor="_Toc224740251" w:history="1">
            <w:r w:rsidRPr="00394AAF">
              <w:rPr>
                <w:rStyle w:val="Hyperlink"/>
              </w:rPr>
              <w:t>How the Northern Territory’s strategic plan(s) will deliver on housing supply targets</w:t>
            </w:r>
            <w:r>
              <w:rPr>
                <w:webHidden/>
              </w:rPr>
              <w:tab/>
            </w:r>
            <w:r>
              <w:rPr>
                <w:webHidden/>
              </w:rPr>
              <w:fldChar w:fldCharType="begin"/>
            </w:r>
            <w:r>
              <w:rPr>
                <w:webHidden/>
              </w:rPr>
              <w:instrText xml:space="preserve"> PAGEREF _Toc224740251 \h </w:instrText>
            </w:r>
            <w:r>
              <w:rPr>
                <w:webHidden/>
              </w:rPr>
            </w:r>
            <w:r>
              <w:rPr>
                <w:webHidden/>
              </w:rPr>
              <w:fldChar w:fldCharType="separate"/>
            </w:r>
            <w:r w:rsidR="00036223">
              <w:rPr>
                <w:webHidden/>
              </w:rPr>
              <w:t>6</w:t>
            </w:r>
            <w:r>
              <w:rPr>
                <w:webHidden/>
              </w:rPr>
              <w:fldChar w:fldCharType="end"/>
            </w:r>
          </w:hyperlink>
        </w:p>
        <w:p w14:paraId="7DA56FC6" w14:textId="53887710" w:rsidR="00FA1CDF" w:rsidRDefault="00FA1CDF">
          <w:pPr>
            <w:pStyle w:val="TOC1"/>
            <w:rPr>
              <w:rFonts w:eastAsiaTheme="minorEastAsia" w:cstheme="minorBidi"/>
              <w:b w:val="0"/>
              <w:color w:val="auto"/>
              <w:kern w:val="2"/>
              <w:szCs w:val="24"/>
              <w14:ligatures w14:val="standardContextual"/>
            </w:rPr>
          </w:pPr>
          <w:hyperlink w:anchor="_Toc224740252" w:history="1">
            <w:r w:rsidRPr="00394AAF">
              <w:rPr>
                <w:rStyle w:val="Hyperlink"/>
                <w:lang w:eastAsia="en-US"/>
              </w:rPr>
              <w:t>Measure 3</w:t>
            </w:r>
            <w:r>
              <w:rPr>
                <w:webHidden/>
              </w:rPr>
              <w:tab/>
            </w:r>
            <w:r>
              <w:rPr>
                <w:webHidden/>
              </w:rPr>
              <w:fldChar w:fldCharType="begin"/>
            </w:r>
            <w:r>
              <w:rPr>
                <w:webHidden/>
              </w:rPr>
              <w:instrText xml:space="preserve"> PAGEREF _Toc224740252 \h </w:instrText>
            </w:r>
            <w:r>
              <w:rPr>
                <w:webHidden/>
              </w:rPr>
            </w:r>
            <w:r>
              <w:rPr>
                <w:webHidden/>
              </w:rPr>
              <w:fldChar w:fldCharType="separate"/>
            </w:r>
            <w:r w:rsidR="00036223">
              <w:rPr>
                <w:webHidden/>
              </w:rPr>
              <w:t>8</w:t>
            </w:r>
            <w:r>
              <w:rPr>
                <w:webHidden/>
              </w:rPr>
              <w:fldChar w:fldCharType="end"/>
            </w:r>
          </w:hyperlink>
        </w:p>
        <w:p w14:paraId="4EBDEC8D" w14:textId="51B9ADF6" w:rsidR="00FA1CDF" w:rsidRDefault="00FA1CDF">
          <w:pPr>
            <w:pStyle w:val="TOC2"/>
            <w:rPr>
              <w:rFonts w:eastAsiaTheme="minorEastAsia" w:cstheme="minorBidi"/>
              <w:color w:val="auto"/>
              <w:kern w:val="2"/>
              <w:sz w:val="24"/>
              <w:szCs w:val="24"/>
              <w14:ligatures w14:val="standardContextual"/>
            </w:rPr>
          </w:pPr>
          <w:hyperlink w:anchor="_Toc224740253" w:history="1">
            <w:r w:rsidRPr="00394AAF">
              <w:rPr>
                <w:rStyle w:val="Hyperlink"/>
              </w:rPr>
              <w:t>Summary of planning reforms</w:t>
            </w:r>
            <w:r>
              <w:rPr>
                <w:webHidden/>
              </w:rPr>
              <w:tab/>
            </w:r>
            <w:r>
              <w:rPr>
                <w:webHidden/>
              </w:rPr>
              <w:fldChar w:fldCharType="begin"/>
            </w:r>
            <w:r>
              <w:rPr>
                <w:webHidden/>
              </w:rPr>
              <w:instrText xml:space="preserve"> PAGEREF _Toc224740253 \h </w:instrText>
            </w:r>
            <w:r>
              <w:rPr>
                <w:webHidden/>
              </w:rPr>
            </w:r>
            <w:r>
              <w:rPr>
                <w:webHidden/>
              </w:rPr>
              <w:fldChar w:fldCharType="separate"/>
            </w:r>
            <w:r w:rsidR="00036223">
              <w:rPr>
                <w:webHidden/>
              </w:rPr>
              <w:t>8</w:t>
            </w:r>
            <w:r>
              <w:rPr>
                <w:webHidden/>
              </w:rPr>
              <w:fldChar w:fldCharType="end"/>
            </w:r>
          </w:hyperlink>
        </w:p>
        <w:p w14:paraId="6728AD2B" w14:textId="2FCA5330" w:rsidR="00FA1CDF" w:rsidRDefault="00FA1CDF">
          <w:pPr>
            <w:pStyle w:val="TOC2"/>
            <w:rPr>
              <w:rFonts w:eastAsiaTheme="minorEastAsia" w:cstheme="minorBidi"/>
              <w:color w:val="auto"/>
              <w:kern w:val="2"/>
              <w:sz w:val="24"/>
              <w:szCs w:val="24"/>
              <w14:ligatures w14:val="standardContextual"/>
            </w:rPr>
          </w:pPr>
          <w:hyperlink w:anchor="_Toc224740254" w:history="1">
            <w:r w:rsidRPr="00394AAF">
              <w:rPr>
                <w:rStyle w:val="Hyperlink"/>
              </w:rPr>
              <w:t>Summary of zoning reforms</w:t>
            </w:r>
            <w:r>
              <w:rPr>
                <w:webHidden/>
              </w:rPr>
              <w:tab/>
            </w:r>
            <w:r>
              <w:rPr>
                <w:webHidden/>
              </w:rPr>
              <w:fldChar w:fldCharType="begin"/>
            </w:r>
            <w:r>
              <w:rPr>
                <w:webHidden/>
              </w:rPr>
              <w:instrText xml:space="preserve"> PAGEREF _Toc224740254 \h </w:instrText>
            </w:r>
            <w:r>
              <w:rPr>
                <w:webHidden/>
              </w:rPr>
            </w:r>
            <w:r>
              <w:rPr>
                <w:webHidden/>
              </w:rPr>
              <w:fldChar w:fldCharType="separate"/>
            </w:r>
            <w:r w:rsidR="00036223">
              <w:rPr>
                <w:webHidden/>
              </w:rPr>
              <w:t>9</w:t>
            </w:r>
            <w:r>
              <w:rPr>
                <w:webHidden/>
              </w:rPr>
              <w:fldChar w:fldCharType="end"/>
            </w:r>
          </w:hyperlink>
        </w:p>
        <w:p w14:paraId="1E88438F" w14:textId="388ED43B" w:rsidR="00FA1CDF" w:rsidRDefault="00FA1CDF">
          <w:pPr>
            <w:pStyle w:val="TOC2"/>
            <w:rPr>
              <w:rFonts w:eastAsiaTheme="minorEastAsia" w:cstheme="minorBidi"/>
              <w:color w:val="auto"/>
              <w:kern w:val="2"/>
              <w:sz w:val="24"/>
              <w:szCs w:val="24"/>
              <w14:ligatures w14:val="standardContextual"/>
            </w:rPr>
          </w:pPr>
          <w:hyperlink w:anchor="_Toc224740255" w:history="1">
            <w:r w:rsidRPr="00394AAF">
              <w:rPr>
                <w:rStyle w:val="Hyperlink"/>
              </w:rPr>
              <w:t>Summary of land release reforms</w:t>
            </w:r>
            <w:r>
              <w:rPr>
                <w:webHidden/>
              </w:rPr>
              <w:tab/>
            </w:r>
            <w:r>
              <w:rPr>
                <w:webHidden/>
              </w:rPr>
              <w:fldChar w:fldCharType="begin"/>
            </w:r>
            <w:r>
              <w:rPr>
                <w:webHidden/>
              </w:rPr>
              <w:instrText xml:space="preserve"> PAGEREF _Toc224740255 \h </w:instrText>
            </w:r>
            <w:r>
              <w:rPr>
                <w:webHidden/>
              </w:rPr>
            </w:r>
            <w:r>
              <w:rPr>
                <w:webHidden/>
              </w:rPr>
              <w:fldChar w:fldCharType="separate"/>
            </w:r>
            <w:r w:rsidR="00036223">
              <w:rPr>
                <w:webHidden/>
              </w:rPr>
              <w:t>10</w:t>
            </w:r>
            <w:r>
              <w:rPr>
                <w:webHidden/>
              </w:rPr>
              <w:fldChar w:fldCharType="end"/>
            </w:r>
          </w:hyperlink>
        </w:p>
        <w:p w14:paraId="6C947EDE" w14:textId="2FDE9C00" w:rsidR="00FA1CDF" w:rsidRDefault="00FA1CDF">
          <w:pPr>
            <w:pStyle w:val="TOC2"/>
            <w:rPr>
              <w:rFonts w:eastAsiaTheme="minorEastAsia" w:cstheme="minorBidi"/>
              <w:color w:val="auto"/>
              <w:kern w:val="2"/>
              <w:sz w:val="24"/>
              <w:szCs w:val="24"/>
              <w14:ligatures w14:val="standardContextual"/>
            </w:rPr>
          </w:pPr>
          <w:hyperlink w:anchor="_Toc224740256" w:history="1">
            <w:r w:rsidRPr="00394AAF">
              <w:rPr>
                <w:rStyle w:val="Hyperlink"/>
              </w:rPr>
              <w:t>Summary of density and other reforms</w:t>
            </w:r>
            <w:r>
              <w:rPr>
                <w:webHidden/>
              </w:rPr>
              <w:tab/>
            </w:r>
            <w:r>
              <w:rPr>
                <w:webHidden/>
              </w:rPr>
              <w:fldChar w:fldCharType="begin"/>
            </w:r>
            <w:r>
              <w:rPr>
                <w:webHidden/>
              </w:rPr>
              <w:instrText xml:space="preserve"> PAGEREF _Toc224740256 \h </w:instrText>
            </w:r>
            <w:r>
              <w:rPr>
                <w:webHidden/>
              </w:rPr>
            </w:r>
            <w:r>
              <w:rPr>
                <w:webHidden/>
              </w:rPr>
              <w:fldChar w:fldCharType="separate"/>
            </w:r>
            <w:r w:rsidR="00036223">
              <w:rPr>
                <w:webHidden/>
              </w:rPr>
              <w:t>11</w:t>
            </w:r>
            <w:r>
              <w:rPr>
                <w:webHidden/>
              </w:rPr>
              <w:fldChar w:fldCharType="end"/>
            </w:r>
          </w:hyperlink>
        </w:p>
        <w:p w14:paraId="17D3F426" w14:textId="2944A351" w:rsidR="00FA1CDF" w:rsidRDefault="00FA1CDF">
          <w:pPr>
            <w:pStyle w:val="TOC1"/>
            <w:rPr>
              <w:rFonts w:eastAsiaTheme="minorEastAsia" w:cstheme="minorBidi"/>
              <w:b w:val="0"/>
              <w:color w:val="auto"/>
              <w:kern w:val="2"/>
              <w:szCs w:val="24"/>
              <w14:ligatures w14:val="standardContextual"/>
            </w:rPr>
          </w:pPr>
          <w:hyperlink w:anchor="_Toc224740257" w:history="1">
            <w:r w:rsidRPr="00394AAF">
              <w:rPr>
                <w:rStyle w:val="Hyperlink"/>
                <w:lang w:eastAsia="en-US"/>
              </w:rPr>
              <w:t>Measure 4</w:t>
            </w:r>
            <w:r>
              <w:rPr>
                <w:webHidden/>
              </w:rPr>
              <w:tab/>
            </w:r>
            <w:r>
              <w:rPr>
                <w:webHidden/>
              </w:rPr>
              <w:fldChar w:fldCharType="begin"/>
            </w:r>
            <w:r>
              <w:rPr>
                <w:webHidden/>
              </w:rPr>
              <w:instrText xml:space="preserve"> PAGEREF _Toc224740257 \h </w:instrText>
            </w:r>
            <w:r>
              <w:rPr>
                <w:webHidden/>
              </w:rPr>
            </w:r>
            <w:r>
              <w:rPr>
                <w:webHidden/>
              </w:rPr>
              <w:fldChar w:fldCharType="separate"/>
            </w:r>
            <w:r w:rsidR="00036223">
              <w:rPr>
                <w:webHidden/>
              </w:rPr>
              <w:t>12</w:t>
            </w:r>
            <w:r>
              <w:rPr>
                <w:webHidden/>
              </w:rPr>
              <w:fldChar w:fldCharType="end"/>
            </w:r>
          </w:hyperlink>
        </w:p>
        <w:p w14:paraId="394A260E" w14:textId="53A7236A" w:rsidR="00FA1CDF" w:rsidRDefault="00FA1CDF">
          <w:pPr>
            <w:pStyle w:val="TOC2"/>
            <w:rPr>
              <w:rFonts w:eastAsiaTheme="minorEastAsia" w:cstheme="minorBidi"/>
              <w:color w:val="auto"/>
              <w:kern w:val="2"/>
              <w:sz w:val="24"/>
              <w:szCs w:val="24"/>
              <w14:ligatures w14:val="standardContextual"/>
            </w:rPr>
          </w:pPr>
          <w:hyperlink w:anchor="_Toc224740258" w:history="1">
            <w:r w:rsidRPr="00394AAF">
              <w:rPr>
                <w:rStyle w:val="Hyperlink"/>
              </w:rPr>
              <w:t>Key findings from a development ready land stocktake</w:t>
            </w:r>
            <w:r>
              <w:rPr>
                <w:webHidden/>
              </w:rPr>
              <w:tab/>
            </w:r>
            <w:r>
              <w:rPr>
                <w:webHidden/>
              </w:rPr>
              <w:fldChar w:fldCharType="begin"/>
            </w:r>
            <w:r>
              <w:rPr>
                <w:webHidden/>
              </w:rPr>
              <w:instrText xml:space="preserve"> PAGEREF _Toc224740258 \h </w:instrText>
            </w:r>
            <w:r>
              <w:rPr>
                <w:webHidden/>
              </w:rPr>
            </w:r>
            <w:r>
              <w:rPr>
                <w:webHidden/>
              </w:rPr>
              <w:fldChar w:fldCharType="separate"/>
            </w:r>
            <w:r w:rsidR="00036223">
              <w:rPr>
                <w:webHidden/>
              </w:rPr>
              <w:t>12</w:t>
            </w:r>
            <w:r>
              <w:rPr>
                <w:webHidden/>
              </w:rPr>
              <w:fldChar w:fldCharType="end"/>
            </w:r>
          </w:hyperlink>
        </w:p>
        <w:p w14:paraId="6CA2AF2A" w14:textId="6C7D8138" w:rsidR="00FA1CDF" w:rsidRDefault="00FA1CDF">
          <w:pPr>
            <w:pStyle w:val="TOC1"/>
            <w:rPr>
              <w:rFonts w:eastAsiaTheme="minorEastAsia" w:cstheme="minorBidi"/>
              <w:b w:val="0"/>
              <w:color w:val="auto"/>
              <w:kern w:val="2"/>
              <w:szCs w:val="24"/>
              <w14:ligatures w14:val="standardContextual"/>
            </w:rPr>
          </w:pPr>
          <w:hyperlink w:anchor="_Toc224740259" w:history="1">
            <w:r w:rsidRPr="00394AAF">
              <w:rPr>
                <w:rStyle w:val="Hyperlink"/>
                <w:lang w:eastAsia="en-US"/>
              </w:rPr>
              <w:t>Measure 5</w:t>
            </w:r>
            <w:r>
              <w:rPr>
                <w:webHidden/>
              </w:rPr>
              <w:tab/>
            </w:r>
            <w:r>
              <w:rPr>
                <w:webHidden/>
              </w:rPr>
              <w:fldChar w:fldCharType="begin"/>
            </w:r>
            <w:r>
              <w:rPr>
                <w:webHidden/>
              </w:rPr>
              <w:instrText xml:space="preserve"> PAGEREF _Toc224740259 \h </w:instrText>
            </w:r>
            <w:r>
              <w:rPr>
                <w:webHidden/>
              </w:rPr>
            </w:r>
            <w:r>
              <w:rPr>
                <w:webHidden/>
              </w:rPr>
              <w:fldChar w:fldCharType="separate"/>
            </w:r>
            <w:r w:rsidR="00036223">
              <w:rPr>
                <w:webHidden/>
              </w:rPr>
              <w:t>14</w:t>
            </w:r>
            <w:r>
              <w:rPr>
                <w:webHidden/>
              </w:rPr>
              <w:fldChar w:fldCharType="end"/>
            </w:r>
          </w:hyperlink>
        </w:p>
        <w:p w14:paraId="3826D46C" w14:textId="344CEC32" w:rsidR="00FA1CDF" w:rsidRDefault="00FA1CDF">
          <w:pPr>
            <w:pStyle w:val="TOC2"/>
            <w:rPr>
              <w:rFonts w:eastAsiaTheme="minorEastAsia" w:cstheme="minorBidi"/>
              <w:color w:val="auto"/>
              <w:kern w:val="2"/>
              <w:sz w:val="24"/>
              <w:szCs w:val="24"/>
              <w14:ligatures w14:val="standardContextual"/>
            </w:rPr>
          </w:pPr>
          <w:hyperlink w:anchor="_Toc224740260" w:history="1">
            <w:r w:rsidRPr="00394AAF">
              <w:rPr>
                <w:rStyle w:val="Hyperlink"/>
              </w:rPr>
              <w:t>Zoning, planning and other amendments to support dense, well-located housing</w:t>
            </w:r>
            <w:r>
              <w:rPr>
                <w:webHidden/>
              </w:rPr>
              <w:tab/>
            </w:r>
            <w:r>
              <w:rPr>
                <w:webHidden/>
              </w:rPr>
              <w:fldChar w:fldCharType="begin"/>
            </w:r>
            <w:r>
              <w:rPr>
                <w:webHidden/>
              </w:rPr>
              <w:instrText xml:space="preserve"> PAGEREF _Toc224740260 \h </w:instrText>
            </w:r>
            <w:r>
              <w:rPr>
                <w:webHidden/>
              </w:rPr>
            </w:r>
            <w:r>
              <w:rPr>
                <w:webHidden/>
              </w:rPr>
              <w:fldChar w:fldCharType="separate"/>
            </w:r>
            <w:r w:rsidR="00036223">
              <w:rPr>
                <w:webHidden/>
              </w:rPr>
              <w:t>14</w:t>
            </w:r>
            <w:r>
              <w:rPr>
                <w:webHidden/>
              </w:rPr>
              <w:fldChar w:fldCharType="end"/>
            </w:r>
          </w:hyperlink>
        </w:p>
        <w:p w14:paraId="44AFF7F2" w14:textId="6137092B" w:rsidR="00FA1CDF" w:rsidRDefault="00FA1CDF">
          <w:pPr>
            <w:pStyle w:val="TOC2"/>
            <w:rPr>
              <w:rFonts w:eastAsiaTheme="minorEastAsia" w:cstheme="minorBidi"/>
              <w:color w:val="auto"/>
              <w:kern w:val="2"/>
              <w:sz w:val="24"/>
              <w:szCs w:val="24"/>
              <w14:ligatures w14:val="standardContextual"/>
            </w:rPr>
          </w:pPr>
          <w:hyperlink w:anchor="_Toc224740261" w:history="1">
            <w:r w:rsidRPr="00394AAF">
              <w:rPr>
                <w:rStyle w:val="Hyperlink"/>
              </w:rPr>
              <w:t>Reforms to non-planning barriers preventing a diversity of housing</w:t>
            </w:r>
            <w:r>
              <w:rPr>
                <w:webHidden/>
              </w:rPr>
              <w:tab/>
            </w:r>
            <w:r>
              <w:rPr>
                <w:webHidden/>
              </w:rPr>
              <w:fldChar w:fldCharType="begin"/>
            </w:r>
            <w:r>
              <w:rPr>
                <w:webHidden/>
              </w:rPr>
              <w:instrText xml:space="preserve"> PAGEREF _Toc224740261 \h </w:instrText>
            </w:r>
            <w:r>
              <w:rPr>
                <w:webHidden/>
              </w:rPr>
            </w:r>
            <w:r>
              <w:rPr>
                <w:webHidden/>
              </w:rPr>
              <w:fldChar w:fldCharType="separate"/>
            </w:r>
            <w:r w:rsidR="00036223">
              <w:rPr>
                <w:webHidden/>
              </w:rPr>
              <w:t>16</w:t>
            </w:r>
            <w:r>
              <w:rPr>
                <w:webHidden/>
              </w:rPr>
              <w:fldChar w:fldCharType="end"/>
            </w:r>
          </w:hyperlink>
        </w:p>
        <w:p w14:paraId="2DC7C80C" w14:textId="7DDE10DA" w:rsidR="00FA1CDF" w:rsidRDefault="00FA1CDF">
          <w:pPr>
            <w:pStyle w:val="TOC1"/>
            <w:rPr>
              <w:rFonts w:eastAsiaTheme="minorEastAsia" w:cstheme="minorBidi"/>
              <w:b w:val="0"/>
              <w:color w:val="auto"/>
              <w:kern w:val="2"/>
              <w:szCs w:val="24"/>
              <w14:ligatures w14:val="standardContextual"/>
            </w:rPr>
          </w:pPr>
          <w:hyperlink w:anchor="_Toc224740262" w:history="1">
            <w:r w:rsidRPr="00394AAF">
              <w:rPr>
                <w:rStyle w:val="Hyperlink"/>
                <w:lang w:eastAsia="en-US"/>
              </w:rPr>
              <w:t>Measure 6</w:t>
            </w:r>
            <w:r>
              <w:rPr>
                <w:webHidden/>
              </w:rPr>
              <w:tab/>
            </w:r>
            <w:r>
              <w:rPr>
                <w:webHidden/>
              </w:rPr>
              <w:fldChar w:fldCharType="begin"/>
            </w:r>
            <w:r>
              <w:rPr>
                <w:webHidden/>
              </w:rPr>
              <w:instrText xml:space="preserve"> PAGEREF _Toc224740262 \h </w:instrText>
            </w:r>
            <w:r>
              <w:rPr>
                <w:webHidden/>
              </w:rPr>
            </w:r>
            <w:r>
              <w:rPr>
                <w:webHidden/>
              </w:rPr>
              <w:fldChar w:fldCharType="separate"/>
            </w:r>
            <w:r w:rsidR="00036223">
              <w:rPr>
                <w:webHidden/>
              </w:rPr>
              <w:t>17</w:t>
            </w:r>
            <w:r>
              <w:rPr>
                <w:webHidden/>
              </w:rPr>
              <w:fldChar w:fldCharType="end"/>
            </w:r>
          </w:hyperlink>
        </w:p>
        <w:p w14:paraId="6452329F" w14:textId="7559FFBB" w:rsidR="00FA1CDF" w:rsidRDefault="00FA1CDF">
          <w:pPr>
            <w:pStyle w:val="TOC2"/>
            <w:rPr>
              <w:rFonts w:eastAsiaTheme="minorEastAsia" w:cstheme="minorBidi"/>
              <w:color w:val="auto"/>
              <w:kern w:val="2"/>
              <w:sz w:val="24"/>
              <w:szCs w:val="24"/>
              <w14:ligatures w14:val="standardContextual"/>
            </w:rPr>
          </w:pPr>
          <w:hyperlink w:anchor="_Toc224740263" w:history="1">
            <w:r w:rsidRPr="00394AAF">
              <w:rPr>
                <w:rStyle w:val="Hyperlink"/>
              </w:rPr>
              <w:t>Identifying barriers in development approvals</w:t>
            </w:r>
            <w:r>
              <w:rPr>
                <w:webHidden/>
              </w:rPr>
              <w:tab/>
            </w:r>
            <w:r>
              <w:rPr>
                <w:webHidden/>
              </w:rPr>
              <w:fldChar w:fldCharType="begin"/>
            </w:r>
            <w:r>
              <w:rPr>
                <w:webHidden/>
              </w:rPr>
              <w:instrText xml:space="preserve"> PAGEREF _Toc224740263 \h </w:instrText>
            </w:r>
            <w:r>
              <w:rPr>
                <w:webHidden/>
              </w:rPr>
            </w:r>
            <w:r>
              <w:rPr>
                <w:webHidden/>
              </w:rPr>
              <w:fldChar w:fldCharType="separate"/>
            </w:r>
            <w:r w:rsidR="00036223">
              <w:rPr>
                <w:webHidden/>
              </w:rPr>
              <w:t>17</w:t>
            </w:r>
            <w:r>
              <w:rPr>
                <w:webHidden/>
              </w:rPr>
              <w:fldChar w:fldCharType="end"/>
            </w:r>
          </w:hyperlink>
        </w:p>
        <w:p w14:paraId="406CFBCB" w14:textId="62F23641" w:rsidR="00FA1CDF" w:rsidRDefault="00FA1CDF">
          <w:pPr>
            <w:pStyle w:val="TOC3"/>
            <w:rPr>
              <w:rFonts w:eastAsiaTheme="minorEastAsia" w:cstheme="minorBidi"/>
              <w:color w:val="auto"/>
              <w:kern w:val="2"/>
              <w:sz w:val="24"/>
              <w:szCs w:val="24"/>
              <w14:ligatures w14:val="standardContextual"/>
            </w:rPr>
          </w:pPr>
          <w:hyperlink w:anchor="_Toc224740264" w:history="1">
            <w:r w:rsidRPr="00394AAF">
              <w:rPr>
                <w:rStyle w:val="Hyperlink"/>
              </w:rPr>
              <w:t>Key barriers to the timely issuing of development approvals</w:t>
            </w:r>
            <w:r>
              <w:rPr>
                <w:webHidden/>
              </w:rPr>
              <w:tab/>
            </w:r>
            <w:r>
              <w:rPr>
                <w:webHidden/>
              </w:rPr>
              <w:fldChar w:fldCharType="begin"/>
            </w:r>
            <w:r>
              <w:rPr>
                <w:webHidden/>
              </w:rPr>
              <w:instrText xml:space="preserve"> PAGEREF _Toc224740264 \h </w:instrText>
            </w:r>
            <w:r>
              <w:rPr>
                <w:webHidden/>
              </w:rPr>
            </w:r>
            <w:r>
              <w:rPr>
                <w:webHidden/>
              </w:rPr>
              <w:fldChar w:fldCharType="separate"/>
            </w:r>
            <w:r w:rsidR="00036223">
              <w:rPr>
                <w:webHidden/>
              </w:rPr>
              <w:t>17</w:t>
            </w:r>
            <w:r>
              <w:rPr>
                <w:webHidden/>
              </w:rPr>
              <w:fldChar w:fldCharType="end"/>
            </w:r>
          </w:hyperlink>
        </w:p>
        <w:p w14:paraId="30046227" w14:textId="1BD271C5" w:rsidR="00FA1CDF" w:rsidRDefault="00FA1CDF">
          <w:pPr>
            <w:pStyle w:val="TOC3"/>
            <w:rPr>
              <w:rFonts w:eastAsiaTheme="minorEastAsia" w:cstheme="minorBidi"/>
              <w:color w:val="auto"/>
              <w:kern w:val="2"/>
              <w:sz w:val="24"/>
              <w:szCs w:val="24"/>
              <w14:ligatures w14:val="standardContextual"/>
            </w:rPr>
          </w:pPr>
          <w:hyperlink w:anchor="_Toc224740265" w:history="1">
            <w:r w:rsidRPr="00394AAF">
              <w:rPr>
                <w:rStyle w:val="Hyperlink"/>
              </w:rPr>
              <w:t>Barriers to delivering housing where development approvals have been granted</w:t>
            </w:r>
            <w:r>
              <w:rPr>
                <w:webHidden/>
              </w:rPr>
              <w:tab/>
            </w:r>
            <w:r>
              <w:rPr>
                <w:webHidden/>
              </w:rPr>
              <w:fldChar w:fldCharType="begin"/>
            </w:r>
            <w:r>
              <w:rPr>
                <w:webHidden/>
              </w:rPr>
              <w:instrText xml:space="preserve"> PAGEREF _Toc224740265 \h </w:instrText>
            </w:r>
            <w:r>
              <w:rPr>
                <w:webHidden/>
              </w:rPr>
            </w:r>
            <w:r>
              <w:rPr>
                <w:webHidden/>
              </w:rPr>
              <w:fldChar w:fldCharType="separate"/>
            </w:r>
            <w:r w:rsidR="00036223">
              <w:rPr>
                <w:webHidden/>
              </w:rPr>
              <w:t>17</w:t>
            </w:r>
            <w:r>
              <w:rPr>
                <w:webHidden/>
              </w:rPr>
              <w:fldChar w:fldCharType="end"/>
            </w:r>
          </w:hyperlink>
        </w:p>
        <w:p w14:paraId="33364FFB" w14:textId="41CDD951" w:rsidR="00FA1CDF" w:rsidRDefault="00FA1CDF">
          <w:pPr>
            <w:pStyle w:val="TOC2"/>
            <w:rPr>
              <w:rFonts w:eastAsiaTheme="minorEastAsia" w:cstheme="minorBidi"/>
              <w:color w:val="auto"/>
              <w:kern w:val="2"/>
              <w:sz w:val="24"/>
              <w:szCs w:val="24"/>
              <w14:ligatures w14:val="standardContextual"/>
            </w:rPr>
          </w:pPr>
          <w:hyperlink w:anchor="_Toc224740266" w:history="1">
            <w:r w:rsidRPr="00394AAF">
              <w:rPr>
                <w:rStyle w:val="Hyperlink"/>
              </w:rPr>
              <w:t>Reforms to development approvals</w:t>
            </w:r>
            <w:r>
              <w:rPr>
                <w:webHidden/>
              </w:rPr>
              <w:tab/>
            </w:r>
            <w:r>
              <w:rPr>
                <w:webHidden/>
              </w:rPr>
              <w:fldChar w:fldCharType="begin"/>
            </w:r>
            <w:r>
              <w:rPr>
                <w:webHidden/>
              </w:rPr>
              <w:instrText xml:space="preserve"> PAGEREF _Toc224740266 \h </w:instrText>
            </w:r>
            <w:r>
              <w:rPr>
                <w:webHidden/>
              </w:rPr>
            </w:r>
            <w:r>
              <w:rPr>
                <w:webHidden/>
              </w:rPr>
              <w:fldChar w:fldCharType="separate"/>
            </w:r>
            <w:r w:rsidR="00036223">
              <w:rPr>
                <w:webHidden/>
              </w:rPr>
              <w:t>18</w:t>
            </w:r>
            <w:r>
              <w:rPr>
                <w:webHidden/>
              </w:rPr>
              <w:fldChar w:fldCharType="end"/>
            </w:r>
          </w:hyperlink>
        </w:p>
        <w:p w14:paraId="45A7138B" w14:textId="345C4311" w:rsidR="00FA1CDF" w:rsidRDefault="00FA1CDF">
          <w:pPr>
            <w:pStyle w:val="TOC3"/>
            <w:rPr>
              <w:rFonts w:eastAsiaTheme="minorEastAsia" w:cstheme="minorBidi"/>
              <w:color w:val="auto"/>
              <w:kern w:val="2"/>
              <w:sz w:val="24"/>
              <w:szCs w:val="24"/>
              <w14:ligatures w14:val="standardContextual"/>
            </w:rPr>
          </w:pPr>
          <w:hyperlink w:anchor="_Toc224740267" w:history="1">
            <w:r w:rsidRPr="00394AAF">
              <w:rPr>
                <w:rStyle w:val="Hyperlink"/>
              </w:rPr>
              <w:t>Reforms to social and affordable housing approval pathways</w:t>
            </w:r>
            <w:r>
              <w:rPr>
                <w:webHidden/>
              </w:rPr>
              <w:tab/>
            </w:r>
            <w:r>
              <w:rPr>
                <w:webHidden/>
              </w:rPr>
              <w:fldChar w:fldCharType="begin"/>
            </w:r>
            <w:r>
              <w:rPr>
                <w:webHidden/>
              </w:rPr>
              <w:instrText xml:space="preserve"> PAGEREF _Toc224740267 \h </w:instrText>
            </w:r>
            <w:r>
              <w:rPr>
                <w:webHidden/>
              </w:rPr>
            </w:r>
            <w:r>
              <w:rPr>
                <w:webHidden/>
              </w:rPr>
              <w:fldChar w:fldCharType="separate"/>
            </w:r>
            <w:r w:rsidR="00036223">
              <w:rPr>
                <w:webHidden/>
              </w:rPr>
              <w:t>18</w:t>
            </w:r>
            <w:r>
              <w:rPr>
                <w:webHidden/>
              </w:rPr>
              <w:fldChar w:fldCharType="end"/>
            </w:r>
          </w:hyperlink>
        </w:p>
        <w:p w14:paraId="35A5A0A6" w14:textId="6B670586" w:rsidR="00FA1CDF" w:rsidRDefault="00FA1CDF">
          <w:pPr>
            <w:pStyle w:val="TOC3"/>
            <w:rPr>
              <w:rFonts w:eastAsiaTheme="minorEastAsia" w:cstheme="minorBidi"/>
              <w:color w:val="auto"/>
              <w:kern w:val="2"/>
              <w:sz w:val="24"/>
              <w:szCs w:val="24"/>
              <w14:ligatures w14:val="standardContextual"/>
            </w:rPr>
          </w:pPr>
          <w:hyperlink w:anchor="_Toc224740268" w:history="1">
            <w:r w:rsidRPr="00394AAF">
              <w:rPr>
                <w:rStyle w:val="Hyperlink"/>
              </w:rPr>
              <w:t>Reforms addressing barriers to the timely issuing of development approvals</w:t>
            </w:r>
            <w:r>
              <w:rPr>
                <w:webHidden/>
              </w:rPr>
              <w:tab/>
            </w:r>
            <w:r>
              <w:rPr>
                <w:webHidden/>
              </w:rPr>
              <w:fldChar w:fldCharType="begin"/>
            </w:r>
            <w:r>
              <w:rPr>
                <w:webHidden/>
              </w:rPr>
              <w:instrText xml:space="preserve"> PAGEREF _Toc224740268 \h </w:instrText>
            </w:r>
            <w:r>
              <w:rPr>
                <w:webHidden/>
              </w:rPr>
            </w:r>
            <w:r>
              <w:rPr>
                <w:webHidden/>
              </w:rPr>
              <w:fldChar w:fldCharType="separate"/>
            </w:r>
            <w:r w:rsidR="00036223">
              <w:rPr>
                <w:webHidden/>
              </w:rPr>
              <w:t>19</w:t>
            </w:r>
            <w:r>
              <w:rPr>
                <w:webHidden/>
              </w:rPr>
              <w:fldChar w:fldCharType="end"/>
            </w:r>
          </w:hyperlink>
        </w:p>
        <w:p w14:paraId="2E10E263" w14:textId="7CE15F4B" w:rsidR="00FA1CDF" w:rsidRDefault="00FA1CDF">
          <w:pPr>
            <w:pStyle w:val="TOC3"/>
            <w:rPr>
              <w:rFonts w:eastAsiaTheme="minorEastAsia" w:cstheme="minorBidi"/>
              <w:color w:val="auto"/>
              <w:kern w:val="2"/>
              <w:sz w:val="24"/>
              <w:szCs w:val="24"/>
              <w14:ligatures w14:val="standardContextual"/>
            </w:rPr>
          </w:pPr>
          <w:hyperlink w:anchor="_Toc224740269" w:history="1">
            <w:r w:rsidRPr="00394AAF">
              <w:rPr>
                <w:rStyle w:val="Hyperlink"/>
              </w:rPr>
              <w:t>Planning reforms to address existing development approvals which have not been acted upon</w:t>
            </w:r>
            <w:r>
              <w:rPr>
                <w:webHidden/>
              </w:rPr>
              <w:tab/>
            </w:r>
            <w:r>
              <w:rPr>
                <w:webHidden/>
              </w:rPr>
              <w:fldChar w:fldCharType="begin"/>
            </w:r>
            <w:r>
              <w:rPr>
                <w:webHidden/>
              </w:rPr>
              <w:instrText xml:space="preserve"> PAGEREF _Toc224740269 \h </w:instrText>
            </w:r>
            <w:r>
              <w:rPr>
                <w:webHidden/>
              </w:rPr>
            </w:r>
            <w:r>
              <w:rPr>
                <w:webHidden/>
              </w:rPr>
              <w:fldChar w:fldCharType="separate"/>
            </w:r>
            <w:r w:rsidR="00036223">
              <w:rPr>
                <w:webHidden/>
              </w:rPr>
              <w:t>20</w:t>
            </w:r>
            <w:r>
              <w:rPr>
                <w:webHidden/>
              </w:rPr>
              <w:fldChar w:fldCharType="end"/>
            </w:r>
          </w:hyperlink>
        </w:p>
        <w:p w14:paraId="58C9C0E3" w14:textId="5C61757D" w:rsidR="00FA1CDF" w:rsidRDefault="00FA1CDF">
          <w:pPr>
            <w:pStyle w:val="TOC3"/>
            <w:rPr>
              <w:rFonts w:eastAsiaTheme="minorEastAsia" w:cstheme="minorBidi"/>
              <w:color w:val="auto"/>
              <w:kern w:val="2"/>
              <w:sz w:val="24"/>
              <w:szCs w:val="24"/>
              <w14:ligatures w14:val="standardContextual"/>
            </w:rPr>
          </w:pPr>
          <w:hyperlink w:anchor="_Toc224740270" w:history="1">
            <w:r w:rsidRPr="00394AAF">
              <w:rPr>
                <w:rStyle w:val="Hyperlink"/>
              </w:rPr>
              <w:t>The Northern Territory’s position on planning and inclusionary zoning reforms to support permanent affordable, social and other specialist housing in developments</w:t>
            </w:r>
            <w:r>
              <w:rPr>
                <w:webHidden/>
              </w:rPr>
              <w:tab/>
            </w:r>
            <w:r>
              <w:rPr>
                <w:webHidden/>
              </w:rPr>
              <w:fldChar w:fldCharType="begin"/>
            </w:r>
            <w:r>
              <w:rPr>
                <w:webHidden/>
              </w:rPr>
              <w:instrText xml:space="preserve"> PAGEREF _Toc224740270 \h </w:instrText>
            </w:r>
            <w:r>
              <w:rPr>
                <w:webHidden/>
              </w:rPr>
            </w:r>
            <w:r>
              <w:rPr>
                <w:webHidden/>
              </w:rPr>
              <w:fldChar w:fldCharType="separate"/>
            </w:r>
            <w:r w:rsidR="00036223">
              <w:rPr>
                <w:webHidden/>
              </w:rPr>
              <w:t>20</w:t>
            </w:r>
            <w:r>
              <w:rPr>
                <w:webHidden/>
              </w:rPr>
              <w:fldChar w:fldCharType="end"/>
            </w:r>
          </w:hyperlink>
        </w:p>
        <w:p w14:paraId="4EF9A4E6" w14:textId="6C096D21" w:rsidR="00FA1CDF" w:rsidRDefault="00FA1CDF">
          <w:pPr>
            <w:pStyle w:val="TOC3"/>
            <w:rPr>
              <w:rFonts w:eastAsiaTheme="minorEastAsia" w:cstheme="minorBidi"/>
              <w:color w:val="auto"/>
              <w:kern w:val="2"/>
              <w:sz w:val="24"/>
              <w:szCs w:val="24"/>
              <w14:ligatures w14:val="standardContextual"/>
            </w:rPr>
          </w:pPr>
          <w:hyperlink w:anchor="_Toc224740271" w:history="1">
            <w:r w:rsidRPr="00394AAF">
              <w:rPr>
                <w:rStyle w:val="Hyperlink"/>
              </w:rPr>
              <w:t>Other reforms to development approval pathways</w:t>
            </w:r>
            <w:r>
              <w:rPr>
                <w:webHidden/>
              </w:rPr>
              <w:tab/>
            </w:r>
            <w:r>
              <w:rPr>
                <w:webHidden/>
              </w:rPr>
              <w:fldChar w:fldCharType="begin"/>
            </w:r>
            <w:r>
              <w:rPr>
                <w:webHidden/>
              </w:rPr>
              <w:instrText xml:space="preserve"> PAGEREF _Toc224740271 \h </w:instrText>
            </w:r>
            <w:r>
              <w:rPr>
                <w:webHidden/>
              </w:rPr>
            </w:r>
            <w:r>
              <w:rPr>
                <w:webHidden/>
              </w:rPr>
              <w:fldChar w:fldCharType="separate"/>
            </w:r>
            <w:r w:rsidR="00036223">
              <w:rPr>
                <w:webHidden/>
              </w:rPr>
              <w:t>20</w:t>
            </w:r>
            <w:r>
              <w:rPr>
                <w:webHidden/>
              </w:rPr>
              <w:fldChar w:fldCharType="end"/>
            </w:r>
          </w:hyperlink>
        </w:p>
        <w:p w14:paraId="5A37DCA0" w14:textId="3179A132" w:rsidR="00FA1CDF" w:rsidRDefault="00FA1CDF">
          <w:pPr>
            <w:pStyle w:val="TOC2"/>
            <w:rPr>
              <w:rFonts w:eastAsiaTheme="minorEastAsia" w:cstheme="minorBidi"/>
              <w:color w:val="auto"/>
              <w:kern w:val="2"/>
              <w:sz w:val="24"/>
              <w:szCs w:val="24"/>
              <w14:ligatures w14:val="standardContextual"/>
            </w:rPr>
          </w:pPr>
          <w:hyperlink w:anchor="_Toc224740272" w:history="1">
            <w:r w:rsidRPr="00394AAF">
              <w:rPr>
                <w:rStyle w:val="Hyperlink"/>
              </w:rPr>
              <w:t>Initiatives to share planning data and improve visibility of factors affecting housing delivery</w:t>
            </w:r>
            <w:r>
              <w:rPr>
                <w:webHidden/>
              </w:rPr>
              <w:tab/>
            </w:r>
            <w:r>
              <w:rPr>
                <w:webHidden/>
              </w:rPr>
              <w:fldChar w:fldCharType="begin"/>
            </w:r>
            <w:r>
              <w:rPr>
                <w:webHidden/>
              </w:rPr>
              <w:instrText xml:space="preserve"> PAGEREF _Toc224740272 \h </w:instrText>
            </w:r>
            <w:r>
              <w:rPr>
                <w:webHidden/>
              </w:rPr>
            </w:r>
            <w:r>
              <w:rPr>
                <w:webHidden/>
              </w:rPr>
              <w:fldChar w:fldCharType="separate"/>
            </w:r>
            <w:r w:rsidR="00036223">
              <w:rPr>
                <w:webHidden/>
              </w:rPr>
              <w:t>21</w:t>
            </w:r>
            <w:r>
              <w:rPr>
                <w:webHidden/>
              </w:rPr>
              <w:fldChar w:fldCharType="end"/>
            </w:r>
          </w:hyperlink>
        </w:p>
        <w:p w14:paraId="2C17D47F" w14:textId="35626CA3" w:rsidR="00FA1CDF" w:rsidRDefault="00FA1CDF">
          <w:pPr>
            <w:pStyle w:val="TOC1"/>
            <w:rPr>
              <w:rFonts w:eastAsiaTheme="minorEastAsia" w:cstheme="minorBidi"/>
              <w:b w:val="0"/>
              <w:color w:val="auto"/>
              <w:kern w:val="2"/>
              <w:szCs w:val="24"/>
              <w14:ligatures w14:val="standardContextual"/>
            </w:rPr>
          </w:pPr>
          <w:hyperlink w:anchor="_Toc224740273" w:history="1">
            <w:r w:rsidRPr="00394AAF">
              <w:rPr>
                <w:rStyle w:val="Hyperlink"/>
                <w:lang w:eastAsia="en-US"/>
              </w:rPr>
              <w:t>Measure 10</w:t>
            </w:r>
            <w:r>
              <w:rPr>
                <w:webHidden/>
              </w:rPr>
              <w:tab/>
            </w:r>
            <w:r>
              <w:rPr>
                <w:webHidden/>
              </w:rPr>
              <w:fldChar w:fldCharType="begin"/>
            </w:r>
            <w:r>
              <w:rPr>
                <w:webHidden/>
              </w:rPr>
              <w:instrText xml:space="preserve"> PAGEREF _Toc224740273 \h </w:instrText>
            </w:r>
            <w:r>
              <w:rPr>
                <w:webHidden/>
              </w:rPr>
            </w:r>
            <w:r>
              <w:rPr>
                <w:webHidden/>
              </w:rPr>
              <w:fldChar w:fldCharType="separate"/>
            </w:r>
            <w:r w:rsidR="00036223">
              <w:rPr>
                <w:webHidden/>
              </w:rPr>
              <w:t>22</w:t>
            </w:r>
            <w:r>
              <w:rPr>
                <w:webHidden/>
              </w:rPr>
              <w:fldChar w:fldCharType="end"/>
            </w:r>
          </w:hyperlink>
        </w:p>
        <w:p w14:paraId="293FD4F8" w14:textId="27492BB8" w:rsidR="00FA1CDF" w:rsidRDefault="00FA1CDF">
          <w:pPr>
            <w:pStyle w:val="TOC2"/>
            <w:rPr>
              <w:rFonts w:eastAsiaTheme="minorEastAsia" w:cstheme="minorBidi"/>
              <w:color w:val="auto"/>
              <w:kern w:val="2"/>
              <w:sz w:val="24"/>
              <w:szCs w:val="24"/>
              <w14:ligatures w14:val="standardContextual"/>
            </w:rPr>
          </w:pPr>
          <w:hyperlink w:anchor="_Toc224740274" w:history="1">
            <w:r w:rsidRPr="00394AAF">
              <w:rPr>
                <w:rStyle w:val="Hyperlink"/>
              </w:rPr>
              <w:t>Well located government land suitable for housing</w:t>
            </w:r>
            <w:r>
              <w:rPr>
                <w:webHidden/>
              </w:rPr>
              <w:tab/>
            </w:r>
            <w:r>
              <w:rPr>
                <w:webHidden/>
              </w:rPr>
              <w:fldChar w:fldCharType="begin"/>
            </w:r>
            <w:r>
              <w:rPr>
                <w:webHidden/>
              </w:rPr>
              <w:instrText xml:space="preserve"> PAGEREF _Toc224740274 \h </w:instrText>
            </w:r>
            <w:r>
              <w:rPr>
                <w:webHidden/>
              </w:rPr>
            </w:r>
            <w:r>
              <w:rPr>
                <w:webHidden/>
              </w:rPr>
              <w:fldChar w:fldCharType="separate"/>
            </w:r>
            <w:r w:rsidR="00036223">
              <w:rPr>
                <w:webHidden/>
              </w:rPr>
              <w:t>22</w:t>
            </w:r>
            <w:r>
              <w:rPr>
                <w:webHidden/>
              </w:rPr>
              <w:fldChar w:fldCharType="end"/>
            </w:r>
          </w:hyperlink>
        </w:p>
        <w:p w14:paraId="10D9F6DA" w14:textId="66CE9B42" w:rsidR="00FA1CDF" w:rsidRDefault="00FA1CDF">
          <w:pPr>
            <w:pStyle w:val="TOC2"/>
            <w:rPr>
              <w:rFonts w:eastAsiaTheme="minorEastAsia" w:cstheme="minorBidi"/>
              <w:color w:val="auto"/>
              <w:kern w:val="2"/>
              <w:sz w:val="24"/>
              <w:szCs w:val="24"/>
              <w14:ligatures w14:val="standardContextual"/>
            </w:rPr>
          </w:pPr>
          <w:hyperlink w:anchor="_Toc224740275" w:history="1">
            <w:r w:rsidRPr="00394AAF">
              <w:rPr>
                <w:rStyle w:val="Hyperlink"/>
                <w:rFonts w:ascii="Calibri" w:hAnsi="Calibri" w:cs="Arial"/>
                <w:iCs/>
                <w:kern w:val="32"/>
              </w:rPr>
              <w:t>Best practice examples of developing government land</w:t>
            </w:r>
            <w:r>
              <w:rPr>
                <w:webHidden/>
              </w:rPr>
              <w:tab/>
            </w:r>
            <w:r>
              <w:rPr>
                <w:webHidden/>
              </w:rPr>
              <w:fldChar w:fldCharType="begin"/>
            </w:r>
            <w:r>
              <w:rPr>
                <w:webHidden/>
              </w:rPr>
              <w:instrText xml:space="preserve"> PAGEREF _Toc224740275 \h </w:instrText>
            </w:r>
            <w:r>
              <w:rPr>
                <w:webHidden/>
              </w:rPr>
            </w:r>
            <w:r>
              <w:rPr>
                <w:webHidden/>
              </w:rPr>
              <w:fldChar w:fldCharType="separate"/>
            </w:r>
            <w:r w:rsidR="00036223">
              <w:rPr>
                <w:webHidden/>
              </w:rPr>
              <w:t>1</w:t>
            </w:r>
            <w:r>
              <w:rPr>
                <w:webHidden/>
              </w:rPr>
              <w:fldChar w:fldCharType="end"/>
            </w:r>
          </w:hyperlink>
        </w:p>
        <w:p w14:paraId="14DFCAFC" w14:textId="3C2B712C" w:rsidR="00FA1CDF" w:rsidRDefault="00FA1CDF">
          <w:pPr>
            <w:pStyle w:val="TOC3"/>
            <w:rPr>
              <w:rFonts w:eastAsiaTheme="minorEastAsia" w:cstheme="minorBidi"/>
              <w:color w:val="auto"/>
              <w:kern w:val="2"/>
              <w:sz w:val="24"/>
              <w:szCs w:val="24"/>
              <w14:ligatures w14:val="standardContextual"/>
            </w:rPr>
          </w:pPr>
          <w:hyperlink w:anchor="_Toc224740276" w:history="1">
            <w:r w:rsidRPr="00394AAF">
              <w:rPr>
                <w:rStyle w:val="Hyperlink"/>
                <w:lang w:eastAsia="en-US"/>
              </w:rPr>
              <w:t>Case Study – Katherine East Urban Village Precinct</w:t>
            </w:r>
            <w:r>
              <w:rPr>
                <w:webHidden/>
              </w:rPr>
              <w:tab/>
            </w:r>
            <w:r>
              <w:rPr>
                <w:webHidden/>
              </w:rPr>
              <w:fldChar w:fldCharType="begin"/>
            </w:r>
            <w:r>
              <w:rPr>
                <w:webHidden/>
              </w:rPr>
              <w:instrText xml:space="preserve"> PAGEREF _Toc224740276 \h </w:instrText>
            </w:r>
            <w:r>
              <w:rPr>
                <w:webHidden/>
              </w:rPr>
            </w:r>
            <w:r>
              <w:rPr>
                <w:webHidden/>
              </w:rPr>
              <w:fldChar w:fldCharType="separate"/>
            </w:r>
            <w:r w:rsidR="00036223">
              <w:rPr>
                <w:webHidden/>
              </w:rPr>
              <w:t>1</w:t>
            </w:r>
            <w:r>
              <w:rPr>
                <w:webHidden/>
              </w:rPr>
              <w:fldChar w:fldCharType="end"/>
            </w:r>
          </w:hyperlink>
        </w:p>
        <w:p w14:paraId="31C133B2" w14:textId="687AEB74" w:rsidR="00833019" w:rsidRDefault="00833019">
          <w:r>
            <w:rPr>
              <w:b/>
              <w:bCs/>
              <w:noProof/>
            </w:rPr>
            <w:fldChar w:fldCharType="end"/>
          </w:r>
        </w:p>
      </w:sdtContent>
    </w:sdt>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4B063A" w14:paraId="77D021DB" w14:textId="77777777" w:rsidTr="003074FE">
        <w:tc>
          <w:tcPr>
            <w:tcW w:w="5000" w:type="pct"/>
            <w:shd w:val="clear" w:color="auto" w:fill="CEDBE6" w:themeFill="background2"/>
            <w:hideMark/>
          </w:tcPr>
          <w:p w14:paraId="009118B2" w14:textId="20E3B835" w:rsidR="004B063A" w:rsidRPr="00630F8D" w:rsidRDefault="00630F8D" w:rsidP="004B063A">
            <w:pPr>
              <w:pStyle w:val="Heading1"/>
              <w:rPr>
                <w:rFonts w:asciiTheme="minorHAnsi" w:hAnsiTheme="minorHAnsi" w:cs="Times New Roman"/>
                <w:b w:val="0"/>
                <w:kern w:val="0"/>
                <w:sz w:val="22"/>
                <w:szCs w:val="20"/>
              </w:rPr>
            </w:pPr>
            <w:r>
              <w:rPr>
                <w:rFonts w:asciiTheme="minorHAnsi" w:hAnsiTheme="minorHAnsi" w:cs="Times New Roman"/>
                <w:b w:val="0"/>
                <w:kern w:val="0"/>
                <w:sz w:val="22"/>
                <w:szCs w:val="20"/>
              </w:rPr>
              <w:lastRenderedPageBreak/>
              <w:br w:type="page"/>
            </w:r>
            <w:bookmarkStart w:id="3" w:name="_Toc224740250"/>
            <w:r w:rsidR="004B063A">
              <w:rPr>
                <w:lang w:eastAsia="en-US"/>
              </w:rPr>
              <w:t>Measure 2</w:t>
            </w:r>
            <w:bookmarkEnd w:id="0"/>
            <w:bookmarkEnd w:id="1"/>
            <w:bookmarkEnd w:id="3"/>
          </w:p>
          <w:p w14:paraId="744AE214" w14:textId="01B756C3" w:rsidR="004B063A" w:rsidRDefault="004B063A" w:rsidP="004B063A">
            <w:pPr>
              <w:pStyle w:val="Boxdoubledot"/>
              <w:numPr>
                <w:ilvl w:val="0"/>
                <w:numId w:val="0"/>
              </w:numPr>
            </w:pPr>
            <w:r w:rsidRPr="0098723D">
              <w:rPr>
                <w:sz w:val="24"/>
                <w:szCs w:val="24"/>
              </w:rPr>
              <w:t>Planning Ministers will report to National Cabinet on state, regional and local strategic plans that reflect their jurisdiction’s share of housing supply targets agreed by National Cabinet and links with infrastructure pipelines.</w:t>
            </w:r>
          </w:p>
        </w:tc>
      </w:tr>
    </w:tbl>
    <w:p w14:paraId="041BE5D1" w14:textId="509EBF2C" w:rsidR="00475BC8" w:rsidRDefault="00B750ED" w:rsidP="00357904">
      <w:pPr>
        <w:pStyle w:val="Heading2"/>
      </w:pPr>
      <w:bookmarkStart w:id="4" w:name="_Toc168064954"/>
      <w:bookmarkStart w:id="5" w:name="_Toc168065265"/>
      <w:bookmarkStart w:id="6" w:name="_Toc224740251"/>
      <w:r>
        <w:t xml:space="preserve">How </w:t>
      </w:r>
      <w:r w:rsidR="00312D17" w:rsidRPr="00312D17">
        <w:t>the Northern Territory’s</w:t>
      </w:r>
      <w:r w:rsidR="003E6ABF">
        <w:t xml:space="preserve"> </w:t>
      </w:r>
      <w:r w:rsidR="0098723D">
        <w:t>strategic plan</w:t>
      </w:r>
      <w:r w:rsidR="003E6ABF" w:rsidRPr="00312D17">
        <w:t>(</w:t>
      </w:r>
      <w:r w:rsidR="0098723D" w:rsidRPr="00312D17">
        <w:t>s</w:t>
      </w:r>
      <w:bookmarkEnd w:id="4"/>
      <w:bookmarkEnd w:id="5"/>
      <w:r w:rsidR="003E6ABF" w:rsidRPr="00312D17">
        <w:t>)</w:t>
      </w:r>
      <w:r w:rsidR="00632A24">
        <w:t xml:space="preserve"> </w:t>
      </w:r>
      <w:r w:rsidR="006C7BFE">
        <w:t xml:space="preserve">will deliver </w:t>
      </w:r>
      <w:r w:rsidR="00850D12">
        <w:t xml:space="preserve">on </w:t>
      </w:r>
      <w:r w:rsidR="004900F1">
        <w:t>h</w:t>
      </w:r>
      <w:r w:rsidR="009470B8">
        <w:t>ousing supply targets</w:t>
      </w:r>
      <w:bookmarkEnd w:id="6"/>
    </w:p>
    <w:p w14:paraId="5DC9A889" w14:textId="3E492EEF" w:rsidR="00312D17" w:rsidRDefault="00312D17" w:rsidP="00FA75C6">
      <w:pPr>
        <w:spacing w:after="120" w:line="276" w:lineRule="auto"/>
      </w:pPr>
      <w:r>
        <w:t xml:space="preserve">The </w:t>
      </w:r>
      <w:r w:rsidR="00C82D6A">
        <w:t>NT</w:t>
      </w:r>
      <w:r>
        <w:t xml:space="preserve"> has always had a plan for land release in place to ensure there is land supply available for entry and affordable housing products. Land use planning in the NT is done at a regional scale and is administered through a centralised (state level) planning system. Regional Land Use Plans establish an overarching regional framework to manage growth in the 4 major centres – Darwin, Katherine, Tennant Creek and Alice Springs. Each plan includes a Land Use Structure that identifies development opportunities throughout the relevant region, including locations to accommodate urban, peri-urban and rural lifestyle</w:t>
      </w:r>
      <w:r w:rsidR="003C2CD6">
        <w:t xml:space="preserve"> developments</w:t>
      </w:r>
      <w:r>
        <w:t xml:space="preserve"> and their associated potential dwelling yields. These plans were developed by the NT Planning Commission through a 3-stage consultation process with the public and relevant government and industry stakeholders (including local government and regional bodies).</w:t>
      </w:r>
    </w:p>
    <w:p w14:paraId="1C537EE4" w14:textId="3FF70E05" w:rsidR="00312D17" w:rsidRPr="00C8351C" w:rsidRDefault="00312D17" w:rsidP="00FA75C6">
      <w:pPr>
        <w:spacing w:after="120" w:line="276" w:lineRule="auto"/>
        <w:rPr>
          <w:color w:val="auto"/>
        </w:rPr>
      </w:pPr>
      <w:r>
        <w:t xml:space="preserve">Area </w:t>
      </w:r>
      <w:r w:rsidR="003C2CD6">
        <w:t>P</w:t>
      </w:r>
      <w:r>
        <w:t xml:space="preserve">lans, which give effect to regional targets, contain detail of the expected growth and potential </w:t>
      </w:r>
      <w:r w:rsidRPr="00C8351C">
        <w:rPr>
          <w:color w:val="auto"/>
        </w:rPr>
        <w:t xml:space="preserve">capacity of new dwellings in each area. The number of additional dwelling/population numbers specified in </w:t>
      </w:r>
      <w:r w:rsidR="00A65FE0" w:rsidRPr="00C8351C">
        <w:rPr>
          <w:color w:val="auto"/>
        </w:rPr>
        <w:t>Area Plans</w:t>
      </w:r>
      <w:r w:rsidRPr="00C8351C">
        <w:rPr>
          <w:color w:val="auto"/>
        </w:rPr>
        <w:t xml:space="preserve"> are based on detailed infrastructure. Regional and local plans in the NT have sufficient existing capacity to accommodate the agreed housing targets.</w:t>
      </w:r>
    </w:p>
    <w:p w14:paraId="4A37B29D" w14:textId="51C5A0DE" w:rsidR="00312D17" w:rsidRPr="00C8351C" w:rsidRDefault="00312D17" w:rsidP="00FA75C6">
      <w:pPr>
        <w:spacing w:after="120" w:line="276" w:lineRule="auto"/>
        <w:rPr>
          <w:color w:val="auto"/>
        </w:rPr>
      </w:pPr>
      <w:r w:rsidRPr="00C8351C">
        <w:rPr>
          <w:color w:val="auto"/>
        </w:rPr>
        <w:t xml:space="preserve">The </w:t>
      </w:r>
      <w:r w:rsidR="00F05FC7" w:rsidRPr="00C8351C">
        <w:rPr>
          <w:color w:val="auto"/>
        </w:rPr>
        <w:t xml:space="preserve">NT </w:t>
      </w:r>
      <w:r w:rsidR="006C0F64" w:rsidRPr="00C8351C">
        <w:rPr>
          <w:color w:val="auto"/>
        </w:rPr>
        <w:t xml:space="preserve">undertakes land supply modelling to </w:t>
      </w:r>
      <w:r w:rsidR="005F1A4A" w:rsidRPr="00C8351C">
        <w:rPr>
          <w:color w:val="auto"/>
        </w:rPr>
        <w:t>forecast</w:t>
      </w:r>
      <w:r w:rsidR="006C0F64" w:rsidRPr="00C8351C">
        <w:rPr>
          <w:color w:val="auto"/>
        </w:rPr>
        <w:t xml:space="preserve"> a steady </w:t>
      </w:r>
      <w:r w:rsidR="005F1A4A" w:rsidRPr="00C8351C">
        <w:rPr>
          <w:color w:val="auto"/>
        </w:rPr>
        <w:t xml:space="preserve">pipeline of residential land supply across the Territory’s major urban centres (Greater Darwin, Katherine, Alice Springs and </w:t>
      </w:r>
      <w:r w:rsidR="00EC2CC5" w:rsidRPr="00C8351C">
        <w:rPr>
          <w:color w:val="auto"/>
        </w:rPr>
        <w:br/>
      </w:r>
      <w:r w:rsidR="005F1A4A" w:rsidRPr="00C8351C">
        <w:rPr>
          <w:color w:val="auto"/>
        </w:rPr>
        <w:t>Tennant Creek) over the next 20 years.</w:t>
      </w:r>
      <w:r w:rsidRPr="00C8351C">
        <w:rPr>
          <w:color w:val="auto"/>
        </w:rPr>
        <w:t xml:space="preserve"> </w:t>
      </w:r>
      <w:r w:rsidR="005F1A4A" w:rsidRPr="00C8351C">
        <w:rPr>
          <w:color w:val="auto"/>
        </w:rPr>
        <w:t xml:space="preserve">The forecasts are based on potential dwelling yields identified in strategic land use plans, using baseline population from </w:t>
      </w:r>
      <w:r w:rsidR="00CC29E1" w:rsidRPr="00C8351C">
        <w:rPr>
          <w:color w:val="auto"/>
        </w:rPr>
        <w:t xml:space="preserve">the NT </w:t>
      </w:r>
      <w:r w:rsidR="006C0F64" w:rsidRPr="00C8351C">
        <w:rPr>
          <w:color w:val="auto"/>
        </w:rPr>
        <w:t>D</w:t>
      </w:r>
      <w:r w:rsidR="00CC29E1" w:rsidRPr="00C8351C">
        <w:rPr>
          <w:color w:val="auto"/>
        </w:rPr>
        <w:t>epartment of Treasury and Finance, along with</w:t>
      </w:r>
      <w:r w:rsidR="006C0F64" w:rsidRPr="00C8351C">
        <w:rPr>
          <w:color w:val="auto"/>
        </w:rPr>
        <w:t xml:space="preserve"> a</w:t>
      </w:r>
      <w:r w:rsidR="00CC29E1" w:rsidRPr="00C8351C">
        <w:rPr>
          <w:color w:val="auto"/>
        </w:rPr>
        <w:t xml:space="preserve"> high-growth scenario derived from the ABS five-year average over the past </w:t>
      </w:r>
      <w:r w:rsidR="00EC2CC5" w:rsidRPr="00C8351C">
        <w:rPr>
          <w:color w:val="auto"/>
        </w:rPr>
        <w:br/>
      </w:r>
      <w:r w:rsidR="00CC29E1" w:rsidRPr="00C8351C">
        <w:rPr>
          <w:color w:val="auto"/>
        </w:rPr>
        <w:t xml:space="preserve">20 years. </w:t>
      </w:r>
    </w:p>
    <w:p w14:paraId="10D904B9" w14:textId="29BEFE98" w:rsidR="00CC29E1" w:rsidRPr="00C8351C" w:rsidRDefault="00CC29E1" w:rsidP="00FA75C6">
      <w:pPr>
        <w:spacing w:after="120" w:line="276" w:lineRule="auto"/>
        <w:rPr>
          <w:color w:val="auto"/>
        </w:rPr>
      </w:pPr>
      <w:r w:rsidRPr="00C8351C">
        <w:rPr>
          <w:color w:val="auto"/>
        </w:rPr>
        <w:t xml:space="preserve">The </w:t>
      </w:r>
      <w:r w:rsidR="006C0F64" w:rsidRPr="00C8351C">
        <w:rPr>
          <w:color w:val="auto"/>
        </w:rPr>
        <w:t>supply pipeline</w:t>
      </w:r>
      <w:r w:rsidRPr="00C8351C">
        <w:rPr>
          <w:color w:val="auto"/>
        </w:rPr>
        <w:t xml:space="preserve"> provides a plan for sequencing of land development and guiding the </w:t>
      </w:r>
      <w:r w:rsidR="00EC2CC5" w:rsidRPr="00C8351C">
        <w:rPr>
          <w:color w:val="auto"/>
        </w:rPr>
        <w:br/>
      </w:r>
      <w:r w:rsidR="006C0F64" w:rsidRPr="00C8351C">
        <w:rPr>
          <w:color w:val="auto"/>
        </w:rPr>
        <w:t>NT</w:t>
      </w:r>
      <w:r w:rsidR="00A65FE0" w:rsidRPr="00C8351C">
        <w:rPr>
          <w:color w:val="auto"/>
        </w:rPr>
        <w:t xml:space="preserve"> </w:t>
      </w:r>
      <w:r w:rsidR="006C0F64" w:rsidRPr="00C8351C">
        <w:rPr>
          <w:color w:val="auto"/>
        </w:rPr>
        <w:t>G</w:t>
      </w:r>
      <w:r w:rsidR="00A65FE0" w:rsidRPr="00C8351C">
        <w:rPr>
          <w:color w:val="auto"/>
        </w:rPr>
        <w:t>overnment</w:t>
      </w:r>
      <w:r w:rsidR="006C0F64" w:rsidRPr="00C8351C">
        <w:rPr>
          <w:color w:val="auto"/>
        </w:rPr>
        <w:t xml:space="preserve">’s decisions regarding </w:t>
      </w:r>
      <w:r w:rsidRPr="00C8351C">
        <w:rPr>
          <w:color w:val="auto"/>
        </w:rPr>
        <w:t xml:space="preserve">timing of </w:t>
      </w:r>
      <w:r w:rsidR="006C0F64" w:rsidRPr="00C8351C">
        <w:rPr>
          <w:color w:val="auto"/>
        </w:rPr>
        <w:t xml:space="preserve">investment into </w:t>
      </w:r>
      <w:r w:rsidRPr="00C8351C">
        <w:rPr>
          <w:color w:val="auto"/>
        </w:rPr>
        <w:t xml:space="preserve">district-level enabling infrastructure required to support ongoing land supply. </w:t>
      </w:r>
    </w:p>
    <w:p w14:paraId="60A48FEE" w14:textId="2C4002BB" w:rsidR="00CC29E1" w:rsidRPr="00C8351C" w:rsidRDefault="00312D17" w:rsidP="00CC29E1">
      <w:pPr>
        <w:spacing w:after="120" w:line="276" w:lineRule="auto"/>
        <w:rPr>
          <w:color w:val="auto"/>
        </w:rPr>
      </w:pPr>
      <w:r w:rsidRPr="00C8351C">
        <w:rPr>
          <w:color w:val="auto"/>
        </w:rPr>
        <w:t xml:space="preserve">District-level infrastructure includes key structuring roads within </w:t>
      </w:r>
      <w:r>
        <w:t xml:space="preserve">districts, and power, water and sewer headworks which are identified and costed in a Land Development Program (the infrastructure </w:t>
      </w:r>
      <w:r w:rsidRPr="00C8351C">
        <w:rPr>
          <w:color w:val="auto"/>
        </w:rPr>
        <w:lastRenderedPageBreak/>
        <w:t xml:space="preserve">program for </w:t>
      </w:r>
      <w:r w:rsidR="006C0F64" w:rsidRPr="00C8351C">
        <w:rPr>
          <w:color w:val="auto"/>
        </w:rPr>
        <w:t xml:space="preserve">enabling infrastructure to facilitate </w:t>
      </w:r>
      <w:r w:rsidRPr="00C8351C">
        <w:rPr>
          <w:color w:val="auto"/>
        </w:rPr>
        <w:t>land</w:t>
      </w:r>
      <w:r w:rsidR="006C0F64" w:rsidRPr="00C8351C">
        <w:rPr>
          <w:color w:val="auto"/>
        </w:rPr>
        <w:t xml:space="preserve"> release/development</w:t>
      </w:r>
      <w:r w:rsidRPr="00C8351C">
        <w:rPr>
          <w:color w:val="auto"/>
        </w:rPr>
        <w:t xml:space="preserve">), </w:t>
      </w:r>
      <w:r w:rsidR="00F079D4" w:rsidRPr="00C8351C">
        <w:rPr>
          <w:color w:val="auto"/>
        </w:rPr>
        <w:t>partially</w:t>
      </w:r>
      <w:r w:rsidRPr="00C8351C">
        <w:rPr>
          <w:color w:val="auto"/>
        </w:rPr>
        <w:t xml:space="preserve"> recovered through the uplift in the value and sale of Crown land</w:t>
      </w:r>
      <w:r w:rsidR="006C0F64" w:rsidRPr="00C8351C">
        <w:rPr>
          <w:color w:val="auto"/>
        </w:rPr>
        <w:t>.</w:t>
      </w:r>
      <w:r w:rsidRPr="00C8351C">
        <w:rPr>
          <w:color w:val="auto"/>
        </w:rPr>
        <w:t xml:space="preserve"> </w:t>
      </w:r>
    </w:p>
    <w:p w14:paraId="4BDA37DA" w14:textId="7D41C3EE" w:rsidR="00312D17" w:rsidRPr="00C8351C" w:rsidRDefault="00312D17" w:rsidP="00FA75C6">
      <w:pPr>
        <w:spacing w:after="120" w:line="276" w:lineRule="auto"/>
        <w:rPr>
          <w:color w:val="auto"/>
        </w:rPr>
      </w:pPr>
      <w:r w:rsidRPr="00C8351C">
        <w:rPr>
          <w:color w:val="auto"/>
        </w:rPr>
        <w:t xml:space="preserve">The district-level enabling infrastructure delivered by the </w:t>
      </w:r>
      <w:r w:rsidR="00C82D6A" w:rsidRPr="00C8351C">
        <w:rPr>
          <w:color w:val="auto"/>
        </w:rPr>
        <w:t>NT</w:t>
      </w:r>
      <w:r w:rsidRPr="00C8351C">
        <w:rPr>
          <w:color w:val="auto"/>
        </w:rPr>
        <w:t xml:space="preserve"> Government enables land development</w:t>
      </w:r>
      <w:r w:rsidR="006C0F64" w:rsidRPr="00C8351C">
        <w:rPr>
          <w:color w:val="auto"/>
        </w:rPr>
        <w:t xml:space="preserve"> (i.e. subdivision)</w:t>
      </w:r>
      <w:r w:rsidRPr="00C8351C">
        <w:rPr>
          <w:color w:val="auto"/>
        </w:rPr>
        <w:t xml:space="preserve"> and housing supply that </w:t>
      </w:r>
      <w:r w:rsidR="006C0F64" w:rsidRPr="00C8351C">
        <w:rPr>
          <w:color w:val="auto"/>
        </w:rPr>
        <w:t>can be</w:t>
      </w:r>
      <w:r w:rsidRPr="00C8351C">
        <w:rPr>
          <w:color w:val="auto"/>
        </w:rPr>
        <w:t xml:space="preserve"> undertaken by the private sector. In </w:t>
      </w:r>
      <w:proofErr w:type="gramStart"/>
      <w:r w:rsidRPr="00C8351C">
        <w:rPr>
          <w:color w:val="auto"/>
        </w:rPr>
        <w:t>a number of</w:t>
      </w:r>
      <w:proofErr w:type="gramEnd"/>
      <w:r w:rsidRPr="00C8351C">
        <w:rPr>
          <w:color w:val="auto"/>
        </w:rPr>
        <w:t xml:space="preserve"> </w:t>
      </w:r>
      <w:r w:rsidR="006C0F64" w:rsidRPr="00C8351C">
        <w:rPr>
          <w:color w:val="auto"/>
        </w:rPr>
        <w:t xml:space="preserve">regional and </w:t>
      </w:r>
      <w:r w:rsidRPr="00C8351C">
        <w:rPr>
          <w:color w:val="auto"/>
        </w:rPr>
        <w:t xml:space="preserve">remote towns, the </w:t>
      </w:r>
      <w:r w:rsidR="00C82D6A" w:rsidRPr="00C8351C">
        <w:rPr>
          <w:color w:val="auto"/>
        </w:rPr>
        <w:t>NT</w:t>
      </w:r>
      <w:r w:rsidRPr="00C8351C">
        <w:rPr>
          <w:color w:val="auto"/>
        </w:rPr>
        <w:t xml:space="preserve"> Government also undertakes the land development role.</w:t>
      </w:r>
    </w:p>
    <w:p w14:paraId="71A5A8CB" w14:textId="207453C9" w:rsidR="00090CED" w:rsidRPr="00C8351C" w:rsidRDefault="00090CED" w:rsidP="00090CED">
      <w:pPr>
        <w:spacing w:after="120" w:line="276" w:lineRule="auto"/>
        <w:rPr>
          <w:color w:val="auto"/>
        </w:rPr>
      </w:pPr>
      <w:r w:rsidRPr="00C8351C">
        <w:rPr>
          <w:color w:val="auto"/>
        </w:rPr>
        <w:t>In terms of its contribution towards national housing supply targets to meet the National Housing Accord, the NT has committed to provide 11,430 homes, including 1</w:t>
      </w:r>
      <w:r w:rsidR="00EC2CC5" w:rsidRPr="00C8351C">
        <w:rPr>
          <w:color w:val="auto"/>
        </w:rPr>
        <w:t>,</w:t>
      </w:r>
      <w:r w:rsidRPr="00C8351C">
        <w:rPr>
          <w:color w:val="auto"/>
        </w:rPr>
        <w:t xml:space="preserve">492 social and affordable homes, over the </w:t>
      </w:r>
      <w:r w:rsidR="00EC2CC5" w:rsidRPr="00C8351C">
        <w:rPr>
          <w:color w:val="auto"/>
        </w:rPr>
        <w:t>five</w:t>
      </w:r>
      <w:r w:rsidR="00954C9C" w:rsidRPr="00C8351C">
        <w:rPr>
          <w:color w:val="auto"/>
        </w:rPr>
        <w:t>-</w:t>
      </w:r>
      <w:r w:rsidRPr="00C8351C">
        <w:rPr>
          <w:color w:val="auto"/>
        </w:rPr>
        <w:t xml:space="preserve">year period from 2024. </w:t>
      </w:r>
    </w:p>
    <w:p w14:paraId="53687EBA" w14:textId="77777777" w:rsidR="005F1A4A" w:rsidRPr="00C8351C" w:rsidRDefault="005F1A4A" w:rsidP="000F53A4">
      <w:pPr>
        <w:pStyle w:val="Heading3"/>
        <w:rPr>
          <w:color w:val="auto"/>
        </w:rPr>
      </w:pPr>
    </w:p>
    <w:p w14:paraId="3310942A" w14:textId="414A1DDD" w:rsidR="00936387" w:rsidRPr="00C8351C" w:rsidRDefault="00936387" w:rsidP="000F53A4">
      <w:pPr>
        <w:pStyle w:val="Heading3"/>
        <w:rPr>
          <w:color w:val="auto"/>
        </w:rPr>
      </w:pPr>
      <w: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C8351C" w:rsidRPr="00C8351C" w14:paraId="371DC45A" w14:textId="77777777" w:rsidTr="003074FE">
        <w:tc>
          <w:tcPr>
            <w:tcW w:w="5000" w:type="pct"/>
            <w:shd w:val="clear" w:color="auto" w:fill="CEDBE6" w:themeFill="background2"/>
            <w:hideMark/>
          </w:tcPr>
          <w:p w14:paraId="235375B7" w14:textId="67975123" w:rsidR="00B534B5" w:rsidRPr="00C8351C" w:rsidRDefault="00B534B5" w:rsidP="00B534B5">
            <w:pPr>
              <w:pStyle w:val="Heading1"/>
              <w:rPr>
                <w:color w:val="auto"/>
                <w:lang w:eastAsia="en-US"/>
              </w:rPr>
            </w:pPr>
            <w:bookmarkStart w:id="7" w:name="_Toc168064957"/>
            <w:bookmarkStart w:id="8" w:name="_Toc168065268"/>
            <w:bookmarkStart w:id="9" w:name="_Toc224740252"/>
            <w:r w:rsidRPr="00C8351C">
              <w:rPr>
                <w:color w:val="auto"/>
                <w:lang w:eastAsia="en-US"/>
              </w:rPr>
              <w:lastRenderedPageBreak/>
              <w:t>Measure 3</w:t>
            </w:r>
            <w:bookmarkEnd w:id="7"/>
            <w:bookmarkEnd w:id="8"/>
            <w:bookmarkEnd w:id="9"/>
          </w:p>
          <w:p w14:paraId="7A840E19" w14:textId="4CA73968" w:rsidR="00B534B5" w:rsidRPr="00C8351C" w:rsidRDefault="00B534B5" w:rsidP="00B534B5">
            <w:pPr>
              <w:pStyle w:val="Boxdoubledot"/>
              <w:numPr>
                <w:ilvl w:val="0"/>
                <w:numId w:val="0"/>
              </w:numPr>
              <w:rPr>
                <w:color w:val="auto"/>
              </w:rPr>
            </w:pPr>
            <w:r w:rsidRPr="00C8351C">
              <w:rPr>
                <w:rFonts w:eastAsia="Times New Roman"/>
                <w:color w:val="auto"/>
                <w:sz w:val="24"/>
                <w:szCs w:val="24"/>
                <w:lang w:eastAsia="en-AU"/>
              </w:rPr>
              <w:t>Planning Ministers will undertake planning, zoning, land release and other reforms, such as increasing density, to meet their jurisdiction</w:t>
            </w:r>
            <w:r w:rsidR="007223B8" w:rsidRPr="00C8351C">
              <w:rPr>
                <w:rFonts w:eastAsia="Times New Roman"/>
                <w:color w:val="auto"/>
                <w:sz w:val="24"/>
                <w:szCs w:val="24"/>
                <w:lang w:eastAsia="en-AU"/>
              </w:rPr>
              <w:t>’s</w:t>
            </w:r>
            <w:r w:rsidRPr="00C8351C">
              <w:rPr>
                <w:rFonts w:eastAsia="Times New Roman"/>
                <w:color w:val="auto"/>
                <w:sz w:val="24"/>
                <w:szCs w:val="24"/>
                <w:lang w:eastAsia="en-AU"/>
              </w:rPr>
              <w:t xml:space="preserve"> share of housing supply targets agreed by National Cabinet.</w:t>
            </w:r>
          </w:p>
        </w:tc>
      </w:tr>
    </w:tbl>
    <w:p w14:paraId="53A46403" w14:textId="00CFA498" w:rsidR="00FE50BE" w:rsidRPr="0092283A" w:rsidRDefault="00366EB7" w:rsidP="000B03B1">
      <w:pPr>
        <w:pStyle w:val="Heading2"/>
      </w:pPr>
      <w:bookmarkStart w:id="10" w:name="_Toc168064959"/>
      <w:bookmarkStart w:id="11" w:name="_Toc168065270"/>
      <w:bookmarkStart w:id="12" w:name="_Toc224740253"/>
      <w:r w:rsidRPr="0092283A">
        <w:t>Summary of p</w:t>
      </w:r>
      <w:r w:rsidR="00FE50BE" w:rsidRPr="0092283A">
        <w:t>lanning reforms</w:t>
      </w:r>
      <w:bookmarkEnd w:id="10"/>
      <w:bookmarkEnd w:id="11"/>
      <w:bookmarkEnd w:id="12"/>
    </w:p>
    <w:p w14:paraId="28FCD680" w14:textId="474AA37C" w:rsidR="00423284" w:rsidRPr="00C8351C" w:rsidRDefault="00423284" w:rsidP="00C10133">
      <w:pPr>
        <w:tabs>
          <w:tab w:val="left" w:pos="7110"/>
        </w:tabs>
        <w:spacing w:before="0"/>
        <w:rPr>
          <w:rFonts w:ascii="Calibri Light" w:hAnsi="Calibri Light" w:cs="Arial"/>
          <w:b/>
          <w:i/>
          <w:iCs/>
          <w:color w:val="auto"/>
          <w:kern w:val="32"/>
          <w:sz w:val="28"/>
          <w:szCs w:val="26"/>
        </w:rPr>
      </w:pPr>
      <w:r w:rsidRPr="00C8351C">
        <w:rPr>
          <w:rFonts w:ascii="Calibri Light" w:hAnsi="Calibri Light" w:cs="Arial"/>
          <w:b/>
          <w:color w:val="auto"/>
          <w:kern w:val="32"/>
          <w:sz w:val="28"/>
          <w:szCs w:val="26"/>
        </w:rPr>
        <w:t>Reduced density and parking to encourage housing supply, choice and affordably</w:t>
      </w:r>
      <w:r w:rsidRPr="00C8351C">
        <w:rPr>
          <w:rFonts w:ascii="Calibri Light" w:hAnsi="Calibri Light" w:cs="Arial"/>
          <w:b/>
          <w:i/>
          <w:iCs/>
          <w:color w:val="auto"/>
          <w:kern w:val="32"/>
          <w:sz w:val="28"/>
          <w:szCs w:val="26"/>
        </w:rPr>
        <w:t xml:space="preserve"> </w:t>
      </w:r>
    </w:p>
    <w:p w14:paraId="44B4700F" w14:textId="7E3DEEBD" w:rsidR="00C10133" w:rsidRPr="00C8351C" w:rsidRDefault="00C10133" w:rsidP="00C10133">
      <w:pPr>
        <w:tabs>
          <w:tab w:val="left" w:pos="7110"/>
        </w:tabs>
        <w:spacing w:before="0"/>
        <w:rPr>
          <w:i/>
          <w:iCs/>
          <w:color w:val="auto"/>
        </w:rPr>
      </w:pPr>
      <w:r w:rsidRPr="00C8351C">
        <w:rPr>
          <w:i/>
          <w:iCs/>
          <w:color w:val="auto"/>
        </w:rPr>
        <w:t>In progress / First reported in September 2025</w:t>
      </w:r>
      <w:r w:rsidRPr="00C8351C">
        <w:rPr>
          <w:i/>
          <w:iCs/>
          <w:color w:val="auto"/>
        </w:rPr>
        <w:tab/>
      </w:r>
    </w:p>
    <w:p w14:paraId="7D251F7B" w14:textId="33D47EB3" w:rsidR="00C10133" w:rsidRPr="00C8351C" w:rsidRDefault="00C10133" w:rsidP="00C10133">
      <w:pPr>
        <w:rPr>
          <w:color w:val="auto"/>
        </w:rPr>
      </w:pPr>
      <w:r w:rsidRPr="00C8351C">
        <w:rPr>
          <w:color w:val="auto"/>
        </w:rPr>
        <w:t>In August 2025</w:t>
      </w:r>
      <w:r w:rsidR="00104706" w:rsidRPr="00C8351C">
        <w:rPr>
          <w:color w:val="auto"/>
        </w:rPr>
        <w:t>,</w:t>
      </w:r>
      <w:r w:rsidRPr="00C8351C">
        <w:rPr>
          <w:color w:val="auto"/>
        </w:rPr>
        <w:t xml:space="preserve"> a proposed amendment to the NT</w:t>
      </w:r>
      <w:r w:rsidR="00A65FE0" w:rsidRPr="00C8351C">
        <w:rPr>
          <w:color w:val="auto"/>
        </w:rPr>
        <w:t xml:space="preserve"> </w:t>
      </w:r>
      <w:r w:rsidRPr="00C8351C">
        <w:rPr>
          <w:color w:val="auto"/>
        </w:rPr>
        <w:t>P</w:t>
      </w:r>
      <w:r w:rsidR="00A65FE0" w:rsidRPr="00C8351C">
        <w:rPr>
          <w:color w:val="auto"/>
        </w:rPr>
        <w:t xml:space="preserve">lanning </w:t>
      </w:r>
      <w:r w:rsidRPr="00C8351C">
        <w:rPr>
          <w:color w:val="auto"/>
        </w:rPr>
        <w:t>S</w:t>
      </w:r>
      <w:r w:rsidR="00A65FE0" w:rsidRPr="00C8351C">
        <w:rPr>
          <w:color w:val="auto"/>
        </w:rPr>
        <w:t>cheme</w:t>
      </w:r>
      <w:r w:rsidRPr="00C8351C">
        <w:rPr>
          <w:color w:val="auto"/>
        </w:rPr>
        <w:t xml:space="preserve"> was exhibited to facilitate and encourage </w:t>
      </w:r>
      <w:r w:rsidR="009B3DAA" w:rsidRPr="00C8351C">
        <w:rPr>
          <w:color w:val="auto"/>
        </w:rPr>
        <w:t>single bedroom dwellings</w:t>
      </w:r>
      <w:r w:rsidRPr="00C8351C">
        <w:rPr>
          <w:color w:val="auto"/>
        </w:rPr>
        <w:t xml:space="preserve"> in the NT, while also making the construction of some types of housing more affordable</w:t>
      </w:r>
      <w:r w:rsidR="009B3DAA" w:rsidRPr="00C8351C">
        <w:rPr>
          <w:color w:val="auto"/>
        </w:rPr>
        <w:t xml:space="preserve"> through reduced car parking requirements</w:t>
      </w:r>
      <w:r w:rsidRPr="00C8351C">
        <w:rPr>
          <w:color w:val="auto"/>
        </w:rPr>
        <w:t xml:space="preserve">. It includes: </w:t>
      </w:r>
    </w:p>
    <w:p w14:paraId="4304D2D9" w14:textId="5CD72298" w:rsidR="00C10133" w:rsidRPr="00C8351C" w:rsidRDefault="00C10133" w:rsidP="00C10133">
      <w:pPr>
        <w:pStyle w:val="ListParagraph"/>
        <w:numPr>
          <w:ilvl w:val="0"/>
          <w:numId w:val="35"/>
        </w:numPr>
        <w:spacing w:before="0" w:after="120"/>
        <w:contextualSpacing w:val="0"/>
        <w:rPr>
          <w:color w:val="auto"/>
        </w:rPr>
      </w:pPr>
      <w:r w:rsidRPr="00C8351C">
        <w:rPr>
          <w:color w:val="auto"/>
        </w:rPr>
        <w:t xml:space="preserve">amending dwelling density provisions in Zone LMR (Low-Medium Density Residential) </w:t>
      </w:r>
      <w:r w:rsidR="00A65FE0" w:rsidRPr="00C8351C">
        <w:rPr>
          <w:color w:val="auto"/>
        </w:rPr>
        <w:t xml:space="preserve">to </w:t>
      </w:r>
      <w:r w:rsidR="00E61032" w:rsidRPr="00C8351C">
        <w:rPr>
          <w:color w:val="auto"/>
        </w:rPr>
        <w:t>allow a density of 1 per 150m² to better support one-bedroom homes, reflecting smaller household sizes</w:t>
      </w:r>
      <w:r w:rsidR="00EC2CC5" w:rsidRPr="00C8351C">
        <w:rPr>
          <w:color w:val="auto"/>
        </w:rPr>
        <w:t>;</w:t>
      </w:r>
    </w:p>
    <w:p w14:paraId="2B19AA05" w14:textId="0EB503B7" w:rsidR="00C10133" w:rsidRPr="00C8351C" w:rsidRDefault="00C10133" w:rsidP="00C10133">
      <w:pPr>
        <w:pStyle w:val="ListParagraph"/>
        <w:numPr>
          <w:ilvl w:val="0"/>
          <w:numId w:val="35"/>
        </w:numPr>
        <w:spacing w:before="0" w:after="120"/>
        <w:contextualSpacing w:val="0"/>
        <w:rPr>
          <w:color w:val="auto"/>
        </w:rPr>
      </w:pPr>
      <w:r w:rsidRPr="00C8351C">
        <w:rPr>
          <w:color w:val="auto"/>
        </w:rPr>
        <w:t xml:space="preserve">amending car parking provisions for one bedroom group dwellings and multiple dwellings to require </w:t>
      </w:r>
      <w:r w:rsidR="00EC2CC5" w:rsidRPr="00C8351C">
        <w:rPr>
          <w:color w:val="auto"/>
        </w:rPr>
        <w:t>one-bedroom</w:t>
      </w:r>
      <w:r w:rsidRPr="00C8351C">
        <w:rPr>
          <w:color w:val="auto"/>
        </w:rPr>
        <w:t xml:space="preserve"> dwellings to provide </w:t>
      </w:r>
      <w:r w:rsidR="00EC2CC5" w:rsidRPr="00C8351C">
        <w:rPr>
          <w:color w:val="auto"/>
        </w:rPr>
        <w:t>one</w:t>
      </w:r>
      <w:r w:rsidRPr="00C8351C">
        <w:rPr>
          <w:color w:val="auto"/>
        </w:rPr>
        <w:t xml:space="preserve"> car parking space instead of </w:t>
      </w:r>
      <w:r w:rsidR="00EC2CC5" w:rsidRPr="00C8351C">
        <w:rPr>
          <w:color w:val="auto"/>
        </w:rPr>
        <w:t>two</w:t>
      </w:r>
      <w:r w:rsidRPr="00C8351C">
        <w:rPr>
          <w:color w:val="auto"/>
        </w:rPr>
        <w:t>; and</w:t>
      </w:r>
    </w:p>
    <w:p w14:paraId="129C5DD5" w14:textId="77777777" w:rsidR="00C10133" w:rsidRPr="00C8351C" w:rsidRDefault="00C10133" w:rsidP="00C10133">
      <w:pPr>
        <w:pStyle w:val="ListParagraph"/>
        <w:numPr>
          <w:ilvl w:val="0"/>
          <w:numId w:val="35"/>
        </w:numPr>
        <w:spacing w:before="0" w:after="200"/>
        <w:ind w:left="357" w:hanging="357"/>
        <w:contextualSpacing w:val="0"/>
        <w:rPr>
          <w:color w:val="auto"/>
        </w:rPr>
      </w:pPr>
      <w:r w:rsidRPr="00C8351C">
        <w:rPr>
          <w:color w:val="auto"/>
        </w:rPr>
        <w:t>introducing car parking reductions for group dwelling and multiple dwelling development where it is considered ‘well-located’ and where the development or dwelling is for social housing.</w:t>
      </w:r>
    </w:p>
    <w:p w14:paraId="78460C5D" w14:textId="642D944F" w:rsidR="00A06FEA" w:rsidRPr="00C8351C" w:rsidRDefault="00A06FEA" w:rsidP="00A06FEA">
      <w:pPr>
        <w:spacing w:before="0" w:after="200"/>
        <w:rPr>
          <w:color w:val="auto"/>
        </w:rPr>
      </w:pPr>
      <w:r w:rsidRPr="00C8351C">
        <w:rPr>
          <w:color w:val="auto"/>
        </w:rPr>
        <w:t>The Department is currently reviewing feedback received from exhibition</w:t>
      </w:r>
      <w:r w:rsidR="00A65FE0" w:rsidRPr="00C8351C">
        <w:rPr>
          <w:color w:val="auto"/>
        </w:rPr>
        <w:t xml:space="preserve"> before seeking to finalise the amendment.</w:t>
      </w:r>
      <w:r w:rsidRPr="00C8351C">
        <w:rPr>
          <w:color w:val="auto"/>
        </w:rPr>
        <w:t xml:space="preserve"> </w:t>
      </w:r>
    </w:p>
    <w:p w14:paraId="28BDFC07" w14:textId="77777777" w:rsidR="00506A2A" w:rsidRPr="00C8351C" w:rsidRDefault="00506A2A" w:rsidP="00506A2A">
      <w:pPr>
        <w:pStyle w:val="Heading4"/>
        <w:spacing w:after="0"/>
        <w:rPr>
          <w:color w:val="auto"/>
        </w:rPr>
      </w:pPr>
      <w:r w:rsidRPr="00C8351C">
        <w:rPr>
          <w:color w:val="auto"/>
        </w:rPr>
        <w:t>Increased maximum floor area for second dwellings</w:t>
      </w:r>
    </w:p>
    <w:p w14:paraId="1B7A6665" w14:textId="3C73CE1E" w:rsidR="00506A2A" w:rsidRPr="00C8351C" w:rsidRDefault="00506A2A" w:rsidP="00323496">
      <w:pPr>
        <w:tabs>
          <w:tab w:val="left" w:pos="7110"/>
        </w:tabs>
        <w:spacing w:before="0"/>
        <w:rPr>
          <w:i/>
          <w:iCs/>
          <w:color w:val="auto"/>
        </w:rPr>
      </w:pPr>
      <w:r w:rsidRPr="00C8351C">
        <w:rPr>
          <w:i/>
          <w:iCs/>
          <w:color w:val="auto"/>
        </w:rPr>
        <w:t>Enacted 1 December 2023| First reported in March 2024</w:t>
      </w:r>
      <w:r w:rsidR="00732B4C" w:rsidRPr="00C8351C">
        <w:rPr>
          <w:i/>
          <w:iCs/>
          <w:color w:val="auto"/>
        </w:rPr>
        <w:t>/</w:t>
      </w:r>
      <w:r w:rsidR="00732B4C" w:rsidRPr="00C8351C">
        <w:rPr>
          <w:color w:val="auto"/>
        </w:rPr>
        <w:t xml:space="preserve"> </w:t>
      </w:r>
      <w:r w:rsidR="00732B4C" w:rsidRPr="00C8351C">
        <w:rPr>
          <w:i/>
          <w:iCs/>
          <w:color w:val="auto"/>
        </w:rPr>
        <w:t>Reporting Complete</w:t>
      </w:r>
      <w:r w:rsidR="00323496" w:rsidRPr="00C8351C">
        <w:rPr>
          <w:i/>
          <w:iCs/>
          <w:color w:val="auto"/>
        </w:rPr>
        <w:tab/>
      </w:r>
    </w:p>
    <w:p w14:paraId="41B6FFF7" w14:textId="6CD1486D" w:rsidR="00506A2A" w:rsidRPr="00C8351C" w:rsidRDefault="00506A2A" w:rsidP="00FA75C6">
      <w:pPr>
        <w:pStyle w:val="Bullet"/>
        <w:numPr>
          <w:ilvl w:val="0"/>
          <w:numId w:val="0"/>
        </w:numPr>
        <w:spacing w:before="240" w:after="120"/>
        <w:rPr>
          <w:color w:val="auto"/>
        </w:rPr>
      </w:pPr>
      <w:r w:rsidRPr="00C8351C">
        <w:rPr>
          <w:color w:val="auto"/>
        </w:rPr>
        <w:t>On 1 December 2023</w:t>
      </w:r>
      <w:r w:rsidR="00104706" w:rsidRPr="00C8351C">
        <w:rPr>
          <w:color w:val="auto"/>
        </w:rPr>
        <w:t>,</w:t>
      </w:r>
      <w:r w:rsidRPr="00C8351C">
        <w:rPr>
          <w:color w:val="auto"/>
        </w:rPr>
        <w:t xml:space="preserve"> an amendment to the NT Planning Scheme took effect that increased the maximum floor area of independent living units (second dwellings) allowed on single dwelling lots (without any planning approval being necessary) from 50m</w:t>
      </w:r>
      <w:r w:rsidRPr="00C8351C">
        <w:rPr>
          <w:color w:val="auto"/>
          <w:vertAlign w:val="superscript"/>
        </w:rPr>
        <w:t>2</w:t>
      </w:r>
      <w:r w:rsidRPr="00C8351C">
        <w:rPr>
          <w:color w:val="auto"/>
        </w:rPr>
        <w:t xml:space="preserve"> to 75m</w:t>
      </w:r>
      <w:r w:rsidRPr="00C8351C">
        <w:rPr>
          <w:color w:val="auto"/>
          <w:vertAlign w:val="superscript"/>
        </w:rPr>
        <w:t>2</w:t>
      </w:r>
      <w:r w:rsidRPr="00C8351C">
        <w:rPr>
          <w:color w:val="auto"/>
        </w:rPr>
        <w:t>.</w:t>
      </w:r>
    </w:p>
    <w:p w14:paraId="24868751" w14:textId="77777777" w:rsidR="00506A2A" w:rsidRPr="00C8351C" w:rsidRDefault="00506A2A" w:rsidP="00FA75C6">
      <w:pPr>
        <w:pStyle w:val="Bullet"/>
        <w:numPr>
          <w:ilvl w:val="0"/>
          <w:numId w:val="0"/>
        </w:numPr>
        <w:spacing w:before="240" w:after="120"/>
        <w:rPr>
          <w:rFonts w:ascii="Calibri Light" w:hAnsi="Calibri Light" w:cs="Arial"/>
          <w:b/>
          <w:color w:val="auto"/>
          <w:kern w:val="32"/>
          <w:sz w:val="28"/>
          <w:szCs w:val="26"/>
        </w:rPr>
      </w:pPr>
      <w:r w:rsidRPr="00C8351C">
        <w:rPr>
          <w:color w:val="auto"/>
        </w:rPr>
        <w:t>This change provides for the increased utilisation of infill land for social and affordable housing purposes.</w:t>
      </w:r>
    </w:p>
    <w:p w14:paraId="5801E712" w14:textId="77777777" w:rsidR="00506A2A" w:rsidRPr="00C8351C" w:rsidRDefault="00506A2A" w:rsidP="00506A2A">
      <w:pPr>
        <w:pStyle w:val="Heading4"/>
        <w:spacing w:after="0"/>
        <w:rPr>
          <w:color w:val="auto"/>
        </w:rPr>
      </w:pPr>
      <w:r w:rsidRPr="00C8351C">
        <w:rPr>
          <w:color w:val="auto"/>
        </w:rPr>
        <w:t>New design responses for mixed use developments</w:t>
      </w:r>
    </w:p>
    <w:p w14:paraId="5C0A83AA" w14:textId="4526AD9A" w:rsidR="00506A2A" w:rsidRPr="00C8351C" w:rsidRDefault="00506A2A" w:rsidP="00506A2A">
      <w:pPr>
        <w:spacing w:before="0"/>
        <w:rPr>
          <w:i/>
          <w:iCs/>
          <w:color w:val="auto"/>
        </w:rPr>
      </w:pPr>
      <w:r w:rsidRPr="00C8351C">
        <w:rPr>
          <w:i/>
          <w:iCs/>
          <w:color w:val="auto"/>
        </w:rPr>
        <w:t>Enacted 17 February 2023 | First reported in March 2024</w:t>
      </w:r>
      <w:r w:rsidR="00732B4C" w:rsidRPr="00C8351C">
        <w:rPr>
          <w:i/>
          <w:iCs/>
          <w:color w:val="auto"/>
        </w:rPr>
        <w:t xml:space="preserve"> / Reporting Complete</w:t>
      </w:r>
    </w:p>
    <w:p w14:paraId="1A6A00B4" w14:textId="1B001278" w:rsidR="00506A2A" w:rsidRPr="00C8351C" w:rsidRDefault="00506A2A" w:rsidP="00FA75C6">
      <w:pPr>
        <w:pStyle w:val="Bullet"/>
        <w:numPr>
          <w:ilvl w:val="0"/>
          <w:numId w:val="0"/>
        </w:numPr>
        <w:spacing w:before="240" w:after="120"/>
        <w:rPr>
          <w:color w:val="auto"/>
        </w:rPr>
      </w:pPr>
      <w:r w:rsidRPr="00C8351C">
        <w:rPr>
          <w:color w:val="auto"/>
        </w:rPr>
        <w:lastRenderedPageBreak/>
        <w:t>On 17 February 2023</w:t>
      </w:r>
      <w:r w:rsidR="00104706" w:rsidRPr="00C8351C">
        <w:rPr>
          <w:color w:val="auto"/>
        </w:rPr>
        <w:t>,</w:t>
      </w:r>
      <w:r w:rsidRPr="00C8351C">
        <w:rPr>
          <w:color w:val="auto"/>
        </w:rPr>
        <w:t xml:space="preserve"> an amendment to the NT Planning Scheme took effect, which amongst other changes, included incorporating design responses for mixed use development contained in strategic land use plans as development requirements within the scheme. For example, replacing set density requirements for apartments and mixed-use buildings with a significantly more flexible plot ratio.</w:t>
      </w:r>
    </w:p>
    <w:p w14:paraId="6FA9BB1A" w14:textId="77777777" w:rsidR="00506A2A" w:rsidRDefault="00506A2A" w:rsidP="00FA75C6">
      <w:pPr>
        <w:pStyle w:val="Bullet"/>
        <w:numPr>
          <w:ilvl w:val="0"/>
          <w:numId w:val="0"/>
        </w:numPr>
        <w:spacing w:before="240" w:after="120"/>
      </w:pPr>
      <w:r w:rsidRPr="00C8351C">
        <w:rPr>
          <w:color w:val="auto"/>
        </w:rPr>
        <w:t xml:space="preserve">Introduction of a residential plot ratio for medium-high density development will provide greater </w:t>
      </w:r>
      <w:r w:rsidRPr="004F4029">
        <w:t>flexibility in design and assist with achieving greater density.</w:t>
      </w:r>
    </w:p>
    <w:p w14:paraId="5D7BB9BF" w14:textId="77777777" w:rsidR="00506A2A" w:rsidRDefault="00506A2A" w:rsidP="00506A2A">
      <w:pPr>
        <w:pStyle w:val="Heading4"/>
        <w:spacing w:after="0"/>
      </w:pPr>
      <w:r>
        <w:t>Extended exemption from approvals for remote subdivisions</w:t>
      </w:r>
    </w:p>
    <w:p w14:paraId="6E91C467" w14:textId="09F2CFA9" w:rsidR="00506A2A" w:rsidRPr="00C8351C" w:rsidRDefault="00506A2A" w:rsidP="00506A2A">
      <w:pPr>
        <w:spacing w:before="0"/>
        <w:rPr>
          <w:i/>
          <w:iCs/>
          <w:color w:val="auto"/>
        </w:rPr>
      </w:pPr>
      <w:r w:rsidRPr="00C8351C">
        <w:rPr>
          <w:i/>
          <w:iCs/>
          <w:color w:val="auto"/>
        </w:rPr>
        <w:t>Enacted 3 March 2023 | First reported in March 2024</w:t>
      </w:r>
      <w:r w:rsidR="00732B4C" w:rsidRPr="00C8351C">
        <w:rPr>
          <w:i/>
          <w:iCs/>
          <w:color w:val="auto"/>
        </w:rPr>
        <w:t xml:space="preserve"> / Reporting Complete</w:t>
      </w:r>
    </w:p>
    <w:p w14:paraId="69289276" w14:textId="31B8D640" w:rsidR="00506A2A" w:rsidRDefault="00506A2A" w:rsidP="00FA75C6">
      <w:pPr>
        <w:pStyle w:val="Bullet"/>
        <w:numPr>
          <w:ilvl w:val="0"/>
          <w:numId w:val="0"/>
        </w:numPr>
        <w:spacing w:before="240" w:after="120"/>
      </w:pPr>
      <w:r w:rsidRPr="001069A4">
        <w:t>On 3 March 2023</w:t>
      </w:r>
      <w:r w:rsidR="00104706" w:rsidRPr="00104706">
        <w:rPr>
          <w:color w:val="FF0000"/>
        </w:rPr>
        <w:t>,</w:t>
      </w:r>
      <w:r w:rsidRPr="001069A4">
        <w:t xml:space="preserve"> a time limited exemption under the </w:t>
      </w:r>
      <w:r w:rsidRPr="00C82D6A">
        <w:rPr>
          <w:i/>
        </w:rPr>
        <w:t>Planning Act 1999</w:t>
      </w:r>
      <w:r w:rsidRPr="001069A4">
        <w:t xml:space="preserve"> was extended to June 2028, conditionally removing the need for subdivision approval for land development in remote communities as part of the remote housing program, </w:t>
      </w:r>
      <w:proofErr w:type="gramStart"/>
      <w:r w:rsidRPr="001069A4">
        <w:t>as long as</w:t>
      </w:r>
      <w:proofErr w:type="gramEnd"/>
      <w:r w:rsidRPr="001069A4">
        <w:t xml:space="preserve"> these are supported by the community and Traditional Owners (through land tenure agreements).</w:t>
      </w:r>
    </w:p>
    <w:p w14:paraId="54879A33" w14:textId="77777777" w:rsidR="00506A2A" w:rsidRDefault="00506A2A" w:rsidP="00FA75C6">
      <w:pPr>
        <w:pStyle w:val="Bullet"/>
        <w:numPr>
          <w:ilvl w:val="0"/>
          <w:numId w:val="0"/>
        </w:numPr>
        <w:spacing w:before="240" w:after="120"/>
      </w:pPr>
      <w:r w:rsidRPr="000E2A97">
        <w:t>This exemption provides for the fast</w:t>
      </w:r>
      <w:r>
        <w:t>-t</w:t>
      </w:r>
      <w:r w:rsidRPr="000E2A97">
        <w:t>racked release of land for social and affordable housing purposes.</w:t>
      </w:r>
    </w:p>
    <w:p w14:paraId="71336E7E" w14:textId="77777777" w:rsidR="00506A2A" w:rsidRDefault="00506A2A" w:rsidP="00506A2A">
      <w:pPr>
        <w:pStyle w:val="Heading4"/>
        <w:spacing w:after="0"/>
      </w:pPr>
      <w:r>
        <w:t>Katherine Densification Policy – denser townhouses</w:t>
      </w:r>
    </w:p>
    <w:p w14:paraId="5D22BB0D" w14:textId="6891DCA4" w:rsidR="00506A2A" w:rsidRPr="00C8351C" w:rsidRDefault="00506A2A" w:rsidP="00506A2A">
      <w:pPr>
        <w:spacing w:before="0"/>
        <w:rPr>
          <w:i/>
          <w:iCs/>
          <w:color w:val="auto"/>
        </w:rPr>
      </w:pPr>
      <w:r w:rsidRPr="00C8351C">
        <w:rPr>
          <w:i/>
          <w:iCs/>
          <w:color w:val="auto"/>
        </w:rPr>
        <w:t>Enacted 7 October 2022 | First reported in March 2024</w:t>
      </w:r>
      <w:r w:rsidR="00732B4C" w:rsidRPr="00C8351C">
        <w:rPr>
          <w:i/>
          <w:iCs/>
          <w:color w:val="auto"/>
        </w:rPr>
        <w:t xml:space="preserve"> / Reporting Complete</w:t>
      </w:r>
    </w:p>
    <w:p w14:paraId="186ED57D" w14:textId="0F0E46A5" w:rsidR="00506A2A" w:rsidRDefault="00506A2A" w:rsidP="00FA75C6">
      <w:pPr>
        <w:pStyle w:val="Bullet"/>
        <w:numPr>
          <w:ilvl w:val="0"/>
          <w:numId w:val="0"/>
        </w:numPr>
        <w:spacing w:before="240" w:after="120"/>
      </w:pPr>
      <w:r w:rsidRPr="00624808">
        <w:t>On 7 October 2022</w:t>
      </w:r>
      <w:r w:rsidR="00104706" w:rsidRPr="00104706">
        <w:rPr>
          <w:color w:val="FF0000"/>
        </w:rPr>
        <w:t>,</w:t>
      </w:r>
      <w:r w:rsidRPr="00624808">
        <w:t xml:space="preserve"> an amendment to the NT Planning Scheme took effect, known as the Katherine Densification Policy. This facilitates townhouse development at a density of 1 dwelling per 400m</w:t>
      </w:r>
      <w:r w:rsidRPr="009A309D">
        <w:rPr>
          <w:vertAlign w:val="superscript"/>
        </w:rPr>
        <w:t xml:space="preserve">2 </w:t>
      </w:r>
      <w:r w:rsidRPr="00624808">
        <w:t>(rather than 1 dwelling per 800m</w:t>
      </w:r>
      <w:r w:rsidRPr="009A309D">
        <w:rPr>
          <w:vertAlign w:val="superscript"/>
        </w:rPr>
        <w:t>2</w:t>
      </w:r>
      <w:r w:rsidRPr="00624808">
        <w:t xml:space="preserve"> as is normally the case) for standard Low Density Residential </w:t>
      </w:r>
      <w:r w:rsidR="006C052B">
        <w:br/>
      </w:r>
      <w:r w:rsidRPr="00624808">
        <w:t>(Zone LR) lots in Katherine East.</w:t>
      </w:r>
    </w:p>
    <w:p w14:paraId="6F00E83C" w14:textId="77777777" w:rsidR="00506A2A" w:rsidRDefault="00506A2A" w:rsidP="00FA75C6">
      <w:pPr>
        <w:pStyle w:val="Bullet"/>
        <w:numPr>
          <w:ilvl w:val="0"/>
          <w:numId w:val="0"/>
        </w:numPr>
        <w:spacing w:before="240" w:after="120"/>
      </w:pPr>
      <w:r w:rsidRPr="005F7D72">
        <w:t>This change provides for the increased utilisation of infill land for social and affordable housing purposes.</w:t>
      </w:r>
    </w:p>
    <w:p w14:paraId="029321DE" w14:textId="5291099E" w:rsidR="003D76DB" w:rsidRDefault="00366EB7" w:rsidP="000B03B1">
      <w:pPr>
        <w:pStyle w:val="Heading2"/>
      </w:pPr>
      <w:bookmarkStart w:id="13" w:name="_Toc168064960"/>
      <w:bookmarkStart w:id="14" w:name="_Toc168065271"/>
      <w:bookmarkStart w:id="15" w:name="_Toc224740254"/>
      <w:r>
        <w:t>Summary of z</w:t>
      </w:r>
      <w:r w:rsidR="003D76DB">
        <w:t>oning reforms</w:t>
      </w:r>
      <w:bookmarkEnd w:id="13"/>
      <w:bookmarkEnd w:id="14"/>
      <w:bookmarkEnd w:id="15"/>
    </w:p>
    <w:p w14:paraId="7B5AA2FC" w14:textId="35DCD227" w:rsidR="00C82D6A" w:rsidRDefault="00C82D6A" w:rsidP="00C82D6A">
      <w:pPr>
        <w:pStyle w:val="Heading4"/>
        <w:spacing w:after="0"/>
      </w:pPr>
      <w:r>
        <w:t xml:space="preserve">Area Plans - Areas for Change </w:t>
      </w:r>
    </w:p>
    <w:p w14:paraId="7BB3C33B" w14:textId="14B82B9C" w:rsidR="009B7A50" w:rsidRDefault="00BA593A" w:rsidP="00FA75C6">
      <w:pPr>
        <w:spacing w:after="120" w:line="276" w:lineRule="auto"/>
      </w:pPr>
      <w:r w:rsidRPr="006C3A25">
        <w:rPr>
          <w:i/>
          <w:iCs/>
          <w:color w:val="2683C6" w:themeColor="accent6"/>
        </w:rPr>
        <w:t>Update:</w:t>
      </w:r>
      <w:r>
        <w:rPr>
          <w:i/>
          <w:iCs/>
        </w:rPr>
        <w:t xml:space="preserve"> </w:t>
      </w:r>
      <w:r w:rsidR="009B7A50" w:rsidRPr="009B7A50">
        <w:rPr>
          <w:i/>
        </w:rPr>
        <w:t>In progress</w:t>
      </w:r>
      <w:r>
        <w:rPr>
          <w:i/>
        </w:rPr>
        <w:t xml:space="preserve"> / </w:t>
      </w:r>
      <w:r w:rsidRPr="006E36C6">
        <w:rPr>
          <w:i/>
          <w:color w:val="auto"/>
        </w:rPr>
        <w:t xml:space="preserve">First reported September 2024 </w:t>
      </w:r>
    </w:p>
    <w:p w14:paraId="46ED8EF8" w14:textId="789B3AD6" w:rsidR="009B7A50" w:rsidRDefault="009B7A50" w:rsidP="00FA75C6">
      <w:pPr>
        <w:spacing w:after="120" w:line="276" w:lineRule="auto"/>
      </w:pPr>
      <w:r>
        <w:t xml:space="preserve">Area Plans, contained within the NT Planning Scheme, implemented in the NT’s Compact Urban Growth Policy, </w:t>
      </w:r>
      <w:r w:rsidR="00D146DD">
        <w:t>identify</w:t>
      </w:r>
      <w:r>
        <w:t xml:space="preserve"> compact urban growth localities around activity centres, public transport corridors and other localities that satisfy the objective of this Policy. These localities are identified as an ‘area for change’ in an Area Plan. </w:t>
      </w:r>
    </w:p>
    <w:p w14:paraId="0CCE3336" w14:textId="138F6A8A" w:rsidR="00A80522" w:rsidRDefault="00A80522" w:rsidP="00FA75C6">
      <w:pPr>
        <w:spacing w:after="120" w:line="276" w:lineRule="auto"/>
      </w:pPr>
      <w:r>
        <w:t>Planning scheme amendment</w:t>
      </w:r>
      <w:r w:rsidR="00001F87">
        <w:t>s</w:t>
      </w:r>
      <w:r w:rsidR="009B7A50">
        <w:t xml:space="preserve"> can be requested by a landowner to rezone a parcel of land in an ‘area for change’. These are </w:t>
      </w:r>
      <w:r>
        <w:t>progressed</w:t>
      </w:r>
      <w:r w:rsidR="001250CE">
        <w:t xml:space="preserve"> by the NT Government</w:t>
      </w:r>
      <w:r>
        <w:t xml:space="preserve"> in a timely manner to facilitate increased densities</w:t>
      </w:r>
      <w:r w:rsidR="00001F87">
        <w:t xml:space="preserve">, </w:t>
      </w:r>
      <w:r w:rsidR="009B7A50">
        <w:t xml:space="preserve">where infrastructure and amenities are available. </w:t>
      </w:r>
    </w:p>
    <w:p w14:paraId="7FF6FAC2" w14:textId="747BC7E9" w:rsidR="005C7855" w:rsidRDefault="005C7855" w:rsidP="00FA75C6">
      <w:pPr>
        <w:spacing w:after="120" w:line="276" w:lineRule="auto"/>
      </w:pPr>
      <w:r>
        <w:lastRenderedPageBreak/>
        <w:t xml:space="preserve">Investigations continue in relation to additional reforms to improve housing related outcomes. </w:t>
      </w:r>
    </w:p>
    <w:p w14:paraId="26E59240" w14:textId="232A3B8F" w:rsidR="00A500B2" w:rsidRDefault="005F28A0" w:rsidP="000B03B1">
      <w:pPr>
        <w:pStyle w:val="Heading2"/>
      </w:pPr>
      <w:bookmarkStart w:id="16" w:name="_Toc168064961"/>
      <w:bookmarkStart w:id="17" w:name="_Toc168065272"/>
      <w:bookmarkStart w:id="18" w:name="_Toc224740255"/>
      <w:r>
        <w:t>Summary of l</w:t>
      </w:r>
      <w:r w:rsidR="00A500B2">
        <w:t>and release reforms</w:t>
      </w:r>
      <w:bookmarkEnd w:id="16"/>
      <w:bookmarkEnd w:id="17"/>
      <w:bookmarkEnd w:id="18"/>
    </w:p>
    <w:p w14:paraId="3BE99F2A" w14:textId="77777777" w:rsidR="00AF1C03" w:rsidRDefault="00AF1C03" w:rsidP="00AF1C03">
      <w:pPr>
        <w:pStyle w:val="Heading4"/>
        <w:spacing w:after="0"/>
      </w:pPr>
      <w:r w:rsidRPr="00193BBB">
        <w:t>Brin</w:t>
      </w:r>
      <w:r>
        <w:t>g</w:t>
      </w:r>
      <w:r w:rsidRPr="00193BBB">
        <w:t>ing land to market report</w:t>
      </w:r>
    </w:p>
    <w:p w14:paraId="0C8BDA50" w14:textId="2A42A7B8" w:rsidR="00AF1C03" w:rsidRPr="00C8351C" w:rsidRDefault="00BA593A" w:rsidP="00AF1C03">
      <w:pPr>
        <w:spacing w:before="0"/>
        <w:rPr>
          <w:i/>
          <w:iCs/>
          <w:color w:val="auto"/>
        </w:rPr>
      </w:pPr>
      <w:r w:rsidRPr="006C3A25">
        <w:rPr>
          <w:i/>
          <w:iCs/>
          <w:color w:val="2683C6" w:themeColor="accent6"/>
        </w:rPr>
        <w:t>Update:</w:t>
      </w:r>
      <w:r>
        <w:rPr>
          <w:i/>
          <w:iCs/>
        </w:rPr>
        <w:t xml:space="preserve"> </w:t>
      </w:r>
      <w:r w:rsidR="00AF1C03" w:rsidRPr="006C20A9">
        <w:rPr>
          <w:i/>
          <w:iCs/>
          <w:color w:val="auto"/>
        </w:rPr>
        <w:t xml:space="preserve">In progress </w:t>
      </w:r>
      <w:r w:rsidR="00AF1C03">
        <w:rPr>
          <w:i/>
          <w:iCs/>
        </w:rPr>
        <w:t xml:space="preserve">| First </w:t>
      </w:r>
      <w:r w:rsidR="00AF1C03" w:rsidRPr="00C8351C">
        <w:rPr>
          <w:i/>
          <w:iCs/>
          <w:color w:val="auto"/>
        </w:rPr>
        <w:t>reported in March 2024</w:t>
      </w:r>
      <w:r w:rsidRPr="00C8351C">
        <w:rPr>
          <w:i/>
          <w:iCs/>
          <w:color w:val="auto"/>
        </w:rPr>
        <w:t xml:space="preserve"> / Updated </w:t>
      </w:r>
      <w:r w:rsidR="00A65FE0" w:rsidRPr="00C8351C">
        <w:rPr>
          <w:i/>
          <w:iCs/>
          <w:color w:val="auto"/>
        </w:rPr>
        <w:t>September</w:t>
      </w:r>
      <w:r w:rsidRPr="00C8351C">
        <w:rPr>
          <w:i/>
          <w:iCs/>
          <w:color w:val="auto"/>
        </w:rPr>
        <w:t xml:space="preserve"> 2025</w:t>
      </w:r>
    </w:p>
    <w:p w14:paraId="6C42F08C" w14:textId="22078EB3" w:rsidR="00AF1C03" w:rsidRPr="00C8351C" w:rsidRDefault="00AF1C03" w:rsidP="00FA75C6">
      <w:pPr>
        <w:spacing w:after="120" w:line="276" w:lineRule="auto"/>
        <w:rPr>
          <w:color w:val="auto"/>
        </w:rPr>
      </w:pPr>
      <w:r w:rsidRPr="00C8351C">
        <w:rPr>
          <w:color w:val="auto"/>
        </w:rPr>
        <w:t>The NT has recently reformed the planning system to give effect to the ‘Bringing Land to Market Report’ which include</w:t>
      </w:r>
      <w:r w:rsidR="00BD2B62" w:rsidRPr="00C8351C">
        <w:rPr>
          <w:color w:val="auto"/>
        </w:rPr>
        <w:t>d</w:t>
      </w:r>
      <w:r w:rsidRPr="00C8351C">
        <w:rPr>
          <w:color w:val="auto"/>
        </w:rPr>
        <w:t xml:space="preserve"> 23 recommendations to achieve a titled land supply that satisfies the market demand (including for affordable housing) in a timely and efficient manner.</w:t>
      </w:r>
    </w:p>
    <w:p w14:paraId="5F13219F" w14:textId="1D9CDE61" w:rsidR="00AF1C03" w:rsidRPr="00C8351C" w:rsidRDefault="00AF1C03" w:rsidP="00FA75C6">
      <w:pPr>
        <w:spacing w:after="120" w:line="276" w:lineRule="auto"/>
        <w:rPr>
          <w:color w:val="auto"/>
        </w:rPr>
      </w:pPr>
      <w:r w:rsidRPr="00C8351C">
        <w:rPr>
          <w:color w:val="auto"/>
        </w:rPr>
        <w:t xml:space="preserve">The Bringing Land to Market Report was commissioned by the NT Government in 2021 to identify improvements to bring titled land to the market to keep pace with Territorian’s needs. Further information and a copy of the report can be found here: </w:t>
      </w:r>
      <w:hyperlink r:id="rId19" w:history="1">
        <w:r w:rsidR="006C052B" w:rsidRPr="00C8351C">
          <w:rPr>
            <w:rStyle w:val="Hyperlink"/>
            <w:color w:val="auto"/>
          </w:rPr>
          <w:t>https://environment.nt.gov.au/careers-programs-publications/land-development-process-report-and-recommendations</w:t>
        </w:r>
      </w:hyperlink>
      <w:r w:rsidRPr="00C8351C">
        <w:rPr>
          <w:color w:val="auto"/>
        </w:rPr>
        <w:t>.</w:t>
      </w:r>
      <w:r w:rsidR="006C052B" w:rsidRPr="00C8351C">
        <w:rPr>
          <w:color w:val="auto"/>
        </w:rPr>
        <w:t xml:space="preserve"> </w:t>
      </w:r>
    </w:p>
    <w:p w14:paraId="68AF9B3F" w14:textId="6E730B8C" w:rsidR="00BA593A" w:rsidRPr="00C8351C" w:rsidRDefault="00BA593A" w:rsidP="00BA593A">
      <w:pPr>
        <w:spacing w:after="120" w:line="276" w:lineRule="auto"/>
        <w:rPr>
          <w:color w:val="auto"/>
        </w:rPr>
      </w:pPr>
      <w:bookmarkStart w:id="19" w:name="_Toc168064962"/>
      <w:bookmarkStart w:id="20" w:name="_Toc168065273"/>
      <w:r w:rsidRPr="00C8351C">
        <w:rPr>
          <w:color w:val="auto"/>
        </w:rPr>
        <w:t xml:space="preserve">Of the 23 recommendations, 15 have been implemented with the remaining recommendations </w:t>
      </w:r>
      <w:proofErr w:type="spellStart"/>
      <w:r w:rsidR="00C10133" w:rsidRPr="00C8351C">
        <w:rPr>
          <w:color w:val="auto"/>
        </w:rPr>
        <w:t>recategorised</w:t>
      </w:r>
      <w:proofErr w:type="spellEnd"/>
      <w:r w:rsidRPr="00C8351C">
        <w:rPr>
          <w:color w:val="auto"/>
        </w:rPr>
        <w:t xml:space="preserve"> into three Land Development Initiatives, which include: </w:t>
      </w:r>
    </w:p>
    <w:p w14:paraId="33E3A0FF" w14:textId="6E503843" w:rsidR="00BA593A" w:rsidRPr="00C8351C" w:rsidRDefault="00BA593A" w:rsidP="00A65FE0">
      <w:pPr>
        <w:pStyle w:val="ListParagraph"/>
        <w:numPr>
          <w:ilvl w:val="0"/>
          <w:numId w:val="33"/>
        </w:numPr>
        <w:spacing w:after="120" w:line="276" w:lineRule="auto"/>
        <w:ind w:left="360"/>
        <w:rPr>
          <w:color w:val="auto"/>
        </w:rPr>
      </w:pPr>
      <w:r w:rsidRPr="00C8351C">
        <w:rPr>
          <w:color w:val="auto"/>
        </w:rPr>
        <w:t xml:space="preserve">Land Development Initiative 1: Integrated Strategic Planning policy and guidelines that outline how the </w:t>
      </w:r>
      <w:r w:rsidR="003C2CD6" w:rsidRPr="00C8351C">
        <w:rPr>
          <w:color w:val="auto"/>
        </w:rPr>
        <w:t>NT</w:t>
      </w:r>
      <w:r w:rsidRPr="00C8351C">
        <w:rPr>
          <w:color w:val="auto"/>
        </w:rPr>
        <w:t xml:space="preserve"> plans and delivers sufficient land supply to support population growth and economic development.</w:t>
      </w:r>
    </w:p>
    <w:p w14:paraId="23465608" w14:textId="15342BF5" w:rsidR="00D82303" w:rsidRPr="00C8351C" w:rsidRDefault="00D82303" w:rsidP="00A65FE0">
      <w:pPr>
        <w:pStyle w:val="ListParagraph"/>
        <w:spacing w:after="120" w:line="276" w:lineRule="auto"/>
        <w:ind w:left="360"/>
        <w:rPr>
          <w:color w:val="auto"/>
        </w:rPr>
      </w:pPr>
    </w:p>
    <w:p w14:paraId="3D06BEF8" w14:textId="7587243D" w:rsidR="00D82303" w:rsidRPr="00C8351C" w:rsidRDefault="00D82303" w:rsidP="00A65FE0">
      <w:pPr>
        <w:pStyle w:val="ListParagraph"/>
        <w:spacing w:after="120" w:line="276" w:lineRule="auto"/>
        <w:ind w:left="360"/>
        <w:rPr>
          <w:color w:val="auto"/>
        </w:rPr>
      </w:pPr>
      <w:r w:rsidRPr="00C8351C">
        <w:rPr>
          <w:color w:val="auto"/>
        </w:rPr>
        <w:t xml:space="preserve">In July 2025, the NT </w:t>
      </w:r>
      <w:r w:rsidR="00665BDA" w:rsidRPr="00C8351C">
        <w:rPr>
          <w:color w:val="auto"/>
        </w:rPr>
        <w:t>has substantially implemented its</w:t>
      </w:r>
      <w:r w:rsidRPr="00C8351C">
        <w:rPr>
          <w:color w:val="auto"/>
        </w:rPr>
        <w:t xml:space="preserve"> Integrated Strategic Planning Framework </w:t>
      </w:r>
      <w:r w:rsidR="00665BDA" w:rsidRPr="00C8351C">
        <w:rPr>
          <w:color w:val="auto"/>
        </w:rPr>
        <w:t>and policy</w:t>
      </w:r>
      <w:r w:rsidRPr="00C8351C">
        <w:rPr>
          <w:color w:val="auto"/>
        </w:rPr>
        <w:t>. These measures</w:t>
      </w:r>
      <w:r w:rsidR="00665BDA" w:rsidRPr="00C8351C">
        <w:rPr>
          <w:color w:val="auto"/>
        </w:rPr>
        <w:t xml:space="preserve"> will be ongoing to</w:t>
      </w:r>
      <w:r w:rsidRPr="00C8351C">
        <w:rPr>
          <w:color w:val="auto"/>
        </w:rPr>
        <w:t xml:space="preserve"> ensure that the planning of land supply across the NT are aligned with and responsive to population growth and economic development. </w:t>
      </w:r>
    </w:p>
    <w:p w14:paraId="3EA419B3" w14:textId="77777777" w:rsidR="00BA593A" w:rsidRPr="00C8351C" w:rsidRDefault="00BA593A" w:rsidP="00A65FE0">
      <w:pPr>
        <w:pStyle w:val="ListParagraph"/>
        <w:spacing w:after="120" w:line="276" w:lineRule="auto"/>
        <w:ind w:left="360"/>
        <w:rPr>
          <w:color w:val="auto"/>
        </w:rPr>
      </w:pPr>
    </w:p>
    <w:p w14:paraId="55F0EFE6" w14:textId="155A60D8" w:rsidR="00BA593A" w:rsidRPr="00C8351C" w:rsidRDefault="00BA593A" w:rsidP="00A65FE0">
      <w:pPr>
        <w:pStyle w:val="ListParagraph"/>
        <w:numPr>
          <w:ilvl w:val="0"/>
          <w:numId w:val="33"/>
        </w:numPr>
        <w:spacing w:after="120" w:line="276" w:lineRule="auto"/>
        <w:ind w:left="360"/>
        <w:rPr>
          <w:color w:val="auto"/>
        </w:rPr>
      </w:pPr>
      <w:r w:rsidRPr="00C8351C">
        <w:rPr>
          <w:color w:val="auto"/>
        </w:rPr>
        <w:t>Land Development Initiative 2:</w:t>
      </w:r>
      <w:r w:rsidR="00EF4CD5" w:rsidRPr="00C8351C">
        <w:rPr>
          <w:rFonts w:ascii="Segoe UI" w:hAnsi="Segoe UI" w:cs="Segoe UI"/>
          <w:color w:val="auto"/>
          <w:sz w:val="24"/>
          <w:szCs w:val="24"/>
        </w:rPr>
        <w:t xml:space="preserve"> </w:t>
      </w:r>
      <w:r w:rsidR="00EF4CD5" w:rsidRPr="00C8351C">
        <w:rPr>
          <w:color w:val="auto"/>
        </w:rPr>
        <w:t xml:space="preserve">Process improvement initiatives that require </w:t>
      </w:r>
      <w:r w:rsidR="00E26C77" w:rsidRPr="00C8351C">
        <w:rPr>
          <w:color w:val="auto"/>
        </w:rPr>
        <w:t>policy</w:t>
      </w:r>
      <w:r w:rsidR="00EF4CD5" w:rsidRPr="00C8351C">
        <w:rPr>
          <w:color w:val="auto"/>
        </w:rPr>
        <w:t xml:space="preserve"> change, including </w:t>
      </w:r>
      <w:r w:rsidR="00E26C77" w:rsidRPr="00C8351C">
        <w:rPr>
          <w:color w:val="auto"/>
        </w:rPr>
        <w:t xml:space="preserve">policy </w:t>
      </w:r>
      <w:r w:rsidR="00EF4CD5" w:rsidRPr="00C8351C">
        <w:rPr>
          <w:color w:val="auto"/>
        </w:rPr>
        <w:t xml:space="preserve">subdivision development standards </w:t>
      </w:r>
      <w:r w:rsidR="000618AC" w:rsidRPr="00C8351C">
        <w:rPr>
          <w:color w:val="auto"/>
        </w:rPr>
        <w:t xml:space="preserve">that </w:t>
      </w:r>
      <w:r w:rsidR="00EF4CD5" w:rsidRPr="00C8351C">
        <w:rPr>
          <w:color w:val="auto"/>
        </w:rPr>
        <w:t>cover the design, construction and handover of public infrastructure.</w:t>
      </w:r>
      <w:r w:rsidR="00EF4CD5" w:rsidRPr="00C8351C">
        <w:rPr>
          <w:i/>
          <w:iCs/>
          <w:color w:val="auto"/>
        </w:rPr>
        <w:t xml:space="preserve"> </w:t>
      </w:r>
    </w:p>
    <w:p w14:paraId="32E4A9EA" w14:textId="77777777" w:rsidR="00785C1C" w:rsidRPr="00C8351C" w:rsidRDefault="00785C1C" w:rsidP="00785C1C">
      <w:pPr>
        <w:pStyle w:val="ListParagraph"/>
        <w:spacing w:after="120" w:line="276" w:lineRule="auto"/>
        <w:ind w:left="360"/>
        <w:rPr>
          <w:color w:val="auto"/>
        </w:rPr>
      </w:pPr>
    </w:p>
    <w:p w14:paraId="185399F6" w14:textId="11866997" w:rsidR="00A65FE0" w:rsidRPr="00C8351C" w:rsidRDefault="00BA593A" w:rsidP="00A65FE0">
      <w:pPr>
        <w:pStyle w:val="ListParagraph"/>
        <w:numPr>
          <w:ilvl w:val="0"/>
          <w:numId w:val="33"/>
        </w:numPr>
        <w:spacing w:after="120" w:line="276" w:lineRule="auto"/>
        <w:ind w:left="360"/>
        <w:rPr>
          <w:color w:val="auto"/>
        </w:rPr>
      </w:pPr>
      <w:r w:rsidRPr="00C8351C">
        <w:rPr>
          <w:color w:val="auto"/>
        </w:rPr>
        <w:t>Land Development Initiative 3: Economic Demand Forecasting that assesses demand for residential, commercial and industrial land associated with high economic growth scenarios within key industries to inform land supply planning.</w:t>
      </w:r>
    </w:p>
    <w:p w14:paraId="6C8D8F82" w14:textId="77777777" w:rsidR="00A65FE0" w:rsidRPr="00C8351C" w:rsidRDefault="00A65FE0">
      <w:pPr>
        <w:spacing w:before="0" w:after="160" w:line="259" w:lineRule="auto"/>
        <w:rPr>
          <w:color w:val="auto"/>
        </w:rPr>
      </w:pPr>
      <w:r w:rsidRPr="00C8351C">
        <w:rPr>
          <w:color w:val="auto"/>
        </w:rPr>
        <w:br w:type="page"/>
      </w:r>
    </w:p>
    <w:p w14:paraId="4FFD6800" w14:textId="4F26AFDA" w:rsidR="005A3A57" w:rsidRPr="005A3A57" w:rsidRDefault="00366EB7" w:rsidP="000B03B1">
      <w:pPr>
        <w:pStyle w:val="Heading2"/>
        <w:rPr>
          <w:sz w:val="36"/>
        </w:rPr>
      </w:pPr>
      <w:bookmarkStart w:id="21" w:name="_Toc224740256"/>
      <w:r>
        <w:lastRenderedPageBreak/>
        <w:t xml:space="preserve">Summary of density and </w:t>
      </w:r>
      <w:r w:rsidR="00AD2384">
        <w:t>other reforms</w:t>
      </w:r>
      <w:bookmarkEnd w:id="19"/>
      <w:bookmarkEnd w:id="20"/>
      <w:bookmarkEnd w:id="21"/>
    </w:p>
    <w:p w14:paraId="61029B09" w14:textId="7A55E86F" w:rsidR="00BA7BFF" w:rsidRDefault="00766745" w:rsidP="00FA75C6">
      <w:pPr>
        <w:spacing w:after="120" w:line="276" w:lineRule="auto"/>
      </w:pPr>
      <w:r>
        <w:t>Investigations are continuing in relation to further initiatives and reform mechanism</w:t>
      </w:r>
      <w:r w:rsidR="0036012A">
        <w:t>s</w:t>
      </w:r>
      <w:r w:rsidR="00C727FE">
        <w:t xml:space="preserve"> to increase densities.</w:t>
      </w:r>
    </w:p>
    <w:p w14:paraId="0A4E11F3" w14:textId="77777777" w:rsidR="00BA7BFF" w:rsidRDefault="00BA7BFF">
      <w:pPr>
        <w:spacing w:before="0" w:after="160" w:line="259" w:lineRule="auto"/>
      </w:pPr>
      <w: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5455D8" w14:paraId="389CBD4C" w14:textId="77777777" w:rsidTr="003074FE">
        <w:tc>
          <w:tcPr>
            <w:tcW w:w="5000" w:type="pct"/>
            <w:shd w:val="clear" w:color="auto" w:fill="CEDBE6" w:themeFill="background2"/>
            <w:hideMark/>
          </w:tcPr>
          <w:p w14:paraId="5B9556AD" w14:textId="3D0A77B9" w:rsidR="005455D8" w:rsidRDefault="005455D8" w:rsidP="005455D8">
            <w:pPr>
              <w:pStyle w:val="Heading1"/>
              <w:rPr>
                <w:lang w:eastAsia="en-US"/>
              </w:rPr>
            </w:pPr>
            <w:bookmarkStart w:id="22" w:name="_Toc168064964"/>
            <w:bookmarkStart w:id="23" w:name="_Toc168065275"/>
            <w:bookmarkStart w:id="24" w:name="_Toc224740257"/>
            <w:r>
              <w:rPr>
                <w:lang w:eastAsia="en-US"/>
              </w:rPr>
              <w:lastRenderedPageBreak/>
              <w:t>Measure 4</w:t>
            </w:r>
            <w:bookmarkEnd w:id="22"/>
            <w:bookmarkEnd w:id="23"/>
            <w:bookmarkEnd w:id="24"/>
          </w:p>
          <w:p w14:paraId="6678853F" w14:textId="539AF2D6" w:rsidR="005455D8" w:rsidRDefault="005455D8" w:rsidP="005455D8">
            <w:pPr>
              <w:pStyle w:val="Boxbullet"/>
              <w:numPr>
                <w:ilvl w:val="0"/>
                <w:numId w:val="0"/>
              </w:numPr>
            </w:pPr>
            <w:r w:rsidRPr="00694BF4">
              <w:rPr>
                <w:sz w:val="24"/>
                <w:szCs w:val="24"/>
              </w:rPr>
              <w:t>Planning Ministers will identify well-located ‘development ready’ land having appropriate regard to the protection of land with key attributes e.g. environmental or economic.</w:t>
            </w:r>
          </w:p>
        </w:tc>
      </w:tr>
    </w:tbl>
    <w:p w14:paraId="54FE259A" w14:textId="77777777" w:rsidR="00A07CC6" w:rsidRDefault="00A07CC6" w:rsidP="00A07CC6">
      <w:pPr>
        <w:pStyle w:val="Heading2"/>
      </w:pPr>
      <w:bookmarkStart w:id="25" w:name="_Toc160799704"/>
      <w:bookmarkStart w:id="26" w:name="_Toc168064965"/>
      <w:bookmarkStart w:id="27" w:name="_Toc168065276"/>
      <w:bookmarkStart w:id="28" w:name="_Toc224740258"/>
      <w:r>
        <w:t>Key findings from a development ready land stocktake</w:t>
      </w:r>
      <w:r w:rsidRPr="005D0B86">
        <w:rPr>
          <w:szCs w:val="40"/>
          <w:vertAlign w:val="superscript"/>
        </w:rPr>
        <w:footnoteReference w:id="2"/>
      </w:r>
      <w:bookmarkEnd w:id="25"/>
      <w:bookmarkEnd w:id="26"/>
      <w:bookmarkEnd w:id="27"/>
      <w:bookmarkEnd w:id="28"/>
    </w:p>
    <w:p w14:paraId="17736538" w14:textId="76C08DEA" w:rsidR="001F6319" w:rsidRPr="00C8351C" w:rsidRDefault="001F6319" w:rsidP="001F6319">
      <w:pPr>
        <w:spacing w:before="0"/>
        <w:rPr>
          <w:rFonts w:ascii="Calibri Light" w:hAnsi="Calibri Light" w:cs="Arial"/>
          <w:b/>
          <w:color w:val="auto"/>
          <w:kern w:val="32"/>
          <w:sz w:val="28"/>
          <w:szCs w:val="26"/>
        </w:rPr>
      </w:pPr>
      <w:r w:rsidRPr="00911C00">
        <w:rPr>
          <w:rFonts w:ascii="Calibri Light" w:hAnsi="Calibri Light" w:cs="Arial"/>
          <w:b/>
          <w:kern w:val="32"/>
          <w:sz w:val="28"/>
          <w:szCs w:val="26"/>
        </w:rPr>
        <w:t>Urban land supply</w:t>
      </w:r>
      <w:r>
        <w:rPr>
          <w:rFonts w:ascii="Calibri Light" w:hAnsi="Calibri Light" w:cs="Arial"/>
          <w:b/>
          <w:kern w:val="32"/>
          <w:sz w:val="28"/>
          <w:szCs w:val="26"/>
        </w:rPr>
        <w:br/>
      </w:r>
      <w:r w:rsidRPr="006C3A25">
        <w:rPr>
          <w:i/>
          <w:iCs/>
          <w:color w:val="2683C6" w:themeColor="accent6"/>
        </w:rPr>
        <w:t>Update:</w:t>
      </w:r>
      <w:r>
        <w:rPr>
          <w:i/>
          <w:iCs/>
        </w:rPr>
        <w:t xml:space="preserve"> </w:t>
      </w:r>
      <w:r w:rsidRPr="004C1402">
        <w:rPr>
          <w:i/>
          <w:iCs/>
        </w:rPr>
        <w:t>In progress</w:t>
      </w:r>
      <w:r>
        <w:rPr>
          <w:i/>
          <w:iCs/>
        </w:rPr>
        <w:t>| First reported in March 2024</w:t>
      </w:r>
      <w:r w:rsidR="00BA593A">
        <w:rPr>
          <w:i/>
          <w:iCs/>
        </w:rPr>
        <w:t xml:space="preserve"> / </w:t>
      </w:r>
      <w:r w:rsidR="00BA593A" w:rsidRPr="00C8351C">
        <w:rPr>
          <w:i/>
          <w:iCs/>
          <w:color w:val="auto"/>
        </w:rPr>
        <w:t xml:space="preserve">Updated </w:t>
      </w:r>
      <w:r w:rsidR="00AD297D" w:rsidRPr="00C8351C">
        <w:rPr>
          <w:i/>
          <w:iCs/>
          <w:color w:val="auto"/>
        </w:rPr>
        <w:t>September</w:t>
      </w:r>
      <w:r w:rsidR="00BA593A" w:rsidRPr="00C8351C">
        <w:rPr>
          <w:i/>
          <w:iCs/>
          <w:color w:val="auto"/>
        </w:rPr>
        <w:t xml:space="preserve"> 2025</w:t>
      </w:r>
    </w:p>
    <w:p w14:paraId="40FED81B" w14:textId="0292977C" w:rsidR="001F6319" w:rsidRPr="00C8351C" w:rsidRDefault="001F6319" w:rsidP="0009344B">
      <w:pPr>
        <w:spacing w:after="120" w:line="276" w:lineRule="auto"/>
        <w:rPr>
          <w:color w:val="auto"/>
        </w:rPr>
      </w:pPr>
      <w:r w:rsidRPr="00C8351C">
        <w:rPr>
          <w:color w:val="auto"/>
        </w:rPr>
        <w:t xml:space="preserve">The </w:t>
      </w:r>
      <w:r w:rsidR="00BA593A" w:rsidRPr="00C8351C">
        <w:rPr>
          <w:color w:val="auto"/>
        </w:rPr>
        <w:t>NT’s</w:t>
      </w:r>
      <w:r w:rsidR="00F05FC7" w:rsidRPr="00C8351C">
        <w:rPr>
          <w:color w:val="auto"/>
        </w:rPr>
        <w:t xml:space="preserve"> </w:t>
      </w:r>
      <w:r w:rsidR="000618AC" w:rsidRPr="00C8351C">
        <w:rPr>
          <w:color w:val="auto"/>
        </w:rPr>
        <w:t>land supply pipeline</w:t>
      </w:r>
      <w:r w:rsidR="00601F1D" w:rsidRPr="00C8351C">
        <w:rPr>
          <w:color w:val="auto"/>
        </w:rPr>
        <w:t xml:space="preserve"> </w:t>
      </w:r>
      <w:r w:rsidRPr="00C8351C">
        <w:rPr>
          <w:color w:val="auto"/>
        </w:rPr>
        <w:t>identifies development</w:t>
      </w:r>
      <w:r w:rsidR="004B60F2" w:rsidRPr="00C8351C">
        <w:rPr>
          <w:color w:val="auto"/>
        </w:rPr>
        <w:t>-</w:t>
      </w:r>
      <w:r w:rsidRPr="00C8351C">
        <w:rPr>
          <w:color w:val="auto"/>
        </w:rPr>
        <w:t>ready land as ‘Land Under Development’</w:t>
      </w:r>
      <w:r w:rsidR="00C76769" w:rsidRPr="00C8351C">
        <w:rPr>
          <w:color w:val="auto"/>
        </w:rPr>
        <w:t xml:space="preserve">. This refers to land held by developers </w:t>
      </w:r>
      <w:r w:rsidR="00665BDA" w:rsidRPr="00C8351C">
        <w:rPr>
          <w:color w:val="auto"/>
        </w:rPr>
        <w:t xml:space="preserve">where </w:t>
      </w:r>
      <w:r w:rsidRPr="00C8351C">
        <w:rPr>
          <w:color w:val="auto"/>
        </w:rPr>
        <w:t>reticulated infrastructure service</w:t>
      </w:r>
      <w:r w:rsidR="00C76769" w:rsidRPr="00C8351C">
        <w:rPr>
          <w:color w:val="auto"/>
        </w:rPr>
        <w:t>s</w:t>
      </w:r>
      <w:r w:rsidRPr="00C8351C">
        <w:rPr>
          <w:color w:val="auto"/>
        </w:rPr>
        <w:t xml:space="preserve"> </w:t>
      </w:r>
      <w:r w:rsidR="00C76769" w:rsidRPr="00C8351C">
        <w:rPr>
          <w:color w:val="auto"/>
        </w:rPr>
        <w:t xml:space="preserve">are </w:t>
      </w:r>
      <w:r w:rsidRPr="00C8351C">
        <w:rPr>
          <w:color w:val="auto"/>
        </w:rPr>
        <w:t xml:space="preserve">to be provided through the subdivision development process to </w:t>
      </w:r>
      <w:r w:rsidR="00C76769" w:rsidRPr="00C8351C">
        <w:rPr>
          <w:color w:val="auto"/>
        </w:rPr>
        <w:t>deliver titled lots</w:t>
      </w:r>
      <w:r w:rsidRPr="00C8351C">
        <w:rPr>
          <w:color w:val="auto"/>
        </w:rPr>
        <w:t xml:space="preserve"> to market in Greater Darwin, </w:t>
      </w:r>
      <w:r w:rsidR="00104706" w:rsidRPr="00C8351C">
        <w:rPr>
          <w:color w:val="auto"/>
        </w:rPr>
        <w:br/>
      </w:r>
      <w:r w:rsidRPr="00C8351C">
        <w:rPr>
          <w:color w:val="auto"/>
        </w:rPr>
        <w:t>Alice Springs, Katherine and Tennant Creek.</w:t>
      </w:r>
    </w:p>
    <w:p w14:paraId="0BB55795" w14:textId="77777777" w:rsidR="001F6319" w:rsidRPr="009A2791" w:rsidRDefault="001F6319" w:rsidP="0009344B">
      <w:pPr>
        <w:spacing w:after="120"/>
      </w:pPr>
      <w:r w:rsidRPr="009A2791">
        <w:t>The below table identifies:</w:t>
      </w:r>
    </w:p>
    <w:p w14:paraId="46EDA574" w14:textId="77777777" w:rsidR="001F6319" w:rsidRPr="009A2791" w:rsidRDefault="001F6319" w:rsidP="0009344B">
      <w:pPr>
        <w:pStyle w:val="Bullet"/>
        <w:spacing w:before="240" w:after="120" w:line="240" w:lineRule="auto"/>
      </w:pPr>
      <w:r w:rsidRPr="009A2791">
        <w:t>estimated number of lots and dwellings within Land Under Development for new development areas;</w:t>
      </w:r>
    </w:p>
    <w:p w14:paraId="2E8E5F6B" w14:textId="6C64DBB8" w:rsidR="001F6319" w:rsidRPr="009A2791" w:rsidRDefault="001F6319" w:rsidP="00AC4F8A">
      <w:pPr>
        <w:pStyle w:val="Bullet"/>
        <w:spacing w:before="240" w:after="120" w:line="240" w:lineRule="auto"/>
      </w:pPr>
      <w:r w:rsidRPr="009A2791">
        <w:t>infill opportunities identified in Area Plans that have current development approvals in place;</w:t>
      </w:r>
      <w:r w:rsidR="003C2CD6">
        <w:t xml:space="preserve"> and </w:t>
      </w:r>
      <w:r w:rsidRPr="009A2791">
        <w:t>vacant undeveloped lots within existing developed urban centres with infrastructure capacity; and</w:t>
      </w:r>
    </w:p>
    <w:p w14:paraId="26EF6856" w14:textId="77777777" w:rsidR="001F6319" w:rsidRDefault="001F6319" w:rsidP="0009344B">
      <w:pPr>
        <w:pStyle w:val="Bullet"/>
        <w:spacing w:before="240" w:after="120" w:line="240" w:lineRule="auto"/>
      </w:pPr>
      <w:r w:rsidRPr="009A2791">
        <w:t>an estimated supply timeframe based on each urban centre’s 10-year average dwelling take-up rate.</w:t>
      </w:r>
    </w:p>
    <w:p w14:paraId="49826443" w14:textId="7DF08470" w:rsidR="001F6319" w:rsidRPr="00492895" w:rsidRDefault="001F6319" w:rsidP="001F6319">
      <w:pPr>
        <w:pStyle w:val="Bullet"/>
        <w:numPr>
          <w:ilvl w:val="0"/>
          <w:numId w:val="0"/>
        </w:numPr>
        <w:rPr>
          <w:rStyle w:val="Strong"/>
        </w:rPr>
      </w:pPr>
      <w:r w:rsidRPr="00492895">
        <w:rPr>
          <w:rStyle w:val="Strong"/>
        </w:rPr>
        <w:t xml:space="preserve">Table 1 – Estimated dwellings in infill and </w:t>
      </w:r>
      <w:r w:rsidR="00954C9C">
        <w:rPr>
          <w:rStyle w:val="Strong"/>
        </w:rPr>
        <w:t>L</w:t>
      </w:r>
      <w:r w:rsidR="00954C9C" w:rsidRPr="00492895">
        <w:rPr>
          <w:rStyle w:val="Strong"/>
        </w:rPr>
        <w:t xml:space="preserve">and </w:t>
      </w:r>
      <w:r w:rsidR="00954C9C">
        <w:rPr>
          <w:rStyle w:val="Strong"/>
        </w:rPr>
        <w:t>U</w:t>
      </w:r>
      <w:r w:rsidR="00954C9C" w:rsidRPr="00492895">
        <w:rPr>
          <w:rStyle w:val="Strong"/>
        </w:rPr>
        <w:t xml:space="preserve">nder </w:t>
      </w:r>
      <w:r w:rsidR="00954C9C">
        <w:rPr>
          <w:rStyle w:val="Strong"/>
        </w:rPr>
        <w:t>D</w:t>
      </w:r>
      <w:r w:rsidR="00954C9C" w:rsidRPr="00492895">
        <w:rPr>
          <w:rStyle w:val="Strong"/>
        </w:rPr>
        <w:t>evelopment</w:t>
      </w:r>
    </w:p>
    <w:tbl>
      <w:tblPr>
        <w:tblW w:w="5000" w:type="pct"/>
        <w:tblLook w:val="01E0" w:firstRow="1" w:lastRow="1" w:firstColumn="1" w:lastColumn="1" w:noHBand="0" w:noVBand="0"/>
      </w:tblPr>
      <w:tblGrid>
        <w:gridCol w:w="2267"/>
        <w:gridCol w:w="2267"/>
        <w:gridCol w:w="2268"/>
        <w:gridCol w:w="2268"/>
      </w:tblGrid>
      <w:tr w:rsidR="006E36C6" w:rsidRPr="006E36C6" w14:paraId="64D5CE0C" w14:textId="77777777" w:rsidTr="004D3B0E">
        <w:trPr>
          <w:trHeight w:val="270"/>
          <w:tblHeader/>
        </w:trPr>
        <w:tc>
          <w:tcPr>
            <w:tcW w:w="1250" w:type="pct"/>
            <w:vMerge w:val="restart"/>
            <w:shd w:val="clear" w:color="auto" w:fill="E5E5E5"/>
          </w:tcPr>
          <w:p w14:paraId="22597446" w14:textId="77777777" w:rsidR="00BA593A" w:rsidRPr="006E36C6" w:rsidRDefault="00BA593A" w:rsidP="004D3B0E">
            <w:pPr>
              <w:pStyle w:val="TableTextLeft"/>
              <w:rPr>
                <w:b/>
                <w:bCs/>
              </w:rPr>
            </w:pPr>
            <w:bookmarkStart w:id="29" w:name="_Hlk197067762"/>
            <w:r w:rsidRPr="006E36C6">
              <w:rPr>
                <w:b/>
                <w:bCs/>
              </w:rPr>
              <w:t>Region</w:t>
            </w:r>
          </w:p>
        </w:tc>
        <w:tc>
          <w:tcPr>
            <w:tcW w:w="2500" w:type="pct"/>
            <w:gridSpan w:val="2"/>
            <w:shd w:val="clear" w:color="auto" w:fill="E5E5E5"/>
          </w:tcPr>
          <w:p w14:paraId="5CCE7679" w14:textId="77777777" w:rsidR="00BA593A" w:rsidRPr="006E36C6" w:rsidRDefault="00BA593A" w:rsidP="004D3B0E">
            <w:pPr>
              <w:pStyle w:val="TableTextLeft"/>
              <w:rPr>
                <w:b/>
                <w:bCs/>
              </w:rPr>
            </w:pPr>
            <w:r w:rsidRPr="006E36C6">
              <w:rPr>
                <w:b/>
                <w:bCs/>
              </w:rPr>
              <w:t>Estimated Dwellings, including Attached</w:t>
            </w:r>
          </w:p>
        </w:tc>
        <w:tc>
          <w:tcPr>
            <w:tcW w:w="1250" w:type="pct"/>
            <w:vMerge w:val="restart"/>
            <w:shd w:val="clear" w:color="auto" w:fill="E5E5E5"/>
          </w:tcPr>
          <w:p w14:paraId="77A3E003" w14:textId="77777777" w:rsidR="00BA593A" w:rsidRPr="006E36C6" w:rsidRDefault="00BA593A" w:rsidP="004D3B0E">
            <w:pPr>
              <w:pStyle w:val="TableTextLeft"/>
              <w:rPr>
                <w:b/>
                <w:bCs/>
              </w:rPr>
            </w:pPr>
            <w:r w:rsidRPr="006E36C6">
              <w:rPr>
                <w:b/>
                <w:bCs/>
              </w:rPr>
              <w:t>Estimated Years of Supply</w:t>
            </w:r>
          </w:p>
        </w:tc>
      </w:tr>
      <w:tr w:rsidR="006E36C6" w:rsidRPr="006E36C6" w14:paraId="2120315C" w14:textId="77777777" w:rsidTr="004D3B0E">
        <w:trPr>
          <w:trHeight w:val="270"/>
        </w:trPr>
        <w:tc>
          <w:tcPr>
            <w:tcW w:w="1250" w:type="pct"/>
            <w:vMerge/>
          </w:tcPr>
          <w:p w14:paraId="794E7F0B" w14:textId="77777777" w:rsidR="00BA593A" w:rsidRPr="006E36C6" w:rsidRDefault="00BA593A" w:rsidP="004D3B0E">
            <w:pPr>
              <w:pStyle w:val="TableTextLeft"/>
              <w:rPr>
                <w:b/>
                <w:bCs/>
              </w:rPr>
            </w:pPr>
          </w:p>
        </w:tc>
        <w:tc>
          <w:tcPr>
            <w:tcW w:w="1250" w:type="pct"/>
            <w:shd w:val="clear" w:color="auto" w:fill="E4E7E8" w:themeFill="accent4" w:themeFillTint="33"/>
          </w:tcPr>
          <w:p w14:paraId="536CBD49" w14:textId="77777777" w:rsidR="00BA593A" w:rsidRPr="006E36C6" w:rsidRDefault="00BA593A" w:rsidP="004D3B0E">
            <w:pPr>
              <w:pStyle w:val="TableTextLeft"/>
              <w:rPr>
                <w:b/>
                <w:bCs/>
                <w:i/>
                <w:iCs/>
              </w:rPr>
            </w:pPr>
            <w:r w:rsidRPr="006E36C6">
              <w:rPr>
                <w:b/>
                <w:bCs/>
                <w:i/>
                <w:iCs/>
              </w:rPr>
              <w:t>Land Under Development</w:t>
            </w:r>
          </w:p>
        </w:tc>
        <w:tc>
          <w:tcPr>
            <w:tcW w:w="1250" w:type="pct"/>
            <w:shd w:val="clear" w:color="auto" w:fill="E4E7E8" w:themeFill="accent4" w:themeFillTint="33"/>
          </w:tcPr>
          <w:p w14:paraId="0DA66FC4" w14:textId="77777777" w:rsidR="00BA593A" w:rsidRPr="006E36C6" w:rsidRDefault="00BA593A" w:rsidP="004D3B0E">
            <w:pPr>
              <w:pStyle w:val="TableTextLeft"/>
              <w:rPr>
                <w:b/>
                <w:bCs/>
                <w:i/>
                <w:iCs/>
              </w:rPr>
            </w:pPr>
            <w:r w:rsidRPr="006E36C6">
              <w:rPr>
                <w:b/>
                <w:bCs/>
                <w:i/>
                <w:iCs/>
              </w:rPr>
              <w:t>Infill opportunities and vacant land</w:t>
            </w:r>
          </w:p>
        </w:tc>
        <w:tc>
          <w:tcPr>
            <w:tcW w:w="1250" w:type="pct"/>
            <w:vMerge/>
          </w:tcPr>
          <w:p w14:paraId="451A684D" w14:textId="77777777" w:rsidR="00BA593A" w:rsidRPr="006E36C6" w:rsidRDefault="00BA593A" w:rsidP="004D3B0E">
            <w:pPr>
              <w:pStyle w:val="TableTextLeft"/>
            </w:pPr>
          </w:p>
        </w:tc>
      </w:tr>
      <w:tr w:rsidR="00C8351C" w:rsidRPr="00C8351C" w14:paraId="1B8705B0" w14:textId="77777777" w:rsidTr="004D3B0E">
        <w:trPr>
          <w:trHeight w:val="270"/>
        </w:trPr>
        <w:tc>
          <w:tcPr>
            <w:tcW w:w="1250" w:type="pct"/>
          </w:tcPr>
          <w:p w14:paraId="6B1252A9" w14:textId="77777777" w:rsidR="00BA593A" w:rsidRPr="00C8351C" w:rsidRDefault="00BA593A" w:rsidP="004D3B0E">
            <w:pPr>
              <w:pStyle w:val="TableTextLeft"/>
            </w:pPr>
            <w:r w:rsidRPr="00C8351C">
              <w:t>Greater Darwin</w:t>
            </w:r>
          </w:p>
        </w:tc>
        <w:tc>
          <w:tcPr>
            <w:tcW w:w="1250" w:type="pct"/>
          </w:tcPr>
          <w:p w14:paraId="38FA1F19" w14:textId="02C451B8" w:rsidR="00BA593A" w:rsidRPr="00C8351C" w:rsidRDefault="00BA593A" w:rsidP="004D3B0E">
            <w:pPr>
              <w:pStyle w:val="TableTextLeft"/>
            </w:pPr>
            <w:r w:rsidRPr="00C8351C">
              <w:t>4</w:t>
            </w:r>
            <w:r w:rsidR="00104706" w:rsidRPr="00C8351C">
              <w:t>,</w:t>
            </w:r>
            <w:r w:rsidR="00AD297D" w:rsidRPr="00C8351C">
              <w:t>515</w:t>
            </w:r>
          </w:p>
        </w:tc>
        <w:tc>
          <w:tcPr>
            <w:tcW w:w="1250" w:type="pct"/>
          </w:tcPr>
          <w:p w14:paraId="6E87C5BD" w14:textId="7D9947C3" w:rsidR="00BA593A" w:rsidRPr="00C8351C" w:rsidRDefault="00BA593A" w:rsidP="004D3B0E">
            <w:pPr>
              <w:pStyle w:val="TableTextLeft"/>
            </w:pPr>
            <w:r w:rsidRPr="00C8351C">
              <w:t>1</w:t>
            </w:r>
            <w:r w:rsidR="00104706" w:rsidRPr="00C8351C">
              <w:t>,</w:t>
            </w:r>
            <w:r w:rsidR="00AD297D" w:rsidRPr="00C8351C">
              <w:t>719</w:t>
            </w:r>
          </w:p>
        </w:tc>
        <w:tc>
          <w:tcPr>
            <w:tcW w:w="1250" w:type="pct"/>
          </w:tcPr>
          <w:p w14:paraId="69B9E4AF" w14:textId="17FF53BF" w:rsidR="00BA593A" w:rsidRPr="00C8351C" w:rsidRDefault="00BA593A" w:rsidP="004D3B0E">
            <w:pPr>
              <w:pStyle w:val="TableTextLeft"/>
            </w:pPr>
            <w:r w:rsidRPr="00C8351C">
              <w:t>1</w:t>
            </w:r>
            <w:r w:rsidR="00AD297D" w:rsidRPr="00C8351C">
              <w:t>0</w:t>
            </w:r>
            <w:r w:rsidRPr="00C8351C">
              <w:t xml:space="preserve"> years</w:t>
            </w:r>
          </w:p>
        </w:tc>
      </w:tr>
      <w:tr w:rsidR="00C8351C" w:rsidRPr="00C8351C" w14:paraId="609FA056" w14:textId="77777777" w:rsidTr="004D3B0E">
        <w:trPr>
          <w:trHeight w:val="270"/>
        </w:trPr>
        <w:tc>
          <w:tcPr>
            <w:tcW w:w="1250" w:type="pct"/>
          </w:tcPr>
          <w:p w14:paraId="25F1EAEF" w14:textId="77777777" w:rsidR="00BA593A" w:rsidRPr="00C8351C" w:rsidRDefault="00BA593A" w:rsidP="004D3B0E">
            <w:pPr>
              <w:pStyle w:val="TableTextLeft"/>
            </w:pPr>
            <w:r w:rsidRPr="00C8351C">
              <w:t xml:space="preserve">Katherine </w:t>
            </w:r>
          </w:p>
        </w:tc>
        <w:tc>
          <w:tcPr>
            <w:tcW w:w="1250" w:type="pct"/>
          </w:tcPr>
          <w:p w14:paraId="4CCE9CEE" w14:textId="393C73F2" w:rsidR="00BA593A" w:rsidRPr="00C8351C" w:rsidRDefault="00BA593A" w:rsidP="004D3B0E">
            <w:pPr>
              <w:pStyle w:val="TableTextLeft"/>
            </w:pPr>
            <w:r w:rsidRPr="00C8351C">
              <w:t>6</w:t>
            </w:r>
            <w:r w:rsidR="00AD297D" w:rsidRPr="00C8351C">
              <w:t>5</w:t>
            </w:r>
          </w:p>
        </w:tc>
        <w:tc>
          <w:tcPr>
            <w:tcW w:w="1250" w:type="pct"/>
          </w:tcPr>
          <w:p w14:paraId="2D672297" w14:textId="5F38CF2C" w:rsidR="00BA593A" w:rsidRPr="00C8351C" w:rsidRDefault="00BA593A" w:rsidP="004D3B0E">
            <w:pPr>
              <w:pStyle w:val="TableTextLeft"/>
            </w:pPr>
            <w:r w:rsidRPr="00C8351C">
              <w:t>1</w:t>
            </w:r>
            <w:r w:rsidR="00AD297D" w:rsidRPr="00C8351C">
              <w:t>32</w:t>
            </w:r>
          </w:p>
        </w:tc>
        <w:tc>
          <w:tcPr>
            <w:tcW w:w="1250" w:type="pct"/>
          </w:tcPr>
          <w:p w14:paraId="68A6C34F" w14:textId="4CCA2A44" w:rsidR="00BA593A" w:rsidRPr="00C8351C" w:rsidRDefault="00AD297D" w:rsidP="004D3B0E">
            <w:pPr>
              <w:pStyle w:val="TableTextLeft"/>
            </w:pPr>
            <w:r w:rsidRPr="00C8351C">
              <w:t>9</w:t>
            </w:r>
            <w:r w:rsidR="00BA593A" w:rsidRPr="00C8351C">
              <w:t xml:space="preserve"> years</w:t>
            </w:r>
          </w:p>
        </w:tc>
      </w:tr>
      <w:tr w:rsidR="00C8351C" w:rsidRPr="00C8351C" w14:paraId="3E9A49CB" w14:textId="77777777" w:rsidTr="004D3B0E">
        <w:trPr>
          <w:trHeight w:val="270"/>
        </w:trPr>
        <w:tc>
          <w:tcPr>
            <w:tcW w:w="1250" w:type="pct"/>
          </w:tcPr>
          <w:p w14:paraId="66D6FFFF" w14:textId="77777777" w:rsidR="00BA593A" w:rsidRPr="00C8351C" w:rsidRDefault="00BA593A" w:rsidP="004D3B0E">
            <w:pPr>
              <w:pStyle w:val="TableTextLeft"/>
            </w:pPr>
            <w:r w:rsidRPr="00C8351C">
              <w:t xml:space="preserve">Tennant Creek </w:t>
            </w:r>
          </w:p>
        </w:tc>
        <w:tc>
          <w:tcPr>
            <w:tcW w:w="1250" w:type="pct"/>
          </w:tcPr>
          <w:p w14:paraId="6127C408" w14:textId="77777777" w:rsidR="00BA593A" w:rsidRPr="00C8351C" w:rsidRDefault="00BA593A" w:rsidP="004D3B0E">
            <w:pPr>
              <w:pStyle w:val="TableTextLeft"/>
            </w:pPr>
            <w:r w:rsidRPr="00C8351C">
              <w:t>34</w:t>
            </w:r>
          </w:p>
        </w:tc>
        <w:tc>
          <w:tcPr>
            <w:tcW w:w="1250" w:type="pct"/>
          </w:tcPr>
          <w:p w14:paraId="4D986469" w14:textId="7C2A84E5" w:rsidR="00BA593A" w:rsidRPr="00C8351C" w:rsidRDefault="00BA593A" w:rsidP="004D3B0E">
            <w:pPr>
              <w:pStyle w:val="TableTextLeft"/>
            </w:pPr>
            <w:r w:rsidRPr="00C8351C">
              <w:t>1</w:t>
            </w:r>
            <w:r w:rsidR="00AD297D" w:rsidRPr="00C8351C">
              <w:t>17</w:t>
            </w:r>
          </w:p>
        </w:tc>
        <w:tc>
          <w:tcPr>
            <w:tcW w:w="1250" w:type="pct"/>
          </w:tcPr>
          <w:p w14:paraId="6A50F37F" w14:textId="063940FA" w:rsidR="00BA593A" w:rsidRPr="00C8351C" w:rsidRDefault="00BA593A" w:rsidP="004D3B0E">
            <w:pPr>
              <w:pStyle w:val="TableTextLeft"/>
            </w:pPr>
            <w:r w:rsidRPr="00C8351C">
              <w:t>2</w:t>
            </w:r>
            <w:r w:rsidR="00AD297D" w:rsidRPr="00C8351C">
              <w:t>5</w:t>
            </w:r>
            <w:r w:rsidRPr="00C8351C">
              <w:t xml:space="preserve"> years</w:t>
            </w:r>
          </w:p>
        </w:tc>
      </w:tr>
      <w:tr w:rsidR="00C8351C" w:rsidRPr="00C8351C" w14:paraId="3B13B537" w14:textId="77777777" w:rsidTr="004D3B0E">
        <w:trPr>
          <w:trHeight w:val="270"/>
        </w:trPr>
        <w:tc>
          <w:tcPr>
            <w:tcW w:w="1250" w:type="pct"/>
          </w:tcPr>
          <w:p w14:paraId="400DD7D9" w14:textId="77777777" w:rsidR="00BA593A" w:rsidRPr="00C8351C" w:rsidRDefault="00BA593A" w:rsidP="004D3B0E">
            <w:pPr>
              <w:pStyle w:val="TableTextLeft"/>
            </w:pPr>
            <w:r w:rsidRPr="00C8351C">
              <w:t xml:space="preserve">Alice Springs </w:t>
            </w:r>
          </w:p>
        </w:tc>
        <w:tc>
          <w:tcPr>
            <w:tcW w:w="1250" w:type="pct"/>
          </w:tcPr>
          <w:p w14:paraId="6E1E7745" w14:textId="5D7E6CFE" w:rsidR="00BA593A" w:rsidRPr="00C8351C" w:rsidRDefault="00AD297D" w:rsidP="004D3B0E">
            <w:pPr>
              <w:pStyle w:val="TableTextLeft"/>
            </w:pPr>
            <w:r w:rsidRPr="00C8351C">
              <w:t>239</w:t>
            </w:r>
          </w:p>
        </w:tc>
        <w:tc>
          <w:tcPr>
            <w:tcW w:w="1250" w:type="pct"/>
          </w:tcPr>
          <w:p w14:paraId="21D2914C" w14:textId="562832A0" w:rsidR="00BA593A" w:rsidRPr="00C8351C" w:rsidRDefault="00AD297D" w:rsidP="004D3B0E">
            <w:pPr>
              <w:pStyle w:val="TableTextLeft"/>
            </w:pPr>
            <w:r w:rsidRPr="00C8351C">
              <w:t>99</w:t>
            </w:r>
          </w:p>
        </w:tc>
        <w:tc>
          <w:tcPr>
            <w:tcW w:w="1250" w:type="pct"/>
          </w:tcPr>
          <w:p w14:paraId="261CD492" w14:textId="5F2B029C" w:rsidR="00BA593A" w:rsidRPr="00C8351C" w:rsidRDefault="00AD297D" w:rsidP="004D3B0E">
            <w:pPr>
              <w:pStyle w:val="TableTextLeft"/>
            </w:pPr>
            <w:r w:rsidRPr="00C8351C">
              <w:t>8</w:t>
            </w:r>
            <w:r w:rsidR="00BA593A" w:rsidRPr="00C8351C">
              <w:t xml:space="preserve"> years</w:t>
            </w:r>
          </w:p>
        </w:tc>
      </w:tr>
      <w:tr w:rsidR="00C8351C" w:rsidRPr="00C8351C" w14:paraId="7137305F" w14:textId="77777777" w:rsidTr="004D3B0E">
        <w:trPr>
          <w:trHeight w:val="270"/>
        </w:trPr>
        <w:tc>
          <w:tcPr>
            <w:tcW w:w="1250" w:type="pct"/>
          </w:tcPr>
          <w:p w14:paraId="7E1BC017" w14:textId="77777777" w:rsidR="00BA593A" w:rsidRPr="00C8351C" w:rsidRDefault="00BA593A" w:rsidP="004D3B0E">
            <w:pPr>
              <w:pStyle w:val="TableTextLeft"/>
              <w:rPr>
                <w:b/>
                <w:bCs/>
              </w:rPr>
            </w:pPr>
            <w:r w:rsidRPr="00C8351C">
              <w:rPr>
                <w:b/>
                <w:bCs/>
              </w:rPr>
              <w:t>Total</w:t>
            </w:r>
          </w:p>
        </w:tc>
        <w:tc>
          <w:tcPr>
            <w:tcW w:w="1250" w:type="pct"/>
          </w:tcPr>
          <w:p w14:paraId="09A52CA4" w14:textId="407FB03F" w:rsidR="00BA593A" w:rsidRPr="00C8351C" w:rsidRDefault="00AD297D" w:rsidP="004D3B0E">
            <w:pPr>
              <w:pStyle w:val="TableTextLeft"/>
              <w:rPr>
                <w:b/>
                <w:bCs/>
              </w:rPr>
            </w:pPr>
            <w:r w:rsidRPr="00C8351C">
              <w:rPr>
                <w:b/>
                <w:bCs/>
              </w:rPr>
              <w:t>4</w:t>
            </w:r>
            <w:r w:rsidR="00104706" w:rsidRPr="00C8351C">
              <w:rPr>
                <w:b/>
                <w:bCs/>
              </w:rPr>
              <w:t>,</w:t>
            </w:r>
            <w:r w:rsidRPr="00C8351C">
              <w:rPr>
                <w:b/>
                <w:bCs/>
              </w:rPr>
              <w:t>853</w:t>
            </w:r>
          </w:p>
        </w:tc>
        <w:tc>
          <w:tcPr>
            <w:tcW w:w="1250" w:type="pct"/>
          </w:tcPr>
          <w:p w14:paraId="20AE53D7" w14:textId="7C6303BD" w:rsidR="00BA593A" w:rsidRPr="00C8351C" w:rsidRDefault="00BA593A" w:rsidP="004D3B0E">
            <w:pPr>
              <w:pStyle w:val="TableTextLeft"/>
              <w:rPr>
                <w:b/>
                <w:bCs/>
              </w:rPr>
            </w:pPr>
            <w:r w:rsidRPr="00C8351C">
              <w:rPr>
                <w:b/>
                <w:bCs/>
              </w:rPr>
              <w:t>2</w:t>
            </w:r>
            <w:r w:rsidR="00104706" w:rsidRPr="00C8351C">
              <w:rPr>
                <w:b/>
                <w:bCs/>
              </w:rPr>
              <w:t>,</w:t>
            </w:r>
            <w:r w:rsidR="00AD297D" w:rsidRPr="00C8351C">
              <w:rPr>
                <w:b/>
                <w:bCs/>
              </w:rPr>
              <w:t>067</w:t>
            </w:r>
          </w:p>
        </w:tc>
        <w:tc>
          <w:tcPr>
            <w:tcW w:w="1250" w:type="pct"/>
          </w:tcPr>
          <w:p w14:paraId="5AD324CA" w14:textId="77777777" w:rsidR="00BA593A" w:rsidRPr="00C8351C" w:rsidRDefault="00BA593A" w:rsidP="004D3B0E">
            <w:pPr>
              <w:pStyle w:val="TableTextLeft"/>
            </w:pPr>
            <w:r w:rsidRPr="00C8351C">
              <w:t xml:space="preserve"> </w:t>
            </w:r>
          </w:p>
        </w:tc>
      </w:tr>
    </w:tbl>
    <w:p w14:paraId="41024A3E" w14:textId="77777777" w:rsidR="001F6319" w:rsidRDefault="001F6319" w:rsidP="001F6319">
      <w:pPr>
        <w:rPr>
          <w:rFonts w:ascii="Calibri Light" w:hAnsi="Calibri Light" w:cs="Arial"/>
          <w:b/>
          <w:kern w:val="32"/>
          <w:sz w:val="28"/>
          <w:szCs w:val="26"/>
        </w:rPr>
      </w:pPr>
      <w:r w:rsidRPr="007E22E1">
        <w:rPr>
          <w:rFonts w:ascii="Calibri Light" w:hAnsi="Calibri Light" w:cs="Arial"/>
          <w:b/>
          <w:kern w:val="32"/>
          <w:sz w:val="28"/>
          <w:szCs w:val="26"/>
        </w:rPr>
        <w:lastRenderedPageBreak/>
        <w:t>Social and affordable housing</w:t>
      </w:r>
    </w:p>
    <w:p w14:paraId="5F3630B8" w14:textId="0D30DF6F" w:rsidR="00B66E82" w:rsidRPr="00C8351C" w:rsidRDefault="00B66E82" w:rsidP="00B66E82">
      <w:pPr>
        <w:spacing w:before="0"/>
        <w:rPr>
          <w:rFonts w:ascii="Calibri Light" w:hAnsi="Calibri Light" w:cs="Arial"/>
          <w:b/>
          <w:color w:val="auto"/>
          <w:kern w:val="32"/>
          <w:sz w:val="28"/>
          <w:szCs w:val="26"/>
        </w:rPr>
      </w:pPr>
      <w:r w:rsidRPr="006C3A25">
        <w:rPr>
          <w:i/>
          <w:iCs/>
          <w:color w:val="2683C6" w:themeColor="accent6"/>
        </w:rPr>
        <w:t>Update:</w:t>
      </w:r>
      <w:r>
        <w:rPr>
          <w:i/>
          <w:iCs/>
        </w:rPr>
        <w:t xml:space="preserve"> </w:t>
      </w:r>
      <w:r w:rsidRPr="004C1402">
        <w:rPr>
          <w:i/>
          <w:iCs/>
        </w:rPr>
        <w:t>In progress</w:t>
      </w:r>
      <w:r>
        <w:rPr>
          <w:i/>
          <w:iCs/>
        </w:rPr>
        <w:t xml:space="preserve">| First reported </w:t>
      </w:r>
      <w:r w:rsidRPr="006E36C6">
        <w:rPr>
          <w:i/>
          <w:iCs/>
          <w:color w:val="auto"/>
        </w:rPr>
        <w:t xml:space="preserve">in March 2024 / </w:t>
      </w:r>
      <w:r w:rsidRPr="00C8351C">
        <w:rPr>
          <w:i/>
          <w:iCs/>
          <w:color w:val="auto"/>
        </w:rPr>
        <w:t xml:space="preserve">Updated </w:t>
      </w:r>
      <w:r w:rsidR="00732B4C" w:rsidRPr="00C8351C">
        <w:rPr>
          <w:i/>
          <w:iCs/>
          <w:color w:val="auto"/>
        </w:rPr>
        <w:t>September</w:t>
      </w:r>
      <w:r w:rsidRPr="00C8351C">
        <w:rPr>
          <w:i/>
          <w:iCs/>
          <w:color w:val="auto"/>
        </w:rPr>
        <w:t xml:space="preserve"> 2025 </w:t>
      </w:r>
    </w:p>
    <w:p w14:paraId="0FE6FC40" w14:textId="34932E14" w:rsidR="001F6319" w:rsidRPr="00C8351C" w:rsidRDefault="001F6319" w:rsidP="0009344B">
      <w:pPr>
        <w:spacing w:after="120" w:line="276" w:lineRule="auto"/>
        <w:rPr>
          <w:bCs/>
          <w:color w:val="auto"/>
        </w:rPr>
      </w:pPr>
      <w:r w:rsidRPr="00C8351C">
        <w:rPr>
          <w:bCs/>
          <w:color w:val="auto"/>
        </w:rPr>
        <w:t xml:space="preserve">Across the NT’s 4 major centres (Greater Darwin, Alice Springs, Katherine and Tennant Creek) the </w:t>
      </w:r>
      <w:r w:rsidR="006C052B" w:rsidRPr="00C8351C">
        <w:rPr>
          <w:bCs/>
          <w:color w:val="auto"/>
        </w:rPr>
        <w:br/>
      </w:r>
      <w:r w:rsidRPr="00C8351C">
        <w:rPr>
          <w:bCs/>
          <w:color w:val="auto"/>
        </w:rPr>
        <w:t>NT Government has identified land holdings that will be utilised to deliver up to 100 new social housing dwellings under the Social Housing Accelerator</w:t>
      </w:r>
      <w:r w:rsidR="005C2F1F" w:rsidRPr="00C8351C">
        <w:rPr>
          <w:bCs/>
          <w:color w:val="auto"/>
        </w:rPr>
        <w:t xml:space="preserve"> Program</w:t>
      </w:r>
      <w:r w:rsidRPr="00C8351C">
        <w:rPr>
          <w:bCs/>
          <w:color w:val="auto"/>
        </w:rPr>
        <w:t xml:space="preserve">. </w:t>
      </w:r>
    </w:p>
    <w:p w14:paraId="2B257CF4" w14:textId="75D05B45" w:rsidR="004659E3" w:rsidRPr="00C8351C" w:rsidRDefault="004659E3" w:rsidP="0009344B">
      <w:pPr>
        <w:spacing w:after="120" w:line="276" w:lineRule="auto"/>
        <w:rPr>
          <w:color w:val="auto"/>
        </w:rPr>
      </w:pPr>
      <w:r w:rsidRPr="00C8351C">
        <w:rPr>
          <w:color w:val="auto"/>
        </w:rPr>
        <w:t xml:space="preserve">The NT Government is currently planning for delivery of 102 social dwellings to be delivered under </w:t>
      </w:r>
      <w:r w:rsidR="003C2CD6" w:rsidRPr="00C8351C">
        <w:rPr>
          <w:color w:val="auto"/>
        </w:rPr>
        <w:t>Housing Australia Future Fund (</w:t>
      </w:r>
      <w:r w:rsidRPr="00C8351C">
        <w:rPr>
          <w:color w:val="auto"/>
        </w:rPr>
        <w:t>HAFF</w:t>
      </w:r>
      <w:r w:rsidR="003C2CD6" w:rsidRPr="00C8351C">
        <w:rPr>
          <w:color w:val="auto"/>
        </w:rPr>
        <w:t>)</w:t>
      </w:r>
      <w:r w:rsidRPr="00C8351C">
        <w:rPr>
          <w:color w:val="auto"/>
        </w:rPr>
        <w:t xml:space="preserve"> Round 2 drawing on CEO (Housing) owned land. </w:t>
      </w:r>
    </w:p>
    <w:p w14:paraId="1924F9ED" w14:textId="702A5EF6" w:rsidR="00B1320F" w:rsidRPr="00C8351C" w:rsidRDefault="00B1320F" w:rsidP="0009344B">
      <w:pPr>
        <w:spacing w:after="120" w:line="276" w:lineRule="auto"/>
        <w:rPr>
          <w:color w:val="auto"/>
        </w:rPr>
      </w:pPr>
      <w:r w:rsidRPr="00C8351C">
        <w:rPr>
          <w:color w:val="auto"/>
        </w:rPr>
        <w:t>Further opportunities to develop CEO (Housing) owned land</w:t>
      </w:r>
      <w:r w:rsidR="0048283E" w:rsidRPr="00C8351C">
        <w:rPr>
          <w:color w:val="auto"/>
        </w:rPr>
        <w:t>,</w:t>
      </w:r>
      <w:r w:rsidRPr="00C8351C">
        <w:rPr>
          <w:color w:val="auto"/>
        </w:rPr>
        <w:t xml:space="preserve"> including refreshing aging stock </w:t>
      </w:r>
      <w:r w:rsidR="00C76CDA" w:rsidRPr="00C8351C">
        <w:rPr>
          <w:color w:val="auto"/>
        </w:rPr>
        <w:t xml:space="preserve">through the Commonwealth’s national housing and homelessness reform agenda </w:t>
      </w:r>
      <w:r w:rsidRPr="00C8351C">
        <w:rPr>
          <w:color w:val="auto"/>
        </w:rPr>
        <w:t xml:space="preserve">to increase supply is currently being investigated. </w:t>
      </w:r>
    </w:p>
    <w:bookmarkEnd w:id="29"/>
    <w:p w14:paraId="32420EFA" w14:textId="77777777" w:rsidR="00BA0509" w:rsidRDefault="00F079D4" w:rsidP="00BA0509">
      <w:pPr>
        <w:spacing w:after="120" w:line="276" w:lineRule="auto"/>
        <w:rPr>
          <w:color w:val="auto"/>
        </w:rPr>
      </w:pPr>
      <w:r w:rsidRPr="00C8351C">
        <w:rPr>
          <w:color w:val="auto"/>
        </w:rPr>
        <w:t xml:space="preserve">Allocation </w:t>
      </w:r>
      <w:r w:rsidR="0026139A" w:rsidRPr="00C8351C">
        <w:rPr>
          <w:color w:val="auto"/>
        </w:rPr>
        <w:t>for land for social, community and affordable housing from</w:t>
      </w:r>
      <w:r w:rsidRPr="00C8351C">
        <w:rPr>
          <w:color w:val="auto"/>
        </w:rPr>
        <w:t xml:space="preserve"> Crown land greenfield developments are committed through confidential development agreements with the Territory</w:t>
      </w:r>
      <w:r w:rsidR="0026139A" w:rsidRPr="00C8351C">
        <w:rPr>
          <w:color w:val="auto"/>
        </w:rPr>
        <w:t>.</w:t>
      </w:r>
    </w:p>
    <w:p w14:paraId="09C73B39" w14:textId="4F0C22DF" w:rsidR="001F6319" w:rsidRPr="00BA0509" w:rsidRDefault="001F6319" w:rsidP="00BA0509">
      <w:pPr>
        <w:spacing w:after="120" w:line="276" w:lineRule="auto"/>
        <w:rPr>
          <w:color w:val="auto"/>
        </w:rPr>
      </w:pPr>
      <w:r w:rsidRPr="00C8351C">
        <w:rPr>
          <w:color w:val="auto"/>
        </w:rPr>
        <w:t xml:space="preserve">When undertaking redevelopment of existing social and affordable housing sites, the NT Government </w:t>
      </w:r>
      <w:r w:rsidRPr="00AB57EC">
        <w:t xml:space="preserve">aims to deliver a minimum one-for-one return of dwellings wherever possible, based on the principle of no-net-reduction in social and affordable housing stock. Where possible, brownfield developments also aim to increase and/or optimise dwelling yield within the parameters allowed under the </w:t>
      </w:r>
      <w:r w:rsidR="006C052B">
        <w:br/>
      </w:r>
      <w:r w:rsidRPr="00AB57EC">
        <w:t xml:space="preserve">NT Planning Scheme.  </w:t>
      </w:r>
    </w:p>
    <w:p w14:paraId="3B37BBCB" w14:textId="77777777" w:rsidR="001F6319" w:rsidRPr="00DF41AC" w:rsidRDefault="001F6319" w:rsidP="001F6319">
      <w:pPr>
        <w:pStyle w:val="Heading4"/>
      </w:pPr>
      <w:r w:rsidRPr="00DF41AC">
        <w:t>Remote housing</w:t>
      </w:r>
    </w:p>
    <w:p w14:paraId="302C25E3" w14:textId="07071C92" w:rsidR="00B66E82" w:rsidRPr="00C8351C" w:rsidRDefault="00DF41AC" w:rsidP="00B66E82">
      <w:pPr>
        <w:spacing w:before="0"/>
        <w:rPr>
          <w:rFonts w:ascii="Calibri Light" w:hAnsi="Calibri Light" w:cs="Arial"/>
          <w:b/>
          <w:color w:val="auto"/>
          <w:kern w:val="32"/>
          <w:sz w:val="28"/>
          <w:szCs w:val="26"/>
        </w:rPr>
      </w:pPr>
      <w:r w:rsidRPr="00C8351C">
        <w:rPr>
          <w:i/>
          <w:iCs/>
          <w:color w:val="2683C6" w:themeColor="accent6"/>
        </w:rPr>
        <w:t>Update:</w:t>
      </w:r>
      <w:r w:rsidRPr="00C8351C">
        <w:rPr>
          <w:i/>
          <w:iCs/>
          <w:color w:val="auto"/>
        </w:rPr>
        <w:t xml:space="preserve"> In progress</w:t>
      </w:r>
      <w:r w:rsidR="00BA593A" w:rsidRPr="00C8351C">
        <w:rPr>
          <w:i/>
          <w:iCs/>
          <w:color w:val="auto"/>
        </w:rPr>
        <w:t xml:space="preserve"> </w:t>
      </w:r>
      <w:r w:rsidRPr="00C8351C">
        <w:rPr>
          <w:i/>
          <w:iCs/>
          <w:color w:val="auto"/>
        </w:rPr>
        <w:t>|</w:t>
      </w:r>
      <w:r w:rsidR="00BA593A" w:rsidRPr="00C8351C">
        <w:rPr>
          <w:i/>
          <w:iCs/>
          <w:color w:val="auto"/>
        </w:rPr>
        <w:t xml:space="preserve"> </w:t>
      </w:r>
      <w:r w:rsidRPr="00C8351C">
        <w:rPr>
          <w:i/>
          <w:iCs/>
          <w:color w:val="auto"/>
        </w:rPr>
        <w:t>First reported in March 2024</w:t>
      </w:r>
      <w:r w:rsidR="00B66E82" w:rsidRPr="00C8351C">
        <w:rPr>
          <w:i/>
          <w:iCs/>
          <w:color w:val="auto"/>
        </w:rPr>
        <w:t xml:space="preserve"> / Updated </w:t>
      </w:r>
      <w:r w:rsidR="00416721" w:rsidRPr="00C8351C">
        <w:rPr>
          <w:i/>
          <w:iCs/>
          <w:color w:val="auto"/>
        </w:rPr>
        <w:t xml:space="preserve">September </w:t>
      </w:r>
      <w:r w:rsidR="00B66E82" w:rsidRPr="00C8351C">
        <w:rPr>
          <w:i/>
          <w:iCs/>
          <w:color w:val="auto"/>
        </w:rPr>
        <w:t xml:space="preserve">2025 </w:t>
      </w:r>
    </w:p>
    <w:p w14:paraId="55E5F44B" w14:textId="7D936C42" w:rsidR="00416721" w:rsidRPr="00C8351C" w:rsidRDefault="00416721" w:rsidP="00416721">
      <w:pPr>
        <w:spacing w:after="120" w:line="276" w:lineRule="auto"/>
        <w:rPr>
          <w:color w:val="auto"/>
        </w:rPr>
      </w:pPr>
      <w:r w:rsidRPr="00C8351C">
        <w:rPr>
          <w:color w:val="auto"/>
        </w:rPr>
        <w:t>Work is currently underway to determine future land release requirements to support up to an additional 2</w:t>
      </w:r>
      <w:r w:rsidR="00104706" w:rsidRPr="00C8351C">
        <w:rPr>
          <w:color w:val="auto"/>
        </w:rPr>
        <w:t>,</w:t>
      </w:r>
      <w:r w:rsidRPr="00C8351C">
        <w:rPr>
          <w:color w:val="auto"/>
        </w:rPr>
        <w:t xml:space="preserve">700 new remote public housing dwellings across 73 plus remote communities and selected town camps to be built over the next 10 years. </w:t>
      </w:r>
    </w:p>
    <w:p w14:paraId="71D9C9C5" w14:textId="5604BE88" w:rsidR="00416721" w:rsidRPr="00C8351C" w:rsidRDefault="00416721" w:rsidP="00416721">
      <w:pPr>
        <w:rPr>
          <w:color w:val="auto"/>
        </w:rPr>
      </w:pPr>
      <w:r w:rsidRPr="00C8351C">
        <w:rPr>
          <w:color w:val="auto"/>
        </w:rPr>
        <w:t>Since 1 July 2024 to 30 September 2025</w:t>
      </w:r>
      <w:r w:rsidR="00104706" w:rsidRPr="00C8351C">
        <w:rPr>
          <w:color w:val="auto"/>
        </w:rPr>
        <w:t>,</w:t>
      </w:r>
      <w:r w:rsidRPr="00C8351C">
        <w:rPr>
          <w:color w:val="auto"/>
        </w:rPr>
        <w:t xml:space="preserve"> 293 subdivision and infill lots have been completed. A further 199 subdivisions are in construction, 210 new subdivision lots are in detailed design, and </w:t>
      </w:r>
      <w:r w:rsidR="00104706" w:rsidRPr="00C8351C">
        <w:rPr>
          <w:color w:val="auto"/>
        </w:rPr>
        <w:br/>
      </w:r>
      <w:r w:rsidRPr="00C8351C">
        <w:rPr>
          <w:color w:val="auto"/>
        </w:rPr>
        <w:t>331 subdivision lots are in concept design.</w:t>
      </w:r>
    </w:p>
    <w:p w14:paraId="4B1E7351" w14:textId="2EE3035C" w:rsidR="00416721" w:rsidRPr="00C8351C" w:rsidRDefault="00416721" w:rsidP="00416721">
      <w:pPr>
        <w:spacing w:before="0" w:after="0"/>
        <w:rPr>
          <w:rFonts w:eastAsia="Calibri"/>
          <w:color w:val="auto"/>
        </w:rPr>
      </w:pPr>
      <w:r w:rsidRPr="00C8351C">
        <w:rPr>
          <w:rFonts w:eastAsia="Calibri"/>
          <w:color w:val="auto"/>
        </w:rPr>
        <w:t>Since 1 July 2024 to 30 September 2025</w:t>
      </w:r>
      <w:r w:rsidR="00104706" w:rsidRPr="00C8351C">
        <w:rPr>
          <w:rFonts w:eastAsia="Calibri"/>
          <w:color w:val="auto"/>
        </w:rPr>
        <w:t>,</w:t>
      </w:r>
      <w:r w:rsidRPr="00C8351C">
        <w:rPr>
          <w:rFonts w:eastAsia="Calibri"/>
          <w:color w:val="auto"/>
        </w:rPr>
        <w:t xml:space="preserve"> 264 new or replacement homes have been constructed. A further 198 homes have been awarded and are at various stages of </w:t>
      </w:r>
      <w:r w:rsidR="00042EF7" w:rsidRPr="00C8351C">
        <w:rPr>
          <w:rFonts w:eastAsia="Calibri"/>
          <w:color w:val="auto"/>
        </w:rPr>
        <w:t xml:space="preserve">the </w:t>
      </w:r>
      <w:r w:rsidRPr="00C8351C">
        <w:rPr>
          <w:rFonts w:eastAsia="Calibri"/>
          <w:color w:val="auto"/>
        </w:rPr>
        <w:t xml:space="preserve">construction process. </w:t>
      </w:r>
    </w:p>
    <w:p w14:paraId="4654D08A" w14:textId="29F6E288" w:rsidR="00DC4C13" w:rsidRPr="00C8351C" w:rsidRDefault="001F6319" w:rsidP="00DF41AC">
      <w:pPr>
        <w:spacing w:after="120" w:line="276" w:lineRule="auto"/>
        <w:rPr>
          <w:color w:val="auto"/>
        </w:rPr>
      </w:pPr>
      <w:r w:rsidRPr="00C8351C">
        <w:rPr>
          <w:color w:val="auto"/>
        </w:rP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5455D8" w14:paraId="02EC24DA" w14:textId="77777777" w:rsidTr="003074FE">
        <w:tc>
          <w:tcPr>
            <w:tcW w:w="5000" w:type="pct"/>
            <w:shd w:val="clear" w:color="auto" w:fill="CEDBE6" w:themeFill="background2"/>
            <w:hideMark/>
          </w:tcPr>
          <w:p w14:paraId="439BCCD8" w14:textId="248CBDA9" w:rsidR="005455D8" w:rsidRPr="005455D8" w:rsidRDefault="005455D8" w:rsidP="005455D8">
            <w:pPr>
              <w:pStyle w:val="Heading1"/>
              <w:rPr>
                <w:lang w:eastAsia="en-US"/>
              </w:rPr>
            </w:pPr>
            <w:bookmarkStart w:id="30" w:name="_Toc168064966"/>
            <w:bookmarkStart w:id="31" w:name="_Toc168065277"/>
            <w:bookmarkStart w:id="32" w:name="_Toc224740259"/>
            <w:r w:rsidRPr="005455D8">
              <w:rPr>
                <w:lang w:eastAsia="en-US"/>
              </w:rPr>
              <w:lastRenderedPageBreak/>
              <w:t>Measure 5</w:t>
            </w:r>
            <w:bookmarkEnd w:id="30"/>
            <w:bookmarkEnd w:id="31"/>
            <w:bookmarkEnd w:id="32"/>
          </w:p>
          <w:p w14:paraId="0E08CEA4" w14:textId="0759C2B4" w:rsidR="005455D8" w:rsidRDefault="005455D8" w:rsidP="005455D8">
            <w:pPr>
              <w:pStyle w:val="Boxdoubledot"/>
              <w:numPr>
                <w:ilvl w:val="0"/>
                <w:numId w:val="0"/>
              </w:numPr>
            </w:pPr>
            <w:r w:rsidRPr="00B6467B">
              <w:rPr>
                <w:rFonts w:eastAsia="Times New Roman"/>
                <w:color w:val="000000" w:themeColor="text1"/>
                <w:sz w:val="24"/>
                <w:szCs w:val="24"/>
                <w:lang w:eastAsia="en-AU"/>
              </w:rPr>
              <w:t>Planning Ministers will streamline approval pathways and prioritise planning control amendments to support diverse housing across a range of areas, including promoting medium and high-density housing in well-located areas close to existing public transport infrastructure connections, amenities and employment.</w:t>
            </w:r>
          </w:p>
        </w:tc>
      </w:tr>
    </w:tbl>
    <w:p w14:paraId="10E822B2" w14:textId="6D70E968" w:rsidR="00D631C2" w:rsidRDefault="00D631C2" w:rsidP="002177DD">
      <w:pPr>
        <w:pStyle w:val="Heading2"/>
      </w:pPr>
      <w:bookmarkStart w:id="33" w:name="_Toc160799706"/>
      <w:bookmarkStart w:id="34" w:name="_Toc168064968"/>
      <w:bookmarkStart w:id="35" w:name="_Toc168065279"/>
      <w:bookmarkStart w:id="36" w:name="_Toc224740260"/>
      <w:r>
        <w:t>Z</w:t>
      </w:r>
      <w:r w:rsidRPr="005455D8">
        <w:t>oning, planning and other amendments</w:t>
      </w:r>
      <w:r>
        <w:t xml:space="preserve"> to support dense</w:t>
      </w:r>
      <w:r w:rsidR="00D86444">
        <w:t>, well</w:t>
      </w:r>
      <w:r w:rsidR="00FD4103">
        <w:t>-</w:t>
      </w:r>
      <w:r w:rsidR="00D86444">
        <w:t>located</w:t>
      </w:r>
      <w:r>
        <w:t xml:space="preserve"> housing</w:t>
      </w:r>
      <w:bookmarkEnd w:id="33"/>
      <w:bookmarkEnd w:id="34"/>
      <w:bookmarkEnd w:id="35"/>
      <w:bookmarkEnd w:id="36"/>
      <w:r w:rsidRPr="005455D8">
        <w:t xml:space="preserve"> </w:t>
      </w:r>
    </w:p>
    <w:p w14:paraId="15C6FC21" w14:textId="77777777" w:rsidR="00B66E82" w:rsidRDefault="00C56A3E" w:rsidP="00B66E82">
      <w:pPr>
        <w:spacing w:before="0"/>
      </w:pPr>
      <w:bookmarkStart w:id="37" w:name="_Toc160799707"/>
      <w:bookmarkStart w:id="38" w:name="_Toc168064969"/>
      <w:bookmarkStart w:id="39" w:name="_Toc168065280"/>
      <w:r>
        <w:t xml:space="preserve">Strategic Directions Planning Policy </w:t>
      </w:r>
    </w:p>
    <w:p w14:paraId="722B2284" w14:textId="6B32E6F0" w:rsidR="00B66E82" w:rsidRPr="00C8351C" w:rsidRDefault="00B66E82" w:rsidP="00B66E82">
      <w:pPr>
        <w:spacing w:before="0"/>
        <w:rPr>
          <w:rFonts w:ascii="Calibri Light" w:hAnsi="Calibri Light" w:cs="Arial"/>
          <w:b/>
          <w:color w:val="auto"/>
          <w:kern w:val="32"/>
          <w:sz w:val="28"/>
          <w:szCs w:val="26"/>
        </w:rPr>
      </w:pPr>
      <w:r>
        <w:rPr>
          <w:i/>
          <w:iCs/>
          <w:color w:val="2683C6" w:themeColor="accent6"/>
        </w:rPr>
        <w:t>Update:</w:t>
      </w:r>
      <w:r w:rsidR="00C56A3E" w:rsidRPr="00442C16">
        <w:rPr>
          <w:i/>
          <w:iCs/>
          <w:color w:val="2683C6" w:themeColor="accent6"/>
        </w:rPr>
        <w:t xml:space="preserve"> </w:t>
      </w:r>
      <w:r w:rsidR="00C56A3E" w:rsidRPr="00442C16">
        <w:t>In progress</w:t>
      </w:r>
      <w:r>
        <w:rPr>
          <w:b/>
        </w:rPr>
        <w:t xml:space="preserve"> </w:t>
      </w:r>
      <w:r w:rsidRPr="00BA593A">
        <w:rPr>
          <w:bCs/>
        </w:rPr>
        <w:t>/</w:t>
      </w:r>
      <w:r>
        <w:rPr>
          <w:b/>
        </w:rPr>
        <w:t xml:space="preserve"> </w:t>
      </w:r>
      <w:r w:rsidRPr="00C84075">
        <w:rPr>
          <w:i/>
          <w:iCs/>
        </w:rPr>
        <w:t xml:space="preserve">First </w:t>
      </w:r>
      <w:r w:rsidRPr="006E36C6">
        <w:rPr>
          <w:i/>
          <w:iCs/>
          <w:color w:val="auto"/>
        </w:rPr>
        <w:t xml:space="preserve">reported in September 2024 / </w:t>
      </w:r>
      <w:r w:rsidRPr="00C8351C">
        <w:rPr>
          <w:i/>
          <w:iCs/>
          <w:color w:val="auto"/>
        </w:rPr>
        <w:t xml:space="preserve">Updated </w:t>
      </w:r>
      <w:r w:rsidR="00732B4C" w:rsidRPr="00C8351C">
        <w:rPr>
          <w:i/>
          <w:iCs/>
          <w:color w:val="auto"/>
        </w:rPr>
        <w:t>September 2025 / Complete</w:t>
      </w:r>
    </w:p>
    <w:p w14:paraId="34C6C735" w14:textId="77777777" w:rsidR="00732B4C" w:rsidRPr="00C8351C" w:rsidRDefault="00732B4C" w:rsidP="00732B4C">
      <w:pPr>
        <w:spacing w:after="120" w:line="276" w:lineRule="auto"/>
        <w:rPr>
          <w:rFonts w:eastAsiaTheme="minorHAnsi"/>
          <w:color w:val="auto"/>
        </w:rPr>
      </w:pPr>
      <w:r w:rsidRPr="00C8351C">
        <w:rPr>
          <w:color w:val="auto"/>
        </w:rPr>
        <w:t xml:space="preserve">The NT Planning Commission identified the need for an overarching Strategic Planning Policy (SPP) to provide direction on how the objectives of the </w:t>
      </w:r>
      <w:r w:rsidRPr="00C8351C">
        <w:rPr>
          <w:i/>
          <w:iCs/>
          <w:color w:val="auto"/>
        </w:rPr>
        <w:t>Planning Act 1999</w:t>
      </w:r>
      <w:r w:rsidRPr="00C8351C">
        <w:rPr>
          <w:color w:val="auto"/>
        </w:rPr>
        <w:t xml:space="preserve"> are to be achieved; to ensure the planning framework responds to Territorians’ needs and aspirations; and to promote a prosperous, sustainable, liveable and resilient future.</w:t>
      </w:r>
    </w:p>
    <w:p w14:paraId="32767611" w14:textId="2BC7979C" w:rsidR="00A8273A" w:rsidRPr="00C8351C" w:rsidRDefault="00A8273A" w:rsidP="00732B4C">
      <w:pPr>
        <w:spacing w:after="120" w:line="276" w:lineRule="auto"/>
        <w:rPr>
          <w:color w:val="auto"/>
        </w:rPr>
      </w:pPr>
      <w:r w:rsidRPr="00C8351C">
        <w:rPr>
          <w:color w:val="auto"/>
        </w:rPr>
        <w:t xml:space="preserve">The SPP was completed in September 2025 and includes </w:t>
      </w:r>
      <w:r w:rsidR="00732B4C" w:rsidRPr="00C8351C">
        <w:rPr>
          <w:color w:val="auto"/>
        </w:rPr>
        <w:t xml:space="preserve">Land Supply and Housing Diversity </w:t>
      </w:r>
      <w:r w:rsidRPr="00C8351C">
        <w:rPr>
          <w:color w:val="auto"/>
        </w:rPr>
        <w:t>a</w:t>
      </w:r>
      <w:r w:rsidR="00A65FE0" w:rsidRPr="00C8351C">
        <w:rPr>
          <w:color w:val="auto"/>
        </w:rPr>
        <w:t>s</w:t>
      </w:r>
      <w:r w:rsidR="00732B4C" w:rsidRPr="00C8351C">
        <w:rPr>
          <w:color w:val="auto"/>
        </w:rPr>
        <w:t xml:space="preserve"> a </w:t>
      </w:r>
      <w:r w:rsidRPr="00C8351C">
        <w:rPr>
          <w:color w:val="auto"/>
        </w:rPr>
        <w:t>key them</w:t>
      </w:r>
      <w:r w:rsidR="00732B4C" w:rsidRPr="00C8351C">
        <w:rPr>
          <w:color w:val="auto"/>
        </w:rPr>
        <w:t>e</w:t>
      </w:r>
      <w:r w:rsidR="00150A5C" w:rsidRPr="00C8351C">
        <w:rPr>
          <w:color w:val="auto"/>
        </w:rPr>
        <w:t>.</w:t>
      </w:r>
    </w:p>
    <w:p w14:paraId="7BE1ADBC" w14:textId="4E99F185" w:rsidR="00150A5C" w:rsidRPr="00C8351C" w:rsidRDefault="00785C1C" w:rsidP="00150A5C">
      <w:pPr>
        <w:spacing w:before="120" w:after="120" w:line="276" w:lineRule="auto"/>
        <w:ind w:right="-510"/>
        <w:rPr>
          <w:color w:val="auto"/>
        </w:rPr>
      </w:pPr>
      <w:r w:rsidRPr="00C8351C">
        <w:rPr>
          <w:color w:val="auto"/>
        </w:rPr>
        <w:t>Polic</w:t>
      </w:r>
      <w:r w:rsidR="00497B68" w:rsidRPr="00C8351C">
        <w:rPr>
          <w:color w:val="auto"/>
        </w:rPr>
        <w:t>y</w:t>
      </w:r>
      <w:r w:rsidRPr="00C8351C">
        <w:rPr>
          <w:color w:val="auto"/>
        </w:rPr>
        <w:t xml:space="preserve"> </w:t>
      </w:r>
      <w:r w:rsidR="00A8273A" w:rsidRPr="00C8351C">
        <w:rPr>
          <w:color w:val="auto"/>
        </w:rPr>
        <w:t xml:space="preserve">statements within the SPP </w:t>
      </w:r>
      <w:r w:rsidRPr="00C8351C">
        <w:rPr>
          <w:color w:val="auto"/>
        </w:rPr>
        <w:t>aim to ensure sustainable, inclusive housing growth by identifying suitable land and promoting diverse, well-located housing options that meet community needs. They emphasise collaboration across all levels of government, support for regional and rural development, and the provision of social, affordable, and specialised housing. The approach encourages higher-density and mixed-use developments near transport and services, promotes climate-resilient, hazard-safe housing that supports long-term community wellbeing</w:t>
      </w:r>
      <w:r w:rsidR="00150A5C" w:rsidRPr="00C8351C">
        <w:rPr>
          <w:color w:val="auto"/>
        </w:rPr>
        <w:t xml:space="preserve"> and recognises the need to be responsive to the needs and mobility of Aboriginal people across the NT.</w:t>
      </w:r>
    </w:p>
    <w:p w14:paraId="48D50A1B" w14:textId="1BD2F9BD" w:rsidR="00732B4C" w:rsidRPr="00C8351C" w:rsidRDefault="00732B4C" w:rsidP="00732B4C">
      <w:pPr>
        <w:spacing w:after="120" w:line="276" w:lineRule="auto"/>
        <w:rPr>
          <w:color w:val="auto"/>
        </w:rPr>
      </w:pPr>
    </w:p>
    <w:p w14:paraId="185C1189" w14:textId="2C657C98" w:rsidR="008F43BD" w:rsidRPr="00C8351C" w:rsidRDefault="008F43BD" w:rsidP="008F43BD">
      <w:pPr>
        <w:pStyle w:val="Heading4"/>
        <w:rPr>
          <w:rFonts w:asciiTheme="minorHAnsi" w:hAnsiTheme="minorHAnsi" w:cs="Times New Roman"/>
          <w:b w:val="0"/>
          <w:i/>
          <w:iCs/>
          <w:color w:val="auto"/>
          <w:kern w:val="0"/>
          <w:sz w:val="22"/>
          <w:szCs w:val="20"/>
        </w:rPr>
      </w:pPr>
      <w:r w:rsidRPr="00301591">
        <w:lastRenderedPageBreak/>
        <w:t xml:space="preserve">Holtze development </w:t>
      </w:r>
      <w:r>
        <w:t>– new strategic land use plan</w:t>
      </w:r>
      <w:r>
        <w:br/>
      </w:r>
      <w:r w:rsidRPr="006C3A25">
        <w:rPr>
          <w:rFonts w:asciiTheme="minorHAnsi" w:hAnsiTheme="minorHAnsi" w:cs="Times New Roman"/>
          <w:b w:val="0"/>
          <w:i/>
          <w:iCs/>
          <w:color w:val="2683C6" w:themeColor="accent6"/>
          <w:kern w:val="0"/>
          <w:sz w:val="22"/>
          <w:szCs w:val="20"/>
        </w:rPr>
        <w:t>Update:</w:t>
      </w:r>
      <w:r>
        <w:rPr>
          <w:rFonts w:asciiTheme="minorHAnsi" w:hAnsiTheme="minorHAnsi" w:cs="Times New Roman"/>
          <w:b w:val="0"/>
          <w:i/>
          <w:iCs/>
          <w:kern w:val="0"/>
          <w:sz w:val="22"/>
          <w:szCs w:val="20"/>
        </w:rPr>
        <w:t xml:space="preserve"> In progress</w:t>
      </w:r>
      <w:r w:rsidR="003C2CD6">
        <w:rPr>
          <w:rFonts w:asciiTheme="minorHAnsi" w:hAnsiTheme="minorHAnsi" w:cs="Times New Roman"/>
          <w:b w:val="0"/>
          <w:i/>
          <w:iCs/>
          <w:kern w:val="0"/>
          <w:sz w:val="22"/>
          <w:szCs w:val="20"/>
        </w:rPr>
        <w:t xml:space="preserve"> </w:t>
      </w:r>
      <w:r>
        <w:rPr>
          <w:rFonts w:asciiTheme="minorHAnsi" w:hAnsiTheme="minorHAnsi" w:cs="Times New Roman"/>
          <w:b w:val="0"/>
          <w:i/>
          <w:iCs/>
          <w:kern w:val="0"/>
          <w:sz w:val="22"/>
          <w:szCs w:val="20"/>
        </w:rPr>
        <w:t>|</w:t>
      </w:r>
      <w:r w:rsidR="003C2CD6">
        <w:rPr>
          <w:rFonts w:asciiTheme="minorHAnsi" w:hAnsiTheme="minorHAnsi" w:cs="Times New Roman"/>
          <w:b w:val="0"/>
          <w:i/>
          <w:iCs/>
          <w:kern w:val="0"/>
          <w:sz w:val="22"/>
          <w:szCs w:val="20"/>
        </w:rPr>
        <w:t xml:space="preserve"> </w:t>
      </w:r>
      <w:r w:rsidRPr="00C84075">
        <w:rPr>
          <w:rFonts w:asciiTheme="minorHAnsi" w:hAnsiTheme="minorHAnsi" w:cs="Times New Roman"/>
          <w:b w:val="0"/>
          <w:i/>
          <w:iCs/>
          <w:kern w:val="0"/>
          <w:sz w:val="22"/>
          <w:szCs w:val="20"/>
        </w:rPr>
        <w:t>First reported in March 2024</w:t>
      </w:r>
      <w:r w:rsidR="003C2CD6">
        <w:rPr>
          <w:rFonts w:asciiTheme="minorHAnsi" w:hAnsiTheme="minorHAnsi" w:cs="Times New Roman"/>
          <w:b w:val="0"/>
          <w:i/>
          <w:iCs/>
          <w:kern w:val="0"/>
          <w:sz w:val="22"/>
          <w:szCs w:val="20"/>
        </w:rPr>
        <w:t xml:space="preserve"> </w:t>
      </w:r>
      <w:r w:rsidR="0052555B">
        <w:rPr>
          <w:rFonts w:asciiTheme="minorHAnsi" w:hAnsiTheme="minorHAnsi" w:cs="Times New Roman"/>
          <w:b w:val="0"/>
          <w:i/>
          <w:iCs/>
          <w:kern w:val="0"/>
          <w:sz w:val="22"/>
          <w:szCs w:val="20"/>
        </w:rPr>
        <w:t>/</w:t>
      </w:r>
      <w:r w:rsidR="003C2CD6">
        <w:rPr>
          <w:rFonts w:asciiTheme="minorHAnsi" w:hAnsiTheme="minorHAnsi" w:cs="Times New Roman"/>
          <w:b w:val="0"/>
          <w:i/>
          <w:iCs/>
          <w:kern w:val="0"/>
          <w:sz w:val="22"/>
          <w:szCs w:val="20"/>
        </w:rPr>
        <w:t xml:space="preserve"> </w:t>
      </w:r>
      <w:r w:rsidR="0052555B" w:rsidRPr="00C8351C">
        <w:rPr>
          <w:rFonts w:asciiTheme="minorHAnsi" w:hAnsiTheme="minorHAnsi" w:cs="Times New Roman"/>
          <w:b w:val="0"/>
          <w:i/>
          <w:iCs/>
          <w:color w:val="auto"/>
          <w:kern w:val="0"/>
          <w:sz w:val="22"/>
          <w:szCs w:val="20"/>
        </w:rPr>
        <w:t xml:space="preserve">Updated </w:t>
      </w:r>
      <w:r w:rsidR="00A65FE0" w:rsidRPr="00C8351C">
        <w:rPr>
          <w:rFonts w:asciiTheme="minorHAnsi" w:hAnsiTheme="minorHAnsi" w:cs="Times New Roman"/>
          <w:b w:val="0"/>
          <w:i/>
          <w:iCs/>
          <w:color w:val="auto"/>
          <w:kern w:val="0"/>
          <w:sz w:val="22"/>
          <w:szCs w:val="20"/>
        </w:rPr>
        <w:t>September 2025</w:t>
      </w:r>
    </w:p>
    <w:p w14:paraId="3469A995" w14:textId="1BF02F3B" w:rsidR="008F43BD" w:rsidRPr="00C8351C" w:rsidRDefault="008F43BD" w:rsidP="0009344B">
      <w:pPr>
        <w:pStyle w:val="Heading4"/>
        <w:spacing w:before="240"/>
        <w:rPr>
          <w:rFonts w:asciiTheme="minorHAnsi" w:hAnsiTheme="minorHAnsi" w:cs="Times New Roman"/>
          <w:b w:val="0"/>
          <w:color w:val="auto"/>
          <w:kern w:val="0"/>
          <w:sz w:val="22"/>
          <w:szCs w:val="20"/>
        </w:rPr>
      </w:pPr>
      <w:r w:rsidRPr="00C8351C">
        <w:rPr>
          <w:rFonts w:asciiTheme="minorHAnsi" w:hAnsiTheme="minorHAnsi" w:cs="Times New Roman"/>
          <w:b w:val="0"/>
          <w:color w:val="auto"/>
          <w:kern w:val="0"/>
          <w:sz w:val="22"/>
          <w:szCs w:val="20"/>
        </w:rPr>
        <w:t xml:space="preserve">A new strategic land use plan for the Holtze residential development area was </w:t>
      </w:r>
      <w:r w:rsidR="00117D44" w:rsidRPr="00C8351C">
        <w:rPr>
          <w:rFonts w:asciiTheme="minorHAnsi" w:hAnsiTheme="minorHAnsi" w:cs="Times New Roman"/>
          <w:b w:val="0"/>
          <w:color w:val="auto"/>
          <w:kern w:val="0"/>
          <w:sz w:val="22"/>
          <w:szCs w:val="20"/>
        </w:rPr>
        <w:t>approved</w:t>
      </w:r>
      <w:r w:rsidRPr="00C8351C">
        <w:rPr>
          <w:rFonts w:asciiTheme="minorHAnsi" w:hAnsiTheme="minorHAnsi" w:cs="Times New Roman"/>
          <w:b w:val="0"/>
          <w:color w:val="auto"/>
          <w:kern w:val="0"/>
          <w:sz w:val="22"/>
          <w:szCs w:val="20"/>
        </w:rPr>
        <w:t xml:space="preserve"> in July 2024 for inclusion in the NT Planning Scheme. This is a planning policy that was completed by the NT Planning Commission in late </w:t>
      </w:r>
      <w:proofErr w:type="gramStart"/>
      <w:r w:rsidRPr="00C8351C">
        <w:rPr>
          <w:rFonts w:asciiTheme="minorHAnsi" w:hAnsiTheme="minorHAnsi" w:cs="Times New Roman"/>
          <w:b w:val="0"/>
          <w:color w:val="auto"/>
          <w:kern w:val="0"/>
          <w:sz w:val="22"/>
          <w:szCs w:val="20"/>
        </w:rPr>
        <w:t>2023, and</w:t>
      </w:r>
      <w:proofErr w:type="gramEnd"/>
      <w:r w:rsidRPr="00C8351C">
        <w:rPr>
          <w:rFonts w:asciiTheme="minorHAnsi" w:hAnsiTheme="minorHAnsi" w:cs="Times New Roman"/>
          <w:b w:val="0"/>
          <w:color w:val="auto"/>
          <w:kern w:val="0"/>
          <w:sz w:val="22"/>
          <w:szCs w:val="20"/>
        </w:rPr>
        <w:t xml:space="preserve"> has been through a three stage public consultation process. </w:t>
      </w:r>
    </w:p>
    <w:p w14:paraId="549B95D0" w14:textId="77777777" w:rsidR="008F43BD" w:rsidRPr="00C8351C" w:rsidRDefault="008F43BD" w:rsidP="0009344B">
      <w:pPr>
        <w:pStyle w:val="Heading4"/>
        <w:spacing w:before="240"/>
        <w:rPr>
          <w:rFonts w:asciiTheme="minorHAnsi" w:hAnsiTheme="minorHAnsi" w:cs="Times New Roman"/>
          <w:b w:val="0"/>
          <w:color w:val="auto"/>
          <w:kern w:val="0"/>
          <w:sz w:val="22"/>
          <w:szCs w:val="20"/>
        </w:rPr>
      </w:pPr>
      <w:r w:rsidRPr="00C8351C">
        <w:rPr>
          <w:rFonts w:asciiTheme="minorHAnsi" w:hAnsiTheme="minorHAnsi" w:cs="Times New Roman"/>
          <w:b w:val="0"/>
          <w:color w:val="auto"/>
          <w:kern w:val="0"/>
          <w:sz w:val="22"/>
          <w:szCs w:val="20"/>
        </w:rPr>
        <w:t xml:space="preserve">This land use plan has been developed based on the Compact Urban Growth Policy, which is included within the NT Planning Scheme and promotes high and medium density housing in a </w:t>
      </w:r>
      <w:proofErr w:type="gramStart"/>
      <w:r w:rsidRPr="00C8351C">
        <w:rPr>
          <w:rFonts w:asciiTheme="minorHAnsi" w:hAnsiTheme="minorHAnsi" w:cs="Times New Roman"/>
          <w:b w:val="0"/>
          <w:color w:val="auto"/>
          <w:kern w:val="0"/>
          <w:sz w:val="22"/>
          <w:szCs w:val="20"/>
        </w:rPr>
        <w:t>well located</w:t>
      </w:r>
      <w:proofErr w:type="gramEnd"/>
      <w:r w:rsidRPr="00C8351C">
        <w:rPr>
          <w:rFonts w:asciiTheme="minorHAnsi" w:hAnsiTheme="minorHAnsi" w:cs="Times New Roman"/>
          <w:b w:val="0"/>
          <w:color w:val="auto"/>
          <w:kern w:val="0"/>
          <w:sz w:val="22"/>
          <w:szCs w:val="20"/>
        </w:rPr>
        <w:t xml:space="preserve"> area, close to existing public transport, infrastructure connections, amenities and employment.</w:t>
      </w:r>
    </w:p>
    <w:p w14:paraId="2BEC7D49" w14:textId="43FAFAC6" w:rsidR="003C2CD6" w:rsidRPr="00C8351C" w:rsidRDefault="008F43BD" w:rsidP="00060C29">
      <w:pPr>
        <w:spacing w:after="120" w:line="276" w:lineRule="auto"/>
        <w:rPr>
          <w:color w:val="auto"/>
        </w:rPr>
      </w:pPr>
      <w:r w:rsidRPr="00C8351C">
        <w:rPr>
          <w:color w:val="auto"/>
        </w:rPr>
        <w:t xml:space="preserve">Greater Holtze will be the location of a large proportion of the new housing stock to be provided in the NT over the next </w:t>
      </w:r>
      <w:r w:rsidR="00665BDA" w:rsidRPr="00C8351C">
        <w:rPr>
          <w:color w:val="auto"/>
        </w:rPr>
        <w:t>15</w:t>
      </w:r>
      <w:r w:rsidRPr="00C8351C">
        <w:rPr>
          <w:color w:val="auto"/>
        </w:rPr>
        <w:t xml:space="preserve"> years. </w:t>
      </w:r>
      <w:r w:rsidR="000A3E48" w:rsidRPr="00C8351C">
        <w:rPr>
          <w:color w:val="auto"/>
        </w:rPr>
        <w:t>On 8 May 2024, the first land release for Greater Holtze was announced with the NT entering into a Development Agreement with a local company to deliver an entry level, urban residential subdivision of around 5</w:t>
      </w:r>
      <w:r w:rsidR="00665BDA" w:rsidRPr="00C8351C">
        <w:rPr>
          <w:color w:val="auto"/>
        </w:rPr>
        <w:t>4</w:t>
      </w:r>
      <w:r w:rsidR="000A3E48" w:rsidRPr="00C8351C">
        <w:rPr>
          <w:color w:val="auto"/>
        </w:rPr>
        <w:t xml:space="preserve">0 lots, in 18 stages over seven years. Lots within stages 1 and 2 of the development are now available for sale off-the-plan, with </w:t>
      </w:r>
      <w:proofErr w:type="spellStart"/>
      <w:r w:rsidR="000A3E48" w:rsidRPr="00C8351C">
        <w:rPr>
          <w:color w:val="auto"/>
        </w:rPr>
        <w:t>lot</w:t>
      </w:r>
      <w:proofErr w:type="spellEnd"/>
      <w:r w:rsidR="000A3E48" w:rsidRPr="00C8351C">
        <w:rPr>
          <w:color w:val="auto"/>
        </w:rPr>
        <w:t xml:space="preserve"> pricing starting from $189,000. Civil construction works commenced in May 2025 and first land titles are expected in </w:t>
      </w:r>
      <w:r w:rsidR="00F079D4" w:rsidRPr="00C8351C">
        <w:rPr>
          <w:color w:val="auto"/>
        </w:rPr>
        <w:t xml:space="preserve">late </w:t>
      </w:r>
      <w:r w:rsidR="000A3E48" w:rsidRPr="00C8351C">
        <w:rPr>
          <w:color w:val="auto"/>
        </w:rPr>
        <w:t>2025.</w:t>
      </w:r>
    </w:p>
    <w:p w14:paraId="25D55FA7" w14:textId="77777777" w:rsidR="00F079D4" w:rsidRPr="00C8351C" w:rsidRDefault="00F079D4" w:rsidP="00F079D4">
      <w:pPr>
        <w:spacing w:after="120" w:line="276" w:lineRule="auto"/>
        <w:rPr>
          <w:color w:val="auto"/>
          <w:highlight w:val="yellow"/>
        </w:rPr>
      </w:pPr>
      <w:r w:rsidRPr="00C8351C">
        <w:rPr>
          <w:color w:val="auto"/>
        </w:rPr>
        <w:t xml:space="preserve">The Holtze Land Release includes provisions for Social Housing to be developed and returned to the Territory at nil cost. </w:t>
      </w:r>
    </w:p>
    <w:p w14:paraId="4D5DBB65" w14:textId="423FED67" w:rsidR="00FF43A9" w:rsidRPr="006E36C6" w:rsidRDefault="00FF43A9" w:rsidP="00FF43A9">
      <w:pPr>
        <w:rPr>
          <w:bCs/>
          <w:i/>
          <w:iCs/>
          <w:color w:val="auto"/>
        </w:rPr>
      </w:pPr>
      <w:r w:rsidRPr="009B2FBE">
        <w:rPr>
          <w:rFonts w:ascii="Calibri Light" w:hAnsi="Calibri Light" w:cs="Arial"/>
          <w:b/>
          <w:kern w:val="32"/>
          <w:sz w:val="28"/>
          <w:szCs w:val="26"/>
        </w:rPr>
        <w:t>Social housing requirements for greenfield land</w:t>
      </w:r>
      <w:r>
        <w:t xml:space="preserve"> </w:t>
      </w:r>
      <w:r>
        <w:br/>
      </w:r>
      <w:r w:rsidRPr="00FF43A9">
        <w:rPr>
          <w:i/>
          <w:iCs/>
          <w:color w:val="2683C6" w:themeColor="accent6"/>
        </w:rPr>
        <w:t>Update</w:t>
      </w:r>
      <w:r>
        <w:rPr>
          <w:i/>
          <w:iCs/>
        </w:rPr>
        <w:t>: Ongoing | First reported in March 2024</w:t>
      </w:r>
      <w:r w:rsidR="00311ED5">
        <w:rPr>
          <w:i/>
          <w:iCs/>
        </w:rPr>
        <w:t xml:space="preserve"> / </w:t>
      </w:r>
      <w:r w:rsidR="00311ED5" w:rsidRPr="006E36C6">
        <w:rPr>
          <w:bCs/>
          <w:i/>
          <w:iCs/>
          <w:color w:val="auto"/>
        </w:rPr>
        <w:t>Updated March 2025</w:t>
      </w:r>
    </w:p>
    <w:p w14:paraId="5052469A" w14:textId="63BC6439" w:rsidR="00FF43A9" w:rsidRDefault="00FF43A9" w:rsidP="0009344B">
      <w:pPr>
        <w:spacing w:line="276" w:lineRule="auto"/>
      </w:pPr>
      <w:r w:rsidRPr="002F218A">
        <w:t xml:space="preserve">The NT Government incorporates provisions akin to inclusionary zoning for affordable and social housing within many greenfield land releases in urban areas of the NT, through development agreements between the NT Government and private developers. </w:t>
      </w:r>
    </w:p>
    <w:p w14:paraId="7F6B5E07" w14:textId="77777777" w:rsidR="00FF43A9" w:rsidRDefault="00FF43A9" w:rsidP="0009344B">
      <w:pPr>
        <w:spacing w:line="276" w:lineRule="auto"/>
        <w:rPr>
          <w:iCs/>
        </w:rPr>
      </w:pPr>
      <w:r>
        <w:rPr>
          <w:iCs/>
        </w:rPr>
        <w:t xml:space="preserve">The </w:t>
      </w:r>
      <w:r w:rsidRPr="00E003E5">
        <w:rPr>
          <w:iCs/>
        </w:rPr>
        <w:t xml:space="preserve">NT Government </w:t>
      </w:r>
      <w:proofErr w:type="gramStart"/>
      <w:r w:rsidRPr="00E003E5">
        <w:rPr>
          <w:iCs/>
        </w:rPr>
        <w:t>is able to</w:t>
      </w:r>
      <w:proofErr w:type="gramEnd"/>
      <w:r w:rsidRPr="00E003E5">
        <w:rPr>
          <w:iCs/>
        </w:rPr>
        <w:t xml:space="preserve"> influence the proportion of new development that must be allocated for social and affordable housing.</w:t>
      </w:r>
    </w:p>
    <w:p w14:paraId="0F04C10B" w14:textId="625FFADB" w:rsidR="000A3E48" w:rsidRPr="006E36C6" w:rsidRDefault="000A3E48" w:rsidP="000A3E48">
      <w:pPr>
        <w:spacing w:after="120" w:line="276" w:lineRule="auto"/>
        <w:rPr>
          <w:color w:val="auto"/>
        </w:rPr>
      </w:pPr>
      <w:r w:rsidRPr="006E36C6">
        <w:rPr>
          <w:color w:val="auto"/>
        </w:rPr>
        <w:t xml:space="preserve">In March 2025, the Australian Government announced funding of $25 million to boost housing in the </w:t>
      </w:r>
      <w:r w:rsidR="003C2CD6" w:rsidRPr="006E36C6">
        <w:rPr>
          <w:color w:val="auto"/>
        </w:rPr>
        <w:t>NT</w:t>
      </w:r>
      <w:r w:rsidRPr="006E36C6">
        <w:rPr>
          <w:color w:val="auto"/>
        </w:rPr>
        <w:t xml:space="preserve"> through the Australian Government’s Housing Support Program Priority Works Stream. This funding includes $11 million to upgrade existing infrastructure networks (power, water and sewer) in Palmerston, which will support further development at Farrar West. </w:t>
      </w:r>
    </w:p>
    <w:p w14:paraId="446E8036" w14:textId="77777777" w:rsidR="000A3E48" w:rsidRPr="006E36C6" w:rsidRDefault="000A3E48" w:rsidP="000A3E48">
      <w:pPr>
        <w:spacing w:after="120" w:line="276" w:lineRule="auto"/>
        <w:rPr>
          <w:color w:val="auto"/>
        </w:rPr>
      </w:pPr>
      <w:r w:rsidRPr="006E36C6">
        <w:rPr>
          <w:color w:val="auto"/>
        </w:rPr>
        <w:t xml:space="preserve">Government is negotiating with the Larrakia Development Corporation for delivery of a residential subdivision at Farrar West as part of the settlement of the </w:t>
      </w:r>
      <w:proofErr w:type="spellStart"/>
      <w:r w:rsidRPr="006E36C6">
        <w:rPr>
          <w:color w:val="auto"/>
        </w:rPr>
        <w:t>Kenbi</w:t>
      </w:r>
      <w:proofErr w:type="spellEnd"/>
      <w:r w:rsidRPr="006E36C6">
        <w:rPr>
          <w:color w:val="auto"/>
        </w:rPr>
        <w:t xml:space="preserve"> Land Claim, and to further support the release of residential land for future population growth. This development could provide up to 300 residential homes well located close to the Palmerston CBD, with provision for 5% of lots to be returned to the NT for Social Housing and 10% of lots to be allocated for Affordable Housing. </w:t>
      </w:r>
    </w:p>
    <w:p w14:paraId="779BBCA9" w14:textId="5F405D8D" w:rsidR="00031062" w:rsidRDefault="00793BD9" w:rsidP="002177DD">
      <w:pPr>
        <w:pStyle w:val="Heading2"/>
      </w:pPr>
      <w:bookmarkStart w:id="40" w:name="_Toc224740261"/>
      <w:r>
        <w:lastRenderedPageBreak/>
        <w:t>Reforms to non-planning barriers preventing a diversity of housing</w:t>
      </w:r>
      <w:bookmarkEnd w:id="37"/>
      <w:bookmarkEnd w:id="38"/>
      <w:bookmarkEnd w:id="39"/>
      <w:bookmarkEnd w:id="40"/>
    </w:p>
    <w:p w14:paraId="180CF813" w14:textId="77777777" w:rsidR="00442319" w:rsidRDefault="00442319" w:rsidP="00B17E83">
      <w:pPr>
        <w:spacing w:after="120" w:line="276" w:lineRule="auto"/>
      </w:pPr>
      <w:r>
        <w:t>The l</w:t>
      </w:r>
      <w:r w:rsidR="0058723F" w:rsidRPr="00442C78">
        <w:t>ack of scale (i.e. population) in the NT strongly impacts the commercial viability of higher construction cost, large scale single buildings or integrated developments generally</w:t>
      </w:r>
      <w:r w:rsidR="0058723F">
        <w:t xml:space="preserve">. </w:t>
      </w:r>
    </w:p>
    <w:p w14:paraId="1AA05F10" w14:textId="72E042E7" w:rsidR="00AB600C" w:rsidRDefault="00AB600C"/>
    <w:p w14:paraId="20738D2F" w14:textId="77777777" w:rsidR="00AB600C" w:rsidRDefault="00AB600C"/>
    <w:p w14:paraId="087FD693" w14:textId="41C88A11" w:rsidR="003C2CD6" w:rsidRDefault="003C2CD6">
      <w:pPr>
        <w:spacing w:before="0" w:after="160" w:line="259" w:lineRule="auto"/>
      </w:pPr>
      <w: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440B1E" w14:paraId="621B1C54" w14:textId="77777777" w:rsidTr="003074FE">
        <w:tc>
          <w:tcPr>
            <w:tcW w:w="5000" w:type="pct"/>
            <w:shd w:val="clear" w:color="auto" w:fill="CEDBE6" w:themeFill="background2"/>
            <w:hideMark/>
          </w:tcPr>
          <w:p w14:paraId="66CAA1DD" w14:textId="5AD24FC7" w:rsidR="00440B1E" w:rsidRDefault="00C40C8B" w:rsidP="000D779E">
            <w:pPr>
              <w:pStyle w:val="Heading1"/>
              <w:rPr>
                <w:lang w:eastAsia="en-US"/>
              </w:rPr>
            </w:pPr>
            <w:bookmarkStart w:id="41" w:name="_Toc168064971"/>
            <w:bookmarkStart w:id="42" w:name="_Toc168065282"/>
            <w:bookmarkStart w:id="43" w:name="_Toc224740262"/>
            <w:r>
              <w:rPr>
                <w:lang w:eastAsia="en-US"/>
              </w:rPr>
              <w:lastRenderedPageBreak/>
              <w:t>Measure 6</w:t>
            </w:r>
            <w:bookmarkEnd w:id="41"/>
            <w:bookmarkEnd w:id="42"/>
            <w:bookmarkEnd w:id="43"/>
          </w:p>
          <w:p w14:paraId="2378888C" w14:textId="51A1C17B" w:rsidR="00440B1E" w:rsidRDefault="000D779E" w:rsidP="000D779E">
            <w:pPr>
              <w:pStyle w:val="Boxdoubledot"/>
              <w:numPr>
                <w:ilvl w:val="0"/>
                <w:numId w:val="0"/>
              </w:numPr>
            </w:pPr>
            <w:r w:rsidRPr="00793BD9">
              <w:rPr>
                <w:rFonts w:eastAsia="Times New Roman"/>
                <w:color w:val="000000" w:themeColor="text1"/>
                <w:sz w:val="24"/>
                <w:szCs w:val="24"/>
                <w:lang w:eastAsia="en-AU"/>
              </w:rPr>
              <w:t>Planning Ministers will create accelerated development pathways and streamline approval processes for eligible development types, particularly in well-located areas, including to support the rapid delivery of social and affordable housing.</w:t>
            </w:r>
          </w:p>
        </w:tc>
      </w:tr>
    </w:tbl>
    <w:p w14:paraId="1CD829AE" w14:textId="6BAB21AB" w:rsidR="00C550AE" w:rsidRDefault="00B3354D" w:rsidP="00B037A9">
      <w:pPr>
        <w:pStyle w:val="Heading2"/>
      </w:pPr>
      <w:bookmarkStart w:id="44" w:name="_Toc224740263"/>
      <w:bookmarkStart w:id="45" w:name="_Toc168064973"/>
      <w:bookmarkStart w:id="46" w:name="_Toc168065284"/>
      <w:bookmarkStart w:id="47" w:name="_Toc160799710"/>
      <w:r>
        <w:t>Identifying b</w:t>
      </w:r>
      <w:r w:rsidR="00D737A4">
        <w:t xml:space="preserve">arriers </w:t>
      </w:r>
      <w:r w:rsidR="007210B4">
        <w:t>in</w:t>
      </w:r>
      <w:r w:rsidR="006E4A0D">
        <w:t xml:space="preserve"> </w:t>
      </w:r>
      <w:r>
        <w:t>development approval</w:t>
      </w:r>
      <w:r w:rsidR="004C5A05">
        <w:t>s</w:t>
      </w:r>
      <w:bookmarkEnd w:id="44"/>
    </w:p>
    <w:p w14:paraId="6C104DEE" w14:textId="7CF0EA7D" w:rsidR="00B3354D" w:rsidRDefault="006D64C9" w:rsidP="007034AC">
      <w:pPr>
        <w:pStyle w:val="Heading3"/>
      </w:pPr>
      <w:bookmarkStart w:id="48" w:name="_Toc224740264"/>
      <w:r>
        <w:t>Key b</w:t>
      </w:r>
      <w:r w:rsidR="00B3354D">
        <w:t>arriers to the timely issuing of development approvals</w:t>
      </w:r>
      <w:bookmarkEnd w:id="48"/>
    </w:p>
    <w:p w14:paraId="4C1B9650" w14:textId="5A5D28B6" w:rsidR="00AB600C" w:rsidRDefault="00BE4BE5" w:rsidP="00B17E83">
      <w:pPr>
        <w:spacing w:after="120" w:line="276" w:lineRule="auto"/>
      </w:pPr>
      <w:r w:rsidRPr="00AB600C">
        <w:t xml:space="preserve">The simplicity </w:t>
      </w:r>
      <w:r w:rsidR="00A616BE" w:rsidRPr="00AB600C">
        <w:t>of the NT planning system, including that the NT Planning Scheme applies across the Territory and in all local government areas, significantly reduces</w:t>
      </w:r>
      <w:r w:rsidR="00AB600C">
        <w:t xml:space="preserve"> many potential</w:t>
      </w:r>
      <w:r w:rsidRPr="00AB600C">
        <w:t xml:space="preserve"> barriers to the timely </w:t>
      </w:r>
      <w:r w:rsidR="00A616BE" w:rsidRPr="00AB600C">
        <w:t xml:space="preserve">issuing of development approvals. </w:t>
      </w:r>
    </w:p>
    <w:p w14:paraId="42EFC3D4" w14:textId="6E15E1FE" w:rsidR="005744F2" w:rsidRDefault="005744F2" w:rsidP="00B17E83">
      <w:pPr>
        <w:spacing w:after="120" w:line="276" w:lineRule="auto"/>
      </w:pPr>
      <w:r>
        <w:t>Key barriers that have a significant impact on the delivery of new social and affordable housing supply include negative (not-in-my-back-yard) community sentiment, seasonal weather patterns (delivery delays), constrained construction industry capacity and skilled labour shortages, and high construction costs relative to land and property values.</w:t>
      </w:r>
    </w:p>
    <w:p w14:paraId="24931AC9" w14:textId="0282386C" w:rsidR="00A76481" w:rsidRDefault="00B3354D" w:rsidP="00DB210E">
      <w:pPr>
        <w:pStyle w:val="Heading3"/>
      </w:pPr>
      <w:bookmarkStart w:id="49" w:name="_Toc224740265"/>
      <w:r>
        <w:t xml:space="preserve">Barriers </w:t>
      </w:r>
      <w:r w:rsidR="001D1815">
        <w:t xml:space="preserve">to delivering housing where </w:t>
      </w:r>
      <w:r w:rsidR="00A76481">
        <w:t>development approvals have been granted</w:t>
      </w:r>
      <w:bookmarkEnd w:id="49"/>
    </w:p>
    <w:p w14:paraId="0ECC222B" w14:textId="77777777" w:rsidR="008931FB" w:rsidRDefault="008931FB" w:rsidP="00B17E83">
      <w:pPr>
        <w:pStyle w:val="Heading4"/>
        <w:spacing w:before="240"/>
        <w:rPr>
          <w:rFonts w:asciiTheme="minorHAnsi" w:hAnsiTheme="minorHAnsi" w:cs="Times New Roman"/>
          <w:b w:val="0"/>
          <w:kern w:val="0"/>
          <w:sz w:val="22"/>
          <w:szCs w:val="20"/>
        </w:rPr>
      </w:pPr>
      <w:r w:rsidRPr="00AB57EC">
        <w:rPr>
          <w:rFonts w:asciiTheme="minorHAnsi" w:hAnsiTheme="minorHAnsi" w:cs="Times New Roman"/>
          <w:b w:val="0"/>
          <w:kern w:val="0"/>
          <w:sz w:val="22"/>
          <w:szCs w:val="20"/>
        </w:rPr>
        <w:t xml:space="preserve">Key barriers that have a significant impact on the delivery of new housing include seasonal weather patterns (delivery delays), constrained construction industry capacity and skilled labour shortages, and high construction costs relative to land and property values. </w:t>
      </w:r>
    </w:p>
    <w:p w14:paraId="1D925559" w14:textId="77777777" w:rsidR="00FE7048" w:rsidRPr="00C8351C" w:rsidRDefault="00FE7048" w:rsidP="00FE7048">
      <w:pPr>
        <w:rPr>
          <w:rFonts w:ascii="Calibri Light" w:hAnsi="Calibri Light" w:cs="Arial"/>
          <w:b/>
          <w:color w:val="auto"/>
          <w:kern w:val="32"/>
          <w:sz w:val="28"/>
          <w:szCs w:val="26"/>
        </w:rPr>
      </w:pPr>
      <w:r w:rsidRPr="00C8351C">
        <w:rPr>
          <w:rFonts w:ascii="Calibri Light" w:hAnsi="Calibri Light" w:cs="Arial"/>
          <w:b/>
          <w:color w:val="auto"/>
          <w:kern w:val="32"/>
          <w:sz w:val="28"/>
          <w:szCs w:val="26"/>
        </w:rPr>
        <w:t>Initiatives to Streamline Planning Processes Post Approval</w:t>
      </w:r>
    </w:p>
    <w:p w14:paraId="11E10111" w14:textId="77777777" w:rsidR="00FE7048" w:rsidRPr="00C8351C" w:rsidRDefault="00FE7048" w:rsidP="00FE7048">
      <w:pPr>
        <w:rPr>
          <w:i/>
          <w:iCs/>
          <w:color w:val="auto"/>
        </w:rPr>
      </w:pPr>
      <w:r w:rsidRPr="00C8351C">
        <w:rPr>
          <w:i/>
          <w:iCs/>
          <w:color w:val="auto"/>
        </w:rPr>
        <w:t xml:space="preserve">Enacted 29 April 2025| First reported in September 2025 </w:t>
      </w:r>
    </w:p>
    <w:p w14:paraId="7FF29275" w14:textId="77777777" w:rsidR="00FE7048" w:rsidRPr="00C8351C" w:rsidRDefault="00FE7048" w:rsidP="00FE7048">
      <w:pPr>
        <w:rPr>
          <w:color w:val="auto"/>
        </w:rPr>
      </w:pPr>
      <w:r w:rsidRPr="00C8351C">
        <w:rPr>
          <w:color w:val="auto"/>
        </w:rPr>
        <w:t>After planning approval has been granted there are sometimes changes made to an application or other planning processes that must be followed to enable development to occur. The following improvements have been made to shorten timeframes associated with such post application matters.</w:t>
      </w:r>
    </w:p>
    <w:p w14:paraId="17E995EE" w14:textId="1D134D07" w:rsidR="00FE7048" w:rsidRPr="00C8351C" w:rsidRDefault="00FE7048" w:rsidP="00FE7048">
      <w:pPr>
        <w:pStyle w:val="ListParagraph"/>
        <w:numPr>
          <w:ilvl w:val="0"/>
          <w:numId w:val="36"/>
        </w:numPr>
        <w:rPr>
          <w:color w:val="auto"/>
        </w:rPr>
      </w:pPr>
      <w:r w:rsidRPr="00C8351C">
        <w:rPr>
          <w:color w:val="auto"/>
        </w:rPr>
        <w:t xml:space="preserve">Historically, when a planning application is completed, subsequent changes are limited to a </w:t>
      </w:r>
      <w:r w:rsidR="00104706" w:rsidRPr="00C8351C">
        <w:rPr>
          <w:color w:val="auto"/>
        </w:rPr>
        <w:br/>
      </w:r>
      <w:r w:rsidRPr="00C8351C">
        <w:rPr>
          <w:color w:val="auto"/>
        </w:rPr>
        <w:t xml:space="preserve">5% threshold. If proposed changes exceed this 5% threshold, even if they improve compliance with the planning scheme, a new planning application must be submitted, which often involves further public exhibition. </w:t>
      </w:r>
    </w:p>
    <w:p w14:paraId="77299603" w14:textId="77777777" w:rsidR="00FE7048" w:rsidRPr="00C8351C" w:rsidRDefault="00FE7048" w:rsidP="00FE7048">
      <w:pPr>
        <w:pStyle w:val="ListParagraph"/>
        <w:rPr>
          <w:color w:val="auto"/>
        </w:rPr>
      </w:pPr>
    </w:p>
    <w:p w14:paraId="116CE708" w14:textId="77777777" w:rsidR="00FE7048" w:rsidRPr="00C8351C" w:rsidRDefault="00FE7048" w:rsidP="00FE7048">
      <w:pPr>
        <w:pStyle w:val="ListParagraph"/>
        <w:ind w:left="360"/>
        <w:rPr>
          <w:color w:val="auto"/>
        </w:rPr>
      </w:pPr>
      <w:r w:rsidRPr="00C8351C">
        <w:rPr>
          <w:color w:val="auto"/>
        </w:rPr>
        <w:lastRenderedPageBreak/>
        <w:t xml:space="preserve">Recent modifications to the </w:t>
      </w:r>
      <w:r w:rsidRPr="00C8351C">
        <w:rPr>
          <w:i/>
          <w:iCs/>
          <w:color w:val="auto"/>
        </w:rPr>
        <w:t>Planning Act 1999</w:t>
      </w:r>
      <w:r w:rsidRPr="00C8351C">
        <w:rPr>
          <w:color w:val="auto"/>
        </w:rPr>
        <w:t xml:space="preserve"> now allow changes </w:t>
      </w:r>
      <w:proofErr w:type="gramStart"/>
      <w:r w:rsidRPr="00C8351C">
        <w:rPr>
          <w:color w:val="auto"/>
        </w:rPr>
        <w:t>as long as</w:t>
      </w:r>
      <w:proofErr w:type="gramEnd"/>
      <w:r w:rsidRPr="00C8351C">
        <w:rPr>
          <w:color w:val="auto"/>
        </w:rPr>
        <w:t xml:space="preserve"> they do not increase non-compliance with any measurable aspect of the development by more than 5% or impact on amenity. This change is expected to reduce delays associated with last-minute modifications and help streamline the development process.</w:t>
      </w:r>
    </w:p>
    <w:p w14:paraId="19E7CDCA" w14:textId="77777777" w:rsidR="00FE7048" w:rsidRPr="00C8351C" w:rsidRDefault="00FE7048" w:rsidP="00FE7048">
      <w:pPr>
        <w:pStyle w:val="ListParagraph"/>
        <w:ind w:left="360"/>
        <w:rPr>
          <w:b/>
          <w:color w:val="auto"/>
        </w:rPr>
      </w:pPr>
    </w:p>
    <w:p w14:paraId="6CCE747B" w14:textId="77777777" w:rsidR="00FE7048" w:rsidRPr="00C8351C" w:rsidRDefault="00FE7048" w:rsidP="00FE7048">
      <w:pPr>
        <w:pStyle w:val="ListParagraph"/>
        <w:numPr>
          <w:ilvl w:val="0"/>
          <w:numId w:val="36"/>
        </w:numPr>
        <w:spacing w:before="120" w:after="120"/>
        <w:ind w:hanging="357"/>
        <w:contextualSpacing w:val="0"/>
        <w:rPr>
          <w:color w:val="auto"/>
        </w:rPr>
      </w:pPr>
      <w:r w:rsidRPr="00C8351C">
        <w:rPr>
          <w:color w:val="auto"/>
        </w:rPr>
        <w:t xml:space="preserve">The Minister has declared certain classes of planning scheme amendments that do not require public exhibition under the </w:t>
      </w:r>
      <w:r w:rsidRPr="00C8351C">
        <w:rPr>
          <w:i/>
          <w:iCs/>
          <w:color w:val="auto"/>
        </w:rPr>
        <w:t>Planning Act 1999</w:t>
      </w:r>
      <w:r w:rsidRPr="00C8351C">
        <w:rPr>
          <w:color w:val="auto"/>
        </w:rPr>
        <w:t>. This is another tool that will reduce timeframes associated with proposals to amend the NT Planning Scheme by removing duplicative exhibition requirements. These include:</w:t>
      </w:r>
    </w:p>
    <w:p w14:paraId="47577211" w14:textId="02AC0E0D" w:rsidR="00FE7048" w:rsidRPr="00C8351C" w:rsidRDefault="00104706" w:rsidP="00FE7048">
      <w:pPr>
        <w:pStyle w:val="ListParagraph"/>
        <w:numPr>
          <w:ilvl w:val="1"/>
          <w:numId w:val="36"/>
        </w:numPr>
        <w:spacing w:before="120" w:after="120"/>
        <w:contextualSpacing w:val="0"/>
        <w:rPr>
          <w:color w:val="auto"/>
        </w:rPr>
      </w:pPr>
      <w:r w:rsidRPr="00C8351C">
        <w:rPr>
          <w:color w:val="auto"/>
        </w:rPr>
        <w:t>a</w:t>
      </w:r>
      <w:r w:rsidR="00FE7048" w:rsidRPr="00C8351C">
        <w:rPr>
          <w:color w:val="auto"/>
        </w:rPr>
        <w:t>mendments which will facilitate the ‘normalisation’ of land – i.e. through the rezoning of land that is zoned FD (Future Development) or Specific Use Zone if it is consistent with an approved development application for subdivision; and</w:t>
      </w:r>
    </w:p>
    <w:p w14:paraId="00BFD8DC" w14:textId="2BA8F706" w:rsidR="00FE7048" w:rsidRPr="00C8351C" w:rsidRDefault="00104706" w:rsidP="00FE7048">
      <w:pPr>
        <w:pStyle w:val="ListParagraph"/>
        <w:numPr>
          <w:ilvl w:val="1"/>
          <w:numId w:val="36"/>
        </w:numPr>
        <w:spacing w:before="120" w:after="120"/>
        <w:contextualSpacing w:val="0"/>
        <w:rPr>
          <w:color w:val="auto"/>
        </w:rPr>
      </w:pPr>
      <w:r w:rsidRPr="00C8351C">
        <w:rPr>
          <w:color w:val="auto"/>
        </w:rPr>
        <w:t>a</w:t>
      </w:r>
      <w:r w:rsidR="00FE7048" w:rsidRPr="00C8351C">
        <w:rPr>
          <w:color w:val="auto"/>
        </w:rPr>
        <w:t xml:space="preserve">mendments to add a building setback plan to schedule 9 of the Planning Scheme, if the plan was previously exhibited under the </w:t>
      </w:r>
      <w:r w:rsidR="00FE7048" w:rsidRPr="00C8351C">
        <w:rPr>
          <w:i/>
          <w:iCs/>
          <w:color w:val="auto"/>
        </w:rPr>
        <w:t>Planning Act 1999</w:t>
      </w:r>
      <w:r w:rsidR="00FE7048" w:rsidRPr="00C8351C">
        <w:rPr>
          <w:color w:val="auto"/>
        </w:rPr>
        <w:t xml:space="preserve"> as part of an approved development application for subdivision.</w:t>
      </w:r>
    </w:p>
    <w:p w14:paraId="4629F542" w14:textId="135F17FA" w:rsidR="00530A51" w:rsidRPr="00C8351C" w:rsidRDefault="00530A51" w:rsidP="00530A51">
      <w:pPr>
        <w:rPr>
          <w:rFonts w:ascii="Calibri Light" w:hAnsi="Calibri Light" w:cs="Arial"/>
          <w:b/>
          <w:color w:val="auto"/>
          <w:kern w:val="32"/>
          <w:sz w:val="28"/>
          <w:szCs w:val="26"/>
        </w:rPr>
      </w:pPr>
      <w:r w:rsidRPr="00C8351C">
        <w:rPr>
          <w:rFonts w:ascii="Calibri Light" w:hAnsi="Calibri Light" w:cs="Arial"/>
          <w:b/>
          <w:color w:val="auto"/>
          <w:kern w:val="32"/>
          <w:sz w:val="28"/>
          <w:szCs w:val="26"/>
        </w:rPr>
        <w:t xml:space="preserve">Place Naming </w:t>
      </w:r>
    </w:p>
    <w:p w14:paraId="52B2C6FB" w14:textId="32F3E6E2" w:rsidR="00530A51" w:rsidRPr="00C8351C" w:rsidRDefault="00530A51" w:rsidP="00530A51">
      <w:pPr>
        <w:rPr>
          <w:i/>
          <w:iCs/>
          <w:color w:val="auto"/>
        </w:rPr>
      </w:pPr>
      <w:r w:rsidRPr="00C8351C">
        <w:rPr>
          <w:i/>
          <w:iCs/>
          <w:color w:val="auto"/>
        </w:rPr>
        <w:t xml:space="preserve">First reported in September 2025 </w:t>
      </w:r>
    </w:p>
    <w:p w14:paraId="0391654F" w14:textId="4997B110" w:rsidR="00530A51" w:rsidRPr="00C8351C" w:rsidRDefault="00530A51" w:rsidP="00AB70FF">
      <w:pPr>
        <w:pStyle w:val="Heading4"/>
        <w:spacing w:before="240"/>
        <w:rPr>
          <w:rFonts w:asciiTheme="minorHAnsi" w:hAnsiTheme="minorHAnsi" w:cs="Times New Roman"/>
          <w:b w:val="0"/>
          <w:color w:val="auto"/>
          <w:kern w:val="0"/>
          <w:sz w:val="22"/>
          <w:szCs w:val="20"/>
        </w:rPr>
      </w:pPr>
      <w:r w:rsidRPr="00C8351C">
        <w:rPr>
          <w:rFonts w:asciiTheme="minorHAnsi" w:hAnsiTheme="minorHAnsi" w:cs="Times New Roman"/>
          <w:b w:val="0"/>
          <w:color w:val="auto"/>
          <w:kern w:val="0"/>
          <w:sz w:val="22"/>
          <w:szCs w:val="20"/>
        </w:rPr>
        <w:t xml:space="preserve">The current process of naming streets and parks in subdivisions is time consuming and requires months to undertake. If not commenced early in the subdivision process this can cause extensive delays as street names are required </w:t>
      </w:r>
      <w:proofErr w:type="gramStart"/>
      <w:r w:rsidRPr="00C8351C">
        <w:rPr>
          <w:rFonts w:asciiTheme="minorHAnsi" w:hAnsiTheme="minorHAnsi" w:cs="Times New Roman"/>
          <w:b w:val="0"/>
          <w:color w:val="auto"/>
          <w:kern w:val="0"/>
          <w:sz w:val="22"/>
          <w:szCs w:val="20"/>
        </w:rPr>
        <w:t>in order to</w:t>
      </w:r>
      <w:proofErr w:type="gramEnd"/>
      <w:r w:rsidRPr="00C8351C">
        <w:rPr>
          <w:rFonts w:asciiTheme="minorHAnsi" w:hAnsiTheme="minorHAnsi" w:cs="Times New Roman"/>
          <w:b w:val="0"/>
          <w:color w:val="auto"/>
          <w:kern w:val="0"/>
          <w:sz w:val="22"/>
          <w:szCs w:val="20"/>
        </w:rPr>
        <w:t xml:space="preserve"> connect services, and prior to settlement</w:t>
      </w:r>
      <w:r w:rsidR="0074505B" w:rsidRPr="00C8351C">
        <w:rPr>
          <w:rFonts w:asciiTheme="minorHAnsi" w:hAnsiTheme="minorHAnsi" w:cs="Times New Roman"/>
          <w:b w:val="0"/>
          <w:color w:val="auto"/>
          <w:kern w:val="0"/>
          <w:sz w:val="22"/>
          <w:szCs w:val="20"/>
        </w:rPr>
        <w:t>.</w:t>
      </w:r>
    </w:p>
    <w:p w14:paraId="3B4C8D06" w14:textId="7FA9FC46" w:rsidR="00530A51" w:rsidRPr="005F5D85" w:rsidRDefault="00530A51" w:rsidP="005F5D85">
      <w:pPr>
        <w:pStyle w:val="Heading4"/>
        <w:spacing w:before="240"/>
        <w:rPr>
          <w:rFonts w:asciiTheme="minorHAnsi" w:hAnsiTheme="minorHAnsi" w:cs="Times New Roman"/>
          <w:b w:val="0"/>
          <w:color w:val="auto"/>
          <w:kern w:val="0"/>
          <w:sz w:val="22"/>
          <w:szCs w:val="20"/>
        </w:rPr>
      </w:pPr>
      <w:r w:rsidRPr="00C8351C">
        <w:rPr>
          <w:rFonts w:asciiTheme="minorHAnsi" w:hAnsiTheme="minorHAnsi" w:cs="Times New Roman"/>
          <w:b w:val="0"/>
          <w:color w:val="auto"/>
          <w:kern w:val="0"/>
          <w:sz w:val="22"/>
          <w:szCs w:val="20"/>
        </w:rPr>
        <w:t xml:space="preserve">A pre-approved list of place names has been created by the </w:t>
      </w:r>
      <w:r w:rsidR="00A65FE0" w:rsidRPr="00C8351C">
        <w:rPr>
          <w:rFonts w:asciiTheme="minorHAnsi" w:hAnsiTheme="minorHAnsi" w:cs="Times New Roman"/>
          <w:b w:val="0"/>
          <w:color w:val="auto"/>
          <w:kern w:val="0"/>
          <w:sz w:val="22"/>
          <w:szCs w:val="20"/>
        </w:rPr>
        <w:t>NT</w:t>
      </w:r>
      <w:r w:rsidRPr="00C8351C">
        <w:rPr>
          <w:rFonts w:asciiTheme="minorHAnsi" w:hAnsiTheme="minorHAnsi" w:cs="Times New Roman"/>
          <w:b w:val="0"/>
          <w:color w:val="auto"/>
          <w:kern w:val="0"/>
          <w:sz w:val="22"/>
          <w:szCs w:val="20"/>
        </w:rPr>
        <w:t xml:space="preserve"> Government for the Holtze land release to streamline residential development. </w:t>
      </w:r>
      <w:r w:rsidR="00AB70FF" w:rsidRPr="00C8351C">
        <w:rPr>
          <w:rFonts w:asciiTheme="minorHAnsi" w:hAnsiTheme="minorHAnsi" w:cs="Times New Roman"/>
          <w:b w:val="0"/>
          <w:color w:val="auto"/>
          <w:kern w:val="0"/>
          <w:sz w:val="22"/>
          <w:szCs w:val="20"/>
        </w:rPr>
        <w:t xml:space="preserve">This included research, stakeholder engagement, consideration by the Place Naming Committee and approval by the Minister. </w:t>
      </w:r>
    </w:p>
    <w:p w14:paraId="4CAF3A36" w14:textId="30D52015" w:rsidR="009A5642" w:rsidRDefault="00AA64C4" w:rsidP="00A76481">
      <w:pPr>
        <w:pStyle w:val="Heading2"/>
      </w:pPr>
      <w:bookmarkStart w:id="50" w:name="_Toc224740266"/>
      <w:r>
        <w:t>R</w:t>
      </w:r>
      <w:r w:rsidR="00733A5E">
        <w:t>eform</w:t>
      </w:r>
      <w:bookmarkEnd w:id="45"/>
      <w:bookmarkEnd w:id="46"/>
      <w:r w:rsidR="00A02A1C">
        <w:t>s</w:t>
      </w:r>
      <w:r>
        <w:t xml:space="preserve"> to development approvals</w:t>
      </w:r>
      <w:bookmarkEnd w:id="50"/>
    </w:p>
    <w:p w14:paraId="7C413F31" w14:textId="21989FF2" w:rsidR="007E4764" w:rsidRDefault="007E4764" w:rsidP="007E4764">
      <w:pPr>
        <w:pStyle w:val="Heading3"/>
      </w:pPr>
      <w:bookmarkStart w:id="51" w:name="_Toc224740267"/>
      <w:r w:rsidRPr="00234634">
        <w:t>Reforms to social and affordable housing approval pathways</w:t>
      </w:r>
      <w:bookmarkEnd w:id="51"/>
    </w:p>
    <w:p w14:paraId="3736801E" w14:textId="3D6D0514" w:rsidR="00644157" w:rsidRPr="00C8351C" w:rsidRDefault="0074505B" w:rsidP="00644157">
      <w:pPr>
        <w:rPr>
          <w:color w:val="auto"/>
        </w:rPr>
      </w:pPr>
      <w:r w:rsidRPr="00C8351C">
        <w:rPr>
          <w:color w:val="auto"/>
        </w:rPr>
        <w:t xml:space="preserve">The </w:t>
      </w:r>
      <w:r w:rsidR="00644157" w:rsidRPr="00C8351C">
        <w:rPr>
          <w:color w:val="auto"/>
        </w:rPr>
        <w:t>Department of Housing</w:t>
      </w:r>
      <w:r w:rsidR="00EC2CC5" w:rsidRPr="00C8351C">
        <w:rPr>
          <w:color w:val="auto"/>
        </w:rPr>
        <w:t>,</w:t>
      </w:r>
      <w:r w:rsidR="00644157" w:rsidRPr="00C8351C">
        <w:rPr>
          <w:color w:val="auto"/>
        </w:rPr>
        <w:t xml:space="preserve"> Local Government and Community Development (DHLGCD) is continuing to work with Community Housing Providers to unlock pathways to the delivery of social and affordable housing. The former Chief Minister signed the Housing Accord 2022 with a target of 1</w:t>
      </w:r>
      <w:r w:rsidR="00104706" w:rsidRPr="00C8351C">
        <w:rPr>
          <w:color w:val="auto"/>
        </w:rPr>
        <w:t>,</w:t>
      </w:r>
      <w:r w:rsidR="00644157" w:rsidRPr="00C8351C">
        <w:rPr>
          <w:color w:val="auto"/>
        </w:rPr>
        <w:t xml:space="preserve">492 new social and affordable housing dwellings. </w:t>
      </w:r>
    </w:p>
    <w:p w14:paraId="40DDD64D" w14:textId="670386C6" w:rsidR="00644157" w:rsidRPr="00C8351C" w:rsidRDefault="00644157" w:rsidP="00644157">
      <w:pPr>
        <w:rPr>
          <w:color w:val="auto"/>
        </w:rPr>
      </w:pPr>
      <w:r w:rsidRPr="00C8351C">
        <w:rPr>
          <w:color w:val="auto"/>
        </w:rPr>
        <w:t xml:space="preserve">The first two HAFF rounds have resulted in a funding commitment for 168 new social and affordable homes. HAFF Round 3 is expected to be released late 2025, and DHLGCD have been working with community housing providers to identify potential projects for funding. The high cost of construction and low land values in the Northern Territory impacts the viability of projects, particularly in Katherine, Tennant Creek and Alice Springs. </w:t>
      </w:r>
    </w:p>
    <w:p w14:paraId="6C8CBF7B" w14:textId="3CA020EF" w:rsidR="00307B77" w:rsidRDefault="00307B77" w:rsidP="007E4764">
      <w:pPr>
        <w:pStyle w:val="Heading3"/>
      </w:pPr>
      <w:bookmarkStart w:id="52" w:name="_Toc224740268"/>
      <w:r>
        <w:lastRenderedPageBreak/>
        <w:t xml:space="preserve">Reforms </w:t>
      </w:r>
      <w:r w:rsidR="00503B7E">
        <w:t>address</w:t>
      </w:r>
      <w:r w:rsidR="007E4764">
        <w:t>ing</w:t>
      </w:r>
      <w:r w:rsidR="00503B7E">
        <w:t xml:space="preserve"> barriers to the </w:t>
      </w:r>
      <w:r w:rsidR="007E4764">
        <w:t>timely issuing of development approvals</w:t>
      </w:r>
      <w:bookmarkEnd w:id="52"/>
    </w:p>
    <w:p w14:paraId="5ACBB48E" w14:textId="5CE6FF02" w:rsidR="00732B4C" w:rsidRPr="00C8351C" w:rsidRDefault="00F76D9A" w:rsidP="00732B4C">
      <w:pPr>
        <w:rPr>
          <w:rFonts w:ascii="Calibri Light" w:hAnsi="Calibri Light" w:cs="Arial"/>
          <w:b/>
          <w:color w:val="auto"/>
          <w:kern w:val="32"/>
          <w:sz w:val="28"/>
          <w:szCs w:val="26"/>
        </w:rPr>
      </w:pPr>
      <w:bookmarkStart w:id="53" w:name="_Hlk214884447"/>
      <w:r w:rsidRPr="00C8351C">
        <w:rPr>
          <w:rFonts w:ascii="Calibri Light" w:hAnsi="Calibri Light" w:cs="Arial"/>
          <w:b/>
          <w:color w:val="auto"/>
          <w:kern w:val="32"/>
          <w:sz w:val="28"/>
          <w:szCs w:val="26"/>
        </w:rPr>
        <w:t xml:space="preserve">Initiatives to </w:t>
      </w:r>
      <w:r w:rsidR="00585CC6" w:rsidRPr="00C8351C">
        <w:rPr>
          <w:rFonts w:ascii="Calibri Light" w:hAnsi="Calibri Light" w:cs="Arial"/>
          <w:b/>
          <w:color w:val="auto"/>
          <w:kern w:val="32"/>
          <w:sz w:val="28"/>
          <w:szCs w:val="26"/>
        </w:rPr>
        <w:t xml:space="preserve">Fast Track and </w:t>
      </w:r>
      <w:r w:rsidRPr="00C8351C">
        <w:rPr>
          <w:rFonts w:ascii="Calibri Light" w:hAnsi="Calibri Light" w:cs="Arial"/>
          <w:b/>
          <w:color w:val="auto"/>
          <w:kern w:val="32"/>
          <w:sz w:val="28"/>
          <w:szCs w:val="26"/>
        </w:rPr>
        <w:t>Streamline Processes</w:t>
      </w:r>
    </w:p>
    <w:p w14:paraId="53DA837A" w14:textId="77777777" w:rsidR="00732B4C" w:rsidRPr="00C8351C" w:rsidRDefault="00732B4C" w:rsidP="00732B4C">
      <w:pPr>
        <w:rPr>
          <w:i/>
          <w:iCs/>
          <w:color w:val="auto"/>
        </w:rPr>
      </w:pPr>
      <w:r w:rsidRPr="00C8351C">
        <w:rPr>
          <w:i/>
          <w:iCs/>
          <w:color w:val="auto"/>
        </w:rPr>
        <w:t xml:space="preserve">Enacted 29 April 2025| First reported in September 2025 </w:t>
      </w:r>
    </w:p>
    <w:p w14:paraId="237E6E42" w14:textId="10B00016" w:rsidR="002A1964" w:rsidRPr="00C8351C" w:rsidRDefault="00C27739" w:rsidP="00732B4C">
      <w:pPr>
        <w:rPr>
          <w:color w:val="auto"/>
        </w:rPr>
      </w:pPr>
      <w:r w:rsidRPr="00C8351C">
        <w:rPr>
          <w:color w:val="auto"/>
        </w:rPr>
        <w:t>A</w:t>
      </w:r>
      <w:r w:rsidR="002A1964" w:rsidRPr="00C8351C">
        <w:rPr>
          <w:color w:val="auto"/>
        </w:rPr>
        <w:t xml:space="preserve"> review of all processes involved in progressing development application</w:t>
      </w:r>
      <w:r w:rsidR="00C05838" w:rsidRPr="00C8351C">
        <w:rPr>
          <w:color w:val="auto"/>
        </w:rPr>
        <w:t>s</w:t>
      </w:r>
      <w:r w:rsidR="002A1964" w:rsidRPr="00C8351C">
        <w:rPr>
          <w:color w:val="auto"/>
        </w:rPr>
        <w:t xml:space="preserve"> and planning scheme amendments</w:t>
      </w:r>
      <w:r w:rsidRPr="00C8351C">
        <w:rPr>
          <w:color w:val="auto"/>
        </w:rPr>
        <w:t xml:space="preserve"> has been undertaken</w:t>
      </w:r>
      <w:r w:rsidR="002A1964" w:rsidRPr="00C8351C">
        <w:rPr>
          <w:color w:val="auto"/>
        </w:rPr>
        <w:t>. The following improvements have been made to shorten timeframes associated with such applications.</w:t>
      </w:r>
    </w:p>
    <w:bookmarkEnd w:id="53"/>
    <w:p w14:paraId="00F2BBA3" w14:textId="086F3AB2" w:rsidR="00732B4C" w:rsidRPr="00C8351C" w:rsidRDefault="00C05838" w:rsidP="002A1964">
      <w:pPr>
        <w:pStyle w:val="ListParagraph"/>
        <w:numPr>
          <w:ilvl w:val="0"/>
          <w:numId w:val="36"/>
        </w:numPr>
        <w:rPr>
          <w:color w:val="auto"/>
        </w:rPr>
      </w:pPr>
      <w:r w:rsidRPr="00C8351C">
        <w:rPr>
          <w:color w:val="auto"/>
        </w:rPr>
        <w:t>A r</w:t>
      </w:r>
      <w:r w:rsidR="00732B4C" w:rsidRPr="00C8351C">
        <w:rPr>
          <w:color w:val="auto"/>
        </w:rPr>
        <w:t xml:space="preserve">eview of the Minister’s functions </w:t>
      </w:r>
      <w:r w:rsidR="00A65FE0" w:rsidRPr="00C8351C">
        <w:rPr>
          <w:color w:val="auto"/>
        </w:rPr>
        <w:t xml:space="preserve">under the </w:t>
      </w:r>
      <w:bookmarkStart w:id="54" w:name="_Hlk214885113"/>
      <w:r w:rsidR="00A65FE0" w:rsidRPr="00C8351C">
        <w:rPr>
          <w:i/>
          <w:iCs/>
          <w:color w:val="auto"/>
        </w:rPr>
        <w:t>Planning Act 1999</w:t>
      </w:r>
      <w:r w:rsidR="00A65FE0" w:rsidRPr="00C8351C">
        <w:rPr>
          <w:color w:val="auto"/>
        </w:rPr>
        <w:t xml:space="preserve"> </w:t>
      </w:r>
      <w:bookmarkEnd w:id="54"/>
      <w:r w:rsidR="00732B4C" w:rsidRPr="00C8351C">
        <w:rPr>
          <w:color w:val="auto"/>
        </w:rPr>
        <w:t xml:space="preserve">was conducted to identify opportunities for delegation aimed at streamlining processes. As a result, delegations were established to allow </w:t>
      </w:r>
      <w:r w:rsidR="00150A5C" w:rsidRPr="00C8351C">
        <w:rPr>
          <w:color w:val="auto"/>
        </w:rPr>
        <w:t xml:space="preserve">the </w:t>
      </w:r>
      <w:r w:rsidR="00732B4C" w:rsidRPr="00C8351C">
        <w:rPr>
          <w:color w:val="auto"/>
        </w:rPr>
        <w:t>Department</w:t>
      </w:r>
      <w:r w:rsidR="00150A5C" w:rsidRPr="00C8351C">
        <w:rPr>
          <w:color w:val="auto"/>
        </w:rPr>
        <w:t>’s Executive</w:t>
      </w:r>
      <w:r w:rsidR="00732B4C" w:rsidRPr="00C8351C">
        <w:rPr>
          <w:color w:val="auto"/>
        </w:rPr>
        <w:t xml:space="preserve"> staff to make initial decisions regarding </w:t>
      </w:r>
      <w:r w:rsidR="00A65FE0" w:rsidRPr="00C8351C">
        <w:rPr>
          <w:color w:val="auto"/>
        </w:rPr>
        <w:t>p</w:t>
      </w:r>
      <w:r w:rsidR="00732B4C" w:rsidRPr="00C8351C">
        <w:rPr>
          <w:color w:val="auto"/>
        </w:rPr>
        <w:t xml:space="preserve">lanning </w:t>
      </w:r>
      <w:r w:rsidR="00A65FE0" w:rsidRPr="00C8351C">
        <w:rPr>
          <w:color w:val="auto"/>
        </w:rPr>
        <w:t>s</w:t>
      </w:r>
      <w:r w:rsidR="00732B4C" w:rsidRPr="00C8351C">
        <w:rPr>
          <w:color w:val="auto"/>
        </w:rPr>
        <w:t xml:space="preserve">cheme </w:t>
      </w:r>
      <w:r w:rsidR="00A65FE0" w:rsidRPr="00C8351C">
        <w:rPr>
          <w:color w:val="auto"/>
        </w:rPr>
        <w:t>a</w:t>
      </w:r>
      <w:r w:rsidR="00732B4C" w:rsidRPr="00C8351C">
        <w:rPr>
          <w:color w:val="auto"/>
        </w:rPr>
        <w:t>mendments.</w:t>
      </w:r>
    </w:p>
    <w:p w14:paraId="7B15074C" w14:textId="7C000D72" w:rsidR="00732B4C" w:rsidRPr="00C8351C" w:rsidRDefault="00732B4C" w:rsidP="002A1964">
      <w:pPr>
        <w:ind w:left="360"/>
        <w:rPr>
          <w:color w:val="auto"/>
        </w:rPr>
      </w:pPr>
      <w:r w:rsidRPr="00C8351C">
        <w:rPr>
          <w:color w:val="auto"/>
        </w:rPr>
        <w:t xml:space="preserve">This initiative </w:t>
      </w:r>
      <w:r w:rsidR="002A1964" w:rsidRPr="00C8351C">
        <w:rPr>
          <w:color w:val="auto"/>
        </w:rPr>
        <w:t>reduces</w:t>
      </w:r>
      <w:r w:rsidRPr="00C8351C">
        <w:rPr>
          <w:color w:val="auto"/>
        </w:rPr>
        <w:t xml:space="preserve"> the number of people required to receive and review applications before they proceed to exhibition</w:t>
      </w:r>
      <w:r w:rsidR="00A65FE0" w:rsidRPr="00C8351C">
        <w:rPr>
          <w:color w:val="auto"/>
        </w:rPr>
        <w:t xml:space="preserve">, </w:t>
      </w:r>
      <w:r w:rsidR="000202D4" w:rsidRPr="00C8351C">
        <w:rPr>
          <w:color w:val="auto"/>
        </w:rPr>
        <w:t>saving</w:t>
      </w:r>
      <w:r w:rsidRPr="00C8351C">
        <w:rPr>
          <w:color w:val="auto"/>
        </w:rPr>
        <w:t xml:space="preserve"> time and </w:t>
      </w:r>
      <w:r w:rsidR="000202D4" w:rsidRPr="00C8351C">
        <w:rPr>
          <w:color w:val="auto"/>
        </w:rPr>
        <w:t>improving</w:t>
      </w:r>
      <w:r w:rsidRPr="00C8351C">
        <w:rPr>
          <w:color w:val="auto"/>
        </w:rPr>
        <w:t xml:space="preserve"> efficiency.</w:t>
      </w:r>
    </w:p>
    <w:p w14:paraId="02273B54" w14:textId="2BEA0F4B" w:rsidR="00E56C6F" w:rsidRPr="00C8351C" w:rsidRDefault="00E56C6F" w:rsidP="00E56C6F">
      <w:pPr>
        <w:pStyle w:val="ListParagraph"/>
        <w:numPr>
          <w:ilvl w:val="0"/>
          <w:numId w:val="36"/>
        </w:numPr>
        <w:rPr>
          <w:b/>
          <w:color w:val="auto"/>
        </w:rPr>
      </w:pPr>
      <w:bookmarkStart w:id="55" w:name="_Hlk214884478"/>
      <w:bookmarkStart w:id="56" w:name="_Toc168064974"/>
      <w:bookmarkStart w:id="57" w:name="_Toc168065285"/>
      <w:r w:rsidRPr="00C8351C">
        <w:rPr>
          <w:color w:val="auto"/>
        </w:rPr>
        <w:t xml:space="preserve">A legislative change was made to the </w:t>
      </w:r>
      <w:r w:rsidRPr="00C8351C">
        <w:rPr>
          <w:i/>
          <w:iCs/>
          <w:color w:val="auto"/>
        </w:rPr>
        <w:t>Planning Act 1999</w:t>
      </w:r>
      <w:r w:rsidRPr="00C8351C">
        <w:rPr>
          <w:color w:val="auto"/>
        </w:rPr>
        <w:t xml:space="preserve"> to </w:t>
      </w:r>
      <w:r w:rsidR="00A65FE0" w:rsidRPr="00C8351C">
        <w:rPr>
          <w:color w:val="auto"/>
        </w:rPr>
        <w:t>half the</w:t>
      </w:r>
      <w:r w:rsidRPr="00C8351C">
        <w:rPr>
          <w:color w:val="auto"/>
        </w:rPr>
        <w:t xml:space="preserve"> submission period for service authorities and local governments to make a submission on an application that does not require public exhibition. This will speed up the approval process by shortening review times, enabling faster decisions while still allowing authorities to provide input.</w:t>
      </w:r>
    </w:p>
    <w:p w14:paraId="5E0EA3E7" w14:textId="77777777" w:rsidR="00C27739" w:rsidRPr="00C8351C" w:rsidRDefault="00C27739" w:rsidP="00C27739">
      <w:pPr>
        <w:pStyle w:val="ListParagraph"/>
        <w:ind w:left="360"/>
        <w:rPr>
          <w:b/>
          <w:color w:val="auto"/>
        </w:rPr>
      </w:pPr>
    </w:p>
    <w:p w14:paraId="5C435A08" w14:textId="0B15F505" w:rsidR="00493407" w:rsidRPr="00C8351C" w:rsidRDefault="00493407" w:rsidP="000202D4">
      <w:pPr>
        <w:pStyle w:val="ListParagraph"/>
        <w:numPr>
          <w:ilvl w:val="0"/>
          <w:numId w:val="36"/>
        </w:numPr>
        <w:spacing w:before="120" w:after="120"/>
        <w:ind w:hanging="357"/>
        <w:contextualSpacing w:val="0"/>
        <w:rPr>
          <w:color w:val="auto"/>
        </w:rPr>
      </w:pPr>
      <w:r w:rsidRPr="00C8351C">
        <w:rPr>
          <w:color w:val="auto"/>
        </w:rPr>
        <w:t xml:space="preserve">The Minister has declared certain classes of planning scheme amendments that do not require public exhibition under the </w:t>
      </w:r>
      <w:r w:rsidRPr="00C8351C">
        <w:rPr>
          <w:i/>
          <w:iCs/>
          <w:color w:val="auto"/>
        </w:rPr>
        <w:t>Planning Act 1999</w:t>
      </w:r>
      <w:r w:rsidRPr="00C8351C">
        <w:rPr>
          <w:color w:val="auto"/>
        </w:rPr>
        <w:t xml:space="preserve">. This is another tool </w:t>
      </w:r>
      <w:r w:rsidR="004E2795" w:rsidRPr="00C8351C">
        <w:rPr>
          <w:color w:val="auto"/>
        </w:rPr>
        <w:t>that will</w:t>
      </w:r>
      <w:r w:rsidRPr="00C8351C">
        <w:rPr>
          <w:color w:val="auto"/>
        </w:rPr>
        <w:t xml:space="preserve"> reduce timeframes associated with proposals to amend the NT Planning Scheme by removing duplicative exhibition requirements and providing an accelerated assessment pathway for eligible low-risk amendments. These include:</w:t>
      </w:r>
    </w:p>
    <w:bookmarkEnd w:id="55"/>
    <w:p w14:paraId="1EE1C74A" w14:textId="135AB892" w:rsidR="00493407" w:rsidRPr="00C8351C" w:rsidRDefault="00104706" w:rsidP="000202D4">
      <w:pPr>
        <w:pStyle w:val="ListParagraph"/>
        <w:numPr>
          <w:ilvl w:val="0"/>
          <w:numId w:val="38"/>
        </w:numPr>
        <w:spacing w:before="120" w:after="120"/>
        <w:ind w:hanging="357"/>
        <w:contextualSpacing w:val="0"/>
        <w:rPr>
          <w:color w:val="auto"/>
        </w:rPr>
      </w:pPr>
      <w:r w:rsidRPr="00C8351C">
        <w:rPr>
          <w:color w:val="auto"/>
        </w:rPr>
        <w:t>a</w:t>
      </w:r>
      <w:r w:rsidR="00493407" w:rsidRPr="00C8351C">
        <w:rPr>
          <w:color w:val="auto"/>
        </w:rPr>
        <w:t>mendments to rezone land from Low Density Residential to Low-Medium Density Residential when the land is identified as an Area for Change in an Area Plan;</w:t>
      </w:r>
      <w:r w:rsidRPr="00C8351C">
        <w:rPr>
          <w:color w:val="auto"/>
        </w:rPr>
        <w:t xml:space="preserve"> and</w:t>
      </w:r>
    </w:p>
    <w:p w14:paraId="56A72850" w14:textId="0CDA7435" w:rsidR="00493407" w:rsidRPr="00C8351C" w:rsidRDefault="00104706" w:rsidP="000202D4">
      <w:pPr>
        <w:pStyle w:val="ListParagraph"/>
        <w:numPr>
          <w:ilvl w:val="0"/>
          <w:numId w:val="38"/>
        </w:numPr>
        <w:spacing w:before="120" w:after="120"/>
        <w:ind w:hanging="357"/>
        <w:contextualSpacing w:val="0"/>
        <w:rPr>
          <w:color w:val="auto"/>
        </w:rPr>
      </w:pPr>
      <w:r w:rsidRPr="00C8351C">
        <w:rPr>
          <w:color w:val="auto"/>
        </w:rPr>
        <w:t>a</w:t>
      </w:r>
      <w:r w:rsidR="00493407" w:rsidRPr="00C8351C">
        <w:rPr>
          <w:color w:val="auto"/>
        </w:rPr>
        <w:t xml:space="preserve">mendments to rezone land in a Major Remote Town, subject to conditions such as consultation with landowners and consistency with a strategic plan that has </w:t>
      </w:r>
      <w:r w:rsidR="00A65FE0" w:rsidRPr="00C8351C">
        <w:rPr>
          <w:color w:val="auto"/>
        </w:rPr>
        <w:t xml:space="preserve">already </w:t>
      </w:r>
      <w:r w:rsidR="00493407" w:rsidRPr="00C8351C">
        <w:rPr>
          <w:color w:val="auto"/>
        </w:rPr>
        <w:t>undergone community consultation.</w:t>
      </w:r>
    </w:p>
    <w:p w14:paraId="22F4CA89" w14:textId="733DDE5A" w:rsidR="00E811EF" w:rsidRDefault="00E811EF" w:rsidP="00E811EF">
      <w:pPr>
        <w:pStyle w:val="Heading4"/>
        <w:spacing w:after="0"/>
      </w:pPr>
      <w:r>
        <w:t xml:space="preserve">Planning approval process improvements - reduced red tape </w:t>
      </w:r>
    </w:p>
    <w:p w14:paraId="240AAAF6" w14:textId="77777777" w:rsidR="00E811EF" w:rsidRPr="001E05D7" w:rsidRDefault="00E811EF" w:rsidP="00E811EF">
      <w:pPr>
        <w:spacing w:before="0"/>
        <w:rPr>
          <w:i/>
          <w:iCs/>
        </w:rPr>
      </w:pPr>
      <w:r w:rsidRPr="001E05D7">
        <w:rPr>
          <w:i/>
          <w:iCs/>
        </w:rPr>
        <w:t>Enacted 31 July 2020</w:t>
      </w:r>
      <w:r>
        <w:rPr>
          <w:i/>
          <w:iCs/>
        </w:rPr>
        <w:t xml:space="preserve"> | First reported in March 2024</w:t>
      </w:r>
    </w:p>
    <w:p w14:paraId="484D53E4" w14:textId="77777777" w:rsidR="00E811EF" w:rsidRDefault="00E811EF" w:rsidP="00E811EF">
      <w:pPr>
        <w:pStyle w:val="Bullet"/>
        <w:numPr>
          <w:ilvl w:val="0"/>
          <w:numId w:val="0"/>
        </w:numPr>
        <w:spacing w:before="240" w:after="120"/>
      </w:pPr>
      <w:r>
        <w:t>On 31 July 2020, an amendment to the NT Planning Scheme took effect (associated with Government’s Planning Reform Initiative) which amongst other things, reduced regulatory burden and red tape associated with the planning approval process specifically for housing by:</w:t>
      </w:r>
    </w:p>
    <w:p w14:paraId="59983854" w14:textId="04481145" w:rsidR="00E811EF" w:rsidRDefault="00954C9C" w:rsidP="00104706">
      <w:pPr>
        <w:pStyle w:val="ListParagraph"/>
        <w:numPr>
          <w:ilvl w:val="0"/>
          <w:numId w:val="38"/>
        </w:numPr>
        <w:spacing w:before="120" w:after="120"/>
        <w:ind w:hanging="357"/>
        <w:contextualSpacing w:val="0"/>
      </w:pPr>
      <w:r w:rsidRPr="00104706">
        <w:rPr>
          <w:color w:val="auto"/>
        </w:rPr>
        <w:t>i</w:t>
      </w:r>
      <w:r w:rsidR="00E811EF" w:rsidRPr="00104706">
        <w:rPr>
          <w:color w:val="auto"/>
        </w:rPr>
        <w:t xml:space="preserve">ntroducing streamlined </w:t>
      </w:r>
      <w:r w:rsidR="00E811EF">
        <w:t xml:space="preserve">tracks of assessment for all ‘housing’ development applications </w:t>
      </w:r>
      <w:r>
        <w:br/>
      </w:r>
      <w:r w:rsidR="00E811EF">
        <w:t xml:space="preserve">(as well as </w:t>
      </w:r>
      <w:proofErr w:type="gramStart"/>
      <w:r w:rsidR="00E811EF">
        <w:t>a number of</w:t>
      </w:r>
      <w:proofErr w:type="gramEnd"/>
      <w:r w:rsidR="00E811EF">
        <w:t xml:space="preserve"> other types of developments). These applications now have the option of being assessed against only the basic ‘tick box’ planning requirements (such as height, setback, car parking etc.) and not </w:t>
      </w:r>
      <w:proofErr w:type="gramStart"/>
      <w:r w:rsidR="00E811EF">
        <w:t>whether or not</w:t>
      </w:r>
      <w:proofErr w:type="gramEnd"/>
      <w:r w:rsidR="00E811EF">
        <w:t xml:space="preserve"> they are appropriate in the location</w:t>
      </w:r>
      <w:r>
        <w:t>;</w:t>
      </w:r>
      <w:r w:rsidR="00E811EF">
        <w:t xml:space="preserve"> </w:t>
      </w:r>
    </w:p>
    <w:p w14:paraId="3FB5DAF0" w14:textId="1C05195B" w:rsidR="00E811EF" w:rsidRDefault="00954C9C" w:rsidP="00104706">
      <w:pPr>
        <w:pStyle w:val="ListParagraph"/>
        <w:numPr>
          <w:ilvl w:val="0"/>
          <w:numId w:val="38"/>
        </w:numPr>
        <w:spacing w:before="120" w:after="120"/>
        <w:ind w:hanging="357"/>
        <w:contextualSpacing w:val="0"/>
      </w:pPr>
      <w:r>
        <w:t>r</w:t>
      </w:r>
      <w:r w:rsidR="00E811EF">
        <w:t xml:space="preserve">emoving the </w:t>
      </w:r>
      <w:r w:rsidR="00E811EF" w:rsidRPr="00104706">
        <w:rPr>
          <w:color w:val="auto"/>
        </w:rPr>
        <w:t>need</w:t>
      </w:r>
      <w:r w:rsidR="00E811EF">
        <w:t xml:space="preserve"> for a planning application for fully compliant duplex developments</w:t>
      </w:r>
      <w:r>
        <w:t>; and</w:t>
      </w:r>
    </w:p>
    <w:p w14:paraId="3E9CFCA8" w14:textId="0AAA6E76" w:rsidR="00E811EF" w:rsidRDefault="00954C9C" w:rsidP="00104706">
      <w:pPr>
        <w:pStyle w:val="ListParagraph"/>
        <w:numPr>
          <w:ilvl w:val="0"/>
          <w:numId w:val="38"/>
        </w:numPr>
        <w:spacing w:before="120" w:after="120"/>
        <w:ind w:hanging="357"/>
        <w:contextualSpacing w:val="0"/>
      </w:pPr>
      <w:r>
        <w:lastRenderedPageBreak/>
        <w:t>c</w:t>
      </w:r>
      <w:r w:rsidR="00E811EF">
        <w:t xml:space="preserve">reating a much more flexible </w:t>
      </w:r>
      <w:proofErr w:type="gramStart"/>
      <w:r w:rsidR="00E811EF">
        <w:t>outcomes based</w:t>
      </w:r>
      <w:proofErr w:type="gramEnd"/>
      <w:r w:rsidR="00E811EF">
        <w:t xml:space="preserve"> system which emphasises the importance of strategic ‘placed based’ planning. This includes identifying higher density infill development opportunities to streamline rezoning approvals.</w:t>
      </w:r>
    </w:p>
    <w:p w14:paraId="2795A036" w14:textId="77777777" w:rsidR="00E811EF" w:rsidRPr="006D1DFF" w:rsidRDefault="00E811EF" w:rsidP="00E811EF">
      <w:pPr>
        <w:pStyle w:val="Bullet"/>
        <w:numPr>
          <w:ilvl w:val="0"/>
          <w:numId w:val="0"/>
        </w:numPr>
        <w:spacing w:before="240" w:after="120"/>
      </w:pPr>
      <w:r w:rsidRPr="00390099">
        <w:t xml:space="preserve">The amendments provide expedited pathways for the delivery of housing, as well as for the achievement of increased housing densities in appropriate locations (above those normally allowed for within the </w:t>
      </w:r>
      <w:r>
        <w:t xml:space="preserve">existing </w:t>
      </w:r>
      <w:r w:rsidRPr="00390099">
        <w:t>zone).</w:t>
      </w:r>
    </w:p>
    <w:p w14:paraId="798EF363" w14:textId="5C6B15A3" w:rsidR="00307B77" w:rsidRDefault="00733A5E" w:rsidP="00206C1E">
      <w:pPr>
        <w:pStyle w:val="Heading3"/>
      </w:pPr>
      <w:bookmarkStart w:id="58" w:name="_Toc224740269"/>
      <w:r>
        <w:t xml:space="preserve">Planning reforms to address </w:t>
      </w:r>
      <w:r w:rsidR="00BF251F">
        <w:t>e</w:t>
      </w:r>
      <w:r w:rsidR="00B037A9" w:rsidRPr="00C80CAA">
        <w:t>xisting development approvals which have not been acted upon</w:t>
      </w:r>
      <w:bookmarkStart w:id="59" w:name="_Toc168064975"/>
      <w:bookmarkStart w:id="60" w:name="_Toc168065286"/>
      <w:bookmarkEnd w:id="47"/>
      <w:bookmarkEnd w:id="56"/>
      <w:bookmarkEnd w:id="57"/>
      <w:bookmarkEnd w:id="58"/>
    </w:p>
    <w:p w14:paraId="138DEF21" w14:textId="44A33AFF" w:rsidR="00B82C53" w:rsidRDefault="000069A7" w:rsidP="00B82C53">
      <w:bookmarkStart w:id="61" w:name="_Toc160799716"/>
      <w:bookmarkStart w:id="62" w:name="_Toc168064978"/>
      <w:bookmarkStart w:id="63" w:name="_Toc168065289"/>
      <w:bookmarkEnd w:id="59"/>
      <w:bookmarkEnd w:id="60"/>
      <w:r>
        <w:t>The</w:t>
      </w:r>
      <w:r w:rsidR="00B82C53">
        <w:t xml:space="preserve"> NT currently tracks all approved development applications for multi-storey unit complexes and reports </w:t>
      </w:r>
      <w:proofErr w:type="gramStart"/>
      <w:r w:rsidR="00B82C53">
        <w:t>on a monthly basis</w:t>
      </w:r>
      <w:proofErr w:type="gramEnd"/>
      <w:r w:rsidR="00B82C53">
        <w:t xml:space="preserve"> on </w:t>
      </w:r>
      <w:r w:rsidR="00BA5948">
        <w:t>L</w:t>
      </w:r>
      <w:r w:rsidR="00B82C53">
        <w:t xml:space="preserve">and </w:t>
      </w:r>
      <w:r w:rsidR="00BA5948">
        <w:t>U</w:t>
      </w:r>
      <w:r w:rsidR="00B82C53">
        <w:t xml:space="preserve">nder </w:t>
      </w:r>
      <w:r w:rsidR="00BA5948">
        <w:t>D</w:t>
      </w:r>
      <w:r w:rsidR="00B82C53">
        <w:t xml:space="preserve">evelopment including tracking of all lots with approved subdivision/development permits (for detached dwellings and townhouses) throughout the </w:t>
      </w:r>
      <w:r w:rsidR="00954C9C">
        <w:t>NT</w:t>
      </w:r>
      <w:r w:rsidR="00B82C53">
        <w:t xml:space="preserve">. Compliant single detached houses, granny flats, and duplexes do not require planning consent in the NT. </w:t>
      </w:r>
    </w:p>
    <w:p w14:paraId="680D0217" w14:textId="3E83E77D" w:rsidR="00992C64" w:rsidRDefault="00F64750" w:rsidP="00FF38E3">
      <w:pPr>
        <w:pStyle w:val="Heading3"/>
      </w:pPr>
      <w:bookmarkStart w:id="64" w:name="_Toc224740270"/>
      <w:r w:rsidRPr="00F64750">
        <w:t>The Northern Territory’s</w:t>
      </w:r>
      <w:r w:rsidR="008553D7">
        <w:t xml:space="preserve"> position on </w:t>
      </w:r>
      <w:r w:rsidR="00A02A1C">
        <w:t>p</w:t>
      </w:r>
      <w:r w:rsidR="00151FA7">
        <w:t>lanning and i</w:t>
      </w:r>
      <w:r w:rsidR="00151FA7" w:rsidRPr="00BE62F5">
        <w:t xml:space="preserve">nclusionary zoning </w:t>
      </w:r>
      <w:r w:rsidR="00151FA7">
        <w:t xml:space="preserve">reforms </w:t>
      </w:r>
      <w:r w:rsidR="00151FA7" w:rsidRPr="00BE62F5">
        <w:t>to support permanent affordable, social and other specialist housing in developments</w:t>
      </w:r>
      <w:r w:rsidR="00151FA7">
        <w:rPr>
          <w:rStyle w:val="FootnoteReference"/>
        </w:rPr>
        <w:footnoteReference w:id="3"/>
      </w:r>
      <w:bookmarkEnd w:id="61"/>
      <w:bookmarkEnd w:id="62"/>
      <w:bookmarkEnd w:id="63"/>
      <w:bookmarkEnd w:id="64"/>
    </w:p>
    <w:p w14:paraId="67F4C14C" w14:textId="21CD5B8A" w:rsidR="004A7467" w:rsidRDefault="004A7467" w:rsidP="004A7467">
      <w:pPr>
        <w:spacing w:after="120" w:line="276" w:lineRule="auto"/>
      </w:pPr>
      <w:r>
        <w:t>The NT supports planning measures to help deliver more affordable, social and other specialist housing in development</w:t>
      </w:r>
      <w:r w:rsidR="002B407A">
        <w:t>s</w:t>
      </w:r>
      <w:r>
        <w:t xml:space="preserve">. Whilst the benefits of </w:t>
      </w:r>
      <w:r w:rsidRPr="002F218A">
        <w:t>inclusionary zoning</w:t>
      </w:r>
      <w:r>
        <w:t xml:space="preserve"> are recognised such as </w:t>
      </w:r>
      <w:r w:rsidRPr="00C9394B">
        <w:rPr>
          <w:spacing w:val="-2"/>
        </w:rPr>
        <w:t>increase</w:t>
      </w:r>
      <w:r>
        <w:rPr>
          <w:spacing w:val="-2"/>
        </w:rPr>
        <w:t>d</w:t>
      </w:r>
      <w:r w:rsidRPr="00C9394B">
        <w:rPr>
          <w:spacing w:val="-2"/>
        </w:rPr>
        <w:t xml:space="preserve"> social inclusion and reduce the concentration</w:t>
      </w:r>
      <w:r>
        <w:rPr>
          <w:spacing w:val="-2"/>
        </w:rPr>
        <w:t>s</w:t>
      </w:r>
      <w:r w:rsidRPr="00C9394B">
        <w:rPr>
          <w:spacing w:val="-2"/>
        </w:rPr>
        <w:t xml:space="preserve"> of disadvantage</w:t>
      </w:r>
      <w:r>
        <w:t>, care must be taken to ensure that it does not</w:t>
      </w:r>
      <w:r w:rsidRPr="003850B1">
        <w:t xml:space="preserve"> </w:t>
      </w:r>
      <w:r>
        <w:t xml:space="preserve">run counter </w:t>
      </w:r>
      <w:r w:rsidRPr="00A27C1A">
        <w:t xml:space="preserve">to the broader goal of increasing </w:t>
      </w:r>
      <w:r>
        <w:t xml:space="preserve">the </w:t>
      </w:r>
      <w:r w:rsidRPr="00A27C1A">
        <w:t>supply of new dwellings</w:t>
      </w:r>
      <w:r>
        <w:t xml:space="preserve"> worsening overall affordability. Research needs to be undertaken to ensure such a reform does not add </w:t>
      </w:r>
      <w:r w:rsidRPr="00C9394B">
        <w:rPr>
          <w:spacing w:val="-4"/>
        </w:rPr>
        <w:t xml:space="preserve">time, </w:t>
      </w:r>
      <w:r>
        <w:rPr>
          <w:spacing w:val="-4"/>
        </w:rPr>
        <w:t xml:space="preserve">cost, </w:t>
      </w:r>
      <w:r w:rsidRPr="00C9394B">
        <w:rPr>
          <w:spacing w:val="-4"/>
        </w:rPr>
        <w:t>complexity and uncertainty to the development approval process</w:t>
      </w:r>
      <w:r>
        <w:rPr>
          <w:spacing w:val="-4"/>
        </w:rPr>
        <w:t xml:space="preserve">. </w:t>
      </w:r>
    </w:p>
    <w:p w14:paraId="33A8610B" w14:textId="77777777" w:rsidR="004A7467" w:rsidRDefault="004A7467" w:rsidP="004A7467">
      <w:pPr>
        <w:spacing w:after="120" w:line="276" w:lineRule="auto"/>
      </w:pPr>
      <w:r>
        <w:rPr>
          <w:spacing w:val="-4"/>
        </w:rPr>
        <w:t>T</w:t>
      </w:r>
      <w:r w:rsidRPr="00C9394B">
        <w:rPr>
          <w:spacing w:val="-4"/>
        </w:rPr>
        <w:t>his is a policy area that would benefit from national leadership in establishing and facilitating regulatory coherence.</w:t>
      </w:r>
    </w:p>
    <w:p w14:paraId="12DEBEA5" w14:textId="64DB16EB" w:rsidR="00A55885" w:rsidRDefault="00A55885" w:rsidP="00A55885">
      <w:pPr>
        <w:pStyle w:val="Heading3"/>
      </w:pPr>
      <w:bookmarkStart w:id="65" w:name="_Toc224740271"/>
      <w:r>
        <w:t>Other reforms to development approval pathways</w:t>
      </w:r>
      <w:bookmarkEnd w:id="65"/>
    </w:p>
    <w:p w14:paraId="6E393A07" w14:textId="50C541E8" w:rsidR="00BA2C15" w:rsidRDefault="00BA2C15" w:rsidP="00BA2C15">
      <w:pPr>
        <w:spacing w:after="120" w:line="276" w:lineRule="auto"/>
      </w:pPr>
      <w:r w:rsidRPr="00BA2C15">
        <w:t>Relevant measures are already identified in Measure 3, noting that the NT Planning Scheme 2020 applies Territory-wide, and the NT Government has sole responsibility for the administration of planning in the NT. Therefore, there is no disconnect between local government and Territory level strategic and statutory planning policy.</w:t>
      </w:r>
    </w:p>
    <w:p w14:paraId="77AAF617" w14:textId="3332C283" w:rsidR="00ED5E65" w:rsidRDefault="00ED5E65" w:rsidP="000C5467">
      <w:pPr>
        <w:pStyle w:val="Heading2"/>
      </w:pPr>
      <w:bookmarkStart w:id="66" w:name="_Toc160799713"/>
      <w:bookmarkStart w:id="67" w:name="_Toc168064977"/>
      <w:bookmarkStart w:id="68" w:name="_Toc168065288"/>
      <w:bookmarkStart w:id="69" w:name="_Toc224740272"/>
      <w:r>
        <w:lastRenderedPageBreak/>
        <w:t>Initiatives to share planning data and improve visibility of factors affecting housing delivery</w:t>
      </w:r>
      <w:bookmarkEnd w:id="66"/>
      <w:bookmarkEnd w:id="67"/>
      <w:bookmarkEnd w:id="68"/>
      <w:bookmarkEnd w:id="69"/>
    </w:p>
    <w:p w14:paraId="14A4E04E" w14:textId="77777777" w:rsidR="00EC6D99" w:rsidRDefault="000E681F" w:rsidP="000E681F">
      <w:r>
        <w:t xml:space="preserve">The </w:t>
      </w:r>
      <w:r w:rsidRPr="00FD6983">
        <w:t>NT is supportive of sharing any relevant data.</w:t>
      </w:r>
      <w:r w:rsidR="00EC6D99">
        <w:t xml:space="preserve"> </w:t>
      </w:r>
    </w:p>
    <w:p w14:paraId="41A83AC1" w14:textId="474E1C53" w:rsidR="00A65FE0" w:rsidRPr="00C8351C" w:rsidRDefault="006F0276" w:rsidP="00A65FE0">
      <w:pPr>
        <w:pStyle w:val="Heading4"/>
        <w:spacing w:after="0"/>
        <w:rPr>
          <w:color w:val="auto"/>
        </w:rPr>
      </w:pPr>
      <w:r w:rsidRPr="00C8351C">
        <w:rPr>
          <w:color w:val="auto"/>
        </w:rPr>
        <w:t>I</w:t>
      </w:r>
      <w:r w:rsidR="00A65FE0" w:rsidRPr="00C8351C">
        <w:rPr>
          <w:color w:val="auto"/>
        </w:rPr>
        <w:t xml:space="preserve">nteractive </w:t>
      </w:r>
      <w:r w:rsidRPr="00C8351C">
        <w:rPr>
          <w:color w:val="auto"/>
        </w:rPr>
        <w:t>O</w:t>
      </w:r>
      <w:r w:rsidR="00A65FE0" w:rsidRPr="00C8351C">
        <w:rPr>
          <w:color w:val="auto"/>
        </w:rPr>
        <w:t xml:space="preserve">nline </w:t>
      </w:r>
      <w:r w:rsidRPr="00C8351C">
        <w:rPr>
          <w:color w:val="auto"/>
        </w:rPr>
        <w:t>T</w:t>
      </w:r>
      <w:r w:rsidR="00A65FE0" w:rsidRPr="00C8351C">
        <w:rPr>
          <w:color w:val="auto"/>
        </w:rPr>
        <w:t xml:space="preserve">ool </w:t>
      </w:r>
    </w:p>
    <w:p w14:paraId="63B1FDF3" w14:textId="5A0A90A4" w:rsidR="00A65FE0" w:rsidRPr="00C8351C" w:rsidRDefault="00A65FE0" w:rsidP="00A65FE0">
      <w:pPr>
        <w:spacing w:before="0"/>
        <w:rPr>
          <w:i/>
          <w:iCs/>
          <w:color w:val="auto"/>
        </w:rPr>
      </w:pPr>
      <w:r w:rsidRPr="00C8351C">
        <w:rPr>
          <w:i/>
          <w:iCs/>
          <w:color w:val="auto"/>
        </w:rPr>
        <w:t xml:space="preserve">First reported in </w:t>
      </w:r>
      <w:r w:rsidR="006F0276" w:rsidRPr="00C8351C">
        <w:rPr>
          <w:i/>
          <w:iCs/>
          <w:color w:val="auto"/>
        </w:rPr>
        <w:t>September 2025</w:t>
      </w:r>
    </w:p>
    <w:p w14:paraId="138905BE" w14:textId="552C1D91" w:rsidR="00CD01DB" w:rsidRPr="00C8351C" w:rsidRDefault="00CE1FEF" w:rsidP="00416721">
      <w:pPr>
        <w:rPr>
          <w:color w:val="auto"/>
        </w:rPr>
      </w:pPr>
      <w:bookmarkStart w:id="70" w:name="_Hlk219445925"/>
      <w:r w:rsidRPr="00C8351C">
        <w:rPr>
          <w:color w:val="auto"/>
        </w:rPr>
        <w:t xml:space="preserve">As part of the NT’s </w:t>
      </w:r>
      <w:r w:rsidR="00665BDA" w:rsidRPr="00C8351C">
        <w:rPr>
          <w:color w:val="auto"/>
        </w:rPr>
        <w:t xml:space="preserve">land supply planning, </w:t>
      </w:r>
      <w:r w:rsidRPr="00C8351C">
        <w:rPr>
          <w:color w:val="auto"/>
        </w:rPr>
        <w:t xml:space="preserve">work is underway to deliver an interactive online tool that will provide clear, up-to-date information on </w:t>
      </w:r>
      <w:r w:rsidR="004860A1" w:rsidRPr="00C8351C">
        <w:rPr>
          <w:color w:val="auto"/>
        </w:rPr>
        <w:t xml:space="preserve">the </w:t>
      </w:r>
      <w:r w:rsidRPr="00C8351C">
        <w:rPr>
          <w:color w:val="auto"/>
        </w:rPr>
        <w:t>land supply</w:t>
      </w:r>
      <w:r w:rsidR="004860A1" w:rsidRPr="00C8351C">
        <w:rPr>
          <w:color w:val="auto"/>
        </w:rPr>
        <w:t xml:space="preserve"> pipeline</w:t>
      </w:r>
      <w:r w:rsidRPr="00C8351C">
        <w:rPr>
          <w:color w:val="auto"/>
        </w:rPr>
        <w:t xml:space="preserve"> and the </w:t>
      </w:r>
      <w:r w:rsidR="00665BDA" w:rsidRPr="00C8351C">
        <w:rPr>
          <w:color w:val="auto"/>
        </w:rPr>
        <w:t>availability</w:t>
      </w:r>
      <w:r w:rsidRPr="00C8351C">
        <w:rPr>
          <w:color w:val="auto"/>
        </w:rPr>
        <w:t xml:space="preserve"> of land </w:t>
      </w:r>
      <w:r w:rsidR="004860A1" w:rsidRPr="00C8351C">
        <w:rPr>
          <w:color w:val="auto"/>
        </w:rPr>
        <w:t xml:space="preserve">ready for </w:t>
      </w:r>
      <w:r w:rsidRPr="00C8351C">
        <w:rPr>
          <w:color w:val="auto"/>
        </w:rPr>
        <w:t xml:space="preserve">development across the Territory’s four major centres (Greater Darwin, Katherine, Tennant Creek and Alice Springs). </w:t>
      </w:r>
      <w:r w:rsidR="00665BDA" w:rsidRPr="00C8351C">
        <w:rPr>
          <w:color w:val="auto"/>
        </w:rPr>
        <w:t>T</w:t>
      </w:r>
      <w:r w:rsidRPr="00C8351C">
        <w:rPr>
          <w:color w:val="auto"/>
        </w:rPr>
        <w:t xml:space="preserve">he initiative aims to improve transparency, support </w:t>
      </w:r>
      <w:r w:rsidR="00665BDA" w:rsidRPr="00C8351C">
        <w:rPr>
          <w:color w:val="auto"/>
        </w:rPr>
        <w:t>investment</w:t>
      </w:r>
      <w:r w:rsidRPr="00C8351C">
        <w:rPr>
          <w:color w:val="auto"/>
        </w:rPr>
        <w:t xml:space="preserve"> decisions, and enhance visibility of </w:t>
      </w:r>
      <w:r w:rsidR="004860A1" w:rsidRPr="00C8351C">
        <w:rPr>
          <w:color w:val="auto"/>
        </w:rPr>
        <w:t>land development opportunities for stakeholders and the broader community</w:t>
      </w:r>
      <w:r w:rsidRPr="00C8351C">
        <w:rPr>
          <w:color w:val="auto"/>
        </w:rPr>
        <w:t>.</w:t>
      </w:r>
      <w:r w:rsidR="003338BC" w:rsidRPr="00C8351C">
        <w:rPr>
          <w:color w:val="auto"/>
        </w:rPr>
        <w:t xml:space="preserve"> Consultants have been appointed to deliver the tool by the end of t</w:t>
      </w:r>
      <w:r w:rsidR="00093031" w:rsidRPr="00C8351C">
        <w:rPr>
          <w:color w:val="auto"/>
        </w:rPr>
        <w:t>he 2025/26</w:t>
      </w:r>
      <w:r w:rsidR="003338BC" w:rsidRPr="00C8351C">
        <w:rPr>
          <w:color w:val="auto"/>
        </w:rPr>
        <w:t xml:space="preserve"> financial year. </w:t>
      </w:r>
    </w:p>
    <w:bookmarkEnd w:id="70"/>
    <w:p w14:paraId="562BF07B" w14:textId="6A3FA034" w:rsidR="00C625E6" w:rsidRPr="00C8351C" w:rsidRDefault="00416721" w:rsidP="00416721">
      <w:pPr>
        <w:rPr>
          <w:color w:val="auto"/>
        </w:rPr>
      </w:pPr>
      <w:r w:rsidRPr="00C8351C">
        <w:rPr>
          <w:color w:val="auto"/>
        </w:rPr>
        <w:t xml:space="preserve">The </w:t>
      </w:r>
      <w:r w:rsidR="00C625E6" w:rsidRPr="00C8351C">
        <w:rPr>
          <w:color w:val="auto"/>
        </w:rPr>
        <w:t>NT</w:t>
      </w:r>
      <w:r w:rsidRPr="00C8351C">
        <w:rPr>
          <w:color w:val="auto"/>
        </w:rPr>
        <w:t xml:space="preserve"> Government also shares information on the Remote Housing Program on the Our Future website managed by </w:t>
      </w:r>
      <w:r w:rsidR="00104706" w:rsidRPr="00C8351C">
        <w:rPr>
          <w:color w:val="auto"/>
        </w:rPr>
        <w:t>DHLGCD</w:t>
      </w:r>
      <w:r w:rsidR="00C625E6" w:rsidRPr="00C8351C">
        <w:rPr>
          <w:color w:val="auto"/>
        </w:rPr>
        <w:t>:</w:t>
      </w:r>
    </w:p>
    <w:p w14:paraId="04946F58" w14:textId="44C69F35" w:rsidR="00416721" w:rsidRDefault="00C625E6" w:rsidP="00416721">
      <w:pPr>
        <w:rPr>
          <w:color w:val="FF0000"/>
        </w:rPr>
      </w:pPr>
      <w:r>
        <w:rPr>
          <w:color w:val="FF0000"/>
        </w:rPr>
        <w:t xml:space="preserve"> </w:t>
      </w:r>
      <w:hyperlink r:id="rId20" w:history="1">
        <w:r w:rsidR="003338BC" w:rsidRPr="00AE5017">
          <w:rPr>
            <w:rStyle w:val="Hyperlink"/>
          </w:rPr>
          <w:t>https://ourfuture.nt.gov.au/accountability-and-reporting/program-progress</w:t>
        </w:r>
      </w:hyperlink>
    </w:p>
    <w:p w14:paraId="5C56AF6A" w14:textId="77777777" w:rsidR="00416721" w:rsidRPr="003638AC" w:rsidRDefault="00416721" w:rsidP="000E681F">
      <w:pPr>
        <w:rPr>
          <w:color w:val="FF0000"/>
        </w:rPr>
      </w:pPr>
    </w:p>
    <w:p w14:paraId="3D5CE445" w14:textId="77777777" w:rsidR="000E681F" w:rsidRPr="000E681F" w:rsidRDefault="000E681F" w:rsidP="000E681F"/>
    <w:p w14:paraId="7B045A07" w14:textId="26FE8021" w:rsidR="00104706" w:rsidRDefault="00104706">
      <w:pPr>
        <w:spacing w:before="0" w:after="160" w:line="259" w:lineRule="auto"/>
      </w:pPr>
      <w: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7D4116" w14:paraId="406B3F7E" w14:textId="77777777" w:rsidTr="007D4116">
        <w:tc>
          <w:tcPr>
            <w:tcW w:w="5000" w:type="pct"/>
            <w:shd w:val="clear" w:color="auto" w:fill="CEDBE6" w:themeFill="background2"/>
            <w:hideMark/>
          </w:tcPr>
          <w:p w14:paraId="70FEA903" w14:textId="77777777" w:rsidR="007D4116" w:rsidRDefault="007D4116">
            <w:pPr>
              <w:pStyle w:val="Heading1"/>
              <w:rPr>
                <w:lang w:eastAsia="en-US"/>
              </w:rPr>
            </w:pPr>
            <w:bookmarkStart w:id="71" w:name="_Toc164695371"/>
            <w:bookmarkStart w:id="72" w:name="_Toc224740273"/>
            <w:r>
              <w:rPr>
                <w:lang w:eastAsia="en-US"/>
              </w:rPr>
              <w:lastRenderedPageBreak/>
              <w:t>Measure 10</w:t>
            </w:r>
            <w:bookmarkEnd w:id="71"/>
            <w:bookmarkEnd w:id="72"/>
          </w:p>
          <w:p w14:paraId="74A6DCA3" w14:textId="77777777" w:rsidR="007D4116" w:rsidRDefault="007D4116">
            <w:pPr>
              <w:pStyle w:val="BoxText"/>
              <w:spacing w:line="256" w:lineRule="auto"/>
              <w:rPr>
                <w:lang w:eastAsia="en-US"/>
              </w:rPr>
            </w:pPr>
            <w:bookmarkStart w:id="73" w:name="_Hlk198029612"/>
            <w:r>
              <w:rPr>
                <w:sz w:val="24"/>
                <w:szCs w:val="24"/>
                <w:lang w:eastAsia="en-US"/>
              </w:rPr>
              <w:t>All levels of government will ensure the efficient use of government land, including the identification of surplus land suitable for housing and the delivery of best practice projects to support housing supply, diversity and affordability.</w:t>
            </w:r>
            <w:bookmarkEnd w:id="73"/>
          </w:p>
        </w:tc>
      </w:tr>
    </w:tbl>
    <w:p w14:paraId="6D6F9C5D" w14:textId="74F663A1" w:rsidR="007D4116" w:rsidRDefault="007D4116" w:rsidP="007D4116">
      <w:pPr>
        <w:pStyle w:val="Heading2"/>
      </w:pPr>
      <w:bookmarkStart w:id="74" w:name="_Toc164695372"/>
      <w:bookmarkStart w:id="75" w:name="_Toc160799718"/>
      <w:bookmarkStart w:id="76" w:name="_Toc224740274"/>
      <w:r>
        <w:t>Well located government land suitable for housing</w:t>
      </w:r>
      <w:bookmarkEnd w:id="74"/>
      <w:bookmarkEnd w:id="75"/>
      <w:bookmarkEnd w:id="76"/>
    </w:p>
    <w:p w14:paraId="2B5900D7" w14:textId="00EC7A9A" w:rsidR="00C82D6A" w:rsidRPr="00C82D6A" w:rsidRDefault="00311ED5" w:rsidP="00C82D6A">
      <w:r w:rsidRPr="00FF43A9">
        <w:rPr>
          <w:i/>
          <w:iCs/>
          <w:color w:val="2683C6" w:themeColor="accent6"/>
        </w:rPr>
        <w:t>Update</w:t>
      </w:r>
      <w:r>
        <w:rPr>
          <w:i/>
          <w:iCs/>
        </w:rPr>
        <w:t xml:space="preserve">: </w:t>
      </w:r>
      <w:r w:rsidR="00614606">
        <w:rPr>
          <w:i/>
          <w:iCs/>
        </w:rPr>
        <w:t>F</w:t>
      </w:r>
      <w:r w:rsidR="00C82D6A">
        <w:rPr>
          <w:i/>
          <w:iCs/>
        </w:rPr>
        <w:t>irst reported in March 2024</w:t>
      </w:r>
      <w:r>
        <w:rPr>
          <w:i/>
          <w:iCs/>
        </w:rPr>
        <w:t xml:space="preserve"> / </w:t>
      </w:r>
      <w:r w:rsidR="003C2CD6" w:rsidRPr="006E36C6">
        <w:rPr>
          <w:i/>
          <w:iCs/>
          <w:color w:val="auto"/>
        </w:rPr>
        <w:t>U</w:t>
      </w:r>
      <w:r w:rsidR="00614606" w:rsidRPr="006E36C6">
        <w:rPr>
          <w:i/>
          <w:iCs/>
          <w:color w:val="auto"/>
        </w:rPr>
        <w:t>pdated March 2025</w:t>
      </w:r>
    </w:p>
    <w:p w14:paraId="6DCE8296" w14:textId="6430E610" w:rsidR="007D4116" w:rsidRDefault="007D4116" w:rsidP="007D4116">
      <w:r>
        <w:t xml:space="preserve">The </w:t>
      </w:r>
      <w:r w:rsidR="00C82D6A">
        <w:t>NT</w:t>
      </w:r>
      <w:r>
        <w:t xml:space="preserve"> is unique in that </w:t>
      </w:r>
      <w:proofErr w:type="gramStart"/>
      <w:r>
        <w:t>the majority of</w:t>
      </w:r>
      <w:proofErr w:type="gramEnd"/>
      <w:r>
        <w:t xml:space="preserve"> its new greenfield developments are on vacant Crown land, particularly in the regional urban centres. </w:t>
      </w:r>
    </w:p>
    <w:p w14:paraId="2674966D" w14:textId="36A35A60" w:rsidR="007D4116" w:rsidRPr="00C8351C" w:rsidRDefault="00954C9C" w:rsidP="007D4116">
      <w:pPr>
        <w:rPr>
          <w:color w:val="auto"/>
        </w:rPr>
      </w:pPr>
      <w:r>
        <w:t>T</w:t>
      </w:r>
      <w:r w:rsidR="007D4116">
        <w:t xml:space="preserve">able </w:t>
      </w:r>
      <w:r w:rsidR="00C82D6A">
        <w:t>3</w:t>
      </w:r>
      <w:r w:rsidR="007D4116">
        <w:t xml:space="preserve"> outlines the </w:t>
      </w:r>
      <w:r w:rsidR="007D4116" w:rsidRPr="00C8351C">
        <w:rPr>
          <w:color w:val="auto"/>
        </w:rPr>
        <w:t xml:space="preserve">anticipated dwellings expected from Crown land greenfield developments, categorised within the 4 stages of development and in accordance with </w:t>
      </w:r>
      <w:r w:rsidR="000618AC" w:rsidRPr="00C8351C">
        <w:rPr>
          <w:color w:val="auto"/>
        </w:rPr>
        <w:t>land supply modelling parameters</w:t>
      </w:r>
      <w:r w:rsidR="007D4116" w:rsidRPr="00C8351C">
        <w:rPr>
          <w:color w:val="auto"/>
        </w:rPr>
        <w:t xml:space="preserve"> as follows:</w:t>
      </w:r>
    </w:p>
    <w:p w14:paraId="61BB96A8" w14:textId="77777777" w:rsidR="007D4116" w:rsidRDefault="007D4116" w:rsidP="007D4116">
      <w:pPr>
        <w:pStyle w:val="OutlineNumbered1"/>
        <w:numPr>
          <w:ilvl w:val="0"/>
          <w:numId w:val="32"/>
        </w:numPr>
      </w:pPr>
      <w:r w:rsidRPr="00C8351C">
        <w:rPr>
          <w:color w:val="auto"/>
        </w:rPr>
        <w:t>Land Under Developm</w:t>
      </w:r>
      <w:r>
        <w:t xml:space="preserve">ent (LUD): land that is in the hands of the developers, with reticulated infrastructure service connections to be provided through the subdivision development process to produce titled land to market. This land is identified in measure 4 whereas the Land Under Development </w:t>
      </w:r>
      <w:r w:rsidRPr="003638AC">
        <w:rPr>
          <w:b/>
          <w:bCs/>
        </w:rPr>
        <w:t>below is solely Government owned land.</w:t>
      </w:r>
    </w:p>
    <w:p w14:paraId="748F9AAC" w14:textId="33CEED97" w:rsidR="007D4116" w:rsidRDefault="007D4116" w:rsidP="007D4116">
      <w:pPr>
        <w:pStyle w:val="OutlineNumbered1"/>
        <w:numPr>
          <w:ilvl w:val="0"/>
          <w:numId w:val="32"/>
        </w:numPr>
      </w:pPr>
      <w:r>
        <w:t xml:space="preserve">Land </w:t>
      </w:r>
      <w:r w:rsidR="006362A0">
        <w:t>with</w:t>
      </w:r>
      <w:r>
        <w:t xml:space="preserve"> Enabling </w:t>
      </w:r>
      <w:r w:rsidR="00BA5948">
        <w:t>I</w:t>
      </w:r>
      <w:r>
        <w:t>nfrastructure (LEI): is land that has design and construction of enabling infrastructure underway.</w:t>
      </w:r>
    </w:p>
    <w:p w14:paraId="442DAB0D" w14:textId="77777777" w:rsidR="007D4116" w:rsidRDefault="007D4116" w:rsidP="007D4116">
      <w:pPr>
        <w:pStyle w:val="OutlineNumbered1"/>
        <w:numPr>
          <w:ilvl w:val="0"/>
          <w:numId w:val="32"/>
        </w:numPr>
      </w:pPr>
      <w:r>
        <w:t xml:space="preserve">Land Under Investigations (LUI): Land that requires consideration of environmental, geotechnical works and land tenure.  </w:t>
      </w:r>
    </w:p>
    <w:p w14:paraId="2707E139" w14:textId="10ECF27A" w:rsidR="007D4116" w:rsidRDefault="007D4116" w:rsidP="007D4116">
      <w:pPr>
        <w:pStyle w:val="OutlineNumbered1"/>
        <w:numPr>
          <w:ilvl w:val="0"/>
          <w:numId w:val="32"/>
        </w:numPr>
      </w:pPr>
      <w:r>
        <w:t>Land U</w:t>
      </w:r>
      <w:r w:rsidR="006362A0">
        <w:t xml:space="preserve">nder </w:t>
      </w:r>
      <w:r>
        <w:t xml:space="preserve">Planning (LUP):  is land that is undergoing or has underdone strategic integrated land use and infrastructure planning including subregional land use planning and area planning. </w:t>
      </w:r>
    </w:p>
    <w:p w14:paraId="745816D4" w14:textId="48E3D6C9" w:rsidR="007D4116" w:rsidRDefault="007D4116" w:rsidP="007D4116">
      <w:r>
        <w:t xml:space="preserve">Projected years of supply is also included based on population projections from the </w:t>
      </w:r>
      <w:r w:rsidR="00C82D6A">
        <w:t>NT</w:t>
      </w:r>
      <w:r>
        <w:t xml:space="preserve"> Department of Treasury and Finance (and ABS data). </w:t>
      </w:r>
    </w:p>
    <w:p w14:paraId="4D019C92" w14:textId="5263D7F5" w:rsidR="003C2CD6" w:rsidRPr="00211AAB" w:rsidRDefault="00954C9C" w:rsidP="00211AAB">
      <w:pPr>
        <w:rPr>
          <w:rStyle w:val="Strong"/>
          <w:b w:val="0"/>
          <w:bCs w:val="0"/>
        </w:rPr>
      </w:pPr>
      <w:r>
        <w:t>T</w:t>
      </w:r>
      <w:r w:rsidR="00C82D6A">
        <w:t>able 3</w:t>
      </w:r>
      <w:r w:rsidR="007D4116">
        <w:t xml:space="preserve"> identifies ample supply of government-owned land to support the next 20 years of growth and beyond.</w:t>
      </w:r>
      <w:r w:rsidR="003C2CD6">
        <w:rPr>
          <w:rStyle w:val="Strong"/>
        </w:rPr>
        <w:br w:type="page"/>
      </w:r>
    </w:p>
    <w:p w14:paraId="54E15649" w14:textId="65D239D5" w:rsidR="007D4116" w:rsidRDefault="007D4116" w:rsidP="007D4116">
      <w:pPr>
        <w:rPr>
          <w:rStyle w:val="Strong"/>
        </w:rPr>
      </w:pPr>
      <w:r>
        <w:rPr>
          <w:rStyle w:val="Strong"/>
        </w:rPr>
        <w:lastRenderedPageBreak/>
        <w:t>Table 3: Supply of Government owned land in the Northern Territory</w:t>
      </w:r>
    </w:p>
    <w:tbl>
      <w:tblPr>
        <w:tblW w:w="9168" w:type="dxa"/>
        <w:tblLook w:val="04A0" w:firstRow="1" w:lastRow="0" w:firstColumn="1" w:lastColumn="0" w:noHBand="0" w:noVBand="1"/>
      </w:tblPr>
      <w:tblGrid>
        <w:gridCol w:w="1322"/>
        <w:gridCol w:w="1441"/>
        <w:gridCol w:w="2472"/>
        <w:gridCol w:w="1668"/>
        <w:gridCol w:w="2265"/>
      </w:tblGrid>
      <w:tr w:rsidR="006E36C6" w:rsidRPr="006E36C6" w14:paraId="09F5C563" w14:textId="77777777" w:rsidTr="00BB2B21">
        <w:trPr>
          <w:trHeight w:val="1666"/>
        </w:trPr>
        <w:tc>
          <w:tcPr>
            <w:tcW w:w="1322" w:type="dxa"/>
            <w:tcBorders>
              <w:top w:val="single" w:sz="4" w:space="0" w:color="auto"/>
              <w:left w:val="single" w:sz="4" w:space="0" w:color="auto"/>
              <w:bottom w:val="single" w:sz="4" w:space="0" w:color="auto"/>
              <w:right w:val="single" w:sz="4" w:space="0" w:color="auto"/>
            </w:tcBorders>
            <w:vAlign w:val="center"/>
            <w:hideMark/>
          </w:tcPr>
          <w:p w14:paraId="2B002984" w14:textId="77777777" w:rsidR="006362A0" w:rsidRPr="006E36C6" w:rsidRDefault="006362A0" w:rsidP="00BB2B21">
            <w:pPr>
              <w:spacing w:before="0" w:after="0"/>
              <w:rPr>
                <w:rFonts w:ascii="Calibri" w:hAnsi="Calibri" w:cs="Calibri"/>
                <w:b/>
                <w:bCs/>
                <w:color w:val="auto"/>
                <w:sz w:val="18"/>
                <w:szCs w:val="18"/>
              </w:rPr>
            </w:pPr>
            <w:r w:rsidRPr="006E36C6">
              <w:rPr>
                <w:rFonts w:ascii="Calibri" w:hAnsi="Calibri" w:cs="Calibri"/>
                <w:b/>
                <w:bCs/>
                <w:color w:val="auto"/>
                <w:sz w:val="18"/>
                <w:szCs w:val="18"/>
              </w:rPr>
              <w:t> </w:t>
            </w:r>
          </w:p>
        </w:tc>
        <w:tc>
          <w:tcPr>
            <w:tcW w:w="1441" w:type="dxa"/>
            <w:tcBorders>
              <w:top w:val="single" w:sz="4" w:space="0" w:color="auto"/>
              <w:left w:val="nil"/>
              <w:bottom w:val="single" w:sz="4" w:space="0" w:color="auto"/>
              <w:right w:val="single" w:sz="4" w:space="0" w:color="auto"/>
            </w:tcBorders>
            <w:vAlign w:val="center"/>
            <w:hideMark/>
          </w:tcPr>
          <w:p w14:paraId="40457316" w14:textId="77777777" w:rsidR="006362A0" w:rsidRPr="006E36C6" w:rsidRDefault="006362A0" w:rsidP="00BB2B21">
            <w:pPr>
              <w:spacing w:before="0" w:after="0"/>
              <w:jc w:val="center"/>
              <w:rPr>
                <w:rFonts w:ascii="Calibri" w:hAnsi="Calibri" w:cs="Calibri"/>
                <w:b/>
                <w:bCs/>
                <w:color w:val="auto"/>
                <w:sz w:val="18"/>
                <w:szCs w:val="18"/>
              </w:rPr>
            </w:pPr>
            <w:r w:rsidRPr="006E36C6">
              <w:rPr>
                <w:rFonts w:ascii="Calibri" w:hAnsi="Calibri" w:cs="Calibri"/>
                <w:b/>
                <w:bCs/>
                <w:color w:val="auto"/>
                <w:sz w:val="18"/>
                <w:szCs w:val="18"/>
              </w:rPr>
              <w:t>Land Under Development</w:t>
            </w:r>
          </w:p>
        </w:tc>
        <w:tc>
          <w:tcPr>
            <w:tcW w:w="2472" w:type="dxa"/>
            <w:tcBorders>
              <w:top w:val="single" w:sz="4" w:space="0" w:color="auto"/>
              <w:left w:val="nil"/>
              <w:bottom w:val="single" w:sz="4" w:space="0" w:color="auto"/>
              <w:right w:val="single" w:sz="4" w:space="0" w:color="auto"/>
            </w:tcBorders>
            <w:vAlign w:val="center"/>
            <w:hideMark/>
          </w:tcPr>
          <w:p w14:paraId="435CED6E" w14:textId="77777777" w:rsidR="006362A0" w:rsidRPr="006E36C6" w:rsidRDefault="006362A0" w:rsidP="00BB2B21">
            <w:pPr>
              <w:spacing w:before="0" w:after="0"/>
              <w:jc w:val="center"/>
              <w:rPr>
                <w:rFonts w:ascii="Calibri" w:hAnsi="Calibri" w:cs="Calibri"/>
                <w:b/>
                <w:bCs/>
                <w:color w:val="auto"/>
                <w:sz w:val="18"/>
                <w:szCs w:val="18"/>
              </w:rPr>
            </w:pPr>
            <w:r w:rsidRPr="006E36C6">
              <w:rPr>
                <w:rFonts w:ascii="Calibri" w:hAnsi="Calibri" w:cs="Calibri"/>
                <w:b/>
                <w:bCs/>
                <w:color w:val="auto"/>
                <w:sz w:val="18"/>
                <w:szCs w:val="18"/>
              </w:rPr>
              <w:t xml:space="preserve">Land with Enabling Infrastructure or Under Investigations / Land use Planning </w:t>
            </w:r>
          </w:p>
        </w:tc>
        <w:tc>
          <w:tcPr>
            <w:tcW w:w="1668" w:type="dxa"/>
            <w:tcBorders>
              <w:top w:val="single" w:sz="4" w:space="0" w:color="auto"/>
              <w:left w:val="nil"/>
              <w:bottom w:val="single" w:sz="4" w:space="0" w:color="auto"/>
              <w:right w:val="single" w:sz="4" w:space="0" w:color="auto"/>
            </w:tcBorders>
            <w:vAlign w:val="center"/>
            <w:hideMark/>
          </w:tcPr>
          <w:p w14:paraId="5F0D7804" w14:textId="77777777" w:rsidR="006362A0" w:rsidRPr="006E36C6" w:rsidRDefault="006362A0" w:rsidP="00BB2B21">
            <w:pPr>
              <w:spacing w:before="0" w:after="0"/>
              <w:jc w:val="center"/>
              <w:rPr>
                <w:rFonts w:ascii="Calibri" w:hAnsi="Calibri" w:cs="Calibri"/>
                <w:b/>
                <w:bCs/>
                <w:color w:val="auto"/>
                <w:sz w:val="18"/>
                <w:szCs w:val="18"/>
              </w:rPr>
            </w:pPr>
            <w:r w:rsidRPr="006E36C6">
              <w:rPr>
                <w:rFonts w:ascii="Calibri" w:hAnsi="Calibri" w:cs="Calibri"/>
                <w:b/>
                <w:bCs/>
                <w:color w:val="auto"/>
                <w:sz w:val="18"/>
                <w:szCs w:val="18"/>
              </w:rPr>
              <w:t xml:space="preserve">Total estimated lot and dwelling supply across region </w:t>
            </w:r>
          </w:p>
        </w:tc>
        <w:tc>
          <w:tcPr>
            <w:tcW w:w="2265" w:type="dxa"/>
            <w:tcBorders>
              <w:top w:val="single" w:sz="4" w:space="0" w:color="auto"/>
              <w:left w:val="nil"/>
              <w:bottom w:val="single" w:sz="4" w:space="0" w:color="auto"/>
              <w:right w:val="single" w:sz="4" w:space="0" w:color="auto"/>
            </w:tcBorders>
            <w:vAlign w:val="center"/>
            <w:hideMark/>
          </w:tcPr>
          <w:p w14:paraId="22C2103D" w14:textId="77777777" w:rsidR="006362A0" w:rsidRPr="006E36C6" w:rsidRDefault="006362A0" w:rsidP="00BB2B21">
            <w:pPr>
              <w:spacing w:before="0" w:after="0"/>
              <w:jc w:val="center"/>
              <w:rPr>
                <w:rFonts w:ascii="Calibri" w:hAnsi="Calibri" w:cs="Calibri"/>
                <w:b/>
                <w:bCs/>
                <w:color w:val="auto"/>
                <w:sz w:val="18"/>
                <w:szCs w:val="18"/>
              </w:rPr>
            </w:pPr>
            <w:r w:rsidRPr="006E36C6">
              <w:rPr>
                <w:rFonts w:ascii="Calibri" w:hAnsi="Calibri" w:cs="Calibri"/>
                <w:b/>
                <w:bCs/>
                <w:color w:val="auto"/>
                <w:sz w:val="18"/>
                <w:szCs w:val="18"/>
              </w:rPr>
              <w:t>Years of supply*</w:t>
            </w:r>
          </w:p>
        </w:tc>
      </w:tr>
      <w:tr w:rsidR="006E36C6" w:rsidRPr="006E36C6" w14:paraId="6DA2BD43" w14:textId="77777777" w:rsidTr="00BB2B21">
        <w:trPr>
          <w:trHeight w:val="284"/>
        </w:trPr>
        <w:tc>
          <w:tcPr>
            <w:tcW w:w="5235" w:type="dxa"/>
            <w:gridSpan w:val="3"/>
            <w:tcBorders>
              <w:top w:val="single" w:sz="4" w:space="0" w:color="auto"/>
              <w:left w:val="single" w:sz="4" w:space="0" w:color="auto"/>
              <w:bottom w:val="single" w:sz="4" w:space="0" w:color="auto"/>
              <w:right w:val="single" w:sz="4" w:space="0" w:color="auto"/>
            </w:tcBorders>
            <w:vAlign w:val="center"/>
            <w:hideMark/>
          </w:tcPr>
          <w:p w14:paraId="34A2168C" w14:textId="77777777" w:rsidR="006362A0" w:rsidRPr="006E36C6" w:rsidRDefault="006362A0" w:rsidP="00BB2B21">
            <w:pPr>
              <w:spacing w:before="0" w:after="0"/>
              <w:rPr>
                <w:rFonts w:ascii="Calibri" w:hAnsi="Calibri" w:cs="Calibri"/>
                <w:b/>
                <w:bCs/>
                <w:i/>
                <w:iCs/>
                <w:color w:val="auto"/>
                <w:sz w:val="18"/>
                <w:szCs w:val="18"/>
              </w:rPr>
            </w:pPr>
            <w:r w:rsidRPr="006E36C6">
              <w:rPr>
                <w:rFonts w:ascii="Calibri" w:hAnsi="Calibri" w:cs="Calibri"/>
                <w:b/>
                <w:bCs/>
                <w:i/>
                <w:iCs/>
                <w:color w:val="auto"/>
                <w:sz w:val="18"/>
                <w:szCs w:val="18"/>
              </w:rPr>
              <w:t xml:space="preserve">Greater Darwin </w:t>
            </w:r>
          </w:p>
        </w:tc>
        <w:tc>
          <w:tcPr>
            <w:tcW w:w="1668" w:type="dxa"/>
            <w:tcBorders>
              <w:top w:val="nil"/>
              <w:left w:val="nil"/>
              <w:bottom w:val="single" w:sz="4" w:space="0" w:color="auto"/>
              <w:right w:val="single" w:sz="4" w:space="0" w:color="auto"/>
            </w:tcBorders>
            <w:vAlign w:val="center"/>
            <w:hideMark/>
          </w:tcPr>
          <w:p w14:paraId="4947B973" w14:textId="77777777" w:rsidR="006362A0" w:rsidRPr="006E36C6" w:rsidRDefault="006362A0" w:rsidP="00BB2B21">
            <w:pPr>
              <w:spacing w:before="0" w:after="0"/>
              <w:rPr>
                <w:rFonts w:ascii="Calibri" w:hAnsi="Calibri" w:cs="Calibri"/>
                <w:color w:val="auto"/>
                <w:sz w:val="18"/>
                <w:szCs w:val="18"/>
              </w:rPr>
            </w:pPr>
            <w:r w:rsidRPr="006E36C6">
              <w:rPr>
                <w:rFonts w:ascii="Calibri" w:hAnsi="Calibri" w:cs="Calibri"/>
                <w:color w:val="auto"/>
                <w:sz w:val="18"/>
                <w:szCs w:val="18"/>
              </w:rPr>
              <w:t> </w:t>
            </w:r>
          </w:p>
        </w:tc>
        <w:tc>
          <w:tcPr>
            <w:tcW w:w="2265" w:type="dxa"/>
            <w:tcBorders>
              <w:top w:val="nil"/>
              <w:left w:val="nil"/>
              <w:bottom w:val="single" w:sz="4" w:space="0" w:color="auto"/>
              <w:right w:val="single" w:sz="4" w:space="0" w:color="auto"/>
            </w:tcBorders>
            <w:vAlign w:val="center"/>
            <w:hideMark/>
          </w:tcPr>
          <w:p w14:paraId="5FA23A48" w14:textId="77777777" w:rsidR="006362A0" w:rsidRPr="006E36C6" w:rsidRDefault="006362A0" w:rsidP="00BB2B21">
            <w:pPr>
              <w:spacing w:before="0" w:after="0"/>
              <w:rPr>
                <w:rFonts w:ascii="Calibri" w:hAnsi="Calibri" w:cs="Calibri"/>
                <w:color w:val="auto"/>
                <w:sz w:val="18"/>
                <w:szCs w:val="18"/>
              </w:rPr>
            </w:pPr>
            <w:r w:rsidRPr="006E36C6">
              <w:rPr>
                <w:rFonts w:ascii="Calibri" w:hAnsi="Calibri" w:cs="Calibri"/>
                <w:color w:val="auto"/>
                <w:sz w:val="18"/>
                <w:szCs w:val="18"/>
              </w:rPr>
              <w:t> </w:t>
            </w:r>
          </w:p>
        </w:tc>
      </w:tr>
      <w:tr w:rsidR="00C8351C" w:rsidRPr="00C8351C" w14:paraId="7F8EA47F" w14:textId="77777777" w:rsidTr="00BB2B21">
        <w:trPr>
          <w:trHeight w:val="284"/>
        </w:trPr>
        <w:tc>
          <w:tcPr>
            <w:tcW w:w="1322" w:type="dxa"/>
            <w:tcBorders>
              <w:top w:val="nil"/>
              <w:left w:val="single" w:sz="4" w:space="0" w:color="auto"/>
              <w:bottom w:val="single" w:sz="4" w:space="0" w:color="auto"/>
              <w:right w:val="single" w:sz="4" w:space="0" w:color="auto"/>
            </w:tcBorders>
            <w:vAlign w:val="center"/>
            <w:hideMark/>
          </w:tcPr>
          <w:p w14:paraId="17439CC4" w14:textId="77777777" w:rsidR="006362A0" w:rsidRPr="00C8351C" w:rsidRDefault="006362A0" w:rsidP="00BB2B21">
            <w:pPr>
              <w:spacing w:before="0" w:after="0"/>
              <w:rPr>
                <w:rFonts w:ascii="Calibri" w:hAnsi="Calibri" w:cs="Calibri"/>
                <w:color w:val="auto"/>
                <w:sz w:val="18"/>
                <w:szCs w:val="18"/>
              </w:rPr>
            </w:pPr>
            <w:r w:rsidRPr="00C8351C">
              <w:rPr>
                <w:rFonts w:ascii="Calibri" w:hAnsi="Calibri" w:cs="Calibri"/>
                <w:color w:val="auto"/>
                <w:sz w:val="18"/>
                <w:szCs w:val="18"/>
              </w:rPr>
              <w:t xml:space="preserve">Detached (lots) </w:t>
            </w:r>
          </w:p>
        </w:tc>
        <w:tc>
          <w:tcPr>
            <w:tcW w:w="1441" w:type="dxa"/>
            <w:tcBorders>
              <w:top w:val="nil"/>
              <w:left w:val="nil"/>
              <w:bottom w:val="single" w:sz="4" w:space="0" w:color="auto"/>
              <w:right w:val="single" w:sz="4" w:space="0" w:color="auto"/>
            </w:tcBorders>
            <w:vAlign w:val="center"/>
            <w:hideMark/>
          </w:tcPr>
          <w:p w14:paraId="17E1D490" w14:textId="5C5AD476" w:rsidR="006362A0" w:rsidRPr="00C8351C" w:rsidRDefault="006362A0" w:rsidP="00BB2B21">
            <w:pPr>
              <w:spacing w:before="0" w:after="0"/>
              <w:jc w:val="right"/>
              <w:rPr>
                <w:rFonts w:ascii="Calibri" w:hAnsi="Calibri" w:cs="Calibri"/>
                <w:color w:val="auto"/>
                <w:sz w:val="18"/>
                <w:szCs w:val="18"/>
              </w:rPr>
            </w:pPr>
            <w:r w:rsidRPr="00C8351C">
              <w:rPr>
                <w:rFonts w:ascii="Calibri" w:hAnsi="Calibri" w:cs="Calibri"/>
                <w:color w:val="auto"/>
                <w:sz w:val="18"/>
                <w:szCs w:val="18"/>
              </w:rPr>
              <w:t>2,</w:t>
            </w:r>
            <w:r w:rsidR="002E3178" w:rsidRPr="00C8351C">
              <w:rPr>
                <w:rFonts w:ascii="Calibri" w:hAnsi="Calibri" w:cs="Calibri"/>
                <w:color w:val="auto"/>
                <w:sz w:val="18"/>
                <w:szCs w:val="18"/>
              </w:rPr>
              <w:t>453</w:t>
            </w:r>
          </w:p>
        </w:tc>
        <w:tc>
          <w:tcPr>
            <w:tcW w:w="2472" w:type="dxa"/>
            <w:tcBorders>
              <w:top w:val="nil"/>
              <w:left w:val="nil"/>
              <w:bottom w:val="single" w:sz="4" w:space="0" w:color="auto"/>
              <w:right w:val="single" w:sz="4" w:space="0" w:color="auto"/>
            </w:tcBorders>
            <w:vAlign w:val="center"/>
            <w:hideMark/>
          </w:tcPr>
          <w:p w14:paraId="4DA4451E" w14:textId="67B3AB18" w:rsidR="006362A0" w:rsidRPr="00C8351C" w:rsidRDefault="006362A0" w:rsidP="00BB2B21">
            <w:pPr>
              <w:spacing w:before="0" w:after="0"/>
              <w:jc w:val="right"/>
              <w:rPr>
                <w:rFonts w:ascii="Calibri" w:hAnsi="Calibri" w:cs="Calibri"/>
                <w:color w:val="auto"/>
                <w:sz w:val="18"/>
                <w:szCs w:val="18"/>
              </w:rPr>
            </w:pPr>
            <w:r w:rsidRPr="00C8351C">
              <w:rPr>
                <w:rFonts w:ascii="Calibri" w:hAnsi="Calibri" w:cs="Calibri"/>
                <w:color w:val="auto"/>
                <w:sz w:val="18"/>
                <w:szCs w:val="18"/>
              </w:rPr>
              <w:t>4</w:t>
            </w:r>
            <w:r w:rsidR="00104706" w:rsidRPr="00C8351C">
              <w:rPr>
                <w:rFonts w:ascii="Calibri" w:hAnsi="Calibri" w:cs="Calibri"/>
                <w:color w:val="auto"/>
                <w:sz w:val="18"/>
                <w:szCs w:val="18"/>
              </w:rPr>
              <w:t>,</w:t>
            </w:r>
            <w:r w:rsidRPr="00C8351C">
              <w:rPr>
                <w:rFonts w:ascii="Calibri" w:hAnsi="Calibri" w:cs="Calibri"/>
                <w:color w:val="auto"/>
                <w:sz w:val="18"/>
                <w:szCs w:val="18"/>
              </w:rPr>
              <w:t>700</w:t>
            </w:r>
          </w:p>
        </w:tc>
        <w:tc>
          <w:tcPr>
            <w:tcW w:w="1668" w:type="dxa"/>
            <w:tcBorders>
              <w:top w:val="nil"/>
              <w:left w:val="nil"/>
              <w:bottom w:val="single" w:sz="4" w:space="0" w:color="auto"/>
              <w:right w:val="single" w:sz="4" w:space="0" w:color="auto"/>
            </w:tcBorders>
            <w:vAlign w:val="center"/>
            <w:hideMark/>
          </w:tcPr>
          <w:p w14:paraId="31FC8191" w14:textId="239594E0" w:rsidR="006362A0" w:rsidRPr="00C8351C" w:rsidRDefault="006362A0" w:rsidP="00BB2B21">
            <w:pPr>
              <w:spacing w:before="0" w:after="0"/>
              <w:jc w:val="right"/>
              <w:rPr>
                <w:rFonts w:ascii="Calibri" w:hAnsi="Calibri" w:cs="Calibri"/>
                <w:color w:val="auto"/>
                <w:sz w:val="18"/>
                <w:szCs w:val="18"/>
              </w:rPr>
            </w:pPr>
            <w:r w:rsidRPr="00C8351C">
              <w:rPr>
                <w:rFonts w:ascii="Calibri" w:hAnsi="Calibri" w:cs="Calibri"/>
                <w:color w:val="auto"/>
                <w:sz w:val="18"/>
                <w:szCs w:val="18"/>
              </w:rPr>
              <w:t>7,</w:t>
            </w:r>
            <w:r w:rsidR="002E3178" w:rsidRPr="00C8351C">
              <w:rPr>
                <w:rFonts w:ascii="Calibri" w:hAnsi="Calibri" w:cs="Calibri"/>
                <w:color w:val="auto"/>
                <w:sz w:val="18"/>
                <w:szCs w:val="18"/>
              </w:rPr>
              <w:t>153</w:t>
            </w:r>
          </w:p>
        </w:tc>
        <w:tc>
          <w:tcPr>
            <w:tcW w:w="2265" w:type="dxa"/>
            <w:tcBorders>
              <w:top w:val="nil"/>
              <w:left w:val="nil"/>
              <w:bottom w:val="single" w:sz="4" w:space="0" w:color="auto"/>
              <w:right w:val="single" w:sz="4" w:space="0" w:color="auto"/>
            </w:tcBorders>
            <w:vAlign w:val="center"/>
            <w:hideMark/>
          </w:tcPr>
          <w:p w14:paraId="3F036035" w14:textId="77777777" w:rsidR="006362A0" w:rsidRPr="00C8351C" w:rsidRDefault="006362A0" w:rsidP="00BB2B21">
            <w:pPr>
              <w:spacing w:before="0" w:after="0"/>
              <w:rPr>
                <w:rFonts w:ascii="Calibri" w:hAnsi="Calibri" w:cs="Calibri"/>
                <w:color w:val="auto"/>
                <w:sz w:val="18"/>
                <w:szCs w:val="18"/>
              </w:rPr>
            </w:pPr>
            <w:r w:rsidRPr="00C8351C">
              <w:rPr>
                <w:rFonts w:ascii="Calibri" w:hAnsi="Calibri" w:cs="Calibri"/>
                <w:color w:val="auto"/>
                <w:sz w:val="18"/>
                <w:szCs w:val="18"/>
              </w:rPr>
              <w:t> </w:t>
            </w:r>
          </w:p>
        </w:tc>
      </w:tr>
      <w:tr w:rsidR="00C8351C" w:rsidRPr="00C8351C" w14:paraId="4D5CDEBC" w14:textId="77777777" w:rsidTr="00BB2B21">
        <w:trPr>
          <w:trHeight w:val="475"/>
        </w:trPr>
        <w:tc>
          <w:tcPr>
            <w:tcW w:w="1322" w:type="dxa"/>
            <w:tcBorders>
              <w:top w:val="nil"/>
              <w:left w:val="single" w:sz="4" w:space="0" w:color="auto"/>
              <w:bottom w:val="single" w:sz="4" w:space="0" w:color="auto"/>
              <w:right w:val="single" w:sz="4" w:space="0" w:color="auto"/>
            </w:tcBorders>
            <w:vAlign w:val="center"/>
            <w:hideMark/>
          </w:tcPr>
          <w:p w14:paraId="1E4994C6" w14:textId="77777777" w:rsidR="006362A0" w:rsidRPr="00C8351C" w:rsidRDefault="006362A0" w:rsidP="00BB2B21">
            <w:pPr>
              <w:spacing w:before="0" w:after="0"/>
              <w:rPr>
                <w:rFonts w:ascii="Calibri" w:hAnsi="Calibri" w:cs="Calibri"/>
                <w:color w:val="auto"/>
                <w:sz w:val="18"/>
                <w:szCs w:val="18"/>
              </w:rPr>
            </w:pPr>
            <w:r w:rsidRPr="00C8351C">
              <w:rPr>
                <w:rFonts w:ascii="Calibri" w:hAnsi="Calibri" w:cs="Calibri"/>
                <w:color w:val="auto"/>
                <w:sz w:val="18"/>
                <w:szCs w:val="18"/>
              </w:rPr>
              <w:t xml:space="preserve">Attached (dwellings) </w:t>
            </w:r>
          </w:p>
        </w:tc>
        <w:tc>
          <w:tcPr>
            <w:tcW w:w="1441" w:type="dxa"/>
            <w:tcBorders>
              <w:top w:val="nil"/>
              <w:left w:val="nil"/>
              <w:bottom w:val="single" w:sz="4" w:space="0" w:color="auto"/>
              <w:right w:val="single" w:sz="4" w:space="0" w:color="auto"/>
            </w:tcBorders>
            <w:vAlign w:val="center"/>
            <w:hideMark/>
          </w:tcPr>
          <w:p w14:paraId="07DD347E" w14:textId="3C7D1F54" w:rsidR="006362A0" w:rsidRPr="00C8351C" w:rsidRDefault="002E3178" w:rsidP="00BB2B21">
            <w:pPr>
              <w:spacing w:before="0" w:after="0"/>
              <w:jc w:val="right"/>
              <w:rPr>
                <w:rFonts w:ascii="Calibri" w:hAnsi="Calibri" w:cs="Calibri"/>
                <w:color w:val="auto"/>
                <w:sz w:val="18"/>
                <w:szCs w:val="18"/>
              </w:rPr>
            </w:pPr>
            <w:r w:rsidRPr="00C8351C">
              <w:rPr>
                <w:rFonts w:ascii="Calibri" w:hAnsi="Calibri" w:cs="Calibri"/>
                <w:color w:val="auto"/>
                <w:sz w:val="18"/>
                <w:szCs w:val="18"/>
              </w:rPr>
              <w:t>383</w:t>
            </w:r>
          </w:p>
        </w:tc>
        <w:tc>
          <w:tcPr>
            <w:tcW w:w="2472" w:type="dxa"/>
            <w:tcBorders>
              <w:top w:val="nil"/>
              <w:left w:val="nil"/>
              <w:bottom w:val="single" w:sz="4" w:space="0" w:color="auto"/>
              <w:right w:val="single" w:sz="4" w:space="0" w:color="auto"/>
            </w:tcBorders>
            <w:vAlign w:val="center"/>
            <w:hideMark/>
          </w:tcPr>
          <w:p w14:paraId="4C3380F7" w14:textId="77777777" w:rsidR="006362A0" w:rsidRPr="00C8351C" w:rsidRDefault="006362A0" w:rsidP="00BB2B21">
            <w:pPr>
              <w:spacing w:before="0" w:after="0"/>
              <w:jc w:val="right"/>
              <w:rPr>
                <w:rFonts w:ascii="Calibri" w:hAnsi="Calibri" w:cs="Calibri"/>
                <w:color w:val="auto"/>
                <w:sz w:val="18"/>
                <w:szCs w:val="18"/>
              </w:rPr>
            </w:pPr>
            <w:r w:rsidRPr="00C8351C">
              <w:rPr>
                <w:rFonts w:ascii="Calibri" w:hAnsi="Calibri" w:cs="Calibri"/>
                <w:color w:val="auto"/>
                <w:sz w:val="18"/>
                <w:szCs w:val="18"/>
              </w:rPr>
              <w:t>440</w:t>
            </w:r>
          </w:p>
        </w:tc>
        <w:tc>
          <w:tcPr>
            <w:tcW w:w="1668" w:type="dxa"/>
            <w:tcBorders>
              <w:top w:val="nil"/>
              <w:left w:val="nil"/>
              <w:bottom w:val="single" w:sz="4" w:space="0" w:color="auto"/>
              <w:right w:val="single" w:sz="4" w:space="0" w:color="auto"/>
            </w:tcBorders>
            <w:vAlign w:val="center"/>
            <w:hideMark/>
          </w:tcPr>
          <w:p w14:paraId="6EE77099" w14:textId="2727BE12" w:rsidR="006362A0" w:rsidRPr="00C8351C" w:rsidRDefault="002E3178" w:rsidP="00BB2B21">
            <w:pPr>
              <w:spacing w:before="0" w:after="0"/>
              <w:jc w:val="right"/>
              <w:rPr>
                <w:rFonts w:ascii="Calibri" w:hAnsi="Calibri" w:cs="Calibri"/>
                <w:color w:val="auto"/>
                <w:sz w:val="18"/>
                <w:szCs w:val="18"/>
              </w:rPr>
            </w:pPr>
            <w:r w:rsidRPr="00C8351C">
              <w:rPr>
                <w:rFonts w:ascii="Calibri" w:hAnsi="Calibri" w:cs="Calibri"/>
                <w:color w:val="auto"/>
                <w:sz w:val="18"/>
                <w:szCs w:val="18"/>
              </w:rPr>
              <w:t>823</w:t>
            </w:r>
          </w:p>
        </w:tc>
        <w:tc>
          <w:tcPr>
            <w:tcW w:w="2265" w:type="dxa"/>
            <w:tcBorders>
              <w:top w:val="nil"/>
              <w:left w:val="nil"/>
              <w:bottom w:val="single" w:sz="4" w:space="0" w:color="auto"/>
              <w:right w:val="single" w:sz="4" w:space="0" w:color="auto"/>
            </w:tcBorders>
            <w:vAlign w:val="center"/>
            <w:hideMark/>
          </w:tcPr>
          <w:p w14:paraId="3FD79ADD" w14:textId="77777777" w:rsidR="006362A0" w:rsidRPr="00C8351C" w:rsidRDefault="006362A0" w:rsidP="00BB2B21">
            <w:pPr>
              <w:spacing w:before="0" w:after="0"/>
              <w:rPr>
                <w:rFonts w:ascii="Calibri" w:hAnsi="Calibri" w:cs="Calibri"/>
                <w:color w:val="auto"/>
                <w:sz w:val="18"/>
                <w:szCs w:val="18"/>
              </w:rPr>
            </w:pPr>
            <w:r w:rsidRPr="00C8351C">
              <w:rPr>
                <w:rFonts w:ascii="Calibri" w:hAnsi="Calibri" w:cs="Calibri"/>
                <w:color w:val="auto"/>
                <w:sz w:val="18"/>
                <w:szCs w:val="18"/>
              </w:rPr>
              <w:t> </w:t>
            </w:r>
          </w:p>
        </w:tc>
      </w:tr>
      <w:tr w:rsidR="00C8351C" w:rsidRPr="00C8351C" w14:paraId="4B74CA2E" w14:textId="77777777" w:rsidTr="00BB2B21">
        <w:trPr>
          <w:trHeight w:val="284"/>
        </w:trPr>
        <w:tc>
          <w:tcPr>
            <w:tcW w:w="1322" w:type="dxa"/>
            <w:tcBorders>
              <w:top w:val="nil"/>
              <w:left w:val="single" w:sz="4" w:space="0" w:color="auto"/>
              <w:bottom w:val="single" w:sz="4" w:space="0" w:color="auto"/>
              <w:right w:val="single" w:sz="4" w:space="0" w:color="auto"/>
            </w:tcBorders>
            <w:shd w:val="clear" w:color="auto" w:fill="DDF0F2" w:themeFill="accent2" w:themeFillTint="33"/>
            <w:vAlign w:val="center"/>
            <w:hideMark/>
          </w:tcPr>
          <w:p w14:paraId="7ED9B2F3" w14:textId="77777777" w:rsidR="006362A0" w:rsidRPr="00C8351C" w:rsidRDefault="006362A0" w:rsidP="00BB2B21">
            <w:pPr>
              <w:spacing w:before="0" w:after="0"/>
              <w:rPr>
                <w:rFonts w:ascii="Calibri" w:hAnsi="Calibri" w:cs="Calibri"/>
                <w:b/>
                <w:bCs/>
                <w:color w:val="auto"/>
                <w:sz w:val="18"/>
                <w:szCs w:val="18"/>
              </w:rPr>
            </w:pPr>
            <w:r w:rsidRPr="00C8351C">
              <w:rPr>
                <w:rFonts w:ascii="Calibri" w:hAnsi="Calibri" w:cs="Calibri"/>
                <w:b/>
                <w:bCs/>
                <w:color w:val="auto"/>
                <w:sz w:val="18"/>
                <w:szCs w:val="18"/>
              </w:rPr>
              <w:t xml:space="preserve">Total Dwellings </w:t>
            </w:r>
          </w:p>
        </w:tc>
        <w:tc>
          <w:tcPr>
            <w:tcW w:w="1441" w:type="dxa"/>
            <w:tcBorders>
              <w:top w:val="nil"/>
              <w:left w:val="nil"/>
              <w:bottom w:val="single" w:sz="4" w:space="0" w:color="auto"/>
              <w:right w:val="single" w:sz="4" w:space="0" w:color="auto"/>
            </w:tcBorders>
            <w:shd w:val="clear" w:color="auto" w:fill="DDF0F2" w:themeFill="accent2" w:themeFillTint="33"/>
            <w:vAlign w:val="center"/>
            <w:hideMark/>
          </w:tcPr>
          <w:p w14:paraId="00B3209F" w14:textId="3AB3893D" w:rsidR="006362A0" w:rsidRPr="00C8351C" w:rsidRDefault="002E3178" w:rsidP="00BB2B21">
            <w:pPr>
              <w:spacing w:before="0" w:after="0"/>
              <w:jc w:val="right"/>
              <w:rPr>
                <w:rFonts w:ascii="Calibri" w:hAnsi="Calibri" w:cs="Calibri"/>
                <w:b/>
                <w:bCs/>
                <w:color w:val="auto"/>
                <w:sz w:val="18"/>
                <w:szCs w:val="18"/>
              </w:rPr>
            </w:pPr>
            <w:r w:rsidRPr="00C8351C">
              <w:rPr>
                <w:rFonts w:ascii="Calibri" w:hAnsi="Calibri" w:cs="Calibri"/>
                <w:b/>
                <w:bCs/>
                <w:color w:val="auto"/>
                <w:sz w:val="18"/>
                <w:szCs w:val="18"/>
              </w:rPr>
              <w:t>2,836</w:t>
            </w:r>
          </w:p>
        </w:tc>
        <w:tc>
          <w:tcPr>
            <w:tcW w:w="2472" w:type="dxa"/>
            <w:tcBorders>
              <w:top w:val="nil"/>
              <w:left w:val="nil"/>
              <w:bottom w:val="single" w:sz="4" w:space="0" w:color="auto"/>
              <w:right w:val="single" w:sz="4" w:space="0" w:color="auto"/>
            </w:tcBorders>
            <w:shd w:val="clear" w:color="auto" w:fill="DDF0F2" w:themeFill="accent2" w:themeFillTint="33"/>
            <w:vAlign w:val="center"/>
            <w:hideMark/>
          </w:tcPr>
          <w:p w14:paraId="72F72F7A" w14:textId="77777777" w:rsidR="006362A0" w:rsidRPr="00C8351C" w:rsidRDefault="006362A0" w:rsidP="00BB2B21">
            <w:pPr>
              <w:spacing w:before="0" w:after="0"/>
              <w:jc w:val="right"/>
              <w:rPr>
                <w:rFonts w:ascii="Calibri" w:hAnsi="Calibri" w:cs="Calibri"/>
                <w:b/>
                <w:bCs/>
                <w:color w:val="auto"/>
                <w:sz w:val="18"/>
                <w:szCs w:val="18"/>
              </w:rPr>
            </w:pPr>
            <w:r w:rsidRPr="00C8351C">
              <w:rPr>
                <w:rFonts w:ascii="Calibri" w:hAnsi="Calibri" w:cs="Calibri"/>
                <w:b/>
                <w:bCs/>
                <w:color w:val="auto"/>
                <w:sz w:val="18"/>
                <w:szCs w:val="18"/>
              </w:rPr>
              <w:t>5,140</w:t>
            </w:r>
          </w:p>
        </w:tc>
        <w:tc>
          <w:tcPr>
            <w:tcW w:w="1668" w:type="dxa"/>
            <w:tcBorders>
              <w:top w:val="nil"/>
              <w:left w:val="nil"/>
              <w:bottom w:val="single" w:sz="4" w:space="0" w:color="auto"/>
              <w:right w:val="single" w:sz="4" w:space="0" w:color="auto"/>
            </w:tcBorders>
            <w:shd w:val="clear" w:color="auto" w:fill="DDF0F2" w:themeFill="accent2" w:themeFillTint="33"/>
            <w:vAlign w:val="center"/>
            <w:hideMark/>
          </w:tcPr>
          <w:p w14:paraId="0FE5529C" w14:textId="14A4B4B1" w:rsidR="006362A0" w:rsidRPr="00C8351C" w:rsidRDefault="002E3178" w:rsidP="00BB2B21">
            <w:pPr>
              <w:spacing w:before="0" w:after="0"/>
              <w:jc w:val="right"/>
              <w:rPr>
                <w:rFonts w:ascii="Calibri" w:hAnsi="Calibri" w:cs="Calibri"/>
                <w:b/>
                <w:bCs/>
                <w:color w:val="auto"/>
                <w:sz w:val="18"/>
                <w:szCs w:val="18"/>
              </w:rPr>
            </w:pPr>
            <w:r w:rsidRPr="00C8351C">
              <w:rPr>
                <w:rFonts w:ascii="Calibri" w:hAnsi="Calibri" w:cs="Calibri"/>
                <w:b/>
                <w:bCs/>
                <w:color w:val="auto"/>
                <w:sz w:val="18"/>
                <w:szCs w:val="18"/>
              </w:rPr>
              <w:t>7,976</w:t>
            </w:r>
          </w:p>
        </w:tc>
        <w:tc>
          <w:tcPr>
            <w:tcW w:w="2265" w:type="dxa"/>
            <w:tcBorders>
              <w:top w:val="nil"/>
              <w:left w:val="nil"/>
              <w:bottom w:val="single" w:sz="4" w:space="0" w:color="auto"/>
              <w:right w:val="single" w:sz="4" w:space="0" w:color="auto"/>
            </w:tcBorders>
            <w:shd w:val="clear" w:color="auto" w:fill="DDF0F2" w:themeFill="accent2" w:themeFillTint="33"/>
            <w:vAlign w:val="center"/>
            <w:hideMark/>
          </w:tcPr>
          <w:p w14:paraId="6B9EF047" w14:textId="0DB4A160" w:rsidR="006362A0" w:rsidRPr="00C8351C" w:rsidRDefault="006362A0" w:rsidP="00BB2B21">
            <w:pPr>
              <w:spacing w:before="0" w:after="0"/>
              <w:rPr>
                <w:rFonts w:ascii="Calibri" w:hAnsi="Calibri" w:cs="Calibri"/>
                <w:b/>
                <w:bCs/>
                <w:color w:val="auto"/>
                <w:sz w:val="18"/>
                <w:szCs w:val="18"/>
              </w:rPr>
            </w:pPr>
            <w:r w:rsidRPr="00C8351C">
              <w:rPr>
                <w:rFonts w:ascii="Calibri" w:hAnsi="Calibri" w:cs="Calibri"/>
                <w:b/>
                <w:bCs/>
                <w:color w:val="auto"/>
                <w:sz w:val="18"/>
                <w:szCs w:val="18"/>
              </w:rPr>
              <w:t>1</w:t>
            </w:r>
            <w:r w:rsidR="004E3582" w:rsidRPr="00C8351C">
              <w:rPr>
                <w:rFonts w:ascii="Calibri" w:hAnsi="Calibri" w:cs="Calibri"/>
                <w:b/>
                <w:bCs/>
                <w:color w:val="auto"/>
                <w:sz w:val="18"/>
                <w:szCs w:val="18"/>
              </w:rPr>
              <w:t>3</w:t>
            </w:r>
            <w:r w:rsidRPr="00C8351C">
              <w:rPr>
                <w:rFonts w:ascii="Calibri" w:hAnsi="Calibri" w:cs="Calibri"/>
                <w:b/>
                <w:bCs/>
                <w:color w:val="auto"/>
                <w:sz w:val="18"/>
                <w:szCs w:val="18"/>
              </w:rPr>
              <w:t xml:space="preserve"> years </w:t>
            </w:r>
          </w:p>
        </w:tc>
      </w:tr>
      <w:tr w:rsidR="00C8351C" w:rsidRPr="00C8351C" w14:paraId="3F12C58B" w14:textId="77777777" w:rsidTr="00BB2B21">
        <w:trPr>
          <w:trHeight w:val="284"/>
        </w:trPr>
        <w:tc>
          <w:tcPr>
            <w:tcW w:w="5235" w:type="dxa"/>
            <w:gridSpan w:val="3"/>
            <w:tcBorders>
              <w:top w:val="single" w:sz="4" w:space="0" w:color="auto"/>
              <w:left w:val="single" w:sz="4" w:space="0" w:color="auto"/>
              <w:bottom w:val="single" w:sz="4" w:space="0" w:color="auto"/>
              <w:right w:val="single" w:sz="4" w:space="0" w:color="auto"/>
            </w:tcBorders>
            <w:vAlign w:val="center"/>
            <w:hideMark/>
          </w:tcPr>
          <w:p w14:paraId="5A7D2040" w14:textId="77777777" w:rsidR="006362A0" w:rsidRPr="00C8351C" w:rsidRDefault="006362A0" w:rsidP="00BB2B21">
            <w:pPr>
              <w:spacing w:before="0" w:after="0"/>
              <w:rPr>
                <w:rFonts w:ascii="Calibri" w:hAnsi="Calibri" w:cs="Calibri"/>
                <w:b/>
                <w:bCs/>
                <w:i/>
                <w:iCs/>
                <w:color w:val="auto"/>
                <w:sz w:val="18"/>
                <w:szCs w:val="18"/>
              </w:rPr>
            </w:pPr>
            <w:r w:rsidRPr="00C8351C">
              <w:rPr>
                <w:rFonts w:ascii="Calibri" w:hAnsi="Calibri" w:cs="Calibri"/>
                <w:b/>
                <w:bCs/>
                <w:i/>
                <w:iCs/>
                <w:color w:val="auto"/>
                <w:sz w:val="18"/>
                <w:szCs w:val="18"/>
              </w:rPr>
              <w:t xml:space="preserve">Katherine </w:t>
            </w:r>
          </w:p>
        </w:tc>
        <w:tc>
          <w:tcPr>
            <w:tcW w:w="1668" w:type="dxa"/>
            <w:tcBorders>
              <w:top w:val="nil"/>
              <w:left w:val="nil"/>
              <w:bottom w:val="single" w:sz="4" w:space="0" w:color="auto"/>
              <w:right w:val="single" w:sz="4" w:space="0" w:color="auto"/>
            </w:tcBorders>
            <w:vAlign w:val="center"/>
            <w:hideMark/>
          </w:tcPr>
          <w:p w14:paraId="0D4B136A" w14:textId="77777777" w:rsidR="006362A0" w:rsidRPr="00C8351C" w:rsidRDefault="006362A0" w:rsidP="00BB2B21">
            <w:pPr>
              <w:spacing w:before="0" w:after="0"/>
              <w:rPr>
                <w:rFonts w:ascii="Calibri" w:hAnsi="Calibri" w:cs="Calibri"/>
                <w:color w:val="auto"/>
                <w:sz w:val="18"/>
                <w:szCs w:val="18"/>
              </w:rPr>
            </w:pPr>
            <w:r w:rsidRPr="00C8351C">
              <w:rPr>
                <w:rFonts w:ascii="Calibri" w:hAnsi="Calibri" w:cs="Calibri"/>
                <w:color w:val="auto"/>
                <w:sz w:val="18"/>
                <w:szCs w:val="18"/>
              </w:rPr>
              <w:t> </w:t>
            </w:r>
          </w:p>
        </w:tc>
        <w:tc>
          <w:tcPr>
            <w:tcW w:w="2265" w:type="dxa"/>
            <w:tcBorders>
              <w:top w:val="nil"/>
              <w:left w:val="nil"/>
              <w:bottom w:val="single" w:sz="4" w:space="0" w:color="auto"/>
              <w:right w:val="single" w:sz="4" w:space="0" w:color="auto"/>
            </w:tcBorders>
            <w:vAlign w:val="center"/>
            <w:hideMark/>
          </w:tcPr>
          <w:p w14:paraId="14348D05" w14:textId="77777777" w:rsidR="006362A0" w:rsidRPr="00C8351C" w:rsidRDefault="006362A0" w:rsidP="00BB2B21">
            <w:pPr>
              <w:spacing w:before="0" w:after="0"/>
              <w:rPr>
                <w:rFonts w:ascii="Calibri" w:hAnsi="Calibri" w:cs="Calibri"/>
                <w:b/>
                <w:bCs/>
                <w:color w:val="auto"/>
                <w:sz w:val="18"/>
                <w:szCs w:val="18"/>
              </w:rPr>
            </w:pPr>
            <w:r w:rsidRPr="00C8351C">
              <w:rPr>
                <w:rFonts w:ascii="Calibri" w:hAnsi="Calibri" w:cs="Calibri"/>
                <w:b/>
                <w:bCs/>
                <w:color w:val="auto"/>
                <w:sz w:val="18"/>
                <w:szCs w:val="18"/>
              </w:rPr>
              <w:t> </w:t>
            </w:r>
          </w:p>
        </w:tc>
      </w:tr>
      <w:tr w:rsidR="00C8351C" w:rsidRPr="00C8351C" w14:paraId="4DEABF9F" w14:textId="77777777" w:rsidTr="00BB2B21">
        <w:trPr>
          <w:trHeight w:val="284"/>
        </w:trPr>
        <w:tc>
          <w:tcPr>
            <w:tcW w:w="1322" w:type="dxa"/>
            <w:tcBorders>
              <w:top w:val="nil"/>
              <w:left w:val="single" w:sz="4" w:space="0" w:color="auto"/>
              <w:bottom w:val="single" w:sz="4" w:space="0" w:color="auto"/>
              <w:right w:val="single" w:sz="4" w:space="0" w:color="auto"/>
            </w:tcBorders>
            <w:vAlign w:val="center"/>
            <w:hideMark/>
          </w:tcPr>
          <w:p w14:paraId="4E313F56" w14:textId="77777777" w:rsidR="006362A0" w:rsidRPr="00C8351C" w:rsidRDefault="006362A0" w:rsidP="00BB2B21">
            <w:pPr>
              <w:spacing w:before="0" w:after="0"/>
              <w:rPr>
                <w:rFonts w:ascii="Calibri" w:hAnsi="Calibri" w:cs="Calibri"/>
                <w:color w:val="auto"/>
                <w:sz w:val="18"/>
                <w:szCs w:val="18"/>
              </w:rPr>
            </w:pPr>
            <w:r w:rsidRPr="00C8351C">
              <w:rPr>
                <w:rFonts w:ascii="Calibri" w:hAnsi="Calibri" w:cs="Calibri"/>
                <w:color w:val="auto"/>
                <w:sz w:val="18"/>
                <w:szCs w:val="18"/>
              </w:rPr>
              <w:t xml:space="preserve">Detached (lots) </w:t>
            </w:r>
          </w:p>
        </w:tc>
        <w:tc>
          <w:tcPr>
            <w:tcW w:w="1441" w:type="dxa"/>
            <w:tcBorders>
              <w:top w:val="nil"/>
              <w:left w:val="nil"/>
              <w:bottom w:val="single" w:sz="4" w:space="0" w:color="auto"/>
              <w:right w:val="single" w:sz="4" w:space="0" w:color="auto"/>
            </w:tcBorders>
            <w:vAlign w:val="center"/>
            <w:hideMark/>
          </w:tcPr>
          <w:p w14:paraId="525797EA" w14:textId="659FA6C1" w:rsidR="006362A0" w:rsidRPr="00C8351C" w:rsidRDefault="006362A0" w:rsidP="00BB2B21">
            <w:pPr>
              <w:spacing w:before="0" w:after="0"/>
              <w:jc w:val="right"/>
              <w:rPr>
                <w:rFonts w:ascii="Calibri" w:hAnsi="Calibri" w:cs="Calibri"/>
                <w:color w:val="auto"/>
                <w:sz w:val="18"/>
                <w:szCs w:val="18"/>
              </w:rPr>
            </w:pPr>
            <w:r w:rsidRPr="00C8351C">
              <w:rPr>
                <w:rFonts w:ascii="Calibri" w:hAnsi="Calibri" w:cs="Calibri"/>
                <w:color w:val="auto"/>
                <w:sz w:val="18"/>
                <w:szCs w:val="18"/>
              </w:rPr>
              <w:t>5</w:t>
            </w:r>
            <w:r w:rsidR="004E3582" w:rsidRPr="00C8351C">
              <w:rPr>
                <w:rFonts w:ascii="Calibri" w:hAnsi="Calibri" w:cs="Calibri"/>
                <w:color w:val="auto"/>
                <w:sz w:val="18"/>
                <w:szCs w:val="18"/>
              </w:rPr>
              <w:t>3</w:t>
            </w:r>
          </w:p>
        </w:tc>
        <w:tc>
          <w:tcPr>
            <w:tcW w:w="2472" w:type="dxa"/>
            <w:tcBorders>
              <w:top w:val="nil"/>
              <w:left w:val="nil"/>
              <w:bottom w:val="single" w:sz="4" w:space="0" w:color="auto"/>
              <w:right w:val="single" w:sz="4" w:space="0" w:color="auto"/>
            </w:tcBorders>
            <w:vAlign w:val="center"/>
            <w:hideMark/>
          </w:tcPr>
          <w:p w14:paraId="056BC567" w14:textId="77777777" w:rsidR="006362A0" w:rsidRPr="00C8351C" w:rsidRDefault="006362A0" w:rsidP="00BB2B21">
            <w:pPr>
              <w:spacing w:before="0" w:after="0"/>
              <w:jc w:val="right"/>
              <w:rPr>
                <w:rFonts w:ascii="Calibri" w:hAnsi="Calibri" w:cs="Calibri"/>
                <w:color w:val="auto"/>
                <w:sz w:val="18"/>
                <w:szCs w:val="18"/>
              </w:rPr>
            </w:pPr>
            <w:r w:rsidRPr="00C8351C">
              <w:rPr>
                <w:rFonts w:ascii="Calibri" w:hAnsi="Calibri" w:cs="Calibri"/>
                <w:color w:val="auto"/>
                <w:sz w:val="18"/>
                <w:szCs w:val="18"/>
              </w:rPr>
              <w:t>583</w:t>
            </w:r>
          </w:p>
        </w:tc>
        <w:tc>
          <w:tcPr>
            <w:tcW w:w="1668" w:type="dxa"/>
            <w:tcBorders>
              <w:top w:val="nil"/>
              <w:left w:val="nil"/>
              <w:bottom w:val="single" w:sz="4" w:space="0" w:color="auto"/>
              <w:right w:val="single" w:sz="4" w:space="0" w:color="auto"/>
            </w:tcBorders>
            <w:vAlign w:val="center"/>
            <w:hideMark/>
          </w:tcPr>
          <w:p w14:paraId="1280A848" w14:textId="38CD33DF" w:rsidR="006362A0" w:rsidRPr="00C8351C" w:rsidRDefault="006362A0" w:rsidP="00BB2B21">
            <w:pPr>
              <w:spacing w:before="0" w:after="0"/>
              <w:jc w:val="right"/>
              <w:rPr>
                <w:rFonts w:ascii="Calibri" w:hAnsi="Calibri" w:cs="Calibri"/>
                <w:color w:val="auto"/>
                <w:sz w:val="18"/>
                <w:szCs w:val="18"/>
              </w:rPr>
            </w:pPr>
            <w:r w:rsidRPr="00C8351C">
              <w:rPr>
                <w:rFonts w:ascii="Calibri" w:hAnsi="Calibri" w:cs="Calibri"/>
                <w:color w:val="auto"/>
                <w:sz w:val="18"/>
                <w:szCs w:val="18"/>
              </w:rPr>
              <w:t>63</w:t>
            </w:r>
            <w:r w:rsidR="004E3582" w:rsidRPr="00C8351C">
              <w:rPr>
                <w:rFonts w:ascii="Calibri" w:hAnsi="Calibri" w:cs="Calibri"/>
                <w:color w:val="auto"/>
                <w:sz w:val="18"/>
                <w:szCs w:val="18"/>
              </w:rPr>
              <w:t>6</w:t>
            </w:r>
          </w:p>
        </w:tc>
        <w:tc>
          <w:tcPr>
            <w:tcW w:w="2265" w:type="dxa"/>
            <w:tcBorders>
              <w:top w:val="nil"/>
              <w:left w:val="nil"/>
              <w:bottom w:val="single" w:sz="4" w:space="0" w:color="auto"/>
              <w:right w:val="single" w:sz="4" w:space="0" w:color="auto"/>
            </w:tcBorders>
            <w:vAlign w:val="center"/>
            <w:hideMark/>
          </w:tcPr>
          <w:p w14:paraId="6CC49DE8" w14:textId="77777777" w:rsidR="006362A0" w:rsidRPr="00C8351C" w:rsidRDefault="006362A0" w:rsidP="00BB2B21">
            <w:pPr>
              <w:spacing w:before="0" w:after="0"/>
              <w:rPr>
                <w:rFonts w:ascii="Calibri" w:hAnsi="Calibri" w:cs="Calibri"/>
                <w:b/>
                <w:bCs/>
                <w:color w:val="auto"/>
                <w:sz w:val="18"/>
                <w:szCs w:val="18"/>
              </w:rPr>
            </w:pPr>
            <w:r w:rsidRPr="00C8351C">
              <w:rPr>
                <w:rFonts w:ascii="Calibri" w:hAnsi="Calibri" w:cs="Calibri"/>
                <w:b/>
                <w:bCs/>
                <w:color w:val="auto"/>
                <w:sz w:val="18"/>
                <w:szCs w:val="18"/>
              </w:rPr>
              <w:t> </w:t>
            </w:r>
          </w:p>
        </w:tc>
      </w:tr>
      <w:tr w:rsidR="00C8351C" w:rsidRPr="00C8351C" w14:paraId="3EEF82AB" w14:textId="77777777" w:rsidTr="00BB2B21">
        <w:trPr>
          <w:trHeight w:val="475"/>
        </w:trPr>
        <w:tc>
          <w:tcPr>
            <w:tcW w:w="1322" w:type="dxa"/>
            <w:tcBorders>
              <w:top w:val="nil"/>
              <w:left w:val="single" w:sz="4" w:space="0" w:color="auto"/>
              <w:bottom w:val="single" w:sz="4" w:space="0" w:color="auto"/>
              <w:right w:val="single" w:sz="4" w:space="0" w:color="auto"/>
            </w:tcBorders>
            <w:vAlign w:val="center"/>
            <w:hideMark/>
          </w:tcPr>
          <w:p w14:paraId="41C617CB" w14:textId="77777777" w:rsidR="006362A0" w:rsidRPr="00C8351C" w:rsidRDefault="006362A0" w:rsidP="00BB2B21">
            <w:pPr>
              <w:spacing w:before="0" w:after="0"/>
              <w:rPr>
                <w:rFonts w:ascii="Calibri" w:hAnsi="Calibri" w:cs="Calibri"/>
                <w:color w:val="auto"/>
                <w:sz w:val="18"/>
                <w:szCs w:val="18"/>
              </w:rPr>
            </w:pPr>
            <w:r w:rsidRPr="00C8351C">
              <w:rPr>
                <w:rFonts w:ascii="Calibri" w:hAnsi="Calibri" w:cs="Calibri"/>
                <w:color w:val="auto"/>
                <w:sz w:val="18"/>
                <w:szCs w:val="18"/>
              </w:rPr>
              <w:t xml:space="preserve">Attached (dwellings) </w:t>
            </w:r>
          </w:p>
        </w:tc>
        <w:tc>
          <w:tcPr>
            <w:tcW w:w="1441" w:type="dxa"/>
            <w:tcBorders>
              <w:top w:val="nil"/>
              <w:left w:val="nil"/>
              <w:bottom w:val="single" w:sz="4" w:space="0" w:color="auto"/>
              <w:right w:val="single" w:sz="4" w:space="0" w:color="auto"/>
            </w:tcBorders>
            <w:vAlign w:val="center"/>
            <w:hideMark/>
          </w:tcPr>
          <w:p w14:paraId="678BA933" w14:textId="77777777" w:rsidR="006362A0" w:rsidRPr="00C8351C" w:rsidRDefault="006362A0" w:rsidP="00BB2B21">
            <w:pPr>
              <w:spacing w:before="0" w:after="0"/>
              <w:jc w:val="right"/>
              <w:rPr>
                <w:rFonts w:ascii="Calibri" w:hAnsi="Calibri" w:cs="Calibri"/>
                <w:color w:val="auto"/>
                <w:sz w:val="18"/>
                <w:szCs w:val="18"/>
              </w:rPr>
            </w:pPr>
            <w:r w:rsidRPr="00C8351C">
              <w:rPr>
                <w:rFonts w:ascii="Calibri" w:hAnsi="Calibri" w:cs="Calibri"/>
                <w:color w:val="auto"/>
                <w:sz w:val="18"/>
                <w:szCs w:val="18"/>
              </w:rPr>
              <w:t>19</w:t>
            </w:r>
          </w:p>
        </w:tc>
        <w:tc>
          <w:tcPr>
            <w:tcW w:w="2472" w:type="dxa"/>
            <w:tcBorders>
              <w:top w:val="nil"/>
              <w:left w:val="nil"/>
              <w:bottom w:val="single" w:sz="4" w:space="0" w:color="auto"/>
              <w:right w:val="single" w:sz="4" w:space="0" w:color="auto"/>
            </w:tcBorders>
            <w:vAlign w:val="center"/>
            <w:hideMark/>
          </w:tcPr>
          <w:p w14:paraId="73E6FD4A" w14:textId="77777777" w:rsidR="006362A0" w:rsidRPr="00C8351C" w:rsidRDefault="006362A0" w:rsidP="00BB2B21">
            <w:pPr>
              <w:spacing w:before="0" w:after="0"/>
              <w:jc w:val="right"/>
              <w:rPr>
                <w:rFonts w:ascii="Calibri" w:hAnsi="Calibri" w:cs="Calibri"/>
                <w:color w:val="auto"/>
                <w:sz w:val="18"/>
                <w:szCs w:val="18"/>
              </w:rPr>
            </w:pPr>
            <w:r w:rsidRPr="00C8351C">
              <w:rPr>
                <w:rFonts w:ascii="Calibri" w:hAnsi="Calibri" w:cs="Calibri"/>
                <w:color w:val="auto"/>
                <w:sz w:val="18"/>
                <w:szCs w:val="18"/>
              </w:rPr>
              <w:t>165</w:t>
            </w:r>
          </w:p>
        </w:tc>
        <w:tc>
          <w:tcPr>
            <w:tcW w:w="1668" w:type="dxa"/>
            <w:tcBorders>
              <w:top w:val="nil"/>
              <w:left w:val="nil"/>
              <w:bottom w:val="single" w:sz="4" w:space="0" w:color="auto"/>
              <w:right w:val="single" w:sz="4" w:space="0" w:color="auto"/>
            </w:tcBorders>
            <w:vAlign w:val="center"/>
            <w:hideMark/>
          </w:tcPr>
          <w:p w14:paraId="7F8FF212" w14:textId="77777777" w:rsidR="006362A0" w:rsidRPr="00C8351C" w:rsidRDefault="006362A0" w:rsidP="00BB2B21">
            <w:pPr>
              <w:spacing w:before="0" w:after="0"/>
              <w:jc w:val="right"/>
              <w:rPr>
                <w:rFonts w:ascii="Calibri" w:hAnsi="Calibri" w:cs="Calibri"/>
                <w:color w:val="auto"/>
                <w:sz w:val="18"/>
                <w:szCs w:val="18"/>
              </w:rPr>
            </w:pPr>
            <w:r w:rsidRPr="00C8351C">
              <w:rPr>
                <w:rFonts w:ascii="Calibri" w:hAnsi="Calibri" w:cs="Calibri"/>
                <w:color w:val="auto"/>
                <w:sz w:val="18"/>
                <w:szCs w:val="18"/>
              </w:rPr>
              <w:t>184</w:t>
            </w:r>
          </w:p>
        </w:tc>
        <w:tc>
          <w:tcPr>
            <w:tcW w:w="2265" w:type="dxa"/>
            <w:tcBorders>
              <w:top w:val="nil"/>
              <w:left w:val="nil"/>
              <w:bottom w:val="single" w:sz="4" w:space="0" w:color="auto"/>
              <w:right w:val="single" w:sz="4" w:space="0" w:color="auto"/>
            </w:tcBorders>
            <w:vAlign w:val="center"/>
            <w:hideMark/>
          </w:tcPr>
          <w:p w14:paraId="504695D9" w14:textId="77777777" w:rsidR="006362A0" w:rsidRPr="00C8351C" w:rsidRDefault="006362A0" w:rsidP="00BB2B21">
            <w:pPr>
              <w:spacing w:before="0" w:after="0"/>
              <w:rPr>
                <w:rFonts w:ascii="Calibri" w:hAnsi="Calibri" w:cs="Calibri"/>
                <w:b/>
                <w:bCs/>
                <w:color w:val="auto"/>
                <w:sz w:val="18"/>
                <w:szCs w:val="18"/>
              </w:rPr>
            </w:pPr>
            <w:r w:rsidRPr="00C8351C">
              <w:rPr>
                <w:rFonts w:ascii="Calibri" w:hAnsi="Calibri" w:cs="Calibri"/>
                <w:b/>
                <w:bCs/>
                <w:color w:val="auto"/>
                <w:sz w:val="18"/>
                <w:szCs w:val="18"/>
              </w:rPr>
              <w:t> </w:t>
            </w:r>
          </w:p>
        </w:tc>
      </w:tr>
      <w:tr w:rsidR="00C8351C" w:rsidRPr="00C8351C" w14:paraId="088F2618" w14:textId="77777777" w:rsidTr="00BB2B21">
        <w:trPr>
          <w:trHeight w:val="284"/>
        </w:trPr>
        <w:tc>
          <w:tcPr>
            <w:tcW w:w="1322" w:type="dxa"/>
            <w:tcBorders>
              <w:top w:val="nil"/>
              <w:left w:val="single" w:sz="4" w:space="0" w:color="auto"/>
              <w:bottom w:val="single" w:sz="4" w:space="0" w:color="auto"/>
              <w:right w:val="single" w:sz="4" w:space="0" w:color="auto"/>
            </w:tcBorders>
            <w:shd w:val="clear" w:color="auto" w:fill="DDF0F2" w:themeFill="accent2" w:themeFillTint="33"/>
            <w:vAlign w:val="center"/>
            <w:hideMark/>
          </w:tcPr>
          <w:p w14:paraId="0574B5FD" w14:textId="77777777" w:rsidR="006362A0" w:rsidRPr="00C8351C" w:rsidRDefault="006362A0" w:rsidP="00BB2B21">
            <w:pPr>
              <w:spacing w:before="0" w:after="0"/>
              <w:rPr>
                <w:rFonts w:ascii="Calibri" w:hAnsi="Calibri" w:cs="Calibri"/>
                <w:b/>
                <w:bCs/>
                <w:color w:val="auto"/>
                <w:sz w:val="18"/>
                <w:szCs w:val="18"/>
              </w:rPr>
            </w:pPr>
            <w:r w:rsidRPr="00C8351C">
              <w:rPr>
                <w:rFonts w:ascii="Calibri" w:hAnsi="Calibri" w:cs="Calibri"/>
                <w:b/>
                <w:bCs/>
                <w:color w:val="auto"/>
                <w:sz w:val="18"/>
                <w:szCs w:val="18"/>
              </w:rPr>
              <w:t>Total Dwellings</w:t>
            </w:r>
          </w:p>
        </w:tc>
        <w:tc>
          <w:tcPr>
            <w:tcW w:w="1441" w:type="dxa"/>
            <w:tcBorders>
              <w:top w:val="nil"/>
              <w:left w:val="nil"/>
              <w:bottom w:val="single" w:sz="4" w:space="0" w:color="auto"/>
              <w:right w:val="single" w:sz="4" w:space="0" w:color="auto"/>
            </w:tcBorders>
            <w:shd w:val="clear" w:color="auto" w:fill="DDF0F2" w:themeFill="accent2" w:themeFillTint="33"/>
            <w:vAlign w:val="center"/>
            <w:hideMark/>
          </w:tcPr>
          <w:p w14:paraId="6976528C" w14:textId="334BD239" w:rsidR="006362A0" w:rsidRPr="00C8351C" w:rsidRDefault="006362A0" w:rsidP="00BB2B21">
            <w:pPr>
              <w:spacing w:before="0" w:after="0"/>
              <w:jc w:val="right"/>
              <w:rPr>
                <w:rFonts w:ascii="Calibri" w:hAnsi="Calibri" w:cs="Calibri"/>
                <w:b/>
                <w:bCs/>
                <w:color w:val="auto"/>
                <w:sz w:val="18"/>
                <w:szCs w:val="18"/>
              </w:rPr>
            </w:pPr>
            <w:r w:rsidRPr="00C8351C">
              <w:rPr>
                <w:rFonts w:ascii="Calibri" w:hAnsi="Calibri" w:cs="Calibri"/>
                <w:b/>
                <w:bCs/>
                <w:color w:val="auto"/>
                <w:sz w:val="18"/>
                <w:szCs w:val="18"/>
              </w:rPr>
              <w:t>7</w:t>
            </w:r>
            <w:r w:rsidR="004E3582" w:rsidRPr="00C8351C">
              <w:rPr>
                <w:rFonts w:ascii="Calibri" w:hAnsi="Calibri" w:cs="Calibri"/>
                <w:b/>
                <w:bCs/>
                <w:color w:val="auto"/>
                <w:sz w:val="18"/>
                <w:szCs w:val="18"/>
              </w:rPr>
              <w:t>2</w:t>
            </w:r>
          </w:p>
        </w:tc>
        <w:tc>
          <w:tcPr>
            <w:tcW w:w="2472" w:type="dxa"/>
            <w:tcBorders>
              <w:top w:val="nil"/>
              <w:left w:val="nil"/>
              <w:bottom w:val="single" w:sz="4" w:space="0" w:color="auto"/>
              <w:right w:val="single" w:sz="4" w:space="0" w:color="auto"/>
            </w:tcBorders>
            <w:shd w:val="clear" w:color="auto" w:fill="DDF0F2" w:themeFill="accent2" w:themeFillTint="33"/>
            <w:vAlign w:val="center"/>
            <w:hideMark/>
          </w:tcPr>
          <w:p w14:paraId="7B49A211" w14:textId="77777777" w:rsidR="006362A0" w:rsidRPr="00C8351C" w:rsidRDefault="006362A0" w:rsidP="00BB2B21">
            <w:pPr>
              <w:spacing w:before="0" w:after="0"/>
              <w:jc w:val="right"/>
              <w:rPr>
                <w:rFonts w:ascii="Calibri" w:hAnsi="Calibri" w:cs="Calibri"/>
                <w:b/>
                <w:bCs/>
                <w:color w:val="auto"/>
                <w:sz w:val="18"/>
                <w:szCs w:val="18"/>
              </w:rPr>
            </w:pPr>
            <w:r w:rsidRPr="00C8351C">
              <w:rPr>
                <w:rFonts w:ascii="Calibri" w:hAnsi="Calibri" w:cs="Calibri"/>
                <w:b/>
                <w:bCs/>
                <w:color w:val="auto"/>
                <w:sz w:val="18"/>
                <w:szCs w:val="18"/>
              </w:rPr>
              <w:t>748</w:t>
            </w:r>
          </w:p>
        </w:tc>
        <w:tc>
          <w:tcPr>
            <w:tcW w:w="1668" w:type="dxa"/>
            <w:tcBorders>
              <w:top w:val="nil"/>
              <w:left w:val="nil"/>
              <w:bottom w:val="single" w:sz="4" w:space="0" w:color="auto"/>
              <w:right w:val="single" w:sz="4" w:space="0" w:color="auto"/>
            </w:tcBorders>
            <w:shd w:val="clear" w:color="auto" w:fill="DDF0F2" w:themeFill="accent2" w:themeFillTint="33"/>
            <w:vAlign w:val="center"/>
            <w:hideMark/>
          </w:tcPr>
          <w:p w14:paraId="52DB64E1" w14:textId="7ECC90DF" w:rsidR="006362A0" w:rsidRPr="00C8351C" w:rsidRDefault="006362A0" w:rsidP="00BB2B21">
            <w:pPr>
              <w:spacing w:before="0" w:after="0"/>
              <w:jc w:val="right"/>
              <w:rPr>
                <w:rFonts w:ascii="Calibri" w:hAnsi="Calibri" w:cs="Calibri"/>
                <w:b/>
                <w:bCs/>
                <w:color w:val="auto"/>
                <w:sz w:val="18"/>
                <w:szCs w:val="18"/>
              </w:rPr>
            </w:pPr>
            <w:r w:rsidRPr="00C8351C">
              <w:rPr>
                <w:rFonts w:ascii="Calibri" w:hAnsi="Calibri" w:cs="Calibri"/>
                <w:b/>
                <w:bCs/>
                <w:color w:val="auto"/>
                <w:sz w:val="18"/>
                <w:szCs w:val="18"/>
              </w:rPr>
              <w:t>82</w:t>
            </w:r>
            <w:r w:rsidR="004E3582" w:rsidRPr="00C8351C">
              <w:rPr>
                <w:rFonts w:ascii="Calibri" w:hAnsi="Calibri" w:cs="Calibri"/>
                <w:b/>
                <w:bCs/>
                <w:color w:val="auto"/>
                <w:sz w:val="18"/>
                <w:szCs w:val="18"/>
              </w:rPr>
              <w:t>0</w:t>
            </w:r>
          </w:p>
        </w:tc>
        <w:tc>
          <w:tcPr>
            <w:tcW w:w="2265" w:type="dxa"/>
            <w:tcBorders>
              <w:top w:val="nil"/>
              <w:left w:val="nil"/>
              <w:bottom w:val="single" w:sz="4" w:space="0" w:color="auto"/>
              <w:right w:val="single" w:sz="4" w:space="0" w:color="auto"/>
            </w:tcBorders>
            <w:shd w:val="clear" w:color="auto" w:fill="DDF0F2" w:themeFill="accent2" w:themeFillTint="33"/>
            <w:vAlign w:val="center"/>
            <w:hideMark/>
          </w:tcPr>
          <w:p w14:paraId="45B9EB92" w14:textId="08DEB5BF" w:rsidR="006362A0" w:rsidRPr="00C8351C" w:rsidRDefault="006362A0" w:rsidP="00BB2B21">
            <w:pPr>
              <w:spacing w:before="0" w:after="0"/>
              <w:rPr>
                <w:rFonts w:ascii="Calibri" w:hAnsi="Calibri" w:cs="Calibri"/>
                <w:b/>
                <w:bCs/>
                <w:color w:val="auto"/>
                <w:sz w:val="18"/>
                <w:szCs w:val="18"/>
              </w:rPr>
            </w:pPr>
            <w:r w:rsidRPr="00C8351C">
              <w:rPr>
                <w:rFonts w:ascii="Calibri" w:hAnsi="Calibri" w:cs="Calibri"/>
                <w:b/>
                <w:bCs/>
                <w:color w:val="auto"/>
                <w:sz w:val="18"/>
                <w:szCs w:val="18"/>
              </w:rPr>
              <w:t>3</w:t>
            </w:r>
            <w:r w:rsidR="004E3582" w:rsidRPr="00C8351C">
              <w:rPr>
                <w:rFonts w:ascii="Calibri" w:hAnsi="Calibri" w:cs="Calibri"/>
                <w:b/>
                <w:bCs/>
                <w:color w:val="auto"/>
                <w:sz w:val="18"/>
                <w:szCs w:val="18"/>
              </w:rPr>
              <w:t>6</w:t>
            </w:r>
            <w:r w:rsidRPr="00C8351C">
              <w:rPr>
                <w:rFonts w:ascii="Calibri" w:hAnsi="Calibri" w:cs="Calibri"/>
                <w:b/>
                <w:bCs/>
                <w:color w:val="auto"/>
                <w:sz w:val="18"/>
                <w:szCs w:val="18"/>
              </w:rPr>
              <w:t xml:space="preserve"> years </w:t>
            </w:r>
          </w:p>
        </w:tc>
      </w:tr>
      <w:tr w:rsidR="00C8351C" w:rsidRPr="00C8351C" w14:paraId="2D9B1789" w14:textId="77777777" w:rsidTr="00BB2B21">
        <w:trPr>
          <w:trHeight w:val="284"/>
        </w:trPr>
        <w:tc>
          <w:tcPr>
            <w:tcW w:w="5235" w:type="dxa"/>
            <w:gridSpan w:val="3"/>
            <w:tcBorders>
              <w:top w:val="single" w:sz="4" w:space="0" w:color="auto"/>
              <w:left w:val="single" w:sz="4" w:space="0" w:color="auto"/>
              <w:bottom w:val="single" w:sz="4" w:space="0" w:color="auto"/>
              <w:right w:val="single" w:sz="4" w:space="0" w:color="auto"/>
            </w:tcBorders>
            <w:vAlign w:val="center"/>
            <w:hideMark/>
          </w:tcPr>
          <w:p w14:paraId="76B52954" w14:textId="77777777" w:rsidR="006362A0" w:rsidRPr="00C8351C" w:rsidRDefault="006362A0" w:rsidP="00BB2B21">
            <w:pPr>
              <w:spacing w:before="0" w:after="0"/>
              <w:rPr>
                <w:rFonts w:ascii="Calibri" w:hAnsi="Calibri" w:cs="Calibri"/>
                <w:b/>
                <w:bCs/>
                <w:i/>
                <w:iCs/>
                <w:color w:val="auto"/>
                <w:sz w:val="18"/>
                <w:szCs w:val="18"/>
              </w:rPr>
            </w:pPr>
            <w:r w:rsidRPr="00C8351C">
              <w:rPr>
                <w:rFonts w:ascii="Calibri" w:hAnsi="Calibri" w:cs="Calibri"/>
                <w:b/>
                <w:bCs/>
                <w:i/>
                <w:iCs/>
                <w:color w:val="auto"/>
                <w:sz w:val="18"/>
                <w:szCs w:val="18"/>
              </w:rPr>
              <w:t xml:space="preserve">Tennant Creek </w:t>
            </w:r>
          </w:p>
        </w:tc>
        <w:tc>
          <w:tcPr>
            <w:tcW w:w="1668" w:type="dxa"/>
            <w:tcBorders>
              <w:top w:val="nil"/>
              <w:left w:val="nil"/>
              <w:bottom w:val="single" w:sz="4" w:space="0" w:color="auto"/>
              <w:right w:val="single" w:sz="4" w:space="0" w:color="auto"/>
            </w:tcBorders>
            <w:vAlign w:val="center"/>
            <w:hideMark/>
          </w:tcPr>
          <w:p w14:paraId="1EFF67B7" w14:textId="77777777" w:rsidR="006362A0" w:rsidRPr="00C8351C" w:rsidRDefault="006362A0" w:rsidP="00BB2B21">
            <w:pPr>
              <w:spacing w:before="0" w:after="0"/>
              <w:rPr>
                <w:rFonts w:ascii="Calibri" w:hAnsi="Calibri" w:cs="Calibri"/>
                <w:color w:val="auto"/>
                <w:sz w:val="18"/>
                <w:szCs w:val="18"/>
              </w:rPr>
            </w:pPr>
            <w:r w:rsidRPr="00C8351C">
              <w:rPr>
                <w:rFonts w:ascii="Calibri" w:hAnsi="Calibri" w:cs="Calibri"/>
                <w:color w:val="auto"/>
                <w:sz w:val="18"/>
                <w:szCs w:val="18"/>
              </w:rPr>
              <w:t> </w:t>
            </w:r>
          </w:p>
        </w:tc>
        <w:tc>
          <w:tcPr>
            <w:tcW w:w="2265" w:type="dxa"/>
            <w:tcBorders>
              <w:top w:val="nil"/>
              <w:left w:val="nil"/>
              <w:bottom w:val="single" w:sz="4" w:space="0" w:color="auto"/>
              <w:right w:val="single" w:sz="4" w:space="0" w:color="auto"/>
            </w:tcBorders>
            <w:vAlign w:val="center"/>
            <w:hideMark/>
          </w:tcPr>
          <w:p w14:paraId="473A960C" w14:textId="77777777" w:rsidR="006362A0" w:rsidRPr="00C8351C" w:rsidRDefault="006362A0" w:rsidP="00BB2B21">
            <w:pPr>
              <w:spacing w:before="0" w:after="0"/>
              <w:rPr>
                <w:rFonts w:ascii="Calibri" w:hAnsi="Calibri" w:cs="Calibri"/>
                <w:b/>
                <w:bCs/>
                <w:color w:val="auto"/>
                <w:sz w:val="18"/>
                <w:szCs w:val="18"/>
              </w:rPr>
            </w:pPr>
            <w:r w:rsidRPr="00C8351C">
              <w:rPr>
                <w:rFonts w:ascii="Calibri" w:hAnsi="Calibri" w:cs="Calibri"/>
                <w:b/>
                <w:bCs/>
                <w:color w:val="auto"/>
                <w:sz w:val="18"/>
                <w:szCs w:val="18"/>
              </w:rPr>
              <w:t> </w:t>
            </w:r>
          </w:p>
        </w:tc>
      </w:tr>
      <w:tr w:rsidR="00C8351C" w:rsidRPr="00C8351C" w14:paraId="5F34E6DD" w14:textId="77777777" w:rsidTr="00BB2B21">
        <w:trPr>
          <w:trHeight w:val="284"/>
        </w:trPr>
        <w:tc>
          <w:tcPr>
            <w:tcW w:w="1322" w:type="dxa"/>
            <w:tcBorders>
              <w:top w:val="nil"/>
              <w:left w:val="single" w:sz="4" w:space="0" w:color="auto"/>
              <w:bottom w:val="single" w:sz="4" w:space="0" w:color="auto"/>
              <w:right w:val="single" w:sz="4" w:space="0" w:color="auto"/>
            </w:tcBorders>
            <w:vAlign w:val="center"/>
            <w:hideMark/>
          </w:tcPr>
          <w:p w14:paraId="31E2C00E" w14:textId="77777777" w:rsidR="006362A0" w:rsidRPr="00C8351C" w:rsidRDefault="006362A0" w:rsidP="00BB2B21">
            <w:pPr>
              <w:spacing w:before="0" w:after="0"/>
              <w:rPr>
                <w:rFonts w:ascii="Calibri" w:hAnsi="Calibri" w:cs="Calibri"/>
                <w:color w:val="auto"/>
                <w:sz w:val="18"/>
                <w:szCs w:val="18"/>
              </w:rPr>
            </w:pPr>
            <w:r w:rsidRPr="00C8351C">
              <w:rPr>
                <w:rFonts w:ascii="Calibri" w:hAnsi="Calibri" w:cs="Calibri"/>
                <w:color w:val="auto"/>
                <w:sz w:val="18"/>
                <w:szCs w:val="18"/>
              </w:rPr>
              <w:t xml:space="preserve">Detached (lots) </w:t>
            </w:r>
          </w:p>
        </w:tc>
        <w:tc>
          <w:tcPr>
            <w:tcW w:w="1441" w:type="dxa"/>
            <w:tcBorders>
              <w:top w:val="nil"/>
              <w:left w:val="nil"/>
              <w:bottom w:val="single" w:sz="4" w:space="0" w:color="auto"/>
              <w:right w:val="single" w:sz="4" w:space="0" w:color="auto"/>
            </w:tcBorders>
            <w:vAlign w:val="center"/>
            <w:hideMark/>
          </w:tcPr>
          <w:p w14:paraId="62EEB865" w14:textId="77777777" w:rsidR="006362A0" w:rsidRPr="00C8351C" w:rsidRDefault="006362A0" w:rsidP="00BB2B21">
            <w:pPr>
              <w:spacing w:before="0" w:after="0"/>
              <w:jc w:val="right"/>
              <w:rPr>
                <w:rFonts w:ascii="Calibri" w:hAnsi="Calibri" w:cs="Calibri"/>
                <w:color w:val="auto"/>
                <w:sz w:val="18"/>
                <w:szCs w:val="18"/>
              </w:rPr>
            </w:pPr>
            <w:r w:rsidRPr="00C8351C">
              <w:rPr>
                <w:rFonts w:ascii="Calibri" w:hAnsi="Calibri" w:cs="Calibri"/>
                <w:color w:val="auto"/>
                <w:sz w:val="18"/>
                <w:szCs w:val="18"/>
              </w:rPr>
              <w:t>6</w:t>
            </w:r>
          </w:p>
        </w:tc>
        <w:tc>
          <w:tcPr>
            <w:tcW w:w="2472" w:type="dxa"/>
            <w:tcBorders>
              <w:top w:val="nil"/>
              <w:left w:val="nil"/>
              <w:bottom w:val="single" w:sz="4" w:space="0" w:color="auto"/>
              <w:right w:val="single" w:sz="4" w:space="0" w:color="auto"/>
            </w:tcBorders>
            <w:vAlign w:val="center"/>
            <w:hideMark/>
          </w:tcPr>
          <w:p w14:paraId="7B24D653" w14:textId="77777777" w:rsidR="006362A0" w:rsidRPr="00C8351C" w:rsidRDefault="006362A0" w:rsidP="00BB2B21">
            <w:pPr>
              <w:spacing w:before="0" w:after="0"/>
              <w:jc w:val="right"/>
              <w:rPr>
                <w:rFonts w:ascii="Calibri" w:hAnsi="Calibri" w:cs="Calibri"/>
                <w:color w:val="auto"/>
                <w:sz w:val="18"/>
                <w:szCs w:val="18"/>
              </w:rPr>
            </w:pPr>
            <w:r w:rsidRPr="00C8351C">
              <w:rPr>
                <w:rFonts w:ascii="Calibri" w:hAnsi="Calibri" w:cs="Calibri"/>
                <w:color w:val="auto"/>
                <w:sz w:val="18"/>
                <w:szCs w:val="18"/>
              </w:rPr>
              <w:t>250</w:t>
            </w:r>
          </w:p>
        </w:tc>
        <w:tc>
          <w:tcPr>
            <w:tcW w:w="1668" w:type="dxa"/>
            <w:tcBorders>
              <w:top w:val="nil"/>
              <w:left w:val="nil"/>
              <w:bottom w:val="single" w:sz="4" w:space="0" w:color="auto"/>
              <w:right w:val="single" w:sz="4" w:space="0" w:color="auto"/>
            </w:tcBorders>
            <w:vAlign w:val="center"/>
            <w:hideMark/>
          </w:tcPr>
          <w:p w14:paraId="4F3F33F9" w14:textId="77777777" w:rsidR="006362A0" w:rsidRPr="00C8351C" w:rsidRDefault="006362A0" w:rsidP="00BB2B21">
            <w:pPr>
              <w:spacing w:before="0" w:after="0"/>
              <w:jc w:val="right"/>
              <w:rPr>
                <w:rFonts w:ascii="Calibri" w:hAnsi="Calibri" w:cs="Calibri"/>
                <w:color w:val="auto"/>
                <w:sz w:val="18"/>
                <w:szCs w:val="18"/>
              </w:rPr>
            </w:pPr>
            <w:r w:rsidRPr="00C8351C">
              <w:rPr>
                <w:rFonts w:ascii="Calibri" w:hAnsi="Calibri" w:cs="Calibri"/>
                <w:color w:val="auto"/>
                <w:sz w:val="18"/>
                <w:szCs w:val="18"/>
              </w:rPr>
              <w:t>256</w:t>
            </w:r>
          </w:p>
        </w:tc>
        <w:tc>
          <w:tcPr>
            <w:tcW w:w="2265" w:type="dxa"/>
            <w:tcBorders>
              <w:top w:val="nil"/>
              <w:left w:val="nil"/>
              <w:bottom w:val="single" w:sz="4" w:space="0" w:color="auto"/>
              <w:right w:val="single" w:sz="4" w:space="0" w:color="auto"/>
            </w:tcBorders>
            <w:vAlign w:val="center"/>
            <w:hideMark/>
          </w:tcPr>
          <w:p w14:paraId="46B9C12E" w14:textId="77777777" w:rsidR="006362A0" w:rsidRPr="00C8351C" w:rsidRDefault="006362A0" w:rsidP="00BB2B21">
            <w:pPr>
              <w:spacing w:before="0" w:after="0"/>
              <w:rPr>
                <w:rFonts w:ascii="Calibri" w:hAnsi="Calibri" w:cs="Calibri"/>
                <w:b/>
                <w:bCs/>
                <w:color w:val="auto"/>
                <w:sz w:val="18"/>
                <w:szCs w:val="18"/>
              </w:rPr>
            </w:pPr>
            <w:r w:rsidRPr="00C8351C">
              <w:rPr>
                <w:rFonts w:ascii="Calibri" w:hAnsi="Calibri" w:cs="Calibri"/>
                <w:b/>
                <w:bCs/>
                <w:color w:val="auto"/>
                <w:sz w:val="18"/>
                <w:szCs w:val="18"/>
              </w:rPr>
              <w:t> </w:t>
            </w:r>
          </w:p>
        </w:tc>
      </w:tr>
      <w:tr w:rsidR="00C8351C" w:rsidRPr="00C8351C" w14:paraId="6FDD6BF3" w14:textId="77777777" w:rsidTr="00BB2B21">
        <w:trPr>
          <w:trHeight w:val="475"/>
        </w:trPr>
        <w:tc>
          <w:tcPr>
            <w:tcW w:w="1322" w:type="dxa"/>
            <w:tcBorders>
              <w:top w:val="nil"/>
              <w:left w:val="single" w:sz="4" w:space="0" w:color="auto"/>
              <w:bottom w:val="single" w:sz="4" w:space="0" w:color="auto"/>
              <w:right w:val="single" w:sz="4" w:space="0" w:color="auto"/>
            </w:tcBorders>
            <w:vAlign w:val="center"/>
            <w:hideMark/>
          </w:tcPr>
          <w:p w14:paraId="0B898E5F" w14:textId="77777777" w:rsidR="006362A0" w:rsidRPr="00C8351C" w:rsidRDefault="006362A0" w:rsidP="00BB2B21">
            <w:pPr>
              <w:spacing w:before="0" w:after="0"/>
              <w:rPr>
                <w:rFonts w:ascii="Calibri" w:hAnsi="Calibri" w:cs="Calibri"/>
                <w:color w:val="auto"/>
                <w:sz w:val="18"/>
                <w:szCs w:val="18"/>
              </w:rPr>
            </w:pPr>
            <w:r w:rsidRPr="00C8351C">
              <w:rPr>
                <w:rFonts w:ascii="Calibri" w:hAnsi="Calibri" w:cs="Calibri"/>
                <w:color w:val="auto"/>
                <w:sz w:val="18"/>
                <w:szCs w:val="18"/>
              </w:rPr>
              <w:t xml:space="preserve">Attached (dwellings) </w:t>
            </w:r>
          </w:p>
        </w:tc>
        <w:tc>
          <w:tcPr>
            <w:tcW w:w="1441" w:type="dxa"/>
            <w:tcBorders>
              <w:top w:val="nil"/>
              <w:left w:val="nil"/>
              <w:bottom w:val="single" w:sz="4" w:space="0" w:color="auto"/>
              <w:right w:val="single" w:sz="4" w:space="0" w:color="auto"/>
            </w:tcBorders>
            <w:vAlign w:val="center"/>
            <w:hideMark/>
          </w:tcPr>
          <w:p w14:paraId="37277D12" w14:textId="77777777" w:rsidR="006362A0" w:rsidRPr="00C8351C" w:rsidRDefault="006362A0" w:rsidP="00BB2B21">
            <w:pPr>
              <w:spacing w:before="0" w:after="0"/>
              <w:jc w:val="right"/>
              <w:rPr>
                <w:rFonts w:ascii="Calibri" w:hAnsi="Calibri" w:cs="Calibri"/>
                <w:color w:val="auto"/>
                <w:sz w:val="18"/>
                <w:szCs w:val="18"/>
              </w:rPr>
            </w:pPr>
            <w:r w:rsidRPr="00C8351C">
              <w:rPr>
                <w:rFonts w:ascii="Calibri" w:hAnsi="Calibri" w:cs="Calibri"/>
                <w:color w:val="auto"/>
                <w:sz w:val="18"/>
                <w:szCs w:val="18"/>
              </w:rPr>
              <w:t>28</w:t>
            </w:r>
          </w:p>
        </w:tc>
        <w:tc>
          <w:tcPr>
            <w:tcW w:w="2472" w:type="dxa"/>
            <w:tcBorders>
              <w:top w:val="nil"/>
              <w:left w:val="nil"/>
              <w:bottom w:val="single" w:sz="4" w:space="0" w:color="auto"/>
              <w:right w:val="single" w:sz="4" w:space="0" w:color="auto"/>
            </w:tcBorders>
            <w:vAlign w:val="center"/>
            <w:hideMark/>
          </w:tcPr>
          <w:p w14:paraId="00F5FBFA" w14:textId="77777777" w:rsidR="006362A0" w:rsidRPr="00C8351C" w:rsidRDefault="006362A0" w:rsidP="00BB2B21">
            <w:pPr>
              <w:spacing w:before="0" w:after="0"/>
              <w:jc w:val="right"/>
              <w:rPr>
                <w:rFonts w:ascii="Calibri" w:hAnsi="Calibri" w:cs="Calibri"/>
                <w:color w:val="auto"/>
                <w:sz w:val="18"/>
                <w:szCs w:val="18"/>
              </w:rPr>
            </w:pPr>
            <w:r w:rsidRPr="00C8351C">
              <w:rPr>
                <w:rFonts w:ascii="Calibri" w:hAnsi="Calibri" w:cs="Calibri"/>
                <w:color w:val="auto"/>
                <w:sz w:val="18"/>
                <w:szCs w:val="18"/>
              </w:rPr>
              <w:t>25</w:t>
            </w:r>
          </w:p>
        </w:tc>
        <w:tc>
          <w:tcPr>
            <w:tcW w:w="1668" w:type="dxa"/>
            <w:tcBorders>
              <w:top w:val="nil"/>
              <w:left w:val="nil"/>
              <w:bottom w:val="single" w:sz="4" w:space="0" w:color="auto"/>
              <w:right w:val="single" w:sz="4" w:space="0" w:color="auto"/>
            </w:tcBorders>
            <w:vAlign w:val="center"/>
            <w:hideMark/>
          </w:tcPr>
          <w:p w14:paraId="77D05087" w14:textId="77777777" w:rsidR="006362A0" w:rsidRPr="00C8351C" w:rsidRDefault="006362A0" w:rsidP="00BB2B21">
            <w:pPr>
              <w:spacing w:before="0" w:after="0"/>
              <w:jc w:val="right"/>
              <w:rPr>
                <w:rFonts w:ascii="Calibri" w:hAnsi="Calibri" w:cs="Calibri"/>
                <w:color w:val="auto"/>
                <w:sz w:val="18"/>
                <w:szCs w:val="18"/>
              </w:rPr>
            </w:pPr>
            <w:r w:rsidRPr="00C8351C">
              <w:rPr>
                <w:rFonts w:ascii="Calibri" w:hAnsi="Calibri" w:cs="Calibri"/>
                <w:color w:val="auto"/>
                <w:sz w:val="18"/>
                <w:szCs w:val="18"/>
              </w:rPr>
              <w:t>53</w:t>
            </w:r>
          </w:p>
        </w:tc>
        <w:tc>
          <w:tcPr>
            <w:tcW w:w="2265" w:type="dxa"/>
            <w:tcBorders>
              <w:top w:val="nil"/>
              <w:left w:val="nil"/>
              <w:bottom w:val="single" w:sz="4" w:space="0" w:color="auto"/>
              <w:right w:val="single" w:sz="4" w:space="0" w:color="auto"/>
            </w:tcBorders>
            <w:vAlign w:val="center"/>
            <w:hideMark/>
          </w:tcPr>
          <w:p w14:paraId="0DAE396B" w14:textId="77777777" w:rsidR="006362A0" w:rsidRPr="00C8351C" w:rsidRDefault="006362A0" w:rsidP="00BB2B21">
            <w:pPr>
              <w:spacing w:before="0" w:after="0"/>
              <w:rPr>
                <w:rFonts w:ascii="Calibri" w:hAnsi="Calibri" w:cs="Calibri"/>
                <w:b/>
                <w:bCs/>
                <w:color w:val="auto"/>
                <w:sz w:val="18"/>
                <w:szCs w:val="18"/>
              </w:rPr>
            </w:pPr>
            <w:r w:rsidRPr="00C8351C">
              <w:rPr>
                <w:rFonts w:ascii="Calibri" w:hAnsi="Calibri" w:cs="Calibri"/>
                <w:b/>
                <w:bCs/>
                <w:color w:val="auto"/>
                <w:sz w:val="18"/>
                <w:szCs w:val="18"/>
              </w:rPr>
              <w:t> </w:t>
            </w:r>
          </w:p>
        </w:tc>
      </w:tr>
      <w:tr w:rsidR="00C8351C" w:rsidRPr="00C8351C" w14:paraId="1FC0E156" w14:textId="77777777" w:rsidTr="00BB2B21">
        <w:trPr>
          <w:trHeight w:val="284"/>
        </w:trPr>
        <w:tc>
          <w:tcPr>
            <w:tcW w:w="1322" w:type="dxa"/>
            <w:tcBorders>
              <w:top w:val="nil"/>
              <w:left w:val="single" w:sz="4" w:space="0" w:color="auto"/>
              <w:bottom w:val="single" w:sz="4" w:space="0" w:color="auto"/>
              <w:right w:val="single" w:sz="4" w:space="0" w:color="auto"/>
            </w:tcBorders>
            <w:shd w:val="clear" w:color="auto" w:fill="DDF0F2" w:themeFill="accent2" w:themeFillTint="33"/>
            <w:vAlign w:val="center"/>
            <w:hideMark/>
          </w:tcPr>
          <w:p w14:paraId="1C833E51" w14:textId="77777777" w:rsidR="006362A0" w:rsidRPr="00C8351C" w:rsidRDefault="006362A0" w:rsidP="00BB2B21">
            <w:pPr>
              <w:spacing w:before="0" w:after="0"/>
              <w:rPr>
                <w:rFonts w:ascii="Calibri" w:hAnsi="Calibri" w:cs="Calibri"/>
                <w:b/>
                <w:bCs/>
                <w:color w:val="auto"/>
                <w:sz w:val="18"/>
                <w:szCs w:val="18"/>
              </w:rPr>
            </w:pPr>
            <w:r w:rsidRPr="00C8351C">
              <w:rPr>
                <w:rFonts w:ascii="Calibri" w:hAnsi="Calibri" w:cs="Calibri"/>
                <w:b/>
                <w:bCs/>
                <w:color w:val="auto"/>
                <w:sz w:val="18"/>
                <w:szCs w:val="18"/>
              </w:rPr>
              <w:t xml:space="preserve">Total Dwellings </w:t>
            </w:r>
          </w:p>
        </w:tc>
        <w:tc>
          <w:tcPr>
            <w:tcW w:w="1441" w:type="dxa"/>
            <w:tcBorders>
              <w:top w:val="nil"/>
              <w:left w:val="nil"/>
              <w:bottom w:val="single" w:sz="4" w:space="0" w:color="auto"/>
              <w:right w:val="single" w:sz="4" w:space="0" w:color="auto"/>
            </w:tcBorders>
            <w:shd w:val="clear" w:color="auto" w:fill="DDF0F2" w:themeFill="accent2" w:themeFillTint="33"/>
            <w:vAlign w:val="center"/>
            <w:hideMark/>
          </w:tcPr>
          <w:p w14:paraId="71FA78C6" w14:textId="77777777" w:rsidR="006362A0" w:rsidRPr="00C8351C" w:rsidRDefault="006362A0" w:rsidP="00BB2B21">
            <w:pPr>
              <w:spacing w:before="0" w:after="0"/>
              <w:jc w:val="right"/>
              <w:rPr>
                <w:rFonts w:ascii="Calibri" w:hAnsi="Calibri" w:cs="Calibri"/>
                <w:b/>
                <w:bCs/>
                <w:color w:val="auto"/>
                <w:sz w:val="18"/>
                <w:szCs w:val="18"/>
              </w:rPr>
            </w:pPr>
            <w:r w:rsidRPr="00C8351C">
              <w:rPr>
                <w:rFonts w:ascii="Calibri" w:hAnsi="Calibri" w:cs="Calibri"/>
                <w:b/>
                <w:bCs/>
                <w:color w:val="auto"/>
                <w:sz w:val="18"/>
                <w:szCs w:val="18"/>
              </w:rPr>
              <w:t>34</w:t>
            </w:r>
          </w:p>
        </w:tc>
        <w:tc>
          <w:tcPr>
            <w:tcW w:w="2472" w:type="dxa"/>
            <w:tcBorders>
              <w:top w:val="nil"/>
              <w:left w:val="nil"/>
              <w:bottom w:val="single" w:sz="4" w:space="0" w:color="auto"/>
              <w:right w:val="single" w:sz="4" w:space="0" w:color="auto"/>
            </w:tcBorders>
            <w:shd w:val="clear" w:color="auto" w:fill="DDF0F2" w:themeFill="accent2" w:themeFillTint="33"/>
            <w:vAlign w:val="center"/>
            <w:hideMark/>
          </w:tcPr>
          <w:p w14:paraId="30F82B7B" w14:textId="77777777" w:rsidR="006362A0" w:rsidRPr="00C8351C" w:rsidRDefault="006362A0" w:rsidP="00BB2B21">
            <w:pPr>
              <w:spacing w:before="0" w:after="0"/>
              <w:jc w:val="right"/>
              <w:rPr>
                <w:rFonts w:ascii="Calibri" w:hAnsi="Calibri" w:cs="Calibri"/>
                <w:b/>
                <w:bCs/>
                <w:color w:val="auto"/>
                <w:sz w:val="18"/>
                <w:szCs w:val="18"/>
              </w:rPr>
            </w:pPr>
            <w:r w:rsidRPr="00C8351C">
              <w:rPr>
                <w:rFonts w:ascii="Calibri" w:hAnsi="Calibri" w:cs="Calibri"/>
                <w:b/>
                <w:bCs/>
                <w:color w:val="auto"/>
                <w:sz w:val="18"/>
                <w:szCs w:val="18"/>
              </w:rPr>
              <w:t>275</w:t>
            </w:r>
          </w:p>
        </w:tc>
        <w:tc>
          <w:tcPr>
            <w:tcW w:w="1668" w:type="dxa"/>
            <w:tcBorders>
              <w:top w:val="nil"/>
              <w:left w:val="nil"/>
              <w:bottom w:val="single" w:sz="4" w:space="0" w:color="auto"/>
              <w:right w:val="single" w:sz="4" w:space="0" w:color="auto"/>
            </w:tcBorders>
            <w:shd w:val="clear" w:color="auto" w:fill="DDF0F2" w:themeFill="accent2" w:themeFillTint="33"/>
            <w:vAlign w:val="center"/>
            <w:hideMark/>
          </w:tcPr>
          <w:p w14:paraId="3BA8E8B9" w14:textId="77777777" w:rsidR="006362A0" w:rsidRPr="00C8351C" w:rsidRDefault="006362A0" w:rsidP="00BB2B21">
            <w:pPr>
              <w:spacing w:before="0" w:after="0"/>
              <w:jc w:val="right"/>
              <w:rPr>
                <w:rFonts w:ascii="Calibri" w:hAnsi="Calibri" w:cs="Calibri"/>
                <w:b/>
                <w:bCs/>
                <w:color w:val="auto"/>
                <w:sz w:val="18"/>
                <w:szCs w:val="18"/>
              </w:rPr>
            </w:pPr>
            <w:r w:rsidRPr="00C8351C">
              <w:rPr>
                <w:rFonts w:ascii="Calibri" w:hAnsi="Calibri" w:cs="Calibri"/>
                <w:b/>
                <w:bCs/>
                <w:color w:val="auto"/>
                <w:sz w:val="18"/>
                <w:szCs w:val="18"/>
              </w:rPr>
              <w:t>309</w:t>
            </w:r>
          </w:p>
        </w:tc>
        <w:tc>
          <w:tcPr>
            <w:tcW w:w="2265" w:type="dxa"/>
            <w:tcBorders>
              <w:top w:val="nil"/>
              <w:left w:val="nil"/>
              <w:bottom w:val="single" w:sz="4" w:space="0" w:color="auto"/>
              <w:right w:val="single" w:sz="4" w:space="0" w:color="auto"/>
            </w:tcBorders>
            <w:shd w:val="clear" w:color="auto" w:fill="DDF0F2" w:themeFill="accent2" w:themeFillTint="33"/>
            <w:vAlign w:val="center"/>
            <w:hideMark/>
          </w:tcPr>
          <w:p w14:paraId="59F4CF48" w14:textId="62EF283E" w:rsidR="006362A0" w:rsidRPr="00C8351C" w:rsidRDefault="004E3582" w:rsidP="00BB2B21">
            <w:pPr>
              <w:spacing w:before="0" w:after="0"/>
              <w:rPr>
                <w:rFonts w:ascii="Calibri" w:hAnsi="Calibri" w:cs="Calibri"/>
                <w:b/>
                <w:bCs/>
                <w:color w:val="auto"/>
                <w:sz w:val="18"/>
                <w:szCs w:val="18"/>
              </w:rPr>
            </w:pPr>
            <w:r w:rsidRPr="00C8351C">
              <w:rPr>
                <w:rFonts w:ascii="Calibri" w:hAnsi="Calibri" w:cs="Calibri"/>
                <w:b/>
                <w:bCs/>
                <w:color w:val="auto"/>
                <w:sz w:val="18"/>
                <w:szCs w:val="18"/>
              </w:rPr>
              <w:t>52</w:t>
            </w:r>
            <w:r w:rsidR="006362A0" w:rsidRPr="00C8351C">
              <w:rPr>
                <w:rFonts w:ascii="Calibri" w:hAnsi="Calibri" w:cs="Calibri"/>
                <w:b/>
                <w:bCs/>
                <w:color w:val="auto"/>
                <w:sz w:val="18"/>
                <w:szCs w:val="18"/>
              </w:rPr>
              <w:t xml:space="preserve"> years </w:t>
            </w:r>
          </w:p>
        </w:tc>
      </w:tr>
      <w:tr w:rsidR="00C8351C" w:rsidRPr="00C8351C" w14:paraId="7D5886F3" w14:textId="77777777" w:rsidTr="00BB2B21">
        <w:trPr>
          <w:trHeight w:val="284"/>
        </w:trPr>
        <w:tc>
          <w:tcPr>
            <w:tcW w:w="5235" w:type="dxa"/>
            <w:gridSpan w:val="3"/>
            <w:tcBorders>
              <w:top w:val="single" w:sz="4" w:space="0" w:color="auto"/>
              <w:left w:val="single" w:sz="4" w:space="0" w:color="auto"/>
              <w:bottom w:val="single" w:sz="4" w:space="0" w:color="auto"/>
              <w:right w:val="single" w:sz="4" w:space="0" w:color="auto"/>
            </w:tcBorders>
            <w:vAlign w:val="center"/>
            <w:hideMark/>
          </w:tcPr>
          <w:p w14:paraId="45917476" w14:textId="77777777" w:rsidR="006362A0" w:rsidRPr="00C8351C" w:rsidRDefault="006362A0" w:rsidP="00BB2B21">
            <w:pPr>
              <w:spacing w:before="0" w:after="0"/>
              <w:rPr>
                <w:rFonts w:ascii="Calibri" w:hAnsi="Calibri" w:cs="Calibri"/>
                <w:b/>
                <w:bCs/>
                <w:i/>
                <w:iCs/>
                <w:color w:val="auto"/>
                <w:sz w:val="18"/>
                <w:szCs w:val="18"/>
              </w:rPr>
            </w:pPr>
            <w:r w:rsidRPr="00C8351C">
              <w:rPr>
                <w:rFonts w:ascii="Calibri" w:hAnsi="Calibri" w:cs="Calibri"/>
                <w:b/>
                <w:bCs/>
                <w:i/>
                <w:iCs/>
                <w:color w:val="auto"/>
                <w:sz w:val="18"/>
                <w:szCs w:val="18"/>
              </w:rPr>
              <w:t xml:space="preserve">Alice Springs </w:t>
            </w:r>
          </w:p>
        </w:tc>
        <w:tc>
          <w:tcPr>
            <w:tcW w:w="1668" w:type="dxa"/>
            <w:tcBorders>
              <w:top w:val="nil"/>
              <w:left w:val="nil"/>
              <w:bottom w:val="single" w:sz="4" w:space="0" w:color="auto"/>
              <w:right w:val="single" w:sz="4" w:space="0" w:color="auto"/>
            </w:tcBorders>
            <w:vAlign w:val="center"/>
            <w:hideMark/>
          </w:tcPr>
          <w:p w14:paraId="782DB2FF" w14:textId="77777777" w:rsidR="006362A0" w:rsidRPr="00C8351C" w:rsidRDefault="006362A0" w:rsidP="00BB2B21">
            <w:pPr>
              <w:spacing w:before="0" w:after="0"/>
              <w:rPr>
                <w:rFonts w:ascii="Calibri" w:hAnsi="Calibri" w:cs="Calibri"/>
                <w:color w:val="auto"/>
                <w:sz w:val="18"/>
                <w:szCs w:val="18"/>
              </w:rPr>
            </w:pPr>
            <w:r w:rsidRPr="00C8351C">
              <w:rPr>
                <w:rFonts w:ascii="Calibri" w:hAnsi="Calibri" w:cs="Calibri"/>
                <w:color w:val="auto"/>
                <w:sz w:val="18"/>
                <w:szCs w:val="18"/>
              </w:rPr>
              <w:t> </w:t>
            </w:r>
          </w:p>
        </w:tc>
        <w:tc>
          <w:tcPr>
            <w:tcW w:w="2265" w:type="dxa"/>
            <w:tcBorders>
              <w:top w:val="nil"/>
              <w:left w:val="nil"/>
              <w:bottom w:val="single" w:sz="4" w:space="0" w:color="auto"/>
              <w:right w:val="single" w:sz="4" w:space="0" w:color="auto"/>
            </w:tcBorders>
            <w:vAlign w:val="center"/>
            <w:hideMark/>
          </w:tcPr>
          <w:p w14:paraId="0C38E291" w14:textId="77777777" w:rsidR="006362A0" w:rsidRPr="00C8351C" w:rsidRDefault="006362A0" w:rsidP="00BB2B21">
            <w:pPr>
              <w:spacing w:before="0" w:after="0"/>
              <w:rPr>
                <w:rFonts w:ascii="Calibri" w:hAnsi="Calibri" w:cs="Calibri"/>
                <w:b/>
                <w:bCs/>
                <w:color w:val="auto"/>
                <w:sz w:val="18"/>
                <w:szCs w:val="18"/>
              </w:rPr>
            </w:pPr>
            <w:r w:rsidRPr="00C8351C">
              <w:rPr>
                <w:rFonts w:ascii="Calibri" w:hAnsi="Calibri" w:cs="Calibri"/>
                <w:b/>
                <w:bCs/>
                <w:color w:val="auto"/>
                <w:sz w:val="18"/>
                <w:szCs w:val="18"/>
              </w:rPr>
              <w:t> </w:t>
            </w:r>
          </w:p>
        </w:tc>
      </w:tr>
      <w:tr w:rsidR="00C8351C" w:rsidRPr="00C8351C" w14:paraId="0450B053" w14:textId="77777777" w:rsidTr="00BB2B21">
        <w:trPr>
          <w:trHeight w:val="284"/>
        </w:trPr>
        <w:tc>
          <w:tcPr>
            <w:tcW w:w="1322" w:type="dxa"/>
            <w:tcBorders>
              <w:top w:val="nil"/>
              <w:left w:val="single" w:sz="4" w:space="0" w:color="auto"/>
              <w:bottom w:val="single" w:sz="4" w:space="0" w:color="auto"/>
              <w:right w:val="single" w:sz="4" w:space="0" w:color="auto"/>
            </w:tcBorders>
            <w:vAlign w:val="center"/>
            <w:hideMark/>
          </w:tcPr>
          <w:p w14:paraId="483E13E9" w14:textId="77777777" w:rsidR="006362A0" w:rsidRPr="00C8351C" w:rsidRDefault="006362A0" w:rsidP="00BB2B21">
            <w:pPr>
              <w:spacing w:before="0" w:after="0"/>
              <w:rPr>
                <w:rFonts w:ascii="Calibri" w:hAnsi="Calibri" w:cs="Calibri"/>
                <w:color w:val="auto"/>
                <w:sz w:val="18"/>
                <w:szCs w:val="18"/>
              </w:rPr>
            </w:pPr>
            <w:r w:rsidRPr="00C8351C">
              <w:rPr>
                <w:rFonts w:ascii="Calibri" w:hAnsi="Calibri" w:cs="Calibri"/>
                <w:color w:val="auto"/>
                <w:sz w:val="18"/>
                <w:szCs w:val="18"/>
              </w:rPr>
              <w:t xml:space="preserve">Detached (lots) </w:t>
            </w:r>
          </w:p>
        </w:tc>
        <w:tc>
          <w:tcPr>
            <w:tcW w:w="1441" w:type="dxa"/>
            <w:tcBorders>
              <w:top w:val="nil"/>
              <w:left w:val="nil"/>
              <w:bottom w:val="single" w:sz="4" w:space="0" w:color="auto"/>
              <w:right w:val="single" w:sz="4" w:space="0" w:color="auto"/>
            </w:tcBorders>
            <w:vAlign w:val="center"/>
            <w:hideMark/>
          </w:tcPr>
          <w:p w14:paraId="108EA066" w14:textId="0BE7B3C9" w:rsidR="006362A0" w:rsidRPr="00C8351C" w:rsidRDefault="006362A0" w:rsidP="00BB2B21">
            <w:pPr>
              <w:spacing w:before="0" w:after="0"/>
              <w:jc w:val="right"/>
              <w:rPr>
                <w:rFonts w:ascii="Calibri" w:hAnsi="Calibri" w:cs="Calibri"/>
                <w:color w:val="auto"/>
                <w:sz w:val="18"/>
                <w:szCs w:val="18"/>
              </w:rPr>
            </w:pPr>
            <w:r w:rsidRPr="00C8351C">
              <w:rPr>
                <w:rFonts w:ascii="Calibri" w:hAnsi="Calibri" w:cs="Calibri"/>
                <w:color w:val="auto"/>
                <w:sz w:val="18"/>
                <w:szCs w:val="18"/>
              </w:rPr>
              <w:t>6</w:t>
            </w:r>
            <w:r w:rsidR="004E3582" w:rsidRPr="00C8351C">
              <w:rPr>
                <w:rFonts w:ascii="Calibri" w:hAnsi="Calibri" w:cs="Calibri"/>
                <w:color w:val="auto"/>
                <w:sz w:val="18"/>
                <w:szCs w:val="18"/>
              </w:rPr>
              <w:t>5</w:t>
            </w:r>
          </w:p>
        </w:tc>
        <w:tc>
          <w:tcPr>
            <w:tcW w:w="2472" w:type="dxa"/>
            <w:tcBorders>
              <w:top w:val="nil"/>
              <w:left w:val="nil"/>
              <w:bottom w:val="single" w:sz="4" w:space="0" w:color="auto"/>
              <w:right w:val="single" w:sz="4" w:space="0" w:color="auto"/>
            </w:tcBorders>
            <w:vAlign w:val="center"/>
            <w:hideMark/>
          </w:tcPr>
          <w:p w14:paraId="4AAC18DC" w14:textId="77777777" w:rsidR="006362A0" w:rsidRPr="00C8351C" w:rsidRDefault="006362A0" w:rsidP="00BB2B21">
            <w:pPr>
              <w:spacing w:before="0" w:after="0"/>
              <w:jc w:val="right"/>
              <w:rPr>
                <w:rFonts w:ascii="Calibri" w:hAnsi="Calibri" w:cs="Calibri"/>
                <w:color w:val="auto"/>
                <w:sz w:val="18"/>
                <w:szCs w:val="18"/>
              </w:rPr>
            </w:pPr>
            <w:r w:rsidRPr="00C8351C">
              <w:rPr>
                <w:rFonts w:ascii="Calibri" w:hAnsi="Calibri" w:cs="Calibri"/>
                <w:color w:val="auto"/>
                <w:sz w:val="18"/>
                <w:szCs w:val="18"/>
              </w:rPr>
              <w:t>637</w:t>
            </w:r>
          </w:p>
        </w:tc>
        <w:tc>
          <w:tcPr>
            <w:tcW w:w="1668" w:type="dxa"/>
            <w:tcBorders>
              <w:top w:val="nil"/>
              <w:left w:val="nil"/>
              <w:bottom w:val="single" w:sz="4" w:space="0" w:color="auto"/>
              <w:right w:val="single" w:sz="4" w:space="0" w:color="auto"/>
            </w:tcBorders>
            <w:vAlign w:val="center"/>
            <w:hideMark/>
          </w:tcPr>
          <w:p w14:paraId="4742856A" w14:textId="52E8D0A7" w:rsidR="006362A0" w:rsidRPr="00C8351C" w:rsidRDefault="006362A0" w:rsidP="00BB2B21">
            <w:pPr>
              <w:spacing w:before="0" w:after="0"/>
              <w:jc w:val="right"/>
              <w:rPr>
                <w:rFonts w:ascii="Calibri" w:hAnsi="Calibri" w:cs="Calibri"/>
                <w:color w:val="auto"/>
                <w:sz w:val="18"/>
                <w:szCs w:val="18"/>
              </w:rPr>
            </w:pPr>
            <w:r w:rsidRPr="00C8351C">
              <w:rPr>
                <w:rFonts w:ascii="Calibri" w:hAnsi="Calibri" w:cs="Calibri"/>
                <w:color w:val="auto"/>
                <w:sz w:val="18"/>
                <w:szCs w:val="18"/>
              </w:rPr>
              <w:t>70</w:t>
            </w:r>
            <w:r w:rsidR="004369BD" w:rsidRPr="00C8351C">
              <w:rPr>
                <w:rFonts w:ascii="Calibri" w:hAnsi="Calibri" w:cs="Calibri"/>
                <w:color w:val="auto"/>
                <w:sz w:val="18"/>
                <w:szCs w:val="18"/>
              </w:rPr>
              <w:t>2</w:t>
            </w:r>
          </w:p>
        </w:tc>
        <w:tc>
          <w:tcPr>
            <w:tcW w:w="2265" w:type="dxa"/>
            <w:tcBorders>
              <w:top w:val="nil"/>
              <w:left w:val="nil"/>
              <w:bottom w:val="single" w:sz="4" w:space="0" w:color="auto"/>
              <w:right w:val="single" w:sz="4" w:space="0" w:color="auto"/>
            </w:tcBorders>
            <w:vAlign w:val="center"/>
            <w:hideMark/>
          </w:tcPr>
          <w:p w14:paraId="5E051703" w14:textId="77777777" w:rsidR="006362A0" w:rsidRPr="00C8351C" w:rsidRDefault="006362A0" w:rsidP="00BB2B21">
            <w:pPr>
              <w:spacing w:before="0" w:after="0"/>
              <w:rPr>
                <w:rFonts w:ascii="Calibri" w:hAnsi="Calibri" w:cs="Calibri"/>
                <w:b/>
                <w:bCs/>
                <w:color w:val="auto"/>
                <w:sz w:val="18"/>
                <w:szCs w:val="18"/>
              </w:rPr>
            </w:pPr>
            <w:r w:rsidRPr="00C8351C">
              <w:rPr>
                <w:rFonts w:ascii="Calibri" w:hAnsi="Calibri" w:cs="Calibri"/>
                <w:b/>
                <w:bCs/>
                <w:color w:val="auto"/>
                <w:sz w:val="18"/>
                <w:szCs w:val="18"/>
              </w:rPr>
              <w:t> </w:t>
            </w:r>
          </w:p>
        </w:tc>
      </w:tr>
      <w:tr w:rsidR="00C8351C" w:rsidRPr="00C8351C" w14:paraId="5FE1BFA8" w14:textId="77777777" w:rsidTr="00BB2B21">
        <w:trPr>
          <w:trHeight w:val="475"/>
        </w:trPr>
        <w:tc>
          <w:tcPr>
            <w:tcW w:w="1322" w:type="dxa"/>
            <w:tcBorders>
              <w:top w:val="nil"/>
              <w:left w:val="single" w:sz="4" w:space="0" w:color="auto"/>
              <w:bottom w:val="single" w:sz="4" w:space="0" w:color="auto"/>
              <w:right w:val="single" w:sz="4" w:space="0" w:color="auto"/>
            </w:tcBorders>
            <w:vAlign w:val="center"/>
            <w:hideMark/>
          </w:tcPr>
          <w:p w14:paraId="268918A6" w14:textId="77777777" w:rsidR="006362A0" w:rsidRPr="00C8351C" w:rsidRDefault="006362A0" w:rsidP="00BB2B21">
            <w:pPr>
              <w:spacing w:before="0" w:after="0"/>
              <w:rPr>
                <w:rFonts w:ascii="Calibri" w:hAnsi="Calibri" w:cs="Calibri"/>
                <w:color w:val="auto"/>
                <w:sz w:val="18"/>
                <w:szCs w:val="18"/>
              </w:rPr>
            </w:pPr>
            <w:r w:rsidRPr="00C8351C">
              <w:rPr>
                <w:rFonts w:ascii="Calibri" w:hAnsi="Calibri" w:cs="Calibri"/>
                <w:color w:val="auto"/>
                <w:sz w:val="18"/>
                <w:szCs w:val="18"/>
              </w:rPr>
              <w:t xml:space="preserve">Attached (dwellings) </w:t>
            </w:r>
          </w:p>
        </w:tc>
        <w:tc>
          <w:tcPr>
            <w:tcW w:w="1441" w:type="dxa"/>
            <w:tcBorders>
              <w:top w:val="nil"/>
              <w:left w:val="nil"/>
              <w:bottom w:val="single" w:sz="4" w:space="0" w:color="auto"/>
              <w:right w:val="single" w:sz="4" w:space="0" w:color="auto"/>
            </w:tcBorders>
            <w:vAlign w:val="center"/>
            <w:hideMark/>
          </w:tcPr>
          <w:p w14:paraId="7483707E" w14:textId="77777777" w:rsidR="006362A0" w:rsidRPr="00C8351C" w:rsidRDefault="006362A0" w:rsidP="00BB2B21">
            <w:pPr>
              <w:spacing w:before="0" w:after="0"/>
              <w:jc w:val="right"/>
              <w:rPr>
                <w:rFonts w:ascii="Calibri" w:hAnsi="Calibri" w:cs="Calibri"/>
                <w:color w:val="auto"/>
                <w:sz w:val="18"/>
                <w:szCs w:val="18"/>
              </w:rPr>
            </w:pPr>
            <w:r w:rsidRPr="00C8351C">
              <w:rPr>
                <w:rFonts w:ascii="Calibri" w:hAnsi="Calibri" w:cs="Calibri"/>
                <w:color w:val="auto"/>
                <w:sz w:val="18"/>
                <w:szCs w:val="18"/>
              </w:rPr>
              <w:t>30</w:t>
            </w:r>
          </w:p>
        </w:tc>
        <w:tc>
          <w:tcPr>
            <w:tcW w:w="2472" w:type="dxa"/>
            <w:tcBorders>
              <w:top w:val="nil"/>
              <w:left w:val="nil"/>
              <w:bottom w:val="single" w:sz="4" w:space="0" w:color="auto"/>
              <w:right w:val="single" w:sz="4" w:space="0" w:color="auto"/>
            </w:tcBorders>
            <w:vAlign w:val="center"/>
            <w:hideMark/>
          </w:tcPr>
          <w:p w14:paraId="717F89F5" w14:textId="77777777" w:rsidR="006362A0" w:rsidRPr="00C8351C" w:rsidRDefault="006362A0" w:rsidP="00BB2B21">
            <w:pPr>
              <w:spacing w:before="0" w:after="0"/>
              <w:jc w:val="right"/>
              <w:rPr>
                <w:rFonts w:ascii="Calibri" w:hAnsi="Calibri" w:cs="Calibri"/>
                <w:color w:val="auto"/>
                <w:sz w:val="18"/>
                <w:szCs w:val="18"/>
              </w:rPr>
            </w:pPr>
            <w:r w:rsidRPr="00C8351C">
              <w:rPr>
                <w:rFonts w:ascii="Calibri" w:hAnsi="Calibri" w:cs="Calibri"/>
                <w:color w:val="auto"/>
                <w:sz w:val="18"/>
                <w:szCs w:val="18"/>
              </w:rPr>
              <w:t>63</w:t>
            </w:r>
          </w:p>
        </w:tc>
        <w:tc>
          <w:tcPr>
            <w:tcW w:w="1668" w:type="dxa"/>
            <w:tcBorders>
              <w:top w:val="nil"/>
              <w:left w:val="nil"/>
              <w:bottom w:val="single" w:sz="4" w:space="0" w:color="auto"/>
              <w:right w:val="single" w:sz="4" w:space="0" w:color="auto"/>
            </w:tcBorders>
            <w:vAlign w:val="center"/>
            <w:hideMark/>
          </w:tcPr>
          <w:p w14:paraId="44DC6354" w14:textId="77777777" w:rsidR="006362A0" w:rsidRPr="00C8351C" w:rsidRDefault="006362A0" w:rsidP="00BB2B21">
            <w:pPr>
              <w:spacing w:before="0" w:after="0"/>
              <w:jc w:val="right"/>
              <w:rPr>
                <w:rFonts w:ascii="Calibri" w:hAnsi="Calibri" w:cs="Calibri"/>
                <w:color w:val="auto"/>
                <w:sz w:val="18"/>
                <w:szCs w:val="18"/>
              </w:rPr>
            </w:pPr>
            <w:r w:rsidRPr="00C8351C">
              <w:rPr>
                <w:rFonts w:ascii="Calibri" w:hAnsi="Calibri" w:cs="Calibri"/>
                <w:color w:val="auto"/>
                <w:sz w:val="18"/>
                <w:szCs w:val="18"/>
              </w:rPr>
              <w:t>93</w:t>
            </w:r>
          </w:p>
        </w:tc>
        <w:tc>
          <w:tcPr>
            <w:tcW w:w="2265" w:type="dxa"/>
            <w:tcBorders>
              <w:top w:val="nil"/>
              <w:left w:val="nil"/>
              <w:bottom w:val="single" w:sz="4" w:space="0" w:color="auto"/>
              <w:right w:val="single" w:sz="4" w:space="0" w:color="auto"/>
            </w:tcBorders>
            <w:vAlign w:val="center"/>
            <w:hideMark/>
          </w:tcPr>
          <w:p w14:paraId="55DB79F0" w14:textId="77777777" w:rsidR="006362A0" w:rsidRPr="00C8351C" w:rsidRDefault="006362A0" w:rsidP="00BB2B21">
            <w:pPr>
              <w:spacing w:before="0" w:after="0"/>
              <w:rPr>
                <w:rFonts w:ascii="Calibri" w:hAnsi="Calibri" w:cs="Calibri"/>
                <w:b/>
                <w:bCs/>
                <w:color w:val="auto"/>
                <w:sz w:val="18"/>
                <w:szCs w:val="18"/>
              </w:rPr>
            </w:pPr>
            <w:r w:rsidRPr="00C8351C">
              <w:rPr>
                <w:rFonts w:ascii="Calibri" w:hAnsi="Calibri" w:cs="Calibri"/>
                <w:b/>
                <w:bCs/>
                <w:color w:val="auto"/>
                <w:sz w:val="18"/>
                <w:szCs w:val="18"/>
              </w:rPr>
              <w:t> </w:t>
            </w:r>
          </w:p>
        </w:tc>
      </w:tr>
      <w:tr w:rsidR="00C8351C" w:rsidRPr="00C8351C" w14:paraId="118441E1" w14:textId="77777777" w:rsidTr="00BB2B21">
        <w:trPr>
          <w:trHeight w:val="284"/>
        </w:trPr>
        <w:tc>
          <w:tcPr>
            <w:tcW w:w="1322" w:type="dxa"/>
            <w:tcBorders>
              <w:top w:val="nil"/>
              <w:left w:val="single" w:sz="4" w:space="0" w:color="auto"/>
              <w:bottom w:val="single" w:sz="4" w:space="0" w:color="auto"/>
              <w:right w:val="single" w:sz="4" w:space="0" w:color="auto"/>
            </w:tcBorders>
            <w:shd w:val="clear" w:color="auto" w:fill="DDF0F2" w:themeFill="accent2" w:themeFillTint="33"/>
            <w:vAlign w:val="center"/>
            <w:hideMark/>
          </w:tcPr>
          <w:p w14:paraId="72827734" w14:textId="77777777" w:rsidR="006362A0" w:rsidRPr="00C8351C" w:rsidRDefault="006362A0" w:rsidP="00BB2B21">
            <w:pPr>
              <w:spacing w:before="0" w:after="0"/>
              <w:rPr>
                <w:rFonts w:ascii="Calibri" w:hAnsi="Calibri" w:cs="Calibri"/>
                <w:b/>
                <w:bCs/>
                <w:color w:val="auto"/>
                <w:sz w:val="18"/>
                <w:szCs w:val="18"/>
              </w:rPr>
            </w:pPr>
            <w:r w:rsidRPr="00C8351C">
              <w:rPr>
                <w:rFonts w:ascii="Calibri" w:hAnsi="Calibri" w:cs="Calibri"/>
                <w:b/>
                <w:bCs/>
                <w:color w:val="auto"/>
                <w:sz w:val="18"/>
                <w:szCs w:val="18"/>
              </w:rPr>
              <w:t xml:space="preserve">Total Dwellings </w:t>
            </w:r>
          </w:p>
        </w:tc>
        <w:tc>
          <w:tcPr>
            <w:tcW w:w="1441" w:type="dxa"/>
            <w:tcBorders>
              <w:top w:val="nil"/>
              <w:left w:val="nil"/>
              <w:bottom w:val="single" w:sz="4" w:space="0" w:color="auto"/>
              <w:right w:val="single" w:sz="4" w:space="0" w:color="auto"/>
            </w:tcBorders>
            <w:shd w:val="clear" w:color="auto" w:fill="DDF0F2" w:themeFill="accent2" w:themeFillTint="33"/>
            <w:vAlign w:val="center"/>
            <w:hideMark/>
          </w:tcPr>
          <w:p w14:paraId="12240AAB" w14:textId="48997E12" w:rsidR="006362A0" w:rsidRPr="00C8351C" w:rsidRDefault="006362A0" w:rsidP="00BB2B21">
            <w:pPr>
              <w:spacing w:before="0" w:after="0"/>
              <w:jc w:val="right"/>
              <w:rPr>
                <w:rFonts w:ascii="Calibri" w:hAnsi="Calibri" w:cs="Calibri"/>
                <w:b/>
                <w:bCs/>
                <w:color w:val="auto"/>
                <w:sz w:val="18"/>
                <w:szCs w:val="18"/>
              </w:rPr>
            </w:pPr>
            <w:r w:rsidRPr="00C8351C">
              <w:rPr>
                <w:rFonts w:ascii="Calibri" w:hAnsi="Calibri" w:cs="Calibri"/>
                <w:b/>
                <w:bCs/>
                <w:color w:val="auto"/>
                <w:sz w:val="18"/>
                <w:szCs w:val="18"/>
              </w:rPr>
              <w:t>9</w:t>
            </w:r>
            <w:r w:rsidR="004E3582" w:rsidRPr="00C8351C">
              <w:rPr>
                <w:rFonts w:ascii="Calibri" w:hAnsi="Calibri" w:cs="Calibri"/>
                <w:b/>
                <w:bCs/>
                <w:color w:val="auto"/>
                <w:sz w:val="18"/>
                <w:szCs w:val="18"/>
              </w:rPr>
              <w:t>5</w:t>
            </w:r>
          </w:p>
        </w:tc>
        <w:tc>
          <w:tcPr>
            <w:tcW w:w="2472" w:type="dxa"/>
            <w:tcBorders>
              <w:top w:val="nil"/>
              <w:left w:val="nil"/>
              <w:bottom w:val="single" w:sz="4" w:space="0" w:color="auto"/>
              <w:right w:val="single" w:sz="4" w:space="0" w:color="auto"/>
            </w:tcBorders>
            <w:shd w:val="clear" w:color="auto" w:fill="DDF0F2" w:themeFill="accent2" w:themeFillTint="33"/>
            <w:vAlign w:val="center"/>
            <w:hideMark/>
          </w:tcPr>
          <w:p w14:paraId="0BB9F081" w14:textId="77777777" w:rsidR="006362A0" w:rsidRPr="00C8351C" w:rsidRDefault="006362A0" w:rsidP="00BB2B21">
            <w:pPr>
              <w:spacing w:before="0" w:after="0"/>
              <w:jc w:val="right"/>
              <w:rPr>
                <w:rFonts w:ascii="Calibri" w:hAnsi="Calibri" w:cs="Calibri"/>
                <w:b/>
                <w:bCs/>
                <w:color w:val="auto"/>
                <w:sz w:val="18"/>
                <w:szCs w:val="18"/>
              </w:rPr>
            </w:pPr>
            <w:r w:rsidRPr="00C8351C">
              <w:rPr>
                <w:rFonts w:ascii="Calibri" w:hAnsi="Calibri" w:cs="Calibri"/>
                <w:b/>
                <w:bCs/>
                <w:color w:val="auto"/>
                <w:sz w:val="18"/>
                <w:szCs w:val="18"/>
              </w:rPr>
              <w:t>700</w:t>
            </w:r>
          </w:p>
        </w:tc>
        <w:tc>
          <w:tcPr>
            <w:tcW w:w="1668" w:type="dxa"/>
            <w:tcBorders>
              <w:top w:val="nil"/>
              <w:left w:val="nil"/>
              <w:bottom w:val="single" w:sz="4" w:space="0" w:color="auto"/>
              <w:right w:val="single" w:sz="4" w:space="0" w:color="auto"/>
            </w:tcBorders>
            <w:shd w:val="clear" w:color="auto" w:fill="DDF0F2" w:themeFill="accent2" w:themeFillTint="33"/>
            <w:vAlign w:val="center"/>
            <w:hideMark/>
          </w:tcPr>
          <w:p w14:paraId="774C490C" w14:textId="4386457E" w:rsidR="006362A0" w:rsidRPr="00C8351C" w:rsidRDefault="006362A0" w:rsidP="00BB2B21">
            <w:pPr>
              <w:spacing w:before="0" w:after="0"/>
              <w:jc w:val="right"/>
              <w:rPr>
                <w:rFonts w:ascii="Calibri" w:hAnsi="Calibri" w:cs="Calibri"/>
                <w:b/>
                <w:bCs/>
                <w:color w:val="auto"/>
                <w:sz w:val="18"/>
                <w:szCs w:val="18"/>
              </w:rPr>
            </w:pPr>
            <w:r w:rsidRPr="00C8351C">
              <w:rPr>
                <w:rFonts w:ascii="Calibri" w:hAnsi="Calibri" w:cs="Calibri"/>
                <w:b/>
                <w:bCs/>
                <w:color w:val="auto"/>
                <w:sz w:val="18"/>
                <w:szCs w:val="18"/>
              </w:rPr>
              <w:t>79</w:t>
            </w:r>
            <w:r w:rsidR="004369BD" w:rsidRPr="00C8351C">
              <w:rPr>
                <w:rFonts w:ascii="Calibri" w:hAnsi="Calibri" w:cs="Calibri"/>
                <w:b/>
                <w:bCs/>
                <w:color w:val="auto"/>
                <w:sz w:val="18"/>
                <w:szCs w:val="18"/>
              </w:rPr>
              <w:t>5</w:t>
            </w:r>
          </w:p>
        </w:tc>
        <w:tc>
          <w:tcPr>
            <w:tcW w:w="2265" w:type="dxa"/>
            <w:tcBorders>
              <w:top w:val="nil"/>
              <w:left w:val="nil"/>
              <w:bottom w:val="single" w:sz="4" w:space="0" w:color="auto"/>
              <w:right w:val="single" w:sz="4" w:space="0" w:color="auto"/>
            </w:tcBorders>
            <w:shd w:val="clear" w:color="auto" w:fill="DDF0F2" w:themeFill="accent2" w:themeFillTint="33"/>
            <w:vAlign w:val="center"/>
            <w:hideMark/>
          </w:tcPr>
          <w:p w14:paraId="449B3670" w14:textId="77777777" w:rsidR="006362A0" w:rsidRPr="00C8351C" w:rsidRDefault="006362A0" w:rsidP="00BB2B21">
            <w:pPr>
              <w:spacing w:before="0" w:after="0"/>
              <w:rPr>
                <w:rFonts w:ascii="Calibri" w:hAnsi="Calibri" w:cs="Calibri"/>
                <w:b/>
                <w:bCs/>
                <w:color w:val="auto"/>
                <w:sz w:val="18"/>
                <w:szCs w:val="18"/>
              </w:rPr>
            </w:pPr>
            <w:r w:rsidRPr="00C8351C">
              <w:rPr>
                <w:rFonts w:ascii="Calibri" w:hAnsi="Calibri" w:cs="Calibri"/>
                <w:b/>
                <w:bCs/>
                <w:color w:val="auto"/>
                <w:sz w:val="18"/>
                <w:szCs w:val="18"/>
              </w:rPr>
              <w:t xml:space="preserve">20 years </w:t>
            </w:r>
          </w:p>
        </w:tc>
      </w:tr>
    </w:tbl>
    <w:p w14:paraId="2805C326" w14:textId="77777777" w:rsidR="006362A0" w:rsidRPr="00C8351C" w:rsidRDefault="006362A0" w:rsidP="006362A0">
      <w:pPr>
        <w:rPr>
          <w:i/>
          <w:iCs/>
          <w:color w:val="auto"/>
          <w:sz w:val="18"/>
          <w:szCs w:val="16"/>
        </w:rPr>
      </w:pPr>
      <w:r w:rsidRPr="00C8351C">
        <w:rPr>
          <w:i/>
          <w:iCs/>
          <w:color w:val="auto"/>
          <w:sz w:val="18"/>
          <w:szCs w:val="16"/>
        </w:rPr>
        <w:t xml:space="preserve">* Based on average take up with population projections </w:t>
      </w:r>
      <w:r w:rsidRPr="00C8351C">
        <w:rPr>
          <w:i/>
          <w:iCs/>
          <w:color w:val="auto"/>
          <w:sz w:val="18"/>
          <w:szCs w:val="16"/>
        </w:rPr>
        <w:br/>
        <w:t>Note: the numbers are estimates and are subject to change.</w:t>
      </w:r>
    </w:p>
    <w:p w14:paraId="762CA888" w14:textId="5424DD9B" w:rsidR="007D4116" w:rsidRPr="006E36C6" w:rsidRDefault="007D4116" w:rsidP="0052555B">
      <w:pPr>
        <w:rPr>
          <w:color w:val="auto"/>
        </w:rPr>
      </w:pPr>
      <w:r>
        <w:t>The NT Government has also identified land suitable for immediate development to support the delivery of up to 100 new dwellings under the Social Housing Accelerator (SHA</w:t>
      </w:r>
      <w:r w:rsidR="00EE6479">
        <w:t>P</w:t>
      </w:r>
      <w:r>
        <w:t>). New supply to be constructed as part of the SHA</w:t>
      </w:r>
      <w:r w:rsidR="004369BD">
        <w:t>P</w:t>
      </w:r>
      <w:r>
        <w:t xml:space="preserve">, including expected distribution across different locations is outlined </w:t>
      </w:r>
      <w:r w:rsidR="00601F1D">
        <w:t xml:space="preserve">in the NT SHA Implementation Plan: </w:t>
      </w:r>
      <w:hyperlink r:id="rId21" w:history="1">
        <w:r w:rsidR="00601F1D" w:rsidRPr="006E36C6">
          <w:rPr>
            <w:rStyle w:val="Hyperlink"/>
            <w:color w:val="auto"/>
          </w:rPr>
          <w:t>https://treasury.gov.au/sites/default/files/2023-11/shap-nt.pdf</w:t>
        </w:r>
      </w:hyperlink>
    </w:p>
    <w:p w14:paraId="7B36B562" w14:textId="331965EF" w:rsidR="00825DA6" w:rsidRPr="006E36C6" w:rsidRDefault="00825DA6" w:rsidP="00BE7A3B">
      <w:pPr>
        <w:rPr>
          <w:color w:val="auto"/>
          <w:szCs w:val="22"/>
        </w:rPr>
      </w:pPr>
      <w:r w:rsidRPr="006E36C6">
        <w:rPr>
          <w:color w:val="auto"/>
          <w:szCs w:val="22"/>
        </w:rPr>
        <w:t xml:space="preserve">Another initiative is the </w:t>
      </w:r>
      <w:r w:rsidR="003C2CD6" w:rsidRPr="006E36C6">
        <w:rPr>
          <w:color w:val="auto"/>
          <w:szCs w:val="22"/>
        </w:rPr>
        <w:t>NT</w:t>
      </w:r>
      <w:r w:rsidRPr="006E36C6">
        <w:rPr>
          <w:color w:val="auto"/>
          <w:szCs w:val="22"/>
        </w:rPr>
        <w:t xml:space="preserve"> Government’s Community Land Grant Scheme, which makes suitable Crown </w:t>
      </w:r>
      <w:r w:rsidR="00954C9C" w:rsidRPr="006E36C6">
        <w:rPr>
          <w:color w:val="auto"/>
          <w:szCs w:val="22"/>
        </w:rPr>
        <w:t>l</w:t>
      </w:r>
      <w:r w:rsidRPr="006E36C6">
        <w:rPr>
          <w:color w:val="auto"/>
          <w:szCs w:val="22"/>
        </w:rPr>
        <w:t xml:space="preserve">and available to eligible entities at a nil or reduced rent for the development of Community Infrastructure. This program has allowed developments by </w:t>
      </w:r>
      <w:proofErr w:type="gramStart"/>
      <w:r w:rsidRPr="006E36C6">
        <w:rPr>
          <w:color w:val="auto"/>
          <w:szCs w:val="22"/>
        </w:rPr>
        <w:t>not for profit</w:t>
      </w:r>
      <w:proofErr w:type="gramEnd"/>
      <w:r w:rsidRPr="006E36C6">
        <w:rPr>
          <w:color w:val="auto"/>
          <w:szCs w:val="22"/>
        </w:rPr>
        <w:t xml:space="preserve"> organisations on Zone CP (Community Purpose) land for housing types that provide 24/7 care. An example of land rented at nil cost under the Scheme includes for the development of 10 accommodation units by a community provider to support mental health rehabilitation. </w:t>
      </w:r>
    </w:p>
    <w:p w14:paraId="13678540" w14:textId="7CF3EED4" w:rsidR="00954C9C" w:rsidRDefault="00C82D6A" w:rsidP="007D4116">
      <w:pPr>
        <w:sectPr w:rsidR="00954C9C" w:rsidSect="00954C9C">
          <w:headerReference w:type="even" r:id="rId22"/>
          <w:headerReference w:type="default" r:id="rId23"/>
          <w:footerReference w:type="even" r:id="rId24"/>
          <w:footerReference w:type="default" r:id="rId25"/>
          <w:headerReference w:type="first" r:id="rId26"/>
          <w:footerReference w:type="first" r:id="rId27"/>
          <w:pgSz w:w="11906" w:h="16838" w:code="9"/>
          <w:pgMar w:top="1843" w:right="1418" w:bottom="1418" w:left="1418" w:header="709" w:footer="709" w:gutter="0"/>
          <w:pgNumType w:start="4"/>
          <w:cols w:space="708"/>
          <w:docGrid w:linePitch="360"/>
        </w:sectPr>
      </w:pPr>
      <w:bookmarkStart w:id="77" w:name="_Hlk198029414"/>
      <w:r>
        <w:t>Below</w:t>
      </w:r>
      <w:r w:rsidR="007D4116">
        <w:t xml:space="preserve"> is a best practice example of the development </w:t>
      </w:r>
      <w:bookmarkEnd w:id="77"/>
      <w:r w:rsidR="007D4116">
        <w:t>of Crown land in Katherine to achieve broader whole of government priorities. The concept plan identifies the delivery approach and vision for th</w:t>
      </w:r>
      <w:r w:rsidR="00DA1098">
        <w:t xml:space="preserve">e </w:t>
      </w:r>
    </w:p>
    <w:p w14:paraId="1AABFAF2" w14:textId="7068421C" w:rsidR="007D4116" w:rsidRDefault="007D4116" w:rsidP="007D4116">
      <w:r>
        <w:lastRenderedPageBreak/>
        <w:t xml:space="preserve">precinct which includes affordable and social housing, commercial land and community land for supporting services. Enabling district-level infrastructure such as key structuring streets and power, water and sewer headworks is delivered by the </w:t>
      </w:r>
      <w:r w:rsidR="00954C9C">
        <w:t>NT</w:t>
      </w:r>
      <w:r>
        <w:t xml:space="preserve"> Government to facilitate future land releases through transparent market processes and to enable private sector land development. </w:t>
      </w:r>
    </w:p>
    <w:p w14:paraId="52C6E1AB" w14:textId="77777777" w:rsidR="007D4116" w:rsidRDefault="007D4116" w:rsidP="007D4116">
      <w:pPr>
        <w:keepNext/>
        <w:spacing w:before="360" w:after="120" w:line="460" w:lineRule="exact"/>
        <w:outlineLvl w:val="1"/>
        <w:rPr>
          <w:rFonts w:ascii="Calibri" w:hAnsi="Calibri" w:cs="Arial"/>
          <w:iCs/>
          <w:color w:val="336699" w:themeColor="text2"/>
          <w:kern w:val="32"/>
          <w:sz w:val="36"/>
          <w:szCs w:val="28"/>
        </w:rPr>
      </w:pPr>
      <w:bookmarkStart w:id="78" w:name="_Toc164695373"/>
      <w:bookmarkStart w:id="79" w:name="_Toc224740275"/>
      <w:r>
        <w:rPr>
          <w:rFonts w:ascii="Calibri" w:hAnsi="Calibri" w:cs="Arial"/>
          <w:iCs/>
          <w:color w:val="336699" w:themeColor="text2"/>
          <w:kern w:val="32"/>
          <w:sz w:val="36"/>
          <w:szCs w:val="28"/>
        </w:rPr>
        <w:t>Best practice examples of developing government land</w:t>
      </w:r>
      <w:bookmarkEnd w:id="78"/>
      <w:bookmarkEnd w:id="79"/>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7D4116" w14:paraId="59D7C8AF" w14:textId="77777777" w:rsidTr="00F079D4">
        <w:trPr>
          <w:trHeight w:val="2950"/>
        </w:trPr>
        <w:tc>
          <w:tcPr>
            <w:tcW w:w="5000" w:type="pct"/>
            <w:shd w:val="clear" w:color="auto" w:fill="D4EAF3" w:themeFill="accent1" w:themeFillTint="33"/>
            <w:hideMark/>
          </w:tcPr>
          <w:p w14:paraId="32CC401A" w14:textId="77777777" w:rsidR="007D4116" w:rsidRDefault="007D4116">
            <w:pPr>
              <w:pStyle w:val="Heading3"/>
              <w:rPr>
                <w:color w:val="2683C6" w:themeColor="accent6"/>
                <w:lang w:eastAsia="en-US"/>
              </w:rPr>
            </w:pPr>
            <w:bookmarkStart w:id="80" w:name="_Toc164695374"/>
            <w:bookmarkStart w:id="81" w:name="_Toc176345207"/>
            <w:bookmarkStart w:id="82" w:name="_Toc224740276"/>
            <w:r>
              <w:rPr>
                <w:lang w:eastAsia="en-US"/>
              </w:rPr>
              <w:t>Case Study – Katherine East Urban Village Precinct</w:t>
            </w:r>
            <w:bookmarkEnd w:id="80"/>
            <w:bookmarkEnd w:id="81"/>
            <w:bookmarkEnd w:id="82"/>
          </w:p>
          <w:p w14:paraId="60C3FD42" w14:textId="61B6FED6" w:rsidR="007D4116" w:rsidRDefault="007D4116" w:rsidP="00C82D6A">
            <w:pPr>
              <w:pStyle w:val="BoxText"/>
              <w:spacing w:after="0" w:line="256" w:lineRule="auto"/>
              <w:rPr>
                <w:lang w:eastAsia="en-US"/>
              </w:rPr>
            </w:pPr>
            <w:r>
              <w:rPr>
                <w:lang w:eastAsia="en-US"/>
              </w:rPr>
              <w:t xml:space="preserve">This development is a best practice example of the development of Crown land in Katherine to achieve broader whole of government priorities. The concept plan identifies the delivery approach and vision for the precinct which includes affordable and social housing, commercial land and community land for supporting services. Enabling district-level infrastructure such as key structuring streets and power, water and sewer headworks is delivered by the </w:t>
            </w:r>
            <w:r w:rsidR="00C82D6A">
              <w:rPr>
                <w:lang w:eastAsia="en-US"/>
              </w:rPr>
              <w:t>NT</w:t>
            </w:r>
            <w:r>
              <w:rPr>
                <w:lang w:eastAsia="en-US"/>
              </w:rPr>
              <w:t xml:space="preserve"> Government to facilitate future land releases and to enable private sector land development.</w:t>
            </w:r>
          </w:p>
        </w:tc>
      </w:tr>
      <w:tr w:rsidR="007D4116" w14:paraId="3488CC96" w14:textId="77777777" w:rsidTr="007D4116">
        <w:tc>
          <w:tcPr>
            <w:tcW w:w="5000" w:type="pct"/>
            <w:shd w:val="clear" w:color="auto" w:fill="D4EAF3" w:themeFill="accent1" w:themeFillTint="33"/>
            <w:hideMark/>
          </w:tcPr>
          <w:p w14:paraId="463AB724" w14:textId="77777777" w:rsidR="007D4116" w:rsidRDefault="007D4116">
            <w:pPr>
              <w:pStyle w:val="BoxText"/>
              <w:spacing w:before="0" w:line="256" w:lineRule="auto"/>
              <w:rPr>
                <w:b/>
                <w:bCs/>
                <w:lang w:eastAsia="en-US"/>
              </w:rPr>
            </w:pPr>
            <w:r>
              <w:rPr>
                <w:b/>
                <w:bCs/>
                <w:lang w:eastAsia="en-US"/>
              </w:rPr>
              <w:t>The Vision - Local shopping and urban opportunities</w:t>
            </w:r>
          </w:p>
          <w:p w14:paraId="5590CA8D" w14:textId="77777777" w:rsidR="007D4116" w:rsidRDefault="007D4116">
            <w:pPr>
              <w:pStyle w:val="BoxText"/>
              <w:spacing w:line="256" w:lineRule="auto"/>
              <w:rPr>
                <w:lang w:eastAsia="en-US"/>
              </w:rPr>
            </w:pPr>
            <w:r>
              <w:rPr>
                <w:lang w:eastAsia="en-US"/>
              </w:rPr>
              <w:t xml:space="preserve">A new neighbourhood centre is planned to support the existing and emerging Katherine East community as part of a Katherine East Urban Village Precinct. </w:t>
            </w:r>
          </w:p>
          <w:p w14:paraId="2EB76155" w14:textId="77777777" w:rsidR="007D4116" w:rsidRDefault="007D4116">
            <w:pPr>
              <w:pStyle w:val="BoxText"/>
              <w:spacing w:line="256" w:lineRule="auto"/>
              <w:rPr>
                <w:b/>
                <w:bCs/>
                <w:lang w:eastAsia="en-US"/>
              </w:rPr>
            </w:pPr>
            <w:r>
              <w:rPr>
                <w:b/>
                <w:bCs/>
                <w:lang w:eastAsia="en-US"/>
              </w:rPr>
              <w:t xml:space="preserve">The Precinct </w:t>
            </w:r>
          </w:p>
          <w:p w14:paraId="4C1DD91D" w14:textId="77777777" w:rsidR="007D4116" w:rsidRDefault="007D4116">
            <w:pPr>
              <w:pStyle w:val="BoxText"/>
              <w:spacing w:line="256" w:lineRule="auto"/>
              <w:rPr>
                <w:lang w:eastAsia="en-US"/>
              </w:rPr>
            </w:pPr>
            <w:r>
              <w:rPr>
                <w:lang w:eastAsia="en-US"/>
              </w:rPr>
              <w:t xml:space="preserve">Will incorporate a range of uses that are framed and focussed </w:t>
            </w:r>
            <w:proofErr w:type="gramStart"/>
            <w:r>
              <w:rPr>
                <w:lang w:eastAsia="en-US"/>
              </w:rPr>
              <w:t>around</w:t>
            </w:r>
            <w:proofErr w:type="gramEnd"/>
            <w:r>
              <w:rPr>
                <w:lang w:eastAsia="en-US"/>
              </w:rPr>
              <w:t xml:space="preserve"> a central park and linear open space link. The intent is to foster a range of urban living opportunities, including mixed use apartment living. </w:t>
            </w:r>
          </w:p>
          <w:p w14:paraId="301F0235" w14:textId="50F3E3B9" w:rsidR="007D4116" w:rsidRDefault="007D4116">
            <w:pPr>
              <w:pStyle w:val="BoxText"/>
              <w:spacing w:line="256" w:lineRule="auto"/>
              <w:jc w:val="center"/>
              <w:rPr>
                <w:lang w:eastAsia="en-US"/>
              </w:rPr>
            </w:pPr>
            <w:r>
              <w:rPr>
                <w:noProof/>
              </w:rPr>
              <w:drawing>
                <wp:inline distT="0" distB="0" distL="0" distR="0" wp14:anchorId="32F1A2EE" wp14:editId="4EEEB117">
                  <wp:extent cx="5308600" cy="2508250"/>
                  <wp:effectExtent l="19050" t="19050" r="2540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08600" cy="2508250"/>
                          </a:xfrm>
                          <a:prstGeom prst="rect">
                            <a:avLst/>
                          </a:prstGeom>
                          <a:noFill/>
                          <a:ln w="9525" cmpd="sng">
                            <a:solidFill>
                              <a:srgbClr val="000000"/>
                            </a:solidFill>
                            <a:miter lim="800000"/>
                            <a:headEnd/>
                            <a:tailEnd/>
                          </a:ln>
                          <a:effectLst/>
                        </pic:spPr>
                      </pic:pic>
                    </a:graphicData>
                  </a:graphic>
                </wp:inline>
              </w:drawing>
            </w:r>
          </w:p>
          <w:p w14:paraId="30A46879" w14:textId="77777777" w:rsidR="007D4116" w:rsidRDefault="007D4116">
            <w:pPr>
              <w:pStyle w:val="BoxText"/>
              <w:spacing w:line="256" w:lineRule="auto"/>
              <w:rPr>
                <w:b/>
                <w:bCs/>
                <w:lang w:eastAsia="en-US"/>
              </w:rPr>
            </w:pPr>
            <w:r>
              <w:rPr>
                <w:b/>
                <w:bCs/>
                <w:lang w:eastAsia="en-US"/>
              </w:rPr>
              <w:t xml:space="preserve">Delivery approach and construction progress – enabling infrastructure, key roads and </w:t>
            </w:r>
            <w:proofErr w:type="spellStart"/>
            <w:r>
              <w:rPr>
                <w:b/>
                <w:bCs/>
                <w:lang w:eastAsia="en-US"/>
              </w:rPr>
              <w:t>superlots</w:t>
            </w:r>
            <w:proofErr w:type="spellEnd"/>
          </w:p>
          <w:p w14:paraId="2E48ACCB" w14:textId="77777777" w:rsidR="007D4116" w:rsidRDefault="007D4116">
            <w:pPr>
              <w:pStyle w:val="BoxText"/>
              <w:spacing w:line="256" w:lineRule="auto"/>
              <w:rPr>
                <w:lang w:eastAsia="en-US"/>
              </w:rPr>
            </w:pPr>
            <w:r>
              <w:rPr>
                <w:lang w:eastAsia="en-US"/>
              </w:rPr>
              <w:lastRenderedPageBreak/>
              <w:t>Key structuring streets and enabling headworks infrastructure are being constructed. These works have been partially funded via a commonwealth agreement.</w:t>
            </w:r>
          </w:p>
          <w:p w14:paraId="3519C27C" w14:textId="77777777" w:rsidR="007D4116" w:rsidRDefault="007D4116">
            <w:pPr>
              <w:pStyle w:val="BoxText"/>
              <w:spacing w:line="256" w:lineRule="auto"/>
              <w:rPr>
                <w:lang w:eastAsia="en-US"/>
              </w:rPr>
            </w:pPr>
            <w:r>
              <w:rPr>
                <w:lang w:eastAsia="en-US"/>
              </w:rPr>
              <w:t xml:space="preserve">A range of lots and </w:t>
            </w:r>
            <w:proofErr w:type="spellStart"/>
            <w:r>
              <w:rPr>
                <w:lang w:eastAsia="en-US"/>
              </w:rPr>
              <w:t>englobo</w:t>
            </w:r>
            <w:proofErr w:type="spellEnd"/>
            <w:r>
              <w:rPr>
                <w:lang w:eastAsia="en-US"/>
              </w:rPr>
              <w:t xml:space="preserve"> lots will be made available to the market for development in sequence with the residential development front coming down from the north.</w:t>
            </w:r>
          </w:p>
          <w:p w14:paraId="5FDBF9AD" w14:textId="77777777" w:rsidR="006362A0" w:rsidRPr="006E36C6" w:rsidRDefault="006362A0" w:rsidP="006362A0">
            <w:pPr>
              <w:pStyle w:val="BoxText"/>
              <w:spacing w:line="256" w:lineRule="auto"/>
              <w:rPr>
                <w:color w:val="auto"/>
                <w:lang w:eastAsia="en-US"/>
              </w:rPr>
            </w:pPr>
            <w:r>
              <w:rPr>
                <w:lang w:eastAsia="en-US"/>
              </w:rPr>
              <w:t xml:space="preserve">Key structuring streets and </w:t>
            </w:r>
            <w:r w:rsidRPr="006E36C6">
              <w:rPr>
                <w:color w:val="auto"/>
                <w:lang w:eastAsia="en-US"/>
              </w:rPr>
              <w:t xml:space="preserve">enabling headworks infrastructure are being </w:t>
            </w:r>
            <w:proofErr w:type="spellStart"/>
            <w:r w:rsidRPr="006E36C6">
              <w:rPr>
                <w:color w:val="auto"/>
                <w:lang w:eastAsia="en-US"/>
              </w:rPr>
              <w:t>masterplanned</w:t>
            </w:r>
            <w:proofErr w:type="spellEnd"/>
            <w:r w:rsidRPr="006E36C6">
              <w:rPr>
                <w:color w:val="auto"/>
                <w:lang w:eastAsia="en-US"/>
              </w:rPr>
              <w:t xml:space="preserve"> to enable a range of lots and </w:t>
            </w:r>
            <w:proofErr w:type="spellStart"/>
            <w:r w:rsidRPr="006E36C6">
              <w:rPr>
                <w:color w:val="auto"/>
                <w:lang w:eastAsia="en-US"/>
              </w:rPr>
              <w:t>englobo</w:t>
            </w:r>
            <w:proofErr w:type="spellEnd"/>
            <w:r w:rsidRPr="006E36C6">
              <w:rPr>
                <w:color w:val="auto"/>
                <w:lang w:eastAsia="en-US"/>
              </w:rPr>
              <w:t xml:space="preserve"> lots to be made available for future development and in sequence with the residential development front coming down from the north.</w:t>
            </w:r>
          </w:p>
          <w:p w14:paraId="13304057" w14:textId="0413E44D" w:rsidR="007D4116" w:rsidRDefault="007D4116">
            <w:pPr>
              <w:pStyle w:val="BoxText"/>
              <w:spacing w:line="256" w:lineRule="auto"/>
              <w:rPr>
                <w:lang w:eastAsia="en-US"/>
              </w:rPr>
            </w:pPr>
            <w:r>
              <w:rPr>
                <w:noProof/>
              </w:rPr>
              <w:drawing>
                <wp:anchor distT="0" distB="0" distL="114300" distR="114300" simplePos="0" relativeHeight="251658243" behindDoc="1" locked="0" layoutInCell="1" allowOverlap="1" wp14:anchorId="489C7BE1" wp14:editId="2D7A7BDE">
                  <wp:simplePos x="0" y="0"/>
                  <wp:positionH relativeFrom="column">
                    <wp:posOffset>2329180</wp:posOffset>
                  </wp:positionH>
                  <wp:positionV relativeFrom="paragraph">
                    <wp:posOffset>171450</wp:posOffset>
                  </wp:positionV>
                  <wp:extent cx="3009900" cy="2561590"/>
                  <wp:effectExtent l="19050" t="19050" r="19050" b="10160"/>
                  <wp:wrapTight wrapText="bothSides">
                    <wp:wrapPolygon edited="0">
                      <wp:start x="-137" y="-161"/>
                      <wp:lineTo x="-137" y="21525"/>
                      <wp:lineTo x="21600" y="21525"/>
                      <wp:lineTo x="21600" y="-161"/>
                      <wp:lineTo x="-137" y="-16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9900" cy="256159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lang w:eastAsia="en-US"/>
              </w:rPr>
              <w:t xml:space="preserve">There is potential for the broader Katherine East area to deliver a further 600 dwellings, which accounts for approximately 40 years supply at current baseline take-up rates. It is anticipated that the provision of key strategic urban amenity elements will help foster the delivery of these dwellings in a greater variety of forms. </w:t>
            </w:r>
          </w:p>
          <w:p w14:paraId="3D20F5F7" w14:textId="67ABAC44" w:rsidR="007D4116" w:rsidRDefault="007D4116">
            <w:pPr>
              <w:pStyle w:val="BoxText"/>
              <w:spacing w:line="256" w:lineRule="auto"/>
              <w:rPr>
                <w:lang w:eastAsia="en-US"/>
              </w:rPr>
            </w:pPr>
            <w:r>
              <w:rPr>
                <w:noProof/>
              </w:rPr>
              <w:drawing>
                <wp:anchor distT="0" distB="0" distL="114300" distR="114300" simplePos="0" relativeHeight="251658242" behindDoc="1" locked="0" layoutInCell="1" allowOverlap="1" wp14:anchorId="36493E8E" wp14:editId="5EB6FFA6">
                  <wp:simplePos x="0" y="0"/>
                  <wp:positionH relativeFrom="column">
                    <wp:posOffset>137160</wp:posOffset>
                  </wp:positionH>
                  <wp:positionV relativeFrom="paragraph">
                    <wp:posOffset>48260</wp:posOffset>
                  </wp:positionV>
                  <wp:extent cx="1833880" cy="1207770"/>
                  <wp:effectExtent l="19050" t="19050" r="13970" b="11430"/>
                  <wp:wrapTight wrapText="bothSides">
                    <wp:wrapPolygon edited="0">
                      <wp:start x="-224" y="-341"/>
                      <wp:lineTo x="-224" y="21464"/>
                      <wp:lineTo x="21540" y="21464"/>
                      <wp:lineTo x="21540" y="-341"/>
                      <wp:lineTo x="-224" y="-34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3880" cy="120777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r>
    </w:tbl>
    <w:p w14:paraId="7F1D77BF" w14:textId="4F909F6F" w:rsidR="007D4116" w:rsidRDefault="007D4116" w:rsidP="007D4116">
      <w:pPr>
        <w:pStyle w:val="SingleParagraph"/>
      </w:pPr>
    </w:p>
    <w:p w14:paraId="2887D1C0" w14:textId="77777777" w:rsidR="007D4116" w:rsidRDefault="007D4116" w:rsidP="007D4116">
      <w:pPr>
        <w:rPr>
          <w:rStyle w:val="Hyperlink"/>
        </w:rPr>
      </w:pPr>
    </w:p>
    <w:p w14:paraId="7626C0A2" w14:textId="77777777" w:rsidR="00F5234B" w:rsidRPr="00F5234B" w:rsidRDefault="00F5234B" w:rsidP="00F5234B"/>
    <w:sectPr w:rsidR="00F5234B" w:rsidRPr="00F5234B" w:rsidSect="009C5401">
      <w:headerReference w:type="even" r:id="rId31"/>
      <w:headerReference w:type="default" r:id="rId32"/>
      <w:footerReference w:type="even" r:id="rId33"/>
      <w:footerReference w:type="default" r:id="rId34"/>
      <w:headerReference w:type="first" r:id="rId35"/>
      <w:footerReference w:type="first" r:id="rId36"/>
      <w:pgSz w:w="11906" w:h="16838" w:code="9"/>
      <w:pgMar w:top="1843"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9274C" w14:textId="77777777" w:rsidR="004404BB" w:rsidRDefault="004404BB">
      <w:pPr>
        <w:spacing w:before="0" w:after="0"/>
      </w:pPr>
      <w:r>
        <w:separator/>
      </w:r>
    </w:p>
  </w:endnote>
  <w:endnote w:type="continuationSeparator" w:id="0">
    <w:p w14:paraId="3BE8F48B" w14:textId="77777777" w:rsidR="004404BB" w:rsidRDefault="004404BB">
      <w:pPr>
        <w:spacing w:before="0" w:after="0"/>
      </w:pPr>
      <w:r>
        <w:continuationSeparator/>
      </w:r>
    </w:p>
  </w:endnote>
  <w:endnote w:type="continuationNotice" w:id="1">
    <w:p w14:paraId="09914F45" w14:textId="77777777" w:rsidR="004404BB" w:rsidRDefault="004404B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altName w:val="Arial"/>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etaPro-Norm">
    <w:altName w:val="Calibri"/>
    <w:panose1 w:val="00000000000000000000"/>
    <w:charset w:val="00"/>
    <w:family w:val="auto"/>
    <w:notTrueType/>
    <w:pitch w:val="default"/>
    <w:sig w:usb0="00000003" w:usb1="00000000" w:usb2="00000000" w:usb3="00000000" w:csb0="00000001" w:csb1="00000000"/>
  </w:font>
  <w:font w:name="MetaPro-Bold">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9B8BD" w14:textId="76743274" w:rsidR="00F41C26" w:rsidRDefault="00A42803">
    <w:pPr>
      <w:pStyle w:val="Footer"/>
      <w:jc w:val="right"/>
    </w:pPr>
    <w:r>
      <w:rPr>
        <w:noProof/>
      </w:rPr>
      <mc:AlternateContent>
        <mc:Choice Requires="wps">
          <w:drawing>
            <wp:anchor distT="0" distB="0" distL="0" distR="0" simplePos="0" relativeHeight="251658253" behindDoc="0" locked="0" layoutInCell="1" allowOverlap="1" wp14:anchorId="62C0744A" wp14:editId="75AB2DCF">
              <wp:simplePos x="901065" y="9932670"/>
              <wp:positionH relativeFrom="page">
                <wp:align>center</wp:align>
              </wp:positionH>
              <wp:positionV relativeFrom="page">
                <wp:align>bottom</wp:align>
              </wp:positionV>
              <wp:extent cx="551815" cy="528955"/>
              <wp:effectExtent l="0" t="0" r="635" b="0"/>
              <wp:wrapNone/>
              <wp:docPr id="1829355120"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37F8FC03" w14:textId="65E8DD7F"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C0744A" id="_x0000_t202" coordsize="21600,21600" o:spt="202" path="m,l,21600r21600,l21600,xe">
              <v:stroke joinstyle="miter"/>
              <v:path gradientshapeok="t" o:connecttype="rect"/>
            </v:shapetype>
            <v:shape id="Text Box 14" o:spid="_x0000_s1028" type="#_x0000_t202" alt="OFFICIAL" style="position:absolute;left:0;text-align:left;margin-left:0;margin-top:0;width:43.45pt;height:41.6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" filled="f" stroked="f">
              <v:textbox style="mso-fit-shape-to-text:t" inset="0,0,0,15pt">
                <w:txbxContent>
                  <w:p w14:paraId="37F8FC03" w14:textId="65E8DD7F"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v:textbox>
              <w10:wrap anchorx="page" anchory="page"/>
            </v:shape>
          </w:pict>
        </mc:Fallback>
      </mc:AlternateContent>
    </w:r>
  </w:p>
  <w:p w14:paraId="3FE0BE90" w14:textId="77777777" w:rsidR="00F41C26" w:rsidRDefault="00F41C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75051" w14:textId="58C80F21" w:rsidR="00042EF7" w:rsidRDefault="00A42803">
    <w:pPr>
      <w:pStyle w:val="Footer"/>
    </w:pPr>
    <w:r>
      <w:rPr>
        <w:noProof/>
      </w:rPr>
      <mc:AlternateContent>
        <mc:Choice Requires="wps">
          <w:drawing>
            <wp:anchor distT="0" distB="0" distL="0" distR="0" simplePos="0" relativeHeight="251658254" behindDoc="0" locked="0" layoutInCell="1" allowOverlap="1" wp14:anchorId="0DF93B29" wp14:editId="3210AE87">
              <wp:simplePos x="635" y="635"/>
              <wp:positionH relativeFrom="page">
                <wp:align>center</wp:align>
              </wp:positionH>
              <wp:positionV relativeFrom="page">
                <wp:align>bottom</wp:align>
              </wp:positionV>
              <wp:extent cx="551815" cy="528955"/>
              <wp:effectExtent l="0" t="0" r="635" b="0"/>
              <wp:wrapNone/>
              <wp:docPr id="1058550251"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6C41BBCE" w14:textId="30CEACB2"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F93B29" id="_x0000_t202" coordsize="21600,21600" o:spt="202" path="m,l,21600r21600,l21600,xe">
              <v:stroke joinstyle="miter"/>
              <v:path gradientshapeok="t" o:connecttype="rect"/>
            </v:shapetype>
            <v:shape id="Text Box 15" o:spid="_x0000_s1029" type="#_x0000_t202" alt="OFFICIAL" style="position:absolute;left:0;text-align:left;margin-left:0;margin-top:0;width:43.45pt;height:41.6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" filled="f" stroked="f">
              <v:textbox style="mso-fit-shape-to-text:t" inset="0,0,0,15pt">
                <w:txbxContent>
                  <w:p w14:paraId="6C41BBCE" w14:textId="30CEACB2"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3E128" w14:textId="72631EA0" w:rsidR="00042EF7" w:rsidRDefault="00A42803">
    <w:pPr>
      <w:pStyle w:val="Footer"/>
    </w:pPr>
    <w:r>
      <w:rPr>
        <w:noProof/>
      </w:rPr>
      <mc:AlternateContent>
        <mc:Choice Requires="wps">
          <w:drawing>
            <wp:anchor distT="0" distB="0" distL="0" distR="0" simplePos="0" relativeHeight="251658252" behindDoc="0" locked="0" layoutInCell="1" allowOverlap="1" wp14:anchorId="5F9AD323" wp14:editId="6BAEE4C1">
              <wp:simplePos x="903383" y="10091451"/>
              <wp:positionH relativeFrom="page">
                <wp:align>center</wp:align>
              </wp:positionH>
              <wp:positionV relativeFrom="page">
                <wp:align>bottom</wp:align>
              </wp:positionV>
              <wp:extent cx="551815" cy="528955"/>
              <wp:effectExtent l="0" t="0" r="635" b="0"/>
              <wp:wrapNone/>
              <wp:docPr id="642616160"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32808372" w14:textId="073F7E9D"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9AD323" id="_x0000_t202" coordsize="21600,21600" o:spt="202" path="m,l,21600r21600,l21600,xe">
              <v:stroke joinstyle="miter"/>
              <v:path gradientshapeok="t" o:connecttype="rect"/>
            </v:shapetype>
            <v:shape id="Text Box 13" o:spid="_x0000_s1031" type="#_x0000_t202" alt="OFFICIAL" style="position:absolute;left:0;text-align:left;margin-left:0;margin-top:0;width:43.45pt;height:41.6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" filled="f" stroked="f">
              <v:textbox style="mso-fit-shape-to-text:t" inset="0,0,0,15pt">
                <w:txbxContent>
                  <w:p w14:paraId="32808372" w14:textId="073F7E9D"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22E67" w14:textId="584C37BF" w:rsidR="00954C9C" w:rsidRDefault="00A42803">
    <w:pPr>
      <w:pStyle w:val="Footer"/>
      <w:jc w:val="right"/>
    </w:pPr>
    <w:r>
      <w:rPr>
        <w:noProof/>
      </w:rPr>
      <mc:AlternateContent>
        <mc:Choice Requires="wps">
          <w:drawing>
            <wp:anchor distT="0" distB="0" distL="0" distR="0" simplePos="0" relativeHeight="251658259" behindDoc="0" locked="0" layoutInCell="1" allowOverlap="1" wp14:anchorId="7F038E86" wp14:editId="1925F3B0">
              <wp:simplePos x="635" y="635"/>
              <wp:positionH relativeFrom="page">
                <wp:align>center</wp:align>
              </wp:positionH>
              <wp:positionV relativeFrom="page">
                <wp:align>bottom</wp:align>
              </wp:positionV>
              <wp:extent cx="551815" cy="528955"/>
              <wp:effectExtent l="0" t="0" r="635" b="0"/>
              <wp:wrapNone/>
              <wp:docPr id="475155189"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0D7EA7C7" w14:textId="4EF73C75"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038E86" id="_x0000_t202" coordsize="21600,21600" o:spt="202" path="m,l,21600r21600,l21600,xe">
              <v:stroke joinstyle="miter"/>
              <v:path gradientshapeok="t" o:connecttype="rect"/>
            </v:shapetype>
            <v:shape id="Text Box 20" o:spid="_x0000_s1034" type="#_x0000_t202" alt="OFFICIAL" style="position:absolute;left:0;text-align:left;margin-left:0;margin-top:0;width:43.45pt;height:41.6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" filled="f" stroked="f">
              <v:textbox style="mso-fit-shape-to-text:t" inset="0,0,0,15pt">
                <w:txbxContent>
                  <w:p w14:paraId="0D7EA7C7" w14:textId="4EF73C75"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v:textbox>
              <w10:wrap anchorx="page" anchory="page"/>
            </v:shape>
          </w:pict>
        </mc:Fallback>
      </mc:AlternateContent>
    </w:r>
    <w:sdt>
      <w:sdtPr>
        <w:id w:val="-552696211"/>
        <w:docPartObj>
          <w:docPartGallery w:val="Page Numbers (Bottom of Page)"/>
          <w:docPartUnique/>
        </w:docPartObj>
      </w:sdtPr>
      <w:sdtEndPr>
        <w:rPr>
          <w:noProof/>
        </w:rPr>
      </w:sdtEndPr>
      <w:sdtContent>
        <w:r w:rsidR="00954C9C">
          <w:fldChar w:fldCharType="begin"/>
        </w:r>
        <w:r w:rsidR="00954C9C">
          <w:instrText xml:space="preserve"> PAGE   \* MERGEFORMAT </w:instrText>
        </w:r>
        <w:r w:rsidR="00954C9C">
          <w:fldChar w:fldCharType="separate"/>
        </w:r>
        <w:r w:rsidR="00954C9C">
          <w:rPr>
            <w:noProof/>
          </w:rPr>
          <w:t>2</w:t>
        </w:r>
        <w:r w:rsidR="00954C9C">
          <w:rPr>
            <w:noProof/>
          </w:rPr>
          <w:fldChar w:fldCharType="end"/>
        </w:r>
      </w:sdtContent>
    </w:sdt>
  </w:p>
  <w:p w14:paraId="602DE35C" w14:textId="77777777" w:rsidR="00954C9C" w:rsidRDefault="00954C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C5C88" w14:textId="59A33484" w:rsidR="00F41C26" w:rsidRDefault="00A42803">
    <w:pPr>
      <w:pStyle w:val="Footer"/>
      <w:jc w:val="right"/>
    </w:pPr>
    <w:r>
      <w:rPr>
        <w:noProof/>
      </w:rPr>
      <mc:AlternateContent>
        <mc:Choice Requires="wps">
          <w:drawing>
            <wp:anchor distT="0" distB="0" distL="0" distR="0" simplePos="0" relativeHeight="251658260" behindDoc="0" locked="0" layoutInCell="1" allowOverlap="1" wp14:anchorId="6522A21D" wp14:editId="68017B27">
              <wp:simplePos x="635" y="635"/>
              <wp:positionH relativeFrom="page">
                <wp:align>center</wp:align>
              </wp:positionH>
              <wp:positionV relativeFrom="page">
                <wp:align>bottom</wp:align>
              </wp:positionV>
              <wp:extent cx="551815" cy="528955"/>
              <wp:effectExtent l="0" t="0" r="635" b="0"/>
              <wp:wrapNone/>
              <wp:docPr id="171508026"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715FDD48" w14:textId="05B917C9"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22A21D" id="_x0000_t202" coordsize="21600,21600" o:spt="202" path="m,l,21600r21600,l21600,xe">
              <v:stroke joinstyle="miter"/>
              <v:path gradientshapeok="t" o:connecttype="rect"/>
            </v:shapetype>
            <v:shape id="Text Box 21" o:spid="_x0000_s1035" type="#_x0000_t202" alt="OFFICIAL" style="position:absolute;left:0;text-align:left;margin-left:0;margin-top:0;width:43.45pt;height:41.6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" filled="f" stroked="f">
              <v:textbox style="mso-fit-shape-to-text:t" inset="0,0,0,15pt">
                <w:txbxContent>
                  <w:p w14:paraId="715FDD48" w14:textId="05B917C9"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v:textbox>
              <w10:wrap anchorx="page" anchory="page"/>
            </v:shape>
          </w:pict>
        </mc:Fallback>
      </mc:AlternateContent>
    </w:r>
    <w:sdt>
      <w:sdtPr>
        <w:id w:val="-1089769451"/>
        <w:docPartObj>
          <w:docPartGallery w:val="Page Numbers (Bottom of Page)"/>
          <w:docPartUnique/>
        </w:docPartObj>
      </w:sdtPr>
      <w:sdtEndPr>
        <w:rPr>
          <w:noProof/>
        </w:rPr>
      </w:sdtEndPr>
      <w:sdtContent>
        <w:r w:rsidR="00F41C26">
          <w:fldChar w:fldCharType="begin"/>
        </w:r>
        <w:r w:rsidR="00F41C26">
          <w:instrText xml:space="preserve"> PAGE   \* MERGEFORMAT </w:instrText>
        </w:r>
        <w:r w:rsidR="00F41C26">
          <w:fldChar w:fldCharType="separate"/>
        </w:r>
        <w:r w:rsidR="00D379EC">
          <w:rPr>
            <w:noProof/>
          </w:rPr>
          <w:t>1</w:t>
        </w:r>
        <w:r w:rsidR="00F41C26">
          <w:rPr>
            <w:noProof/>
          </w:rPr>
          <w:fldChar w:fldCharType="end"/>
        </w:r>
      </w:sdtContent>
    </w:sdt>
  </w:p>
  <w:p w14:paraId="63E09FD5" w14:textId="77777777" w:rsidR="00F41C26" w:rsidRPr="00DF46FD" w:rsidRDefault="00F41C26" w:rsidP="00DF46F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9F5D3" w14:textId="1F35C56B" w:rsidR="00A42803" w:rsidRDefault="00A42803">
    <w:pPr>
      <w:pStyle w:val="Footer"/>
    </w:pPr>
    <w:r>
      <w:rPr>
        <w:noProof/>
      </w:rPr>
      <mc:AlternateContent>
        <mc:Choice Requires="wps">
          <w:drawing>
            <wp:anchor distT="0" distB="0" distL="0" distR="0" simplePos="0" relativeHeight="251658258" behindDoc="0" locked="0" layoutInCell="1" allowOverlap="1" wp14:anchorId="6CE34F4B" wp14:editId="1B0CC28B">
              <wp:simplePos x="635" y="635"/>
              <wp:positionH relativeFrom="page">
                <wp:align>center</wp:align>
              </wp:positionH>
              <wp:positionV relativeFrom="page">
                <wp:align>bottom</wp:align>
              </wp:positionV>
              <wp:extent cx="551815" cy="528955"/>
              <wp:effectExtent l="0" t="0" r="635" b="0"/>
              <wp:wrapNone/>
              <wp:docPr id="965462140"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4D266B9C" w14:textId="55FB22F3"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E34F4B" id="_x0000_t202" coordsize="21600,21600" o:spt="202" path="m,l,21600r21600,l21600,xe">
              <v:stroke joinstyle="miter"/>
              <v:path gradientshapeok="t" o:connecttype="rect"/>
            </v:shapetype>
            <v:shape id="Text Box 19" o:spid="_x0000_s1037" type="#_x0000_t202" alt="OFFICIAL" style="position:absolute;left:0;text-align:left;margin-left:0;margin-top:0;width:43.45pt;height:41.6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" filled="f" stroked="f">
              <v:textbox style="mso-fit-shape-to-text:t" inset="0,0,0,15pt">
                <w:txbxContent>
                  <w:p w14:paraId="4D266B9C" w14:textId="55FB22F3"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A5AC8" w14:textId="1B341F86" w:rsidR="00954C9C" w:rsidRDefault="00A42803">
    <w:pPr>
      <w:pStyle w:val="Footer"/>
      <w:jc w:val="right"/>
    </w:pPr>
    <w:r>
      <w:rPr>
        <w:noProof/>
      </w:rPr>
      <mc:AlternateContent>
        <mc:Choice Requires="wps">
          <w:drawing>
            <wp:anchor distT="0" distB="0" distL="0" distR="0" simplePos="0" relativeHeight="251658262" behindDoc="0" locked="0" layoutInCell="1" allowOverlap="1" wp14:anchorId="39AA0709" wp14:editId="3E518E46">
              <wp:simplePos x="635" y="635"/>
              <wp:positionH relativeFrom="page">
                <wp:align>center</wp:align>
              </wp:positionH>
              <wp:positionV relativeFrom="page">
                <wp:align>bottom</wp:align>
              </wp:positionV>
              <wp:extent cx="551815" cy="528955"/>
              <wp:effectExtent l="0" t="0" r="635" b="0"/>
              <wp:wrapNone/>
              <wp:docPr id="1995091351"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2BC9783B" w14:textId="6B163D0F"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AA0709" id="_x0000_t202" coordsize="21600,21600" o:spt="202" path="m,l,21600r21600,l21600,xe">
              <v:stroke joinstyle="miter"/>
              <v:path gradientshapeok="t" o:connecttype="rect"/>
            </v:shapetype>
            <v:shape id="Text Box 23" o:spid="_x0000_s1040" type="#_x0000_t202" alt="OFFICIAL" style="position:absolute;left:0;text-align:left;margin-left:0;margin-top:0;width:43.45pt;height:41.65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" filled="f" stroked="f">
              <v:textbox style="mso-fit-shape-to-text:t" inset="0,0,0,15pt">
                <w:txbxContent>
                  <w:p w14:paraId="2BC9783B" w14:textId="6B163D0F"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v:textbox>
              <w10:wrap anchorx="page" anchory="page"/>
            </v:shape>
          </w:pict>
        </mc:Fallback>
      </mc:AlternateContent>
    </w:r>
    <w:sdt>
      <w:sdtPr>
        <w:id w:val="-1633943712"/>
        <w:docPartObj>
          <w:docPartGallery w:val="Page Numbers (Bottom of Page)"/>
          <w:docPartUnique/>
        </w:docPartObj>
      </w:sdtPr>
      <w:sdtEndPr>
        <w:rPr>
          <w:noProof/>
        </w:rPr>
      </w:sdtEndPr>
      <w:sdtContent>
        <w:r w:rsidR="00954C9C">
          <w:fldChar w:fldCharType="begin"/>
        </w:r>
        <w:r w:rsidR="00954C9C">
          <w:instrText xml:space="preserve"> PAGE   \* MERGEFORMAT </w:instrText>
        </w:r>
        <w:r w:rsidR="00954C9C">
          <w:fldChar w:fldCharType="separate"/>
        </w:r>
        <w:r w:rsidR="00954C9C">
          <w:rPr>
            <w:noProof/>
          </w:rPr>
          <w:t>2</w:t>
        </w:r>
        <w:r w:rsidR="00954C9C">
          <w:rPr>
            <w:noProof/>
          </w:rPr>
          <w:fldChar w:fldCharType="end"/>
        </w:r>
        <w:r w:rsidR="00954C9C">
          <w:rPr>
            <w:noProof/>
          </w:rPr>
          <w:t>1</w:t>
        </w:r>
      </w:sdtContent>
    </w:sdt>
  </w:p>
  <w:p w14:paraId="3DF982B3" w14:textId="77777777" w:rsidR="00954C9C" w:rsidRDefault="00954C9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5C63D" w14:textId="0026588F" w:rsidR="00954C9C" w:rsidRDefault="00A42803">
    <w:pPr>
      <w:pStyle w:val="Footer"/>
      <w:jc w:val="right"/>
    </w:pPr>
    <w:r>
      <w:rPr>
        <w:noProof/>
      </w:rPr>
      <mc:AlternateContent>
        <mc:Choice Requires="wps">
          <w:drawing>
            <wp:anchor distT="0" distB="0" distL="0" distR="0" simplePos="0" relativeHeight="251658263" behindDoc="0" locked="0" layoutInCell="1" allowOverlap="1" wp14:anchorId="5A202749" wp14:editId="696FDADC">
              <wp:simplePos x="635" y="635"/>
              <wp:positionH relativeFrom="page">
                <wp:align>center</wp:align>
              </wp:positionH>
              <wp:positionV relativeFrom="page">
                <wp:align>bottom</wp:align>
              </wp:positionV>
              <wp:extent cx="551815" cy="528955"/>
              <wp:effectExtent l="0" t="0" r="635" b="0"/>
              <wp:wrapNone/>
              <wp:docPr id="729020497"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21CFBF6A" w14:textId="39EEF9F5"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202749" id="_x0000_t202" coordsize="21600,21600" o:spt="202" path="m,l,21600r21600,l21600,xe">
              <v:stroke joinstyle="miter"/>
              <v:path gradientshapeok="t" o:connecttype="rect"/>
            </v:shapetype>
            <v:shape id="Text Box 24" o:spid="_x0000_s1041" type="#_x0000_t202" alt="OFFICIAL" style="position:absolute;left:0;text-align:left;margin-left:0;margin-top:0;width:43.45pt;height:41.6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" filled="f" stroked="f">
              <v:textbox style="mso-fit-shape-to-text:t" inset="0,0,0,15pt">
                <w:txbxContent>
                  <w:p w14:paraId="21CFBF6A" w14:textId="39EEF9F5"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v:textbox>
              <w10:wrap anchorx="page" anchory="page"/>
            </v:shape>
          </w:pict>
        </mc:Fallback>
      </mc:AlternateContent>
    </w:r>
  </w:p>
  <w:sdt>
    <w:sdtPr>
      <w:id w:val="469018898"/>
      <w:docPartObj>
        <w:docPartGallery w:val="Page Numbers (Bottom of Page)"/>
        <w:docPartUnique/>
      </w:docPartObj>
    </w:sdtPr>
    <w:sdtEndPr>
      <w:rPr>
        <w:noProof/>
      </w:rPr>
    </w:sdtEndPr>
    <w:sdtContent>
      <w:p w14:paraId="7F549984" w14:textId="77777777" w:rsidR="00954C9C" w:rsidRDefault="00954C9C">
        <w:pPr>
          <w:pStyle w:val="Footer"/>
          <w:jc w:val="right"/>
        </w:pPr>
        <w:r>
          <w:t>20</w:t>
        </w:r>
      </w:p>
    </w:sdtContent>
  </w:sdt>
  <w:p w14:paraId="0DC2D094" w14:textId="77777777" w:rsidR="00954C9C" w:rsidRPr="00DF46FD" w:rsidRDefault="00954C9C" w:rsidP="00DF46F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9E134" w14:textId="7619ABE2" w:rsidR="00A42803" w:rsidRDefault="00A42803">
    <w:pPr>
      <w:pStyle w:val="Footer"/>
    </w:pPr>
    <w:r>
      <w:rPr>
        <w:noProof/>
      </w:rPr>
      <mc:AlternateContent>
        <mc:Choice Requires="wps">
          <w:drawing>
            <wp:anchor distT="0" distB="0" distL="0" distR="0" simplePos="0" relativeHeight="251658261" behindDoc="0" locked="0" layoutInCell="1" allowOverlap="1" wp14:anchorId="51E3E361" wp14:editId="70D7BD3D">
              <wp:simplePos x="635" y="635"/>
              <wp:positionH relativeFrom="page">
                <wp:align>center</wp:align>
              </wp:positionH>
              <wp:positionV relativeFrom="page">
                <wp:align>bottom</wp:align>
              </wp:positionV>
              <wp:extent cx="551815" cy="528955"/>
              <wp:effectExtent l="0" t="0" r="635" b="0"/>
              <wp:wrapNone/>
              <wp:docPr id="1217582235"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75F221DB" w14:textId="6509B7FB"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E3E361" id="_x0000_t202" coordsize="21600,21600" o:spt="202" path="m,l,21600r21600,l21600,xe">
              <v:stroke joinstyle="miter"/>
              <v:path gradientshapeok="t" o:connecttype="rect"/>
            </v:shapetype>
            <v:shape id="Text Box 22" o:spid="_x0000_s1043" type="#_x0000_t202" alt="OFFICIAL" style="position:absolute;left:0;text-align:left;margin-left:0;margin-top:0;width:43.45pt;height:41.6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" filled="f" stroked="f">
              <v:textbox style="mso-fit-shape-to-text:t" inset="0,0,0,15pt">
                <w:txbxContent>
                  <w:p w14:paraId="75F221DB" w14:textId="6509B7FB"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26670" w14:textId="77777777" w:rsidR="004404BB" w:rsidRPr="00ED5A20" w:rsidRDefault="004404BB" w:rsidP="000F6233">
      <w:pPr>
        <w:rPr>
          <w:color w:val="58B6C0" w:themeColor="accent2"/>
        </w:rPr>
      </w:pPr>
      <w:r w:rsidRPr="00ED5A20">
        <w:rPr>
          <w:color w:val="58B6C0" w:themeColor="accent2"/>
        </w:rPr>
        <w:separator/>
      </w:r>
    </w:p>
  </w:footnote>
  <w:footnote w:type="continuationSeparator" w:id="0">
    <w:p w14:paraId="06321CBC" w14:textId="77777777" w:rsidR="004404BB" w:rsidRPr="00B737EB" w:rsidRDefault="004404BB">
      <w:pPr>
        <w:spacing w:before="0" w:after="0"/>
        <w:rPr>
          <w:color w:val="3494BA" w:themeColor="accent1"/>
        </w:rPr>
      </w:pPr>
      <w:r w:rsidRPr="00B737EB">
        <w:rPr>
          <w:color w:val="3494BA" w:themeColor="accent1"/>
        </w:rPr>
        <w:continuationSeparator/>
      </w:r>
    </w:p>
  </w:footnote>
  <w:footnote w:type="continuationNotice" w:id="1">
    <w:p w14:paraId="4B1011DE" w14:textId="77777777" w:rsidR="004404BB" w:rsidRDefault="004404BB">
      <w:pPr>
        <w:spacing w:before="0" w:after="0"/>
      </w:pPr>
    </w:p>
  </w:footnote>
  <w:footnote w:id="2">
    <w:p w14:paraId="34F56E12" w14:textId="2D994DEC" w:rsidR="00DF46FD" w:rsidRPr="00C7574C" w:rsidRDefault="00DF46FD" w:rsidP="00A07CC6">
      <w:pPr>
        <w:pStyle w:val="FootnoteText"/>
      </w:pPr>
      <w:r w:rsidRPr="00C7574C">
        <w:rPr>
          <w:rStyle w:val="FootnoteReference"/>
          <w:sz w:val="20"/>
          <w:vertAlign w:val="superscript"/>
        </w:rPr>
        <w:footnoteRef/>
      </w:r>
      <w:r w:rsidR="00C7574C">
        <w:rPr>
          <w:vertAlign w:val="superscript"/>
        </w:rPr>
        <w:t xml:space="preserve">          </w:t>
      </w:r>
      <w:r w:rsidRPr="00C7574C">
        <w:rPr>
          <w:vertAlign w:val="superscript"/>
        </w:rPr>
        <w:t xml:space="preserve"> </w:t>
      </w:r>
      <w:r w:rsidRPr="00C7574C">
        <w:t xml:space="preserve">For the purpose of this report it is assumed that development </w:t>
      </w:r>
      <w:r w:rsidRPr="00C8351C">
        <w:rPr>
          <w:color w:val="auto"/>
        </w:rPr>
        <w:t>ready</w:t>
      </w:r>
      <w:r w:rsidR="00665BDA" w:rsidRPr="00C8351C">
        <w:rPr>
          <w:color w:val="auto"/>
        </w:rPr>
        <w:t xml:space="preserve"> land</w:t>
      </w:r>
      <w:r w:rsidRPr="00C8351C">
        <w:rPr>
          <w:color w:val="auto"/>
        </w:rPr>
        <w:t xml:space="preserve"> means land with </w:t>
      </w:r>
      <w:r w:rsidR="008D6C15" w:rsidRPr="00C8351C">
        <w:rPr>
          <w:color w:val="auto"/>
        </w:rPr>
        <w:t xml:space="preserve">enabling </w:t>
      </w:r>
      <w:r w:rsidRPr="00C7574C">
        <w:t>infrastructure</w:t>
      </w:r>
      <w:r w:rsidR="00665BDA">
        <w:t>,</w:t>
      </w:r>
      <w:r w:rsidRPr="00C7574C">
        <w:t xml:space="preserve"> that is ready to sell and/or construct</w:t>
      </w:r>
      <w:r w:rsidR="008D6C15">
        <w:t xml:space="preserve">. </w:t>
      </w:r>
    </w:p>
  </w:footnote>
  <w:footnote w:id="3">
    <w:p w14:paraId="74C4DA23" w14:textId="173D0D12" w:rsidR="00DF46FD" w:rsidRPr="00C7574C" w:rsidRDefault="00DF46FD" w:rsidP="00151FA7">
      <w:pPr>
        <w:pStyle w:val="FootnoteText"/>
      </w:pPr>
      <w:r w:rsidRPr="00C7574C">
        <w:rPr>
          <w:rStyle w:val="FootnoteReference"/>
          <w:sz w:val="20"/>
          <w:vertAlign w:val="superscript"/>
        </w:rPr>
        <w:footnoteRef/>
      </w:r>
      <w:r w:rsidRPr="00C7574C">
        <w:rPr>
          <w:vertAlign w:val="superscript"/>
        </w:rPr>
        <w:t xml:space="preserve"> </w:t>
      </w:r>
      <w:r w:rsidR="00C7574C">
        <w:tab/>
      </w:r>
      <w:r w:rsidRPr="00C7574C">
        <w:t>Where appropriate and where such zoning and planning does not add to construction costs e.g., through the use of incentives such as density bonuses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E1796" w14:textId="44A720BA" w:rsidR="00042EF7" w:rsidRDefault="00A42803">
    <w:pPr>
      <w:pStyle w:val="Header"/>
    </w:pPr>
    <w:r>
      <w:rPr>
        <w:noProof/>
      </w:rPr>
      <mc:AlternateContent>
        <mc:Choice Requires="wps">
          <w:drawing>
            <wp:anchor distT="0" distB="0" distL="0" distR="0" simplePos="0" relativeHeight="251658241" behindDoc="0" locked="0" layoutInCell="1" allowOverlap="1" wp14:anchorId="5A9F5104" wp14:editId="48BEB137">
              <wp:simplePos x="635" y="635"/>
              <wp:positionH relativeFrom="page">
                <wp:align>center</wp:align>
              </wp:positionH>
              <wp:positionV relativeFrom="page">
                <wp:align>top</wp:align>
              </wp:positionV>
              <wp:extent cx="551815" cy="528955"/>
              <wp:effectExtent l="0" t="0" r="635" b="4445"/>
              <wp:wrapNone/>
              <wp:docPr id="56556417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454BEBF1" w14:textId="0CA75319"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9F5104"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41.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" filled="f" stroked="f">
              <v:textbox style="mso-fit-shape-to-text:t" inset="0,15pt,0,0">
                <w:txbxContent>
                  <w:p w14:paraId="454BEBF1" w14:textId="0CA75319"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B62E6" w14:textId="08F8FA37" w:rsidR="00042EF7" w:rsidRDefault="00A42803">
    <w:pPr>
      <w:pStyle w:val="Header"/>
    </w:pPr>
    <w:r>
      <w:rPr>
        <w:noProof/>
      </w:rPr>
      <mc:AlternateContent>
        <mc:Choice Requires="wps">
          <w:drawing>
            <wp:anchor distT="0" distB="0" distL="0" distR="0" simplePos="0" relativeHeight="251658242" behindDoc="0" locked="0" layoutInCell="1" allowOverlap="1" wp14:anchorId="52A3BE96" wp14:editId="7765C2F1">
              <wp:simplePos x="635" y="635"/>
              <wp:positionH relativeFrom="page">
                <wp:align>center</wp:align>
              </wp:positionH>
              <wp:positionV relativeFrom="page">
                <wp:align>top</wp:align>
              </wp:positionV>
              <wp:extent cx="551815" cy="528955"/>
              <wp:effectExtent l="0" t="0" r="635" b="4445"/>
              <wp:wrapNone/>
              <wp:docPr id="183776504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232217B5" w14:textId="6DF4453B"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A3BE96"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41.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" filled="f" stroked="f">
              <v:textbox style="mso-fit-shape-to-text:t" inset="0,15pt,0,0">
                <w:txbxContent>
                  <w:p w14:paraId="232217B5" w14:textId="6DF4453B"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1A386" w14:textId="70627620" w:rsidR="00042EF7" w:rsidRDefault="00A42803">
    <w:pPr>
      <w:pStyle w:val="Header"/>
    </w:pPr>
    <w:r>
      <w:rPr>
        <w:noProof/>
      </w:rPr>
      <mc:AlternateContent>
        <mc:Choice Requires="wps">
          <w:drawing>
            <wp:anchor distT="0" distB="0" distL="0" distR="0" simplePos="0" relativeHeight="251658240" behindDoc="0" locked="0" layoutInCell="1" allowOverlap="1" wp14:anchorId="0C5AAA94" wp14:editId="14B19CE7">
              <wp:simplePos x="903383" y="451692"/>
              <wp:positionH relativeFrom="page">
                <wp:align>center</wp:align>
              </wp:positionH>
              <wp:positionV relativeFrom="page">
                <wp:align>top</wp:align>
              </wp:positionV>
              <wp:extent cx="551815" cy="528955"/>
              <wp:effectExtent l="0" t="0" r="635" b="4445"/>
              <wp:wrapNone/>
              <wp:docPr id="166995175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619DB8A8" w14:textId="7AC1FAAA"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5AAA94" id="_x0000_t202" coordsize="21600,21600" o:spt="202" path="m,l,21600r21600,l21600,xe">
              <v:stroke joinstyle="miter"/>
              <v:path gradientshapeok="t" o:connecttype="rect"/>
            </v:shapetype>
            <v:shape id="Text Box 1" o:spid="_x0000_s1030" type="#_x0000_t202" alt="OFFICIAL" style="position:absolute;left:0;text-align:left;margin-left:0;margin-top:0;width:43.45pt;height:41.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" filled="f" stroked="f">
              <v:textbox style="mso-fit-shape-to-text:t" inset="0,15pt,0,0">
                <w:txbxContent>
                  <w:p w14:paraId="619DB8A8" w14:textId="7AC1FAAA"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177A8" w14:textId="026A09BB" w:rsidR="00D379EC" w:rsidRDefault="00A42803" w:rsidP="00D379EC">
    <w:pPr>
      <w:pStyle w:val="Header"/>
    </w:pPr>
    <w:r>
      <w:rPr>
        <w:noProof/>
      </w:rPr>
      <mc:AlternateContent>
        <mc:Choice Requires="wps">
          <w:drawing>
            <wp:anchor distT="0" distB="0" distL="0" distR="0" simplePos="0" relativeHeight="251658247" behindDoc="0" locked="0" layoutInCell="1" allowOverlap="1" wp14:anchorId="39040E85" wp14:editId="79B17E79">
              <wp:simplePos x="635" y="635"/>
              <wp:positionH relativeFrom="page">
                <wp:align>center</wp:align>
              </wp:positionH>
              <wp:positionV relativeFrom="page">
                <wp:align>top</wp:align>
              </wp:positionV>
              <wp:extent cx="551815" cy="528955"/>
              <wp:effectExtent l="0" t="0" r="635" b="4445"/>
              <wp:wrapNone/>
              <wp:docPr id="13984208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77180F9D" w14:textId="711BFE0E"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040E85" id="_x0000_t202" coordsize="21600,21600" o:spt="202" path="m,l,21600r21600,l21600,xe">
              <v:stroke joinstyle="miter"/>
              <v:path gradientshapeok="t" o:connecttype="rect"/>
            </v:shapetype>
            <v:shape id="Text Box 8" o:spid="_x0000_s1032" type="#_x0000_t202" alt="OFFICIAL" style="position:absolute;left:0;text-align:left;margin-left:0;margin-top:0;width:43.45pt;height:41.6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" filled="f" stroked="f">
              <v:textbox style="mso-fit-shape-to-text:t" inset="0,15pt,0,0">
                <w:txbxContent>
                  <w:p w14:paraId="77180F9D" w14:textId="711BFE0E"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v:textbox>
              <w10:wrap anchorx="page" anchory="page"/>
            </v:shape>
          </w:pict>
        </mc:Fallback>
      </mc:AlternateContent>
    </w:r>
    <w:r w:rsidR="00D379EC">
      <w:t>National Planning Reform Blueprint</w:t>
    </w:r>
  </w:p>
  <w:p w14:paraId="3FDE6D3C" w14:textId="61E956D6" w:rsidR="003C2CD6" w:rsidRDefault="00D379EC" w:rsidP="003C2CD6">
    <w:pPr>
      <w:pStyle w:val="Header"/>
    </w:pPr>
    <w:r>
      <w:t xml:space="preserve"> </w:t>
    </w:r>
    <w:r w:rsidR="003C2CD6">
      <w:t xml:space="preserve">Northern Territory Progress Report </w:t>
    </w:r>
    <w:r w:rsidR="00AD6AD8">
      <w:t>September</w:t>
    </w:r>
    <w:r w:rsidR="003C2CD6">
      <w:t xml:space="preserve"> 2025</w:t>
    </w:r>
  </w:p>
  <w:p w14:paraId="4907AD44" w14:textId="531178CD" w:rsidR="00DF46FD" w:rsidRDefault="00DF46F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0DDED" w14:textId="2E2C0EEB" w:rsidR="007F2A6D" w:rsidRDefault="00A42803">
    <w:pPr>
      <w:pStyle w:val="Header"/>
    </w:pPr>
    <w:r>
      <w:rPr>
        <w:noProof/>
      </w:rPr>
      <mc:AlternateContent>
        <mc:Choice Requires="wps">
          <w:drawing>
            <wp:anchor distT="0" distB="0" distL="0" distR="0" simplePos="0" relativeHeight="251658248" behindDoc="0" locked="0" layoutInCell="1" allowOverlap="1" wp14:anchorId="6B4526D5" wp14:editId="39F11AF5">
              <wp:simplePos x="635" y="635"/>
              <wp:positionH relativeFrom="page">
                <wp:align>center</wp:align>
              </wp:positionH>
              <wp:positionV relativeFrom="page">
                <wp:align>top</wp:align>
              </wp:positionV>
              <wp:extent cx="551815" cy="528955"/>
              <wp:effectExtent l="0" t="0" r="635" b="4445"/>
              <wp:wrapNone/>
              <wp:docPr id="563581085"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3E307E83" w14:textId="657240D4"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4526D5" id="_x0000_t202" coordsize="21600,21600" o:spt="202" path="m,l,21600r21600,l21600,xe">
              <v:stroke joinstyle="miter"/>
              <v:path gradientshapeok="t" o:connecttype="rect"/>
            </v:shapetype>
            <v:shape id="Text Box 9" o:spid="_x0000_s1033" type="#_x0000_t202" alt="OFFICIAL" style="position:absolute;left:0;text-align:left;margin-left:0;margin-top:0;width:43.45pt;height:41.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" filled="f" stroked="f">
              <v:textbox style="mso-fit-shape-to-text:t" inset="0,15pt,0,0">
                <w:txbxContent>
                  <w:p w14:paraId="3E307E83" w14:textId="657240D4"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v:textbox>
              <w10:wrap anchorx="page" anchory="page"/>
            </v:shape>
          </w:pict>
        </mc:Fallback>
      </mc:AlternateContent>
    </w:r>
    <w:r w:rsidR="007F2A6D">
      <w:t>National Planning Reform Blueprint</w:t>
    </w:r>
  </w:p>
  <w:p w14:paraId="72B37D8E" w14:textId="5EE06757" w:rsidR="00DF46FD" w:rsidRDefault="007F2A6D">
    <w:pPr>
      <w:pStyle w:val="Header"/>
    </w:pPr>
    <w:r>
      <w:t xml:space="preserve"> Northern Territory </w:t>
    </w:r>
    <w:r w:rsidR="003C2CD6">
      <w:t>P</w:t>
    </w:r>
    <w:r>
      <w:t xml:space="preserve">rogress </w:t>
    </w:r>
    <w:r w:rsidR="003C2CD6">
      <w:t>R</w:t>
    </w:r>
    <w:r>
      <w:t>eport</w:t>
    </w:r>
    <w:r w:rsidR="003C2CD6">
      <w:t xml:space="preserve"> </w:t>
    </w:r>
    <w:r w:rsidR="00AD6AD8">
      <w:t xml:space="preserve">September </w:t>
    </w:r>
    <w:r w:rsidR="003C2CD6">
      <w:t>2025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F8DB4" w14:textId="32C41BBF" w:rsidR="00DF46FD" w:rsidRDefault="00A42803">
    <w:pPr>
      <w:pStyle w:val="Header"/>
    </w:pPr>
    <w:r>
      <w:rPr>
        <w:noProof/>
      </w:rPr>
      <mc:AlternateContent>
        <mc:Choice Requires="wps">
          <w:drawing>
            <wp:anchor distT="0" distB="0" distL="0" distR="0" simplePos="0" relativeHeight="251658246" behindDoc="0" locked="0" layoutInCell="1" allowOverlap="1" wp14:anchorId="286943A8" wp14:editId="45C76FED">
              <wp:simplePos x="635" y="635"/>
              <wp:positionH relativeFrom="page">
                <wp:align>center</wp:align>
              </wp:positionH>
              <wp:positionV relativeFrom="page">
                <wp:align>top</wp:align>
              </wp:positionV>
              <wp:extent cx="551815" cy="528955"/>
              <wp:effectExtent l="0" t="0" r="635" b="4445"/>
              <wp:wrapNone/>
              <wp:docPr id="88085501"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5747D85D" w14:textId="7A444A8A"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6943A8" id="_x0000_t202" coordsize="21600,21600" o:spt="202" path="m,l,21600r21600,l21600,xe">
              <v:stroke joinstyle="miter"/>
              <v:path gradientshapeok="t" o:connecttype="rect"/>
            </v:shapetype>
            <v:shape id="Text Box 7" o:spid="_x0000_s1036" type="#_x0000_t202" alt="OFFICIAL" style="position:absolute;left:0;text-align:left;margin-left:0;margin-top:0;width:43.45pt;height:41.6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" filled="f" stroked="f">
              <v:textbox style="mso-fit-shape-to-text:t" inset="0,15pt,0,0">
                <w:txbxContent>
                  <w:p w14:paraId="5747D85D" w14:textId="7A444A8A"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CBA0E" w14:textId="0366AD35" w:rsidR="00A42803" w:rsidRDefault="00A42803">
    <w:pPr>
      <w:pStyle w:val="Header"/>
    </w:pPr>
    <w:r>
      <w:rPr>
        <w:noProof/>
      </w:rPr>
      <mc:AlternateContent>
        <mc:Choice Requires="wps">
          <w:drawing>
            <wp:anchor distT="0" distB="0" distL="0" distR="0" simplePos="0" relativeHeight="251658250" behindDoc="0" locked="0" layoutInCell="1" allowOverlap="1" wp14:anchorId="150F8DEB" wp14:editId="1DD8EB0F">
              <wp:simplePos x="635" y="635"/>
              <wp:positionH relativeFrom="page">
                <wp:align>center</wp:align>
              </wp:positionH>
              <wp:positionV relativeFrom="page">
                <wp:align>top</wp:align>
              </wp:positionV>
              <wp:extent cx="551815" cy="528955"/>
              <wp:effectExtent l="0" t="0" r="635" b="4445"/>
              <wp:wrapNone/>
              <wp:docPr id="161522339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0739740E" w14:textId="4225E912"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0F8DEB" id="_x0000_t202" coordsize="21600,21600" o:spt="202" path="m,l,21600r21600,l21600,xe">
              <v:stroke joinstyle="miter"/>
              <v:path gradientshapeok="t" o:connecttype="rect"/>
            </v:shapetype>
            <v:shape id="Text Box 11" o:spid="_x0000_s1038" type="#_x0000_t202" alt="OFFICIAL" style="position:absolute;left:0;text-align:left;margin-left:0;margin-top:0;width:43.45pt;height:41.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" filled="f" stroked="f">
              <v:textbox style="mso-fit-shape-to-text:t" inset="0,15pt,0,0">
                <w:txbxContent>
                  <w:p w14:paraId="0739740E" w14:textId="4225E912"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2A8DA" w14:textId="4A3A43B3" w:rsidR="00A42803" w:rsidRDefault="00A42803">
    <w:pPr>
      <w:pStyle w:val="Header"/>
    </w:pPr>
    <w:r>
      <w:rPr>
        <w:noProof/>
      </w:rPr>
      <mc:AlternateContent>
        <mc:Choice Requires="wps">
          <w:drawing>
            <wp:anchor distT="0" distB="0" distL="0" distR="0" simplePos="0" relativeHeight="251658251" behindDoc="0" locked="0" layoutInCell="1" allowOverlap="1" wp14:anchorId="384401EB" wp14:editId="02CD90BC">
              <wp:simplePos x="635" y="635"/>
              <wp:positionH relativeFrom="page">
                <wp:align>center</wp:align>
              </wp:positionH>
              <wp:positionV relativeFrom="page">
                <wp:align>top</wp:align>
              </wp:positionV>
              <wp:extent cx="551815" cy="528955"/>
              <wp:effectExtent l="0" t="0" r="635" b="4445"/>
              <wp:wrapNone/>
              <wp:docPr id="1125761077"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54C099AA" w14:textId="7BD3E958"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4401EB" id="_x0000_t202" coordsize="21600,21600" o:spt="202" path="m,l,21600r21600,l21600,xe">
              <v:stroke joinstyle="miter"/>
              <v:path gradientshapeok="t" o:connecttype="rect"/>
            </v:shapetype>
            <v:shape id="Text Box 12" o:spid="_x0000_s1039" type="#_x0000_t202" alt="OFFICIAL" style="position:absolute;left:0;text-align:left;margin-left:0;margin-top:0;width:43.45pt;height:41.6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" filled="f" stroked="f">
              <v:textbox style="mso-fit-shape-to-text:t" inset="0,15pt,0,0">
                <w:txbxContent>
                  <w:p w14:paraId="54C099AA" w14:textId="7BD3E958"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7CF21" w14:textId="79606FD3" w:rsidR="00A42803" w:rsidRDefault="00A42803">
    <w:pPr>
      <w:pStyle w:val="Header"/>
    </w:pPr>
    <w:r>
      <w:rPr>
        <w:noProof/>
      </w:rPr>
      <mc:AlternateContent>
        <mc:Choice Requires="wps">
          <w:drawing>
            <wp:anchor distT="0" distB="0" distL="0" distR="0" simplePos="0" relativeHeight="251658249" behindDoc="0" locked="0" layoutInCell="1" allowOverlap="1" wp14:anchorId="03AEED83" wp14:editId="583900C7">
              <wp:simplePos x="635" y="635"/>
              <wp:positionH relativeFrom="page">
                <wp:align>center</wp:align>
              </wp:positionH>
              <wp:positionV relativeFrom="page">
                <wp:align>top</wp:align>
              </wp:positionV>
              <wp:extent cx="551815" cy="528955"/>
              <wp:effectExtent l="0" t="0" r="635" b="4445"/>
              <wp:wrapNone/>
              <wp:docPr id="1152349045"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60084B02" w14:textId="3932644B"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AEED83" id="_x0000_t202" coordsize="21600,21600" o:spt="202" path="m,l,21600r21600,l21600,xe">
              <v:stroke joinstyle="miter"/>
              <v:path gradientshapeok="t" o:connecttype="rect"/>
            </v:shapetype>
            <v:shape id="Text Box 10" o:spid="_x0000_s1042" type="#_x0000_t202" alt="OFFICIAL" style="position:absolute;left:0;text-align:left;margin-left:0;margin-top:0;width:43.45pt;height:41.6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" filled="f" stroked="f">
              <v:textbox style="mso-fit-shape-to-text:t" inset="0,15pt,0,0">
                <w:txbxContent>
                  <w:p w14:paraId="60084B02" w14:textId="3932644B" w:rsidR="00A42803" w:rsidRPr="00A42803" w:rsidRDefault="00A42803" w:rsidP="00A42803">
                    <w:pPr>
                      <w:spacing w:after="0"/>
                      <w:rPr>
                        <w:rFonts w:ascii="Calibri" w:eastAsia="Calibri" w:hAnsi="Calibri" w:cs="Calibri"/>
                        <w:noProof/>
                        <w:color w:val="FF0000"/>
                        <w:sz w:val="24"/>
                        <w:szCs w:val="24"/>
                      </w:rPr>
                    </w:pPr>
                    <w:r w:rsidRPr="00A42803">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64A616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C44385A"/>
    <w:multiLevelType w:val="hybridMultilevel"/>
    <w:tmpl w:val="AF9C83BA"/>
    <w:lvl w:ilvl="0" w:tplc="1AA69434">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EA87CAA"/>
    <w:multiLevelType w:val="hybridMultilevel"/>
    <w:tmpl w:val="D512B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CC4E5D"/>
    <w:multiLevelType w:val="multilevel"/>
    <w:tmpl w:val="D10E9CF6"/>
    <w:numStyleLink w:val="OneLevelList"/>
  </w:abstractNum>
  <w:abstractNum w:abstractNumId="7"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A1F5752"/>
    <w:multiLevelType w:val="hybridMultilevel"/>
    <w:tmpl w:val="FF980214"/>
    <w:lvl w:ilvl="0" w:tplc="C302D9A4">
      <w:start w:val="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3A569A"/>
    <w:multiLevelType w:val="hybridMultilevel"/>
    <w:tmpl w:val="F9E682C2"/>
    <w:lvl w:ilvl="0" w:tplc="19427198">
      <w:start w:val="1"/>
      <w:numFmt w:val="bullet"/>
      <w:lvlText w:val=""/>
      <w:lvlJc w:val="left"/>
      <w:pPr>
        <w:ind w:left="360" w:hanging="360"/>
      </w:pPr>
      <w:rPr>
        <w:rFonts w:ascii="Symbol" w:hAnsi="Symbol" w:hint="default"/>
      </w:rPr>
    </w:lvl>
    <w:lvl w:ilvl="1" w:tplc="56BE282A">
      <w:start w:val="1"/>
      <w:numFmt w:val="bullet"/>
      <w:lvlText w:val="o"/>
      <w:lvlJc w:val="left"/>
      <w:pPr>
        <w:ind w:left="1080" w:hanging="360"/>
      </w:pPr>
      <w:rPr>
        <w:rFonts w:ascii="Courier New" w:hAnsi="Courier New" w:hint="default"/>
      </w:rPr>
    </w:lvl>
    <w:lvl w:ilvl="2" w:tplc="1A8253B2">
      <w:start w:val="1"/>
      <w:numFmt w:val="bullet"/>
      <w:lvlText w:val=""/>
      <w:lvlJc w:val="left"/>
      <w:pPr>
        <w:ind w:left="1800" w:hanging="360"/>
      </w:pPr>
      <w:rPr>
        <w:rFonts w:ascii="Wingdings" w:hAnsi="Wingdings" w:hint="default"/>
      </w:rPr>
    </w:lvl>
    <w:lvl w:ilvl="3" w:tplc="23DADC7E">
      <w:start w:val="1"/>
      <w:numFmt w:val="bullet"/>
      <w:lvlText w:val=""/>
      <w:lvlJc w:val="left"/>
      <w:pPr>
        <w:ind w:left="2520" w:hanging="360"/>
      </w:pPr>
      <w:rPr>
        <w:rFonts w:ascii="Symbol" w:hAnsi="Symbol" w:hint="default"/>
      </w:rPr>
    </w:lvl>
    <w:lvl w:ilvl="4" w:tplc="58AC2D86">
      <w:start w:val="1"/>
      <w:numFmt w:val="bullet"/>
      <w:lvlText w:val="o"/>
      <w:lvlJc w:val="left"/>
      <w:pPr>
        <w:ind w:left="3240" w:hanging="360"/>
      </w:pPr>
      <w:rPr>
        <w:rFonts w:ascii="Courier New" w:hAnsi="Courier New" w:hint="default"/>
      </w:rPr>
    </w:lvl>
    <w:lvl w:ilvl="5" w:tplc="B7409E58">
      <w:start w:val="1"/>
      <w:numFmt w:val="bullet"/>
      <w:lvlText w:val=""/>
      <w:lvlJc w:val="left"/>
      <w:pPr>
        <w:ind w:left="3960" w:hanging="360"/>
      </w:pPr>
      <w:rPr>
        <w:rFonts w:ascii="Wingdings" w:hAnsi="Wingdings" w:hint="default"/>
      </w:rPr>
    </w:lvl>
    <w:lvl w:ilvl="6" w:tplc="223A5F6A">
      <w:start w:val="1"/>
      <w:numFmt w:val="bullet"/>
      <w:lvlText w:val=""/>
      <w:lvlJc w:val="left"/>
      <w:pPr>
        <w:ind w:left="4680" w:hanging="360"/>
      </w:pPr>
      <w:rPr>
        <w:rFonts w:ascii="Symbol" w:hAnsi="Symbol" w:hint="default"/>
      </w:rPr>
    </w:lvl>
    <w:lvl w:ilvl="7" w:tplc="EAB6CB5A">
      <w:start w:val="1"/>
      <w:numFmt w:val="bullet"/>
      <w:lvlText w:val="o"/>
      <w:lvlJc w:val="left"/>
      <w:pPr>
        <w:ind w:left="5400" w:hanging="360"/>
      </w:pPr>
      <w:rPr>
        <w:rFonts w:ascii="Courier New" w:hAnsi="Courier New" w:hint="default"/>
      </w:rPr>
    </w:lvl>
    <w:lvl w:ilvl="8" w:tplc="D5883B14">
      <w:start w:val="1"/>
      <w:numFmt w:val="bullet"/>
      <w:lvlText w:val=""/>
      <w:lvlJc w:val="left"/>
      <w:pPr>
        <w:ind w:left="6120" w:hanging="360"/>
      </w:pPr>
      <w:rPr>
        <w:rFonts w:ascii="Wingdings" w:hAnsi="Wingdings" w:hint="default"/>
      </w:rPr>
    </w:lvl>
  </w:abstractNum>
  <w:abstractNum w:abstractNumId="10"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1"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08C2710"/>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13" w15:restartNumberingAfterBreak="0">
    <w:nsid w:val="319D0D38"/>
    <w:multiLevelType w:val="hybridMultilevel"/>
    <w:tmpl w:val="CCE60E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1EF577D"/>
    <w:multiLevelType w:val="hybridMultilevel"/>
    <w:tmpl w:val="49CA1762"/>
    <w:lvl w:ilvl="0" w:tplc="73E6BD10">
      <w:start w:val="1"/>
      <w:numFmt w:val="bullet"/>
      <w:lvlText w:val=""/>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89D7E3E"/>
    <w:multiLevelType w:val="hybridMultilevel"/>
    <w:tmpl w:val="B8B6D4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9" w15:restartNumberingAfterBreak="0">
    <w:nsid w:val="510D2021"/>
    <w:multiLevelType w:val="multilevel"/>
    <w:tmpl w:val="3A1A713E"/>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1961D64"/>
    <w:multiLevelType w:val="hybridMultilevel"/>
    <w:tmpl w:val="8968F780"/>
    <w:lvl w:ilvl="0" w:tplc="DA0E047C">
      <w:numFmt w:val="bullet"/>
      <w:lvlText w:val="•"/>
      <w:lvlJc w:val="left"/>
      <w:pPr>
        <w:ind w:left="36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99029F0"/>
    <w:multiLevelType w:val="multilevel"/>
    <w:tmpl w:val="08621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BD7DFF"/>
    <w:multiLevelType w:val="multilevel"/>
    <w:tmpl w:val="55D42826"/>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4"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21D50F5"/>
    <w:multiLevelType w:val="hybridMultilevel"/>
    <w:tmpl w:val="9F1C9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EFB6291"/>
    <w:multiLevelType w:val="hybridMultilevel"/>
    <w:tmpl w:val="62A2599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74EC51F7"/>
    <w:multiLevelType w:val="multilevel"/>
    <w:tmpl w:val="51602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7D6B5224"/>
    <w:multiLevelType w:val="multilevel"/>
    <w:tmpl w:val="E43679DA"/>
    <w:name w:val="StandardBulletedList"/>
    <w:lvl w:ilvl="0">
      <w:start w:val="1"/>
      <w:numFmt w:val="bullet"/>
      <w:pStyle w:val="Bullet"/>
      <w:lvlText w:val="•"/>
      <w:lvlJc w:val="left"/>
      <w:pPr>
        <w:tabs>
          <w:tab w:val="num" w:pos="520"/>
        </w:tabs>
        <w:ind w:left="520" w:hanging="520"/>
      </w:pPr>
      <w:rPr>
        <w:rFonts w:ascii="Times New Roman" w:hAnsi="Times New Roman" w:cs="Times New Roman" w:hint="default"/>
        <w:color w:val="auto"/>
      </w:rPr>
    </w:lvl>
    <w:lvl w:ilvl="1">
      <w:start w:val="1"/>
      <w:numFmt w:val="bullet"/>
      <w:pStyle w:val="Dash"/>
      <w:lvlText w:val="–"/>
      <w:lvlJc w:val="left"/>
      <w:pPr>
        <w:tabs>
          <w:tab w:val="num" w:pos="1040"/>
        </w:tabs>
        <w:ind w:left="1040" w:hanging="520"/>
      </w:pPr>
      <w:rPr>
        <w:rFonts w:ascii="Times New Roman" w:hAnsi="Times New Roman" w:cs="Times New Roman" w:hint="default"/>
      </w:rPr>
    </w:lvl>
    <w:lvl w:ilvl="2">
      <w:start w:val="1"/>
      <w:numFmt w:val="bullet"/>
      <w:pStyle w:val="DoubleDo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30"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1"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665545218">
    <w:abstractNumId w:val="12"/>
  </w:num>
  <w:num w:numId="2" w16cid:durableId="1793818471">
    <w:abstractNumId w:val="1"/>
  </w:num>
  <w:num w:numId="3" w16cid:durableId="1727147853">
    <w:abstractNumId w:val="16"/>
  </w:num>
  <w:num w:numId="4" w16cid:durableId="556211840">
    <w:abstractNumId w:val="5"/>
  </w:num>
  <w:num w:numId="5" w16cid:durableId="1832599539">
    <w:abstractNumId w:val="6"/>
  </w:num>
  <w:num w:numId="6" w16cid:durableId="1733429357">
    <w:abstractNumId w:val="19"/>
  </w:num>
  <w:num w:numId="7" w16cid:durableId="1635522103">
    <w:abstractNumId w:val="15"/>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1718119983">
    <w:abstractNumId w:val="7"/>
  </w:num>
  <w:num w:numId="9" w16cid:durableId="2135639467">
    <w:abstractNumId w:val="2"/>
  </w:num>
  <w:num w:numId="10" w16cid:durableId="2444301">
    <w:abstractNumId w:val="11"/>
  </w:num>
  <w:num w:numId="11" w16cid:durableId="1187602680">
    <w:abstractNumId w:val="30"/>
  </w:num>
  <w:num w:numId="12" w16cid:durableId="306013477">
    <w:abstractNumId w:val="19"/>
  </w:num>
  <w:num w:numId="13" w16cid:durableId="1861582080">
    <w:abstractNumId w:val="31"/>
  </w:num>
  <w:num w:numId="14" w16cid:durableId="791824702">
    <w:abstractNumId w:val="18"/>
  </w:num>
  <w:num w:numId="15" w16cid:durableId="1575047937">
    <w:abstractNumId w:val="10"/>
  </w:num>
  <w:num w:numId="16" w16cid:durableId="1008751061">
    <w:abstractNumId w:val="24"/>
  </w:num>
  <w:num w:numId="17" w16cid:durableId="280722937">
    <w:abstractNumId w:val="15"/>
  </w:num>
  <w:num w:numId="18" w16cid:durableId="52706009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85477101">
    <w:abstractNumId w:val="29"/>
  </w:num>
  <w:num w:numId="20" w16cid:durableId="178397319">
    <w:abstractNumId w:val="14"/>
  </w:num>
  <w:num w:numId="21" w16cid:durableId="3212715">
    <w:abstractNumId w:val="21"/>
  </w:num>
  <w:num w:numId="22" w16cid:durableId="1024019787">
    <w:abstractNumId w:val="23"/>
  </w:num>
  <w:num w:numId="23" w16cid:durableId="2041977993">
    <w:abstractNumId w:val="8"/>
  </w:num>
  <w:num w:numId="24" w16cid:durableId="790324007">
    <w:abstractNumId w:val="29"/>
  </w:num>
  <w:num w:numId="25" w16cid:durableId="1161895856">
    <w:abstractNumId w:val="13"/>
  </w:num>
  <w:num w:numId="26" w16cid:durableId="365058581">
    <w:abstractNumId w:val="9"/>
  </w:num>
  <w:num w:numId="27" w16cid:durableId="446897937">
    <w:abstractNumId w:val="23"/>
  </w:num>
  <w:num w:numId="28" w16cid:durableId="1327633336">
    <w:abstractNumId w:val="23"/>
  </w:num>
  <w:num w:numId="29" w16cid:durableId="1479567562">
    <w:abstractNumId w:val="4"/>
  </w:num>
  <w:num w:numId="30" w16cid:durableId="1704285075">
    <w:abstractNumId w:val="29"/>
  </w:num>
  <w:num w:numId="31" w16cid:durableId="672757379">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606473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46995411">
    <w:abstractNumId w:val="25"/>
  </w:num>
  <w:num w:numId="34" w16cid:durableId="1910967714">
    <w:abstractNumId w:val="0"/>
  </w:num>
  <w:num w:numId="35" w16cid:durableId="595673426">
    <w:abstractNumId w:val="20"/>
  </w:num>
  <w:num w:numId="36" w16cid:durableId="904343039">
    <w:abstractNumId w:val="17"/>
  </w:num>
  <w:num w:numId="37" w16cid:durableId="304362579">
    <w:abstractNumId w:val="27"/>
  </w:num>
  <w:num w:numId="38" w16cid:durableId="170418755">
    <w:abstractNumId w:val="22"/>
  </w:num>
  <w:num w:numId="39" w16cid:durableId="489563120">
    <w:abstractNumId w:val="3"/>
  </w:num>
  <w:num w:numId="40" w16cid:durableId="169229605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63A"/>
    <w:rsid w:val="000008E1"/>
    <w:rsid w:val="00001F87"/>
    <w:rsid w:val="0000438A"/>
    <w:rsid w:val="00004AE7"/>
    <w:rsid w:val="000059E6"/>
    <w:rsid w:val="000069A7"/>
    <w:rsid w:val="00011725"/>
    <w:rsid w:val="0001232C"/>
    <w:rsid w:val="00012C62"/>
    <w:rsid w:val="0001396A"/>
    <w:rsid w:val="00014621"/>
    <w:rsid w:val="00015324"/>
    <w:rsid w:val="000162FE"/>
    <w:rsid w:val="00016DA2"/>
    <w:rsid w:val="00017823"/>
    <w:rsid w:val="000202D4"/>
    <w:rsid w:val="00020D3F"/>
    <w:rsid w:val="00020FB8"/>
    <w:rsid w:val="00022DD0"/>
    <w:rsid w:val="0002544D"/>
    <w:rsid w:val="00025C49"/>
    <w:rsid w:val="00026E04"/>
    <w:rsid w:val="00027D9C"/>
    <w:rsid w:val="000304EA"/>
    <w:rsid w:val="00031062"/>
    <w:rsid w:val="00033C79"/>
    <w:rsid w:val="000341E8"/>
    <w:rsid w:val="00034F3A"/>
    <w:rsid w:val="0003540B"/>
    <w:rsid w:val="0003556D"/>
    <w:rsid w:val="00036223"/>
    <w:rsid w:val="00036788"/>
    <w:rsid w:val="000413D7"/>
    <w:rsid w:val="000419B1"/>
    <w:rsid w:val="0004274D"/>
    <w:rsid w:val="00042CE5"/>
    <w:rsid w:val="00042EF7"/>
    <w:rsid w:val="00043348"/>
    <w:rsid w:val="00043F29"/>
    <w:rsid w:val="0004483F"/>
    <w:rsid w:val="00046CB4"/>
    <w:rsid w:val="00046E5E"/>
    <w:rsid w:val="00046EC2"/>
    <w:rsid w:val="000478E4"/>
    <w:rsid w:val="000507C5"/>
    <w:rsid w:val="0005138B"/>
    <w:rsid w:val="000522B7"/>
    <w:rsid w:val="00053118"/>
    <w:rsid w:val="00053717"/>
    <w:rsid w:val="000549F7"/>
    <w:rsid w:val="00056880"/>
    <w:rsid w:val="00060044"/>
    <w:rsid w:val="0006066D"/>
    <w:rsid w:val="00060C29"/>
    <w:rsid w:val="000611EC"/>
    <w:rsid w:val="000618AC"/>
    <w:rsid w:val="00062837"/>
    <w:rsid w:val="00062FAC"/>
    <w:rsid w:val="00064BC6"/>
    <w:rsid w:val="0006505F"/>
    <w:rsid w:val="0006630A"/>
    <w:rsid w:val="000675D1"/>
    <w:rsid w:val="00067DBA"/>
    <w:rsid w:val="0007008E"/>
    <w:rsid w:val="00070F4D"/>
    <w:rsid w:val="00072C37"/>
    <w:rsid w:val="00073521"/>
    <w:rsid w:val="00073722"/>
    <w:rsid w:val="00074168"/>
    <w:rsid w:val="000746A6"/>
    <w:rsid w:val="000775DE"/>
    <w:rsid w:val="00080725"/>
    <w:rsid w:val="00082B86"/>
    <w:rsid w:val="00083555"/>
    <w:rsid w:val="00084C8C"/>
    <w:rsid w:val="00087228"/>
    <w:rsid w:val="00087C51"/>
    <w:rsid w:val="00087FAF"/>
    <w:rsid w:val="00090CED"/>
    <w:rsid w:val="00093031"/>
    <w:rsid w:val="0009344B"/>
    <w:rsid w:val="0009484D"/>
    <w:rsid w:val="00094C7D"/>
    <w:rsid w:val="000A2758"/>
    <w:rsid w:val="000A2885"/>
    <w:rsid w:val="000A3675"/>
    <w:rsid w:val="000A3E48"/>
    <w:rsid w:val="000A536D"/>
    <w:rsid w:val="000A54D9"/>
    <w:rsid w:val="000A5876"/>
    <w:rsid w:val="000B03B1"/>
    <w:rsid w:val="000B093F"/>
    <w:rsid w:val="000B12C0"/>
    <w:rsid w:val="000B279F"/>
    <w:rsid w:val="000B302A"/>
    <w:rsid w:val="000B7B56"/>
    <w:rsid w:val="000C0053"/>
    <w:rsid w:val="000C0440"/>
    <w:rsid w:val="000C0442"/>
    <w:rsid w:val="000C2C20"/>
    <w:rsid w:val="000C5467"/>
    <w:rsid w:val="000C571D"/>
    <w:rsid w:val="000C5F40"/>
    <w:rsid w:val="000D097D"/>
    <w:rsid w:val="000D1959"/>
    <w:rsid w:val="000D2B73"/>
    <w:rsid w:val="000D691E"/>
    <w:rsid w:val="000D779E"/>
    <w:rsid w:val="000E0B74"/>
    <w:rsid w:val="000E0F45"/>
    <w:rsid w:val="000E13B0"/>
    <w:rsid w:val="000E19B7"/>
    <w:rsid w:val="000E20A0"/>
    <w:rsid w:val="000E4C54"/>
    <w:rsid w:val="000E6467"/>
    <w:rsid w:val="000E66C3"/>
    <w:rsid w:val="000E681F"/>
    <w:rsid w:val="000E727D"/>
    <w:rsid w:val="000E7901"/>
    <w:rsid w:val="000F0B32"/>
    <w:rsid w:val="000F15F8"/>
    <w:rsid w:val="000F19AB"/>
    <w:rsid w:val="000F20CF"/>
    <w:rsid w:val="000F4E25"/>
    <w:rsid w:val="000F53A4"/>
    <w:rsid w:val="000F56FB"/>
    <w:rsid w:val="000F6233"/>
    <w:rsid w:val="00104706"/>
    <w:rsid w:val="00104E2F"/>
    <w:rsid w:val="001076F0"/>
    <w:rsid w:val="001103FA"/>
    <w:rsid w:val="00111C91"/>
    <w:rsid w:val="00112F64"/>
    <w:rsid w:val="001139C9"/>
    <w:rsid w:val="00114642"/>
    <w:rsid w:val="001148A5"/>
    <w:rsid w:val="00116AFB"/>
    <w:rsid w:val="00117D44"/>
    <w:rsid w:val="00120259"/>
    <w:rsid w:val="00120C3E"/>
    <w:rsid w:val="00121859"/>
    <w:rsid w:val="001250CE"/>
    <w:rsid w:val="00126071"/>
    <w:rsid w:val="001260FC"/>
    <w:rsid w:val="001313E0"/>
    <w:rsid w:val="00131DC3"/>
    <w:rsid w:val="00132E48"/>
    <w:rsid w:val="00133999"/>
    <w:rsid w:val="00134C3D"/>
    <w:rsid w:val="00135B3C"/>
    <w:rsid w:val="00135D7A"/>
    <w:rsid w:val="00135E4C"/>
    <w:rsid w:val="00136016"/>
    <w:rsid w:val="0013681B"/>
    <w:rsid w:val="001373F5"/>
    <w:rsid w:val="00137B0A"/>
    <w:rsid w:val="00140EB4"/>
    <w:rsid w:val="00142E9A"/>
    <w:rsid w:val="00145F89"/>
    <w:rsid w:val="00150070"/>
    <w:rsid w:val="0015007C"/>
    <w:rsid w:val="00150A5C"/>
    <w:rsid w:val="001515FD"/>
    <w:rsid w:val="00151FA7"/>
    <w:rsid w:val="00152634"/>
    <w:rsid w:val="001532A9"/>
    <w:rsid w:val="00153A3A"/>
    <w:rsid w:val="00153D5D"/>
    <w:rsid w:val="00154B85"/>
    <w:rsid w:val="001550FE"/>
    <w:rsid w:val="00155AE8"/>
    <w:rsid w:val="00156507"/>
    <w:rsid w:val="00156ECE"/>
    <w:rsid w:val="001574C0"/>
    <w:rsid w:val="0016058E"/>
    <w:rsid w:val="001606CF"/>
    <w:rsid w:val="00160A3B"/>
    <w:rsid w:val="0016128D"/>
    <w:rsid w:val="00163252"/>
    <w:rsid w:val="00164599"/>
    <w:rsid w:val="00165C2A"/>
    <w:rsid w:val="00166D35"/>
    <w:rsid w:val="0016780C"/>
    <w:rsid w:val="0017089D"/>
    <w:rsid w:val="00170D8F"/>
    <w:rsid w:val="0017389A"/>
    <w:rsid w:val="00173D4A"/>
    <w:rsid w:val="00174A0A"/>
    <w:rsid w:val="00174B5D"/>
    <w:rsid w:val="0017562F"/>
    <w:rsid w:val="001758EA"/>
    <w:rsid w:val="00175AF4"/>
    <w:rsid w:val="00176C84"/>
    <w:rsid w:val="00180145"/>
    <w:rsid w:val="001805A8"/>
    <w:rsid w:val="00180A8A"/>
    <w:rsid w:val="00180E16"/>
    <w:rsid w:val="0018175D"/>
    <w:rsid w:val="00181AC0"/>
    <w:rsid w:val="001821BA"/>
    <w:rsid w:val="00182FE0"/>
    <w:rsid w:val="00183AF2"/>
    <w:rsid w:val="0018585F"/>
    <w:rsid w:val="00186202"/>
    <w:rsid w:val="001876DA"/>
    <w:rsid w:val="0019101A"/>
    <w:rsid w:val="00191CFE"/>
    <w:rsid w:val="00195C8E"/>
    <w:rsid w:val="00195CBF"/>
    <w:rsid w:val="001972D2"/>
    <w:rsid w:val="001A032D"/>
    <w:rsid w:val="001A169A"/>
    <w:rsid w:val="001A2968"/>
    <w:rsid w:val="001A333F"/>
    <w:rsid w:val="001A3E33"/>
    <w:rsid w:val="001A4F1F"/>
    <w:rsid w:val="001B0524"/>
    <w:rsid w:val="001B0FEE"/>
    <w:rsid w:val="001B15FA"/>
    <w:rsid w:val="001B1807"/>
    <w:rsid w:val="001B1C64"/>
    <w:rsid w:val="001B1F7C"/>
    <w:rsid w:val="001B393C"/>
    <w:rsid w:val="001C1147"/>
    <w:rsid w:val="001C11F0"/>
    <w:rsid w:val="001C1E3A"/>
    <w:rsid w:val="001C22C9"/>
    <w:rsid w:val="001C2D12"/>
    <w:rsid w:val="001C358D"/>
    <w:rsid w:val="001C3B3C"/>
    <w:rsid w:val="001C3C0B"/>
    <w:rsid w:val="001C40A0"/>
    <w:rsid w:val="001C42DA"/>
    <w:rsid w:val="001C4D01"/>
    <w:rsid w:val="001C7029"/>
    <w:rsid w:val="001C762E"/>
    <w:rsid w:val="001C768D"/>
    <w:rsid w:val="001D1815"/>
    <w:rsid w:val="001D3B52"/>
    <w:rsid w:val="001D3D3F"/>
    <w:rsid w:val="001D4C07"/>
    <w:rsid w:val="001E0C01"/>
    <w:rsid w:val="001E18F6"/>
    <w:rsid w:val="001E2B51"/>
    <w:rsid w:val="001E6FD8"/>
    <w:rsid w:val="001E7A2B"/>
    <w:rsid w:val="001E7CE4"/>
    <w:rsid w:val="001F0071"/>
    <w:rsid w:val="001F1B27"/>
    <w:rsid w:val="001F25F6"/>
    <w:rsid w:val="001F5A71"/>
    <w:rsid w:val="001F6319"/>
    <w:rsid w:val="001F68F7"/>
    <w:rsid w:val="002019AE"/>
    <w:rsid w:val="00203F84"/>
    <w:rsid w:val="002058F8"/>
    <w:rsid w:val="00206C1E"/>
    <w:rsid w:val="00207D2C"/>
    <w:rsid w:val="00210743"/>
    <w:rsid w:val="00211045"/>
    <w:rsid w:val="002119A9"/>
    <w:rsid w:val="00211AAB"/>
    <w:rsid w:val="00211B85"/>
    <w:rsid w:val="002129E4"/>
    <w:rsid w:val="00212D00"/>
    <w:rsid w:val="0021522A"/>
    <w:rsid w:val="002177DD"/>
    <w:rsid w:val="0022085C"/>
    <w:rsid w:val="00221EC0"/>
    <w:rsid w:val="002221D0"/>
    <w:rsid w:val="00225420"/>
    <w:rsid w:val="00225489"/>
    <w:rsid w:val="0022708A"/>
    <w:rsid w:val="0022760D"/>
    <w:rsid w:val="00227BF3"/>
    <w:rsid w:val="002308CB"/>
    <w:rsid w:val="00231049"/>
    <w:rsid w:val="002314D2"/>
    <w:rsid w:val="0023300F"/>
    <w:rsid w:val="0023305C"/>
    <w:rsid w:val="00233FD8"/>
    <w:rsid w:val="00234634"/>
    <w:rsid w:val="00234CB0"/>
    <w:rsid w:val="00234E09"/>
    <w:rsid w:val="002413D2"/>
    <w:rsid w:val="00241881"/>
    <w:rsid w:val="00241B3E"/>
    <w:rsid w:val="002422CE"/>
    <w:rsid w:val="0024294C"/>
    <w:rsid w:val="002437D1"/>
    <w:rsid w:val="00244251"/>
    <w:rsid w:val="002453A7"/>
    <w:rsid w:val="002461BA"/>
    <w:rsid w:val="00246664"/>
    <w:rsid w:val="0024672F"/>
    <w:rsid w:val="002525B3"/>
    <w:rsid w:val="002543D8"/>
    <w:rsid w:val="0025652F"/>
    <w:rsid w:val="0026051D"/>
    <w:rsid w:val="002608F1"/>
    <w:rsid w:val="0026139A"/>
    <w:rsid w:val="00261DD0"/>
    <w:rsid w:val="00261E9B"/>
    <w:rsid w:val="00263B6C"/>
    <w:rsid w:val="00264697"/>
    <w:rsid w:val="002646D4"/>
    <w:rsid w:val="0026658B"/>
    <w:rsid w:val="002675CF"/>
    <w:rsid w:val="0026761B"/>
    <w:rsid w:val="00272939"/>
    <w:rsid w:val="00274FF0"/>
    <w:rsid w:val="002754CC"/>
    <w:rsid w:val="0027590B"/>
    <w:rsid w:val="00275ECE"/>
    <w:rsid w:val="002772E0"/>
    <w:rsid w:val="00283181"/>
    <w:rsid w:val="0028426B"/>
    <w:rsid w:val="0028562F"/>
    <w:rsid w:val="00285969"/>
    <w:rsid w:val="00290221"/>
    <w:rsid w:val="00291C13"/>
    <w:rsid w:val="00295B30"/>
    <w:rsid w:val="00296963"/>
    <w:rsid w:val="00296BB1"/>
    <w:rsid w:val="002A130F"/>
    <w:rsid w:val="002A1964"/>
    <w:rsid w:val="002A25B8"/>
    <w:rsid w:val="002A46EF"/>
    <w:rsid w:val="002A4975"/>
    <w:rsid w:val="002A74EF"/>
    <w:rsid w:val="002A7A31"/>
    <w:rsid w:val="002A7B88"/>
    <w:rsid w:val="002A7DA0"/>
    <w:rsid w:val="002B11B5"/>
    <w:rsid w:val="002B1E35"/>
    <w:rsid w:val="002B3829"/>
    <w:rsid w:val="002B407A"/>
    <w:rsid w:val="002B562C"/>
    <w:rsid w:val="002B69DC"/>
    <w:rsid w:val="002B6BAD"/>
    <w:rsid w:val="002B727D"/>
    <w:rsid w:val="002C22EF"/>
    <w:rsid w:val="002C5047"/>
    <w:rsid w:val="002C7937"/>
    <w:rsid w:val="002D6BC9"/>
    <w:rsid w:val="002E143E"/>
    <w:rsid w:val="002E1FB6"/>
    <w:rsid w:val="002E3178"/>
    <w:rsid w:val="002E31C6"/>
    <w:rsid w:val="002E3CF9"/>
    <w:rsid w:val="002E454C"/>
    <w:rsid w:val="002E5D2F"/>
    <w:rsid w:val="002E7F08"/>
    <w:rsid w:val="002F0138"/>
    <w:rsid w:val="002F26A5"/>
    <w:rsid w:val="002F27B9"/>
    <w:rsid w:val="002F52D5"/>
    <w:rsid w:val="002F617F"/>
    <w:rsid w:val="002F7332"/>
    <w:rsid w:val="00300109"/>
    <w:rsid w:val="00301755"/>
    <w:rsid w:val="00303029"/>
    <w:rsid w:val="00303164"/>
    <w:rsid w:val="0030665E"/>
    <w:rsid w:val="00306894"/>
    <w:rsid w:val="00306B40"/>
    <w:rsid w:val="00306D2E"/>
    <w:rsid w:val="00307021"/>
    <w:rsid w:val="003074FE"/>
    <w:rsid w:val="00307B77"/>
    <w:rsid w:val="003103FC"/>
    <w:rsid w:val="00311ED5"/>
    <w:rsid w:val="00312167"/>
    <w:rsid w:val="003122F4"/>
    <w:rsid w:val="00312522"/>
    <w:rsid w:val="00312881"/>
    <w:rsid w:val="00312D17"/>
    <w:rsid w:val="00314304"/>
    <w:rsid w:val="00315CCA"/>
    <w:rsid w:val="00316979"/>
    <w:rsid w:val="00316CE9"/>
    <w:rsid w:val="003204AA"/>
    <w:rsid w:val="00320BFB"/>
    <w:rsid w:val="00321AD4"/>
    <w:rsid w:val="00322C5B"/>
    <w:rsid w:val="00323496"/>
    <w:rsid w:val="00324FA2"/>
    <w:rsid w:val="003256DC"/>
    <w:rsid w:val="00325AC0"/>
    <w:rsid w:val="00326200"/>
    <w:rsid w:val="003264D4"/>
    <w:rsid w:val="0032657B"/>
    <w:rsid w:val="003268D5"/>
    <w:rsid w:val="00327555"/>
    <w:rsid w:val="00327E6F"/>
    <w:rsid w:val="0033284E"/>
    <w:rsid w:val="003338BC"/>
    <w:rsid w:val="00334176"/>
    <w:rsid w:val="00334683"/>
    <w:rsid w:val="0033559D"/>
    <w:rsid w:val="00336292"/>
    <w:rsid w:val="00336D8F"/>
    <w:rsid w:val="0033755F"/>
    <w:rsid w:val="00343380"/>
    <w:rsid w:val="00344051"/>
    <w:rsid w:val="00344147"/>
    <w:rsid w:val="003446D2"/>
    <w:rsid w:val="003448F6"/>
    <w:rsid w:val="003502F3"/>
    <w:rsid w:val="00350388"/>
    <w:rsid w:val="00350759"/>
    <w:rsid w:val="00352BAD"/>
    <w:rsid w:val="00353478"/>
    <w:rsid w:val="00354D27"/>
    <w:rsid w:val="00356069"/>
    <w:rsid w:val="0035738A"/>
    <w:rsid w:val="00357745"/>
    <w:rsid w:val="00357904"/>
    <w:rsid w:val="00357E8F"/>
    <w:rsid w:val="0036012A"/>
    <w:rsid w:val="003629AF"/>
    <w:rsid w:val="003638AC"/>
    <w:rsid w:val="003647AC"/>
    <w:rsid w:val="00364EB3"/>
    <w:rsid w:val="003667E1"/>
    <w:rsid w:val="00366EB7"/>
    <w:rsid w:val="00366FB9"/>
    <w:rsid w:val="003709A7"/>
    <w:rsid w:val="00372E94"/>
    <w:rsid w:val="003744B0"/>
    <w:rsid w:val="0037487E"/>
    <w:rsid w:val="00375655"/>
    <w:rsid w:val="00381621"/>
    <w:rsid w:val="00382763"/>
    <w:rsid w:val="003858A6"/>
    <w:rsid w:val="00386F13"/>
    <w:rsid w:val="0039150C"/>
    <w:rsid w:val="003918D5"/>
    <w:rsid w:val="00391AE4"/>
    <w:rsid w:val="00391FF2"/>
    <w:rsid w:val="003925C6"/>
    <w:rsid w:val="00392DCC"/>
    <w:rsid w:val="00393EC4"/>
    <w:rsid w:val="00393FF1"/>
    <w:rsid w:val="003941EF"/>
    <w:rsid w:val="00396ACC"/>
    <w:rsid w:val="0039718D"/>
    <w:rsid w:val="00397BB5"/>
    <w:rsid w:val="003A1F1C"/>
    <w:rsid w:val="003A3F30"/>
    <w:rsid w:val="003A5406"/>
    <w:rsid w:val="003A5B36"/>
    <w:rsid w:val="003A6A24"/>
    <w:rsid w:val="003A7DD4"/>
    <w:rsid w:val="003A7DDA"/>
    <w:rsid w:val="003B0BAE"/>
    <w:rsid w:val="003B50AD"/>
    <w:rsid w:val="003B6903"/>
    <w:rsid w:val="003B698E"/>
    <w:rsid w:val="003B6C78"/>
    <w:rsid w:val="003C0B58"/>
    <w:rsid w:val="003C17EE"/>
    <w:rsid w:val="003C24B4"/>
    <w:rsid w:val="003C27A1"/>
    <w:rsid w:val="003C2830"/>
    <w:rsid w:val="003C2CD6"/>
    <w:rsid w:val="003C367F"/>
    <w:rsid w:val="003C4617"/>
    <w:rsid w:val="003C46BD"/>
    <w:rsid w:val="003C6534"/>
    <w:rsid w:val="003C6D24"/>
    <w:rsid w:val="003C7019"/>
    <w:rsid w:val="003D07A0"/>
    <w:rsid w:val="003D2FA0"/>
    <w:rsid w:val="003D30DD"/>
    <w:rsid w:val="003D3D82"/>
    <w:rsid w:val="003D3E3F"/>
    <w:rsid w:val="003D555F"/>
    <w:rsid w:val="003D57C4"/>
    <w:rsid w:val="003D57DF"/>
    <w:rsid w:val="003D67F1"/>
    <w:rsid w:val="003D76DB"/>
    <w:rsid w:val="003E01DE"/>
    <w:rsid w:val="003E079B"/>
    <w:rsid w:val="003E1508"/>
    <w:rsid w:val="003E20D6"/>
    <w:rsid w:val="003E2B04"/>
    <w:rsid w:val="003E2FA3"/>
    <w:rsid w:val="003E4D87"/>
    <w:rsid w:val="003E69FF"/>
    <w:rsid w:val="003E6ABF"/>
    <w:rsid w:val="003F101C"/>
    <w:rsid w:val="003F3890"/>
    <w:rsid w:val="003F518B"/>
    <w:rsid w:val="003F70EE"/>
    <w:rsid w:val="00401082"/>
    <w:rsid w:val="00402599"/>
    <w:rsid w:val="00403D6D"/>
    <w:rsid w:val="004043AE"/>
    <w:rsid w:val="0040723E"/>
    <w:rsid w:val="00407BEF"/>
    <w:rsid w:val="00410124"/>
    <w:rsid w:val="00410819"/>
    <w:rsid w:val="00412369"/>
    <w:rsid w:val="0041239D"/>
    <w:rsid w:val="00412D58"/>
    <w:rsid w:val="00413BC6"/>
    <w:rsid w:val="00414C18"/>
    <w:rsid w:val="004162F6"/>
    <w:rsid w:val="00416503"/>
    <w:rsid w:val="00416721"/>
    <w:rsid w:val="00416762"/>
    <w:rsid w:val="00416E55"/>
    <w:rsid w:val="004179FA"/>
    <w:rsid w:val="0042181E"/>
    <w:rsid w:val="00421955"/>
    <w:rsid w:val="00421EA9"/>
    <w:rsid w:val="00423284"/>
    <w:rsid w:val="004233EB"/>
    <w:rsid w:val="004236FC"/>
    <w:rsid w:val="00424247"/>
    <w:rsid w:val="0042518A"/>
    <w:rsid w:val="004257AB"/>
    <w:rsid w:val="00427520"/>
    <w:rsid w:val="004276A0"/>
    <w:rsid w:val="00427AC2"/>
    <w:rsid w:val="00430F55"/>
    <w:rsid w:val="00433E8E"/>
    <w:rsid w:val="00433E97"/>
    <w:rsid w:val="004369BD"/>
    <w:rsid w:val="00437EE9"/>
    <w:rsid w:val="004404BB"/>
    <w:rsid w:val="0044056C"/>
    <w:rsid w:val="00440A4C"/>
    <w:rsid w:val="00440B1E"/>
    <w:rsid w:val="004410E7"/>
    <w:rsid w:val="00442128"/>
    <w:rsid w:val="00442319"/>
    <w:rsid w:val="00442C16"/>
    <w:rsid w:val="00442E30"/>
    <w:rsid w:val="00444A63"/>
    <w:rsid w:val="00445171"/>
    <w:rsid w:val="00445265"/>
    <w:rsid w:val="00445F08"/>
    <w:rsid w:val="004464CF"/>
    <w:rsid w:val="0044692D"/>
    <w:rsid w:val="00450458"/>
    <w:rsid w:val="00450D35"/>
    <w:rsid w:val="00450F89"/>
    <w:rsid w:val="004549B5"/>
    <w:rsid w:val="004559CE"/>
    <w:rsid w:val="00457809"/>
    <w:rsid w:val="00460E1A"/>
    <w:rsid w:val="00462BBC"/>
    <w:rsid w:val="00463ABC"/>
    <w:rsid w:val="00463DF8"/>
    <w:rsid w:val="00465523"/>
    <w:rsid w:val="004659E3"/>
    <w:rsid w:val="00466715"/>
    <w:rsid w:val="0047121E"/>
    <w:rsid w:val="004741D1"/>
    <w:rsid w:val="00475085"/>
    <w:rsid w:val="00475BC8"/>
    <w:rsid w:val="00476CF6"/>
    <w:rsid w:val="00477AA8"/>
    <w:rsid w:val="00477BE0"/>
    <w:rsid w:val="0048283E"/>
    <w:rsid w:val="0048420C"/>
    <w:rsid w:val="004852FC"/>
    <w:rsid w:val="004860A1"/>
    <w:rsid w:val="004867EF"/>
    <w:rsid w:val="004900F1"/>
    <w:rsid w:val="00490845"/>
    <w:rsid w:val="00492FCB"/>
    <w:rsid w:val="00493407"/>
    <w:rsid w:val="004941FD"/>
    <w:rsid w:val="0049674A"/>
    <w:rsid w:val="0049759A"/>
    <w:rsid w:val="0049778D"/>
    <w:rsid w:val="00497B68"/>
    <w:rsid w:val="00497F86"/>
    <w:rsid w:val="004A0DC7"/>
    <w:rsid w:val="004A0F11"/>
    <w:rsid w:val="004A3EAA"/>
    <w:rsid w:val="004A660C"/>
    <w:rsid w:val="004A7467"/>
    <w:rsid w:val="004A7A19"/>
    <w:rsid w:val="004A7D97"/>
    <w:rsid w:val="004B063A"/>
    <w:rsid w:val="004B0B4F"/>
    <w:rsid w:val="004B215C"/>
    <w:rsid w:val="004B25DF"/>
    <w:rsid w:val="004B2A9F"/>
    <w:rsid w:val="004B2B09"/>
    <w:rsid w:val="004B3CE0"/>
    <w:rsid w:val="004B4C42"/>
    <w:rsid w:val="004B5133"/>
    <w:rsid w:val="004B60F2"/>
    <w:rsid w:val="004B613B"/>
    <w:rsid w:val="004B6561"/>
    <w:rsid w:val="004C1EE2"/>
    <w:rsid w:val="004C2902"/>
    <w:rsid w:val="004C303E"/>
    <w:rsid w:val="004C41B6"/>
    <w:rsid w:val="004C42F1"/>
    <w:rsid w:val="004C5A05"/>
    <w:rsid w:val="004C6B11"/>
    <w:rsid w:val="004C6DC9"/>
    <w:rsid w:val="004D1877"/>
    <w:rsid w:val="004D6E37"/>
    <w:rsid w:val="004D7B7B"/>
    <w:rsid w:val="004D7DC3"/>
    <w:rsid w:val="004E00EA"/>
    <w:rsid w:val="004E2795"/>
    <w:rsid w:val="004E2C1F"/>
    <w:rsid w:val="004E3582"/>
    <w:rsid w:val="004E4A4B"/>
    <w:rsid w:val="004E5FB3"/>
    <w:rsid w:val="004E6ABC"/>
    <w:rsid w:val="004E6B14"/>
    <w:rsid w:val="004F0013"/>
    <w:rsid w:val="004F0F0E"/>
    <w:rsid w:val="004F1DC8"/>
    <w:rsid w:val="004F328C"/>
    <w:rsid w:val="004F3CC2"/>
    <w:rsid w:val="004F4B92"/>
    <w:rsid w:val="004F5B53"/>
    <w:rsid w:val="004F5BBB"/>
    <w:rsid w:val="004F77F8"/>
    <w:rsid w:val="00501B6C"/>
    <w:rsid w:val="00501CD0"/>
    <w:rsid w:val="00502A06"/>
    <w:rsid w:val="00502A9D"/>
    <w:rsid w:val="00503B7E"/>
    <w:rsid w:val="005040F4"/>
    <w:rsid w:val="00505F21"/>
    <w:rsid w:val="00506A2A"/>
    <w:rsid w:val="005076FD"/>
    <w:rsid w:val="00512612"/>
    <w:rsid w:val="00512678"/>
    <w:rsid w:val="005147DE"/>
    <w:rsid w:val="005153AC"/>
    <w:rsid w:val="00515ADF"/>
    <w:rsid w:val="00516785"/>
    <w:rsid w:val="00516DE7"/>
    <w:rsid w:val="005227BB"/>
    <w:rsid w:val="0052419D"/>
    <w:rsid w:val="0052555B"/>
    <w:rsid w:val="005263B9"/>
    <w:rsid w:val="00526D7C"/>
    <w:rsid w:val="0052720B"/>
    <w:rsid w:val="0053011C"/>
    <w:rsid w:val="005301F8"/>
    <w:rsid w:val="00530A51"/>
    <w:rsid w:val="005312FC"/>
    <w:rsid w:val="0053254C"/>
    <w:rsid w:val="00532C6D"/>
    <w:rsid w:val="00532FA6"/>
    <w:rsid w:val="005334A7"/>
    <w:rsid w:val="005339DC"/>
    <w:rsid w:val="0053569E"/>
    <w:rsid w:val="0053603D"/>
    <w:rsid w:val="005370F0"/>
    <w:rsid w:val="0053742A"/>
    <w:rsid w:val="00537C85"/>
    <w:rsid w:val="005414C8"/>
    <w:rsid w:val="00541D29"/>
    <w:rsid w:val="00541FAD"/>
    <w:rsid w:val="00543F23"/>
    <w:rsid w:val="005455D8"/>
    <w:rsid w:val="00550B9C"/>
    <w:rsid w:val="0055176E"/>
    <w:rsid w:val="00553550"/>
    <w:rsid w:val="00556915"/>
    <w:rsid w:val="00557066"/>
    <w:rsid w:val="00557147"/>
    <w:rsid w:val="00561188"/>
    <w:rsid w:val="005622C7"/>
    <w:rsid w:val="0056288B"/>
    <w:rsid w:val="00562F17"/>
    <w:rsid w:val="00563A5B"/>
    <w:rsid w:val="00565035"/>
    <w:rsid w:val="00565232"/>
    <w:rsid w:val="0056582C"/>
    <w:rsid w:val="005703C9"/>
    <w:rsid w:val="00571360"/>
    <w:rsid w:val="005728A6"/>
    <w:rsid w:val="005736BB"/>
    <w:rsid w:val="005744F2"/>
    <w:rsid w:val="005757AD"/>
    <w:rsid w:val="0057640D"/>
    <w:rsid w:val="00577281"/>
    <w:rsid w:val="00577471"/>
    <w:rsid w:val="005776B2"/>
    <w:rsid w:val="0058168F"/>
    <w:rsid w:val="00582567"/>
    <w:rsid w:val="00582B75"/>
    <w:rsid w:val="00583FC0"/>
    <w:rsid w:val="005840E8"/>
    <w:rsid w:val="00584119"/>
    <w:rsid w:val="00584880"/>
    <w:rsid w:val="00584F99"/>
    <w:rsid w:val="00585739"/>
    <w:rsid w:val="00585CC6"/>
    <w:rsid w:val="00586605"/>
    <w:rsid w:val="005868DE"/>
    <w:rsid w:val="00586A47"/>
    <w:rsid w:val="0058723F"/>
    <w:rsid w:val="005877AC"/>
    <w:rsid w:val="00590C79"/>
    <w:rsid w:val="00590FF8"/>
    <w:rsid w:val="00591775"/>
    <w:rsid w:val="00591BB8"/>
    <w:rsid w:val="005930D5"/>
    <w:rsid w:val="005941F2"/>
    <w:rsid w:val="00594366"/>
    <w:rsid w:val="00596452"/>
    <w:rsid w:val="005966B7"/>
    <w:rsid w:val="00597F9E"/>
    <w:rsid w:val="005A0748"/>
    <w:rsid w:val="005A1A52"/>
    <w:rsid w:val="005A3A57"/>
    <w:rsid w:val="005A5DA4"/>
    <w:rsid w:val="005A5ECB"/>
    <w:rsid w:val="005A6236"/>
    <w:rsid w:val="005B06C8"/>
    <w:rsid w:val="005B1572"/>
    <w:rsid w:val="005B3ADE"/>
    <w:rsid w:val="005B3E7D"/>
    <w:rsid w:val="005B4AB6"/>
    <w:rsid w:val="005B5E2A"/>
    <w:rsid w:val="005C02A4"/>
    <w:rsid w:val="005C20D2"/>
    <w:rsid w:val="005C272E"/>
    <w:rsid w:val="005C2F1F"/>
    <w:rsid w:val="005C3175"/>
    <w:rsid w:val="005C32FE"/>
    <w:rsid w:val="005C503A"/>
    <w:rsid w:val="005C5571"/>
    <w:rsid w:val="005C7336"/>
    <w:rsid w:val="005C7855"/>
    <w:rsid w:val="005D024A"/>
    <w:rsid w:val="005D0B86"/>
    <w:rsid w:val="005D2124"/>
    <w:rsid w:val="005D3480"/>
    <w:rsid w:val="005D4FD4"/>
    <w:rsid w:val="005D50F2"/>
    <w:rsid w:val="005D6A47"/>
    <w:rsid w:val="005D6D64"/>
    <w:rsid w:val="005E0B17"/>
    <w:rsid w:val="005E0C73"/>
    <w:rsid w:val="005E0CB7"/>
    <w:rsid w:val="005E1D2B"/>
    <w:rsid w:val="005E46BB"/>
    <w:rsid w:val="005E716D"/>
    <w:rsid w:val="005F1A4A"/>
    <w:rsid w:val="005F1E7A"/>
    <w:rsid w:val="005F28A0"/>
    <w:rsid w:val="005F5D85"/>
    <w:rsid w:val="00601650"/>
    <w:rsid w:val="00601B3F"/>
    <w:rsid w:val="00601F1D"/>
    <w:rsid w:val="00602F39"/>
    <w:rsid w:val="00603D0C"/>
    <w:rsid w:val="00603D8F"/>
    <w:rsid w:val="00604EEF"/>
    <w:rsid w:val="006057D2"/>
    <w:rsid w:val="00605AFD"/>
    <w:rsid w:val="00611705"/>
    <w:rsid w:val="00611E95"/>
    <w:rsid w:val="00611F76"/>
    <w:rsid w:val="00612194"/>
    <w:rsid w:val="006123D4"/>
    <w:rsid w:val="006137E2"/>
    <w:rsid w:val="006140EB"/>
    <w:rsid w:val="0061445B"/>
    <w:rsid w:val="00614606"/>
    <w:rsid w:val="00614AA1"/>
    <w:rsid w:val="00620F96"/>
    <w:rsid w:val="00621FA1"/>
    <w:rsid w:val="0062360A"/>
    <w:rsid w:val="00623B77"/>
    <w:rsid w:val="00624C4B"/>
    <w:rsid w:val="00624FDB"/>
    <w:rsid w:val="00630F8D"/>
    <w:rsid w:val="00631846"/>
    <w:rsid w:val="00632A24"/>
    <w:rsid w:val="0063470B"/>
    <w:rsid w:val="00634E54"/>
    <w:rsid w:val="0063616C"/>
    <w:rsid w:val="006362A0"/>
    <w:rsid w:val="00636E3F"/>
    <w:rsid w:val="006371C6"/>
    <w:rsid w:val="00640E36"/>
    <w:rsid w:val="00642178"/>
    <w:rsid w:val="00642BED"/>
    <w:rsid w:val="00644157"/>
    <w:rsid w:val="006469CC"/>
    <w:rsid w:val="00647692"/>
    <w:rsid w:val="006513A5"/>
    <w:rsid w:val="00651903"/>
    <w:rsid w:val="00654CFB"/>
    <w:rsid w:val="00656F57"/>
    <w:rsid w:val="006572BF"/>
    <w:rsid w:val="00657DF9"/>
    <w:rsid w:val="00661298"/>
    <w:rsid w:val="00661E2A"/>
    <w:rsid w:val="00663B51"/>
    <w:rsid w:val="00665BDA"/>
    <w:rsid w:val="00667FEE"/>
    <w:rsid w:val="00670FAC"/>
    <w:rsid w:val="00671AE2"/>
    <w:rsid w:val="00672B5D"/>
    <w:rsid w:val="0067399C"/>
    <w:rsid w:val="0067622C"/>
    <w:rsid w:val="006773D9"/>
    <w:rsid w:val="0067754D"/>
    <w:rsid w:val="006812FC"/>
    <w:rsid w:val="006814C9"/>
    <w:rsid w:val="00682249"/>
    <w:rsid w:val="006830C0"/>
    <w:rsid w:val="00683C8F"/>
    <w:rsid w:val="00684B85"/>
    <w:rsid w:val="0068535C"/>
    <w:rsid w:val="00685CF7"/>
    <w:rsid w:val="00685DBE"/>
    <w:rsid w:val="00686165"/>
    <w:rsid w:val="00691CB5"/>
    <w:rsid w:val="006923DF"/>
    <w:rsid w:val="00692862"/>
    <w:rsid w:val="006939A4"/>
    <w:rsid w:val="00694BF4"/>
    <w:rsid w:val="006967D0"/>
    <w:rsid w:val="00697734"/>
    <w:rsid w:val="006A22A8"/>
    <w:rsid w:val="006A37F5"/>
    <w:rsid w:val="006A3DA9"/>
    <w:rsid w:val="006A64DC"/>
    <w:rsid w:val="006A660E"/>
    <w:rsid w:val="006A6E81"/>
    <w:rsid w:val="006B0A1F"/>
    <w:rsid w:val="006B2908"/>
    <w:rsid w:val="006B2EAB"/>
    <w:rsid w:val="006B38FF"/>
    <w:rsid w:val="006B4F23"/>
    <w:rsid w:val="006B7465"/>
    <w:rsid w:val="006C0001"/>
    <w:rsid w:val="006C052B"/>
    <w:rsid w:val="006C0F64"/>
    <w:rsid w:val="006C1892"/>
    <w:rsid w:val="006C20A9"/>
    <w:rsid w:val="006C3A25"/>
    <w:rsid w:val="006C495A"/>
    <w:rsid w:val="006C5B73"/>
    <w:rsid w:val="006C645D"/>
    <w:rsid w:val="006C69A7"/>
    <w:rsid w:val="006C7590"/>
    <w:rsid w:val="006C7961"/>
    <w:rsid w:val="006C7BFE"/>
    <w:rsid w:val="006D1DFF"/>
    <w:rsid w:val="006D2135"/>
    <w:rsid w:val="006D50E9"/>
    <w:rsid w:val="006D64C9"/>
    <w:rsid w:val="006D7022"/>
    <w:rsid w:val="006E080F"/>
    <w:rsid w:val="006E2D2A"/>
    <w:rsid w:val="006E36C6"/>
    <w:rsid w:val="006E3CC3"/>
    <w:rsid w:val="006E4A0D"/>
    <w:rsid w:val="006F0276"/>
    <w:rsid w:val="006F07C5"/>
    <w:rsid w:val="006F2D92"/>
    <w:rsid w:val="006F31B2"/>
    <w:rsid w:val="006F4FD9"/>
    <w:rsid w:val="006F58DD"/>
    <w:rsid w:val="007034AC"/>
    <w:rsid w:val="00703C87"/>
    <w:rsid w:val="00704F7D"/>
    <w:rsid w:val="00705233"/>
    <w:rsid w:val="00705B34"/>
    <w:rsid w:val="00706E8E"/>
    <w:rsid w:val="007078BC"/>
    <w:rsid w:val="00707B38"/>
    <w:rsid w:val="0071305C"/>
    <w:rsid w:val="0071589D"/>
    <w:rsid w:val="00716CD5"/>
    <w:rsid w:val="00717989"/>
    <w:rsid w:val="007208DB"/>
    <w:rsid w:val="007210B4"/>
    <w:rsid w:val="007223B8"/>
    <w:rsid w:val="00722B53"/>
    <w:rsid w:val="00723C1A"/>
    <w:rsid w:val="00724C6A"/>
    <w:rsid w:val="007259B8"/>
    <w:rsid w:val="00726139"/>
    <w:rsid w:val="00726A0B"/>
    <w:rsid w:val="00730E95"/>
    <w:rsid w:val="007310C0"/>
    <w:rsid w:val="00732B4C"/>
    <w:rsid w:val="00733750"/>
    <w:rsid w:val="00733A5E"/>
    <w:rsid w:val="00742366"/>
    <w:rsid w:val="00742AAD"/>
    <w:rsid w:val="00744484"/>
    <w:rsid w:val="0074505B"/>
    <w:rsid w:val="007451BB"/>
    <w:rsid w:val="007462D5"/>
    <w:rsid w:val="00746A37"/>
    <w:rsid w:val="007509DD"/>
    <w:rsid w:val="00750A1A"/>
    <w:rsid w:val="007528B4"/>
    <w:rsid w:val="007532FA"/>
    <w:rsid w:val="007545BF"/>
    <w:rsid w:val="007548B5"/>
    <w:rsid w:val="00763474"/>
    <w:rsid w:val="00764971"/>
    <w:rsid w:val="00766184"/>
    <w:rsid w:val="00766745"/>
    <w:rsid w:val="00766DD3"/>
    <w:rsid w:val="00767793"/>
    <w:rsid w:val="00772335"/>
    <w:rsid w:val="00772609"/>
    <w:rsid w:val="00776AC7"/>
    <w:rsid w:val="00777817"/>
    <w:rsid w:val="00781253"/>
    <w:rsid w:val="007814D7"/>
    <w:rsid w:val="00781C31"/>
    <w:rsid w:val="0078257B"/>
    <w:rsid w:val="00783D75"/>
    <w:rsid w:val="00784C0A"/>
    <w:rsid w:val="00785C1C"/>
    <w:rsid w:val="00790307"/>
    <w:rsid w:val="00790447"/>
    <w:rsid w:val="00790A24"/>
    <w:rsid w:val="00791396"/>
    <w:rsid w:val="007920D5"/>
    <w:rsid w:val="00792415"/>
    <w:rsid w:val="00793BD9"/>
    <w:rsid w:val="00793DCF"/>
    <w:rsid w:val="00794B40"/>
    <w:rsid w:val="00796E26"/>
    <w:rsid w:val="007A1079"/>
    <w:rsid w:val="007A186F"/>
    <w:rsid w:val="007A1F77"/>
    <w:rsid w:val="007A4398"/>
    <w:rsid w:val="007B0F59"/>
    <w:rsid w:val="007B1E33"/>
    <w:rsid w:val="007B2634"/>
    <w:rsid w:val="007B2677"/>
    <w:rsid w:val="007B388C"/>
    <w:rsid w:val="007B50BE"/>
    <w:rsid w:val="007B5B70"/>
    <w:rsid w:val="007B6436"/>
    <w:rsid w:val="007B7066"/>
    <w:rsid w:val="007B70B1"/>
    <w:rsid w:val="007B76AB"/>
    <w:rsid w:val="007C02CD"/>
    <w:rsid w:val="007C21A7"/>
    <w:rsid w:val="007C5858"/>
    <w:rsid w:val="007C5ACB"/>
    <w:rsid w:val="007C7336"/>
    <w:rsid w:val="007D200D"/>
    <w:rsid w:val="007D2EA5"/>
    <w:rsid w:val="007D4116"/>
    <w:rsid w:val="007D4725"/>
    <w:rsid w:val="007D4AC3"/>
    <w:rsid w:val="007D54A9"/>
    <w:rsid w:val="007D592B"/>
    <w:rsid w:val="007D5AA6"/>
    <w:rsid w:val="007D7943"/>
    <w:rsid w:val="007D7A91"/>
    <w:rsid w:val="007D7D31"/>
    <w:rsid w:val="007E1EA2"/>
    <w:rsid w:val="007E366D"/>
    <w:rsid w:val="007E4764"/>
    <w:rsid w:val="007E6456"/>
    <w:rsid w:val="007E7AC2"/>
    <w:rsid w:val="007F2A6D"/>
    <w:rsid w:val="007F2DB4"/>
    <w:rsid w:val="007F4DAF"/>
    <w:rsid w:val="007F5010"/>
    <w:rsid w:val="007F6578"/>
    <w:rsid w:val="007F7029"/>
    <w:rsid w:val="007F7F33"/>
    <w:rsid w:val="0080194A"/>
    <w:rsid w:val="00803456"/>
    <w:rsid w:val="00803D76"/>
    <w:rsid w:val="008045F7"/>
    <w:rsid w:val="00806B2D"/>
    <w:rsid w:val="00811943"/>
    <w:rsid w:val="00815C81"/>
    <w:rsid w:val="00823F4F"/>
    <w:rsid w:val="00824E76"/>
    <w:rsid w:val="0082586E"/>
    <w:rsid w:val="00825DA6"/>
    <w:rsid w:val="00825F99"/>
    <w:rsid w:val="008274E8"/>
    <w:rsid w:val="00830B9C"/>
    <w:rsid w:val="008311B8"/>
    <w:rsid w:val="00833019"/>
    <w:rsid w:val="00833BB8"/>
    <w:rsid w:val="00834243"/>
    <w:rsid w:val="0083497F"/>
    <w:rsid w:val="00834DB4"/>
    <w:rsid w:val="0083666F"/>
    <w:rsid w:val="008374C4"/>
    <w:rsid w:val="00837F8E"/>
    <w:rsid w:val="0084025C"/>
    <w:rsid w:val="0084342A"/>
    <w:rsid w:val="00850D12"/>
    <w:rsid w:val="00851817"/>
    <w:rsid w:val="008544EA"/>
    <w:rsid w:val="008548E5"/>
    <w:rsid w:val="008552E9"/>
    <w:rsid w:val="008553D7"/>
    <w:rsid w:val="00856217"/>
    <w:rsid w:val="00856487"/>
    <w:rsid w:val="00857668"/>
    <w:rsid w:val="00857969"/>
    <w:rsid w:val="0086181A"/>
    <w:rsid w:val="00865F00"/>
    <w:rsid w:val="00867A09"/>
    <w:rsid w:val="00867CE9"/>
    <w:rsid w:val="00870473"/>
    <w:rsid w:val="0087098B"/>
    <w:rsid w:val="00870BE4"/>
    <w:rsid w:val="008714D1"/>
    <w:rsid w:val="00871C8D"/>
    <w:rsid w:val="00872765"/>
    <w:rsid w:val="00872B5D"/>
    <w:rsid w:val="0087358D"/>
    <w:rsid w:val="0087538F"/>
    <w:rsid w:val="00875AC8"/>
    <w:rsid w:val="00876AB5"/>
    <w:rsid w:val="00876B84"/>
    <w:rsid w:val="00882245"/>
    <w:rsid w:val="00882CC4"/>
    <w:rsid w:val="00882F0C"/>
    <w:rsid w:val="008844AC"/>
    <w:rsid w:val="00884926"/>
    <w:rsid w:val="00885CB6"/>
    <w:rsid w:val="0088666B"/>
    <w:rsid w:val="00890349"/>
    <w:rsid w:val="008913AD"/>
    <w:rsid w:val="0089230E"/>
    <w:rsid w:val="00892645"/>
    <w:rsid w:val="008931FB"/>
    <w:rsid w:val="00893A5A"/>
    <w:rsid w:val="00896780"/>
    <w:rsid w:val="00896E57"/>
    <w:rsid w:val="00897735"/>
    <w:rsid w:val="00897F46"/>
    <w:rsid w:val="008A001B"/>
    <w:rsid w:val="008A1B2D"/>
    <w:rsid w:val="008A4AA0"/>
    <w:rsid w:val="008A798E"/>
    <w:rsid w:val="008B1362"/>
    <w:rsid w:val="008B7230"/>
    <w:rsid w:val="008B7DC4"/>
    <w:rsid w:val="008C0473"/>
    <w:rsid w:val="008C1468"/>
    <w:rsid w:val="008C1BBB"/>
    <w:rsid w:val="008C214C"/>
    <w:rsid w:val="008C2BF1"/>
    <w:rsid w:val="008C422E"/>
    <w:rsid w:val="008C4B22"/>
    <w:rsid w:val="008C6B08"/>
    <w:rsid w:val="008C6EA6"/>
    <w:rsid w:val="008C72D7"/>
    <w:rsid w:val="008C7F71"/>
    <w:rsid w:val="008D0043"/>
    <w:rsid w:val="008D0D4A"/>
    <w:rsid w:val="008D2DD8"/>
    <w:rsid w:val="008D339F"/>
    <w:rsid w:val="008D43B4"/>
    <w:rsid w:val="008D6C15"/>
    <w:rsid w:val="008D7A6F"/>
    <w:rsid w:val="008E4C44"/>
    <w:rsid w:val="008E6292"/>
    <w:rsid w:val="008E73A3"/>
    <w:rsid w:val="008E7486"/>
    <w:rsid w:val="008F05D7"/>
    <w:rsid w:val="008F23EB"/>
    <w:rsid w:val="008F42BE"/>
    <w:rsid w:val="008F43BD"/>
    <w:rsid w:val="008F6BFD"/>
    <w:rsid w:val="00901469"/>
    <w:rsid w:val="00901C08"/>
    <w:rsid w:val="009020B3"/>
    <w:rsid w:val="00902679"/>
    <w:rsid w:val="00904B9A"/>
    <w:rsid w:val="00905C04"/>
    <w:rsid w:val="00906E61"/>
    <w:rsid w:val="00910F45"/>
    <w:rsid w:val="00912F59"/>
    <w:rsid w:val="00914616"/>
    <w:rsid w:val="00917E28"/>
    <w:rsid w:val="009213AE"/>
    <w:rsid w:val="0092283A"/>
    <w:rsid w:val="0092308D"/>
    <w:rsid w:val="00923216"/>
    <w:rsid w:val="009250E6"/>
    <w:rsid w:val="00925AA5"/>
    <w:rsid w:val="0092714B"/>
    <w:rsid w:val="00927422"/>
    <w:rsid w:val="0093337D"/>
    <w:rsid w:val="00934E9A"/>
    <w:rsid w:val="0093540D"/>
    <w:rsid w:val="00936387"/>
    <w:rsid w:val="0094019D"/>
    <w:rsid w:val="00942C11"/>
    <w:rsid w:val="0094351F"/>
    <w:rsid w:val="00945FC1"/>
    <w:rsid w:val="009470B8"/>
    <w:rsid w:val="009524B6"/>
    <w:rsid w:val="00952FA5"/>
    <w:rsid w:val="009547F8"/>
    <w:rsid w:val="00954C9C"/>
    <w:rsid w:val="009571AC"/>
    <w:rsid w:val="00957814"/>
    <w:rsid w:val="00957E31"/>
    <w:rsid w:val="009613BE"/>
    <w:rsid w:val="0096194B"/>
    <w:rsid w:val="00962ACF"/>
    <w:rsid w:val="00965032"/>
    <w:rsid w:val="0096629C"/>
    <w:rsid w:val="0097179E"/>
    <w:rsid w:val="0097186D"/>
    <w:rsid w:val="009729D4"/>
    <w:rsid w:val="00972C79"/>
    <w:rsid w:val="00972C9C"/>
    <w:rsid w:val="009736FB"/>
    <w:rsid w:val="009775CB"/>
    <w:rsid w:val="00977E4E"/>
    <w:rsid w:val="00980455"/>
    <w:rsid w:val="00980759"/>
    <w:rsid w:val="009810FA"/>
    <w:rsid w:val="009817B0"/>
    <w:rsid w:val="009821CE"/>
    <w:rsid w:val="009822F9"/>
    <w:rsid w:val="009833F4"/>
    <w:rsid w:val="0098670E"/>
    <w:rsid w:val="009870A5"/>
    <w:rsid w:val="0098723D"/>
    <w:rsid w:val="00990B8E"/>
    <w:rsid w:val="00992C3A"/>
    <w:rsid w:val="00992C64"/>
    <w:rsid w:val="0099455F"/>
    <w:rsid w:val="00994E70"/>
    <w:rsid w:val="00995154"/>
    <w:rsid w:val="009955DF"/>
    <w:rsid w:val="00996673"/>
    <w:rsid w:val="00997635"/>
    <w:rsid w:val="009A277C"/>
    <w:rsid w:val="009A309D"/>
    <w:rsid w:val="009A5642"/>
    <w:rsid w:val="009A658F"/>
    <w:rsid w:val="009A65CD"/>
    <w:rsid w:val="009A66BD"/>
    <w:rsid w:val="009B088F"/>
    <w:rsid w:val="009B12F4"/>
    <w:rsid w:val="009B2249"/>
    <w:rsid w:val="009B2EC1"/>
    <w:rsid w:val="009B3DAA"/>
    <w:rsid w:val="009B4656"/>
    <w:rsid w:val="009B7A50"/>
    <w:rsid w:val="009C275D"/>
    <w:rsid w:val="009C3504"/>
    <w:rsid w:val="009C4692"/>
    <w:rsid w:val="009C469B"/>
    <w:rsid w:val="009C5401"/>
    <w:rsid w:val="009C6BA2"/>
    <w:rsid w:val="009D0938"/>
    <w:rsid w:val="009D2C05"/>
    <w:rsid w:val="009D2CFF"/>
    <w:rsid w:val="009D59FD"/>
    <w:rsid w:val="009D6539"/>
    <w:rsid w:val="009D6F04"/>
    <w:rsid w:val="009D71D5"/>
    <w:rsid w:val="009D7226"/>
    <w:rsid w:val="009E04E4"/>
    <w:rsid w:val="009E0BD0"/>
    <w:rsid w:val="009E0CA5"/>
    <w:rsid w:val="009E110A"/>
    <w:rsid w:val="009E1412"/>
    <w:rsid w:val="009E171B"/>
    <w:rsid w:val="009E1CEE"/>
    <w:rsid w:val="009E2C07"/>
    <w:rsid w:val="009E3403"/>
    <w:rsid w:val="009E3A72"/>
    <w:rsid w:val="009E495C"/>
    <w:rsid w:val="009E49E3"/>
    <w:rsid w:val="009E5A76"/>
    <w:rsid w:val="009F3B01"/>
    <w:rsid w:val="009F6B6A"/>
    <w:rsid w:val="00A00436"/>
    <w:rsid w:val="00A015E8"/>
    <w:rsid w:val="00A025FF"/>
    <w:rsid w:val="00A02A1C"/>
    <w:rsid w:val="00A030D0"/>
    <w:rsid w:val="00A044EA"/>
    <w:rsid w:val="00A05633"/>
    <w:rsid w:val="00A06280"/>
    <w:rsid w:val="00A06FEA"/>
    <w:rsid w:val="00A07CC6"/>
    <w:rsid w:val="00A07D47"/>
    <w:rsid w:val="00A10593"/>
    <w:rsid w:val="00A11D5A"/>
    <w:rsid w:val="00A12F13"/>
    <w:rsid w:val="00A12F62"/>
    <w:rsid w:val="00A136A8"/>
    <w:rsid w:val="00A13C53"/>
    <w:rsid w:val="00A14FE9"/>
    <w:rsid w:val="00A1673C"/>
    <w:rsid w:val="00A16A1E"/>
    <w:rsid w:val="00A2054E"/>
    <w:rsid w:val="00A218E1"/>
    <w:rsid w:val="00A2236A"/>
    <w:rsid w:val="00A24911"/>
    <w:rsid w:val="00A2760F"/>
    <w:rsid w:val="00A30EDD"/>
    <w:rsid w:val="00A314D1"/>
    <w:rsid w:val="00A31ED0"/>
    <w:rsid w:val="00A32208"/>
    <w:rsid w:val="00A34B6D"/>
    <w:rsid w:val="00A36F74"/>
    <w:rsid w:val="00A3749B"/>
    <w:rsid w:val="00A374E3"/>
    <w:rsid w:val="00A37D87"/>
    <w:rsid w:val="00A404B1"/>
    <w:rsid w:val="00A41225"/>
    <w:rsid w:val="00A4180A"/>
    <w:rsid w:val="00A42803"/>
    <w:rsid w:val="00A43824"/>
    <w:rsid w:val="00A476D9"/>
    <w:rsid w:val="00A500B2"/>
    <w:rsid w:val="00A504C6"/>
    <w:rsid w:val="00A505DF"/>
    <w:rsid w:val="00A50D88"/>
    <w:rsid w:val="00A51497"/>
    <w:rsid w:val="00A5156F"/>
    <w:rsid w:val="00A51B08"/>
    <w:rsid w:val="00A528DD"/>
    <w:rsid w:val="00A52D3C"/>
    <w:rsid w:val="00A54292"/>
    <w:rsid w:val="00A54654"/>
    <w:rsid w:val="00A54CDA"/>
    <w:rsid w:val="00A55885"/>
    <w:rsid w:val="00A56923"/>
    <w:rsid w:val="00A57A5D"/>
    <w:rsid w:val="00A60AF2"/>
    <w:rsid w:val="00A616BE"/>
    <w:rsid w:val="00A61A4C"/>
    <w:rsid w:val="00A625D6"/>
    <w:rsid w:val="00A62E42"/>
    <w:rsid w:val="00A63828"/>
    <w:rsid w:val="00A646DA"/>
    <w:rsid w:val="00A64A71"/>
    <w:rsid w:val="00A65143"/>
    <w:rsid w:val="00A65441"/>
    <w:rsid w:val="00A65CD3"/>
    <w:rsid w:val="00A65FE0"/>
    <w:rsid w:val="00A66825"/>
    <w:rsid w:val="00A67A1F"/>
    <w:rsid w:val="00A7134D"/>
    <w:rsid w:val="00A7236C"/>
    <w:rsid w:val="00A72960"/>
    <w:rsid w:val="00A72D8F"/>
    <w:rsid w:val="00A7408E"/>
    <w:rsid w:val="00A74456"/>
    <w:rsid w:val="00A74815"/>
    <w:rsid w:val="00A76481"/>
    <w:rsid w:val="00A76DC2"/>
    <w:rsid w:val="00A80522"/>
    <w:rsid w:val="00A822F7"/>
    <w:rsid w:val="00A8273A"/>
    <w:rsid w:val="00A86551"/>
    <w:rsid w:val="00A90143"/>
    <w:rsid w:val="00A90923"/>
    <w:rsid w:val="00A912ED"/>
    <w:rsid w:val="00A93401"/>
    <w:rsid w:val="00A9393F"/>
    <w:rsid w:val="00A94D60"/>
    <w:rsid w:val="00A952A2"/>
    <w:rsid w:val="00A954BA"/>
    <w:rsid w:val="00A9672B"/>
    <w:rsid w:val="00A96AFF"/>
    <w:rsid w:val="00A97160"/>
    <w:rsid w:val="00AA0BD0"/>
    <w:rsid w:val="00AA3C85"/>
    <w:rsid w:val="00AA3DF1"/>
    <w:rsid w:val="00AA5154"/>
    <w:rsid w:val="00AA63F3"/>
    <w:rsid w:val="00AA64C4"/>
    <w:rsid w:val="00AA6DAE"/>
    <w:rsid w:val="00AB25F2"/>
    <w:rsid w:val="00AB44A7"/>
    <w:rsid w:val="00AB4980"/>
    <w:rsid w:val="00AB56CF"/>
    <w:rsid w:val="00AB600C"/>
    <w:rsid w:val="00AB6422"/>
    <w:rsid w:val="00AB70FF"/>
    <w:rsid w:val="00AB738A"/>
    <w:rsid w:val="00AC3196"/>
    <w:rsid w:val="00AC3BA5"/>
    <w:rsid w:val="00AC4065"/>
    <w:rsid w:val="00AC64B9"/>
    <w:rsid w:val="00AC7592"/>
    <w:rsid w:val="00AC7A24"/>
    <w:rsid w:val="00AD2384"/>
    <w:rsid w:val="00AD297D"/>
    <w:rsid w:val="00AD3635"/>
    <w:rsid w:val="00AD4023"/>
    <w:rsid w:val="00AD4086"/>
    <w:rsid w:val="00AD6219"/>
    <w:rsid w:val="00AD6AD8"/>
    <w:rsid w:val="00AD7890"/>
    <w:rsid w:val="00AE20AC"/>
    <w:rsid w:val="00AE2F90"/>
    <w:rsid w:val="00AE3626"/>
    <w:rsid w:val="00AE48DB"/>
    <w:rsid w:val="00AE5DD8"/>
    <w:rsid w:val="00AF0712"/>
    <w:rsid w:val="00AF1C03"/>
    <w:rsid w:val="00AF49C7"/>
    <w:rsid w:val="00AF4A61"/>
    <w:rsid w:val="00AF4E59"/>
    <w:rsid w:val="00AF7956"/>
    <w:rsid w:val="00B035CE"/>
    <w:rsid w:val="00B037A9"/>
    <w:rsid w:val="00B03DD6"/>
    <w:rsid w:val="00B04A10"/>
    <w:rsid w:val="00B05B1C"/>
    <w:rsid w:val="00B06DCB"/>
    <w:rsid w:val="00B07F23"/>
    <w:rsid w:val="00B11393"/>
    <w:rsid w:val="00B11FB5"/>
    <w:rsid w:val="00B12F61"/>
    <w:rsid w:val="00B1320F"/>
    <w:rsid w:val="00B132EC"/>
    <w:rsid w:val="00B1452E"/>
    <w:rsid w:val="00B16813"/>
    <w:rsid w:val="00B17E83"/>
    <w:rsid w:val="00B20EB2"/>
    <w:rsid w:val="00B214C6"/>
    <w:rsid w:val="00B21940"/>
    <w:rsid w:val="00B242AE"/>
    <w:rsid w:val="00B24580"/>
    <w:rsid w:val="00B247A6"/>
    <w:rsid w:val="00B273DB"/>
    <w:rsid w:val="00B278EA"/>
    <w:rsid w:val="00B33390"/>
    <w:rsid w:val="00B3354D"/>
    <w:rsid w:val="00B33B81"/>
    <w:rsid w:val="00B3583B"/>
    <w:rsid w:val="00B37A8F"/>
    <w:rsid w:val="00B42386"/>
    <w:rsid w:val="00B43404"/>
    <w:rsid w:val="00B43D74"/>
    <w:rsid w:val="00B4641C"/>
    <w:rsid w:val="00B46E33"/>
    <w:rsid w:val="00B52776"/>
    <w:rsid w:val="00B52BF9"/>
    <w:rsid w:val="00B534B5"/>
    <w:rsid w:val="00B54AAD"/>
    <w:rsid w:val="00B55ADD"/>
    <w:rsid w:val="00B55B04"/>
    <w:rsid w:val="00B55BA8"/>
    <w:rsid w:val="00B56816"/>
    <w:rsid w:val="00B56DE9"/>
    <w:rsid w:val="00B574A1"/>
    <w:rsid w:val="00B600DC"/>
    <w:rsid w:val="00B61198"/>
    <w:rsid w:val="00B6241E"/>
    <w:rsid w:val="00B6336D"/>
    <w:rsid w:val="00B6386E"/>
    <w:rsid w:val="00B64167"/>
    <w:rsid w:val="00B6467B"/>
    <w:rsid w:val="00B65347"/>
    <w:rsid w:val="00B656DE"/>
    <w:rsid w:val="00B65854"/>
    <w:rsid w:val="00B65A44"/>
    <w:rsid w:val="00B65DE1"/>
    <w:rsid w:val="00B6625C"/>
    <w:rsid w:val="00B66783"/>
    <w:rsid w:val="00B66E82"/>
    <w:rsid w:val="00B66F09"/>
    <w:rsid w:val="00B710EE"/>
    <w:rsid w:val="00B71C11"/>
    <w:rsid w:val="00B7268B"/>
    <w:rsid w:val="00B72AF0"/>
    <w:rsid w:val="00B7312F"/>
    <w:rsid w:val="00B73368"/>
    <w:rsid w:val="00B737EB"/>
    <w:rsid w:val="00B7463D"/>
    <w:rsid w:val="00B750ED"/>
    <w:rsid w:val="00B75214"/>
    <w:rsid w:val="00B75478"/>
    <w:rsid w:val="00B75A82"/>
    <w:rsid w:val="00B765BC"/>
    <w:rsid w:val="00B76F2D"/>
    <w:rsid w:val="00B775EE"/>
    <w:rsid w:val="00B80549"/>
    <w:rsid w:val="00B82C53"/>
    <w:rsid w:val="00B850CA"/>
    <w:rsid w:val="00B87927"/>
    <w:rsid w:val="00B90C7E"/>
    <w:rsid w:val="00B915D3"/>
    <w:rsid w:val="00B931D6"/>
    <w:rsid w:val="00B93D78"/>
    <w:rsid w:val="00B97236"/>
    <w:rsid w:val="00B97308"/>
    <w:rsid w:val="00BA0509"/>
    <w:rsid w:val="00BA2C15"/>
    <w:rsid w:val="00BA3781"/>
    <w:rsid w:val="00BA593A"/>
    <w:rsid w:val="00BA5948"/>
    <w:rsid w:val="00BA5EB9"/>
    <w:rsid w:val="00BA7BFF"/>
    <w:rsid w:val="00BB00F3"/>
    <w:rsid w:val="00BB3BD8"/>
    <w:rsid w:val="00BB4A96"/>
    <w:rsid w:val="00BB5AA6"/>
    <w:rsid w:val="00BB6803"/>
    <w:rsid w:val="00BC078D"/>
    <w:rsid w:val="00BC2653"/>
    <w:rsid w:val="00BC4996"/>
    <w:rsid w:val="00BC5228"/>
    <w:rsid w:val="00BC6E69"/>
    <w:rsid w:val="00BD22D8"/>
    <w:rsid w:val="00BD238D"/>
    <w:rsid w:val="00BD26AA"/>
    <w:rsid w:val="00BD2B12"/>
    <w:rsid w:val="00BD2B62"/>
    <w:rsid w:val="00BD454F"/>
    <w:rsid w:val="00BD5021"/>
    <w:rsid w:val="00BD659D"/>
    <w:rsid w:val="00BE06AF"/>
    <w:rsid w:val="00BE1544"/>
    <w:rsid w:val="00BE200E"/>
    <w:rsid w:val="00BE2350"/>
    <w:rsid w:val="00BE3572"/>
    <w:rsid w:val="00BE368F"/>
    <w:rsid w:val="00BE4BE5"/>
    <w:rsid w:val="00BE62AB"/>
    <w:rsid w:val="00BE62F5"/>
    <w:rsid w:val="00BE7005"/>
    <w:rsid w:val="00BE79F2"/>
    <w:rsid w:val="00BE7A3B"/>
    <w:rsid w:val="00BE7EA5"/>
    <w:rsid w:val="00BF251F"/>
    <w:rsid w:val="00BF4B5D"/>
    <w:rsid w:val="00BF5D86"/>
    <w:rsid w:val="00BF669F"/>
    <w:rsid w:val="00C014AB"/>
    <w:rsid w:val="00C01CD8"/>
    <w:rsid w:val="00C01DCC"/>
    <w:rsid w:val="00C03AD3"/>
    <w:rsid w:val="00C04B70"/>
    <w:rsid w:val="00C04E92"/>
    <w:rsid w:val="00C05838"/>
    <w:rsid w:val="00C05BC6"/>
    <w:rsid w:val="00C05DC9"/>
    <w:rsid w:val="00C06A8C"/>
    <w:rsid w:val="00C10022"/>
    <w:rsid w:val="00C10133"/>
    <w:rsid w:val="00C10898"/>
    <w:rsid w:val="00C11B28"/>
    <w:rsid w:val="00C12B3F"/>
    <w:rsid w:val="00C13F5E"/>
    <w:rsid w:val="00C160EE"/>
    <w:rsid w:val="00C202B3"/>
    <w:rsid w:val="00C21EE0"/>
    <w:rsid w:val="00C246CF"/>
    <w:rsid w:val="00C248B9"/>
    <w:rsid w:val="00C26EE8"/>
    <w:rsid w:val="00C27739"/>
    <w:rsid w:val="00C2779C"/>
    <w:rsid w:val="00C30297"/>
    <w:rsid w:val="00C3092F"/>
    <w:rsid w:val="00C33125"/>
    <w:rsid w:val="00C34FEC"/>
    <w:rsid w:val="00C35D88"/>
    <w:rsid w:val="00C36D3E"/>
    <w:rsid w:val="00C409B2"/>
    <w:rsid w:val="00C40C8B"/>
    <w:rsid w:val="00C411DB"/>
    <w:rsid w:val="00C42C32"/>
    <w:rsid w:val="00C439FE"/>
    <w:rsid w:val="00C44AC9"/>
    <w:rsid w:val="00C45C85"/>
    <w:rsid w:val="00C4746F"/>
    <w:rsid w:val="00C47858"/>
    <w:rsid w:val="00C47C50"/>
    <w:rsid w:val="00C47CDF"/>
    <w:rsid w:val="00C50798"/>
    <w:rsid w:val="00C508E4"/>
    <w:rsid w:val="00C50B48"/>
    <w:rsid w:val="00C517DF"/>
    <w:rsid w:val="00C5282A"/>
    <w:rsid w:val="00C53314"/>
    <w:rsid w:val="00C550AE"/>
    <w:rsid w:val="00C55155"/>
    <w:rsid w:val="00C553FF"/>
    <w:rsid w:val="00C555AC"/>
    <w:rsid w:val="00C55C19"/>
    <w:rsid w:val="00C56A3E"/>
    <w:rsid w:val="00C6005E"/>
    <w:rsid w:val="00C60B0F"/>
    <w:rsid w:val="00C613C7"/>
    <w:rsid w:val="00C625E6"/>
    <w:rsid w:val="00C62AF4"/>
    <w:rsid w:val="00C64F60"/>
    <w:rsid w:val="00C65C13"/>
    <w:rsid w:val="00C65E71"/>
    <w:rsid w:val="00C70E6F"/>
    <w:rsid w:val="00C713ED"/>
    <w:rsid w:val="00C71771"/>
    <w:rsid w:val="00C72156"/>
    <w:rsid w:val="00C72318"/>
    <w:rsid w:val="00C724E6"/>
    <w:rsid w:val="00C727FE"/>
    <w:rsid w:val="00C72BDB"/>
    <w:rsid w:val="00C747A5"/>
    <w:rsid w:val="00C75681"/>
    <w:rsid w:val="00C7574C"/>
    <w:rsid w:val="00C75D3C"/>
    <w:rsid w:val="00C76769"/>
    <w:rsid w:val="00C76CDA"/>
    <w:rsid w:val="00C779D3"/>
    <w:rsid w:val="00C80066"/>
    <w:rsid w:val="00C80CAA"/>
    <w:rsid w:val="00C82D6A"/>
    <w:rsid w:val="00C83271"/>
    <w:rsid w:val="00C8351C"/>
    <w:rsid w:val="00C85314"/>
    <w:rsid w:val="00C86B77"/>
    <w:rsid w:val="00C86D9A"/>
    <w:rsid w:val="00C87E29"/>
    <w:rsid w:val="00C920CD"/>
    <w:rsid w:val="00C922AE"/>
    <w:rsid w:val="00C94ED3"/>
    <w:rsid w:val="00C964E0"/>
    <w:rsid w:val="00C972E3"/>
    <w:rsid w:val="00C9734C"/>
    <w:rsid w:val="00C97932"/>
    <w:rsid w:val="00C97FD5"/>
    <w:rsid w:val="00CA0116"/>
    <w:rsid w:val="00CA486F"/>
    <w:rsid w:val="00CA4AE4"/>
    <w:rsid w:val="00CA4BC0"/>
    <w:rsid w:val="00CA5098"/>
    <w:rsid w:val="00CA5729"/>
    <w:rsid w:val="00CA5CA8"/>
    <w:rsid w:val="00CB0157"/>
    <w:rsid w:val="00CB2536"/>
    <w:rsid w:val="00CB25AE"/>
    <w:rsid w:val="00CB28E9"/>
    <w:rsid w:val="00CB3FDE"/>
    <w:rsid w:val="00CB5205"/>
    <w:rsid w:val="00CB646F"/>
    <w:rsid w:val="00CB7622"/>
    <w:rsid w:val="00CB77F7"/>
    <w:rsid w:val="00CC1976"/>
    <w:rsid w:val="00CC29E1"/>
    <w:rsid w:val="00CC2F27"/>
    <w:rsid w:val="00CC38AC"/>
    <w:rsid w:val="00CC559D"/>
    <w:rsid w:val="00CC65EF"/>
    <w:rsid w:val="00CC7D21"/>
    <w:rsid w:val="00CD01DB"/>
    <w:rsid w:val="00CD09A6"/>
    <w:rsid w:val="00CD0C13"/>
    <w:rsid w:val="00CD29FF"/>
    <w:rsid w:val="00CD3272"/>
    <w:rsid w:val="00CD5EE1"/>
    <w:rsid w:val="00CD5FEC"/>
    <w:rsid w:val="00CD60F0"/>
    <w:rsid w:val="00CD654B"/>
    <w:rsid w:val="00CD6B1B"/>
    <w:rsid w:val="00CD6CD8"/>
    <w:rsid w:val="00CE09C8"/>
    <w:rsid w:val="00CE1365"/>
    <w:rsid w:val="00CE13A4"/>
    <w:rsid w:val="00CE1FEF"/>
    <w:rsid w:val="00CE223E"/>
    <w:rsid w:val="00CE282F"/>
    <w:rsid w:val="00CE3559"/>
    <w:rsid w:val="00CE379D"/>
    <w:rsid w:val="00CE3CE5"/>
    <w:rsid w:val="00CE5F25"/>
    <w:rsid w:val="00CE630B"/>
    <w:rsid w:val="00CF233A"/>
    <w:rsid w:val="00CF3BF1"/>
    <w:rsid w:val="00CF3F0D"/>
    <w:rsid w:val="00CF444C"/>
    <w:rsid w:val="00CF4C7B"/>
    <w:rsid w:val="00CF6C73"/>
    <w:rsid w:val="00D00CE8"/>
    <w:rsid w:val="00D0497B"/>
    <w:rsid w:val="00D06507"/>
    <w:rsid w:val="00D06AF5"/>
    <w:rsid w:val="00D101F7"/>
    <w:rsid w:val="00D1118F"/>
    <w:rsid w:val="00D128C5"/>
    <w:rsid w:val="00D12B04"/>
    <w:rsid w:val="00D13D97"/>
    <w:rsid w:val="00D13E04"/>
    <w:rsid w:val="00D145F5"/>
    <w:rsid w:val="00D146DD"/>
    <w:rsid w:val="00D1511F"/>
    <w:rsid w:val="00D1580B"/>
    <w:rsid w:val="00D15EFE"/>
    <w:rsid w:val="00D1605F"/>
    <w:rsid w:val="00D17493"/>
    <w:rsid w:val="00D179B8"/>
    <w:rsid w:val="00D21C9F"/>
    <w:rsid w:val="00D21FFD"/>
    <w:rsid w:val="00D23166"/>
    <w:rsid w:val="00D24704"/>
    <w:rsid w:val="00D26960"/>
    <w:rsid w:val="00D30087"/>
    <w:rsid w:val="00D301EB"/>
    <w:rsid w:val="00D30A16"/>
    <w:rsid w:val="00D316A1"/>
    <w:rsid w:val="00D31998"/>
    <w:rsid w:val="00D3285B"/>
    <w:rsid w:val="00D329F1"/>
    <w:rsid w:val="00D33DCB"/>
    <w:rsid w:val="00D33FC9"/>
    <w:rsid w:val="00D355F0"/>
    <w:rsid w:val="00D356CF"/>
    <w:rsid w:val="00D36988"/>
    <w:rsid w:val="00D377E4"/>
    <w:rsid w:val="00D379EC"/>
    <w:rsid w:val="00D42FC2"/>
    <w:rsid w:val="00D43AC8"/>
    <w:rsid w:val="00D457B8"/>
    <w:rsid w:val="00D47839"/>
    <w:rsid w:val="00D47F2F"/>
    <w:rsid w:val="00D5052E"/>
    <w:rsid w:val="00D50879"/>
    <w:rsid w:val="00D51610"/>
    <w:rsid w:val="00D51ECE"/>
    <w:rsid w:val="00D51EE3"/>
    <w:rsid w:val="00D54098"/>
    <w:rsid w:val="00D54F46"/>
    <w:rsid w:val="00D56113"/>
    <w:rsid w:val="00D56677"/>
    <w:rsid w:val="00D631C2"/>
    <w:rsid w:val="00D643F4"/>
    <w:rsid w:val="00D66E72"/>
    <w:rsid w:val="00D6775A"/>
    <w:rsid w:val="00D712EB"/>
    <w:rsid w:val="00D71BEA"/>
    <w:rsid w:val="00D737A4"/>
    <w:rsid w:val="00D75DB3"/>
    <w:rsid w:val="00D76D49"/>
    <w:rsid w:val="00D82303"/>
    <w:rsid w:val="00D833D9"/>
    <w:rsid w:val="00D8368E"/>
    <w:rsid w:val="00D83BD9"/>
    <w:rsid w:val="00D8428F"/>
    <w:rsid w:val="00D85497"/>
    <w:rsid w:val="00D86444"/>
    <w:rsid w:val="00D922AB"/>
    <w:rsid w:val="00D932CA"/>
    <w:rsid w:val="00D94DCF"/>
    <w:rsid w:val="00D94EAE"/>
    <w:rsid w:val="00D96CB3"/>
    <w:rsid w:val="00D97157"/>
    <w:rsid w:val="00D972D0"/>
    <w:rsid w:val="00DA0D30"/>
    <w:rsid w:val="00DA0EAC"/>
    <w:rsid w:val="00DA1098"/>
    <w:rsid w:val="00DA136B"/>
    <w:rsid w:val="00DA4B5C"/>
    <w:rsid w:val="00DA56F9"/>
    <w:rsid w:val="00DA586F"/>
    <w:rsid w:val="00DB08DA"/>
    <w:rsid w:val="00DB1CA4"/>
    <w:rsid w:val="00DB210E"/>
    <w:rsid w:val="00DB2579"/>
    <w:rsid w:val="00DB328F"/>
    <w:rsid w:val="00DB4227"/>
    <w:rsid w:val="00DB48A3"/>
    <w:rsid w:val="00DB4C30"/>
    <w:rsid w:val="00DB5E34"/>
    <w:rsid w:val="00DB7944"/>
    <w:rsid w:val="00DB7F09"/>
    <w:rsid w:val="00DC00E8"/>
    <w:rsid w:val="00DC0492"/>
    <w:rsid w:val="00DC0DEE"/>
    <w:rsid w:val="00DC1C56"/>
    <w:rsid w:val="00DC387F"/>
    <w:rsid w:val="00DC4756"/>
    <w:rsid w:val="00DC485F"/>
    <w:rsid w:val="00DC4C13"/>
    <w:rsid w:val="00DC4E32"/>
    <w:rsid w:val="00DC5E6B"/>
    <w:rsid w:val="00DC6379"/>
    <w:rsid w:val="00DC6AAD"/>
    <w:rsid w:val="00DC79F2"/>
    <w:rsid w:val="00DC7E11"/>
    <w:rsid w:val="00DD0A94"/>
    <w:rsid w:val="00DD0FA5"/>
    <w:rsid w:val="00DD14CA"/>
    <w:rsid w:val="00DD20B1"/>
    <w:rsid w:val="00DD44AA"/>
    <w:rsid w:val="00DD4F44"/>
    <w:rsid w:val="00DD6521"/>
    <w:rsid w:val="00DE1A23"/>
    <w:rsid w:val="00DE2763"/>
    <w:rsid w:val="00DE353B"/>
    <w:rsid w:val="00DE3A53"/>
    <w:rsid w:val="00DE3C77"/>
    <w:rsid w:val="00DE4091"/>
    <w:rsid w:val="00DE577F"/>
    <w:rsid w:val="00DE70F1"/>
    <w:rsid w:val="00DE75FC"/>
    <w:rsid w:val="00DE7900"/>
    <w:rsid w:val="00DF25AD"/>
    <w:rsid w:val="00DF41AC"/>
    <w:rsid w:val="00DF46FD"/>
    <w:rsid w:val="00DF6F61"/>
    <w:rsid w:val="00E00C96"/>
    <w:rsid w:val="00E02F1B"/>
    <w:rsid w:val="00E03934"/>
    <w:rsid w:val="00E03C86"/>
    <w:rsid w:val="00E047DE"/>
    <w:rsid w:val="00E04802"/>
    <w:rsid w:val="00E05A16"/>
    <w:rsid w:val="00E06420"/>
    <w:rsid w:val="00E07583"/>
    <w:rsid w:val="00E101C6"/>
    <w:rsid w:val="00E123B0"/>
    <w:rsid w:val="00E13775"/>
    <w:rsid w:val="00E16433"/>
    <w:rsid w:val="00E228D4"/>
    <w:rsid w:val="00E22D51"/>
    <w:rsid w:val="00E26C0B"/>
    <w:rsid w:val="00E26C77"/>
    <w:rsid w:val="00E27422"/>
    <w:rsid w:val="00E278DF"/>
    <w:rsid w:val="00E30AEB"/>
    <w:rsid w:val="00E31486"/>
    <w:rsid w:val="00E349A7"/>
    <w:rsid w:val="00E34F73"/>
    <w:rsid w:val="00E4228A"/>
    <w:rsid w:val="00E426F8"/>
    <w:rsid w:val="00E44132"/>
    <w:rsid w:val="00E45F5B"/>
    <w:rsid w:val="00E46257"/>
    <w:rsid w:val="00E46DCB"/>
    <w:rsid w:val="00E50E7C"/>
    <w:rsid w:val="00E51385"/>
    <w:rsid w:val="00E51545"/>
    <w:rsid w:val="00E51D9E"/>
    <w:rsid w:val="00E52446"/>
    <w:rsid w:val="00E537D1"/>
    <w:rsid w:val="00E53910"/>
    <w:rsid w:val="00E55C19"/>
    <w:rsid w:val="00E5655F"/>
    <w:rsid w:val="00E567E6"/>
    <w:rsid w:val="00E56971"/>
    <w:rsid w:val="00E56C6F"/>
    <w:rsid w:val="00E61032"/>
    <w:rsid w:val="00E61484"/>
    <w:rsid w:val="00E61638"/>
    <w:rsid w:val="00E617CC"/>
    <w:rsid w:val="00E620D9"/>
    <w:rsid w:val="00E6296D"/>
    <w:rsid w:val="00E6662D"/>
    <w:rsid w:val="00E66AAC"/>
    <w:rsid w:val="00E67BC5"/>
    <w:rsid w:val="00E7017C"/>
    <w:rsid w:val="00E711D7"/>
    <w:rsid w:val="00E72DDF"/>
    <w:rsid w:val="00E7306E"/>
    <w:rsid w:val="00E73730"/>
    <w:rsid w:val="00E7409F"/>
    <w:rsid w:val="00E74877"/>
    <w:rsid w:val="00E76512"/>
    <w:rsid w:val="00E76E3F"/>
    <w:rsid w:val="00E80214"/>
    <w:rsid w:val="00E80693"/>
    <w:rsid w:val="00E811EF"/>
    <w:rsid w:val="00E815E1"/>
    <w:rsid w:val="00E81934"/>
    <w:rsid w:val="00E83B6C"/>
    <w:rsid w:val="00E902B0"/>
    <w:rsid w:val="00E902E8"/>
    <w:rsid w:val="00E9296B"/>
    <w:rsid w:val="00E93DD2"/>
    <w:rsid w:val="00E94974"/>
    <w:rsid w:val="00E94AA2"/>
    <w:rsid w:val="00E95100"/>
    <w:rsid w:val="00E95359"/>
    <w:rsid w:val="00E95E1F"/>
    <w:rsid w:val="00E964B5"/>
    <w:rsid w:val="00E97313"/>
    <w:rsid w:val="00E97C19"/>
    <w:rsid w:val="00EA03AD"/>
    <w:rsid w:val="00EA12DD"/>
    <w:rsid w:val="00EA1BA4"/>
    <w:rsid w:val="00EA23AC"/>
    <w:rsid w:val="00EA2C82"/>
    <w:rsid w:val="00EA398F"/>
    <w:rsid w:val="00EA529B"/>
    <w:rsid w:val="00EA598A"/>
    <w:rsid w:val="00EA63EA"/>
    <w:rsid w:val="00EA68BC"/>
    <w:rsid w:val="00EA7C3D"/>
    <w:rsid w:val="00EA7DC3"/>
    <w:rsid w:val="00EB107C"/>
    <w:rsid w:val="00EB2D3C"/>
    <w:rsid w:val="00EB334D"/>
    <w:rsid w:val="00EB4B0B"/>
    <w:rsid w:val="00EB5455"/>
    <w:rsid w:val="00EB6161"/>
    <w:rsid w:val="00EB6878"/>
    <w:rsid w:val="00EB740F"/>
    <w:rsid w:val="00EB747D"/>
    <w:rsid w:val="00EC1E0E"/>
    <w:rsid w:val="00EC236D"/>
    <w:rsid w:val="00EC2CC5"/>
    <w:rsid w:val="00EC4838"/>
    <w:rsid w:val="00EC6B16"/>
    <w:rsid w:val="00EC6D99"/>
    <w:rsid w:val="00ED01F2"/>
    <w:rsid w:val="00ED0754"/>
    <w:rsid w:val="00ED261E"/>
    <w:rsid w:val="00ED39C9"/>
    <w:rsid w:val="00ED3D17"/>
    <w:rsid w:val="00ED486E"/>
    <w:rsid w:val="00ED4BDE"/>
    <w:rsid w:val="00ED5A20"/>
    <w:rsid w:val="00ED5E65"/>
    <w:rsid w:val="00EE1447"/>
    <w:rsid w:val="00EE1BF1"/>
    <w:rsid w:val="00EE4864"/>
    <w:rsid w:val="00EE5CF9"/>
    <w:rsid w:val="00EE6479"/>
    <w:rsid w:val="00EE6F6D"/>
    <w:rsid w:val="00EE7744"/>
    <w:rsid w:val="00EE790C"/>
    <w:rsid w:val="00EF03E1"/>
    <w:rsid w:val="00EF145E"/>
    <w:rsid w:val="00EF2BBB"/>
    <w:rsid w:val="00EF4842"/>
    <w:rsid w:val="00EF4CD5"/>
    <w:rsid w:val="00EF4EB5"/>
    <w:rsid w:val="00EF5135"/>
    <w:rsid w:val="00EF5CA5"/>
    <w:rsid w:val="00EF674C"/>
    <w:rsid w:val="00F0082D"/>
    <w:rsid w:val="00F015AB"/>
    <w:rsid w:val="00F025C0"/>
    <w:rsid w:val="00F02C3D"/>
    <w:rsid w:val="00F03B12"/>
    <w:rsid w:val="00F03DE1"/>
    <w:rsid w:val="00F044F1"/>
    <w:rsid w:val="00F045E0"/>
    <w:rsid w:val="00F047D0"/>
    <w:rsid w:val="00F04DE8"/>
    <w:rsid w:val="00F04F07"/>
    <w:rsid w:val="00F05FC7"/>
    <w:rsid w:val="00F06AA7"/>
    <w:rsid w:val="00F079D4"/>
    <w:rsid w:val="00F07C46"/>
    <w:rsid w:val="00F07C90"/>
    <w:rsid w:val="00F11922"/>
    <w:rsid w:val="00F13DEB"/>
    <w:rsid w:val="00F1605D"/>
    <w:rsid w:val="00F168FC"/>
    <w:rsid w:val="00F20F8A"/>
    <w:rsid w:val="00F22982"/>
    <w:rsid w:val="00F25989"/>
    <w:rsid w:val="00F25B88"/>
    <w:rsid w:val="00F262AE"/>
    <w:rsid w:val="00F26CEE"/>
    <w:rsid w:val="00F27DCE"/>
    <w:rsid w:val="00F3017F"/>
    <w:rsid w:val="00F304A4"/>
    <w:rsid w:val="00F32CBD"/>
    <w:rsid w:val="00F333DF"/>
    <w:rsid w:val="00F336B6"/>
    <w:rsid w:val="00F33DB8"/>
    <w:rsid w:val="00F35281"/>
    <w:rsid w:val="00F37043"/>
    <w:rsid w:val="00F41C26"/>
    <w:rsid w:val="00F42136"/>
    <w:rsid w:val="00F43938"/>
    <w:rsid w:val="00F45627"/>
    <w:rsid w:val="00F474A1"/>
    <w:rsid w:val="00F50694"/>
    <w:rsid w:val="00F50FE0"/>
    <w:rsid w:val="00F51D7F"/>
    <w:rsid w:val="00F5234B"/>
    <w:rsid w:val="00F556E3"/>
    <w:rsid w:val="00F5570B"/>
    <w:rsid w:val="00F55799"/>
    <w:rsid w:val="00F57BED"/>
    <w:rsid w:val="00F60198"/>
    <w:rsid w:val="00F61B9E"/>
    <w:rsid w:val="00F62472"/>
    <w:rsid w:val="00F63B8F"/>
    <w:rsid w:val="00F64750"/>
    <w:rsid w:val="00F669CD"/>
    <w:rsid w:val="00F71BC8"/>
    <w:rsid w:val="00F72421"/>
    <w:rsid w:val="00F737DB"/>
    <w:rsid w:val="00F73BCE"/>
    <w:rsid w:val="00F7613A"/>
    <w:rsid w:val="00F76D9A"/>
    <w:rsid w:val="00F82746"/>
    <w:rsid w:val="00F836F9"/>
    <w:rsid w:val="00F83DEB"/>
    <w:rsid w:val="00F845D7"/>
    <w:rsid w:val="00F867F6"/>
    <w:rsid w:val="00F87838"/>
    <w:rsid w:val="00F87E44"/>
    <w:rsid w:val="00F90C2C"/>
    <w:rsid w:val="00F91765"/>
    <w:rsid w:val="00F92279"/>
    <w:rsid w:val="00F95A7B"/>
    <w:rsid w:val="00F967DD"/>
    <w:rsid w:val="00F973FF"/>
    <w:rsid w:val="00FA141B"/>
    <w:rsid w:val="00FA17C7"/>
    <w:rsid w:val="00FA1CDF"/>
    <w:rsid w:val="00FA30A5"/>
    <w:rsid w:val="00FA4F2E"/>
    <w:rsid w:val="00FA6CF0"/>
    <w:rsid w:val="00FA75C6"/>
    <w:rsid w:val="00FB078C"/>
    <w:rsid w:val="00FB4D21"/>
    <w:rsid w:val="00FB6533"/>
    <w:rsid w:val="00FB68AC"/>
    <w:rsid w:val="00FB762B"/>
    <w:rsid w:val="00FC1899"/>
    <w:rsid w:val="00FC1DD2"/>
    <w:rsid w:val="00FC28BF"/>
    <w:rsid w:val="00FC2AAF"/>
    <w:rsid w:val="00FC2BE1"/>
    <w:rsid w:val="00FC6ADA"/>
    <w:rsid w:val="00FC7097"/>
    <w:rsid w:val="00FC7406"/>
    <w:rsid w:val="00FD4103"/>
    <w:rsid w:val="00FE0B27"/>
    <w:rsid w:val="00FE0BD2"/>
    <w:rsid w:val="00FE2F52"/>
    <w:rsid w:val="00FE46AC"/>
    <w:rsid w:val="00FE50BE"/>
    <w:rsid w:val="00FE66F7"/>
    <w:rsid w:val="00FE7048"/>
    <w:rsid w:val="00FE7767"/>
    <w:rsid w:val="00FF10B1"/>
    <w:rsid w:val="00FF179A"/>
    <w:rsid w:val="00FF38E3"/>
    <w:rsid w:val="00FF3DDE"/>
    <w:rsid w:val="00FF43A9"/>
    <w:rsid w:val="00FF57E3"/>
    <w:rsid w:val="00FF5AF6"/>
    <w:rsid w:val="00FF66D1"/>
    <w:rsid w:val="38E93813"/>
    <w:rsid w:val="3CFA0229"/>
    <w:rsid w:val="3E5DC638"/>
    <w:rsid w:val="62206FEA"/>
    <w:rsid w:val="6A4744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FC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975"/>
    <w:pPr>
      <w:spacing w:before="240" w:after="240" w:line="240" w:lineRule="auto"/>
    </w:pPr>
    <w:rPr>
      <w:rFonts w:eastAsia="Times New Roman" w:cs="Times New Roman"/>
      <w:color w:val="000000" w:themeColor="text1"/>
      <w:szCs w:val="20"/>
      <w:lang w:eastAsia="en-AU"/>
    </w:rPr>
  </w:style>
  <w:style w:type="paragraph" w:styleId="Heading1">
    <w:name w:val="heading 1"/>
    <w:basedOn w:val="HeadingBase"/>
    <w:next w:val="Normal"/>
    <w:link w:val="Heading1Char"/>
    <w:qFormat/>
    <w:rsid w:val="0039150C"/>
    <w:pPr>
      <w:spacing w:before="600" w:line="460" w:lineRule="exact"/>
      <w:outlineLvl w:val="0"/>
    </w:pPr>
    <w:rPr>
      <w:b/>
      <w:bCs w:val="0"/>
      <w:sz w:val="56"/>
    </w:rPr>
  </w:style>
  <w:style w:type="paragraph" w:styleId="Heading2">
    <w:name w:val="heading 2"/>
    <w:basedOn w:val="HeadingBase"/>
    <w:next w:val="Normal"/>
    <w:link w:val="Heading2Char"/>
    <w:qFormat/>
    <w:rsid w:val="00965032"/>
    <w:pPr>
      <w:spacing w:before="360" w:line="460" w:lineRule="exact"/>
      <w:outlineLvl w:val="1"/>
    </w:pPr>
    <w:rPr>
      <w:bCs w:val="0"/>
      <w:iCs/>
      <w:color w:val="336699" w:themeColor="text2"/>
      <w:sz w:val="40"/>
      <w:szCs w:val="28"/>
    </w:rPr>
  </w:style>
  <w:style w:type="paragraph" w:styleId="Heading3">
    <w:name w:val="heading 3"/>
    <w:basedOn w:val="HeadingBase"/>
    <w:next w:val="Normal"/>
    <w:link w:val="Heading3Char"/>
    <w:qFormat/>
    <w:rsid w:val="00F5234B"/>
    <w:pPr>
      <w:spacing w:before="320" w:line="276" w:lineRule="auto"/>
      <w:outlineLvl w:val="2"/>
    </w:pPr>
    <w:rPr>
      <w:bCs w:val="0"/>
      <w:color w:val="316757" w:themeColor="accent3" w:themeShade="80"/>
      <w:sz w:val="32"/>
      <w:szCs w:val="26"/>
    </w:rPr>
  </w:style>
  <w:style w:type="paragraph" w:styleId="Heading4">
    <w:name w:val="heading 4"/>
    <w:basedOn w:val="HeadingBase"/>
    <w:next w:val="Normal"/>
    <w:link w:val="Heading4Char"/>
    <w:qFormat/>
    <w:rsid w:val="0039150C"/>
    <w:pPr>
      <w:spacing w:before="280" w:line="276" w:lineRule="auto"/>
      <w:outlineLvl w:val="3"/>
    </w:pPr>
    <w:rPr>
      <w:rFonts w:ascii="Calibri Light" w:hAnsi="Calibri Light"/>
      <w:b/>
      <w:bCs w:val="0"/>
      <w:sz w:val="28"/>
      <w:szCs w:val="26"/>
    </w:rPr>
  </w:style>
  <w:style w:type="paragraph" w:styleId="Heading5">
    <w:name w:val="heading 5"/>
    <w:basedOn w:val="HeadingBase"/>
    <w:next w:val="Normal"/>
    <w:link w:val="Heading5Char"/>
    <w:rsid w:val="00296BB1"/>
    <w:pPr>
      <w:spacing w:before="240" w:after="0" w:line="276" w:lineRule="auto"/>
      <w:outlineLvl w:val="4"/>
    </w:pPr>
    <w:rPr>
      <w:bCs w:val="0"/>
      <w:iCs/>
      <w:color w:val="2683C6" w:themeColor="accent6"/>
      <w:sz w:val="25"/>
    </w:rPr>
  </w:style>
  <w:style w:type="paragraph" w:styleId="Heading6">
    <w:name w:val="heading 6"/>
    <w:basedOn w:val="HeadingBase"/>
    <w:next w:val="Normal"/>
    <w:link w:val="Heading6Char"/>
    <w:rsid w:val="00296BB1"/>
    <w:pPr>
      <w:spacing w:before="240" w:after="0" w:line="276" w:lineRule="auto"/>
      <w:outlineLvl w:val="5"/>
    </w:pPr>
    <w:rPr>
      <w:rFonts w:ascii="Calibri Light" w:hAnsi="Calibri Light"/>
      <w:b/>
      <w:bCs w:val="0"/>
      <w:color w:val="84ACB6" w:themeColor="accent5"/>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150C"/>
    <w:rPr>
      <w:rFonts w:asciiTheme="majorHAnsi" w:eastAsia="Times New Roman" w:hAnsiTheme="majorHAnsi" w:cs="Arial"/>
      <w:b/>
      <w:color w:val="000000" w:themeColor="text1"/>
      <w:kern w:val="32"/>
      <w:sz w:val="56"/>
      <w:szCs w:val="36"/>
      <w:lang w:eastAsia="en-AU"/>
    </w:rPr>
  </w:style>
  <w:style w:type="character" w:customStyle="1" w:styleId="Heading2Char">
    <w:name w:val="Heading 2 Char"/>
    <w:basedOn w:val="DefaultParagraphFont"/>
    <w:link w:val="Heading2"/>
    <w:rsid w:val="00965032"/>
    <w:rPr>
      <w:rFonts w:asciiTheme="majorHAnsi" w:eastAsia="Times New Roman" w:hAnsiTheme="majorHAnsi" w:cs="Arial"/>
      <w:iCs/>
      <w:color w:val="336699" w:themeColor="text2"/>
      <w:kern w:val="32"/>
      <w:sz w:val="40"/>
      <w:szCs w:val="28"/>
      <w:lang w:eastAsia="en-AU"/>
    </w:rPr>
  </w:style>
  <w:style w:type="character" w:customStyle="1" w:styleId="Heading3Char">
    <w:name w:val="Heading 3 Char"/>
    <w:basedOn w:val="DefaultParagraphFont"/>
    <w:link w:val="Heading3"/>
    <w:rsid w:val="00F5234B"/>
    <w:rPr>
      <w:rFonts w:asciiTheme="majorHAnsi" w:eastAsia="Times New Roman" w:hAnsiTheme="majorHAnsi" w:cs="Arial"/>
      <w:color w:val="316757" w:themeColor="accent3" w:themeShade="80"/>
      <w:kern w:val="32"/>
      <w:sz w:val="32"/>
      <w:szCs w:val="26"/>
      <w:lang w:eastAsia="en-AU"/>
    </w:rPr>
  </w:style>
  <w:style w:type="character" w:customStyle="1" w:styleId="Heading4Char">
    <w:name w:val="Heading 4 Char"/>
    <w:basedOn w:val="DefaultParagraphFont"/>
    <w:link w:val="Heading4"/>
    <w:rsid w:val="0039150C"/>
    <w:rPr>
      <w:rFonts w:ascii="Calibri Light" w:eastAsia="Times New Roman" w:hAnsi="Calibri Light" w:cs="Arial"/>
      <w:b/>
      <w:color w:val="000000" w:themeColor="text1"/>
      <w:kern w:val="32"/>
      <w:sz w:val="28"/>
      <w:szCs w:val="26"/>
      <w:lang w:eastAsia="en-AU"/>
    </w:rPr>
  </w:style>
  <w:style w:type="character" w:customStyle="1" w:styleId="Heading5Char">
    <w:name w:val="Heading 5 Char"/>
    <w:basedOn w:val="DefaultParagraphFont"/>
    <w:link w:val="Heading5"/>
    <w:rsid w:val="00296BB1"/>
    <w:rPr>
      <w:rFonts w:asciiTheme="majorHAnsi" w:eastAsia="Times New Roman" w:hAnsiTheme="majorHAnsi" w:cs="Arial"/>
      <w:iCs/>
      <w:color w:val="2683C6" w:themeColor="accent6"/>
      <w:kern w:val="32"/>
      <w:sz w:val="25"/>
      <w:szCs w:val="36"/>
      <w:lang w:eastAsia="en-AU"/>
    </w:rPr>
  </w:style>
  <w:style w:type="character" w:customStyle="1" w:styleId="Heading6Char">
    <w:name w:val="Heading 6 Char"/>
    <w:basedOn w:val="DefaultParagraphFont"/>
    <w:link w:val="Heading6"/>
    <w:rsid w:val="00296BB1"/>
    <w:rPr>
      <w:rFonts w:ascii="Calibri Light" w:eastAsia="Times New Roman" w:hAnsi="Calibri Light" w:cs="Arial"/>
      <w:b/>
      <w:color w:val="84ACB6" w:themeColor="accent5"/>
      <w:kern w:val="32"/>
      <w:sz w:val="23"/>
      <w:lang w:eastAsia="en-AU"/>
    </w:rPr>
  </w:style>
  <w:style w:type="paragraph" w:customStyle="1" w:styleId="ChartGraphic">
    <w:name w:val="Chart Graphic"/>
    <w:basedOn w:val="Normal"/>
    <w:next w:val="Normal"/>
    <w:rsid w:val="009250E6"/>
    <w:pPr>
      <w:keepNext/>
      <w:spacing w:before="0" w:after="0"/>
      <w:jc w:val="center"/>
    </w:pPr>
    <w:rPr>
      <w:color w:val="2683C6" w:themeColor="accent6"/>
      <w:sz w:val="20"/>
    </w:rPr>
  </w:style>
  <w:style w:type="paragraph" w:customStyle="1" w:styleId="AlphaParagraph">
    <w:name w:val="Alpha Paragraph"/>
    <w:basedOn w:val="Normal"/>
    <w:qFormat/>
    <w:rsid w:val="000E0B74"/>
    <w:pPr>
      <w:numPr>
        <w:ilvl w:val="1"/>
        <w:numId w:val="10"/>
      </w:numPr>
      <w:spacing w:before="0"/>
    </w:pPr>
  </w:style>
  <w:style w:type="character" w:customStyle="1" w:styleId="DashChar">
    <w:name w:val="Dash Char"/>
    <w:basedOn w:val="DefaultParagraphFont"/>
    <w:link w:val="Dash"/>
    <w:locked/>
    <w:rsid w:val="00D54098"/>
    <w:rPr>
      <w:rFonts w:eastAsia="Times New Roman" w:cs="Times New Roman"/>
      <w:color w:val="000000" w:themeColor="text1"/>
      <w:szCs w:val="20"/>
      <w:lang w:eastAsia="en-AU"/>
    </w:rPr>
  </w:style>
  <w:style w:type="character" w:customStyle="1" w:styleId="DoubleDotChar">
    <w:name w:val="Double Dot Char"/>
    <w:basedOn w:val="DefaultParagraphFont"/>
    <w:link w:val="DoubleDot"/>
    <w:locked/>
    <w:rsid w:val="00D54098"/>
    <w:rPr>
      <w:rFonts w:eastAsia="Times New Roman" w:cs="Times New Roman"/>
      <w:color w:val="000000" w:themeColor="text1"/>
      <w:szCs w:val="20"/>
      <w:lang w:eastAsia="en-AU"/>
    </w:rPr>
  </w:style>
  <w:style w:type="character" w:customStyle="1" w:styleId="BulletChar">
    <w:name w:val="Bullet Char"/>
    <w:basedOn w:val="DefaultParagraphFont"/>
    <w:link w:val="Bullet"/>
    <w:locked/>
    <w:rsid w:val="00D54098"/>
    <w:rPr>
      <w:rFonts w:eastAsia="Times New Roman" w:cs="Times New Roman"/>
      <w:color w:val="000000" w:themeColor="text1"/>
      <w:szCs w:val="20"/>
      <w:lang w:eastAsia="en-AU"/>
    </w:rPr>
  </w:style>
  <w:style w:type="paragraph" w:customStyle="1" w:styleId="BoxHeading">
    <w:name w:val="Box Heading"/>
    <w:basedOn w:val="Normal"/>
    <w:next w:val="Normal"/>
    <w:rsid w:val="00565232"/>
    <w:pPr>
      <w:keepNext/>
      <w:spacing w:before="120"/>
    </w:pPr>
    <w:rPr>
      <w:b/>
      <w:sz w:val="26"/>
      <w:szCs w:val="26"/>
    </w:rPr>
  </w:style>
  <w:style w:type="paragraph" w:customStyle="1" w:styleId="BoxText">
    <w:name w:val="Box Text"/>
    <w:basedOn w:val="Normal"/>
    <w:link w:val="BoxTextChar"/>
    <w:rsid w:val="00A65143"/>
    <w:pPr>
      <w:spacing w:before="120" w:after="120"/>
    </w:pPr>
    <w:rPr>
      <w:sz w:val="20"/>
    </w:rPr>
  </w:style>
  <w:style w:type="paragraph" w:customStyle="1" w:styleId="Bullet">
    <w:name w:val="Bullet"/>
    <w:basedOn w:val="Normal"/>
    <w:link w:val="BulletChar"/>
    <w:qFormat/>
    <w:rsid w:val="00D54098"/>
    <w:pPr>
      <w:numPr>
        <w:numId w:val="19"/>
      </w:numPr>
      <w:spacing w:before="120" w:after="60" w:line="276" w:lineRule="auto"/>
    </w:pPr>
  </w:style>
  <w:style w:type="paragraph" w:customStyle="1" w:styleId="ChartandTableFootnoteAlpha">
    <w:name w:val="Chart and Table Footnote Alpha"/>
    <w:rsid w:val="0039150C"/>
    <w:pPr>
      <w:numPr>
        <w:numId w:val="7"/>
      </w:numPr>
      <w:tabs>
        <w:tab w:val="num" w:pos="284"/>
      </w:tabs>
      <w:spacing w:before="40" w:after="40" w:line="240" w:lineRule="auto"/>
      <w:ind w:left="284" w:hanging="284"/>
      <w:contextualSpacing/>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39150C"/>
  </w:style>
  <w:style w:type="paragraph" w:customStyle="1" w:styleId="ChartorTableNote">
    <w:name w:val="Chart or Table Note"/>
    <w:next w:val="Normal"/>
    <w:rsid w:val="0039150C"/>
    <w:pPr>
      <w:spacing w:before="60" w:after="4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39150C"/>
    <w:rPr>
      <w:bCs/>
    </w:rPr>
  </w:style>
  <w:style w:type="paragraph" w:customStyle="1" w:styleId="ReportDate">
    <w:name w:val="Report Date"/>
    <w:basedOn w:val="Normal"/>
    <w:link w:val="ReportDateChar"/>
    <w:rsid w:val="009250E6"/>
    <w:pPr>
      <w:keepNext/>
      <w:spacing w:before="0" w:after="360"/>
    </w:pPr>
    <w:rPr>
      <w:color w:val="336699" w:themeColor="text2"/>
      <w:sz w:val="32"/>
    </w:rPr>
  </w:style>
  <w:style w:type="paragraph" w:customStyle="1" w:styleId="Dash">
    <w:name w:val="Dash"/>
    <w:basedOn w:val="Normal"/>
    <w:link w:val="DashChar"/>
    <w:qFormat/>
    <w:rsid w:val="00D54098"/>
    <w:pPr>
      <w:numPr>
        <w:ilvl w:val="1"/>
        <w:numId w:val="19"/>
      </w:numPr>
      <w:spacing w:before="120" w:after="120"/>
    </w:pPr>
  </w:style>
  <w:style w:type="paragraph" w:customStyle="1" w:styleId="DoubleDot">
    <w:name w:val="Double Dot"/>
    <w:basedOn w:val="Normal"/>
    <w:link w:val="DoubleDotChar"/>
    <w:qFormat/>
    <w:rsid w:val="00D54098"/>
    <w:pPr>
      <w:numPr>
        <w:ilvl w:val="2"/>
        <w:numId w:val="19"/>
      </w:numPr>
      <w:spacing w:before="120" w:after="120"/>
    </w:pPr>
  </w:style>
  <w:style w:type="paragraph" w:customStyle="1" w:styleId="TableMainHeading">
    <w:name w:val="Table Main Heading"/>
    <w:basedOn w:val="Heading3"/>
    <w:next w:val="Normal"/>
    <w:rsid w:val="00D54F46"/>
    <w:pPr>
      <w:spacing w:before="240" w:after="60"/>
      <w:outlineLvl w:val="3"/>
    </w:pPr>
    <w:rPr>
      <w:b/>
      <w:color w:val="auto"/>
      <w:sz w:val="26"/>
    </w:rPr>
  </w:style>
  <w:style w:type="paragraph" w:customStyle="1" w:styleId="FooterEven">
    <w:name w:val="Footer Even"/>
    <w:basedOn w:val="Footer"/>
    <w:rsid w:val="008A1B2D"/>
    <w:pPr>
      <w:keepNext/>
      <w:tabs>
        <w:tab w:val="clear" w:pos="4513"/>
        <w:tab w:val="clear" w:pos="9026"/>
      </w:tabs>
      <w:jc w:val="left"/>
    </w:pPr>
    <w:rPr>
      <w:noProof/>
      <w:color w:val="auto"/>
    </w:rPr>
  </w:style>
  <w:style w:type="paragraph" w:customStyle="1" w:styleId="FooterOdd">
    <w:name w:val="Footer Odd"/>
    <w:basedOn w:val="Footer"/>
    <w:rsid w:val="008A1B2D"/>
    <w:pPr>
      <w:keepNext/>
      <w:tabs>
        <w:tab w:val="clear" w:pos="4513"/>
        <w:tab w:val="clear" w:pos="9026"/>
      </w:tabs>
      <w:jc w:val="right"/>
    </w:pPr>
    <w:rPr>
      <w:color w:val="auto"/>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rsid w:val="000E0B74"/>
    <w:pPr>
      <w:numPr>
        <w:numId w:val="6"/>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39150C"/>
    <w:pPr>
      <w:keepNext/>
      <w:spacing w:before="60" w:after="60"/>
    </w:pPr>
    <w:rPr>
      <w:b/>
      <w:color w:val="84ACB6" w:themeColor="accent5"/>
      <w:sz w:val="23"/>
    </w:rPr>
  </w:style>
  <w:style w:type="paragraph" w:customStyle="1" w:styleId="TableColumnHeadingCentred">
    <w:name w:val="Table Column Heading Centred"/>
    <w:basedOn w:val="TableTextLeft"/>
    <w:rsid w:val="00296BB1"/>
    <w:pPr>
      <w:jc w:val="center"/>
    </w:pPr>
    <w:rPr>
      <w:b/>
      <w:sz w:val="20"/>
    </w:rPr>
  </w:style>
  <w:style w:type="paragraph" w:customStyle="1" w:styleId="TableColumnHeadingLeft">
    <w:name w:val="Table Column Heading Left"/>
    <w:basedOn w:val="TableTextLeft"/>
    <w:rsid w:val="00296BB1"/>
    <w:rPr>
      <w:b/>
      <w:sz w:val="20"/>
    </w:rPr>
  </w:style>
  <w:style w:type="paragraph" w:customStyle="1" w:styleId="TableColumnHeadingRight">
    <w:name w:val="Table Column Heading Right"/>
    <w:basedOn w:val="TableTextLeft"/>
    <w:rsid w:val="00296BB1"/>
    <w:pPr>
      <w:jc w:val="right"/>
    </w:pPr>
    <w:rPr>
      <w:b/>
      <w:sz w:val="20"/>
    </w:rPr>
  </w:style>
  <w:style w:type="table" w:styleId="TableGrid">
    <w:name w:val="Table Grid"/>
    <w:basedOn w:val="TableNormal"/>
    <w:uiPriority w:val="39"/>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3494BA" w:themeColor="accent1"/>
        <w:sz w:val="20"/>
      </w:rPr>
      <w:tblPr/>
      <w:tcPr>
        <w:shd w:val="clear" w:color="auto" w:fill="CEDBE6" w:themeFill="background2"/>
      </w:tcPr>
    </w:tblStylePr>
  </w:style>
  <w:style w:type="paragraph" w:customStyle="1" w:styleId="TableTextCentered">
    <w:name w:val="Table Text Centered"/>
    <w:basedOn w:val="TableTextRight"/>
    <w:rsid w:val="00296BB1"/>
    <w:pPr>
      <w:jc w:val="center"/>
    </w:pPr>
    <w:rPr>
      <w:color w:val="auto"/>
    </w:rPr>
  </w:style>
  <w:style w:type="paragraph" w:customStyle="1" w:styleId="TableTextLeft">
    <w:name w:val="Table Text Left"/>
    <w:basedOn w:val="TableTextRight"/>
    <w:rsid w:val="00296BB1"/>
    <w:pPr>
      <w:jc w:val="left"/>
    </w:pPr>
    <w:rPr>
      <w:color w:val="auto"/>
    </w:rPr>
  </w:style>
  <w:style w:type="paragraph" w:customStyle="1" w:styleId="TableTextRight">
    <w:name w:val="Table Text Right"/>
    <w:basedOn w:val="Normal"/>
    <w:rsid w:val="00296BB1"/>
    <w:pPr>
      <w:spacing w:before="40" w:after="40"/>
      <w:jc w:val="right"/>
    </w:pPr>
    <w:rPr>
      <w:sz w:val="18"/>
    </w:rPr>
  </w:style>
  <w:style w:type="paragraph" w:styleId="TOC1">
    <w:name w:val="toc 1"/>
    <w:basedOn w:val="Normal"/>
    <w:next w:val="Normal"/>
    <w:uiPriority w:val="39"/>
    <w:rsid w:val="00565232"/>
    <w:pPr>
      <w:keepNext/>
      <w:tabs>
        <w:tab w:val="right" w:leader="dot" w:pos="9072"/>
      </w:tabs>
      <w:spacing w:before="180" w:after="0"/>
      <w:ind w:right="-2"/>
    </w:pPr>
    <w:rPr>
      <w:b/>
      <w:noProof/>
      <w:sz w:val="24"/>
      <w:szCs w:val="22"/>
    </w:rPr>
  </w:style>
  <w:style w:type="paragraph" w:styleId="TOC2">
    <w:name w:val="toc 2"/>
    <w:basedOn w:val="Normal"/>
    <w:next w:val="Normal"/>
    <w:uiPriority w:val="39"/>
    <w:rsid w:val="002608F1"/>
    <w:pPr>
      <w:keepNext/>
      <w:tabs>
        <w:tab w:val="right" w:leader="dot" w:pos="9072"/>
      </w:tabs>
      <w:spacing w:before="40" w:after="20"/>
      <w:ind w:right="-2"/>
    </w:pPr>
    <w:rPr>
      <w:noProof/>
      <w:color w:val="336699" w:themeColor="text2"/>
    </w:rPr>
  </w:style>
  <w:style w:type="paragraph" w:styleId="TOC3">
    <w:name w:val="toc 3"/>
    <w:basedOn w:val="Normal"/>
    <w:next w:val="Normal"/>
    <w:uiPriority w:val="39"/>
    <w:rsid w:val="002608F1"/>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611F76"/>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Heading1Numbered">
    <w:name w:val="Heading 1 Numbered"/>
    <w:basedOn w:val="Heading1"/>
    <w:next w:val="Normal"/>
    <w:rsid w:val="00EE1BF1"/>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rsid w:val="00EE1BF1"/>
    <w:pPr>
      <w:numPr>
        <w:ilvl w:val="2"/>
        <w:numId w:val="8"/>
      </w:numPr>
      <w:ind w:left="284" w:hanging="284"/>
    </w:pPr>
  </w:style>
  <w:style w:type="paragraph" w:styleId="Title">
    <w:name w:val="Title"/>
    <w:basedOn w:val="Normal"/>
    <w:next w:val="Normal"/>
    <w:link w:val="TitleChar"/>
    <w:uiPriority w:val="10"/>
    <w:rsid w:val="009250E6"/>
    <w:pPr>
      <w:spacing w:before="0" w:after="300"/>
      <w:contextualSpacing/>
    </w:pPr>
    <w:rPr>
      <w:rFonts w:asciiTheme="majorHAnsi" w:eastAsiaTheme="majorEastAsia" w:hAnsiTheme="majorHAnsi" w:cstheme="majorBidi"/>
      <w:b/>
      <w:spacing w:val="5"/>
      <w:kern w:val="28"/>
      <w:sz w:val="72"/>
      <w:szCs w:val="52"/>
    </w:rPr>
  </w:style>
  <w:style w:type="character" w:customStyle="1" w:styleId="TitleChar">
    <w:name w:val="Title Char"/>
    <w:basedOn w:val="DefaultParagraphFont"/>
    <w:link w:val="Title"/>
    <w:uiPriority w:val="10"/>
    <w:rsid w:val="009250E6"/>
    <w:rPr>
      <w:rFonts w:asciiTheme="majorHAnsi" w:eastAsiaTheme="majorEastAsia" w:hAnsiTheme="majorHAnsi" w:cstheme="majorBidi"/>
      <w:b/>
      <w:spacing w:val="5"/>
      <w:kern w:val="28"/>
      <w:sz w:val="72"/>
      <w:szCs w:val="52"/>
      <w:lang w:eastAsia="en-AU"/>
    </w:rPr>
  </w:style>
  <w:style w:type="paragraph" w:styleId="Subtitle">
    <w:name w:val="Subtitle"/>
    <w:basedOn w:val="Normal"/>
    <w:next w:val="Normal"/>
    <w:link w:val="SubtitleChar"/>
    <w:uiPriority w:val="11"/>
    <w:rsid w:val="00565232"/>
    <w:pPr>
      <w:numPr>
        <w:ilvl w:val="1"/>
      </w:numPr>
    </w:pPr>
    <w:rPr>
      <w:rFonts w:asciiTheme="majorHAnsi" w:eastAsiaTheme="majorEastAsia" w:hAnsiTheme="majorHAnsi" w:cstheme="majorBidi"/>
      <w:iCs/>
      <w:color w:val="84ACB6" w:themeColor="accent5"/>
      <w:sz w:val="44"/>
      <w:szCs w:val="44"/>
    </w:rPr>
  </w:style>
  <w:style w:type="character" w:customStyle="1" w:styleId="SubtitleChar">
    <w:name w:val="Subtitle Char"/>
    <w:basedOn w:val="DefaultParagraphFont"/>
    <w:link w:val="Subtitle"/>
    <w:uiPriority w:val="11"/>
    <w:rsid w:val="00565232"/>
    <w:rPr>
      <w:rFonts w:asciiTheme="majorHAnsi" w:eastAsiaTheme="majorEastAsia" w:hAnsiTheme="majorHAnsi" w:cstheme="majorBidi"/>
      <w:iCs/>
      <w:color w:val="84ACB6" w:themeColor="accent5"/>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iPriority w:val="99"/>
    <w:unhideWhenUsed/>
    <w:rsid w:val="00191CFE"/>
    <w:pPr>
      <w:tabs>
        <w:tab w:val="center" w:pos="4513"/>
        <w:tab w:val="right" w:pos="9026"/>
      </w:tabs>
      <w:spacing w:before="0" w:after="0"/>
      <w:jc w:val="center"/>
    </w:pPr>
    <w:rPr>
      <w:sz w:val="20"/>
    </w:rPr>
  </w:style>
  <w:style w:type="character" w:customStyle="1" w:styleId="FooterChar">
    <w:name w:val="Footer Char"/>
    <w:basedOn w:val="DefaultParagraphFont"/>
    <w:link w:val="Footer"/>
    <w:uiPriority w:val="99"/>
    <w:rsid w:val="00191CFE"/>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AB738A"/>
    <w:pPr>
      <w:keepNext/>
      <w:spacing w:before="0" w:after="0"/>
      <w:jc w:val="right"/>
    </w:pPr>
    <w:rPr>
      <w:color w:val="auto"/>
      <w:sz w:val="20"/>
    </w:rPr>
  </w:style>
  <w:style w:type="character" w:customStyle="1" w:styleId="HeaderChar">
    <w:name w:val="Header Char"/>
    <w:basedOn w:val="DefaultParagraphFont"/>
    <w:link w:val="Header"/>
    <w:uiPriority w:val="99"/>
    <w:rsid w:val="00AB738A"/>
    <w:rPr>
      <w:rFonts w:eastAsia="Times New Roman" w:cs="Times New Roman"/>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296BB1"/>
    <w:pPr>
      <w:keepNext/>
      <w:spacing w:after="120" w:line="240" w:lineRule="auto"/>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9250E6"/>
    <w:rPr>
      <w:rFonts w:eastAsia="Times New Roman" w:cs="Times New Roman"/>
      <w:color w:val="336699" w:themeColor="text2"/>
      <w:sz w:val="32"/>
      <w:szCs w:val="20"/>
      <w:lang w:eastAsia="en-AU"/>
    </w:rPr>
  </w:style>
  <w:style w:type="paragraph" w:customStyle="1" w:styleId="NotesHeading">
    <w:name w:val="Notes Heading"/>
    <w:basedOn w:val="Normal"/>
    <w:rsid w:val="002F617F"/>
    <w:pPr>
      <w:keepNext/>
      <w:spacing w:after="360"/>
      <w:jc w:val="center"/>
    </w:pPr>
    <w:rPr>
      <w:rFonts w:ascii="Century Gothic" w:hAnsi="Century Gothic"/>
      <w:smallCaps/>
      <w:color w:val="336699" w:themeColor="text2"/>
      <w:sz w:val="36"/>
      <w:szCs w:val="36"/>
    </w:rPr>
  </w:style>
  <w:style w:type="paragraph" w:styleId="ListParagraph">
    <w:name w:val="List Paragraph"/>
    <w:aliases w:val="Bullet copy,Decision Style,2nd Section,Table List Paragraph,Bullet-sub-body,Bullet Point,Bullet point,Bullet points,Bulleted Para,CV text,Content descriptions,DDM Gen Text,Dot pt,F5 List Paragraph,L,List Paragraph1,List Paragraph11"/>
    <w:basedOn w:val="Normal"/>
    <w:link w:val="ListParagraphChar"/>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8A1B2D"/>
    <w:pPr>
      <w:jc w:val="left"/>
    </w:pPr>
  </w:style>
  <w:style w:type="paragraph" w:customStyle="1" w:styleId="HeaderOdd">
    <w:name w:val="Header Odd"/>
    <w:basedOn w:val="Header"/>
    <w:qFormat/>
    <w:rsid w:val="008A1B2D"/>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A65143"/>
    <w:rPr>
      <w:rFonts w:eastAsia="Times New Roman" w:cs="Times New Roman"/>
      <w:color w:val="000000" w:themeColor="text1"/>
      <w:sz w:val="20"/>
      <w:szCs w:val="20"/>
      <w:lang w:eastAsia="en-AU"/>
    </w:rPr>
  </w:style>
  <w:style w:type="paragraph" w:customStyle="1" w:styleId="Boxbullet">
    <w:name w:val="Box bullet"/>
    <w:basedOn w:val="BoxText"/>
    <w:rsid w:val="00565232"/>
    <w:pPr>
      <w:numPr>
        <w:numId w:val="22"/>
      </w:numPr>
    </w:pPr>
    <w:rPr>
      <w:lang w:eastAsia="en-US"/>
    </w:rPr>
  </w:style>
  <w:style w:type="paragraph" w:customStyle="1" w:styleId="Boxdash">
    <w:name w:val="Box dash"/>
    <w:basedOn w:val="Boxbullet"/>
    <w:rsid w:val="00565232"/>
    <w:pPr>
      <w:numPr>
        <w:ilvl w:val="1"/>
      </w:numPr>
      <w:tabs>
        <w:tab w:val="num" w:pos="1040"/>
      </w:tabs>
      <w:spacing w:before="60" w:after="60" w:line="276" w:lineRule="auto"/>
    </w:pPr>
    <w:rPr>
      <w:rFonts w:eastAsiaTheme="minorHAnsi"/>
      <w:color w:val="0D0D0D" w:themeColor="text1" w:themeTint="F2"/>
    </w:rPr>
  </w:style>
  <w:style w:type="paragraph" w:customStyle="1" w:styleId="Boxdoubledot">
    <w:name w:val="Box double dot"/>
    <w:basedOn w:val="Boxdash"/>
    <w:rsid w:val="00565232"/>
    <w:pPr>
      <w:numPr>
        <w:ilvl w:val="2"/>
      </w:numPr>
      <w:tabs>
        <w:tab w:val="left" w:pos="567"/>
        <w:tab w:val="num" w:pos="1560"/>
      </w:tabs>
    </w:pPr>
  </w:style>
  <w:style w:type="paragraph" w:customStyle="1" w:styleId="Instructions">
    <w:name w:val="Instructions"/>
    <w:basedOn w:val="Normal"/>
    <w:uiPriority w:val="1"/>
    <w:qFormat/>
    <w:rsid w:val="00BE7EA5"/>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3540B"/>
    <w:rPr>
      <w:rFonts w:asciiTheme="minorHAnsi" w:hAnsiTheme="minorHAnsi"/>
      <w:b/>
      <w:bCs/>
    </w:rPr>
  </w:style>
  <w:style w:type="character" w:customStyle="1" w:styleId="CommentSubjectChar">
    <w:name w:val="Comment Subject Char"/>
    <w:basedOn w:val="CommentTextChar"/>
    <w:link w:val="CommentSubject"/>
    <w:uiPriority w:val="99"/>
    <w:semiHidden/>
    <w:rsid w:val="0003540B"/>
    <w:rPr>
      <w:rFonts w:ascii="Calibri" w:eastAsia="Times New Roman" w:hAnsi="Calibri" w:cs="Times New Roman"/>
      <w:b/>
      <w:bCs/>
      <w:color w:val="000000" w:themeColor="text1"/>
      <w:sz w:val="20"/>
      <w:szCs w:val="20"/>
      <w:lang w:eastAsia="en-AU"/>
    </w:rPr>
  </w:style>
  <w:style w:type="paragraph" w:styleId="NoSpacing">
    <w:name w:val="No Spacing"/>
    <w:link w:val="NoSpacingChar"/>
    <w:uiPriority w:val="1"/>
    <w:qFormat/>
    <w:rsid w:val="004B063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B063A"/>
    <w:rPr>
      <w:rFonts w:eastAsiaTheme="minorEastAsia"/>
      <w:lang w:val="en-US"/>
    </w:rPr>
  </w:style>
  <w:style w:type="character" w:customStyle="1" w:styleId="normaltextrun">
    <w:name w:val="normaltextrun"/>
    <w:basedOn w:val="DefaultParagraphFont"/>
    <w:rsid w:val="00B534B5"/>
  </w:style>
  <w:style w:type="paragraph" w:styleId="Quote">
    <w:name w:val="Quote"/>
    <w:basedOn w:val="Normal"/>
    <w:next w:val="Normal"/>
    <w:link w:val="QuoteChar"/>
    <w:uiPriority w:val="29"/>
    <w:rsid w:val="0058256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82567"/>
    <w:rPr>
      <w:rFonts w:eastAsia="Times New Roman" w:cs="Times New Roman"/>
      <w:i/>
      <w:iCs/>
      <w:color w:val="404040" w:themeColor="text1" w:themeTint="BF"/>
      <w:szCs w:val="20"/>
      <w:lang w:eastAsia="en-AU"/>
    </w:rPr>
  </w:style>
  <w:style w:type="table" w:customStyle="1" w:styleId="TableGrid1">
    <w:name w:val="Table Grid1"/>
    <w:basedOn w:val="TableNormal"/>
    <w:next w:val="TableGrid"/>
    <w:uiPriority w:val="39"/>
    <w:rsid w:val="00F13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2646D4"/>
    <w:rPr>
      <w:b/>
      <w:bCs/>
    </w:rPr>
  </w:style>
  <w:style w:type="character" w:customStyle="1" w:styleId="UnresolvedMention1">
    <w:name w:val="Unresolved Mention1"/>
    <w:basedOn w:val="DefaultParagraphFont"/>
    <w:uiPriority w:val="99"/>
    <w:semiHidden/>
    <w:unhideWhenUsed/>
    <w:rsid w:val="00344051"/>
    <w:rPr>
      <w:color w:val="605E5C"/>
      <w:shd w:val="clear" w:color="auto" w:fill="E1DFDD"/>
    </w:rPr>
  </w:style>
  <w:style w:type="paragraph" w:styleId="Revision">
    <w:name w:val="Revision"/>
    <w:hidden/>
    <w:uiPriority w:val="99"/>
    <w:semiHidden/>
    <w:rsid w:val="00407BEF"/>
    <w:pPr>
      <w:spacing w:after="0" w:line="240" w:lineRule="auto"/>
    </w:pPr>
    <w:rPr>
      <w:rFonts w:eastAsia="Times New Roman" w:cs="Times New Roman"/>
      <w:color w:val="000000" w:themeColor="text1"/>
      <w:szCs w:val="20"/>
      <w:lang w:eastAsia="en-AU"/>
    </w:rPr>
  </w:style>
  <w:style w:type="character" w:customStyle="1" w:styleId="ListParagraphChar">
    <w:name w:val="List Paragraph Char"/>
    <w:aliases w:val="Bullet copy Char,Decision Style Char,2nd Section Char,Table List Paragraph Char,Bullet-sub-body Char,Bullet Point Char,Bullet point Char,Bullet points Char,Bulleted Para Char,CV text Char,Content descriptions Char,DDM Gen Text Char"/>
    <w:basedOn w:val="DefaultParagraphFont"/>
    <w:link w:val="ListParagraph"/>
    <w:uiPriority w:val="34"/>
    <w:qFormat/>
    <w:locked/>
    <w:rsid w:val="00C70E6F"/>
    <w:rPr>
      <w:rFonts w:eastAsia="Times New Roman" w:cs="Times New Roman"/>
      <w:color w:val="000000" w:themeColor="text1"/>
      <w:szCs w:val="20"/>
      <w:lang w:eastAsia="en-AU"/>
    </w:rPr>
  </w:style>
  <w:style w:type="paragraph" w:customStyle="1" w:styleId="CharCharCharCharCharCharChar">
    <w:name w:val="Char Char Char Char Char Char Char"/>
    <w:basedOn w:val="Normal"/>
    <w:rsid w:val="00C70E6F"/>
    <w:pPr>
      <w:spacing w:before="0" w:after="160" w:line="240" w:lineRule="exact"/>
    </w:pPr>
    <w:rPr>
      <w:rFonts w:ascii="Verdana" w:hAnsi="Verdana"/>
      <w:color w:val="auto"/>
      <w:sz w:val="20"/>
      <w:szCs w:val="24"/>
      <w:lang w:val="en-US" w:eastAsia="en-US"/>
    </w:rPr>
  </w:style>
  <w:style w:type="character" w:styleId="FollowedHyperlink">
    <w:name w:val="FollowedHyperlink"/>
    <w:basedOn w:val="DefaultParagraphFont"/>
    <w:uiPriority w:val="99"/>
    <w:semiHidden/>
    <w:unhideWhenUsed/>
    <w:rsid w:val="00C3092F"/>
    <w:rPr>
      <w:color w:val="9F6715" w:themeColor="followedHyperlink"/>
      <w:u w:val="single"/>
    </w:rPr>
  </w:style>
  <w:style w:type="paragraph" w:customStyle="1" w:styleId="copyright">
    <w:name w:val="copyright"/>
    <w:basedOn w:val="Normal"/>
    <w:uiPriority w:val="99"/>
    <w:rsid w:val="00892645"/>
    <w:pPr>
      <w:suppressAutoHyphens/>
      <w:autoSpaceDE w:val="0"/>
      <w:autoSpaceDN w:val="0"/>
      <w:adjustRightInd w:val="0"/>
      <w:spacing w:before="0" w:after="113" w:line="180" w:lineRule="atLeast"/>
      <w:textAlignment w:val="center"/>
    </w:pPr>
    <w:rPr>
      <w:rFonts w:ascii="MetaPro-Norm" w:eastAsiaTheme="minorHAnsi" w:hAnsi="MetaPro-Norm" w:cs="MetaPro-Norm"/>
      <w:color w:val="000000"/>
      <w:sz w:val="16"/>
      <w:szCs w:val="16"/>
      <w:lang w:val="en-US" w:eastAsia="en-US"/>
      <w14:ligatures w14:val="standardContextual"/>
    </w:rPr>
  </w:style>
  <w:style w:type="character" w:customStyle="1" w:styleId="Bold9pt">
    <w:name w:val="Bold 9pt"/>
    <w:basedOn w:val="DefaultParagraphFont"/>
    <w:uiPriority w:val="99"/>
    <w:rsid w:val="00892645"/>
    <w:rPr>
      <w:rFonts w:ascii="MetaPro-Bold" w:hAnsi="MetaPro-Bold" w:cs="MetaPro-Bold"/>
      <w:b/>
      <w:bCs/>
      <w:sz w:val="18"/>
      <w:szCs w:val="18"/>
    </w:rPr>
  </w:style>
  <w:style w:type="paragraph" w:styleId="TOCHeading">
    <w:name w:val="TOC Heading"/>
    <w:basedOn w:val="Heading1"/>
    <w:next w:val="Normal"/>
    <w:uiPriority w:val="39"/>
    <w:unhideWhenUsed/>
    <w:qFormat/>
    <w:rsid w:val="00526D7C"/>
    <w:pPr>
      <w:keepLines/>
      <w:spacing w:before="240" w:after="0" w:line="259" w:lineRule="auto"/>
      <w:outlineLvl w:val="9"/>
    </w:pPr>
    <w:rPr>
      <w:rFonts w:eastAsiaTheme="majorEastAsia" w:cstheme="majorBidi"/>
      <w:b w:val="0"/>
      <w:color w:val="276E8B" w:themeColor="accent1" w:themeShade="BF"/>
      <w:kern w:val="0"/>
      <w:sz w:val="32"/>
      <w:szCs w:val="32"/>
      <w:lang w:val="en-US" w:eastAsia="en-US"/>
    </w:rPr>
  </w:style>
  <w:style w:type="paragraph" w:styleId="NormalWeb">
    <w:name w:val="Normal (Web)"/>
    <w:basedOn w:val="Normal"/>
    <w:uiPriority w:val="99"/>
    <w:semiHidden/>
    <w:unhideWhenUsed/>
    <w:rsid w:val="00DD0A94"/>
    <w:pPr>
      <w:spacing w:before="100" w:beforeAutospacing="1" w:after="100" w:afterAutospacing="1"/>
    </w:pPr>
    <w:rPr>
      <w:rFonts w:ascii="Times New Roman" w:eastAsiaTheme="minorEastAsia" w:hAnsi="Times New Roman"/>
      <w:color w:val="auto"/>
      <w:sz w:val="24"/>
      <w:szCs w:val="24"/>
    </w:rPr>
  </w:style>
  <w:style w:type="character" w:styleId="UnresolvedMention">
    <w:name w:val="Unresolved Mention"/>
    <w:basedOn w:val="DefaultParagraphFont"/>
    <w:uiPriority w:val="99"/>
    <w:semiHidden/>
    <w:unhideWhenUsed/>
    <w:rsid w:val="00601F1D"/>
    <w:rPr>
      <w:color w:val="605E5C"/>
      <w:shd w:val="clear" w:color="auto" w:fill="E1DFDD"/>
    </w:rPr>
  </w:style>
  <w:style w:type="paragraph" w:styleId="ListBullet">
    <w:name w:val="List Bullet"/>
    <w:basedOn w:val="Normal"/>
    <w:uiPriority w:val="99"/>
    <w:unhideWhenUsed/>
    <w:rsid w:val="00BA5948"/>
    <w:pPr>
      <w:numPr>
        <w:numId w:val="3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01839">
      <w:bodyDiv w:val="1"/>
      <w:marLeft w:val="0"/>
      <w:marRight w:val="0"/>
      <w:marTop w:val="0"/>
      <w:marBottom w:val="0"/>
      <w:divBdr>
        <w:top w:val="none" w:sz="0" w:space="0" w:color="auto"/>
        <w:left w:val="none" w:sz="0" w:space="0" w:color="auto"/>
        <w:bottom w:val="none" w:sz="0" w:space="0" w:color="auto"/>
        <w:right w:val="none" w:sz="0" w:space="0" w:color="auto"/>
      </w:divBdr>
    </w:div>
    <w:div w:id="146675216">
      <w:bodyDiv w:val="1"/>
      <w:marLeft w:val="0"/>
      <w:marRight w:val="0"/>
      <w:marTop w:val="0"/>
      <w:marBottom w:val="0"/>
      <w:divBdr>
        <w:top w:val="none" w:sz="0" w:space="0" w:color="auto"/>
        <w:left w:val="none" w:sz="0" w:space="0" w:color="auto"/>
        <w:bottom w:val="none" w:sz="0" w:space="0" w:color="auto"/>
        <w:right w:val="none" w:sz="0" w:space="0" w:color="auto"/>
      </w:divBdr>
    </w:div>
    <w:div w:id="211697362">
      <w:bodyDiv w:val="1"/>
      <w:marLeft w:val="0"/>
      <w:marRight w:val="0"/>
      <w:marTop w:val="0"/>
      <w:marBottom w:val="0"/>
      <w:divBdr>
        <w:top w:val="none" w:sz="0" w:space="0" w:color="auto"/>
        <w:left w:val="none" w:sz="0" w:space="0" w:color="auto"/>
        <w:bottom w:val="none" w:sz="0" w:space="0" w:color="auto"/>
        <w:right w:val="none" w:sz="0" w:space="0" w:color="auto"/>
      </w:divBdr>
      <w:divsChild>
        <w:div w:id="1679963090">
          <w:marLeft w:val="0"/>
          <w:marRight w:val="0"/>
          <w:marTop w:val="0"/>
          <w:marBottom w:val="0"/>
          <w:divBdr>
            <w:top w:val="none" w:sz="0" w:space="0" w:color="auto"/>
            <w:left w:val="none" w:sz="0" w:space="0" w:color="auto"/>
            <w:bottom w:val="none" w:sz="0" w:space="0" w:color="auto"/>
            <w:right w:val="none" w:sz="0" w:space="0" w:color="auto"/>
          </w:divBdr>
          <w:divsChild>
            <w:div w:id="1123501470">
              <w:marLeft w:val="0"/>
              <w:marRight w:val="0"/>
              <w:marTop w:val="0"/>
              <w:marBottom w:val="0"/>
              <w:divBdr>
                <w:top w:val="none" w:sz="0" w:space="0" w:color="auto"/>
                <w:left w:val="none" w:sz="0" w:space="0" w:color="auto"/>
                <w:bottom w:val="none" w:sz="0" w:space="0" w:color="auto"/>
                <w:right w:val="none" w:sz="0" w:space="0" w:color="auto"/>
              </w:divBdr>
              <w:divsChild>
                <w:div w:id="182481086">
                  <w:marLeft w:val="0"/>
                  <w:marRight w:val="0"/>
                  <w:marTop w:val="0"/>
                  <w:marBottom w:val="0"/>
                  <w:divBdr>
                    <w:top w:val="none" w:sz="0" w:space="0" w:color="auto"/>
                    <w:left w:val="none" w:sz="0" w:space="0" w:color="auto"/>
                    <w:bottom w:val="none" w:sz="0" w:space="0" w:color="auto"/>
                    <w:right w:val="none" w:sz="0" w:space="0" w:color="auto"/>
                  </w:divBdr>
                  <w:divsChild>
                    <w:div w:id="1696155046">
                      <w:marLeft w:val="0"/>
                      <w:marRight w:val="0"/>
                      <w:marTop w:val="0"/>
                      <w:marBottom w:val="0"/>
                      <w:divBdr>
                        <w:top w:val="none" w:sz="0" w:space="0" w:color="auto"/>
                        <w:left w:val="none" w:sz="0" w:space="0" w:color="auto"/>
                        <w:bottom w:val="none" w:sz="0" w:space="0" w:color="auto"/>
                        <w:right w:val="none" w:sz="0" w:space="0" w:color="auto"/>
                      </w:divBdr>
                      <w:divsChild>
                        <w:div w:id="1530945101">
                          <w:marLeft w:val="0"/>
                          <w:marRight w:val="0"/>
                          <w:marTop w:val="0"/>
                          <w:marBottom w:val="0"/>
                          <w:divBdr>
                            <w:top w:val="none" w:sz="0" w:space="0" w:color="auto"/>
                            <w:left w:val="none" w:sz="0" w:space="0" w:color="auto"/>
                            <w:bottom w:val="none" w:sz="0" w:space="0" w:color="auto"/>
                            <w:right w:val="none" w:sz="0" w:space="0" w:color="auto"/>
                          </w:divBdr>
                          <w:divsChild>
                            <w:div w:id="4577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678824">
      <w:bodyDiv w:val="1"/>
      <w:marLeft w:val="0"/>
      <w:marRight w:val="0"/>
      <w:marTop w:val="0"/>
      <w:marBottom w:val="0"/>
      <w:divBdr>
        <w:top w:val="none" w:sz="0" w:space="0" w:color="auto"/>
        <w:left w:val="none" w:sz="0" w:space="0" w:color="auto"/>
        <w:bottom w:val="none" w:sz="0" w:space="0" w:color="auto"/>
        <w:right w:val="none" w:sz="0" w:space="0" w:color="auto"/>
      </w:divBdr>
    </w:div>
    <w:div w:id="320930355">
      <w:bodyDiv w:val="1"/>
      <w:marLeft w:val="0"/>
      <w:marRight w:val="0"/>
      <w:marTop w:val="0"/>
      <w:marBottom w:val="0"/>
      <w:divBdr>
        <w:top w:val="none" w:sz="0" w:space="0" w:color="auto"/>
        <w:left w:val="none" w:sz="0" w:space="0" w:color="auto"/>
        <w:bottom w:val="none" w:sz="0" w:space="0" w:color="auto"/>
        <w:right w:val="none" w:sz="0" w:space="0" w:color="auto"/>
      </w:divBdr>
    </w:div>
    <w:div w:id="335378702">
      <w:bodyDiv w:val="1"/>
      <w:marLeft w:val="0"/>
      <w:marRight w:val="0"/>
      <w:marTop w:val="0"/>
      <w:marBottom w:val="0"/>
      <w:divBdr>
        <w:top w:val="none" w:sz="0" w:space="0" w:color="auto"/>
        <w:left w:val="none" w:sz="0" w:space="0" w:color="auto"/>
        <w:bottom w:val="none" w:sz="0" w:space="0" w:color="auto"/>
        <w:right w:val="none" w:sz="0" w:space="0" w:color="auto"/>
      </w:divBdr>
    </w:div>
    <w:div w:id="382674330">
      <w:bodyDiv w:val="1"/>
      <w:marLeft w:val="0"/>
      <w:marRight w:val="0"/>
      <w:marTop w:val="0"/>
      <w:marBottom w:val="0"/>
      <w:divBdr>
        <w:top w:val="none" w:sz="0" w:space="0" w:color="auto"/>
        <w:left w:val="none" w:sz="0" w:space="0" w:color="auto"/>
        <w:bottom w:val="none" w:sz="0" w:space="0" w:color="auto"/>
        <w:right w:val="none" w:sz="0" w:space="0" w:color="auto"/>
      </w:divBdr>
    </w:div>
    <w:div w:id="434522318">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69635814">
      <w:bodyDiv w:val="1"/>
      <w:marLeft w:val="0"/>
      <w:marRight w:val="0"/>
      <w:marTop w:val="0"/>
      <w:marBottom w:val="0"/>
      <w:divBdr>
        <w:top w:val="none" w:sz="0" w:space="0" w:color="auto"/>
        <w:left w:val="none" w:sz="0" w:space="0" w:color="auto"/>
        <w:bottom w:val="none" w:sz="0" w:space="0" w:color="auto"/>
        <w:right w:val="none" w:sz="0" w:space="0" w:color="auto"/>
      </w:divBdr>
    </w:div>
    <w:div w:id="493229638">
      <w:bodyDiv w:val="1"/>
      <w:marLeft w:val="0"/>
      <w:marRight w:val="0"/>
      <w:marTop w:val="0"/>
      <w:marBottom w:val="0"/>
      <w:divBdr>
        <w:top w:val="none" w:sz="0" w:space="0" w:color="auto"/>
        <w:left w:val="none" w:sz="0" w:space="0" w:color="auto"/>
        <w:bottom w:val="none" w:sz="0" w:space="0" w:color="auto"/>
        <w:right w:val="none" w:sz="0" w:space="0" w:color="auto"/>
      </w:divBdr>
    </w:div>
    <w:div w:id="634875224">
      <w:bodyDiv w:val="1"/>
      <w:marLeft w:val="0"/>
      <w:marRight w:val="0"/>
      <w:marTop w:val="0"/>
      <w:marBottom w:val="0"/>
      <w:divBdr>
        <w:top w:val="none" w:sz="0" w:space="0" w:color="auto"/>
        <w:left w:val="none" w:sz="0" w:space="0" w:color="auto"/>
        <w:bottom w:val="none" w:sz="0" w:space="0" w:color="auto"/>
        <w:right w:val="none" w:sz="0" w:space="0" w:color="auto"/>
      </w:divBdr>
    </w:div>
    <w:div w:id="648677702">
      <w:bodyDiv w:val="1"/>
      <w:marLeft w:val="0"/>
      <w:marRight w:val="0"/>
      <w:marTop w:val="0"/>
      <w:marBottom w:val="0"/>
      <w:divBdr>
        <w:top w:val="none" w:sz="0" w:space="0" w:color="auto"/>
        <w:left w:val="none" w:sz="0" w:space="0" w:color="auto"/>
        <w:bottom w:val="none" w:sz="0" w:space="0" w:color="auto"/>
        <w:right w:val="none" w:sz="0" w:space="0" w:color="auto"/>
      </w:divBdr>
    </w:div>
    <w:div w:id="782656238">
      <w:bodyDiv w:val="1"/>
      <w:marLeft w:val="0"/>
      <w:marRight w:val="0"/>
      <w:marTop w:val="0"/>
      <w:marBottom w:val="0"/>
      <w:divBdr>
        <w:top w:val="none" w:sz="0" w:space="0" w:color="auto"/>
        <w:left w:val="none" w:sz="0" w:space="0" w:color="auto"/>
        <w:bottom w:val="none" w:sz="0" w:space="0" w:color="auto"/>
        <w:right w:val="none" w:sz="0" w:space="0" w:color="auto"/>
      </w:divBdr>
      <w:divsChild>
        <w:div w:id="1709647179">
          <w:marLeft w:val="0"/>
          <w:marRight w:val="0"/>
          <w:marTop w:val="0"/>
          <w:marBottom w:val="0"/>
          <w:divBdr>
            <w:top w:val="none" w:sz="0" w:space="0" w:color="auto"/>
            <w:left w:val="none" w:sz="0" w:space="0" w:color="auto"/>
            <w:bottom w:val="none" w:sz="0" w:space="0" w:color="auto"/>
            <w:right w:val="none" w:sz="0" w:space="0" w:color="auto"/>
          </w:divBdr>
        </w:div>
        <w:div w:id="981808812">
          <w:marLeft w:val="0"/>
          <w:marRight w:val="0"/>
          <w:marTop w:val="0"/>
          <w:marBottom w:val="0"/>
          <w:divBdr>
            <w:top w:val="none" w:sz="0" w:space="0" w:color="auto"/>
            <w:left w:val="none" w:sz="0" w:space="0" w:color="auto"/>
            <w:bottom w:val="none" w:sz="0" w:space="0" w:color="auto"/>
            <w:right w:val="none" w:sz="0" w:space="0" w:color="auto"/>
          </w:divBdr>
        </w:div>
        <w:div w:id="40253211">
          <w:marLeft w:val="0"/>
          <w:marRight w:val="0"/>
          <w:marTop w:val="0"/>
          <w:marBottom w:val="0"/>
          <w:divBdr>
            <w:top w:val="none" w:sz="0" w:space="0" w:color="auto"/>
            <w:left w:val="none" w:sz="0" w:space="0" w:color="auto"/>
            <w:bottom w:val="none" w:sz="0" w:space="0" w:color="auto"/>
            <w:right w:val="none" w:sz="0" w:space="0" w:color="auto"/>
          </w:divBdr>
        </w:div>
      </w:divsChild>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1014185894">
      <w:bodyDiv w:val="1"/>
      <w:marLeft w:val="0"/>
      <w:marRight w:val="0"/>
      <w:marTop w:val="0"/>
      <w:marBottom w:val="0"/>
      <w:divBdr>
        <w:top w:val="none" w:sz="0" w:space="0" w:color="auto"/>
        <w:left w:val="none" w:sz="0" w:space="0" w:color="auto"/>
        <w:bottom w:val="none" w:sz="0" w:space="0" w:color="auto"/>
        <w:right w:val="none" w:sz="0" w:space="0" w:color="auto"/>
      </w:divBdr>
    </w:div>
    <w:div w:id="1032801500">
      <w:bodyDiv w:val="1"/>
      <w:marLeft w:val="0"/>
      <w:marRight w:val="0"/>
      <w:marTop w:val="0"/>
      <w:marBottom w:val="0"/>
      <w:divBdr>
        <w:top w:val="none" w:sz="0" w:space="0" w:color="auto"/>
        <w:left w:val="none" w:sz="0" w:space="0" w:color="auto"/>
        <w:bottom w:val="none" w:sz="0" w:space="0" w:color="auto"/>
        <w:right w:val="none" w:sz="0" w:space="0" w:color="auto"/>
      </w:divBdr>
    </w:div>
    <w:div w:id="1141850585">
      <w:bodyDiv w:val="1"/>
      <w:marLeft w:val="0"/>
      <w:marRight w:val="0"/>
      <w:marTop w:val="0"/>
      <w:marBottom w:val="0"/>
      <w:divBdr>
        <w:top w:val="none" w:sz="0" w:space="0" w:color="auto"/>
        <w:left w:val="none" w:sz="0" w:space="0" w:color="auto"/>
        <w:bottom w:val="none" w:sz="0" w:space="0" w:color="auto"/>
        <w:right w:val="none" w:sz="0" w:space="0" w:color="auto"/>
      </w:divBdr>
    </w:div>
    <w:div w:id="1179151874">
      <w:bodyDiv w:val="1"/>
      <w:marLeft w:val="0"/>
      <w:marRight w:val="0"/>
      <w:marTop w:val="0"/>
      <w:marBottom w:val="0"/>
      <w:divBdr>
        <w:top w:val="none" w:sz="0" w:space="0" w:color="auto"/>
        <w:left w:val="none" w:sz="0" w:space="0" w:color="auto"/>
        <w:bottom w:val="none" w:sz="0" w:space="0" w:color="auto"/>
        <w:right w:val="none" w:sz="0" w:space="0" w:color="auto"/>
      </w:divBdr>
      <w:divsChild>
        <w:div w:id="1854953013">
          <w:marLeft w:val="0"/>
          <w:marRight w:val="0"/>
          <w:marTop w:val="0"/>
          <w:marBottom w:val="0"/>
          <w:divBdr>
            <w:top w:val="none" w:sz="0" w:space="0" w:color="auto"/>
            <w:left w:val="none" w:sz="0" w:space="0" w:color="auto"/>
            <w:bottom w:val="none" w:sz="0" w:space="0" w:color="auto"/>
            <w:right w:val="none" w:sz="0" w:space="0" w:color="auto"/>
          </w:divBdr>
        </w:div>
        <w:div w:id="1887139481">
          <w:marLeft w:val="0"/>
          <w:marRight w:val="0"/>
          <w:marTop w:val="0"/>
          <w:marBottom w:val="0"/>
          <w:divBdr>
            <w:top w:val="none" w:sz="0" w:space="0" w:color="auto"/>
            <w:left w:val="none" w:sz="0" w:space="0" w:color="auto"/>
            <w:bottom w:val="none" w:sz="0" w:space="0" w:color="auto"/>
            <w:right w:val="none" w:sz="0" w:space="0" w:color="auto"/>
          </w:divBdr>
        </w:div>
      </w:divsChild>
    </w:div>
    <w:div w:id="1267427957">
      <w:bodyDiv w:val="1"/>
      <w:marLeft w:val="0"/>
      <w:marRight w:val="0"/>
      <w:marTop w:val="0"/>
      <w:marBottom w:val="0"/>
      <w:divBdr>
        <w:top w:val="none" w:sz="0" w:space="0" w:color="auto"/>
        <w:left w:val="none" w:sz="0" w:space="0" w:color="auto"/>
        <w:bottom w:val="none" w:sz="0" w:space="0" w:color="auto"/>
        <w:right w:val="none" w:sz="0" w:space="0" w:color="auto"/>
      </w:divBdr>
    </w:div>
    <w:div w:id="1293822795">
      <w:bodyDiv w:val="1"/>
      <w:marLeft w:val="0"/>
      <w:marRight w:val="0"/>
      <w:marTop w:val="0"/>
      <w:marBottom w:val="0"/>
      <w:divBdr>
        <w:top w:val="none" w:sz="0" w:space="0" w:color="auto"/>
        <w:left w:val="none" w:sz="0" w:space="0" w:color="auto"/>
        <w:bottom w:val="none" w:sz="0" w:space="0" w:color="auto"/>
        <w:right w:val="none" w:sz="0" w:space="0" w:color="auto"/>
      </w:divBdr>
    </w:div>
    <w:div w:id="1380007637">
      <w:bodyDiv w:val="1"/>
      <w:marLeft w:val="0"/>
      <w:marRight w:val="0"/>
      <w:marTop w:val="0"/>
      <w:marBottom w:val="0"/>
      <w:divBdr>
        <w:top w:val="none" w:sz="0" w:space="0" w:color="auto"/>
        <w:left w:val="none" w:sz="0" w:space="0" w:color="auto"/>
        <w:bottom w:val="none" w:sz="0" w:space="0" w:color="auto"/>
        <w:right w:val="none" w:sz="0" w:space="0" w:color="auto"/>
      </w:divBdr>
    </w:div>
    <w:div w:id="1433891829">
      <w:bodyDiv w:val="1"/>
      <w:marLeft w:val="0"/>
      <w:marRight w:val="0"/>
      <w:marTop w:val="0"/>
      <w:marBottom w:val="0"/>
      <w:divBdr>
        <w:top w:val="none" w:sz="0" w:space="0" w:color="auto"/>
        <w:left w:val="none" w:sz="0" w:space="0" w:color="auto"/>
        <w:bottom w:val="none" w:sz="0" w:space="0" w:color="auto"/>
        <w:right w:val="none" w:sz="0" w:space="0" w:color="auto"/>
      </w:divBdr>
    </w:div>
    <w:div w:id="1490364031">
      <w:bodyDiv w:val="1"/>
      <w:marLeft w:val="0"/>
      <w:marRight w:val="0"/>
      <w:marTop w:val="0"/>
      <w:marBottom w:val="0"/>
      <w:divBdr>
        <w:top w:val="none" w:sz="0" w:space="0" w:color="auto"/>
        <w:left w:val="none" w:sz="0" w:space="0" w:color="auto"/>
        <w:bottom w:val="none" w:sz="0" w:space="0" w:color="auto"/>
        <w:right w:val="none" w:sz="0" w:space="0" w:color="auto"/>
      </w:divBdr>
    </w:div>
    <w:div w:id="1862667803">
      <w:bodyDiv w:val="1"/>
      <w:marLeft w:val="0"/>
      <w:marRight w:val="0"/>
      <w:marTop w:val="0"/>
      <w:marBottom w:val="0"/>
      <w:divBdr>
        <w:top w:val="none" w:sz="0" w:space="0" w:color="auto"/>
        <w:left w:val="none" w:sz="0" w:space="0" w:color="auto"/>
        <w:bottom w:val="none" w:sz="0" w:space="0" w:color="auto"/>
        <w:right w:val="none" w:sz="0" w:space="0" w:color="auto"/>
      </w:divBdr>
    </w:div>
    <w:div w:id="1868983476">
      <w:bodyDiv w:val="1"/>
      <w:marLeft w:val="0"/>
      <w:marRight w:val="0"/>
      <w:marTop w:val="0"/>
      <w:marBottom w:val="0"/>
      <w:divBdr>
        <w:top w:val="none" w:sz="0" w:space="0" w:color="auto"/>
        <w:left w:val="none" w:sz="0" w:space="0" w:color="auto"/>
        <w:bottom w:val="none" w:sz="0" w:space="0" w:color="auto"/>
        <w:right w:val="none" w:sz="0" w:space="0" w:color="auto"/>
      </w:divBdr>
    </w:div>
    <w:div w:id="1874154578">
      <w:bodyDiv w:val="1"/>
      <w:marLeft w:val="0"/>
      <w:marRight w:val="0"/>
      <w:marTop w:val="0"/>
      <w:marBottom w:val="0"/>
      <w:divBdr>
        <w:top w:val="none" w:sz="0" w:space="0" w:color="auto"/>
        <w:left w:val="none" w:sz="0" w:space="0" w:color="auto"/>
        <w:bottom w:val="none" w:sz="0" w:space="0" w:color="auto"/>
        <w:right w:val="none" w:sz="0" w:space="0" w:color="auto"/>
      </w:divBdr>
      <w:divsChild>
        <w:div w:id="232735623">
          <w:marLeft w:val="0"/>
          <w:marRight w:val="0"/>
          <w:marTop w:val="0"/>
          <w:marBottom w:val="0"/>
          <w:divBdr>
            <w:top w:val="none" w:sz="0" w:space="0" w:color="auto"/>
            <w:left w:val="none" w:sz="0" w:space="0" w:color="auto"/>
            <w:bottom w:val="none" w:sz="0" w:space="0" w:color="auto"/>
            <w:right w:val="none" w:sz="0" w:space="0" w:color="auto"/>
          </w:divBdr>
        </w:div>
        <w:div w:id="600993496">
          <w:marLeft w:val="0"/>
          <w:marRight w:val="0"/>
          <w:marTop w:val="0"/>
          <w:marBottom w:val="0"/>
          <w:divBdr>
            <w:top w:val="none" w:sz="0" w:space="0" w:color="auto"/>
            <w:left w:val="none" w:sz="0" w:space="0" w:color="auto"/>
            <w:bottom w:val="none" w:sz="0" w:space="0" w:color="auto"/>
            <w:right w:val="none" w:sz="0" w:space="0" w:color="auto"/>
          </w:divBdr>
        </w:div>
        <w:div w:id="694883891">
          <w:marLeft w:val="0"/>
          <w:marRight w:val="0"/>
          <w:marTop w:val="0"/>
          <w:marBottom w:val="0"/>
          <w:divBdr>
            <w:top w:val="none" w:sz="0" w:space="0" w:color="auto"/>
            <w:left w:val="none" w:sz="0" w:space="0" w:color="auto"/>
            <w:bottom w:val="none" w:sz="0" w:space="0" w:color="auto"/>
            <w:right w:val="none" w:sz="0" w:space="0" w:color="auto"/>
          </w:divBdr>
        </w:div>
        <w:div w:id="846872110">
          <w:marLeft w:val="0"/>
          <w:marRight w:val="0"/>
          <w:marTop w:val="0"/>
          <w:marBottom w:val="0"/>
          <w:divBdr>
            <w:top w:val="none" w:sz="0" w:space="0" w:color="auto"/>
            <w:left w:val="none" w:sz="0" w:space="0" w:color="auto"/>
            <w:bottom w:val="none" w:sz="0" w:space="0" w:color="auto"/>
            <w:right w:val="none" w:sz="0" w:space="0" w:color="auto"/>
          </w:divBdr>
        </w:div>
        <w:div w:id="877668163">
          <w:marLeft w:val="0"/>
          <w:marRight w:val="0"/>
          <w:marTop w:val="0"/>
          <w:marBottom w:val="0"/>
          <w:divBdr>
            <w:top w:val="none" w:sz="0" w:space="0" w:color="auto"/>
            <w:left w:val="none" w:sz="0" w:space="0" w:color="auto"/>
            <w:bottom w:val="none" w:sz="0" w:space="0" w:color="auto"/>
            <w:right w:val="none" w:sz="0" w:space="0" w:color="auto"/>
          </w:divBdr>
        </w:div>
        <w:div w:id="1002510038">
          <w:marLeft w:val="0"/>
          <w:marRight w:val="0"/>
          <w:marTop w:val="0"/>
          <w:marBottom w:val="0"/>
          <w:divBdr>
            <w:top w:val="none" w:sz="0" w:space="0" w:color="auto"/>
            <w:left w:val="none" w:sz="0" w:space="0" w:color="auto"/>
            <w:bottom w:val="none" w:sz="0" w:space="0" w:color="auto"/>
            <w:right w:val="none" w:sz="0" w:space="0" w:color="auto"/>
          </w:divBdr>
        </w:div>
        <w:div w:id="1100640210">
          <w:marLeft w:val="0"/>
          <w:marRight w:val="0"/>
          <w:marTop w:val="0"/>
          <w:marBottom w:val="0"/>
          <w:divBdr>
            <w:top w:val="none" w:sz="0" w:space="0" w:color="auto"/>
            <w:left w:val="none" w:sz="0" w:space="0" w:color="auto"/>
            <w:bottom w:val="none" w:sz="0" w:space="0" w:color="auto"/>
            <w:right w:val="none" w:sz="0" w:space="0" w:color="auto"/>
          </w:divBdr>
        </w:div>
      </w:divsChild>
    </w:div>
    <w:div w:id="1881480117">
      <w:bodyDiv w:val="1"/>
      <w:marLeft w:val="0"/>
      <w:marRight w:val="0"/>
      <w:marTop w:val="0"/>
      <w:marBottom w:val="0"/>
      <w:divBdr>
        <w:top w:val="none" w:sz="0" w:space="0" w:color="auto"/>
        <w:left w:val="none" w:sz="0" w:space="0" w:color="auto"/>
        <w:bottom w:val="none" w:sz="0" w:space="0" w:color="auto"/>
        <w:right w:val="none" w:sz="0" w:space="0" w:color="auto"/>
      </w:divBdr>
    </w:div>
    <w:div w:id="1935018658">
      <w:bodyDiv w:val="1"/>
      <w:marLeft w:val="0"/>
      <w:marRight w:val="0"/>
      <w:marTop w:val="0"/>
      <w:marBottom w:val="0"/>
      <w:divBdr>
        <w:top w:val="none" w:sz="0" w:space="0" w:color="auto"/>
        <w:left w:val="none" w:sz="0" w:space="0" w:color="auto"/>
        <w:bottom w:val="none" w:sz="0" w:space="0" w:color="auto"/>
        <w:right w:val="none" w:sz="0" w:space="0" w:color="auto"/>
      </w:divBdr>
      <w:divsChild>
        <w:div w:id="493836397">
          <w:marLeft w:val="0"/>
          <w:marRight w:val="0"/>
          <w:marTop w:val="0"/>
          <w:marBottom w:val="0"/>
          <w:divBdr>
            <w:top w:val="none" w:sz="0" w:space="0" w:color="auto"/>
            <w:left w:val="none" w:sz="0" w:space="0" w:color="auto"/>
            <w:bottom w:val="none" w:sz="0" w:space="0" w:color="auto"/>
            <w:right w:val="none" w:sz="0" w:space="0" w:color="auto"/>
          </w:divBdr>
        </w:div>
        <w:div w:id="496188277">
          <w:marLeft w:val="0"/>
          <w:marRight w:val="0"/>
          <w:marTop w:val="0"/>
          <w:marBottom w:val="0"/>
          <w:divBdr>
            <w:top w:val="none" w:sz="0" w:space="0" w:color="auto"/>
            <w:left w:val="none" w:sz="0" w:space="0" w:color="auto"/>
            <w:bottom w:val="none" w:sz="0" w:space="0" w:color="auto"/>
            <w:right w:val="none" w:sz="0" w:space="0" w:color="auto"/>
          </w:divBdr>
        </w:div>
      </w:divsChild>
    </w:div>
    <w:div w:id="1935555772">
      <w:bodyDiv w:val="1"/>
      <w:marLeft w:val="0"/>
      <w:marRight w:val="0"/>
      <w:marTop w:val="0"/>
      <w:marBottom w:val="0"/>
      <w:divBdr>
        <w:top w:val="none" w:sz="0" w:space="0" w:color="auto"/>
        <w:left w:val="none" w:sz="0" w:space="0" w:color="auto"/>
        <w:bottom w:val="none" w:sz="0" w:space="0" w:color="auto"/>
        <w:right w:val="none" w:sz="0" w:space="0" w:color="auto"/>
      </w:divBdr>
    </w:div>
    <w:div w:id="1936395764">
      <w:bodyDiv w:val="1"/>
      <w:marLeft w:val="0"/>
      <w:marRight w:val="0"/>
      <w:marTop w:val="0"/>
      <w:marBottom w:val="0"/>
      <w:divBdr>
        <w:top w:val="none" w:sz="0" w:space="0" w:color="auto"/>
        <w:left w:val="none" w:sz="0" w:space="0" w:color="auto"/>
        <w:bottom w:val="none" w:sz="0" w:space="0" w:color="auto"/>
        <w:right w:val="none" w:sz="0" w:space="0" w:color="auto"/>
      </w:divBdr>
      <w:divsChild>
        <w:div w:id="4788542">
          <w:marLeft w:val="0"/>
          <w:marRight w:val="0"/>
          <w:marTop w:val="0"/>
          <w:marBottom w:val="0"/>
          <w:divBdr>
            <w:top w:val="none" w:sz="0" w:space="0" w:color="auto"/>
            <w:left w:val="none" w:sz="0" w:space="0" w:color="auto"/>
            <w:bottom w:val="none" w:sz="0" w:space="0" w:color="auto"/>
            <w:right w:val="none" w:sz="0" w:space="0" w:color="auto"/>
          </w:divBdr>
        </w:div>
        <w:div w:id="213657445">
          <w:marLeft w:val="0"/>
          <w:marRight w:val="0"/>
          <w:marTop w:val="0"/>
          <w:marBottom w:val="0"/>
          <w:divBdr>
            <w:top w:val="none" w:sz="0" w:space="0" w:color="auto"/>
            <w:left w:val="none" w:sz="0" w:space="0" w:color="auto"/>
            <w:bottom w:val="none" w:sz="0" w:space="0" w:color="auto"/>
            <w:right w:val="none" w:sz="0" w:space="0" w:color="auto"/>
          </w:divBdr>
        </w:div>
        <w:div w:id="424961343">
          <w:marLeft w:val="0"/>
          <w:marRight w:val="0"/>
          <w:marTop w:val="0"/>
          <w:marBottom w:val="0"/>
          <w:divBdr>
            <w:top w:val="none" w:sz="0" w:space="0" w:color="auto"/>
            <w:left w:val="none" w:sz="0" w:space="0" w:color="auto"/>
            <w:bottom w:val="none" w:sz="0" w:space="0" w:color="auto"/>
            <w:right w:val="none" w:sz="0" w:space="0" w:color="auto"/>
          </w:divBdr>
        </w:div>
        <w:div w:id="511334987">
          <w:marLeft w:val="0"/>
          <w:marRight w:val="0"/>
          <w:marTop w:val="0"/>
          <w:marBottom w:val="0"/>
          <w:divBdr>
            <w:top w:val="none" w:sz="0" w:space="0" w:color="auto"/>
            <w:left w:val="none" w:sz="0" w:space="0" w:color="auto"/>
            <w:bottom w:val="none" w:sz="0" w:space="0" w:color="auto"/>
            <w:right w:val="none" w:sz="0" w:space="0" w:color="auto"/>
          </w:divBdr>
        </w:div>
        <w:div w:id="571693358">
          <w:marLeft w:val="0"/>
          <w:marRight w:val="0"/>
          <w:marTop w:val="0"/>
          <w:marBottom w:val="0"/>
          <w:divBdr>
            <w:top w:val="none" w:sz="0" w:space="0" w:color="auto"/>
            <w:left w:val="none" w:sz="0" w:space="0" w:color="auto"/>
            <w:bottom w:val="none" w:sz="0" w:space="0" w:color="auto"/>
            <w:right w:val="none" w:sz="0" w:space="0" w:color="auto"/>
          </w:divBdr>
        </w:div>
        <w:div w:id="631056487">
          <w:marLeft w:val="0"/>
          <w:marRight w:val="0"/>
          <w:marTop w:val="0"/>
          <w:marBottom w:val="0"/>
          <w:divBdr>
            <w:top w:val="none" w:sz="0" w:space="0" w:color="auto"/>
            <w:left w:val="none" w:sz="0" w:space="0" w:color="auto"/>
            <w:bottom w:val="none" w:sz="0" w:space="0" w:color="auto"/>
            <w:right w:val="none" w:sz="0" w:space="0" w:color="auto"/>
          </w:divBdr>
        </w:div>
        <w:div w:id="854073816">
          <w:marLeft w:val="0"/>
          <w:marRight w:val="0"/>
          <w:marTop w:val="0"/>
          <w:marBottom w:val="0"/>
          <w:divBdr>
            <w:top w:val="none" w:sz="0" w:space="0" w:color="auto"/>
            <w:left w:val="none" w:sz="0" w:space="0" w:color="auto"/>
            <w:bottom w:val="none" w:sz="0" w:space="0" w:color="auto"/>
            <w:right w:val="none" w:sz="0" w:space="0" w:color="auto"/>
          </w:divBdr>
        </w:div>
        <w:div w:id="977489469">
          <w:marLeft w:val="0"/>
          <w:marRight w:val="0"/>
          <w:marTop w:val="0"/>
          <w:marBottom w:val="0"/>
          <w:divBdr>
            <w:top w:val="none" w:sz="0" w:space="0" w:color="auto"/>
            <w:left w:val="none" w:sz="0" w:space="0" w:color="auto"/>
            <w:bottom w:val="none" w:sz="0" w:space="0" w:color="auto"/>
            <w:right w:val="none" w:sz="0" w:space="0" w:color="auto"/>
          </w:divBdr>
        </w:div>
        <w:div w:id="1029141408">
          <w:marLeft w:val="0"/>
          <w:marRight w:val="0"/>
          <w:marTop w:val="0"/>
          <w:marBottom w:val="0"/>
          <w:divBdr>
            <w:top w:val="none" w:sz="0" w:space="0" w:color="auto"/>
            <w:left w:val="none" w:sz="0" w:space="0" w:color="auto"/>
            <w:bottom w:val="none" w:sz="0" w:space="0" w:color="auto"/>
            <w:right w:val="none" w:sz="0" w:space="0" w:color="auto"/>
          </w:divBdr>
        </w:div>
        <w:div w:id="1338921888">
          <w:marLeft w:val="0"/>
          <w:marRight w:val="0"/>
          <w:marTop w:val="0"/>
          <w:marBottom w:val="0"/>
          <w:divBdr>
            <w:top w:val="none" w:sz="0" w:space="0" w:color="auto"/>
            <w:left w:val="none" w:sz="0" w:space="0" w:color="auto"/>
            <w:bottom w:val="none" w:sz="0" w:space="0" w:color="auto"/>
            <w:right w:val="none" w:sz="0" w:space="0" w:color="auto"/>
          </w:divBdr>
        </w:div>
        <w:div w:id="1397557355">
          <w:marLeft w:val="0"/>
          <w:marRight w:val="0"/>
          <w:marTop w:val="0"/>
          <w:marBottom w:val="0"/>
          <w:divBdr>
            <w:top w:val="none" w:sz="0" w:space="0" w:color="auto"/>
            <w:left w:val="none" w:sz="0" w:space="0" w:color="auto"/>
            <w:bottom w:val="none" w:sz="0" w:space="0" w:color="auto"/>
            <w:right w:val="none" w:sz="0" w:space="0" w:color="auto"/>
          </w:divBdr>
        </w:div>
        <w:div w:id="1588885100">
          <w:marLeft w:val="0"/>
          <w:marRight w:val="0"/>
          <w:marTop w:val="0"/>
          <w:marBottom w:val="0"/>
          <w:divBdr>
            <w:top w:val="none" w:sz="0" w:space="0" w:color="auto"/>
            <w:left w:val="none" w:sz="0" w:space="0" w:color="auto"/>
            <w:bottom w:val="none" w:sz="0" w:space="0" w:color="auto"/>
            <w:right w:val="none" w:sz="0" w:space="0" w:color="auto"/>
          </w:divBdr>
        </w:div>
        <w:div w:id="1853032733">
          <w:marLeft w:val="0"/>
          <w:marRight w:val="0"/>
          <w:marTop w:val="0"/>
          <w:marBottom w:val="0"/>
          <w:divBdr>
            <w:top w:val="none" w:sz="0" w:space="0" w:color="auto"/>
            <w:left w:val="none" w:sz="0" w:space="0" w:color="auto"/>
            <w:bottom w:val="none" w:sz="0" w:space="0" w:color="auto"/>
            <w:right w:val="none" w:sz="0" w:space="0" w:color="auto"/>
          </w:divBdr>
        </w:div>
        <w:div w:id="2066369471">
          <w:marLeft w:val="0"/>
          <w:marRight w:val="0"/>
          <w:marTop w:val="0"/>
          <w:marBottom w:val="0"/>
          <w:divBdr>
            <w:top w:val="none" w:sz="0" w:space="0" w:color="auto"/>
            <w:left w:val="none" w:sz="0" w:space="0" w:color="auto"/>
            <w:bottom w:val="none" w:sz="0" w:space="0" w:color="auto"/>
            <w:right w:val="none" w:sz="0" w:space="0" w:color="auto"/>
          </w:divBdr>
        </w:div>
      </w:divsChild>
    </w:div>
    <w:div w:id="1949383290">
      <w:bodyDiv w:val="1"/>
      <w:marLeft w:val="0"/>
      <w:marRight w:val="0"/>
      <w:marTop w:val="0"/>
      <w:marBottom w:val="0"/>
      <w:divBdr>
        <w:top w:val="none" w:sz="0" w:space="0" w:color="auto"/>
        <w:left w:val="none" w:sz="0" w:space="0" w:color="auto"/>
        <w:bottom w:val="none" w:sz="0" w:space="0" w:color="auto"/>
        <w:right w:val="none" w:sz="0" w:space="0" w:color="auto"/>
      </w:divBdr>
    </w:div>
    <w:div w:id="2023772718">
      <w:bodyDiv w:val="1"/>
      <w:marLeft w:val="0"/>
      <w:marRight w:val="0"/>
      <w:marTop w:val="0"/>
      <w:marBottom w:val="0"/>
      <w:divBdr>
        <w:top w:val="none" w:sz="0" w:space="0" w:color="auto"/>
        <w:left w:val="none" w:sz="0" w:space="0" w:color="auto"/>
        <w:bottom w:val="none" w:sz="0" w:space="0" w:color="auto"/>
        <w:right w:val="none" w:sz="0" w:space="0" w:color="auto"/>
      </w:divBdr>
      <w:divsChild>
        <w:div w:id="1540050455">
          <w:marLeft w:val="0"/>
          <w:marRight w:val="0"/>
          <w:marTop w:val="0"/>
          <w:marBottom w:val="0"/>
          <w:divBdr>
            <w:top w:val="none" w:sz="0" w:space="0" w:color="auto"/>
            <w:left w:val="none" w:sz="0" w:space="0" w:color="auto"/>
            <w:bottom w:val="none" w:sz="0" w:space="0" w:color="auto"/>
            <w:right w:val="none" w:sz="0" w:space="0" w:color="auto"/>
          </w:divBdr>
          <w:divsChild>
            <w:div w:id="2114400719">
              <w:marLeft w:val="0"/>
              <w:marRight w:val="0"/>
              <w:marTop w:val="0"/>
              <w:marBottom w:val="0"/>
              <w:divBdr>
                <w:top w:val="none" w:sz="0" w:space="0" w:color="auto"/>
                <w:left w:val="none" w:sz="0" w:space="0" w:color="auto"/>
                <w:bottom w:val="none" w:sz="0" w:space="0" w:color="auto"/>
                <w:right w:val="none" w:sz="0" w:space="0" w:color="auto"/>
              </w:divBdr>
              <w:divsChild>
                <w:div w:id="2097172369">
                  <w:marLeft w:val="0"/>
                  <w:marRight w:val="0"/>
                  <w:marTop w:val="0"/>
                  <w:marBottom w:val="0"/>
                  <w:divBdr>
                    <w:top w:val="none" w:sz="0" w:space="0" w:color="auto"/>
                    <w:left w:val="none" w:sz="0" w:space="0" w:color="auto"/>
                    <w:bottom w:val="none" w:sz="0" w:space="0" w:color="auto"/>
                    <w:right w:val="none" w:sz="0" w:space="0" w:color="auto"/>
                  </w:divBdr>
                  <w:divsChild>
                    <w:div w:id="1874224442">
                      <w:marLeft w:val="0"/>
                      <w:marRight w:val="0"/>
                      <w:marTop w:val="0"/>
                      <w:marBottom w:val="0"/>
                      <w:divBdr>
                        <w:top w:val="none" w:sz="0" w:space="0" w:color="auto"/>
                        <w:left w:val="none" w:sz="0" w:space="0" w:color="auto"/>
                        <w:bottom w:val="none" w:sz="0" w:space="0" w:color="auto"/>
                        <w:right w:val="none" w:sz="0" w:space="0" w:color="auto"/>
                      </w:divBdr>
                      <w:divsChild>
                        <w:div w:id="829180779">
                          <w:marLeft w:val="0"/>
                          <w:marRight w:val="0"/>
                          <w:marTop w:val="0"/>
                          <w:marBottom w:val="0"/>
                          <w:divBdr>
                            <w:top w:val="none" w:sz="0" w:space="0" w:color="auto"/>
                            <w:left w:val="none" w:sz="0" w:space="0" w:color="auto"/>
                            <w:bottom w:val="none" w:sz="0" w:space="0" w:color="auto"/>
                            <w:right w:val="none" w:sz="0" w:space="0" w:color="auto"/>
                          </w:divBdr>
                          <w:divsChild>
                            <w:div w:id="4998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232717">
      <w:bodyDiv w:val="1"/>
      <w:marLeft w:val="0"/>
      <w:marRight w:val="0"/>
      <w:marTop w:val="0"/>
      <w:marBottom w:val="0"/>
      <w:divBdr>
        <w:top w:val="none" w:sz="0" w:space="0" w:color="auto"/>
        <w:left w:val="none" w:sz="0" w:space="0" w:color="auto"/>
        <w:bottom w:val="none" w:sz="0" w:space="0" w:color="auto"/>
        <w:right w:val="none" w:sz="0" w:space="0" w:color="auto"/>
      </w:divBdr>
    </w:div>
    <w:div w:id="2146047815">
      <w:bodyDiv w:val="1"/>
      <w:marLeft w:val="0"/>
      <w:marRight w:val="0"/>
      <w:marTop w:val="0"/>
      <w:marBottom w:val="0"/>
      <w:divBdr>
        <w:top w:val="none" w:sz="0" w:space="0" w:color="auto"/>
        <w:left w:val="none" w:sz="0" w:space="0" w:color="auto"/>
        <w:bottom w:val="none" w:sz="0" w:space="0" w:color="auto"/>
        <w:right w:val="none" w:sz="0" w:space="0" w:color="auto"/>
      </w:divBdr>
      <w:divsChild>
        <w:div w:id="1111362110">
          <w:marLeft w:val="0"/>
          <w:marRight w:val="0"/>
          <w:marTop w:val="0"/>
          <w:marBottom w:val="0"/>
          <w:divBdr>
            <w:top w:val="none" w:sz="0" w:space="0" w:color="auto"/>
            <w:left w:val="none" w:sz="0" w:space="0" w:color="auto"/>
            <w:bottom w:val="none" w:sz="0" w:space="0" w:color="auto"/>
            <w:right w:val="none" w:sz="0" w:space="0" w:color="auto"/>
          </w:divBdr>
        </w:div>
        <w:div w:id="1783379384">
          <w:marLeft w:val="0"/>
          <w:marRight w:val="0"/>
          <w:marTop w:val="0"/>
          <w:marBottom w:val="0"/>
          <w:divBdr>
            <w:top w:val="none" w:sz="0" w:space="0" w:color="auto"/>
            <w:left w:val="none" w:sz="0" w:space="0" w:color="auto"/>
            <w:bottom w:val="none" w:sz="0" w:space="0" w:color="auto"/>
            <w:right w:val="none" w:sz="0" w:space="0" w:color="auto"/>
          </w:divBdr>
        </w:div>
        <w:div w:id="1658146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creativecommons.org/licenses/by/4.0/deed.en" TargetMode="External"/><Relationship Id="rId26" Type="http://schemas.openxmlformats.org/officeDocument/2006/relationships/header" Target="header6.xml"/><Relationship Id="rId21" Type="http://schemas.openxmlformats.org/officeDocument/2006/relationships/hyperlink" Target="https://treasury.gov.au/sites/default/files/2023-11/shap-nt.pdf" TargetMode="Externa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wmf"/><Relationship Id="rId25" Type="http://schemas.openxmlformats.org/officeDocument/2006/relationships/footer" Target="footer5.xml"/><Relationship Id="rId33" Type="http://schemas.openxmlformats.org/officeDocument/2006/relationships/footer" Target="foot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reativecommons.org/licenses/by/4.0/legalcode.en" TargetMode="External"/><Relationship Id="rId20" Type="http://schemas.openxmlformats.org/officeDocument/2006/relationships/hyperlink" Target="https://ourfuture.nt.gov.au/accountability-and-reporting/program-progress"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header" Target="header8.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image" Target="media/image4.jpeg"/><Relationship Id="rId36" Type="http://schemas.openxmlformats.org/officeDocument/2006/relationships/footer" Target="footer9.xml"/><Relationship Id="rId10" Type="http://schemas.openxmlformats.org/officeDocument/2006/relationships/header" Target="header1.xml"/><Relationship Id="rId19" Type="http://schemas.openxmlformats.org/officeDocument/2006/relationships/hyperlink" Target="https://environment.nt.gov.au/careers-programs-publications/land-development-process-report-and-recommendations" TargetMode="Externa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6.png"/><Relationship Id="rId35" Type="http://schemas.openxmlformats.org/officeDocument/2006/relationships/header" Target="header9.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SYBrand">
  <a:themeElements>
    <a:clrScheme name="Blueprint 3">
      <a:dk1>
        <a:sysClr val="windowText" lastClr="000000"/>
      </a:dk1>
      <a:lt1>
        <a:sysClr val="window" lastClr="FFFFFF"/>
      </a:lt1>
      <a:dk2>
        <a:srgbClr val="336699"/>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5BA58-92DA-4848-8F58-21BEF4ECB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5953</Words>
  <Characters>33933</Characters>
  <Application>Microsoft Office Word</Application>
  <DocSecurity>0</DocSecurity>
  <Lines>282</Lines>
  <Paragraphs>79</Paragraphs>
  <ScaleCrop>false</ScaleCrop>
  <Company/>
  <LinksUpToDate>false</LinksUpToDate>
  <CharactersWithSpaces>39807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Planning Reform Blueprint – Northern Territory progress report September 2025</dc:title>
  <dc:subject/>
  <dc:creator>Northern Territory Government</dc:creator>
  <cp:keywords/>
  <cp:lastModifiedBy/>
  <cp:revision>1</cp:revision>
  <dcterms:created xsi:type="dcterms:W3CDTF">2026-06-10T02:23:00Z</dcterms:created>
  <dcterms:modified xsi:type="dcterms:W3CDTF">2026-06-10T02:23:00Z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2026-06-10T02:23:20Z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a0d36f5d-e5a3-46b0-85b8-dc79416656dc</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