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336699" w:themeColor="text2"/>
          <w:kern w:val="2"/>
          <w:sz w:val="32"/>
          <w:szCs w:val="32"/>
        </w:rPr>
        <w:id w:val="-874617159"/>
        <w:docPartObj>
          <w:docPartGallery w:val="Cover Pages"/>
          <w:docPartUnique/>
        </w:docPartObj>
      </w:sdtPr>
      <w:sdtContent>
        <w:p w14:paraId="63187F1E" w14:textId="019F4422" w:rsidR="00526D7C" w:rsidRPr="00AB00A9" w:rsidRDefault="00781253" w:rsidP="003E05DB">
          <w:pPr>
            <w:pStyle w:val="ListParagraph"/>
            <w:ind w:left="0"/>
            <w:jc w:val="right"/>
            <w:rPr>
              <w:noProof/>
              <w:kern w:val="2"/>
            </w:rPr>
          </w:pPr>
          <w:r w:rsidRPr="00060903">
            <w:rPr>
              <w:noProof/>
              <w:color w:val="auto"/>
              <w:kern w:val="2"/>
              <w:sz w:val="24"/>
              <w:szCs w:val="24"/>
            </w:rPr>
            <w:drawing>
              <wp:anchor distT="0" distB="0" distL="114300" distR="114300" simplePos="0" relativeHeight="251658240" behindDoc="1" locked="0" layoutInCell="1" allowOverlap="1" wp14:anchorId="0ECE6865" wp14:editId="2D8C75C8">
                <wp:simplePos x="0" y="0"/>
                <wp:positionH relativeFrom="page">
                  <wp:posOffset>-6985</wp:posOffset>
                </wp:positionH>
                <wp:positionV relativeFrom="margin">
                  <wp:posOffset>184785</wp:posOffset>
                </wp:positionV>
                <wp:extent cx="7570470" cy="87350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7570470" cy="8735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5DA48D" w14:textId="77777777" w:rsidR="00526D7C" w:rsidRPr="00AB00A9" w:rsidRDefault="00526D7C" w:rsidP="00781253">
          <w:pPr>
            <w:pStyle w:val="ListParagraph"/>
            <w:ind w:left="0"/>
            <w:rPr>
              <w:noProof/>
              <w:kern w:val="2"/>
            </w:rPr>
          </w:pPr>
        </w:p>
        <w:p w14:paraId="1222F97B" w14:textId="77777777" w:rsidR="00526D7C" w:rsidRPr="00AB00A9" w:rsidRDefault="00526D7C" w:rsidP="00781253">
          <w:pPr>
            <w:pStyle w:val="ListParagraph"/>
            <w:ind w:left="0"/>
            <w:rPr>
              <w:noProof/>
              <w:kern w:val="2"/>
            </w:rPr>
          </w:pPr>
        </w:p>
        <w:p w14:paraId="3F437D19" w14:textId="77777777" w:rsidR="00BF3DBE" w:rsidRPr="00AB00A9" w:rsidRDefault="00BF3DBE" w:rsidP="00BF3DBE">
          <w:pPr>
            <w:pStyle w:val="ListParagraph"/>
            <w:rPr>
              <w:kern w:val="2"/>
            </w:rPr>
          </w:pPr>
        </w:p>
        <w:p w14:paraId="1B2302BF" w14:textId="7AD0EADE" w:rsidR="00BF3DBE" w:rsidRPr="00AB00A9" w:rsidRDefault="00BF3DBE" w:rsidP="00BF3DBE">
          <w:pPr>
            <w:pStyle w:val="Title"/>
            <w:tabs>
              <w:tab w:val="left" w:pos="6379"/>
            </w:tabs>
            <w:spacing w:after="240" w:line="720" w:lineRule="exact"/>
            <w:ind w:right="1982"/>
            <w:rPr>
              <w:kern w:val="2"/>
            </w:rPr>
          </w:pPr>
          <w:r w:rsidRPr="00AB00A9">
            <w:rPr>
              <w:color w:val="336699" w:themeColor="text2"/>
              <w:kern w:val="2"/>
            </w:rPr>
            <w:t>National Planning Reform Blueprint</w:t>
          </w:r>
          <w:r w:rsidRPr="00AB00A9">
            <w:rPr>
              <w:kern w:val="2"/>
            </w:rPr>
            <w:br/>
          </w:r>
          <w:r w:rsidRPr="00AB00A9">
            <w:rPr>
              <w:b w:val="0"/>
              <w:bCs/>
              <w:kern w:val="2"/>
              <w:sz w:val="48"/>
              <w:szCs w:val="28"/>
            </w:rPr>
            <w:t xml:space="preserve">Australian Capital Territory (ACT) </w:t>
          </w:r>
          <w:r w:rsidR="003703A1">
            <w:rPr>
              <w:b w:val="0"/>
              <w:bCs/>
              <w:kern w:val="2"/>
              <w:sz w:val="48"/>
              <w:szCs w:val="28"/>
            </w:rPr>
            <w:t>September</w:t>
          </w:r>
          <w:r w:rsidR="003703A1" w:rsidRPr="00AB00A9">
            <w:rPr>
              <w:b w:val="0"/>
              <w:bCs/>
              <w:kern w:val="2"/>
              <w:sz w:val="48"/>
              <w:szCs w:val="28"/>
            </w:rPr>
            <w:t xml:space="preserve"> </w:t>
          </w:r>
          <w:r w:rsidRPr="00AB00A9">
            <w:rPr>
              <w:b w:val="0"/>
              <w:bCs/>
              <w:kern w:val="2"/>
              <w:sz w:val="48"/>
              <w:szCs w:val="28"/>
            </w:rPr>
            <w:t>202</w:t>
          </w:r>
          <w:r w:rsidR="007B7153">
            <w:rPr>
              <w:b w:val="0"/>
              <w:bCs/>
              <w:kern w:val="2"/>
              <w:sz w:val="48"/>
              <w:szCs w:val="28"/>
            </w:rPr>
            <w:t>5</w:t>
          </w:r>
          <w:r w:rsidRPr="00AB00A9">
            <w:rPr>
              <w:b w:val="0"/>
              <w:bCs/>
              <w:kern w:val="2"/>
              <w:sz w:val="48"/>
              <w:szCs w:val="28"/>
            </w:rPr>
            <w:t xml:space="preserve"> </w:t>
          </w:r>
          <w:r w:rsidR="008F1874">
            <w:rPr>
              <w:b w:val="0"/>
              <w:bCs/>
              <w:kern w:val="2"/>
              <w:sz w:val="48"/>
              <w:szCs w:val="28"/>
            </w:rPr>
            <w:t>P</w:t>
          </w:r>
          <w:r w:rsidRPr="00AB00A9">
            <w:rPr>
              <w:b w:val="0"/>
              <w:bCs/>
              <w:kern w:val="2"/>
              <w:sz w:val="48"/>
              <w:szCs w:val="28"/>
            </w:rPr>
            <w:t xml:space="preserve">rogress </w:t>
          </w:r>
          <w:r w:rsidR="008F1874">
            <w:rPr>
              <w:b w:val="0"/>
              <w:bCs/>
              <w:kern w:val="2"/>
              <w:sz w:val="48"/>
              <w:szCs w:val="28"/>
            </w:rPr>
            <w:t>R</w:t>
          </w:r>
          <w:r w:rsidRPr="00AB00A9">
            <w:rPr>
              <w:b w:val="0"/>
              <w:bCs/>
              <w:kern w:val="2"/>
              <w:sz w:val="48"/>
              <w:szCs w:val="28"/>
            </w:rPr>
            <w:t>eport</w:t>
          </w:r>
        </w:p>
        <w:p w14:paraId="65445FA8" w14:textId="77777777" w:rsidR="00526D7C" w:rsidRPr="00AB00A9" w:rsidRDefault="00526D7C" w:rsidP="00781253">
          <w:pPr>
            <w:pStyle w:val="ListParagraph"/>
            <w:ind w:left="0"/>
            <w:rPr>
              <w:color w:val="336699" w:themeColor="text2"/>
              <w:kern w:val="2"/>
              <w:sz w:val="32"/>
            </w:rPr>
          </w:pPr>
        </w:p>
        <w:p w14:paraId="104D9097" w14:textId="77777777" w:rsidR="00781253" w:rsidRPr="00AB00A9" w:rsidRDefault="00781253" w:rsidP="00781253">
          <w:pPr>
            <w:pStyle w:val="ListParagraph"/>
            <w:rPr>
              <w:kern w:val="2"/>
            </w:rPr>
          </w:pPr>
        </w:p>
        <w:p w14:paraId="02B65A0F" w14:textId="4050B73C" w:rsidR="00781253" w:rsidRPr="00AB00A9" w:rsidRDefault="00781253" w:rsidP="00526D7C">
          <w:pPr>
            <w:pStyle w:val="ReportDate"/>
            <w:rPr>
              <w:kern w:val="2"/>
            </w:rPr>
            <w:sectPr w:rsidR="00781253" w:rsidRPr="00AB00A9" w:rsidSect="00D51EE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gNumType w:fmt="lowerRoman" w:start="0"/>
              <w:cols w:space="708"/>
              <w:vAlign w:val="center"/>
              <w:titlePg/>
              <w:docGrid w:linePitch="360"/>
            </w:sectPr>
          </w:pPr>
          <w:r w:rsidRPr="00AB00A9">
            <w:rPr>
              <w:kern w:val="2"/>
            </w:rPr>
            <w:br w:type="page"/>
          </w:r>
        </w:p>
      </w:sdtContent>
    </w:sdt>
    <w:bookmarkStart w:id="0" w:name="_Toc168065264" w:displacedByCustomXml="next"/>
    <w:bookmarkStart w:id="1" w:name="_Toc168064953" w:displacedByCustomXml="next"/>
    <w:sdt>
      <w:sdtPr>
        <w:rPr>
          <w:kern w:val="2"/>
        </w:rPr>
        <w:id w:val="657355207"/>
        <w:docPartObj>
          <w:docPartGallery w:val="Table of Contents"/>
          <w:docPartUnique/>
        </w:docPartObj>
      </w:sdtPr>
      <w:sdtEndPr>
        <w:rPr>
          <w:b/>
          <w:bCs/>
          <w:noProof/>
        </w:rPr>
      </w:sdtEndPr>
      <w:sdtContent>
        <w:p w14:paraId="54934B6B" w14:textId="4A20A771" w:rsidR="00833019" w:rsidRPr="00AB00A9" w:rsidRDefault="00833019" w:rsidP="00207D2C">
          <w:pPr>
            <w:rPr>
              <w:rStyle w:val="Heading1Char"/>
              <w:kern w:val="2"/>
            </w:rPr>
          </w:pPr>
          <w:r w:rsidRPr="00AB00A9">
            <w:rPr>
              <w:rStyle w:val="Heading1Char"/>
              <w:kern w:val="2"/>
            </w:rPr>
            <w:t>Contents</w:t>
          </w:r>
        </w:p>
        <w:p w14:paraId="22B08351" w14:textId="17F2FFBA" w:rsidR="009E74A0" w:rsidRDefault="00833019">
          <w:pPr>
            <w:pStyle w:val="TOC1"/>
            <w:rPr>
              <w:rFonts w:eastAsiaTheme="minorEastAsia" w:cstheme="minorBidi"/>
              <w:b w:val="0"/>
              <w:color w:val="auto"/>
              <w:kern w:val="2"/>
              <w:szCs w:val="24"/>
              <w14:ligatures w14:val="standardContextual"/>
            </w:rPr>
          </w:pPr>
          <w:r w:rsidRPr="00AB00A9">
            <w:rPr>
              <w:kern w:val="2"/>
            </w:rPr>
            <w:fldChar w:fldCharType="begin"/>
          </w:r>
          <w:r w:rsidRPr="00AB00A9">
            <w:rPr>
              <w:kern w:val="2"/>
            </w:rPr>
            <w:instrText xml:space="preserve"> TOC \o "1-3" \h \z \u </w:instrText>
          </w:r>
          <w:r w:rsidRPr="00AB00A9">
            <w:rPr>
              <w:kern w:val="2"/>
            </w:rPr>
            <w:fldChar w:fldCharType="separate"/>
          </w:r>
          <w:hyperlink w:anchor="_Toc224730864" w:history="1">
            <w:r w:rsidR="009E74A0" w:rsidRPr="00375B6D">
              <w:rPr>
                <w:rStyle w:val="Hyperlink"/>
                <w:lang w:eastAsia="en-US"/>
              </w:rPr>
              <w:t>Measure 2</w:t>
            </w:r>
            <w:r w:rsidR="009E74A0">
              <w:rPr>
                <w:webHidden/>
              </w:rPr>
              <w:tab/>
            </w:r>
            <w:r w:rsidR="009E74A0">
              <w:rPr>
                <w:webHidden/>
              </w:rPr>
              <w:fldChar w:fldCharType="begin"/>
            </w:r>
            <w:r w:rsidR="009E74A0">
              <w:rPr>
                <w:webHidden/>
              </w:rPr>
              <w:instrText xml:space="preserve"> PAGEREF _Toc224730864 \h </w:instrText>
            </w:r>
            <w:r w:rsidR="009E74A0">
              <w:rPr>
                <w:webHidden/>
              </w:rPr>
            </w:r>
            <w:r w:rsidR="009E74A0">
              <w:rPr>
                <w:webHidden/>
              </w:rPr>
              <w:fldChar w:fldCharType="separate"/>
            </w:r>
            <w:r w:rsidR="009E74A0">
              <w:rPr>
                <w:webHidden/>
              </w:rPr>
              <w:t>1</w:t>
            </w:r>
            <w:r w:rsidR="009E74A0">
              <w:rPr>
                <w:webHidden/>
              </w:rPr>
              <w:fldChar w:fldCharType="end"/>
            </w:r>
          </w:hyperlink>
        </w:p>
        <w:p w14:paraId="68AA7AA3" w14:textId="0924D721" w:rsidR="009E74A0" w:rsidRDefault="009E74A0">
          <w:pPr>
            <w:pStyle w:val="TOC2"/>
            <w:rPr>
              <w:rFonts w:eastAsiaTheme="minorEastAsia" w:cstheme="minorBidi"/>
              <w:color w:val="auto"/>
              <w:kern w:val="2"/>
              <w:sz w:val="24"/>
              <w:szCs w:val="24"/>
              <w14:ligatures w14:val="standardContextual"/>
            </w:rPr>
          </w:pPr>
          <w:hyperlink w:anchor="_Toc224730865" w:history="1">
            <w:r w:rsidRPr="00375B6D">
              <w:rPr>
                <w:rStyle w:val="Hyperlink"/>
              </w:rPr>
              <w:t>How the ACT’s strategic plan(s) will deliver on housing supply targets</w:t>
            </w:r>
            <w:r>
              <w:rPr>
                <w:webHidden/>
              </w:rPr>
              <w:tab/>
            </w:r>
            <w:r>
              <w:rPr>
                <w:webHidden/>
              </w:rPr>
              <w:fldChar w:fldCharType="begin"/>
            </w:r>
            <w:r>
              <w:rPr>
                <w:webHidden/>
              </w:rPr>
              <w:instrText xml:space="preserve"> PAGEREF _Toc224730865 \h </w:instrText>
            </w:r>
            <w:r>
              <w:rPr>
                <w:webHidden/>
              </w:rPr>
            </w:r>
            <w:r>
              <w:rPr>
                <w:webHidden/>
              </w:rPr>
              <w:fldChar w:fldCharType="separate"/>
            </w:r>
            <w:r>
              <w:rPr>
                <w:webHidden/>
              </w:rPr>
              <w:t>1</w:t>
            </w:r>
            <w:r>
              <w:rPr>
                <w:webHidden/>
              </w:rPr>
              <w:fldChar w:fldCharType="end"/>
            </w:r>
          </w:hyperlink>
        </w:p>
        <w:p w14:paraId="6F2FB29A" w14:textId="1D1E362F" w:rsidR="009E74A0" w:rsidRDefault="009E74A0">
          <w:pPr>
            <w:pStyle w:val="TOC3"/>
            <w:rPr>
              <w:rFonts w:eastAsiaTheme="minorEastAsia" w:cstheme="minorBidi"/>
              <w:color w:val="auto"/>
              <w:kern w:val="2"/>
              <w:sz w:val="24"/>
              <w:szCs w:val="24"/>
              <w14:ligatures w14:val="standardContextual"/>
            </w:rPr>
          </w:pPr>
          <w:hyperlink w:anchor="_Toc224730866" w:history="1">
            <w:r w:rsidRPr="00375B6D">
              <w:rPr>
                <w:rStyle w:val="Hyperlink"/>
              </w:rPr>
              <w:t>National Housing Supply Targets</w:t>
            </w:r>
            <w:r>
              <w:rPr>
                <w:webHidden/>
              </w:rPr>
              <w:tab/>
            </w:r>
            <w:r>
              <w:rPr>
                <w:webHidden/>
              </w:rPr>
              <w:fldChar w:fldCharType="begin"/>
            </w:r>
            <w:r>
              <w:rPr>
                <w:webHidden/>
              </w:rPr>
              <w:instrText xml:space="preserve"> PAGEREF _Toc224730866 \h </w:instrText>
            </w:r>
            <w:r>
              <w:rPr>
                <w:webHidden/>
              </w:rPr>
            </w:r>
            <w:r>
              <w:rPr>
                <w:webHidden/>
              </w:rPr>
              <w:fldChar w:fldCharType="separate"/>
            </w:r>
            <w:r>
              <w:rPr>
                <w:webHidden/>
              </w:rPr>
              <w:t>1</w:t>
            </w:r>
            <w:r>
              <w:rPr>
                <w:webHidden/>
              </w:rPr>
              <w:fldChar w:fldCharType="end"/>
            </w:r>
          </w:hyperlink>
        </w:p>
        <w:p w14:paraId="13E3B3A9" w14:textId="532E6FEC" w:rsidR="009E74A0" w:rsidRDefault="009E74A0">
          <w:pPr>
            <w:pStyle w:val="TOC3"/>
            <w:rPr>
              <w:rFonts w:eastAsiaTheme="minorEastAsia" w:cstheme="minorBidi"/>
              <w:color w:val="auto"/>
              <w:kern w:val="2"/>
              <w:sz w:val="24"/>
              <w:szCs w:val="24"/>
              <w14:ligatures w14:val="standardContextual"/>
            </w:rPr>
          </w:pPr>
          <w:hyperlink w:anchor="_Toc224730867" w:history="1">
            <w:r w:rsidRPr="00375B6D">
              <w:rPr>
                <w:rStyle w:val="Hyperlink"/>
              </w:rPr>
              <w:t>Planning and housing supply in the ACT</w:t>
            </w:r>
            <w:r>
              <w:rPr>
                <w:webHidden/>
              </w:rPr>
              <w:tab/>
            </w:r>
            <w:r>
              <w:rPr>
                <w:webHidden/>
              </w:rPr>
              <w:fldChar w:fldCharType="begin"/>
            </w:r>
            <w:r>
              <w:rPr>
                <w:webHidden/>
              </w:rPr>
              <w:instrText xml:space="preserve"> PAGEREF _Toc224730867 \h </w:instrText>
            </w:r>
            <w:r>
              <w:rPr>
                <w:webHidden/>
              </w:rPr>
            </w:r>
            <w:r>
              <w:rPr>
                <w:webHidden/>
              </w:rPr>
              <w:fldChar w:fldCharType="separate"/>
            </w:r>
            <w:r>
              <w:rPr>
                <w:webHidden/>
              </w:rPr>
              <w:t>2</w:t>
            </w:r>
            <w:r>
              <w:rPr>
                <w:webHidden/>
              </w:rPr>
              <w:fldChar w:fldCharType="end"/>
            </w:r>
          </w:hyperlink>
        </w:p>
        <w:p w14:paraId="21701BA9" w14:textId="57DD08E1" w:rsidR="009E74A0" w:rsidRDefault="009E74A0">
          <w:pPr>
            <w:pStyle w:val="TOC3"/>
            <w:rPr>
              <w:rFonts w:eastAsiaTheme="minorEastAsia" w:cstheme="minorBidi"/>
              <w:color w:val="auto"/>
              <w:kern w:val="2"/>
              <w:sz w:val="24"/>
              <w:szCs w:val="24"/>
              <w14:ligatures w14:val="standardContextual"/>
            </w:rPr>
          </w:pPr>
          <w:hyperlink w:anchor="_Toc224730868" w:history="1">
            <w:r w:rsidRPr="00375B6D">
              <w:rPr>
                <w:rStyle w:val="Hyperlink"/>
              </w:rPr>
              <w:t>Links with infrastructure pipelines</w:t>
            </w:r>
            <w:r>
              <w:rPr>
                <w:webHidden/>
              </w:rPr>
              <w:tab/>
            </w:r>
            <w:r>
              <w:rPr>
                <w:webHidden/>
              </w:rPr>
              <w:fldChar w:fldCharType="begin"/>
            </w:r>
            <w:r>
              <w:rPr>
                <w:webHidden/>
              </w:rPr>
              <w:instrText xml:space="preserve"> PAGEREF _Toc224730868 \h </w:instrText>
            </w:r>
            <w:r>
              <w:rPr>
                <w:webHidden/>
              </w:rPr>
            </w:r>
            <w:r>
              <w:rPr>
                <w:webHidden/>
              </w:rPr>
              <w:fldChar w:fldCharType="separate"/>
            </w:r>
            <w:r>
              <w:rPr>
                <w:webHidden/>
              </w:rPr>
              <w:t>4</w:t>
            </w:r>
            <w:r>
              <w:rPr>
                <w:webHidden/>
              </w:rPr>
              <w:fldChar w:fldCharType="end"/>
            </w:r>
          </w:hyperlink>
        </w:p>
        <w:p w14:paraId="64E1DDE3" w14:textId="151A7F04" w:rsidR="009E74A0" w:rsidRDefault="009E74A0">
          <w:pPr>
            <w:pStyle w:val="TOC3"/>
            <w:rPr>
              <w:rFonts w:eastAsiaTheme="minorEastAsia" w:cstheme="minorBidi"/>
              <w:color w:val="auto"/>
              <w:kern w:val="2"/>
              <w:sz w:val="24"/>
              <w:szCs w:val="24"/>
              <w14:ligatures w14:val="standardContextual"/>
            </w:rPr>
          </w:pPr>
          <w:hyperlink w:anchor="_Toc224730869" w:history="1">
            <w:r w:rsidRPr="00375B6D">
              <w:rPr>
                <w:rStyle w:val="Hyperlink"/>
              </w:rPr>
              <w:t>Affordable housing</w:t>
            </w:r>
            <w:r>
              <w:rPr>
                <w:webHidden/>
              </w:rPr>
              <w:tab/>
            </w:r>
            <w:r>
              <w:rPr>
                <w:webHidden/>
              </w:rPr>
              <w:fldChar w:fldCharType="begin"/>
            </w:r>
            <w:r>
              <w:rPr>
                <w:webHidden/>
              </w:rPr>
              <w:instrText xml:space="preserve"> PAGEREF _Toc224730869 \h </w:instrText>
            </w:r>
            <w:r>
              <w:rPr>
                <w:webHidden/>
              </w:rPr>
            </w:r>
            <w:r>
              <w:rPr>
                <w:webHidden/>
              </w:rPr>
              <w:fldChar w:fldCharType="separate"/>
            </w:r>
            <w:r>
              <w:rPr>
                <w:webHidden/>
              </w:rPr>
              <w:t>4</w:t>
            </w:r>
            <w:r>
              <w:rPr>
                <w:webHidden/>
              </w:rPr>
              <w:fldChar w:fldCharType="end"/>
            </w:r>
          </w:hyperlink>
        </w:p>
        <w:p w14:paraId="480A2FD8" w14:textId="7379CC4D" w:rsidR="009E74A0" w:rsidRDefault="009E74A0">
          <w:pPr>
            <w:pStyle w:val="TOC3"/>
            <w:rPr>
              <w:rFonts w:eastAsiaTheme="minorEastAsia" w:cstheme="minorBidi"/>
              <w:color w:val="auto"/>
              <w:kern w:val="2"/>
              <w:sz w:val="24"/>
              <w:szCs w:val="24"/>
              <w14:ligatures w14:val="standardContextual"/>
            </w:rPr>
          </w:pPr>
          <w:hyperlink w:anchor="_Toc224730870" w:history="1">
            <w:r w:rsidRPr="00375B6D">
              <w:rPr>
                <w:rStyle w:val="Hyperlink"/>
              </w:rPr>
              <w:t>Housing Australia Future Fund</w:t>
            </w:r>
            <w:r>
              <w:rPr>
                <w:webHidden/>
              </w:rPr>
              <w:tab/>
            </w:r>
            <w:r>
              <w:rPr>
                <w:webHidden/>
              </w:rPr>
              <w:fldChar w:fldCharType="begin"/>
            </w:r>
            <w:r>
              <w:rPr>
                <w:webHidden/>
              </w:rPr>
              <w:instrText xml:space="preserve"> PAGEREF _Toc224730870 \h </w:instrText>
            </w:r>
            <w:r>
              <w:rPr>
                <w:webHidden/>
              </w:rPr>
            </w:r>
            <w:r>
              <w:rPr>
                <w:webHidden/>
              </w:rPr>
              <w:fldChar w:fldCharType="separate"/>
            </w:r>
            <w:r>
              <w:rPr>
                <w:webHidden/>
              </w:rPr>
              <w:t>5</w:t>
            </w:r>
            <w:r>
              <w:rPr>
                <w:webHidden/>
              </w:rPr>
              <w:fldChar w:fldCharType="end"/>
            </w:r>
          </w:hyperlink>
        </w:p>
        <w:p w14:paraId="49DA5E44" w14:textId="184E67F8" w:rsidR="009E74A0" w:rsidRDefault="009E74A0">
          <w:pPr>
            <w:pStyle w:val="TOC1"/>
            <w:rPr>
              <w:rFonts w:eastAsiaTheme="minorEastAsia" w:cstheme="minorBidi"/>
              <w:b w:val="0"/>
              <w:color w:val="auto"/>
              <w:kern w:val="2"/>
              <w:szCs w:val="24"/>
              <w14:ligatures w14:val="standardContextual"/>
            </w:rPr>
          </w:pPr>
          <w:hyperlink w:anchor="_Toc224730871" w:history="1">
            <w:r w:rsidRPr="00375B6D">
              <w:rPr>
                <w:rStyle w:val="Hyperlink"/>
                <w:lang w:eastAsia="en-US"/>
              </w:rPr>
              <w:t>Measure 3</w:t>
            </w:r>
            <w:r>
              <w:rPr>
                <w:webHidden/>
              </w:rPr>
              <w:tab/>
            </w:r>
            <w:r>
              <w:rPr>
                <w:webHidden/>
              </w:rPr>
              <w:fldChar w:fldCharType="begin"/>
            </w:r>
            <w:r>
              <w:rPr>
                <w:webHidden/>
              </w:rPr>
              <w:instrText xml:space="preserve"> PAGEREF _Toc224730871 \h </w:instrText>
            </w:r>
            <w:r>
              <w:rPr>
                <w:webHidden/>
              </w:rPr>
            </w:r>
            <w:r>
              <w:rPr>
                <w:webHidden/>
              </w:rPr>
              <w:fldChar w:fldCharType="separate"/>
            </w:r>
            <w:r>
              <w:rPr>
                <w:webHidden/>
              </w:rPr>
              <w:t>6</w:t>
            </w:r>
            <w:r>
              <w:rPr>
                <w:webHidden/>
              </w:rPr>
              <w:fldChar w:fldCharType="end"/>
            </w:r>
          </w:hyperlink>
        </w:p>
        <w:p w14:paraId="595F26A7" w14:textId="5ADA904B" w:rsidR="009E74A0" w:rsidRDefault="009E74A0">
          <w:pPr>
            <w:pStyle w:val="TOC2"/>
            <w:rPr>
              <w:rFonts w:eastAsiaTheme="minorEastAsia" w:cstheme="minorBidi"/>
              <w:color w:val="auto"/>
              <w:kern w:val="2"/>
              <w:sz w:val="24"/>
              <w:szCs w:val="24"/>
              <w14:ligatures w14:val="standardContextual"/>
            </w:rPr>
          </w:pPr>
          <w:hyperlink w:anchor="_Toc224730872" w:history="1">
            <w:r w:rsidRPr="00375B6D">
              <w:rPr>
                <w:rStyle w:val="Hyperlink"/>
              </w:rPr>
              <w:t>Summary of planning reforms</w:t>
            </w:r>
            <w:r>
              <w:rPr>
                <w:webHidden/>
              </w:rPr>
              <w:tab/>
            </w:r>
            <w:r>
              <w:rPr>
                <w:webHidden/>
              </w:rPr>
              <w:fldChar w:fldCharType="begin"/>
            </w:r>
            <w:r>
              <w:rPr>
                <w:webHidden/>
              </w:rPr>
              <w:instrText xml:space="preserve"> PAGEREF _Toc224730872 \h </w:instrText>
            </w:r>
            <w:r>
              <w:rPr>
                <w:webHidden/>
              </w:rPr>
            </w:r>
            <w:r>
              <w:rPr>
                <w:webHidden/>
              </w:rPr>
              <w:fldChar w:fldCharType="separate"/>
            </w:r>
            <w:r>
              <w:rPr>
                <w:webHidden/>
              </w:rPr>
              <w:t>6</w:t>
            </w:r>
            <w:r>
              <w:rPr>
                <w:webHidden/>
              </w:rPr>
              <w:fldChar w:fldCharType="end"/>
            </w:r>
          </w:hyperlink>
        </w:p>
        <w:p w14:paraId="325AA73D" w14:textId="48501005" w:rsidR="009E74A0" w:rsidRDefault="009E74A0">
          <w:pPr>
            <w:pStyle w:val="TOC2"/>
            <w:rPr>
              <w:rFonts w:eastAsiaTheme="minorEastAsia" w:cstheme="minorBidi"/>
              <w:color w:val="auto"/>
              <w:kern w:val="2"/>
              <w:sz w:val="24"/>
              <w:szCs w:val="24"/>
              <w14:ligatures w14:val="standardContextual"/>
            </w:rPr>
          </w:pPr>
          <w:hyperlink w:anchor="_Toc224730873" w:history="1">
            <w:r w:rsidRPr="00375B6D">
              <w:rPr>
                <w:rStyle w:val="Hyperlink"/>
              </w:rPr>
              <w:t>Summary of land release reforms</w:t>
            </w:r>
            <w:r>
              <w:rPr>
                <w:webHidden/>
              </w:rPr>
              <w:tab/>
            </w:r>
            <w:r>
              <w:rPr>
                <w:webHidden/>
              </w:rPr>
              <w:fldChar w:fldCharType="begin"/>
            </w:r>
            <w:r>
              <w:rPr>
                <w:webHidden/>
              </w:rPr>
              <w:instrText xml:space="preserve"> PAGEREF _Toc224730873 \h </w:instrText>
            </w:r>
            <w:r>
              <w:rPr>
                <w:webHidden/>
              </w:rPr>
            </w:r>
            <w:r>
              <w:rPr>
                <w:webHidden/>
              </w:rPr>
              <w:fldChar w:fldCharType="separate"/>
            </w:r>
            <w:r>
              <w:rPr>
                <w:webHidden/>
              </w:rPr>
              <w:t>7</w:t>
            </w:r>
            <w:r>
              <w:rPr>
                <w:webHidden/>
              </w:rPr>
              <w:fldChar w:fldCharType="end"/>
            </w:r>
          </w:hyperlink>
        </w:p>
        <w:p w14:paraId="5ACEAF71" w14:textId="5FF2BD06" w:rsidR="009E74A0" w:rsidRDefault="009E74A0">
          <w:pPr>
            <w:pStyle w:val="TOC2"/>
            <w:rPr>
              <w:rFonts w:eastAsiaTheme="minorEastAsia" w:cstheme="minorBidi"/>
              <w:color w:val="auto"/>
              <w:kern w:val="2"/>
              <w:sz w:val="24"/>
              <w:szCs w:val="24"/>
              <w14:ligatures w14:val="standardContextual"/>
            </w:rPr>
          </w:pPr>
          <w:hyperlink w:anchor="_Toc224730874" w:history="1">
            <w:r w:rsidRPr="00375B6D">
              <w:rPr>
                <w:rStyle w:val="Hyperlink"/>
              </w:rPr>
              <w:t>Other reforms e.g. to increase density</w:t>
            </w:r>
            <w:r>
              <w:rPr>
                <w:webHidden/>
              </w:rPr>
              <w:tab/>
            </w:r>
            <w:r>
              <w:rPr>
                <w:webHidden/>
              </w:rPr>
              <w:fldChar w:fldCharType="begin"/>
            </w:r>
            <w:r>
              <w:rPr>
                <w:webHidden/>
              </w:rPr>
              <w:instrText xml:space="preserve"> PAGEREF _Toc224730874 \h </w:instrText>
            </w:r>
            <w:r>
              <w:rPr>
                <w:webHidden/>
              </w:rPr>
            </w:r>
            <w:r>
              <w:rPr>
                <w:webHidden/>
              </w:rPr>
              <w:fldChar w:fldCharType="separate"/>
            </w:r>
            <w:r>
              <w:rPr>
                <w:webHidden/>
              </w:rPr>
              <w:t>7</w:t>
            </w:r>
            <w:r>
              <w:rPr>
                <w:webHidden/>
              </w:rPr>
              <w:fldChar w:fldCharType="end"/>
            </w:r>
          </w:hyperlink>
        </w:p>
        <w:p w14:paraId="462D6B8D" w14:textId="247E2614" w:rsidR="009E74A0" w:rsidRDefault="009E74A0">
          <w:pPr>
            <w:pStyle w:val="TOC1"/>
            <w:rPr>
              <w:rFonts w:eastAsiaTheme="minorEastAsia" w:cstheme="minorBidi"/>
              <w:b w:val="0"/>
              <w:color w:val="auto"/>
              <w:kern w:val="2"/>
              <w:szCs w:val="24"/>
              <w14:ligatures w14:val="standardContextual"/>
            </w:rPr>
          </w:pPr>
          <w:hyperlink w:anchor="_Toc224730875" w:history="1">
            <w:r w:rsidRPr="00375B6D">
              <w:rPr>
                <w:rStyle w:val="Hyperlink"/>
                <w:lang w:eastAsia="en-US"/>
              </w:rPr>
              <w:t>Measure 4</w:t>
            </w:r>
            <w:r>
              <w:rPr>
                <w:webHidden/>
              </w:rPr>
              <w:tab/>
            </w:r>
            <w:r>
              <w:rPr>
                <w:webHidden/>
              </w:rPr>
              <w:fldChar w:fldCharType="begin"/>
            </w:r>
            <w:r>
              <w:rPr>
                <w:webHidden/>
              </w:rPr>
              <w:instrText xml:space="preserve"> PAGEREF _Toc224730875 \h </w:instrText>
            </w:r>
            <w:r>
              <w:rPr>
                <w:webHidden/>
              </w:rPr>
            </w:r>
            <w:r>
              <w:rPr>
                <w:webHidden/>
              </w:rPr>
              <w:fldChar w:fldCharType="separate"/>
            </w:r>
            <w:r>
              <w:rPr>
                <w:webHidden/>
              </w:rPr>
              <w:t>8</w:t>
            </w:r>
            <w:r>
              <w:rPr>
                <w:webHidden/>
              </w:rPr>
              <w:fldChar w:fldCharType="end"/>
            </w:r>
          </w:hyperlink>
        </w:p>
        <w:p w14:paraId="5783D078" w14:textId="7AAC4ADD" w:rsidR="009E74A0" w:rsidRDefault="009E74A0">
          <w:pPr>
            <w:pStyle w:val="TOC2"/>
            <w:rPr>
              <w:rFonts w:eastAsiaTheme="minorEastAsia" w:cstheme="minorBidi"/>
              <w:color w:val="auto"/>
              <w:kern w:val="2"/>
              <w:sz w:val="24"/>
              <w:szCs w:val="24"/>
              <w14:ligatures w14:val="standardContextual"/>
            </w:rPr>
          </w:pPr>
          <w:hyperlink w:anchor="_Toc224730876" w:history="1">
            <w:r w:rsidRPr="00375B6D">
              <w:rPr>
                <w:rStyle w:val="Hyperlink"/>
              </w:rPr>
              <w:t>Key findings from a development ready land stocktake</w:t>
            </w:r>
            <w:r>
              <w:rPr>
                <w:webHidden/>
              </w:rPr>
              <w:tab/>
            </w:r>
            <w:r>
              <w:rPr>
                <w:webHidden/>
              </w:rPr>
              <w:fldChar w:fldCharType="begin"/>
            </w:r>
            <w:r>
              <w:rPr>
                <w:webHidden/>
              </w:rPr>
              <w:instrText xml:space="preserve"> PAGEREF _Toc224730876 \h </w:instrText>
            </w:r>
            <w:r>
              <w:rPr>
                <w:webHidden/>
              </w:rPr>
            </w:r>
            <w:r>
              <w:rPr>
                <w:webHidden/>
              </w:rPr>
              <w:fldChar w:fldCharType="separate"/>
            </w:r>
            <w:r>
              <w:rPr>
                <w:webHidden/>
              </w:rPr>
              <w:t>8</w:t>
            </w:r>
            <w:r>
              <w:rPr>
                <w:webHidden/>
              </w:rPr>
              <w:fldChar w:fldCharType="end"/>
            </w:r>
          </w:hyperlink>
        </w:p>
        <w:p w14:paraId="76E17A09" w14:textId="3049C8D2" w:rsidR="009E74A0" w:rsidRDefault="009E74A0">
          <w:pPr>
            <w:pStyle w:val="TOC3"/>
            <w:rPr>
              <w:rFonts w:eastAsiaTheme="minorEastAsia" w:cstheme="minorBidi"/>
              <w:color w:val="auto"/>
              <w:kern w:val="2"/>
              <w:sz w:val="24"/>
              <w:szCs w:val="24"/>
              <w14:ligatures w14:val="standardContextual"/>
            </w:rPr>
          </w:pPr>
          <w:hyperlink w:anchor="_Toc224730877" w:history="1">
            <w:r w:rsidRPr="00375B6D">
              <w:rPr>
                <w:rStyle w:val="Hyperlink"/>
              </w:rPr>
              <w:t>Affordable/community housing sites</w:t>
            </w:r>
            <w:r>
              <w:rPr>
                <w:webHidden/>
              </w:rPr>
              <w:tab/>
            </w:r>
            <w:r>
              <w:rPr>
                <w:webHidden/>
              </w:rPr>
              <w:fldChar w:fldCharType="begin"/>
            </w:r>
            <w:r>
              <w:rPr>
                <w:webHidden/>
              </w:rPr>
              <w:instrText xml:space="preserve"> PAGEREF _Toc224730877 \h </w:instrText>
            </w:r>
            <w:r>
              <w:rPr>
                <w:webHidden/>
              </w:rPr>
            </w:r>
            <w:r>
              <w:rPr>
                <w:webHidden/>
              </w:rPr>
              <w:fldChar w:fldCharType="separate"/>
            </w:r>
            <w:r>
              <w:rPr>
                <w:webHidden/>
              </w:rPr>
              <w:t>9</w:t>
            </w:r>
            <w:r>
              <w:rPr>
                <w:webHidden/>
              </w:rPr>
              <w:fldChar w:fldCharType="end"/>
            </w:r>
          </w:hyperlink>
        </w:p>
        <w:p w14:paraId="4313A16E" w14:textId="4FE8756D" w:rsidR="009E74A0" w:rsidRDefault="009E74A0">
          <w:pPr>
            <w:pStyle w:val="TOC1"/>
            <w:rPr>
              <w:rFonts w:eastAsiaTheme="minorEastAsia" w:cstheme="minorBidi"/>
              <w:b w:val="0"/>
              <w:color w:val="auto"/>
              <w:kern w:val="2"/>
              <w:szCs w:val="24"/>
              <w14:ligatures w14:val="standardContextual"/>
            </w:rPr>
          </w:pPr>
          <w:hyperlink w:anchor="_Toc224730878" w:history="1">
            <w:r w:rsidRPr="00375B6D">
              <w:rPr>
                <w:rStyle w:val="Hyperlink"/>
                <w:lang w:eastAsia="en-US"/>
              </w:rPr>
              <w:t>Measure 5</w:t>
            </w:r>
            <w:r>
              <w:rPr>
                <w:webHidden/>
              </w:rPr>
              <w:tab/>
            </w:r>
            <w:r>
              <w:rPr>
                <w:webHidden/>
              </w:rPr>
              <w:fldChar w:fldCharType="begin"/>
            </w:r>
            <w:r>
              <w:rPr>
                <w:webHidden/>
              </w:rPr>
              <w:instrText xml:space="preserve"> PAGEREF _Toc224730878 \h </w:instrText>
            </w:r>
            <w:r>
              <w:rPr>
                <w:webHidden/>
              </w:rPr>
            </w:r>
            <w:r>
              <w:rPr>
                <w:webHidden/>
              </w:rPr>
              <w:fldChar w:fldCharType="separate"/>
            </w:r>
            <w:r>
              <w:rPr>
                <w:webHidden/>
              </w:rPr>
              <w:t>10</w:t>
            </w:r>
            <w:r>
              <w:rPr>
                <w:webHidden/>
              </w:rPr>
              <w:fldChar w:fldCharType="end"/>
            </w:r>
          </w:hyperlink>
        </w:p>
        <w:p w14:paraId="6324E408" w14:textId="249D8E0F" w:rsidR="009E74A0" w:rsidRDefault="009E74A0">
          <w:pPr>
            <w:pStyle w:val="TOC2"/>
            <w:rPr>
              <w:rFonts w:eastAsiaTheme="minorEastAsia" w:cstheme="minorBidi"/>
              <w:color w:val="auto"/>
              <w:kern w:val="2"/>
              <w:sz w:val="24"/>
              <w:szCs w:val="24"/>
              <w14:ligatures w14:val="standardContextual"/>
            </w:rPr>
          </w:pPr>
          <w:hyperlink w:anchor="_Toc224730879" w:history="1">
            <w:r w:rsidRPr="00375B6D">
              <w:rPr>
                <w:rStyle w:val="Hyperlink"/>
              </w:rPr>
              <w:t>Zoning, planning and other amendments to support dense, well-located housing</w:t>
            </w:r>
            <w:r>
              <w:rPr>
                <w:webHidden/>
              </w:rPr>
              <w:tab/>
            </w:r>
            <w:r>
              <w:rPr>
                <w:webHidden/>
              </w:rPr>
              <w:fldChar w:fldCharType="begin"/>
            </w:r>
            <w:r>
              <w:rPr>
                <w:webHidden/>
              </w:rPr>
              <w:instrText xml:space="preserve"> PAGEREF _Toc224730879 \h </w:instrText>
            </w:r>
            <w:r>
              <w:rPr>
                <w:webHidden/>
              </w:rPr>
            </w:r>
            <w:r>
              <w:rPr>
                <w:webHidden/>
              </w:rPr>
              <w:fldChar w:fldCharType="separate"/>
            </w:r>
            <w:r>
              <w:rPr>
                <w:webHidden/>
              </w:rPr>
              <w:t>10</w:t>
            </w:r>
            <w:r>
              <w:rPr>
                <w:webHidden/>
              </w:rPr>
              <w:fldChar w:fldCharType="end"/>
            </w:r>
          </w:hyperlink>
        </w:p>
        <w:p w14:paraId="194CF667" w14:textId="6B294915" w:rsidR="009E74A0" w:rsidRDefault="009E74A0">
          <w:pPr>
            <w:pStyle w:val="TOC3"/>
            <w:rPr>
              <w:rFonts w:eastAsiaTheme="minorEastAsia" w:cstheme="minorBidi"/>
              <w:color w:val="auto"/>
              <w:kern w:val="2"/>
              <w:sz w:val="24"/>
              <w:szCs w:val="24"/>
              <w14:ligatures w14:val="standardContextual"/>
            </w:rPr>
          </w:pPr>
          <w:hyperlink w:anchor="_Toc224730880" w:history="1">
            <w:r w:rsidRPr="00375B6D">
              <w:rPr>
                <w:rStyle w:val="Hyperlink"/>
              </w:rPr>
              <w:t>ACT’s summary of zoning, planning, and amendments to promote high and medium density housing in well-located Areas</w:t>
            </w:r>
            <w:r>
              <w:rPr>
                <w:webHidden/>
              </w:rPr>
              <w:tab/>
            </w:r>
            <w:r>
              <w:rPr>
                <w:webHidden/>
              </w:rPr>
              <w:fldChar w:fldCharType="begin"/>
            </w:r>
            <w:r>
              <w:rPr>
                <w:webHidden/>
              </w:rPr>
              <w:instrText xml:space="preserve"> PAGEREF _Toc224730880 \h </w:instrText>
            </w:r>
            <w:r>
              <w:rPr>
                <w:webHidden/>
              </w:rPr>
            </w:r>
            <w:r>
              <w:rPr>
                <w:webHidden/>
              </w:rPr>
              <w:fldChar w:fldCharType="separate"/>
            </w:r>
            <w:r>
              <w:rPr>
                <w:webHidden/>
              </w:rPr>
              <w:t>10</w:t>
            </w:r>
            <w:r>
              <w:rPr>
                <w:webHidden/>
              </w:rPr>
              <w:fldChar w:fldCharType="end"/>
            </w:r>
          </w:hyperlink>
        </w:p>
        <w:p w14:paraId="38958BAF" w14:textId="01C54FB2" w:rsidR="009E74A0" w:rsidRDefault="009E74A0">
          <w:pPr>
            <w:pStyle w:val="TOC3"/>
            <w:rPr>
              <w:rFonts w:eastAsiaTheme="minorEastAsia" w:cstheme="minorBidi"/>
              <w:color w:val="auto"/>
              <w:kern w:val="2"/>
              <w:sz w:val="24"/>
              <w:szCs w:val="24"/>
              <w14:ligatures w14:val="standardContextual"/>
            </w:rPr>
          </w:pPr>
          <w:hyperlink w:anchor="_Toc224730881" w:history="1">
            <w:r w:rsidRPr="00375B6D">
              <w:rPr>
                <w:rStyle w:val="Hyperlink"/>
              </w:rPr>
              <w:t>ACT progress against housing supply targets</w:t>
            </w:r>
            <w:r>
              <w:rPr>
                <w:webHidden/>
              </w:rPr>
              <w:tab/>
            </w:r>
            <w:r>
              <w:rPr>
                <w:webHidden/>
              </w:rPr>
              <w:fldChar w:fldCharType="begin"/>
            </w:r>
            <w:r>
              <w:rPr>
                <w:webHidden/>
              </w:rPr>
              <w:instrText xml:space="preserve"> PAGEREF _Toc224730881 \h </w:instrText>
            </w:r>
            <w:r>
              <w:rPr>
                <w:webHidden/>
              </w:rPr>
            </w:r>
            <w:r>
              <w:rPr>
                <w:webHidden/>
              </w:rPr>
              <w:fldChar w:fldCharType="separate"/>
            </w:r>
            <w:r>
              <w:rPr>
                <w:webHidden/>
              </w:rPr>
              <w:t>11</w:t>
            </w:r>
            <w:r>
              <w:rPr>
                <w:webHidden/>
              </w:rPr>
              <w:fldChar w:fldCharType="end"/>
            </w:r>
          </w:hyperlink>
        </w:p>
        <w:p w14:paraId="5C1C903D" w14:textId="0BF3D8C2" w:rsidR="009E74A0" w:rsidRDefault="009E74A0">
          <w:pPr>
            <w:pStyle w:val="TOC1"/>
            <w:rPr>
              <w:rFonts w:eastAsiaTheme="minorEastAsia" w:cstheme="minorBidi"/>
              <w:b w:val="0"/>
              <w:color w:val="auto"/>
              <w:kern w:val="2"/>
              <w:szCs w:val="24"/>
              <w14:ligatures w14:val="standardContextual"/>
            </w:rPr>
          </w:pPr>
          <w:hyperlink w:anchor="_Toc224730882" w:history="1">
            <w:r w:rsidRPr="00375B6D">
              <w:rPr>
                <w:rStyle w:val="Hyperlink"/>
                <w:lang w:eastAsia="en-US"/>
              </w:rPr>
              <w:t>Measure 6</w:t>
            </w:r>
            <w:r>
              <w:rPr>
                <w:webHidden/>
              </w:rPr>
              <w:tab/>
            </w:r>
            <w:r>
              <w:rPr>
                <w:webHidden/>
              </w:rPr>
              <w:fldChar w:fldCharType="begin"/>
            </w:r>
            <w:r>
              <w:rPr>
                <w:webHidden/>
              </w:rPr>
              <w:instrText xml:space="preserve"> PAGEREF _Toc224730882 \h </w:instrText>
            </w:r>
            <w:r>
              <w:rPr>
                <w:webHidden/>
              </w:rPr>
            </w:r>
            <w:r>
              <w:rPr>
                <w:webHidden/>
              </w:rPr>
              <w:fldChar w:fldCharType="separate"/>
            </w:r>
            <w:r>
              <w:rPr>
                <w:webHidden/>
              </w:rPr>
              <w:t>13</w:t>
            </w:r>
            <w:r>
              <w:rPr>
                <w:webHidden/>
              </w:rPr>
              <w:fldChar w:fldCharType="end"/>
            </w:r>
          </w:hyperlink>
        </w:p>
        <w:p w14:paraId="4ED661EE" w14:textId="06F05A16" w:rsidR="009E74A0" w:rsidRDefault="009E74A0">
          <w:pPr>
            <w:pStyle w:val="TOC2"/>
            <w:rPr>
              <w:rFonts w:eastAsiaTheme="minorEastAsia" w:cstheme="minorBidi"/>
              <w:color w:val="auto"/>
              <w:kern w:val="2"/>
              <w:sz w:val="24"/>
              <w:szCs w:val="24"/>
              <w14:ligatures w14:val="standardContextual"/>
            </w:rPr>
          </w:pPr>
          <w:hyperlink w:anchor="_Toc224730883" w:history="1">
            <w:r w:rsidRPr="00375B6D">
              <w:rPr>
                <w:rStyle w:val="Hyperlink"/>
              </w:rPr>
              <w:t>Identifying barriers in development approvals</w:t>
            </w:r>
            <w:r>
              <w:rPr>
                <w:webHidden/>
              </w:rPr>
              <w:tab/>
            </w:r>
            <w:r>
              <w:rPr>
                <w:webHidden/>
              </w:rPr>
              <w:fldChar w:fldCharType="begin"/>
            </w:r>
            <w:r>
              <w:rPr>
                <w:webHidden/>
              </w:rPr>
              <w:instrText xml:space="preserve"> PAGEREF _Toc224730883 \h </w:instrText>
            </w:r>
            <w:r>
              <w:rPr>
                <w:webHidden/>
              </w:rPr>
            </w:r>
            <w:r>
              <w:rPr>
                <w:webHidden/>
              </w:rPr>
              <w:fldChar w:fldCharType="separate"/>
            </w:r>
            <w:r>
              <w:rPr>
                <w:webHidden/>
              </w:rPr>
              <w:t>13</w:t>
            </w:r>
            <w:r>
              <w:rPr>
                <w:webHidden/>
              </w:rPr>
              <w:fldChar w:fldCharType="end"/>
            </w:r>
          </w:hyperlink>
        </w:p>
        <w:p w14:paraId="1177C546" w14:textId="1C1AAE2B" w:rsidR="009E74A0" w:rsidRDefault="009E74A0">
          <w:pPr>
            <w:pStyle w:val="TOC3"/>
            <w:rPr>
              <w:rFonts w:eastAsiaTheme="minorEastAsia" w:cstheme="minorBidi"/>
              <w:color w:val="auto"/>
              <w:kern w:val="2"/>
              <w:sz w:val="24"/>
              <w:szCs w:val="24"/>
              <w14:ligatures w14:val="standardContextual"/>
            </w:rPr>
          </w:pPr>
          <w:hyperlink w:anchor="_Toc224730884" w:history="1">
            <w:r w:rsidRPr="00375B6D">
              <w:rPr>
                <w:rStyle w:val="Hyperlink"/>
              </w:rPr>
              <w:t>Reforms to development approval pathways</w:t>
            </w:r>
            <w:r>
              <w:rPr>
                <w:webHidden/>
              </w:rPr>
              <w:tab/>
            </w:r>
            <w:r>
              <w:rPr>
                <w:webHidden/>
              </w:rPr>
              <w:fldChar w:fldCharType="begin"/>
            </w:r>
            <w:r>
              <w:rPr>
                <w:webHidden/>
              </w:rPr>
              <w:instrText xml:space="preserve"> PAGEREF _Toc224730884 \h </w:instrText>
            </w:r>
            <w:r>
              <w:rPr>
                <w:webHidden/>
              </w:rPr>
            </w:r>
            <w:r>
              <w:rPr>
                <w:webHidden/>
              </w:rPr>
              <w:fldChar w:fldCharType="separate"/>
            </w:r>
            <w:r>
              <w:rPr>
                <w:webHidden/>
              </w:rPr>
              <w:t>13</w:t>
            </w:r>
            <w:r>
              <w:rPr>
                <w:webHidden/>
              </w:rPr>
              <w:fldChar w:fldCharType="end"/>
            </w:r>
          </w:hyperlink>
        </w:p>
        <w:p w14:paraId="3AD7D1CA" w14:textId="6C37F5D9" w:rsidR="009E74A0" w:rsidRDefault="009E74A0">
          <w:pPr>
            <w:pStyle w:val="TOC3"/>
            <w:rPr>
              <w:rFonts w:eastAsiaTheme="minorEastAsia" w:cstheme="minorBidi"/>
              <w:color w:val="auto"/>
              <w:kern w:val="2"/>
              <w:sz w:val="24"/>
              <w:szCs w:val="24"/>
              <w14:ligatures w14:val="standardContextual"/>
            </w:rPr>
          </w:pPr>
          <w:hyperlink w:anchor="_Toc224730885" w:history="1">
            <w:r w:rsidRPr="00375B6D">
              <w:rPr>
                <w:rStyle w:val="Hyperlink"/>
              </w:rPr>
              <w:t>Existing development approvals which have not been acted upon and identify key barriers to the delivery of approved housing</w:t>
            </w:r>
            <w:r>
              <w:rPr>
                <w:webHidden/>
              </w:rPr>
              <w:tab/>
            </w:r>
            <w:r>
              <w:rPr>
                <w:webHidden/>
              </w:rPr>
              <w:fldChar w:fldCharType="begin"/>
            </w:r>
            <w:r>
              <w:rPr>
                <w:webHidden/>
              </w:rPr>
              <w:instrText xml:space="preserve"> PAGEREF _Toc224730885 \h </w:instrText>
            </w:r>
            <w:r>
              <w:rPr>
                <w:webHidden/>
              </w:rPr>
            </w:r>
            <w:r>
              <w:rPr>
                <w:webHidden/>
              </w:rPr>
              <w:fldChar w:fldCharType="separate"/>
            </w:r>
            <w:r>
              <w:rPr>
                <w:webHidden/>
              </w:rPr>
              <w:t>13</w:t>
            </w:r>
            <w:r>
              <w:rPr>
                <w:webHidden/>
              </w:rPr>
              <w:fldChar w:fldCharType="end"/>
            </w:r>
          </w:hyperlink>
        </w:p>
        <w:p w14:paraId="0498178A" w14:textId="44D96C5B" w:rsidR="009E74A0" w:rsidRDefault="009E74A0">
          <w:pPr>
            <w:pStyle w:val="TOC3"/>
            <w:rPr>
              <w:rFonts w:eastAsiaTheme="minorEastAsia" w:cstheme="minorBidi"/>
              <w:color w:val="auto"/>
              <w:kern w:val="2"/>
              <w:sz w:val="24"/>
              <w:szCs w:val="24"/>
              <w14:ligatures w14:val="standardContextual"/>
            </w:rPr>
          </w:pPr>
          <w:hyperlink w:anchor="_Toc224730886" w:history="1">
            <w:r w:rsidRPr="00375B6D">
              <w:rPr>
                <w:rStyle w:val="Hyperlink"/>
              </w:rPr>
              <w:t>Reforms to social and affordable housing approval pathways</w:t>
            </w:r>
            <w:r>
              <w:rPr>
                <w:webHidden/>
              </w:rPr>
              <w:tab/>
            </w:r>
            <w:r>
              <w:rPr>
                <w:webHidden/>
              </w:rPr>
              <w:fldChar w:fldCharType="begin"/>
            </w:r>
            <w:r>
              <w:rPr>
                <w:webHidden/>
              </w:rPr>
              <w:instrText xml:space="preserve"> PAGEREF _Toc224730886 \h </w:instrText>
            </w:r>
            <w:r>
              <w:rPr>
                <w:webHidden/>
              </w:rPr>
            </w:r>
            <w:r>
              <w:rPr>
                <w:webHidden/>
              </w:rPr>
              <w:fldChar w:fldCharType="separate"/>
            </w:r>
            <w:r>
              <w:rPr>
                <w:webHidden/>
              </w:rPr>
              <w:t>14</w:t>
            </w:r>
            <w:r>
              <w:rPr>
                <w:webHidden/>
              </w:rPr>
              <w:fldChar w:fldCharType="end"/>
            </w:r>
          </w:hyperlink>
        </w:p>
        <w:p w14:paraId="59CBC4D9" w14:textId="614C1ECB" w:rsidR="009E74A0" w:rsidRDefault="009E74A0">
          <w:pPr>
            <w:pStyle w:val="TOC3"/>
            <w:rPr>
              <w:rFonts w:eastAsiaTheme="minorEastAsia" w:cstheme="minorBidi"/>
              <w:color w:val="auto"/>
              <w:kern w:val="2"/>
              <w:sz w:val="24"/>
              <w:szCs w:val="24"/>
              <w14:ligatures w14:val="standardContextual"/>
            </w:rPr>
          </w:pPr>
          <w:hyperlink w:anchor="_Toc224730887" w:history="1">
            <w:r w:rsidRPr="00375B6D">
              <w:rPr>
                <w:rStyle w:val="Hyperlink"/>
              </w:rPr>
              <w:t>Key barriers to the timely issuing of development approvals</w:t>
            </w:r>
            <w:r>
              <w:rPr>
                <w:webHidden/>
              </w:rPr>
              <w:tab/>
            </w:r>
            <w:r>
              <w:rPr>
                <w:webHidden/>
              </w:rPr>
              <w:fldChar w:fldCharType="begin"/>
            </w:r>
            <w:r>
              <w:rPr>
                <w:webHidden/>
              </w:rPr>
              <w:instrText xml:space="preserve"> PAGEREF _Toc224730887 \h </w:instrText>
            </w:r>
            <w:r>
              <w:rPr>
                <w:webHidden/>
              </w:rPr>
            </w:r>
            <w:r>
              <w:rPr>
                <w:webHidden/>
              </w:rPr>
              <w:fldChar w:fldCharType="separate"/>
            </w:r>
            <w:r>
              <w:rPr>
                <w:webHidden/>
              </w:rPr>
              <w:t>14</w:t>
            </w:r>
            <w:r>
              <w:rPr>
                <w:webHidden/>
              </w:rPr>
              <w:fldChar w:fldCharType="end"/>
            </w:r>
          </w:hyperlink>
        </w:p>
        <w:p w14:paraId="794BB01D" w14:textId="7C0CB352" w:rsidR="009E74A0" w:rsidRDefault="009E74A0">
          <w:pPr>
            <w:pStyle w:val="TOC3"/>
            <w:rPr>
              <w:rFonts w:eastAsiaTheme="minorEastAsia" w:cstheme="minorBidi"/>
              <w:color w:val="auto"/>
              <w:kern w:val="2"/>
              <w:sz w:val="24"/>
              <w:szCs w:val="24"/>
              <w14:ligatures w14:val="standardContextual"/>
            </w:rPr>
          </w:pPr>
          <w:hyperlink w:anchor="_Toc224730888" w:history="1">
            <w:r w:rsidRPr="00375B6D">
              <w:rPr>
                <w:rStyle w:val="Hyperlink"/>
              </w:rPr>
              <w:t>Initiatives to share planning data and analysis to identify gaps and improve housing delivery</w:t>
            </w:r>
            <w:r>
              <w:rPr>
                <w:webHidden/>
              </w:rPr>
              <w:tab/>
            </w:r>
            <w:r>
              <w:rPr>
                <w:webHidden/>
              </w:rPr>
              <w:fldChar w:fldCharType="begin"/>
            </w:r>
            <w:r>
              <w:rPr>
                <w:webHidden/>
              </w:rPr>
              <w:instrText xml:space="preserve"> PAGEREF _Toc224730888 \h </w:instrText>
            </w:r>
            <w:r>
              <w:rPr>
                <w:webHidden/>
              </w:rPr>
            </w:r>
            <w:r>
              <w:rPr>
                <w:webHidden/>
              </w:rPr>
              <w:fldChar w:fldCharType="separate"/>
            </w:r>
            <w:r>
              <w:rPr>
                <w:webHidden/>
              </w:rPr>
              <w:t>14</w:t>
            </w:r>
            <w:r>
              <w:rPr>
                <w:webHidden/>
              </w:rPr>
              <w:fldChar w:fldCharType="end"/>
            </w:r>
          </w:hyperlink>
        </w:p>
        <w:p w14:paraId="67B04F54" w14:textId="289F937D" w:rsidR="009E74A0" w:rsidRDefault="009E74A0">
          <w:pPr>
            <w:pStyle w:val="TOC3"/>
            <w:rPr>
              <w:rFonts w:eastAsiaTheme="minorEastAsia" w:cstheme="minorBidi"/>
              <w:color w:val="auto"/>
              <w:kern w:val="2"/>
              <w:sz w:val="24"/>
              <w:szCs w:val="24"/>
              <w14:ligatures w14:val="standardContextual"/>
            </w:rPr>
          </w:pPr>
          <w:hyperlink w:anchor="_Toc224730889" w:history="1">
            <w:r w:rsidRPr="00375B6D">
              <w:rPr>
                <w:rStyle w:val="Hyperlink"/>
              </w:rPr>
              <w:t>ACT’s position on the phased introduction of inclusionary zoning and other specialist housing in development</w:t>
            </w:r>
            <w:r>
              <w:rPr>
                <w:webHidden/>
              </w:rPr>
              <w:tab/>
            </w:r>
            <w:r>
              <w:rPr>
                <w:webHidden/>
              </w:rPr>
              <w:fldChar w:fldCharType="begin"/>
            </w:r>
            <w:r>
              <w:rPr>
                <w:webHidden/>
              </w:rPr>
              <w:instrText xml:space="preserve"> PAGEREF _Toc224730889 \h </w:instrText>
            </w:r>
            <w:r>
              <w:rPr>
                <w:webHidden/>
              </w:rPr>
            </w:r>
            <w:r>
              <w:rPr>
                <w:webHidden/>
              </w:rPr>
              <w:fldChar w:fldCharType="separate"/>
            </w:r>
            <w:r>
              <w:rPr>
                <w:webHidden/>
              </w:rPr>
              <w:t>15</w:t>
            </w:r>
            <w:r>
              <w:rPr>
                <w:webHidden/>
              </w:rPr>
              <w:fldChar w:fldCharType="end"/>
            </w:r>
          </w:hyperlink>
        </w:p>
        <w:p w14:paraId="4F9F07A4" w14:textId="71E04106" w:rsidR="00207D2C" w:rsidRPr="008B38E4" w:rsidRDefault="00833019" w:rsidP="008B38E4">
          <w:pPr>
            <w:spacing w:before="0" w:after="0"/>
            <w:rPr>
              <w:kern w:val="2"/>
            </w:rPr>
            <w:sectPr w:rsidR="00207D2C" w:rsidRPr="008B38E4" w:rsidSect="009C5401">
              <w:headerReference w:type="even" r:id="rId14"/>
              <w:headerReference w:type="default" r:id="rId15"/>
              <w:footerReference w:type="even" r:id="rId16"/>
              <w:footerReference w:type="default" r:id="rId17"/>
              <w:headerReference w:type="first" r:id="rId18"/>
              <w:footerReference w:type="first" r:id="rId19"/>
              <w:pgSz w:w="11906" w:h="16838" w:code="9"/>
              <w:pgMar w:top="1843" w:right="1418" w:bottom="1418" w:left="1418" w:header="709" w:footer="709" w:gutter="0"/>
              <w:pgNumType w:start="1"/>
              <w:cols w:space="708"/>
              <w:docGrid w:linePitch="360"/>
            </w:sectPr>
          </w:pPr>
          <w:r w:rsidRPr="00AB00A9">
            <w:rPr>
              <w:b/>
              <w:bCs/>
              <w:noProof/>
              <w:kern w:val="2"/>
            </w:rPr>
            <w:fldChar w:fldCharType="end"/>
          </w:r>
        </w:p>
      </w:sdtContent>
    </w:sdt>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rsidRPr="00AB00A9" w14:paraId="77D021DB" w14:textId="77777777" w:rsidTr="003074FE">
        <w:tc>
          <w:tcPr>
            <w:tcW w:w="5000" w:type="pct"/>
            <w:shd w:val="clear" w:color="auto" w:fill="CEDBE6" w:themeFill="background2"/>
            <w:hideMark/>
          </w:tcPr>
          <w:p w14:paraId="009118B2" w14:textId="20E3B835" w:rsidR="004B063A" w:rsidRPr="00AB00A9" w:rsidRDefault="00630F8D" w:rsidP="004B063A">
            <w:pPr>
              <w:pStyle w:val="Heading1"/>
              <w:rPr>
                <w:rFonts w:asciiTheme="minorHAnsi" w:hAnsiTheme="minorHAnsi" w:cs="Times New Roman"/>
                <w:b w:val="0"/>
                <w:kern w:val="2"/>
                <w:sz w:val="22"/>
                <w:szCs w:val="20"/>
              </w:rPr>
            </w:pPr>
            <w:r w:rsidRPr="00AB00A9">
              <w:rPr>
                <w:rFonts w:asciiTheme="minorHAnsi" w:hAnsiTheme="minorHAnsi" w:cs="Times New Roman"/>
                <w:b w:val="0"/>
                <w:kern w:val="2"/>
                <w:sz w:val="22"/>
                <w:szCs w:val="20"/>
              </w:rPr>
              <w:lastRenderedPageBreak/>
              <w:br w:type="page"/>
            </w:r>
            <w:bookmarkStart w:id="2" w:name="_Toc224730864"/>
            <w:r w:rsidR="004B063A" w:rsidRPr="00AB00A9">
              <w:rPr>
                <w:kern w:val="2"/>
                <w:lang w:eastAsia="en-US"/>
              </w:rPr>
              <w:t>Measure 2</w:t>
            </w:r>
            <w:bookmarkEnd w:id="1"/>
            <w:bookmarkEnd w:id="0"/>
            <w:bookmarkEnd w:id="2"/>
          </w:p>
          <w:p w14:paraId="744AE214" w14:textId="3BF3200E" w:rsidR="004B063A" w:rsidRPr="00AB00A9" w:rsidRDefault="004B063A" w:rsidP="004B063A">
            <w:pPr>
              <w:pStyle w:val="Boxdoubledot"/>
              <w:numPr>
                <w:ilvl w:val="0"/>
                <w:numId w:val="0"/>
              </w:numPr>
              <w:rPr>
                <w:kern w:val="2"/>
              </w:rPr>
            </w:pPr>
            <w:r w:rsidRPr="00716278">
              <w:rPr>
                <w:kern w:val="2"/>
                <w:sz w:val="24"/>
                <w:szCs w:val="24"/>
              </w:rPr>
              <w:t>Planning Ministers will report to National Cabinet on state, regional and local strategic plans before 1 March 2024 that reflect their jurisdiction’s share of housing supply targets agreed by National Cabinet</w:t>
            </w:r>
            <w:r w:rsidRPr="00AB00A9">
              <w:rPr>
                <w:kern w:val="2"/>
                <w:sz w:val="24"/>
                <w:szCs w:val="24"/>
              </w:rPr>
              <w:t xml:space="preserve"> and links with infrastructure pipelines.</w:t>
            </w:r>
          </w:p>
        </w:tc>
      </w:tr>
    </w:tbl>
    <w:p w14:paraId="041BE5D1" w14:textId="375BD584" w:rsidR="00475BC8" w:rsidRPr="00AB00A9" w:rsidRDefault="00114044" w:rsidP="00BD495D">
      <w:pPr>
        <w:pStyle w:val="Heading2"/>
        <w:spacing w:before="280" w:after="0" w:line="240" w:lineRule="auto"/>
        <w:rPr>
          <w:kern w:val="2"/>
        </w:rPr>
      </w:pPr>
      <w:bookmarkStart w:id="3" w:name="_Toc168064954"/>
      <w:bookmarkStart w:id="4" w:name="_Toc168065265"/>
      <w:bookmarkStart w:id="5" w:name="_Toc224730865"/>
      <w:r w:rsidRPr="00AB00A9">
        <w:rPr>
          <w:kern w:val="2"/>
        </w:rPr>
        <w:t>How the ACT’s strategic plan(s) will deliver on housing supply targets</w:t>
      </w:r>
      <w:bookmarkEnd w:id="3"/>
      <w:bookmarkEnd w:id="4"/>
      <w:bookmarkEnd w:id="5"/>
    </w:p>
    <w:p w14:paraId="338E45E1" w14:textId="26CCF842" w:rsidR="00114044" w:rsidRPr="00AB00A9" w:rsidRDefault="00114044" w:rsidP="00114044">
      <w:pPr>
        <w:pStyle w:val="Heading3"/>
        <w:rPr>
          <w:kern w:val="2"/>
        </w:rPr>
      </w:pPr>
      <w:bookmarkStart w:id="6" w:name="_Toc224730866"/>
      <w:r w:rsidRPr="00AB00A9">
        <w:rPr>
          <w:kern w:val="2"/>
        </w:rPr>
        <w:t>National Housing Supply Targets</w:t>
      </w:r>
      <w:bookmarkEnd w:id="6"/>
    </w:p>
    <w:p w14:paraId="7D40276F" w14:textId="4AAEEB86" w:rsidR="00114044" w:rsidRPr="00BF3DBE" w:rsidRDefault="00114044" w:rsidP="00114044">
      <w:pPr>
        <w:spacing w:after="0"/>
        <w:rPr>
          <w:rFonts w:ascii="Calibri Light" w:hAnsi="Calibri Light" w:cs="Calibri Light"/>
          <w:b/>
          <w:bCs/>
          <w:kern w:val="2"/>
          <w:sz w:val="24"/>
          <w:szCs w:val="22"/>
        </w:rPr>
      </w:pPr>
      <w:r w:rsidRPr="00BF3DBE">
        <w:rPr>
          <w:rFonts w:ascii="Calibri Light" w:hAnsi="Calibri Light" w:cs="Calibri Light"/>
          <w:b/>
          <w:bCs/>
          <w:kern w:val="2"/>
          <w:sz w:val="24"/>
          <w:szCs w:val="22"/>
        </w:rPr>
        <w:t>Context</w:t>
      </w:r>
    </w:p>
    <w:p w14:paraId="3712D59D" w14:textId="61FE6563" w:rsidR="00114044" w:rsidRPr="00114044" w:rsidRDefault="00114044" w:rsidP="00114044">
      <w:pPr>
        <w:spacing w:before="120" w:after="120"/>
        <w:rPr>
          <w:kern w:val="2"/>
        </w:rPr>
      </w:pPr>
      <w:r w:rsidRPr="00114044">
        <w:rPr>
          <w:kern w:val="2"/>
        </w:rPr>
        <w:t xml:space="preserve">The National Housing Accord </w:t>
      </w:r>
      <w:r w:rsidR="00B83B62">
        <w:rPr>
          <w:kern w:val="2"/>
        </w:rPr>
        <w:t xml:space="preserve">(the Accord) </w:t>
      </w:r>
      <w:r w:rsidRPr="00114044">
        <w:rPr>
          <w:kern w:val="2"/>
        </w:rPr>
        <w:t xml:space="preserve">included an initial target to deliver one million new, well-located homes across Australia over </w:t>
      </w:r>
      <w:r w:rsidR="0096206E">
        <w:rPr>
          <w:kern w:val="2"/>
        </w:rPr>
        <w:t>5</w:t>
      </w:r>
      <w:r w:rsidR="0096206E" w:rsidRPr="00114044">
        <w:rPr>
          <w:kern w:val="2"/>
        </w:rPr>
        <w:t xml:space="preserve"> </w:t>
      </w:r>
      <w:r w:rsidRPr="00114044">
        <w:rPr>
          <w:kern w:val="2"/>
        </w:rPr>
        <w:t xml:space="preserve">years from mid-2024. This was increased in August 2023 to 1.2 million new well-located homes over </w:t>
      </w:r>
      <w:r w:rsidR="0096206E">
        <w:rPr>
          <w:kern w:val="2"/>
        </w:rPr>
        <w:t>5</w:t>
      </w:r>
      <w:r w:rsidR="0096206E" w:rsidRPr="00114044">
        <w:rPr>
          <w:kern w:val="2"/>
        </w:rPr>
        <w:t xml:space="preserve"> </w:t>
      </w:r>
      <w:r w:rsidRPr="00114044">
        <w:rPr>
          <w:kern w:val="2"/>
        </w:rPr>
        <w:t xml:space="preserve">years from mid-2024. </w:t>
      </w:r>
      <w:r w:rsidR="00582686">
        <w:rPr>
          <w:kern w:val="2"/>
        </w:rPr>
        <w:t>The Accord does not have annual targets, however on average, the</w:t>
      </w:r>
      <w:r w:rsidR="00152CD7">
        <w:rPr>
          <w:kern w:val="2"/>
        </w:rPr>
        <w:t xml:space="preserve"> target implies 1,053 homes are needed to be built each quarter (4,211 homes annually) to meet the ACT’s population share of 21,057 homes</w:t>
      </w:r>
      <w:r w:rsidR="00975E4C">
        <w:rPr>
          <w:rStyle w:val="FootnoteReference"/>
          <w:kern w:val="2"/>
        </w:rPr>
        <w:footnoteReference w:id="2"/>
      </w:r>
      <w:r w:rsidR="00152CD7">
        <w:rPr>
          <w:kern w:val="2"/>
        </w:rPr>
        <w:t>.</w:t>
      </w:r>
    </w:p>
    <w:p w14:paraId="5C89B994" w14:textId="3F612D9A" w:rsidR="00114044" w:rsidRPr="00AB00A9" w:rsidRDefault="00E3482D" w:rsidP="00114044">
      <w:pPr>
        <w:spacing w:before="0" w:after="120"/>
        <w:rPr>
          <w:kern w:val="2"/>
        </w:rPr>
      </w:pPr>
      <w:r>
        <w:rPr>
          <w:kern w:val="2"/>
        </w:rPr>
        <w:t>Key roles</w:t>
      </w:r>
      <w:r w:rsidR="00114044" w:rsidRPr="00114044">
        <w:rPr>
          <w:kern w:val="2"/>
        </w:rPr>
        <w:t xml:space="preserve"> for the </w:t>
      </w:r>
      <w:r w:rsidR="0096206E">
        <w:rPr>
          <w:kern w:val="2"/>
        </w:rPr>
        <w:t>s</w:t>
      </w:r>
      <w:r w:rsidR="00114044" w:rsidRPr="00114044">
        <w:rPr>
          <w:kern w:val="2"/>
        </w:rPr>
        <w:t xml:space="preserve">tates and </w:t>
      </w:r>
      <w:r w:rsidR="0096206E">
        <w:rPr>
          <w:kern w:val="2"/>
        </w:rPr>
        <w:t>t</w:t>
      </w:r>
      <w:r w:rsidR="00114044" w:rsidRPr="00114044">
        <w:rPr>
          <w:kern w:val="2"/>
        </w:rPr>
        <w:t xml:space="preserve">erritories under the Accord </w:t>
      </w:r>
      <w:r>
        <w:rPr>
          <w:kern w:val="2"/>
        </w:rPr>
        <w:t xml:space="preserve">are </w:t>
      </w:r>
      <w:r w:rsidR="00114044" w:rsidRPr="00114044">
        <w:rPr>
          <w:kern w:val="2"/>
        </w:rPr>
        <w:t xml:space="preserve">to facilitate delivery of 20,000 affordable dwellings in collaboration with the Commonwealth (10,000 to be delivered by the Commonwealth and 10,000 by the </w:t>
      </w:r>
      <w:r w:rsidR="0096206E">
        <w:rPr>
          <w:kern w:val="2"/>
        </w:rPr>
        <w:t>s</w:t>
      </w:r>
      <w:r w:rsidR="00114044" w:rsidRPr="00114044">
        <w:rPr>
          <w:kern w:val="2"/>
        </w:rPr>
        <w:t>tates/</w:t>
      </w:r>
      <w:r w:rsidR="0096206E">
        <w:rPr>
          <w:kern w:val="2"/>
        </w:rPr>
        <w:t>t</w:t>
      </w:r>
      <w:r w:rsidR="00114044" w:rsidRPr="00114044">
        <w:rPr>
          <w:kern w:val="2"/>
        </w:rPr>
        <w:t xml:space="preserve">erritories), support the development of the Community Housing Sector and progress land and zoning reforms. </w:t>
      </w:r>
    </w:p>
    <w:p w14:paraId="4314989F" w14:textId="0E1F310F" w:rsidR="00114044" w:rsidRPr="00AB00A9" w:rsidRDefault="00114044" w:rsidP="00114044">
      <w:pPr>
        <w:spacing w:before="0" w:after="120"/>
        <w:rPr>
          <w:kern w:val="2"/>
        </w:rPr>
      </w:pPr>
      <w:r w:rsidRPr="00114044">
        <w:rPr>
          <w:kern w:val="2"/>
        </w:rPr>
        <w:t xml:space="preserve">The ACT’s share of the 10,000 affordable dwellings under the Accord is 350 dwellings. Of this, 175 dwellings will be </w:t>
      </w:r>
      <w:r w:rsidR="00403249">
        <w:rPr>
          <w:kern w:val="2"/>
        </w:rPr>
        <w:t>directly facilitated</w:t>
      </w:r>
      <w:r w:rsidRPr="00114044">
        <w:rPr>
          <w:kern w:val="2"/>
        </w:rPr>
        <w:t xml:space="preserve"> by the ACT </w:t>
      </w:r>
      <w:proofErr w:type="gramStart"/>
      <w:r w:rsidRPr="00114044">
        <w:rPr>
          <w:kern w:val="2"/>
        </w:rPr>
        <w:t>Government</w:t>
      </w:r>
      <w:proofErr w:type="gramEnd"/>
      <w:r w:rsidRPr="00114044">
        <w:rPr>
          <w:kern w:val="2"/>
        </w:rPr>
        <w:t xml:space="preserve"> and 175 dwellings will be </w:t>
      </w:r>
      <w:r w:rsidR="00403249">
        <w:rPr>
          <w:kern w:val="2"/>
        </w:rPr>
        <w:t>directly facilitated</w:t>
      </w:r>
      <w:r w:rsidR="00403249" w:rsidRPr="00114044">
        <w:rPr>
          <w:kern w:val="2"/>
        </w:rPr>
        <w:t xml:space="preserve"> </w:t>
      </w:r>
      <w:r w:rsidRPr="00114044">
        <w:rPr>
          <w:kern w:val="2"/>
        </w:rPr>
        <w:t>by the Commonwealth. The ACT Government is working closely with the community housing sector to support them in accessing Commonwealth funding to deliver on their share of the commitment.</w:t>
      </w:r>
    </w:p>
    <w:p w14:paraId="643CDCFF" w14:textId="16722BE8" w:rsidR="00114044" w:rsidRPr="00BF3DBE" w:rsidRDefault="00114044" w:rsidP="00114044">
      <w:pPr>
        <w:spacing w:after="120"/>
        <w:rPr>
          <w:rFonts w:ascii="Calibri Light" w:hAnsi="Calibri Light" w:cs="Calibri Light"/>
          <w:b/>
          <w:bCs/>
          <w:kern w:val="2"/>
          <w:sz w:val="24"/>
          <w:szCs w:val="22"/>
        </w:rPr>
      </w:pPr>
      <w:r w:rsidRPr="00BF3DBE">
        <w:rPr>
          <w:rFonts w:ascii="Calibri Light" w:hAnsi="Calibri Light" w:cs="Calibri Light"/>
          <w:b/>
          <w:bCs/>
          <w:kern w:val="2"/>
          <w:sz w:val="24"/>
          <w:szCs w:val="22"/>
        </w:rPr>
        <w:t>Update</w:t>
      </w:r>
    </w:p>
    <w:p w14:paraId="53E3097E" w14:textId="54D89166" w:rsidR="00BB4F51" w:rsidRDefault="009847C5" w:rsidP="00D37BB1">
      <w:pPr>
        <w:spacing w:before="0" w:after="120"/>
        <w:rPr>
          <w:kern w:val="2"/>
        </w:rPr>
      </w:pPr>
      <w:r>
        <w:rPr>
          <w:kern w:val="2"/>
        </w:rPr>
        <w:t xml:space="preserve">In the first </w:t>
      </w:r>
      <w:r w:rsidR="00DA504A">
        <w:rPr>
          <w:kern w:val="2"/>
        </w:rPr>
        <w:t>year</w:t>
      </w:r>
      <w:r>
        <w:rPr>
          <w:kern w:val="2"/>
        </w:rPr>
        <w:t xml:space="preserve"> since the Accord commenced in July 2024, the ACT outperformed all other Australian jurisdictions in terms of new dwelling completions. </w:t>
      </w:r>
      <w:r w:rsidR="00DA504A">
        <w:rPr>
          <w:kern w:val="2"/>
        </w:rPr>
        <w:t>4,109</w:t>
      </w:r>
      <w:r w:rsidR="00D37BB1" w:rsidRPr="0077719F">
        <w:rPr>
          <w:rStyle w:val="FootnoteReference"/>
          <w:kern w:val="2"/>
          <w:vertAlign w:val="superscript"/>
        </w:rPr>
        <w:footnoteReference w:id="3"/>
      </w:r>
      <w:r>
        <w:rPr>
          <w:kern w:val="2"/>
        </w:rPr>
        <w:t xml:space="preserve"> new homes were completed in this period</w:t>
      </w:r>
      <w:r w:rsidR="0096206E">
        <w:rPr>
          <w:kern w:val="2"/>
        </w:rPr>
        <w:t>—</w:t>
      </w:r>
      <w:r>
        <w:rPr>
          <w:kern w:val="2"/>
        </w:rPr>
        <w:t xml:space="preserve">a shortfall of </w:t>
      </w:r>
      <w:r w:rsidR="00953806">
        <w:rPr>
          <w:kern w:val="2"/>
        </w:rPr>
        <w:t>102</w:t>
      </w:r>
      <w:r>
        <w:rPr>
          <w:kern w:val="2"/>
        </w:rPr>
        <w:t xml:space="preserve"> new homes compared to the</w:t>
      </w:r>
      <w:r w:rsidR="00820A97">
        <w:rPr>
          <w:kern w:val="2"/>
        </w:rPr>
        <w:t xml:space="preserve"> ACT’s</w:t>
      </w:r>
      <w:r>
        <w:rPr>
          <w:kern w:val="2"/>
        </w:rPr>
        <w:t xml:space="preserve"> implied quarterly target (noting completions are expected to fluctuate quarter-to-quarter based on a range of delivery-related factors).</w:t>
      </w:r>
    </w:p>
    <w:p w14:paraId="46CED1CE" w14:textId="7C5647B0" w:rsidR="009847C5" w:rsidRPr="008B5055" w:rsidRDefault="009847C5" w:rsidP="00D37BB1">
      <w:pPr>
        <w:spacing w:before="0" w:after="120"/>
        <w:rPr>
          <w:kern w:val="2"/>
        </w:rPr>
      </w:pPr>
      <w:r w:rsidRPr="00D37BB1">
        <w:rPr>
          <w:kern w:val="2"/>
        </w:rPr>
        <w:lastRenderedPageBreak/>
        <w:t xml:space="preserve">The ACT Government is on track for directly facilitating </w:t>
      </w:r>
      <w:r w:rsidR="008B5055" w:rsidRPr="00D37BB1">
        <w:rPr>
          <w:kern w:val="2"/>
        </w:rPr>
        <w:t>175 affordable homes by 2028-29. The $100 million Affordable Housing Project Fund is being used, in part, to finance delivery of these dwellings. Hundreds of affordable rental dwellings are proposed to be supported through the Affordable Housing Project Fund.</w:t>
      </w:r>
    </w:p>
    <w:p w14:paraId="6E7FFCC6" w14:textId="749D5C18" w:rsidR="00114044" w:rsidRPr="00AB00A9" w:rsidRDefault="00114044" w:rsidP="00114044">
      <w:pPr>
        <w:pStyle w:val="Heading3"/>
        <w:rPr>
          <w:kern w:val="2"/>
        </w:rPr>
      </w:pPr>
      <w:bookmarkStart w:id="7" w:name="_Toc224730867"/>
      <w:r w:rsidRPr="00AB00A9">
        <w:rPr>
          <w:kern w:val="2"/>
        </w:rPr>
        <w:t>Planning and housing supply in the ACT</w:t>
      </w:r>
      <w:bookmarkEnd w:id="7"/>
    </w:p>
    <w:p w14:paraId="1E6EA81C" w14:textId="1D60B120" w:rsidR="00114044" w:rsidRPr="00BF3DBE" w:rsidRDefault="00114044" w:rsidP="00114044">
      <w:pPr>
        <w:spacing w:before="0" w:after="120"/>
        <w:rPr>
          <w:rFonts w:ascii="Calibri Light" w:hAnsi="Calibri Light" w:cs="Calibri Light"/>
          <w:b/>
          <w:bCs/>
          <w:kern w:val="2"/>
          <w:sz w:val="24"/>
          <w:szCs w:val="22"/>
        </w:rPr>
      </w:pPr>
      <w:r w:rsidRPr="00BF3DBE">
        <w:rPr>
          <w:rFonts w:ascii="Calibri Light" w:hAnsi="Calibri Light" w:cs="Calibri Light"/>
          <w:b/>
          <w:bCs/>
          <w:kern w:val="2"/>
          <w:sz w:val="24"/>
          <w:szCs w:val="22"/>
        </w:rPr>
        <w:t>Context</w:t>
      </w:r>
    </w:p>
    <w:p w14:paraId="5CD81B68" w14:textId="134ECABA" w:rsidR="0096206E" w:rsidRDefault="00436C4E" w:rsidP="00AB00A9">
      <w:pPr>
        <w:spacing w:before="0" w:after="120"/>
        <w:rPr>
          <w:kern w:val="2"/>
        </w:rPr>
      </w:pPr>
      <w:r w:rsidRPr="00AB00A9">
        <w:rPr>
          <w:kern w:val="2"/>
        </w:rPr>
        <w:t xml:space="preserve">Planning in the ACT </w:t>
      </w:r>
      <w:r>
        <w:rPr>
          <w:kern w:val="2"/>
        </w:rPr>
        <w:t xml:space="preserve">is administered under the </w:t>
      </w:r>
      <w:hyperlink r:id="rId20" w:history="1">
        <w:r w:rsidRPr="0096206E">
          <w:rPr>
            <w:rStyle w:val="Hyperlink"/>
            <w:kern w:val="2"/>
          </w:rPr>
          <w:t>Planning Act 2023</w:t>
        </w:r>
      </w:hyperlink>
      <w:r>
        <w:rPr>
          <w:kern w:val="2"/>
        </w:rPr>
        <w:t>. Development in the Central National Area, areas of high diplomatic core use, and other identified locations across Canberra, must</w:t>
      </w:r>
      <w:r w:rsidRPr="00AB00A9">
        <w:rPr>
          <w:kern w:val="2"/>
        </w:rPr>
        <w:t xml:space="preserve"> </w:t>
      </w:r>
      <w:r>
        <w:rPr>
          <w:kern w:val="2"/>
        </w:rPr>
        <w:t xml:space="preserve">also </w:t>
      </w:r>
      <w:r w:rsidRPr="00AB00A9">
        <w:rPr>
          <w:kern w:val="2"/>
        </w:rPr>
        <w:t xml:space="preserve">consider and </w:t>
      </w:r>
      <w:r>
        <w:rPr>
          <w:kern w:val="2"/>
        </w:rPr>
        <w:t>respond to</w:t>
      </w:r>
      <w:r w:rsidRPr="00AB00A9">
        <w:rPr>
          <w:kern w:val="2"/>
        </w:rPr>
        <w:t xml:space="preserve"> the</w:t>
      </w:r>
      <w:r>
        <w:rPr>
          <w:kern w:val="2"/>
        </w:rPr>
        <w:t xml:space="preserve"> requirements of the</w:t>
      </w:r>
      <w:r w:rsidRPr="00AB00A9">
        <w:rPr>
          <w:kern w:val="2"/>
        </w:rPr>
        <w:t xml:space="preserve"> National Capital Plan administered by the Commonwealth National Capital Authority. </w:t>
      </w:r>
      <w:r w:rsidR="00AB00A9" w:rsidRPr="00AB00A9">
        <w:rPr>
          <w:kern w:val="2"/>
        </w:rPr>
        <w:t>Noting the ACT performs equivalent state and local government functions</w:t>
      </w:r>
      <w:r w:rsidR="0096206E">
        <w:rPr>
          <w:kern w:val="2"/>
        </w:rPr>
        <w:t>,</w:t>
      </w:r>
      <w:r w:rsidR="00AB00A9" w:rsidRPr="00AB00A9">
        <w:rPr>
          <w:kern w:val="2"/>
        </w:rPr>
        <w:t xml:space="preserve"> the following information represents planning for all the ACT.</w:t>
      </w:r>
    </w:p>
    <w:p w14:paraId="4328D830" w14:textId="7A3F0F0C" w:rsidR="00AB00A9" w:rsidRPr="00AB00A9" w:rsidRDefault="00AB00A9" w:rsidP="00AB00A9">
      <w:pPr>
        <w:spacing w:before="0" w:after="120"/>
        <w:rPr>
          <w:kern w:val="2"/>
        </w:rPr>
      </w:pPr>
      <w:r w:rsidRPr="00AB00A9">
        <w:rPr>
          <w:kern w:val="2"/>
        </w:rPr>
        <w:t xml:space="preserve">Consideration of regional growth and development is monitored in surrounding local councils outside of the ACT. The ACT is closely connected to the </w:t>
      </w:r>
      <w:r w:rsidR="005C54CD" w:rsidRPr="00AB00A9">
        <w:rPr>
          <w:kern w:val="2"/>
        </w:rPr>
        <w:t>South</w:t>
      </w:r>
      <w:r w:rsidR="005C54CD">
        <w:rPr>
          <w:kern w:val="2"/>
        </w:rPr>
        <w:t>east</w:t>
      </w:r>
      <w:r w:rsidRPr="00AB00A9">
        <w:rPr>
          <w:kern w:val="2"/>
        </w:rPr>
        <w:t xml:space="preserve"> and Tablelands Region</w:t>
      </w:r>
      <w:r w:rsidR="00DB2407">
        <w:rPr>
          <w:kern w:val="2"/>
        </w:rPr>
        <w:t xml:space="preserve"> of NSW </w:t>
      </w:r>
      <w:r w:rsidRPr="00AB00A9">
        <w:rPr>
          <w:kern w:val="2"/>
        </w:rPr>
        <w:t>and consider</w:t>
      </w:r>
      <w:r w:rsidR="00DB2407">
        <w:rPr>
          <w:kern w:val="2"/>
        </w:rPr>
        <w:t>s</w:t>
      </w:r>
      <w:r w:rsidRPr="00AB00A9">
        <w:rPr>
          <w:kern w:val="2"/>
        </w:rPr>
        <w:t xml:space="preserve"> regional employment, housing and infrastructure</w:t>
      </w:r>
      <w:r w:rsidR="00DB2407">
        <w:rPr>
          <w:kern w:val="2"/>
        </w:rPr>
        <w:t xml:space="preserve"> in its strategic planning and decision-making. The ACT Government is working with NSW and councils to better align planning objectives in the region</w:t>
      </w:r>
      <w:r w:rsidRPr="00AB00A9">
        <w:rPr>
          <w:kern w:val="2"/>
        </w:rPr>
        <w:t xml:space="preserve">. </w:t>
      </w:r>
    </w:p>
    <w:p w14:paraId="626DFEED" w14:textId="736C002F" w:rsidR="005C7591" w:rsidRDefault="00AB00A9" w:rsidP="00114044">
      <w:pPr>
        <w:spacing w:before="0" w:after="120"/>
        <w:rPr>
          <w:kern w:val="2"/>
        </w:rPr>
      </w:pPr>
      <w:r w:rsidRPr="00AB00A9">
        <w:rPr>
          <w:kern w:val="2"/>
        </w:rPr>
        <w:t>In the ACT, planning for growth</w:t>
      </w:r>
      <w:r w:rsidR="0096206E">
        <w:rPr>
          <w:kern w:val="2"/>
        </w:rPr>
        <w:t>,</w:t>
      </w:r>
      <w:r w:rsidRPr="00AB00A9">
        <w:rPr>
          <w:kern w:val="2"/>
        </w:rPr>
        <w:t xml:space="preserve"> including residential development</w:t>
      </w:r>
      <w:r w:rsidR="0096206E">
        <w:rPr>
          <w:kern w:val="2"/>
        </w:rPr>
        <w:t>,</w:t>
      </w:r>
      <w:r w:rsidRPr="00AB00A9">
        <w:rPr>
          <w:kern w:val="2"/>
        </w:rPr>
        <w:t xml:space="preserve"> is set out in the </w:t>
      </w:r>
      <w:hyperlink r:id="rId21" w:history="1">
        <w:r w:rsidRPr="0096206E">
          <w:rPr>
            <w:rStyle w:val="Hyperlink"/>
            <w:kern w:val="2"/>
          </w:rPr>
          <w:t>ACT Planning Strategy 2018.</w:t>
        </w:r>
      </w:hyperlink>
      <w:r w:rsidRPr="00AB00A9">
        <w:rPr>
          <w:kern w:val="2"/>
        </w:rPr>
        <w:t xml:space="preserve"> The ACT Planning Strategy’s vision is </w:t>
      </w:r>
      <w:r w:rsidR="0096206E">
        <w:rPr>
          <w:kern w:val="2"/>
        </w:rPr>
        <w:t>for</w:t>
      </w:r>
      <w:r w:rsidRPr="00AB00A9">
        <w:rPr>
          <w:kern w:val="2"/>
        </w:rPr>
        <w:t xml:space="preserve"> a sustainable, competitive and equitable city that respects Canberra as a city in the landscape and the National Capital, while being responsive to the future and resilient to change. The </w:t>
      </w:r>
      <w:r w:rsidR="0096206E">
        <w:rPr>
          <w:kern w:val="2"/>
        </w:rPr>
        <w:t>s</w:t>
      </w:r>
      <w:r w:rsidRPr="00AB00A9">
        <w:rPr>
          <w:kern w:val="2"/>
        </w:rPr>
        <w:t>trategy includes a target for at least 70</w:t>
      </w:r>
      <w:r w:rsidR="0096206E">
        <w:rPr>
          <w:kern w:val="2"/>
        </w:rPr>
        <w:t>%</w:t>
      </w:r>
      <w:r w:rsidRPr="00AB00A9">
        <w:rPr>
          <w:kern w:val="2"/>
        </w:rPr>
        <w:t xml:space="preserve"> of new housing to be within the existing urban footprint </w:t>
      </w:r>
      <w:r w:rsidR="00F5316E">
        <w:rPr>
          <w:kern w:val="2"/>
        </w:rPr>
        <w:t>and 30</w:t>
      </w:r>
      <w:r w:rsidR="0096206E">
        <w:rPr>
          <w:kern w:val="2"/>
        </w:rPr>
        <w:t>%</w:t>
      </w:r>
      <w:r w:rsidR="00F5316E">
        <w:rPr>
          <w:kern w:val="2"/>
        </w:rPr>
        <w:t xml:space="preserve"> in greenfield precincts</w:t>
      </w:r>
      <w:r w:rsidR="0096206E">
        <w:rPr>
          <w:kern w:val="2"/>
        </w:rPr>
        <w:t>,</w:t>
      </w:r>
      <w:r w:rsidR="00F5316E">
        <w:rPr>
          <w:kern w:val="2"/>
        </w:rPr>
        <w:t xml:space="preserve"> </w:t>
      </w:r>
      <w:r w:rsidRPr="00AB00A9">
        <w:rPr>
          <w:kern w:val="2"/>
        </w:rPr>
        <w:t>indicating that greenfield growth will be limited into the future.</w:t>
      </w:r>
      <w:r w:rsidR="008E60C4">
        <w:rPr>
          <w:kern w:val="2"/>
        </w:rPr>
        <w:t xml:space="preserve"> </w:t>
      </w:r>
    </w:p>
    <w:p w14:paraId="1DB7ABB9" w14:textId="287C1289" w:rsidR="000F7A2D" w:rsidRDefault="0096206E" w:rsidP="000F7A2D">
      <w:pPr>
        <w:spacing w:before="0" w:after="120"/>
        <w:rPr>
          <w:kern w:val="2"/>
        </w:rPr>
      </w:pPr>
      <w:bookmarkStart w:id="8" w:name="_Hlk216166752"/>
      <w:r>
        <w:rPr>
          <w:kern w:val="2"/>
        </w:rPr>
        <w:t>By 2050, the ACT’s population is projected to reach almost 700,000 people and 100,000 new homes are expected to be required</w:t>
      </w:r>
      <w:r w:rsidR="00283008">
        <w:rPr>
          <w:kern w:val="2"/>
        </w:rPr>
        <w:t xml:space="preserve"> to support this growth</w:t>
      </w:r>
      <w:r>
        <w:rPr>
          <w:kern w:val="2"/>
        </w:rPr>
        <w:t xml:space="preserve">. </w:t>
      </w:r>
      <w:r w:rsidR="00283008">
        <w:rPr>
          <w:kern w:val="2"/>
        </w:rPr>
        <w:t>The</w:t>
      </w:r>
      <w:r w:rsidR="00AB00A9" w:rsidRPr="00AB00A9">
        <w:rPr>
          <w:kern w:val="2"/>
        </w:rPr>
        <w:t xml:space="preserve"> ACT </w:t>
      </w:r>
      <w:r>
        <w:rPr>
          <w:kern w:val="2"/>
        </w:rPr>
        <w:t>p</w:t>
      </w:r>
      <w:r w:rsidR="00AB00A9" w:rsidRPr="00AB00A9">
        <w:rPr>
          <w:kern w:val="2"/>
        </w:rPr>
        <w:t>lanning system,</w:t>
      </w:r>
      <w:r w:rsidR="00140AF0">
        <w:rPr>
          <w:kern w:val="2"/>
        </w:rPr>
        <w:t xml:space="preserve"> </w:t>
      </w:r>
      <w:r>
        <w:rPr>
          <w:kern w:val="2"/>
        </w:rPr>
        <w:t xml:space="preserve">which includes </w:t>
      </w:r>
      <w:r w:rsidR="00AB00A9" w:rsidRPr="00AB00A9">
        <w:rPr>
          <w:kern w:val="2"/>
        </w:rPr>
        <w:t>the</w:t>
      </w:r>
      <w:r>
        <w:rPr>
          <w:kern w:val="2"/>
        </w:rPr>
        <w:t xml:space="preserve"> ACT’s</w:t>
      </w:r>
      <w:r w:rsidR="00AB00A9" w:rsidRPr="00AB00A9">
        <w:rPr>
          <w:kern w:val="2"/>
        </w:rPr>
        <w:t xml:space="preserve"> </w:t>
      </w:r>
      <w:hyperlink r:id="rId22" w:history="1">
        <w:r w:rsidRPr="0096206E">
          <w:rPr>
            <w:rStyle w:val="Hyperlink"/>
            <w:kern w:val="2"/>
          </w:rPr>
          <w:t>d</w:t>
        </w:r>
        <w:r w:rsidR="00AB00A9" w:rsidRPr="0096206E">
          <w:rPr>
            <w:rStyle w:val="Hyperlink"/>
            <w:kern w:val="2"/>
          </w:rPr>
          <w:t xml:space="preserve">istrict </w:t>
        </w:r>
        <w:r w:rsidRPr="0096206E">
          <w:rPr>
            <w:rStyle w:val="Hyperlink"/>
            <w:kern w:val="2"/>
          </w:rPr>
          <w:t>s</w:t>
        </w:r>
        <w:r w:rsidR="00AB00A9" w:rsidRPr="0096206E">
          <w:rPr>
            <w:rStyle w:val="Hyperlink"/>
            <w:kern w:val="2"/>
          </w:rPr>
          <w:t>trategies</w:t>
        </w:r>
      </w:hyperlink>
      <w:r>
        <w:rPr>
          <w:kern w:val="2"/>
        </w:rPr>
        <w:t>,</w:t>
      </w:r>
      <w:r w:rsidR="006B4952">
        <w:rPr>
          <w:kern w:val="2"/>
        </w:rPr>
        <w:t xml:space="preserve"> </w:t>
      </w:r>
      <w:r w:rsidR="00AB00A9" w:rsidRPr="00AB00A9">
        <w:rPr>
          <w:kern w:val="2"/>
        </w:rPr>
        <w:t>set</w:t>
      </w:r>
      <w:r w:rsidR="00225A0C">
        <w:rPr>
          <w:kern w:val="2"/>
        </w:rPr>
        <w:t>s</w:t>
      </w:r>
      <w:r w:rsidR="00AB00A9" w:rsidRPr="00AB00A9">
        <w:rPr>
          <w:kern w:val="2"/>
        </w:rPr>
        <w:t xml:space="preserve"> out where</w:t>
      </w:r>
      <w:r w:rsidR="00D90856">
        <w:rPr>
          <w:kern w:val="2"/>
        </w:rPr>
        <w:t xml:space="preserve"> </w:t>
      </w:r>
      <w:r w:rsidR="000C4545">
        <w:rPr>
          <w:kern w:val="2"/>
        </w:rPr>
        <w:t xml:space="preserve">and how much housing can be accommodated </w:t>
      </w:r>
      <w:r w:rsidR="00DD6845">
        <w:rPr>
          <w:kern w:val="2"/>
        </w:rPr>
        <w:t xml:space="preserve">in the </w:t>
      </w:r>
      <w:r w:rsidR="00283008">
        <w:rPr>
          <w:kern w:val="2"/>
        </w:rPr>
        <w:t xml:space="preserve">most suitable </w:t>
      </w:r>
      <w:r w:rsidR="00DD6845">
        <w:rPr>
          <w:kern w:val="2"/>
        </w:rPr>
        <w:t>locations across the city</w:t>
      </w:r>
      <w:r w:rsidR="006C0E36">
        <w:rPr>
          <w:kern w:val="2"/>
        </w:rPr>
        <w:t>.</w:t>
      </w:r>
      <w:r w:rsidR="00AB00A9" w:rsidRPr="00AB00A9">
        <w:rPr>
          <w:kern w:val="2"/>
        </w:rPr>
        <w:t xml:space="preserve"> </w:t>
      </w:r>
      <w:r w:rsidR="000F7A2D" w:rsidRPr="00AB00A9">
        <w:rPr>
          <w:kern w:val="2"/>
        </w:rPr>
        <w:t xml:space="preserve">The </w:t>
      </w:r>
      <w:r w:rsidR="00283008">
        <w:rPr>
          <w:kern w:val="2"/>
        </w:rPr>
        <w:t>d</w:t>
      </w:r>
      <w:r w:rsidR="000F7A2D" w:rsidRPr="00AB00A9">
        <w:rPr>
          <w:kern w:val="2"/>
        </w:rPr>
        <w:t xml:space="preserve">istrict </w:t>
      </w:r>
      <w:r w:rsidR="00283008">
        <w:rPr>
          <w:kern w:val="2"/>
        </w:rPr>
        <w:t>s</w:t>
      </w:r>
      <w:r w:rsidR="000F7A2D" w:rsidRPr="00AB00A9">
        <w:rPr>
          <w:kern w:val="2"/>
        </w:rPr>
        <w:t xml:space="preserve">trategies include analysis of capacity under </w:t>
      </w:r>
      <w:r w:rsidR="000F7A2D">
        <w:rPr>
          <w:kern w:val="2"/>
        </w:rPr>
        <w:t xml:space="preserve">current </w:t>
      </w:r>
      <w:r w:rsidR="000F7A2D" w:rsidRPr="00AB00A9">
        <w:rPr>
          <w:kern w:val="2"/>
        </w:rPr>
        <w:t>planning provisions</w:t>
      </w:r>
      <w:r w:rsidR="000F7A2D">
        <w:rPr>
          <w:kern w:val="2"/>
        </w:rPr>
        <w:t xml:space="preserve"> </w:t>
      </w:r>
      <w:r w:rsidR="000F7A2D" w:rsidRPr="00AB00A9">
        <w:rPr>
          <w:kern w:val="2"/>
        </w:rPr>
        <w:t xml:space="preserve">and identify areas where changes could occur to </w:t>
      </w:r>
      <w:r w:rsidR="000F7A2D">
        <w:rPr>
          <w:kern w:val="2"/>
        </w:rPr>
        <w:t>enable</w:t>
      </w:r>
      <w:r w:rsidR="000F7A2D" w:rsidRPr="00AB00A9">
        <w:rPr>
          <w:kern w:val="2"/>
        </w:rPr>
        <w:t xml:space="preserve"> future housing</w:t>
      </w:r>
      <w:r w:rsidR="000F7A2D">
        <w:rPr>
          <w:kern w:val="2"/>
        </w:rPr>
        <w:t>.</w:t>
      </w:r>
      <w:r w:rsidR="00F5316E">
        <w:rPr>
          <w:kern w:val="2"/>
        </w:rPr>
        <w:t xml:space="preserve"> </w:t>
      </w:r>
      <w:bookmarkEnd w:id="8"/>
      <w:r w:rsidR="00F5316E" w:rsidRPr="00AB00A9">
        <w:rPr>
          <w:kern w:val="2"/>
        </w:rPr>
        <w:t xml:space="preserve">As part of the implementation of the </w:t>
      </w:r>
      <w:r w:rsidR="00283008">
        <w:rPr>
          <w:kern w:val="2"/>
        </w:rPr>
        <w:t>d</w:t>
      </w:r>
      <w:r w:rsidR="00F5316E" w:rsidRPr="00AB00A9">
        <w:rPr>
          <w:kern w:val="2"/>
        </w:rPr>
        <w:t xml:space="preserve">istrict </w:t>
      </w:r>
      <w:r w:rsidR="00283008">
        <w:rPr>
          <w:kern w:val="2"/>
        </w:rPr>
        <w:t>s</w:t>
      </w:r>
      <w:r w:rsidR="00F5316E" w:rsidRPr="00AB00A9">
        <w:rPr>
          <w:kern w:val="2"/>
        </w:rPr>
        <w:t xml:space="preserve">trategies, the ACT will continue to investigate opportunities and requirements to deliver housing supply and choice in </w:t>
      </w:r>
      <w:r w:rsidR="00283008">
        <w:rPr>
          <w:kern w:val="2"/>
        </w:rPr>
        <w:t>identified</w:t>
      </w:r>
      <w:r w:rsidR="00283008" w:rsidRPr="00AB00A9">
        <w:rPr>
          <w:kern w:val="2"/>
        </w:rPr>
        <w:t xml:space="preserve"> </w:t>
      </w:r>
      <w:r w:rsidR="00F5316E" w:rsidRPr="00AB00A9">
        <w:rPr>
          <w:kern w:val="2"/>
        </w:rPr>
        <w:t>key sites and change areas.</w:t>
      </w:r>
      <w:r w:rsidR="00F5316E">
        <w:rPr>
          <w:kern w:val="2"/>
        </w:rPr>
        <w:t xml:space="preserve"> </w:t>
      </w:r>
    </w:p>
    <w:p w14:paraId="325A187B" w14:textId="6E331A50" w:rsidR="00CF286C" w:rsidRDefault="00AB00A9" w:rsidP="00AB00A9">
      <w:pPr>
        <w:spacing w:before="0" w:after="120"/>
        <w:rPr>
          <w:kern w:val="2"/>
        </w:rPr>
      </w:pPr>
      <w:r w:rsidRPr="00AB00A9">
        <w:rPr>
          <w:kern w:val="2"/>
        </w:rPr>
        <w:t>The</w:t>
      </w:r>
      <w:r w:rsidR="00283008">
        <w:rPr>
          <w:kern w:val="2"/>
        </w:rPr>
        <w:t xml:space="preserve"> ACT</w:t>
      </w:r>
      <w:r w:rsidRPr="00AB00A9">
        <w:rPr>
          <w:kern w:val="2"/>
        </w:rPr>
        <w:t xml:space="preserve"> Planning Strategy and </w:t>
      </w:r>
      <w:r w:rsidR="00283008">
        <w:rPr>
          <w:kern w:val="2"/>
        </w:rPr>
        <w:t>d</w:t>
      </w:r>
      <w:r w:rsidRPr="00AB00A9">
        <w:rPr>
          <w:kern w:val="2"/>
        </w:rPr>
        <w:t xml:space="preserve">istrict </w:t>
      </w:r>
      <w:r w:rsidR="00283008">
        <w:rPr>
          <w:kern w:val="2"/>
        </w:rPr>
        <w:t>s</w:t>
      </w:r>
      <w:r w:rsidRPr="00AB00A9">
        <w:rPr>
          <w:kern w:val="2"/>
        </w:rPr>
        <w:t>trategies indicate areas where infrastructure and investment will be required to support and facilitate growth</w:t>
      </w:r>
      <w:r w:rsidR="00283008">
        <w:rPr>
          <w:kern w:val="2"/>
        </w:rPr>
        <w:t>,</w:t>
      </w:r>
      <w:r w:rsidRPr="00AB00A9">
        <w:rPr>
          <w:kern w:val="2"/>
        </w:rPr>
        <w:t xml:space="preserve"> including housing.</w:t>
      </w:r>
      <w:r w:rsidR="00667A27">
        <w:rPr>
          <w:kern w:val="2"/>
        </w:rPr>
        <w:t xml:space="preserve"> The ACT Government is undertaking a range of technical studies to better understand the infrastructure capacity within each district to inform policy and funding positions to support the </w:t>
      </w:r>
      <w:r w:rsidR="00283008">
        <w:rPr>
          <w:kern w:val="2"/>
        </w:rPr>
        <w:t>g</w:t>
      </w:r>
      <w:r w:rsidR="00667A27">
        <w:rPr>
          <w:kern w:val="2"/>
        </w:rPr>
        <w:t>overnment’s 70</w:t>
      </w:r>
      <w:r w:rsidR="00283008">
        <w:rPr>
          <w:kern w:val="2"/>
        </w:rPr>
        <w:t>%</w:t>
      </w:r>
      <w:r w:rsidR="00667A27">
        <w:rPr>
          <w:kern w:val="2"/>
        </w:rPr>
        <w:t xml:space="preserve"> infill commitment.</w:t>
      </w:r>
      <w:r w:rsidR="00CF286C">
        <w:rPr>
          <w:kern w:val="2"/>
        </w:rPr>
        <w:t xml:space="preserve"> </w:t>
      </w:r>
    </w:p>
    <w:p w14:paraId="04C5B447" w14:textId="2416B90C" w:rsidR="00AB00A9" w:rsidRPr="00AB00A9" w:rsidRDefault="00AB00A9" w:rsidP="00AB00A9">
      <w:pPr>
        <w:spacing w:before="0" w:after="120"/>
        <w:rPr>
          <w:kern w:val="2"/>
        </w:rPr>
      </w:pPr>
      <w:r w:rsidRPr="00AB00A9">
        <w:rPr>
          <w:kern w:val="2"/>
        </w:rPr>
        <w:t xml:space="preserve">The </w:t>
      </w:r>
      <w:r w:rsidRPr="00DE5666">
        <w:t xml:space="preserve">ACT Housing Strategy </w:t>
      </w:r>
      <w:r w:rsidR="00871133">
        <w:rPr>
          <w:kern w:val="2"/>
        </w:rPr>
        <w:t xml:space="preserve">sets out that housing targets will be established </w:t>
      </w:r>
      <w:r w:rsidR="00F813DC">
        <w:rPr>
          <w:kern w:val="2"/>
        </w:rPr>
        <w:t xml:space="preserve">annually </w:t>
      </w:r>
      <w:r w:rsidRPr="00AB00A9">
        <w:rPr>
          <w:kern w:val="2"/>
        </w:rPr>
        <w:t xml:space="preserve">for affordable, community and public housing. </w:t>
      </w:r>
    </w:p>
    <w:p w14:paraId="4263D464" w14:textId="7A9DC2E4" w:rsidR="00AB00A9" w:rsidRPr="00BF3DBE" w:rsidRDefault="00AB00A9" w:rsidP="00AB00A9">
      <w:pPr>
        <w:spacing w:before="0" w:after="120"/>
        <w:rPr>
          <w:rFonts w:ascii="Calibri Light" w:hAnsi="Calibri Light" w:cs="Calibri Light"/>
          <w:b/>
          <w:bCs/>
          <w:kern w:val="2"/>
          <w:sz w:val="24"/>
          <w:szCs w:val="22"/>
        </w:rPr>
      </w:pPr>
      <w:r w:rsidRPr="00BF3DBE">
        <w:rPr>
          <w:rFonts w:ascii="Calibri Light" w:hAnsi="Calibri Light" w:cs="Calibri Light"/>
          <w:b/>
          <w:bCs/>
          <w:kern w:val="2"/>
          <w:sz w:val="24"/>
          <w:szCs w:val="22"/>
        </w:rPr>
        <w:t>Update</w:t>
      </w:r>
    </w:p>
    <w:p w14:paraId="2BC3FFF6" w14:textId="11925025" w:rsidR="00981085" w:rsidRDefault="002B6BD8" w:rsidP="00981085">
      <w:pPr>
        <w:spacing w:before="0" w:after="120"/>
        <w:rPr>
          <w:kern w:val="2"/>
        </w:rPr>
      </w:pPr>
      <w:bookmarkStart w:id="9" w:name="_Toc164435410"/>
      <w:r>
        <w:rPr>
          <w:kern w:val="2"/>
        </w:rPr>
        <w:t>In</w:t>
      </w:r>
      <w:r w:rsidR="009A3554">
        <w:rPr>
          <w:kern w:val="2"/>
        </w:rPr>
        <w:t xml:space="preserve"> October</w:t>
      </w:r>
      <w:r w:rsidR="00981085">
        <w:rPr>
          <w:kern w:val="2"/>
        </w:rPr>
        <w:t xml:space="preserve"> 2025, the Minister for Planning </w:t>
      </w:r>
      <w:r w:rsidR="00283008">
        <w:rPr>
          <w:kern w:val="2"/>
        </w:rPr>
        <w:t xml:space="preserve">and Sustainable Development </w:t>
      </w:r>
      <w:r w:rsidR="00981085">
        <w:rPr>
          <w:kern w:val="2"/>
        </w:rPr>
        <w:t xml:space="preserve">released the </w:t>
      </w:r>
      <w:hyperlink r:id="rId23" w:history="1">
        <w:r w:rsidR="00981085" w:rsidRPr="00981085">
          <w:rPr>
            <w:rStyle w:val="Hyperlink"/>
            <w:kern w:val="2"/>
          </w:rPr>
          <w:t>Minister's Statement of Planning Priorities 2025-2028</w:t>
        </w:r>
      </w:hyperlink>
      <w:r>
        <w:t>. There are 10 key priorities focused on throughout the statement, including:</w:t>
      </w:r>
    </w:p>
    <w:p w14:paraId="193F483A" w14:textId="3519591C" w:rsidR="00981085" w:rsidRPr="005C7591" w:rsidRDefault="00283008" w:rsidP="00DE5666">
      <w:pPr>
        <w:pStyle w:val="Bullet"/>
      </w:pPr>
      <w:r>
        <w:t>p</w:t>
      </w:r>
      <w:r w:rsidR="00981085" w:rsidRPr="005C7591">
        <w:t>lan for more housing near high frequency public transport stops</w:t>
      </w:r>
    </w:p>
    <w:p w14:paraId="2BC293F7" w14:textId="287C4D75" w:rsidR="00981085" w:rsidRDefault="00283008" w:rsidP="00DE5666">
      <w:pPr>
        <w:pStyle w:val="Bullet"/>
      </w:pPr>
      <w:r>
        <w:t>p</w:t>
      </w:r>
      <w:r w:rsidR="00981085" w:rsidRPr="005C7591">
        <w:t xml:space="preserve">lan for more </w:t>
      </w:r>
      <w:r w:rsidR="00333365" w:rsidRPr="005C7591">
        <w:t>housing near</w:t>
      </w:r>
      <w:r w:rsidR="00981085" w:rsidRPr="005C7591">
        <w:t xml:space="preserve"> commercial centres, reinvigorating shops</w:t>
      </w:r>
    </w:p>
    <w:p w14:paraId="62B33BBA" w14:textId="43B44384" w:rsidR="00981085" w:rsidRDefault="00283008" w:rsidP="00DE5666">
      <w:pPr>
        <w:pStyle w:val="Bullet"/>
      </w:pPr>
      <w:r>
        <w:t>e</w:t>
      </w:r>
      <w:r w:rsidR="00981085">
        <w:t>nable diverse housing choices including ‘missing middle’ housing</w:t>
      </w:r>
    </w:p>
    <w:p w14:paraId="110735F9" w14:textId="758EF9C3" w:rsidR="00981085" w:rsidRDefault="00283008" w:rsidP="00DE5666">
      <w:pPr>
        <w:pStyle w:val="Bullet"/>
      </w:pPr>
      <w:r>
        <w:t>s</w:t>
      </w:r>
      <w:r w:rsidR="00981085">
        <w:t>upport the delivery of social and affordable housing</w:t>
      </w:r>
    </w:p>
    <w:p w14:paraId="5CAE5E68" w14:textId="0910B3BE" w:rsidR="00981085" w:rsidRDefault="00283008" w:rsidP="00DE5666">
      <w:pPr>
        <w:pStyle w:val="Bullet"/>
      </w:pPr>
      <w:r>
        <w:t>p</w:t>
      </w:r>
      <w:r w:rsidR="00981085">
        <w:t>repare the housing supply and land release pipeline</w:t>
      </w:r>
    </w:p>
    <w:p w14:paraId="2868AA87" w14:textId="60CC23EA" w:rsidR="00981085" w:rsidRDefault="00283008" w:rsidP="00DE5666">
      <w:pPr>
        <w:pStyle w:val="Bullet"/>
      </w:pPr>
      <w:r>
        <w:lastRenderedPageBreak/>
        <w:t>p</w:t>
      </w:r>
      <w:r w:rsidR="00981085">
        <w:t>lan Canberra’s future employment areas</w:t>
      </w:r>
    </w:p>
    <w:p w14:paraId="5262C25A" w14:textId="128AA213" w:rsidR="00981085" w:rsidRDefault="00283008" w:rsidP="00DE5666">
      <w:pPr>
        <w:pStyle w:val="Bullet"/>
      </w:pPr>
      <w:r>
        <w:t>s</w:t>
      </w:r>
      <w:r w:rsidR="00981085">
        <w:t>upport community needs across the ACT</w:t>
      </w:r>
    </w:p>
    <w:p w14:paraId="31C6D136" w14:textId="6B78731D" w:rsidR="00981085" w:rsidRDefault="00283008" w:rsidP="00DE5666">
      <w:pPr>
        <w:pStyle w:val="Bullet"/>
      </w:pPr>
      <w:r>
        <w:t>p</w:t>
      </w:r>
      <w:r w:rsidR="00981085">
        <w:t>rotect the environment and enhance the city’s landscape</w:t>
      </w:r>
    </w:p>
    <w:p w14:paraId="3354C847" w14:textId="06E512EE" w:rsidR="00981085" w:rsidRDefault="00283008" w:rsidP="00DE5666">
      <w:pPr>
        <w:pStyle w:val="Bullet"/>
      </w:pPr>
      <w:r>
        <w:t>e</w:t>
      </w:r>
      <w:r w:rsidR="00981085">
        <w:t>nsure design quality and productivity</w:t>
      </w:r>
    </w:p>
    <w:p w14:paraId="56942675" w14:textId="1D13DD73" w:rsidR="00981085" w:rsidRPr="005C7591" w:rsidRDefault="00283008" w:rsidP="00DE5666">
      <w:pPr>
        <w:pStyle w:val="Bullet"/>
      </w:pPr>
      <w:r>
        <w:t>a</w:t>
      </w:r>
      <w:r w:rsidR="00981085">
        <w:t>dministration and delivery of priorities</w:t>
      </w:r>
      <w:r w:rsidR="002B6BD8">
        <w:t>.</w:t>
      </w:r>
      <w:r w:rsidR="00981085">
        <w:t xml:space="preserve"> </w:t>
      </w:r>
    </w:p>
    <w:p w14:paraId="27599F5A" w14:textId="4A3FEF9E" w:rsidR="007B0234" w:rsidRPr="00B846A7" w:rsidRDefault="007B0234" w:rsidP="00B846A7">
      <w:pPr>
        <w:spacing w:before="0" w:after="120"/>
        <w:rPr>
          <w:kern w:val="2"/>
        </w:rPr>
      </w:pPr>
      <w:r w:rsidRPr="00B846A7">
        <w:rPr>
          <w:kern w:val="2"/>
        </w:rPr>
        <w:t xml:space="preserve">The ACT Government plans to release land over the next </w:t>
      </w:r>
      <w:r w:rsidR="002B6BD8">
        <w:rPr>
          <w:kern w:val="2"/>
        </w:rPr>
        <w:t>5</w:t>
      </w:r>
      <w:r w:rsidR="002B6BD8" w:rsidRPr="00B846A7">
        <w:rPr>
          <w:kern w:val="2"/>
        </w:rPr>
        <w:t xml:space="preserve"> </w:t>
      </w:r>
      <w:r w:rsidRPr="00B846A7">
        <w:rPr>
          <w:kern w:val="2"/>
        </w:rPr>
        <w:t>years</w:t>
      </w:r>
      <w:r w:rsidR="00041130">
        <w:rPr>
          <w:kern w:val="2"/>
        </w:rPr>
        <w:t xml:space="preserve"> (2025-26 to 2029-30)</w:t>
      </w:r>
      <w:r w:rsidRPr="00B846A7">
        <w:rPr>
          <w:kern w:val="2"/>
        </w:rPr>
        <w:t xml:space="preserve"> to support 25,948 </w:t>
      </w:r>
      <w:r w:rsidR="00041130">
        <w:rPr>
          <w:kern w:val="2"/>
        </w:rPr>
        <w:t>new</w:t>
      </w:r>
      <w:r w:rsidRPr="00B846A7">
        <w:rPr>
          <w:kern w:val="2"/>
        </w:rPr>
        <w:t xml:space="preserve"> homes which will include a mix of market, community, public and affordable housing. In addition to these releases, based on current planning and construction activity, it is anticipated over 9,</w:t>
      </w:r>
      <w:r w:rsidR="004045F2">
        <w:rPr>
          <w:kern w:val="2"/>
        </w:rPr>
        <w:t>5</w:t>
      </w:r>
      <w:r w:rsidRPr="00B846A7">
        <w:rPr>
          <w:kern w:val="2"/>
        </w:rPr>
        <w:t xml:space="preserve">00 new dwellings from private sector projects in the planning pipeline and under construction could be realised over the next </w:t>
      </w:r>
      <w:r w:rsidR="002B6BD8">
        <w:rPr>
          <w:kern w:val="2"/>
        </w:rPr>
        <w:t>5</w:t>
      </w:r>
      <w:r w:rsidR="002B6BD8" w:rsidRPr="00B846A7">
        <w:rPr>
          <w:kern w:val="2"/>
        </w:rPr>
        <w:t xml:space="preserve"> </w:t>
      </w:r>
      <w:r w:rsidRPr="00B846A7">
        <w:rPr>
          <w:kern w:val="2"/>
        </w:rPr>
        <w:t>years.</w:t>
      </w:r>
    </w:p>
    <w:p w14:paraId="6DC5D8CB" w14:textId="11D866E7" w:rsidR="00B846A7" w:rsidRPr="00B846A7" w:rsidRDefault="00B846A7" w:rsidP="00B846A7">
      <w:pPr>
        <w:spacing w:before="0" w:after="120"/>
        <w:rPr>
          <w:kern w:val="2"/>
        </w:rPr>
      </w:pPr>
      <w:r w:rsidRPr="00B846A7">
        <w:rPr>
          <w:kern w:val="2"/>
        </w:rPr>
        <w:t>In 2025-26, 20</w:t>
      </w:r>
      <w:r w:rsidR="002B6BD8">
        <w:rPr>
          <w:kern w:val="2"/>
        </w:rPr>
        <w:t>%</w:t>
      </w:r>
      <w:r w:rsidRPr="00B846A7">
        <w:rPr>
          <w:kern w:val="2"/>
        </w:rPr>
        <w:t xml:space="preserve"> of suitable residential land in the Housing Supply and Land Release Program is being allocated for community, public and affordable housing.</w:t>
      </w:r>
      <w:r w:rsidR="00B46BB6">
        <w:rPr>
          <w:kern w:val="2"/>
        </w:rPr>
        <w:t xml:space="preserve"> </w:t>
      </w:r>
    </w:p>
    <w:p w14:paraId="19B081E3" w14:textId="35F071FA" w:rsidR="00662FA9" w:rsidRDefault="00662FA9" w:rsidP="006C0E36">
      <w:pPr>
        <w:spacing w:before="0" w:after="120"/>
        <w:rPr>
          <w:kern w:val="2"/>
        </w:rPr>
      </w:pPr>
      <w:r w:rsidRPr="00E50CA5">
        <w:rPr>
          <w:kern w:val="2"/>
        </w:rPr>
        <w:t>The Housing Supply and Land Release Program 2025-26 to 2029-30 was published in June 2025, with the Indicative Land Release Program forming a subpart of a broader consideration.</w:t>
      </w:r>
      <w:r>
        <w:rPr>
          <w:kern w:val="2"/>
        </w:rPr>
        <w:t xml:space="preserve"> The Indicative Land Release Program includes a snapshot of residential land releases over the </w:t>
      </w:r>
      <w:r w:rsidR="002B6BD8">
        <w:rPr>
          <w:kern w:val="2"/>
        </w:rPr>
        <w:t>5</w:t>
      </w:r>
      <w:r>
        <w:rPr>
          <w:kern w:val="2"/>
        </w:rPr>
        <w:t xml:space="preserve">-year period. </w:t>
      </w:r>
    </w:p>
    <w:p w14:paraId="3AB3525D" w14:textId="6451574A" w:rsidR="00D945F1" w:rsidRPr="0077719F" w:rsidRDefault="00D945F1" w:rsidP="006C0E36">
      <w:pPr>
        <w:pStyle w:val="ListParagraph"/>
        <w:spacing w:before="0"/>
        <w:ind w:left="0"/>
        <w:rPr>
          <w:rFonts w:ascii="Calibri" w:hAnsi="Calibri" w:cs="Calibri"/>
          <w:szCs w:val="22"/>
        </w:rPr>
      </w:pPr>
      <w:r w:rsidRPr="0077719F">
        <w:rPr>
          <w:rFonts w:ascii="Calibri" w:hAnsi="Calibri" w:cs="Calibri"/>
          <w:szCs w:val="22"/>
        </w:rPr>
        <w:t xml:space="preserve">The ACT is currently </w:t>
      </w:r>
      <w:bookmarkStart w:id="10" w:name="_Hlk212724062"/>
      <w:r w:rsidRPr="0077719F">
        <w:rPr>
          <w:rFonts w:ascii="Calibri" w:hAnsi="Calibri" w:cs="Calibri"/>
          <w:szCs w:val="22"/>
        </w:rPr>
        <w:t xml:space="preserve">progressing a range of planning initiatives that will contribute to meeting national housing supply targets </w:t>
      </w:r>
      <w:bookmarkEnd w:id="10"/>
      <w:r w:rsidRPr="0077719F">
        <w:rPr>
          <w:rFonts w:ascii="Calibri" w:hAnsi="Calibri" w:cs="Calibri"/>
          <w:szCs w:val="22"/>
        </w:rPr>
        <w:t>under the National Planning Reform Blueprint.</w:t>
      </w:r>
    </w:p>
    <w:p w14:paraId="166FCE46" w14:textId="1F8E9910" w:rsidR="00D945F1" w:rsidRPr="0077719F" w:rsidRDefault="00D945F1" w:rsidP="006C0E36">
      <w:pPr>
        <w:spacing w:before="60" w:after="60"/>
        <w:rPr>
          <w:rFonts w:ascii="Calibri" w:hAnsi="Calibri" w:cs="Calibri"/>
          <w:szCs w:val="22"/>
        </w:rPr>
      </w:pPr>
      <w:r w:rsidRPr="0077719F">
        <w:rPr>
          <w:rFonts w:ascii="Calibri" w:hAnsi="Calibri" w:cs="Calibri"/>
          <w:szCs w:val="22"/>
        </w:rPr>
        <w:t>Specific measures include a range of broad and site-specific planning reforms, including;</w:t>
      </w:r>
    </w:p>
    <w:p w14:paraId="5A490FAC" w14:textId="3C92B2DC" w:rsidR="00D945F1" w:rsidRPr="0077719F" w:rsidRDefault="00D945F1" w:rsidP="00DE5666">
      <w:pPr>
        <w:pStyle w:val="Bullet"/>
      </w:pPr>
      <w:r w:rsidRPr="0077719F">
        <w:rPr>
          <w:b/>
          <w:bCs/>
        </w:rPr>
        <w:t>Missing Middle Housing Reforms</w:t>
      </w:r>
      <w:r w:rsidRPr="0077719F">
        <w:t xml:space="preserve"> via proposed Major Plan Amendment (DPA-04)</w:t>
      </w:r>
      <w:r w:rsidR="00936C63">
        <w:t xml:space="preserve"> to the Territory Plan</w:t>
      </w:r>
      <w:r w:rsidR="00E50CA5">
        <w:t>:</w:t>
      </w:r>
    </w:p>
    <w:p w14:paraId="3FEB14D3" w14:textId="53A2A0B3" w:rsidR="00D945F1" w:rsidRPr="0077719F" w:rsidRDefault="00D945F1" w:rsidP="00DE5666">
      <w:pPr>
        <w:pStyle w:val="Dash"/>
      </w:pPr>
      <w:r w:rsidRPr="0077719F">
        <w:t>Proposes changes to the planning system to remove planning barriers to make it easier to build more medium-density homes in existing suburbs, giving Canberrans more housing choice and helping to meet the city’s growing demand for housing</w:t>
      </w:r>
      <w:r w:rsidR="006C0E36">
        <w:t>.</w:t>
      </w:r>
    </w:p>
    <w:p w14:paraId="388AA63D" w14:textId="62E476AA" w:rsidR="00D945F1" w:rsidRPr="0077719F" w:rsidRDefault="00D945F1" w:rsidP="00DE5666">
      <w:pPr>
        <w:pStyle w:val="Dash"/>
      </w:pPr>
      <w:r w:rsidRPr="0077719F">
        <w:t>The proposed changes</w:t>
      </w:r>
      <w:r w:rsidR="003721A4">
        <w:t>, which include introduction of a new Missing Middle Housing Design Guide,</w:t>
      </w:r>
      <w:r w:rsidRPr="0077719F">
        <w:t xml:space="preserve"> will enable more opportunities to develop missing middle dwellings in existing residential areas, predominantly in lower order residential zones that comprise </w:t>
      </w:r>
      <w:proofErr w:type="gramStart"/>
      <w:r w:rsidRPr="0077719F">
        <w:t>the majority of</w:t>
      </w:r>
      <w:proofErr w:type="gramEnd"/>
      <w:r w:rsidRPr="0077719F">
        <w:t xml:space="preserve"> residential zoned land within the </w:t>
      </w:r>
      <w:r w:rsidR="00936C63">
        <w:t>t</w:t>
      </w:r>
      <w:r w:rsidRPr="0077719F">
        <w:t>erritory</w:t>
      </w:r>
      <w:r w:rsidR="006C0E36">
        <w:t>.</w:t>
      </w:r>
    </w:p>
    <w:p w14:paraId="3A1845DB" w14:textId="05618F6B" w:rsidR="00D945F1" w:rsidRPr="0077719F" w:rsidRDefault="00D945F1" w:rsidP="00DE5666">
      <w:pPr>
        <w:pStyle w:val="Dash"/>
      </w:pPr>
      <w:r w:rsidRPr="0077719F">
        <w:t xml:space="preserve">Missing </w:t>
      </w:r>
      <w:r w:rsidR="00936C63">
        <w:t>m</w:t>
      </w:r>
      <w:r w:rsidRPr="0077719F">
        <w:t xml:space="preserve">iddle housing includes typologies </w:t>
      </w:r>
      <w:r w:rsidR="00936C63">
        <w:t>like</w:t>
      </w:r>
      <w:r w:rsidRPr="0077719F">
        <w:t xml:space="preserve"> town houses, terrace homes and low-rise apartments</w:t>
      </w:r>
      <w:r w:rsidR="006C0E36">
        <w:t>.</w:t>
      </w:r>
    </w:p>
    <w:p w14:paraId="44764DD7" w14:textId="20FBD2A3" w:rsidR="00D945F1" w:rsidRPr="0077719F" w:rsidRDefault="00D945F1" w:rsidP="00DE5666">
      <w:pPr>
        <w:pStyle w:val="Dash"/>
      </w:pPr>
      <w:r w:rsidRPr="0077719F">
        <w:t xml:space="preserve">Future </w:t>
      </w:r>
      <w:r w:rsidR="00BE57C7" w:rsidRPr="0077719F">
        <w:t>Missing Middle Housing Reforms</w:t>
      </w:r>
      <w:r w:rsidR="00BE57C7" w:rsidRPr="00BE57C7">
        <w:t xml:space="preserve"> </w:t>
      </w:r>
      <w:r w:rsidR="00BE57C7">
        <w:t xml:space="preserve">phases </w:t>
      </w:r>
      <w:r w:rsidRPr="0077719F">
        <w:t>will consider areas for potential zoning uplift, responding to locational suitability and feasibility</w:t>
      </w:r>
      <w:r w:rsidR="006C0E36">
        <w:t>.</w:t>
      </w:r>
    </w:p>
    <w:p w14:paraId="099506FA" w14:textId="0A6C60CA" w:rsidR="00D945F1" w:rsidRPr="0077719F" w:rsidRDefault="00936C63" w:rsidP="00DE5666">
      <w:pPr>
        <w:pStyle w:val="Bullet"/>
      </w:pPr>
      <w:r>
        <w:t xml:space="preserve">The </w:t>
      </w:r>
      <w:r w:rsidR="00D945F1" w:rsidRPr="0077719F">
        <w:t xml:space="preserve">following </w:t>
      </w:r>
      <w:r w:rsidRPr="00DE5666">
        <w:rPr>
          <w:b/>
          <w:bCs/>
        </w:rPr>
        <w:t xml:space="preserve">location-specific planning </w:t>
      </w:r>
      <w:r w:rsidR="00D945F1" w:rsidRPr="00DE5666">
        <w:rPr>
          <w:b/>
          <w:bCs/>
        </w:rPr>
        <w:t xml:space="preserve">reforms </w:t>
      </w:r>
      <w:r w:rsidR="00D945F1" w:rsidRPr="0077719F">
        <w:t xml:space="preserve">will be achieved </w:t>
      </w:r>
      <w:r>
        <w:t>by</w:t>
      </w:r>
      <w:r w:rsidRPr="0077719F">
        <w:t xml:space="preserve"> </w:t>
      </w:r>
      <w:r w:rsidR="00D945F1" w:rsidRPr="0077719F">
        <w:t xml:space="preserve">rezoning </w:t>
      </w:r>
      <w:r>
        <w:t>s</w:t>
      </w:r>
      <w:r w:rsidR="00D945F1" w:rsidRPr="0077719F">
        <w:t>ites and through associated planning provisions, increasing the availability of highly suitable land that can effectively contribute to housing supply</w:t>
      </w:r>
      <w:r w:rsidR="006C0E36">
        <w:t>:</w:t>
      </w:r>
    </w:p>
    <w:p w14:paraId="254CE795" w14:textId="2480DA97" w:rsidR="00D945F1" w:rsidRPr="0077719F" w:rsidRDefault="00D945F1" w:rsidP="00DE5666">
      <w:pPr>
        <w:pStyle w:val="Dash"/>
      </w:pPr>
      <w:r w:rsidRPr="00936C63">
        <w:rPr>
          <w:b/>
          <w:bCs/>
        </w:rPr>
        <w:t>Thoroughbred Park Precinct</w:t>
      </w:r>
      <w:r w:rsidRPr="0077719F">
        <w:t xml:space="preserve"> via proposed Major Plan Amendment (DPA-08)</w:t>
      </w:r>
      <w:r w:rsidR="00936C63">
        <w:t xml:space="preserve"> to the Territory Plan. This is a</w:t>
      </w:r>
      <w:r w:rsidR="006C0E36">
        <w:t xml:space="preserve"> </w:t>
      </w:r>
      <w:proofErr w:type="gramStart"/>
      <w:r w:rsidR="006C0E36">
        <w:t>w</w:t>
      </w:r>
      <w:r w:rsidRPr="0077719F">
        <w:t>ell located</w:t>
      </w:r>
      <w:proofErr w:type="gramEnd"/>
      <w:r w:rsidRPr="0077719F">
        <w:t xml:space="preserve"> site of approximately 100 hectares, proposed as a mixed-use residential precinct</w:t>
      </w:r>
      <w:r w:rsidR="00936C63">
        <w:t>.</w:t>
      </w:r>
      <w:r w:rsidRPr="0077719F">
        <w:t xml:space="preserve"> If approved, DPA-08 would allow staged redevelopment of the Precinct over 10-20 years, with an anticipated housing supply contribution of approximately </w:t>
      </w:r>
      <w:r w:rsidRPr="00936C63">
        <w:rPr>
          <w:b/>
          <w:bCs/>
        </w:rPr>
        <w:t>5,700-6,200 dwellings</w:t>
      </w:r>
      <w:r w:rsidR="00936C63">
        <w:rPr>
          <w:b/>
          <w:bCs/>
        </w:rPr>
        <w:t>.</w:t>
      </w:r>
    </w:p>
    <w:p w14:paraId="2EFA5B96" w14:textId="19DBF61A" w:rsidR="00D945F1" w:rsidRPr="002F486B" w:rsidRDefault="00D945F1" w:rsidP="00DE5666">
      <w:pPr>
        <w:pStyle w:val="Dash"/>
      </w:pPr>
      <w:r w:rsidRPr="00936C63">
        <w:rPr>
          <w:b/>
          <w:bCs/>
        </w:rPr>
        <w:t>Northern Gateway</w:t>
      </w:r>
      <w:r w:rsidRPr="0077719F">
        <w:t xml:space="preserve"> via proposed Major Plan Amendment (DPA-09)</w:t>
      </w:r>
      <w:r w:rsidR="00936C63">
        <w:t xml:space="preserve"> to the Territory Plan. </w:t>
      </w:r>
      <w:r w:rsidR="006C0E36">
        <w:t>It p</w:t>
      </w:r>
      <w:r w:rsidRPr="0077719F">
        <w:t xml:space="preserve">roposes to rezone parts of </w:t>
      </w:r>
      <w:r w:rsidR="00936C63">
        <w:t>2</w:t>
      </w:r>
      <w:r w:rsidR="00936C63" w:rsidRPr="0077719F">
        <w:t xml:space="preserve"> </w:t>
      </w:r>
      <w:r w:rsidRPr="0077719F">
        <w:t>long-established centrally located suburbs to a mix of higher order residential zones to enable these suburbs to contribute to housing supply</w:t>
      </w:r>
      <w:r w:rsidR="006C0E36">
        <w:t>.</w:t>
      </w:r>
      <w:r w:rsidR="00936C63">
        <w:t xml:space="preserve"> </w:t>
      </w:r>
      <w:r w:rsidRPr="002F486B">
        <w:t xml:space="preserve">If approved, DPA-09 is anticipated to enable up to approximately </w:t>
      </w:r>
      <w:r w:rsidRPr="00936C63">
        <w:rPr>
          <w:b/>
          <w:bCs/>
        </w:rPr>
        <w:t>1,000 new dwellings</w:t>
      </w:r>
      <w:r w:rsidRPr="002F486B">
        <w:t xml:space="preserve"> (net) across Watson and Downer</w:t>
      </w:r>
      <w:r w:rsidR="006C0E36">
        <w:t>.</w:t>
      </w:r>
    </w:p>
    <w:p w14:paraId="4C6BE387" w14:textId="0A7B0C36" w:rsidR="00333365" w:rsidRDefault="00D945F1" w:rsidP="00DE5666">
      <w:pPr>
        <w:pStyle w:val="Dash"/>
      </w:pPr>
      <w:r w:rsidRPr="00936C63">
        <w:rPr>
          <w:b/>
          <w:bCs/>
        </w:rPr>
        <w:lastRenderedPageBreak/>
        <w:t>Ainslie Football Club</w:t>
      </w:r>
      <w:r w:rsidR="00936C63">
        <w:t xml:space="preserve"> </w:t>
      </w:r>
      <w:r w:rsidRPr="002F486B">
        <w:t>via completed Major Plan Amendment MPA-02</w:t>
      </w:r>
      <w:r w:rsidR="00936C63">
        <w:t xml:space="preserve"> to the Territory Plan. </w:t>
      </w:r>
      <w:r w:rsidR="006C0E36">
        <w:t xml:space="preserve">The </w:t>
      </w:r>
      <w:r w:rsidRPr="002F486B">
        <w:t xml:space="preserve">MPA-02 amends the Territory Plan by rezoning part of the subject area enabling higher density residential and commercial </w:t>
      </w:r>
      <w:proofErr w:type="gramStart"/>
      <w:r w:rsidRPr="002F486B">
        <w:t>mixed use</w:t>
      </w:r>
      <w:proofErr w:type="gramEnd"/>
      <w:r w:rsidRPr="002F486B">
        <w:t xml:space="preserve"> development adjacent the Ainslie Football Club and associated sportsground</w:t>
      </w:r>
      <w:r w:rsidR="006C0E36">
        <w:t>.</w:t>
      </w:r>
      <w:r w:rsidR="00936C63">
        <w:t xml:space="preserve"> </w:t>
      </w:r>
      <w:r w:rsidRPr="002F486B">
        <w:t xml:space="preserve">Where developed in alignment with the proponent’s master plan, DPA-02 is anticipated to contribute approximately </w:t>
      </w:r>
      <w:r w:rsidRPr="00936C63">
        <w:rPr>
          <w:b/>
          <w:bCs/>
        </w:rPr>
        <w:t xml:space="preserve">320 dwellings </w:t>
      </w:r>
      <w:r w:rsidRPr="002F486B">
        <w:t>to Canberra’s housing supply</w:t>
      </w:r>
      <w:r w:rsidR="006C0E36">
        <w:t>.</w:t>
      </w:r>
    </w:p>
    <w:p w14:paraId="385EBC9F" w14:textId="783DAED2" w:rsidR="00333365" w:rsidRPr="002F486B" w:rsidRDefault="00333365" w:rsidP="00DE5666">
      <w:pPr>
        <w:pStyle w:val="Dash"/>
        <w:numPr>
          <w:ilvl w:val="0"/>
          <w:numId w:val="0"/>
        </w:numPr>
        <w:ind w:left="1040"/>
        <w:rPr>
          <w:rFonts w:asciiTheme="majorHAnsi" w:hAnsiTheme="majorHAnsi" w:cs="Arial"/>
          <w:color w:val="316757" w:themeColor="accent3" w:themeShade="80"/>
          <w:sz w:val="32"/>
          <w:szCs w:val="26"/>
        </w:rPr>
      </w:pPr>
      <w:r w:rsidRPr="00936C63">
        <w:rPr>
          <w:b/>
          <w:bCs/>
        </w:rPr>
        <w:t>Southern Gateway Planning and Design Framework</w:t>
      </w:r>
      <w:r w:rsidRPr="002F486B">
        <w:t xml:space="preserve"> will set the strategic direction for the</w:t>
      </w:r>
      <w:r w:rsidR="00AB5B8D">
        <w:t xml:space="preserve"> land adjoining the proposed Light Rail Stage 2B corridor from the </w:t>
      </w:r>
      <w:r w:rsidR="00AB5B8D" w:rsidRPr="00AB5B8D">
        <w:t>Parliamentary Triangle</w:t>
      </w:r>
      <w:r w:rsidR="00AB5B8D">
        <w:t xml:space="preserve"> to Woden town centre and the rapid bus corridor extending further south along </w:t>
      </w:r>
      <w:r w:rsidR="00923719">
        <w:t>Athlon</w:t>
      </w:r>
      <w:r w:rsidR="00AB5B8D">
        <w:t xml:space="preserve"> Drive to the southern edges of Torrens and Farrer.</w:t>
      </w:r>
      <w:r w:rsidR="00936C63">
        <w:t xml:space="preserve"> </w:t>
      </w:r>
      <w:r w:rsidR="009F0052">
        <w:t>The Framework will identify opportunities to increase</w:t>
      </w:r>
      <w:r w:rsidRPr="002F486B">
        <w:t xml:space="preserve"> housing along </w:t>
      </w:r>
      <w:r w:rsidR="009F0052">
        <w:t>the corridor</w:t>
      </w:r>
      <w:r w:rsidR="00936C63">
        <w:t xml:space="preserve"> and </w:t>
      </w:r>
      <w:r w:rsidRPr="002F486B">
        <w:t>will recommend Major Plan Amendments to support residential uplift and renewal in the corridor.</w:t>
      </w:r>
    </w:p>
    <w:p w14:paraId="7617784E" w14:textId="5792DE15" w:rsidR="00AB00A9" w:rsidRPr="00AB00A9" w:rsidRDefault="00AB00A9" w:rsidP="00AB00A9">
      <w:pPr>
        <w:pStyle w:val="Heading3"/>
        <w:spacing w:before="120"/>
        <w:rPr>
          <w:kern w:val="2"/>
        </w:rPr>
      </w:pPr>
      <w:bookmarkStart w:id="11" w:name="_Toc224730868"/>
      <w:r w:rsidRPr="00AB00A9">
        <w:rPr>
          <w:kern w:val="2"/>
        </w:rPr>
        <w:t>Links with infrastructure pipelines</w:t>
      </w:r>
      <w:bookmarkEnd w:id="11"/>
    </w:p>
    <w:p w14:paraId="0416BFD7" w14:textId="2D510653"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Context</w:t>
      </w:r>
    </w:p>
    <w:p w14:paraId="62FFECE8" w14:textId="541B3636" w:rsidR="00AB00A9" w:rsidRPr="00AB00A9" w:rsidRDefault="00AB00A9" w:rsidP="00AB00A9">
      <w:pPr>
        <w:spacing w:before="120" w:after="0"/>
        <w:rPr>
          <w:kern w:val="2"/>
        </w:rPr>
      </w:pPr>
      <w:r w:rsidRPr="00AB00A9">
        <w:rPr>
          <w:kern w:val="2"/>
        </w:rPr>
        <w:t xml:space="preserve">The </w:t>
      </w:r>
      <w:r w:rsidR="00936C63">
        <w:rPr>
          <w:kern w:val="2"/>
        </w:rPr>
        <w:t>ACT</w:t>
      </w:r>
      <w:r w:rsidRPr="00AB00A9">
        <w:rPr>
          <w:kern w:val="2"/>
        </w:rPr>
        <w:t xml:space="preserve"> is one of </w:t>
      </w:r>
      <w:r w:rsidR="00936C63">
        <w:rPr>
          <w:kern w:val="2"/>
        </w:rPr>
        <w:t>Australia’s</w:t>
      </w:r>
      <w:r w:rsidR="00936C63" w:rsidRPr="00AB00A9">
        <w:rPr>
          <w:kern w:val="2"/>
        </w:rPr>
        <w:t xml:space="preserve"> </w:t>
      </w:r>
      <w:r w:rsidRPr="00AB00A9">
        <w:rPr>
          <w:kern w:val="2"/>
        </w:rPr>
        <w:t xml:space="preserve">fastest growing jurisdictions and is expected to reach </w:t>
      </w:r>
      <w:r w:rsidR="00402D76">
        <w:rPr>
          <w:kern w:val="2"/>
        </w:rPr>
        <w:t xml:space="preserve">over </w:t>
      </w:r>
      <w:r w:rsidRPr="00AB00A9">
        <w:rPr>
          <w:kern w:val="2"/>
        </w:rPr>
        <w:t>half a million residents by 2027. As Canberra's population grows, the government will</w:t>
      </w:r>
      <w:r w:rsidR="00DD5AB5">
        <w:rPr>
          <w:kern w:val="2"/>
        </w:rPr>
        <w:t xml:space="preserve"> continue to</w:t>
      </w:r>
      <w:r w:rsidRPr="00AB00A9">
        <w:rPr>
          <w:kern w:val="2"/>
        </w:rPr>
        <w:t xml:space="preserve"> invest in enabling infrastructure and seek to drive private sector investment into renewal precincts, as well as new housing and commercial and employment opportunities.</w:t>
      </w:r>
    </w:p>
    <w:p w14:paraId="0F3061B1" w14:textId="7A1CB1C1" w:rsidR="00AB00A9" w:rsidRPr="00AB00A9" w:rsidRDefault="00AB00A9" w:rsidP="00AB00A9">
      <w:pPr>
        <w:spacing w:before="120" w:after="0"/>
        <w:rPr>
          <w:kern w:val="2"/>
        </w:rPr>
      </w:pPr>
      <w:r w:rsidRPr="00AB00A9">
        <w:rPr>
          <w:kern w:val="2"/>
        </w:rPr>
        <w:t xml:space="preserve">The </w:t>
      </w:r>
      <w:hyperlink r:id="rId24" w:history="1">
        <w:r w:rsidRPr="001B4ECC">
          <w:rPr>
            <w:rStyle w:val="Hyperlink"/>
            <w:kern w:val="2"/>
          </w:rPr>
          <w:t>ACT Infrastructure Plan</w:t>
        </w:r>
      </w:hyperlink>
      <w:r w:rsidRPr="00AB00A9">
        <w:rPr>
          <w:kern w:val="2"/>
        </w:rPr>
        <w:t xml:space="preserve"> provides a framework for how the </w:t>
      </w:r>
      <w:r w:rsidR="001B4ECC">
        <w:rPr>
          <w:kern w:val="2"/>
        </w:rPr>
        <w:t>g</w:t>
      </w:r>
      <w:r w:rsidRPr="00AB00A9">
        <w:rPr>
          <w:kern w:val="2"/>
        </w:rPr>
        <w:t xml:space="preserve">overnment will renew established infrastructure and create new infrastructure to meet the needs of </w:t>
      </w:r>
      <w:r w:rsidR="001B4ECC">
        <w:rPr>
          <w:kern w:val="2"/>
        </w:rPr>
        <w:t xml:space="preserve">more than </w:t>
      </w:r>
      <w:r w:rsidRPr="00AB00A9">
        <w:rPr>
          <w:kern w:val="2"/>
        </w:rPr>
        <w:t>500,000 people. The ACT Infrastructure Plan Indicative Project Pipeline shows the timing and indicative costs of future works.</w:t>
      </w:r>
    </w:p>
    <w:p w14:paraId="66DDA857" w14:textId="67158260" w:rsidR="00AB00A9" w:rsidRDefault="00AB00A9" w:rsidP="00AB00A9">
      <w:pPr>
        <w:spacing w:before="120" w:after="0"/>
        <w:rPr>
          <w:kern w:val="2"/>
        </w:rPr>
      </w:pPr>
      <w:r w:rsidRPr="00AB00A9">
        <w:rPr>
          <w:kern w:val="2"/>
        </w:rPr>
        <w:t xml:space="preserve">District </w:t>
      </w:r>
      <w:r w:rsidR="001B4ECC">
        <w:rPr>
          <w:kern w:val="2"/>
        </w:rPr>
        <w:t>s</w:t>
      </w:r>
      <w:r w:rsidRPr="00AB00A9">
        <w:rPr>
          <w:kern w:val="2"/>
        </w:rPr>
        <w:t>trategies are a new element of the ACT</w:t>
      </w:r>
      <w:r w:rsidR="001B4ECC">
        <w:rPr>
          <w:kern w:val="2"/>
        </w:rPr>
        <w:t>’s</w:t>
      </w:r>
      <w:r w:rsidRPr="00AB00A9">
        <w:rPr>
          <w:kern w:val="2"/>
        </w:rPr>
        <w:t xml:space="preserve"> planning system and will guide future growth across each of the </w:t>
      </w:r>
      <w:r w:rsidR="001B4ECC">
        <w:rPr>
          <w:kern w:val="2"/>
        </w:rPr>
        <w:t>9</w:t>
      </w:r>
      <w:r w:rsidR="001B4ECC" w:rsidRPr="00AB00A9">
        <w:rPr>
          <w:kern w:val="2"/>
        </w:rPr>
        <w:t xml:space="preserve"> </w:t>
      </w:r>
      <w:r w:rsidRPr="00AB00A9">
        <w:rPr>
          <w:kern w:val="2"/>
        </w:rPr>
        <w:t xml:space="preserve">districts of Canberra to </w:t>
      </w:r>
      <w:r w:rsidR="001B4ECC">
        <w:rPr>
          <w:kern w:val="2"/>
        </w:rPr>
        <w:t xml:space="preserve">2050 </w:t>
      </w:r>
      <w:r w:rsidRPr="00AB00A9">
        <w:rPr>
          <w:kern w:val="2"/>
        </w:rPr>
        <w:t>and beyond. Integrated infrastructure planning is an important element along with supporting infrastructure required to deliver on these strategies.</w:t>
      </w:r>
    </w:p>
    <w:p w14:paraId="443A1B28" w14:textId="4D6D8ECB" w:rsidR="008B38E4" w:rsidRDefault="00AB00A9" w:rsidP="008B38E4">
      <w:pPr>
        <w:spacing w:before="120" w:after="0"/>
        <w:rPr>
          <w:rFonts w:ascii="Calibri Light" w:hAnsi="Calibri Light" w:cs="Calibri Light"/>
          <w:b/>
          <w:bCs/>
          <w:sz w:val="24"/>
          <w:szCs w:val="22"/>
        </w:rPr>
      </w:pPr>
      <w:r w:rsidRPr="00BF3DBE">
        <w:rPr>
          <w:rFonts w:ascii="Calibri Light" w:hAnsi="Calibri Light" w:cs="Calibri Light"/>
          <w:b/>
          <w:bCs/>
          <w:sz w:val="24"/>
          <w:szCs w:val="22"/>
        </w:rPr>
        <w:t>Update</w:t>
      </w:r>
    </w:p>
    <w:p w14:paraId="435EFA86" w14:textId="50F41812" w:rsidR="008B38E4" w:rsidRPr="008B38E4" w:rsidRDefault="00126E36" w:rsidP="008B38E4">
      <w:pPr>
        <w:spacing w:before="120" w:after="0"/>
        <w:rPr>
          <w:rFonts w:ascii="Calibri Light" w:hAnsi="Calibri Light" w:cs="Calibri Light"/>
          <w:b/>
          <w:bCs/>
          <w:sz w:val="24"/>
          <w:szCs w:val="22"/>
        </w:rPr>
      </w:pPr>
      <w:r>
        <w:rPr>
          <w:kern w:val="2"/>
        </w:rPr>
        <w:t>The ACT Government is undertaking a range of technical studies to better understand the infrastructure capacity within each district to inform policy and funding positions to support the 70</w:t>
      </w:r>
      <w:r w:rsidR="001B4ECC">
        <w:rPr>
          <w:kern w:val="2"/>
        </w:rPr>
        <w:t>%</w:t>
      </w:r>
      <w:r>
        <w:rPr>
          <w:kern w:val="2"/>
        </w:rPr>
        <w:t xml:space="preserve"> infill commitment. These studies engage closely with</w:t>
      </w:r>
      <w:r w:rsidR="00925CA4">
        <w:rPr>
          <w:kern w:val="2"/>
        </w:rPr>
        <w:t xml:space="preserve"> trunk</w:t>
      </w:r>
      <w:r>
        <w:rPr>
          <w:kern w:val="2"/>
        </w:rPr>
        <w:t xml:space="preserve"> utility providers and </w:t>
      </w:r>
      <w:r w:rsidR="008A106E">
        <w:rPr>
          <w:kern w:val="2"/>
        </w:rPr>
        <w:t>t</w:t>
      </w:r>
      <w:r>
        <w:rPr>
          <w:kern w:val="2"/>
        </w:rPr>
        <w:t>erritory agencies responsible for the transport and traffic movement network, including active and public transport and freight movement.</w:t>
      </w:r>
    </w:p>
    <w:p w14:paraId="00FE3565" w14:textId="563ED9E5" w:rsidR="00AB00A9" w:rsidRDefault="00AB00A9" w:rsidP="00AB00A9">
      <w:pPr>
        <w:pStyle w:val="Heading3"/>
      </w:pPr>
      <w:bookmarkStart w:id="12" w:name="_Toc224730869"/>
      <w:r>
        <w:t>Affordable housing</w:t>
      </w:r>
      <w:bookmarkEnd w:id="12"/>
    </w:p>
    <w:p w14:paraId="5E4AFACF" w14:textId="5FBF993A"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Context</w:t>
      </w:r>
    </w:p>
    <w:p w14:paraId="27940EE3" w14:textId="3E40ED1E" w:rsidR="00995A20" w:rsidRDefault="00995A20" w:rsidP="00C47796">
      <w:pPr>
        <w:spacing w:before="120" w:after="0"/>
      </w:pPr>
      <w:r w:rsidRPr="00232DEB">
        <w:t xml:space="preserve">The ACT Government is delivering more housing to meet the needs of a growing city, increasing supply, access and choice for Canberrans. </w:t>
      </w:r>
      <w:r w:rsidR="00232DEB" w:rsidRPr="00232DEB">
        <w:t>These initiatives will help Government work towards its commitment to enable 30,000 more homes, including delivering 5,000 additional public, community and affordable rental dwellings in Canberra by the end of 2030.</w:t>
      </w:r>
    </w:p>
    <w:p w14:paraId="1641F098" w14:textId="03246DC7" w:rsidR="00C47796" w:rsidRDefault="00C47796" w:rsidP="00C47796">
      <w:pPr>
        <w:spacing w:before="120" w:after="0"/>
      </w:pPr>
      <w:r>
        <w:t>T</w:t>
      </w:r>
      <w:r w:rsidRPr="00F96CBA">
        <w:t>he ACT Government is working closely with the community housing sector to support the development of social and affordable housing for Canberrans by releasing a pipeline of land for community housing providers and co-leveraging funding initiatives, including the ACT Government’s Affordable Housing Project Fund, the National Housing Accord and Housing Australia Future Fund.</w:t>
      </w:r>
    </w:p>
    <w:p w14:paraId="6C8D18AC" w14:textId="1F09E9E6"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Update</w:t>
      </w:r>
    </w:p>
    <w:p w14:paraId="55C1D748" w14:textId="496FE9D4" w:rsidR="00693E70" w:rsidRPr="00D35D2D" w:rsidRDefault="00693E70" w:rsidP="00D35D2D">
      <w:pPr>
        <w:spacing w:before="120" w:after="0"/>
        <w:rPr>
          <w:kern w:val="2"/>
        </w:rPr>
      </w:pPr>
      <w:r w:rsidRPr="00D35D2D">
        <w:rPr>
          <w:kern w:val="2"/>
        </w:rPr>
        <w:t>The 2025-26 Budget provides an additional $20 million for the Affordable Housing Project Fund, bringing the total funding to $100 million.</w:t>
      </w:r>
      <w:r w:rsidR="00D35D2D">
        <w:rPr>
          <w:kern w:val="2"/>
        </w:rPr>
        <w:t xml:space="preserve"> </w:t>
      </w:r>
      <w:r w:rsidRPr="00D35D2D">
        <w:rPr>
          <w:kern w:val="2"/>
        </w:rPr>
        <w:t>Over 800 new affordable rental homes will be supported through the Affordable Housing Project Fund pipeline.</w:t>
      </w:r>
    </w:p>
    <w:p w14:paraId="45712FD7" w14:textId="210A930D" w:rsidR="00D35D2D" w:rsidRDefault="00693E70" w:rsidP="00D35D2D">
      <w:pPr>
        <w:spacing w:before="120" w:after="0"/>
        <w:rPr>
          <w:kern w:val="2"/>
        </w:rPr>
      </w:pPr>
      <w:r w:rsidRPr="00D35D2D">
        <w:rPr>
          <w:kern w:val="2"/>
        </w:rPr>
        <w:lastRenderedPageBreak/>
        <w:t xml:space="preserve">Through the 2025-26 Budget, the </w:t>
      </w:r>
      <w:r w:rsidR="008A106E">
        <w:rPr>
          <w:kern w:val="2"/>
        </w:rPr>
        <w:t>g</w:t>
      </w:r>
      <w:r w:rsidRPr="00D35D2D">
        <w:rPr>
          <w:kern w:val="2"/>
        </w:rPr>
        <w:t xml:space="preserve">overnment will also provide funding to support the construction stage of the </w:t>
      </w:r>
      <w:r w:rsidR="00923719" w:rsidRPr="00D35D2D">
        <w:rPr>
          <w:kern w:val="2"/>
        </w:rPr>
        <w:t>My Home</w:t>
      </w:r>
      <w:r w:rsidRPr="00D35D2D">
        <w:rPr>
          <w:kern w:val="2"/>
        </w:rPr>
        <w:t xml:space="preserve"> project in Curtin.</w:t>
      </w:r>
      <w:r w:rsidR="00CB6429">
        <w:rPr>
          <w:kern w:val="2"/>
        </w:rPr>
        <w:t xml:space="preserve"> </w:t>
      </w:r>
      <w:r w:rsidR="00727600">
        <w:rPr>
          <w:kern w:val="2"/>
        </w:rPr>
        <w:t>The ACT Government also offers a l</w:t>
      </w:r>
      <w:r w:rsidR="00D35D2D" w:rsidRPr="00D35D2D">
        <w:rPr>
          <w:kern w:val="2"/>
        </w:rPr>
        <w:t>and tax exemption for homeowners who rent their properties at an affordable rate (75</w:t>
      </w:r>
      <w:r w:rsidR="008A106E">
        <w:rPr>
          <w:kern w:val="2"/>
        </w:rPr>
        <w:t>%</w:t>
      </w:r>
      <w:r w:rsidR="00D35D2D" w:rsidRPr="00D35D2D">
        <w:rPr>
          <w:kern w:val="2"/>
        </w:rPr>
        <w:t xml:space="preserve"> or less of market rent) to eligible households via a community housing provider.</w:t>
      </w:r>
      <w:r w:rsidR="00727600">
        <w:rPr>
          <w:kern w:val="2"/>
        </w:rPr>
        <w:t xml:space="preserve"> </w:t>
      </w:r>
      <w:r w:rsidR="00D35D2D" w:rsidRPr="00D35D2D">
        <w:rPr>
          <w:kern w:val="2"/>
        </w:rPr>
        <w:t xml:space="preserve">As part of the 2025-26 Budget, the property cap has been increased from 250 to 1,000 properties, and the </w:t>
      </w:r>
      <w:r w:rsidR="008A106E">
        <w:rPr>
          <w:kern w:val="2"/>
        </w:rPr>
        <w:t>g</w:t>
      </w:r>
      <w:r w:rsidR="00D35D2D" w:rsidRPr="00D35D2D">
        <w:rPr>
          <w:kern w:val="2"/>
        </w:rPr>
        <w:t xml:space="preserve">overnment has plans to further promote the scheme. There are </w:t>
      </w:r>
      <w:r w:rsidR="00727600">
        <w:rPr>
          <w:kern w:val="2"/>
        </w:rPr>
        <w:t xml:space="preserve">more than 250 properties </w:t>
      </w:r>
      <w:r w:rsidR="00D35D2D" w:rsidRPr="00D35D2D">
        <w:rPr>
          <w:kern w:val="2"/>
        </w:rPr>
        <w:t>actively participating in the scheme.</w:t>
      </w:r>
    </w:p>
    <w:p w14:paraId="2BE6D185" w14:textId="00CCCAD3" w:rsidR="00AB00A9" w:rsidRDefault="00AB00A9" w:rsidP="00AB00A9">
      <w:pPr>
        <w:pStyle w:val="Heading3"/>
      </w:pPr>
      <w:bookmarkStart w:id="13" w:name="_Toc224730870"/>
      <w:r>
        <w:t>Housing Australia Future Fund</w:t>
      </w:r>
      <w:bookmarkEnd w:id="13"/>
    </w:p>
    <w:p w14:paraId="5100A45F" w14:textId="77777777"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Context</w:t>
      </w:r>
    </w:p>
    <w:p w14:paraId="20AEAE2D" w14:textId="21D679EB" w:rsidR="00AB00A9" w:rsidRDefault="00727600" w:rsidP="00AB00A9">
      <w:pPr>
        <w:spacing w:before="120" w:after="0"/>
      </w:pPr>
      <w:r>
        <w:t>U</w:t>
      </w:r>
      <w:r w:rsidR="00AB00A9">
        <w:t>nder the Housing Australia Future Fund (HAFF)</w:t>
      </w:r>
      <w:r>
        <w:t>,</w:t>
      </w:r>
      <w:r w:rsidR="00AB00A9">
        <w:t xml:space="preserve"> 1,200 social and affordable dwellings </w:t>
      </w:r>
      <w:r>
        <w:t xml:space="preserve">will be delivered in the ACT </w:t>
      </w:r>
      <w:r w:rsidR="00AB00A9">
        <w:t xml:space="preserve">over the </w:t>
      </w:r>
      <w:r w:rsidR="008A106E">
        <w:t xml:space="preserve">5 </w:t>
      </w:r>
      <w:r w:rsidR="00AB00A9">
        <w:t xml:space="preserve">years of the Accord (2024 to 2029). </w:t>
      </w:r>
    </w:p>
    <w:p w14:paraId="685CA9C5" w14:textId="77777777" w:rsidR="00AB00A9" w:rsidRPr="00BF3DBE" w:rsidRDefault="00AB00A9" w:rsidP="00AB00A9">
      <w:pPr>
        <w:spacing w:before="120" w:after="0"/>
        <w:rPr>
          <w:rFonts w:ascii="Calibri Light" w:hAnsi="Calibri Light" w:cs="Calibri Light"/>
          <w:b/>
          <w:bCs/>
        </w:rPr>
      </w:pPr>
      <w:r w:rsidRPr="00BF3DBE">
        <w:rPr>
          <w:rFonts w:ascii="Calibri Light" w:hAnsi="Calibri Light" w:cs="Calibri Light"/>
          <w:b/>
          <w:bCs/>
          <w:sz w:val="24"/>
          <w:szCs w:val="22"/>
        </w:rPr>
        <w:t>Update</w:t>
      </w:r>
    </w:p>
    <w:bookmarkEnd w:id="9"/>
    <w:p w14:paraId="5E984766" w14:textId="68486C82" w:rsidR="00F9614C" w:rsidRDefault="006C0E36" w:rsidP="00F9614C">
      <w:pPr>
        <w:spacing w:before="120" w:after="0"/>
        <w:rPr>
          <w:kern w:val="2"/>
        </w:rPr>
      </w:pPr>
      <w:r>
        <w:rPr>
          <w:kern w:val="2"/>
        </w:rPr>
        <w:t xml:space="preserve">Round One of the Housing Australia Future Fund Facility (HAFFF) is supporting </w:t>
      </w:r>
      <w:r w:rsidR="001C4FE2">
        <w:rPr>
          <w:kern w:val="2"/>
        </w:rPr>
        <w:t>809 social and affordable dwellings in the ACT</w:t>
      </w:r>
      <w:r>
        <w:rPr>
          <w:kern w:val="2"/>
        </w:rPr>
        <w:t>.</w:t>
      </w:r>
    </w:p>
    <w:p w14:paraId="19E74016" w14:textId="7BF3C656" w:rsidR="00F9614C" w:rsidRDefault="00F9614C" w:rsidP="00F9614C">
      <w:pPr>
        <w:spacing w:before="120" w:after="0"/>
        <w:rPr>
          <w:kern w:val="2"/>
        </w:rPr>
      </w:pPr>
      <w:r w:rsidRPr="00F9614C">
        <w:rPr>
          <w:kern w:val="2"/>
        </w:rPr>
        <w:t xml:space="preserve">The ACT Government is also engaging with the Commonwealth Government and </w:t>
      </w:r>
      <w:r w:rsidR="006E01C1">
        <w:rPr>
          <w:kern w:val="2"/>
        </w:rPr>
        <w:t>ha</w:t>
      </w:r>
      <w:r w:rsidR="008A106E">
        <w:rPr>
          <w:kern w:val="2"/>
        </w:rPr>
        <w:t>s</w:t>
      </w:r>
      <w:r w:rsidR="006E01C1">
        <w:rPr>
          <w:kern w:val="2"/>
        </w:rPr>
        <w:t xml:space="preserve"> </w:t>
      </w:r>
      <w:proofErr w:type="gramStart"/>
      <w:r w:rsidR="006E01C1">
        <w:rPr>
          <w:kern w:val="2"/>
        </w:rPr>
        <w:t>entered into</w:t>
      </w:r>
      <w:proofErr w:type="gramEnd"/>
      <w:r w:rsidR="006E01C1">
        <w:rPr>
          <w:kern w:val="2"/>
        </w:rPr>
        <w:t xml:space="preserve"> contracts with Housing Australia to deliver </w:t>
      </w:r>
      <w:r w:rsidRPr="00F9614C">
        <w:rPr>
          <w:kern w:val="2"/>
        </w:rPr>
        <w:t xml:space="preserve">85 homes as part of </w:t>
      </w:r>
      <w:r w:rsidR="00EB2CF2">
        <w:rPr>
          <w:kern w:val="2"/>
        </w:rPr>
        <w:t>Round Two of the HAFFF</w:t>
      </w:r>
      <w:r w:rsidRPr="00F9614C">
        <w:rPr>
          <w:kern w:val="2"/>
        </w:rPr>
        <w:t>. In the 2025-26 Budget, $75 million will be invested in this program</w:t>
      </w:r>
      <w:r w:rsidR="008A106E">
        <w:rPr>
          <w:kern w:val="2"/>
        </w:rPr>
        <w:t xml:space="preserve">, </w:t>
      </w:r>
      <w:r w:rsidR="00E2387D">
        <w:rPr>
          <w:kern w:val="2"/>
        </w:rPr>
        <w:t xml:space="preserve">fully subscribing to the </w:t>
      </w:r>
      <w:r w:rsidR="008A106E">
        <w:rPr>
          <w:kern w:val="2"/>
        </w:rPr>
        <w:t>t</w:t>
      </w:r>
      <w:r w:rsidR="00E2387D">
        <w:rPr>
          <w:kern w:val="2"/>
        </w:rPr>
        <w:t>erritory’s dwelling allocation under the program.</w:t>
      </w:r>
    </w:p>
    <w:p w14:paraId="3310942A" w14:textId="270AC591" w:rsidR="00936387" w:rsidRPr="00AB00A9" w:rsidRDefault="00936387" w:rsidP="001B14FE">
      <w:pPr>
        <w:spacing w:before="120" w:after="0"/>
        <w:rPr>
          <w:kern w:val="2"/>
        </w:rPr>
      </w:pPr>
      <w:r w:rsidRPr="00AB00A9">
        <w:rPr>
          <w:kern w:val="2"/>
        </w:rP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rsidRPr="00AB00A9" w14:paraId="371DC45A" w14:textId="77777777" w:rsidTr="003074FE">
        <w:tc>
          <w:tcPr>
            <w:tcW w:w="5000" w:type="pct"/>
            <w:shd w:val="clear" w:color="auto" w:fill="CEDBE6" w:themeFill="background2"/>
            <w:hideMark/>
          </w:tcPr>
          <w:p w14:paraId="235375B7" w14:textId="67975123" w:rsidR="00B534B5" w:rsidRPr="00AB00A9" w:rsidRDefault="00B534B5" w:rsidP="00B534B5">
            <w:pPr>
              <w:pStyle w:val="Heading1"/>
              <w:rPr>
                <w:kern w:val="2"/>
                <w:lang w:eastAsia="en-US"/>
              </w:rPr>
            </w:pPr>
            <w:bookmarkStart w:id="14" w:name="_Toc168064957"/>
            <w:bookmarkStart w:id="15" w:name="_Toc168065268"/>
            <w:bookmarkStart w:id="16" w:name="_Toc224730871"/>
            <w:r w:rsidRPr="00AB00A9">
              <w:rPr>
                <w:kern w:val="2"/>
                <w:lang w:eastAsia="en-US"/>
              </w:rPr>
              <w:lastRenderedPageBreak/>
              <w:t>Measure 3</w:t>
            </w:r>
            <w:bookmarkEnd w:id="14"/>
            <w:bookmarkEnd w:id="15"/>
            <w:bookmarkEnd w:id="16"/>
          </w:p>
          <w:p w14:paraId="7A840E19" w14:textId="4CA73968" w:rsidR="00B534B5" w:rsidRPr="00AB00A9" w:rsidRDefault="00B534B5" w:rsidP="00B534B5">
            <w:pPr>
              <w:pStyle w:val="Boxdoubledot"/>
              <w:numPr>
                <w:ilvl w:val="0"/>
                <w:numId w:val="0"/>
              </w:numPr>
              <w:rPr>
                <w:kern w:val="2"/>
              </w:rPr>
            </w:pPr>
            <w:r w:rsidRPr="00AB00A9">
              <w:rPr>
                <w:rFonts w:eastAsia="Times New Roman"/>
                <w:color w:val="000000" w:themeColor="text1"/>
                <w:kern w:val="2"/>
                <w:sz w:val="24"/>
                <w:szCs w:val="24"/>
                <w:lang w:eastAsia="en-AU"/>
              </w:rPr>
              <w:t>Planning Ministers will undertake planning, zoning, land release and other reforms, such as increasing density, to meet their jurisdiction</w:t>
            </w:r>
            <w:r w:rsidR="007223B8" w:rsidRPr="00AB00A9">
              <w:rPr>
                <w:rFonts w:eastAsia="Times New Roman"/>
                <w:color w:val="000000" w:themeColor="text1"/>
                <w:kern w:val="2"/>
                <w:sz w:val="24"/>
                <w:szCs w:val="24"/>
                <w:lang w:eastAsia="en-AU"/>
              </w:rPr>
              <w:t>’s</w:t>
            </w:r>
            <w:r w:rsidRPr="00AB00A9">
              <w:rPr>
                <w:rFonts w:eastAsia="Times New Roman"/>
                <w:color w:val="000000" w:themeColor="text1"/>
                <w:kern w:val="2"/>
                <w:sz w:val="24"/>
                <w:szCs w:val="24"/>
                <w:lang w:eastAsia="en-AU"/>
              </w:rPr>
              <w:t xml:space="preserve"> share of housing supply targets agreed by National Cabinet.</w:t>
            </w:r>
          </w:p>
        </w:tc>
      </w:tr>
    </w:tbl>
    <w:p w14:paraId="53A46403" w14:textId="7C285416" w:rsidR="00FE50BE" w:rsidRPr="00AB00A9" w:rsidRDefault="00366EB7" w:rsidP="000B03B1">
      <w:pPr>
        <w:pStyle w:val="Heading2"/>
        <w:rPr>
          <w:kern w:val="2"/>
        </w:rPr>
      </w:pPr>
      <w:bookmarkStart w:id="17" w:name="_Toc168064959"/>
      <w:bookmarkStart w:id="18" w:name="_Toc168065270"/>
      <w:bookmarkStart w:id="19" w:name="_Toc224730872"/>
      <w:r w:rsidRPr="00AB00A9">
        <w:rPr>
          <w:kern w:val="2"/>
        </w:rPr>
        <w:t>Summary of p</w:t>
      </w:r>
      <w:r w:rsidR="00FE50BE" w:rsidRPr="00AB00A9">
        <w:rPr>
          <w:kern w:val="2"/>
        </w:rPr>
        <w:t>lanning reforms</w:t>
      </w:r>
      <w:bookmarkEnd w:id="17"/>
      <w:bookmarkEnd w:id="18"/>
      <w:bookmarkEnd w:id="19"/>
    </w:p>
    <w:p w14:paraId="7C02BFD6" w14:textId="520CD424" w:rsidR="00AB00A9" w:rsidRPr="00AB00A9" w:rsidRDefault="00AB00A9" w:rsidP="00AB00A9">
      <w:pPr>
        <w:rPr>
          <w:rFonts w:ascii="Calibri Light" w:hAnsi="Calibri Light" w:cs="Calibri Light"/>
          <w:b/>
          <w:bCs/>
          <w:sz w:val="24"/>
          <w:szCs w:val="24"/>
        </w:rPr>
      </w:pPr>
      <w:r w:rsidRPr="00AB00A9">
        <w:rPr>
          <w:rFonts w:ascii="Calibri Light" w:hAnsi="Calibri Light" w:cs="Calibri Light"/>
          <w:b/>
          <w:bCs/>
          <w:sz w:val="24"/>
          <w:szCs w:val="24"/>
        </w:rPr>
        <w:t>Summary of planning, zoning, land release and other reforms (</w:t>
      </w:r>
      <w:r w:rsidR="008A106E">
        <w:rPr>
          <w:rFonts w:ascii="Calibri Light" w:hAnsi="Calibri Light" w:cs="Calibri Light"/>
          <w:b/>
          <w:bCs/>
          <w:sz w:val="24"/>
          <w:szCs w:val="24"/>
        </w:rPr>
        <w:t>for example,</w:t>
      </w:r>
      <w:r w:rsidRPr="00AB00A9">
        <w:rPr>
          <w:rFonts w:ascii="Calibri Light" w:hAnsi="Calibri Light" w:cs="Calibri Light"/>
          <w:b/>
          <w:bCs/>
          <w:sz w:val="24"/>
          <w:szCs w:val="24"/>
        </w:rPr>
        <w:t xml:space="preserve"> to increase density) underway with a focus on those announced since 16 August 2023</w:t>
      </w:r>
    </w:p>
    <w:p w14:paraId="4D094E1D" w14:textId="387DED51" w:rsidR="00AB00A9" w:rsidRDefault="00AB00A9" w:rsidP="00AB00A9">
      <w:pPr>
        <w:spacing w:before="120" w:after="120"/>
        <w:rPr>
          <w:kern w:val="2"/>
        </w:rPr>
      </w:pPr>
      <w:r w:rsidRPr="00AB00A9">
        <w:rPr>
          <w:kern w:val="2"/>
        </w:rPr>
        <w:t xml:space="preserve">On 27 November 2023, the ACT introduced a </w:t>
      </w:r>
      <w:hyperlink r:id="rId25" w:history="1">
        <w:r w:rsidRPr="00AB00A9">
          <w:rPr>
            <w:rStyle w:val="Hyperlink"/>
            <w:kern w:val="2"/>
          </w:rPr>
          <w:t>new planning system</w:t>
        </w:r>
      </w:hyperlink>
      <w:r w:rsidRPr="00AB00A9">
        <w:rPr>
          <w:kern w:val="2"/>
        </w:rPr>
        <w:t xml:space="preserve">. The new planning system </w:t>
      </w:r>
      <w:r w:rsidR="008A106E">
        <w:rPr>
          <w:kern w:val="2"/>
        </w:rPr>
        <w:t>includes the following elements:</w:t>
      </w:r>
    </w:p>
    <w:p w14:paraId="2AD9CE59" w14:textId="4E3AC441" w:rsidR="00AB00A9" w:rsidRDefault="00AB00A9" w:rsidP="00DE5666">
      <w:pPr>
        <w:pStyle w:val="Bullet"/>
      </w:pPr>
      <w:r w:rsidRPr="00AB00A9">
        <w:t xml:space="preserve">The </w:t>
      </w:r>
      <w:hyperlink r:id="rId26" w:history="1">
        <w:r w:rsidRPr="00FB2BB7">
          <w:rPr>
            <w:rStyle w:val="Hyperlink"/>
            <w:i/>
            <w:iCs/>
            <w:kern w:val="2"/>
          </w:rPr>
          <w:t>Planning Act 2023</w:t>
        </w:r>
      </w:hyperlink>
      <w:r w:rsidRPr="00AB00A9">
        <w:t xml:space="preserve"> sets out the planning approval process and pathways. The new Act is focused on good planning and development outcomes, including consideration of the surrounding community and impacts on wellbeing, health, recreation and the environment.</w:t>
      </w:r>
    </w:p>
    <w:p w14:paraId="0F964BFF" w14:textId="3F87D38B" w:rsidR="00AB00A9" w:rsidRPr="00AB00A9" w:rsidRDefault="00AB00A9" w:rsidP="00DE5666">
      <w:pPr>
        <w:pStyle w:val="Dash"/>
        <w:numPr>
          <w:ilvl w:val="0"/>
          <w:numId w:val="0"/>
        </w:numPr>
        <w:ind w:left="520"/>
      </w:pPr>
      <w:r w:rsidRPr="00AB00A9">
        <w:t>Population projections show that Canberra needs 100,000 new homes by 2050. The new Act will support this growth while delivering better outcomes for people, by enabling Canberrans to live close to shops, transport, parks and services. That will also be balanced with protecting the natural environment and supporting communities.</w:t>
      </w:r>
    </w:p>
    <w:p w14:paraId="13EE30AF" w14:textId="7567F040" w:rsidR="00AB00A9" w:rsidRPr="00AB00A9" w:rsidRDefault="00AB00A9" w:rsidP="00DE5666">
      <w:pPr>
        <w:pStyle w:val="Bullet"/>
      </w:pPr>
      <w:hyperlink r:id="rId27" w:history="1">
        <w:r w:rsidRPr="00AB00A9">
          <w:rPr>
            <w:rStyle w:val="Hyperlink"/>
            <w:kern w:val="2"/>
          </w:rPr>
          <w:t xml:space="preserve">District </w:t>
        </w:r>
        <w:r w:rsidR="008A106E">
          <w:rPr>
            <w:rStyle w:val="Hyperlink"/>
            <w:kern w:val="2"/>
          </w:rPr>
          <w:t>s</w:t>
        </w:r>
        <w:r w:rsidRPr="00AB00A9">
          <w:rPr>
            <w:rStyle w:val="Hyperlink"/>
            <w:kern w:val="2"/>
          </w:rPr>
          <w:t>trategies</w:t>
        </w:r>
      </w:hyperlink>
      <w:r w:rsidRPr="00AB00A9">
        <w:t xml:space="preserve"> embed a strategic (district level) </w:t>
      </w:r>
      <w:r w:rsidR="008A106E">
        <w:t xml:space="preserve">planning </w:t>
      </w:r>
      <w:r w:rsidRPr="00AB00A9">
        <w:t xml:space="preserve">approach </w:t>
      </w:r>
      <w:r w:rsidR="008A106E">
        <w:t>that</w:t>
      </w:r>
      <w:r w:rsidR="008A106E" w:rsidRPr="00AB00A9">
        <w:t xml:space="preserve"> </w:t>
      </w:r>
      <w:r w:rsidRPr="00AB00A9">
        <w:t>is responsive to the needs, qualities and attributes of individual districts. District strategies incorporate a specific focus on housing and responding to current and future needs and supporting infrastructure and land use requirements.</w:t>
      </w:r>
    </w:p>
    <w:p w14:paraId="33CE6DA6" w14:textId="707F5D5B" w:rsidR="00AB00A9" w:rsidRDefault="00AB00A9" w:rsidP="00DE5666">
      <w:pPr>
        <w:pStyle w:val="Bullet"/>
      </w:pPr>
      <w:r w:rsidRPr="00AB00A9">
        <w:t xml:space="preserve">The </w:t>
      </w:r>
      <w:hyperlink r:id="rId28" w:history="1">
        <w:r w:rsidRPr="00AB00A9">
          <w:rPr>
            <w:rStyle w:val="Hyperlink"/>
            <w:kern w:val="2"/>
          </w:rPr>
          <w:t>Territory Plan</w:t>
        </w:r>
      </w:hyperlink>
      <w:r w:rsidRPr="00AB00A9">
        <w:t xml:space="preserve"> </w:t>
      </w:r>
      <w:r w:rsidR="008A106E">
        <w:t xml:space="preserve">is </w:t>
      </w:r>
      <w:r w:rsidRPr="00AB00A9">
        <w:t>the statutory plan that sets out zoning and planning requirements and facilitates the spatially</w:t>
      </w:r>
      <w:r w:rsidR="008A106E">
        <w:t>-</w:t>
      </w:r>
      <w:r w:rsidRPr="00AB00A9">
        <w:t xml:space="preserve">led and outcomes focused objectives of the new </w:t>
      </w:r>
      <w:r w:rsidR="008A106E">
        <w:t xml:space="preserve">planning </w:t>
      </w:r>
      <w:r w:rsidRPr="00AB00A9">
        <w:t>system.</w:t>
      </w:r>
    </w:p>
    <w:p w14:paraId="25C8E6F6" w14:textId="5CBFBC22" w:rsidR="00AB00A9" w:rsidRPr="00BF3DBE" w:rsidRDefault="00AB00A9" w:rsidP="00BF3DBE">
      <w:pPr>
        <w:spacing w:before="120" w:after="0"/>
        <w:rPr>
          <w:rFonts w:ascii="Calibri Light" w:hAnsi="Calibri Light" w:cs="Calibri Light"/>
          <w:b/>
          <w:bCs/>
          <w:sz w:val="24"/>
          <w:szCs w:val="22"/>
        </w:rPr>
      </w:pPr>
      <w:r w:rsidRPr="00BF3DBE">
        <w:rPr>
          <w:rFonts w:ascii="Calibri Light" w:hAnsi="Calibri Light" w:cs="Calibri Light"/>
          <w:b/>
          <w:bCs/>
          <w:sz w:val="24"/>
          <w:szCs w:val="22"/>
        </w:rPr>
        <w:t>Summary of expected impact on planning frameworks to facilitate jurisdiction’s share of the National Cabinet agreed housing supply targets</w:t>
      </w:r>
    </w:p>
    <w:p w14:paraId="79098831" w14:textId="701C7078" w:rsidR="00E16CB6" w:rsidRPr="00AB00A9" w:rsidRDefault="00AB00A9" w:rsidP="00AB00A9">
      <w:pPr>
        <w:spacing w:after="0"/>
        <w:rPr>
          <w:kern w:val="2"/>
        </w:rPr>
      </w:pPr>
      <w:r w:rsidRPr="00AB00A9">
        <w:rPr>
          <w:kern w:val="2"/>
        </w:rPr>
        <w:t xml:space="preserve">The Territory Plan establishes statutory settings which encourage and incentivise new </w:t>
      </w:r>
      <w:r w:rsidRPr="00AB00A9">
        <w:rPr>
          <w:rStyle w:val="Hyperlink"/>
          <w:color w:val="auto"/>
        </w:rPr>
        <w:t>housing</w:t>
      </w:r>
      <w:r w:rsidRPr="00AB00A9">
        <w:rPr>
          <w:color w:val="auto"/>
          <w:kern w:val="2"/>
        </w:rPr>
        <w:t xml:space="preserve"> </w:t>
      </w:r>
      <w:r w:rsidRPr="00AB00A9">
        <w:rPr>
          <w:kern w:val="2"/>
        </w:rPr>
        <w:t xml:space="preserve">supply, particularly in low-density residential suburbs, through relaxing planning restrictions which previously limited or hindered new supply in existing suburbs. These changes aim to increase supply, density and housing choice, </w:t>
      </w:r>
      <w:r w:rsidR="008A106E" w:rsidRPr="00AB00A9">
        <w:rPr>
          <w:kern w:val="2"/>
        </w:rPr>
        <w:t>whil</w:t>
      </w:r>
      <w:r w:rsidR="008A106E">
        <w:rPr>
          <w:kern w:val="2"/>
        </w:rPr>
        <w:t>e</w:t>
      </w:r>
      <w:r w:rsidR="008A106E" w:rsidRPr="00AB00A9">
        <w:rPr>
          <w:kern w:val="2"/>
        </w:rPr>
        <w:t xml:space="preserve"> </w:t>
      </w:r>
      <w:r w:rsidRPr="00AB00A9">
        <w:rPr>
          <w:kern w:val="2"/>
        </w:rPr>
        <w:t>protecting suburb character and amenity for existing residents.</w:t>
      </w:r>
      <w:r w:rsidR="008A106E">
        <w:rPr>
          <w:kern w:val="2"/>
        </w:rPr>
        <w:t xml:space="preserve"> (</w:t>
      </w:r>
      <w:r w:rsidR="00E16CB6" w:rsidRPr="00DE5666">
        <w:rPr>
          <w:i/>
          <w:iCs/>
          <w:kern w:val="2"/>
        </w:rPr>
        <w:t>Refer to Measure 5 for details of zoning changes</w:t>
      </w:r>
      <w:r w:rsidR="00016296">
        <w:rPr>
          <w:i/>
          <w:iCs/>
          <w:kern w:val="2"/>
        </w:rPr>
        <w:t>.</w:t>
      </w:r>
      <w:r w:rsidR="008A106E" w:rsidRPr="008A106E">
        <w:rPr>
          <w:kern w:val="2"/>
        </w:rPr>
        <w:t>)</w:t>
      </w:r>
    </w:p>
    <w:p w14:paraId="7F667303" w14:textId="20B1D516" w:rsidR="00AB00A9" w:rsidRDefault="00B93531" w:rsidP="00AB00A9">
      <w:pPr>
        <w:spacing w:before="120" w:after="0"/>
        <w:rPr>
          <w:kern w:val="2"/>
        </w:rPr>
      </w:pPr>
      <w:r w:rsidRPr="00AB00A9">
        <w:rPr>
          <w:kern w:val="2"/>
        </w:rPr>
        <w:t xml:space="preserve">The </w:t>
      </w:r>
      <w:r>
        <w:rPr>
          <w:kern w:val="2"/>
        </w:rPr>
        <w:t>Housing Design Guide</w:t>
      </w:r>
      <w:r w:rsidR="001C7757">
        <w:rPr>
          <w:kern w:val="2"/>
        </w:rPr>
        <w:t xml:space="preserve"> </w:t>
      </w:r>
      <w:r w:rsidR="00AB00A9" w:rsidRPr="00AB00A9">
        <w:rPr>
          <w:kern w:val="2"/>
        </w:rPr>
        <w:t>assist</w:t>
      </w:r>
      <w:r w:rsidR="001C7757">
        <w:rPr>
          <w:kern w:val="2"/>
        </w:rPr>
        <w:t>s</w:t>
      </w:r>
      <w:r w:rsidR="00AB00A9" w:rsidRPr="00AB00A9">
        <w:rPr>
          <w:kern w:val="2"/>
        </w:rPr>
        <w:t xml:space="preserve"> with achieving consisten</w:t>
      </w:r>
      <w:r w:rsidR="001C7757">
        <w:rPr>
          <w:kern w:val="2"/>
        </w:rPr>
        <w:t>t</w:t>
      </w:r>
      <w:r w:rsidR="00AB00A9" w:rsidRPr="00AB00A9">
        <w:rPr>
          <w:kern w:val="2"/>
        </w:rPr>
        <w:t xml:space="preserve"> standards for the quality and amenity of new residential development </w:t>
      </w:r>
      <w:r w:rsidR="00BE57C7">
        <w:rPr>
          <w:kern w:val="2"/>
        </w:rPr>
        <w:t>by</w:t>
      </w:r>
      <w:r w:rsidR="00BE57C7" w:rsidRPr="00AB00A9">
        <w:rPr>
          <w:kern w:val="2"/>
        </w:rPr>
        <w:t xml:space="preserve"> </w:t>
      </w:r>
      <w:r w:rsidR="00AB00A9" w:rsidRPr="00AB00A9">
        <w:rPr>
          <w:kern w:val="2"/>
        </w:rPr>
        <w:t xml:space="preserve">articulating ways developers can incorporate good design into denser housing developments. This includes elements </w:t>
      </w:r>
      <w:r w:rsidR="008A106E">
        <w:rPr>
          <w:kern w:val="2"/>
        </w:rPr>
        <w:t>like</w:t>
      </w:r>
      <w:r w:rsidR="00AB00A9" w:rsidRPr="00AB00A9">
        <w:rPr>
          <w:kern w:val="2"/>
        </w:rPr>
        <w:t xml:space="preserve"> apartment size and layout, ceiling heights, solar access, natural ventilation and private open spaces like balconies.</w:t>
      </w:r>
      <w:r w:rsidR="001C7757">
        <w:rPr>
          <w:kern w:val="2"/>
        </w:rPr>
        <w:t xml:space="preserve"> </w:t>
      </w:r>
    </w:p>
    <w:p w14:paraId="6B59A774" w14:textId="77777777" w:rsidR="001C7757" w:rsidRPr="00BF3DBE" w:rsidRDefault="001C7757" w:rsidP="001C7757">
      <w:pPr>
        <w:spacing w:before="120" w:after="0"/>
        <w:rPr>
          <w:rFonts w:ascii="Calibri Light" w:hAnsi="Calibri Light" w:cs="Calibri Light"/>
          <w:b/>
          <w:bCs/>
          <w:sz w:val="24"/>
          <w:szCs w:val="22"/>
        </w:rPr>
      </w:pPr>
      <w:r w:rsidRPr="00BF3DBE">
        <w:rPr>
          <w:rFonts w:ascii="Calibri Light" w:hAnsi="Calibri Light" w:cs="Calibri Light"/>
          <w:b/>
          <w:bCs/>
          <w:sz w:val="24"/>
          <w:szCs w:val="22"/>
        </w:rPr>
        <w:t>Update</w:t>
      </w:r>
    </w:p>
    <w:p w14:paraId="33277B38" w14:textId="2543D85C" w:rsidR="005D2197" w:rsidRDefault="003721A4" w:rsidP="005D2197">
      <w:pPr>
        <w:spacing w:before="120" w:after="0"/>
        <w:rPr>
          <w:kern w:val="2"/>
        </w:rPr>
      </w:pPr>
      <w:r>
        <w:rPr>
          <w:kern w:val="2"/>
        </w:rPr>
        <w:t>To respond to</w:t>
      </w:r>
      <w:r w:rsidR="001C7757" w:rsidRPr="001C7757">
        <w:rPr>
          <w:kern w:val="2"/>
        </w:rPr>
        <w:t xml:space="preserve"> Missing Middle Housing Reforms</w:t>
      </w:r>
      <w:r w:rsidR="00BE57C7">
        <w:rPr>
          <w:kern w:val="2"/>
        </w:rPr>
        <w:t>,</w:t>
      </w:r>
      <w:r w:rsidR="001C7757" w:rsidRPr="001C7757">
        <w:rPr>
          <w:kern w:val="2"/>
        </w:rPr>
        <w:t xml:space="preserve"> </w:t>
      </w:r>
      <w:r>
        <w:rPr>
          <w:kern w:val="2"/>
        </w:rPr>
        <w:t xml:space="preserve">which includes introduction of a new Missing Middle Housing Design Guide, </w:t>
      </w:r>
      <w:r w:rsidR="001C7757" w:rsidRPr="001C7757">
        <w:rPr>
          <w:kern w:val="2"/>
        </w:rPr>
        <w:t xml:space="preserve">the </w:t>
      </w:r>
      <w:r>
        <w:rPr>
          <w:kern w:val="2"/>
        </w:rPr>
        <w:t xml:space="preserve">government will adjust the scope of the </w:t>
      </w:r>
      <w:r w:rsidR="001C7757" w:rsidRPr="001C7757">
        <w:rPr>
          <w:kern w:val="2"/>
        </w:rPr>
        <w:t>Housing Design Guide</w:t>
      </w:r>
      <w:r w:rsidR="00BE57C7">
        <w:rPr>
          <w:kern w:val="2"/>
        </w:rPr>
        <w:t xml:space="preserve"> to avoid duplication of design guidance</w:t>
      </w:r>
      <w:r>
        <w:rPr>
          <w:kern w:val="2"/>
        </w:rPr>
        <w:t>, including</w:t>
      </w:r>
      <w:r w:rsidR="005D2197">
        <w:rPr>
          <w:kern w:val="2"/>
        </w:rPr>
        <w:t>:</w:t>
      </w:r>
    </w:p>
    <w:p w14:paraId="37573951" w14:textId="2B5D6CA7" w:rsidR="005D2197" w:rsidRPr="002F486B" w:rsidRDefault="005D2197" w:rsidP="00DE5666">
      <w:pPr>
        <w:pStyle w:val="Bullet"/>
      </w:pPr>
      <w:r w:rsidRPr="002F486B">
        <w:lastRenderedPageBreak/>
        <w:t xml:space="preserve">Development </w:t>
      </w:r>
      <w:r w:rsidR="00BE57C7">
        <w:t xml:space="preserve">will be </w:t>
      </w:r>
      <w:r w:rsidRPr="002F486B">
        <w:t xml:space="preserve">required to consider and provide a design response to the Housing Design Guide where the development is a residential or mixed-use development </w:t>
      </w:r>
      <w:r w:rsidR="003721A4">
        <w:t>of</w:t>
      </w:r>
      <w:r w:rsidRPr="002F486B">
        <w:t xml:space="preserve"> </w:t>
      </w:r>
      <w:r w:rsidR="003721A4">
        <w:t>4</w:t>
      </w:r>
      <w:r w:rsidR="003721A4" w:rsidRPr="002F486B">
        <w:t xml:space="preserve"> </w:t>
      </w:r>
      <w:r w:rsidRPr="002F486B">
        <w:t>or more storeys and provides more than one residential dwelling.</w:t>
      </w:r>
    </w:p>
    <w:p w14:paraId="283EB7BD" w14:textId="38C15D4F" w:rsidR="005D2197" w:rsidRPr="00DE5666" w:rsidRDefault="003721A4" w:rsidP="00DE5666">
      <w:pPr>
        <w:pStyle w:val="Bullet"/>
      </w:pPr>
      <w:r w:rsidRPr="00DE5666">
        <w:t>Secondary residences and extensions and alterations to multi-unit housing (of no more that 50% increase in floor area) will be</w:t>
      </w:r>
      <w:r w:rsidR="005D2197" w:rsidRPr="00DE5666">
        <w:t xml:space="preserve"> excluded</w:t>
      </w:r>
      <w:r w:rsidRPr="00DE5666">
        <w:t xml:space="preserve"> from the Housing Design Guide. </w:t>
      </w:r>
    </w:p>
    <w:p w14:paraId="1B2EBBD6" w14:textId="27265716" w:rsidR="00AB00A9" w:rsidRDefault="003721A4">
      <w:pPr>
        <w:spacing w:before="0" w:after="160" w:line="259" w:lineRule="auto"/>
        <w:rPr>
          <w:kern w:val="2"/>
        </w:rPr>
      </w:pPr>
      <w:r>
        <w:rPr>
          <w:kern w:val="2"/>
        </w:rPr>
        <w:t>(</w:t>
      </w:r>
      <w:r w:rsidR="00E16CB6" w:rsidRPr="00DE5666">
        <w:rPr>
          <w:i/>
          <w:iCs/>
          <w:kern w:val="2"/>
        </w:rPr>
        <w:t xml:space="preserve">Refer </w:t>
      </w:r>
      <w:r w:rsidRPr="00DE5666">
        <w:rPr>
          <w:i/>
          <w:iCs/>
          <w:kern w:val="2"/>
        </w:rPr>
        <w:t xml:space="preserve">to </w:t>
      </w:r>
      <w:r w:rsidR="00E16CB6" w:rsidRPr="00DE5666">
        <w:rPr>
          <w:i/>
          <w:iCs/>
          <w:kern w:val="2"/>
        </w:rPr>
        <w:t>Measure</w:t>
      </w:r>
      <w:r w:rsidRPr="00DE5666">
        <w:rPr>
          <w:i/>
          <w:iCs/>
          <w:kern w:val="2"/>
        </w:rPr>
        <w:t>s</w:t>
      </w:r>
      <w:r w:rsidR="00E16CB6" w:rsidRPr="00DE5666">
        <w:rPr>
          <w:i/>
          <w:iCs/>
          <w:kern w:val="2"/>
        </w:rPr>
        <w:t xml:space="preserve"> 2 and 5 for updates about the ACT’s progress against national housing supply targets</w:t>
      </w:r>
      <w:r w:rsidR="00E16CB6" w:rsidRPr="002F486B">
        <w:rPr>
          <w:kern w:val="2"/>
        </w:rPr>
        <w:t>.</w:t>
      </w:r>
      <w:r>
        <w:rPr>
          <w:kern w:val="2"/>
        </w:rPr>
        <w:t>)</w:t>
      </w:r>
    </w:p>
    <w:p w14:paraId="293F1B9B" w14:textId="77777777" w:rsidR="00AB00A9" w:rsidRDefault="00AB00A9" w:rsidP="00AB00A9">
      <w:pPr>
        <w:pStyle w:val="Heading2"/>
      </w:pPr>
      <w:bookmarkStart w:id="20" w:name="_Toc168064961"/>
      <w:bookmarkStart w:id="21" w:name="_Toc168065272"/>
      <w:bookmarkStart w:id="22" w:name="_Toc224730873"/>
      <w:r>
        <w:t>Summary of land release reforms</w:t>
      </w:r>
      <w:bookmarkEnd w:id="20"/>
      <w:bookmarkEnd w:id="21"/>
      <w:bookmarkEnd w:id="22"/>
    </w:p>
    <w:p w14:paraId="7512C89F" w14:textId="77777777" w:rsidR="00AB00A9" w:rsidRPr="00BF3DBE"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Context</w:t>
      </w:r>
    </w:p>
    <w:p w14:paraId="447C7DA4" w14:textId="49CC3DD4" w:rsidR="003721A4" w:rsidRDefault="00AB00A9" w:rsidP="00CC7539">
      <w:pPr>
        <w:spacing w:before="120" w:after="0"/>
        <w:rPr>
          <w:kern w:val="2"/>
        </w:rPr>
      </w:pPr>
      <w:r w:rsidRPr="00AB00A9">
        <w:rPr>
          <w:kern w:val="2"/>
        </w:rPr>
        <w:t xml:space="preserve">The ACT Government publishes the </w:t>
      </w:r>
      <w:r w:rsidR="00FB2BB7">
        <w:rPr>
          <w:kern w:val="2"/>
        </w:rPr>
        <w:t>Indicative Land Release Program (</w:t>
      </w:r>
      <w:r w:rsidRPr="00AB00A9">
        <w:rPr>
          <w:kern w:val="2"/>
        </w:rPr>
        <w:t>ILRP</w:t>
      </w:r>
      <w:r w:rsidR="00FB2BB7">
        <w:rPr>
          <w:kern w:val="2"/>
        </w:rPr>
        <w:t>)</w:t>
      </w:r>
      <w:r w:rsidRPr="00AB00A9">
        <w:rPr>
          <w:kern w:val="2"/>
        </w:rPr>
        <w:t xml:space="preserve"> alongside the ACT </w:t>
      </w:r>
      <w:r w:rsidR="00FB2BB7">
        <w:rPr>
          <w:kern w:val="2"/>
        </w:rPr>
        <w:t>B</w:t>
      </w:r>
      <w:r w:rsidRPr="00AB00A9">
        <w:rPr>
          <w:kern w:val="2"/>
        </w:rPr>
        <w:t xml:space="preserve">udget each year. The ILRP identifies ACT Government land which may be released over a </w:t>
      </w:r>
      <w:r w:rsidR="003721A4">
        <w:rPr>
          <w:kern w:val="2"/>
        </w:rPr>
        <w:t>5</w:t>
      </w:r>
      <w:r w:rsidRPr="00AB00A9">
        <w:rPr>
          <w:kern w:val="2"/>
        </w:rPr>
        <w:t xml:space="preserve">-year cycle, for a range of uses, to support a growing and changing population. </w:t>
      </w:r>
    </w:p>
    <w:p w14:paraId="6ABF782C" w14:textId="2623FB26" w:rsidR="003721A4" w:rsidRDefault="00AB00A9" w:rsidP="00CC7539">
      <w:pPr>
        <w:spacing w:before="120" w:after="0"/>
        <w:rPr>
          <w:kern w:val="2"/>
        </w:rPr>
      </w:pPr>
      <w:r w:rsidRPr="00AB00A9">
        <w:rPr>
          <w:kern w:val="2"/>
        </w:rPr>
        <w:t xml:space="preserve">The </w:t>
      </w:r>
      <w:r w:rsidR="003721A4">
        <w:rPr>
          <w:kern w:val="2"/>
        </w:rPr>
        <w:t>5</w:t>
      </w:r>
      <w:r w:rsidRPr="00AB00A9">
        <w:rPr>
          <w:kern w:val="2"/>
        </w:rPr>
        <w:t xml:space="preserve">-year program for the release of </w:t>
      </w:r>
      <w:r w:rsidR="003721A4">
        <w:rPr>
          <w:kern w:val="2"/>
        </w:rPr>
        <w:t>t</w:t>
      </w:r>
      <w:r w:rsidRPr="00AB00A9">
        <w:rPr>
          <w:kern w:val="2"/>
        </w:rPr>
        <w:t>erritory</w:t>
      </w:r>
      <w:r w:rsidR="003721A4">
        <w:rPr>
          <w:kern w:val="2"/>
        </w:rPr>
        <w:t>-</w:t>
      </w:r>
      <w:r w:rsidRPr="00AB00A9">
        <w:rPr>
          <w:kern w:val="2"/>
        </w:rPr>
        <w:t>owned land is underpinned by the ACT Government’s strategic priorities, including the ACT</w:t>
      </w:r>
      <w:r w:rsidR="003721A4">
        <w:rPr>
          <w:kern w:val="2"/>
        </w:rPr>
        <w:t xml:space="preserve"> </w:t>
      </w:r>
      <w:r w:rsidRPr="00AB00A9">
        <w:rPr>
          <w:kern w:val="2"/>
        </w:rPr>
        <w:t>Planning Strategy</w:t>
      </w:r>
      <w:r w:rsidR="003721A4">
        <w:rPr>
          <w:kern w:val="2"/>
        </w:rPr>
        <w:t xml:space="preserve"> 2018</w:t>
      </w:r>
      <w:r w:rsidRPr="00AB00A9">
        <w:rPr>
          <w:kern w:val="2"/>
        </w:rPr>
        <w:t xml:space="preserve">, </w:t>
      </w:r>
      <w:r w:rsidR="003721A4">
        <w:rPr>
          <w:kern w:val="2"/>
        </w:rPr>
        <w:t xml:space="preserve">district strategies and </w:t>
      </w:r>
      <w:r w:rsidRPr="00AB00A9">
        <w:rPr>
          <w:kern w:val="2"/>
        </w:rPr>
        <w:t xml:space="preserve">the </w:t>
      </w:r>
      <w:r w:rsidR="003721A4">
        <w:rPr>
          <w:kern w:val="2"/>
        </w:rPr>
        <w:br/>
      </w:r>
      <w:r w:rsidR="00CC7539">
        <w:rPr>
          <w:kern w:val="2"/>
        </w:rPr>
        <w:t xml:space="preserve">ACT </w:t>
      </w:r>
      <w:r w:rsidRPr="00AB00A9">
        <w:rPr>
          <w:kern w:val="2"/>
        </w:rPr>
        <w:t>Housing Strategy</w:t>
      </w:r>
      <w:r w:rsidR="003721A4">
        <w:rPr>
          <w:kern w:val="2"/>
        </w:rPr>
        <w:t xml:space="preserve"> </w:t>
      </w:r>
      <w:r w:rsidR="003721A4" w:rsidRPr="00AB00A9">
        <w:rPr>
          <w:kern w:val="2"/>
        </w:rPr>
        <w:t>2018</w:t>
      </w:r>
      <w:r w:rsidR="003721A4">
        <w:rPr>
          <w:kern w:val="2"/>
        </w:rPr>
        <w:t xml:space="preserve"> to 2028, which sets out that housing targets will be established annually </w:t>
      </w:r>
      <w:r w:rsidR="003721A4" w:rsidRPr="00AB00A9">
        <w:rPr>
          <w:kern w:val="2"/>
        </w:rPr>
        <w:t>for affordable, community and public housing.</w:t>
      </w:r>
      <w:r w:rsidRPr="00AB00A9">
        <w:rPr>
          <w:kern w:val="2"/>
        </w:rPr>
        <w:t xml:space="preserve"> The </w:t>
      </w:r>
      <w:hyperlink r:id="rId29" w:history="1">
        <w:r w:rsidR="003721A4">
          <w:t>Minister for Planning and Sustainable Development’s</w:t>
        </w:r>
        <w:r w:rsidR="003721A4" w:rsidRPr="00DE5666">
          <w:t xml:space="preserve"> </w:t>
        </w:r>
        <w:r w:rsidR="003721A4" w:rsidRPr="008E60C4">
          <w:rPr>
            <w:rStyle w:val="Hyperlink"/>
            <w:kern w:val="2"/>
          </w:rPr>
          <w:t>Statement of Planning Priorities 2025-2028</w:t>
        </w:r>
      </w:hyperlink>
      <w:r w:rsidR="008E60C4">
        <w:rPr>
          <w:kern w:val="2"/>
        </w:rPr>
        <w:t xml:space="preserve"> </w:t>
      </w:r>
      <w:r w:rsidRPr="00AB00A9">
        <w:rPr>
          <w:kern w:val="2"/>
        </w:rPr>
        <w:t xml:space="preserve">provides focused guidance for planning to support future land release and development. </w:t>
      </w:r>
    </w:p>
    <w:p w14:paraId="5B4676E2" w14:textId="0792DB8B" w:rsidR="00F813DC" w:rsidRPr="00AB00A9" w:rsidRDefault="00AB00A9" w:rsidP="00CC7539">
      <w:pPr>
        <w:spacing w:before="120" w:after="0"/>
        <w:rPr>
          <w:kern w:val="2"/>
        </w:rPr>
      </w:pPr>
      <w:r w:rsidRPr="00AB00A9">
        <w:rPr>
          <w:kern w:val="2"/>
        </w:rPr>
        <w:t>The annual review of the ACT</w:t>
      </w:r>
      <w:r w:rsidR="00FB2BB7">
        <w:rPr>
          <w:kern w:val="2"/>
        </w:rPr>
        <w:t> </w:t>
      </w:r>
      <w:r w:rsidRPr="00AB00A9">
        <w:rPr>
          <w:kern w:val="2"/>
        </w:rPr>
        <w:t xml:space="preserve">Government’s ILRP presents an opportunity to reaffirm the </w:t>
      </w:r>
      <w:r w:rsidR="003721A4">
        <w:rPr>
          <w:kern w:val="2"/>
        </w:rPr>
        <w:t>g</w:t>
      </w:r>
      <w:r w:rsidRPr="00AB00A9">
        <w:rPr>
          <w:kern w:val="2"/>
        </w:rPr>
        <w:t>overnment’s policy settings and strategies for the growth of the city.</w:t>
      </w:r>
      <w:r w:rsidR="00CC7539">
        <w:rPr>
          <w:kern w:val="2"/>
        </w:rPr>
        <w:t xml:space="preserve"> </w:t>
      </w:r>
      <w:r w:rsidR="00F813DC" w:rsidRPr="00AB00A9">
        <w:rPr>
          <w:kern w:val="2"/>
        </w:rPr>
        <w:t xml:space="preserve">The ACT Housing Strategy </w:t>
      </w:r>
    </w:p>
    <w:p w14:paraId="51CC73A3" w14:textId="6753F14D" w:rsidR="00AB00A9" w:rsidRDefault="00AB00A9" w:rsidP="00AB00A9">
      <w:pPr>
        <w:spacing w:before="120" w:after="0"/>
        <w:rPr>
          <w:rFonts w:ascii="Calibri Light" w:hAnsi="Calibri Light" w:cs="Calibri Light"/>
          <w:b/>
          <w:bCs/>
          <w:sz w:val="24"/>
          <w:szCs w:val="22"/>
        </w:rPr>
      </w:pPr>
      <w:r w:rsidRPr="00BF3DBE">
        <w:rPr>
          <w:rFonts w:ascii="Calibri Light" w:hAnsi="Calibri Light" w:cs="Calibri Light"/>
          <w:b/>
          <w:bCs/>
          <w:sz w:val="24"/>
          <w:szCs w:val="22"/>
        </w:rPr>
        <w:t>Update</w:t>
      </w:r>
    </w:p>
    <w:p w14:paraId="1EE301CF" w14:textId="31677726" w:rsidR="00F813DC" w:rsidRPr="00B846A7" w:rsidRDefault="00F813DC" w:rsidP="00F813DC">
      <w:pPr>
        <w:spacing w:before="0" w:after="120"/>
        <w:rPr>
          <w:kern w:val="2"/>
        </w:rPr>
      </w:pPr>
      <w:r w:rsidRPr="00B846A7">
        <w:rPr>
          <w:kern w:val="2"/>
        </w:rPr>
        <w:t>The ACT Government plans to release land over the next</w:t>
      </w:r>
      <w:r w:rsidR="003721A4">
        <w:rPr>
          <w:kern w:val="2"/>
        </w:rPr>
        <w:t xml:space="preserve"> 5 </w:t>
      </w:r>
      <w:r w:rsidRPr="00B846A7">
        <w:rPr>
          <w:kern w:val="2"/>
        </w:rPr>
        <w:t xml:space="preserve">years </w:t>
      </w:r>
      <w:r w:rsidR="00041130">
        <w:rPr>
          <w:kern w:val="2"/>
        </w:rPr>
        <w:t xml:space="preserve">(2025-26 to 2029-30) </w:t>
      </w:r>
      <w:r w:rsidRPr="00B846A7">
        <w:rPr>
          <w:kern w:val="2"/>
        </w:rPr>
        <w:t xml:space="preserve">to support 25,948 </w:t>
      </w:r>
      <w:r w:rsidR="00041130">
        <w:rPr>
          <w:kern w:val="2"/>
        </w:rPr>
        <w:t>new</w:t>
      </w:r>
      <w:r w:rsidRPr="00B846A7">
        <w:rPr>
          <w:kern w:val="2"/>
        </w:rPr>
        <w:t xml:space="preserve"> homes which will include a mix of market, community, public and affordable housing. In addition to these releases, based on current planning and construction activity, it is anticipated over 9,</w:t>
      </w:r>
      <w:r w:rsidR="00402D76">
        <w:rPr>
          <w:kern w:val="2"/>
        </w:rPr>
        <w:t>5</w:t>
      </w:r>
      <w:r w:rsidRPr="00B846A7">
        <w:rPr>
          <w:kern w:val="2"/>
        </w:rPr>
        <w:t xml:space="preserve">00 new dwellings from private sector projects in the planning pipeline and under construction could be realised over the next </w:t>
      </w:r>
      <w:r w:rsidR="003721A4">
        <w:rPr>
          <w:kern w:val="2"/>
        </w:rPr>
        <w:t>5</w:t>
      </w:r>
      <w:r w:rsidR="003721A4" w:rsidRPr="00B846A7">
        <w:rPr>
          <w:kern w:val="2"/>
        </w:rPr>
        <w:t xml:space="preserve"> </w:t>
      </w:r>
      <w:r w:rsidRPr="00B846A7">
        <w:rPr>
          <w:kern w:val="2"/>
        </w:rPr>
        <w:t>years.</w:t>
      </w:r>
    </w:p>
    <w:p w14:paraId="05C917ED" w14:textId="6952CAD6" w:rsidR="00F813DC" w:rsidRPr="00B846A7" w:rsidRDefault="00F813DC" w:rsidP="00F813DC">
      <w:pPr>
        <w:spacing w:before="0" w:after="120"/>
        <w:rPr>
          <w:kern w:val="2"/>
        </w:rPr>
      </w:pPr>
      <w:r w:rsidRPr="00B846A7">
        <w:rPr>
          <w:kern w:val="2"/>
        </w:rPr>
        <w:t>In 2025-26, 20</w:t>
      </w:r>
      <w:r w:rsidR="003721A4">
        <w:rPr>
          <w:kern w:val="2"/>
        </w:rPr>
        <w:t>%</w:t>
      </w:r>
      <w:r w:rsidRPr="00B846A7">
        <w:rPr>
          <w:kern w:val="2"/>
        </w:rPr>
        <w:t xml:space="preserve"> of suitable residential land in the Housing Supply and Land Release Program is being allocated for community, public and affordable housing.</w:t>
      </w:r>
    </w:p>
    <w:p w14:paraId="2FF4D401" w14:textId="31FC7F4E" w:rsidR="006628E7" w:rsidRPr="002F486B" w:rsidRDefault="006628E7" w:rsidP="006628E7">
      <w:pPr>
        <w:spacing w:before="120" w:after="0"/>
        <w:rPr>
          <w:rFonts w:cstheme="minorHAnsi"/>
          <w:szCs w:val="22"/>
        </w:rPr>
      </w:pPr>
      <w:r w:rsidRPr="002F486B">
        <w:rPr>
          <w:rFonts w:cstheme="minorHAnsi"/>
          <w:szCs w:val="22"/>
        </w:rPr>
        <w:t xml:space="preserve">The Housing Supply and Land Release Program 2025-26 to 2029-30 published on June 2025, includes </w:t>
      </w:r>
      <w:r w:rsidR="003721A4">
        <w:rPr>
          <w:rFonts w:cstheme="minorHAnsi"/>
          <w:szCs w:val="22"/>
        </w:rPr>
        <w:t>ILRP</w:t>
      </w:r>
      <w:r w:rsidRPr="002F486B">
        <w:rPr>
          <w:rFonts w:cstheme="minorHAnsi"/>
          <w:szCs w:val="22"/>
        </w:rPr>
        <w:t>. The program includes housing targets for 2025-26, representing 20</w:t>
      </w:r>
      <w:r w:rsidR="003721A4">
        <w:rPr>
          <w:rFonts w:cstheme="minorHAnsi"/>
          <w:szCs w:val="22"/>
        </w:rPr>
        <w:t>%</w:t>
      </w:r>
      <w:r w:rsidRPr="002F486B">
        <w:rPr>
          <w:rFonts w:cstheme="minorHAnsi"/>
          <w:szCs w:val="22"/>
        </w:rPr>
        <w:t xml:space="preserve"> of suitable residential land for community, public and affordable housing.</w:t>
      </w:r>
    </w:p>
    <w:p w14:paraId="7CD91A5E" w14:textId="77777777" w:rsidR="00AB00A9" w:rsidRDefault="00AB00A9" w:rsidP="00AB00A9">
      <w:pPr>
        <w:pStyle w:val="Heading2"/>
      </w:pPr>
      <w:bookmarkStart w:id="23" w:name="_Toc224730874"/>
      <w:r>
        <w:t>Other reforms e.g. to increase density</w:t>
      </w:r>
      <w:bookmarkEnd w:id="23"/>
    </w:p>
    <w:p w14:paraId="118E9892" w14:textId="3EF66B90" w:rsidR="00AB00A9" w:rsidRDefault="00AB00A9" w:rsidP="00AB00A9">
      <w:pPr>
        <w:rPr>
          <w:rFonts w:ascii="Calibri Light" w:hAnsi="Calibri Light" w:cs="Calibri Light"/>
          <w:b/>
          <w:bCs/>
          <w:sz w:val="24"/>
          <w:szCs w:val="22"/>
        </w:rPr>
      </w:pPr>
      <w:r w:rsidRPr="00AB00A9">
        <w:rPr>
          <w:rFonts w:ascii="Calibri Light" w:hAnsi="Calibri Light" w:cs="Calibri Light"/>
          <w:b/>
          <w:bCs/>
          <w:sz w:val="24"/>
          <w:szCs w:val="22"/>
        </w:rPr>
        <w:t>Refer to Measure 5</w:t>
      </w:r>
    </w:p>
    <w:p w14:paraId="0A4E11F3" w14:textId="0DBC72D9" w:rsidR="00BA7BFF" w:rsidRPr="00AB00A9" w:rsidRDefault="00BA7BFF" w:rsidP="00AB00A9">
      <w:pPr>
        <w:rPr>
          <w:kern w:val="2"/>
        </w:rPr>
      </w:pPr>
      <w:r w:rsidRPr="00AB00A9">
        <w:rPr>
          <w:kern w:val="2"/>
        </w:rP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rsidRPr="00AB00A9" w14:paraId="389CBD4C" w14:textId="77777777" w:rsidTr="003074FE">
        <w:tc>
          <w:tcPr>
            <w:tcW w:w="5000" w:type="pct"/>
            <w:shd w:val="clear" w:color="auto" w:fill="CEDBE6" w:themeFill="background2"/>
            <w:hideMark/>
          </w:tcPr>
          <w:p w14:paraId="5B9556AD" w14:textId="3D0A77B9" w:rsidR="005455D8" w:rsidRPr="00AB00A9" w:rsidRDefault="005455D8" w:rsidP="005455D8">
            <w:pPr>
              <w:pStyle w:val="Heading1"/>
              <w:rPr>
                <w:kern w:val="2"/>
                <w:lang w:eastAsia="en-US"/>
              </w:rPr>
            </w:pPr>
            <w:bookmarkStart w:id="24" w:name="_Toc168064964"/>
            <w:bookmarkStart w:id="25" w:name="_Toc168065275"/>
            <w:bookmarkStart w:id="26" w:name="_Toc224730875"/>
            <w:r w:rsidRPr="00AB00A9">
              <w:rPr>
                <w:kern w:val="2"/>
                <w:lang w:eastAsia="en-US"/>
              </w:rPr>
              <w:lastRenderedPageBreak/>
              <w:t>Measure 4</w:t>
            </w:r>
            <w:bookmarkEnd w:id="24"/>
            <w:bookmarkEnd w:id="25"/>
            <w:bookmarkEnd w:id="26"/>
          </w:p>
          <w:p w14:paraId="6678853F" w14:textId="0FA84CB4" w:rsidR="005455D8" w:rsidRPr="00AB00A9" w:rsidRDefault="005455D8" w:rsidP="005455D8">
            <w:pPr>
              <w:pStyle w:val="Boxbullet"/>
              <w:numPr>
                <w:ilvl w:val="0"/>
                <w:numId w:val="0"/>
              </w:numPr>
              <w:rPr>
                <w:kern w:val="2"/>
              </w:rPr>
            </w:pPr>
            <w:r w:rsidRPr="00AB00A9">
              <w:rPr>
                <w:kern w:val="2"/>
                <w:sz w:val="24"/>
                <w:szCs w:val="24"/>
              </w:rPr>
              <w:t xml:space="preserve">Planning Ministers will identify well-located ‘development ready’ land before </w:t>
            </w:r>
            <w:r w:rsidR="00C90FA9" w:rsidRPr="00AB00A9">
              <w:rPr>
                <w:kern w:val="2"/>
                <w:sz w:val="24"/>
                <w:szCs w:val="24"/>
              </w:rPr>
              <w:br/>
            </w:r>
            <w:r w:rsidRPr="00716278">
              <w:rPr>
                <w:kern w:val="2"/>
                <w:sz w:val="24"/>
                <w:szCs w:val="24"/>
              </w:rPr>
              <w:t>1 March 2024, having</w:t>
            </w:r>
            <w:r w:rsidRPr="00AB00A9">
              <w:rPr>
                <w:kern w:val="2"/>
                <w:sz w:val="24"/>
                <w:szCs w:val="24"/>
              </w:rPr>
              <w:t xml:space="preserve"> appropriate regard to the protection of land with key attributes e.g. environmental or economic.</w:t>
            </w:r>
          </w:p>
        </w:tc>
      </w:tr>
    </w:tbl>
    <w:p w14:paraId="54FE259A" w14:textId="60A5D6D6" w:rsidR="00A07CC6" w:rsidRPr="00AB00A9" w:rsidRDefault="00A07CC6" w:rsidP="00A07CC6">
      <w:pPr>
        <w:pStyle w:val="Heading2"/>
        <w:rPr>
          <w:kern w:val="2"/>
        </w:rPr>
      </w:pPr>
      <w:bookmarkStart w:id="27" w:name="_Toc160799704"/>
      <w:bookmarkStart w:id="28" w:name="_Toc168064965"/>
      <w:bookmarkStart w:id="29" w:name="_Toc168065276"/>
      <w:bookmarkStart w:id="30" w:name="_Toc224730876"/>
      <w:r w:rsidRPr="00AB00A9">
        <w:rPr>
          <w:kern w:val="2"/>
        </w:rPr>
        <w:t>Key findings from a development ready land stocktake</w:t>
      </w:r>
      <w:bookmarkEnd w:id="27"/>
      <w:bookmarkEnd w:id="28"/>
      <w:bookmarkEnd w:id="29"/>
      <w:bookmarkEnd w:id="30"/>
    </w:p>
    <w:p w14:paraId="3757AF28" w14:textId="77777777" w:rsidR="00AB00A9" w:rsidRPr="00AB00A9" w:rsidRDefault="00AB00A9" w:rsidP="00AB00A9">
      <w:pPr>
        <w:spacing w:before="120" w:after="0"/>
        <w:rPr>
          <w:color w:val="auto"/>
          <w:kern w:val="2"/>
        </w:rPr>
      </w:pPr>
      <w:r w:rsidRPr="00AB00A9">
        <w:rPr>
          <w:color w:val="auto"/>
          <w:kern w:val="2"/>
        </w:rPr>
        <w:t xml:space="preserve">The ACT considers that ‘development ready’ land has infrastructure in place, and is subject to statutory planning, development application and building processes. </w:t>
      </w:r>
    </w:p>
    <w:p w14:paraId="39E757D1" w14:textId="3EAC902E" w:rsidR="00AB00A9" w:rsidRPr="006B4952" w:rsidRDefault="00AB00A9" w:rsidP="00AB00A9">
      <w:pPr>
        <w:spacing w:before="120" w:after="0"/>
        <w:rPr>
          <w:color w:val="auto"/>
          <w:kern w:val="2"/>
        </w:rPr>
      </w:pPr>
      <w:r w:rsidRPr="006B4952">
        <w:rPr>
          <w:color w:val="auto"/>
          <w:kern w:val="2"/>
        </w:rPr>
        <w:t>The following information is broken down into land that is ready to release (to sell) and sites that have a development application and/or building application process to be undertaken. Finer grain detail cannot be gathered at this point.</w:t>
      </w:r>
    </w:p>
    <w:p w14:paraId="7B20AEEF" w14:textId="77777777" w:rsidR="00AB00A9" w:rsidRPr="00AB00A9" w:rsidRDefault="00AB00A9" w:rsidP="00AB00A9">
      <w:pPr>
        <w:spacing w:after="120"/>
        <w:rPr>
          <w:rFonts w:ascii="Calibri Light" w:hAnsi="Calibri Light" w:cs="Calibri Light"/>
          <w:b/>
          <w:bCs/>
          <w:kern w:val="2"/>
          <w:sz w:val="24"/>
          <w:szCs w:val="22"/>
        </w:rPr>
      </w:pPr>
      <w:r w:rsidRPr="00AB00A9">
        <w:rPr>
          <w:rFonts w:ascii="Calibri Light" w:hAnsi="Calibri Light" w:cs="Calibri Light"/>
          <w:b/>
          <w:bCs/>
          <w:kern w:val="2"/>
          <w:sz w:val="24"/>
          <w:szCs w:val="22"/>
        </w:rPr>
        <w:t xml:space="preserve">Land for release / sale </w:t>
      </w:r>
    </w:p>
    <w:p w14:paraId="455F1D22" w14:textId="33FAF761" w:rsidR="00AB00A9" w:rsidRDefault="00AB00A9" w:rsidP="00AB00A9">
      <w:pPr>
        <w:spacing w:before="120" w:after="0"/>
        <w:rPr>
          <w:kern w:val="2"/>
        </w:rPr>
      </w:pPr>
      <w:r w:rsidRPr="00AB00A9">
        <w:rPr>
          <w:kern w:val="2"/>
        </w:rPr>
        <w:t>The following information is source</w:t>
      </w:r>
      <w:r w:rsidR="00FF17DA">
        <w:rPr>
          <w:kern w:val="2"/>
        </w:rPr>
        <w:t>d</w:t>
      </w:r>
      <w:r w:rsidRPr="00AB00A9">
        <w:rPr>
          <w:kern w:val="2"/>
        </w:rPr>
        <w:t xml:space="preserve"> from the ACT Government </w:t>
      </w:r>
      <w:hyperlink r:id="rId30" w:history="1">
        <w:r w:rsidR="00341BB8">
          <w:rPr>
            <w:rStyle w:val="Hyperlink"/>
            <w:kern w:val="2"/>
          </w:rPr>
          <w:t xml:space="preserve">Housing Supply and </w:t>
        </w:r>
        <w:r w:rsidR="00341BB8" w:rsidRPr="00AB00A9">
          <w:rPr>
            <w:rStyle w:val="Hyperlink"/>
            <w:kern w:val="2"/>
          </w:rPr>
          <w:t>Land Release Program</w:t>
        </w:r>
      </w:hyperlink>
      <w:r w:rsidRPr="00AB00A9">
        <w:rPr>
          <w:kern w:val="2"/>
        </w:rPr>
        <w:t xml:space="preserve">, which accompanies the </w:t>
      </w:r>
      <w:r w:rsidR="003721A4">
        <w:rPr>
          <w:kern w:val="2"/>
        </w:rPr>
        <w:t>ACT</w:t>
      </w:r>
      <w:r w:rsidR="003721A4" w:rsidRPr="00AB00A9">
        <w:rPr>
          <w:kern w:val="2"/>
        </w:rPr>
        <w:t xml:space="preserve"> </w:t>
      </w:r>
      <w:r w:rsidRPr="00AB00A9">
        <w:rPr>
          <w:kern w:val="2"/>
        </w:rPr>
        <w:t xml:space="preserve">Budget annually. The </w:t>
      </w:r>
      <w:r w:rsidR="003721A4">
        <w:rPr>
          <w:kern w:val="2"/>
        </w:rPr>
        <w:t>p</w:t>
      </w:r>
      <w:r w:rsidRPr="00AB00A9">
        <w:rPr>
          <w:kern w:val="2"/>
        </w:rPr>
        <w:t xml:space="preserve">rogram is indicative in nature and identifies ACT Government land which may be released for a range of uses over the next </w:t>
      </w:r>
      <w:r w:rsidR="003721A4">
        <w:rPr>
          <w:kern w:val="2"/>
        </w:rPr>
        <w:t>5</w:t>
      </w:r>
      <w:r w:rsidR="003721A4" w:rsidRPr="00AB00A9">
        <w:rPr>
          <w:kern w:val="2"/>
        </w:rPr>
        <w:t xml:space="preserve"> </w:t>
      </w:r>
      <w:r w:rsidRPr="00AB00A9">
        <w:rPr>
          <w:kern w:val="2"/>
        </w:rPr>
        <w:t>years</w:t>
      </w:r>
      <w:r w:rsidR="003721A4">
        <w:rPr>
          <w:kern w:val="2"/>
        </w:rPr>
        <w:t>.</w:t>
      </w:r>
    </w:p>
    <w:p w14:paraId="1F27713B" w14:textId="25864BCF" w:rsidR="00AB00A9" w:rsidRPr="00BF3DBE" w:rsidRDefault="00AB00A9" w:rsidP="00AB00A9">
      <w:pPr>
        <w:spacing w:before="120" w:after="0"/>
        <w:rPr>
          <w:rFonts w:ascii="Calibri Light" w:hAnsi="Calibri Light" w:cs="Calibri Light"/>
          <w:b/>
          <w:bCs/>
          <w:kern w:val="2"/>
          <w:sz w:val="24"/>
          <w:szCs w:val="22"/>
        </w:rPr>
      </w:pPr>
      <w:r w:rsidRPr="00BF3DBE">
        <w:rPr>
          <w:rFonts w:ascii="Calibri Light" w:hAnsi="Calibri Light" w:cs="Calibri Light"/>
          <w:b/>
          <w:bCs/>
          <w:kern w:val="2"/>
          <w:sz w:val="24"/>
          <w:szCs w:val="22"/>
        </w:rPr>
        <w:t>Context and update</w:t>
      </w:r>
    </w:p>
    <w:p w14:paraId="57D88B04" w14:textId="279A8A99" w:rsidR="00AB00A9" w:rsidRPr="00AB00A9" w:rsidRDefault="00AB00A9" w:rsidP="00AB00A9">
      <w:pPr>
        <w:spacing w:before="90" w:after="0"/>
      </w:pPr>
      <w:r w:rsidRPr="00AB00A9">
        <w:t xml:space="preserve">The </w:t>
      </w:r>
      <w:r w:rsidR="003721A4">
        <w:t>5</w:t>
      </w:r>
      <w:r w:rsidRPr="00AB00A9">
        <w:t xml:space="preserve">-year </w:t>
      </w:r>
      <w:r w:rsidR="00341BB8">
        <w:rPr>
          <w:kern w:val="2"/>
        </w:rPr>
        <w:t>Housing Supply and</w:t>
      </w:r>
      <w:r w:rsidRPr="00AB00A9">
        <w:t xml:space="preserve"> Release Program (202</w:t>
      </w:r>
      <w:r w:rsidR="00A0090B">
        <w:t>5</w:t>
      </w:r>
      <w:r w:rsidRPr="00AB00A9">
        <w:t>-2</w:t>
      </w:r>
      <w:r w:rsidR="00A0090B">
        <w:t>6</w:t>
      </w:r>
      <w:r w:rsidRPr="00AB00A9">
        <w:t xml:space="preserve"> to 202</w:t>
      </w:r>
      <w:r w:rsidR="00A0090B">
        <w:t>9</w:t>
      </w:r>
      <w:r w:rsidRPr="00AB00A9">
        <w:t>-</w:t>
      </w:r>
      <w:r w:rsidR="00A0090B">
        <w:t>30</w:t>
      </w:r>
      <w:r w:rsidRPr="00AB00A9">
        <w:t xml:space="preserve">) includes residential land releases to support approximately </w:t>
      </w:r>
      <w:r w:rsidR="00A0090B">
        <w:t>25,948</w:t>
      </w:r>
      <w:r w:rsidR="000B5BEF">
        <w:t xml:space="preserve"> new </w:t>
      </w:r>
      <w:r w:rsidRPr="00AB00A9">
        <w:t>dwellings (delivering a range of housing typologies).</w:t>
      </w:r>
      <w:r w:rsidR="000973EC">
        <w:t xml:space="preserve"> </w:t>
      </w:r>
      <w:r w:rsidRPr="00AB00A9">
        <w:t>The residential program for the first year of the program (202</w:t>
      </w:r>
      <w:r w:rsidR="00422722">
        <w:t>5</w:t>
      </w:r>
      <w:r w:rsidRPr="00AB00A9">
        <w:t>-2</w:t>
      </w:r>
      <w:r w:rsidR="00422722">
        <w:t>6</w:t>
      </w:r>
      <w:r w:rsidRPr="00AB00A9">
        <w:t xml:space="preserve">) proposes land release to support </w:t>
      </w:r>
      <w:r w:rsidR="000B5BEF">
        <w:t>3,184 new</w:t>
      </w:r>
      <w:r w:rsidRPr="00AB00A9">
        <w:t xml:space="preserve"> dwellings. </w:t>
      </w:r>
    </w:p>
    <w:p w14:paraId="295A09E5" w14:textId="6EC3C7C7" w:rsidR="00AB00A9" w:rsidRPr="006B4952" w:rsidRDefault="00AB00A9" w:rsidP="006B4952">
      <w:pPr>
        <w:spacing w:after="0"/>
      </w:pPr>
      <w:r w:rsidRPr="000973EC">
        <w:t xml:space="preserve">Note that if larger sites are released on an </w:t>
      </w:r>
      <w:proofErr w:type="spellStart"/>
      <w:r w:rsidRPr="000973EC">
        <w:t>englobo</w:t>
      </w:r>
      <w:proofErr w:type="spellEnd"/>
      <w:r w:rsidRPr="000973EC">
        <w:t xml:space="preserve"> basis (</w:t>
      </w:r>
      <w:r w:rsidR="000973EC" w:rsidRPr="00DE5666">
        <w:t>for example,</w:t>
      </w:r>
      <w:r w:rsidRPr="000973EC">
        <w:t xml:space="preserve"> Molonglo greenfield areas), this may require a </w:t>
      </w:r>
      <w:r w:rsidRPr="000973EC">
        <w:rPr>
          <w:kern w:val="2"/>
        </w:rPr>
        <w:t>developer</w:t>
      </w:r>
      <w:r w:rsidRPr="000973EC">
        <w:t xml:space="preserve"> to install essential infrastructure to support the development.</w:t>
      </w:r>
    </w:p>
    <w:p w14:paraId="22EE7452" w14:textId="4B0FD5D6" w:rsidR="00AB00A9" w:rsidRPr="00AB00A9" w:rsidRDefault="00EE6DF2" w:rsidP="00AB00A9">
      <w:pPr>
        <w:spacing w:before="120" w:after="0"/>
        <w:rPr>
          <w:kern w:val="2"/>
        </w:rPr>
      </w:pPr>
      <w:r>
        <w:rPr>
          <w:kern w:val="2"/>
        </w:rPr>
        <w:t>H</w:t>
      </w:r>
      <w:r w:rsidR="00AB00A9" w:rsidRPr="00325FA5">
        <w:rPr>
          <w:kern w:val="2"/>
        </w:rPr>
        <w:t>istorical data shows that the private sector generally delivers 1,000</w:t>
      </w:r>
      <w:r w:rsidR="00323480">
        <w:rPr>
          <w:kern w:val="2"/>
        </w:rPr>
        <w:t xml:space="preserve"> to </w:t>
      </w:r>
      <w:r w:rsidR="00AB00A9" w:rsidRPr="00325FA5">
        <w:rPr>
          <w:kern w:val="2"/>
        </w:rPr>
        <w:t>1,500 dwellings annually</w:t>
      </w:r>
      <w:r>
        <w:rPr>
          <w:kern w:val="2"/>
        </w:rPr>
        <w:t>, which are</w:t>
      </w:r>
      <w:r w:rsidR="00AB00A9" w:rsidRPr="00325FA5">
        <w:rPr>
          <w:kern w:val="2"/>
        </w:rPr>
        <w:t xml:space="preserve"> largely infill developments. This</w:t>
      </w:r>
      <w:r w:rsidR="00AB00A9" w:rsidRPr="00AB00A9">
        <w:rPr>
          <w:kern w:val="2"/>
        </w:rPr>
        <w:t xml:space="preserve"> number is expected to grow over the coming years. </w:t>
      </w:r>
    </w:p>
    <w:p w14:paraId="30F13EF0" w14:textId="32DD0115" w:rsidR="00AB00A9" w:rsidRPr="00AB00A9" w:rsidRDefault="00AB00A9" w:rsidP="00AB00A9">
      <w:pPr>
        <w:spacing w:before="90" w:after="0"/>
      </w:pPr>
      <w:r w:rsidRPr="00AB00A9">
        <w:rPr>
          <w:rFonts w:cstheme="minorHAnsi"/>
          <w:color w:val="auto"/>
          <w:szCs w:val="22"/>
        </w:rPr>
        <w:t xml:space="preserve">The </w:t>
      </w:r>
      <w:hyperlink r:id="rId31" w:history="1">
        <w:r w:rsidR="000B5BEF">
          <w:rPr>
            <w:rStyle w:val="Hyperlink"/>
            <w:rFonts w:cstheme="minorHAnsi"/>
            <w:szCs w:val="22"/>
          </w:rPr>
          <w:t xml:space="preserve">December </w:t>
        </w:r>
        <w:r w:rsidRPr="00FF17DA">
          <w:rPr>
            <w:rStyle w:val="Hyperlink"/>
            <w:rFonts w:cstheme="minorHAnsi"/>
            <w:szCs w:val="22"/>
          </w:rPr>
          <w:t>2024 ACT Land and Property Report</w:t>
        </w:r>
      </w:hyperlink>
      <w:r w:rsidRPr="00AB00A9">
        <w:rPr>
          <w:rFonts w:cstheme="minorHAnsi"/>
          <w:color w:val="auto"/>
          <w:szCs w:val="22"/>
        </w:rPr>
        <w:t xml:space="preserve"> (published in</w:t>
      </w:r>
      <w:r w:rsidR="000B5BEF">
        <w:rPr>
          <w:rFonts w:cstheme="minorHAnsi"/>
          <w:color w:val="auto"/>
          <w:szCs w:val="22"/>
        </w:rPr>
        <w:t xml:space="preserve"> June</w:t>
      </w:r>
      <w:r w:rsidRPr="00AB00A9">
        <w:rPr>
          <w:rFonts w:cstheme="minorHAnsi"/>
          <w:color w:val="auto"/>
          <w:szCs w:val="22"/>
        </w:rPr>
        <w:t xml:space="preserve"> 202</w:t>
      </w:r>
      <w:r w:rsidR="000B5BEF">
        <w:rPr>
          <w:rFonts w:cstheme="minorHAnsi"/>
          <w:color w:val="auto"/>
          <w:szCs w:val="22"/>
        </w:rPr>
        <w:t>5</w:t>
      </w:r>
      <w:r w:rsidRPr="00AB00A9">
        <w:rPr>
          <w:rFonts w:cstheme="minorHAnsi"/>
          <w:color w:val="auto"/>
          <w:szCs w:val="22"/>
        </w:rPr>
        <w:t>) indicate</w:t>
      </w:r>
      <w:r w:rsidR="000973EC">
        <w:rPr>
          <w:rFonts w:cstheme="minorHAnsi"/>
          <w:color w:val="auto"/>
          <w:szCs w:val="22"/>
        </w:rPr>
        <w:t>d</w:t>
      </w:r>
      <w:r w:rsidRPr="00AB00A9">
        <w:rPr>
          <w:rFonts w:cstheme="minorHAnsi"/>
          <w:color w:val="auto"/>
          <w:szCs w:val="22"/>
        </w:rPr>
        <w:t xml:space="preserve"> that </w:t>
      </w:r>
      <w:r w:rsidR="000B5BEF">
        <w:rPr>
          <w:kern w:val="2"/>
        </w:rPr>
        <w:t>808</w:t>
      </w:r>
      <w:r w:rsidRPr="00AB00A9">
        <w:rPr>
          <w:kern w:val="2"/>
        </w:rPr>
        <w:t xml:space="preserve"> new dwellings were approved, and </w:t>
      </w:r>
      <w:r w:rsidR="000B5BEF">
        <w:rPr>
          <w:kern w:val="2"/>
        </w:rPr>
        <w:t>2,613</w:t>
      </w:r>
      <w:r w:rsidRPr="00AB00A9">
        <w:rPr>
          <w:kern w:val="2"/>
        </w:rPr>
        <w:t xml:space="preserve"> new dwellings were completed in the </w:t>
      </w:r>
      <w:r w:rsidR="00EE6DF2">
        <w:rPr>
          <w:kern w:val="2"/>
        </w:rPr>
        <w:t>6</w:t>
      </w:r>
      <w:r w:rsidR="00EE6DF2" w:rsidRPr="00AB00A9">
        <w:rPr>
          <w:kern w:val="2"/>
        </w:rPr>
        <w:t xml:space="preserve"> </w:t>
      </w:r>
      <w:r w:rsidRPr="00AB00A9">
        <w:rPr>
          <w:kern w:val="2"/>
        </w:rPr>
        <w:t xml:space="preserve">months to </w:t>
      </w:r>
      <w:r w:rsidR="000B5BEF">
        <w:rPr>
          <w:kern w:val="2"/>
        </w:rPr>
        <w:t>December</w:t>
      </w:r>
      <w:r w:rsidR="000B5BEF" w:rsidRPr="00AB00A9">
        <w:rPr>
          <w:kern w:val="2"/>
        </w:rPr>
        <w:t> </w:t>
      </w:r>
      <w:r w:rsidRPr="00AB00A9">
        <w:rPr>
          <w:kern w:val="2"/>
        </w:rPr>
        <w:t>2024. The multi-units in planning and development pipeline include</w:t>
      </w:r>
      <w:r w:rsidR="000B5BEF">
        <w:rPr>
          <w:kern w:val="2"/>
        </w:rPr>
        <w:t xml:space="preserve">d </w:t>
      </w:r>
      <w:r w:rsidRPr="00AB00A9">
        <w:rPr>
          <w:kern w:val="2"/>
        </w:rPr>
        <w:t>18,</w:t>
      </w:r>
      <w:r w:rsidR="00225ADA">
        <w:rPr>
          <w:kern w:val="2"/>
        </w:rPr>
        <w:t>260</w:t>
      </w:r>
      <w:r w:rsidRPr="00AB00A9">
        <w:rPr>
          <w:kern w:val="2"/>
        </w:rPr>
        <w:t xml:space="preserve"> units across</w:t>
      </w:r>
      <w:r w:rsidRPr="00AB00A9">
        <w:rPr>
          <w:rFonts w:cstheme="minorHAnsi"/>
          <w:color w:val="auto"/>
          <w:szCs w:val="22"/>
        </w:rPr>
        <w:t xml:space="preserve"> 41</w:t>
      </w:r>
      <w:r w:rsidR="00225ADA">
        <w:rPr>
          <w:rFonts w:cstheme="minorHAnsi"/>
          <w:color w:val="auto"/>
          <w:szCs w:val="22"/>
        </w:rPr>
        <w:t>5</w:t>
      </w:r>
      <w:r w:rsidRPr="00AB00A9">
        <w:rPr>
          <w:rFonts w:cstheme="minorHAnsi"/>
          <w:color w:val="auto"/>
          <w:szCs w:val="22"/>
        </w:rPr>
        <w:t xml:space="preserve"> sites, with 4,</w:t>
      </w:r>
      <w:r w:rsidR="00225ADA">
        <w:rPr>
          <w:rFonts w:cstheme="minorHAnsi"/>
          <w:color w:val="auto"/>
          <w:szCs w:val="22"/>
        </w:rPr>
        <w:t>238</w:t>
      </w:r>
      <w:r w:rsidRPr="00AB00A9">
        <w:rPr>
          <w:rFonts w:cstheme="minorHAnsi"/>
          <w:color w:val="auto"/>
          <w:szCs w:val="22"/>
        </w:rPr>
        <w:t xml:space="preserve"> units </w:t>
      </w:r>
      <w:r w:rsidRPr="00AB00A9">
        <w:t>under construction and 1,</w:t>
      </w:r>
      <w:r w:rsidR="00225ADA">
        <w:t>294</w:t>
      </w:r>
      <w:r w:rsidRPr="00AB00A9">
        <w:t xml:space="preserve"> units completed as </w:t>
      </w:r>
      <w:r w:rsidR="00923719" w:rsidRPr="00AB00A9">
        <w:t>of</w:t>
      </w:r>
      <w:r w:rsidR="00225ADA">
        <w:t xml:space="preserve"> December</w:t>
      </w:r>
      <w:r w:rsidRPr="00AB00A9">
        <w:t xml:space="preserve"> 2024. </w:t>
      </w:r>
    </w:p>
    <w:p w14:paraId="32084C2A" w14:textId="637F5533" w:rsidR="00AB00A9" w:rsidRDefault="00AB00A9" w:rsidP="00AB00A9">
      <w:pPr>
        <w:spacing w:before="90" w:after="0"/>
        <w:rPr>
          <w:kern w:val="2"/>
        </w:rPr>
      </w:pPr>
      <w:r w:rsidRPr="00AB00A9">
        <w:rPr>
          <w:kern w:val="2"/>
        </w:rPr>
        <w:t xml:space="preserve">The ACT greenfield dwelling pipeline indicates </w:t>
      </w:r>
      <w:r w:rsidR="00225ADA">
        <w:rPr>
          <w:kern w:val="2"/>
        </w:rPr>
        <w:t>9,560</w:t>
      </w:r>
      <w:r w:rsidR="00632340">
        <w:rPr>
          <w:kern w:val="2"/>
        </w:rPr>
        <w:t xml:space="preserve"> </w:t>
      </w:r>
      <w:r w:rsidRPr="00AB00A9">
        <w:rPr>
          <w:kern w:val="2"/>
        </w:rPr>
        <w:t xml:space="preserve">dwelling sites </w:t>
      </w:r>
      <w:r w:rsidR="009C3B01">
        <w:rPr>
          <w:kern w:val="2"/>
        </w:rPr>
        <w:t>were</w:t>
      </w:r>
      <w:r w:rsidR="00875167">
        <w:rPr>
          <w:kern w:val="2"/>
        </w:rPr>
        <w:t xml:space="preserve"> </w:t>
      </w:r>
      <w:r w:rsidRPr="00AB00A9">
        <w:rPr>
          <w:kern w:val="2"/>
        </w:rPr>
        <w:t>releas</w:t>
      </w:r>
      <w:r w:rsidR="009C3B01">
        <w:rPr>
          <w:kern w:val="2"/>
        </w:rPr>
        <w:t>e</w:t>
      </w:r>
      <w:r w:rsidRPr="00AB00A9">
        <w:rPr>
          <w:kern w:val="2"/>
        </w:rPr>
        <w:t xml:space="preserve"> ready in the planners’ pipeline, 4,</w:t>
      </w:r>
      <w:r w:rsidR="009C3B01">
        <w:rPr>
          <w:kern w:val="2"/>
        </w:rPr>
        <w:t>127</w:t>
      </w:r>
      <w:r w:rsidRPr="00AB00A9">
        <w:rPr>
          <w:kern w:val="2"/>
        </w:rPr>
        <w:t xml:space="preserve"> dwelling sites </w:t>
      </w:r>
      <w:r w:rsidR="009C3B01">
        <w:rPr>
          <w:kern w:val="2"/>
        </w:rPr>
        <w:t>we</w:t>
      </w:r>
      <w:r w:rsidRPr="00AB00A9">
        <w:rPr>
          <w:kern w:val="2"/>
        </w:rPr>
        <w:t xml:space="preserve">re in the developers’ </w:t>
      </w:r>
      <w:proofErr w:type="gramStart"/>
      <w:r w:rsidRPr="00AB00A9">
        <w:rPr>
          <w:kern w:val="2"/>
        </w:rPr>
        <w:t>pipeline</w:t>
      </w:r>
      <w:proofErr w:type="gramEnd"/>
      <w:r w:rsidRPr="00AB00A9">
        <w:rPr>
          <w:kern w:val="2"/>
        </w:rPr>
        <w:t xml:space="preserve"> and </w:t>
      </w:r>
      <w:r w:rsidR="00DE3723">
        <w:rPr>
          <w:kern w:val="2"/>
        </w:rPr>
        <w:t>4,395</w:t>
      </w:r>
      <w:r w:rsidRPr="00AB00A9">
        <w:rPr>
          <w:kern w:val="2"/>
        </w:rPr>
        <w:t xml:space="preserve"> dwelling sites </w:t>
      </w:r>
      <w:r w:rsidR="00DE3723">
        <w:rPr>
          <w:kern w:val="2"/>
        </w:rPr>
        <w:t>wer</w:t>
      </w:r>
      <w:r w:rsidRPr="00AB00A9">
        <w:rPr>
          <w:kern w:val="2"/>
        </w:rPr>
        <w:t xml:space="preserve">e in the builders’ pipeline as of </w:t>
      </w:r>
      <w:r w:rsidR="00B93531">
        <w:rPr>
          <w:kern w:val="2"/>
        </w:rPr>
        <w:t>December</w:t>
      </w:r>
      <w:r w:rsidR="00DE3723" w:rsidRPr="00AB00A9">
        <w:rPr>
          <w:kern w:val="2"/>
        </w:rPr>
        <w:t xml:space="preserve"> </w:t>
      </w:r>
      <w:r w:rsidRPr="00AB00A9">
        <w:rPr>
          <w:kern w:val="2"/>
        </w:rPr>
        <w:t>2024.</w:t>
      </w:r>
    </w:p>
    <w:p w14:paraId="09D6B772" w14:textId="7B359B2A" w:rsidR="008546C4" w:rsidRDefault="008546C4">
      <w:pPr>
        <w:spacing w:before="0" w:after="160" w:line="259" w:lineRule="auto"/>
        <w:rPr>
          <w:kern w:val="2"/>
        </w:rPr>
      </w:pPr>
      <w:r>
        <w:rPr>
          <w:kern w:val="2"/>
        </w:rPr>
        <w:br w:type="page"/>
      </w:r>
    </w:p>
    <w:p w14:paraId="3ADE47FA" w14:textId="77777777" w:rsidR="00AB00A9" w:rsidRPr="000E1DFF" w:rsidRDefault="00AB00A9" w:rsidP="00AB00A9">
      <w:pPr>
        <w:pStyle w:val="Heading3"/>
      </w:pPr>
      <w:bookmarkStart w:id="31" w:name="_Toc224730877"/>
      <w:r w:rsidRPr="000E1DFF">
        <w:lastRenderedPageBreak/>
        <w:t>Affordable/community housing sites</w:t>
      </w:r>
      <w:bookmarkEnd w:id="31"/>
    </w:p>
    <w:p w14:paraId="3179993D" w14:textId="1F6333FA" w:rsidR="00EE1CCA" w:rsidRDefault="00EE1CCA" w:rsidP="00EE1CCA">
      <w:pPr>
        <w:spacing w:before="120" w:after="0"/>
      </w:pPr>
      <w:r>
        <w:t>T</w:t>
      </w:r>
      <w:r w:rsidRPr="00F96CBA">
        <w:t>he ACT Government is working closely with the community housing sector to support the development of social and affordable housing for Canberrans by releasing a pipeline of land for community housing providers and co-leveraging funding initiatives, including the ACT Government’s Affordable Housing Project Fund, the National Housing Accord and Housing Australia Future Fund.</w:t>
      </w:r>
    </w:p>
    <w:p w14:paraId="40A56F69" w14:textId="77777777" w:rsidR="00AB00A9" w:rsidRPr="00AB00A9" w:rsidRDefault="00AB00A9" w:rsidP="00AB00A9">
      <w:pPr>
        <w:spacing w:before="120" w:after="0"/>
        <w:rPr>
          <w:rFonts w:ascii="Calibri Light" w:hAnsi="Calibri Light" w:cs="Calibri Light"/>
          <w:b/>
          <w:bCs/>
          <w:szCs w:val="22"/>
        </w:rPr>
      </w:pPr>
      <w:r w:rsidRPr="00AB00A9">
        <w:rPr>
          <w:rFonts w:ascii="Calibri Light" w:hAnsi="Calibri Light" w:cs="Calibri Light"/>
          <w:b/>
          <w:bCs/>
          <w:szCs w:val="22"/>
        </w:rPr>
        <w:t>Land Release</w:t>
      </w:r>
    </w:p>
    <w:p w14:paraId="0CD02050" w14:textId="77777777" w:rsidR="00EE1CCA" w:rsidRDefault="00EE1CCA" w:rsidP="00EE1CCA">
      <w:pPr>
        <w:spacing w:before="120" w:after="0"/>
        <w:rPr>
          <w:kern w:val="2"/>
        </w:rPr>
      </w:pPr>
      <w:r w:rsidRPr="00D35D2D">
        <w:rPr>
          <w:kern w:val="2"/>
        </w:rPr>
        <w:t>The 2025-26 Budget provides an additional $20 million for the Affordable Housing Project Fund, bringing the total funding to $100 million.</w:t>
      </w:r>
      <w:r>
        <w:rPr>
          <w:kern w:val="2"/>
        </w:rPr>
        <w:t xml:space="preserve"> </w:t>
      </w:r>
      <w:r w:rsidRPr="00D35D2D">
        <w:rPr>
          <w:kern w:val="2"/>
        </w:rPr>
        <w:t>Over 800 new affordable rental homes will be supported through the Affordable Housing Project Fund pipeline.</w:t>
      </w:r>
    </w:p>
    <w:p w14:paraId="34E84399" w14:textId="792B3F1C" w:rsidR="0017041A" w:rsidRDefault="0017041A" w:rsidP="00EE1CCA">
      <w:pPr>
        <w:spacing w:before="120" w:after="0"/>
        <w:rPr>
          <w:kern w:val="2"/>
        </w:rPr>
      </w:pPr>
      <w:r>
        <w:rPr>
          <w:kern w:val="2"/>
        </w:rPr>
        <w:t xml:space="preserve">Land that been released </w:t>
      </w:r>
      <w:r w:rsidR="00A13155">
        <w:rPr>
          <w:kern w:val="2"/>
        </w:rPr>
        <w:t>to market and supported with financial assistance to facilitate affordable homes through the Affordable Housing Project Fund includes:</w:t>
      </w:r>
    </w:p>
    <w:p w14:paraId="2F2DF57F" w14:textId="358D97F7" w:rsidR="00A13155" w:rsidRDefault="00DE1323" w:rsidP="00DE5666">
      <w:pPr>
        <w:pStyle w:val="Bullet"/>
      </w:pPr>
      <w:r>
        <w:t xml:space="preserve">22 build-to-rent-to-buy homes through the </w:t>
      </w:r>
      <w:proofErr w:type="spellStart"/>
      <w:r>
        <w:t>Ginninderry</w:t>
      </w:r>
      <w:proofErr w:type="spellEnd"/>
      <w:r>
        <w:t xml:space="preserve"> Women’s Housing Initiative</w:t>
      </w:r>
      <w:r w:rsidR="00BD5B09">
        <w:t>.</w:t>
      </w:r>
    </w:p>
    <w:p w14:paraId="59665FA2" w14:textId="473E2349" w:rsidR="00DE1323" w:rsidRDefault="00BD5B09" w:rsidP="00DE5666">
      <w:pPr>
        <w:pStyle w:val="Bullet"/>
      </w:pPr>
      <w:r>
        <w:t>34 affordable rental homes in Taylor, being developed by CHC Australia.</w:t>
      </w:r>
    </w:p>
    <w:p w14:paraId="674E1563" w14:textId="42540EC6" w:rsidR="00BD5B09" w:rsidRDefault="00BD5B09" w:rsidP="00DE5666">
      <w:pPr>
        <w:pStyle w:val="Bullet"/>
      </w:pPr>
      <w:r>
        <w:t>15 affordable rental homes in Taylor, being developed by Housing Plus.</w:t>
      </w:r>
    </w:p>
    <w:p w14:paraId="143F30B5" w14:textId="7857879E" w:rsidR="00BD5B09" w:rsidRPr="00BD5B09" w:rsidRDefault="00BD5B09" w:rsidP="00DE5666">
      <w:pPr>
        <w:pStyle w:val="Bullet"/>
      </w:pPr>
      <w:r>
        <w:t>SEARMS, an Aboriginal Community-Controlled Organisation, to develop affordable housing in Gungahlin.</w:t>
      </w:r>
    </w:p>
    <w:p w14:paraId="2B69B580" w14:textId="53E8AD2C" w:rsidR="00AB00A9" w:rsidRPr="00AB00A9" w:rsidRDefault="00AB00A9" w:rsidP="00AB00A9">
      <w:pPr>
        <w:spacing w:before="120" w:after="120"/>
      </w:pPr>
    </w:p>
    <w:p w14:paraId="1212F6EB" w14:textId="77777777" w:rsidR="00AB00A9" w:rsidRDefault="00AB00A9">
      <w:pPr>
        <w:spacing w:before="0" w:after="160" w:line="259" w:lineRule="auto"/>
        <w:rPr>
          <w:rFonts w:ascii="Calibri Light" w:hAnsi="Calibri Light" w:cs="Calibri Light"/>
          <w:i/>
          <w:iCs/>
          <w:sz w:val="20"/>
        </w:rPr>
      </w:pPr>
      <w:r>
        <w:rPr>
          <w:rFonts w:ascii="Calibri Light" w:hAnsi="Calibri Light" w:cs="Calibri Light"/>
          <w:i/>
          <w:iCs/>
        </w:rPr>
        <w:br w:type="page"/>
      </w:r>
    </w:p>
    <w:p w14:paraId="7F9BD1F7" w14:textId="77777777" w:rsidR="00DC4C13" w:rsidRPr="00AB00A9" w:rsidRDefault="00DC4C13" w:rsidP="00AB00A9">
      <w:pPr>
        <w:pStyle w:val="FootnoteText"/>
        <w:ind w:left="0" w:firstLine="0"/>
        <w:rPr>
          <w:bCs/>
          <w:kern w:val="2"/>
        </w:r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rsidRPr="00AB00A9" w14:paraId="02EC24DA" w14:textId="77777777" w:rsidTr="003074FE">
        <w:tc>
          <w:tcPr>
            <w:tcW w:w="5000" w:type="pct"/>
            <w:shd w:val="clear" w:color="auto" w:fill="CEDBE6" w:themeFill="background2"/>
            <w:hideMark/>
          </w:tcPr>
          <w:p w14:paraId="439BCCD8" w14:textId="248CBDA9" w:rsidR="005455D8" w:rsidRPr="00AB00A9" w:rsidRDefault="005455D8" w:rsidP="005455D8">
            <w:pPr>
              <w:pStyle w:val="Heading1"/>
              <w:rPr>
                <w:kern w:val="2"/>
                <w:lang w:eastAsia="en-US"/>
              </w:rPr>
            </w:pPr>
            <w:bookmarkStart w:id="32" w:name="_Toc168064966"/>
            <w:bookmarkStart w:id="33" w:name="_Toc168065277"/>
            <w:bookmarkStart w:id="34" w:name="_Toc224730878"/>
            <w:r w:rsidRPr="00AB00A9">
              <w:rPr>
                <w:kern w:val="2"/>
                <w:lang w:eastAsia="en-US"/>
              </w:rPr>
              <w:t>Measure 5</w:t>
            </w:r>
            <w:bookmarkEnd w:id="32"/>
            <w:bookmarkEnd w:id="33"/>
            <w:bookmarkEnd w:id="34"/>
          </w:p>
          <w:p w14:paraId="0E08CEA4" w14:textId="0759C2B4" w:rsidR="005455D8" w:rsidRPr="00AB00A9" w:rsidRDefault="005455D8" w:rsidP="005455D8">
            <w:pPr>
              <w:pStyle w:val="Boxdoubledot"/>
              <w:numPr>
                <w:ilvl w:val="0"/>
                <w:numId w:val="0"/>
              </w:numPr>
              <w:rPr>
                <w:kern w:val="2"/>
              </w:rPr>
            </w:pPr>
            <w:r w:rsidRPr="00AB00A9">
              <w:rPr>
                <w:rFonts w:eastAsia="Times New Roman"/>
                <w:color w:val="000000" w:themeColor="text1"/>
                <w:kern w:val="2"/>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Default="00D631C2" w:rsidP="00BD495D">
      <w:pPr>
        <w:pStyle w:val="Heading2"/>
        <w:spacing w:line="240" w:lineRule="auto"/>
        <w:rPr>
          <w:kern w:val="2"/>
        </w:rPr>
      </w:pPr>
      <w:bookmarkStart w:id="35" w:name="_Toc160799706"/>
      <w:bookmarkStart w:id="36" w:name="_Toc168064968"/>
      <w:bookmarkStart w:id="37" w:name="_Toc168065279"/>
      <w:bookmarkStart w:id="38" w:name="_Toc224730879"/>
      <w:r w:rsidRPr="00AB00A9">
        <w:rPr>
          <w:kern w:val="2"/>
        </w:rPr>
        <w:t>Zoning, planning and other amendments to support dense</w:t>
      </w:r>
      <w:r w:rsidR="00D86444" w:rsidRPr="00AB00A9">
        <w:rPr>
          <w:kern w:val="2"/>
        </w:rPr>
        <w:t>, well</w:t>
      </w:r>
      <w:r w:rsidR="00FD4103" w:rsidRPr="00AB00A9">
        <w:rPr>
          <w:kern w:val="2"/>
        </w:rPr>
        <w:t>-</w:t>
      </w:r>
      <w:r w:rsidR="00D86444" w:rsidRPr="00AB00A9">
        <w:rPr>
          <w:kern w:val="2"/>
        </w:rPr>
        <w:t>located</w:t>
      </w:r>
      <w:r w:rsidRPr="00AB00A9">
        <w:rPr>
          <w:kern w:val="2"/>
        </w:rPr>
        <w:t xml:space="preserve"> housing</w:t>
      </w:r>
      <w:bookmarkEnd w:id="35"/>
      <w:bookmarkEnd w:id="36"/>
      <w:bookmarkEnd w:id="37"/>
      <w:bookmarkEnd w:id="38"/>
      <w:r w:rsidRPr="00AB00A9">
        <w:rPr>
          <w:kern w:val="2"/>
        </w:rPr>
        <w:t xml:space="preserve"> </w:t>
      </w:r>
    </w:p>
    <w:p w14:paraId="7D8B4907" w14:textId="2DC4EDD3" w:rsidR="00BF3DBE" w:rsidRDefault="00BF3DBE" w:rsidP="00BF3DBE">
      <w:pPr>
        <w:pStyle w:val="Heading3"/>
      </w:pPr>
      <w:bookmarkStart w:id="39" w:name="_Toc224730880"/>
      <w:r w:rsidRPr="00BF3DBE">
        <w:t>ACT</w:t>
      </w:r>
      <w:r>
        <w:t>’s s</w:t>
      </w:r>
      <w:r w:rsidRPr="00BF3DBE">
        <w:t xml:space="preserve">ummary of </w:t>
      </w:r>
      <w:r>
        <w:t>z</w:t>
      </w:r>
      <w:r w:rsidRPr="00BF3DBE">
        <w:t xml:space="preserve">oning, </w:t>
      </w:r>
      <w:r>
        <w:t>p</w:t>
      </w:r>
      <w:r w:rsidRPr="00BF3DBE">
        <w:t xml:space="preserve">lanning, and </w:t>
      </w:r>
      <w:r>
        <w:t>a</w:t>
      </w:r>
      <w:r w:rsidRPr="00BF3DBE">
        <w:t xml:space="preserve">mendments to </w:t>
      </w:r>
      <w:r>
        <w:t>p</w:t>
      </w:r>
      <w:r w:rsidRPr="00BF3DBE">
        <w:t>romote</w:t>
      </w:r>
      <w:r>
        <w:t xml:space="preserve"> </w:t>
      </w:r>
      <w:r w:rsidRPr="00BF3DBE">
        <w:t xml:space="preserve">high and </w:t>
      </w:r>
      <w:r>
        <w:t>m</w:t>
      </w:r>
      <w:r w:rsidRPr="00BF3DBE">
        <w:t xml:space="preserve">edium </w:t>
      </w:r>
      <w:r>
        <w:t>d</w:t>
      </w:r>
      <w:r w:rsidRPr="00BF3DBE">
        <w:t xml:space="preserve">ensity </w:t>
      </w:r>
      <w:r>
        <w:t>h</w:t>
      </w:r>
      <w:r w:rsidRPr="00BF3DBE">
        <w:t xml:space="preserve">ousing in </w:t>
      </w:r>
      <w:r>
        <w:t>w</w:t>
      </w:r>
      <w:r w:rsidRPr="00BF3DBE">
        <w:t>ell-</w:t>
      </w:r>
      <w:r>
        <w:t>l</w:t>
      </w:r>
      <w:r w:rsidRPr="00BF3DBE">
        <w:t>ocated Areas</w:t>
      </w:r>
      <w:bookmarkEnd w:id="39"/>
    </w:p>
    <w:p w14:paraId="3A59D370" w14:textId="26F465D0" w:rsidR="00AB00A9" w:rsidRDefault="00AB00A9" w:rsidP="00AB00A9">
      <w:pPr>
        <w:spacing w:before="120" w:after="120"/>
        <w:rPr>
          <w:rFonts w:cstheme="minorHAnsi"/>
          <w:color w:val="auto"/>
          <w:szCs w:val="22"/>
        </w:rPr>
      </w:pPr>
      <w:r w:rsidRPr="00AB00A9">
        <w:rPr>
          <w:rFonts w:cstheme="minorHAnsi"/>
          <w:color w:val="auto"/>
          <w:szCs w:val="22"/>
        </w:rPr>
        <w:t>The ACT considers that identifying ‘well-located’ areas includes an assessment of need and amenities, including proximity to services such as schools, transport, employment centres and public open space.</w:t>
      </w:r>
    </w:p>
    <w:p w14:paraId="7AE91563" w14:textId="34AF1411" w:rsidR="00325FA5" w:rsidRPr="006B4952" w:rsidRDefault="00325FA5" w:rsidP="006B4952">
      <w:pPr>
        <w:spacing w:before="120" w:after="0"/>
        <w:rPr>
          <w:rFonts w:ascii="Calibri Light" w:hAnsi="Calibri Light" w:cs="Calibri Light"/>
          <w:b/>
          <w:bCs/>
          <w:sz w:val="24"/>
          <w:szCs w:val="22"/>
        </w:rPr>
      </w:pPr>
      <w:r w:rsidRPr="006B4952">
        <w:rPr>
          <w:rFonts w:ascii="Calibri Light" w:hAnsi="Calibri Light" w:cs="Calibri Light"/>
          <w:b/>
          <w:bCs/>
          <w:sz w:val="24"/>
          <w:szCs w:val="22"/>
        </w:rPr>
        <w:t>Context</w:t>
      </w:r>
    </w:p>
    <w:p w14:paraId="301229CC" w14:textId="219179E0" w:rsidR="00AB00A9" w:rsidRDefault="00AB00A9" w:rsidP="00AB00A9">
      <w:pPr>
        <w:spacing w:before="0" w:after="120"/>
        <w:rPr>
          <w:rFonts w:cstheme="minorHAnsi"/>
          <w:color w:val="auto"/>
        </w:rPr>
      </w:pPr>
      <w:r w:rsidRPr="00AB00A9">
        <w:rPr>
          <w:rFonts w:cstheme="minorHAnsi"/>
          <w:color w:val="auto"/>
        </w:rPr>
        <w:t>In 2023, the new Territory Plan introduced changes</w:t>
      </w:r>
      <w:r w:rsidR="00FA30E9">
        <w:rPr>
          <w:rFonts w:cstheme="minorHAnsi"/>
          <w:color w:val="auto"/>
        </w:rPr>
        <w:t xml:space="preserve"> that</w:t>
      </w:r>
      <w:r w:rsidRPr="00AB00A9">
        <w:rPr>
          <w:rFonts w:cstheme="minorHAnsi"/>
          <w:color w:val="auto"/>
        </w:rPr>
        <w:t xml:space="preserve"> aim to increase housing supply, density and choice, whilst protecting suburb character and amenity for residents in existing suburbs. They include:</w:t>
      </w:r>
    </w:p>
    <w:p w14:paraId="4DCB181A" w14:textId="69AE1980" w:rsidR="00AB00A9" w:rsidRPr="00BF3DBE" w:rsidRDefault="00AB00A9" w:rsidP="00EF6BE6">
      <w:pPr>
        <w:pStyle w:val="Heading4"/>
        <w:rPr>
          <w:kern w:val="2"/>
          <w:szCs w:val="28"/>
        </w:rPr>
      </w:pPr>
      <w:r w:rsidRPr="00BF3DBE">
        <w:rPr>
          <w:kern w:val="2"/>
          <w:szCs w:val="28"/>
        </w:rPr>
        <w:t>Territory Plan –</w:t>
      </w:r>
      <w:r w:rsidR="00FA30E9">
        <w:rPr>
          <w:kern w:val="2"/>
          <w:szCs w:val="28"/>
        </w:rPr>
        <w:t xml:space="preserve"> R</w:t>
      </w:r>
      <w:r w:rsidRPr="00BF3DBE">
        <w:rPr>
          <w:kern w:val="2"/>
          <w:szCs w:val="28"/>
        </w:rPr>
        <w:t xml:space="preserve">esidential zone provisions </w:t>
      </w:r>
    </w:p>
    <w:p w14:paraId="25DC2E2B" w14:textId="7B7E568D" w:rsidR="00EF6BE6" w:rsidRPr="00EF6BE6" w:rsidRDefault="00EF6BE6" w:rsidP="00DE5666">
      <w:pPr>
        <w:pStyle w:val="Bullet"/>
      </w:pPr>
      <w:r w:rsidRPr="00EF6BE6">
        <w:t>Creating new sub-elements of housing, such as build-to-rent, community housing and co-housing.</w:t>
      </w:r>
    </w:p>
    <w:p w14:paraId="559877D2" w14:textId="77777777" w:rsidR="00EF6BE6" w:rsidRPr="00EF6BE6" w:rsidRDefault="00EF6BE6" w:rsidP="00DE5666">
      <w:pPr>
        <w:pStyle w:val="Bullet"/>
      </w:pPr>
      <w:r w:rsidRPr="00EF6BE6">
        <w:t xml:space="preserve">Allowing a block in RZ2 (Suburban Core), RZ3 (Urban Residential), RZ4 (Medium Density Residential) and RZ5 (High Density Residential) to be subdivided without a requirement to construct a new dwelling first. </w:t>
      </w:r>
    </w:p>
    <w:p w14:paraId="696C7A47" w14:textId="77777777" w:rsidR="00325FA5" w:rsidRDefault="00EF6BE6" w:rsidP="00DE5666">
      <w:pPr>
        <w:pStyle w:val="Bullet"/>
      </w:pPr>
      <w:r w:rsidRPr="00EF6BE6">
        <w:t xml:space="preserve">Multi-unit housing in RZ2 zones </w:t>
      </w:r>
      <w:proofErr w:type="gramStart"/>
      <w:r w:rsidRPr="00EF6BE6">
        <w:t>are</w:t>
      </w:r>
      <w:proofErr w:type="gramEnd"/>
      <w:r w:rsidRPr="00EF6BE6">
        <w:t xml:space="preserve"> able to have more dwellings as part of the development</w:t>
      </w:r>
      <w:r>
        <w:t xml:space="preserve">. </w:t>
      </w:r>
    </w:p>
    <w:p w14:paraId="693E832F" w14:textId="77777777" w:rsidR="00325FA5" w:rsidRDefault="00325FA5" w:rsidP="00DE5666">
      <w:pPr>
        <w:pStyle w:val="Bullet"/>
      </w:pPr>
      <w:r>
        <w:t>Allowing apartments (limited to two storeys) in RZ2 zones, rather than only townhouses.</w:t>
      </w:r>
    </w:p>
    <w:p w14:paraId="34B7A65E" w14:textId="7E5EFB48" w:rsidR="00EF6BE6" w:rsidRDefault="00EF6BE6" w:rsidP="00DE5666">
      <w:pPr>
        <w:pStyle w:val="Bullet"/>
      </w:pPr>
      <w:r w:rsidRPr="00EF6BE6">
        <w:t>Removing mandatory plot ratio (floor space ratio) for multi-unit developments</w:t>
      </w:r>
      <w:r>
        <w:t>.</w:t>
      </w:r>
    </w:p>
    <w:p w14:paraId="0A59C54E" w14:textId="77777777" w:rsidR="00EF6BE6" w:rsidRPr="00EF6BE6" w:rsidRDefault="00EF6BE6" w:rsidP="00DE5666">
      <w:pPr>
        <w:pStyle w:val="Bullet"/>
      </w:pPr>
      <w:r w:rsidRPr="00EF6BE6">
        <w:t xml:space="preserve">Community housing (affordable rentals) </w:t>
      </w:r>
      <w:proofErr w:type="gramStart"/>
      <w:r w:rsidRPr="00EF6BE6">
        <w:t>are</w:t>
      </w:r>
      <w:proofErr w:type="gramEnd"/>
      <w:r w:rsidRPr="00EF6BE6">
        <w:t xml:space="preserve"> able to be constructed in Community Facility Zones when associated with a place or worship or supportive housing.</w:t>
      </w:r>
    </w:p>
    <w:p w14:paraId="729B5575" w14:textId="57154127" w:rsidR="00EF6BE6" w:rsidRPr="002F486B" w:rsidRDefault="00F5316E" w:rsidP="00DE5666">
      <w:pPr>
        <w:pStyle w:val="Bullet"/>
      </w:pPr>
      <w:r>
        <w:t xml:space="preserve">Refer Measure 2 for the draft Missing Middle Housing Design Guide and draft Major Plan Amendment. </w:t>
      </w:r>
    </w:p>
    <w:p w14:paraId="4518B913" w14:textId="4A7488EB" w:rsidR="00EF6BE6" w:rsidRDefault="00EF6BE6" w:rsidP="00EF6BE6">
      <w:pPr>
        <w:spacing w:before="120" w:after="45"/>
        <w:rPr>
          <w:rFonts w:cstheme="minorHAnsi"/>
          <w:color w:val="auto"/>
        </w:rPr>
      </w:pPr>
      <w:r>
        <w:rPr>
          <w:rFonts w:cstheme="minorHAnsi"/>
          <w:color w:val="auto"/>
        </w:rPr>
        <w:t>T</w:t>
      </w:r>
      <w:r w:rsidRPr="00EF6BE6">
        <w:rPr>
          <w:rFonts w:cstheme="minorHAnsi"/>
          <w:color w:val="auto"/>
        </w:rPr>
        <w:t xml:space="preserve">he </w:t>
      </w:r>
      <w:r w:rsidR="00FA30E9">
        <w:rPr>
          <w:rFonts w:cstheme="minorHAnsi"/>
          <w:color w:val="auto"/>
        </w:rPr>
        <w:t>d</w:t>
      </w:r>
      <w:r w:rsidRPr="00EF6BE6">
        <w:rPr>
          <w:rFonts w:cstheme="minorHAnsi"/>
          <w:color w:val="auto"/>
        </w:rPr>
        <w:t xml:space="preserve">istrict </w:t>
      </w:r>
      <w:r w:rsidR="00FA30E9">
        <w:rPr>
          <w:rFonts w:cstheme="minorHAnsi"/>
          <w:color w:val="auto"/>
        </w:rPr>
        <w:t>s</w:t>
      </w:r>
      <w:r w:rsidRPr="00EF6BE6">
        <w:rPr>
          <w:rFonts w:cstheme="minorHAnsi"/>
          <w:color w:val="auto"/>
        </w:rPr>
        <w:t xml:space="preserve">trategies contain implementation pathways and actions to inform more detailed planning for housing. These actions are proposed as ongoing work </w:t>
      </w:r>
      <w:r w:rsidR="00FF17DA">
        <w:rPr>
          <w:rFonts w:cstheme="minorHAnsi"/>
          <w:color w:val="auto"/>
        </w:rPr>
        <w:t>requiring</w:t>
      </w:r>
      <w:r w:rsidRPr="00EF6BE6">
        <w:rPr>
          <w:rFonts w:cstheme="minorHAnsi"/>
          <w:color w:val="auto"/>
        </w:rPr>
        <w:t xml:space="preserve"> budget support to implement.</w:t>
      </w:r>
      <w:r>
        <w:rPr>
          <w:rFonts w:cstheme="minorHAnsi"/>
          <w:color w:val="auto"/>
        </w:rPr>
        <w:t xml:space="preserve"> </w:t>
      </w:r>
      <w:r w:rsidRPr="00EF6BE6">
        <w:rPr>
          <w:rFonts w:cstheme="minorHAnsi"/>
          <w:color w:val="auto"/>
        </w:rPr>
        <w:t>This includes:</w:t>
      </w:r>
    </w:p>
    <w:p w14:paraId="0B32C2F2" w14:textId="77777777" w:rsidR="00EF6BE6" w:rsidRPr="00EF6BE6" w:rsidRDefault="00EF6BE6" w:rsidP="00DE5666">
      <w:pPr>
        <w:pStyle w:val="Bullet"/>
      </w:pPr>
      <w:r w:rsidRPr="00EF6BE6">
        <w:lastRenderedPageBreak/>
        <w:t>Progress investigations of key sites and short-, medium- and long-term change areas identified to help meet housing supply needs.</w:t>
      </w:r>
    </w:p>
    <w:p w14:paraId="356D6926" w14:textId="73B58738" w:rsidR="00EF6BE6" w:rsidRPr="00EF6BE6" w:rsidRDefault="003B6E11" w:rsidP="00DE5666">
      <w:pPr>
        <w:pStyle w:val="Bullet"/>
      </w:pPr>
      <w:r>
        <w:t>Further work</w:t>
      </w:r>
      <w:r w:rsidR="00F5316E">
        <w:t xml:space="preserve"> for the investigation of </w:t>
      </w:r>
      <w:r w:rsidR="00EF6BE6" w:rsidRPr="00EF6BE6">
        <w:t>the RZ2 (Suburban Core Zone) to determine why the existing built form does not demonstrate the intended variation of housing typologies between RZ1 (Suburban Zone) and RZ2 zone.</w:t>
      </w:r>
    </w:p>
    <w:p w14:paraId="4167A93A" w14:textId="77777777" w:rsidR="00EF6BE6" w:rsidRPr="00EF6BE6" w:rsidRDefault="00EF6BE6" w:rsidP="00DE5666">
      <w:pPr>
        <w:pStyle w:val="Bullet"/>
      </w:pPr>
      <w:r w:rsidRPr="00EF6BE6">
        <w:t>Undertake further detailed analysis and modelling to identify future housing needs not able to be met by change areas across districts.</w:t>
      </w:r>
    </w:p>
    <w:p w14:paraId="40D3E86B" w14:textId="1707CC13" w:rsidR="00EF6BE6" w:rsidRPr="00EF6BE6" w:rsidRDefault="00EF6BE6" w:rsidP="00DE5666">
      <w:pPr>
        <w:pStyle w:val="Bullet"/>
      </w:pPr>
      <w:r w:rsidRPr="00EF6BE6">
        <w:t xml:space="preserve">Investigate potential urban regeneration areas </w:t>
      </w:r>
      <w:r w:rsidR="00FF17DA">
        <w:t>and</w:t>
      </w:r>
      <w:r w:rsidRPr="00EF6BE6">
        <w:t xml:space="preserve"> what is needed to deliver change.</w:t>
      </w:r>
    </w:p>
    <w:p w14:paraId="1C881C40" w14:textId="77777777" w:rsidR="00EF6BE6" w:rsidRDefault="00EF6BE6" w:rsidP="00DE5666">
      <w:pPr>
        <w:pStyle w:val="Bullet"/>
      </w:pPr>
      <w:r w:rsidRPr="00EF6BE6">
        <w:t>Investigate planning and design provisions that encourage supply of affordable housing.</w:t>
      </w:r>
    </w:p>
    <w:p w14:paraId="60F9A469" w14:textId="114EF435" w:rsidR="00325FA5" w:rsidRDefault="00325FA5" w:rsidP="00325FA5">
      <w:pPr>
        <w:spacing w:after="0"/>
        <w:rPr>
          <w:rFonts w:cstheme="minorHAnsi"/>
          <w:color w:val="auto"/>
        </w:rPr>
      </w:pPr>
      <w:r>
        <w:rPr>
          <w:rFonts w:cstheme="minorHAnsi"/>
          <w:color w:val="auto"/>
        </w:rPr>
        <w:t>Summary of reforms to non-planning barriers which prevent a diversity of housing stock.</w:t>
      </w:r>
    </w:p>
    <w:p w14:paraId="6E0F4E5D" w14:textId="5D0DF59E" w:rsidR="00325FA5" w:rsidRPr="00080E22" w:rsidRDefault="00325FA5" w:rsidP="00DE5666">
      <w:pPr>
        <w:pStyle w:val="Bullet"/>
      </w:pPr>
      <w:r w:rsidRPr="00080E22">
        <w:t>The ACT Government</w:t>
      </w:r>
      <w:r w:rsidR="00C77D7D">
        <w:t xml:space="preserve"> </w:t>
      </w:r>
      <w:r w:rsidRPr="00080E22">
        <w:t xml:space="preserve">introduced a </w:t>
      </w:r>
      <w:hyperlink r:id="rId32" w:history="1">
        <w:r w:rsidRPr="00080E22">
          <w:rPr>
            <w:rStyle w:val="Hyperlink"/>
            <w:rFonts w:cstheme="minorHAnsi"/>
          </w:rPr>
          <w:t>stamp duty exemption</w:t>
        </w:r>
      </w:hyperlink>
      <w:r w:rsidRPr="00080E22">
        <w:t xml:space="preserve"> for dual occupancies on suburban residential blocks to encourage take-up of new</w:t>
      </w:r>
      <w:r w:rsidRPr="00080E22">
        <w:rPr>
          <w:rFonts w:ascii="Calibri Light" w:hAnsi="Calibri Light"/>
          <w:sz w:val="20"/>
        </w:rPr>
        <w:t xml:space="preserve"> </w:t>
      </w:r>
      <w:r w:rsidRPr="00080E22">
        <w:t>provisions that allow for unit titling of a second dwelling on low density (RZ1) blocks over 800m².</w:t>
      </w:r>
    </w:p>
    <w:p w14:paraId="44E3E7B4" w14:textId="3486EFE7" w:rsidR="00325FA5" w:rsidRPr="00080E22" w:rsidRDefault="00325FA5" w:rsidP="00DE5666">
      <w:pPr>
        <w:pStyle w:val="Bullet"/>
      </w:pPr>
      <w:r w:rsidRPr="00080E22">
        <w:t xml:space="preserve">The </w:t>
      </w:r>
      <w:r w:rsidR="00FA30E9">
        <w:t>ACT G</w:t>
      </w:r>
      <w:r w:rsidRPr="00080E22">
        <w:t>overnment introduc</w:t>
      </w:r>
      <w:r w:rsidR="00C77D7D">
        <w:t>ed</w:t>
      </w:r>
      <w:r w:rsidRPr="00080E22">
        <w:t xml:space="preserve"> changes to the lease variation charge (LVC) – a windfall gains tax – to support the development of more dual occupancy homes in Canberra.</w:t>
      </w:r>
      <w:r w:rsidR="00F5316E" w:rsidRPr="002F486B">
        <w:t xml:space="preserve"> </w:t>
      </w:r>
    </w:p>
    <w:p w14:paraId="571D24AA" w14:textId="763CBBD4" w:rsidR="00325FA5" w:rsidRPr="00325FA5" w:rsidRDefault="00325FA5" w:rsidP="00DE5666">
      <w:pPr>
        <w:pStyle w:val="Bullet"/>
      </w:pPr>
      <w:r w:rsidRPr="00325FA5">
        <w:t>Both the stamp duty exemption and LVC changes will encourage property owners to capitalise on the planning provisions that allow for more dual-occupancy homes in existing suburbs</w:t>
      </w:r>
      <w:r w:rsidRPr="00C006ED">
        <w:rPr>
          <w:rFonts w:ascii="Calibri Light" w:hAnsi="Calibri Light"/>
          <w:sz w:val="20"/>
        </w:rPr>
        <w:t>.</w:t>
      </w:r>
    </w:p>
    <w:p w14:paraId="7D438063" w14:textId="7552A178" w:rsidR="00EF6BE6" w:rsidRDefault="00EF6BE6" w:rsidP="00EF6BE6">
      <w:pPr>
        <w:pStyle w:val="Heading3"/>
      </w:pPr>
      <w:bookmarkStart w:id="40" w:name="_Toc224730881"/>
      <w:r w:rsidRPr="00EF6BE6">
        <w:t>ACT progress against housing supply targets</w:t>
      </w:r>
      <w:bookmarkEnd w:id="40"/>
    </w:p>
    <w:p w14:paraId="35755ABB" w14:textId="51753FB9" w:rsidR="00EF6BE6" w:rsidRPr="0015144B" w:rsidRDefault="00EF6BE6" w:rsidP="008F49B0">
      <w:pPr>
        <w:spacing w:before="120" w:after="0"/>
        <w:rPr>
          <w:rFonts w:ascii="Calibri Light" w:hAnsi="Calibri Light" w:cs="Calibri Light"/>
          <w:b/>
          <w:bCs/>
          <w:sz w:val="24"/>
          <w:szCs w:val="22"/>
        </w:rPr>
      </w:pPr>
      <w:r w:rsidRPr="0015144B">
        <w:rPr>
          <w:rFonts w:ascii="Calibri Light" w:hAnsi="Calibri Light" w:cs="Calibri Light"/>
          <w:b/>
          <w:bCs/>
          <w:sz w:val="24"/>
          <w:szCs w:val="22"/>
        </w:rPr>
        <w:t xml:space="preserve">Housing </w:t>
      </w:r>
      <w:r w:rsidR="00FA30E9">
        <w:rPr>
          <w:rFonts w:ascii="Calibri Light" w:hAnsi="Calibri Light" w:cs="Calibri Light"/>
          <w:b/>
          <w:bCs/>
          <w:sz w:val="24"/>
          <w:szCs w:val="22"/>
        </w:rPr>
        <w:t>d</w:t>
      </w:r>
      <w:r w:rsidRPr="0015144B">
        <w:rPr>
          <w:rFonts w:ascii="Calibri Light" w:hAnsi="Calibri Light" w:cs="Calibri Light"/>
          <w:b/>
          <w:bCs/>
          <w:sz w:val="24"/>
          <w:szCs w:val="22"/>
        </w:rPr>
        <w:t xml:space="preserve">elivery and </w:t>
      </w:r>
      <w:r w:rsidR="00FA30E9">
        <w:rPr>
          <w:rFonts w:ascii="Calibri Light" w:hAnsi="Calibri Light" w:cs="Calibri Light"/>
          <w:b/>
          <w:bCs/>
          <w:sz w:val="24"/>
          <w:szCs w:val="22"/>
        </w:rPr>
        <w:t>s</w:t>
      </w:r>
      <w:r w:rsidRPr="0015144B">
        <w:rPr>
          <w:rFonts w:ascii="Calibri Light" w:hAnsi="Calibri Light" w:cs="Calibri Light"/>
          <w:b/>
          <w:bCs/>
          <w:sz w:val="24"/>
          <w:szCs w:val="22"/>
        </w:rPr>
        <w:t xml:space="preserve">tock </w:t>
      </w:r>
      <w:r w:rsidR="00FA30E9">
        <w:rPr>
          <w:rFonts w:ascii="Calibri Light" w:hAnsi="Calibri Light" w:cs="Calibri Light"/>
          <w:b/>
          <w:bCs/>
          <w:sz w:val="24"/>
          <w:szCs w:val="22"/>
        </w:rPr>
        <w:t>i</w:t>
      </w:r>
      <w:r w:rsidRPr="0015144B">
        <w:rPr>
          <w:rFonts w:ascii="Calibri Light" w:hAnsi="Calibri Light" w:cs="Calibri Light"/>
          <w:b/>
          <w:bCs/>
          <w:sz w:val="24"/>
          <w:szCs w:val="22"/>
        </w:rPr>
        <w:t>nitiatives</w:t>
      </w:r>
    </w:p>
    <w:p w14:paraId="2319B863" w14:textId="77777777" w:rsidR="00EF6BE6" w:rsidRPr="00EF6BE6" w:rsidRDefault="00EF6BE6" w:rsidP="00DE5666">
      <w:pPr>
        <w:pStyle w:val="Bullet"/>
      </w:pPr>
      <w:r w:rsidRPr="00EF6BE6">
        <w:t>The initiative aims to encourage uptake of more diverse ways to deliver greater housing and rental stock across the territory.</w:t>
      </w:r>
    </w:p>
    <w:p w14:paraId="2CC3621E" w14:textId="4378793C" w:rsidR="00EF6BE6" w:rsidRPr="00EF6BE6" w:rsidRDefault="00EF6BE6" w:rsidP="00DE5666">
      <w:pPr>
        <w:pStyle w:val="Bullet"/>
      </w:pPr>
      <w:r w:rsidRPr="00EF6BE6">
        <w:t>A greater supply of blocks has been established to help deliver (primarily) more low-rise or small-scale townhouse and apartment developments.</w:t>
      </w:r>
      <w:r w:rsidR="00325FA5">
        <w:t xml:space="preserve"> </w:t>
      </w:r>
      <w:r w:rsidR="00325FA5" w:rsidRPr="00325FA5">
        <w:t>Change removes the upfront costs of subdividing a block (no longer mandating the cost of construction to be borne by the owner prior to the sale of a subdivided block) and provides opportunity for the purchaser of the new block to design a dwelling that meets their needs and preferences (rather than having that determined by the original owner).</w:t>
      </w:r>
    </w:p>
    <w:p w14:paraId="5388AC78" w14:textId="5E97DC8F" w:rsidR="00EF6BE6" w:rsidRPr="00EF6BE6" w:rsidRDefault="00EF6BE6" w:rsidP="00DE5666">
      <w:pPr>
        <w:pStyle w:val="Bullet"/>
      </w:pPr>
      <w:r w:rsidRPr="00EF6BE6">
        <w:t>New zoning regulations increase dwelling supply, with a particular focus on two-level townhouse and apartment developments.</w:t>
      </w:r>
    </w:p>
    <w:p w14:paraId="0B47BBA0" w14:textId="08206EA4" w:rsidR="00572C7D" w:rsidRDefault="00572C7D" w:rsidP="006E5FEC">
      <w:pPr>
        <w:spacing w:after="0"/>
        <w:rPr>
          <w:rFonts w:ascii="Calibri Light" w:hAnsi="Calibri Light" w:cs="Calibri Light"/>
          <w:b/>
          <w:bCs/>
          <w:sz w:val="24"/>
          <w:szCs w:val="22"/>
        </w:rPr>
      </w:pPr>
      <w:r>
        <w:rPr>
          <w:rFonts w:ascii="Calibri Light" w:hAnsi="Calibri Light" w:cs="Calibri Light"/>
          <w:b/>
          <w:bCs/>
          <w:sz w:val="24"/>
          <w:szCs w:val="22"/>
        </w:rPr>
        <w:t xml:space="preserve">Residential </w:t>
      </w:r>
      <w:r w:rsidR="00FA30E9">
        <w:rPr>
          <w:rFonts w:ascii="Calibri Light" w:hAnsi="Calibri Light" w:cs="Calibri Light"/>
          <w:b/>
          <w:bCs/>
          <w:sz w:val="24"/>
          <w:szCs w:val="22"/>
        </w:rPr>
        <w:t>d</w:t>
      </w:r>
      <w:r>
        <w:rPr>
          <w:rFonts w:ascii="Calibri Light" w:hAnsi="Calibri Light" w:cs="Calibri Light"/>
          <w:b/>
          <w:bCs/>
          <w:sz w:val="24"/>
          <w:szCs w:val="22"/>
        </w:rPr>
        <w:t xml:space="preserve">evelopment </w:t>
      </w:r>
      <w:r w:rsidR="00FA30E9">
        <w:rPr>
          <w:rFonts w:ascii="Calibri Light" w:hAnsi="Calibri Light" w:cs="Calibri Light"/>
          <w:b/>
          <w:bCs/>
          <w:sz w:val="24"/>
          <w:szCs w:val="22"/>
        </w:rPr>
        <w:t>o</w:t>
      </w:r>
      <w:r>
        <w:rPr>
          <w:rFonts w:ascii="Calibri Light" w:hAnsi="Calibri Light" w:cs="Calibri Light"/>
          <w:b/>
          <w:bCs/>
          <w:sz w:val="24"/>
          <w:szCs w:val="22"/>
        </w:rPr>
        <w:t>utcomes</w:t>
      </w:r>
    </w:p>
    <w:p w14:paraId="57D3595D" w14:textId="77777777" w:rsidR="008F49B0" w:rsidRDefault="008F49B0" w:rsidP="00DE5666">
      <w:pPr>
        <w:pStyle w:val="Bullet"/>
      </w:pPr>
      <w:r>
        <w:t>The changes are expected to deliver more single-level dwellings that are more suitable for residents to age in place.</w:t>
      </w:r>
    </w:p>
    <w:p w14:paraId="621822D2" w14:textId="77777777" w:rsidR="008F49B0" w:rsidRDefault="008F49B0" w:rsidP="00DE5666">
      <w:pPr>
        <w:pStyle w:val="Bullet"/>
      </w:pPr>
      <w:r>
        <w:t>Removal of restrictive size requirements for multi-unit developments provides greater flexibility and makes redevelopment more viable.</w:t>
      </w:r>
    </w:p>
    <w:p w14:paraId="1541206F" w14:textId="5F4147EB" w:rsidR="00572C7D" w:rsidRDefault="008F49B0" w:rsidP="00DE5666">
      <w:pPr>
        <w:pStyle w:val="Bullet"/>
      </w:pPr>
      <w:r>
        <w:t>Community organi</w:t>
      </w:r>
      <w:r w:rsidR="00FA30E9">
        <w:t>s</w:t>
      </w:r>
      <w:r>
        <w:t>ations are now able to diversify their offerings while contributing to the supply of affordable rentals.</w:t>
      </w:r>
      <w:r w:rsidR="00325FA5">
        <w:t xml:space="preserve"> </w:t>
      </w:r>
      <w:r w:rsidR="00325FA5" w:rsidRPr="00325FA5">
        <w:t>Restrictions on where community housing is permitted helps preserve land for other community uses.  Exemptions can be implemented on a case-by-case basis.</w:t>
      </w:r>
    </w:p>
    <w:p w14:paraId="038CA041" w14:textId="7E22DE2D" w:rsidR="006E5FEC" w:rsidRDefault="006E5FEC" w:rsidP="006E5FEC">
      <w:pPr>
        <w:spacing w:after="0"/>
        <w:rPr>
          <w:rFonts w:ascii="Calibri Light" w:hAnsi="Calibri Light" w:cs="Calibri Light"/>
          <w:b/>
          <w:bCs/>
          <w:sz w:val="24"/>
          <w:szCs w:val="22"/>
        </w:rPr>
      </w:pPr>
      <w:r w:rsidRPr="006E5FEC">
        <w:rPr>
          <w:rFonts w:ascii="Calibri Light" w:hAnsi="Calibri Light" w:cs="Calibri Light"/>
          <w:b/>
          <w:bCs/>
          <w:sz w:val="24"/>
          <w:szCs w:val="22"/>
        </w:rPr>
        <w:lastRenderedPageBreak/>
        <w:t>Strategic Planning</w:t>
      </w:r>
    </w:p>
    <w:p w14:paraId="50CBEEAF" w14:textId="1374CD04" w:rsidR="000903E4" w:rsidRPr="000903E4" w:rsidRDefault="000903E4" w:rsidP="000903E4">
      <w:pPr>
        <w:spacing w:before="120"/>
      </w:pPr>
      <w:r w:rsidRPr="00C006ED">
        <w:t>More detailed planning will provide opportunities for greater housing supply and diversity in the best locations across the</w:t>
      </w:r>
      <w:r w:rsidR="00FA30E9">
        <w:t xml:space="preserve"> ACT’s</w:t>
      </w:r>
      <w:r w:rsidRPr="00C006ED">
        <w:t xml:space="preserve"> </w:t>
      </w:r>
      <w:r w:rsidR="00FA30E9">
        <w:t>9</w:t>
      </w:r>
      <w:r w:rsidR="00FA30E9" w:rsidRPr="00C006ED">
        <w:t xml:space="preserve"> </w:t>
      </w:r>
      <w:r w:rsidRPr="00C006ED">
        <w:t>districts.</w:t>
      </w:r>
    </w:p>
    <w:p w14:paraId="57CB4184" w14:textId="0507A868" w:rsidR="00AB00A9" w:rsidRPr="00DE5666" w:rsidRDefault="00EF6BE6" w:rsidP="006B4952">
      <w:pPr>
        <w:spacing w:before="120"/>
        <w:rPr>
          <w:i/>
          <w:iCs/>
        </w:rPr>
      </w:pPr>
      <w:r w:rsidRPr="00DE5666">
        <w:rPr>
          <w:i/>
          <w:iCs/>
        </w:rPr>
        <w:t xml:space="preserve">Refer to Measure 2 for </w:t>
      </w:r>
      <w:r w:rsidR="000903E4" w:rsidRPr="00DE5666">
        <w:rPr>
          <w:i/>
          <w:iCs/>
        </w:rPr>
        <w:t>further information regarding</w:t>
      </w:r>
      <w:r w:rsidRPr="00DE5666">
        <w:rPr>
          <w:i/>
          <w:iCs/>
        </w:rPr>
        <w:t xml:space="preserve"> the </w:t>
      </w:r>
      <w:r w:rsidR="00FA30E9">
        <w:rPr>
          <w:i/>
          <w:iCs/>
        </w:rPr>
        <w:t>implementation of d</w:t>
      </w:r>
      <w:r w:rsidRPr="00DE5666">
        <w:rPr>
          <w:i/>
          <w:iCs/>
        </w:rPr>
        <w:t xml:space="preserve">istrict </w:t>
      </w:r>
      <w:r w:rsidR="00FA30E9">
        <w:rPr>
          <w:i/>
          <w:iCs/>
        </w:rPr>
        <w:t>s</w:t>
      </w:r>
      <w:r w:rsidRPr="00DE5666">
        <w:rPr>
          <w:i/>
          <w:iCs/>
        </w:rPr>
        <w:t>trategies.</w:t>
      </w:r>
    </w:p>
    <w:p w14:paraId="5E3949AA" w14:textId="385D1280" w:rsidR="00325FA5" w:rsidRDefault="00325FA5">
      <w:pPr>
        <w:spacing w:before="0" w:after="160" w:line="259" w:lineRule="auto"/>
      </w:pPr>
      <w: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rsidRPr="00AB00A9" w14:paraId="621B1C54" w14:textId="77777777" w:rsidTr="00BD495D">
        <w:trPr>
          <w:trHeight w:val="1976"/>
        </w:trPr>
        <w:tc>
          <w:tcPr>
            <w:tcW w:w="5000" w:type="pct"/>
            <w:shd w:val="clear" w:color="auto" w:fill="CEDBE6" w:themeFill="background2"/>
            <w:hideMark/>
          </w:tcPr>
          <w:p w14:paraId="66CAA1DD" w14:textId="5AD24FC7" w:rsidR="00440B1E" w:rsidRPr="00AB00A9" w:rsidRDefault="00C40C8B" w:rsidP="000D779E">
            <w:pPr>
              <w:pStyle w:val="Heading1"/>
              <w:rPr>
                <w:kern w:val="2"/>
                <w:lang w:eastAsia="en-US"/>
              </w:rPr>
            </w:pPr>
            <w:bookmarkStart w:id="41" w:name="_Toc168064971"/>
            <w:bookmarkStart w:id="42" w:name="_Toc168065282"/>
            <w:bookmarkStart w:id="43" w:name="_Toc224730882"/>
            <w:bookmarkStart w:id="44" w:name="_Hlk184372159"/>
            <w:r w:rsidRPr="00AB00A9">
              <w:rPr>
                <w:kern w:val="2"/>
                <w:lang w:eastAsia="en-US"/>
              </w:rPr>
              <w:lastRenderedPageBreak/>
              <w:t>Measure 6</w:t>
            </w:r>
            <w:bookmarkEnd w:id="41"/>
            <w:bookmarkEnd w:id="42"/>
            <w:bookmarkEnd w:id="43"/>
          </w:p>
          <w:p w14:paraId="2378888C" w14:textId="51A1C17B" w:rsidR="00440B1E" w:rsidRPr="00AB00A9" w:rsidRDefault="000D779E" w:rsidP="000D779E">
            <w:pPr>
              <w:pStyle w:val="Boxdoubledot"/>
              <w:numPr>
                <w:ilvl w:val="0"/>
                <w:numId w:val="0"/>
              </w:numPr>
              <w:rPr>
                <w:kern w:val="2"/>
              </w:rPr>
            </w:pPr>
            <w:r w:rsidRPr="00AB00A9">
              <w:rPr>
                <w:rFonts w:eastAsia="Times New Roman"/>
                <w:color w:val="000000" w:themeColor="text1"/>
                <w:kern w:val="2"/>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1CD829AE" w14:textId="4C3ADDAE" w:rsidR="00C550AE" w:rsidRDefault="006465C0" w:rsidP="00BD495D">
      <w:pPr>
        <w:pStyle w:val="Heading2"/>
        <w:spacing w:before="280" w:line="240" w:lineRule="auto"/>
        <w:rPr>
          <w:kern w:val="2"/>
        </w:rPr>
      </w:pPr>
      <w:bookmarkStart w:id="45" w:name="_Toc224730883"/>
      <w:bookmarkStart w:id="46" w:name="_Toc168064973"/>
      <w:bookmarkStart w:id="47" w:name="_Toc168065284"/>
      <w:bookmarkStart w:id="48" w:name="_Toc160799710"/>
      <w:bookmarkEnd w:id="44"/>
      <w:r>
        <w:rPr>
          <w:kern w:val="2"/>
        </w:rPr>
        <w:t>Identifying barriers in development approvals</w:t>
      </w:r>
      <w:bookmarkEnd w:id="45"/>
    </w:p>
    <w:p w14:paraId="17923314" w14:textId="77777777" w:rsidR="007B7153" w:rsidRPr="00570FE3" w:rsidRDefault="007B7153" w:rsidP="007B7153">
      <w:pPr>
        <w:pStyle w:val="Heading3"/>
        <w:spacing w:after="0"/>
      </w:pPr>
      <w:bookmarkStart w:id="49" w:name="_Toc224730884"/>
      <w:r>
        <w:t>Reforms to development approval pathways</w:t>
      </w:r>
      <w:bookmarkEnd w:id="49"/>
    </w:p>
    <w:p w14:paraId="4F9DA272" w14:textId="44A14FC0" w:rsidR="00600968" w:rsidRDefault="007B7153" w:rsidP="00600968">
      <w:pPr>
        <w:spacing w:before="120" w:after="0"/>
      </w:pPr>
      <w:r w:rsidRPr="007F0C36">
        <w:rPr>
          <w:b/>
          <w:bCs/>
        </w:rPr>
        <w:t>Territory Priority Projects:</w:t>
      </w:r>
      <w:r w:rsidRPr="007F0C36">
        <w:t xml:space="preserve"> The Minister for Planning and </w:t>
      </w:r>
      <w:r w:rsidR="00FF17DA">
        <w:t>Sustainable Development</w:t>
      </w:r>
      <w:r w:rsidRPr="007F0C36">
        <w:t xml:space="preserve"> and the Chief Minister </w:t>
      </w:r>
      <w:proofErr w:type="gramStart"/>
      <w:r w:rsidRPr="007F0C36">
        <w:t>are able to</w:t>
      </w:r>
      <w:proofErr w:type="gramEnd"/>
      <w:r w:rsidRPr="007F0C36">
        <w:t xml:space="preserve"> declare certain development proposals (in</w:t>
      </w:r>
      <w:r w:rsidRPr="009C478C">
        <w:rPr>
          <w:rFonts w:cstheme="minorHAnsi"/>
          <w:szCs w:val="22"/>
        </w:rPr>
        <w:t xml:space="preserve">cluding for social and public housing) as a Territory Priority Project. </w:t>
      </w:r>
    </w:p>
    <w:p w14:paraId="4341199E" w14:textId="2B8605EA" w:rsidR="007B7153" w:rsidRDefault="007B7153" w:rsidP="00600968">
      <w:pPr>
        <w:pStyle w:val="Bullet"/>
      </w:pPr>
      <w:r w:rsidRPr="00E05A12">
        <w:t xml:space="preserve">Removes third party appeal rights – often social and public housing developments are subject to heavy community scrutiny and appeals in the ACT Civil and Administrative Tribunal. Appeal timeframes can span up to and beyond three months.  </w:t>
      </w:r>
    </w:p>
    <w:p w14:paraId="36B4DD60" w14:textId="77777777" w:rsidR="00600968" w:rsidRDefault="00600968" w:rsidP="00600968">
      <w:pPr>
        <w:pStyle w:val="Bullet"/>
        <w:rPr>
          <w:rFonts w:cstheme="minorHAnsi"/>
          <w:color w:val="0000FF"/>
          <w:szCs w:val="22"/>
          <w:u w:val="single"/>
        </w:rPr>
      </w:pPr>
      <w:r w:rsidRPr="009C478C">
        <w:rPr>
          <w:rFonts w:cstheme="minorHAnsi"/>
          <w:szCs w:val="22"/>
        </w:rPr>
        <w:t>More information is available here:</w:t>
      </w:r>
      <w:r w:rsidRPr="009C478C">
        <w:rPr>
          <w:rFonts w:cstheme="minorHAnsi"/>
          <w:color w:val="auto"/>
          <w:szCs w:val="22"/>
        </w:rPr>
        <w:t xml:space="preserve"> </w:t>
      </w:r>
      <w:hyperlink r:id="rId33" w:history="1">
        <w:r w:rsidRPr="009C478C">
          <w:rPr>
            <w:rFonts w:cstheme="minorHAnsi"/>
            <w:color w:val="0000FF"/>
            <w:szCs w:val="22"/>
            <w:u w:val="single"/>
          </w:rPr>
          <w:t>Territory Priority Projects</w:t>
        </w:r>
      </w:hyperlink>
      <w:r>
        <w:rPr>
          <w:rFonts w:cstheme="minorHAnsi"/>
          <w:color w:val="0000FF"/>
          <w:szCs w:val="22"/>
          <w:u w:val="single"/>
        </w:rPr>
        <w:t xml:space="preserve">. </w:t>
      </w:r>
    </w:p>
    <w:p w14:paraId="649C8D7E" w14:textId="77777777" w:rsidR="003D1BAB" w:rsidRDefault="00B70D04" w:rsidP="00B70D04">
      <w:pPr>
        <w:spacing w:after="0"/>
        <w:rPr>
          <w:rFonts w:cstheme="minorHAnsi"/>
          <w:color w:val="auto"/>
          <w:szCs w:val="22"/>
        </w:rPr>
      </w:pPr>
      <w:r w:rsidRPr="001B14FE">
        <w:rPr>
          <w:b/>
          <w:bCs/>
          <w:i/>
          <w:iCs/>
        </w:rPr>
        <w:t>Planning (Territory Priority Project) Amendment Bill</w:t>
      </w:r>
      <w:r w:rsidRPr="007F0C36">
        <w:rPr>
          <w:b/>
          <w:bCs/>
        </w:rPr>
        <w:t>:</w:t>
      </w:r>
      <w:r>
        <w:rPr>
          <w:rFonts w:cstheme="minorHAnsi"/>
          <w:color w:val="auto"/>
          <w:szCs w:val="22"/>
        </w:rPr>
        <w:br/>
        <w:t>The ACT Government introduced a Bill into the ACT Legislative Assembly in February 2025</w:t>
      </w:r>
      <w:r w:rsidR="003D1BAB">
        <w:rPr>
          <w:rFonts w:cstheme="minorHAnsi"/>
          <w:color w:val="auto"/>
          <w:szCs w:val="22"/>
        </w:rPr>
        <w:t>, which</w:t>
      </w:r>
      <w:r w:rsidR="00B14B0C">
        <w:rPr>
          <w:rFonts w:cstheme="minorHAnsi"/>
          <w:color w:val="auto"/>
          <w:szCs w:val="22"/>
        </w:rPr>
        <w:t xml:space="preserve"> was passed</w:t>
      </w:r>
      <w:r w:rsidR="001A6940">
        <w:rPr>
          <w:rFonts w:cstheme="minorHAnsi"/>
          <w:color w:val="auto"/>
          <w:szCs w:val="22"/>
        </w:rPr>
        <w:t xml:space="preserve"> by the Legislative Assembly</w:t>
      </w:r>
      <w:r w:rsidR="00B14B0C">
        <w:rPr>
          <w:rFonts w:cstheme="minorHAnsi"/>
          <w:color w:val="auto"/>
          <w:szCs w:val="22"/>
        </w:rPr>
        <w:t xml:space="preserve"> on 3 December 2025. The</w:t>
      </w:r>
      <w:r w:rsidR="00B14B0C" w:rsidRPr="00B70D04">
        <w:rPr>
          <w:rFonts w:cstheme="minorHAnsi"/>
          <w:color w:val="auto"/>
          <w:szCs w:val="22"/>
        </w:rPr>
        <w:t> </w:t>
      </w:r>
      <w:r w:rsidR="003D1BAB">
        <w:rPr>
          <w:rFonts w:cstheme="minorHAnsi"/>
          <w:color w:val="auto"/>
          <w:szCs w:val="22"/>
        </w:rPr>
        <w:t>B</w:t>
      </w:r>
      <w:r w:rsidRPr="00B70D04">
        <w:rPr>
          <w:rFonts w:cstheme="minorHAnsi"/>
          <w:color w:val="auto"/>
          <w:szCs w:val="22"/>
        </w:rPr>
        <w:t>ill </w:t>
      </w:r>
      <w:r w:rsidR="00B14B0C">
        <w:rPr>
          <w:rFonts w:cstheme="minorHAnsi"/>
          <w:color w:val="auto"/>
          <w:szCs w:val="22"/>
        </w:rPr>
        <w:t>amended</w:t>
      </w:r>
      <w:r w:rsidR="00B14B0C" w:rsidRPr="00B70D04">
        <w:rPr>
          <w:rFonts w:cstheme="minorHAnsi"/>
          <w:color w:val="auto"/>
          <w:szCs w:val="22"/>
        </w:rPr>
        <w:t xml:space="preserve"> </w:t>
      </w:r>
      <w:r w:rsidRPr="00B70D04">
        <w:rPr>
          <w:rFonts w:cstheme="minorHAnsi"/>
          <w:color w:val="auto"/>
          <w:szCs w:val="22"/>
        </w:rPr>
        <w:t xml:space="preserve">the </w:t>
      </w:r>
      <w:r w:rsidR="00FA30E9">
        <w:rPr>
          <w:rFonts w:cstheme="minorHAnsi"/>
          <w:color w:val="auto"/>
          <w:szCs w:val="22"/>
        </w:rPr>
        <w:t xml:space="preserve">Planning </w:t>
      </w:r>
      <w:r w:rsidRPr="00B70D04">
        <w:rPr>
          <w:rFonts w:cstheme="minorHAnsi"/>
          <w:color w:val="auto"/>
          <w:szCs w:val="22"/>
        </w:rPr>
        <w:t xml:space="preserve">Act </w:t>
      </w:r>
      <w:r w:rsidR="00FA30E9">
        <w:rPr>
          <w:rFonts w:cstheme="minorHAnsi"/>
          <w:color w:val="auto"/>
          <w:szCs w:val="22"/>
        </w:rPr>
        <w:t xml:space="preserve">2023 </w:t>
      </w:r>
      <w:r w:rsidRPr="00B70D04">
        <w:rPr>
          <w:rFonts w:cstheme="minorHAnsi"/>
          <w:color w:val="auto"/>
          <w:szCs w:val="22"/>
        </w:rPr>
        <w:t xml:space="preserve">to provide that a development proposal related to a </w:t>
      </w:r>
      <w:r w:rsidR="001A6940">
        <w:rPr>
          <w:rFonts w:cstheme="minorHAnsi"/>
          <w:color w:val="auto"/>
          <w:szCs w:val="22"/>
        </w:rPr>
        <w:t>public or community</w:t>
      </w:r>
      <w:r w:rsidRPr="00B70D04">
        <w:rPr>
          <w:rFonts w:cstheme="minorHAnsi"/>
          <w:color w:val="auto"/>
          <w:szCs w:val="22"/>
        </w:rPr>
        <w:t xml:space="preserve"> housing</w:t>
      </w:r>
      <w:r w:rsidR="001A6940">
        <w:rPr>
          <w:rFonts w:cstheme="minorHAnsi"/>
          <w:color w:val="auto"/>
          <w:szCs w:val="22"/>
        </w:rPr>
        <w:t xml:space="preserve"> facility</w:t>
      </w:r>
      <w:r w:rsidRPr="00B70D04">
        <w:rPr>
          <w:rFonts w:cstheme="minorHAnsi"/>
          <w:color w:val="auto"/>
          <w:szCs w:val="22"/>
        </w:rPr>
        <w:t> </w:t>
      </w:r>
      <w:r w:rsidR="003D1BAB">
        <w:rPr>
          <w:rFonts w:cstheme="minorHAnsi"/>
          <w:color w:val="auto"/>
          <w:szCs w:val="22"/>
        </w:rPr>
        <w:t xml:space="preserve">is </w:t>
      </w:r>
      <w:r w:rsidRPr="00B70D04">
        <w:rPr>
          <w:rFonts w:cstheme="minorHAnsi"/>
          <w:color w:val="auto"/>
          <w:szCs w:val="22"/>
        </w:rPr>
        <w:t>captured under the meaning of a </w:t>
      </w:r>
      <w:r w:rsidRPr="00B70D04">
        <w:rPr>
          <w:rFonts w:cstheme="minorHAnsi"/>
          <w:i/>
          <w:iCs/>
          <w:color w:val="auto"/>
          <w:szCs w:val="22"/>
        </w:rPr>
        <w:t>territory priority project</w:t>
      </w:r>
      <w:r w:rsidRPr="00B70D04">
        <w:rPr>
          <w:rFonts w:cstheme="minorHAnsi"/>
          <w:color w:val="auto"/>
          <w:szCs w:val="22"/>
        </w:rPr>
        <w:t xml:space="preserve"> (as per section 216). </w:t>
      </w:r>
    </w:p>
    <w:p w14:paraId="483C8EC7" w14:textId="48F8A1B6" w:rsidR="00B70D04" w:rsidRDefault="00B70D04" w:rsidP="001B14FE">
      <w:pPr>
        <w:spacing w:after="0"/>
        <w:rPr>
          <w:rFonts w:cstheme="minorHAnsi"/>
          <w:color w:val="auto"/>
          <w:szCs w:val="22"/>
        </w:rPr>
      </w:pPr>
      <w:r w:rsidRPr="00B70D04">
        <w:rPr>
          <w:rFonts w:cstheme="minorHAnsi"/>
          <w:color w:val="auto"/>
          <w:szCs w:val="22"/>
        </w:rPr>
        <w:t>This effectively establishes development proposal</w:t>
      </w:r>
      <w:r w:rsidR="003D1BAB">
        <w:rPr>
          <w:rFonts w:cstheme="minorHAnsi"/>
          <w:color w:val="auto"/>
          <w:szCs w:val="22"/>
        </w:rPr>
        <w:t>s</w:t>
      </w:r>
      <w:r w:rsidRPr="00B70D04">
        <w:rPr>
          <w:rFonts w:cstheme="minorHAnsi"/>
          <w:color w:val="auto"/>
          <w:szCs w:val="22"/>
        </w:rPr>
        <w:t xml:space="preserve"> relating to public housing</w:t>
      </w:r>
      <w:r w:rsidR="00B14B0C">
        <w:rPr>
          <w:rFonts w:cstheme="minorHAnsi"/>
          <w:color w:val="auto"/>
          <w:szCs w:val="22"/>
        </w:rPr>
        <w:t xml:space="preserve"> or community housing </w:t>
      </w:r>
      <w:r w:rsidRPr="00B70D04">
        <w:rPr>
          <w:rFonts w:cstheme="minorHAnsi"/>
          <w:color w:val="auto"/>
          <w:szCs w:val="22"/>
        </w:rPr>
        <w:t>as distinct categories under section 216 of the Act, as is currently the case for a proposal related to light rail.</w:t>
      </w:r>
      <w:r w:rsidR="003D1BAB">
        <w:rPr>
          <w:rFonts w:cstheme="minorHAnsi"/>
          <w:color w:val="auto"/>
          <w:szCs w:val="22"/>
        </w:rPr>
        <w:t xml:space="preserve"> </w:t>
      </w:r>
      <w:r w:rsidRPr="00B70D04">
        <w:rPr>
          <w:rFonts w:cstheme="minorHAnsi"/>
          <w:color w:val="auto"/>
          <w:szCs w:val="22"/>
        </w:rPr>
        <w:t>The effect</w:t>
      </w:r>
      <w:r>
        <w:rPr>
          <w:rFonts w:cstheme="minorHAnsi"/>
          <w:color w:val="auto"/>
          <w:szCs w:val="22"/>
        </w:rPr>
        <w:t xml:space="preserve"> </w:t>
      </w:r>
      <w:r w:rsidRPr="00B70D04">
        <w:rPr>
          <w:rFonts w:cstheme="minorHAnsi"/>
          <w:color w:val="auto"/>
          <w:szCs w:val="22"/>
        </w:rPr>
        <w:t>being, these development proposals will not need to be ‘declared’ as TPPs under section 218 of the Act, given they are proposals of significance and benefit to the Canberra community.</w:t>
      </w:r>
      <w:r>
        <w:rPr>
          <w:rFonts w:cstheme="minorHAnsi"/>
          <w:color w:val="auto"/>
          <w:szCs w:val="22"/>
        </w:rPr>
        <w:t xml:space="preserve"> </w:t>
      </w:r>
    </w:p>
    <w:p w14:paraId="338099EA" w14:textId="7ECC49B3" w:rsidR="007B7153" w:rsidRPr="006136C1" w:rsidRDefault="007B7153" w:rsidP="007B7153">
      <w:pPr>
        <w:spacing w:before="120" w:after="0"/>
        <w:rPr>
          <w:rFonts w:cstheme="minorHAnsi"/>
          <w:color w:val="auto"/>
          <w:szCs w:val="22"/>
        </w:rPr>
      </w:pPr>
      <w:r w:rsidRPr="006136C1">
        <w:rPr>
          <w:rFonts w:cstheme="minorHAnsi"/>
          <w:b/>
          <w:bCs/>
          <w:color w:val="auto"/>
          <w:szCs w:val="22"/>
        </w:rPr>
        <w:t xml:space="preserve">Subdividing: </w:t>
      </w:r>
      <w:r w:rsidRPr="006136C1">
        <w:rPr>
          <w:rFonts w:cstheme="minorHAnsi"/>
          <w:color w:val="auto"/>
          <w:szCs w:val="22"/>
        </w:rPr>
        <w:t>Allowing RZ2 to RZ5 zoned blocks to be subdivided without being required to construct the new dwellings first.</w:t>
      </w:r>
      <w:r>
        <w:rPr>
          <w:rFonts w:cstheme="minorHAnsi"/>
          <w:color w:val="auto"/>
          <w:szCs w:val="22"/>
        </w:rPr>
        <w:t xml:space="preserve"> </w:t>
      </w:r>
      <w:r w:rsidR="00600968">
        <w:rPr>
          <w:rFonts w:cstheme="minorHAnsi"/>
          <w:color w:val="auto"/>
          <w:szCs w:val="22"/>
        </w:rPr>
        <w:t>(</w:t>
      </w:r>
      <w:r w:rsidRPr="00DE5666">
        <w:rPr>
          <w:rFonts w:cstheme="minorHAnsi"/>
          <w:i/>
          <w:iCs/>
          <w:color w:val="auto"/>
          <w:szCs w:val="22"/>
        </w:rPr>
        <w:t xml:space="preserve">Refer to Measure 5 for </w:t>
      </w:r>
      <w:r w:rsidR="00FF17DA" w:rsidRPr="00DE5666">
        <w:rPr>
          <w:rFonts w:cstheme="minorHAnsi"/>
          <w:i/>
          <w:iCs/>
          <w:color w:val="auto"/>
          <w:szCs w:val="22"/>
        </w:rPr>
        <w:t>further information</w:t>
      </w:r>
      <w:r w:rsidR="00FF17DA">
        <w:rPr>
          <w:rFonts w:cstheme="minorHAnsi"/>
          <w:color w:val="auto"/>
          <w:szCs w:val="22"/>
        </w:rPr>
        <w:t>.</w:t>
      </w:r>
      <w:r w:rsidR="00600968">
        <w:rPr>
          <w:rFonts w:cstheme="minorHAnsi"/>
          <w:color w:val="auto"/>
          <w:szCs w:val="22"/>
        </w:rPr>
        <w:t>)</w:t>
      </w:r>
    </w:p>
    <w:p w14:paraId="679D85D7" w14:textId="442E049F" w:rsidR="007B7153" w:rsidRPr="006136C1" w:rsidRDefault="007B7153" w:rsidP="007B7153">
      <w:pPr>
        <w:spacing w:before="120" w:after="0"/>
        <w:rPr>
          <w:rFonts w:cstheme="minorHAnsi"/>
          <w:color w:val="auto"/>
          <w:szCs w:val="22"/>
        </w:rPr>
      </w:pPr>
      <w:r w:rsidRPr="006136C1">
        <w:rPr>
          <w:rFonts w:cstheme="minorHAnsi"/>
          <w:b/>
          <w:bCs/>
          <w:color w:val="auto"/>
          <w:szCs w:val="22"/>
        </w:rPr>
        <w:t xml:space="preserve">Build-to-rent: </w:t>
      </w:r>
      <w:r w:rsidRPr="006136C1">
        <w:rPr>
          <w:rFonts w:cstheme="minorHAnsi"/>
          <w:color w:val="auto"/>
          <w:szCs w:val="22"/>
        </w:rPr>
        <w:t>Permitting build-to-rent and community housing in all residential zones.</w:t>
      </w:r>
      <w:r>
        <w:rPr>
          <w:rFonts w:cstheme="minorHAnsi"/>
          <w:color w:val="auto"/>
          <w:szCs w:val="22"/>
        </w:rPr>
        <w:t xml:space="preserve"> </w:t>
      </w:r>
      <w:r w:rsidR="00600968">
        <w:rPr>
          <w:rFonts w:cstheme="minorHAnsi"/>
          <w:color w:val="auto"/>
          <w:szCs w:val="22"/>
        </w:rPr>
        <w:t>(</w:t>
      </w:r>
      <w:r w:rsidRPr="00DE5666">
        <w:rPr>
          <w:rFonts w:cstheme="minorHAnsi"/>
          <w:i/>
          <w:iCs/>
          <w:color w:val="auto"/>
          <w:szCs w:val="22"/>
        </w:rPr>
        <w:t xml:space="preserve">Refer to Measure 5 for </w:t>
      </w:r>
      <w:r w:rsidR="00FF17DA" w:rsidRPr="00DE5666">
        <w:rPr>
          <w:rFonts w:cstheme="minorHAnsi"/>
          <w:i/>
          <w:iCs/>
          <w:color w:val="auto"/>
          <w:szCs w:val="22"/>
        </w:rPr>
        <w:t>further information</w:t>
      </w:r>
      <w:r w:rsidRPr="00DE5666">
        <w:rPr>
          <w:rFonts w:cstheme="minorHAnsi"/>
          <w:i/>
          <w:iCs/>
          <w:color w:val="auto"/>
          <w:szCs w:val="22"/>
        </w:rPr>
        <w:t>.</w:t>
      </w:r>
      <w:r w:rsidR="00600968" w:rsidRPr="00600968">
        <w:rPr>
          <w:rFonts w:cstheme="minorHAnsi"/>
          <w:color w:val="auto"/>
          <w:szCs w:val="22"/>
        </w:rPr>
        <w:t>)</w:t>
      </w:r>
    </w:p>
    <w:p w14:paraId="21246F29" w14:textId="1D557D3A" w:rsidR="007B7153" w:rsidRDefault="007B7153" w:rsidP="007B7153">
      <w:pPr>
        <w:spacing w:before="120" w:after="0"/>
        <w:rPr>
          <w:rFonts w:cstheme="minorHAnsi"/>
          <w:color w:val="auto"/>
          <w:szCs w:val="22"/>
        </w:rPr>
      </w:pPr>
      <w:r w:rsidRPr="006136C1">
        <w:rPr>
          <w:rFonts w:cstheme="minorHAnsi"/>
          <w:b/>
          <w:bCs/>
          <w:color w:val="auto"/>
          <w:szCs w:val="22"/>
        </w:rPr>
        <w:t>Existing pathways (exemptions):</w:t>
      </w:r>
      <w:r w:rsidRPr="006136C1">
        <w:rPr>
          <w:rFonts w:cstheme="minorHAnsi"/>
          <w:color w:val="auto"/>
          <w:szCs w:val="22"/>
        </w:rPr>
        <w:t xml:space="preserve"> Development Approval (DA) exemptions for single dwelling housing.</w:t>
      </w:r>
      <w:r>
        <w:rPr>
          <w:rFonts w:cstheme="minorHAnsi"/>
          <w:color w:val="auto"/>
          <w:szCs w:val="22"/>
        </w:rPr>
        <w:t xml:space="preserve"> </w:t>
      </w:r>
      <w:r w:rsidR="00600968">
        <w:rPr>
          <w:rFonts w:cstheme="minorHAnsi"/>
          <w:color w:val="auto"/>
          <w:szCs w:val="22"/>
        </w:rPr>
        <w:t>(</w:t>
      </w:r>
      <w:r w:rsidRPr="00DE5666">
        <w:rPr>
          <w:rFonts w:cstheme="minorHAnsi"/>
          <w:i/>
          <w:iCs/>
          <w:color w:val="auto"/>
          <w:szCs w:val="22"/>
        </w:rPr>
        <w:t xml:space="preserve">Refer to Measure 5 for </w:t>
      </w:r>
      <w:r w:rsidR="00FF17DA" w:rsidRPr="00DE5666">
        <w:rPr>
          <w:rFonts w:cstheme="minorHAnsi"/>
          <w:i/>
          <w:iCs/>
          <w:color w:val="auto"/>
          <w:szCs w:val="22"/>
        </w:rPr>
        <w:t>further information</w:t>
      </w:r>
      <w:r w:rsidRPr="00DE5666">
        <w:rPr>
          <w:rFonts w:cstheme="minorHAnsi"/>
          <w:i/>
          <w:iCs/>
          <w:color w:val="auto"/>
          <w:szCs w:val="22"/>
        </w:rPr>
        <w:t>.</w:t>
      </w:r>
      <w:r w:rsidR="00600968">
        <w:rPr>
          <w:rFonts w:cstheme="minorHAnsi"/>
          <w:color w:val="auto"/>
          <w:szCs w:val="22"/>
        </w:rPr>
        <w:t>)</w:t>
      </w:r>
    </w:p>
    <w:p w14:paraId="0DC93A82" w14:textId="77777777" w:rsidR="007B7153" w:rsidRPr="00AB00A9" w:rsidRDefault="007B7153" w:rsidP="007B7153">
      <w:pPr>
        <w:pStyle w:val="Heading3"/>
        <w:spacing w:before="240" w:line="240" w:lineRule="auto"/>
        <w:rPr>
          <w:kern w:val="2"/>
        </w:rPr>
      </w:pPr>
      <w:bookmarkStart w:id="50" w:name="_Toc224730885"/>
      <w:r>
        <w:rPr>
          <w:kern w:val="2"/>
        </w:rPr>
        <w:t>Existing development approvals which have not been acted upon and identify key barriers to the delivery of approved housing</w:t>
      </w:r>
      <w:bookmarkEnd w:id="50"/>
    </w:p>
    <w:p w14:paraId="7BD6530E" w14:textId="7B7D5BA7" w:rsidR="007B7153" w:rsidRDefault="007B7153" w:rsidP="007B7153">
      <w:pPr>
        <w:spacing w:before="120" w:after="0"/>
        <w:rPr>
          <w:rFonts w:cstheme="minorHAnsi"/>
          <w:color w:val="auto"/>
          <w:szCs w:val="22"/>
        </w:rPr>
      </w:pPr>
      <w:r w:rsidRPr="00144368">
        <w:rPr>
          <w:rFonts w:cstheme="minorHAnsi"/>
          <w:color w:val="auto"/>
          <w:szCs w:val="22"/>
        </w:rPr>
        <w:t>Barriers include having the infrastructure in place to support new development, the capacity and ability of the development sector to deliver projects, financial modelling and the impact of interest rate rises and the incentive to hold on to sites due to increasing land values.</w:t>
      </w:r>
    </w:p>
    <w:p w14:paraId="241A304F" w14:textId="13320CE2" w:rsidR="007B7153" w:rsidRDefault="007B7153" w:rsidP="007B7153">
      <w:pPr>
        <w:spacing w:before="120" w:after="0"/>
      </w:pPr>
      <w:r>
        <w:t>A Housing Coordinator</w:t>
      </w:r>
      <w:r w:rsidR="00600968">
        <w:t>-</w:t>
      </w:r>
      <w:r>
        <w:t>General role has been established and coordinates programs and initiatives and consultation with the housing, development and community sector.</w:t>
      </w:r>
    </w:p>
    <w:p w14:paraId="0D487344" w14:textId="0224ED48" w:rsidR="007B7153" w:rsidRDefault="007B7153" w:rsidP="007B7153">
      <w:pPr>
        <w:spacing w:before="120" w:after="0"/>
        <w:rPr>
          <w:rFonts w:cstheme="minorHAnsi"/>
          <w:color w:val="auto"/>
          <w:szCs w:val="22"/>
        </w:rPr>
      </w:pPr>
      <w:r w:rsidRPr="00AA029E">
        <w:lastRenderedPageBreak/>
        <w:t xml:space="preserve">The </w:t>
      </w:r>
      <w:r w:rsidRPr="007B7153">
        <w:rPr>
          <w:i/>
          <w:iCs/>
        </w:rPr>
        <w:t>Planning Act 2023</w:t>
      </w:r>
      <w:r w:rsidRPr="00AA029E">
        <w:t xml:space="preserve"> includes provisions to extend the expiry</w:t>
      </w:r>
      <w:r>
        <w:t xml:space="preserve"> </w:t>
      </w:r>
      <w:r w:rsidRPr="00AA029E">
        <w:t xml:space="preserve">timeframes for a development approval (the construction period). Section 211 of the Act allows the Authority to extend the construction period up to a total maximum of </w:t>
      </w:r>
      <w:r w:rsidR="00FA30E9">
        <w:t>7</w:t>
      </w:r>
      <w:r w:rsidR="00FA30E9" w:rsidRPr="00AA029E">
        <w:t xml:space="preserve"> </w:t>
      </w:r>
      <w:r w:rsidRPr="00AA029E">
        <w:t>years.</w:t>
      </w:r>
    </w:p>
    <w:p w14:paraId="1DEC64CE" w14:textId="6ED575B5" w:rsidR="00475752" w:rsidRPr="00AB00A9" w:rsidRDefault="00475752" w:rsidP="00475752">
      <w:pPr>
        <w:pStyle w:val="Heading3"/>
        <w:spacing w:before="240" w:line="240" w:lineRule="auto"/>
        <w:rPr>
          <w:kern w:val="2"/>
        </w:rPr>
      </w:pPr>
      <w:bookmarkStart w:id="51" w:name="_Toc224730886"/>
      <w:r>
        <w:rPr>
          <w:kern w:val="2"/>
        </w:rPr>
        <w:t>Reforms to social and affordable housing approval pathways</w:t>
      </w:r>
      <w:bookmarkEnd w:id="51"/>
    </w:p>
    <w:p w14:paraId="54F016ED" w14:textId="1FE1A200" w:rsidR="00475752" w:rsidRPr="00475752" w:rsidRDefault="00475752" w:rsidP="00475752">
      <w:pPr>
        <w:spacing w:after="0"/>
        <w:rPr>
          <w:rFonts w:cstheme="minorHAnsi"/>
          <w:color w:val="auto"/>
          <w:szCs w:val="22"/>
        </w:rPr>
      </w:pPr>
      <w:r w:rsidRPr="00475752">
        <w:rPr>
          <w:rFonts w:cstheme="minorHAnsi"/>
          <w:color w:val="auto"/>
          <w:szCs w:val="22"/>
        </w:rPr>
        <w:t>The reforms mentioned above in relation to Territory Priority Projects and Build-to-rent (</w:t>
      </w:r>
      <w:r w:rsidRPr="00DE5666">
        <w:rPr>
          <w:rFonts w:cstheme="minorHAnsi"/>
          <w:i/>
          <w:iCs/>
          <w:color w:val="auto"/>
          <w:szCs w:val="22"/>
        </w:rPr>
        <w:t xml:space="preserve">refer </w:t>
      </w:r>
      <w:r w:rsidR="00600968" w:rsidRPr="00DE5666">
        <w:rPr>
          <w:rFonts w:cstheme="minorHAnsi"/>
          <w:i/>
          <w:iCs/>
          <w:color w:val="auto"/>
          <w:szCs w:val="22"/>
        </w:rPr>
        <w:t xml:space="preserve">to </w:t>
      </w:r>
      <w:r w:rsidRPr="00DE5666">
        <w:rPr>
          <w:rFonts w:cstheme="minorHAnsi"/>
          <w:i/>
          <w:iCs/>
          <w:color w:val="auto"/>
          <w:szCs w:val="22"/>
        </w:rPr>
        <w:t>Measure 5</w:t>
      </w:r>
      <w:r w:rsidRPr="00475752">
        <w:rPr>
          <w:rFonts w:cstheme="minorHAnsi"/>
          <w:color w:val="auto"/>
          <w:szCs w:val="22"/>
        </w:rPr>
        <w:t>) will help improve the approval pathways for social and affordable housing</w:t>
      </w:r>
      <w:r>
        <w:rPr>
          <w:rFonts w:cstheme="minorHAnsi"/>
          <w:color w:val="auto"/>
          <w:szCs w:val="22"/>
        </w:rPr>
        <w:t>.</w:t>
      </w:r>
    </w:p>
    <w:p w14:paraId="6C104DEE" w14:textId="7CF0EA7D" w:rsidR="00B3354D" w:rsidRPr="00AB00A9" w:rsidRDefault="006D64C9" w:rsidP="006136C1">
      <w:pPr>
        <w:pStyle w:val="Heading3"/>
        <w:spacing w:before="240" w:line="240" w:lineRule="auto"/>
        <w:rPr>
          <w:kern w:val="2"/>
        </w:rPr>
      </w:pPr>
      <w:bookmarkStart w:id="52" w:name="_Toc224730887"/>
      <w:bookmarkStart w:id="53" w:name="_Hlk184371646"/>
      <w:r w:rsidRPr="00AB00A9">
        <w:rPr>
          <w:kern w:val="2"/>
        </w:rPr>
        <w:t>Key b</w:t>
      </w:r>
      <w:r w:rsidR="00B3354D" w:rsidRPr="00AB00A9">
        <w:rPr>
          <w:kern w:val="2"/>
        </w:rPr>
        <w:t>arriers to the timely issuing of development approvals</w:t>
      </w:r>
      <w:bookmarkEnd w:id="52"/>
    </w:p>
    <w:bookmarkEnd w:id="53"/>
    <w:p w14:paraId="1B061705" w14:textId="1A1E1625" w:rsidR="00475752" w:rsidRDefault="00BE5985" w:rsidP="00DE5666">
      <w:pPr>
        <w:spacing w:before="120" w:after="120"/>
      </w:pPr>
      <w:r w:rsidRPr="00BE5985">
        <w:t>As part of the development assessment process</w:t>
      </w:r>
      <w:r w:rsidR="00A209DB">
        <w:t>,</w:t>
      </w:r>
      <w:r w:rsidRPr="00BE5985">
        <w:t xml:space="preserve"> referrals to other entities have been flagged as a barrier in that </w:t>
      </w:r>
      <w:r w:rsidR="00A209DB">
        <w:t>this</w:t>
      </w:r>
      <w:r w:rsidRPr="00BE5985">
        <w:t xml:space="preserve"> can take time (beyond the statutory timeframe) and raises matters that conflict with others and require resolution</w:t>
      </w:r>
      <w:r w:rsidR="00A209DB">
        <w:t>, like</w:t>
      </w:r>
      <w:r w:rsidRPr="00BE5985">
        <w:t xml:space="preserve"> environmental considerations, conditions and timing for utility provision. Consultation with key stakeholders</w:t>
      </w:r>
      <w:r w:rsidR="00A209DB">
        <w:t>, like</w:t>
      </w:r>
      <w:r w:rsidRPr="00BE5985">
        <w:t xml:space="preserve"> the Conservator of Flora and Fauna, ACT Heritage, utilities and the community </w:t>
      </w:r>
      <w:r w:rsidR="00B73E04" w:rsidRPr="00BE5985">
        <w:t>have</w:t>
      </w:r>
      <w:r w:rsidRPr="00BE5985">
        <w:t xml:space="preserve"> the potential to delay development approvals.</w:t>
      </w:r>
    </w:p>
    <w:p w14:paraId="0EA91331" w14:textId="7358731F" w:rsidR="003425B7" w:rsidRDefault="003425B7" w:rsidP="00DE5666">
      <w:pPr>
        <w:spacing w:before="120" w:after="120"/>
      </w:pPr>
      <w:r>
        <w:t xml:space="preserve">The ACT </w:t>
      </w:r>
      <w:r w:rsidRPr="003425B7">
        <w:t xml:space="preserve">is undertaking projects to streamline development assessment and planning processes to effectively deliver shovel-ready decisions </w:t>
      </w:r>
      <w:r>
        <w:t>to enable accelerated housing delivery to meet the</w:t>
      </w:r>
      <w:r w:rsidR="0080064B">
        <w:t xml:space="preserve"> aspirational targets of the National Housing Accord.</w:t>
      </w:r>
      <w:r>
        <w:t xml:space="preserve"> </w:t>
      </w:r>
    </w:p>
    <w:p w14:paraId="73F30CC2" w14:textId="0B67496F" w:rsidR="0020170F" w:rsidRPr="002663D3" w:rsidRDefault="0020170F" w:rsidP="00DE5666">
      <w:pPr>
        <w:spacing w:before="120" w:after="120"/>
        <w:rPr>
          <w:color w:val="auto"/>
        </w:rPr>
      </w:pPr>
      <w:r>
        <w:t>Work has already been completed to document an end-to-end planning and development system process map, capturing everything from pre-development application, to sale, or use-of a new development. This has facilitated key observations around opportunities to establish a high</w:t>
      </w:r>
      <w:r>
        <w:noBreakHyphen/>
        <w:t>level system to track and manage the decision processes while ensuring that statutory decision makers maintain their independence. Work is also progressing to improve coordination of tasks across teams.</w:t>
      </w:r>
    </w:p>
    <w:p w14:paraId="4E3D74D3" w14:textId="0DD0FA5B" w:rsidR="0020170F" w:rsidRDefault="0020170F" w:rsidP="00DE5666">
      <w:pPr>
        <w:spacing w:before="120" w:after="120"/>
      </w:pPr>
      <w:r>
        <w:t>A first tranche of reforms is currently being progressed with implementation anticipated over</w:t>
      </w:r>
      <w:r w:rsidR="00600968">
        <w:t xml:space="preserve"> the</w:t>
      </w:r>
      <w:r>
        <w:t xml:space="preserve"> coming months. </w:t>
      </w:r>
    </w:p>
    <w:p w14:paraId="71344707" w14:textId="13AB7067" w:rsidR="003425B7" w:rsidRPr="003425B7" w:rsidRDefault="003425B7" w:rsidP="00DE5666">
      <w:pPr>
        <w:spacing w:before="120" w:after="120"/>
      </w:pPr>
      <w:r w:rsidRPr="003425B7">
        <w:t>As part of this review project, options are being explored for streamline</w:t>
      </w:r>
      <w:r w:rsidR="00A209DB">
        <w:t>d</w:t>
      </w:r>
      <w:r w:rsidRPr="003425B7">
        <w:t xml:space="preserve"> asset acceptance, unit titling and approvals for environmental management on building sites. </w:t>
      </w:r>
    </w:p>
    <w:p w14:paraId="7D95D50B" w14:textId="1ECAE4DB" w:rsidR="003425B7" w:rsidRPr="003425B7" w:rsidRDefault="003425B7" w:rsidP="00DE5666">
      <w:pPr>
        <w:spacing w:before="120" w:after="120"/>
      </w:pPr>
      <w:r w:rsidRPr="003425B7">
        <w:t xml:space="preserve">A risk-based approach is </w:t>
      </w:r>
      <w:r>
        <w:t>being used</w:t>
      </w:r>
      <w:r w:rsidRPr="003425B7">
        <w:t xml:space="preserve"> to drive simpler approvals for low-risk proposals, while increasing internal coordination and redirecting resources away from low-risk assessments to the more complex assessment proposals. </w:t>
      </w:r>
    </w:p>
    <w:p w14:paraId="781B10C9" w14:textId="6DAD902D" w:rsidR="003425B7" w:rsidRPr="003425B7" w:rsidRDefault="003425B7" w:rsidP="00DE5666">
      <w:pPr>
        <w:spacing w:before="120" w:after="120"/>
      </w:pPr>
      <w:r w:rsidRPr="003425B7">
        <w:t xml:space="preserve">The creation of the City and Environment Directorate further demonstrates </w:t>
      </w:r>
      <w:r w:rsidR="00A209DB">
        <w:t xml:space="preserve">the government’s </w:t>
      </w:r>
      <w:r w:rsidRPr="003425B7">
        <w:t xml:space="preserve">commitment to lasting reform. By bringing together planning, environment and city services functions, the </w:t>
      </w:r>
      <w:r w:rsidR="00A209DB">
        <w:t xml:space="preserve">ACT </w:t>
      </w:r>
      <w:r w:rsidRPr="003425B7">
        <w:t>Government is better positioned to coordinate approvals, manage referrals and provide clearer pathways for applicants. This is a structural reform that strengthens service provision for both</w:t>
      </w:r>
      <w:r w:rsidR="00420CC3">
        <w:t xml:space="preserve"> </w:t>
      </w:r>
      <w:r w:rsidRPr="003425B7">
        <w:t>industry and the community.</w:t>
      </w:r>
    </w:p>
    <w:p w14:paraId="2F724DAD" w14:textId="2EB0BCC6" w:rsidR="00736B50" w:rsidRDefault="007B7153" w:rsidP="00B12CFD">
      <w:pPr>
        <w:pStyle w:val="Heading3"/>
      </w:pPr>
      <w:bookmarkStart w:id="54" w:name="_Toc224730888"/>
      <w:r>
        <w:t>I</w:t>
      </w:r>
      <w:r w:rsidR="00B12CFD">
        <w:t>nitiatives to share planning data and analysis to identify gaps and improve housing delivery</w:t>
      </w:r>
      <w:bookmarkEnd w:id="54"/>
    </w:p>
    <w:p w14:paraId="69A7A2D3" w14:textId="36811059" w:rsidR="002900E8" w:rsidRDefault="00B91478" w:rsidP="00E72B73">
      <w:pPr>
        <w:spacing w:before="120"/>
      </w:pPr>
      <w:bookmarkStart w:id="55" w:name="_Hlk184292442"/>
      <w:r w:rsidRPr="00B91478">
        <w:t>The ACT is continuing to support sharing of data, where available, across jurisdictions. This includes through reporting on the National Agreement on Social Housing and Homelessness, Report on Government Services and Housing Support Program Priority Works stream.</w:t>
      </w:r>
      <w:bookmarkEnd w:id="55"/>
    </w:p>
    <w:p w14:paraId="48D329D3" w14:textId="062A71F6" w:rsidR="002900E8" w:rsidRPr="00043588" w:rsidRDefault="00043588" w:rsidP="00043588">
      <w:pPr>
        <w:pStyle w:val="Heading3"/>
      </w:pPr>
      <w:bookmarkStart w:id="56" w:name="_Toc224730889"/>
      <w:r w:rsidRPr="00A3025B">
        <w:lastRenderedPageBreak/>
        <w:t>ACT</w:t>
      </w:r>
      <w:r w:rsidR="00E72B73" w:rsidRPr="00A3025B">
        <w:t>’s</w:t>
      </w:r>
      <w:r w:rsidRPr="00A3025B">
        <w:t xml:space="preserve"> position on the phased introduction of inclusionary zoning and other specialist housing </w:t>
      </w:r>
      <w:r w:rsidR="00E97B02" w:rsidRPr="00A3025B">
        <w:t xml:space="preserve">in </w:t>
      </w:r>
      <w:r w:rsidRPr="00A3025B">
        <w:t>development</w:t>
      </w:r>
      <w:bookmarkEnd w:id="56"/>
    </w:p>
    <w:p w14:paraId="734B8EB0" w14:textId="722AFBF4" w:rsidR="0080064B" w:rsidRPr="00AA4ECF" w:rsidRDefault="0080064B" w:rsidP="00E97B02">
      <w:pPr>
        <w:spacing w:before="0" w:after="140"/>
        <w:rPr>
          <w:kern w:val="2"/>
        </w:rPr>
      </w:pPr>
      <w:bookmarkStart w:id="57" w:name="_Hlk214277163"/>
      <w:r>
        <w:rPr>
          <w:kern w:val="2"/>
        </w:rPr>
        <w:t>The ACT Government has previously considered the potential to introduce inclusionary zoning and considered that the current planning system includes mechanisms that achieve the same objectives. However</w:t>
      </w:r>
      <w:r w:rsidR="00A209DB">
        <w:rPr>
          <w:kern w:val="2"/>
        </w:rPr>
        <w:t>,</w:t>
      </w:r>
      <w:r>
        <w:rPr>
          <w:kern w:val="2"/>
        </w:rPr>
        <w:t xml:space="preserve"> this may be reconsidered as further reforms to the ACT planning system are identified. </w:t>
      </w:r>
    </w:p>
    <w:bookmarkEnd w:id="57"/>
    <w:p w14:paraId="4C50B9A5" w14:textId="7F0C6BDE" w:rsidR="00AA4ECF" w:rsidRPr="00AA4ECF" w:rsidRDefault="00AA4ECF" w:rsidP="00E97B02">
      <w:pPr>
        <w:spacing w:before="0" w:after="140"/>
        <w:rPr>
          <w:kern w:val="2"/>
        </w:rPr>
      </w:pPr>
      <w:r w:rsidRPr="00AA4ECF">
        <w:rPr>
          <w:kern w:val="2"/>
        </w:rPr>
        <w:t xml:space="preserve">The ACT approach to planning for increased housing supply (including social and affordable housing), greater housing diversity </w:t>
      </w:r>
      <w:r w:rsidR="00FF17DA">
        <w:rPr>
          <w:kern w:val="2"/>
        </w:rPr>
        <w:t xml:space="preserve">and </w:t>
      </w:r>
      <w:r w:rsidRPr="00AA4ECF">
        <w:rPr>
          <w:kern w:val="2"/>
        </w:rPr>
        <w:t>improved housing affordability is through embedding these priorities within the ACT’s new planning system</w:t>
      </w:r>
      <w:r w:rsidR="00A209DB">
        <w:rPr>
          <w:kern w:val="2"/>
        </w:rPr>
        <w:t xml:space="preserve">. This includes </w:t>
      </w:r>
      <w:r w:rsidRPr="00AA4ECF">
        <w:rPr>
          <w:kern w:val="2"/>
        </w:rPr>
        <w:t xml:space="preserve">through a combination of strategic planning (district strategies), statutory planning provisions and design guides. </w:t>
      </w:r>
    </w:p>
    <w:p w14:paraId="3D37EF96" w14:textId="1A9316AA" w:rsidR="00BD495D" w:rsidRPr="00AB00A9" w:rsidRDefault="00AA4ECF" w:rsidP="00E72B73">
      <w:pPr>
        <w:spacing w:before="0" w:after="140"/>
        <w:rPr>
          <w:kern w:val="2"/>
        </w:rPr>
      </w:pPr>
      <w:r w:rsidRPr="00E97B02">
        <w:rPr>
          <w:kern w:val="2"/>
        </w:rPr>
        <w:t>The ACT Government sets targets for public, community and affordable housing for government land releases</w:t>
      </w:r>
      <w:r w:rsidR="00BB17C2">
        <w:rPr>
          <w:kern w:val="2"/>
        </w:rPr>
        <w:t xml:space="preserve">, as part of development </w:t>
      </w:r>
      <w:r w:rsidR="003C3930">
        <w:rPr>
          <w:kern w:val="2"/>
        </w:rPr>
        <w:t>of the Housing Supply and Land Release Program</w:t>
      </w:r>
      <w:r w:rsidRPr="00E97B02">
        <w:rPr>
          <w:kern w:val="2"/>
        </w:rPr>
        <w:t xml:space="preserve">. Developers who buy the land must construct some or </w:t>
      </w:r>
      <w:proofErr w:type="gramStart"/>
      <w:r w:rsidRPr="00E97B02">
        <w:rPr>
          <w:kern w:val="2"/>
        </w:rPr>
        <w:t>all of</w:t>
      </w:r>
      <w:proofErr w:type="gramEnd"/>
      <w:r w:rsidRPr="00E97B02">
        <w:rPr>
          <w:kern w:val="2"/>
        </w:rPr>
        <w:t xml:space="preserve"> the dwellings as public, community or affordable housing and sell or transfer the dwellings to Housing ACT, community housing providers or low-income families.</w:t>
      </w:r>
      <w:bookmarkStart w:id="58" w:name="_Toc160799716"/>
      <w:bookmarkStart w:id="59" w:name="_Toc168064978"/>
      <w:bookmarkStart w:id="60" w:name="_Toc168065289"/>
      <w:bookmarkEnd w:id="46"/>
      <w:bookmarkEnd w:id="47"/>
      <w:bookmarkEnd w:id="48"/>
    </w:p>
    <w:bookmarkEnd w:id="58"/>
    <w:bookmarkEnd w:id="59"/>
    <w:bookmarkEnd w:id="60"/>
    <w:p w14:paraId="5BD7D700" w14:textId="593E051C" w:rsidR="00475752" w:rsidRDefault="00475752">
      <w:pPr>
        <w:spacing w:before="0" w:after="160" w:line="259" w:lineRule="auto"/>
        <w:rPr>
          <w:kern w:val="2"/>
        </w:rPr>
      </w:pPr>
    </w:p>
    <w:sectPr w:rsidR="00475752" w:rsidSect="00BD495D">
      <w:headerReference w:type="even" r:id="rId34"/>
      <w:headerReference w:type="default" r:id="rId35"/>
      <w:footerReference w:type="even" r:id="rId36"/>
      <w:footerReference w:type="default" r:id="rId37"/>
      <w:headerReference w:type="first" r:id="rId38"/>
      <w:footerReference w:type="first" r:id="rId39"/>
      <w:pgSz w:w="11906" w:h="16838" w:code="9"/>
      <w:pgMar w:top="1134" w:right="1418" w:bottom="1135" w:left="1418" w:header="709" w:footer="58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A51D" w14:textId="77777777" w:rsidR="002D058F" w:rsidRDefault="002D058F">
      <w:pPr>
        <w:spacing w:before="0" w:after="0"/>
      </w:pPr>
      <w:r>
        <w:separator/>
      </w:r>
    </w:p>
    <w:p w14:paraId="20BC1F8E" w14:textId="77777777" w:rsidR="002D058F" w:rsidRDefault="002D058F"/>
  </w:endnote>
  <w:endnote w:type="continuationSeparator" w:id="0">
    <w:p w14:paraId="3C431AD3" w14:textId="77777777" w:rsidR="002D058F" w:rsidRDefault="002D058F">
      <w:pPr>
        <w:spacing w:before="0" w:after="0"/>
      </w:pPr>
      <w:r>
        <w:continuationSeparator/>
      </w:r>
    </w:p>
    <w:p w14:paraId="7568F248" w14:textId="77777777" w:rsidR="002D058F" w:rsidRDefault="002D058F"/>
  </w:endnote>
  <w:endnote w:type="continuationNotice" w:id="1">
    <w:p w14:paraId="30F0B495" w14:textId="77777777" w:rsidR="002D058F" w:rsidRDefault="002D058F">
      <w:pPr>
        <w:spacing w:before="0" w:after="0"/>
      </w:pPr>
    </w:p>
    <w:p w14:paraId="1D4C94E4" w14:textId="77777777" w:rsidR="002D058F" w:rsidRDefault="002D0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7BEA" w14:textId="5E62412F" w:rsidR="00CA1B3E" w:rsidRDefault="00027C6F">
    <w:pPr>
      <w:pStyle w:val="Footer"/>
      <w:jc w:val="right"/>
    </w:pPr>
    <w:r>
      <w:rPr>
        <w:noProof/>
      </w:rPr>
      <mc:AlternateContent>
        <mc:Choice Requires="wps">
          <w:drawing>
            <wp:anchor distT="0" distB="0" distL="0" distR="0" simplePos="0" relativeHeight="251658250" behindDoc="0" locked="0" layoutInCell="1" allowOverlap="1" wp14:anchorId="7A6B8EA6" wp14:editId="1017AB47">
              <wp:simplePos x="635" y="635"/>
              <wp:positionH relativeFrom="page">
                <wp:align>center</wp:align>
              </wp:positionH>
              <wp:positionV relativeFrom="page">
                <wp:align>bottom</wp:align>
              </wp:positionV>
              <wp:extent cx="551815" cy="528955"/>
              <wp:effectExtent l="0" t="0" r="635" b="0"/>
              <wp:wrapNone/>
              <wp:docPr id="173865566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7450D7A3" w14:textId="5C6D8977"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B8EA6"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41.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YX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fOp+D80Zh3Iw7ttbvumw9Jb58MIcLhjnQNGG&#10;Zzykgr6mcLEoacH9+Js/5iPvGKWkR8HU1KCiKVHfDO4jamsy3GTsk1Hc5WWOcXPUD4AyLPBFWJ5M&#10;9LqgJlM60G8o53UshCFmOJar6X4yH8KoXHwOXKzXKQllZFnYmp3lETrSFbl8Hd6YsxfCA27qCSY1&#10;seod72NuvOnt+hiQ/bSUSO1I5IVxlGBa6+W5RI3/+p+ybo969RM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TilhcNAgAAHAQA&#10;AA4AAAAAAAAAAAAAAAAALgIAAGRycy9lMm9Eb2MueG1sUEsBAi0AFAAGAAgAAAAhAE1UBTfaAAAA&#10;AwEAAA8AAAAAAAAAAAAAAAAAZwQAAGRycy9kb3ducmV2LnhtbFBLBQYAAAAABAAEAPMAAABuBQAA&#10;AAA=&#10;" filled="f" stroked="f">
              <v:textbox style="mso-fit-shape-to-text:t" inset="0,0,0,15pt">
                <w:txbxContent>
                  <w:p w14:paraId="7450D7A3" w14:textId="5C6D8977"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sdt>
    <w:sdtPr>
      <w:id w:val="-1213956195"/>
      <w:docPartObj>
        <w:docPartGallery w:val="Page Numbers (Bottom of Page)"/>
        <w:docPartUnique/>
      </w:docPartObj>
    </w:sdtPr>
    <w:sdtEndPr>
      <w:rPr>
        <w:noProof/>
      </w:rPr>
    </w:sdtEndPr>
    <w:sdtContent>
      <w:p w14:paraId="2EA01F45" w14:textId="77777777" w:rsidR="00CA1B3E" w:rsidRDefault="00CA1B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B179" w14:textId="1C60EEF2" w:rsidR="00027C6F" w:rsidRDefault="00027C6F">
    <w:pPr>
      <w:pStyle w:val="Footer"/>
    </w:pPr>
    <w:r>
      <w:rPr>
        <w:noProof/>
      </w:rPr>
      <mc:AlternateContent>
        <mc:Choice Requires="wps">
          <w:drawing>
            <wp:anchor distT="0" distB="0" distL="0" distR="0" simplePos="0" relativeHeight="251658251" behindDoc="0" locked="0" layoutInCell="1" allowOverlap="1" wp14:anchorId="4DBB7615" wp14:editId="7BF2908E">
              <wp:simplePos x="635" y="635"/>
              <wp:positionH relativeFrom="page">
                <wp:align>center</wp:align>
              </wp:positionH>
              <wp:positionV relativeFrom="page">
                <wp:align>bottom</wp:align>
              </wp:positionV>
              <wp:extent cx="551815" cy="528955"/>
              <wp:effectExtent l="0" t="0" r="635" b="0"/>
              <wp:wrapNone/>
              <wp:docPr id="64445268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04CD614" w14:textId="3EBD7024"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B7615"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41.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Qq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E1NP0/d76E541AOxn17yzcdlt4yH56YwwXjHCja&#10;8IiHVNDXFC4WJS24n3/zx3zkHaOU9CiYmhpUNCXqu8F9RG1NhpuMfTKKm7zMMW6O+g5QhgW+CMuT&#10;iV4X1GRKB/oF5byOhTDEDMdyNd1P5l0YlYvPgYv1OiWhjCwLW7OzPEJHuiKXz8MLc/ZCeMBNPcCk&#10;Jla9433MjTe9XR8Dsp+WEqkdibwwjhJMa708l6jxt/8p6/qoV7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ZXSQqDgIAABwE&#10;AAAOAAAAAAAAAAAAAAAAAC4CAABkcnMvZTJvRG9jLnhtbFBLAQItABQABgAIAAAAIQBNVAU32gAA&#10;AAMBAAAPAAAAAAAAAAAAAAAAAGgEAABkcnMvZG93bnJldi54bWxQSwUGAAAAAAQABADzAAAAbwUA&#10;AAAA&#10;" filled="f" stroked="f">
              <v:textbox style="mso-fit-shape-to-text:t" inset="0,0,0,15pt">
                <w:txbxContent>
                  <w:p w14:paraId="204CD614" w14:textId="3EBD7024"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EA07" w14:textId="1B75FAE7" w:rsidR="00027C6F" w:rsidRDefault="00027C6F">
    <w:pPr>
      <w:pStyle w:val="Footer"/>
    </w:pPr>
    <w:r>
      <w:rPr>
        <w:noProof/>
      </w:rPr>
      <mc:AlternateContent>
        <mc:Choice Requires="wps">
          <w:drawing>
            <wp:anchor distT="0" distB="0" distL="0" distR="0" simplePos="0" relativeHeight="251658249" behindDoc="0" locked="0" layoutInCell="1" allowOverlap="1" wp14:anchorId="18272079" wp14:editId="5C9BA471">
              <wp:simplePos x="903383" y="10091451"/>
              <wp:positionH relativeFrom="page">
                <wp:align>center</wp:align>
              </wp:positionH>
              <wp:positionV relativeFrom="page">
                <wp:align>bottom</wp:align>
              </wp:positionV>
              <wp:extent cx="551815" cy="528955"/>
              <wp:effectExtent l="0" t="0" r="635" b="0"/>
              <wp:wrapNone/>
              <wp:docPr id="206982502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4A369CAA" w14:textId="2C2507C4"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272079"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41.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oun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sHiU/d7aM44lINx397yTYelt8yHF+ZwwTgHijY8&#10;4yEV9DWFi0VJC+7H3/wxH3nHKCU9CqamBhVNifpmcB9RW5PhJmOfjOIuL3OMm6N+AJRhgS/C8mSi&#10;1wU1mdKBfkM5r2MhDDHDsVxN95P5EEbl4nPgYr1OSSgjy8LW7CyP0JGuyOXr8MacvRAecFNPMKmJ&#10;Ve94H3PjTW/Xx4Dsp6VEakciL4yjBNNaL88lavzX/5R1e9SrnwA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fei6cNAgAAHAQA&#10;AA4AAAAAAAAAAAAAAAAALgIAAGRycy9lMm9Eb2MueG1sUEsBAi0AFAAGAAgAAAAhAE1UBTfaAAAA&#10;AwEAAA8AAAAAAAAAAAAAAAAAZwQAAGRycy9kb3ducmV2LnhtbFBLBQYAAAAABAAEAPMAAABuBQAA&#10;AAA=&#10;" filled="f" stroked="f">
              <v:textbox style="mso-fit-shape-to-text:t" inset="0,0,0,15pt">
                <w:txbxContent>
                  <w:p w14:paraId="4A369CAA" w14:textId="2C2507C4"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8963" w14:textId="7F9014D2" w:rsidR="00027C6F" w:rsidRDefault="00027C6F">
    <w:pPr>
      <w:pStyle w:val="Footer"/>
    </w:pPr>
    <w:r>
      <w:rPr>
        <w:noProof/>
      </w:rPr>
      <mc:AlternateContent>
        <mc:Choice Requires="wps">
          <w:drawing>
            <wp:anchor distT="0" distB="0" distL="0" distR="0" simplePos="0" relativeHeight="251658253" behindDoc="0" locked="0" layoutInCell="1" allowOverlap="1" wp14:anchorId="557BAFD4" wp14:editId="5790FADA">
              <wp:simplePos x="635" y="635"/>
              <wp:positionH relativeFrom="page">
                <wp:align>center</wp:align>
              </wp:positionH>
              <wp:positionV relativeFrom="page">
                <wp:align>bottom</wp:align>
              </wp:positionV>
              <wp:extent cx="551815" cy="528955"/>
              <wp:effectExtent l="0" t="0" r="635" b="0"/>
              <wp:wrapNone/>
              <wp:docPr id="9441254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FE03B94" w14:textId="785A569B"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BAFD4" id="_x0000_t202" coordsize="21600,21600" o:spt="202" path="m,l,21600r21600,l21600,xe">
              <v:stroke joinstyle="miter"/>
              <v:path gradientshapeok="t" o:connecttype="rect"/>
            </v:shapetype>
            <v:shape id="Text Box 14" o:spid="_x0000_s1034" type="#_x0000_t202" alt="OFFICIAL" style="position:absolute;left:0;text-align:left;margin-left:0;margin-top:0;width:43.45pt;height:41.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da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Yup+D80Zh3Iw7ttbvumw9Jb58MIcLhjnQNGG&#10;Zzykgr6mcLEoacH9+Js/5iPvGKWkR8HU1KCiKVHfDO4jamsy3GTsk1Hc5WWOcXPUD4AyLPBFWJ5M&#10;9LqgJlM60G8o53UshCFmOJar6X4yH8KoXHwOXKzXKQllZFnYmp3lETrSFbl8Hd6YsxfCA27qCSY1&#10;seod72NuvOnt+hiQ/bSUSO1I5IVxlGBa6+W5RI3/+p+ybo969RM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IdhF1oNAgAAHAQA&#10;AA4AAAAAAAAAAAAAAAAALgIAAGRycy9lMm9Eb2MueG1sUEsBAi0AFAAGAAgAAAAhAE1UBTfaAAAA&#10;AwEAAA8AAAAAAAAAAAAAAAAAZwQAAGRycy9kb3ducmV2LnhtbFBLBQYAAAAABAAEAPMAAABuBQAA&#10;AAA=&#10;" filled="f" stroked="f">
              <v:textbox style="mso-fit-shape-to-text:t" inset="0,0,0,15pt">
                <w:txbxContent>
                  <w:p w14:paraId="1FE03B94" w14:textId="785A569B"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3F55" w14:textId="5F63806C" w:rsidR="00630F8D" w:rsidRDefault="00027C6F" w:rsidP="00AB738A">
    <w:pPr>
      <w:pStyle w:val="FooterOdd"/>
      <w:rPr>
        <w:noProof/>
      </w:rPr>
    </w:pPr>
    <w:r>
      <w:rPr>
        <w:noProof/>
      </w:rPr>
      <mc:AlternateContent>
        <mc:Choice Requires="wps">
          <w:drawing>
            <wp:anchor distT="0" distB="0" distL="0" distR="0" simplePos="0" relativeHeight="251658254" behindDoc="0" locked="0" layoutInCell="1" allowOverlap="1" wp14:anchorId="37938481" wp14:editId="63D1FFA2">
              <wp:simplePos x="903383" y="10091451"/>
              <wp:positionH relativeFrom="page">
                <wp:align>center</wp:align>
              </wp:positionH>
              <wp:positionV relativeFrom="page">
                <wp:align>bottom</wp:align>
              </wp:positionV>
              <wp:extent cx="551815" cy="528955"/>
              <wp:effectExtent l="0" t="0" r="635" b="0"/>
              <wp:wrapNone/>
              <wp:docPr id="177400850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1A63167" w14:textId="5FC1FCEE"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938481"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41.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VnDgIAABwEAAAOAAAAZHJzL2Uyb0RvYy54bWysU8Fu2zAMvQ/YPwi6L7YDeEiMOEXWIsOA&#10;oC3QDj0rshQbkERBUmJnXz9KjpOt22nYRaZJ6pF8fFrdDVqRk3C+A1PTYpZTIgyHpjOHmn5/3X5a&#10;UOIDMw1TYERNz8LTu/XHD6veVmIOLahGOIIgxle9rWkbgq2yzPNWaOZnYIXBoASnWcBfd8gax3pE&#10;1yqb5/nnrAfXWAdceI/ehzFI1wlfSsHDk5ReBKJqir2FdLp07uOZrVesOjhm245f2mD/0IVmncGi&#10;V6gHFhg5uu4PKN1xBx5kmHHQGUjZcZFmwGmK/N00Ly2zIs2C5Hh7pcn/P1j+eHqxz46E4QsMuMBI&#10;SG995dEZ5xmk0/GLnRKMI4XnK21iCISjsyyLRVFSwjFUzhfLsowo2e2ydT58FaBJNGrqcCuJLHba&#10;+TCmTimxloFtp1TajDK/ORAzerJbh9EKw34gXVPT5dT9HpozDuVg3Le3fNth6R3z4Zk5XDDOgaIN&#10;T3hIBX1N4WJR0oL78Td/zEfeMUpJj4KpqUFFU6K+GdxH1NZkuMnYJ6NY5mWOcXPU94AyLPBFWJ5M&#10;9LqgJlM60G8o500shCFmOJar6X4y78OoXHwOXGw2KQllZFnYmRfLI3SkK3L5OrwxZy+EB9zUI0xq&#10;YtU73sfceNPbzTEg+2kpkdqRyAvjKMG01stziRr/9T9l3R71+ic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Dq3qVnDgIAABwE&#10;AAAOAAAAAAAAAAAAAAAAAC4CAABkcnMvZTJvRG9jLnhtbFBLAQItABQABgAIAAAAIQBNVAU32gAA&#10;AAMBAAAPAAAAAAAAAAAAAAAAAGgEAABkcnMvZG93bnJldi54bWxQSwUGAAAAAAQABADzAAAAbwUA&#10;AAAA&#10;" filled="f" stroked="f">
              <v:textbox style="mso-fit-shape-to-text:t" inset="0,0,0,15pt">
                <w:txbxContent>
                  <w:p w14:paraId="01A63167" w14:textId="5FC1FCEE"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fldSimple w:instr="STYLEREF  &quot;Heading 1&quot;  \* MERGEFORMAT">
      <w:r w:rsidR="009666CF">
        <w:rPr>
          <w:noProof/>
        </w:rPr>
        <w:t>Measure 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FE8B" w14:textId="440C58F8" w:rsidR="00027C6F" w:rsidRDefault="00027C6F">
    <w:pPr>
      <w:pStyle w:val="Footer"/>
    </w:pPr>
    <w:r>
      <w:rPr>
        <w:noProof/>
      </w:rPr>
      <mc:AlternateContent>
        <mc:Choice Requires="wps">
          <w:drawing>
            <wp:anchor distT="0" distB="0" distL="0" distR="0" simplePos="0" relativeHeight="251658252" behindDoc="0" locked="0" layoutInCell="1" allowOverlap="1" wp14:anchorId="28BE0D65" wp14:editId="5E8926A9">
              <wp:simplePos x="635" y="635"/>
              <wp:positionH relativeFrom="page">
                <wp:align>center</wp:align>
              </wp:positionH>
              <wp:positionV relativeFrom="page">
                <wp:align>bottom</wp:align>
              </wp:positionV>
              <wp:extent cx="551815" cy="528955"/>
              <wp:effectExtent l="0" t="0" r="635" b="0"/>
              <wp:wrapNone/>
              <wp:docPr id="84458545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6927DE83" w14:textId="39902ACC"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E0D65" id="_x0000_t202" coordsize="21600,21600" o:spt="202" path="m,l,21600r21600,l21600,xe">
              <v:stroke joinstyle="miter"/>
              <v:path gradientshapeok="t" o:connecttype="rect"/>
            </v:shapetype>
            <v:shape id="Text Box 13" o:spid="_x0000_s1037" type="#_x0000_t202" alt="OFFICIAL" style="position:absolute;left:0;text-align:left;margin-left:0;margin-top:0;width:43.45pt;height:41.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R6gDQIAAB0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sHur+3voTnjVA7GhXvLNx3W3jIfXpjDDeMgqNrw&#10;jIdU0NcULhYlLbgff/PHfCQeo5T0qJiaGpQ0JeqbwYVEcU2Gm4x9Moq7vMwxbo76AVCHBT4Jy5OJ&#10;XhfUZEoH+g31vI6FMMQMx3I13U/mQxili++Bi/U6JaGOLAtbs7M8Qke+Ipmvwxtz9sJ4wFU9wSQn&#10;Vr0jfsyNN71dHwPSn7YSuR2JvFCOGkx7vbyXKPJf/1PW7VWvfgI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cJHqANAgAAHQQA&#10;AA4AAAAAAAAAAAAAAAAALgIAAGRycy9lMm9Eb2MueG1sUEsBAi0AFAAGAAgAAAAhAE1UBTfaAAAA&#10;AwEAAA8AAAAAAAAAAAAAAAAAZwQAAGRycy9kb3ducmV2LnhtbFBLBQYAAAAABAAEAPMAAABuBQAA&#10;AAA=&#10;" filled="f" stroked="f">
              <v:textbox style="mso-fit-shape-to-text:t" inset="0,0,0,15pt">
                <w:txbxContent>
                  <w:p w14:paraId="6927DE83" w14:textId="39902ACC"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8E56" w14:textId="1CE3FF44" w:rsidR="00027C6F" w:rsidRDefault="00027C6F">
    <w:pPr>
      <w:pStyle w:val="Footer"/>
    </w:pPr>
    <w:r>
      <w:rPr>
        <w:noProof/>
      </w:rPr>
      <mc:AlternateContent>
        <mc:Choice Requires="wps">
          <w:drawing>
            <wp:anchor distT="0" distB="0" distL="0" distR="0" simplePos="0" relativeHeight="251658256" behindDoc="0" locked="0" layoutInCell="1" allowOverlap="1" wp14:anchorId="71C48F45" wp14:editId="4366E39B">
              <wp:simplePos x="635" y="635"/>
              <wp:positionH relativeFrom="page">
                <wp:align>center</wp:align>
              </wp:positionH>
              <wp:positionV relativeFrom="page">
                <wp:align>bottom</wp:align>
              </wp:positionV>
              <wp:extent cx="551815" cy="528955"/>
              <wp:effectExtent l="0" t="0" r="635" b="0"/>
              <wp:wrapNone/>
              <wp:docPr id="143558798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FC16524" w14:textId="0951DCE4"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48F45" id="_x0000_t202" coordsize="21600,21600" o:spt="202" path="m,l,21600r21600,l21600,xe">
              <v:stroke joinstyle="miter"/>
              <v:path gradientshapeok="t" o:connecttype="rect"/>
            </v:shapetype>
            <v:shape id="Text Box 17" o:spid="_x0000_s1040" type="#_x0000_t202" alt="OFFICIAL" style="position:absolute;left:0;text-align:left;margin-left:0;margin-top:0;width:43.45pt;height:41.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ZrDgIAAB0EAAAOAAAAZHJzL2Uyb0RvYy54bWysU8Fu2zAMvQ/YPwi6L7aDeU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A12/3lqfw/NGadyMC7cW77psPaW+fDEHG4YB0HV&#10;hkc8pIK+pnCxKGnB/fybP+Yj8RilpEfF1NSgpClR3w0uJIprMtxk7JNR3ORljnFz1HeAOizwSVie&#10;TPS6oCZTOtAvqOd1LIQhZjiWq+l+Mu/CKF18D1ys1ykJdWRZ2Jqd5RE68hXJfB5emLMXxgOu6gEm&#10;ObHqHfFjbrzp7foYkP60lcjtSOSFctRg2uvlvUSRv/1PWddXvfoF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CuS2ZrDgIAAB0E&#10;AAAOAAAAAAAAAAAAAAAAAC4CAABkcnMvZTJvRG9jLnhtbFBLAQItABQABgAIAAAAIQBNVAU32gAA&#10;AAMBAAAPAAAAAAAAAAAAAAAAAGgEAABkcnMvZG93bnJldi54bWxQSwUGAAAAAAQABADzAAAAbwUA&#10;AAAA&#10;" filled="f" stroked="f">
              <v:textbox style="mso-fit-shape-to-text:t" inset="0,0,0,15pt">
                <w:txbxContent>
                  <w:p w14:paraId="0FC16524" w14:textId="0951DCE4"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64D" w14:textId="3D13F578" w:rsidR="004852FC" w:rsidRPr="001515FD" w:rsidRDefault="00027C6F" w:rsidP="00AB738A">
    <w:pPr>
      <w:pStyle w:val="FooterOdd"/>
    </w:pPr>
    <w:r>
      <w:rPr>
        <w:noProof/>
      </w:rPr>
      <mc:AlternateContent>
        <mc:Choice Requires="wps">
          <w:drawing>
            <wp:anchor distT="0" distB="0" distL="0" distR="0" simplePos="0" relativeHeight="251658257" behindDoc="0" locked="0" layoutInCell="1" allowOverlap="1" wp14:anchorId="5185B9EB" wp14:editId="3D22609C">
              <wp:simplePos x="901065" y="10168890"/>
              <wp:positionH relativeFrom="page">
                <wp:align>center</wp:align>
              </wp:positionH>
              <wp:positionV relativeFrom="page">
                <wp:align>bottom</wp:align>
              </wp:positionV>
              <wp:extent cx="551815" cy="528955"/>
              <wp:effectExtent l="0" t="0" r="635" b="0"/>
              <wp:wrapNone/>
              <wp:docPr id="2023806726"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12BFD41" w14:textId="2F9F5AEA"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85B9EB" id="_x0000_t202" coordsize="21600,21600" o:spt="202" path="m,l,21600r21600,l21600,xe">
              <v:stroke joinstyle="miter"/>
              <v:path gradientshapeok="t" o:connecttype="rect"/>
            </v:shapetype>
            <v:shape id="Text Box 18" o:spid="_x0000_s1041" type="#_x0000_t202" alt="OFFICIAL" style="position:absolute;left:0;text-align:left;margin-left:0;margin-top:0;width:43.45pt;height:41.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RWDAIAAB0EAAAOAAAAZHJzL2Uyb0RvYy54bWysU8Fu2zAMvQ/YPwi6L7YDeEiNOEXWIsOA&#10;oC2QDj3LshQbkERBUmJnXz9KiZOt22nYRaZJ6pF8fFrej1qRo3C+B1PTYpZTIgyHtjf7mn5/3Xxa&#10;UOIDMy1TYERNT8LT+9XHD8vBVmIOHahWOIIgxleDrWkXgq2yzPNOaOZnYIXBoASnWcBft89axwZE&#10;1yqb5/nnbADXWgdceI/ex3OQrhK+lIKHZym9CETVFHsL6XTpbOKZrZas2jtmu55f2mD/0IVmvcGi&#10;V6hHFhg5uP4PKN1zBx5kmHHQGUjZc5FmwGmK/N00u45ZkWZBcry90uT/Hyx/Ou7siyNh/AIjLjAS&#10;MlhfeXTGeUbpdPxipwTjSOHpSpsYA+HoLMtiUZSUcAyV88VdWUaU7HbZOh++CtAkGjV1uJVEFjtu&#10;fTinTimxloFNr1TajDK/ORAzerJbh9EKYzOSvsXuU+HoaqA94VQOzgv3lm96rL1lPrwwhxvGQVC1&#10;4RkPqWCoKVwsSjpwP/7mj/lIPEYpGVAxNTUoaUrUN4MLieKaDDcZTTKKu7zMMW4O+gFQhwU+CcuT&#10;iV4X1GRKB/oN9byOhTDEDMdyNW0m8yGcpYvvgYv1OiWhjiwLW7OzPEJHviKZr+Mbc/bCeMBVPcEk&#10;J1a9I/6cG296uz4EpD9t5UbkhXLUYNrr5b1Ekf/6n7Jur3r1EwAA//8DAFBLAwQUAAYACAAAACEA&#10;TVQFN9oAAAADAQAADwAAAGRycy9kb3ducmV2LnhtbEyPQU/DMAyF70j8h8hI3FjKKqZRmk5oEqch&#10;pG1cuGWJ1xYap2rcrfv3GC5w8ZP1rPc+l6spdOqEQ2ojGbifZaCQXPQt1Qbe9y93S1CJLXnbRUID&#10;F0ywqq6vSlv4eKYtnnZcKwmhVFgDDXNfaJ1cg8GmWeyRxDvGIViWdai1H+xZwkOn51m20MG2JA2N&#10;7XHdoPvajcHAw5Zfxzfa5x/T/PK56dcuP26cMbc30/MTKMaJ/47hB1/QoRKmQxzJJ9UZkEf4d4q3&#10;XDyCOojmOeiq1P/Zq28AAAD//wMAUEsBAi0AFAAGAAgAAAAhALaDOJL+AAAA4QEAABMAAAAAAAAA&#10;AAAAAAAAAAAAAFtDb250ZW50X1R5cGVzXS54bWxQSwECLQAUAAYACAAAACEAOP0h/9YAAACUAQAA&#10;CwAAAAAAAAAAAAAAAAAvAQAAX3JlbHMvLnJlbHNQSwECLQAUAAYACAAAACEAw/TUVgwCAAAdBAAA&#10;DgAAAAAAAAAAAAAAAAAuAgAAZHJzL2Uyb0RvYy54bWxQSwECLQAUAAYACAAAACEATVQFN9oAAAAD&#10;AQAADwAAAAAAAAAAAAAAAABmBAAAZHJzL2Rvd25yZXYueG1sUEsFBgAAAAAEAAQA8wAAAG0FAAAA&#10;AA==&#10;" filled="f" stroked="f">
              <v:textbox style="mso-fit-shape-to-text:t" inset="0,0,0,15pt">
                <w:txbxContent>
                  <w:p w14:paraId="212BFD41" w14:textId="2F9F5AEA"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fldSimple w:instr="STYLEREF  &quot;Heading 1&quot;  \* MERGEFORMAT">
      <w:r w:rsidR="009666CF">
        <w:rPr>
          <w:noProof/>
        </w:rPr>
        <w:t>Measure 6</w:t>
      </w:r>
    </w:fldSimple>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1625" w14:textId="729A7CFC" w:rsidR="00027C6F" w:rsidRDefault="00027C6F">
    <w:pPr>
      <w:pStyle w:val="Footer"/>
    </w:pPr>
    <w:r>
      <w:rPr>
        <w:noProof/>
      </w:rPr>
      <mc:AlternateContent>
        <mc:Choice Requires="wps">
          <w:drawing>
            <wp:anchor distT="0" distB="0" distL="0" distR="0" simplePos="0" relativeHeight="251658255" behindDoc="0" locked="0" layoutInCell="1" allowOverlap="1" wp14:anchorId="2BB9D00D" wp14:editId="2DBE30BF">
              <wp:simplePos x="635" y="635"/>
              <wp:positionH relativeFrom="page">
                <wp:align>center</wp:align>
              </wp:positionH>
              <wp:positionV relativeFrom="page">
                <wp:align>bottom</wp:align>
              </wp:positionV>
              <wp:extent cx="551815" cy="528955"/>
              <wp:effectExtent l="0" t="0" r="635" b="0"/>
              <wp:wrapNone/>
              <wp:docPr id="14118150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1D3F50E" w14:textId="0B6CD821"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B9D00D" id="_x0000_t202" coordsize="21600,21600" o:spt="202" path="m,l,21600r21600,l21600,xe">
              <v:stroke joinstyle="miter"/>
              <v:path gradientshapeok="t" o:connecttype="rect"/>
            </v:shapetype>
            <v:shape id="Text Box 16" o:spid="_x0000_s1043" type="#_x0000_t202" alt="OFFICIAL" style="position:absolute;left:0;text-align:left;margin-left:0;margin-top:0;width:43.45pt;height:41.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EtDgIAAB0EAAAOAAAAZHJzL2Uyb0RvYy54bWysU8Fu2zAMvQ/YPwi6L7YDeEuNOEXWIsOA&#10;oC2QDj0rshQbkERBUmJnXz9Kjpuu22nYRaZJ6pF8fFreDlqRk3C+A1PTYpZTIgyHpjOHmv543nxa&#10;UOIDMw1TYERNz8LT29XHD8veVmIOLahGOIIgxle9rWkbgq2yzPNWaOZnYIXBoASnWcBfd8gax3pE&#10;1yqb5/nnrAfXWAdceI/e+zFIVwlfSsHDo5ReBKJqir2FdLp07uOZrZasOjhm245f2mD/0IVmncGi&#10;r1D3LDBydN0fULrjDjzIMOOgM5Cy4yLNgNMU+btpdi2zIs2C5Hj7SpP/f7D84bSzT46E4SsMuMBI&#10;SG995dEZ5xmk0/GLnRKMI4XnV9rEEAhHZ1kWi6KkhGOonC9uyjKiZNfL1vnwTYAm0aipw60ksthp&#10;68OYOqXEWgY2nVJpM8r85kDM6MmuHUYrDPuBdA12/2Vqfw/NGadyMC7cW77psPaW+fDEHG4YB0HV&#10;hkc8pIK+pnCxKGnB/fybP+Yj8RilpEfF1NSgpClR3w0uJIprMtxk7JNR3ORljnFz1HeAOizwSVie&#10;TPS6oCZTOtAvqOd1LIQhZjiWq+l+Mu/CKF18D1ys1ykJdWRZ2Jqd5RE68hXJfB5emLMXxgOu6gEm&#10;ObHqHfFjbrzp7foYkP60lcjtSOSFctRg2uvlvUSRv/1PWddXvfoF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ZirEtDgIAAB0E&#10;AAAOAAAAAAAAAAAAAAAAAC4CAABkcnMvZTJvRG9jLnhtbFBLAQItABQABgAIAAAAIQBNVAU32gAA&#10;AAMBAAAPAAAAAAAAAAAAAAAAAGgEAABkcnMvZG93bnJldi54bWxQSwUGAAAAAAQABADzAAAAbwUA&#10;AAAA&#10;" filled="f" stroked="f">
              <v:textbox style="mso-fit-shape-to-text:t" inset="0,0,0,15pt">
                <w:txbxContent>
                  <w:p w14:paraId="11D3F50E" w14:textId="0B6CD821"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B383" w14:textId="77777777" w:rsidR="002D058F" w:rsidRPr="00ED5A20" w:rsidRDefault="002D058F" w:rsidP="000F6233">
      <w:pPr>
        <w:rPr>
          <w:color w:val="58B6C0" w:themeColor="accent2"/>
        </w:rPr>
      </w:pPr>
      <w:r w:rsidRPr="00ED5A20">
        <w:rPr>
          <w:color w:val="58B6C0" w:themeColor="accent2"/>
        </w:rPr>
        <w:separator/>
      </w:r>
    </w:p>
    <w:p w14:paraId="5A20AAAA" w14:textId="77777777" w:rsidR="002D058F" w:rsidRDefault="002D058F"/>
  </w:footnote>
  <w:footnote w:type="continuationSeparator" w:id="0">
    <w:p w14:paraId="616C4A87" w14:textId="77777777" w:rsidR="002D058F" w:rsidRPr="00B737EB" w:rsidRDefault="002D058F">
      <w:pPr>
        <w:spacing w:before="0" w:after="0"/>
        <w:rPr>
          <w:color w:val="3494BA" w:themeColor="accent1"/>
        </w:rPr>
      </w:pPr>
      <w:r w:rsidRPr="00B737EB">
        <w:rPr>
          <w:color w:val="3494BA" w:themeColor="accent1"/>
        </w:rPr>
        <w:continuationSeparator/>
      </w:r>
    </w:p>
    <w:p w14:paraId="1273F4A3" w14:textId="77777777" w:rsidR="002D058F" w:rsidRDefault="002D058F"/>
  </w:footnote>
  <w:footnote w:type="continuationNotice" w:id="1">
    <w:p w14:paraId="2083D59A" w14:textId="77777777" w:rsidR="002D058F" w:rsidRDefault="002D058F">
      <w:pPr>
        <w:spacing w:before="0" w:after="0"/>
      </w:pPr>
    </w:p>
    <w:p w14:paraId="7CA637EE" w14:textId="77777777" w:rsidR="002D058F" w:rsidRDefault="002D058F"/>
  </w:footnote>
  <w:footnote w:id="2">
    <w:p w14:paraId="32C96D81" w14:textId="7408EFD3" w:rsidR="00975E4C" w:rsidRDefault="00975E4C">
      <w:pPr>
        <w:pStyle w:val="FootnoteText"/>
      </w:pPr>
      <w:r>
        <w:rPr>
          <w:rStyle w:val="FootnoteReference"/>
        </w:rPr>
        <w:footnoteRef/>
      </w:r>
      <w:r>
        <w:t xml:space="preserve"> </w:t>
      </w:r>
      <w:r w:rsidRPr="00975E4C">
        <w:t xml:space="preserve">For a given state, the share of the National Housing Accord target is apportioned based on each state or territory population as a share of the national total as derived from the December 2022 ABS population data. This has been divided by 20 quarters (as per the five-year period of the National Housing Accord) to determine an average quarterly target.  </w:t>
      </w:r>
    </w:p>
  </w:footnote>
  <w:footnote w:id="3">
    <w:p w14:paraId="5126878C" w14:textId="0563EDE7" w:rsidR="00D37BB1" w:rsidRDefault="00D37BB1">
      <w:pPr>
        <w:pStyle w:val="FootnoteText"/>
      </w:pPr>
      <w:r>
        <w:rPr>
          <w:rStyle w:val="FootnoteReference"/>
        </w:rPr>
        <w:footnoteRef/>
      </w:r>
      <w:r>
        <w:t xml:space="preserve"> </w:t>
      </w:r>
      <w:r w:rsidRPr="00D37BB1">
        <w:t xml:space="preserve">Based on ABS Building Activity publication, </w:t>
      </w:r>
      <w:r w:rsidR="00DA504A">
        <w:t>June</w:t>
      </w:r>
      <w:r w:rsidRPr="00D37BB1">
        <w:t xml:space="preserve"> Quarter 2025, </w:t>
      </w:r>
      <w:r w:rsidR="00953806">
        <w:t>released</w:t>
      </w:r>
      <w:r w:rsidRPr="00D37BB1">
        <w:t xml:space="preserve"> on </w:t>
      </w:r>
      <w:r w:rsidR="00953806">
        <w:t>15</w:t>
      </w:r>
      <w:r w:rsidRPr="00D37BB1">
        <w:t xml:space="preserve"> </w:t>
      </w:r>
      <w:r w:rsidR="00953806">
        <w:t>October</w:t>
      </w:r>
      <w:r w:rsidRPr="00D37BB1">
        <w:t xml:space="preserve">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3433" w14:textId="080F5682" w:rsidR="00027C6F" w:rsidRDefault="00027C6F">
    <w:pPr>
      <w:pStyle w:val="Header"/>
    </w:pPr>
    <w:r>
      <w:rPr>
        <w:noProof/>
      </w:rPr>
      <mc:AlternateContent>
        <mc:Choice Requires="wps">
          <w:drawing>
            <wp:anchor distT="0" distB="0" distL="0" distR="0" simplePos="0" relativeHeight="251658241" behindDoc="0" locked="0" layoutInCell="1" allowOverlap="1" wp14:anchorId="4F765D91" wp14:editId="2B2B6B62">
              <wp:simplePos x="635" y="635"/>
              <wp:positionH relativeFrom="page">
                <wp:align>center</wp:align>
              </wp:positionH>
              <wp:positionV relativeFrom="page">
                <wp:align>top</wp:align>
              </wp:positionV>
              <wp:extent cx="551815" cy="528955"/>
              <wp:effectExtent l="0" t="0" r="635" b="4445"/>
              <wp:wrapNone/>
              <wp:docPr id="1850867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68EB228" w14:textId="3B55891D"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765D9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41.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8CQIAABUEAAAOAAAAZHJzL2Uyb0RvYy54bWysU8Fu2zAMvQ/YPwi6L7YDeEiNOEXWIsOA&#10;oC2QDj0rshQbkERBUmJnXz9KdpKt22nYRaZI+pF8fFreD1qRk3C+A1PTYpZTIgyHpjOHmn5/3Xxa&#10;UOIDMw1TYERNz8LT+9XHD8veVmIOLahGOIIgxle9rWkbgq2yzPNWaOZnYIXBoASnWcCrO2SNYz2i&#10;a5XN8/xz1oNrrAMuvEfv4xikq4QvpeDhWUovAlE1xd5COl069/HMVktWHRyzbcenNtg/dKFZZ7Do&#10;FeqRBUaOrvsDSnfcgQcZZhx0BlJ2XKQZcJoifzfNrmVWpFmQHG+vNPn/B8ufTjv74kgYvsCAC4yE&#10;9NZXHp1xnkE6Hb/YKcE4Uni+0iaGQDg6y7JYFCUlHEPlfHFXlhElu/1snQ9fBWgSjZo63Eoii522&#10;Poypl5RYy8CmUyptRpnfHIgZPdmtw2iFYT9Mbe+hOeM0DsZFe8s3HdbcMh9emMPN4gCo1vCMh1TQ&#10;1xQmi5IW3I+/+WM+Eo5RSnpUSk0NSpkS9c3gIqKoklHc5WWON3dx7y+GOeoHQP0V+BQsT2bMC+pi&#10;Sgf6DXW8joUwxAzHcjUNF/MhjJLFd8DFep2SUD+Wha3ZWR6hI0+RxNfhjTk7MR1wRU9wkRGr3hE+&#10;5sY/vV0fA9KethE5HYmcqEbtpX1O7ySK+9d7yrq95tVPAAAA//8DAFBLAwQUAAYACAAAACEArqfZ&#10;iNkAAAADAQAADwAAAGRycy9kb3ducmV2LnhtbEyPQU/CQBCF7yb8h82QeJNtJRCs3RJCwoEbInpe&#10;umNb6c423QEqv97Ri17mZfIm732TLwffqgv2sQlkIJ0koJDK4BqqDBxeNw8LUJEtOdsGQgNfGGFZ&#10;jO5ym7lwpRe87LlSEkIxswZq5i7TOpY1ehsnoUMS7yP03rKsfaVdb68S7lv9mCRz7W1D0lDbDtc1&#10;lqf92RtoZqvAKb5tN5/vPg3pbbed3XbG3I+H1TMoxoH/juEHX9ChEKZjOJOLqjUgj/DvFG8xfwJ1&#10;FJ1OQRe5/s9efAMAAP//AwBQSwECLQAUAAYACAAAACEAtoM4kv4AAADhAQAAEwAAAAAAAAAAAAAA&#10;AAAAAAAAW0NvbnRlbnRfVHlwZXNdLnhtbFBLAQItABQABgAIAAAAIQA4/SH/1gAAAJQBAAALAAAA&#10;AAAAAAAAAAAAAC8BAABfcmVscy8ucmVsc1BLAQItABQABgAIAAAAIQA/dZn8CQIAABUEAAAOAAAA&#10;AAAAAAAAAAAAAC4CAABkcnMvZTJvRG9jLnhtbFBLAQItABQABgAIAAAAIQCup9mI2QAAAAMBAAAP&#10;AAAAAAAAAAAAAAAAAGMEAABkcnMvZG93bnJldi54bWxQSwUGAAAAAAQABADzAAAAaQUAAAAA&#10;" filled="f" stroked="f">
              <v:textbox style="mso-fit-shape-to-text:t" inset="0,15pt,0,0">
                <w:txbxContent>
                  <w:p w14:paraId="568EB228" w14:textId="3B55891D"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CFA5" w14:textId="52AFE70A" w:rsidR="00027C6F" w:rsidRDefault="00027C6F">
    <w:pPr>
      <w:pStyle w:val="Header"/>
    </w:pPr>
    <w:r>
      <w:rPr>
        <w:noProof/>
      </w:rPr>
      <mc:AlternateContent>
        <mc:Choice Requires="wps">
          <w:drawing>
            <wp:anchor distT="0" distB="0" distL="0" distR="0" simplePos="0" relativeHeight="251658242" behindDoc="0" locked="0" layoutInCell="1" allowOverlap="1" wp14:anchorId="413F5B2D" wp14:editId="3A4DD7C9">
              <wp:simplePos x="903383" y="451692"/>
              <wp:positionH relativeFrom="page">
                <wp:align>center</wp:align>
              </wp:positionH>
              <wp:positionV relativeFrom="page">
                <wp:align>top</wp:align>
              </wp:positionV>
              <wp:extent cx="551815" cy="528955"/>
              <wp:effectExtent l="0" t="0" r="635" b="4445"/>
              <wp:wrapNone/>
              <wp:docPr id="1282991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0CF60768" w14:textId="5586CD4A"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F5B2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41.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DlCwIAABwEAAAOAAAAZHJzL2Uyb0RvYy54bWysU8Fu2zAMvQ/YPwi6L7YDeEiNOEXWIsOA&#10;oC2QFj0rshQbkERBUmJnXz9Kjpuu22nYRaZI+pF8fFreDlqRk3C+A1PTYpZTIgyHpjOHmr48b74s&#10;KPGBmYYpMKKmZ+Hp7erzp2VvKzGHFlQjHEEQ46ve1rQNwVZZ5nkrNPMzsMJgUILTLODVHbLGsR7R&#10;tcrmef4168E11gEX3qP3fgzSVcKXUvDwKKUXgaiaYm8hnS6d+3hmqyWrDo7ZtuOXNtg/dKFZZ7Do&#10;G9Q9C4wcXfcHlO64Aw8yzDjoDKTsuEgz4DRF/mGaXcusSLMgOd6+0eT/Hyx/OO3skyNh+AYDLjAS&#10;0ltfeXTGeQbpdPxipwTjSOH5jTYxBMLRWZbFoigp4Rgq54ubsowo2fVn63z4LkCTaNTU4VYSWey0&#10;9WFMnVJiLQObTqm0GWV+cyBm9GTXDqMVhv1AuuZd93tozjiUg3Hf3vJNh6W3zIcn5nDBOAeKNjzi&#10;IRX0NYWLRUkL7uff/DEfeccoJT0KpqYGFU2J+mFwH1FbyShu8jLHm5vc+8kwR30HKMMCX4TlyYx5&#10;QU2mdKBfUc7rWAhDzHAsV9MwmXdhVC4+By7W65SEMrIsbM3O8ggd6YpcPg+vzNkL4QE39QCTmlj1&#10;gfcxN/7p7foYkP20lEjtSOSFcZRgWuvluUSNv7+nrOujXv0CAAD//wMAUEsDBBQABgAIAAAAIQCu&#10;p9mI2QAAAAMBAAAPAAAAZHJzL2Rvd25yZXYueG1sTI9BT8JAEIXvJvyHzZB4k20lEKzdEkLCgRsi&#10;el66Y1vpzjbdASq/3tGLXuZl8ibvfZMvB9+qC/axCWQgnSSgkMrgGqoMHF43DwtQkS052wZCA18Y&#10;YVmM7nKbuXClF7zsuVISQjGzBmrmLtM6ljV6GyehQxLvI/Tesqx9pV1vrxLuW/2YJHPtbUPSUNsO&#10;1zWWp/3ZG2hmq8Apvm03n+8+Deltt53ddsbcj4fVMyjGgf+O4Qdf0KEQpmM4k4uqNSCP8O8UbzF/&#10;AnUUnU5BF7n+z158AwAA//8DAFBLAQItABQABgAIAAAAIQC2gziS/gAAAOEBAAATAAAAAAAAAAAA&#10;AAAAAAAAAABbQ29udGVudF9UeXBlc10ueG1sUEsBAi0AFAAGAAgAAAAhADj9If/WAAAAlAEAAAsA&#10;AAAAAAAAAAAAAAAALwEAAF9yZWxzLy5yZWxzUEsBAi0AFAAGAAgAAAAhAF3kEOULAgAAHAQAAA4A&#10;AAAAAAAAAAAAAAAALgIAAGRycy9lMm9Eb2MueG1sUEsBAi0AFAAGAAgAAAAhAK6n2YjZAAAAAwEA&#10;AA8AAAAAAAAAAAAAAAAAZQQAAGRycy9kb3ducmV2LnhtbFBLBQYAAAAABAAEAPMAAABrBQAAAAA=&#10;" filled="f" stroked="f">
              <v:textbox style="mso-fit-shape-to-text:t" inset="0,15pt,0,0">
                <w:txbxContent>
                  <w:p w14:paraId="0CF60768" w14:textId="5586CD4A"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A805" w14:textId="6067DA9C" w:rsidR="00027C6F" w:rsidRDefault="00027C6F">
    <w:pPr>
      <w:pStyle w:val="Header"/>
    </w:pPr>
    <w:r>
      <w:rPr>
        <w:noProof/>
      </w:rPr>
      <mc:AlternateContent>
        <mc:Choice Requires="wps">
          <w:drawing>
            <wp:anchor distT="0" distB="0" distL="0" distR="0" simplePos="0" relativeHeight="251658240" behindDoc="0" locked="0" layoutInCell="1" allowOverlap="1" wp14:anchorId="0B3A75BB" wp14:editId="16BCC064">
              <wp:simplePos x="903383" y="451692"/>
              <wp:positionH relativeFrom="page">
                <wp:align>center</wp:align>
              </wp:positionH>
              <wp:positionV relativeFrom="page">
                <wp:align>top</wp:align>
              </wp:positionV>
              <wp:extent cx="551815" cy="528955"/>
              <wp:effectExtent l="0" t="0" r="635" b="4445"/>
              <wp:wrapNone/>
              <wp:docPr id="19974024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CBB3B19" w14:textId="15D71509"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A75BB"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4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guDQIAABwEAAAOAAAAZHJzL2Uyb0RvYy54bWysU8Fu2zAMvQ/YPwi6L7aDeU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E1NP0/d76E541AOxn17yzcdlt4yH56YwwXjHCja&#10;8IiHVNDXFC4WJS24n3/zx3zkHaOU9CiYmhpUNCXqu8F9RG0lo7jJyxxvbnLvJ8Mc9R2gDAt8EZYn&#10;M+YFNZnSgX5BOa9jIQwxw7FcTcNk3oVRufgcuFivUxLKyLKwNTvLI3SkK3L5PLwwZy+EB9zUA0xq&#10;YtU73sfc+Ke362NA9tNSIrUjkRfGUYJprZfnEjX+9p6yro969Qs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hKZoLg0CAAAcBAAA&#10;DgAAAAAAAAAAAAAAAAAuAgAAZHJzL2Uyb0RvYy54bWxQSwECLQAUAAYACAAAACEArqfZiNkAAAAD&#10;AQAADwAAAAAAAAAAAAAAAABnBAAAZHJzL2Rvd25yZXYueG1sUEsFBgAAAAAEAAQA8wAAAG0FAAAA&#10;AA==&#10;" filled="f" stroked="f">
              <v:textbox style="mso-fit-shape-to-text:t" inset="0,15pt,0,0">
                <w:txbxContent>
                  <w:p w14:paraId="5CBB3B19" w14:textId="15D71509"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3720" w14:textId="2C29B62F" w:rsidR="00027C6F" w:rsidRDefault="00027C6F">
    <w:pPr>
      <w:pStyle w:val="Header"/>
    </w:pPr>
    <w:r>
      <w:rPr>
        <w:noProof/>
      </w:rPr>
      <mc:AlternateContent>
        <mc:Choice Requires="wps">
          <w:drawing>
            <wp:anchor distT="0" distB="0" distL="0" distR="0" simplePos="0" relativeHeight="251658244" behindDoc="0" locked="0" layoutInCell="1" allowOverlap="1" wp14:anchorId="573EE4B7" wp14:editId="1A5C10BC">
              <wp:simplePos x="635" y="635"/>
              <wp:positionH relativeFrom="page">
                <wp:align>center</wp:align>
              </wp:positionH>
              <wp:positionV relativeFrom="page">
                <wp:align>top</wp:align>
              </wp:positionV>
              <wp:extent cx="551815" cy="528955"/>
              <wp:effectExtent l="0" t="0" r="635" b="4445"/>
              <wp:wrapNone/>
              <wp:docPr id="189293861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726AD874" w14:textId="07FECC09"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EE4B7" id="_x0000_t202" coordsize="21600,21600" o:spt="202" path="m,l,21600r21600,l21600,xe">
              <v:stroke joinstyle="miter"/>
              <v:path gradientshapeok="t" o:connecttype="rect"/>
            </v:shapetype>
            <v:shape id="Text Box 5" o:spid="_x0000_s1032" type="#_x0000_t202" alt="OFFICIAL" style="position:absolute;left:0;text-align:left;margin-left:0;margin-top:0;width:43.45pt;height:41.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1VDQIAABwEAAAOAAAAZHJzL2Uyb0RvYy54bWysU8Fu2zAMvQ/YPwi6L7YDuEiNOEXWIsOA&#10;oC3QDj0rshQbkERBUmJnXz9KjpOu22nYRaZI+pF8fFreDVqRo3C+A1PTYpZTIgyHpjP7mv543XxZ&#10;UOIDMw1TYERNT8LTu9XnT8veVmIOLahGOIIgxle9rWkbgq2yzPNWaOZnYIXBoASnWcCr22eNYz2i&#10;a5XN8/wm68E11gEX3qP3YQzSVcKXUvDwJKUXgaiaYm8hnS6du3hmqyWr9o7ZtuPnNtg/dKFZZ7Do&#10;BeqBBUYOrvsDSnfcgQcZZhx0BlJ2XKQZcJoi/zDNS8usSLMgOd5eaPL/D5Y/Hl/ssyNh+AoDLjAS&#10;0ltfeXTGeQbpdPxipwTjSOHpQpsYAuHoLMtiUZSUcAyV88VtWUaU7PqzdT58E6BJNGrqcCuJLHbc&#10;+jCmTimxloFNp1TajDK/ORAzerJrh9EKw24gXVPTm6n7HTQnHMrBuG9v+abD0lvmwzNzuGCcA0Ub&#10;nvCQCvqawtmipAX382/+mI+8Y5SSHgVTU4OKpkR9N7iPqK1kFLd5mePNTe7dZJiDvgeUYYEvwvJk&#10;xrygJlM60G8o53UshCFmOJaraZjM+zAqF58DF+t1SkIZWRa25sXyCB3pily+Dm/M2TPhATf1CJOa&#10;WPWB9zE3/unt+hCQ/bSUSO1I5JlxlGBa6/m5RI2/v6es66Ne/QI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XtgNVQ0CAAAcBAAA&#10;DgAAAAAAAAAAAAAAAAAuAgAAZHJzL2Uyb0RvYy54bWxQSwECLQAUAAYACAAAACEArqfZiNkAAAAD&#10;AQAADwAAAAAAAAAAAAAAAABnBAAAZHJzL2Rvd25yZXYueG1sUEsFBgAAAAAEAAQA8wAAAG0FAAAA&#10;AA==&#10;" filled="f" stroked="f">
              <v:textbox style="mso-fit-shape-to-text:t" inset="0,15pt,0,0">
                <w:txbxContent>
                  <w:p w14:paraId="726AD874" w14:textId="07FECC09"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6282" w14:textId="7C158091" w:rsidR="00027C6F" w:rsidRDefault="00027C6F">
    <w:pPr>
      <w:pStyle w:val="Header"/>
    </w:pPr>
    <w:r>
      <w:rPr>
        <w:noProof/>
      </w:rPr>
      <mc:AlternateContent>
        <mc:Choice Requires="wps">
          <w:drawing>
            <wp:anchor distT="0" distB="0" distL="0" distR="0" simplePos="0" relativeHeight="251658245" behindDoc="0" locked="0" layoutInCell="1" allowOverlap="1" wp14:anchorId="5FF22C91" wp14:editId="700692FD">
              <wp:simplePos x="903383" y="451692"/>
              <wp:positionH relativeFrom="page">
                <wp:align>center</wp:align>
              </wp:positionH>
              <wp:positionV relativeFrom="page">
                <wp:align>top</wp:align>
              </wp:positionV>
              <wp:extent cx="551815" cy="528955"/>
              <wp:effectExtent l="0" t="0" r="635" b="4445"/>
              <wp:wrapNone/>
              <wp:docPr id="62519998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16B5345" w14:textId="5D6637E9"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F22C91" id="_x0000_t202" coordsize="21600,21600" o:spt="202" path="m,l,21600r21600,l21600,xe">
              <v:stroke joinstyle="miter"/>
              <v:path gradientshapeok="t" o:connecttype="rect"/>
            </v:shapetype>
            <v:shape id="Text Box 6" o:spid="_x0000_s1033" type="#_x0000_t202" alt="OFFICIAL" style="position:absolute;left:0;text-align:left;margin-left:0;margin-top:0;width:43.45pt;height:4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9oDQIAABwEAAAOAAAAZHJzL2Uyb0RvYy54bWysU8Fu2zAMvQ/YPwi6L7YDeEuNOEXWIsOA&#10;oC2QDj0rshQbkERBUmJnXz9Kjpuu22nYRaZI+pF8fFreDlqRk3C+A1PTYpZTIgyHpjOHmv543nxa&#10;UOIDMw1TYERNz8LT29XHD8veVmIOLahGOIIgxle9rWkbgq2yzPNWaOZnYIXBoASnWcCrO2SNYz2i&#10;a5XN8/xz1oNrrAMuvEfv/Rikq4QvpeDhUUovAlE1xd5COl069/HMVktWHRyzbccvbbB/6EKzzmDR&#10;V6h7Fhg5uu4PKN1xBx5kmHHQGUjZcZFmwGmK/N00u5ZZkWZBcrx9pcn/P1j+cNrZJ0fC8BUGXGAk&#10;pLe+8uiM8wzS6fjFTgnGkcLzK21iCISjsyyLRVFSwjFUzhc3ZRlRsuvP1vnwTYAm0aipw60ksthp&#10;68OYOqXEWgY2nVJpM8r85kDM6MmuHUYrDPuBdE1Nv0zd76E541AOxn17yzcdlt4yH56YwwXjHCja&#10;8IiHVNDXFC4WJS24n3/zx3zkHaOU9CiYmhpUNCXqu8F9RG0lo7jJyxxvbnLvJ8Mc9R2gDAt8EZYn&#10;M+YFNZnSgX5BOa9jIQwxw7FcTcNk3oVRufgcuFivUxLKyLKwNTvLI3SkK3L5PLwwZy+EB9zUA0xq&#10;YtU73sfc+Ke362NA9tNSIrUjkRfGUYJprZfnEjX+9p6yro969Qs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M2e/aA0CAAAcBAAA&#10;DgAAAAAAAAAAAAAAAAAuAgAAZHJzL2Uyb0RvYy54bWxQSwECLQAUAAYACAAAACEArqfZiNkAAAAD&#10;AQAADwAAAAAAAAAAAAAAAABnBAAAZHJzL2Rvd25yZXYueG1sUEsFBgAAAAAEAAQA8wAAAG0FAAAA&#10;AA==&#10;" filled="f" stroked="f">
              <v:textbox style="mso-fit-shape-to-text:t" inset="0,15pt,0,0">
                <w:txbxContent>
                  <w:p w14:paraId="116B5345" w14:textId="5D6637E9"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08B5" w14:textId="72009B44" w:rsidR="00027C6F" w:rsidRDefault="00027C6F">
    <w:pPr>
      <w:pStyle w:val="Header"/>
    </w:pPr>
    <w:r>
      <w:rPr>
        <w:noProof/>
      </w:rPr>
      <mc:AlternateContent>
        <mc:Choice Requires="wps">
          <w:drawing>
            <wp:anchor distT="0" distB="0" distL="0" distR="0" simplePos="0" relativeHeight="251658243" behindDoc="0" locked="0" layoutInCell="1" allowOverlap="1" wp14:anchorId="1C5171D2" wp14:editId="363B62B8">
              <wp:simplePos x="635" y="635"/>
              <wp:positionH relativeFrom="page">
                <wp:align>center</wp:align>
              </wp:positionH>
              <wp:positionV relativeFrom="page">
                <wp:align>top</wp:align>
              </wp:positionV>
              <wp:extent cx="551815" cy="528955"/>
              <wp:effectExtent l="0" t="0" r="635" b="4445"/>
              <wp:wrapNone/>
              <wp:docPr id="153304247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E257F0D" w14:textId="5F87F9AD"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171D2" id="_x0000_t202" coordsize="21600,21600" o:spt="202" path="m,l,21600r21600,l21600,xe">
              <v:stroke joinstyle="miter"/>
              <v:path gradientshapeok="t" o:connecttype="rect"/>
            </v:shapetype>
            <v:shape id="Text Box 4" o:spid="_x0000_s1036" type="#_x0000_t202" alt="OFFICIAL" style="position:absolute;left:0;text-align:left;margin-left:0;margin-top:0;width:43.45pt;height:41.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0pDAIAAB0EAAAOAAAAZHJzL2Uyb0RvYy54bWysU02L2zAQvRf6H4Tuje2AS9bEWdJdUgph&#10;dyFb9qzIUmyQNEJSYqe/viM5TtptT6UXeTQzno/3npb3g1bkJJzvwNS0mOWUCMOh6cyhpt9fN58W&#10;lPjATMMUGFHTs/D0fvXxw7K3lZhDC6oRjmAR46ve1rQNwVZZ5nkrNPMzsMJgUILTLODVHbLGsR6r&#10;a5XN8/xz1oNrrAMuvEfv4xikq1RfSsHDs5ReBKJqirOFdLp07uOZrZasOjhm245fxmD/MIVmncGm&#10;11KPLDBydN0fpXTHHXiQYcZBZyBlx0XaAbcp8nfb7FpmRdoFwfH2CpP/f2X502lnXxwJwxcYkMAI&#10;SG995dEZ9xmk0/GLkxKMI4TnK2xiCISjsyyLRVFSwjFUzhd3ZRmrZLefrfPhqwBNolFTh6wksNhp&#10;68OYOqXEXgY2nVKJGWV+c2DN6MluE0YrDPuBdA1On/iMrj00Z9zKwUi4t3zTYe8t8+GFOWQYF0HV&#10;hmc8pIK+pnCxKGnB/fibP+Yj8BilpEfF1NSgpClR3wwSEsWVjOIuL3O8ucm9nwxz1A+AOizwSVie&#10;zJgX1GRKB/oN9byOjTDEDMd2NQ2T+RBG6eJ74GK9TkmoI8vC1uwsj6UjXhHM1+GNOXtBPCBVTzDJ&#10;iVXvgB9z45/ero8B4U+s3IC8QI4aTLxe3ksU+a/3lHV71aufAAAA//8DAFBLAwQUAAYACAAAACEA&#10;rqfZiNkAAAADAQAADwAAAGRycy9kb3ducmV2LnhtbEyPQU/CQBCF7yb8h82QeJNtJRCs3RJCwoEb&#10;InpeumNb6c423QEqv97Ri17mZfIm732TLwffqgv2sQlkIJ0koJDK4BqqDBxeNw8LUJEtOdsGQgNf&#10;GGFZjO5ym7lwpRe87LlSEkIxswZq5i7TOpY1ehsnoUMS7yP03rKsfaVdb68S7lv9mCRz7W1D0lDb&#10;Dtc1lqf92RtoZqvAKb5tN5/vPg3pbbed3XbG3I+H1TMoxoH/juEHX9ChEKZjOJOLqjUgj/DvFG8x&#10;fwJ1FJ1OQRe5/s9efAMAAP//AwBQSwECLQAUAAYACAAAACEAtoM4kv4AAADhAQAAEwAAAAAAAAAA&#10;AAAAAAAAAAAAW0NvbnRlbnRfVHlwZXNdLnhtbFBLAQItABQABgAIAAAAIQA4/SH/1gAAAJQBAAAL&#10;AAAAAAAAAAAAAAAAAC8BAABfcmVscy8ucmVsc1BLAQItABQABgAIAAAAIQCEcf0pDAIAAB0EAAAO&#10;AAAAAAAAAAAAAAAAAC4CAABkcnMvZTJvRG9jLnhtbFBLAQItABQABgAIAAAAIQCup9mI2QAAAAMB&#10;AAAPAAAAAAAAAAAAAAAAAGYEAABkcnMvZG93bnJldi54bWxQSwUGAAAAAAQABADzAAAAbAUAAAAA&#10;" filled="f" stroked="f">
              <v:textbox style="mso-fit-shape-to-text:t" inset="0,15pt,0,0">
                <w:txbxContent>
                  <w:p w14:paraId="5E257F0D" w14:textId="5F87F9AD"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0E22" w14:textId="040AE2CE" w:rsidR="00027C6F" w:rsidRDefault="00027C6F">
    <w:pPr>
      <w:pStyle w:val="Header"/>
    </w:pPr>
    <w:r>
      <w:rPr>
        <w:noProof/>
      </w:rPr>
      <mc:AlternateContent>
        <mc:Choice Requires="wps">
          <w:drawing>
            <wp:anchor distT="0" distB="0" distL="0" distR="0" simplePos="0" relativeHeight="251658247" behindDoc="0" locked="0" layoutInCell="1" allowOverlap="1" wp14:anchorId="30ABBB00" wp14:editId="47CD0AA2">
              <wp:simplePos x="635" y="635"/>
              <wp:positionH relativeFrom="page">
                <wp:align>center</wp:align>
              </wp:positionH>
              <wp:positionV relativeFrom="page">
                <wp:align>top</wp:align>
              </wp:positionV>
              <wp:extent cx="551815" cy="528955"/>
              <wp:effectExtent l="0" t="0" r="635" b="4445"/>
              <wp:wrapNone/>
              <wp:docPr id="91675434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348380E8" w14:textId="33F51056"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BBB00" id="_x0000_t202" coordsize="21600,21600" o:spt="202" path="m,l,21600r21600,l21600,xe">
              <v:stroke joinstyle="miter"/>
              <v:path gradientshapeok="t" o:connecttype="rect"/>
            </v:shapetype>
            <v:shape id="Text Box 8" o:spid="_x0000_s1038" type="#_x0000_t202" alt="OFFICIAL" style="position:absolute;left:0;text-align:left;margin-left:0;margin-top:0;width:43.45pt;height:41.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5hSDQIAAB0EAAAOAAAAZHJzL2Uyb0RvYy54bWysU8Fu2zAMvQ/YPwi6L7YDeEiNOEXWIsOA&#10;oC2QDj0rshQbkERBUmJnXz9KjpOt22nYRaZI+pF8fFreD1qRk3C+A1PTYpZTIgyHpjOHmn5/3Xxa&#10;UOIDMw1TYERNz8LT+9XHD8veVmIOLahGOIIgxle9rWkbgq2yzPNWaOZnYIXBoASnWcCrO2SNYz2i&#10;a5XN8/xz1oNrrAMuvEfv4xikq4QvpeDhWUovAlE1xd5COl069/HMVktWHRyzbccvbbB/6EKzzmDR&#10;K9QjC4wcXfcHlO64Aw8yzDjoDKTsuEgz4DRF/m6aXcusSLMgOd5eafL/D5Y/nXb2xZEwfIEBFxgJ&#10;6a2vPDrjPIN0On6xU4JxpPB8pU0MgXB0lmWxKEpKOIbK+eKuLCNKdvvZOh++CtAkGjV1uJVEFjtt&#10;fRhTp5RYy8CmUyptRpnfHIgZPdmtw2iFYT+QrsHu51P7e2jOOJWDceHe8k2HtbfMhxfmcMM4CKo2&#10;POMhFfQ1hYtFSQvux9/8MR+JxyglPSqmpgYlTYn6ZnAhUVzJKO7yMsebm9z7yTBH/QCowwKfhOXJ&#10;jHlBTaZ0oN9Qz+tYCEPMcCxX0zCZD2GULr4HLtbrlIQ6sixszc7yCB35imS+Dm/M2QvjAVf1BJOc&#10;WPWO+DE3/unt+hiQ/rSVyO1I5IVy1GDa6+W9RJH/ek9Zt1e9+gk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Xg+YUg0CAAAdBAAA&#10;DgAAAAAAAAAAAAAAAAAuAgAAZHJzL2Uyb0RvYy54bWxQSwECLQAUAAYACAAAACEArqfZiNkAAAAD&#10;AQAADwAAAAAAAAAAAAAAAABnBAAAZHJzL2Rvd25yZXYueG1sUEsFBgAAAAAEAAQA8wAAAG0FAAAA&#10;AA==&#10;" filled="f" stroked="f">
              <v:textbox style="mso-fit-shape-to-text:t" inset="0,15pt,0,0">
                <w:txbxContent>
                  <w:p w14:paraId="348380E8" w14:textId="33F51056"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76D1" w14:textId="2F591BA4" w:rsidR="00027C6F" w:rsidRDefault="00027C6F">
    <w:pPr>
      <w:pStyle w:val="Header"/>
    </w:pPr>
    <w:r>
      <w:rPr>
        <w:noProof/>
      </w:rPr>
      <mc:AlternateContent>
        <mc:Choice Requires="wps">
          <w:drawing>
            <wp:anchor distT="0" distB="0" distL="0" distR="0" simplePos="0" relativeHeight="251658248" behindDoc="0" locked="0" layoutInCell="1" allowOverlap="1" wp14:anchorId="088623B2" wp14:editId="65744F00">
              <wp:simplePos x="901065" y="450850"/>
              <wp:positionH relativeFrom="page">
                <wp:align>center</wp:align>
              </wp:positionH>
              <wp:positionV relativeFrom="page">
                <wp:align>top</wp:align>
              </wp:positionV>
              <wp:extent cx="551815" cy="528955"/>
              <wp:effectExtent l="0" t="0" r="635" b="4445"/>
              <wp:wrapNone/>
              <wp:docPr id="115690610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6FD19EC6" w14:textId="57C50F49"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623B2" id="_x0000_t202" coordsize="21600,21600" o:spt="202" path="m,l,21600r21600,l21600,xe">
              <v:stroke joinstyle="miter"/>
              <v:path gradientshapeok="t" o:connecttype="rect"/>
            </v:shapetype>
            <v:shape id="Text Box 9" o:spid="_x0000_s1039" type="#_x0000_t202" alt="OFFICIAL" style="position:absolute;left:0;text-align:left;margin-left:0;margin-top:0;width:43.45pt;height:41.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pvDgIAAB0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A12/3lqfw/NGadyMC7cW77psPaW+fDEHG4YB0HV&#10;hkc8pIK+pnCxKGnB/fybP+Yj8RilpEfF1NSgpClR3w0uJIorGcVNXuZ4c5N7PxnmqO8AdVjgk7A8&#10;mTEvqMmUDvQL6nkdC2GIGY7lahom8y6M0sX3wMV6nZJQR5aFrdlZHqEjX5HM5+GFOXthPOCqHmCS&#10;E6veET/mxj+9XR8D0p+2ErkdibxQjhpMe728lyjyt/eUdX3Vq18AAAD//wMAUEsDBBQABgAIAAAA&#10;IQCup9mI2QAAAAMBAAAPAAAAZHJzL2Rvd25yZXYueG1sTI9BT8JAEIXvJvyHzZB4k20lEKzdEkLC&#10;gRsiel66Y1vpzjbdASq/3tGLXuZl8ibvfZMvB9+qC/axCWQgnSSgkMrgGqoMHF43DwtQkS052wZC&#10;A18YYVmM7nKbuXClF7zsuVISQjGzBmrmLtM6ljV6GyehQxLvI/Tesqx9pV1vrxLuW/2YJHPtbUPS&#10;UNsO1zWWp/3ZG2hmq8Apvm03n+8+Deltt53ddsbcj4fVMyjGgf+O4Qdf0KEQpmM4k4uqNSCP8O8U&#10;bzF/AnUUnU5BF7n+z158AwAA//8DAFBLAQItABQABgAIAAAAIQC2gziS/gAAAOEBAAATAAAAAAAA&#10;AAAAAAAAAAAAAABbQ29udGVudF9UeXBlc10ueG1sUEsBAi0AFAAGAAgAAAAhADj9If/WAAAAlAEA&#10;AAsAAAAAAAAAAAAAAAAALwEAAF9yZWxzLy5yZWxzUEsBAi0AFAAGAAgAAAAhADOwKm8OAgAAHQQA&#10;AA4AAAAAAAAAAAAAAAAALgIAAGRycy9lMm9Eb2MueG1sUEsBAi0AFAAGAAgAAAAhAK6n2YjZAAAA&#10;AwEAAA8AAAAAAAAAAAAAAAAAaAQAAGRycy9kb3ducmV2LnhtbFBLBQYAAAAABAAEAPMAAABuBQAA&#10;AAA=&#10;" filled="f" stroked="f">
              <v:textbox style="mso-fit-shape-to-text:t" inset="0,15pt,0,0">
                <w:txbxContent>
                  <w:p w14:paraId="6FD19EC6" w14:textId="57C50F49"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FBF0" w14:textId="535496A8" w:rsidR="00027C6F" w:rsidRDefault="00027C6F">
    <w:pPr>
      <w:pStyle w:val="Header"/>
    </w:pPr>
    <w:r>
      <w:rPr>
        <w:noProof/>
      </w:rPr>
      <mc:AlternateContent>
        <mc:Choice Requires="wps">
          <w:drawing>
            <wp:anchor distT="0" distB="0" distL="0" distR="0" simplePos="0" relativeHeight="251658246" behindDoc="0" locked="0" layoutInCell="1" allowOverlap="1" wp14:anchorId="6F24901B" wp14:editId="70D00C7F">
              <wp:simplePos x="635" y="635"/>
              <wp:positionH relativeFrom="page">
                <wp:align>center</wp:align>
              </wp:positionH>
              <wp:positionV relativeFrom="page">
                <wp:align>top</wp:align>
              </wp:positionV>
              <wp:extent cx="551815" cy="528955"/>
              <wp:effectExtent l="0" t="0" r="635" b="4445"/>
              <wp:wrapNone/>
              <wp:docPr id="111814072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70360A5E" w14:textId="6438B31B"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4901B" id="_x0000_t202" coordsize="21600,21600" o:spt="202" path="m,l,21600r21600,l21600,xe">
              <v:stroke joinstyle="miter"/>
              <v:path gradientshapeok="t" o:connecttype="rect"/>
            </v:shapetype>
            <v:shape id="Text Box 7" o:spid="_x0000_s1042" type="#_x0000_t202" alt="OFFICIAL" style="position:absolute;left:0;text-align:left;margin-left:0;margin-top:0;width:43.45pt;height:41.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KkDgIAAB0EAAAOAAAAZHJzL2Uyb0RvYy54bWysU8Fu2zAMvQ/YPwi6L7YDuEiNOEXWIsOA&#10;oC3QDj0rshQbkERBUmJnXz9KjpOu22nYRaZI+pF8fFreDVqRo3C+A1PTYpZTIgyHpjP7mv543XxZ&#10;UOIDMw1TYERNT8LTu9XnT8veVmIOLahGOIIgxle9rWkbgq2yzPNWaOZnYIXBoASnWcCr22eNYz2i&#10;a5XN8/wm68E11gEX3qP3YQzSVcKXUvDwJKUXgaiaYm8hnS6du3hmqyWr9o7ZtuPnNtg/dKFZZ7Do&#10;BeqBBUYOrvsDSnfcgQcZZhx0BlJ2XKQZcJoi/zDNS8usSLMgOd5eaPL/D5Y/Hl/ssyNh+AoDLjAS&#10;0ltfeXTGeQbpdPxipwTjSOHpQpsYAuHoLMtiUZSUcAyV88VtWUaU7PqzdT58E6BJNGrqcCuJLHbc&#10;+jCmTimxloFNp1TajDK/ORAzerJrh9EKw24gXYPd30zt76A54VQOxoV7yzcd1t4yH56Zww3jIKja&#10;8ISHVNDXFM4WJS24n3/zx3wkHqOU9KiYmhqUNCXqu8GFRHElo7jNyxxvbnLvJsMc9D2gDgt8EpYn&#10;M+YFNZnSgX5DPa9jIQwxw7FcTcNk3odRuvgeuFivUxLqyLKwNS+WR+jIVyTzdXhjzp4ZD7iqR5jk&#10;xKoPxI+58U9v14eA9KetRG5HIs+UowbTXs/vJYr8/T1lXV/16hcAAAD//wMAUEsDBBQABgAIAAAA&#10;IQCup9mI2QAAAAMBAAAPAAAAZHJzL2Rvd25yZXYueG1sTI9BT8JAEIXvJvyHzZB4k20lEKzdEkLC&#10;gRsiel66Y1vpzjbdASq/3tGLXuZl8ibvfZMvB9+qC/axCWQgnSSgkMrgGqoMHF43DwtQkS052wZC&#10;A18YYVmM7nKbuXClF7zsuVISQjGzBmrmLtM6ljV6GyehQxLvI/Tesqx9pV1vrxLuW/2YJHPtbUPS&#10;UNsO1zWWp/3ZG2hmq8Apvm03n+8+Deltt53ddsbcj4fVMyjGgf+O4Qdf0KEQpmM4k4uqNSCP8O8U&#10;bzF/AnUUnU5BF7n+z158AwAA//8DAFBLAQItABQABgAIAAAAIQC2gziS/gAAAOEBAAATAAAAAAAA&#10;AAAAAAAAAAAAAABbQ29udGVudF9UeXBlc10ueG1sUEsBAi0AFAAGAAgAAAAhADj9If/WAAAAlAEA&#10;AAsAAAAAAAAAAAAAAAAALwEAAF9yZWxzLy5yZWxzUEsBAi0AFAAGAAgAAAAhAOryUqQOAgAAHQQA&#10;AA4AAAAAAAAAAAAAAAAALgIAAGRycy9lMm9Eb2MueG1sUEsBAi0AFAAGAAgAAAAhAK6n2YjZAAAA&#10;AwEAAA8AAAAAAAAAAAAAAAAAaAQAAGRycy9kb3ducmV2LnhtbFBLBQYAAAAABAAEAPMAAABuBQAA&#10;AAA=&#10;" filled="f" stroked="f">
              <v:textbox style="mso-fit-shape-to-text:t" inset="0,15pt,0,0">
                <w:txbxContent>
                  <w:p w14:paraId="70360A5E" w14:textId="6438B31B" w:rsidR="00027C6F" w:rsidRPr="00027C6F" w:rsidRDefault="00027C6F" w:rsidP="00027C6F">
                    <w:pPr>
                      <w:spacing w:after="0"/>
                      <w:rPr>
                        <w:rFonts w:ascii="Calibri" w:eastAsia="Calibri" w:hAnsi="Calibri" w:cs="Calibri"/>
                        <w:noProof/>
                        <w:color w:val="FF0000"/>
                        <w:sz w:val="24"/>
                        <w:szCs w:val="24"/>
                      </w:rPr>
                    </w:pPr>
                    <w:r w:rsidRPr="00027C6F">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9" w15:restartNumberingAfterBreak="0">
    <w:nsid w:val="7D6B5224"/>
    <w:multiLevelType w:val="multilevel"/>
    <w:tmpl w:val="E43679D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747112092">
    <w:abstractNumId w:val="4"/>
  </w:num>
  <w:num w:numId="2" w16cid:durableId="125392115">
    <w:abstractNumId w:val="0"/>
  </w:num>
  <w:num w:numId="3" w16cid:durableId="1138493796">
    <w:abstractNumId w:val="6"/>
  </w:num>
  <w:num w:numId="4" w16cid:durableId="697198535">
    <w:abstractNumId w:val="1"/>
  </w:num>
  <w:num w:numId="5" w16cid:durableId="1530605932">
    <w:abstractNumId w:val="7"/>
  </w:num>
  <w:num w:numId="6" w16cid:durableId="1077706018">
    <w:abstractNumId w:val="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34606905">
    <w:abstractNumId w:val="2"/>
  </w:num>
  <w:num w:numId="8" w16cid:durableId="732696603">
    <w:abstractNumId w:val="3"/>
  </w:num>
  <w:num w:numId="9" w16cid:durableId="157624863">
    <w:abstractNumId w:val="5"/>
  </w:num>
  <w:num w:numId="10" w16cid:durableId="1455251550">
    <w:abstractNumId w:val="9"/>
  </w:num>
  <w:num w:numId="11" w16cid:durableId="106529797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438A"/>
    <w:rsid w:val="00004438"/>
    <w:rsid w:val="00011725"/>
    <w:rsid w:val="0001232C"/>
    <w:rsid w:val="00012C62"/>
    <w:rsid w:val="0001396A"/>
    <w:rsid w:val="00014621"/>
    <w:rsid w:val="00015324"/>
    <w:rsid w:val="00016296"/>
    <w:rsid w:val="000162FE"/>
    <w:rsid w:val="00016DA2"/>
    <w:rsid w:val="00017823"/>
    <w:rsid w:val="00020D3F"/>
    <w:rsid w:val="00020FB8"/>
    <w:rsid w:val="0002544D"/>
    <w:rsid w:val="00026713"/>
    <w:rsid w:val="00026E04"/>
    <w:rsid w:val="00027C6F"/>
    <w:rsid w:val="00027D9C"/>
    <w:rsid w:val="000304EA"/>
    <w:rsid w:val="00031062"/>
    <w:rsid w:val="00033C79"/>
    <w:rsid w:val="0003540B"/>
    <w:rsid w:val="0003556D"/>
    <w:rsid w:val="00036788"/>
    <w:rsid w:val="00041130"/>
    <w:rsid w:val="000413D7"/>
    <w:rsid w:val="000419B1"/>
    <w:rsid w:val="00041FCC"/>
    <w:rsid w:val="0004274D"/>
    <w:rsid w:val="00042CE5"/>
    <w:rsid w:val="00043348"/>
    <w:rsid w:val="00043588"/>
    <w:rsid w:val="00043F29"/>
    <w:rsid w:val="00044443"/>
    <w:rsid w:val="00044665"/>
    <w:rsid w:val="0004483F"/>
    <w:rsid w:val="00046CB4"/>
    <w:rsid w:val="00046EC2"/>
    <w:rsid w:val="000478E4"/>
    <w:rsid w:val="000507C5"/>
    <w:rsid w:val="0005138B"/>
    <w:rsid w:val="000522B7"/>
    <w:rsid w:val="00053118"/>
    <w:rsid w:val="00053717"/>
    <w:rsid w:val="00056880"/>
    <w:rsid w:val="00057143"/>
    <w:rsid w:val="000576ED"/>
    <w:rsid w:val="00057D3B"/>
    <w:rsid w:val="00060044"/>
    <w:rsid w:val="00060903"/>
    <w:rsid w:val="000611EC"/>
    <w:rsid w:val="00062837"/>
    <w:rsid w:val="00062FAC"/>
    <w:rsid w:val="00063905"/>
    <w:rsid w:val="0006630A"/>
    <w:rsid w:val="000675D1"/>
    <w:rsid w:val="00072C37"/>
    <w:rsid w:val="00073521"/>
    <w:rsid w:val="00073722"/>
    <w:rsid w:val="00074168"/>
    <w:rsid w:val="000746A6"/>
    <w:rsid w:val="000775DE"/>
    <w:rsid w:val="00080725"/>
    <w:rsid w:val="00080E22"/>
    <w:rsid w:val="00082B86"/>
    <w:rsid w:val="00083555"/>
    <w:rsid w:val="00084C8C"/>
    <w:rsid w:val="00087228"/>
    <w:rsid w:val="00087A9C"/>
    <w:rsid w:val="00087C51"/>
    <w:rsid w:val="00087FAF"/>
    <w:rsid w:val="000903E4"/>
    <w:rsid w:val="0009484D"/>
    <w:rsid w:val="000973EC"/>
    <w:rsid w:val="000A2758"/>
    <w:rsid w:val="000A2885"/>
    <w:rsid w:val="000A3675"/>
    <w:rsid w:val="000A536D"/>
    <w:rsid w:val="000A5876"/>
    <w:rsid w:val="000B03B1"/>
    <w:rsid w:val="000B093F"/>
    <w:rsid w:val="000B12C0"/>
    <w:rsid w:val="000B1ED3"/>
    <w:rsid w:val="000B279F"/>
    <w:rsid w:val="000B302A"/>
    <w:rsid w:val="000B5BEF"/>
    <w:rsid w:val="000B76BB"/>
    <w:rsid w:val="000B7B56"/>
    <w:rsid w:val="000C0053"/>
    <w:rsid w:val="000C0442"/>
    <w:rsid w:val="000C153C"/>
    <w:rsid w:val="000C2C20"/>
    <w:rsid w:val="000C4545"/>
    <w:rsid w:val="000C5467"/>
    <w:rsid w:val="000C571D"/>
    <w:rsid w:val="000C5F40"/>
    <w:rsid w:val="000C7D36"/>
    <w:rsid w:val="000D02DF"/>
    <w:rsid w:val="000D097D"/>
    <w:rsid w:val="000D1959"/>
    <w:rsid w:val="000D2B73"/>
    <w:rsid w:val="000D607B"/>
    <w:rsid w:val="000D691E"/>
    <w:rsid w:val="000D779E"/>
    <w:rsid w:val="000E0B74"/>
    <w:rsid w:val="000E13B0"/>
    <w:rsid w:val="000E19B7"/>
    <w:rsid w:val="000E20A0"/>
    <w:rsid w:val="000E41EA"/>
    <w:rsid w:val="000E4C54"/>
    <w:rsid w:val="000E5B4C"/>
    <w:rsid w:val="000E6467"/>
    <w:rsid w:val="000E66C3"/>
    <w:rsid w:val="000E727D"/>
    <w:rsid w:val="000E7698"/>
    <w:rsid w:val="000E7901"/>
    <w:rsid w:val="000F0B32"/>
    <w:rsid w:val="000F110B"/>
    <w:rsid w:val="000F15F8"/>
    <w:rsid w:val="000F19AB"/>
    <w:rsid w:val="000F200F"/>
    <w:rsid w:val="000F20CF"/>
    <w:rsid w:val="000F4E25"/>
    <w:rsid w:val="000F53A4"/>
    <w:rsid w:val="000F6233"/>
    <w:rsid w:val="000F7A2D"/>
    <w:rsid w:val="00104E2F"/>
    <w:rsid w:val="001076F0"/>
    <w:rsid w:val="001103FA"/>
    <w:rsid w:val="00111B5C"/>
    <w:rsid w:val="00112F64"/>
    <w:rsid w:val="001139C9"/>
    <w:rsid w:val="00114044"/>
    <w:rsid w:val="00114258"/>
    <w:rsid w:val="00114642"/>
    <w:rsid w:val="00116999"/>
    <w:rsid w:val="001200D3"/>
    <w:rsid w:val="00120259"/>
    <w:rsid w:val="00120C3E"/>
    <w:rsid w:val="00121859"/>
    <w:rsid w:val="00126071"/>
    <w:rsid w:val="001260FC"/>
    <w:rsid w:val="00126E36"/>
    <w:rsid w:val="00131DC3"/>
    <w:rsid w:val="00132E48"/>
    <w:rsid w:val="00133999"/>
    <w:rsid w:val="00135475"/>
    <w:rsid w:val="00135B3C"/>
    <w:rsid w:val="00135D7A"/>
    <w:rsid w:val="00135E4C"/>
    <w:rsid w:val="00136016"/>
    <w:rsid w:val="0013681B"/>
    <w:rsid w:val="00136FBB"/>
    <w:rsid w:val="001373F5"/>
    <w:rsid w:val="00137B0A"/>
    <w:rsid w:val="00140AF0"/>
    <w:rsid w:val="00142E9A"/>
    <w:rsid w:val="001436BB"/>
    <w:rsid w:val="00144368"/>
    <w:rsid w:val="00145F89"/>
    <w:rsid w:val="00150070"/>
    <w:rsid w:val="0015007C"/>
    <w:rsid w:val="00150D5F"/>
    <w:rsid w:val="0015144B"/>
    <w:rsid w:val="001515FD"/>
    <w:rsid w:val="00151FA7"/>
    <w:rsid w:val="00152CD7"/>
    <w:rsid w:val="001532A9"/>
    <w:rsid w:val="0015396D"/>
    <w:rsid w:val="00153D5D"/>
    <w:rsid w:val="00154B85"/>
    <w:rsid w:val="001550FE"/>
    <w:rsid w:val="00155AE8"/>
    <w:rsid w:val="00156507"/>
    <w:rsid w:val="001574C0"/>
    <w:rsid w:val="0016058E"/>
    <w:rsid w:val="001606CF"/>
    <w:rsid w:val="00160A3B"/>
    <w:rsid w:val="0016128D"/>
    <w:rsid w:val="00163252"/>
    <w:rsid w:val="00164599"/>
    <w:rsid w:val="00164E03"/>
    <w:rsid w:val="00164FF7"/>
    <w:rsid w:val="00165C2A"/>
    <w:rsid w:val="00166D35"/>
    <w:rsid w:val="0016780C"/>
    <w:rsid w:val="0017041A"/>
    <w:rsid w:val="0017089D"/>
    <w:rsid w:val="00170D8F"/>
    <w:rsid w:val="00172CF6"/>
    <w:rsid w:val="0017389A"/>
    <w:rsid w:val="00173D4A"/>
    <w:rsid w:val="00174B5D"/>
    <w:rsid w:val="0017562F"/>
    <w:rsid w:val="001758EA"/>
    <w:rsid w:val="001765A6"/>
    <w:rsid w:val="00176C84"/>
    <w:rsid w:val="00180145"/>
    <w:rsid w:val="001805A8"/>
    <w:rsid w:val="00180A8A"/>
    <w:rsid w:val="00180E16"/>
    <w:rsid w:val="0018175D"/>
    <w:rsid w:val="00181AC0"/>
    <w:rsid w:val="00181C86"/>
    <w:rsid w:val="001821BA"/>
    <w:rsid w:val="00182FE0"/>
    <w:rsid w:val="001831C7"/>
    <w:rsid w:val="00183998"/>
    <w:rsid w:val="00183AF2"/>
    <w:rsid w:val="0018585F"/>
    <w:rsid w:val="00187129"/>
    <w:rsid w:val="001876DA"/>
    <w:rsid w:val="0019101A"/>
    <w:rsid w:val="00191CFE"/>
    <w:rsid w:val="001937AB"/>
    <w:rsid w:val="00195C8E"/>
    <w:rsid w:val="00195CBF"/>
    <w:rsid w:val="001972D2"/>
    <w:rsid w:val="001A032D"/>
    <w:rsid w:val="001A2968"/>
    <w:rsid w:val="001A333F"/>
    <w:rsid w:val="001A3E33"/>
    <w:rsid w:val="001A4F1F"/>
    <w:rsid w:val="001A6940"/>
    <w:rsid w:val="001B0524"/>
    <w:rsid w:val="001B14FE"/>
    <w:rsid w:val="001B1807"/>
    <w:rsid w:val="001B1B0C"/>
    <w:rsid w:val="001B1C64"/>
    <w:rsid w:val="001B393C"/>
    <w:rsid w:val="001B4ECC"/>
    <w:rsid w:val="001C1147"/>
    <w:rsid w:val="001C11F0"/>
    <w:rsid w:val="001C1E3A"/>
    <w:rsid w:val="001C22C9"/>
    <w:rsid w:val="001C2D12"/>
    <w:rsid w:val="001C358D"/>
    <w:rsid w:val="001C3C0B"/>
    <w:rsid w:val="001C40A0"/>
    <w:rsid w:val="001C46FD"/>
    <w:rsid w:val="001C4D01"/>
    <w:rsid w:val="001C4FE2"/>
    <w:rsid w:val="001C762E"/>
    <w:rsid w:val="001C768D"/>
    <w:rsid w:val="001C7757"/>
    <w:rsid w:val="001D1815"/>
    <w:rsid w:val="001D24E1"/>
    <w:rsid w:val="001D3AA5"/>
    <w:rsid w:val="001D3D3F"/>
    <w:rsid w:val="001D44A3"/>
    <w:rsid w:val="001D4C07"/>
    <w:rsid w:val="001E0C01"/>
    <w:rsid w:val="001E18F6"/>
    <w:rsid w:val="001E2B51"/>
    <w:rsid w:val="001E6E74"/>
    <w:rsid w:val="001E6FD8"/>
    <w:rsid w:val="001E7A2B"/>
    <w:rsid w:val="001F1B27"/>
    <w:rsid w:val="001F5A71"/>
    <w:rsid w:val="001F68F7"/>
    <w:rsid w:val="00200272"/>
    <w:rsid w:val="0020170F"/>
    <w:rsid w:val="002019AE"/>
    <w:rsid w:val="00201F0B"/>
    <w:rsid w:val="002058F8"/>
    <w:rsid w:val="00206C1E"/>
    <w:rsid w:val="00207D2C"/>
    <w:rsid w:val="00211045"/>
    <w:rsid w:val="00211B85"/>
    <w:rsid w:val="002129E4"/>
    <w:rsid w:val="00212D00"/>
    <w:rsid w:val="0021403D"/>
    <w:rsid w:val="0021522A"/>
    <w:rsid w:val="00216004"/>
    <w:rsid w:val="002177DD"/>
    <w:rsid w:val="0022085C"/>
    <w:rsid w:val="00221EC0"/>
    <w:rsid w:val="002221D0"/>
    <w:rsid w:val="00225420"/>
    <w:rsid w:val="00225489"/>
    <w:rsid w:val="00225A0C"/>
    <w:rsid w:val="00225ADA"/>
    <w:rsid w:val="0022760D"/>
    <w:rsid w:val="002308CB"/>
    <w:rsid w:val="00230EBF"/>
    <w:rsid w:val="00231049"/>
    <w:rsid w:val="002314D2"/>
    <w:rsid w:val="00232DEB"/>
    <w:rsid w:val="0023300F"/>
    <w:rsid w:val="0023305C"/>
    <w:rsid w:val="00233E37"/>
    <w:rsid w:val="00233FD8"/>
    <w:rsid w:val="00234634"/>
    <w:rsid w:val="00234E09"/>
    <w:rsid w:val="00237449"/>
    <w:rsid w:val="0024048B"/>
    <w:rsid w:val="002413D2"/>
    <w:rsid w:val="00241881"/>
    <w:rsid w:val="00241B3E"/>
    <w:rsid w:val="002420E3"/>
    <w:rsid w:val="002422CE"/>
    <w:rsid w:val="0024294C"/>
    <w:rsid w:val="00243068"/>
    <w:rsid w:val="002437D1"/>
    <w:rsid w:val="002453A7"/>
    <w:rsid w:val="002461BA"/>
    <w:rsid w:val="00246664"/>
    <w:rsid w:val="00247778"/>
    <w:rsid w:val="002525B3"/>
    <w:rsid w:val="002543D8"/>
    <w:rsid w:val="0025652F"/>
    <w:rsid w:val="00260346"/>
    <w:rsid w:val="0026051D"/>
    <w:rsid w:val="002608F1"/>
    <w:rsid w:val="00261DD0"/>
    <w:rsid w:val="00263B6C"/>
    <w:rsid w:val="00264697"/>
    <w:rsid w:val="002646D4"/>
    <w:rsid w:val="00265E9F"/>
    <w:rsid w:val="002663D3"/>
    <w:rsid w:val="0026658B"/>
    <w:rsid w:val="002675CF"/>
    <w:rsid w:val="0026761B"/>
    <w:rsid w:val="0027050E"/>
    <w:rsid w:val="00272939"/>
    <w:rsid w:val="002741C8"/>
    <w:rsid w:val="00274FF0"/>
    <w:rsid w:val="0027590B"/>
    <w:rsid w:val="00275ECE"/>
    <w:rsid w:val="002772E0"/>
    <w:rsid w:val="00283008"/>
    <w:rsid w:val="00283181"/>
    <w:rsid w:val="0028426B"/>
    <w:rsid w:val="002851D8"/>
    <w:rsid w:val="0028562F"/>
    <w:rsid w:val="00285969"/>
    <w:rsid w:val="002900E8"/>
    <w:rsid w:val="00291C13"/>
    <w:rsid w:val="00293886"/>
    <w:rsid w:val="00293C96"/>
    <w:rsid w:val="00295B30"/>
    <w:rsid w:val="00296963"/>
    <w:rsid w:val="00296BB1"/>
    <w:rsid w:val="002A130F"/>
    <w:rsid w:val="002A1D92"/>
    <w:rsid w:val="002A25B8"/>
    <w:rsid w:val="002A46EF"/>
    <w:rsid w:val="002A4975"/>
    <w:rsid w:val="002A74EF"/>
    <w:rsid w:val="002A7A31"/>
    <w:rsid w:val="002A7B88"/>
    <w:rsid w:val="002A7DA0"/>
    <w:rsid w:val="002B11B5"/>
    <w:rsid w:val="002B3829"/>
    <w:rsid w:val="002B69DC"/>
    <w:rsid w:val="002B6BD8"/>
    <w:rsid w:val="002C04A0"/>
    <w:rsid w:val="002C22EF"/>
    <w:rsid w:val="002C5047"/>
    <w:rsid w:val="002C5680"/>
    <w:rsid w:val="002C7937"/>
    <w:rsid w:val="002D058F"/>
    <w:rsid w:val="002D593C"/>
    <w:rsid w:val="002D6BC9"/>
    <w:rsid w:val="002E143E"/>
    <w:rsid w:val="002E1FB6"/>
    <w:rsid w:val="002E2C92"/>
    <w:rsid w:val="002E31C6"/>
    <w:rsid w:val="002E454C"/>
    <w:rsid w:val="002E5D2F"/>
    <w:rsid w:val="002E7F08"/>
    <w:rsid w:val="002F1077"/>
    <w:rsid w:val="002F145D"/>
    <w:rsid w:val="002F26A5"/>
    <w:rsid w:val="002F27B9"/>
    <w:rsid w:val="002F486B"/>
    <w:rsid w:val="002F4A22"/>
    <w:rsid w:val="002F601A"/>
    <w:rsid w:val="002F617F"/>
    <w:rsid w:val="002F7332"/>
    <w:rsid w:val="00300109"/>
    <w:rsid w:val="00301755"/>
    <w:rsid w:val="00303029"/>
    <w:rsid w:val="00303164"/>
    <w:rsid w:val="0030633F"/>
    <w:rsid w:val="0030665E"/>
    <w:rsid w:val="00306894"/>
    <w:rsid w:val="00306B40"/>
    <w:rsid w:val="00307021"/>
    <w:rsid w:val="003074FE"/>
    <w:rsid w:val="00307B77"/>
    <w:rsid w:val="003103FC"/>
    <w:rsid w:val="00311D00"/>
    <w:rsid w:val="00312167"/>
    <w:rsid w:val="003122F4"/>
    <w:rsid w:val="00312522"/>
    <w:rsid w:val="00312881"/>
    <w:rsid w:val="00314304"/>
    <w:rsid w:val="00315CCA"/>
    <w:rsid w:val="00316979"/>
    <w:rsid w:val="00316CE9"/>
    <w:rsid w:val="003172C7"/>
    <w:rsid w:val="003204AA"/>
    <w:rsid w:val="00320BFB"/>
    <w:rsid w:val="00321AD4"/>
    <w:rsid w:val="00323215"/>
    <w:rsid w:val="00323480"/>
    <w:rsid w:val="00324FA2"/>
    <w:rsid w:val="003256DC"/>
    <w:rsid w:val="00325AC0"/>
    <w:rsid w:val="00325FA5"/>
    <w:rsid w:val="003264D4"/>
    <w:rsid w:val="0032657B"/>
    <w:rsid w:val="003268D5"/>
    <w:rsid w:val="00327555"/>
    <w:rsid w:val="00333365"/>
    <w:rsid w:val="00333ED1"/>
    <w:rsid w:val="00334176"/>
    <w:rsid w:val="0033559D"/>
    <w:rsid w:val="00336292"/>
    <w:rsid w:val="0033755F"/>
    <w:rsid w:val="00341BB8"/>
    <w:rsid w:val="003425B7"/>
    <w:rsid w:val="00343380"/>
    <w:rsid w:val="00344051"/>
    <w:rsid w:val="00344147"/>
    <w:rsid w:val="00344382"/>
    <w:rsid w:val="003446D2"/>
    <w:rsid w:val="003448F6"/>
    <w:rsid w:val="00347E73"/>
    <w:rsid w:val="00350081"/>
    <w:rsid w:val="003502F3"/>
    <w:rsid w:val="00350388"/>
    <w:rsid w:val="00350759"/>
    <w:rsid w:val="00353478"/>
    <w:rsid w:val="003544D3"/>
    <w:rsid w:val="00354D27"/>
    <w:rsid w:val="0035738A"/>
    <w:rsid w:val="00357745"/>
    <w:rsid w:val="00357904"/>
    <w:rsid w:val="00357E8F"/>
    <w:rsid w:val="003629AF"/>
    <w:rsid w:val="0036403B"/>
    <w:rsid w:val="00364EB3"/>
    <w:rsid w:val="00364F85"/>
    <w:rsid w:val="003667E1"/>
    <w:rsid w:val="00366DE0"/>
    <w:rsid w:val="00366EB7"/>
    <w:rsid w:val="003703A1"/>
    <w:rsid w:val="003709A7"/>
    <w:rsid w:val="003721A4"/>
    <w:rsid w:val="00372E94"/>
    <w:rsid w:val="003744B0"/>
    <w:rsid w:val="0037487E"/>
    <w:rsid w:val="00375655"/>
    <w:rsid w:val="00381621"/>
    <w:rsid w:val="00382763"/>
    <w:rsid w:val="00383E0E"/>
    <w:rsid w:val="003858A6"/>
    <w:rsid w:val="00386F13"/>
    <w:rsid w:val="0039150C"/>
    <w:rsid w:val="00391AE4"/>
    <w:rsid w:val="00391C32"/>
    <w:rsid w:val="003925C6"/>
    <w:rsid w:val="00392DCC"/>
    <w:rsid w:val="00393EC4"/>
    <w:rsid w:val="00393FF1"/>
    <w:rsid w:val="003941EF"/>
    <w:rsid w:val="00394326"/>
    <w:rsid w:val="00397BB5"/>
    <w:rsid w:val="00397DB1"/>
    <w:rsid w:val="003A1F1C"/>
    <w:rsid w:val="003A37FF"/>
    <w:rsid w:val="003A383A"/>
    <w:rsid w:val="003A5B36"/>
    <w:rsid w:val="003A6A24"/>
    <w:rsid w:val="003A7DD4"/>
    <w:rsid w:val="003A7DDA"/>
    <w:rsid w:val="003B50AD"/>
    <w:rsid w:val="003B6903"/>
    <w:rsid w:val="003B698E"/>
    <w:rsid w:val="003B6C78"/>
    <w:rsid w:val="003B6E11"/>
    <w:rsid w:val="003C17EE"/>
    <w:rsid w:val="003C24B4"/>
    <w:rsid w:val="003C27A1"/>
    <w:rsid w:val="003C2830"/>
    <w:rsid w:val="003C367F"/>
    <w:rsid w:val="003C3930"/>
    <w:rsid w:val="003C4617"/>
    <w:rsid w:val="003C46BD"/>
    <w:rsid w:val="003C576D"/>
    <w:rsid w:val="003C6534"/>
    <w:rsid w:val="003C6C87"/>
    <w:rsid w:val="003C6D24"/>
    <w:rsid w:val="003C7019"/>
    <w:rsid w:val="003D1BAB"/>
    <w:rsid w:val="003D2FA0"/>
    <w:rsid w:val="003D30DD"/>
    <w:rsid w:val="003D3668"/>
    <w:rsid w:val="003D3D82"/>
    <w:rsid w:val="003D3E3F"/>
    <w:rsid w:val="003D57C4"/>
    <w:rsid w:val="003D57DF"/>
    <w:rsid w:val="003D67F1"/>
    <w:rsid w:val="003D76DB"/>
    <w:rsid w:val="003E01DE"/>
    <w:rsid w:val="003E05DB"/>
    <w:rsid w:val="003E079B"/>
    <w:rsid w:val="003E1508"/>
    <w:rsid w:val="003E20D6"/>
    <w:rsid w:val="003E2B04"/>
    <w:rsid w:val="003E2FA3"/>
    <w:rsid w:val="003E4BB2"/>
    <w:rsid w:val="003E4D87"/>
    <w:rsid w:val="003E69FF"/>
    <w:rsid w:val="003E6ABF"/>
    <w:rsid w:val="003F101C"/>
    <w:rsid w:val="003F3890"/>
    <w:rsid w:val="003F518B"/>
    <w:rsid w:val="00401082"/>
    <w:rsid w:val="00401AE9"/>
    <w:rsid w:val="00402D76"/>
    <w:rsid w:val="00403249"/>
    <w:rsid w:val="00403D6D"/>
    <w:rsid w:val="004043AE"/>
    <w:rsid w:val="004045F2"/>
    <w:rsid w:val="00404788"/>
    <w:rsid w:val="00404E4D"/>
    <w:rsid w:val="0040723E"/>
    <w:rsid w:val="00407BEF"/>
    <w:rsid w:val="00410124"/>
    <w:rsid w:val="00410819"/>
    <w:rsid w:val="00412369"/>
    <w:rsid w:val="0041239D"/>
    <w:rsid w:val="00412D58"/>
    <w:rsid w:val="00413BC6"/>
    <w:rsid w:val="00414C18"/>
    <w:rsid w:val="004162F6"/>
    <w:rsid w:val="00416503"/>
    <w:rsid w:val="0041670F"/>
    <w:rsid w:val="00416762"/>
    <w:rsid w:val="00416E55"/>
    <w:rsid w:val="004179FA"/>
    <w:rsid w:val="00417B20"/>
    <w:rsid w:val="00420559"/>
    <w:rsid w:val="00420CC3"/>
    <w:rsid w:val="0042181E"/>
    <w:rsid w:val="00421955"/>
    <w:rsid w:val="00421EA9"/>
    <w:rsid w:val="00422722"/>
    <w:rsid w:val="004233EB"/>
    <w:rsid w:val="004236FC"/>
    <w:rsid w:val="0042518A"/>
    <w:rsid w:val="004257AB"/>
    <w:rsid w:val="00427520"/>
    <w:rsid w:val="004276A0"/>
    <w:rsid w:val="00427AC2"/>
    <w:rsid w:val="00430F55"/>
    <w:rsid w:val="00432EBA"/>
    <w:rsid w:val="00433E8E"/>
    <w:rsid w:val="00433E97"/>
    <w:rsid w:val="00435524"/>
    <w:rsid w:val="00436C4E"/>
    <w:rsid w:val="00437EE9"/>
    <w:rsid w:val="0044056C"/>
    <w:rsid w:val="00440A4C"/>
    <w:rsid w:val="00440B1E"/>
    <w:rsid w:val="004410E7"/>
    <w:rsid w:val="00441143"/>
    <w:rsid w:val="00442128"/>
    <w:rsid w:val="00442970"/>
    <w:rsid w:val="00442E30"/>
    <w:rsid w:val="00444A63"/>
    <w:rsid w:val="00445265"/>
    <w:rsid w:val="00445F08"/>
    <w:rsid w:val="004464CF"/>
    <w:rsid w:val="0044692D"/>
    <w:rsid w:val="00450458"/>
    <w:rsid w:val="00450D35"/>
    <w:rsid w:val="00450F89"/>
    <w:rsid w:val="00453BBA"/>
    <w:rsid w:val="004549B5"/>
    <w:rsid w:val="004559CE"/>
    <w:rsid w:val="00457809"/>
    <w:rsid w:val="00457F02"/>
    <w:rsid w:val="00460E1A"/>
    <w:rsid w:val="00462BBC"/>
    <w:rsid w:val="00463530"/>
    <w:rsid w:val="00463ABC"/>
    <w:rsid w:val="00463DF8"/>
    <w:rsid w:val="0047121E"/>
    <w:rsid w:val="004728BC"/>
    <w:rsid w:val="004741D1"/>
    <w:rsid w:val="00475085"/>
    <w:rsid w:val="00475752"/>
    <w:rsid w:val="00475BC8"/>
    <w:rsid w:val="00476CF6"/>
    <w:rsid w:val="00477226"/>
    <w:rsid w:val="00477A20"/>
    <w:rsid w:val="00477AA8"/>
    <w:rsid w:val="00477BE0"/>
    <w:rsid w:val="00482487"/>
    <w:rsid w:val="0048420C"/>
    <w:rsid w:val="004851F3"/>
    <w:rsid w:val="004852FC"/>
    <w:rsid w:val="00487E83"/>
    <w:rsid w:val="004900F1"/>
    <w:rsid w:val="00490EA3"/>
    <w:rsid w:val="00490F9B"/>
    <w:rsid w:val="00492FCB"/>
    <w:rsid w:val="004939C6"/>
    <w:rsid w:val="00495908"/>
    <w:rsid w:val="0049674A"/>
    <w:rsid w:val="0049759A"/>
    <w:rsid w:val="0049778D"/>
    <w:rsid w:val="00497F86"/>
    <w:rsid w:val="004A09C2"/>
    <w:rsid w:val="004A0F11"/>
    <w:rsid w:val="004A3EAA"/>
    <w:rsid w:val="004A455A"/>
    <w:rsid w:val="004A7D97"/>
    <w:rsid w:val="004B063A"/>
    <w:rsid w:val="004B0B4F"/>
    <w:rsid w:val="004B156E"/>
    <w:rsid w:val="004B215C"/>
    <w:rsid w:val="004B2A9F"/>
    <w:rsid w:val="004B2B09"/>
    <w:rsid w:val="004B4C42"/>
    <w:rsid w:val="004B5133"/>
    <w:rsid w:val="004B613B"/>
    <w:rsid w:val="004B6561"/>
    <w:rsid w:val="004C128A"/>
    <w:rsid w:val="004C1EE2"/>
    <w:rsid w:val="004C2902"/>
    <w:rsid w:val="004C303E"/>
    <w:rsid w:val="004C41B6"/>
    <w:rsid w:val="004C42F1"/>
    <w:rsid w:val="004C4985"/>
    <w:rsid w:val="004C577B"/>
    <w:rsid w:val="004C5A05"/>
    <w:rsid w:val="004C6DC9"/>
    <w:rsid w:val="004D1877"/>
    <w:rsid w:val="004D6E37"/>
    <w:rsid w:val="004D728F"/>
    <w:rsid w:val="004D7DC3"/>
    <w:rsid w:val="004E00EA"/>
    <w:rsid w:val="004E1AFF"/>
    <w:rsid w:val="004E25D0"/>
    <w:rsid w:val="004E2C1F"/>
    <w:rsid w:val="004E394D"/>
    <w:rsid w:val="004E4A4B"/>
    <w:rsid w:val="004E6ABC"/>
    <w:rsid w:val="004E6B14"/>
    <w:rsid w:val="004F0013"/>
    <w:rsid w:val="004F025D"/>
    <w:rsid w:val="004F1DC8"/>
    <w:rsid w:val="004F328C"/>
    <w:rsid w:val="004F3CC2"/>
    <w:rsid w:val="004F4B92"/>
    <w:rsid w:val="004F5BBB"/>
    <w:rsid w:val="004F77F8"/>
    <w:rsid w:val="004F7EB1"/>
    <w:rsid w:val="00501B6C"/>
    <w:rsid w:val="00501CD0"/>
    <w:rsid w:val="00502A06"/>
    <w:rsid w:val="00502A9D"/>
    <w:rsid w:val="00503B7E"/>
    <w:rsid w:val="00503C49"/>
    <w:rsid w:val="005040F4"/>
    <w:rsid w:val="005076FD"/>
    <w:rsid w:val="00512678"/>
    <w:rsid w:val="00513216"/>
    <w:rsid w:val="005142CF"/>
    <w:rsid w:val="005153AC"/>
    <w:rsid w:val="00515ADF"/>
    <w:rsid w:val="00516785"/>
    <w:rsid w:val="00516DE7"/>
    <w:rsid w:val="00523FCE"/>
    <w:rsid w:val="0052419D"/>
    <w:rsid w:val="00525090"/>
    <w:rsid w:val="005263B9"/>
    <w:rsid w:val="00526D7C"/>
    <w:rsid w:val="0052720B"/>
    <w:rsid w:val="0053011C"/>
    <w:rsid w:val="005301F8"/>
    <w:rsid w:val="005312FC"/>
    <w:rsid w:val="00532C6D"/>
    <w:rsid w:val="005334A7"/>
    <w:rsid w:val="0053569E"/>
    <w:rsid w:val="0053603D"/>
    <w:rsid w:val="0053742A"/>
    <w:rsid w:val="00537C85"/>
    <w:rsid w:val="00541396"/>
    <w:rsid w:val="00541D29"/>
    <w:rsid w:val="00543F23"/>
    <w:rsid w:val="005455D8"/>
    <w:rsid w:val="00546A46"/>
    <w:rsid w:val="00550B9C"/>
    <w:rsid w:val="0055176E"/>
    <w:rsid w:val="00553550"/>
    <w:rsid w:val="00555C6C"/>
    <w:rsid w:val="00556163"/>
    <w:rsid w:val="00556915"/>
    <w:rsid w:val="00561188"/>
    <w:rsid w:val="005622C7"/>
    <w:rsid w:val="0056288B"/>
    <w:rsid w:val="00562F17"/>
    <w:rsid w:val="00563A5B"/>
    <w:rsid w:val="0056426D"/>
    <w:rsid w:val="00565035"/>
    <w:rsid w:val="00565232"/>
    <w:rsid w:val="0056582C"/>
    <w:rsid w:val="005703C9"/>
    <w:rsid w:val="00570FE3"/>
    <w:rsid w:val="00571360"/>
    <w:rsid w:val="00572C7D"/>
    <w:rsid w:val="005736BB"/>
    <w:rsid w:val="005757AD"/>
    <w:rsid w:val="00577281"/>
    <w:rsid w:val="005776B2"/>
    <w:rsid w:val="00581471"/>
    <w:rsid w:val="0058168F"/>
    <w:rsid w:val="00582567"/>
    <w:rsid w:val="00582686"/>
    <w:rsid w:val="00582B75"/>
    <w:rsid w:val="005840E8"/>
    <w:rsid w:val="00584880"/>
    <w:rsid w:val="00584F99"/>
    <w:rsid w:val="00585739"/>
    <w:rsid w:val="00586605"/>
    <w:rsid w:val="005868DE"/>
    <w:rsid w:val="00586A47"/>
    <w:rsid w:val="00587506"/>
    <w:rsid w:val="005877AC"/>
    <w:rsid w:val="00590C79"/>
    <w:rsid w:val="00590FF8"/>
    <w:rsid w:val="00591775"/>
    <w:rsid w:val="00591BB8"/>
    <w:rsid w:val="005930D5"/>
    <w:rsid w:val="00593E39"/>
    <w:rsid w:val="005941F2"/>
    <w:rsid w:val="00594366"/>
    <w:rsid w:val="00596452"/>
    <w:rsid w:val="005966B7"/>
    <w:rsid w:val="005A1A52"/>
    <w:rsid w:val="005A3A57"/>
    <w:rsid w:val="005A3D51"/>
    <w:rsid w:val="005A468F"/>
    <w:rsid w:val="005A5DA4"/>
    <w:rsid w:val="005A5ECB"/>
    <w:rsid w:val="005A6102"/>
    <w:rsid w:val="005B3ADE"/>
    <w:rsid w:val="005B3E7D"/>
    <w:rsid w:val="005B4A7F"/>
    <w:rsid w:val="005B5E2A"/>
    <w:rsid w:val="005C02A4"/>
    <w:rsid w:val="005C20D2"/>
    <w:rsid w:val="005C272E"/>
    <w:rsid w:val="005C32FE"/>
    <w:rsid w:val="005C503A"/>
    <w:rsid w:val="005C51C8"/>
    <w:rsid w:val="005C5200"/>
    <w:rsid w:val="005C5350"/>
    <w:rsid w:val="005C54CD"/>
    <w:rsid w:val="005C5571"/>
    <w:rsid w:val="005C7336"/>
    <w:rsid w:val="005C7591"/>
    <w:rsid w:val="005D024A"/>
    <w:rsid w:val="005D0B86"/>
    <w:rsid w:val="005D2124"/>
    <w:rsid w:val="005D2197"/>
    <w:rsid w:val="005D3480"/>
    <w:rsid w:val="005D4FD4"/>
    <w:rsid w:val="005D50F2"/>
    <w:rsid w:val="005D6D64"/>
    <w:rsid w:val="005D7146"/>
    <w:rsid w:val="005E0B17"/>
    <w:rsid w:val="005E0C73"/>
    <w:rsid w:val="005E0CB7"/>
    <w:rsid w:val="005E1D2B"/>
    <w:rsid w:val="005E46BB"/>
    <w:rsid w:val="005E4DDF"/>
    <w:rsid w:val="005E716D"/>
    <w:rsid w:val="005F1A9C"/>
    <w:rsid w:val="005F28A0"/>
    <w:rsid w:val="005F33FD"/>
    <w:rsid w:val="005F41EB"/>
    <w:rsid w:val="005F42FC"/>
    <w:rsid w:val="005F7CFA"/>
    <w:rsid w:val="00600968"/>
    <w:rsid w:val="00601285"/>
    <w:rsid w:val="00601650"/>
    <w:rsid w:val="00602F39"/>
    <w:rsid w:val="00603D0C"/>
    <w:rsid w:val="00604EEF"/>
    <w:rsid w:val="006057D2"/>
    <w:rsid w:val="00605AFD"/>
    <w:rsid w:val="00607743"/>
    <w:rsid w:val="00611705"/>
    <w:rsid w:val="00611E95"/>
    <w:rsid w:val="00611F76"/>
    <w:rsid w:val="006123D4"/>
    <w:rsid w:val="006136C1"/>
    <w:rsid w:val="006137E2"/>
    <w:rsid w:val="006140EB"/>
    <w:rsid w:val="0061445B"/>
    <w:rsid w:val="006168A0"/>
    <w:rsid w:val="00620F96"/>
    <w:rsid w:val="00621F01"/>
    <w:rsid w:val="00621FA1"/>
    <w:rsid w:val="006233AD"/>
    <w:rsid w:val="0062360A"/>
    <w:rsid w:val="00624C4B"/>
    <w:rsid w:val="00624FDB"/>
    <w:rsid w:val="00625DF5"/>
    <w:rsid w:val="00630F8D"/>
    <w:rsid w:val="00631846"/>
    <w:rsid w:val="00631F49"/>
    <w:rsid w:val="00632340"/>
    <w:rsid w:val="00632A24"/>
    <w:rsid w:val="0063470B"/>
    <w:rsid w:val="00634E54"/>
    <w:rsid w:val="0063515B"/>
    <w:rsid w:val="00635E18"/>
    <w:rsid w:val="0063616C"/>
    <w:rsid w:val="00636E3F"/>
    <w:rsid w:val="006371C6"/>
    <w:rsid w:val="006420A8"/>
    <w:rsid w:val="00642178"/>
    <w:rsid w:val="00645173"/>
    <w:rsid w:val="00645F36"/>
    <w:rsid w:val="006465C0"/>
    <w:rsid w:val="006469CC"/>
    <w:rsid w:val="006472DE"/>
    <w:rsid w:val="00647692"/>
    <w:rsid w:val="006513A5"/>
    <w:rsid w:val="00651903"/>
    <w:rsid w:val="0065386E"/>
    <w:rsid w:val="00654CFB"/>
    <w:rsid w:val="00655103"/>
    <w:rsid w:val="00657154"/>
    <w:rsid w:val="006572BF"/>
    <w:rsid w:val="00657DF9"/>
    <w:rsid w:val="00661298"/>
    <w:rsid w:val="00661E2A"/>
    <w:rsid w:val="006628E7"/>
    <w:rsid w:val="00662FA9"/>
    <w:rsid w:val="00663B51"/>
    <w:rsid w:val="00667A27"/>
    <w:rsid w:val="006701F0"/>
    <w:rsid w:val="00670FAC"/>
    <w:rsid w:val="00672B5D"/>
    <w:rsid w:val="0067399C"/>
    <w:rsid w:val="0067622C"/>
    <w:rsid w:val="006773D9"/>
    <w:rsid w:val="0067754D"/>
    <w:rsid w:val="006810C8"/>
    <w:rsid w:val="006812FC"/>
    <w:rsid w:val="006814C9"/>
    <w:rsid w:val="00682249"/>
    <w:rsid w:val="006830C0"/>
    <w:rsid w:val="00683C8F"/>
    <w:rsid w:val="00684B85"/>
    <w:rsid w:val="0068535C"/>
    <w:rsid w:val="00685CF7"/>
    <w:rsid w:val="00685DBE"/>
    <w:rsid w:val="00686165"/>
    <w:rsid w:val="00691CB5"/>
    <w:rsid w:val="006923DF"/>
    <w:rsid w:val="00693536"/>
    <w:rsid w:val="00693E70"/>
    <w:rsid w:val="00694BF4"/>
    <w:rsid w:val="00696E9D"/>
    <w:rsid w:val="00697734"/>
    <w:rsid w:val="006A0898"/>
    <w:rsid w:val="006A22A8"/>
    <w:rsid w:val="006A37F5"/>
    <w:rsid w:val="006A627A"/>
    <w:rsid w:val="006A64DC"/>
    <w:rsid w:val="006A660E"/>
    <w:rsid w:val="006A6E81"/>
    <w:rsid w:val="006A77DA"/>
    <w:rsid w:val="006B0A1F"/>
    <w:rsid w:val="006B2908"/>
    <w:rsid w:val="006B2EAB"/>
    <w:rsid w:val="006B35E5"/>
    <w:rsid w:val="006B38FF"/>
    <w:rsid w:val="006B4952"/>
    <w:rsid w:val="006B4F23"/>
    <w:rsid w:val="006B7465"/>
    <w:rsid w:val="006C0001"/>
    <w:rsid w:val="006C0E36"/>
    <w:rsid w:val="006C14C6"/>
    <w:rsid w:val="006C1892"/>
    <w:rsid w:val="006C22E3"/>
    <w:rsid w:val="006C495A"/>
    <w:rsid w:val="006C5B73"/>
    <w:rsid w:val="006C61E4"/>
    <w:rsid w:val="006C645D"/>
    <w:rsid w:val="006C659D"/>
    <w:rsid w:val="006C69A7"/>
    <w:rsid w:val="006C7590"/>
    <w:rsid w:val="006C7961"/>
    <w:rsid w:val="006C7BFE"/>
    <w:rsid w:val="006D07F5"/>
    <w:rsid w:val="006D1DFF"/>
    <w:rsid w:val="006D50E9"/>
    <w:rsid w:val="006D64C9"/>
    <w:rsid w:val="006E01C1"/>
    <w:rsid w:val="006E080F"/>
    <w:rsid w:val="006E127C"/>
    <w:rsid w:val="006E2D2A"/>
    <w:rsid w:val="006E3CC3"/>
    <w:rsid w:val="006E4A0D"/>
    <w:rsid w:val="006E5FEC"/>
    <w:rsid w:val="006F07C5"/>
    <w:rsid w:val="006F2D92"/>
    <w:rsid w:val="006F31B2"/>
    <w:rsid w:val="006F4FD9"/>
    <w:rsid w:val="006F58DD"/>
    <w:rsid w:val="006F741F"/>
    <w:rsid w:val="007034AC"/>
    <w:rsid w:val="00704F7D"/>
    <w:rsid w:val="00705233"/>
    <w:rsid w:val="00705B34"/>
    <w:rsid w:val="00706E8E"/>
    <w:rsid w:val="007078BC"/>
    <w:rsid w:val="00710A0F"/>
    <w:rsid w:val="0071305C"/>
    <w:rsid w:val="0071589D"/>
    <w:rsid w:val="00716278"/>
    <w:rsid w:val="00717989"/>
    <w:rsid w:val="007208DB"/>
    <w:rsid w:val="007210B4"/>
    <w:rsid w:val="007223B8"/>
    <w:rsid w:val="00722B53"/>
    <w:rsid w:val="00723C1A"/>
    <w:rsid w:val="00723EFC"/>
    <w:rsid w:val="00724C6A"/>
    <w:rsid w:val="00726139"/>
    <w:rsid w:val="007275BC"/>
    <w:rsid w:val="00727600"/>
    <w:rsid w:val="00730E95"/>
    <w:rsid w:val="007310C0"/>
    <w:rsid w:val="00733A5E"/>
    <w:rsid w:val="00736B50"/>
    <w:rsid w:val="00742366"/>
    <w:rsid w:val="00742AAD"/>
    <w:rsid w:val="00744484"/>
    <w:rsid w:val="0074489F"/>
    <w:rsid w:val="007451BB"/>
    <w:rsid w:val="007462D5"/>
    <w:rsid w:val="00746A37"/>
    <w:rsid w:val="00747EE3"/>
    <w:rsid w:val="00747FCF"/>
    <w:rsid w:val="007509DD"/>
    <w:rsid w:val="00750A1A"/>
    <w:rsid w:val="007528B4"/>
    <w:rsid w:val="007532FA"/>
    <w:rsid w:val="007545BF"/>
    <w:rsid w:val="007548B5"/>
    <w:rsid w:val="00763474"/>
    <w:rsid w:val="00763C56"/>
    <w:rsid w:val="00764971"/>
    <w:rsid w:val="00766184"/>
    <w:rsid w:val="00766DD3"/>
    <w:rsid w:val="00767793"/>
    <w:rsid w:val="007679F3"/>
    <w:rsid w:val="00772335"/>
    <w:rsid w:val="00772609"/>
    <w:rsid w:val="0077458A"/>
    <w:rsid w:val="00776253"/>
    <w:rsid w:val="00776AC7"/>
    <w:rsid w:val="0077719F"/>
    <w:rsid w:val="00777817"/>
    <w:rsid w:val="00781253"/>
    <w:rsid w:val="007814D7"/>
    <w:rsid w:val="0078257B"/>
    <w:rsid w:val="007836A2"/>
    <w:rsid w:val="00783D75"/>
    <w:rsid w:val="00784C0A"/>
    <w:rsid w:val="00787B93"/>
    <w:rsid w:val="00790307"/>
    <w:rsid w:val="00790447"/>
    <w:rsid w:val="00790A24"/>
    <w:rsid w:val="00790BC2"/>
    <w:rsid w:val="00790C4D"/>
    <w:rsid w:val="007920D5"/>
    <w:rsid w:val="00792415"/>
    <w:rsid w:val="0079340E"/>
    <w:rsid w:val="00793BD9"/>
    <w:rsid w:val="00793DCF"/>
    <w:rsid w:val="00794B40"/>
    <w:rsid w:val="00796E26"/>
    <w:rsid w:val="007A08C3"/>
    <w:rsid w:val="007A1079"/>
    <w:rsid w:val="007A4398"/>
    <w:rsid w:val="007A71E8"/>
    <w:rsid w:val="007B0234"/>
    <w:rsid w:val="007B0854"/>
    <w:rsid w:val="007B0F59"/>
    <w:rsid w:val="007B1CF3"/>
    <w:rsid w:val="007B1E33"/>
    <w:rsid w:val="007B1E5F"/>
    <w:rsid w:val="007B2634"/>
    <w:rsid w:val="007B2677"/>
    <w:rsid w:val="007B47D2"/>
    <w:rsid w:val="007B50BE"/>
    <w:rsid w:val="007B6436"/>
    <w:rsid w:val="007B7066"/>
    <w:rsid w:val="007B70B1"/>
    <w:rsid w:val="007B7153"/>
    <w:rsid w:val="007B76AB"/>
    <w:rsid w:val="007C02CD"/>
    <w:rsid w:val="007C21A7"/>
    <w:rsid w:val="007C5858"/>
    <w:rsid w:val="007C5ACB"/>
    <w:rsid w:val="007D0CC1"/>
    <w:rsid w:val="007D2EA5"/>
    <w:rsid w:val="007D4725"/>
    <w:rsid w:val="007D54A9"/>
    <w:rsid w:val="007D592B"/>
    <w:rsid w:val="007D5AA6"/>
    <w:rsid w:val="007D6429"/>
    <w:rsid w:val="007D7943"/>
    <w:rsid w:val="007D7A91"/>
    <w:rsid w:val="007D7D31"/>
    <w:rsid w:val="007E0D6C"/>
    <w:rsid w:val="007E1769"/>
    <w:rsid w:val="007E1BA8"/>
    <w:rsid w:val="007E1EA2"/>
    <w:rsid w:val="007E366D"/>
    <w:rsid w:val="007E4764"/>
    <w:rsid w:val="007E561A"/>
    <w:rsid w:val="007E6456"/>
    <w:rsid w:val="007F0C36"/>
    <w:rsid w:val="007F2DB4"/>
    <w:rsid w:val="007F4622"/>
    <w:rsid w:val="007F4DAF"/>
    <w:rsid w:val="007F5010"/>
    <w:rsid w:val="007F640E"/>
    <w:rsid w:val="007F7029"/>
    <w:rsid w:val="007F716F"/>
    <w:rsid w:val="007F7F33"/>
    <w:rsid w:val="0080064B"/>
    <w:rsid w:val="0080194A"/>
    <w:rsid w:val="00803D76"/>
    <w:rsid w:val="008045F7"/>
    <w:rsid w:val="008108A0"/>
    <w:rsid w:val="00811943"/>
    <w:rsid w:val="00815C81"/>
    <w:rsid w:val="00817BBF"/>
    <w:rsid w:val="00820A97"/>
    <w:rsid w:val="00823F4F"/>
    <w:rsid w:val="00824E76"/>
    <w:rsid w:val="0082586E"/>
    <w:rsid w:val="00825F99"/>
    <w:rsid w:val="008274E8"/>
    <w:rsid w:val="00827870"/>
    <w:rsid w:val="008304EB"/>
    <w:rsid w:val="008311B8"/>
    <w:rsid w:val="008321EA"/>
    <w:rsid w:val="00833019"/>
    <w:rsid w:val="00833BB8"/>
    <w:rsid w:val="00834243"/>
    <w:rsid w:val="0083497F"/>
    <w:rsid w:val="00834DB4"/>
    <w:rsid w:val="008374C4"/>
    <w:rsid w:val="0084025C"/>
    <w:rsid w:val="00841698"/>
    <w:rsid w:val="0084342A"/>
    <w:rsid w:val="00850D12"/>
    <w:rsid w:val="00851371"/>
    <w:rsid w:val="008544EA"/>
    <w:rsid w:val="008546C4"/>
    <w:rsid w:val="008548E5"/>
    <w:rsid w:val="008553D7"/>
    <w:rsid w:val="00856217"/>
    <w:rsid w:val="00856487"/>
    <w:rsid w:val="00857668"/>
    <w:rsid w:val="00857969"/>
    <w:rsid w:val="0086181A"/>
    <w:rsid w:val="00864540"/>
    <w:rsid w:val="00865922"/>
    <w:rsid w:val="00870473"/>
    <w:rsid w:val="0087098B"/>
    <w:rsid w:val="00870BE4"/>
    <w:rsid w:val="00871133"/>
    <w:rsid w:val="008714D1"/>
    <w:rsid w:val="00871C8D"/>
    <w:rsid w:val="00872B5D"/>
    <w:rsid w:val="00873479"/>
    <w:rsid w:val="00875167"/>
    <w:rsid w:val="0087538F"/>
    <w:rsid w:val="00876AB5"/>
    <w:rsid w:val="00876B84"/>
    <w:rsid w:val="00877DF4"/>
    <w:rsid w:val="00882245"/>
    <w:rsid w:val="00882CC4"/>
    <w:rsid w:val="00882F0C"/>
    <w:rsid w:val="008844AC"/>
    <w:rsid w:val="00884926"/>
    <w:rsid w:val="0088666B"/>
    <w:rsid w:val="00890349"/>
    <w:rsid w:val="00892645"/>
    <w:rsid w:val="00896780"/>
    <w:rsid w:val="00896E57"/>
    <w:rsid w:val="00897735"/>
    <w:rsid w:val="00897F46"/>
    <w:rsid w:val="008A106E"/>
    <w:rsid w:val="008A1B2D"/>
    <w:rsid w:val="008A4AD5"/>
    <w:rsid w:val="008A798E"/>
    <w:rsid w:val="008B0BC0"/>
    <w:rsid w:val="008B1362"/>
    <w:rsid w:val="008B38E4"/>
    <w:rsid w:val="008B5055"/>
    <w:rsid w:val="008B7230"/>
    <w:rsid w:val="008C0473"/>
    <w:rsid w:val="008C1468"/>
    <w:rsid w:val="008C422E"/>
    <w:rsid w:val="008C4B22"/>
    <w:rsid w:val="008C72D7"/>
    <w:rsid w:val="008C7E61"/>
    <w:rsid w:val="008C7F71"/>
    <w:rsid w:val="008D0043"/>
    <w:rsid w:val="008D0352"/>
    <w:rsid w:val="008D2408"/>
    <w:rsid w:val="008D29D0"/>
    <w:rsid w:val="008D2DD8"/>
    <w:rsid w:val="008D339F"/>
    <w:rsid w:val="008D4160"/>
    <w:rsid w:val="008D43B4"/>
    <w:rsid w:val="008D5FE6"/>
    <w:rsid w:val="008D7A6F"/>
    <w:rsid w:val="008E16BE"/>
    <w:rsid w:val="008E4C44"/>
    <w:rsid w:val="008E60C4"/>
    <w:rsid w:val="008E6292"/>
    <w:rsid w:val="008E73A3"/>
    <w:rsid w:val="008E7486"/>
    <w:rsid w:val="008F05D7"/>
    <w:rsid w:val="008F1874"/>
    <w:rsid w:val="008F23EB"/>
    <w:rsid w:val="008F29B1"/>
    <w:rsid w:val="008F31DE"/>
    <w:rsid w:val="008F42BE"/>
    <w:rsid w:val="008F49B0"/>
    <w:rsid w:val="008F6BFD"/>
    <w:rsid w:val="008F6C0C"/>
    <w:rsid w:val="00901469"/>
    <w:rsid w:val="00901621"/>
    <w:rsid w:val="00901C08"/>
    <w:rsid w:val="009020B3"/>
    <w:rsid w:val="009049F7"/>
    <w:rsid w:val="00904B9A"/>
    <w:rsid w:val="00905C04"/>
    <w:rsid w:val="00906E61"/>
    <w:rsid w:val="00910F45"/>
    <w:rsid w:val="00912F59"/>
    <w:rsid w:val="009174F6"/>
    <w:rsid w:val="00917E28"/>
    <w:rsid w:val="009213AE"/>
    <w:rsid w:val="00923719"/>
    <w:rsid w:val="009250E6"/>
    <w:rsid w:val="00925AA5"/>
    <w:rsid w:val="00925CA4"/>
    <w:rsid w:val="0092714B"/>
    <w:rsid w:val="00927422"/>
    <w:rsid w:val="0093337D"/>
    <w:rsid w:val="00934E9A"/>
    <w:rsid w:val="0093540D"/>
    <w:rsid w:val="00936387"/>
    <w:rsid w:val="00936C63"/>
    <w:rsid w:val="0094019D"/>
    <w:rsid w:val="00940246"/>
    <w:rsid w:val="00942C11"/>
    <w:rsid w:val="00942CB1"/>
    <w:rsid w:val="0094351F"/>
    <w:rsid w:val="00945FC1"/>
    <w:rsid w:val="009470B8"/>
    <w:rsid w:val="00952FA5"/>
    <w:rsid w:val="00953806"/>
    <w:rsid w:val="009547F8"/>
    <w:rsid w:val="00957E31"/>
    <w:rsid w:val="009613BE"/>
    <w:rsid w:val="0096194B"/>
    <w:rsid w:val="0096206E"/>
    <w:rsid w:val="00962ACF"/>
    <w:rsid w:val="00965032"/>
    <w:rsid w:val="009666CF"/>
    <w:rsid w:val="0097179E"/>
    <w:rsid w:val="0097186D"/>
    <w:rsid w:val="00971DB9"/>
    <w:rsid w:val="0097229E"/>
    <w:rsid w:val="009729D4"/>
    <w:rsid w:val="00972C79"/>
    <w:rsid w:val="00972C9C"/>
    <w:rsid w:val="00975E4C"/>
    <w:rsid w:val="009775CB"/>
    <w:rsid w:val="00977E4E"/>
    <w:rsid w:val="00980455"/>
    <w:rsid w:val="00980759"/>
    <w:rsid w:val="00981085"/>
    <w:rsid w:val="009810FA"/>
    <w:rsid w:val="009817B0"/>
    <w:rsid w:val="009821CE"/>
    <w:rsid w:val="009822F9"/>
    <w:rsid w:val="009833F4"/>
    <w:rsid w:val="009847C5"/>
    <w:rsid w:val="0098543D"/>
    <w:rsid w:val="009870A5"/>
    <w:rsid w:val="0098723D"/>
    <w:rsid w:val="00990B8E"/>
    <w:rsid w:val="00992C3A"/>
    <w:rsid w:val="00992C64"/>
    <w:rsid w:val="00995154"/>
    <w:rsid w:val="00995A20"/>
    <w:rsid w:val="00996673"/>
    <w:rsid w:val="00997635"/>
    <w:rsid w:val="009A277C"/>
    <w:rsid w:val="009A3554"/>
    <w:rsid w:val="009A5423"/>
    <w:rsid w:val="009A5642"/>
    <w:rsid w:val="009A658F"/>
    <w:rsid w:val="009A65CD"/>
    <w:rsid w:val="009A66BD"/>
    <w:rsid w:val="009B06E3"/>
    <w:rsid w:val="009B088F"/>
    <w:rsid w:val="009B2249"/>
    <w:rsid w:val="009B2EC1"/>
    <w:rsid w:val="009B3903"/>
    <w:rsid w:val="009B4656"/>
    <w:rsid w:val="009C3B01"/>
    <w:rsid w:val="009C4692"/>
    <w:rsid w:val="009C469B"/>
    <w:rsid w:val="009C478C"/>
    <w:rsid w:val="009C47A0"/>
    <w:rsid w:val="009C5401"/>
    <w:rsid w:val="009C6B63"/>
    <w:rsid w:val="009C6BA2"/>
    <w:rsid w:val="009D0938"/>
    <w:rsid w:val="009D1D06"/>
    <w:rsid w:val="009D2C05"/>
    <w:rsid w:val="009D2CFF"/>
    <w:rsid w:val="009D6F04"/>
    <w:rsid w:val="009D7226"/>
    <w:rsid w:val="009E04E4"/>
    <w:rsid w:val="009E0BD0"/>
    <w:rsid w:val="009E0CA5"/>
    <w:rsid w:val="009E1412"/>
    <w:rsid w:val="009E171B"/>
    <w:rsid w:val="009E2C07"/>
    <w:rsid w:val="009E495C"/>
    <w:rsid w:val="009E49E3"/>
    <w:rsid w:val="009E4C34"/>
    <w:rsid w:val="009E5A76"/>
    <w:rsid w:val="009E74A0"/>
    <w:rsid w:val="009E7B4B"/>
    <w:rsid w:val="009F0052"/>
    <w:rsid w:val="009F3B01"/>
    <w:rsid w:val="009F6B6A"/>
    <w:rsid w:val="00A00436"/>
    <w:rsid w:val="00A0090B"/>
    <w:rsid w:val="00A015E8"/>
    <w:rsid w:val="00A025FF"/>
    <w:rsid w:val="00A02A1C"/>
    <w:rsid w:val="00A030D0"/>
    <w:rsid w:val="00A044EA"/>
    <w:rsid w:val="00A05633"/>
    <w:rsid w:val="00A06112"/>
    <w:rsid w:val="00A06280"/>
    <w:rsid w:val="00A07CC6"/>
    <w:rsid w:val="00A07D47"/>
    <w:rsid w:val="00A10593"/>
    <w:rsid w:val="00A11D5A"/>
    <w:rsid w:val="00A12F13"/>
    <w:rsid w:val="00A12F62"/>
    <w:rsid w:val="00A13155"/>
    <w:rsid w:val="00A136A8"/>
    <w:rsid w:val="00A13C53"/>
    <w:rsid w:val="00A14FE9"/>
    <w:rsid w:val="00A1673C"/>
    <w:rsid w:val="00A16A1E"/>
    <w:rsid w:val="00A2054E"/>
    <w:rsid w:val="00A209DB"/>
    <w:rsid w:val="00A2211D"/>
    <w:rsid w:val="00A2236A"/>
    <w:rsid w:val="00A24911"/>
    <w:rsid w:val="00A2760F"/>
    <w:rsid w:val="00A27741"/>
    <w:rsid w:val="00A3025B"/>
    <w:rsid w:val="00A30627"/>
    <w:rsid w:val="00A314D1"/>
    <w:rsid w:val="00A3172F"/>
    <w:rsid w:val="00A34B6D"/>
    <w:rsid w:val="00A36F74"/>
    <w:rsid w:val="00A3749B"/>
    <w:rsid w:val="00A37D87"/>
    <w:rsid w:val="00A404B1"/>
    <w:rsid w:val="00A4180A"/>
    <w:rsid w:val="00A4389E"/>
    <w:rsid w:val="00A4509E"/>
    <w:rsid w:val="00A500B2"/>
    <w:rsid w:val="00A504C6"/>
    <w:rsid w:val="00A5058E"/>
    <w:rsid w:val="00A505DF"/>
    <w:rsid w:val="00A50D88"/>
    <w:rsid w:val="00A51497"/>
    <w:rsid w:val="00A5156F"/>
    <w:rsid w:val="00A51B08"/>
    <w:rsid w:val="00A528DD"/>
    <w:rsid w:val="00A52D3C"/>
    <w:rsid w:val="00A54292"/>
    <w:rsid w:val="00A54654"/>
    <w:rsid w:val="00A54CDA"/>
    <w:rsid w:val="00A55885"/>
    <w:rsid w:val="00A560BB"/>
    <w:rsid w:val="00A56923"/>
    <w:rsid w:val="00A625D6"/>
    <w:rsid w:val="00A62E42"/>
    <w:rsid w:val="00A63828"/>
    <w:rsid w:val="00A646DA"/>
    <w:rsid w:val="00A64A71"/>
    <w:rsid w:val="00A65143"/>
    <w:rsid w:val="00A65CD3"/>
    <w:rsid w:val="00A66825"/>
    <w:rsid w:val="00A67A1F"/>
    <w:rsid w:val="00A7011D"/>
    <w:rsid w:val="00A704DC"/>
    <w:rsid w:val="00A7236C"/>
    <w:rsid w:val="00A72960"/>
    <w:rsid w:val="00A72D8F"/>
    <w:rsid w:val="00A73C51"/>
    <w:rsid w:val="00A7408E"/>
    <w:rsid w:val="00A74815"/>
    <w:rsid w:val="00A76481"/>
    <w:rsid w:val="00A76C1D"/>
    <w:rsid w:val="00A822F7"/>
    <w:rsid w:val="00A86551"/>
    <w:rsid w:val="00A869D6"/>
    <w:rsid w:val="00A86A1F"/>
    <w:rsid w:val="00A90143"/>
    <w:rsid w:val="00A90923"/>
    <w:rsid w:val="00A91119"/>
    <w:rsid w:val="00A912ED"/>
    <w:rsid w:val="00A93401"/>
    <w:rsid w:val="00A9393F"/>
    <w:rsid w:val="00A94D60"/>
    <w:rsid w:val="00A952A2"/>
    <w:rsid w:val="00A954BA"/>
    <w:rsid w:val="00A9672B"/>
    <w:rsid w:val="00A97160"/>
    <w:rsid w:val="00AA0C9C"/>
    <w:rsid w:val="00AA3C85"/>
    <w:rsid w:val="00AA3DF1"/>
    <w:rsid w:val="00AA4ECF"/>
    <w:rsid w:val="00AA63F3"/>
    <w:rsid w:val="00AA64C4"/>
    <w:rsid w:val="00AB00A9"/>
    <w:rsid w:val="00AB25F2"/>
    <w:rsid w:val="00AB3CF8"/>
    <w:rsid w:val="00AB408F"/>
    <w:rsid w:val="00AB44A7"/>
    <w:rsid w:val="00AB4980"/>
    <w:rsid w:val="00AB56CF"/>
    <w:rsid w:val="00AB5B8D"/>
    <w:rsid w:val="00AB6422"/>
    <w:rsid w:val="00AB738A"/>
    <w:rsid w:val="00AC3196"/>
    <w:rsid w:val="00AC3B2A"/>
    <w:rsid w:val="00AC3BA5"/>
    <w:rsid w:val="00AC4065"/>
    <w:rsid w:val="00AC43A5"/>
    <w:rsid w:val="00AC64B9"/>
    <w:rsid w:val="00AC7592"/>
    <w:rsid w:val="00AC7A24"/>
    <w:rsid w:val="00AD2384"/>
    <w:rsid w:val="00AD3635"/>
    <w:rsid w:val="00AD3B23"/>
    <w:rsid w:val="00AD3DBA"/>
    <w:rsid w:val="00AD4086"/>
    <w:rsid w:val="00AD6219"/>
    <w:rsid w:val="00AD7890"/>
    <w:rsid w:val="00AD7C3E"/>
    <w:rsid w:val="00AE0A2A"/>
    <w:rsid w:val="00AE20AC"/>
    <w:rsid w:val="00AE2D16"/>
    <w:rsid w:val="00AE2F90"/>
    <w:rsid w:val="00AE3626"/>
    <w:rsid w:val="00AF0BEA"/>
    <w:rsid w:val="00AF2240"/>
    <w:rsid w:val="00AF4622"/>
    <w:rsid w:val="00AF49C7"/>
    <w:rsid w:val="00AF4A61"/>
    <w:rsid w:val="00AF7956"/>
    <w:rsid w:val="00B035CE"/>
    <w:rsid w:val="00B037A9"/>
    <w:rsid w:val="00B03DD6"/>
    <w:rsid w:val="00B04A10"/>
    <w:rsid w:val="00B05B1C"/>
    <w:rsid w:val="00B061EE"/>
    <w:rsid w:val="00B06DCB"/>
    <w:rsid w:val="00B07F23"/>
    <w:rsid w:val="00B11393"/>
    <w:rsid w:val="00B11FB5"/>
    <w:rsid w:val="00B12528"/>
    <w:rsid w:val="00B12CFD"/>
    <w:rsid w:val="00B12F61"/>
    <w:rsid w:val="00B132EC"/>
    <w:rsid w:val="00B14B0C"/>
    <w:rsid w:val="00B17C39"/>
    <w:rsid w:val="00B214C6"/>
    <w:rsid w:val="00B21940"/>
    <w:rsid w:val="00B242AE"/>
    <w:rsid w:val="00B24580"/>
    <w:rsid w:val="00B247A6"/>
    <w:rsid w:val="00B273DB"/>
    <w:rsid w:val="00B278EA"/>
    <w:rsid w:val="00B33390"/>
    <w:rsid w:val="00B3354D"/>
    <w:rsid w:val="00B3583B"/>
    <w:rsid w:val="00B362BC"/>
    <w:rsid w:val="00B37A8F"/>
    <w:rsid w:val="00B43D74"/>
    <w:rsid w:val="00B45701"/>
    <w:rsid w:val="00B46BB6"/>
    <w:rsid w:val="00B521F8"/>
    <w:rsid w:val="00B52776"/>
    <w:rsid w:val="00B52BF9"/>
    <w:rsid w:val="00B534B5"/>
    <w:rsid w:val="00B5474F"/>
    <w:rsid w:val="00B54AAD"/>
    <w:rsid w:val="00B55ADD"/>
    <w:rsid w:val="00B55B04"/>
    <w:rsid w:val="00B55BA8"/>
    <w:rsid w:val="00B56816"/>
    <w:rsid w:val="00B56DE9"/>
    <w:rsid w:val="00B574A1"/>
    <w:rsid w:val="00B57C9C"/>
    <w:rsid w:val="00B600DC"/>
    <w:rsid w:val="00B6241E"/>
    <w:rsid w:val="00B6386E"/>
    <w:rsid w:val="00B64167"/>
    <w:rsid w:val="00B6467B"/>
    <w:rsid w:val="00B65347"/>
    <w:rsid w:val="00B65A44"/>
    <w:rsid w:val="00B65DE1"/>
    <w:rsid w:val="00B6625C"/>
    <w:rsid w:val="00B66783"/>
    <w:rsid w:val="00B66F09"/>
    <w:rsid w:val="00B70D04"/>
    <w:rsid w:val="00B710EE"/>
    <w:rsid w:val="00B71C11"/>
    <w:rsid w:val="00B72AF0"/>
    <w:rsid w:val="00B737EB"/>
    <w:rsid w:val="00B73E04"/>
    <w:rsid w:val="00B7463D"/>
    <w:rsid w:val="00B750ED"/>
    <w:rsid w:val="00B75214"/>
    <w:rsid w:val="00B75478"/>
    <w:rsid w:val="00B7659E"/>
    <w:rsid w:val="00B765BC"/>
    <w:rsid w:val="00B76F2D"/>
    <w:rsid w:val="00B775EE"/>
    <w:rsid w:val="00B77E68"/>
    <w:rsid w:val="00B80549"/>
    <w:rsid w:val="00B8172B"/>
    <w:rsid w:val="00B83B62"/>
    <w:rsid w:val="00B846A7"/>
    <w:rsid w:val="00B850CA"/>
    <w:rsid w:val="00B87927"/>
    <w:rsid w:val="00B9126B"/>
    <w:rsid w:val="00B91478"/>
    <w:rsid w:val="00B915D3"/>
    <w:rsid w:val="00B931D6"/>
    <w:rsid w:val="00B93531"/>
    <w:rsid w:val="00B93D78"/>
    <w:rsid w:val="00B97236"/>
    <w:rsid w:val="00B97308"/>
    <w:rsid w:val="00BA3781"/>
    <w:rsid w:val="00BA4353"/>
    <w:rsid w:val="00BA5CAB"/>
    <w:rsid w:val="00BA5EB9"/>
    <w:rsid w:val="00BA7BFF"/>
    <w:rsid w:val="00BB00F3"/>
    <w:rsid w:val="00BB17C2"/>
    <w:rsid w:val="00BB3BD8"/>
    <w:rsid w:val="00BB4A96"/>
    <w:rsid w:val="00BB4F51"/>
    <w:rsid w:val="00BB5AA6"/>
    <w:rsid w:val="00BB6803"/>
    <w:rsid w:val="00BC078D"/>
    <w:rsid w:val="00BC4996"/>
    <w:rsid w:val="00BC68B6"/>
    <w:rsid w:val="00BC6E69"/>
    <w:rsid w:val="00BD26AA"/>
    <w:rsid w:val="00BD2B12"/>
    <w:rsid w:val="00BD454F"/>
    <w:rsid w:val="00BD495D"/>
    <w:rsid w:val="00BD5B09"/>
    <w:rsid w:val="00BD659D"/>
    <w:rsid w:val="00BD6ADB"/>
    <w:rsid w:val="00BE06AF"/>
    <w:rsid w:val="00BE1074"/>
    <w:rsid w:val="00BE110C"/>
    <w:rsid w:val="00BE1544"/>
    <w:rsid w:val="00BE200E"/>
    <w:rsid w:val="00BE3572"/>
    <w:rsid w:val="00BE368F"/>
    <w:rsid w:val="00BE4722"/>
    <w:rsid w:val="00BE57C7"/>
    <w:rsid w:val="00BE5985"/>
    <w:rsid w:val="00BE62AB"/>
    <w:rsid w:val="00BE62F5"/>
    <w:rsid w:val="00BE7005"/>
    <w:rsid w:val="00BE79F2"/>
    <w:rsid w:val="00BE7EA5"/>
    <w:rsid w:val="00BF251F"/>
    <w:rsid w:val="00BF3681"/>
    <w:rsid w:val="00BF3DBE"/>
    <w:rsid w:val="00BF5926"/>
    <w:rsid w:val="00BF5AC4"/>
    <w:rsid w:val="00BF5D86"/>
    <w:rsid w:val="00BF669F"/>
    <w:rsid w:val="00BF7F00"/>
    <w:rsid w:val="00C004CC"/>
    <w:rsid w:val="00C01370"/>
    <w:rsid w:val="00C014AB"/>
    <w:rsid w:val="00C01CD8"/>
    <w:rsid w:val="00C01DCC"/>
    <w:rsid w:val="00C0371E"/>
    <w:rsid w:val="00C03741"/>
    <w:rsid w:val="00C03AD3"/>
    <w:rsid w:val="00C04B70"/>
    <w:rsid w:val="00C04E92"/>
    <w:rsid w:val="00C05BC6"/>
    <w:rsid w:val="00C05DC9"/>
    <w:rsid w:val="00C06A8C"/>
    <w:rsid w:val="00C10022"/>
    <w:rsid w:val="00C10898"/>
    <w:rsid w:val="00C11B28"/>
    <w:rsid w:val="00C12B3F"/>
    <w:rsid w:val="00C13A02"/>
    <w:rsid w:val="00C13F5E"/>
    <w:rsid w:val="00C160EE"/>
    <w:rsid w:val="00C17B36"/>
    <w:rsid w:val="00C202B3"/>
    <w:rsid w:val="00C21EE0"/>
    <w:rsid w:val="00C24276"/>
    <w:rsid w:val="00C246CF"/>
    <w:rsid w:val="00C2471F"/>
    <w:rsid w:val="00C247BB"/>
    <w:rsid w:val="00C248B9"/>
    <w:rsid w:val="00C26EE8"/>
    <w:rsid w:val="00C2779C"/>
    <w:rsid w:val="00C30297"/>
    <w:rsid w:val="00C3092F"/>
    <w:rsid w:val="00C31450"/>
    <w:rsid w:val="00C32977"/>
    <w:rsid w:val="00C33125"/>
    <w:rsid w:val="00C34FEC"/>
    <w:rsid w:val="00C36D3E"/>
    <w:rsid w:val="00C40694"/>
    <w:rsid w:val="00C409B2"/>
    <w:rsid w:val="00C40C8B"/>
    <w:rsid w:val="00C411DB"/>
    <w:rsid w:val="00C42192"/>
    <w:rsid w:val="00C42F7C"/>
    <w:rsid w:val="00C45C85"/>
    <w:rsid w:val="00C4746F"/>
    <w:rsid w:val="00C47796"/>
    <w:rsid w:val="00C47CDF"/>
    <w:rsid w:val="00C50798"/>
    <w:rsid w:val="00C50B44"/>
    <w:rsid w:val="00C50B48"/>
    <w:rsid w:val="00C517DF"/>
    <w:rsid w:val="00C5282A"/>
    <w:rsid w:val="00C53314"/>
    <w:rsid w:val="00C550AE"/>
    <w:rsid w:val="00C55155"/>
    <w:rsid w:val="00C553FF"/>
    <w:rsid w:val="00C555AC"/>
    <w:rsid w:val="00C55860"/>
    <w:rsid w:val="00C55C19"/>
    <w:rsid w:val="00C60B0F"/>
    <w:rsid w:val="00C613C7"/>
    <w:rsid w:val="00C62AF4"/>
    <w:rsid w:val="00C64F60"/>
    <w:rsid w:val="00C65499"/>
    <w:rsid w:val="00C65C13"/>
    <w:rsid w:val="00C65E71"/>
    <w:rsid w:val="00C65FEB"/>
    <w:rsid w:val="00C70E6F"/>
    <w:rsid w:val="00C70EB8"/>
    <w:rsid w:val="00C713ED"/>
    <w:rsid w:val="00C71771"/>
    <w:rsid w:val="00C72156"/>
    <w:rsid w:val="00C72318"/>
    <w:rsid w:val="00C724E6"/>
    <w:rsid w:val="00C72BDB"/>
    <w:rsid w:val="00C747A5"/>
    <w:rsid w:val="00C75681"/>
    <w:rsid w:val="00C75D3C"/>
    <w:rsid w:val="00C779D3"/>
    <w:rsid w:val="00C77D7D"/>
    <w:rsid w:val="00C80066"/>
    <w:rsid w:val="00C80CAA"/>
    <w:rsid w:val="00C83271"/>
    <w:rsid w:val="00C8369A"/>
    <w:rsid w:val="00C85314"/>
    <w:rsid w:val="00C86B77"/>
    <w:rsid w:val="00C87E29"/>
    <w:rsid w:val="00C90FA9"/>
    <w:rsid w:val="00C91B34"/>
    <w:rsid w:val="00C920CD"/>
    <w:rsid w:val="00C922AE"/>
    <w:rsid w:val="00C94ED3"/>
    <w:rsid w:val="00C95B53"/>
    <w:rsid w:val="00C964E0"/>
    <w:rsid w:val="00C972E3"/>
    <w:rsid w:val="00C9734C"/>
    <w:rsid w:val="00C97932"/>
    <w:rsid w:val="00C97FD5"/>
    <w:rsid w:val="00CA0116"/>
    <w:rsid w:val="00CA1094"/>
    <w:rsid w:val="00CA143C"/>
    <w:rsid w:val="00CA1B3E"/>
    <w:rsid w:val="00CA220D"/>
    <w:rsid w:val="00CA4AE4"/>
    <w:rsid w:val="00CA4BC0"/>
    <w:rsid w:val="00CA5098"/>
    <w:rsid w:val="00CA5729"/>
    <w:rsid w:val="00CA5CA8"/>
    <w:rsid w:val="00CA745D"/>
    <w:rsid w:val="00CB0078"/>
    <w:rsid w:val="00CB0157"/>
    <w:rsid w:val="00CB2536"/>
    <w:rsid w:val="00CB25AE"/>
    <w:rsid w:val="00CB28E9"/>
    <w:rsid w:val="00CB29F3"/>
    <w:rsid w:val="00CB3FDE"/>
    <w:rsid w:val="00CB5205"/>
    <w:rsid w:val="00CB6429"/>
    <w:rsid w:val="00CB646F"/>
    <w:rsid w:val="00CB6829"/>
    <w:rsid w:val="00CB7622"/>
    <w:rsid w:val="00CB77F7"/>
    <w:rsid w:val="00CC1976"/>
    <w:rsid w:val="00CC2F27"/>
    <w:rsid w:val="00CC38AC"/>
    <w:rsid w:val="00CC559D"/>
    <w:rsid w:val="00CC65EF"/>
    <w:rsid w:val="00CC7539"/>
    <w:rsid w:val="00CC78A0"/>
    <w:rsid w:val="00CC78B5"/>
    <w:rsid w:val="00CC7D21"/>
    <w:rsid w:val="00CD09A6"/>
    <w:rsid w:val="00CD0C13"/>
    <w:rsid w:val="00CD1799"/>
    <w:rsid w:val="00CD29FF"/>
    <w:rsid w:val="00CD2F6C"/>
    <w:rsid w:val="00CD3272"/>
    <w:rsid w:val="00CD5715"/>
    <w:rsid w:val="00CD5EE1"/>
    <w:rsid w:val="00CD654B"/>
    <w:rsid w:val="00CD6B1B"/>
    <w:rsid w:val="00CD6CD8"/>
    <w:rsid w:val="00CD6EEF"/>
    <w:rsid w:val="00CE09C8"/>
    <w:rsid w:val="00CE13A4"/>
    <w:rsid w:val="00CE223E"/>
    <w:rsid w:val="00CE282F"/>
    <w:rsid w:val="00CE3559"/>
    <w:rsid w:val="00CE379D"/>
    <w:rsid w:val="00CE3CE5"/>
    <w:rsid w:val="00CE630B"/>
    <w:rsid w:val="00CF1643"/>
    <w:rsid w:val="00CF27D1"/>
    <w:rsid w:val="00CF286C"/>
    <w:rsid w:val="00CF3F0D"/>
    <w:rsid w:val="00CF444C"/>
    <w:rsid w:val="00CF6C73"/>
    <w:rsid w:val="00D00CE8"/>
    <w:rsid w:val="00D031FB"/>
    <w:rsid w:val="00D0497B"/>
    <w:rsid w:val="00D06507"/>
    <w:rsid w:val="00D06AF5"/>
    <w:rsid w:val="00D101F7"/>
    <w:rsid w:val="00D10362"/>
    <w:rsid w:val="00D1118F"/>
    <w:rsid w:val="00D114E4"/>
    <w:rsid w:val="00D128C5"/>
    <w:rsid w:val="00D13D97"/>
    <w:rsid w:val="00D145F5"/>
    <w:rsid w:val="00D15043"/>
    <w:rsid w:val="00D1511F"/>
    <w:rsid w:val="00D15701"/>
    <w:rsid w:val="00D1580B"/>
    <w:rsid w:val="00D15EFE"/>
    <w:rsid w:val="00D1605F"/>
    <w:rsid w:val="00D17493"/>
    <w:rsid w:val="00D179B8"/>
    <w:rsid w:val="00D21A95"/>
    <w:rsid w:val="00D21C9F"/>
    <w:rsid w:val="00D21FFD"/>
    <w:rsid w:val="00D24704"/>
    <w:rsid w:val="00D26960"/>
    <w:rsid w:val="00D26D23"/>
    <w:rsid w:val="00D301EB"/>
    <w:rsid w:val="00D30A16"/>
    <w:rsid w:val="00D316A1"/>
    <w:rsid w:val="00D31865"/>
    <w:rsid w:val="00D31998"/>
    <w:rsid w:val="00D32231"/>
    <w:rsid w:val="00D3285B"/>
    <w:rsid w:val="00D329F1"/>
    <w:rsid w:val="00D33DCB"/>
    <w:rsid w:val="00D355F0"/>
    <w:rsid w:val="00D35D2D"/>
    <w:rsid w:val="00D36988"/>
    <w:rsid w:val="00D377E4"/>
    <w:rsid w:val="00D37BB1"/>
    <w:rsid w:val="00D37D47"/>
    <w:rsid w:val="00D42FC2"/>
    <w:rsid w:val="00D43AC8"/>
    <w:rsid w:val="00D44E6B"/>
    <w:rsid w:val="00D4553C"/>
    <w:rsid w:val="00D457B8"/>
    <w:rsid w:val="00D47839"/>
    <w:rsid w:val="00D47F2F"/>
    <w:rsid w:val="00D5052E"/>
    <w:rsid w:val="00D50879"/>
    <w:rsid w:val="00D51610"/>
    <w:rsid w:val="00D51ECE"/>
    <w:rsid w:val="00D51EE3"/>
    <w:rsid w:val="00D53430"/>
    <w:rsid w:val="00D53C48"/>
    <w:rsid w:val="00D54098"/>
    <w:rsid w:val="00D54F46"/>
    <w:rsid w:val="00D56113"/>
    <w:rsid w:val="00D56677"/>
    <w:rsid w:val="00D617E4"/>
    <w:rsid w:val="00D627B0"/>
    <w:rsid w:val="00D631C2"/>
    <w:rsid w:val="00D643F4"/>
    <w:rsid w:val="00D6736B"/>
    <w:rsid w:val="00D6775A"/>
    <w:rsid w:val="00D713AD"/>
    <w:rsid w:val="00D71BEA"/>
    <w:rsid w:val="00D737A4"/>
    <w:rsid w:val="00D75DB3"/>
    <w:rsid w:val="00D7614B"/>
    <w:rsid w:val="00D76D49"/>
    <w:rsid w:val="00D830EB"/>
    <w:rsid w:val="00D833D9"/>
    <w:rsid w:val="00D83BD9"/>
    <w:rsid w:val="00D85497"/>
    <w:rsid w:val="00D86444"/>
    <w:rsid w:val="00D90856"/>
    <w:rsid w:val="00D922AB"/>
    <w:rsid w:val="00D932CA"/>
    <w:rsid w:val="00D945F1"/>
    <w:rsid w:val="00D94DCF"/>
    <w:rsid w:val="00D94EAE"/>
    <w:rsid w:val="00D96CB3"/>
    <w:rsid w:val="00D97157"/>
    <w:rsid w:val="00D972D0"/>
    <w:rsid w:val="00DA0D30"/>
    <w:rsid w:val="00DA0EAC"/>
    <w:rsid w:val="00DA136B"/>
    <w:rsid w:val="00DA4B5C"/>
    <w:rsid w:val="00DA4E3C"/>
    <w:rsid w:val="00DA504A"/>
    <w:rsid w:val="00DA56F9"/>
    <w:rsid w:val="00DA586F"/>
    <w:rsid w:val="00DA5DD6"/>
    <w:rsid w:val="00DB08DA"/>
    <w:rsid w:val="00DB210E"/>
    <w:rsid w:val="00DB2407"/>
    <w:rsid w:val="00DB2579"/>
    <w:rsid w:val="00DB328F"/>
    <w:rsid w:val="00DB3FD4"/>
    <w:rsid w:val="00DB5E34"/>
    <w:rsid w:val="00DB7944"/>
    <w:rsid w:val="00DB7F09"/>
    <w:rsid w:val="00DC00E8"/>
    <w:rsid w:val="00DC0492"/>
    <w:rsid w:val="00DC0DEE"/>
    <w:rsid w:val="00DC1C56"/>
    <w:rsid w:val="00DC387F"/>
    <w:rsid w:val="00DC4756"/>
    <w:rsid w:val="00DC4C13"/>
    <w:rsid w:val="00DC4E32"/>
    <w:rsid w:val="00DC6379"/>
    <w:rsid w:val="00DC6AAD"/>
    <w:rsid w:val="00DC7835"/>
    <w:rsid w:val="00DC79F2"/>
    <w:rsid w:val="00DC7B15"/>
    <w:rsid w:val="00DD035B"/>
    <w:rsid w:val="00DD0FA5"/>
    <w:rsid w:val="00DD14CA"/>
    <w:rsid w:val="00DD20B1"/>
    <w:rsid w:val="00DD44AA"/>
    <w:rsid w:val="00DD4522"/>
    <w:rsid w:val="00DD4F44"/>
    <w:rsid w:val="00DD5AB5"/>
    <w:rsid w:val="00DD632F"/>
    <w:rsid w:val="00DD6521"/>
    <w:rsid w:val="00DD6845"/>
    <w:rsid w:val="00DD691F"/>
    <w:rsid w:val="00DE1323"/>
    <w:rsid w:val="00DE1A23"/>
    <w:rsid w:val="00DE2763"/>
    <w:rsid w:val="00DE353B"/>
    <w:rsid w:val="00DE3723"/>
    <w:rsid w:val="00DE3A53"/>
    <w:rsid w:val="00DE3C77"/>
    <w:rsid w:val="00DE4091"/>
    <w:rsid w:val="00DE5666"/>
    <w:rsid w:val="00DE577F"/>
    <w:rsid w:val="00DE70F1"/>
    <w:rsid w:val="00DE75FC"/>
    <w:rsid w:val="00DF1A90"/>
    <w:rsid w:val="00DF25AD"/>
    <w:rsid w:val="00DF6F61"/>
    <w:rsid w:val="00E00C96"/>
    <w:rsid w:val="00E015B5"/>
    <w:rsid w:val="00E02CC7"/>
    <w:rsid w:val="00E02F1B"/>
    <w:rsid w:val="00E03934"/>
    <w:rsid w:val="00E03C86"/>
    <w:rsid w:val="00E047DE"/>
    <w:rsid w:val="00E04802"/>
    <w:rsid w:val="00E04EF4"/>
    <w:rsid w:val="00E05A12"/>
    <w:rsid w:val="00E05A16"/>
    <w:rsid w:val="00E06420"/>
    <w:rsid w:val="00E101C6"/>
    <w:rsid w:val="00E123B0"/>
    <w:rsid w:val="00E13775"/>
    <w:rsid w:val="00E16CB6"/>
    <w:rsid w:val="00E20699"/>
    <w:rsid w:val="00E218E8"/>
    <w:rsid w:val="00E228D4"/>
    <w:rsid w:val="00E22D51"/>
    <w:rsid w:val="00E23124"/>
    <w:rsid w:val="00E2387D"/>
    <w:rsid w:val="00E2687A"/>
    <w:rsid w:val="00E26C0B"/>
    <w:rsid w:val="00E27422"/>
    <w:rsid w:val="00E278DF"/>
    <w:rsid w:val="00E30AEB"/>
    <w:rsid w:val="00E3482D"/>
    <w:rsid w:val="00E349A7"/>
    <w:rsid w:val="00E4228A"/>
    <w:rsid w:val="00E44132"/>
    <w:rsid w:val="00E45F5B"/>
    <w:rsid w:val="00E46DCB"/>
    <w:rsid w:val="00E509BE"/>
    <w:rsid w:val="00E50CA5"/>
    <w:rsid w:val="00E50E7C"/>
    <w:rsid w:val="00E51385"/>
    <w:rsid w:val="00E51545"/>
    <w:rsid w:val="00E51D9E"/>
    <w:rsid w:val="00E52811"/>
    <w:rsid w:val="00E537D1"/>
    <w:rsid w:val="00E53910"/>
    <w:rsid w:val="00E55977"/>
    <w:rsid w:val="00E55C19"/>
    <w:rsid w:val="00E55C93"/>
    <w:rsid w:val="00E567E6"/>
    <w:rsid w:val="00E56971"/>
    <w:rsid w:val="00E571E7"/>
    <w:rsid w:val="00E61484"/>
    <w:rsid w:val="00E617CC"/>
    <w:rsid w:val="00E61BA6"/>
    <w:rsid w:val="00E620D9"/>
    <w:rsid w:val="00E6296D"/>
    <w:rsid w:val="00E7017C"/>
    <w:rsid w:val="00E711D7"/>
    <w:rsid w:val="00E72B73"/>
    <w:rsid w:val="00E72DDF"/>
    <w:rsid w:val="00E7306E"/>
    <w:rsid w:val="00E73730"/>
    <w:rsid w:val="00E7409F"/>
    <w:rsid w:val="00E74877"/>
    <w:rsid w:val="00E76512"/>
    <w:rsid w:val="00E7683B"/>
    <w:rsid w:val="00E76CD2"/>
    <w:rsid w:val="00E76E3F"/>
    <w:rsid w:val="00E80693"/>
    <w:rsid w:val="00E815E1"/>
    <w:rsid w:val="00E81934"/>
    <w:rsid w:val="00E83B6C"/>
    <w:rsid w:val="00E878BF"/>
    <w:rsid w:val="00E902B0"/>
    <w:rsid w:val="00E902E8"/>
    <w:rsid w:val="00E917A5"/>
    <w:rsid w:val="00E9296B"/>
    <w:rsid w:val="00E93DD2"/>
    <w:rsid w:val="00E95100"/>
    <w:rsid w:val="00E95359"/>
    <w:rsid w:val="00E95E1F"/>
    <w:rsid w:val="00E964B5"/>
    <w:rsid w:val="00E97313"/>
    <w:rsid w:val="00E97B02"/>
    <w:rsid w:val="00E97C19"/>
    <w:rsid w:val="00EA03AD"/>
    <w:rsid w:val="00EA1BA4"/>
    <w:rsid w:val="00EA23AC"/>
    <w:rsid w:val="00EA2C82"/>
    <w:rsid w:val="00EA398F"/>
    <w:rsid w:val="00EA529B"/>
    <w:rsid w:val="00EA598A"/>
    <w:rsid w:val="00EA68BC"/>
    <w:rsid w:val="00EA6B23"/>
    <w:rsid w:val="00EA6FCE"/>
    <w:rsid w:val="00EA7C3D"/>
    <w:rsid w:val="00EB107C"/>
    <w:rsid w:val="00EB2CF2"/>
    <w:rsid w:val="00EB334D"/>
    <w:rsid w:val="00EB4B0B"/>
    <w:rsid w:val="00EB5455"/>
    <w:rsid w:val="00EB6878"/>
    <w:rsid w:val="00EB740F"/>
    <w:rsid w:val="00EC1E0E"/>
    <w:rsid w:val="00EC236D"/>
    <w:rsid w:val="00EC4838"/>
    <w:rsid w:val="00EC4BE7"/>
    <w:rsid w:val="00EC4CE0"/>
    <w:rsid w:val="00EC530B"/>
    <w:rsid w:val="00EC5F41"/>
    <w:rsid w:val="00EC6B16"/>
    <w:rsid w:val="00ED01F2"/>
    <w:rsid w:val="00ED0754"/>
    <w:rsid w:val="00ED39C9"/>
    <w:rsid w:val="00ED3D17"/>
    <w:rsid w:val="00ED486E"/>
    <w:rsid w:val="00ED4BDE"/>
    <w:rsid w:val="00ED5A20"/>
    <w:rsid w:val="00ED5E65"/>
    <w:rsid w:val="00EE1447"/>
    <w:rsid w:val="00EE1BF1"/>
    <w:rsid w:val="00EE1CCA"/>
    <w:rsid w:val="00EE4864"/>
    <w:rsid w:val="00EE5CF9"/>
    <w:rsid w:val="00EE6DF2"/>
    <w:rsid w:val="00EE6F6D"/>
    <w:rsid w:val="00EE7744"/>
    <w:rsid w:val="00EE790C"/>
    <w:rsid w:val="00EF03E1"/>
    <w:rsid w:val="00EF145E"/>
    <w:rsid w:val="00EF2BBB"/>
    <w:rsid w:val="00EF4EB5"/>
    <w:rsid w:val="00EF5135"/>
    <w:rsid w:val="00EF5CA5"/>
    <w:rsid w:val="00EF674C"/>
    <w:rsid w:val="00EF67F4"/>
    <w:rsid w:val="00EF6BE6"/>
    <w:rsid w:val="00F0082D"/>
    <w:rsid w:val="00F015AB"/>
    <w:rsid w:val="00F021B3"/>
    <w:rsid w:val="00F027E7"/>
    <w:rsid w:val="00F0295B"/>
    <w:rsid w:val="00F02C3D"/>
    <w:rsid w:val="00F03B12"/>
    <w:rsid w:val="00F03DE1"/>
    <w:rsid w:val="00F045E0"/>
    <w:rsid w:val="00F047D0"/>
    <w:rsid w:val="00F04DE8"/>
    <w:rsid w:val="00F074DA"/>
    <w:rsid w:val="00F07C46"/>
    <w:rsid w:val="00F07C90"/>
    <w:rsid w:val="00F1044F"/>
    <w:rsid w:val="00F1079C"/>
    <w:rsid w:val="00F11922"/>
    <w:rsid w:val="00F11A38"/>
    <w:rsid w:val="00F13DEB"/>
    <w:rsid w:val="00F1435C"/>
    <w:rsid w:val="00F168FC"/>
    <w:rsid w:val="00F20F8A"/>
    <w:rsid w:val="00F22982"/>
    <w:rsid w:val="00F25989"/>
    <w:rsid w:val="00F25B88"/>
    <w:rsid w:val="00F262AE"/>
    <w:rsid w:val="00F27DCE"/>
    <w:rsid w:val="00F3017F"/>
    <w:rsid w:val="00F304A4"/>
    <w:rsid w:val="00F31142"/>
    <w:rsid w:val="00F32CBD"/>
    <w:rsid w:val="00F333DF"/>
    <w:rsid w:val="00F336B6"/>
    <w:rsid w:val="00F33DB8"/>
    <w:rsid w:val="00F35281"/>
    <w:rsid w:val="00F37043"/>
    <w:rsid w:val="00F42136"/>
    <w:rsid w:val="00F43779"/>
    <w:rsid w:val="00F43938"/>
    <w:rsid w:val="00F45627"/>
    <w:rsid w:val="00F47195"/>
    <w:rsid w:val="00F474A1"/>
    <w:rsid w:val="00F50694"/>
    <w:rsid w:val="00F51D7F"/>
    <w:rsid w:val="00F5234B"/>
    <w:rsid w:val="00F5316E"/>
    <w:rsid w:val="00F556E3"/>
    <w:rsid w:val="00F5570B"/>
    <w:rsid w:val="00F57BED"/>
    <w:rsid w:val="00F60198"/>
    <w:rsid w:val="00F62472"/>
    <w:rsid w:val="00F669CD"/>
    <w:rsid w:val="00F66F21"/>
    <w:rsid w:val="00F71BC8"/>
    <w:rsid w:val="00F737DB"/>
    <w:rsid w:val="00F73BCE"/>
    <w:rsid w:val="00F7613A"/>
    <w:rsid w:val="00F813DC"/>
    <w:rsid w:val="00F82746"/>
    <w:rsid w:val="00F82D74"/>
    <w:rsid w:val="00F836F9"/>
    <w:rsid w:val="00F83DEB"/>
    <w:rsid w:val="00F845D7"/>
    <w:rsid w:val="00F85C99"/>
    <w:rsid w:val="00F867F6"/>
    <w:rsid w:val="00F87E44"/>
    <w:rsid w:val="00F90C2C"/>
    <w:rsid w:val="00F921D4"/>
    <w:rsid w:val="00F92279"/>
    <w:rsid w:val="00F95A7B"/>
    <w:rsid w:val="00F9614C"/>
    <w:rsid w:val="00F967DD"/>
    <w:rsid w:val="00F96CBA"/>
    <w:rsid w:val="00F973FF"/>
    <w:rsid w:val="00FA17C7"/>
    <w:rsid w:val="00FA30A5"/>
    <w:rsid w:val="00FA30E9"/>
    <w:rsid w:val="00FA4F2E"/>
    <w:rsid w:val="00FA6CF0"/>
    <w:rsid w:val="00FB078C"/>
    <w:rsid w:val="00FB2BB7"/>
    <w:rsid w:val="00FB4D21"/>
    <w:rsid w:val="00FB6533"/>
    <w:rsid w:val="00FB762B"/>
    <w:rsid w:val="00FB7B53"/>
    <w:rsid w:val="00FC00C8"/>
    <w:rsid w:val="00FC1DD2"/>
    <w:rsid w:val="00FC2AAF"/>
    <w:rsid w:val="00FC6ADA"/>
    <w:rsid w:val="00FC7406"/>
    <w:rsid w:val="00FD0C02"/>
    <w:rsid w:val="00FD17D8"/>
    <w:rsid w:val="00FD1C54"/>
    <w:rsid w:val="00FD4103"/>
    <w:rsid w:val="00FD48D7"/>
    <w:rsid w:val="00FE0B27"/>
    <w:rsid w:val="00FE0BD2"/>
    <w:rsid w:val="00FE2F52"/>
    <w:rsid w:val="00FE46AC"/>
    <w:rsid w:val="00FE50BE"/>
    <w:rsid w:val="00FE5814"/>
    <w:rsid w:val="00FE66F7"/>
    <w:rsid w:val="00FE7767"/>
    <w:rsid w:val="00FF10B1"/>
    <w:rsid w:val="00FF17DA"/>
    <w:rsid w:val="00FF38E3"/>
    <w:rsid w:val="00FF3DDE"/>
    <w:rsid w:val="00FF57E3"/>
    <w:rsid w:val="00FF5855"/>
    <w:rsid w:val="38E93813"/>
    <w:rsid w:val="3CFA0229"/>
    <w:rsid w:val="3E5DC638"/>
    <w:rsid w:val="62206FEA"/>
    <w:rsid w:val="6A474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0"/>
      </w:numPr>
      <w:spacing w:before="120" w:after="60" w:line="276" w:lineRule="auto"/>
    </w:pPr>
  </w:style>
  <w:style w:type="paragraph" w:customStyle="1" w:styleId="ChartandTableFootnoteAlpha">
    <w:name w:val="Chart and Table Footnote Alpha"/>
    <w:rsid w:val="0039150C"/>
    <w:pPr>
      <w:numPr>
        <w:numId w:val="6"/>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0"/>
      </w:numPr>
      <w:spacing w:before="120" w:after="120"/>
    </w:pPr>
  </w:style>
  <w:style w:type="paragraph" w:customStyle="1" w:styleId="DoubleDot">
    <w:name w:val="Double Dot"/>
    <w:basedOn w:val="Normal"/>
    <w:link w:val="DoubleDotChar"/>
    <w:qFormat/>
    <w:rsid w:val="00D54098"/>
    <w:pPr>
      <w:numPr>
        <w:ilvl w:val="2"/>
        <w:numId w:val="10"/>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tabs>
        <w:tab w:val="clear" w:pos="1134"/>
        <w:tab w:val="num" w:pos="360"/>
      </w:tabs>
      <w:spacing w:before="0"/>
      <w:ind w:left="0" w:firstLin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number"/>
    <w:basedOn w:val="Normal"/>
    <w:link w:val="ListParagraphChar"/>
    <w:uiPriority w:val="34"/>
    <w:qFormat/>
    <w:rsid w:val="00AB00A9"/>
    <w:pPr>
      <w:spacing w:before="120" w:after="120"/>
      <w:ind w:left="720"/>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11"/>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AB00A9"/>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 w:type="paragraph" w:styleId="NormalWeb">
    <w:name w:val="Normal (Web)"/>
    <w:basedOn w:val="Normal"/>
    <w:uiPriority w:val="99"/>
    <w:semiHidden/>
    <w:unhideWhenUsed/>
    <w:rsid w:val="008F31DE"/>
    <w:rPr>
      <w:rFonts w:ascii="Times New Roman" w:hAnsi="Times New Roman"/>
      <w:sz w:val="24"/>
      <w:szCs w:val="24"/>
    </w:rPr>
  </w:style>
  <w:style w:type="paragraph" w:customStyle="1" w:styleId="Level1">
    <w:name w:val="Level 1"/>
    <w:basedOn w:val="Normal"/>
    <w:rsid w:val="00C13A02"/>
    <w:pPr>
      <w:widowControl w:val="0"/>
      <w:autoSpaceDE w:val="0"/>
      <w:autoSpaceDN w:val="0"/>
      <w:adjustRightInd w:val="0"/>
      <w:spacing w:before="0" w:after="0"/>
      <w:ind w:left="720" w:hanging="720"/>
    </w:pPr>
    <w:rPr>
      <w:rFonts w:ascii="Times New Roman" w:hAnsi="Times New Roman"/>
      <w:color w:val="auto"/>
      <w:sz w:val="20"/>
      <w:lang w:val="en-US"/>
    </w:rPr>
  </w:style>
  <w:style w:type="table" w:customStyle="1" w:styleId="TableGrid2">
    <w:name w:val="Table Grid2"/>
    <w:basedOn w:val="TableNormal"/>
    <w:next w:val="TableGrid"/>
    <w:uiPriority w:val="39"/>
    <w:rsid w:val="00AB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ext">
    <w:name w:val="Paragraph text"/>
    <w:basedOn w:val="Normal"/>
    <w:link w:val="ParagraphtextChar"/>
    <w:qFormat/>
    <w:rsid w:val="00333365"/>
    <w:pPr>
      <w:spacing w:before="120" w:after="120"/>
    </w:pPr>
    <w:rPr>
      <w:rFonts w:ascii="Calibri" w:eastAsia="Calibri" w:hAnsi="Calibri"/>
      <w:sz w:val="24"/>
      <w:szCs w:val="22"/>
      <w:lang w:eastAsia="en-US"/>
    </w:rPr>
  </w:style>
  <w:style w:type="character" w:customStyle="1" w:styleId="ParagraphtextChar">
    <w:name w:val="Paragraph text Char"/>
    <w:basedOn w:val="DefaultParagraphFont"/>
    <w:link w:val="Paragraphtext"/>
    <w:rsid w:val="00333365"/>
    <w:rPr>
      <w:rFonts w:ascii="Calibri" w:eastAsia="Calibri" w:hAnsi="Calibri" w:cs="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297">
      <w:bodyDiv w:val="1"/>
      <w:marLeft w:val="0"/>
      <w:marRight w:val="0"/>
      <w:marTop w:val="0"/>
      <w:marBottom w:val="0"/>
      <w:divBdr>
        <w:top w:val="none" w:sz="0" w:space="0" w:color="auto"/>
        <w:left w:val="none" w:sz="0" w:space="0" w:color="auto"/>
        <w:bottom w:val="none" w:sz="0" w:space="0" w:color="auto"/>
        <w:right w:val="none" w:sz="0" w:space="0" w:color="auto"/>
      </w:divBdr>
    </w:div>
    <w:div w:id="43261900">
      <w:bodyDiv w:val="1"/>
      <w:marLeft w:val="0"/>
      <w:marRight w:val="0"/>
      <w:marTop w:val="0"/>
      <w:marBottom w:val="0"/>
      <w:divBdr>
        <w:top w:val="none" w:sz="0" w:space="0" w:color="auto"/>
        <w:left w:val="none" w:sz="0" w:space="0" w:color="auto"/>
        <w:bottom w:val="none" w:sz="0" w:space="0" w:color="auto"/>
        <w:right w:val="none" w:sz="0" w:space="0" w:color="auto"/>
      </w:divBdr>
    </w:div>
    <w:div w:id="73627693">
      <w:bodyDiv w:val="1"/>
      <w:marLeft w:val="0"/>
      <w:marRight w:val="0"/>
      <w:marTop w:val="0"/>
      <w:marBottom w:val="0"/>
      <w:divBdr>
        <w:top w:val="none" w:sz="0" w:space="0" w:color="auto"/>
        <w:left w:val="none" w:sz="0" w:space="0" w:color="auto"/>
        <w:bottom w:val="none" w:sz="0" w:space="0" w:color="auto"/>
        <w:right w:val="none" w:sz="0" w:space="0" w:color="auto"/>
      </w:divBdr>
    </w:div>
    <w:div w:id="264584710">
      <w:bodyDiv w:val="1"/>
      <w:marLeft w:val="0"/>
      <w:marRight w:val="0"/>
      <w:marTop w:val="0"/>
      <w:marBottom w:val="0"/>
      <w:divBdr>
        <w:top w:val="none" w:sz="0" w:space="0" w:color="auto"/>
        <w:left w:val="none" w:sz="0" w:space="0" w:color="auto"/>
        <w:bottom w:val="none" w:sz="0" w:space="0" w:color="auto"/>
        <w:right w:val="none" w:sz="0" w:space="0" w:color="auto"/>
      </w:divBdr>
    </w:div>
    <w:div w:id="286393409">
      <w:bodyDiv w:val="1"/>
      <w:marLeft w:val="0"/>
      <w:marRight w:val="0"/>
      <w:marTop w:val="0"/>
      <w:marBottom w:val="0"/>
      <w:divBdr>
        <w:top w:val="none" w:sz="0" w:space="0" w:color="auto"/>
        <w:left w:val="none" w:sz="0" w:space="0" w:color="auto"/>
        <w:bottom w:val="none" w:sz="0" w:space="0" w:color="auto"/>
        <w:right w:val="none" w:sz="0" w:space="0" w:color="auto"/>
      </w:divBdr>
    </w:div>
    <w:div w:id="290981853">
      <w:bodyDiv w:val="1"/>
      <w:marLeft w:val="0"/>
      <w:marRight w:val="0"/>
      <w:marTop w:val="0"/>
      <w:marBottom w:val="0"/>
      <w:divBdr>
        <w:top w:val="none" w:sz="0" w:space="0" w:color="auto"/>
        <w:left w:val="none" w:sz="0" w:space="0" w:color="auto"/>
        <w:bottom w:val="none" w:sz="0" w:space="0" w:color="auto"/>
        <w:right w:val="none" w:sz="0" w:space="0" w:color="auto"/>
      </w:divBdr>
    </w:div>
    <w:div w:id="302318784">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16500222">
      <w:bodyDiv w:val="1"/>
      <w:marLeft w:val="0"/>
      <w:marRight w:val="0"/>
      <w:marTop w:val="0"/>
      <w:marBottom w:val="0"/>
      <w:divBdr>
        <w:top w:val="none" w:sz="0" w:space="0" w:color="auto"/>
        <w:left w:val="none" w:sz="0" w:space="0" w:color="auto"/>
        <w:bottom w:val="none" w:sz="0" w:space="0" w:color="auto"/>
        <w:right w:val="none" w:sz="0" w:space="0" w:color="auto"/>
      </w:divBdr>
    </w:div>
    <w:div w:id="340473795">
      <w:bodyDiv w:val="1"/>
      <w:marLeft w:val="0"/>
      <w:marRight w:val="0"/>
      <w:marTop w:val="0"/>
      <w:marBottom w:val="0"/>
      <w:divBdr>
        <w:top w:val="none" w:sz="0" w:space="0" w:color="auto"/>
        <w:left w:val="none" w:sz="0" w:space="0" w:color="auto"/>
        <w:bottom w:val="none" w:sz="0" w:space="0" w:color="auto"/>
        <w:right w:val="none" w:sz="0" w:space="0" w:color="auto"/>
      </w:divBdr>
    </w:div>
    <w:div w:id="365569702">
      <w:bodyDiv w:val="1"/>
      <w:marLeft w:val="0"/>
      <w:marRight w:val="0"/>
      <w:marTop w:val="0"/>
      <w:marBottom w:val="0"/>
      <w:divBdr>
        <w:top w:val="none" w:sz="0" w:space="0" w:color="auto"/>
        <w:left w:val="none" w:sz="0" w:space="0" w:color="auto"/>
        <w:bottom w:val="none" w:sz="0" w:space="0" w:color="auto"/>
        <w:right w:val="none" w:sz="0" w:space="0" w:color="auto"/>
      </w:divBdr>
    </w:div>
    <w:div w:id="43779490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6609260">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513036126">
      <w:bodyDiv w:val="1"/>
      <w:marLeft w:val="0"/>
      <w:marRight w:val="0"/>
      <w:marTop w:val="0"/>
      <w:marBottom w:val="0"/>
      <w:divBdr>
        <w:top w:val="none" w:sz="0" w:space="0" w:color="auto"/>
        <w:left w:val="none" w:sz="0" w:space="0" w:color="auto"/>
        <w:bottom w:val="none" w:sz="0" w:space="0" w:color="auto"/>
        <w:right w:val="none" w:sz="0" w:space="0" w:color="auto"/>
      </w:divBdr>
    </w:div>
    <w:div w:id="529492912">
      <w:bodyDiv w:val="1"/>
      <w:marLeft w:val="0"/>
      <w:marRight w:val="0"/>
      <w:marTop w:val="0"/>
      <w:marBottom w:val="0"/>
      <w:divBdr>
        <w:top w:val="none" w:sz="0" w:space="0" w:color="auto"/>
        <w:left w:val="none" w:sz="0" w:space="0" w:color="auto"/>
        <w:bottom w:val="none" w:sz="0" w:space="0" w:color="auto"/>
        <w:right w:val="none" w:sz="0" w:space="0" w:color="auto"/>
      </w:divBdr>
    </w:div>
    <w:div w:id="565992992">
      <w:bodyDiv w:val="1"/>
      <w:marLeft w:val="0"/>
      <w:marRight w:val="0"/>
      <w:marTop w:val="0"/>
      <w:marBottom w:val="0"/>
      <w:divBdr>
        <w:top w:val="none" w:sz="0" w:space="0" w:color="auto"/>
        <w:left w:val="none" w:sz="0" w:space="0" w:color="auto"/>
        <w:bottom w:val="none" w:sz="0" w:space="0" w:color="auto"/>
        <w:right w:val="none" w:sz="0" w:space="0" w:color="auto"/>
      </w:divBdr>
    </w:div>
    <w:div w:id="578174420">
      <w:bodyDiv w:val="1"/>
      <w:marLeft w:val="0"/>
      <w:marRight w:val="0"/>
      <w:marTop w:val="0"/>
      <w:marBottom w:val="0"/>
      <w:divBdr>
        <w:top w:val="none" w:sz="0" w:space="0" w:color="auto"/>
        <w:left w:val="none" w:sz="0" w:space="0" w:color="auto"/>
        <w:bottom w:val="none" w:sz="0" w:space="0" w:color="auto"/>
        <w:right w:val="none" w:sz="0" w:space="0" w:color="auto"/>
      </w:divBdr>
    </w:div>
    <w:div w:id="678117607">
      <w:bodyDiv w:val="1"/>
      <w:marLeft w:val="0"/>
      <w:marRight w:val="0"/>
      <w:marTop w:val="0"/>
      <w:marBottom w:val="0"/>
      <w:divBdr>
        <w:top w:val="none" w:sz="0" w:space="0" w:color="auto"/>
        <w:left w:val="none" w:sz="0" w:space="0" w:color="auto"/>
        <w:bottom w:val="none" w:sz="0" w:space="0" w:color="auto"/>
        <w:right w:val="none" w:sz="0" w:space="0" w:color="auto"/>
      </w:divBdr>
    </w:div>
    <w:div w:id="715934764">
      <w:bodyDiv w:val="1"/>
      <w:marLeft w:val="0"/>
      <w:marRight w:val="0"/>
      <w:marTop w:val="0"/>
      <w:marBottom w:val="0"/>
      <w:divBdr>
        <w:top w:val="none" w:sz="0" w:space="0" w:color="auto"/>
        <w:left w:val="none" w:sz="0" w:space="0" w:color="auto"/>
        <w:bottom w:val="none" w:sz="0" w:space="0" w:color="auto"/>
        <w:right w:val="none" w:sz="0" w:space="0" w:color="auto"/>
      </w:divBdr>
    </w:div>
    <w:div w:id="744226981">
      <w:bodyDiv w:val="1"/>
      <w:marLeft w:val="0"/>
      <w:marRight w:val="0"/>
      <w:marTop w:val="0"/>
      <w:marBottom w:val="0"/>
      <w:divBdr>
        <w:top w:val="none" w:sz="0" w:space="0" w:color="auto"/>
        <w:left w:val="none" w:sz="0" w:space="0" w:color="auto"/>
        <w:bottom w:val="none" w:sz="0" w:space="0" w:color="auto"/>
        <w:right w:val="none" w:sz="0" w:space="0" w:color="auto"/>
      </w:divBdr>
    </w:div>
    <w:div w:id="766196023">
      <w:bodyDiv w:val="1"/>
      <w:marLeft w:val="0"/>
      <w:marRight w:val="0"/>
      <w:marTop w:val="0"/>
      <w:marBottom w:val="0"/>
      <w:divBdr>
        <w:top w:val="none" w:sz="0" w:space="0" w:color="auto"/>
        <w:left w:val="none" w:sz="0" w:space="0" w:color="auto"/>
        <w:bottom w:val="none" w:sz="0" w:space="0" w:color="auto"/>
        <w:right w:val="none" w:sz="0" w:space="0" w:color="auto"/>
      </w:divBdr>
    </w:div>
    <w:div w:id="80412898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56502902">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87320229">
      <w:bodyDiv w:val="1"/>
      <w:marLeft w:val="0"/>
      <w:marRight w:val="0"/>
      <w:marTop w:val="0"/>
      <w:marBottom w:val="0"/>
      <w:divBdr>
        <w:top w:val="none" w:sz="0" w:space="0" w:color="auto"/>
        <w:left w:val="none" w:sz="0" w:space="0" w:color="auto"/>
        <w:bottom w:val="none" w:sz="0" w:space="0" w:color="auto"/>
        <w:right w:val="none" w:sz="0" w:space="0" w:color="auto"/>
      </w:divBdr>
    </w:div>
    <w:div w:id="990062212">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040976239">
      <w:bodyDiv w:val="1"/>
      <w:marLeft w:val="0"/>
      <w:marRight w:val="0"/>
      <w:marTop w:val="0"/>
      <w:marBottom w:val="0"/>
      <w:divBdr>
        <w:top w:val="none" w:sz="0" w:space="0" w:color="auto"/>
        <w:left w:val="none" w:sz="0" w:space="0" w:color="auto"/>
        <w:bottom w:val="none" w:sz="0" w:space="0" w:color="auto"/>
        <w:right w:val="none" w:sz="0" w:space="0" w:color="auto"/>
      </w:divBdr>
    </w:div>
    <w:div w:id="1042972633">
      <w:bodyDiv w:val="1"/>
      <w:marLeft w:val="0"/>
      <w:marRight w:val="0"/>
      <w:marTop w:val="0"/>
      <w:marBottom w:val="0"/>
      <w:divBdr>
        <w:top w:val="none" w:sz="0" w:space="0" w:color="auto"/>
        <w:left w:val="none" w:sz="0" w:space="0" w:color="auto"/>
        <w:bottom w:val="none" w:sz="0" w:space="0" w:color="auto"/>
        <w:right w:val="none" w:sz="0" w:space="0" w:color="auto"/>
      </w:divBdr>
    </w:div>
    <w:div w:id="1087533771">
      <w:bodyDiv w:val="1"/>
      <w:marLeft w:val="0"/>
      <w:marRight w:val="0"/>
      <w:marTop w:val="0"/>
      <w:marBottom w:val="0"/>
      <w:divBdr>
        <w:top w:val="none" w:sz="0" w:space="0" w:color="auto"/>
        <w:left w:val="none" w:sz="0" w:space="0" w:color="auto"/>
        <w:bottom w:val="none" w:sz="0" w:space="0" w:color="auto"/>
        <w:right w:val="none" w:sz="0" w:space="0" w:color="auto"/>
      </w:divBdr>
    </w:div>
    <w:div w:id="1091899352">
      <w:bodyDiv w:val="1"/>
      <w:marLeft w:val="0"/>
      <w:marRight w:val="0"/>
      <w:marTop w:val="0"/>
      <w:marBottom w:val="0"/>
      <w:divBdr>
        <w:top w:val="none" w:sz="0" w:space="0" w:color="auto"/>
        <w:left w:val="none" w:sz="0" w:space="0" w:color="auto"/>
        <w:bottom w:val="none" w:sz="0" w:space="0" w:color="auto"/>
        <w:right w:val="none" w:sz="0" w:space="0" w:color="auto"/>
      </w:divBdr>
    </w:div>
    <w:div w:id="1112285655">
      <w:bodyDiv w:val="1"/>
      <w:marLeft w:val="0"/>
      <w:marRight w:val="0"/>
      <w:marTop w:val="0"/>
      <w:marBottom w:val="0"/>
      <w:divBdr>
        <w:top w:val="none" w:sz="0" w:space="0" w:color="auto"/>
        <w:left w:val="none" w:sz="0" w:space="0" w:color="auto"/>
        <w:bottom w:val="none" w:sz="0" w:space="0" w:color="auto"/>
        <w:right w:val="none" w:sz="0" w:space="0" w:color="auto"/>
      </w:divBdr>
    </w:div>
    <w:div w:id="1124814599">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218515883">
      <w:bodyDiv w:val="1"/>
      <w:marLeft w:val="0"/>
      <w:marRight w:val="0"/>
      <w:marTop w:val="0"/>
      <w:marBottom w:val="0"/>
      <w:divBdr>
        <w:top w:val="none" w:sz="0" w:space="0" w:color="auto"/>
        <w:left w:val="none" w:sz="0" w:space="0" w:color="auto"/>
        <w:bottom w:val="none" w:sz="0" w:space="0" w:color="auto"/>
        <w:right w:val="none" w:sz="0" w:space="0" w:color="auto"/>
      </w:divBdr>
    </w:div>
    <w:div w:id="1240948490">
      <w:bodyDiv w:val="1"/>
      <w:marLeft w:val="0"/>
      <w:marRight w:val="0"/>
      <w:marTop w:val="0"/>
      <w:marBottom w:val="0"/>
      <w:divBdr>
        <w:top w:val="none" w:sz="0" w:space="0" w:color="auto"/>
        <w:left w:val="none" w:sz="0" w:space="0" w:color="auto"/>
        <w:bottom w:val="none" w:sz="0" w:space="0" w:color="auto"/>
        <w:right w:val="none" w:sz="0" w:space="0" w:color="auto"/>
      </w:divBdr>
    </w:div>
    <w:div w:id="1255892862">
      <w:bodyDiv w:val="1"/>
      <w:marLeft w:val="0"/>
      <w:marRight w:val="0"/>
      <w:marTop w:val="0"/>
      <w:marBottom w:val="0"/>
      <w:divBdr>
        <w:top w:val="none" w:sz="0" w:space="0" w:color="auto"/>
        <w:left w:val="none" w:sz="0" w:space="0" w:color="auto"/>
        <w:bottom w:val="none" w:sz="0" w:space="0" w:color="auto"/>
        <w:right w:val="none" w:sz="0" w:space="0" w:color="auto"/>
      </w:divBdr>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397322077">
      <w:bodyDiv w:val="1"/>
      <w:marLeft w:val="0"/>
      <w:marRight w:val="0"/>
      <w:marTop w:val="0"/>
      <w:marBottom w:val="0"/>
      <w:divBdr>
        <w:top w:val="none" w:sz="0" w:space="0" w:color="auto"/>
        <w:left w:val="none" w:sz="0" w:space="0" w:color="auto"/>
        <w:bottom w:val="none" w:sz="0" w:space="0" w:color="auto"/>
        <w:right w:val="none" w:sz="0" w:space="0" w:color="auto"/>
      </w:divBdr>
    </w:div>
    <w:div w:id="1400902232">
      <w:bodyDiv w:val="1"/>
      <w:marLeft w:val="0"/>
      <w:marRight w:val="0"/>
      <w:marTop w:val="0"/>
      <w:marBottom w:val="0"/>
      <w:divBdr>
        <w:top w:val="none" w:sz="0" w:space="0" w:color="auto"/>
        <w:left w:val="none" w:sz="0" w:space="0" w:color="auto"/>
        <w:bottom w:val="none" w:sz="0" w:space="0" w:color="auto"/>
        <w:right w:val="none" w:sz="0" w:space="0" w:color="auto"/>
      </w:divBdr>
    </w:div>
    <w:div w:id="1406343183">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78839642">
      <w:bodyDiv w:val="1"/>
      <w:marLeft w:val="0"/>
      <w:marRight w:val="0"/>
      <w:marTop w:val="0"/>
      <w:marBottom w:val="0"/>
      <w:divBdr>
        <w:top w:val="none" w:sz="0" w:space="0" w:color="auto"/>
        <w:left w:val="none" w:sz="0" w:space="0" w:color="auto"/>
        <w:bottom w:val="none" w:sz="0" w:space="0" w:color="auto"/>
        <w:right w:val="none" w:sz="0" w:space="0" w:color="auto"/>
      </w:divBdr>
    </w:div>
    <w:div w:id="1501774985">
      <w:bodyDiv w:val="1"/>
      <w:marLeft w:val="0"/>
      <w:marRight w:val="0"/>
      <w:marTop w:val="0"/>
      <w:marBottom w:val="0"/>
      <w:divBdr>
        <w:top w:val="none" w:sz="0" w:space="0" w:color="auto"/>
        <w:left w:val="none" w:sz="0" w:space="0" w:color="auto"/>
        <w:bottom w:val="none" w:sz="0" w:space="0" w:color="auto"/>
        <w:right w:val="none" w:sz="0" w:space="0" w:color="auto"/>
      </w:divBdr>
    </w:div>
    <w:div w:id="1526745666">
      <w:bodyDiv w:val="1"/>
      <w:marLeft w:val="0"/>
      <w:marRight w:val="0"/>
      <w:marTop w:val="0"/>
      <w:marBottom w:val="0"/>
      <w:divBdr>
        <w:top w:val="none" w:sz="0" w:space="0" w:color="auto"/>
        <w:left w:val="none" w:sz="0" w:space="0" w:color="auto"/>
        <w:bottom w:val="none" w:sz="0" w:space="0" w:color="auto"/>
        <w:right w:val="none" w:sz="0" w:space="0" w:color="auto"/>
      </w:divBdr>
    </w:div>
    <w:div w:id="1554928428">
      <w:bodyDiv w:val="1"/>
      <w:marLeft w:val="0"/>
      <w:marRight w:val="0"/>
      <w:marTop w:val="0"/>
      <w:marBottom w:val="0"/>
      <w:divBdr>
        <w:top w:val="none" w:sz="0" w:space="0" w:color="auto"/>
        <w:left w:val="none" w:sz="0" w:space="0" w:color="auto"/>
        <w:bottom w:val="none" w:sz="0" w:space="0" w:color="auto"/>
        <w:right w:val="none" w:sz="0" w:space="0" w:color="auto"/>
      </w:divBdr>
    </w:div>
    <w:div w:id="1565094371">
      <w:bodyDiv w:val="1"/>
      <w:marLeft w:val="0"/>
      <w:marRight w:val="0"/>
      <w:marTop w:val="0"/>
      <w:marBottom w:val="0"/>
      <w:divBdr>
        <w:top w:val="none" w:sz="0" w:space="0" w:color="auto"/>
        <w:left w:val="none" w:sz="0" w:space="0" w:color="auto"/>
        <w:bottom w:val="none" w:sz="0" w:space="0" w:color="auto"/>
        <w:right w:val="none" w:sz="0" w:space="0" w:color="auto"/>
      </w:divBdr>
    </w:div>
    <w:div w:id="1567453295">
      <w:bodyDiv w:val="1"/>
      <w:marLeft w:val="0"/>
      <w:marRight w:val="0"/>
      <w:marTop w:val="0"/>
      <w:marBottom w:val="0"/>
      <w:divBdr>
        <w:top w:val="none" w:sz="0" w:space="0" w:color="auto"/>
        <w:left w:val="none" w:sz="0" w:space="0" w:color="auto"/>
        <w:bottom w:val="none" w:sz="0" w:space="0" w:color="auto"/>
        <w:right w:val="none" w:sz="0" w:space="0" w:color="auto"/>
      </w:divBdr>
    </w:div>
    <w:div w:id="1571233040">
      <w:bodyDiv w:val="1"/>
      <w:marLeft w:val="0"/>
      <w:marRight w:val="0"/>
      <w:marTop w:val="0"/>
      <w:marBottom w:val="0"/>
      <w:divBdr>
        <w:top w:val="none" w:sz="0" w:space="0" w:color="auto"/>
        <w:left w:val="none" w:sz="0" w:space="0" w:color="auto"/>
        <w:bottom w:val="none" w:sz="0" w:space="0" w:color="auto"/>
        <w:right w:val="none" w:sz="0" w:space="0" w:color="auto"/>
      </w:divBdr>
    </w:div>
    <w:div w:id="1578244209">
      <w:bodyDiv w:val="1"/>
      <w:marLeft w:val="0"/>
      <w:marRight w:val="0"/>
      <w:marTop w:val="0"/>
      <w:marBottom w:val="0"/>
      <w:divBdr>
        <w:top w:val="none" w:sz="0" w:space="0" w:color="auto"/>
        <w:left w:val="none" w:sz="0" w:space="0" w:color="auto"/>
        <w:bottom w:val="none" w:sz="0" w:space="0" w:color="auto"/>
        <w:right w:val="none" w:sz="0" w:space="0" w:color="auto"/>
      </w:divBdr>
    </w:div>
    <w:div w:id="1602714359">
      <w:bodyDiv w:val="1"/>
      <w:marLeft w:val="0"/>
      <w:marRight w:val="0"/>
      <w:marTop w:val="0"/>
      <w:marBottom w:val="0"/>
      <w:divBdr>
        <w:top w:val="none" w:sz="0" w:space="0" w:color="auto"/>
        <w:left w:val="none" w:sz="0" w:space="0" w:color="auto"/>
        <w:bottom w:val="none" w:sz="0" w:space="0" w:color="auto"/>
        <w:right w:val="none" w:sz="0" w:space="0" w:color="auto"/>
      </w:divBdr>
    </w:div>
    <w:div w:id="1612778309">
      <w:bodyDiv w:val="1"/>
      <w:marLeft w:val="0"/>
      <w:marRight w:val="0"/>
      <w:marTop w:val="0"/>
      <w:marBottom w:val="0"/>
      <w:divBdr>
        <w:top w:val="none" w:sz="0" w:space="0" w:color="auto"/>
        <w:left w:val="none" w:sz="0" w:space="0" w:color="auto"/>
        <w:bottom w:val="none" w:sz="0" w:space="0" w:color="auto"/>
        <w:right w:val="none" w:sz="0" w:space="0" w:color="auto"/>
      </w:divBdr>
    </w:div>
    <w:div w:id="1668945377">
      <w:bodyDiv w:val="1"/>
      <w:marLeft w:val="0"/>
      <w:marRight w:val="0"/>
      <w:marTop w:val="0"/>
      <w:marBottom w:val="0"/>
      <w:divBdr>
        <w:top w:val="none" w:sz="0" w:space="0" w:color="auto"/>
        <w:left w:val="none" w:sz="0" w:space="0" w:color="auto"/>
        <w:bottom w:val="none" w:sz="0" w:space="0" w:color="auto"/>
        <w:right w:val="none" w:sz="0" w:space="0" w:color="auto"/>
      </w:divBdr>
    </w:div>
    <w:div w:id="1672443247">
      <w:bodyDiv w:val="1"/>
      <w:marLeft w:val="0"/>
      <w:marRight w:val="0"/>
      <w:marTop w:val="0"/>
      <w:marBottom w:val="0"/>
      <w:divBdr>
        <w:top w:val="none" w:sz="0" w:space="0" w:color="auto"/>
        <w:left w:val="none" w:sz="0" w:space="0" w:color="auto"/>
        <w:bottom w:val="none" w:sz="0" w:space="0" w:color="auto"/>
        <w:right w:val="none" w:sz="0" w:space="0" w:color="auto"/>
      </w:divBdr>
    </w:div>
    <w:div w:id="1677608732">
      <w:bodyDiv w:val="1"/>
      <w:marLeft w:val="0"/>
      <w:marRight w:val="0"/>
      <w:marTop w:val="0"/>
      <w:marBottom w:val="0"/>
      <w:divBdr>
        <w:top w:val="none" w:sz="0" w:space="0" w:color="auto"/>
        <w:left w:val="none" w:sz="0" w:space="0" w:color="auto"/>
        <w:bottom w:val="none" w:sz="0" w:space="0" w:color="auto"/>
        <w:right w:val="none" w:sz="0" w:space="0" w:color="auto"/>
      </w:divBdr>
    </w:div>
    <w:div w:id="1691952375">
      <w:bodyDiv w:val="1"/>
      <w:marLeft w:val="0"/>
      <w:marRight w:val="0"/>
      <w:marTop w:val="0"/>
      <w:marBottom w:val="0"/>
      <w:divBdr>
        <w:top w:val="none" w:sz="0" w:space="0" w:color="auto"/>
        <w:left w:val="none" w:sz="0" w:space="0" w:color="auto"/>
        <w:bottom w:val="none" w:sz="0" w:space="0" w:color="auto"/>
        <w:right w:val="none" w:sz="0" w:space="0" w:color="auto"/>
      </w:divBdr>
    </w:div>
    <w:div w:id="1744764956">
      <w:bodyDiv w:val="1"/>
      <w:marLeft w:val="0"/>
      <w:marRight w:val="0"/>
      <w:marTop w:val="0"/>
      <w:marBottom w:val="0"/>
      <w:divBdr>
        <w:top w:val="none" w:sz="0" w:space="0" w:color="auto"/>
        <w:left w:val="none" w:sz="0" w:space="0" w:color="auto"/>
        <w:bottom w:val="none" w:sz="0" w:space="0" w:color="auto"/>
        <w:right w:val="none" w:sz="0" w:space="0" w:color="auto"/>
      </w:divBdr>
    </w:div>
    <w:div w:id="1747611621">
      <w:bodyDiv w:val="1"/>
      <w:marLeft w:val="0"/>
      <w:marRight w:val="0"/>
      <w:marTop w:val="0"/>
      <w:marBottom w:val="0"/>
      <w:divBdr>
        <w:top w:val="none" w:sz="0" w:space="0" w:color="auto"/>
        <w:left w:val="none" w:sz="0" w:space="0" w:color="auto"/>
        <w:bottom w:val="none" w:sz="0" w:space="0" w:color="auto"/>
        <w:right w:val="none" w:sz="0" w:space="0" w:color="auto"/>
      </w:divBdr>
    </w:div>
    <w:div w:id="1758868138">
      <w:bodyDiv w:val="1"/>
      <w:marLeft w:val="0"/>
      <w:marRight w:val="0"/>
      <w:marTop w:val="0"/>
      <w:marBottom w:val="0"/>
      <w:divBdr>
        <w:top w:val="none" w:sz="0" w:space="0" w:color="auto"/>
        <w:left w:val="none" w:sz="0" w:space="0" w:color="auto"/>
        <w:bottom w:val="none" w:sz="0" w:space="0" w:color="auto"/>
        <w:right w:val="none" w:sz="0" w:space="0" w:color="auto"/>
      </w:divBdr>
    </w:div>
    <w:div w:id="1790854281">
      <w:bodyDiv w:val="1"/>
      <w:marLeft w:val="0"/>
      <w:marRight w:val="0"/>
      <w:marTop w:val="0"/>
      <w:marBottom w:val="0"/>
      <w:divBdr>
        <w:top w:val="none" w:sz="0" w:space="0" w:color="auto"/>
        <w:left w:val="none" w:sz="0" w:space="0" w:color="auto"/>
        <w:bottom w:val="none" w:sz="0" w:space="0" w:color="auto"/>
        <w:right w:val="none" w:sz="0" w:space="0" w:color="auto"/>
      </w:divBdr>
    </w:div>
    <w:div w:id="1792017546">
      <w:bodyDiv w:val="1"/>
      <w:marLeft w:val="0"/>
      <w:marRight w:val="0"/>
      <w:marTop w:val="0"/>
      <w:marBottom w:val="0"/>
      <w:divBdr>
        <w:top w:val="none" w:sz="0" w:space="0" w:color="auto"/>
        <w:left w:val="none" w:sz="0" w:space="0" w:color="auto"/>
        <w:bottom w:val="none" w:sz="0" w:space="0" w:color="auto"/>
        <w:right w:val="none" w:sz="0" w:space="0" w:color="auto"/>
      </w:divBdr>
    </w:div>
    <w:div w:id="1809518957">
      <w:bodyDiv w:val="1"/>
      <w:marLeft w:val="0"/>
      <w:marRight w:val="0"/>
      <w:marTop w:val="0"/>
      <w:marBottom w:val="0"/>
      <w:divBdr>
        <w:top w:val="none" w:sz="0" w:space="0" w:color="auto"/>
        <w:left w:val="none" w:sz="0" w:space="0" w:color="auto"/>
        <w:bottom w:val="none" w:sz="0" w:space="0" w:color="auto"/>
        <w:right w:val="none" w:sz="0" w:space="0" w:color="auto"/>
      </w:divBdr>
    </w:div>
    <w:div w:id="1813449386">
      <w:bodyDiv w:val="1"/>
      <w:marLeft w:val="0"/>
      <w:marRight w:val="0"/>
      <w:marTop w:val="0"/>
      <w:marBottom w:val="0"/>
      <w:divBdr>
        <w:top w:val="none" w:sz="0" w:space="0" w:color="auto"/>
        <w:left w:val="none" w:sz="0" w:space="0" w:color="auto"/>
        <w:bottom w:val="none" w:sz="0" w:space="0" w:color="auto"/>
        <w:right w:val="none" w:sz="0" w:space="0" w:color="auto"/>
      </w:divBdr>
    </w:div>
    <w:div w:id="1815871631">
      <w:bodyDiv w:val="1"/>
      <w:marLeft w:val="0"/>
      <w:marRight w:val="0"/>
      <w:marTop w:val="0"/>
      <w:marBottom w:val="0"/>
      <w:divBdr>
        <w:top w:val="none" w:sz="0" w:space="0" w:color="auto"/>
        <w:left w:val="none" w:sz="0" w:space="0" w:color="auto"/>
        <w:bottom w:val="none" w:sz="0" w:space="0" w:color="auto"/>
        <w:right w:val="none" w:sz="0" w:space="0" w:color="auto"/>
      </w:divBdr>
    </w:div>
    <w:div w:id="183129229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1960909862">
      <w:bodyDiv w:val="1"/>
      <w:marLeft w:val="0"/>
      <w:marRight w:val="0"/>
      <w:marTop w:val="0"/>
      <w:marBottom w:val="0"/>
      <w:divBdr>
        <w:top w:val="none" w:sz="0" w:space="0" w:color="auto"/>
        <w:left w:val="none" w:sz="0" w:space="0" w:color="auto"/>
        <w:bottom w:val="none" w:sz="0" w:space="0" w:color="auto"/>
        <w:right w:val="none" w:sz="0" w:space="0" w:color="auto"/>
      </w:divBdr>
    </w:div>
    <w:div w:id="1976526714">
      <w:bodyDiv w:val="1"/>
      <w:marLeft w:val="0"/>
      <w:marRight w:val="0"/>
      <w:marTop w:val="0"/>
      <w:marBottom w:val="0"/>
      <w:divBdr>
        <w:top w:val="none" w:sz="0" w:space="0" w:color="auto"/>
        <w:left w:val="none" w:sz="0" w:space="0" w:color="auto"/>
        <w:bottom w:val="none" w:sz="0" w:space="0" w:color="auto"/>
        <w:right w:val="none" w:sz="0" w:space="0" w:color="auto"/>
      </w:divBdr>
    </w:div>
    <w:div w:id="1997953332">
      <w:bodyDiv w:val="1"/>
      <w:marLeft w:val="0"/>
      <w:marRight w:val="0"/>
      <w:marTop w:val="0"/>
      <w:marBottom w:val="0"/>
      <w:divBdr>
        <w:top w:val="none" w:sz="0" w:space="0" w:color="auto"/>
        <w:left w:val="none" w:sz="0" w:space="0" w:color="auto"/>
        <w:bottom w:val="none" w:sz="0" w:space="0" w:color="auto"/>
        <w:right w:val="none" w:sz="0" w:space="0" w:color="auto"/>
      </w:divBdr>
    </w:div>
    <w:div w:id="2059695878">
      <w:bodyDiv w:val="1"/>
      <w:marLeft w:val="0"/>
      <w:marRight w:val="0"/>
      <w:marTop w:val="0"/>
      <w:marBottom w:val="0"/>
      <w:divBdr>
        <w:top w:val="none" w:sz="0" w:space="0" w:color="auto"/>
        <w:left w:val="none" w:sz="0" w:space="0" w:color="auto"/>
        <w:bottom w:val="none" w:sz="0" w:space="0" w:color="auto"/>
        <w:right w:val="none" w:sz="0" w:space="0" w:color="auto"/>
      </w:divBdr>
    </w:div>
    <w:div w:id="2090536341">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 w:id="212619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legislation.act.gov.au/a/2023-18/" TargetMode="External"/><Relationship Id="rId39" Type="http://schemas.openxmlformats.org/officeDocument/2006/relationships/footer" Target="footer9.xml"/><Relationship Id="rId21" Type="http://schemas.openxmlformats.org/officeDocument/2006/relationships/hyperlink" Target="https://www.planning.act.gov.au/professionals/our-planning-system/act-planning-strategy" TargetMode="External"/><Relationship Id="rId34" Type="http://schemas.openxmlformats.org/officeDocument/2006/relationships/header" Target="header7.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www.legislation.act.gov.au/a/2023-18/" TargetMode="External"/><Relationship Id="rId29" Type="http://schemas.openxmlformats.org/officeDocument/2006/relationships/hyperlink" Target="https://www.act.gov.au/__data/assets/pdf_file/0009/2969928/statement-of-planning-priorities-2025-2028.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act.gov.au/open/built-for-cbr-infrastructure-plan" TargetMode="External"/><Relationship Id="rId32" Type="http://schemas.openxmlformats.org/officeDocument/2006/relationships/hyperlink" Target="https://www.revenue.act.gov.au/home-buyer-assistance/rz1-unit-duty-exemption-scheme" TargetMode="Externa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act.gov.au/__data/assets/pdf_file/0009/2969928/statement-of-planning-priorities-2025-2028.pdf" TargetMode="External"/><Relationship Id="rId28" Type="http://schemas.openxmlformats.org/officeDocument/2006/relationships/hyperlink" Target="https://www.planning.act.gov.au/professionals/our-planning-system/the-territory-plan" TargetMode="External"/><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www.planning.act.gov.au/professionals/land-release-sales/land-releas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planning.act.gov.au/professionals/our-planning-system/district-strategies" TargetMode="External"/><Relationship Id="rId27" Type="http://schemas.openxmlformats.org/officeDocument/2006/relationships/hyperlink" Target="https://www.planning.act.gov.au/professionals/our-planning-system/district-strategies" TargetMode="External"/><Relationship Id="rId30" Type="http://schemas.openxmlformats.org/officeDocument/2006/relationships/hyperlink" Target="https://www.planning.act.gov.au/professionals/land-release-sales/land-release" TargetMode="External"/><Relationship Id="rId35" Type="http://schemas.openxmlformats.org/officeDocument/2006/relationships/header" Target="header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planning.act.gov.au/professionals/our-planning-system/district-strategies" TargetMode="External"/><Relationship Id="rId33" Type="http://schemas.openxmlformats.org/officeDocument/2006/relationships/hyperlink" Target="https://www.planning.act.gov.au/__data/assets/pdf_file/0007/2332528/territory-priority-projects.pdf" TargetMode="External"/><Relationship Id="rId38" Type="http://schemas.openxmlformats.org/officeDocument/2006/relationships/header" Target="header9.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5721</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Australian Capital Territory progress report September 2025</dc:title>
  <dc:subject/>
  <dc:creator>ACT Government</dc:creator>
  <cp:keywords/>
  <cp:lastModifiedBy/>
  <cp:revision>1</cp:revision>
  <dcterms:created xsi:type="dcterms:W3CDTF">2026-06-10T01:55:00Z</dcterms:created>
  <dcterms:modified xsi:type="dcterms:W3CDTF">2026-06-10T01:56:00Z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2026-06-10T01:55:54Z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545594bc-28de-413b-88cd-17edc271a63c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