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1CEA" w14:textId="77777777" w:rsidR="00236901" w:rsidRDefault="008B3AD2" w:rsidP="00236901">
      <w:pPr>
        <w:spacing w:before="360"/>
        <w:ind w:right="95"/>
        <w:jc w:val="center"/>
      </w:pPr>
      <w:r>
        <w:rPr>
          <w:caps/>
          <w:noProof/>
        </w:rPr>
        <w:drawing>
          <wp:inline distT="0" distB="0" distL="0" distR="0" wp14:anchorId="2FD2F45D" wp14:editId="4AF56768">
            <wp:extent cx="246570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ustralian Government Cres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6B1CCAE9" w14:textId="597E8C9C" w:rsidR="002A31E6" w:rsidRPr="00EC7701" w:rsidRDefault="008B3AD2" w:rsidP="002A31E6">
      <w:pPr>
        <w:spacing w:before="360"/>
        <w:jc w:val="center"/>
        <w:rPr>
          <w:rFonts w:ascii="Montserrat Light" w:hAnsi="Montserrat Light"/>
          <w:sz w:val="32"/>
          <w:szCs w:val="32"/>
        </w:rPr>
      </w:pPr>
      <w:r w:rsidRPr="00EC7701">
        <w:rPr>
          <w:rFonts w:ascii="Montserrat Light" w:hAnsi="Montserrat Light"/>
          <w:sz w:val="32"/>
          <w:szCs w:val="32"/>
        </w:rPr>
        <w:t xml:space="preserve">Australian Government response to the </w:t>
      </w:r>
      <w:r w:rsidRPr="00EC7701">
        <w:rPr>
          <w:rFonts w:ascii="Montserrat Light" w:hAnsi="Montserrat Light"/>
          <w:sz w:val="32"/>
          <w:szCs w:val="32"/>
        </w:rPr>
        <w:br/>
      </w:r>
      <w:sdt>
        <w:sdtPr>
          <w:rPr>
            <w:rStyle w:val="commiChar"/>
          </w:rPr>
          <w:alias w:val="Committee Type"/>
          <w:tag w:val="CommitteeType"/>
          <w:id w:val="-551847750"/>
          <w:placeholder>
            <w:docPart w:val="8656F8A7C77145CBAF61E28C2658706A"/>
          </w:placeholder>
        </w:sdtPr>
        <w:sdtEndPr>
          <w:rPr>
            <w:rStyle w:val="DefaultParagraphFont"/>
            <w:rFonts w:ascii="Calibri Light" w:hAnsi="Calibri Light"/>
            <w:sz w:val="22"/>
            <w:szCs w:val="20"/>
          </w:rPr>
        </w:sdtEndPr>
        <w:sdtContent>
          <w:r>
            <w:rPr>
              <w:rFonts w:ascii="Montserrat Light" w:hAnsi="Montserrat Light"/>
              <w:sz w:val="32"/>
              <w:szCs w:val="32"/>
            </w:rPr>
            <w:t xml:space="preserve">Senate </w:t>
          </w:r>
          <w:sdt>
            <w:sdtPr>
              <w:rPr>
                <w:rStyle w:val="commiChar"/>
              </w:rPr>
              <w:alias w:val="Committee Name"/>
              <w:tag w:val="CommitteeName"/>
              <w:id w:val="309682108"/>
              <w:placeholder>
                <w:docPart w:val="129D4BE3E8C043E09940BE6F2577C618"/>
              </w:placeholder>
            </w:sdtPr>
            <w:sdtEndPr>
              <w:rPr>
                <w:rStyle w:val="DefaultParagraphFont"/>
                <w:rFonts w:ascii="Calibri Light" w:hAnsi="Calibri Light"/>
                <w:sz w:val="22"/>
                <w:szCs w:val="20"/>
              </w:rPr>
            </w:sdtEndPr>
            <w:sdtContent>
              <w:r>
                <w:rPr>
                  <w:rFonts w:ascii="Montserrat Light" w:hAnsi="Montserrat Light"/>
                  <w:sz w:val="32"/>
                  <w:szCs w:val="32"/>
                </w:rPr>
                <w:t>Economics</w:t>
              </w:r>
            </w:sdtContent>
          </w:sdt>
          <w:r>
            <w:rPr>
              <w:rFonts w:ascii="Montserrat Light" w:hAnsi="Montserrat Light"/>
              <w:sz w:val="32"/>
              <w:szCs w:val="32"/>
            </w:rPr>
            <w:t xml:space="preserve"> </w:t>
          </w:r>
          <w:r w:rsidR="00345C93" w:rsidRPr="00345C93">
            <w:rPr>
              <w:rFonts w:ascii="Montserrat Light" w:hAnsi="Montserrat Light"/>
              <w:sz w:val="32"/>
              <w:szCs w:val="32"/>
            </w:rPr>
            <w:t>Legislation</w:t>
          </w:r>
          <w:r w:rsidR="00345C93">
            <w:rPr>
              <w:rFonts w:ascii="Montserrat Light" w:hAnsi="Montserrat Light"/>
              <w:sz w:val="32"/>
              <w:szCs w:val="32"/>
            </w:rPr>
            <w:t xml:space="preserve"> </w:t>
          </w:r>
          <w:r>
            <w:rPr>
              <w:rFonts w:ascii="Montserrat Light" w:hAnsi="Montserrat Light"/>
              <w:sz w:val="32"/>
              <w:szCs w:val="32"/>
            </w:rPr>
            <w:t>Committee</w:t>
          </w:r>
        </w:sdtContent>
      </w:sdt>
      <w:r w:rsidR="00E12215" w:rsidRPr="00F769CE">
        <w:rPr>
          <w:rStyle w:val="commiChar"/>
        </w:rPr>
        <w:t xml:space="preserve"> </w:t>
      </w:r>
      <w:r>
        <w:rPr>
          <w:rFonts w:ascii="Montserrat Light" w:hAnsi="Montserrat Light"/>
          <w:sz w:val="32"/>
          <w:szCs w:val="32"/>
        </w:rPr>
        <w:t>r</w:t>
      </w:r>
      <w:r w:rsidRPr="00EC7701">
        <w:rPr>
          <w:rFonts w:ascii="Montserrat Light" w:hAnsi="Montserrat Light"/>
          <w:sz w:val="32"/>
          <w:szCs w:val="32"/>
        </w:rPr>
        <w:t>eport:</w:t>
      </w:r>
    </w:p>
    <w:p w14:paraId="06B4A7B1" w14:textId="589314D1" w:rsidR="002A31E6" w:rsidRPr="00EC7701" w:rsidRDefault="009475D3" w:rsidP="002A31E6">
      <w:pPr>
        <w:spacing w:before="240" w:after="7800"/>
        <w:jc w:val="center"/>
        <w:rPr>
          <w:rFonts w:ascii="Montserrat Light" w:hAnsi="Montserrat Light"/>
          <w:sz w:val="32"/>
          <w:szCs w:val="32"/>
        </w:rPr>
      </w:pPr>
      <w:sdt>
        <w:sdtPr>
          <w:rPr>
            <w:rStyle w:val="commiChar"/>
          </w:rPr>
          <w:alias w:val="Report Title"/>
          <w:tag w:val="ReportTitle"/>
          <w:id w:val="160520125"/>
          <w:placeholder>
            <w:docPart w:val="749CD8EB45014960823471CA5E14FDC1"/>
          </w:placeholder>
        </w:sdtPr>
        <w:sdtEndPr>
          <w:rPr>
            <w:rStyle w:val="commiChar"/>
          </w:rPr>
        </w:sdtEndPr>
        <w:sdtContent>
          <w:r w:rsidR="00253296" w:rsidRPr="00253296">
            <w:rPr>
              <w:rStyle w:val="commiChar"/>
            </w:rPr>
            <w:t xml:space="preserve">Inquiry into </w:t>
          </w:r>
          <w:r w:rsidR="00345C93">
            <w:rPr>
              <w:rStyle w:val="commiChar"/>
            </w:rPr>
            <w:t xml:space="preserve">the </w:t>
          </w:r>
          <w:r w:rsidR="00253296" w:rsidRPr="00253296">
            <w:rPr>
              <w:rStyle w:val="commiChar"/>
            </w:rPr>
            <w:t>Treasury Laws Amendment (Support for Small Business and Charities and Other Measures) Bill</w:t>
          </w:r>
          <w:r w:rsidR="00345C93">
            <w:rPr>
              <w:rStyle w:val="commiChar"/>
            </w:rPr>
            <w:t> </w:t>
          </w:r>
          <w:r w:rsidR="00253296" w:rsidRPr="00253296">
            <w:rPr>
              <w:rStyle w:val="commiChar"/>
            </w:rPr>
            <w:t>2023</w:t>
          </w:r>
        </w:sdtContent>
      </w:sdt>
    </w:p>
    <w:p w14:paraId="1455F258" w14:textId="0A3E395C" w:rsidR="00236901" w:rsidRPr="00E56C2A" w:rsidRDefault="00E56C2A" w:rsidP="00E56C2A">
      <w:pPr>
        <w:jc w:val="right"/>
        <w:rPr>
          <w:rFonts w:ascii="Montserrat Light" w:hAnsi="Montserrat Light"/>
          <w:caps/>
          <w:sz w:val="28"/>
          <w:szCs w:val="28"/>
        </w:rPr>
      </w:pPr>
      <w:r>
        <w:rPr>
          <w:rFonts w:ascii="Montserrat Light" w:hAnsi="Montserrat Light"/>
          <w:sz w:val="28"/>
          <w:szCs w:val="28"/>
        </w:rPr>
        <w:t>April 2026</w:t>
      </w:r>
    </w:p>
    <w:p w14:paraId="7564D92C" w14:textId="77777777" w:rsidR="00B47ECF" w:rsidRPr="00835798" w:rsidRDefault="00B47ECF" w:rsidP="002A31E6">
      <w:pPr>
        <w:pStyle w:val="NoSpacing"/>
        <w:sectPr w:rsidR="00B47ECF" w:rsidRPr="00835798" w:rsidSect="00B47ECF">
          <w:headerReference w:type="even" r:id="rId8"/>
          <w:headerReference w:type="default" r:id="rId9"/>
          <w:footerReference w:type="even" r:id="rId10"/>
          <w:footerReference w:type="default" r:id="rId11"/>
          <w:pgSz w:w="11906" w:h="16838" w:code="9"/>
          <w:pgMar w:top="1418" w:right="1418" w:bottom="1418" w:left="1418" w:header="709" w:footer="709" w:gutter="0"/>
          <w:pgNumType w:fmt="lowerRoman" w:start="1"/>
          <w:cols w:space="708"/>
          <w:titlePg/>
          <w:docGrid w:linePitch="360"/>
        </w:sectPr>
      </w:pPr>
    </w:p>
    <w:p w14:paraId="38EC6997" w14:textId="77777777" w:rsidR="00B47ECF" w:rsidRPr="00C47A9C" w:rsidRDefault="008B3AD2" w:rsidP="0077630F">
      <w:pPr>
        <w:pStyle w:val="Heading1"/>
      </w:pPr>
      <w:bookmarkStart w:id="0" w:name="_Toc256000000"/>
      <w:bookmarkStart w:id="1" w:name="_Toc307237589"/>
      <w:r w:rsidRPr="00C47A9C">
        <w:lastRenderedPageBreak/>
        <w:t>Introduction</w:t>
      </w:r>
      <w:bookmarkEnd w:id="0"/>
      <w:bookmarkEnd w:id="1"/>
    </w:p>
    <w:p w14:paraId="1C3CEE68" w14:textId="321E955B" w:rsidR="00DB2C3E" w:rsidRDefault="00331316" w:rsidP="00B47ECF">
      <w:r>
        <w:t xml:space="preserve">On 19 October 2023, the </w:t>
      </w:r>
      <w:r>
        <w:rPr>
          <w:i/>
          <w:iCs/>
        </w:rPr>
        <w:t>Treasury Laws Amendment (Support for Small Business and Charities and Other Measures) Bill 2023</w:t>
      </w:r>
      <w:r>
        <w:t xml:space="preserve"> </w:t>
      </w:r>
      <w:r w:rsidR="008533CA">
        <w:t xml:space="preserve">(the Bill) </w:t>
      </w:r>
      <w:r>
        <w:t>was referred to the Senate Economics Legislation Committee</w:t>
      </w:r>
      <w:r w:rsidR="00FF40FA">
        <w:t xml:space="preserve">, with a report published on 24 November 2023. </w:t>
      </w:r>
    </w:p>
    <w:p w14:paraId="0F7CE018" w14:textId="552D4B5A" w:rsidR="00220979" w:rsidRDefault="00DB2C3E" w:rsidP="00B47ECF">
      <w:r>
        <w:t xml:space="preserve">The Bill has 8 schedules that </w:t>
      </w:r>
      <w:r w:rsidR="00220979">
        <w:t>implement a broad range of measures, including support for small business and charities, and changes to superannuation and insurance. The Committee’s report focuses on three schedules:</w:t>
      </w:r>
    </w:p>
    <w:p w14:paraId="6B566B02" w14:textId="23CACAD7" w:rsidR="008E0299" w:rsidRDefault="00220979" w:rsidP="007B0C47">
      <w:pPr>
        <w:pStyle w:val="Bullet"/>
      </w:pPr>
      <w:r>
        <w:t xml:space="preserve">Schedule 1 </w:t>
      </w:r>
      <w:r w:rsidR="008E0299">
        <w:t xml:space="preserve">– the $20,000 instant asset write-off which </w:t>
      </w:r>
      <w:r w:rsidR="00FC42B9">
        <w:t xml:space="preserve">under this Bill </w:t>
      </w:r>
      <w:r w:rsidR="008E0299">
        <w:t>allow</w:t>
      </w:r>
      <w:r w:rsidR="00565E84">
        <w:t>ed</w:t>
      </w:r>
      <w:r w:rsidR="008E0299">
        <w:t xml:space="preserve"> small businesses to immediately deduct the cost of eligible assets costing less than $20,000</w:t>
      </w:r>
      <w:r w:rsidR="00212813">
        <w:t>, from 1</w:t>
      </w:r>
      <w:r w:rsidR="00FC42B9">
        <w:t> </w:t>
      </w:r>
      <w:r w:rsidR="00212813">
        <w:t>July 2023 until 30 June </w:t>
      </w:r>
      <w:proofErr w:type="gramStart"/>
      <w:r w:rsidR="00212813">
        <w:t>2024</w:t>
      </w:r>
      <w:r w:rsidR="008E0299">
        <w:t>;</w:t>
      </w:r>
      <w:proofErr w:type="gramEnd"/>
      <w:r w:rsidR="008E0299">
        <w:t xml:space="preserve"> </w:t>
      </w:r>
    </w:p>
    <w:p w14:paraId="7B1D18BB" w14:textId="35D45A8B" w:rsidR="00220979" w:rsidRDefault="008E0299" w:rsidP="007B0C47">
      <w:pPr>
        <w:pStyle w:val="Bullet"/>
      </w:pPr>
      <w:r>
        <w:t>Schedule 2 – the Small Business Energy Incentive which provide</w:t>
      </w:r>
      <w:r w:rsidR="00565E84">
        <w:t>d</w:t>
      </w:r>
      <w:r>
        <w:t xml:space="preserve"> small and medium businesses with access to a bonus 20 per cent tax deduction for eligible assets and upgrades supporting electrification and more efficient energy</w:t>
      </w:r>
      <w:r w:rsidR="00212813">
        <w:t xml:space="preserve"> use</w:t>
      </w:r>
      <w:r>
        <w:t xml:space="preserve">, from 1 July 2023 until 30 June 2024; and </w:t>
      </w:r>
    </w:p>
    <w:p w14:paraId="609BA264" w14:textId="0F3460EB" w:rsidR="00B47ECF" w:rsidRDefault="00220979" w:rsidP="004F0F0D">
      <w:pPr>
        <w:pStyle w:val="Bullet"/>
      </w:pPr>
      <w:r>
        <w:t>Schedule 7</w:t>
      </w:r>
      <w:r w:rsidRPr="00220979">
        <w:t xml:space="preserve"> </w:t>
      </w:r>
      <w:r w:rsidR="00AD6DFA">
        <w:t>–</w:t>
      </w:r>
      <w:r w:rsidR="00212813">
        <w:t xml:space="preserve"> the </w:t>
      </w:r>
      <w:r w:rsidRPr="0007003B">
        <w:t>amend</w:t>
      </w:r>
      <w:r w:rsidR="00212813">
        <w:t xml:space="preserve">ments to </w:t>
      </w:r>
      <w:r w:rsidRPr="0007003B">
        <w:t>the rules for non-arm’s length expenses for superannuation entities</w:t>
      </w:r>
      <w:r w:rsidR="007B0C47">
        <w:t xml:space="preserve">. </w:t>
      </w:r>
    </w:p>
    <w:p w14:paraId="2D685817" w14:textId="61889DDF" w:rsidR="000C6D37" w:rsidRDefault="000C6D37">
      <w:pPr>
        <w:spacing w:after="160" w:line="259" w:lineRule="auto"/>
      </w:pPr>
      <w:r>
        <w:t>The Government thanks the Senate Economics Legislation Committee for its inquiry into this Bill, and thanks those organisations and individuals who made submissions to the inquiry and participated in the public hearing.</w:t>
      </w:r>
    </w:p>
    <w:p w14:paraId="7811C448" w14:textId="77777777" w:rsidR="008C6C56" w:rsidRDefault="004809D4">
      <w:pPr>
        <w:spacing w:after="160" w:line="259" w:lineRule="auto"/>
      </w:pPr>
      <w:r>
        <w:t xml:space="preserve">The Government’s response to the recommendations made in the </w:t>
      </w:r>
      <w:r w:rsidR="000C6D37">
        <w:t xml:space="preserve">additional comments in the </w:t>
      </w:r>
      <w:r>
        <w:t>Committee’s final report are provided below. In line with the guidelines on Government responses</w:t>
      </w:r>
      <w:r w:rsidR="00B23138">
        <w:t xml:space="preserve">, recommendations that the </w:t>
      </w:r>
      <w:r w:rsidR="00AD6DFA">
        <w:t>B</w:t>
      </w:r>
      <w:r w:rsidR="00B23138">
        <w:t>ill be passed have not been responded to.</w:t>
      </w:r>
      <w:r w:rsidR="000C6D37">
        <w:t xml:space="preserve"> </w:t>
      </w:r>
    </w:p>
    <w:p w14:paraId="0EC6BF9E" w14:textId="594BDD13" w:rsidR="00C47A9C" w:rsidRPr="00C47A9C" w:rsidRDefault="008C6C56">
      <w:pPr>
        <w:spacing w:after="160" w:line="259" w:lineRule="auto"/>
        <w:rPr>
          <w:caps/>
          <w:sz w:val="28"/>
          <w:szCs w:val="28"/>
        </w:rPr>
      </w:pPr>
      <w:r>
        <w:t xml:space="preserve">The Bill was passed by the Parliament on </w:t>
      </w:r>
      <w:r w:rsidRPr="008C6C56">
        <w:t>25 Jun</w:t>
      </w:r>
      <w:r>
        <w:t>e</w:t>
      </w:r>
      <w:r w:rsidRPr="008C6C56">
        <w:t xml:space="preserve"> 2024</w:t>
      </w:r>
      <w:r>
        <w:t xml:space="preserve"> and received</w:t>
      </w:r>
      <w:r w:rsidR="00903DAD">
        <w:t xml:space="preserve"> </w:t>
      </w:r>
      <w:r>
        <w:t>Royal Assent on 28 June 2024.</w:t>
      </w:r>
      <w:r w:rsidRPr="00C47A9C">
        <w:rPr>
          <w:caps/>
          <w:sz w:val="28"/>
          <w:szCs w:val="28"/>
        </w:rPr>
        <w:t xml:space="preserve"> </w:t>
      </w:r>
      <w:r w:rsidR="008B3AD2" w:rsidRPr="00C47A9C">
        <w:rPr>
          <w:caps/>
          <w:sz w:val="28"/>
          <w:szCs w:val="28"/>
        </w:rPr>
        <w:br w:type="page"/>
      </w:r>
    </w:p>
    <w:p w14:paraId="54B4AE1F" w14:textId="2FE108EE" w:rsidR="00C47A9C" w:rsidRDefault="008B3AD2" w:rsidP="009B4590">
      <w:pPr>
        <w:pStyle w:val="Heading1"/>
        <w:keepNext w:val="0"/>
        <w:spacing w:after="0"/>
      </w:pPr>
      <w:r w:rsidRPr="00C47A9C">
        <w:lastRenderedPageBreak/>
        <w:t>Response to the recommendations</w:t>
      </w:r>
    </w:p>
    <w:p w14:paraId="58E41FDB" w14:textId="77777777" w:rsidR="00803488" w:rsidRDefault="00803488" w:rsidP="00803488">
      <w:pPr>
        <w:pStyle w:val="Heading2"/>
        <w:keepNext w:val="0"/>
      </w:pPr>
      <w:r>
        <w:t>Coalition Senators’ additional comments</w:t>
      </w:r>
    </w:p>
    <w:p w14:paraId="0088F1BB" w14:textId="77777777" w:rsidR="00803488" w:rsidRPr="008774BA" w:rsidRDefault="00803488" w:rsidP="00803488">
      <w:pPr>
        <w:pStyle w:val="BoxHeading"/>
        <w:rPr>
          <w:caps/>
        </w:rPr>
      </w:pPr>
      <w:r w:rsidRPr="008774BA">
        <w:t xml:space="preserve">Recommendation </w:t>
      </w:r>
      <w:r>
        <w:t>1</w:t>
      </w:r>
    </w:p>
    <w:p w14:paraId="20AE3687" w14:textId="77777777" w:rsidR="00803488" w:rsidRDefault="00803488" w:rsidP="00803488">
      <w:r>
        <w:t>Increase the Instant Asset Write-off threshold to $30,000 and expand the eligibility to businesses with aggregated turnover of up to $50 million, which would restore the business investment incentive policy to 2019-20 levels.</w:t>
      </w:r>
    </w:p>
    <w:p w14:paraId="566E973C" w14:textId="77777777" w:rsidR="00803488" w:rsidRPr="009753EB" w:rsidRDefault="00803488" w:rsidP="00803488">
      <w:pPr>
        <w:pStyle w:val="BoxSubHeading"/>
        <w:keepNext w:val="0"/>
        <w:rPr>
          <w:caps/>
        </w:rPr>
      </w:pPr>
      <w:r w:rsidRPr="009753EB">
        <w:t xml:space="preserve">Australian Government response </w:t>
      </w:r>
    </w:p>
    <w:p w14:paraId="6BACB4FE" w14:textId="3FC712DD" w:rsidR="00803488" w:rsidRDefault="00803488" w:rsidP="00803488">
      <w:pPr>
        <w:pStyle w:val="BoxText"/>
      </w:pPr>
      <w:r>
        <w:rPr>
          <w:caps/>
        </w:rPr>
        <w:t>t</w:t>
      </w:r>
      <w:r>
        <w:t xml:space="preserve">he Government </w:t>
      </w:r>
      <w:r w:rsidR="00C21B9A">
        <w:rPr>
          <w:b/>
          <w:bCs/>
        </w:rPr>
        <w:t>does not support</w:t>
      </w:r>
      <w:r w:rsidR="00C21B9A" w:rsidRPr="008774BA">
        <w:t xml:space="preserve"> </w:t>
      </w:r>
      <w:r>
        <w:t>this recommendation.</w:t>
      </w:r>
    </w:p>
    <w:p w14:paraId="58BA626F" w14:textId="5747DF06" w:rsidR="0093797C" w:rsidRPr="00374DDC" w:rsidRDefault="0093797C" w:rsidP="0093797C">
      <w:r w:rsidRPr="00374DDC">
        <w:t xml:space="preserve">The Government </w:t>
      </w:r>
      <w:r w:rsidR="002540F1">
        <w:t xml:space="preserve">has </w:t>
      </w:r>
      <w:r w:rsidRPr="00374DDC">
        <w:t>improved cash flow and reduced compliance costs for small business</w:t>
      </w:r>
      <w:r w:rsidR="00181049">
        <w:t>es</w:t>
      </w:r>
      <w:r w:rsidRPr="00374DDC">
        <w:t xml:space="preserve"> by legislating the $20,000 instant asset write-off for small businesses from 1 July 2023 to 30 June 202</w:t>
      </w:r>
      <w:r w:rsidR="00F0056B">
        <w:t>6</w:t>
      </w:r>
      <w:r w:rsidRPr="00374DDC">
        <w:t>. Without this change</w:t>
      </w:r>
      <w:r w:rsidRPr="000D0129">
        <w:t>, the instant asset write-off would have reverted to $1,000.</w:t>
      </w:r>
      <w:r w:rsidR="009B2F31" w:rsidRPr="000D0129">
        <w:t xml:space="preserve"> </w:t>
      </w:r>
      <w:r w:rsidR="00E66A6D" w:rsidRPr="000D0129">
        <w:t xml:space="preserve">Legislation to extend the instant asset write-off for 12 months until 30 June 2026 was passed as part of the </w:t>
      </w:r>
      <w:r w:rsidR="00E66A6D" w:rsidRPr="000D0129">
        <w:rPr>
          <w:i/>
          <w:iCs/>
        </w:rPr>
        <w:t>Treasury Laws Amendment (Strengthening Financial Systems and Other Measures) Act 2025</w:t>
      </w:r>
      <w:r w:rsidR="00E66A6D" w:rsidRPr="000D0129">
        <w:t xml:space="preserve"> which received Royal Assent on 4 December 2025.</w:t>
      </w:r>
    </w:p>
    <w:p w14:paraId="4411DADC" w14:textId="278D06F3" w:rsidR="00285C9B" w:rsidRDefault="003551A6" w:rsidP="00285C9B">
      <w:r>
        <w:t xml:space="preserve">Small </w:t>
      </w:r>
      <w:r w:rsidR="0069119C">
        <w:t xml:space="preserve">businesses with aggregated annual turnover </w:t>
      </w:r>
      <w:r w:rsidR="007B0C47">
        <w:t>of less than</w:t>
      </w:r>
      <w:r w:rsidR="0069119C">
        <w:t xml:space="preserve"> $10 millio</w:t>
      </w:r>
      <w:r>
        <w:t>n</w:t>
      </w:r>
      <w:r w:rsidR="0069119C">
        <w:t xml:space="preserve"> </w:t>
      </w:r>
      <w:r w:rsidR="00216EB0">
        <w:t xml:space="preserve">that are in the simplified depreciation regime </w:t>
      </w:r>
      <w:r w:rsidR="0069119C">
        <w:t>can</w:t>
      </w:r>
      <w:r w:rsidR="007B0C47">
        <w:t xml:space="preserve"> claim an immediate deduction</w:t>
      </w:r>
      <w:r w:rsidR="0069119C">
        <w:t xml:space="preserve"> </w:t>
      </w:r>
      <w:r w:rsidR="007B0C47">
        <w:t xml:space="preserve">for eligible </w:t>
      </w:r>
      <w:r w:rsidR="0069119C">
        <w:t>assets costing less than $20,000. The</w:t>
      </w:r>
      <w:r w:rsidR="00C054FA">
        <w:t xml:space="preserve"> $20,000</w:t>
      </w:r>
      <w:r w:rsidR="0069119C">
        <w:t xml:space="preserve"> threshold applies on a per</w:t>
      </w:r>
      <w:r w:rsidR="007B0C47">
        <w:t xml:space="preserve"> </w:t>
      </w:r>
      <w:r w:rsidR="0069119C">
        <w:t xml:space="preserve">asset basis, </w:t>
      </w:r>
      <w:r w:rsidR="007B0C47">
        <w:t>so</w:t>
      </w:r>
      <w:r w:rsidR="0069119C">
        <w:t xml:space="preserve"> small businesses can instantly w</w:t>
      </w:r>
      <w:r w:rsidR="00883EE9">
        <w:t>rite</w:t>
      </w:r>
      <w:r w:rsidR="00883EE9">
        <w:softHyphen/>
      </w:r>
      <w:r w:rsidR="007B0C47">
        <w:t xml:space="preserve"> </w:t>
      </w:r>
      <w:r w:rsidR="00883EE9">
        <w:t>off multiple assets.</w:t>
      </w:r>
      <w:r w:rsidR="00087300">
        <w:t xml:space="preserve"> </w:t>
      </w:r>
      <w:r w:rsidR="00F81487">
        <w:t>Assets costing $20,000 or more can continue to be placed into the small business simplified depreciation pool and depreciated at set rates.</w:t>
      </w:r>
      <w:r w:rsidR="00285C9B">
        <w:t xml:space="preserve"> </w:t>
      </w:r>
    </w:p>
    <w:p w14:paraId="7153F3FB" w14:textId="3C19EC3C" w:rsidR="00C054FA" w:rsidRDefault="00C054FA" w:rsidP="00803488"/>
    <w:p w14:paraId="68979D58" w14:textId="77777777" w:rsidR="00803488" w:rsidRPr="008774BA" w:rsidRDefault="00803488" w:rsidP="00803488">
      <w:pPr>
        <w:pStyle w:val="BoxHeading"/>
        <w:rPr>
          <w:caps/>
        </w:rPr>
      </w:pPr>
      <w:r w:rsidRPr="000D0129">
        <w:t>Recommendation 2</w:t>
      </w:r>
    </w:p>
    <w:p w14:paraId="1B7C241E" w14:textId="0E5FCE3D" w:rsidR="00803488" w:rsidRPr="008774BA" w:rsidRDefault="00803488" w:rsidP="00803488">
      <w:pPr>
        <w:pStyle w:val="BoxText"/>
      </w:pPr>
      <w:r>
        <w:t xml:space="preserve">The Government review the measure (Schedule 7 – Non-arm’s length expenses of superannuation funds) with consideration given to the alternative solution to the integrity concerns proposed by Chartered Accountants Australia and New Zealand, CPA Australia, Institute of Public Accountants, SMSF Association and </w:t>
      </w:r>
      <w:r w:rsidR="00C84251">
        <w:t>T</w:t>
      </w:r>
      <w:r>
        <w:t xml:space="preserve">he Tax Institute, through amendments to section 109 of the </w:t>
      </w:r>
      <w:r w:rsidRPr="00C84665">
        <w:rPr>
          <w:i/>
          <w:iCs/>
        </w:rPr>
        <w:t>Superannuation Industry (Supervision) Act 1993</w:t>
      </w:r>
      <w:r>
        <w:t xml:space="preserve"> that prohibit trustees from conducting transactions not on arm’s length terms.</w:t>
      </w:r>
    </w:p>
    <w:p w14:paraId="04826300" w14:textId="77777777" w:rsidR="00803488" w:rsidRPr="009753EB" w:rsidRDefault="00803488" w:rsidP="00803488">
      <w:pPr>
        <w:pStyle w:val="BoxSubHeading"/>
        <w:keepNext w:val="0"/>
        <w:rPr>
          <w:caps/>
        </w:rPr>
      </w:pPr>
      <w:r w:rsidRPr="009753EB">
        <w:t xml:space="preserve">Australian Government response </w:t>
      </w:r>
    </w:p>
    <w:p w14:paraId="191CB126" w14:textId="77777777" w:rsidR="00803488" w:rsidRDefault="00803488" w:rsidP="00803488">
      <w:pPr>
        <w:pStyle w:val="BoxText"/>
      </w:pPr>
      <w:r>
        <w:rPr>
          <w:caps/>
        </w:rPr>
        <w:t>t</w:t>
      </w:r>
      <w:r>
        <w:t xml:space="preserve">he Government </w:t>
      </w:r>
      <w:r w:rsidRPr="00FB6B0E">
        <w:rPr>
          <w:b/>
          <w:bCs/>
        </w:rPr>
        <w:t>does not support</w:t>
      </w:r>
      <w:r w:rsidRPr="008774BA">
        <w:t xml:space="preserve"> </w:t>
      </w:r>
      <w:r>
        <w:t>this recommendation.</w:t>
      </w:r>
    </w:p>
    <w:p w14:paraId="7CC4B07B" w14:textId="3F4FCFAD" w:rsidR="00803488" w:rsidRDefault="00803488" w:rsidP="00803488">
      <w:r>
        <w:t xml:space="preserve">The Government </w:t>
      </w:r>
      <w:r w:rsidRPr="006E4D1C">
        <w:t xml:space="preserve">carefully considered </w:t>
      </w:r>
      <w:r w:rsidR="008021EE">
        <w:t xml:space="preserve">the </w:t>
      </w:r>
      <w:bookmarkStart w:id="2" w:name="_Hlk175817287"/>
      <w:r w:rsidR="008021EE">
        <w:t>peak industry bodies</w:t>
      </w:r>
      <w:r>
        <w:t xml:space="preserve"> submission </w:t>
      </w:r>
      <w:bookmarkEnd w:id="2"/>
      <w:r w:rsidR="008021EE">
        <w:t xml:space="preserve">which </w:t>
      </w:r>
      <w:r>
        <w:t xml:space="preserve">argued the tax integrity risks presented by arrangements involving non-arm’s length expenses (NALE) could be addressed by relying on existing contribution rules, as well as introducing administrative penalties for trustees of self-managed superannuation funds (SMSFs) and small APRA-regulated funds </w:t>
      </w:r>
      <w:r w:rsidR="00B65085">
        <w:t xml:space="preserve">that </w:t>
      </w:r>
      <w:r>
        <w:t xml:space="preserve">breach the NALE rules. </w:t>
      </w:r>
    </w:p>
    <w:p w14:paraId="20B348EF" w14:textId="7F1B5093" w:rsidR="00803488" w:rsidRDefault="00803488" w:rsidP="00803488">
      <w:r>
        <w:t>This proposal presented several concerns as it would have involved the repeal of anti-avoidance provisions that have been in place since 2019. Specifically</w:t>
      </w:r>
      <w:r w:rsidR="00075FFC">
        <w:t>,</w:t>
      </w:r>
      <w:r w:rsidR="00DF6BFE">
        <w:t xml:space="preserve"> that the tax integrity concerns with NALE cannot be addressed through contribution rules as these rules cover transactions where there is a clear intention for a contribution to be made. </w:t>
      </w:r>
    </w:p>
    <w:p w14:paraId="04FEC173" w14:textId="3635BE16" w:rsidR="00E832E4" w:rsidRDefault="006E4B25" w:rsidP="00803488">
      <w:r>
        <w:t>Furt</w:t>
      </w:r>
      <w:r w:rsidR="008C6C56">
        <w:t>h</w:t>
      </w:r>
      <w:r>
        <w:t>er, c</w:t>
      </w:r>
      <w:r w:rsidR="00803488">
        <w:t>ontributions treatment for NALE arrangements would, at most, involve a one-off excess contribution tax penalty</w:t>
      </w:r>
      <w:r>
        <w:t xml:space="preserve">, which </w:t>
      </w:r>
      <w:r w:rsidR="00803488">
        <w:t xml:space="preserve">may insufficiently address tax advantages involved </w:t>
      </w:r>
      <w:r w:rsidR="008C6C56">
        <w:t xml:space="preserve">that </w:t>
      </w:r>
      <w:r w:rsidR="00803488">
        <w:t xml:space="preserve">may extend to income in future years. </w:t>
      </w:r>
      <w:r w:rsidR="002668C6">
        <w:t>In addition, r</w:t>
      </w:r>
      <w:r w:rsidR="00803488">
        <w:t xml:space="preserve">eplacing the NALE rules with one-off administrative penalties for trustees would also not be a substantial deterrent from engaging in non-arm's length arrangements. </w:t>
      </w:r>
    </w:p>
    <w:p w14:paraId="76B010A2" w14:textId="1ED5A3EF" w:rsidR="00D77E5E" w:rsidRDefault="00803488" w:rsidP="00803488">
      <w:r>
        <w:lastRenderedPageBreak/>
        <w:t>The Government’s approach in the Bill instead ensures the NALE rules are retained as a targeted and proportionate anti-avoidance measure.</w:t>
      </w:r>
    </w:p>
    <w:p w14:paraId="7455BDE8" w14:textId="77777777" w:rsidR="004311A3" w:rsidRDefault="004311A3" w:rsidP="004311A3">
      <w:pPr>
        <w:pStyle w:val="Heading2"/>
      </w:pPr>
      <w:r>
        <w:t>Australian Greens additional comments</w:t>
      </w:r>
    </w:p>
    <w:p w14:paraId="4F6E79EA" w14:textId="77777777" w:rsidR="002A673B" w:rsidRPr="008774BA" w:rsidRDefault="002A673B" w:rsidP="002A673B">
      <w:pPr>
        <w:pStyle w:val="BoxHeading"/>
        <w:rPr>
          <w:caps/>
        </w:rPr>
      </w:pPr>
      <w:r w:rsidRPr="008774BA">
        <w:t>Recommendation 1</w:t>
      </w:r>
    </w:p>
    <w:p w14:paraId="6EEF7613" w14:textId="77777777" w:rsidR="002A673B" w:rsidRDefault="002A673B" w:rsidP="002A673B">
      <w:pPr>
        <w:pStyle w:val="BoxSubHeading"/>
        <w:rPr>
          <w:bCs w:val="0"/>
          <w:i w:val="0"/>
          <w:iCs w:val="0"/>
          <w:color w:val="auto"/>
          <w:sz w:val="22"/>
          <w:szCs w:val="20"/>
        </w:rPr>
      </w:pPr>
      <w:r w:rsidRPr="002A673B">
        <w:rPr>
          <w:bCs w:val="0"/>
          <w:i w:val="0"/>
          <w:iCs w:val="0"/>
          <w:color w:val="auto"/>
          <w:sz w:val="22"/>
          <w:szCs w:val="20"/>
        </w:rPr>
        <w:t xml:space="preserve">The </w:t>
      </w:r>
      <w:bookmarkStart w:id="3" w:name="_Hlk209536560"/>
      <w:r w:rsidRPr="002A673B">
        <w:rPr>
          <w:bCs w:val="0"/>
          <w:i w:val="0"/>
          <w:iCs w:val="0"/>
          <w:color w:val="auto"/>
          <w:sz w:val="22"/>
          <w:szCs w:val="20"/>
        </w:rPr>
        <w:t xml:space="preserve">Small Business Energy Incentive </w:t>
      </w:r>
      <w:bookmarkEnd w:id="3"/>
      <w:r w:rsidRPr="002A673B">
        <w:rPr>
          <w:bCs w:val="0"/>
          <w:i w:val="0"/>
          <w:iCs w:val="0"/>
          <w:color w:val="auto"/>
          <w:sz w:val="22"/>
          <w:szCs w:val="20"/>
        </w:rPr>
        <w:t>be extended to operate for three financial years, to expire on 30</w:t>
      </w:r>
      <w:r>
        <w:rPr>
          <w:bCs w:val="0"/>
          <w:i w:val="0"/>
          <w:iCs w:val="0"/>
          <w:color w:val="auto"/>
          <w:sz w:val="22"/>
          <w:szCs w:val="20"/>
        </w:rPr>
        <w:t> </w:t>
      </w:r>
      <w:r w:rsidRPr="002A673B">
        <w:rPr>
          <w:bCs w:val="0"/>
          <w:i w:val="0"/>
          <w:iCs w:val="0"/>
          <w:color w:val="auto"/>
          <w:sz w:val="22"/>
          <w:szCs w:val="20"/>
        </w:rPr>
        <w:t>June 2026.</w:t>
      </w:r>
    </w:p>
    <w:p w14:paraId="4B4C860C" w14:textId="6C3601C9" w:rsidR="002A673B" w:rsidRPr="002A673B" w:rsidRDefault="002A673B" w:rsidP="002A673B">
      <w:pPr>
        <w:pStyle w:val="BoxSubHeading"/>
        <w:rPr>
          <w:bCs w:val="0"/>
          <w:i w:val="0"/>
          <w:iCs w:val="0"/>
          <w:color w:val="auto"/>
          <w:sz w:val="22"/>
          <w:szCs w:val="20"/>
        </w:rPr>
      </w:pPr>
      <w:r w:rsidRPr="009753EB">
        <w:t xml:space="preserve">Australian Government response </w:t>
      </w:r>
    </w:p>
    <w:p w14:paraId="51BF63DC" w14:textId="530B12F9" w:rsidR="002A673B" w:rsidRDefault="002A673B" w:rsidP="002A673B">
      <w:pPr>
        <w:pStyle w:val="BoxText"/>
      </w:pPr>
      <w:r>
        <w:rPr>
          <w:caps/>
        </w:rPr>
        <w:t>t</w:t>
      </w:r>
      <w:r>
        <w:t xml:space="preserve">he Government </w:t>
      </w:r>
      <w:r w:rsidR="00C21B9A">
        <w:rPr>
          <w:b/>
          <w:bCs/>
        </w:rPr>
        <w:t>does not support</w:t>
      </w:r>
      <w:r w:rsidR="00C21B9A" w:rsidRPr="008774BA">
        <w:t xml:space="preserve"> </w:t>
      </w:r>
      <w:r>
        <w:t>this recommendation.</w:t>
      </w:r>
    </w:p>
    <w:p w14:paraId="75D384C0" w14:textId="77777777" w:rsidR="004002F2" w:rsidRDefault="00374DDC" w:rsidP="002A673B">
      <w:r w:rsidRPr="00374DDC">
        <w:t xml:space="preserve">The Government </w:t>
      </w:r>
      <w:r>
        <w:t>supported small businesses to electrify and improve their energy efficiency by</w:t>
      </w:r>
      <w:r w:rsidRPr="00374DDC">
        <w:t xml:space="preserve"> legislating the </w:t>
      </w:r>
      <w:r>
        <w:t>Small Business Energy Incentive</w:t>
      </w:r>
      <w:r w:rsidRPr="00374DDC">
        <w:t xml:space="preserve"> for small </w:t>
      </w:r>
      <w:r>
        <w:t xml:space="preserve">and medium </w:t>
      </w:r>
      <w:r w:rsidRPr="00374DDC">
        <w:t>businesses from 1 July 2023 to 30 June 2024</w:t>
      </w:r>
      <w:r>
        <w:t>.</w:t>
      </w:r>
    </w:p>
    <w:p w14:paraId="24A851DA" w14:textId="24068698" w:rsidR="002A673B" w:rsidRDefault="00374DDC" w:rsidP="002A673B">
      <w:r>
        <w:t>B</w:t>
      </w:r>
      <w:r w:rsidR="00F60DDF">
        <w:t xml:space="preserve">usinesses with aggregated annual turnover </w:t>
      </w:r>
      <w:r w:rsidR="0052697A">
        <w:t xml:space="preserve">of less than </w:t>
      </w:r>
      <w:r w:rsidR="00F60DDF">
        <w:t xml:space="preserve">$50 million </w:t>
      </w:r>
      <w:r w:rsidR="001461EC">
        <w:t xml:space="preserve">could </w:t>
      </w:r>
      <w:r w:rsidR="00F60DDF">
        <w:t xml:space="preserve">claim a 20 per cent bonus tax deduction on eligible assets that support electrification and more efficient energy use. Up to $100,000 of total expenditure </w:t>
      </w:r>
      <w:r w:rsidR="001461EC">
        <w:t>was</w:t>
      </w:r>
      <w:r w:rsidR="00F60DDF">
        <w:t xml:space="preserve"> eligible, with the maximum bonus tax deduction being $20,000.</w:t>
      </w:r>
    </w:p>
    <w:p w14:paraId="2683C7A5" w14:textId="523E4F96" w:rsidR="00CA5961" w:rsidRDefault="00842412" w:rsidP="002A673B">
      <w:r>
        <w:t>The Small Business Energy Incentive</w:t>
      </w:r>
      <w:r w:rsidRPr="00842412">
        <w:t xml:space="preserve"> was announced as a time-limited measure, designed to encourage businesses to take advantage of it while it </w:t>
      </w:r>
      <w:r w:rsidRPr="000D0129">
        <w:t>applie</w:t>
      </w:r>
      <w:r w:rsidR="00B552F6" w:rsidRPr="000D0129">
        <w:t>d</w:t>
      </w:r>
      <w:r w:rsidRPr="000D0129">
        <w:t xml:space="preserve">. </w:t>
      </w:r>
      <w:r w:rsidR="00CA5961" w:rsidRPr="000D0129">
        <w:t>In September 2025, the Government announced Australia’s 2035 target range, Net Zero Plan and six sectoral decarbonisation plans. It also announced the first National Climate Risk Assessment and National Adaptation Plan. These announcements build on significant commitments over recent budgets, which will create new opportunities across the economy, including for small businesses.</w:t>
      </w:r>
    </w:p>
    <w:p w14:paraId="5DCB08C2" w14:textId="77777777" w:rsidR="004F0F0D" w:rsidRDefault="004F0F0D" w:rsidP="002A673B"/>
    <w:p w14:paraId="04E6AECC" w14:textId="3AADF1ED" w:rsidR="002A673B" w:rsidRPr="008774BA" w:rsidRDefault="002A673B" w:rsidP="002A673B">
      <w:pPr>
        <w:pStyle w:val="BoxHeading"/>
        <w:rPr>
          <w:caps/>
        </w:rPr>
      </w:pPr>
      <w:r w:rsidRPr="008774BA">
        <w:t>Recommendation</w:t>
      </w:r>
      <w:r w:rsidR="00AD6DFA">
        <w:t>s</w:t>
      </w:r>
      <w:r w:rsidRPr="008774BA">
        <w:t xml:space="preserve"> </w:t>
      </w:r>
      <w:r>
        <w:t>2</w:t>
      </w:r>
      <w:r w:rsidR="00801B11">
        <w:t xml:space="preserve"> and 3</w:t>
      </w:r>
    </w:p>
    <w:p w14:paraId="03048CA1" w14:textId="02CC27C7" w:rsidR="00801B11" w:rsidRPr="00801B11" w:rsidRDefault="00290740" w:rsidP="00801B11">
      <w:pPr>
        <w:pStyle w:val="BoxSubHeading"/>
        <w:rPr>
          <w:bCs w:val="0"/>
          <w:i w:val="0"/>
          <w:iCs w:val="0"/>
          <w:color w:val="auto"/>
          <w:sz w:val="22"/>
          <w:szCs w:val="20"/>
        </w:rPr>
      </w:pPr>
      <w:r>
        <w:rPr>
          <w:bCs w:val="0"/>
          <w:i w:val="0"/>
          <w:iCs w:val="0"/>
          <w:color w:val="auto"/>
          <w:sz w:val="22"/>
          <w:szCs w:val="20"/>
        </w:rPr>
        <w:t xml:space="preserve">Recommendation 2: </w:t>
      </w:r>
      <w:r w:rsidR="00801B11" w:rsidRPr="00801B11">
        <w:rPr>
          <w:bCs w:val="0"/>
          <w:i w:val="0"/>
          <w:iCs w:val="0"/>
          <w:color w:val="auto"/>
          <w:sz w:val="22"/>
          <w:szCs w:val="20"/>
        </w:rPr>
        <w:t>The exclusion of solar panels from the scheme should be amended to allow for the inclusion of solar PV where it is combined with a package of other energy upgrades and installation.</w:t>
      </w:r>
    </w:p>
    <w:p w14:paraId="618E6D72" w14:textId="2C5D3476" w:rsidR="00801B11" w:rsidRPr="00801B11" w:rsidRDefault="00290740" w:rsidP="00801B11">
      <w:pPr>
        <w:pStyle w:val="BoxSubHeading"/>
        <w:rPr>
          <w:bCs w:val="0"/>
          <w:i w:val="0"/>
          <w:iCs w:val="0"/>
          <w:color w:val="auto"/>
          <w:sz w:val="22"/>
          <w:szCs w:val="20"/>
        </w:rPr>
      </w:pPr>
      <w:r>
        <w:rPr>
          <w:bCs w:val="0"/>
          <w:i w:val="0"/>
          <w:iCs w:val="0"/>
          <w:color w:val="auto"/>
          <w:sz w:val="22"/>
          <w:szCs w:val="20"/>
        </w:rPr>
        <w:t xml:space="preserve">Recommendation 3: </w:t>
      </w:r>
      <w:r w:rsidR="00801B11" w:rsidRPr="00801B11">
        <w:rPr>
          <w:bCs w:val="0"/>
          <w:i w:val="0"/>
          <w:iCs w:val="0"/>
          <w:color w:val="auto"/>
          <w:sz w:val="22"/>
          <w:szCs w:val="20"/>
        </w:rPr>
        <w:t>To avoid doubt, the bill should be amended to make clear that any disconnection fees to remove a premises from the gas network should be eligible under the scheme.</w:t>
      </w:r>
    </w:p>
    <w:p w14:paraId="604C140D" w14:textId="2CA2F7AE" w:rsidR="002A673B" w:rsidRPr="009753EB" w:rsidRDefault="002A673B" w:rsidP="002A673B">
      <w:pPr>
        <w:pStyle w:val="BoxSubHeading"/>
        <w:keepNext w:val="0"/>
        <w:rPr>
          <w:caps/>
        </w:rPr>
      </w:pPr>
      <w:r w:rsidRPr="009753EB">
        <w:t xml:space="preserve">Australian Government response </w:t>
      </w:r>
    </w:p>
    <w:p w14:paraId="61AA13A2" w14:textId="59D694DB" w:rsidR="002A673B" w:rsidRDefault="002A673B" w:rsidP="002A673B">
      <w:pPr>
        <w:pStyle w:val="BoxText"/>
      </w:pPr>
      <w:r>
        <w:rPr>
          <w:caps/>
        </w:rPr>
        <w:t>t</w:t>
      </w:r>
      <w:r>
        <w:t xml:space="preserve">he Government </w:t>
      </w:r>
      <w:r w:rsidR="00C21B9A">
        <w:rPr>
          <w:b/>
          <w:bCs/>
        </w:rPr>
        <w:t xml:space="preserve">does not support </w:t>
      </w:r>
      <w:r>
        <w:t>th</w:t>
      </w:r>
      <w:r w:rsidR="00C36461">
        <w:t>ese</w:t>
      </w:r>
      <w:r>
        <w:t xml:space="preserve"> recommendation</w:t>
      </w:r>
      <w:r w:rsidR="00C36461">
        <w:t>s</w:t>
      </w:r>
      <w:r>
        <w:t>.</w:t>
      </w:r>
    </w:p>
    <w:p w14:paraId="3DB5E517" w14:textId="368347F1" w:rsidR="00E32BE8" w:rsidRDefault="00C75B0A" w:rsidP="00052907">
      <w:r>
        <w:t xml:space="preserve">The Small Business Energy Incentive </w:t>
      </w:r>
      <w:r w:rsidR="00002EF3">
        <w:t xml:space="preserve">took </w:t>
      </w:r>
      <w:r>
        <w:t>a principles</w:t>
      </w:r>
      <w:r>
        <w:noBreakHyphen/>
        <w:t xml:space="preserve">based </w:t>
      </w:r>
      <w:r w:rsidR="008666F9">
        <w:t xml:space="preserve">approach to the categories of assets that </w:t>
      </w:r>
      <w:r w:rsidR="00D650E8">
        <w:t xml:space="preserve">were </w:t>
      </w:r>
      <w:r w:rsidR="008666F9">
        <w:t xml:space="preserve">eligible. This means a broad range of depreciating assets as well as upgrades to existing assets </w:t>
      </w:r>
      <w:r w:rsidR="001461EC">
        <w:t xml:space="preserve">were </w:t>
      </w:r>
      <w:r w:rsidR="008666F9">
        <w:t>eligible. Examples of eligible assets include</w:t>
      </w:r>
      <w:r w:rsidR="00D650E8">
        <w:t>d</w:t>
      </w:r>
      <w:r w:rsidR="008666F9">
        <w:t xml:space="preserve"> assets that support electrification such as heat pumps, assets that upgrade to more efficient electrical goods such as energy efficient fridges and electric heating or cooling </w:t>
      </w:r>
      <w:proofErr w:type="gramStart"/>
      <w:r w:rsidR="008666F9">
        <w:t>systems, and</w:t>
      </w:r>
      <w:proofErr w:type="gramEnd"/>
      <w:r w:rsidR="008666F9">
        <w:t xml:space="preserve"> enabling assets such</w:t>
      </w:r>
      <w:r w:rsidR="00247120">
        <w:t xml:space="preserve"> as</w:t>
      </w:r>
      <w:r w:rsidR="008666F9">
        <w:t xml:space="preserve"> batteries. </w:t>
      </w:r>
    </w:p>
    <w:p w14:paraId="08584285" w14:textId="72FEBD22" w:rsidR="00FE3B05" w:rsidRPr="000D0129" w:rsidRDefault="00C57DAB" w:rsidP="00052907">
      <w:r>
        <w:t>Certain exclu</w:t>
      </w:r>
      <w:r w:rsidR="00B93DC0">
        <w:t>sions appl</w:t>
      </w:r>
      <w:r w:rsidR="001461EC">
        <w:t>ied</w:t>
      </w:r>
      <w:r w:rsidR="00B93DC0">
        <w:t xml:space="preserve"> </w:t>
      </w:r>
      <w:r>
        <w:t xml:space="preserve">such as assets </w:t>
      </w:r>
      <w:r w:rsidR="00642909">
        <w:t>that can use fossil fuels, renewable electricity generation assets (such as solar photovoltaic panels)</w:t>
      </w:r>
      <w:r>
        <w:t xml:space="preserve"> and </w:t>
      </w:r>
      <w:r w:rsidR="00642909">
        <w:t>capital works</w:t>
      </w:r>
      <w:r w:rsidR="00744826">
        <w:t>.</w:t>
      </w:r>
      <w:r w:rsidR="00642909">
        <w:t xml:space="preserve"> These exclusions target</w:t>
      </w:r>
      <w:r w:rsidR="00CF29BB">
        <w:t>ed</w:t>
      </w:r>
      <w:r w:rsidR="00642909">
        <w:t xml:space="preserve"> the policy and </w:t>
      </w:r>
      <w:r w:rsidR="00642909" w:rsidRPr="000D0129">
        <w:t>reflect</w:t>
      </w:r>
      <w:r w:rsidR="00CF29BB" w:rsidRPr="000D0129">
        <w:t>ed</w:t>
      </w:r>
      <w:r w:rsidR="00642909" w:rsidRPr="000D0129">
        <w:t xml:space="preserve"> in part </w:t>
      </w:r>
      <w:r w:rsidR="00CF29BB" w:rsidRPr="000D0129">
        <w:t>the</w:t>
      </w:r>
      <w:r w:rsidR="00642909" w:rsidRPr="000D0129">
        <w:t xml:space="preserve"> range of existing support available for renewable energy generation. </w:t>
      </w:r>
    </w:p>
    <w:p w14:paraId="53F12053" w14:textId="21758E5E" w:rsidR="00285C9B" w:rsidRDefault="00C75B0A">
      <w:pPr>
        <w:spacing w:before="0" w:after="160" w:line="259" w:lineRule="auto"/>
        <w:rPr>
          <w:b/>
          <w:color w:val="2C384A" w:themeColor="accent1"/>
          <w:sz w:val="26"/>
          <w:szCs w:val="26"/>
        </w:rPr>
      </w:pPr>
      <w:r w:rsidRPr="000D0129">
        <w:t xml:space="preserve">The Government’s </w:t>
      </w:r>
      <w:r w:rsidR="00CA5961" w:rsidRPr="000D0129">
        <w:t>Net Zero Plan and related</w:t>
      </w:r>
      <w:r w:rsidRPr="000D0129">
        <w:t xml:space="preserve"> initiatives will support the transition </w:t>
      </w:r>
      <w:r w:rsidR="007030AA" w:rsidRPr="000D0129">
        <w:t xml:space="preserve">to </w:t>
      </w:r>
      <w:r w:rsidRPr="000D0129">
        <w:t xml:space="preserve">Australia’s </w:t>
      </w:r>
      <w:r w:rsidR="00B93DC0" w:rsidRPr="000D0129">
        <w:t>r</w:t>
      </w:r>
      <w:r w:rsidRPr="000D0129">
        <w:t xml:space="preserve">enewable </w:t>
      </w:r>
      <w:r w:rsidR="00B93DC0" w:rsidRPr="000D0129">
        <w:t>e</w:t>
      </w:r>
      <w:r w:rsidRPr="000D0129">
        <w:t xml:space="preserve">nergy </w:t>
      </w:r>
      <w:r w:rsidR="00B93DC0" w:rsidRPr="000D0129">
        <w:t>f</w:t>
      </w:r>
      <w:r w:rsidRPr="000D0129">
        <w:t xml:space="preserve">uture and a </w:t>
      </w:r>
      <w:r w:rsidR="00B93DC0" w:rsidRPr="000D0129">
        <w:t>n</w:t>
      </w:r>
      <w:r w:rsidRPr="000D0129">
        <w:t xml:space="preserve">et </w:t>
      </w:r>
      <w:r w:rsidR="00B93DC0" w:rsidRPr="000D0129">
        <w:t>z</w:t>
      </w:r>
      <w:r w:rsidRPr="000D0129">
        <w:t xml:space="preserve">ero </w:t>
      </w:r>
      <w:r w:rsidR="00285C9B" w:rsidRPr="000D0129">
        <w:t>e</w:t>
      </w:r>
      <w:r w:rsidRPr="000D0129">
        <w:t>conomy.</w:t>
      </w:r>
      <w:r w:rsidR="00285C9B">
        <w:rPr>
          <w:b/>
          <w:color w:val="2C384A" w:themeColor="accent1"/>
          <w:sz w:val="26"/>
          <w:szCs w:val="26"/>
        </w:rPr>
        <w:br w:type="page"/>
      </w:r>
    </w:p>
    <w:p w14:paraId="46CE78D7" w14:textId="285F4CBD" w:rsidR="00BA3966" w:rsidRDefault="00BA3966" w:rsidP="00BA3966">
      <w:pPr>
        <w:pStyle w:val="BoxHeading"/>
      </w:pPr>
      <w:r w:rsidRPr="008774BA">
        <w:lastRenderedPageBreak/>
        <w:t xml:space="preserve">Recommendation </w:t>
      </w:r>
      <w:r>
        <w:t>4</w:t>
      </w:r>
    </w:p>
    <w:p w14:paraId="6101E6F1" w14:textId="7C6C62B5" w:rsidR="00BA3966" w:rsidRPr="00BA3966" w:rsidRDefault="00BA3966" w:rsidP="00BA3966">
      <w:r>
        <w:t>The Instant Asset Write Off should be extended to operate for three financial years, to expire on 30 June 2026.</w:t>
      </w:r>
    </w:p>
    <w:p w14:paraId="5B5D01F8" w14:textId="77777777" w:rsidR="00FF76B4" w:rsidRPr="009753EB" w:rsidRDefault="00FF76B4" w:rsidP="00FF76B4">
      <w:pPr>
        <w:pStyle w:val="BoxSubHeading"/>
        <w:keepNext w:val="0"/>
        <w:rPr>
          <w:caps/>
        </w:rPr>
      </w:pPr>
      <w:r w:rsidRPr="009753EB">
        <w:t xml:space="preserve">Australian Government response </w:t>
      </w:r>
    </w:p>
    <w:p w14:paraId="1A2165E1" w14:textId="75D52CE0" w:rsidR="00FF76B4" w:rsidRDefault="00FF76B4" w:rsidP="00FF76B4">
      <w:pPr>
        <w:pStyle w:val="BoxText"/>
      </w:pPr>
      <w:r>
        <w:rPr>
          <w:caps/>
        </w:rPr>
        <w:t>t</w:t>
      </w:r>
      <w:r>
        <w:t xml:space="preserve">he Government </w:t>
      </w:r>
      <w:r w:rsidR="00FC42B9" w:rsidRPr="00FC42B9">
        <w:rPr>
          <w:b/>
          <w:bCs/>
        </w:rPr>
        <w:t>notes</w:t>
      </w:r>
      <w:r w:rsidR="00FC42B9">
        <w:t xml:space="preserve"> </w:t>
      </w:r>
      <w:r>
        <w:t>this recommendation.</w:t>
      </w:r>
    </w:p>
    <w:p w14:paraId="512A936F" w14:textId="7E5B13AD" w:rsidR="008868C6" w:rsidRDefault="008868C6" w:rsidP="00FF76B4">
      <w:pPr>
        <w:pStyle w:val="BoxText"/>
      </w:pPr>
      <w:r w:rsidRPr="008868C6">
        <w:t xml:space="preserve">The </w:t>
      </w:r>
      <w:r w:rsidRPr="00D57BFE">
        <w:t>Government</w:t>
      </w:r>
      <w:r w:rsidR="002540F1" w:rsidRPr="00D57BFE">
        <w:t xml:space="preserve"> has </w:t>
      </w:r>
      <w:r w:rsidRPr="00D57BFE">
        <w:t>improved cash flow and reduced compliance costs for small business</w:t>
      </w:r>
      <w:r w:rsidR="00B6225D" w:rsidRPr="00D57BFE">
        <w:t>es</w:t>
      </w:r>
      <w:r w:rsidRPr="00D57BFE">
        <w:t xml:space="preserve"> by legislating the $20,000 instant asset write-off for small businesses from 1 July 2023 to 30 June 202</w:t>
      </w:r>
      <w:r w:rsidR="00F0056B" w:rsidRPr="00D57BFE">
        <w:t>6</w:t>
      </w:r>
      <w:r w:rsidRPr="00D57BFE">
        <w:t xml:space="preserve">. </w:t>
      </w:r>
      <w:r w:rsidR="00E66A6D" w:rsidRPr="00D57BFE">
        <w:t xml:space="preserve">Legislation to extend the instant asset write-off for 12 months until 30 June 2026 was passed as part of the </w:t>
      </w:r>
      <w:r w:rsidR="00E66A6D" w:rsidRPr="00D57BFE">
        <w:rPr>
          <w:i/>
          <w:iCs/>
        </w:rPr>
        <w:t>Treasury Laws Amendment (Strengthening Financial Systems and Other Measures) Act 2025</w:t>
      </w:r>
      <w:r w:rsidR="00E66A6D" w:rsidRPr="00D57BFE">
        <w:t xml:space="preserve"> which received Royal Assent on 4 December 2025.</w:t>
      </w:r>
    </w:p>
    <w:p w14:paraId="336234D9" w14:textId="77777777" w:rsidR="008868C6" w:rsidRDefault="008868C6" w:rsidP="002A673B"/>
    <w:p w14:paraId="13051A88" w14:textId="77777777" w:rsidR="00B93DC0" w:rsidRDefault="00B93DC0" w:rsidP="002A673B"/>
    <w:p w14:paraId="072B7E01" w14:textId="77777777" w:rsidR="00B93DC0" w:rsidRDefault="00B93DC0" w:rsidP="00B93DC0">
      <w:pPr>
        <w:rPr>
          <w:rFonts w:ascii="Calibri" w:hAnsi="Calibri"/>
          <w:szCs w:val="22"/>
        </w:rPr>
      </w:pPr>
    </w:p>
    <w:p w14:paraId="7E5F1879" w14:textId="77777777" w:rsidR="00B93DC0" w:rsidRDefault="00B93DC0" w:rsidP="00B93DC0"/>
    <w:p w14:paraId="4F494086" w14:textId="77777777" w:rsidR="00B93DC0" w:rsidRPr="002A673B" w:rsidRDefault="00B93DC0" w:rsidP="002A673B"/>
    <w:p w14:paraId="31D47FE6" w14:textId="77777777" w:rsidR="0077630F" w:rsidRPr="00C47A9C" w:rsidRDefault="0077630F">
      <w:pPr>
        <w:spacing w:after="480"/>
        <w:rPr>
          <w:caps/>
        </w:rPr>
      </w:pPr>
    </w:p>
    <w:sectPr w:rsidR="0077630F" w:rsidRPr="00C47A9C" w:rsidSect="001A371D">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361" w:right="1440" w:bottom="1361" w:left="1440"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18576" w14:textId="77777777" w:rsidR="00CA24DB" w:rsidRDefault="00CA24DB">
      <w:pPr>
        <w:spacing w:before="0" w:after="0"/>
      </w:pPr>
      <w:r>
        <w:separator/>
      </w:r>
    </w:p>
  </w:endnote>
  <w:endnote w:type="continuationSeparator" w:id="0">
    <w:p w14:paraId="64F23866" w14:textId="77777777" w:rsidR="00CA24DB" w:rsidRDefault="00CA24DB">
      <w:pPr>
        <w:spacing w:before="0" w:after="0"/>
      </w:pPr>
      <w:r>
        <w:continuationSeparator/>
      </w:r>
    </w:p>
  </w:endnote>
  <w:endnote w:type="continuationNotice" w:id="1">
    <w:p w14:paraId="044357F4" w14:textId="77777777" w:rsidR="00CA24DB" w:rsidRDefault="00CA24D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8E17" w14:textId="75C3ADB7" w:rsidR="0077630F" w:rsidRPr="00F347BE" w:rsidRDefault="008B3AD2" w:rsidP="00F347BE">
    <w:pPr>
      <w:pStyle w:val="FooterEven"/>
      <w:jc w:val="both"/>
    </w:pP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r w:rsidR="00E12215">
      <w:fldChar w:fldCharType="begin"/>
    </w:r>
    <w:r>
      <w:instrText xml:space="preserve"> STYLEREF  "Heading 1"  \* MERGEFORMAT </w:instrText>
    </w:r>
    <w:r w:rsidR="00E12215">
      <w:fldChar w:fldCharType="separate"/>
    </w:r>
    <w:r w:rsidR="00463AA8">
      <w:t>Introduction</w:t>
    </w:r>
    <w:r w:rsidR="00E12215">
      <w:fldChar w:fldCharType="end"/>
    </w:r>
    <w:r>
      <w:tab/>
    </w:r>
    <w:r w:rsidRPr="00103F3C">
      <w:rPr>
        <w:position w:val="-8"/>
      </w:rPr>
      <w:drawing>
        <wp:inline distT="0" distB="0" distL="0" distR="0" wp14:anchorId="28AC40E6" wp14:editId="7342701F">
          <wp:extent cx="1324800" cy="201600"/>
          <wp:effectExtent l="0" t="0" r="0" b="8255"/>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5C21" w14:textId="798A98B2" w:rsidR="0077630F" w:rsidRPr="00F347BE" w:rsidRDefault="008B3AD2" w:rsidP="00F347BE">
    <w:pPr>
      <w:pStyle w:val="FooterOdd"/>
      <w:jc w:val="left"/>
    </w:pPr>
    <w:r w:rsidRPr="00103F3C">
      <w:rPr>
        <w:noProof/>
        <w:position w:val="-8"/>
      </w:rPr>
      <w:drawing>
        <wp:inline distT="0" distB="0" distL="0" distR="0" wp14:anchorId="56D45AC8" wp14:editId="2BAB9EDF">
          <wp:extent cx="1324800" cy="201600"/>
          <wp:effectExtent l="0" t="0" r="0" b="825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00E12215">
      <w:fldChar w:fldCharType="begin"/>
    </w:r>
    <w:r>
      <w:instrText xml:space="preserve"> STYLEREF  "Heading 1"  \* MERGEFORMAT </w:instrText>
    </w:r>
    <w:r w:rsidR="00E12215">
      <w:fldChar w:fldCharType="separate"/>
    </w:r>
    <w:r w:rsidR="00463AA8">
      <w:rPr>
        <w:noProof/>
      </w:rPr>
      <w:t>Introduction</w:t>
    </w:r>
    <w:r w:rsidR="00E12215">
      <w:rPr>
        <w:noProof/>
      </w:rPr>
      <w:fldChar w:fldCharType="end"/>
    </w:r>
    <w:r>
      <w:t xml:space="preserve"> | </w:t>
    </w: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82C8" w14:textId="6A73C107" w:rsidR="001A371D" w:rsidRPr="00C60B0F" w:rsidRDefault="001A371D" w:rsidP="001A371D">
    <w:pPr>
      <w:pStyle w:val="FooterEven"/>
    </w:pPr>
    <w:r w:rsidRPr="00C60B0F">
      <w:fldChar w:fldCharType="begin"/>
    </w:r>
    <w:r w:rsidRPr="00C60B0F">
      <w:instrText xml:space="preserve"> PAGE   \* MERGEFORMAT </w:instrText>
    </w:r>
    <w:r w:rsidRPr="00C60B0F">
      <w:fldChar w:fldCharType="separate"/>
    </w:r>
    <w:r>
      <w:t>6</w:t>
    </w:r>
    <w:r w:rsidRPr="00C60B0F">
      <w:fldChar w:fldCharType="end"/>
    </w:r>
    <w:r w:rsidRPr="00C60B0F">
      <w:t xml:space="preserve"> | </w:t>
    </w:r>
    <w:fldSimple w:instr=" STYLEREF  &quot;Heading 1&quot;  \* MERGEFORMAT ">
      <w:r w:rsidR="009475D3">
        <w:t>Response to the recommendations</w:t>
      </w:r>
    </w:fldSimple>
  </w:p>
  <w:p w14:paraId="6F702E7E" w14:textId="652D2885" w:rsidR="00345C93" w:rsidRDefault="00345C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4712" w14:textId="101E24C1" w:rsidR="001A371D" w:rsidRPr="001515FD" w:rsidRDefault="001A371D" w:rsidP="001A371D">
    <w:pPr>
      <w:pStyle w:val="FooterOdd"/>
    </w:pPr>
    <w:fldSimple w:instr=" STYLEREF  &quot;Heading 1&quot;  \* MERGEFORMAT ">
      <w:r w:rsidR="009475D3">
        <w:rPr>
          <w:noProof/>
        </w:rPr>
        <w:t>Response to the recommendations</w:t>
      </w:r>
    </w:fldSimple>
    <w:r>
      <w:t xml:space="preserve"> | </w:t>
    </w:r>
    <w:r>
      <w:fldChar w:fldCharType="begin"/>
    </w:r>
    <w:r>
      <w:instrText xml:space="preserve"> PAGE   \* MERGEFORMAT </w:instrText>
    </w:r>
    <w:r>
      <w:fldChar w:fldCharType="separate"/>
    </w:r>
    <w:r>
      <w:t>5</w:t>
    </w:r>
    <w:r>
      <w:fldChar w:fldCharType="end"/>
    </w:r>
  </w:p>
  <w:p w14:paraId="44C64D3A" w14:textId="345EE0DD" w:rsidR="00345C93" w:rsidRDefault="00345C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52D" w14:textId="267E9783" w:rsidR="0077630F" w:rsidRPr="00F347BE" w:rsidRDefault="008B3AD2" w:rsidP="00F347BE">
    <w:pPr>
      <w:pStyle w:val="FooterOdd"/>
      <w:jc w:val="left"/>
    </w:pPr>
    <w:r w:rsidRPr="00103F3C">
      <w:rPr>
        <w:noProof/>
        <w:position w:val="-8"/>
      </w:rPr>
      <w:drawing>
        <wp:inline distT="0" distB="0" distL="0" distR="0" wp14:anchorId="61A55187" wp14:editId="1E359524">
          <wp:extent cx="1324800" cy="201600"/>
          <wp:effectExtent l="0" t="0" r="0" b="825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00E12215">
      <w:fldChar w:fldCharType="begin"/>
    </w:r>
    <w:r>
      <w:instrText xml:space="preserve"> STYLEREF  "Heading 1"  \* MERGEFORMAT </w:instrText>
    </w:r>
    <w:r w:rsidR="00E12215">
      <w:fldChar w:fldCharType="separate"/>
    </w:r>
    <w:r w:rsidR="009475D3">
      <w:rPr>
        <w:noProof/>
      </w:rPr>
      <w:t>Introduction</w:t>
    </w:r>
    <w:r w:rsidR="00E12215">
      <w:rPr>
        <w:noProof/>
      </w:rPr>
      <w:fldChar w:fldCharType="end"/>
    </w:r>
    <w:r>
      <w:t xml:space="preserve"> | </w:t>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21B09" w14:textId="77777777" w:rsidR="00CA24DB" w:rsidRDefault="00CA24DB" w:rsidP="00B47ECF">
      <w:r>
        <w:separator/>
      </w:r>
    </w:p>
  </w:footnote>
  <w:footnote w:type="continuationSeparator" w:id="0">
    <w:p w14:paraId="5FB9CC45" w14:textId="77777777" w:rsidR="00CA24DB" w:rsidRDefault="00CA24DB" w:rsidP="00B47ECF">
      <w:r>
        <w:continuationSeparator/>
      </w:r>
    </w:p>
  </w:footnote>
  <w:footnote w:type="continuationNotice" w:id="1">
    <w:p w14:paraId="6F66AD5A" w14:textId="77777777" w:rsidR="00CA24DB" w:rsidRDefault="00CA24D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C2A6" w14:textId="7E318C10" w:rsidR="008774BA" w:rsidRDefault="00F347BE">
    <w:pPr>
      <w:pStyle w:val="Header"/>
    </w:pPr>
    <w:r>
      <w:rPr>
        <w:noProof/>
      </w:rPr>
      <w:drawing>
        <wp:anchor distT="0" distB="0" distL="114300" distR="114300" simplePos="0" relativeHeight="251658241" behindDoc="1" locked="1" layoutInCell="1" allowOverlap="1" wp14:anchorId="438CCF88" wp14:editId="0C026A94">
          <wp:simplePos x="0" y="0"/>
          <wp:positionH relativeFrom="page">
            <wp:align>center</wp:align>
          </wp:positionH>
          <wp:positionV relativeFrom="page">
            <wp:align>top</wp:align>
          </wp:positionV>
          <wp:extent cx="7570800" cy="1044000"/>
          <wp:effectExtent l="0" t="0" r="0" b="381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DD92" w14:textId="4DD73A4C" w:rsidR="008774BA" w:rsidRDefault="00F347BE">
    <w:pPr>
      <w:pStyle w:val="Header"/>
    </w:pPr>
    <w:r>
      <w:rPr>
        <w:noProof/>
      </w:rPr>
      <w:drawing>
        <wp:anchor distT="0" distB="0" distL="114300" distR="114300" simplePos="0" relativeHeight="251658242" behindDoc="1" locked="1" layoutInCell="1" allowOverlap="1" wp14:anchorId="53BF5EE5" wp14:editId="6FA85AB2">
          <wp:simplePos x="0" y="0"/>
          <wp:positionH relativeFrom="page">
            <wp:align>center</wp:align>
          </wp:positionH>
          <wp:positionV relativeFrom="page">
            <wp:align>top</wp:align>
          </wp:positionV>
          <wp:extent cx="7570800" cy="1044000"/>
          <wp:effectExtent l="0" t="0" r="0" b="381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B655" w14:textId="563BBB46" w:rsidR="005537C9" w:rsidRDefault="005537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A222" w14:textId="4C8C60CB" w:rsidR="005537C9" w:rsidRDefault="005537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0A41" w14:textId="54E45272" w:rsidR="0077630F" w:rsidRDefault="00F347BE">
    <w:pPr>
      <w:pStyle w:val="Header"/>
    </w:pPr>
    <w:r>
      <w:rPr>
        <w:noProof/>
      </w:rPr>
      <w:drawing>
        <wp:anchor distT="0" distB="0" distL="114300" distR="114300" simplePos="0" relativeHeight="251658240" behindDoc="1" locked="1" layoutInCell="1" allowOverlap="1" wp14:anchorId="71FAA048" wp14:editId="36E3F11A">
          <wp:simplePos x="0" y="0"/>
          <wp:positionH relativeFrom="page">
            <wp:align>center</wp:align>
          </wp:positionH>
          <wp:positionV relativeFrom="page">
            <wp:align>top</wp:align>
          </wp:positionV>
          <wp:extent cx="7570800" cy="104400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43846F94"/>
    <w:styleLink w:val="BoxBulletedList"/>
    <w:lvl w:ilvl="0">
      <w:start w:val="1"/>
      <w:numFmt w:val="bullet"/>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C00460"/>
    <w:multiLevelType w:val="hybridMultilevel"/>
    <w:tmpl w:val="8E40C3F0"/>
    <w:lvl w:ilvl="0" w:tplc="E72E8598">
      <w:start w:val="1"/>
      <w:numFmt w:val="decimal"/>
      <w:pStyle w:val="OneLevelNumberedParagraph"/>
      <w:lvlText w:val="%1."/>
      <w:lvlJc w:val="left"/>
      <w:pPr>
        <w:tabs>
          <w:tab w:val="num" w:pos="567"/>
        </w:tabs>
        <w:ind w:left="567" w:hanging="567"/>
      </w:pPr>
      <w:rPr>
        <w:rFonts w:hint="default"/>
      </w:rPr>
    </w:lvl>
    <w:lvl w:ilvl="1" w:tplc="8AE88F26" w:tentative="1">
      <w:start w:val="1"/>
      <w:numFmt w:val="lowerLetter"/>
      <w:lvlText w:val="%2."/>
      <w:lvlJc w:val="left"/>
      <w:pPr>
        <w:ind w:left="1440" w:hanging="360"/>
      </w:pPr>
    </w:lvl>
    <w:lvl w:ilvl="2" w:tplc="492EBD6C" w:tentative="1">
      <w:start w:val="1"/>
      <w:numFmt w:val="lowerRoman"/>
      <w:lvlText w:val="%3."/>
      <w:lvlJc w:val="right"/>
      <w:pPr>
        <w:ind w:left="2160" w:hanging="180"/>
      </w:pPr>
    </w:lvl>
    <w:lvl w:ilvl="3" w:tplc="49A0E5B2" w:tentative="1">
      <w:start w:val="1"/>
      <w:numFmt w:val="decimal"/>
      <w:lvlText w:val="%4."/>
      <w:lvlJc w:val="left"/>
      <w:pPr>
        <w:ind w:left="2880" w:hanging="360"/>
      </w:pPr>
    </w:lvl>
    <w:lvl w:ilvl="4" w:tplc="5C30FC7A" w:tentative="1">
      <w:start w:val="1"/>
      <w:numFmt w:val="lowerLetter"/>
      <w:lvlText w:val="%5."/>
      <w:lvlJc w:val="left"/>
      <w:pPr>
        <w:ind w:left="3600" w:hanging="360"/>
      </w:pPr>
    </w:lvl>
    <w:lvl w:ilvl="5" w:tplc="7ADA8914" w:tentative="1">
      <w:start w:val="1"/>
      <w:numFmt w:val="lowerRoman"/>
      <w:lvlText w:val="%6."/>
      <w:lvlJc w:val="right"/>
      <w:pPr>
        <w:ind w:left="4320" w:hanging="180"/>
      </w:pPr>
    </w:lvl>
    <w:lvl w:ilvl="6" w:tplc="34A2A3F6" w:tentative="1">
      <w:start w:val="1"/>
      <w:numFmt w:val="decimal"/>
      <w:lvlText w:val="%7."/>
      <w:lvlJc w:val="left"/>
      <w:pPr>
        <w:ind w:left="5040" w:hanging="360"/>
      </w:pPr>
    </w:lvl>
    <w:lvl w:ilvl="7" w:tplc="AAECBBF4" w:tentative="1">
      <w:start w:val="1"/>
      <w:numFmt w:val="lowerLetter"/>
      <w:lvlText w:val="%8."/>
      <w:lvlJc w:val="left"/>
      <w:pPr>
        <w:ind w:left="5760" w:hanging="360"/>
      </w:pPr>
    </w:lvl>
    <w:lvl w:ilvl="8" w:tplc="2CD68CA4" w:tentative="1">
      <w:start w:val="1"/>
      <w:numFmt w:val="lowerRoman"/>
      <w:lvlText w:val="%9."/>
      <w:lvlJc w:val="right"/>
      <w:pPr>
        <w:ind w:left="6480" w:hanging="180"/>
      </w:pPr>
    </w:lvl>
  </w:abstractNum>
  <w:abstractNum w:abstractNumId="3"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8C2710"/>
    <w:multiLevelType w:val="multilevel"/>
    <w:tmpl w:val="0D723674"/>
    <w:styleLink w:val="BulletedList"/>
    <w:lvl w:ilvl="0">
      <w:start w:val="1"/>
      <w:numFmt w:val="bullet"/>
      <w:lvlText w:val="•"/>
      <w:lvlJc w:val="left"/>
      <w:pPr>
        <w:tabs>
          <w:tab w:val="num" w:pos="283"/>
        </w:tabs>
        <w:ind w:left="283" w:hanging="283"/>
      </w:pPr>
      <w:rPr>
        <w:rFonts w:ascii="Times New Roman" w:hAnsi="Times New Roman" w:cs="Times New Roman" w:hint="default"/>
        <w:b w:val="0"/>
        <w:i w:val="0"/>
      </w:rPr>
    </w:lvl>
    <w:lvl w:ilvl="1">
      <w:start w:val="1"/>
      <w:numFmt w:val="bullet"/>
      <w:pStyle w:val="Dash"/>
      <w:lvlText w:val="–"/>
      <w:lvlJc w:val="left"/>
      <w:pPr>
        <w:tabs>
          <w:tab w:val="num" w:pos="567"/>
        </w:tabs>
        <w:ind w:left="567" w:hanging="284"/>
      </w:pPr>
      <w:rPr>
        <w:rFonts w:ascii="Times New Roman" w:hAnsi="Times New Roman" w:cs="Times New Roman" w:hint="default"/>
        <w:b w:val="0"/>
        <w:i w:val="0"/>
      </w:rPr>
    </w:lvl>
    <w:lvl w:ilvl="2">
      <w:start w:val="1"/>
      <w:numFmt w:val="bullet"/>
      <w:pStyle w:val="DoubleDo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6"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C554A3D"/>
    <w:multiLevelType w:val="hybridMultilevel"/>
    <w:tmpl w:val="58E6DF6A"/>
    <w:lvl w:ilvl="0" w:tplc="FFFFFFFF">
      <w:start w:val="1"/>
      <w:numFmt w:val="bullet"/>
      <w:lvlText w:val="•"/>
      <w:lvlJc w:val="left"/>
      <w:pPr>
        <w:tabs>
          <w:tab w:val="num" w:pos="567"/>
        </w:tabs>
        <w:ind w:left="567" w:hanging="567"/>
      </w:pPr>
      <w:rPr>
        <w:rFonts w:ascii="Times New Roman" w:hAnsi="Times New Roman" w:hint="default"/>
        <w:sz w:val="22"/>
        <w:szCs w:val="22"/>
      </w:rPr>
    </w:lvl>
    <w:lvl w:ilvl="1" w:tplc="0206078E">
      <w:start w:val="1"/>
      <w:numFmt w:val="bullet"/>
      <w:lvlText w:val="–"/>
      <w:lvlJc w:val="left"/>
      <w:pPr>
        <w:tabs>
          <w:tab w:val="num" w:pos="1134"/>
        </w:tabs>
        <w:ind w:left="1134" w:hanging="567"/>
      </w:pPr>
      <w:rPr>
        <w:rFonts w:ascii="Times New Roman" w:hAnsi="Times New Roman" w:hint="default"/>
      </w:rPr>
    </w:lvl>
    <w:lvl w:ilvl="2" w:tplc="2BF82C96">
      <w:start w:val="1"/>
      <w:numFmt w:val="bullet"/>
      <w:lvlText w:val=":"/>
      <w:lvlJc w:val="left"/>
      <w:pPr>
        <w:tabs>
          <w:tab w:val="num" w:pos="1701"/>
        </w:tabs>
        <w:ind w:left="1701" w:hanging="567"/>
      </w:pPr>
      <w:rPr>
        <w:rFonts w:ascii="Times New Roman" w:hAnsi="Times New Roman" w:hint="default"/>
      </w:rPr>
    </w:lvl>
    <w:lvl w:ilvl="3" w:tplc="E954F5AE">
      <w:start w:val="1"/>
      <w:numFmt w:val="decimal"/>
      <w:lvlText w:val="(%4)"/>
      <w:lvlJc w:val="left"/>
      <w:pPr>
        <w:tabs>
          <w:tab w:val="num" w:pos="1440"/>
        </w:tabs>
        <w:ind w:left="1440" w:hanging="360"/>
      </w:pPr>
    </w:lvl>
    <w:lvl w:ilvl="4" w:tplc="D34C80FA">
      <w:start w:val="1"/>
      <w:numFmt w:val="lowerLetter"/>
      <w:lvlText w:val="(%5)"/>
      <w:lvlJc w:val="left"/>
      <w:pPr>
        <w:tabs>
          <w:tab w:val="num" w:pos="1800"/>
        </w:tabs>
        <w:ind w:left="1800" w:hanging="360"/>
      </w:pPr>
    </w:lvl>
    <w:lvl w:ilvl="5" w:tplc="91D66C26">
      <w:start w:val="1"/>
      <w:numFmt w:val="lowerRoman"/>
      <w:lvlText w:val="(%6)"/>
      <w:lvlJc w:val="left"/>
      <w:pPr>
        <w:tabs>
          <w:tab w:val="num" w:pos="2160"/>
        </w:tabs>
        <w:ind w:left="2160" w:hanging="360"/>
      </w:pPr>
    </w:lvl>
    <w:lvl w:ilvl="6" w:tplc="7A046E5E">
      <w:start w:val="1"/>
      <w:numFmt w:val="decimal"/>
      <w:lvlText w:val="%7."/>
      <w:lvlJc w:val="left"/>
      <w:pPr>
        <w:tabs>
          <w:tab w:val="num" w:pos="502"/>
        </w:tabs>
        <w:ind w:left="502" w:hanging="360"/>
      </w:pPr>
    </w:lvl>
    <w:lvl w:ilvl="7" w:tplc="6F78ECFE">
      <w:start w:val="1"/>
      <w:numFmt w:val="lowerLetter"/>
      <w:lvlText w:val="%8."/>
      <w:lvlJc w:val="left"/>
      <w:pPr>
        <w:tabs>
          <w:tab w:val="num" w:pos="2880"/>
        </w:tabs>
        <w:ind w:left="2880" w:hanging="360"/>
      </w:pPr>
    </w:lvl>
    <w:lvl w:ilvl="8" w:tplc="7BA29354">
      <w:start w:val="1"/>
      <w:numFmt w:val="lowerRoman"/>
      <w:lvlText w:val="%9."/>
      <w:lvlJc w:val="left"/>
      <w:pPr>
        <w:tabs>
          <w:tab w:val="num" w:pos="3240"/>
        </w:tabs>
        <w:ind w:left="3240" w:hanging="360"/>
      </w:pPr>
    </w:lvl>
  </w:abstractNum>
  <w:abstractNum w:abstractNumId="9" w15:restartNumberingAfterBreak="0">
    <w:nsid w:val="45895885"/>
    <w:multiLevelType w:val="hybridMultilevel"/>
    <w:tmpl w:val="83582BFC"/>
    <w:lvl w:ilvl="0" w:tplc="B868FDC0">
      <w:start w:val="1"/>
      <w:numFmt w:val="bullet"/>
      <w:pStyle w:val="Bullet"/>
      <w:lvlText w:val=""/>
      <w:lvlJc w:val="left"/>
      <w:pPr>
        <w:ind w:left="720" w:hanging="360"/>
      </w:pPr>
      <w:rPr>
        <w:rFonts w:ascii="Symbol" w:hAnsi="Symbol" w:hint="default"/>
      </w:rPr>
    </w:lvl>
    <w:lvl w:ilvl="1" w:tplc="D75C9FBC">
      <w:start w:val="1"/>
      <w:numFmt w:val="bullet"/>
      <w:lvlText w:val="o"/>
      <w:lvlJc w:val="left"/>
      <w:pPr>
        <w:ind w:left="1440" w:hanging="360"/>
      </w:pPr>
      <w:rPr>
        <w:rFonts w:ascii="Courier New" w:hAnsi="Courier New" w:cs="Courier New" w:hint="default"/>
      </w:rPr>
    </w:lvl>
    <w:lvl w:ilvl="2" w:tplc="86AE62B0">
      <w:start w:val="1"/>
      <w:numFmt w:val="bullet"/>
      <w:lvlText w:val=""/>
      <w:lvlJc w:val="left"/>
      <w:pPr>
        <w:ind w:left="2160" w:hanging="360"/>
      </w:pPr>
      <w:rPr>
        <w:rFonts w:ascii="Wingdings" w:hAnsi="Wingdings" w:hint="default"/>
      </w:rPr>
    </w:lvl>
    <w:lvl w:ilvl="3" w:tplc="FBDE1460" w:tentative="1">
      <w:start w:val="1"/>
      <w:numFmt w:val="bullet"/>
      <w:lvlText w:val=""/>
      <w:lvlJc w:val="left"/>
      <w:pPr>
        <w:ind w:left="2880" w:hanging="360"/>
      </w:pPr>
      <w:rPr>
        <w:rFonts w:ascii="Symbol" w:hAnsi="Symbol" w:hint="default"/>
      </w:rPr>
    </w:lvl>
    <w:lvl w:ilvl="4" w:tplc="FE407B50" w:tentative="1">
      <w:start w:val="1"/>
      <w:numFmt w:val="bullet"/>
      <w:lvlText w:val="o"/>
      <w:lvlJc w:val="left"/>
      <w:pPr>
        <w:ind w:left="3600" w:hanging="360"/>
      </w:pPr>
      <w:rPr>
        <w:rFonts w:ascii="Courier New" w:hAnsi="Courier New" w:cs="Courier New" w:hint="default"/>
      </w:rPr>
    </w:lvl>
    <w:lvl w:ilvl="5" w:tplc="42D45490" w:tentative="1">
      <w:start w:val="1"/>
      <w:numFmt w:val="bullet"/>
      <w:lvlText w:val=""/>
      <w:lvlJc w:val="left"/>
      <w:pPr>
        <w:ind w:left="4320" w:hanging="360"/>
      </w:pPr>
      <w:rPr>
        <w:rFonts w:ascii="Wingdings" w:hAnsi="Wingdings" w:hint="default"/>
      </w:rPr>
    </w:lvl>
    <w:lvl w:ilvl="6" w:tplc="AC70D214" w:tentative="1">
      <w:start w:val="1"/>
      <w:numFmt w:val="bullet"/>
      <w:lvlText w:val=""/>
      <w:lvlJc w:val="left"/>
      <w:pPr>
        <w:ind w:left="5040" w:hanging="360"/>
      </w:pPr>
      <w:rPr>
        <w:rFonts w:ascii="Symbol" w:hAnsi="Symbol" w:hint="default"/>
      </w:rPr>
    </w:lvl>
    <w:lvl w:ilvl="7" w:tplc="F5EE4360" w:tentative="1">
      <w:start w:val="1"/>
      <w:numFmt w:val="bullet"/>
      <w:lvlText w:val="o"/>
      <w:lvlJc w:val="left"/>
      <w:pPr>
        <w:ind w:left="5760" w:hanging="360"/>
      </w:pPr>
      <w:rPr>
        <w:rFonts w:ascii="Courier New" w:hAnsi="Courier New" w:cs="Courier New" w:hint="default"/>
      </w:rPr>
    </w:lvl>
    <w:lvl w:ilvl="8" w:tplc="264212BA" w:tentative="1">
      <w:start w:val="1"/>
      <w:numFmt w:val="bullet"/>
      <w:lvlText w:val=""/>
      <w:lvlJc w:val="left"/>
      <w:pPr>
        <w:ind w:left="6480" w:hanging="360"/>
      </w:pPr>
      <w:rPr>
        <w:rFonts w:ascii="Wingdings" w:hAnsi="Wingdings" w:hint="default"/>
      </w:rPr>
    </w:lvl>
  </w:abstractNum>
  <w:abstractNum w:abstractNumId="10" w15:restartNumberingAfterBreak="0">
    <w:nsid w:val="7D6B5224"/>
    <w:multiLevelType w:val="multilevel"/>
    <w:tmpl w:val="57000EF8"/>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7511980">
    <w:abstractNumId w:val="2"/>
  </w:num>
  <w:num w:numId="2" w16cid:durableId="349723380">
    <w:abstractNumId w:val="4"/>
  </w:num>
  <w:num w:numId="3" w16cid:durableId="167530159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7211509">
    <w:abstractNumId w:val="0"/>
  </w:num>
  <w:num w:numId="5" w16cid:durableId="939487639">
    <w:abstractNumId w:val="5"/>
  </w:num>
  <w:num w:numId="6" w16cid:durableId="1056247051">
    <w:abstractNumId w:val="6"/>
  </w:num>
  <w:num w:numId="7" w16cid:durableId="1467747232">
    <w:abstractNumId w:val="3"/>
  </w:num>
  <w:num w:numId="8" w16cid:durableId="1842620297">
    <w:abstractNumId w:val="7"/>
  </w:num>
  <w:num w:numId="9" w16cid:durableId="688991324">
    <w:abstractNumId w:val="1"/>
  </w:num>
  <w:num w:numId="10" w16cid:durableId="94906488">
    <w:abstractNumId w:val="9"/>
  </w:num>
  <w:num w:numId="11" w16cid:durableId="481704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01"/>
    <w:rsid w:val="00002EF3"/>
    <w:rsid w:val="0001155C"/>
    <w:rsid w:val="00016B57"/>
    <w:rsid w:val="00017D06"/>
    <w:rsid w:val="00026665"/>
    <w:rsid w:val="00052907"/>
    <w:rsid w:val="00056FF5"/>
    <w:rsid w:val="000608DA"/>
    <w:rsid w:val="0007003B"/>
    <w:rsid w:val="00075A0B"/>
    <w:rsid w:val="00075FFC"/>
    <w:rsid w:val="00076769"/>
    <w:rsid w:val="00084154"/>
    <w:rsid w:val="000846EF"/>
    <w:rsid w:val="00087300"/>
    <w:rsid w:val="000C5DB7"/>
    <w:rsid w:val="000C6D37"/>
    <w:rsid w:val="000D0129"/>
    <w:rsid w:val="000D051A"/>
    <w:rsid w:val="000D1C7F"/>
    <w:rsid w:val="00103CB1"/>
    <w:rsid w:val="00110C9F"/>
    <w:rsid w:val="00120E6A"/>
    <w:rsid w:val="001461EC"/>
    <w:rsid w:val="00154C87"/>
    <w:rsid w:val="00174750"/>
    <w:rsid w:val="00176C59"/>
    <w:rsid w:val="00181049"/>
    <w:rsid w:val="0019172A"/>
    <w:rsid w:val="001A371D"/>
    <w:rsid w:val="001D232E"/>
    <w:rsid w:val="001E7E94"/>
    <w:rsid w:val="001F32FC"/>
    <w:rsid w:val="001F43B3"/>
    <w:rsid w:val="00205BAC"/>
    <w:rsid w:val="002111CD"/>
    <w:rsid w:val="00212813"/>
    <w:rsid w:val="00216EB0"/>
    <w:rsid w:val="00220979"/>
    <w:rsid w:val="00221505"/>
    <w:rsid w:val="002357AF"/>
    <w:rsid w:val="00236275"/>
    <w:rsid w:val="00236901"/>
    <w:rsid w:val="00247120"/>
    <w:rsid w:val="002526F7"/>
    <w:rsid w:val="00253296"/>
    <w:rsid w:val="002540DC"/>
    <w:rsid w:val="002540F1"/>
    <w:rsid w:val="002668C6"/>
    <w:rsid w:val="00274C59"/>
    <w:rsid w:val="00285C9B"/>
    <w:rsid w:val="00290740"/>
    <w:rsid w:val="002A30D0"/>
    <w:rsid w:val="002A31E6"/>
    <w:rsid w:val="002A3A8B"/>
    <w:rsid w:val="002A673B"/>
    <w:rsid w:val="002B1CD8"/>
    <w:rsid w:val="002B4442"/>
    <w:rsid w:val="002B742F"/>
    <w:rsid w:val="002E3B3E"/>
    <w:rsid w:val="002F52A6"/>
    <w:rsid w:val="0030472B"/>
    <w:rsid w:val="00314C10"/>
    <w:rsid w:val="00326FB8"/>
    <w:rsid w:val="00331316"/>
    <w:rsid w:val="00337DA6"/>
    <w:rsid w:val="00340F54"/>
    <w:rsid w:val="00345C93"/>
    <w:rsid w:val="003463B6"/>
    <w:rsid w:val="00353FD7"/>
    <w:rsid w:val="00354A3D"/>
    <w:rsid w:val="003551A6"/>
    <w:rsid w:val="00374DDC"/>
    <w:rsid w:val="00377106"/>
    <w:rsid w:val="003829C9"/>
    <w:rsid w:val="003833ED"/>
    <w:rsid w:val="00386CFB"/>
    <w:rsid w:val="003A5316"/>
    <w:rsid w:val="003B0A5C"/>
    <w:rsid w:val="003B0B0E"/>
    <w:rsid w:val="003B26DE"/>
    <w:rsid w:val="003C7522"/>
    <w:rsid w:val="003D45F7"/>
    <w:rsid w:val="004002F2"/>
    <w:rsid w:val="004063DC"/>
    <w:rsid w:val="00413129"/>
    <w:rsid w:val="0042266F"/>
    <w:rsid w:val="004311A3"/>
    <w:rsid w:val="00443428"/>
    <w:rsid w:val="004510DB"/>
    <w:rsid w:val="00457E03"/>
    <w:rsid w:val="004610A9"/>
    <w:rsid w:val="00463AA8"/>
    <w:rsid w:val="004809D4"/>
    <w:rsid w:val="004841EE"/>
    <w:rsid w:val="004936AB"/>
    <w:rsid w:val="00495C13"/>
    <w:rsid w:val="004A0132"/>
    <w:rsid w:val="004A107A"/>
    <w:rsid w:val="004B57F4"/>
    <w:rsid w:val="004C7540"/>
    <w:rsid w:val="004D3953"/>
    <w:rsid w:val="004F0F0D"/>
    <w:rsid w:val="004F4732"/>
    <w:rsid w:val="00510BCE"/>
    <w:rsid w:val="005243F9"/>
    <w:rsid w:val="0052697A"/>
    <w:rsid w:val="00535ABC"/>
    <w:rsid w:val="005421C9"/>
    <w:rsid w:val="005426E5"/>
    <w:rsid w:val="005537C9"/>
    <w:rsid w:val="00565E84"/>
    <w:rsid w:val="00572CDC"/>
    <w:rsid w:val="005A000F"/>
    <w:rsid w:val="005A2E09"/>
    <w:rsid w:val="005A4791"/>
    <w:rsid w:val="005B2AB0"/>
    <w:rsid w:val="005C18E6"/>
    <w:rsid w:val="005D1F6A"/>
    <w:rsid w:val="005D540B"/>
    <w:rsid w:val="005E417D"/>
    <w:rsid w:val="005E449B"/>
    <w:rsid w:val="005E53E1"/>
    <w:rsid w:val="005E6EA3"/>
    <w:rsid w:val="005F7E49"/>
    <w:rsid w:val="00600F94"/>
    <w:rsid w:val="006172B1"/>
    <w:rsid w:val="00630916"/>
    <w:rsid w:val="006366CE"/>
    <w:rsid w:val="00642909"/>
    <w:rsid w:val="00662F1A"/>
    <w:rsid w:val="0066657F"/>
    <w:rsid w:val="00672BC7"/>
    <w:rsid w:val="006848CE"/>
    <w:rsid w:val="0069119C"/>
    <w:rsid w:val="006A0348"/>
    <w:rsid w:val="006B351D"/>
    <w:rsid w:val="006C0AE0"/>
    <w:rsid w:val="006C427E"/>
    <w:rsid w:val="006D1D3B"/>
    <w:rsid w:val="006E274D"/>
    <w:rsid w:val="006E4B25"/>
    <w:rsid w:val="006F0B9D"/>
    <w:rsid w:val="007030AA"/>
    <w:rsid w:val="00725F12"/>
    <w:rsid w:val="00726793"/>
    <w:rsid w:val="00744826"/>
    <w:rsid w:val="00760318"/>
    <w:rsid w:val="0077630F"/>
    <w:rsid w:val="00780EE1"/>
    <w:rsid w:val="007820EC"/>
    <w:rsid w:val="007B0C47"/>
    <w:rsid w:val="007B239C"/>
    <w:rsid w:val="007C5FCA"/>
    <w:rsid w:val="007D08FA"/>
    <w:rsid w:val="007D45F8"/>
    <w:rsid w:val="007E119A"/>
    <w:rsid w:val="007E3E39"/>
    <w:rsid w:val="00801B11"/>
    <w:rsid w:val="008021EE"/>
    <w:rsid w:val="00803488"/>
    <w:rsid w:val="00821A5D"/>
    <w:rsid w:val="008220A2"/>
    <w:rsid w:val="00830AB0"/>
    <w:rsid w:val="00835798"/>
    <w:rsid w:val="00842412"/>
    <w:rsid w:val="008533CA"/>
    <w:rsid w:val="00854626"/>
    <w:rsid w:val="008666F9"/>
    <w:rsid w:val="008671CE"/>
    <w:rsid w:val="008706FC"/>
    <w:rsid w:val="008774BA"/>
    <w:rsid w:val="008812F3"/>
    <w:rsid w:val="008829F6"/>
    <w:rsid w:val="00883EE9"/>
    <w:rsid w:val="008868C6"/>
    <w:rsid w:val="00887B4F"/>
    <w:rsid w:val="008A2BEB"/>
    <w:rsid w:val="008A46B0"/>
    <w:rsid w:val="008B1AB4"/>
    <w:rsid w:val="008B3AD2"/>
    <w:rsid w:val="008C382A"/>
    <w:rsid w:val="008C6C56"/>
    <w:rsid w:val="008D32D4"/>
    <w:rsid w:val="008D6E34"/>
    <w:rsid w:val="008E0299"/>
    <w:rsid w:val="008F440C"/>
    <w:rsid w:val="00903DAD"/>
    <w:rsid w:val="00910F88"/>
    <w:rsid w:val="00916F7E"/>
    <w:rsid w:val="00921A3F"/>
    <w:rsid w:val="00935E3D"/>
    <w:rsid w:val="0093797C"/>
    <w:rsid w:val="009475D3"/>
    <w:rsid w:val="00973F33"/>
    <w:rsid w:val="009753EB"/>
    <w:rsid w:val="009A2CEC"/>
    <w:rsid w:val="009A4A86"/>
    <w:rsid w:val="009B2F31"/>
    <w:rsid w:val="009B3028"/>
    <w:rsid w:val="009B4590"/>
    <w:rsid w:val="009B72C5"/>
    <w:rsid w:val="009B7D7A"/>
    <w:rsid w:val="009E148E"/>
    <w:rsid w:val="009E4328"/>
    <w:rsid w:val="009F09F0"/>
    <w:rsid w:val="00A00C51"/>
    <w:rsid w:val="00A15834"/>
    <w:rsid w:val="00A220D1"/>
    <w:rsid w:val="00A2437E"/>
    <w:rsid w:val="00A34E53"/>
    <w:rsid w:val="00A47334"/>
    <w:rsid w:val="00A7212C"/>
    <w:rsid w:val="00A72878"/>
    <w:rsid w:val="00A73BE1"/>
    <w:rsid w:val="00AA0333"/>
    <w:rsid w:val="00AC5C4D"/>
    <w:rsid w:val="00AD2F7B"/>
    <w:rsid w:val="00AD368D"/>
    <w:rsid w:val="00AD6DFA"/>
    <w:rsid w:val="00AE0BBC"/>
    <w:rsid w:val="00AE0C0F"/>
    <w:rsid w:val="00AE2C90"/>
    <w:rsid w:val="00AE6EFE"/>
    <w:rsid w:val="00B11725"/>
    <w:rsid w:val="00B23138"/>
    <w:rsid w:val="00B245D7"/>
    <w:rsid w:val="00B32EA9"/>
    <w:rsid w:val="00B374F4"/>
    <w:rsid w:val="00B47ECF"/>
    <w:rsid w:val="00B552F6"/>
    <w:rsid w:val="00B6225D"/>
    <w:rsid w:val="00B65085"/>
    <w:rsid w:val="00B74964"/>
    <w:rsid w:val="00B839B8"/>
    <w:rsid w:val="00B87975"/>
    <w:rsid w:val="00B93DC0"/>
    <w:rsid w:val="00B95725"/>
    <w:rsid w:val="00BA3966"/>
    <w:rsid w:val="00BB1B65"/>
    <w:rsid w:val="00BB2A0E"/>
    <w:rsid w:val="00BE31D9"/>
    <w:rsid w:val="00BE4E8D"/>
    <w:rsid w:val="00BF314A"/>
    <w:rsid w:val="00C01707"/>
    <w:rsid w:val="00C054FA"/>
    <w:rsid w:val="00C13E96"/>
    <w:rsid w:val="00C21B9A"/>
    <w:rsid w:val="00C24AF8"/>
    <w:rsid w:val="00C32986"/>
    <w:rsid w:val="00C36461"/>
    <w:rsid w:val="00C443FE"/>
    <w:rsid w:val="00C45BA7"/>
    <w:rsid w:val="00C47797"/>
    <w:rsid w:val="00C47A9C"/>
    <w:rsid w:val="00C5044D"/>
    <w:rsid w:val="00C51047"/>
    <w:rsid w:val="00C57DAB"/>
    <w:rsid w:val="00C63804"/>
    <w:rsid w:val="00C75B0A"/>
    <w:rsid w:val="00C84251"/>
    <w:rsid w:val="00C84665"/>
    <w:rsid w:val="00CA0371"/>
    <w:rsid w:val="00CA24DB"/>
    <w:rsid w:val="00CA5961"/>
    <w:rsid w:val="00CB24B4"/>
    <w:rsid w:val="00CB6DCB"/>
    <w:rsid w:val="00CC34E5"/>
    <w:rsid w:val="00CF29BB"/>
    <w:rsid w:val="00CF50E5"/>
    <w:rsid w:val="00CF735F"/>
    <w:rsid w:val="00CF75DF"/>
    <w:rsid w:val="00D04818"/>
    <w:rsid w:val="00D0603A"/>
    <w:rsid w:val="00D0736D"/>
    <w:rsid w:val="00D17F13"/>
    <w:rsid w:val="00D5522C"/>
    <w:rsid w:val="00D57BFE"/>
    <w:rsid w:val="00D61FB1"/>
    <w:rsid w:val="00D635B7"/>
    <w:rsid w:val="00D650E8"/>
    <w:rsid w:val="00D77E5E"/>
    <w:rsid w:val="00D85527"/>
    <w:rsid w:val="00D95BF1"/>
    <w:rsid w:val="00DA5453"/>
    <w:rsid w:val="00DB2C3E"/>
    <w:rsid w:val="00DD12D9"/>
    <w:rsid w:val="00DE4A39"/>
    <w:rsid w:val="00DE6427"/>
    <w:rsid w:val="00DE749B"/>
    <w:rsid w:val="00DF6BFE"/>
    <w:rsid w:val="00E10C82"/>
    <w:rsid w:val="00E12215"/>
    <w:rsid w:val="00E22B42"/>
    <w:rsid w:val="00E31534"/>
    <w:rsid w:val="00E32BE8"/>
    <w:rsid w:val="00E34146"/>
    <w:rsid w:val="00E454E7"/>
    <w:rsid w:val="00E56C2A"/>
    <w:rsid w:val="00E66A6D"/>
    <w:rsid w:val="00E771ED"/>
    <w:rsid w:val="00E82C1B"/>
    <w:rsid w:val="00E832E4"/>
    <w:rsid w:val="00EB676D"/>
    <w:rsid w:val="00EC05B7"/>
    <w:rsid w:val="00EC4415"/>
    <w:rsid w:val="00EC7701"/>
    <w:rsid w:val="00EF2F09"/>
    <w:rsid w:val="00F0056B"/>
    <w:rsid w:val="00F034F8"/>
    <w:rsid w:val="00F129D4"/>
    <w:rsid w:val="00F12C51"/>
    <w:rsid w:val="00F232B5"/>
    <w:rsid w:val="00F347BE"/>
    <w:rsid w:val="00F4396F"/>
    <w:rsid w:val="00F53754"/>
    <w:rsid w:val="00F60DDF"/>
    <w:rsid w:val="00F67D43"/>
    <w:rsid w:val="00F769CE"/>
    <w:rsid w:val="00F8095A"/>
    <w:rsid w:val="00F81487"/>
    <w:rsid w:val="00F85C6B"/>
    <w:rsid w:val="00F92A63"/>
    <w:rsid w:val="00F93249"/>
    <w:rsid w:val="00F952CE"/>
    <w:rsid w:val="00FA0FC1"/>
    <w:rsid w:val="00FB4988"/>
    <w:rsid w:val="00FB6B0E"/>
    <w:rsid w:val="00FC42B9"/>
    <w:rsid w:val="00FD6241"/>
    <w:rsid w:val="00FE045B"/>
    <w:rsid w:val="00FE3B05"/>
    <w:rsid w:val="00FE5F4E"/>
    <w:rsid w:val="00FE66E5"/>
    <w:rsid w:val="00FF40FA"/>
    <w:rsid w:val="00FF76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20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6EF"/>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0846EF"/>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0846EF"/>
    <w:pPr>
      <w:spacing w:before="360" w:line="460" w:lineRule="exact"/>
      <w:outlineLvl w:val="1"/>
    </w:pPr>
    <w:rPr>
      <w:bCs w:val="0"/>
      <w:iCs/>
      <w:color w:val="2C384A"/>
      <w:sz w:val="36"/>
      <w:szCs w:val="28"/>
    </w:rPr>
  </w:style>
  <w:style w:type="paragraph" w:styleId="Heading3">
    <w:name w:val="heading 3"/>
    <w:basedOn w:val="HeadingBase"/>
    <w:next w:val="Normal"/>
    <w:link w:val="Heading3Char"/>
    <w:qFormat/>
    <w:rsid w:val="000846EF"/>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0846EF"/>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0846EF"/>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0846EF"/>
    <w:pPr>
      <w:spacing w:before="120" w:after="0" w:line="276" w:lineRule="auto"/>
      <w:outlineLvl w:val="5"/>
    </w:pPr>
    <w:rPr>
      <w:rFonts w:ascii="Calibri Light" w:hAnsi="Calibri Light"/>
      <w:bCs w:val="0"/>
      <w:color w:val="000000" w:themeColor="text1"/>
      <w:sz w:val="22"/>
      <w:szCs w:val="22"/>
    </w:rPr>
  </w:style>
  <w:style w:type="paragraph" w:styleId="Heading7">
    <w:name w:val="heading 7"/>
    <w:basedOn w:val="HeadingBase"/>
    <w:next w:val="Normal"/>
    <w:link w:val="Heading7Char"/>
    <w:rsid w:val="000846EF"/>
    <w:pPr>
      <w:outlineLvl w:val="6"/>
    </w:pPr>
    <w:rPr>
      <w:szCs w:val="24"/>
    </w:rPr>
  </w:style>
  <w:style w:type="paragraph" w:styleId="Heading8">
    <w:name w:val="heading 8"/>
    <w:basedOn w:val="HeadingBase"/>
    <w:next w:val="Normal"/>
    <w:link w:val="Heading8Char"/>
    <w:rsid w:val="000846EF"/>
    <w:pPr>
      <w:outlineLvl w:val="7"/>
    </w:pPr>
    <w:rPr>
      <w:iCs/>
      <w:szCs w:val="24"/>
    </w:rPr>
  </w:style>
  <w:style w:type="paragraph" w:styleId="Heading9">
    <w:name w:val="heading 9"/>
    <w:basedOn w:val="HeadingBase"/>
    <w:next w:val="Normal"/>
    <w:link w:val="Heading9Char"/>
    <w:rsid w:val="000846E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846EF"/>
    <w:rPr>
      <w:rFonts w:ascii="Calibri Light" w:hAnsi="Calibri Light"/>
      <w:sz w:val="22"/>
    </w:rPr>
  </w:style>
  <w:style w:type="paragraph" w:styleId="FootnoteText">
    <w:name w:val="footnote text"/>
    <w:basedOn w:val="Normal"/>
    <w:link w:val="FootnoteTextChar"/>
    <w:uiPriority w:val="99"/>
    <w:rsid w:val="000846EF"/>
    <w:pPr>
      <w:spacing w:before="0" w:after="0"/>
      <w:ind w:left="397" w:hanging="397"/>
    </w:pPr>
    <w:rPr>
      <w:sz w:val="20"/>
    </w:rPr>
  </w:style>
  <w:style w:type="character" w:customStyle="1" w:styleId="FootnoteTextChar">
    <w:name w:val="Footnote Text Char"/>
    <w:basedOn w:val="DefaultParagraphFont"/>
    <w:link w:val="FootnoteText"/>
    <w:uiPriority w:val="99"/>
    <w:rsid w:val="000846EF"/>
    <w:rPr>
      <w:rFonts w:ascii="Calibri Light" w:eastAsia="Times New Roman" w:hAnsi="Calibri Light" w:cs="Times New Roman"/>
      <w:sz w:val="20"/>
      <w:szCs w:val="20"/>
      <w:lang w:eastAsia="en-AU"/>
    </w:rPr>
  </w:style>
  <w:style w:type="paragraph" w:customStyle="1" w:styleId="AppendixHeading">
    <w:name w:val="Appendix Heading"/>
    <w:basedOn w:val="Heading1"/>
    <w:next w:val="Normal"/>
    <w:rsid w:val="000846EF"/>
  </w:style>
  <w:style w:type="paragraph" w:customStyle="1" w:styleId="ContentsHeading">
    <w:name w:val="Contents Heading"/>
    <w:basedOn w:val="Heading1"/>
    <w:qFormat/>
    <w:rsid w:val="000846EF"/>
    <w:pPr>
      <w:outlineLvl w:val="9"/>
    </w:pPr>
  </w:style>
  <w:style w:type="paragraph" w:customStyle="1" w:styleId="FooterCentered">
    <w:name w:val="Footer Centered"/>
    <w:basedOn w:val="Footer"/>
    <w:rsid w:val="000846EF"/>
  </w:style>
  <w:style w:type="paragraph" w:styleId="Header">
    <w:name w:val="header"/>
    <w:basedOn w:val="Normal"/>
    <w:link w:val="HeaderChar"/>
    <w:uiPriority w:val="99"/>
    <w:unhideWhenUsed/>
    <w:rsid w:val="000846EF"/>
    <w:pPr>
      <w:keepNext/>
      <w:spacing w:before="0" w:after="0"/>
      <w:jc w:val="right"/>
    </w:pPr>
    <w:rPr>
      <w:color w:val="004A7F"/>
      <w:sz w:val="20"/>
    </w:rPr>
  </w:style>
  <w:style w:type="character" w:customStyle="1" w:styleId="HeaderChar">
    <w:name w:val="Header Char"/>
    <w:basedOn w:val="DefaultParagraphFont"/>
    <w:link w:val="Header"/>
    <w:uiPriority w:val="99"/>
    <w:rsid w:val="000846EF"/>
    <w:rPr>
      <w:rFonts w:ascii="Calibri Light" w:eastAsia="Times New Roman" w:hAnsi="Calibri Light" w:cs="Times New Roman"/>
      <w:color w:val="004A7F"/>
      <w:sz w:val="20"/>
      <w:szCs w:val="20"/>
      <w:lang w:eastAsia="en-AU"/>
    </w:rPr>
  </w:style>
  <w:style w:type="paragraph" w:styleId="TOC1">
    <w:name w:val="toc 1"/>
    <w:basedOn w:val="Normal"/>
    <w:next w:val="Normal"/>
    <w:uiPriority w:val="39"/>
    <w:rsid w:val="000846EF"/>
    <w:pPr>
      <w:keepNext/>
      <w:tabs>
        <w:tab w:val="right" w:leader="dot" w:pos="9072"/>
      </w:tabs>
      <w:spacing w:before="180" w:after="0"/>
      <w:ind w:right="-2"/>
    </w:pPr>
    <w:rPr>
      <w:b/>
      <w:noProof/>
      <w:color w:val="2C384A" w:themeColor="accent1"/>
      <w:szCs w:val="22"/>
    </w:rPr>
  </w:style>
  <w:style w:type="character" w:styleId="FootnoteReference">
    <w:name w:val="footnote reference"/>
    <w:basedOn w:val="DefaultParagraphFont"/>
    <w:uiPriority w:val="99"/>
    <w:rsid w:val="000846EF"/>
    <w:rPr>
      <w:sz w:val="18"/>
    </w:rPr>
  </w:style>
  <w:style w:type="character" w:customStyle="1" w:styleId="Heading1Char">
    <w:name w:val="Heading 1 Char"/>
    <w:basedOn w:val="DefaultParagraphFont"/>
    <w:link w:val="Heading1"/>
    <w:rsid w:val="000846EF"/>
    <w:rPr>
      <w:rFonts w:ascii="Calibri" w:eastAsia="Times New Roman" w:hAnsi="Calibri" w:cs="Arial"/>
      <w:b/>
      <w:color w:val="5D779D" w:themeColor="accent3"/>
      <w:kern w:val="32"/>
      <w:sz w:val="44"/>
      <w:szCs w:val="36"/>
      <w:lang w:eastAsia="en-AU"/>
    </w:rPr>
  </w:style>
  <w:style w:type="paragraph" w:styleId="Footer">
    <w:name w:val="footer"/>
    <w:basedOn w:val="Normal"/>
    <w:link w:val="FooterChar"/>
    <w:uiPriority w:val="99"/>
    <w:unhideWhenUsed/>
    <w:rsid w:val="000846EF"/>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uiPriority w:val="99"/>
    <w:rsid w:val="000846EF"/>
    <w:rPr>
      <w:rFonts w:ascii="Calibri Light" w:eastAsia="Times New Roman" w:hAnsi="Calibri Light" w:cs="Times New Roman"/>
      <w:color w:val="002C47"/>
      <w:sz w:val="20"/>
      <w:szCs w:val="20"/>
      <w:lang w:eastAsia="en-AU"/>
    </w:rPr>
  </w:style>
  <w:style w:type="character" w:styleId="CommentReference">
    <w:name w:val="annotation reference"/>
    <w:basedOn w:val="DefaultParagraphFont"/>
    <w:uiPriority w:val="99"/>
    <w:semiHidden/>
    <w:unhideWhenUsed/>
    <w:rsid w:val="000846EF"/>
    <w:rPr>
      <w:sz w:val="16"/>
      <w:szCs w:val="16"/>
    </w:rPr>
  </w:style>
  <w:style w:type="paragraph" w:styleId="CommentText">
    <w:name w:val="annotation text"/>
    <w:basedOn w:val="Normal"/>
    <w:link w:val="CommentTextChar"/>
    <w:uiPriority w:val="99"/>
    <w:unhideWhenUsed/>
    <w:rsid w:val="000846EF"/>
    <w:rPr>
      <w:rFonts w:ascii="Calibri" w:hAnsi="Calibri"/>
      <w:sz w:val="20"/>
    </w:rPr>
  </w:style>
  <w:style w:type="character" w:customStyle="1" w:styleId="CommentTextChar">
    <w:name w:val="Comment Text Char"/>
    <w:basedOn w:val="DefaultParagraphFont"/>
    <w:link w:val="CommentText"/>
    <w:uiPriority w:val="99"/>
    <w:rsid w:val="000846EF"/>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6848CE"/>
    <w:rPr>
      <w:b/>
      <w:bCs/>
    </w:rPr>
  </w:style>
  <w:style w:type="character" w:customStyle="1" w:styleId="CommentSubjectChar">
    <w:name w:val="Comment Subject Char"/>
    <w:basedOn w:val="CommentTextChar"/>
    <w:link w:val="CommentSubject"/>
    <w:uiPriority w:val="99"/>
    <w:semiHidden/>
    <w:rsid w:val="006848CE"/>
    <w:rPr>
      <w:rFonts w:ascii="Times New Roman" w:eastAsia="Times New Roman" w:hAnsi="Times New Roman" w:cs="Times New Roman"/>
      <w:b/>
      <w:bCs/>
      <w:sz w:val="20"/>
      <w:szCs w:val="20"/>
      <w:lang w:eastAsia="en-AU"/>
    </w:rPr>
  </w:style>
  <w:style w:type="table" w:styleId="TableGrid">
    <w:name w:val="Table Grid"/>
    <w:basedOn w:val="TableNormal"/>
    <w:rsid w:val="000846EF"/>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styleId="NoSpacing">
    <w:name w:val="No Spacing"/>
    <w:uiPriority w:val="1"/>
    <w:qFormat/>
    <w:rsid w:val="008774BA"/>
    <w:pPr>
      <w:spacing w:after="0" w:line="240" w:lineRule="auto"/>
    </w:pPr>
    <w:rPr>
      <w:rFonts w:ascii="Times New Roman" w:eastAsia="Times New Roman" w:hAnsi="Times New Roman" w:cs="Times New Roman"/>
      <w:sz w:val="24"/>
      <w:szCs w:val="24"/>
    </w:rPr>
  </w:style>
  <w:style w:type="paragraph" w:customStyle="1" w:styleId="commi">
    <w:name w:val="commi"/>
    <w:basedOn w:val="Normal"/>
    <w:link w:val="commiChar"/>
    <w:qFormat/>
    <w:rsid w:val="00F769CE"/>
    <w:pPr>
      <w:tabs>
        <w:tab w:val="left" w:pos="1843"/>
      </w:tabs>
    </w:pPr>
    <w:rPr>
      <w:rFonts w:ascii="Montserrat Light" w:hAnsi="Montserrat Light"/>
      <w:sz w:val="32"/>
      <w:szCs w:val="32"/>
    </w:rPr>
  </w:style>
  <w:style w:type="character" w:styleId="PlaceholderText">
    <w:name w:val="Placeholder Text"/>
    <w:basedOn w:val="DefaultParagraphFont"/>
    <w:uiPriority w:val="99"/>
    <w:semiHidden/>
    <w:rsid w:val="000846EF"/>
    <w:rPr>
      <w:color w:val="808080"/>
    </w:rPr>
  </w:style>
  <w:style w:type="character" w:customStyle="1" w:styleId="commiChar">
    <w:name w:val="commi Char"/>
    <w:basedOn w:val="DefaultParagraphFont"/>
    <w:link w:val="commi"/>
    <w:rsid w:val="00F769CE"/>
    <w:rPr>
      <w:rFonts w:ascii="Montserrat Light" w:eastAsia="Times New Roman" w:hAnsi="Montserrat Light" w:cs="Times New Roman"/>
      <w:sz w:val="32"/>
      <w:szCs w:val="32"/>
    </w:rPr>
  </w:style>
  <w:style w:type="character" w:customStyle="1" w:styleId="Heading2Char">
    <w:name w:val="Heading 2 Char"/>
    <w:basedOn w:val="DefaultParagraphFont"/>
    <w:link w:val="Heading2"/>
    <w:rsid w:val="000846EF"/>
    <w:rPr>
      <w:rFonts w:ascii="Calibri" w:eastAsia="Times New Roman" w:hAnsi="Calibri" w:cs="Arial"/>
      <w:iCs/>
      <w:color w:val="2C384A"/>
      <w:kern w:val="32"/>
      <w:sz w:val="36"/>
      <w:szCs w:val="28"/>
      <w:lang w:eastAsia="en-AU"/>
    </w:rPr>
  </w:style>
  <w:style w:type="character" w:customStyle="1" w:styleId="Heading3Char">
    <w:name w:val="Heading 3 Char"/>
    <w:basedOn w:val="DefaultParagraphFont"/>
    <w:link w:val="Heading3"/>
    <w:rsid w:val="000846EF"/>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0846EF"/>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0846EF"/>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0846EF"/>
    <w:rPr>
      <w:rFonts w:ascii="Calibri Light" w:eastAsia="Times New Roman" w:hAnsi="Calibri Light" w:cs="Arial"/>
      <w:color w:val="000000" w:themeColor="text1"/>
      <w:kern w:val="32"/>
      <w:lang w:eastAsia="en-AU"/>
    </w:rPr>
  </w:style>
  <w:style w:type="character" w:customStyle="1" w:styleId="Heading7Char">
    <w:name w:val="Heading 7 Char"/>
    <w:basedOn w:val="DefaultParagraphFont"/>
    <w:link w:val="Heading7"/>
    <w:rsid w:val="0077630F"/>
    <w:rPr>
      <w:rFonts w:ascii="Calibri" w:eastAsia="Times New Roman" w:hAnsi="Calibri" w:cs="Arial"/>
      <w:bCs/>
      <w:color w:val="002C4A"/>
      <w:kern w:val="32"/>
      <w:sz w:val="48"/>
      <w:szCs w:val="24"/>
      <w:lang w:eastAsia="en-AU"/>
    </w:rPr>
  </w:style>
  <w:style w:type="character" w:customStyle="1" w:styleId="Heading8Char">
    <w:name w:val="Heading 8 Char"/>
    <w:basedOn w:val="DefaultParagraphFont"/>
    <w:link w:val="Heading8"/>
    <w:rsid w:val="0077630F"/>
    <w:rPr>
      <w:rFonts w:ascii="Calibri" w:eastAsia="Times New Roman" w:hAnsi="Calibri" w:cs="Arial"/>
      <w:bCs/>
      <w:iCs/>
      <w:color w:val="002C4A"/>
      <w:kern w:val="32"/>
      <w:sz w:val="48"/>
      <w:szCs w:val="24"/>
      <w:lang w:eastAsia="en-AU"/>
    </w:rPr>
  </w:style>
  <w:style w:type="character" w:customStyle="1" w:styleId="Heading9Char">
    <w:name w:val="Heading 9 Char"/>
    <w:basedOn w:val="DefaultParagraphFont"/>
    <w:link w:val="Heading9"/>
    <w:rsid w:val="0077630F"/>
    <w:rPr>
      <w:rFonts w:ascii="Calibri" w:eastAsia="Times New Roman" w:hAnsi="Calibri" w:cs="Arial"/>
      <w:bCs/>
      <w:color w:val="002C4A"/>
      <w:kern w:val="32"/>
      <w:sz w:val="48"/>
      <w:lang w:eastAsia="en-AU"/>
    </w:rPr>
  </w:style>
  <w:style w:type="paragraph" w:customStyle="1" w:styleId="HeadingBase">
    <w:name w:val="Heading Base"/>
    <w:rsid w:val="000846EF"/>
    <w:pPr>
      <w:keepNext/>
      <w:spacing w:after="120" w:line="240" w:lineRule="auto"/>
    </w:pPr>
    <w:rPr>
      <w:rFonts w:ascii="Calibri" w:eastAsia="Times New Roman" w:hAnsi="Calibri" w:cs="Arial"/>
      <w:bCs/>
      <w:color w:val="002C4A"/>
      <w:kern w:val="32"/>
      <w:sz w:val="48"/>
      <w:szCs w:val="36"/>
      <w:lang w:eastAsia="en-AU"/>
    </w:rPr>
  </w:style>
  <w:style w:type="paragraph" w:customStyle="1" w:styleId="SingleParagraph">
    <w:name w:val="Single Paragraph"/>
    <w:basedOn w:val="Normal"/>
    <w:link w:val="SingleParagraphChar"/>
    <w:rsid w:val="000846EF"/>
    <w:pPr>
      <w:spacing w:before="0" w:after="0"/>
    </w:pPr>
  </w:style>
  <w:style w:type="character" w:styleId="Hyperlink">
    <w:name w:val="Hyperlink"/>
    <w:basedOn w:val="DefaultParagraphFont"/>
    <w:uiPriority w:val="99"/>
    <w:rsid w:val="000846EF"/>
    <w:rPr>
      <w:color w:val="3A6FAF"/>
      <w:u w:val="none"/>
    </w:rPr>
  </w:style>
  <w:style w:type="paragraph" w:styleId="BalloonText">
    <w:name w:val="Balloon Text"/>
    <w:basedOn w:val="Normal"/>
    <w:link w:val="BalloonTextChar"/>
    <w:uiPriority w:val="99"/>
    <w:semiHidden/>
    <w:unhideWhenUsed/>
    <w:rsid w:val="000846E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6EF"/>
    <w:rPr>
      <w:rFonts w:ascii="Tahoma" w:eastAsia="Times New Roman" w:hAnsi="Tahoma" w:cs="Tahoma"/>
      <w:sz w:val="16"/>
      <w:szCs w:val="16"/>
      <w:lang w:eastAsia="en-AU"/>
    </w:rPr>
  </w:style>
  <w:style w:type="paragraph" w:customStyle="1" w:styleId="Bullet">
    <w:name w:val="Bullet"/>
    <w:aliases w:val="Body,b,b + line,b1,level 1,Bullet + line,BodyNum,bulleted,Bullet Char1,Bullet Char1 Char Char Char Char,b1 Char Char Char,Bullet Char1 Char Char Char Char Char,Bullet Char1 Char Char Char,CG-Bullet"/>
    <w:basedOn w:val="Normal"/>
    <w:link w:val="BulletChar"/>
    <w:autoRedefine/>
    <w:qFormat/>
    <w:rsid w:val="007B0C47"/>
    <w:pPr>
      <w:numPr>
        <w:numId w:val="10"/>
      </w:numPr>
      <w:tabs>
        <w:tab w:val="left" w:pos="720"/>
      </w:tabs>
      <w:spacing w:before="0" w:line="276" w:lineRule="auto"/>
    </w:pPr>
  </w:style>
  <w:style w:type="paragraph" w:customStyle="1" w:styleId="Dash">
    <w:name w:val="Dash"/>
    <w:basedOn w:val="Normal"/>
    <w:link w:val="DashChar"/>
    <w:qFormat/>
    <w:rsid w:val="000846EF"/>
    <w:pPr>
      <w:numPr>
        <w:ilvl w:val="1"/>
        <w:numId w:val="5"/>
      </w:numPr>
      <w:spacing w:before="0"/>
    </w:pPr>
  </w:style>
  <w:style w:type="paragraph" w:customStyle="1" w:styleId="DoubleDot">
    <w:name w:val="Double Dot"/>
    <w:basedOn w:val="Normal"/>
    <w:link w:val="DoubleDotChar"/>
    <w:qFormat/>
    <w:rsid w:val="000846EF"/>
    <w:pPr>
      <w:numPr>
        <w:ilvl w:val="2"/>
        <w:numId w:val="5"/>
      </w:numPr>
      <w:spacing w:before="0"/>
    </w:pPr>
  </w:style>
  <w:style w:type="paragraph" w:customStyle="1" w:styleId="OutlineNumbered1">
    <w:name w:val="Outline Numbered 1"/>
    <w:basedOn w:val="Normal"/>
    <w:rsid w:val="000846EF"/>
    <w:pPr>
      <w:numPr>
        <w:numId w:val="9"/>
      </w:numPr>
      <w:spacing w:before="0"/>
    </w:pPr>
  </w:style>
  <w:style w:type="paragraph" w:customStyle="1" w:styleId="OutlineNumbered2">
    <w:name w:val="Outline Numbered 2"/>
    <w:basedOn w:val="Normal"/>
    <w:rsid w:val="000846EF"/>
    <w:pPr>
      <w:numPr>
        <w:ilvl w:val="1"/>
        <w:numId w:val="9"/>
      </w:numPr>
      <w:spacing w:before="0"/>
    </w:pPr>
  </w:style>
  <w:style w:type="paragraph" w:customStyle="1" w:styleId="OutlineNumbered3">
    <w:name w:val="Outline Numbered 3"/>
    <w:basedOn w:val="Normal"/>
    <w:rsid w:val="000846EF"/>
    <w:pPr>
      <w:numPr>
        <w:ilvl w:val="2"/>
        <w:numId w:val="9"/>
      </w:numPr>
      <w:spacing w:before="0"/>
    </w:pPr>
  </w:style>
  <w:style w:type="paragraph" w:customStyle="1" w:styleId="AlphaParagraph">
    <w:name w:val="Alpha Paragraph"/>
    <w:basedOn w:val="Normal"/>
    <w:qFormat/>
    <w:rsid w:val="000846EF"/>
    <w:pPr>
      <w:numPr>
        <w:ilvl w:val="1"/>
        <w:numId w:val="2"/>
      </w:numPr>
      <w:spacing w:before="0"/>
    </w:pPr>
  </w:style>
  <w:style w:type="paragraph" w:customStyle="1" w:styleId="BoxHeading">
    <w:name w:val="Box Heading"/>
    <w:basedOn w:val="Normal"/>
    <w:next w:val="Normal"/>
    <w:rsid w:val="000846EF"/>
    <w:pPr>
      <w:keepNext/>
    </w:pPr>
    <w:rPr>
      <w:b/>
      <w:color w:val="2C384A" w:themeColor="accent1"/>
      <w:sz w:val="26"/>
      <w:szCs w:val="26"/>
    </w:rPr>
  </w:style>
  <w:style w:type="paragraph" w:customStyle="1" w:styleId="BoxText">
    <w:name w:val="Box Text"/>
    <w:basedOn w:val="Normal"/>
    <w:link w:val="BoxTextChar"/>
    <w:rsid w:val="000846EF"/>
  </w:style>
  <w:style w:type="paragraph" w:customStyle="1" w:styleId="ChartandTableFootnoteAlpha">
    <w:name w:val="Chart and Table Footnote Alpha"/>
    <w:rsid w:val="000846EF"/>
    <w:pPr>
      <w:numPr>
        <w:numId w:val="6"/>
      </w:numPr>
      <w:spacing w:after="0" w:line="240" w:lineRule="auto"/>
      <w:jc w:val="both"/>
    </w:pPr>
    <w:rPr>
      <w:rFonts w:ascii="Calibri" w:eastAsia="Times New Roman" w:hAnsi="Calibri" w:cs="Times New Roman"/>
      <w:color w:val="000000"/>
      <w:sz w:val="18"/>
      <w:szCs w:val="16"/>
      <w:lang w:eastAsia="en-AU"/>
    </w:rPr>
  </w:style>
  <w:style w:type="paragraph" w:customStyle="1" w:styleId="ChartGraphic">
    <w:name w:val="Chart Graphic"/>
    <w:basedOn w:val="Normal"/>
    <w:next w:val="Normal"/>
    <w:rsid w:val="000846EF"/>
    <w:pPr>
      <w:keepNext/>
      <w:spacing w:before="0" w:after="0"/>
      <w:jc w:val="center"/>
    </w:pPr>
    <w:rPr>
      <w:color w:val="004A7F"/>
      <w:sz w:val="20"/>
    </w:rPr>
  </w:style>
  <w:style w:type="paragraph" w:customStyle="1" w:styleId="ChartMainHeading">
    <w:name w:val="Chart Main Heading"/>
    <w:basedOn w:val="TableMainHeading"/>
    <w:next w:val="ChartGraphic"/>
    <w:rsid w:val="000846EF"/>
    <w:pPr>
      <w:jc w:val="center"/>
    </w:pPr>
  </w:style>
  <w:style w:type="paragraph" w:customStyle="1" w:styleId="ChartorTableNote">
    <w:name w:val="Chart or Table Note"/>
    <w:next w:val="Normal"/>
    <w:rsid w:val="000846EF"/>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0846EF"/>
    <w:pPr>
      <w:jc w:val="center"/>
    </w:pPr>
    <w:rPr>
      <w:b w:val="0"/>
      <w:bCs/>
    </w:rPr>
  </w:style>
  <w:style w:type="paragraph" w:customStyle="1" w:styleId="Classification">
    <w:name w:val="Classification"/>
    <w:basedOn w:val="HeadingBase"/>
    <w:next w:val="Footer"/>
    <w:rsid w:val="000846EF"/>
    <w:pPr>
      <w:jc w:val="center"/>
    </w:pPr>
    <w:rPr>
      <w:rFonts w:asciiTheme="minorHAnsi" w:hAnsiTheme="minorHAnsi"/>
      <w:b/>
      <w:smallCaps/>
      <w:sz w:val="24"/>
    </w:rPr>
  </w:style>
  <w:style w:type="paragraph" w:customStyle="1" w:styleId="CoverTitleMain">
    <w:name w:val="Cover Title Main"/>
    <w:basedOn w:val="Normal"/>
    <w:next w:val="Normal"/>
    <w:rsid w:val="000846EF"/>
    <w:pPr>
      <w:keepNext/>
      <w:pBdr>
        <w:bottom w:val="single" w:sz="18" w:space="14" w:color="2C384A" w:themeColor="accent1"/>
      </w:pBdr>
      <w:spacing w:before="0" w:after="240"/>
    </w:pPr>
    <w:rPr>
      <w:b/>
      <w:color w:val="2C384A" w:themeColor="accent1"/>
      <w:sz w:val="56"/>
      <w:szCs w:val="40"/>
    </w:rPr>
  </w:style>
  <w:style w:type="paragraph" w:customStyle="1" w:styleId="CoverTitleSub">
    <w:name w:val="Cover Title Sub"/>
    <w:basedOn w:val="Normal"/>
    <w:rsid w:val="000846EF"/>
    <w:pPr>
      <w:keepNext/>
      <w:spacing w:before="0"/>
    </w:pPr>
    <w:rPr>
      <w:color w:val="2C384A" w:themeColor="accent1"/>
      <w:sz w:val="40"/>
    </w:rPr>
  </w:style>
  <w:style w:type="paragraph" w:customStyle="1" w:styleId="FooterEven">
    <w:name w:val="Footer Even"/>
    <w:basedOn w:val="Footer"/>
    <w:rsid w:val="000846EF"/>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0846EF"/>
    <w:pPr>
      <w:keepNext/>
      <w:tabs>
        <w:tab w:val="clear" w:pos="4513"/>
        <w:tab w:val="clear" w:pos="9026"/>
        <w:tab w:val="right" w:pos="9072"/>
      </w:tabs>
      <w:jc w:val="right"/>
    </w:pPr>
    <w:rPr>
      <w:color w:val="2C384A" w:themeColor="accent1"/>
    </w:rPr>
  </w:style>
  <w:style w:type="paragraph" w:customStyle="1" w:styleId="HeaderEven">
    <w:name w:val="Header Even"/>
    <w:basedOn w:val="Header"/>
    <w:qFormat/>
    <w:rsid w:val="000846EF"/>
    <w:pPr>
      <w:jc w:val="left"/>
    </w:pPr>
    <w:rPr>
      <w:color w:val="002C47"/>
    </w:rPr>
  </w:style>
  <w:style w:type="paragraph" w:customStyle="1" w:styleId="HeaderOdd">
    <w:name w:val="Header Odd"/>
    <w:basedOn w:val="Header"/>
    <w:qFormat/>
    <w:rsid w:val="000846EF"/>
    <w:rPr>
      <w:color w:val="002C47"/>
    </w:rPr>
  </w:style>
  <w:style w:type="paragraph" w:styleId="NormalIndent">
    <w:name w:val="Normal Indent"/>
    <w:basedOn w:val="Normal"/>
    <w:rsid w:val="000846EF"/>
    <w:pPr>
      <w:ind w:left="567"/>
    </w:pPr>
  </w:style>
  <w:style w:type="paragraph" w:customStyle="1" w:styleId="TableTextBase">
    <w:name w:val="Table Text Base"/>
    <w:rsid w:val="000846EF"/>
    <w:pPr>
      <w:spacing w:before="40" w:after="40" w:line="240" w:lineRule="auto"/>
    </w:pPr>
    <w:rPr>
      <w:rFonts w:eastAsia="Times New Roman" w:cs="Times New Roman"/>
      <w:color w:val="000000"/>
      <w:sz w:val="20"/>
      <w:szCs w:val="20"/>
      <w:lang w:eastAsia="en-AU"/>
    </w:rPr>
  </w:style>
  <w:style w:type="paragraph" w:customStyle="1" w:styleId="TableColumnHeadingCentred">
    <w:name w:val="Table Column Heading Centred"/>
    <w:basedOn w:val="TableTextLeft"/>
    <w:rsid w:val="000846EF"/>
    <w:pPr>
      <w:jc w:val="center"/>
    </w:pPr>
    <w:rPr>
      <w:b/>
      <w:color w:val="2C384A" w:themeColor="accent1"/>
      <w:sz w:val="20"/>
    </w:rPr>
  </w:style>
  <w:style w:type="paragraph" w:customStyle="1" w:styleId="TableColumnHeadingLeft">
    <w:name w:val="Table Column Heading Left"/>
    <w:basedOn w:val="TableTextLeft"/>
    <w:rsid w:val="000846EF"/>
    <w:rPr>
      <w:b/>
      <w:color w:val="2C384A" w:themeColor="accent1"/>
      <w:sz w:val="20"/>
    </w:rPr>
  </w:style>
  <w:style w:type="paragraph" w:customStyle="1" w:styleId="TableColumnHeadingRight">
    <w:name w:val="Table Column Heading Right"/>
    <w:basedOn w:val="TableTextLeft"/>
    <w:rsid w:val="000846EF"/>
    <w:pPr>
      <w:jc w:val="right"/>
    </w:pPr>
    <w:rPr>
      <w:b/>
      <w:color w:val="2C384A" w:themeColor="accent1"/>
      <w:sz w:val="20"/>
    </w:rPr>
  </w:style>
  <w:style w:type="paragraph" w:customStyle="1" w:styleId="TableGraphic">
    <w:name w:val="Table Graphic"/>
    <w:basedOn w:val="HeadingBase"/>
    <w:next w:val="Normal"/>
    <w:rsid w:val="000846EF"/>
    <w:pPr>
      <w:spacing w:after="0"/>
    </w:pPr>
  </w:style>
  <w:style w:type="paragraph" w:customStyle="1" w:styleId="TableMainHeading">
    <w:name w:val="Table Main Heading"/>
    <w:basedOn w:val="Heading3"/>
    <w:next w:val="Normal"/>
    <w:rsid w:val="000846EF"/>
    <w:pPr>
      <w:spacing w:before="120"/>
    </w:pPr>
    <w:rPr>
      <w:b w:val="0"/>
      <w:sz w:val="26"/>
    </w:rPr>
  </w:style>
  <w:style w:type="paragraph" w:customStyle="1" w:styleId="TableMainHeadingContd">
    <w:name w:val="Table Main Heading Contd"/>
    <w:basedOn w:val="HeadingBase"/>
    <w:next w:val="TableGraphic"/>
    <w:rsid w:val="000846EF"/>
    <w:pPr>
      <w:spacing w:before="240" w:after="60"/>
    </w:pPr>
    <w:rPr>
      <w:rFonts w:asciiTheme="minorHAnsi" w:hAnsiTheme="minorHAnsi"/>
      <w:b/>
      <w:color w:val="5F5F5F" w:themeColor="text2"/>
      <w:sz w:val="22"/>
    </w:rPr>
  </w:style>
  <w:style w:type="paragraph" w:customStyle="1" w:styleId="TableSecondHeading">
    <w:name w:val="Table Second Heading"/>
    <w:basedOn w:val="Normal"/>
    <w:next w:val="Normal"/>
    <w:rsid w:val="000846EF"/>
    <w:pPr>
      <w:keepNext/>
      <w:spacing w:before="0" w:after="20"/>
    </w:pPr>
    <w:rPr>
      <w:b/>
      <w:color w:val="004A7F"/>
    </w:rPr>
  </w:style>
  <w:style w:type="paragraph" w:customStyle="1" w:styleId="TableTextCentered">
    <w:name w:val="Table Text Centered"/>
    <w:basedOn w:val="TableTextRight"/>
    <w:rsid w:val="000846EF"/>
    <w:pPr>
      <w:jc w:val="center"/>
    </w:pPr>
  </w:style>
  <w:style w:type="paragraph" w:customStyle="1" w:styleId="TableTextIndented">
    <w:name w:val="Table Text Indented"/>
    <w:basedOn w:val="TableTextLeft"/>
    <w:rsid w:val="000846EF"/>
    <w:pPr>
      <w:ind w:left="284"/>
    </w:pPr>
  </w:style>
  <w:style w:type="paragraph" w:customStyle="1" w:styleId="TableTextLeft">
    <w:name w:val="Table Text Left"/>
    <w:basedOn w:val="TableTextRight"/>
    <w:rsid w:val="000846EF"/>
    <w:pPr>
      <w:jc w:val="left"/>
    </w:pPr>
  </w:style>
  <w:style w:type="paragraph" w:customStyle="1" w:styleId="TableTextRight">
    <w:name w:val="Table Text Right"/>
    <w:basedOn w:val="Normal"/>
    <w:rsid w:val="000846EF"/>
    <w:pPr>
      <w:spacing w:before="40" w:after="40"/>
      <w:jc w:val="right"/>
    </w:pPr>
    <w:rPr>
      <w:color w:val="000000"/>
      <w:sz w:val="18"/>
    </w:rPr>
  </w:style>
  <w:style w:type="paragraph" w:styleId="TOC2">
    <w:name w:val="toc 2"/>
    <w:basedOn w:val="Normal"/>
    <w:next w:val="Normal"/>
    <w:uiPriority w:val="39"/>
    <w:rsid w:val="000846EF"/>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0846EF"/>
    <w:pPr>
      <w:tabs>
        <w:tab w:val="right" w:leader="dot" w:pos="9072"/>
      </w:tabs>
      <w:spacing w:before="20" w:after="0"/>
      <w:ind w:left="284" w:right="-2"/>
    </w:pPr>
    <w:rPr>
      <w:rFonts w:cs="Calibri"/>
      <w:noProof/>
    </w:rPr>
  </w:style>
  <w:style w:type="paragraph" w:styleId="TOC4">
    <w:name w:val="toc 4"/>
    <w:basedOn w:val="Normal"/>
    <w:next w:val="Normal"/>
    <w:rsid w:val="000846EF"/>
    <w:pPr>
      <w:tabs>
        <w:tab w:val="right" w:leader="dot" w:pos="9072"/>
      </w:tabs>
      <w:spacing w:after="0"/>
      <w:ind w:left="454" w:right="851"/>
    </w:pPr>
    <w:rPr>
      <w:color w:val="2C384A" w:themeColor="accent1"/>
    </w:rPr>
  </w:style>
  <w:style w:type="character" w:customStyle="1" w:styleId="Italic">
    <w:name w:val="Italic"/>
    <w:basedOn w:val="DefaultParagraphFont"/>
    <w:rsid w:val="000846EF"/>
    <w:rPr>
      <w:i/>
    </w:rPr>
  </w:style>
  <w:style w:type="paragraph" w:customStyle="1" w:styleId="OneLevelNumberedParagraph">
    <w:name w:val="One Level Numbered Paragraph"/>
    <w:basedOn w:val="Normal"/>
    <w:rsid w:val="000846EF"/>
    <w:pPr>
      <w:numPr>
        <w:numId w:val="1"/>
      </w:numPr>
    </w:pPr>
  </w:style>
  <w:style w:type="character" w:customStyle="1" w:styleId="EmailStyle81">
    <w:name w:val="EmailStyle81"/>
    <w:basedOn w:val="DefaultParagraphFont"/>
    <w:semiHidden/>
    <w:rsid w:val="000846EF"/>
    <w:rPr>
      <w:rFonts w:ascii="Arial" w:hAnsi="Arial" w:cs="Arial"/>
      <w:color w:val="auto"/>
      <w:sz w:val="20"/>
      <w:szCs w:val="20"/>
    </w:rPr>
  </w:style>
  <w:style w:type="paragraph" w:customStyle="1" w:styleId="CoverDate">
    <w:name w:val="Cover Date"/>
    <w:basedOn w:val="Normal"/>
    <w:rsid w:val="000846EF"/>
    <w:pPr>
      <w:keepNext/>
      <w:spacing w:before="840" w:after="0"/>
    </w:pPr>
    <w:rPr>
      <w:color w:val="2C384A" w:themeColor="accent1"/>
      <w:sz w:val="28"/>
    </w:rPr>
  </w:style>
  <w:style w:type="character" w:customStyle="1" w:styleId="BulletChar">
    <w:name w:val="Bullet Char"/>
    <w:aliases w:val="b Char,b + line Char Char,b Char Char,b1 Char,b + line Char,Body Char,level 1 Char,Bullet + line Char,Number Char,List Paragraph2 Char,Bullets Char,L Char,List Paragraph Char,List Paragraph1 Char,List Paragraph11 Char,Recommendation Char,L C"/>
    <w:basedOn w:val="DefaultParagraphFont"/>
    <w:link w:val="Bullet"/>
    <w:qFormat/>
    <w:locked/>
    <w:rsid w:val="007B0C47"/>
    <w:rPr>
      <w:rFonts w:ascii="Calibri Light" w:eastAsia="Times New Roman" w:hAnsi="Calibri Light" w:cs="Times New Roman"/>
      <w:szCs w:val="20"/>
      <w:lang w:eastAsia="en-AU"/>
    </w:rPr>
  </w:style>
  <w:style w:type="paragraph" w:customStyle="1" w:styleId="Boxbullet">
    <w:name w:val="Box bullet"/>
    <w:basedOn w:val="Bullet"/>
    <w:autoRedefine/>
    <w:rsid w:val="000846EF"/>
    <w:pPr>
      <w:tabs>
        <w:tab w:val="num" w:pos="284"/>
      </w:tabs>
      <w:spacing w:before="60"/>
    </w:pPr>
    <w:rPr>
      <w:color w:val="0D0D0D" w:themeColor="text1" w:themeTint="F2"/>
    </w:rPr>
  </w:style>
  <w:style w:type="numbering" w:customStyle="1" w:styleId="BoxBulletedList">
    <w:name w:val="Box Bulleted List"/>
    <w:uiPriority w:val="99"/>
    <w:rsid w:val="000846EF"/>
    <w:pPr>
      <w:numPr>
        <w:numId w:val="4"/>
      </w:numPr>
    </w:pPr>
  </w:style>
  <w:style w:type="character" w:customStyle="1" w:styleId="DashChar">
    <w:name w:val="Dash Char"/>
    <w:basedOn w:val="DefaultParagraphFont"/>
    <w:link w:val="Dash"/>
    <w:locked/>
    <w:rsid w:val="000846EF"/>
    <w:rPr>
      <w:rFonts w:ascii="Calibri Light" w:eastAsia="Times New Roman" w:hAnsi="Calibri Light" w:cs="Times New Roman"/>
      <w:szCs w:val="20"/>
      <w:lang w:eastAsia="en-AU"/>
    </w:rPr>
  </w:style>
  <w:style w:type="paragraph" w:customStyle="1" w:styleId="Boxdash">
    <w:name w:val="Box dash"/>
    <w:basedOn w:val="Dash"/>
    <w:rsid w:val="000846EF"/>
    <w:pPr>
      <w:tabs>
        <w:tab w:val="clear" w:pos="567"/>
        <w:tab w:val="num" w:pos="1040"/>
      </w:tabs>
      <w:spacing w:before="60" w:after="0" w:line="276" w:lineRule="auto"/>
      <w:ind w:left="454" w:hanging="170"/>
    </w:pPr>
    <w:rPr>
      <w:rFonts w:eastAsiaTheme="minorHAnsi"/>
      <w:color w:val="0D0D0D" w:themeColor="text1" w:themeTint="F2"/>
      <w:lang w:eastAsia="en-US"/>
    </w:rPr>
  </w:style>
  <w:style w:type="character" w:customStyle="1" w:styleId="DoubleDotChar">
    <w:name w:val="Double Dot Char"/>
    <w:basedOn w:val="DefaultParagraphFont"/>
    <w:link w:val="DoubleDot"/>
    <w:locked/>
    <w:rsid w:val="000846EF"/>
    <w:rPr>
      <w:rFonts w:ascii="Calibri Light" w:eastAsia="Times New Roman" w:hAnsi="Calibri Light" w:cs="Times New Roman"/>
      <w:szCs w:val="20"/>
      <w:lang w:eastAsia="en-AU"/>
    </w:rPr>
  </w:style>
  <w:style w:type="paragraph" w:customStyle="1" w:styleId="Boxdoubledot">
    <w:name w:val="Box double dot"/>
    <w:basedOn w:val="DoubleDot"/>
    <w:rsid w:val="000846EF"/>
    <w:pPr>
      <w:tabs>
        <w:tab w:val="clear" w:pos="850"/>
        <w:tab w:val="left" w:pos="567"/>
        <w:tab w:val="num" w:pos="1560"/>
      </w:tabs>
      <w:spacing w:before="60" w:after="0" w:line="276" w:lineRule="auto"/>
      <w:ind w:left="567" w:hanging="142"/>
    </w:pPr>
    <w:rPr>
      <w:rFonts w:eastAsiaTheme="minorHAnsi"/>
      <w:color w:val="0D0D0D" w:themeColor="text1" w:themeTint="F2"/>
      <w:lang w:eastAsia="en-US"/>
    </w:rPr>
  </w:style>
  <w:style w:type="character" w:customStyle="1" w:styleId="BoxTextChar">
    <w:name w:val="Box Text Char"/>
    <w:basedOn w:val="DefaultParagraphFont"/>
    <w:link w:val="BoxText"/>
    <w:locked/>
    <w:rsid w:val="000846EF"/>
    <w:rPr>
      <w:rFonts w:ascii="Calibri Light" w:eastAsia="Times New Roman" w:hAnsi="Calibri Light" w:cs="Times New Roman"/>
      <w:szCs w:val="20"/>
      <w:lang w:eastAsia="en-AU"/>
    </w:rPr>
  </w:style>
  <w:style w:type="numbering" w:customStyle="1" w:styleId="BulletedList">
    <w:name w:val="Bulleted List"/>
    <w:uiPriority w:val="99"/>
    <w:rsid w:val="000846EF"/>
    <w:pPr>
      <w:numPr>
        <w:numId w:val="5"/>
      </w:numPr>
    </w:pPr>
  </w:style>
  <w:style w:type="numbering" w:customStyle="1" w:styleId="ChartandTableFootnoteAlphaList">
    <w:name w:val="ChartandTableFootnoteAlphaList"/>
    <w:uiPriority w:val="99"/>
    <w:rsid w:val="000846EF"/>
    <w:pPr>
      <w:numPr>
        <w:numId w:val="6"/>
      </w:numPr>
    </w:pPr>
  </w:style>
  <w:style w:type="paragraph" w:customStyle="1" w:styleId="Heading1Numbered">
    <w:name w:val="Heading 1 Numbered"/>
    <w:basedOn w:val="Heading1"/>
    <w:next w:val="Normal"/>
    <w:rsid w:val="000846EF"/>
    <w:pPr>
      <w:numPr>
        <w:numId w:val="7"/>
      </w:numPr>
    </w:pPr>
  </w:style>
  <w:style w:type="paragraph" w:customStyle="1" w:styleId="Heading2Numbered">
    <w:name w:val="Heading 2 Numbered"/>
    <w:basedOn w:val="Heading2"/>
    <w:next w:val="Normal"/>
    <w:rsid w:val="000846EF"/>
    <w:pPr>
      <w:numPr>
        <w:ilvl w:val="1"/>
        <w:numId w:val="7"/>
      </w:numPr>
    </w:pPr>
  </w:style>
  <w:style w:type="paragraph" w:customStyle="1" w:styleId="Heading3Numbered">
    <w:name w:val="Heading 3 Numbered"/>
    <w:basedOn w:val="Heading3"/>
    <w:rsid w:val="000846EF"/>
    <w:pPr>
      <w:numPr>
        <w:ilvl w:val="2"/>
        <w:numId w:val="7"/>
      </w:numPr>
    </w:pPr>
  </w:style>
  <w:style w:type="paragraph" w:customStyle="1" w:styleId="Instructions">
    <w:name w:val="Instructions"/>
    <w:basedOn w:val="Normal"/>
    <w:uiPriority w:val="1"/>
    <w:qFormat/>
    <w:rsid w:val="000846EF"/>
    <w:pPr>
      <w:shd w:val="clear" w:color="auto" w:fill="FFFF00"/>
      <w:ind w:left="170" w:hanging="170"/>
    </w:pPr>
    <w:rPr>
      <w:rFonts w:asciiTheme="minorHAnsi" w:hAnsiTheme="minorHAnsi"/>
      <w:sz w:val="20"/>
      <w:szCs w:val="24"/>
    </w:rPr>
  </w:style>
  <w:style w:type="paragraph" w:styleId="ListParagraph">
    <w:name w:val="List Paragraph"/>
    <w:basedOn w:val="Normal"/>
    <w:uiPriority w:val="34"/>
    <w:rsid w:val="000846EF"/>
    <w:pPr>
      <w:ind w:left="720"/>
      <w:contextualSpacing/>
    </w:pPr>
  </w:style>
  <w:style w:type="paragraph" w:customStyle="1" w:styleId="NotesHeading">
    <w:name w:val="Notes Heading"/>
    <w:basedOn w:val="Normal"/>
    <w:rsid w:val="000846EF"/>
    <w:pPr>
      <w:keepNext/>
      <w:spacing w:before="240" w:after="360"/>
      <w:jc w:val="center"/>
    </w:pPr>
    <w:rPr>
      <w:rFonts w:ascii="Century Gothic" w:hAnsi="Century Gothic"/>
      <w:smallCaps/>
      <w:color w:val="5F5F5F" w:themeColor="text2"/>
      <w:sz w:val="36"/>
      <w:szCs w:val="36"/>
    </w:rPr>
  </w:style>
  <w:style w:type="numbering" w:customStyle="1" w:styleId="OneLevelList">
    <w:name w:val="OneLevelList"/>
    <w:uiPriority w:val="99"/>
    <w:rsid w:val="000846EF"/>
    <w:pPr>
      <w:numPr>
        <w:numId w:val="8"/>
      </w:numPr>
    </w:pPr>
  </w:style>
  <w:style w:type="numbering" w:customStyle="1" w:styleId="OutlineList">
    <w:name w:val="OutlineList"/>
    <w:uiPriority w:val="99"/>
    <w:rsid w:val="000846EF"/>
    <w:pPr>
      <w:numPr>
        <w:numId w:val="9"/>
      </w:numPr>
    </w:pPr>
  </w:style>
  <w:style w:type="paragraph" w:customStyle="1" w:styleId="ReportDate">
    <w:name w:val="Report Date"/>
    <w:basedOn w:val="Normal"/>
    <w:link w:val="ReportDateChar"/>
    <w:rsid w:val="000846EF"/>
    <w:pPr>
      <w:keepNext/>
      <w:spacing w:before="0" w:after="360"/>
    </w:pPr>
    <w:rPr>
      <w:color w:val="90B6F0"/>
      <w:sz w:val="32"/>
    </w:rPr>
  </w:style>
  <w:style w:type="character" w:customStyle="1" w:styleId="ReportDateChar">
    <w:name w:val="Report Date Char"/>
    <w:basedOn w:val="DefaultParagraphFont"/>
    <w:link w:val="ReportDate"/>
    <w:rsid w:val="000846EF"/>
    <w:rPr>
      <w:rFonts w:ascii="Calibri Light" w:eastAsia="Times New Roman" w:hAnsi="Calibri Light" w:cs="Times New Roman"/>
      <w:color w:val="90B6F0"/>
      <w:sz w:val="32"/>
      <w:szCs w:val="20"/>
      <w:lang w:eastAsia="en-AU"/>
    </w:rPr>
  </w:style>
  <w:style w:type="character" w:customStyle="1" w:styleId="SingleParagraphChar">
    <w:name w:val="Single Paragraph Char"/>
    <w:basedOn w:val="DefaultParagraphFont"/>
    <w:link w:val="SingleParagraph"/>
    <w:rsid w:val="000846EF"/>
    <w:rPr>
      <w:rFonts w:ascii="Calibri Light" w:eastAsia="Times New Roman" w:hAnsi="Calibri Light" w:cs="Times New Roman"/>
      <w:szCs w:val="20"/>
      <w:lang w:eastAsia="en-AU"/>
    </w:rPr>
  </w:style>
  <w:style w:type="paragraph" w:styleId="Subtitle">
    <w:name w:val="Subtitle"/>
    <w:basedOn w:val="Normal"/>
    <w:next w:val="Normal"/>
    <w:link w:val="SubtitleChar"/>
    <w:uiPriority w:val="11"/>
    <w:rsid w:val="000846EF"/>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0846EF"/>
    <w:rPr>
      <w:rFonts w:ascii="Calibri Light" w:eastAsiaTheme="majorEastAsia" w:hAnsi="Calibri Light" w:cstheme="majorBidi"/>
      <w:iCs/>
      <w:color w:val="EEEEEE"/>
      <w:sz w:val="44"/>
      <w:szCs w:val="44"/>
      <w:lang w:eastAsia="en-AU"/>
    </w:rPr>
  </w:style>
  <w:style w:type="paragraph" w:customStyle="1" w:styleId="TableHeadingContinued">
    <w:name w:val="Table Heading Continued"/>
    <w:basedOn w:val="TableMainHeading"/>
    <w:next w:val="TableGraphic"/>
    <w:rsid w:val="000846EF"/>
  </w:style>
  <w:style w:type="paragraph" w:styleId="Title">
    <w:name w:val="Title"/>
    <w:basedOn w:val="Normal"/>
    <w:next w:val="Normal"/>
    <w:link w:val="TitleChar"/>
    <w:uiPriority w:val="10"/>
    <w:rsid w:val="000846EF"/>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0846EF"/>
    <w:rPr>
      <w:rFonts w:ascii="Calibri Light" w:eastAsiaTheme="majorEastAsia" w:hAnsi="Calibri Light" w:cstheme="majorBidi"/>
      <w:b/>
      <w:color w:val="FFFFFF" w:themeColor="background1"/>
      <w:spacing w:val="5"/>
      <w:kern w:val="28"/>
      <w:sz w:val="72"/>
      <w:szCs w:val="52"/>
      <w:lang w:eastAsia="en-AU"/>
    </w:rPr>
  </w:style>
  <w:style w:type="paragraph" w:customStyle="1" w:styleId="BoxSubHeading">
    <w:name w:val="Box Sub Heading"/>
    <w:basedOn w:val="BoxHeading"/>
    <w:qFormat/>
    <w:rsid w:val="00FB6B0E"/>
    <w:rPr>
      <w:b w:val="0"/>
      <w:bCs/>
      <w:i/>
      <w:iCs/>
      <w:sz w:val="24"/>
      <w:szCs w:val="24"/>
    </w:rPr>
  </w:style>
  <w:style w:type="character" w:customStyle="1" w:styleId="FramedHeader">
    <w:name w:val="Framed Header"/>
    <w:basedOn w:val="DefaultParagraphFont"/>
    <w:rsid w:val="000846EF"/>
    <w:rPr>
      <w:rFonts w:ascii="Arial" w:hAnsi="Arial"/>
      <w:dstrike w:val="0"/>
      <w:color w:val="auto"/>
      <w:sz w:val="18"/>
      <w:vertAlign w:val="baseline"/>
    </w:rPr>
  </w:style>
  <w:style w:type="paragraph" w:styleId="Revision">
    <w:name w:val="Revision"/>
    <w:hidden/>
    <w:uiPriority w:val="99"/>
    <w:semiHidden/>
    <w:rsid w:val="00D0736D"/>
    <w:pPr>
      <w:spacing w:after="0" w:line="240" w:lineRule="auto"/>
    </w:pPr>
    <w:rPr>
      <w:rFonts w:ascii="Calibri Light" w:eastAsia="Times New Roman" w:hAnsi="Calibri Light"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81404">
      <w:bodyDiv w:val="1"/>
      <w:marLeft w:val="0"/>
      <w:marRight w:val="0"/>
      <w:marTop w:val="0"/>
      <w:marBottom w:val="0"/>
      <w:divBdr>
        <w:top w:val="none" w:sz="0" w:space="0" w:color="auto"/>
        <w:left w:val="none" w:sz="0" w:space="0" w:color="auto"/>
        <w:bottom w:val="none" w:sz="0" w:space="0" w:color="auto"/>
        <w:right w:val="none" w:sz="0" w:space="0" w:color="auto"/>
      </w:divBdr>
    </w:div>
    <w:div w:id="11694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6F8A7C77145CBAF61E28C2658706A"/>
        <w:category>
          <w:name w:val="General"/>
          <w:gallery w:val="placeholder"/>
        </w:category>
        <w:types>
          <w:type w:val="bbPlcHdr"/>
        </w:types>
        <w:behaviors>
          <w:behavior w:val="content"/>
        </w:behaviors>
        <w:guid w:val="{CD8A2C26-62B7-407A-B34E-E2D6430A32FF}"/>
      </w:docPartPr>
      <w:docPartBody>
        <w:p w:rsidR="00603471" w:rsidRDefault="00603471" w:rsidP="002F52A6">
          <w:pPr>
            <w:pStyle w:val="8656F8A7C77145CBAF61E28C2658706A"/>
          </w:pPr>
          <w:r>
            <w:rPr>
              <w:rFonts w:ascii="Montserrat Light" w:hAnsi="Montserrat Light"/>
              <w:sz w:val="32"/>
              <w:szCs w:val="32"/>
            </w:rPr>
            <w:t>Committee Type</w:t>
          </w:r>
        </w:p>
      </w:docPartBody>
    </w:docPart>
    <w:docPart>
      <w:docPartPr>
        <w:name w:val="749CD8EB45014960823471CA5E14FDC1"/>
        <w:category>
          <w:name w:val="General"/>
          <w:gallery w:val="placeholder"/>
        </w:category>
        <w:types>
          <w:type w:val="bbPlcHdr"/>
        </w:types>
        <w:behaviors>
          <w:behavior w:val="content"/>
        </w:behaviors>
        <w:guid w:val="{44B8F172-7BB5-443A-A37B-93151F441254}"/>
      </w:docPartPr>
      <w:docPartBody>
        <w:p w:rsidR="00603471" w:rsidRDefault="00603471" w:rsidP="002F52A6">
          <w:pPr>
            <w:pStyle w:val="749CD8EB45014960823471CA5E14FDC1"/>
          </w:pPr>
          <w:r>
            <w:rPr>
              <w:rFonts w:ascii="Montserrat Light" w:hAnsi="Montserrat Light"/>
              <w:sz w:val="32"/>
              <w:szCs w:val="32"/>
            </w:rPr>
            <w:t>Report Title</w:t>
          </w:r>
        </w:p>
      </w:docPartBody>
    </w:docPart>
    <w:docPart>
      <w:docPartPr>
        <w:name w:val="129D4BE3E8C043E09940BE6F2577C618"/>
        <w:category>
          <w:name w:val="General"/>
          <w:gallery w:val="placeholder"/>
        </w:category>
        <w:types>
          <w:type w:val="bbPlcHdr"/>
        </w:types>
        <w:behaviors>
          <w:behavior w:val="content"/>
        </w:behaviors>
        <w:guid w:val="{F3235CEC-AFC4-40D4-84E0-200B9E6C5C07}"/>
      </w:docPartPr>
      <w:docPartBody>
        <w:p w:rsidR="00603471" w:rsidRDefault="00603471" w:rsidP="00603471">
          <w:pPr>
            <w:pStyle w:val="129D4BE3E8C043E09940BE6F2577C618"/>
          </w:pPr>
          <w:r>
            <w:rPr>
              <w:rFonts w:ascii="Montserrat Light" w:hAnsi="Montserrat Light"/>
              <w:sz w:val="32"/>
              <w:szCs w:val="32"/>
            </w:rPr>
            <w:t>Committee Name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539" w:rsidRDefault="00FA4539">
      <w:pPr>
        <w:spacing w:after="0" w:line="240" w:lineRule="auto"/>
      </w:pPr>
      <w:r>
        <w:separator/>
      </w:r>
    </w:p>
  </w:endnote>
  <w:endnote w:type="continuationSeparator" w:id="0">
    <w:p w:rsidR="00FA4539" w:rsidRDefault="00FA453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539" w:rsidRDefault="00FA4539">
      <w:pPr>
        <w:spacing w:after="0" w:line="240" w:lineRule="auto"/>
      </w:pPr>
      <w:r>
        <w:separator/>
      </w:r>
    </w:p>
  </w:footnote>
  <w:footnote w:type="continuationSeparator" w:id="0">
    <w:p w:rsidR="00FA4539" w:rsidRDefault="00FA453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1E"/>
    <w:rsid w:val="002A3A8B"/>
    <w:rsid w:val="002F52A6"/>
    <w:rsid w:val="00386CFB"/>
    <w:rsid w:val="005A2E09"/>
    <w:rsid w:val="00603471"/>
    <w:rsid w:val="008B1EF4"/>
    <w:rsid w:val="00991FAE"/>
    <w:rsid w:val="009B3028"/>
    <w:rsid w:val="00AD74A0"/>
    <w:rsid w:val="00B839B8"/>
    <w:rsid w:val="00B84B01"/>
    <w:rsid w:val="00B87975"/>
    <w:rsid w:val="00CF75DF"/>
    <w:rsid w:val="00D17F13"/>
    <w:rsid w:val="00D25285"/>
    <w:rsid w:val="00DE431E"/>
    <w:rsid w:val="00DE74D8"/>
    <w:rsid w:val="00E7416D"/>
    <w:rsid w:val="00F302BB"/>
    <w:rsid w:val="00FA45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B01"/>
    <w:rPr>
      <w:color w:val="808080"/>
    </w:rPr>
  </w:style>
  <w:style w:type="paragraph" w:customStyle="1" w:styleId="8656F8A7C77145CBAF61E28C2658706A">
    <w:name w:val="8656F8A7C77145CBAF61E28C2658706A"/>
    <w:rsid w:val="002F52A6"/>
  </w:style>
  <w:style w:type="paragraph" w:customStyle="1" w:styleId="749CD8EB45014960823471CA5E14FDC1">
    <w:name w:val="749CD8EB45014960823471CA5E14FDC1"/>
    <w:rsid w:val="002F52A6"/>
  </w:style>
  <w:style w:type="paragraph" w:customStyle="1" w:styleId="129D4BE3E8C043E09940BE6F2577C618">
    <w:name w:val="129D4BE3E8C043E09940BE6F2577C618"/>
    <w:rsid w:val="0060347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Australian Government response to the Senate Economics Legislation Committee report: Inquiry into the Treasury Laws Amendment (Support for Small Business and Charities and Other Measures) Bill 2023</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Senate Economics Legislation Committee report: Inquiry into the Treasury Laws Amendment (Support for Small Business and Charities and Other Measures) Bill 2023</dc:title>
  <dc:subject/>
  <dc:creator>Australian Government</dc:creator>
  <cp:keywords/>
  <cp:lastModifiedBy/>
  <cp:revision>1</cp:revision>
  <dcterms:created xsi:type="dcterms:W3CDTF">2026-05-25T05:40:00Z</dcterms:created>
  <dcterms:modified xsi:type="dcterms:W3CDTF">2026-05-25T05:41:00Z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2026-05-25T05:41:15Z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1ee43e7a-45a4-4e1d-a3c3-9f02a7127982</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