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90B6F0"/>
          <w:sz w:val="32"/>
        </w:rPr>
        <w:id w:val="-1442289537"/>
        <w:docPartObj>
          <w:docPartGallery w:val="Cover Pages"/>
          <w:docPartUnique/>
        </w:docPartObj>
      </w:sdtPr>
      <w:sdtEndPr>
        <w:rPr>
          <w:color w:val="90B6F0" w:themeColor="accent5"/>
          <w:szCs w:val="32"/>
        </w:rPr>
      </w:sdtEndPr>
      <w:sdtContent>
        <w:p w14:paraId="01EEE377" w14:textId="77777777" w:rsidR="00A97160" w:rsidRPr="006D0240" w:rsidRDefault="00A97160" w:rsidP="006469CC">
          <w:pPr>
            <w:pStyle w:val="ListParagraph"/>
          </w:pPr>
          <w:r>
            <w:rPr>
              <w:noProof/>
            </w:rPr>
            <w:drawing>
              <wp:anchor distT="0" distB="0" distL="114300" distR="114300" simplePos="0" relativeHeight="251658240" behindDoc="1" locked="0" layoutInCell="1" allowOverlap="1" wp14:anchorId="2EC34883" wp14:editId="1846E168">
                <wp:simplePos x="0" y="0"/>
                <wp:positionH relativeFrom="margin">
                  <wp:posOffset>-905510</wp:posOffset>
                </wp:positionH>
                <wp:positionV relativeFrom="page">
                  <wp:posOffset>-17780</wp:posOffset>
                </wp:positionV>
                <wp:extent cx="7570800" cy="10710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70800" cy="107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8F37E" w14:textId="77777777" w:rsidR="00A97160" w:rsidRPr="006D0240" w:rsidRDefault="00A97160" w:rsidP="00301755">
          <w:pPr>
            <w:pStyle w:val="Header"/>
            <w:spacing w:after="1200"/>
          </w:pPr>
        </w:p>
        <w:p w14:paraId="3AC20982" w14:textId="7D25C199" w:rsidR="00A97160" w:rsidRPr="006923DF" w:rsidRDefault="00456418" w:rsidP="002A7A31">
          <w:pPr>
            <w:pStyle w:val="Title"/>
            <w:tabs>
              <w:tab w:val="left" w:pos="6379"/>
            </w:tabs>
            <w:spacing w:after="120" w:line="720" w:lineRule="exact"/>
            <w:ind w:right="1982"/>
          </w:pPr>
          <w:r>
            <w:t>R</w:t>
          </w:r>
          <w:r w:rsidR="000F2371">
            <w:t>eview of the Australian Office of Financial Management</w:t>
          </w:r>
        </w:p>
        <w:p w14:paraId="40F39DD0" w14:textId="27EBE1F6" w:rsidR="00A97160" w:rsidRPr="006923DF" w:rsidRDefault="00456418" w:rsidP="004C2902">
          <w:pPr>
            <w:pStyle w:val="Subtitle"/>
            <w:spacing w:after="360"/>
          </w:pPr>
          <w:r>
            <w:t xml:space="preserve">Independent </w:t>
          </w:r>
          <w:r w:rsidR="005B30EB">
            <w:t>R</w:t>
          </w:r>
          <w:r>
            <w:t>eview led by Guy Debelle</w:t>
          </w:r>
        </w:p>
        <w:p w14:paraId="6E3A3F68" w14:textId="194A278A" w:rsidR="00A97160" w:rsidRDefault="00457AAE" w:rsidP="00321C5A">
          <w:pPr>
            <w:pStyle w:val="ReportDate"/>
          </w:pPr>
          <w:r>
            <w:rPr>
              <w:rStyle w:val="ReportDateChar"/>
            </w:rPr>
            <w:t>April 2026</w:t>
          </w:r>
          <w:r w:rsidR="00A97160">
            <w:br w:type="page"/>
          </w:r>
        </w:p>
      </w:sdtContent>
    </w:sdt>
    <w:p w14:paraId="2C124B1F" w14:textId="31825F48" w:rsidR="00B775EE" w:rsidRDefault="00B775EE">
      <w:pPr>
        <w:spacing w:before="0" w:after="160" w:line="259" w:lineRule="auto"/>
      </w:pPr>
    </w:p>
    <w:p w14:paraId="54D8BC00" w14:textId="4816F597" w:rsidR="000E0B74" w:rsidRDefault="000E0B74" w:rsidP="005877AC">
      <w:pPr>
        <w:spacing w:before="0" w:after="160" w:line="259" w:lineRule="auto"/>
      </w:pPr>
      <w:r w:rsidRPr="00661BF0">
        <w:t xml:space="preserve">© Commonwealth of Australia </w:t>
      </w:r>
      <w:r w:rsidRPr="008F2645">
        <w:t>20</w:t>
      </w:r>
      <w:r w:rsidR="00D64CEC" w:rsidRPr="008F2645">
        <w:t>2</w:t>
      </w:r>
      <w:r w:rsidR="00321C5A" w:rsidRPr="008F2645">
        <w:t>6</w:t>
      </w:r>
    </w:p>
    <w:p w14:paraId="19B140BE" w14:textId="07EB83E3" w:rsidR="006469CC" w:rsidRDefault="006469CC" w:rsidP="005877AC">
      <w:pPr>
        <w:spacing w:before="0" w:after="160" w:line="259" w:lineRule="auto"/>
        <w:rPr>
          <w:noProof/>
        </w:rPr>
      </w:pPr>
      <w:r>
        <w:t xml:space="preserve">ISBN: </w:t>
      </w:r>
      <w:r w:rsidR="00B66287" w:rsidRPr="00B66287">
        <w:t>978-1-923278-41-7</w:t>
      </w:r>
    </w:p>
    <w:p w14:paraId="400D6C5A" w14:textId="747764BF"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8"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AE40F2">
        <w:t>.</w:t>
      </w:r>
      <w:r w:rsidRPr="002F1BC2">
        <w:t xml:space="preserve"> The full licence terms are available from</w:t>
      </w:r>
      <w:r w:rsidRPr="00476F09">
        <w:rPr>
          <w:rFonts w:cstheme="minorHAnsi"/>
          <w:sz w:val="24"/>
          <w:szCs w:val="24"/>
        </w:rPr>
        <w:t xml:space="preserve"> </w:t>
      </w:r>
      <w:hyperlink r:id="rId9"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5E027C6E" w14:textId="77777777" w:rsidR="000E0B74" w:rsidRDefault="000E0B74" w:rsidP="000E0B74">
      <w:pPr>
        <w:pStyle w:val="ChartGraphic"/>
        <w:jc w:val="left"/>
      </w:pPr>
      <w:r w:rsidRPr="00E56DFB">
        <w:rPr>
          <w:noProof/>
        </w:rPr>
        <w:drawing>
          <wp:inline distT="0" distB="0" distL="0" distR="0" wp14:anchorId="454E0F6E" wp14:editId="5EB2B877">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06C6998"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1" w:history="1">
        <w:r w:rsidRPr="002F1BC2">
          <w:rPr>
            <w:rStyle w:val="Hyperlink"/>
          </w:rPr>
          <w:t>Creative Commons Attribution 3.0 Australia</w:t>
        </w:r>
      </w:hyperlink>
      <w:r w:rsidR="00A155F0">
        <w:t xml:space="preserve"> l</w:t>
      </w:r>
      <w:r w:rsidRPr="006627B4">
        <w:t>icence requires you to attribute the work (but not in any way that suggests that the Treasury endorse</w:t>
      </w:r>
      <w:r>
        <w:t>s you or your use of the work).</w:t>
      </w:r>
    </w:p>
    <w:p w14:paraId="7A1BB9B1" w14:textId="77777777" w:rsidR="000E0B74" w:rsidRPr="006469CC" w:rsidRDefault="000E0B74" w:rsidP="006469CC">
      <w:pPr>
        <w:spacing w:before="240"/>
        <w:rPr>
          <w:b/>
        </w:rPr>
      </w:pPr>
      <w:r w:rsidRPr="006469CC">
        <w:rPr>
          <w:b/>
        </w:rPr>
        <w:t>Treasury material used ‘as supplied’</w:t>
      </w:r>
    </w:p>
    <w:p w14:paraId="14AFB476" w14:textId="77777777"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33AAE1C5" w14:textId="5BC47F6E" w:rsidR="000E0B74" w:rsidRPr="00A13A11" w:rsidRDefault="000E0B74" w:rsidP="000E0B74">
      <w:pPr>
        <w:ind w:firstLine="720"/>
      </w:pPr>
      <w:r w:rsidRPr="002F1BC2">
        <w:rPr>
          <w:i/>
        </w:rPr>
        <w:t xml:space="preserve">Source: The </w:t>
      </w:r>
      <w:r w:rsidRPr="002F1BC2">
        <w:rPr>
          <w:i/>
          <w:iCs/>
        </w:rPr>
        <w:t>Australian Government the Treasury</w:t>
      </w:r>
      <w:r w:rsidR="00AE40F2">
        <w:rPr>
          <w:i/>
          <w:iCs/>
        </w:rPr>
        <w:t>.</w:t>
      </w:r>
    </w:p>
    <w:p w14:paraId="3DA4004F"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7ACA3F3"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151A8589" w14:textId="34B8A1AB" w:rsidR="000E0B74" w:rsidRPr="006627B4" w:rsidRDefault="000E0B74" w:rsidP="000E0B74">
      <w:pPr>
        <w:ind w:firstLine="720"/>
      </w:pPr>
      <w:r w:rsidRPr="002F1BC2">
        <w:rPr>
          <w:i/>
        </w:rPr>
        <w:t>Based on The Australian Government the Treasury data</w:t>
      </w:r>
      <w:r w:rsidR="00AE40F2">
        <w:t>.</w:t>
      </w:r>
    </w:p>
    <w:p w14:paraId="35818D98" w14:textId="77777777" w:rsidR="000E0B74" w:rsidRPr="006627B4" w:rsidRDefault="000E0B74" w:rsidP="000E0B74">
      <w:pPr>
        <w:spacing w:before="240"/>
        <w:rPr>
          <w:b/>
        </w:rPr>
      </w:pPr>
      <w:r w:rsidRPr="006627B4">
        <w:rPr>
          <w:b/>
        </w:rPr>
        <w:t>Use of the Coat of Arms</w:t>
      </w:r>
    </w:p>
    <w:p w14:paraId="4621DC3B" w14:textId="77777777"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2" w:history="1">
        <w:r w:rsidR="00D64CEC">
          <w:rPr>
            <w:rStyle w:val="Hyperlink"/>
          </w:rPr>
          <w:t>https://www.pmc.gov.au/honours-and-symbols/commonwealth-coat-arms</w:t>
        </w:r>
      </w:hyperlink>
      <w:r w:rsidRPr="005C503A">
        <w:t>).</w:t>
      </w:r>
    </w:p>
    <w:p w14:paraId="1C0A9F60" w14:textId="77777777" w:rsidR="000E0B74" w:rsidRPr="006627B4" w:rsidRDefault="000E0B74" w:rsidP="000E0B74">
      <w:pPr>
        <w:spacing w:before="240"/>
        <w:rPr>
          <w:b/>
        </w:rPr>
      </w:pPr>
      <w:r>
        <w:rPr>
          <w:b/>
        </w:rPr>
        <w:t>Other u</w:t>
      </w:r>
      <w:r w:rsidRPr="006627B4">
        <w:rPr>
          <w:b/>
        </w:rPr>
        <w:t>ses</w:t>
      </w:r>
    </w:p>
    <w:p w14:paraId="5E90D47B" w14:textId="77777777" w:rsidR="000E0B74" w:rsidRPr="006627B4" w:rsidRDefault="000E0B74" w:rsidP="000E0B74">
      <w:r>
        <w:t>E</w:t>
      </w:r>
      <w:r w:rsidRPr="006627B4">
        <w:t>nquiries regarding this licence and any other use of this document are welcome at:</w:t>
      </w:r>
    </w:p>
    <w:p w14:paraId="75344BC5" w14:textId="77777777"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proofErr w:type="gramStart"/>
      <w:r w:rsidRPr="006627B4">
        <w:t xml:space="preserve">Parkes </w:t>
      </w:r>
      <w:r>
        <w:t xml:space="preserve"> </w:t>
      </w:r>
      <w:r w:rsidRPr="006627B4">
        <w:t>ACT</w:t>
      </w:r>
      <w:proofErr w:type="gramEnd"/>
      <w:r w:rsidRPr="006627B4">
        <w:t xml:space="preserve"> </w:t>
      </w:r>
      <w:r>
        <w:t xml:space="preserve"> </w:t>
      </w:r>
      <w:r w:rsidRPr="006627B4">
        <w:t>2600</w:t>
      </w:r>
      <w:r>
        <w:br/>
      </w:r>
      <w:r w:rsidRPr="006627B4">
        <w:t xml:space="preserve">Email: </w:t>
      </w:r>
      <w:hyperlink r:id="rId13" w:history="1">
        <w:r w:rsidR="00386297">
          <w:rPr>
            <w:rStyle w:val="Hyperlink"/>
          </w:rPr>
          <w:t>media@treasury.gov.au</w:t>
        </w:r>
      </w:hyperlink>
    </w:p>
    <w:p w14:paraId="724BC3A4" w14:textId="77777777" w:rsidR="00F836F9" w:rsidRDefault="00F836F9" w:rsidP="000E0B74">
      <w:pPr>
        <w:pStyle w:val="Heading1"/>
        <w:sectPr w:rsidR="00F836F9" w:rsidSect="00A97160">
          <w:headerReference w:type="even" r:id="rId14"/>
          <w:headerReference w:type="default" r:id="rId15"/>
          <w:footerReference w:type="even" r:id="rId16"/>
          <w:footerReference w:type="default" r:id="rId17"/>
          <w:headerReference w:type="first" r:id="rId18"/>
          <w:footerReference w:type="first" r:id="rId19"/>
          <w:pgSz w:w="11906" w:h="16838" w:code="9"/>
          <w:pgMar w:top="1843" w:right="1418" w:bottom="1418" w:left="1418" w:header="709" w:footer="709" w:gutter="0"/>
          <w:pgNumType w:fmt="lowerRoman" w:start="0"/>
          <w:cols w:space="708"/>
          <w:titlePg/>
          <w:docGrid w:linePitch="360"/>
        </w:sectPr>
      </w:pPr>
    </w:p>
    <w:p w14:paraId="188C5723" w14:textId="77777777" w:rsidR="002A1182" w:rsidRDefault="000E0B74" w:rsidP="00386297">
      <w:pPr>
        <w:pStyle w:val="Heading1"/>
        <w:rPr>
          <w:noProof/>
        </w:rPr>
      </w:pPr>
      <w:bookmarkStart w:id="0" w:name="_Toc227237287"/>
      <w:bookmarkStart w:id="1" w:name="_Toc111026801"/>
      <w:bookmarkStart w:id="2" w:name="_Toc227313939"/>
      <w:r w:rsidRPr="001F1B27">
        <w:lastRenderedPageBreak/>
        <w:t>C</w:t>
      </w:r>
      <w:bookmarkEnd w:id="0"/>
      <w:r w:rsidRPr="001F1B27">
        <w:t>ontents</w:t>
      </w:r>
      <w:bookmarkEnd w:id="1"/>
      <w:bookmarkEnd w:id="2"/>
      <w:r w:rsidR="00406602">
        <w:t xml:space="preserve"> </w:t>
      </w:r>
      <w:r>
        <w:rPr>
          <w:noProof/>
          <w:color w:val="004A7F"/>
          <w:szCs w:val="22"/>
        </w:rPr>
        <w:fldChar w:fldCharType="begin"/>
      </w:r>
      <w:r w:rsidRPr="0025652F">
        <w:instrText xml:space="preserve"> TOC \o "1-3" \h \z \u </w:instrText>
      </w:r>
      <w:r>
        <w:rPr>
          <w:noProof/>
          <w:color w:val="004A7F"/>
          <w:szCs w:val="22"/>
        </w:rPr>
        <w:fldChar w:fldCharType="separate"/>
      </w:r>
    </w:p>
    <w:p w14:paraId="5AF79189" w14:textId="34B5FD07"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39" w:history="1">
        <w:r w:rsidRPr="00E6362A">
          <w:rPr>
            <w:rStyle w:val="Hyperlink"/>
          </w:rPr>
          <w:t>Contents</w:t>
        </w:r>
        <w:r>
          <w:rPr>
            <w:webHidden/>
          </w:rPr>
          <w:tab/>
        </w:r>
        <w:r>
          <w:rPr>
            <w:webHidden/>
          </w:rPr>
          <w:fldChar w:fldCharType="begin"/>
        </w:r>
        <w:r>
          <w:rPr>
            <w:webHidden/>
          </w:rPr>
          <w:instrText xml:space="preserve"> PAGEREF _Toc227313939 \h </w:instrText>
        </w:r>
        <w:r>
          <w:rPr>
            <w:webHidden/>
          </w:rPr>
        </w:r>
        <w:r>
          <w:rPr>
            <w:webHidden/>
          </w:rPr>
          <w:fldChar w:fldCharType="separate"/>
        </w:r>
        <w:r>
          <w:rPr>
            <w:webHidden/>
          </w:rPr>
          <w:t>iii</w:t>
        </w:r>
        <w:r>
          <w:rPr>
            <w:webHidden/>
          </w:rPr>
          <w:fldChar w:fldCharType="end"/>
        </w:r>
      </w:hyperlink>
    </w:p>
    <w:p w14:paraId="66971AF8" w14:textId="48D995A0"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40" w:history="1">
        <w:r w:rsidRPr="00E6362A">
          <w:rPr>
            <w:rStyle w:val="Hyperlink"/>
          </w:rPr>
          <w:t>Executive Summary</w:t>
        </w:r>
        <w:r>
          <w:rPr>
            <w:webHidden/>
          </w:rPr>
          <w:tab/>
        </w:r>
        <w:r>
          <w:rPr>
            <w:webHidden/>
          </w:rPr>
          <w:fldChar w:fldCharType="begin"/>
        </w:r>
        <w:r>
          <w:rPr>
            <w:webHidden/>
          </w:rPr>
          <w:instrText xml:space="preserve"> PAGEREF _Toc227313940 \h </w:instrText>
        </w:r>
        <w:r>
          <w:rPr>
            <w:webHidden/>
          </w:rPr>
        </w:r>
        <w:r>
          <w:rPr>
            <w:webHidden/>
          </w:rPr>
          <w:fldChar w:fldCharType="separate"/>
        </w:r>
        <w:r>
          <w:rPr>
            <w:webHidden/>
          </w:rPr>
          <w:t>4</w:t>
        </w:r>
        <w:r>
          <w:rPr>
            <w:webHidden/>
          </w:rPr>
          <w:fldChar w:fldCharType="end"/>
        </w:r>
      </w:hyperlink>
    </w:p>
    <w:p w14:paraId="4DF29301" w14:textId="54ED60B7"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41" w:history="1">
        <w:r w:rsidRPr="00E6362A">
          <w:rPr>
            <w:rStyle w:val="Hyperlink"/>
          </w:rPr>
          <w:t>Review Recommendations</w:t>
        </w:r>
        <w:r>
          <w:rPr>
            <w:webHidden/>
          </w:rPr>
          <w:tab/>
        </w:r>
        <w:r>
          <w:rPr>
            <w:webHidden/>
          </w:rPr>
          <w:fldChar w:fldCharType="begin"/>
        </w:r>
        <w:r>
          <w:rPr>
            <w:webHidden/>
          </w:rPr>
          <w:instrText xml:space="preserve"> PAGEREF _Toc227313941 \h </w:instrText>
        </w:r>
        <w:r>
          <w:rPr>
            <w:webHidden/>
          </w:rPr>
        </w:r>
        <w:r>
          <w:rPr>
            <w:webHidden/>
          </w:rPr>
          <w:fldChar w:fldCharType="separate"/>
        </w:r>
        <w:r>
          <w:rPr>
            <w:webHidden/>
          </w:rPr>
          <w:t>6</w:t>
        </w:r>
        <w:r>
          <w:rPr>
            <w:webHidden/>
          </w:rPr>
          <w:fldChar w:fldCharType="end"/>
        </w:r>
      </w:hyperlink>
    </w:p>
    <w:p w14:paraId="6DFE7151" w14:textId="649428A0"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42" w:history="1">
        <w:r w:rsidRPr="00E6362A">
          <w:rPr>
            <w:rStyle w:val="Hyperlink"/>
          </w:rPr>
          <w:t>Introduction</w:t>
        </w:r>
        <w:r>
          <w:rPr>
            <w:webHidden/>
          </w:rPr>
          <w:tab/>
        </w:r>
        <w:r>
          <w:rPr>
            <w:webHidden/>
          </w:rPr>
          <w:fldChar w:fldCharType="begin"/>
        </w:r>
        <w:r>
          <w:rPr>
            <w:webHidden/>
          </w:rPr>
          <w:instrText xml:space="preserve"> PAGEREF _Toc227313942 \h </w:instrText>
        </w:r>
        <w:r>
          <w:rPr>
            <w:webHidden/>
          </w:rPr>
        </w:r>
        <w:r>
          <w:rPr>
            <w:webHidden/>
          </w:rPr>
          <w:fldChar w:fldCharType="separate"/>
        </w:r>
        <w:r>
          <w:rPr>
            <w:webHidden/>
          </w:rPr>
          <w:t>7</w:t>
        </w:r>
        <w:r>
          <w:rPr>
            <w:webHidden/>
          </w:rPr>
          <w:fldChar w:fldCharType="end"/>
        </w:r>
      </w:hyperlink>
    </w:p>
    <w:p w14:paraId="554E161A" w14:textId="54D05FD1"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43" w:history="1">
        <w:r w:rsidRPr="00E6362A">
          <w:rPr>
            <w:rStyle w:val="Hyperlink"/>
          </w:rPr>
          <w:t>Debt Management Strategy</w:t>
        </w:r>
        <w:r>
          <w:rPr>
            <w:webHidden/>
          </w:rPr>
          <w:tab/>
        </w:r>
        <w:r>
          <w:rPr>
            <w:webHidden/>
          </w:rPr>
          <w:fldChar w:fldCharType="begin"/>
        </w:r>
        <w:r>
          <w:rPr>
            <w:webHidden/>
          </w:rPr>
          <w:instrText xml:space="preserve"> PAGEREF _Toc227313943 \h </w:instrText>
        </w:r>
        <w:r>
          <w:rPr>
            <w:webHidden/>
          </w:rPr>
        </w:r>
        <w:r>
          <w:rPr>
            <w:webHidden/>
          </w:rPr>
          <w:fldChar w:fldCharType="separate"/>
        </w:r>
        <w:r>
          <w:rPr>
            <w:webHidden/>
          </w:rPr>
          <w:t>9</w:t>
        </w:r>
        <w:r>
          <w:rPr>
            <w:webHidden/>
          </w:rPr>
          <w:fldChar w:fldCharType="end"/>
        </w:r>
      </w:hyperlink>
    </w:p>
    <w:p w14:paraId="2FB2D005" w14:textId="7A0239DD"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44" w:history="1">
        <w:r w:rsidRPr="00E6362A">
          <w:rPr>
            <w:rStyle w:val="Hyperlink"/>
          </w:rPr>
          <w:t>Formulation and Execution of the Debt Management Strategy</w:t>
        </w:r>
        <w:r>
          <w:rPr>
            <w:webHidden/>
          </w:rPr>
          <w:tab/>
        </w:r>
        <w:r>
          <w:rPr>
            <w:webHidden/>
          </w:rPr>
          <w:fldChar w:fldCharType="begin"/>
        </w:r>
        <w:r>
          <w:rPr>
            <w:webHidden/>
          </w:rPr>
          <w:instrText xml:space="preserve"> PAGEREF _Toc227313944 \h </w:instrText>
        </w:r>
        <w:r>
          <w:rPr>
            <w:webHidden/>
          </w:rPr>
        </w:r>
        <w:r>
          <w:rPr>
            <w:webHidden/>
          </w:rPr>
          <w:fldChar w:fldCharType="separate"/>
        </w:r>
        <w:r>
          <w:rPr>
            <w:webHidden/>
          </w:rPr>
          <w:t>10</w:t>
        </w:r>
        <w:r>
          <w:rPr>
            <w:webHidden/>
          </w:rPr>
          <w:fldChar w:fldCharType="end"/>
        </w:r>
      </w:hyperlink>
    </w:p>
    <w:p w14:paraId="79E30ADB" w14:textId="7B6FBB2E"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45" w:history="1">
        <w:r w:rsidRPr="00E6362A">
          <w:rPr>
            <w:rStyle w:val="Hyperlink"/>
          </w:rPr>
          <w:t>Description of the Strategy</w:t>
        </w:r>
        <w:r>
          <w:rPr>
            <w:webHidden/>
          </w:rPr>
          <w:tab/>
        </w:r>
        <w:r>
          <w:rPr>
            <w:webHidden/>
          </w:rPr>
          <w:fldChar w:fldCharType="begin"/>
        </w:r>
        <w:r>
          <w:rPr>
            <w:webHidden/>
          </w:rPr>
          <w:instrText xml:space="preserve"> PAGEREF _Toc227313945 \h </w:instrText>
        </w:r>
        <w:r>
          <w:rPr>
            <w:webHidden/>
          </w:rPr>
        </w:r>
        <w:r>
          <w:rPr>
            <w:webHidden/>
          </w:rPr>
          <w:fldChar w:fldCharType="separate"/>
        </w:r>
        <w:r>
          <w:rPr>
            <w:webHidden/>
          </w:rPr>
          <w:t>12</w:t>
        </w:r>
        <w:r>
          <w:rPr>
            <w:webHidden/>
          </w:rPr>
          <w:fldChar w:fldCharType="end"/>
        </w:r>
      </w:hyperlink>
    </w:p>
    <w:p w14:paraId="162478DC" w14:textId="2A936E91"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46" w:history="1">
        <w:r w:rsidRPr="00E6362A">
          <w:rPr>
            <w:rStyle w:val="Hyperlink"/>
          </w:rPr>
          <w:t>Assessment of Strategy and Execution</w:t>
        </w:r>
        <w:r>
          <w:rPr>
            <w:webHidden/>
          </w:rPr>
          <w:tab/>
        </w:r>
        <w:r>
          <w:rPr>
            <w:webHidden/>
          </w:rPr>
          <w:fldChar w:fldCharType="begin"/>
        </w:r>
        <w:r>
          <w:rPr>
            <w:webHidden/>
          </w:rPr>
          <w:instrText xml:space="preserve"> PAGEREF _Toc227313946 \h </w:instrText>
        </w:r>
        <w:r>
          <w:rPr>
            <w:webHidden/>
          </w:rPr>
        </w:r>
        <w:r>
          <w:rPr>
            <w:webHidden/>
          </w:rPr>
          <w:fldChar w:fldCharType="separate"/>
        </w:r>
        <w:r>
          <w:rPr>
            <w:webHidden/>
          </w:rPr>
          <w:t>17</w:t>
        </w:r>
        <w:r>
          <w:rPr>
            <w:webHidden/>
          </w:rPr>
          <w:fldChar w:fldCharType="end"/>
        </w:r>
      </w:hyperlink>
    </w:p>
    <w:p w14:paraId="103D48CC" w14:textId="3B6A3718"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47" w:history="1">
        <w:r w:rsidRPr="00E6362A">
          <w:rPr>
            <w:rStyle w:val="Hyperlink"/>
          </w:rPr>
          <w:t>Process Improvement Recommendations</w:t>
        </w:r>
        <w:r>
          <w:rPr>
            <w:webHidden/>
          </w:rPr>
          <w:tab/>
        </w:r>
        <w:r>
          <w:rPr>
            <w:webHidden/>
          </w:rPr>
          <w:fldChar w:fldCharType="begin"/>
        </w:r>
        <w:r>
          <w:rPr>
            <w:webHidden/>
          </w:rPr>
          <w:instrText xml:space="preserve"> PAGEREF _Toc227313947 \h </w:instrText>
        </w:r>
        <w:r>
          <w:rPr>
            <w:webHidden/>
          </w:rPr>
        </w:r>
        <w:r>
          <w:rPr>
            <w:webHidden/>
          </w:rPr>
          <w:fldChar w:fldCharType="separate"/>
        </w:r>
        <w:r>
          <w:rPr>
            <w:webHidden/>
          </w:rPr>
          <w:t>18</w:t>
        </w:r>
        <w:r>
          <w:rPr>
            <w:webHidden/>
          </w:rPr>
          <w:fldChar w:fldCharType="end"/>
        </w:r>
      </w:hyperlink>
    </w:p>
    <w:p w14:paraId="1A1E686B" w14:textId="5BF137FA"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48" w:history="1">
        <w:r w:rsidRPr="00E6362A">
          <w:rPr>
            <w:rStyle w:val="Hyperlink"/>
          </w:rPr>
          <w:t>Role of the Advisory Board</w:t>
        </w:r>
        <w:r>
          <w:rPr>
            <w:webHidden/>
          </w:rPr>
          <w:tab/>
        </w:r>
        <w:r>
          <w:rPr>
            <w:webHidden/>
          </w:rPr>
          <w:fldChar w:fldCharType="begin"/>
        </w:r>
        <w:r>
          <w:rPr>
            <w:webHidden/>
          </w:rPr>
          <w:instrText xml:space="preserve"> PAGEREF _Toc227313948 \h </w:instrText>
        </w:r>
        <w:r>
          <w:rPr>
            <w:webHidden/>
          </w:rPr>
        </w:r>
        <w:r>
          <w:rPr>
            <w:webHidden/>
          </w:rPr>
          <w:fldChar w:fldCharType="separate"/>
        </w:r>
        <w:r>
          <w:rPr>
            <w:webHidden/>
          </w:rPr>
          <w:t>20</w:t>
        </w:r>
        <w:r>
          <w:rPr>
            <w:webHidden/>
          </w:rPr>
          <w:fldChar w:fldCharType="end"/>
        </w:r>
      </w:hyperlink>
    </w:p>
    <w:p w14:paraId="1B988E17" w14:textId="4C5FAB84"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49" w:history="1">
        <w:r w:rsidRPr="00E6362A">
          <w:rPr>
            <w:rStyle w:val="Hyperlink"/>
          </w:rPr>
          <w:t>Capability Assessment of the AOFM</w:t>
        </w:r>
        <w:r>
          <w:rPr>
            <w:webHidden/>
          </w:rPr>
          <w:tab/>
        </w:r>
        <w:r>
          <w:rPr>
            <w:webHidden/>
          </w:rPr>
          <w:fldChar w:fldCharType="begin"/>
        </w:r>
        <w:r>
          <w:rPr>
            <w:webHidden/>
          </w:rPr>
          <w:instrText xml:space="preserve"> PAGEREF _Toc227313949 \h </w:instrText>
        </w:r>
        <w:r>
          <w:rPr>
            <w:webHidden/>
          </w:rPr>
        </w:r>
        <w:r>
          <w:rPr>
            <w:webHidden/>
          </w:rPr>
          <w:fldChar w:fldCharType="separate"/>
        </w:r>
        <w:r>
          <w:rPr>
            <w:webHidden/>
          </w:rPr>
          <w:t>21</w:t>
        </w:r>
        <w:r>
          <w:rPr>
            <w:webHidden/>
          </w:rPr>
          <w:fldChar w:fldCharType="end"/>
        </w:r>
      </w:hyperlink>
    </w:p>
    <w:p w14:paraId="468FCB31" w14:textId="2F4C0FE8"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50" w:history="1">
        <w:r w:rsidRPr="00E6362A">
          <w:rPr>
            <w:rStyle w:val="Hyperlink"/>
          </w:rPr>
          <w:t>Debt Program</w:t>
        </w:r>
        <w:r>
          <w:rPr>
            <w:webHidden/>
          </w:rPr>
          <w:tab/>
        </w:r>
        <w:r>
          <w:rPr>
            <w:webHidden/>
          </w:rPr>
          <w:fldChar w:fldCharType="begin"/>
        </w:r>
        <w:r>
          <w:rPr>
            <w:webHidden/>
          </w:rPr>
          <w:instrText xml:space="preserve"> PAGEREF _Toc227313950 \h </w:instrText>
        </w:r>
        <w:r>
          <w:rPr>
            <w:webHidden/>
          </w:rPr>
        </w:r>
        <w:r>
          <w:rPr>
            <w:webHidden/>
          </w:rPr>
          <w:fldChar w:fldCharType="separate"/>
        </w:r>
        <w:r>
          <w:rPr>
            <w:webHidden/>
          </w:rPr>
          <w:t>21</w:t>
        </w:r>
        <w:r>
          <w:rPr>
            <w:webHidden/>
          </w:rPr>
          <w:fldChar w:fldCharType="end"/>
        </w:r>
      </w:hyperlink>
    </w:p>
    <w:p w14:paraId="1572F18B" w14:textId="33C42723"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51" w:history="1">
        <w:r w:rsidRPr="00E6362A">
          <w:rPr>
            <w:rStyle w:val="Hyperlink"/>
          </w:rPr>
          <w:t>Investor Relations</w:t>
        </w:r>
        <w:r>
          <w:rPr>
            <w:webHidden/>
          </w:rPr>
          <w:tab/>
        </w:r>
        <w:r>
          <w:rPr>
            <w:webHidden/>
          </w:rPr>
          <w:fldChar w:fldCharType="begin"/>
        </w:r>
        <w:r>
          <w:rPr>
            <w:webHidden/>
          </w:rPr>
          <w:instrText xml:space="preserve"> PAGEREF _Toc227313951 \h </w:instrText>
        </w:r>
        <w:r>
          <w:rPr>
            <w:webHidden/>
          </w:rPr>
        </w:r>
        <w:r>
          <w:rPr>
            <w:webHidden/>
          </w:rPr>
          <w:fldChar w:fldCharType="separate"/>
        </w:r>
        <w:r>
          <w:rPr>
            <w:webHidden/>
          </w:rPr>
          <w:t>22</w:t>
        </w:r>
        <w:r>
          <w:rPr>
            <w:webHidden/>
          </w:rPr>
          <w:fldChar w:fldCharType="end"/>
        </w:r>
      </w:hyperlink>
    </w:p>
    <w:p w14:paraId="75A913B2" w14:textId="49EC464C"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52" w:history="1">
        <w:r w:rsidRPr="00E6362A">
          <w:rPr>
            <w:rStyle w:val="Hyperlink"/>
          </w:rPr>
          <w:t>Securitisation Program</w:t>
        </w:r>
        <w:r>
          <w:rPr>
            <w:webHidden/>
          </w:rPr>
          <w:tab/>
        </w:r>
        <w:r>
          <w:rPr>
            <w:webHidden/>
          </w:rPr>
          <w:fldChar w:fldCharType="begin"/>
        </w:r>
        <w:r>
          <w:rPr>
            <w:webHidden/>
          </w:rPr>
          <w:instrText xml:space="preserve"> PAGEREF _Toc227313952 \h </w:instrText>
        </w:r>
        <w:r>
          <w:rPr>
            <w:webHidden/>
          </w:rPr>
        </w:r>
        <w:r>
          <w:rPr>
            <w:webHidden/>
          </w:rPr>
          <w:fldChar w:fldCharType="separate"/>
        </w:r>
        <w:r>
          <w:rPr>
            <w:webHidden/>
          </w:rPr>
          <w:t>23</w:t>
        </w:r>
        <w:r>
          <w:rPr>
            <w:webHidden/>
          </w:rPr>
          <w:fldChar w:fldCharType="end"/>
        </w:r>
      </w:hyperlink>
    </w:p>
    <w:p w14:paraId="72658853" w14:textId="0EB2F41E"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53" w:history="1">
        <w:r w:rsidRPr="00E6362A">
          <w:rPr>
            <w:rStyle w:val="Hyperlink"/>
          </w:rPr>
          <w:t>Overall Structure and Operational Functions</w:t>
        </w:r>
        <w:r>
          <w:rPr>
            <w:webHidden/>
          </w:rPr>
          <w:tab/>
        </w:r>
        <w:r>
          <w:rPr>
            <w:webHidden/>
          </w:rPr>
          <w:fldChar w:fldCharType="begin"/>
        </w:r>
        <w:r>
          <w:rPr>
            <w:webHidden/>
          </w:rPr>
          <w:instrText xml:space="preserve"> PAGEREF _Toc227313953 \h </w:instrText>
        </w:r>
        <w:r>
          <w:rPr>
            <w:webHidden/>
          </w:rPr>
        </w:r>
        <w:r>
          <w:rPr>
            <w:webHidden/>
          </w:rPr>
          <w:fldChar w:fldCharType="separate"/>
        </w:r>
        <w:r>
          <w:rPr>
            <w:webHidden/>
          </w:rPr>
          <w:t>24</w:t>
        </w:r>
        <w:r>
          <w:rPr>
            <w:webHidden/>
          </w:rPr>
          <w:fldChar w:fldCharType="end"/>
        </w:r>
      </w:hyperlink>
    </w:p>
    <w:p w14:paraId="3C2BD150" w14:textId="701F9FF9"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54" w:history="1">
        <w:r w:rsidRPr="00E6362A">
          <w:rPr>
            <w:rStyle w:val="Hyperlink"/>
          </w:rPr>
          <w:t>Liquidity Management Strategy</w:t>
        </w:r>
        <w:r>
          <w:rPr>
            <w:webHidden/>
          </w:rPr>
          <w:tab/>
        </w:r>
        <w:r>
          <w:rPr>
            <w:webHidden/>
          </w:rPr>
          <w:fldChar w:fldCharType="begin"/>
        </w:r>
        <w:r>
          <w:rPr>
            <w:webHidden/>
          </w:rPr>
          <w:instrText xml:space="preserve"> PAGEREF _Toc227313954 \h </w:instrText>
        </w:r>
        <w:r>
          <w:rPr>
            <w:webHidden/>
          </w:rPr>
        </w:r>
        <w:r>
          <w:rPr>
            <w:webHidden/>
          </w:rPr>
          <w:fldChar w:fldCharType="separate"/>
        </w:r>
        <w:r>
          <w:rPr>
            <w:webHidden/>
          </w:rPr>
          <w:t>25</w:t>
        </w:r>
        <w:r>
          <w:rPr>
            <w:webHidden/>
          </w:rPr>
          <w:fldChar w:fldCharType="end"/>
        </w:r>
      </w:hyperlink>
    </w:p>
    <w:p w14:paraId="7809B8F5" w14:textId="18405964"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55" w:history="1">
        <w:r w:rsidRPr="00E6362A">
          <w:rPr>
            <w:rStyle w:val="Hyperlink"/>
          </w:rPr>
          <w:t>Risk Management</w:t>
        </w:r>
        <w:r>
          <w:rPr>
            <w:webHidden/>
          </w:rPr>
          <w:tab/>
        </w:r>
        <w:r>
          <w:rPr>
            <w:webHidden/>
          </w:rPr>
          <w:fldChar w:fldCharType="begin"/>
        </w:r>
        <w:r>
          <w:rPr>
            <w:webHidden/>
          </w:rPr>
          <w:instrText xml:space="preserve"> PAGEREF _Toc227313955 \h </w:instrText>
        </w:r>
        <w:r>
          <w:rPr>
            <w:webHidden/>
          </w:rPr>
        </w:r>
        <w:r>
          <w:rPr>
            <w:webHidden/>
          </w:rPr>
          <w:fldChar w:fldCharType="separate"/>
        </w:r>
        <w:r>
          <w:rPr>
            <w:webHidden/>
          </w:rPr>
          <w:t>28</w:t>
        </w:r>
        <w:r>
          <w:rPr>
            <w:webHidden/>
          </w:rPr>
          <w:fldChar w:fldCharType="end"/>
        </w:r>
      </w:hyperlink>
    </w:p>
    <w:p w14:paraId="28099979" w14:textId="4F5D0B97"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56" w:history="1">
        <w:r w:rsidRPr="00E6362A">
          <w:rPr>
            <w:rStyle w:val="Hyperlink"/>
          </w:rPr>
          <w:t>Governance</w:t>
        </w:r>
        <w:r>
          <w:rPr>
            <w:webHidden/>
          </w:rPr>
          <w:tab/>
        </w:r>
        <w:r>
          <w:rPr>
            <w:webHidden/>
          </w:rPr>
          <w:fldChar w:fldCharType="begin"/>
        </w:r>
        <w:r>
          <w:rPr>
            <w:webHidden/>
          </w:rPr>
          <w:instrText xml:space="preserve"> PAGEREF _Toc227313956 \h </w:instrText>
        </w:r>
        <w:r>
          <w:rPr>
            <w:webHidden/>
          </w:rPr>
        </w:r>
        <w:r>
          <w:rPr>
            <w:webHidden/>
          </w:rPr>
          <w:fldChar w:fldCharType="separate"/>
        </w:r>
        <w:r>
          <w:rPr>
            <w:webHidden/>
          </w:rPr>
          <w:t>29</w:t>
        </w:r>
        <w:r>
          <w:rPr>
            <w:webHidden/>
          </w:rPr>
          <w:fldChar w:fldCharType="end"/>
        </w:r>
      </w:hyperlink>
    </w:p>
    <w:p w14:paraId="13518436" w14:textId="291F2C50"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57" w:history="1">
        <w:r w:rsidRPr="00E6362A">
          <w:rPr>
            <w:rStyle w:val="Hyperlink"/>
          </w:rPr>
          <w:t>Conclusion</w:t>
        </w:r>
        <w:r>
          <w:rPr>
            <w:webHidden/>
          </w:rPr>
          <w:tab/>
        </w:r>
        <w:r>
          <w:rPr>
            <w:webHidden/>
          </w:rPr>
          <w:fldChar w:fldCharType="begin"/>
        </w:r>
        <w:r>
          <w:rPr>
            <w:webHidden/>
          </w:rPr>
          <w:instrText xml:space="preserve"> PAGEREF _Toc227313957 \h </w:instrText>
        </w:r>
        <w:r>
          <w:rPr>
            <w:webHidden/>
          </w:rPr>
        </w:r>
        <w:r>
          <w:rPr>
            <w:webHidden/>
          </w:rPr>
          <w:fldChar w:fldCharType="separate"/>
        </w:r>
        <w:r>
          <w:rPr>
            <w:webHidden/>
          </w:rPr>
          <w:t>31</w:t>
        </w:r>
        <w:r>
          <w:rPr>
            <w:webHidden/>
          </w:rPr>
          <w:fldChar w:fldCharType="end"/>
        </w:r>
      </w:hyperlink>
    </w:p>
    <w:p w14:paraId="3949C982" w14:textId="58364D8C" w:rsidR="002A1182" w:rsidRDefault="002A1182">
      <w:pPr>
        <w:pStyle w:val="TOC1"/>
        <w:rPr>
          <w:rFonts w:asciiTheme="minorHAnsi" w:eastAsiaTheme="minorEastAsia" w:hAnsiTheme="minorHAnsi" w:cstheme="minorBidi"/>
          <w:b w:val="0"/>
          <w:color w:val="auto"/>
          <w:kern w:val="2"/>
          <w:sz w:val="24"/>
          <w:szCs w:val="24"/>
          <w14:ligatures w14:val="standardContextual"/>
        </w:rPr>
      </w:pPr>
      <w:hyperlink w:anchor="_Toc227313958" w:history="1">
        <w:r w:rsidRPr="00E6362A">
          <w:rPr>
            <w:rStyle w:val="Hyperlink"/>
          </w:rPr>
          <w:t>Appendix</w:t>
        </w:r>
        <w:r>
          <w:rPr>
            <w:webHidden/>
          </w:rPr>
          <w:tab/>
        </w:r>
        <w:r>
          <w:rPr>
            <w:webHidden/>
          </w:rPr>
          <w:fldChar w:fldCharType="begin"/>
        </w:r>
        <w:r>
          <w:rPr>
            <w:webHidden/>
          </w:rPr>
          <w:instrText xml:space="preserve"> PAGEREF _Toc227313958 \h </w:instrText>
        </w:r>
        <w:r>
          <w:rPr>
            <w:webHidden/>
          </w:rPr>
        </w:r>
        <w:r>
          <w:rPr>
            <w:webHidden/>
          </w:rPr>
          <w:fldChar w:fldCharType="separate"/>
        </w:r>
        <w:r>
          <w:rPr>
            <w:webHidden/>
          </w:rPr>
          <w:t>32</w:t>
        </w:r>
        <w:r>
          <w:rPr>
            <w:webHidden/>
          </w:rPr>
          <w:fldChar w:fldCharType="end"/>
        </w:r>
      </w:hyperlink>
    </w:p>
    <w:p w14:paraId="5EC45B6A" w14:textId="6B7C87F2"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59" w:history="1">
        <w:r w:rsidRPr="00E6362A">
          <w:rPr>
            <w:rStyle w:val="Hyperlink"/>
          </w:rPr>
          <w:t>Appendix 1: AOFM Organisation Chart</w:t>
        </w:r>
        <w:r>
          <w:rPr>
            <w:webHidden/>
          </w:rPr>
          <w:tab/>
        </w:r>
        <w:r>
          <w:rPr>
            <w:webHidden/>
          </w:rPr>
          <w:fldChar w:fldCharType="begin"/>
        </w:r>
        <w:r>
          <w:rPr>
            <w:webHidden/>
          </w:rPr>
          <w:instrText xml:space="preserve"> PAGEREF _Toc227313959 \h </w:instrText>
        </w:r>
        <w:r>
          <w:rPr>
            <w:webHidden/>
          </w:rPr>
        </w:r>
        <w:r>
          <w:rPr>
            <w:webHidden/>
          </w:rPr>
          <w:fldChar w:fldCharType="separate"/>
        </w:r>
        <w:r>
          <w:rPr>
            <w:webHidden/>
          </w:rPr>
          <w:t>32</w:t>
        </w:r>
        <w:r>
          <w:rPr>
            <w:webHidden/>
          </w:rPr>
          <w:fldChar w:fldCharType="end"/>
        </w:r>
      </w:hyperlink>
    </w:p>
    <w:p w14:paraId="2DF3CD85" w14:textId="2DA010D1" w:rsidR="002A1182" w:rsidRDefault="002A1182">
      <w:pPr>
        <w:pStyle w:val="TOC2"/>
        <w:rPr>
          <w:rFonts w:asciiTheme="minorHAnsi" w:eastAsiaTheme="minorEastAsia" w:hAnsiTheme="minorHAnsi" w:cstheme="minorBidi"/>
          <w:color w:val="auto"/>
          <w:kern w:val="2"/>
          <w:sz w:val="24"/>
          <w:szCs w:val="24"/>
          <w14:ligatures w14:val="standardContextual"/>
        </w:rPr>
      </w:pPr>
      <w:hyperlink w:anchor="_Toc227313960" w:history="1">
        <w:r w:rsidRPr="00E6362A">
          <w:rPr>
            <w:rStyle w:val="Hyperlink"/>
          </w:rPr>
          <w:t>Appendix 2: Comparative analysis of Debt Office Structures</w:t>
        </w:r>
        <w:r>
          <w:rPr>
            <w:webHidden/>
          </w:rPr>
          <w:tab/>
        </w:r>
        <w:r>
          <w:rPr>
            <w:webHidden/>
          </w:rPr>
          <w:fldChar w:fldCharType="begin"/>
        </w:r>
        <w:r>
          <w:rPr>
            <w:webHidden/>
          </w:rPr>
          <w:instrText xml:space="preserve"> PAGEREF _Toc227313960 \h </w:instrText>
        </w:r>
        <w:r>
          <w:rPr>
            <w:webHidden/>
          </w:rPr>
        </w:r>
        <w:r>
          <w:rPr>
            <w:webHidden/>
          </w:rPr>
          <w:fldChar w:fldCharType="separate"/>
        </w:r>
        <w:r>
          <w:rPr>
            <w:webHidden/>
          </w:rPr>
          <w:t>33</w:t>
        </w:r>
        <w:r>
          <w:rPr>
            <w:webHidden/>
          </w:rPr>
          <w:fldChar w:fldCharType="end"/>
        </w:r>
      </w:hyperlink>
    </w:p>
    <w:p w14:paraId="5A363010" w14:textId="7463EED2" w:rsidR="00F836F9" w:rsidRDefault="000E0B74" w:rsidP="0056582C">
      <w:pPr>
        <w:pStyle w:val="SingleParagraph"/>
        <w:ind w:right="-2"/>
      </w:pPr>
      <w:r>
        <w:fldChar w:fldCharType="end"/>
      </w:r>
      <w:bookmarkStart w:id="3" w:name="_Toc432067103"/>
      <w:bookmarkStart w:id="4" w:name="_Toc452635030"/>
    </w:p>
    <w:p w14:paraId="122455C9" w14:textId="77777777" w:rsidR="00B775EE" w:rsidRPr="00B775EE" w:rsidRDefault="00B775EE" w:rsidP="0056582C">
      <w:pPr>
        <w:pStyle w:val="SingleParagraph"/>
        <w:ind w:right="-2"/>
        <w:rPr>
          <w:b/>
          <w:bCs/>
        </w:rPr>
        <w:sectPr w:rsidR="00B775EE" w:rsidRPr="00B775EE" w:rsidSect="00164599">
          <w:headerReference w:type="even" r:id="rId20"/>
          <w:headerReference w:type="default" r:id="rId21"/>
          <w:footerReference w:type="even" r:id="rId22"/>
          <w:footerReference w:type="default" r:id="rId23"/>
          <w:headerReference w:type="first" r:id="rId24"/>
          <w:footerReference w:type="first" r:id="rId25"/>
          <w:pgSz w:w="11906" w:h="16838" w:code="9"/>
          <w:pgMar w:top="1843" w:right="1418" w:bottom="1418" w:left="1418" w:header="709" w:footer="709" w:gutter="0"/>
          <w:pgNumType w:fmt="lowerRoman" w:start="3"/>
          <w:cols w:space="708"/>
          <w:titlePg/>
          <w:docGrid w:linePitch="360"/>
        </w:sectPr>
      </w:pPr>
    </w:p>
    <w:p w14:paraId="16FBC9E7" w14:textId="16D0CED4" w:rsidR="00475085" w:rsidRPr="00F045E0" w:rsidRDefault="00554051" w:rsidP="00F045E0">
      <w:pPr>
        <w:pStyle w:val="Heading1"/>
      </w:pPr>
      <w:bookmarkStart w:id="5" w:name="_Toc227237288"/>
      <w:bookmarkStart w:id="6" w:name="_Toc227313940"/>
      <w:bookmarkEnd w:id="3"/>
      <w:bookmarkEnd w:id="4"/>
      <w:r>
        <w:lastRenderedPageBreak/>
        <w:t>Executive Summary</w:t>
      </w:r>
      <w:bookmarkEnd w:id="5"/>
      <w:bookmarkEnd w:id="6"/>
    </w:p>
    <w:p w14:paraId="7D014B0F" w14:textId="6D6C02D5" w:rsidR="00F95450" w:rsidRDefault="00F95450" w:rsidP="00E238DF">
      <w:pPr>
        <w:spacing w:line="276" w:lineRule="auto"/>
      </w:pPr>
      <w:r>
        <w:t xml:space="preserve">The Secretary to the Treasury commissioned this independent review into the Australian Office of Financial Management (AOFM) in February 2026. As Australia’s sovereign debt manager, the AOFM is </w:t>
      </w:r>
      <w:r w:rsidRPr="000D73A7">
        <w:t xml:space="preserve">responsible for the management of the Australian </w:t>
      </w:r>
      <w:r w:rsidR="00E91AB0">
        <w:t>g</w:t>
      </w:r>
      <w:r w:rsidRPr="000D73A7">
        <w:t>overnment</w:t>
      </w:r>
      <w:r>
        <w:t>’s</w:t>
      </w:r>
      <w:r w:rsidRPr="000D73A7">
        <w:t xml:space="preserve"> debt program</w:t>
      </w:r>
      <w:r>
        <w:t xml:space="preserve">. The Review was asked to consider the operations, capability and organisational effectiveness of the AOFM, including whether the agency can deliver upon its intended outcomes for </w:t>
      </w:r>
      <w:r w:rsidR="00E91AB0">
        <w:t>g</w:t>
      </w:r>
      <w:r>
        <w:t>overnment.</w:t>
      </w:r>
    </w:p>
    <w:p w14:paraId="35A97B0E" w14:textId="77777777" w:rsidR="00F95450" w:rsidRDefault="00F95450" w:rsidP="00E238DF">
      <w:pPr>
        <w:spacing w:line="276" w:lineRule="auto"/>
      </w:pPr>
      <w:r>
        <w:t>The following key elements of the AOFM’s mandate and operations were focuses of the Review:</w:t>
      </w:r>
    </w:p>
    <w:p w14:paraId="41E2A49F" w14:textId="77777777" w:rsidR="00F95450" w:rsidRDefault="00F95450" w:rsidP="00E238DF">
      <w:pPr>
        <w:pStyle w:val="ListParagraph"/>
        <w:numPr>
          <w:ilvl w:val="0"/>
          <w:numId w:val="39"/>
        </w:numPr>
        <w:spacing w:line="276" w:lineRule="auto"/>
      </w:pPr>
      <w:r>
        <w:t xml:space="preserve">The debt and cash management </w:t>
      </w:r>
      <w:proofErr w:type="gramStart"/>
      <w:r>
        <w:t>programs;</w:t>
      </w:r>
      <w:proofErr w:type="gramEnd"/>
    </w:p>
    <w:p w14:paraId="2ED24E1D" w14:textId="77777777" w:rsidR="00F95450" w:rsidRDefault="00F95450" w:rsidP="00E238DF">
      <w:pPr>
        <w:pStyle w:val="ListParagraph"/>
        <w:numPr>
          <w:ilvl w:val="0"/>
          <w:numId w:val="39"/>
        </w:numPr>
        <w:spacing w:line="276" w:lineRule="auto"/>
      </w:pPr>
      <w:r>
        <w:t xml:space="preserve">The agency’s capability in executing those </w:t>
      </w:r>
      <w:proofErr w:type="gramStart"/>
      <w:r>
        <w:t>programs;</w:t>
      </w:r>
      <w:proofErr w:type="gramEnd"/>
    </w:p>
    <w:p w14:paraId="550B8D05" w14:textId="6DC1625D" w:rsidR="00F95450" w:rsidRDefault="002A6042" w:rsidP="00E238DF">
      <w:pPr>
        <w:pStyle w:val="ListParagraph"/>
        <w:numPr>
          <w:ilvl w:val="0"/>
          <w:numId w:val="39"/>
        </w:numPr>
        <w:spacing w:line="276" w:lineRule="auto"/>
      </w:pPr>
      <w:r>
        <w:t>Risk management frameworks and practices</w:t>
      </w:r>
      <w:r w:rsidR="00F95450">
        <w:t>; and</w:t>
      </w:r>
    </w:p>
    <w:p w14:paraId="372DD488" w14:textId="595A7B27" w:rsidR="00F95450" w:rsidRDefault="002A6042" w:rsidP="00E238DF">
      <w:pPr>
        <w:pStyle w:val="ListParagraph"/>
        <w:numPr>
          <w:ilvl w:val="0"/>
          <w:numId w:val="39"/>
        </w:numPr>
        <w:spacing w:line="276" w:lineRule="auto"/>
      </w:pPr>
      <w:r>
        <w:t>Governance arrangements.</w:t>
      </w:r>
    </w:p>
    <w:p w14:paraId="743F2578" w14:textId="7D55023D" w:rsidR="00F95450" w:rsidRDefault="00F95450" w:rsidP="00E238DF">
      <w:pPr>
        <w:spacing w:line="276" w:lineRule="auto"/>
      </w:pPr>
      <w:r>
        <w:t xml:space="preserve">The </w:t>
      </w:r>
      <w:r w:rsidR="002323D0">
        <w:t>Review</w:t>
      </w:r>
      <w:r>
        <w:t xml:space="preserve"> consulted with a broad range of stakeholders during the Review process. These stakeholders include current and former AOFM officials, banks who deal in Australian Government Securities, fixed income investors, </w:t>
      </w:r>
      <w:r w:rsidR="002A6042">
        <w:t xml:space="preserve">financial industry associations </w:t>
      </w:r>
      <w:r>
        <w:t>and officials from State debt management offices.</w:t>
      </w:r>
    </w:p>
    <w:p w14:paraId="358D520C" w14:textId="3606C7A4" w:rsidR="00F95450" w:rsidRDefault="00F95450" w:rsidP="00E238DF">
      <w:pPr>
        <w:spacing w:line="276" w:lineRule="auto"/>
      </w:pPr>
      <w:r>
        <w:t xml:space="preserve">The Review has found that the AOFM’s debt management program is </w:t>
      </w:r>
      <w:r w:rsidRPr="009E7B53">
        <w:t>highly respected by participants in the Australian sovereign debt market</w:t>
      </w:r>
      <w:r>
        <w:t xml:space="preserve">. The </w:t>
      </w:r>
      <w:r w:rsidR="002323D0">
        <w:t>Review</w:t>
      </w:r>
      <w:r>
        <w:t>’s assessment is that the program is effective at meeting the financing needs of the Commonwealth. The AOFM’s program is administered in a cost-effective manner, while also engaging in activity which promotes the function of fixed income and other financial markets</w:t>
      </w:r>
      <w:r w:rsidR="00CC7BB5">
        <w:t xml:space="preserve"> in Australia</w:t>
      </w:r>
      <w:r w:rsidR="00046041">
        <w:t xml:space="preserve">. </w:t>
      </w:r>
    </w:p>
    <w:p w14:paraId="2F6435C5" w14:textId="3B6E185B" w:rsidR="00B33C4A" w:rsidRDefault="00F95450" w:rsidP="00E238DF">
      <w:pPr>
        <w:spacing w:line="276" w:lineRule="auto"/>
      </w:pPr>
      <w:r>
        <w:t xml:space="preserve">However, the Review has identified a range of risks and opportunities for improvement across the AOFM’s </w:t>
      </w:r>
      <w:r w:rsidR="002E7D8E">
        <w:t>d</w:t>
      </w:r>
      <w:r>
        <w:t>ebt and liquidity management programs. The Review observes risks to the agency’s capacity to</w:t>
      </w:r>
      <w:r w:rsidR="00087AB0">
        <w:t xml:space="preserve"> challenge and</w:t>
      </w:r>
      <w:r>
        <w:t xml:space="preserve"> adapt its </w:t>
      </w:r>
      <w:r w:rsidR="002E7D8E">
        <w:t>D</w:t>
      </w:r>
      <w:r>
        <w:t xml:space="preserve">ebt </w:t>
      </w:r>
      <w:r w:rsidR="002E7D8E">
        <w:t>M</w:t>
      </w:r>
      <w:r>
        <w:t xml:space="preserve">anagement </w:t>
      </w:r>
      <w:r w:rsidR="002E7D8E">
        <w:t>S</w:t>
      </w:r>
      <w:r>
        <w:t>trategy over the medium-term</w:t>
      </w:r>
      <w:r w:rsidR="002A6042">
        <w:t xml:space="preserve"> to ensure that it remains best practice</w:t>
      </w:r>
      <w:r>
        <w:t xml:space="preserve">. This risk stems from </w:t>
      </w:r>
      <w:r w:rsidRPr="00602BD2">
        <w:t>the AOFM’s modest resourcing</w:t>
      </w:r>
      <w:r>
        <w:t xml:space="preserve"> </w:t>
      </w:r>
      <w:r w:rsidR="002A6042">
        <w:t>of the front office</w:t>
      </w:r>
      <w:r>
        <w:t xml:space="preserve"> and has been amplified by recent staff turnove</w:t>
      </w:r>
      <w:r w:rsidR="002A6042">
        <w:t>r</w:t>
      </w:r>
      <w:r w:rsidR="000D4E6E">
        <w:t>,</w:t>
      </w:r>
      <w:r>
        <w:t xml:space="preserve"> which </w:t>
      </w:r>
      <w:r w:rsidR="002A6042">
        <w:t>was</w:t>
      </w:r>
      <w:r>
        <w:t xml:space="preserve"> concentrated among senior officials with deep experience in sovereign debt management. </w:t>
      </w:r>
    </w:p>
    <w:p w14:paraId="09916E1B" w14:textId="1DAD1ECE" w:rsidR="00F95450" w:rsidRDefault="00F95450" w:rsidP="00E238DF">
      <w:pPr>
        <w:spacing w:line="276" w:lineRule="auto"/>
      </w:pPr>
      <w:r>
        <w:t xml:space="preserve">While the Review is satisfied that the AOFM can continue executing its current program </w:t>
      </w:r>
      <w:r w:rsidR="002A6042">
        <w:t>effectively in the period ahead</w:t>
      </w:r>
      <w:r>
        <w:t xml:space="preserve">, the </w:t>
      </w:r>
      <w:r w:rsidR="002323D0">
        <w:t>Review</w:t>
      </w:r>
      <w:r w:rsidR="002A6042">
        <w:t xml:space="preserve"> </w:t>
      </w:r>
      <w:r w:rsidR="005D4EC2">
        <w:t>believes</w:t>
      </w:r>
      <w:r w:rsidR="002A6042">
        <w:t xml:space="preserve"> there is a need for </w:t>
      </w:r>
      <w:r w:rsidR="00BE571D" w:rsidRPr="00AB742F">
        <w:t>greater</w:t>
      </w:r>
      <w:r w:rsidR="00661E60" w:rsidRPr="00AB742F">
        <w:t xml:space="preserve"> </w:t>
      </w:r>
      <w:r w:rsidR="004C6004">
        <w:t xml:space="preserve">organisational </w:t>
      </w:r>
      <w:r w:rsidR="002A6042" w:rsidRPr="00AB742F">
        <w:t>capacity</w:t>
      </w:r>
      <w:r w:rsidR="002A6042">
        <w:t xml:space="preserve"> to ensure appropriate challenge to the debt strategy </w:t>
      </w:r>
      <w:r w:rsidR="00EA3614">
        <w:t>as well as</w:t>
      </w:r>
      <w:r w:rsidR="002A6042">
        <w:t xml:space="preserve"> to </w:t>
      </w:r>
      <w:r w:rsidR="00716606">
        <w:t>bolster</w:t>
      </w:r>
      <w:r w:rsidR="009A2DAA">
        <w:t xml:space="preserve"> capability</w:t>
      </w:r>
      <w:r w:rsidR="002A6042">
        <w:t xml:space="preserve"> in times of </w:t>
      </w:r>
      <w:r w:rsidR="000D4E6E">
        <w:t xml:space="preserve">heightened </w:t>
      </w:r>
      <w:r w:rsidR="002A6042">
        <w:t xml:space="preserve">financial stress. </w:t>
      </w:r>
      <w:r w:rsidR="0070633B">
        <w:t>The Review</w:t>
      </w:r>
      <w:r w:rsidR="00BE4473">
        <w:t xml:space="preserve"> recommends that the AOFM makes changes to ensure this capacity is in place</w:t>
      </w:r>
      <w:r w:rsidR="000E113A">
        <w:t>. The Review</w:t>
      </w:r>
      <w:r w:rsidR="00BE4473">
        <w:t xml:space="preserve"> suggests this could be done through establishing a separate</w:t>
      </w:r>
      <w:r w:rsidR="00F4459D">
        <w:t xml:space="preserve"> </w:t>
      </w:r>
      <w:r w:rsidR="002859D2">
        <w:t>strategy research function led by an externally sourced senior official</w:t>
      </w:r>
      <w:r w:rsidR="00F4459D">
        <w:t xml:space="preserve"> to provide appropriate challenge to the funding team </w:t>
      </w:r>
      <w:r w:rsidR="00256F98">
        <w:t>as well as</w:t>
      </w:r>
      <w:r w:rsidR="00F4459D">
        <w:t xml:space="preserve"> continually research</w:t>
      </w:r>
      <w:r w:rsidR="000E2F39">
        <w:t>ing</w:t>
      </w:r>
      <w:r w:rsidR="00F4459D">
        <w:t xml:space="preserve"> and reassess</w:t>
      </w:r>
      <w:r w:rsidR="000E2F39">
        <w:t>ing</w:t>
      </w:r>
      <w:r w:rsidR="00F4459D">
        <w:t xml:space="preserve"> the appropriateness of the various elements of the debt program.</w:t>
      </w:r>
    </w:p>
    <w:p w14:paraId="1CE90EFC" w14:textId="20157312" w:rsidR="0079673F" w:rsidRDefault="00F95450" w:rsidP="00E238DF">
      <w:pPr>
        <w:spacing w:line="276" w:lineRule="auto"/>
      </w:pPr>
      <w:r>
        <w:t xml:space="preserve">The AOFM’s </w:t>
      </w:r>
      <w:r w:rsidR="00CD4EFF">
        <w:t>L</w:t>
      </w:r>
      <w:r>
        <w:t xml:space="preserve">iquidity </w:t>
      </w:r>
      <w:r w:rsidR="00CD4EFF">
        <w:t>M</w:t>
      </w:r>
      <w:r>
        <w:t xml:space="preserve">anagement </w:t>
      </w:r>
      <w:r w:rsidR="00CD4EFF">
        <w:t>S</w:t>
      </w:r>
      <w:r>
        <w:t xml:space="preserve">trategy enables the Commonwealth to have sufficient access to liquid cash to meet </w:t>
      </w:r>
      <w:r w:rsidR="00D42CD8">
        <w:t>the</w:t>
      </w:r>
      <w:r>
        <w:t xml:space="preserve"> </w:t>
      </w:r>
      <w:r w:rsidR="00D42CD8">
        <w:t>g</w:t>
      </w:r>
      <w:r>
        <w:t xml:space="preserve">overnment’s operational needs. While effective at delivering operational requirements, the Review views </w:t>
      </w:r>
      <w:r w:rsidRPr="00A114BE">
        <w:t xml:space="preserve">the liquidity buffer which is maintained by the AOFM as being </w:t>
      </w:r>
      <w:r w:rsidR="002A6042">
        <w:t>overly</w:t>
      </w:r>
      <w:r w:rsidRPr="00A114BE">
        <w:t xml:space="preserve"> conservative. </w:t>
      </w:r>
      <w:r w:rsidR="00DC75BA">
        <w:t>At the same time, the AOFM should not regard the buffer</w:t>
      </w:r>
      <w:r w:rsidR="00DC75BA" w:rsidRPr="00A114BE">
        <w:t xml:space="preserve"> as a floor</w:t>
      </w:r>
      <w:r w:rsidR="00DC75BA">
        <w:t xml:space="preserve"> and should ensure that is well understood by stakeholders.</w:t>
      </w:r>
      <w:r w:rsidR="00DC75BA" w:rsidRPr="00E30F7B">
        <w:t xml:space="preserve"> </w:t>
      </w:r>
      <w:r w:rsidRPr="00A114BE">
        <w:t>The AOFM’s cash buffer is</w:t>
      </w:r>
      <w:r w:rsidR="00B67667">
        <w:t xml:space="preserve"> </w:t>
      </w:r>
      <w:r w:rsidR="00286E0A">
        <w:t>to maintain</w:t>
      </w:r>
      <w:r w:rsidRPr="00A114BE">
        <w:t xml:space="preserve"> a minimum of four weeks’ worth of liquidity on hand</w:t>
      </w:r>
      <w:r w:rsidR="00B67667">
        <w:t>.</w:t>
      </w:r>
      <w:r>
        <w:t xml:space="preserve"> The Review finds it difficult to contemplate circumstances which would restrict the AOFM from being able to issue Australian Government Securities for such a prolonged period</w:t>
      </w:r>
      <w:r w:rsidR="00661E60">
        <w:t xml:space="preserve">. It also </w:t>
      </w:r>
      <w:r>
        <w:t>notes that the current slope of the yield curve increase</w:t>
      </w:r>
      <w:r w:rsidR="00B67667">
        <w:t>s</w:t>
      </w:r>
      <w:r>
        <w:t xml:space="preserve"> the cost of holding </w:t>
      </w:r>
      <w:r w:rsidR="00B67667">
        <w:t xml:space="preserve">such </w:t>
      </w:r>
      <w:r>
        <w:t>large liquidity buffers.</w:t>
      </w:r>
      <w:r w:rsidR="00B67667">
        <w:t xml:space="preserve"> </w:t>
      </w:r>
      <w:r w:rsidR="00DC24EE">
        <w:t>Relatedly, t</w:t>
      </w:r>
      <w:r w:rsidR="00865471" w:rsidRPr="00B0426A">
        <w:t>he Review believes there is greater scope for the AOFM to adjust its term issuance as Budget outcomes deviate from forecasts</w:t>
      </w:r>
      <w:r w:rsidR="001D5F52">
        <w:t>.</w:t>
      </w:r>
      <w:r w:rsidR="00865471">
        <w:t xml:space="preserve"> </w:t>
      </w:r>
    </w:p>
    <w:p w14:paraId="5E34B6FA" w14:textId="207FEB5A" w:rsidR="00F95450" w:rsidRDefault="00F95450" w:rsidP="00E238DF">
      <w:pPr>
        <w:spacing w:line="276" w:lineRule="auto"/>
      </w:pPr>
      <w:r>
        <w:t>The Review has assessed the AOFM’s governance arrangements</w:t>
      </w:r>
      <w:r w:rsidR="00F875B5">
        <w:t xml:space="preserve">, both </w:t>
      </w:r>
      <w:r w:rsidR="0079673F">
        <w:t xml:space="preserve">internal and external. </w:t>
      </w:r>
      <w:r>
        <w:t xml:space="preserve">The Review has found that both sets of governance arrangements are generally effective, but that there are opportunities for each of these to be uplifted. </w:t>
      </w:r>
    </w:p>
    <w:p w14:paraId="32457B08" w14:textId="58E88342" w:rsidR="00B67667" w:rsidRDefault="00F95450" w:rsidP="00E238DF">
      <w:pPr>
        <w:spacing w:line="276" w:lineRule="auto"/>
      </w:pPr>
      <w:r>
        <w:t xml:space="preserve">Regarding its internal governance, the AOFM’s new organisational structure – which has introduced two new Senior Executive Service officials – provides better pathways for career mobility, and more appropriate </w:t>
      </w:r>
      <w:r w:rsidR="00B67667">
        <w:t xml:space="preserve">span of </w:t>
      </w:r>
      <w:r w:rsidR="00213454">
        <w:t xml:space="preserve">control </w:t>
      </w:r>
      <w:r w:rsidR="00B67667">
        <w:t>for senior management</w:t>
      </w:r>
      <w:r>
        <w:t>. The Review notes that this organisational structure remains relatively new and that more time will be required for</w:t>
      </w:r>
      <w:r w:rsidR="00464EA6">
        <w:t xml:space="preserve"> </w:t>
      </w:r>
      <w:r w:rsidR="0022302B">
        <w:t>these</w:t>
      </w:r>
      <w:r w:rsidR="00464EA6">
        <w:t xml:space="preserve"> changes</w:t>
      </w:r>
      <w:r>
        <w:t xml:space="preserve"> to mature. </w:t>
      </w:r>
    </w:p>
    <w:p w14:paraId="1DEB48B5" w14:textId="0193AA75" w:rsidR="00F4459D" w:rsidRDefault="00F95450" w:rsidP="00E238DF">
      <w:pPr>
        <w:spacing w:line="276" w:lineRule="auto"/>
      </w:pPr>
      <w:r>
        <w:t>The AOFM</w:t>
      </w:r>
      <w:r w:rsidR="00F4459D">
        <w:t xml:space="preserve">’s Advisory Board consists of experienced financial market professionals and provides non-binding advice on the agency’s debt management program to the AOFM and the Treasury Secretary. The Review’s assessment is that the Advisory Board is under-utilised and could play a more prominent role in overseeing both the agency’s debt management program and its internal operations related to debt management. It should move further along the spectrum between advisory and full corporate oversight, though it should not be a decision-making board. </w:t>
      </w:r>
    </w:p>
    <w:p w14:paraId="57402D27" w14:textId="77EDCA4D" w:rsidR="00C92F7A" w:rsidRDefault="00F4459D" w:rsidP="00E238DF">
      <w:pPr>
        <w:spacing w:line="276" w:lineRule="auto"/>
      </w:pPr>
      <w:r>
        <w:t xml:space="preserve">The AOFM’s </w:t>
      </w:r>
      <w:r w:rsidR="00F95450">
        <w:t xml:space="preserve">Audit and Risk Committee, which is responsible for overseeing the management of enterprise risk, adds substantial value to the agency and interacts regularly with the Chief Operating Officer to uplift the AOFM’s enterprise risk management frameworks. </w:t>
      </w:r>
      <w:r>
        <w:t xml:space="preserve">The Review has observed evidence of a substantial program of work to improve the agency’s enterprise risk management practices and is comfortable with the AOFM’s capability across this domain. </w:t>
      </w:r>
    </w:p>
    <w:p w14:paraId="0946A39C" w14:textId="5838BB2F" w:rsidR="00F4459D" w:rsidRDefault="00A14C07" w:rsidP="00E238DF">
      <w:pPr>
        <w:spacing w:line="276" w:lineRule="auto"/>
      </w:pPr>
      <w:r>
        <w:t>T</w:t>
      </w:r>
      <w:r w:rsidR="00F4459D">
        <w:t xml:space="preserve">he Review has observed that financial risk management does not have a clearly defined place within the AOFM’s governance structures. The Review’s assessment is that, while the Audit and Risk Committee should remain aware of emerging risks in this space, such risks are best overseen by the Advisory Board, given the direct overlap with the debt and liquidity management programs and the </w:t>
      </w:r>
      <w:r w:rsidR="00221EEE">
        <w:t xml:space="preserve">Advisory </w:t>
      </w:r>
      <w:r w:rsidR="00F4459D">
        <w:t>Board’s general expertise in this area.</w:t>
      </w:r>
    </w:p>
    <w:p w14:paraId="41A4E553" w14:textId="10C295DA" w:rsidR="00F4459D" w:rsidRDefault="00F95450" w:rsidP="00E238DF">
      <w:pPr>
        <w:spacing w:line="276" w:lineRule="auto"/>
      </w:pPr>
      <w:r>
        <w:t>The AOFM’s external governance arrangements primarily concern its relationship with the Department of the Treasury. The Review assesses that the agency effectively manages key communication channels with relevant Treasury officials regarding how the debt program interacts with fiscal policy settings. The Review has also observed effective arrangements between the AOFM and Treasury</w:t>
      </w:r>
      <w:r w:rsidR="00F4459D">
        <w:t xml:space="preserve">, recognising that </w:t>
      </w:r>
      <w:r w:rsidR="00FB5B6A">
        <w:t>the</w:t>
      </w:r>
      <w:r w:rsidR="00F4459D">
        <w:t xml:space="preserve"> </w:t>
      </w:r>
      <w:r>
        <w:t>Memorand</w:t>
      </w:r>
      <w:r w:rsidR="009F28C5">
        <w:t>um</w:t>
      </w:r>
      <w:r>
        <w:t xml:space="preserve"> of Understanding </w:t>
      </w:r>
      <w:r w:rsidR="00F4459D">
        <w:t xml:space="preserve">between the two is currently being refreshed to ensure accountabilities are well understood and service agreements are well specified. </w:t>
      </w:r>
      <w:r w:rsidR="00BA7089">
        <w:t>The Review has also determined that adequate channels currently exist for AOFM officials to express grievances</w:t>
      </w:r>
      <w:r w:rsidR="002C4AA0">
        <w:t>,</w:t>
      </w:r>
      <w:r w:rsidR="00BA7089">
        <w:t xml:space="preserve"> but th</w:t>
      </w:r>
      <w:r w:rsidR="009F668C">
        <w:t>ere are</w:t>
      </w:r>
      <w:r w:rsidR="00BA7089">
        <w:t xml:space="preserve"> opportunities for these channels to be made more accessible to a wider range of officials.</w:t>
      </w:r>
    </w:p>
    <w:p w14:paraId="227DDF01" w14:textId="1324FB0F" w:rsidR="00F95450" w:rsidRDefault="00266E3B" w:rsidP="00E238DF">
      <w:pPr>
        <w:spacing w:line="276" w:lineRule="auto"/>
      </w:pPr>
      <w:r>
        <w:t>T</w:t>
      </w:r>
      <w:r w:rsidR="00F95450">
        <w:t xml:space="preserve">he </w:t>
      </w:r>
      <w:r w:rsidR="002323D0">
        <w:t>Review</w:t>
      </w:r>
      <w:r w:rsidR="00F95450">
        <w:t xml:space="preserve"> assessed that the AOFM’s expertise and viewpoints on financial market and macroeconomic conditions could be </w:t>
      </w:r>
      <w:r w:rsidR="00F4459D">
        <w:t xml:space="preserve">more effectively utilised by </w:t>
      </w:r>
      <w:r w:rsidR="00F95450">
        <w:t>a broader range of Treasury officials, particularly within Macroeconomic Group.</w:t>
      </w:r>
    </w:p>
    <w:p w14:paraId="1021421E" w14:textId="5B2597FB" w:rsidR="00FB09EB" w:rsidRDefault="00F95450" w:rsidP="00FB09EB">
      <w:pPr>
        <w:spacing w:line="276" w:lineRule="auto"/>
      </w:pPr>
      <w:r>
        <w:t>In conclusion, the Review has confidence in the AOFM’s ability to meet its mandate</w:t>
      </w:r>
      <w:r w:rsidR="00F4459D">
        <w:t>. It</w:t>
      </w:r>
      <w:r>
        <w:t xml:space="preserve"> is undertaking a range of worthwhile improvements to its internal operations. However, the risks to its ability to continue delivering key elements of </w:t>
      </w:r>
      <w:r w:rsidR="002C4AA0">
        <w:t xml:space="preserve">its </w:t>
      </w:r>
      <w:r w:rsidR="00F4459D">
        <w:t>core</w:t>
      </w:r>
      <w:r>
        <w:t xml:space="preserve"> mandate </w:t>
      </w:r>
      <w:r w:rsidR="00F4459D">
        <w:t xml:space="preserve">of debt issuance into the future </w:t>
      </w:r>
      <w:r>
        <w:t xml:space="preserve">are </w:t>
      </w:r>
      <w:r w:rsidR="00F4459D">
        <w:t>heightened</w:t>
      </w:r>
      <w:r w:rsidR="002C4AA0">
        <w:t>,</w:t>
      </w:r>
      <w:r w:rsidR="00F4459D">
        <w:t xml:space="preserve"> due to a concentration of expertise in a small number of key people</w:t>
      </w:r>
      <w:r>
        <w:t xml:space="preserve">. </w:t>
      </w:r>
    </w:p>
    <w:p w14:paraId="10D06E4D" w14:textId="1E7A72B5" w:rsidR="00ED5A20" w:rsidRDefault="00207FB4" w:rsidP="00FB09EB">
      <w:pPr>
        <w:spacing w:line="276" w:lineRule="auto"/>
      </w:pPr>
      <w:r>
        <w:rPr>
          <w:noProof/>
        </w:rPr>
        <mc:AlternateContent>
          <mc:Choice Requires="wps">
            <w:drawing>
              <wp:anchor distT="45720" distB="45720" distL="114300" distR="114300" simplePos="0" relativeHeight="251658241" behindDoc="0" locked="0" layoutInCell="1" allowOverlap="1" wp14:anchorId="762F00D8" wp14:editId="5F136DE0">
                <wp:simplePos x="0" y="0"/>
                <wp:positionH relativeFrom="column">
                  <wp:posOffset>65851</wp:posOffset>
                </wp:positionH>
                <wp:positionV relativeFrom="paragraph">
                  <wp:posOffset>994410</wp:posOffset>
                </wp:positionV>
                <wp:extent cx="55899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905" cy="1404620"/>
                        </a:xfrm>
                        <a:prstGeom prst="rect">
                          <a:avLst/>
                        </a:prstGeom>
                        <a:solidFill>
                          <a:schemeClr val="accent3">
                            <a:lumMod val="20000"/>
                            <a:lumOff val="80000"/>
                          </a:schemeClr>
                        </a:solidFill>
                        <a:ln w="9525">
                          <a:noFill/>
                          <a:miter lim="800000"/>
                          <a:headEnd/>
                          <a:tailEnd/>
                        </a:ln>
                      </wps:spPr>
                      <wps:txbx>
                        <w:txbxContent>
                          <w:p w14:paraId="612593C0" w14:textId="22CB0D84" w:rsidR="008B7AE2" w:rsidRPr="008B7AE2" w:rsidRDefault="008B7AE2" w:rsidP="008B7AE2">
                            <w:pPr>
                              <w:pStyle w:val="Heading1"/>
                              <w:jc w:val="center"/>
                              <w:rPr>
                                <w:b w:val="0"/>
                                <w:color w:val="2C384A" w:themeColor="accent1"/>
                              </w:rPr>
                            </w:pPr>
                            <w:bookmarkStart w:id="7" w:name="_Toc227237289"/>
                            <w:bookmarkStart w:id="8" w:name="_Toc227313941"/>
                            <w:r w:rsidRPr="008B7AE2">
                              <w:rPr>
                                <w:b w:val="0"/>
                                <w:color w:val="2C384A" w:themeColor="accent1"/>
                              </w:rPr>
                              <w:t>Review Recommendations</w:t>
                            </w:r>
                            <w:bookmarkEnd w:id="7"/>
                            <w:bookmarkEnd w:id="8"/>
                          </w:p>
                          <w:p w14:paraId="45254AE4" w14:textId="77777777" w:rsidR="00140A78" w:rsidRPr="00140A78" w:rsidRDefault="00140A78" w:rsidP="00140A78"/>
                          <w:p w14:paraId="79A22442" w14:textId="30F74424" w:rsidR="008B7AE2" w:rsidRDefault="008B7AE2" w:rsidP="008B7AE2">
                            <w:pPr>
                              <w:pStyle w:val="ListParagraph"/>
                              <w:numPr>
                                <w:ilvl w:val="0"/>
                                <w:numId w:val="46"/>
                              </w:numPr>
                              <w:spacing w:before="0" w:after="160" w:line="276" w:lineRule="auto"/>
                            </w:pPr>
                            <w:r>
                              <w:t xml:space="preserve">The AOFM should increase its organisational </w:t>
                            </w:r>
                            <w:r w:rsidRPr="00AB742F">
                              <w:t>capacity</w:t>
                            </w:r>
                            <w:r>
                              <w:t xml:space="preserve"> to ensure appropriate challenge to the debt strategy </w:t>
                            </w:r>
                            <w:r w:rsidR="00F84814">
                              <w:t>as well as</w:t>
                            </w:r>
                            <w:r>
                              <w:t xml:space="preserve"> bolster capability in times of heightened financial stress. The Review suggests this could be done through establishing a separate strategy research function led by an externally sourced senior official</w:t>
                            </w:r>
                            <w:r w:rsidR="004222FF">
                              <w:t>.</w:t>
                            </w:r>
                          </w:p>
                          <w:p w14:paraId="2D518DDC" w14:textId="52CDC236" w:rsidR="00893A5A" w:rsidRDefault="00F84814" w:rsidP="00F84814">
                            <w:pPr>
                              <w:pStyle w:val="Bullet"/>
                              <w:numPr>
                                <w:ilvl w:val="0"/>
                                <w:numId w:val="46"/>
                              </w:numPr>
                            </w:pPr>
                            <w:r w:rsidRPr="00F2175C">
                              <w:t xml:space="preserve">The Advisory Board’s remit should be expanded to advise on all aspects of the AOFM’s operations that bear on the </w:t>
                            </w:r>
                            <w:r w:rsidR="00240B84">
                              <w:t>debt program</w:t>
                            </w:r>
                            <w:r w:rsidRPr="00F2175C">
                              <w:t xml:space="preserve">, including the </w:t>
                            </w:r>
                            <w:r w:rsidRPr="001A3B79">
                              <w:t>Financial Risk Management Policy</w:t>
                            </w:r>
                            <w:r w:rsidRPr="00F2175C">
                              <w:t xml:space="preserve">. The Advisory Board should participate in the formulation of the Debt Management Strategy much earlier in the process to help shape </w:t>
                            </w:r>
                            <w:r w:rsidR="00D53269">
                              <w:t>it</w:t>
                            </w:r>
                            <w:r w:rsidRPr="00F2175C">
                              <w:t xml:space="preserve">, noting that the Treasury Secretary would continue to provide final </w:t>
                            </w:r>
                            <w:r w:rsidR="002F4FF7">
                              <w:t>approval</w:t>
                            </w:r>
                            <w:r w:rsidRPr="00F2175C">
                              <w:t xml:space="preserve"> of the Strategy. </w:t>
                            </w:r>
                          </w:p>
                          <w:p w14:paraId="5C55ED50" w14:textId="4D3C0D3A" w:rsidR="008B7AE2" w:rsidRPr="00F2175C" w:rsidRDefault="008B7AE2" w:rsidP="008B7AE2">
                            <w:pPr>
                              <w:pStyle w:val="Bullet"/>
                              <w:numPr>
                                <w:ilvl w:val="0"/>
                                <w:numId w:val="46"/>
                              </w:numPr>
                            </w:pPr>
                            <w:r w:rsidRPr="00F2175C">
                              <w:t xml:space="preserve">The AOFM should amend its </w:t>
                            </w:r>
                            <w:r w:rsidRPr="001A3B79">
                              <w:t>Financial Risk Management Policy</w:t>
                            </w:r>
                            <w:r w:rsidRPr="00F2175C">
                              <w:t xml:space="preserve"> to include a requirement that departures from the agreed </w:t>
                            </w:r>
                            <w:r>
                              <w:t xml:space="preserve">Weighted Average Maturity </w:t>
                            </w:r>
                            <w:r w:rsidRPr="00F2175C">
                              <w:t>target be explained and justified to the Advisory Board, and in particular be approved by the Treasury Secretary.</w:t>
                            </w:r>
                          </w:p>
                          <w:p w14:paraId="677E0148" w14:textId="77777777" w:rsidR="008B7AE2" w:rsidRPr="00F2175C" w:rsidRDefault="008B7AE2" w:rsidP="008B7AE2">
                            <w:pPr>
                              <w:pStyle w:val="Bullet"/>
                              <w:numPr>
                                <w:ilvl w:val="0"/>
                                <w:numId w:val="46"/>
                              </w:numPr>
                            </w:pPr>
                            <w:r w:rsidRPr="00F2175C">
                              <w:t>The AOFM should reinstate the formal quarterly Portfolio Strategy meetings at the earliest possible opportunity.</w:t>
                            </w:r>
                          </w:p>
                          <w:p w14:paraId="68042496" w14:textId="77777777" w:rsidR="008B7AE2" w:rsidRPr="00F2175C" w:rsidRDefault="008B7AE2" w:rsidP="008B7AE2">
                            <w:pPr>
                              <w:pStyle w:val="Bullet"/>
                              <w:numPr>
                                <w:ilvl w:val="0"/>
                                <w:numId w:val="46"/>
                              </w:numPr>
                            </w:pPr>
                            <w:r w:rsidRPr="00F2175C">
                              <w:t xml:space="preserve">The AOFM should consider having a lower liquidity buffer. </w:t>
                            </w:r>
                          </w:p>
                          <w:p w14:paraId="01FC6AE2" w14:textId="77777777" w:rsidR="008B7AE2" w:rsidRPr="00F2175C" w:rsidRDefault="008B7AE2" w:rsidP="008B7AE2">
                            <w:pPr>
                              <w:pStyle w:val="Bullet"/>
                              <w:numPr>
                                <w:ilvl w:val="0"/>
                                <w:numId w:val="46"/>
                              </w:numPr>
                            </w:pPr>
                            <w:r w:rsidRPr="00F2175C">
                              <w:t>The AOFM should continue its indexed bond program.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62F00D8" id="_x0000_t202" coordsize="21600,21600" o:spt="202" path="m,l,21600r21600,l21600,xe">
                <v:stroke joinstyle="miter"/>
                <v:path gradientshapeok="t" o:connecttype="rect"/>
              </v:shapetype>
              <v:shape id="Text Box 2" o:spid="_x0000_s1026" type="#_x0000_t202" style="position:absolute;margin-left:5.2pt;margin-top:78.3pt;width:440.15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" fillcolor="#dee3eb [662]" stroked="f">
                <v:textbox style="mso-fit-shape-to-text:t">
                  <w:txbxContent>
                    <w:p w14:paraId="612593C0" w14:textId="22CB0D84" w:rsidR="008B7AE2" w:rsidRPr="008B7AE2" w:rsidRDefault="008B7AE2" w:rsidP="008B7AE2">
                      <w:pPr>
                        <w:pStyle w:val="Heading1"/>
                        <w:jc w:val="center"/>
                        <w:rPr>
                          <w:b w:val="0"/>
                          <w:color w:val="2C384A" w:themeColor="accent1"/>
                        </w:rPr>
                      </w:pPr>
                      <w:bookmarkStart w:id="9" w:name="_Toc227237289"/>
                      <w:bookmarkStart w:id="10" w:name="_Toc227313941"/>
                      <w:r w:rsidRPr="008B7AE2">
                        <w:rPr>
                          <w:b w:val="0"/>
                          <w:color w:val="2C384A" w:themeColor="accent1"/>
                        </w:rPr>
                        <w:t>Review Recommendations</w:t>
                      </w:r>
                      <w:bookmarkEnd w:id="9"/>
                      <w:bookmarkEnd w:id="10"/>
                    </w:p>
                    <w:p w14:paraId="45254AE4" w14:textId="77777777" w:rsidR="00140A78" w:rsidRPr="00140A78" w:rsidRDefault="00140A78" w:rsidP="00140A78"/>
                    <w:p w14:paraId="79A22442" w14:textId="30F74424" w:rsidR="008B7AE2" w:rsidRDefault="008B7AE2" w:rsidP="008B7AE2">
                      <w:pPr>
                        <w:pStyle w:val="ListParagraph"/>
                        <w:numPr>
                          <w:ilvl w:val="0"/>
                          <w:numId w:val="46"/>
                        </w:numPr>
                        <w:spacing w:before="0" w:after="160" w:line="276" w:lineRule="auto"/>
                      </w:pPr>
                      <w:r>
                        <w:t xml:space="preserve">The AOFM should increase its organisational </w:t>
                      </w:r>
                      <w:r w:rsidRPr="00AB742F">
                        <w:t>capacity</w:t>
                      </w:r>
                      <w:r>
                        <w:t xml:space="preserve"> to ensure appropriate challenge to the debt strategy </w:t>
                      </w:r>
                      <w:r w:rsidR="00F84814">
                        <w:t>as well as</w:t>
                      </w:r>
                      <w:r>
                        <w:t xml:space="preserve"> bolster capability in times of heightened financial stress. The Review suggests this could be done through establishing a separate strategy research function led by an externally sourced senior official</w:t>
                      </w:r>
                      <w:r w:rsidR="004222FF">
                        <w:t>.</w:t>
                      </w:r>
                    </w:p>
                    <w:p w14:paraId="2D518DDC" w14:textId="52CDC236" w:rsidR="00893A5A" w:rsidRDefault="00F84814" w:rsidP="00F84814">
                      <w:pPr>
                        <w:pStyle w:val="Bullet"/>
                        <w:numPr>
                          <w:ilvl w:val="0"/>
                          <w:numId w:val="46"/>
                        </w:numPr>
                      </w:pPr>
                      <w:r w:rsidRPr="00F2175C">
                        <w:t xml:space="preserve">The Advisory Board’s remit should be expanded to advise on all aspects of the AOFM’s operations that bear on the </w:t>
                      </w:r>
                      <w:r w:rsidR="00240B84">
                        <w:t>debt program</w:t>
                      </w:r>
                      <w:r w:rsidRPr="00F2175C">
                        <w:t xml:space="preserve">, including the </w:t>
                      </w:r>
                      <w:r w:rsidRPr="001A3B79">
                        <w:t>Financial Risk Management Policy</w:t>
                      </w:r>
                      <w:r w:rsidRPr="00F2175C">
                        <w:t xml:space="preserve">. The Advisory Board should participate in the formulation of the Debt Management Strategy much earlier in the process to help shape </w:t>
                      </w:r>
                      <w:r w:rsidR="00D53269">
                        <w:t>it</w:t>
                      </w:r>
                      <w:r w:rsidRPr="00F2175C">
                        <w:t xml:space="preserve">, noting that the Treasury Secretary would continue to provide final </w:t>
                      </w:r>
                      <w:r w:rsidR="002F4FF7">
                        <w:t>approval</w:t>
                      </w:r>
                      <w:r w:rsidRPr="00F2175C">
                        <w:t xml:space="preserve"> of the Strategy. </w:t>
                      </w:r>
                    </w:p>
                    <w:p w14:paraId="5C55ED50" w14:textId="4D3C0D3A" w:rsidR="008B7AE2" w:rsidRPr="00F2175C" w:rsidRDefault="008B7AE2" w:rsidP="008B7AE2">
                      <w:pPr>
                        <w:pStyle w:val="Bullet"/>
                        <w:numPr>
                          <w:ilvl w:val="0"/>
                          <w:numId w:val="46"/>
                        </w:numPr>
                      </w:pPr>
                      <w:r w:rsidRPr="00F2175C">
                        <w:t xml:space="preserve">The AOFM should amend its </w:t>
                      </w:r>
                      <w:r w:rsidRPr="001A3B79">
                        <w:t>Financial Risk Management Policy</w:t>
                      </w:r>
                      <w:r w:rsidRPr="00F2175C">
                        <w:t xml:space="preserve"> to include a requirement that departures from the agreed </w:t>
                      </w:r>
                      <w:r>
                        <w:t xml:space="preserve">Weighted Average Maturity </w:t>
                      </w:r>
                      <w:r w:rsidRPr="00F2175C">
                        <w:t>target be explained and justified to the Advisory Board, and in particular be approved by the Treasury Secretary.</w:t>
                      </w:r>
                    </w:p>
                    <w:p w14:paraId="677E0148" w14:textId="77777777" w:rsidR="008B7AE2" w:rsidRPr="00F2175C" w:rsidRDefault="008B7AE2" w:rsidP="008B7AE2">
                      <w:pPr>
                        <w:pStyle w:val="Bullet"/>
                        <w:numPr>
                          <w:ilvl w:val="0"/>
                          <w:numId w:val="46"/>
                        </w:numPr>
                      </w:pPr>
                      <w:r w:rsidRPr="00F2175C">
                        <w:t>The AOFM should reinstate the formal quarterly Portfolio Strategy meetings at the earliest possible opportunity.</w:t>
                      </w:r>
                    </w:p>
                    <w:p w14:paraId="68042496" w14:textId="77777777" w:rsidR="008B7AE2" w:rsidRPr="00F2175C" w:rsidRDefault="008B7AE2" w:rsidP="008B7AE2">
                      <w:pPr>
                        <w:pStyle w:val="Bullet"/>
                        <w:numPr>
                          <w:ilvl w:val="0"/>
                          <w:numId w:val="46"/>
                        </w:numPr>
                      </w:pPr>
                      <w:r w:rsidRPr="00F2175C">
                        <w:t xml:space="preserve">The AOFM should consider having a lower liquidity buffer. </w:t>
                      </w:r>
                    </w:p>
                    <w:p w14:paraId="01FC6AE2" w14:textId="77777777" w:rsidR="008B7AE2" w:rsidRPr="00F2175C" w:rsidRDefault="008B7AE2" w:rsidP="008B7AE2">
                      <w:pPr>
                        <w:pStyle w:val="Bullet"/>
                        <w:numPr>
                          <w:ilvl w:val="0"/>
                          <w:numId w:val="46"/>
                        </w:numPr>
                      </w:pPr>
                      <w:r w:rsidRPr="00F2175C">
                        <w:t>The AOFM should continue its indexed bond program.</w:t>
                      </w:r>
                    </w:p>
                  </w:txbxContent>
                </v:textbox>
                <w10:wrap type="square"/>
              </v:shape>
            </w:pict>
          </mc:Fallback>
        </mc:AlternateContent>
      </w:r>
      <w:r w:rsidR="00F95450" w:rsidRPr="00FB09EB">
        <w:t xml:space="preserve">This Review has identified a range of opportunities to </w:t>
      </w:r>
      <w:r w:rsidR="00F4459D" w:rsidRPr="00FB09EB">
        <w:t xml:space="preserve">address this risk </w:t>
      </w:r>
      <w:r w:rsidR="00F95450" w:rsidRPr="00FB09EB">
        <w:t xml:space="preserve">and </w:t>
      </w:r>
      <w:r w:rsidR="00F4459D" w:rsidRPr="00FB09EB">
        <w:t>considers</w:t>
      </w:r>
      <w:r w:rsidR="00F95450" w:rsidRPr="00FB09EB">
        <w:t xml:space="preserve"> the AOFM’s response to these opportunities as key to ensuring the agency can continue to deliver its mandate over the long term.</w:t>
      </w:r>
    </w:p>
    <w:p w14:paraId="7D8B96E6" w14:textId="09124F57" w:rsidR="00AF5287" w:rsidRDefault="00AF5287">
      <w:pPr>
        <w:spacing w:before="0" w:after="160" w:line="259" w:lineRule="auto"/>
        <w:rPr>
          <w:rFonts w:ascii="Calibri" w:hAnsi="Calibri" w:cs="Arial"/>
          <w:b/>
          <w:color w:val="5D779D" w:themeColor="accent3"/>
          <w:kern w:val="32"/>
          <w:sz w:val="44"/>
          <w:szCs w:val="36"/>
        </w:rPr>
      </w:pPr>
      <w:r>
        <w:br w:type="page"/>
      </w:r>
    </w:p>
    <w:p w14:paraId="6F2D8805" w14:textId="630EFE1B" w:rsidR="00B0044A" w:rsidRDefault="00465EAC" w:rsidP="005A63B9">
      <w:pPr>
        <w:pStyle w:val="Heading1"/>
        <w:spacing w:line="276" w:lineRule="auto"/>
      </w:pPr>
      <w:bookmarkStart w:id="11" w:name="_Toc227237290"/>
      <w:bookmarkStart w:id="12" w:name="_Toc227313942"/>
      <w:r>
        <w:t>Introduction</w:t>
      </w:r>
      <w:bookmarkEnd w:id="11"/>
      <w:bookmarkEnd w:id="12"/>
    </w:p>
    <w:p w14:paraId="5AC29464" w14:textId="3C382A7A" w:rsidR="00067D35" w:rsidRPr="000D73A7" w:rsidRDefault="005F146A" w:rsidP="005A63B9">
      <w:pPr>
        <w:spacing w:line="276" w:lineRule="auto"/>
      </w:pPr>
      <w:r w:rsidRPr="000D73A7">
        <w:t xml:space="preserve">Established in 1999 when it was separated from </w:t>
      </w:r>
      <w:r w:rsidR="00A43B3D">
        <w:t>the</w:t>
      </w:r>
      <w:r w:rsidR="00A43B3D" w:rsidRPr="000D73A7">
        <w:t xml:space="preserve"> </w:t>
      </w:r>
      <w:r w:rsidRPr="000D73A7">
        <w:t>Treasury, t</w:t>
      </w:r>
      <w:r w:rsidR="00067D35" w:rsidRPr="000D73A7">
        <w:t>he Australian Office of Financial Management (AOFM) is responsible for the management of the Australian Government debt program. The AOFM is also responsible for implementing the Government’s mandate for supporting the securitisation market.</w:t>
      </w:r>
      <w:r w:rsidRPr="000D73A7">
        <w:t xml:space="preserve"> </w:t>
      </w:r>
      <w:r w:rsidR="00D54203" w:rsidRPr="000D73A7">
        <w:t>It</w:t>
      </w:r>
      <w:r w:rsidR="00D714E9" w:rsidRPr="000D73A7">
        <w:t xml:space="preserve">s workforce of approximately </w:t>
      </w:r>
      <w:r w:rsidR="00067D35" w:rsidRPr="000D73A7">
        <w:t>4</w:t>
      </w:r>
      <w:r w:rsidR="00836040">
        <w:t>5</w:t>
      </w:r>
      <w:r w:rsidR="00067D35" w:rsidRPr="000D73A7">
        <w:t xml:space="preserve"> staff</w:t>
      </w:r>
      <w:r w:rsidR="00D714E9" w:rsidRPr="000D73A7">
        <w:t xml:space="preserve"> </w:t>
      </w:r>
      <w:r w:rsidR="00632964" w:rsidRPr="000D73A7">
        <w:t>execute</w:t>
      </w:r>
      <w:r w:rsidR="00351889">
        <w:t>s</w:t>
      </w:r>
      <w:r w:rsidR="00632964" w:rsidRPr="000D73A7">
        <w:t xml:space="preserve"> the agency’s responsibilities, with these staff </w:t>
      </w:r>
      <w:r w:rsidR="005C24F3" w:rsidRPr="000D73A7">
        <w:t xml:space="preserve">based out of </w:t>
      </w:r>
      <w:r w:rsidR="00632964" w:rsidRPr="000D73A7">
        <w:t xml:space="preserve">offices </w:t>
      </w:r>
      <w:r w:rsidR="005C24F3" w:rsidRPr="000D73A7">
        <w:t xml:space="preserve">in </w:t>
      </w:r>
      <w:r w:rsidR="00067D35" w:rsidRPr="000D73A7">
        <w:t xml:space="preserve">Canberra and Sydney. </w:t>
      </w:r>
    </w:p>
    <w:p w14:paraId="6E9C0E29" w14:textId="7FF065CF" w:rsidR="00067D35" w:rsidRPr="000D73A7" w:rsidRDefault="00825F58" w:rsidP="005A63B9">
      <w:pPr>
        <w:spacing w:line="276" w:lineRule="auto"/>
      </w:pPr>
      <w:r w:rsidRPr="000D73A7">
        <w:t xml:space="preserve">Organisationally, the </w:t>
      </w:r>
      <w:r w:rsidR="00067D35" w:rsidRPr="000D73A7">
        <w:t xml:space="preserve">AOFM </w:t>
      </w:r>
      <w:r w:rsidRPr="000D73A7">
        <w:t xml:space="preserve">is </w:t>
      </w:r>
      <w:r w:rsidR="00067D35" w:rsidRPr="000D73A7">
        <w:t>comprise</w:t>
      </w:r>
      <w:r w:rsidRPr="000D73A7">
        <w:t>d of</w:t>
      </w:r>
      <w:r w:rsidR="00067D35" w:rsidRPr="000D73A7">
        <w:t xml:space="preserve"> two </w:t>
      </w:r>
      <w:r w:rsidR="005C24F3" w:rsidRPr="000D73A7">
        <w:t xml:space="preserve">broad </w:t>
      </w:r>
      <w:r w:rsidR="005E5C62">
        <w:t>areas</w:t>
      </w:r>
      <w:r w:rsidR="00574F48" w:rsidRPr="000D73A7">
        <w:t xml:space="preserve"> </w:t>
      </w:r>
      <w:r w:rsidR="00067D35" w:rsidRPr="000D73A7">
        <w:t>(</w:t>
      </w:r>
      <w:r w:rsidR="00067D35" w:rsidRPr="001D0869">
        <w:t xml:space="preserve">see </w:t>
      </w:r>
      <w:r w:rsidR="00497675">
        <w:t>A</w:t>
      </w:r>
      <w:r w:rsidR="00B132F4" w:rsidRPr="001D0869">
        <w:t>ppendix</w:t>
      </w:r>
      <w:r w:rsidR="00776019" w:rsidRPr="001D0869">
        <w:t xml:space="preserve"> 1</w:t>
      </w:r>
      <w:r w:rsidR="00067D35" w:rsidRPr="000D73A7">
        <w:t xml:space="preserve">). The </w:t>
      </w:r>
      <w:r w:rsidR="00B91D14" w:rsidRPr="000D73A7">
        <w:t>f</w:t>
      </w:r>
      <w:r w:rsidR="00067D35" w:rsidRPr="000D73A7">
        <w:t xml:space="preserve">ront </w:t>
      </w:r>
      <w:r w:rsidR="00B91D14" w:rsidRPr="000D73A7">
        <w:t>o</w:t>
      </w:r>
      <w:r w:rsidR="00067D35" w:rsidRPr="000D73A7">
        <w:t xml:space="preserve">ffice, which </w:t>
      </w:r>
      <w:r w:rsidR="00CF0A72">
        <w:t>comprises</w:t>
      </w:r>
      <w:r w:rsidR="00067D35" w:rsidRPr="000D73A7">
        <w:t xml:space="preserve"> </w:t>
      </w:r>
      <w:r w:rsidR="00CF0A72">
        <w:t>17</w:t>
      </w:r>
      <w:r w:rsidR="00067D35" w:rsidRPr="000D73A7">
        <w:t xml:space="preserve"> people</w:t>
      </w:r>
      <w:r w:rsidRPr="000D73A7">
        <w:t xml:space="preserve">, </w:t>
      </w:r>
      <w:r w:rsidR="00574F48" w:rsidRPr="000D73A7">
        <w:t xml:space="preserve">is </w:t>
      </w:r>
      <w:r w:rsidR="00067D35" w:rsidRPr="000D73A7">
        <w:t>responsible for formulating and executing the debt strategy, managing financial assets (predominantly cash)</w:t>
      </w:r>
      <w:r w:rsidR="008E6B1D" w:rsidRPr="000D73A7">
        <w:t xml:space="preserve"> arising from the debt strategy</w:t>
      </w:r>
      <w:r w:rsidR="00067D35" w:rsidRPr="000D73A7">
        <w:t xml:space="preserve">, conducting investor relations and implementing the </w:t>
      </w:r>
      <w:r w:rsidR="008E6B1D" w:rsidRPr="000D73A7">
        <w:t xml:space="preserve">agency’s </w:t>
      </w:r>
      <w:r w:rsidR="00067D35" w:rsidRPr="000D73A7">
        <w:t xml:space="preserve">securitisation mandate. The second </w:t>
      </w:r>
      <w:r w:rsidR="005E5C62">
        <w:t>area</w:t>
      </w:r>
      <w:r w:rsidR="00574F48" w:rsidRPr="000D73A7">
        <w:t xml:space="preserve"> </w:t>
      </w:r>
      <w:r w:rsidR="00067D35" w:rsidRPr="000D73A7">
        <w:t xml:space="preserve">consists of the support functions of the AOFM spanning the </w:t>
      </w:r>
      <w:r w:rsidR="00B91D14" w:rsidRPr="000D73A7">
        <w:t>b</w:t>
      </w:r>
      <w:r w:rsidR="00067D35" w:rsidRPr="000D73A7">
        <w:t>ack office (settlements), data, risk and compliance</w:t>
      </w:r>
      <w:r w:rsidR="00934A63">
        <w:t>,</w:t>
      </w:r>
      <w:r w:rsidR="00067D35" w:rsidRPr="000D73A7">
        <w:t xml:space="preserve"> and the CFO and HR functions. The</w:t>
      </w:r>
      <w:r w:rsidR="00C830E9" w:rsidRPr="000D73A7">
        <w:t>se</w:t>
      </w:r>
      <w:r w:rsidR="00067D35" w:rsidRPr="000D73A7">
        <w:t xml:space="preserve"> operational functions employ around 25 people.</w:t>
      </w:r>
    </w:p>
    <w:p w14:paraId="47FD7D16" w14:textId="66818679" w:rsidR="00F54624" w:rsidRDefault="00067D35" w:rsidP="005A63B9">
      <w:pPr>
        <w:spacing w:line="276" w:lineRule="auto"/>
      </w:pPr>
      <w:r w:rsidRPr="000D73A7">
        <w:t xml:space="preserve">The structure of the AOFM was changed in </w:t>
      </w:r>
      <w:r w:rsidR="008D3410">
        <w:t>mid-</w:t>
      </w:r>
      <w:r w:rsidR="008D3410" w:rsidRPr="000D73A7">
        <w:t>2025</w:t>
      </w:r>
      <w:r w:rsidRPr="000D73A7">
        <w:t xml:space="preserve"> to </w:t>
      </w:r>
      <w:r w:rsidR="00FC724B">
        <w:t>introduce</w:t>
      </w:r>
      <w:r w:rsidRPr="000D73A7">
        <w:t xml:space="preserve"> two </w:t>
      </w:r>
      <w:r w:rsidR="00F4459D">
        <w:t>positions</w:t>
      </w:r>
      <w:r w:rsidR="00634445" w:rsidRPr="000D73A7">
        <w:t xml:space="preserve"> </w:t>
      </w:r>
      <w:r w:rsidRPr="000D73A7">
        <w:t>at SES level</w:t>
      </w:r>
      <w:r w:rsidR="0008128F">
        <w:t>,</w:t>
      </w:r>
      <w:r w:rsidRPr="000D73A7">
        <w:t xml:space="preserve"> </w:t>
      </w:r>
      <w:r w:rsidR="0008128F">
        <w:t xml:space="preserve">with these officials </w:t>
      </w:r>
      <w:r w:rsidRPr="000D73A7">
        <w:t xml:space="preserve">overseeing </w:t>
      </w:r>
      <w:r w:rsidR="0008128F">
        <w:t xml:space="preserve">the </w:t>
      </w:r>
      <w:r w:rsidRPr="000D73A7">
        <w:t xml:space="preserve">two </w:t>
      </w:r>
      <w:r w:rsidR="007E0669">
        <w:t>areas</w:t>
      </w:r>
      <w:r w:rsidR="00C830E9" w:rsidRPr="000D73A7">
        <w:t xml:space="preserve"> </w:t>
      </w:r>
      <w:r w:rsidR="004256B4">
        <w:t>described above</w:t>
      </w:r>
      <w:r w:rsidR="000D1FC5" w:rsidRPr="000D73A7">
        <w:t>. Under this new structure, t</w:t>
      </w:r>
      <w:r w:rsidR="00DE4154" w:rsidRPr="000D73A7">
        <w:t>he Deputy CEO oversee</w:t>
      </w:r>
      <w:r w:rsidR="000D1FC5" w:rsidRPr="000D73A7">
        <w:t>s</w:t>
      </w:r>
      <w:r w:rsidR="00DE4154" w:rsidRPr="000D73A7">
        <w:t xml:space="preserve"> the front office</w:t>
      </w:r>
      <w:r w:rsidR="000D1FC5" w:rsidRPr="000D73A7">
        <w:t xml:space="preserve"> teams</w:t>
      </w:r>
      <w:r w:rsidR="00DE4154" w:rsidRPr="000D73A7">
        <w:t xml:space="preserve">, while the Chief Operating Officer oversees the </w:t>
      </w:r>
      <w:r w:rsidRPr="000D73A7">
        <w:t xml:space="preserve">operational and risk areas of the AOFM. </w:t>
      </w:r>
      <w:r w:rsidR="000D73A7" w:rsidRPr="000D73A7">
        <w:t>Previously, the heads of the various functions (EL2 officials)</w:t>
      </w:r>
      <w:r w:rsidR="004256B4">
        <w:t xml:space="preserve"> </w:t>
      </w:r>
      <w:r w:rsidR="000D73A7" w:rsidRPr="000D73A7">
        <w:t xml:space="preserve">reported directly into the CEO. </w:t>
      </w:r>
      <w:r w:rsidR="00416476">
        <w:t xml:space="preserve">Later in </w:t>
      </w:r>
      <w:r w:rsidR="004E6857">
        <w:t xml:space="preserve">October </w:t>
      </w:r>
      <w:r w:rsidR="00416476">
        <w:t xml:space="preserve">2025, there was a significant restructure of the AOFM, which saw </w:t>
      </w:r>
      <w:proofErr w:type="gramStart"/>
      <w:r w:rsidR="00416476">
        <w:t>a number of</w:t>
      </w:r>
      <w:proofErr w:type="gramEnd"/>
      <w:r w:rsidR="00416476">
        <w:t xml:space="preserve"> experienced staff leave the organisation</w:t>
      </w:r>
      <w:r w:rsidR="00F4459D">
        <w:t>. The purpose of the restructure was to ensure the AOFM was delivering on its responsibilities efficiently and to position the AOFM appropriately for the future.</w:t>
      </w:r>
    </w:p>
    <w:p w14:paraId="3DD7D479" w14:textId="6D8902D1" w:rsidR="00416476" w:rsidRDefault="00416476" w:rsidP="005A63B9">
      <w:pPr>
        <w:spacing w:line="276" w:lineRule="auto"/>
      </w:pPr>
      <w:r>
        <w:t xml:space="preserve">The Secretary </w:t>
      </w:r>
      <w:r w:rsidR="00931B17">
        <w:t xml:space="preserve">to </w:t>
      </w:r>
      <w:r>
        <w:t xml:space="preserve">the Treasury commissioned this Review </w:t>
      </w:r>
      <w:r w:rsidR="00F4459D">
        <w:t xml:space="preserve">in February </w:t>
      </w:r>
      <w:r w:rsidR="009919F4">
        <w:t xml:space="preserve">2026 </w:t>
      </w:r>
      <w:r>
        <w:t>to consider the operations, capability and organisational effectiveness of the AOFM following this reorganisation. The review was tasked with focusing on the effectiveness and capability of the AOFM in its:</w:t>
      </w:r>
    </w:p>
    <w:p w14:paraId="1A297D89" w14:textId="050CB2C6" w:rsidR="00416476" w:rsidRDefault="00416476" w:rsidP="005A63B9">
      <w:pPr>
        <w:pStyle w:val="ListParagraph"/>
        <w:numPr>
          <w:ilvl w:val="0"/>
          <w:numId w:val="37"/>
        </w:numPr>
        <w:spacing w:line="276" w:lineRule="auto"/>
      </w:pPr>
      <w:r>
        <w:t xml:space="preserve">Approach to financing the </w:t>
      </w:r>
      <w:r w:rsidR="00FA7D9E">
        <w:t>operations of</w:t>
      </w:r>
      <w:r w:rsidR="00D61562">
        <w:t xml:space="preserve"> </w:t>
      </w:r>
      <w:r>
        <w:t>government</w:t>
      </w:r>
    </w:p>
    <w:p w14:paraId="48849F69" w14:textId="02CF2FED" w:rsidR="00416476" w:rsidRDefault="00416476" w:rsidP="005A63B9">
      <w:pPr>
        <w:pStyle w:val="ListParagraph"/>
        <w:numPr>
          <w:ilvl w:val="0"/>
          <w:numId w:val="37"/>
        </w:numPr>
        <w:spacing w:line="276" w:lineRule="auto"/>
      </w:pPr>
      <w:r>
        <w:t>Management of the cash portfolio</w:t>
      </w:r>
    </w:p>
    <w:p w14:paraId="616E4ADF" w14:textId="19115232" w:rsidR="00416476" w:rsidRDefault="00416476" w:rsidP="005A63B9">
      <w:pPr>
        <w:pStyle w:val="ListParagraph"/>
        <w:numPr>
          <w:ilvl w:val="0"/>
          <w:numId w:val="37"/>
        </w:numPr>
        <w:spacing w:line="276" w:lineRule="auto"/>
      </w:pPr>
      <w:r>
        <w:t>Frameworks for risk management and compliance</w:t>
      </w:r>
    </w:p>
    <w:p w14:paraId="28FF7328" w14:textId="3B1AC172" w:rsidR="00416476" w:rsidRDefault="00416476" w:rsidP="005A63B9">
      <w:pPr>
        <w:pStyle w:val="ListParagraph"/>
        <w:numPr>
          <w:ilvl w:val="0"/>
          <w:numId w:val="37"/>
        </w:numPr>
        <w:spacing w:line="276" w:lineRule="auto"/>
      </w:pPr>
      <w:r>
        <w:t>External reporting and governance structures between the AOFM and Treasury.</w:t>
      </w:r>
    </w:p>
    <w:p w14:paraId="2EE60D55" w14:textId="3F2DAE21" w:rsidR="00416476" w:rsidRDefault="00416476" w:rsidP="005A63B9">
      <w:pPr>
        <w:spacing w:line="276" w:lineRule="auto"/>
      </w:pPr>
      <w:r>
        <w:t xml:space="preserve">This report details the findings of the Review. </w:t>
      </w:r>
      <w:r w:rsidR="00D2216C">
        <w:t>Eac</w:t>
      </w:r>
      <w:r>
        <w:t>h</w:t>
      </w:r>
      <w:r w:rsidR="00D2216C">
        <w:t xml:space="preserve"> of</w:t>
      </w:r>
      <w:r>
        <w:t xml:space="preserve"> these four areas of focus of the </w:t>
      </w:r>
      <w:hyperlink r:id="rId26" w:history="1">
        <w:r w:rsidR="009C7F45" w:rsidRPr="00FD52D8">
          <w:rPr>
            <w:rStyle w:val="Hyperlink"/>
          </w:rPr>
          <w:t xml:space="preserve">Terms </w:t>
        </w:r>
        <w:r w:rsidRPr="00FD52D8">
          <w:rPr>
            <w:rStyle w:val="Hyperlink"/>
          </w:rPr>
          <w:t xml:space="preserve">of </w:t>
        </w:r>
        <w:r w:rsidR="009C7F45" w:rsidRPr="00FD52D8">
          <w:rPr>
            <w:rStyle w:val="Hyperlink"/>
          </w:rPr>
          <w:t>Reference</w:t>
        </w:r>
      </w:hyperlink>
      <w:r w:rsidR="009C7F45">
        <w:t xml:space="preserve"> </w:t>
      </w:r>
      <w:r>
        <w:t>of the Review</w:t>
      </w:r>
      <w:r w:rsidR="00D2216C">
        <w:t xml:space="preserve"> are considered in turn below</w:t>
      </w:r>
      <w:r>
        <w:t>.</w:t>
      </w:r>
      <w:r w:rsidR="00F4459D">
        <w:t xml:space="preserve"> In addition, there is a section that explicitly assesses the capability of the various areas of the AOFM.</w:t>
      </w:r>
    </w:p>
    <w:p w14:paraId="354E425A" w14:textId="48012748" w:rsidR="0030736D" w:rsidRDefault="0030736D" w:rsidP="005A63B9">
      <w:pPr>
        <w:spacing w:line="276" w:lineRule="auto"/>
      </w:pPr>
      <w:r>
        <w:t xml:space="preserve">The Review team consisted of </w:t>
      </w:r>
      <w:r w:rsidR="0070109A">
        <w:t xml:space="preserve">Jess Blake and Chris Efklides from </w:t>
      </w:r>
      <w:r w:rsidR="005739D8">
        <w:t>the Treasury under the direction of Guy Debelle</w:t>
      </w:r>
      <w:r w:rsidR="00441343">
        <w:t xml:space="preserve">. </w:t>
      </w:r>
    </w:p>
    <w:p w14:paraId="2FEE77D6" w14:textId="57F7C8BB" w:rsidR="00F4459D" w:rsidRDefault="00416476" w:rsidP="005A63B9">
      <w:pPr>
        <w:spacing w:line="276" w:lineRule="auto"/>
      </w:pPr>
      <w:r>
        <w:t xml:space="preserve">In formulating its findings, the Review team read a range of internal and external AOFM documents. </w:t>
      </w:r>
      <w:r w:rsidR="00F4459D">
        <w:t xml:space="preserve">These included papers and minutes prepared for the various internal meetings of the AOFM, including the Advisory Board, the Audit and Risk Committee and the </w:t>
      </w:r>
      <w:r w:rsidR="009458A8">
        <w:t xml:space="preserve">cash </w:t>
      </w:r>
      <w:r w:rsidR="00F4459D">
        <w:t>meetings</w:t>
      </w:r>
      <w:r w:rsidR="009458A8">
        <w:t>,</w:t>
      </w:r>
      <w:r w:rsidR="00F4459D">
        <w:t xml:space="preserve"> as well as the core strategic documents of the AOFM, namely the Debt Management Strategy and the Liquidity Management Strategy. </w:t>
      </w:r>
      <w:r w:rsidR="00EC55A8">
        <w:t>The ANAO Performance Audit</w:t>
      </w:r>
      <w:r w:rsidR="009C5FAA">
        <w:t xml:space="preserve"> of the AOFM in 2024 was a useful re</w:t>
      </w:r>
      <w:r w:rsidR="00915F86">
        <w:t>source.</w:t>
      </w:r>
      <w:r w:rsidR="00915F86" w:rsidRPr="006934AF">
        <w:rPr>
          <w:rStyle w:val="FootnoteReference"/>
          <w:vertAlign w:val="superscript"/>
        </w:rPr>
        <w:footnoteReference w:id="2"/>
      </w:r>
    </w:p>
    <w:p w14:paraId="0FE9E9F1" w14:textId="0C351F4C" w:rsidR="00416476" w:rsidRDefault="00416476" w:rsidP="005A63B9">
      <w:pPr>
        <w:spacing w:line="276" w:lineRule="auto"/>
      </w:pPr>
      <w:r>
        <w:t xml:space="preserve">In </w:t>
      </w:r>
      <w:proofErr w:type="gramStart"/>
      <w:r>
        <w:t>add</w:t>
      </w:r>
      <w:r w:rsidR="006934AF">
        <w:t>i</w:t>
      </w:r>
      <w:r>
        <w:t>tion</w:t>
      </w:r>
      <w:proofErr w:type="gramEnd"/>
      <w:r>
        <w:t xml:space="preserve"> the Review team interviewed:</w:t>
      </w:r>
    </w:p>
    <w:p w14:paraId="1ECCCDE8" w14:textId="093818F1" w:rsidR="00416476" w:rsidRDefault="00416476" w:rsidP="005A63B9">
      <w:pPr>
        <w:pStyle w:val="ListParagraph"/>
        <w:numPr>
          <w:ilvl w:val="0"/>
          <w:numId w:val="38"/>
        </w:numPr>
        <w:spacing w:line="276" w:lineRule="auto"/>
      </w:pPr>
      <w:r>
        <w:t xml:space="preserve">current and former staff of the </w:t>
      </w:r>
      <w:proofErr w:type="gramStart"/>
      <w:r>
        <w:t>AOFM</w:t>
      </w:r>
      <w:r w:rsidR="009458A8">
        <w:t>;</w:t>
      </w:r>
      <w:proofErr w:type="gramEnd"/>
    </w:p>
    <w:p w14:paraId="51CA772E" w14:textId="6E4075AD" w:rsidR="00416476" w:rsidRDefault="00416476" w:rsidP="005A63B9">
      <w:pPr>
        <w:pStyle w:val="ListParagraph"/>
        <w:numPr>
          <w:ilvl w:val="0"/>
          <w:numId w:val="38"/>
        </w:numPr>
        <w:spacing w:line="276" w:lineRule="auto"/>
      </w:pPr>
      <w:r>
        <w:t xml:space="preserve">all members of the AOFM’s </w:t>
      </w:r>
      <w:r w:rsidR="00FE091E">
        <w:t xml:space="preserve">Advisory </w:t>
      </w:r>
      <w:proofErr w:type="gramStart"/>
      <w:r w:rsidR="00FE091E">
        <w:t>Board</w:t>
      </w:r>
      <w:r w:rsidR="009458A8">
        <w:t>;</w:t>
      </w:r>
      <w:proofErr w:type="gramEnd"/>
    </w:p>
    <w:p w14:paraId="1154847A" w14:textId="78EE7319" w:rsidR="00416476" w:rsidRDefault="00416476" w:rsidP="005A63B9">
      <w:pPr>
        <w:pStyle w:val="ListParagraph"/>
        <w:numPr>
          <w:ilvl w:val="0"/>
          <w:numId w:val="38"/>
        </w:numPr>
        <w:spacing w:line="276" w:lineRule="auto"/>
      </w:pPr>
      <w:r>
        <w:t xml:space="preserve">all members of the AOFM’s Audit and Risk </w:t>
      </w:r>
      <w:proofErr w:type="gramStart"/>
      <w:r>
        <w:t>Committee</w:t>
      </w:r>
      <w:r w:rsidR="009458A8">
        <w:t>;</w:t>
      </w:r>
      <w:proofErr w:type="gramEnd"/>
    </w:p>
    <w:p w14:paraId="77EAFD15" w14:textId="34D231D9" w:rsidR="00416476" w:rsidRDefault="00416476" w:rsidP="005A63B9">
      <w:pPr>
        <w:pStyle w:val="ListParagraph"/>
        <w:numPr>
          <w:ilvl w:val="0"/>
          <w:numId w:val="38"/>
        </w:numPr>
        <w:spacing w:line="276" w:lineRule="auto"/>
      </w:pPr>
      <w:r>
        <w:t xml:space="preserve">the </w:t>
      </w:r>
      <w:r w:rsidR="00F4459D">
        <w:t xml:space="preserve">heads of the </w:t>
      </w:r>
      <w:r>
        <w:t xml:space="preserve">various state borrowing </w:t>
      </w:r>
      <w:proofErr w:type="gramStart"/>
      <w:r>
        <w:t>authorities</w:t>
      </w:r>
      <w:r w:rsidR="009458A8">
        <w:t>;</w:t>
      </w:r>
      <w:proofErr w:type="gramEnd"/>
    </w:p>
    <w:p w14:paraId="07FB9AD0" w14:textId="0BD7DBB1" w:rsidR="00416476" w:rsidRDefault="00F63632" w:rsidP="005A63B9">
      <w:pPr>
        <w:pStyle w:val="ListParagraph"/>
        <w:numPr>
          <w:ilvl w:val="0"/>
          <w:numId w:val="38"/>
        </w:numPr>
        <w:spacing w:line="276" w:lineRule="auto"/>
      </w:pPr>
      <w:r>
        <w:t xml:space="preserve">the </w:t>
      </w:r>
      <w:proofErr w:type="gramStart"/>
      <w:r w:rsidR="00416476">
        <w:t>Treasury</w:t>
      </w:r>
      <w:r w:rsidR="009458A8">
        <w:t>;</w:t>
      </w:r>
      <w:proofErr w:type="gramEnd"/>
    </w:p>
    <w:p w14:paraId="3C85DB0D" w14:textId="587EACA6" w:rsidR="00416476" w:rsidRDefault="00416476" w:rsidP="005A63B9">
      <w:pPr>
        <w:pStyle w:val="ListParagraph"/>
        <w:numPr>
          <w:ilvl w:val="0"/>
          <w:numId w:val="38"/>
        </w:numPr>
        <w:spacing w:line="276" w:lineRule="auto"/>
      </w:pPr>
      <w:r>
        <w:t xml:space="preserve">the Reserve Bank of </w:t>
      </w:r>
      <w:proofErr w:type="gramStart"/>
      <w:r>
        <w:t>Australia</w:t>
      </w:r>
      <w:r w:rsidR="00F63632">
        <w:t>;</w:t>
      </w:r>
      <w:proofErr w:type="gramEnd"/>
    </w:p>
    <w:p w14:paraId="42D0E368" w14:textId="534B4C86" w:rsidR="00416476" w:rsidRDefault="00416476" w:rsidP="005A63B9">
      <w:pPr>
        <w:pStyle w:val="ListParagraph"/>
        <w:numPr>
          <w:ilvl w:val="0"/>
          <w:numId w:val="38"/>
        </w:numPr>
        <w:spacing w:line="276" w:lineRule="auto"/>
      </w:pPr>
      <w:r>
        <w:t xml:space="preserve">the New Zealand Debt Management </w:t>
      </w:r>
      <w:proofErr w:type="gramStart"/>
      <w:r>
        <w:t>Office</w:t>
      </w:r>
      <w:r w:rsidR="009458A8">
        <w:t>;</w:t>
      </w:r>
      <w:proofErr w:type="gramEnd"/>
    </w:p>
    <w:p w14:paraId="5D61338F" w14:textId="7A252E73" w:rsidR="00416476" w:rsidRDefault="00416476" w:rsidP="005A63B9">
      <w:pPr>
        <w:pStyle w:val="ListParagraph"/>
        <w:numPr>
          <w:ilvl w:val="0"/>
          <w:numId w:val="38"/>
        </w:numPr>
        <w:spacing w:line="276" w:lineRule="auto"/>
      </w:pPr>
      <w:r>
        <w:t xml:space="preserve">the Australian National Audit </w:t>
      </w:r>
      <w:proofErr w:type="gramStart"/>
      <w:r>
        <w:t>Office</w:t>
      </w:r>
      <w:r w:rsidR="00F63632">
        <w:t>;</w:t>
      </w:r>
      <w:proofErr w:type="gramEnd"/>
    </w:p>
    <w:p w14:paraId="7A68FBB0" w14:textId="3B637AEF" w:rsidR="00416476" w:rsidRDefault="00416476" w:rsidP="005A63B9">
      <w:pPr>
        <w:pStyle w:val="ListParagraph"/>
        <w:numPr>
          <w:ilvl w:val="0"/>
          <w:numId w:val="38"/>
        </w:numPr>
        <w:spacing w:line="276" w:lineRule="auto"/>
      </w:pPr>
      <w:r>
        <w:t xml:space="preserve">the main panel banks who facilitate the AOFM’s borrowing </w:t>
      </w:r>
      <w:proofErr w:type="gramStart"/>
      <w:r>
        <w:t>program</w:t>
      </w:r>
      <w:r w:rsidR="00FE091E">
        <w:t>;</w:t>
      </w:r>
      <w:proofErr w:type="gramEnd"/>
    </w:p>
    <w:p w14:paraId="2A1156C0" w14:textId="033985B4" w:rsidR="00416476" w:rsidRDefault="00416476" w:rsidP="005A63B9">
      <w:pPr>
        <w:pStyle w:val="ListParagraph"/>
        <w:numPr>
          <w:ilvl w:val="0"/>
          <w:numId w:val="38"/>
        </w:numPr>
        <w:spacing w:line="276" w:lineRule="auto"/>
      </w:pPr>
      <w:r>
        <w:t>a range of investors, including asset managers, banks and super funds</w:t>
      </w:r>
      <w:r w:rsidR="00FE091E">
        <w:t>; and</w:t>
      </w:r>
    </w:p>
    <w:p w14:paraId="1CB4A6E5" w14:textId="43BF6366" w:rsidR="00DF7E29" w:rsidRDefault="00416476" w:rsidP="005A63B9">
      <w:pPr>
        <w:pStyle w:val="ListParagraph"/>
        <w:numPr>
          <w:ilvl w:val="0"/>
          <w:numId w:val="38"/>
        </w:numPr>
        <w:spacing w:line="276" w:lineRule="auto"/>
      </w:pPr>
      <w:r>
        <w:t xml:space="preserve">financial market industry </w:t>
      </w:r>
      <w:r w:rsidRPr="00CB705A">
        <w:t>associations.</w:t>
      </w:r>
    </w:p>
    <w:p w14:paraId="4236048A" w14:textId="054DA971" w:rsidR="00416476" w:rsidRDefault="00416476" w:rsidP="005A63B9">
      <w:pPr>
        <w:spacing w:line="276" w:lineRule="auto"/>
      </w:pPr>
      <w:r>
        <w:t>The Review thanks all the people that participated in the interviews for their helpful and constructive engagement.</w:t>
      </w:r>
    </w:p>
    <w:p w14:paraId="435520CE" w14:textId="77777777" w:rsidR="00652D29" w:rsidRDefault="00652D29">
      <w:pPr>
        <w:spacing w:before="0" w:after="160" w:line="259" w:lineRule="auto"/>
        <w:rPr>
          <w:rFonts w:ascii="Calibri" w:hAnsi="Calibri" w:cs="Arial"/>
          <w:b/>
          <w:color w:val="5D779D" w:themeColor="accent3"/>
          <w:kern w:val="32"/>
          <w:sz w:val="44"/>
          <w:szCs w:val="36"/>
        </w:rPr>
      </w:pPr>
      <w:r>
        <w:br w:type="page"/>
      </w:r>
    </w:p>
    <w:p w14:paraId="44C78BD8" w14:textId="1A978EFC" w:rsidR="00F54624" w:rsidRDefault="00F54624" w:rsidP="00F54624">
      <w:pPr>
        <w:pStyle w:val="Heading1"/>
      </w:pPr>
      <w:bookmarkStart w:id="13" w:name="_Toc227237291"/>
      <w:bookmarkStart w:id="14" w:name="_Toc227313943"/>
      <w:r>
        <w:t>Debt Management Strategy</w:t>
      </w:r>
      <w:bookmarkEnd w:id="13"/>
      <w:bookmarkEnd w:id="14"/>
    </w:p>
    <w:p w14:paraId="09E7C70D" w14:textId="47D6D723" w:rsidR="00457388" w:rsidRDefault="00457388" w:rsidP="00656FA9">
      <w:pPr>
        <w:pStyle w:val="Bullet"/>
        <w:numPr>
          <w:ilvl w:val="0"/>
          <w:numId w:val="0"/>
        </w:numPr>
      </w:pPr>
      <w:r>
        <w:t xml:space="preserve">The core business of the AOFM is issuing Australian Government Securities (AGS) to finance </w:t>
      </w:r>
      <w:r w:rsidR="00D2216C">
        <w:t xml:space="preserve">the </w:t>
      </w:r>
      <w:r>
        <w:t xml:space="preserve">Commonwealth </w:t>
      </w:r>
      <w:r w:rsidR="00D2216C">
        <w:t>government</w:t>
      </w:r>
      <w:r>
        <w:t xml:space="preserve"> and managing the portfolio of outstanding AGS. To govern the performance of this role, the AOFM sets an annual Debt Management Strategy (</w:t>
      </w:r>
      <w:r w:rsidR="00F4459D">
        <w:t xml:space="preserve">hereafter the </w:t>
      </w:r>
      <w:r>
        <w:t xml:space="preserve">Strategy). </w:t>
      </w:r>
      <w:r w:rsidR="00D2216C" w:rsidRPr="00D2216C">
        <w:t>At the same time and alongside the Strategy, the AOFM also formulates its Liquidity Management Strategy</w:t>
      </w:r>
      <w:r w:rsidR="00D2216C">
        <w:t xml:space="preserve"> which is discussed separately</w:t>
      </w:r>
      <w:r w:rsidR="00142B0C">
        <w:t xml:space="preserve"> below. </w:t>
      </w:r>
    </w:p>
    <w:p w14:paraId="08117237" w14:textId="0B40996E" w:rsidR="003403F9" w:rsidRDefault="00824BE6" w:rsidP="007F3773">
      <w:pPr>
        <w:pStyle w:val="Bullet"/>
        <w:numPr>
          <w:ilvl w:val="0"/>
          <w:numId w:val="0"/>
        </w:numPr>
      </w:pPr>
      <w:r>
        <w:t xml:space="preserve">The nature of the portfolio of outstanding AGS has changed over time. In particular, the face value of outstanding AGS has grown substantially, due to the cumulative impact of Commonwealth fiscal deficits incurred since the </w:t>
      </w:r>
      <w:r w:rsidR="00FE091E">
        <w:t xml:space="preserve">Global </w:t>
      </w:r>
      <w:r w:rsidR="00FE091E" w:rsidRPr="00E42FE3">
        <w:t xml:space="preserve">Financial Crisis </w:t>
      </w:r>
      <w:r w:rsidR="00E42FE3" w:rsidRPr="00E42FE3">
        <w:t>(</w:t>
      </w:r>
      <w:r w:rsidRPr="00E42FE3">
        <w:t xml:space="preserve">see </w:t>
      </w:r>
      <w:r w:rsidR="00E42FE3">
        <w:t>C</w:t>
      </w:r>
      <w:r w:rsidRPr="00E42FE3">
        <w:t xml:space="preserve">hart </w:t>
      </w:r>
      <w:r w:rsidR="00FD3AC8" w:rsidRPr="00E42FE3">
        <w:t>1</w:t>
      </w:r>
      <w:r w:rsidR="00E42FE3" w:rsidRPr="00E42FE3">
        <w:t>)</w:t>
      </w:r>
      <w:r w:rsidRPr="00E42FE3">
        <w:t>.</w:t>
      </w:r>
      <w:r>
        <w:t xml:space="preserve"> The increasing scale of </w:t>
      </w:r>
      <w:r w:rsidR="00CD33CC">
        <w:t xml:space="preserve">this core function of the AOFM </w:t>
      </w:r>
      <w:r w:rsidR="003403F9">
        <w:t>serves as important framing for the setting of the annual Strategy.</w:t>
      </w:r>
    </w:p>
    <w:p w14:paraId="5DC0B47B" w14:textId="6C0B9A09" w:rsidR="00824BE6" w:rsidRPr="00D95193" w:rsidRDefault="00824BE6" w:rsidP="00824BE6">
      <w:pPr>
        <w:pStyle w:val="Bullet"/>
        <w:numPr>
          <w:ilvl w:val="0"/>
          <w:numId w:val="0"/>
        </w:numPr>
        <w:ind w:left="284" w:hanging="284"/>
        <w:rPr>
          <w:b/>
          <w:bCs/>
        </w:rPr>
      </w:pPr>
      <w:r w:rsidRPr="00D95193">
        <w:rPr>
          <w:b/>
          <w:bCs/>
        </w:rPr>
        <w:t xml:space="preserve">Chart </w:t>
      </w:r>
      <w:r w:rsidR="00E42FE3">
        <w:rPr>
          <w:b/>
          <w:bCs/>
        </w:rPr>
        <w:t>1</w:t>
      </w:r>
      <w:r w:rsidRPr="00D95193">
        <w:rPr>
          <w:b/>
          <w:bCs/>
        </w:rPr>
        <w:t>: AGS on issue ($ billions, face value)</w:t>
      </w:r>
    </w:p>
    <w:p w14:paraId="44D8BCB5" w14:textId="77777777" w:rsidR="00824BE6" w:rsidRDefault="00824BE6" w:rsidP="002D7663">
      <w:pPr>
        <w:pStyle w:val="Bullet"/>
        <w:numPr>
          <w:ilvl w:val="0"/>
          <w:numId w:val="0"/>
        </w:numPr>
        <w:ind w:left="284" w:hanging="284"/>
        <w:jc w:val="center"/>
      </w:pPr>
      <w:r>
        <w:rPr>
          <w:noProof/>
        </w:rPr>
        <w:drawing>
          <wp:inline distT="0" distB="0" distL="0" distR="0" wp14:anchorId="7E18C9CC" wp14:editId="25CDD5DF">
            <wp:extent cx="5390985" cy="2568772"/>
            <wp:effectExtent l="0" t="0" r="0" b="3175"/>
            <wp:docPr id="1771620629" name="Picture 3" descr="This chart shows the amount of AGS on issue. The amount steadily rises from 2003-04 to 2023-24 and is expected to continue. The amount increases from around $50 billion on issue in 2003-04 to a predicted $1 trillion in 20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20629" name="Picture 3" descr="This chart shows the amount of AGS on issue. The amount steadily rises from 2003-04 to 2023-24 and is expected to continue. The amount increases from around $50 billion on issue in 2003-04 to a predicted $1 trillion in 2026-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0985" cy="2568772"/>
                    </a:xfrm>
                    <a:prstGeom prst="rect">
                      <a:avLst/>
                    </a:prstGeom>
                    <a:noFill/>
                  </pic:spPr>
                </pic:pic>
              </a:graphicData>
            </a:graphic>
          </wp:inline>
        </w:drawing>
      </w:r>
    </w:p>
    <w:p w14:paraId="49CC466B" w14:textId="77777777" w:rsidR="00824BE6" w:rsidRPr="00171086" w:rsidRDefault="00824BE6" w:rsidP="00824BE6">
      <w:pPr>
        <w:pStyle w:val="Bullet"/>
        <w:numPr>
          <w:ilvl w:val="0"/>
          <w:numId w:val="0"/>
        </w:numPr>
        <w:ind w:left="284" w:hanging="284"/>
        <w:rPr>
          <w:i/>
          <w:iCs/>
        </w:rPr>
      </w:pPr>
      <w:r w:rsidRPr="00171086">
        <w:rPr>
          <w:i/>
          <w:iCs/>
        </w:rPr>
        <w:t>Source: 2025-26 Mid-Year Economic and Fiscal Outlook (historical tables)</w:t>
      </w:r>
    </w:p>
    <w:p w14:paraId="1BCBF313" w14:textId="0CC0F02F" w:rsidR="00457388" w:rsidRDefault="00457388" w:rsidP="00604480">
      <w:pPr>
        <w:pStyle w:val="Bullet"/>
        <w:numPr>
          <w:ilvl w:val="0"/>
          <w:numId w:val="0"/>
        </w:numPr>
      </w:pPr>
      <w:r>
        <w:t xml:space="preserve">The Strategy outlines the AOFM’s approach to issuing AGS for the </w:t>
      </w:r>
      <w:r w:rsidR="00D1209A">
        <w:t>fiscal</w:t>
      </w:r>
      <w:r>
        <w:t xml:space="preserve"> year ahead, and is informed by:</w:t>
      </w:r>
    </w:p>
    <w:p w14:paraId="7A38DFF6" w14:textId="28E9323C" w:rsidR="00457388" w:rsidRDefault="00457388" w:rsidP="00604480">
      <w:pPr>
        <w:pStyle w:val="Bullet"/>
      </w:pPr>
      <w:r>
        <w:t xml:space="preserve">The expected financing task (as </w:t>
      </w:r>
      <w:r w:rsidR="003979E3">
        <w:t>contained</w:t>
      </w:r>
      <w:r>
        <w:t xml:space="preserve"> in the annual Commonwealth Budget</w:t>
      </w:r>
      <w:proofErr w:type="gramStart"/>
      <w:r>
        <w:t>);</w:t>
      </w:r>
      <w:proofErr w:type="gramEnd"/>
    </w:p>
    <w:p w14:paraId="72F4EC2E" w14:textId="608B9924" w:rsidR="00457388" w:rsidRDefault="00457388" w:rsidP="00604480">
      <w:pPr>
        <w:pStyle w:val="Bullet"/>
      </w:pPr>
      <w:r>
        <w:t xml:space="preserve">Financial market conditions, including the shape of the </w:t>
      </w:r>
      <w:r w:rsidR="003979E3">
        <w:t xml:space="preserve">government bond </w:t>
      </w:r>
      <w:r>
        <w:t xml:space="preserve">yield curve and estimated term </w:t>
      </w:r>
      <w:proofErr w:type="gramStart"/>
      <w:r>
        <w:t>premia;</w:t>
      </w:r>
      <w:proofErr w:type="gramEnd"/>
    </w:p>
    <w:p w14:paraId="39159ED1" w14:textId="77777777" w:rsidR="00457388" w:rsidRDefault="00457388" w:rsidP="00604480">
      <w:pPr>
        <w:pStyle w:val="Bullet"/>
      </w:pPr>
      <w:r>
        <w:t xml:space="preserve">Refinancing requirements as AGS mature and are subsequently rolled </w:t>
      </w:r>
      <w:proofErr w:type="gramStart"/>
      <w:r>
        <w:t>over;</w:t>
      </w:r>
      <w:proofErr w:type="gramEnd"/>
      <w:r>
        <w:t xml:space="preserve"> </w:t>
      </w:r>
    </w:p>
    <w:p w14:paraId="0D7A8661" w14:textId="77777777" w:rsidR="00457388" w:rsidRDefault="00457388" w:rsidP="00604480">
      <w:pPr>
        <w:pStyle w:val="Bullet"/>
      </w:pPr>
      <w:r>
        <w:t>Liaison with stakeholders, including through the AOFM’s Issuance Strategy Survey; and</w:t>
      </w:r>
    </w:p>
    <w:p w14:paraId="1F2C7209" w14:textId="2C459EA7" w:rsidR="003979E3" w:rsidRDefault="00457388" w:rsidP="003979E3">
      <w:pPr>
        <w:pStyle w:val="Bullet"/>
      </w:pPr>
      <w:r>
        <w:t>The AOFM’s longer-term priorities surrounding the Australian sovereign debt market</w:t>
      </w:r>
      <w:r w:rsidR="003979E3">
        <w:t>.</w:t>
      </w:r>
    </w:p>
    <w:p w14:paraId="508F4A4C" w14:textId="40302175" w:rsidR="003979E3" w:rsidRDefault="003979E3" w:rsidP="003979E3">
      <w:pPr>
        <w:pStyle w:val="Bullet"/>
        <w:numPr>
          <w:ilvl w:val="0"/>
          <w:numId w:val="0"/>
        </w:numPr>
      </w:pPr>
      <w:r>
        <w:t xml:space="preserve">These priorities include the maintenance of a deep, liquid and well-functioning </w:t>
      </w:r>
      <w:r w:rsidR="001E4176">
        <w:t>Government</w:t>
      </w:r>
      <w:r>
        <w:t xml:space="preserve"> bond market. The Government bond market is the risk-free reference rate for financial market pricing in the Australian economy. </w:t>
      </w:r>
      <w:r w:rsidR="00F4459D">
        <w:t>I</w:t>
      </w:r>
      <w:r>
        <w:t>t is a cr</w:t>
      </w:r>
      <w:r w:rsidR="00A25F15">
        <w:t>i</w:t>
      </w:r>
      <w:r>
        <w:t xml:space="preserve">tical piece of financial market infrastructure. </w:t>
      </w:r>
    </w:p>
    <w:p w14:paraId="3081F189" w14:textId="5CDE05B1" w:rsidR="00457388" w:rsidRDefault="009908D1" w:rsidP="003979E3">
      <w:pPr>
        <w:pStyle w:val="Bullet"/>
        <w:numPr>
          <w:ilvl w:val="0"/>
          <w:numId w:val="0"/>
        </w:numPr>
      </w:pPr>
      <w:r>
        <w:t>The AOFM’s o</w:t>
      </w:r>
      <w:r w:rsidR="003979E3">
        <w:t>ther priorities i</w:t>
      </w:r>
      <w:r w:rsidR="00457388">
        <w:t>nclud</w:t>
      </w:r>
      <w:r w:rsidR="003979E3">
        <w:t>e</w:t>
      </w:r>
      <w:r w:rsidR="00457388">
        <w:t xml:space="preserve"> the establishment and maintenance of new bond lines, </w:t>
      </w:r>
      <w:r w:rsidR="003979E3">
        <w:t xml:space="preserve">support of the bond futures market, </w:t>
      </w:r>
      <w:r w:rsidR="00457388">
        <w:t>extensions of the yield curve to longer-dated instruments</w:t>
      </w:r>
      <w:r w:rsidR="003979E3">
        <w:t>, development of the green bond program and support of the index-linked securities market</w:t>
      </w:r>
      <w:r w:rsidR="00457388">
        <w:t>.</w:t>
      </w:r>
    </w:p>
    <w:p w14:paraId="041BD463" w14:textId="05A65E22" w:rsidR="00457388" w:rsidRDefault="00457388" w:rsidP="00604480">
      <w:pPr>
        <w:pStyle w:val="Bullet"/>
        <w:numPr>
          <w:ilvl w:val="0"/>
          <w:numId w:val="0"/>
        </w:numPr>
      </w:pPr>
      <w:r>
        <w:t xml:space="preserve">The Strategy outlines the mix of securities which the AOFM intends to issue </w:t>
      </w:r>
      <w:r w:rsidR="00604480">
        <w:t>during</w:t>
      </w:r>
      <w:r>
        <w:t xml:space="preserve"> the </w:t>
      </w:r>
      <w:r w:rsidR="00667137">
        <w:t>fiscal</w:t>
      </w:r>
      <w:r>
        <w:t xml:space="preserve"> year ahead. This mix of issuance is calibrated to satisfy the financing task, while simultaneously meeting any other strategic priorities that the AOFM may have. Securities issued typically include a mix of:</w:t>
      </w:r>
    </w:p>
    <w:p w14:paraId="3AAF959C" w14:textId="77777777" w:rsidR="00457388" w:rsidRDefault="00457388" w:rsidP="00604480">
      <w:pPr>
        <w:pStyle w:val="Bullet"/>
      </w:pPr>
      <w:r>
        <w:t>Treasury Bonds (a portion of which includes Green Treasury Bonds, whose issuance proceeds are allocated to eligible green expenditures</w:t>
      </w:r>
      <w:proofErr w:type="gramStart"/>
      <w:r>
        <w:t>);</w:t>
      </w:r>
      <w:proofErr w:type="gramEnd"/>
    </w:p>
    <w:p w14:paraId="7D0B4B9F" w14:textId="77777777" w:rsidR="00457388" w:rsidRDefault="00457388" w:rsidP="00604480">
      <w:pPr>
        <w:pStyle w:val="Bullet"/>
      </w:pPr>
      <w:r>
        <w:t>Treasury Indexed Bonds (i.e. inflation-protected securities); and</w:t>
      </w:r>
    </w:p>
    <w:p w14:paraId="4C57ECA9" w14:textId="11E0994A" w:rsidR="00296A33" w:rsidRDefault="00457388" w:rsidP="00296A33">
      <w:pPr>
        <w:pStyle w:val="Bullet"/>
      </w:pPr>
      <w:r>
        <w:t>Treasury Notes.</w:t>
      </w:r>
    </w:p>
    <w:p w14:paraId="1B20FE2A" w14:textId="797B32F4" w:rsidR="00BF3160" w:rsidRDefault="00BF3160" w:rsidP="00BF3160">
      <w:pPr>
        <w:pStyle w:val="Heading2"/>
      </w:pPr>
      <w:bookmarkStart w:id="15" w:name="_Toc227237292"/>
      <w:bookmarkStart w:id="16" w:name="_Toc227313944"/>
      <w:r>
        <w:t>Formu</w:t>
      </w:r>
      <w:r w:rsidR="00F4459D">
        <w:t>l</w:t>
      </w:r>
      <w:r>
        <w:t xml:space="preserve">ation and </w:t>
      </w:r>
      <w:r w:rsidR="00992F26">
        <w:t>E</w:t>
      </w:r>
      <w:r>
        <w:t xml:space="preserve">xecution of the </w:t>
      </w:r>
      <w:r w:rsidR="00F4459D">
        <w:t xml:space="preserve">Debt Management </w:t>
      </w:r>
      <w:r>
        <w:t>Strategy</w:t>
      </w:r>
      <w:bookmarkEnd w:id="15"/>
      <w:bookmarkEnd w:id="16"/>
    </w:p>
    <w:p w14:paraId="5BC355E4" w14:textId="54596061" w:rsidR="00BF3160" w:rsidRDefault="00BF3160" w:rsidP="00BF3160">
      <w:pPr>
        <w:pStyle w:val="Bullet"/>
        <w:numPr>
          <w:ilvl w:val="0"/>
          <w:numId w:val="0"/>
        </w:numPr>
      </w:pPr>
      <w:r>
        <w:t xml:space="preserve">As a key annual deliverable which governs the AOFM’s core business, the Strategy undergoes multiple quality and clearance checkpoints during its </w:t>
      </w:r>
      <w:r w:rsidR="00F4459D">
        <w:t>formulat</w:t>
      </w:r>
      <w:r>
        <w:t>ion</w:t>
      </w:r>
      <w:r w:rsidR="00F66E25">
        <w:t>:</w:t>
      </w:r>
    </w:p>
    <w:p w14:paraId="6FC2F45A" w14:textId="4CEF29BC" w:rsidR="00BF3160" w:rsidRDefault="00BF3160" w:rsidP="00BF3160">
      <w:pPr>
        <w:pStyle w:val="Bullet"/>
      </w:pPr>
      <w:r>
        <w:t xml:space="preserve">The Strategy is drafted by the Funding Strategy and Research team (“FSR”). This team is responsible for the bottom-up construction of the Strategy. The same team is also responsible for the day-to-day operations of executing tenders and syndications to issue the debt in line with the current Strategy in any given </w:t>
      </w:r>
      <w:r w:rsidR="00D1209A">
        <w:t>fiscal</w:t>
      </w:r>
      <w:r>
        <w:t xml:space="preserve"> year.</w:t>
      </w:r>
    </w:p>
    <w:p w14:paraId="25250972" w14:textId="606AD7DC" w:rsidR="00BF3160" w:rsidRDefault="00BF3160" w:rsidP="00BF3160">
      <w:pPr>
        <w:pStyle w:val="Bullet"/>
      </w:pPr>
      <w:r>
        <w:t xml:space="preserve">The draft Strategy produced by FSR is informed by the team’s assessment of overarching financial market and macroeconomic conditions, as well as the financing task identified in the Commonwealth Budget </w:t>
      </w:r>
      <w:r w:rsidR="00401021">
        <w:t>typically</w:t>
      </w:r>
      <w:r>
        <w:t xml:space="preserve"> released in May. The Head of FSR takes carriage of producing this draft.</w:t>
      </w:r>
    </w:p>
    <w:p w14:paraId="35482E77" w14:textId="77777777" w:rsidR="00EA1098" w:rsidRDefault="00F07E7B" w:rsidP="00E0050F">
      <w:pPr>
        <w:pStyle w:val="Bullet"/>
      </w:pPr>
      <w:r>
        <w:t>The Strategy is informed by</w:t>
      </w:r>
      <w:r w:rsidR="00EA1098">
        <w:t>:</w:t>
      </w:r>
    </w:p>
    <w:p w14:paraId="6D19B4E5" w14:textId="5185AF85" w:rsidR="00E0050F" w:rsidRDefault="00F07E7B" w:rsidP="0050732E">
      <w:pPr>
        <w:pStyle w:val="Dash"/>
      </w:pPr>
      <w:r>
        <w:t>a survey of market participants</w:t>
      </w:r>
      <w:r w:rsidR="00E0050F">
        <w:t>,</w:t>
      </w:r>
      <w:r>
        <w:t xml:space="preserve"> </w:t>
      </w:r>
      <w:r w:rsidR="00F4459D">
        <w:t>the</w:t>
      </w:r>
      <w:r w:rsidR="00F4459D" w:rsidRPr="00E0050F">
        <w:t xml:space="preserve"> annual Issuance Strategy Survey</w:t>
      </w:r>
      <w:r w:rsidR="000D70AF">
        <w:t>,</w:t>
      </w:r>
      <w:r w:rsidR="00F4459D">
        <w:t xml:space="preserve"> </w:t>
      </w:r>
      <w:r>
        <w:t>which is conducted b</w:t>
      </w:r>
      <w:r w:rsidR="00E0050F">
        <w:t>y</w:t>
      </w:r>
      <w:r>
        <w:t xml:space="preserve"> the AOFM’s </w:t>
      </w:r>
      <w:r w:rsidR="004048CE">
        <w:t>FSR</w:t>
      </w:r>
      <w:r>
        <w:t xml:space="preserve"> team</w:t>
      </w:r>
      <w:r w:rsidR="00F4459D">
        <w:t xml:space="preserve"> and</w:t>
      </w:r>
      <w:r w:rsidR="00F4459D" w:rsidRPr="00F4459D">
        <w:t xml:space="preserve"> </w:t>
      </w:r>
      <w:r w:rsidR="00F4459D">
        <w:t xml:space="preserve">includes </w:t>
      </w:r>
      <w:proofErr w:type="gramStart"/>
      <w:r w:rsidR="00F4459D">
        <w:t>all of</w:t>
      </w:r>
      <w:proofErr w:type="gramEnd"/>
      <w:r w:rsidR="00F4459D">
        <w:t xml:space="preserve"> the panel banks</w:t>
      </w:r>
      <w:r w:rsidR="00E0050F" w:rsidRPr="00E0050F">
        <w:t>. The</w:t>
      </w:r>
      <w:r w:rsidR="00E0050F">
        <w:t xml:space="preserve"> insights from the survey</w:t>
      </w:r>
      <w:r w:rsidR="00E0050F" w:rsidRPr="00E0050F">
        <w:t xml:space="preserve"> include </w:t>
      </w:r>
      <w:r w:rsidR="00F4459D">
        <w:t>market</w:t>
      </w:r>
      <w:r w:rsidR="00E0050F">
        <w:t xml:space="preserve"> participants’</w:t>
      </w:r>
      <w:r w:rsidR="00E0050F" w:rsidRPr="00E0050F">
        <w:t xml:space="preserve"> expectations for financial and macroeconomic conditions </w:t>
      </w:r>
      <w:r w:rsidR="00F4459D">
        <w:t>as well as</w:t>
      </w:r>
      <w:r w:rsidR="00E0050F" w:rsidRPr="00E0050F">
        <w:t xml:space="preserve"> their anticipated demand for specific instruments, bond lines or </w:t>
      </w:r>
      <w:proofErr w:type="gramStart"/>
      <w:r w:rsidR="00E0050F" w:rsidRPr="00E0050F">
        <w:t>programs</w:t>
      </w:r>
      <w:r w:rsidR="0050732E">
        <w:t>;</w:t>
      </w:r>
      <w:proofErr w:type="gramEnd"/>
    </w:p>
    <w:p w14:paraId="0A2D8E2A" w14:textId="01590DBE" w:rsidR="00CC6D15" w:rsidRDefault="0050732E" w:rsidP="0050732E">
      <w:pPr>
        <w:pStyle w:val="Dash"/>
      </w:pPr>
      <w:r>
        <w:t>p</w:t>
      </w:r>
      <w:r w:rsidR="00CC6D15">
        <w:t xml:space="preserve">eer country analysis and </w:t>
      </w:r>
      <w:proofErr w:type="gramStart"/>
      <w:r w:rsidR="00CC6D15">
        <w:t>comparisons</w:t>
      </w:r>
      <w:r>
        <w:t>;</w:t>
      </w:r>
      <w:proofErr w:type="gramEnd"/>
    </w:p>
    <w:p w14:paraId="205638C3" w14:textId="7A924FF9" w:rsidR="0050732E" w:rsidRDefault="0050732E" w:rsidP="0050732E">
      <w:pPr>
        <w:pStyle w:val="Dash"/>
      </w:pPr>
      <w:r>
        <w:t>q</w:t>
      </w:r>
      <w:r w:rsidR="00CC6D15">
        <w:t>uantitative modelling including scenario analysis</w:t>
      </w:r>
      <w:r w:rsidR="007935F1">
        <w:t>, which</w:t>
      </w:r>
      <w:r w:rsidR="00CC6D15">
        <w:t xml:space="preserve"> is designed to address and understand the cost versus risk trad</w:t>
      </w:r>
      <w:r w:rsidR="00A25169">
        <w:t>e</w:t>
      </w:r>
      <w:r w:rsidR="00CC6D15">
        <w:t xml:space="preserve">-offs in the various </w:t>
      </w:r>
      <w:proofErr w:type="gramStart"/>
      <w:r w:rsidR="00CC6D15">
        <w:t>scenarios;</w:t>
      </w:r>
      <w:proofErr w:type="gramEnd"/>
    </w:p>
    <w:p w14:paraId="261F3B47" w14:textId="0AECFA5B" w:rsidR="00F07E7B" w:rsidRDefault="0050732E" w:rsidP="0050732E">
      <w:pPr>
        <w:pStyle w:val="Dash"/>
      </w:pPr>
      <w:r>
        <w:t>c</w:t>
      </w:r>
      <w:r w:rsidR="00F07E7B">
        <w:t>onversations with the Reserve Bank’s Domestic Markets team.</w:t>
      </w:r>
    </w:p>
    <w:p w14:paraId="18E831DC" w14:textId="3165F983" w:rsidR="00BF3160" w:rsidRDefault="00BF3160" w:rsidP="00BF3160">
      <w:pPr>
        <w:pStyle w:val="Bullet"/>
      </w:pPr>
      <w:r>
        <w:t>The Deputy CEO oversees th</w:t>
      </w:r>
      <w:r w:rsidR="00F07E7B">
        <w:t>is</w:t>
      </w:r>
      <w:r>
        <w:t xml:space="preserve"> process and provides input and challenge to the Strategy. The Deputy CEO is seen as internally accountable for the Strategy.</w:t>
      </w:r>
    </w:p>
    <w:p w14:paraId="1ECD776D" w14:textId="49D4BCA1" w:rsidR="00BF3160" w:rsidRDefault="00585166" w:rsidP="00BF3160">
      <w:pPr>
        <w:pStyle w:val="Bullet"/>
      </w:pPr>
      <w:r>
        <w:t>T</w:t>
      </w:r>
      <w:r w:rsidR="00BF3160">
        <w:t xml:space="preserve">he Strategy </w:t>
      </w:r>
      <w:r w:rsidR="00B26E62">
        <w:t>is then</w:t>
      </w:r>
      <w:r w:rsidR="00BF3160">
        <w:t xml:space="preserve"> presented to the CEO by the Head of FSR and the Deputy CEO for </w:t>
      </w:r>
      <w:r>
        <w:t>the CEO</w:t>
      </w:r>
      <w:r w:rsidR="00E31499">
        <w:t>’s</w:t>
      </w:r>
      <w:r w:rsidR="00BF3160">
        <w:t xml:space="preserve"> review and input. </w:t>
      </w:r>
    </w:p>
    <w:p w14:paraId="29413D7D" w14:textId="1FD81FC5" w:rsidR="00F07E7B" w:rsidRDefault="00BF3160" w:rsidP="00F07E7B">
      <w:pPr>
        <w:pStyle w:val="Bullet"/>
      </w:pPr>
      <w:r w:rsidRPr="00D577B3">
        <w:t xml:space="preserve">Once the CEO has cleared the Strategy, it </w:t>
      </w:r>
      <w:r>
        <w:t xml:space="preserve">is </w:t>
      </w:r>
      <w:r w:rsidRPr="00D577B3">
        <w:t xml:space="preserve">provided to the </w:t>
      </w:r>
      <w:r w:rsidR="00F117AC">
        <w:t xml:space="preserve">AOFM </w:t>
      </w:r>
      <w:r w:rsidRPr="00D577B3">
        <w:t>Advisory Board for review. The Secretary to the Treasury chairs the Advisory Board</w:t>
      </w:r>
      <w:r w:rsidR="00F117AC">
        <w:t>, which also comprises four independent experts with extensive debt and financial market experience</w:t>
      </w:r>
      <w:r>
        <w:t>.</w:t>
      </w:r>
      <w:r w:rsidR="00D82A03" w:rsidRPr="00FA6527">
        <w:rPr>
          <w:rStyle w:val="FootnoteReference"/>
          <w:vertAlign w:val="superscript"/>
        </w:rPr>
        <w:footnoteReference w:id="3"/>
      </w:r>
      <w:r w:rsidRPr="00FA6527">
        <w:rPr>
          <w:vertAlign w:val="superscript"/>
        </w:rPr>
        <w:t xml:space="preserve"> </w:t>
      </w:r>
      <w:r>
        <w:t>The</w:t>
      </w:r>
      <w:r w:rsidR="00F117AC">
        <w:t xml:space="preserve"> Advisory Board members provide their views and feedback on the St</w:t>
      </w:r>
      <w:r w:rsidR="00F07E7B">
        <w:t>r</w:t>
      </w:r>
      <w:r w:rsidR="00F117AC">
        <w:t>ategy.</w:t>
      </w:r>
      <w:r w:rsidR="00F07E7B" w:rsidRPr="00F07E7B">
        <w:t xml:space="preserve"> </w:t>
      </w:r>
      <w:r w:rsidR="00F07E7B">
        <w:t>While the Board provide</w:t>
      </w:r>
      <w:r w:rsidR="00F4459D">
        <w:t>s</w:t>
      </w:r>
      <w:r w:rsidR="00F07E7B">
        <w:t xml:space="preserve"> feedback on the Strategy, it has no formal authority over the Strategy’s direction or settings.</w:t>
      </w:r>
    </w:p>
    <w:p w14:paraId="0C0B19C5" w14:textId="0687B05F" w:rsidR="00782686" w:rsidRDefault="00F07E7B" w:rsidP="008D5519">
      <w:pPr>
        <w:pStyle w:val="Dash"/>
        <w:spacing w:line="276" w:lineRule="auto"/>
      </w:pPr>
      <w:r>
        <w:t xml:space="preserve">Since 2023, the Advisory Board has gathered two to three times per year. </w:t>
      </w:r>
      <w:r w:rsidR="00F4459D">
        <w:t>The Advisory Board meeting</w:t>
      </w:r>
      <w:r w:rsidR="002A529D">
        <w:t>s</w:t>
      </w:r>
      <w:r w:rsidR="00F4459D">
        <w:t xml:space="preserve"> </w:t>
      </w:r>
      <w:r w:rsidR="00337758">
        <w:t>tend to</w:t>
      </w:r>
      <w:r w:rsidR="00F4459D">
        <w:t xml:space="preserve"> only last for one hour. </w:t>
      </w:r>
      <w:r w:rsidR="009E273F">
        <w:t>The Review observes that:</w:t>
      </w:r>
      <w:r w:rsidR="00F4459D">
        <w:t xml:space="preserve"> </w:t>
      </w:r>
    </w:p>
    <w:p w14:paraId="71156F05" w14:textId="77777777" w:rsidR="00782686" w:rsidRDefault="00782686" w:rsidP="00782686">
      <w:pPr>
        <w:pStyle w:val="DoubleDot"/>
      </w:pPr>
      <w:r>
        <w:t xml:space="preserve">The review of the Strategy happens very late in the Strategy formulation process. </w:t>
      </w:r>
      <w:r w:rsidR="00F4459D">
        <w:t xml:space="preserve"> </w:t>
      </w:r>
    </w:p>
    <w:p w14:paraId="0C1D9447" w14:textId="5ADF631E" w:rsidR="00795190" w:rsidRDefault="00F07E7B" w:rsidP="00782686">
      <w:pPr>
        <w:pStyle w:val="DoubleDot"/>
      </w:pPr>
      <w:r>
        <w:t xml:space="preserve">The cadence of </w:t>
      </w:r>
      <w:r w:rsidR="00795190">
        <w:t xml:space="preserve">these </w:t>
      </w:r>
      <w:r>
        <w:t xml:space="preserve">meetings, and their timing, is not conducive to setting the direction of the Strategy during earlier stages of its </w:t>
      </w:r>
      <w:r w:rsidR="00F4459D">
        <w:t>formula</w:t>
      </w:r>
      <w:r>
        <w:t xml:space="preserve">tion. </w:t>
      </w:r>
    </w:p>
    <w:p w14:paraId="2CACD47B" w14:textId="2D0AFAC1" w:rsidR="00F07E7B" w:rsidRDefault="00F07E7B" w:rsidP="009A6B27">
      <w:pPr>
        <w:pStyle w:val="DoubleDot"/>
      </w:pPr>
      <w:r>
        <w:t xml:space="preserve">Accordingly, </w:t>
      </w:r>
      <w:r w:rsidR="00F4459D">
        <w:t>in the current operating environment</w:t>
      </w:r>
      <w:r w:rsidR="00B65232">
        <w:t>,</w:t>
      </w:r>
      <w:r w:rsidR="00F4459D">
        <w:t xml:space="preserve"> </w:t>
      </w:r>
      <w:r>
        <w:t>Advisory Board meetings serve primarily as a fatal flaw review.</w:t>
      </w:r>
    </w:p>
    <w:p w14:paraId="01EB7EA5" w14:textId="2A6BFBC7" w:rsidR="00F07E7B" w:rsidRDefault="00186E6A" w:rsidP="00F117AC">
      <w:pPr>
        <w:pStyle w:val="Bullet"/>
      </w:pPr>
      <w:r>
        <w:t>After</w:t>
      </w:r>
      <w:r w:rsidR="005F74CA">
        <w:t xml:space="preserve"> </w:t>
      </w:r>
      <w:r w:rsidR="00F07E7B">
        <w:t>feedback from the Advisory Board has been consider</w:t>
      </w:r>
      <w:r w:rsidR="005F74CA">
        <w:t>ed</w:t>
      </w:r>
      <w:r w:rsidR="00F07E7B">
        <w:t xml:space="preserve">, </w:t>
      </w:r>
      <w:r w:rsidR="00BF3160" w:rsidRPr="00D577B3">
        <w:t xml:space="preserve">the Secretary </w:t>
      </w:r>
      <w:r w:rsidR="00F07E7B">
        <w:t xml:space="preserve">of the Treasury </w:t>
      </w:r>
      <w:r w:rsidR="008F676F">
        <w:t>approves</w:t>
      </w:r>
      <w:r w:rsidR="00BF3160" w:rsidRPr="00D577B3">
        <w:t xml:space="preserve"> the </w:t>
      </w:r>
      <w:r w:rsidR="00F07E7B">
        <w:t xml:space="preserve">final </w:t>
      </w:r>
      <w:r w:rsidR="00BF3160" w:rsidRPr="00D577B3">
        <w:t>Strategy</w:t>
      </w:r>
      <w:r w:rsidR="00F07E7B">
        <w:t xml:space="preserve">. The Secretary’s authority to </w:t>
      </w:r>
      <w:r w:rsidR="008F676F">
        <w:t>approve</w:t>
      </w:r>
      <w:r w:rsidR="00F07E7B">
        <w:t xml:space="preserve"> the Strategy resides exclusively in her position</w:t>
      </w:r>
      <w:r w:rsidR="00E807B5">
        <w:t xml:space="preserve"> as Secretary</w:t>
      </w:r>
      <w:r w:rsidR="00F07E7B">
        <w:t>, rather than in her position as the chair of the Advisory Board (or with the Board itself).</w:t>
      </w:r>
    </w:p>
    <w:p w14:paraId="27ECB49F" w14:textId="7BE1A08F" w:rsidR="00797012" w:rsidRDefault="00F07E7B" w:rsidP="00797012">
      <w:pPr>
        <w:pStyle w:val="Bullet"/>
      </w:pPr>
      <w:r>
        <w:t xml:space="preserve">Once </w:t>
      </w:r>
      <w:r w:rsidR="00C01641">
        <w:t>approved</w:t>
      </w:r>
      <w:r>
        <w:t>, the Strategy is</w:t>
      </w:r>
      <w:r w:rsidR="00BF3160">
        <w:t xml:space="preserve"> </w:t>
      </w:r>
      <w:r w:rsidR="00BF3160" w:rsidRPr="00D577B3">
        <w:t>formally implemented by the AOFM</w:t>
      </w:r>
      <w:r>
        <w:t xml:space="preserve"> over the fiscal year</w:t>
      </w:r>
      <w:r w:rsidR="00BF3160" w:rsidRPr="00D577B3">
        <w:t>.</w:t>
      </w:r>
      <w:r w:rsidRPr="00F07E7B">
        <w:t xml:space="preserve"> </w:t>
      </w:r>
      <w:r w:rsidRPr="001C467E">
        <w:t xml:space="preserve">FSR </w:t>
      </w:r>
      <w:r>
        <w:t xml:space="preserve">has responsibility for executing the Strategy following its implementation. This includes enacting </w:t>
      </w:r>
      <w:r w:rsidR="009F3BD4">
        <w:t xml:space="preserve">detailed </w:t>
      </w:r>
      <w:r>
        <w:t xml:space="preserve">plans for issuance throughout the </w:t>
      </w:r>
      <w:r w:rsidR="00D1209A">
        <w:t>fiscal</w:t>
      </w:r>
      <w:r>
        <w:t xml:space="preserve"> year and carrying out tenders and syndications according to the issuance plan. </w:t>
      </w:r>
    </w:p>
    <w:p w14:paraId="061A50F1" w14:textId="1CD2DF01" w:rsidR="00051F2A" w:rsidRDefault="002E59E4" w:rsidP="00F07E7B">
      <w:pPr>
        <w:pStyle w:val="Bullet"/>
      </w:pPr>
      <w:r>
        <w:t>D</w:t>
      </w:r>
      <w:r w:rsidR="007354B6">
        <w:t xml:space="preserve">ecisions on </w:t>
      </w:r>
      <w:r w:rsidR="006E399E">
        <w:t>forthcoming</w:t>
      </w:r>
      <w:r w:rsidR="007354B6">
        <w:t xml:space="preserve"> </w:t>
      </w:r>
      <w:r w:rsidR="00530EF4">
        <w:t>bond transactions</w:t>
      </w:r>
      <w:r w:rsidR="007354B6">
        <w:t xml:space="preserve"> </w:t>
      </w:r>
      <w:r w:rsidR="00530EF4">
        <w:t>are</w:t>
      </w:r>
      <w:r w:rsidR="007354B6">
        <w:t xml:space="preserve"> made</w:t>
      </w:r>
      <w:r>
        <w:t xml:space="preserve"> each week</w:t>
      </w:r>
      <w:r w:rsidR="007354B6">
        <w:t xml:space="preserve"> during the</w:t>
      </w:r>
      <w:r w:rsidR="0052363A">
        <w:t xml:space="preserve"> Thursday issuance</w:t>
      </w:r>
      <w:r w:rsidR="007354B6">
        <w:t xml:space="preserve"> meeting, chaired by the Head of FSR</w:t>
      </w:r>
      <w:r w:rsidR="00051F2A">
        <w:t>. The</w:t>
      </w:r>
      <w:r w:rsidR="00797012">
        <w:t xml:space="preserve"> meeting</w:t>
      </w:r>
      <w:r w:rsidR="00051F2A">
        <w:t xml:space="preserve"> </w:t>
      </w:r>
      <w:r w:rsidR="003A714F">
        <w:t xml:space="preserve">considers </w:t>
      </w:r>
      <w:r w:rsidR="00051F2A">
        <w:t xml:space="preserve">dealer bank </w:t>
      </w:r>
      <w:r w:rsidR="003A714F">
        <w:t xml:space="preserve">feedback </w:t>
      </w:r>
      <w:r w:rsidR="00051F2A">
        <w:t>and other intelligence from the Investor Relations team</w:t>
      </w:r>
      <w:r w:rsidR="001F1427">
        <w:t>,</w:t>
      </w:r>
      <w:r w:rsidR="00051F2A">
        <w:t xml:space="preserve"> as well as current market conditions</w:t>
      </w:r>
      <w:r w:rsidR="007C1D5E">
        <w:t xml:space="preserve">. </w:t>
      </w:r>
      <w:r w:rsidR="00530EF4">
        <w:t>I</w:t>
      </w:r>
      <w:r w:rsidR="009D43E0">
        <w:t xml:space="preserve">ssuance </w:t>
      </w:r>
      <w:r w:rsidR="00051F2A">
        <w:t>recommendation</w:t>
      </w:r>
      <w:r w:rsidR="00530EF4">
        <w:t>s are</w:t>
      </w:r>
      <w:r w:rsidR="009D43E0">
        <w:t xml:space="preserve"> then provided</w:t>
      </w:r>
      <w:r w:rsidR="00051F2A">
        <w:t xml:space="preserve"> to the CEO. The final decision for the following week</w:t>
      </w:r>
      <w:r w:rsidR="001F1427">
        <w:t>’</w:t>
      </w:r>
      <w:r w:rsidR="00051F2A">
        <w:t xml:space="preserve">s </w:t>
      </w:r>
      <w:r w:rsidR="007B271B">
        <w:t xml:space="preserve">forthcoming transactions </w:t>
      </w:r>
      <w:r w:rsidR="00051F2A">
        <w:t xml:space="preserve">is then published </w:t>
      </w:r>
      <w:r w:rsidR="002C3E4F">
        <w:t>each</w:t>
      </w:r>
      <w:r w:rsidR="0008597D">
        <w:t xml:space="preserve"> </w:t>
      </w:r>
      <w:r w:rsidR="00051F2A">
        <w:t xml:space="preserve">Friday at </w:t>
      </w:r>
      <w:r w:rsidR="001F1427">
        <w:t>12 </w:t>
      </w:r>
      <w:r w:rsidR="00051F2A">
        <w:t>noon.</w:t>
      </w:r>
      <w:r w:rsidR="007B271B" w:rsidRPr="00040804">
        <w:rPr>
          <w:rStyle w:val="FootnoteReference"/>
          <w:vertAlign w:val="superscript"/>
        </w:rPr>
        <w:footnoteReference w:id="4"/>
      </w:r>
    </w:p>
    <w:p w14:paraId="4655C46B" w14:textId="7E008532" w:rsidR="00797012" w:rsidRDefault="00797012" w:rsidP="00F07E7B">
      <w:pPr>
        <w:pStyle w:val="Bullet"/>
      </w:pPr>
      <w:r>
        <w:t>The Treasury Secretary is provided with a monthly report by the FSR team detailing developments in the debt issuance and a general assessment of bond market developments</w:t>
      </w:r>
      <w:r w:rsidR="00602BD2">
        <w:t xml:space="preserve">. </w:t>
      </w:r>
    </w:p>
    <w:p w14:paraId="065B3D9A" w14:textId="521E6F76" w:rsidR="0008597D" w:rsidRPr="004415EF" w:rsidRDefault="00883948" w:rsidP="0008597D">
      <w:pPr>
        <w:pStyle w:val="Bullet"/>
      </w:pPr>
      <w:r>
        <w:t xml:space="preserve">The AOFM </w:t>
      </w:r>
      <w:r w:rsidR="005254C3">
        <w:t>has formal</w:t>
      </w:r>
      <w:r>
        <w:t xml:space="preserve"> quarterly </w:t>
      </w:r>
      <w:r w:rsidR="0008597D" w:rsidRPr="004415EF">
        <w:t>Portfolio Strategy Meetings</w:t>
      </w:r>
      <w:r w:rsidR="009903D7">
        <w:t xml:space="preserve"> </w:t>
      </w:r>
      <w:r w:rsidR="00297C18">
        <w:t>each</w:t>
      </w:r>
      <w:r w:rsidR="00297C18" w:rsidRPr="004415EF">
        <w:t xml:space="preserve"> </w:t>
      </w:r>
      <w:r w:rsidR="0008597D" w:rsidRPr="004415EF">
        <w:t>year. These meetings provide an opportunity for officials to:</w:t>
      </w:r>
    </w:p>
    <w:p w14:paraId="7556E973" w14:textId="5B0945B5" w:rsidR="0008597D" w:rsidRDefault="00480180" w:rsidP="005F3BAA">
      <w:pPr>
        <w:pStyle w:val="Dash"/>
        <w:spacing w:line="276" w:lineRule="auto"/>
      </w:pPr>
      <w:r>
        <w:t>review</w:t>
      </w:r>
      <w:r w:rsidR="0008597D" w:rsidRPr="00A95F53">
        <w:t xml:space="preserve"> and assess how the Strategy is progressing in the face of evolving financial market and economic conditions</w:t>
      </w:r>
      <w:r w:rsidR="0008597D">
        <w:t>; and</w:t>
      </w:r>
    </w:p>
    <w:p w14:paraId="2246DCF0" w14:textId="57B92D43" w:rsidR="0008597D" w:rsidRPr="00A95F53" w:rsidRDefault="00934B3F" w:rsidP="005F3BAA">
      <w:pPr>
        <w:pStyle w:val="Dash"/>
        <w:spacing w:line="276" w:lineRule="auto"/>
      </w:pPr>
      <w:r>
        <w:t>e</w:t>
      </w:r>
      <w:r w:rsidR="0008597D">
        <w:t xml:space="preserve">ngage in </w:t>
      </w:r>
      <w:r w:rsidR="0008597D" w:rsidRPr="00A95F53">
        <w:t>discussion</w:t>
      </w:r>
      <w:r w:rsidR="0008597D">
        <w:t>s</w:t>
      </w:r>
      <w:r w:rsidR="0008597D" w:rsidRPr="00A95F53">
        <w:t xml:space="preserve"> of </w:t>
      </w:r>
      <w:r w:rsidR="0008597D">
        <w:t>how the S</w:t>
      </w:r>
      <w:r w:rsidR="0008597D" w:rsidRPr="00A95F53">
        <w:t xml:space="preserve">trategy </w:t>
      </w:r>
      <w:r w:rsidR="0008597D">
        <w:t>is likely to evolve over the medium-term (</w:t>
      </w:r>
      <w:r w:rsidR="0008597D" w:rsidRPr="00A95F53">
        <w:t xml:space="preserve">compared with the higher frequency discussions which occur at the weekly </w:t>
      </w:r>
      <w:r w:rsidR="002A7360">
        <w:t>cash</w:t>
      </w:r>
      <w:r w:rsidR="0008597D" w:rsidRPr="00A95F53">
        <w:t xml:space="preserve"> meetings</w:t>
      </w:r>
      <w:r w:rsidR="0008597D">
        <w:t>)</w:t>
      </w:r>
      <w:r w:rsidR="0008597D" w:rsidRPr="00A95F53">
        <w:t>.</w:t>
      </w:r>
    </w:p>
    <w:p w14:paraId="19EA3E8E" w14:textId="0346CD9C" w:rsidR="00147E2A" w:rsidRDefault="0008597D" w:rsidP="00147E2A">
      <w:pPr>
        <w:pStyle w:val="Bullet"/>
      </w:pPr>
      <w:r w:rsidRPr="009903D7">
        <w:t xml:space="preserve">These Portfolio Strategy meetings have been put on hold for the past nine months in the face of the structural changes at the AOFM. </w:t>
      </w:r>
      <w:r w:rsidR="003A497C">
        <w:t>The Review notes</w:t>
      </w:r>
      <w:r w:rsidR="0021601D">
        <w:t xml:space="preserve"> </w:t>
      </w:r>
      <w:r w:rsidR="00E228F3" w:rsidRPr="00E228F3">
        <w:t>the weekly cash meeting</w:t>
      </w:r>
      <w:r w:rsidR="003A497C">
        <w:t>s</w:t>
      </w:r>
      <w:r w:rsidR="00E228F3" w:rsidRPr="00E228F3">
        <w:t xml:space="preserve"> evaluate the progress </w:t>
      </w:r>
      <w:r w:rsidR="00F417CB">
        <w:t xml:space="preserve">of </w:t>
      </w:r>
      <w:r w:rsidR="00E228F3" w:rsidRPr="00E228F3">
        <w:t xml:space="preserve">issuance </w:t>
      </w:r>
      <w:r w:rsidR="00970C8F">
        <w:t>and</w:t>
      </w:r>
      <w:r w:rsidR="00E228F3" w:rsidRPr="00E228F3">
        <w:t xml:space="preserve"> track parameters </w:t>
      </w:r>
      <w:r w:rsidR="008251F6">
        <w:t xml:space="preserve">of the Strategy. </w:t>
      </w:r>
    </w:p>
    <w:p w14:paraId="16DDB072" w14:textId="1695BE7E" w:rsidR="00147E2A" w:rsidRPr="00B54627" w:rsidRDefault="00476394" w:rsidP="00D064B3">
      <w:pPr>
        <w:pStyle w:val="Bullet"/>
      </w:pPr>
      <w:r>
        <w:t xml:space="preserve">A </w:t>
      </w:r>
      <w:proofErr w:type="gramStart"/>
      <w:r>
        <w:t>post mortem</w:t>
      </w:r>
      <w:proofErr w:type="gramEnd"/>
      <w:r>
        <w:t xml:space="preserve"> of the Strategy for the fiscal year </w:t>
      </w:r>
      <w:r w:rsidR="00237A94">
        <w:t>is carried out and discussed a</w:t>
      </w:r>
      <w:r>
        <w:t xml:space="preserve">t the October Advisory Board </w:t>
      </w:r>
      <w:r w:rsidR="00147E2A">
        <w:t>meeting. This is an important process to ensure that the Strategy is achieving its objectives. The AOFM holds this meeting in response to a recommendation made in the Australian National Audit Office’s 2024 review of the AOFM.</w:t>
      </w:r>
      <w:r w:rsidR="00147E2A" w:rsidRPr="00F72634">
        <w:rPr>
          <w:rStyle w:val="FootnoteReference"/>
          <w:vertAlign w:val="superscript"/>
        </w:rPr>
        <w:footnoteReference w:id="5"/>
      </w:r>
    </w:p>
    <w:p w14:paraId="5389A44F" w14:textId="022F5199" w:rsidR="00F07E7B" w:rsidRDefault="00F07E7B" w:rsidP="00F07E7B">
      <w:pPr>
        <w:pStyle w:val="Heading2"/>
      </w:pPr>
      <w:bookmarkStart w:id="21" w:name="_Toc227237293"/>
      <w:bookmarkStart w:id="22" w:name="_Toc227313945"/>
      <w:r>
        <w:t>Description of the Strategy</w:t>
      </w:r>
      <w:bookmarkEnd w:id="21"/>
      <w:bookmarkEnd w:id="22"/>
    </w:p>
    <w:p w14:paraId="5E37FF0E" w14:textId="2384FCFB" w:rsidR="00296A33" w:rsidRPr="00296A33" w:rsidRDefault="00296A33" w:rsidP="00296A33">
      <w:pPr>
        <w:pStyle w:val="Bullet"/>
        <w:numPr>
          <w:ilvl w:val="0"/>
          <w:numId w:val="0"/>
        </w:numPr>
        <w:rPr>
          <w:b/>
          <w:bCs/>
        </w:rPr>
      </w:pPr>
      <w:r w:rsidRPr="00296A33">
        <w:rPr>
          <w:b/>
          <w:bCs/>
        </w:rPr>
        <w:t xml:space="preserve">Chart </w:t>
      </w:r>
      <w:r w:rsidR="009D6CAF">
        <w:rPr>
          <w:b/>
          <w:bCs/>
        </w:rPr>
        <w:t>2</w:t>
      </w:r>
      <w:r w:rsidRPr="00296A33">
        <w:rPr>
          <w:b/>
          <w:bCs/>
        </w:rPr>
        <w:t xml:space="preserve">: Composition of current stock of AGS on issue, by </w:t>
      </w:r>
      <w:r w:rsidR="00BA04D9">
        <w:rPr>
          <w:b/>
          <w:bCs/>
        </w:rPr>
        <w:t>tenor</w:t>
      </w:r>
      <w:r w:rsidRPr="00296A33">
        <w:rPr>
          <w:b/>
          <w:bCs/>
        </w:rPr>
        <w:t xml:space="preserve"> ($ billions, face value)</w:t>
      </w:r>
    </w:p>
    <w:p w14:paraId="254092DB" w14:textId="03D3CC25" w:rsidR="00296A33" w:rsidRPr="00171086" w:rsidRDefault="009E6608" w:rsidP="00561343">
      <w:pPr>
        <w:pStyle w:val="Bullet"/>
        <w:numPr>
          <w:ilvl w:val="0"/>
          <w:numId w:val="0"/>
        </w:numPr>
        <w:ind w:left="284" w:hanging="284"/>
        <w:jc w:val="center"/>
      </w:pPr>
      <w:r>
        <w:rPr>
          <w:rFonts w:ascii="Arial" w:hAnsi="Arial" w:cs="Arial"/>
          <w:noProof/>
          <w:sz w:val="20"/>
        </w:rPr>
        <w:drawing>
          <wp:inline distT="0" distB="0" distL="0" distR="0" wp14:anchorId="0E74476B" wp14:editId="10BF5C5C">
            <wp:extent cx="5800875" cy="2226730"/>
            <wp:effectExtent l="0" t="0" r="0" b="2540"/>
            <wp:docPr id="1077994239" name="Picture 1" descr="This chart shows the face value of AGS on issue between April 2026 and June 2054. It indicates that RBA holdings of AGS will decline from almost $20 billion in April 2026 to 0 by Nov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94239" name="Picture 1" descr="This chart shows the face value of AGS on issue between April 2026 and June 2054. It indicates that RBA holdings of AGS will decline from almost $20 billion in April 2026 to 0 by Nov 203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a:fillRect/>
                    </a:stretch>
                  </pic:blipFill>
                  <pic:spPr bwMode="auto">
                    <a:xfrm>
                      <a:off x="0" y="0"/>
                      <a:ext cx="5879859" cy="2257049"/>
                    </a:xfrm>
                    <a:prstGeom prst="rect">
                      <a:avLst/>
                    </a:prstGeom>
                    <a:noFill/>
                    <a:ln>
                      <a:noFill/>
                    </a:ln>
                    <a:extLst>
                      <a:ext uri="{53640926-AAD7-44D8-BBD7-CCE9431645EC}">
                        <a14:shadowObscured xmlns:a14="http://schemas.microsoft.com/office/drawing/2010/main"/>
                      </a:ext>
                    </a:extLst>
                  </pic:spPr>
                </pic:pic>
              </a:graphicData>
            </a:graphic>
          </wp:inline>
        </w:drawing>
      </w:r>
    </w:p>
    <w:p w14:paraId="04651852" w14:textId="1A198B71" w:rsidR="009D6CAF" w:rsidRPr="00333D65" w:rsidRDefault="009D6CAF" w:rsidP="00604480">
      <w:pPr>
        <w:pStyle w:val="Bullet"/>
        <w:numPr>
          <w:ilvl w:val="0"/>
          <w:numId w:val="0"/>
        </w:numPr>
        <w:rPr>
          <w:i/>
          <w:iCs/>
        </w:rPr>
      </w:pPr>
      <w:r w:rsidRPr="00333D65">
        <w:rPr>
          <w:i/>
          <w:iCs/>
        </w:rPr>
        <w:t>Source: AOFM</w:t>
      </w:r>
      <w:r w:rsidR="00E935D0" w:rsidRPr="00333D65">
        <w:rPr>
          <w:i/>
          <w:iCs/>
        </w:rPr>
        <w:t xml:space="preserve">. As </w:t>
      </w:r>
      <w:proofErr w:type="gramStart"/>
      <w:r w:rsidR="00E935D0" w:rsidRPr="00333D65">
        <w:rPr>
          <w:i/>
          <w:iCs/>
        </w:rPr>
        <w:t>at</w:t>
      </w:r>
      <w:proofErr w:type="gramEnd"/>
      <w:r w:rsidR="00E935D0" w:rsidRPr="00333D65">
        <w:rPr>
          <w:i/>
          <w:iCs/>
        </w:rPr>
        <w:t xml:space="preserve"> 09 January 2026. </w:t>
      </w:r>
    </w:p>
    <w:p w14:paraId="2FF7EB3B" w14:textId="123BACC0" w:rsidR="003979E3" w:rsidRDefault="00987E7F" w:rsidP="00604480">
      <w:pPr>
        <w:pStyle w:val="Bullet"/>
        <w:numPr>
          <w:ilvl w:val="0"/>
          <w:numId w:val="0"/>
        </w:numPr>
      </w:pPr>
      <w:r w:rsidRPr="00987E7F">
        <w:t>Treasury Bonds form</w:t>
      </w:r>
      <w:r>
        <w:t xml:space="preserve"> the </w:t>
      </w:r>
      <w:r w:rsidR="00DE1EA4">
        <w:t xml:space="preserve">vast majority of the AOFM’s </w:t>
      </w:r>
      <w:r w:rsidR="00F469D3">
        <w:t xml:space="preserve">bond </w:t>
      </w:r>
      <w:r w:rsidR="00DE1EA4">
        <w:t>issuance</w:t>
      </w:r>
      <w:r w:rsidR="009A3D84">
        <w:t xml:space="preserve">. In 2024-25, </w:t>
      </w:r>
      <w:r w:rsidR="009E1F69">
        <w:t>$</w:t>
      </w:r>
      <w:r w:rsidR="00C11C45">
        <w:t>98.6</w:t>
      </w:r>
      <w:r w:rsidR="009E1F69">
        <w:t xml:space="preserve"> billion of Treasury Bonds were issued</w:t>
      </w:r>
      <w:r w:rsidR="00001EC1" w:rsidRPr="00FD3F68">
        <w:rPr>
          <w:rStyle w:val="FootnoteReference"/>
          <w:vertAlign w:val="superscript"/>
        </w:rPr>
        <w:footnoteReference w:id="6"/>
      </w:r>
      <w:r w:rsidR="000E3B45">
        <w:t xml:space="preserve"> (</w:t>
      </w:r>
      <w:r w:rsidR="009E1F69">
        <w:t xml:space="preserve">representing </w:t>
      </w:r>
      <w:r w:rsidR="00F93ED4">
        <w:t>97</w:t>
      </w:r>
      <w:r w:rsidR="00C4157B">
        <w:t xml:space="preserve"> per cent</w:t>
      </w:r>
      <w:r w:rsidR="009E1F69">
        <w:t xml:space="preserve"> of </w:t>
      </w:r>
      <w:r w:rsidR="00261514">
        <w:t xml:space="preserve">the AOFM’s </w:t>
      </w:r>
      <w:r w:rsidR="009E1F69">
        <w:t xml:space="preserve">total </w:t>
      </w:r>
      <w:r w:rsidR="00261514">
        <w:t xml:space="preserve">bond </w:t>
      </w:r>
      <w:r w:rsidR="009E1F69">
        <w:t xml:space="preserve">issuance </w:t>
      </w:r>
      <w:r w:rsidR="000E3B45">
        <w:t xml:space="preserve">in </w:t>
      </w:r>
      <w:r w:rsidR="009E1F69">
        <w:t>the year</w:t>
      </w:r>
      <w:r w:rsidR="000E3B45">
        <w:t>)</w:t>
      </w:r>
      <w:r w:rsidR="008E07C6">
        <w:t>,</w:t>
      </w:r>
      <w:r w:rsidR="000E3B45">
        <w:t xml:space="preserve"> </w:t>
      </w:r>
      <w:r w:rsidR="00B042E1">
        <w:t>while the stock on issue averaged $</w:t>
      </w:r>
      <w:r w:rsidR="00B12F67">
        <w:t>855.</w:t>
      </w:r>
      <w:r w:rsidR="002D431B">
        <w:t>7</w:t>
      </w:r>
      <w:r w:rsidR="00B042E1">
        <w:t xml:space="preserve"> billion</w:t>
      </w:r>
      <w:r w:rsidR="00D92187">
        <w:t>.</w:t>
      </w:r>
      <w:r w:rsidR="00FB3FB8" w:rsidRPr="00FD3F68">
        <w:rPr>
          <w:rStyle w:val="FootnoteReference"/>
          <w:vertAlign w:val="superscript"/>
        </w:rPr>
        <w:footnoteReference w:id="7"/>
      </w:r>
      <w:r w:rsidR="00D92187">
        <w:t xml:space="preserve"> </w:t>
      </w:r>
      <w:r w:rsidR="00311113">
        <w:t xml:space="preserve">Treasury Bonds with 3 year and </w:t>
      </w:r>
      <w:proofErr w:type="gramStart"/>
      <w:r w:rsidR="00311113">
        <w:t>10 year</w:t>
      </w:r>
      <w:proofErr w:type="gramEnd"/>
      <w:r w:rsidR="00311113">
        <w:t xml:space="preserve"> tenors</w:t>
      </w:r>
      <w:r w:rsidR="00093E75">
        <w:t xml:space="preserve"> </w:t>
      </w:r>
      <w:r w:rsidR="00BE1A83">
        <w:t xml:space="preserve">represent </w:t>
      </w:r>
      <w:r w:rsidR="0008597D">
        <w:t>important</w:t>
      </w:r>
      <w:r w:rsidR="00BE1A83">
        <w:t xml:space="preserve"> market benchmarks</w:t>
      </w:r>
      <w:r w:rsidR="00311113">
        <w:t>,</w:t>
      </w:r>
      <w:r w:rsidR="00BE1A83">
        <w:t xml:space="preserve"> </w:t>
      </w:r>
      <w:r w:rsidR="003979E3">
        <w:t>forming the reference securities for the key bond futures contracts. As a result, there is strong demand for these securities, particularly when establishing a new bond line to roll down into the futures basket</w:t>
      </w:r>
      <w:r w:rsidR="0008597D">
        <w:t>.</w:t>
      </w:r>
      <w:r w:rsidR="0008597D" w:rsidRPr="00333D65">
        <w:rPr>
          <w:rStyle w:val="FootnoteReference"/>
          <w:vertAlign w:val="superscript"/>
        </w:rPr>
        <w:footnoteReference w:id="8"/>
      </w:r>
      <w:r w:rsidR="003979E3" w:rsidRPr="00333D65">
        <w:rPr>
          <w:vertAlign w:val="superscript"/>
        </w:rPr>
        <w:t xml:space="preserve"> </w:t>
      </w:r>
      <w:r w:rsidR="003979E3">
        <w:t xml:space="preserve">The composition of the various bond futures baskets </w:t>
      </w:r>
      <w:proofErr w:type="gramStart"/>
      <w:r w:rsidR="003979E3">
        <w:t>are</w:t>
      </w:r>
      <w:proofErr w:type="gramEnd"/>
      <w:r w:rsidR="003979E3">
        <w:t xml:space="preserve"> reviewed</w:t>
      </w:r>
      <w:r w:rsidR="00333D65">
        <w:t xml:space="preserve"> by the ASX</w:t>
      </w:r>
      <w:r w:rsidR="003979E3">
        <w:t xml:space="preserve"> on a regular basis to ensure they remain appropriate as bonds progress toward maturity. </w:t>
      </w:r>
      <w:r w:rsidR="00E75BD5">
        <w:t xml:space="preserve">These dynamics mean that </w:t>
      </w:r>
      <w:r w:rsidR="003979E3">
        <w:t>there needs to be ongoing issuance of bonds with a maturity slightly longer than 10 years to ensure there is an adequate supply of securities in the futures basket.</w:t>
      </w:r>
    </w:p>
    <w:p w14:paraId="52DFAB62" w14:textId="14140EF7" w:rsidR="003110AE" w:rsidRDefault="003110AE" w:rsidP="00604480">
      <w:pPr>
        <w:pStyle w:val="Bullet"/>
        <w:numPr>
          <w:ilvl w:val="0"/>
          <w:numId w:val="0"/>
        </w:numPr>
      </w:pPr>
      <w:r>
        <w:t xml:space="preserve">In December 2023, the Government released the </w:t>
      </w:r>
      <w:hyperlink r:id="rId29" w:history="1">
        <w:r w:rsidR="00E37C03" w:rsidRPr="00387423">
          <w:rPr>
            <w:rStyle w:val="Hyperlink"/>
          </w:rPr>
          <w:t>Australian Government Green Bond Framework</w:t>
        </w:r>
      </w:hyperlink>
      <w:r>
        <w:t xml:space="preserve">. AOFM contributed significantly to the development of the Framework and undertook an investor roadshow ahead of the first issuance in June 2024. </w:t>
      </w:r>
      <w:r w:rsidR="00C47497">
        <w:t xml:space="preserve">The AOFM in conjunction with Treasury </w:t>
      </w:r>
      <w:r w:rsidR="00F52491">
        <w:t>has</w:t>
      </w:r>
      <w:r w:rsidR="00C47497">
        <w:t xml:space="preserve"> ongoing program responsibility</w:t>
      </w:r>
      <w:r w:rsidR="00A930F5">
        <w:t xml:space="preserve">, in line with the </w:t>
      </w:r>
      <w:r w:rsidR="00AA79E8" w:rsidRPr="00AA79E8">
        <w:rPr>
          <w:i/>
          <w:iCs/>
        </w:rPr>
        <w:t>C</w:t>
      </w:r>
      <w:r w:rsidR="00A930F5" w:rsidRPr="00AA79E8">
        <w:rPr>
          <w:i/>
          <w:iCs/>
        </w:rPr>
        <w:t xml:space="preserve">omprehensive </w:t>
      </w:r>
      <w:r w:rsidR="00AA79E8" w:rsidRPr="00AA79E8">
        <w:rPr>
          <w:i/>
          <w:iCs/>
        </w:rPr>
        <w:t>S</w:t>
      </w:r>
      <w:r w:rsidR="00A930F5" w:rsidRPr="00AA79E8">
        <w:rPr>
          <w:i/>
          <w:iCs/>
        </w:rPr>
        <w:t xml:space="preserve">ustainable </w:t>
      </w:r>
      <w:r w:rsidR="00AA79E8" w:rsidRPr="00AA79E8">
        <w:rPr>
          <w:i/>
          <w:iCs/>
        </w:rPr>
        <w:t>F</w:t>
      </w:r>
      <w:r w:rsidR="00A930F5" w:rsidRPr="00AA79E8">
        <w:rPr>
          <w:i/>
          <w:iCs/>
        </w:rPr>
        <w:t xml:space="preserve">inance </w:t>
      </w:r>
      <w:r w:rsidR="00AA79E8" w:rsidRPr="00AA79E8">
        <w:rPr>
          <w:i/>
          <w:iCs/>
        </w:rPr>
        <w:t>A</w:t>
      </w:r>
      <w:r w:rsidR="00A930F5" w:rsidRPr="00AA79E8">
        <w:rPr>
          <w:i/>
          <w:iCs/>
        </w:rPr>
        <w:t>genda</w:t>
      </w:r>
      <w:r w:rsidR="00F52491">
        <w:t xml:space="preserve">. The AOFM’s responsibilities include bond issuance, investor relations, representation on the Green Bond Committee and assisting Treasury with the allocation and impact reporting. </w:t>
      </w:r>
    </w:p>
    <w:p w14:paraId="666C33BF" w14:textId="5D3956D7" w:rsidR="00987E7F" w:rsidRDefault="00EE64FA" w:rsidP="00604480">
      <w:pPr>
        <w:pStyle w:val="Bullet"/>
        <w:numPr>
          <w:ilvl w:val="0"/>
          <w:numId w:val="0"/>
        </w:numPr>
      </w:pPr>
      <w:r>
        <w:t>T</w:t>
      </w:r>
      <w:r w:rsidR="007B2DB1">
        <w:t xml:space="preserve">o </w:t>
      </w:r>
      <w:r w:rsidR="00891F0B">
        <w:t>promote the effective functioning of the Australian Commonwealth Government Bond market</w:t>
      </w:r>
      <w:r>
        <w:t xml:space="preserve">, the AOFM </w:t>
      </w:r>
      <w:r w:rsidR="005B5E81">
        <w:t>issues</w:t>
      </w:r>
      <w:r w:rsidR="003979E3">
        <w:t xml:space="preserve"> longer</w:t>
      </w:r>
      <w:r>
        <w:t>-</w:t>
      </w:r>
      <w:r w:rsidR="003979E3">
        <w:t>dated securities</w:t>
      </w:r>
      <w:r w:rsidR="001A69BE">
        <w:t>,</w:t>
      </w:r>
      <w:r w:rsidR="003979E3">
        <w:t xml:space="preserve"> </w:t>
      </w:r>
      <w:r w:rsidR="001A69BE">
        <w:t xml:space="preserve">being </w:t>
      </w:r>
      <w:r w:rsidR="003979E3">
        <w:t xml:space="preserve">securities </w:t>
      </w:r>
      <w:r w:rsidR="001A69BE">
        <w:t xml:space="preserve">with tenors </w:t>
      </w:r>
      <w:r w:rsidR="003979E3">
        <w:t xml:space="preserve">beyond 12 years and out beyond 30 years. The AOFM’s </w:t>
      </w:r>
      <w:r>
        <w:t>program</w:t>
      </w:r>
      <w:r w:rsidR="003979E3">
        <w:t xml:space="preserve"> support</w:t>
      </w:r>
      <w:r w:rsidR="001A69BE">
        <w:t>s</w:t>
      </w:r>
      <w:r w:rsidR="003979E3">
        <w:t xml:space="preserve"> issuance of other longer-dated </w:t>
      </w:r>
      <w:proofErr w:type="spellStart"/>
      <w:r w:rsidR="003979E3">
        <w:t>issuers</w:t>
      </w:r>
      <w:proofErr w:type="spellEnd"/>
      <w:r w:rsidR="003979E3">
        <w:t>, including the state borrowing authorities, as well as investors with a na</w:t>
      </w:r>
      <w:r>
        <w:t>t</w:t>
      </w:r>
      <w:r w:rsidR="003979E3">
        <w:t xml:space="preserve">ural demand for long-dated instruments such as insurance companies. The AOFM’s issuance of longer-dated securities tends to be relatively small in any given fiscal year, though over time </w:t>
      </w:r>
      <w:r w:rsidR="00113349">
        <w:t>the AOFM</w:t>
      </w:r>
      <w:r w:rsidR="003979E3">
        <w:t xml:space="preserve"> take</w:t>
      </w:r>
      <w:r w:rsidR="00113349">
        <w:t>s</w:t>
      </w:r>
      <w:r w:rsidR="003979E3">
        <w:t xml:space="preserve"> the opportunity to build up the size of longer-dated lines through repeated issuance into those lines.</w:t>
      </w:r>
    </w:p>
    <w:p w14:paraId="2460A63B" w14:textId="4ABDC52C" w:rsidR="00636906" w:rsidRDefault="00B2672B" w:rsidP="00604480">
      <w:pPr>
        <w:pStyle w:val="Bullet"/>
        <w:numPr>
          <w:ilvl w:val="0"/>
          <w:numId w:val="0"/>
        </w:numPr>
      </w:pPr>
      <w:r>
        <w:t xml:space="preserve">Treasury Indexed Bonds represent a much smaller portion of the AOFM’s </w:t>
      </w:r>
      <w:r w:rsidR="00261514">
        <w:t xml:space="preserve">bond </w:t>
      </w:r>
      <w:r>
        <w:t>issuance, with $</w:t>
      </w:r>
      <w:r w:rsidR="00261514">
        <w:t>2.9</w:t>
      </w:r>
      <w:r w:rsidR="009355DB">
        <w:t> </w:t>
      </w:r>
      <w:r>
        <w:t>billion</w:t>
      </w:r>
      <w:r w:rsidR="00281A4C">
        <w:t xml:space="preserve"> being issued in 2024-25</w:t>
      </w:r>
      <w:r w:rsidR="00EA2A01" w:rsidRPr="004533F1">
        <w:rPr>
          <w:vertAlign w:val="superscript"/>
        </w:rPr>
        <w:footnoteReference w:id="9"/>
      </w:r>
      <w:r w:rsidR="00D24D31">
        <w:t xml:space="preserve"> (representing </w:t>
      </w:r>
      <w:r w:rsidR="00632B44">
        <w:t>3</w:t>
      </w:r>
      <w:r w:rsidR="0050727C">
        <w:t xml:space="preserve"> per cent</w:t>
      </w:r>
      <w:r w:rsidR="00D24D31">
        <w:t xml:space="preserve"> of total </w:t>
      </w:r>
      <w:r w:rsidR="005527E8">
        <w:t xml:space="preserve">bond </w:t>
      </w:r>
      <w:r w:rsidR="00D24D31">
        <w:t>issuance)</w:t>
      </w:r>
      <w:r w:rsidR="00FA0981">
        <w:t>, while the stock on issue averaged $</w:t>
      </w:r>
      <w:r w:rsidR="001D1E55">
        <w:t>41.3</w:t>
      </w:r>
      <w:r w:rsidR="00FA0981">
        <w:t xml:space="preserve"> billion</w:t>
      </w:r>
      <w:r w:rsidR="00281A4C">
        <w:t>.</w:t>
      </w:r>
      <w:r w:rsidR="00D355C2" w:rsidRPr="00FD3F68">
        <w:rPr>
          <w:rStyle w:val="FootnoteReference"/>
          <w:vertAlign w:val="superscript"/>
        </w:rPr>
        <w:footnoteReference w:id="10"/>
      </w:r>
      <w:r w:rsidR="00C4767F">
        <w:rPr>
          <w:vertAlign w:val="superscript"/>
        </w:rPr>
        <w:t xml:space="preserve"> </w:t>
      </w:r>
      <w:r w:rsidR="004A0A34">
        <w:t xml:space="preserve">As suggested by the </w:t>
      </w:r>
      <w:r w:rsidR="003979E3">
        <w:t xml:space="preserve">relatively </w:t>
      </w:r>
      <w:r w:rsidR="004A0A34">
        <w:t xml:space="preserve">modest quantum of this issuance, the AOFM does not rely on Treasury Indexed Bonds for </w:t>
      </w:r>
      <w:r w:rsidR="00D24D31">
        <w:t xml:space="preserve">raising </w:t>
      </w:r>
      <w:r w:rsidR="004A0A34">
        <w:t xml:space="preserve">substantial </w:t>
      </w:r>
      <w:r w:rsidR="002B5B49">
        <w:t xml:space="preserve">volumes of </w:t>
      </w:r>
      <w:r w:rsidR="00541E17">
        <w:t>funds</w:t>
      </w:r>
      <w:r w:rsidR="002B5B49">
        <w:t xml:space="preserve">. </w:t>
      </w:r>
      <w:r w:rsidR="00590026">
        <w:t xml:space="preserve">Instead, the agency issues </w:t>
      </w:r>
      <w:r w:rsidR="00492B41">
        <w:t xml:space="preserve">these securities </w:t>
      </w:r>
      <w:r w:rsidR="00B15B96">
        <w:t>to maintain a sovereign inflation-linked bond market in Australia</w:t>
      </w:r>
      <w:r w:rsidR="00EC21FD">
        <w:t xml:space="preserve">. </w:t>
      </w:r>
      <w:r w:rsidR="003979E3">
        <w:t xml:space="preserve">There is a fixed cost of establishing such a market, which the AOFM has already incurred. </w:t>
      </w:r>
      <w:r w:rsidR="00E76540">
        <w:t>Hence the Review supports the maintenance of this market. T</w:t>
      </w:r>
      <w:r w:rsidR="003979E3">
        <w:t xml:space="preserve">he pool of investors who regularly hold these bonds is relatively limited but other investors will hold them when they perceive them to be delivering value. </w:t>
      </w:r>
      <w:r w:rsidR="00EC21FD">
        <w:t>Given the relatively high cost</w:t>
      </w:r>
      <w:r w:rsidR="00DB6A2B">
        <w:t>s</w:t>
      </w:r>
      <w:r w:rsidR="00EC21FD">
        <w:t xml:space="preserve"> associated with issuing </w:t>
      </w:r>
      <w:r w:rsidR="00DB6A2B">
        <w:t>Treasury Indexed Bonds</w:t>
      </w:r>
      <w:r w:rsidR="003979E3">
        <w:t xml:space="preserve"> in recent times</w:t>
      </w:r>
      <w:r w:rsidR="00EC21FD">
        <w:t xml:space="preserve">, the AOFM </w:t>
      </w:r>
      <w:r w:rsidR="003979E3">
        <w:t>has</w:t>
      </w:r>
      <w:r w:rsidR="00D75FFE">
        <w:t xml:space="preserve"> </w:t>
      </w:r>
      <w:r w:rsidR="00750EC8">
        <w:t>limit</w:t>
      </w:r>
      <w:r w:rsidR="003979E3">
        <w:t>ed</w:t>
      </w:r>
      <w:r w:rsidR="00750EC8">
        <w:t xml:space="preserve"> issuance to the minimum </w:t>
      </w:r>
      <w:r w:rsidR="00A146D2">
        <w:t xml:space="preserve">quantum </w:t>
      </w:r>
      <w:r w:rsidR="00750EC8">
        <w:t>required to maintain a functional market for Treasury Indexed Bonds.</w:t>
      </w:r>
      <w:r w:rsidR="00A146D2">
        <w:t xml:space="preserve"> </w:t>
      </w:r>
    </w:p>
    <w:p w14:paraId="0CADE137" w14:textId="3C0C3BBA" w:rsidR="00B2672B" w:rsidRDefault="006C2E97" w:rsidP="00604480">
      <w:pPr>
        <w:pStyle w:val="Bullet"/>
        <w:numPr>
          <w:ilvl w:val="0"/>
          <w:numId w:val="0"/>
        </w:numPr>
      </w:pPr>
      <w:r>
        <w:t>By m</w:t>
      </w:r>
      <w:r w:rsidR="00A146D2">
        <w:t>aintaining this market</w:t>
      </w:r>
      <w:r>
        <w:t>,</w:t>
      </w:r>
      <w:r w:rsidR="00A146D2">
        <w:t xml:space="preserve"> </w:t>
      </w:r>
      <w:r>
        <w:t>the AOFM enables breakeven inflation expectations to be observed</w:t>
      </w:r>
      <w:r w:rsidR="004E5733">
        <w:t xml:space="preserve">, </w:t>
      </w:r>
      <w:r w:rsidR="004E1996">
        <w:t>while also meeting demand among some fixed income investment managers for these securities.</w:t>
      </w:r>
      <w:r w:rsidR="00EE64FA">
        <w:t xml:space="preserve"> With the recent introduction of a monthly CPI by the Australian Bureau of Statistics, the AOFM is unde</w:t>
      </w:r>
      <w:r w:rsidR="0078665E">
        <w:t>rt</w:t>
      </w:r>
      <w:r w:rsidR="00EE64FA">
        <w:t xml:space="preserve">aking a body of work to </w:t>
      </w:r>
      <w:r w:rsidR="0019268B">
        <w:t xml:space="preserve">integrate the </w:t>
      </w:r>
      <w:r w:rsidR="00EE64FA">
        <w:t xml:space="preserve">reference </w:t>
      </w:r>
      <w:r w:rsidR="0019268B">
        <w:t>to the</w:t>
      </w:r>
      <w:r w:rsidR="00EE64FA">
        <w:t xml:space="preserve"> monthly CPI, which is more aligned with global index</w:t>
      </w:r>
      <w:r w:rsidR="00C548D2">
        <w:t>-</w:t>
      </w:r>
      <w:r w:rsidR="00EE64FA">
        <w:t>link</w:t>
      </w:r>
      <w:r w:rsidR="00C548D2">
        <w:t>ed</w:t>
      </w:r>
      <w:r w:rsidR="00EE64FA">
        <w:t xml:space="preserve"> bond contracts.</w:t>
      </w:r>
    </w:p>
    <w:p w14:paraId="7C3121BA" w14:textId="1B50E82E" w:rsidR="00FC4A98" w:rsidRDefault="00C96317" w:rsidP="00A5663D">
      <w:pPr>
        <w:pStyle w:val="Bullet"/>
        <w:numPr>
          <w:ilvl w:val="0"/>
          <w:numId w:val="0"/>
        </w:numPr>
      </w:pPr>
      <w:r>
        <w:t xml:space="preserve">Treasury Notes </w:t>
      </w:r>
      <w:r w:rsidR="00C548D2">
        <w:t xml:space="preserve">(or “T-notes”) </w:t>
      </w:r>
      <w:r w:rsidR="00632B44">
        <w:t xml:space="preserve">also </w:t>
      </w:r>
      <w:r>
        <w:t xml:space="preserve">form </w:t>
      </w:r>
      <w:r w:rsidR="00632B44">
        <w:t>an important</w:t>
      </w:r>
      <w:r>
        <w:t xml:space="preserve"> </w:t>
      </w:r>
      <w:r w:rsidR="00A23D9C">
        <w:t xml:space="preserve">part </w:t>
      </w:r>
      <w:r>
        <w:t>of the AOFM’s issuance</w:t>
      </w:r>
      <w:r w:rsidR="00A23D9C">
        <w:t xml:space="preserve"> program</w:t>
      </w:r>
      <w:r w:rsidR="00E93FBE">
        <w:t xml:space="preserve">, with </w:t>
      </w:r>
      <w:r w:rsidR="003979E3">
        <w:t xml:space="preserve">the stock on issue averaging </w:t>
      </w:r>
      <w:r w:rsidR="00E93FBE">
        <w:t>$</w:t>
      </w:r>
      <w:r w:rsidR="00584FFA">
        <w:t xml:space="preserve">33.6 </w:t>
      </w:r>
      <w:r w:rsidR="00E93FBE">
        <w:t>billion in 2024-25.</w:t>
      </w:r>
      <w:r w:rsidR="004533F1" w:rsidRPr="004533F1">
        <w:rPr>
          <w:rStyle w:val="FootnoteReference"/>
          <w:vertAlign w:val="superscript"/>
        </w:rPr>
        <w:footnoteReference w:id="11"/>
      </w:r>
    </w:p>
    <w:p w14:paraId="6157E2A9" w14:textId="23A7315E" w:rsidR="005A4555" w:rsidRDefault="00FC4A98" w:rsidP="00A5663D">
      <w:pPr>
        <w:pStyle w:val="Bullet"/>
        <w:numPr>
          <w:ilvl w:val="0"/>
          <w:numId w:val="0"/>
        </w:numPr>
      </w:pPr>
      <w:r>
        <w:t>T-notes</w:t>
      </w:r>
      <w:r w:rsidR="004742EE">
        <w:t xml:space="preserve"> </w:t>
      </w:r>
      <w:r w:rsidR="005A41DD">
        <w:t>are</w:t>
      </w:r>
      <w:r w:rsidR="00A2153E">
        <w:t xml:space="preserve"> </w:t>
      </w:r>
      <w:r w:rsidR="005A41DD">
        <w:t xml:space="preserve">favoured </w:t>
      </w:r>
      <w:r w:rsidR="009E599B">
        <w:t xml:space="preserve">by ‘buy and hold’ investors given the </w:t>
      </w:r>
      <w:r w:rsidR="00A2153E">
        <w:t>lower amount of</w:t>
      </w:r>
      <w:r w:rsidR="009E599B">
        <w:t xml:space="preserve"> secondary market </w:t>
      </w:r>
      <w:r w:rsidR="00A2153E">
        <w:t xml:space="preserve">liquidity for </w:t>
      </w:r>
      <w:r w:rsidR="009E599B">
        <w:t>the</w:t>
      </w:r>
      <w:r w:rsidR="00A2153E">
        <w:t>se</w:t>
      </w:r>
      <w:r w:rsidR="009E599B">
        <w:t xml:space="preserve"> securities. The AOFM’s </w:t>
      </w:r>
      <w:r w:rsidR="00AC048B">
        <w:t xml:space="preserve">T-note </w:t>
      </w:r>
      <w:r w:rsidR="009E599B">
        <w:t xml:space="preserve">program </w:t>
      </w:r>
      <w:r w:rsidR="00C92D20">
        <w:t xml:space="preserve">provides </w:t>
      </w:r>
      <w:r w:rsidR="00D77E91">
        <w:t>the agency with access to short-term liquidity</w:t>
      </w:r>
      <w:r w:rsidR="00EE64FA">
        <w:t>.</w:t>
      </w:r>
      <w:r w:rsidR="00A2153E">
        <w:t xml:space="preserve"> The program</w:t>
      </w:r>
      <w:r w:rsidR="008159BC">
        <w:t xml:space="preserve"> can be scaled up or down to </w:t>
      </w:r>
      <w:r w:rsidR="00301F13">
        <w:t xml:space="preserve">act </w:t>
      </w:r>
      <w:r w:rsidR="008159BC">
        <w:t xml:space="preserve">as a shock absorber to manage </w:t>
      </w:r>
      <w:r w:rsidR="0044250D">
        <w:t>the AOFM’s cash balance</w:t>
      </w:r>
      <w:r w:rsidR="00301F13">
        <w:t>,</w:t>
      </w:r>
      <w:r w:rsidR="0044250D">
        <w:t xml:space="preserve"> </w:t>
      </w:r>
      <w:r w:rsidR="00301F13">
        <w:t xml:space="preserve">in line with </w:t>
      </w:r>
      <w:r w:rsidR="0044250D">
        <w:t xml:space="preserve">its </w:t>
      </w:r>
      <w:r w:rsidR="00C548D2">
        <w:t xml:space="preserve">Liquidity Management </w:t>
      </w:r>
      <w:r w:rsidR="0078665E">
        <w:t>S</w:t>
      </w:r>
      <w:r w:rsidR="0044250D">
        <w:t xml:space="preserve">trategy. </w:t>
      </w:r>
      <w:r w:rsidR="00A2153E">
        <w:t xml:space="preserve">In recent years, </w:t>
      </w:r>
      <w:r w:rsidR="00AC048B">
        <w:t xml:space="preserve">T-note </w:t>
      </w:r>
      <w:r w:rsidR="0044250D">
        <w:t xml:space="preserve">issuance has </w:t>
      </w:r>
      <w:r w:rsidR="001B07D4">
        <w:t xml:space="preserve">been smaller than the AOFM’s </w:t>
      </w:r>
      <w:r w:rsidR="00E144DD">
        <w:t xml:space="preserve">balance of cash </w:t>
      </w:r>
      <w:r w:rsidR="008159BC">
        <w:t>held on deposit at the RBA</w:t>
      </w:r>
      <w:r w:rsidR="00A2153E">
        <w:t xml:space="preserve">. </w:t>
      </w:r>
      <w:r w:rsidR="00EE64FA">
        <w:t>The T-note program is discussed</w:t>
      </w:r>
      <w:r w:rsidR="00A2153E">
        <w:t xml:space="preserve"> in more detail in the Liquidity Management </w:t>
      </w:r>
      <w:r w:rsidR="0078665E">
        <w:t>s</w:t>
      </w:r>
      <w:r w:rsidR="00A2153E">
        <w:t>ection below.</w:t>
      </w:r>
    </w:p>
    <w:p w14:paraId="4A59CB04" w14:textId="0C5AFB9A" w:rsidR="00A5663D" w:rsidRDefault="00457388" w:rsidP="00A5663D">
      <w:pPr>
        <w:pStyle w:val="Bullet"/>
        <w:numPr>
          <w:ilvl w:val="0"/>
          <w:numId w:val="0"/>
        </w:numPr>
      </w:pPr>
      <w:r>
        <w:t xml:space="preserve">The Strategy </w:t>
      </w:r>
      <w:r w:rsidR="00A15F7C">
        <w:t>specifies</w:t>
      </w:r>
      <w:r>
        <w:t xml:space="preserve"> a Weighted Average Maturity (“WAM”) target for </w:t>
      </w:r>
      <w:r w:rsidR="00187232">
        <w:t>each</w:t>
      </w:r>
      <w:r>
        <w:t xml:space="preserve"> </w:t>
      </w:r>
      <w:r w:rsidR="00D1209A">
        <w:t>fiscal</w:t>
      </w:r>
      <w:r>
        <w:t xml:space="preserve"> year’s AGS issuance</w:t>
      </w:r>
      <w:r w:rsidR="00A5663D">
        <w:t xml:space="preserve">. This WAM target is </w:t>
      </w:r>
      <w:r w:rsidR="00D563C5">
        <w:t xml:space="preserve">defined </w:t>
      </w:r>
      <w:r w:rsidR="00A5663D">
        <w:t xml:space="preserve">as a </w:t>
      </w:r>
      <w:r w:rsidR="00A2153E">
        <w:t>range</w:t>
      </w:r>
      <w:r w:rsidR="00A5663D">
        <w:t xml:space="preserve"> </w:t>
      </w:r>
      <w:r w:rsidR="00302041">
        <w:t xml:space="preserve">and </w:t>
      </w:r>
      <w:r>
        <w:t xml:space="preserve">provides </w:t>
      </w:r>
      <w:proofErr w:type="gramStart"/>
      <w:r w:rsidR="00C47807">
        <w:t>guide posts</w:t>
      </w:r>
      <w:proofErr w:type="gramEnd"/>
      <w:r w:rsidR="00C47807">
        <w:t xml:space="preserve"> </w:t>
      </w:r>
      <w:r>
        <w:t>for the AOFM’s issuance</w:t>
      </w:r>
      <w:r w:rsidR="00A2153E">
        <w:t xml:space="preserve"> over the fiscal year</w:t>
      </w:r>
      <w:r>
        <w:t>.</w:t>
      </w:r>
      <w:r w:rsidR="00187232">
        <w:t xml:space="preserve"> </w:t>
      </w:r>
      <w:r>
        <w:t xml:space="preserve">By setting an explicit WAM target in its Strategy, the AOFM makes a conscious decision regarding its risk appetite for the </w:t>
      </w:r>
      <w:r w:rsidR="00D1209A">
        <w:t>fiscal</w:t>
      </w:r>
      <w:r>
        <w:t xml:space="preserve"> year ahead.</w:t>
      </w:r>
      <w:r w:rsidRPr="007B0EBD">
        <w:t xml:space="preserve"> </w:t>
      </w:r>
    </w:p>
    <w:p w14:paraId="21A63334" w14:textId="52E8A08F" w:rsidR="00457388" w:rsidRDefault="00457388" w:rsidP="00A5663D">
      <w:pPr>
        <w:pStyle w:val="Bullet"/>
        <w:numPr>
          <w:ilvl w:val="0"/>
          <w:numId w:val="0"/>
        </w:numPr>
      </w:pPr>
      <w:r>
        <w:t xml:space="preserve">In preparing the Strategy, scenario analysis of annual debt servicing costs under different WAM targets is prepared. This scenario analysis allows the AOFM to understand how different WAM targets will perform </w:t>
      </w:r>
      <w:r w:rsidR="00A2153E">
        <w:t xml:space="preserve">in terms of expected funding costs </w:t>
      </w:r>
      <w:r>
        <w:t>under different financial market conditions.</w:t>
      </w:r>
    </w:p>
    <w:p w14:paraId="0007199A" w14:textId="53BFB24F" w:rsidR="00457388" w:rsidRDefault="00457388" w:rsidP="00D563C5">
      <w:pPr>
        <w:pStyle w:val="Bullet"/>
      </w:pPr>
      <w:r>
        <w:t xml:space="preserve">When the yield curve is sloping upward, setting a lower WAM target will typically decrease funding costs, as shorter-dated yields will be lower than longer-dated yields. </w:t>
      </w:r>
      <w:r w:rsidR="00031234">
        <w:t>A</w:t>
      </w:r>
      <w:r>
        <w:t xml:space="preserve"> lower WAM target will also increase the portfolio’s refinancing risk, as issued securities need to be rolled over more frequently.</w:t>
      </w:r>
    </w:p>
    <w:p w14:paraId="7A6AD214" w14:textId="77777777" w:rsidR="00D563C5" w:rsidRDefault="00457388" w:rsidP="00D563C5">
      <w:pPr>
        <w:pStyle w:val="Bullet"/>
      </w:pPr>
      <w:r>
        <w:t>Conversely, setting a higher WAM target under these circumstances will reduce refinancing risk, but increase funding costs given the higher yields associated with longer-dated securities.</w:t>
      </w:r>
    </w:p>
    <w:p w14:paraId="1AC530BD" w14:textId="30B74B9F" w:rsidR="0008313F" w:rsidRDefault="00457388" w:rsidP="00D563C5">
      <w:pPr>
        <w:pStyle w:val="Bullet"/>
        <w:numPr>
          <w:ilvl w:val="0"/>
          <w:numId w:val="0"/>
        </w:numPr>
      </w:pPr>
      <w:r>
        <w:t xml:space="preserve">The AOFM’s WAM target does not strictly bind the agency’s issuance activities. </w:t>
      </w:r>
      <w:r w:rsidR="00F879DC">
        <w:t xml:space="preserve">The </w:t>
      </w:r>
      <w:r w:rsidR="004D037B">
        <w:t xml:space="preserve">specification </w:t>
      </w:r>
      <w:r w:rsidR="00F879DC">
        <w:t xml:space="preserve">of a range for the </w:t>
      </w:r>
      <w:r w:rsidR="00D243D0">
        <w:t xml:space="preserve">WAM </w:t>
      </w:r>
      <w:r w:rsidR="00F879DC">
        <w:t>target provides reasonable scope for the AOFM to avail itself of this flexibility</w:t>
      </w:r>
      <w:r w:rsidR="004D037B">
        <w:t xml:space="preserve"> </w:t>
      </w:r>
      <w:r w:rsidR="00F879DC">
        <w:t>to aim to minimise issuance costs</w:t>
      </w:r>
      <w:r w:rsidR="009C249A">
        <w:t xml:space="preserve"> subject to risk</w:t>
      </w:r>
      <w:r w:rsidR="00F879DC">
        <w:t xml:space="preserve">. </w:t>
      </w:r>
      <w:r w:rsidR="001F0054">
        <w:t xml:space="preserve">If financial market conditions rapidly shift, the AOFM has two key degrees of latitude to manage these shifts. </w:t>
      </w:r>
      <w:r w:rsidR="0008313F">
        <w:t>These are:</w:t>
      </w:r>
    </w:p>
    <w:p w14:paraId="25408A39" w14:textId="5F805E3A" w:rsidR="0008313F" w:rsidRDefault="0008313F" w:rsidP="0008313F">
      <w:pPr>
        <w:pStyle w:val="Bullet"/>
      </w:pPr>
      <w:r>
        <w:t>A</w:t>
      </w:r>
      <w:r w:rsidR="00457388">
        <w:t xml:space="preserve">lter the WAM of its issuance to </w:t>
      </w:r>
      <w:r w:rsidR="00A2153E">
        <w:t>take account of</w:t>
      </w:r>
      <w:r w:rsidR="00457388">
        <w:t xml:space="preserve"> movements in the yield curve</w:t>
      </w:r>
      <w:r>
        <w:t>; and</w:t>
      </w:r>
    </w:p>
    <w:p w14:paraId="0B7D5D6A" w14:textId="77777777" w:rsidR="009827CC" w:rsidRDefault="0008313F" w:rsidP="0008313F">
      <w:pPr>
        <w:pStyle w:val="Bullet"/>
      </w:pPr>
      <w:r>
        <w:t>Alter the timing of its issuance</w:t>
      </w:r>
      <w:r w:rsidR="009827CC">
        <w:t>.</w:t>
      </w:r>
    </w:p>
    <w:p w14:paraId="4D9FB00A" w14:textId="6EFC47C4" w:rsidR="00F879DC" w:rsidRDefault="00F879DC" w:rsidP="009827CC">
      <w:pPr>
        <w:pStyle w:val="Bullet"/>
        <w:numPr>
          <w:ilvl w:val="0"/>
          <w:numId w:val="0"/>
        </w:numPr>
      </w:pPr>
      <w:r>
        <w:t>For example, if the steepness of the yield curve were to increase over the fiscal year because of an increase in the term premium, the AOFM could issue more shorter-dated securities such that overall issuance was at the lower end of the WAM target range.</w:t>
      </w:r>
    </w:p>
    <w:p w14:paraId="2FB3D829" w14:textId="50F3D3C8" w:rsidR="00457388" w:rsidRDefault="009805DC" w:rsidP="009827CC">
      <w:pPr>
        <w:pStyle w:val="Bullet"/>
        <w:numPr>
          <w:ilvl w:val="0"/>
          <w:numId w:val="0"/>
        </w:numPr>
      </w:pPr>
      <w:r>
        <w:t>U</w:t>
      </w:r>
      <w:r w:rsidR="00FC2185">
        <w:t xml:space="preserve">nder the AOFM’s current operating environment, there is no clear requirement for the agency to explain whether, or when, </w:t>
      </w:r>
      <w:r w:rsidR="00B36560">
        <w:t xml:space="preserve">it </w:t>
      </w:r>
      <w:r w:rsidR="00FC2185">
        <w:t>expect</w:t>
      </w:r>
      <w:r w:rsidR="00F879DC">
        <w:t>s</w:t>
      </w:r>
      <w:r w:rsidR="00FC2185">
        <w:t xml:space="preserve"> </w:t>
      </w:r>
      <w:r w:rsidR="00B36560">
        <w:t xml:space="preserve">its issuance to </w:t>
      </w:r>
      <w:r w:rsidR="003963D0">
        <w:t xml:space="preserve">deviate from its WAM target. </w:t>
      </w:r>
      <w:r w:rsidR="00976049">
        <w:t>T</w:t>
      </w:r>
      <w:r w:rsidR="003963D0">
        <w:t xml:space="preserve">he Review </w:t>
      </w:r>
      <w:r w:rsidR="00A2153E">
        <w:t xml:space="preserve">very much </w:t>
      </w:r>
      <w:r w:rsidR="00976049">
        <w:t xml:space="preserve">supports the AOFM retaining the flexibility to shift its issuance profile in response to </w:t>
      </w:r>
      <w:r w:rsidR="00881885">
        <w:t xml:space="preserve">evolving </w:t>
      </w:r>
      <w:r w:rsidR="00976049">
        <w:t>financial market conditions. However, the</w:t>
      </w:r>
      <w:r w:rsidR="00B42C92">
        <w:t xml:space="preserve"> Review</w:t>
      </w:r>
      <w:r w:rsidR="00976049">
        <w:t xml:space="preserve"> </w:t>
      </w:r>
      <w:r w:rsidR="00E0050F">
        <w:t>recommends an</w:t>
      </w:r>
      <w:r w:rsidR="0047376C">
        <w:t xml:space="preserve"> </w:t>
      </w:r>
      <w:r w:rsidR="00C02EAD">
        <w:t xml:space="preserve">update </w:t>
      </w:r>
      <w:r w:rsidR="00E0050F">
        <w:t xml:space="preserve">to </w:t>
      </w:r>
      <w:r w:rsidR="00C02EAD">
        <w:t xml:space="preserve">the AOFM’s </w:t>
      </w:r>
      <w:r w:rsidR="00164CEF">
        <w:t>Financial</w:t>
      </w:r>
      <w:r w:rsidR="00C02EAD">
        <w:t xml:space="preserve"> </w:t>
      </w:r>
      <w:r w:rsidR="00164CEF">
        <w:t>R</w:t>
      </w:r>
      <w:r w:rsidR="00C02EAD">
        <w:t xml:space="preserve">isk </w:t>
      </w:r>
      <w:r w:rsidR="00164CEF">
        <w:t>M</w:t>
      </w:r>
      <w:r w:rsidR="00C02EAD">
        <w:t xml:space="preserve">anagement </w:t>
      </w:r>
      <w:r w:rsidR="00164CEF">
        <w:t>F</w:t>
      </w:r>
      <w:r w:rsidR="00C02EAD">
        <w:t xml:space="preserve">ramework to </w:t>
      </w:r>
      <w:r w:rsidR="0047376C">
        <w:t xml:space="preserve">include </w:t>
      </w:r>
      <w:r w:rsidR="00C02EAD">
        <w:t xml:space="preserve">a requirement that </w:t>
      </w:r>
      <w:r w:rsidR="00B42C92">
        <w:t>departures</w:t>
      </w:r>
      <w:r w:rsidR="00C02EAD">
        <w:t xml:space="preserve"> </w:t>
      </w:r>
      <w:r w:rsidR="00BE15EE">
        <w:t xml:space="preserve">from </w:t>
      </w:r>
      <w:r w:rsidR="00B42C92">
        <w:t xml:space="preserve">the agreed </w:t>
      </w:r>
      <w:r w:rsidR="00BE15EE">
        <w:t>WAM targets be explained and justified to the Advisory Board</w:t>
      </w:r>
      <w:r w:rsidR="00B42C92">
        <w:t xml:space="preserve">, </w:t>
      </w:r>
      <w:proofErr w:type="gramStart"/>
      <w:r w:rsidR="00B42C92">
        <w:t>and in particular, be</w:t>
      </w:r>
      <w:proofErr w:type="gramEnd"/>
      <w:r w:rsidR="00B42C92">
        <w:t xml:space="preserve"> </w:t>
      </w:r>
      <w:r w:rsidR="00C01641">
        <w:t>approved</w:t>
      </w:r>
      <w:r w:rsidR="00B42C92">
        <w:t xml:space="preserve"> by the Treasury Secretary</w:t>
      </w:r>
      <w:r w:rsidR="00BE15EE">
        <w:t>.</w:t>
      </w:r>
    </w:p>
    <w:p w14:paraId="23A6D089" w14:textId="0609F1C8" w:rsidR="00457388" w:rsidRDefault="00C9751C" w:rsidP="00BE15EE">
      <w:pPr>
        <w:pStyle w:val="Bullet"/>
        <w:numPr>
          <w:ilvl w:val="0"/>
          <w:numId w:val="0"/>
        </w:numPr>
      </w:pPr>
      <w:r>
        <w:t xml:space="preserve">The </w:t>
      </w:r>
      <w:r w:rsidR="009632A3">
        <w:t xml:space="preserve">AOFM </w:t>
      </w:r>
      <w:r>
        <w:t>aims to be transparent</w:t>
      </w:r>
      <w:r w:rsidR="00D715E8">
        <w:t xml:space="preserve"> and consistent</w:t>
      </w:r>
      <w:r>
        <w:t xml:space="preserve"> with the market </w:t>
      </w:r>
      <w:r w:rsidR="00F87BBD">
        <w:t xml:space="preserve">in its communications, including </w:t>
      </w:r>
      <w:r>
        <w:t>the timing of issuance</w:t>
      </w:r>
      <w:r w:rsidR="00B42C92">
        <w:t xml:space="preserve"> </w:t>
      </w:r>
      <w:r>
        <w:t xml:space="preserve">and avoids making alterations to issuance where possible. </w:t>
      </w:r>
      <w:r w:rsidR="00194D9B">
        <w:t>I</w:t>
      </w:r>
      <w:r>
        <w:t xml:space="preserve">f the </w:t>
      </w:r>
      <w:r w:rsidR="003E6519">
        <w:t xml:space="preserve">AOFM </w:t>
      </w:r>
      <w:r>
        <w:t xml:space="preserve">believes that </w:t>
      </w:r>
      <w:r w:rsidR="00D173A3">
        <w:t>temporary market dislocation</w:t>
      </w:r>
      <w:r w:rsidR="003E6519">
        <w:t>s</w:t>
      </w:r>
      <w:r w:rsidR="00D173A3">
        <w:t xml:space="preserve"> </w:t>
      </w:r>
      <w:r w:rsidR="003E6519">
        <w:t xml:space="preserve">are </w:t>
      </w:r>
      <w:r w:rsidR="00D173A3">
        <w:t xml:space="preserve">sufficiently disruptive, </w:t>
      </w:r>
      <w:r w:rsidR="003E6519">
        <w:t xml:space="preserve">the agency retains flexibility </w:t>
      </w:r>
      <w:r w:rsidR="00457388">
        <w:t xml:space="preserve">to </w:t>
      </w:r>
      <w:r w:rsidR="00646606">
        <w:t>adjust the pace of</w:t>
      </w:r>
      <w:r w:rsidR="003E6519">
        <w:t xml:space="preserve"> </w:t>
      </w:r>
      <w:r w:rsidR="00457388">
        <w:t xml:space="preserve">issuance </w:t>
      </w:r>
      <w:r w:rsidR="003E6519">
        <w:t xml:space="preserve">according to </w:t>
      </w:r>
      <w:r w:rsidR="00457388">
        <w:t>demand for AG</w:t>
      </w:r>
      <w:r w:rsidR="003E6519">
        <w:t>S.</w:t>
      </w:r>
      <w:r w:rsidR="00457388">
        <w:t xml:space="preserve"> </w:t>
      </w:r>
      <w:r w:rsidR="003E6519">
        <w:t xml:space="preserve">The AOFM is also able to </w:t>
      </w:r>
      <w:r w:rsidR="00B34272">
        <w:t>exercise this flexibility under normal market conditions</w:t>
      </w:r>
      <w:r w:rsidR="00A711B2">
        <w:t>,</w:t>
      </w:r>
      <w:r w:rsidR="00B34272">
        <w:t xml:space="preserve"> with a view to minimising total financing costs. </w:t>
      </w:r>
      <w:r w:rsidR="006E2131">
        <w:t>T</w:t>
      </w:r>
      <w:r w:rsidR="00A711B2">
        <w:t xml:space="preserve">he AOFM consistently balances </w:t>
      </w:r>
      <w:r w:rsidR="00B34272">
        <w:t xml:space="preserve">any such issuance with </w:t>
      </w:r>
      <w:r w:rsidR="00457388">
        <w:t>its desire to be perceived as predictable by market participants.</w:t>
      </w:r>
    </w:p>
    <w:p w14:paraId="1C879557" w14:textId="396A5B67" w:rsidR="00B42C92" w:rsidRDefault="00F879DC" w:rsidP="00BE15EE">
      <w:pPr>
        <w:pStyle w:val="Bullet"/>
        <w:numPr>
          <w:ilvl w:val="0"/>
          <w:numId w:val="0"/>
        </w:numPr>
      </w:pPr>
      <w:r>
        <w:t xml:space="preserve">The AOFM also needs to take account of the changing fiscal position over the course of the year and adjust its program accordingly. It receives regular updates on revenue and expenditure flows from the Budget Policy Division of Treasury. </w:t>
      </w:r>
      <w:r w:rsidR="005C6A0A">
        <w:t>T</w:t>
      </w:r>
      <w:r>
        <w:t xml:space="preserve">he AOFM </w:t>
      </w:r>
      <w:proofErr w:type="gramStart"/>
      <w:r>
        <w:t>has to</w:t>
      </w:r>
      <w:proofErr w:type="gramEnd"/>
      <w:r>
        <w:t xml:space="preserve"> be mindful of not signalling changes in the overall budget position from this non-public information through changes in the scale of its issuance. This constraint is mitigated by the update on </w:t>
      </w:r>
      <w:r w:rsidR="00881885">
        <w:t xml:space="preserve">the AOFM’s </w:t>
      </w:r>
      <w:r>
        <w:t xml:space="preserve">issuance program </w:t>
      </w:r>
      <w:r w:rsidR="00881885">
        <w:t xml:space="preserve">provided </w:t>
      </w:r>
      <w:r>
        <w:t>after the Mid-</w:t>
      </w:r>
      <w:r w:rsidR="009D5FA7">
        <w:t xml:space="preserve">Year </w:t>
      </w:r>
      <w:r>
        <w:t xml:space="preserve">Economic </w:t>
      </w:r>
      <w:r w:rsidR="00881885">
        <w:t xml:space="preserve">and Fiscal </w:t>
      </w:r>
      <w:r>
        <w:t>Outlook (MYEFO).</w:t>
      </w:r>
      <w:r w:rsidR="00376685">
        <w:t xml:space="preserve"> In practice this provides a reasonable degree of flexibility for the AOFM to adjust its pace of issuance. </w:t>
      </w:r>
    </w:p>
    <w:p w14:paraId="0BB079CE" w14:textId="5B46FF05" w:rsidR="00CD5372" w:rsidRPr="00E0050F" w:rsidRDefault="00CD5372" w:rsidP="00CD5372">
      <w:pPr>
        <w:pStyle w:val="Bullet"/>
        <w:numPr>
          <w:ilvl w:val="0"/>
          <w:numId w:val="0"/>
        </w:numPr>
      </w:pPr>
      <w:r w:rsidRPr="00E0050F">
        <w:t>The AOFM engages regularly with market participants</w:t>
      </w:r>
      <w:r w:rsidR="00F32E4C">
        <w:t>.</w:t>
      </w:r>
      <w:r w:rsidRPr="00E0050F">
        <w:t xml:space="preserve"> </w:t>
      </w:r>
      <w:r w:rsidR="00C95FA3">
        <w:t xml:space="preserve">FSR engages with market intermediaries </w:t>
      </w:r>
      <w:proofErr w:type="gramStart"/>
      <w:r w:rsidR="00C95FA3">
        <w:t>on a daily basis</w:t>
      </w:r>
      <w:proofErr w:type="gramEnd"/>
      <w:r w:rsidR="00C95FA3">
        <w:t xml:space="preserve">. Investor outreach is conducted via </w:t>
      </w:r>
      <w:r w:rsidRPr="00E0050F">
        <w:t>a dedicated Investor Relations function</w:t>
      </w:r>
      <w:r w:rsidR="00E0050F" w:rsidRPr="00E0050F">
        <w:t xml:space="preserve"> (discussed in more detail below)</w:t>
      </w:r>
      <w:r w:rsidRPr="00E0050F">
        <w:t>. This outreach ensures that the Strategy</w:t>
      </w:r>
      <w:r w:rsidR="00896ECE">
        <w:t xml:space="preserve"> </w:t>
      </w:r>
      <w:r w:rsidR="00896ECE" w:rsidRPr="00896ECE">
        <w:t>avoid</w:t>
      </w:r>
      <w:r w:rsidR="004978DD">
        <w:t>s</w:t>
      </w:r>
      <w:r w:rsidR="00896ECE" w:rsidRPr="00896ECE">
        <w:t xml:space="preserve"> systematic misalignment between AOFM funding decisions and investor preferences</w:t>
      </w:r>
      <w:r w:rsidR="00E0050F">
        <w:t>.</w:t>
      </w:r>
      <w:r w:rsidR="00594040">
        <w:t xml:space="preserve"> </w:t>
      </w:r>
      <w:r w:rsidR="008F1E8E">
        <w:t xml:space="preserve">The Review’s opinion is that the AOFM takes appropriate account of </w:t>
      </w:r>
      <w:r w:rsidR="00C24FB7">
        <w:t xml:space="preserve">market input but is not beholden to it. </w:t>
      </w:r>
    </w:p>
    <w:p w14:paraId="136476A4" w14:textId="55A7DAA1" w:rsidR="00AD2EBB" w:rsidRDefault="00457388" w:rsidP="005A4555">
      <w:pPr>
        <w:pStyle w:val="Bullet"/>
        <w:numPr>
          <w:ilvl w:val="0"/>
          <w:numId w:val="0"/>
        </w:numPr>
      </w:pPr>
      <w:r>
        <w:t xml:space="preserve">The AOFM issues </w:t>
      </w:r>
      <w:r w:rsidR="005A4555">
        <w:t>its</w:t>
      </w:r>
      <w:r>
        <w:t xml:space="preserve"> securities through a mix of </w:t>
      </w:r>
      <w:r w:rsidR="00302789">
        <w:t>public</w:t>
      </w:r>
      <w:r>
        <w:t xml:space="preserve"> tenders and syndications.</w:t>
      </w:r>
      <w:r w:rsidR="005A4555">
        <w:t xml:space="preserve"> O</w:t>
      </w:r>
      <w:r>
        <w:t xml:space="preserve">pen market tenders account for the majority of the AOFM’s issuance. </w:t>
      </w:r>
      <w:r w:rsidR="00AD2EBB">
        <w:t>In 2024-25, a</w:t>
      </w:r>
      <w:r>
        <w:t xml:space="preserve">pproximately </w:t>
      </w:r>
      <w:r w:rsidR="005A381D">
        <w:t xml:space="preserve">73 </w:t>
      </w:r>
      <w:r>
        <w:t xml:space="preserve">per cent of </w:t>
      </w:r>
      <w:r w:rsidR="00AD2EBB">
        <w:t xml:space="preserve">the AOFM’s </w:t>
      </w:r>
      <w:r w:rsidR="005A381D">
        <w:t xml:space="preserve">Treasury Bond </w:t>
      </w:r>
      <w:r w:rsidR="00AD2EBB">
        <w:t xml:space="preserve">issuance was performed </w:t>
      </w:r>
      <w:r>
        <w:t>by tender</w:t>
      </w:r>
      <w:r w:rsidR="00AD2EBB">
        <w:t>, with the remainder occurring via syndication</w:t>
      </w:r>
      <w:r w:rsidR="00647362">
        <w:t xml:space="preserve"> (see Chart 3).</w:t>
      </w:r>
      <w:r w:rsidR="008C60F9" w:rsidRPr="00E519D0">
        <w:rPr>
          <w:rStyle w:val="FootnoteReference"/>
          <w:vertAlign w:val="superscript"/>
        </w:rPr>
        <w:footnoteReference w:id="12"/>
      </w:r>
      <w:r w:rsidR="00647362" w:rsidRPr="00E519D0">
        <w:rPr>
          <w:vertAlign w:val="superscript"/>
        </w:rPr>
        <w:t xml:space="preserve"> </w:t>
      </w:r>
    </w:p>
    <w:p w14:paraId="15F5355C" w14:textId="18CA1ECB" w:rsidR="00EB45F4" w:rsidRDefault="00EB45F4" w:rsidP="005A4555">
      <w:pPr>
        <w:pStyle w:val="Bullet"/>
        <w:numPr>
          <w:ilvl w:val="0"/>
          <w:numId w:val="0"/>
        </w:numPr>
        <w:rPr>
          <w:b/>
          <w:bCs/>
        </w:rPr>
      </w:pPr>
      <w:r w:rsidRPr="00EB45F4">
        <w:rPr>
          <w:b/>
          <w:bCs/>
        </w:rPr>
        <w:t xml:space="preserve">Chart </w:t>
      </w:r>
      <w:r w:rsidR="00866532">
        <w:rPr>
          <w:b/>
          <w:bCs/>
        </w:rPr>
        <w:t>3</w:t>
      </w:r>
      <w:r w:rsidRPr="00EB45F4">
        <w:rPr>
          <w:b/>
          <w:bCs/>
        </w:rPr>
        <w:t xml:space="preserve">: </w:t>
      </w:r>
      <w:r w:rsidR="005A381D">
        <w:rPr>
          <w:b/>
          <w:bCs/>
        </w:rPr>
        <w:t xml:space="preserve">Treasury Bonds – </w:t>
      </w:r>
      <w:r w:rsidRPr="00EB45F4">
        <w:rPr>
          <w:b/>
          <w:bCs/>
        </w:rPr>
        <w:t>issuance by tender and syndication</w:t>
      </w:r>
    </w:p>
    <w:p w14:paraId="53D3CD02" w14:textId="1C8D82E9" w:rsidR="005A381D" w:rsidRPr="00EB45F4" w:rsidRDefault="004A3711" w:rsidP="005A4555">
      <w:pPr>
        <w:pStyle w:val="Bullet"/>
        <w:numPr>
          <w:ilvl w:val="0"/>
          <w:numId w:val="0"/>
        </w:numPr>
      </w:pPr>
      <w:r w:rsidRPr="004A3711">
        <w:rPr>
          <w:noProof/>
        </w:rPr>
        <w:drawing>
          <wp:inline distT="0" distB="0" distL="0" distR="0" wp14:anchorId="09FE0563" wp14:editId="3670BEED">
            <wp:extent cx="5760720" cy="3110865"/>
            <wp:effectExtent l="0" t="0" r="0" b="0"/>
            <wp:docPr id="1178399264" name="Picture 1" descr="This chart shows the splits of AGS issuances between tender and syndication. In most years, the clear majority of issuance is via tender except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99264" name="Picture 1" descr="This chart shows the splits of AGS issuances between tender and syndication. In most years, the clear majority of issuance is via tender except in 2020-21."/>
                    <pic:cNvPicPr/>
                  </pic:nvPicPr>
                  <pic:blipFill>
                    <a:blip r:embed="rId30"/>
                    <a:stretch>
                      <a:fillRect/>
                    </a:stretch>
                  </pic:blipFill>
                  <pic:spPr>
                    <a:xfrm>
                      <a:off x="0" y="0"/>
                      <a:ext cx="5760720" cy="3110865"/>
                    </a:xfrm>
                    <a:prstGeom prst="rect">
                      <a:avLst/>
                    </a:prstGeom>
                  </pic:spPr>
                </pic:pic>
              </a:graphicData>
            </a:graphic>
          </wp:inline>
        </w:drawing>
      </w:r>
    </w:p>
    <w:p w14:paraId="70CD351A" w14:textId="41B650AA" w:rsidR="005A381D" w:rsidRPr="00D8609D" w:rsidRDefault="005A381D" w:rsidP="005A4555">
      <w:pPr>
        <w:pStyle w:val="Bullet"/>
        <w:numPr>
          <w:ilvl w:val="0"/>
          <w:numId w:val="0"/>
        </w:numPr>
        <w:rPr>
          <w:i/>
          <w:iCs/>
        </w:rPr>
      </w:pPr>
      <w:r w:rsidRPr="00D8609D">
        <w:rPr>
          <w:i/>
          <w:iCs/>
        </w:rPr>
        <w:t>Source: AOFM</w:t>
      </w:r>
      <w:r w:rsidR="00007B6B">
        <w:rPr>
          <w:i/>
          <w:iCs/>
        </w:rPr>
        <w:t xml:space="preserve"> </w:t>
      </w:r>
    </w:p>
    <w:p w14:paraId="72D76CB8" w14:textId="20CDD4A8" w:rsidR="00AD2EBB" w:rsidRDefault="00457388" w:rsidP="005A4555">
      <w:pPr>
        <w:pStyle w:val="Bullet"/>
        <w:numPr>
          <w:ilvl w:val="0"/>
          <w:numId w:val="0"/>
        </w:numPr>
      </w:pPr>
      <w:r>
        <w:t xml:space="preserve">Issuing AGS via tender ensures </w:t>
      </w:r>
      <w:r w:rsidR="00AD2EBB">
        <w:t xml:space="preserve">that </w:t>
      </w:r>
      <w:r w:rsidR="00A15F7C">
        <w:t xml:space="preserve">a </w:t>
      </w:r>
      <w:r>
        <w:t xml:space="preserve">competitive bidding process </w:t>
      </w:r>
      <w:r w:rsidR="00F879DC">
        <w:t xml:space="preserve">for the bonds </w:t>
      </w:r>
      <w:r>
        <w:t xml:space="preserve">takes place, </w:t>
      </w:r>
      <w:r w:rsidR="00F879DC">
        <w:t>in principle delivering lowest cost issuance</w:t>
      </w:r>
      <w:r>
        <w:t>.</w:t>
      </w:r>
      <w:r w:rsidR="005A4555">
        <w:t xml:space="preserve"> </w:t>
      </w:r>
      <w:r w:rsidR="00FE54EB">
        <w:t>Dealers participate in the AOFM’s tenders, and on</w:t>
      </w:r>
      <w:r w:rsidR="005A381D">
        <w:t>-</w:t>
      </w:r>
      <w:r w:rsidR="00FE54EB">
        <w:t xml:space="preserve">sell </w:t>
      </w:r>
      <w:r w:rsidR="004A7FC2">
        <w:t>the securities they purchase through tenders to investors who hold the securities in their portfolios.</w:t>
      </w:r>
      <w:r w:rsidR="00FE54EB">
        <w:t xml:space="preserve"> </w:t>
      </w:r>
      <w:r w:rsidR="00D23D09">
        <w:t xml:space="preserve">The AOFM enjoys strong bidding from </w:t>
      </w:r>
      <w:r w:rsidR="002665B8">
        <w:t xml:space="preserve">the </w:t>
      </w:r>
      <w:r w:rsidR="004A7FC2">
        <w:t>dealer</w:t>
      </w:r>
      <w:r w:rsidR="002665B8">
        <w:t xml:space="preserve"> banks </w:t>
      </w:r>
      <w:r w:rsidR="004A7FC2">
        <w:t xml:space="preserve">participating in </w:t>
      </w:r>
      <w:r w:rsidR="002665B8">
        <w:t>these tenders</w:t>
      </w:r>
      <w:r w:rsidR="00B537F6">
        <w:t>.</w:t>
      </w:r>
      <w:r w:rsidR="002665B8">
        <w:t xml:space="preserve"> </w:t>
      </w:r>
      <w:r w:rsidR="00154C25">
        <w:t xml:space="preserve">By paying </w:t>
      </w:r>
      <w:r w:rsidR="00A15F7C">
        <w:t>a (</w:t>
      </w:r>
      <w:r w:rsidR="00154C25">
        <w:t>small</w:t>
      </w:r>
      <w:r w:rsidR="00A15F7C">
        <w:t>)</w:t>
      </w:r>
      <w:r w:rsidR="00154C25">
        <w:t xml:space="preserve"> premium to purchase </w:t>
      </w:r>
      <w:r w:rsidR="00B537F6">
        <w:t>securities sold via tender</w:t>
      </w:r>
      <w:r w:rsidR="003C76B8">
        <w:t xml:space="preserve">, </w:t>
      </w:r>
      <w:r w:rsidR="00154C25">
        <w:t xml:space="preserve">dealer banks signal </w:t>
      </w:r>
      <w:r w:rsidR="009C4E52">
        <w:t xml:space="preserve">the strength of </w:t>
      </w:r>
      <w:r w:rsidR="00154C25">
        <w:t>their engagement with the market to the AOFM</w:t>
      </w:r>
      <w:r w:rsidR="009C4E52">
        <w:t xml:space="preserve">. </w:t>
      </w:r>
      <w:r w:rsidR="00F879DC">
        <w:t>This is a factor</w:t>
      </w:r>
      <w:r w:rsidR="00C2091F">
        <w:t xml:space="preserve"> the AOFM </w:t>
      </w:r>
      <w:r w:rsidR="00E82A86">
        <w:t>considers</w:t>
      </w:r>
      <w:r w:rsidR="00F879DC">
        <w:t xml:space="preserve"> </w:t>
      </w:r>
      <w:r w:rsidR="00365676">
        <w:t xml:space="preserve">when </w:t>
      </w:r>
      <w:r w:rsidR="00F879DC">
        <w:t xml:space="preserve">determining </w:t>
      </w:r>
      <w:r w:rsidR="00206919">
        <w:t xml:space="preserve">which dealer banks </w:t>
      </w:r>
      <w:r w:rsidR="00365676">
        <w:t xml:space="preserve">will </w:t>
      </w:r>
      <w:r w:rsidR="00F879DC">
        <w:t>run</w:t>
      </w:r>
      <w:r w:rsidR="00206919">
        <w:t xml:space="preserve"> future syndications.</w:t>
      </w:r>
      <w:r w:rsidR="00F17F0F" w:rsidRPr="00267CF9">
        <w:rPr>
          <w:rStyle w:val="FootnoteReference"/>
          <w:vertAlign w:val="superscript"/>
        </w:rPr>
        <w:footnoteReference w:id="13"/>
      </w:r>
      <w:r w:rsidR="00F17F0F" w:rsidRPr="00267CF9">
        <w:rPr>
          <w:vertAlign w:val="superscript"/>
        </w:rPr>
        <w:t xml:space="preserve"> </w:t>
      </w:r>
    </w:p>
    <w:p w14:paraId="1E3FAC0A" w14:textId="6A76D0EF" w:rsidR="00A15F7C" w:rsidRDefault="00457388" w:rsidP="005A4555">
      <w:pPr>
        <w:pStyle w:val="Bullet"/>
        <w:numPr>
          <w:ilvl w:val="0"/>
          <w:numId w:val="0"/>
        </w:numPr>
      </w:pPr>
      <w:r>
        <w:t xml:space="preserve">Syndications are typically used to </w:t>
      </w:r>
      <w:r w:rsidR="0043490D">
        <w:t>issue new bond lines in large size</w:t>
      </w:r>
      <w:r>
        <w:t xml:space="preserve"> or </w:t>
      </w:r>
      <w:r w:rsidR="0043490D">
        <w:t>to issue</w:t>
      </w:r>
      <w:r w:rsidR="00E10736">
        <w:t xml:space="preserve"> </w:t>
      </w:r>
      <w:r>
        <w:t>into bond lines with limited secondary market liquidity</w:t>
      </w:r>
      <w:r w:rsidR="00F879DC">
        <w:t xml:space="preserve"> </w:t>
      </w:r>
      <w:r w:rsidR="006E7838">
        <w:t>(</w:t>
      </w:r>
      <w:r w:rsidR="00F879DC">
        <w:t>such as longer duration bonds or indexed bonds</w:t>
      </w:r>
      <w:r w:rsidR="006E7838">
        <w:t>)</w:t>
      </w:r>
      <w:r>
        <w:t xml:space="preserve">. </w:t>
      </w:r>
      <w:r w:rsidRPr="005A4555">
        <w:t xml:space="preserve">Issuing AGS via syndications also provides the AOFM with deeper market intelligence, as </w:t>
      </w:r>
      <w:r w:rsidR="00F46DA1">
        <w:t xml:space="preserve">the full spectrum of </w:t>
      </w:r>
      <w:r w:rsidRPr="005A4555">
        <w:t xml:space="preserve">investor preferences </w:t>
      </w:r>
      <w:r w:rsidR="00365676">
        <w:t xml:space="preserve">is </w:t>
      </w:r>
      <w:r w:rsidRPr="005A4555">
        <w:t>revealed during the bookbuild proces</w:t>
      </w:r>
      <w:r w:rsidR="006849C4">
        <w:t>s.</w:t>
      </w:r>
    </w:p>
    <w:p w14:paraId="0862EF15" w14:textId="746D1ABE" w:rsidR="00457388" w:rsidRDefault="00F46DA1" w:rsidP="005A4555">
      <w:pPr>
        <w:pStyle w:val="Bullet"/>
        <w:numPr>
          <w:ilvl w:val="0"/>
          <w:numId w:val="0"/>
        </w:numPr>
      </w:pPr>
      <w:r>
        <w:t>T</w:t>
      </w:r>
      <w:r w:rsidR="00E10736">
        <w:t xml:space="preserve">he AOFM </w:t>
      </w:r>
      <w:r>
        <w:t>pays</w:t>
      </w:r>
      <w:r w:rsidR="00E10736">
        <w:t xml:space="preserve"> fees </w:t>
      </w:r>
      <w:r>
        <w:t>to the banks leading each</w:t>
      </w:r>
      <w:r w:rsidR="00E77192">
        <w:t xml:space="preserve"> syndication</w:t>
      </w:r>
      <w:r w:rsidR="00DF203D">
        <w:t xml:space="preserve"> </w:t>
      </w:r>
      <w:r>
        <w:t>to</w:t>
      </w:r>
      <w:r w:rsidR="002F75EE">
        <w:t xml:space="preserve"> access their distribution networks and to</w:t>
      </w:r>
      <w:r>
        <w:t xml:space="preserve"> compensate for the risks these banks incur in managing the process. </w:t>
      </w:r>
      <w:r w:rsidR="00472325">
        <w:t xml:space="preserve">The fees </w:t>
      </w:r>
      <w:r w:rsidR="00E77192">
        <w:t xml:space="preserve">are offset </w:t>
      </w:r>
      <w:proofErr w:type="gramStart"/>
      <w:r w:rsidR="00472325">
        <w:t>to a</w:t>
      </w:r>
      <w:r w:rsidR="00B716DC">
        <w:t xml:space="preserve"> large</w:t>
      </w:r>
      <w:r w:rsidR="00472325">
        <w:t xml:space="preserve"> extent</w:t>
      </w:r>
      <w:proofErr w:type="gramEnd"/>
      <w:r w:rsidR="00472325">
        <w:t xml:space="preserve"> </w:t>
      </w:r>
      <w:r w:rsidR="00E77192">
        <w:t>by the premium</w:t>
      </w:r>
      <w:r w:rsidR="004E3943">
        <w:t xml:space="preserve"> </w:t>
      </w:r>
      <w:r w:rsidR="00A15F7C">
        <w:t>paid</w:t>
      </w:r>
      <w:r w:rsidR="004E3943">
        <w:t xml:space="preserve"> for securities by dealer banks</w:t>
      </w:r>
      <w:r w:rsidR="00E77192">
        <w:t xml:space="preserve"> </w:t>
      </w:r>
      <w:r w:rsidR="004E3943">
        <w:t xml:space="preserve">during </w:t>
      </w:r>
      <w:r w:rsidR="00472325">
        <w:t>the</w:t>
      </w:r>
      <w:r w:rsidR="004E3943">
        <w:t xml:space="preserve"> tender processes.</w:t>
      </w:r>
      <w:r w:rsidR="00472325">
        <w:t xml:space="preserve"> As there </w:t>
      </w:r>
      <w:r w:rsidR="00A15F7C">
        <w:t>is</w:t>
      </w:r>
      <w:r w:rsidR="00472325">
        <w:t xml:space="preserve"> </w:t>
      </w:r>
      <w:proofErr w:type="gramStart"/>
      <w:r w:rsidR="00472325">
        <w:t>a large number of</w:t>
      </w:r>
      <w:proofErr w:type="gramEnd"/>
      <w:r w:rsidR="00472325">
        <w:t xml:space="preserve"> tenders throughout the year, that cost saving is material.</w:t>
      </w:r>
    </w:p>
    <w:p w14:paraId="1638D90D" w14:textId="6634191A" w:rsidR="00472325" w:rsidRDefault="004E3943" w:rsidP="00435D33">
      <w:pPr>
        <w:pStyle w:val="Bullet"/>
        <w:numPr>
          <w:ilvl w:val="0"/>
          <w:numId w:val="0"/>
        </w:numPr>
      </w:pPr>
      <w:r>
        <w:t xml:space="preserve">The Review </w:t>
      </w:r>
      <w:r w:rsidR="00484DB7">
        <w:t>believes that the AOFM’s mix of tenders and syndications is well balanced</w:t>
      </w:r>
      <w:r w:rsidR="00472325">
        <w:t xml:space="preserve">. It </w:t>
      </w:r>
      <w:r w:rsidR="00484DB7">
        <w:t>enables the agency to perform its objectives</w:t>
      </w:r>
      <w:r w:rsidR="006A6AFB">
        <w:t xml:space="preserve"> at least cost to the</w:t>
      </w:r>
      <w:r w:rsidR="00BE3E35">
        <w:t xml:space="preserve"> </w:t>
      </w:r>
      <w:r w:rsidR="00682330">
        <w:t>g</w:t>
      </w:r>
      <w:r w:rsidR="00BE3E35">
        <w:t>overnment</w:t>
      </w:r>
      <w:r w:rsidR="006A6AFB">
        <w:t xml:space="preserve">. </w:t>
      </w:r>
      <w:r w:rsidR="00970A25">
        <w:t>It</w:t>
      </w:r>
      <w:r w:rsidR="006A6AFB">
        <w:t xml:space="preserve"> is satisfied that the agency performs adequate </w:t>
      </w:r>
      <w:r w:rsidR="003273C0">
        <w:t>assessments</w:t>
      </w:r>
      <w:r w:rsidR="009862F5">
        <w:t xml:space="preserve"> of the value-for-money outcomes achieved for the </w:t>
      </w:r>
      <w:r w:rsidR="00BA7487">
        <w:t xml:space="preserve">government </w:t>
      </w:r>
      <w:r w:rsidR="00052657">
        <w:t xml:space="preserve">through the mix of tender and syndication processes. </w:t>
      </w:r>
      <w:r w:rsidR="00BB50CC">
        <w:t xml:space="preserve">The Review </w:t>
      </w:r>
      <w:r w:rsidR="00657DA0">
        <w:t>believes</w:t>
      </w:r>
      <w:r w:rsidR="00BB50CC">
        <w:t xml:space="preserve"> that t</w:t>
      </w:r>
      <w:r w:rsidR="00472325">
        <w:t xml:space="preserve">hese </w:t>
      </w:r>
      <w:r w:rsidR="00EB0314">
        <w:t>assessments</w:t>
      </w:r>
      <w:r w:rsidR="000250EF">
        <w:t xml:space="preserve"> </w:t>
      </w:r>
      <w:r w:rsidR="00472325">
        <w:t xml:space="preserve">should </w:t>
      </w:r>
      <w:proofErr w:type="gramStart"/>
      <w:r w:rsidR="00472325">
        <w:t>continue on</w:t>
      </w:r>
      <w:proofErr w:type="gramEnd"/>
      <w:r w:rsidR="00472325">
        <w:t xml:space="preserve"> a regular basis to ensure th</w:t>
      </w:r>
      <w:r w:rsidR="00ED562C">
        <w:t>ese outcomes</w:t>
      </w:r>
      <w:r w:rsidR="00472325">
        <w:t xml:space="preserve"> </w:t>
      </w:r>
      <w:r w:rsidR="000F25C1">
        <w:t>continue to be achieved</w:t>
      </w:r>
      <w:r w:rsidR="00472325">
        <w:t>.</w:t>
      </w:r>
      <w:r w:rsidR="00A15F7C">
        <w:t xml:space="preserve"> The risk transfer process that occurs during syndications in terms of the distribution of risk between the AOFM and the syndicate banks</w:t>
      </w:r>
      <w:r w:rsidR="00A15F7C" w:rsidRPr="00A15F7C">
        <w:t xml:space="preserve"> </w:t>
      </w:r>
      <w:r w:rsidR="00A15F7C">
        <w:t>also needs to be continually reassessed</w:t>
      </w:r>
      <w:r w:rsidR="0019541A">
        <w:t xml:space="preserve"> by the AOFM</w:t>
      </w:r>
      <w:r w:rsidR="00A15F7C">
        <w:t xml:space="preserve">, including to ensure </w:t>
      </w:r>
      <w:r w:rsidR="00EB72D5">
        <w:t>behavioural</w:t>
      </w:r>
      <w:r w:rsidR="00A15F7C">
        <w:t xml:space="preserve"> incentives</w:t>
      </w:r>
      <w:r w:rsidR="005F44AC">
        <w:t xml:space="preserve"> for the syndicate banks</w:t>
      </w:r>
      <w:r w:rsidR="00D43859">
        <w:t>,</w:t>
      </w:r>
      <w:r w:rsidR="005F44AC">
        <w:t xml:space="preserve"> and particularly </w:t>
      </w:r>
      <w:r w:rsidR="005F44AC" w:rsidRPr="00876639">
        <w:t xml:space="preserve">the </w:t>
      </w:r>
      <w:r w:rsidR="00D03BC6" w:rsidRPr="00876639">
        <w:t>Hedge</w:t>
      </w:r>
      <w:r w:rsidR="005F44AC" w:rsidRPr="00876639">
        <w:t xml:space="preserve"> Man</w:t>
      </w:r>
      <w:r w:rsidR="00D43859" w:rsidRPr="00876639">
        <w:t>a</w:t>
      </w:r>
      <w:r w:rsidR="005F44AC" w:rsidRPr="00876639">
        <w:t>ger,</w:t>
      </w:r>
      <w:r w:rsidR="005F44AC">
        <w:t xml:space="preserve"> </w:t>
      </w:r>
      <w:r w:rsidR="00A15F7C">
        <w:t>are appropriate.</w:t>
      </w:r>
    </w:p>
    <w:p w14:paraId="35FEFFCA" w14:textId="48B8C936" w:rsidR="00472325" w:rsidRDefault="00472325" w:rsidP="00435D33">
      <w:pPr>
        <w:pStyle w:val="Bullet"/>
        <w:numPr>
          <w:ilvl w:val="0"/>
          <w:numId w:val="0"/>
        </w:numPr>
      </w:pPr>
      <w:r>
        <w:t>T</w:t>
      </w:r>
      <w:r w:rsidR="00052657">
        <w:t xml:space="preserve">he </w:t>
      </w:r>
      <w:r>
        <w:t xml:space="preserve">Review does consider that the </w:t>
      </w:r>
      <w:r w:rsidR="00052657">
        <w:t xml:space="preserve">AOFM could </w:t>
      </w:r>
      <w:r>
        <w:t xml:space="preserve">lower its fees paid on syndications. </w:t>
      </w:r>
      <w:r w:rsidR="0009664D">
        <w:t xml:space="preserve">These </w:t>
      </w:r>
      <w:r>
        <w:t xml:space="preserve">fees </w:t>
      </w:r>
      <w:r w:rsidR="00A15F7C">
        <w:t>appear to be at</w:t>
      </w:r>
      <w:r>
        <w:t xml:space="preserve"> the lower end of those paid by other government debt agencies, although </w:t>
      </w:r>
      <w:r w:rsidR="0009664D">
        <w:t>like-for-</w:t>
      </w:r>
      <w:r>
        <w:t>like comparisons are challenging given the varying nature of the fee processes</w:t>
      </w:r>
      <w:r w:rsidR="00A15F7C">
        <w:t xml:space="preserve"> across debt agencies</w:t>
      </w:r>
      <w:r>
        <w:t xml:space="preserve">. There is a risk that if fees </w:t>
      </w:r>
      <w:r w:rsidR="00A15F7C">
        <w:t>were</w:t>
      </w:r>
      <w:r>
        <w:t xml:space="preserve"> reduced, this would be offset by higher costs in the tender processes </w:t>
      </w:r>
      <w:r w:rsidR="007F2F9E">
        <w:t>if</w:t>
      </w:r>
      <w:r>
        <w:t xml:space="preserve"> </w:t>
      </w:r>
      <w:r w:rsidR="0057227B">
        <w:t xml:space="preserve">dealer banks </w:t>
      </w:r>
      <w:r w:rsidR="00A15F7C">
        <w:t>a</w:t>
      </w:r>
      <w:r>
        <w:t>re disincentivised from participating</w:t>
      </w:r>
      <w:r w:rsidR="003C58F1">
        <w:t xml:space="preserve">. </w:t>
      </w:r>
      <w:r>
        <w:t>This is ultimately unknowable until it is seen in practice. The Review would observe that the Australian market is well supplied with dealer banks willing to participate in the process</w:t>
      </w:r>
      <w:r w:rsidR="00A15F7C">
        <w:t xml:space="preserve">, </w:t>
      </w:r>
      <w:r w:rsidR="00831404">
        <w:t>indicating</w:t>
      </w:r>
      <w:r w:rsidR="00A15F7C">
        <w:t xml:space="preserve"> there is potential for a further reduction in </w:t>
      </w:r>
      <w:r w:rsidR="000D1F16">
        <w:t xml:space="preserve">syndication </w:t>
      </w:r>
      <w:r w:rsidR="00A15F7C">
        <w:t>fees</w:t>
      </w:r>
      <w:r>
        <w:t xml:space="preserve">. </w:t>
      </w:r>
    </w:p>
    <w:p w14:paraId="567A9FF7" w14:textId="29D4095A" w:rsidR="00457388" w:rsidRDefault="00A15F7C" w:rsidP="00435D33">
      <w:pPr>
        <w:pStyle w:val="Bullet"/>
        <w:numPr>
          <w:ilvl w:val="0"/>
          <w:numId w:val="0"/>
        </w:numPr>
      </w:pPr>
      <w:r>
        <w:t>An</w:t>
      </w:r>
      <w:r w:rsidR="00472325">
        <w:t xml:space="preserve">other consideration </w:t>
      </w:r>
      <w:r w:rsidR="007B3DAC">
        <w:t xml:space="preserve">the Review </w:t>
      </w:r>
      <w:r w:rsidR="00BC351B">
        <w:t>examined</w:t>
      </w:r>
      <w:r w:rsidR="007B3DAC">
        <w:t xml:space="preserve"> </w:t>
      </w:r>
      <w:r w:rsidR="00472325">
        <w:t xml:space="preserve">is </w:t>
      </w:r>
      <w:r w:rsidR="00DC4F1A">
        <w:t>whether</w:t>
      </w:r>
      <w:r w:rsidR="00472325">
        <w:t xml:space="preserve"> </w:t>
      </w:r>
      <w:r>
        <w:t xml:space="preserve">the AOFM should </w:t>
      </w:r>
      <w:r w:rsidR="002930C8">
        <w:t>increase</w:t>
      </w:r>
      <w:r w:rsidR="00472325">
        <w:t xml:space="preserve"> use of tenders rather than syndications</w:t>
      </w:r>
      <w:r>
        <w:t xml:space="preserve"> in the issuance process</w:t>
      </w:r>
      <w:r w:rsidR="00435D33">
        <w:t>.</w:t>
      </w:r>
      <w:r w:rsidR="00472325">
        <w:t xml:space="preserve"> </w:t>
      </w:r>
      <w:r w:rsidR="005970EC">
        <w:t>By comparison, t</w:t>
      </w:r>
      <w:r w:rsidR="00472325">
        <w:t xml:space="preserve">he US government issues </w:t>
      </w:r>
      <w:proofErr w:type="gramStart"/>
      <w:r>
        <w:t>all of</w:t>
      </w:r>
      <w:proofErr w:type="gramEnd"/>
      <w:r>
        <w:t xml:space="preserve"> its bonds by tenders</w:t>
      </w:r>
      <w:r w:rsidR="000D1F16">
        <w:t>,</w:t>
      </w:r>
      <w:r w:rsidR="00472325">
        <w:t xml:space="preserve"> but the stock of </w:t>
      </w:r>
      <w:r w:rsidR="00051F2A">
        <w:t xml:space="preserve">US government </w:t>
      </w:r>
      <w:r w:rsidR="00472325">
        <w:t xml:space="preserve">debt is considerably larger and price discovery in the US Treasury market is the strongest in global financial markets. </w:t>
      </w:r>
      <w:r w:rsidR="000D1F16">
        <w:t xml:space="preserve">While </w:t>
      </w:r>
      <w:r w:rsidR="00472325">
        <w:t xml:space="preserve">this </w:t>
      </w:r>
      <w:r w:rsidR="000D1F16">
        <w:t xml:space="preserve">remains </w:t>
      </w:r>
      <w:r w:rsidR="00472325">
        <w:t>a</w:t>
      </w:r>
      <w:r w:rsidR="003C362C">
        <w:t xml:space="preserve"> </w:t>
      </w:r>
      <w:r w:rsidR="00BD276E">
        <w:t>consideration</w:t>
      </w:r>
      <w:r w:rsidR="00472325">
        <w:t xml:space="preserve"> </w:t>
      </w:r>
      <w:r w:rsidR="000D1F16">
        <w:t xml:space="preserve">that </w:t>
      </w:r>
      <w:r w:rsidR="00472325">
        <w:t xml:space="preserve">the AOFM should regularly revisit, the Review is satisfied that the AOFM </w:t>
      </w:r>
      <w:r w:rsidR="002849DF">
        <w:t xml:space="preserve">currently </w:t>
      </w:r>
      <w:r w:rsidR="00472325">
        <w:t xml:space="preserve">has the </w:t>
      </w:r>
      <w:r w:rsidR="00CF097B">
        <w:t xml:space="preserve">mix of tenders and syndications appropriately </w:t>
      </w:r>
      <w:r w:rsidR="00472325">
        <w:t>balance</w:t>
      </w:r>
      <w:r w:rsidR="00CF097B">
        <w:t>d</w:t>
      </w:r>
      <w:r>
        <w:t>.</w:t>
      </w:r>
      <w:r w:rsidR="00472325">
        <w:t xml:space="preserve"> </w:t>
      </w:r>
      <w:r>
        <w:t>S</w:t>
      </w:r>
      <w:r w:rsidR="00472325">
        <w:t>yndications are an effective way to issue a large quantity of a new bond</w:t>
      </w:r>
      <w:r w:rsidR="00114C23">
        <w:t>,</w:t>
      </w:r>
      <w:r w:rsidR="00472325">
        <w:t xml:space="preserve"> rather than </w:t>
      </w:r>
      <w:r w:rsidR="00114C23">
        <w:t xml:space="preserve">by </w:t>
      </w:r>
      <w:r w:rsidR="00472325">
        <w:t>a sequence of small tenders</w:t>
      </w:r>
      <w:r w:rsidR="00D44EAD">
        <w:t>,</w:t>
      </w:r>
      <w:r w:rsidR="008C01E8">
        <w:t xml:space="preserve"> as they</w:t>
      </w:r>
      <w:r w:rsidR="00513C1D">
        <w:t xml:space="preserve"> deliver </w:t>
      </w:r>
      <w:r w:rsidR="002A6EE5">
        <w:t xml:space="preserve">liquidity </w:t>
      </w:r>
      <w:r w:rsidR="00D44EAD">
        <w:t>for that bond</w:t>
      </w:r>
      <w:r w:rsidR="00EE4FAE">
        <w:t xml:space="preserve"> quickly</w:t>
      </w:r>
      <w:r w:rsidR="002A6EE5">
        <w:t xml:space="preserve">. </w:t>
      </w:r>
    </w:p>
    <w:p w14:paraId="4FA6512D" w14:textId="1C784A7A" w:rsidR="00BB47D5" w:rsidRDefault="00F17F0F" w:rsidP="00F879DC">
      <w:pPr>
        <w:pStyle w:val="Bullet"/>
        <w:numPr>
          <w:ilvl w:val="0"/>
          <w:numId w:val="0"/>
        </w:numPr>
      </w:pPr>
      <w:r>
        <w:t>Buybacks of near-to-maturity bonds have historically been part of the AOFM</w:t>
      </w:r>
      <w:r w:rsidR="005B22E0">
        <w:t>’</w:t>
      </w:r>
      <w:r>
        <w:t xml:space="preserve">s </w:t>
      </w:r>
      <w:r w:rsidR="00B24004">
        <w:t>Strategy</w:t>
      </w:r>
      <w:r>
        <w:t xml:space="preserve">. They are </w:t>
      </w:r>
      <w:r w:rsidR="00A15F7C">
        <w:t xml:space="preserve">a </w:t>
      </w:r>
      <w:r>
        <w:t xml:space="preserve">regular </w:t>
      </w:r>
      <w:r w:rsidR="00A15F7C">
        <w:t>feature</w:t>
      </w:r>
      <w:r>
        <w:t xml:space="preserve"> of the issuance of indexed bonds where investor</w:t>
      </w:r>
      <w:r w:rsidR="00B24004">
        <w:t>s</w:t>
      </w:r>
      <w:r>
        <w:t xml:space="preserve"> can switch out of a near-to-maturity indexed bond into a longer-dated one. </w:t>
      </w:r>
      <w:r w:rsidR="00051F2A">
        <w:t>Beyond that,</w:t>
      </w:r>
      <w:r>
        <w:t xml:space="preserve"> buybacks of bonds ha</w:t>
      </w:r>
      <w:r w:rsidR="00051F2A">
        <w:t>ve</w:t>
      </w:r>
      <w:r>
        <w:t xml:space="preserve"> not been used </w:t>
      </w:r>
      <w:r w:rsidR="009D7EE5">
        <w:t xml:space="preserve">by the AOFM </w:t>
      </w:r>
      <w:r>
        <w:t xml:space="preserve">in the post-Covid period. In large part, this is because the Australian financial system has had more than ample liquidity </w:t>
      </w:r>
      <w:r w:rsidR="00C85C03">
        <w:t>due to</w:t>
      </w:r>
      <w:r>
        <w:t xml:space="preserve"> the Reserve Bank’s quantitative easing program. </w:t>
      </w:r>
      <w:r w:rsidR="00DF2E1F">
        <w:t>In the pre-Covid regime (when liquidity was scarcer and the RBA’s balance sheet was smaller)</w:t>
      </w:r>
      <w:r>
        <w:t>, the RBA used to purchase a sizeable quantity of near</w:t>
      </w:r>
      <w:r w:rsidR="00050180">
        <w:t>-</w:t>
      </w:r>
      <w:r>
        <w:t>to</w:t>
      </w:r>
      <w:r w:rsidR="00050180">
        <w:t>-</w:t>
      </w:r>
      <w:r>
        <w:t>maturity bonds to manage the liquidity impact o</w:t>
      </w:r>
      <w:r w:rsidR="00A15F7C">
        <w:t>f</w:t>
      </w:r>
      <w:r>
        <w:t xml:space="preserve"> bond maturities. The</w:t>
      </w:r>
      <w:r w:rsidR="00A15F7C">
        <w:t xml:space="preserve"> RBA</w:t>
      </w:r>
      <w:r>
        <w:t xml:space="preserve"> then often on-sold those bonds to the AOFM</w:t>
      </w:r>
      <w:r w:rsidR="00A15F7C">
        <w:t xml:space="preserve"> (at market prices)</w:t>
      </w:r>
      <w:r w:rsidR="00605B96">
        <w:t xml:space="preserve"> and</w:t>
      </w:r>
      <w:r>
        <w:t xml:space="preserve"> </w:t>
      </w:r>
      <w:r w:rsidR="004F368A">
        <w:t>i</w:t>
      </w:r>
      <w:r w:rsidR="004C4E3A">
        <w:t xml:space="preserve">n addition, the AOFM also conducted its own </w:t>
      </w:r>
      <w:r w:rsidR="00D03BC6">
        <w:t>buyback operations.</w:t>
      </w:r>
      <w:r w:rsidR="00D03BC6" w:rsidRPr="00D03BC6">
        <w:rPr>
          <w:rStyle w:val="FootnoteReference"/>
          <w:vertAlign w:val="superscript"/>
        </w:rPr>
        <w:footnoteReference w:id="14"/>
      </w:r>
      <w:r w:rsidR="00D03BC6">
        <w:t xml:space="preserve"> </w:t>
      </w:r>
      <w:r>
        <w:t xml:space="preserve">As system liquidity gradually tightens as the RBA’s balance sheets decreases, it is possible that such operations may return. </w:t>
      </w:r>
    </w:p>
    <w:p w14:paraId="64D13337" w14:textId="44F01202" w:rsidR="00C40267" w:rsidRPr="00122860" w:rsidRDefault="00F17F0F" w:rsidP="00122860">
      <w:pPr>
        <w:pStyle w:val="Bullet"/>
        <w:numPr>
          <w:ilvl w:val="0"/>
          <w:numId w:val="0"/>
        </w:numPr>
      </w:pPr>
      <w:r>
        <w:t xml:space="preserve">Beyond </w:t>
      </w:r>
      <w:r w:rsidR="00BB47D5">
        <w:t>this</w:t>
      </w:r>
      <w:r>
        <w:t xml:space="preserve">, the AOFM can conduct bond buybacks as part of its </w:t>
      </w:r>
      <w:r w:rsidR="008B379F">
        <w:t>Strategy</w:t>
      </w:r>
      <w:r>
        <w:t xml:space="preserve">. It indicated its intention to buyback the </w:t>
      </w:r>
      <w:r w:rsidR="00213953">
        <w:t>September</w:t>
      </w:r>
      <w:r>
        <w:t xml:space="preserve"> 2026 bond as part of the syndication of the April 2037 bond in </w:t>
      </w:r>
      <w:r w:rsidR="005F6EC7">
        <w:t>July</w:t>
      </w:r>
      <w:r>
        <w:t xml:space="preserve"> </w:t>
      </w:r>
      <w:r w:rsidR="00F66D6B">
        <w:t>2025</w:t>
      </w:r>
      <w:r>
        <w:t>.</w:t>
      </w:r>
      <w:r w:rsidR="00334571" w:rsidRPr="00B85A86">
        <w:rPr>
          <w:rStyle w:val="FootnoteReference"/>
          <w:vertAlign w:val="superscript"/>
        </w:rPr>
        <w:footnoteReference w:id="15"/>
      </w:r>
      <w:r w:rsidRPr="00B85A86">
        <w:rPr>
          <w:vertAlign w:val="superscript"/>
        </w:rPr>
        <w:t xml:space="preserve"> </w:t>
      </w:r>
      <w:r w:rsidR="00271204">
        <w:t>The AOFM did not receive any offers</w:t>
      </w:r>
      <w:r w:rsidR="00AA2AD0">
        <w:t xml:space="preserve"> for the buyback.</w:t>
      </w:r>
      <w:r w:rsidR="00271204">
        <w:t xml:space="preserve"> </w:t>
      </w:r>
      <w:r>
        <w:t xml:space="preserve">The Review received feedback from market participants that there was a lack of clarity </w:t>
      </w:r>
      <w:r w:rsidR="004D64DE">
        <w:t>about</w:t>
      </w:r>
      <w:r>
        <w:t xml:space="preserve"> the buyback operation</w:t>
      </w:r>
      <w:r w:rsidR="00A15F7C">
        <w:t>. T</w:t>
      </w:r>
      <w:r>
        <w:t xml:space="preserve">he </w:t>
      </w:r>
      <w:r w:rsidR="00BB47D5">
        <w:t xml:space="preserve">Review believes that the </w:t>
      </w:r>
      <w:r>
        <w:t xml:space="preserve">AOFM will need to </w:t>
      </w:r>
      <w:r w:rsidR="00A15F7C">
        <w:t>address this issue</w:t>
      </w:r>
      <w:r>
        <w:t xml:space="preserve"> in future buybacks. </w:t>
      </w:r>
      <w:r w:rsidR="00C40267">
        <w:br w:type="page"/>
      </w:r>
    </w:p>
    <w:p w14:paraId="2ABD9912" w14:textId="4006ED7A" w:rsidR="00457388" w:rsidRDefault="00457388" w:rsidP="00457388">
      <w:pPr>
        <w:pStyle w:val="Heading2"/>
      </w:pPr>
      <w:bookmarkStart w:id="25" w:name="_Toc227237294"/>
      <w:bookmarkStart w:id="26" w:name="_Toc227313946"/>
      <w:r>
        <w:t xml:space="preserve">Assessment of Strategy and </w:t>
      </w:r>
      <w:r w:rsidR="00876639">
        <w:t>E</w:t>
      </w:r>
      <w:r>
        <w:t>xecution</w:t>
      </w:r>
      <w:bookmarkEnd w:id="25"/>
      <w:bookmarkEnd w:id="26"/>
    </w:p>
    <w:p w14:paraId="32689BF0" w14:textId="7D5BC69E" w:rsidR="00827824" w:rsidRDefault="00457388" w:rsidP="00972070">
      <w:pPr>
        <w:pStyle w:val="Bullet"/>
        <w:numPr>
          <w:ilvl w:val="0"/>
          <w:numId w:val="0"/>
        </w:numPr>
      </w:pPr>
      <w:r w:rsidRPr="009E7B53">
        <w:t xml:space="preserve">Through </w:t>
      </w:r>
      <w:r w:rsidR="00DD7879">
        <w:t>extensive</w:t>
      </w:r>
      <w:r w:rsidRPr="009E7B53">
        <w:t xml:space="preserve"> consultations and assessment, the Review has concluded that the Strategy is fit for purpose</w:t>
      </w:r>
      <w:r w:rsidR="00A42B65">
        <w:t xml:space="preserve"> </w:t>
      </w:r>
      <w:r w:rsidR="009B7E82">
        <w:t>and</w:t>
      </w:r>
      <w:r w:rsidRPr="009E7B53">
        <w:t xml:space="preserve"> represents a mature debt program</w:t>
      </w:r>
      <w:r w:rsidR="00275BFE">
        <w:t xml:space="preserve"> that delivers </w:t>
      </w:r>
      <w:r w:rsidR="00FA7983">
        <w:t>cost-effective outcomes for the</w:t>
      </w:r>
      <w:r w:rsidR="00FE3864">
        <w:t xml:space="preserve"> Government and</w:t>
      </w:r>
      <w:r w:rsidR="00FA7983">
        <w:t xml:space="preserve"> taxpayer</w:t>
      </w:r>
      <w:r w:rsidR="00C86B83">
        <w:t>.</w:t>
      </w:r>
      <w:r w:rsidR="00A15F7C">
        <w:t xml:space="preserve"> At the same time, the AOFM has delivered on its objective of supporting the overall functioning of the Australian government bond market. Hence </w:t>
      </w:r>
      <w:r w:rsidR="00966AC9">
        <w:t>the Review’s</w:t>
      </w:r>
      <w:r w:rsidR="00A15F7C">
        <w:t xml:space="preserve"> assessment takes account of</w:t>
      </w:r>
      <w:r w:rsidR="00A42B65">
        <w:t xml:space="preserve"> the </w:t>
      </w:r>
      <w:r w:rsidR="009A2499">
        <w:t>objectives</w:t>
      </w:r>
      <w:r w:rsidR="00A42B65">
        <w:t xml:space="preserve"> </w:t>
      </w:r>
      <w:r w:rsidR="00966AC9">
        <w:t>which the</w:t>
      </w:r>
      <w:r w:rsidR="00A42B65">
        <w:t xml:space="preserve"> AOFM </w:t>
      </w:r>
      <w:r w:rsidR="00B314CD">
        <w:t>pursues</w:t>
      </w:r>
      <w:r w:rsidR="00A42B65">
        <w:t>, such as maintaining the indexed bond program and extending the maturity of the yield curve</w:t>
      </w:r>
      <w:r w:rsidR="005A3649">
        <w:t>.</w:t>
      </w:r>
      <w:r w:rsidR="00A42B65">
        <w:t xml:space="preserve"> </w:t>
      </w:r>
    </w:p>
    <w:p w14:paraId="6384EEF6" w14:textId="16408CC3" w:rsidR="00221B62" w:rsidRDefault="00221B62" w:rsidP="00972070">
      <w:pPr>
        <w:pStyle w:val="Bullet"/>
        <w:numPr>
          <w:ilvl w:val="0"/>
          <w:numId w:val="0"/>
        </w:numPr>
      </w:pPr>
      <w:r>
        <w:t>It is always possible with the benefit of hindsight to argue that the program could have delivered even lower cost outcomes.</w:t>
      </w:r>
      <w:r w:rsidR="00762ACC">
        <w:t xml:space="preserve"> </w:t>
      </w:r>
      <w:r w:rsidR="006D7602">
        <w:t>T</w:t>
      </w:r>
      <w:r w:rsidR="003A7CE0">
        <w:t xml:space="preserve">he AOFM </w:t>
      </w:r>
      <w:r w:rsidR="00814348">
        <w:t xml:space="preserve">addresses </w:t>
      </w:r>
      <w:r w:rsidR="00C71A70">
        <w:t>this appropriately through its annual</w:t>
      </w:r>
      <w:r w:rsidR="000D4B6A">
        <w:t xml:space="preserve"> </w:t>
      </w:r>
      <w:proofErr w:type="gramStart"/>
      <w:r w:rsidR="000D4B6A">
        <w:t>post mortem</w:t>
      </w:r>
      <w:proofErr w:type="gramEnd"/>
      <w:r w:rsidR="000D4B6A">
        <w:t xml:space="preserve"> </w:t>
      </w:r>
      <w:r w:rsidR="004D4B56">
        <w:t xml:space="preserve">which is discussed </w:t>
      </w:r>
      <w:r w:rsidR="00381B98">
        <w:t xml:space="preserve">at the Advisory Board. </w:t>
      </w:r>
    </w:p>
    <w:p w14:paraId="187A07D0" w14:textId="341D4FA3" w:rsidR="00827824" w:rsidRDefault="00827824" w:rsidP="00972070">
      <w:pPr>
        <w:pStyle w:val="Bullet"/>
        <w:numPr>
          <w:ilvl w:val="0"/>
          <w:numId w:val="0"/>
        </w:numPr>
      </w:pPr>
      <w:r>
        <w:t>In determining its issuance strategy, the AOFM make</w:t>
      </w:r>
      <w:r w:rsidR="006271B5">
        <w:t>s</w:t>
      </w:r>
      <w:r>
        <w:t xml:space="preserve"> a judgement on the extent of refinancing risk</w:t>
      </w:r>
      <w:r w:rsidR="00C51517">
        <w:t xml:space="preserve"> as well as</w:t>
      </w:r>
      <w:r w:rsidR="000B6D0D">
        <w:t xml:space="preserve"> the overall financing requirement</w:t>
      </w:r>
      <w:r>
        <w:t xml:space="preserve">. </w:t>
      </w:r>
      <w:r w:rsidR="00A15F7C">
        <w:t xml:space="preserve">Refinancing risk in this context is an assessment of </w:t>
      </w:r>
      <w:r>
        <w:t xml:space="preserve">how much issuance the bond market can absorb </w:t>
      </w:r>
      <w:proofErr w:type="gramStart"/>
      <w:r>
        <w:t>in a given year</w:t>
      </w:r>
      <w:proofErr w:type="gramEnd"/>
      <w:r>
        <w:t xml:space="preserve">. </w:t>
      </w:r>
      <w:r w:rsidR="00A15F7C">
        <w:t>For</w:t>
      </w:r>
      <w:r>
        <w:t xml:space="preserve"> the most part, that is an assessment of the price impact of a large volume of </w:t>
      </w:r>
      <w:r w:rsidR="00A15F7C">
        <w:t>debt issuance</w:t>
      </w:r>
      <w:r w:rsidR="00661E60">
        <w:t>,</w:t>
      </w:r>
      <w:r>
        <w:t xml:space="preserve"> </w:t>
      </w:r>
      <w:r w:rsidR="00A15F7C">
        <w:t xml:space="preserve">rather than there being a finite amount of debt the market has the capacity to absorb </w:t>
      </w:r>
      <w:proofErr w:type="gramStart"/>
      <w:r w:rsidR="00A15F7C">
        <w:t>in a given</w:t>
      </w:r>
      <w:proofErr w:type="gramEnd"/>
      <w:r w:rsidR="00A15F7C">
        <w:t xml:space="preserve"> period</w:t>
      </w:r>
      <w:r>
        <w:t xml:space="preserve">. </w:t>
      </w:r>
      <w:r w:rsidR="00BB47D5">
        <w:t>I</w:t>
      </w:r>
      <w:r>
        <w:t>n the Review’s opinion</w:t>
      </w:r>
      <w:r w:rsidR="00BB47D5">
        <w:t>,</w:t>
      </w:r>
      <w:r>
        <w:t xml:space="preserve"> </w:t>
      </w:r>
      <w:r w:rsidR="003216AB">
        <w:t xml:space="preserve">refinancing risk should be </w:t>
      </w:r>
      <w:r w:rsidR="00DF5702">
        <w:t xml:space="preserve">assessed primarily in terms </w:t>
      </w:r>
      <w:r w:rsidR="003216AB">
        <w:t xml:space="preserve">of </w:t>
      </w:r>
      <w:r>
        <w:t>refinancing cost</w:t>
      </w:r>
      <w:r w:rsidR="003216AB">
        <w:t>,</w:t>
      </w:r>
      <w:r>
        <w:t xml:space="preserve"> rather than </w:t>
      </w:r>
      <w:r w:rsidR="00535813">
        <w:t xml:space="preserve">the </w:t>
      </w:r>
      <w:r>
        <w:t>risk</w:t>
      </w:r>
      <w:r w:rsidR="00535813">
        <w:t xml:space="preserve"> </w:t>
      </w:r>
      <w:r w:rsidR="00C11708">
        <w:t>that</w:t>
      </w:r>
      <w:r w:rsidR="00535813">
        <w:t xml:space="preserve"> </w:t>
      </w:r>
      <w:r w:rsidR="008D0646">
        <w:t xml:space="preserve">a particular quantity of </w:t>
      </w:r>
      <w:r w:rsidR="00535813">
        <w:t>refinancing</w:t>
      </w:r>
      <w:r w:rsidR="00C11708">
        <w:t xml:space="preserve"> cannot occur.</w:t>
      </w:r>
      <w:r w:rsidR="00535813">
        <w:t xml:space="preserve"> This </w:t>
      </w:r>
      <w:r w:rsidR="00FA7F2E">
        <w:t xml:space="preserve">reflects the </w:t>
      </w:r>
      <w:r w:rsidR="00661E60">
        <w:t xml:space="preserve">high likelihood </w:t>
      </w:r>
      <w:r w:rsidR="00FA7F2E">
        <w:t>that</w:t>
      </w:r>
      <w:r w:rsidR="00535813">
        <w:t xml:space="preserve"> the </w:t>
      </w:r>
      <w:r w:rsidR="00314652">
        <w:t>AGS market</w:t>
      </w:r>
      <w:r w:rsidR="00FA7F2E">
        <w:t xml:space="preserve"> will continue to function effectively and clear at a market price, even under large issuance volumes.</w:t>
      </w:r>
      <w:r w:rsidR="00314652">
        <w:t xml:space="preserve"> </w:t>
      </w:r>
    </w:p>
    <w:p w14:paraId="282D7286" w14:textId="2B3F62D1" w:rsidR="00827824" w:rsidRDefault="002664AB" w:rsidP="00972070">
      <w:pPr>
        <w:pStyle w:val="Bullet"/>
        <w:numPr>
          <w:ilvl w:val="0"/>
          <w:numId w:val="0"/>
        </w:numPr>
      </w:pPr>
      <w:r>
        <w:t>As a mature</w:t>
      </w:r>
      <w:r w:rsidR="003C56CD">
        <w:t>,</w:t>
      </w:r>
      <w:r>
        <w:t xml:space="preserve"> highly rated sovereign issuer with a large investor base, </w:t>
      </w:r>
      <w:r w:rsidR="00827824">
        <w:t>Australia</w:t>
      </w:r>
      <w:r w:rsidR="001D37B5">
        <w:t xml:space="preserve"> </w:t>
      </w:r>
      <w:r w:rsidR="00827824">
        <w:t>is</w:t>
      </w:r>
      <w:r>
        <w:t xml:space="preserve"> unlikely to face</w:t>
      </w:r>
      <w:r w:rsidR="009D14B1">
        <w:t xml:space="preserve"> </w:t>
      </w:r>
      <w:r w:rsidR="00827824">
        <w:t>a quantity constraint on issuance</w:t>
      </w:r>
      <w:r w:rsidR="00676A92">
        <w:t xml:space="preserve"> </w:t>
      </w:r>
      <w:r w:rsidR="00827824">
        <w:t xml:space="preserve">unless </w:t>
      </w:r>
      <w:r w:rsidR="00F67613">
        <w:t xml:space="preserve">faced with a </w:t>
      </w:r>
      <w:r w:rsidR="00827824">
        <w:t>signi</w:t>
      </w:r>
      <w:r w:rsidR="00A15F7C">
        <w:t>fi</w:t>
      </w:r>
      <w:r w:rsidR="00827824">
        <w:t xml:space="preserve">cant and highly idiosyncratic </w:t>
      </w:r>
      <w:r w:rsidR="000C2A3D">
        <w:t>event</w:t>
      </w:r>
      <w:r w:rsidR="00827824">
        <w:t>. The appetite of domestic investors is close to fully satiated so</w:t>
      </w:r>
      <w:r w:rsidR="00DD2EBB">
        <w:t>,</w:t>
      </w:r>
      <w:r w:rsidR="00827824">
        <w:t xml:space="preserve"> by and large, increase</w:t>
      </w:r>
      <w:r w:rsidR="00714BB5">
        <w:t>s</w:t>
      </w:r>
      <w:r w:rsidR="00827824">
        <w:t xml:space="preserve"> in issuance </w:t>
      </w:r>
      <w:r w:rsidR="00714BB5">
        <w:t xml:space="preserve">would </w:t>
      </w:r>
      <w:r w:rsidR="00827824">
        <w:t xml:space="preserve">be absorbed by offshore investors. </w:t>
      </w:r>
    </w:p>
    <w:p w14:paraId="12994DD2" w14:textId="78A2CA28" w:rsidR="00EA2693" w:rsidRDefault="00801A3B" w:rsidP="00972070">
      <w:pPr>
        <w:pStyle w:val="Bullet"/>
        <w:numPr>
          <w:ilvl w:val="0"/>
          <w:numId w:val="0"/>
        </w:numPr>
      </w:pPr>
      <w:r>
        <w:t>Ultimately</w:t>
      </w:r>
      <w:r w:rsidR="00827824">
        <w:t>, the AOFM is trading off issuing at longer maturities with a higher cost</w:t>
      </w:r>
      <w:r w:rsidR="00A15F7C">
        <w:t>,</w:t>
      </w:r>
      <w:r w:rsidR="00827824">
        <w:t xml:space="preserve"> thereby smoothing the refinancing task</w:t>
      </w:r>
      <w:r w:rsidR="00A15F7C">
        <w:t>,</w:t>
      </w:r>
      <w:r w:rsidR="00827824">
        <w:t xml:space="preserve"> as against issuing more shorte</w:t>
      </w:r>
      <w:r w:rsidR="00B07548">
        <w:t>r</w:t>
      </w:r>
      <w:r w:rsidR="00DD2EBB">
        <w:t>-</w:t>
      </w:r>
      <w:r w:rsidR="00827824">
        <w:t xml:space="preserve">dated </w:t>
      </w:r>
      <w:r w:rsidR="00560971">
        <w:t>bonds</w:t>
      </w:r>
      <w:r w:rsidR="00A15F7C">
        <w:t>,</w:t>
      </w:r>
      <w:r w:rsidR="00827824">
        <w:t xml:space="preserve"> thereby increasing the </w:t>
      </w:r>
      <w:proofErr w:type="gramStart"/>
      <w:r w:rsidR="00827824">
        <w:t>shorter term</w:t>
      </w:r>
      <w:proofErr w:type="gramEnd"/>
      <w:r w:rsidR="00827824">
        <w:t xml:space="preserve"> refinancing task and potentially pushing up yields.</w:t>
      </w:r>
      <w:r w:rsidR="00A15F7C">
        <w:t xml:space="preserve"> The AOFM characterises </w:t>
      </w:r>
      <w:r w:rsidR="008B400F">
        <w:t xml:space="preserve">its approach to managing this trade-off </w:t>
      </w:r>
      <w:r w:rsidR="00A15F7C">
        <w:t xml:space="preserve">as </w:t>
      </w:r>
      <w:r w:rsidR="008B400F">
        <w:t>‘</w:t>
      </w:r>
      <w:r w:rsidR="00A15F7C">
        <w:t>regret minimisation</w:t>
      </w:r>
      <w:r w:rsidR="008B400F">
        <w:t>’</w:t>
      </w:r>
      <w:r w:rsidR="00E1092B">
        <w:t xml:space="preserve">, </w:t>
      </w:r>
      <w:r w:rsidR="0069006E">
        <w:t xml:space="preserve">which takes account of </w:t>
      </w:r>
      <w:r w:rsidR="00432575">
        <w:t xml:space="preserve">the </w:t>
      </w:r>
      <w:r w:rsidR="000C2059">
        <w:t xml:space="preserve">very low </w:t>
      </w:r>
      <w:r w:rsidR="00624A98">
        <w:t xml:space="preserve">appetite for funding risk </w:t>
      </w:r>
      <w:r w:rsidR="00EA2693">
        <w:t>of the government</w:t>
      </w:r>
      <w:r w:rsidR="00410DF7">
        <w:t xml:space="preserve">. </w:t>
      </w:r>
      <w:r w:rsidR="00822956">
        <w:t>Th</w:t>
      </w:r>
      <w:r w:rsidR="00292BF0">
        <w:t>e</w:t>
      </w:r>
      <w:r w:rsidR="00822956">
        <w:t xml:space="preserve"> aim is to avoid</w:t>
      </w:r>
      <w:r w:rsidR="00D461C7">
        <w:t xml:space="preserve"> </w:t>
      </w:r>
      <w:r w:rsidR="00D461C7" w:rsidRPr="00D461C7">
        <w:t>extremely adverse cost outcomes rather than pursuing strategies that may minimise expected costs but come with higher risks</w:t>
      </w:r>
      <w:r w:rsidR="0063380F">
        <w:t>.</w:t>
      </w:r>
    </w:p>
    <w:p w14:paraId="0101FC6B" w14:textId="6DD6906A" w:rsidR="00827824" w:rsidRDefault="00A15F7C" w:rsidP="00972070">
      <w:pPr>
        <w:pStyle w:val="Bullet"/>
        <w:numPr>
          <w:ilvl w:val="0"/>
          <w:numId w:val="0"/>
        </w:numPr>
      </w:pPr>
      <w:r>
        <w:t xml:space="preserve">The Review’s assessment is that the AOFM should not </w:t>
      </w:r>
      <w:r w:rsidR="008B400F">
        <w:t xml:space="preserve">place </w:t>
      </w:r>
      <w:r>
        <w:t xml:space="preserve">much weight at all on concerns about the quantum of the issuance task in any given year </w:t>
      </w:r>
      <w:r w:rsidR="00DD5241">
        <w:t xml:space="preserve">and instead focus </w:t>
      </w:r>
      <w:r w:rsidR="009B7394">
        <w:t xml:space="preserve">primarily </w:t>
      </w:r>
      <w:r>
        <w:t xml:space="preserve">on </w:t>
      </w:r>
      <w:r w:rsidR="009312F5">
        <w:t xml:space="preserve">its </w:t>
      </w:r>
      <w:r>
        <w:t xml:space="preserve">assessment of the interest costs of different strategies over the cycle. That is, the AOFM should continue as </w:t>
      </w:r>
      <w:r w:rsidR="009312F5">
        <w:t xml:space="preserve">it </w:t>
      </w:r>
      <w:r>
        <w:t>currently do</w:t>
      </w:r>
      <w:r w:rsidR="009312F5">
        <w:t>es</w:t>
      </w:r>
      <w:r>
        <w:t xml:space="preserve"> to run the scenarios to assess the over-the-cycle interest costs of different issuance strategies</w:t>
      </w:r>
      <w:r w:rsidR="009312F5">
        <w:t>,</w:t>
      </w:r>
      <w:r>
        <w:t xml:space="preserve"> and consider refinancing risk through its interest rate implications</w:t>
      </w:r>
      <w:r w:rsidR="009312F5">
        <w:t>,</w:t>
      </w:r>
      <w:r>
        <w:t xml:space="preserve"> rather than </w:t>
      </w:r>
      <w:r w:rsidR="009312F5">
        <w:t xml:space="preserve">through </w:t>
      </w:r>
      <w:r>
        <w:t>any quantitative concern. This lends itself to more direct comparisons</w:t>
      </w:r>
      <w:r w:rsidR="009312F5">
        <w:t>,</w:t>
      </w:r>
      <w:r>
        <w:t xml:space="preserve"> rather than introducing a non-linear quantity consideration which the Review does not consider overly relevant. </w:t>
      </w:r>
      <w:r w:rsidR="002F0FBD">
        <w:t>Assessing the program through an interest</w:t>
      </w:r>
      <w:r w:rsidR="007E27C5">
        <w:t xml:space="preserve">-cost lens </w:t>
      </w:r>
      <w:r w:rsidR="009D1987">
        <w:t xml:space="preserve">is a difficult assessment to make, as the level and shape of the yield curve are a function of </w:t>
      </w:r>
      <w:proofErr w:type="gramStart"/>
      <w:r w:rsidR="009D1987">
        <w:t>a number of</w:t>
      </w:r>
      <w:proofErr w:type="gramEnd"/>
      <w:r w:rsidR="009D1987">
        <w:t xml:space="preserve"> variables of which the quantity of issuance is only one. </w:t>
      </w:r>
      <w:r>
        <w:t xml:space="preserve">The construction of a through-the-cycle benchmark portfolio </w:t>
      </w:r>
      <w:r w:rsidR="00137C14">
        <w:t>could</w:t>
      </w:r>
      <w:r>
        <w:t xml:space="preserve"> assist in this regard</w:t>
      </w:r>
      <w:r w:rsidR="00137C14">
        <w:t xml:space="preserve"> by providing another </w:t>
      </w:r>
      <w:r w:rsidR="009C6123">
        <w:t>structural</w:t>
      </w:r>
      <w:r w:rsidR="00B30CF3">
        <w:t xml:space="preserve"> mechanism</w:t>
      </w:r>
      <w:r w:rsidR="00141EBF">
        <w:t xml:space="preserve"> to assess</w:t>
      </w:r>
      <w:r w:rsidR="00B43281">
        <w:t xml:space="preserve"> the cost of different strategies.</w:t>
      </w:r>
      <w:r w:rsidR="00137C14">
        <w:t xml:space="preserve"> </w:t>
      </w:r>
    </w:p>
    <w:p w14:paraId="6A398780" w14:textId="5C9B37EC" w:rsidR="00457388" w:rsidRDefault="00FA7983" w:rsidP="00972070">
      <w:pPr>
        <w:pStyle w:val="Bullet"/>
        <w:numPr>
          <w:ilvl w:val="0"/>
          <w:numId w:val="0"/>
        </w:numPr>
      </w:pPr>
      <w:r>
        <w:t xml:space="preserve">The Strategy </w:t>
      </w:r>
      <w:r w:rsidR="00457388" w:rsidRPr="009E7B53">
        <w:t>is highly re</w:t>
      </w:r>
      <w:r w:rsidR="00A42B65">
        <w:t>garde</w:t>
      </w:r>
      <w:r w:rsidR="00457388" w:rsidRPr="009E7B53">
        <w:t xml:space="preserve">d by participants in the Australian </w:t>
      </w:r>
      <w:r w:rsidR="00A42B65">
        <w:t>government</w:t>
      </w:r>
      <w:r w:rsidR="00457388" w:rsidRPr="009E7B53">
        <w:t xml:space="preserve"> debt market</w:t>
      </w:r>
      <w:r w:rsidR="00972070">
        <w:t xml:space="preserve"> </w:t>
      </w:r>
      <w:r>
        <w:t xml:space="preserve">and </w:t>
      </w:r>
      <w:r w:rsidR="00A42B65">
        <w:t>was</w:t>
      </w:r>
      <w:r w:rsidR="00457388" w:rsidRPr="009E7B53">
        <w:t xml:space="preserve"> variously described as </w:t>
      </w:r>
      <w:r w:rsidR="00457388" w:rsidRPr="00A42B65">
        <w:t>“best in class”</w:t>
      </w:r>
      <w:r w:rsidR="00A42B65" w:rsidRPr="00A42B65">
        <w:t xml:space="preserve">, </w:t>
      </w:r>
      <w:r w:rsidR="009312F5">
        <w:t>“</w:t>
      </w:r>
      <w:r w:rsidR="00A42B65" w:rsidRPr="00A42B65">
        <w:t xml:space="preserve">well </w:t>
      </w:r>
      <w:r w:rsidR="009312F5" w:rsidRPr="00A42B65">
        <w:t>established</w:t>
      </w:r>
      <w:r w:rsidR="009312F5">
        <w:t>”</w:t>
      </w:r>
      <w:r w:rsidR="009312F5" w:rsidRPr="00A42B65">
        <w:t xml:space="preserve"> </w:t>
      </w:r>
      <w:r w:rsidR="00A42B65" w:rsidRPr="00A42B65">
        <w:t xml:space="preserve">and </w:t>
      </w:r>
      <w:r w:rsidR="009312F5">
        <w:t>“</w:t>
      </w:r>
      <w:r w:rsidR="009312F5" w:rsidRPr="00A42B65">
        <w:t>predictable</w:t>
      </w:r>
      <w:r w:rsidR="009312F5">
        <w:t>”</w:t>
      </w:r>
      <w:r w:rsidR="009312F5" w:rsidRPr="00A42B65">
        <w:t xml:space="preserve"> </w:t>
      </w:r>
      <w:r w:rsidR="00972070">
        <w:t xml:space="preserve">by </w:t>
      </w:r>
      <w:r w:rsidR="009B7E82">
        <w:t xml:space="preserve">key </w:t>
      </w:r>
      <w:r w:rsidR="00972070">
        <w:t>stakeholders</w:t>
      </w:r>
      <w:r w:rsidR="00457388" w:rsidRPr="009E7B53">
        <w:t>.</w:t>
      </w:r>
      <w:r w:rsidR="00A53578">
        <w:t xml:space="preserve"> </w:t>
      </w:r>
      <w:r w:rsidR="00A53578" w:rsidRPr="00E440E0">
        <w:t>The Strategy is constructed and executed by a team of experienced officials</w:t>
      </w:r>
      <w:r w:rsidR="00A53578">
        <w:t xml:space="preserve"> within FSR. Recent issuance activity has proceeded without incident, indicating that the team and the agency retain sufficient knowledge to execute core functions.</w:t>
      </w:r>
    </w:p>
    <w:p w14:paraId="49F56663" w14:textId="5011DD74" w:rsidR="00191363" w:rsidRDefault="008A0421" w:rsidP="00925BB1">
      <w:pPr>
        <w:pStyle w:val="Bullet"/>
        <w:numPr>
          <w:ilvl w:val="0"/>
          <w:numId w:val="0"/>
        </w:numPr>
      </w:pPr>
      <w:r>
        <w:t xml:space="preserve">While there are some elements of the Strategy which could be altered to reduce its overall cost, the Review </w:t>
      </w:r>
      <w:r w:rsidR="009C42C2">
        <w:t>sees value in maintaining these elements</w:t>
      </w:r>
      <w:r w:rsidR="00191363">
        <w:t xml:space="preserve"> and does not </w:t>
      </w:r>
      <w:r w:rsidR="00CF6B5A">
        <w:t xml:space="preserve">recommend </w:t>
      </w:r>
      <w:r w:rsidR="00191363">
        <w:t>their removal</w:t>
      </w:r>
      <w:r w:rsidR="009C42C2">
        <w:t xml:space="preserve">. These </w:t>
      </w:r>
      <w:r w:rsidR="00191363">
        <w:t xml:space="preserve">elements </w:t>
      </w:r>
      <w:r w:rsidR="009C42C2">
        <w:t>include</w:t>
      </w:r>
      <w:r w:rsidR="00191363">
        <w:t>:</w:t>
      </w:r>
    </w:p>
    <w:p w14:paraId="0AB85F0D" w14:textId="4863E580" w:rsidR="00191363" w:rsidRDefault="00191363" w:rsidP="00925BB1">
      <w:pPr>
        <w:pStyle w:val="Bullet"/>
      </w:pPr>
      <w:r w:rsidRPr="00925BB1">
        <w:rPr>
          <w:b/>
          <w:bCs/>
        </w:rPr>
        <w:t>T</w:t>
      </w:r>
      <w:r w:rsidR="009C42C2" w:rsidRPr="00925BB1">
        <w:rPr>
          <w:b/>
          <w:bCs/>
        </w:rPr>
        <w:t>he issuance of Treasury Indexed Bonds</w:t>
      </w:r>
      <w:r w:rsidR="003431C1">
        <w:t>.</w:t>
      </w:r>
      <w:r w:rsidR="00D45802">
        <w:t xml:space="preserve"> </w:t>
      </w:r>
      <w:r w:rsidR="003431C1">
        <w:t>D</w:t>
      </w:r>
      <w:r w:rsidR="00331878">
        <w:t xml:space="preserve">espite </w:t>
      </w:r>
      <w:r w:rsidR="003B4630">
        <w:t xml:space="preserve">higher </w:t>
      </w:r>
      <w:r w:rsidR="00A42B65">
        <w:t>current</w:t>
      </w:r>
      <w:r w:rsidR="00331878">
        <w:t xml:space="preserve"> finance costs, </w:t>
      </w:r>
      <w:r w:rsidR="00BD51DC">
        <w:t xml:space="preserve">the </w:t>
      </w:r>
      <w:r w:rsidR="00775019">
        <w:t xml:space="preserve">Review supports </w:t>
      </w:r>
      <w:r w:rsidR="00BD51DC">
        <w:t>the maintenance of Treasury Indexed Bond issuance</w:t>
      </w:r>
      <w:r w:rsidR="00775019">
        <w:t xml:space="preserve">. </w:t>
      </w:r>
      <w:r w:rsidR="001847CD">
        <w:t>It is appropriate</w:t>
      </w:r>
      <w:r w:rsidR="00D45802">
        <w:t xml:space="preserve"> </w:t>
      </w:r>
      <w:r w:rsidR="00A42B65">
        <w:t xml:space="preserve">to support those investors who have a need for such a product. Given it is already well-established, the marginal cost of maintaining the program is low relative to the </w:t>
      </w:r>
      <w:proofErr w:type="gramStart"/>
      <w:r w:rsidR="00A42B65">
        <w:t>large fixed</w:t>
      </w:r>
      <w:proofErr w:type="gramEnd"/>
      <w:r w:rsidR="00A42B65">
        <w:t xml:space="preserve"> cost of re-establishing such a program in the future. Moreover, there will be economic circumstances in the future where indexed bonds could be the most </w:t>
      </w:r>
      <w:r w:rsidR="009312F5">
        <w:t>cost-</w:t>
      </w:r>
      <w:r w:rsidR="00A42B65">
        <w:t xml:space="preserve">effective form of issuance. </w:t>
      </w:r>
    </w:p>
    <w:p w14:paraId="50B49EAC" w14:textId="5E975CB4" w:rsidR="00331878" w:rsidRDefault="00191363" w:rsidP="00925BB1">
      <w:pPr>
        <w:pStyle w:val="Bullet"/>
      </w:pPr>
      <w:r w:rsidRPr="00925BB1">
        <w:rPr>
          <w:b/>
          <w:bCs/>
        </w:rPr>
        <w:t xml:space="preserve">The issuance of ultra-long </w:t>
      </w:r>
      <w:r w:rsidR="009C42C2" w:rsidRPr="00925BB1">
        <w:rPr>
          <w:b/>
          <w:bCs/>
        </w:rPr>
        <w:t>dated Treasury Bonds</w:t>
      </w:r>
      <w:r w:rsidR="00BD51DC">
        <w:t xml:space="preserve">. </w:t>
      </w:r>
      <w:r w:rsidR="00D31097">
        <w:t xml:space="preserve">These securities exhibit </w:t>
      </w:r>
      <w:r w:rsidR="007E5BBB">
        <w:t>higher term premia</w:t>
      </w:r>
      <w:r w:rsidR="00BD51DC">
        <w:t xml:space="preserve"> and overall finance costs in</w:t>
      </w:r>
      <w:r w:rsidR="002B36A8">
        <w:t xml:space="preserve"> the current fixed income market</w:t>
      </w:r>
      <w:r w:rsidR="00D31097">
        <w:t>.</w:t>
      </w:r>
      <w:r w:rsidR="007E5BBB">
        <w:t xml:space="preserve"> </w:t>
      </w:r>
      <w:r w:rsidR="00892718">
        <w:t>I</w:t>
      </w:r>
      <w:r w:rsidR="002B36A8">
        <w:t xml:space="preserve">ssuance of these securities </w:t>
      </w:r>
      <w:r w:rsidR="00A42B65">
        <w:t>is</w:t>
      </w:r>
      <w:r w:rsidR="007E5BBB">
        <w:t xml:space="preserve"> justified by </w:t>
      </w:r>
      <w:r w:rsidR="00A42B65">
        <w:t>the fundamental role of the sovereign curve in underpinning longer-dated issuance by other borrowers, as well as meeting the need</w:t>
      </w:r>
      <w:r w:rsidR="009312F5">
        <w:t>s</w:t>
      </w:r>
      <w:r w:rsidR="00A42B65">
        <w:t xml:space="preserve"> of some investors for a longer-dated product of this kind to hedge their liabilities</w:t>
      </w:r>
      <w:r w:rsidR="009A6854">
        <w:t>.</w:t>
      </w:r>
      <w:r w:rsidR="006F7659">
        <w:t xml:space="preserve"> They bring additional diversity to the investor base</w:t>
      </w:r>
      <w:r w:rsidR="008E041E">
        <w:t xml:space="preserve"> and broaden the AOFM’s funding toolkit. </w:t>
      </w:r>
    </w:p>
    <w:p w14:paraId="375E089A" w14:textId="240212B1" w:rsidR="00BB2950" w:rsidRDefault="00887FF1" w:rsidP="00925BB1">
      <w:pPr>
        <w:pStyle w:val="Bullet"/>
      </w:pPr>
      <w:r w:rsidRPr="00925BB1">
        <w:rPr>
          <w:b/>
          <w:bCs/>
        </w:rPr>
        <w:t xml:space="preserve">Issuance which aligns </w:t>
      </w:r>
      <w:r w:rsidR="009A6854" w:rsidRPr="00925BB1">
        <w:rPr>
          <w:b/>
          <w:bCs/>
        </w:rPr>
        <w:t xml:space="preserve">physical market </w:t>
      </w:r>
      <w:r w:rsidR="00413011" w:rsidRPr="00925BB1">
        <w:rPr>
          <w:b/>
          <w:bCs/>
        </w:rPr>
        <w:t xml:space="preserve">liquidity </w:t>
      </w:r>
      <w:r w:rsidRPr="00925BB1">
        <w:rPr>
          <w:b/>
          <w:bCs/>
        </w:rPr>
        <w:t xml:space="preserve">with </w:t>
      </w:r>
      <w:r w:rsidR="003431C1" w:rsidRPr="00925BB1">
        <w:rPr>
          <w:b/>
          <w:bCs/>
        </w:rPr>
        <w:t xml:space="preserve">futures market </w:t>
      </w:r>
      <w:r w:rsidR="006C308C" w:rsidRPr="00925BB1">
        <w:rPr>
          <w:b/>
          <w:bCs/>
        </w:rPr>
        <w:t>maturity buckets</w:t>
      </w:r>
      <w:r w:rsidR="009A6854">
        <w:t xml:space="preserve">. </w:t>
      </w:r>
      <w:r w:rsidR="00A42B65">
        <w:t xml:space="preserve">The futures market is an important part of the Australian financial market ecosystem. </w:t>
      </w:r>
      <w:r w:rsidR="0027731B">
        <w:t>S</w:t>
      </w:r>
      <w:r w:rsidR="00A42B65">
        <w:t xml:space="preserve">upporting this market provides some of the most </w:t>
      </w:r>
      <w:r w:rsidR="009312F5">
        <w:t>cost-</w:t>
      </w:r>
      <w:r w:rsidR="00A42B65">
        <w:t>effective issuance for the AOFM</w:t>
      </w:r>
      <w:r w:rsidR="009312F5">
        <w:t>,</w:t>
      </w:r>
      <w:r w:rsidR="00A42B65">
        <w:t xml:space="preserve"> so this is not a material constraint on their issuance strategy. </w:t>
      </w:r>
    </w:p>
    <w:p w14:paraId="41129B4C" w14:textId="7CF018FE" w:rsidR="00BB4B29" w:rsidRPr="00607BF1" w:rsidRDefault="00BB4B29" w:rsidP="00BB4B29">
      <w:pPr>
        <w:pStyle w:val="Bullet"/>
        <w:numPr>
          <w:ilvl w:val="0"/>
          <w:numId w:val="0"/>
        </w:numPr>
      </w:pPr>
      <w:r>
        <w:t xml:space="preserve">Stakeholders made </w:t>
      </w:r>
      <w:r w:rsidRPr="00607BF1">
        <w:t xml:space="preserve">various suggestions about </w:t>
      </w:r>
      <w:r w:rsidR="007B0651">
        <w:t>elements of the program</w:t>
      </w:r>
      <w:r w:rsidRPr="00607BF1">
        <w:t xml:space="preserve"> the AOFM could consider adjusting </w:t>
      </w:r>
      <w:r>
        <w:t>within the S</w:t>
      </w:r>
      <w:r w:rsidRPr="00607BF1">
        <w:t>trategy. These suggestions were at the margin</w:t>
      </w:r>
      <w:r>
        <w:t>,</w:t>
      </w:r>
      <w:r w:rsidRPr="00607BF1">
        <w:t xml:space="preserve"> with all </w:t>
      </w:r>
      <w:r w:rsidR="002345BB">
        <w:t xml:space="preserve">Review </w:t>
      </w:r>
      <w:r w:rsidRPr="00607BF1">
        <w:t xml:space="preserve">participants being supportive of the </w:t>
      </w:r>
      <w:r>
        <w:t xml:space="preserve">agency’s </w:t>
      </w:r>
      <w:r w:rsidRPr="00607BF1">
        <w:t xml:space="preserve">overall </w:t>
      </w:r>
      <w:r>
        <w:t>S</w:t>
      </w:r>
      <w:r w:rsidRPr="00607BF1">
        <w:t xml:space="preserve">trategy. </w:t>
      </w:r>
      <w:r>
        <w:t xml:space="preserve">Through its interactions with market participants, the AOFM </w:t>
      </w:r>
      <w:r w:rsidR="007B0651">
        <w:t>is</w:t>
      </w:r>
      <w:r>
        <w:t xml:space="preserve"> already </w:t>
      </w:r>
      <w:proofErr w:type="gramStart"/>
      <w:r>
        <w:t>well aware</w:t>
      </w:r>
      <w:proofErr w:type="gramEnd"/>
      <w:r>
        <w:t xml:space="preserve"> of t</w:t>
      </w:r>
      <w:r w:rsidRPr="00607BF1">
        <w:t>hese suggestions</w:t>
      </w:r>
      <w:r>
        <w:t xml:space="preserve">, with some </w:t>
      </w:r>
      <w:r w:rsidRPr="00607BF1">
        <w:t xml:space="preserve">under </w:t>
      </w:r>
      <w:r>
        <w:t xml:space="preserve">active </w:t>
      </w:r>
      <w:r w:rsidRPr="00607BF1">
        <w:t>consideration.</w:t>
      </w:r>
    </w:p>
    <w:p w14:paraId="52BF5FE0" w14:textId="1EFA5841" w:rsidR="00457388" w:rsidRDefault="00457388" w:rsidP="00A53578">
      <w:pPr>
        <w:pStyle w:val="Bullet"/>
        <w:numPr>
          <w:ilvl w:val="0"/>
          <w:numId w:val="0"/>
        </w:numPr>
      </w:pPr>
      <w:r w:rsidRPr="007D3756">
        <w:t>However, the Review has identified</w:t>
      </w:r>
      <w:r w:rsidR="00381EBF">
        <w:t xml:space="preserve"> some</w:t>
      </w:r>
      <w:r w:rsidRPr="007D3756">
        <w:t xml:space="preserve"> risks to the AOFM’s ability to continue performing these functions</w:t>
      </w:r>
      <w:r>
        <w:t xml:space="preserve"> to </w:t>
      </w:r>
      <w:r w:rsidR="008040AD">
        <w:t xml:space="preserve">the current </w:t>
      </w:r>
      <w:proofErr w:type="gramStart"/>
      <w:r w:rsidR="008040AD">
        <w:t xml:space="preserve">high </w:t>
      </w:r>
      <w:r>
        <w:t>quality</w:t>
      </w:r>
      <w:proofErr w:type="gramEnd"/>
      <w:r>
        <w:t xml:space="preserve"> standard.</w:t>
      </w:r>
      <w:r w:rsidR="00C22EDA">
        <w:t xml:space="preserve"> </w:t>
      </w:r>
      <w:r w:rsidR="008040AD">
        <w:t xml:space="preserve">Some of these risks relate to process, </w:t>
      </w:r>
      <w:r w:rsidR="009312F5">
        <w:t xml:space="preserve">while others </w:t>
      </w:r>
      <w:r w:rsidR="008040AD">
        <w:t>relate to capability</w:t>
      </w:r>
      <w:r w:rsidR="009312F5">
        <w:t>,</w:t>
      </w:r>
      <w:r w:rsidR="008040AD">
        <w:t xml:space="preserve"> which is discussed in more detail in </w:t>
      </w:r>
      <w:r w:rsidR="00D575DC">
        <w:t xml:space="preserve">the </w:t>
      </w:r>
      <w:r w:rsidR="00B87CBC" w:rsidRPr="00B87CBC">
        <w:rPr>
          <w:i/>
          <w:iCs/>
        </w:rPr>
        <w:t>Capability</w:t>
      </w:r>
      <w:r w:rsidR="00B87CBC">
        <w:t xml:space="preserve"> </w:t>
      </w:r>
      <w:r w:rsidR="008040AD">
        <w:t>section.</w:t>
      </w:r>
    </w:p>
    <w:p w14:paraId="4DCD34F1" w14:textId="0003B05A" w:rsidR="00602B48" w:rsidRPr="00E440E0" w:rsidRDefault="00602B48" w:rsidP="00602B48">
      <w:pPr>
        <w:pStyle w:val="Heading2"/>
      </w:pPr>
      <w:bookmarkStart w:id="27" w:name="_Toc227237295"/>
      <w:bookmarkStart w:id="28" w:name="_Toc227313947"/>
      <w:r>
        <w:t>Process Improvement Recommendations</w:t>
      </w:r>
      <w:bookmarkEnd w:id="27"/>
      <w:bookmarkEnd w:id="28"/>
    </w:p>
    <w:p w14:paraId="09F82B64" w14:textId="09F4975C" w:rsidR="00BB4B29" w:rsidRDefault="00D11925" w:rsidP="00BB4B29">
      <w:pPr>
        <w:pStyle w:val="Bullet"/>
        <w:numPr>
          <w:ilvl w:val="0"/>
          <w:numId w:val="0"/>
        </w:numPr>
      </w:pPr>
      <w:r>
        <w:t xml:space="preserve">The Review believes that the AOFM needs to take steps to </w:t>
      </w:r>
      <w:r w:rsidR="00F64765">
        <w:t xml:space="preserve">ensure the appropriate degree of </w:t>
      </w:r>
      <w:r>
        <w:t xml:space="preserve">challenge </w:t>
      </w:r>
      <w:r w:rsidR="00D17EB4">
        <w:t>through p</w:t>
      </w:r>
      <w:r w:rsidR="00170B0D">
        <w:t>e</w:t>
      </w:r>
      <w:r w:rsidR="00D17EB4">
        <w:t xml:space="preserve">er review and analysis is </w:t>
      </w:r>
      <w:r w:rsidR="0046378E">
        <w:t>provided</w:t>
      </w:r>
      <w:r>
        <w:t xml:space="preserve"> during the development of the Strategy. </w:t>
      </w:r>
      <w:r w:rsidR="00ED05C3">
        <w:t>The Review recommends</w:t>
      </w:r>
      <w:r w:rsidR="00AE7923">
        <w:t xml:space="preserve"> that the AOFM </w:t>
      </w:r>
      <w:r w:rsidR="00417F52">
        <w:t>employs</w:t>
      </w:r>
      <w:r w:rsidR="00AE7923">
        <w:t xml:space="preserve"> </w:t>
      </w:r>
      <w:r w:rsidR="00417F52">
        <w:t xml:space="preserve">additional capacity to </w:t>
      </w:r>
      <w:r w:rsidR="009C2601">
        <w:t xml:space="preserve">address </w:t>
      </w:r>
      <w:r w:rsidR="001F0E44">
        <w:t>this</w:t>
      </w:r>
      <w:r w:rsidR="0020538E">
        <w:t xml:space="preserve">. While the </w:t>
      </w:r>
      <w:r w:rsidR="008516DB">
        <w:t xml:space="preserve">Review leaves </w:t>
      </w:r>
      <w:r w:rsidR="00A33FFA">
        <w:t>i</w:t>
      </w:r>
      <w:r w:rsidR="008516DB">
        <w:t xml:space="preserve">t to the AOFM as to how </w:t>
      </w:r>
      <w:r w:rsidR="00446989">
        <w:t>to address this</w:t>
      </w:r>
      <w:r w:rsidR="00A04808">
        <w:t xml:space="preserve"> issue</w:t>
      </w:r>
      <w:r w:rsidR="00446989">
        <w:t xml:space="preserve">, </w:t>
      </w:r>
      <w:r w:rsidR="00726001">
        <w:t>the Review</w:t>
      </w:r>
      <w:r w:rsidR="00446989">
        <w:t xml:space="preserve"> provides </w:t>
      </w:r>
      <w:r w:rsidR="00A33FFA">
        <w:t xml:space="preserve">a potential solution below. </w:t>
      </w:r>
    </w:p>
    <w:p w14:paraId="12CDFE1A" w14:textId="0B3D6EAD" w:rsidR="00457388" w:rsidRDefault="00BB4B29" w:rsidP="00BB4B29">
      <w:pPr>
        <w:pStyle w:val="Bullet"/>
        <w:numPr>
          <w:ilvl w:val="0"/>
          <w:numId w:val="0"/>
        </w:numPr>
      </w:pPr>
      <w:r>
        <w:t xml:space="preserve">The Head of FSR, while eminently capable and experienced, does not </w:t>
      </w:r>
      <w:r w:rsidR="00D84C1A">
        <w:t xml:space="preserve">receive </w:t>
      </w:r>
      <w:r>
        <w:t>sufficient peer challenge</w:t>
      </w:r>
      <w:r w:rsidR="005A3581">
        <w:t xml:space="preserve"> </w:t>
      </w:r>
      <w:r>
        <w:t>when producing the Strategy. The lack of other sovereign debt market expert</w:t>
      </w:r>
      <w:r w:rsidR="00D20BC3">
        <w:t>i</w:t>
      </w:r>
      <w:r>
        <w:t>s</w:t>
      </w:r>
      <w:r w:rsidR="00D20BC3">
        <w:t>e</w:t>
      </w:r>
      <w:r>
        <w:t xml:space="preserve"> among the Head of FSR’s peers means that </w:t>
      </w:r>
      <w:r w:rsidR="00CA3082">
        <w:t>their</w:t>
      </w:r>
      <w:r>
        <w:t xml:space="preserve"> inputs into the Strategy cannot be adequately debated or contested at-level. </w:t>
      </w:r>
      <w:r w:rsidR="00602B48">
        <w:t>A</w:t>
      </w:r>
      <w:r>
        <w:t xml:space="preserve">mong the other expert officials inside the AOFM who possess significant sovereign debt market experience, the highest degree of contest available to the Head of FSR’s views come from </w:t>
      </w:r>
      <w:r w:rsidR="000D0122">
        <w:t>his</w:t>
      </w:r>
      <w:r>
        <w:t xml:space="preserve"> own direct reports.</w:t>
      </w:r>
    </w:p>
    <w:p w14:paraId="42BBE1E1" w14:textId="7394BA5F" w:rsidR="00457388" w:rsidRDefault="00BB4F03" w:rsidP="00BB4B29">
      <w:pPr>
        <w:pStyle w:val="Bullet"/>
        <w:numPr>
          <w:ilvl w:val="0"/>
          <w:numId w:val="0"/>
        </w:numPr>
      </w:pPr>
      <w:r>
        <w:t>The Review</w:t>
      </w:r>
      <w:r w:rsidR="00BB4B29">
        <w:t>’s</w:t>
      </w:r>
      <w:r>
        <w:t xml:space="preserve"> </w:t>
      </w:r>
      <w:r w:rsidR="005C5D65">
        <w:t>opinion</w:t>
      </w:r>
      <w:r w:rsidR="00BB4B29">
        <w:t xml:space="preserve"> is </w:t>
      </w:r>
      <w:r>
        <w:t xml:space="preserve">that a </w:t>
      </w:r>
      <w:r w:rsidR="005C5D65">
        <w:t>separate</w:t>
      </w:r>
      <w:r>
        <w:t xml:space="preserve"> </w:t>
      </w:r>
      <w:r w:rsidR="007E7BA0" w:rsidRPr="00CE0354">
        <w:t>s</w:t>
      </w:r>
      <w:r w:rsidR="00457388" w:rsidRPr="00CE0354">
        <w:t>trategy</w:t>
      </w:r>
      <w:r w:rsidR="00305686" w:rsidRPr="00CE0354">
        <w:t xml:space="preserve"> research</w:t>
      </w:r>
      <w:r w:rsidR="00457388" w:rsidRPr="00CE0354">
        <w:t xml:space="preserve"> function</w:t>
      </w:r>
      <w:r w:rsidR="00457388">
        <w:t xml:space="preserve"> </w:t>
      </w:r>
      <w:r>
        <w:t xml:space="preserve">could </w:t>
      </w:r>
      <w:r w:rsidR="00BB4B29">
        <w:t xml:space="preserve">provide necessary challenge to </w:t>
      </w:r>
      <w:r w:rsidR="00CB3B14">
        <w:t>FSR</w:t>
      </w:r>
      <w:r w:rsidR="00BB4B29">
        <w:t xml:space="preserve"> in </w:t>
      </w:r>
      <w:r w:rsidR="00457388">
        <w:t xml:space="preserve">setting the Strategy. </w:t>
      </w:r>
      <w:r w:rsidR="00851331">
        <w:t>FSR</w:t>
      </w:r>
      <w:r w:rsidR="00457388">
        <w:t xml:space="preserve"> </w:t>
      </w:r>
      <w:r w:rsidR="00A42B65">
        <w:t>w</w:t>
      </w:r>
      <w:r>
        <w:t xml:space="preserve">ould </w:t>
      </w:r>
      <w:r w:rsidR="00602B48">
        <w:t>retain</w:t>
      </w:r>
      <w:r w:rsidR="00BB4B29">
        <w:t xml:space="preserve"> carriage of developing the Strategy and would have sole</w:t>
      </w:r>
      <w:r>
        <w:t xml:space="preserve"> responsibility for </w:t>
      </w:r>
      <w:r w:rsidR="00457388">
        <w:t>issuing AGS via tenders and syndications according to the Strategy.</w:t>
      </w:r>
    </w:p>
    <w:p w14:paraId="3FC592B0" w14:textId="405262B2" w:rsidR="006B2828" w:rsidRDefault="00602B48" w:rsidP="00661E60">
      <w:pPr>
        <w:pStyle w:val="Bullet"/>
        <w:numPr>
          <w:ilvl w:val="0"/>
          <w:numId w:val="0"/>
        </w:numPr>
      </w:pPr>
      <w:r w:rsidRPr="00B6480A">
        <w:t xml:space="preserve">Such a structure </w:t>
      </w:r>
      <w:r w:rsidR="002A4D74">
        <w:t>involving</w:t>
      </w:r>
      <w:r w:rsidR="00183EA0">
        <w:t xml:space="preserve"> two separate teams </w:t>
      </w:r>
      <w:r w:rsidRPr="00B6480A">
        <w:t xml:space="preserve">was considered during the consultations leading into the AOFM’s </w:t>
      </w:r>
      <w:r w:rsidR="007337F8">
        <w:t>2025</w:t>
      </w:r>
      <w:r w:rsidRPr="00B6480A">
        <w:t xml:space="preserve"> restructure. This proposed structure was rejected, in part because there </w:t>
      </w:r>
      <w:r>
        <w:t>were</w:t>
      </w:r>
      <w:r w:rsidRPr="00B6480A">
        <w:t xml:space="preserve"> concerns that there would be insufficient work available to occupy a separate </w:t>
      </w:r>
      <w:r w:rsidR="00B74923">
        <w:t>s</w:t>
      </w:r>
      <w:r w:rsidRPr="00B6480A">
        <w:t xml:space="preserve">trategy team. In </w:t>
      </w:r>
      <w:r>
        <w:t>contrast</w:t>
      </w:r>
      <w:r w:rsidRPr="00B6480A">
        <w:t xml:space="preserve">, the Review </w:t>
      </w:r>
      <w:r w:rsidR="00941EBC">
        <w:t xml:space="preserve">believes </w:t>
      </w:r>
      <w:r w:rsidR="000B2C5A">
        <w:t xml:space="preserve">this </w:t>
      </w:r>
      <w:r w:rsidR="00701AEF">
        <w:t>type of</w:t>
      </w:r>
      <w:r w:rsidR="000B2C5A">
        <w:t xml:space="preserve"> </w:t>
      </w:r>
      <w:r w:rsidR="005A7E7F">
        <w:t>structure</w:t>
      </w:r>
      <w:r w:rsidR="000B2C5A">
        <w:t xml:space="preserve"> is important</w:t>
      </w:r>
      <w:r w:rsidR="00E46BF9">
        <w:t>.</w:t>
      </w:r>
      <w:r w:rsidR="000B2C5A">
        <w:t xml:space="preserve"> </w:t>
      </w:r>
      <w:r w:rsidR="00E46BF9">
        <w:t>A</w:t>
      </w:r>
      <w:r w:rsidR="00941EBC">
        <w:t xml:space="preserve"> useful comparison is</w:t>
      </w:r>
      <w:r w:rsidRPr="00B6480A">
        <w:t xml:space="preserve"> </w:t>
      </w:r>
      <w:r>
        <w:t xml:space="preserve">the </w:t>
      </w:r>
      <w:r w:rsidR="00F03449">
        <w:t>role of a</w:t>
      </w:r>
      <w:r w:rsidR="00A83AB0">
        <w:t xml:space="preserve"> </w:t>
      </w:r>
      <w:r w:rsidRPr="00B6480A">
        <w:t xml:space="preserve">Research Department </w:t>
      </w:r>
      <w:r>
        <w:t>of a</w:t>
      </w:r>
      <w:r w:rsidRPr="00B6480A">
        <w:t xml:space="preserve"> central bank</w:t>
      </w:r>
      <w:r w:rsidR="004F07B5">
        <w:t xml:space="preserve">, which conducts medium to long-run research as well as providing capacity to be deployed in </w:t>
      </w:r>
      <w:r w:rsidR="006B2828">
        <w:t>times of stress</w:t>
      </w:r>
      <w:r>
        <w:t xml:space="preserve">. </w:t>
      </w:r>
    </w:p>
    <w:p w14:paraId="01C2960C" w14:textId="134AC647" w:rsidR="00602B48" w:rsidRDefault="00602B48" w:rsidP="00661E60">
      <w:pPr>
        <w:pStyle w:val="Bullet"/>
        <w:numPr>
          <w:ilvl w:val="0"/>
          <w:numId w:val="0"/>
        </w:numPr>
      </w:pPr>
      <w:r>
        <w:t xml:space="preserve">The </w:t>
      </w:r>
      <w:r w:rsidR="002323D0">
        <w:t>Review</w:t>
      </w:r>
      <w:r w:rsidR="00516DD8">
        <w:t xml:space="preserve">’s </w:t>
      </w:r>
      <w:r>
        <w:t xml:space="preserve">opinion is </w:t>
      </w:r>
      <w:r w:rsidRPr="00B6480A">
        <w:t xml:space="preserve">that there </w:t>
      </w:r>
      <w:r>
        <w:t xml:space="preserve">are </w:t>
      </w:r>
      <w:r w:rsidRPr="00B6480A">
        <w:t>benefit</w:t>
      </w:r>
      <w:r>
        <w:t>s</w:t>
      </w:r>
      <w:r w:rsidRPr="00B6480A">
        <w:t xml:space="preserve"> </w:t>
      </w:r>
      <w:r>
        <w:t xml:space="preserve">for </w:t>
      </w:r>
      <w:r w:rsidRPr="00B6480A">
        <w:t xml:space="preserve">an agency like the AOFM </w:t>
      </w:r>
      <w:r>
        <w:t xml:space="preserve">possessing </w:t>
      </w:r>
      <w:r w:rsidRPr="00B6480A">
        <w:t>a dedicated function</w:t>
      </w:r>
      <w:r w:rsidR="00BE73E3">
        <w:t xml:space="preserve"> to provide such challenge. </w:t>
      </w:r>
      <w:r w:rsidRPr="00B6480A">
        <w:t xml:space="preserve">Maintaining such a function would </w:t>
      </w:r>
      <w:r>
        <w:t>help</w:t>
      </w:r>
      <w:r w:rsidRPr="00B6480A">
        <w:t xml:space="preserve"> provid</w:t>
      </w:r>
      <w:r>
        <w:t>e</w:t>
      </w:r>
      <w:r w:rsidRPr="00B6480A">
        <w:t xml:space="preserve"> regular assurance that the Strategy remains fit for purpose, including through regular </w:t>
      </w:r>
      <w:r w:rsidR="00F618A9">
        <w:t>review</w:t>
      </w:r>
      <w:r w:rsidRPr="00B6480A">
        <w:t xml:space="preserve"> and analysis of its elements. </w:t>
      </w:r>
      <w:r>
        <w:t>T</w:t>
      </w:r>
      <w:r w:rsidRPr="00B6480A">
        <w:t xml:space="preserve">he Review sees benefit in </w:t>
      </w:r>
      <w:r>
        <w:t xml:space="preserve">this </w:t>
      </w:r>
      <w:r w:rsidRPr="00B6480A">
        <w:t xml:space="preserve">challenge </w:t>
      </w:r>
      <w:r>
        <w:t xml:space="preserve">and analysis </w:t>
      </w:r>
      <w:r w:rsidRPr="00B6480A">
        <w:t xml:space="preserve">being offered by officials </w:t>
      </w:r>
      <w:r>
        <w:t xml:space="preserve">who </w:t>
      </w:r>
      <w:r w:rsidRPr="00B6480A">
        <w:t xml:space="preserve">are not </w:t>
      </w:r>
      <w:r>
        <w:t xml:space="preserve">directly </w:t>
      </w:r>
      <w:r w:rsidRPr="00B6480A">
        <w:t>responsible for designing the Strategy</w:t>
      </w:r>
      <w:r>
        <w:t>, as these degrees of separation assist with objectivity</w:t>
      </w:r>
      <w:r w:rsidRPr="00B6480A">
        <w:t>.</w:t>
      </w:r>
    </w:p>
    <w:p w14:paraId="72FF0BB2" w14:textId="77777777" w:rsidR="00457388" w:rsidRPr="00361E9F" w:rsidRDefault="00457388" w:rsidP="00C269EB">
      <w:pPr>
        <w:pStyle w:val="Bullet"/>
        <w:numPr>
          <w:ilvl w:val="0"/>
          <w:numId w:val="0"/>
        </w:numPr>
      </w:pPr>
      <w:proofErr w:type="gramStart"/>
      <w:r w:rsidRPr="00361E9F">
        <w:t>In light of</w:t>
      </w:r>
      <w:proofErr w:type="gramEnd"/>
      <w:r w:rsidRPr="00361E9F">
        <w:t xml:space="preserve"> the Review’s </w:t>
      </w:r>
      <w:r>
        <w:t xml:space="preserve">observations </w:t>
      </w:r>
      <w:r w:rsidRPr="00361E9F">
        <w:t>regarding the Strategy</w:t>
      </w:r>
      <w:r>
        <w:t>, its execution, and the AOFM’s organisational structure</w:t>
      </w:r>
      <w:r w:rsidRPr="00361E9F">
        <w:t>, we recommend that the AOFM:</w:t>
      </w:r>
    </w:p>
    <w:p w14:paraId="56B955C7" w14:textId="49961639" w:rsidR="00B72034" w:rsidRDefault="00B72034" w:rsidP="00C269EB">
      <w:pPr>
        <w:pStyle w:val="Bullet"/>
      </w:pPr>
      <w:r>
        <w:t xml:space="preserve">Reinstate </w:t>
      </w:r>
      <w:r w:rsidR="00F618A9">
        <w:t xml:space="preserve">the </w:t>
      </w:r>
      <w:r w:rsidR="00240D2A">
        <w:t>formal quarterly</w:t>
      </w:r>
      <w:r>
        <w:t xml:space="preserve"> Portfolio Strategy meetings </w:t>
      </w:r>
      <w:r w:rsidR="0027531C">
        <w:t xml:space="preserve">at the earliest possible </w:t>
      </w:r>
      <w:proofErr w:type="gramStart"/>
      <w:r w:rsidR="0027531C">
        <w:t>opportunity</w:t>
      </w:r>
      <w:r>
        <w:t>;</w:t>
      </w:r>
      <w:proofErr w:type="gramEnd"/>
    </w:p>
    <w:p w14:paraId="3D70AE31" w14:textId="7BCB2369" w:rsidR="00457388" w:rsidRDefault="00524CC8" w:rsidP="00C269EB">
      <w:pPr>
        <w:pStyle w:val="Bullet"/>
      </w:pPr>
      <w:r>
        <w:t>I</w:t>
      </w:r>
      <w:r w:rsidR="00457388" w:rsidRPr="00DA6A2C">
        <w:t xml:space="preserve">ntroduce a dedicated </w:t>
      </w:r>
      <w:r w:rsidR="00A051A4">
        <w:t>s</w:t>
      </w:r>
      <w:r w:rsidR="00457388" w:rsidRPr="00DA6A2C">
        <w:t>trategy</w:t>
      </w:r>
      <w:r w:rsidR="00A051A4">
        <w:t xml:space="preserve"> research</w:t>
      </w:r>
      <w:r w:rsidR="00457388" w:rsidRPr="00DA6A2C">
        <w:t xml:space="preserve"> function</w:t>
      </w:r>
      <w:r>
        <w:t xml:space="preserve"> led by an EL2 </w:t>
      </w:r>
      <w:proofErr w:type="gramStart"/>
      <w:r>
        <w:t>official</w:t>
      </w:r>
      <w:r w:rsidR="00457388">
        <w:t>;</w:t>
      </w:r>
      <w:proofErr w:type="gramEnd"/>
    </w:p>
    <w:p w14:paraId="2D5CF688" w14:textId="11917472" w:rsidR="00457388" w:rsidRDefault="00457388" w:rsidP="00C269EB">
      <w:pPr>
        <w:pStyle w:val="Bullet"/>
      </w:pPr>
      <w:r>
        <w:t>Expand the agency’s expertise</w:t>
      </w:r>
      <w:r w:rsidR="0027531C">
        <w:t xml:space="preserve"> as it relates to sovereign debt management,</w:t>
      </w:r>
      <w:r>
        <w:t xml:space="preserve"> </w:t>
      </w:r>
      <w:r w:rsidR="0038139C">
        <w:t xml:space="preserve">by </w:t>
      </w:r>
      <w:r w:rsidR="00FB62C1">
        <w:t xml:space="preserve">hiring externally </w:t>
      </w:r>
      <w:r>
        <w:t>with a view to reducing key person risk</w:t>
      </w:r>
      <w:r w:rsidR="00B72034">
        <w:t>; and</w:t>
      </w:r>
    </w:p>
    <w:p w14:paraId="31FDBAF1" w14:textId="28FBA4AD" w:rsidR="00C269EB" w:rsidRDefault="00457388" w:rsidP="00C269EB">
      <w:pPr>
        <w:pStyle w:val="Bullet"/>
      </w:pPr>
      <w:r>
        <w:t>Engage the Advisory Board more frequently</w:t>
      </w:r>
      <w:r w:rsidR="0027531C">
        <w:t xml:space="preserve"> </w:t>
      </w:r>
      <w:r>
        <w:t xml:space="preserve">and provide it with greater influence over setting the Strategy each </w:t>
      </w:r>
      <w:r w:rsidR="00D1209A">
        <w:t>fiscal</w:t>
      </w:r>
      <w:r>
        <w:t xml:space="preserve"> year.</w:t>
      </w:r>
    </w:p>
    <w:p w14:paraId="15CBB9BA" w14:textId="202F4C22" w:rsidR="005E56BA" w:rsidRDefault="0027531C" w:rsidP="006061FC">
      <w:pPr>
        <w:pStyle w:val="Bullet"/>
        <w:numPr>
          <w:ilvl w:val="0"/>
          <w:numId w:val="0"/>
        </w:numPr>
      </w:pPr>
      <w:r>
        <w:t xml:space="preserve">Reinstating regular Portfolio Strategy meetings would allow officials from across the AOFM to periodically assess the broader macroeconomic environment and its interaction with the Strategy. </w:t>
      </w:r>
      <w:r w:rsidR="004B4BF5" w:rsidRPr="009903D7">
        <w:t>While a short pause in these meetings is understa</w:t>
      </w:r>
      <w:r w:rsidR="004B4BF5">
        <w:t>nd</w:t>
      </w:r>
      <w:r w:rsidR="004B4BF5" w:rsidRPr="009903D7">
        <w:t xml:space="preserve">able </w:t>
      </w:r>
      <w:r w:rsidR="004B4BF5">
        <w:t>given the</w:t>
      </w:r>
      <w:r w:rsidR="004B4BF5" w:rsidRPr="009903D7">
        <w:t xml:space="preserve"> </w:t>
      </w:r>
      <w:r w:rsidR="004B4BF5">
        <w:t xml:space="preserve">AOFM’s </w:t>
      </w:r>
      <w:r w:rsidR="00A32BCB">
        <w:t xml:space="preserve">recent </w:t>
      </w:r>
      <w:r w:rsidR="004B4BF5">
        <w:t>restructure</w:t>
      </w:r>
      <w:r w:rsidR="004B4BF5" w:rsidRPr="009903D7">
        <w:t xml:space="preserve">, the Review does not see a justification for postponing the meetings for such a long period of time. </w:t>
      </w:r>
      <w:r w:rsidR="004B4BF5">
        <w:t>The meetings</w:t>
      </w:r>
      <w:r w:rsidR="004B4BF5" w:rsidRPr="009903D7">
        <w:t xml:space="preserve"> are an important regular internal process, which the Review recommends be reconvened as soon as possible</w:t>
      </w:r>
      <w:r>
        <w:t xml:space="preserve">. </w:t>
      </w:r>
    </w:p>
    <w:p w14:paraId="7F77A657" w14:textId="12724BFB" w:rsidR="0027531C" w:rsidRDefault="00C657E7" w:rsidP="006061FC">
      <w:pPr>
        <w:pStyle w:val="Bullet"/>
        <w:numPr>
          <w:ilvl w:val="0"/>
          <w:numId w:val="0"/>
        </w:numPr>
      </w:pPr>
      <w:r>
        <w:t xml:space="preserve">The </w:t>
      </w:r>
      <w:r w:rsidR="005E56BA">
        <w:t>Review notes that the</w:t>
      </w:r>
      <w:r>
        <w:t xml:space="preserve"> weekly cash meetings </w:t>
      </w:r>
      <w:r w:rsidR="0027531C">
        <w:t xml:space="preserve">provide officials with the opportunity to consider </w:t>
      </w:r>
      <w:r w:rsidR="00C3310F">
        <w:t xml:space="preserve">cash forecasts and actuals and how these </w:t>
      </w:r>
      <w:r w:rsidR="0027531C">
        <w:t>interact with the Strategy. However, it is not obvious to the Review that these arrangements allow officials to take a sufficiently broad or long-term view of how conditions are trending, or how shifts in these conditions affect longer-run implications for the Strategy.</w:t>
      </w:r>
    </w:p>
    <w:p w14:paraId="2D49A5C9" w14:textId="2AF1DD55" w:rsidR="00457388" w:rsidRDefault="005B30BF" w:rsidP="00C269EB">
      <w:pPr>
        <w:pStyle w:val="Bullet"/>
        <w:numPr>
          <w:ilvl w:val="0"/>
          <w:numId w:val="0"/>
        </w:numPr>
      </w:pPr>
      <w:r>
        <w:t>I</w:t>
      </w:r>
      <w:r w:rsidR="00457388">
        <w:t xml:space="preserve">ntroducing a dedicated </w:t>
      </w:r>
      <w:r w:rsidR="007600C9">
        <w:t>s</w:t>
      </w:r>
      <w:r w:rsidR="00457388">
        <w:t>trategy</w:t>
      </w:r>
      <w:r w:rsidR="007600C9">
        <w:t xml:space="preserve"> research</w:t>
      </w:r>
      <w:r w:rsidR="00457388">
        <w:t xml:space="preserve"> function would enhance the AOFM’s capacity to consider how shifts in conditions could affect the Strategy. Having access to this </w:t>
      </w:r>
      <w:r w:rsidR="0084515A">
        <w:t>s</w:t>
      </w:r>
      <w:r w:rsidR="00661E60">
        <w:t xml:space="preserve">trategy </w:t>
      </w:r>
      <w:r w:rsidR="00F10516">
        <w:t xml:space="preserve">research </w:t>
      </w:r>
      <w:r w:rsidR="00EC3294">
        <w:t>function</w:t>
      </w:r>
      <w:r w:rsidR="00457388">
        <w:t xml:space="preserve"> would: </w:t>
      </w:r>
    </w:p>
    <w:p w14:paraId="621DFB86" w14:textId="77777777" w:rsidR="00457388" w:rsidRDefault="00457388" w:rsidP="00C269EB">
      <w:pPr>
        <w:pStyle w:val="Bullet"/>
      </w:pPr>
      <w:r>
        <w:t>Allow the agency to better prepare contingencies, enabling the Strategy to quickly pivot under different scenarios (e.g. preparing justification for alternative WAM targets under scenarios where the shape of the yield curve dramatically shifts</w:t>
      </w:r>
      <w:proofErr w:type="gramStart"/>
      <w:r>
        <w:t>);</w:t>
      </w:r>
      <w:proofErr w:type="gramEnd"/>
    </w:p>
    <w:p w14:paraId="334739B1" w14:textId="26339AF4" w:rsidR="00457388" w:rsidRDefault="00457388" w:rsidP="00C269EB">
      <w:pPr>
        <w:pStyle w:val="Bullet"/>
      </w:pPr>
      <w:r>
        <w:t xml:space="preserve">Provide more internal contestability among experts with </w:t>
      </w:r>
      <w:r w:rsidR="006E15D0">
        <w:t>senior</w:t>
      </w:r>
      <w:r>
        <w:t xml:space="preserve"> experience managing sovereign debt programs when setting the annual Strategy; and</w:t>
      </w:r>
    </w:p>
    <w:p w14:paraId="75676777" w14:textId="70D42AD5" w:rsidR="00BB4B29" w:rsidRDefault="00457388" w:rsidP="00602B48">
      <w:pPr>
        <w:pStyle w:val="Bullet"/>
      </w:pPr>
      <w:r>
        <w:t xml:space="preserve">Provide </w:t>
      </w:r>
      <w:r w:rsidR="00906855">
        <w:t>additional depth to the AOFM’s resourcing footprint</w:t>
      </w:r>
      <w:r w:rsidR="0039795F">
        <w:t>, improving its</w:t>
      </w:r>
      <w:r>
        <w:t xml:space="preserve"> </w:t>
      </w:r>
      <w:r w:rsidR="0039795F">
        <w:t xml:space="preserve">ability to manage instances where </w:t>
      </w:r>
      <w:r>
        <w:t>financial markets are under strain</w:t>
      </w:r>
      <w:r w:rsidR="0039795F">
        <w:t xml:space="preserve"> (</w:t>
      </w:r>
      <w:r>
        <w:t xml:space="preserve">and </w:t>
      </w:r>
      <w:r w:rsidR="00E02465">
        <w:t xml:space="preserve">how </w:t>
      </w:r>
      <w:r>
        <w:t xml:space="preserve">this impacts the Strategy or </w:t>
      </w:r>
      <w:r w:rsidR="0039795F">
        <w:t xml:space="preserve">AGS </w:t>
      </w:r>
      <w:r>
        <w:t>issuance</w:t>
      </w:r>
      <w:r w:rsidR="0039795F">
        <w:t>)</w:t>
      </w:r>
      <w:r w:rsidR="00E02465">
        <w:t>.</w:t>
      </w:r>
    </w:p>
    <w:p w14:paraId="216FD98B" w14:textId="47F3EC9E" w:rsidR="006E48FE" w:rsidRPr="007C7262" w:rsidRDefault="006E48FE" w:rsidP="006E48FE">
      <w:pPr>
        <w:pStyle w:val="Bullet"/>
        <w:numPr>
          <w:ilvl w:val="0"/>
          <w:numId w:val="0"/>
        </w:numPr>
      </w:pPr>
      <w:r w:rsidRPr="00F953F6">
        <w:t xml:space="preserve">While the AOFM assesses that it is running a mature debt program (and this assessment is held by many of the market participants consulted by the Review), this assessment needs to be continually </w:t>
      </w:r>
      <w:r w:rsidR="002D5396">
        <w:t xml:space="preserve">reviewed and </w:t>
      </w:r>
      <w:r w:rsidRPr="00F953F6">
        <w:t>challenged to ensure the program remains fit for purpose as conditions evolve.</w:t>
      </w:r>
    </w:p>
    <w:p w14:paraId="3AD25790" w14:textId="7F270AD1" w:rsidR="006061FC" w:rsidRDefault="00BB4B29" w:rsidP="006061FC">
      <w:pPr>
        <w:spacing w:line="276" w:lineRule="auto"/>
      </w:pPr>
      <w:r w:rsidRPr="00FE65C8">
        <w:t>The Review</w:t>
      </w:r>
      <w:r>
        <w:t xml:space="preserve"> further </w:t>
      </w:r>
      <w:r w:rsidR="00602B48">
        <w:t>argues</w:t>
      </w:r>
      <w:r>
        <w:t xml:space="preserve"> that establishing a separate </w:t>
      </w:r>
      <w:r w:rsidR="000741DE">
        <w:t>s</w:t>
      </w:r>
      <w:r>
        <w:t xml:space="preserve">trategy </w:t>
      </w:r>
      <w:r w:rsidR="000741DE">
        <w:t xml:space="preserve">research </w:t>
      </w:r>
      <w:r w:rsidR="00D43FFE">
        <w:t>function</w:t>
      </w:r>
      <w:r>
        <w:t xml:space="preserve"> would provide extra depth to the AOFM’s technical capacity, ahead of the next financial market or economic crisis. Given the small pool of relevant expertise in sovereign debt management (which is concentrated within dealer panel institutions and some investors), the Review is not convinced that relevant external experience would be readily recruitable at short notice during a crisis.</w:t>
      </w:r>
      <w:r w:rsidR="004F67E6">
        <w:t xml:space="preserve"> </w:t>
      </w:r>
    </w:p>
    <w:p w14:paraId="1E983C23" w14:textId="2130F96F" w:rsidR="00BB4B29" w:rsidRDefault="00BB4B29" w:rsidP="00661E60">
      <w:pPr>
        <w:pStyle w:val="Heading2"/>
      </w:pPr>
      <w:bookmarkStart w:id="29" w:name="_Toc227237296"/>
      <w:bookmarkStart w:id="30" w:name="_Toc227313948"/>
      <w:r>
        <w:t>Role of the Advisory Board</w:t>
      </w:r>
      <w:bookmarkEnd w:id="29"/>
      <w:bookmarkEnd w:id="30"/>
      <w:r>
        <w:t xml:space="preserve"> </w:t>
      </w:r>
    </w:p>
    <w:p w14:paraId="31D55386" w14:textId="2D111E32" w:rsidR="00BB4B29" w:rsidRDefault="00BB4B29" w:rsidP="00BB4B29">
      <w:r>
        <w:t>The Review’s assessment is that the AOFM could make more extensive and purposeful use of the Advisory Board</w:t>
      </w:r>
      <w:r w:rsidR="00A54E76">
        <w:t xml:space="preserve"> when</w:t>
      </w:r>
      <w:r>
        <w:t xml:space="preserve"> developing the Strategy.</w:t>
      </w:r>
    </w:p>
    <w:p w14:paraId="5FF20ED9" w14:textId="77777777" w:rsidR="00BB4B29" w:rsidRDefault="00BB4B29" w:rsidP="00BB4B29">
      <w:pPr>
        <w:pStyle w:val="Bullet"/>
      </w:pPr>
      <w:r>
        <w:t xml:space="preserve">Members on the Board possess extensive debt and capital market experience, including in managing sovereign debt programs. At present, there are only two Board meetings per year (one in May and another in October), with neither of these being appropriately timed to allow the Board to suggest material changes to the Strategy (see </w:t>
      </w:r>
      <w:r w:rsidRPr="00625F70">
        <w:rPr>
          <w:i/>
          <w:iCs/>
        </w:rPr>
        <w:t>Debt Management Strategy</w:t>
      </w:r>
      <w:r w:rsidRPr="00625F70">
        <w:t xml:space="preserve"> </w:t>
      </w:r>
      <w:r>
        <w:t xml:space="preserve">section). </w:t>
      </w:r>
    </w:p>
    <w:p w14:paraId="358AD308" w14:textId="7DC8D9B7" w:rsidR="00BB4B29" w:rsidRDefault="00774F84" w:rsidP="00BB4B29">
      <w:pPr>
        <w:pStyle w:val="Bullet"/>
      </w:pPr>
      <w:r>
        <w:t>T</w:t>
      </w:r>
      <w:r w:rsidR="00BB4B29">
        <w:t xml:space="preserve">he Review recommends that the AOFM holds an additional meeting with the Board in </w:t>
      </w:r>
      <w:r w:rsidR="00A54E76">
        <w:t>February/</w:t>
      </w:r>
      <w:r w:rsidR="00BB4B29">
        <w:t xml:space="preserve">March, </w:t>
      </w:r>
      <w:r w:rsidR="00CF2D69">
        <w:t>in</w:t>
      </w:r>
      <w:r w:rsidR="00BB4B29">
        <w:t xml:space="preserve"> the</w:t>
      </w:r>
      <w:r w:rsidR="00CF2D69">
        <w:t xml:space="preserve"> initial stages </w:t>
      </w:r>
      <w:r w:rsidR="000262A5">
        <w:t>of</w:t>
      </w:r>
      <w:r w:rsidR="00BB4B29">
        <w:t xml:space="preserve"> Strategy formulat</w:t>
      </w:r>
      <w:r w:rsidR="000262A5">
        <w:t>ion</w:t>
      </w:r>
      <w:r w:rsidR="00BB4B29">
        <w:t xml:space="preserve">, to invite input and challenge from the Board much earlier in the Strategy’s development. </w:t>
      </w:r>
    </w:p>
    <w:p w14:paraId="29CEAD27" w14:textId="21F5123F" w:rsidR="00BB4B29" w:rsidRPr="004B6D04" w:rsidRDefault="00BB4B29" w:rsidP="00BB4B29">
      <w:pPr>
        <w:pStyle w:val="Bullet"/>
      </w:pPr>
      <w:r>
        <w:t xml:space="preserve">Additional meetings with the Board </w:t>
      </w:r>
      <w:r w:rsidR="00A54E76">
        <w:t>sh</w:t>
      </w:r>
      <w:r>
        <w:t>ould also be considered, including one which focuses on medium-term structural issues affecting the Strategy.</w:t>
      </w:r>
    </w:p>
    <w:p w14:paraId="78D58370" w14:textId="7E35D8FF" w:rsidR="00BB4B29" w:rsidRDefault="00BB4B29" w:rsidP="00B85790">
      <w:pPr>
        <w:spacing w:line="276" w:lineRule="auto"/>
      </w:pPr>
      <w:r w:rsidRPr="00C42A3A">
        <w:t xml:space="preserve">The AOFM Advisory Board currently sits at the more minimalist end of the governance spectrum of such boards. By expanding the role of the AOFM Advisory Board, its role and structure would become more analogous </w:t>
      </w:r>
      <w:r w:rsidR="00911BEF">
        <w:t xml:space="preserve">to </w:t>
      </w:r>
      <w:r w:rsidRPr="00C42A3A">
        <w:t>those of the Boards of state debt authorities and comparable debt management offices overseas</w:t>
      </w:r>
      <w:r w:rsidR="00776019">
        <w:t xml:space="preserve"> (</w:t>
      </w:r>
      <w:r w:rsidR="00776019" w:rsidRPr="0058558E">
        <w:t xml:space="preserve">see </w:t>
      </w:r>
      <w:r w:rsidR="00C9003C">
        <w:t>A</w:t>
      </w:r>
      <w:r w:rsidR="00776019" w:rsidRPr="0058558E">
        <w:t>ppendix 2</w:t>
      </w:r>
      <w:r w:rsidR="00776019">
        <w:t xml:space="preserve">). </w:t>
      </w:r>
      <w:r w:rsidR="005F2ADA">
        <w:t xml:space="preserve">This is discussed in more detail in the </w:t>
      </w:r>
      <w:r w:rsidR="005F2ADA" w:rsidRPr="00B85790">
        <w:rPr>
          <w:i/>
          <w:iCs/>
        </w:rPr>
        <w:t>Governance</w:t>
      </w:r>
      <w:r w:rsidR="005F2ADA">
        <w:t xml:space="preserve"> section.</w:t>
      </w:r>
    </w:p>
    <w:p w14:paraId="13365FB3" w14:textId="40939D84" w:rsidR="00457388" w:rsidRPr="00DA6A2C" w:rsidRDefault="00457388" w:rsidP="00E0196F">
      <w:pPr>
        <w:pStyle w:val="Bullet"/>
        <w:numPr>
          <w:ilvl w:val="0"/>
          <w:numId w:val="0"/>
        </w:numPr>
      </w:pPr>
      <w:r>
        <w:t xml:space="preserve">Engaging the Advisory Board more frequently, purposefully, and in a timelier fashion, represents an opportunity to bring more external scrutiny and expertise to setting the annual Strategy. The timing of recent Advisory Board consultations </w:t>
      </w:r>
      <w:r w:rsidR="00E82198">
        <w:t xml:space="preserve">has </w:t>
      </w:r>
      <w:r>
        <w:t xml:space="preserve">not allowed the Board sufficient time to </w:t>
      </w:r>
      <w:r w:rsidR="00E82198">
        <w:t xml:space="preserve">influence </w:t>
      </w:r>
      <w:r>
        <w:t>the annual Strategy. This has limited the Board’s role to validating the draft Strategy being put forward, rather than challenging and influencing the features of the Strategy.</w:t>
      </w:r>
      <w:r w:rsidR="00E82198">
        <w:t xml:space="preserve"> </w:t>
      </w:r>
    </w:p>
    <w:p w14:paraId="24D8E960" w14:textId="480CFF13" w:rsidR="00D70C4D" w:rsidRDefault="00D70C4D" w:rsidP="00457388">
      <w:pPr>
        <w:pStyle w:val="Heading1"/>
      </w:pPr>
      <w:bookmarkStart w:id="31" w:name="_Toc227237297"/>
      <w:bookmarkStart w:id="32" w:name="_Toc227313949"/>
      <w:r>
        <w:t xml:space="preserve">Capability </w:t>
      </w:r>
      <w:r w:rsidR="00F618C4">
        <w:t>A</w:t>
      </w:r>
      <w:r>
        <w:t>ssessment</w:t>
      </w:r>
      <w:r w:rsidR="00F14ACD">
        <w:t xml:space="preserve"> of the AOFM</w:t>
      </w:r>
      <w:bookmarkEnd w:id="31"/>
      <w:bookmarkEnd w:id="32"/>
    </w:p>
    <w:p w14:paraId="3AA01220" w14:textId="6AF5547D" w:rsidR="006B5DF6" w:rsidRDefault="006B5DF6" w:rsidP="006B5DF6">
      <w:pPr>
        <w:pStyle w:val="Heading2"/>
      </w:pPr>
      <w:bookmarkStart w:id="33" w:name="_Toc227237298"/>
      <w:bookmarkStart w:id="34" w:name="_Toc227313950"/>
      <w:r>
        <w:t>Debt Program</w:t>
      </w:r>
      <w:bookmarkEnd w:id="33"/>
      <w:bookmarkEnd w:id="34"/>
    </w:p>
    <w:p w14:paraId="21A6FDC2" w14:textId="2C78EF4B" w:rsidR="004B1AB9" w:rsidRPr="00F856BE" w:rsidRDefault="004B1AB9" w:rsidP="00B85790">
      <w:pPr>
        <w:spacing w:line="276" w:lineRule="auto"/>
      </w:pPr>
      <w:proofErr w:type="gramStart"/>
      <w:r w:rsidRPr="00615937">
        <w:t>On the basis of</w:t>
      </w:r>
      <w:proofErr w:type="gramEnd"/>
      <w:r w:rsidRPr="00615937">
        <w:t xml:space="preserve"> the analysis conducted by the </w:t>
      </w:r>
      <w:r w:rsidR="00615937" w:rsidRPr="00615937">
        <w:t>R</w:t>
      </w:r>
      <w:r w:rsidRPr="00615937">
        <w:t xml:space="preserve">eview team, as well as interviews with AOFM staff, market participants and other relevant stakeholders, it is the </w:t>
      </w:r>
      <w:r w:rsidR="002323D0">
        <w:t>Review</w:t>
      </w:r>
      <w:r w:rsidR="00615937" w:rsidRPr="00615937">
        <w:t>’</w:t>
      </w:r>
      <w:r w:rsidRPr="00615937">
        <w:t>s assessment that the AOFM has effective capacity to execute its primary task</w:t>
      </w:r>
      <w:r w:rsidR="00F856BE">
        <w:t xml:space="preserve"> of </w:t>
      </w:r>
      <w:r w:rsidRPr="00615937">
        <w:t>issuing debt to finance the Australian government</w:t>
      </w:r>
      <w:r w:rsidR="00607BF1">
        <w:t xml:space="preserve">. </w:t>
      </w:r>
      <w:r w:rsidR="00D04D27">
        <w:t xml:space="preserve">As discussed in the </w:t>
      </w:r>
      <w:r w:rsidR="00EA40E0" w:rsidRPr="00B85790">
        <w:rPr>
          <w:i/>
          <w:iCs/>
        </w:rPr>
        <w:t>Debt Management Strategy</w:t>
      </w:r>
      <w:r w:rsidR="00EA40E0">
        <w:t xml:space="preserve"> </w:t>
      </w:r>
      <w:r w:rsidR="00D04D27">
        <w:t>section, t</w:t>
      </w:r>
      <w:r w:rsidR="00607BF1">
        <w:t xml:space="preserve">he </w:t>
      </w:r>
      <w:r w:rsidR="002323D0">
        <w:t>Review</w:t>
      </w:r>
      <w:r w:rsidR="00607BF1">
        <w:t xml:space="preserve">’s assessment is that the agency </w:t>
      </w:r>
      <w:proofErr w:type="gramStart"/>
      <w:r w:rsidR="00607BF1">
        <w:t>is capable of executing</w:t>
      </w:r>
      <w:proofErr w:type="gramEnd"/>
      <w:r w:rsidR="00607BF1">
        <w:t xml:space="preserve"> this task</w:t>
      </w:r>
      <w:r w:rsidRPr="00615937">
        <w:t xml:space="preserve"> in a </w:t>
      </w:r>
      <w:r w:rsidR="00EA40E0" w:rsidRPr="00615937">
        <w:t>cost</w:t>
      </w:r>
      <w:r w:rsidR="00EA40E0">
        <w:t>-</w:t>
      </w:r>
      <w:r w:rsidRPr="00615937">
        <w:t xml:space="preserve">effective manner. </w:t>
      </w:r>
    </w:p>
    <w:p w14:paraId="7D2CC679" w14:textId="5FB4F1C4" w:rsidR="004B1AB9" w:rsidRDefault="001140D6" w:rsidP="00B85790">
      <w:pPr>
        <w:spacing w:line="276" w:lineRule="auto"/>
      </w:pPr>
      <w:r>
        <w:t>M</w:t>
      </w:r>
      <w:r w:rsidR="0009778C">
        <w:t xml:space="preserve">uch </w:t>
      </w:r>
      <w:r w:rsidR="004B1AB9" w:rsidRPr="0009778C">
        <w:t xml:space="preserve">of </w:t>
      </w:r>
      <w:r w:rsidR="0009778C">
        <w:t xml:space="preserve">the AOFM’s </w:t>
      </w:r>
      <w:r w:rsidR="00DB54B6">
        <w:t xml:space="preserve">core </w:t>
      </w:r>
      <w:r w:rsidR="004B1AB9" w:rsidRPr="0009778C">
        <w:t xml:space="preserve">capacity is embodied in the </w:t>
      </w:r>
      <w:r w:rsidR="00001A27">
        <w:t xml:space="preserve">current </w:t>
      </w:r>
      <w:r w:rsidR="00DB54B6">
        <w:t>H</w:t>
      </w:r>
      <w:r w:rsidR="004B1AB9" w:rsidRPr="0009778C">
        <w:t xml:space="preserve">ead of </w:t>
      </w:r>
      <w:r w:rsidR="00DB54B6">
        <w:t>FSR</w:t>
      </w:r>
      <w:r w:rsidR="004B1AB9" w:rsidRPr="0009778C">
        <w:t xml:space="preserve">, which creates key person risk. His expertise and experience </w:t>
      </w:r>
      <w:r w:rsidR="004E3B25">
        <w:t xml:space="preserve">in sovereign debt management </w:t>
      </w:r>
      <w:r w:rsidR="004B1AB9" w:rsidRPr="0009778C">
        <w:t xml:space="preserve">was recognised and commended universally across the market participants </w:t>
      </w:r>
      <w:r w:rsidR="004E3B25">
        <w:t xml:space="preserve">consulted by the </w:t>
      </w:r>
      <w:r w:rsidR="004B1AB9" w:rsidRPr="0009778C">
        <w:t xml:space="preserve">Review. There was also acknowledgment of the debt market experience </w:t>
      </w:r>
      <w:r w:rsidR="00F85369">
        <w:t>of</w:t>
      </w:r>
      <w:r w:rsidR="004B1AB9" w:rsidRPr="0009778C">
        <w:t xml:space="preserve"> other senior members of the team. </w:t>
      </w:r>
    </w:p>
    <w:p w14:paraId="0A2D6584" w14:textId="77777777" w:rsidR="00BB4B29" w:rsidRDefault="00BB4B29" w:rsidP="00EA40E0">
      <w:pPr>
        <w:pStyle w:val="Bullet"/>
        <w:numPr>
          <w:ilvl w:val="0"/>
          <w:numId w:val="0"/>
        </w:numPr>
      </w:pPr>
      <w:r w:rsidRPr="00185E3A">
        <w:t xml:space="preserve">The AOFM retains sufficient </w:t>
      </w:r>
      <w:r>
        <w:t>expertise to continue executing its current Strategy in the near-term. However, the relatively small size of the agency elevates the risk of critical expertise being concentrated within a small number of individual officials.</w:t>
      </w:r>
    </w:p>
    <w:p w14:paraId="015DD53F" w14:textId="37678908" w:rsidR="003F0386" w:rsidRDefault="00BB4B29" w:rsidP="00EA40E0">
      <w:pPr>
        <w:pStyle w:val="Bullet"/>
        <w:numPr>
          <w:ilvl w:val="0"/>
          <w:numId w:val="0"/>
        </w:numPr>
      </w:pPr>
      <w:r>
        <w:t xml:space="preserve">This key person risk has been amplified by recent departures of experienced officials. </w:t>
      </w:r>
      <w:r w:rsidR="00594EE7">
        <w:t xml:space="preserve">This turnover has been concentrated at senior levels and has led to the agency losing significant tenured experience in the administration of sovereign debt programs. </w:t>
      </w:r>
      <w:r w:rsidR="00296AB0">
        <w:t>In addition</w:t>
      </w:r>
      <w:r w:rsidR="000B344C">
        <w:t>,</w:t>
      </w:r>
      <w:r w:rsidR="00296AB0">
        <w:t xml:space="preserve"> </w:t>
      </w:r>
      <w:r w:rsidR="00B85C13">
        <w:t>some</w:t>
      </w:r>
      <w:r w:rsidR="00296AB0">
        <w:t xml:space="preserve"> of those who left </w:t>
      </w:r>
      <w:r w:rsidR="00F65B18">
        <w:t>were</w:t>
      </w:r>
      <w:r w:rsidR="00F65B18" w:rsidRPr="00F65B18">
        <w:t xml:space="preserve"> </w:t>
      </w:r>
      <w:r w:rsidR="00F65B18" w:rsidRPr="00366652">
        <w:t>involved first</w:t>
      </w:r>
      <w:r w:rsidR="00F65B18">
        <w:t>-</w:t>
      </w:r>
      <w:r w:rsidR="00F65B18" w:rsidRPr="00366652">
        <w:t>hand in the AOFM’s crisis responses during the Global Financial Crisis and the C</w:t>
      </w:r>
      <w:r w:rsidR="00F65B18">
        <w:t>ovid</w:t>
      </w:r>
      <w:r w:rsidR="00F65B18" w:rsidRPr="00366652">
        <w:t>-19 pandemic.</w:t>
      </w:r>
      <w:r w:rsidR="00F65B18">
        <w:t xml:space="preserve"> </w:t>
      </w:r>
      <w:r w:rsidR="00B05E8B">
        <w:t>The Review’s opinion is that t</w:t>
      </w:r>
      <w:r w:rsidR="00FB488C" w:rsidRPr="00366652">
        <w:t>he concentration of departures in a short period of time has left the AOFM with a deficit of appropriate experience, which will take time to rebuild organically.</w:t>
      </w:r>
      <w:r w:rsidR="00911F4F" w:rsidRPr="00911F4F">
        <w:t xml:space="preserve"> </w:t>
      </w:r>
    </w:p>
    <w:p w14:paraId="32959781" w14:textId="69A87D15" w:rsidR="00D62DF3" w:rsidRDefault="006C1F9B" w:rsidP="00D01F9C">
      <w:pPr>
        <w:spacing w:line="276" w:lineRule="auto"/>
      </w:pPr>
      <w:r>
        <w:t>O</w:t>
      </w:r>
      <w:r w:rsidR="004B1AB9" w:rsidRPr="00F846DD">
        <w:t xml:space="preserve">ther </w:t>
      </w:r>
      <w:r w:rsidR="007370F3">
        <w:t xml:space="preserve">senior </w:t>
      </w:r>
      <w:r>
        <w:t xml:space="preserve">officials </w:t>
      </w:r>
      <w:r w:rsidR="007370F3">
        <w:t>at</w:t>
      </w:r>
      <w:r>
        <w:t xml:space="preserve"> the AOFM possess</w:t>
      </w:r>
      <w:r w:rsidR="007370F3">
        <w:t xml:space="preserve"> a variety of</w:t>
      </w:r>
      <w:r>
        <w:t xml:space="preserve"> </w:t>
      </w:r>
      <w:r w:rsidR="004B1AB9" w:rsidRPr="00F846DD">
        <w:t xml:space="preserve">debt market </w:t>
      </w:r>
      <w:r w:rsidR="0025255E">
        <w:t>experience</w:t>
      </w:r>
      <w:r w:rsidR="007C60E5">
        <w:t>.</w:t>
      </w:r>
      <w:r w:rsidR="004B1AB9" w:rsidRPr="00F846DD">
        <w:t xml:space="preserve"> </w:t>
      </w:r>
      <w:r w:rsidR="007370F3">
        <w:t>Som</w:t>
      </w:r>
      <w:r w:rsidR="00420C5F">
        <w:t xml:space="preserve">e have experience in government debt markets, while others have a corporate debt market background. </w:t>
      </w:r>
      <w:r w:rsidR="00D368E0" w:rsidRPr="00F846DD">
        <w:t xml:space="preserve">There </w:t>
      </w:r>
      <w:r w:rsidR="00551262">
        <w:t>is</w:t>
      </w:r>
      <w:r w:rsidR="00D368E0" w:rsidRPr="00F846DD">
        <w:t xml:space="preserve"> </w:t>
      </w:r>
      <w:proofErr w:type="gramStart"/>
      <w:r w:rsidR="00D368E0" w:rsidRPr="00F846DD">
        <w:t>a number of</w:t>
      </w:r>
      <w:proofErr w:type="gramEnd"/>
      <w:r w:rsidR="00D368E0" w:rsidRPr="00F846DD">
        <w:t xml:space="preserve"> important differences between managing a corporate debt program and a large </w:t>
      </w:r>
      <w:r w:rsidR="008E4D1F">
        <w:t>government</w:t>
      </w:r>
      <w:r w:rsidR="00D368E0" w:rsidRPr="00F846DD">
        <w:t xml:space="preserve"> debt program</w:t>
      </w:r>
      <w:r w:rsidR="00D368E0">
        <w:t xml:space="preserve">. </w:t>
      </w:r>
      <w:r w:rsidR="00D01F9C" w:rsidRPr="00366652">
        <w:t xml:space="preserve">While </w:t>
      </w:r>
      <w:r w:rsidR="00F41DE5">
        <w:t>senior officials with</w:t>
      </w:r>
      <w:r w:rsidR="00D01F9C" w:rsidRPr="00366652">
        <w:t xml:space="preserve"> corporate debt experience</w:t>
      </w:r>
      <w:r w:rsidR="00F41DE5">
        <w:t xml:space="preserve"> have </w:t>
      </w:r>
      <w:r w:rsidR="00551262">
        <w:t xml:space="preserve">recently </w:t>
      </w:r>
      <w:r w:rsidR="00F41DE5">
        <w:t xml:space="preserve">been </w:t>
      </w:r>
      <w:r w:rsidR="00551262">
        <w:t>employed</w:t>
      </w:r>
      <w:r w:rsidR="00F41DE5">
        <w:t>,</w:t>
      </w:r>
      <w:r w:rsidR="00D01F9C" w:rsidRPr="00366652">
        <w:t xml:space="preserve"> </w:t>
      </w:r>
      <w:r w:rsidR="00D01F9C">
        <w:t xml:space="preserve">the Review assesses that </w:t>
      </w:r>
      <w:r w:rsidR="00D01F9C" w:rsidRPr="00366652">
        <w:t xml:space="preserve">this does not </w:t>
      </w:r>
      <w:r w:rsidR="00AF2C5D">
        <w:t xml:space="preserve">yet </w:t>
      </w:r>
      <w:r w:rsidR="00D01F9C" w:rsidRPr="00366652">
        <w:t xml:space="preserve">fully </w:t>
      </w:r>
      <w:r w:rsidR="00451BF6">
        <w:t>compensate</w:t>
      </w:r>
      <w:r w:rsidR="00D01F9C" w:rsidRPr="00366652">
        <w:t xml:space="preserve"> for </w:t>
      </w:r>
      <w:r w:rsidR="00451BF6">
        <w:t xml:space="preserve">the departed </w:t>
      </w:r>
      <w:r w:rsidR="003F0386">
        <w:t>government</w:t>
      </w:r>
      <w:r w:rsidR="00D01F9C" w:rsidRPr="00366652">
        <w:t xml:space="preserve"> debt market experience.</w:t>
      </w:r>
      <w:r w:rsidR="00D01F9C">
        <w:t xml:space="preserve"> </w:t>
      </w:r>
      <w:r w:rsidR="00782FFB">
        <w:t xml:space="preserve">It will take some time for these officials to </w:t>
      </w:r>
      <w:r w:rsidR="008E4D1F">
        <w:t>develop a deeper understanding of the nuances of government debt markets</w:t>
      </w:r>
      <w:r w:rsidR="00A57A75">
        <w:t xml:space="preserve"> and provide appropriate internal challenge to the Strategy.</w:t>
      </w:r>
    </w:p>
    <w:p w14:paraId="52E93797" w14:textId="04C220B4" w:rsidR="00122C70" w:rsidRDefault="00E749CF" w:rsidP="008E0E5E">
      <w:pPr>
        <w:spacing w:line="276" w:lineRule="auto"/>
      </w:pPr>
      <w:r>
        <w:t>Relatedly</w:t>
      </w:r>
      <w:r w:rsidR="00677BB9">
        <w:t xml:space="preserve">, </w:t>
      </w:r>
      <w:r w:rsidR="00122C70" w:rsidRPr="00BC10DF">
        <w:t xml:space="preserve">the </w:t>
      </w:r>
      <w:r w:rsidR="00122C70">
        <w:t>Review</w:t>
      </w:r>
      <w:r w:rsidR="00122C70" w:rsidRPr="00BC10DF">
        <w:t xml:space="preserve"> </w:t>
      </w:r>
      <w:r w:rsidR="00122C70">
        <w:t xml:space="preserve">also </w:t>
      </w:r>
      <w:r w:rsidR="00122C70" w:rsidRPr="00BC10DF">
        <w:t xml:space="preserve">has concerns about AOFM’s capacity to respond </w:t>
      </w:r>
      <w:r w:rsidR="00122C70">
        <w:t xml:space="preserve">effectively </w:t>
      </w:r>
      <w:r w:rsidR="00122C70" w:rsidRPr="00BC10DF">
        <w:t xml:space="preserve">in a crisis. </w:t>
      </w:r>
      <w:r w:rsidR="00122C70">
        <w:t>In stressed conditions, key challenges lie in:</w:t>
      </w:r>
    </w:p>
    <w:p w14:paraId="58067BB0" w14:textId="77777777" w:rsidR="00122C70" w:rsidRDefault="00122C70" w:rsidP="00122C70">
      <w:pPr>
        <w:pStyle w:val="Bullet"/>
      </w:pPr>
      <w:r>
        <w:t xml:space="preserve">Assessing financial market conditions and adjusting the overall Strategy accordingly. Tenured experience in administering sovereign debt programs is key to navigating these scenarios, particularly given governments will require the option to ease fiscal policy in response to any emerging crisis. </w:t>
      </w:r>
    </w:p>
    <w:p w14:paraId="779A76E2" w14:textId="740DA908" w:rsidR="00122C70" w:rsidRPr="0018103C" w:rsidRDefault="00122C70" w:rsidP="00122C70">
      <w:pPr>
        <w:pStyle w:val="Bullet"/>
      </w:pPr>
      <w:r>
        <w:t xml:space="preserve">The ability to navigate interactions </w:t>
      </w:r>
      <w:r w:rsidRPr="00734B88">
        <w:t xml:space="preserve">with syndicate panel banks </w:t>
      </w:r>
      <w:r>
        <w:t xml:space="preserve">and </w:t>
      </w:r>
      <w:r w:rsidRPr="00734B88">
        <w:t>decid</w:t>
      </w:r>
      <w:r>
        <w:t xml:space="preserve">e </w:t>
      </w:r>
      <w:r w:rsidRPr="00734B88">
        <w:t>the parameters and final outcome</w:t>
      </w:r>
      <w:r>
        <w:t>s</w:t>
      </w:r>
      <w:r w:rsidRPr="00734B88">
        <w:t xml:space="preserve"> of </w:t>
      </w:r>
      <w:r>
        <w:t xml:space="preserve">transactions. </w:t>
      </w:r>
      <w:r w:rsidR="00E166CB">
        <w:t xml:space="preserve">While </w:t>
      </w:r>
      <w:r w:rsidR="003413BA">
        <w:t xml:space="preserve">this skill is present in the FSR leadership, </w:t>
      </w:r>
      <w:r w:rsidR="0077339F">
        <w:t>the AOFM needs to build the a</w:t>
      </w:r>
      <w:r>
        <w:t>ppropriate s</w:t>
      </w:r>
      <w:r w:rsidRPr="00734B88">
        <w:t>kill and judgement informed by experienc</w:t>
      </w:r>
      <w:r w:rsidR="00A3009F">
        <w:t>e</w:t>
      </w:r>
      <w:r w:rsidR="0077339F">
        <w:t xml:space="preserve"> across a broader </w:t>
      </w:r>
      <w:r w:rsidR="00A3009F">
        <w:t xml:space="preserve">group of </w:t>
      </w:r>
      <w:r w:rsidR="00690D4C">
        <w:t xml:space="preserve">senior </w:t>
      </w:r>
      <w:r w:rsidR="00A3009F">
        <w:t>staff to</w:t>
      </w:r>
      <w:r w:rsidRPr="00734B88">
        <w:t xml:space="preserve"> </w:t>
      </w:r>
      <w:r>
        <w:t>deliver these outcomes</w:t>
      </w:r>
      <w:r w:rsidRPr="00734B88">
        <w:t>.</w:t>
      </w:r>
    </w:p>
    <w:p w14:paraId="0C5FE4C6" w14:textId="5DFB8CA6" w:rsidR="00E96533" w:rsidRDefault="00E96533" w:rsidP="00173B98">
      <w:pPr>
        <w:pStyle w:val="Bullet"/>
        <w:numPr>
          <w:ilvl w:val="0"/>
          <w:numId w:val="0"/>
        </w:numPr>
      </w:pPr>
      <w:r w:rsidRPr="00AC08AB">
        <w:t xml:space="preserve">The management of the AOFM has recognised the need to increase the agency’s capacity to execute the debt program. </w:t>
      </w:r>
      <w:r>
        <w:t xml:space="preserve">In response to this need, management has prioritised the </w:t>
      </w:r>
      <w:r w:rsidRPr="00AC08AB">
        <w:t xml:space="preserve">cross-skilling of members of other teams </w:t>
      </w:r>
      <w:r>
        <w:t xml:space="preserve">to enable them to assist with </w:t>
      </w:r>
      <w:r w:rsidRPr="00AC08AB">
        <w:t xml:space="preserve">running tenders and overseeing syndications. This provides added depth in the actual execution of the </w:t>
      </w:r>
      <w:r>
        <w:t>S</w:t>
      </w:r>
      <w:r w:rsidRPr="00AC08AB">
        <w:t xml:space="preserve">trategy. It also increases the attractiveness of other roles in the AOFM </w:t>
      </w:r>
      <w:r>
        <w:t xml:space="preserve">(and adds to the appeal of working within the agency as a whole), </w:t>
      </w:r>
      <w:r w:rsidRPr="00AC08AB">
        <w:t xml:space="preserve">which </w:t>
      </w:r>
      <w:r>
        <w:t xml:space="preserve">the Review sees as supportive of </w:t>
      </w:r>
      <w:r w:rsidRPr="00AC08AB">
        <w:t>staff retention.</w:t>
      </w:r>
      <w:r w:rsidRPr="00605CA3">
        <w:t xml:space="preserve"> </w:t>
      </w:r>
    </w:p>
    <w:p w14:paraId="38183CDD" w14:textId="60285DB9" w:rsidR="00B744BA" w:rsidRDefault="00582EBB" w:rsidP="00B744BA">
      <w:pPr>
        <w:pStyle w:val="Bullet"/>
        <w:numPr>
          <w:ilvl w:val="0"/>
          <w:numId w:val="0"/>
        </w:numPr>
      </w:pPr>
      <w:r>
        <w:t xml:space="preserve">The Review recognises these efforts currently </w:t>
      </w:r>
      <w:proofErr w:type="gramStart"/>
      <w:r w:rsidR="0071699B">
        <w:t>underway</w:t>
      </w:r>
      <w:r>
        <w:t>, but</w:t>
      </w:r>
      <w:proofErr w:type="gramEnd"/>
      <w:r>
        <w:t xml:space="preserve"> </w:t>
      </w:r>
      <w:r w:rsidR="0012594E">
        <w:t xml:space="preserve">does not believe that </w:t>
      </w:r>
      <w:r w:rsidR="00471FC4">
        <w:t>the cross</w:t>
      </w:r>
      <w:r w:rsidR="00152403">
        <w:t>-</w:t>
      </w:r>
      <w:r w:rsidR="00471FC4">
        <w:t xml:space="preserve">skilling is sufficient to </w:t>
      </w:r>
      <w:r w:rsidR="0012594E">
        <w:t xml:space="preserve">mitigate </w:t>
      </w:r>
      <w:r w:rsidR="00B744BA">
        <w:t>the AOFM’s key person risk</w:t>
      </w:r>
      <w:r w:rsidR="00471FC4">
        <w:t>.</w:t>
      </w:r>
      <w:r w:rsidR="00B744BA">
        <w:t xml:space="preserve"> Despite being responsible for discharging the core business of the agency, the FSR function has modest internal resourcing (relative to other functions within the agency). </w:t>
      </w:r>
      <w:r w:rsidR="00B95E51">
        <w:t>G</w:t>
      </w:r>
      <w:r w:rsidR="00B744BA" w:rsidRPr="00BB4B29">
        <w:t xml:space="preserve">iven the specialised skillset required to run a sovereign debt program, the Review </w:t>
      </w:r>
      <w:r w:rsidR="000D321B">
        <w:t>recommends</w:t>
      </w:r>
      <w:r w:rsidR="00B744BA" w:rsidRPr="00BB4B29">
        <w:t xml:space="preserve"> that the AOFM consider external recruitment focussed on government debt market expertise to bolster the depth and experience available to the agency.</w:t>
      </w:r>
    </w:p>
    <w:p w14:paraId="6F66A961" w14:textId="1A6D9B65" w:rsidR="004B1AB9" w:rsidRPr="005310FC" w:rsidRDefault="007D626C" w:rsidP="005310FC">
      <w:pPr>
        <w:pStyle w:val="Heading2"/>
      </w:pPr>
      <w:bookmarkStart w:id="35" w:name="_Toc227237299"/>
      <w:bookmarkStart w:id="36" w:name="_Toc227313951"/>
      <w:r>
        <w:t>Investor Relations</w:t>
      </w:r>
      <w:bookmarkEnd w:id="35"/>
      <w:bookmarkEnd w:id="36"/>
    </w:p>
    <w:p w14:paraId="507CEA3E" w14:textId="469C2657" w:rsidR="004B1AB9" w:rsidRPr="00774820" w:rsidRDefault="004B1AB9" w:rsidP="00B85790">
      <w:pPr>
        <w:spacing w:line="276" w:lineRule="auto"/>
      </w:pPr>
      <w:r w:rsidRPr="00774820">
        <w:t xml:space="preserve">The AOFM has run an extensive investor relations program for </w:t>
      </w:r>
      <w:proofErr w:type="gramStart"/>
      <w:r w:rsidRPr="00774820">
        <w:t>a number of</w:t>
      </w:r>
      <w:proofErr w:type="gramEnd"/>
      <w:r w:rsidRPr="00774820">
        <w:t xml:space="preserve"> years</w:t>
      </w:r>
      <w:r w:rsidR="00774820">
        <w:t xml:space="preserve">, and the Review sees this </w:t>
      </w:r>
      <w:r w:rsidR="001642F2">
        <w:t>as an important function supporting the delivery of the Strategy</w:t>
      </w:r>
      <w:r w:rsidR="00EF6CBF" w:rsidRPr="00774820">
        <w:t>.</w:t>
      </w:r>
      <w:r w:rsidRPr="00774820">
        <w:t xml:space="preserve"> </w:t>
      </w:r>
      <w:r w:rsidR="00EF6CBF" w:rsidRPr="00774820">
        <w:t>F</w:t>
      </w:r>
      <w:r w:rsidRPr="00774820">
        <w:t xml:space="preserve">eedback from the market participants </w:t>
      </w:r>
      <w:r w:rsidR="00EF6CBF" w:rsidRPr="00774820">
        <w:t xml:space="preserve">consulted by </w:t>
      </w:r>
      <w:r w:rsidRPr="00774820">
        <w:t xml:space="preserve">the Review </w:t>
      </w:r>
      <w:r w:rsidR="00774820" w:rsidRPr="00774820">
        <w:t xml:space="preserve">suggests </w:t>
      </w:r>
      <w:r w:rsidRPr="00774820">
        <w:t xml:space="preserve">that the AOFM’s investor relations program is </w:t>
      </w:r>
      <w:r w:rsidR="00774820" w:rsidRPr="00774820">
        <w:t xml:space="preserve">perceived as </w:t>
      </w:r>
      <w:r w:rsidRPr="00774820">
        <w:t xml:space="preserve">mature and </w:t>
      </w:r>
      <w:proofErr w:type="spellStart"/>
      <w:r w:rsidRPr="00774820">
        <w:t>well constructed</w:t>
      </w:r>
      <w:proofErr w:type="spellEnd"/>
      <w:r w:rsidRPr="00774820">
        <w:t xml:space="preserve">. </w:t>
      </w:r>
      <w:r w:rsidR="0060475D">
        <w:t>In conjunction with FSR, t</w:t>
      </w:r>
      <w:r w:rsidRPr="00774820">
        <w:t xml:space="preserve">here is frequent engagement with dealer panel banks to understand current conditions in the Australian government bond market, offshore government bond markets and market conditions more generally. </w:t>
      </w:r>
    </w:p>
    <w:p w14:paraId="3FDFE697" w14:textId="621EAF27" w:rsidR="004B1AB9" w:rsidRPr="004B1AB9" w:rsidRDefault="004B1AB9" w:rsidP="00B85790">
      <w:pPr>
        <w:spacing w:line="276" w:lineRule="auto"/>
        <w:rPr>
          <w:highlight w:val="yellow"/>
        </w:rPr>
      </w:pPr>
      <w:r w:rsidRPr="001642F2">
        <w:t xml:space="preserve">An important component of the investor relations program is engagement with offshore investors, which hold a material share of </w:t>
      </w:r>
      <w:r w:rsidR="00D1321B" w:rsidRPr="001642F2">
        <w:t>Australian</w:t>
      </w:r>
      <w:r w:rsidRPr="001642F2">
        <w:t xml:space="preserve"> government debt</w:t>
      </w:r>
      <w:r w:rsidR="00016567">
        <w:t>. N</w:t>
      </w:r>
      <w:r w:rsidR="008F246F">
        <w:t xml:space="preserve">et of repo, </w:t>
      </w:r>
      <w:r w:rsidR="00057754">
        <w:t>an average of 5</w:t>
      </w:r>
      <w:r w:rsidR="009F27DC">
        <w:t>0.5</w:t>
      </w:r>
      <w:r w:rsidRPr="001642F2">
        <w:t xml:space="preserve">% </w:t>
      </w:r>
      <w:r w:rsidR="001642F2" w:rsidRPr="001642F2">
        <w:t xml:space="preserve">of outstanding AGS </w:t>
      </w:r>
      <w:r w:rsidR="001810F1">
        <w:t xml:space="preserve">was held by non-residents </w:t>
      </w:r>
      <w:r w:rsidRPr="001642F2">
        <w:t xml:space="preserve">in </w:t>
      </w:r>
      <w:r w:rsidR="001642F2" w:rsidRPr="001642F2">
        <w:t>2024-25</w:t>
      </w:r>
      <w:r w:rsidRPr="001642F2">
        <w:t>.</w:t>
      </w:r>
      <w:r w:rsidR="008D54CF" w:rsidRPr="00977F7D">
        <w:rPr>
          <w:rStyle w:val="FootnoteReference"/>
          <w:vertAlign w:val="superscript"/>
        </w:rPr>
        <w:footnoteReference w:id="16"/>
      </w:r>
      <w:r w:rsidRPr="00977F7D">
        <w:rPr>
          <w:vertAlign w:val="superscript"/>
        </w:rPr>
        <w:t xml:space="preserve"> </w:t>
      </w:r>
      <w:r w:rsidRPr="00EA7866">
        <w:t>The domestic investor base is very mature</w:t>
      </w:r>
      <w:r w:rsidR="00BB4B29">
        <w:t>.</w:t>
      </w:r>
      <w:r w:rsidRPr="00EA7866">
        <w:t xml:space="preserve"> </w:t>
      </w:r>
      <w:r w:rsidR="00BB4B29">
        <w:t>M</w:t>
      </w:r>
      <w:r w:rsidRPr="00EA7866">
        <w:t xml:space="preserve">ost </w:t>
      </w:r>
      <w:r w:rsidR="00BB4B29">
        <w:t xml:space="preserve">domestic </w:t>
      </w:r>
      <w:r w:rsidRPr="00EA7866">
        <w:t xml:space="preserve">investors </w:t>
      </w:r>
      <w:r w:rsidR="001642F2" w:rsidRPr="00EA7866">
        <w:t>hav</w:t>
      </w:r>
      <w:r w:rsidR="00BB4B29">
        <w:t>e</w:t>
      </w:r>
      <w:r w:rsidR="001642F2" w:rsidRPr="00EA7866">
        <w:t xml:space="preserve"> </w:t>
      </w:r>
      <w:r w:rsidRPr="00EA7866">
        <w:t xml:space="preserve">a </w:t>
      </w:r>
      <w:r w:rsidR="001642F2" w:rsidRPr="00EA7866">
        <w:t xml:space="preserve">holistic </w:t>
      </w:r>
      <w:r w:rsidRPr="00EA7866">
        <w:t xml:space="preserve">understanding of the </w:t>
      </w:r>
      <w:r w:rsidR="001642F2" w:rsidRPr="00EA7866">
        <w:t xml:space="preserve">AOFM’s debt </w:t>
      </w:r>
      <w:r w:rsidRPr="00EA7866">
        <w:t xml:space="preserve">program </w:t>
      </w:r>
      <w:r w:rsidR="00575AD2" w:rsidRPr="00EA7866">
        <w:t xml:space="preserve">and </w:t>
      </w:r>
      <w:r w:rsidR="00BB4B29">
        <w:t>are</w:t>
      </w:r>
      <w:r w:rsidR="00575AD2" w:rsidRPr="00EA7866">
        <w:t xml:space="preserve"> well informed </w:t>
      </w:r>
      <w:r w:rsidRPr="00EA7866">
        <w:t xml:space="preserve">of the latest developments in government policy and domestic financial conditions. </w:t>
      </w:r>
      <w:r w:rsidR="00575AD2" w:rsidRPr="00EA7866">
        <w:t xml:space="preserve">While </w:t>
      </w:r>
      <w:r w:rsidRPr="00EA7866">
        <w:t>some of the offshore investor base</w:t>
      </w:r>
      <w:r w:rsidR="008E444A">
        <w:t xml:space="preserve"> is similarly familiar with these factors</w:t>
      </w:r>
      <w:r w:rsidRPr="00EA7866">
        <w:t xml:space="preserve">, a sizeable share of </w:t>
      </w:r>
      <w:r w:rsidR="00575AD2" w:rsidRPr="00EA7866">
        <w:t xml:space="preserve">offshore investors </w:t>
      </w:r>
      <w:proofErr w:type="gramStart"/>
      <w:r w:rsidRPr="00EA7866">
        <w:t>have</w:t>
      </w:r>
      <w:proofErr w:type="gramEnd"/>
      <w:r w:rsidRPr="00EA7866">
        <w:t xml:space="preserve"> </w:t>
      </w:r>
      <w:r w:rsidR="008E444A">
        <w:t xml:space="preserve">only </w:t>
      </w:r>
      <w:r w:rsidR="00BF3B52">
        <w:t>occasional</w:t>
      </w:r>
      <w:r w:rsidRPr="00EA7866">
        <w:t xml:space="preserve"> engagement with the Australian government bond market. For some</w:t>
      </w:r>
      <w:r w:rsidR="00575AD2" w:rsidRPr="00EA7866">
        <w:t xml:space="preserve"> of these investors,</w:t>
      </w:r>
      <w:r w:rsidRPr="00EA7866">
        <w:t xml:space="preserve"> </w:t>
      </w:r>
      <w:r w:rsidR="00575AD2" w:rsidRPr="00EA7866">
        <w:t>investment in AGS</w:t>
      </w:r>
      <w:r w:rsidRPr="00EA7866">
        <w:t xml:space="preserve"> may be a small share of their overall sovereign debt portfolio. For others</w:t>
      </w:r>
      <w:r w:rsidR="00D42252">
        <w:t xml:space="preserve"> (such as hedge funds)</w:t>
      </w:r>
      <w:r w:rsidRPr="00EA7866">
        <w:t xml:space="preserve">, </w:t>
      </w:r>
      <w:r w:rsidR="00575AD2" w:rsidRPr="00EA7866">
        <w:t xml:space="preserve">AGS investments may </w:t>
      </w:r>
      <w:r w:rsidRPr="00EA7866">
        <w:t xml:space="preserve">only </w:t>
      </w:r>
      <w:r w:rsidR="00575AD2" w:rsidRPr="00EA7866">
        <w:t>be held occasionally</w:t>
      </w:r>
      <w:r w:rsidR="00EA7866" w:rsidRPr="00EA7866">
        <w:t xml:space="preserve"> or irregularly</w:t>
      </w:r>
      <w:r w:rsidRPr="00EA7866">
        <w:t xml:space="preserve">, </w:t>
      </w:r>
      <w:r w:rsidR="00EA7866" w:rsidRPr="00EA7866">
        <w:t xml:space="preserve">or remain a prospective </w:t>
      </w:r>
      <w:r w:rsidRPr="00EA7866">
        <w:t xml:space="preserve">investment </w:t>
      </w:r>
      <w:r w:rsidR="00EA7866" w:rsidRPr="00EA7866">
        <w:t xml:space="preserve">that is </w:t>
      </w:r>
      <w:r w:rsidRPr="00EA7866">
        <w:t xml:space="preserve">still </w:t>
      </w:r>
      <w:r w:rsidR="00EA7866" w:rsidRPr="00EA7866">
        <w:t>under consideration</w:t>
      </w:r>
      <w:r w:rsidRPr="00EA7866">
        <w:t>. An informed</w:t>
      </w:r>
      <w:r w:rsidR="00AE055F">
        <w:t>,</w:t>
      </w:r>
      <w:r w:rsidRPr="00EA7866">
        <w:t xml:space="preserve"> engaged offshore investor base is critical for a well-functioning and liquid Australian government bond market. </w:t>
      </w:r>
    </w:p>
    <w:p w14:paraId="122FE43B" w14:textId="7352F9D6" w:rsidR="004B1AB9" w:rsidRPr="00827824" w:rsidRDefault="00495888" w:rsidP="00B85790">
      <w:pPr>
        <w:spacing w:line="276" w:lineRule="auto"/>
      </w:pPr>
      <w:r w:rsidRPr="003C42BB">
        <w:t>The Review’s assessment is that the AOFM has effective capability in its investor relations team</w:t>
      </w:r>
      <w:r>
        <w:t>, and that the team runs a</w:t>
      </w:r>
      <w:r w:rsidRPr="003C42BB">
        <w:t xml:space="preserve"> mature and broad-based</w:t>
      </w:r>
      <w:r>
        <w:t xml:space="preserve"> program</w:t>
      </w:r>
      <w:r w:rsidRPr="003C42BB">
        <w:t>.</w:t>
      </w:r>
      <w:r>
        <w:t xml:space="preserve"> T</w:t>
      </w:r>
      <w:r w:rsidR="00AE055F" w:rsidRPr="00D42252">
        <w:t xml:space="preserve">he Review sees considerable </w:t>
      </w:r>
      <w:r w:rsidR="004B1AB9" w:rsidRPr="00D42252">
        <w:t xml:space="preserve">return on investment </w:t>
      </w:r>
      <w:r w:rsidR="0051408B" w:rsidRPr="00D42252">
        <w:t xml:space="preserve">being achieved by </w:t>
      </w:r>
      <w:r w:rsidR="004B1AB9" w:rsidRPr="00D42252">
        <w:t xml:space="preserve">the AOFM on </w:t>
      </w:r>
      <w:r w:rsidR="0051408B" w:rsidRPr="00D42252">
        <w:t xml:space="preserve">its </w:t>
      </w:r>
      <w:r w:rsidR="004B1AB9" w:rsidRPr="00D42252">
        <w:t xml:space="preserve">investor relations </w:t>
      </w:r>
      <w:r w:rsidR="0051408B" w:rsidRPr="00D42252">
        <w:t>function</w:t>
      </w:r>
      <w:r w:rsidR="004B1AB9" w:rsidRPr="00D42252">
        <w:t xml:space="preserve">, though </w:t>
      </w:r>
      <w:r w:rsidR="0051408B" w:rsidRPr="00D42252">
        <w:t xml:space="preserve">these benefits are </w:t>
      </w:r>
      <w:r w:rsidR="004B1AB9" w:rsidRPr="00D42252">
        <w:t xml:space="preserve">not easily quantifiable. </w:t>
      </w:r>
      <w:r w:rsidR="0051408B" w:rsidRPr="00D42252">
        <w:t>I</w:t>
      </w:r>
      <w:r w:rsidR="004B1AB9" w:rsidRPr="00D42252">
        <w:t xml:space="preserve">t is </w:t>
      </w:r>
      <w:r w:rsidR="0051408B" w:rsidRPr="00D42252">
        <w:t xml:space="preserve">therefore </w:t>
      </w:r>
      <w:r w:rsidR="004B1AB9" w:rsidRPr="00D42252">
        <w:t>important for the CEO of the AOFM, the investor relations team</w:t>
      </w:r>
      <w:r w:rsidR="0051408B" w:rsidRPr="00D42252">
        <w:t>,</w:t>
      </w:r>
      <w:r w:rsidR="004B1AB9" w:rsidRPr="00D42252">
        <w:t xml:space="preserve"> and other senior staff to</w:t>
      </w:r>
      <w:r w:rsidR="00701886">
        <w:t xml:space="preserve"> continue to</w:t>
      </w:r>
      <w:r w:rsidR="004B1AB9" w:rsidRPr="00D42252">
        <w:t xml:space="preserve"> invest time (and </w:t>
      </w:r>
      <w:r w:rsidR="006145CD" w:rsidRPr="00D42252">
        <w:t xml:space="preserve">direct </w:t>
      </w:r>
      <w:r w:rsidR="004B1AB9" w:rsidRPr="00D42252">
        <w:t xml:space="preserve">travel costs) in </w:t>
      </w:r>
      <w:r w:rsidR="006145CD" w:rsidRPr="00D42252">
        <w:t xml:space="preserve">executing </w:t>
      </w:r>
      <w:r w:rsidR="00D42252" w:rsidRPr="00D42252">
        <w:t xml:space="preserve">a </w:t>
      </w:r>
      <w:r w:rsidR="004B1AB9" w:rsidRPr="00D42252">
        <w:t xml:space="preserve">well calibrated and comprehensive offshore engagement program. </w:t>
      </w:r>
      <w:r w:rsidR="006145CD" w:rsidRPr="00D42252">
        <w:t>T</w:t>
      </w:r>
      <w:r w:rsidR="004B1AB9" w:rsidRPr="00D42252">
        <w:t xml:space="preserve">he Investor Forum in Tokyo </w:t>
      </w:r>
      <w:r w:rsidR="006145CD" w:rsidRPr="00D42252">
        <w:t xml:space="preserve">provides a key example of the agency </w:t>
      </w:r>
      <w:r w:rsidR="000B063B" w:rsidRPr="00D42252">
        <w:t xml:space="preserve">taking </w:t>
      </w:r>
      <w:r w:rsidR="004B1AB9" w:rsidRPr="00D42252">
        <w:t xml:space="preserve">the opportunity to engage with long-standing holders of Australian government debt. </w:t>
      </w:r>
    </w:p>
    <w:p w14:paraId="00D279BD" w14:textId="43A0D0CE" w:rsidR="004B1AB9" w:rsidRDefault="004B1AB9" w:rsidP="00B85790">
      <w:pPr>
        <w:spacing w:line="276" w:lineRule="auto"/>
      </w:pPr>
      <w:r w:rsidRPr="003C42BB">
        <w:t>There is also scope for the AOFM to consider how to assess the effectiveness of the</w:t>
      </w:r>
      <w:r w:rsidR="00571EE9" w:rsidRPr="003C42BB">
        <w:t xml:space="preserve"> investor relations</w:t>
      </w:r>
      <w:r w:rsidRPr="003C42BB">
        <w:t xml:space="preserve"> program. </w:t>
      </w:r>
      <w:r w:rsidR="00212AD7" w:rsidRPr="003C42BB">
        <w:t>The Review acknowledges that it</w:t>
      </w:r>
      <w:r w:rsidRPr="003C42BB">
        <w:t xml:space="preserve"> is </w:t>
      </w:r>
      <w:r w:rsidR="003C42BB">
        <w:t xml:space="preserve">particularly </w:t>
      </w:r>
      <w:r w:rsidRPr="003C42BB">
        <w:t xml:space="preserve">challenging to </w:t>
      </w:r>
      <w:r w:rsidR="005F1CA2" w:rsidRPr="003C42BB">
        <w:t xml:space="preserve">link </w:t>
      </w:r>
      <w:r w:rsidRPr="003C42BB">
        <w:t xml:space="preserve">the impact </w:t>
      </w:r>
      <w:r w:rsidR="00212AD7" w:rsidRPr="003C42BB">
        <w:t xml:space="preserve">of </w:t>
      </w:r>
      <w:r w:rsidR="00571EE9" w:rsidRPr="003C42BB">
        <w:t xml:space="preserve">such a program </w:t>
      </w:r>
      <w:r w:rsidR="005F1CA2" w:rsidRPr="003C42BB">
        <w:t xml:space="preserve">with quantitative </w:t>
      </w:r>
      <w:r w:rsidRPr="003C42BB">
        <w:t xml:space="preserve">market metrics </w:t>
      </w:r>
      <w:r w:rsidR="005F1CA2" w:rsidRPr="003C42BB">
        <w:t xml:space="preserve">(such </w:t>
      </w:r>
      <w:r w:rsidRPr="003C42BB">
        <w:t xml:space="preserve">as </w:t>
      </w:r>
      <w:r w:rsidR="003C42BB">
        <w:t xml:space="preserve">the </w:t>
      </w:r>
      <w:r w:rsidRPr="003C42BB">
        <w:t xml:space="preserve">size of </w:t>
      </w:r>
      <w:r w:rsidR="005F1CA2" w:rsidRPr="003C42BB">
        <w:t xml:space="preserve">AGS </w:t>
      </w:r>
      <w:r w:rsidRPr="003C42BB">
        <w:t>holdings, interest cost benefits or bid to cover ratios</w:t>
      </w:r>
      <w:r w:rsidR="005F1CA2" w:rsidRPr="003C42BB">
        <w:t>)</w:t>
      </w:r>
      <w:r w:rsidR="009178C7">
        <w:t xml:space="preserve">. While </w:t>
      </w:r>
      <w:r w:rsidR="00A07CD1">
        <w:t xml:space="preserve">these </w:t>
      </w:r>
      <w:r w:rsidR="005F1CA2" w:rsidRPr="003C42BB">
        <w:t>performance indicators</w:t>
      </w:r>
      <w:r w:rsidRPr="003C42BB">
        <w:t xml:space="preserve"> </w:t>
      </w:r>
      <w:r w:rsidR="00A07CD1">
        <w:t xml:space="preserve">can ostensibly be influenced by the quality of a debt management agency’s investor relations program, the Review acknowledges that they </w:t>
      </w:r>
      <w:r w:rsidR="00F03C23">
        <w:t xml:space="preserve">will also be </w:t>
      </w:r>
      <w:r w:rsidR="005F1CA2" w:rsidRPr="003C42BB">
        <w:t xml:space="preserve">influenced </w:t>
      </w:r>
      <w:r w:rsidRPr="003C42BB">
        <w:t xml:space="preserve">by a much broader set of factors. </w:t>
      </w:r>
      <w:r w:rsidR="00F03C23">
        <w:t>T</w:t>
      </w:r>
      <w:r w:rsidR="003C42BB" w:rsidRPr="003C42BB">
        <w:t xml:space="preserve">he Review </w:t>
      </w:r>
      <w:r w:rsidR="00F03C23">
        <w:t xml:space="preserve">therefore suggests </w:t>
      </w:r>
      <w:r w:rsidR="003C42BB" w:rsidRPr="003C42BB">
        <w:t xml:space="preserve">that some </w:t>
      </w:r>
      <w:r w:rsidRPr="003C42BB">
        <w:t xml:space="preserve">qualitative metrics may </w:t>
      </w:r>
      <w:r w:rsidR="00F03C23">
        <w:t xml:space="preserve">instead </w:t>
      </w:r>
      <w:r w:rsidRPr="003C42BB">
        <w:t xml:space="preserve">be </w:t>
      </w:r>
      <w:r w:rsidR="003C42BB" w:rsidRPr="003C42BB">
        <w:t xml:space="preserve">beneficial </w:t>
      </w:r>
      <w:r w:rsidRPr="003C42BB">
        <w:t>in validating the scope and effectiveness of the current program.</w:t>
      </w:r>
      <w:r>
        <w:t xml:space="preserve"> </w:t>
      </w:r>
    </w:p>
    <w:p w14:paraId="663D83B1" w14:textId="473C5700" w:rsidR="00A42B65" w:rsidRDefault="00A42B65" w:rsidP="00BB4B29">
      <w:pPr>
        <w:pStyle w:val="Heading2"/>
      </w:pPr>
      <w:bookmarkStart w:id="37" w:name="_Toc227237300"/>
      <w:bookmarkStart w:id="38" w:name="_Toc227313952"/>
      <w:r>
        <w:t xml:space="preserve">Securitisation </w:t>
      </w:r>
      <w:r w:rsidR="00E63813">
        <w:t>P</w:t>
      </w:r>
      <w:r>
        <w:t>rogram</w:t>
      </w:r>
      <w:bookmarkEnd w:id="37"/>
      <w:bookmarkEnd w:id="38"/>
    </w:p>
    <w:p w14:paraId="0C752BB3" w14:textId="4FE13ED8" w:rsidR="00BF3B52" w:rsidRDefault="00A42B65" w:rsidP="00B85790">
      <w:pPr>
        <w:spacing w:line="276" w:lineRule="auto"/>
      </w:pPr>
      <w:r w:rsidRPr="00A42B65">
        <w:t xml:space="preserve">Market participants and industry bodies recognise the capacity of the securitisation team </w:t>
      </w:r>
      <w:r w:rsidR="00CC553F">
        <w:t xml:space="preserve">(Impact Investments) </w:t>
      </w:r>
      <w:r w:rsidRPr="00A42B65">
        <w:t xml:space="preserve">at the AOFM. The staff in this area have a combined long history of experience in securitisation markets. The team has a demonstrated ability to recruit and train more junior staff. On </w:t>
      </w:r>
      <w:proofErr w:type="gramStart"/>
      <w:r w:rsidRPr="00A42B65">
        <w:t>a number of</w:t>
      </w:r>
      <w:proofErr w:type="gramEnd"/>
      <w:r w:rsidRPr="00A42B65">
        <w:t xml:space="preserve"> occasions, the junior staff have moved to positions in the private sector on the basis of the quality of the experience and training they have received. </w:t>
      </w:r>
      <w:r w:rsidR="007F74C1">
        <w:t>T</w:t>
      </w:r>
      <w:r w:rsidRPr="00A42B65">
        <w:t xml:space="preserve">he securitisation team recognises that this is to be </w:t>
      </w:r>
      <w:proofErr w:type="gramStart"/>
      <w:r w:rsidRPr="00A42B65">
        <w:t>expected</w:t>
      </w:r>
      <w:proofErr w:type="gramEnd"/>
      <w:r w:rsidRPr="00A42B65">
        <w:t xml:space="preserve"> and it has not materially affected their capacity to deliver on their mandate. </w:t>
      </w:r>
    </w:p>
    <w:p w14:paraId="60F214CF" w14:textId="7994B742" w:rsidR="00A42B65" w:rsidRPr="00A42B65" w:rsidRDefault="00BD760D" w:rsidP="00B85790">
      <w:pPr>
        <w:spacing w:line="276" w:lineRule="auto"/>
      </w:pPr>
      <w:r>
        <w:t>I</w:t>
      </w:r>
      <w:r w:rsidR="00A42B65" w:rsidRPr="00A42B65">
        <w:t>n the event of another crisis which affected securitisation markets which saw the mandate of the team increase, it is possible in the short-term to insource additional capacity and expertise from the private sector in the way that is not possible with the government debt program.</w:t>
      </w:r>
      <w:r w:rsidR="00E065E3" w:rsidRPr="00E065E3">
        <w:t xml:space="preserve"> </w:t>
      </w:r>
      <w:r w:rsidR="00E065E3">
        <w:t>F</w:t>
      </w:r>
      <w:r w:rsidR="00E065E3" w:rsidRPr="00A42B65">
        <w:t>or example</w:t>
      </w:r>
      <w:r w:rsidR="00E065E3">
        <w:t>, this occurred</w:t>
      </w:r>
      <w:r w:rsidR="00E065E3" w:rsidRPr="00A42B65">
        <w:t xml:space="preserve"> in the US in the post</w:t>
      </w:r>
      <w:r w:rsidR="00E065E3">
        <w:t>-</w:t>
      </w:r>
      <w:r w:rsidR="00E065E3" w:rsidRPr="00A42B65">
        <w:t>GFC environment</w:t>
      </w:r>
      <w:r w:rsidR="00E065E3">
        <w:t>,</w:t>
      </w:r>
      <w:r w:rsidR="00E065E3" w:rsidRPr="00A42B65">
        <w:t xml:space="preserve"> where the New York Federal Reserve </w:t>
      </w:r>
      <w:r w:rsidR="00E065E3">
        <w:t xml:space="preserve">engaged </w:t>
      </w:r>
      <w:r w:rsidR="00E065E3" w:rsidRPr="00A42B65">
        <w:t>Blackrock and others.</w:t>
      </w:r>
    </w:p>
    <w:p w14:paraId="7E282042" w14:textId="7D06FCF6" w:rsidR="00794279" w:rsidRDefault="00A42B65" w:rsidP="007C1A2B">
      <w:pPr>
        <w:spacing w:line="276" w:lineRule="auto"/>
      </w:pPr>
      <w:r w:rsidRPr="00A42B65">
        <w:t xml:space="preserve">In terms of the mandate of the securitisation team, </w:t>
      </w:r>
      <w:r w:rsidR="002C25AE">
        <w:t xml:space="preserve">some </w:t>
      </w:r>
      <w:r w:rsidRPr="00A42B65">
        <w:t xml:space="preserve">market participants noted that the legislative mandate still references </w:t>
      </w:r>
      <w:proofErr w:type="gramStart"/>
      <w:r w:rsidRPr="00A42B65">
        <w:t>particular episodes</w:t>
      </w:r>
      <w:proofErr w:type="gramEnd"/>
      <w:r w:rsidRPr="00A42B65">
        <w:t xml:space="preserve"> when the securitisation market was stressed, namely the Global Financial Crisis and the Covid period. It was suggested to the </w:t>
      </w:r>
      <w:r w:rsidR="002323D0">
        <w:t>Review</w:t>
      </w:r>
      <w:r w:rsidR="00BA35B5" w:rsidRPr="00A42B65">
        <w:t xml:space="preserve"> </w:t>
      </w:r>
      <w:r w:rsidRPr="00A42B65">
        <w:t xml:space="preserve">that the mandate could be adjusted to reference generic periods of market distress, which would provide a </w:t>
      </w:r>
      <w:r w:rsidR="001712AA">
        <w:t xml:space="preserve">flexible </w:t>
      </w:r>
      <w:r w:rsidR="003103E6">
        <w:t>channel through which the AOFM could act to support the securitisation market in a crisis</w:t>
      </w:r>
      <w:r w:rsidRPr="00A42B65">
        <w:t xml:space="preserve">. The Review notes that </w:t>
      </w:r>
      <w:r w:rsidR="001712AA">
        <w:t>t</w:t>
      </w:r>
      <w:r w:rsidRPr="00A42B65">
        <w:t xml:space="preserve">he ABSF is due to be reviewed, </w:t>
      </w:r>
      <w:r w:rsidR="00F4006D">
        <w:t xml:space="preserve">providing an opportunity for </w:t>
      </w:r>
      <w:r w:rsidRPr="00A42B65">
        <w:t xml:space="preserve">this </w:t>
      </w:r>
      <w:r w:rsidR="00F4006D">
        <w:t xml:space="preserve">to </w:t>
      </w:r>
      <w:r w:rsidRPr="00A42B65">
        <w:t xml:space="preserve">be </w:t>
      </w:r>
      <w:r w:rsidR="00B85790">
        <w:t>consider</w:t>
      </w:r>
      <w:r w:rsidR="00F4006D">
        <w:t>ed</w:t>
      </w:r>
      <w:r w:rsidRPr="00A42B65">
        <w:t>.</w:t>
      </w:r>
      <w:r w:rsidR="00E065E3" w:rsidRPr="00E065E3">
        <w:t xml:space="preserve"> </w:t>
      </w:r>
      <w:r w:rsidR="00794279">
        <w:br w:type="page"/>
      </w:r>
    </w:p>
    <w:p w14:paraId="3DCCFE92" w14:textId="5647EEBD" w:rsidR="00D70C4D" w:rsidRDefault="00BB4B29" w:rsidP="00BB4B29">
      <w:pPr>
        <w:pStyle w:val="Heading2"/>
      </w:pPr>
      <w:bookmarkStart w:id="39" w:name="_Toc227237301"/>
      <w:bookmarkStart w:id="40" w:name="_Toc227313953"/>
      <w:r>
        <w:t xml:space="preserve">Overall Structure and </w:t>
      </w:r>
      <w:r w:rsidR="00DB01D6">
        <w:t>Operational Functions</w:t>
      </w:r>
      <w:bookmarkEnd w:id="39"/>
      <w:bookmarkEnd w:id="40"/>
    </w:p>
    <w:p w14:paraId="4EFB80B4" w14:textId="64F1EDF5" w:rsidR="00BD3AB1" w:rsidRDefault="00BB4B29" w:rsidP="00B85790">
      <w:pPr>
        <w:spacing w:line="276" w:lineRule="auto"/>
      </w:pPr>
      <w:r>
        <w:t xml:space="preserve">The Review is supportive of the overall structure of the AOFM, </w:t>
      </w:r>
      <w:r w:rsidR="002846EE">
        <w:t xml:space="preserve">while recommending </w:t>
      </w:r>
      <w:r w:rsidR="000318FF">
        <w:t xml:space="preserve">the </w:t>
      </w:r>
      <w:r w:rsidR="004D45BD">
        <w:t>establishment of</w:t>
      </w:r>
      <w:r>
        <w:t xml:space="preserve"> </w:t>
      </w:r>
      <w:r w:rsidR="00F95D84">
        <w:t xml:space="preserve">a </w:t>
      </w:r>
      <w:r w:rsidR="00644E48">
        <w:t xml:space="preserve">standalone </w:t>
      </w:r>
      <w:r w:rsidR="00C4441D">
        <w:t>s</w:t>
      </w:r>
      <w:r w:rsidR="007E711E">
        <w:t>trategy</w:t>
      </w:r>
      <w:r>
        <w:t xml:space="preserve"> </w:t>
      </w:r>
      <w:r w:rsidR="00C4441D">
        <w:t>research function</w:t>
      </w:r>
      <w:r>
        <w:t xml:space="preserve">. The introduction of the </w:t>
      </w:r>
      <w:r w:rsidR="00F95D84">
        <w:t xml:space="preserve">Deputy </w:t>
      </w:r>
      <w:r>
        <w:t xml:space="preserve">CEO and the COO </w:t>
      </w:r>
      <w:r w:rsidR="00F95D84">
        <w:t xml:space="preserve">is grounded in </w:t>
      </w:r>
      <w:r>
        <w:t xml:space="preserve">sound logic. There is a clear division of responsibility between the two positions and the span of control </w:t>
      </w:r>
      <w:r w:rsidR="00F95D84">
        <w:t xml:space="preserve">is </w:t>
      </w:r>
      <w:r>
        <w:t xml:space="preserve">appropriate. Now that the structure has been in place for some time and the two incumbents are gaining experience in their roles, </w:t>
      </w:r>
      <w:r w:rsidR="00F95D84">
        <w:t xml:space="preserve">this </w:t>
      </w:r>
      <w:r w:rsidR="008B443E">
        <w:t>provide</w:t>
      </w:r>
      <w:r w:rsidR="00B85790">
        <w:t>s</w:t>
      </w:r>
      <w:r w:rsidR="008B443E">
        <w:t xml:space="preserve"> </w:t>
      </w:r>
      <w:r>
        <w:t>the CEO</w:t>
      </w:r>
      <w:r w:rsidR="008B443E">
        <w:t xml:space="preserve"> with more bandwidth</w:t>
      </w:r>
      <w:r>
        <w:t xml:space="preserve">. In part, </w:t>
      </w:r>
      <w:r w:rsidR="008B443E">
        <w:t xml:space="preserve">this </w:t>
      </w:r>
      <w:r>
        <w:t>allows her to focus on the outward fac</w:t>
      </w:r>
      <w:r w:rsidR="008B443E">
        <w:t>i</w:t>
      </w:r>
      <w:r>
        <w:t>ng aspect</w:t>
      </w:r>
      <w:r w:rsidR="008B443E">
        <w:t>s</w:t>
      </w:r>
      <w:r>
        <w:t xml:space="preserve"> of her role, including the important task of investor relations</w:t>
      </w:r>
      <w:r w:rsidR="008B443E">
        <w:t>. I</w:t>
      </w:r>
      <w:r>
        <w:t>t should also give her more time to</w:t>
      </w:r>
      <w:r w:rsidR="00EC7926">
        <w:t xml:space="preserve"> engage more closely with</w:t>
      </w:r>
      <w:r>
        <w:t xml:space="preserve"> the core function of</w:t>
      </w:r>
      <w:r w:rsidR="00EC7926">
        <w:t xml:space="preserve"> debt management</w:t>
      </w:r>
      <w:r>
        <w:t>.</w:t>
      </w:r>
    </w:p>
    <w:p w14:paraId="0FDF09F5" w14:textId="499369A2" w:rsidR="00BB4B29" w:rsidRDefault="00DB01D6" w:rsidP="00B85790">
      <w:pPr>
        <w:spacing w:line="276" w:lineRule="auto"/>
      </w:pPr>
      <w:r>
        <w:t xml:space="preserve">The Review is satisfied with the capabilities and structure in the operational functions of the AOFM. </w:t>
      </w:r>
      <w:r w:rsidR="00BB4B29">
        <w:t>The COO has achieved a noticeable uplift in activi</w:t>
      </w:r>
      <w:r w:rsidR="00E32D78">
        <w:t>ti</w:t>
      </w:r>
      <w:r w:rsidR="00BB4B29">
        <w:t>es in this area since her commencement in the role a year ago.</w:t>
      </w:r>
    </w:p>
    <w:p w14:paraId="78CF7588" w14:textId="3DFE541C" w:rsidR="00DB01D6" w:rsidRDefault="00BB4B29" w:rsidP="00B85790">
      <w:pPr>
        <w:spacing w:line="276" w:lineRule="auto"/>
      </w:pPr>
      <w:r>
        <w:t xml:space="preserve">While the operational area </w:t>
      </w:r>
      <w:r w:rsidR="00A4323F">
        <w:t>has a larger staff headcount than</w:t>
      </w:r>
      <w:r>
        <w:t xml:space="preserve"> the front office, the Review’s opinion </w:t>
      </w:r>
      <w:r w:rsidR="003731F3">
        <w:t xml:space="preserve">is that this should </w:t>
      </w:r>
      <w:r w:rsidR="00AA077B">
        <w:t xml:space="preserve">remain and </w:t>
      </w:r>
      <w:r w:rsidR="000B4222">
        <w:t>capacity</w:t>
      </w:r>
      <w:r>
        <w:t xml:space="preserve"> in the front office</w:t>
      </w:r>
      <w:r w:rsidR="00911768">
        <w:t xml:space="preserve"> should be increased</w:t>
      </w:r>
      <w:r w:rsidR="00D86BDB">
        <w:t xml:space="preserve"> through external recruitment</w:t>
      </w:r>
      <w:r w:rsidR="003731F3">
        <w:t>.</w:t>
      </w:r>
      <w:r>
        <w:t xml:space="preserve"> </w:t>
      </w:r>
      <w:r w:rsidR="006241BD">
        <w:t>Establishing</w:t>
      </w:r>
      <w:r>
        <w:t xml:space="preserve"> </w:t>
      </w:r>
      <w:r w:rsidR="00D86BDB">
        <w:t xml:space="preserve">a separate </w:t>
      </w:r>
      <w:r w:rsidR="007E711E">
        <w:t>strategy</w:t>
      </w:r>
      <w:r>
        <w:t xml:space="preserve"> </w:t>
      </w:r>
      <w:r w:rsidR="00135B01">
        <w:t>research</w:t>
      </w:r>
      <w:r>
        <w:t xml:space="preserve"> capability </w:t>
      </w:r>
      <w:r w:rsidR="00B85790">
        <w:t xml:space="preserve">would be a better way of </w:t>
      </w:r>
      <w:r w:rsidR="006241BD">
        <w:t>redressing</w:t>
      </w:r>
      <w:r w:rsidR="00B85790">
        <w:t xml:space="preserve"> this balance</w:t>
      </w:r>
      <w:r w:rsidR="00F117C6">
        <w:t xml:space="preserve">, </w:t>
      </w:r>
      <w:r w:rsidR="00FF2AAC">
        <w:t>bolster</w:t>
      </w:r>
      <w:r w:rsidR="006E775A">
        <w:t>ing</w:t>
      </w:r>
      <w:r w:rsidR="00FF2AAC">
        <w:t xml:space="preserve"> the depth </w:t>
      </w:r>
      <w:r w:rsidR="006E775A">
        <w:t xml:space="preserve">and capacity </w:t>
      </w:r>
      <w:r w:rsidR="00FF2AAC">
        <w:t xml:space="preserve">of </w:t>
      </w:r>
      <w:r w:rsidR="006E775A">
        <w:t>knowledge for the core function of the business</w:t>
      </w:r>
      <w:r w:rsidR="00F117C6">
        <w:t xml:space="preserve">, </w:t>
      </w:r>
      <w:r>
        <w:t xml:space="preserve">rather than looking for reductions in the operational areas of the AOFM. </w:t>
      </w:r>
      <w:r w:rsidR="00F049CC">
        <w:t xml:space="preserve">The Review </w:t>
      </w:r>
      <w:r w:rsidR="00283A07">
        <w:t>assesses</w:t>
      </w:r>
      <w:r w:rsidR="00F049CC">
        <w:t xml:space="preserve"> that there </w:t>
      </w:r>
      <w:r>
        <w:t>is a much smaller</w:t>
      </w:r>
      <w:r w:rsidR="00DB01D6">
        <w:t xml:space="preserve"> challenge in recruiting </w:t>
      </w:r>
      <w:r>
        <w:t xml:space="preserve">for </w:t>
      </w:r>
      <w:r w:rsidR="00F049CC">
        <w:t xml:space="preserve">operational </w:t>
      </w:r>
      <w:r>
        <w:t>functions</w:t>
      </w:r>
      <w:r w:rsidR="00F049CC">
        <w:t>,</w:t>
      </w:r>
      <w:r>
        <w:t xml:space="preserve"> </w:t>
      </w:r>
      <w:r w:rsidR="00DB01D6">
        <w:t xml:space="preserve">as </w:t>
      </w:r>
      <w:r>
        <w:t xml:space="preserve">the AOFM </w:t>
      </w:r>
      <w:proofErr w:type="gramStart"/>
      <w:r>
        <w:t xml:space="preserve">is </w:t>
      </w:r>
      <w:r w:rsidR="00DB01D6">
        <w:t>able to</w:t>
      </w:r>
      <w:proofErr w:type="gramEnd"/>
      <w:r w:rsidR="00DB01D6">
        <w:t xml:space="preserve"> source people from other government agencies </w:t>
      </w:r>
      <w:r>
        <w:t>and benefit from their experience in similar work environments</w:t>
      </w:r>
      <w:r w:rsidR="00DB01D6">
        <w:t xml:space="preserve">. </w:t>
      </w:r>
    </w:p>
    <w:p w14:paraId="298D53E9" w14:textId="77777777" w:rsidR="00794279" w:rsidRDefault="00794279">
      <w:pPr>
        <w:spacing w:before="0" w:after="160" w:line="259" w:lineRule="auto"/>
      </w:pPr>
      <w:r>
        <w:br w:type="page"/>
      </w:r>
    </w:p>
    <w:p w14:paraId="280215DE" w14:textId="249C8CF9" w:rsidR="00457388" w:rsidRDefault="00457388" w:rsidP="00457388">
      <w:pPr>
        <w:pStyle w:val="Heading1"/>
      </w:pPr>
      <w:bookmarkStart w:id="41" w:name="_Toc227237302"/>
      <w:bookmarkStart w:id="42" w:name="_Toc227313954"/>
      <w:r w:rsidRPr="00A42B65">
        <w:t>Liquidity Management Strategy</w:t>
      </w:r>
      <w:bookmarkEnd w:id="41"/>
      <w:bookmarkEnd w:id="42"/>
    </w:p>
    <w:p w14:paraId="00A0FF93" w14:textId="126DD9B7" w:rsidR="00154F98" w:rsidRDefault="00F5567D" w:rsidP="005A7C3A">
      <w:pPr>
        <w:spacing w:line="276" w:lineRule="auto"/>
      </w:pPr>
      <w:r w:rsidRPr="00A42B65">
        <w:t xml:space="preserve">The AOFM’s </w:t>
      </w:r>
      <w:r w:rsidR="005A7C3A">
        <w:t>L</w:t>
      </w:r>
      <w:r w:rsidR="005A7C3A" w:rsidRPr="00A42B65">
        <w:t xml:space="preserve">iquidity </w:t>
      </w:r>
      <w:r w:rsidR="005A7C3A">
        <w:t>M</w:t>
      </w:r>
      <w:r w:rsidR="005A7C3A" w:rsidRPr="00A42B65">
        <w:t xml:space="preserve">anagement </w:t>
      </w:r>
      <w:r w:rsidR="005A7C3A">
        <w:t>S</w:t>
      </w:r>
      <w:r w:rsidR="005A7C3A" w:rsidRPr="00A42B65">
        <w:t xml:space="preserve">trategy </w:t>
      </w:r>
      <w:r w:rsidR="003D1A04">
        <w:t>(LMS)</w:t>
      </w:r>
      <w:r w:rsidR="005A7C3A" w:rsidRPr="00A42B65">
        <w:t xml:space="preserve"> </w:t>
      </w:r>
      <w:r w:rsidRPr="00A42B65">
        <w:t xml:space="preserve">is designed to ensure the </w:t>
      </w:r>
      <w:r w:rsidR="005A7C3A">
        <w:t>G</w:t>
      </w:r>
      <w:r w:rsidR="005A7C3A" w:rsidRPr="00A42B65">
        <w:t xml:space="preserve">overnment </w:t>
      </w:r>
      <w:r w:rsidRPr="00A42B65">
        <w:t xml:space="preserve">can always meet its spending requirements. It does this primarily by holding a sufficient buffer of cash on deposit at the Reserve Bank to meet the expected net outlays of the government over </w:t>
      </w:r>
      <w:proofErr w:type="gramStart"/>
      <w:r w:rsidRPr="00A42B65">
        <w:t>a period of time</w:t>
      </w:r>
      <w:proofErr w:type="gramEnd"/>
      <w:r w:rsidRPr="00A42B65">
        <w:t>. In determining the size of this liquidity buffer</w:t>
      </w:r>
      <w:r w:rsidR="00154F98">
        <w:t>,</w:t>
      </w:r>
      <w:r w:rsidRPr="00A42B65">
        <w:t xml:space="preserve"> </w:t>
      </w:r>
      <w:r w:rsidR="00154F98">
        <w:t xml:space="preserve">the AOFM </w:t>
      </w:r>
      <w:r w:rsidRPr="00A42B65">
        <w:t>is taking account of three sources of risk:</w:t>
      </w:r>
    </w:p>
    <w:p w14:paraId="322090E3" w14:textId="5E6CAD0C" w:rsidR="00154F98" w:rsidRDefault="00154F98" w:rsidP="00B85790">
      <w:pPr>
        <w:pStyle w:val="Bullet"/>
      </w:pPr>
      <w:r>
        <w:t>F</w:t>
      </w:r>
      <w:r w:rsidR="00F5567D" w:rsidRPr="00A42B65">
        <w:t xml:space="preserve">unding risk, that is the risk that it cannot access funding </w:t>
      </w:r>
      <w:proofErr w:type="gramStart"/>
      <w:r w:rsidR="00F5567D" w:rsidRPr="00A42B65">
        <w:t>markets;</w:t>
      </w:r>
      <w:proofErr w:type="gramEnd"/>
      <w:r w:rsidR="00F5567D" w:rsidRPr="00A42B65">
        <w:t xml:space="preserve"> </w:t>
      </w:r>
    </w:p>
    <w:p w14:paraId="020AD5F8" w14:textId="0A377C21" w:rsidR="00154F98" w:rsidRDefault="00154F98" w:rsidP="00B85790">
      <w:pPr>
        <w:pStyle w:val="Bullet"/>
      </w:pPr>
      <w:r>
        <w:t>F</w:t>
      </w:r>
      <w:r w:rsidRPr="00A42B65">
        <w:t xml:space="preserve">orecasting </w:t>
      </w:r>
      <w:r w:rsidR="00F5567D" w:rsidRPr="00A42B65">
        <w:t xml:space="preserve">risk that takes account of actual net outlays differing from forecast; and </w:t>
      </w:r>
    </w:p>
    <w:p w14:paraId="0C38AF84" w14:textId="0DA1BE81" w:rsidR="00154F98" w:rsidRDefault="00154F98" w:rsidP="00B85790">
      <w:pPr>
        <w:pStyle w:val="Bullet"/>
      </w:pPr>
      <w:r>
        <w:t>R</w:t>
      </w:r>
      <w:r w:rsidRPr="00A42B65">
        <w:t xml:space="preserve">efinancing </w:t>
      </w:r>
      <w:r w:rsidR="00F5567D" w:rsidRPr="00A42B65">
        <w:t xml:space="preserve">risk which is the inability to fund maturities. </w:t>
      </w:r>
    </w:p>
    <w:p w14:paraId="63006C1B" w14:textId="343DC402" w:rsidR="00F5567D" w:rsidRPr="00A42B65" w:rsidRDefault="00F5567D" w:rsidP="00B85790">
      <w:pPr>
        <w:spacing w:line="276" w:lineRule="auto"/>
      </w:pPr>
      <w:r w:rsidRPr="00A42B65">
        <w:t xml:space="preserve">It is worth noting that the latter risk is a quantity </w:t>
      </w:r>
      <w:r w:rsidR="00B85790">
        <w:t>which is known well in advance</w:t>
      </w:r>
      <w:r w:rsidRPr="00A42B65">
        <w:t>, although the maturities are lumpy relative to other net outlays.</w:t>
      </w:r>
    </w:p>
    <w:p w14:paraId="22402E8A" w14:textId="5CEFD43B" w:rsidR="00F5567D" w:rsidRPr="00A42B65" w:rsidRDefault="00F5567D" w:rsidP="00B85790">
      <w:pPr>
        <w:spacing w:line="276" w:lineRule="auto"/>
      </w:pPr>
      <w:r w:rsidRPr="00A42B65">
        <w:t xml:space="preserve">The AOFM’s current assessment is that it needs to hold </w:t>
      </w:r>
      <w:r w:rsidR="004348F2">
        <w:t>at least</w:t>
      </w:r>
      <w:r w:rsidRPr="00A42B65">
        <w:t xml:space="preserve"> </w:t>
      </w:r>
      <w:r w:rsidR="009F6193">
        <w:t>$30 billion</w:t>
      </w:r>
      <w:r w:rsidRPr="00A42B65">
        <w:t xml:space="preserve"> at the RBA to cover </w:t>
      </w:r>
      <w:r w:rsidR="009F6193">
        <w:t>at least</w:t>
      </w:r>
      <w:r w:rsidRPr="00A42B65">
        <w:t xml:space="preserve"> </w:t>
      </w:r>
      <w:r w:rsidR="007A102D">
        <w:t>four</w:t>
      </w:r>
      <w:r w:rsidRPr="00A42B65">
        <w:t xml:space="preserve"> weeks of government net outlays. </w:t>
      </w:r>
      <w:r w:rsidR="00154F98">
        <w:t>T</w:t>
      </w:r>
      <w:r w:rsidRPr="00A42B65">
        <w:t xml:space="preserve">his assessment controls for the possibility that the AOFM may be </w:t>
      </w:r>
      <w:r w:rsidR="00B25D19">
        <w:t xml:space="preserve">constrained </w:t>
      </w:r>
      <w:r w:rsidR="001839BF">
        <w:t xml:space="preserve">in its funding </w:t>
      </w:r>
      <w:r w:rsidRPr="00A42B65">
        <w:t xml:space="preserve">for up to </w:t>
      </w:r>
      <w:r w:rsidR="007A102D">
        <w:t>four</w:t>
      </w:r>
      <w:r w:rsidRPr="00A42B65">
        <w:t xml:space="preserve"> weeks because of market dislocation. It is important to note that this funding risk is a statement of quantity rather than price. That is, the risk that is envisaged here is one where the AOFM is unable to issue any reasonable quantity of debt at all or without significantly adding to market dislocation. </w:t>
      </w:r>
      <w:r w:rsidR="004A40F5">
        <w:t xml:space="preserve">This risk is not defined by any unwillingness from </w:t>
      </w:r>
      <w:r w:rsidRPr="00A42B65">
        <w:t xml:space="preserve">the AOFM </w:t>
      </w:r>
      <w:r w:rsidR="004A40F5">
        <w:t xml:space="preserve">towards </w:t>
      </w:r>
      <w:r w:rsidRPr="00A42B65">
        <w:t>accept</w:t>
      </w:r>
      <w:r w:rsidR="004A40F5">
        <w:t>ing</w:t>
      </w:r>
      <w:r w:rsidRPr="00A42B65">
        <w:t xml:space="preserve"> a higher interest rate (lower </w:t>
      </w:r>
      <w:r w:rsidR="004A40F5">
        <w:t xml:space="preserve">security </w:t>
      </w:r>
      <w:r w:rsidRPr="00A42B65">
        <w:t>price) to be able to issue the debt.</w:t>
      </w:r>
    </w:p>
    <w:p w14:paraId="76747526" w14:textId="77777777" w:rsidR="00BF3B52" w:rsidRDefault="00F5567D" w:rsidP="00B85790">
      <w:pPr>
        <w:spacing w:line="276" w:lineRule="auto"/>
      </w:pPr>
      <w:r w:rsidRPr="00A42B65">
        <w:t xml:space="preserve">Historically, periods of market dislocation that have seen sovereign debt markets shut have been very rare and very short-lived. Hence, this is a risk whose probability is extremely low but whose cost is extremely high. </w:t>
      </w:r>
    </w:p>
    <w:p w14:paraId="27339D39" w14:textId="21454D25" w:rsidR="009551C9" w:rsidRDefault="00F5567D" w:rsidP="00B85790">
      <w:pPr>
        <w:spacing w:line="276" w:lineRule="auto"/>
      </w:pPr>
      <w:r w:rsidRPr="00A42B65">
        <w:t xml:space="preserve">An important consideration in assessing this risk is the likelihood that there would be some form of central bank support in any prolonged period of market dislocation. Again, it is </w:t>
      </w:r>
      <w:r w:rsidR="00827824">
        <w:t>worth</w:t>
      </w:r>
      <w:r w:rsidRPr="00A42B65">
        <w:t xml:space="preserve"> emphasis</w:t>
      </w:r>
      <w:r w:rsidR="00827824">
        <w:t>ing</w:t>
      </w:r>
      <w:r w:rsidRPr="00A42B65">
        <w:t xml:space="preserve"> that </w:t>
      </w:r>
      <w:r w:rsidR="000A0337">
        <w:t xml:space="preserve">such an event would represent </w:t>
      </w:r>
      <w:r w:rsidRPr="00A42B65">
        <w:t>a dislocation of quantity, not of price. That is,</w:t>
      </w:r>
      <w:r w:rsidR="00FB39A0">
        <w:t xml:space="preserve"> under this hypothetical risk event,</w:t>
      </w:r>
      <w:r w:rsidRPr="00A42B65">
        <w:t xml:space="preserve"> the </w:t>
      </w:r>
      <w:r w:rsidR="00952872">
        <w:t xml:space="preserve">bond </w:t>
      </w:r>
      <w:r w:rsidRPr="00A42B65">
        <w:t xml:space="preserve">market is </w:t>
      </w:r>
      <w:r w:rsidR="00523159">
        <w:t>supply constrained</w:t>
      </w:r>
      <w:r w:rsidRPr="00A42B65">
        <w:t xml:space="preserve">, </w:t>
      </w:r>
      <w:r w:rsidR="00FD26EE">
        <w:t>rather</w:t>
      </w:r>
      <w:r w:rsidRPr="00A42B65">
        <w:t xml:space="preserve"> </w:t>
      </w:r>
      <w:r w:rsidR="00FD26EE">
        <w:t>than</w:t>
      </w:r>
      <w:r w:rsidRPr="00A42B65">
        <w:t xml:space="preserve"> the AOFM </w:t>
      </w:r>
      <w:r w:rsidR="00FD26EE">
        <w:t>being</w:t>
      </w:r>
      <w:r w:rsidRPr="00A42B65">
        <w:t xml:space="preserve"> unwilling to incur the </w:t>
      </w:r>
      <w:r w:rsidR="008D5519">
        <w:t xml:space="preserve">market </w:t>
      </w:r>
      <w:r w:rsidRPr="00A42B65">
        <w:t xml:space="preserve">price for its issuance. </w:t>
      </w:r>
      <w:r w:rsidR="00FB39A0">
        <w:t xml:space="preserve">This </w:t>
      </w:r>
      <w:r w:rsidRPr="00A42B65">
        <w:t>is an important consideration in terms of concerns around central bank financing of the government</w:t>
      </w:r>
      <w:r w:rsidR="00754B7D">
        <w:t>.</w:t>
      </w:r>
    </w:p>
    <w:p w14:paraId="032FAB68" w14:textId="54F4152C" w:rsidR="00F5567D" w:rsidRPr="00A42B65" w:rsidRDefault="00FE6D4B" w:rsidP="008D5519">
      <w:pPr>
        <w:spacing w:line="276" w:lineRule="auto"/>
      </w:pPr>
      <w:r>
        <w:t xml:space="preserve">In the Review’s opinion, </w:t>
      </w:r>
      <w:r w:rsidR="004256A7">
        <w:t xml:space="preserve">assessing </w:t>
      </w:r>
      <w:r w:rsidR="00F5567D" w:rsidRPr="00A42B65">
        <w:t xml:space="preserve">the likelihood of central bank support </w:t>
      </w:r>
      <w:r w:rsidR="004256A7">
        <w:t>in</w:t>
      </w:r>
      <w:r w:rsidR="00F5567D" w:rsidRPr="00A42B65">
        <w:t xml:space="preserve"> the </w:t>
      </w:r>
      <w:r w:rsidR="004256A7">
        <w:t>event</w:t>
      </w:r>
      <w:r w:rsidR="00F5567D" w:rsidRPr="00A42B65">
        <w:t xml:space="preserve"> of dislocation in financial markets needs to play</w:t>
      </w:r>
      <w:r w:rsidR="00ED36B9">
        <w:t xml:space="preserve"> </w:t>
      </w:r>
      <w:r w:rsidR="00ED36B9" w:rsidRPr="00A42B65">
        <w:t>an integral part</w:t>
      </w:r>
      <w:r w:rsidR="00ED36B9" w:rsidRPr="00ED36B9">
        <w:t xml:space="preserve"> </w:t>
      </w:r>
      <w:r w:rsidR="00ED36B9" w:rsidRPr="00A42B65">
        <w:t xml:space="preserve">in </w:t>
      </w:r>
      <w:r w:rsidR="00ED36B9">
        <w:t>the AOFM’s</w:t>
      </w:r>
      <w:r w:rsidR="00ED36B9" w:rsidRPr="00A42B65">
        <w:t xml:space="preserve"> assessment of the size of the liquidity buffer</w:t>
      </w:r>
      <w:r w:rsidR="00F5567D" w:rsidRPr="00A42B65">
        <w:t xml:space="preserve">. The AOFM, RBA and Treasury conduct </w:t>
      </w:r>
      <w:r w:rsidR="00FB39A0">
        <w:t>‘</w:t>
      </w:r>
      <w:r w:rsidR="00F5567D" w:rsidRPr="00A42B65">
        <w:t>wargaming</w:t>
      </w:r>
      <w:r w:rsidR="00FB39A0">
        <w:t xml:space="preserve">’ </w:t>
      </w:r>
      <w:r w:rsidR="00F5567D" w:rsidRPr="00A42B65">
        <w:t xml:space="preserve">exercises to consider such scenarios. The Review recommends that these exercises continue </w:t>
      </w:r>
      <w:r w:rsidR="00DC3D01">
        <w:t xml:space="preserve">regularly </w:t>
      </w:r>
      <w:r w:rsidR="00F5567D" w:rsidRPr="00A42B65">
        <w:t xml:space="preserve">to ensure there is a common understanding amongst these key </w:t>
      </w:r>
      <w:r w:rsidR="00FB39A0">
        <w:t>stakeholders</w:t>
      </w:r>
      <w:r w:rsidR="00F5567D" w:rsidRPr="00A42B65">
        <w:t>, particularly as the relevant personnel changes through time.</w:t>
      </w:r>
    </w:p>
    <w:p w14:paraId="54FA0E98" w14:textId="145819CB" w:rsidR="00F5567D" w:rsidRPr="00A42B65" w:rsidRDefault="00F5567D" w:rsidP="008D5519">
      <w:pPr>
        <w:spacing w:line="276" w:lineRule="auto"/>
      </w:pPr>
      <w:r w:rsidRPr="00A42B65">
        <w:t xml:space="preserve">The AOFM is effectively buying a liquidity option through its </w:t>
      </w:r>
      <w:r w:rsidR="009551C9">
        <w:t xml:space="preserve">cash </w:t>
      </w:r>
      <w:r w:rsidRPr="00A42B65">
        <w:t xml:space="preserve">holdings at the RBA. The cost of that option is the difference between the interest the AOFM receives from the RBA on its deposit and the cost of the debt used to fund that deposit. The AOFM receives the average yield on the RBA’s open market operations. Given the RBA’s market operations are conducted in short-term money markets </w:t>
      </w:r>
      <w:r w:rsidR="00FB39A0">
        <w:t>(</w:t>
      </w:r>
      <w:r w:rsidRPr="00A42B65">
        <w:t>which are very adjacent to the T-note market</w:t>
      </w:r>
      <w:r w:rsidR="00FB39A0">
        <w:t>)</w:t>
      </w:r>
      <w:r w:rsidRPr="00A42B65">
        <w:t xml:space="preserve">, there is normally a relatively small margin between the deposit rate the AOFM receives on its cash and the cost of issuing T-notes. </w:t>
      </w:r>
      <w:r w:rsidR="00FB39A0">
        <w:t>G</w:t>
      </w:r>
      <w:r w:rsidRPr="00A42B65">
        <w:t xml:space="preserve">iven the T-note program </w:t>
      </w:r>
      <w:r w:rsidR="00FB39A0">
        <w:t xml:space="preserve">also </w:t>
      </w:r>
      <w:r w:rsidRPr="00A42B65">
        <w:t xml:space="preserve">has a short maturity, </w:t>
      </w:r>
      <w:r w:rsidR="00FB39A0">
        <w:t xml:space="preserve">it is </w:t>
      </w:r>
      <w:r w:rsidRPr="00A42B65">
        <w:t xml:space="preserve">unlikely </w:t>
      </w:r>
      <w:r w:rsidR="00FB39A0">
        <w:t>that there will</w:t>
      </w:r>
      <w:r w:rsidRPr="00A42B65">
        <w:t xml:space="preserve"> be any material duration mismatch.</w:t>
      </w:r>
    </w:p>
    <w:p w14:paraId="507B1C0D" w14:textId="1A42A9DE" w:rsidR="008003BD" w:rsidRPr="00C47807" w:rsidRDefault="008003BD" w:rsidP="009E71CD">
      <w:pPr>
        <w:pStyle w:val="Bullet"/>
        <w:keepNext/>
        <w:numPr>
          <w:ilvl w:val="0"/>
          <w:numId w:val="0"/>
        </w:numPr>
        <w:rPr>
          <w:b/>
          <w:bCs/>
        </w:rPr>
      </w:pPr>
      <w:r w:rsidRPr="00C47807">
        <w:rPr>
          <w:b/>
          <w:bCs/>
        </w:rPr>
        <w:t xml:space="preserve">Chart </w:t>
      </w:r>
      <w:r w:rsidR="00283A07">
        <w:rPr>
          <w:b/>
          <w:bCs/>
        </w:rPr>
        <w:t>4</w:t>
      </w:r>
      <w:r w:rsidRPr="00C47807">
        <w:rPr>
          <w:b/>
          <w:bCs/>
        </w:rPr>
        <w:t>: Treasury Notes outstanding and deposits with the RBA</w:t>
      </w:r>
    </w:p>
    <w:p w14:paraId="198FBABA" w14:textId="77777777" w:rsidR="004B1F07" w:rsidRPr="00987E7F" w:rsidRDefault="004B1F07" w:rsidP="004B1F07">
      <w:pPr>
        <w:pStyle w:val="Bullet"/>
        <w:numPr>
          <w:ilvl w:val="0"/>
          <w:numId w:val="0"/>
        </w:numPr>
        <w:jc w:val="center"/>
      </w:pPr>
      <w:r>
        <w:rPr>
          <w:noProof/>
        </w:rPr>
        <w:drawing>
          <wp:inline distT="0" distB="0" distL="0" distR="0" wp14:anchorId="73BA842A" wp14:editId="20C5767D">
            <wp:extent cx="4531057" cy="2223657"/>
            <wp:effectExtent l="0" t="0" r="0" b="5715"/>
            <wp:docPr id="845525954" name="Chart 1" descr="This chart show the value of Treasury notes on issue and the balance of the cash management account between January 2024 and July 2026. The value of the cash management account is generally well above the level of Treasury notes issued except for brief periods in early 2025 and early 2026.">
              <a:extLst xmlns:a="http://schemas.openxmlformats.org/drawingml/2006/main">
                <a:ext uri="{FF2B5EF4-FFF2-40B4-BE49-F238E27FC236}">
                  <a16:creationId xmlns:a16="http://schemas.microsoft.com/office/drawing/2014/main" id="{3855438E-DAAD-8F33-F3A8-9393670F5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FB2B57" w14:textId="58565F7C" w:rsidR="004B1F07" w:rsidRPr="00C47807" w:rsidRDefault="004B1F07" w:rsidP="004B1F07">
      <w:pPr>
        <w:pStyle w:val="Bullet"/>
        <w:numPr>
          <w:ilvl w:val="0"/>
          <w:numId w:val="0"/>
        </w:numPr>
        <w:rPr>
          <w:i/>
          <w:iCs/>
        </w:rPr>
      </w:pPr>
      <w:r w:rsidRPr="00C47807">
        <w:rPr>
          <w:i/>
          <w:iCs/>
        </w:rPr>
        <w:t>Source: A</w:t>
      </w:r>
      <w:r w:rsidR="006F3F92">
        <w:rPr>
          <w:i/>
          <w:iCs/>
        </w:rPr>
        <w:t>OFM</w:t>
      </w:r>
    </w:p>
    <w:p w14:paraId="1E845E2F" w14:textId="77777777" w:rsidR="00F5567D" w:rsidRDefault="00E142E3" w:rsidP="008D5519">
      <w:pPr>
        <w:spacing w:line="276" w:lineRule="auto"/>
      </w:pPr>
      <w:r>
        <w:t>A</w:t>
      </w:r>
      <w:r w:rsidR="00BB4B29">
        <w:t xml:space="preserve">s noted earlier, </w:t>
      </w:r>
      <w:r w:rsidR="00F5567D" w:rsidRPr="00A42B65">
        <w:t>in recent years the size of the deposits at the RBA has significantly exceeded the size of the T-note program</w:t>
      </w:r>
      <w:r w:rsidR="003F4D2D">
        <w:t xml:space="preserve"> (</w:t>
      </w:r>
      <w:r w:rsidR="003F4D2D" w:rsidRPr="0058558E">
        <w:t>see Chart 4</w:t>
      </w:r>
      <w:r w:rsidR="003F4D2D">
        <w:t>)</w:t>
      </w:r>
      <w:r w:rsidR="00F5567D" w:rsidRPr="00A42B65">
        <w:t xml:space="preserve">. This means that the deposits </w:t>
      </w:r>
      <w:proofErr w:type="gramStart"/>
      <w:r w:rsidR="00F5567D" w:rsidRPr="00A42B65">
        <w:t>in excess of</w:t>
      </w:r>
      <w:proofErr w:type="gramEnd"/>
      <w:r w:rsidR="00F5567D" w:rsidRPr="00A42B65">
        <w:t xml:space="preserve"> the T-note program are funded by the average cost of the wholesale debt program. In 2024</w:t>
      </w:r>
      <w:r w:rsidR="00FB39A0">
        <w:t>-</w:t>
      </w:r>
      <w:r w:rsidR="00F5567D" w:rsidRPr="00A42B65">
        <w:t xml:space="preserve">25, when the yield curve was downward sloping, this cost was small and potentially even </w:t>
      </w:r>
      <w:r w:rsidR="007A102D">
        <w:t>negative</w:t>
      </w:r>
      <w:r w:rsidR="00F5567D" w:rsidRPr="00A42B65">
        <w:t>. However, in the current environment of an upward sloping yield curve, the AOFM is incurring a larger cost of running such a high liquidity buffer.</w:t>
      </w:r>
    </w:p>
    <w:p w14:paraId="5BA69913" w14:textId="7E332778" w:rsidR="008541B6" w:rsidRDefault="00F70E8E" w:rsidP="00F70E8E">
      <w:pPr>
        <w:spacing w:line="276" w:lineRule="auto"/>
      </w:pPr>
      <w:r>
        <w:t>W</w:t>
      </w:r>
      <w:r w:rsidR="008541B6" w:rsidRPr="007351BE">
        <w:t>hen preparing the LMS, the AOFM calibrates its</w:t>
      </w:r>
      <w:r w:rsidR="000F6592">
        <w:t xml:space="preserve"> </w:t>
      </w:r>
      <w:r w:rsidR="008541B6" w:rsidRPr="007351BE">
        <w:t>funding</w:t>
      </w:r>
      <w:r>
        <w:t xml:space="preserve"> </w:t>
      </w:r>
      <w:r w:rsidR="000F6592">
        <w:t xml:space="preserve">program </w:t>
      </w:r>
      <w:r w:rsidR="008541B6" w:rsidRPr="007351BE">
        <w:t>t</w:t>
      </w:r>
      <w:r w:rsidR="000F6592">
        <w:t xml:space="preserve">o </w:t>
      </w:r>
      <w:r w:rsidR="007C7E84">
        <w:t>g</w:t>
      </w:r>
      <w:r w:rsidR="008541B6" w:rsidRPr="007351BE">
        <w:t>overnment</w:t>
      </w:r>
      <w:r w:rsidR="000F6592">
        <w:t xml:space="preserve"> </w:t>
      </w:r>
      <w:r w:rsidR="008541B6" w:rsidRPr="007351BE">
        <w:t>financing</w:t>
      </w:r>
      <w:r w:rsidR="000F6592">
        <w:t xml:space="preserve"> </w:t>
      </w:r>
      <w:r w:rsidR="008541B6" w:rsidRPr="007351BE">
        <w:t>requirements</w:t>
      </w:r>
      <w:r w:rsidR="000F6592">
        <w:t xml:space="preserve"> </w:t>
      </w:r>
      <w:r w:rsidR="008541B6" w:rsidRPr="007351BE">
        <w:t>as</w:t>
      </w:r>
      <w:r w:rsidR="000F6592">
        <w:t xml:space="preserve"> </w:t>
      </w:r>
      <w:r w:rsidR="008541B6" w:rsidRPr="007351BE">
        <w:t>set out in the Budget (and updated at MYEFO).</w:t>
      </w:r>
      <w:r w:rsidR="000F6592">
        <w:t xml:space="preserve"> </w:t>
      </w:r>
      <w:r w:rsidR="008541B6" w:rsidRPr="007351BE">
        <w:t>Structural funding requirements</w:t>
      </w:r>
      <w:r w:rsidR="000F6592">
        <w:t xml:space="preserve"> </w:t>
      </w:r>
      <w:r w:rsidR="008541B6" w:rsidRPr="007351BE">
        <w:t>are</w:t>
      </w:r>
      <w:r w:rsidR="000F6592">
        <w:t xml:space="preserve"> </w:t>
      </w:r>
      <w:r w:rsidR="008541B6" w:rsidRPr="007351BE">
        <w:t>met</w:t>
      </w:r>
      <w:r w:rsidR="000F6592">
        <w:t xml:space="preserve"> </w:t>
      </w:r>
      <w:r w:rsidR="008541B6" w:rsidRPr="007351BE">
        <w:t>through term</w:t>
      </w:r>
      <w:r w:rsidR="000F6592">
        <w:t xml:space="preserve"> </w:t>
      </w:r>
      <w:r w:rsidR="008541B6" w:rsidRPr="007351BE">
        <w:t>issuance (overwhelmingly through Treasury Bonds).</w:t>
      </w:r>
      <w:r w:rsidR="000F6592">
        <w:t xml:space="preserve"> </w:t>
      </w:r>
      <w:r w:rsidR="008541B6" w:rsidRPr="007351BE">
        <w:t xml:space="preserve">There can sometimes be imbalances driven by differences between </w:t>
      </w:r>
      <w:r w:rsidR="00851934">
        <w:t>B</w:t>
      </w:r>
      <w:r w:rsidR="008541B6" w:rsidRPr="007351BE">
        <w:t xml:space="preserve">udget forecasts (against which funding programs are calibrated) and </w:t>
      </w:r>
      <w:r w:rsidR="00851934">
        <w:t>B</w:t>
      </w:r>
      <w:r w:rsidR="008541B6" w:rsidRPr="007351BE">
        <w:t>udget outcomes.</w:t>
      </w:r>
      <w:r w:rsidR="000F6592">
        <w:t xml:space="preserve"> </w:t>
      </w:r>
      <w:r w:rsidR="00843099">
        <w:t>When the</w:t>
      </w:r>
      <w:r w:rsidR="00904101">
        <w:t xml:space="preserve"> </w:t>
      </w:r>
      <w:r w:rsidR="00851934">
        <w:t>B</w:t>
      </w:r>
      <w:r w:rsidR="008541B6" w:rsidRPr="007351BE">
        <w:t xml:space="preserve">udget </w:t>
      </w:r>
      <w:r w:rsidR="00904101">
        <w:t xml:space="preserve">position is </w:t>
      </w:r>
      <w:r w:rsidR="00C154B5">
        <w:t xml:space="preserve">better than forecast, </w:t>
      </w:r>
      <w:r w:rsidR="000E176C">
        <w:t xml:space="preserve">the AOFM typically reduces T-note issuance </w:t>
      </w:r>
      <w:r w:rsidR="00144FDF">
        <w:t>in the first instance</w:t>
      </w:r>
      <w:r w:rsidR="00E31236">
        <w:t xml:space="preserve"> while </w:t>
      </w:r>
      <w:r w:rsidR="00A34A82">
        <w:t>changes in term issuance are more lagged because they are tied to Budget announcements</w:t>
      </w:r>
      <w:r w:rsidR="008541B6" w:rsidRPr="007351BE">
        <w:t xml:space="preserve">. </w:t>
      </w:r>
      <w:r w:rsidR="001F0B0A">
        <w:t xml:space="preserve">As a </w:t>
      </w:r>
      <w:proofErr w:type="gramStart"/>
      <w:r w:rsidR="001F0B0A">
        <w:t>result</w:t>
      </w:r>
      <w:proofErr w:type="gramEnd"/>
      <w:r w:rsidR="001F0B0A">
        <w:t xml:space="preserve"> the AOFM’s deposits </w:t>
      </w:r>
      <w:r w:rsidR="00520372">
        <w:t xml:space="preserve">at the RBA </w:t>
      </w:r>
      <w:r w:rsidR="001F0B0A">
        <w:t xml:space="preserve">have exceeded </w:t>
      </w:r>
      <w:r w:rsidR="006863CB">
        <w:t>the size of the T-note program</w:t>
      </w:r>
      <w:r w:rsidR="00520372">
        <w:t xml:space="preserve"> in recent years. </w:t>
      </w:r>
    </w:p>
    <w:p w14:paraId="424D57F5" w14:textId="77777777" w:rsidR="00F3679A" w:rsidRDefault="002C2F63" w:rsidP="008D5519">
      <w:pPr>
        <w:spacing w:line="276" w:lineRule="auto"/>
      </w:pPr>
      <w:r>
        <w:t>The Review’s assessment is that holding a four</w:t>
      </w:r>
      <w:r w:rsidR="00EE7C1C">
        <w:t>-</w:t>
      </w:r>
      <w:r>
        <w:t>week liquidity buffer is conservative</w:t>
      </w:r>
      <w:r w:rsidR="00F61384">
        <w:t xml:space="preserve"> even taking account of stakeholder preferences</w:t>
      </w:r>
      <w:r>
        <w:t xml:space="preserve">, particularly when the cost of this liquidity option is higher. </w:t>
      </w:r>
      <w:r w:rsidR="009551C9">
        <w:t>The AOFM should consider running a lower level of cash deposits at the RBA than it has done in recent years</w:t>
      </w:r>
      <w:r w:rsidR="00CA1AC6">
        <w:t xml:space="preserve"> given the cost has increased</w:t>
      </w:r>
      <w:r w:rsidR="009551C9">
        <w:t>.</w:t>
      </w:r>
      <w:r w:rsidR="009D328B">
        <w:t xml:space="preserve"> </w:t>
      </w:r>
    </w:p>
    <w:p w14:paraId="7B58D0B7" w14:textId="0CF50AE8" w:rsidR="00E4252F" w:rsidRPr="00A42B65" w:rsidRDefault="009D328B" w:rsidP="008D5519">
      <w:pPr>
        <w:spacing w:line="276" w:lineRule="auto"/>
      </w:pPr>
      <w:r w:rsidRPr="00B0426A">
        <w:t xml:space="preserve">In </w:t>
      </w:r>
      <w:r w:rsidR="00E777F6" w:rsidRPr="00B0426A">
        <w:t>a</w:t>
      </w:r>
      <w:r w:rsidRPr="00B0426A">
        <w:t xml:space="preserve">ddition, the Review believes </w:t>
      </w:r>
      <w:r w:rsidR="00C953B1" w:rsidRPr="00B0426A">
        <w:t xml:space="preserve">there is greater scope </w:t>
      </w:r>
      <w:r w:rsidR="00AF7780" w:rsidRPr="00B0426A">
        <w:t xml:space="preserve">for the AOFM to </w:t>
      </w:r>
      <w:r w:rsidR="00812C24" w:rsidRPr="00B0426A">
        <w:t xml:space="preserve">adjust </w:t>
      </w:r>
      <w:r w:rsidR="007E5A93" w:rsidRPr="00B0426A">
        <w:t xml:space="preserve">its term issuance </w:t>
      </w:r>
      <w:r w:rsidR="00053FA7" w:rsidRPr="00B0426A">
        <w:t>as Budget outcomes deviate from forecast</w:t>
      </w:r>
      <w:r w:rsidR="004277E2" w:rsidRPr="00B0426A">
        <w:t>s</w:t>
      </w:r>
      <w:r w:rsidR="00A62828">
        <w:t xml:space="preserve">, rather than relying predominantly </w:t>
      </w:r>
      <w:r w:rsidR="00AF7FD6">
        <w:t>on adjusting T-note issuance</w:t>
      </w:r>
      <w:r w:rsidR="00FB7873">
        <w:rPr>
          <w:b/>
          <w:bCs/>
        </w:rPr>
        <w:t xml:space="preserve">. </w:t>
      </w:r>
      <w:r w:rsidR="00FB7873" w:rsidRPr="00162150">
        <w:t xml:space="preserve">This would contribute to lower deposits on average. </w:t>
      </w:r>
    </w:p>
    <w:p w14:paraId="5A699A86" w14:textId="45931BE7" w:rsidR="004E7EA5" w:rsidRDefault="009551C9" w:rsidP="00FB39A0">
      <w:pPr>
        <w:spacing w:line="276" w:lineRule="auto"/>
      </w:pPr>
      <w:r>
        <w:t>At the same time,</w:t>
      </w:r>
      <w:r w:rsidR="00F5567D" w:rsidRPr="00A42B65">
        <w:t xml:space="preserve"> </w:t>
      </w:r>
      <w:proofErr w:type="gramStart"/>
      <w:r w:rsidR="00F5567D" w:rsidRPr="00A42B65">
        <w:t>it would appear that the</w:t>
      </w:r>
      <w:proofErr w:type="gramEnd"/>
      <w:r w:rsidR="00F5567D" w:rsidRPr="00A42B65">
        <w:t xml:space="preserve"> AOFM has been effectively implementing its cash buffer as a floor rather than a buffer. </w:t>
      </w:r>
      <w:r>
        <w:t xml:space="preserve">That is, the cash balance generally is well above the announced buffer, and when cash balances fall towards the buffer they are quickly boosted. Instead, there should be periods of time where the cash balances </w:t>
      </w:r>
      <w:proofErr w:type="gramStart"/>
      <w:r>
        <w:t>is</w:t>
      </w:r>
      <w:proofErr w:type="gramEnd"/>
      <w:r>
        <w:t xml:space="preserve"> below the buffer </w:t>
      </w:r>
      <w:r w:rsidR="00BB4B29">
        <w:t>because of such issues as</w:t>
      </w:r>
      <w:r>
        <w:t xml:space="preserve"> the unforecastable variability in government expenditure and receipts.  Most of the time the intent should be to have the cash balance </w:t>
      </w:r>
      <w:proofErr w:type="gramStart"/>
      <w:r>
        <w:t>in close proximity to</w:t>
      </w:r>
      <w:proofErr w:type="gramEnd"/>
      <w:r>
        <w:t xml:space="preserve"> the </w:t>
      </w:r>
      <w:r w:rsidR="00BB4B29">
        <w:t>desired</w:t>
      </w:r>
      <w:r>
        <w:t xml:space="preserve"> buffer</w:t>
      </w:r>
      <w:r w:rsidR="004E7EA5">
        <w:t>, otherwise the AOFM is overpaying for its liquidity insurance</w:t>
      </w:r>
      <w:r>
        <w:t xml:space="preserve">. </w:t>
      </w:r>
    </w:p>
    <w:p w14:paraId="2DE74AFD" w14:textId="18D7D2E5" w:rsidR="00F5567D" w:rsidRPr="00A42B65" w:rsidRDefault="009551C9" w:rsidP="008D5519">
      <w:pPr>
        <w:spacing w:line="276" w:lineRule="auto"/>
      </w:pPr>
      <w:r>
        <w:t xml:space="preserve">In terms of managing stakeholder </w:t>
      </w:r>
      <w:r w:rsidR="00FB39A0">
        <w:t>perceptions</w:t>
      </w:r>
      <w:r>
        <w:t xml:space="preserve">, it would be useful for the AOFM to clarify the intent of its policy </w:t>
      </w:r>
      <w:proofErr w:type="gramStart"/>
      <w:r w:rsidR="00BB4B29">
        <w:t xml:space="preserve">in order </w:t>
      </w:r>
      <w:r>
        <w:t>to</w:t>
      </w:r>
      <w:proofErr w:type="gramEnd"/>
      <w:r>
        <w:t xml:space="preserve"> remove any perceived stigma</w:t>
      </w:r>
      <w:r w:rsidR="00FB39A0">
        <w:t xml:space="preserve"> associated</w:t>
      </w:r>
      <w:r>
        <w:t xml:space="preserve"> with the cash balance </w:t>
      </w:r>
      <w:r w:rsidR="00FB39A0">
        <w:t xml:space="preserve">occasionally </w:t>
      </w:r>
      <w:r>
        <w:t xml:space="preserve">dipping into the buffer. </w:t>
      </w:r>
    </w:p>
    <w:p w14:paraId="18B7CBB3" w14:textId="2549FCEF" w:rsidR="00F5567D" w:rsidRPr="00A42B65" w:rsidRDefault="009551C9" w:rsidP="008D5519">
      <w:pPr>
        <w:spacing w:line="276" w:lineRule="auto"/>
      </w:pPr>
      <w:r>
        <w:t xml:space="preserve">The AOFM </w:t>
      </w:r>
      <w:r w:rsidR="00902328">
        <w:t>aims to</w:t>
      </w:r>
      <w:r w:rsidR="00F5567D" w:rsidRPr="00A42B65">
        <w:t xml:space="preserve"> not utilise the RBA overdraft facility except as a last resort. </w:t>
      </w:r>
      <w:r>
        <w:t>The o</w:t>
      </w:r>
      <w:r w:rsidR="00F5567D" w:rsidRPr="00A42B65">
        <w:t>verdraft is up to $10</w:t>
      </w:r>
      <w:r>
        <w:t xml:space="preserve"> </w:t>
      </w:r>
      <w:r w:rsidR="00F5567D" w:rsidRPr="00A42B65">
        <w:t xml:space="preserve">billion and </w:t>
      </w:r>
      <w:r>
        <w:t xml:space="preserve">is to be repaid in </w:t>
      </w:r>
      <w:r w:rsidR="00BB4B29">
        <w:t xml:space="preserve">no </w:t>
      </w:r>
      <w:r w:rsidR="00F5567D" w:rsidRPr="00A42B65">
        <w:t>more than</w:t>
      </w:r>
      <w:r>
        <w:t xml:space="preserve"> </w:t>
      </w:r>
      <w:r w:rsidR="00DB3067">
        <w:t>one</w:t>
      </w:r>
      <w:r>
        <w:t xml:space="preserve"> week</w:t>
      </w:r>
      <w:r w:rsidR="00F5567D" w:rsidRPr="00A42B65">
        <w:t xml:space="preserve">. </w:t>
      </w:r>
      <w:r>
        <w:t>The Review believes the overdraft is</w:t>
      </w:r>
      <w:r w:rsidR="00F5567D" w:rsidRPr="00A42B65">
        <w:t xml:space="preserve"> appropriate</w:t>
      </w:r>
      <w:r>
        <w:t xml:space="preserve">ly configured and the objective </w:t>
      </w:r>
      <w:r w:rsidR="004E7EA5">
        <w:t xml:space="preserve">appropriately </w:t>
      </w:r>
      <w:r>
        <w:t>specified to obviate</w:t>
      </w:r>
      <w:r w:rsidR="00F5567D" w:rsidRPr="00A42B65">
        <w:t xml:space="preserve"> concerns about government financing except in periods of prolonged market dislocation.</w:t>
      </w:r>
      <w:r>
        <w:t xml:space="preserve"> </w:t>
      </w:r>
    </w:p>
    <w:p w14:paraId="18E94E36" w14:textId="2343FB1B" w:rsidR="009551C9" w:rsidRDefault="00F5567D" w:rsidP="008D5519">
      <w:pPr>
        <w:spacing w:line="276" w:lineRule="auto"/>
      </w:pPr>
      <w:r w:rsidRPr="00A42B65">
        <w:t>At various times in its history, the AOFM has invested i</w:t>
      </w:r>
      <w:r w:rsidR="00BB4B29">
        <w:t>ts</w:t>
      </w:r>
      <w:r w:rsidRPr="00A42B65">
        <w:t xml:space="preserve"> cash balances in instruments other than deposits at the RBA. For a time, </w:t>
      </w:r>
      <w:r w:rsidR="009551C9">
        <w:t xml:space="preserve">the AOFM </w:t>
      </w:r>
      <w:r w:rsidRPr="00A42B65">
        <w:t xml:space="preserve">held state government paper (semis) as part of its cash management. </w:t>
      </w:r>
      <w:r w:rsidR="009551C9">
        <w:t>While this can e</w:t>
      </w:r>
      <w:r w:rsidRPr="00A42B65">
        <w:t>arn a higher yield</w:t>
      </w:r>
      <w:r w:rsidR="009551C9">
        <w:t xml:space="preserve"> for the AOFM compared to the deposit at the RBA, it has </w:t>
      </w:r>
      <w:proofErr w:type="gramStart"/>
      <w:r w:rsidR="009551C9">
        <w:t>a</w:t>
      </w:r>
      <w:r w:rsidRPr="00A42B65">
        <w:t xml:space="preserve"> number of</w:t>
      </w:r>
      <w:proofErr w:type="gramEnd"/>
      <w:r w:rsidRPr="00A42B65">
        <w:t xml:space="preserve"> </w:t>
      </w:r>
      <w:r w:rsidR="009551C9">
        <w:t>significant drawbacks:</w:t>
      </w:r>
    </w:p>
    <w:p w14:paraId="009DDBB6" w14:textId="19655FF1" w:rsidR="009551C9" w:rsidRDefault="009551C9" w:rsidP="00944B96">
      <w:pPr>
        <w:pStyle w:val="Bullet"/>
      </w:pPr>
      <w:r>
        <w:t xml:space="preserve">Liquidity in semi-government paper is materially less than cash at the </w:t>
      </w:r>
      <w:r w:rsidR="004E7EA5">
        <w:t xml:space="preserve">RBA. </w:t>
      </w:r>
      <w:r>
        <w:t xml:space="preserve">This is particularly the case in times of financial market volatility when the AOFM </w:t>
      </w:r>
      <w:r w:rsidR="00B93456">
        <w:t>will</w:t>
      </w:r>
      <w:r>
        <w:t xml:space="preserve"> want to access the funds. </w:t>
      </w:r>
    </w:p>
    <w:p w14:paraId="6883E9E2" w14:textId="2B227B09" w:rsidR="00F5567D" w:rsidRPr="00A42B65" w:rsidRDefault="009551C9" w:rsidP="00944B96">
      <w:pPr>
        <w:pStyle w:val="Bullet"/>
      </w:pPr>
      <w:r>
        <w:t>There is a difficult question of h</w:t>
      </w:r>
      <w:r w:rsidR="00F5567D" w:rsidRPr="00A42B65">
        <w:t xml:space="preserve">ow </w:t>
      </w:r>
      <w:r>
        <w:t>t</w:t>
      </w:r>
      <w:r w:rsidR="00F5567D" w:rsidRPr="00A42B65">
        <w:t xml:space="preserve">he AOFM </w:t>
      </w:r>
      <w:r>
        <w:t xml:space="preserve">would </w:t>
      </w:r>
      <w:r w:rsidR="00F5567D" w:rsidRPr="00A42B65">
        <w:t xml:space="preserve">allocate its </w:t>
      </w:r>
      <w:r>
        <w:t>funds</w:t>
      </w:r>
      <w:r w:rsidR="00F5567D" w:rsidRPr="00A42B65">
        <w:t xml:space="preserve"> across the </w:t>
      </w:r>
      <w:r w:rsidR="009A4E6F">
        <w:t>S</w:t>
      </w:r>
      <w:r>
        <w:t>tates.</w:t>
      </w:r>
      <w:r w:rsidR="00F5567D" w:rsidRPr="00A42B65">
        <w:t xml:space="preserve"> If did it </w:t>
      </w:r>
      <w:r>
        <w:t xml:space="preserve">so </w:t>
      </w:r>
      <w:proofErr w:type="gramStart"/>
      <w:r w:rsidR="00F5567D" w:rsidRPr="00A42B65">
        <w:t xml:space="preserve">on the </w:t>
      </w:r>
      <w:r>
        <w:t>basis of</w:t>
      </w:r>
      <w:proofErr w:type="gramEnd"/>
      <w:r>
        <w:t xml:space="preserve"> the </w:t>
      </w:r>
      <w:r w:rsidR="00F5567D" w:rsidRPr="00A42B65">
        <w:t xml:space="preserve">size of </w:t>
      </w:r>
      <w:r>
        <w:t xml:space="preserve">the debt </w:t>
      </w:r>
      <w:r w:rsidR="00F5567D" w:rsidRPr="00A42B65">
        <w:t>program</w:t>
      </w:r>
      <w:r w:rsidR="004E7EA5">
        <w:t>,</w:t>
      </w:r>
      <w:r>
        <w:t xml:space="preserve"> that </w:t>
      </w:r>
      <w:r w:rsidR="004E7EA5">
        <w:t xml:space="preserve">presents </w:t>
      </w:r>
      <w:r w:rsidR="00F5567D" w:rsidRPr="00A42B65">
        <w:t xml:space="preserve">the optical problem of being seen to be rewarding </w:t>
      </w:r>
      <w:r>
        <w:t xml:space="preserve">the most profligate </w:t>
      </w:r>
      <w:r w:rsidR="009A4E6F">
        <w:t>S</w:t>
      </w:r>
      <w:r>
        <w:t>tates.</w:t>
      </w:r>
    </w:p>
    <w:p w14:paraId="27B05F91" w14:textId="773E8183" w:rsidR="00F5567D" w:rsidRDefault="00F5567D" w:rsidP="008D5519">
      <w:pPr>
        <w:spacing w:line="276" w:lineRule="auto"/>
      </w:pPr>
      <w:r w:rsidRPr="00A42B65">
        <w:t xml:space="preserve">Bank bills </w:t>
      </w:r>
      <w:r w:rsidR="00936A3E">
        <w:t xml:space="preserve">or deposits could also be considered but this would imply </w:t>
      </w:r>
      <w:r w:rsidRPr="00A42B65">
        <w:t>additional credit risk</w:t>
      </w:r>
      <w:r w:rsidR="00936A3E">
        <w:t xml:space="preserve"> for the AOFM and</w:t>
      </w:r>
      <w:r w:rsidR="00CB7725">
        <w:t>,</w:t>
      </w:r>
      <w:r w:rsidR="00936A3E">
        <w:t xml:space="preserve"> in the Review’s opinion, unnecessary credit risk</w:t>
      </w:r>
      <w:r w:rsidRPr="00A42B65">
        <w:t xml:space="preserve">. In times of financial market stress that problem </w:t>
      </w:r>
      <w:r w:rsidR="00936A3E">
        <w:t xml:space="preserve">would be </w:t>
      </w:r>
      <w:r w:rsidRPr="00A42B65">
        <w:t xml:space="preserve">accentuated. </w:t>
      </w:r>
      <w:r w:rsidR="00936A3E">
        <w:t>The AOFM would be placed in a difficult position o</w:t>
      </w:r>
      <w:r w:rsidR="00BB4B29">
        <w:t>f</w:t>
      </w:r>
      <w:r w:rsidR="00936A3E">
        <w:t xml:space="preserve"> </w:t>
      </w:r>
      <w:r w:rsidR="00BB4B29">
        <w:t>needing</w:t>
      </w:r>
      <w:r w:rsidR="00936A3E">
        <w:t xml:space="preserve"> to liquidate its holdings </w:t>
      </w:r>
      <w:r w:rsidR="00BB4B29">
        <w:t>while</w:t>
      </w:r>
      <w:r w:rsidR="00936A3E">
        <w:t xml:space="preserve"> knowing that in doing so it would be </w:t>
      </w:r>
      <w:r w:rsidRPr="00A42B65">
        <w:t>exacerbating th</w:t>
      </w:r>
      <w:r w:rsidR="00936A3E">
        <w:t>e</w:t>
      </w:r>
      <w:r w:rsidRPr="00A42B65">
        <w:t xml:space="preserve"> stress</w:t>
      </w:r>
      <w:r w:rsidR="00936A3E">
        <w:t xml:space="preserve"> on the banking system</w:t>
      </w:r>
      <w:r w:rsidRPr="00A42B65">
        <w:t>.</w:t>
      </w:r>
    </w:p>
    <w:p w14:paraId="4F5B95AD" w14:textId="0498EF81" w:rsidR="00936A3E" w:rsidRPr="00A42B65" w:rsidRDefault="00936A3E" w:rsidP="008D5519">
      <w:pPr>
        <w:spacing w:line="276" w:lineRule="auto"/>
      </w:pPr>
      <w:r>
        <w:t>Hence, the Review’s opinion is that the AOFM should continue with its policies of investing its cash at the RBA rather than in other instruments.</w:t>
      </w:r>
    </w:p>
    <w:p w14:paraId="17FAB7BE" w14:textId="4A5CFE38" w:rsidR="00221899" w:rsidRDefault="009271B1" w:rsidP="008D5519">
      <w:pPr>
        <w:spacing w:line="276" w:lineRule="auto"/>
      </w:pPr>
      <w:r>
        <w:t>T</w:t>
      </w:r>
      <w:r w:rsidR="00221899">
        <w:t>he Review believes that the s</w:t>
      </w:r>
      <w:r w:rsidR="00F5567D" w:rsidRPr="00A42B65">
        <w:t>ize of the T-note program could be larger</w:t>
      </w:r>
      <w:r w:rsidR="00221899">
        <w:t xml:space="preserve"> </w:t>
      </w:r>
      <w:r w:rsidR="00396B68">
        <w:t xml:space="preserve">without undue cost </w:t>
      </w:r>
      <w:r w:rsidR="00A37D02">
        <w:t xml:space="preserve">or market disruption, if </w:t>
      </w:r>
      <w:r w:rsidR="00221899">
        <w:t xml:space="preserve">that </w:t>
      </w:r>
      <w:r w:rsidR="00A37D02">
        <w:t>were</w:t>
      </w:r>
      <w:r w:rsidR="00221899">
        <w:t xml:space="preserve"> consistent with the AOFM’s Debt Management and Liquidity Management Strategies</w:t>
      </w:r>
      <w:r w:rsidR="00F5567D" w:rsidRPr="00A42B65">
        <w:t>.</w:t>
      </w:r>
      <w:r w:rsidR="00221899">
        <w:t xml:space="preserve"> That would allow the AOFM to hold a higher cash balance at lower cost should it so desire (although the Review does not think this is necessary). Depending on the shape of the yield curve, </w:t>
      </w:r>
      <w:r w:rsidR="004E7EA5">
        <w:t xml:space="preserve">this </w:t>
      </w:r>
      <w:r w:rsidR="00221899">
        <w:t>could lower financing costs without materially increasing refinancing risk as the larger program would be self-sustaining.</w:t>
      </w:r>
      <w:r w:rsidR="00F5567D" w:rsidRPr="00A42B65">
        <w:t xml:space="preserve"> </w:t>
      </w:r>
      <w:r w:rsidR="00221899">
        <w:t xml:space="preserve">A larger program should also improve liquidity which may </w:t>
      </w:r>
      <w:r w:rsidR="001E4176">
        <w:t>attract</w:t>
      </w:r>
      <w:r w:rsidR="00221899">
        <w:t xml:space="preserve"> more investors.</w:t>
      </w:r>
    </w:p>
    <w:p w14:paraId="6C8AEE39" w14:textId="6BCF8BC0" w:rsidR="00221899" w:rsidRDefault="00221899" w:rsidP="008D5519">
      <w:pPr>
        <w:spacing w:line="276" w:lineRule="auto"/>
      </w:pPr>
      <w:r>
        <w:t>The Review s</w:t>
      </w:r>
      <w:r w:rsidR="00F5567D" w:rsidRPr="00A42B65">
        <w:t xml:space="preserve">poke to </w:t>
      </w:r>
      <w:proofErr w:type="gramStart"/>
      <w:r w:rsidR="00F5567D" w:rsidRPr="00A42B65">
        <w:t>a number of</w:t>
      </w:r>
      <w:proofErr w:type="gramEnd"/>
      <w:r w:rsidR="00F5567D" w:rsidRPr="00A42B65">
        <w:t xml:space="preserve"> investors who would be willing to participate in a large</w:t>
      </w:r>
      <w:r>
        <w:t xml:space="preserve">r </w:t>
      </w:r>
      <w:r w:rsidR="00F5567D" w:rsidRPr="00A42B65">
        <w:t xml:space="preserve">T-note program. </w:t>
      </w:r>
      <w:r>
        <w:t>That feedback has also been p</w:t>
      </w:r>
      <w:r w:rsidR="00F5567D" w:rsidRPr="00A42B65">
        <w:t xml:space="preserve">rovided to the </w:t>
      </w:r>
      <w:r>
        <w:t xml:space="preserve">AOFM’s Investor Relations </w:t>
      </w:r>
      <w:r w:rsidR="00F5567D" w:rsidRPr="00A42B65">
        <w:t>team.</w:t>
      </w:r>
      <w:r>
        <w:t xml:space="preserve"> </w:t>
      </w:r>
    </w:p>
    <w:p w14:paraId="04F1E12C" w14:textId="5C1B5243" w:rsidR="00DC3D01" w:rsidRDefault="00221899" w:rsidP="00FA3AD7">
      <w:pPr>
        <w:spacing w:line="276" w:lineRule="auto"/>
      </w:pPr>
      <w:r>
        <w:t>A larger T-note program c</w:t>
      </w:r>
      <w:r w:rsidR="00F5567D" w:rsidRPr="00A42B65">
        <w:t xml:space="preserve">ould serve as an effective liquidity management tool for the superannuation sector rather than their </w:t>
      </w:r>
      <w:r>
        <w:t xml:space="preserve">current </w:t>
      </w:r>
      <w:r w:rsidR="00F5567D" w:rsidRPr="00A42B65">
        <w:t xml:space="preserve">holdings of bank bills. </w:t>
      </w:r>
      <w:r>
        <w:t>It would entail c</w:t>
      </w:r>
      <w:r w:rsidR="00F5567D" w:rsidRPr="00A42B65">
        <w:t>onsiderably less credit risk</w:t>
      </w:r>
      <w:r>
        <w:t xml:space="preserve"> for super funds. </w:t>
      </w:r>
      <w:r w:rsidR="00944B96">
        <w:t>Importantly</w:t>
      </w:r>
      <w:r>
        <w:t>, it would n</w:t>
      </w:r>
      <w:r w:rsidR="00F5567D" w:rsidRPr="00A42B65">
        <w:t xml:space="preserve">ot </w:t>
      </w:r>
      <w:r>
        <w:t xml:space="preserve">be </w:t>
      </w:r>
      <w:r w:rsidR="00F5567D" w:rsidRPr="00A42B65">
        <w:t>disruptive to the banking sector in times of stress</w:t>
      </w:r>
      <w:r>
        <w:t>, when super funds are likely to be liquidating bank paper at the same time as the banking sector is facing funding pressure</w:t>
      </w:r>
      <w:r w:rsidR="00F5567D" w:rsidRPr="00A42B65">
        <w:t>.</w:t>
      </w:r>
      <w:r>
        <w:t xml:space="preserve"> Finally, T-notes are high quality liquid assets, both generally and specifically for banks in terms of APRA’s liquidity </w:t>
      </w:r>
      <w:proofErr w:type="gramStart"/>
      <w:r>
        <w:t>policies, and</w:t>
      </w:r>
      <w:proofErr w:type="gramEnd"/>
      <w:r>
        <w:t xml:space="preserve"> are also easily </w:t>
      </w:r>
      <w:proofErr w:type="spellStart"/>
      <w:r>
        <w:t>repoable</w:t>
      </w:r>
      <w:proofErr w:type="spellEnd"/>
      <w:r>
        <w:t xml:space="preserve"> assets.</w:t>
      </w:r>
      <w:r w:rsidR="00BF3B52">
        <w:t xml:space="preserve"> This is a matter for entities other than the AOFM, but </w:t>
      </w:r>
      <w:r w:rsidR="00024F31">
        <w:t xml:space="preserve">if implemented </w:t>
      </w:r>
      <w:r w:rsidR="00BF3B52">
        <w:t xml:space="preserve">would have a material </w:t>
      </w:r>
      <w:r w:rsidR="00024F31">
        <w:t>effect on AOFM’s Strategies.</w:t>
      </w:r>
      <w:r w:rsidR="00DC3D01">
        <w:br w:type="page"/>
      </w:r>
    </w:p>
    <w:p w14:paraId="1A1D9023" w14:textId="0B03F78F" w:rsidR="00221899" w:rsidRDefault="00221899" w:rsidP="00221899">
      <w:pPr>
        <w:pStyle w:val="Heading1"/>
      </w:pPr>
      <w:bookmarkStart w:id="43" w:name="_Toc227237303"/>
      <w:bookmarkStart w:id="44" w:name="_Toc227313955"/>
      <w:r>
        <w:t xml:space="preserve">Risk </w:t>
      </w:r>
      <w:r w:rsidR="0001647D">
        <w:t>M</w:t>
      </w:r>
      <w:r>
        <w:t>anagement</w:t>
      </w:r>
      <w:bookmarkEnd w:id="43"/>
      <w:bookmarkEnd w:id="44"/>
    </w:p>
    <w:p w14:paraId="60A630FA" w14:textId="2280BB94" w:rsidR="00221899" w:rsidRPr="00221899" w:rsidRDefault="00221899" w:rsidP="008D5519">
      <w:pPr>
        <w:spacing w:line="276" w:lineRule="auto"/>
      </w:pPr>
      <w:r w:rsidRPr="00221899">
        <w:t>In terms of risk governance, the AOFM has its own Audit and Risk Committee (ARC).</w:t>
      </w:r>
      <w:r w:rsidR="0001647D" w:rsidRPr="0001647D">
        <w:rPr>
          <w:rStyle w:val="FootnoteReference"/>
          <w:vertAlign w:val="superscript"/>
        </w:rPr>
        <w:footnoteReference w:id="17"/>
      </w:r>
      <w:r w:rsidRPr="0001647D">
        <w:rPr>
          <w:vertAlign w:val="superscript"/>
        </w:rPr>
        <w:t xml:space="preserve"> </w:t>
      </w:r>
      <w:r w:rsidRPr="00221899">
        <w:t>This Committee is comprised of three members, one of whom is also a member of the Treasury’s Audit and Risk Committee to enable effective continuity between Treasury and the AOFM</w:t>
      </w:r>
      <w:r w:rsidR="00024F31">
        <w:t>. This is appropriate</w:t>
      </w:r>
      <w:r w:rsidRPr="00221899">
        <w:t xml:space="preserve"> as </w:t>
      </w:r>
      <w:r w:rsidR="009B0647">
        <w:t xml:space="preserve">some </w:t>
      </w:r>
      <w:r w:rsidRPr="00221899">
        <w:t xml:space="preserve">of </w:t>
      </w:r>
      <w:r w:rsidR="009B0647">
        <w:t>the</w:t>
      </w:r>
      <w:r w:rsidRPr="00221899">
        <w:t xml:space="preserve"> AOFM’s risks are managed by the Treasury (the AOFM’s IT systems are supported by Treasury for example). The </w:t>
      </w:r>
      <w:r w:rsidR="009B0647">
        <w:t xml:space="preserve">ARC </w:t>
      </w:r>
      <w:r w:rsidRPr="00221899">
        <w:t xml:space="preserve">meets </w:t>
      </w:r>
      <w:r w:rsidR="002B0E6E">
        <w:t>at least four</w:t>
      </w:r>
      <w:r w:rsidRPr="00221899">
        <w:t xml:space="preserve"> times a year and can also have out-of-cycle meetings where warranted, including to conduct deep-dive</w:t>
      </w:r>
      <w:r w:rsidR="009B0647">
        <w:t>s</w:t>
      </w:r>
      <w:r w:rsidRPr="00221899">
        <w:t xml:space="preserve"> on </w:t>
      </w:r>
      <w:proofErr w:type="gramStart"/>
      <w:r w:rsidRPr="00221899">
        <w:t>particular issues</w:t>
      </w:r>
      <w:proofErr w:type="gramEnd"/>
      <w:r w:rsidRPr="00221899">
        <w:t xml:space="preserve"> of interest to the ARC.</w:t>
      </w:r>
    </w:p>
    <w:p w14:paraId="5BD67B6C" w14:textId="6BC904D8" w:rsidR="00221899" w:rsidRPr="00221899" w:rsidRDefault="00221899" w:rsidP="008D5519">
      <w:pPr>
        <w:spacing w:line="276" w:lineRule="auto"/>
      </w:pPr>
      <w:r w:rsidRPr="00221899">
        <w:t xml:space="preserve">Since </w:t>
      </w:r>
      <w:r w:rsidR="00082639">
        <w:t>her</w:t>
      </w:r>
      <w:r w:rsidRPr="00221899">
        <w:t xml:space="preserve"> appointment, the Chief Operating Officer has implemented </w:t>
      </w:r>
      <w:proofErr w:type="gramStart"/>
      <w:r w:rsidRPr="00221899">
        <w:t>a number of</w:t>
      </w:r>
      <w:proofErr w:type="gramEnd"/>
      <w:r w:rsidRPr="00221899">
        <w:t xml:space="preserve"> measures to uplift risk management practices at the AOFM. This is not to imply that risk processes were inadequate previously</w:t>
      </w:r>
      <w:r w:rsidR="00024F31">
        <w:t xml:space="preserve">. Rather, </w:t>
      </w:r>
      <w:r w:rsidRPr="00221899">
        <w:t>given her background and experience, the COO has sought to up</w:t>
      </w:r>
      <w:r w:rsidR="00BB4B29">
        <w:t>lift</w:t>
      </w:r>
      <w:r w:rsidRPr="00221899">
        <w:t xml:space="preserve"> risk practices to better practice standards in the financial sector. This has included a </w:t>
      </w:r>
      <w:r w:rsidR="00024F31">
        <w:t xml:space="preserve">significant </w:t>
      </w:r>
      <w:r w:rsidRPr="00221899">
        <w:t xml:space="preserve">refresh of the Enterprise Risk Framework. Currently there is a program </w:t>
      </w:r>
      <w:r w:rsidR="00BB4B29">
        <w:t xml:space="preserve">of work </w:t>
      </w:r>
      <w:r w:rsidRPr="00221899">
        <w:t>underway to update Key Performance Indicators to ensure they are fit for purpose</w:t>
      </w:r>
      <w:r w:rsidR="00BB4B29">
        <w:t xml:space="preserve">, in response to </w:t>
      </w:r>
      <w:r w:rsidR="00DC3D01">
        <w:t xml:space="preserve">a </w:t>
      </w:r>
      <w:r w:rsidR="00BB4B29">
        <w:t>recent audit of this area</w:t>
      </w:r>
      <w:r w:rsidRPr="00221899">
        <w:t>.</w:t>
      </w:r>
      <w:r w:rsidR="00BB4B29">
        <w:t xml:space="preserve"> She has also appropriately focussed on st</w:t>
      </w:r>
      <w:r w:rsidR="00944B96">
        <w:t>r</w:t>
      </w:r>
      <w:r w:rsidR="00BB4B29">
        <w:t>eamlining the number of controls and ensuring they are appropriate and necessary.</w:t>
      </w:r>
    </w:p>
    <w:p w14:paraId="7F71E830" w14:textId="327AC1AF" w:rsidR="00221899" w:rsidRPr="00221899" w:rsidRDefault="00221899" w:rsidP="008D5519">
      <w:pPr>
        <w:spacing w:line="276" w:lineRule="auto"/>
      </w:pPr>
      <w:r w:rsidRPr="00221899">
        <w:t xml:space="preserve">Having reviewed the relevant risk documentation, read recent ARC papers and minutes, interviewed the members of the ARC, the COO and members of the AOFM’s risk and finance teams, the Review is comfortable with the capability of the AOFM in terms of risk management. The three lines of defence appear to </w:t>
      </w:r>
      <w:r w:rsidR="00024F31">
        <w:t xml:space="preserve">be well understood and </w:t>
      </w:r>
      <w:r w:rsidRPr="00221899">
        <w:t>function effectively at the AOFM</w:t>
      </w:r>
      <w:r w:rsidR="00024F31">
        <w:t xml:space="preserve">. </w:t>
      </w:r>
      <w:r w:rsidRPr="00221899">
        <w:t xml:space="preserve"> </w:t>
      </w:r>
      <w:r w:rsidR="00024F31">
        <w:t>T</w:t>
      </w:r>
      <w:r w:rsidRPr="00221899">
        <w:t xml:space="preserve">he COO has increased the effectiveness of </w:t>
      </w:r>
      <w:r w:rsidR="00024F31">
        <w:t xml:space="preserve">these </w:t>
      </w:r>
      <w:r w:rsidRPr="00221899">
        <w:t>risk processes since her arrival.</w:t>
      </w:r>
    </w:p>
    <w:p w14:paraId="0A770D67" w14:textId="6AA09C7D" w:rsidR="00221899" w:rsidRPr="00221899" w:rsidRDefault="00221899" w:rsidP="008D5519">
      <w:pPr>
        <w:spacing w:line="276" w:lineRule="auto"/>
      </w:pPr>
      <w:r w:rsidRPr="00221899">
        <w:t xml:space="preserve">The one area where the Review believes there is scope for improvement is the oversight of the Financial Risk Management </w:t>
      </w:r>
      <w:r w:rsidRPr="008A2BA2">
        <w:t xml:space="preserve">Policy. The Policy concerns the financial risks that the AOFM incurs in its debt and </w:t>
      </w:r>
      <w:r w:rsidR="0058587B" w:rsidRPr="008A2BA2">
        <w:t xml:space="preserve">liquidity </w:t>
      </w:r>
      <w:r w:rsidRPr="008A2BA2">
        <w:t>management operations.</w:t>
      </w:r>
      <w:r w:rsidR="00024F31" w:rsidRPr="008A2BA2">
        <w:rPr>
          <w:rStyle w:val="FootnoteReference"/>
          <w:vertAlign w:val="superscript"/>
        </w:rPr>
        <w:footnoteReference w:id="18"/>
      </w:r>
      <w:r w:rsidRPr="008A2BA2">
        <w:t xml:space="preserve"> Effectively </w:t>
      </w:r>
      <w:r w:rsidRPr="00221899">
        <w:t>the policy describes a framework for balancing the costs of debt management with the risks of the debt program</w:t>
      </w:r>
      <w:r w:rsidR="00024F31">
        <w:t xml:space="preserve">, </w:t>
      </w:r>
      <w:proofErr w:type="gramStart"/>
      <w:r w:rsidR="00024F31">
        <w:t>a number of</w:t>
      </w:r>
      <w:proofErr w:type="gramEnd"/>
      <w:r w:rsidR="00024F31">
        <w:t xml:space="preserve"> which have been discussed above</w:t>
      </w:r>
      <w:r w:rsidRPr="00221899">
        <w:t xml:space="preserve">. The key elements of the approach are embodied in the DMS and the </w:t>
      </w:r>
      <w:r w:rsidR="0058587B">
        <w:t>L</w:t>
      </w:r>
      <w:r w:rsidRPr="00221899">
        <w:t>MS.</w:t>
      </w:r>
    </w:p>
    <w:p w14:paraId="7168C7A5" w14:textId="09869D9E" w:rsidR="00221899" w:rsidRPr="00221899" w:rsidRDefault="00221899" w:rsidP="008D5519">
      <w:pPr>
        <w:spacing w:line="276" w:lineRule="auto"/>
      </w:pPr>
      <w:r w:rsidRPr="00221899">
        <w:t>The Review considers that oversight of this policy has tended to fall between the ARC and the Advisory Board. That said, in recent months, the ARC has spent some time scrutinising this policy in more detail.</w:t>
      </w:r>
      <w:r w:rsidR="00024F31">
        <w:t xml:space="preserve"> </w:t>
      </w:r>
      <w:r w:rsidR="0061068B">
        <w:t xml:space="preserve">ARC </w:t>
      </w:r>
      <w:r w:rsidR="00DC3D01">
        <w:t>Member</w:t>
      </w:r>
      <w:r w:rsidR="0061068B">
        <w:t>s</w:t>
      </w:r>
      <w:r w:rsidR="00024F31">
        <w:t xml:space="preserve"> sat in on a </w:t>
      </w:r>
      <w:r w:rsidR="006E4A38">
        <w:t>tender</w:t>
      </w:r>
      <w:r w:rsidR="00024F31">
        <w:t xml:space="preserve"> earlier this year to better understand </w:t>
      </w:r>
      <w:r w:rsidR="00DC3D01">
        <w:t xml:space="preserve">the </w:t>
      </w:r>
      <w:r w:rsidR="00024F31">
        <w:t xml:space="preserve">process and </w:t>
      </w:r>
      <w:r w:rsidR="00346AA0">
        <w:t xml:space="preserve">its inherent </w:t>
      </w:r>
      <w:r w:rsidR="00024F31">
        <w:t>risks.</w:t>
      </w:r>
      <w:r w:rsidRPr="00221899">
        <w:t xml:space="preserve"> </w:t>
      </w:r>
      <w:r w:rsidR="00024F31">
        <w:t>These developments are welcome and i</w:t>
      </w:r>
      <w:r w:rsidRPr="00221899">
        <w:t xml:space="preserve">n part reflect the debt market background of a recent appointee to the ARC. </w:t>
      </w:r>
    </w:p>
    <w:p w14:paraId="5BBFF209" w14:textId="631E96F7" w:rsidR="00221899" w:rsidRDefault="001D73E7" w:rsidP="008D5519">
      <w:pPr>
        <w:spacing w:line="276" w:lineRule="auto"/>
      </w:pPr>
      <w:r>
        <w:t>The Review believes that</w:t>
      </w:r>
      <w:r w:rsidR="00346AA0">
        <w:t xml:space="preserve"> </w:t>
      </w:r>
      <w:r w:rsidR="00221899" w:rsidRPr="00221899">
        <w:t xml:space="preserve">a more natural accountability </w:t>
      </w:r>
      <w:r w:rsidR="000A0B6C">
        <w:t xml:space="preserve">for </w:t>
      </w:r>
      <w:r w:rsidR="006A265B" w:rsidRPr="00221899">
        <w:t xml:space="preserve">the </w:t>
      </w:r>
      <w:r w:rsidR="006A265B">
        <w:t>Financial Risk Management P</w:t>
      </w:r>
      <w:r w:rsidR="006A265B" w:rsidRPr="00221899">
        <w:t xml:space="preserve">olicy </w:t>
      </w:r>
      <w:r w:rsidR="00221899" w:rsidRPr="00221899">
        <w:t xml:space="preserve">would sit with the Advisory Board given that </w:t>
      </w:r>
      <w:r w:rsidR="006A265B">
        <w:t xml:space="preserve">it </w:t>
      </w:r>
      <w:r w:rsidR="00221899" w:rsidRPr="00221899">
        <w:t>directly relates to the DMS and the LMS. Moreover, the composition of the Advisory Board provides the requisite skill set for effective scrutiny of the m</w:t>
      </w:r>
      <w:r w:rsidR="00024F31">
        <w:t>a</w:t>
      </w:r>
      <w:r w:rsidR="00221899" w:rsidRPr="00221899">
        <w:t>nagement of this risk.</w:t>
      </w:r>
      <w:r w:rsidR="00024F31">
        <w:t xml:space="preserve"> The Review’s opinion </w:t>
      </w:r>
      <w:r w:rsidR="00723C52">
        <w:t>is</w:t>
      </w:r>
      <w:r w:rsidR="00024F31">
        <w:t xml:space="preserve"> that it would also make sense for a member of Advisory Board to participate in ARC meetings when the Financial Risk Management policy is on the agenda.</w:t>
      </w:r>
    </w:p>
    <w:p w14:paraId="13CEA202" w14:textId="0335E9F6" w:rsidR="00DE37E5" w:rsidRDefault="00A94551" w:rsidP="00DE37E5">
      <w:pPr>
        <w:pStyle w:val="Heading1"/>
      </w:pPr>
      <w:bookmarkStart w:id="45" w:name="_Toc227237304"/>
      <w:bookmarkStart w:id="46" w:name="_Toc227313956"/>
      <w:r>
        <w:t>Governance</w:t>
      </w:r>
      <w:bookmarkEnd w:id="45"/>
      <w:bookmarkEnd w:id="46"/>
    </w:p>
    <w:p w14:paraId="293E409B" w14:textId="2A9135F0" w:rsidR="00BB4B29" w:rsidRDefault="00BB4B29" w:rsidP="008D5519">
      <w:pPr>
        <w:spacing w:line="276" w:lineRule="auto"/>
      </w:pPr>
      <w:r>
        <w:t xml:space="preserve">The </w:t>
      </w:r>
      <w:r w:rsidR="00896367">
        <w:t xml:space="preserve">AOFM’s </w:t>
      </w:r>
      <w:r w:rsidR="00896367" w:rsidRPr="00C2198B">
        <w:t>governance is pr</w:t>
      </w:r>
      <w:r w:rsidR="00C2198B" w:rsidRPr="00C2198B">
        <w:t>e</w:t>
      </w:r>
      <w:r w:rsidR="00896367" w:rsidRPr="00C2198B">
        <w:t>scribed by the</w:t>
      </w:r>
      <w:r w:rsidR="00896367">
        <w:t xml:space="preserve"> PGPA Act as a government authority. </w:t>
      </w:r>
      <w:r w:rsidR="00CC63E1">
        <w:t xml:space="preserve">The AOFM’s external governance arrangements primarily concern its relationship with Treasury. The Review assesses that the agency effectively manages key communication channels with relevant Treasury officials regarding how the debt program interacts with fiscal policy settings. </w:t>
      </w:r>
      <w:r w:rsidR="00896367">
        <w:t xml:space="preserve">The more bespoke features of governance relate to the role of the Advisory Board and the fact that the Treasury Secretary </w:t>
      </w:r>
      <w:r w:rsidR="00EF5F3B">
        <w:t xml:space="preserve">approves </w:t>
      </w:r>
      <w:r w:rsidR="00896367">
        <w:t>the Strategy each year. The R</w:t>
      </w:r>
      <w:r>
        <w:t xml:space="preserve">eview has </w:t>
      </w:r>
      <w:proofErr w:type="gramStart"/>
      <w:r>
        <w:t>a number of</w:t>
      </w:r>
      <w:proofErr w:type="gramEnd"/>
      <w:r>
        <w:t xml:space="preserve"> recommendations to enhance the governance of the AOFM.</w:t>
      </w:r>
    </w:p>
    <w:p w14:paraId="4DC0EE0E" w14:textId="7355C821" w:rsidR="005F2ADA" w:rsidRDefault="00CF796A" w:rsidP="008D5519">
      <w:pPr>
        <w:spacing w:line="276" w:lineRule="auto"/>
      </w:pPr>
      <w:r>
        <w:t>The primary enhancement is to make m</w:t>
      </w:r>
      <w:r w:rsidR="00870787" w:rsidRPr="00221899">
        <w:t xml:space="preserve">ore effective use of </w:t>
      </w:r>
      <w:r w:rsidR="00BB4B29">
        <w:t xml:space="preserve">the </w:t>
      </w:r>
      <w:r w:rsidR="00870787" w:rsidRPr="00221899">
        <w:t>A</w:t>
      </w:r>
      <w:r w:rsidR="00BB4B29">
        <w:t xml:space="preserve">dvisory </w:t>
      </w:r>
      <w:r w:rsidR="00870787" w:rsidRPr="00221899">
        <w:t>B</w:t>
      </w:r>
      <w:r w:rsidR="00BB4B29">
        <w:t>oard</w:t>
      </w:r>
      <w:r>
        <w:t>.</w:t>
      </w:r>
      <w:r w:rsidR="005F2ADA">
        <w:t xml:space="preserve"> </w:t>
      </w:r>
      <w:r w:rsidR="005F2ADA" w:rsidRPr="005E7AC7">
        <w:t xml:space="preserve">The Review </w:t>
      </w:r>
      <w:r w:rsidR="005F2ADA">
        <w:t>recommends</w:t>
      </w:r>
      <w:r w:rsidR="005F2ADA" w:rsidRPr="005E7AC7">
        <w:t xml:space="preserve"> that the Advisory Board’s remit be expanded to include all aspects of the AOFM’s operations that bear on the Strategy. </w:t>
      </w:r>
      <w:r w:rsidR="005F2ADA">
        <w:t>It should participate in the formulation of the Debt Management Strategy much earlier in the process to help shape the Strategy rather than discuss it when it is close to final. This would require the Advisory Board meeting more often and for longer than one hour. By way of comparison, equivalent boards in the state debt agencies meet around 5-6 times a year</w:t>
      </w:r>
      <w:r w:rsidR="00B22F9F">
        <w:t xml:space="preserve"> (see </w:t>
      </w:r>
      <w:r w:rsidR="00C9003C">
        <w:t>A</w:t>
      </w:r>
      <w:r w:rsidR="00B22F9F">
        <w:t>ppendix 2).</w:t>
      </w:r>
    </w:p>
    <w:p w14:paraId="1DC0E89E" w14:textId="4B114650" w:rsidR="005F2ADA" w:rsidRPr="005E7AC7" w:rsidRDefault="005F2ADA" w:rsidP="008D5519">
      <w:pPr>
        <w:spacing w:line="276" w:lineRule="auto"/>
      </w:pPr>
      <w:r w:rsidRPr="005E7AC7">
        <w:t xml:space="preserve">In </w:t>
      </w:r>
      <w:r>
        <w:t>addition</w:t>
      </w:r>
      <w:r w:rsidRPr="005E7AC7">
        <w:t xml:space="preserve">, the Advisory Board should </w:t>
      </w:r>
      <w:r>
        <w:t xml:space="preserve">consider </w:t>
      </w:r>
      <w:r w:rsidRPr="005E7AC7">
        <w:t xml:space="preserve">the AOFM’s Financial Risk Management </w:t>
      </w:r>
      <w:r>
        <w:t>policies</w:t>
      </w:r>
      <w:r w:rsidRPr="005E7AC7">
        <w:t xml:space="preserve"> and framework, which currently fall between the agency’s Audit and Risk Committee and the Advisory Board. Financial Risk Management practices include issues such as balancing refinancing risk with the cost of the debt program and risks around the conduct of tenders and syndications. The Review assesses that the Advisory Board can bring </w:t>
      </w:r>
      <w:r>
        <w:t xml:space="preserve">relevant </w:t>
      </w:r>
      <w:r w:rsidRPr="005E7AC7">
        <w:t xml:space="preserve">experience and </w:t>
      </w:r>
      <w:r>
        <w:t xml:space="preserve">useful </w:t>
      </w:r>
      <w:r w:rsidRPr="005E7AC7">
        <w:t xml:space="preserve">perspectives to these issues. While recent Audit and Risk Committee meetings have addressed issues falling within this domain, the </w:t>
      </w:r>
      <w:r w:rsidR="002323D0">
        <w:t>Review</w:t>
      </w:r>
      <w:r w:rsidRPr="005E7AC7">
        <w:t xml:space="preserve"> </w:t>
      </w:r>
      <w:r w:rsidR="002323D0">
        <w:t>regards</w:t>
      </w:r>
      <w:r w:rsidRPr="005E7AC7">
        <w:t xml:space="preserve"> it as </w:t>
      </w:r>
      <w:r w:rsidR="00670235">
        <w:t>appropriate for the</w:t>
      </w:r>
      <w:r w:rsidRPr="005E7AC7">
        <w:t xml:space="preserve"> Advisory Board </w:t>
      </w:r>
      <w:r w:rsidR="00670235">
        <w:t xml:space="preserve">to have </w:t>
      </w:r>
      <w:r w:rsidR="00F946FD">
        <w:t xml:space="preserve">oversight </w:t>
      </w:r>
      <w:r w:rsidRPr="005E7AC7">
        <w:t>o</w:t>
      </w:r>
      <w:r w:rsidR="00F946FD">
        <w:t>f</w:t>
      </w:r>
      <w:r w:rsidRPr="005E7AC7">
        <w:t xml:space="preserve"> these matters.</w:t>
      </w:r>
    </w:p>
    <w:p w14:paraId="40045C1C" w14:textId="16E9FEA3" w:rsidR="00870787" w:rsidRDefault="005F2ADA" w:rsidP="008D5519">
      <w:pPr>
        <w:spacing w:line="276" w:lineRule="auto"/>
      </w:pPr>
      <w:r w:rsidRPr="00C42A3A">
        <w:t xml:space="preserve">While suggesting that the AOFM Advisory Board’s remit be expanded, the Review does not envision that it </w:t>
      </w:r>
      <w:r>
        <w:t xml:space="preserve">should </w:t>
      </w:r>
      <w:r w:rsidRPr="00C42A3A">
        <w:t xml:space="preserve">constitute a decision-making board under this expanded mandate. </w:t>
      </w:r>
      <w:r w:rsidR="00BB4B29">
        <w:t xml:space="preserve">Decision-making </w:t>
      </w:r>
      <w:r w:rsidR="009F1A01">
        <w:t>accountability</w:t>
      </w:r>
      <w:r w:rsidR="00BB4B29">
        <w:t xml:space="preserve"> should still reside</w:t>
      </w:r>
      <w:r w:rsidR="00CF796A">
        <w:t xml:space="preserve"> with the CEO of the AOFM in terms of running the AOFM</w:t>
      </w:r>
      <w:r w:rsidR="00BB4B29">
        <w:t>, in accordance with the PGPA Act,</w:t>
      </w:r>
      <w:r w:rsidR="00CF796A">
        <w:t xml:space="preserve"> and the Secretary of the Treasury in terms of the Strategy.</w:t>
      </w:r>
    </w:p>
    <w:p w14:paraId="196B18AA" w14:textId="7500F56F" w:rsidR="00BB4B29" w:rsidRPr="00221899" w:rsidRDefault="00896367" w:rsidP="008D5519">
      <w:pPr>
        <w:spacing w:line="276" w:lineRule="auto"/>
      </w:pPr>
      <w:r>
        <w:t>The ultimate a</w:t>
      </w:r>
      <w:r w:rsidR="00BB4B29" w:rsidRPr="00221899">
        <w:t xml:space="preserve">ccountability </w:t>
      </w:r>
      <w:r>
        <w:t>for the</w:t>
      </w:r>
      <w:r w:rsidR="00BB4B29" w:rsidRPr="00221899">
        <w:t xml:space="preserve"> D</w:t>
      </w:r>
      <w:r>
        <w:t xml:space="preserve">ebt </w:t>
      </w:r>
      <w:r w:rsidR="00BB4B29" w:rsidRPr="00221899">
        <w:t>M</w:t>
      </w:r>
      <w:r>
        <w:t xml:space="preserve">anagement </w:t>
      </w:r>
      <w:r w:rsidR="00BB4B29" w:rsidRPr="00221899">
        <w:t>S</w:t>
      </w:r>
      <w:r>
        <w:t xml:space="preserve">trategy sits with the Treasury Secretary when she </w:t>
      </w:r>
      <w:r w:rsidR="00D66567">
        <w:t>approves</w:t>
      </w:r>
      <w:r>
        <w:t xml:space="preserve"> the final strategy each year</w:t>
      </w:r>
      <w:r w:rsidR="00BB4B29" w:rsidRPr="00221899">
        <w:t>.</w:t>
      </w:r>
      <w:r>
        <w:t xml:space="preserve"> The main source of discretion </w:t>
      </w:r>
      <w:r w:rsidR="00154A59">
        <w:t>in the Strategy</w:t>
      </w:r>
      <w:r>
        <w:t xml:space="preserve"> for the AOFM is the </w:t>
      </w:r>
      <w:r w:rsidR="00346AA0">
        <w:t>WAM</w:t>
      </w:r>
      <w:r>
        <w:t xml:space="preserve"> target, </w:t>
      </w:r>
      <w:r w:rsidR="00D66567">
        <w:t>which wa</w:t>
      </w:r>
      <w:r>
        <w:t>s e</w:t>
      </w:r>
      <w:r w:rsidRPr="00221899">
        <w:t>xpressed as a range of 9-11 years</w:t>
      </w:r>
      <w:r w:rsidR="00D66567">
        <w:t xml:space="preserve"> in </w:t>
      </w:r>
      <w:r w:rsidR="00A71173">
        <w:t>2025-</w:t>
      </w:r>
      <w:r w:rsidR="00D66567">
        <w:t>26</w:t>
      </w:r>
      <w:r w:rsidRPr="00221899">
        <w:t>.</w:t>
      </w:r>
      <w:r>
        <w:t xml:space="preserve"> The AOFM has the capacity to flex issuance within that range as financial conditions evolve. If conditions warrant, it should take the opportunity to move outside that range. That is, the range should be a target rather than a limit. </w:t>
      </w:r>
      <w:r w:rsidR="006C6415">
        <w:t>I</w:t>
      </w:r>
      <w:r>
        <w:t xml:space="preserve">f the AOFM thought it appropriate, it should seek </w:t>
      </w:r>
      <w:r w:rsidR="00FC389B">
        <w:t>approval</w:t>
      </w:r>
      <w:r>
        <w:t xml:space="preserve"> from the Treasury Secretary to depart from the previously agreed WAM target, given her accountability for it.</w:t>
      </w:r>
    </w:p>
    <w:p w14:paraId="4BD7B821" w14:textId="585ACE65" w:rsidR="00896367" w:rsidRDefault="00896367" w:rsidP="008D5519">
      <w:pPr>
        <w:spacing w:line="276" w:lineRule="auto"/>
      </w:pPr>
      <w:r>
        <w:t xml:space="preserve">A refresh of the Memorandum of Understanding between the AOFM and Treasury is currently underway. The Review is supportive of that process. It should ensure that accountabilities and responsibilities are well </w:t>
      </w:r>
      <w:proofErr w:type="gramStart"/>
      <w:r>
        <w:t>understood</w:t>
      </w:r>
      <w:proofErr w:type="gramEnd"/>
      <w:r>
        <w:t xml:space="preserve"> and </w:t>
      </w:r>
      <w:r w:rsidR="00CC63E1">
        <w:t xml:space="preserve">service agreements are well specified. It should also </w:t>
      </w:r>
      <w:r>
        <w:t xml:space="preserve">incorporate the findings from the ANAO </w:t>
      </w:r>
      <w:r w:rsidR="00F946FD">
        <w:t>Performance Audit</w:t>
      </w:r>
      <w:r>
        <w:t xml:space="preserve"> of the AOFM in 2024. </w:t>
      </w:r>
    </w:p>
    <w:p w14:paraId="43564591" w14:textId="586CFF82" w:rsidR="00CC63E1" w:rsidRDefault="00CC63E1" w:rsidP="008D5519">
      <w:pPr>
        <w:spacing w:line="276" w:lineRule="auto"/>
      </w:pPr>
      <w:r>
        <w:t xml:space="preserve">The Review’s assessment is that adequate channels currently exist for AOFM officials to </w:t>
      </w:r>
      <w:r w:rsidR="00BA7089">
        <w:t>escalate concerns</w:t>
      </w:r>
      <w:r>
        <w:t xml:space="preserve">, including to senior Treasury officials where required. </w:t>
      </w:r>
      <w:r w:rsidR="00BA7089">
        <w:t xml:space="preserve">The AOFM has recently conducted an extensive program to ensure that AOFM staff are fully informed about these. </w:t>
      </w:r>
      <w:r w:rsidR="007C0B5C">
        <w:t>T</w:t>
      </w:r>
      <w:r>
        <w:t>he Review notes that opportunities exist for these channels to be made more accessible to a wider range of officials. For AOFM officials seeking to escalate grievances to Treasury, the current escalation channels are to senior Treasury officials. This may reduce their use by more junior AOFM officials who do not feel sufficiently empowered to approach senior Treasury officials with grievances.</w:t>
      </w:r>
    </w:p>
    <w:p w14:paraId="04EEBEA8" w14:textId="70ED02BA" w:rsidR="00896367" w:rsidRDefault="00896367" w:rsidP="008D5519">
      <w:pPr>
        <w:spacing w:line="276" w:lineRule="auto"/>
      </w:pPr>
      <w:r>
        <w:t xml:space="preserve">More generally, the Review believes that </w:t>
      </w:r>
      <w:r w:rsidR="00CF796A">
        <w:t xml:space="preserve">Treasury </w:t>
      </w:r>
      <w:r>
        <w:t xml:space="preserve">should </w:t>
      </w:r>
      <w:r w:rsidR="00CF796A">
        <w:t>make more use of AOFM expertise</w:t>
      </w:r>
      <w:r w:rsidR="00CC63E1">
        <w:t>,</w:t>
      </w:r>
      <w:r w:rsidR="00CC63E1" w:rsidRPr="00CC63E1">
        <w:t xml:space="preserve"> </w:t>
      </w:r>
      <w:r w:rsidR="00CC63E1">
        <w:t>particularly within Macroeconomic Group</w:t>
      </w:r>
      <w:r w:rsidR="00CF796A">
        <w:t xml:space="preserve">. </w:t>
      </w:r>
      <w:r w:rsidR="007A3D8A">
        <w:t>In the Review’s opinion, t</w:t>
      </w:r>
      <w:r>
        <w:t xml:space="preserve">he AOFM </w:t>
      </w:r>
      <w:r w:rsidR="004E3903">
        <w:t>is</w:t>
      </w:r>
      <w:r>
        <w:t xml:space="preserve"> overly </w:t>
      </w:r>
      <w:r w:rsidR="00CC63E1">
        <w:t>separate</w:t>
      </w:r>
      <w:r>
        <w:t xml:space="preserve"> from the broader Treasury environment</w:t>
      </w:r>
      <w:r w:rsidR="004E3903">
        <w:t xml:space="preserve">. </w:t>
      </w:r>
      <w:r>
        <w:t>Some degree of separation is appropriate as the AOFM is a semi-autonomous agency.</w:t>
      </w:r>
      <w:r w:rsidR="00473A7A">
        <w:t xml:space="preserve"> </w:t>
      </w:r>
      <w:r w:rsidR="00CB1C3D">
        <w:t>T</w:t>
      </w:r>
      <w:r>
        <w:t>here is an obvious analogy in the RBA’s interactions with Treasury. The Treasury and RBA have regular discussions around the economic conjuncture and outlook, as well as financial market developments. These discussions generate a highly beneficial exchange of information without comprising the independence of the RBA.</w:t>
      </w:r>
    </w:p>
    <w:p w14:paraId="12C74590" w14:textId="5864FC9C" w:rsidR="00896367" w:rsidRDefault="00896367" w:rsidP="008D5519">
      <w:pPr>
        <w:spacing w:line="276" w:lineRule="auto"/>
      </w:pPr>
      <w:r>
        <w:t>The AOFM considers current and expected financial and economic conditions in determining its issuance over the course of the year. That provides an opportunity for a regular exchange of views</w:t>
      </w:r>
      <w:r w:rsidR="00CB1C3D">
        <w:t xml:space="preserve"> with Treasury</w:t>
      </w:r>
      <w:r>
        <w:t xml:space="preserve">, not only at the senior level but also at a working level, without compromising the AOFM’s ability to decide its issuance within the parameters agreed in the Debt Management Strategy. </w:t>
      </w:r>
      <w:r w:rsidR="0054340E">
        <w:t>The Review notes that</w:t>
      </w:r>
      <w:r w:rsidR="00CF796A">
        <w:t xml:space="preserve"> FSR </w:t>
      </w:r>
      <w:r w:rsidR="0054340E">
        <w:t>produces</w:t>
      </w:r>
      <w:r w:rsidR="00CF796A">
        <w:t xml:space="preserve"> a weekly </w:t>
      </w:r>
      <w:r>
        <w:t>note</w:t>
      </w:r>
      <w:r w:rsidR="00CF796A">
        <w:t xml:space="preserve"> on market developments </w:t>
      </w:r>
      <w:r w:rsidR="000714F8">
        <w:t xml:space="preserve">that is circulated </w:t>
      </w:r>
      <w:r w:rsidR="00CF796A">
        <w:t xml:space="preserve">to </w:t>
      </w:r>
      <w:proofErr w:type="gramStart"/>
      <w:r w:rsidR="00CF796A">
        <w:t>a number of</w:t>
      </w:r>
      <w:proofErr w:type="gramEnd"/>
      <w:r w:rsidR="00CF796A">
        <w:t xml:space="preserve"> areas of Treasury</w:t>
      </w:r>
      <w:r w:rsidR="004C6C49">
        <w:t xml:space="preserve"> including</w:t>
      </w:r>
      <w:r w:rsidR="00921EDC">
        <w:t xml:space="preserve"> the Secretary and other senior officials</w:t>
      </w:r>
      <w:r w:rsidR="00CF796A">
        <w:t xml:space="preserve">. </w:t>
      </w:r>
      <w:r w:rsidR="00DA77F3">
        <w:t>That said</w:t>
      </w:r>
      <w:r w:rsidR="00473A7A">
        <w:t xml:space="preserve">, </w:t>
      </w:r>
      <w:r w:rsidR="00CF796A">
        <w:t xml:space="preserve">there is </w:t>
      </w:r>
      <w:r w:rsidR="000714F8">
        <w:t>greater</w:t>
      </w:r>
      <w:r w:rsidR="00CF796A">
        <w:t xml:space="preserve"> scope for Treasury to use</w:t>
      </w:r>
      <w:r>
        <w:t xml:space="preserve"> the AOFM</w:t>
      </w:r>
      <w:r w:rsidR="003C0623">
        <w:t>’s</w:t>
      </w:r>
      <w:r>
        <w:t xml:space="preserve"> expertise in financial markets and their knowledge from their daily interaction with markets</w:t>
      </w:r>
      <w:r w:rsidR="00CF796A">
        <w:t xml:space="preserve">. </w:t>
      </w:r>
    </w:p>
    <w:p w14:paraId="4986EA9B" w14:textId="4A041D23" w:rsidR="00CC63E1" w:rsidRDefault="00CC63E1" w:rsidP="008D5519">
      <w:pPr>
        <w:spacing w:line="276" w:lineRule="auto"/>
      </w:pPr>
      <w:r>
        <w:t>The Review’s assessment is that the AOFM plays an appropriate role in its external engagements. I</w:t>
      </w:r>
      <w:r w:rsidR="0054340E">
        <w:t>t</w:t>
      </w:r>
      <w:r>
        <w:t xml:space="preserve"> plays a leadership role across the state borrowing authorities while recognising that they </w:t>
      </w:r>
      <w:r w:rsidR="003C0623">
        <w:t>have</w:t>
      </w:r>
      <w:r>
        <w:t xml:space="preserve"> </w:t>
      </w:r>
      <w:r w:rsidR="00A56802">
        <w:t>independent</w:t>
      </w:r>
      <w:r>
        <w:t xml:space="preserve"> debt </w:t>
      </w:r>
      <w:r w:rsidR="003C0623">
        <w:t>programs</w:t>
      </w:r>
      <w:r>
        <w:t xml:space="preserve">. AGS are </w:t>
      </w:r>
      <w:r w:rsidR="00DA77F3">
        <w:t>often</w:t>
      </w:r>
      <w:r>
        <w:t xml:space="preserve"> the entry point for offshore investors into the Australian sovereign market, so the AOFM can and does play a leadership role in engaging with offshore investors</w:t>
      </w:r>
      <w:r w:rsidR="00AF5C08">
        <w:t>.</w:t>
      </w:r>
      <w:r>
        <w:t xml:space="preserve"> The AOFM could build on its position by providing a portal to a broader set of information about the Australian economy and debt markets on its website, so that offshore investors can find the relevant information in one location. Relatedly, some of the information on the AOFM’s website appears dated. </w:t>
      </w:r>
      <w:r w:rsidR="004962D7">
        <w:t>T</w:t>
      </w:r>
      <w:r>
        <w:t xml:space="preserve">he AOFM’s term premium estimate utilises work done in 2019. There has been a material amount of further research in the economic literature on this subject that the AOFM could draw on to </w:t>
      </w:r>
      <w:r w:rsidR="00526BF4">
        <w:t xml:space="preserve">complement </w:t>
      </w:r>
      <w:r>
        <w:t xml:space="preserve">its analysis of this variable which is an important input into its Strategy. This is the type of </w:t>
      </w:r>
      <w:r w:rsidR="00EF645C">
        <w:t xml:space="preserve">work </w:t>
      </w:r>
      <w:r>
        <w:t xml:space="preserve">that a </w:t>
      </w:r>
      <w:r w:rsidR="003250CA">
        <w:t>s</w:t>
      </w:r>
      <w:r>
        <w:t xml:space="preserve">trategy </w:t>
      </w:r>
      <w:r w:rsidR="003250CA">
        <w:t>research function</w:t>
      </w:r>
      <w:r>
        <w:t xml:space="preserve"> could be conducting and publishing on the AOFM website, further bolstering the AOFM’s reputation in the market.</w:t>
      </w:r>
    </w:p>
    <w:p w14:paraId="79A9A4BB" w14:textId="0D014201" w:rsidR="00CC63E1" w:rsidRPr="00221899" w:rsidRDefault="00CC63E1" w:rsidP="008D5519">
      <w:pPr>
        <w:spacing w:line="276" w:lineRule="auto"/>
      </w:pPr>
      <w:r>
        <w:t>Some</w:t>
      </w:r>
      <w:r w:rsidRPr="00221899">
        <w:t xml:space="preserve"> of </w:t>
      </w:r>
      <w:r w:rsidRPr="00C2198B">
        <w:t xml:space="preserve">the </w:t>
      </w:r>
      <w:r w:rsidR="006B6133" w:rsidRPr="00C2198B">
        <w:t>stakeholders</w:t>
      </w:r>
      <w:r w:rsidRPr="00C2198B">
        <w:t xml:space="preserve"> the Review spoke to </w:t>
      </w:r>
      <w:proofErr w:type="gramStart"/>
      <w:r w:rsidRPr="00C2198B">
        <w:t>suggested</w:t>
      </w:r>
      <w:proofErr w:type="gramEnd"/>
      <w:r w:rsidRPr="00C2198B">
        <w:t xml:space="preserve"> the publication of the Debt Management Strategy after the end of fiscal</w:t>
      </w:r>
      <w:r w:rsidRPr="00221899">
        <w:t xml:space="preserve"> year</w:t>
      </w:r>
      <w:r>
        <w:t xml:space="preserve"> to which it applies</w:t>
      </w:r>
      <w:r w:rsidRPr="00221899">
        <w:t xml:space="preserve">. </w:t>
      </w:r>
      <w:r>
        <w:t xml:space="preserve">The Review does not feel this is necessary. </w:t>
      </w:r>
      <w:r w:rsidRPr="00221899">
        <w:t xml:space="preserve">Much of the </w:t>
      </w:r>
      <w:r>
        <w:t>relevant content is in the public domain</w:t>
      </w:r>
      <w:r w:rsidRPr="00221899">
        <w:t xml:space="preserve"> in the </w:t>
      </w:r>
      <w:r>
        <w:t xml:space="preserve">AOFM’s </w:t>
      </w:r>
      <w:r w:rsidR="00A514A7">
        <w:t>A</w:t>
      </w:r>
      <w:r w:rsidRPr="00221899">
        <w:t xml:space="preserve">nnual </w:t>
      </w:r>
      <w:r w:rsidR="00A514A7">
        <w:t>R</w:t>
      </w:r>
      <w:r w:rsidRPr="00221899">
        <w:t>eport</w:t>
      </w:r>
      <w:r>
        <w:t xml:space="preserve"> and in the CEO’s speeches</w:t>
      </w:r>
      <w:r w:rsidRPr="00221899">
        <w:t xml:space="preserve">. </w:t>
      </w:r>
      <w:r>
        <w:t xml:space="preserve">That said, the </w:t>
      </w:r>
      <w:r w:rsidRPr="00221899">
        <w:t xml:space="preserve">AOFM </w:t>
      </w:r>
      <w:r>
        <w:t>could</w:t>
      </w:r>
      <w:r w:rsidRPr="00221899">
        <w:t xml:space="preserve"> </w:t>
      </w:r>
      <w:r w:rsidR="00A514A7">
        <w:t>consider whether</w:t>
      </w:r>
      <w:r w:rsidRPr="00221899">
        <w:t xml:space="preserve"> more non-market</w:t>
      </w:r>
      <w:r>
        <w:t>-</w:t>
      </w:r>
      <w:r w:rsidRPr="00221899">
        <w:t xml:space="preserve">sensitive material </w:t>
      </w:r>
      <w:r w:rsidR="008438F1">
        <w:t xml:space="preserve">regarding the Strategy </w:t>
      </w:r>
      <w:r w:rsidRPr="00221899">
        <w:t xml:space="preserve">could be </w:t>
      </w:r>
      <w:r w:rsidR="00990F8A">
        <w:t>provided on its website</w:t>
      </w:r>
      <w:r w:rsidRPr="00221899">
        <w:t xml:space="preserve">. </w:t>
      </w:r>
    </w:p>
    <w:p w14:paraId="0FA7AC97" w14:textId="123FB8FE" w:rsidR="00CC63E1" w:rsidRDefault="00CC63E1" w:rsidP="008D5519">
      <w:pPr>
        <w:spacing w:line="276" w:lineRule="auto"/>
      </w:pPr>
      <w:r>
        <w:t xml:space="preserve">In terms of broader leadership in the Australian bond market, the AOFM has also taken a prominent role in issues such as adapting its indexed bond program to incorporate the new monthly CPI, as well as </w:t>
      </w:r>
      <w:r w:rsidR="00990F8A">
        <w:t xml:space="preserve">developing a </w:t>
      </w:r>
      <w:r>
        <w:t xml:space="preserve">standardised template for reporting bond market turnover. It plays a constructive role on the relevant AFMA </w:t>
      </w:r>
      <w:r w:rsidR="00D723D8">
        <w:t>committees</w:t>
      </w:r>
      <w:r>
        <w:t xml:space="preserve"> that address issues relevant to the bond market. It brings its expertise to bear without straying into advocacy. </w:t>
      </w:r>
    </w:p>
    <w:p w14:paraId="2D91377F" w14:textId="09249351" w:rsidR="00BA077F" w:rsidRDefault="00BA077F" w:rsidP="00BA077F">
      <w:pPr>
        <w:pStyle w:val="Heading1"/>
      </w:pPr>
      <w:bookmarkStart w:id="47" w:name="_Toc227237305"/>
      <w:bookmarkStart w:id="48" w:name="_Toc227313957"/>
      <w:r>
        <w:t>Conclusion</w:t>
      </w:r>
      <w:bookmarkEnd w:id="47"/>
      <w:bookmarkEnd w:id="48"/>
      <w:r>
        <w:t xml:space="preserve"> </w:t>
      </w:r>
    </w:p>
    <w:p w14:paraId="516A5F40" w14:textId="2BD34503" w:rsidR="00490EE9" w:rsidRDefault="00BA077F" w:rsidP="00BA077F">
      <w:pPr>
        <w:pStyle w:val="Bullet"/>
        <w:numPr>
          <w:ilvl w:val="0"/>
          <w:numId w:val="0"/>
        </w:numPr>
      </w:pPr>
      <w:r>
        <w:t xml:space="preserve">The Review’s assessment is that the AOFM </w:t>
      </w:r>
      <w:r w:rsidR="00F25A4E">
        <w:t>is delivering its core functions</w:t>
      </w:r>
      <w:r w:rsidR="007918D7">
        <w:t xml:space="preserve"> capably</w:t>
      </w:r>
      <w:r w:rsidR="00F25A4E">
        <w:t>. The debt program</w:t>
      </w:r>
      <w:r w:rsidR="00DE7CB0">
        <w:t xml:space="preserve"> i</w:t>
      </w:r>
      <w:r w:rsidR="002F0E02">
        <w:t xml:space="preserve">s achieving </w:t>
      </w:r>
      <w:r w:rsidR="007918D7">
        <w:t>low-cost</w:t>
      </w:r>
      <w:r w:rsidR="002F0E02">
        <w:t xml:space="preserve"> issuance while also delivering on the AOFM’s broader market </w:t>
      </w:r>
      <w:r w:rsidR="000C37A0">
        <w:t>objectives.</w:t>
      </w:r>
      <w:r w:rsidR="00036DDE">
        <w:t xml:space="preserve"> T</w:t>
      </w:r>
      <w:r w:rsidR="000C37A0">
        <w:t xml:space="preserve">he Review has </w:t>
      </w:r>
      <w:proofErr w:type="gramStart"/>
      <w:r w:rsidR="000C37A0">
        <w:t>a number of</w:t>
      </w:r>
      <w:proofErr w:type="gramEnd"/>
      <w:r w:rsidR="000C37A0">
        <w:t xml:space="preserve"> recommendations </w:t>
      </w:r>
      <w:r w:rsidR="00DE7CB0">
        <w:t xml:space="preserve">to ensure the current high standard of execution is maintained in the future. </w:t>
      </w:r>
      <w:r w:rsidR="006C278A">
        <w:t xml:space="preserve">In particular, </w:t>
      </w:r>
      <w:r w:rsidR="00BF00BF">
        <w:t>the Review recommends that the AOFM bolster</w:t>
      </w:r>
      <w:r w:rsidR="00DE4374">
        <w:t>s</w:t>
      </w:r>
      <w:r w:rsidR="00BF00BF">
        <w:t xml:space="preserve"> its internal </w:t>
      </w:r>
      <w:r w:rsidR="00581CB0">
        <w:t xml:space="preserve">challenge </w:t>
      </w:r>
      <w:r w:rsidR="00BF00BF">
        <w:t xml:space="preserve">capacity </w:t>
      </w:r>
      <w:r w:rsidR="00A565DD">
        <w:t>and</w:t>
      </w:r>
      <w:r w:rsidR="006B31C4">
        <w:t xml:space="preserve"> recommends that the AOFM Advisory Board </w:t>
      </w:r>
      <w:r w:rsidR="007A2FEB">
        <w:t xml:space="preserve">is more involved in all aspects of the AOFM’s Debt Management Strategy. </w:t>
      </w:r>
    </w:p>
    <w:p w14:paraId="1F01BE57" w14:textId="4624F863" w:rsidR="00117248" w:rsidRDefault="00117248">
      <w:pPr>
        <w:spacing w:before="0" w:after="160" w:line="259" w:lineRule="auto"/>
      </w:pPr>
      <w:r>
        <w:br w:type="page"/>
      </w:r>
    </w:p>
    <w:p w14:paraId="06FE94F3" w14:textId="77777777" w:rsidR="00117248" w:rsidRDefault="00117248" w:rsidP="00117248">
      <w:pPr>
        <w:pStyle w:val="Heading1"/>
      </w:pPr>
      <w:bookmarkStart w:id="49" w:name="_Toc227237306"/>
      <w:bookmarkStart w:id="50" w:name="_Toc227313958"/>
      <w:r>
        <w:t>Appendix</w:t>
      </w:r>
      <w:bookmarkEnd w:id="49"/>
      <w:bookmarkEnd w:id="50"/>
    </w:p>
    <w:p w14:paraId="682C5242" w14:textId="0FEA34CC" w:rsidR="00117248" w:rsidRPr="00A67B95" w:rsidRDefault="00117248" w:rsidP="00A67B95">
      <w:pPr>
        <w:pStyle w:val="Heading2"/>
        <w:rPr>
          <w:sz w:val="22"/>
          <w:szCs w:val="18"/>
        </w:rPr>
      </w:pPr>
      <w:bookmarkStart w:id="51" w:name="_Toc227237307"/>
      <w:bookmarkStart w:id="52" w:name="_Toc227313959"/>
      <w:r w:rsidRPr="00A67B95">
        <w:rPr>
          <w:sz w:val="22"/>
          <w:szCs w:val="18"/>
        </w:rPr>
        <w:t>Appendix 1</w:t>
      </w:r>
      <w:r w:rsidR="00F77A24" w:rsidRPr="00A67B95">
        <w:rPr>
          <w:sz w:val="22"/>
          <w:szCs w:val="18"/>
        </w:rPr>
        <w:t>:</w:t>
      </w:r>
      <w:r w:rsidRPr="00A67B95">
        <w:rPr>
          <w:sz w:val="22"/>
          <w:szCs w:val="18"/>
        </w:rPr>
        <w:t xml:space="preserve"> AOFM Organisation Chart</w:t>
      </w:r>
      <w:bookmarkEnd w:id="51"/>
      <w:bookmarkEnd w:id="52"/>
    </w:p>
    <w:p w14:paraId="1359B7FF" w14:textId="0FF17266" w:rsidR="00BA077F" w:rsidRDefault="00E8530B" w:rsidP="00CA1C1D">
      <w:pPr>
        <w:pStyle w:val="Bullet"/>
        <w:numPr>
          <w:ilvl w:val="0"/>
          <w:numId w:val="0"/>
        </w:numPr>
        <w:ind w:left="284" w:hanging="284"/>
      </w:pPr>
      <w:r w:rsidRPr="00E8530B">
        <w:rPr>
          <w:noProof/>
        </w:rPr>
        <w:drawing>
          <wp:inline distT="0" distB="0" distL="0" distR="0" wp14:anchorId="6C367353" wp14:editId="706F7FFF">
            <wp:extent cx="5760720" cy="3321685"/>
            <wp:effectExtent l="0" t="0" r="0" b="0"/>
            <wp:docPr id="1561754492" name="Picture 1" descr="This diagram shows the organisational structure for the AOFM. It is lead by the Chief Executive Officer who is supported by the Deputy Chief Executive Officer and the Chief Operating Officer. A senior executive assistant also supports the senior executives. 3 groups - Investor Relations; Funding, Strategy and Research; and Impact Investments are headed by the Deputy Chief Executive Officer. Projects; Middle Office; People; Operations Group and Data and Digital Solutions are headed by the Chief Operating Offi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754492" name="Picture 1" descr="This diagram shows the organisational structure for the AOFM. It is lead by the Chief Executive Officer who is supported by the Deputy Chief Executive Officer and the Chief Operating Officer. A senior executive assistant also supports the senior executives. 3 groups - Investor Relations; Funding, Strategy and Research; and Impact Investments are headed by the Deputy Chief Executive Officer. Projects; Middle Office; People; Operations Group and Data and Digital Solutions are headed by the Chief Operating Officer. "/>
                    <pic:cNvPicPr/>
                  </pic:nvPicPr>
                  <pic:blipFill>
                    <a:blip r:embed="rId32"/>
                    <a:stretch>
                      <a:fillRect/>
                    </a:stretch>
                  </pic:blipFill>
                  <pic:spPr>
                    <a:xfrm>
                      <a:off x="0" y="0"/>
                      <a:ext cx="5760720" cy="3321685"/>
                    </a:xfrm>
                    <a:prstGeom prst="rect">
                      <a:avLst/>
                    </a:prstGeom>
                  </pic:spPr>
                </pic:pic>
              </a:graphicData>
            </a:graphic>
          </wp:inline>
        </w:drawing>
      </w:r>
    </w:p>
    <w:p w14:paraId="29191071" w14:textId="58F4ACDB" w:rsidR="00FA1385" w:rsidRDefault="00FA1385" w:rsidP="00CA1C1D">
      <w:pPr>
        <w:pStyle w:val="Bullet"/>
        <w:numPr>
          <w:ilvl w:val="0"/>
          <w:numId w:val="0"/>
        </w:numPr>
        <w:ind w:left="284" w:hanging="284"/>
        <w:rPr>
          <w:i/>
          <w:iCs/>
        </w:rPr>
      </w:pPr>
      <w:r w:rsidRPr="00F102AD">
        <w:rPr>
          <w:i/>
          <w:iCs/>
        </w:rPr>
        <w:t>Source: AOFM</w:t>
      </w:r>
    </w:p>
    <w:p w14:paraId="5922D045" w14:textId="20193F33" w:rsidR="00EE52A7" w:rsidRDefault="00E8530B">
      <w:pPr>
        <w:spacing w:before="0" w:after="160" w:line="259" w:lineRule="auto"/>
        <w:rPr>
          <w:i/>
          <w:iCs/>
        </w:rPr>
      </w:pPr>
      <w:r>
        <w:rPr>
          <w:i/>
          <w:iCs/>
        </w:rPr>
        <w:br w:type="page"/>
      </w:r>
    </w:p>
    <w:p w14:paraId="4993E197" w14:textId="042ECA90" w:rsidR="00EE52A7" w:rsidRPr="00A67B95" w:rsidRDefault="00EE52A7" w:rsidP="00A67B95">
      <w:pPr>
        <w:pStyle w:val="Heading2"/>
        <w:rPr>
          <w:sz w:val="22"/>
          <w:szCs w:val="18"/>
        </w:rPr>
      </w:pPr>
      <w:bookmarkStart w:id="53" w:name="_Toc227237308"/>
      <w:bookmarkStart w:id="54" w:name="_Toc227313960"/>
      <w:r w:rsidRPr="00A67B95">
        <w:rPr>
          <w:sz w:val="22"/>
          <w:szCs w:val="18"/>
        </w:rPr>
        <w:t>Appendix 2</w:t>
      </w:r>
      <w:r w:rsidR="005B60E7" w:rsidRPr="00A67B95">
        <w:rPr>
          <w:sz w:val="22"/>
          <w:szCs w:val="18"/>
        </w:rPr>
        <w:t>:</w:t>
      </w:r>
      <w:r w:rsidRPr="00A67B95">
        <w:rPr>
          <w:sz w:val="22"/>
          <w:szCs w:val="18"/>
        </w:rPr>
        <w:t xml:space="preserve"> </w:t>
      </w:r>
      <w:r w:rsidR="004C1E21" w:rsidRPr="00A67B95">
        <w:rPr>
          <w:sz w:val="22"/>
          <w:szCs w:val="18"/>
        </w:rPr>
        <w:t>Comparative analysis of Debt Office Structures</w:t>
      </w:r>
      <w:bookmarkEnd w:id="53"/>
      <w:bookmarkEnd w:id="54"/>
    </w:p>
    <w:p w14:paraId="6616BB38" w14:textId="3A88F936" w:rsidR="00E8530B" w:rsidRPr="00E8530B" w:rsidRDefault="00E8530B" w:rsidP="00E8530B">
      <w:pPr>
        <w:rPr>
          <w:b/>
          <w:bCs/>
        </w:rPr>
      </w:pPr>
      <w:r w:rsidRPr="00E8530B">
        <w:rPr>
          <w:b/>
          <w:bCs/>
        </w:rPr>
        <w:t>International Debt Offices</w:t>
      </w:r>
    </w:p>
    <w:tbl>
      <w:tblPr>
        <w:tblStyle w:val="TableGrid"/>
        <w:tblW w:w="5235" w:type="pct"/>
        <w:tblLook w:val="04A0" w:firstRow="1" w:lastRow="0" w:firstColumn="1" w:lastColumn="0" w:noHBand="0" w:noVBand="1"/>
      </w:tblPr>
      <w:tblGrid>
        <w:gridCol w:w="1129"/>
        <w:gridCol w:w="1827"/>
        <w:gridCol w:w="2175"/>
        <w:gridCol w:w="2010"/>
        <w:gridCol w:w="2357"/>
      </w:tblGrid>
      <w:tr w:rsidR="00BC3B41" w:rsidRPr="00364146" w14:paraId="5AC973AB" w14:textId="77777777" w:rsidTr="000A3866">
        <w:trPr>
          <w:cnfStyle w:val="100000000000" w:firstRow="1" w:lastRow="0" w:firstColumn="0" w:lastColumn="0" w:oddVBand="0" w:evenVBand="0" w:oddHBand="0" w:evenHBand="0" w:firstRowFirstColumn="0" w:firstRowLastColumn="0" w:lastRowFirstColumn="0" w:lastRowLastColumn="0"/>
        </w:trPr>
        <w:tc>
          <w:tcPr>
            <w:tcW w:w="594" w:type="pct"/>
            <w:shd w:val="clear" w:color="auto" w:fill="2C384A" w:themeFill="accent1"/>
            <w:vAlign w:val="center"/>
            <w:hideMark/>
          </w:tcPr>
          <w:p w14:paraId="03A74C0C" w14:textId="77777777" w:rsidR="001B1648" w:rsidRPr="000220D3" w:rsidRDefault="001B1648">
            <w:pPr>
              <w:spacing w:after="160" w:line="259" w:lineRule="auto"/>
              <w:jc w:val="center"/>
              <w:rPr>
                <w:b w:val="0"/>
                <w:bCs/>
                <w:color w:val="FFFFFF" w:themeColor="background1"/>
              </w:rPr>
            </w:pPr>
            <w:r w:rsidRPr="000220D3">
              <w:rPr>
                <w:bCs/>
                <w:color w:val="FFFFFF" w:themeColor="background1"/>
              </w:rPr>
              <w:t>Dimension</w:t>
            </w:r>
          </w:p>
        </w:tc>
        <w:tc>
          <w:tcPr>
            <w:tcW w:w="962" w:type="pct"/>
            <w:shd w:val="clear" w:color="auto" w:fill="2C384A" w:themeFill="accent1"/>
            <w:vAlign w:val="center"/>
            <w:hideMark/>
          </w:tcPr>
          <w:p w14:paraId="441D1BAF" w14:textId="77777777" w:rsidR="001B1648" w:rsidRPr="000220D3" w:rsidRDefault="001B1648">
            <w:pPr>
              <w:spacing w:after="160" w:line="259" w:lineRule="auto"/>
              <w:jc w:val="center"/>
              <w:rPr>
                <w:b w:val="0"/>
                <w:bCs/>
                <w:color w:val="FFFFFF" w:themeColor="background1"/>
              </w:rPr>
            </w:pPr>
            <w:r w:rsidRPr="000220D3">
              <w:rPr>
                <w:bCs/>
                <w:color w:val="FFFFFF" w:themeColor="background1"/>
              </w:rPr>
              <w:t>Australian Office of Financial Management (AOFM)</w:t>
            </w:r>
            <w:r w:rsidRPr="000220D3">
              <w:rPr>
                <w:rStyle w:val="FootnoteReference"/>
                <w:bCs/>
                <w:color w:val="FFFFFF" w:themeColor="background1"/>
                <w:vertAlign w:val="superscript"/>
              </w:rPr>
              <w:footnoteReference w:id="19"/>
            </w:r>
          </w:p>
        </w:tc>
        <w:tc>
          <w:tcPr>
            <w:tcW w:w="1145" w:type="pct"/>
            <w:shd w:val="clear" w:color="auto" w:fill="2C384A" w:themeFill="accent1"/>
            <w:vAlign w:val="center"/>
            <w:hideMark/>
          </w:tcPr>
          <w:p w14:paraId="2BBBF2AD" w14:textId="77777777" w:rsidR="001B1648" w:rsidRPr="000220D3" w:rsidRDefault="001B1648">
            <w:pPr>
              <w:spacing w:after="160" w:line="259" w:lineRule="auto"/>
              <w:jc w:val="center"/>
              <w:rPr>
                <w:b w:val="0"/>
                <w:bCs/>
                <w:color w:val="FFFFFF" w:themeColor="background1"/>
              </w:rPr>
            </w:pPr>
            <w:r w:rsidRPr="000220D3">
              <w:rPr>
                <w:bCs/>
                <w:color w:val="FFFFFF" w:themeColor="background1"/>
              </w:rPr>
              <w:t>New Zealand Debt Management</w:t>
            </w:r>
            <w:r w:rsidRPr="000220D3">
              <w:rPr>
                <w:rStyle w:val="FootnoteReference"/>
                <w:bCs/>
                <w:color w:val="FFFFFF" w:themeColor="background1"/>
                <w:vertAlign w:val="superscript"/>
              </w:rPr>
              <w:footnoteReference w:id="20"/>
            </w:r>
          </w:p>
        </w:tc>
        <w:tc>
          <w:tcPr>
            <w:tcW w:w="1058" w:type="pct"/>
            <w:shd w:val="clear" w:color="auto" w:fill="2C384A" w:themeFill="accent1"/>
            <w:vAlign w:val="center"/>
            <w:hideMark/>
          </w:tcPr>
          <w:p w14:paraId="6459921D" w14:textId="77777777" w:rsidR="001B1648" w:rsidRPr="000220D3" w:rsidRDefault="001B1648">
            <w:pPr>
              <w:spacing w:after="160" w:line="259" w:lineRule="auto"/>
              <w:jc w:val="center"/>
              <w:rPr>
                <w:b w:val="0"/>
                <w:bCs/>
                <w:color w:val="FFFFFF" w:themeColor="background1"/>
              </w:rPr>
            </w:pPr>
            <w:r w:rsidRPr="000220D3">
              <w:rPr>
                <w:bCs/>
                <w:color w:val="FFFFFF" w:themeColor="background1"/>
              </w:rPr>
              <w:t>Government of Canada Debt Program</w:t>
            </w:r>
            <w:r w:rsidRPr="000220D3">
              <w:rPr>
                <w:rStyle w:val="FootnoteReference"/>
                <w:bCs/>
                <w:color w:val="FFFFFF" w:themeColor="background1"/>
                <w:vertAlign w:val="superscript"/>
              </w:rPr>
              <w:footnoteReference w:id="21"/>
            </w:r>
          </w:p>
        </w:tc>
        <w:tc>
          <w:tcPr>
            <w:tcW w:w="1241" w:type="pct"/>
            <w:shd w:val="clear" w:color="auto" w:fill="2C384A" w:themeFill="accent1"/>
            <w:vAlign w:val="center"/>
          </w:tcPr>
          <w:p w14:paraId="5B47565F" w14:textId="77777777" w:rsidR="001B1648" w:rsidRPr="000220D3" w:rsidRDefault="001B1648">
            <w:pPr>
              <w:jc w:val="center"/>
              <w:rPr>
                <w:b w:val="0"/>
                <w:bCs/>
                <w:color w:val="FFFFFF" w:themeColor="background1"/>
              </w:rPr>
            </w:pPr>
            <w:r w:rsidRPr="000220D3">
              <w:rPr>
                <w:bCs/>
                <w:color w:val="FFFFFF" w:themeColor="background1"/>
              </w:rPr>
              <w:t>United Kingdom Debt Management Office</w:t>
            </w:r>
            <w:r w:rsidRPr="000220D3">
              <w:rPr>
                <w:rStyle w:val="FootnoteReference"/>
                <w:bCs/>
                <w:color w:val="FFFFFF" w:themeColor="background1"/>
                <w:vertAlign w:val="superscript"/>
              </w:rPr>
              <w:footnoteReference w:id="22"/>
            </w:r>
          </w:p>
        </w:tc>
      </w:tr>
      <w:tr w:rsidR="001B1648" w:rsidRPr="00364146" w14:paraId="25AEB1FD" w14:textId="77777777" w:rsidTr="000A3866">
        <w:trPr>
          <w:trHeight w:val="229"/>
        </w:trPr>
        <w:tc>
          <w:tcPr>
            <w:tcW w:w="594" w:type="pct"/>
            <w:shd w:val="clear" w:color="auto" w:fill="9CACC4" w:themeFill="accent1" w:themeFillTint="66"/>
            <w:vAlign w:val="center"/>
            <w:hideMark/>
          </w:tcPr>
          <w:p w14:paraId="7D675C4E" w14:textId="77777777" w:rsidR="001B1648" w:rsidRPr="00364146" w:rsidRDefault="001B1648">
            <w:pPr>
              <w:jc w:val="center"/>
              <w:rPr>
                <w:b/>
                <w:bCs/>
              </w:rPr>
            </w:pPr>
            <w:r w:rsidRPr="00364146">
              <w:rPr>
                <w:b/>
                <w:bCs/>
              </w:rPr>
              <w:t>Institutional location</w:t>
            </w:r>
          </w:p>
        </w:tc>
        <w:tc>
          <w:tcPr>
            <w:tcW w:w="962" w:type="pct"/>
            <w:shd w:val="clear" w:color="auto" w:fill="EEEEEE" w:themeFill="background2"/>
            <w:vAlign w:val="center"/>
            <w:hideMark/>
          </w:tcPr>
          <w:p w14:paraId="014D1FD7" w14:textId="5E4302EF" w:rsidR="001B1648" w:rsidRPr="00364146" w:rsidRDefault="001B1648">
            <w:pPr>
              <w:jc w:val="center"/>
            </w:pPr>
            <w:r w:rsidRPr="00364146">
              <w:t>Non</w:t>
            </w:r>
            <w:r w:rsidRPr="00364146">
              <w:noBreakHyphen/>
              <w:t>corporate Commonwealth entity within Treasury under the PGPA Act</w:t>
            </w:r>
            <w:r w:rsidR="00765FCA">
              <w:t>.</w:t>
            </w:r>
          </w:p>
        </w:tc>
        <w:tc>
          <w:tcPr>
            <w:tcW w:w="1145" w:type="pct"/>
            <w:shd w:val="clear" w:color="auto" w:fill="EEEEEE" w:themeFill="background2"/>
            <w:vAlign w:val="center"/>
            <w:hideMark/>
          </w:tcPr>
          <w:p w14:paraId="06CB2631" w14:textId="0F99BCBE" w:rsidR="001B1648" w:rsidRPr="00364146" w:rsidRDefault="001B1648">
            <w:pPr>
              <w:jc w:val="center"/>
            </w:pPr>
            <w:r w:rsidRPr="00364146">
              <w:t>Function of the New</w:t>
            </w:r>
            <w:r w:rsidRPr="00364146">
              <w:rPr>
                <w:rFonts w:ascii="Arial" w:hAnsi="Arial" w:cs="Arial"/>
              </w:rPr>
              <w:t> </w:t>
            </w:r>
            <w:r w:rsidRPr="00364146">
              <w:t>Zealand Treasury</w:t>
            </w:r>
            <w:r w:rsidR="00765FCA">
              <w:t>.</w:t>
            </w:r>
          </w:p>
        </w:tc>
        <w:tc>
          <w:tcPr>
            <w:tcW w:w="1058" w:type="pct"/>
            <w:shd w:val="clear" w:color="auto" w:fill="EEEEEE" w:themeFill="background2"/>
            <w:vAlign w:val="center"/>
            <w:hideMark/>
          </w:tcPr>
          <w:p w14:paraId="3A84EA49" w14:textId="461CDA5F" w:rsidR="001B1648" w:rsidRPr="00364146" w:rsidRDefault="00C572D4">
            <w:pPr>
              <w:jc w:val="center"/>
            </w:pPr>
            <w:r>
              <w:t xml:space="preserve">Function of </w:t>
            </w:r>
            <w:r w:rsidR="001B1648" w:rsidRPr="00364146">
              <w:t>Department of Finance Canada</w:t>
            </w:r>
            <w:r w:rsidR="00765FCA">
              <w:t>.</w:t>
            </w:r>
          </w:p>
        </w:tc>
        <w:tc>
          <w:tcPr>
            <w:tcW w:w="1241" w:type="pct"/>
            <w:shd w:val="clear" w:color="auto" w:fill="EEEEEE" w:themeFill="background2"/>
            <w:vAlign w:val="center"/>
          </w:tcPr>
          <w:p w14:paraId="181CD89D" w14:textId="29D21AF4" w:rsidR="001B1648" w:rsidRPr="00364146" w:rsidRDefault="001B1648">
            <w:pPr>
              <w:jc w:val="center"/>
            </w:pPr>
            <w:r>
              <w:t>Executive Agency of HM Treasury</w:t>
            </w:r>
            <w:r w:rsidR="00765FCA">
              <w:t>.</w:t>
            </w:r>
          </w:p>
        </w:tc>
      </w:tr>
      <w:tr w:rsidR="001B1648" w:rsidRPr="00364146" w14:paraId="0F6AA5F6" w14:textId="77777777" w:rsidTr="000A3866">
        <w:tc>
          <w:tcPr>
            <w:tcW w:w="594" w:type="pct"/>
            <w:shd w:val="clear" w:color="auto" w:fill="9CACC4" w:themeFill="accent1" w:themeFillTint="66"/>
            <w:vAlign w:val="center"/>
            <w:hideMark/>
          </w:tcPr>
          <w:p w14:paraId="39EEFE2B" w14:textId="77777777" w:rsidR="001B1648" w:rsidRPr="00364146" w:rsidRDefault="001B1648">
            <w:pPr>
              <w:jc w:val="center"/>
              <w:rPr>
                <w:b/>
                <w:bCs/>
              </w:rPr>
            </w:pPr>
            <w:r w:rsidRPr="00364146">
              <w:rPr>
                <w:b/>
                <w:bCs/>
              </w:rPr>
              <w:t>Governance</w:t>
            </w:r>
          </w:p>
        </w:tc>
        <w:tc>
          <w:tcPr>
            <w:tcW w:w="962" w:type="pct"/>
            <w:shd w:val="clear" w:color="auto" w:fill="EEEEEE" w:themeFill="background2"/>
            <w:vAlign w:val="center"/>
            <w:hideMark/>
          </w:tcPr>
          <w:p w14:paraId="2099877F" w14:textId="7070425A" w:rsidR="001B1648" w:rsidRPr="00364146" w:rsidRDefault="001B1648">
            <w:pPr>
              <w:jc w:val="center"/>
            </w:pPr>
            <w:r w:rsidRPr="00364146">
              <w:t>CEO</w:t>
            </w:r>
            <w:r w:rsidRPr="00364146">
              <w:noBreakHyphen/>
              <w:t xml:space="preserve">led </w:t>
            </w:r>
            <w:proofErr w:type="gramStart"/>
            <w:r>
              <w:t xml:space="preserve">Agency </w:t>
            </w:r>
            <w:r w:rsidRPr="00364146">
              <w:t xml:space="preserve"> accountable</w:t>
            </w:r>
            <w:proofErr w:type="gramEnd"/>
            <w:r w:rsidRPr="00364146">
              <w:t xml:space="preserve"> to </w:t>
            </w:r>
            <w:r w:rsidR="00D437B7">
              <w:t xml:space="preserve">the </w:t>
            </w:r>
            <w:r w:rsidRPr="00364146">
              <w:t xml:space="preserve">Treasurer and Secretary to the Treasury; independent </w:t>
            </w:r>
            <w:r w:rsidRPr="00905D8E">
              <w:t>Advisory Board</w:t>
            </w:r>
            <w:r w:rsidR="00765FCA">
              <w:t>.</w:t>
            </w:r>
          </w:p>
        </w:tc>
        <w:tc>
          <w:tcPr>
            <w:tcW w:w="1145" w:type="pct"/>
            <w:shd w:val="clear" w:color="auto" w:fill="EEEEEE" w:themeFill="background2"/>
            <w:vAlign w:val="center"/>
            <w:hideMark/>
          </w:tcPr>
          <w:p w14:paraId="3CEFDEBD" w14:textId="2920B9A9" w:rsidR="001B1648" w:rsidRPr="00364146" w:rsidRDefault="001B1648">
            <w:pPr>
              <w:jc w:val="center"/>
            </w:pPr>
            <w:r w:rsidRPr="00364146">
              <w:t>Direct Treasury control; oversight via Treasury Executive Leadership with external challenge from the Capital Markets Advisory Committee</w:t>
            </w:r>
            <w:r w:rsidR="00765FCA">
              <w:t>.</w:t>
            </w:r>
          </w:p>
        </w:tc>
        <w:tc>
          <w:tcPr>
            <w:tcW w:w="1058" w:type="pct"/>
            <w:shd w:val="clear" w:color="auto" w:fill="EEEEEE" w:themeFill="background2"/>
            <w:vAlign w:val="center"/>
            <w:hideMark/>
          </w:tcPr>
          <w:p w14:paraId="5940DD10" w14:textId="77777777" w:rsidR="001B1648" w:rsidRPr="00364146" w:rsidRDefault="001B1648">
            <w:pPr>
              <w:jc w:val="center"/>
            </w:pPr>
            <w:r w:rsidRPr="00364146">
              <w:t>Minister of Finance responsible for debt management; no separate debt agency board</w:t>
            </w:r>
            <w:r w:rsidRPr="00905D8E">
              <w:t>.</w:t>
            </w:r>
          </w:p>
        </w:tc>
        <w:tc>
          <w:tcPr>
            <w:tcW w:w="1241" w:type="pct"/>
            <w:shd w:val="clear" w:color="auto" w:fill="EEEEEE" w:themeFill="background2"/>
            <w:vAlign w:val="center"/>
          </w:tcPr>
          <w:p w14:paraId="286D97F0" w14:textId="151C9987" w:rsidR="001B1648" w:rsidRPr="00545777" w:rsidRDefault="001B1648">
            <w:pPr>
              <w:jc w:val="center"/>
              <w:rPr>
                <w:color w:val="FF0000"/>
              </w:rPr>
            </w:pPr>
            <w:r w:rsidRPr="0013564E">
              <w:t xml:space="preserve">Policy and financial framework </w:t>
            </w:r>
            <w:r w:rsidR="00FF2258">
              <w:t xml:space="preserve">of DMO </w:t>
            </w:r>
            <w:r w:rsidRPr="0013564E">
              <w:t xml:space="preserve">determined by the Chancellor of the Exchequer, </w:t>
            </w:r>
            <w:r w:rsidR="004148C5">
              <w:t xml:space="preserve">with operational decisions and day-to-day management </w:t>
            </w:r>
            <w:r w:rsidRPr="0013564E">
              <w:t>delegated to CEO; Advisory Board</w:t>
            </w:r>
            <w:r w:rsidR="00765FCA">
              <w:t>.</w:t>
            </w:r>
          </w:p>
        </w:tc>
      </w:tr>
      <w:tr w:rsidR="001B1648" w:rsidRPr="00364146" w14:paraId="5B15B86B" w14:textId="77777777" w:rsidTr="000A3866">
        <w:tc>
          <w:tcPr>
            <w:tcW w:w="594" w:type="pct"/>
            <w:shd w:val="clear" w:color="auto" w:fill="9CACC4" w:themeFill="accent1" w:themeFillTint="66"/>
            <w:vAlign w:val="center"/>
            <w:hideMark/>
          </w:tcPr>
          <w:p w14:paraId="096D84B2" w14:textId="77777777" w:rsidR="001B1648" w:rsidRPr="00364146" w:rsidRDefault="001B1648">
            <w:pPr>
              <w:jc w:val="center"/>
              <w:rPr>
                <w:b/>
                <w:bCs/>
              </w:rPr>
            </w:pPr>
            <w:r w:rsidRPr="00364146">
              <w:rPr>
                <w:b/>
                <w:bCs/>
              </w:rPr>
              <w:t>Delegation &amp; authority</w:t>
            </w:r>
          </w:p>
        </w:tc>
        <w:tc>
          <w:tcPr>
            <w:tcW w:w="962" w:type="pct"/>
            <w:shd w:val="clear" w:color="auto" w:fill="EEEEEE" w:themeFill="background2"/>
            <w:vAlign w:val="center"/>
            <w:hideMark/>
          </w:tcPr>
          <w:p w14:paraId="4988483A" w14:textId="59979B64" w:rsidR="001B1648" w:rsidRPr="00364146" w:rsidRDefault="001B1648">
            <w:pPr>
              <w:jc w:val="center"/>
            </w:pPr>
            <w:r w:rsidRPr="00364146">
              <w:t>Issuance and risk authorities delegated by Treasurer; strategies approved by Secretary to the Treasury</w:t>
            </w:r>
            <w:r w:rsidR="00765FCA">
              <w:t>.</w:t>
            </w:r>
          </w:p>
        </w:tc>
        <w:tc>
          <w:tcPr>
            <w:tcW w:w="1145" w:type="pct"/>
            <w:shd w:val="clear" w:color="auto" w:fill="EEEEEE" w:themeFill="background2"/>
            <w:vAlign w:val="center"/>
            <w:hideMark/>
          </w:tcPr>
          <w:p w14:paraId="0C47AF51" w14:textId="2D428224" w:rsidR="001B1648" w:rsidRPr="00364146" w:rsidRDefault="001B1648">
            <w:pPr>
              <w:jc w:val="center"/>
            </w:pPr>
            <w:r w:rsidRPr="00364146">
              <w:t>Authority exercised directly under Treasury financial authorities</w:t>
            </w:r>
            <w:r w:rsidR="00765FCA">
              <w:t>.</w:t>
            </w:r>
          </w:p>
        </w:tc>
        <w:tc>
          <w:tcPr>
            <w:tcW w:w="1058" w:type="pct"/>
            <w:shd w:val="clear" w:color="auto" w:fill="EEEEEE" w:themeFill="background2"/>
            <w:vAlign w:val="center"/>
            <w:hideMark/>
          </w:tcPr>
          <w:p w14:paraId="351D6C86" w14:textId="3E5CD670" w:rsidR="001B1648" w:rsidRPr="00364146" w:rsidRDefault="001B1648">
            <w:pPr>
              <w:jc w:val="center"/>
            </w:pPr>
            <w:r>
              <w:t>A</w:t>
            </w:r>
            <w:r w:rsidRPr="00364146">
              <w:t>uthority</w:t>
            </w:r>
            <w:r>
              <w:t xml:space="preserve"> exercised</w:t>
            </w:r>
            <w:r w:rsidRPr="00364146">
              <w:t xml:space="preserve"> through Department of Finance</w:t>
            </w:r>
            <w:r w:rsidR="005756DE">
              <w:t>.</w:t>
            </w:r>
          </w:p>
        </w:tc>
        <w:tc>
          <w:tcPr>
            <w:tcW w:w="1241" w:type="pct"/>
            <w:shd w:val="clear" w:color="auto" w:fill="EEEEEE" w:themeFill="background2"/>
            <w:vAlign w:val="center"/>
          </w:tcPr>
          <w:p w14:paraId="44D93010" w14:textId="5834C8D8" w:rsidR="001B1648" w:rsidRPr="00545777" w:rsidRDefault="001B1648">
            <w:pPr>
              <w:jc w:val="center"/>
              <w:rPr>
                <w:color w:val="FF0000"/>
              </w:rPr>
            </w:pPr>
            <w:r w:rsidRPr="00D62CB4">
              <w:t>Annual financing remit determined by HM Treasury and executed by DMO</w:t>
            </w:r>
            <w:r w:rsidR="00765FCA">
              <w:t>.</w:t>
            </w:r>
          </w:p>
        </w:tc>
      </w:tr>
      <w:tr w:rsidR="001B1648" w:rsidRPr="00364146" w14:paraId="4C805208" w14:textId="77777777" w:rsidTr="000A3866">
        <w:tc>
          <w:tcPr>
            <w:tcW w:w="594" w:type="pct"/>
            <w:shd w:val="clear" w:color="auto" w:fill="9CACC4" w:themeFill="accent1" w:themeFillTint="66"/>
            <w:vAlign w:val="center"/>
            <w:hideMark/>
          </w:tcPr>
          <w:p w14:paraId="6B50BC35" w14:textId="77777777" w:rsidR="001B1648" w:rsidRPr="00364146" w:rsidRDefault="001B1648">
            <w:pPr>
              <w:jc w:val="center"/>
              <w:rPr>
                <w:b/>
                <w:bCs/>
              </w:rPr>
            </w:pPr>
            <w:r w:rsidRPr="00364146">
              <w:rPr>
                <w:b/>
                <w:bCs/>
              </w:rPr>
              <w:t>Debt strategy release (frequency)</w:t>
            </w:r>
          </w:p>
        </w:tc>
        <w:tc>
          <w:tcPr>
            <w:tcW w:w="962" w:type="pct"/>
            <w:shd w:val="clear" w:color="auto" w:fill="EEEEEE" w:themeFill="background2"/>
            <w:vAlign w:val="center"/>
            <w:hideMark/>
          </w:tcPr>
          <w:p w14:paraId="13512735" w14:textId="2FE88887" w:rsidR="001B1648" w:rsidRPr="00364146" w:rsidRDefault="00F34696">
            <w:pPr>
              <w:jc w:val="center"/>
            </w:pPr>
            <w:r>
              <w:t>A</w:t>
            </w:r>
            <w:r w:rsidR="001B1648" w:rsidRPr="00905D8E">
              <w:t xml:space="preserve">nnual Corporate Plan </w:t>
            </w:r>
            <w:r w:rsidR="006307C7">
              <w:t>published</w:t>
            </w:r>
            <w:r w:rsidR="001B1648" w:rsidRPr="00905D8E">
              <w:t xml:space="preserve"> </w:t>
            </w:r>
            <w:proofErr w:type="gramStart"/>
            <w:r w:rsidR="001B1648" w:rsidRPr="00905D8E">
              <w:t>on</w:t>
            </w:r>
            <w:r w:rsidR="006307C7">
              <w:t>line</w:t>
            </w:r>
            <w:r w:rsidR="001B1648" w:rsidRPr="00905D8E">
              <w:t>,</w:t>
            </w:r>
            <w:proofErr w:type="gramEnd"/>
            <w:r w:rsidR="001B1648" w:rsidRPr="00905D8E">
              <w:t xml:space="preserve"> </w:t>
            </w:r>
            <w:r w:rsidR="001B1648" w:rsidRPr="00364146">
              <w:t xml:space="preserve">Annual </w:t>
            </w:r>
            <w:r w:rsidR="001B1648" w:rsidRPr="00905D8E">
              <w:t>D</w:t>
            </w:r>
            <w:r w:rsidR="001B1648" w:rsidRPr="00364146">
              <w:t xml:space="preserve">ebt </w:t>
            </w:r>
            <w:r w:rsidR="001B1648" w:rsidRPr="00905D8E">
              <w:t>M</w:t>
            </w:r>
            <w:r w:rsidR="001B1648" w:rsidRPr="00364146">
              <w:t xml:space="preserve">anagement </w:t>
            </w:r>
            <w:r w:rsidR="001B1648" w:rsidRPr="00905D8E">
              <w:t>S</w:t>
            </w:r>
            <w:r w:rsidR="001B1648" w:rsidRPr="00364146">
              <w:t xml:space="preserve">trategy </w:t>
            </w:r>
            <w:r w:rsidR="001B1648" w:rsidRPr="00905D8E">
              <w:t>internal</w:t>
            </w:r>
            <w:r w:rsidR="001B1648">
              <w:t>.</w:t>
            </w:r>
          </w:p>
        </w:tc>
        <w:tc>
          <w:tcPr>
            <w:tcW w:w="1145" w:type="pct"/>
            <w:shd w:val="clear" w:color="auto" w:fill="EEEEEE" w:themeFill="background2"/>
            <w:vAlign w:val="center"/>
            <w:hideMark/>
          </w:tcPr>
          <w:p w14:paraId="2B59C9BD" w14:textId="431F7199" w:rsidR="001B1648" w:rsidRPr="00364146" w:rsidRDefault="001B1648">
            <w:pPr>
              <w:jc w:val="center"/>
            </w:pPr>
            <w:r w:rsidRPr="00905D8E">
              <w:t>Securities Funding Strategy available online and updated at least biannually</w:t>
            </w:r>
            <w:r w:rsidR="006307C7">
              <w:t>.</w:t>
            </w:r>
          </w:p>
        </w:tc>
        <w:tc>
          <w:tcPr>
            <w:tcW w:w="1058" w:type="pct"/>
            <w:shd w:val="clear" w:color="auto" w:fill="EEEEEE" w:themeFill="background2"/>
            <w:vAlign w:val="center"/>
            <w:hideMark/>
          </w:tcPr>
          <w:p w14:paraId="2E9D14F4" w14:textId="059F46E7" w:rsidR="001B1648" w:rsidRPr="00364146" w:rsidRDefault="001B1648">
            <w:pPr>
              <w:jc w:val="center"/>
            </w:pPr>
            <w:r w:rsidRPr="00364146">
              <w:t>Annual Debt Management Strategy released with the Budget (or fiscal plan) for the coming fiscal year</w:t>
            </w:r>
            <w:r w:rsidR="006307C7">
              <w:t>.</w:t>
            </w:r>
          </w:p>
        </w:tc>
        <w:tc>
          <w:tcPr>
            <w:tcW w:w="1241" w:type="pct"/>
            <w:shd w:val="clear" w:color="auto" w:fill="EEEEEE" w:themeFill="background2"/>
            <w:vAlign w:val="center"/>
          </w:tcPr>
          <w:p w14:paraId="5B399E72" w14:textId="77777777" w:rsidR="001B1648" w:rsidRPr="00364146" w:rsidRDefault="001B1648">
            <w:pPr>
              <w:jc w:val="center"/>
            </w:pPr>
            <w:r>
              <w:t xml:space="preserve">Annual remits published in the Debt Management Report prior to the start of the financial year. </w:t>
            </w:r>
          </w:p>
        </w:tc>
      </w:tr>
      <w:tr w:rsidR="001B1648" w:rsidRPr="00364146" w14:paraId="5CA96C9A" w14:textId="77777777" w:rsidTr="000A3866">
        <w:tc>
          <w:tcPr>
            <w:tcW w:w="594" w:type="pct"/>
            <w:shd w:val="clear" w:color="auto" w:fill="9CACC4" w:themeFill="accent1" w:themeFillTint="66"/>
            <w:vAlign w:val="center"/>
            <w:hideMark/>
          </w:tcPr>
          <w:p w14:paraId="71D7D5D8" w14:textId="77777777" w:rsidR="001B1648" w:rsidRPr="00364146" w:rsidRDefault="001B1648">
            <w:pPr>
              <w:jc w:val="center"/>
              <w:rPr>
                <w:b/>
                <w:bCs/>
              </w:rPr>
            </w:pPr>
            <w:r w:rsidRPr="00364146">
              <w:rPr>
                <w:b/>
                <w:bCs/>
              </w:rPr>
              <w:t>In</w:t>
            </w:r>
            <w:r w:rsidRPr="00364146">
              <w:rPr>
                <w:b/>
                <w:bCs/>
              </w:rPr>
              <w:noBreakHyphen/>
              <w:t>year updates to borrowing programme</w:t>
            </w:r>
          </w:p>
        </w:tc>
        <w:tc>
          <w:tcPr>
            <w:tcW w:w="962" w:type="pct"/>
            <w:shd w:val="clear" w:color="auto" w:fill="EEEEEE" w:themeFill="background2"/>
            <w:vAlign w:val="center"/>
            <w:hideMark/>
          </w:tcPr>
          <w:p w14:paraId="0033B09D" w14:textId="67B6DB6A" w:rsidR="001B1648" w:rsidRPr="00364146" w:rsidRDefault="001B1648">
            <w:pPr>
              <w:jc w:val="center"/>
            </w:pPr>
            <w:r w:rsidRPr="00905D8E">
              <w:t>C</w:t>
            </w:r>
            <w:r w:rsidRPr="00364146">
              <w:t>hanges communicated via tenders, market announcements, or syndications</w:t>
            </w:r>
            <w:r w:rsidR="00F34696">
              <w:t>.</w:t>
            </w:r>
          </w:p>
        </w:tc>
        <w:tc>
          <w:tcPr>
            <w:tcW w:w="1145" w:type="pct"/>
            <w:shd w:val="clear" w:color="auto" w:fill="EEEEEE" w:themeFill="background2"/>
            <w:vAlign w:val="center"/>
            <w:hideMark/>
          </w:tcPr>
          <w:p w14:paraId="5A0B354D" w14:textId="139455BC" w:rsidR="001B1648" w:rsidRPr="00364146" w:rsidRDefault="001B1648">
            <w:pPr>
              <w:jc w:val="center"/>
            </w:pPr>
            <w:r w:rsidRPr="00364146">
              <w:t xml:space="preserve">Formal borrowing programme updates at </w:t>
            </w:r>
            <w:r w:rsidRPr="00905D8E">
              <w:t xml:space="preserve">Half Year Economic and Fiscal Update </w:t>
            </w:r>
            <w:r w:rsidRPr="00364146">
              <w:t>reflecting revised fiscal outlook</w:t>
            </w:r>
            <w:r w:rsidR="00F34696">
              <w:t>.</w:t>
            </w:r>
          </w:p>
        </w:tc>
        <w:tc>
          <w:tcPr>
            <w:tcW w:w="1058" w:type="pct"/>
            <w:shd w:val="clear" w:color="auto" w:fill="EEEEEE" w:themeFill="background2"/>
            <w:vAlign w:val="center"/>
            <w:hideMark/>
          </w:tcPr>
          <w:p w14:paraId="7B08A2A3" w14:textId="77777777" w:rsidR="001B1648" w:rsidRPr="00364146" w:rsidRDefault="001B1648">
            <w:pPr>
              <w:jc w:val="center"/>
            </w:pPr>
            <w:r w:rsidRPr="00905D8E">
              <w:t>I</w:t>
            </w:r>
            <w:r w:rsidRPr="00364146">
              <w:t>ssuance adjustments reflected operationally and reported in the Debt Management Repor</w:t>
            </w:r>
            <w:r>
              <w:t>t.</w:t>
            </w:r>
          </w:p>
        </w:tc>
        <w:tc>
          <w:tcPr>
            <w:tcW w:w="1241" w:type="pct"/>
            <w:shd w:val="clear" w:color="auto" w:fill="EEEEEE" w:themeFill="background2"/>
            <w:vAlign w:val="center"/>
          </w:tcPr>
          <w:p w14:paraId="15544360" w14:textId="0E78AD45" w:rsidR="001B1648" w:rsidRPr="00905D8E" w:rsidRDefault="00B71569">
            <w:pPr>
              <w:jc w:val="center"/>
            </w:pPr>
            <w:r>
              <w:t>F</w:t>
            </w:r>
            <w:r w:rsidR="001B1648">
              <w:t>inancing remit is revised if required. Changes communicated via DMO Operational Notices and announcements.</w:t>
            </w:r>
          </w:p>
        </w:tc>
      </w:tr>
    </w:tbl>
    <w:p w14:paraId="078A29C3" w14:textId="77777777" w:rsidR="00561343" w:rsidRDefault="00561343">
      <w:pPr>
        <w:spacing w:before="0" w:after="160" w:line="259" w:lineRule="auto"/>
        <w:rPr>
          <w:b/>
          <w:bCs/>
        </w:rPr>
      </w:pPr>
      <w:r>
        <w:rPr>
          <w:b/>
          <w:bCs/>
        </w:rPr>
        <w:br w:type="page"/>
      </w:r>
    </w:p>
    <w:p w14:paraId="09B6524A" w14:textId="1A3E7F69" w:rsidR="0087279F" w:rsidRPr="00E8530B" w:rsidRDefault="0087279F" w:rsidP="000A3866">
      <w:pPr>
        <w:keepNext/>
        <w:rPr>
          <w:b/>
          <w:bCs/>
        </w:rPr>
      </w:pPr>
      <w:r w:rsidRPr="00E06B22">
        <w:rPr>
          <w:b/>
          <w:bCs/>
        </w:rPr>
        <w:t xml:space="preserve">Semi Governance Structures: </w:t>
      </w:r>
    </w:p>
    <w:tbl>
      <w:tblPr>
        <w:tblStyle w:val="TableGrid"/>
        <w:tblW w:w="5313" w:type="pct"/>
        <w:tblLook w:val="04A0" w:firstRow="1" w:lastRow="0" w:firstColumn="1" w:lastColumn="0" w:noHBand="0" w:noVBand="1"/>
      </w:tblPr>
      <w:tblGrid>
        <w:gridCol w:w="1427"/>
        <w:gridCol w:w="2541"/>
        <w:gridCol w:w="1562"/>
        <w:gridCol w:w="1702"/>
        <w:gridCol w:w="2408"/>
      </w:tblGrid>
      <w:tr w:rsidR="00EF2041" w:rsidRPr="00044252" w14:paraId="22D4AC21" w14:textId="77777777" w:rsidTr="000249F0">
        <w:trPr>
          <w:cnfStyle w:val="100000000000" w:firstRow="1" w:lastRow="0" w:firstColumn="0" w:lastColumn="0" w:oddVBand="0" w:evenVBand="0" w:oddHBand="0" w:evenHBand="0" w:firstRowFirstColumn="0" w:firstRowLastColumn="0" w:lastRowFirstColumn="0" w:lastRowLastColumn="0"/>
        </w:trPr>
        <w:tc>
          <w:tcPr>
            <w:tcW w:w="740" w:type="pct"/>
            <w:shd w:val="clear" w:color="auto" w:fill="2C384A" w:themeFill="accent1"/>
            <w:hideMark/>
          </w:tcPr>
          <w:p w14:paraId="327FA538" w14:textId="77777777" w:rsidR="0087279F" w:rsidRPr="001835F8" w:rsidRDefault="0087279F" w:rsidP="001835F8">
            <w:pPr>
              <w:spacing w:after="160" w:line="259" w:lineRule="auto"/>
              <w:jc w:val="center"/>
              <w:rPr>
                <w:bCs/>
                <w:color w:val="FFFFFF" w:themeColor="background1"/>
              </w:rPr>
            </w:pPr>
            <w:r w:rsidRPr="001835F8">
              <w:rPr>
                <w:bCs/>
                <w:color w:val="FFFFFF" w:themeColor="background1"/>
              </w:rPr>
              <w:t>Organisation</w:t>
            </w:r>
          </w:p>
        </w:tc>
        <w:tc>
          <w:tcPr>
            <w:tcW w:w="1318" w:type="pct"/>
            <w:shd w:val="clear" w:color="auto" w:fill="2C384A" w:themeFill="accent1"/>
            <w:hideMark/>
          </w:tcPr>
          <w:p w14:paraId="65F221FE" w14:textId="77777777" w:rsidR="0087279F" w:rsidRPr="001835F8" w:rsidRDefault="0087279F" w:rsidP="001835F8">
            <w:pPr>
              <w:spacing w:after="160" w:line="259" w:lineRule="auto"/>
              <w:jc w:val="center"/>
              <w:rPr>
                <w:bCs/>
                <w:color w:val="FFFFFF" w:themeColor="background1"/>
              </w:rPr>
            </w:pPr>
            <w:r w:rsidRPr="001835F8">
              <w:rPr>
                <w:bCs/>
                <w:color w:val="FFFFFF" w:themeColor="background1"/>
              </w:rPr>
              <w:t>Board Structure &amp; Composition</w:t>
            </w:r>
          </w:p>
        </w:tc>
        <w:tc>
          <w:tcPr>
            <w:tcW w:w="810" w:type="pct"/>
            <w:shd w:val="clear" w:color="auto" w:fill="2C384A" w:themeFill="accent1"/>
          </w:tcPr>
          <w:p w14:paraId="150F0683" w14:textId="77777777" w:rsidR="0087279F" w:rsidRPr="001835F8" w:rsidRDefault="0087279F" w:rsidP="001835F8">
            <w:pPr>
              <w:jc w:val="center"/>
              <w:rPr>
                <w:bCs/>
                <w:color w:val="FFFFFF" w:themeColor="background1"/>
              </w:rPr>
            </w:pPr>
            <w:r w:rsidRPr="001835F8">
              <w:rPr>
                <w:bCs/>
                <w:color w:val="FFFFFF" w:themeColor="background1"/>
              </w:rPr>
              <w:t>Cadence of Board Meetings</w:t>
            </w:r>
          </w:p>
        </w:tc>
        <w:tc>
          <w:tcPr>
            <w:tcW w:w="883" w:type="pct"/>
            <w:shd w:val="clear" w:color="auto" w:fill="2C384A" w:themeFill="accent1"/>
            <w:hideMark/>
          </w:tcPr>
          <w:p w14:paraId="7C797F04" w14:textId="77777777" w:rsidR="0087279F" w:rsidRPr="001835F8" w:rsidRDefault="0087279F" w:rsidP="001835F8">
            <w:pPr>
              <w:spacing w:after="160" w:line="259" w:lineRule="auto"/>
              <w:jc w:val="center"/>
              <w:rPr>
                <w:bCs/>
                <w:color w:val="FFFFFF" w:themeColor="background1"/>
              </w:rPr>
            </w:pPr>
            <w:r w:rsidRPr="001835F8">
              <w:rPr>
                <w:bCs/>
                <w:color w:val="FFFFFF" w:themeColor="background1"/>
              </w:rPr>
              <w:t>Advisory / Secondary Boards</w:t>
            </w:r>
          </w:p>
        </w:tc>
        <w:tc>
          <w:tcPr>
            <w:tcW w:w="1249" w:type="pct"/>
            <w:shd w:val="clear" w:color="auto" w:fill="2C384A" w:themeFill="accent1"/>
            <w:hideMark/>
          </w:tcPr>
          <w:p w14:paraId="5C0ABBD4" w14:textId="77777777" w:rsidR="0087279F" w:rsidRPr="001835F8" w:rsidRDefault="0087279F" w:rsidP="001835F8">
            <w:pPr>
              <w:spacing w:after="160" w:line="259" w:lineRule="auto"/>
              <w:jc w:val="center"/>
              <w:rPr>
                <w:bCs/>
                <w:color w:val="FFFFFF" w:themeColor="background1"/>
              </w:rPr>
            </w:pPr>
            <w:r w:rsidRPr="001835F8">
              <w:rPr>
                <w:bCs/>
                <w:color w:val="FFFFFF" w:themeColor="background1"/>
              </w:rPr>
              <w:t>Committees &amp; Key Governance Features</w:t>
            </w:r>
          </w:p>
        </w:tc>
      </w:tr>
      <w:tr w:rsidR="001835F8" w:rsidRPr="00044252" w14:paraId="7978796B" w14:textId="77777777" w:rsidTr="000249F0">
        <w:tc>
          <w:tcPr>
            <w:tcW w:w="740" w:type="pct"/>
            <w:shd w:val="clear" w:color="auto" w:fill="9CACC4" w:themeFill="accent1" w:themeFillTint="66"/>
            <w:hideMark/>
          </w:tcPr>
          <w:p w14:paraId="53DC27FB" w14:textId="77777777" w:rsidR="0087279F" w:rsidRPr="00831DE4" w:rsidRDefault="0087279F">
            <w:pPr>
              <w:spacing w:after="160" w:line="259" w:lineRule="auto"/>
              <w:rPr>
                <w:b/>
              </w:rPr>
            </w:pPr>
            <w:r w:rsidRPr="00831DE4">
              <w:rPr>
                <w:b/>
              </w:rPr>
              <w:t>TCorp (NSW)</w:t>
            </w:r>
            <w:r w:rsidRPr="00BA6052">
              <w:rPr>
                <w:rStyle w:val="FootnoteReference"/>
                <w:b/>
                <w:vertAlign w:val="superscript"/>
              </w:rPr>
              <w:footnoteReference w:id="23"/>
            </w:r>
          </w:p>
        </w:tc>
        <w:tc>
          <w:tcPr>
            <w:tcW w:w="1318" w:type="pct"/>
            <w:shd w:val="clear" w:color="auto" w:fill="EEEEEE" w:themeFill="background2"/>
            <w:hideMark/>
          </w:tcPr>
          <w:p w14:paraId="3FF6B8A7" w14:textId="77777777" w:rsidR="0087279F" w:rsidRPr="00044252" w:rsidRDefault="0087279F">
            <w:r w:rsidRPr="00044252">
              <w:t xml:space="preserve">Board </w:t>
            </w:r>
            <w:r>
              <w:t>of Directors comprised of the Secretary of NSW Treasury, a Senior officer of NSW Treasury, TCorp’s Chief Executive, and</w:t>
            </w:r>
            <w:r w:rsidRPr="00044252">
              <w:t xml:space="preserve"> </w:t>
            </w:r>
            <w:r w:rsidRPr="0007239E">
              <w:t>3–7 directors appointed by the NSW Treasurer</w:t>
            </w:r>
            <w:r w:rsidRPr="00044252">
              <w:t xml:space="preserve">. </w:t>
            </w:r>
          </w:p>
        </w:tc>
        <w:tc>
          <w:tcPr>
            <w:tcW w:w="810" w:type="pct"/>
            <w:shd w:val="clear" w:color="auto" w:fill="EEEEEE" w:themeFill="background2"/>
          </w:tcPr>
          <w:p w14:paraId="7716AACB" w14:textId="77777777" w:rsidR="0087279F" w:rsidRPr="00044252" w:rsidRDefault="0087279F">
            <w:r w:rsidRPr="00044252">
              <w:t xml:space="preserve">Board met </w:t>
            </w:r>
            <w:r w:rsidRPr="0007239E">
              <w:t>5 times</w:t>
            </w:r>
            <w:r w:rsidRPr="00044252">
              <w:t xml:space="preserve"> in 2024–25.</w:t>
            </w:r>
          </w:p>
        </w:tc>
        <w:tc>
          <w:tcPr>
            <w:tcW w:w="883" w:type="pct"/>
            <w:shd w:val="clear" w:color="auto" w:fill="EEEEEE" w:themeFill="background2"/>
            <w:hideMark/>
          </w:tcPr>
          <w:p w14:paraId="3BA31C91" w14:textId="77777777" w:rsidR="0087279F" w:rsidRPr="00044252" w:rsidRDefault="0087279F">
            <w:r w:rsidRPr="00044252">
              <w:t>None</w:t>
            </w:r>
          </w:p>
        </w:tc>
        <w:tc>
          <w:tcPr>
            <w:tcW w:w="1249" w:type="pct"/>
            <w:shd w:val="clear" w:color="auto" w:fill="EEEEEE" w:themeFill="background2"/>
            <w:hideMark/>
          </w:tcPr>
          <w:p w14:paraId="7B8BB306" w14:textId="77777777" w:rsidR="0087279F" w:rsidRDefault="0087279F" w:rsidP="00561343">
            <w:pPr>
              <w:pStyle w:val="Bullet"/>
              <w:tabs>
                <w:tab w:val="clear" w:pos="720"/>
                <w:tab w:val="num" w:pos="520"/>
              </w:tabs>
              <w:spacing w:after="0" w:line="240" w:lineRule="auto"/>
              <w:ind w:left="170" w:hanging="170"/>
            </w:pPr>
            <w:r w:rsidRPr="0007239E">
              <w:t>Audit &amp; Risk Committee</w:t>
            </w:r>
          </w:p>
          <w:p w14:paraId="395FF0E8" w14:textId="77777777" w:rsidR="0087279F" w:rsidRDefault="0087279F" w:rsidP="00561343">
            <w:pPr>
              <w:pStyle w:val="Bullet"/>
              <w:tabs>
                <w:tab w:val="clear" w:pos="720"/>
                <w:tab w:val="num" w:pos="520"/>
              </w:tabs>
              <w:spacing w:after="0" w:line="240" w:lineRule="auto"/>
              <w:ind w:left="170" w:hanging="170"/>
            </w:pPr>
            <w:r>
              <w:t xml:space="preserve">Board </w:t>
            </w:r>
            <w:r w:rsidRPr="0007239E">
              <w:t>Investment Committee</w:t>
            </w:r>
            <w:r w:rsidRPr="00044252">
              <w:t xml:space="preserve"> </w:t>
            </w:r>
          </w:p>
          <w:p w14:paraId="30A9B459" w14:textId="77777777" w:rsidR="0087279F" w:rsidRPr="00044252" w:rsidRDefault="0087279F" w:rsidP="00561343">
            <w:pPr>
              <w:pStyle w:val="Bullet"/>
              <w:tabs>
                <w:tab w:val="clear" w:pos="720"/>
                <w:tab w:val="num" w:pos="520"/>
              </w:tabs>
              <w:spacing w:after="0" w:line="240" w:lineRule="auto"/>
              <w:ind w:left="170" w:hanging="170"/>
            </w:pPr>
            <w:r w:rsidRPr="0007239E">
              <w:t>People &amp; Remuneration Committee</w:t>
            </w:r>
            <w:r w:rsidRPr="00044252">
              <w:t xml:space="preserve"> </w:t>
            </w:r>
          </w:p>
        </w:tc>
      </w:tr>
      <w:tr w:rsidR="001835F8" w:rsidRPr="00044252" w14:paraId="463FED8B" w14:textId="77777777" w:rsidTr="000249F0">
        <w:tc>
          <w:tcPr>
            <w:tcW w:w="740" w:type="pct"/>
            <w:shd w:val="clear" w:color="auto" w:fill="9CACC4" w:themeFill="accent1" w:themeFillTint="66"/>
            <w:hideMark/>
          </w:tcPr>
          <w:p w14:paraId="1DD6FBD4" w14:textId="77777777" w:rsidR="0087279F" w:rsidRPr="00831DE4" w:rsidRDefault="0087279F">
            <w:pPr>
              <w:spacing w:after="160" w:line="259" w:lineRule="auto"/>
              <w:rPr>
                <w:b/>
              </w:rPr>
            </w:pPr>
            <w:r w:rsidRPr="00831DE4">
              <w:rPr>
                <w:b/>
              </w:rPr>
              <w:t>TCV (Victoria)</w:t>
            </w:r>
            <w:r w:rsidRPr="00BA6052">
              <w:rPr>
                <w:rStyle w:val="FootnoteReference"/>
                <w:b/>
                <w:vertAlign w:val="superscript"/>
              </w:rPr>
              <w:footnoteReference w:id="24"/>
            </w:r>
          </w:p>
        </w:tc>
        <w:tc>
          <w:tcPr>
            <w:tcW w:w="1318" w:type="pct"/>
            <w:shd w:val="clear" w:color="auto" w:fill="EEEEEE" w:themeFill="background2"/>
            <w:hideMark/>
          </w:tcPr>
          <w:p w14:paraId="5B87B487" w14:textId="77777777" w:rsidR="0087279F" w:rsidRPr="00044252" w:rsidRDefault="0087279F">
            <w:r w:rsidRPr="00044252">
              <w:t xml:space="preserve">Board of Directors including the </w:t>
            </w:r>
            <w:r w:rsidRPr="0007239E">
              <w:t>CEO</w:t>
            </w:r>
            <w:r w:rsidRPr="00044252">
              <w:t xml:space="preserve"> and </w:t>
            </w:r>
            <w:r w:rsidRPr="0007239E">
              <w:t>5–7 directors appointed by Governor in Council on Treasurer’s recommendation</w:t>
            </w:r>
            <w:r w:rsidRPr="00044252">
              <w:t xml:space="preserve">. </w:t>
            </w:r>
          </w:p>
        </w:tc>
        <w:tc>
          <w:tcPr>
            <w:tcW w:w="810" w:type="pct"/>
            <w:shd w:val="clear" w:color="auto" w:fill="EEEEEE" w:themeFill="background2"/>
          </w:tcPr>
          <w:p w14:paraId="002587F2" w14:textId="77777777" w:rsidR="0087279F" w:rsidRPr="00044252" w:rsidRDefault="0087279F">
            <w:r w:rsidRPr="00044252">
              <w:t xml:space="preserve">Board met </w:t>
            </w:r>
            <w:r w:rsidRPr="0007239E">
              <w:t>8 times</w:t>
            </w:r>
            <w:r w:rsidRPr="00044252">
              <w:t xml:space="preserve"> in 2024–25.</w:t>
            </w:r>
          </w:p>
        </w:tc>
        <w:tc>
          <w:tcPr>
            <w:tcW w:w="883" w:type="pct"/>
            <w:shd w:val="clear" w:color="auto" w:fill="EEEEEE" w:themeFill="background2"/>
            <w:hideMark/>
          </w:tcPr>
          <w:p w14:paraId="3ADD0DC8" w14:textId="77777777" w:rsidR="0087279F" w:rsidRPr="00044252" w:rsidRDefault="0087279F">
            <w:r w:rsidRPr="00044252">
              <w:t>None</w:t>
            </w:r>
          </w:p>
        </w:tc>
        <w:tc>
          <w:tcPr>
            <w:tcW w:w="1249" w:type="pct"/>
            <w:shd w:val="clear" w:color="auto" w:fill="EEEEEE" w:themeFill="background2"/>
            <w:hideMark/>
          </w:tcPr>
          <w:p w14:paraId="4D667458" w14:textId="77777777" w:rsidR="0087279F" w:rsidRDefault="0087279F" w:rsidP="00561343">
            <w:pPr>
              <w:pStyle w:val="Bullet"/>
              <w:tabs>
                <w:tab w:val="clear" w:pos="720"/>
                <w:tab w:val="num" w:pos="520"/>
              </w:tabs>
              <w:spacing w:after="0" w:line="240" w:lineRule="auto"/>
              <w:ind w:left="170" w:hanging="170"/>
            </w:pPr>
            <w:r w:rsidRPr="00AF1E73">
              <w:t>Audit Committee</w:t>
            </w:r>
          </w:p>
          <w:p w14:paraId="6E8A2F27" w14:textId="77777777" w:rsidR="0087279F" w:rsidRPr="00044252" w:rsidRDefault="0087279F" w:rsidP="00561343">
            <w:pPr>
              <w:pStyle w:val="Bullet"/>
              <w:tabs>
                <w:tab w:val="clear" w:pos="720"/>
                <w:tab w:val="num" w:pos="520"/>
              </w:tabs>
              <w:spacing w:after="0" w:line="240" w:lineRule="auto"/>
              <w:ind w:left="170" w:hanging="170"/>
            </w:pPr>
            <w:r w:rsidRPr="00AF1E73">
              <w:t>People and Culture Committee</w:t>
            </w:r>
            <w:r w:rsidRPr="00044252">
              <w:t xml:space="preserve"> </w:t>
            </w:r>
          </w:p>
        </w:tc>
      </w:tr>
      <w:tr w:rsidR="001835F8" w:rsidRPr="00044252" w14:paraId="17C15183" w14:textId="77777777" w:rsidTr="000249F0">
        <w:trPr>
          <w:trHeight w:val="2974"/>
        </w:trPr>
        <w:tc>
          <w:tcPr>
            <w:tcW w:w="740" w:type="pct"/>
            <w:shd w:val="clear" w:color="auto" w:fill="9CACC4" w:themeFill="accent1" w:themeFillTint="66"/>
            <w:hideMark/>
          </w:tcPr>
          <w:p w14:paraId="1D88C96F" w14:textId="77777777" w:rsidR="0087279F" w:rsidRPr="00831DE4" w:rsidRDefault="0087279F">
            <w:pPr>
              <w:spacing w:after="160" w:line="259" w:lineRule="auto"/>
              <w:rPr>
                <w:b/>
              </w:rPr>
            </w:pPr>
            <w:r w:rsidRPr="00831DE4">
              <w:rPr>
                <w:b/>
              </w:rPr>
              <w:t>QTC (Queensland)</w:t>
            </w:r>
            <w:r w:rsidRPr="00BA6052">
              <w:rPr>
                <w:rStyle w:val="FootnoteReference"/>
                <w:b/>
                <w:vertAlign w:val="superscript"/>
              </w:rPr>
              <w:footnoteReference w:id="25"/>
            </w:r>
          </w:p>
        </w:tc>
        <w:tc>
          <w:tcPr>
            <w:tcW w:w="1318" w:type="pct"/>
            <w:shd w:val="clear" w:color="auto" w:fill="EEEEEE" w:themeFill="background2"/>
            <w:hideMark/>
          </w:tcPr>
          <w:p w14:paraId="23A47C4C" w14:textId="77777777" w:rsidR="0087279F" w:rsidRPr="00044252" w:rsidRDefault="0087279F">
            <w:r>
              <w:t>QTC has a t</w:t>
            </w:r>
            <w:r w:rsidRPr="0007239E">
              <w:t>wo</w:t>
            </w:r>
            <w:r w:rsidRPr="0007239E">
              <w:noBreakHyphen/>
              <w:t>tier governance model</w:t>
            </w:r>
            <w:r>
              <w:t xml:space="preserve"> with a </w:t>
            </w:r>
            <w:r w:rsidRPr="0007239E">
              <w:t>Capital Markets Board</w:t>
            </w:r>
            <w:r>
              <w:t xml:space="preserve"> that</w:t>
            </w:r>
            <w:r w:rsidRPr="00044252">
              <w:t xml:space="preserve"> </w:t>
            </w:r>
            <w:r w:rsidRPr="009E5861">
              <w:t>manage</w:t>
            </w:r>
            <w:r>
              <w:t>s</w:t>
            </w:r>
            <w:r w:rsidRPr="009E5861">
              <w:t xml:space="preserve"> </w:t>
            </w:r>
            <w:proofErr w:type="gramStart"/>
            <w:r w:rsidRPr="009E5861">
              <w:t>all of</w:t>
            </w:r>
            <w:proofErr w:type="gramEnd"/>
            <w:r w:rsidRPr="009E5861">
              <w:t xml:space="preserve"> QTC’s operations except those relating to certain superannuation and other long-term assets</w:t>
            </w:r>
            <w:r>
              <w:t xml:space="preserve">. The Board is </w:t>
            </w:r>
            <w:r w:rsidRPr="00E74953">
              <w:t>composed of a Queensland Treasury ex officio representative and non-executive members.</w:t>
            </w:r>
          </w:p>
        </w:tc>
        <w:tc>
          <w:tcPr>
            <w:tcW w:w="810" w:type="pct"/>
            <w:shd w:val="clear" w:color="auto" w:fill="EEEEEE" w:themeFill="background2"/>
          </w:tcPr>
          <w:p w14:paraId="78412255" w14:textId="77777777" w:rsidR="0087279F" w:rsidRDefault="0087279F">
            <w:r>
              <w:t xml:space="preserve">The </w:t>
            </w:r>
            <w:r w:rsidRPr="0007239E">
              <w:t>Capital Markets Board</w:t>
            </w:r>
            <w:r w:rsidRPr="00044252">
              <w:t xml:space="preserve"> met </w:t>
            </w:r>
            <w:r>
              <w:t>9</w:t>
            </w:r>
            <w:r w:rsidRPr="00731DB5">
              <w:t xml:space="preserve"> times</w:t>
            </w:r>
            <w:r w:rsidRPr="00044252">
              <w:t xml:space="preserve"> in 2024–25.</w:t>
            </w:r>
          </w:p>
          <w:p w14:paraId="75CF15F4" w14:textId="77777777" w:rsidR="0087279F" w:rsidRDefault="0087279F"/>
          <w:p w14:paraId="248A343E" w14:textId="77777777" w:rsidR="0087279F" w:rsidRPr="0007239E" w:rsidRDefault="0087279F"/>
        </w:tc>
        <w:tc>
          <w:tcPr>
            <w:tcW w:w="883" w:type="pct"/>
            <w:shd w:val="clear" w:color="auto" w:fill="EEEEEE" w:themeFill="background2"/>
            <w:hideMark/>
          </w:tcPr>
          <w:p w14:paraId="6502F913" w14:textId="77777777" w:rsidR="0087279F" w:rsidRDefault="0087279F">
            <w:r>
              <w:t xml:space="preserve">The State Investment Advisory Board manages the States long-term investment assets. </w:t>
            </w:r>
          </w:p>
          <w:p w14:paraId="3E1A43D7" w14:textId="77777777" w:rsidR="0087279F" w:rsidRDefault="0087279F">
            <w:r>
              <w:t>The State Investment Advisory Board met 4 times in 2024-25.</w:t>
            </w:r>
          </w:p>
          <w:p w14:paraId="10A96534" w14:textId="77777777" w:rsidR="0087279F" w:rsidRDefault="0087279F"/>
          <w:p w14:paraId="4D9C240D" w14:textId="77777777" w:rsidR="0087279F" w:rsidRPr="00044252" w:rsidRDefault="0087279F"/>
        </w:tc>
        <w:tc>
          <w:tcPr>
            <w:tcW w:w="1249" w:type="pct"/>
            <w:shd w:val="clear" w:color="auto" w:fill="EEEEEE" w:themeFill="background2"/>
            <w:hideMark/>
          </w:tcPr>
          <w:p w14:paraId="7A1FEE58" w14:textId="77777777" w:rsidR="0087279F" w:rsidRDefault="0087279F">
            <w:pPr>
              <w:pStyle w:val="Bullet"/>
              <w:numPr>
                <w:ilvl w:val="0"/>
                <w:numId w:val="0"/>
              </w:numPr>
              <w:spacing w:after="0"/>
            </w:pPr>
            <w:r w:rsidRPr="00044252">
              <w:t xml:space="preserve">Capital Markets Board committees: </w:t>
            </w:r>
          </w:p>
          <w:p w14:paraId="3607AE30" w14:textId="77777777" w:rsidR="0087279F" w:rsidRDefault="0087279F" w:rsidP="00561343">
            <w:pPr>
              <w:pStyle w:val="Bullet"/>
              <w:tabs>
                <w:tab w:val="clear" w:pos="720"/>
                <w:tab w:val="num" w:pos="520"/>
              </w:tabs>
              <w:spacing w:after="0" w:line="240" w:lineRule="auto"/>
              <w:ind w:left="170" w:hanging="170"/>
            </w:pPr>
            <w:r w:rsidRPr="0007239E">
              <w:t xml:space="preserve">Funding </w:t>
            </w:r>
            <w:r>
              <w:t>and</w:t>
            </w:r>
            <w:r w:rsidRPr="0007239E">
              <w:t xml:space="preserve"> Markets</w:t>
            </w:r>
            <w:r>
              <w:t xml:space="preserve"> Committee</w:t>
            </w:r>
          </w:p>
          <w:p w14:paraId="5FB249F7" w14:textId="77777777" w:rsidR="0087279F" w:rsidRDefault="0087279F" w:rsidP="00561343">
            <w:pPr>
              <w:pStyle w:val="Bullet"/>
              <w:tabs>
                <w:tab w:val="clear" w:pos="720"/>
                <w:tab w:val="num" w:pos="520"/>
              </w:tabs>
              <w:spacing w:after="0" w:line="240" w:lineRule="auto"/>
              <w:ind w:left="170" w:hanging="170"/>
            </w:pPr>
            <w:r w:rsidRPr="0007239E">
              <w:t xml:space="preserve">People </w:t>
            </w:r>
            <w:r>
              <w:t>and</w:t>
            </w:r>
            <w:r w:rsidRPr="0007239E">
              <w:t xml:space="preserve"> Culture</w:t>
            </w:r>
            <w:r>
              <w:t xml:space="preserve"> Committee</w:t>
            </w:r>
          </w:p>
          <w:p w14:paraId="55CC8376" w14:textId="77777777" w:rsidR="0087279F" w:rsidRDefault="0087279F" w:rsidP="00561343">
            <w:pPr>
              <w:pStyle w:val="Bullet"/>
              <w:tabs>
                <w:tab w:val="clear" w:pos="720"/>
                <w:tab w:val="num" w:pos="520"/>
              </w:tabs>
              <w:spacing w:after="0" w:line="240" w:lineRule="auto"/>
              <w:ind w:left="170" w:hanging="170"/>
            </w:pPr>
            <w:r w:rsidRPr="0007239E">
              <w:t xml:space="preserve">Risk </w:t>
            </w:r>
            <w:r>
              <w:t>and</w:t>
            </w:r>
            <w:r w:rsidRPr="0007239E">
              <w:t xml:space="preserve"> Audit</w:t>
            </w:r>
            <w:r>
              <w:t xml:space="preserve"> Committee</w:t>
            </w:r>
          </w:p>
          <w:p w14:paraId="21DC33F0" w14:textId="77777777" w:rsidR="0087279F" w:rsidRPr="00044252" w:rsidRDefault="0087279F" w:rsidP="00561343">
            <w:pPr>
              <w:pStyle w:val="Bullet"/>
              <w:tabs>
                <w:tab w:val="clear" w:pos="720"/>
                <w:tab w:val="num" w:pos="520"/>
              </w:tabs>
              <w:spacing w:after="0" w:line="240" w:lineRule="auto"/>
              <w:ind w:left="170" w:hanging="170"/>
            </w:pPr>
            <w:r w:rsidRPr="0007239E">
              <w:t xml:space="preserve">Advisory </w:t>
            </w:r>
            <w:r>
              <w:t>and</w:t>
            </w:r>
            <w:r w:rsidRPr="0007239E">
              <w:t xml:space="preserve"> Consultin</w:t>
            </w:r>
            <w:r>
              <w:t>g Committee</w:t>
            </w:r>
          </w:p>
        </w:tc>
      </w:tr>
      <w:tr w:rsidR="001835F8" w:rsidRPr="00044252" w14:paraId="24647969" w14:textId="77777777" w:rsidTr="000249F0">
        <w:tc>
          <w:tcPr>
            <w:tcW w:w="740" w:type="pct"/>
            <w:shd w:val="clear" w:color="auto" w:fill="9CACC4" w:themeFill="accent1" w:themeFillTint="66"/>
            <w:hideMark/>
          </w:tcPr>
          <w:p w14:paraId="6E60C177" w14:textId="77777777" w:rsidR="0087279F" w:rsidRPr="00831DE4" w:rsidRDefault="0087279F">
            <w:pPr>
              <w:spacing w:after="160" w:line="259" w:lineRule="auto"/>
              <w:rPr>
                <w:b/>
              </w:rPr>
            </w:pPr>
            <w:r w:rsidRPr="00831DE4">
              <w:rPr>
                <w:b/>
              </w:rPr>
              <w:t>WATC (Western Australia)</w:t>
            </w:r>
            <w:r w:rsidRPr="00BA6052">
              <w:rPr>
                <w:rStyle w:val="FootnoteReference"/>
                <w:b/>
                <w:vertAlign w:val="superscript"/>
              </w:rPr>
              <w:footnoteReference w:id="26"/>
            </w:r>
          </w:p>
        </w:tc>
        <w:tc>
          <w:tcPr>
            <w:tcW w:w="1318" w:type="pct"/>
            <w:shd w:val="clear" w:color="auto" w:fill="EEEEEE" w:themeFill="background2"/>
            <w:hideMark/>
          </w:tcPr>
          <w:p w14:paraId="10EAD8E3" w14:textId="77777777" w:rsidR="0087279F" w:rsidRPr="00044252" w:rsidRDefault="0087279F">
            <w:r w:rsidRPr="00044252">
              <w:t xml:space="preserve">Board chaired by </w:t>
            </w:r>
            <w:r w:rsidRPr="0007239E">
              <w:t>Under Treasurer</w:t>
            </w:r>
            <w:r w:rsidRPr="00044252">
              <w:t xml:space="preserve">, with externally appointed directors (finance and governance expertise). </w:t>
            </w:r>
          </w:p>
        </w:tc>
        <w:tc>
          <w:tcPr>
            <w:tcW w:w="810" w:type="pct"/>
            <w:shd w:val="clear" w:color="auto" w:fill="EEEEEE" w:themeFill="background2"/>
          </w:tcPr>
          <w:p w14:paraId="1C8F2A40" w14:textId="77777777" w:rsidR="0087279F" w:rsidRPr="00044252" w:rsidRDefault="0087279F">
            <w:r w:rsidRPr="00044252">
              <w:t xml:space="preserve">Board met </w:t>
            </w:r>
            <w:r w:rsidRPr="0007239E">
              <w:t>5 times</w:t>
            </w:r>
            <w:r w:rsidRPr="00044252">
              <w:t xml:space="preserve"> in 2024–25.</w:t>
            </w:r>
          </w:p>
        </w:tc>
        <w:tc>
          <w:tcPr>
            <w:tcW w:w="883" w:type="pct"/>
            <w:shd w:val="clear" w:color="auto" w:fill="EEEEEE" w:themeFill="background2"/>
            <w:hideMark/>
          </w:tcPr>
          <w:p w14:paraId="3B548C0D" w14:textId="77777777" w:rsidR="0087279F" w:rsidRPr="00044252" w:rsidRDefault="0087279F">
            <w:r w:rsidRPr="00044252">
              <w:t>None</w:t>
            </w:r>
          </w:p>
        </w:tc>
        <w:tc>
          <w:tcPr>
            <w:tcW w:w="1249" w:type="pct"/>
            <w:shd w:val="clear" w:color="auto" w:fill="EEEEEE" w:themeFill="background2"/>
            <w:hideMark/>
          </w:tcPr>
          <w:p w14:paraId="358DAE68" w14:textId="77777777" w:rsidR="0087279F" w:rsidRDefault="0087279F" w:rsidP="00561343">
            <w:pPr>
              <w:pStyle w:val="Bullet"/>
              <w:tabs>
                <w:tab w:val="clear" w:pos="720"/>
                <w:tab w:val="num" w:pos="520"/>
              </w:tabs>
              <w:spacing w:after="0" w:line="240" w:lineRule="auto"/>
              <w:ind w:left="170" w:hanging="170"/>
            </w:pPr>
            <w:r w:rsidRPr="0007239E">
              <w:t>Audit Committee</w:t>
            </w:r>
          </w:p>
          <w:p w14:paraId="1768A3E6" w14:textId="2BFB2519" w:rsidR="0087279F" w:rsidRPr="00044252" w:rsidRDefault="0087279F" w:rsidP="00561343">
            <w:pPr>
              <w:pStyle w:val="Bullet"/>
              <w:tabs>
                <w:tab w:val="clear" w:pos="720"/>
                <w:tab w:val="num" w:pos="520"/>
              </w:tabs>
              <w:spacing w:after="0" w:line="240" w:lineRule="auto"/>
              <w:ind w:left="170" w:hanging="170"/>
            </w:pPr>
            <w:r w:rsidRPr="0007239E">
              <w:t>People</w:t>
            </w:r>
            <w:r w:rsidR="00C660FE">
              <w:t xml:space="preserve"> and Remuneration</w:t>
            </w:r>
            <w:r w:rsidRPr="0007239E">
              <w:t xml:space="preserve"> Committee</w:t>
            </w:r>
            <w:r w:rsidRPr="00044252">
              <w:t xml:space="preserve"> </w:t>
            </w:r>
          </w:p>
        </w:tc>
      </w:tr>
      <w:tr w:rsidR="001835F8" w:rsidRPr="00044252" w14:paraId="18B94B38" w14:textId="77777777" w:rsidTr="000249F0">
        <w:tc>
          <w:tcPr>
            <w:tcW w:w="740" w:type="pct"/>
            <w:shd w:val="clear" w:color="auto" w:fill="9CACC4" w:themeFill="accent1" w:themeFillTint="66"/>
            <w:hideMark/>
          </w:tcPr>
          <w:p w14:paraId="3D92763B" w14:textId="77777777" w:rsidR="0087279F" w:rsidRPr="00831DE4" w:rsidRDefault="0087279F">
            <w:pPr>
              <w:spacing w:after="160" w:line="259" w:lineRule="auto"/>
              <w:rPr>
                <w:b/>
              </w:rPr>
            </w:pPr>
            <w:proofErr w:type="spellStart"/>
            <w:r w:rsidRPr="00831DE4">
              <w:rPr>
                <w:b/>
              </w:rPr>
              <w:t>TasCorp</w:t>
            </w:r>
            <w:proofErr w:type="spellEnd"/>
            <w:r w:rsidRPr="00831DE4">
              <w:rPr>
                <w:b/>
              </w:rPr>
              <w:t xml:space="preserve"> (Tasmania)</w:t>
            </w:r>
            <w:r w:rsidRPr="00BA6052">
              <w:rPr>
                <w:rStyle w:val="FootnoteReference"/>
                <w:b/>
                <w:vertAlign w:val="superscript"/>
              </w:rPr>
              <w:footnoteReference w:id="27"/>
            </w:r>
          </w:p>
        </w:tc>
        <w:tc>
          <w:tcPr>
            <w:tcW w:w="1318" w:type="pct"/>
            <w:shd w:val="clear" w:color="auto" w:fill="EEEEEE" w:themeFill="background2"/>
            <w:hideMark/>
          </w:tcPr>
          <w:p w14:paraId="36CE7B0B" w14:textId="77777777" w:rsidR="0087279F" w:rsidRPr="00044252" w:rsidRDefault="0087279F">
            <w:r w:rsidRPr="00044252">
              <w:t xml:space="preserve">Board chaired by </w:t>
            </w:r>
            <w:r w:rsidRPr="0007239E">
              <w:t>Secretary of Department of Treasury and Finance</w:t>
            </w:r>
            <w:r>
              <w:t xml:space="preserve"> with independent directors that are non-executive finance and banking </w:t>
            </w:r>
            <w:r w:rsidRPr="0007239E">
              <w:t>experts</w:t>
            </w:r>
            <w:r w:rsidRPr="00044252">
              <w:t xml:space="preserve">. </w:t>
            </w:r>
          </w:p>
        </w:tc>
        <w:tc>
          <w:tcPr>
            <w:tcW w:w="810" w:type="pct"/>
            <w:shd w:val="clear" w:color="auto" w:fill="EEEEEE" w:themeFill="background2"/>
          </w:tcPr>
          <w:p w14:paraId="2A532505" w14:textId="77777777" w:rsidR="0087279F" w:rsidRPr="00044252" w:rsidRDefault="0087279F">
            <w:r w:rsidRPr="00044252">
              <w:t xml:space="preserve">Board met </w:t>
            </w:r>
            <w:r>
              <w:t>12</w:t>
            </w:r>
            <w:r w:rsidRPr="0007239E">
              <w:t xml:space="preserve"> times</w:t>
            </w:r>
            <w:r w:rsidRPr="00044252">
              <w:t xml:space="preserve"> in 2024–25.</w:t>
            </w:r>
          </w:p>
        </w:tc>
        <w:tc>
          <w:tcPr>
            <w:tcW w:w="883" w:type="pct"/>
            <w:shd w:val="clear" w:color="auto" w:fill="EEEEEE" w:themeFill="background2"/>
            <w:hideMark/>
          </w:tcPr>
          <w:p w14:paraId="52C00A5B" w14:textId="77777777" w:rsidR="0087279F" w:rsidRPr="00044252" w:rsidRDefault="0087279F">
            <w:r w:rsidRPr="00044252">
              <w:t>None</w:t>
            </w:r>
          </w:p>
        </w:tc>
        <w:tc>
          <w:tcPr>
            <w:tcW w:w="1249" w:type="pct"/>
            <w:shd w:val="clear" w:color="auto" w:fill="EEEEEE" w:themeFill="background2"/>
            <w:hideMark/>
          </w:tcPr>
          <w:p w14:paraId="2C5A2139" w14:textId="77777777" w:rsidR="0087279F" w:rsidRPr="00044252" w:rsidRDefault="0087279F" w:rsidP="00561343">
            <w:pPr>
              <w:pStyle w:val="Bullet"/>
              <w:tabs>
                <w:tab w:val="clear" w:pos="720"/>
                <w:tab w:val="num" w:pos="520"/>
              </w:tabs>
              <w:spacing w:after="0" w:line="240" w:lineRule="auto"/>
              <w:ind w:left="170" w:hanging="170"/>
            </w:pPr>
            <w:r w:rsidRPr="0007239E">
              <w:t>Audit Committee</w:t>
            </w:r>
          </w:p>
        </w:tc>
      </w:tr>
      <w:tr w:rsidR="001835F8" w:rsidRPr="00044252" w14:paraId="2CC3A0E4" w14:textId="77777777" w:rsidTr="000249F0">
        <w:tc>
          <w:tcPr>
            <w:tcW w:w="740" w:type="pct"/>
            <w:shd w:val="clear" w:color="auto" w:fill="9CACC4" w:themeFill="accent1" w:themeFillTint="66"/>
            <w:hideMark/>
          </w:tcPr>
          <w:p w14:paraId="17877013" w14:textId="77777777" w:rsidR="0087279F" w:rsidRPr="00831DE4" w:rsidRDefault="0087279F">
            <w:pPr>
              <w:spacing w:after="160" w:line="259" w:lineRule="auto"/>
              <w:rPr>
                <w:b/>
              </w:rPr>
            </w:pPr>
            <w:r w:rsidRPr="00831DE4">
              <w:rPr>
                <w:b/>
              </w:rPr>
              <w:t>SAFA (South Australia)</w:t>
            </w:r>
            <w:r w:rsidRPr="00BA6052">
              <w:rPr>
                <w:rStyle w:val="FootnoteReference"/>
                <w:b/>
                <w:vertAlign w:val="superscript"/>
              </w:rPr>
              <w:footnoteReference w:id="28"/>
            </w:r>
          </w:p>
        </w:tc>
        <w:tc>
          <w:tcPr>
            <w:tcW w:w="1318" w:type="pct"/>
            <w:shd w:val="clear" w:color="auto" w:fill="EEEEEE" w:themeFill="background2"/>
            <w:hideMark/>
          </w:tcPr>
          <w:p w14:paraId="41E33C61" w14:textId="77777777" w:rsidR="0087279F" w:rsidRPr="00044252" w:rsidRDefault="0087279F">
            <w:r>
              <w:t xml:space="preserve">Advisory </w:t>
            </w:r>
            <w:r w:rsidRPr="00044252">
              <w:t xml:space="preserve">Board of </w:t>
            </w:r>
            <w:r w:rsidRPr="0007239E">
              <w:t>5–7 members</w:t>
            </w:r>
            <w:r w:rsidRPr="00044252">
              <w:t xml:space="preserve">, including </w:t>
            </w:r>
            <w:r w:rsidRPr="0007239E">
              <w:t>one member from a semi</w:t>
            </w:r>
            <w:r w:rsidRPr="0007239E">
              <w:noBreakHyphen/>
              <w:t>government authority</w:t>
            </w:r>
            <w:r w:rsidRPr="00044252">
              <w:t xml:space="preserve"> and </w:t>
            </w:r>
            <w:r w:rsidRPr="0007239E">
              <w:t>one with insurance expertise</w:t>
            </w:r>
            <w:r w:rsidRPr="00044252">
              <w:t xml:space="preserve">. </w:t>
            </w:r>
          </w:p>
        </w:tc>
        <w:tc>
          <w:tcPr>
            <w:tcW w:w="810" w:type="pct"/>
            <w:shd w:val="clear" w:color="auto" w:fill="EEEEEE" w:themeFill="background2"/>
          </w:tcPr>
          <w:p w14:paraId="459026E9" w14:textId="77777777" w:rsidR="0087279F" w:rsidRPr="00044252" w:rsidRDefault="0087279F">
            <w:r w:rsidRPr="00044252">
              <w:t xml:space="preserve">Board met </w:t>
            </w:r>
            <w:r w:rsidRPr="0007239E">
              <w:t>5 times</w:t>
            </w:r>
            <w:r w:rsidRPr="00044252">
              <w:t xml:space="preserve"> in 2024–25.</w:t>
            </w:r>
          </w:p>
        </w:tc>
        <w:tc>
          <w:tcPr>
            <w:tcW w:w="883" w:type="pct"/>
            <w:shd w:val="clear" w:color="auto" w:fill="EEEEEE" w:themeFill="background2"/>
            <w:hideMark/>
          </w:tcPr>
          <w:p w14:paraId="46319209" w14:textId="77777777" w:rsidR="0087279F" w:rsidRPr="00044252" w:rsidRDefault="0087279F">
            <w:r w:rsidRPr="00044252">
              <w:t>Advisory role to Treasurer / Under Treasurer</w:t>
            </w:r>
          </w:p>
        </w:tc>
        <w:tc>
          <w:tcPr>
            <w:tcW w:w="1249" w:type="pct"/>
            <w:shd w:val="clear" w:color="auto" w:fill="EEEEEE" w:themeFill="background2"/>
            <w:hideMark/>
          </w:tcPr>
          <w:p w14:paraId="76BC317E" w14:textId="77777777" w:rsidR="0087279F" w:rsidRPr="00044252" w:rsidRDefault="0087279F" w:rsidP="00561343">
            <w:pPr>
              <w:pStyle w:val="Bullet"/>
              <w:tabs>
                <w:tab w:val="clear" w:pos="720"/>
                <w:tab w:val="num" w:pos="520"/>
              </w:tabs>
              <w:spacing w:after="0" w:line="240" w:lineRule="auto"/>
              <w:ind w:left="170" w:hanging="170"/>
            </w:pPr>
            <w:r>
              <w:t>SAFA Risk and Performance Committee</w:t>
            </w:r>
          </w:p>
        </w:tc>
      </w:tr>
    </w:tbl>
    <w:p w14:paraId="4202D62A" w14:textId="77777777" w:rsidR="00F102AD" w:rsidRPr="00F102AD" w:rsidRDefault="00F102AD" w:rsidP="00561343">
      <w:pPr>
        <w:pStyle w:val="Bullet"/>
        <w:numPr>
          <w:ilvl w:val="0"/>
          <w:numId w:val="0"/>
        </w:numPr>
        <w:rPr>
          <w:i/>
          <w:iCs/>
        </w:rPr>
      </w:pPr>
    </w:p>
    <w:sectPr w:rsidR="00F102AD" w:rsidRPr="00F102AD" w:rsidSect="00295B30">
      <w:headerReference w:type="even" r:id="rId33"/>
      <w:headerReference w:type="default" r:id="rId34"/>
      <w:footerReference w:type="even" r:id="rId35"/>
      <w:footerReference w:type="default" r:id="rId36"/>
      <w:headerReference w:type="first" r:id="rId37"/>
      <w:footerReference w:type="first" r:id="rId38"/>
      <w:pgSz w:w="11906" w:h="16838" w:code="9"/>
      <w:pgMar w:top="1843"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02516" w14:textId="77777777" w:rsidR="00670FA2" w:rsidRDefault="00670FA2">
      <w:pPr>
        <w:spacing w:before="0" w:after="0"/>
      </w:pPr>
      <w:r>
        <w:separator/>
      </w:r>
    </w:p>
  </w:endnote>
  <w:endnote w:type="continuationSeparator" w:id="0">
    <w:p w14:paraId="3CC62018" w14:textId="77777777" w:rsidR="00670FA2" w:rsidRDefault="00670FA2">
      <w:pPr>
        <w:spacing w:before="0" w:after="0"/>
      </w:pPr>
      <w:r>
        <w:continuationSeparator/>
      </w:r>
    </w:p>
  </w:endnote>
  <w:endnote w:type="continuationNotice" w:id="1">
    <w:p w14:paraId="3F3C74DB" w14:textId="77777777" w:rsidR="00670FA2" w:rsidRDefault="00670FA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004A8" w14:textId="5F18AC98" w:rsidR="00095D88" w:rsidRPr="00095D88" w:rsidRDefault="00C239D1" w:rsidP="00095D88">
    <w:pPr>
      <w:pStyle w:val="Footer"/>
    </w:pPr>
    <w:r>
      <w:rPr>
        <w:noProof/>
      </w:rPr>
      <mc:AlternateContent>
        <mc:Choice Requires="wps">
          <w:drawing>
            <wp:anchor distT="0" distB="0" distL="0" distR="0" simplePos="0" relativeHeight="251658252" behindDoc="0" locked="0" layoutInCell="1" allowOverlap="1" wp14:anchorId="50A238A1" wp14:editId="37771C1B">
              <wp:simplePos x="635" y="635"/>
              <wp:positionH relativeFrom="page">
                <wp:align>center</wp:align>
              </wp:positionH>
              <wp:positionV relativeFrom="page">
                <wp:align>bottom</wp:align>
              </wp:positionV>
              <wp:extent cx="551815" cy="452755"/>
              <wp:effectExtent l="0" t="0" r="635" b="0"/>
              <wp:wrapNone/>
              <wp:docPr id="527000627"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2FAA86A" w14:textId="751BCF95"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A238A1" id="_x0000_t202" coordsize="21600,21600" o:spt="202" path="m,l,21600r21600,l21600,xe">
              <v:stroke joinstyle="miter"/>
              <v:path gradientshapeok="t" o:connecttype="rect"/>
            </v:shapetype>
            <v:shape id="Text Box 38" o:spid="_x0000_s1029" type="#_x0000_t202" alt="OFFICIAL" style="position:absolute;left:0;text-align:left;margin-left:0;margin-top:0;width:43.45pt;height:35.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2FAA86A" w14:textId="751BCF95"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53CA" w14:textId="528BFE12" w:rsidR="00095D88" w:rsidRPr="00095D88" w:rsidRDefault="00C239D1" w:rsidP="00095D88">
    <w:pPr>
      <w:pStyle w:val="Footer"/>
    </w:pPr>
    <w:r>
      <w:rPr>
        <w:noProof/>
      </w:rPr>
      <mc:AlternateContent>
        <mc:Choice Requires="wps">
          <w:drawing>
            <wp:anchor distT="0" distB="0" distL="0" distR="0" simplePos="0" relativeHeight="251658253" behindDoc="0" locked="0" layoutInCell="1" allowOverlap="1" wp14:anchorId="5F9EDB85" wp14:editId="2953D832">
              <wp:simplePos x="901065" y="10087610"/>
              <wp:positionH relativeFrom="page">
                <wp:align>center</wp:align>
              </wp:positionH>
              <wp:positionV relativeFrom="page">
                <wp:align>bottom</wp:align>
              </wp:positionV>
              <wp:extent cx="551815" cy="452755"/>
              <wp:effectExtent l="0" t="0" r="635" b="0"/>
              <wp:wrapNone/>
              <wp:docPr id="1401699810"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3C6CEB3" w14:textId="4CF4584E"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EDB85" id="_x0000_t202" coordsize="21600,21600" o:spt="202" path="m,l,21600r21600,l21600,xe">
              <v:stroke joinstyle="miter"/>
              <v:path gradientshapeok="t" o:connecttype="rect"/>
            </v:shapetype>
            <v:shape id="Text Box 39" o:spid="_x0000_s1030" type="#_x0000_t202" alt="OFFICIAL" style="position:absolute;left:0;text-align:left;margin-left:0;margin-top:0;width:43.45pt;height:35.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qOvfpA4CAAAc&#10;BAAADgAAAAAAAAAAAAAAAAAuAgAAZHJzL2Uyb0RvYy54bWxQSwECLQAUAAYACAAAACEA763esdsA&#10;AAADAQAADwAAAAAAAAAAAAAAAABoBAAAZHJzL2Rvd25yZXYueG1sUEsFBgAAAAAEAAQA8wAAAHAF&#10;AAAAAA==&#10;" filled="f" stroked="f">
              <v:textbox style="mso-fit-shape-to-text:t" inset="0,0,0,15pt">
                <w:txbxContent>
                  <w:p w14:paraId="13C6CEB3" w14:textId="4CF4584E"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7E29" w14:textId="31CE61BB" w:rsidR="00095D88" w:rsidRPr="00095D88" w:rsidRDefault="00C239D1" w:rsidP="00095D88">
    <w:pPr>
      <w:pStyle w:val="Footer"/>
    </w:pPr>
    <w:r>
      <w:rPr>
        <w:noProof/>
      </w:rPr>
      <mc:AlternateContent>
        <mc:Choice Requires="wps">
          <w:drawing>
            <wp:anchor distT="0" distB="0" distL="0" distR="0" simplePos="0" relativeHeight="251658251" behindDoc="0" locked="0" layoutInCell="1" allowOverlap="1" wp14:anchorId="55880505" wp14:editId="42829E85">
              <wp:simplePos x="902677" y="10087708"/>
              <wp:positionH relativeFrom="page">
                <wp:align>center</wp:align>
              </wp:positionH>
              <wp:positionV relativeFrom="page">
                <wp:align>bottom</wp:align>
              </wp:positionV>
              <wp:extent cx="551815" cy="452755"/>
              <wp:effectExtent l="0" t="0" r="635" b="0"/>
              <wp:wrapNone/>
              <wp:docPr id="1651564879"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37A32FF" w14:textId="42032B31"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880505" id="_x0000_t202" coordsize="21600,21600" o:spt="202" path="m,l,21600r21600,l21600,xe">
              <v:stroke joinstyle="miter"/>
              <v:path gradientshapeok="t" o:connecttype="rect"/>
            </v:shapetype>
            <v:shape id="Text Box 37" o:spid="_x0000_s1032" type="#_x0000_t202" alt="OFFICIAL" style="position:absolute;left:0;text-align:left;margin-left:0;margin-top:0;width:43.45pt;height:35.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A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yNT9DpoTDuVg3Le3fN1h6Q3z4Zk5XDDOgaIN&#10;T3hIBX1N4WxR0oL78Td/zEfeMUpJj4KpqUFFU6K+GdxH1NZkuMnYJaO4zcsc4+ag7wFlWOCLsDyZ&#10;6HVBTaZ0oF9RzqtYCEPMcCxX091k3odRufgcuFitUhLKyLKwMVvLI3SkK3L5MrwyZ8+EB9zUI0xq&#10;YtUb3sfceNPb1SEg+2kpkdqRyDPjKMG01vNziRr/9T9lXR/18ic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mhwKQ4CAAAc&#10;BAAADgAAAAAAAAAAAAAAAAAuAgAAZHJzL2Uyb0RvYy54bWxQSwECLQAUAAYACAAAACEA763esdsA&#10;AAADAQAADwAAAAAAAAAAAAAAAABoBAAAZHJzL2Rvd25yZXYueG1sUEsFBgAAAAAEAAQA8wAAAHAF&#10;AAAAAA==&#10;" filled="f" stroked="f">
              <v:textbox style="mso-fit-shape-to-text:t" inset="0,0,0,15pt">
                <w:txbxContent>
                  <w:p w14:paraId="437A32FF" w14:textId="42032B31"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74422" w14:textId="40D929CA" w:rsidR="00B55B04" w:rsidRDefault="00C239D1" w:rsidP="00EE1447">
    <w:pPr>
      <w:pStyle w:val="FooterEven"/>
    </w:pPr>
    <w:r>
      <mc:AlternateContent>
        <mc:Choice Requires="wps">
          <w:drawing>
            <wp:anchor distT="0" distB="0" distL="0" distR="0" simplePos="0" relativeHeight="251658255" behindDoc="0" locked="0" layoutInCell="1" allowOverlap="1" wp14:anchorId="16F493D8" wp14:editId="2C03285A">
              <wp:simplePos x="635" y="635"/>
              <wp:positionH relativeFrom="page">
                <wp:align>center</wp:align>
              </wp:positionH>
              <wp:positionV relativeFrom="page">
                <wp:align>bottom</wp:align>
              </wp:positionV>
              <wp:extent cx="551815" cy="452755"/>
              <wp:effectExtent l="0" t="0" r="635" b="0"/>
              <wp:wrapNone/>
              <wp:docPr id="725177151"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30B7AE3" w14:textId="1A765206"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F493D8" id="_x0000_t202" coordsize="21600,21600" o:spt="202" path="m,l,21600r21600,l21600,xe">
              <v:stroke joinstyle="miter"/>
              <v:path gradientshapeok="t" o:connecttype="rect"/>
            </v:shapetype>
            <v:shape id="Text Box 41" o:spid="_x0000_s1035" type="#_x0000_t202" alt="OFFICIAL" style="position:absolute;margin-left:0;margin-top:0;width:43.45pt;height:35.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U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m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Ntfs1A4CAAAc&#10;BAAADgAAAAAAAAAAAAAAAAAuAgAAZHJzL2Uyb0RvYy54bWxQSwECLQAUAAYACAAAACEA763esdsA&#10;AAADAQAADwAAAAAAAAAAAAAAAABoBAAAZHJzL2Rvd25yZXYueG1sUEsFBgAAAAAEAAQA8wAAAHAF&#10;AAAAAA==&#10;" filled="f" stroked="f">
              <v:textbox style="mso-fit-shape-to-text:t" inset="0,0,0,15pt">
                <w:txbxContent>
                  <w:p w14:paraId="730B7AE3" w14:textId="1A765206"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r w:rsidR="00B55B04">
      <w:drawing>
        <wp:anchor distT="0" distB="0" distL="114300" distR="114300" simplePos="0" relativeHeight="251658241" behindDoc="1" locked="0" layoutInCell="1" allowOverlap="0" wp14:anchorId="4DF18905" wp14:editId="462272E3">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14" name="Picture 1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rsidR="00B55B04">
      <w:ptab w:relativeTo="margin" w:alignment="center" w:leader="none"/>
    </w:r>
    <w:r w:rsidR="00B55B04">
      <w:ptab w:relativeTo="margin" w:alignment="right" w:leader="none"/>
    </w:r>
    <w:r w:rsidR="002B2B83">
      <w:fldChar w:fldCharType="begin"/>
    </w:r>
    <w:r w:rsidR="002B2B83">
      <w:instrText xml:space="preserve"> STYLEREF  "Heading 1"  \* MERGEFORMAT </w:instrText>
    </w:r>
    <w:r w:rsidR="002B2B83">
      <w:fldChar w:fldCharType="end"/>
    </w:r>
    <w:r w:rsidR="00B55B04">
      <w:t xml:space="preserve"> | </w:t>
    </w:r>
    <w:r w:rsidR="00B55B04">
      <w:rPr>
        <w:noProof w:val="0"/>
      </w:rPr>
      <w:fldChar w:fldCharType="begin"/>
    </w:r>
    <w:r w:rsidR="00B55B04">
      <w:instrText xml:space="preserve"> PAGE   \* MERGEFORMAT </w:instrText>
    </w:r>
    <w:r w:rsidR="00B55B04">
      <w:rPr>
        <w:noProof w:val="0"/>
      </w:rPr>
      <w:fldChar w:fldCharType="separate"/>
    </w:r>
    <w:r w:rsidR="00B55B04">
      <w:t>3</w:t>
    </w:r>
    <w:r w:rsidR="00B55B0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14E7" w14:textId="14E0FD52" w:rsidR="002B2B83" w:rsidRDefault="00C239D1">
    <w:pPr>
      <w:pStyle w:val="Footer"/>
    </w:pPr>
    <w:r>
      <w:rPr>
        <w:noProof/>
      </w:rPr>
      <mc:AlternateContent>
        <mc:Choice Requires="wps">
          <w:drawing>
            <wp:anchor distT="0" distB="0" distL="0" distR="0" simplePos="0" relativeHeight="251658256" behindDoc="0" locked="0" layoutInCell="1" allowOverlap="1" wp14:anchorId="1662DEB3" wp14:editId="6B5857BB">
              <wp:simplePos x="635" y="635"/>
              <wp:positionH relativeFrom="page">
                <wp:align>center</wp:align>
              </wp:positionH>
              <wp:positionV relativeFrom="page">
                <wp:align>bottom</wp:align>
              </wp:positionV>
              <wp:extent cx="551815" cy="452755"/>
              <wp:effectExtent l="0" t="0" r="635" b="0"/>
              <wp:wrapNone/>
              <wp:docPr id="1947161403"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C6FC550" w14:textId="36F13673"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62DEB3" id="_x0000_t202" coordsize="21600,21600" o:spt="202" path="m,l,21600r21600,l21600,xe">
              <v:stroke joinstyle="miter"/>
              <v:path gradientshapeok="t" o:connecttype="rect"/>
            </v:shapetype>
            <v:shape id="Text Box 42" o:spid="_x0000_s1036" type="#_x0000_t202" alt="OFFICIAL" style="position:absolute;left:0;text-align:left;margin-left:0;margin-top:0;width:43.45pt;height:35.6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p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vZ2630FzwqEcjPv2lq87LL1hPjwzhwvGOVC0&#10;4QkPqaCvKZwtSlpwP/7mj/nIO0Yp6VEwNTWoaErUN4P7iNqaDDcZu2QUt3mZY9wc9D2gDAt8EZYn&#10;E70uqMmUDvQrynkVC2GIGY7larqbzPswKhefAxerVUpCGVkWNmZreYSOdEUuX4ZX5uyZ8ICbeoRJ&#10;Tax6w/uYG296uzoEZD8tJVI7EnlmHCWY1np+LlHjv/6nrOujXv4E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W2he6Q4CAAAc&#10;BAAADgAAAAAAAAAAAAAAAAAuAgAAZHJzL2Uyb0RvYy54bWxQSwECLQAUAAYACAAAACEA763esdsA&#10;AAADAQAADwAAAAAAAAAAAAAAAABoBAAAZHJzL2Rvd25yZXYueG1sUEsFBgAAAAAEAAQA8wAAAHAF&#10;AAAAAA==&#10;" filled="f" stroked="f">
              <v:textbox style="mso-fit-shape-to-text:t" inset="0,0,0,15pt">
                <w:txbxContent>
                  <w:p w14:paraId="0C6FC550" w14:textId="36F13673"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F55FC" w14:textId="1750BF8C" w:rsidR="00B55B04" w:rsidRDefault="00C239D1" w:rsidP="00962ACF">
    <w:pPr>
      <w:pStyle w:val="FooterOdd"/>
    </w:pPr>
    <w:r>
      <w:rPr>
        <w:noProof/>
        <w:position w:val="-8"/>
      </w:rPr>
      <mc:AlternateContent>
        <mc:Choice Requires="wps">
          <w:drawing>
            <wp:anchor distT="0" distB="0" distL="0" distR="0" simplePos="0" relativeHeight="251658254" behindDoc="0" locked="0" layoutInCell="1" allowOverlap="1" wp14:anchorId="13925D0B" wp14:editId="7F05ECD9">
              <wp:simplePos x="635" y="635"/>
              <wp:positionH relativeFrom="page">
                <wp:align>center</wp:align>
              </wp:positionH>
              <wp:positionV relativeFrom="page">
                <wp:align>bottom</wp:align>
              </wp:positionV>
              <wp:extent cx="551815" cy="452755"/>
              <wp:effectExtent l="0" t="0" r="635" b="0"/>
              <wp:wrapNone/>
              <wp:docPr id="1645625167"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321AAF8" w14:textId="1DA8CDBA"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925D0B" id="_x0000_t202" coordsize="21600,21600" o:spt="202" path="m,l,21600r21600,l21600,xe">
              <v:stroke joinstyle="miter"/>
              <v:path gradientshapeok="t" o:connecttype="rect"/>
            </v:shapetype>
            <v:shape id="Text Box 40" o:spid="_x0000_s1038" type="#_x0000_t202" alt="OFFICIAL" style="position:absolute;left:0;text-align:left;margin-left:0;margin-top:0;width:43.45pt;height:35.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YcDgIAAB0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XY/aX9HTQnnMrBuHBv+brD2hvmwzNzuGEcBFUb&#10;nvCQCvqawtmipAX342/+mI/EY5SSHhVTU4OSpkR9M7iQKK7JcJOxS0Zxm5c5xs1B3wPqsMAnYXky&#10;0euCmkzpQL+inlexEIaY4ViuprvJvA+jdPE9cLFapSTUkWVhY7aWR+jIVyTzZXhlzp4ZD7iqR5jk&#10;xKo3xI+58aa3q0NA+tNWIrcjkWfKUYNpr+f3EkX+63/Kur7q5U8A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23H2HA4CAAAd&#10;BAAADgAAAAAAAAAAAAAAAAAuAgAAZHJzL2Uyb0RvYy54bWxQSwECLQAUAAYACAAAACEA763esdsA&#10;AAADAQAADwAAAAAAAAAAAAAAAABoBAAAZHJzL2Rvd25yZXYueG1sUEsFBgAAAAAEAAQA8wAAAHAF&#10;AAAAAA==&#10;" filled="f" stroked="f">
              <v:textbox style="mso-fit-shape-to-text:t" inset="0,0,0,15pt">
                <w:txbxContent>
                  <w:p w14:paraId="6321AAF8" w14:textId="1DA8CDBA"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r w:rsidR="00B55B04" w:rsidRPr="00103F3C">
      <w:rPr>
        <w:noProof/>
        <w:position w:val="-8"/>
      </w:rPr>
      <w:drawing>
        <wp:inline distT="0" distB="0" distL="0" distR="0" wp14:anchorId="329E41C9" wp14:editId="7C4E9541">
          <wp:extent cx="1324800" cy="201600"/>
          <wp:effectExtent l="0" t="0" r="0" b="8255"/>
          <wp:docPr id="15" name="Picture 1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rsidR="00103F3C">
      <w:tab/>
    </w:r>
    <w:fldSimple w:instr=" STYLEREF  &quot;Heading 1&quot;  \* MERGEFORMAT ">
      <w:r w:rsidR="00E93B8D">
        <w:rPr>
          <w:noProof/>
        </w:rPr>
        <w:t>Contents</w:t>
      </w:r>
    </w:fldSimple>
    <w:r w:rsidR="00B55B04">
      <w:rPr>
        <w:noProof/>
      </w:rPr>
      <w:t xml:space="preserve"> </w:t>
    </w:r>
    <w:r w:rsidR="00B55B04">
      <w:t xml:space="preserve">| </w:t>
    </w:r>
    <w:r w:rsidR="00B55B04">
      <w:fldChar w:fldCharType="begin"/>
    </w:r>
    <w:r w:rsidR="00B55B04">
      <w:instrText xml:space="preserve"> PAGE   \* MERGEFORMAT </w:instrText>
    </w:r>
    <w:r w:rsidR="00B55B04">
      <w:fldChar w:fldCharType="separate"/>
    </w:r>
    <w:r w:rsidR="00B55B04">
      <w:t>2</w:t>
    </w:r>
    <w:r w:rsidR="00B55B04">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9927" w14:textId="344D9032" w:rsidR="00672B5D" w:rsidRDefault="00C239D1" w:rsidP="00BC6E69">
    <w:pPr>
      <w:pStyle w:val="FooterEven"/>
      <w:jc w:val="both"/>
    </w:pPr>
    <w:r>
      <mc:AlternateContent>
        <mc:Choice Requires="wps">
          <w:drawing>
            <wp:anchor distT="0" distB="0" distL="0" distR="0" simplePos="0" relativeHeight="251658258" behindDoc="0" locked="0" layoutInCell="1" allowOverlap="1" wp14:anchorId="474A5208" wp14:editId="76BEE65D">
              <wp:simplePos x="635" y="635"/>
              <wp:positionH relativeFrom="page">
                <wp:align>center</wp:align>
              </wp:positionH>
              <wp:positionV relativeFrom="page">
                <wp:align>bottom</wp:align>
              </wp:positionV>
              <wp:extent cx="551815" cy="452755"/>
              <wp:effectExtent l="0" t="0" r="635" b="0"/>
              <wp:wrapNone/>
              <wp:docPr id="1268610319"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AD6503A" w14:textId="5AD072D2"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4A5208" id="_x0000_t202" coordsize="21600,21600" o:spt="202" path="m,l,21600r21600,l21600,xe">
              <v:stroke joinstyle="miter"/>
              <v:path gradientshapeok="t" o:connecttype="rect"/>
            </v:shapetype>
            <v:shape id="Text Box 47" o:spid="_x0000_s1041" type="#_x0000_t202" alt="OFFICIAL" style="position:absolute;left:0;text-align:left;margin-left:0;margin-top:0;width:43.45pt;height:35.6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AIzjtcPAgAA&#10;HQQAAA4AAAAAAAAAAAAAAAAALgIAAGRycy9lMm9Eb2MueG1sUEsBAi0AFAAGAAgAAAAhAO+t3rHb&#10;AAAAAwEAAA8AAAAAAAAAAAAAAAAAaQQAAGRycy9kb3ducmV2LnhtbFBLBQYAAAAABAAEAPMAAABx&#10;BQAAAAA=&#10;" filled="f" stroked="f">
              <v:textbox style="mso-fit-shape-to-text:t" inset="0,0,0,15pt">
                <w:txbxContent>
                  <w:p w14:paraId="0AD6503A" w14:textId="5AD072D2"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r w:rsidR="00672B5D">
      <w:t xml:space="preserve"> </w:t>
    </w:r>
    <w:r w:rsidR="00672B5D">
      <w:rPr>
        <w:noProof w:val="0"/>
      </w:rPr>
      <w:fldChar w:fldCharType="begin"/>
    </w:r>
    <w:r w:rsidR="00672B5D">
      <w:instrText xml:space="preserve"> PAGE   \* MERGEFORMAT </w:instrText>
    </w:r>
    <w:r w:rsidR="00672B5D">
      <w:rPr>
        <w:noProof w:val="0"/>
      </w:rPr>
      <w:fldChar w:fldCharType="separate"/>
    </w:r>
    <w:r w:rsidR="00672B5D">
      <w:rPr>
        <w:noProof w:val="0"/>
      </w:rPr>
      <w:t>2</w:t>
    </w:r>
    <w:r w:rsidR="00672B5D">
      <w:fldChar w:fldCharType="end"/>
    </w:r>
    <w:r w:rsidR="00672B5D">
      <w:t xml:space="preserve"> | </w:t>
    </w:r>
    <w:fldSimple w:instr="STYLEREF  &quot;Heading 1&quot;  \* MERGEFORMAT">
      <w:r w:rsidR="00E93B8D">
        <w:t>Debt Management Strategy</w:t>
      </w:r>
    </w:fldSimple>
    <w:r w:rsidR="00103F3C">
      <w:tab/>
    </w:r>
    <w:r w:rsidR="00103F3C" w:rsidRPr="00103F3C">
      <w:rPr>
        <w:position w:val="-8"/>
      </w:rPr>
      <w:drawing>
        <wp:inline distT="0" distB="0" distL="0" distR="0" wp14:anchorId="35915240" wp14:editId="230D389E">
          <wp:extent cx="1324800" cy="201600"/>
          <wp:effectExtent l="0" t="0" r="0" b="8255"/>
          <wp:docPr id="29" name="Picture 2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9E9B" w14:textId="3940036B" w:rsidR="002B2B83" w:rsidRDefault="00C239D1">
    <w:pPr>
      <w:pStyle w:val="Footer"/>
    </w:pPr>
    <w:r>
      <w:rPr>
        <w:noProof/>
      </w:rPr>
      <mc:AlternateContent>
        <mc:Choice Requires="wps">
          <w:drawing>
            <wp:anchor distT="0" distB="0" distL="0" distR="0" simplePos="0" relativeHeight="251658259" behindDoc="0" locked="0" layoutInCell="1" allowOverlap="1" wp14:anchorId="67CFFA88" wp14:editId="3DB1FF16">
              <wp:simplePos x="635" y="635"/>
              <wp:positionH relativeFrom="page">
                <wp:align>center</wp:align>
              </wp:positionH>
              <wp:positionV relativeFrom="page">
                <wp:align>bottom</wp:align>
              </wp:positionV>
              <wp:extent cx="551815" cy="452755"/>
              <wp:effectExtent l="0" t="0" r="635" b="0"/>
              <wp:wrapNone/>
              <wp:docPr id="2047566959"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D4B8791" w14:textId="559CBE62"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CFFA88" id="_x0000_t202" coordsize="21600,21600" o:spt="202" path="m,l,21600r21600,l21600,xe">
              <v:stroke joinstyle="miter"/>
              <v:path gradientshapeok="t" o:connecttype="rect"/>
            </v:shapetype>
            <v:shape id="Text Box 48" o:spid="_x0000_s1042" type="#_x0000_t202" alt="OFFICIAL" style="position:absolute;left:0;text-align:left;margin-left:0;margin-top:0;width:43.45pt;height:35.6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" filled="f" stroked="f">
              <v:textbox style="mso-fit-shape-to-text:t" inset="0,0,0,15pt">
                <w:txbxContent>
                  <w:p w14:paraId="7D4B8791" w14:textId="559CBE62"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9BFBB" w14:textId="274D5056" w:rsidR="00095D88" w:rsidRPr="00095D88" w:rsidRDefault="00C239D1" w:rsidP="00095D88">
    <w:pPr>
      <w:pStyle w:val="Footer"/>
    </w:pPr>
    <w:r>
      <w:rPr>
        <w:noProof/>
      </w:rPr>
      <mc:AlternateContent>
        <mc:Choice Requires="wps">
          <w:drawing>
            <wp:anchor distT="0" distB="0" distL="0" distR="0" simplePos="0" relativeHeight="251658257" behindDoc="0" locked="0" layoutInCell="1" allowOverlap="1" wp14:anchorId="5C0FB34E" wp14:editId="20E62C64">
              <wp:simplePos x="635" y="635"/>
              <wp:positionH relativeFrom="page">
                <wp:align>center</wp:align>
              </wp:positionH>
              <wp:positionV relativeFrom="page">
                <wp:align>bottom</wp:align>
              </wp:positionV>
              <wp:extent cx="551815" cy="452755"/>
              <wp:effectExtent l="0" t="0" r="635" b="0"/>
              <wp:wrapNone/>
              <wp:docPr id="1407543507"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05B1C8FA" w14:textId="1077DF43"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FB34E" id="_x0000_t202" coordsize="21600,21600" o:spt="202" path="m,l,21600r21600,l21600,xe">
              <v:stroke joinstyle="miter"/>
              <v:path gradientshapeok="t" o:connecttype="rect"/>
            </v:shapetype>
            <v:shape id="Text Box 46" o:spid="_x0000_s1044" type="#_x0000_t202" alt="OFFICIAL" style="position:absolute;left:0;text-align:left;margin-left:0;margin-top:0;width:43.45pt;height:35.6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" filled="f" stroked="f">
              <v:textbox style="mso-fit-shape-to-text:t" inset="0,0,0,15pt">
                <w:txbxContent>
                  <w:p w14:paraId="05B1C8FA" w14:textId="1077DF43"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17B31" w14:textId="77777777" w:rsidR="00670FA2" w:rsidRPr="00ED5A20" w:rsidRDefault="00670FA2" w:rsidP="000F6233">
      <w:pPr>
        <w:rPr>
          <w:color w:val="4D7861" w:themeColor="accent2"/>
        </w:rPr>
      </w:pPr>
      <w:r w:rsidRPr="00ED5A20">
        <w:rPr>
          <w:color w:val="4D7861" w:themeColor="accent2"/>
        </w:rPr>
        <w:separator/>
      </w:r>
    </w:p>
  </w:footnote>
  <w:footnote w:type="continuationSeparator" w:id="0">
    <w:p w14:paraId="596C4E19" w14:textId="77777777" w:rsidR="00670FA2" w:rsidRPr="00B737EB" w:rsidRDefault="00670FA2">
      <w:pPr>
        <w:spacing w:before="0" w:after="0"/>
        <w:rPr>
          <w:color w:val="2C384A" w:themeColor="accent1"/>
        </w:rPr>
      </w:pPr>
      <w:r w:rsidRPr="00B737EB">
        <w:rPr>
          <w:color w:val="2C384A" w:themeColor="accent1"/>
        </w:rPr>
        <w:continuationSeparator/>
      </w:r>
    </w:p>
  </w:footnote>
  <w:footnote w:type="continuationNotice" w:id="1">
    <w:p w14:paraId="48C4D319" w14:textId="77777777" w:rsidR="00670FA2" w:rsidRDefault="00670FA2">
      <w:pPr>
        <w:spacing w:before="0" w:after="0"/>
      </w:pPr>
    </w:p>
  </w:footnote>
  <w:footnote w:id="2">
    <w:p w14:paraId="0214C22E" w14:textId="382D9A59" w:rsidR="00915F86" w:rsidRDefault="00915F86">
      <w:pPr>
        <w:pStyle w:val="FootnoteText"/>
      </w:pPr>
      <w:r w:rsidRPr="00A43B3D">
        <w:rPr>
          <w:rStyle w:val="FootnoteReference"/>
        </w:rPr>
        <w:footnoteRef/>
      </w:r>
      <w:r w:rsidRPr="00A43B3D">
        <w:t xml:space="preserve"> </w:t>
      </w:r>
      <w:r w:rsidR="00A43B3D" w:rsidRPr="00A43B3D">
        <w:t>Australian</w:t>
      </w:r>
      <w:r w:rsidR="00A43B3D">
        <w:t xml:space="preserve"> National Audit Office’s 2024 review of the AOFM, available</w:t>
      </w:r>
      <w:r w:rsidR="00CD7123">
        <w:t xml:space="preserve"> </w:t>
      </w:r>
      <w:hyperlink r:id="rId1" w:history="1">
        <w:r w:rsidR="00CD7123" w:rsidRPr="003D6597">
          <w:rPr>
            <w:rStyle w:val="Hyperlink"/>
          </w:rPr>
          <w:t>here</w:t>
        </w:r>
      </w:hyperlink>
      <w:r w:rsidR="00A43B3D">
        <w:t>.</w:t>
      </w:r>
    </w:p>
  </w:footnote>
  <w:footnote w:id="3">
    <w:p w14:paraId="414779CB" w14:textId="70E3D691" w:rsidR="00D82A03" w:rsidRDefault="00D82A03">
      <w:pPr>
        <w:pStyle w:val="FootnoteText"/>
      </w:pPr>
      <w:r>
        <w:rPr>
          <w:rStyle w:val="FootnoteReference"/>
        </w:rPr>
        <w:footnoteRef/>
      </w:r>
      <w:r>
        <w:t xml:space="preserve"> </w:t>
      </w:r>
      <w:r w:rsidR="00CB5341">
        <w:t>Governance information included in AOFM Annual Report 2024-25, available</w:t>
      </w:r>
      <w:hyperlink r:id="rId2" w:history="1">
        <w:r w:rsidR="00CB5341" w:rsidRPr="005E2512">
          <w:rPr>
            <w:rStyle w:val="Hyperlink"/>
          </w:rPr>
          <w:t xml:space="preserve"> </w:t>
        </w:r>
        <w:hyperlink r:id="rId3" w:history="1">
          <w:r w:rsidR="00CB5341" w:rsidRPr="005E2512">
            <w:rPr>
              <w:rStyle w:val="Hyperlink"/>
            </w:rPr>
            <w:t>her</w:t>
          </w:r>
          <w:bookmarkStart w:id="17" w:name="_Hlt227241678"/>
          <w:bookmarkStart w:id="18" w:name="_Hlt227241679"/>
          <w:r w:rsidR="00CB5341" w:rsidRPr="005E2512">
            <w:rPr>
              <w:rStyle w:val="Hyperlink"/>
            </w:rPr>
            <w:t>e</w:t>
          </w:r>
          <w:bookmarkEnd w:id="17"/>
          <w:bookmarkEnd w:id="18"/>
        </w:hyperlink>
      </w:hyperlink>
      <w:r w:rsidR="00CB5341">
        <w:t xml:space="preserve">. </w:t>
      </w:r>
    </w:p>
  </w:footnote>
  <w:footnote w:id="4">
    <w:p w14:paraId="5F42185D" w14:textId="20B9C91A" w:rsidR="007B271B" w:rsidRDefault="007B271B">
      <w:pPr>
        <w:pStyle w:val="FootnoteText"/>
      </w:pPr>
      <w:r>
        <w:rPr>
          <w:rStyle w:val="FootnoteReference"/>
        </w:rPr>
        <w:footnoteRef/>
      </w:r>
      <w:r>
        <w:t xml:space="preserve"> AOFM Forthcoming Transactions, available </w:t>
      </w:r>
      <w:hyperlink r:id="rId4" w:history="1">
        <w:r w:rsidRPr="00530EF4">
          <w:rPr>
            <w:rStyle w:val="Hyperlink"/>
          </w:rPr>
          <w:t>here</w:t>
        </w:r>
      </w:hyperlink>
      <w:r>
        <w:t xml:space="preserve">. </w:t>
      </w:r>
    </w:p>
  </w:footnote>
  <w:footnote w:id="5">
    <w:p w14:paraId="4DAF5E42" w14:textId="10214C56" w:rsidR="00147E2A" w:rsidRDefault="00147E2A" w:rsidP="00147E2A">
      <w:pPr>
        <w:pStyle w:val="FootnoteText"/>
      </w:pPr>
      <w:r>
        <w:rPr>
          <w:rStyle w:val="FootnoteReference"/>
        </w:rPr>
        <w:footnoteRef/>
      </w:r>
      <w:r>
        <w:t xml:space="preserve"> Australian National Audit Office’s 2024 review of the AOFM, availabl</w:t>
      </w:r>
      <w:r w:rsidR="00C60564">
        <w:t xml:space="preserve">e </w:t>
      </w:r>
      <w:hyperlink r:id="rId5" w:history="1">
        <w:r w:rsidR="00C60564" w:rsidRPr="00216DAB">
          <w:rPr>
            <w:rStyle w:val="Hyperlink"/>
          </w:rPr>
          <w:t>h</w:t>
        </w:r>
        <w:bookmarkStart w:id="19" w:name="_Hlt227241774"/>
        <w:bookmarkStart w:id="20" w:name="_Hlt227241775"/>
        <w:r w:rsidR="00C60564" w:rsidRPr="00216DAB">
          <w:rPr>
            <w:rStyle w:val="Hyperlink"/>
          </w:rPr>
          <w:t>e</w:t>
        </w:r>
        <w:bookmarkEnd w:id="19"/>
        <w:bookmarkEnd w:id="20"/>
        <w:r w:rsidR="00C60564" w:rsidRPr="00216DAB">
          <w:rPr>
            <w:rStyle w:val="Hyperlink"/>
          </w:rPr>
          <w:t>re</w:t>
        </w:r>
      </w:hyperlink>
      <w:r w:rsidR="00C60564">
        <w:t>.</w:t>
      </w:r>
      <w:r>
        <w:t xml:space="preserve"> </w:t>
      </w:r>
    </w:p>
  </w:footnote>
  <w:footnote w:id="6">
    <w:p w14:paraId="3C44DCBC" w14:textId="317D25CB" w:rsidR="00001EC1" w:rsidRDefault="00001EC1">
      <w:pPr>
        <w:pStyle w:val="FootnoteText"/>
      </w:pPr>
      <w:r>
        <w:rPr>
          <w:rStyle w:val="FootnoteReference"/>
        </w:rPr>
        <w:footnoteRef/>
      </w:r>
      <w:r>
        <w:t xml:space="preserve"> </w:t>
      </w:r>
      <w:r w:rsidR="00EA273A">
        <w:t xml:space="preserve">According to the </w:t>
      </w:r>
      <w:hyperlink r:id="rId6" w:history="1">
        <w:r w:rsidR="007C2879" w:rsidRPr="00D8486A">
          <w:rPr>
            <w:rStyle w:val="Hyperlink"/>
          </w:rPr>
          <w:t xml:space="preserve">AOFM </w:t>
        </w:r>
        <w:r w:rsidR="00D8486A" w:rsidRPr="00D8486A">
          <w:rPr>
            <w:rStyle w:val="Hyperlink"/>
          </w:rPr>
          <w:t>Annual Report 2024-25</w:t>
        </w:r>
      </w:hyperlink>
      <w:r w:rsidR="0055001D">
        <w:t>.</w:t>
      </w:r>
    </w:p>
  </w:footnote>
  <w:footnote w:id="7">
    <w:p w14:paraId="644213D6" w14:textId="503A6480" w:rsidR="00FB3FB8" w:rsidRDefault="00FB3FB8">
      <w:pPr>
        <w:pStyle w:val="FootnoteText"/>
      </w:pPr>
      <w:r>
        <w:rPr>
          <w:rStyle w:val="FootnoteReference"/>
        </w:rPr>
        <w:footnoteRef/>
      </w:r>
      <w:r>
        <w:t xml:space="preserve"> According to </w:t>
      </w:r>
      <w:r w:rsidR="000F77E3">
        <w:t>End of Month Positions data</w:t>
      </w:r>
      <w:r w:rsidR="00692A32">
        <w:t xml:space="preserve">, available </w:t>
      </w:r>
      <w:hyperlink r:id="rId7" w:history="1">
        <w:r w:rsidR="00692A32" w:rsidRPr="00692A32">
          <w:rPr>
            <w:rStyle w:val="Hyperlink"/>
          </w:rPr>
          <w:t>here</w:t>
        </w:r>
      </w:hyperlink>
      <w:r w:rsidR="00692A32">
        <w:t>.</w:t>
      </w:r>
    </w:p>
  </w:footnote>
  <w:footnote w:id="8">
    <w:p w14:paraId="26692925" w14:textId="5B2D1D1A" w:rsidR="0008597D" w:rsidRDefault="0008597D">
      <w:pPr>
        <w:pStyle w:val="FootnoteText"/>
      </w:pPr>
      <w:r>
        <w:rPr>
          <w:rStyle w:val="FootnoteReference"/>
        </w:rPr>
        <w:footnoteRef/>
      </w:r>
      <w:r>
        <w:t xml:space="preserve"> A futures contract references more than one physical bond.</w:t>
      </w:r>
    </w:p>
  </w:footnote>
  <w:footnote w:id="9">
    <w:p w14:paraId="74D4C198" w14:textId="5F72F16D" w:rsidR="00EA2A01" w:rsidRDefault="00EA2A01">
      <w:pPr>
        <w:pStyle w:val="FootnoteText"/>
      </w:pPr>
      <w:r>
        <w:rPr>
          <w:rStyle w:val="FootnoteReference"/>
        </w:rPr>
        <w:footnoteRef/>
      </w:r>
      <w:r>
        <w:t xml:space="preserve"> </w:t>
      </w:r>
      <w:r w:rsidR="00FC6AF6">
        <w:t xml:space="preserve">According to the </w:t>
      </w:r>
      <w:hyperlink r:id="rId8" w:history="1">
        <w:r w:rsidR="00FC6AF6" w:rsidRPr="00D8486A">
          <w:rPr>
            <w:rStyle w:val="Hyperlink"/>
          </w:rPr>
          <w:t>AOFM Annual Report 2024-25</w:t>
        </w:r>
      </w:hyperlink>
      <w:r w:rsidR="00FC6AF6">
        <w:t>.</w:t>
      </w:r>
    </w:p>
  </w:footnote>
  <w:footnote w:id="10">
    <w:p w14:paraId="40658914" w14:textId="18A35A19" w:rsidR="00D355C2" w:rsidRDefault="00D355C2">
      <w:pPr>
        <w:pStyle w:val="FootnoteText"/>
      </w:pPr>
      <w:r>
        <w:rPr>
          <w:rStyle w:val="FootnoteReference"/>
        </w:rPr>
        <w:footnoteRef/>
      </w:r>
      <w:r>
        <w:t xml:space="preserve"> According to End of Month Positions data, available </w:t>
      </w:r>
      <w:hyperlink r:id="rId9" w:history="1">
        <w:r w:rsidRPr="00692A32">
          <w:rPr>
            <w:rStyle w:val="Hyperlink"/>
          </w:rPr>
          <w:t>here</w:t>
        </w:r>
      </w:hyperlink>
      <w:r>
        <w:t>.</w:t>
      </w:r>
    </w:p>
  </w:footnote>
  <w:footnote w:id="11">
    <w:p w14:paraId="09E7E609" w14:textId="29EBB22A" w:rsidR="004533F1" w:rsidRDefault="004533F1">
      <w:pPr>
        <w:pStyle w:val="FootnoteText"/>
      </w:pPr>
      <w:r>
        <w:rPr>
          <w:rStyle w:val="FootnoteReference"/>
        </w:rPr>
        <w:footnoteRef/>
      </w:r>
      <w:r>
        <w:t xml:space="preserve"> According to End of Month Positions data, available </w:t>
      </w:r>
      <w:hyperlink r:id="rId10" w:history="1">
        <w:r w:rsidRPr="00692A32">
          <w:rPr>
            <w:rStyle w:val="Hyperlink"/>
          </w:rPr>
          <w:t>here</w:t>
        </w:r>
      </w:hyperlink>
      <w:r>
        <w:t>.</w:t>
      </w:r>
    </w:p>
  </w:footnote>
  <w:footnote w:id="12">
    <w:p w14:paraId="237B2955" w14:textId="6B308628" w:rsidR="008C60F9" w:rsidRDefault="008C60F9">
      <w:pPr>
        <w:pStyle w:val="FootnoteText"/>
      </w:pPr>
      <w:r>
        <w:rPr>
          <w:rStyle w:val="FootnoteReference"/>
        </w:rPr>
        <w:footnoteRef/>
      </w:r>
      <w:r>
        <w:t xml:space="preserve"> According to the </w:t>
      </w:r>
      <w:hyperlink r:id="rId11" w:history="1">
        <w:r w:rsidRPr="00D8486A">
          <w:rPr>
            <w:rStyle w:val="Hyperlink"/>
          </w:rPr>
          <w:t>AOFM Annual Report 2024-25</w:t>
        </w:r>
      </w:hyperlink>
      <w:r>
        <w:t>.</w:t>
      </w:r>
    </w:p>
  </w:footnote>
  <w:footnote w:id="13">
    <w:p w14:paraId="76565760" w14:textId="39E58C2D" w:rsidR="00F17F0F" w:rsidRDefault="00F17F0F">
      <w:pPr>
        <w:pStyle w:val="FootnoteText"/>
      </w:pPr>
      <w:r>
        <w:rPr>
          <w:rStyle w:val="FootnoteReference"/>
        </w:rPr>
        <w:footnoteRef/>
      </w:r>
      <w:r>
        <w:t xml:space="preserve"> The </w:t>
      </w:r>
      <w:r w:rsidR="00F557DC">
        <w:t xml:space="preserve">considerations </w:t>
      </w:r>
      <w:r>
        <w:t xml:space="preserve">the AOFM uses to determine syndicate banks is </w:t>
      </w:r>
      <w:r w:rsidR="00435AED">
        <w:t>available</w:t>
      </w:r>
      <w:r>
        <w:t xml:space="preserve"> </w:t>
      </w:r>
      <w:hyperlink r:id="rId12" w:history="1">
        <w:r w:rsidRPr="00734499">
          <w:rPr>
            <w:rStyle w:val="Hyperlink"/>
          </w:rPr>
          <w:t>he</w:t>
        </w:r>
        <w:bookmarkStart w:id="23" w:name="_Hlt227241941"/>
        <w:bookmarkStart w:id="24" w:name="_Hlt227241942"/>
        <w:r w:rsidRPr="00734499">
          <w:rPr>
            <w:rStyle w:val="Hyperlink"/>
          </w:rPr>
          <w:t>r</w:t>
        </w:r>
        <w:bookmarkEnd w:id="23"/>
        <w:bookmarkEnd w:id="24"/>
        <w:r w:rsidRPr="00734499">
          <w:rPr>
            <w:rStyle w:val="Hyperlink"/>
          </w:rPr>
          <w:t>e</w:t>
        </w:r>
      </w:hyperlink>
      <w:r w:rsidR="00435AED">
        <w:t>.</w:t>
      </w:r>
    </w:p>
  </w:footnote>
  <w:footnote w:id="14">
    <w:p w14:paraId="1C1C4BB9" w14:textId="333B304B" w:rsidR="00D03BC6" w:rsidRDefault="00D03BC6">
      <w:pPr>
        <w:pStyle w:val="FootnoteText"/>
      </w:pPr>
      <w:r>
        <w:rPr>
          <w:rStyle w:val="FootnoteReference"/>
        </w:rPr>
        <w:footnoteRef/>
      </w:r>
      <w:r>
        <w:t xml:space="preserve"> </w:t>
      </w:r>
      <w:r w:rsidR="00AC7174">
        <w:t xml:space="preserve">The </w:t>
      </w:r>
      <w:r w:rsidR="009C4E2C">
        <w:t xml:space="preserve">role of buybacks in the AOFM operations, available </w:t>
      </w:r>
      <w:hyperlink r:id="rId13" w:history="1">
        <w:r w:rsidR="009C4E2C" w:rsidRPr="000D4B43">
          <w:rPr>
            <w:rStyle w:val="Hyperlink"/>
          </w:rPr>
          <w:t>here</w:t>
        </w:r>
      </w:hyperlink>
      <w:r w:rsidR="009C4E2C">
        <w:t xml:space="preserve">. </w:t>
      </w:r>
    </w:p>
  </w:footnote>
  <w:footnote w:id="15">
    <w:p w14:paraId="1DDFBA25" w14:textId="7937046D" w:rsidR="008C200E" w:rsidRPr="008C200E" w:rsidRDefault="00334571" w:rsidP="008C200E">
      <w:pPr>
        <w:pStyle w:val="FootnoteText"/>
        <w:rPr>
          <w:b/>
          <w:bCs/>
        </w:rPr>
      </w:pPr>
      <w:r>
        <w:rPr>
          <w:rStyle w:val="FootnoteReference"/>
        </w:rPr>
        <w:footnoteRef/>
      </w:r>
      <w:r>
        <w:t xml:space="preserve"> </w:t>
      </w:r>
      <w:r w:rsidR="008C200E" w:rsidRPr="008C200E">
        <w:t xml:space="preserve">Repurchase of the September 2026 Treasury Bond, available </w:t>
      </w:r>
      <w:hyperlink r:id="rId14" w:history="1">
        <w:r w:rsidR="008C200E" w:rsidRPr="00B85A86">
          <w:rPr>
            <w:rStyle w:val="Hyperlink"/>
          </w:rPr>
          <w:t>here</w:t>
        </w:r>
      </w:hyperlink>
      <w:r w:rsidR="008C200E" w:rsidRPr="008C200E">
        <w:t>.</w:t>
      </w:r>
      <w:r w:rsidR="008C200E">
        <w:rPr>
          <w:b/>
          <w:bCs/>
        </w:rPr>
        <w:t xml:space="preserve"> </w:t>
      </w:r>
    </w:p>
    <w:p w14:paraId="0E0251DB" w14:textId="2AF4CCB9" w:rsidR="00334571" w:rsidRDefault="00334571">
      <w:pPr>
        <w:pStyle w:val="FootnoteText"/>
      </w:pPr>
    </w:p>
  </w:footnote>
  <w:footnote w:id="16">
    <w:p w14:paraId="7334245A" w14:textId="3AD1404D" w:rsidR="008D54CF" w:rsidRDefault="008D54CF">
      <w:pPr>
        <w:pStyle w:val="FootnoteText"/>
      </w:pPr>
      <w:r>
        <w:rPr>
          <w:rStyle w:val="FootnoteReference"/>
        </w:rPr>
        <w:footnoteRef/>
      </w:r>
      <w:r>
        <w:t xml:space="preserve"> According to</w:t>
      </w:r>
      <w:r w:rsidR="00CA3DBF">
        <w:t xml:space="preserve"> Ownership of Australian Government Securities data, available </w:t>
      </w:r>
      <w:hyperlink r:id="rId15" w:history="1">
        <w:r w:rsidR="00CA3DBF" w:rsidRPr="00E67FE7">
          <w:rPr>
            <w:rStyle w:val="Hyperlink"/>
          </w:rPr>
          <w:t>here</w:t>
        </w:r>
      </w:hyperlink>
      <w:r w:rsidR="00CA3DBF">
        <w:t>.</w:t>
      </w:r>
    </w:p>
  </w:footnote>
  <w:footnote w:id="17">
    <w:p w14:paraId="13E82ABC" w14:textId="4F722A8F" w:rsidR="0001647D" w:rsidRDefault="0001647D">
      <w:pPr>
        <w:pStyle w:val="FootnoteText"/>
      </w:pPr>
      <w:r>
        <w:rPr>
          <w:rStyle w:val="FootnoteReference"/>
        </w:rPr>
        <w:footnoteRef/>
      </w:r>
      <w:r>
        <w:t xml:space="preserve"> </w:t>
      </w:r>
      <w:r w:rsidR="009E6835">
        <w:t xml:space="preserve">The 2025-26 AOFM Audit and Risk Committee Charter is available </w:t>
      </w:r>
      <w:hyperlink r:id="rId16" w:history="1">
        <w:r w:rsidR="009E6835" w:rsidRPr="000A7C7A">
          <w:rPr>
            <w:rStyle w:val="Hyperlink"/>
          </w:rPr>
          <w:t>here</w:t>
        </w:r>
      </w:hyperlink>
      <w:r w:rsidR="009E6835">
        <w:t xml:space="preserve">. </w:t>
      </w:r>
    </w:p>
  </w:footnote>
  <w:footnote w:id="18">
    <w:p w14:paraId="3D60D53F" w14:textId="577E8AC1" w:rsidR="00024F31" w:rsidRDefault="00024F31">
      <w:pPr>
        <w:pStyle w:val="FootnoteText"/>
      </w:pPr>
      <w:r>
        <w:rPr>
          <w:rStyle w:val="FootnoteReference"/>
        </w:rPr>
        <w:footnoteRef/>
      </w:r>
      <w:r>
        <w:t xml:space="preserve"> </w:t>
      </w:r>
      <w:r w:rsidRPr="00221899">
        <w:t>The operational risks of the debt program are managed through the Enterprise Risk Framework</w:t>
      </w:r>
      <w:r>
        <w:t>.</w:t>
      </w:r>
    </w:p>
  </w:footnote>
  <w:footnote w:id="19">
    <w:p w14:paraId="5582433D" w14:textId="77777777" w:rsidR="001B1648" w:rsidRDefault="001B1648" w:rsidP="001B1648">
      <w:pPr>
        <w:pStyle w:val="FootnoteText"/>
      </w:pPr>
      <w:r>
        <w:rPr>
          <w:rStyle w:val="FootnoteReference"/>
        </w:rPr>
        <w:footnoteRef/>
      </w:r>
      <w:r>
        <w:t xml:space="preserve"> </w:t>
      </w:r>
      <w:hyperlink r:id="rId17" w:history="1">
        <w:r w:rsidRPr="00C92CFC">
          <w:rPr>
            <w:rStyle w:val="Hyperlink"/>
          </w:rPr>
          <w:t>Australian Office of Financial Management</w:t>
        </w:r>
      </w:hyperlink>
    </w:p>
  </w:footnote>
  <w:footnote w:id="20">
    <w:p w14:paraId="015A59B9" w14:textId="77777777" w:rsidR="001B1648" w:rsidRDefault="001B1648" w:rsidP="001B1648">
      <w:pPr>
        <w:pStyle w:val="FootnoteText"/>
      </w:pPr>
      <w:r>
        <w:rPr>
          <w:rStyle w:val="FootnoteReference"/>
        </w:rPr>
        <w:footnoteRef/>
      </w:r>
      <w:r>
        <w:t xml:space="preserve"> </w:t>
      </w:r>
      <w:hyperlink r:id="rId18" w:history="1">
        <w:r w:rsidRPr="00D60A89">
          <w:rPr>
            <w:rStyle w:val="Hyperlink"/>
          </w:rPr>
          <w:t>New Zealand Debt Management</w:t>
        </w:r>
      </w:hyperlink>
    </w:p>
  </w:footnote>
  <w:footnote w:id="21">
    <w:p w14:paraId="0230CA87" w14:textId="77777777" w:rsidR="001B1648" w:rsidRDefault="001B1648" w:rsidP="001B1648">
      <w:pPr>
        <w:pStyle w:val="FootnoteText"/>
      </w:pPr>
      <w:r>
        <w:rPr>
          <w:rStyle w:val="FootnoteReference"/>
        </w:rPr>
        <w:footnoteRef/>
      </w:r>
      <w:r>
        <w:t xml:space="preserve"> </w:t>
      </w:r>
      <w:hyperlink r:id="rId19" w:history="1">
        <w:r w:rsidRPr="00F63237">
          <w:rPr>
            <w:rStyle w:val="Hyperlink"/>
          </w:rPr>
          <w:t>Government of Canada Debt Program</w:t>
        </w:r>
      </w:hyperlink>
    </w:p>
  </w:footnote>
  <w:footnote w:id="22">
    <w:p w14:paraId="24D658FD" w14:textId="77777777" w:rsidR="001B1648" w:rsidRDefault="001B1648" w:rsidP="001B1648">
      <w:pPr>
        <w:pStyle w:val="FootnoteText"/>
      </w:pPr>
      <w:r>
        <w:rPr>
          <w:rStyle w:val="FootnoteReference"/>
        </w:rPr>
        <w:footnoteRef/>
      </w:r>
      <w:r>
        <w:t xml:space="preserve"> </w:t>
      </w:r>
      <w:hyperlink r:id="rId20" w:history="1">
        <w:r w:rsidRPr="006653B6">
          <w:rPr>
            <w:rStyle w:val="Hyperlink"/>
          </w:rPr>
          <w:t>United Kingdom Debt Management Office</w:t>
        </w:r>
      </w:hyperlink>
    </w:p>
  </w:footnote>
  <w:footnote w:id="23">
    <w:p w14:paraId="680016E1" w14:textId="77777777" w:rsidR="0087279F" w:rsidRDefault="0087279F" w:rsidP="0087279F">
      <w:pPr>
        <w:pStyle w:val="FootnoteText"/>
      </w:pPr>
      <w:r>
        <w:rPr>
          <w:rStyle w:val="FootnoteReference"/>
        </w:rPr>
        <w:footnoteRef/>
      </w:r>
      <w:r>
        <w:t xml:space="preserve"> </w:t>
      </w:r>
      <w:hyperlink r:id="rId21" w:history="1">
        <w:r w:rsidRPr="00F2687B">
          <w:rPr>
            <w:rStyle w:val="Hyperlink"/>
          </w:rPr>
          <w:t>Tcorp Annual Report 2025</w:t>
        </w:r>
      </w:hyperlink>
    </w:p>
  </w:footnote>
  <w:footnote w:id="24">
    <w:p w14:paraId="667A9D96" w14:textId="77777777" w:rsidR="0087279F" w:rsidRDefault="0087279F" w:rsidP="0087279F">
      <w:pPr>
        <w:pStyle w:val="FootnoteText"/>
      </w:pPr>
      <w:r>
        <w:rPr>
          <w:rStyle w:val="FootnoteReference"/>
        </w:rPr>
        <w:footnoteRef/>
      </w:r>
      <w:r>
        <w:t xml:space="preserve"> </w:t>
      </w:r>
      <w:hyperlink r:id="rId22" w:history="1">
        <w:r w:rsidRPr="0039548E">
          <w:rPr>
            <w:rStyle w:val="Hyperlink"/>
          </w:rPr>
          <w:t>TCV Annual Report 2024-25</w:t>
        </w:r>
      </w:hyperlink>
    </w:p>
  </w:footnote>
  <w:footnote w:id="25">
    <w:p w14:paraId="08FC7A42" w14:textId="77777777" w:rsidR="0087279F" w:rsidRDefault="0087279F" w:rsidP="0087279F">
      <w:pPr>
        <w:pStyle w:val="FootnoteText"/>
      </w:pPr>
      <w:r>
        <w:rPr>
          <w:rStyle w:val="FootnoteReference"/>
        </w:rPr>
        <w:footnoteRef/>
      </w:r>
      <w:r>
        <w:t xml:space="preserve"> </w:t>
      </w:r>
      <w:hyperlink r:id="rId23" w:history="1">
        <w:r w:rsidRPr="00E064C7">
          <w:rPr>
            <w:rStyle w:val="Hyperlink"/>
          </w:rPr>
          <w:t>QTC Annual Report 2024-2025</w:t>
        </w:r>
      </w:hyperlink>
    </w:p>
  </w:footnote>
  <w:footnote w:id="26">
    <w:p w14:paraId="58EAE5A1" w14:textId="77777777" w:rsidR="0087279F" w:rsidRDefault="0087279F" w:rsidP="0087279F">
      <w:pPr>
        <w:pStyle w:val="FootnoteText"/>
      </w:pPr>
      <w:r>
        <w:rPr>
          <w:rStyle w:val="FootnoteReference"/>
        </w:rPr>
        <w:footnoteRef/>
      </w:r>
      <w:r>
        <w:t xml:space="preserve"> </w:t>
      </w:r>
      <w:hyperlink r:id="rId24" w:history="1">
        <w:r w:rsidRPr="00C819CF">
          <w:rPr>
            <w:rStyle w:val="Hyperlink"/>
          </w:rPr>
          <w:t>WATC Annual Report 2025</w:t>
        </w:r>
      </w:hyperlink>
    </w:p>
  </w:footnote>
  <w:footnote w:id="27">
    <w:p w14:paraId="46783F68" w14:textId="77777777" w:rsidR="0087279F" w:rsidRDefault="0087279F" w:rsidP="0087279F">
      <w:pPr>
        <w:pStyle w:val="FootnoteText"/>
      </w:pPr>
      <w:r>
        <w:rPr>
          <w:rStyle w:val="FootnoteReference"/>
        </w:rPr>
        <w:footnoteRef/>
      </w:r>
      <w:r>
        <w:t xml:space="preserve"> </w:t>
      </w:r>
      <w:hyperlink r:id="rId25" w:history="1">
        <w:r w:rsidRPr="004605C0">
          <w:rPr>
            <w:rStyle w:val="Hyperlink"/>
          </w:rPr>
          <w:t>Tascorp Annual Report 2024-25</w:t>
        </w:r>
      </w:hyperlink>
    </w:p>
  </w:footnote>
  <w:footnote w:id="28">
    <w:p w14:paraId="0E256488" w14:textId="77777777" w:rsidR="0087279F" w:rsidRDefault="0087279F" w:rsidP="0087279F">
      <w:pPr>
        <w:pStyle w:val="FootnoteText"/>
      </w:pPr>
      <w:r>
        <w:rPr>
          <w:rStyle w:val="FootnoteReference"/>
        </w:rPr>
        <w:footnoteRef/>
      </w:r>
      <w:r>
        <w:t xml:space="preserve"> </w:t>
      </w:r>
      <w:hyperlink r:id="rId26" w:history="1">
        <w:r w:rsidRPr="00DD3E84">
          <w:rPr>
            <w:rStyle w:val="Hyperlink"/>
          </w:rPr>
          <w:t>SAFA 2024-25 Annual Report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7294" w14:textId="4581A193" w:rsidR="00095D88" w:rsidRPr="00095D88" w:rsidRDefault="00C239D1" w:rsidP="00095D88">
    <w:pPr>
      <w:pStyle w:val="Header"/>
    </w:pPr>
    <w:r>
      <w:rPr>
        <w:noProof/>
      </w:rPr>
      <mc:AlternateContent>
        <mc:Choice Requires="wps">
          <w:drawing>
            <wp:anchor distT="0" distB="0" distL="0" distR="0" simplePos="0" relativeHeight="251658243" behindDoc="0" locked="0" layoutInCell="1" allowOverlap="1" wp14:anchorId="19206AAF" wp14:editId="055E45AF">
              <wp:simplePos x="635" y="635"/>
              <wp:positionH relativeFrom="page">
                <wp:align>center</wp:align>
              </wp:positionH>
              <wp:positionV relativeFrom="page">
                <wp:align>top</wp:align>
              </wp:positionV>
              <wp:extent cx="551815" cy="452755"/>
              <wp:effectExtent l="0" t="0" r="635" b="4445"/>
              <wp:wrapNone/>
              <wp:docPr id="1248861685"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DBCFB66" w14:textId="56058478"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206AAF" id="_x0000_t202" coordsize="21600,21600" o:spt="202" path="m,l,21600r21600,l21600,xe">
              <v:stroke joinstyle="miter"/>
              <v:path gradientshapeok="t" o:connecttype="rect"/>
            </v:shapetype>
            <v:shape id="Text Box 26" o:spid="_x0000_s1027" type="#_x0000_t202" alt="OFFICIAL" style="position:absolute;left:0;text-align:left;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7DBCFB66" w14:textId="56058478"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29EBA" w14:textId="0B2AC0D4" w:rsidR="00095D88" w:rsidRPr="00095D88" w:rsidRDefault="00C239D1" w:rsidP="00095D88">
    <w:pPr>
      <w:pStyle w:val="Header"/>
    </w:pPr>
    <w:r>
      <w:rPr>
        <w:noProof/>
      </w:rPr>
      <mc:AlternateContent>
        <mc:Choice Requires="wps">
          <w:drawing>
            <wp:anchor distT="0" distB="0" distL="0" distR="0" simplePos="0" relativeHeight="251658244" behindDoc="0" locked="0" layoutInCell="1" allowOverlap="1" wp14:anchorId="023439FE" wp14:editId="04212321">
              <wp:simplePos x="901065" y="450850"/>
              <wp:positionH relativeFrom="page">
                <wp:align>center</wp:align>
              </wp:positionH>
              <wp:positionV relativeFrom="page">
                <wp:align>top</wp:align>
              </wp:positionV>
              <wp:extent cx="551815" cy="452755"/>
              <wp:effectExtent l="0" t="0" r="635" b="4445"/>
              <wp:wrapNone/>
              <wp:docPr id="214770680"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80C339E" w14:textId="6725211E"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3439FE" id="_x0000_t202" coordsize="21600,21600" o:spt="202" path="m,l,21600r21600,l21600,xe">
              <v:stroke joinstyle="miter"/>
              <v:path gradientshapeok="t" o:connecttype="rect"/>
            </v:shapetype>
            <v:shape id="Text Box 27" o:spid="_x0000_s1028" type="#_x0000_t202" alt="OFFICIAL" style="position:absolute;left:0;text-align:left;margin-left:0;margin-top:0;width:43.45pt;height:35.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" filled="f" stroked="f">
              <v:textbox style="mso-fit-shape-to-text:t" inset="0,15pt,0,0">
                <w:txbxContent>
                  <w:p w14:paraId="580C339E" w14:textId="6725211E"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204F" w14:textId="486636AD" w:rsidR="00095D88" w:rsidRPr="00095D88" w:rsidRDefault="00C239D1" w:rsidP="00095D88">
    <w:pPr>
      <w:pStyle w:val="Header"/>
    </w:pPr>
    <w:r>
      <w:rPr>
        <w:noProof/>
      </w:rPr>
      <mc:AlternateContent>
        <mc:Choice Requires="wps">
          <w:drawing>
            <wp:anchor distT="0" distB="0" distL="0" distR="0" simplePos="0" relativeHeight="251658242" behindDoc="0" locked="0" layoutInCell="1" allowOverlap="1" wp14:anchorId="144C5AB9" wp14:editId="2BE62DDD">
              <wp:simplePos x="902677" y="451338"/>
              <wp:positionH relativeFrom="page">
                <wp:align>center</wp:align>
              </wp:positionH>
              <wp:positionV relativeFrom="page">
                <wp:align>top</wp:align>
              </wp:positionV>
              <wp:extent cx="551815" cy="452755"/>
              <wp:effectExtent l="0" t="0" r="635" b="4445"/>
              <wp:wrapNone/>
              <wp:docPr id="192434374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0E0879A" w14:textId="70BF0811"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4C5AB9" id="_x0000_t202" coordsize="21600,21600" o:spt="202" path="m,l,21600r21600,l21600,xe">
              <v:stroke joinstyle="miter"/>
              <v:path gradientshapeok="t" o:connecttype="rect"/>
            </v:shapetype>
            <v:shape id="Text Box 25" o:spid="_x0000_s1031" type="#_x0000_t202" alt="OFFICIAL" style="position:absolute;left:0;text-align:left;margin-left:0;margin-top:0;width:43.45pt;height:35.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OgDQIAABw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VYfOp+B80Jh3Iw7ttbvu6w9Ib58MwcLhjnQNGG&#10;Jzykgr6mcLYoacH9+Js/5iPvGKWkR8HU1KCiKVHfDO4jaisZxW1e5nhzk3s3Geag7wFlWOCLsDyZ&#10;MS+oyZQO9CvKeRULYYgZjuVqGibzPozKxefAxWqVklBGloWN2VoeoSNdkcuX4ZU5eyY84KYeYVIT&#10;q97wPubGP71dHQKyn5YSqR2JPDOOEkxrPT+XqPFf7ynr+qiXPwE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DUQk6ANAgAAHAQA&#10;AA4AAAAAAAAAAAAAAAAALgIAAGRycy9lMm9Eb2MueG1sUEsBAi0AFAAGAAgAAAAhAAxeAg7aAAAA&#10;AwEAAA8AAAAAAAAAAAAAAAAAZwQAAGRycy9kb3ducmV2LnhtbFBLBQYAAAAABAAEAPMAAABuBQAA&#10;AAA=&#10;" filled="f" stroked="f">
              <v:textbox style="mso-fit-shape-to-text:t" inset="0,15pt,0,0">
                <w:txbxContent>
                  <w:p w14:paraId="70E0879A" w14:textId="70BF0811"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0D7CB" w14:textId="28F4CAC4" w:rsidR="00095D88" w:rsidRPr="00095D88" w:rsidRDefault="00C239D1" w:rsidP="00095D88">
    <w:pPr>
      <w:pStyle w:val="Header"/>
    </w:pPr>
    <w:r>
      <w:rPr>
        <w:noProof/>
      </w:rPr>
      <mc:AlternateContent>
        <mc:Choice Requires="wps">
          <w:drawing>
            <wp:anchor distT="0" distB="0" distL="0" distR="0" simplePos="0" relativeHeight="251658246" behindDoc="0" locked="0" layoutInCell="1" allowOverlap="1" wp14:anchorId="52139A38" wp14:editId="4006C7D1">
              <wp:simplePos x="635" y="635"/>
              <wp:positionH relativeFrom="page">
                <wp:align>center</wp:align>
              </wp:positionH>
              <wp:positionV relativeFrom="page">
                <wp:align>top</wp:align>
              </wp:positionV>
              <wp:extent cx="551815" cy="452755"/>
              <wp:effectExtent l="0" t="0" r="635" b="4445"/>
              <wp:wrapNone/>
              <wp:docPr id="1273327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67DEDAB6" w14:textId="6B796895"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139A38" id="_x0000_t202" coordsize="21600,21600" o:spt="202" path="m,l,21600r21600,l21600,xe">
              <v:stroke joinstyle="miter"/>
              <v:path gradientshapeok="t" o:connecttype="rect"/>
            </v:shapetype>
            <v:shape id="Text Box 29" o:spid="_x0000_s1033" type="#_x0000_t202" alt="OFFICIAL" style="position:absolute;left:0;text-align:left;margin-left:0;margin-top:0;width:43.45pt;height:35.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bbDgIAABw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vbvbbDgIAABwE&#10;AAAOAAAAAAAAAAAAAAAAAC4CAABkcnMvZTJvRG9jLnhtbFBLAQItABQABgAIAAAAIQAMXgIO2gAA&#10;AAMBAAAPAAAAAAAAAAAAAAAAAGgEAABkcnMvZG93bnJldi54bWxQSwUGAAAAAAQABADzAAAAbwUA&#10;AAAA&#10;" filled="f" stroked="f">
              <v:textbox style="mso-fit-shape-to-text:t" inset="0,15pt,0,0">
                <w:txbxContent>
                  <w:p w14:paraId="67DEDAB6" w14:textId="6B796895"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7DA25" w14:textId="49421E73" w:rsidR="00095D88" w:rsidRPr="00095D88" w:rsidRDefault="00C239D1" w:rsidP="00095D88">
    <w:pPr>
      <w:pStyle w:val="Header"/>
    </w:pPr>
    <w:r>
      <w:rPr>
        <w:noProof/>
      </w:rPr>
      <mc:AlternateContent>
        <mc:Choice Requires="wps">
          <w:drawing>
            <wp:anchor distT="0" distB="0" distL="0" distR="0" simplePos="0" relativeHeight="251658247" behindDoc="0" locked="0" layoutInCell="1" allowOverlap="1" wp14:anchorId="089708E2" wp14:editId="047F60FA">
              <wp:simplePos x="635" y="635"/>
              <wp:positionH relativeFrom="page">
                <wp:align>center</wp:align>
              </wp:positionH>
              <wp:positionV relativeFrom="page">
                <wp:align>top</wp:align>
              </wp:positionV>
              <wp:extent cx="551815" cy="452755"/>
              <wp:effectExtent l="0" t="0" r="635" b="4445"/>
              <wp:wrapNone/>
              <wp:docPr id="777849428"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1BB4F894" w14:textId="08B10994"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708E2" id="_x0000_t202" coordsize="21600,21600" o:spt="202" path="m,l,21600r21600,l21600,xe">
              <v:stroke joinstyle="miter"/>
              <v:path gradientshapeok="t" o:connecttype="rect"/>
            </v:shapetype>
            <v:shape id="Text Box 30" o:spid="_x0000_s1034" type="#_x0000_t202" alt="OFFICIAL" style="position:absolute;left:0;text-align:left;margin-left:0;margin-top:0;width:43.45pt;height:35.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C0UTmDgIAABwE&#10;AAAOAAAAAAAAAAAAAAAAAC4CAABkcnMvZTJvRG9jLnhtbFBLAQItABQABgAIAAAAIQAMXgIO2gAA&#10;AAMBAAAPAAAAAAAAAAAAAAAAAGgEAABkcnMvZG93bnJldi54bWxQSwUGAAAAAAQABADzAAAAbwUA&#10;AAAA&#10;" filled="f" stroked="f">
              <v:textbox style="mso-fit-shape-to-text:t" inset="0,15pt,0,0">
                <w:txbxContent>
                  <w:p w14:paraId="1BB4F894" w14:textId="08B10994"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B3F7F" w14:textId="62037436" w:rsidR="00095D88" w:rsidRPr="00095D88" w:rsidRDefault="00C239D1" w:rsidP="00095D88">
    <w:pPr>
      <w:pStyle w:val="Header"/>
    </w:pPr>
    <w:r>
      <w:rPr>
        <w:noProof/>
      </w:rPr>
      <mc:AlternateContent>
        <mc:Choice Requires="wps">
          <w:drawing>
            <wp:anchor distT="0" distB="0" distL="0" distR="0" simplePos="0" relativeHeight="251658245" behindDoc="0" locked="0" layoutInCell="1" allowOverlap="1" wp14:anchorId="398E2575" wp14:editId="40730346">
              <wp:simplePos x="635" y="635"/>
              <wp:positionH relativeFrom="page">
                <wp:align>center</wp:align>
              </wp:positionH>
              <wp:positionV relativeFrom="page">
                <wp:align>top</wp:align>
              </wp:positionV>
              <wp:extent cx="551815" cy="452755"/>
              <wp:effectExtent l="0" t="0" r="635" b="4445"/>
              <wp:wrapNone/>
              <wp:docPr id="425820860"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3622970E" w14:textId="6809B618"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8E2575" id="_x0000_t202" coordsize="21600,21600" o:spt="202" path="m,l,21600r21600,l21600,xe">
              <v:stroke joinstyle="miter"/>
              <v:path gradientshapeok="t" o:connecttype="rect"/>
            </v:shapetype>
            <v:shape id="Text Box 28" o:spid="_x0000_s1037" type="#_x0000_t202" alt="OFFICIAL" style="position:absolute;left:0;text-align:left;margin-left:0;margin-top:0;width:43.45pt;height:35.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WVDQIAAB0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" filled="f" stroked="f">
              <v:textbox style="mso-fit-shape-to-text:t" inset="0,15pt,0,0">
                <w:txbxContent>
                  <w:p w14:paraId="3622970E" w14:textId="6809B618"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74968" w14:textId="3A8B9757" w:rsidR="00672B5D" w:rsidRPr="00AC75E2" w:rsidRDefault="00C239D1" w:rsidP="00AC75E2">
    <w:pPr>
      <w:pStyle w:val="HeaderEven"/>
    </w:pPr>
    <w:r>
      <w:rPr>
        <w:noProof/>
      </w:rPr>
      <mc:AlternateContent>
        <mc:Choice Requires="wps">
          <w:drawing>
            <wp:anchor distT="0" distB="0" distL="0" distR="0" simplePos="0" relativeHeight="251658249" behindDoc="0" locked="0" layoutInCell="1" allowOverlap="1" wp14:anchorId="1839C8B6" wp14:editId="65D59E84">
              <wp:simplePos x="635" y="635"/>
              <wp:positionH relativeFrom="page">
                <wp:align>center</wp:align>
              </wp:positionH>
              <wp:positionV relativeFrom="page">
                <wp:align>top</wp:align>
              </wp:positionV>
              <wp:extent cx="551815" cy="452755"/>
              <wp:effectExtent l="0" t="0" r="635" b="4445"/>
              <wp:wrapNone/>
              <wp:docPr id="306336809"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181E967" w14:textId="7FE3EFC1"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39C8B6" id="_x0000_t202" coordsize="21600,21600" o:spt="202" path="m,l,21600r21600,l21600,xe">
              <v:stroke joinstyle="miter"/>
              <v:path gradientshapeok="t" o:connecttype="rect"/>
            </v:shapetype>
            <v:shape id="Text Box 35" o:spid="_x0000_s1039" type="#_x0000_t202" alt="OFFICIAL" style="position:absolute;margin-left:0;margin-top:0;width:43.45pt;height:35.6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Dyd3DuDgIAAB0E&#10;AAAOAAAAAAAAAAAAAAAAAC4CAABkcnMvZTJvRG9jLnhtbFBLAQItABQABgAIAAAAIQAMXgIO2gAA&#10;AAMBAAAPAAAAAAAAAAAAAAAAAGgEAABkcnMvZG93bnJldi54bWxQSwUGAAAAAAQABADzAAAAbwUA&#10;AAAA&#10;" filled="f" stroked="f">
              <v:textbox style="mso-fit-shape-to-text:t" inset="0,15pt,0,0">
                <w:txbxContent>
                  <w:p w14:paraId="5181E967" w14:textId="7FE3EFC1"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r w:rsidR="00AC75E2">
      <w:rPr>
        <w:noProof/>
      </w:rPr>
      <w:drawing>
        <wp:anchor distT="0" distB="0" distL="114300" distR="114300" simplePos="0" relativeHeight="251658240" behindDoc="1" locked="1" layoutInCell="1" allowOverlap="1" wp14:anchorId="115F34B9" wp14:editId="0C766870">
          <wp:simplePos x="0" y="0"/>
          <wp:positionH relativeFrom="page">
            <wp:posOffset>-635</wp:posOffset>
          </wp:positionH>
          <wp:positionV relativeFrom="page">
            <wp:align>top</wp:align>
          </wp:positionV>
          <wp:extent cx="7570800" cy="1044000"/>
          <wp:effectExtent l="0" t="0" r="0" b="38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flipH="1">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r w:rsidR="008E24D2">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C047" w14:textId="5DC8C032" w:rsidR="002B2B83" w:rsidRDefault="00C239D1">
    <w:pPr>
      <w:pStyle w:val="Header"/>
    </w:pPr>
    <w:r>
      <w:rPr>
        <w:noProof/>
      </w:rPr>
      <mc:AlternateContent>
        <mc:Choice Requires="wps">
          <w:drawing>
            <wp:anchor distT="0" distB="0" distL="0" distR="0" simplePos="0" relativeHeight="251658250" behindDoc="0" locked="0" layoutInCell="1" allowOverlap="1" wp14:anchorId="79822E41" wp14:editId="605B7A75">
              <wp:simplePos x="635" y="635"/>
              <wp:positionH relativeFrom="page">
                <wp:align>center</wp:align>
              </wp:positionH>
              <wp:positionV relativeFrom="page">
                <wp:align>top</wp:align>
              </wp:positionV>
              <wp:extent cx="551815" cy="452755"/>
              <wp:effectExtent l="0" t="0" r="635" b="4445"/>
              <wp:wrapNone/>
              <wp:docPr id="2023081368"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2621FC43" w14:textId="00D767B7"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22E41" id="_x0000_t202" coordsize="21600,21600" o:spt="202" path="m,l,21600r21600,l21600,xe">
              <v:stroke joinstyle="miter"/>
              <v:path gradientshapeok="t" o:connecttype="rect"/>
            </v:shapetype>
            <v:shape id="Text Box 36" o:spid="_x0000_s1040" type="#_x0000_t202" alt="OFFICIAL" style="position:absolute;left:0;text-align:left;margin-left:0;margin-top:0;width:43.45pt;height:35.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CfyMLTDgIAAB0E&#10;AAAOAAAAAAAAAAAAAAAAAC4CAABkcnMvZTJvRG9jLnhtbFBLAQItABQABgAIAAAAIQAMXgIO2gAA&#10;AAMBAAAPAAAAAAAAAAAAAAAAAGgEAABkcnMvZG93bnJldi54bWxQSwUGAAAAAAQABADzAAAAbwUA&#10;AAAA&#10;" filled="f" stroked="f">
              <v:textbox style="mso-fit-shape-to-text:t" inset="0,15pt,0,0">
                <w:txbxContent>
                  <w:p w14:paraId="2621FC43" w14:textId="00D767B7"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E9FE3" w14:textId="3D0EF336" w:rsidR="00095D88" w:rsidRPr="00095D88" w:rsidRDefault="00C239D1" w:rsidP="00095D88">
    <w:pPr>
      <w:pStyle w:val="Header"/>
    </w:pPr>
    <w:r>
      <w:rPr>
        <w:noProof/>
      </w:rPr>
      <mc:AlternateContent>
        <mc:Choice Requires="wps">
          <w:drawing>
            <wp:anchor distT="0" distB="0" distL="0" distR="0" simplePos="0" relativeHeight="251658248" behindDoc="0" locked="0" layoutInCell="1" allowOverlap="1" wp14:anchorId="01952115" wp14:editId="3ACD011C">
              <wp:simplePos x="635" y="635"/>
              <wp:positionH relativeFrom="page">
                <wp:align>center</wp:align>
              </wp:positionH>
              <wp:positionV relativeFrom="page">
                <wp:align>top</wp:align>
              </wp:positionV>
              <wp:extent cx="551815" cy="452755"/>
              <wp:effectExtent l="0" t="0" r="635" b="4445"/>
              <wp:wrapNone/>
              <wp:docPr id="542257771"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412633DA" w14:textId="71A00A15"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952115" id="_x0000_t202" coordsize="21600,21600" o:spt="202" path="m,l,21600r21600,l21600,xe">
              <v:stroke joinstyle="miter"/>
              <v:path gradientshapeok="t" o:connecttype="rect"/>
            </v:shapetype>
            <v:shape id="Text Box 34" o:spid="_x0000_s1043" type="#_x0000_t202" alt="OFFICIAL" style="position:absolute;left:0;text-align:left;margin-left:0;margin-top:0;width:43.45pt;height:35.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oYDgIAAB0EAAAOAAAAZHJzL2Uyb0RvYy54bWysU8Fu2zAMvQ/YPwi6L7aDue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" filled="f" stroked="f">
              <v:textbox style="mso-fit-shape-to-text:t" inset="0,15pt,0,0">
                <w:txbxContent>
                  <w:p w14:paraId="412633DA" w14:textId="71A00A15" w:rsidR="00C239D1" w:rsidRPr="00C239D1" w:rsidRDefault="00C239D1" w:rsidP="00C239D1">
                    <w:pPr>
                      <w:spacing w:after="0"/>
                      <w:rPr>
                        <w:rFonts w:ascii="Calibri" w:eastAsia="Calibri" w:hAnsi="Calibri" w:cs="Calibri"/>
                        <w:noProof/>
                        <w:color w:val="FF0000"/>
                        <w:sz w:val="24"/>
                        <w:szCs w:val="24"/>
                      </w:rPr>
                    </w:pPr>
                    <w:r w:rsidRPr="00C239D1">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C348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10;&#10;&#10;&#10;&#10;&#10;Description automatically generated with medium confidence" style="width:104.3pt;height:15.75pt;visibility:visible" o:bullet="t">
        <v:imagedata r:id="rId1" o:title="Logo&#10;&#10;&#10;&#10;&#10;&#10;&#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BC17BA"/>
    <w:multiLevelType w:val="hybridMultilevel"/>
    <w:tmpl w:val="F4B66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4194E"/>
    <w:multiLevelType w:val="hybridMultilevel"/>
    <w:tmpl w:val="431018D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631ABD"/>
    <w:multiLevelType w:val="hybridMultilevel"/>
    <w:tmpl w:val="1370F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847491"/>
    <w:multiLevelType w:val="multilevel"/>
    <w:tmpl w:val="6F92BA82"/>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8" w:hanging="284"/>
      </w:pPr>
      <w:rPr>
        <w:rFonts w:ascii="Times New Roman" w:hAnsi="Times New Roman" w:cs="Times New Roman" w:hint="default"/>
      </w:rPr>
    </w:lvl>
    <w:lvl w:ilvl="2">
      <w:start w:val="1"/>
      <w:numFmt w:val="bulle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0"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1"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7" w15:restartNumberingAfterBreak="0">
    <w:nsid w:val="510D2021"/>
    <w:multiLevelType w:val="multilevel"/>
    <w:tmpl w:val="72F8140E"/>
    <w:numStyleLink w:val="OutlineList"/>
  </w:abstractNum>
  <w:abstractNum w:abstractNumId="18"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1856637"/>
    <w:multiLevelType w:val="hybridMultilevel"/>
    <w:tmpl w:val="4A98F64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7A6398"/>
    <w:multiLevelType w:val="hybridMultilevel"/>
    <w:tmpl w:val="4F1A2B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8E349A"/>
    <w:multiLevelType w:val="hybridMultilevel"/>
    <w:tmpl w:val="BA56EC0E"/>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4" w15:restartNumberingAfterBreak="0">
    <w:nsid w:val="76A03839"/>
    <w:multiLevelType w:val="hybridMultilevel"/>
    <w:tmpl w:val="478AED34"/>
    <w:lvl w:ilvl="0" w:tplc="0C090001">
      <w:start w:val="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509446909">
    <w:abstractNumId w:val="12"/>
  </w:num>
  <w:num w:numId="2" w16cid:durableId="230386874">
    <w:abstractNumId w:val="0"/>
  </w:num>
  <w:num w:numId="3" w16cid:durableId="1716855291">
    <w:abstractNumId w:val="15"/>
  </w:num>
  <w:num w:numId="4" w16cid:durableId="797724066">
    <w:abstractNumId w:val="2"/>
  </w:num>
  <w:num w:numId="5" w16cid:durableId="709110180">
    <w:abstractNumId w:val="4"/>
  </w:num>
  <w:num w:numId="6" w16cid:durableId="306596971">
    <w:abstractNumId w:val="17"/>
  </w:num>
  <w:num w:numId="7" w16cid:durableId="1739129519">
    <w:abstractNumId w:val="14"/>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043020558">
    <w:abstractNumId w:val="5"/>
  </w:num>
  <w:num w:numId="9" w16cid:durableId="1591279926">
    <w:abstractNumId w:val="1"/>
  </w:num>
  <w:num w:numId="10" w16cid:durableId="832991063">
    <w:abstractNumId w:val="11"/>
  </w:num>
  <w:num w:numId="11" w16cid:durableId="215508863">
    <w:abstractNumId w:val="27"/>
  </w:num>
  <w:num w:numId="12" w16cid:durableId="2019234066">
    <w:abstractNumId w:val="17"/>
  </w:num>
  <w:num w:numId="13" w16cid:durableId="1757362042">
    <w:abstractNumId w:val="28"/>
  </w:num>
  <w:num w:numId="14" w16cid:durableId="353965158">
    <w:abstractNumId w:val="16"/>
  </w:num>
  <w:num w:numId="15" w16cid:durableId="77220001">
    <w:abstractNumId w:val="10"/>
  </w:num>
  <w:num w:numId="16" w16cid:durableId="626086807">
    <w:abstractNumId w:val="19"/>
  </w:num>
  <w:num w:numId="17" w16cid:durableId="143200778">
    <w:abstractNumId w:val="14"/>
  </w:num>
  <w:num w:numId="18" w16cid:durableId="10540393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5910852">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955640">
    <w:abstractNumId w:val="13"/>
  </w:num>
  <w:num w:numId="21" w16cid:durableId="525217854">
    <w:abstractNumId w:val="18"/>
  </w:num>
  <w:num w:numId="22" w16cid:durableId="1017973052">
    <w:abstractNumId w:val="3"/>
  </w:num>
  <w:num w:numId="23" w16cid:durableId="17107575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4227257">
    <w:abstractNumId w:val="23"/>
  </w:num>
  <w:num w:numId="25" w16cid:durableId="1198618205">
    <w:abstractNumId w:val="9"/>
  </w:num>
  <w:num w:numId="26" w16cid:durableId="65613809">
    <w:abstractNumId w:val="22"/>
  </w:num>
  <w:num w:numId="27" w16cid:durableId="587471814">
    <w:abstractNumId w:val="20"/>
  </w:num>
  <w:num w:numId="28" w16cid:durableId="2142913681">
    <w:abstractNumId w:val="7"/>
  </w:num>
  <w:num w:numId="29" w16cid:durableId="898054098">
    <w:abstractNumId w:val="23"/>
  </w:num>
  <w:num w:numId="30" w16cid:durableId="1861165831">
    <w:abstractNumId w:val="23"/>
  </w:num>
  <w:num w:numId="31" w16cid:durableId="1972516363">
    <w:abstractNumId w:val="23"/>
  </w:num>
  <w:num w:numId="32" w16cid:durableId="2068532176">
    <w:abstractNumId w:val="23"/>
  </w:num>
  <w:num w:numId="33" w16cid:durableId="602033194">
    <w:abstractNumId w:val="23"/>
  </w:num>
  <w:num w:numId="34" w16cid:durableId="1765951677">
    <w:abstractNumId w:val="23"/>
  </w:num>
  <w:num w:numId="35" w16cid:durableId="1054234397">
    <w:abstractNumId w:val="23"/>
  </w:num>
  <w:num w:numId="36" w16cid:durableId="781147349">
    <w:abstractNumId w:val="23"/>
  </w:num>
  <w:num w:numId="37" w16cid:durableId="1358041345">
    <w:abstractNumId w:val="6"/>
  </w:num>
  <w:num w:numId="38" w16cid:durableId="1929150036">
    <w:abstractNumId w:val="8"/>
  </w:num>
  <w:num w:numId="39" w16cid:durableId="2047093947">
    <w:abstractNumId w:val="24"/>
  </w:num>
  <w:num w:numId="40" w16cid:durableId="621965320">
    <w:abstractNumId w:val="23"/>
  </w:num>
  <w:num w:numId="41" w16cid:durableId="1899851329">
    <w:abstractNumId w:val="23"/>
  </w:num>
  <w:num w:numId="42" w16cid:durableId="474568754">
    <w:abstractNumId w:val="23"/>
  </w:num>
  <w:num w:numId="43" w16cid:durableId="238096885">
    <w:abstractNumId w:val="23"/>
  </w:num>
  <w:num w:numId="44" w16cid:durableId="25375904">
    <w:abstractNumId w:val="23"/>
  </w:num>
  <w:num w:numId="45" w16cid:durableId="1989507185">
    <w:abstractNumId w:val="23"/>
  </w:num>
  <w:num w:numId="46" w16cid:durableId="165911447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20"/>
  <w:evenAndOddHeaders/>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DE5ED9"/>
    <w:rsid w:val="00001A27"/>
    <w:rsid w:val="00001EC1"/>
    <w:rsid w:val="00001FA0"/>
    <w:rsid w:val="0000213C"/>
    <w:rsid w:val="000021E3"/>
    <w:rsid w:val="00002F6D"/>
    <w:rsid w:val="00003461"/>
    <w:rsid w:val="00003D23"/>
    <w:rsid w:val="00003F75"/>
    <w:rsid w:val="0000530F"/>
    <w:rsid w:val="00005902"/>
    <w:rsid w:val="00005ADD"/>
    <w:rsid w:val="00005B7A"/>
    <w:rsid w:val="00005EEB"/>
    <w:rsid w:val="00006EAC"/>
    <w:rsid w:val="00007B6B"/>
    <w:rsid w:val="00011088"/>
    <w:rsid w:val="0001141D"/>
    <w:rsid w:val="00011725"/>
    <w:rsid w:val="00012C62"/>
    <w:rsid w:val="00013319"/>
    <w:rsid w:val="0001396A"/>
    <w:rsid w:val="000151E8"/>
    <w:rsid w:val="00015480"/>
    <w:rsid w:val="00015E62"/>
    <w:rsid w:val="0001647D"/>
    <w:rsid w:val="00016567"/>
    <w:rsid w:val="00016A80"/>
    <w:rsid w:val="00016C18"/>
    <w:rsid w:val="00016D0B"/>
    <w:rsid w:val="000176C0"/>
    <w:rsid w:val="00020867"/>
    <w:rsid w:val="00021337"/>
    <w:rsid w:val="0002149D"/>
    <w:rsid w:val="000220D3"/>
    <w:rsid w:val="00022434"/>
    <w:rsid w:val="00023853"/>
    <w:rsid w:val="00023B52"/>
    <w:rsid w:val="00023EB7"/>
    <w:rsid w:val="000249F0"/>
    <w:rsid w:val="00024F31"/>
    <w:rsid w:val="000250BC"/>
    <w:rsid w:val="000250EF"/>
    <w:rsid w:val="0002544D"/>
    <w:rsid w:val="00025D6B"/>
    <w:rsid w:val="00025E3F"/>
    <w:rsid w:val="00025F64"/>
    <w:rsid w:val="000260B9"/>
    <w:rsid w:val="000262A5"/>
    <w:rsid w:val="00026A80"/>
    <w:rsid w:val="0002739B"/>
    <w:rsid w:val="0003104A"/>
    <w:rsid w:val="00031234"/>
    <w:rsid w:val="0003189E"/>
    <w:rsid w:val="000318FF"/>
    <w:rsid w:val="00032D64"/>
    <w:rsid w:val="00034588"/>
    <w:rsid w:val="0003526B"/>
    <w:rsid w:val="00035505"/>
    <w:rsid w:val="00035803"/>
    <w:rsid w:val="00035C0C"/>
    <w:rsid w:val="00035DCE"/>
    <w:rsid w:val="00036DDE"/>
    <w:rsid w:val="000370F0"/>
    <w:rsid w:val="000372A0"/>
    <w:rsid w:val="00037B16"/>
    <w:rsid w:val="00037EC4"/>
    <w:rsid w:val="00040804"/>
    <w:rsid w:val="000415F5"/>
    <w:rsid w:val="00041F5F"/>
    <w:rsid w:val="00042191"/>
    <w:rsid w:val="0004228E"/>
    <w:rsid w:val="0004274D"/>
    <w:rsid w:val="00043348"/>
    <w:rsid w:val="000442BF"/>
    <w:rsid w:val="00044512"/>
    <w:rsid w:val="0004483F"/>
    <w:rsid w:val="00044DCB"/>
    <w:rsid w:val="00046041"/>
    <w:rsid w:val="00046CB4"/>
    <w:rsid w:val="00047D5E"/>
    <w:rsid w:val="00050180"/>
    <w:rsid w:val="00050AEF"/>
    <w:rsid w:val="00051138"/>
    <w:rsid w:val="0005138B"/>
    <w:rsid w:val="00051444"/>
    <w:rsid w:val="00051B58"/>
    <w:rsid w:val="00051E5E"/>
    <w:rsid w:val="00051F2A"/>
    <w:rsid w:val="000522B7"/>
    <w:rsid w:val="00052657"/>
    <w:rsid w:val="000529D5"/>
    <w:rsid w:val="00052BAD"/>
    <w:rsid w:val="00053717"/>
    <w:rsid w:val="00053FA7"/>
    <w:rsid w:val="00056880"/>
    <w:rsid w:val="00056983"/>
    <w:rsid w:val="00057754"/>
    <w:rsid w:val="0006049C"/>
    <w:rsid w:val="00060511"/>
    <w:rsid w:val="00061269"/>
    <w:rsid w:val="0006190D"/>
    <w:rsid w:val="000619C4"/>
    <w:rsid w:val="00062CEB"/>
    <w:rsid w:val="00063005"/>
    <w:rsid w:val="00064C93"/>
    <w:rsid w:val="00065CF6"/>
    <w:rsid w:val="00065D60"/>
    <w:rsid w:val="00066629"/>
    <w:rsid w:val="000666A4"/>
    <w:rsid w:val="000675D1"/>
    <w:rsid w:val="00067C2B"/>
    <w:rsid w:val="00067D35"/>
    <w:rsid w:val="00067EA2"/>
    <w:rsid w:val="00070407"/>
    <w:rsid w:val="00070555"/>
    <w:rsid w:val="000714F8"/>
    <w:rsid w:val="0007251F"/>
    <w:rsid w:val="00073521"/>
    <w:rsid w:val="00073806"/>
    <w:rsid w:val="00073FDC"/>
    <w:rsid w:val="0007404F"/>
    <w:rsid w:val="000741DE"/>
    <w:rsid w:val="000742F5"/>
    <w:rsid w:val="0007462F"/>
    <w:rsid w:val="00074ECD"/>
    <w:rsid w:val="000753B8"/>
    <w:rsid w:val="000758AC"/>
    <w:rsid w:val="0007682E"/>
    <w:rsid w:val="00077100"/>
    <w:rsid w:val="000775DE"/>
    <w:rsid w:val="00077D5A"/>
    <w:rsid w:val="000802D4"/>
    <w:rsid w:val="0008128F"/>
    <w:rsid w:val="00081493"/>
    <w:rsid w:val="00081EA6"/>
    <w:rsid w:val="00082639"/>
    <w:rsid w:val="0008313F"/>
    <w:rsid w:val="0008536B"/>
    <w:rsid w:val="0008597D"/>
    <w:rsid w:val="00085BBE"/>
    <w:rsid w:val="00087AB0"/>
    <w:rsid w:val="00087DA2"/>
    <w:rsid w:val="00087FAF"/>
    <w:rsid w:val="000909BA"/>
    <w:rsid w:val="00090C65"/>
    <w:rsid w:val="00091178"/>
    <w:rsid w:val="00091385"/>
    <w:rsid w:val="00092649"/>
    <w:rsid w:val="00092CC5"/>
    <w:rsid w:val="00093043"/>
    <w:rsid w:val="00093B9D"/>
    <w:rsid w:val="00093CC5"/>
    <w:rsid w:val="00093E6A"/>
    <w:rsid w:val="00093E75"/>
    <w:rsid w:val="0009563A"/>
    <w:rsid w:val="00095D88"/>
    <w:rsid w:val="0009664D"/>
    <w:rsid w:val="00097708"/>
    <w:rsid w:val="0009778C"/>
    <w:rsid w:val="000979A5"/>
    <w:rsid w:val="000A0337"/>
    <w:rsid w:val="000A0B6C"/>
    <w:rsid w:val="000A1278"/>
    <w:rsid w:val="000A263E"/>
    <w:rsid w:val="000A3179"/>
    <w:rsid w:val="000A3866"/>
    <w:rsid w:val="000A392F"/>
    <w:rsid w:val="000A4458"/>
    <w:rsid w:val="000A4612"/>
    <w:rsid w:val="000A5A70"/>
    <w:rsid w:val="000A61F7"/>
    <w:rsid w:val="000A70A6"/>
    <w:rsid w:val="000A7C7A"/>
    <w:rsid w:val="000B063B"/>
    <w:rsid w:val="000B093F"/>
    <w:rsid w:val="000B1181"/>
    <w:rsid w:val="000B11C3"/>
    <w:rsid w:val="000B1B23"/>
    <w:rsid w:val="000B284D"/>
    <w:rsid w:val="000B2C5A"/>
    <w:rsid w:val="000B302A"/>
    <w:rsid w:val="000B344C"/>
    <w:rsid w:val="000B3CED"/>
    <w:rsid w:val="000B3E84"/>
    <w:rsid w:val="000B40D9"/>
    <w:rsid w:val="000B4222"/>
    <w:rsid w:val="000B54F9"/>
    <w:rsid w:val="000B5B00"/>
    <w:rsid w:val="000B69BE"/>
    <w:rsid w:val="000B6D0D"/>
    <w:rsid w:val="000B6FE2"/>
    <w:rsid w:val="000B7020"/>
    <w:rsid w:val="000B7DC7"/>
    <w:rsid w:val="000C01C8"/>
    <w:rsid w:val="000C090C"/>
    <w:rsid w:val="000C1667"/>
    <w:rsid w:val="000C1D23"/>
    <w:rsid w:val="000C2059"/>
    <w:rsid w:val="000C29A3"/>
    <w:rsid w:val="000C2A3D"/>
    <w:rsid w:val="000C2E37"/>
    <w:rsid w:val="000C3019"/>
    <w:rsid w:val="000C37A0"/>
    <w:rsid w:val="000C4742"/>
    <w:rsid w:val="000C4C7D"/>
    <w:rsid w:val="000C4D82"/>
    <w:rsid w:val="000C568D"/>
    <w:rsid w:val="000C571D"/>
    <w:rsid w:val="000C5F40"/>
    <w:rsid w:val="000C7177"/>
    <w:rsid w:val="000D0122"/>
    <w:rsid w:val="000D08C7"/>
    <w:rsid w:val="000D0B70"/>
    <w:rsid w:val="000D0C41"/>
    <w:rsid w:val="000D1F16"/>
    <w:rsid w:val="000D1FC5"/>
    <w:rsid w:val="000D202E"/>
    <w:rsid w:val="000D321B"/>
    <w:rsid w:val="000D4730"/>
    <w:rsid w:val="000D4B43"/>
    <w:rsid w:val="000D4B6A"/>
    <w:rsid w:val="000D4C34"/>
    <w:rsid w:val="000D4E6E"/>
    <w:rsid w:val="000D5761"/>
    <w:rsid w:val="000D681D"/>
    <w:rsid w:val="000D6FA3"/>
    <w:rsid w:val="000D70AF"/>
    <w:rsid w:val="000D73A7"/>
    <w:rsid w:val="000D7A02"/>
    <w:rsid w:val="000E01D5"/>
    <w:rsid w:val="000E0593"/>
    <w:rsid w:val="000E0B74"/>
    <w:rsid w:val="000E0E4D"/>
    <w:rsid w:val="000E1097"/>
    <w:rsid w:val="000E113A"/>
    <w:rsid w:val="000E137D"/>
    <w:rsid w:val="000E13A8"/>
    <w:rsid w:val="000E176C"/>
    <w:rsid w:val="000E2F39"/>
    <w:rsid w:val="000E39B1"/>
    <w:rsid w:val="000E3B45"/>
    <w:rsid w:val="000E4605"/>
    <w:rsid w:val="000E4903"/>
    <w:rsid w:val="000E5428"/>
    <w:rsid w:val="000E5707"/>
    <w:rsid w:val="000E5793"/>
    <w:rsid w:val="000E5870"/>
    <w:rsid w:val="000E5B9F"/>
    <w:rsid w:val="000E6021"/>
    <w:rsid w:val="000E60F1"/>
    <w:rsid w:val="000E64A0"/>
    <w:rsid w:val="000E6ADD"/>
    <w:rsid w:val="000E6D78"/>
    <w:rsid w:val="000E6E2A"/>
    <w:rsid w:val="000E7901"/>
    <w:rsid w:val="000E7A53"/>
    <w:rsid w:val="000E7DC4"/>
    <w:rsid w:val="000F0178"/>
    <w:rsid w:val="000F0D26"/>
    <w:rsid w:val="000F166B"/>
    <w:rsid w:val="000F17A1"/>
    <w:rsid w:val="000F1CF7"/>
    <w:rsid w:val="000F2371"/>
    <w:rsid w:val="000F2438"/>
    <w:rsid w:val="000F25C1"/>
    <w:rsid w:val="000F33C6"/>
    <w:rsid w:val="000F3FFD"/>
    <w:rsid w:val="000F4682"/>
    <w:rsid w:val="000F4DF8"/>
    <w:rsid w:val="000F50D1"/>
    <w:rsid w:val="000F5C87"/>
    <w:rsid w:val="000F621D"/>
    <w:rsid w:val="000F6233"/>
    <w:rsid w:val="000F6592"/>
    <w:rsid w:val="000F6991"/>
    <w:rsid w:val="000F6CD7"/>
    <w:rsid w:val="000F77E3"/>
    <w:rsid w:val="00100152"/>
    <w:rsid w:val="00100525"/>
    <w:rsid w:val="00100DFF"/>
    <w:rsid w:val="001015AA"/>
    <w:rsid w:val="00102144"/>
    <w:rsid w:val="001022CE"/>
    <w:rsid w:val="001028E7"/>
    <w:rsid w:val="00102926"/>
    <w:rsid w:val="001032FB"/>
    <w:rsid w:val="0010348F"/>
    <w:rsid w:val="00103586"/>
    <w:rsid w:val="001039CA"/>
    <w:rsid w:val="00103F3C"/>
    <w:rsid w:val="001041F1"/>
    <w:rsid w:val="00104B9F"/>
    <w:rsid w:val="00105526"/>
    <w:rsid w:val="00105796"/>
    <w:rsid w:val="00105E0E"/>
    <w:rsid w:val="00106EC2"/>
    <w:rsid w:val="0010718F"/>
    <w:rsid w:val="0010722B"/>
    <w:rsid w:val="0010791B"/>
    <w:rsid w:val="0010792E"/>
    <w:rsid w:val="00111046"/>
    <w:rsid w:val="0011118D"/>
    <w:rsid w:val="001112A1"/>
    <w:rsid w:val="001118CB"/>
    <w:rsid w:val="00111FB9"/>
    <w:rsid w:val="00112624"/>
    <w:rsid w:val="00112B07"/>
    <w:rsid w:val="00112E0C"/>
    <w:rsid w:val="00113343"/>
    <w:rsid w:val="00113349"/>
    <w:rsid w:val="00113DA3"/>
    <w:rsid w:val="00113F30"/>
    <w:rsid w:val="00113FC0"/>
    <w:rsid w:val="001140D6"/>
    <w:rsid w:val="00114271"/>
    <w:rsid w:val="00114C23"/>
    <w:rsid w:val="00114E6E"/>
    <w:rsid w:val="001152F1"/>
    <w:rsid w:val="00115B08"/>
    <w:rsid w:val="00116327"/>
    <w:rsid w:val="00116402"/>
    <w:rsid w:val="00117229"/>
    <w:rsid w:val="00117248"/>
    <w:rsid w:val="00117318"/>
    <w:rsid w:val="00120016"/>
    <w:rsid w:val="00120E1A"/>
    <w:rsid w:val="00121037"/>
    <w:rsid w:val="00121324"/>
    <w:rsid w:val="0012230D"/>
    <w:rsid w:val="00122860"/>
    <w:rsid w:val="00122C70"/>
    <w:rsid w:val="00123133"/>
    <w:rsid w:val="00123332"/>
    <w:rsid w:val="001233D9"/>
    <w:rsid w:val="00123BA3"/>
    <w:rsid w:val="00123E63"/>
    <w:rsid w:val="001245BA"/>
    <w:rsid w:val="001250C8"/>
    <w:rsid w:val="0012557C"/>
    <w:rsid w:val="0012594E"/>
    <w:rsid w:val="00125CED"/>
    <w:rsid w:val="0012602E"/>
    <w:rsid w:val="0012642D"/>
    <w:rsid w:val="00126D0C"/>
    <w:rsid w:val="00126F54"/>
    <w:rsid w:val="001306B6"/>
    <w:rsid w:val="00130C5D"/>
    <w:rsid w:val="00131521"/>
    <w:rsid w:val="00131BC4"/>
    <w:rsid w:val="00131DC3"/>
    <w:rsid w:val="00134665"/>
    <w:rsid w:val="00134B3C"/>
    <w:rsid w:val="00134E6E"/>
    <w:rsid w:val="00134FF6"/>
    <w:rsid w:val="00135005"/>
    <w:rsid w:val="001352CB"/>
    <w:rsid w:val="00135B01"/>
    <w:rsid w:val="00135E4C"/>
    <w:rsid w:val="0013713A"/>
    <w:rsid w:val="001373F5"/>
    <w:rsid w:val="0013740D"/>
    <w:rsid w:val="00137C14"/>
    <w:rsid w:val="00140A78"/>
    <w:rsid w:val="00140AA3"/>
    <w:rsid w:val="00141901"/>
    <w:rsid w:val="00141EBF"/>
    <w:rsid w:val="00142B0C"/>
    <w:rsid w:val="00143702"/>
    <w:rsid w:val="001440EC"/>
    <w:rsid w:val="00144720"/>
    <w:rsid w:val="00144FDF"/>
    <w:rsid w:val="0014689E"/>
    <w:rsid w:val="00146BFD"/>
    <w:rsid w:val="001478A5"/>
    <w:rsid w:val="00147E2A"/>
    <w:rsid w:val="0015038E"/>
    <w:rsid w:val="001508CF"/>
    <w:rsid w:val="00150BE5"/>
    <w:rsid w:val="00151046"/>
    <w:rsid w:val="001510DC"/>
    <w:rsid w:val="00152403"/>
    <w:rsid w:val="0015277D"/>
    <w:rsid w:val="00152971"/>
    <w:rsid w:val="00153858"/>
    <w:rsid w:val="0015460F"/>
    <w:rsid w:val="00154A59"/>
    <w:rsid w:val="00154C25"/>
    <w:rsid w:val="00154C87"/>
    <w:rsid w:val="00154F98"/>
    <w:rsid w:val="001560BD"/>
    <w:rsid w:val="001565D6"/>
    <w:rsid w:val="001574C0"/>
    <w:rsid w:val="00157B3B"/>
    <w:rsid w:val="00157E09"/>
    <w:rsid w:val="001606CF"/>
    <w:rsid w:val="0016128D"/>
    <w:rsid w:val="00162150"/>
    <w:rsid w:val="00162312"/>
    <w:rsid w:val="00162D2B"/>
    <w:rsid w:val="001642F2"/>
    <w:rsid w:val="00164599"/>
    <w:rsid w:val="00164887"/>
    <w:rsid w:val="00164B2E"/>
    <w:rsid w:val="00164CEF"/>
    <w:rsid w:val="0016575B"/>
    <w:rsid w:val="00166BE0"/>
    <w:rsid w:val="00167761"/>
    <w:rsid w:val="001677FC"/>
    <w:rsid w:val="0017089D"/>
    <w:rsid w:val="001709C4"/>
    <w:rsid w:val="00170B0D"/>
    <w:rsid w:val="00171086"/>
    <w:rsid w:val="001712AA"/>
    <w:rsid w:val="001716EE"/>
    <w:rsid w:val="001722AB"/>
    <w:rsid w:val="00172441"/>
    <w:rsid w:val="00172501"/>
    <w:rsid w:val="001726EC"/>
    <w:rsid w:val="00172E85"/>
    <w:rsid w:val="00173B98"/>
    <w:rsid w:val="001744A3"/>
    <w:rsid w:val="00174849"/>
    <w:rsid w:val="001760F8"/>
    <w:rsid w:val="001769E0"/>
    <w:rsid w:val="00176D56"/>
    <w:rsid w:val="00177172"/>
    <w:rsid w:val="0017721D"/>
    <w:rsid w:val="00177CC2"/>
    <w:rsid w:val="00180090"/>
    <w:rsid w:val="001805A8"/>
    <w:rsid w:val="0018103C"/>
    <w:rsid w:val="001810F1"/>
    <w:rsid w:val="001812FC"/>
    <w:rsid w:val="001815B7"/>
    <w:rsid w:val="00181964"/>
    <w:rsid w:val="001822FD"/>
    <w:rsid w:val="001835F8"/>
    <w:rsid w:val="00183697"/>
    <w:rsid w:val="001839BF"/>
    <w:rsid w:val="00183C81"/>
    <w:rsid w:val="00183EA0"/>
    <w:rsid w:val="001843E2"/>
    <w:rsid w:val="0018464C"/>
    <w:rsid w:val="001847CD"/>
    <w:rsid w:val="00185B3C"/>
    <w:rsid w:val="00185E3A"/>
    <w:rsid w:val="00186217"/>
    <w:rsid w:val="0018641E"/>
    <w:rsid w:val="00186522"/>
    <w:rsid w:val="00186E6A"/>
    <w:rsid w:val="00187232"/>
    <w:rsid w:val="00187732"/>
    <w:rsid w:val="00187AE6"/>
    <w:rsid w:val="00190872"/>
    <w:rsid w:val="0019101A"/>
    <w:rsid w:val="0019110E"/>
    <w:rsid w:val="00191363"/>
    <w:rsid w:val="001915A3"/>
    <w:rsid w:val="00191617"/>
    <w:rsid w:val="0019268B"/>
    <w:rsid w:val="00193326"/>
    <w:rsid w:val="001938C5"/>
    <w:rsid w:val="00193F66"/>
    <w:rsid w:val="00194D9B"/>
    <w:rsid w:val="0019541A"/>
    <w:rsid w:val="00195C8E"/>
    <w:rsid w:val="00195E87"/>
    <w:rsid w:val="0019601D"/>
    <w:rsid w:val="00196365"/>
    <w:rsid w:val="00196862"/>
    <w:rsid w:val="00196934"/>
    <w:rsid w:val="001972D2"/>
    <w:rsid w:val="00197A0A"/>
    <w:rsid w:val="00197D79"/>
    <w:rsid w:val="001A148A"/>
    <w:rsid w:val="001A24BD"/>
    <w:rsid w:val="001A34EE"/>
    <w:rsid w:val="001A3B79"/>
    <w:rsid w:val="001A4009"/>
    <w:rsid w:val="001A403D"/>
    <w:rsid w:val="001A46B2"/>
    <w:rsid w:val="001A512E"/>
    <w:rsid w:val="001A5B1C"/>
    <w:rsid w:val="001A69BE"/>
    <w:rsid w:val="001A6BA9"/>
    <w:rsid w:val="001A7EBC"/>
    <w:rsid w:val="001B07D4"/>
    <w:rsid w:val="001B1648"/>
    <w:rsid w:val="001B1B71"/>
    <w:rsid w:val="001B2724"/>
    <w:rsid w:val="001B31EE"/>
    <w:rsid w:val="001B3EF3"/>
    <w:rsid w:val="001B4FDD"/>
    <w:rsid w:val="001B62C7"/>
    <w:rsid w:val="001B74F6"/>
    <w:rsid w:val="001B7705"/>
    <w:rsid w:val="001B797B"/>
    <w:rsid w:val="001B7F28"/>
    <w:rsid w:val="001C149F"/>
    <w:rsid w:val="001C186B"/>
    <w:rsid w:val="001C3273"/>
    <w:rsid w:val="001C358D"/>
    <w:rsid w:val="001C4016"/>
    <w:rsid w:val="001C40A0"/>
    <w:rsid w:val="001C41AE"/>
    <w:rsid w:val="001C467E"/>
    <w:rsid w:val="001C487E"/>
    <w:rsid w:val="001C5412"/>
    <w:rsid w:val="001C55E6"/>
    <w:rsid w:val="001C6303"/>
    <w:rsid w:val="001C6B68"/>
    <w:rsid w:val="001C6E05"/>
    <w:rsid w:val="001C6E3A"/>
    <w:rsid w:val="001C756D"/>
    <w:rsid w:val="001C7628"/>
    <w:rsid w:val="001C76CE"/>
    <w:rsid w:val="001D03CA"/>
    <w:rsid w:val="001D03E4"/>
    <w:rsid w:val="001D0869"/>
    <w:rsid w:val="001D101B"/>
    <w:rsid w:val="001D1E09"/>
    <w:rsid w:val="001D1E55"/>
    <w:rsid w:val="001D1EE9"/>
    <w:rsid w:val="001D30C8"/>
    <w:rsid w:val="001D37B5"/>
    <w:rsid w:val="001D388B"/>
    <w:rsid w:val="001D3A7A"/>
    <w:rsid w:val="001D52BB"/>
    <w:rsid w:val="001D5F52"/>
    <w:rsid w:val="001D647C"/>
    <w:rsid w:val="001D6FA5"/>
    <w:rsid w:val="001D73E7"/>
    <w:rsid w:val="001E15FD"/>
    <w:rsid w:val="001E166A"/>
    <w:rsid w:val="001E1823"/>
    <w:rsid w:val="001E250A"/>
    <w:rsid w:val="001E368E"/>
    <w:rsid w:val="001E40C9"/>
    <w:rsid w:val="001E4176"/>
    <w:rsid w:val="001E44BE"/>
    <w:rsid w:val="001E523F"/>
    <w:rsid w:val="001E5B5D"/>
    <w:rsid w:val="001E6DAE"/>
    <w:rsid w:val="001E7263"/>
    <w:rsid w:val="001E7E13"/>
    <w:rsid w:val="001F0054"/>
    <w:rsid w:val="001F0B0A"/>
    <w:rsid w:val="001F0E44"/>
    <w:rsid w:val="001F13A5"/>
    <w:rsid w:val="001F1427"/>
    <w:rsid w:val="001F1AF5"/>
    <w:rsid w:val="001F1B27"/>
    <w:rsid w:val="001F2D23"/>
    <w:rsid w:val="001F2F77"/>
    <w:rsid w:val="001F5B76"/>
    <w:rsid w:val="001F6619"/>
    <w:rsid w:val="001F7BAB"/>
    <w:rsid w:val="0020003F"/>
    <w:rsid w:val="00200BEB"/>
    <w:rsid w:val="00201443"/>
    <w:rsid w:val="00202E0A"/>
    <w:rsid w:val="00203829"/>
    <w:rsid w:val="00204E4D"/>
    <w:rsid w:val="002050E8"/>
    <w:rsid w:val="0020538E"/>
    <w:rsid w:val="00205737"/>
    <w:rsid w:val="00205D89"/>
    <w:rsid w:val="00206919"/>
    <w:rsid w:val="00206CAF"/>
    <w:rsid w:val="00206EDC"/>
    <w:rsid w:val="00207FB4"/>
    <w:rsid w:val="002109ED"/>
    <w:rsid w:val="00210C5B"/>
    <w:rsid w:val="0021196C"/>
    <w:rsid w:val="00211C58"/>
    <w:rsid w:val="00211D99"/>
    <w:rsid w:val="00212177"/>
    <w:rsid w:val="0021241E"/>
    <w:rsid w:val="00212AD7"/>
    <w:rsid w:val="00213096"/>
    <w:rsid w:val="00213454"/>
    <w:rsid w:val="00213753"/>
    <w:rsid w:val="0021376A"/>
    <w:rsid w:val="00213953"/>
    <w:rsid w:val="00215327"/>
    <w:rsid w:val="002156C2"/>
    <w:rsid w:val="002157B3"/>
    <w:rsid w:val="00215953"/>
    <w:rsid w:val="00215BB2"/>
    <w:rsid w:val="0021601D"/>
    <w:rsid w:val="00216DAB"/>
    <w:rsid w:val="002172DB"/>
    <w:rsid w:val="00221046"/>
    <w:rsid w:val="00221226"/>
    <w:rsid w:val="002213F5"/>
    <w:rsid w:val="002214A6"/>
    <w:rsid w:val="00221678"/>
    <w:rsid w:val="00221899"/>
    <w:rsid w:val="00221B62"/>
    <w:rsid w:val="00221C88"/>
    <w:rsid w:val="00221EC0"/>
    <w:rsid w:val="00221ED6"/>
    <w:rsid w:val="00221EEE"/>
    <w:rsid w:val="00222435"/>
    <w:rsid w:val="0022302B"/>
    <w:rsid w:val="00223F49"/>
    <w:rsid w:val="0022425D"/>
    <w:rsid w:val="0022581E"/>
    <w:rsid w:val="0022582F"/>
    <w:rsid w:val="002259D7"/>
    <w:rsid w:val="00225B30"/>
    <w:rsid w:val="00225C7F"/>
    <w:rsid w:val="00231049"/>
    <w:rsid w:val="002314D2"/>
    <w:rsid w:val="002317B0"/>
    <w:rsid w:val="002323D0"/>
    <w:rsid w:val="00232730"/>
    <w:rsid w:val="00232EE8"/>
    <w:rsid w:val="00232FAB"/>
    <w:rsid w:val="0023305C"/>
    <w:rsid w:val="002336B3"/>
    <w:rsid w:val="00233B3F"/>
    <w:rsid w:val="00233E9F"/>
    <w:rsid w:val="002345BB"/>
    <w:rsid w:val="00234A94"/>
    <w:rsid w:val="002350F7"/>
    <w:rsid w:val="002354FB"/>
    <w:rsid w:val="00235648"/>
    <w:rsid w:val="0023591D"/>
    <w:rsid w:val="002370F0"/>
    <w:rsid w:val="00237254"/>
    <w:rsid w:val="0023729C"/>
    <w:rsid w:val="00237A94"/>
    <w:rsid w:val="00240535"/>
    <w:rsid w:val="00240649"/>
    <w:rsid w:val="00240667"/>
    <w:rsid w:val="00240B84"/>
    <w:rsid w:val="00240D2A"/>
    <w:rsid w:val="00240E9E"/>
    <w:rsid w:val="00241881"/>
    <w:rsid w:val="00242343"/>
    <w:rsid w:val="0024294C"/>
    <w:rsid w:val="00244024"/>
    <w:rsid w:val="0024439B"/>
    <w:rsid w:val="00244868"/>
    <w:rsid w:val="00244BB8"/>
    <w:rsid w:val="0024571A"/>
    <w:rsid w:val="00245917"/>
    <w:rsid w:val="00245AA2"/>
    <w:rsid w:val="002461BA"/>
    <w:rsid w:val="002463D1"/>
    <w:rsid w:val="0024774F"/>
    <w:rsid w:val="00247A99"/>
    <w:rsid w:val="00247ABA"/>
    <w:rsid w:val="00250746"/>
    <w:rsid w:val="00250C98"/>
    <w:rsid w:val="00250E92"/>
    <w:rsid w:val="002511A6"/>
    <w:rsid w:val="0025141A"/>
    <w:rsid w:val="00251BED"/>
    <w:rsid w:val="00251C4C"/>
    <w:rsid w:val="00251F66"/>
    <w:rsid w:val="0025255E"/>
    <w:rsid w:val="00252B2B"/>
    <w:rsid w:val="00253272"/>
    <w:rsid w:val="002543D8"/>
    <w:rsid w:val="002555DB"/>
    <w:rsid w:val="00255817"/>
    <w:rsid w:val="00255DA5"/>
    <w:rsid w:val="00256034"/>
    <w:rsid w:val="00256352"/>
    <w:rsid w:val="0025652F"/>
    <w:rsid w:val="002565EB"/>
    <w:rsid w:val="00256865"/>
    <w:rsid w:val="00256F24"/>
    <w:rsid w:val="00256F98"/>
    <w:rsid w:val="00257520"/>
    <w:rsid w:val="002576A4"/>
    <w:rsid w:val="00260237"/>
    <w:rsid w:val="00260270"/>
    <w:rsid w:val="00260E18"/>
    <w:rsid w:val="00261514"/>
    <w:rsid w:val="00261843"/>
    <w:rsid w:val="00262F9B"/>
    <w:rsid w:val="00263097"/>
    <w:rsid w:val="00263B6C"/>
    <w:rsid w:val="00263FAD"/>
    <w:rsid w:val="002648A9"/>
    <w:rsid w:val="00265E36"/>
    <w:rsid w:val="002664AB"/>
    <w:rsid w:val="002665B8"/>
    <w:rsid w:val="00266E3B"/>
    <w:rsid w:val="00267CF9"/>
    <w:rsid w:val="00270508"/>
    <w:rsid w:val="00271204"/>
    <w:rsid w:val="002714AA"/>
    <w:rsid w:val="00271CD9"/>
    <w:rsid w:val="00272939"/>
    <w:rsid w:val="00272A64"/>
    <w:rsid w:val="00272CA4"/>
    <w:rsid w:val="00273D42"/>
    <w:rsid w:val="00273E13"/>
    <w:rsid w:val="00274073"/>
    <w:rsid w:val="00274078"/>
    <w:rsid w:val="0027448C"/>
    <w:rsid w:val="002747A5"/>
    <w:rsid w:val="0027531C"/>
    <w:rsid w:val="0027590B"/>
    <w:rsid w:val="00275965"/>
    <w:rsid w:val="00275BB7"/>
    <w:rsid w:val="00275BFE"/>
    <w:rsid w:val="002765CB"/>
    <w:rsid w:val="00276BB1"/>
    <w:rsid w:val="00276C4B"/>
    <w:rsid w:val="00276DC2"/>
    <w:rsid w:val="00277178"/>
    <w:rsid w:val="0027731B"/>
    <w:rsid w:val="00277EE0"/>
    <w:rsid w:val="002809BE"/>
    <w:rsid w:val="0028126B"/>
    <w:rsid w:val="002814CE"/>
    <w:rsid w:val="002816EF"/>
    <w:rsid w:val="00281A4C"/>
    <w:rsid w:val="00281B1F"/>
    <w:rsid w:val="00282E48"/>
    <w:rsid w:val="00282EA3"/>
    <w:rsid w:val="002838A9"/>
    <w:rsid w:val="00283A07"/>
    <w:rsid w:val="0028449A"/>
    <w:rsid w:val="002846EE"/>
    <w:rsid w:val="002849DF"/>
    <w:rsid w:val="00285669"/>
    <w:rsid w:val="00285969"/>
    <w:rsid w:val="002859D2"/>
    <w:rsid w:val="00286CBC"/>
    <w:rsid w:val="00286E0A"/>
    <w:rsid w:val="002919D4"/>
    <w:rsid w:val="0029203A"/>
    <w:rsid w:val="00292298"/>
    <w:rsid w:val="002923CB"/>
    <w:rsid w:val="0029264C"/>
    <w:rsid w:val="00292BF0"/>
    <w:rsid w:val="002930C8"/>
    <w:rsid w:val="0029378E"/>
    <w:rsid w:val="00293B21"/>
    <w:rsid w:val="00293F3C"/>
    <w:rsid w:val="002944EA"/>
    <w:rsid w:val="00294567"/>
    <w:rsid w:val="00295B30"/>
    <w:rsid w:val="00295F39"/>
    <w:rsid w:val="00296643"/>
    <w:rsid w:val="00296A33"/>
    <w:rsid w:val="00296AB0"/>
    <w:rsid w:val="00296E89"/>
    <w:rsid w:val="002975D6"/>
    <w:rsid w:val="0029791F"/>
    <w:rsid w:val="00297C18"/>
    <w:rsid w:val="002A09B1"/>
    <w:rsid w:val="002A0B64"/>
    <w:rsid w:val="002A0F06"/>
    <w:rsid w:val="002A1182"/>
    <w:rsid w:val="002A1D5F"/>
    <w:rsid w:val="002A2014"/>
    <w:rsid w:val="002A2755"/>
    <w:rsid w:val="002A2CB1"/>
    <w:rsid w:val="002A3C04"/>
    <w:rsid w:val="002A3E99"/>
    <w:rsid w:val="002A4D74"/>
    <w:rsid w:val="002A529D"/>
    <w:rsid w:val="002A57F9"/>
    <w:rsid w:val="002A6042"/>
    <w:rsid w:val="002A6EE5"/>
    <w:rsid w:val="002A7360"/>
    <w:rsid w:val="002A74EF"/>
    <w:rsid w:val="002A7A31"/>
    <w:rsid w:val="002B07AB"/>
    <w:rsid w:val="002B0E6E"/>
    <w:rsid w:val="002B2B83"/>
    <w:rsid w:val="002B36A8"/>
    <w:rsid w:val="002B3829"/>
    <w:rsid w:val="002B3BD3"/>
    <w:rsid w:val="002B3C61"/>
    <w:rsid w:val="002B3F5C"/>
    <w:rsid w:val="002B450C"/>
    <w:rsid w:val="002B4D68"/>
    <w:rsid w:val="002B59F5"/>
    <w:rsid w:val="002B5B49"/>
    <w:rsid w:val="002B5CD0"/>
    <w:rsid w:val="002B6FF2"/>
    <w:rsid w:val="002B7A09"/>
    <w:rsid w:val="002B7D53"/>
    <w:rsid w:val="002C022F"/>
    <w:rsid w:val="002C06E7"/>
    <w:rsid w:val="002C097D"/>
    <w:rsid w:val="002C0CCF"/>
    <w:rsid w:val="002C1350"/>
    <w:rsid w:val="002C22EF"/>
    <w:rsid w:val="002C25AE"/>
    <w:rsid w:val="002C2675"/>
    <w:rsid w:val="002C2F63"/>
    <w:rsid w:val="002C30F5"/>
    <w:rsid w:val="002C3E4F"/>
    <w:rsid w:val="002C4246"/>
    <w:rsid w:val="002C4AA0"/>
    <w:rsid w:val="002C4E1E"/>
    <w:rsid w:val="002C5A51"/>
    <w:rsid w:val="002C5EA2"/>
    <w:rsid w:val="002D08B4"/>
    <w:rsid w:val="002D111B"/>
    <w:rsid w:val="002D2274"/>
    <w:rsid w:val="002D2BBE"/>
    <w:rsid w:val="002D3BC3"/>
    <w:rsid w:val="002D431B"/>
    <w:rsid w:val="002D4FAD"/>
    <w:rsid w:val="002D5396"/>
    <w:rsid w:val="002D5E9C"/>
    <w:rsid w:val="002D7663"/>
    <w:rsid w:val="002D7723"/>
    <w:rsid w:val="002D7E53"/>
    <w:rsid w:val="002D7F81"/>
    <w:rsid w:val="002E041B"/>
    <w:rsid w:val="002E0C37"/>
    <w:rsid w:val="002E0C43"/>
    <w:rsid w:val="002E1FB6"/>
    <w:rsid w:val="002E2170"/>
    <w:rsid w:val="002E246D"/>
    <w:rsid w:val="002E301F"/>
    <w:rsid w:val="002E454C"/>
    <w:rsid w:val="002E59E4"/>
    <w:rsid w:val="002E709E"/>
    <w:rsid w:val="002E7322"/>
    <w:rsid w:val="002E7AB6"/>
    <w:rsid w:val="002E7D8E"/>
    <w:rsid w:val="002E7E20"/>
    <w:rsid w:val="002F06F9"/>
    <w:rsid w:val="002F0769"/>
    <w:rsid w:val="002F0798"/>
    <w:rsid w:val="002F0E02"/>
    <w:rsid w:val="002F0FBD"/>
    <w:rsid w:val="002F1C28"/>
    <w:rsid w:val="002F2A4D"/>
    <w:rsid w:val="002F2AB1"/>
    <w:rsid w:val="002F2E15"/>
    <w:rsid w:val="002F3F9C"/>
    <w:rsid w:val="002F4FF7"/>
    <w:rsid w:val="002F571C"/>
    <w:rsid w:val="002F617F"/>
    <w:rsid w:val="002F667B"/>
    <w:rsid w:val="002F75EE"/>
    <w:rsid w:val="002F7CAF"/>
    <w:rsid w:val="00300109"/>
    <w:rsid w:val="00300454"/>
    <w:rsid w:val="00300F0C"/>
    <w:rsid w:val="00301755"/>
    <w:rsid w:val="00301F13"/>
    <w:rsid w:val="00302041"/>
    <w:rsid w:val="00302789"/>
    <w:rsid w:val="003029AA"/>
    <w:rsid w:val="003030DF"/>
    <w:rsid w:val="00303D82"/>
    <w:rsid w:val="00303F32"/>
    <w:rsid w:val="00304CFA"/>
    <w:rsid w:val="00305686"/>
    <w:rsid w:val="003058F3"/>
    <w:rsid w:val="00305CD4"/>
    <w:rsid w:val="0030665E"/>
    <w:rsid w:val="00306894"/>
    <w:rsid w:val="0030736D"/>
    <w:rsid w:val="00307872"/>
    <w:rsid w:val="00307BAE"/>
    <w:rsid w:val="003103E6"/>
    <w:rsid w:val="0031087C"/>
    <w:rsid w:val="003110AE"/>
    <w:rsid w:val="00311113"/>
    <w:rsid w:val="00311B6A"/>
    <w:rsid w:val="003122F4"/>
    <w:rsid w:val="003126FC"/>
    <w:rsid w:val="00314247"/>
    <w:rsid w:val="003145D6"/>
    <w:rsid w:val="00314652"/>
    <w:rsid w:val="003175AC"/>
    <w:rsid w:val="00317B87"/>
    <w:rsid w:val="0032061D"/>
    <w:rsid w:val="00320D0F"/>
    <w:rsid w:val="003216AB"/>
    <w:rsid w:val="00321C5A"/>
    <w:rsid w:val="0032208A"/>
    <w:rsid w:val="00322E05"/>
    <w:rsid w:val="0032317D"/>
    <w:rsid w:val="00323F52"/>
    <w:rsid w:val="003242BE"/>
    <w:rsid w:val="00324E41"/>
    <w:rsid w:val="003250CA"/>
    <w:rsid w:val="003250F2"/>
    <w:rsid w:val="00325BA9"/>
    <w:rsid w:val="003260A5"/>
    <w:rsid w:val="0032678D"/>
    <w:rsid w:val="003268D5"/>
    <w:rsid w:val="003273C0"/>
    <w:rsid w:val="00327B54"/>
    <w:rsid w:val="00327F62"/>
    <w:rsid w:val="00330F0C"/>
    <w:rsid w:val="00331878"/>
    <w:rsid w:val="00331BD3"/>
    <w:rsid w:val="00331E79"/>
    <w:rsid w:val="0033385A"/>
    <w:rsid w:val="003339C6"/>
    <w:rsid w:val="00333A96"/>
    <w:rsid w:val="00333C7A"/>
    <w:rsid w:val="00333D65"/>
    <w:rsid w:val="00334571"/>
    <w:rsid w:val="003350E8"/>
    <w:rsid w:val="0033577A"/>
    <w:rsid w:val="003369F3"/>
    <w:rsid w:val="0033755F"/>
    <w:rsid w:val="00337758"/>
    <w:rsid w:val="00337901"/>
    <w:rsid w:val="00337FFE"/>
    <w:rsid w:val="003403F9"/>
    <w:rsid w:val="00340961"/>
    <w:rsid w:val="003413BA"/>
    <w:rsid w:val="003431C1"/>
    <w:rsid w:val="00343D62"/>
    <w:rsid w:val="003448E1"/>
    <w:rsid w:val="003448F6"/>
    <w:rsid w:val="00345588"/>
    <w:rsid w:val="00345591"/>
    <w:rsid w:val="00345DC7"/>
    <w:rsid w:val="0034631C"/>
    <w:rsid w:val="00346AA0"/>
    <w:rsid w:val="003474E9"/>
    <w:rsid w:val="0035069C"/>
    <w:rsid w:val="00350759"/>
    <w:rsid w:val="003514D2"/>
    <w:rsid w:val="00351889"/>
    <w:rsid w:val="0035430D"/>
    <w:rsid w:val="0035441D"/>
    <w:rsid w:val="003544FD"/>
    <w:rsid w:val="00354D27"/>
    <w:rsid w:val="003553F7"/>
    <w:rsid w:val="003556A8"/>
    <w:rsid w:val="003563F7"/>
    <w:rsid w:val="00356801"/>
    <w:rsid w:val="0035738A"/>
    <w:rsid w:val="00360A16"/>
    <w:rsid w:val="00360F37"/>
    <w:rsid w:val="00361172"/>
    <w:rsid w:val="00361447"/>
    <w:rsid w:val="0036176B"/>
    <w:rsid w:val="00361878"/>
    <w:rsid w:val="00361D4D"/>
    <w:rsid w:val="00361E9F"/>
    <w:rsid w:val="003621D0"/>
    <w:rsid w:val="00362325"/>
    <w:rsid w:val="0036344E"/>
    <w:rsid w:val="00363961"/>
    <w:rsid w:val="0036470F"/>
    <w:rsid w:val="00365676"/>
    <w:rsid w:val="00365A55"/>
    <w:rsid w:val="00366652"/>
    <w:rsid w:val="003702F8"/>
    <w:rsid w:val="00370ADB"/>
    <w:rsid w:val="00370DB1"/>
    <w:rsid w:val="00370E79"/>
    <w:rsid w:val="00370E9C"/>
    <w:rsid w:val="003715DB"/>
    <w:rsid w:val="00372B02"/>
    <w:rsid w:val="003731F3"/>
    <w:rsid w:val="003747E1"/>
    <w:rsid w:val="00374B79"/>
    <w:rsid w:val="00375655"/>
    <w:rsid w:val="00375D71"/>
    <w:rsid w:val="00376685"/>
    <w:rsid w:val="00377339"/>
    <w:rsid w:val="003776C5"/>
    <w:rsid w:val="0038023D"/>
    <w:rsid w:val="0038139C"/>
    <w:rsid w:val="003819D0"/>
    <w:rsid w:val="00381B98"/>
    <w:rsid w:val="00381EBF"/>
    <w:rsid w:val="003823A8"/>
    <w:rsid w:val="00382C6D"/>
    <w:rsid w:val="0038381F"/>
    <w:rsid w:val="00385275"/>
    <w:rsid w:val="003857E6"/>
    <w:rsid w:val="003858A6"/>
    <w:rsid w:val="003858AF"/>
    <w:rsid w:val="00385985"/>
    <w:rsid w:val="00385CD8"/>
    <w:rsid w:val="00385D60"/>
    <w:rsid w:val="00386297"/>
    <w:rsid w:val="00386453"/>
    <w:rsid w:val="0038672E"/>
    <w:rsid w:val="00386B70"/>
    <w:rsid w:val="00387423"/>
    <w:rsid w:val="003877E9"/>
    <w:rsid w:val="00390C4D"/>
    <w:rsid w:val="00390D1C"/>
    <w:rsid w:val="0039152F"/>
    <w:rsid w:val="00392DCC"/>
    <w:rsid w:val="00394678"/>
    <w:rsid w:val="003963D0"/>
    <w:rsid w:val="00396B68"/>
    <w:rsid w:val="003973F4"/>
    <w:rsid w:val="0039795F"/>
    <w:rsid w:val="003979E3"/>
    <w:rsid w:val="00397BB5"/>
    <w:rsid w:val="003A00F8"/>
    <w:rsid w:val="003A224D"/>
    <w:rsid w:val="003A2300"/>
    <w:rsid w:val="003A2539"/>
    <w:rsid w:val="003A3CDD"/>
    <w:rsid w:val="003A3F20"/>
    <w:rsid w:val="003A497C"/>
    <w:rsid w:val="003A5A05"/>
    <w:rsid w:val="003A5B36"/>
    <w:rsid w:val="003A6BC3"/>
    <w:rsid w:val="003A714F"/>
    <w:rsid w:val="003A7CE0"/>
    <w:rsid w:val="003A7F80"/>
    <w:rsid w:val="003B0C23"/>
    <w:rsid w:val="003B0D21"/>
    <w:rsid w:val="003B1292"/>
    <w:rsid w:val="003B1409"/>
    <w:rsid w:val="003B189A"/>
    <w:rsid w:val="003B1AFC"/>
    <w:rsid w:val="003B2478"/>
    <w:rsid w:val="003B29E7"/>
    <w:rsid w:val="003B2E73"/>
    <w:rsid w:val="003B3414"/>
    <w:rsid w:val="003B3EC5"/>
    <w:rsid w:val="003B42D9"/>
    <w:rsid w:val="003B4492"/>
    <w:rsid w:val="003B4630"/>
    <w:rsid w:val="003B5B8E"/>
    <w:rsid w:val="003B5B97"/>
    <w:rsid w:val="003B5CC0"/>
    <w:rsid w:val="003B6DE1"/>
    <w:rsid w:val="003C0623"/>
    <w:rsid w:val="003C0BD1"/>
    <w:rsid w:val="003C0FAC"/>
    <w:rsid w:val="003C21AB"/>
    <w:rsid w:val="003C24B4"/>
    <w:rsid w:val="003C2523"/>
    <w:rsid w:val="003C2989"/>
    <w:rsid w:val="003C2BCB"/>
    <w:rsid w:val="003C2E44"/>
    <w:rsid w:val="003C3180"/>
    <w:rsid w:val="003C362C"/>
    <w:rsid w:val="003C42BB"/>
    <w:rsid w:val="003C45C2"/>
    <w:rsid w:val="003C4F44"/>
    <w:rsid w:val="003C51CB"/>
    <w:rsid w:val="003C54FC"/>
    <w:rsid w:val="003C56CD"/>
    <w:rsid w:val="003C58F1"/>
    <w:rsid w:val="003C5E58"/>
    <w:rsid w:val="003C5F5A"/>
    <w:rsid w:val="003C643D"/>
    <w:rsid w:val="003C76B8"/>
    <w:rsid w:val="003C7B77"/>
    <w:rsid w:val="003C7BBF"/>
    <w:rsid w:val="003D018C"/>
    <w:rsid w:val="003D08E2"/>
    <w:rsid w:val="003D0954"/>
    <w:rsid w:val="003D0A0E"/>
    <w:rsid w:val="003D0B72"/>
    <w:rsid w:val="003D1299"/>
    <w:rsid w:val="003D12D3"/>
    <w:rsid w:val="003D1A04"/>
    <w:rsid w:val="003D1E7B"/>
    <w:rsid w:val="003D2F6D"/>
    <w:rsid w:val="003D3963"/>
    <w:rsid w:val="003D3A38"/>
    <w:rsid w:val="003D5699"/>
    <w:rsid w:val="003D599D"/>
    <w:rsid w:val="003D5B05"/>
    <w:rsid w:val="003D5C06"/>
    <w:rsid w:val="003D5EE0"/>
    <w:rsid w:val="003D648D"/>
    <w:rsid w:val="003D6597"/>
    <w:rsid w:val="003D6C8B"/>
    <w:rsid w:val="003D6E2C"/>
    <w:rsid w:val="003D712A"/>
    <w:rsid w:val="003D726C"/>
    <w:rsid w:val="003D7A06"/>
    <w:rsid w:val="003D7C7D"/>
    <w:rsid w:val="003D7D8A"/>
    <w:rsid w:val="003E0BB5"/>
    <w:rsid w:val="003E1413"/>
    <w:rsid w:val="003E199E"/>
    <w:rsid w:val="003E20D6"/>
    <w:rsid w:val="003E2600"/>
    <w:rsid w:val="003E34B9"/>
    <w:rsid w:val="003E386E"/>
    <w:rsid w:val="003E4D87"/>
    <w:rsid w:val="003E50CF"/>
    <w:rsid w:val="003E5172"/>
    <w:rsid w:val="003E55DA"/>
    <w:rsid w:val="003E6519"/>
    <w:rsid w:val="003E785F"/>
    <w:rsid w:val="003F036C"/>
    <w:rsid w:val="003F0386"/>
    <w:rsid w:val="003F19FA"/>
    <w:rsid w:val="003F1FE4"/>
    <w:rsid w:val="003F2CE2"/>
    <w:rsid w:val="003F3BA1"/>
    <w:rsid w:val="003F3BDA"/>
    <w:rsid w:val="003F47CD"/>
    <w:rsid w:val="003F4D2D"/>
    <w:rsid w:val="003F50D6"/>
    <w:rsid w:val="003F57FC"/>
    <w:rsid w:val="003F5BB6"/>
    <w:rsid w:val="003F5C5B"/>
    <w:rsid w:val="003F5F2C"/>
    <w:rsid w:val="003F5FB2"/>
    <w:rsid w:val="003F6006"/>
    <w:rsid w:val="003F754F"/>
    <w:rsid w:val="003F7701"/>
    <w:rsid w:val="003F7F4A"/>
    <w:rsid w:val="00401021"/>
    <w:rsid w:val="00401082"/>
    <w:rsid w:val="00401440"/>
    <w:rsid w:val="00402047"/>
    <w:rsid w:val="0040249F"/>
    <w:rsid w:val="00403E06"/>
    <w:rsid w:val="004047FA"/>
    <w:rsid w:val="004048CE"/>
    <w:rsid w:val="00405F60"/>
    <w:rsid w:val="0040602D"/>
    <w:rsid w:val="00406602"/>
    <w:rsid w:val="00406CB7"/>
    <w:rsid w:val="00410139"/>
    <w:rsid w:val="00410819"/>
    <w:rsid w:val="004109BF"/>
    <w:rsid w:val="00410C78"/>
    <w:rsid w:val="00410DF7"/>
    <w:rsid w:val="00410EF2"/>
    <w:rsid w:val="0041265D"/>
    <w:rsid w:val="0041295D"/>
    <w:rsid w:val="00413011"/>
    <w:rsid w:val="0041325D"/>
    <w:rsid w:val="004148C5"/>
    <w:rsid w:val="00414E1F"/>
    <w:rsid w:val="00414FC8"/>
    <w:rsid w:val="00415D12"/>
    <w:rsid w:val="00416476"/>
    <w:rsid w:val="0041664A"/>
    <w:rsid w:val="00416762"/>
    <w:rsid w:val="00416AB0"/>
    <w:rsid w:val="00416E55"/>
    <w:rsid w:val="00417F52"/>
    <w:rsid w:val="00420317"/>
    <w:rsid w:val="00420C5F"/>
    <w:rsid w:val="00420EFE"/>
    <w:rsid w:val="004213B5"/>
    <w:rsid w:val="00421955"/>
    <w:rsid w:val="00421F6D"/>
    <w:rsid w:val="00422002"/>
    <w:rsid w:val="004222FF"/>
    <w:rsid w:val="00422B06"/>
    <w:rsid w:val="00423061"/>
    <w:rsid w:val="004236CF"/>
    <w:rsid w:val="0042396E"/>
    <w:rsid w:val="0042442E"/>
    <w:rsid w:val="0042518A"/>
    <w:rsid w:val="004256A7"/>
    <w:rsid w:val="004256B4"/>
    <w:rsid w:val="00426B1C"/>
    <w:rsid w:val="00426B4C"/>
    <w:rsid w:val="004271E4"/>
    <w:rsid w:val="0042720C"/>
    <w:rsid w:val="004276A0"/>
    <w:rsid w:val="004277E2"/>
    <w:rsid w:val="004277F3"/>
    <w:rsid w:val="0042788C"/>
    <w:rsid w:val="00431962"/>
    <w:rsid w:val="0043248A"/>
    <w:rsid w:val="00432575"/>
    <w:rsid w:val="00433280"/>
    <w:rsid w:val="004334BA"/>
    <w:rsid w:val="0043354C"/>
    <w:rsid w:val="004348F2"/>
    <w:rsid w:val="0043490D"/>
    <w:rsid w:val="0043494A"/>
    <w:rsid w:val="00434B0F"/>
    <w:rsid w:val="00435AED"/>
    <w:rsid w:val="00435BFD"/>
    <w:rsid w:val="00435D33"/>
    <w:rsid w:val="00435D45"/>
    <w:rsid w:val="004363AE"/>
    <w:rsid w:val="00437B60"/>
    <w:rsid w:val="00440936"/>
    <w:rsid w:val="00441343"/>
    <w:rsid w:val="004413DB"/>
    <w:rsid w:val="004415EF"/>
    <w:rsid w:val="0044198E"/>
    <w:rsid w:val="00441D3F"/>
    <w:rsid w:val="0044250D"/>
    <w:rsid w:val="00442918"/>
    <w:rsid w:val="004433BC"/>
    <w:rsid w:val="00443DBD"/>
    <w:rsid w:val="004441C8"/>
    <w:rsid w:val="004445FE"/>
    <w:rsid w:val="00444753"/>
    <w:rsid w:val="00444A63"/>
    <w:rsid w:val="00444C5E"/>
    <w:rsid w:val="00445265"/>
    <w:rsid w:val="004457F2"/>
    <w:rsid w:val="00445A8B"/>
    <w:rsid w:val="00445AE7"/>
    <w:rsid w:val="004462B3"/>
    <w:rsid w:val="00446989"/>
    <w:rsid w:val="00447F82"/>
    <w:rsid w:val="00450717"/>
    <w:rsid w:val="00451926"/>
    <w:rsid w:val="00451BF6"/>
    <w:rsid w:val="004521DF"/>
    <w:rsid w:val="00452E9D"/>
    <w:rsid w:val="00452FAA"/>
    <w:rsid w:val="004533F1"/>
    <w:rsid w:val="00453571"/>
    <w:rsid w:val="0045372A"/>
    <w:rsid w:val="0045439D"/>
    <w:rsid w:val="00454497"/>
    <w:rsid w:val="004553A7"/>
    <w:rsid w:val="004559CE"/>
    <w:rsid w:val="00456096"/>
    <w:rsid w:val="00456418"/>
    <w:rsid w:val="004571A7"/>
    <w:rsid w:val="00457353"/>
    <w:rsid w:val="00457388"/>
    <w:rsid w:val="004575D5"/>
    <w:rsid w:val="00457AAE"/>
    <w:rsid w:val="0046045A"/>
    <w:rsid w:val="004609F4"/>
    <w:rsid w:val="00460E1A"/>
    <w:rsid w:val="00461718"/>
    <w:rsid w:val="00461ACA"/>
    <w:rsid w:val="00462392"/>
    <w:rsid w:val="00463330"/>
    <w:rsid w:val="0046378E"/>
    <w:rsid w:val="00463DF8"/>
    <w:rsid w:val="00463E66"/>
    <w:rsid w:val="00464EA6"/>
    <w:rsid w:val="00465EAC"/>
    <w:rsid w:val="00465F8B"/>
    <w:rsid w:val="004665B0"/>
    <w:rsid w:val="00466DB7"/>
    <w:rsid w:val="004670F3"/>
    <w:rsid w:val="004678F5"/>
    <w:rsid w:val="004679BA"/>
    <w:rsid w:val="004702F5"/>
    <w:rsid w:val="00470BDD"/>
    <w:rsid w:val="004714B2"/>
    <w:rsid w:val="00471F7E"/>
    <w:rsid w:val="00471FC4"/>
    <w:rsid w:val="00472325"/>
    <w:rsid w:val="00472DBE"/>
    <w:rsid w:val="0047376C"/>
    <w:rsid w:val="00473A7A"/>
    <w:rsid w:val="004741EE"/>
    <w:rsid w:val="004742EE"/>
    <w:rsid w:val="00475085"/>
    <w:rsid w:val="004753A6"/>
    <w:rsid w:val="00476394"/>
    <w:rsid w:val="004766FE"/>
    <w:rsid w:val="00476CF6"/>
    <w:rsid w:val="0047712D"/>
    <w:rsid w:val="00477AA8"/>
    <w:rsid w:val="00480180"/>
    <w:rsid w:val="00480937"/>
    <w:rsid w:val="00480CEC"/>
    <w:rsid w:val="00480F4B"/>
    <w:rsid w:val="00481BB3"/>
    <w:rsid w:val="00481E28"/>
    <w:rsid w:val="00482605"/>
    <w:rsid w:val="00483A71"/>
    <w:rsid w:val="00483B3E"/>
    <w:rsid w:val="00483F0A"/>
    <w:rsid w:val="00484559"/>
    <w:rsid w:val="00484A6F"/>
    <w:rsid w:val="00484DB7"/>
    <w:rsid w:val="00484FFD"/>
    <w:rsid w:val="004873D2"/>
    <w:rsid w:val="00487586"/>
    <w:rsid w:val="00490270"/>
    <w:rsid w:val="00490EE9"/>
    <w:rsid w:val="00492B41"/>
    <w:rsid w:val="00492FCB"/>
    <w:rsid w:val="00493979"/>
    <w:rsid w:val="00494994"/>
    <w:rsid w:val="004956FD"/>
    <w:rsid w:val="00495888"/>
    <w:rsid w:val="004962D7"/>
    <w:rsid w:val="004966E0"/>
    <w:rsid w:val="00496862"/>
    <w:rsid w:val="00496E54"/>
    <w:rsid w:val="0049712F"/>
    <w:rsid w:val="00497675"/>
    <w:rsid w:val="00497692"/>
    <w:rsid w:val="004978DD"/>
    <w:rsid w:val="004A02C5"/>
    <w:rsid w:val="004A0A34"/>
    <w:rsid w:val="004A0CA9"/>
    <w:rsid w:val="004A0EC2"/>
    <w:rsid w:val="004A0F11"/>
    <w:rsid w:val="004A163A"/>
    <w:rsid w:val="004A24ED"/>
    <w:rsid w:val="004A34C5"/>
    <w:rsid w:val="004A3711"/>
    <w:rsid w:val="004A388A"/>
    <w:rsid w:val="004A3EAA"/>
    <w:rsid w:val="004A3F0B"/>
    <w:rsid w:val="004A40F5"/>
    <w:rsid w:val="004A4C70"/>
    <w:rsid w:val="004A576B"/>
    <w:rsid w:val="004A594F"/>
    <w:rsid w:val="004A5A04"/>
    <w:rsid w:val="004A6E9B"/>
    <w:rsid w:val="004A6ECE"/>
    <w:rsid w:val="004A6F0D"/>
    <w:rsid w:val="004A7705"/>
    <w:rsid w:val="004A79EA"/>
    <w:rsid w:val="004A7A6A"/>
    <w:rsid w:val="004A7D97"/>
    <w:rsid w:val="004A7FC2"/>
    <w:rsid w:val="004B08C2"/>
    <w:rsid w:val="004B1AB9"/>
    <w:rsid w:val="004B1F07"/>
    <w:rsid w:val="004B1FFE"/>
    <w:rsid w:val="004B23E2"/>
    <w:rsid w:val="004B240A"/>
    <w:rsid w:val="004B28EA"/>
    <w:rsid w:val="004B2F4B"/>
    <w:rsid w:val="004B4484"/>
    <w:rsid w:val="004B4B6A"/>
    <w:rsid w:val="004B4BF5"/>
    <w:rsid w:val="004B5133"/>
    <w:rsid w:val="004B5DC0"/>
    <w:rsid w:val="004B657D"/>
    <w:rsid w:val="004B67E7"/>
    <w:rsid w:val="004B6D04"/>
    <w:rsid w:val="004B7037"/>
    <w:rsid w:val="004B7F44"/>
    <w:rsid w:val="004C13CB"/>
    <w:rsid w:val="004C142D"/>
    <w:rsid w:val="004C1E21"/>
    <w:rsid w:val="004C2902"/>
    <w:rsid w:val="004C41B6"/>
    <w:rsid w:val="004C4674"/>
    <w:rsid w:val="004C4E3A"/>
    <w:rsid w:val="004C6004"/>
    <w:rsid w:val="004C63F4"/>
    <w:rsid w:val="004C6501"/>
    <w:rsid w:val="004C653F"/>
    <w:rsid w:val="004C6C49"/>
    <w:rsid w:val="004D0178"/>
    <w:rsid w:val="004D037B"/>
    <w:rsid w:val="004D03DF"/>
    <w:rsid w:val="004D1C19"/>
    <w:rsid w:val="004D23C7"/>
    <w:rsid w:val="004D2A56"/>
    <w:rsid w:val="004D3E55"/>
    <w:rsid w:val="004D45BD"/>
    <w:rsid w:val="004D4B56"/>
    <w:rsid w:val="004D4C77"/>
    <w:rsid w:val="004D5A8F"/>
    <w:rsid w:val="004D64DE"/>
    <w:rsid w:val="004D65EE"/>
    <w:rsid w:val="004D6B20"/>
    <w:rsid w:val="004D6E37"/>
    <w:rsid w:val="004D7062"/>
    <w:rsid w:val="004D7BA6"/>
    <w:rsid w:val="004D7C5B"/>
    <w:rsid w:val="004E00EA"/>
    <w:rsid w:val="004E0AB0"/>
    <w:rsid w:val="004E1996"/>
    <w:rsid w:val="004E21A3"/>
    <w:rsid w:val="004E2A47"/>
    <w:rsid w:val="004E2B5F"/>
    <w:rsid w:val="004E3903"/>
    <w:rsid w:val="004E3943"/>
    <w:rsid w:val="004E3B25"/>
    <w:rsid w:val="004E41D8"/>
    <w:rsid w:val="004E441C"/>
    <w:rsid w:val="004E5394"/>
    <w:rsid w:val="004E5733"/>
    <w:rsid w:val="004E5797"/>
    <w:rsid w:val="004E5805"/>
    <w:rsid w:val="004E6260"/>
    <w:rsid w:val="004E6857"/>
    <w:rsid w:val="004E6B14"/>
    <w:rsid w:val="004E76B2"/>
    <w:rsid w:val="004E7D69"/>
    <w:rsid w:val="004E7EA5"/>
    <w:rsid w:val="004F07B5"/>
    <w:rsid w:val="004F142F"/>
    <w:rsid w:val="004F1BF8"/>
    <w:rsid w:val="004F1E1A"/>
    <w:rsid w:val="004F3311"/>
    <w:rsid w:val="004F368A"/>
    <w:rsid w:val="004F36BE"/>
    <w:rsid w:val="004F404F"/>
    <w:rsid w:val="004F4B92"/>
    <w:rsid w:val="004F4DB9"/>
    <w:rsid w:val="004F5C1C"/>
    <w:rsid w:val="004F62CE"/>
    <w:rsid w:val="004F67E6"/>
    <w:rsid w:val="00500121"/>
    <w:rsid w:val="0050054E"/>
    <w:rsid w:val="005006C0"/>
    <w:rsid w:val="0050098B"/>
    <w:rsid w:val="00501B6C"/>
    <w:rsid w:val="00501F2C"/>
    <w:rsid w:val="00502343"/>
    <w:rsid w:val="00502A9D"/>
    <w:rsid w:val="00502DA9"/>
    <w:rsid w:val="00503986"/>
    <w:rsid w:val="00503ED3"/>
    <w:rsid w:val="005040E1"/>
    <w:rsid w:val="005055E1"/>
    <w:rsid w:val="005057A9"/>
    <w:rsid w:val="00505881"/>
    <w:rsid w:val="005066E6"/>
    <w:rsid w:val="00506C40"/>
    <w:rsid w:val="00507229"/>
    <w:rsid w:val="0050727C"/>
    <w:rsid w:val="0050732E"/>
    <w:rsid w:val="00507EAA"/>
    <w:rsid w:val="0051014F"/>
    <w:rsid w:val="0051023F"/>
    <w:rsid w:val="00512095"/>
    <w:rsid w:val="005120F9"/>
    <w:rsid w:val="0051223E"/>
    <w:rsid w:val="00513108"/>
    <w:rsid w:val="00513C1D"/>
    <w:rsid w:val="00513E89"/>
    <w:rsid w:val="0051408B"/>
    <w:rsid w:val="00514144"/>
    <w:rsid w:val="00514245"/>
    <w:rsid w:val="005149BA"/>
    <w:rsid w:val="00514AC6"/>
    <w:rsid w:val="00515288"/>
    <w:rsid w:val="0051539E"/>
    <w:rsid w:val="00516785"/>
    <w:rsid w:val="00516825"/>
    <w:rsid w:val="005169B2"/>
    <w:rsid w:val="00516DD8"/>
    <w:rsid w:val="00516F2A"/>
    <w:rsid w:val="005171BB"/>
    <w:rsid w:val="00517D50"/>
    <w:rsid w:val="00520335"/>
    <w:rsid w:val="00520372"/>
    <w:rsid w:val="005208D5"/>
    <w:rsid w:val="00521548"/>
    <w:rsid w:val="00523159"/>
    <w:rsid w:val="005231BC"/>
    <w:rsid w:val="005234D8"/>
    <w:rsid w:val="0052363A"/>
    <w:rsid w:val="0052419D"/>
    <w:rsid w:val="00524CC8"/>
    <w:rsid w:val="00524F75"/>
    <w:rsid w:val="005254C3"/>
    <w:rsid w:val="00526BF4"/>
    <w:rsid w:val="00526D89"/>
    <w:rsid w:val="005272D4"/>
    <w:rsid w:val="00527345"/>
    <w:rsid w:val="00527A4C"/>
    <w:rsid w:val="005301F8"/>
    <w:rsid w:val="005302A5"/>
    <w:rsid w:val="00530BF8"/>
    <w:rsid w:val="00530C15"/>
    <w:rsid w:val="00530C6D"/>
    <w:rsid w:val="00530EF4"/>
    <w:rsid w:val="005310FC"/>
    <w:rsid w:val="005312FC"/>
    <w:rsid w:val="00531483"/>
    <w:rsid w:val="0053281D"/>
    <w:rsid w:val="00532C6D"/>
    <w:rsid w:val="005335D5"/>
    <w:rsid w:val="00533D94"/>
    <w:rsid w:val="0053499E"/>
    <w:rsid w:val="005354E1"/>
    <w:rsid w:val="0053569E"/>
    <w:rsid w:val="00535813"/>
    <w:rsid w:val="00535EE3"/>
    <w:rsid w:val="0053603D"/>
    <w:rsid w:val="00536072"/>
    <w:rsid w:val="0053742A"/>
    <w:rsid w:val="00537C85"/>
    <w:rsid w:val="00540581"/>
    <w:rsid w:val="00540754"/>
    <w:rsid w:val="00541CCE"/>
    <w:rsid w:val="00541D29"/>
    <w:rsid w:val="00541E17"/>
    <w:rsid w:val="005427A7"/>
    <w:rsid w:val="00542D1B"/>
    <w:rsid w:val="0054340E"/>
    <w:rsid w:val="00543F23"/>
    <w:rsid w:val="005454FC"/>
    <w:rsid w:val="00545C0E"/>
    <w:rsid w:val="00547B21"/>
    <w:rsid w:val="00547C57"/>
    <w:rsid w:val="00547ECE"/>
    <w:rsid w:val="0055001D"/>
    <w:rsid w:val="00550282"/>
    <w:rsid w:val="00550390"/>
    <w:rsid w:val="0055050A"/>
    <w:rsid w:val="00550603"/>
    <w:rsid w:val="00550708"/>
    <w:rsid w:val="00551262"/>
    <w:rsid w:val="005518BD"/>
    <w:rsid w:val="00551C8B"/>
    <w:rsid w:val="0055212F"/>
    <w:rsid w:val="005521F4"/>
    <w:rsid w:val="00552659"/>
    <w:rsid w:val="005527E8"/>
    <w:rsid w:val="00552EA7"/>
    <w:rsid w:val="00553209"/>
    <w:rsid w:val="00554051"/>
    <w:rsid w:val="0055496C"/>
    <w:rsid w:val="00557936"/>
    <w:rsid w:val="005604E6"/>
    <w:rsid w:val="00560971"/>
    <w:rsid w:val="00560D59"/>
    <w:rsid w:val="00561343"/>
    <w:rsid w:val="00561F93"/>
    <w:rsid w:val="00562A35"/>
    <w:rsid w:val="00562F17"/>
    <w:rsid w:val="005635DC"/>
    <w:rsid w:val="00563989"/>
    <w:rsid w:val="00564F1D"/>
    <w:rsid w:val="005650C9"/>
    <w:rsid w:val="0056582C"/>
    <w:rsid w:val="00566EFF"/>
    <w:rsid w:val="00567E06"/>
    <w:rsid w:val="0057043D"/>
    <w:rsid w:val="00570EC2"/>
    <w:rsid w:val="00571A82"/>
    <w:rsid w:val="00571EE9"/>
    <w:rsid w:val="0057227B"/>
    <w:rsid w:val="005724E3"/>
    <w:rsid w:val="00572AD0"/>
    <w:rsid w:val="005739D8"/>
    <w:rsid w:val="00573B49"/>
    <w:rsid w:val="0057401B"/>
    <w:rsid w:val="00574ACF"/>
    <w:rsid w:val="00574F48"/>
    <w:rsid w:val="005756DE"/>
    <w:rsid w:val="005759B2"/>
    <w:rsid w:val="00575AD2"/>
    <w:rsid w:val="00575CD1"/>
    <w:rsid w:val="00576A3A"/>
    <w:rsid w:val="00576EB1"/>
    <w:rsid w:val="005776B2"/>
    <w:rsid w:val="00580BCA"/>
    <w:rsid w:val="00580E69"/>
    <w:rsid w:val="0058101A"/>
    <w:rsid w:val="00581CB0"/>
    <w:rsid w:val="0058265E"/>
    <w:rsid w:val="00582CB3"/>
    <w:rsid w:val="00582EBB"/>
    <w:rsid w:val="005848AB"/>
    <w:rsid w:val="00584A29"/>
    <w:rsid w:val="00584A5B"/>
    <w:rsid w:val="00584FFA"/>
    <w:rsid w:val="00585166"/>
    <w:rsid w:val="0058558E"/>
    <w:rsid w:val="0058587B"/>
    <w:rsid w:val="00585E0E"/>
    <w:rsid w:val="00586605"/>
    <w:rsid w:val="005866B0"/>
    <w:rsid w:val="005868DE"/>
    <w:rsid w:val="005877AC"/>
    <w:rsid w:val="00590026"/>
    <w:rsid w:val="005901DE"/>
    <w:rsid w:val="00591469"/>
    <w:rsid w:val="00591504"/>
    <w:rsid w:val="005923BB"/>
    <w:rsid w:val="00592BDF"/>
    <w:rsid w:val="00594040"/>
    <w:rsid w:val="005946C2"/>
    <w:rsid w:val="00594EE7"/>
    <w:rsid w:val="0059503B"/>
    <w:rsid w:val="00595191"/>
    <w:rsid w:val="005952CB"/>
    <w:rsid w:val="00595873"/>
    <w:rsid w:val="005966B7"/>
    <w:rsid w:val="00596B15"/>
    <w:rsid w:val="005970EC"/>
    <w:rsid w:val="005979AF"/>
    <w:rsid w:val="005979EC"/>
    <w:rsid w:val="00597F45"/>
    <w:rsid w:val="005A0055"/>
    <w:rsid w:val="005A0209"/>
    <w:rsid w:val="005A11A2"/>
    <w:rsid w:val="005A1603"/>
    <w:rsid w:val="005A1911"/>
    <w:rsid w:val="005A1DB0"/>
    <w:rsid w:val="005A1EBB"/>
    <w:rsid w:val="005A308C"/>
    <w:rsid w:val="005A3403"/>
    <w:rsid w:val="005A3581"/>
    <w:rsid w:val="005A3649"/>
    <w:rsid w:val="005A381D"/>
    <w:rsid w:val="005A4185"/>
    <w:rsid w:val="005A41DD"/>
    <w:rsid w:val="005A4555"/>
    <w:rsid w:val="005A47A2"/>
    <w:rsid w:val="005A4D0E"/>
    <w:rsid w:val="005A4DD7"/>
    <w:rsid w:val="005A59F1"/>
    <w:rsid w:val="005A63B9"/>
    <w:rsid w:val="005A72BB"/>
    <w:rsid w:val="005A789F"/>
    <w:rsid w:val="005A7C3A"/>
    <w:rsid w:val="005A7E7F"/>
    <w:rsid w:val="005B0808"/>
    <w:rsid w:val="005B0AFB"/>
    <w:rsid w:val="005B0E10"/>
    <w:rsid w:val="005B22E0"/>
    <w:rsid w:val="005B2343"/>
    <w:rsid w:val="005B3011"/>
    <w:rsid w:val="005B30BF"/>
    <w:rsid w:val="005B30EB"/>
    <w:rsid w:val="005B4435"/>
    <w:rsid w:val="005B5328"/>
    <w:rsid w:val="005B56AC"/>
    <w:rsid w:val="005B5E2A"/>
    <w:rsid w:val="005B5E81"/>
    <w:rsid w:val="005B60E7"/>
    <w:rsid w:val="005B6F48"/>
    <w:rsid w:val="005C015E"/>
    <w:rsid w:val="005C02A4"/>
    <w:rsid w:val="005C081F"/>
    <w:rsid w:val="005C083F"/>
    <w:rsid w:val="005C1254"/>
    <w:rsid w:val="005C19C4"/>
    <w:rsid w:val="005C20D2"/>
    <w:rsid w:val="005C24F3"/>
    <w:rsid w:val="005C275B"/>
    <w:rsid w:val="005C2D65"/>
    <w:rsid w:val="005C2E7D"/>
    <w:rsid w:val="005C32FE"/>
    <w:rsid w:val="005C34CE"/>
    <w:rsid w:val="005C44CF"/>
    <w:rsid w:val="005C4CC9"/>
    <w:rsid w:val="005C503A"/>
    <w:rsid w:val="005C57A1"/>
    <w:rsid w:val="005C5D65"/>
    <w:rsid w:val="005C61B0"/>
    <w:rsid w:val="005C6A0A"/>
    <w:rsid w:val="005C71AD"/>
    <w:rsid w:val="005C74D4"/>
    <w:rsid w:val="005C7513"/>
    <w:rsid w:val="005C7AB8"/>
    <w:rsid w:val="005D024A"/>
    <w:rsid w:val="005D0868"/>
    <w:rsid w:val="005D09E0"/>
    <w:rsid w:val="005D1A7F"/>
    <w:rsid w:val="005D2621"/>
    <w:rsid w:val="005D2CE7"/>
    <w:rsid w:val="005D3E29"/>
    <w:rsid w:val="005D3E33"/>
    <w:rsid w:val="005D44C1"/>
    <w:rsid w:val="005D4EB1"/>
    <w:rsid w:val="005D4EC2"/>
    <w:rsid w:val="005D4FD4"/>
    <w:rsid w:val="005D522F"/>
    <w:rsid w:val="005D52D7"/>
    <w:rsid w:val="005D5464"/>
    <w:rsid w:val="005D588F"/>
    <w:rsid w:val="005D6537"/>
    <w:rsid w:val="005D693B"/>
    <w:rsid w:val="005D6D64"/>
    <w:rsid w:val="005D7413"/>
    <w:rsid w:val="005D78E8"/>
    <w:rsid w:val="005E038D"/>
    <w:rsid w:val="005E0C69"/>
    <w:rsid w:val="005E0E17"/>
    <w:rsid w:val="005E0E8A"/>
    <w:rsid w:val="005E2512"/>
    <w:rsid w:val="005E2781"/>
    <w:rsid w:val="005E2BFE"/>
    <w:rsid w:val="005E37FF"/>
    <w:rsid w:val="005E3C05"/>
    <w:rsid w:val="005E4028"/>
    <w:rsid w:val="005E403D"/>
    <w:rsid w:val="005E4977"/>
    <w:rsid w:val="005E56BA"/>
    <w:rsid w:val="005E5C62"/>
    <w:rsid w:val="005E6178"/>
    <w:rsid w:val="005E6710"/>
    <w:rsid w:val="005E7244"/>
    <w:rsid w:val="005E7863"/>
    <w:rsid w:val="005E7AC7"/>
    <w:rsid w:val="005F0B7A"/>
    <w:rsid w:val="005F0F8A"/>
    <w:rsid w:val="005F146A"/>
    <w:rsid w:val="005F161D"/>
    <w:rsid w:val="005F1A34"/>
    <w:rsid w:val="005F1A96"/>
    <w:rsid w:val="005F1CA2"/>
    <w:rsid w:val="005F2ADA"/>
    <w:rsid w:val="005F392E"/>
    <w:rsid w:val="005F3BAA"/>
    <w:rsid w:val="005F3C15"/>
    <w:rsid w:val="005F406D"/>
    <w:rsid w:val="005F44AC"/>
    <w:rsid w:val="005F4CE0"/>
    <w:rsid w:val="005F50A8"/>
    <w:rsid w:val="005F5317"/>
    <w:rsid w:val="005F5934"/>
    <w:rsid w:val="005F6153"/>
    <w:rsid w:val="005F6EC7"/>
    <w:rsid w:val="005F74CA"/>
    <w:rsid w:val="005F7517"/>
    <w:rsid w:val="005F7C02"/>
    <w:rsid w:val="006001AA"/>
    <w:rsid w:val="00601650"/>
    <w:rsid w:val="006016FD"/>
    <w:rsid w:val="0060189F"/>
    <w:rsid w:val="00601A59"/>
    <w:rsid w:val="006021FA"/>
    <w:rsid w:val="00602663"/>
    <w:rsid w:val="00602913"/>
    <w:rsid w:val="00602B48"/>
    <w:rsid w:val="00602BD2"/>
    <w:rsid w:val="00602D99"/>
    <w:rsid w:val="00602FF0"/>
    <w:rsid w:val="00603F30"/>
    <w:rsid w:val="00604480"/>
    <w:rsid w:val="0060475D"/>
    <w:rsid w:val="00604EEF"/>
    <w:rsid w:val="00605436"/>
    <w:rsid w:val="006054A1"/>
    <w:rsid w:val="006056DF"/>
    <w:rsid w:val="00605AFD"/>
    <w:rsid w:val="00605B96"/>
    <w:rsid w:val="00605CA3"/>
    <w:rsid w:val="006061FC"/>
    <w:rsid w:val="006064AD"/>
    <w:rsid w:val="006072E4"/>
    <w:rsid w:val="00607369"/>
    <w:rsid w:val="00607BF1"/>
    <w:rsid w:val="00610529"/>
    <w:rsid w:val="0061068B"/>
    <w:rsid w:val="00610BC9"/>
    <w:rsid w:val="006110F8"/>
    <w:rsid w:val="006114E5"/>
    <w:rsid w:val="006123D4"/>
    <w:rsid w:val="006127B0"/>
    <w:rsid w:val="00612DBB"/>
    <w:rsid w:val="006130B6"/>
    <w:rsid w:val="00613630"/>
    <w:rsid w:val="00614318"/>
    <w:rsid w:val="0061445B"/>
    <w:rsid w:val="006145CD"/>
    <w:rsid w:val="006147ED"/>
    <w:rsid w:val="00614EF7"/>
    <w:rsid w:val="00615937"/>
    <w:rsid w:val="00615BF1"/>
    <w:rsid w:val="00616511"/>
    <w:rsid w:val="00617580"/>
    <w:rsid w:val="0062027F"/>
    <w:rsid w:val="00620423"/>
    <w:rsid w:val="0062176E"/>
    <w:rsid w:val="00622C72"/>
    <w:rsid w:val="00622F37"/>
    <w:rsid w:val="00622F6E"/>
    <w:rsid w:val="00623A35"/>
    <w:rsid w:val="00623B50"/>
    <w:rsid w:val="006241BD"/>
    <w:rsid w:val="006244E2"/>
    <w:rsid w:val="00624A98"/>
    <w:rsid w:val="00624BFC"/>
    <w:rsid w:val="00624C4B"/>
    <w:rsid w:val="00625BDE"/>
    <w:rsid w:val="00625DC6"/>
    <w:rsid w:val="00625F70"/>
    <w:rsid w:val="006271B5"/>
    <w:rsid w:val="00630756"/>
    <w:rsid w:val="006307C7"/>
    <w:rsid w:val="006312C6"/>
    <w:rsid w:val="00632964"/>
    <w:rsid w:val="00632B44"/>
    <w:rsid w:val="0063344B"/>
    <w:rsid w:val="0063380F"/>
    <w:rsid w:val="00634445"/>
    <w:rsid w:val="00635BAC"/>
    <w:rsid w:val="00636906"/>
    <w:rsid w:val="006372D9"/>
    <w:rsid w:val="006378D2"/>
    <w:rsid w:val="0064013E"/>
    <w:rsid w:val="00640388"/>
    <w:rsid w:val="00640CD9"/>
    <w:rsid w:val="006418D1"/>
    <w:rsid w:val="00643E71"/>
    <w:rsid w:val="0064486E"/>
    <w:rsid w:val="00644E48"/>
    <w:rsid w:val="006452A7"/>
    <w:rsid w:val="006455B5"/>
    <w:rsid w:val="006459BC"/>
    <w:rsid w:val="00645D48"/>
    <w:rsid w:val="0064659A"/>
    <w:rsid w:val="00646606"/>
    <w:rsid w:val="006468DA"/>
    <w:rsid w:val="006469CC"/>
    <w:rsid w:val="00647362"/>
    <w:rsid w:val="00652445"/>
    <w:rsid w:val="00652D29"/>
    <w:rsid w:val="0065439C"/>
    <w:rsid w:val="00654820"/>
    <w:rsid w:val="00654846"/>
    <w:rsid w:val="006555F4"/>
    <w:rsid w:val="00655E8D"/>
    <w:rsid w:val="00656011"/>
    <w:rsid w:val="0065603B"/>
    <w:rsid w:val="006565EE"/>
    <w:rsid w:val="0065677B"/>
    <w:rsid w:val="00656FA9"/>
    <w:rsid w:val="00657DA0"/>
    <w:rsid w:val="0066055B"/>
    <w:rsid w:val="00660E53"/>
    <w:rsid w:val="00661E60"/>
    <w:rsid w:val="0066303E"/>
    <w:rsid w:val="00663AED"/>
    <w:rsid w:val="00663DF7"/>
    <w:rsid w:val="00664592"/>
    <w:rsid w:val="00664B0D"/>
    <w:rsid w:val="00665183"/>
    <w:rsid w:val="0066584F"/>
    <w:rsid w:val="00666AF5"/>
    <w:rsid w:val="00667137"/>
    <w:rsid w:val="006672E1"/>
    <w:rsid w:val="00667A9C"/>
    <w:rsid w:val="0067020F"/>
    <w:rsid w:val="00670235"/>
    <w:rsid w:val="00670270"/>
    <w:rsid w:val="0067067B"/>
    <w:rsid w:val="00670F30"/>
    <w:rsid w:val="00670FA2"/>
    <w:rsid w:val="00671B5A"/>
    <w:rsid w:val="00672390"/>
    <w:rsid w:val="0067265A"/>
    <w:rsid w:val="0067272A"/>
    <w:rsid w:val="00672B5D"/>
    <w:rsid w:val="00672F5C"/>
    <w:rsid w:val="00675EDA"/>
    <w:rsid w:val="00675F7A"/>
    <w:rsid w:val="0067622C"/>
    <w:rsid w:val="00676A92"/>
    <w:rsid w:val="00676D25"/>
    <w:rsid w:val="00677BB9"/>
    <w:rsid w:val="00677D5F"/>
    <w:rsid w:val="00677FBB"/>
    <w:rsid w:val="006802F6"/>
    <w:rsid w:val="00680855"/>
    <w:rsid w:val="00680D6D"/>
    <w:rsid w:val="006815E8"/>
    <w:rsid w:val="00681A0C"/>
    <w:rsid w:val="00682249"/>
    <w:rsid w:val="006822CA"/>
    <w:rsid w:val="00682330"/>
    <w:rsid w:val="0068280C"/>
    <w:rsid w:val="00682DE4"/>
    <w:rsid w:val="00683A39"/>
    <w:rsid w:val="00684089"/>
    <w:rsid w:val="00684101"/>
    <w:rsid w:val="0068499A"/>
    <w:rsid w:val="006849C4"/>
    <w:rsid w:val="00684F1F"/>
    <w:rsid w:val="00685CF7"/>
    <w:rsid w:val="00685F4C"/>
    <w:rsid w:val="00686165"/>
    <w:rsid w:val="006863CB"/>
    <w:rsid w:val="00686F93"/>
    <w:rsid w:val="00687278"/>
    <w:rsid w:val="0069006E"/>
    <w:rsid w:val="00690454"/>
    <w:rsid w:val="00690D4C"/>
    <w:rsid w:val="00691CB5"/>
    <w:rsid w:val="00691CC2"/>
    <w:rsid w:val="0069201E"/>
    <w:rsid w:val="006921DA"/>
    <w:rsid w:val="006923DF"/>
    <w:rsid w:val="0069263F"/>
    <w:rsid w:val="00692A32"/>
    <w:rsid w:val="00693408"/>
    <w:rsid w:val="00693488"/>
    <w:rsid w:val="006934AF"/>
    <w:rsid w:val="0069395F"/>
    <w:rsid w:val="0069514A"/>
    <w:rsid w:val="00696355"/>
    <w:rsid w:val="006965D8"/>
    <w:rsid w:val="00696827"/>
    <w:rsid w:val="006A1534"/>
    <w:rsid w:val="006A1900"/>
    <w:rsid w:val="006A1A3C"/>
    <w:rsid w:val="006A265B"/>
    <w:rsid w:val="006A37F5"/>
    <w:rsid w:val="006A4CFB"/>
    <w:rsid w:val="006A533D"/>
    <w:rsid w:val="006A605E"/>
    <w:rsid w:val="006A6AFB"/>
    <w:rsid w:val="006A6D77"/>
    <w:rsid w:val="006A70C3"/>
    <w:rsid w:val="006A78E3"/>
    <w:rsid w:val="006A7F6F"/>
    <w:rsid w:val="006B0F24"/>
    <w:rsid w:val="006B1B5B"/>
    <w:rsid w:val="006B1C6F"/>
    <w:rsid w:val="006B2112"/>
    <w:rsid w:val="006B2565"/>
    <w:rsid w:val="006B2828"/>
    <w:rsid w:val="006B31C4"/>
    <w:rsid w:val="006B3445"/>
    <w:rsid w:val="006B3694"/>
    <w:rsid w:val="006B38FF"/>
    <w:rsid w:val="006B43F9"/>
    <w:rsid w:val="006B47E2"/>
    <w:rsid w:val="006B4F09"/>
    <w:rsid w:val="006B512F"/>
    <w:rsid w:val="006B5DF6"/>
    <w:rsid w:val="006B6133"/>
    <w:rsid w:val="006B6A78"/>
    <w:rsid w:val="006B6EF5"/>
    <w:rsid w:val="006B6F90"/>
    <w:rsid w:val="006B7C74"/>
    <w:rsid w:val="006B7E5D"/>
    <w:rsid w:val="006C093F"/>
    <w:rsid w:val="006C0CFE"/>
    <w:rsid w:val="006C1892"/>
    <w:rsid w:val="006C1F9B"/>
    <w:rsid w:val="006C275C"/>
    <w:rsid w:val="006C278A"/>
    <w:rsid w:val="006C2B1A"/>
    <w:rsid w:val="006C2C55"/>
    <w:rsid w:val="006C2E97"/>
    <w:rsid w:val="006C3026"/>
    <w:rsid w:val="006C308C"/>
    <w:rsid w:val="006C3124"/>
    <w:rsid w:val="006C3375"/>
    <w:rsid w:val="006C39AE"/>
    <w:rsid w:val="006C41A7"/>
    <w:rsid w:val="006C4A9A"/>
    <w:rsid w:val="006C4F6C"/>
    <w:rsid w:val="006C50F4"/>
    <w:rsid w:val="006C5B73"/>
    <w:rsid w:val="006C6415"/>
    <w:rsid w:val="006C645D"/>
    <w:rsid w:val="006C6734"/>
    <w:rsid w:val="006D0B54"/>
    <w:rsid w:val="006D135A"/>
    <w:rsid w:val="006D2773"/>
    <w:rsid w:val="006D29B5"/>
    <w:rsid w:val="006D3295"/>
    <w:rsid w:val="006D39E0"/>
    <w:rsid w:val="006D4643"/>
    <w:rsid w:val="006D514D"/>
    <w:rsid w:val="006D62A2"/>
    <w:rsid w:val="006D6480"/>
    <w:rsid w:val="006D68B6"/>
    <w:rsid w:val="006D68C4"/>
    <w:rsid w:val="006D7602"/>
    <w:rsid w:val="006D7FDA"/>
    <w:rsid w:val="006E008D"/>
    <w:rsid w:val="006E15D0"/>
    <w:rsid w:val="006E1A81"/>
    <w:rsid w:val="006E2131"/>
    <w:rsid w:val="006E24A5"/>
    <w:rsid w:val="006E29AA"/>
    <w:rsid w:val="006E2BAA"/>
    <w:rsid w:val="006E2D2A"/>
    <w:rsid w:val="006E300F"/>
    <w:rsid w:val="006E32BC"/>
    <w:rsid w:val="006E399E"/>
    <w:rsid w:val="006E3CC3"/>
    <w:rsid w:val="006E3E92"/>
    <w:rsid w:val="006E48FE"/>
    <w:rsid w:val="006E4A38"/>
    <w:rsid w:val="006E5326"/>
    <w:rsid w:val="006E68A8"/>
    <w:rsid w:val="006E6DB4"/>
    <w:rsid w:val="006E775A"/>
    <w:rsid w:val="006E7838"/>
    <w:rsid w:val="006F0694"/>
    <w:rsid w:val="006F317D"/>
    <w:rsid w:val="006F3AB3"/>
    <w:rsid w:val="006F3F92"/>
    <w:rsid w:val="006F5756"/>
    <w:rsid w:val="006F7659"/>
    <w:rsid w:val="006F7850"/>
    <w:rsid w:val="0070109A"/>
    <w:rsid w:val="00701886"/>
    <w:rsid w:val="00701A00"/>
    <w:rsid w:val="00701AEF"/>
    <w:rsid w:val="00701F5A"/>
    <w:rsid w:val="0070244D"/>
    <w:rsid w:val="00702782"/>
    <w:rsid w:val="00703619"/>
    <w:rsid w:val="00703A07"/>
    <w:rsid w:val="00703A8C"/>
    <w:rsid w:val="00705194"/>
    <w:rsid w:val="00705946"/>
    <w:rsid w:val="007059DE"/>
    <w:rsid w:val="0070633B"/>
    <w:rsid w:val="00706713"/>
    <w:rsid w:val="00706BB2"/>
    <w:rsid w:val="00706E8E"/>
    <w:rsid w:val="0070758D"/>
    <w:rsid w:val="00710DDE"/>
    <w:rsid w:val="00710E3A"/>
    <w:rsid w:val="00710FF4"/>
    <w:rsid w:val="007123ED"/>
    <w:rsid w:val="0071247F"/>
    <w:rsid w:val="0071269B"/>
    <w:rsid w:val="007131D5"/>
    <w:rsid w:val="00713C07"/>
    <w:rsid w:val="00713CB0"/>
    <w:rsid w:val="00714824"/>
    <w:rsid w:val="00714835"/>
    <w:rsid w:val="00714BB5"/>
    <w:rsid w:val="007159CC"/>
    <w:rsid w:val="00716468"/>
    <w:rsid w:val="00716606"/>
    <w:rsid w:val="0071699B"/>
    <w:rsid w:val="00716A30"/>
    <w:rsid w:val="00720E3C"/>
    <w:rsid w:val="00721339"/>
    <w:rsid w:val="007218C9"/>
    <w:rsid w:val="00722B53"/>
    <w:rsid w:val="00723C52"/>
    <w:rsid w:val="00723CA1"/>
    <w:rsid w:val="007244E6"/>
    <w:rsid w:val="007253E0"/>
    <w:rsid w:val="00725581"/>
    <w:rsid w:val="00726001"/>
    <w:rsid w:val="007262B6"/>
    <w:rsid w:val="00726E39"/>
    <w:rsid w:val="00727FA2"/>
    <w:rsid w:val="00727FD0"/>
    <w:rsid w:val="007307E8"/>
    <w:rsid w:val="00731D25"/>
    <w:rsid w:val="00732526"/>
    <w:rsid w:val="00732B5C"/>
    <w:rsid w:val="007337F8"/>
    <w:rsid w:val="00733F41"/>
    <w:rsid w:val="00734499"/>
    <w:rsid w:val="0073474A"/>
    <w:rsid w:val="00734B88"/>
    <w:rsid w:val="00734BA8"/>
    <w:rsid w:val="007354B6"/>
    <w:rsid w:val="00735F97"/>
    <w:rsid w:val="0073661D"/>
    <w:rsid w:val="00736F98"/>
    <w:rsid w:val="007370F3"/>
    <w:rsid w:val="00737D7A"/>
    <w:rsid w:val="00740525"/>
    <w:rsid w:val="00742366"/>
    <w:rsid w:val="00742CA7"/>
    <w:rsid w:val="007432E6"/>
    <w:rsid w:val="00743356"/>
    <w:rsid w:val="00743497"/>
    <w:rsid w:val="00743D17"/>
    <w:rsid w:val="00743F1B"/>
    <w:rsid w:val="00744484"/>
    <w:rsid w:val="00744A96"/>
    <w:rsid w:val="00744B25"/>
    <w:rsid w:val="00745A5D"/>
    <w:rsid w:val="00745BAD"/>
    <w:rsid w:val="00745D4C"/>
    <w:rsid w:val="00746127"/>
    <w:rsid w:val="0074693A"/>
    <w:rsid w:val="0075053D"/>
    <w:rsid w:val="00750597"/>
    <w:rsid w:val="007508DA"/>
    <w:rsid w:val="007509DD"/>
    <w:rsid w:val="00750EC8"/>
    <w:rsid w:val="00752A71"/>
    <w:rsid w:val="007531CD"/>
    <w:rsid w:val="00753584"/>
    <w:rsid w:val="00754069"/>
    <w:rsid w:val="00754389"/>
    <w:rsid w:val="00754572"/>
    <w:rsid w:val="00754B7D"/>
    <w:rsid w:val="00755D07"/>
    <w:rsid w:val="00755E52"/>
    <w:rsid w:val="00755ECD"/>
    <w:rsid w:val="007568A0"/>
    <w:rsid w:val="00756A5D"/>
    <w:rsid w:val="007575C4"/>
    <w:rsid w:val="007600C9"/>
    <w:rsid w:val="00760325"/>
    <w:rsid w:val="00760B45"/>
    <w:rsid w:val="007611A3"/>
    <w:rsid w:val="00761AD0"/>
    <w:rsid w:val="0076206F"/>
    <w:rsid w:val="007625A4"/>
    <w:rsid w:val="007629F3"/>
    <w:rsid w:val="00762ACC"/>
    <w:rsid w:val="00763474"/>
    <w:rsid w:val="00763F71"/>
    <w:rsid w:val="00764EAF"/>
    <w:rsid w:val="00765190"/>
    <w:rsid w:val="007652D8"/>
    <w:rsid w:val="00765D86"/>
    <w:rsid w:val="00765FCA"/>
    <w:rsid w:val="00766184"/>
    <w:rsid w:val="00767139"/>
    <w:rsid w:val="007703A5"/>
    <w:rsid w:val="007704A6"/>
    <w:rsid w:val="00771783"/>
    <w:rsid w:val="00772972"/>
    <w:rsid w:val="007730D3"/>
    <w:rsid w:val="0077339F"/>
    <w:rsid w:val="0077387B"/>
    <w:rsid w:val="00774078"/>
    <w:rsid w:val="00774190"/>
    <w:rsid w:val="0077423F"/>
    <w:rsid w:val="007743FA"/>
    <w:rsid w:val="00774820"/>
    <w:rsid w:val="00774AC3"/>
    <w:rsid w:val="00774EEF"/>
    <w:rsid w:val="00774F84"/>
    <w:rsid w:val="00775019"/>
    <w:rsid w:val="00775EB8"/>
    <w:rsid w:val="00776019"/>
    <w:rsid w:val="00776AA4"/>
    <w:rsid w:val="00776D78"/>
    <w:rsid w:val="00776EA3"/>
    <w:rsid w:val="0077741C"/>
    <w:rsid w:val="00777A87"/>
    <w:rsid w:val="00777F5F"/>
    <w:rsid w:val="007804F8"/>
    <w:rsid w:val="007805AE"/>
    <w:rsid w:val="007816FA"/>
    <w:rsid w:val="0078170C"/>
    <w:rsid w:val="0078257B"/>
    <w:rsid w:val="00782686"/>
    <w:rsid w:val="00782FFB"/>
    <w:rsid w:val="00783355"/>
    <w:rsid w:val="007833C2"/>
    <w:rsid w:val="00783D75"/>
    <w:rsid w:val="00784C0A"/>
    <w:rsid w:val="00785018"/>
    <w:rsid w:val="0078665E"/>
    <w:rsid w:val="00787444"/>
    <w:rsid w:val="0078756A"/>
    <w:rsid w:val="00787F41"/>
    <w:rsid w:val="007918D7"/>
    <w:rsid w:val="00792323"/>
    <w:rsid w:val="00792FB7"/>
    <w:rsid w:val="00792FBB"/>
    <w:rsid w:val="00793288"/>
    <w:rsid w:val="007935F1"/>
    <w:rsid w:val="00793919"/>
    <w:rsid w:val="00794279"/>
    <w:rsid w:val="00794ABE"/>
    <w:rsid w:val="00794B40"/>
    <w:rsid w:val="00795190"/>
    <w:rsid w:val="00795238"/>
    <w:rsid w:val="0079536A"/>
    <w:rsid w:val="00796190"/>
    <w:rsid w:val="0079673F"/>
    <w:rsid w:val="00796E26"/>
    <w:rsid w:val="00796E59"/>
    <w:rsid w:val="00797012"/>
    <w:rsid w:val="00797AEC"/>
    <w:rsid w:val="007A0044"/>
    <w:rsid w:val="007A102D"/>
    <w:rsid w:val="007A1079"/>
    <w:rsid w:val="007A1E98"/>
    <w:rsid w:val="007A20F3"/>
    <w:rsid w:val="007A2FEB"/>
    <w:rsid w:val="007A3D8A"/>
    <w:rsid w:val="007A4855"/>
    <w:rsid w:val="007A4C5B"/>
    <w:rsid w:val="007A5449"/>
    <w:rsid w:val="007A5EDD"/>
    <w:rsid w:val="007A6D4E"/>
    <w:rsid w:val="007A72E6"/>
    <w:rsid w:val="007A7ED3"/>
    <w:rsid w:val="007B0651"/>
    <w:rsid w:val="007B0EBD"/>
    <w:rsid w:val="007B10F0"/>
    <w:rsid w:val="007B19A8"/>
    <w:rsid w:val="007B1DAA"/>
    <w:rsid w:val="007B2219"/>
    <w:rsid w:val="007B24C5"/>
    <w:rsid w:val="007B2677"/>
    <w:rsid w:val="007B26ED"/>
    <w:rsid w:val="007B271B"/>
    <w:rsid w:val="007B2DB1"/>
    <w:rsid w:val="007B3DAC"/>
    <w:rsid w:val="007B3F3C"/>
    <w:rsid w:val="007B4255"/>
    <w:rsid w:val="007B4A9B"/>
    <w:rsid w:val="007B507F"/>
    <w:rsid w:val="007B5719"/>
    <w:rsid w:val="007B6587"/>
    <w:rsid w:val="007B6D48"/>
    <w:rsid w:val="007B73A6"/>
    <w:rsid w:val="007B76AB"/>
    <w:rsid w:val="007B7B16"/>
    <w:rsid w:val="007B7D87"/>
    <w:rsid w:val="007C0B5C"/>
    <w:rsid w:val="007C0D55"/>
    <w:rsid w:val="007C1102"/>
    <w:rsid w:val="007C1A2B"/>
    <w:rsid w:val="007C1D5E"/>
    <w:rsid w:val="007C2879"/>
    <w:rsid w:val="007C4310"/>
    <w:rsid w:val="007C4337"/>
    <w:rsid w:val="007C5529"/>
    <w:rsid w:val="007C60E5"/>
    <w:rsid w:val="007C68F0"/>
    <w:rsid w:val="007C7262"/>
    <w:rsid w:val="007C7E84"/>
    <w:rsid w:val="007D0215"/>
    <w:rsid w:val="007D0D58"/>
    <w:rsid w:val="007D1491"/>
    <w:rsid w:val="007D155E"/>
    <w:rsid w:val="007D1E11"/>
    <w:rsid w:val="007D306C"/>
    <w:rsid w:val="007D3399"/>
    <w:rsid w:val="007D3756"/>
    <w:rsid w:val="007D4B3A"/>
    <w:rsid w:val="007D4E07"/>
    <w:rsid w:val="007D4F71"/>
    <w:rsid w:val="007D53AE"/>
    <w:rsid w:val="007D57D2"/>
    <w:rsid w:val="007D592B"/>
    <w:rsid w:val="007D5AA6"/>
    <w:rsid w:val="007D5F1D"/>
    <w:rsid w:val="007D626C"/>
    <w:rsid w:val="007D6E80"/>
    <w:rsid w:val="007D78E2"/>
    <w:rsid w:val="007D7A91"/>
    <w:rsid w:val="007D7EB0"/>
    <w:rsid w:val="007E00DA"/>
    <w:rsid w:val="007E0669"/>
    <w:rsid w:val="007E0819"/>
    <w:rsid w:val="007E104D"/>
    <w:rsid w:val="007E199F"/>
    <w:rsid w:val="007E19B9"/>
    <w:rsid w:val="007E24BF"/>
    <w:rsid w:val="007E27C5"/>
    <w:rsid w:val="007E2810"/>
    <w:rsid w:val="007E3EE3"/>
    <w:rsid w:val="007E45C9"/>
    <w:rsid w:val="007E4D01"/>
    <w:rsid w:val="007E516E"/>
    <w:rsid w:val="007E55AC"/>
    <w:rsid w:val="007E5A93"/>
    <w:rsid w:val="007E5BBB"/>
    <w:rsid w:val="007E5F9C"/>
    <w:rsid w:val="007E6456"/>
    <w:rsid w:val="007E6FC4"/>
    <w:rsid w:val="007E711E"/>
    <w:rsid w:val="007E7BA0"/>
    <w:rsid w:val="007E7E3E"/>
    <w:rsid w:val="007E7FB2"/>
    <w:rsid w:val="007F0109"/>
    <w:rsid w:val="007F04DD"/>
    <w:rsid w:val="007F1A19"/>
    <w:rsid w:val="007F20D0"/>
    <w:rsid w:val="007F212B"/>
    <w:rsid w:val="007F26C4"/>
    <w:rsid w:val="007F2F9E"/>
    <w:rsid w:val="007F341A"/>
    <w:rsid w:val="007F35E6"/>
    <w:rsid w:val="007F3773"/>
    <w:rsid w:val="007F3A87"/>
    <w:rsid w:val="007F509C"/>
    <w:rsid w:val="007F5845"/>
    <w:rsid w:val="007F5C6F"/>
    <w:rsid w:val="007F65E0"/>
    <w:rsid w:val="007F74C1"/>
    <w:rsid w:val="007F7570"/>
    <w:rsid w:val="008003BD"/>
    <w:rsid w:val="0080098B"/>
    <w:rsid w:val="008015D2"/>
    <w:rsid w:val="008015EE"/>
    <w:rsid w:val="00801A3B"/>
    <w:rsid w:val="00802121"/>
    <w:rsid w:val="00802279"/>
    <w:rsid w:val="00802E00"/>
    <w:rsid w:val="0080348C"/>
    <w:rsid w:val="00803DA1"/>
    <w:rsid w:val="00803DE3"/>
    <w:rsid w:val="008040AD"/>
    <w:rsid w:val="00806BC0"/>
    <w:rsid w:val="00806D1B"/>
    <w:rsid w:val="00807151"/>
    <w:rsid w:val="008106DA"/>
    <w:rsid w:val="00810746"/>
    <w:rsid w:val="0081134B"/>
    <w:rsid w:val="00811501"/>
    <w:rsid w:val="00811924"/>
    <w:rsid w:val="00811943"/>
    <w:rsid w:val="008121D5"/>
    <w:rsid w:val="00812419"/>
    <w:rsid w:val="00812617"/>
    <w:rsid w:val="00812A57"/>
    <w:rsid w:val="00812C24"/>
    <w:rsid w:val="00812F95"/>
    <w:rsid w:val="008135BD"/>
    <w:rsid w:val="00813600"/>
    <w:rsid w:val="00813D32"/>
    <w:rsid w:val="00814348"/>
    <w:rsid w:val="008144DA"/>
    <w:rsid w:val="00814EC8"/>
    <w:rsid w:val="008159BC"/>
    <w:rsid w:val="00815C81"/>
    <w:rsid w:val="00815D80"/>
    <w:rsid w:val="00816965"/>
    <w:rsid w:val="00816D04"/>
    <w:rsid w:val="00820F6E"/>
    <w:rsid w:val="00821781"/>
    <w:rsid w:val="008224E6"/>
    <w:rsid w:val="008227E3"/>
    <w:rsid w:val="00822956"/>
    <w:rsid w:val="0082396E"/>
    <w:rsid w:val="00823C52"/>
    <w:rsid w:val="00824BE6"/>
    <w:rsid w:val="008251DA"/>
    <w:rsid w:val="008251F6"/>
    <w:rsid w:val="00825256"/>
    <w:rsid w:val="008252D7"/>
    <w:rsid w:val="00825F58"/>
    <w:rsid w:val="00826CEA"/>
    <w:rsid w:val="00827588"/>
    <w:rsid w:val="00827824"/>
    <w:rsid w:val="0083089D"/>
    <w:rsid w:val="008311B8"/>
    <w:rsid w:val="00831404"/>
    <w:rsid w:val="00831D90"/>
    <w:rsid w:val="00834243"/>
    <w:rsid w:val="00834F03"/>
    <w:rsid w:val="00835C44"/>
    <w:rsid w:val="00836040"/>
    <w:rsid w:val="00836C06"/>
    <w:rsid w:val="00837088"/>
    <w:rsid w:val="008374C4"/>
    <w:rsid w:val="0084308B"/>
    <w:rsid w:val="00843099"/>
    <w:rsid w:val="00843472"/>
    <w:rsid w:val="008438F1"/>
    <w:rsid w:val="0084515A"/>
    <w:rsid w:val="008455D8"/>
    <w:rsid w:val="00845719"/>
    <w:rsid w:val="00847D7B"/>
    <w:rsid w:val="008506BD"/>
    <w:rsid w:val="00851331"/>
    <w:rsid w:val="008516DB"/>
    <w:rsid w:val="00851934"/>
    <w:rsid w:val="00851FE4"/>
    <w:rsid w:val="008527C2"/>
    <w:rsid w:val="008530BC"/>
    <w:rsid w:val="00853EE8"/>
    <w:rsid w:val="008541B6"/>
    <w:rsid w:val="00854338"/>
    <w:rsid w:val="00854811"/>
    <w:rsid w:val="0085521B"/>
    <w:rsid w:val="00855907"/>
    <w:rsid w:val="00855D3A"/>
    <w:rsid w:val="00856DE0"/>
    <w:rsid w:val="00857969"/>
    <w:rsid w:val="00857DD4"/>
    <w:rsid w:val="0086007C"/>
    <w:rsid w:val="00860669"/>
    <w:rsid w:val="008625D4"/>
    <w:rsid w:val="00862B6F"/>
    <w:rsid w:val="008631E5"/>
    <w:rsid w:val="008633B8"/>
    <w:rsid w:val="00863791"/>
    <w:rsid w:val="00863F07"/>
    <w:rsid w:val="00865126"/>
    <w:rsid w:val="0086523C"/>
    <w:rsid w:val="00865471"/>
    <w:rsid w:val="008656E4"/>
    <w:rsid w:val="00866532"/>
    <w:rsid w:val="00866877"/>
    <w:rsid w:val="00867C35"/>
    <w:rsid w:val="00867C39"/>
    <w:rsid w:val="00870087"/>
    <w:rsid w:val="008706A2"/>
    <w:rsid w:val="00870787"/>
    <w:rsid w:val="008709B0"/>
    <w:rsid w:val="008709CD"/>
    <w:rsid w:val="00870D78"/>
    <w:rsid w:val="00871B0E"/>
    <w:rsid w:val="00872426"/>
    <w:rsid w:val="00872768"/>
    <w:rsid w:val="0087279F"/>
    <w:rsid w:val="00873075"/>
    <w:rsid w:val="0087479B"/>
    <w:rsid w:val="008751A3"/>
    <w:rsid w:val="00875A81"/>
    <w:rsid w:val="00875BB7"/>
    <w:rsid w:val="00875E58"/>
    <w:rsid w:val="00875FDD"/>
    <w:rsid w:val="00876639"/>
    <w:rsid w:val="0087723D"/>
    <w:rsid w:val="0087746C"/>
    <w:rsid w:val="008801D1"/>
    <w:rsid w:val="00880F63"/>
    <w:rsid w:val="008811BB"/>
    <w:rsid w:val="00881885"/>
    <w:rsid w:val="008827B1"/>
    <w:rsid w:val="00882CC4"/>
    <w:rsid w:val="008837B9"/>
    <w:rsid w:val="00883948"/>
    <w:rsid w:val="00883ED1"/>
    <w:rsid w:val="008840FF"/>
    <w:rsid w:val="008844AC"/>
    <w:rsid w:val="008846DC"/>
    <w:rsid w:val="00884DBD"/>
    <w:rsid w:val="00884E9C"/>
    <w:rsid w:val="00885064"/>
    <w:rsid w:val="008861FA"/>
    <w:rsid w:val="00886C81"/>
    <w:rsid w:val="0088735F"/>
    <w:rsid w:val="00887E32"/>
    <w:rsid w:val="00887FF1"/>
    <w:rsid w:val="00890342"/>
    <w:rsid w:val="00890668"/>
    <w:rsid w:val="008907A9"/>
    <w:rsid w:val="00890C7B"/>
    <w:rsid w:val="00891A17"/>
    <w:rsid w:val="00891F0B"/>
    <w:rsid w:val="00892718"/>
    <w:rsid w:val="008933D3"/>
    <w:rsid w:val="008935E6"/>
    <w:rsid w:val="00893A5A"/>
    <w:rsid w:val="00893D25"/>
    <w:rsid w:val="008951BC"/>
    <w:rsid w:val="00896367"/>
    <w:rsid w:val="00896420"/>
    <w:rsid w:val="00896B23"/>
    <w:rsid w:val="00896E89"/>
    <w:rsid w:val="00896ECE"/>
    <w:rsid w:val="00897001"/>
    <w:rsid w:val="00897629"/>
    <w:rsid w:val="00897CAE"/>
    <w:rsid w:val="00897F46"/>
    <w:rsid w:val="008A0421"/>
    <w:rsid w:val="008A1246"/>
    <w:rsid w:val="008A133E"/>
    <w:rsid w:val="008A1AAB"/>
    <w:rsid w:val="008A1C7E"/>
    <w:rsid w:val="008A2919"/>
    <w:rsid w:val="008A2BA2"/>
    <w:rsid w:val="008A396F"/>
    <w:rsid w:val="008A550E"/>
    <w:rsid w:val="008A59CC"/>
    <w:rsid w:val="008A6719"/>
    <w:rsid w:val="008A6B78"/>
    <w:rsid w:val="008A728D"/>
    <w:rsid w:val="008A74A7"/>
    <w:rsid w:val="008B0ECC"/>
    <w:rsid w:val="008B162C"/>
    <w:rsid w:val="008B2A0D"/>
    <w:rsid w:val="008B2F60"/>
    <w:rsid w:val="008B3236"/>
    <w:rsid w:val="008B379F"/>
    <w:rsid w:val="008B37D8"/>
    <w:rsid w:val="008B3D66"/>
    <w:rsid w:val="008B400F"/>
    <w:rsid w:val="008B443E"/>
    <w:rsid w:val="008B47B8"/>
    <w:rsid w:val="008B52DE"/>
    <w:rsid w:val="008B55B8"/>
    <w:rsid w:val="008B5672"/>
    <w:rsid w:val="008B5A5B"/>
    <w:rsid w:val="008B5CDB"/>
    <w:rsid w:val="008B663D"/>
    <w:rsid w:val="008B6A44"/>
    <w:rsid w:val="008B7AE2"/>
    <w:rsid w:val="008C01E8"/>
    <w:rsid w:val="008C0247"/>
    <w:rsid w:val="008C057B"/>
    <w:rsid w:val="008C0888"/>
    <w:rsid w:val="008C0E2A"/>
    <w:rsid w:val="008C10DA"/>
    <w:rsid w:val="008C14B5"/>
    <w:rsid w:val="008C200E"/>
    <w:rsid w:val="008C2343"/>
    <w:rsid w:val="008C3CC3"/>
    <w:rsid w:val="008C3D46"/>
    <w:rsid w:val="008C3EAE"/>
    <w:rsid w:val="008C3FA9"/>
    <w:rsid w:val="008C43F5"/>
    <w:rsid w:val="008C45E1"/>
    <w:rsid w:val="008C5191"/>
    <w:rsid w:val="008C52D9"/>
    <w:rsid w:val="008C53DA"/>
    <w:rsid w:val="008C56D4"/>
    <w:rsid w:val="008C5D09"/>
    <w:rsid w:val="008C60F9"/>
    <w:rsid w:val="008C6386"/>
    <w:rsid w:val="008C75C1"/>
    <w:rsid w:val="008C75D1"/>
    <w:rsid w:val="008C786C"/>
    <w:rsid w:val="008C7E01"/>
    <w:rsid w:val="008C7F71"/>
    <w:rsid w:val="008D01D5"/>
    <w:rsid w:val="008D055C"/>
    <w:rsid w:val="008D0646"/>
    <w:rsid w:val="008D1ABA"/>
    <w:rsid w:val="008D2206"/>
    <w:rsid w:val="008D229F"/>
    <w:rsid w:val="008D23C6"/>
    <w:rsid w:val="008D278F"/>
    <w:rsid w:val="008D2E71"/>
    <w:rsid w:val="008D339F"/>
    <w:rsid w:val="008D3410"/>
    <w:rsid w:val="008D346E"/>
    <w:rsid w:val="008D3514"/>
    <w:rsid w:val="008D3A9F"/>
    <w:rsid w:val="008D3CA0"/>
    <w:rsid w:val="008D3FB9"/>
    <w:rsid w:val="008D54CF"/>
    <w:rsid w:val="008D5519"/>
    <w:rsid w:val="008D56DE"/>
    <w:rsid w:val="008D6270"/>
    <w:rsid w:val="008D642C"/>
    <w:rsid w:val="008D75FB"/>
    <w:rsid w:val="008D7B89"/>
    <w:rsid w:val="008D7E87"/>
    <w:rsid w:val="008E041E"/>
    <w:rsid w:val="008E07C6"/>
    <w:rsid w:val="008E095C"/>
    <w:rsid w:val="008E0E19"/>
    <w:rsid w:val="008E0E5E"/>
    <w:rsid w:val="008E12C1"/>
    <w:rsid w:val="008E1B07"/>
    <w:rsid w:val="008E24D2"/>
    <w:rsid w:val="008E2E18"/>
    <w:rsid w:val="008E2F50"/>
    <w:rsid w:val="008E319F"/>
    <w:rsid w:val="008E444A"/>
    <w:rsid w:val="008E4D1F"/>
    <w:rsid w:val="008E4E55"/>
    <w:rsid w:val="008E4E76"/>
    <w:rsid w:val="008E525F"/>
    <w:rsid w:val="008E6292"/>
    <w:rsid w:val="008E6B1D"/>
    <w:rsid w:val="008F0143"/>
    <w:rsid w:val="008F0823"/>
    <w:rsid w:val="008F1E8E"/>
    <w:rsid w:val="008F23EB"/>
    <w:rsid w:val="008F240D"/>
    <w:rsid w:val="008F246F"/>
    <w:rsid w:val="008F2645"/>
    <w:rsid w:val="008F31F5"/>
    <w:rsid w:val="008F410F"/>
    <w:rsid w:val="008F4338"/>
    <w:rsid w:val="008F4F02"/>
    <w:rsid w:val="008F4F9F"/>
    <w:rsid w:val="008F5484"/>
    <w:rsid w:val="008F62ED"/>
    <w:rsid w:val="008F676F"/>
    <w:rsid w:val="008F6FE7"/>
    <w:rsid w:val="008F7364"/>
    <w:rsid w:val="008F7475"/>
    <w:rsid w:val="0090072F"/>
    <w:rsid w:val="00900D4F"/>
    <w:rsid w:val="00900E86"/>
    <w:rsid w:val="0090143C"/>
    <w:rsid w:val="00902328"/>
    <w:rsid w:val="0090237C"/>
    <w:rsid w:val="00903AC0"/>
    <w:rsid w:val="00904101"/>
    <w:rsid w:val="009045F5"/>
    <w:rsid w:val="009049AE"/>
    <w:rsid w:val="00904FC9"/>
    <w:rsid w:val="00905D7F"/>
    <w:rsid w:val="00906855"/>
    <w:rsid w:val="00906B72"/>
    <w:rsid w:val="00906E61"/>
    <w:rsid w:val="009070EE"/>
    <w:rsid w:val="00907930"/>
    <w:rsid w:val="00910A49"/>
    <w:rsid w:val="009116D0"/>
    <w:rsid w:val="00911768"/>
    <w:rsid w:val="00911B7B"/>
    <w:rsid w:val="00911BEF"/>
    <w:rsid w:val="00911E1F"/>
    <w:rsid w:val="00911F4F"/>
    <w:rsid w:val="009121FC"/>
    <w:rsid w:val="009128CF"/>
    <w:rsid w:val="00913154"/>
    <w:rsid w:val="00913ABA"/>
    <w:rsid w:val="00914439"/>
    <w:rsid w:val="00914D6A"/>
    <w:rsid w:val="00915A6A"/>
    <w:rsid w:val="00915AAF"/>
    <w:rsid w:val="00915F86"/>
    <w:rsid w:val="0091696D"/>
    <w:rsid w:val="00916D2E"/>
    <w:rsid w:val="009178C7"/>
    <w:rsid w:val="00917A6C"/>
    <w:rsid w:val="00917E28"/>
    <w:rsid w:val="00917EE1"/>
    <w:rsid w:val="00917F0F"/>
    <w:rsid w:val="00920DB6"/>
    <w:rsid w:val="00921627"/>
    <w:rsid w:val="009217C8"/>
    <w:rsid w:val="00921EDC"/>
    <w:rsid w:val="00922234"/>
    <w:rsid w:val="00923881"/>
    <w:rsid w:val="00923AA7"/>
    <w:rsid w:val="00923E2D"/>
    <w:rsid w:val="00924BD3"/>
    <w:rsid w:val="009254A7"/>
    <w:rsid w:val="00925779"/>
    <w:rsid w:val="00925AA5"/>
    <w:rsid w:val="00925BB1"/>
    <w:rsid w:val="00926ECD"/>
    <w:rsid w:val="009271B1"/>
    <w:rsid w:val="009312F5"/>
    <w:rsid w:val="00931495"/>
    <w:rsid w:val="0093190D"/>
    <w:rsid w:val="00931B17"/>
    <w:rsid w:val="00932294"/>
    <w:rsid w:val="00932448"/>
    <w:rsid w:val="00932930"/>
    <w:rsid w:val="00932D67"/>
    <w:rsid w:val="00932F67"/>
    <w:rsid w:val="00933601"/>
    <w:rsid w:val="009344F3"/>
    <w:rsid w:val="0093474E"/>
    <w:rsid w:val="00934A63"/>
    <w:rsid w:val="00934B3F"/>
    <w:rsid w:val="0093540D"/>
    <w:rsid w:val="009355DB"/>
    <w:rsid w:val="0093683D"/>
    <w:rsid w:val="0093685A"/>
    <w:rsid w:val="00936A3E"/>
    <w:rsid w:val="00936B31"/>
    <w:rsid w:val="00936B86"/>
    <w:rsid w:val="009372FA"/>
    <w:rsid w:val="009376F2"/>
    <w:rsid w:val="0094007D"/>
    <w:rsid w:val="0094019D"/>
    <w:rsid w:val="009405EF"/>
    <w:rsid w:val="00940E4A"/>
    <w:rsid w:val="009419D2"/>
    <w:rsid w:val="00941EBC"/>
    <w:rsid w:val="00942483"/>
    <w:rsid w:val="00942C11"/>
    <w:rsid w:val="0094351F"/>
    <w:rsid w:val="0094376E"/>
    <w:rsid w:val="00943956"/>
    <w:rsid w:val="00943F9E"/>
    <w:rsid w:val="00944333"/>
    <w:rsid w:val="0094452B"/>
    <w:rsid w:val="00944690"/>
    <w:rsid w:val="00944B96"/>
    <w:rsid w:val="0094534E"/>
    <w:rsid w:val="009458A8"/>
    <w:rsid w:val="00946B2F"/>
    <w:rsid w:val="0095005D"/>
    <w:rsid w:val="0095083E"/>
    <w:rsid w:val="00950C6A"/>
    <w:rsid w:val="00950D00"/>
    <w:rsid w:val="00950DAC"/>
    <w:rsid w:val="00951812"/>
    <w:rsid w:val="00951D32"/>
    <w:rsid w:val="0095223A"/>
    <w:rsid w:val="00952872"/>
    <w:rsid w:val="00952F54"/>
    <w:rsid w:val="00953620"/>
    <w:rsid w:val="00953632"/>
    <w:rsid w:val="00953CBE"/>
    <w:rsid w:val="00953FC8"/>
    <w:rsid w:val="009547F8"/>
    <w:rsid w:val="009551C9"/>
    <w:rsid w:val="00955BF6"/>
    <w:rsid w:val="00957166"/>
    <w:rsid w:val="009577E4"/>
    <w:rsid w:val="0096027B"/>
    <w:rsid w:val="00960585"/>
    <w:rsid w:val="00961332"/>
    <w:rsid w:val="00961AD1"/>
    <w:rsid w:val="00961F86"/>
    <w:rsid w:val="00962397"/>
    <w:rsid w:val="00962ACF"/>
    <w:rsid w:val="00962D1B"/>
    <w:rsid w:val="009631A8"/>
    <w:rsid w:val="009632A3"/>
    <w:rsid w:val="009634CA"/>
    <w:rsid w:val="00963F86"/>
    <w:rsid w:val="00964256"/>
    <w:rsid w:val="00964B69"/>
    <w:rsid w:val="00964DC7"/>
    <w:rsid w:val="00965019"/>
    <w:rsid w:val="00965E3C"/>
    <w:rsid w:val="0096669D"/>
    <w:rsid w:val="00966AC9"/>
    <w:rsid w:val="009671FB"/>
    <w:rsid w:val="00967B10"/>
    <w:rsid w:val="00967EF5"/>
    <w:rsid w:val="009709C1"/>
    <w:rsid w:val="00970A25"/>
    <w:rsid w:val="00970C8F"/>
    <w:rsid w:val="00970D16"/>
    <w:rsid w:val="00971558"/>
    <w:rsid w:val="00972070"/>
    <w:rsid w:val="009729D4"/>
    <w:rsid w:val="009730F6"/>
    <w:rsid w:val="00973351"/>
    <w:rsid w:val="009741FC"/>
    <w:rsid w:val="00974ED7"/>
    <w:rsid w:val="009756F0"/>
    <w:rsid w:val="009757FD"/>
    <w:rsid w:val="00976049"/>
    <w:rsid w:val="00976259"/>
    <w:rsid w:val="00976A56"/>
    <w:rsid w:val="00976BEF"/>
    <w:rsid w:val="00976C18"/>
    <w:rsid w:val="00977F7D"/>
    <w:rsid w:val="00980276"/>
    <w:rsid w:val="0098046A"/>
    <w:rsid w:val="009805DC"/>
    <w:rsid w:val="00980759"/>
    <w:rsid w:val="009817B0"/>
    <w:rsid w:val="009821CE"/>
    <w:rsid w:val="009826D9"/>
    <w:rsid w:val="009827CC"/>
    <w:rsid w:val="00982E59"/>
    <w:rsid w:val="0098361B"/>
    <w:rsid w:val="009836A7"/>
    <w:rsid w:val="009847C9"/>
    <w:rsid w:val="00984AAF"/>
    <w:rsid w:val="00984D89"/>
    <w:rsid w:val="009851F0"/>
    <w:rsid w:val="00985885"/>
    <w:rsid w:val="00985E43"/>
    <w:rsid w:val="009862E7"/>
    <w:rsid w:val="009862F5"/>
    <w:rsid w:val="00987181"/>
    <w:rsid w:val="0098749F"/>
    <w:rsid w:val="00987796"/>
    <w:rsid w:val="00987996"/>
    <w:rsid w:val="00987E7F"/>
    <w:rsid w:val="00990141"/>
    <w:rsid w:val="009903D7"/>
    <w:rsid w:val="009908D1"/>
    <w:rsid w:val="00990E27"/>
    <w:rsid w:val="00990F8A"/>
    <w:rsid w:val="009919F4"/>
    <w:rsid w:val="00991F0B"/>
    <w:rsid w:val="00992847"/>
    <w:rsid w:val="00992F26"/>
    <w:rsid w:val="00993FB2"/>
    <w:rsid w:val="00994D56"/>
    <w:rsid w:val="009953DB"/>
    <w:rsid w:val="009964F5"/>
    <w:rsid w:val="00997049"/>
    <w:rsid w:val="00997395"/>
    <w:rsid w:val="00997F8A"/>
    <w:rsid w:val="009A06DC"/>
    <w:rsid w:val="009A0BDC"/>
    <w:rsid w:val="009A1462"/>
    <w:rsid w:val="009A1567"/>
    <w:rsid w:val="009A1CC1"/>
    <w:rsid w:val="009A2499"/>
    <w:rsid w:val="009A277C"/>
    <w:rsid w:val="009A2DAA"/>
    <w:rsid w:val="009A3AC0"/>
    <w:rsid w:val="009A3D84"/>
    <w:rsid w:val="009A45F9"/>
    <w:rsid w:val="009A4E6F"/>
    <w:rsid w:val="009A5162"/>
    <w:rsid w:val="009A610D"/>
    <w:rsid w:val="009A658F"/>
    <w:rsid w:val="009A6854"/>
    <w:rsid w:val="009A6B27"/>
    <w:rsid w:val="009A6E0D"/>
    <w:rsid w:val="009A6F21"/>
    <w:rsid w:val="009A7985"/>
    <w:rsid w:val="009A7E3B"/>
    <w:rsid w:val="009B03E8"/>
    <w:rsid w:val="009B0647"/>
    <w:rsid w:val="009B088F"/>
    <w:rsid w:val="009B0E39"/>
    <w:rsid w:val="009B17D5"/>
    <w:rsid w:val="009B1DAE"/>
    <w:rsid w:val="009B2249"/>
    <w:rsid w:val="009B22CE"/>
    <w:rsid w:val="009B252F"/>
    <w:rsid w:val="009B2534"/>
    <w:rsid w:val="009B27FE"/>
    <w:rsid w:val="009B2891"/>
    <w:rsid w:val="009B293E"/>
    <w:rsid w:val="009B3138"/>
    <w:rsid w:val="009B36E9"/>
    <w:rsid w:val="009B576E"/>
    <w:rsid w:val="009B5D52"/>
    <w:rsid w:val="009B62FF"/>
    <w:rsid w:val="009B63A8"/>
    <w:rsid w:val="009B6C87"/>
    <w:rsid w:val="009B7113"/>
    <w:rsid w:val="009B730E"/>
    <w:rsid w:val="009B7394"/>
    <w:rsid w:val="009B7E82"/>
    <w:rsid w:val="009B7F3B"/>
    <w:rsid w:val="009C16C6"/>
    <w:rsid w:val="009C18C5"/>
    <w:rsid w:val="009C193A"/>
    <w:rsid w:val="009C249A"/>
    <w:rsid w:val="009C2601"/>
    <w:rsid w:val="009C3BDC"/>
    <w:rsid w:val="009C42C2"/>
    <w:rsid w:val="009C4741"/>
    <w:rsid w:val="009C47AD"/>
    <w:rsid w:val="009C4E2C"/>
    <w:rsid w:val="009C4E52"/>
    <w:rsid w:val="009C50C1"/>
    <w:rsid w:val="009C598D"/>
    <w:rsid w:val="009C5FAA"/>
    <w:rsid w:val="009C6123"/>
    <w:rsid w:val="009C7F45"/>
    <w:rsid w:val="009C7F51"/>
    <w:rsid w:val="009D1233"/>
    <w:rsid w:val="009D14B1"/>
    <w:rsid w:val="009D1987"/>
    <w:rsid w:val="009D1A3A"/>
    <w:rsid w:val="009D1FE8"/>
    <w:rsid w:val="009D298D"/>
    <w:rsid w:val="009D2CFF"/>
    <w:rsid w:val="009D328B"/>
    <w:rsid w:val="009D3964"/>
    <w:rsid w:val="009D3974"/>
    <w:rsid w:val="009D43E0"/>
    <w:rsid w:val="009D492D"/>
    <w:rsid w:val="009D50E0"/>
    <w:rsid w:val="009D51AA"/>
    <w:rsid w:val="009D5352"/>
    <w:rsid w:val="009D5FA7"/>
    <w:rsid w:val="009D60B6"/>
    <w:rsid w:val="009D6CAF"/>
    <w:rsid w:val="009D79FC"/>
    <w:rsid w:val="009D7EE5"/>
    <w:rsid w:val="009E084D"/>
    <w:rsid w:val="009E0CA5"/>
    <w:rsid w:val="009E148C"/>
    <w:rsid w:val="009E1679"/>
    <w:rsid w:val="009E168B"/>
    <w:rsid w:val="009E171B"/>
    <w:rsid w:val="009E1AD9"/>
    <w:rsid w:val="009E1F69"/>
    <w:rsid w:val="009E258F"/>
    <w:rsid w:val="009E273F"/>
    <w:rsid w:val="009E2D7B"/>
    <w:rsid w:val="009E317A"/>
    <w:rsid w:val="009E34FE"/>
    <w:rsid w:val="009E57F4"/>
    <w:rsid w:val="009E5891"/>
    <w:rsid w:val="009E599B"/>
    <w:rsid w:val="009E5D2D"/>
    <w:rsid w:val="009E6608"/>
    <w:rsid w:val="009E6835"/>
    <w:rsid w:val="009E71A7"/>
    <w:rsid w:val="009E71CD"/>
    <w:rsid w:val="009E71F7"/>
    <w:rsid w:val="009E7B53"/>
    <w:rsid w:val="009F07D9"/>
    <w:rsid w:val="009F080C"/>
    <w:rsid w:val="009F0888"/>
    <w:rsid w:val="009F1A01"/>
    <w:rsid w:val="009F22FD"/>
    <w:rsid w:val="009F27DC"/>
    <w:rsid w:val="009F28C5"/>
    <w:rsid w:val="009F2FBA"/>
    <w:rsid w:val="009F307C"/>
    <w:rsid w:val="009F3BD4"/>
    <w:rsid w:val="009F3F00"/>
    <w:rsid w:val="009F4233"/>
    <w:rsid w:val="009F4E9A"/>
    <w:rsid w:val="009F503C"/>
    <w:rsid w:val="009F5869"/>
    <w:rsid w:val="009F5C18"/>
    <w:rsid w:val="009F6193"/>
    <w:rsid w:val="009F668C"/>
    <w:rsid w:val="009F687A"/>
    <w:rsid w:val="009F68ED"/>
    <w:rsid w:val="009F6DFD"/>
    <w:rsid w:val="009F6ED7"/>
    <w:rsid w:val="009F71AA"/>
    <w:rsid w:val="009F74F4"/>
    <w:rsid w:val="009F7D0A"/>
    <w:rsid w:val="00A008B2"/>
    <w:rsid w:val="00A0095E"/>
    <w:rsid w:val="00A015E8"/>
    <w:rsid w:val="00A0163E"/>
    <w:rsid w:val="00A01EBB"/>
    <w:rsid w:val="00A03003"/>
    <w:rsid w:val="00A0313D"/>
    <w:rsid w:val="00A04808"/>
    <w:rsid w:val="00A051A4"/>
    <w:rsid w:val="00A05377"/>
    <w:rsid w:val="00A05747"/>
    <w:rsid w:val="00A05833"/>
    <w:rsid w:val="00A0651B"/>
    <w:rsid w:val="00A06636"/>
    <w:rsid w:val="00A06C15"/>
    <w:rsid w:val="00A07049"/>
    <w:rsid w:val="00A07CD1"/>
    <w:rsid w:val="00A07D1C"/>
    <w:rsid w:val="00A07D47"/>
    <w:rsid w:val="00A07EF1"/>
    <w:rsid w:val="00A10593"/>
    <w:rsid w:val="00A10C1E"/>
    <w:rsid w:val="00A11743"/>
    <w:rsid w:val="00A123EB"/>
    <w:rsid w:val="00A12F62"/>
    <w:rsid w:val="00A13435"/>
    <w:rsid w:val="00A1343A"/>
    <w:rsid w:val="00A146D2"/>
    <w:rsid w:val="00A14928"/>
    <w:rsid w:val="00A14C07"/>
    <w:rsid w:val="00A14FE9"/>
    <w:rsid w:val="00A1541E"/>
    <w:rsid w:val="00A15541"/>
    <w:rsid w:val="00A155F0"/>
    <w:rsid w:val="00A15F7C"/>
    <w:rsid w:val="00A16265"/>
    <w:rsid w:val="00A16E65"/>
    <w:rsid w:val="00A171C4"/>
    <w:rsid w:val="00A17A28"/>
    <w:rsid w:val="00A202B2"/>
    <w:rsid w:val="00A204AA"/>
    <w:rsid w:val="00A20E02"/>
    <w:rsid w:val="00A20FB9"/>
    <w:rsid w:val="00A2104B"/>
    <w:rsid w:val="00A2153E"/>
    <w:rsid w:val="00A21665"/>
    <w:rsid w:val="00A2203D"/>
    <w:rsid w:val="00A22535"/>
    <w:rsid w:val="00A232B4"/>
    <w:rsid w:val="00A23B90"/>
    <w:rsid w:val="00A23D55"/>
    <w:rsid w:val="00A23D9C"/>
    <w:rsid w:val="00A24AE4"/>
    <w:rsid w:val="00A25169"/>
    <w:rsid w:val="00A25F15"/>
    <w:rsid w:val="00A2637F"/>
    <w:rsid w:val="00A2650B"/>
    <w:rsid w:val="00A26D89"/>
    <w:rsid w:val="00A26F8A"/>
    <w:rsid w:val="00A27451"/>
    <w:rsid w:val="00A27693"/>
    <w:rsid w:val="00A27E09"/>
    <w:rsid w:val="00A3009F"/>
    <w:rsid w:val="00A30671"/>
    <w:rsid w:val="00A308E2"/>
    <w:rsid w:val="00A30C92"/>
    <w:rsid w:val="00A31713"/>
    <w:rsid w:val="00A31733"/>
    <w:rsid w:val="00A31CD7"/>
    <w:rsid w:val="00A32639"/>
    <w:rsid w:val="00A32BCB"/>
    <w:rsid w:val="00A33270"/>
    <w:rsid w:val="00A3331F"/>
    <w:rsid w:val="00A33FFA"/>
    <w:rsid w:val="00A34159"/>
    <w:rsid w:val="00A34313"/>
    <w:rsid w:val="00A34A82"/>
    <w:rsid w:val="00A34B7E"/>
    <w:rsid w:val="00A353F2"/>
    <w:rsid w:val="00A355B4"/>
    <w:rsid w:val="00A3749B"/>
    <w:rsid w:val="00A37A72"/>
    <w:rsid w:val="00A37D02"/>
    <w:rsid w:val="00A37D40"/>
    <w:rsid w:val="00A37D87"/>
    <w:rsid w:val="00A40494"/>
    <w:rsid w:val="00A41064"/>
    <w:rsid w:val="00A41780"/>
    <w:rsid w:val="00A42614"/>
    <w:rsid w:val="00A42766"/>
    <w:rsid w:val="00A42909"/>
    <w:rsid w:val="00A42B65"/>
    <w:rsid w:val="00A4323F"/>
    <w:rsid w:val="00A4367F"/>
    <w:rsid w:val="00A4386D"/>
    <w:rsid w:val="00A43B3D"/>
    <w:rsid w:val="00A440B9"/>
    <w:rsid w:val="00A44D88"/>
    <w:rsid w:val="00A44E63"/>
    <w:rsid w:val="00A44EE7"/>
    <w:rsid w:val="00A45CDB"/>
    <w:rsid w:val="00A474D0"/>
    <w:rsid w:val="00A5006A"/>
    <w:rsid w:val="00A50759"/>
    <w:rsid w:val="00A50A28"/>
    <w:rsid w:val="00A50B68"/>
    <w:rsid w:val="00A50D88"/>
    <w:rsid w:val="00A50DFD"/>
    <w:rsid w:val="00A50E6A"/>
    <w:rsid w:val="00A5137C"/>
    <w:rsid w:val="00A514A7"/>
    <w:rsid w:val="00A5163C"/>
    <w:rsid w:val="00A51F21"/>
    <w:rsid w:val="00A52054"/>
    <w:rsid w:val="00A53578"/>
    <w:rsid w:val="00A54654"/>
    <w:rsid w:val="00A54E76"/>
    <w:rsid w:val="00A55140"/>
    <w:rsid w:val="00A558D3"/>
    <w:rsid w:val="00A55D60"/>
    <w:rsid w:val="00A565DD"/>
    <w:rsid w:val="00A5663D"/>
    <w:rsid w:val="00A56802"/>
    <w:rsid w:val="00A56923"/>
    <w:rsid w:val="00A56A0C"/>
    <w:rsid w:val="00A57A2B"/>
    <w:rsid w:val="00A57A75"/>
    <w:rsid w:val="00A600C4"/>
    <w:rsid w:val="00A60310"/>
    <w:rsid w:val="00A61CF6"/>
    <w:rsid w:val="00A62828"/>
    <w:rsid w:val="00A62B13"/>
    <w:rsid w:val="00A62E42"/>
    <w:rsid w:val="00A63112"/>
    <w:rsid w:val="00A64988"/>
    <w:rsid w:val="00A64A71"/>
    <w:rsid w:val="00A6503A"/>
    <w:rsid w:val="00A65543"/>
    <w:rsid w:val="00A65731"/>
    <w:rsid w:val="00A665F0"/>
    <w:rsid w:val="00A67B95"/>
    <w:rsid w:val="00A7000E"/>
    <w:rsid w:val="00A71047"/>
    <w:rsid w:val="00A71173"/>
    <w:rsid w:val="00A711B2"/>
    <w:rsid w:val="00A7184E"/>
    <w:rsid w:val="00A719BE"/>
    <w:rsid w:val="00A7219F"/>
    <w:rsid w:val="00A721F9"/>
    <w:rsid w:val="00A7236C"/>
    <w:rsid w:val="00A72960"/>
    <w:rsid w:val="00A72C86"/>
    <w:rsid w:val="00A72D26"/>
    <w:rsid w:val="00A72D8F"/>
    <w:rsid w:val="00A73417"/>
    <w:rsid w:val="00A741F3"/>
    <w:rsid w:val="00A74815"/>
    <w:rsid w:val="00A748E9"/>
    <w:rsid w:val="00A758A0"/>
    <w:rsid w:val="00A75CC0"/>
    <w:rsid w:val="00A76208"/>
    <w:rsid w:val="00A7687A"/>
    <w:rsid w:val="00A76AF9"/>
    <w:rsid w:val="00A7785D"/>
    <w:rsid w:val="00A77CBD"/>
    <w:rsid w:val="00A8042D"/>
    <w:rsid w:val="00A81B3D"/>
    <w:rsid w:val="00A81C84"/>
    <w:rsid w:val="00A81D63"/>
    <w:rsid w:val="00A81E1D"/>
    <w:rsid w:val="00A82410"/>
    <w:rsid w:val="00A8252D"/>
    <w:rsid w:val="00A82815"/>
    <w:rsid w:val="00A8281A"/>
    <w:rsid w:val="00A8355B"/>
    <w:rsid w:val="00A8386F"/>
    <w:rsid w:val="00A83AB0"/>
    <w:rsid w:val="00A840D7"/>
    <w:rsid w:val="00A8462E"/>
    <w:rsid w:val="00A84CFC"/>
    <w:rsid w:val="00A85007"/>
    <w:rsid w:val="00A85218"/>
    <w:rsid w:val="00A859DD"/>
    <w:rsid w:val="00A902DB"/>
    <w:rsid w:val="00A90AE5"/>
    <w:rsid w:val="00A91D43"/>
    <w:rsid w:val="00A92822"/>
    <w:rsid w:val="00A92D00"/>
    <w:rsid w:val="00A930F5"/>
    <w:rsid w:val="00A93401"/>
    <w:rsid w:val="00A93BF4"/>
    <w:rsid w:val="00A94551"/>
    <w:rsid w:val="00A94A5E"/>
    <w:rsid w:val="00A94C23"/>
    <w:rsid w:val="00A95A31"/>
    <w:rsid w:val="00A95F53"/>
    <w:rsid w:val="00A964EF"/>
    <w:rsid w:val="00A967D9"/>
    <w:rsid w:val="00A97160"/>
    <w:rsid w:val="00A97720"/>
    <w:rsid w:val="00A97E14"/>
    <w:rsid w:val="00AA077B"/>
    <w:rsid w:val="00AA0AC0"/>
    <w:rsid w:val="00AA0CC3"/>
    <w:rsid w:val="00AA28CB"/>
    <w:rsid w:val="00AA2A76"/>
    <w:rsid w:val="00AA2AD0"/>
    <w:rsid w:val="00AA2ADE"/>
    <w:rsid w:val="00AA2C51"/>
    <w:rsid w:val="00AA4BE8"/>
    <w:rsid w:val="00AA4FA3"/>
    <w:rsid w:val="00AA79E8"/>
    <w:rsid w:val="00AA7CAC"/>
    <w:rsid w:val="00AB0555"/>
    <w:rsid w:val="00AB0ECB"/>
    <w:rsid w:val="00AB20C1"/>
    <w:rsid w:val="00AB2147"/>
    <w:rsid w:val="00AB243F"/>
    <w:rsid w:val="00AB27E1"/>
    <w:rsid w:val="00AB30B5"/>
    <w:rsid w:val="00AB3B5F"/>
    <w:rsid w:val="00AB3CB2"/>
    <w:rsid w:val="00AB3EDB"/>
    <w:rsid w:val="00AB41D0"/>
    <w:rsid w:val="00AB4359"/>
    <w:rsid w:val="00AB508B"/>
    <w:rsid w:val="00AB582B"/>
    <w:rsid w:val="00AB5FFD"/>
    <w:rsid w:val="00AB6754"/>
    <w:rsid w:val="00AB742F"/>
    <w:rsid w:val="00AB76B6"/>
    <w:rsid w:val="00AB79A9"/>
    <w:rsid w:val="00AC048B"/>
    <w:rsid w:val="00AC08AB"/>
    <w:rsid w:val="00AC14D4"/>
    <w:rsid w:val="00AC2132"/>
    <w:rsid w:val="00AC2210"/>
    <w:rsid w:val="00AC2B3C"/>
    <w:rsid w:val="00AC3196"/>
    <w:rsid w:val="00AC3253"/>
    <w:rsid w:val="00AC3A16"/>
    <w:rsid w:val="00AC3B21"/>
    <w:rsid w:val="00AC4065"/>
    <w:rsid w:val="00AC4874"/>
    <w:rsid w:val="00AC565D"/>
    <w:rsid w:val="00AC6206"/>
    <w:rsid w:val="00AC66EB"/>
    <w:rsid w:val="00AC7174"/>
    <w:rsid w:val="00AC7453"/>
    <w:rsid w:val="00AC75E2"/>
    <w:rsid w:val="00AC7FBA"/>
    <w:rsid w:val="00AD0450"/>
    <w:rsid w:val="00AD093F"/>
    <w:rsid w:val="00AD0A8D"/>
    <w:rsid w:val="00AD0D26"/>
    <w:rsid w:val="00AD0E8F"/>
    <w:rsid w:val="00AD1B6D"/>
    <w:rsid w:val="00AD2EBB"/>
    <w:rsid w:val="00AD2F48"/>
    <w:rsid w:val="00AD362F"/>
    <w:rsid w:val="00AD5B72"/>
    <w:rsid w:val="00AD78BF"/>
    <w:rsid w:val="00AE055F"/>
    <w:rsid w:val="00AE0AA5"/>
    <w:rsid w:val="00AE10A0"/>
    <w:rsid w:val="00AE286E"/>
    <w:rsid w:val="00AE2F90"/>
    <w:rsid w:val="00AE40F2"/>
    <w:rsid w:val="00AE49E4"/>
    <w:rsid w:val="00AE4E69"/>
    <w:rsid w:val="00AE6B37"/>
    <w:rsid w:val="00AE701C"/>
    <w:rsid w:val="00AE7465"/>
    <w:rsid w:val="00AE7923"/>
    <w:rsid w:val="00AE7C2F"/>
    <w:rsid w:val="00AF061F"/>
    <w:rsid w:val="00AF1001"/>
    <w:rsid w:val="00AF1B6C"/>
    <w:rsid w:val="00AF1F1F"/>
    <w:rsid w:val="00AF286D"/>
    <w:rsid w:val="00AF2C5D"/>
    <w:rsid w:val="00AF2D2E"/>
    <w:rsid w:val="00AF5287"/>
    <w:rsid w:val="00AF5C08"/>
    <w:rsid w:val="00AF6120"/>
    <w:rsid w:val="00AF637D"/>
    <w:rsid w:val="00AF6596"/>
    <w:rsid w:val="00AF7780"/>
    <w:rsid w:val="00AF77B4"/>
    <w:rsid w:val="00AF7DE1"/>
    <w:rsid w:val="00AF7FD6"/>
    <w:rsid w:val="00B0044A"/>
    <w:rsid w:val="00B0138D"/>
    <w:rsid w:val="00B02184"/>
    <w:rsid w:val="00B0220D"/>
    <w:rsid w:val="00B0361E"/>
    <w:rsid w:val="00B03DD6"/>
    <w:rsid w:val="00B03FDA"/>
    <w:rsid w:val="00B0426A"/>
    <w:rsid w:val="00B042E1"/>
    <w:rsid w:val="00B046CC"/>
    <w:rsid w:val="00B04794"/>
    <w:rsid w:val="00B0491A"/>
    <w:rsid w:val="00B04CB6"/>
    <w:rsid w:val="00B04DA5"/>
    <w:rsid w:val="00B05E8B"/>
    <w:rsid w:val="00B06162"/>
    <w:rsid w:val="00B073D6"/>
    <w:rsid w:val="00B07548"/>
    <w:rsid w:val="00B1131F"/>
    <w:rsid w:val="00B12F67"/>
    <w:rsid w:val="00B132F4"/>
    <w:rsid w:val="00B14797"/>
    <w:rsid w:val="00B1547E"/>
    <w:rsid w:val="00B15B96"/>
    <w:rsid w:val="00B1604F"/>
    <w:rsid w:val="00B16A2C"/>
    <w:rsid w:val="00B17A8A"/>
    <w:rsid w:val="00B2043D"/>
    <w:rsid w:val="00B20746"/>
    <w:rsid w:val="00B21256"/>
    <w:rsid w:val="00B214C6"/>
    <w:rsid w:val="00B21C84"/>
    <w:rsid w:val="00B227C0"/>
    <w:rsid w:val="00B22F10"/>
    <w:rsid w:val="00B22F9F"/>
    <w:rsid w:val="00B23AA2"/>
    <w:rsid w:val="00B24004"/>
    <w:rsid w:val="00B24879"/>
    <w:rsid w:val="00B258A2"/>
    <w:rsid w:val="00B25C3D"/>
    <w:rsid w:val="00B25D19"/>
    <w:rsid w:val="00B25D78"/>
    <w:rsid w:val="00B2628D"/>
    <w:rsid w:val="00B2672B"/>
    <w:rsid w:val="00B26E62"/>
    <w:rsid w:val="00B27668"/>
    <w:rsid w:val="00B27685"/>
    <w:rsid w:val="00B303AF"/>
    <w:rsid w:val="00B304BA"/>
    <w:rsid w:val="00B30962"/>
    <w:rsid w:val="00B30CF3"/>
    <w:rsid w:val="00B314CD"/>
    <w:rsid w:val="00B3157B"/>
    <w:rsid w:val="00B31ADD"/>
    <w:rsid w:val="00B32104"/>
    <w:rsid w:val="00B33A6F"/>
    <w:rsid w:val="00B33C4A"/>
    <w:rsid w:val="00B33D78"/>
    <w:rsid w:val="00B34272"/>
    <w:rsid w:val="00B34334"/>
    <w:rsid w:val="00B346D9"/>
    <w:rsid w:val="00B34D83"/>
    <w:rsid w:val="00B3583B"/>
    <w:rsid w:val="00B35F17"/>
    <w:rsid w:val="00B362E5"/>
    <w:rsid w:val="00B36560"/>
    <w:rsid w:val="00B36DA7"/>
    <w:rsid w:val="00B37128"/>
    <w:rsid w:val="00B37A8F"/>
    <w:rsid w:val="00B40B25"/>
    <w:rsid w:val="00B4158A"/>
    <w:rsid w:val="00B42BD7"/>
    <w:rsid w:val="00B42C92"/>
    <w:rsid w:val="00B43281"/>
    <w:rsid w:val="00B45816"/>
    <w:rsid w:val="00B45C26"/>
    <w:rsid w:val="00B45F37"/>
    <w:rsid w:val="00B466B8"/>
    <w:rsid w:val="00B47819"/>
    <w:rsid w:val="00B47CBF"/>
    <w:rsid w:val="00B50675"/>
    <w:rsid w:val="00B509E4"/>
    <w:rsid w:val="00B50E75"/>
    <w:rsid w:val="00B51C2E"/>
    <w:rsid w:val="00B51F3C"/>
    <w:rsid w:val="00B5242B"/>
    <w:rsid w:val="00B52566"/>
    <w:rsid w:val="00B52851"/>
    <w:rsid w:val="00B52B4E"/>
    <w:rsid w:val="00B537F6"/>
    <w:rsid w:val="00B54627"/>
    <w:rsid w:val="00B54C04"/>
    <w:rsid w:val="00B556A0"/>
    <w:rsid w:val="00B556B2"/>
    <w:rsid w:val="00B55B04"/>
    <w:rsid w:val="00B56E2B"/>
    <w:rsid w:val="00B57862"/>
    <w:rsid w:val="00B60B64"/>
    <w:rsid w:val="00B60D67"/>
    <w:rsid w:val="00B611BB"/>
    <w:rsid w:val="00B616E1"/>
    <w:rsid w:val="00B62848"/>
    <w:rsid w:val="00B644BE"/>
    <w:rsid w:val="00B64566"/>
    <w:rsid w:val="00B6456D"/>
    <w:rsid w:val="00B6480A"/>
    <w:rsid w:val="00B65232"/>
    <w:rsid w:val="00B652D4"/>
    <w:rsid w:val="00B6533A"/>
    <w:rsid w:val="00B65347"/>
    <w:rsid w:val="00B658ED"/>
    <w:rsid w:val="00B65A2B"/>
    <w:rsid w:val="00B65B81"/>
    <w:rsid w:val="00B65DE1"/>
    <w:rsid w:val="00B65FEA"/>
    <w:rsid w:val="00B66287"/>
    <w:rsid w:val="00B6713A"/>
    <w:rsid w:val="00B67667"/>
    <w:rsid w:val="00B67864"/>
    <w:rsid w:val="00B67FF8"/>
    <w:rsid w:val="00B7015A"/>
    <w:rsid w:val="00B71569"/>
    <w:rsid w:val="00B716DC"/>
    <w:rsid w:val="00B71FF7"/>
    <w:rsid w:val="00B72034"/>
    <w:rsid w:val="00B72983"/>
    <w:rsid w:val="00B72AF0"/>
    <w:rsid w:val="00B72B2D"/>
    <w:rsid w:val="00B7375E"/>
    <w:rsid w:val="00B737EB"/>
    <w:rsid w:val="00B741CF"/>
    <w:rsid w:val="00B74282"/>
    <w:rsid w:val="00B744BA"/>
    <w:rsid w:val="00B747A3"/>
    <w:rsid w:val="00B74923"/>
    <w:rsid w:val="00B7560E"/>
    <w:rsid w:val="00B765BC"/>
    <w:rsid w:val="00B775EE"/>
    <w:rsid w:val="00B80056"/>
    <w:rsid w:val="00B80072"/>
    <w:rsid w:val="00B811B6"/>
    <w:rsid w:val="00B814B4"/>
    <w:rsid w:val="00B82A9F"/>
    <w:rsid w:val="00B84BF5"/>
    <w:rsid w:val="00B85244"/>
    <w:rsid w:val="00B85790"/>
    <w:rsid w:val="00B85A86"/>
    <w:rsid w:val="00B85C13"/>
    <w:rsid w:val="00B85ED2"/>
    <w:rsid w:val="00B85F75"/>
    <w:rsid w:val="00B87927"/>
    <w:rsid w:val="00B87CBC"/>
    <w:rsid w:val="00B900C7"/>
    <w:rsid w:val="00B90858"/>
    <w:rsid w:val="00B91D14"/>
    <w:rsid w:val="00B91DD4"/>
    <w:rsid w:val="00B928F9"/>
    <w:rsid w:val="00B93456"/>
    <w:rsid w:val="00B936CF"/>
    <w:rsid w:val="00B94153"/>
    <w:rsid w:val="00B945C6"/>
    <w:rsid w:val="00B9520A"/>
    <w:rsid w:val="00B95AEF"/>
    <w:rsid w:val="00B95E51"/>
    <w:rsid w:val="00B97657"/>
    <w:rsid w:val="00B976BE"/>
    <w:rsid w:val="00B97C7E"/>
    <w:rsid w:val="00B97DAD"/>
    <w:rsid w:val="00BA017F"/>
    <w:rsid w:val="00BA04D9"/>
    <w:rsid w:val="00BA077F"/>
    <w:rsid w:val="00BA159A"/>
    <w:rsid w:val="00BA2078"/>
    <w:rsid w:val="00BA35B5"/>
    <w:rsid w:val="00BA3E28"/>
    <w:rsid w:val="00BA3EE8"/>
    <w:rsid w:val="00BA4279"/>
    <w:rsid w:val="00BA46FB"/>
    <w:rsid w:val="00BA54B2"/>
    <w:rsid w:val="00BA5668"/>
    <w:rsid w:val="00BA6048"/>
    <w:rsid w:val="00BA6052"/>
    <w:rsid w:val="00BA677B"/>
    <w:rsid w:val="00BA7089"/>
    <w:rsid w:val="00BA7116"/>
    <w:rsid w:val="00BA71EE"/>
    <w:rsid w:val="00BA7487"/>
    <w:rsid w:val="00BA7CFE"/>
    <w:rsid w:val="00BA7DFE"/>
    <w:rsid w:val="00BB00F3"/>
    <w:rsid w:val="00BB0B1F"/>
    <w:rsid w:val="00BB2757"/>
    <w:rsid w:val="00BB2950"/>
    <w:rsid w:val="00BB2E0E"/>
    <w:rsid w:val="00BB3230"/>
    <w:rsid w:val="00BB388A"/>
    <w:rsid w:val="00BB3D51"/>
    <w:rsid w:val="00BB47D5"/>
    <w:rsid w:val="00BB4B29"/>
    <w:rsid w:val="00BB4F03"/>
    <w:rsid w:val="00BB50CC"/>
    <w:rsid w:val="00BB5372"/>
    <w:rsid w:val="00BB553F"/>
    <w:rsid w:val="00BB721B"/>
    <w:rsid w:val="00BB72E8"/>
    <w:rsid w:val="00BB78D3"/>
    <w:rsid w:val="00BB7F25"/>
    <w:rsid w:val="00BC010D"/>
    <w:rsid w:val="00BC077A"/>
    <w:rsid w:val="00BC1053"/>
    <w:rsid w:val="00BC10DF"/>
    <w:rsid w:val="00BC24CE"/>
    <w:rsid w:val="00BC351B"/>
    <w:rsid w:val="00BC3B41"/>
    <w:rsid w:val="00BC3EC6"/>
    <w:rsid w:val="00BC460B"/>
    <w:rsid w:val="00BC539A"/>
    <w:rsid w:val="00BC55A3"/>
    <w:rsid w:val="00BC5985"/>
    <w:rsid w:val="00BC68BD"/>
    <w:rsid w:val="00BC6E69"/>
    <w:rsid w:val="00BC7147"/>
    <w:rsid w:val="00BC77F7"/>
    <w:rsid w:val="00BD03B5"/>
    <w:rsid w:val="00BD0A25"/>
    <w:rsid w:val="00BD0BF0"/>
    <w:rsid w:val="00BD0DBF"/>
    <w:rsid w:val="00BD0F17"/>
    <w:rsid w:val="00BD15F0"/>
    <w:rsid w:val="00BD1840"/>
    <w:rsid w:val="00BD26AA"/>
    <w:rsid w:val="00BD276E"/>
    <w:rsid w:val="00BD2ACC"/>
    <w:rsid w:val="00BD2B12"/>
    <w:rsid w:val="00BD2F8B"/>
    <w:rsid w:val="00BD3AB1"/>
    <w:rsid w:val="00BD3AFC"/>
    <w:rsid w:val="00BD454F"/>
    <w:rsid w:val="00BD508F"/>
    <w:rsid w:val="00BD51BE"/>
    <w:rsid w:val="00BD51DC"/>
    <w:rsid w:val="00BD530C"/>
    <w:rsid w:val="00BD547F"/>
    <w:rsid w:val="00BD6321"/>
    <w:rsid w:val="00BD679A"/>
    <w:rsid w:val="00BD760D"/>
    <w:rsid w:val="00BE0214"/>
    <w:rsid w:val="00BE082F"/>
    <w:rsid w:val="00BE15EE"/>
    <w:rsid w:val="00BE1A83"/>
    <w:rsid w:val="00BE1BC2"/>
    <w:rsid w:val="00BE1BD5"/>
    <w:rsid w:val="00BE2384"/>
    <w:rsid w:val="00BE23D3"/>
    <w:rsid w:val="00BE29B0"/>
    <w:rsid w:val="00BE2D47"/>
    <w:rsid w:val="00BE3E35"/>
    <w:rsid w:val="00BE4473"/>
    <w:rsid w:val="00BE52B6"/>
    <w:rsid w:val="00BE571D"/>
    <w:rsid w:val="00BE5F6F"/>
    <w:rsid w:val="00BE7129"/>
    <w:rsid w:val="00BE73E3"/>
    <w:rsid w:val="00BE74A8"/>
    <w:rsid w:val="00BE7B95"/>
    <w:rsid w:val="00BE7EA5"/>
    <w:rsid w:val="00BF00BF"/>
    <w:rsid w:val="00BF1323"/>
    <w:rsid w:val="00BF1780"/>
    <w:rsid w:val="00BF250A"/>
    <w:rsid w:val="00BF3160"/>
    <w:rsid w:val="00BF34AB"/>
    <w:rsid w:val="00BF3750"/>
    <w:rsid w:val="00BF3B52"/>
    <w:rsid w:val="00BF40A5"/>
    <w:rsid w:val="00BF4AC2"/>
    <w:rsid w:val="00BF53AE"/>
    <w:rsid w:val="00BF5CA4"/>
    <w:rsid w:val="00BF5EBE"/>
    <w:rsid w:val="00BF6009"/>
    <w:rsid w:val="00BF62BF"/>
    <w:rsid w:val="00BF6668"/>
    <w:rsid w:val="00BF7D7E"/>
    <w:rsid w:val="00C005D5"/>
    <w:rsid w:val="00C00E92"/>
    <w:rsid w:val="00C01151"/>
    <w:rsid w:val="00C01607"/>
    <w:rsid w:val="00C01641"/>
    <w:rsid w:val="00C01DCC"/>
    <w:rsid w:val="00C01DD0"/>
    <w:rsid w:val="00C020CF"/>
    <w:rsid w:val="00C02716"/>
    <w:rsid w:val="00C02EAD"/>
    <w:rsid w:val="00C02F11"/>
    <w:rsid w:val="00C03AEC"/>
    <w:rsid w:val="00C05187"/>
    <w:rsid w:val="00C0519D"/>
    <w:rsid w:val="00C05A50"/>
    <w:rsid w:val="00C05A63"/>
    <w:rsid w:val="00C06489"/>
    <w:rsid w:val="00C068AC"/>
    <w:rsid w:val="00C06FC5"/>
    <w:rsid w:val="00C075FA"/>
    <w:rsid w:val="00C07A51"/>
    <w:rsid w:val="00C102E6"/>
    <w:rsid w:val="00C11708"/>
    <w:rsid w:val="00C11C45"/>
    <w:rsid w:val="00C12889"/>
    <w:rsid w:val="00C13805"/>
    <w:rsid w:val="00C13A3B"/>
    <w:rsid w:val="00C13D5A"/>
    <w:rsid w:val="00C13FDE"/>
    <w:rsid w:val="00C1402B"/>
    <w:rsid w:val="00C154B5"/>
    <w:rsid w:val="00C202B3"/>
    <w:rsid w:val="00C2091F"/>
    <w:rsid w:val="00C20DFE"/>
    <w:rsid w:val="00C2198B"/>
    <w:rsid w:val="00C21B42"/>
    <w:rsid w:val="00C21ECC"/>
    <w:rsid w:val="00C21EE0"/>
    <w:rsid w:val="00C22CE3"/>
    <w:rsid w:val="00C22EDA"/>
    <w:rsid w:val="00C2357E"/>
    <w:rsid w:val="00C236E3"/>
    <w:rsid w:val="00C239D1"/>
    <w:rsid w:val="00C240F3"/>
    <w:rsid w:val="00C24996"/>
    <w:rsid w:val="00C24FB7"/>
    <w:rsid w:val="00C25223"/>
    <w:rsid w:val="00C2576C"/>
    <w:rsid w:val="00C25DB3"/>
    <w:rsid w:val="00C265AA"/>
    <w:rsid w:val="00C267EC"/>
    <w:rsid w:val="00C269EB"/>
    <w:rsid w:val="00C26EB4"/>
    <w:rsid w:val="00C30297"/>
    <w:rsid w:val="00C31FBA"/>
    <w:rsid w:val="00C3234D"/>
    <w:rsid w:val="00C325AB"/>
    <w:rsid w:val="00C32B77"/>
    <w:rsid w:val="00C3310F"/>
    <w:rsid w:val="00C3357E"/>
    <w:rsid w:val="00C3397B"/>
    <w:rsid w:val="00C34382"/>
    <w:rsid w:val="00C347C1"/>
    <w:rsid w:val="00C34B00"/>
    <w:rsid w:val="00C36483"/>
    <w:rsid w:val="00C36B42"/>
    <w:rsid w:val="00C36DD7"/>
    <w:rsid w:val="00C3758B"/>
    <w:rsid w:val="00C3770D"/>
    <w:rsid w:val="00C40267"/>
    <w:rsid w:val="00C40402"/>
    <w:rsid w:val="00C4157B"/>
    <w:rsid w:val="00C41E8D"/>
    <w:rsid w:val="00C42088"/>
    <w:rsid w:val="00C42A3A"/>
    <w:rsid w:val="00C42C01"/>
    <w:rsid w:val="00C4441D"/>
    <w:rsid w:val="00C44D5A"/>
    <w:rsid w:val="00C46720"/>
    <w:rsid w:val="00C46C1E"/>
    <w:rsid w:val="00C47497"/>
    <w:rsid w:val="00C4767F"/>
    <w:rsid w:val="00C47807"/>
    <w:rsid w:val="00C50B48"/>
    <w:rsid w:val="00C50BF9"/>
    <w:rsid w:val="00C51517"/>
    <w:rsid w:val="00C53172"/>
    <w:rsid w:val="00C53618"/>
    <w:rsid w:val="00C53C31"/>
    <w:rsid w:val="00C548D2"/>
    <w:rsid w:val="00C54AF3"/>
    <w:rsid w:val="00C5516F"/>
    <w:rsid w:val="00C555AC"/>
    <w:rsid w:val="00C55D21"/>
    <w:rsid w:val="00C564C2"/>
    <w:rsid w:val="00C56774"/>
    <w:rsid w:val="00C57084"/>
    <w:rsid w:val="00C572D4"/>
    <w:rsid w:val="00C5761E"/>
    <w:rsid w:val="00C600AD"/>
    <w:rsid w:val="00C60564"/>
    <w:rsid w:val="00C609DD"/>
    <w:rsid w:val="00C6328E"/>
    <w:rsid w:val="00C63590"/>
    <w:rsid w:val="00C63B6A"/>
    <w:rsid w:val="00C640E2"/>
    <w:rsid w:val="00C657E7"/>
    <w:rsid w:val="00C65931"/>
    <w:rsid w:val="00C660FE"/>
    <w:rsid w:val="00C66847"/>
    <w:rsid w:val="00C6746D"/>
    <w:rsid w:val="00C70D96"/>
    <w:rsid w:val="00C713ED"/>
    <w:rsid w:val="00C71A70"/>
    <w:rsid w:val="00C71F02"/>
    <w:rsid w:val="00C72318"/>
    <w:rsid w:val="00C724E6"/>
    <w:rsid w:val="00C725EF"/>
    <w:rsid w:val="00C72FBA"/>
    <w:rsid w:val="00C7326E"/>
    <w:rsid w:val="00C733BB"/>
    <w:rsid w:val="00C73F98"/>
    <w:rsid w:val="00C74285"/>
    <w:rsid w:val="00C745DD"/>
    <w:rsid w:val="00C747A5"/>
    <w:rsid w:val="00C749A1"/>
    <w:rsid w:val="00C751E9"/>
    <w:rsid w:val="00C77104"/>
    <w:rsid w:val="00C772CF"/>
    <w:rsid w:val="00C80A1A"/>
    <w:rsid w:val="00C80F96"/>
    <w:rsid w:val="00C811BD"/>
    <w:rsid w:val="00C81664"/>
    <w:rsid w:val="00C81CA7"/>
    <w:rsid w:val="00C8262D"/>
    <w:rsid w:val="00C830E9"/>
    <w:rsid w:val="00C83942"/>
    <w:rsid w:val="00C84BAB"/>
    <w:rsid w:val="00C85005"/>
    <w:rsid w:val="00C85314"/>
    <w:rsid w:val="00C8537E"/>
    <w:rsid w:val="00C85C03"/>
    <w:rsid w:val="00C868B1"/>
    <w:rsid w:val="00C86AC3"/>
    <w:rsid w:val="00C86B83"/>
    <w:rsid w:val="00C86C38"/>
    <w:rsid w:val="00C86F0B"/>
    <w:rsid w:val="00C87088"/>
    <w:rsid w:val="00C9003C"/>
    <w:rsid w:val="00C9063D"/>
    <w:rsid w:val="00C909FC"/>
    <w:rsid w:val="00C910A1"/>
    <w:rsid w:val="00C911EF"/>
    <w:rsid w:val="00C914B2"/>
    <w:rsid w:val="00C9248E"/>
    <w:rsid w:val="00C92D20"/>
    <w:rsid w:val="00C92F7A"/>
    <w:rsid w:val="00C937F4"/>
    <w:rsid w:val="00C94E8A"/>
    <w:rsid w:val="00C953B1"/>
    <w:rsid w:val="00C95FA3"/>
    <w:rsid w:val="00C96317"/>
    <w:rsid w:val="00C96402"/>
    <w:rsid w:val="00C964E0"/>
    <w:rsid w:val="00C9751C"/>
    <w:rsid w:val="00C976BD"/>
    <w:rsid w:val="00CA0116"/>
    <w:rsid w:val="00CA147C"/>
    <w:rsid w:val="00CA1AC6"/>
    <w:rsid w:val="00CA1C1D"/>
    <w:rsid w:val="00CA2736"/>
    <w:rsid w:val="00CA3082"/>
    <w:rsid w:val="00CA3339"/>
    <w:rsid w:val="00CA3DBF"/>
    <w:rsid w:val="00CA4BC0"/>
    <w:rsid w:val="00CA5CA8"/>
    <w:rsid w:val="00CA5CD8"/>
    <w:rsid w:val="00CA662D"/>
    <w:rsid w:val="00CA6916"/>
    <w:rsid w:val="00CA6BD4"/>
    <w:rsid w:val="00CA6FE5"/>
    <w:rsid w:val="00CA7C96"/>
    <w:rsid w:val="00CA7EAB"/>
    <w:rsid w:val="00CB0157"/>
    <w:rsid w:val="00CB01BF"/>
    <w:rsid w:val="00CB0897"/>
    <w:rsid w:val="00CB0934"/>
    <w:rsid w:val="00CB1397"/>
    <w:rsid w:val="00CB1C3D"/>
    <w:rsid w:val="00CB22AF"/>
    <w:rsid w:val="00CB28E9"/>
    <w:rsid w:val="00CB3B14"/>
    <w:rsid w:val="00CB46D6"/>
    <w:rsid w:val="00CB49EA"/>
    <w:rsid w:val="00CB4B1C"/>
    <w:rsid w:val="00CB5205"/>
    <w:rsid w:val="00CB5341"/>
    <w:rsid w:val="00CB552D"/>
    <w:rsid w:val="00CB5DB8"/>
    <w:rsid w:val="00CB69B6"/>
    <w:rsid w:val="00CB7048"/>
    <w:rsid w:val="00CB705A"/>
    <w:rsid w:val="00CB750D"/>
    <w:rsid w:val="00CB7725"/>
    <w:rsid w:val="00CB77E7"/>
    <w:rsid w:val="00CC0E32"/>
    <w:rsid w:val="00CC1C89"/>
    <w:rsid w:val="00CC1ECA"/>
    <w:rsid w:val="00CC38AC"/>
    <w:rsid w:val="00CC3DC3"/>
    <w:rsid w:val="00CC536A"/>
    <w:rsid w:val="00CC553F"/>
    <w:rsid w:val="00CC559D"/>
    <w:rsid w:val="00CC63E1"/>
    <w:rsid w:val="00CC6D15"/>
    <w:rsid w:val="00CC7082"/>
    <w:rsid w:val="00CC7BB5"/>
    <w:rsid w:val="00CD02A5"/>
    <w:rsid w:val="00CD04C8"/>
    <w:rsid w:val="00CD0C13"/>
    <w:rsid w:val="00CD0FC0"/>
    <w:rsid w:val="00CD1AA8"/>
    <w:rsid w:val="00CD2278"/>
    <w:rsid w:val="00CD24B6"/>
    <w:rsid w:val="00CD2874"/>
    <w:rsid w:val="00CD2B23"/>
    <w:rsid w:val="00CD2BEC"/>
    <w:rsid w:val="00CD2CDC"/>
    <w:rsid w:val="00CD3142"/>
    <w:rsid w:val="00CD3148"/>
    <w:rsid w:val="00CD33CC"/>
    <w:rsid w:val="00CD3534"/>
    <w:rsid w:val="00CD3AB3"/>
    <w:rsid w:val="00CD3F77"/>
    <w:rsid w:val="00CD4EFF"/>
    <w:rsid w:val="00CD5372"/>
    <w:rsid w:val="00CD5374"/>
    <w:rsid w:val="00CD5E34"/>
    <w:rsid w:val="00CD654B"/>
    <w:rsid w:val="00CD7123"/>
    <w:rsid w:val="00CE0354"/>
    <w:rsid w:val="00CE0952"/>
    <w:rsid w:val="00CE0B64"/>
    <w:rsid w:val="00CE223E"/>
    <w:rsid w:val="00CE2341"/>
    <w:rsid w:val="00CE3944"/>
    <w:rsid w:val="00CE4A94"/>
    <w:rsid w:val="00CE57FB"/>
    <w:rsid w:val="00CE6913"/>
    <w:rsid w:val="00CE7D7E"/>
    <w:rsid w:val="00CF0445"/>
    <w:rsid w:val="00CF097B"/>
    <w:rsid w:val="00CF0A72"/>
    <w:rsid w:val="00CF12D3"/>
    <w:rsid w:val="00CF2D69"/>
    <w:rsid w:val="00CF2FD2"/>
    <w:rsid w:val="00CF33DC"/>
    <w:rsid w:val="00CF3842"/>
    <w:rsid w:val="00CF3F0D"/>
    <w:rsid w:val="00CF45C9"/>
    <w:rsid w:val="00CF4E8D"/>
    <w:rsid w:val="00CF515C"/>
    <w:rsid w:val="00CF544C"/>
    <w:rsid w:val="00CF55AA"/>
    <w:rsid w:val="00CF5985"/>
    <w:rsid w:val="00CF667A"/>
    <w:rsid w:val="00CF69AF"/>
    <w:rsid w:val="00CF6B5A"/>
    <w:rsid w:val="00CF796A"/>
    <w:rsid w:val="00D005D3"/>
    <w:rsid w:val="00D00EC7"/>
    <w:rsid w:val="00D0102E"/>
    <w:rsid w:val="00D01350"/>
    <w:rsid w:val="00D01C70"/>
    <w:rsid w:val="00D01D4B"/>
    <w:rsid w:val="00D01F9C"/>
    <w:rsid w:val="00D022E4"/>
    <w:rsid w:val="00D0274E"/>
    <w:rsid w:val="00D02781"/>
    <w:rsid w:val="00D02AB2"/>
    <w:rsid w:val="00D02BC8"/>
    <w:rsid w:val="00D030BC"/>
    <w:rsid w:val="00D03320"/>
    <w:rsid w:val="00D03BC6"/>
    <w:rsid w:val="00D042C1"/>
    <w:rsid w:val="00D04363"/>
    <w:rsid w:val="00D04D27"/>
    <w:rsid w:val="00D04FF0"/>
    <w:rsid w:val="00D05795"/>
    <w:rsid w:val="00D060EE"/>
    <w:rsid w:val="00D064B3"/>
    <w:rsid w:val="00D0659F"/>
    <w:rsid w:val="00D074C0"/>
    <w:rsid w:val="00D07C4F"/>
    <w:rsid w:val="00D07CA0"/>
    <w:rsid w:val="00D101F7"/>
    <w:rsid w:val="00D118FA"/>
    <w:rsid w:val="00D11918"/>
    <w:rsid w:val="00D11925"/>
    <w:rsid w:val="00D11D98"/>
    <w:rsid w:val="00D11DCC"/>
    <w:rsid w:val="00D1209A"/>
    <w:rsid w:val="00D12788"/>
    <w:rsid w:val="00D12862"/>
    <w:rsid w:val="00D13047"/>
    <w:rsid w:val="00D1321B"/>
    <w:rsid w:val="00D1344E"/>
    <w:rsid w:val="00D14315"/>
    <w:rsid w:val="00D145F5"/>
    <w:rsid w:val="00D15A37"/>
    <w:rsid w:val="00D173A3"/>
    <w:rsid w:val="00D17EB4"/>
    <w:rsid w:val="00D20203"/>
    <w:rsid w:val="00D20BC3"/>
    <w:rsid w:val="00D20D3D"/>
    <w:rsid w:val="00D2216C"/>
    <w:rsid w:val="00D22567"/>
    <w:rsid w:val="00D23897"/>
    <w:rsid w:val="00D23D09"/>
    <w:rsid w:val="00D243D0"/>
    <w:rsid w:val="00D24C19"/>
    <w:rsid w:val="00D24D31"/>
    <w:rsid w:val="00D26D9F"/>
    <w:rsid w:val="00D273AE"/>
    <w:rsid w:val="00D278D8"/>
    <w:rsid w:val="00D31097"/>
    <w:rsid w:val="00D316A1"/>
    <w:rsid w:val="00D329E9"/>
    <w:rsid w:val="00D329F1"/>
    <w:rsid w:val="00D32AA3"/>
    <w:rsid w:val="00D32CD9"/>
    <w:rsid w:val="00D32DA3"/>
    <w:rsid w:val="00D33ED3"/>
    <w:rsid w:val="00D355C2"/>
    <w:rsid w:val="00D355F0"/>
    <w:rsid w:val="00D35B74"/>
    <w:rsid w:val="00D3656C"/>
    <w:rsid w:val="00D368E0"/>
    <w:rsid w:val="00D36A02"/>
    <w:rsid w:val="00D40944"/>
    <w:rsid w:val="00D41FAE"/>
    <w:rsid w:val="00D42148"/>
    <w:rsid w:val="00D421A3"/>
    <w:rsid w:val="00D42252"/>
    <w:rsid w:val="00D4251E"/>
    <w:rsid w:val="00D42CD8"/>
    <w:rsid w:val="00D42DB3"/>
    <w:rsid w:val="00D436C9"/>
    <w:rsid w:val="00D437B7"/>
    <w:rsid w:val="00D43859"/>
    <w:rsid w:val="00D43AC8"/>
    <w:rsid w:val="00D43FFE"/>
    <w:rsid w:val="00D44EAD"/>
    <w:rsid w:val="00D45775"/>
    <w:rsid w:val="00D45802"/>
    <w:rsid w:val="00D461C7"/>
    <w:rsid w:val="00D461D8"/>
    <w:rsid w:val="00D47261"/>
    <w:rsid w:val="00D4746F"/>
    <w:rsid w:val="00D47DE3"/>
    <w:rsid w:val="00D50879"/>
    <w:rsid w:val="00D51478"/>
    <w:rsid w:val="00D51610"/>
    <w:rsid w:val="00D53269"/>
    <w:rsid w:val="00D533D2"/>
    <w:rsid w:val="00D54203"/>
    <w:rsid w:val="00D54C00"/>
    <w:rsid w:val="00D54F40"/>
    <w:rsid w:val="00D5507E"/>
    <w:rsid w:val="00D552FC"/>
    <w:rsid w:val="00D56113"/>
    <w:rsid w:val="00D563C5"/>
    <w:rsid w:val="00D569E8"/>
    <w:rsid w:val="00D56CD0"/>
    <w:rsid w:val="00D575DC"/>
    <w:rsid w:val="00D577B3"/>
    <w:rsid w:val="00D6016E"/>
    <w:rsid w:val="00D604B5"/>
    <w:rsid w:val="00D60D8D"/>
    <w:rsid w:val="00D61562"/>
    <w:rsid w:val="00D61A16"/>
    <w:rsid w:val="00D61E28"/>
    <w:rsid w:val="00D620DB"/>
    <w:rsid w:val="00D6247C"/>
    <w:rsid w:val="00D62DF3"/>
    <w:rsid w:val="00D63C33"/>
    <w:rsid w:val="00D63CC1"/>
    <w:rsid w:val="00D6432E"/>
    <w:rsid w:val="00D643F4"/>
    <w:rsid w:val="00D64881"/>
    <w:rsid w:val="00D64A99"/>
    <w:rsid w:val="00D64CEC"/>
    <w:rsid w:val="00D64F3D"/>
    <w:rsid w:val="00D65183"/>
    <w:rsid w:val="00D6533D"/>
    <w:rsid w:val="00D6541E"/>
    <w:rsid w:val="00D66567"/>
    <w:rsid w:val="00D66FEC"/>
    <w:rsid w:val="00D67987"/>
    <w:rsid w:val="00D67E4A"/>
    <w:rsid w:val="00D70C4D"/>
    <w:rsid w:val="00D714E9"/>
    <w:rsid w:val="00D715E8"/>
    <w:rsid w:val="00D719C5"/>
    <w:rsid w:val="00D723D8"/>
    <w:rsid w:val="00D7264E"/>
    <w:rsid w:val="00D74C8B"/>
    <w:rsid w:val="00D75098"/>
    <w:rsid w:val="00D75AF8"/>
    <w:rsid w:val="00D75FFE"/>
    <w:rsid w:val="00D76AB0"/>
    <w:rsid w:val="00D76ABF"/>
    <w:rsid w:val="00D76EE0"/>
    <w:rsid w:val="00D77A67"/>
    <w:rsid w:val="00D77D1E"/>
    <w:rsid w:val="00D77E91"/>
    <w:rsid w:val="00D80170"/>
    <w:rsid w:val="00D80CDA"/>
    <w:rsid w:val="00D8133B"/>
    <w:rsid w:val="00D81D76"/>
    <w:rsid w:val="00D82923"/>
    <w:rsid w:val="00D82A03"/>
    <w:rsid w:val="00D833D9"/>
    <w:rsid w:val="00D83BD9"/>
    <w:rsid w:val="00D8486A"/>
    <w:rsid w:val="00D84924"/>
    <w:rsid w:val="00D84C1A"/>
    <w:rsid w:val="00D84CCF"/>
    <w:rsid w:val="00D84FBC"/>
    <w:rsid w:val="00D8609D"/>
    <w:rsid w:val="00D86B98"/>
    <w:rsid w:val="00D86BDB"/>
    <w:rsid w:val="00D90D9B"/>
    <w:rsid w:val="00D90EF5"/>
    <w:rsid w:val="00D9120E"/>
    <w:rsid w:val="00D919DD"/>
    <w:rsid w:val="00D91D55"/>
    <w:rsid w:val="00D92187"/>
    <w:rsid w:val="00D93A02"/>
    <w:rsid w:val="00D94442"/>
    <w:rsid w:val="00D94AE7"/>
    <w:rsid w:val="00D94DCF"/>
    <w:rsid w:val="00D94EAE"/>
    <w:rsid w:val="00D95193"/>
    <w:rsid w:val="00D9587F"/>
    <w:rsid w:val="00D97018"/>
    <w:rsid w:val="00DA0559"/>
    <w:rsid w:val="00DA2313"/>
    <w:rsid w:val="00DA2448"/>
    <w:rsid w:val="00DA2A7D"/>
    <w:rsid w:val="00DA2AF2"/>
    <w:rsid w:val="00DA393A"/>
    <w:rsid w:val="00DA3E5B"/>
    <w:rsid w:val="00DA4109"/>
    <w:rsid w:val="00DA42A5"/>
    <w:rsid w:val="00DA4AB9"/>
    <w:rsid w:val="00DA4BE1"/>
    <w:rsid w:val="00DA586F"/>
    <w:rsid w:val="00DA5B53"/>
    <w:rsid w:val="00DA5C04"/>
    <w:rsid w:val="00DA5C65"/>
    <w:rsid w:val="00DA5E34"/>
    <w:rsid w:val="00DA664F"/>
    <w:rsid w:val="00DA678B"/>
    <w:rsid w:val="00DA67B4"/>
    <w:rsid w:val="00DA6A2C"/>
    <w:rsid w:val="00DA77F3"/>
    <w:rsid w:val="00DA7EBE"/>
    <w:rsid w:val="00DB00A7"/>
    <w:rsid w:val="00DB01D6"/>
    <w:rsid w:val="00DB0458"/>
    <w:rsid w:val="00DB08DA"/>
    <w:rsid w:val="00DB11B3"/>
    <w:rsid w:val="00DB1392"/>
    <w:rsid w:val="00DB3067"/>
    <w:rsid w:val="00DB4972"/>
    <w:rsid w:val="00DB5247"/>
    <w:rsid w:val="00DB5303"/>
    <w:rsid w:val="00DB54B6"/>
    <w:rsid w:val="00DB5BB0"/>
    <w:rsid w:val="00DB6526"/>
    <w:rsid w:val="00DB6A2B"/>
    <w:rsid w:val="00DB6F19"/>
    <w:rsid w:val="00DB71F5"/>
    <w:rsid w:val="00DB7A81"/>
    <w:rsid w:val="00DB7E38"/>
    <w:rsid w:val="00DB7F09"/>
    <w:rsid w:val="00DC00E8"/>
    <w:rsid w:val="00DC0529"/>
    <w:rsid w:val="00DC05C1"/>
    <w:rsid w:val="00DC1285"/>
    <w:rsid w:val="00DC1C56"/>
    <w:rsid w:val="00DC1CA8"/>
    <w:rsid w:val="00DC24EE"/>
    <w:rsid w:val="00DC2D8F"/>
    <w:rsid w:val="00DC3AC2"/>
    <w:rsid w:val="00DC3D01"/>
    <w:rsid w:val="00DC453D"/>
    <w:rsid w:val="00DC4756"/>
    <w:rsid w:val="00DC4F1A"/>
    <w:rsid w:val="00DC52A7"/>
    <w:rsid w:val="00DC6379"/>
    <w:rsid w:val="00DC63A9"/>
    <w:rsid w:val="00DC6AAD"/>
    <w:rsid w:val="00DC6D3E"/>
    <w:rsid w:val="00DC7156"/>
    <w:rsid w:val="00DC75BA"/>
    <w:rsid w:val="00DC77FC"/>
    <w:rsid w:val="00DC799E"/>
    <w:rsid w:val="00DD225F"/>
    <w:rsid w:val="00DD25FA"/>
    <w:rsid w:val="00DD280D"/>
    <w:rsid w:val="00DD2EBB"/>
    <w:rsid w:val="00DD3E86"/>
    <w:rsid w:val="00DD483A"/>
    <w:rsid w:val="00DD4A69"/>
    <w:rsid w:val="00DD5241"/>
    <w:rsid w:val="00DD56F4"/>
    <w:rsid w:val="00DD5F10"/>
    <w:rsid w:val="00DD627C"/>
    <w:rsid w:val="00DD62CA"/>
    <w:rsid w:val="00DD64AB"/>
    <w:rsid w:val="00DD7879"/>
    <w:rsid w:val="00DD7C1D"/>
    <w:rsid w:val="00DE03FB"/>
    <w:rsid w:val="00DE12DA"/>
    <w:rsid w:val="00DE146E"/>
    <w:rsid w:val="00DE1627"/>
    <w:rsid w:val="00DE18B4"/>
    <w:rsid w:val="00DE1EA4"/>
    <w:rsid w:val="00DE1F2F"/>
    <w:rsid w:val="00DE1F98"/>
    <w:rsid w:val="00DE26DD"/>
    <w:rsid w:val="00DE2763"/>
    <w:rsid w:val="00DE2BE0"/>
    <w:rsid w:val="00DE37E5"/>
    <w:rsid w:val="00DE384D"/>
    <w:rsid w:val="00DE3A53"/>
    <w:rsid w:val="00DE3C77"/>
    <w:rsid w:val="00DE4154"/>
    <w:rsid w:val="00DE4374"/>
    <w:rsid w:val="00DE4901"/>
    <w:rsid w:val="00DE4C29"/>
    <w:rsid w:val="00DE4D87"/>
    <w:rsid w:val="00DE4F66"/>
    <w:rsid w:val="00DE5667"/>
    <w:rsid w:val="00DE5ED9"/>
    <w:rsid w:val="00DE70F1"/>
    <w:rsid w:val="00DE7CB0"/>
    <w:rsid w:val="00DF18CE"/>
    <w:rsid w:val="00DF1B6F"/>
    <w:rsid w:val="00DF203D"/>
    <w:rsid w:val="00DF2E1F"/>
    <w:rsid w:val="00DF39A8"/>
    <w:rsid w:val="00DF3F9E"/>
    <w:rsid w:val="00DF4CAF"/>
    <w:rsid w:val="00DF5702"/>
    <w:rsid w:val="00DF5B1C"/>
    <w:rsid w:val="00DF5EA9"/>
    <w:rsid w:val="00DF650C"/>
    <w:rsid w:val="00DF66FD"/>
    <w:rsid w:val="00DF6F51"/>
    <w:rsid w:val="00DF6F61"/>
    <w:rsid w:val="00DF7A4C"/>
    <w:rsid w:val="00DF7BC9"/>
    <w:rsid w:val="00DF7E29"/>
    <w:rsid w:val="00E0050F"/>
    <w:rsid w:val="00E0196F"/>
    <w:rsid w:val="00E02465"/>
    <w:rsid w:val="00E036CB"/>
    <w:rsid w:val="00E065E3"/>
    <w:rsid w:val="00E07C8D"/>
    <w:rsid w:val="00E101C6"/>
    <w:rsid w:val="00E10736"/>
    <w:rsid w:val="00E107F4"/>
    <w:rsid w:val="00E1092B"/>
    <w:rsid w:val="00E1233E"/>
    <w:rsid w:val="00E12A06"/>
    <w:rsid w:val="00E12E02"/>
    <w:rsid w:val="00E13710"/>
    <w:rsid w:val="00E13FD7"/>
    <w:rsid w:val="00E142E3"/>
    <w:rsid w:val="00E1449E"/>
    <w:rsid w:val="00E144DD"/>
    <w:rsid w:val="00E1532D"/>
    <w:rsid w:val="00E15BCA"/>
    <w:rsid w:val="00E1602F"/>
    <w:rsid w:val="00E166CB"/>
    <w:rsid w:val="00E219C7"/>
    <w:rsid w:val="00E21D16"/>
    <w:rsid w:val="00E21E73"/>
    <w:rsid w:val="00E22198"/>
    <w:rsid w:val="00E22846"/>
    <w:rsid w:val="00E228F3"/>
    <w:rsid w:val="00E22D51"/>
    <w:rsid w:val="00E23168"/>
    <w:rsid w:val="00E233C0"/>
    <w:rsid w:val="00E235F1"/>
    <w:rsid w:val="00E238DF"/>
    <w:rsid w:val="00E245E9"/>
    <w:rsid w:val="00E25150"/>
    <w:rsid w:val="00E258E9"/>
    <w:rsid w:val="00E26677"/>
    <w:rsid w:val="00E2762F"/>
    <w:rsid w:val="00E27631"/>
    <w:rsid w:val="00E27EE6"/>
    <w:rsid w:val="00E30CA7"/>
    <w:rsid w:val="00E30F7B"/>
    <w:rsid w:val="00E31236"/>
    <w:rsid w:val="00E31499"/>
    <w:rsid w:val="00E32D78"/>
    <w:rsid w:val="00E349A7"/>
    <w:rsid w:val="00E356C5"/>
    <w:rsid w:val="00E35893"/>
    <w:rsid w:val="00E36A55"/>
    <w:rsid w:val="00E36BCA"/>
    <w:rsid w:val="00E37C03"/>
    <w:rsid w:val="00E4006A"/>
    <w:rsid w:val="00E4252F"/>
    <w:rsid w:val="00E42FE3"/>
    <w:rsid w:val="00E4360C"/>
    <w:rsid w:val="00E43C1E"/>
    <w:rsid w:val="00E440E0"/>
    <w:rsid w:val="00E44177"/>
    <w:rsid w:val="00E44516"/>
    <w:rsid w:val="00E45B88"/>
    <w:rsid w:val="00E46BF9"/>
    <w:rsid w:val="00E47073"/>
    <w:rsid w:val="00E477B2"/>
    <w:rsid w:val="00E50326"/>
    <w:rsid w:val="00E50A99"/>
    <w:rsid w:val="00E50E7C"/>
    <w:rsid w:val="00E51545"/>
    <w:rsid w:val="00E519D0"/>
    <w:rsid w:val="00E51A79"/>
    <w:rsid w:val="00E51D9E"/>
    <w:rsid w:val="00E51E23"/>
    <w:rsid w:val="00E52911"/>
    <w:rsid w:val="00E52F8B"/>
    <w:rsid w:val="00E534CA"/>
    <w:rsid w:val="00E537D1"/>
    <w:rsid w:val="00E53C8C"/>
    <w:rsid w:val="00E56444"/>
    <w:rsid w:val="00E567E6"/>
    <w:rsid w:val="00E56859"/>
    <w:rsid w:val="00E56971"/>
    <w:rsid w:val="00E607B6"/>
    <w:rsid w:val="00E6097B"/>
    <w:rsid w:val="00E61484"/>
    <w:rsid w:val="00E617EC"/>
    <w:rsid w:val="00E62E07"/>
    <w:rsid w:val="00E63813"/>
    <w:rsid w:val="00E6403B"/>
    <w:rsid w:val="00E6441E"/>
    <w:rsid w:val="00E650DE"/>
    <w:rsid w:val="00E66254"/>
    <w:rsid w:val="00E664B3"/>
    <w:rsid w:val="00E66BB8"/>
    <w:rsid w:val="00E66F7C"/>
    <w:rsid w:val="00E67D9A"/>
    <w:rsid w:val="00E67FE7"/>
    <w:rsid w:val="00E7017C"/>
    <w:rsid w:val="00E711D7"/>
    <w:rsid w:val="00E71243"/>
    <w:rsid w:val="00E71314"/>
    <w:rsid w:val="00E716BF"/>
    <w:rsid w:val="00E719B5"/>
    <w:rsid w:val="00E71DD0"/>
    <w:rsid w:val="00E724B2"/>
    <w:rsid w:val="00E72BD2"/>
    <w:rsid w:val="00E73296"/>
    <w:rsid w:val="00E73F6F"/>
    <w:rsid w:val="00E74156"/>
    <w:rsid w:val="00E749CF"/>
    <w:rsid w:val="00E756A3"/>
    <w:rsid w:val="00E75BD5"/>
    <w:rsid w:val="00E75ED2"/>
    <w:rsid w:val="00E7601B"/>
    <w:rsid w:val="00E76540"/>
    <w:rsid w:val="00E77011"/>
    <w:rsid w:val="00E77192"/>
    <w:rsid w:val="00E777F6"/>
    <w:rsid w:val="00E80066"/>
    <w:rsid w:val="00E807B5"/>
    <w:rsid w:val="00E81297"/>
    <w:rsid w:val="00E815E1"/>
    <w:rsid w:val="00E82198"/>
    <w:rsid w:val="00E82A86"/>
    <w:rsid w:val="00E8326C"/>
    <w:rsid w:val="00E83591"/>
    <w:rsid w:val="00E83ADC"/>
    <w:rsid w:val="00E840A2"/>
    <w:rsid w:val="00E843ED"/>
    <w:rsid w:val="00E84CC2"/>
    <w:rsid w:val="00E8530B"/>
    <w:rsid w:val="00E85B44"/>
    <w:rsid w:val="00E864BB"/>
    <w:rsid w:val="00E87FE3"/>
    <w:rsid w:val="00E902B0"/>
    <w:rsid w:val="00E902E8"/>
    <w:rsid w:val="00E9081A"/>
    <w:rsid w:val="00E91AB0"/>
    <w:rsid w:val="00E91D7D"/>
    <w:rsid w:val="00E9296B"/>
    <w:rsid w:val="00E92BE5"/>
    <w:rsid w:val="00E930F1"/>
    <w:rsid w:val="00E935D0"/>
    <w:rsid w:val="00E93B8D"/>
    <w:rsid w:val="00E93FBE"/>
    <w:rsid w:val="00E94055"/>
    <w:rsid w:val="00E95B36"/>
    <w:rsid w:val="00E95D0A"/>
    <w:rsid w:val="00E96533"/>
    <w:rsid w:val="00E967CA"/>
    <w:rsid w:val="00E968DE"/>
    <w:rsid w:val="00E9740D"/>
    <w:rsid w:val="00E97A05"/>
    <w:rsid w:val="00E97C19"/>
    <w:rsid w:val="00EA00E4"/>
    <w:rsid w:val="00EA082B"/>
    <w:rsid w:val="00EA0D88"/>
    <w:rsid w:val="00EA0F7B"/>
    <w:rsid w:val="00EA0FEF"/>
    <w:rsid w:val="00EA1098"/>
    <w:rsid w:val="00EA1243"/>
    <w:rsid w:val="00EA1ED2"/>
    <w:rsid w:val="00EA23AC"/>
    <w:rsid w:val="00EA2693"/>
    <w:rsid w:val="00EA273A"/>
    <w:rsid w:val="00EA2952"/>
    <w:rsid w:val="00EA2A01"/>
    <w:rsid w:val="00EA345A"/>
    <w:rsid w:val="00EA3614"/>
    <w:rsid w:val="00EA398F"/>
    <w:rsid w:val="00EA3F7B"/>
    <w:rsid w:val="00EA404B"/>
    <w:rsid w:val="00EA40E0"/>
    <w:rsid w:val="00EA67BB"/>
    <w:rsid w:val="00EA681A"/>
    <w:rsid w:val="00EA7866"/>
    <w:rsid w:val="00EA7C3D"/>
    <w:rsid w:val="00EB0314"/>
    <w:rsid w:val="00EB085E"/>
    <w:rsid w:val="00EB14C8"/>
    <w:rsid w:val="00EB2DC5"/>
    <w:rsid w:val="00EB30AA"/>
    <w:rsid w:val="00EB45F4"/>
    <w:rsid w:val="00EB4B0B"/>
    <w:rsid w:val="00EB4D4C"/>
    <w:rsid w:val="00EB505C"/>
    <w:rsid w:val="00EB525D"/>
    <w:rsid w:val="00EB6001"/>
    <w:rsid w:val="00EB6878"/>
    <w:rsid w:val="00EB72D5"/>
    <w:rsid w:val="00EB7A2C"/>
    <w:rsid w:val="00EC01FA"/>
    <w:rsid w:val="00EC06EB"/>
    <w:rsid w:val="00EC1348"/>
    <w:rsid w:val="00EC1E0E"/>
    <w:rsid w:val="00EC21FD"/>
    <w:rsid w:val="00EC236D"/>
    <w:rsid w:val="00EC3294"/>
    <w:rsid w:val="00EC3363"/>
    <w:rsid w:val="00EC38A3"/>
    <w:rsid w:val="00EC3D8F"/>
    <w:rsid w:val="00EC43FE"/>
    <w:rsid w:val="00EC468A"/>
    <w:rsid w:val="00EC55A8"/>
    <w:rsid w:val="00EC595D"/>
    <w:rsid w:val="00EC67AD"/>
    <w:rsid w:val="00EC6B16"/>
    <w:rsid w:val="00EC71AA"/>
    <w:rsid w:val="00EC7926"/>
    <w:rsid w:val="00EC79B2"/>
    <w:rsid w:val="00EC7C34"/>
    <w:rsid w:val="00ED036C"/>
    <w:rsid w:val="00ED04D5"/>
    <w:rsid w:val="00ED05C3"/>
    <w:rsid w:val="00ED11EC"/>
    <w:rsid w:val="00ED1265"/>
    <w:rsid w:val="00ED1C19"/>
    <w:rsid w:val="00ED2A35"/>
    <w:rsid w:val="00ED2E38"/>
    <w:rsid w:val="00ED3091"/>
    <w:rsid w:val="00ED322B"/>
    <w:rsid w:val="00ED36B9"/>
    <w:rsid w:val="00ED4152"/>
    <w:rsid w:val="00ED4417"/>
    <w:rsid w:val="00ED476F"/>
    <w:rsid w:val="00ED562C"/>
    <w:rsid w:val="00ED594D"/>
    <w:rsid w:val="00ED5A20"/>
    <w:rsid w:val="00ED6B46"/>
    <w:rsid w:val="00ED6BE2"/>
    <w:rsid w:val="00ED74D1"/>
    <w:rsid w:val="00ED75F9"/>
    <w:rsid w:val="00ED77BF"/>
    <w:rsid w:val="00ED7AB8"/>
    <w:rsid w:val="00EE008F"/>
    <w:rsid w:val="00EE055A"/>
    <w:rsid w:val="00EE0F89"/>
    <w:rsid w:val="00EE12E5"/>
    <w:rsid w:val="00EE1447"/>
    <w:rsid w:val="00EE162B"/>
    <w:rsid w:val="00EE1776"/>
    <w:rsid w:val="00EE1781"/>
    <w:rsid w:val="00EE1797"/>
    <w:rsid w:val="00EE1BF1"/>
    <w:rsid w:val="00EE26B9"/>
    <w:rsid w:val="00EE2C2E"/>
    <w:rsid w:val="00EE308F"/>
    <w:rsid w:val="00EE352B"/>
    <w:rsid w:val="00EE3DEA"/>
    <w:rsid w:val="00EE4054"/>
    <w:rsid w:val="00EE44A5"/>
    <w:rsid w:val="00EE4562"/>
    <w:rsid w:val="00EE4864"/>
    <w:rsid w:val="00EE49E0"/>
    <w:rsid w:val="00EE4FAE"/>
    <w:rsid w:val="00EE50E2"/>
    <w:rsid w:val="00EE52A7"/>
    <w:rsid w:val="00EE59DA"/>
    <w:rsid w:val="00EE64FA"/>
    <w:rsid w:val="00EE68CF"/>
    <w:rsid w:val="00EE7564"/>
    <w:rsid w:val="00EE768F"/>
    <w:rsid w:val="00EE7744"/>
    <w:rsid w:val="00EE7A2E"/>
    <w:rsid w:val="00EE7C1C"/>
    <w:rsid w:val="00EF006B"/>
    <w:rsid w:val="00EF0111"/>
    <w:rsid w:val="00EF03E1"/>
    <w:rsid w:val="00EF0ACC"/>
    <w:rsid w:val="00EF0EC2"/>
    <w:rsid w:val="00EF145E"/>
    <w:rsid w:val="00EF2041"/>
    <w:rsid w:val="00EF2BBB"/>
    <w:rsid w:val="00EF2C76"/>
    <w:rsid w:val="00EF2C88"/>
    <w:rsid w:val="00EF306B"/>
    <w:rsid w:val="00EF3FFB"/>
    <w:rsid w:val="00EF4587"/>
    <w:rsid w:val="00EF58F0"/>
    <w:rsid w:val="00EF5B53"/>
    <w:rsid w:val="00EF5F3B"/>
    <w:rsid w:val="00EF645C"/>
    <w:rsid w:val="00EF6CBF"/>
    <w:rsid w:val="00EF7900"/>
    <w:rsid w:val="00EF7C86"/>
    <w:rsid w:val="00F0082D"/>
    <w:rsid w:val="00F0122E"/>
    <w:rsid w:val="00F015AB"/>
    <w:rsid w:val="00F016E0"/>
    <w:rsid w:val="00F017FD"/>
    <w:rsid w:val="00F018F9"/>
    <w:rsid w:val="00F02193"/>
    <w:rsid w:val="00F02605"/>
    <w:rsid w:val="00F0294F"/>
    <w:rsid w:val="00F0315D"/>
    <w:rsid w:val="00F03449"/>
    <w:rsid w:val="00F03C23"/>
    <w:rsid w:val="00F045E0"/>
    <w:rsid w:val="00F049CC"/>
    <w:rsid w:val="00F049D1"/>
    <w:rsid w:val="00F0572B"/>
    <w:rsid w:val="00F06160"/>
    <w:rsid w:val="00F07C90"/>
    <w:rsid w:val="00F07E7B"/>
    <w:rsid w:val="00F102AD"/>
    <w:rsid w:val="00F10424"/>
    <w:rsid w:val="00F10516"/>
    <w:rsid w:val="00F10B90"/>
    <w:rsid w:val="00F117AC"/>
    <w:rsid w:val="00F117C6"/>
    <w:rsid w:val="00F122A1"/>
    <w:rsid w:val="00F12DF3"/>
    <w:rsid w:val="00F12E4E"/>
    <w:rsid w:val="00F13ECE"/>
    <w:rsid w:val="00F14ACD"/>
    <w:rsid w:val="00F14C99"/>
    <w:rsid w:val="00F155F2"/>
    <w:rsid w:val="00F1569D"/>
    <w:rsid w:val="00F16290"/>
    <w:rsid w:val="00F16503"/>
    <w:rsid w:val="00F16F52"/>
    <w:rsid w:val="00F16F8E"/>
    <w:rsid w:val="00F17AB4"/>
    <w:rsid w:val="00F17F0F"/>
    <w:rsid w:val="00F20279"/>
    <w:rsid w:val="00F206C5"/>
    <w:rsid w:val="00F20F8A"/>
    <w:rsid w:val="00F215FC"/>
    <w:rsid w:val="00F2175C"/>
    <w:rsid w:val="00F2179C"/>
    <w:rsid w:val="00F225F0"/>
    <w:rsid w:val="00F240C8"/>
    <w:rsid w:val="00F2453B"/>
    <w:rsid w:val="00F24B9D"/>
    <w:rsid w:val="00F25A4E"/>
    <w:rsid w:val="00F25BE5"/>
    <w:rsid w:val="00F26364"/>
    <w:rsid w:val="00F2648C"/>
    <w:rsid w:val="00F27F58"/>
    <w:rsid w:val="00F30285"/>
    <w:rsid w:val="00F30334"/>
    <w:rsid w:val="00F304A4"/>
    <w:rsid w:val="00F3162A"/>
    <w:rsid w:val="00F31E87"/>
    <w:rsid w:val="00F32B58"/>
    <w:rsid w:val="00F32E4C"/>
    <w:rsid w:val="00F3325D"/>
    <w:rsid w:val="00F33AC1"/>
    <w:rsid w:val="00F33B40"/>
    <w:rsid w:val="00F33DB8"/>
    <w:rsid w:val="00F33DC4"/>
    <w:rsid w:val="00F34696"/>
    <w:rsid w:val="00F3490F"/>
    <w:rsid w:val="00F34B9E"/>
    <w:rsid w:val="00F34EF9"/>
    <w:rsid w:val="00F35282"/>
    <w:rsid w:val="00F363F3"/>
    <w:rsid w:val="00F3679A"/>
    <w:rsid w:val="00F36DB3"/>
    <w:rsid w:val="00F4006D"/>
    <w:rsid w:val="00F40CE8"/>
    <w:rsid w:val="00F40E4F"/>
    <w:rsid w:val="00F417CB"/>
    <w:rsid w:val="00F41DE5"/>
    <w:rsid w:val="00F42536"/>
    <w:rsid w:val="00F42D1F"/>
    <w:rsid w:val="00F42E6F"/>
    <w:rsid w:val="00F43174"/>
    <w:rsid w:val="00F438BE"/>
    <w:rsid w:val="00F439B6"/>
    <w:rsid w:val="00F44471"/>
    <w:rsid w:val="00F444AC"/>
    <w:rsid w:val="00F4453F"/>
    <w:rsid w:val="00F4459D"/>
    <w:rsid w:val="00F4498D"/>
    <w:rsid w:val="00F469D3"/>
    <w:rsid w:val="00F46DA1"/>
    <w:rsid w:val="00F500CE"/>
    <w:rsid w:val="00F5033D"/>
    <w:rsid w:val="00F50A52"/>
    <w:rsid w:val="00F50BCB"/>
    <w:rsid w:val="00F50CE9"/>
    <w:rsid w:val="00F51AE0"/>
    <w:rsid w:val="00F51CA9"/>
    <w:rsid w:val="00F51D7F"/>
    <w:rsid w:val="00F52491"/>
    <w:rsid w:val="00F529AE"/>
    <w:rsid w:val="00F53137"/>
    <w:rsid w:val="00F53181"/>
    <w:rsid w:val="00F5320F"/>
    <w:rsid w:val="00F5365A"/>
    <w:rsid w:val="00F5451E"/>
    <w:rsid w:val="00F54624"/>
    <w:rsid w:val="00F54FA7"/>
    <w:rsid w:val="00F5567D"/>
    <w:rsid w:val="00F557DC"/>
    <w:rsid w:val="00F55DF0"/>
    <w:rsid w:val="00F55F92"/>
    <w:rsid w:val="00F5615E"/>
    <w:rsid w:val="00F562B8"/>
    <w:rsid w:val="00F57BED"/>
    <w:rsid w:val="00F60198"/>
    <w:rsid w:val="00F604B8"/>
    <w:rsid w:val="00F61384"/>
    <w:rsid w:val="00F617B2"/>
    <w:rsid w:val="00F618A9"/>
    <w:rsid w:val="00F618C4"/>
    <w:rsid w:val="00F622F1"/>
    <w:rsid w:val="00F63632"/>
    <w:rsid w:val="00F6365A"/>
    <w:rsid w:val="00F64338"/>
    <w:rsid w:val="00F64599"/>
    <w:rsid w:val="00F64765"/>
    <w:rsid w:val="00F65B18"/>
    <w:rsid w:val="00F661BE"/>
    <w:rsid w:val="00F669CD"/>
    <w:rsid w:val="00F66D6B"/>
    <w:rsid w:val="00F66E25"/>
    <w:rsid w:val="00F66F95"/>
    <w:rsid w:val="00F66FF3"/>
    <w:rsid w:val="00F67613"/>
    <w:rsid w:val="00F67DBA"/>
    <w:rsid w:val="00F701B2"/>
    <w:rsid w:val="00F70E8E"/>
    <w:rsid w:val="00F714B1"/>
    <w:rsid w:val="00F71989"/>
    <w:rsid w:val="00F71B51"/>
    <w:rsid w:val="00F72634"/>
    <w:rsid w:val="00F72E82"/>
    <w:rsid w:val="00F737DB"/>
    <w:rsid w:val="00F73D1C"/>
    <w:rsid w:val="00F7485B"/>
    <w:rsid w:val="00F751A2"/>
    <w:rsid w:val="00F759E2"/>
    <w:rsid w:val="00F7613A"/>
    <w:rsid w:val="00F765BC"/>
    <w:rsid w:val="00F76804"/>
    <w:rsid w:val="00F77105"/>
    <w:rsid w:val="00F77A24"/>
    <w:rsid w:val="00F81308"/>
    <w:rsid w:val="00F8149F"/>
    <w:rsid w:val="00F81962"/>
    <w:rsid w:val="00F81F99"/>
    <w:rsid w:val="00F81FDA"/>
    <w:rsid w:val="00F8209F"/>
    <w:rsid w:val="00F82445"/>
    <w:rsid w:val="00F82746"/>
    <w:rsid w:val="00F836F9"/>
    <w:rsid w:val="00F83F0B"/>
    <w:rsid w:val="00F8411A"/>
    <w:rsid w:val="00F845D7"/>
    <w:rsid w:val="00F846DD"/>
    <w:rsid w:val="00F84814"/>
    <w:rsid w:val="00F85369"/>
    <w:rsid w:val="00F856BE"/>
    <w:rsid w:val="00F860AB"/>
    <w:rsid w:val="00F867D4"/>
    <w:rsid w:val="00F86927"/>
    <w:rsid w:val="00F86C7C"/>
    <w:rsid w:val="00F875B5"/>
    <w:rsid w:val="00F879DC"/>
    <w:rsid w:val="00F87BBD"/>
    <w:rsid w:val="00F87E2B"/>
    <w:rsid w:val="00F90C2C"/>
    <w:rsid w:val="00F91C6A"/>
    <w:rsid w:val="00F92279"/>
    <w:rsid w:val="00F93405"/>
    <w:rsid w:val="00F9349D"/>
    <w:rsid w:val="00F93ED4"/>
    <w:rsid w:val="00F943D3"/>
    <w:rsid w:val="00F946FD"/>
    <w:rsid w:val="00F9490D"/>
    <w:rsid w:val="00F94D3E"/>
    <w:rsid w:val="00F953F6"/>
    <w:rsid w:val="00F95450"/>
    <w:rsid w:val="00F95D84"/>
    <w:rsid w:val="00F95F09"/>
    <w:rsid w:val="00F96018"/>
    <w:rsid w:val="00F9632F"/>
    <w:rsid w:val="00F97B80"/>
    <w:rsid w:val="00F97EF7"/>
    <w:rsid w:val="00FA0981"/>
    <w:rsid w:val="00FA0E27"/>
    <w:rsid w:val="00FA1385"/>
    <w:rsid w:val="00FA20DF"/>
    <w:rsid w:val="00FA22B9"/>
    <w:rsid w:val="00FA3AD7"/>
    <w:rsid w:val="00FA4821"/>
    <w:rsid w:val="00FA4E6D"/>
    <w:rsid w:val="00FA557F"/>
    <w:rsid w:val="00FA6527"/>
    <w:rsid w:val="00FA6995"/>
    <w:rsid w:val="00FA72BA"/>
    <w:rsid w:val="00FA73AD"/>
    <w:rsid w:val="00FA7983"/>
    <w:rsid w:val="00FA7D9E"/>
    <w:rsid w:val="00FA7F2E"/>
    <w:rsid w:val="00FB09D9"/>
    <w:rsid w:val="00FB09EB"/>
    <w:rsid w:val="00FB1BF5"/>
    <w:rsid w:val="00FB21F7"/>
    <w:rsid w:val="00FB2CF5"/>
    <w:rsid w:val="00FB342D"/>
    <w:rsid w:val="00FB39A0"/>
    <w:rsid w:val="00FB3FB8"/>
    <w:rsid w:val="00FB488C"/>
    <w:rsid w:val="00FB49C8"/>
    <w:rsid w:val="00FB4D21"/>
    <w:rsid w:val="00FB5B6A"/>
    <w:rsid w:val="00FB5BDE"/>
    <w:rsid w:val="00FB62C1"/>
    <w:rsid w:val="00FB6802"/>
    <w:rsid w:val="00FB744C"/>
    <w:rsid w:val="00FB762B"/>
    <w:rsid w:val="00FB7843"/>
    <w:rsid w:val="00FB7873"/>
    <w:rsid w:val="00FB7B24"/>
    <w:rsid w:val="00FB7D33"/>
    <w:rsid w:val="00FC03A8"/>
    <w:rsid w:val="00FC0473"/>
    <w:rsid w:val="00FC0C42"/>
    <w:rsid w:val="00FC0C58"/>
    <w:rsid w:val="00FC2185"/>
    <w:rsid w:val="00FC30DB"/>
    <w:rsid w:val="00FC34DA"/>
    <w:rsid w:val="00FC389B"/>
    <w:rsid w:val="00FC3F6F"/>
    <w:rsid w:val="00FC4A98"/>
    <w:rsid w:val="00FC5555"/>
    <w:rsid w:val="00FC5A45"/>
    <w:rsid w:val="00FC5FFE"/>
    <w:rsid w:val="00FC6ADA"/>
    <w:rsid w:val="00FC6AF6"/>
    <w:rsid w:val="00FC6F6B"/>
    <w:rsid w:val="00FC70C0"/>
    <w:rsid w:val="00FC71B9"/>
    <w:rsid w:val="00FC724B"/>
    <w:rsid w:val="00FC7B6E"/>
    <w:rsid w:val="00FD0BD5"/>
    <w:rsid w:val="00FD1048"/>
    <w:rsid w:val="00FD2232"/>
    <w:rsid w:val="00FD26EE"/>
    <w:rsid w:val="00FD2FB8"/>
    <w:rsid w:val="00FD3AC8"/>
    <w:rsid w:val="00FD3F68"/>
    <w:rsid w:val="00FD4A4A"/>
    <w:rsid w:val="00FD4E92"/>
    <w:rsid w:val="00FD52D8"/>
    <w:rsid w:val="00FD630F"/>
    <w:rsid w:val="00FD6503"/>
    <w:rsid w:val="00FD6638"/>
    <w:rsid w:val="00FD67A9"/>
    <w:rsid w:val="00FD6882"/>
    <w:rsid w:val="00FD741C"/>
    <w:rsid w:val="00FD78D8"/>
    <w:rsid w:val="00FD7D64"/>
    <w:rsid w:val="00FE091E"/>
    <w:rsid w:val="00FE0CF1"/>
    <w:rsid w:val="00FE1041"/>
    <w:rsid w:val="00FE10B4"/>
    <w:rsid w:val="00FE147A"/>
    <w:rsid w:val="00FE1F14"/>
    <w:rsid w:val="00FE3864"/>
    <w:rsid w:val="00FE4B68"/>
    <w:rsid w:val="00FE4DA0"/>
    <w:rsid w:val="00FE54CE"/>
    <w:rsid w:val="00FE54EB"/>
    <w:rsid w:val="00FE5DE9"/>
    <w:rsid w:val="00FE606F"/>
    <w:rsid w:val="00FE65C8"/>
    <w:rsid w:val="00FE68CE"/>
    <w:rsid w:val="00FE6B9C"/>
    <w:rsid w:val="00FE6D4B"/>
    <w:rsid w:val="00FE7D3F"/>
    <w:rsid w:val="00FE7DF3"/>
    <w:rsid w:val="00FF05A0"/>
    <w:rsid w:val="00FF16F2"/>
    <w:rsid w:val="00FF1B6E"/>
    <w:rsid w:val="00FF1CE3"/>
    <w:rsid w:val="00FF2258"/>
    <w:rsid w:val="00FF283B"/>
    <w:rsid w:val="00FF2AAC"/>
    <w:rsid w:val="00FF2C8E"/>
    <w:rsid w:val="00FF4651"/>
    <w:rsid w:val="00FF533E"/>
    <w:rsid w:val="343126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71ED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5D779D" w:themeColor="accent3"/>
      <w:sz w:val="44"/>
    </w:rPr>
  </w:style>
  <w:style w:type="paragraph" w:styleId="Heading2">
    <w:name w:val="heading 2"/>
    <w:basedOn w:val="HeadingBase"/>
    <w:next w:val="Normal"/>
    <w:link w:val="Heading2Char"/>
    <w:qFormat/>
    <w:rsid w:val="00386297"/>
    <w:pPr>
      <w:spacing w:before="360" w:line="460" w:lineRule="exact"/>
      <w:outlineLvl w:val="1"/>
    </w:pPr>
    <w:rPr>
      <w:bCs w:val="0"/>
      <w:iCs/>
      <w:color w:val="2C384A" w:themeColor="accent1"/>
      <w:sz w:val="36"/>
      <w:szCs w:val="28"/>
    </w:rPr>
  </w:style>
  <w:style w:type="paragraph" w:styleId="Heading3">
    <w:name w:val="heading 3"/>
    <w:basedOn w:val="HeadingBase"/>
    <w:next w:val="Normal"/>
    <w:link w:val="Heading3Char"/>
    <w:qFormat/>
    <w:rsid w:val="00ED5A20"/>
    <w:pPr>
      <w:spacing w:before="320" w:after="0" w:line="276" w:lineRule="auto"/>
      <w:outlineLvl w:val="2"/>
    </w:pPr>
    <w:rPr>
      <w:b/>
      <w:bCs w:val="0"/>
      <w:color w:val="4D7861" w:themeColor="accent2"/>
      <w:sz w:val="28"/>
      <w:szCs w:val="26"/>
    </w:rPr>
  </w:style>
  <w:style w:type="paragraph" w:styleId="Heading4">
    <w:name w:val="heading 4"/>
    <w:basedOn w:val="HeadingBase"/>
    <w:next w:val="Normal"/>
    <w:link w:val="Heading4Char"/>
    <w:qFormat/>
    <w:rsid w:val="00ED5A2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5D779D" w:themeColor="accent3"/>
      <w:kern w:val="32"/>
      <w:sz w:val="44"/>
      <w:szCs w:val="36"/>
      <w:lang w:eastAsia="en-AU"/>
    </w:rPr>
  </w:style>
  <w:style w:type="character" w:customStyle="1" w:styleId="Heading2Char">
    <w:name w:val="Heading 2 Char"/>
    <w:basedOn w:val="DefaultParagraphFont"/>
    <w:link w:val="Heading2"/>
    <w:rsid w:val="00386297"/>
    <w:rPr>
      <w:rFonts w:ascii="Calibri" w:eastAsia="Times New Roman" w:hAnsi="Calibri" w:cs="Arial"/>
      <w:iCs/>
      <w:color w:val="2C384A" w:themeColor="accent1"/>
      <w:kern w:val="32"/>
      <w:sz w:val="36"/>
      <w:szCs w:val="28"/>
      <w:lang w:eastAsia="en-AU"/>
    </w:rPr>
  </w:style>
  <w:style w:type="character" w:customStyle="1" w:styleId="Heading3Char">
    <w:name w:val="Heading 3 Char"/>
    <w:basedOn w:val="DefaultParagraphFont"/>
    <w:link w:val="Heading3"/>
    <w:rsid w:val="00ED5A20"/>
    <w:rPr>
      <w:rFonts w:ascii="Calibri" w:eastAsia="Times New Roman" w:hAnsi="Calibri" w:cs="Arial"/>
      <w:b/>
      <w:color w:val="4D7861" w:themeColor="accent2"/>
      <w:kern w:val="32"/>
      <w:sz w:val="28"/>
      <w:szCs w:val="26"/>
      <w:lang w:eastAsia="en-AU"/>
    </w:rPr>
  </w:style>
  <w:style w:type="character" w:customStyle="1" w:styleId="Heading4Char">
    <w:name w:val="Heading 4 Char"/>
    <w:basedOn w:val="DefaultParagraphFont"/>
    <w:link w:val="Heading4"/>
    <w:rsid w:val="00ED5A2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basedOn w:val="DefaultParagraphFont"/>
    <w:link w:val="Bulle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rsid w:val="00EB4B0B"/>
    <w:pPr>
      <w:keepNext/>
      <w:spacing w:before="240"/>
    </w:pPr>
    <w:rPr>
      <w:b/>
      <w:color w:val="2C384A" w:themeColor="accent1"/>
      <w:sz w:val="26"/>
      <w:szCs w:val="26"/>
    </w:rPr>
  </w:style>
  <w:style w:type="paragraph" w:customStyle="1" w:styleId="BoxText">
    <w:name w:val="Box Text"/>
    <w:basedOn w:val="Normal"/>
    <w:link w:val="BoxTextChar"/>
    <w:rsid w:val="00E349A7"/>
  </w:style>
  <w:style w:type="paragraph" w:customStyle="1" w:styleId="Bullet">
    <w:name w:val="Bullet"/>
    <w:basedOn w:val="Normal"/>
    <w:link w:val="BulletChar"/>
    <w:qFormat/>
    <w:rsid w:val="009E0CA5"/>
    <w:pPr>
      <w:numPr>
        <w:numId w:val="24"/>
      </w:numPr>
      <w:tabs>
        <w:tab w:val="left" w:pos="720"/>
      </w:tabs>
      <w:spacing w:before="0" w:line="276" w:lineRule="auto"/>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2A7A31"/>
    <w:pPr>
      <w:keepNext/>
      <w:spacing w:before="0" w:after="360"/>
    </w:pPr>
    <w:rPr>
      <w:color w:val="90B6F0"/>
      <w:sz w:val="32"/>
    </w:rPr>
  </w:style>
  <w:style w:type="paragraph" w:customStyle="1" w:styleId="Dash">
    <w:name w:val="Dash"/>
    <w:basedOn w:val="Normal"/>
    <w:link w:val="DashChar"/>
    <w:qFormat/>
    <w:rsid w:val="000E0B74"/>
    <w:pPr>
      <w:numPr>
        <w:ilvl w:val="1"/>
        <w:numId w:val="24"/>
      </w:numPr>
      <w:spacing w:before="0"/>
    </w:pPr>
  </w:style>
  <w:style w:type="paragraph" w:customStyle="1" w:styleId="DoubleDot">
    <w:name w:val="Double Dot"/>
    <w:basedOn w:val="Normal"/>
    <w:link w:val="DoubleDotChar"/>
    <w:qFormat/>
    <w:rsid w:val="000E0B74"/>
    <w:pPr>
      <w:numPr>
        <w:ilvl w:val="2"/>
        <w:numId w:val="24"/>
      </w:numPr>
      <w:spacing w:before="0"/>
    </w:pPr>
  </w:style>
  <w:style w:type="paragraph" w:customStyle="1" w:styleId="TableMainHeading">
    <w:name w:val="Table Main Heading"/>
    <w:basedOn w:val="Heading3"/>
    <w:next w:val="Normal"/>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2C384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next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EE1BF1"/>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EE1BF1"/>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CB28E9"/>
    <w:pPr>
      <w:numPr>
        <w:ilvl w:val="1"/>
      </w:numPr>
    </w:pPr>
    <w:rPr>
      <w:rFonts w:eastAsiaTheme="majorEastAsia" w:cstheme="majorBidi"/>
      <w:iCs/>
      <w:color w:val="EEEEEE"/>
      <w:sz w:val="44"/>
      <w:szCs w:val="44"/>
    </w:rPr>
  </w:style>
  <w:style w:type="character" w:customStyle="1" w:styleId="SubtitleChar">
    <w:name w:val="Subtitle Char"/>
    <w:basedOn w:val="DefaultParagraphFont"/>
    <w:link w:val="Subtitle"/>
    <w:uiPriority w:val="11"/>
    <w:rsid w:val="00CB28E9"/>
    <w:rPr>
      <w:rFonts w:ascii="Calibri" w:eastAsiaTheme="majorEastAsia" w:hAnsi="Calibri" w:cstheme="majorBidi"/>
      <w:iCs/>
      <w:color w:val="EEEEEE"/>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2A7A31"/>
    <w:rPr>
      <w:rFonts w:ascii="Calibri" w:eastAsia="Times New Roman" w:hAnsi="Calibri" w:cs="Times New Roman"/>
      <w:color w:val="90B6F0"/>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22"/>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22"/>
      </w:numPr>
      <w:tabs>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22"/>
      </w:numPr>
      <w:tabs>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paragraph" w:styleId="CommentSubject">
    <w:name w:val="annotation subject"/>
    <w:basedOn w:val="CommentText"/>
    <w:next w:val="CommentText"/>
    <w:link w:val="CommentSubjectChar"/>
    <w:uiPriority w:val="99"/>
    <w:semiHidden/>
    <w:unhideWhenUsed/>
    <w:rsid w:val="004A02C5"/>
    <w:rPr>
      <w:rFonts w:ascii="Calibri Light" w:hAnsi="Calibri Light"/>
      <w:b/>
      <w:bCs/>
    </w:rPr>
  </w:style>
  <w:style w:type="character" w:customStyle="1" w:styleId="CommentSubjectChar">
    <w:name w:val="Comment Subject Char"/>
    <w:basedOn w:val="CommentTextChar"/>
    <w:link w:val="CommentSubject"/>
    <w:uiPriority w:val="99"/>
    <w:semiHidden/>
    <w:rsid w:val="004A02C5"/>
    <w:rPr>
      <w:rFonts w:ascii="Calibri Light" w:eastAsia="Times New Roman" w:hAnsi="Calibri Light" w:cs="Times New Roman"/>
      <w:b/>
      <w:bCs/>
      <w:sz w:val="20"/>
      <w:szCs w:val="20"/>
      <w:lang w:eastAsia="en-AU"/>
    </w:rPr>
  </w:style>
  <w:style w:type="paragraph" w:styleId="Revision">
    <w:name w:val="Revision"/>
    <w:hidden/>
    <w:uiPriority w:val="99"/>
    <w:semiHidden/>
    <w:rsid w:val="000D4E6E"/>
    <w:pPr>
      <w:spacing w:after="0" w:line="240" w:lineRule="auto"/>
    </w:pPr>
    <w:rPr>
      <w:rFonts w:ascii="Calibri Light" w:eastAsia="Times New Roman" w:hAnsi="Calibri Light" w:cs="Times New Roman"/>
      <w:szCs w:val="20"/>
      <w:lang w:eastAsia="en-AU"/>
    </w:rPr>
  </w:style>
  <w:style w:type="character" w:styleId="UnresolvedMention">
    <w:name w:val="Unresolved Mention"/>
    <w:basedOn w:val="DefaultParagraphFont"/>
    <w:uiPriority w:val="99"/>
    <w:semiHidden/>
    <w:unhideWhenUsed/>
    <w:rsid w:val="000A7C7A"/>
    <w:rPr>
      <w:color w:val="605E5C"/>
      <w:shd w:val="clear" w:color="auto" w:fill="E1DFDD"/>
    </w:rPr>
  </w:style>
  <w:style w:type="character" w:styleId="Mention">
    <w:name w:val="Mention"/>
    <w:basedOn w:val="DefaultParagraphFont"/>
    <w:uiPriority w:val="99"/>
    <w:unhideWhenUsed/>
    <w:rsid w:val="00BD508F"/>
    <w:rPr>
      <w:color w:val="2B579A"/>
      <w:shd w:val="clear" w:color="auto" w:fill="E1DFDD"/>
    </w:rPr>
  </w:style>
  <w:style w:type="character" w:styleId="FollowedHyperlink">
    <w:name w:val="FollowedHyperlink"/>
    <w:basedOn w:val="DefaultParagraphFont"/>
    <w:uiPriority w:val="99"/>
    <w:semiHidden/>
    <w:unhideWhenUsed/>
    <w:rsid w:val="00DA2448"/>
    <w:rPr>
      <w:color w:val="844D9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474718">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61868843">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69439506">
      <w:bodyDiv w:val="1"/>
      <w:marLeft w:val="0"/>
      <w:marRight w:val="0"/>
      <w:marTop w:val="0"/>
      <w:marBottom w:val="0"/>
      <w:divBdr>
        <w:top w:val="none" w:sz="0" w:space="0" w:color="auto"/>
        <w:left w:val="none" w:sz="0" w:space="0" w:color="auto"/>
        <w:bottom w:val="none" w:sz="0" w:space="0" w:color="auto"/>
        <w:right w:val="none" w:sz="0" w:space="0" w:color="auto"/>
      </w:divBdr>
    </w:div>
    <w:div w:id="101850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dia@treasury.gov.au" TargetMode="External"/><Relationship Id="rId18" Type="http://schemas.openxmlformats.org/officeDocument/2006/relationships/header" Target="header3.xml"/><Relationship Id="rId26" Type="http://schemas.openxmlformats.org/officeDocument/2006/relationships/hyperlink" Target="https://treasury.gov.au/sites/default/files/2026-03/p2026-742432-AOFM-review-TORs.pdf" TargetMode="Externa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eader" Target="header8.xml"/><Relationship Id="rId7" Type="http://schemas.openxmlformats.org/officeDocument/2006/relationships/image" Target="media/image2.png"/><Relationship Id="rId12" Type="http://schemas.openxmlformats.org/officeDocument/2006/relationships/hyperlink" Target="https://www.pmc.gov.au/honours-and-symbols/commonwealth-coat-arms"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www.aofm.gov.au/sites/default/files/2024-03-18/Green%20Bond%20Framework_WEB_2024_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3.0/au/deed.en" TargetMode="Externa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6.png"/><Relationship Id="rId36" Type="http://schemas.openxmlformats.org/officeDocument/2006/relationships/footer" Target="footer8.xml"/><Relationship Id="rId10" Type="http://schemas.openxmlformats.org/officeDocument/2006/relationships/image" Target="media/image3.wmf"/><Relationship Id="rId19" Type="http://schemas.openxmlformats.org/officeDocument/2006/relationships/footer" Target="footer3.xml"/><Relationship Id="rId31"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hyperlink" Target="http://creativecommons.org/licenses/by/3.0/au/legalcode" TargetMode="Externa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footer" Target="footer7.xml"/><Relationship Id="rId8" Type="http://schemas.openxmlformats.org/officeDocument/2006/relationships/hyperlink" Target="http://creativecommons.org/licenses/by/3.0/au/deed.en" TargetMode="External"/><Relationship Id="rId3"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aofm.gov.au/sites/default/files/2025-10-02/AOFM%20Annual%20Report%202024-25%20-%20web.pdf" TargetMode="External"/><Relationship Id="rId13" Type="http://schemas.openxmlformats.org/officeDocument/2006/relationships/hyperlink" Target="https://www.aofm.gov.au/investors/wholesale-investors/investor-insights/aofm-buybacks" TargetMode="External"/><Relationship Id="rId18" Type="http://schemas.openxmlformats.org/officeDocument/2006/relationships/hyperlink" Target="https://debtmanagement.treasury.govt.nz/" TargetMode="External"/><Relationship Id="rId26" Type="http://schemas.openxmlformats.org/officeDocument/2006/relationships/hyperlink" Target="https://www.safa.sa.gov.au/__data/assets/pdf_file/0011/1209809/2024-25-South-Australian-Government-Financing-Authority-Annual-Report.pdf" TargetMode="External"/><Relationship Id="rId3" Type="http://schemas.openxmlformats.org/officeDocument/2006/relationships/hyperlink" Target="https://www.aofm.gov.au/sites/default/files/2025-10-02/AOFM%20Annual%20Report%202024-25%20-%20web.pdf" TargetMode="External"/><Relationship Id="rId21" Type="http://schemas.openxmlformats.org/officeDocument/2006/relationships/hyperlink" Target="https://tcorp.nsw.gov.au/wp-content/uploads/2025/12/TCorp_Annual_Report_2025.pdf" TargetMode="External"/><Relationship Id="rId7" Type="http://schemas.openxmlformats.org/officeDocument/2006/relationships/hyperlink" Target="https://www.aofm.gov.au/data-hub" TargetMode="External"/><Relationship Id="rId12" Type="http://schemas.openxmlformats.org/officeDocument/2006/relationships/hyperlink" Target="https://www.aofm.gov.au/investors/wholesale-investors/investor-insights/joint-lead-managers-syndications" TargetMode="External"/><Relationship Id="rId17" Type="http://schemas.openxmlformats.org/officeDocument/2006/relationships/hyperlink" Target="https://www.aofm.gov.au/" TargetMode="External"/><Relationship Id="rId25" Type="http://schemas.openxmlformats.org/officeDocument/2006/relationships/hyperlink" Target="https://irp.cdn-website.com/34e29634/files/uploaded/TASCORP+AnnualReport_2024-25_Pages_Interactive_Final.pdf" TargetMode="External"/><Relationship Id="rId2" Type="http://schemas.openxmlformats.org/officeDocument/2006/relationships/hyperlink" Target="https://www.aofm.gov.au/sites/default/files/2025-10-02/AOFM%20Annual%20Report%202024-25%20-%20web.pdf" TargetMode="External"/><Relationship Id="rId16" Type="http://schemas.openxmlformats.org/officeDocument/2006/relationships/hyperlink" Target="https://www.aofm.gov.au/about/compliance-reports/audit-and-risk-committee-charter" TargetMode="External"/><Relationship Id="rId20" Type="http://schemas.openxmlformats.org/officeDocument/2006/relationships/hyperlink" Target="https://www.dmo.gov.uk/" TargetMode="External"/><Relationship Id="rId1" Type="http://schemas.openxmlformats.org/officeDocument/2006/relationships/hyperlink" Target="https://www.anao.gov.au/work/performance-audit/aofm-management-the-australian-government-debt" TargetMode="External"/><Relationship Id="rId6" Type="http://schemas.openxmlformats.org/officeDocument/2006/relationships/hyperlink" Target="https://www.aofm.gov.au/sites/default/files/2025-10-02/AOFM%20Annual%20Report%202024-25%20-%20web.pdf" TargetMode="External"/><Relationship Id="rId11" Type="http://schemas.openxmlformats.org/officeDocument/2006/relationships/hyperlink" Target="https://www.aofm.gov.au/sites/default/files/2025-10-02/AOFM%20Annual%20Report%202024-25%20-%20web.pdf" TargetMode="External"/><Relationship Id="rId24" Type="http://schemas.openxmlformats.org/officeDocument/2006/relationships/hyperlink" Target="https://www.watc.wa.gov.au/media/f0anqyyv/watc-annual-report-2025.pdf" TargetMode="External"/><Relationship Id="rId5" Type="http://schemas.openxmlformats.org/officeDocument/2006/relationships/hyperlink" Target="https://www.anao.gov.au/work/performance-audit/aofm-management-the-australian-government-debt" TargetMode="External"/><Relationship Id="rId15" Type="http://schemas.openxmlformats.org/officeDocument/2006/relationships/hyperlink" Target="https://www.aofm.gov.au/data-hub" TargetMode="External"/><Relationship Id="rId23" Type="http://schemas.openxmlformats.org/officeDocument/2006/relationships/hyperlink" Target="https://www.qtc.com.au/wp-content/uploads/2025/09/QTC-Annual-Report-2024%E2%80%9325-as-at-12-Sept-2025-web-locked.pdf" TargetMode="External"/><Relationship Id="rId10" Type="http://schemas.openxmlformats.org/officeDocument/2006/relationships/hyperlink" Target="https://www.aofm.gov.au/data-hub" TargetMode="External"/><Relationship Id="rId19" Type="http://schemas.openxmlformats.org/officeDocument/2006/relationships/hyperlink" Target="https://www.canada.ca/en/department-finance/programs/financial-sector-policy/securities/debt-program.html" TargetMode="External"/><Relationship Id="rId4" Type="http://schemas.openxmlformats.org/officeDocument/2006/relationships/hyperlink" Target="https://www.aofm.gov.au/program/forthcoming-transactions" TargetMode="External"/><Relationship Id="rId9" Type="http://schemas.openxmlformats.org/officeDocument/2006/relationships/hyperlink" Target="https://www.aofm.gov.au/data-hub" TargetMode="External"/><Relationship Id="rId14" Type="http://schemas.openxmlformats.org/officeDocument/2006/relationships/hyperlink" Target="https://www.aofm.gov.au/program/forthcoming-transactions/repurchase-september-2026-treasury-bond" TargetMode="External"/><Relationship Id="rId22" Type="http://schemas.openxmlformats.org/officeDocument/2006/relationships/hyperlink" Target="https://www.tcv.vic.gov.au/images/Annual_Reports/2024-25_TCV_Full_Annual_Report.pdf"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xMode val="edge"/>
          <c:yMode val="edge"/>
          <c:x val="9.1039426523297495E-3"/>
          <c:y val="4.9402777777777775E-2"/>
          <c:w val="0.98367697132616483"/>
          <c:h val="0.94555753968253964"/>
        </c:manualLayout>
      </c:layout>
      <c:barChart>
        <c:barDir val="col"/>
        <c:grouping val="clustered"/>
        <c:varyColors val="0"/>
        <c:ser>
          <c:idx val="0"/>
          <c:order val="0"/>
          <c:tx>
            <c:strRef>
              <c:f>'Cash v Tnotes'!$D$2</c:f>
              <c:strCache>
                <c:ptCount val="1"/>
                <c:pt idx="0">
                  <c:v>TNotes </c:v>
                </c:pt>
              </c:strCache>
            </c:strRef>
          </c:tx>
          <c:spPr>
            <a:solidFill>
              <a:schemeClr val="accent1"/>
            </a:solidFill>
            <a:ln>
              <a:noFill/>
            </a:ln>
            <a:effectLst/>
          </c:spPr>
          <c:invertIfNegative val="0"/>
          <c:cat>
            <c:numRef>
              <c:f>'Cash v Tnotes'!$C$3:$C$831</c:f>
              <c:numCache>
                <c:formatCode>[$-C09]dd\-mmm\-yy;@</c:formatCode>
                <c:ptCount val="829"/>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45615</c:v>
                </c:pt>
                <c:pt idx="323">
                  <c:v>45616</c:v>
                </c:pt>
                <c:pt idx="324">
                  <c:v>45617</c:v>
                </c:pt>
                <c:pt idx="325">
                  <c:v>45618</c:v>
                </c:pt>
                <c:pt idx="326">
                  <c:v>45619</c:v>
                </c:pt>
                <c:pt idx="327">
                  <c:v>45620</c:v>
                </c:pt>
                <c:pt idx="328">
                  <c:v>45621</c:v>
                </c:pt>
                <c:pt idx="329">
                  <c:v>45622</c:v>
                </c:pt>
                <c:pt idx="330">
                  <c:v>45623</c:v>
                </c:pt>
                <c:pt idx="331">
                  <c:v>45624</c:v>
                </c:pt>
                <c:pt idx="332">
                  <c:v>45625</c:v>
                </c:pt>
                <c:pt idx="333">
                  <c:v>45626</c:v>
                </c:pt>
                <c:pt idx="334">
                  <c:v>45627</c:v>
                </c:pt>
                <c:pt idx="335">
                  <c:v>45628</c:v>
                </c:pt>
                <c:pt idx="336">
                  <c:v>45629</c:v>
                </c:pt>
                <c:pt idx="337">
                  <c:v>45630</c:v>
                </c:pt>
                <c:pt idx="338">
                  <c:v>45631</c:v>
                </c:pt>
                <c:pt idx="339">
                  <c:v>45632</c:v>
                </c:pt>
                <c:pt idx="340">
                  <c:v>45633</c:v>
                </c:pt>
                <c:pt idx="341">
                  <c:v>45634</c:v>
                </c:pt>
                <c:pt idx="342">
                  <c:v>45635</c:v>
                </c:pt>
                <c:pt idx="343">
                  <c:v>45636</c:v>
                </c:pt>
                <c:pt idx="344">
                  <c:v>45637</c:v>
                </c:pt>
                <c:pt idx="345">
                  <c:v>45638</c:v>
                </c:pt>
                <c:pt idx="346">
                  <c:v>45639</c:v>
                </c:pt>
                <c:pt idx="347">
                  <c:v>45640</c:v>
                </c:pt>
                <c:pt idx="348">
                  <c:v>45641</c:v>
                </c:pt>
                <c:pt idx="349">
                  <c:v>45642</c:v>
                </c:pt>
                <c:pt idx="350">
                  <c:v>45643</c:v>
                </c:pt>
                <c:pt idx="351">
                  <c:v>45644</c:v>
                </c:pt>
                <c:pt idx="352">
                  <c:v>45645</c:v>
                </c:pt>
                <c:pt idx="353">
                  <c:v>45646</c:v>
                </c:pt>
                <c:pt idx="354">
                  <c:v>45647</c:v>
                </c:pt>
                <c:pt idx="355">
                  <c:v>45648</c:v>
                </c:pt>
                <c:pt idx="356">
                  <c:v>45649</c:v>
                </c:pt>
                <c:pt idx="357">
                  <c:v>45650</c:v>
                </c:pt>
                <c:pt idx="358">
                  <c:v>45651</c:v>
                </c:pt>
                <c:pt idx="359">
                  <c:v>45652</c:v>
                </c:pt>
                <c:pt idx="360">
                  <c:v>45653</c:v>
                </c:pt>
                <c:pt idx="361">
                  <c:v>45654</c:v>
                </c:pt>
                <c:pt idx="362">
                  <c:v>45655</c:v>
                </c:pt>
                <c:pt idx="363">
                  <c:v>45656</c:v>
                </c:pt>
                <c:pt idx="364">
                  <c:v>45657</c:v>
                </c:pt>
                <c:pt idx="365">
                  <c:v>45658</c:v>
                </c:pt>
                <c:pt idx="366">
                  <c:v>45659</c:v>
                </c:pt>
                <c:pt idx="367">
                  <c:v>45660</c:v>
                </c:pt>
                <c:pt idx="368">
                  <c:v>45661</c:v>
                </c:pt>
                <c:pt idx="369">
                  <c:v>45662</c:v>
                </c:pt>
                <c:pt idx="370">
                  <c:v>45663</c:v>
                </c:pt>
                <c:pt idx="371">
                  <c:v>45664</c:v>
                </c:pt>
                <c:pt idx="372">
                  <c:v>45665</c:v>
                </c:pt>
                <c:pt idx="373">
                  <c:v>45666</c:v>
                </c:pt>
                <c:pt idx="374">
                  <c:v>45667</c:v>
                </c:pt>
                <c:pt idx="375">
                  <c:v>45668</c:v>
                </c:pt>
                <c:pt idx="376">
                  <c:v>45669</c:v>
                </c:pt>
                <c:pt idx="377">
                  <c:v>45670</c:v>
                </c:pt>
                <c:pt idx="378">
                  <c:v>45671</c:v>
                </c:pt>
                <c:pt idx="379">
                  <c:v>45672</c:v>
                </c:pt>
                <c:pt idx="380">
                  <c:v>45673</c:v>
                </c:pt>
                <c:pt idx="381">
                  <c:v>45674</c:v>
                </c:pt>
                <c:pt idx="382">
                  <c:v>45675</c:v>
                </c:pt>
                <c:pt idx="383">
                  <c:v>45676</c:v>
                </c:pt>
                <c:pt idx="384">
                  <c:v>45677</c:v>
                </c:pt>
                <c:pt idx="385">
                  <c:v>45678</c:v>
                </c:pt>
                <c:pt idx="386">
                  <c:v>45679</c:v>
                </c:pt>
                <c:pt idx="387">
                  <c:v>45680</c:v>
                </c:pt>
                <c:pt idx="388">
                  <c:v>45681</c:v>
                </c:pt>
                <c:pt idx="389">
                  <c:v>45682</c:v>
                </c:pt>
                <c:pt idx="390">
                  <c:v>45683</c:v>
                </c:pt>
                <c:pt idx="391">
                  <c:v>45684</c:v>
                </c:pt>
                <c:pt idx="392">
                  <c:v>45685</c:v>
                </c:pt>
                <c:pt idx="393">
                  <c:v>45686</c:v>
                </c:pt>
                <c:pt idx="394">
                  <c:v>45687</c:v>
                </c:pt>
                <c:pt idx="395">
                  <c:v>45688</c:v>
                </c:pt>
                <c:pt idx="396">
                  <c:v>45689</c:v>
                </c:pt>
                <c:pt idx="397">
                  <c:v>45690</c:v>
                </c:pt>
                <c:pt idx="398">
                  <c:v>45691</c:v>
                </c:pt>
                <c:pt idx="399">
                  <c:v>45692</c:v>
                </c:pt>
                <c:pt idx="400">
                  <c:v>45693</c:v>
                </c:pt>
                <c:pt idx="401">
                  <c:v>45694</c:v>
                </c:pt>
                <c:pt idx="402">
                  <c:v>45695</c:v>
                </c:pt>
                <c:pt idx="403">
                  <c:v>45696</c:v>
                </c:pt>
                <c:pt idx="404">
                  <c:v>45697</c:v>
                </c:pt>
                <c:pt idx="405">
                  <c:v>45698</c:v>
                </c:pt>
                <c:pt idx="406">
                  <c:v>45699</c:v>
                </c:pt>
                <c:pt idx="407">
                  <c:v>45700</c:v>
                </c:pt>
                <c:pt idx="408">
                  <c:v>45701</c:v>
                </c:pt>
                <c:pt idx="409">
                  <c:v>45702</c:v>
                </c:pt>
                <c:pt idx="410">
                  <c:v>45703</c:v>
                </c:pt>
                <c:pt idx="411">
                  <c:v>45704</c:v>
                </c:pt>
                <c:pt idx="412">
                  <c:v>45705</c:v>
                </c:pt>
                <c:pt idx="413">
                  <c:v>45706</c:v>
                </c:pt>
                <c:pt idx="414">
                  <c:v>45707</c:v>
                </c:pt>
                <c:pt idx="415">
                  <c:v>45708</c:v>
                </c:pt>
                <c:pt idx="416">
                  <c:v>45709</c:v>
                </c:pt>
                <c:pt idx="417">
                  <c:v>45710</c:v>
                </c:pt>
                <c:pt idx="418">
                  <c:v>45711</c:v>
                </c:pt>
                <c:pt idx="419">
                  <c:v>45712</c:v>
                </c:pt>
                <c:pt idx="420">
                  <c:v>45713</c:v>
                </c:pt>
                <c:pt idx="421">
                  <c:v>45714</c:v>
                </c:pt>
                <c:pt idx="422">
                  <c:v>45715</c:v>
                </c:pt>
                <c:pt idx="423">
                  <c:v>45716</c:v>
                </c:pt>
                <c:pt idx="424">
                  <c:v>45717</c:v>
                </c:pt>
                <c:pt idx="425">
                  <c:v>45718</c:v>
                </c:pt>
                <c:pt idx="426">
                  <c:v>45719</c:v>
                </c:pt>
                <c:pt idx="427">
                  <c:v>45720</c:v>
                </c:pt>
                <c:pt idx="428">
                  <c:v>45721</c:v>
                </c:pt>
                <c:pt idx="429">
                  <c:v>45722</c:v>
                </c:pt>
                <c:pt idx="430">
                  <c:v>45723</c:v>
                </c:pt>
                <c:pt idx="431">
                  <c:v>45724</c:v>
                </c:pt>
                <c:pt idx="432">
                  <c:v>45725</c:v>
                </c:pt>
                <c:pt idx="433">
                  <c:v>45726</c:v>
                </c:pt>
                <c:pt idx="434">
                  <c:v>45727</c:v>
                </c:pt>
                <c:pt idx="435">
                  <c:v>45728</c:v>
                </c:pt>
                <c:pt idx="436">
                  <c:v>45729</c:v>
                </c:pt>
                <c:pt idx="437">
                  <c:v>45730</c:v>
                </c:pt>
                <c:pt idx="438">
                  <c:v>45731</c:v>
                </c:pt>
                <c:pt idx="439">
                  <c:v>45732</c:v>
                </c:pt>
                <c:pt idx="440">
                  <c:v>45733</c:v>
                </c:pt>
                <c:pt idx="441">
                  <c:v>45734</c:v>
                </c:pt>
                <c:pt idx="442">
                  <c:v>45735</c:v>
                </c:pt>
                <c:pt idx="443">
                  <c:v>45736</c:v>
                </c:pt>
                <c:pt idx="444">
                  <c:v>45737</c:v>
                </c:pt>
                <c:pt idx="445">
                  <c:v>45738</c:v>
                </c:pt>
                <c:pt idx="446">
                  <c:v>45739</c:v>
                </c:pt>
                <c:pt idx="447">
                  <c:v>45740</c:v>
                </c:pt>
                <c:pt idx="448">
                  <c:v>45741</c:v>
                </c:pt>
                <c:pt idx="449">
                  <c:v>45742</c:v>
                </c:pt>
                <c:pt idx="450">
                  <c:v>45743</c:v>
                </c:pt>
                <c:pt idx="451">
                  <c:v>45744</c:v>
                </c:pt>
                <c:pt idx="452">
                  <c:v>45745</c:v>
                </c:pt>
                <c:pt idx="453">
                  <c:v>45746</c:v>
                </c:pt>
                <c:pt idx="454">
                  <c:v>45747</c:v>
                </c:pt>
                <c:pt idx="455">
                  <c:v>45748</c:v>
                </c:pt>
                <c:pt idx="456">
                  <c:v>45749</c:v>
                </c:pt>
                <c:pt idx="457">
                  <c:v>45750</c:v>
                </c:pt>
                <c:pt idx="458">
                  <c:v>45751</c:v>
                </c:pt>
                <c:pt idx="459">
                  <c:v>45752</c:v>
                </c:pt>
                <c:pt idx="460">
                  <c:v>45753</c:v>
                </c:pt>
                <c:pt idx="461">
                  <c:v>45754</c:v>
                </c:pt>
                <c:pt idx="462">
                  <c:v>45755</c:v>
                </c:pt>
                <c:pt idx="463">
                  <c:v>45756</c:v>
                </c:pt>
                <c:pt idx="464">
                  <c:v>45757</c:v>
                </c:pt>
                <c:pt idx="465">
                  <c:v>45758</c:v>
                </c:pt>
                <c:pt idx="466">
                  <c:v>45759</c:v>
                </c:pt>
                <c:pt idx="467">
                  <c:v>45760</c:v>
                </c:pt>
                <c:pt idx="468">
                  <c:v>45761</c:v>
                </c:pt>
                <c:pt idx="469">
                  <c:v>45762</c:v>
                </c:pt>
                <c:pt idx="470">
                  <c:v>45763</c:v>
                </c:pt>
                <c:pt idx="471">
                  <c:v>45764</c:v>
                </c:pt>
                <c:pt idx="472">
                  <c:v>45765</c:v>
                </c:pt>
                <c:pt idx="473">
                  <c:v>45766</c:v>
                </c:pt>
                <c:pt idx="474">
                  <c:v>45767</c:v>
                </c:pt>
                <c:pt idx="475">
                  <c:v>45768</c:v>
                </c:pt>
                <c:pt idx="476">
                  <c:v>45769</c:v>
                </c:pt>
                <c:pt idx="477">
                  <c:v>45770</c:v>
                </c:pt>
                <c:pt idx="478">
                  <c:v>45771</c:v>
                </c:pt>
                <c:pt idx="479">
                  <c:v>45772</c:v>
                </c:pt>
                <c:pt idx="480">
                  <c:v>45773</c:v>
                </c:pt>
                <c:pt idx="481">
                  <c:v>45774</c:v>
                </c:pt>
                <c:pt idx="482">
                  <c:v>45775</c:v>
                </c:pt>
                <c:pt idx="483">
                  <c:v>45776</c:v>
                </c:pt>
                <c:pt idx="484">
                  <c:v>45777</c:v>
                </c:pt>
                <c:pt idx="485">
                  <c:v>45778</c:v>
                </c:pt>
                <c:pt idx="486">
                  <c:v>45779</c:v>
                </c:pt>
                <c:pt idx="487">
                  <c:v>45780</c:v>
                </c:pt>
                <c:pt idx="488">
                  <c:v>45781</c:v>
                </c:pt>
                <c:pt idx="489">
                  <c:v>45782</c:v>
                </c:pt>
                <c:pt idx="490">
                  <c:v>45783</c:v>
                </c:pt>
                <c:pt idx="491">
                  <c:v>45784</c:v>
                </c:pt>
                <c:pt idx="492">
                  <c:v>45785</c:v>
                </c:pt>
                <c:pt idx="493">
                  <c:v>45786</c:v>
                </c:pt>
                <c:pt idx="494">
                  <c:v>45787</c:v>
                </c:pt>
                <c:pt idx="495">
                  <c:v>45788</c:v>
                </c:pt>
                <c:pt idx="496">
                  <c:v>45789</c:v>
                </c:pt>
                <c:pt idx="497">
                  <c:v>45790</c:v>
                </c:pt>
                <c:pt idx="498">
                  <c:v>45791</c:v>
                </c:pt>
                <c:pt idx="499">
                  <c:v>45792</c:v>
                </c:pt>
                <c:pt idx="500">
                  <c:v>45793</c:v>
                </c:pt>
                <c:pt idx="501">
                  <c:v>45794</c:v>
                </c:pt>
                <c:pt idx="502">
                  <c:v>45795</c:v>
                </c:pt>
                <c:pt idx="503">
                  <c:v>45796</c:v>
                </c:pt>
                <c:pt idx="504">
                  <c:v>45797</c:v>
                </c:pt>
                <c:pt idx="505">
                  <c:v>45798</c:v>
                </c:pt>
                <c:pt idx="506">
                  <c:v>45799</c:v>
                </c:pt>
                <c:pt idx="507">
                  <c:v>45800</c:v>
                </c:pt>
                <c:pt idx="508">
                  <c:v>45801</c:v>
                </c:pt>
                <c:pt idx="509">
                  <c:v>45802</c:v>
                </c:pt>
                <c:pt idx="510">
                  <c:v>45803</c:v>
                </c:pt>
                <c:pt idx="511">
                  <c:v>45804</c:v>
                </c:pt>
                <c:pt idx="512">
                  <c:v>45805</c:v>
                </c:pt>
                <c:pt idx="513">
                  <c:v>45806</c:v>
                </c:pt>
                <c:pt idx="514">
                  <c:v>45807</c:v>
                </c:pt>
                <c:pt idx="515">
                  <c:v>45808</c:v>
                </c:pt>
                <c:pt idx="516">
                  <c:v>45809</c:v>
                </c:pt>
                <c:pt idx="517">
                  <c:v>45810</c:v>
                </c:pt>
                <c:pt idx="518">
                  <c:v>45811</c:v>
                </c:pt>
                <c:pt idx="519">
                  <c:v>45812</c:v>
                </c:pt>
                <c:pt idx="520">
                  <c:v>45813</c:v>
                </c:pt>
                <c:pt idx="521">
                  <c:v>45814</c:v>
                </c:pt>
                <c:pt idx="522">
                  <c:v>45815</c:v>
                </c:pt>
                <c:pt idx="523">
                  <c:v>45816</c:v>
                </c:pt>
                <c:pt idx="524">
                  <c:v>45817</c:v>
                </c:pt>
                <c:pt idx="525">
                  <c:v>45818</c:v>
                </c:pt>
                <c:pt idx="526">
                  <c:v>45819</c:v>
                </c:pt>
                <c:pt idx="527">
                  <c:v>45820</c:v>
                </c:pt>
                <c:pt idx="528">
                  <c:v>45821</c:v>
                </c:pt>
                <c:pt idx="529">
                  <c:v>45822</c:v>
                </c:pt>
                <c:pt idx="530">
                  <c:v>45823</c:v>
                </c:pt>
                <c:pt idx="531">
                  <c:v>45824</c:v>
                </c:pt>
                <c:pt idx="532">
                  <c:v>45825</c:v>
                </c:pt>
                <c:pt idx="533">
                  <c:v>45826</c:v>
                </c:pt>
                <c:pt idx="534">
                  <c:v>45827</c:v>
                </c:pt>
                <c:pt idx="535">
                  <c:v>45828</c:v>
                </c:pt>
                <c:pt idx="536">
                  <c:v>45829</c:v>
                </c:pt>
                <c:pt idx="537">
                  <c:v>45830</c:v>
                </c:pt>
                <c:pt idx="538">
                  <c:v>45831</c:v>
                </c:pt>
                <c:pt idx="539">
                  <c:v>45832</c:v>
                </c:pt>
                <c:pt idx="540">
                  <c:v>45833</c:v>
                </c:pt>
                <c:pt idx="541">
                  <c:v>45834</c:v>
                </c:pt>
                <c:pt idx="542">
                  <c:v>45835</c:v>
                </c:pt>
                <c:pt idx="543">
                  <c:v>45836</c:v>
                </c:pt>
                <c:pt idx="544">
                  <c:v>45837</c:v>
                </c:pt>
                <c:pt idx="545">
                  <c:v>45838</c:v>
                </c:pt>
                <c:pt idx="546">
                  <c:v>45839</c:v>
                </c:pt>
                <c:pt idx="547">
                  <c:v>45840</c:v>
                </c:pt>
                <c:pt idx="548">
                  <c:v>45841</c:v>
                </c:pt>
                <c:pt idx="549">
                  <c:v>45842</c:v>
                </c:pt>
                <c:pt idx="550">
                  <c:v>45843</c:v>
                </c:pt>
                <c:pt idx="551">
                  <c:v>45844</c:v>
                </c:pt>
                <c:pt idx="552">
                  <c:v>45845</c:v>
                </c:pt>
                <c:pt idx="553">
                  <c:v>45846</c:v>
                </c:pt>
                <c:pt idx="554">
                  <c:v>45847</c:v>
                </c:pt>
                <c:pt idx="555">
                  <c:v>45848</c:v>
                </c:pt>
                <c:pt idx="556">
                  <c:v>45849</c:v>
                </c:pt>
                <c:pt idx="557">
                  <c:v>45850</c:v>
                </c:pt>
                <c:pt idx="558">
                  <c:v>45851</c:v>
                </c:pt>
                <c:pt idx="559">
                  <c:v>45852</c:v>
                </c:pt>
                <c:pt idx="560">
                  <c:v>45853</c:v>
                </c:pt>
                <c:pt idx="561">
                  <c:v>45854</c:v>
                </c:pt>
                <c:pt idx="562">
                  <c:v>45855</c:v>
                </c:pt>
                <c:pt idx="563">
                  <c:v>45856</c:v>
                </c:pt>
                <c:pt idx="564">
                  <c:v>45857</c:v>
                </c:pt>
                <c:pt idx="565">
                  <c:v>45858</c:v>
                </c:pt>
                <c:pt idx="566">
                  <c:v>45859</c:v>
                </c:pt>
                <c:pt idx="567">
                  <c:v>45860</c:v>
                </c:pt>
                <c:pt idx="568">
                  <c:v>45861</c:v>
                </c:pt>
                <c:pt idx="569">
                  <c:v>45862</c:v>
                </c:pt>
                <c:pt idx="570">
                  <c:v>45863</c:v>
                </c:pt>
                <c:pt idx="571">
                  <c:v>45864</c:v>
                </c:pt>
                <c:pt idx="572">
                  <c:v>45865</c:v>
                </c:pt>
                <c:pt idx="573">
                  <c:v>45866</c:v>
                </c:pt>
                <c:pt idx="574">
                  <c:v>45867</c:v>
                </c:pt>
                <c:pt idx="575">
                  <c:v>45868</c:v>
                </c:pt>
                <c:pt idx="576">
                  <c:v>45869</c:v>
                </c:pt>
                <c:pt idx="577">
                  <c:v>45870</c:v>
                </c:pt>
                <c:pt idx="578">
                  <c:v>45871</c:v>
                </c:pt>
                <c:pt idx="579">
                  <c:v>45872</c:v>
                </c:pt>
                <c:pt idx="580">
                  <c:v>45873</c:v>
                </c:pt>
                <c:pt idx="581">
                  <c:v>45874</c:v>
                </c:pt>
                <c:pt idx="582">
                  <c:v>45875</c:v>
                </c:pt>
                <c:pt idx="583">
                  <c:v>45876</c:v>
                </c:pt>
                <c:pt idx="584">
                  <c:v>45877</c:v>
                </c:pt>
                <c:pt idx="585">
                  <c:v>45878</c:v>
                </c:pt>
                <c:pt idx="586">
                  <c:v>45879</c:v>
                </c:pt>
                <c:pt idx="587">
                  <c:v>45880</c:v>
                </c:pt>
                <c:pt idx="588">
                  <c:v>45881</c:v>
                </c:pt>
                <c:pt idx="589">
                  <c:v>45882</c:v>
                </c:pt>
                <c:pt idx="590">
                  <c:v>45883</c:v>
                </c:pt>
                <c:pt idx="591">
                  <c:v>45884</c:v>
                </c:pt>
                <c:pt idx="592">
                  <c:v>45885</c:v>
                </c:pt>
                <c:pt idx="593">
                  <c:v>45886</c:v>
                </c:pt>
                <c:pt idx="594">
                  <c:v>45887</c:v>
                </c:pt>
                <c:pt idx="595">
                  <c:v>45888</c:v>
                </c:pt>
                <c:pt idx="596">
                  <c:v>45889</c:v>
                </c:pt>
                <c:pt idx="597">
                  <c:v>45890</c:v>
                </c:pt>
                <c:pt idx="598">
                  <c:v>45891</c:v>
                </c:pt>
                <c:pt idx="599">
                  <c:v>45892</c:v>
                </c:pt>
                <c:pt idx="600">
                  <c:v>45893</c:v>
                </c:pt>
                <c:pt idx="601">
                  <c:v>45894</c:v>
                </c:pt>
                <c:pt idx="602">
                  <c:v>45895</c:v>
                </c:pt>
                <c:pt idx="603">
                  <c:v>45896</c:v>
                </c:pt>
                <c:pt idx="604">
                  <c:v>45897</c:v>
                </c:pt>
                <c:pt idx="605">
                  <c:v>45898</c:v>
                </c:pt>
                <c:pt idx="606">
                  <c:v>45899</c:v>
                </c:pt>
                <c:pt idx="607">
                  <c:v>45900</c:v>
                </c:pt>
                <c:pt idx="608">
                  <c:v>45901</c:v>
                </c:pt>
                <c:pt idx="609">
                  <c:v>45902</c:v>
                </c:pt>
                <c:pt idx="610">
                  <c:v>45903</c:v>
                </c:pt>
                <c:pt idx="611">
                  <c:v>45904</c:v>
                </c:pt>
                <c:pt idx="612">
                  <c:v>45905</c:v>
                </c:pt>
                <c:pt idx="613">
                  <c:v>45906</c:v>
                </c:pt>
                <c:pt idx="614">
                  <c:v>45907</c:v>
                </c:pt>
                <c:pt idx="615">
                  <c:v>45908</c:v>
                </c:pt>
                <c:pt idx="616">
                  <c:v>45909</c:v>
                </c:pt>
                <c:pt idx="617">
                  <c:v>45910</c:v>
                </c:pt>
                <c:pt idx="618">
                  <c:v>45911</c:v>
                </c:pt>
                <c:pt idx="619">
                  <c:v>45912</c:v>
                </c:pt>
                <c:pt idx="620">
                  <c:v>45913</c:v>
                </c:pt>
                <c:pt idx="621">
                  <c:v>45914</c:v>
                </c:pt>
                <c:pt idx="622">
                  <c:v>45915</c:v>
                </c:pt>
                <c:pt idx="623">
                  <c:v>45916</c:v>
                </c:pt>
                <c:pt idx="624">
                  <c:v>45917</c:v>
                </c:pt>
                <c:pt idx="625">
                  <c:v>45918</c:v>
                </c:pt>
                <c:pt idx="626">
                  <c:v>45919</c:v>
                </c:pt>
                <c:pt idx="627">
                  <c:v>45920</c:v>
                </c:pt>
                <c:pt idx="628">
                  <c:v>45921</c:v>
                </c:pt>
                <c:pt idx="629">
                  <c:v>45922</c:v>
                </c:pt>
                <c:pt idx="630">
                  <c:v>45923</c:v>
                </c:pt>
                <c:pt idx="631">
                  <c:v>45924</c:v>
                </c:pt>
                <c:pt idx="632">
                  <c:v>45925</c:v>
                </c:pt>
                <c:pt idx="633">
                  <c:v>45926</c:v>
                </c:pt>
                <c:pt idx="634">
                  <c:v>45927</c:v>
                </c:pt>
                <c:pt idx="635">
                  <c:v>45928</c:v>
                </c:pt>
                <c:pt idx="636">
                  <c:v>45929</c:v>
                </c:pt>
                <c:pt idx="637">
                  <c:v>45930</c:v>
                </c:pt>
                <c:pt idx="638">
                  <c:v>45931</c:v>
                </c:pt>
                <c:pt idx="639">
                  <c:v>45932</c:v>
                </c:pt>
                <c:pt idx="640">
                  <c:v>45933</c:v>
                </c:pt>
                <c:pt idx="641">
                  <c:v>45934</c:v>
                </c:pt>
                <c:pt idx="642">
                  <c:v>45935</c:v>
                </c:pt>
                <c:pt idx="643">
                  <c:v>45936</c:v>
                </c:pt>
                <c:pt idx="644">
                  <c:v>45937</c:v>
                </c:pt>
                <c:pt idx="645">
                  <c:v>45938</c:v>
                </c:pt>
                <c:pt idx="646">
                  <c:v>45939</c:v>
                </c:pt>
                <c:pt idx="647">
                  <c:v>45940</c:v>
                </c:pt>
                <c:pt idx="648">
                  <c:v>45941</c:v>
                </c:pt>
                <c:pt idx="649">
                  <c:v>45942</c:v>
                </c:pt>
                <c:pt idx="650">
                  <c:v>45943</c:v>
                </c:pt>
                <c:pt idx="651">
                  <c:v>45944</c:v>
                </c:pt>
                <c:pt idx="652">
                  <c:v>45945</c:v>
                </c:pt>
                <c:pt idx="653">
                  <c:v>45946</c:v>
                </c:pt>
                <c:pt idx="654">
                  <c:v>45947</c:v>
                </c:pt>
                <c:pt idx="655">
                  <c:v>45948</c:v>
                </c:pt>
                <c:pt idx="656">
                  <c:v>45949</c:v>
                </c:pt>
                <c:pt idx="657">
                  <c:v>45950</c:v>
                </c:pt>
                <c:pt idx="658">
                  <c:v>45951</c:v>
                </c:pt>
                <c:pt idx="659">
                  <c:v>45952</c:v>
                </c:pt>
                <c:pt idx="660">
                  <c:v>45953</c:v>
                </c:pt>
                <c:pt idx="661">
                  <c:v>45954</c:v>
                </c:pt>
                <c:pt idx="662">
                  <c:v>45955</c:v>
                </c:pt>
                <c:pt idx="663">
                  <c:v>45956</c:v>
                </c:pt>
                <c:pt idx="664">
                  <c:v>45957</c:v>
                </c:pt>
                <c:pt idx="665">
                  <c:v>45958</c:v>
                </c:pt>
                <c:pt idx="666">
                  <c:v>45959</c:v>
                </c:pt>
                <c:pt idx="667">
                  <c:v>45960</c:v>
                </c:pt>
                <c:pt idx="668">
                  <c:v>45961</c:v>
                </c:pt>
                <c:pt idx="669">
                  <c:v>45962</c:v>
                </c:pt>
                <c:pt idx="670">
                  <c:v>45963</c:v>
                </c:pt>
                <c:pt idx="671">
                  <c:v>45964</c:v>
                </c:pt>
                <c:pt idx="672">
                  <c:v>45965</c:v>
                </c:pt>
                <c:pt idx="673">
                  <c:v>45966</c:v>
                </c:pt>
                <c:pt idx="674">
                  <c:v>45967</c:v>
                </c:pt>
                <c:pt idx="675">
                  <c:v>45968</c:v>
                </c:pt>
                <c:pt idx="676">
                  <c:v>45969</c:v>
                </c:pt>
                <c:pt idx="677">
                  <c:v>45970</c:v>
                </c:pt>
                <c:pt idx="678">
                  <c:v>45971</c:v>
                </c:pt>
                <c:pt idx="679">
                  <c:v>45972</c:v>
                </c:pt>
                <c:pt idx="680">
                  <c:v>45973</c:v>
                </c:pt>
                <c:pt idx="681">
                  <c:v>45974</c:v>
                </c:pt>
                <c:pt idx="682">
                  <c:v>45975</c:v>
                </c:pt>
                <c:pt idx="683">
                  <c:v>45976</c:v>
                </c:pt>
                <c:pt idx="684">
                  <c:v>45977</c:v>
                </c:pt>
                <c:pt idx="685">
                  <c:v>45978</c:v>
                </c:pt>
                <c:pt idx="686">
                  <c:v>45979</c:v>
                </c:pt>
                <c:pt idx="687">
                  <c:v>45980</c:v>
                </c:pt>
                <c:pt idx="688">
                  <c:v>45981</c:v>
                </c:pt>
                <c:pt idx="689">
                  <c:v>45982</c:v>
                </c:pt>
                <c:pt idx="690">
                  <c:v>45983</c:v>
                </c:pt>
                <c:pt idx="691">
                  <c:v>45984</c:v>
                </c:pt>
                <c:pt idx="692">
                  <c:v>45985</c:v>
                </c:pt>
                <c:pt idx="693">
                  <c:v>45986</c:v>
                </c:pt>
                <c:pt idx="694">
                  <c:v>45987</c:v>
                </c:pt>
                <c:pt idx="695">
                  <c:v>45988</c:v>
                </c:pt>
                <c:pt idx="696">
                  <c:v>45989</c:v>
                </c:pt>
                <c:pt idx="697">
                  <c:v>45990</c:v>
                </c:pt>
                <c:pt idx="698">
                  <c:v>45991</c:v>
                </c:pt>
                <c:pt idx="699">
                  <c:v>45992</c:v>
                </c:pt>
                <c:pt idx="700">
                  <c:v>45993</c:v>
                </c:pt>
                <c:pt idx="701">
                  <c:v>45994</c:v>
                </c:pt>
                <c:pt idx="702">
                  <c:v>45995</c:v>
                </c:pt>
                <c:pt idx="703">
                  <c:v>45996</c:v>
                </c:pt>
                <c:pt idx="704">
                  <c:v>45997</c:v>
                </c:pt>
                <c:pt idx="705">
                  <c:v>45998</c:v>
                </c:pt>
                <c:pt idx="706">
                  <c:v>45999</c:v>
                </c:pt>
                <c:pt idx="707">
                  <c:v>46000</c:v>
                </c:pt>
                <c:pt idx="708">
                  <c:v>46001</c:v>
                </c:pt>
                <c:pt idx="709">
                  <c:v>46002</c:v>
                </c:pt>
                <c:pt idx="710">
                  <c:v>46003</c:v>
                </c:pt>
                <c:pt idx="711">
                  <c:v>46004</c:v>
                </c:pt>
                <c:pt idx="712">
                  <c:v>46005</c:v>
                </c:pt>
                <c:pt idx="713">
                  <c:v>46006</c:v>
                </c:pt>
                <c:pt idx="714">
                  <c:v>46007</c:v>
                </c:pt>
                <c:pt idx="715">
                  <c:v>46008</c:v>
                </c:pt>
                <c:pt idx="716">
                  <c:v>46009</c:v>
                </c:pt>
                <c:pt idx="717">
                  <c:v>46010</c:v>
                </c:pt>
                <c:pt idx="718">
                  <c:v>46011</c:v>
                </c:pt>
                <c:pt idx="719">
                  <c:v>46012</c:v>
                </c:pt>
                <c:pt idx="720">
                  <c:v>46013</c:v>
                </c:pt>
                <c:pt idx="721">
                  <c:v>46014</c:v>
                </c:pt>
                <c:pt idx="722">
                  <c:v>46015</c:v>
                </c:pt>
                <c:pt idx="723">
                  <c:v>46016</c:v>
                </c:pt>
                <c:pt idx="724">
                  <c:v>46017</c:v>
                </c:pt>
                <c:pt idx="725">
                  <c:v>46018</c:v>
                </c:pt>
                <c:pt idx="726">
                  <c:v>46019</c:v>
                </c:pt>
                <c:pt idx="727">
                  <c:v>46020</c:v>
                </c:pt>
                <c:pt idx="728">
                  <c:v>46021</c:v>
                </c:pt>
                <c:pt idx="729">
                  <c:v>46022</c:v>
                </c:pt>
                <c:pt idx="730">
                  <c:v>46023</c:v>
                </c:pt>
                <c:pt idx="731">
                  <c:v>46024</c:v>
                </c:pt>
                <c:pt idx="732">
                  <c:v>46025</c:v>
                </c:pt>
                <c:pt idx="733">
                  <c:v>46026</c:v>
                </c:pt>
                <c:pt idx="734">
                  <c:v>46027</c:v>
                </c:pt>
                <c:pt idx="735">
                  <c:v>46028</c:v>
                </c:pt>
                <c:pt idx="736">
                  <c:v>46029</c:v>
                </c:pt>
                <c:pt idx="737">
                  <c:v>46030</c:v>
                </c:pt>
                <c:pt idx="738">
                  <c:v>46031</c:v>
                </c:pt>
                <c:pt idx="739">
                  <c:v>46032</c:v>
                </c:pt>
                <c:pt idx="740">
                  <c:v>46033</c:v>
                </c:pt>
                <c:pt idx="741">
                  <c:v>46034</c:v>
                </c:pt>
                <c:pt idx="742">
                  <c:v>46035</c:v>
                </c:pt>
                <c:pt idx="743">
                  <c:v>46036</c:v>
                </c:pt>
                <c:pt idx="744">
                  <c:v>46037</c:v>
                </c:pt>
                <c:pt idx="745">
                  <c:v>46038</c:v>
                </c:pt>
                <c:pt idx="746">
                  <c:v>46039</c:v>
                </c:pt>
                <c:pt idx="747">
                  <c:v>46040</c:v>
                </c:pt>
                <c:pt idx="748">
                  <c:v>46041</c:v>
                </c:pt>
                <c:pt idx="749">
                  <c:v>46042</c:v>
                </c:pt>
                <c:pt idx="750">
                  <c:v>46043</c:v>
                </c:pt>
                <c:pt idx="751">
                  <c:v>46044</c:v>
                </c:pt>
                <c:pt idx="752">
                  <c:v>46045</c:v>
                </c:pt>
                <c:pt idx="753">
                  <c:v>46046</c:v>
                </c:pt>
                <c:pt idx="754">
                  <c:v>46047</c:v>
                </c:pt>
                <c:pt idx="755">
                  <c:v>46048</c:v>
                </c:pt>
                <c:pt idx="756">
                  <c:v>46049</c:v>
                </c:pt>
                <c:pt idx="757">
                  <c:v>46050</c:v>
                </c:pt>
                <c:pt idx="758">
                  <c:v>46051</c:v>
                </c:pt>
                <c:pt idx="759">
                  <c:v>46052</c:v>
                </c:pt>
                <c:pt idx="760">
                  <c:v>46053</c:v>
                </c:pt>
                <c:pt idx="761">
                  <c:v>46054</c:v>
                </c:pt>
                <c:pt idx="762">
                  <c:v>46055</c:v>
                </c:pt>
                <c:pt idx="763">
                  <c:v>46056</c:v>
                </c:pt>
                <c:pt idx="764">
                  <c:v>46057</c:v>
                </c:pt>
                <c:pt idx="765">
                  <c:v>46058</c:v>
                </c:pt>
                <c:pt idx="766">
                  <c:v>46059</c:v>
                </c:pt>
                <c:pt idx="767">
                  <c:v>46060</c:v>
                </c:pt>
                <c:pt idx="768">
                  <c:v>46061</c:v>
                </c:pt>
                <c:pt idx="769">
                  <c:v>46062</c:v>
                </c:pt>
                <c:pt idx="770">
                  <c:v>46063</c:v>
                </c:pt>
                <c:pt idx="771">
                  <c:v>46064</c:v>
                </c:pt>
                <c:pt idx="772">
                  <c:v>46065</c:v>
                </c:pt>
                <c:pt idx="773">
                  <c:v>46066</c:v>
                </c:pt>
                <c:pt idx="774">
                  <c:v>46067</c:v>
                </c:pt>
                <c:pt idx="775">
                  <c:v>46068</c:v>
                </c:pt>
                <c:pt idx="776">
                  <c:v>46069</c:v>
                </c:pt>
                <c:pt idx="777">
                  <c:v>46070</c:v>
                </c:pt>
                <c:pt idx="778">
                  <c:v>46071</c:v>
                </c:pt>
                <c:pt idx="779">
                  <c:v>46072</c:v>
                </c:pt>
                <c:pt idx="780">
                  <c:v>46073</c:v>
                </c:pt>
                <c:pt idx="781">
                  <c:v>46074</c:v>
                </c:pt>
                <c:pt idx="782">
                  <c:v>46075</c:v>
                </c:pt>
                <c:pt idx="783">
                  <c:v>46076</c:v>
                </c:pt>
                <c:pt idx="784">
                  <c:v>46077</c:v>
                </c:pt>
                <c:pt idx="785">
                  <c:v>46078</c:v>
                </c:pt>
                <c:pt idx="786">
                  <c:v>46079</c:v>
                </c:pt>
                <c:pt idx="787">
                  <c:v>46080</c:v>
                </c:pt>
                <c:pt idx="788">
                  <c:v>46081</c:v>
                </c:pt>
                <c:pt idx="789">
                  <c:v>46082</c:v>
                </c:pt>
                <c:pt idx="790">
                  <c:v>46083</c:v>
                </c:pt>
                <c:pt idx="791">
                  <c:v>46084</c:v>
                </c:pt>
                <c:pt idx="792">
                  <c:v>46085</c:v>
                </c:pt>
                <c:pt idx="793">
                  <c:v>46086</c:v>
                </c:pt>
                <c:pt idx="794">
                  <c:v>46087</c:v>
                </c:pt>
                <c:pt idx="795">
                  <c:v>46088</c:v>
                </c:pt>
                <c:pt idx="796">
                  <c:v>46089</c:v>
                </c:pt>
                <c:pt idx="797">
                  <c:v>46090</c:v>
                </c:pt>
                <c:pt idx="798">
                  <c:v>46091</c:v>
                </c:pt>
                <c:pt idx="799">
                  <c:v>46092</c:v>
                </c:pt>
                <c:pt idx="800">
                  <c:v>46093</c:v>
                </c:pt>
                <c:pt idx="801">
                  <c:v>46094</c:v>
                </c:pt>
                <c:pt idx="802">
                  <c:v>46095</c:v>
                </c:pt>
                <c:pt idx="803">
                  <c:v>46096</c:v>
                </c:pt>
                <c:pt idx="804">
                  <c:v>46097</c:v>
                </c:pt>
                <c:pt idx="805">
                  <c:v>46098</c:v>
                </c:pt>
                <c:pt idx="806">
                  <c:v>46099</c:v>
                </c:pt>
                <c:pt idx="807">
                  <c:v>46100</c:v>
                </c:pt>
                <c:pt idx="808">
                  <c:v>46101</c:v>
                </c:pt>
                <c:pt idx="809">
                  <c:v>46102</c:v>
                </c:pt>
                <c:pt idx="810">
                  <c:v>46103</c:v>
                </c:pt>
                <c:pt idx="811">
                  <c:v>46104</c:v>
                </c:pt>
                <c:pt idx="812">
                  <c:v>46105</c:v>
                </c:pt>
                <c:pt idx="813">
                  <c:v>46106</c:v>
                </c:pt>
                <c:pt idx="814">
                  <c:v>46107</c:v>
                </c:pt>
                <c:pt idx="815">
                  <c:v>46108</c:v>
                </c:pt>
                <c:pt idx="816">
                  <c:v>46109</c:v>
                </c:pt>
                <c:pt idx="817">
                  <c:v>46110</c:v>
                </c:pt>
                <c:pt idx="818">
                  <c:v>46111</c:v>
                </c:pt>
                <c:pt idx="819">
                  <c:v>46112</c:v>
                </c:pt>
                <c:pt idx="820">
                  <c:v>46113</c:v>
                </c:pt>
                <c:pt idx="821">
                  <c:v>46114</c:v>
                </c:pt>
                <c:pt idx="822">
                  <c:v>46115</c:v>
                </c:pt>
                <c:pt idx="823">
                  <c:v>46116</c:v>
                </c:pt>
                <c:pt idx="824">
                  <c:v>46117</c:v>
                </c:pt>
                <c:pt idx="825">
                  <c:v>46118</c:v>
                </c:pt>
                <c:pt idx="826">
                  <c:v>46119</c:v>
                </c:pt>
                <c:pt idx="827">
                  <c:v>46120</c:v>
                </c:pt>
                <c:pt idx="828">
                  <c:v>46121</c:v>
                </c:pt>
              </c:numCache>
            </c:numRef>
          </c:cat>
          <c:val>
            <c:numRef>
              <c:f>'Cash v Tnotes'!$D$3:$D$831</c:f>
              <c:numCache>
                <c:formatCode>_(* #,##0.00_);_(* \(#,##0.00\);_(* "-"??_);_(@_)</c:formatCode>
                <c:ptCount val="829"/>
                <c:pt idx="0">
                  <c:v>26.5</c:v>
                </c:pt>
                <c:pt idx="1">
                  <c:v>26.5</c:v>
                </c:pt>
                <c:pt idx="2">
                  <c:v>26.5</c:v>
                </c:pt>
                <c:pt idx="3">
                  <c:v>26.5</c:v>
                </c:pt>
                <c:pt idx="4">
                  <c:v>26.5</c:v>
                </c:pt>
                <c:pt idx="5">
                  <c:v>26.5</c:v>
                </c:pt>
                <c:pt idx="6">
                  <c:v>26.5</c:v>
                </c:pt>
                <c:pt idx="7">
                  <c:v>26.5</c:v>
                </c:pt>
                <c:pt idx="8">
                  <c:v>26.5</c:v>
                </c:pt>
                <c:pt idx="9">
                  <c:v>26.5</c:v>
                </c:pt>
                <c:pt idx="10">
                  <c:v>28.5</c:v>
                </c:pt>
                <c:pt idx="11">
                  <c:v>28.5</c:v>
                </c:pt>
                <c:pt idx="12">
                  <c:v>28.5</c:v>
                </c:pt>
                <c:pt idx="13">
                  <c:v>28.5</c:v>
                </c:pt>
                <c:pt idx="14">
                  <c:v>28.5</c:v>
                </c:pt>
                <c:pt idx="15">
                  <c:v>28.5</c:v>
                </c:pt>
                <c:pt idx="16">
                  <c:v>28.5</c:v>
                </c:pt>
                <c:pt idx="17">
                  <c:v>30.5</c:v>
                </c:pt>
                <c:pt idx="18">
                  <c:v>25</c:v>
                </c:pt>
                <c:pt idx="19">
                  <c:v>25</c:v>
                </c:pt>
                <c:pt idx="20">
                  <c:v>25</c:v>
                </c:pt>
                <c:pt idx="21">
                  <c:v>25</c:v>
                </c:pt>
                <c:pt idx="22">
                  <c:v>25</c:v>
                </c:pt>
                <c:pt idx="23">
                  <c:v>25</c:v>
                </c:pt>
                <c:pt idx="24">
                  <c:v>26</c:v>
                </c:pt>
                <c:pt idx="25">
                  <c:v>26</c:v>
                </c:pt>
                <c:pt idx="26">
                  <c:v>26</c:v>
                </c:pt>
                <c:pt idx="27">
                  <c:v>26</c:v>
                </c:pt>
                <c:pt idx="28">
                  <c:v>26</c:v>
                </c:pt>
                <c:pt idx="29">
                  <c:v>26</c:v>
                </c:pt>
                <c:pt idx="30">
                  <c:v>27</c:v>
                </c:pt>
                <c:pt idx="31">
                  <c:v>27</c:v>
                </c:pt>
                <c:pt idx="32">
                  <c:v>27</c:v>
                </c:pt>
                <c:pt idx="33">
                  <c:v>27</c:v>
                </c:pt>
                <c:pt idx="34">
                  <c:v>27</c:v>
                </c:pt>
                <c:pt idx="35">
                  <c:v>27</c:v>
                </c:pt>
                <c:pt idx="36">
                  <c:v>27</c:v>
                </c:pt>
                <c:pt idx="37">
                  <c:v>29</c:v>
                </c:pt>
                <c:pt idx="38">
                  <c:v>31</c:v>
                </c:pt>
                <c:pt idx="39">
                  <c:v>27</c:v>
                </c:pt>
                <c:pt idx="40">
                  <c:v>27</c:v>
                </c:pt>
                <c:pt idx="41">
                  <c:v>27</c:v>
                </c:pt>
                <c:pt idx="42">
                  <c:v>27</c:v>
                </c:pt>
                <c:pt idx="43">
                  <c:v>27</c:v>
                </c:pt>
                <c:pt idx="44">
                  <c:v>27</c:v>
                </c:pt>
                <c:pt idx="45">
                  <c:v>29</c:v>
                </c:pt>
                <c:pt idx="46">
                  <c:v>29</c:v>
                </c:pt>
                <c:pt idx="47">
                  <c:v>29</c:v>
                </c:pt>
                <c:pt idx="48">
                  <c:v>29</c:v>
                </c:pt>
                <c:pt idx="49">
                  <c:v>29</c:v>
                </c:pt>
                <c:pt idx="50">
                  <c:v>29</c:v>
                </c:pt>
                <c:pt idx="51">
                  <c:v>29</c:v>
                </c:pt>
                <c:pt idx="52">
                  <c:v>31</c:v>
                </c:pt>
                <c:pt idx="53">
                  <c:v>26</c:v>
                </c:pt>
                <c:pt idx="54">
                  <c:v>26</c:v>
                </c:pt>
                <c:pt idx="55">
                  <c:v>26</c:v>
                </c:pt>
                <c:pt idx="56">
                  <c:v>26</c:v>
                </c:pt>
                <c:pt idx="57">
                  <c:v>26</c:v>
                </c:pt>
                <c:pt idx="58">
                  <c:v>26</c:v>
                </c:pt>
                <c:pt idx="59">
                  <c:v>28.62</c:v>
                </c:pt>
                <c:pt idx="60">
                  <c:v>28</c:v>
                </c:pt>
                <c:pt idx="61">
                  <c:v>28</c:v>
                </c:pt>
                <c:pt idx="62">
                  <c:v>28</c:v>
                </c:pt>
                <c:pt idx="63">
                  <c:v>28</c:v>
                </c:pt>
                <c:pt idx="64">
                  <c:v>28</c:v>
                </c:pt>
                <c:pt idx="65">
                  <c:v>28</c:v>
                </c:pt>
                <c:pt idx="66">
                  <c:v>30</c:v>
                </c:pt>
                <c:pt idx="67">
                  <c:v>26</c:v>
                </c:pt>
                <c:pt idx="68">
                  <c:v>26</c:v>
                </c:pt>
                <c:pt idx="69">
                  <c:v>26</c:v>
                </c:pt>
                <c:pt idx="70">
                  <c:v>26</c:v>
                </c:pt>
                <c:pt idx="71">
                  <c:v>26</c:v>
                </c:pt>
                <c:pt idx="72">
                  <c:v>26</c:v>
                </c:pt>
                <c:pt idx="73">
                  <c:v>28</c:v>
                </c:pt>
                <c:pt idx="74">
                  <c:v>28</c:v>
                </c:pt>
                <c:pt idx="75">
                  <c:v>28</c:v>
                </c:pt>
                <c:pt idx="76">
                  <c:v>28</c:v>
                </c:pt>
                <c:pt idx="77">
                  <c:v>28</c:v>
                </c:pt>
                <c:pt idx="78">
                  <c:v>28</c:v>
                </c:pt>
                <c:pt idx="79">
                  <c:v>28</c:v>
                </c:pt>
                <c:pt idx="80">
                  <c:v>30</c:v>
                </c:pt>
                <c:pt idx="81">
                  <c:v>26</c:v>
                </c:pt>
                <c:pt idx="82">
                  <c:v>26</c:v>
                </c:pt>
                <c:pt idx="83">
                  <c:v>26</c:v>
                </c:pt>
                <c:pt idx="84">
                  <c:v>26</c:v>
                </c:pt>
                <c:pt idx="85">
                  <c:v>26</c:v>
                </c:pt>
                <c:pt idx="86">
                  <c:v>26</c:v>
                </c:pt>
                <c:pt idx="87">
                  <c:v>28</c:v>
                </c:pt>
                <c:pt idx="88">
                  <c:v>28</c:v>
                </c:pt>
                <c:pt idx="89">
                  <c:v>28</c:v>
                </c:pt>
                <c:pt idx="90">
                  <c:v>28</c:v>
                </c:pt>
                <c:pt idx="91">
                  <c:v>28</c:v>
                </c:pt>
                <c:pt idx="92">
                  <c:v>28</c:v>
                </c:pt>
                <c:pt idx="93">
                  <c:v>28</c:v>
                </c:pt>
                <c:pt idx="94">
                  <c:v>30</c:v>
                </c:pt>
                <c:pt idx="95">
                  <c:v>30</c:v>
                </c:pt>
                <c:pt idx="96">
                  <c:v>30</c:v>
                </c:pt>
                <c:pt idx="97">
                  <c:v>30</c:v>
                </c:pt>
                <c:pt idx="98">
                  <c:v>30</c:v>
                </c:pt>
                <c:pt idx="99">
                  <c:v>30</c:v>
                </c:pt>
                <c:pt idx="100">
                  <c:v>30</c:v>
                </c:pt>
                <c:pt idx="101">
                  <c:v>32</c:v>
                </c:pt>
                <c:pt idx="102">
                  <c:v>26</c:v>
                </c:pt>
                <c:pt idx="103">
                  <c:v>26</c:v>
                </c:pt>
                <c:pt idx="104">
                  <c:v>26</c:v>
                </c:pt>
                <c:pt idx="105">
                  <c:v>26</c:v>
                </c:pt>
                <c:pt idx="106">
                  <c:v>26</c:v>
                </c:pt>
                <c:pt idx="107">
                  <c:v>26</c:v>
                </c:pt>
                <c:pt idx="108">
                  <c:v>28</c:v>
                </c:pt>
                <c:pt idx="109">
                  <c:v>28</c:v>
                </c:pt>
                <c:pt idx="110">
                  <c:v>28</c:v>
                </c:pt>
                <c:pt idx="111">
                  <c:v>28</c:v>
                </c:pt>
                <c:pt idx="112">
                  <c:v>28</c:v>
                </c:pt>
                <c:pt idx="113">
                  <c:v>28</c:v>
                </c:pt>
                <c:pt idx="114">
                  <c:v>28</c:v>
                </c:pt>
                <c:pt idx="115">
                  <c:v>28</c:v>
                </c:pt>
                <c:pt idx="116">
                  <c:v>28</c:v>
                </c:pt>
                <c:pt idx="117">
                  <c:v>28</c:v>
                </c:pt>
                <c:pt idx="118">
                  <c:v>28</c:v>
                </c:pt>
                <c:pt idx="119">
                  <c:v>28</c:v>
                </c:pt>
                <c:pt idx="120">
                  <c:v>28</c:v>
                </c:pt>
                <c:pt idx="121">
                  <c:v>28</c:v>
                </c:pt>
                <c:pt idx="122">
                  <c:v>30</c:v>
                </c:pt>
                <c:pt idx="123">
                  <c:v>30</c:v>
                </c:pt>
                <c:pt idx="124">
                  <c:v>30</c:v>
                </c:pt>
                <c:pt idx="125">
                  <c:v>30</c:v>
                </c:pt>
                <c:pt idx="126">
                  <c:v>30</c:v>
                </c:pt>
                <c:pt idx="127">
                  <c:v>30</c:v>
                </c:pt>
                <c:pt idx="128">
                  <c:v>30</c:v>
                </c:pt>
                <c:pt idx="129">
                  <c:v>32</c:v>
                </c:pt>
                <c:pt idx="130">
                  <c:v>27</c:v>
                </c:pt>
                <c:pt idx="131">
                  <c:v>27</c:v>
                </c:pt>
                <c:pt idx="132">
                  <c:v>27</c:v>
                </c:pt>
                <c:pt idx="133">
                  <c:v>27</c:v>
                </c:pt>
                <c:pt idx="134">
                  <c:v>27</c:v>
                </c:pt>
                <c:pt idx="135">
                  <c:v>27</c:v>
                </c:pt>
                <c:pt idx="136">
                  <c:v>29</c:v>
                </c:pt>
                <c:pt idx="137">
                  <c:v>29</c:v>
                </c:pt>
                <c:pt idx="138">
                  <c:v>29</c:v>
                </c:pt>
                <c:pt idx="139">
                  <c:v>29</c:v>
                </c:pt>
                <c:pt idx="140">
                  <c:v>29</c:v>
                </c:pt>
                <c:pt idx="141">
                  <c:v>29</c:v>
                </c:pt>
                <c:pt idx="142">
                  <c:v>29</c:v>
                </c:pt>
                <c:pt idx="143">
                  <c:v>31</c:v>
                </c:pt>
                <c:pt idx="144">
                  <c:v>26</c:v>
                </c:pt>
                <c:pt idx="145">
                  <c:v>26</c:v>
                </c:pt>
                <c:pt idx="146">
                  <c:v>26</c:v>
                </c:pt>
                <c:pt idx="147">
                  <c:v>26</c:v>
                </c:pt>
                <c:pt idx="148">
                  <c:v>26</c:v>
                </c:pt>
                <c:pt idx="149">
                  <c:v>26</c:v>
                </c:pt>
                <c:pt idx="150">
                  <c:v>28</c:v>
                </c:pt>
                <c:pt idx="151">
                  <c:v>28</c:v>
                </c:pt>
                <c:pt idx="152">
                  <c:v>28</c:v>
                </c:pt>
                <c:pt idx="153">
                  <c:v>28</c:v>
                </c:pt>
                <c:pt idx="154">
                  <c:v>28</c:v>
                </c:pt>
                <c:pt idx="155">
                  <c:v>28</c:v>
                </c:pt>
                <c:pt idx="156">
                  <c:v>28</c:v>
                </c:pt>
                <c:pt idx="157">
                  <c:v>30</c:v>
                </c:pt>
                <c:pt idx="158">
                  <c:v>26</c:v>
                </c:pt>
                <c:pt idx="159">
                  <c:v>26</c:v>
                </c:pt>
                <c:pt idx="160">
                  <c:v>26</c:v>
                </c:pt>
                <c:pt idx="161">
                  <c:v>26</c:v>
                </c:pt>
                <c:pt idx="162">
                  <c:v>26</c:v>
                </c:pt>
                <c:pt idx="163">
                  <c:v>26</c:v>
                </c:pt>
                <c:pt idx="164">
                  <c:v>28</c:v>
                </c:pt>
                <c:pt idx="165">
                  <c:v>28</c:v>
                </c:pt>
                <c:pt idx="166">
                  <c:v>28</c:v>
                </c:pt>
                <c:pt idx="167">
                  <c:v>28</c:v>
                </c:pt>
                <c:pt idx="168">
                  <c:v>28</c:v>
                </c:pt>
                <c:pt idx="169">
                  <c:v>28</c:v>
                </c:pt>
                <c:pt idx="170">
                  <c:v>28</c:v>
                </c:pt>
                <c:pt idx="171">
                  <c:v>30</c:v>
                </c:pt>
                <c:pt idx="172">
                  <c:v>26</c:v>
                </c:pt>
                <c:pt idx="173">
                  <c:v>26</c:v>
                </c:pt>
                <c:pt idx="174">
                  <c:v>26</c:v>
                </c:pt>
                <c:pt idx="175">
                  <c:v>26</c:v>
                </c:pt>
                <c:pt idx="176">
                  <c:v>26</c:v>
                </c:pt>
                <c:pt idx="177">
                  <c:v>26</c:v>
                </c:pt>
                <c:pt idx="178">
                  <c:v>28</c:v>
                </c:pt>
                <c:pt idx="179">
                  <c:v>28</c:v>
                </c:pt>
                <c:pt idx="180">
                  <c:v>28</c:v>
                </c:pt>
                <c:pt idx="181">
                  <c:v>28</c:v>
                </c:pt>
                <c:pt idx="182">
                  <c:v>28</c:v>
                </c:pt>
                <c:pt idx="183">
                  <c:v>28</c:v>
                </c:pt>
                <c:pt idx="184">
                  <c:v>28</c:v>
                </c:pt>
                <c:pt idx="185">
                  <c:v>30</c:v>
                </c:pt>
                <c:pt idx="186">
                  <c:v>30</c:v>
                </c:pt>
                <c:pt idx="187">
                  <c:v>30</c:v>
                </c:pt>
                <c:pt idx="188">
                  <c:v>30</c:v>
                </c:pt>
                <c:pt idx="189">
                  <c:v>30</c:v>
                </c:pt>
                <c:pt idx="190">
                  <c:v>30</c:v>
                </c:pt>
                <c:pt idx="191">
                  <c:v>30</c:v>
                </c:pt>
                <c:pt idx="192">
                  <c:v>32</c:v>
                </c:pt>
                <c:pt idx="193">
                  <c:v>27</c:v>
                </c:pt>
                <c:pt idx="194">
                  <c:v>27</c:v>
                </c:pt>
                <c:pt idx="195">
                  <c:v>27</c:v>
                </c:pt>
                <c:pt idx="196">
                  <c:v>27</c:v>
                </c:pt>
                <c:pt idx="197">
                  <c:v>27</c:v>
                </c:pt>
                <c:pt idx="198">
                  <c:v>27</c:v>
                </c:pt>
                <c:pt idx="199">
                  <c:v>29</c:v>
                </c:pt>
                <c:pt idx="200">
                  <c:v>29</c:v>
                </c:pt>
                <c:pt idx="201">
                  <c:v>29</c:v>
                </c:pt>
                <c:pt idx="202">
                  <c:v>29</c:v>
                </c:pt>
                <c:pt idx="203">
                  <c:v>29</c:v>
                </c:pt>
                <c:pt idx="204">
                  <c:v>29</c:v>
                </c:pt>
                <c:pt idx="205">
                  <c:v>29</c:v>
                </c:pt>
                <c:pt idx="206">
                  <c:v>31</c:v>
                </c:pt>
                <c:pt idx="207">
                  <c:v>27</c:v>
                </c:pt>
                <c:pt idx="208">
                  <c:v>27</c:v>
                </c:pt>
                <c:pt idx="209">
                  <c:v>27</c:v>
                </c:pt>
                <c:pt idx="210">
                  <c:v>27</c:v>
                </c:pt>
                <c:pt idx="211">
                  <c:v>27</c:v>
                </c:pt>
                <c:pt idx="212">
                  <c:v>27</c:v>
                </c:pt>
                <c:pt idx="213">
                  <c:v>29</c:v>
                </c:pt>
                <c:pt idx="214">
                  <c:v>29</c:v>
                </c:pt>
                <c:pt idx="215">
                  <c:v>29</c:v>
                </c:pt>
                <c:pt idx="216">
                  <c:v>29</c:v>
                </c:pt>
                <c:pt idx="217">
                  <c:v>29</c:v>
                </c:pt>
                <c:pt idx="218">
                  <c:v>29</c:v>
                </c:pt>
                <c:pt idx="219">
                  <c:v>29</c:v>
                </c:pt>
                <c:pt idx="220">
                  <c:v>31</c:v>
                </c:pt>
                <c:pt idx="221">
                  <c:v>27</c:v>
                </c:pt>
                <c:pt idx="222">
                  <c:v>27</c:v>
                </c:pt>
                <c:pt idx="223">
                  <c:v>27</c:v>
                </c:pt>
                <c:pt idx="224">
                  <c:v>27</c:v>
                </c:pt>
                <c:pt idx="225">
                  <c:v>27</c:v>
                </c:pt>
                <c:pt idx="226">
                  <c:v>27</c:v>
                </c:pt>
                <c:pt idx="227">
                  <c:v>29</c:v>
                </c:pt>
                <c:pt idx="228">
                  <c:v>29</c:v>
                </c:pt>
                <c:pt idx="229">
                  <c:v>29</c:v>
                </c:pt>
                <c:pt idx="230">
                  <c:v>29</c:v>
                </c:pt>
                <c:pt idx="231">
                  <c:v>29</c:v>
                </c:pt>
                <c:pt idx="232">
                  <c:v>29</c:v>
                </c:pt>
                <c:pt idx="233">
                  <c:v>29</c:v>
                </c:pt>
                <c:pt idx="234">
                  <c:v>31</c:v>
                </c:pt>
                <c:pt idx="235">
                  <c:v>26</c:v>
                </c:pt>
                <c:pt idx="236">
                  <c:v>26</c:v>
                </c:pt>
                <c:pt idx="237">
                  <c:v>26</c:v>
                </c:pt>
                <c:pt idx="238">
                  <c:v>26</c:v>
                </c:pt>
                <c:pt idx="239">
                  <c:v>26</c:v>
                </c:pt>
                <c:pt idx="240">
                  <c:v>26</c:v>
                </c:pt>
                <c:pt idx="241">
                  <c:v>28</c:v>
                </c:pt>
                <c:pt idx="242">
                  <c:v>28</c:v>
                </c:pt>
                <c:pt idx="243">
                  <c:v>28</c:v>
                </c:pt>
                <c:pt idx="244">
                  <c:v>28</c:v>
                </c:pt>
                <c:pt idx="245">
                  <c:v>28</c:v>
                </c:pt>
                <c:pt idx="246">
                  <c:v>28</c:v>
                </c:pt>
                <c:pt idx="247">
                  <c:v>28</c:v>
                </c:pt>
                <c:pt idx="248">
                  <c:v>30</c:v>
                </c:pt>
                <c:pt idx="249">
                  <c:v>30</c:v>
                </c:pt>
                <c:pt idx="250">
                  <c:v>30</c:v>
                </c:pt>
                <c:pt idx="251">
                  <c:v>30</c:v>
                </c:pt>
                <c:pt idx="252">
                  <c:v>30</c:v>
                </c:pt>
                <c:pt idx="253">
                  <c:v>30</c:v>
                </c:pt>
                <c:pt idx="254">
                  <c:v>30</c:v>
                </c:pt>
                <c:pt idx="255">
                  <c:v>32</c:v>
                </c:pt>
                <c:pt idx="256">
                  <c:v>27</c:v>
                </c:pt>
                <c:pt idx="257">
                  <c:v>27</c:v>
                </c:pt>
                <c:pt idx="258">
                  <c:v>27</c:v>
                </c:pt>
                <c:pt idx="259">
                  <c:v>27</c:v>
                </c:pt>
                <c:pt idx="260">
                  <c:v>27</c:v>
                </c:pt>
                <c:pt idx="261">
                  <c:v>27</c:v>
                </c:pt>
                <c:pt idx="262">
                  <c:v>29</c:v>
                </c:pt>
                <c:pt idx="263">
                  <c:v>29</c:v>
                </c:pt>
                <c:pt idx="264">
                  <c:v>29</c:v>
                </c:pt>
                <c:pt idx="265">
                  <c:v>29</c:v>
                </c:pt>
                <c:pt idx="266">
                  <c:v>29</c:v>
                </c:pt>
                <c:pt idx="267">
                  <c:v>29</c:v>
                </c:pt>
                <c:pt idx="268">
                  <c:v>29</c:v>
                </c:pt>
                <c:pt idx="269">
                  <c:v>31</c:v>
                </c:pt>
                <c:pt idx="270">
                  <c:v>25</c:v>
                </c:pt>
                <c:pt idx="271">
                  <c:v>25</c:v>
                </c:pt>
                <c:pt idx="272">
                  <c:v>25</c:v>
                </c:pt>
                <c:pt idx="273">
                  <c:v>25</c:v>
                </c:pt>
                <c:pt idx="274">
                  <c:v>25</c:v>
                </c:pt>
                <c:pt idx="275">
                  <c:v>25</c:v>
                </c:pt>
                <c:pt idx="276">
                  <c:v>27</c:v>
                </c:pt>
                <c:pt idx="277">
                  <c:v>27</c:v>
                </c:pt>
                <c:pt idx="278">
                  <c:v>27</c:v>
                </c:pt>
                <c:pt idx="279">
                  <c:v>27</c:v>
                </c:pt>
                <c:pt idx="280">
                  <c:v>27</c:v>
                </c:pt>
                <c:pt idx="281">
                  <c:v>27</c:v>
                </c:pt>
                <c:pt idx="282">
                  <c:v>27</c:v>
                </c:pt>
                <c:pt idx="283">
                  <c:v>29</c:v>
                </c:pt>
                <c:pt idx="284">
                  <c:v>25</c:v>
                </c:pt>
                <c:pt idx="285">
                  <c:v>25</c:v>
                </c:pt>
                <c:pt idx="286">
                  <c:v>25</c:v>
                </c:pt>
                <c:pt idx="287">
                  <c:v>25</c:v>
                </c:pt>
                <c:pt idx="288">
                  <c:v>25</c:v>
                </c:pt>
                <c:pt idx="289">
                  <c:v>25</c:v>
                </c:pt>
                <c:pt idx="290">
                  <c:v>27</c:v>
                </c:pt>
                <c:pt idx="291">
                  <c:v>27</c:v>
                </c:pt>
                <c:pt idx="292">
                  <c:v>27</c:v>
                </c:pt>
                <c:pt idx="293">
                  <c:v>27</c:v>
                </c:pt>
                <c:pt idx="294">
                  <c:v>27</c:v>
                </c:pt>
                <c:pt idx="295">
                  <c:v>27</c:v>
                </c:pt>
                <c:pt idx="296">
                  <c:v>27</c:v>
                </c:pt>
                <c:pt idx="297">
                  <c:v>29</c:v>
                </c:pt>
                <c:pt idx="298">
                  <c:v>29</c:v>
                </c:pt>
                <c:pt idx="299">
                  <c:v>29</c:v>
                </c:pt>
                <c:pt idx="300">
                  <c:v>29</c:v>
                </c:pt>
                <c:pt idx="301">
                  <c:v>29</c:v>
                </c:pt>
                <c:pt idx="302">
                  <c:v>29</c:v>
                </c:pt>
                <c:pt idx="303">
                  <c:v>29</c:v>
                </c:pt>
                <c:pt idx="304">
                  <c:v>31</c:v>
                </c:pt>
                <c:pt idx="305">
                  <c:v>31</c:v>
                </c:pt>
                <c:pt idx="306">
                  <c:v>31</c:v>
                </c:pt>
                <c:pt idx="307">
                  <c:v>31</c:v>
                </c:pt>
                <c:pt idx="308">
                  <c:v>31</c:v>
                </c:pt>
                <c:pt idx="309">
                  <c:v>31</c:v>
                </c:pt>
                <c:pt idx="310">
                  <c:v>31</c:v>
                </c:pt>
                <c:pt idx="311">
                  <c:v>33</c:v>
                </c:pt>
                <c:pt idx="312">
                  <c:v>28</c:v>
                </c:pt>
                <c:pt idx="313">
                  <c:v>28</c:v>
                </c:pt>
                <c:pt idx="314">
                  <c:v>28</c:v>
                </c:pt>
                <c:pt idx="315">
                  <c:v>28</c:v>
                </c:pt>
                <c:pt idx="316">
                  <c:v>28</c:v>
                </c:pt>
                <c:pt idx="317">
                  <c:v>28</c:v>
                </c:pt>
                <c:pt idx="318">
                  <c:v>30</c:v>
                </c:pt>
                <c:pt idx="319">
                  <c:v>30</c:v>
                </c:pt>
                <c:pt idx="320">
                  <c:v>30</c:v>
                </c:pt>
                <c:pt idx="321">
                  <c:v>30</c:v>
                </c:pt>
                <c:pt idx="322">
                  <c:v>30</c:v>
                </c:pt>
                <c:pt idx="323">
                  <c:v>30</c:v>
                </c:pt>
                <c:pt idx="324">
                  <c:v>32</c:v>
                </c:pt>
                <c:pt idx="325">
                  <c:v>28</c:v>
                </c:pt>
                <c:pt idx="326">
                  <c:v>28</c:v>
                </c:pt>
                <c:pt idx="327">
                  <c:v>28</c:v>
                </c:pt>
                <c:pt idx="328">
                  <c:v>28</c:v>
                </c:pt>
                <c:pt idx="329">
                  <c:v>28</c:v>
                </c:pt>
                <c:pt idx="330">
                  <c:v>28</c:v>
                </c:pt>
                <c:pt idx="331">
                  <c:v>30</c:v>
                </c:pt>
                <c:pt idx="332">
                  <c:v>30</c:v>
                </c:pt>
                <c:pt idx="333">
                  <c:v>30</c:v>
                </c:pt>
                <c:pt idx="334">
                  <c:v>30</c:v>
                </c:pt>
                <c:pt idx="335">
                  <c:v>30</c:v>
                </c:pt>
                <c:pt idx="336">
                  <c:v>30</c:v>
                </c:pt>
                <c:pt idx="337">
                  <c:v>30</c:v>
                </c:pt>
                <c:pt idx="338">
                  <c:v>32</c:v>
                </c:pt>
                <c:pt idx="339">
                  <c:v>32</c:v>
                </c:pt>
                <c:pt idx="340">
                  <c:v>32</c:v>
                </c:pt>
                <c:pt idx="341">
                  <c:v>32</c:v>
                </c:pt>
                <c:pt idx="342">
                  <c:v>32</c:v>
                </c:pt>
                <c:pt idx="343">
                  <c:v>32</c:v>
                </c:pt>
                <c:pt idx="344">
                  <c:v>32</c:v>
                </c:pt>
                <c:pt idx="345">
                  <c:v>34</c:v>
                </c:pt>
                <c:pt idx="346">
                  <c:v>28</c:v>
                </c:pt>
                <c:pt idx="347">
                  <c:v>28</c:v>
                </c:pt>
                <c:pt idx="348">
                  <c:v>28</c:v>
                </c:pt>
                <c:pt idx="349">
                  <c:v>28</c:v>
                </c:pt>
                <c:pt idx="350">
                  <c:v>28</c:v>
                </c:pt>
                <c:pt idx="351">
                  <c:v>28</c:v>
                </c:pt>
                <c:pt idx="352">
                  <c:v>30</c:v>
                </c:pt>
                <c:pt idx="353">
                  <c:v>30</c:v>
                </c:pt>
                <c:pt idx="354">
                  <c:v>30</c:v>
                </c:pt>
                <c:pt idx="355">
                  <c:v>30</c:v>
                </c:pt>
                <c:pt idx="356">
                  <c:v>30</c:v>
                </c:pt>
                <c:pt idx="357">
                  <c:v>30</c:v>
                </c:pt>
                <c:pt idx="358">
                  <c:v>30</c:v>
                </c:pt>
                <c:pt idx="359">
                  <c:v>30</c:v>
                </c:pt>
                <c:pt idx="360">
                  <c:v>30</c:v>
                </c:pt>
                <c:pt idx="361">
                  <c:v>30</c:v>
                </c:pt>
                <c:pt idx="362">
                  <c:v>30</c:v>
                </c:pt>
                <c:pt idx="363">
                  <c:v>30</c:v>
                </c:pt>
                <c:pt idx="364">
                  <c:v>30</c:v>
                </c:pt>
                <c:pt idx="365">
                  <c:v>30</c:v>
                </c:pt>
                <c:pt idx="366">
                  <c:v>30</c:v>
                </c:pt>
                <c:pt idx="367">
                  <c:v>30</c:v>
                </c:pt>
                <c:pt idx="368">
                  <c:v>30</c:v>
                </c:pt>
                <c:pt idx="369">
                  <c:v>30</c:v>
                </c:pt>
                <c:pt idx="370">
                  <c:v>30</c:v>
                </c:pt>
                <c:pt idx="371">
                  <c:v>30</c:v>
                </c:pt>
                <c:pt idx="372">
                  <c:v>30</c:v>
                </c:pt>
                <c:pt idx="373">
                  <c:v>30</c:v>
                </c:pt>
                <c:pt idx="374">
                  <c:v>30</c:v>
                </c:pt>
                <c:pt idx="375">
                  <c:v>30</c:v>
                </c:pt>
                <c:pt idx="376">
                  <c:v>30</c:v>
                </c:pt>
                <c:pt idx="377">
                  <c:v>30</c:v>
                </c:pt>
                <c:pt idx="378">
                  <c:v>30</c:v>
                </c:pt>
                <c:pt idx="379">
                  <c:v>30</c:v>
                </c:pt>
                <c:pt idx="380">
                  <c:v>33</c:v>
                </c:pt>
                <c:pt idx="381">
                  <c:v>33</c:v>
                </c:pt>
                <c:pt idx="382">
                  <c:v>33</c:v>
                </c:pt>
                <c:pt idx="383">
                  <c:v>33</c:v>
                </c:pt>
                <c:pt idx="384">
                  <c:v>33</c:v>
                </c:pt>
                <c:pt idx="385">
                  <c:v>33</c:v>
                </c:pt>
                <c:pt idx="386">
                  <c:v>33</c:v>
                </c:pt>
                <c:pt idx="387">
                  <c:v>36</c:v>
                </c:pt>
                <c:pt idx="388">
                  <c:v>36</c:v>
                </c:pt>
                <c:pt idx="389">
                  <c:v>36</c:v>
                </c:pt>
                <c:pt idx="390">
                  <c:v>36</c:v>
                </c:pt>
                <c:pt idx="391">
                  <c:v>36</c:v>
                </c:pt>
                <c:pt idx="392">
                  <c:v>36</c:v>
                </c:pt>
                <c:pt idx="393">
                  <c:v>36</c:v>
                </c:pt>
                <c:pt idx="394">
                  <c:v>39.5</c:v>
                </c:pt>
                <c:pt idx="395">
                  <c:v>32.5</c:v>
                </c:pt>
                <c:pt idx="396">
                  <c:v>32.5</c:v>
                </c:pt>
                <c:pt idx="397">
                  <c:v>32.5</c:v>
                </c:pt>
                <c:pt idx="398">
                  <c:v>32.5</c:v>
                </c:pt>
                <c:pt idx="399">
                  <c:v>32.5</c:v>
                </c:pt>
                <c:pt idx="400">
                  <c:v>32.5</c:v>
                </c:pt>
                <c:pt idx="401">
                  <c:v>36.5</c:v>
                </c:pt>
                <c:pt idx="402">
                  <c:v>36.5</c:v>
                </c:pt>
                <c:pt idx="403">
                  <c:v>36.5</c:v>
                </c:pt>
                <c:pt idx="404">
                  <c:v>36.5</c:v>
                </c:pt>
                <c:pt idx="405">
                  <c:v>36.5</c:v>
                </c:pt>
                <c:pt idx="406">
                  <c:v>36.5</c:v>
                </c:pt>
                <c:pt idx="407">
                  <c:v>36.5</c:v>
                </c:pt>
                <c:pt idx="408">
                  <c:v>40.5</c:v>
                </c:pt>
                <c:pt idx="409">
                  <c:v>35.5</c:v>
                </c:pt>
                <c:pt idx="410">
                  <c:v>35.5</c:v>
                </c:pt>
                <c:pt idx="411">
                  <c:v>35.5</c:v>
                </c:pt>
                <c:pt idx="412">
                  <c:v>35.5</c:v>
                </c:pt>
                <c:pt idx="413">
                  <c:v>35.5</c:v>
                </c:pt>
                <c:pt idx="414">
                  <c:v>35.5</c:v>
                </c:pt>
                <c:pt idx="415">
                  <c:v>38.5</c:v>
                </c:pt>
                <c:pt idx="416">
                  <c:v>38.5</c:v>
                </c:pt>
                <c:pt idx="417">
                  <c:v>38.5</c:v>
                </c:pt>
                <c:pt idx="418">
                  <c:v>38.5</c:v>
                </c:pt>
                <c:pt idx="419">
                  <c:v>38.5</c:v>
                </c:pt>
                <c:pt idx="420">
                  <c:v>38.5</c:v>
                </c:pt>
                <c:pt idx="421">
                  <c:v>38.5</c:v>
                </c:pt>
                <c:pt idx="422">
                  <c:v>41.5</c:v>
                </c:pt>
                <c:pt idx="423">
                  <c:v>38.5</c:v>
                </c:pt>
                <c:pt idx="424">
                  <c:v>38.5</c:v>
                </c:pt>
                <c:pt idx="425">
                  <c:v>38.5</c:v>
                </c:pt>
                <c:pt idx="426">
                  <c:v>38.5</c:v>
                </c:pt>
                <c:pt idx="427">
                  <c:v>38.5</c:v>
                </c:pt>
                <c:pt idx="428">
                  <c:v>38.5</c:v>
                </c:pt>
                <c:pt idx="429">
                  <c:v>41.5</c:v>
                </c:pt>
                <c:pt idx="430">
                  <c:v>41.5</c:v>
                </c:pt>
                <c:pt idx="431">
                  <c:v>41.5</c:v>
                </c:pt>
                <c:pt idx="432">
                  <c:v>41.5</c:v>
                </c:pt>
                <c:pt idx="433">
                  <c:v>41.5</c:v>
                </c:pt>
                <c:pt idx="434">
                  <c:v>41.5</c:v>
                </c:pt>
                <c:pt idx="435">
                  <c:v>41.5</c:v>
                </c:pt>
                <c:pt idx="436">
                  <c:v>45.5</c:v>
                </c:pt>
                <c:pt idx="437">
                  <c:v>40.5</c:v>
                </c:pt>
                <c:pt idx="438">
                  <c:v>40.5</c:v>
                </c:pt>
                <c:pt idx="439">
                  <c:v>40.5</c:v>
                </c:pt>
                <c:pt idx="440">
                  <c:v>40.5</c:v>
                </c:pt>
                <c:pt idx="441">
                  <c:v>40.5</c:v>
                </c:pt>
                <c:pt idx="442">
                  <c:v>40.5</c:v>
                </c:pt>
                <c:pt idx="443">
                  <c:v>43.5</c:v>
                </c:pt>
                <c:pt idx="444">
                  <c:v>43.5</c:v>
                </c:pt>
                <c:pt idx="445">
                  <c:v>43.5</c:v>
                </c:pt>
                <c:pt idx="446">
                  <c:v>43.5</c:v>
                </c:pt>
                <c:pt idx="447">
                  <c:v>43.5</c:v>
                </c:pt>
                <c:pt idx="448">
                  <c:v>43.5</c:v>
                </c:pt>
                <c:pt idx="449">
                  <c:v>43.5</c:v>
                </c:pt>
                <c:pt idx="450">
                  <c:v>46.5</c:v>
                </c:pt>
                <c:pt idx="451">
                  <c:v>42.5</c:v>
                </c:pt>
                <c:pt idx="452">
                  <c:v>42.5</c:v>
                </c:pt>
                <c:pt idx="453">
                  <c:v>42.5</c:v>
                </c:pt>
                <c:pt idx="454">
                  <c:v>42.5</c:v>
                </c:pt>
                <c:pt idx="455">
                  <c:v>42.5</c:v>
                </c:pt>
                <c:pt idx="456">
                  <c:v>42.5</c:v>
                </c:pt>
                <c:pt idx="457">
                  <c:v>45.5</c:v>
                </c:pt>
                <c:pt idx="458">
                  <c:v>45.5</c:v>
                </c:pt>
                <c:pt idx="459">
                  <c:v>45.5</c:v>
                </c:pt>
                <c:pt idx="460">
                  <c:v>45.5</c:v>
                </c:pt>
                <c:pt idx="461">
                  <c:v>45.5</c:v>
                </c:pt>
                <c:pt idx="462">
                  <c:v>45.5</c:v>
                </c:pt>
                <c:pt idx="463">
                  <c:v>45.5</c:v>
                </c:pt>
                <c:pt idx="464">
                  <c:v>47.5</c:v>
                </c:pt>
                <c:pt idx="465">
                  <c:v>42.5</c:v>
                </c:pt>
                <c:pt idx="466">
                  <c:v>42.5</c:v>
                </c:pt>
                <c:pt idx="467">
                  <c:v>42.5</c:v>
                </c:pt>
                <c:pt idx="468">
                  <c:v>42.5</c:v>
                </c:pt>
                <c:pt idx="469">
                  <c:v>42.5</c:v>
                </c:pt>
                <c:pt idx="470">
                  <c:v>42.5</c:v>
                </c:pt>
                <c:pt idx="471">
                  <c:v>44.5</c:v>
                </c:pt>
                <c:pt idx="472">
                  <c:v>44.5</c:v>
                </c:pt>
                <c:pt idx="473">
                  <c:v>44.5</c:v>
                </c:pt>
                <c:pt idx="474">
                  <c:v>44.5</c:v>
                </c:pt>
                <c:pt idx="475">
                  <c:v>44.5</c:v>
                </c:pt>
                <c:pt idx="476">
                  <c:v>44.5</c:v>
                </c:pt>
                <c:pt idx="477">
                  <c:v>44.5</c:v>
                </c:pt>
                <c:pt idx="478">
                  <c:v>46.5</c:v>
                </c:pt>
                <c:pt idx="479">
                  <c:v>46.5</c:v>
                </c:pt>
                <c:pt idx="480">
                  <c:v>46.5</c:v>
                </c:pt>
                <c:pt idx="481">
                  <c:v>46.5</c:v>
                </c:pt>
                <c:pt idx="482">
                  <c:v>46.5</c:v>
                </c:pt>
                <c:pt idx="483">
                  <c:v>46.5</c:v>
                </c:pt>
                <c:pt idx="484">
                  <c:v>46.5</c:v>
                </c:pt>
                <c:pt idx="485">
                  <c:v>48.5</c:v>
                </c:pt>
                <c:pt idx="486">
                  <c:v>48.5</c:v>
                </c:pt>
                <c:pt idx="487">
                  <c:v>48.5</c:v>
                </c:pt>
                <c:pt idx="488">
                  <c:v>48.5</c:v>
                </c:pt>
                <c:pt idx="489">
                  <c:v>48.5</c:v>
                </c:pt>
                <c:pt idx="490">
                  <c:v>48.5</c:v>
                </c:pt>
                <c:pt idx="491">
                  <c:v>48.5</c:v>
                </c:pt>
                <c:pt idx="492">
                  <c:v>50.5</c:v>
                </c:pt>
                <c:pt idx="493">
                  <c:v>43</c:v>
                </c:pt>
                <c:pt idx="494">
                  <c:v>43</c:v>
                </c:pt>
                <c:pt idx="495">
                  <c:v>43</c:v>
                </c:pt>
                <c:pt idx="496">
                  <c:v>43</c:v>
                </c:pt>
                <c:pt idx="497">
                  <c:v>43</c:v>
                </c:pt>
                <c:pt idx="498">
                  <c:v>43</c:v>
                </c:pt>
                <c:pt idx="499">
                  <c:v>45</c:v>
                </c:pt>
                <c:pt idx="500">
                  <c:v>45</c:v>
                </c:pt>
                <c:pt idx="501">
                  <c:v>45</c:v>
                </c:pt>
                <c:pt idx="502">
                  <c:v>45</c:v>
                </c:pt>
                <c:pt idx="503">
                  <c:v>45</c:v>
                </c:pt>
                <c:pt idx="504">
                  <c:v>45</c:v>
                </c:pt>
                <c:pt idx="505">
                  <c:v>45</c:v>
                </c:pt>
                <c:pt idx="506">
                  <c:v>47</c:v>
                </c:pt>
                <c:pt idx="507">
                  <c:v>37.5</c:v>
                </c:pt>
                <c:pt idx="508">
                  <c:v>37.5</c:v>
                </c:pt>
                <c:pt idx="509">
                  <c:v>37.5</c:v>
                </c:pt>
                <c:pt idx="510">
                  <c:v>37.5</c:v>
                </c:pt>
                <c:pt idx="511">
                  <c:v>37.5</c:v>
                </c:pt>
                <c:pt idx="512">
                  <c:v>37.5</c:v>
                </c:pt>
                <c:pt idx="513">
                  <c:v>39.5</c:v>
                </c:pt>
                <c:pt idx="514">
                  <c:v>39.5</c:v>
                </c:pt>
                <c:pt idx="515">
                  <c:v>39.5</c:v>
                </c:pt>
                <c:pt idx="516">
                  <c:v>39.5</c:v>
                </c:pt>
                <c:pt idx="517">
                  <c:v>39.5</c:v>
                </c:pt>
                <c:pt idx="518">
                  <c:v>39.5</c:v>
                </c:pt>
                <c:pt idx="519">
                  <c:v>39.5</c:v>
                </c:pt>
                <c:pt idx="520">
                  <c:v>41.5</c:v>
                </c:pt>
                <c:pt idx="521">
                  <c:v>41.5</c:v>
                </c:pt>
                <c:pt idx="522">
                  <c:v>41.5</c:v>
                </c:pt>
                <c:pt idx="523">
                  <c:v>41.5</c:v>
                </c:pt>
                <c:pt idx="524">
                  <c:v>41.5</c:v>
                </c:pt>
                <c:pt idx="525">
                  <c:v>41.5</c:v>
                </c:pt>
                <c:pt idx="526">
                  <c:v>41.5</c:v>
                </c:pt>
                <c:pt idx="527">
                  <c:v>44.5</c:v>
                </c:pt>
                <c:pt idx="528">
                  <c:v>36</c:v>
                </c:pt>
                <c:pt idx="529">
                  <c:v>36</c:v>
                </c:pt>
                <c:pt idx="530">
                  <c:v>36</c:v>
                </c:pt>
                <c:pt idx="531">
                  <c:v>36</c:v>
                </c:pt>
                <c:pt idx="532">
                  <c:v>36</c:v>
                </c:pt>
                <c:pt idx="533">
                  <c:v>36</c:v>
                </c:pt>
                <c:pt idx="534">
                  <c:v>39</c:v>
                </c:pt>
                <c:pt idx="535">
                  <c:v>39</c:v>
                </c:pt>
                <c:pt idx="536">
                  <c:v>39</c:v>
                </c:pt>
                <c:pt idx="537">
                  <c:v>39</c:v>
                </c:pt>
                <c:pt idx="538">
                  <c:v>39</c:v>
                </c:pt>
                <c:pt idx="539">
                  <c:v>39</c:v>
                </c:pt>
                <c:pt idx="540">
                  <c:v>39</c:v>
                </c:pt>
                <c:pt idx="541">
                  <c:v>41</c:v>
                </c:pt>
                <c:pt idx="542">
                  <c:v>33</c:v>
                </c:pt>
                <c:pt idx="543">
                  <c:v>33</c:v>
                </c:pt>
                <c:pt idx="544">
                  <c:v>33</c:v>
                </c:pt>
                <c:pt idx="545">
                  <c:v>33</c:v>
                </c:pt>
                <c:pt idx="546">
                  <c:v>33</c:v>
                </c:pt>
                <c:pt idx="547">
                  <c:v>33</c:v>
                </c:pt>
                <c:pt idx="548">
                  <c:v>36</c:v>
                </c:pt>
                <c:pt idx="549">
                  <c:v>36</c:v>
                </c:pt>
                <c:pt idx="550">
                  <c:v>36</c:v>
                </c:pt>
                <c:pt idx="551">
                  <c:v>36</c:v>
                </c:pt>
                <c:pt idx="552">
                  <c:v>36</c:v>
                </c:pt>
                <c:pt idx="553">
                  <c:v>36</c:v>
                </c:pt>
                <c:pt idx="554">
                  <c:v>36</c:v>
                </c:pt>
                <c:pt idx="555">
                  <c:v>38</c:v>
                </c:pt>
                <c:pt idx="556">
                  <c:v>34</c:v>
                </c:pt>
                <c:pt idx="557">
                  <c:v>34</c:v>
                </c:pt>
                <c:pt idx="558">
                  <c:v>34</c:v>
                </c:pt>
                <c:pt idx="559">
                  <c:v>34</c:v>
                </c:pt>
                <c:pt idx="560">
                  <c:v>34</c:v>
                </c:pt>
                <c:pt idx="561">
                  <c:v>34</c:v>
                </c:pt>
                <c:pt idx="562">
                  <c:v>36</c:v>
                </c:pt>
                <c:pt idx="563">
                  <c:v>36</c:v>
                </c:pt>
                <c:pt idx="564">
                  <c:v>36</c:v>
                </c:pt>
                <c:pt idx="565">
                  <c:v>36</c:v>
                </c:pt>
                <c:pt idx="566">
                  <c:v>36</c:v>
                </c:pt>
                <c:pt idx="567">
                  <c:v>36</c:v>
                </c:pt>
                <c:pt idx="568">
                  <c:v>36</c:v>
                </c:pt>
                <c:pt idx="569">
                  <c:v>38</c:v>
                </c:pt>
                <c:pt idx="570">
                  <c:v>32</c:v>
                </c:pt>
                <c:pt idx="571">
                  <c:v>32</c:v>
                </c:pt>
                <c:pt idx="572">
                  <c:v>32</c:v>
                </c:pt>
                <c:pt idx="573">
                  <c:v>32</c:v>
                </c:pt>
                <c:pt idx="574">
                  <c:v>32</c:v>
                </c:pt>
                <c:pt idx="575">
                  <c:v>32</c:v>
                </c:pt>
                <c:pt idx="576">
                  <c:v>34</c:v>
                </c:pt>
                <c:pt idx="577">
                  <c:v>34</c:v>
                </c:pt>
                <c:pt idx="578">
                  <c:v>34</c:v>
                </c:pt>
                <c:pt idx="579">
                  <c:v>34</c:v>
                </c:pt>
                <c:pt idx="580">
                  <c:v>34</c:v>
                </c:pt>
                <c:pt idx="581">
                  <c:v>34</c:v>
                </c:pt>
                <c:pt idx="582">
                  <c:v>34</c:v>
                </c:pt>
                <c:pt idx="583">
                  <c:v>36</c:v>
                </c:pt>
                <c:pt idx="584">
                  <c:v>31</c:v>
                </c:pt>
                <c:pt idx="585">
                  <c:v>31</c:v>
                </c:pt>
                <c:pt idx="586">
                  <c:v>31</c:v>
                </c:pt>
                <c:pt idx="587">
                  <c:v>31</c:v>
                </c:pt>
                <c:pt idx="588">
                  <c:v>31</c:v>
                </c:pt>
                <c:pt idx="589">
                  <c:v>31</c:v>
                </c:pt>
                <c:pt idx="590">
                  <c:v>33</c:v>
                </c:pt>
                <c:pt idx="591">
                  <c:v>33</c:v>
                </c:pt>
                <c:pt idx="592">
                  <c:v>33</c:v>
                </c:pt>
                <c:pt idx="593">
                  <c:v>33</c:v>
                </c:pt>
                <c:pt idx="594">
                  <c:v>33</c:v>
                </c:pt>
                <c:pt idx="595">
                  <c:v>33</c:v>
                </c:pt>
                <c:pt idx="596">
                  <c:v>33</c:v>
                </c:pt>
                <c:pt idx="597">
                  <c:v>35</c:v>
                </c:pt>
                <c:pt idx="598">
                  <c:v>30</c:v>
                </c:pt>
                <c:pt idx="599">
                  <c:v>30</c:v>
                </c:pt>
                <c:pt idx="600">
                  <c:v>30</c:v>
                </c:pt>
                <c:pt idx="601">
                  <c:v>30</c:v>
                </c:pt>
                <c:pt idx="602">
                  <c:v>30</c:v>
                </c:pt>
                <c:pt idx="603">
                  <c:v>30</c:v>
                </c:pt>
                <c:pt idx="604">
                  <c:v>32</c:v>
                </c:pt>
                <c:pt idx="605">
                  <c:v>32</c:v>
                </c:pt>
                <c:pt idx="606">
                  <c:v>32</c:v>
                </c:pt>
                <c:pt idx="607">
                  <c:v>32</c:v>
                </c:pt>
                <c:pt idx="608">
                  <c:v>32</c:v>
                </c:pt>
                <c:pt idx="609">
                  <c:v>32</c:v>
                </c:pt>
                <c:pt idx="610">
                  <c:v>32</c:v>
                </c:pt>
                <c:pt idx="611">
                  <c:v>34</c:v>
                </c:pt>
                <c:pt idx="612">
                  <c:v>34</c:v>
                </c:pt>
                <c:pt idx="613">
                  <c:v>34</c:v>
                </c:pt>
                <c:pt idx="614">
                  <c:v>34</c:v>
                </c:pt>
                <c:pt idx="615">
                  <c:v>34</c:v>
                </c:pt>
                <c:pt idx="616">
                  <c:v>34</c:v>
                </c:pt>
                <c:pt idx="617">
                  <c:v>34</c:v>
                </c:pt>
                <c:pt idx="618">
                  <c:v>36</c:v>
                </c:pt>
                <c:pt idx="619">
                  <c:v>27</c:v>
                </c:pt>
                <c:pt idx="620">
                  <c:v>27</c:v>
                </c:pt>
                <c:pt idx="621">
                  <c:v>27</c:v>
                </c:pt>
                <c:pt idx="622">
                  <c:v>27</c:v>
                </c:pt>
                <c:pt idx="623">
                  <c:v>27</c:v>
                </c:pt>
                <c:pt idx="624">
                  <c:v>27</c:v>
                </c:pt>
                <c:pt idx="625">
                  <c:v>29</c:v>
                </c:pt>
                <c:pt idx="626">
                  <c:v>29</c:v>
                </c:pt>
                <c:pt idx="627">
                  <c:v>29</c:v>
                </c:pt>
                <c:pt idx="628">
                  <c:v>29</c:v>
                </c:pt>
                <c:pt idx="629">
                  <c:v>29</c:v>
                </c:pt>
                <c:pt idx="630">
                  <c:v>29</c:v>
                </c:pt>
                <c:pt idx="631">
                  <c:v>29</c:v>
                </c:pt>
                <c:pt idx="632">
                  <c:v>31</c:v>
                </c:pt>
                <c:pt idx="633">
                  <c:v>27</c:v>
                </c:pt>
                <c:pt idx="634">
                  <c:v>27</c:v>
                </c:pt>
                <c:pt idx="635">
                  <c:v>27</c:v>
                </c:pt>
                <c:pt idx="636">
                  <c:v>27</c:v>
                </c:pt>
                <c:pt idx="637">
                  <c:v>27</c:v>
                </c:pt>
                <c:pt idx="638">
                  <c:v>27</c:v>
                </c:pt>
                <c:pt idx="639">
                  <c:v>29</c:v>
                </c:pt>
                <c:pt idx="640">
                  <c:v>29</c:v>
                </c:pt>
                <c:pt idx="641">
                  <c:v>29</c:v>
                </c:pt>
                <c:pt idx="642">
                  <c:v>29</c:v>
                </c:pt>
                <c:pt idx="643">
                  <c:v>29</c:v>
                </c:pt>
                <c:pt idx="644">
                  <c:v>29</c:v>
                </c:pt>
                <c:pt idx="645">
                  <c:v>29</c:v>
                </c:pt>
                <c:pt idx="646">
                  <c:v>31</c:v>
                </c:pt>
                <c:pt idx="647">
                  <c:v>26</c:v>
                </c:pt>
                <c:pt idx="648">
                  <c:v>26</c:v>
                </c:pt>
                <c:pt idx="649">
                  <c:v>26</c:v>
                </c:pt>
                <c:pt idx="650">
                  <c:v>26</c:v>
                </c:pt>
                <c:pt idx="651">
                  <c:v>26</c:v>
                </c:pt>
                <c:pt idx="652">
                  <c:v>26</c:v>
                </c:pt>
                <c:pt idx="653">
                  <c:v>28</c:v>
                </c:pt>
                <c:pt idx="654">
                  <c:v>28</c:v>
                </c:pt>
                <c:pt idx="655">
                  <c:v>28</c:v>
                </c:pt>
                <c:pt idx="656">
                  <c:v>28</c:v>
                </c:pt>
                <c:pt idx="657">
                  <c:v>28</c:v>
                </c:pt>
                <c:pt idx="658">
                  <c:v>28</c:v>
                </c:pt>
                <c:pt idx="659">
                  <c:v>28</c:v>
                </c:pt>
                <c:pt idx="660">
                  <c:v>30</c:v>
                </c:pt>
                <c:pt idx="661">
                  <c:v>25</c:v>
                </c:pt>
                <c:pt idx="662">
                  <c:v>25</c:v>
                </c:pt>
                <c:pt idx="663">
                  <c:v>25</c:v>
                </c:pt>
                <c:pt idx="664">
                  <c:v>25</c:v>
                </c:pt>
                <c:pt idx="665">
                  <c:v>25</c:v>
                </c:pt>
                <c:pt idx="666">
                  <c:v>25</c:v>
                </c:pt>
                <c:pt idx="667">
                  <c:v>28</c:v>
                </c:pt>
                <c:pt idx="668">
                  <c:v>28</c:v>
                </c:pt>
                <c:pt idx="669">
                  <c:v>28</c:v>
                </c:pt>
                <c:pt idx="670">
                  <c:v>28</c:v>
                </c:pt>
                <c:pt idx="671">
                  <c:v>28</c:v>
                </c:pt>
                <c:pt idx="672">
                  <c:v>28</c:v>
                </c:pt>
                <c:pt idx="673">
                  <c:v>28</c:v>
                </c:pt>
                <c:pt idx="674">
                  <c:v>32</c:v>
                </c:pt>
                <c:pt idx="675">
                  <c:v>27</c:v>
                </c:pt>
                <c:pt idx="676">
                  <c:v>27</c:v>
                </c:pt>
                <c:pt idx="677">
                  <c:v>27</c:v>
                </c:pt>
                <c:pt idx="678">
                  <c:v>27</c:v>
                </c:pt>
                <c:pt idx="679">
                  <c:v>27</c:v>
                </c:pt>
                <c:pt idx="680">
                  <c:v>27</c:v>
                </c:pt>
                <c:pt idx="681">
                  <c:v>31</c:v>
                </c:pt>
                <c:pt idx="682">
                  <c:v>31</c:v>
                </c:pt>
                <c:pt idx="683">
                  <c:v>31</c:v>
                </c:pt>
                <c:pt idx="684">
                  <c:v>31</c:v>
                </c:pt>
                <c:pt idx="685">
                  <c:v>31</c:v>
                </c:pt>
                <c:pt idx="686">
                  <c:v>31</c:v>
                </c:pt>
                <c:pt idx="687">
                  <c:v>31</c:v>
                </c:pt>
                <c:pt idx="688">
                  <c:v>36</c:v>
                </c:pt>
                <c:pt idx="689">
                  <c:v>36</c:v>
                </c:pt>
                <c:pt idx="690">
                  <c:v>36</c:v>
                </c:pt>
                <c:pt idx="691">
                  <c:v>36</c:v>
                </c:pt>
                <c:pt idx="692">
                  <c:v>36</c:v>
                </c:pt>
                <c:pt idx="693">
                  <c:v>36</c:v>
                </c:pt>
                <c:pt idx="694">
                  <c:v>36</c:v>
                </c:pt>
                <c:pt idx="695">
                  <c:v>40</c:v>
                </c:pt>
                <c:pt idx="696">
                  <c:v>40</c:v>
                </c:pt>
                <c:pt idx="697">
                  <c:v>40</c:v>
                </c:pt>
                <c:pt idx="698">
                  <c:v>40</c:v>
                </c:pt>
                <c:pt idx="699">
                  <c:v>40</c:v>
                </c:pt>
                <c:pt idx="700">
                  <c:v>40</c:v>
                </c:pt>
                <c:pt idx="701">
                  <c:v>40</c:v>
                </c:pt>
                <c:pt idx="702">
                  <c:v>44</c:v>
                </c:pt>
                <c:pt idx="703">
                  <c:v>44</c:v>
                </c:pt>
                <c:pt idx="704">
                  <c:v>44</c:v>
                </c:pt>
                <c:pt idx="705">
                  <c:v>44</c:v>
                </c:pt>
                <c:pt idx="706">
                  <c:v>44</c:v>
                </c:pt>
                <c:pt idx="707">
                  <c:v>44</c:v>
                </c:pt>
                <c:pt idx="708">
                  <c:v>44</c:v>
                </c:pt>
                <c:pt idx="709">
                  <c:v>49</c:v>
                </c:pt>
                <c:pt idx="710">
                  <c:v>42</c:v>
                </c:pt>
                <c:pt idx="711">
                  <c:v>42</c:v>
                </c:pt>
                <c:pt idx="712">
                  <c:v>42</c:v>
                </c:pt>
                <c:pt idx="713">
                  <c:v>42</c:v>
                </c:pt>
                <c:pt idx="714">
                  <c:v>42</c:v>
                </c:pt>
                <c:pt idx="715">
                  <c:v>42</c:v>
                </c:pt>
                <c:pt idx="716">
                  <c:v>46</c:v>
                </c:pt>
                <c:pt idx="717">
                  <c:v>46</c:v>
                </c:pt>
                <c:pt idx="718">
                  <c:v>46</c:v>
                </c:pt>
                <c:pt idx="719">
                  <c:v>46</c:v>
                </c:pt>
                <c:pt idx="720">
                  <c:v>46</c:v>
                </c:pt>
                <c:pt idx="721">
                  <c:v>46</c:v>
                </c:pt>
                <c:pt idx="722">
                  <c:v>46</c:v>
                </c:pt>
                <c:pt idx="723">
                  <c:v>46</c:v>
                </c:pt>
                <c:pt idx="724">
                  <c:v>46</c:v>
                </c:pt>
                <c:pt idx="725">
                  <c:v>46</c:v>
                </c:pt>
                <c:pt idx="726">
                  <c:v>46</c:v>
                </c:pt>
                <c:pt idx="727">
                  <c:v>46</c:v>
                </c:pt>
                <c:pt idx="728">
                  <c:v>46</c:v>
                </c:pt>
                <c:pt idx="729">
                  <c:v>46</c:v>
                </c:pt>
                <c:pt idx="730">
                  <c:v>46</c:v>
                </c:pt>
                <c:pt idx="731">
                  <c:v>46</c:v>
                </c:pt>
                <c:pt idx="732">
                  <c:v>46</c:v>
                </c:pt>
                <c:pt idx="733">
                  <c:v>46</c:v>
                </c:pt>
                <c:pt idx="734">
                  <c:v>46</c:v>
                </c:pt>
                <c:pt idx="735">
                  <c:v>46</c:v>
                </c:pt>
                <c:pt idx="736">
                  <c:v>46</c:v>
                </c:pt>
                <c:pt idx="737">
                  <c:v>46</c:v>
                </c:pt>
                <c:pt idx="738">
                  <c:v>46</c:v>
                </c:pt>
                <c:pt idx="739">
                  <c:v>46</c:v>
                </c:pt>
                <c:pt idx="740">
                  <c:v>46</c:v>
                </c:pt>
                <c:pt idx="741">
                  <c:v>46</c:v>
                </c:pt>
                <c:pt idx="742">
                  <c:v>46</c:v>
                </c:pt>
                <c:pt idx="743">
                  <c:v>46</c:v>
                </c:pt>
                <c:pt idx="744">
                  <c:v>51</c:v>
                </c:pt>
                <c:pt idx="745">
                  <c:v>51</c:v>
                </c:pt>
                <c:pt idx="746">
                  <c:v>51</c:v>
                </c:pt>
                <c:pt idx="747">
                  <c:v>51</c:v>
                </c:pt>
                <c:pt idx="748">
                  <c:v>51</c:v>
                </c:pt>
                <c:pt idx="749">
                  <c:v>51</c:v>
                </c:pt>
                <c:pt idx="750">
                  <c:v>51</c:v>
                </c:pt>
                <c:pt idx="751">
                  <c:v>55</c:v>
                </c:pt>
                <c:pt idx="752">
                  <c:v>55</c:v>
                </c:pt>
                <c:pt idx="753">
                  <c:v>55</c:v>
                </c:pt>
                <c:pt idx="754">
                  <c:v>55</c:v>
                </c:pt>
                <c:pt idx="755">
                  <c:v>55</c:v>
                </c:pt>
                <c:pt idx="756">
                  <c:v>55</c:v>
                </c:pt>
                <c:pt idx="757">
                  <c:v>55</c:v>
                </c:pt>
                <c:pt idx="758">
                  <c:v>59</c:v>
                </c:pt>
                <c:pt idx="759">
                  <c:v>53</c:v>
                </c:pt>
                <c:pt idx="760">
                  <c:v>53</c:v>
                </c:pt>
                <c:pt idx="761">
                  <c:v>53</c:v>
                </c:pt>
                <c:pt idx="762">
                  <c:v>53</c:v>
                </c:pt>
                <c:pt idx="763">
                  <c:v>53</c:v>
                </c:pt>
                <c:pt idx="764">
                  <c:v>53</c:v>
                </c:pt>
                <c:pt idx="765">
                  <c:v>56</c:v>
                </c:pt>
                <c:pt idx="766">
                  <c:v>56</c:v>
                </c:pt>
                <c:pt idx="767">
                  <c:v>56</c:v>
                </c:pt>
                <c:pt idx="768">
                  <c:v>56</c:v>
                </c:pt>
                <c:pt idx="769">
                  <c:v>56</c:v>
                </c:pt>
                <c:pt idx="770">
                  <c:v>56</c:v>
                </c:pt>
                <c:pt idx="771">
                  <c:v>56</c:v>
                </c:pt>
                <c:pt idx="772">
                  <c:v>60</c:v>
                </c:pt>
                <c:pt idx="773">
                  <c:v>51</c:v>
                </c:pt>
                <c:pt idx="774">
                  <c:v>51</c:v>
                </c:pt>
                <c:pt idx="775">
                  <c:v>51</c:v>
                </c:pt>
                <c:pt idx="776">
                  <c:v>51</c:v>
                </c:pt>
                <c:pt idx="777">
                  <c:v>51</c:v>
                </c:pt>
                <c:pt idx="778">
                  <c:v>51</c:v>
                </c:pt>
                <c:pt idx="779">
                  <c:v>54</c:v>
                </c:pt>
                <c:pt idx="780">
                  <c:v>54</c:v>
                </c:pt>
                <c:pt idx="781">
                  <c:v>54</c:v>
                </c:pt>
                <c:pt idx="782">
                  <c:v>54</c:v>
                </c:pt>
                <c:pt idx="783">
                  <c:v>54</c:v>
                </c:pt>
                <c:pt idx="784">
                  <c:v>54</c:v>
                </c:pt>
                <c:pt idx="785">
                  <c:v>54</c:v>
                </c:pt>
                <c:pt idx="786">
                  <c:v>57</c:v>
                </c:pt>
                <c:pt idx="787">
                  <c:v>49</c:v>
                </c:pt>
                <c:pt idx="788">
                  <c:v>49</c:v>
                </c:pt>
                <c:pt idx="789">
                  <c:v>49</c:v>
                </c:pt>
                <c:pt idx="790">
                  <c:v>49</c:v>
                </c:pt>
                <c:pt idx="791">
                  <c:v>49</c:v>
                </c:pt>
                <c:pt idx="792">
                  <c:v>49</c:v>
                </c:pt>
                <c:pt idx="793">
                  <c:v>51</c:v>
                </c:pt>
                <c:pt idx="794">
                  <c:v>51</c:v>
                </c:pt>
                <c:pt idx="795">
                  <c:v>51</c:v>
                </c:pt>
                <c:pt idx="796">
                  <c:v>51</c:v>
                </c:pt>
                <c:pt idx="797">
                  <c:v>51</c:v>
                </c:pt>
                <c:pt idx="798">
                  <c:v>51</c:v>
                </c:pt>
                <c:pt idx="799">
                  <c:v>51</c:v>
                </c:pt>
                <c:pt idx="800">
                  <c:v>53</c:v>
                </c:pt>
                <c:pt idx="801">
                  <c:v>45.5</c:v>
                </c:pt>
                <c:pt idx="802">
                  <c:v>45.5</c:v>
                </c:pt>
                <c:pt idx="803">
                  <c:v>45.5</c:v>
                </c:pt>
                <c:pt idx="804">
                  <c:v>45.5</c:v>
                </c:pt>
                <c:pt idx="805">
                  <c:v>45.5</c:v>
                </c:pt>
                <c:pt idx="806">
                  <c:v>45.5</c:v>
                </c:pt>
                <c:pt idx="807">
                  <c:v>47.5</c:v>
                </c:pt>
                <c:pt idx="808">
                  <c:v>47.5</c:v>
                </c:pt>
                <c:pt idx="809">
                  <c:v>47.5</c:v>
                </c:pt>
                <c:pt idx="810">
                  <c:v>47.5</c:v>
                </c:pt>
                <c:pt idx="811">
                  <c:v>47.5</c:v>
                </c:pt>
                <c:pt idx="812">
                  <c:v>47.5</c:v>
                </c:pt>
                <c:pt idx="813">
                  <c:v>47.5</c:v>
                </c:pt>
                <c:pt idx="814">
                  <c:v>49.5</c:v>
                </c:pt>
                <c:pt idx="815">
                  <c:v>44</c:v>
                </c:pt>
                <c:pt idx="816">
                  <c:v>44</c:v>
                </c:pt>
                <c:pt idx="817">
                  <c:v>44</c:v>
                </c:pt>
                <c:pt idx="818">
                  <c:v>44</c:v>
                </c:pt>
                <c:pt idx="819">
                  <c:v>44</c:v>
                </c:pt>
                <c:pt idx="820">
                  <c:v>44</c:v>
                </c:pt>
                <c:pt idx="821">
                  <c:v>46</c:v>
                </c:pt>
                <c:pt idx="822">
                  <c:v>46</c:v>
                </c:pt>
                <c:pt idx="823">
                  <c:v>46</c:v>
                </c:pt>
                <c:pt idx="824">
                  <c:v>46</c:v>
                </c:pt>
                <c:pt idx="825">
                  <c:v>46</c:v>
                </c:pt>
                <c:pt idx="826">
                  <c:v>46</c:v>
                </c:pt>
                <c:pt idx="827">
                  <c:v>46</c:v>
                </c:pt>
                <c:pt idx="828">
                  <c:v>48</c:v>
                </c:pt>
              </c:numCache>
            </c:numRef>
          </c:val>
          <c:extLst>
            <c:ext xmlns:c16="http://schemas.microsoft.com/office/drawing/2014/chart" uri="{C3380CC4-5D6E-409C-BE32-E72D297353CC}">
              <c16:uniqueId val="{00000000-6F4B-1E4D-82CD-ACCA5756806B}"/>
            </c:ext>
          </c:extLst>
        </c:ser>
        <c:dLbls>
          <c:showLegendKey val="0"/>
          <c:showVal val="0"/>
          <c:showCatName val="0"/>
          <c:showSerName val="0"/>
          <c:showPercent val="0"/>
          <c:showBubbleSize val="0"/>
        </c:dLbls>
        <c:gapWidth val="50"/>
        <c:overlap val="-27"/>
        <c:axId val="979552176"/>
        <c:axId val="979550256"/>
      </c:barChart>
      <c:lineChart>
        <c:grouping val="standard"/>
        <c:varyColors val="0"/>
        <c:ser>
          <c:idx val="1"/>
          <c:order val="1"/>
          <c:tx>
            <c:strRef>
              <c:f>'Cash v Tnotes'!$E$2</c:f>
              <c:strCache>
                <c:ptCount val="1"/>
                <c:pt idx="0">
                  <c:v>CMA Balance</c:v>
                </c:pt>
              </c:strCache>
            </c:strRef>
          </c:tx>
          <c:spPr>
            <a:ln w="28575" cap="rnd">
              <a:solidFill>
                <a:schemeClr val="accent2"/>
              </a:solidFill>
              <a:round/>
            </a:ln>
            <a:effectLst/>
          </c:spPr>
          <c:marker>
            <c:symbol val="none"/>
          </c:marker>
          <c:cat>
            <c:numRef>
              <c:f>'Cash v Tnotes'!$C$3:$C$831</c:f>
              <c:numCache>
                <c:formatCode>[$-C09]dd\-mmm\-yy;@</c:formatCode>
                <c:ptCount val="829"/>
                <c:pt idx="0">
                  <c:v>45292</c:v>
                </c:pt>
                <c:pt idx="1">
                  <c:v>45293</c:v>
                </c:pt>
                <c:pt idx="2">
                  <c:v>45294</c:v>
                </c:pt>
                <c:pt idx="3">
                  <c:v>45295</c:v>
                </c:pt>
                <c:pt idx="4">
                  <c:v>45296</c:v>
                </c:pt>
                <c:pt idx="5">
                  <c:v>45297</c:v>
                </c:pt>
                <c:pt idx="6">
                  <c:v>45298</c:v>
                </c:pt>
                <c:pt idx="7">
                  <c:v>45299</c:v>
                </c:pt>
                <c:pt idx="8">
                  <c:v>45300</c:v>
                </c:pt>
                <c:pt idx="9">
                  <c:v>45301</c:v>
                </c:pt>
                <c:pt idx="10">
                  <c:v>45302</c:v>
                </c:pt>
                <c:pt idx="11">
                  <c:v>45303</c:v>
                </c:pt>
                <c:pt idx="12">
                  <c:v>45304</c:v>
                </c:pt>
                <c:pt idx="13">
                  <c:v>45305</c:v>
                </c:pt>
                <c:pt idx="14">
                  <c:v>45306</c:v>
                </c:pt>
                <c:pt idx="15">
                  <c:v>45307</c:v>
                </c:pt>
                <c:pt idx="16">
                  <c:v>45308</c:v>
                </c:pt>
                <c:pt idx="17">
                  <c:v>45309</c:v>
                </c:pt>
                <c:pt idx="18">
                  <c:v>45310</c:v>
                </c:pt>
                <c:pt idx="19">
                  <c:v>45311</c:v>
                </c:pt>
                <c:pt idx="20">
                  <c:v>45312</c:v>
                </c:pt>
                <c:pt idx="21">
                  <c:v>45313</c:v>
                </c:pt>
                <c:pt idx="22">
                  <c:v>45314</c:v>
                </c:pt>
                <c:pt idx="23">
                  <c:v>45315</c:v>
                </c:pt>
                <c:pt idx="24">
                  <c:v>45316</c:v>
                </c:pt>
                <c:pt idx="25">
                  <c:v>45317</c:v>
                </c:pt>
                <c:pt idx="26">
                  <c:v>45318</c:v>
                </c:pt>
                <c:pt idx="27">
                  <c:v>45319</c:v>
                </c:pt>
                <c:pt idx="28">
                  <c:v>45320</c:v>
                </c:pt>
                <c:pt idx="29">
                  <c:v>45321</c:v>
                </c:pt>
                <c:pt idx="30">
                  <c:v>45322</c:v>
                </c:pt>
                <c:pt idx="31">
                  <c:v>45323</c:v>
                </c:pt>
                <c:pt idx="32">
                  <c:v>45324</c:v>
                </c:pt>
                <c:pt idx="33">
                  <c:v>45325</c:v>
                </c:pt>
                <c:pt idx="34">
                  <c:v>45326</c:v>
                </c:pt>
                <c:pt idx="35">
                  <c:v>45327</c:v>
                </c:pt>
                <c:pt idx="36">
                  <c:v>45328</c:v>
                </c:pt>
                <c:pt idx="37">
                  <c:v>45329</c:v>
                </c:pt>
                <c:pt idx="38">
                  <c:v>45330</c:v>
                </c:pt>
                <c:pt idx="39">
                  <c:v>45331</c:v>
                </c:pt>
                <c:pt idx="40">
                  <c:v>45332</c:v>
                </c:pt>
                <c:pt idx="41">
                  <c:v>45333</c:v>
                </c:pt>
                <c:pt idx="42">
                  <c:v>45334</c:v>
                </c:pt>
                <c:pt idx="43">
                  <c:v>45335</c:v>
                </c:pt>
                <c:pt idx="44">
                  <c:v>45336</c:v>
                </c:pt>
                <c:pt idx="45">
                  <c:v>45337</c:v>
                </c:pt>
                <c:pt idx="46">
                  <c:v>45338</c:v>
                </c:pt>
                <c:pt idx="47">
                  <c:v>45339</c:v>
                </c:pt>
                <c:pt idx="48">
                  <c:v>45340</c:v>
                </c:pt>
                <c:pt idx="49">
                  <c:v>45341</c:v>
                </c:pt>
                <c:pt idx="50">
                  <c:v>45342</c:v>
                </c:pt>
                <c:pt idx="51">
                  <c:v>45343</c:v>
                </c:pt>
                <c:pt idx="52">
                  <c:v>45344</c:v>
                </c:pt>
                <c:pt idx="53">
                  <c:v>45345</c:v>
                </c:pt>
                <c:pt idx="54">
                  <c:v>45346</c:v>
                </c:pt>
                <c:pt idx="55">
                  <c:v>45347</c:v>
                </c:pt>
                <c:pt idx="56">
                  <c:v>45348</c:v>
                </c:pt>
                <c:pt idx="57">
                  <c:v>45349</c:v>
                </c:pt>
                <c:pt idx="58">
                  <c:v>45350</c:v>
                </c:pt>
                <c:pt idx="59">
                  <c:v>45351</c:v>
                </c:pt>
                <c:pt idx="60">
                  <c:v>45352</c:v>
                </c:pt>
                <c:pt idx="61">
                  <c:v>45353</c:v>
                </c:pt>
                <c:pt idx="62">
                  <c:v>45354</c:v>
                </c:pt>
                <c:pt idx="63">
                  <c:v>45355</c:v>
                </c:pt>
                <c:pt idx="64">
                  <c:v>45356</c:v>
                </c:pt>
                <c:pt idx="65">
                  <c:v>45357</c:v>
                </c:pt>
                <c:pt idx="66">
                  <c:v>45358</c:v>
                </c:pt>
                <c:pt idx="67">
                  <c:v>45359</c:v>
                </c:pt>
                <c:pt idx="68">
                  <c:v>45360</c:v>
                </c:pt>
                <c:pt idx="69">
                  <c:v>45361</c:v>
                </c:pt>
                <c:pt idx="70">
                  <c:v>45362</c:v>
                </c:pt>
                <c:pt idx="71">
                  <c:v>45363</c:v>
                </c:pt>
                <c:pt idx="72">
                  <c:v>45364</c:v>
                </c:pt>
                <c:pt idx="73">
                  <c:v>45365</c:v>
                </c:pt>
                <c:pt idx="74">
                  <c:v>45366</c:v>
                </c:pt>
                <c:pt idx="75">
                  <c:v>45367</c:v>
                </c:pt>
                <c:pt idx="76">
                  <c:v>45368</c:v>
                </c:pt>
                <c:pt idx="77">
                  <c:v>45369</c:v>
                </c:pt>
                <c:pt idx="78">
                  <c:v>45370</c:v>
                </c:pt>
                <c:pt idx="79">
                  <c:v>45371</c:v>
                </c:pt>
                <c:pt idx="80">
                  <c:v>45372</c:v>
                </c:pt>
                <c:pt idx="81">
                  <c:v>45373</c:v>
                </c:pt>
                <c:pt idx="82">
                  <c:v>45374</c:v>
                </c:pt>
                <c:pt idx="83">
                  <c:v>45375</c:v>
                </c:pt>
                <c:pt idx="84">
                  <c:v>45376</c:v>
                </c:pt>
                <c:pt idx="85">
                  <c:v>45377</c:v>
                </c:pt>
                <c:pt idx="86">
                  <c:v>45378</c:v>
                </c:pt>
                <c:pt idx="87">
                  <c:v>45379</c:v>
                </c:pt>
                <c:pt idx="88">
                  <c:v>45380</c:v>
                </c:pt>
                <c:pt idx="89">
                  <c:v>45381</c:v>
                </c:pt>
                <c:pt idx="90">
                  <c:v>45382</c:v>
                </c:pt>
                <c:pt idx="91">
                  <c:v>45383</c:v>
                </c:pt>
                <c:pt idx="92">
                  <c:v>45384</c:v>
                </c:pt>
                <c:pt idx="93">
                  <c:v>45385</c:v>
                </c:pt>
                <c:pt idx="94">
                  <c:v>45386</c:v>
                </c:pt>
                <c:pt idx="95">
                  <c:v>45387</c:v>
                </c:pt>
                <c:pt idx="96">
                  <c:v>45388</c:v>
                </c:pt>
                <c:pt idx="97">
                  <c:v>45389</c:v>
                </c:pt>
                <c:pt idx="98">
                  <c:v>45390</c:v>
                </c:pt>
                <c:pt idx="99">
                  <c:v>45391</c:v>
                </c:pt>
                <c:pt idx="100">
                  <c:v>45392</c:v>
                </c:pt>
                <c:pt idx="101">
                  <c:v>45393</c:v>
                </c:pt>
                <c:pt idx="102">
                  <c:v>45394</c:v>
                </c:pt>
                <c:pt idx="103">
                  <c:v>45395</c:v>
                </c:pt>
                <c:pt idx="104">
                  <c:v>45396</c:v>
                </c:pt>
                <c:pt idx="105">
                  <c:v>45397</c:v>
                </c:pt>
                <c:pt idx="106">
                  <c:v>45398</c:v>
                </c:pt>
                <c:pt idx="107">
                  <c:v>45399</c:v>
                </c:pt>
                <c:pt idx="108">
                  <c:v>45400</c:v>
                </c:pt>
                <c:pt idx="109">
                  <c:v>45401</c:v>
                </c:pt>
                <c:pt idx="110">
                  <c:v>45402</c:v>
                </c:pt>
                <c:pt idx="111">
                  <c:v>45403</c:v>
                </c:pt>
                <c:pt idx="112">
                  <c:v>45404</c:v>
                </c:pt>
                <c:pt idx="113">
                  <c:v>45405</c:v>
                </c:pt>
                <c:pt idx="114">
                  <c:v>45406</c:v>
                </c:pt>
                <c:pt idx="115">
                  <c:v>45407</c:v>
                </c:pt>
                <c:pt idx="116">
                  <c:v>45408</c:v>
                </c:pt>
                <c:pt idx="117">
                  <c:v>45409</c:v>
                </c:pt>
                <c:pt idx="118">
                  <c:v>45410</c:v>
                </c:pt>
                <c:pt idx="119">
                  <c:v>45411</c:v>
                </c:pt>
                <c:pt idx="120">
                  <c:v>45412</c:v>
                </c:pt>
                <c:pt idx="121">
                  <c:v>45413</c:v>
                </c:pt>
                <c:pt idx="122">
                  <c:v>45414</c:v>
                </c:pt>
                <c:pt idx="123">
                  <c:v>45415</c:v>
                </c:pt>
                <c:pt idx="124">
                  <c:v>45416</c:v>
                </c:pt>
                <c:pt idx="125">
                  <c:v>45417</c:v>
                </c:pt>
                <c:pt idx="126">
                  <c:v>45418</c:v>
                </c:pt>
                <c:pt idx="127">
                  <c:v>45419</c:v>
                </c:pt>
                <c:pt idx="128">
                  <c:v>45420</c:v>
                </c:pt>
                <c:pt idx="129">
                  <c:v>45421</c:v>
                </c:pt>
                <c:pt idx="130">
                  <c:v>45422</c:v>
                </c:pt>
                <c:pt idx="131">
                  <c:v>45423</c:v>
                </c:pt>
                <c:pt idx="132">
                  <c:v>45424</c:v>
                </c:pt>
                <c:pt idx="133">
                  <c:v>45425</c:v>
                </c:pt>
                <c:pt idx="134">
                  <c:v>45426</c:v>
                </c:pt>
                <c:pt idx="135">
                  <c:v>45427</c:v>
                </c:pt>
                <c:pt idx="136">
                  <c:v>45428</c:v>
                </c:pt>
                <c:pt idx="137">
                  <c:v>45429</c:v>
                </c:pt>
                <c:pt idx="138">
                  <c:v>45430</c:v>
                </c:pt>
                <c:pt idx="139">
                  <c:v>45431</c:v>
                </c:pt>
                <c:pt idx="140">
                  <c:v>45432</c:v>
                </c:pt>
                <c:pt idx="141">
                  <c:v>45433</c:v>
                </c:pt>
                <c:pt idx="142">
                  <c:v>45434</c:v>
                </c:pt>
                <c:pt idx="143">
                  <c:v>45435</c:v>
                </c:pt>
                <c:pt idx="144">
                  <c:v>45436</c:v>
                </c:pt>
                <c:pt idx="145">
                  <c:v>45437</c:v>
                </c:pt>
                <c:pt idx="146">
                  <c:v>45438</c:v>
                </c:pt>
                <c:pt idx="147">
                  <c:v>45439</c:v>
                </c:pt>
                <c:pt idx="148">
                  <c:v>45440</c:v>
                </c:pt>
                <c:pt idx="149">
                  <c:v>45441</c:v>
                </c:pt>
                <c:pt idx="150">
                  <c:v>45442</c:v>
                </c:pt>
                <c:pt idx="151">
                  <c:v>45443</c:v>
                </c:pt>
                <c:pt idx="152">
                  <c:v>45444</c:v>
                </c:pt>
                <c:pt idx="153">
                  <c:v>45445</c:v>
                </c:pt>
                <c:pt idx="154">
                  <c:v>45446</c:v>
                </c:pt>
                <c:pt idx="155">
                  <c:v>45447</c:v>
                </c:pt>
                <c:pt idx="156">
                  <c:v>45448</c:v>
                </c:pt>
                <c:pt idx="157">
                  <c:v>45449</c:v>
                </c:pt>
                <c:pt idx="158">
                  <c:v>45450</c:v>
                </c:pt>
                <c:pt idx="159">
                  <c:v>45451</c:v>
                </c:pt>
                <c:pt idx="160">
                  <c:v>45452</c:v>
                </c:pt>
                <c:pt idx="161">
                  <c:v>45453</c:v>
                </c:pt>
                <c:pt idx="162">
                  <c:v>45454</c:v>
                </c:pt>
                <c:pt idx="163">
                  <c:v>45455</c:v>
                </c:pt>
                <c:pt idx="164">
                  <c:v>45456</c:v>
                </c:pt>
                <c:pt idx="165">
                  <c:v>45457</c:v>
                </c:pt>
                <c:pt idx="166">
                  <c:v>45458</c:v>
                </c:pt>
                <c:pt idx="167">
                  <c:v>45459</c:v>
                </c:pt>
                <c:pt idx="168">
                  <c:v>45460</c:v>
                </c:pt>
                <c:pt idx="169">
                  <c:v>45461</c:v>
                </c:pt>
                <c:pt idx="170">
                  <c:v>45462</c:v>
                </c:pt>
                <c:pt idx="171">
                  <c:v>45463</c:v>
                </c:pt>
                <c:pt idx="172">
                  <c:v>45464</c:v>
                </c:pt>
                <c:pt idx="173">
                  <c:v>45465</c:v>
                </c:pt>
                <c:pt idx="174">
                  <c:v>45466</c:v>
                </c:pt>
                <c:pt idx="175">
                  <c:v>45467</c:v>
                </c:pt>
                <c:pt idx="176">
                  <c:v>45468</c:v>
                </c:pt>
                <c:pt idx="177">
                  <c:v>45469</c:v>
                </c:pt>
                <c:pt idx="178">
                  <c:v>45470</c:v>
                </c:pt>
                <c:pt idx="179">
                  <c:v>45471</c:v>
                </c:pt>
                <c:pt idx="180">
                  <c:v>45472</c:v>
                </c:pt>
                <c:pt idx="181">
                  <c:v>45473</c:v>
                </c:pt>
                <c:pt idx="182">
                  <c:v>45474</c:v>
                </c:pt>
                <c:pt idx="183">
                  <c:v>45475</c:v>
                </c:pt>
                <c:pt idx="184">
                  <c:v>45476</c:v>
                </c:pt>
                <c:pt idx="185">
                  <c:v>45477</c:v>
                </c:pt>
                <c:pt idx="186">
                  <c:v>45478</c:v>
                </c:pt>
                <c:pt idx="187">
                  <c:v>45479</c:v>
                </c:pt>
                <c:pt idx="188">
                  <c:v>45480</c:v>
                </c:pt>
                <c:pt idx="189">
                  <c:v>45481</c:v>
                </c:pt>
                <c:pt idx="190">
                  <c:v>45482</c:v>
                </c:pt>
                <c:pt idx="191">
                  <c:v>45483</c:v>
                </c:pt>
                <c:pt idx="192">
                  <c:v>45484</c:v>
                </c:pt>
                <c:pt idx="193">
                  <c:v>45485</c:v>
                </c:pt>
                <c:pt idx="194">
                  <c:v>45486</c:v>
                </c:pt>
                <c:pt idx="195">
                  <c:v>45487</c:v>
                </c:pt>
                <c:pt idx="196">
                  <c:v>45488</c:v>
                </c:pt>
                <c:pt idx="197">
                  <c:v>45489</c:v>
                </c:pt>
                <c:pt idx="198">
                  <c:v>45490</c:v>
                </c:pt>
                <c:pt idx="199">
                  <c:v>45491</c:v>
                </c:pt>
                <c:pt idx="200">
                  <c:v>45492</c:v>
                </c:pt>
                <c:pt idx="201">
                  <c:v>45493</c:v>
                </c:pt>
                <c:pt idx="202">
                  <c:v>45494</c:v>
                </c:pt>
                <c:pt idx="203">
                  <c:v>45495</c:v>
                </c:pt>
                <c:pt idx="204">
                  <c:v>45496</c:v>
                </c:pt>
                <c:pt idx="205">
                  <c:v>45497</c:v>
                </c:pt>
                <c:pt idx="206">
                  <c:v>45498</c:v>
                </c:pt>
                <c:pt idx="207">
                  <c:v>45499</c:v>
                </c:pt>
                <c:pt idx="208">
                  <c:v>45500</c:v>
                </c:pt>
                <c:pt idx="209">
                  <c:v>45501</c:v>
                </c:pt>
                <c:pt idx="210">
                  <c:v>45502</c:v>
                </c:pt>
                <c:pt idx="211">
                  <c:v>45503</c:v>
                </c:pt>
                <c:pt idx="212">
                  <c:v>45504</c:v>
                </c:pt>
                <c:pt idx="213">
                  <c:v>45505</c:v>
                </c:pt>
                <c:pt idx="214">
                  <c:v>45506</c:v>
                </c:pt>
                <c:pt idx="215">
                  <c:v>45507</c:v>
                </c:pt>
                <c:pt idx="216">
                  <c:v>45508</c:v>
                </c:pt>
                <c:pt idx="217">
                  <c:v>45509</c:v>
                </c:pt>
                <c:pt idx="218">
                  <c:v>45510</c:v>
                </c:pt>
                <c:pt idx="219">
                  <c:v>45511</c:v>
                </c:pt>
                <c:pt idx="220">
                  <c:v>45512</c:v>
                </c:pt>
                <c:pt idx="221">
                  <c:v>45513</c:v>
                </c:pt>
                <c:pt idx="222">
                  <c:v>45514</c:v>
                </c:pt>
                <c:pt idx="223">
                  <c:v>45515</c:v>
                </c:pt>
                <c:pt idx="224">
                  <c:v>45516</c:v>
                </c:pt>
                <c:pt idx="225">
                  <c:v>45517</c:v>
                </c:pt>
                <c:pt idx="226">
                  <c:v>45518</c:v>
                </c:pt>
                <c:pt idx="227">
                  <c:v>45519</c:v>
                </c:pt>
                <c:pt idx="228">
                  <c:v>45520</c:v>
                </c:pt>
                <c:pt idx="229">
                  <c:v>45521</c:v>
                </c:pt>
                <c:pt idx="230">
                  <c:v>45522</c:v>
                </c:pt>
                <c:pt idx="231">
                  <c:v>45523</c:v>
                </c:pt>
                <c:pt idx="232">
                  <c:v>45524</c:v>
                </c:pt>
                <c:pt idx="233">
                  <c:v>45525</c:v>
                </c:pt>
                <c:pt idx="234">
                  <c:v>45526</c:v>
                </c:pt>
                <c:pt idx="235">
                  <c:v>45527</c:v>
                </c:pt>
                <c:pt idx="236">
                  <c:v>45528</c:v>
                </c:pt>
                <c:pt idx="237">
                  <c:v>45529</c:v>
                </c:pt>
                <c:pt idx="238">
                  <c:v>45530</c:v>
                </c:pt>
                <c:pt idx="239">
                  <c:v>45531</c:v>
                </c:pt>
                <c:pt idx="240">
                  <c:v>45532</c:v>
                </c:pt>
                <c:pt idx="241">
                  <c:v>45533</c:v>
                </c:pt>
                <c:pt idx="242">
                  <c:v>45534</c:v>
                </c:pt>
                <c:pt idx="243">
                  <c:v>45535</c:v>
                </c:pt>
                <c:pt idx="244">
                  <c:v>45536</c:v>
                </c:pt>
                <c:pt idx="245">
                  <c:v>45537</c:v>
                </c:pt>
                <c:pt idx="246">
                  <c:v>45538</c:v>
                </c:pt>
                <c:pt idx="247">
                  <c:v>45539</c:v>
                </c:pt>
                <c:pt idx="248">
                  <c:v>45540</c:v>
                </c:pt>
                <c:pt idx="249">
                  <c:v>45541</c:v>
                </c:pt>
                <c:pt idx="250">
                  <c:v>45542</c:v>
                </c:pt>
                <c:pt idx="251">
                  <c:v>45543</c:v>
                </c:pt>
                <c:pt idx="252">
                  <c:v>45544</c:v>
                </c:pt>
                <c:pt idx="253">
                  <c:v>45545</c:v>
                </c:pt>
                <c:pt idx="254">
                  <c:v>45546</c:v>
                </c:pt>
                <c:pt idx="255">
                  <c:v>45547</c:v>
                </c:pt>
                <c:pt idx="256">
                  <c:v>45548</c:v>
                </c:pt>
                <c:pt idx="257">
                  <c:v>45549</c:v>
                </c:pt>
                <c:pt idx="258">
                  <c:v>45550</c:v>
                </c:pt>
                <c:pt idx="259">
                  <c:v>45551</c:v>
                </c:pt>
                <c:pt idx="260">
                  <c:v>45552</c:v>
                </c:pt>
                <c:pt idx="261">
                  <c:v>45553</c:v>
                </c:pt>
                <c:pt idx="262">
                  <c:v>45554</c:v>
                </c:pt>
                <c:pt idx="263">
                  <c:v>45555</c:v>
                </c:pt>
                <c:pt idx="264">
                  <c:v>45556</c:v>
                </c:pt>
                <c:pt idx="265">
                  <c:v>45557</c:v>
                </c:pt>
                <c:pt idx="266">
                  <c:v>45558</c:v>
                </c:pt>
                <c:pt idx="267">
                  <c:v>45559</c:v>
                </c:pt>
                <c:pt idx="268">
                  <c:v>45560</c:v>
                </c:pt>
                <c:pt idx="269">
                  <c:v>45561</c:v>
                </c:pt>
                <c:pt idx="270">
                  <c:v>45562</c:v>
                </c:pt>
                <c:pt idx="271">
                  <c:v>45563</c:v>
                </c:pt>
                <c:pt idx="272">
                  <c:v>45564</c:v>
                </c:pt>
                <c:pt idx="273">
                  <c:v>45565</c:v>
                </c:pt>
                <c:pt idx="274">
                  <c:v>45566</c:v>
                </c:pt>
                <c:pt idx="275">
                  <c:v>45567</c:v>
                </c:pt>
                <c:pt idx="276">
                  <c:v>45568</c:v>
                </c:pt>
                <c:pt idx="277">
                  <c:v>45569</c:v>
                </c:pt>
                <c:pt idx="278">
                  <c:v>45570</c:v>
                </c:pt>
                <c:pt idx="279">
                  <c:v>45571</c:v>
                </c:pt>
                <c:pt idx="280">
                  <c:v>45572</c:v>
                </c:pt>
                <c:pt idx="281">
                  <c:v>45573</c:v>
                </c:pt>
                <c:pt idx="282">
                  <c:v>45574</c:v>
                </c:pt>
                <c:pt idx="283">
                  <c:v>45575</c:v>
                </c:pt>
                <c:pt idx="284">
                  <c:v>45576</c:v>
                </c:pt>
                <c:pt idx="285">
                  <c:v>45577</c:v>
                </c:pt>
                <c:pt idx="286">
                  <c:v>45578</c:v>
                </c:pt>
                <c:pt idx="287">
                  <c:v>45579</c:v>
                </c:pt>
                <c:pt idx="288">
                  <c:v>45580</c:v>
                </c:pt>
                <c:pt idx="289">
                  <c:v>45581</c:v>
                </c:pt>
                <c:pt idx="290">
                  <c:v>45582</c:v>
                </c:pt>
                <c:pt idx="291">
                  <c:v>45583</c:v>
                </c:pt>
                <c:pt idx="292">
                  <c:v>45584</c:v>
                </c:pt>
                <c:pt idx="293">
                  <c:v>45585</c:v>
                </c:pt>
                <c:pt idx="294">
                  <c:v>45586</c:v>
                </c:pt>
                <c:pt idx="295">
                  <c:v>45587</c:v>
                </c:pt>
                <c:pt idx="296">
                  <c:v>45588</c:v>
                </c:pt>
                <c:pt idx="297">
                  <c:v>45589</c:v>
                </c:pt>
                <c:pt idx="298">
                  <c:v>45590</c:v>
                </c:pt>
                <c:pt idx="299">
                  <c:v>45591</c:v>
                </c:pt>
                <c:pt idx="300">
                  <c:v>45592</c:v>
                </c:pt>
                <c:pt idx="301">
                  <c:v>45593</c:v>
                </c:pt>
                <c:pt idx="302">
                  <c:v>45594</c:v>
                </c:pt>
                <c:pt idx="303">
                  <c:v>45595</c:v>
                </c:pt>
                <c:pt idx="304">
                  <c:v>45596</c:v>
                </c:pt>
                <c:pt idx="305">
                  <c:v>45597</c:v>
                </c:pt>
                <c:pt idx="306">
                  <c:v>45598</c:v>
                </c:pt>
                <c:pt idx="307">
                  <c:v>45599</c:v>
                </c:pt>
                <c:pt idx="308">
                  <c:v>45600</c:v>
                </c:pt>
                <c:pt idx="309">
                  <c:v>45601</c:v>
                </c:pt>
                <c:pt idx="310">
                  <c:v>45602</c:v>
                </c:pt>
                <c:pt idx="311">
                  <c:v>45603</c:v>
                </c:pt>
                <c:pt idx="312">
                  <c:v>45604</c:v>
                </c:pt>
                <c:pt idx="313">
                  <c:v>45605</c:v>
                </c:pt>
                <c:pt idx="314">
                  <c:v>45606</c:v>
                </c:pt>
                <c:pt idx="315">
                  <c:v>45607</c:v>
                </c:pt>
                <c:pt idx="316">
                  <c:v>45608</c:v>
                </c:pt>
                <c:pt idx="317">
                  <c:v>45609</c:v>
                </c:pt>
                <c:pt idx="318">
                  <c:v>45610</c:v>
                </c:pt>
                <c:pt idx="319">
                  <c:v>45611</c:v>
                </c:pt>
                <c:pt idx="320">
                  <c:v>45612</c:v>
                </c:pt>
                <c:pt idx="321">
                  <c:v>45613</c:v>
                </c:pt>
                <c:pt idx="322">
                  <c:v>45615</c:v>
                </c:pt>
                <c:pt idx="323">
                  <c:v>45616</c:v>
                </c:pt>
                <c:pt idx="324">
                  <c:v>45617</c:v>
                </c:pt>
                <c:pt idx="325">
                  <c:v>45618</c:v>
                </c:pt>
                <c:pt idx="326">
                  <c:v>45619</c:v>
                </c:pt>
                <c:pt idx="327">
                  <c:v>45620</c:v>
                </c:pt>
                <c:pt idx="328">
                  <c:v>45621</c:v>
                </c:pt>
                <c:pt idx="329">
                  <c:v>45622</c:v>
                </c:pt>
                <c:pt idx="330">
                  <c:v>45623</c:v>
                </c:pt>
                <c:pt idx="331">
                  <c:v>45624</c:v>
                </c:pt>
                <c:pt idx="332">
                  <c:v>45625</c:v>
                </c:pt>
                <c:pt idx="333">
                  <c:v>45626</c:v>
                </c:pt>
                <c:pt idx="334">
                  <c:v>45627</c:v>
                </c:pt>
                <c:pt idx="335">
                  <c:v>45628</c:v>
                </c:pt>
                <c:pt idx="336">
                  <c:v>45629</c:v>
                </c:pt>
                <c:pt idx="337">
                  <c:v>45630</c:v>
                </c:pt>
                <c:pt idx="338">
                  <c:v>45631</c:v>
                </c:pt>
                <c:pt idx="339">
                  <c:v>45632</c:v>
                </c:pt>
                <c:pt idx="340">
                  <c:v>45633</c:v>
                </c:pt>
                <c:pt idx="341">
                  <c:v>45634</c:v>
                </c:pt>
                <c:pt idx="342">
                  <c:v>45635</c:v>
                </c:pt>
                <c:pt idx="343">
                  <c:v>45636</c:v>
                </c:pt>
                <c:pt idx="344">
                  <c:v>45637</c:v>
                </c:pt>
                <c:pt idx="345">
                  <c:v>45638</c:v>
                </c:pt>
                <c:pt idx="346">
                  <c:v>45639</c:v>
                </c:pt>
                <c:pt idx="347">
                  <c:v>45640</c:v>
                </c:pt>
                <c:pt idx="348">
                  <c:v>45641</c:v>
                </c:pt>
                <c:pt idx="349">
                  <c:v>45642</c:v>
                </c:pt>
                <c:pt idx="350">
                  <c:v>45643</c:v>
                </c:pt>
                <c:pt idx="351">
                  <c:v>45644</c:v>
                </c:pt>
                <c:pt idx="352">
                  <c:v>45645</c:v>
                </c:pt>
                <c:pt idx="353">
                  <c:v>45646</c:v>
                </c:pt>
                <c:pt idx="354">
                  <c:v>45647</c:v>
                </c:pt>
                <c:pt idx="355">
                  <c:v>45648</c:v>
                </c:pt>
                <c:pt idx="356">
                  <c:v>45649</c:v>
                </c:pt>
                <c:pt idx="357">
                  <c:v>45650</c:v>
                </c:pt>
                <c:pt idx="358">
                  <c:v>45651</c:v>
                </c:pt>
                <c:pt idx="359">
                  <c:v>45652</c:v>
                </c:pt>
                <c:pt idx="360">
                  <c:v>45653</c:v>
                </c:pt>
                <c:pt idx="361">
                  <c:v>45654</c:v>
                </c:pt>
                <c:pt idx="362">
                  <c:v>45655</c:v>
                </c:pt>
                <c:pt idx="363">
                  <c:v>45656</c:v>
                </c:pt>
                <c:pt idx="364">
                  <c:v>45657</c:v>
                </c:pt>
                <c:pt idx="365">
                  <c:v>45658</c:v>
                </c:pt>
                <c:pt idx="366">
                  <c:v>45659</c:v>
                </c:pt>
                <c:pt idx="367">
                  <c:v>45660</c:v>
                </c:pt>
                <c:pt idx="368">
                  <c:v>45661</c:v>
                </c:pt>
                <c:pt idx="369">
                  <c:v>45662</c:v>
                </c:pt>
                <c:pt idx="370">
                  <c:v>45663</c:v>
                </c:pt>
                <c:pt idx="371">
                  <c:v>45664</c:v>
                </c:pt>
                <c:pt idx="372">
                  <c:v>45665</c:v>
                </c:pt>
                <c:pt idx="373">
                  <c:v>45666</c:v>
                </c:pt>
                <c:pt idx="374">
                  <c:v>45667</c:v>
                </c:pt>
                <c:pt idx="375">
                  <c:v>45668</c:v>
                </c:pt>
                <c:pt idx="376">
                  <c:v>45669</c:v>
                </c:pt>
                <c:pt idx="377">
                  <c:v>45670</c:v>
                </c:pt>
                <c:pt idx="378">
                  <c:v>45671</c:v>
                </c:pt>
                <c:pt idx="379">
                  <c:v>45672</c:v>
                </c:pt>
                <c:pt idx="380">
                  <c:v>45673</c:v>
                </c:pt>
                <c:pt idx="381">
                  <c:v>45674</c:v>
                </c:pt>
                <c:pt idx="382">
                  <c:v>45675</c:v>
                </c:pt>
                <c:pt idx="383">
                  <c:v>45676</c:v>
                </c:pt>
                <c:pt idx="384">
                  <c:v>45677</c:v>
                </c:pt>
                <c:pt idx="385">
                  <c:v>45678</c:v>
                </c:pt>
                <c:pt idx="386">
                  <c:v>45679</c:v>
                </c:pt>
                <c:pt idx="387">
                  <c:v>45680</c:v>
                </c:pt>
                <c:pt idx="388">
                  <c:v>45681</c:v>
                </c:pt>
                <c:pt idx="389">
                  <c:v>45682</c:v>
                </c:pt>
                <c:pt idx="390">
                  <c:v>45683</c:v>
                </c:pt>
                <c:pt idx="391">
                  <c:v>45684</c:v>
                </c:pt>
                <c:pt idx="392">
                  <c:v>45685</c:v>
                </c:pt>
                <c:pt idx="393">
                  <c:v>45686</c:v>
                </c:pt>
                <c:pt idx="394">
                  <c:v>45687</c:v>
                </c:pt>
                <c:pt idx="395">
                  <c:v>45688</c:v>
                </c:pt>
                <c:pt idx="396">
                  <c:v>45689</c:v>
                </c:pt>
                <c:pt idx="397">
                  <c:v>45690</c:v>
                </c:pt>
                <c:pt idx="398">
                  <c:v>45691</c:v>
                </c:pt>
                <c:pt idx="399">
                  <c:v>45692</c:v>
                </c:pt>
                <c:pt idx="400">
                  <c:v>45693</c:v>
                </c:pt>
                <c:pt idx="401">
                  <c:v>45694</c:v>
                </c:pt>
                <c:pt idx="402">
                  <c:v>45695</c:v>
                </c:pt>
                <c:pt idx="403">
                  <c:v>45696</c:v>
                </c:pt>
                <c:pt idx="404">
                  <c:v>45697</c:v>
                </c:pt>
                <c:pt idx="405">
                  <c:v>45698</c:v>
                </c:pt>
                <c:pt idx="406">
                  <c:v>45699</c:v>
                </c:pt>
                <c:pt idx="407">
                  <c:v>45700</c:v>
                </c:pt>
                <c:pt idx="408">
                  <c:v>45701</c:v>
                </c:pt>
                <c:pt idx="409">
                  <c:v>45702</c:v>
                </c:pt>
                <c:pt idx="410">
                  <c:v>45703</c:v>
                </c:pt>
                <c:pt idx="411">
                  <c:v>45704</c:v>
                </c:pt>
                <c:pt idx="412">
                  <c:v>45705</c:v>
                </c:pt>
                <c:pt idx="413">
                  <c:v>45706</c:v>
                </c:pt>
                <c:pt idx="414">
                  <c:v>45707</c:v>
                </c:pt>
                <c:pt idx="415">
                  <c:v>45708</c:v>
                </c:pt>
                <c:pt idx="416">
                  <c:v>45709</c:v>
                </c:pt>
                <c:pt idx="417">
                  <c:v>45710</c:v>
                </c:pt>
                <c:pt idx="418">
                  <c:v>45711</c:v>
                </c:pt>
                <c:pt idx="419">
                  <c:v>45712</c:v>
                </c:pt>
                <c:pt idx="420">
                  <c:v>45713</c:v>
                </c:pt>
                <c:pt idx="421">
                  <c:v>45714</c:v>
                </c:pt>
                <c:pt idx="422">
                  <c:v>45715</c:v>
                </c:pt>
                <c:pt idx="423">
                  <c:v>45716</c:v>
                </c:pt>
                <c:pt idx="424">
                  <c:v>45717</c:v>
                </c:pt>
                <c:pt idx="425">
                  <c:v>45718</c:v>
                </c:pt>
                <c:pt idx="426">
                  <c:v>45719</c:v>
                </c:pt>
                <c:pt idx="427">
                  <c:v>45720</c:v>
                </c:pt>
                <c:pt idx="428">
                  <c:v>45721</c:v>
                </c:pt>
                <c:pt idx="429">
                  <c:v>45722</c:v>
                </c:pt>
                <c:pt idx="430">
                  <c:v>45723</c:v>
                </c:pt>
                <c:pt idx="431">
                  <c:v>45724</c:v>
                </c:pt>
                <c:pt idx="432">
                  <c:v>45725</c:v>
                </c:pt>
                <c:pt idx="433">
                  <c:v>45726</c:v>
                </c:pt>
                <c:pt idx="434">
                  <c:v>45727</c:v>
                </c:pt>
                <c:pt idx="435">
                  <c:v>45728</c:v>
                </c:pt>
                <c:pt idx="436">
                  <c:v>45729</c:v>
                </c:pt>
                <c:pt idx="437">
                  <c:v>45730</c:v>
                </c:pt>
                <c:pt idx="438">
                  <c:v>45731</c:v>
                </c:pt>
                <c:pt idx="439">
                  <c:v>45732</c:v>
                </c:pt>
                <c:pt idx="440">
                  <c:v>45733</c:v>
                </c:pt>
                <c:pt idx="441">
                  <c:v>45734</c:v>
                </c:pt>
                <c:pt idx="442">
                  <c:v>45735</c:v>
                </c:pt>
                <c:pt idx="443">
                  <c:v>45736</c:v>
                </c:pt>
                <c:pt idx="444">
                  <c:v>45737</c:v>
                </c:pt>
                <c:pt idx="445">
                  <c:v>45738</c:v>
                </c:pt>
                <c:pt idx="446">
                  <c:v>45739</c:v>
                </c:pt>
                <c:pt idx="447">
                  <c:v>45740</c:v>
                </c:pt>
                <c:pt idx="448">
                  <c:v>45741</c:v>
                </c:pt>
                <c:pt idx="449">
                  <c:v>45742</c:v>
                </c:pt>
                <c:pt idx="450">
                  <c:v>45743</c:v>
                </c:pt>
                <c:pt idx="451">
                  <c:v>45744</c:v>
                </c:pt>
                <c:pt idx="452">
                  <c:v>45745</c:v>
                </c:pt>
                <c:pt idx="453">
                  <c:v>45746</c:v>
                </c:pt>
                <c:pt idx="454">
                  <c:v>45747</c:v>
                </c:pt>
                <c:pt idx="455">
                  <c:v>45748</c:v>
                </c:pt>
                <c:pt idx="456">
                  <c:v>45749</c:v>
                </c:pt>
                <c:pt idx="457">
                  <c:v>45750</c:v>
                </c:pt>
                <c:pt idx="458">
                  <c:v>45751</c:v>
                </c:pt>
                <c:pt idx="459">
                  <c:v>45752</c:v>
                </c:pt>
                <c:pt idx="460">
                  <c:v>45753</c:v>
                </c:pt>
                <c:pt idx="461">
                  <c:v>45754</c:v>
                </c:pt>
                <c:pt idx="462">
                  <c:v>45755</c:v>
                </c:pt>
                <c:pt idx="463">
                  <c:v>45756</c:v>
                </c:pt>
                <c:pt idx="464">
                  <c:v>45757</c:v>
                </c:pt>
                <c:pt idx="465">
                  <c:v>45758</c:v>
                </c:pt>
                <c:pt idx="466">
                  <c:v>45759</c:v>
                </c:pt>
                <c:pt idx="467">
                  <c:v>45760</c:v>
                </c:pt>
                <c:pt idx="468">
                  <c:v>45761</c:v>
                </c:pt>
                <c:pt idx="469">
                  <c:v>45762</c:v>
                </c:pt>
                <c:pt idx="470">
                  <c:v>45763</c:v>
                </c:pt>
                <c:pt idx="471">
                  <c:v>45764</c:v>
                </c:pt>
                <c:pt idx="472">
                  <c:v>45765</c:v>
                </c:pt>
                <c:pt idx="473">
                  <c:v>45766</c:v>
                </c:pt>
                <c:pt idx="474">
                  <c:v>45767</c:v>
                </c:pt>
                <c:pt idx="475">
                  <c:v>45768</c:v>
                </c:pt>
                <c:pt idx="476">
                  <c:v>45769</c:v>
                </c:pt>
                <c:pt idx="477">
                  <c:v>45770</c:v>
                </c:pt>
                <c:pt idx="478">
                  <c:v>45771</c:v>
                </c:pt>
                <c:pt idx="479">
                  <c:v>45772</c:v>
                </c:pt>
                <c:pt idx="480">
                  <c:v>45773</c:v>
                </c:pt>
                <c:pt idx="481">
                  <c:v>45774</c:v>
                </c:pt>
                <c:pt idx="482">
                  <c:v>45775</c:v>
                </c:pt>
                <c:pt idx="483">
                  <c:v>45776</c:v>
                </c:pt>
                <c:pt idx="484">
                  <c:v>45777</c:v>
                </c:pt>
                <c:pt idx="485">
                  <c:v>45778</c:v>
                </c:pt>
                <c:pt idx="486">
                  <c:v>45779</c:v>
                </c:pt>
                <c:pt idx="487">
                  <c:v>45780</c:v>
                </c:pt>
                <c:pt idx="488">
                  <c:v>45781</c:v>
                </c:pt>
                <c:pt idx="489">
                  <c:v>45782</c:v>
                </c:pt>
                <c:pt idx="490">
                  <c:v>45783</c:v>
                </c:pt>
                <c:pt idx="491">
                  <c:v>45784</c:v>
                </c:pt>
                <c:pt idx="492">
                  <c:v>45785</c:v>
                </c:pt>
                <c:pt idx="493">
                  <c:v>45786</c:v>
                </c:pt>
                <c:pt idx="494">
                  <c:v>45787</c:v>
                </c:pt>
                <c:pt idx="495">
                  <c:v>45788</c:v>
                </c:pt>
                <c:pt idx="496">
                  <c:v>45789</c:v>
                </c:pt>
                <c:pt idx="497">
                  <c:v>45790</c:v>
                </c:pt>
                <c:pt idx="498">
                  <c:v>45791</c:v>
                </c:pt>
                <c:pt idx="499">
                  <c:v>45792</c:v>
                </c:pt>
                <c:pt idx="500">
                  <c:v>45793</c:v>
                </c:pt>
                <c:pt idx="501">
                  <c:v>45794</c:v>
                </c:pt>
                <c:pt idx="502">
                  <c:v>45795</c:v>
                </c:pt>
                <c:pt idx="503">
                  <c:v>45796</c:v>
                </c:pt>
                <c:pt idx="504">
                  <c:v>45797</c:v>
                </c:pt>
                <c:pt idx="505">
                  <c:v>45798</c:v>
                </c:pt>
                <c:pt idx="506">
                  <c:v>45799</c:v>
                </c:pt>
                <c:pt idx="507">
                  <c:v>45800</c:v>
                </c:pt>
                <c:pt idx="508">
                  <c:v>45801</c:v>
                </c:pt>
                <c:pt idx="509">
                  <c:v>45802</c:v>
                </c:pt>
                <c:pt idx="510">
                  <c:v>45803</c:v>
                </c:pt>
                <c:pt idx="511">
                  <c:v>45804</c:v>
                </c:pt>
                <c:pt idx="512">
                  <c:v>45805</c:v>
                </c:pt>
                <c:pt idx="513">
                  <c:v>45806</c:v>
                </c:pt>
                <c:pt idx="514">
                  <c:v>45807</c:v>
                </c:pt>
                <c:pt idx="515">
                  <c:v>45808</c:v>
                </c:pt>
                <c:pt idx="516">
                  <c:v>45809</c:v>
                </c:pt>
                <c:pt idx="517">
                  <c:v>45810</c:v>
                </c:pt>
                <c:pt idx="518">
                  <c:v>45811</c:v>
                </c:pt>
                <c:pt idx="519">
                  <c:v>45812</c:v>
                </c:pt>
                <c:pt idx="520">
                  <c:v>45813</c:v>
                </c:pt>
                <c:pt idx="521">
                  <c:v>45814</c:v>
                </c:pt>
                <c:pt idx="522">
                  <c:v>45815</c:v>
                </c:pt>
                <c:pt idx="523">
                  <c:v>45816</c:v>
                </c:pt>
                <c:pt idx="524">
                  <c:v>45817</c:v>
                </c:pt>
                <c:pt idx="525">
                  <c:v>45818</c:v>
                </c:pt>
                <c:pt idx="526">
                  <c:v>45819</c:v>
                </c:pt>
                <c:pt idx="527">
                  <c:v>45820</c:v>
                </c:pt>
                <c:pt idx="528">
                  <c:v>45821</c:v>
                </c:pt>
                <c:pt idx="529">
                  <c:v>45822</c:v>
                </c:pt>
                <c:pt idx="530">
                  <c:v>45823</c:v>
                </c:pt>
                <c:pt idx="531">
                  <c:v>45824</c:v>
                </c:pt>
                <c:pt idx="532">
                  <c:v>45825</c:v>
                </c:pt>
                <c:pt idx="533">
                  <c:v>45826</c:v>
                </c:pt>
                <c:pt idx="534">
                  <c:v>45827</c:v>
                </c:pt>
                <c:pt idx="535">
                  <c:v>45828</c:v>
                </c:pt>
                <c:pt idx="536">
                  <c:v>45829</c:v>
                </c:pt>
                <c:pt idx="537">
                  <c:v>45830</c:v>
                </c:pt>
                <c:pt idx="538">
                  <c:v>45831</c:v>
                </c:pt>
                <c:pt idx="539">
                  <c:v>45832</c:v>
                </c:pt>
                <c:pt idx="540">
                  <c:v>45833</c:v>
                </c:pt>
                <c:pt idx="541">
                  <c:v>45834</c:v>
                </c:pt>
                <c:pt idx="542">
                  <c:v>45835</c:v>
                </c:pt>
                <c:pt idx="543">
                  <c:v>45836</c:v>
                </c:pt>
                <c:pt idx="544">
                  <c:v>45837</c:v>
                </c:pt>
                <c:pt idx="545">
                  <c:v>45838</c:v>
                </c:pt>
                <c:pt idx="546">
                  <c:v>45839</c:v>
                </c:pt>
                <c:pt idx="547">
                  <c:v>45840</c:v>
                </c:pt>
                <c:pt idx="548">
                  <c:v>45841</c:v>
                </c:pt>
                <c:pt idx="549">
                  <c:v>45842</c:v>
                </c:pt>
                <c:pt idx="550">
                  <c:v>45843</c:v>
                </c:pt>
                <c:pt idx="551">
                  <c:v>45844</c:v>
                </c:pt>
                <c:pt idx="552">
                  <c:v>45845</c:v>
                </c:pt>
                <c:pt idx="553">
                  <c:v>45846</c:v>
                </c:pt>
                <c:pt idx="554">
                  <c:v>45847</c:v>
                </c:pt>
                <c:pt idx="555">
                  <c:v>45848</c:v>
                </c:pt>
                <c:pt idx="556">
                  <c:v>45849</c:v>
                </c:pt>
                <c:pt idx="557">
                  <c:v>45850</c:v>
                </c:pt>
                <c:pt idx="558">
                  <c:v>45851</c:v>
                </c:pt>
                <c:pt idx="559">
                  <c:v>45852</c:v>
                </c:pt>
                <c:pt idx="560">
                  <c:v>45853</c:v>
                </c:pt>
                <c:pt idx="561">
                  <c:v>45854</c:v>
                </c:pt>
                <c:pt idx="562">
                  <c:v>45855</c:v>
                </c:pt>
                <c:pt idx="563">
                  <c:v>45856</c:v>
                </c:pt>
                <c:pt idx="564">
                  <c:v>45857</c:v>
                </c:pt>
                <c:pt idx="565">
                  <c:v>45858</c:v>
                </c:pt>
                <c:pt idx="566">
                  <c:v>45859</c:v>
                </c:pt>
                <c:pt idx="567">
                  <c:v>45860</c:v>
                </c:pt>
                <c:pt idx="568">
                  <c:v>45861</c:v>
                </c:pt>
                <c:pt idx="569">
                  <c:v>45862</c:v>
                </c:pt>
                <c:pt idx="570">
                  <c:v>45863</c:v>
                </c:pt>
                <c:pt idx="571">
                  <c:v>45864</c:v>
                </c:pt>
                <c:pt idx="572">
                  <c:v>45865</c:v>
                </c:pt>
                <c:pt idx="573">
                  <c:v>45866</c:v>
                </c:pt>
                <c:pt idx="574">
                  <c:v>45867</c:v>
                </c:pt>
                <c:pt idx="575">
                  <c:v>45868</c:v>
                </c:pt>
                <c:pt idx="576">
                  <c:v>45869</c:v>
                </c:pt>
                <c:pt idx="577">
                  <c:v>45870</c:v>
                </c:pt>
                <c:pt idx="578">
                  <c:v>45871</c:v>
                </c:pt>
                <c:pt idx="579">
                  <c:v>45872</c:v>
                </c:pt>
                <c:pt idx="580">
                  <c:v>45873</c:v>
                </c:pt>
                <c:pt idx="581">
                  <c:v>45874</c:v>
                </c:pt>
                <c:pt idx="582">
                  <c:v>45875</c:v>
                </c:pt>
                <c:pt idx="583">
                  <c:v>45876</c:v>
                </c:pt>
                <c:pt idx="584">
                  <c:v>45877</c:v>
                </c:pt>
                <c:pt idx="585">
                  <c:v>45878</c:v>
                </c:pt>
                <c:pt idx="586">
                  <c:v>45879</c:v>
                </c:pt>
                <c:pt idx="587">
                  <c:v>45880</c:v>
                </c:pt>
                <c:pt idx="588">
                  <c:v>45881</c:v>
                </c:pt>
                <c:pt idx="589">
                  <c:v>45882</c:v>
                </c:pt>
                <c:pt idx="590">
                  <c:v>45883</c:v>
                </c:pt>
                <c:pt idx="591">
                  <c:v>45884</c:v>
                </c:pt>
                <c:pt idx="592">
                  <c:v>45885</c:v>
                </c:pt>
                <c:pt idx="593">
                  <c:v>45886</c:v>
                </c:pt>
                <c:pt idx="594">
                  <c:v>45887</c:v>
                </c:pt>
                <c:pt idx="595">
                  <c:v>45888</c:v>
                </c:pt>
                <c:pt idx="596">
                  <c:v>45889</c:v>
                </c:pt>
                <c:pt idx="597">
                  <c:v>45890</c:v>
                </c:pt>
                <c:pt idx="598">
                  <c:v>45891</c:v>
                </c:pt>
                <c:pt idx="599">
                  <c:v>45892</c:v>
                </c:pt>
                <c:pt idx="600">
                  <c:v>45893</c:v>
                </c:pt>
                <c:pt idx="601">
                  <c:v>45894</c:v>
                </c:pt>
                <c:pt idx="602">
                  <c:v>45895</c:v>
                </c:pt>
                <c:pt idx="603">
                  <c:v>45896</c:v>
                </c:pt>
                <c:pt idx="604">
                  <c:v>45897</c:v>
                </c:pt>
                <c:pt idx="605">
                  <c:v>45898</c:v>
                </c:pt>
                <c:pt idx="606">
                  <c:v>45899</c:v>
                </c:pt>
                <c:pt idx="607">
                  <c:v>45900</c:v>
                </c:pt>
                <c:pt idx="608">
                  <c:v>45901</c:v>
                </c:pt>
                <c:pt idx="609">
                  <c:v>45902</c:v>
                </c:pt>
                <c:pt idx="610">
                  <c:v>45903</c:v>
                </c:pt>
                <c:pt idx="611">
                  <c:v>45904</c:v>
                </c:pt>
                <c:pt idx="612">
                  <c:v>45905</c:v>
                </c:pt>
                <c:pt idx="613">
                  <c:v>45906</c:v>
                </c:pt>
                <c:pt idx="614">
                  <c:v>45907</c:v>
                </c:pt>
                <c:pt idx="615">
                  <c:v>45908</c:v>
                </c:pt>
                <c:pt idx="616">
                  <c:v>45909</c:v>
                </c:pt>
                <c:pt idx="617">
                  <c:v>45910</c:v>
                </c:pt>
                <c:pt idx="618">
                  <c:v>45911</c:v>
                </c:pt>
                <c:pt idx="619">
                  <c:v>45912</c:v>
                </c:pt>
                <c:pt idx="620">
                  <c:v>45913</c:v>
                </c:pt>
                <c:pt idx="621">
                  <c:v>45914</c:v>
                </c:pt>
                <c:pt idx="622">
                  <c:v>45915</c:v>
                </c:pt>
                <c:pt idx="623">
                  <c:v>45916</c:v>
                </c:pt>
                <c:pt idx="624">
                  <c:v>45917</c:v>
                </c:pt>
                <c:pt idx="625">
                  <c:v>45918</c:v>
                </c:pt>
                <c:pt idx="626">
                  <c:v>45919</c:v>
                </c:pt>
                <c:pt idx="627">
                  <c:v>45920</c:v>
                </c:pt>
                <c:pt idx="628">
                  <c:v>45921</c:v>
                </c:pt>
                <c:pt idx="629">
                  <c:v>45922</c:v>
                </c:pt>
                <c:pt idx="630">
                  <c:v>45923</c:v>
                </c:pt>
                <c:pt idx="631">
                  <c:v>45924</c:v>
                </c:pt>
                <c:pt idx="632">
                  <c:v>45925</c:v>
                </c:pt>
                <c:pt idx="633">
                  <c:v>45926</c:v>
                </c:pt>
                <c:pt idx="634">
                  <c:v>45927</c:v>
                </c:pt>
                <c:pt idx="635">
                  <c:v>45928</c:v>
                </c:pt>
                <c:pt idx="636">
                  <c:v>45929</c:v>
                </c:pt>
                <c:pt idx="637">
                  <c:v>45930</c:v>
                </c:pt>
                <c:pt idx="638">
                  <c:v>45931</c:v>
                </c:pt>
                <c:pt idx="639">
                  <c:v>45932</c:v>
                </c:pt>
                <c:pt idx="640">
                  <c:v>45933</c:v>
                </c:pt>
                <c:pt idx="641">
                  <c:v>45934</c:v>
                </c:pt>
                <c:pt idx="642">
                  <c:v>45935</c:v>
                </c:pt>
                <c:pt idx="643">
                  <c:v>45936</c:v>
                </c:pt>
                <c:pt idx="644">
                  <c:v>45937</c:v>
                </c:pt>
                <c:pt idx="645">
                  <c:v>45938</c:v>
                </c:pt>
                <c:pt idx="646">
                  <c:v>45939</c:v>
                </c:pt>
                <c:pt idx="647">
                  <c:v>45940</c:v>
                </c:pt>
                <c:pt idx="648">
                  <c:v>45941</c:v>
                </c:pt>
                <c:pt idx="649">
                  <c:v>45942</c:v>
                </c:pt>
                <c:pt idx="650">
                  <c:v>45943</c:v>
                </c:pt>
                <c:pt idx="651">
                  <c:v>45944</c:v>
                </c:pt>
                <c:pt idx="652">
                  <c:v>45945</c:v>
                </c:pt>
                <c:pt idx="653">
                  <c:v>45946</c:v>
                </c:pt>
                <c:pt idx="654">
                  <c:v>45947</c:v>
                </c:pt>
                <c:pt idx="655">
                  <c:v>45948</c:v>
                </c:pt>
                <c:pt idx="656">
                  <c:v>45949</c:v>
                </c:pt>
                <c:pt idx="657">
                  <c:v>45950</c:v>
                </c:pt>
                <c:pt idx="658">
                  <c:v>45951</c:v>
                </c:pt>
                <c:pt idx="659">
                  <c:v>45952</c:v>
                </c:pt>
                <c:pt idx="660">
                  <c:v>45953</c:v>
                </c:pt>
                <c:pt idx="661">
                  <c:v>45954</c:v>
                </c:pt>
                <c:pt idx="662">
                  <c:v>45955</c:v>
                </c:pt>
                <c:pt idx="663">
                  <c:v>45956</c:v>
                </c:pt>
                <c:pt idx="664">
                  <c:v>45957</c:v>
                </c:pt>
                <c:pt idx="665">
                  <c:v>45958</c:v>
                </c:pt>
                <c:pt idx="666">
                  <c:v>45959</c:v>
                </c:pt>
                <c:pt idx="667">
                  <c:v>45960</c:v>
                </c:pt>
                <c:pt idx="668">
                  <c:v>45961</c:v>
                </c:pt>
                <c:pt idx="669">
                  <c:v>45962</c:v>
                </c:pt>
                <c:pt idx="670">
                  <c:v>45963</c:v>
                </c:pt>
                <c:pt idx="671">
                  <c:v>45964</c:v>
                </c:pt>
                <c:pt idx="672">
                  <c:v>45965</c:v>
                </c:pt>
                <c:pt idx="673">
                  <c:v>45966</c:v>
                </c:pt>
                <c:pt idx="674">
                  <c:v>45967</c:v>
                </c:pt>
                <c:pt idx="675">
                  <c:v>45968</c:v>
                </c:pt>
                <c:pt idx="676">
                  <c:v>45969</c:v>
                </c:pt>
                <c:pt idx="677">
                  <c:v>45970</c:v>
                </c:pt>
                <c:pt idx="678">
                  <c:v>45971</c:v>
                </c:pt>
                <c:pt idx="679">
                  <c:v>45972</c:v>
                </c:pt>
                <c:pt idx="680">
                  <c:v>45973</c:v>
                </c:pt>
                <c:pt idx="681">
                  <c:v>45974</c:v>
                </c:pt>
                <c:pt idx="682">
                  <c:v>45975</c:v>
                </c:pt>
                <c:pt idx="683">
                  <c:v>45976</c:v>
                </c:pt>
                <c:pt idx="684">
                  <c:v>45977</c:v>
                </c:pt>
                <c:pt idx="685">
                  <c:v>45978</c:v>
                </c:pt>
                <c:pt idx="686">
                  <c:v>45979</c:v>
                </c:pt>
                <c:pt idx="687">
                  <c:v>45980</c:v>
                </c:pt>
                <c:pt idx="688">
                  <c:v>45981</c:v>
                </c:pt>
                <c:pt idx="689">
                  <c:v>45982</c:v>
                </c:pt>
                <c:pt idx="690">
                  <c:v>45983</c:v>
                </c:pt>
                <c:pt idx="691">
                  <c:v>45984</c:v>
                </c:pt>
                <c:pt idx="692">
                  <c:v>45985</c:v>
                </c:pt>
                <c:pt idx="693">
                  <c:v>45986</c:v>
                </c:pt>
                <c:pt idx="694">
                  <c:v>45987</c:v>
                </c:pt>
                <c:pt idx="695">
                  <c:v>45988</c:v>
                </c:pt>
                <c:pt idx="696">
                  <c:v>45989</c:v>
                </c:pt>
                <c:pt idx="697">
                  <c:v>45990</c:v>
                </c:pt>
                <c:pt idx="698">
                  <c:v>45991</c:v>
                </c:pt>
                <c:pt idx="699">
                  <c:v>45992</c:v>
                </c:pt>
                <c:pt idx="700">
                  <c:v>45993</c:v>
                </c:pt>
                <c:pt idx="701">
                  <c:v>45994</c:v>
                </c:pt>
                <c:pt idx="702">
                  <c:v>45995</c:v>
                </c:pt>
                <c:pt idx="703">
                  <c:v>45996</c:v>
                </c:pt>
                <c:pt idx="704">
                  <c:v>45997</c:v>
                </c:pt>
                <c:pt idx="705">
                  <c:v>45998</c:v>
                </c:pt>
                <c:pt idx="706">
                  <c:v>45999</c:v>
                </c:pt>
                <c:pt idx="707">
                  <c:v>46000</c:v>
                </c:pt>
                <c:pt idx="708">
                  <c:v>46001</c:v>
                </c:pt>
                <c:pt idx="709">
                  <c:v>46002</c:v>
                </c:pt>
                <c:pt idx="710">
                  <c:v>46003</c:v>
                </c:pt>
                <c:pt idx="711">
                  <c:v>46004</c:v>
                </c:pt>
                <c:pt idx="712">
                  <c:v>46005</c:v>
                </c:pt>
                <c:pt idx="713">
                  <c:v>46006</c:v>
                </c:pt>
                <c:pt idx="714">
                  <c:v>46007</c:v>
                </c:pt>
                <c:pt idx="715">
                  <c:v>46008</c:v>
                </c:pt>
                <c:pt idx="716">
                  <c:v>46009</c:v>
                </c:pt>
                <c:pt idx="717">
                  <c:v>46010</c:v>
                </c:pt>
                <c:pt idx="718">
                  <c:v>46011</c:v>
                </c:pt>
                <c:pt idx="719">
                  <c:v>46012</c:v>
                </c:pt>
                <c:pt idx="720">
                  <c:v>46013</c:v>
                </c:pt>
                <c:pt idx="721">
                  <c:v>46014</c:v>
                </c:pt>
                <c:pt idx="722">
                  <c:v>46015</c:v>
                </c:pt>
                <c:pt idx="723">
                  <c:v>46016</c:v>
                </c:pt>
                <c:pt idx="724">
                  <c:v>46017</c:v>
                </c:pt>
                <c:pt idx="725">
                  <c:v>46018</c:v>
                </c:pt>
                <c:pt idx="726">
                  <c:v>46019</c:v>
                </c:pt>
                <c:pt idx="727">
                  <c:v>46020</c:v>
                </c:pt>
                <c:pt idx="728">
                  <c:v>46021</c:v>
                </c:pt>
                <c:pt idx="729">
                  <c:v>46022</c:v>
                </c:pt>
                <c:pt idx="730">
                  <c:v>46023</c:v>
                </c:pt>
                <c:pt idx="731">
                  <c:v>46024</c:v>
                </c:pt>
                <c:pt idx="732">
                  <c:v>46025</c:v>
                </c:pt>
                <c:pt idx="733">
                  <c:v>46026</c:v>
                </c:pt>
                <c:pt idx="734">
                  <c:v>46027</c:v>
                </c:pt>
                <c:pt idx="735">
                  <c:v>46028</c:v>
                </c:pt>
                <c:pt idx="736">
                  <c:v>46029</c:v>
                </c:pt>
                <c:pt idx="737">
                  <c:v>46030</c:v>
                </c:pt>
                <c:pt idx="738">
                  <c:v>46031</c:v>
                </c:pt>
                <c:pt idx="739">
                  <c:v>46032</c:v>
                </c:pt>
                <c:pt idx="740">
                  <c:v>46033</c:v>
                </c:pt>
                <c:pt idx="741">
                  <c:v>46034</c:v>
                </c:pt>
                <c:pt idx="742">
                  <c:v>46035</c:v>
                </c:pt>
                <c:pt idx="743">
                  <c:v>46036</c:v>
                </c:pt>
                <c:pt idx="744">
                  <c:v>46037</c:v>
                </c:pt>
                <c:pt idx="745">
                  <c:v>46038</c:v>
                </c:pt>
                <c:pt idx="746">
                  <c:v>46039</c:v>
                </c:pt>
                <c:pt idx="747">
                  <c:v>46040</c:v>
                </c:pt>
                <c:pt idx="748">
                  <c:v>46041</c:v>
                </c:pt>
                <c:pt idx="749">
                  <c:v>46042</c:v>
                </c:pt>
                <c:pt idx="750">
                  <c:v>46043</c:v>
                </c:pt>
                <c:pt idx="751">
                  <c:v>46044</c:v>
                </c:pt>
                <c:pt idx="752">
                  <c:v>46045</c:v>
                </c:pt>
                <c:pt idx="753">
                  <c:v>46046</c:v>
                </c:pt>
                <c:pt idx="754">
                  <c:v>46047</c:v>
                </c:pt>
                <c:pt idx="755">
                  <c:v>46048</c:v>
                </c:pt>
                <c:pt idx="756">
                  <c:v>46049</c:v>
                </c:pt>
                <c:pt idx="757">
                  <c:v>46050</c:v>
                </c:pt>
                <c:pt idx="758">
                  <c:v>46051</c:v>
                </c:pt>
                <c:pt idx="759">
                  <c:v>46052</c:v>
                </c:pt>
                <c:pt idx="760">
                  <c:v>46053</c:v>
                </c:pt>
                <c:pt idx="761">
                  <c:v>46054</c:v>
                </c:pt>
                <c:pt idx="762">
                  <c:v>46055</c:v>
                </c:pt>
                <c:pt idx="763">
                  <c:v>46056</c:v>
                </c:pt>
                <c:pt idx="764">
                  <c:v>46057</c:v>
                </c:pt>
                <c:pt idx="765">
                  <c:v>46058</c:v>
                </c:pt>
                <c:pt idx="766">
                  <c:v>46059</c:v>
                </c:pt>
                <c:pt idx="767">
                  <c:v>46060</c:v>
                </c:pt>
                <c:pt idx="768">
                  <c:v>46061</c:v>
                </c:pt>
                <c:pt idx="769">
                  <c:v>46062</c:v>
                </c:pt>
                <c:pt idx="770">
                  <c:v>46063</c:v>
                </c:pt>
                <c:pt idx="771">
                  <c:v>46064</c:v>
                </c:pt>
                <c:pt idx="772">
                  <c:v>46065</c:v>
                </c:pt>
                <c:pt idx="773">
                  <c:v>46066</c:v>
                </c:pt>
                <c:pt idx="774">
                  <c:v>46067</c:v>
                </c:pt>
                <c:pt idx="775">
                  <c:v>46068</c:v>
                </c:pt>
                <c:pt idx="776">
                  <c:v>46069</c:v>
                </c:pt>
                <c:pt idx="777">
                  <c:v>46070</c:v>
                </c:pt>
                <c:pt idx="778">
                  <c:v>46071</c:v>
                </c:pt>
                <c:pt idx="779">
                  <c:v>46072</c:v>
                </c:pt>
                <c:pt idx="780">
                  <c:v>46073</c:v>
                </c:pt>
                <c:pt idx="781">
                  <c:v>46074</c:v>
                </c:pt>
                <c:pt idx="782">
                  <c:v>46075</c:v>
                </c:pt>
                <c:pt idx="783">
                  <c:v>46076</c:v>
                </c:pt>
                <c:pt idx="784">
                  <c:v>46077</c:v>
                </c:pt>
                <c:pt idx="785">
                  <c:v>46078</c:v>
                </c:pt>
                <c:pt idx="786">
                  <c:v>46079</c:v>
                </c:pt>
                <c:pt idx="787">
                  <c:v>46080</c:v>
                </c:pt>
                <c:pt idx="788">
                  <c:v>46081</c:v>
                </c:pt>
                <c:pt idx="789">
                  <c:v>46082</c:v>
                </c:pt>
                <c:pt idx="790">
                  <c:v>46083</c:v>
                </c:pt>
                <c:pt idx="791">
                  <c:v>46084</c:v>
                </c:pt>
                <c:pt idx="792">
                  <c:v>46085</c:v>
                </c:pt>
                <c:pt idx="793">
                  <c:v>46086</c:v>
                </c:pt>
                <c:pt idx="794">
                  <c:v>46087</c:v>
                </c:pt>
                <c:pt idx="795">
                  <c:v>46088</c:v>
                </c:pt>
                <c:pt idx="796">
                  <c:v>46089</c:v>
                </c:pt>
                <c:pt idx="797">
                  <c:v>46090</c:v>
                </c:pt>
                <c:pt idx="798">
                  <c:v>46091</c:v>
                </c:pt>
                <c:pt idx="799">
                  <c:v>46092</c:v>
                </c:pt>
                <c:pt idx="800">
                  <c:v>46093</c:v>
                </c:pt>
                <c:pt idx="801">
                  <c:v>46094</c:v>
                </c:pt>
                <c:pt idx="802">
                  <c:v>46095</c:v>
                </c:pt>
                <c:pt idx="803">
                  <c:v>46096</c:v>
                </c:pt>
                <c:pt idx="804">
                  <c:v>46097</c:v>
                </c:pt>
                <c:pt idx="805">
                  <c:v>46098</c:v>
                </c:pt>
                <c:pt idx="806">
                  <c:v>46099</c:v>
                </c:pt>
                <c:pt idx="807">
                  <c:v>46100</c:v>
                </c:pt>
                <c:pt idx="808">
                  <c:v>46101</c:v>
                </c:pt>
                <c:pt idx="809">
                  <c:v>46102</c:v>
                </c:pt>
                <c:pt idx="810">
                  <c:v>46103</c:v>
                </c:pt>
                <c:pt idx="811">
                  <c:v>46104</c:v>
                </c:pt>
                <c:pt idx="812">
                  <c:v>46105</c:v>
                </c:pt>
                <c:pt idx="813">
                  <c:v>46106</c:v>
                </c:pt>
                <c:pt idx="814">
                  <c:v>46107</c:v>
                </c:pt>
                <c:pt idx="815">
                  <c:v>46108</c:v>
                </c:pt>
                <c:pt idx="816">
                  <c:v>46109</c:v>
                </c:pt>
                <c:pt idx="817">
                  <c:v>46110</c:v>
                </c:pt>
                <c:pt idx="818">
                  <c:v>46111</c:v>
                </c:pt>
                <c:pt idx="819">
                  <c:v>46112</c:v>
                </c:pt>
                <c:pt idx="820">
                  <c:v>46113</c:v>
                </c:pt>
                <c:pt idx="821">
                  <c:v>46114</c:v>
                </c:pt>
                <c:pt idx="822">
                  <c:v>46115</c:v>
                </c:pt>
                <c:pt idx="823">
                  <c:v>46116</c:v>
                </c:pt>
                <c:pt idx="824">
                  <c:v>46117</c:v>
                </c:pt>
                <c:pt idx="825">
                  <c:v>46118</c:v>
                </c:pt>
                <c:pt idx="826">
                  <c:v>46119</c:v>
                </c:pt>
                <c:pt idx="827">
                  <c:v>46120</c:v>
                </c:pt>
                <c:pt idx="828">
                  <c:v>46121</c:v>
                </c:pt>
              </c:numCache>
            </c:numRef>
          </c:cat>
          <c:val>
            <c:numRef>
              <c:f>'Cash v Tnotes'!$E$3:$E$831</c:f>
              <c:numCache>
                <c:formatCode>_(* #,##0.00_);_(* \(#,##0.00\);_(* "-"??_);_(@_)</c:formatCode>
                <c:ptCount val="829"/>
                <c:pt idx="0">
                  <c:v>73.495350999999999</c:v>
                </c:pt>
                <c:pt idx="1">
                  <c:v>66.957922999999994</c:v>
                </c:pt>
                <c:pt idx="2">
                  <c:v>66.364971999999995</c:v>
                </c:pt>
                <c:pt idx="3">
                  <c:v>65.507503</c:v>
                </c:pt>
                <c:pt idx="4">
                  <c:v>65.013807</c:v>
                </c:pt>
                <c:pt idx="5">
                  <c:v>65.014916999999997</c:v>
                </c:pt>
                <c:pt idx="6">
                  <c:v>65.015991</c:v>
                </c:pt>
                <c:pt idx="7">
                  <c:v>48.723579000000001</c:v>
                </c:pt>
                <c:pt idx="8">
                  <c:v>48.056066000000001</c:v>
                </c:pt>
                <c:pt idx="9">
                  <c:v>48.034179999999999</c:v>
                </c:pt>
                <c:pt idx="10">
                  <c:v>45.785603000000002</c:v>
                </c:pt>
                <c:pt idx="11">
                  <c:v>47.460203</c:v>
                </c:pt>
                <c:pt idx="12">
                  <c:v>47.460230000000003</c:v>
                </c:pt>
                <c:pt idx="13">
                  <c:v>47.461309999999997</c:v>
                </c:pt>
                <c:pt idx="14">
                  <c:v>48.132596999999997</c:v>
                </c:pt>
                <c:pt idx="15">
                  <c:v>47.774878000000001</c:v>
                </c:pt>
                <c:pt idx="16">
                  <c:v>47.622701999999997</c:v>
                </c:pt>
                <c:pt idx="17">
                  <c:v>48.793827</c:v>
                </c:pt>
                <c:pt idx="18">
                  <c:v>48.856878999999999</c:v>
                </c:pt>
                <c:pt idx="19">
                  <c:v>48.861210999999997</c:v>
                </c:pt>
                <c:pt idx="20">
                  <c:v>48.863242</c:v>
                </c:pt>
                <c:pt idx="21">
                  <c:v>55.550611000000004</c:v>
                </c:pt>
                <c:pt idx="22">
                  <c:v>55.672271000000002</c:v>
                </c:pt>
                <c:pt idx="23">
                  <c:v>55.001752000000003</c:v>
                </c:pt>
                <c:pt idx="24">
                  <c:v>54.612023999999998</c:v>
                </c:pt>
                <c:pt idx="25">
                  <c:v>54.613815000000002</c:v>
                </c:pt>
                <c:pt idx="26">
                  <c:v>54.614818999999997</c:v>
                </c:pt>
                <c:pt idx="27">
                  <c:v>54.616864</c:v>
                </c:pt>
                <c:pt idx="28">
                  <c:v>57.032116000000002</c:v>
                </c:pt>
                <c:pt idx="29">
                  <c:v>56.871180000000003</c:v>
                </c:pt>
                <c:pt idx="30">
                  <c:v>55.976201000000003</c:v>
                </c:pt>
                <c:pt idx="31">
                  <c:v>55.417594999999999</c:v>
                </c:pt>
                <c:pt idx="32">
                  <c:v>55.141063000000003</c:v>
                </c:pt>
                <c:pt idx="33">
                  <c:v>55.142677999999997</c:v>
                </c:pt>
                <c:pt idx="34">
                  <c:v>55.143911000000003</c:v>
                </c:pt>
                <c:pt idx="35">
                  <c:v>55.520225000000003</c:v>
                </c:pt>
                <c:pt idx="36">
                  <c:v>55.735912999999996</c:v>
                </c:pt>
                <c:pt idx="37">
                  <c:v>51.612017000000002</c:v>
                </c:pt>
                <c:pt idx="38">
                  <c:v>52.121957000000002</c:v>
                </c:pt>
                <c:pt idx="39">
                  <c:v>49.967787999999999</c:v>
                </c:pt>
                <c:pt idx="40">
                  <c:v>49.970184000000003</c:v>
                </c:pt>
                <c:pt idx="41">
                  <c:v>49.971386000000003</c:v>
                </c:pt>
                <c:pt idx="42">
                  <c:v>50.374011000000003</c:v>
                </c:pt>
                <c:pt idx="43">
                  <c:v>50.309469999999997</c:v>
                </c:pt>
                <c:pt idx="44">
                  <c:v>50.728552000000001</c:v>
                </c:pt>
                <c:pt idx="45">
                  <c:v>49.047778000000001</c:v>
                </c:pt>
                <c:pt idx="46">
                  <c:v>51.944488</c:v>
                </c:pt>
                <c:pt idx="47">
                  <c:v>51.945887999999997</c:v>
                </c:pt>
                <c:pt idx="48">
                  <c:v>51.950319</c:v>
                </c:pt>
                <c:pt idx="49">
                  <c:v>54.265264000000002</c:v>
                </c:pt>
                <c:pt idx="50">
                  <c:v>57.438918999999999</c:v>
                </c:pt>
                <c:pt idx="51">
                  <c:v>64.612026</c:v>
                </c:pt>
                <c:pt idx="52">
                  <c:v>67.304497999999995</c:v>
                </c:pt>
                <c:pt idx="53">
                  <c:v>65.412011000000007</c:v>
                </c:pt>
                <c:pt idx="54">
                  <c:v>65.417146000000002</c:v>
                </c:pt>
                <c:pt idx="55">
                  <c:v>65.423607000000004</c:v>
                </c:pt>
                <c:pt idx="56">
                  <c:v>68.316362999999996</c:v>
                </c:pt>
                <c:pt idx="57">
                  <c:v>70.285863000000006</c:v>
                </c:pt>
                <c:pt idx="58">
                  <c:v>75.455864000000005</c:v>
                </c:pt>
                <c:pt idx="59">
                  <c:v>76.964338999999995</c:v>
                </c:pt>
                <c:pt idx="60">
                  <c:v>80.394667999999996</c:v>
                </c:pt>
                <c:pt idx="61">
                  <c:v>80.397138999999996</c:v>
                </c:pt>
                <c:pt idx="62">
                  <c:v>80.400755000000004</c:v>
                </c:pt>
                <c:pt idx="63">
                  <c:v>79.130493000000001</c:v>
                </c:pt>
                <c:pt idx="64">
                  <c:v>79.873157000000006</c:v>
                </c:pt>
                <c:pt idx="65">
                  <c:v>80.228877999999995</c:v>
                </c:pt>
                <c:pt idx="66">
                  <c:v>76.338037</c:v>
                </c:pt>
                <c:pt idx="67">
                  <c:v>74.136088000000001</c:v>
                </c:pt>
                <c:pt idx="68">
                  <c:v>74.137574999999998</c:v>
                </c:pt>
                <c:pt idx="69">
                  <c:v>74.139324000000002</c:v>
                </c:pt>
                <c:pt idx="70">
                  <c:v>74.373009999999994</c:v>
                </c:pt>
                <c:pt idx="71">
                  <c:v>74.434513999999993</c:v>
                </c:pt>
                <c:pt idx="72">
                  <c:v>74.241907999999995</c:v>
                </c:pt>
                <c:pt idx="73">
                  <c:v>74.861868000000001</c:v>
                </c:pt>
                <c:pt idx="74">
                  <c:v>76.219757999999999</c:v>
                </c:pt>
                <c:pt idx="75">
                  <c:v>76.221829</c:v>
                </c:pt>
                <c:pt idx="76">
                  <c:v>76.223384999999993</c:v>
                </c:pt>
                <c:pt idx="77">
                  <c:v>77.907483999999997</c:v>
                </c:pt>
                <c:pt idx="78">
                  <c:v>78.643895999999998</c:v>
                </c:pt>
                <c:pt idx="79">
                  <c:v>81.601474999999994</c:v>
                </c:pt>
                <c:pt idx="80">
                  <c:v>88.309365999999997</c:v>
                </c:pt>
                <c:pt idx="81">
                  <c:v>87.177025999999998</c:v>
                </c:pt>
                <c:pt idx="82">
                  <c:v>87.179629000000006</c:v>
                </c:pt>
                <c:pt idx="83">
                  <c:v>87.180627000000001</c:v>
                </c:pt>
                <c:pt idx="84">
                  <c:v>87.575044000000005</c:v>
                </c:pt>
                <c:pt idx="85">
                  <c:v>86.469493</c:v>
                </c:pt>
                <c:pt idx="86">
                  <c:v>84.833931000000007</c:v>
                </c:pt>
                <c:pt idx="87">
                  <c:v>84.684280000000001</c:v>
                </c:pt>
                <c:pt idx="88">
                  <c:v>84.687678000000005</c:v>
                </c:pt>
                <c:pt idx="89">
                  <c:v>84.688692000000003</c:v>
                </c:pt>
                <c:pt idx="90">
                  <c:v>84.689612999999994</c:v>
                </c:pt>
                <c:pt idx="91">
                  <c:v>84.995142999999999</c:v>
                </c:pt>
                <c:pt idx="92">
                  <c:v>89.601309999999998</c:v>
                </c:pt>
                <c:pt idx="93">
                  <c:v>80.378028</c:v>
                </c:pt>
                <c:pt idx="94">
                  <c:v>79.142589999999998</c:v>
                </c:pt>
                <c:pt idx="95">
                  <c:v>80.836517999999998</c:v>
                </c:pt>
                <c:pt idx="96">
                  <c:v>80.838592000000006</c:v>
                </c:pt>
                <c:pt idx="97">
                  <c:v>80.840828999999999</c:v>
                </c:pt>
                <c:pt idx="98">
                  <c:v>76.364098999999996</c:v>
                </c:pt>
                <c:pt idx="99">
                  <c:v>76.690912999999995</c:v>
                </c:pt>
                <c:pt idx="100">
                  <c:v>76.621080000000006</c:v>
                </c:pt>
                <c:pt idx="101">
                  <c:v>76.249859000000001</c:v>
                </c:pt>
                <c:pt idx="102">
                  <c:v>72.276313999999999</c:v>
                </c:pt>
                <c:pt idx="103">
                  <c:v>72.277811999999997</c:v>
                </c:pt>
                <c:pt idx="104">
                  <c:v>72.279353999999998</c:v>
                </c:pt>
                <c:pt idx="105">
                  <c:v>72.646170999999995</c:v>
                </c:pt>
                <c:pt idx="106">
                  <c:v>72.924053999999998</c:v>
                </c:pt>
                <c:pt idx="107">
                  <c:v>73.498192000000003</c:v>
                </c:pt>
                <c:pt idx="108">
                  <c:v>74.258255000000005</c:v>
                </c:pt>
                <c:pt idx="109">
                  <c:v>79.578592</c:v>
                </c:pt>
                <c:pt idx="110">
                  <c:v>79.582043999999996</c:v>
                </c:pt>
                <c:pt idx="111">
                  <c:v>79.585127999999997</c:v>
                </c:pt>
                <c:pt idx="112">
                  <c:v>46.672063999999999</c:v>
                </c:pt>
                <c:pt idx="113">
                  <c:v>46.903122000000003</c:v>
                </c:pt>
                <c:pt idx="114">
                  <c:v>47.406441000000001</c:v>
                </c:pt>
                <c:pt idx="115">
                  <c:v>47.412820000000004</c:v>
                </c:pt>
                <c:pt idx="116">
                  <c:v>48.730097000000001</c:v>
                </c:pt>
                <c:pt idx="117">
                  <c:v>48.732460000000003</c:v>
                </c:pt>
                <c:pt idx="118">
                  <c:v>48.735911999999999</c:v>
                </c:pt>
                <c:pt idx="119">
                  <c:v>49.463594999999998</c:v>
                </c:pt>
                <c:pt idx="120">
                  <c:v>49.974161000000002</c:v>
                </c:pt>
                <c:pt idx="121">
                  <c:v>50.821827999999996</c:v>
                </c:pt>
                <c:pt idx="122">
                  <c:v>50.016357999999997</c:v>
                </c:pt>
                <c:pt idx="123">
                  <c:v>52.821044999999998</c:v>
                </c:pt>
                <c:pt idx="124">
                  <c:v>52.822558999999998</c:v>
                </c:pt>
                <c:pt idx="125">
                  <c:v>52.824337</c:v>
                </c:pt>
                <c:pt idx="126">
                  <c:v>54.151192000000002</c:v>
                </c:pt>
                <c:pt idx="127">
                  <c:v>47.822687999999999</c:v>
                </c:pt>
                <c:pt idx="128">
                  <c:v>47.694690999999999</c:v>
                </c:pt>
                <c:pt idx="129">
                  <c:v>47.319451000000001</c:v>
                </c:pt>
                <c:pt idx="130">
                  <c:v>44.736192000000003</c:v>
                </c:pt>
                <c:pt idx="131">
                  <c:v>44.738588999999997</c:v>
                </c:pt>
                <c:pt idx="132">
                  <c:v>44.740845</c:v>
                </c:pt>
                <c:pt idx="133">
                  <c:v>45.929774000000002</c:v>
                </c:pt>
                <c:pt idx="134">
                  <c:v>47.189759000000002</c:v>
                </c:pt>
                <c:pt idx="135">
                  <c:v>48.025964999999999</c:v>
                </c:pt>
                <c:pt idx="136">
                  <c:v>47.886678000000003</c:v>
                </c:pt>
                <c:pt idx="137">
                  <c:v>51.583784000000001</c:v>
                </c:pt>
                <c:pt idx="138">
                  <c:v>51.586635000000001</c:v>
                </c:pt>
                <c:pt idx="139">
                  <c:v>51.589502000000003</c:v>
                </c:pt>
                <c:pt idx="140">
                  <c:v>56.718361000000002</c:v>
                </c:pt>
                <c:pt idx="141">
                  <c:v>57.884397</c:v>
                </c:pt>
                <c:pt idx="142">
                  <c:v>58.234901999999998</c:v>
                </c:pt>
                <c:pt idx="143">
                  <c:v>59.518351000000003</c:v>
                </c:pt>
                <c:pt idx="144">
                  <c:v>56.858905</c:v>
                </c:pt>
                <c:pt idx="145">
                  <c:v>56.865403999999998</c:v>
                </c:pt>
                <c:pt idx="146">
                  <c:v>56.871955</c:v>
                </c:pt>
                <c:pt idx="147">
                  <c:v>60.401870000000002</c:v>
                </c:pt>
                <c:pt idx="148">
                  <c:v>65.211231999999995</c:v>
                </c:pt>
                <c:pt idx="149">
                  <c:v>66.675685999999999</c:v>
                </c:pt>
                <c:pt idx="150">
                  <c:v>70.097314999999995</c:v>
                </c:pt>
                <c:pt idx="151">
                  <c:v>73.545720000000003</c:v>
                </c:pt>
                <c:pt idx="152">
                  <c:v>73.754114000000001</c:v>
                </c:pt>
                <c:pt idx="153">
                  <c:v>73.757830999999996</c:v>
                </c:pt>
                <c:pt idx="154">
                  <c:v>78.521094000000005</c:v>
                </c:pt>
                <c:pt idx="155">
                  <c:v>80.579673999999997</c:v>
                </c:pt>
                <c:pt idx="156">
                  <c:v>80.170608999999999</c:v>
                </c:pt>
                <c:pt idx="157">
                  <c:v>79.831793000000005</c:v>
                </c:pt>
                <c:pt idx="158">
                  <c:v>70.570485000000005</c:v>
                </c:pt>
                <c:pt idx="159">
                  <c:v>70.572764000000006</c:v>
                </c:pt>
                <c:pt idx="160">
                  <c:v>70.574270999999996</c:v>
                </c:pt>
                <c:pt idx="161">
                  <c:v>69.733971999999994</c:v>
                </c:pt>
                <c:pt idx="162">
                  <c:v>71.296980000000005</c:v>
                </c:pt>
                <c:pt idx="163">
                  <c:v>71.610668000000004</c:v>
                </c:pt>
                <c:pt idx="164">
                  <c:v>71.106375999999997</c:v>
                </c:pt>
                <c:pt idx="165">
                  <c:v>79.771426000000005</c:v>
                </c:pt>
                <c:pt idx="166">
                  <c:v>79.773696000000001</c:v>
                </c:pt>
                <c:pt idx="167">
                  <c:v>79.775744000000003</c:v>
                </c:pt>
                <c:pt idx="168">
                  <c:v>80.845556999999999</c:v>
                </c:pt>
                <c:pt idx="169">
                  <c:v>80.865561</c:v>
                </c:pt>
                <c:pt idx="170">
                  <c:v>83.932212000000007</c:v>
                </c:pt>
                <c:pt idx="171">
                  <c:v>87.457070999999999</c:v>
                </c:pt>
                <c:pt idx="172">
                  <c:v>92.297255000000007</c:v>
                </c:pt>
                <c:pt idx="173">
                  <c:v>92.301281000000003</c:v>
                </c:pt>
                <c:pt idx="174">
                  <c:v>92.303803000000002</c:v>
                </c:pt>
                <c:pt idx="175">
                  <c:v>93.076509000000001</c:v>
                </c:pt>
                <c:pt idx="176">
                  <c:v>94.237116999999998</c:v>
                </c:pt>
                <c:pt idx="177">
                  <c:v>96.442282000000006</c:v>
                </c:pt>
                <c:pt idx="178">
                  <c:v>94.760458</c:v>
                </c:pt>
                <c:pt idx="179">
                  <c:v>85.544028999999995</c:v>
                </c:pt>
                <c:pt idx="180">
                  <c:v>85.547433999999996</c:v>
                </c:pt>
                <c:pt idx="181">
                  <c:v>85.551811000000001</c:v>
                </c:pt>
                <c:pt idx="182">
                  <c:v>83.600385000000003</c:v>
                </c:pt>
                <c:pt idx="183">
                  <c:v>71.539534000000003</c:v>
                </c:pt>
                <c:pt idx="184">
                  <c:v>71.117103999999998</c:v>
                </c:pt>
                <c:pt idx="185">
                  <c:v>69.254273999999995</c:v>
                </c:pt>
                <c:pt idx="186">
                  <c:v>71.090233999999995</c:v>
                </c:pt>
                <c:pt idx="187">
                  <c:v>71.092258000000001</c:v>
                </c:pt>
                <c:pt idx="188">
                  <c:v>71.094115000000002</c:v>
                </c:pt>
                <c:pt idx="189">
                  <c:v>62.373716999999999</c:v>
                </c:pt>
                <c:pt idx="190">
                  <c:v>62.593603000000002</c:v>
                </c:pt>
                <c:pt idx="191">
                  <c:v>62.519558000000004</c:v>
                </c:pt>
                <c:pt idx="192">
                  <c:v>62.583472</c:v>
                </c:pt>
                <c:pt idx="193">
                  <c:v>58.729517000000001</c:v>
                </c:pt>
                <c:pt idx="194">
                  <c:v>58.731332999999999</c:v>
                </c:pt>
                <c:pt idx="195">
                  <c:v>58.732416000000001</c:v>
                </c:pt>
                <c:pt idx="196">
                  <c:v>58.368550999999997</c:v>
                </c:pt>
                <c:pt idx="197">
                  <c:v>58.682015999999997</c:v>
                </c:pt>
                <c:pt idx="198">
                  <c:v>57.969017999999998</c:v>
                </c:pt>
                <c:pt idx="199">
                  <c:v>56.933039999999998</c:v>
                </c:pt>
                <c:pt idx="200">
                  <c:v>61.648600999999999</c:v>
                </c:pt>
                <c:pt idx="201">
                  <c:v>61.662647999999997</c:v>
                </c:pt>
                <c:pt idx="202">
                  <c:v>61.665689</c:v>
                </c:pt>
                <c:pt idx="203">
                  <c:v>68.941857999999996</c:v>
                </c:pt>
                <c:pt idx="204">
                  <c:v>69.550026000000003</c:v>
                </c:pt>
                <c:pt idx="205">
                  <c:v>68.180564000000004</c:v>
                </c:pt>
                <c:pt idx="206">
                  <c:v>67.778897999999998</c:v>
                </c:pt>
                <c:pt idx="207">
                  <c:v>63.997838999999999</c:v>
                </c:pt>
                <c:pt idx="208">
                  <c:v>64.001289999999997</c:v>
                </c:pt>
                <c:pt idx="209">
                  <c:v>64.005610000000004</c:v>
                </c:pt>
                <c:pt idx="210">
                  <c:v>65.437012999999993</c:v>
                </c:pt>
                <c:pt idx="211">
                  <c:v>65.538014000000004</c:v>
                </c:pt>
                <c:pt idx="212">
                  <c:v>77.731673999999998</c:v>
                </c:pt>
                <c:pt idx="213">
                  <c:v>77.186147000000005</c:v>
                </c:pt>
                <c:pt idx="214">
                  <c:v>75.953100000000006</c:v>
                </c:pt>
                <c:pt idx="215">
                  <c:v>75.954903999999999</c:v>
                </c:pt>
                <c:pt idx="216">
                  <c:v>75.956327000000002</c:v>
                </c:pt>
                <c:pt idx="217">
                  <c:v>75.851626999999993</c:v>
                </c:pt>
                <c:pt idx="218">
                  <c:v>75.609373000000005</c:v>
                </c:pt>
                <c:pt idx="219">
                  <c:v>71.665474000000003</c:v>
                </c:pt>
                <c:pt idx="220">
                  <c:v>71.711376000000001</c:v>
                </c:pt>
                <c:pt idx="221">
                  <c:v>69.151730000000001</c:v>
                </c:pt>
                <c:pt idx="222">
                  <c:v>69.153868000000003</c:v>
                </c:pt>
                <c:pt idx="223">
                  <c:v>69.155343000000002</c:v>
                </c:pt>
                <c:pt idx="224">
                  <c:v>69.748604999999998</c:v>
                </c:pt>
                <c:pt idx="225">
                  <c:v>70.043761000000003</c:v>
                </c:pt>
                <c:pt idx="226">
                  <c:v>69.903739999999999</c:v>
                </c:pt>
                <c:pt idx="227">
                  <c:v>67.396782999999999</c:v>
                </c:pt>
                <c:pt idx="228">
                  <c:v>69.651994000000002</c:v>
                </c:pt>
                <c:pt idx="229">
                  <c:v>69.653947000000002</c:v>
                </c:pt>
                <c:pt idx="230">
                  <c:v>69.656071999999995</c:v>
                </c:pt>
                <c:pt idx="231">
                  <c:v>72.004086999999998</c:v>
                </c:pt>
                <c:pt idx="232">
                  <c:v>76.253540999999998</c:v>
                </c:pt>
                <c:pt idx="233">
                  <c:v>83.309248999999994</c:v>
                </c:pt>
                <c:pt idx="234">
                  <c:v>85.757637000000003</c:v>
                </c:pt>
                <c:pt idx="235">
                  <c:v>83.853813000000002</c:v>
                </c:pt>
                <c:pt idx="236">
                  <c:v>83.861869999999996</c:v>
                </c:pt>
                <c:pt idx="237">
                  <c:v>83.871618999999995</c:v>
                </c:pt>
                <c:pt idx="238">
                  <c:v>88.738268000000005</c:v>
                </c:pt>
                <c:pt idx="239">
                  <c:v>88.829820999999995</c:v>
                </c:pt>
                <c:pt idx="240">
                  <c:v>88.712466000000006</c:v>
                </c:pt>
                <c:pt idx="241">
                  <c:v>88.557190000000006</c:v>
                </c:pt>
                <c:pt idx="242">
                  <c:v>90.710530000000006</c:v>
                </c:pt>
                <c:pt idx="243">
                  <c:v>90.712602000000004</c:v>
                </c:pt>
                <c:pt idx="244">
                  <c:v>91.006359000000003</c:v>
                </c:pt>
                <c:pt idx="245">
                  <c:v>91.955680000000001</c:v>
                </c:pt>
                <c:pt idx="246">
                  <c:v>90.489631000000003</c:v>
                </c:pt>
                <c:pt idx="247">
                  <c:v>90.343684999999994</c:v>
                </c:pt>
                <c:pt idx="248">
                  <c:v>90.583434999999994</c:v>
                </c:pt>
                <c:pt idx="249">
                  <c:v>92.925556999999998</c:v>
                </c:pt>
                <c:pt idx="250">
                  <c:v>92.927673999999996</c:v>
                </c:pt>
                <c:pt idx="251">
                  <c:v>92.929357999999993</c:v>
                </c:pt>
                <c:pt idx="252">
                  <c:v>88.78604</c:v>
                </c:pt>
                <c:pt idx="253">
                  <c:v>88.051522000000006</c:v>
                </c:pt>
                <c:pt idx="254">
                  <c:v>87.323537999999999</c:v>
                </c:pt>
                <c:pt idx="255">
                  <c:v>85.074984000000001</c:v>
                </c:pt>
                <c:pt idx="256">
                  <c:v>82.466920999999999</c:v>
                </c:pt>
                <c:pt idx="257">
                  <c:v>82.468259000000003</c:v>
                </c:pt>
                <c:pt idx="258">
                  <c:v>82.470054000000005</c:v>
                </c:pt>
                <c:pt idx="259">
                  <c:v>83.420952</c:v>
                </c:pt>
                <c:pt idx="260">
                  <c:v>83.236915999999994</c:v>
                </c:pt>
                <c:pt idx="261">
                  <c:v>83.918407000000002</c:v>
                </c:pt>
                <c:pt idx="262">
                  <c:v>85.002733000000006</c:v>
                </c:pt>
                <c:pt idx="263">
                  <c:v>90.119129000000001</c:v>
                </c:pt>
                <c:pt idx="264">
                  <c:v>90.121311000000006</c:v>
                </c:pt>
                <c:pt idx="265">
                  <c:v>90.123303000000007</c:v>
                </c:pt>
                <c:pt idx="266">
                  <c:v>89.283069999999995</c:v>
                </c:pt>
                <c:pt idx="267">
                  <c:v>93.784895000000006</c:v>
                </c:pt>
                <c:pt idx="268">
                  <c:v>93.264549000000002</c:v>
                </c:pt>
                <c:pt idx="269">
                  <c:v>91.787925999999999</c:v>
                </c:pt>
                <c:pt idx="270">
                  <c:v>86.732482000000005</c:v>
                </c:pt>
                <c:pt idx="271">
                  <c:v>86.7333</c:v>
                </c:pt>
                <c:pt idx="272">
                  <c:v>86.734572</c:v>
                </c:pt>
                <c:pt idx="273">
                  <c:v>87.642664999999994</c:v>
                </c:pt>
                <c:pt idx="274">
                  <c:v>88.350453999999999</c:v>
                </c:pt>
                <c:pt idx="275">
                  <c:v>77.419650000000004</c:v>
                </c:pt>
                <c:pt idx="276">
                  <c:v>77.619795999999994</c:v>
                </c:pt>
                <c:pt idx="277">
                  <c:v>79.808194</c:v>
                </c:pt>
                <c:pt idx="278">
                  <c:v>79.809759999999997</c:v>
                </c:pt>
                <c:pt idx="279">
                  <c:v>79.810986999999997</c:v>
                </c:pt>
                <c:pt idx="280">
                  <c:v>79.698217</c:v>
                </c:pt>
                <c:pt idx="281">
                  <c:v>70.350538999999998</c:v>
                </c:pt>
                <c:pt idx="282">
                  <c:v>69.963659000000007</c:v>
                </c:pt>
                <c:pt idx="283">
                  <c:v>68.354436000000007</c:v>
                </c:pt>
                <c:pt idx="284">
                  <c:v>66.107944000000003</c:v>
                </c:pt>
                <c:pt idx="285">
                  <c:v>66.109182000000004</c:v>
                </c:pt>
                <c:pt idx="286">
                  <c:v>66.111089000000007</c:v>
                </c:pt>
                <c:pt idx="287">
                  <c:v>66.702029999999993</c:v>
                </c:pt>
                <c:pt idx="288">
                  <c:v>67.017477999999997</c:v>
                </c:pt>
                <c:pt idx="289">
                  <c:v>67.424454999999995</c:v>
                </c:pt>
                <c:pt idx="290">
                  <c:v>67.105700999999996</c:v>
                </c:pt>
                <c:pt idx="291">
                  <c:v>71.428321999999994</c:v>
                </c:pt>
                <c:pt idx="292">
                  <c:v>71.432040000000001</c:v>
                </c:pt>
                <c:pt idx="293">
                  <c:v>71.436858999999998</c:v>
                </c:pt>
                <c:pt idx="294">
                  <c:v>75.216577999999998</c:v>
                </c:pt>
                <c:pt idx="295">
                  <c:v>75.523949000000002</c:v>
                </c:pt>
                <c:pt idx="296">
                  <c:v>76.108058</c:v>
                </c:pt>
                <c:pt idx="297">
                  <c:v>75.123181000000002</c:v>
                </c:pt>
                <c:pt idx="298">
                  <c:v>76.779365999999996</c:v>
                </c:pt>
                <c:pt idx="299">
                  <c:v>76.781713999999994</c:v>
                </c:pt>
                <c:pt idx="300">
                  <c:v>76.784711999999999</c:v>
                </c:pt>
                <c:pt idx="301">
                  <c:v>78.201308999999995</c:v>
                </c:pt>
                <c:pt idx="302">
                  <c:v>78.646501999999998</c:v>
                </c:pt>
                <c:pt idx="303">
                  <c:v>79.444141999999999</c:v>
                </c:pt>
                <c:pt idx="304">
                  <c:v>79.692818000000003</c:v>
                </c:pt>
                <c:pt idx="305">
                  <c:v>81.115510999999998</c:v>
                </c:pt>
                <c:pt idx="306">
                  <c:v>81.117475999999996</c:v>
                </c:pt>
                <c:pt idx="307">
                  <c:v>81.118786</c:v>
                </c:pt>
                <c:pt idx="308">
                  <c:v>79.516057000000004</c:v>
                </c:pt>
                <c:pt idx="309">
                  <c:v>79.243020999999999</c:v>
                </c:pt>
                <c:pt idx="310">
                  <c:v>79.390365000000003</c:v>
                </c:pt>
                <c:pt idx="311">
                  <c:v>73.459101000000004</c:v>
                </c:pt>
                <c:pt idx="312">
                  <c:v>70.156233</c:v>
                </c:pt>
                <c:pt idx="313">
                  <c:v>70.157591999999994</c:v>
                </c:pt>
                <c:pt idx="314">
                  <c:v>70.159322000000003</c:v>
                </c:pt>
                <c:pt idx="315">
                  <c:v>70.618302999999997</c:v>
                </c:pt>
                <c:pt idx="316">
                  <c:v>71.029595</c:v>
                </c:pt>
                <c:pt idx="317">
                  <c:v>71.132699000000002</c:v>
                </c:pt>
                <c:pt idx="318">
                  <c:v>70.490553000000006</c:v>
                </c:pt>
                <c:pt idx="319">
                  <c:v>72.328595000000007</c:v>
                </c:pt>
                <c:pt idx="320">
                  <c:v>72.331762999999995</c:v>
                </c:pt>
                <c:pt idx="321">
                  <c:v>72.334862999999999</c:v>
                </c:pt>
                <c:pt idx="322">
                  <c:v>76.426233999999994</c:v>
                </c:pt>
                <c:pt idx="323">
                  <c:v>80.556182000000007</c:v>
                </c:pt>
                <c:pt idx="324">
                  <c:v>43.218918000000002</c:v>
                </c:pt>
                <c:pt idx="325">
                  <c:v>43.394655999999998</c:v>
                </c:pt>
                <c:pt idx="326">
                  <c:v>43.401170999999998</c:v>
                </c:pt>
                <c:pt idx="327">
                  <c:v>43.413328999999997</c:v>
                </c:pt>
                <c:pt idx="328">
                  <c:v>48.757303</c:v>
                </c:pt>
                <c:pt idx="329">
                  <c:v>50.019638</c:v>
                </c:pt>
                <c:pt idx="330">
                  <c:v>49.978181999999997</c:v>
                </c:pt>
                <c:pt idx="331">
                  <c:v>52.056598999999999</c:v>
                </c:pt>
                <c:pt idx="332">
                  <c:v>58.065727000000003</c:v>
                </c:pt>
                <c:pt idx="333">
                  <c:v>58.068634000000003</c:v>
                </c:pt>
                <c:pt idx="334">
                  <c:v>58.315195000000003</c:v>
                </c:pt>
                <c:pt idx="335">
                  <c:v>66.691293000000002</c:v>
                </c:pt>
                <c:pt idx="336">
                  <c:v>61.994132</c:v>
                </c:pt>
                <c:pt idx="337">
                  <c:v>61.879390000000001</c:v>
                </c:pt>
                <c:pt idx="338">
                  <c:v>59.340398999999998</c:v>
                </c:pt>
                <c:pt idx="339">
                  <c:v>61.242308000000001</c:v>
                </c:pt>
                <c:pt idx="340">
                  <c:v>61.244796999999998</c:v>
                </c:pt>
                <c:pt idx="341">
                  <c:v>61.246222000000003</c:v>
                </c:pt>
                <c:pt idx="342">
                  <c:v>56.517352000000002</c:v>
                </c:pt>
                <c:pt idx="343">
                  <c:v>57.047663</c:v>
                </c:pt>
                <c:pt idx="344">
                  <c:v>57.754562</c:v>
                </c:pt>
                <c:pt idx="345">
                  <c:v>58.578096000000002</c:v>
                </c:pt>
                <c:pt idx="346">
                  <c:v>54.237976000000003</c:v>
                </c:pt>
                <c:pt idx="347">
                  <c:v>54.239958000000001</c:v>
                </c:pt>
                <c:pt idx="348">
                  <c:v>54.241458000000002</c:v>
                </c:pt>
                <c:pt idx="349">
                  <c:v>54.876640000000002</c:v>
                </c:pt>
                <c:pt idx="350">
                  <c:v>52.106679999999997</c:v>
                </c:pt>
                <c:pt idx="351">
                  <c:v>52.765284000000001</c:v>
                </c:pt>
                <c:pt idx="352">
                  <c:v>55.581636000000003</c:v>
                </c:pt>
                <c:pt idx="353">
                  <c:v>61.885106999999998</c:v>
                </c:pt>
                <c:pt idx="354">
                  <c:v>61.88944</c:v>
                </c:pt>
                <c:pt idx="355">
                  <c:v>61.892336</c:v>
                </c:pt>
                <c:pt idx="356">
                  <c:v>52.848236999999997</c:v>
                </c:pt>
                <c:pt idx="357">
                  <c:v>52.498316000000003</c:v>
                </c:pt>
                <c:pt idx="358">
                  <c:v>52.499684000000002</c:v>
                </c:pt>
                <c:pt idx="359">
                  <c:v>52.502586000000001</c:v>
                </c:pt>
                <c:pt idx="360">
                  <c:v>52.734735999999998</c:v>
                </c:pt>
                <c:pt idx="361">
                  <c:v>52.737575999999997</c:v>
                </c:pt>
                <c:pt idx="362">
                  <c:v>52.738255000000002</c:v>
                </c:pt>
                <c:pt idx="363">
                  <c:v>52.959705</c:v>
                </c:pt>
                <c:pt idx="364">
                  <c:v>53.978090000000002</c:v>
                </c:pt>
                <c:pt idx="365">
                  <c:v>54.194718999999999</c:v>
                </c:pt>
                <c:pt idx="366">
                  <c:v>53.836165999999999</c:v>
                </c:pt>
                <c:pt idx="367">
                  <c:v>44.504286</c:v>
                </c:pt>
                <c:pt idx="368">
                  <c:v>44.506157000000002</c:v>
                </c:pt>
                <c:pt idx="369">
                  <c:v>44.507748999999997</c:v>
                </c:pt>
                <c:pt idx="370">
                  <c:v>45.000038000000004</c:v>
                </c:pt>
                <c:pt idx="371">
                  <c:v>26.495404000000001</c:v>
                </c:pt>
                <c:pt idx="372">
                  <c:v>26.303574000000001</c:v>
                </c:pt>
                <c:pt idx="373">
                  <c:v>23.883016999999999</c:v>
                </c:pt>
                <c:pt idx="374">
                  <c:v>23.173009</c:v>
                </c:pt>
                <c:pt idx="375">
                  <c:v>23.174253</c:v>
                </c:pt>
                <c:pt idx="376">
                  <c:v>23.175046999999999</c:v>
                </c:pt>
                <c:pt idx="377">
                  <c:v>23.708959</c:v>
                </c:pt>
                <c:pt idx="378">
                  <c:v>23.694858</c:v>
                </c:pt>
                <c:pt idx="379">
                  <c:v>22.715871</c:v>
                </c:pt>
                <c:pt idx="380">
                  <c:v>22.421917000000001</c:v>
                </c:pt>
                <c:pt idx="381">
                  <c:v>26.511676999999999</c:v>
                </c:pt>
                <c:pt idx="382">
                  <c:v>26.513425000000002</c:v>
                </c:pt>
                <c:pt idx="383">
                  <c:v>26.514990000000001</c:v>
                </c:pt>
                <c:pt idx="384">
                  <c:v>27.669882000000001</c:v>
                </c:pt>
                <c:pt idx="385">
                  <c:v>34.007911</c:v>
                </c:pt>
                <c:pt idx="386">
                  <c:v>34.913992999999998</c:v>
                </c:pt>
                <c:pt idx="387">
                  <c:v>34.359808999999998</c:v>
                </c:pt>
                <c:pt idx="388">
                  <c:v>36.312244</c:v>
                </c:pt>
                <c:pt idx="389">
                  <c:v>36.314387000000004</c:v>
                </c:pt>
                <c:pt idx="390">
                  <c:v>36.316057000000001</c:v>
                </c:pt>
                <c:pt idx="391">
                  <c:v>36.319194000000003</c:v>
                </c:pt>
                <c:pt idx="392">
                  <c:v>36.309626999999999</c:v>
                </c:pt>
                <c:pt idx="393">
                  <c:v>36.508654999999997</c:v>
                </c:pt>
                <c:pt idx="394">
                  <c:v>36.252339999999997</c:v>
                </c:pt>
                <c:pt idx="395">
                  <c:v>32.922671999999999</c:v>
                </c:pt>
                <c:pt idx="396">
                  <c:v>33.050288999999999</c:v>
                </c:pt>
                <c:pt idx="397">
                  <c:v>33.051920000000003</c:v>
                </c:pt>
                <c:pt idx="398">
                  <c:v>33.476908999999999</c:v>
                </c:pt>
                <c:pt idx="399">
                  <c:v>31.148831999999999</c:v>
                </c:pt>
                <c:pt idx="400">
                  <c:v>31.302156</c:v>
                </c:pt>
                <c:pt idx="401">
                  <c:v>31.678916999999998</c:v>
                </c:pt>
                <c:pt idx="402">
                  <c:v>29.228151</c:v>
                </c:pt>
                <c:pt idx="403">
                  <c:v>29.232071999999999</c:v>
                </c:pt>
                <c:pt idx="404">
                  <c:v>29.233916000000001</c:v>
                </c:pt>
                <c:pt idx="405">
                  <c:v>29.75048</c:v>
                </c:pt>
                <c:pt idx="406">
                  <c:v>44.413131999999997</c:v>
                </c:pt>
                <c:pt idx="407">
                  <c:v>44.162633999999997</c:v>
                </c:pt>
                <c:pt idx="408">
                  <c:v>42.468553</c:v>
                </c:pt>
                <c:pt idx="409">
                  <c:v>41.216923999999999</c:v>
                </c:pt>
                <c:pt idx="410">
                  <c:v>41.220059999999997</c:v>
                </c:pt>
                <c:pt idx="411">
                  <c:v>41.223284</c:v>
                </c:pt>
                <c:pt idx="412">
                  <c:v>42.687767999999998</c:v>
                </c:pt>
                <c:pt idx="413">
                  <c:v>44.121485999999997</c:v>
                </c:pt>
                <c:pt idx="414">
                  <c:v>46.470536000000003</c:v>
                </c:pt>
                <c:pt idx="415">
                  <c:v>52.040708000000002</c:v>
                </c:pt>
                <c:pt idx="416">
                  <c:v>60.668641999999998</c:v>
                </c:pt>
                <c:pt idx="417">
                  <c:v>60.675224</c:v>
                </c:pt>
                <c:pt idx="418">
                  <c:v>60.679929000000001</c:v>
                </c:pt>
                <c:pt idx="419">
                  <c:v>62.6952</c:v>
                </c:pt>
                <c:pt idx="420">
                  <c:v>64.221142999999998</c:v>
                </c:pt>
                <c:pt idx="421">
                  <c:v>66.022683000000001</c:v>
                </c:pt>
                <c:pt idx="422">
                  <c:v>68.499270999999993</c:v>
                </c:pt>
                <c:pt idx="423">
                  <c:v>75.200023000000002</c:v>
                </c:pt>
                <c:pt idx="424">
                  <c:v>75.362600999999998</c:v>
                </c:pt>
                <c:pt idx="425">
                  <c:v>75.368077</c:v>
                </c:pt>
                <c:pt idx="426">
                  <c:v>78.155162000000004</c:v>
                </c:pt>
                <c:pt idx="427">
                  <c:v>76.617016000000007</c:v>
                </c:pt>
                <c:pt idx="428">
                  <c:v>76.924993999999998</c:v>
                </c:pt>
                <c:pt idx="429">
                  <c:v>77.413614999999993</c:v>
                </c:pt>
                <c:pt idx="430">
                  <c:v>74.219620000000006</c:v>
                </c:pt>
                <c:pt idx="431">
                  <c:v>74.221300999999997</c:v>
                </c:pt>
                <c:pt idx="432">
                  <c:v>74.222746000000001</c:v>
                </c:pt>
                <c:pt idx="433">
                  <c:v>74.460200999999998</c:v>
                </c:pt>
                <c:pt idx="434">
                  <c:v>75.099839000000003</c:v>
                </c:pt>
                <c:pt idx="435">
                  <c:v>74.791038999999998</c:v>
                </c:pt>
                <c:pt idx="436">
                  <c:v>74.817008000000001</c:v>
                </c:pt>
                <c:pt idx="437">
                  <c:v>74.321847000000005</c:v>
                </c:pt>
                <c:pt idx="438">
                  <c:v>74.318607999999998</c:v>
                </c:pt>
                <c:pt idx="439">
                  <c:v>74.31026</c:v>
                </c:pt>
                <c:pt idx="440">
                  <c:v>75.579678999999999</c:v>
                </c:pt>
                <c:pt idx="441">
                  <c:v>76.154900999999995</c:v>
                </c:pt>
                <c:pt idx="442">
                  <c:v>78.052847999999997</c:v>
                </c:pt>
                <c:pt idx="443">
                  <c:v>80.923749000000001</c:v>
                </c:pt>
                <c:pt idx="444">
                  <c:v>88.443364000000003</c:v>
                </c:pt>
                <c:pt idx="445">
                  <c:v>88.435063999999997</c:v>
                </c:pt>
                <c:pt idx="446">
                  <c:v>88.420572000000007</c:v>
                </c:pt>
                <c:pt idx="447">
                  <c:v>88.296435000000002</c:v>
                </c:pt>
                <c:pt idx="448">
                  <c:v>88.596721000000002</c:v>
                </c:pt>
                <c:pt idx="449">
                  <c:v>88.231344000000007</c:v>
                </c:pt>
                <c:pt idx="450">
                  <c:v>87.168974000000006</c:v>
                </c:pt>
                <c:pt idx="451">
                  <c:v>86.702217000000005</c:v>
                </c:pt>
                <c:pt idx="452">
                  <c:v>86.693748999999997</c:v>
                </c:pt>
                <c:pt idx="453">
                  <c:v>86.683718999999996</c:v>
                </c:pt>
                <c:pt idx="454">
                  <c:v>88.539411000000001</c:v>
                </c:pt>
                <c:pt idx="455">
                  <c:v>89.126399000000006</c:v>
                </c:pt>
                <c:pt idx="456">
                  <c:v>78.956575999999998</c:v>
                </c:pt>
                <c:pt idx="457">
                  <c:v>79.306164999999993</c:v>
                </c:pt>
                <c:pt idx="458">
                  <c:v>82.252592000000007</c:v>
                </c:pt>
                <c:pt idx="459">
                  <c:v>82.250765000000001</c:v>
                </c:pt>
                <c:pt idx="460">
                  <c:v>82.248830999999996</c:v>
                </c:pt>
                <c:pt idx="461">
                  <c:v>76.689569000000006</c:v>
                </c:pt>
                <c:pt idx="462">
                  <c:v>76.670703000000003</c:v>
                </c:pt>
                <c:pt idx="463">
                  <c:v>76.251040000000003</c:v>
                </c:pt>
                <c:pt idx="464">
                  <c:v>76.024382000000003</c:v>
                </c:pt>
                <c:pt idx="465">
                  <c:v>73.633556999999996</c:v>
                </c:pt>
                <c:pt idx="466">
                  <c:v>73.633212</c:v>
                </c:pt>
                <c:pt idx="467">
                  <c:v>73.631446999999994</c:v>
                </c:pt>
                <c:pt idx="468">
                  <c:v>75.088813000000002</c:v>
                </c:pt>
                <c:pt idx="469">
                  <c:v>75.257366000000005</c:v>
                </c:pt>
                <c:pt idx="470">
                  <c:v>75.919169999999994</c:v>
                </c:pt>
                <c:pt idx="471">
                  <c:v>78.617384000000001</c:v>
                </c:pt>
                <c:pt idx="472">
                  <c:v>78.620664000000005</c:v>
                </c:pt>
                <c:pt idx="473">
                  <c:v>78.619964999999993</c:v>
                </c:pt>
                <c:pt idx="474">
                  <c:v>78.622522000000004</c:v>
                </c:pt>
                <c:pt idx="475">
                  <c:v>78.630461999999994</c:v>
                </c:pt>
                <c:pt idx="476">
                  <c:v>44.349437999999999</c:v>
                </c:pt>
                <c:pt idx="477">
                  <c:v>44.997675999999998</c:v>
                </c:pt>
                <c:pt idx="478">
                  <c:v>44.470407000000002</c:v>
                </c:pt>
                <c:pt idx="479">
                  <c:v>44.475960000000001</c:v>
                </c:pt>
                <c:pt idx="480">
                  <c:v>44.477412000000001</c:v>
                </c:pt>
                <c:pt idx="481">
                  <c:v>44.481774999999999</c:v>
                </c:pt>
                <c:pt idx="482">
                  <c:v>50.477967999999997</c:v>
                </c:pt>
                <c:pt idx="483">
                  <c:v>50.232722000000003</c:v>
                </c:pt>
                <c:pt idx="484">
                  <c:v>50.154546000000003</c:v>
                </c:pt>
                <c:pt idx="485">
                  <c:v>50.759844999999999</c:v>
                </c:pt>
                <c:pt idx="486">
                  <c:v>50.611274999999999</c:v>
                </c:pt>
                <c:pt idx="487">
                  <c:v>50.612948000000003</c:v>
                </c:pt>
                <c:pt idx="488">
                  <c:v>50.615544</c:v>
                </c:pt>
                <c:pt idx="489">
                  <c:v>50.935609999999997</c:v>
                </c:pt>
                <c:pt idx="490">
                  <c:v>52.128297000000003</c:v>
                </c:pt>
                <c:pt idx="491">
                  <c:v>45.881129999999999</c:v>
                </c:pt>
                <c:pt idx="492">
                  <c:v>45.777132000000002</c:v>
                </c:pt>
                <c:pt idx="493">
                  <c:v>40.863779999999998</c:v>
                </c:pt>
                <c:pt idx="494">
                  <c:v>40.865020000000001</c:v>
                </c:pt>
                <c:pt idx="495">
                  <c:v>40.867331</c:v>
                </c:pt>
                <c:pt idx="496">
                  <c:v>42.116180999999997</c:v>
                </c:pt>
                <c:pt idx="497">
                  <c:v>43.214823000000003</c:v>
                </c:pt>
                <c:pt idx="498">
                  <c:v>44.952311000000002</c:v>
                </c:pt>
                <c:pt idx="499">
                  <c:v>44.729551000000001</c:v>
                </c:pt>
                <c:pt idx="500">
                  <c:v>48.275235000000002</c:v>
                </c:pt>
                <c:pt idx="501">
                  <c:v>48.277898</c:v>
                </c:pt>
                <c:pt idx="502">
                  <c:v>48.281852999999998</c:v>
                </c:pt>
                <c:pt idx="503">
                  <c:v>51.610534000000001</c:v>
                </c:pt>
                <c:pt idx="504">
                  <c:v>56.038913000000001</c:v>
                </c:pt>
                <c:pt idx="505">
                  <c:v>57.586773999999998</c:v>
                </c:pt>
                <c:pt idx="506">
                  <c:v>59.842607000000001</c:v>
                </c:pt>
                <c:pt idx="507">
                  <c:v>54.430323999999999</c:v>
                </c:pt>
                <c:pt idx="508">
                  <c:v>54.437632000000001</c:v>
                </c:pt>
                <c:pt idx="509">
                  <c:v>54.447203000000002</c:v>
                </c:pt>
                <c:pt idx="510">
                  <c:v>59.937299000000003</c:v>
                </c:pt>
                <c:pt idx="511">
                  <c:v>61.037531000000001</c:v>
                </c:pt>
                <c:pt idx="512">
                  <c:v>62.683554000000001</c:v>
                </c:pt>
                <c:pt idx="513">
                  <c:v>64.617232000000001</c:v>
                </c:pt>
                <c:pt idx="514">
                  <c:v>67.587902999999997</c:v>
                </c:pt>
                <c:pt idx="515">
                  <c:v>67.581092999999996</c:v>
                </c:pt>
                <c:pt idx="516">
                  <c:v>67.754022000000006</c:v>
                </c:pt>
                <c:pt idx="517">
                  <c:v>70.445971</c:v>
                </c:pt>
                <c:pt idx="518">
                  <c:v>70.796929000000006</c:v>
                </c:pt>
                <c:pt idx="519">
                  <c:v>71.666960000000003</c:v>
                </c:pt>
                <c:pt idx="520">
                  <c:v>71.909655999999998</c:v>
                </c:pt>
                <c:pt idx="521">
                  <c:v>73.709717999999995</c:v>
                </c:pt>
                <c:pt idx="522">
                  <c:v>73.704504999999997</c:v>
                </c:pt>
                <c:pt idx="523">
                  <c:v>73.704858999999999</c:v>
                </c:pt>
                <c:pt idx="524">
                  <c:v>72.893472000000003</c:v>
                </c:pt>
                <c:pt idx="525">
                  <c:v>66.345078999999998</c:v>
                </c:pt>
                <c:pt idx="526">
                  <c:v>67.328306999999995</c:v>
                </c:pt>
                <c:pt idx="527">
                  <c:v>68.599323999999996</c:v>
                </c:pt>
                <c:pt idx="528">
                  <c:v>63.721193999999997</c:v>
                </c:pt>
                <c:pt idx="529">
                  <c:v>63.719602000000002</c:v>
                </c:pt>
                <c:pt idx="530">
                  <c:v>63.720987000000001</c:v>
                </c:pt>
                <c:pt idx="531">
                  <c:v>66.075452999999996</c:v>
                </c:pt>
                <c:pt idx="532">
                  <c:v>65.800827999999996</c:v>
                </c:pt>
                <c:pt idx="533">
                  <c:v>66.302526999999998</c:v>
                </c:pt>
                <c:pt idx="534">
                  <c:v>67.886487000000002</c:v>
                </c:pt>
                <c:pt idx="535">
                  <c:v>73.290226000000004</c:v>
                </c:pt>
                <c:pt idx="536">
                  <c:v>73.291334000000006</c:v>
                </c:pt>
                <c:pt idx="537">
                  <c:v>73.293209000000004</c:v>
                </c:pt>
                <c:pt idx="538">
                  <c:v>75.372303000000002</c:v>
                </c:pt>
                <c:pt idx="539">
                  <c:v>78.660515000000004</c:v>
                </c:pt>
                <c:pt idx="540">
                  <c:v>79.335683000000003</c:v>
                </c:pt>
                <c:pt idx="541">
                  <c:v>78.373531999999997</c:v>
                </c:pt>
                <c:pt idx="542">
                  <c:v>70.942196999999993</c:v>
                </c:pt>
                <c:pt idx="543">
                  <c:v>70.943887000000004</c:v>
                </c:pt>
                <c:pt idx="544">
                  <c:v>70.946151</c:v>
                </c:pt>
                <c:pt idx="545">
                  <c:v>68.378628000000006</c:v>
                </c:pt>
                <c:pt idx="546">
                  <c:v>57.665672000000001</c:v>
                </c:pt>
                <c:pt idx="547">
                  <c:v>52.410339</c:v>
                </c:pt>
                <c:pt idx="548">
                  <c:v>50.197698000000003</c:v>
                </c:pt>
                <c:pt idx="549">
                  <c:v>53.565739000000001</c:v>
                </c:pt>
                <c:pt idx="550">
                  <c:v>53.565668000000002</c:v>
                </c:pt>
                <c:pt idx="551">
                  <c:v>53.568348999999998</c:v>
                </c:pt>
                <c:pt idx="552">
                  <c:v>43.579948999999999</c:v>
                </c:pt>
                <c:pt idx="553">
                  <c:v>44.257151</c:v>
                </c:pt>
                <c:pt idx="554">
                  <c:v>44.154195000000001</c:v>
                </c:pt>
                <c:pt idx="555">
                  <c:v>43.935718999999999</c:v>
                </c:pt>
                <c:pt idx="556">
                  <c:v>41.724530999999999</c:v>
                </c:pt>
                <c:pt idx="557">
                  <c:v>41.726810999999998</c:v>
                </c:pt>
                <c:pt idx="558">
                  <c:v>41.729196000000002</c:v>
                </c:pt>
                <c:pt idx="559">
                  <c:v>43.036866000000003</c:v>
                </c:pt>
                <c:pt idx="560">
                  <c:v>42.855818999999997</c:v>
                </c:pt>
                <c:pt idx="561">
                  <c:v>42.071669999999997</c:v>
                </c:pt>
                <c:pt idx="562">
                  <c:v>40.207836999999998</c:v>
                </c:pt>
                <c:pt idx="563">
                  <c:v>45.249907999999998</c:v>
                </c:pt>
                <c:pt idx="564">
                  <c:v>45.251319000000002</c:v>
                </c:pt>
                <c:pt idx="565">
                  <c:v>45.253621000000003</c:v>
                </c:pt>
                <c:pt idx="566">
                  <c:v>53.458843999999999</c:v>
                </c:pt>
                <c:pt idx="567">
                  <c:v>54.592108000000003</c:v>
                </c:pt>
                <c:pt idx="568">
                  <c:v>54.307394000000002</c:v>
                </c:pt>
                <c:pt idx="569">
                  <c:v>54.036931000000003</c:v>
                </c:pt>
                <c:pt idx="570">
                  <c:v>48.060284000000003</c:v>
                </c:pt>
                <c:pt idx="571">
                  <c:v>48.064027000000003</c:v>
                </c:pt>
                <c:pt idx="572">
                  <c:v>48.067048999999997</c:v>
                </c:pt>
                <c:pt idx="573">
                  <c:v>50.227592000000001</c:v>
                </c:pt>
                <c:pt idx="574">
                  <c:v>50.274420999999997</c:v>
                </c:pt>
                <c:pt idx="575">
                  <c:v>65.526647999999994</c:v>
                </c:pt>
                <c:pt idx="576">
                  <c:v>66.566804000000005</c:v>
                </c:pt>
                <c:pt idx="577">
                  <c:v>67.463941000000005</c:v>
                </c:pt>
                <c:pt idx="578">
                  <c:v>67.465515999999994</c:v>
                </c:pt>
                <c:pt idx="579">
                  <c:v>67.466823000000005</c:v>
                </c:pt>
                <c:pt idx="580">
                  <c:v>65.304051999999999</c:v>
                </c:pt>
                <c:pt idx="581">
                  <c:v>65.087210999999996</c:v>
                </c:pt>
                <c:pt idx="582">
                  <c:v>65.975556999999995</c:v>
                </c:pt>
                <c:pt idx="583">
                  <c:v>61.284816999999997</c:v>
                </c:pt>
                <c:pt idx="584">
                  <c:v>57.054696999999997</c:v>
                </c:pt>
                <c:pt idx="585">
                  <c:v>57.059111999999999</c:v>
                </c:pt>
                <c:pt idx="586">
                  <c:v>57.062674999999999</c:v>
                </c:pt>
                <c:pt idx="587">
                  <c:v>57.301557000000003</c:v>
                </c:pt>
                <c:pt idx="588">
                  <c:v>57.409353000000003</c:v>
                </c:pt>
                <c:pt idx="589">
                  <c:v>56.773809999999997</c:v>
                </c:pt>
                <c:pt idx="590">
                  <c:v>54.577882000000002</c:v>
                </c:pt>
                <c:pt idx="591">
                  <c:v>55.945354000000002</c:v>
                </c:pt>
                <c:pt idx="592">
                  <c:v>55.948216000000002</c:v>
                </c:pt>
                <c:pt idx="593">
                  <c:v>55.952157999999997</c:v>
                </c:pt>
                <c:pt idx="594">
                  <c:v>57.564729</c:v>
                </c:pt>
                <c:pt idx="595">
                  <c:v>60.461722000000002</c:v>
                </c:pt>
                <c:pt idx="596">
                  <c:v>65.196912999999995</c:v>
                </c:pt>
                <c:pt idx="597">
                  <c:v>73.548017999999999</c:v>
                </c:pt>
                <c:pt idx="598">
                  <c:v>73.140961000000004</c:v>
                </c:pt>
                <c:pt idx="599">
                  <c:v>73.149017000000001</c:v>
                </c:pt>
                <c:pt idx="600">
                  <c:v>73.157819000000003</c:v>
                </c:pt>
                <c:pt idx="601">
                  <c:v>78.279590999999996</c:v>
                </c:pt>
                <c:pt idx="602">
                  <c:v>78.736861000000005</c:v>
                </c:pt>
                <c:pt idx="603">
                  <c:v>77.060225000000003</c:v>
                </c:pt>
                <c:pt idx="604">
                  <c:v>76.997656000000006</c:v>
                </c:pt>
                <c:pt idx="605">
                  <c:v>79.910931000000005</c:v>
                </c:pt>
                <c:pt idx="606">
                  <c:v>79.913416999999995</c:v>
                </c:pt>
                <c:pt idx="607">
                  <c:v>79.916194000000004</c:v>
                </c:pt>
                <c:pt idx="608">
                  <c:v>81.409080000000003</c:v>
                </c:pt>
                <c:pt idx="609">
                  <c:v>79.804571999999993</c:v>
                </c:pt>
                <c:pt idx="610">
                  <c:v>79.804063999999997</c:v>
                </c:pt>
                <c:pt idx="611">
                  <c:v>80.490142000000006</c:v>
                </c:pt>
                <c:pt idx="612">
                  <c:v>82.394523000000007</c:v>
                </c:pt>
                <c:pt idx="613">
                  <c:v>82.396495000000002</c:v>
                </c:pt>
                <c:pt idx="614">
                  <c:v>82.398446000000007</c:v>
                </c:pt>
                <c:pt idx="615">
                  <c:v>77.151545999999996</c:v>
                </c:pt>
                <c:pt idx="616">
                  <c:v>77.219958000000005</c:v>
                </c:pt>
                <c:pt idx="617">
                  <c:v>76.724930999999998</c:v>
                </c:pt>
                <c:pt idx="618">
                  <c:v>75.791459000000003</c:v>
                </c:pt>
                <c:pt idx="619">
                  <c:v>69.395127000000002</c:v>
                </c:pt>
                <c:pt idx="620">
                  <c:v>69.397402999999997</c:v>
                </c:pt>
                <c:pt idx="621">
                  <c:v>69.399209999999997</c:v>
                </c:pt>
                <c:pt idx="622">
                  <c:v>70.061548999999999</c:v>
                </c:pt>
                <c:pt idx="623">
                  <c:v>69.848445999999996</c:v>
                </c:pt>
                <c:pt idx="624">
                  <c:v>70.171848999999995</c:v>
                </c:pt>
                <c:pt idx="625">
                  <c:v>71.325424999999996</c:v>
                </c:pt>
                <c:pt idx="626">
                  <c:v>77.139698999999993</c:v>
                </c:pt>
                <c:pt idx="627">
                  <c:v>77.141869999999997</c:v>
                </c:pt>
                <c:pt idx="628">
                  <c:v>77.144405000000006</c:v>
                </c:pt>
                <c:pt idx="629">
                  <c:v>75.642747</c:v>
                </c:pt>
                <c:pt idx="630">
                  <c:v>76.054524000000001</c:v>
                </c:pt>
                <c:pt idx="631">
                  <c:v>74.921740999999997</c:v>
                </c:pt>
                <c:pt idx="632">
                  <c:v>73.920828</c:v>
                </c:pt>
                <c:pt idx="633">
                  <c:v>70.994990000000001</c:v>
                </c:pt>
                <c:pt idx="634">
                  <c:v>70.996238000000005</c:v>
                </c:pt>
                <c:pt idx="635">
                  <c:v>70.997191999999998</c:v>
                </c:pt>
                <c:pt idx="636">
                  <c:v>71.548733999999996</c:v>
                </c:pt>
                <c:pt idx="637">
                  <c:v>72.703838000000005</c:v>
                </c:pt>
                <c:pt idx="638">
                  <c:v>63.515034999999997</c:v>
                </c:pt>
                <c:pt idx="639">
                  <c:v>61.517384999999997</c:v>
                </c:pt>
                <c:pt idx="640">
                  <c:v>62.376641999999997</c:v>
                </c:pt>
                <c:pt idx="641">
                  <c:v>62.378183</c:v>
                </c:pt>
                <c:pt idx="642">
                  <c:v>62.379458</c:v>
                </c:pt>
                <c:pt idx="643">
                  <c:v>62.437066999999999</c:v>
                </c:pt>
                <c:pt idx="644">
                  <c:v>50.494743999999997</c:v>
                </c:pt>
                <c:pt idx="645">
                  <c:v>50.795594000000001</c:v>
                </c:pt>
                <c:pt idx="646">
                  <c:v>49.506799999999998</c:v>
                </c:pt>
                <c:pt idx="647">
                  <c:v>46.663826</c:v>
                </c:pt>
                <c:pt idx="648">
                  <c:v>46.664965000000002</c:v>
                </c:pt>
                <c:pt idx="649">
                  <c:v>46.665816</c:v>
                </c:pt>
                <c:pt idx="650">
                  <c:v>47.390087000000001</c:v>
                </c:pt>
                <c:pt idx="651">
                  <c:v>47.424774999999997</c:v>
                </c:pt>
                <c:pt idx="652">
                  <c:v>46.759174000000002</c:v>
                </c:pt>
                <c:pt idx="653">
                  <c:v>46.031871000000002</c:v>
                </c:pt>
                <c:pt idx="654">
                  <c:v>49.037381000000003</c:v>
                </c:pt>
                <c:pt idx="655">
                  <c:v>49.039800999999997</c:v>
                </c:pt>
                <c:pt idx="656">
                  <c:v>49.041801999999997</c:v>
                </c:pt>
                <c:pt idx="657">
                  <c:v>53.998297000000001</c:v>
                </c:pt>
                <c:pt idx="658">
                  <c:v>56.844195999999997</c:v>
                </c:pt>
                <c:pt idx="659">
                  <c:v>56.988675999999998</c:v>
                </c:pt>
                <c:pt idx="660">
                  <c:v>57.043291000000004</c:v>
                </c:pt>
                <c:pt idx="661">
                  <c:v>53.410817999999999</c:v>
                </c:pt>
                <c:pt idx="662">
                  <c:v>53.413873000000002</c:v>
                </c:pt>
                <c:pt idx="663">
                  <c:v>53.418126000000001</c:v>
                </c:pt>
                <c:pt idx="664">
                  <c:v>53.968076000000003</c:v>
                </c:pt>
                <c:pt idx="665">
                  <c:v>55.497352999999997</c:v>
                </c:pt>
                <c:pt idx="666">
                  <c:v>55.707791999999998</c:v>
                </c:pt>
                <c:pt idx="667">
                  <c:v>56.432065000000001</c:v>
                </c:pt>
                <c:pt idx="668">
                  <c:v>59.079932999999997</c:v>
                </c:pt>
                <c:pt idx="669">
                  <c:v>59.254531</c:v>
                </c:pt>
                <c:pt idx="670">
                  <c:v>59.257154999999997</c:v>
                </c:pt>
                <c:pt idx="671">
                  <c:v>59.244284999999998</c:v>
                </c:pt>
                <c:pt idx="672">
                  <c:v>56.706316999999999</c:v>
                </c:pt>
                <c:pt idx="673">
                  <c:v>55.232681999999997</c:v>
                </c:pt>
                <c:pt idx="674">
                  <c:v>54.616075000000002</c:v>
                </c:pt>
                <c:pt idx="675">
                  <c:v>48.501497000000001</c:v>
                </c:pt>
                <c:pt idx="676">
                  <c:v>48.503563999999997</c:v>
                </c:pt>
                <c:pt idx="677">
                  <c:v>48.505965000000003</c:v>
                </c:pt>
                <c:pt idx="678">
                  <c:v>49.321300000000001</c:v>
                </c:pt>
                <c:pt idx="679">
                  <c:v>49.776606000000001</c:v>
                </c:pt>
                <c:pt idx="680">
                  <c:v>49.767968000000003</c:v>
                </c:pt>
                <c:pt idx="681">
                  <c:v>48.334913</c:v>
                </c:pt>
                <c:pt idx="682">
                  <c:v>52.640430000000002</c:v>
                </c:pt>
                <c:pt idx="683">
                  <c:v>52.644182000000001</c:v>
                </c:pt>
                <c:pt idx="684">
                  <c:v>52.647025999999997</c:v>
                </c:pt>
                <c:pt idx="685">
                  <c:v>54.039679</c:v>
                </c:pt>
                <c:pt idx="686">
                  <c:v>55.280039000000002</c:v>
                </c:pt>
                <c:pt idx="687">
                  <c:v>56.814380999999997</c:v>
                </c:pt>
                <c:pt idx="688">
                  <c:v>62.904563000000003</c:v>
                </c:pt>
                <c:pt idx="689">
                  <c:v>31.747589999999999</c:v>
                </c:pt>
                <c:pt idx="690">
                  <c:v>31.755989</c:v>
                </c:pt>
                <c:pt idx="691">
                  <c:v>31.765571999999999</c:v>
                </c:pt>
                <c:pt idx="692">
                  <c:v>35.840482000000002</c:v>
                </c:pt>
                <c:pt idx="693">
                  <c:v>40.255063999999997</c:v>
                </c:pt>
                <c:pt idx="694">
                  <c:v>41.182997999999998</c:v>
                </c:pt>
                <c:pt idx="695">
                  <c:v>42.974755000000002</c:v>
                </c:pt>
                <c:pt idx="696">
                  <c:v>49.246254</c:v>
                </c:pt>
                <c:pt idx="697">
                  <c:v>49.249538999999999</c:v>
                </c:pt>
                <c:pt idx="698">
                  <c:v>49.253565999999999</c:v>
                </c:pt>
                <c:pt idx="699">
                  <c:v>58.133349000000003</c:v>
                </c:pt>
                <c:pt idx="700">
                  <c:v>55.859042000000002</c:v>
                </c:pt>
                <c:pt idx="701">
                  <c:v>55.106842</c:v>
                </c:pt>
                <c:pt idx="702">
                  <c:v>52.857252000000003</c:v>
                </c:pt>
                <c:pt idx="703">
                  <c:v>57.170952999999997</c:v>
                </c:pt>
                <c:pt idx="704">
                  <c:v>57.174263000000003</c:v>
                </c:pt>
                <c:pt idx="705">
                  <c:v>57.177070999999998</c:v>
                </c:pt>
                <c:pt idx="706">
                  <c:v>52.388705000000002</c:v>
                </c:pt>
                <c:pt idx="707">
                  <c:v>51.605471000000001</c:v>
                </c:pt>
                <c:pt idx="708">
                  <c:v>51.761696000000001</c:v>
                </c:pt>
                <c:pt idx="709">
                  <c:v>52.474229999999999</c:v>
                </c:pt>
                <c:pt idx="710">
                  <c:v>50.363866000000002</c:v>
                </c:pt>
                <c:pt idx="711">
                  <c:v>50.366632000000003</c:v>
                </c:pt>
                <c:pt idx="712">
                  <c:v>50.368794999999999</c:v>
                </c:pt>
                <c:pt idx="713">
                  <c:v>51.086626000000003</c:v>
                </c:pt>
                <c:pt idx="714">
                  <c:v>50.921906</c:v>
                </c:pt>
                <c:pt idx="715">
                  <c:v>49.603439999999999</c:v>
                </c:pt>
                <c:pt idx="716">
                  <c:v>51.500605999999998</c:v>
                </c:pt>
                <c:pt idx="717">
                  <c:v>60.097586999999997</c:v>
                </c:pt>
                <c:pt idx="718">
                  <c:v>60.103394999999999</c:v>
                </c:pt>
                <c:pt idx="719">
                  <c:v>60.107354000000001</c:v>
                </c:pt>
                <c:pt idx="720">
                  <c:v>53.893346999999999</c:v>
                </c:pt>
                <c:pt idx="721">
                  <c:v>52.780929999999998</c:v>
                </c:pt>
                <c:pt idx="722">
                  <c:v>41.723655000000001</c:v>
                </c:pt>
                <c:pt idx="723">
                  <c:v>41.727635999999997</c:v>
                </c:pt>
                <c:pt idx="724">
                  <c:v>41.729199000000001</c:v>
                </c:pt>
                <c:pt idx="725">
                  <c:v>41.729989000000003</c:v>
                </c:pt>
                <c:pt idx="726">
                  <c:v>41.730953999999997</c:v>
                </c:pt>
                <c:pt idx="727">
                  <c:v>42.078414000000002</c:v>
                </c:pt>
                <c:pt idx="728">
                  <c:v>41.459094</c:v>
                </c:pt>
                <c:pt idx="729">
                  <c:v>41.929504999999999</c:v>
                </c:pt>
                <c:pt idx="730">
                  <c:v>42.093708999999997</c:v>
                </c:pt>
                <c:pt idx="731">
                  <c:v>42.454749999999997</c:v>
                </c:pt>
                <c:pt idx="732">
                  <c:v>42.456468999999998</c:v>
                </c:pt>
                <c:pt idx="733">
                  <c:v>42.458222999999997</c:v>
                </c:pt>
                <c:pt idx="734">
                  <c:v>43.241692999999998</c:v>
                </c:pt>
                <c:pt idx="735">
                  <c:v>43.211452000000001</c:v>
                </c:pt>
                <c:pt idx="736">
                  <c:v>24.911363999999999</c:v>
                </c:pt>
                <c:pt idx="737">
                  <c:v>22.080427</c:v>
                </c:pt>
                <c:pt idx="738">
                  <c:v>21.343527000000002</c:v>
                </c:pt>
                <c:pt idx="739">
                  <c:v>21.34618</c:v>
                </c:pt>
                <c:pt idx="740">
                  <c:v>21.347601000000001</c:v>
                </c:pt>
                <c:pt idx="741">
                  <c:v>21.974916</c:v>
                </c:pt>
                <c:pt idx="742">
                  <c:v>21.429186000000001</c:v>
                </c:pt>
                <c:pt idx="743">
                  <c:v>21.569019999999998</c:v>
                </c:pt>
                <c:pt idx="744">
                  <c:v>21.241022999999998</c:v>
                </c:pt>
                <c:pt idx="745">
                  <c:v>26.705984000000001</c:v>
                </c:pt>
                <c:pt idx="746">
                  <c:v>26.708200999999999</c:v>
                </c:pt>
                <c:pt idx="747">
                  <c:v>26.710630999999999</c:v>
                </c:pt>
                <c:pt idx="748">
                  <c:v>28.167558</c:v>
                </c:pt>
                <c:pt idx="749">
                  <c:v>32.249614999999999</c:v>
                </c:pt>
                <c:pt idx="750">
                  <c:v>38.029794000000003</c:v>
                </c:pt>
                <c:pt idx="751">
                  <c:v>39.379666999999998</c:v>
                </c:pt>
                <c:pt idx="752">
                  <c:v>41.404055999999997</c:v>
                </c:pt>
                <c:pt idx="753">
                  <c:v>41.406374999999997</c:v>
                </c:pt>
                <c:pt idx="754">
                  <c:v>41.408282999999997</c:v>
                </c:pt>
                <c:pt idx="755">
                  <c:v>41.413989000000001</c:v>
                </c:pt>
                <c:pt idx="756">
                  <c:v>41.597613000000003</c:v>
                </c:pt>
                <c:pt idx="757">
                  <c:v>40.559353999999999</c:v>
                </c:pt>
                <c:pt idx="758">
                  <c:v>55.258167999999998</c:v>
                </c:pt>
                <c:pt idx="759">
                  <c:v>52.53398</c:v>
                </c:pt>
                <c:pt idx="760">
                  <c:v>52.537821000000001</c:v>
                </c:pt>
                <c:pt idx="761">
                  <c:v>52.654279000000002</c:v>
                </c:pt>
                <c:pt idx="762">
                  <c:v>53.236846999999997</c:v>
                </c:pt>
                <c:pt idx="763">
                  <c:v>51.505445999999999</c:v>
                </c:pt>
                <c:pt idx="764">
                  <c:v>51.749966999999998</c:v>
                </c:pt>
                <c:pt idx="765">
                  <c:v>52.039172000000001</c:v>
                </c:pt>
                <c:pt idx="766">
                  <c:v>55.207183000000001</c:v>
                </c:pt>
                <c:pt idx="767">
                  <c:v>55.210478000000002</c:v>
                </c:pt>
                <c:pt idx="768">
                  <c:v>55.212611000000003</c:v>
                </c:pt>
                <c:pt idx="769">
                  <c:v>49.107297000000003</c:v>
                </c:pt>
                <c:pt idx="770">
                  <c:v>49.447488999999997</c:v>
                </c:pt>
                <c:pt idx="771">
                  <c:v>49.020836000000003</c:v>
                </c:pt>
                <c:pt idx="772">
                  <c:v>48.860821000000001</c:v>
                </c:pt>
                <c:pt idx="773">
                  <c:v>43.662847999999997</c:v>
                </c:pt>
                <c:pt idx="774">
                  <c:v>43.669880999999997</c:v>
                </c:pt>
                <c:pt idx="775">
                  <c:v>43.672961999999998</c:v>
                </c:pt>
                <c:pt idx="776">
                  <c:v>44.295437999999997</c:v>
                </c:pt>
                <c:pt idx="777">
                  <c:v>44.797567999999998</c:v>
                </c:pt>
                <c:pt idx="778">
                  <c:v>45.899298000000002</c:v>
                </c:pt>
                <c:pt idx="779">
                  <c:v>47.905898000000001</c:v>
                </c:pt>
                <c:pt idx="780">
                  <c:v>55.973708000000002</c:v>
                </c:pt>
                <c:pt idx="781">
                  <c:v>55.985084999999998</c:v>
                </c:pt>
                <c:pt idx="782">
                  <c:v>55.992038999999998</c:v>
                </c:pt>
                <c:pt idx="783">
                  <c:v>61.068508999999999</c:v>
                </c:pt>
                <c:pt idx="784">
                  <c:v>62.326180000000001</c:v>
                </c:pt>
                <c:pt idx="785">
                  <c:v>62.530394000000001</c:v>
                </c:pt>
                <c:pt idx="786">
                  <c:v>64.330168</c:v>
                </c:pt>
                <c:pt idx="787">
                  <c:v>61.161209999999997</c:v>
                </c:pt>
                <c:pt idx="788">
                  <c:v>61.174397999999997</c:v>
                </c:pt>
                <c:pt idx="789">
                  <c:v>61.348930000000003</c:v>
                </c:pt>
                <c:pt idx="790">
                  <c:v>67.978331999999995</c:v>
                </c:pt>
                <c:pt idx="791">
                  <c:v>71.749623</c:v>
                </c:pt>
                <c:pt idx="792">
                  <c:v>73.386246</c:v>
                </c:pt>
                <c:pt idx="793">
                  <c:v>74.926232999999996</c:v>
                </c:pt>
                <c:pt idx="794">
                  <c:v>77.340132999999994</c:v>
                </c:pt>
                <c:pt idx="795">
                  <c:v>77.344733000000005</c:v>
                </c:pt>
                <c:pt idx="796">
                  <c:v>77.347814</c:v>
                </c:pt>
                <c:pt idx="797">
                  <c:v>77.586228000000006</c:v>
                </c:pt>
                <c:pt idx="798">
                  <c:v>73.185552999999999</c:v>
                </c:pt>
                <c:pt idx="799">
                  <c:v>73.203807999999995</c:v>
                </c:pt>
                <c:pt idx="800">
                  <c:v>73.242422000000005</c:v>
                </c:pt>
                <c:pt idx="801">
                  <c:v>67.776891000000006</c:v>
                </c:pt>
                <c:pt idx="802">
                  <c:v>67.779709999999994</c:v>
                </c:pt>
                <c:pt idx="803">
                  <c:v>67.782635999999997</c:v>
                </c:pt>
                <c:pt idx="804">
                  <c:v>69.005983000000001</c:v>
                </c:pt>
                <c:pt idx="805">
                  <c:v>68.755961999999997</c:v>
                </c:pt>
                <c:pt idx="806">
                  <c:v>69.883937000000003</c:v>
                </c:pt>
                <c:pt idx="807">
                  <c:v>72.280963999999997</c:v>
                </c:pt>
                <c:pt idx="808">
                  <c:v>79.051551000000003</c:v>
                </c:pt>
                <c:pt idx="809">
                  <c:v>79.055311000000003</c:v>
                </c:pt>
                <c:pt idx="810">
                  <c:v>79.059623999999999</c:v>
                </c:pt>
                <c:pt idx="811">
                  <c:v>82.982969999999995</c:v>
                </c:pt>
                <c:pt idx="812">
                  <c:v>83.318158999999994</c:v>
                </c:pt>
                <c:pt idx="813">
                  <c:v>82.791054000000003</c:v>
                </c:pt>
                <c:pt idx="814">
                  <c:v>83.149100000000004</c:v>
                </c:pt>
                <c:pt idx="815">
                  <c:v>78.540448999999995</c:v>
                </c:pt>
                <c:pt idx="816">
                  <c:v>78.543442999999996</c:v>
                </c:pt>
                <c:pt idx="817">
                  <c:v>78.546841999999998</c:v>
                </c:pt>
                <c:pt idx="818">
                  <c:v>79.722116999999997</c:v>
                </c:pt>
                <c:pt idx="819">
                  <c:v>81.615301000000002</c:v>
                </c:pt>
                <c:pt idx="820">
                  <c:v>71.358085000000003</c:v>
                </c:pt>
                <c:pt idx="821">
                  <c:v>69.965339</c:v>
                </c:pt>
                <c:pt idx="822">
                  <c:v>69.969534999999993</c:v>
                </c:pt>
                <c:pt idx="823">
                  <c:v>69.971329999999995</c:v>
                </c:pt>
                <c:pt idx="824">
                  <c:v>69.973392000000004</c:v>
                </c:pt>
                <c:pt idx="825">
                  <c:v>69.977986000000001</c:v>
                </c:pt>
                <c:pt idx="826">
                  <c:v>67.031153000000003</c:v>
                </c:pt>
                <c:pt idx="827">
                  <c:v>67.044983999999999</c:v>
                </c:pt>
                <c:pt idx="828">
                  <c:v>65.974621999999997</c:v>
                </c:pt>
              </c:numCache>
            </c:numRef>
          </c:val>
          <c:smooth val="0"/>
          <c:extLst>
            <c:ext xmlns:c16="http://schemas.microsoft.com/office/drawing/2014/chart" uri="{C3380CC4-5D6E-409C-BE32-E72D297353CC}">
              <c16:uniqueId val="{00000001-6F4B-1E4D-82CD-ACCA5756806B}"/>
            </c:ext>
          </c:extLst>
        </c:ser>
        <c:dLbls>
          <c:showLegendKey val="0"/>
          <c:showVal val="0"/>
          <c:showCatName val="0"/>
          <c:showSerName val="0"/>
          <c:showPercent val="0"/>
          <c:showBubbleSize val="0"/>
        </c:dLbls>
        <c:marker val="1"/>
        <c:smooth val="0"/>
        <c:axId val="979552176"/>
        <c:axId val="979550256"/>
      </c:lineChart>
      <c:lineChart>
        <c:grouping val="standard"/>
        <c:varyColors val="0"/>
        <c:ser>
          <c:idx val="2"/>
          <c:order val="2"/>
          <c:tx>
            <c:v>DUMMY</c:v>
          </c:tx>
          <c:spPr>
            <a:ln w="28575" cap="rnd">
              <a:noFill/>
              <a:round/>
            </a:ln>
            <a:effectLst/>
            <a:extLst>
              <a:ext uri="{91240B29-F687-4F45-9708-019B960494DF}">
                <a14:hiddenLine xmlns:a14="http://schemas.microsoft.com/office/drawing/2010/main" w="28575" cap="rnd">
                  <a:solidFill>
                    <a:srgbClr val="3A6FAF"/>
                  </a:solidFill>
                  <a:round/>
                </a14:hiddenLine>
              </a:ext>
            </a:extLst>
          </c:spPr>
          <c:marker>
            <c:symbol val="none"/>
          </c:marker>
          <c:val>
            <c:numLit>
              <c:formatCode>General</c:formatCode>
              <c:ptCount val="1"/>
              <c:pt idx="0">
                <c:v>0</c:v>
              </c:pt>
            </c:numLit>
          </c:val>
          <c:smooth val="0"/>
          <c:extLst>
            <c:ext xmlns:c16="http://schemas.microsoft.com/office/drawing/2014/chart" uri="{C3380CC4-5D6E-409C-BE32-E72D297353CC}">
              <c16:uniqueId val="{00000002-6F4B-1E4D-82CD-ACCA5756806B}"/>
            </c:ext>
          </c:extLst>
        </c:ser>
        <c:dLbls>
          <c:showLegendKey val="0"/>
          <c:showVal val="0"/>
          <c:showCatName val="0"/>
          <c:showSerName val="0"/>
          <c:showPercent val="0"/>
          <c:showBubbleSize val="0"/>
        </c:dLbls>
        <c:marker val="1"/>
        <c:smooth val="0"/>
        <c:axId val="1081314336"/>
        <c:axId val="1081313376"/>
      </c:lineChart>
      <c:dateAx>
        <c:axId val="979552176"/>
        <c:scaling>
          <c:orientation val="minMax"/>
        </c:scaling>
        <c:delete val="0"/>
        <c:axPos val="b"/>
        <c:numFmt formatCode="mmmm\ yyyy;@" sourceLinked="0"/>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79550256"/>
        <c:crosses val="autoZero"/>
        <c:auto val="1"/>
        <c:lblOffset val="100"/>
        <c:baseTimeUnit val="days"/>
        <c:majorUnit val="6"/>
        <c:majorTimeUnit val="months"/>
      </c:dateAx>
      <c:valAx>
        <c:axId val="979550256"/>
        <c:scaling>
          <c:orientation val="minMax"/>
        </c:scaling>
        <c:delete val="0"/>
        <c:axPos val="l"/>
        <c:majorGridlines>
          <c:spPr>
            <a:ln w="25400" cap="flat" cmpd="sng" algn="ctr">
              <a:noFill/>
              <a:round/>
            </a:ln>
            <a:effectLst/>
          </c:spPr>
        </c:majorGridlines>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$b</a:t>
                </a:r>
              </a:p>
            </c:rich>
          </c:tx>
          <c:layout>
            <c:manualLayout>
              <c:xMode val="edge"/>
              <c:yMode val="edge"/>
              <c:x val="2.2759856630824374E-3"/>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79552176"/>
        <c:crosses val="autoZero"/>
        <c:crossBetween val="between"/>
      </c:valAx>
      <c:valAx>
        <c:axId val="1081313376"/>
        <c:scaling>
          <c:orientation val="minMax"/>
          <c:max val="120"/>
          <c:min val="0"/>
        </c:scaling>
        <c:delete val="0"/>
        <c:axPos val="r"/>
        <c:title>
          <c:tx>
            <c:rich>
              <a:bodyPr rot="0" spcFirstLastPara="1" vertOverflow="ellipsis" wrap="square" anchor="ctr" anchorCtr="1"/>
              <a:lstStyle/>
              <a:p>
                <a:pPr>
                  <a:defRPr sz="800" b="0" i="0" u="none" strike="noStrike" kern="1200" baseline="0">
                    <a:solidFill>
                      <a:srgbClr val="000000"/>
                    </a:solidFill>
                    <a:latin typeface="Arial"/>
                    <a:ea typeface="Arial"/>
                    <a:cs typeface="Arial"/>
                  </a:defRPr>
                </a:pPr>
                <a:r>
                  <a:rPr lang="en-AU"/>
                  <a:t>$b</a:t>
                </a:r>
              </a:p>
            </c:rich>
          </c:tx>
          <c:layout>
            <c:manualLayout>
              <c:xMode val="edge"/>
              <c:yMode val="edge"/>
              <c:x val="0.91851971326164872"/>
              <c:y val="0"/>
            </c:manualLayout>
          </c:layout>
          <c:overlay val="0"/>
          <c:spPr>
            <a:noFill/>
            <a:ln>
              <a:noFill/>
            </a:ln>
            <a:effectLst/>
          </c:spPr>
          <c:txPr>
            <a:bodyPr rot="0" spcFirstLastPara="1" vertOverflow="ellipsis"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1081314336"/>
        <c:crosses val="max"/>
        <c:crossBetween val="between"/>
        <c:majorUnit val="20"/>
        <c:minorUnit val="4"/>
      </c:valAx>
      <c:catAx>
        <c:axId val="1081314336"/>
        <c:scaling>
          <c:orientation val="minMax"/>
        </c:scaling>
        <c:delete val="1"/>
        <c:axPos val="b"/>
        <c:majorTickMark val="out"/>
        <c:minorTickMark val="none"/>
        <c:tickLblPos val="nextTo"/>
        <c:crossAx val="1081313376"/>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0.39696</cdr:x>
      <cdr:y>0.05719</cdr:y>
    </cdr:from>
    <cdr:to>
      <cdr:x>0.58399</cdr:x>
      <cdr:y>0.14064</cdr:y>
    </cdr:to>
    <cdr:sp macro="" textlink="">
      <cdr:nvSpPr>
        <cdr:cNvPr id="2" name="Series Label">
          <a:extLst xmlns:a="http://schemas.openxmlformats.org/drawingml/2006/main">
            <a:ext uri="{FF2B5EF4-FFF2-40B4-BE49-F238E27FC236}">
              <a16:creationId xmlns:a16="http://schemas.microsoft.com/office/drawing/2014/main" id="{DD4E5123-068B-AC55-3E9E-9D3FBFED4972}"/>
            </a:ext>
          </a:extLst>
        </cdr:cNvPr>
        <cdr:cNvSpPr txBox="1"/>
      </cdr:nvSpPr>
      <cdr:spPr>
        <a:xfrm xmlns:a="http://schemas.openxmlformats.org/drawingml/2006/main">
          <a:off x="2037992" y="144106"/>
          <a:ext cx="960199" cy="210250"/>
        </a:xfrm>
        <a:prstGeom xmlns:a="http://schemas.openxmlformats.org/drawingml/2006/main" prst="rect">
          <a:avLst/>
        </a:prstGeom>
      </cdr:spPr>
      <cdr:txBody>
        <a:bodyPr xmlns:a="http://schemas.openxmlformats.org/drawingml/2006/main" vert="horz"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i="0" kern="1200">
              <a:solidFill>
                <a:schemeClr val="accent1"/>
              </a:solidFill>
              <a:latin typeface="Arial" panose="020B0604020202020204" pitchFamily="34" charset="0"/>
            </a:rPr>
            <a:t>Treasury Notes </a:t>
          </a:r>
        </a:p>
      </cdr:txBody>
    </cdr:sp>
  </cdr:relSizeAnchor>
  <cdr:relSizeAnchor xmlns:cdr="http://schemas.openxmlformats.org/drawingml/2006/chartDrawing">
    <cdr:from>
      <cdr:x>0.30037</cdr:x>
      <cdr:y>0.1328</cdr:y>
    </cdr:from>
    <cdr:to>
      <cdr:x>0.68058</cdr:x>
      <cdr:y>0.21624</cdr:y>
    </cdr:to>
    <cdr:sp macro="" textlink="">
      <cdr:nvSpPr>
        <cdr:cNvPr id="3" name="Series Label">
          <a:extLst xmlns:a="http://schemas.openxmlformats.org/drawingml/2006/main">
            <a:ext uri="{FF2B5EF4-FFF2-40B4-BE49-F238E27FC236}">
              <a16:creationId xmlns:a16="http://schemas.microsoft.com/office/drawing/2014/main" id="{7D5B2AF2-99F3-6738-B659-E0CC2ADDC349}"/>
            </a:ext>
          </a:extLst>
        </cdr:cNvPr>
        <cdr:cNvSpPr txBox="1"/>
      </cdr:nvSpPr>
      <cdr:spPr>
        <a:xfrm xmlns:a="http://schemas.openxmlformats.org/drawingml/2006/main">
          <a:off x="1542092" y="334606"/>
          <a:ext cx="1952009" cy="210250"/>
        </a:xfrm>
        <a:prstGeom xmlns:a="http://schemas.openxmlformats.org/drawingml/2006/main" prst="rect">
          <a:avLst/>
        </a:prstGeom>
      </cdr:spPr>
      <cdr:txBody>
        <a:bodyPr xmlns:a="http://schemas.openxmlformats.org/drawingml/2006/main" vert="horz" wrap="none"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800" b="1" i="0" kern="1200">
              <a:solidFill>
                <a:schemeClr val="accent2"/>
              </a:solidFill>
              <a:latin typeface="Arial" panose="020B0604020202020204" pitchFamily="34" charset="0"/>
            </a:rPr>
            <a:t>Cash</a:t>
          </a:r>
          <a:r>
            <a:rPr lang="en-AU" sz="800" b="1" i="0" kern="1200" baseline="0">
              <a:solidFill>
                <a:schemeClr val="accent2"/>
              </a:solidFill>
              <a:latin typeface="Arial" panose="020B0604020202020204" pitchFamily="34" charset="0"/>
            </a:rPr>
            <a:t> Management Account</a:t>
          </a:r>
          <a:r>
            <a:rPr lang="en-AU" sz="800" b="1" i="0" kern="1200">
              <a:solidFill>
                <a:schemeClr val="accent2"/>
              </a:solidFill>
              <a:latin typeface="Arial" panose="020B0604020202020204" pitchFamily="34" charset="0"/>
            </a:rPr>
            <a:t> Balance</a:t>
          </a:r>
        </a:p>
      </cdr:txBody>
    </cdr:sp>
  </cdr:relSizeAnchor>
</c:userShape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reasury PowerPoint">
    <a:dk1>
      <a:sysClr val="windowText" lastClr="000000"/>
    </a:dk1>
    <a:lt1>
      <a:sysClr val="window" lastClr="FFFFFF"/>
    </a:lt1>
    <a:dk2>
      <a:srgbClr val="00ABBD"/>
    </a:dk2>
    <a:lt2>
      <a:srgbClr val="E2E0CB"/>
    </a:lt2>
    <a:accent1>
      <a:srgbClr val="002C47"/>
    </a:accent1>
    <a:accent2>
      <a:srgbClr val="E61E26"/>
    </a:accent2>
    <a:accent3>
      <a:srgbClr val="3A6FAF"/>
    </a:accent3>
    <a:accent4>
      <a:srgbClr val="F7901E"/>
    </a:accent4>
    <a:accent5>
      <a:srgbClr val="00827F"/>
    </a:accent5>
    <a:accent6>
      <a:srgbClr val="F06252"/>
    </a:accent6>
    <a:hlink>
      <a:srgbClr val="3A6FAF"/>
    </a:hlink>
    <a:folHlink>
      <a:srgbClr val="844D9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36</Pages>
  <Words>12769</Words>
  <Characters>72788</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Independent review</vt:lpstr>
    </vt:vector>
  </TitlesOfParts>
  <Company/>
  <LinksUpToDate>false</LinksUpToDate>
  <CharactersWithSpaces>85387</CharactersWithSpaces>
  <SharedDoc>false</SharedDoc>
  <HLinks>
    <vt:vector size="330" baseType="variant">
      <vt:variant>
        <vt:i4>7208969</vt:i4>
      </vt:variant>
      <vt:variant>
        <vt:i4>153</vt:i4>
      </vt:variant>
      <vt:variant>
        <vt:i4>0</vt:i4>
      </vt:variant>
      <vt:variant>
        <vt:i4>5</vt:i4>
      </vt:variant>
      <vt:variant>
        <vt:lpwstr>https://www.aofm.gov.au/sites/default/files/2024-03-18/Green Bond Framework_WEB_2024_0.pdf</vt:lpwstr>
      </vt:variant>
      <vt:variant>
        <vt:lpwstr/>
      </vt:variant>
      <vt:variant>
        <vt:i4>851989</vt:i4>
      </vt:variant>
      <vt:variant>
        <vt:i4>150</vt:i4>
      </vt:variant>
      <vt:variant>
        <vt:i4>0</vt:i4>
      </vt:variant>
      <vt:variant>
        <vt:i4>5</vt:i4>
      </vt:variant>
      <vt:variant>
        <vt:lpwstr>https://treasury.gov.au/sites/default/files/2026-03/p2026-742432-AOFM-review-TORs.pdf</vt:lpwstr>
      </vt:variant>
      <vt:variant>
        <vt:lpwstr/>
      </vt:variant>
      <vt:variant>
        <vt:i4>1245245</vt:i4>
      </vt:variant>
      <vt:variant>
        <vt:i4>143</vt:i4>
      </vt:variant>
      <vt:variant>
        <vt:i4>0</vt:i4>
      </vt:variant>
      <vt:variant>
        <vt:i4>5</vt:i4>
      </vt:variant>
      <vt:variant>
        <vt:lpwstr/>
      </vt:variant>
      <vt:variant>
        <vt:lpwstr>_Toc227313960</vt:lpwstr>
      </vt:variant>
      <vt:variant>
        <vt:i4>1048637</vt:i4>
      </vt:variant>
      <vt:variant>
        <vt:i4>137</vt:i4>
      </vt:variant>
      <vt:variant>
        <vt:i4>0</vt:i4>
      </vt:variant>
      <vt:variant>
        <vt:i4>5</vt:i4>
      </vt:variant>
      <vt:variant>
        <vt:lpwstr/>
      </vt:variant>
      <vt:variant>
        <vt:lpwstr>_Toc227313959</vt:lpwstr>
      </vt:variant>
      <vt:variant>
        <vt:i4>1048637</vt:i4>
      </vt:variant>
      <vt:variant>
        <vt:i4>131</vt:i4>
      </vt:variant>
      <vt:variant>
        <vt:i4>0</vt:i4>
      </vt:variant>
      <vt:variant>
        <vt:i4>5</vt:i4>
      </vt:variant>
      <vt:variant>
        <vt:lpwstr/>
      </vt:variant>
      <vt:variant>
        <vt:lpwstr>_Toc227313958</vt:lpwstr>
      </vt:variant>
      <vt:variant>
        <vt:i4>1048637</vt:i4>
      </vt:variant>
      <vt:variant>
        <vt:i4>125</vt:i4>
      </vt:variant>
      <vt:variant>
        <vt:i4>0</vt:i4>
      </vt:variant>
      <vt:variant>
        <vt:i4>5</vt:i4>
      </vt:variant>
      <vt:variant>
        <vt:lpwstr/>
      </vt:variant>
      <vt:variant>
        <vt:lpwstr>_Toc227313957</vt:lpwstr>
      </vt:variant>
      <vt:variant>
        <vt:i4>1048637</vt:i4>
      </vt:variant>
      <vt:variant>
        <vt:i4>119</vt:i4>
      </vt:variant>
      <vt:variant>
        <vt:i4>0</vt:i4>
      </vt:variant>
      <vt:variant>
        <vt:i4>5</vt:i4>
      </vt:variant>
      <vt:variant>
        <vt:lpwstr/>
      </vt:variant>
      <vt:variant>
        <vt:lpwstr>_Toc227313956</vt:lpwstr>
      </vt:variant>
      <vt:variant>
        <vt:i4>1048637</vt:i4>
      </vt:variant>
      <vt:variant>
        <vt:i4>113</vt:i4>
      </vt:variant>
      <vt:variant>
        <vt:i4>0</vt:i4>
      </vt:variant>
      <vt:variant>
        <vt:i4>5</vt:i4>
      </vt:variant>
      <vt:variant>
        <vt:lpwstr/>
      </vt:variant>
      <vt:variant>
        <vt:lpwstr>_Toc227313955</vt:lpwstr>
      </vt:variant>
      <vt:variant>
        <vt:i4>1048637</vt:i4>
      </vt:variant>
      <vt:variant>
        <vt:i4>107</vt:i4>
      </vt:variant>
      <vt:variant>
        <vt:i4>0</vt:i4>
      </vt:variant>
      <vt:variant>
        <vt:i4>5</vt:i4>
      </vt:variant>
      <vt:variant>
        <vt:lpwstr/>
      </vt:variant>
      <vt:variant>
        <vt:lpwstr>_Toc227313954</vt:lpwstr>
      </vt:variant>
      <vt:variant>
        <vt:i4>1048637</vt:i4>
      </vt:variant>
      <vt:variant>
        <vt:i4>101</vt:i4>
      </vt:variant>
      <vt:variant>
        <vt:i4>0</vt:i4>
      </vt:variant>
      <vt:variant>
        <vt:i4>5</vt:i4>
      </vt:variant>
      <vt:variant>
        <vt:lpwstr/>
      </vt:variant>
      <vt:variant>
        <vt:lpwstr>_Toc227313953</vt:lpwstr>
      </vt:variant>
      <vt:variant>
        <vt:i4>1048637</vt:i4>
      </vt:variant>
      <vt:variant>
        <vt:i4>95</vt:i4>
      </vt:variant>
      <vt:variant>
        <vt:i4>0</vt:i4>
      </vt:variant>
      <vt:variant>
        <vt:i4>5</vt:i4>
      </vt:variant>
      <vt:variant>
        <vt:lpwstr/>
      </vt:variant>
      <vt:variant>
        <vt:lpwstr>_Toc227313952</vt:lpwstr>
      </vt:variant>
      <vt:variant>
        <vt:i4>1048637</vt:i4>
      </vt:variant>
      <vt:variant>
        <vt:i4>89</vt:i4>
      </vt:variant>
      <vt:variant>
        <vt:i4>0</vt:i4>
      </vt:variant>
      <vt:variant>
        <vt:i4>5</vt:i4>
      </vt:variant>
      <vt:variant>
        <vt:lpwstr/>
      </vt:variant>
      <vt:variant>
        <vt:lpwstr>_Toc227313951</vt:lpwstr>
      </vt:variant>
      <vt:variant>
        <vt:i4>1048637</vt:i4>
      </vt:variant>
      <vt:variant>
        <vt:i4>83</vt:i4>
      </vt:variant>
      <vt:variant>
        <vt:i4>0</vt:i4>
      </vt:variant>
      <vt:variant>
        <vt:i4>5</vt:i4>
      </vt:variant>
      <vt:variant>
        <vt:lpwstr/>
      </vt:variant>
      <vt:variant>
        <vt:lpwstr>_Toc227313950</vt:lpwstr>
      </vt:variant>
      <vt:variant>
        <vt:i4>1114173</vt:i4>
      </vt:variant>
      <vt:variant>
        <vt:i4>77</vt:i4>
      </vt:variant>
      <vt:variant>
        <vt:i4>0</vt:i4>
      </vt:variant>
      <vt:variant>
        <vt:i4>5</vt:i4>
      </vt:variant>
      <vt:variant>
        <vt:lpwstr/>
      </vt:variant>
      <vt:variant>
        <vt:lpwstr>_Toc227313949</vt:lpwstr>
      </vt:variant>
      <vt:variant>
        <vt:i4>1114173</vt:i4>
      </vt:variant>
      <vt:variant>
        <vt:i4>71</vt:i4>
      </vt:variant>
      <vt:variant>
        <vt:i4>0</vt:i4>
      </vt:variant>
      <vt:variant>
        <vt:i4>5</vt:i4>
      </vt:variant>
      <vt:variant>
        <vt:lpwstr/>
      </vt:variant>
      <vt:variant>
        <vt:lpwstr>_Toc227313948</vt:lpwstr>
      </vt:variant>
      <vt:variant>
        <vt:i4>1114173</vt:i4>
      </vt:variant>
      <vt:variant>
        <vt:i4>65</vt:i4>
      </vt:variant>
      <vt:variant>
        <vt:i4>0</vt:i4>
      </vt:variant>
      <vt:variant>
        <vt:i4>5</vt:i4>
      </vt:variant>
      <vt:variant>
        <vt:lpwstr/>
      </vt:variant>
      <vt:variant>
        <vt:lpwstr>_Toc227313947</vt:lpwstr>
      </vt:variant>
      <vt:variant>
        <vt:i4>1114173</vt:i4>
      </vt:variant>
      <vt:variant>
        <vt:i4>59</vt:i4>
      </vt:variant>
      <vt:variant>
        <vt:i4>0</vt:i4>
      </vt:variant>
      <vt:variant>
        <vt:i4>5</vt:i4>
      </vt:variant>
      <vt:variant>
        <vt:lpwstr/>
      </vt:variant>
      <vt:variant>
        <vt:lpwstr>_Toc227313946</vt:lpwstr>
      </vt:variant>
      <vt:variant>
        <vt:i4>1114173</vt:i4>
      </vt:variant>
      <vt:variant>
        <vt:i4>53</vt:i4>
      </vt:variant>
      <vt:variant>
        <vt:i4>0</vt:i4>
      </vt:variant>
      <vt:variant>
        <vt:i4>5</vt:i4>
      </vt:variant>
      <vt:variant>
        <vt:lpwstr/>
      </vt:variant>
      <vt:variant>
        <vt:lpwstr>_Toc227313945</vt:lpwstr>
      </vt:variant>
      <vt:variant>
        <vt:i4>1114173</vt:i4>
      </vt:variant>
      <vt:variant>
        <vt:i4>47</vt:i4>
      </vt:variant>
      <vt:variant>
        <vt:i4>0</vt:i4>
      </vt:variant>
      <vt:variant>
        <vt:i4>5</vt:i4>
      </vt:variant>
      <vt:variant>
        <vt:lpwstr/>
      </vt:variant>
      <vt:variant>
        <vt:lpwstr>_Toc227313944</vt:lpwstr>
      </vt:variant>
      <vt:variant>
        <vt:i4>1114173</vt:i4>
      </vt:variant>
      <vt:variant>
        <vt:i4>41</vt:i4>
      </vt:variant>
      <vt:variant>
        <vt:i4>0</vt:i4>
      </vt:variant>
      <vt:variant>
        <vt:i4>5</vt:i4>
      </vt:variant>
      <vt:variant>
        <vt:lpwstr/>
      </vt:variant>
      <vt:variant>
        <vt:lpwstr>_Toc227313943</vt:lpwstr>
      </vt:variant>
      <vt:variant>
        <vt:i4>1114173</vt:i4>
      </vt:variant>
      <vt:variant>
        <vt:i4>35</vt:i4>
      </vt:variant>
      <vt:variant>
        <vt:i4>0</vt:i4>
      </vt:variant>
      <vt:variant>
        <vt:i4>5</vt:i4>
      </vt:variant>
      <vt:variant>
        <vt:lpwstr/>
      </vt:variant>
      <vt:variant>
        <vt:lpwstr>_Toc227313942</vt:lpwstr>
      </vt:variant>
      <vt:variant>
        <vt:i4>1114173</vt:i4>
      </vt:variant>
      <vt:variant>
        <vt:i4>29</vt:i4>
      </vt:variant>
      <vt:variant>
        <vt:i4>0</vt:i4>
      </vt:variant>
      <vt:variant>
        <vt:i4>5</vt:i4>
      </vt:variant>
      <vt:variant>
        <vt:lpwstr/>
      </vt:variant>
      <vt:variant>
        <vt:lpwstr>_Toc227313941</vt:lpwstr>
      </vt:variant>
      <vt:variant>
        <vt:i4>1114173</vt:i4>
      </vt:variant>
      <vt:variant>
        <vt:i4>23</vt:i4>
      </vt:variant>
      <vt:variant>
        <vt:i4>0</vt:i4>
      </vt:variant>
      <vt:variant>
        <vt:i4>5</vt:i4>
      </vt:variant>
      <vt:variant>
        <vt:lpwstr/>
      </vt:variant>
      <vt:variant>
        <vt:lpwstr>_Toc227313940</vt:lpwstr>
      </vt:variant>
      <vt:variant>
        <vt:i4>1441853</vt:i4>
      </vt:variant>
      <vt:variant>
        <vt:i4>17</vt:i4>
      </vt:variant>
      <vt:variant>
        <vt:i4>0</vt:i4>
      </vt:variant>
      <vt:variant>
        <vt:i4>5</vt:i4>
      </vt:variant>
      <vt:variant>
        <vt:lpwstr/>
      </vt:variant>
      <vt:variant>
        <vt:lpwstr>_Toc227313939</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8126474</vt:i4>
      </vt:variant>
      <vt:variant>
        <vt:i4>75</vt:i4>
      </vt:variant>
      <vt:variant>
        <vt:i4>0</vt:i4>
      </vt:variant>
      <vt:variant>
        <vt:i4>5</vt:i4>
      </vt:variant>
      <vt:variant>
        <vt:lpwstr>https://www.safa.sa.gov.au/__data/assets/pdf_file/0011/1209809/2024-25-South-Australian-Government-Financing-Authority-Annual-Report.pdf</vt:lpwstr>
      </vt:variant>
      <vt:variant>
        <vt:lpwstr/>
      </vt:variant>
      <vt:variant>
        <vt:i4>1769490</vt:i4>
      </vt:variant>
      <vt:variant>
        <vt:i4>72</vt:i4>
      </vt:variant>
      <vt:variant>
        <vt:i4>0</vt:i4>
      </vt:variant>
      <vt:variant>
        <vt:i4>5</vt:i4>
      </vt:variant>
      <vt:variant>
        <vt:lpwstr>https://irp.cdn-website.com/34e29634/files/uploaded/TASCORP+AnnualReport_2024-25_Pages_Interactive_Final.pdf</vt:lpwstr>
      </vt:variant>
      <vt:variant>
        <vt:lpwstr/>
      </vt:variant>
      <vt:variant>
        <vt:i4>1704016</vt:i4>
      </vt:variant>
      <vt:variant>
        <vt:i4>69</vt:i4>
      </vt:variant>
      <vt:variant>
        <vt:i4>0</vt:i4>
      </vt:variant>
      <vt:variant>
        <vt:i4>5</vt:i4>
      </vt:variant>
      <vt:variant>
        <vt:lpwstr>https://www.watc.wa.gov.au/media/f0anqyyv/watc-annual-report-2025.pdf</vt:lpwstr>
      </vt:variant>
      <vt:variant>
        <vt:lpwstr/>
      </vt:variant>
      <vt:variant>
        <vt:i4>5898240</vt:i4>
      </vt:variant>
      <vt:variant>
        <vt:i4>66</vt:i4>
      </vt:variant>
      <vt:variant>
        <vt:i4>0</vt:i4>
      </vt:variant>
      <vt:variant>
        <vt:i4>5</vt:i4>
      </vt:variant>
      <vt:variant>
        <vt:lpwstr>https://www.qtc.com.au/wp-content/uploads/2025/09/QTC-Annual-Report-2024%E2%80%9325-as-at-12-Sept-2025-web-locked.pdf</vt:lpwstr>
      </vt:variant>
      <vt:variant>
        <vt:lpwstr/>
      </vt:variant>
      <vt:variant>
        <vt:i4>4325474</vt:i4>
      </vt:variant>
      <vt:variant>
        <vt:i4>63</vt:i4>
      </vt:variant>
      <vt:variant>
        <vt:i4>0</vt:i4>
      </vt:variant>
      <vt:variant>
        <vt:i4>5</vt:i4>
      </vt:variant>
      <vt:variant>
        <vt:lpwstr>https://www.tcv.vic.gov.au/images/Annual_Reports/2024-25_TCV_Full_Annual_Report.pdf</vt:lpwstr>
      </vt:variant>
      <vt:variant>
        <vt:lpwstr/>
      </vt:variant>
      <vt:variant>
        <vt:i4>852089</vt:i4>
      </vt:variant>
      <vt:variant>
        <vt:i4>60</vt:i4>
      </vt:variant>
      <vt:variant>
        <vt:i4>0</vt:i4>
      </vt:variant>
      <vt:variant>
        <vt:i4>5</vt:i4>
      </vt:variant>
      <vt:variant>
        <vt:lpwstr>https://tcorp.nsw.gov.au/wp-content/uploads/2025/12/TCorp_Annual_Report_2025.pdf</vt:lpwstr>
      </vt:variant>
      <vt:variant>
        <vt:lpwstr/>
      </vt:variant>
      <vt:variant>
        <vt:i4>2162735</vt:i4>
      </vt:variant>
      <vt:variant>
        <vt:i4>57</vt:i4>
      </vt:variant>
      <vt:variant>
        <vt:i4>0</vt:i4>
      </vt:variant>
      <vt:variant>
        <vt:i4>5</vt:i4>
      </vt:variant>
      <vt:variant>
        <vt:lpwstr>https://www.dmo.gov.uk/</vt:lpwstr>
      </vt:variant>
      <vt:variant>
        <vt:lpwstr/>
      </vt:variant>
      <vt:variant>
        <vt:i4>393235</vt:i4>
      </vt:variant>
      <vt:variant>
        <vt:i4>54</vt:i4>
      </vt:variant>
      <vt:variant>
        <vt:i4>0</vt:i4>
      </vt:variant>
      <vt:variant>
        <vt:i4>5</vt:i4>
      </vt:variant>
      <vt:variant>
        <vt:lpwstr>https://www.canada.ca/en/department-finance/programs/financial-sector-policy/securities/debt-program.html</vt:lpwstr>
      </vt:variant>
      <vt:variant>
        <vt:lpwstr/>
      </vt:variant>
      <vt:variant>
        <vt:i4>1048661</vt:i4>
      </vt:variant>
      <vt:variant>
        <vt:i4>51</vt:i4>
      </vt:variant>
      <vt:variant>
        <vt:i4>0</vt:i4>
      </vt:variant>
      <vt:variant>
        <vt:i4>5</vt:i4>
      </vt:variant>
      <vt:variant>
        <vt:lpwstr>https://debtmanagement.treasury.govt.nz/</vt:lpwstr>
      </vt:variant>
      <vt:variant>
        <vt:lpwstr/>
      </vt:variant>
      <vt:variant>
        <vt:i4>1376349</vt:i4>
      </vt:variant>
      <vt:variant>
        <vt:i4>48</vt:i4>
      </vt:variant>
      <vt:variant>
        <vt:i4>0</vt:i4>
      </vt:variant>
      <vt:variant>
        <vt:i4>5</vt:i4>
      </vt:variant>
      <vt:variant>
        <vt:lpwstr>https://www.aofm.gov.au/</vt:lpwstr>
      </vt:variant>
      <vt:variant>
        <vt:lpwstr/>
      </vt:variant>
      <vt:variant>
        <vt:i4>4849739</vt:i4>
      </vt:variant>
      <vt:variant>
        <vt:i4>45</vt:i4>
      </vt:variant>
      <vt:variant>
        <vt:i4>0</vt:i4>
      </vt:variant>
      <vt:variant>
        <vt:i4>5</vt:i4>
      </vt:variant>
      <vt:variant>
        <vt:lpwstr>https://www.aofm.gov.au/about/compliance-reports/audit-and-risk-committee-charter</vt:lpwstr>
      </vt:variant>
      <vt:variant>
        <vt:lpwstr/>
      </vt:variant>
      <vt:variant>
        <vt:i4>2031637</vt:i4>
      </vt:variant>
      <vt:variant>
        <vt:i4>42</vt:i4>
      </vt:variant>
      <vt:variant>
        <vt:i4>0</vt:i4>
      </vt:variant>
      <vt:variant>
        <vt:i4>5</vt:i4>
      </vt:variant>
      <vt:variant>
        <vt:lpwstr>https://www.aofm.gov.au/data-hub</vt:lpwstr>
      </vt:variant>
      <vt:variant>
        <vt:lpwstr/>
      </vt:variant>
      <vt:variant>
        <vt:i4>5177426</vt:i4>
      </vt:variant>
      <vt:variant>
        <vt:i4>39</vt:i4>
      </vt:variant>
      <vt:variant>
        <vt:i4>0</vt:i4>
      </vt:variant>
      <vt:variant>
        <vt:i4>5</vt:i4>
      </vt:variant>
      <vt:variant>
        <vt:lpwstr>https://www.aofm.gov.au/program/forthcoming-transactions/repurchase-september-2026-treasury-bond</vt:lpwstr>
      </vt:variant>
      <vt:variant>
        <vt:lpwstr/>
      </vt:variant>
      <vt:variant>
        <vt:i4>1769544</vt:i4>
      </vt:variant>
      <vt:variant>
        <vt:i4>36</vt:i4>
      </vt:variant>
      <vt:variant>
        <vt:i4>0</vt:i4>
      </vt:variant>
      <vt:variant>
        <vt:i4>5</vt:i4>
      </vt:variant>
      <vt:variant>
        <vt:lpwstr>https://www.aofm.gov.au/investors/wholesale-investors/investor-insights/aofm-buybacks</vt:lpwstr>
      </vt:variant>
      <vt:variant>
        <vt:lpwstr/>
      </vt:variant>
      <vt:variant>
        <vt:i4>524357</vt:i4>
      </vt:variant>
      <vt:variant>
        <vt:i4>33</vt:i4>
      </vt:variant>
      <vt:variant>
        <vt:i4>0</vt:i4>
      </vt:variant>
      <vt:variant>
        <vt:i4>5</vt:i4>
      </vt:variant>
      <vt:variant>
        <vt:lpwstr>https://www.aofm.gov.au/investors/wholesale-investors/investor-insights/joint-lead-managers-syndications</vt:lpwstr>
      </vt:variant>
      <vt:variant>
        <vt:lpwstr/>
      </vt:variant>
      <vt:variant>
        <vt:i4>6291507</vt:i4>
      </vt:variant>
      <vt:variant>
        <vt:i4>30</vt:i4>
      </vt:variant>
      <vt:variant>
        <vt:i4>0</vt:i4>
      </vt:variant>
      <vt:variant>
        <vt:i4>5</vt:i4>
      </vt:variant>
      <vt:variant>
        <vt:lpwstr>https://www.aofm.gov.au/sites/default/files/2025-10-02/AOFM Annual Report 2024-25 - web.pdf</vt:lpwstr>
      </vt:variant>
      <vt:variant>
        <vt:lpwstr/>
      </vt:variant>
      <vt:variant>
        <vt:i4>2031637</vt:i4>
      </vt:variant>
      <vt:variant>
        <vt:i4>27</vt:i4>
      </vt:variant>
      <vt:variant>
        <vt:i4>0</vt:i4>
      </vt:variant>
      <vt:variant>
        <vt:i4>5</vt:i4>
      </vt:variant>
      <vt:variant>
        <vt:lpwstr>https://www.aofm.gov.au/data-hub</vt:lpwstr>
      </vt:variant>
      <vt:variant>
        <vt:lpwstr/>
      </vt:variant>
      <vt:variant>
        <vt:i4>2031637</vt:i4>
      </vt:variant>
      <vt:variant>
        <vt:i4>24</vt:i4>
      </vt:variant>
      <vt:variant>
        <vt:i4>0</vt:i4>
      </vt:variant>
      <vt:variant>
        <vt:i4>5</vt:i4>
      </vt:variant>
      <vt:variant>
        <vt:lpwstr>https://www.aofm.gov.au/data-hub</vt:lpwstr>
      </vt:variant>
      <vt:variant>
        <vt:lpwstr/>
      </vt:variant>
      <vt:variant>
        <vt:i4>6291507</vt:i4>
      </vt:variant>
      <vt:variant>
        <vt:i4>21</vt:i4>
      </vt:variant>
      <vt:variant>
        <vt:i4>0</vt:i4>
      </vt:variant>
      <vt:variant>
        <vt:i4>5</vt:i4>
      </vt:variant>
      <vt:variant>
        <vt:lpwstr>https://www.aofm.gov.au/sites/default/files/2025-10-02/AOFM Annual Report 2024-25 - web.pdf</vt:lpwstr>
      </vt:variant>
      <vt:variant>
        <vt:lpwstr/>
      </vt:variant>
      <vt:variant>
        <vt:i4>2031637</vt:i4>
      </vt:variant>
      <vt:variant>
        <vt:i4>18</vt:i4>
      </vt:variant>
      <vt:variant>
        <vt:i4>0</vt:i4>
      </vt:variant>
      <vt:variant>
        <vt:i4>5</vt:i4>
      </vt:variant>
      <vt:variant>
        <vt:lpwstr>https://www.aofm.gov.au/data-hub</vt:lpwstr>
      </vt:variant>
      <vt:variant>
        <vt:lpwstr/>
      </vt:variant>
      <vt:variant>
        <vt:i4>6291507</vt:i4>
      </vt:variant>
      <vt:variant>
        <vt:i4>15</vt:i4>
      </vt:variant>
      <vt:variant>
        <vt:i4>0</vt:i4>
      </vt:variant>
      <vt:variant>
        <vt:i4>5</vt:i4>
      </vt:variant>
      <vt:variant>
        <vt:lpwstr>https://www.aofm.gov.au/sites/default/files/2025-10-02/AOFM Annual Report 2024-25 - web.pdf</vt:lpwstr>
      </vt:variant>
      <vt:variant>
        <vt:lpwstr/>
      </vt:variant>
      <vt:variant>
        <vt:i4>1310815</vt:i4>
      </vt:variant>
      <vt:variant>
        <vt:i4>12</vt:i4>
      </vt:variant>
      <vt:variant>
        <vt:i4>0</vt:i4>
      </vt:variant>
      <vt:variant>
        <vt:i4>5</vt:i4>
      </vt:variant>
      <vt:variant>
        <vt:lpwstr>https://www.anao.gov.au/work/performance-audit/aofm-management-the-australian-government-debt</vt:lpwstr>
      </vt:variant>
      <vt:variant>
        <vt:lpwstr/>
      </vt:variant>
      <vt:variant>
        <vt:i4>852034</vt:i4>
      </vt:variant>
      <vt:variant>
        <vt:i4>9</vt:i4>
      </vt:variant>
      <vt:variant>
        <vt:i4>0</vt:i4>
      </vt:variant>
      <vt:variant>
        <vt:i4>5</vt:i4>
      </vt:variant>
      <vt:variant>
        <vt:lpwstr>https://www.aofm.gov.au/program/forthcoming-transactions</vt:lpwstr>
      </vt:variant>
      <vt:variant>
        <vt:lpwstr/>
      </vt:variant>
      <vt:variant>
        <vt:i4>6291507</vt:i4>
      </vt:variant>
      <vt:variant>
        <vt:i4>5</vt:i4>
      </vt:variant>
      <vt:variant>
        <vt:i4>0</vt:i4>
      </vt:variant>
      <vt:variant>
        <vt:i4>5</vt:i4>
      </vt:variant>
      <vt:variant>
        <vt:lpwstr>https://www.aofm.gov.au/sites/default/files/2025-10-02/AOFM Annual Report 2024-25 - web.pdf</vt:lpwstr>
      </vt:variant>
      <vt:variant>
        <vt:lpwstr/>
      </vt:variant>
      <vt:variant>
        <vt:i4>6291507</vt:i4>
      </vt:variant>
      <vt:variant>
        <vt:i4>3</vt:i4>
      </vt:variant>
      <vt:variant>
        <vt:i4>0</vt:i4>
      </vt:variant>
      <vt:variant>
        <vt:i4>5</vt:i4>
      </vt:variant>
      <vt:variant>
        <vt:lpwstr>https://www.aofm.gov.au/sites/default/files/2025-10-02/AOFM Annual Report 2024-25 - web.pdf</vt:lpwstr>
      </vt:variant>
      <vt:variant>
        <vt:lpwstr/>
      </vt:variant>
      <vt:variant>
        <vt:i4>1310815</vt:i4>
      </vt:variant>
      <vt:variant>
        <vt:i4>0</vt:i4>
      </vt:variant>
      <vt:variant>
        <vt:i4>0</vt:i4>
      </vt:variant>
      <vt:variant>
        <vt:i4>5</vt:i4>
      </vt:variant>
      <vt:variant>
        <vt:lpwstr>https://www.anao.gov.au/work/performance-audit/aofm-management-the-australian-government-debt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dc:title>
  <dc:subject>Review of the Australian Office of Financial Management</dc:subject>
  <dc:creator>Treasury</dc:creator>
  <cp:keywords/>
  <cp:lastModifiedBy/>
  <cp:revision>1</cp:revision>
  <dcterms:created xsi:type="dcterms:W3CDTF">2026-04-23T04:10:00Z</dcterms:created>
  <dcterms:modified xsi:type="dcterms:W3CDTF">2026-04-23T04:11:00Z</dcterms:modified>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2026-04-23T04:11:19Z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d566d910-b9f1-43e2-8cd1-be891bc6dad5</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